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22E8" w14:textId="1464023D" w:rsidR="00447C65" w:rsidRPr="00D13E32" w:rsidRDefault="00447C65" w:rsidP="00F83E8F">
      <w:pPr>
        <w:rPr>
          <w:rFonts w:ascii="Verdana" w:hAnsi="Verdana"/>
          <w:b/>
          <w:sz w:val="20"/>
          <w:szCs w:val="20"/>
          <w:lang w:val="en-US"/>
        </w:rPr>
      </w:pPr>
    </w:p>
    <w:p w14:paraId="5BB69D79" w14:textId="07C41775" w:rsidR="00447C65" w:rsidRPr="00D13E32" w:rsidRDefault="00447C65" w:rsidP="00F83E8F">
      <w:pPr>
        <w:rPr>
          <w:rFonts w:ascii="Verdana" w:hAnsi="Verdana"/>
          <w:b/>
          <w:sz w:val="20"/>
          <w:szCs w:val="20"/>
          <w:lang w:val="en-US"/>
        </w:rPr>
      </w:pPr>
    </w:p>
    <w:p w14:paraId="08C49795" w14:textId="4EFC06E9" w:rsidR="00447C65" w:rsidRPr="00D13E32" w:rsidRDefault="00E21A02" w:rsidP="00E21A02">
      <w:pPr>
        <w:tabs>
          <w:tab w:val="left" w:pos="2807"/>
        </w:tabs>
        <w:rPr>
          <w:rFonts w:ascii="Verdana" w:hAnsi="Verdana"/>
          <w:b/>
          <w:sz w:val="20"/>
          <w:szCs w:val="20"/>
          <w:lang w:val="en-US"/>
        </w:rPr>
      </w:pPr>
      <w:r w:rsidRPr="00D13E32">
        <w:rPr>
          <w:rFonts w:ascii="Verdana" w:hAnsi="Verdana"/>
          <w:b/>
          <w:sz w:val="20"/>
          <w:szCs w:val="20"/>
          <w:lang w:val="en-US"/>
        </w:rPr>
        <w:tab/>
      </w:r>
    </w:p>
    <w:p w14:paraId="5A1EB612" w14:textId="5D2D1988" w:rsidR="00447C65" w:rsidRPr="00D13E32" w:rsidRDefault="00447C65" w:rsidP="00F83E8F">
      <w:pPr>
        <w:rPr>
          <w:rFonts w:ascii="Verdana" w:hAnsi="Verdana"/>
          <w:b/>
          <w:sz w:val="20"/>
          <w:szCs w:val="20"/>
          <w:lang w:val="en-US"/>
        </w:rPr>
      </w:pPr>
    </w:p>
    <w:p w14:paraId="263960F5" w14:textId="024955B9" w:rsidR="008E0F63" w:rsidRPr="00D13E32" w:rsidRDefault="008E0F63" w:rsidP="00F83E8F">
      <w:pPr>
        <w:rPr>
          <w:rFonts w:ascii="Verdana" w:hAnsi="Verdana"/>
          <w:b/>
          <w:sz w:val="20"/>
          <w:szCs w:val="20"/>
          <w:lang w:val="en-US"/>
        </w:rPr>
      </w:pPr>
    </w:p>
    <w:p w14:paraId="526A4EF5" w14:textId="5363E20D" w:rsidR="008E0F63" w:rsidRPr="00D13E32" w:rsidRDefault="008E0F63" w:rsidP="00F83E8F">
      <w:pPr>
        <w:rPr>
          <w:rFonts w:ascii="Verdana" w:hAnsi="Verdana"/>
          <w:b/>
          <w:sz w:val="20"/>
          <w:szCs w:val="20"/>
          <w:lang w:val="en-US"/>
        </w:rPr>
      </w:pPr>
    </w:p>
    <w:p w14:paraId="39E3DD6C" w14:textId="75B243C2" w:rsidR="008E0F63" w:rsidRPr="00D13E32" w:rsidRDefault="008E0F63" w:rsidP="00F83E8F">
      <w:pPr>
        <w:rPr>
          <w:rFonts w:ascii="Verdana" w:hAnsi="Verdana"/>
          <w:b/>
          <w:sz w:val="20"/>
          <w:szCs w:val="20"/>
          <w:lang w:val="en-US"/>
        </w:rPr>
      </w:pPr>
    </w:p>
    <w:p w14:paraId="52DE6D46" w14:textId="77777777" w:rsidR="008E0F63" w:rsidRPr="00D13E32" w:rsidRDefault="008E0F63" w:rsidP="00F83E8F">
      <w:pPr>
        <w:rPr>
          <w:rFonts w:ascii="Verdana" w:hAnsi="Verdana"/>
          <w:b/>
          <w:sz w:val="20"/>
          <w:szCs w:val="20"/>
          <w:lang w:val="en-US"/>
        </w:rPr>
      </w:pPr>
    </w:p>
    <w:p w14:paraId="54BCD8A0" w14:textId="77777777" w:rsidR="006F79F4" w:rsidRPr="00D13E32" w:rsidRDefault="006F79F4" w:rsidP="00F83E8F">
      <w:pPr>
        <w:rPr>
          <w:rFonts w:ascii="Verdana" w:hAnsi="Verdana"/>
          <w:b/>
          <w:sz w:val="20"/>
          <w:szCs w:val="20"/>
          <w:lang w:val="en-US"/>
        </w:rPr>
      </w:pPr>
    </w:p>
    <w:p w14:paraId="6BCF4C43" w14:textId="6663E8FF" w:rsidR="006F79F4" w:rsidRPr="00D869E3" w:rsidRDefault="00447C65" w:rsidP="006F79F4">
      <w:pPr>
        <w:jc w:val="center"/>
        <w:rPr>
          <w:rFonts w:ascii="Verdana" w:hAnsi="Verdana"/>
          <w:b/>
          <w:sz w:val="20"/>
          <w:szCs w:val="20"/>
          <w:lang w:val="en-US"/>
        </w:rPr>
      </w:pPr>
      <w:r w:rsidRPr="00D869E3">
        <w:rPr>
          <w:rFonts w:ascii="Verdana" w:hAnsi="Verdana"/>
          <w:b/>
          <w:sz w:val="20"/>
          <w:szCs w:val="20"/>
          <w:lang w:val="en-US"/>
        </w:rPr>
        <w:t>INTER-AMERICAN COURT OF HUMAN RIGHTS</w:t>
      </w:r>
    </w:p>
    <w:p w14:paraId="0AAD93E3" w14:textId="77777777" w:rsidR="006F79F4" w:rsidRPr="00D869E3" w:rsidRDefault="006F79F4" w:rsidP="006F79F4">
      <w:pPr>
        <w:rPr>
          <w:rFonts w:ascii="Verdana" w:hAnsi="Verdana"/>
          <w:b/>
          <w:sz w:val="20"/>
          <w:szCs w:val="20"/>
          <w:lang w:val="en-US"/>
        </w:rPr>
      </w:pPr>
    </w:p>
    <w:p w14:paraId="400F345F" w14:textId="435CC0F3" w:rsidR="006F79F4" w:rsidRPr="00D869E3" w:rsidRDefault="006F79F4" w:rsidP="006F79F4">
      <w:pPr>
        <w:tabs>
          <w:tab w:val="left" w:pos="851"/>
          <w:tab w:val="left" w:pos="1701"/>
          <w:tab w:val="left" w:pos="3544"/>
          <w:tab w:val="left" w:pos="3696"/>
        </w:tabs>
        <w:jc w:val="center"/>
        <w:rPr>
          <w:rFonts w:ascii="Verdana" w:hAnsi="Verdana"/>
          <w:b/>
          <w:sz w:val="20"/>
          <w:szCs w:val="20"/>
          <w:lang w:val="es-CR"/>
        </w:rPr>
      </w:pPr>
      <w:r w:rsidRPr="00D869E3">
        <w:rPr>
          <w:rFonts w:ascii="Verdana" w:hAnsi="Verdana"/>
          <w:b/>
          <w:sz w:val="20"/>
          <w:szCs w:val="20"/>
          <w:lang w:val="es-CR"/>
        </w:rPr>
        <w:t>CAS</w:t>
      </w:r>
      <w:r w:rsidR="00447C65" w:rsidRPr="00D869E3">
        <w:rPr>
          <w:rFonts w:ascii="Verdana" w:hAnsi="Verdana"/>
          <w:b/>
          <w:sz w:val="20"/>
          <w:szCs w:val="20"/>
          <w:lang w:val="es-CR"/>
        </w:rPr>
        <w:t>E OF</w:t>
      </w:r>
      <w:r w:rsidRPr="00D869E3">
        <w:rPr>
          <w:rFonts w:ascii="Verdana" w:hAnsi="Verdana"/>
          <w:b/>
          <w:sz w:val="20"/>
          <w:szCs w:val="20"/>
          <w:lang w:val="es-CR"/>
        </w:rPr>
        <w:t xml:space="preserve"> LAGOS DEL CAMPO </w:t>
      </w:r>
      <w:r w:rsidR="00447C65" w:rsidRPr="00D869E3">
        <w:rPr>
          <w:rFonts w:ascii="Verdana" w:hAnsi="Verdana"/>
          <w:b/>
          <w:i/>
          <w:sz w:val="20"/>
          <w:szCs w:val="20"/>
          <w:lang w:val="es-CR"/>
        </w:rPr>
        <w:t>v.</w:t>
      </w:r>
      <w:r w:rsidRPr="00D869E3">
        <w:rPr>
          <w:rFonts w:ascii="Verdana" w:hAnsi="Verdana"/>
          <w:b/>
          <w:i/>
          <w:sz w:val="20"/>
          <w:szCs w:val="20"/>
          <w:lang w:val="es-CR"/>
        </w:rPr>
        <w:t xml:space="preserve"> </w:t>
      </w:r>
      <w:r w:rsidR="00447C65" w:rsidRPr="00D869E3">
        <w:rPr>
          <w:rFonts w:ascii="Verdana" w:hAnsi="Verdana"/>
          <w:b/>
          <w:sz w:val="20"/>
          <w:szCs w:val="20"/>
          <w:lang w:val="es-CR"/>
        </w:rPr>
        <w:t>PERU</w:t>
      </w:r>
    </w:p>
    <w:p w14:paraId="2258F03D" w14:textId="77777777" w:rsidR="006F79F4" w:rsidRPr="00D869E3" w:rsidRDefault="006F79F4" w:rsidP="006F79F4">
      <w:pPr>
        <w:tabs>
          <w:tab w:val="left" w:pos="5580"/>
          <w:tab w:val="left" w:pos="6750"/>
        </w:tabs>
        <w:jc w:val="center"/>
        <w:rPr>
          <w:rFonts w:ascii="Verdana" w:hAnsi="Verdana"/>
          <w:b/>
          <w:sz w:val="20"/>
          <w:szCs w:val="20"/>
          <w:lang w:val="es-CR"/>
        </w:rPr>
      </w:pPr>
    </w:p>
    <w:p w14:paraId="490511D3" w14:textId="60232C60" w:rsidR="006F79F4" w:rsidRPr="00D869E3" w:rsidRDefault="00447C65" w:rsidP="006F79F4">
      <w:pPr>
        <w:jc w:val="center"/>
        <w:rPr>
          <w:rFonts w:ascii="Verdana" w:hAnsi="Verdana"/>
          <w:b/>
          <w:sz w:val="20"/>
          <w:szCs w:val="20"/>
          <w:lang w:val="en-US"/>
        </w:rPr>
      </w:pPr>
      <w:r w:rsidRPr="00D869E3">
        <w:rPr>
          <w:rFonts w:ascii="Verdana" w:hAnsi="Verdana"/>
          <w:b/>
          <w:sz w:val="20"/>
          <w:szCs w:val="20"/>
          <w:lang w:val="en-US"/>
        </w:rPr>
        <w:t>JUDGMENT OF</w:t>
      </w:r>
      <w:r w:rsidR="006F79F4" w:rsidRPr="00D869E3">
        <w:rPr>
          <w:rFonts w:ascii="Verdana" w:hAnsi="Verdana"/>
          <w:b/>
          <w:sz w:val="20"/>
          <w:szCs w:val="20"/>
          <w:lang w:val="en-US"/>
        </w:rPr>
        <w:t xml:space="preserve"> </w:t>
      </w:r>
      <w:r w:rsidRPr="00D869E3">
        <w:rPr>
          <w:rFonts w:ascii="Verdana" w:hAnsi="Verdana"/>
          <w:b/>
          <w:sz w:val="20"/>
          <w:szCs w:val="20"/>
          <w:lang w:val="en-US"/>
        </w:rPr>
        <w:t>AUGUST 31,</w:t>
      </w:r>
      <w:r w:rsidR="006F79F4" w:rsidRPr="00D869E3">
        <w:rPr>
          <w:rFonts w:ascii="Verdana" w:hAnsi="Verdana"/>
          <w:b/>
          <w:sz w:val="20"/>
          <w:szCs w:val="20"/>
          <w:lang w:val="en-US"/>
        </w:rPr>
        <w:t xml:space="preserve"> 2017</w:t>
      </w:r>
    </w:p>
    <w:p w14:paraId="6289B84C" w14:textId="77777777" w:rsidR="006F79F4" w:rsidRPr="00D869E3" w:rsidRDefault="006F79F4" w:rsidP="006F79F4">
      <w:pPr>
        <w:jc w:val="center"/>
        <w:rPr>
          <w:rFonts w:ascii="Verdana" w:hAnsi="Verdana"/>
          <w:b/>
          <w:sz w:val="20"/>
          <w:szCs w:val="20"/>
          <w:lang w:val="en-US"/>
        </w:rPr>
      </w:pPr>
      <w:r w:rsidRPr="00D869E3">
        <w:rPr>
          <w:rFonts w:ascii="Verdana" w:hAnsi="Verdana"/>
          <w:b/>
          <w:sz w:val="20"/>
          <w:szCs w:val="20"/>
          <w:lang w:val="en-US"/>
        </w:rPr>
        <w:t xml:space="preserve"> </w:t>
      </w:r>
    </w:p>
    <w:p w14:paraId="587023FC" w14:textId="24A280E7" w:rsidR="006F79F4" w:rsidRPr="00D869E3" w:rsidRDefault="006F79F4" w:rsidP="006F79F4">
      <w:pPr>
        <w:jc w:val="center"/>
        <w:rPr>
          <w:rFonts w:ascii="Verdana" w:hAnsi="Verdana"/>
          <w:b/>
          <w:i/>
          <w:sz w:val="20"/>
          <w:szCs w:val="20"/>
          <w:lang w:val="en-US"/>
        </w:rPr>
      </w:pPr>
      <w:r w:rsidRPr="00D869E3">
        <w:rPr>
          <w:rFonts w:ascii="Verdana" w:hAnsi="Verdana"/>
          <w:b/>
          <w:i/>
          <w:sz w:val="20"/>
          <w:szCs w:val="20"/>
          <w:lang w:val="en-US"/>
        </w:rPr>
        <w:t>(</w:t>
      </w:r>
      <w:r w:rsidR="00447C65" w:rsidRPr="00D869E3">
        <w:rPr>
          <w:rFonts w:ascii="Verdana" w:hAnsi="Verdana"/>
          <w:b/>
          <w:i/>
          <w:sz w:val="20"/>
          <w:szCs w:val="20"/>
          <w:lang w:val="en-US"/>
        </w:rPr>
        <w:t>Preliminary objections, merits, reparations and costs</w:t>
      </w:r>
      <w:r w:rsidRPr="00D869E3">
        <w:rPr>
          <w:rFonts w:ascii="Verdana" w:hAnsi="Verdana"/>
          <w:b/>
          <w:i/>
          <w:sz w:val="20"/>
          <w:szCs w:val="20"/>
          <w:lang w:val="en-US"/>
        </w:rPr>
        <w:t>)</w:t>
      </w:r>
    </w:p>
    <w:p w14:paraId="6121555C" w14:textId="77777777" w:rsidR="006F79F4" w:rsidRPr="00D869E3" w:rsidRDefault="006F79F4" w:rsidP="006F79F4">
      <w:pPr>
        <w:jc w:val="both"/>
        <w:rPr>
          <w:rFonts w:ascii="Verdana" w:hAnsi="Verdana"/>
          <w:sz w:val="20"/>
          <w:szCs w:val="20"/>
          <w:lang w:val="en-US"/>
        </w:rPr>
      </w:pPr>
    </w:p>
    <w:p w14:paraId="56D489F4" w14:textId="673BC833" w:rsidR="006F79F4" w:rsidRPr="00D869E3" w:rsidRDefault="006F79F4" w:rsidP="006F79F4">
      <w:pPr>
        <w:jc w:val="both"/>
        <w:rPr>
          <w:rFonts w:ascii="Verdana" w:hAnsi="Verdana"/>
          <w:sz w:val="20"/>
          <w:szCs w:val="20"/>
          <w:lang w:val="en-US"/>
        </w:rPr>
      </w:pPr>
    </w:p>
    <w:p w14:paraId="7B7C296F" w14:textId="654E9084" w:rsidR="00447C65" w:rsidRPr="00D869E3" w:rsidRDefault="00447C65" w:rsidP="006F79F4">
      <w:pPr>
        <w:jc w:val="both"/>
        <w:rPr>
          <w:rFonts w:ascii="Verdana" w:hAnsi="Verdana"/>
          <w:sz w:val="20"/>
          <w:szCs w:val="20"/>
          <w:lang w:val="en-US"/>
        </w:rPr>
      </w:pPr>
    </w:p>
    <w:p w14:paraId="120B0846" w14:textId="4C49239F" w:rsidR="00447C65" w:rsidRPr="00D869E3" w:rsidRDefault="00447C65" w:rsidP="006F79F4">
      <w:pPr>
        <w:jc w:val="both"/>
        <w:rPr>
          <w:rFonts w:ascii="Verdana" w:hAnsi="Verdana"/>
          <w:sz w:val="20"/>
          <w:szCs w:val="20"/>
          <w:lang w:val="en-US"/>
        </w:rPr>
      </w:pPr>
    </w:p>
    <w:p w14:paraId="2CE85B76" w14:textId="69098965" w:rsidR="00447C65" w:rsidRPr="00D869E3" w:rsidRDefault="00447C65" w:rsidP="006F79F4">
      <w:pPr>
        <w:jc w:val="both"/>
        <w:rPr>
          <w:rFonts w:ascii="Verdana" w:hAnsi="Verdana"/>
          <w:sz w:val="20"/>
          <w:szCs w:val="20"/>
          <w:lang w:val="en-US"/>
        </w:rPr>
      </w:pPr>
    </w:p>
    <w:p w14:paraId="2DE8C521" w14:textId="77777777" w:rsidR="00447C65" w:rsidRPr="00D869E3" w:rsidRDefault="00447C65" w:rsidP="006F79F4">
      <w:pPr>
        <w:jc w:val="both"/>
        <w:rPr>
          <w:rFonts w:ascii="Verdana" w:hAnsi="Verdana"/>
          <w:sz w:val="20"/>
          <w:szCs w:val="20"/>
          <w:lang w:val="en-US"/>
        </w:rPr>
      </w:pPr>
    </w:p>
    <w:p w14:paraId="32BD462F" w14:textId="77777777" w:rsidR="006F79F4" w:rsidRPr="00D869E3" w:rsidRDefault="006F79F4" w:rsidP="006F79F4">
      <w:pPr>
        <w:jc w:val="both"/>
        <w:rPr>
          <w:rFonts w:ascii="Verdana" w:hAnsi="Verdana"/>
          <w:sz w:val="20"/>
          <w:szCs w:val="20"/>
          <w:lang w:val="en-US"/>
        </w:rPr>
      </w:pPr>
    </w:p>
    <w:p w14:paraId="223A4C2C" w14:textId="494AED9E" w:rsidR="006F79F4" w:rsidRPr="00D869E3" w:rsidRDefault="00447C65" w:rsidP="006F79F4">
      <w:pPr>
        <w:ind w:left="1440" w:hanging="1440"/>
        <w:jc w:val="both"/>
        <w:rPr>
          <w:rFonts w:ascii="Verdana" w:hAnsi="Verdana"/>
          <w:sz w:val="20"/>
          <w:szCs w:val="20"/>
          <w:lang w:val="en-US"/>
        </w:rPr>
      </w:pPr>
      <w:r w:rsidRPr="00D869E3">
        <w:rPr>
          <w:rFonts w:ascii="Verdana" w:hAnsi="Verdana"/>
          <w:sz w:val="20"/>
          <w:szCs w:val="20"/>
          <w:lang w:val="en-US"/>
        </w:rPr>
        <w:t>In the case of</w:t>
      </w:r>
      <w:r w:rsidR="006F79F4" w:rsidRPr="00D869E3">
        <w:rPr>
          <w:rFonts w:ascii="Verdana" w:hAnsi="Verdana"/>
          <w:sz w:val="20"/>
          <w:szCs w:val="20"/>
          <w:lang w:val="en-US"/>
        </w:rPr>
        <w:t xml:space="preserve"> </w:t>
      </w:r>
      <w:r w:rsidR="006F79F4" w:rsidRPr="00D869E3">
        <w:rPr>
          <w:rFonts w:ascii="Verdana" w:hAnsi="Verdana"/>
          <w:i/>
          <w:sz w:val="20"/>
          <w:szCs w:val="20"/>
          <w:lang w:val="en-US"/>
        </w:rPr>
        <w:t>Lagos del Campo</w:t>
      </w:r>
      <w:r w:rsidR="006F79F4" w:rsidRPr="00D869E3">
        <w:rPr>
          <w:rFonts w:ascii="Verdana" w:hAnsi="Verdana"/>
          <w:sz w:val="20"/>
          <w:szCs w:val="20"/>
          <w:lang w:val="en-US"/>
        </w:rPr>
        <w:t>,</w:t>
      </w:r>
    </w:p>
    <w:p w14:paraId="3188F852" w14:textId="77777777" w:rsidR="006F79F4" w:rsidRPr="00D869E3" w:rsidRDefault="006F79F4" w:rsidP="006F79F4">
      <w:pPr>
        <w:jc w:val="both"/>
        <w:rPr>
          <w:rFonts w:ascii="Verdana" w:hAnsi="Verdana"/>
          <w:sz w:val="20"/>
          <w:szCs w:val="20"/>
          <w:lang w:val="en-US"/>
        </w:rPr>
      </w:pPr>
    </w:p>
    <w:p w14:paraId="6EAB2E70" w14:textId="0D55249A" w:rsidR="006F79F4" w:rsidRPr="00D869E3" w:rsidRDefault="00447C65" w:rsidP="006F79F4">
      <w:pPr>
        <w:jc w:val="both"/>
        <w:rPr>
          <w:rFonts w:ascii="Verdana" w:hAnsi="Verdana"/>
          <w:sz w:val="20"/>
          <w:szCs w:val="20"/>
          <w:lang w:val="en-US"/>
        </w:rPr>
      </w:pPr>
      <w:r w:rsidRPr="00D869E3">
        <w:rPr>
          <w:rFonts w:ascii="Verdana" w:hAnsi="Verdana"/>
          <w:sz w:val="20"/>
          <w:szCs w:val="20"/>
          <w:lang w:val="en-US"/>
        </w:rPr>
        <w:t>the Inter-American Court of Human Rights</w:t>
      </w:r>
      <w:r w:rsidR="006F79F4" w:rsidRPr="00D869E3">
        <w:rPr>
          <w:rFonts w:ascii="Verdana" w:hAnsi="Verdana"/>
          <w:sz w:val="20"/>
          <w:szCs w:val="20"/>
          <w:lang w:val="en-US"/>
        </w:rPr>
        <w:t xml:space="preserve">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Inter-American Court</w:t>
      </w:r>
      <w:r w:rsidR="006436CA" w:rsidRPr="00D869E3">
        <w:rPr>
          <w:rFonts w:ascii="Verdana" w:hAnsi="Verdana"/>
          <w:sz w:val="20"/>
          <w:szCs w:val="20"/>
          <w:lang w:val="en-US"/>
        </w:rPr>
        <w:t>”</w:t>
      </w:r>
      <w:r w:rsidRPr="00D869E3">
        <w:rPr>
          <w:rFonts w:ascii="Verdana" w:hAnsi="Verdana"/>
          <w:sz w:val="20"/>
          <w:szCs w:val="20"/>
          <w:lang w:val="en-US"/>
        </w:rPr>
        <w:t xml:space="preserve"> or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Court</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composed of the following judges</w:t>
      </w:r>
      <w:r w:rsidR="006F79F4" w:rsidRPr="00D869E3">
        <w:rPr>
          <w:rFonts w:ascii="Verdana" w:hAnsi="Verdana"/>
          <w:sz w:val="20"/>
          <w:szCs w:val="20"/>
          <w:lang w:val="en-US"/>
        </w:rPr>
        <w:t>:</w:t>
      </w:r>
    </w:p>
    <w:p w14:paraId="382177EC" w14:textId="77777777" w:rsidR="006F79F4" w:rsidRPr="00D869E3" w:rsidRDefault="006F79F4" w:rsidP="006F79F4">
      <w:pPr>
        <w:jc w:val="both"/>
        <w:rPr>
          <w:rFonts w:ascii="Verdana" w:hAnsi="Verdana"/>
          <w:sz w:val="20"/>
          <w:szCs w:val="20"/>
          <w:lang w:val="en-US"/>
        </w:rPr>
      </w:pPr>
    </w:p>
    <w:p w14:paraId="77026E86" w14:textId="518C0809"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Roberto F. Caldas, </w:t>
      </w:r>
      <w:r w:rsidR="00447C65" w:rsidRPr="00D869E3">
        <w:rPr>
          <w:rFonts w:ascii="Verdana" w:hAnsi="Verdana"/>
          <w:sz w:val="20"/>
          <w:szCs w:val="20"/>
          <w:lang w:val="en-US"/>
        </w:rPr>
        <w:t>President</w:t>
      </w:r>
    </w:p>
    <w:p w14:paraId="33570A0F" w14:textId="041D254E"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Eduardo Ferrer Mac-Gregor Poisot, Vice</w:t>
      </w:r>
      <w:r w:rsidR="00447C65" w:rsidRPr="00D869E3">
        <w:rPr>
          <w:rFonts w:ascii="Verdana" w:hAnsi="Verdana"/>
          <w:sz w:val="20"/>
          <w:szCs w:val="20"/>
          <w:lang w:val="en-US"/>
        </w:rPr>
        <w:t xml:space="preserve"> President</w:t>
      </w:r>
    </w:p>
    <w:p w14:paraId="2D29B333" w14:textId="2AAC8828"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Eduardo Vio Grossi, </w:t>
      </w:r>
      <w:r w:rsidR="00447C65" w:rsidRPr="00D869E3">
        <w:rPr>
          <w:rFonts w:ascii="Verdana" w:hAnsi="Verdana"/>
          <w:sz w:val="20"/>
          <w:szCs w:val="20"/>
          <w:lang w:val="en-US"/>
        </w:rPr>
        <w:t>Judge</w:t>
      </w:r>
    </w:p>
    <w:p w14:paraId="33CC6586" w14:textId="12F70CA3"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Humberto Antonio Sierra Porto, </w:t>
      </w:r>
      <w:r w:rsidR="00447C65" w:rsidRPr="00D869E3">
        <w:rPr>
          <w:rFonts w:ascii="Verdana" w:hAnsi="Verdana"/>
          <w:sz w:val="20"/>
          <w:szCs w:val="20"/>
          <w:lang w:val="en-US"/>
        </w:rPr>
        <w:t>Judge</w:t>
      </w:r>
    </w:p>
    <w:p w14:paraId="435F8FC9" w14:textId="14756A1F"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Elizabeth Odio Benito, </w:t>
      </w:r>
      <w:r w:rsidR="00447C65" w:rsidRPr="00D869E3">
        <w:rPr>
          <w:rFonts w:ascii="Verdana" w:hAnsi="Verdana"/>
          <w:sz w:val="20"/>
          <w:szCs w:val="20"/>
          <w:lang w:val="en-US"/>
        </w:rPr>
        <w:t>Judge</w:t>
      </w:r>
    </w:p>
    <w:p w14:paraId="441BDE26" w14:textId="5F56DD29"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Eugenio Raúl Zaffaroni, </w:t>
      </w:r>
      <w:r w:rsidR="00447C65" w:rsidRPr="00D869E3">
        <w:rPr>
          <w:rFonts w:ascii="Verdana" w:hAnsi="Verdana"/>
          <w:sz w:val="20"/>
          <w:szCs w:val="20"/>
          <w:lang w:val="en-US"/>
        </w:rPr>
        <w:t>Judge</w:t>
      </w:r>
      <w:r w:rsidRPr="00D869E3">
        <w:rPr>
          <w:rFonts w:ascii="Verdana" w:hAnsi="Verdana"/>
          <w:sz w:val="20"/>
          <w:szCs w:val="20"/>
          <w:lang w:val="en-US"/>
        </w:rPr>
        <w:t xml:space="preserve">, </w:t>
      </w:r>
      <w:r w:rsidR="00447C65" w:rsidRPr="00D869E3">
        <w:rPr>
          <w:rFonts w:ascii="Verdana" w:hAnsi="Verdana"/>
          <w:sz w:val="20"/>
          <w:szCs w:val="20"/>
          <w:lang w:val="en-US"/>
        </w:rPr>
        <w:t>and</w:t>
      </w:r>
    </w:p>
    <w:p w14:paraId="7C262042" w14:textId="1DBA8830"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Patricio Pazmiño Freire, </w:t>
      </w:r>
      <w:r w:rsidR="00447C65" w:rsidRPr="00D869E3">
        <w:rPr>
          <w:rFonts w:ascii="Verdana" w:hAnsi="Verdana"/>
          <w:sz w:val="20"/>
          <w:szCs w:val="20"/>
          <w:lang w:val="en-US"/>
        </w:rPr>
        <w:t>Judge</w:t>
      </w:r>
      <w:r w:rsidRPr="00D869E3">
        <w:rPr>
          <w:rFonts w:ascii="Verdana" w:hAnsi="Verdana"/>
          <w:sz w:val="20"/>
          <w:szCs w:val="20"/>
          <w:lang w:val="en-US"/>
        </w:rPr>
        <w:t>,</w:t>
      </w:r>
    </w:p>
    <w:p w14:paraId="5DB0769E" w14:textId="77777777" w:rsidR="006F79F4" w:rsidRPr="00D869E3" w:rsidRDefault="006F79F4" w:rsidP="006F79F4">
      <w:pPr>
        <w:jc w:val="both"/>
        <w:rPr>
          <w:rFonts w:ascii="Verdana" w:hAnsi="Verdana"/>
          <w:sz w:val="20"/>
          <w:szCs w:val="20"/>
          <w:lang w:val="en-US"/>
        </w:rPr>
      </w:pPr>
    </w:p>
    <w:p w14:paraId="55C361CA" w14:textId="01E39B91" w:rsidR="006F79F4" w:rsidRPr="00D869E3" w:rsidRDefault="00447C65" w:rsidP="006F79F4">
      <w:pPr>
        <w:jc w:val="both"/>
        <w:rPr>
          <w:rFonts w:ascii="Verdana" w:hAnsi="Verdana"/>
          <w:sz w:val="20"/>
          <w:szCs w:val="20"/>
          <w:lang w:val="en-US"/>
        </w:rPr>
      </w:pPr>
      <w:r w:rsidRPr="00D869E3">
        <w:rPr>
          <w:rFonts w:ascii="Verdana" w:hAnsi="Verdana"/>
          <w:sz w:val="20"/>
          <w:szCs w:val="20"/>
          <w:lang w:val="en-US"/>
        </w:rPr>
        <w:t>also present</w:t>
      </w:r>
      <w:r w:rsidR="006F79F4" w:rsidRPr="00D869E3">
        <w:rPr>
          <w:rFonts w:ascii="Verdana" w:hAnsi="Verdana"/>
          <w:sz w:val="20"/>
          <w:szCs w:val="20"/>
          <w:lang w:val="en-US"/>
        </w:rPr>
        <w:t xml:space="preserve">, </w:t>
      </w:r>
    </w:p>
    <w:p w14:paraId="438B6CC8" w14:textId="77777777" w:rsidR="006F79F4" w:rsidRPr="00D869E3" w:rsidRDefault="006F79F4" w:rsidP="006F79F4">
      <w:pPr>
        <w:jc w:val="both"/>
        <w:rPr>
          <w:rFonts w:ascii="Verdana" w:hAnsi="Verdana"/>
          <w:sz w:val="20"/>
          <w:szCs w:val="20"/>
          <w:lang w:val="en-US"/>
        </w:rPr>
      </w:pPr>
    </w:p>
    <w:p w14:paraId="56D90BCC" w14:textId="3B8C453C"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Pablo Saavedra Alessandri, Secretar</w:t>
      </w:r>
      <w:r w:rsidR="00447C65" w:rsidRPr="00D869E3">
        <w:rPr>
          <w:rFonts w:ascii="Verdana" w:hAnsi="Verdana"/>
          <w:sz w:val="20"/>
          <w:szCs w:val="20"/>
          <w:lang w:val="en-US"/>
        </w:rPr>
        <w:t>y</w:t>
      </w:r>
      <w:r w:rsidRPr="00D869E3">
        <w:rPr>
          <w:rFonts w:ascii="Verdana" w:hAnsi="Verdana"/>
          <w:sz w:val="20"/>
          <w:szCs w:val="20"/>
          <w:lang w:val="en-US"/>
        </w:rPr>
        <w:t xml:space="preserve">, </w:t>
      </w:r>
      <w:r w:rsidR="00447C65" w:rsidRPr="00D869E3">
        <w:rPr>
          <w:rFonts w:ascii="Verdana" w:hAnsi="Verdana"/>
          <w:sz w:val="20"/>
          <w:szCs w:val="20"/>
          <w:lang w:val="en-US"/>
        </w:rPr>
        <w:t>and</w:t>
      </w:r>
    </w:p>
    <w:p w14:paraId="5FA67476" w14:textId="3CF5B020" w:rsidR="006F79F4" w:rsidRPr="00D869E3" w:rsidRDefault="006F79F4" w:rsidP="006F79F4">
      <w:pPr>
        <w:jc w:val="both"/>
        <w:rPr>
          <w:rFonts w:ascii="Verdana" w:hAnsi="Verdana"/>
          <w:sz w:val="20"/>
          <w:szCs w:val="20"/>
          <w:lang w:val="en-US"/>
        </w:rPr>
      </w:pPr>
      <w:r w:rsidRPr="00D869E3">
        <w:rPr>
          <w:rFonts w:ascii="Verdana" w:hAnsi="Verdana"/>
          <w:sz w:val="20"/>
          <w:szCs w:val="20"/>
          <w:lang w:val="en-US"/>
        </w:rPr>
        <w:t xml:space="preserve">Emilia Segares Rodríguez, </w:t>
      </w:r>
      <w:r w:rsidR="00447C65" w:rsidRPr="00D869E3">
        <w:rPr>
          <w:rFonts w:ascii="Verdana" w:hAnsi="Verdana"/>
          <w:sz w:val="20"/>
          <w:szCs w:val="20"/>
          <w:lang w:val="en-US"/>
        </w:rPr>
        <w:t xml:space="preserve">Deputy </w:t>
      </w:r>
      <w:r w:rsidRPr="00D869E3">
        <w:rPr>
          <w:rFonts w:ascii="Verdana" w:hAnsi="Verdana"/>
          <w:sz w:val="20"/>
          <w:szCs w:val="20"/>
          <w:lang w:val="en-US"/>
        </w:rPr>
        <w:t>Secretar</w:t>
      </w:r>
      <w:r w:rsidR="00447C65" w:rsidRPr="00D869E3">
        <w:rPr>
          <w:rFonts w:ascii="Verdana" w:hAnsi="Verdana"/>
          <w:sz w:val="20"/>
          <w:szCs w:val="20"/>
          <w:lang w:val="en-US"/>
        </w:rPr>
        <w:t>y</w:t>
      </w:r>
      <w:r w:rsidRPr="00D869E3">
        <w:rPr>
          <w:rFonts w:ascii="Verdana" w:hAnsi="Verdana"/>
          <w:sz w:val="20"/>
          <w:szCs w:val="20"/>
          <w:lang w:val="en-US"/>
        </w:rPr>
        <w:t>,</w:t>
      </w:r>
    </w:p>
    <w:p w14:paraId="0FCECD87" w14:textId="77777777" w:rsidR="006F79F4" w:rsidRPr="00D869E3" w:rsidRDefault="006F79F4" w:rsidP="006F79F4">
      <w:pPr>
        <w:jc w:val="both"/>
        <w:rPr>
          <w:rFonts w:ascii="Verdana" w:hAnsi="Verdana"/>
          <w:sz w:val="20"/>
          <w:szCs w:val="20"/>
          <w:lang w:val="en-US"/>
        </w:rPr>
      </w:pPr>
    </w:p>
    <w:p w14:paraId="0BAF74C9" w14:textId="4082228E" w:rsidR="006F79F4" w:rsidRPr="00D869E3" w:rsidRDefault="00447C65" w:rsidP="006F79F4">
      <w:pPr>
        <w:jc w:val="both"/>
        <w:rPr>
          <w:rFonts w:ascii="Verdana" w:hAnsi="Verdana"/>
          <w:sz w:val="20"/>
          <w:szCs w:val="20"/>
          <w:lang w:val="en-US"/>
        </w:rPr>
      </w:pPr>
      <w:r w:rsidRPr="00D869E3">
        <w:rPr>
          <w:rFonts w:ascii="Verdana" w:hAnsi="Verdana"/>
          <w:sz w:val="20"/>
          <w:szCs w:val="20"/>
          <w:lang w:val="en-US"/>
        </w:rPr>
        <w:t>pursuant to Articles</w:t>
      </w:r>
      <w:r w:rsidR="006F79F4" w:rsidRPr="00D869E3">
        <w:rPr>
          <w:rFonts w:ascii="Verdana" w:hAnsi="Verdana"/>
          <w:sz w:val="20"/>
          <w:szCs w:val="20"/>
          <w:lang w:val="en-US"/>
        </w:rPr>
        <w:t xml:space="preserve"> </w:t>
      </w:r>
      <w:r w:rsidRPr="00D869E3">
        <w:rPr>
          <w:rFonts w:ascii="Verdana" w:hAnsi="Verdana"/>
          <w:sz w:val="20"/>
          <w:szCs w:val="20"/>
          <w:lang w:val="en-US"/>
        </w:rPr>
        <w:t>62(3)</w:t>
      </w:r>
      <w:r w:rsidR="006F79F4" w:rsidRPr="00D869E3">
        <w:rPr>
          <w:rFonts w:ascii="Verdana" w:hAnsi="Verdana"/>
          <w:sz w:val="20"/>
          <w:szCs w:val="20"/>
          <w:lang w:val="en-US"/>
        </w:rPr>
        <w:t xml:space="preserve"> </w:t>
      </w:r>
      <w:r w:rsidRPr="00D869E3">
        <w:rPr>
          <w:rFonts w:ascii="Verdana" w:hAnsi="Verdana"/>
          <w:sz w:val="20"/>
          <w:szCs w:val="20"/>
          <w:lang w:val="en-US"/>
        </w:rPr>
        <w:t>and</w:t>
      </w:r>
      <w:r w:rsidR="006F79F4" w:rsidRPr="00D869E3">
        <w:rPr>
          <w:rFonts w:ascii="Verdana" w:hAnsi="Verdana"/>
          <w:sz w:val="20"/>
          <w:szCs w:val="20"/>
          <w:lang w:val="en-US"/>
        </w:rPr>
        <w:t xml:space="preserve"> </w:t>
      </w:r>
      <w:r w:rsidRPr="00D869E3">
        <w:rPr>
          <w:rFonts w:ascii="Verdana" w:hAnsi="Verdana"/>
          <w:sz w:val="20"/>
          <w:szCs w:val="20"/>
          <w:lang w:val="en-US"/>
        </w:rPr>
        <w:t>63(1) of the American Convention on Human Rights</w:t>
      </w:r>
      <w:r w:rsidR="006F79F4" w:rsidRPr="00D869E3">
        <w:rPr>
          <w:rFonts w:ascii="Verdana" w:hAnsi="Verdana"/>
          <w:sz w:val="20"/>
          <w:szCs w:val="20"/>
          <w:lang w:val="en-US"/>
        </w:rPr>
        <w:t xml:space="preserve">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Convention</w:t>
      </w:r>
      <w:r w:rsidR="006436CA" w:rsidRPr="00D869E3">
        <w:rPr>
          <w:rFonts w:ascii="Verdana" w:hAnsi="Verdana"/>
          <w:sz w:val="20"/>
          <w:szCs w:val="20"/>
          <w:lang w:val="en-US"/>
        </w:rPr>
        <w:t>”</w:t>
      </w:r>
      <w:r w:rsidR="006F79F4" w:rsidRPr="00D869E3">
        <w:rPr>
          <w:rFonts w:ascii="Verdana" w:hAnsi="Verdana"/>
          <w:sz w:val="20"/>
          <w:szCs w:val="20"/>
          <w:lang w:val="en-US"/>
        </w:rPr>
        <w:t xml:space="preserve"> o</w:t>
      </w:r>
      <w:r w:rsidRPr="00D869E3">
        <w:rPr>
          <w:rFonts w:ascii="Verdana" w:hAnsi="Verdana"/>
          <w:sz w:val="20"/>
          <w:szCs w:val="20"/>
          <w:lang w:val="en-US"/>
        </w:rPr>
        <w:t>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American Convention</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and</w:t>
      </w:r>
      <w:r w:rsidR="006F79F4" w:rsidRPr="00D869E3">
        <w:rPr>
          <w:rFonts w:ascii="Verdana" w:hAnsi="Verdana"/>
          <w:sz w:val="20"/>
          <w:szCs w:val="20"/>
          <w:lang w:val="en-US"/>
        </w:rPr>
        <w:t xml:space="preserve"> </w:t>
      </w:r>
      <w:r w:rsidRPr="00D869E3">
        <w:rPr>
          <w:rFonts w:ascii="Verdana" w:hAnsi="Verdana"/>
          <w:sz w:val="20"/>
          <w:szCs w:val="20"/>
          <w:lang w:val="en-US"/>
        </w:rPr>
        <w:t>Articles</w:t>
      </w:r>
      <w:r w:rsidR="006F79F4" w:rsidRPr="00D869E3">
        <w:rPr>
          <w:rFonts w:ascii="Verdana" w:hAnsi="Verdana"/>
          <w:sz w:val="20"/>
          <w:szCs w:val="20"/>
          <w:lang w:val="en-US"/>
        </w:rPr>
        <w:t xml:space="preserve"> 31, 32, 42, 65 </w:t>
      </w:r>
      <w:r w:rsidRPr="00D869E3">
        <w:rPr>
          <w:rFonts w:ascii="Verdana" w:hAnsi="Verdana"/>
          <w:sz w:val="20"/>
          <w:szCs w:val="20"/>
          <w:lang w:val="en-US"/>
        </w:rPr>
        <w:t>and</w:t>
      </w:r>
      <w:r w:rsidR="006F79F4" w:rsidRPr="00D869E3">
        <w:rPr>
          <w:rFonts w:ascii="Verdana" w:hAnsi="Verdana"/>
          <w:sz w:val="20"/>
          <w:szCs w:val="20"/>
          <w:lang w:val="en-US"/>
        </w:rPr>
        <w:t xml:space="preserve"> 67</w:t>
      </w:r>
      <w:r w:rsidRPr="00D869E3">
        <w:rPr>
          <w:rFonts w:ascii="Verdana" w:hAnsi="Verdana"/>
          <w:sz w:val="20"/>
          <w:szCs w:val="20"/>
          <w:lang w:val="en-US"/>
        </w:rPr>
        <w:t xml:space="preserve"> of the Rules of Procedure of the Court</w:t>
      </w:r>
      <w:r w:rsidR="006F79F4" w:rsidRPr="00D869E3">
        <w:rPr>
          <w:rFonts w:ascii="Verdana" w:hAnsi="Verdana"/>
          <w:sz w:val="20"/>
          <w:szCs w:val="20"/>
          <w:lang w:val="en-US"/>
        </w:rPr>
        <w:t xml:space="preserve">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Rules of Procedure</w:t>
      </w:r>
      <w:r w:rsidR="006436CA" w:rsidRPr="00D869E3">
        <w:rPr>
          <w:rFonts w:ascii="Verdana" w:hAnsi="Verdana"/>
          <w:sz w:val="20"/>
          <w:szCs w:val="20"/>
          <w:lang w:val="en-US"/>
        </w:rPr>
        <w:t>”</w:t>
      </w:r>
      <w:r w:rsidR="006F79F4" w:rsidRPr="00D869E3">
        <w:rPr>
          <w:rFonts w:ascii="Verdana" w:hAnsi="Verdana"/>
          <w:sz w:val="20"/>
          <w:szCs w:val="20"/>
          <w:lang w:val="en-US"/>
        </w:rPr>
        <w:t>), d</w:t>
      </w:r>
      <w:r w:rsidRPr="00D869E3">
        <w:rPr>
          <w:rFonts w:ascii="Verdana" w:hAnsi="Verdana"/>
          <w:sz w:val="20"/>
          <w:szCs w:val="20"/>
          <w:lang w:val="en-US"/>
        </w:rPr>
        <w:t>elivers this judgment, structured as follows:</w:t>
      </w:r>
    </w:p>
    <w:p w14:paraId="651FF418" w14:textId="77777777" w:rsidR="006F79F4" w:rsidRPr="00D869E3" w:rsidRDefault="006F79F4" w:rsidP="006F79F4">
      <w:pPr>
        <w:jc w:val="both"/>
        <w:rPr>
          <w:rFonts w:ascii="Verdana" w:hAnsi="Verdana"/>
          <w:sz w:val="20"/>
          <w:szCs w:val="20"/>
          <w:lang w:val="en-US"/>
        </w:rPr>
      </w:pPr>
    </w:p>
    <w:p w14:paraId="15E43BF3" w14:textId="77777777" w:rsidR="006F79F4" w:rsidRPr="00D869E3" w:rsidRDefault="006F79F4" w:rsidP="006F79F4">
      <w:pPr>
        <w:jc w:val="center"/>
        <w:rPr>
          <w:rFonts w:ascii="Verdana" w:hAnsi="Verdana"/>
          <w:sz w:val="20"/>
          <w:szCs w:val="20"/>
          <w:lang w:val="en-US"/>
        </w:rPr>
      </w:pPr>
    </w:p>
    <w:p w14:paraId="31820FA6" w14:textId="24486CF7" w:rsidR="0071598A" w:rsidRPr="00D869E3" w:rsidRDefault="0071598A">
      <w:pPr>
        <w:spacing w:after="200" w:line="276" w:lineRule="auto"/>
        <w:rPr>
          <w:rFonts w:ascii="Verdana" w:hAnsi="Verdana"/>
          <w:sz w:val="20"/>
          <w:szCs w:val="20"/>
          <w:lang w:val="en-US"/>
        </w:rPr>
      </w:pPr>
      <w:r w:rsidRPr="00D869E3">
        <w:rPr>
          <w:rFonts w:ascii="Verdana" w:hAnsi="Verdana"/>
          <w:sz w:val="20"/>
          <w:szCs w:val="20"/>
          <w:lang w:val="en-US"/>
        </w:rPr>
        <w:br w:type="page"/>
      </w:r>
    </w:p>
    <w:p w14:paraId="659F2593" w14:textId="5DD83BB9" w:rsidR="006F79F4" w:rsidRPr="00D869E3" w:rsidRDefault="006F79F4" w:rsidP="006F79F4">
      <w:pPr>
        <w:jc w:val="both"/>
        <w:rPr>
          <w:rFonts w:ascii="Verdana" w:hAnsi="Verdana"/>
          <w:sz w:val="20"/>
          <w:szCs w:val="20"/>
          <w:lang w:val="en-US"/>
        </w:rPr>
      </w:pPr>
    </w:p>
    <w:p w14:paraId="66B348E8" w14:textId="00F24C79" w:rsidR="00240326" w:rsidRPr="00D869E3" w:rsidRDefault="00CB5A95" w:rsidP="00A532BE">
      <w:pPr>
        <w:tabs>
          <w:tab w:val="left" w:pos="1683"/>
          <w:tab w:val="center" w:pos="4816"/>
        </w:tabs>
        <w:rPr>
          <w:rFonts w:ascii="Verdana" w:hAnsi="Verdana"/>
          <w:b/>
          <w:sz w:val="18"/>
          <w:szCs w:val="18"/>
          <w:lang w:val="en-US"/>
        </w:rPr>
      </w:pPr>
      <w:r w:rsidRPr="00D869E3">
        <w:rPr>
          <w:rFonts w:ascii="Verdana" w:hAnsi="Verdana"/>
          <w:b/>
          <w:sz w:val="18"/>
          <w:szCs w:val="18"/>
          <w:lang w:val="en-US"/>
        </w:rPr>
        <w:tab/>
      </w:r>
      <w:r w:rsidRPr="00D869E3">
        <w:rPr>
          <w:rFonts w:ascii="Verdana" w:hAnsi="Verdana"/>
          <w:b/>
          <w:sz w:val="18"/>
          <w:szCs w:val="18"/>
          <w:lang w:val="en-US"/>
        </w:rPr>
        <w:tab/>
      </w:r>
      <w:r w:rsidR="00F35942" w:rsidRPr="00D869E3">
        <w:rPr>
          <w:rFonts w:ascii="Verdana" w:hAnsi="Verdana"/>
          <w:b/>
          <w:sz w:val="18"/>
          <w:szCs w:val="18"/>
          <w:lang w:val="en-US"/>
        </w:rPr>
        <w:t>TABLE OF CONTENTS</w:t>
      </w:r>
    </w:p>
    <w:p w14:paraId="6E941070" w14:textId="77777777" w:rsidR="00EF1AD0" w:rsidRPr="00D869E3" w:rsidRDefault="00EF1AD0" w:rsidP="00A532BE">
      <w:pPr>
        <w:tabs>
          <w:tab w:val="left" w:pos="1683"/>
          <w:tab w:val="center" w:pos="4816"/>
        </w:tabs>
        <w:rPr>
          <w:rFonts w:ascii="Verdana" w:hAnsi="Verdana"/>
          <w:b/>
          <w:sz w:val="18"/>
          <w:szCs w:val="18"/>
          <w:lang w:val="en-US"/>
        </w:rPr>
      </w:pPr>
    </w:p>
    <w:bookmarkStart w:id="0" w:name="_Toc390328152"/>
    <w:p w14:paraId="6844524A" w14:textId="59B25B4C" w:rsidR="001A3B36" w:rsidRPr="00D869E3" w:rsidRDefault="006F79F4" w:rsidP="00BE5A9F">
      <w:pPr>
        <w:pStyle w:val="TDC1"/>
        <w:rPr>
          <w:rFonts w:eastAsiaTheme="minorEastAsia" w:cstheme="minorBidi"/>
          <w:snapToGrid/>
          <w:lang w:val="en-US"/>
        </w:rPr>
      </w:pPr>
      <w:r w:rsidRPr="00D869E3">
        <w:rPr>
          <w:lang w:val="en-US"/>
        </w:rPr>
        <w:fldChar w:fldCharType="begin"/>
      </w:r>
      <w:r w:rsidRPr="00D869E3">
        <w:rPr>
          <w:lang w:val="en-US"/>
        </w:rPr>
        <w:instrText xml:space="preserve"> TOC \o "1-5" \h \z \u </w:instrText>
      </w:r>
      <w:r w:rsidRPr="00D869E3">
        <w:rPr>
          <w:lang w:val="en-US"/>
        </w:rPr>
        <w:fldChar w:fldCharType="separate"/>
      </w:r>
      <w:hyperlink w:anchor="_Toc29114099" w:history="1">
        <w:r w:rsidR="001A3B36" w:rsidRPr="00D869E3">
          <w:rPr>
            <w:rStyle w:val="Hipervnculo"/>
            <w:rFonts w:cs="Verdana"/>
            <w:sz w:val="18"/>
            <w:szCs w:val="18"/>
            <w:lang w:val="en-US"/>
          </w:rPr>
          <w:t>I INTRODUCTION OF THE CASE AND PURPOSE OF THE DISPUTE</w:t>
        </w:r>
        <w:r w:rsidR="001A3B36" w:rsidRPr="00D869E3">
          <w:rPr>
            <w:webHidden/>
          </w:rPr>
          <w:tab/>
        </w:r>
        <w:r w:rsidR="001A3B36" w:rsidRPr="00D869E3">
          <w:rPr>
            <w:webHidden/>
          </w:rPr>
          <w:fldChar w:fldCharType="begin"/>
        </w:r>
        <w:r w:rsidR="001A3B36" w:rsidRPr="00D869E3">
          <w:rPr>
            <w:webHidden/>
          </w:rPr>
          <w:instrText xml:space="preserve"> PAGEREF _Toc29114099 \h </w:instrText>
        </w:r>
        <w:r w:rsidR="001A3B36" w:rsidRPr="00D869E3">
          <w:rPr>
            <w:webHidden/>
          </w:rPr>
        </w:r>
        <w:r w:rsidR="001A3B36" w:rsidRPr="00D869E3">
          <w:rPr>
            <w:webHidden/>
          </w:rPr>
          <w:fldChar w:fldCharType="separate"/>
        </w:r>
        <w:r w:rsidR="0068647C">
          <w:rPr>
            <w:webHidden/>
          </w:rPr>
          <w:t>4</w:t>
        </w:r>
        <w:r w:rsidR="001A3B36" w:rsidRPr="00D869E3">
          <w:rPr>
            <w:webHidden/>
          </w:rPr>
          <w:fldChar w:fldCharType="end"/>
        </w:r>
      </w:hyperlink>
    </w:p>
    <w:p w14:paraId="2015DB51" w14:textId="10E17576" w:rsidR="001A3B36" w:rsidRPr="00D869E3" w:rsidRDefault="0068647C" w:rsidP="00BE5A9F">
      <w:pPr>
        <w:pStyle w:val="TDC1"/>
        <w:rPr>
          <w:rFonts w:eastAsiaTheme="minorEastAsia" w:cstheme="minorBidi"/>
          <w:snapToGrid/>
          <w:lang w:val="en-US"/>
        </w:rPr>
      </w:pPr>
      <w:hyperlink w:anchor="_Toc29114100" w:history="1">
        <w:r w:rsidR="001A3B36" w:rsidRPr="00D869E3">
          <w:rPr>
            <w:rStyle w:val="Hipervnculo"/>
            <w:rFonts w:cs="Verdana"/>
            <w:sz w:val="18"/>
            <w:szCs w:val="18"/>
            <w:lang w:val="en-US"/>
          </w:rPr>
          <w:t>II PROCEEDINGS BEFORE THE COURT</w:t>
        </w:r>
        <w:r w:rsidR="001A3B36" w:rsidRPr="00D869E3">
          <w:rPr>
            <w:webHidden/>
          </w:rPr>
          <w:tab/>
        </w:r>
        <w:r w:rsidR="001A3B36" w:rsidRPr="00D869E3">
          <w:rPr>
            <w:webHidden/>
          </w:rPr>
          <w:fldChar w:fldCharType="begin"/>
        </w:r>
        <w:r w:rsidR="001A3B36" w:rsidRPr="00D869E3">
          <w:rPr>
            <w:webHidden/>
          </w:rPr>
          <w:instrText xml:space="preserve"> PAGEREF _Toc29114100 \h </w:instrText>
        </w:r>
        <w:r w:rsidR="001A3B36" w:rsidRPr="00D869E3">
          <w:rPr>
            <w:webHidden/>
          </w:rPr>
        </w:r>
        <w:r w:rsidR="001A3B36" w:rsidRPr="00D869E3">
          <w:rPr>
            <w:webHidden/>
          </w:rPr>
          <w:fldChar w:fldCharType="separate"/>
        </w:r>
        <w:r>
          <w:rPr>
            <w:webHidden/>
          </w:rPr>
          <w:t>5</w:t>
        </w:r>
        <w:r w:rsidR="001A3B36" w:rsidRPr="00D869E3">
          <w:rPr>
            <w:webHidden/>
          </w:rPr>
          <w:fldChar w:fldCharType="end"/>
        </w:r>
      </w:hyperlink>
    </w:p>
    <w:p w14:paraId="018B84A0" w14:textId="776BB4C2" w:rsidR="001A3B36" w:rsidRPr="00D869E3" w:rsidRDefault="0068647C" w:rsidP="00BE5A9F">
      <w:pPr>
        <w:pStyle w:val="TDC1"/>
        <w:rPr>
          <w:rFonts w:eastAsiaTheme="minorEastAsia" w:cstheme="minorBidi"/>
          <w:snapToGrid/>
          <w:lang w:val="en-US"/>
        </w:rPr>
      </w:pPr>
      <w:hyperlink w:anchor="_Toc29114101" w:history="1">
        <w:r w:rsidR="001A3B36" w:rsidRPr="00D869E3">
          <w:rPr>
            <w:rStyle w:val="Hipervnculo"/>
            <w:rFonts w:cs="Verdana"/>
            <w:sz w:val="18"/>
            <w:szCs w:val="18"/>
            <w:lang w:val="en-US"/>
          </w:rPr>
          <w:t>III JURISDICTION</w:t>
        </w:r>
        <w:r w:rsidR="001A3B36" w:rsidRPr="00D869E3">
          <w:rPr>
            <w:webHidden/>
          </w:rPr>
          <w:tab/>
        </w:r>
        <w:r w:rsidR="001A3B36" w:rsidRPr="00D869E3">
          <w:rPr>
            <w:webHidden/>
          </w:rPr>
          <w:fldChar w:fldCharType="begin"/>
        </w:r>
        <w:r w:rsidR="001A3B36" w:rsidRPr="00D869E3">
          <w:rPr>
            <w:webHidden/>
          </w:rPr>
          <w:instrText xml:space="preserve"> PAGEREF _Toc29114101 \h </w:instrText>
        </w:r>
        <w:r w:rsidR="001A3B36" w:rsidRPr="00D869E3">
          <w:rPr>
            <w:webHidden/>
          </w:rPr>
        </w:r>
        <w:r w:rsidR="001A3B36" w:rsidRPr="00D869E3">
          <w:rPr>
            <w:webHidden/>
          </w:rPr>
          <w:fldChar w:fldCharType="separate"/>
        </w:r>
        <w:r>
          <w:rPr>
            <w:webHidden/>
          </w:rPr>
          <w:t>7</w:t>
        </w:r>
        <w:r w:rsidR="001A3B36" w:rsidRPr="00D869E3">
          <w:rPr>
            <w:webHidden/>
          </w:rPr>
          <w:fldChar w:fldCharType="end"/>
        </w:r>
      </w:hyperlink>
    </w:p>
    <w:p w14:paraId="606BAB91" w14:textId="4A36D27A" w:rsidR="001A3B36" w:rsidRPr="00D869E3" w:rsidRDefault="0068647C" w:rsidP="00BE5A9F">
      <w:pPr>
        <w:pStyle w:val="TDC1"/>
        <w:rPr>
          <w:rFonts w:eastAsiaTheme="minorEastAsia" w:cstheme="minorBidi"/>
          <w:snapToGrid/>
          <w:lang w:val="en-US"/>
        </w:rPr>
      </w:pPr>
      <w:hyperlink w:anchor="_Toc29114102" w:history="1">
        <w:r w:rsidR="001A3B36" w:rsidRPr="00D869E3">
          <w:rPr>
            <w:rStyle w:val="Hipervnculo"/>
            <w:rFonts w:cs="Verdana"/>
            <w:sz w:val="18"/>
            <w:szCs w:val="18"/>
            <w:lang w:val="en-US"/>
          </w:rPr>
          <w:t xml:space="preserve">IV </w:t>
        </w:r>
        <w:r w:rsidR="001A3B36" w:rsidRPr="00D869E3">
          <w:rPr>
            <w:rStyle w:val="Hipervnculo"/>
            <w:sz w:val="18"/>
            <w:szCs w:val="18"/>
            <w:lang w:val="en-US"/>
          </w:rPr>
          <w:t>PRELIMINARY OBJECTIONS</w:t>
        </w:r>
        <w:r w:rsidR="001A3B36" w:rsidRPr="00D869E3">
          <w:rPr>
            <w:webHidden/>
          </w:rPr>
          <w:tab/>
        </w:r>
        <w:r w:rsidR="001A3B36" w:rsidRPr="00D869E3">
          <w:rPr>
            <w:webHidden/>
          </w:rPr>
          <w:fldChar w:fldCharType="begin"/>
        </w:r>
        <w:r w:rsidR="001A3B36" w:rsidRPr="00D869E3">
          <w:rPr>
            <w:webHidden/>
          </w:rPr>
          <w:instrText xml:space="preserve"> PAGEREF _Toc29114102 \h </w:instrText>
        </w:r>
        <w:r w:rsidR="001A3B36" w:rsidRPr="00D869E3">
          <w:rPr>
            <w:webHidden/>
          </w:rPr>
        </w:r>
        <w:r w:rsidR="001A3B36" w:rsidRPr="00D869E3">
          <w:rPr>
            <w:webHidden/>
          </w:rPr>
          <w:fldChar w:fldCharType="separate"/>
        </w:r>
        <w:r>
          <w:rPr>
            <w:webHidden/>
          </w:rPr>
          <w:t>7</w:t>
        </w:r>
        <w:r w:rsidR="001A3B36" w:rsidRPr="00D869E3">
          <w:rPr>
            <w:webHidden/>
          </w:rPr>
          <w:fldChar w:fldCharType="end"/>
        </w:r>
      </w:hyperlink>
    </w:p>
    <w:p w14:paraId="1DA1B16C" w14:textId="00DF2E6F"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03" w:history="1">
        <w:r w:rsidR="001A3B36" w:rsidRPr="00D869E3">
          <w:rPr>
            <w:rStyle w:val="Hipervnculo"/>
            <w:rFonts w:ascii="Verdana"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noProof/>
            <w:sz w:val="18"/>
            <w:szCs w:val="18"/>
            <w:lang w:val="en-US"/>
          </w:rPr>
          <w:t>Arguments of the State and observations of the Commission and the representatives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_Toc29114103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7</w:t>
        </w:r>
        <w:r w:rsidR="001A3B36" w:rsidRPr="00D869E3">
          <w:rPr>
            <w:rFonts w:ascii="Verdana" w:hAnsi="Verdana"/>
            <w:noProof/>
            <w:webHidden/>
            <w:sz w:val="18"/>
            <w:szCs w:val="18"/>
          </w:rPr>
          <w:fldChar w:fldCharType="end"/>
        </w:r>
      </w:hyperlink>
    </w:p>
    <w:p w14:paraId="5F202FB5" w14:textId="130D66E5"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04" w:history="1">
        <w:r w:rsidR="001A3B36" w:rsidRPr="00D869E3">
          <w:rPr>
            <w:rStyle w:val="Hipervnculo"/>
            <w:rFonts w:ascii="Verdana" w:hAnsi="Verdana"/>
            <w:i/>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Considerations of the Court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_Toc29114104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8</w:t>
        </w:r>
        <w:r w:rsidR="001A3B36" w:rsidRPr="00D869E3">
          <w:rPr>
            <w:rFonts w:ascii="Verdana" w:hAnsi="Verdana"/>
            <w:noProof/>
            <w:webHidden/>
            <w:sz w:val="18"/>
            <w:szCs w:val="18"/>
          </w:rPr>
          <w:fldChar w:fldCharType="end"/>
        </w:r>
      </w:hyperlink>
    </w:p>
    <w:p w14:paraId="70D32AC9" w14:textId="699ECC1D"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05"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Inclusion of Article 16 of the Convention in the Merits Report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_Toc29114105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9</w:t>
        </w:r>
        <w:r w:rsidR="001A3B36" w:rsidRPr="00D869E3">
          <w:rPr>
            <w:rFonts w:ascii="Verdana" w:hAnsi="Verdana"/>
            <w:noProof/>
            <w:webHidden/>
            <w:sz w:val="18"/>
            <w:szCs w:val="18"/>
          </w:rPr>
          <w:fldChar w:fldCharType="end"/>
        </w:r>
      </w:hyperlink>
    </w:p>
    <w:p w14:paraId="701D60C5" w14:textId="606A6878"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06" w:history="1">
        <w:r w:rsidR="001A3B36" w:rsidRPr="00D869E3">
          <w:rPr>
            <w:rStyle w:val="Hipervnculo"/>
            <w:rFonts w:ascii="Verdana" w:hAnsi="Verdana"/>
            <w:i/>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Temporal delimitation of the analysis of judicial actions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10</w:t>
        </w:r>
        <w:r w:rsidR="001A3B36" w:rsidRPr="00D869E3">
          <w:rPr>
            <w:rFonts w:ascii="Verdana" w:hAnsi="Verdana"/>
            <w:noProof/>
            <w:webHidden/>
            <w:sz w:val="18"/>
            <w:szCs w:val="18"/>
          </w:rPr>
          <w:fldChar w:fldCharType="end"/>
        </w:r>
      </w:hyperlink>
    </w:p>
    <w:p w14:paraId="32165A3B" w14:textId="65DD5EFE" w:rsidR="001A3B36" w:rsidRPr="00D869E3" w:rsidRDefault="0068647C" w:rsidP="00BE5A9F">
      <w:pPr>
        <w:pStyle w:val="TDC1"/>
        <w:rPr>
          <w:rFonts w:eastAsiaTheme="minorEastAsia" w:cstheme="minorBidi"/>
          <w:snapToGrid/>
          <w:lang w:val="en-US"/>
        </w:rPr>
      </w:pPr>
      <w:hyperlink w:anchor="_Toc29114107" w:history="1">
        <w:r w:rsidR="001A3B36" w:rsidRPr="00D869E3">
          <w:rPr>
            <w:rStyle w:val="Hipervnculo"/>
            <w:rFonts w:cs="Verdana"/>
            <w:sz w:val="18"/>
            <w:szCs w:val="18"/>
            <w:lang w:val="en-US"/>
          </w:rPr>
          <w:t>V EVIDENCE</w:t>
        </w:r>
        <w:r w:rsidR="001A3B36" w:rsidRPr="00D869E3">
          <w:rPr>
            <w:webHidden/>
          </w:rPr>
          <w:tab/>
        </w:r>
        <w:r w:rsidR="001A3B36" w:rsidRPr="00D869E3">
          <w:rPr>
            <w:webHidden/>
          </w:rPr>
          <w:fldChar w:fldCharType="begin"/>
        </w:r>
        <w:r w:rsidR="001A3B36" w:rsidRPr="00D869E3">
          <w:rPr>
            <w:webHidden/>
          </w:rPr>
          <w:instrText xml:space="preserve"> PAGEREF _Toc29114107 \h </w:instrText>
        </w:r>
        <w:r w:rsidR="001A3B36" w:rsidRPr="00D869E3">
          <w:rPr>
            <w:webHidden/>
          </w:rPr>
        </w:r>
        <w:r w:rsidR="001A3B36" w:rsidRPr="00D869E3">
          <w:rPr>
            <w:webHidden/>
          </w:rPr>
          <w:fldChar w:fldCharType="separate"/>
        </w:r>
        <w:r>
          <w:rPr>
            <w:webHidden/>
          </w:rPr>
          <w:t>11</w:t>
        </w:r>
        <w:r w:rsidR="001A3B36" w:rsidRPr="00D869E3">
          <w:rPr>
            <w:webHidden/>
          </w:rPr>
          <w:fldChar w:fldCharType="end"/>
        </w:r>
      </w:hyperlink>
    </w:p>
    <w:p w14:paraId="1E905C3B" w14:textId="16E8758E"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08" w:history="1">
        <w:r w:rsidR="001A3B36" w:rsidRPr="00D869E3">
          <w:rPr>
            <w:rStyle w:val="Hipervnculo"/>
            <w:rFonts w:ascii="Verdana" w:eastAsia="MS Gothic"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noProof/>
            <w:sz w:val="18"/>
            <w:szCs w:val="18"/>
            <w:lang w:val="en-US"/>
          </w:rPr>
          <w:t>Documentary, testimonial and expert evidence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11</w:t>
        </w:r>
        <w:r w:rsidR="001A3B36" w:rsidRPr="00D869E3">
          <w:rPr>
            <w:rFonts w:ascii="Verdana" w:hAnsi="Verdana"/>
            <w:noProof/>
            <w:webHidden/>
            <w:sz w:val="18"/>
            <w:szCs w:val="18"/>
          </w:rPr>
          <w:fldChar w:fldCharType="end"/>
        </w:r>
      </w:hyperlink>
    </w:p>
    <w:p w14:paraId="232F1243" w14:textId="68463B35"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09" w:history="1">
        <w:r w:rsidR="001A3B36" w:rsidRPr="00D869E3">
          <w:rPr>
            <w:rStyle w:val="Hipervnculo"/>
            <w:rFonts w:ascii="Verdana" w:eastAsia="MS Gothic" w:hAnsi="Verdana"/>
            <w:i/>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noProof/>
            <w:sz w:val="18"/>
            <w:szCs w:val="18"/>
            <w:lang w:val="en-US"/>
          </w:rPr>
          <w:t>Admission of the evidence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_Toc29114109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11</w:t>
        </w:r>
        <w:r w:rsidR="001A3B36" w:rsidRPr="00D869E3">
          <w:rPr>
            <w:rFonts w:ascii="Verdana" w:hAnsi="Verdana"/>
            <w:noProof/>
            <w:webHidden/>
            <w:sz w:val="18"/>
            <w:szCs w:val="18"/>
          </w:rPr>
          <w:fldChar w:fldCharType="end"/>
        </w:r>
      </w:hyperlink>
    </w:p>
    <w:p w14:paraId="5FDC4B1C" w14:textId="461FF4A2"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10"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Admission of the documentary evidence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_Toc29114110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11</w:t>
        </w:r>
        <w:r w:rsidR="001A3B36" w:rsidRPr="00D869E3">
          <w:rPr>
            <w:rFonts w:ascii="Verdana" w:hAnsi="Verdana"/>
            <w:noProof/>
            <w:webHidden/>
            <w:sz w:val="18"/>
            <w:szCs w:val="18"/>
          </w:rPr>
          <w:fldChar w:fldCharType="end"/>
        </w:r>
      </w:hyperlink>
    </w:p>
    <w:p w14:paraId="213A68E9" w14:textId="29FDEA3D"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11" w:history="1">
        <w:r w:rsidR="001A3B36" w:rsidRPr="00D869E3">
          <w:rPr>
            <w:rStyle w:val="Hipervnculo"/>
            <w:rFonts w:ascii="Verdana" w:hAnsi="Verdana"/>
            <w:i/>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Admission of the testimonial and expert evidence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_Toc29114111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12</w:t>
        </w:r>
        <w:r w:rsidR="001A3B36" w:rsidRPr="00D869E3">
          <w:rPr>
            <w:rFonts w:ascii="Verdana" w:hAnsi="Verdana"/>
            <w:noProof/>
            <w:webHidden/>
            <w:sz w:val="18"/>
            <w:szCs w:val="18"/>
          </w:rPr>
          <w:fldChar w:fldCharType="end"/>
        </w:r>
      </w:hyperlink>
    </w:p>
    <w:p w14:paraId="58D77029" w14:textId="34D50B9C"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12" w:history="1">
        <w:r w:rsidR="001A3B36" w:rsidRPr="00D869E3">
          <w:rPr>
            <w:rStyle w:val="Hipervnculo"/>
            <w:rFonts w:ascii="Verdana" w:eastAsia="MS Gothic" w:hAnsi="Verdana"/>
            <w:i/>
            <w:noProof/>
            <w:sz w:val="18"/>
            <w:szCs w:val="18"/>
            <w:lang w:val="en-US"/>
          </w:rPr>
          <w:t>C.</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noProof/>
            <w:sz w:val="18"/>
            <w:szCs w:val="18"/>
            <w:lang w:val="en-US"/>
          </w:rPr>
          <w:t>Assessment of the evidence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_Toc29114112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13</w:t>
        </w:r>
        <w:r w:rsidR="001A3B36" w:rsidRPr="00D869E3">
          <w:rPr>
            <w:rFonts w:ascii="Verdana" w:hAnsi="Verdana"/>
            <w:noProof/>
            <w:webHidden/>
            <w:sz w:val="18"/>
            <w:szCs w:val="18"/>
          </w:rPr>
          <w:fldChar w:fldCharType="end"/>
        </w:r>
      </w:hyperlink>
    </w:p>
    <w:p w14:paraId="5BF6B39A" w14:textId="51F0E0C3" w:rsidR="001A3B36" w:rsidRPr="00D869E3" w:rsidRDefault="0068647C" w:rsidP="00BE5A9F">
      <w:pPr>
        <w:pStyle w:val="TDC1"/>
        <w:rPr>
          <w:rFonts w:eastAsiaTheme="minorEastAsia" w:cstheme="minorBidi"/>
          <w:snapToGrid/>
          <w:lang w:val="en-US"/>
        </w:rPr>
      </w:pPr>
      <w:hyperlink w:anchor="_Toc29114113" w:history="1">
        <w:r w:rsidR="001A3B36" w:rsidRPr="00D869E3">
          <w:rPr>
            <w:rStyle w:val="Hipervnculo"/>
            <w:rFonts w:cs="Verdana"/>
            <w:sz w:val="18"/>
            <w:szCs w:val="18"/>
            <w:lang w:val="en-US"/>
          </w:rPr>
          <w:t>Vi facts</w:t>
        </w:r>
        <w:r w:rsidR="001A3B36" w:rsidRPr="00D869E3">
          <w:rPr>
            <w:webHidden/>
          </w:rPr>
          <w:tab/>
        </w:r>
        <w:r w:rsidR="001A3B36" w:rsidRPr="00D869E3">
          <w:rPr>
            <w:webHidden/>
          </w:rPr>
          <w:fldChar w:fldCharType="begin"/>
        </w:r>
        <w:r w:rsidR="001A3B36" w:rsidRPr="00D869E3">
          <w:rPr>
            <w:webHidden/>
          </w:rPr>
          <w:instrText xml:space="preserve"> PAGEREF _Toc29114113 \h </w:instrText>
        </w:r>
        <w:r w:rsidR="001A3B36" w:rsidRPr="00D869E3">
          <w:rPr>
            <w:webHidden/>
          </w:rPr>
        </w:r>
        <w:r w:rsidR="001A3B36" w:rsidRPr="00D869E3">
          <w:rPr>
            <w:webHidden/>
          </w:rPr>
          <w:fldChar w:fldCharType="separate"/>
        </w:r>
        <w:r>
          <w:rPr>
            <w:webHidden/>
          </w:rPr>
          <w:t>13</w:t>
        </w:r>
        <w:r w:rsidR="001A3B36" w:rsidRPr="00D869E3">
          <w:rPr>
            <w:webHidden/>
          </w:rPr>
          <w:fldChar w:fldCharType="end"/>
        </w:r>
      </w:hyperlink>
    </w:p>
    <w:p w14:paraId="22550B91" w14:textId="0236DEEC"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14" w:history="1">
        <w:r w:rsidR="001A3B36" w:rsidRPr="00D869E3">
          <w:rPr>
            <w:rStyle w:val="Hipervnculo"/>
            <w:rFonts w:ascii="Verdana" w:eastAsia="MS Gothic"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noProof/>
            <w:sz w:val="18"/>
            <w:szCs w:val="18"/>
            <w:lang w:val="en-US"/>
          </w:rPr>
          <w:t>The Industrial Communities in Peru</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_Toc29114114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13</w:t>
        </w:r>
        <w:r w:rsidR="001A3B36" w:rsidRPr="00D869E3">
          <w:rPr>
            <w:rFonts w:ascii="Verdana" w:hAnsi="Verdana"/>
            <w:noProof/>
            <w:webHidden/>
            <w:sz w:val="18"/>
            <w:szCs w:val="18"/>
          </w:rPr>
          <w:fldChar w:fldCharType="end"/>
        </w:r>
      </w:hyperlink>
    </w:p>
    <w:p w14:paraId="33A96D61" w14:textId="00D18FDD" w:rsidR="001A3B36" w:rsidRPr="00D869E3" w:rsidRDefault="0068647C" w:rsidP="00D869E3">
      <w:pPr>
        <w:pStyle w:val="TDC2"/>
        <w:tabs>
          <w:tab w:val="clear" w:pos="8931"/>
          <w:tab w:val="right" w:leader="dot" w:pos="8820"/>
        </w:tabs>
        <w:ind w:right="926"/>
        <w:rPr>
          <w:rFonts w:ascii="Verdana" w:eastAsiaTheme="minorEastAsia" w:hAnsi="Verdana" w:cstheme="minorBidi"/>
          <w:noProof/>
          <w:sz w:val="18"/>
          <w:szCs w:val="18"/>
          <w:lang w:val="en-US"/>
        </w:rPr>
      </w:pPr>
      <w:hyperlink w:anchor="_Toc29114115" w:history="1">
        <w:r w:rsidR="001A3B36" w:rsidRPr="00D869E3">
          <w:rPr>
            <w:rStyle w:val="Hipervnculo"/>
            <w:rFonts w:ascii="Verdana" w:eastAsia="MS Gothic" w:hAnsi="Verdana"/>
            <w:i/>
            <w:iCs/>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iCs/>
            <w:noProof/>
            <w:sz w:val="18"/>
            <w:szCs w:val="18"/>
            <w:lang w:val="en-US"/>
          </w:rPr>
          <w:t>Background, functions and responsibilities of Mr. Lagos del Campo as president of the Electoral Committee of the Industrial Community</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_Toc29114115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16</w:t>
        </w:r>
        <w:r w:rsidR="001A3B36" w:rsidRPr="00D869E3">
          <w:rPr>
            <w:rFonts w:ascii="Verdana" w:hAnsi="Verdana"/>
            <w:noProof/>
            <w:webHidden/>
            <w:sz w:val="18"/>
            <w:szCs w:val="18"/>
          </w:rPr>
          <w:fldChar w:fldCharType="end"/>
        </w:r>
      </w:hyperlink>
    </w:p>
    <w:p w14:paraId="05D5E275" w14:textId="51BAF7FD"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16" w:history="1">
        <w:r w:rsidR="001A3B36" w:rsidRPr="00D869E3">
          <w:rPr>
            <w:rStyle w:val="Hipervnculo"/>
            <w:rFonts w:ascii="Verdana" w:eastAsia="MS Gothic" w:hAnsi="Verdana"/>
            <w:i/>
            <w:iCs/>
            <w:noProof/>
            <w:sz w:val="18"/>
            <w:szCs w:val="18"/>
            <w:lang w:val="en-US"/>
          </w:rPr>
          <w:t>C.</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iCs/>
            <w:noProof/>
            <w:sz w:val="18"/>
            <w:szCs w:val="18"/>
            <w:lang w:val="en-US"/>
          </w:rPr>
          <w:t>The dismissal of Mr. Lagos del Campo and the applicable legal framework</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17</w:t>
        </w:r>
        <w:r w:rsidR="001A3B36" w:rsidRPr="00D869E3">
          <w:rPr>
            <w:rFonts w:ascii="Verdana" w:hAnsi="Verdana"/>
            <w:noProof/>
            <w:webHidden/>
            <w:sz w:val="18"/>
            <w:szCs w:val="18"/>
          </w:rPr>
          <w:fldChar w:fldCharType="end"/>
        </w:r>
      </w:hyperlink>
    </w:p>
    <w:p w14:paraId="795D492A" w14:textId="0549D8A7"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17" w:history="1">
        <w:r w:rsidR="001A3B36" w:rsidRPr="00D869E3">
          <w:rPr>
            <w:rStyle w:val="Hipervnculo"/>
            <w:rFonts w:ascii="Verdana" w:eastAsia="MS Gothic" w:hAnsi="Verdana"/>
            <w:i/>
            <w:iCs/>
            <w:noProof/>
            <w:sz w:val="18"/>
            <w:szCs w:val="18"/>
            <w:lang w:val="en-US"/>
          </w:rPr>
          <w:t>D.</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iCs/>
            <w:noProof/>
            <w:sz w:val="18"/>
            <w:szCs w:val="18"/>
            <w:lang w:val="en-US"/>
          </w:rPr>
          <w:t>Actions filed by Mr. Lagos del Campo</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_Toc29114117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21</w:t>
        </w:r>
        <w:r w:rsidR="001A3B36" w:rsidRPr="00D869E3">
          <w:rPr>
            <w:rFonts w:ascii="Verdana" w:hAnsi="Verdana"/>
            <w:noProof/>
            <w:webHidden/>
            <w:sz w:val="18"/>
            <w:szCs w:val="18"/>
          </w:rPr>
          <w:fldChar w:fldCharType="end"/>
        </w:r>
      </w:hyperlink>
    </w:p>
    <w:p w14:paraId="0ACCC5F9" w14:textId="62462499"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18"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Application for review of dismissal</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21</w:t>
        </w:r>
        <w:r w:rsidR="001A3B36" w:rsidRPr="00D869E3">
          <w:rPr>
            <w:rFonts w:ascii="Verdana" w:hAnsi="Verdana"/>
            <w:noProof/>
            <w:webHidden/>
            <w:sz w:val="18"/>
            <w:szCs w:val="18"/>
          </w:rPr>
          <w:fldChar w:fldCharType="end"/>
        </w:r>
      </w:hyperlink>
    </w:p>
    <w:p w14:paraId="6CD3A2B8" w14:textId="17156FD6"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19" w:history="1">
        <w:r w:rsidR="001A3B36" w:rsidRPr="00D869E3">
          <w:rPr>
            <w:rStyle w:val="Hipervnculo"/>
            <w:rFonts w:ascii="Verdana" w:hAnsi="Verdana"/>
            <w:i/>
            <w:iCs/>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iCs/>
            <w:noProof/>
            <w:sz w:val="18"/>
            <w:szCs w:val="18"/>
            <w:lang w:val="en-US"/>
          </w:rPr>
          <w:t>Application for amparo and nullity</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_Toc29114119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22</w:t>
        </w:r>
        <w:r w:rsidR="001A3B36" w:rsidRPr="00D869E3">
          <w:rPr>
            <w:rFonts w:ascii="Verdana" w:hAnsi="Verdana"/>
            <w:noProof/>
            <w:webHidden/>
            <w:sz w:val="18"/>
            <w:szCs w:val="18"/>
          </w:rPr>
          <w:fldChar w:fldCharType="end"/>
        </w:r>
      </w:hyperlink>
    </w:p>
    <w:p w14:paraId="0E164EB4" w14:textId="655D96FE"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20" w:history="1">
        <w:r w:rsidR="001A3B36" w:rsidRPr="00D869E3">
          <w:rPr>
            <w:rStyle w:val="Hipervnculo"/>
            <w:rFonts w:ascii="Verdana" w:hAnsi="Verdana"/>
            <w:i/>
            <w:iCs/>
            <w:noProof/>
            <w:sz w:val="18"/>
            <w:szCs w:val="18"/>
            <w:lang w:val="en-US"/>
          </w:rPr>
          <w:t>3.</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iCs/>
            <w:noProof/>
            <w:sz w:val="18"/>
            <w:szCs w:val="18"/>
            <w:lang w:val="en-US"/>
          </w:rPr>
          <w:t>Application for amparo before the Constitutional Court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_Toc29114120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24</w:t>
        </w:r>
        <w:r w:rsidR="001A3B36" w:rsidRPr="00D869E3">
          <w:rPr>
            <w:rFonts w:ascii="Verdana" w:hAnsi="Verdana"/>
            <w:noProof/>
            <w:webHidden/>
            <w:sz w:val="18"/>
            <w:szCs w:val="18"/>
          </w:rPr>
          <w:fldChar w:fldCharType="end"/>
        </w:r>
      </w:hyperlink>
    </w:p>
    <w:p w14:paraId="08D60B90" w14:textId="288138CA"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21" w:history="1">
        <w:r w:rsidR="001A3B36" w:rsidRPr="00D869E3">
          <w:rPr>
            <w:rStyle w:val="Hipervnculo"/>
            <w:rFonts w:ascii="Verdana" w:eastAsia="MS Gothic" w:hAnsi="Verdana"/>
            <w:i/>
            <w:iCs/>
            <w:noProof/>
            <w:sz w:val="18"/>
            <w:szCs w:val="18"/>
            <w:lang w:val="en-US"/>
          </w:rPr>
          <w:t>E.</w:t>
        </w:r>
        <w:r w:rsidR="001A3B36" w:rsidRPr="00D869E3">
          <w:rPr>
            <w:rFonts w:ascii="Verdana" w:eastAsiaTheme="minorEastAsia" w:hAnsi="Verdana" w:cstheme="minorBidi"/>
            <w:noProof/>
            <w:sz w:val="18"/>
            <w:szCs w:val="18"/>
            <w:lang w:val="en-US"/>
          </w:rPr>
          <w:tab/>
        </w:r>
        <w:r w:rsidR="001A3B36" w:rsidRPr="00D869E3">
          <w:rPr>
            <w:rStyle w:val="Hipervnculo"/>
            <w:rFonts w:ascii="Verdana" w:eastAsia="MS Gothic" w:hAnsi="Verdana"/>
            <w:i/>
            <w:iCs/>
            <w:noProof/>
            <w:sz w:val="18"/>
            <w:szCs w:val="18"/>
            <w:lang w:val="en-US"/>
          </w:rPr>
          <w:t>The situation of Mr. Lagos del Campo after his dismissal</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_Toc29114121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25</w:t>
        </w:r>
        <w:r w:rsidR="001A3B36" w:rsidRPr="00D869E3">
          <w:rPr>
            <w:rFonts w:ascii="Verdana" w:hAnsi="Verdana"/>
            <w:noProof/>
            <w:webHidden/>
            <w:sz w:val="18"/>
            <w:szCs w:val="18"/>
          </w:rPr>
          <w:fldChar w:fldCharType="end"/>
        </w:r>
      </w:hyperlink>
    </w:p>
    <w:p w14:paraId="16864152" w14:textId="58160632" w:rsidR="001A3B36" w:rsidRPr="00D869E3" w:rsidRDefault="0068647C" w:rsidP="00BE5A9F">
      <w:pPr>
        <w:pStyle w:val="TDC1"/>
        <w:rPr>
          <w:rFonts w:eastAsiaTheme="minorEastAsia" w:cstheme="minorBidi"/>
          <w:snapToGrid/>
          <w:lang w:val="en-US"/>
        </w:rPr>
      </w:pPr>
      <w:hyperlink w:anchor="_Toc29114122" w:history="1">
        <w:r w:rsidR="001A3B36" w:rsidRPr="00D869E3">
          <w:rPr>
            <w:rStyle w:val="Hipervnculo"/>
            <w:rFonts w:cs="Verdana"/>
            <w:sz w:val="18"/>
            <w:szCs w:val="18"/>
            <w:lang w:val="en-US"/>
          </w:rPr>
          <w:t>ViI Merits</w:t>
        </w:r>
        <w:r w:rsidR="001A3B36" w:rsidRPr="00D869E3">
          <w:rPr>
            <w:webHidden/>
          </w:rPr>
          <w:tab/>
        </w:r>
        <w:r w:rsidR="001A3B36" w:rsidRPr="00D869E3">
          <w:rPr>
            <w:webHidden/>
          </w:rPr>
          <w:fldChar w:fldCharType="begin"/>
        </w:r>
        <w:r w:rsidR="001A3B36" w:rsidRPr="00D869E3">
          <w:rPr>
            <w:webHidden/>
          </w:rPr>
          <w:instrText xml:space="preserve"> PAGEREF _Toc29114122 \h </w:instrText>
        </w:r>
        <w:r w:rsidR="001A3B36" w:rsidRPr="00D869E3">
          <w:rPr>
            <w:webHidden/>
          </w:rPr>
        </w:r>
        <w:r w:rsidR="001A3B36" w:rsidRPr="00D869E3">
          <w:rPr>
            <w:webHidden/>
          </w:rPr>
          <w:fldChar w:fldCharType="separate"/>
        </w:r>
        <w:r>
          <w:rPr>
            <w:webHidden/>
          </w:rPr>
          <w:t>25</w:t>
        </w:r>
        <w:r w:rsidR="001A3B36" w:rsidRPr="00D869E3">
          <w:rPr>
            <w:webHidden/>
          </w:rPr>
          <w:fldChar w:fldCharType="end"/>
        </w:r>
      </w:hyperlink>
    </w:p>
    <w:p w14:paraId="3784AE7F" w14:textId="5B81B9C6" w:rsidR="001A3B36" w:rsidRPr="00D869E3" w:rsidRDefault="0068647C" w:rsidP="00BE5A9F">
      <w:pPr>
        <w:pStyle w:val="TDC1"/>
        <w:rPr>
          <w:rFonts w:eastAsiaTheme="minorEastAsia" w:cstheme="minorBidi"/>
          <w:snapToGrid/>
          <w:lang w:val="en-US"/>
        </w:rPr>
      </w:pPr>
      <w:hyperlink w:anchor="_Toc29114123" w:history="1">
        <w:r w:rsidR="001A3B36" w:rsidRPr="00D869E3">
          <w:rPr>
            <w:rStyle w:val="Hipervnculo"/>
            <w:rFonts w:cs="Verdana"/>
            <w:sz w:val="18"/>
            <w:szCs w:val="18"/>
            <w:lang w:val="en-US"/>
          </w:rPr>
          <w:t>VII-1</w:t>
        </w:r>
        <w:r w:rsidR="001A3B36" w:rsidRPr="00D869E3">
          <w:rPr>
            <w:webHidden/>
          </w:rPr>
          <w:tab/>
        </w:r>
        <w:r w:rsidR="001A3B36" w:rsidRPr="00D869E3">
          <w:rPr>
            <w:webHidden/>
          </w:rPr>
          <w:fldChar w:fldCharType="begin"/>
        </w:r>
        <w:r w:rsidR="001A3B36" w:rsidRPr="00D869E3">
          <w:rPr>
            <w:webHidden/>
          </w:rPr>
          <w:instrText xml:space="preserve"> PAGEREF _Toc29114123 \h </w:instrText>
        </w:r>
        <w:r w:rsidR="001A3B36" w:rsidRPr="00D869E3">
          <w:rPr>
            <w:webHidden/>
          </w:rPr>
        </w:r>
        <w:r w:rsidR="001A3B36" w:rsidRPr="00D869E3">
          <w:rPr>
            <w:webHidden/>
          </w:rPr>
          <w:fldChar w:fldCharType="separate"/>
        </w:r>
        <w:r>
          <w:rPr>
            <w:webHidden/>
          </w:rPr>
          <w:t>27</w:t>
        </w:r>
        <w:r w:rsidR="001A3B36" w:rsidRPr="00D869E3">
          <w:rPr>
            <w:webHidden/>
          </w:rPr>
          <w:fldChar w:fldCharType="end"/>
        </w:r>
      </w:hyperlink>
    </w:p>
    <w:p w14:paraId="78271174" w14:textId="728CDDE9" w:rsidR="001A3B36" w:rsidRPr="00D869E3" w:rsidRDefault="0068647C" w:rsidP="00BE5A9F">
      <w:pPr>
        <w:pStyle w:val="TDC1"/>
        <w:rPr>
          <w:rFonts w:eastAsiaTheme="minorEastAsia" w:cstheme="minorBidi"/>
          <w:snapToGrid/>
          <w:lang w:val="en-US"/>
        </w:rPr>
      </w:pPr>
      <w:hyperlink w:anchor="_Toc29114124" w:history="1">
        <w:r w:rsidR="001A3B36" w:rsidRPr="00D869E3">
          <w:rPr>
            <w:rStyle w:val="Hipervnculo"/>
            <w:rFonts w:cs="Verdana"/>
            <w:sz w:val="18"/>
            <w:szCs w:val="18"/>
            <w:lang w:val="en-US"/>
          </w:rPr>
          <w:t>FREEDOM OF THOUGHT AND EXPRESSION, RIGHT TO A FAIR TRIAL, JOB SECURITY, FREEDOM OF ASSOCIATION, AND DOMESTIC LEGAL EFFECTS</w:t>
        </w:r>
        <w:r w:rsidR="001A3B36" w:rsidRPr="00D869E3">
          <w:rPr>
            <w:webHidden/>
          </w:rPr>
          <w:tab/>
        </w:r>
        <w:r w:rsidR="001A3B36" w:rsidRPr="00D869E3">
          <w:rPr>
            <w:webHidden/>
          </w:rPr>
          <w:fldChar w:fldCharType="begin"/>
        </w:r>
        <w:r w:rsidR="001A3B36" w:rsidRPr="00D869E3">
          <w:rPr>
            <w:webHidden/>
          </w:rPr>
          <w:instrText xml:space="preserve"> PAGEREF _Toc29114124 \h </w:instrText>
        </w:r>
        <w:r w:rsidR="001A3B36" w:rsidRPr="00D869E3">
          <w:rPr>
            <w:webHidden/>
          </w:rPr>
        </w:r>
        <w:r w:rsidR="001A3B36" w:rsidRPr="00D869E3">
          <w:rPr>
            <w:webHidden/>
          </w:rPr>
          <w:fldChar w:fldCharType="separate"/>
        </w:r>
        <w:r>
          <w:rPr>
            <w:webHidden/>
          </w:rPr>
          <w:t>27</w:t>
        </w:r>
        <w:r w:rsidR="001A3B36" w:rsidRPr="00D869E3">
          <w:rPr>
            <w:webHidden/>
          </w:rPr>
          <w:fldChar w:fldCharType="end"/>
        </w:r>
      </w:hyperlink>
    </w:p>
    <w:p w14:paraId="0DD58EBF" w14:textId="6B16BD5F" w:rsidR="001A3B36" w:rsidRPr="00D869E3" w:rsidRDefault="0068647C" w:rsidP="00BE5A9F">
      <w:pPr>
        <w:pStyle w:val="TDC1"/>
        <w:rPr>
          <w:rFonts w:eastAsiaTheme="minorEastAsia" w:cstheme="minorBidi"/>
          <w:snapToGrid/>
          <w:lang w:val="en-US"/>
        </w:rPr>
      </w:pPr>
      <w:hyperlink w:anchor="_Toc29114125" w:history="1">
        <w:r w:rsidR="001A3B36" w:rsidRPr="00D869E3">
          <w:rPr>
            <w:rStyle w:val="Hipervnculo"/>
            <w:rFonts w:cs="Verdana"/>
            <w:sz w:val="18"/>
            <w:szCs w:val="18"/>
            <w:lang w:val="en-US"/>
          </w:rPr>
          <w:t>(ARTICLES 13, 8, 26, 16, 1(1) and 2 of the AMERICAN CONVENTION)</w:t>
        </w:r>
        <w:r w:rsidR="001A3B36" w:rsidRPr="00D869E3">
          <w:rPr>
            <w:webHidden/>
          </w:rPr>
          <w:tab/>
        </w:r>
        <w:r w:rsidR="001A3B36" w:rsidRPr="00D869E3">
          <w:rPr>
            <w:webHidden/>
          </w:rPr>
          <w:fldChar w:fldCharType="begin"/>
        </w:r>
        <w:r w:rsidR="001A3B36" w:rsidRPr="00D869E3">
          <w:rPr>
            <w:webHidden/>
          </w:rPr>
          <w:instrText xml:space="preserve"> PAGEREF _Toc29114125 \h </w:instrText>
        </w:r>
        <w:r w:rsidR="001A3B36" w:rsidRPr="00D869E3">
          <w:rPr>
            <w:webHidden/>
          </w:rPr>
        </w:r>
        <w:r w:rsidR="001A3B36" w:rsidRPr="00D869E3">
          <w:rPr>
            <w:webHidden/>
          </w:rPr>
          <w:fldChar w:fldCharType="separate"/>
        </w:r>
        <w:r>
          <w:rPr>
            <w:webHidden/>
          </w:rPr>
          <w:t>27</w:t>
        </w:r>
        <w:r w:rsidR="001A3B36" w:rsidRPr="00D869E3">
          <w:rPr>
            <w:webHidden/>
          </w:rPr>
          <w:fldChar w:fldCharType="end"/>
        </w:r>
      </w:hyperlink>
    </w:p>
    <w:p w14:paraId="54D1F5C0" w14:textId="5FA91730"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26" w:history="1">
        <w:r w:rsidR="001A3B36" w:rsidRPr="00D869E3">
          <w:rPr>
            <w:rStyle w:val="Hipervnculo"/>
            <w:rFonts w:ascii="Verdana"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Arguments of the parties and of the Commission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27</w:t>
        </w:r>
        <w:r w:rsidR="001A3B36" w:rsidRPr="00D869E3">
          <w:rPr>
            <w:rFonts w:ascii="Verdana" w:hAnsi="Verdana"/>
            <w:noProof/>
            <w:webHidden/>
            <w:sz w:val="18"/>
            <w:szCs w:val="18"/>
          </w:rPr>
          <w:fldChar w:fldCharType="end"/>
        </w:r>
      </w:hyperlink>
    </w:p>
    <w:p w14:paraId="15CDA1B7" w14:textId="0AF26797"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27" w:history="1">
        <w:r w:rsidR="001A3B36" w:rsidRPr="00D869E3">
          <w:rPr>
            <w:rStyle w:val="Hipervnculo"/>
            <w:rFonts w:ascii="Verdana" w:hAnsi="Verdana"/>
            <w:i/>
            <w:iCs/>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iCs/>
            <w:noProof/>
            <w:sz w:val="18"/>
            <w:szCs w:val="18"/>
            <w:lang w:val="en-US"/>
          </w:rPr>
          <w:t>Freedom of expression and the right to a fair trial</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_Toc29114127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27</w:t>
        </w:r>
        <w:r w:rsidR="001A3B36" w:rsidRPr="00D869E3">
          <w:rPr>
            <w:rFonts w:ascii="Verdana" w:hAnsi="Verdana"/>
            <w:noProof/>
            <w:webHidden/>
            <w:sz w:val="18"/>
            <w:szCs w:val="18"/>
          </w:rPr>
          <w:fldChar w:fldCharType="end"/>
        </w:r>
      </w:hyperlink>
    </w:p>
    <w:p w14:paraId="0CC1B097" w14:textId="1E3AA0BE"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28" w:history="1">
        <w:r w:rsidR="001A3B36" w:rsidRPr="00D869E3">
          <w:rPr>
            <w:rStyle w:val="Hipervnculo"/>
            <w:rFonts w:ascii="Verdana" w:hAnsi="Verdana"/>
            <w:i/>
            <w:iCs/>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iCs/>
            <w:noProof/>
            <w:sz w:val="18"/>
            <w:szCs w:val="18"/>
            <w:lang w:val="en-US"/>
          </w:rPr>
          <w:t>Freedom of association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29</w:t>
        </w:r>
        <w:r w:rsidR="001A3B36" w:rsidRPr="00D869E3">
          <w:rPr>
            <w:rFonts w:ascii="Verdana" w:hAnsi="Verdana"/>
            <w:noProof/>
            <w:webHidden/>
            <w:sz w:val="18"/>
            <w:szCs w:val="18"/>
          </w:rPr>
          <w:fldChar w:fldCharType="end"/>
        </w:r>
      </w:hyperlink>
    </w:p>
    <w:p w14:paraId="7DA052CA" w14:textId="79E71A9E"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29" w:history="1">
        <w:r w:rsidR="001A3B36" w:rsidRPr="00D869E3">
          <w:rPr>
            <w:rStyle w:val="Hipervnculo"/>
            <w:rFonts w:ascii="Verdana" w:hAnsi="Verdana"/>
            <w:i/>
            <w:iCs/>
            <w:noProof/>
            <w:sz w:val="18"/>
            <w:szCs w:val="18"/>
            <w:lang w:val="en-US"/>
          </w:rPr>
          <w:t>3.</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iCs/>
            <w:noProof/>
            <w:sz w:val="18"/>
            <w:szCs w:val="18"/>
            <w:lang w:val="en-US"/>
          </w:rPr>
          <w:t>Domestic legal effects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_Toc29114129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29</w:t>
        </w:r>
        <w:r w:rsidR="001A3B36" w:rsidRPr="00D869E3">
          <w:rPr>
            <w:rFonts w:ascii="Verdana" w:hAnsi="Verdana"/>
            <w:noProof/>
            <w:webHidden/>
            <w:sz w:val="18"/>
            <w:szCs w:val="18"/>
          </w:rPr>
          <w:fldChar w:fldCharType="end"/>
        </w:r>
      </w:hyperlink>
    </w:p>
    <w:p w14:paraId="0A950998" w14:textId="220F7C9C"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30" w:history="1">
        <w:r w:rsidR="001A3B36" w:rsidRPr="00D869E3">
          <w:rPr>
            <w:rStyle w:val="Hipervnculo"/>
            <w:rFonts w:ascii="Verdana" w:hAnsi="Verdana"/>
            <w:i/>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Considerations of the Court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_Toc29114130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30</w:t>
        </w:r>
        <w:r w:rsidR="001A3B36" w:rsidRPr="00D869E3">
          <w:rPr>
            <w:rFonts w:ascii="Verdana" w:hAnsi="Verdana"/>
            <w:noProof/>
            <w:webHidden/>
            <w:sz w:val="18"/>
            <w:szCs w:val="18"/>
          </w:rPr>
          <w:fldChar w:fldCharType="end"/>
        </w:r>
      </w:hyperlink>
    </w:p>
    <w:p w14:paraId="129DC997" w14:textId="06F35447"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1"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Freedom of expression and judicial guarantees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_Toc29114131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30</w:t>
        </w:r>
        <w:r w:rsidR="001A3B36" w:rsidRPr="00D869E3">
          <w:rPr>
            <w:rFonts w:ascii="Verdana" w:hAnsi="Verdana"/>
            <w:noProof/>
            <w:webHidden/>
            <w:sz w:val="18"/>
            <w:szCs w:val="18"/>
          </w:rPr>
          <w:fldChar w:fldCharType="end"/>
        </w:r>
      </w:hyperlink>
    </w:p>
    <w:p w14:paraId="4A4B5044" w14:textId="2E47E65A"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2" w:history="1">
        <w:r w:rsidR="001A3B36" w:rsidRPr="00D869E3">
          <w:rPr>
            <w:rStyle w:val="Hipervnculo"/>
            <w:rFonts w:ascii="Verdana" w:hAnsi="Verdana"/>
            <w:i/>
            <w:noProof/>
            <w:sz w:val="18"/>
            <w:szCs w:val="18"/>
            <w:lang w:val="en-US"/>
          </w:rPr>
          <w:t>1.1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Freedom of expression in labor contexts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_Toc29114132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30</w:t>
        </w:r>
        <w:r w:rsidR="001A3B36" w:rsidRPr="00D869E3">
          <w:rPr>
            <w:rFonts w:ascii="Verdana" w:hAnsi="Verdana"/>
            <w:noProof/>
            <w:webHidden/>
            <w:sz w:val="18"/>
            <w:szCs w:val="18"/>
          </w:rPr>
          <w:fldChar w:fldCharType="end"/>
        </w:r>
      </w:hyperlink>
    </w:p>
    <w:p w14:paraId="46531333" w14:textId="62730509"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3" w:history="1">
        <w:r w:rsidR="001A3B36" w:rsidRPr="00D869E3">
          <w:rPr>
            <w:rStyle w:val="Hipervnculo"/>
            <w:rFonts w:ascii="Verdana" w:hAnsi="Verdana"/>
            <w:i/>
            <w:noProof/>
            <w:sz w:val="18"/>
            <w:szCs w:val="18"/>
            <w:lang w:val="en-US"/>
          </w:rPr>
          <w:t>1.2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Analysis of the necessity and reasonableness of the restriction in this case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_Toc29114133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32</w:t>
        </w:r>
        <w:r w:rsidR="001A3B36" w:rsidRPr="00D869E3">
          <w:rPr>
            <w:rFonts w:ascii="Verdana" w:hAnsi="Verdana"/>
            <w:noProof/>
            <w:webHidden/>
            <w:sz w:val="18"/>
            <w:szCs w:val="18"/>
          </w:rPr>
          <w:fldChar w:fldCharType="end"/>
        </w:r>
      </w:hyperlink>
    </w:p>
    <w:p w14:paraId="7C1464D7" w14:textId="7CD41774"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4" w:history="1">
        <w:r w:rsidR="001A3B36" w:rsidRPr="00D869E3">
          <w:rPr>
            <w:rStyle w:val="Hipervnculo"/>
            <w:rFonts w:ascii="Verdana" w:hAnsi="Verdana"/>
            <w:i/>
            <w:noProof/>
            <w:sz w:val="18"/>
            <w:szCs w:val="18"/>
            <w:lang w:val="en-US"/>
          </w:rPr>
          <w:t>1.2.1 Classification of Mr. Lagos del Campo’s statements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_Toc29114134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34</w:t>
        </w:r>
        <w:r w:rsidR="001A3B36" w:rsidRPr="00D869E3">
          <w:rPr>
            <w:rFonts w:ascii="Verdana" w:hAnsi="Verdana"/>
            <w:noProof/>
            <w:webHidden/>
            <w:sz w:val="18"/>
            <w:szCs w:val="18"/>
          </w:rPr>
          <w:fldChar w:fldCharType="end"/>
        </w:r>
      </w:hyperlink>
    </w:p>
    <w:p w14:paraId="356D79BA" w14:textId="364800B4"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5" w:history="1">
        <w:r w:rsidR="001A3B36" w:rsidRPr="00D869E3">
          <w:rPr>
            <w:rStyle w:val="Hipervnculo"/>
            <w:rFonts w:ascii="Verdana" w:hAnsi="Verdana"/>
            <w:i/>
            <w:noProof/>
            <w:sz w:val="18"/>
            <w:szCs w:val="18"/>
            <w:lang w:val="en-US"/>
          </w:rPr>
          <w:t>1.2.2. Legality and purpose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_Toc29114135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38</w:t>
        </w:r>
        <w:r w:rsidR="001A3B36" w:rsidRPr="00D869E3">
          <w:rPr>
            <w:rFonts w:ascii="Verdana" w:hAnsi="Verdana"/>
            <w:noProof/>
            <w:webHidden/>
            <w:sz w:val="18"/>
            <w:szCs w:val="18"/>
          </w:rPr>
          <w:fldChar w:fldCharType="end"/>
        </w:r>
      </w:hyperlink>
    </w:p>
    <w:p w14:paraId="43E3A485" w14:textId="2525B59D"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6" w:history="1">
        <w:r w:rsidR="001A3B36" w:rsidRPr="00D869E3">
          <w:rPr>
            <w:rStyle w:val="Hipervnculo"/>
            <w:rFonts w:ascii="Verdana" w:hAnsi="Verdana"/>
            <w:i/>
            <w:noProof/>
            <w:sz w:val="18"/>
            <w:szCs w:val="18"/>
            <w:lang w:val="en-US"/>
          </w:rPr>
          <w:t>1.2.3. Necessity for the restriction and obligation to state reasons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39</w:t>
        </w:r>
        <w:r w:rsidR="001A3B36" w:rsidRPr="00D869E3">
          <w:rPr>
            <w:rFonts w:ascii="Verdana" w:hAnsi="Verdana"/>
            <w:noProof/>
            <w:webHidden/>
            <w:sz w:val="18"/>
            <w:szCs w:val="18"/>
          </w:rPr>
          <w:fldChar w:fldCharType="end"/>
        </w:r>
      </w:hyperlink>
    </w:p>
    <w:p w14:paraId="0F2B54E4" w14:textId="64F0AFF4"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7" w:history="1">
        <w:r w:rsidR="001A3B36" w:rsidRPr="00D869E3">
          <w:rPr>
            <w:rStyle w:val="Hipervnculo"/>
            <w:rFonts w:ascii="Verdana" w:hAnsi="Verdana"/>
            <w:i/>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Violation of job security</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_Toc29114137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41</w:t>
        </w:r>
        <w:r w:rsidR="001A3B36" w:rsidRPr="00D869E3">
          <w:rPr>
            <w:rFonts w:ascii="Verdana" w:hAnsi="Verdana"/>
            <w:noProof/>
            <w:webHidden/>
            <w:sz w:val="18"/>
            <w:szCs w:val="18"/>
          </w:rPr>
          <w:fldChar w:fldCharType="end"/>
        </w:r>
      </w:hyperlink>
    </w:p>
    <w:p w14:paraId="0C6468C0" w14:textId="55150831"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8" w:history="1">
        <w:r w:rsidR="001A3B36" w:rsidRPr="00D869E3">
          <w:rPr>
            <w:rStyle w:val="Hipervnculo"/>
            <w:rFonts w:ascii="Verdana" w:hAnsi="Verdana"/>
            <w:i/>
            <w:noProof/>
            <w:sz w:val="18"/>
            <w:szCs w:val="18"/>
            <w:lang w:val="en-US"/>
          </w:rPr>
          <w:t>2.1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Arguments on labor rights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41</w:t>
        </w:r>
        <w:r w:rsidR="001A3B36" w:rsidRPr="00D869E3">
          <w:rPr>
            <w:rFonts w:ascii="Verdana" w:hAnsi="Verdana"/>
            <w:noProof/>
            <w:webHidden/>
            <w:sz w:val="18"/>
            <w:szCs w:val="18"/>
          </w:rPr>
          <w:fldChar w:fldCharType="end"/>
        </w:r>
      </w:hyperlink>
    </w:p>
    <w:p w14:paraId="031350E4" w14:textId="3D4C244B"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39" w:history="1">
        <w:r w:rsidR="001A3B36" w:rsidRPr="00D869E3">
          <w:rPr>
            <w:rStyle w:val="Hipervnculo"/>
            <w:rFonts w:ascii="Verdana" w:hAnsi="Verdana"/>
            <w:i/>
            <w:noProof/>
            <w:sz w:val="18"/>
            <w:szCs w:val="18"/>
            <w:lang w:val="en-US"/>
          </w:rPr>
          <w:t>2.2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The right to job security as a protected right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_Toc29114139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45</w:t>
        </w:r>
        <w:r w:rsidR="001A3B36" w:rsidRPr="00D869E3">
          <w:rPr>
            <w:rFonts w:ascii="Verdana" w:hAnsi="Verdana"/>
            <w:noProof/>
            <w:webHidden/>
            <w:sz w:val="18"/>
            <w:szCs w:val="18"/>
          </w:rPr>
          <w:fldChar w:fldCharType="end"/>
        </w:r>
      </w:hyperlink>
    </w:p>
    <w:p w14:paraId="1712E4B7" w14:textId="3746974E"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40" w:history="1">
        <w:r w:rsidR="001A3B36" w:rsidRPr="00D869E3">
          <w:rPr>
            <w:rStyle w:val="Hipervnculo"/>
            <w:rFonts w:ascii="Verdana" w:hAnsi="Verdana"/>
            <w:i/>
            <w:noProof/>
            <w:sz w:val="18"/>
            <w:szCs w:val="18"/>
            <w:lang w:val="en-US"/>
          </w:rPr>
          <w:t>3.</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Violations of freedom of association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_Toc29114140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50</w:t>
        </w:r>
        <w:r w:rsidR="001A3B36" w:rsidRPr="00D869E3">
          <w:rPr>
            <w:rFonts w:ascii="Verdana" w:hAnsi="Verdana"/>
            <w:noProof/>
            <w:webHidden/>
            <w:sz w:val="18"/>
            <w:szCs w:val="18"/>
          </w:rPr>
          <w:fldChar w:fldCharType="end"/>
        </w:r>
      </w:hyperlink>
    </w:p>
    <w:p w14:paraId="4ADD0890" w14:textId="450DB943"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41" w:history="1">
        <w:r w:rsidR="001A3B36" w:rsidRPr="00D869E3">
          <w:rPr>
            <w:rStyle w:val="Hipervnculo"/>
            <w:rFonts w:ascii="Verdana" w:hAnsi="Verdana"/>
            <w:i/>
            <w:noProof/>
            <w:sz w:val="18"/>
            <w:szCs w:val="18"/>
            <w:lang w:val="en-US"/>
          </w:rPr>
          <w:t>4.</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Domestic legal effects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_Toc29114141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52</w:t>
        </w:r>
        <w:r w:rsidR="001A3B36" w:rsidRPr="00D869E3">
          <w:rPr>
            <w:rFonts w:ascii="Verdana" w:hAnsi="Verdana"/>
            <w:noProof/>
            <w:webHidden/>
            <w:sz w:val="18"/>
            <w:szCs w:val="18"/>
          </w:rPr>
          <w:fldChar w:fldCharType="end"/>
        </w:r>
      </w:hyperlink>
    </w:p>
    <w:p w14:paraId="1C9E631E" w14:textId="35F729A5"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42" w:history="1">
        <w:r w:rsidR="001A3B36" w:rsidRPr="00D869E3">
          <w:rPr>
            <w:rStyle w:val="Hipervnculo"/>
            <w:rFonts w:ascii="Verdana" w:hAnsi="Verdana"/>
            <w:i/>
            <w:noProof/>
            <w:sz w:val="18"/>
            <w:szCs w:val="18"/>
            <w:lang w:val="en-US"/>
          </w:rPr>
          <w:t>5.</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General conclusion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_Toc29114142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52</w:t>
        </w:r>
        <w:r w:rsidR="001A3B36" w:rsidRPr="00D869E3">
          <w:rPr>
            <w:rFonts w:ascii="Verdana" w:hAnsi="Verdana"/>
            <w:noProof/>
            <w:webHidden/>
            <w:sz w:val="18"/>
            <w:szCs w:val="18"/>
          </w:rPr>
          <w:fldChar w:fldCharType="end"/>
        </w:r>
      </w:hyperlink>
    </w:p>
    <w:p w14:paraId="034D3178" w14:textId="7BAF5A0C" w:rsidR="001A3B36" w:rsidRPr="00D869E3" w:rsidRDefault="0068647C" w:rsidP="00BE5A9F">
      <w:pPr>
        <w:pStyle w:val="TDC1"/>
        <w:rPr>
          <w:rFonts w:eastAsiaTheme="minorEastAsia" w:cstheme="minorBidi"/>
          <w:snapToGrid/>
          <w:lang w:val="en-US"/>
        </w:rPr>
      </w:pPr>
      <w:hyperlink w:anchor="_Toc29114143" w:history="1">
        <w:r w:rsidR="001A3B36" w:rsidRPr="00D869E3">
          <w:rPr>
            <w:rStyle w:val="Hipervnculo"/>
            <w:rFonts w:cs="Verdana"/>
            <w:sz w:val="18"/>
            <w:szCs w:val="18"/>
            <w:lang w:val="en-US"/>
          </w:rPr>
          <w:t>VII-2</w:t>
        </w:r>
        <w:r w:rsidR="001A3B36" w:rsidRPr="00D869E3">
          <w:rPr>
            <w:webHidden/>
          </w:rPr>
          <w:tab/>
        </w:r>
        <w:r w:rsidR="001A3B36" w:rsidRPr="00D869E3">
          <w:rPr>
            <w:webHidden/>
          </w:rPr>
          <w:fldChar w:fldCharType="begin"/>
        </w:r>
        <w:r w:rsidR="001A3B36" w:rsidRPr="00D869E3">
          <w:rPr>
            <w:webHidden/>
          </w:rPr>
          <w:instrText xml:space="preserve"> PAGEREF _Toc29114143 \h </w:instrText>
        </w:r>
        <w:r w:rsidR="001A3B36" w:rsidRPr="00D869E3">
          <w:rPr>
            <w:webHidden/>
          </w:rPr>
        </w:r>
        <w:r w:rsidR="001A3B36" w:rsidRPr="00D869E3">
          <w:rPr>
            <w:webHidden/>
          </w:rPr>
          <w:fldChar w:fldCharType="separate"/>
        </w:r>
        <w:r>
          <w:rPr>
            <w:webHidden/>
          </w:rPr>
          <w:t>53</w:t>
        </w:r>
        <w:r w:rsidR="001A3B36" w:rsidRPr="00D869E3">
          <w:rPr>
            <w:webHidden/>
          </w:rPr>
          <w:fldChar w:fldCharType="end"/>
        </w:r>
      </w:hyperlink>
    </w:p>
    <w:p w14:paraId="436F8B94" w14:textId="5A90E48F" w:rsidR="001A3B36" w:rsidRPr="00D869E3" w:rsidRDefault="0068647C" w:rsidP="00BE5A9F">
      <w:pPr>
        <w:pStyle w:val="TDC1"/>
        <w:rPr>
          <w:rFonts w:eastAsiaTheme="minorEastAsia" w:cstheme="minorBidi"/>
          <w:snapToGrid/>
          <w:lang w:val="en-US"/>
        </w:rPr>
      </w:pPr>
      <w:hyperlink w:anchor="_Toc29114144" w:history="1">
        <w:r w:rsidR="001A3B36" w:rsidRPr="00D869E3">
          <w:rPr>
            <w:rStyle w:val="Hipervnculo"/>
            <w:rFonts w:cs="Verdana"/>
            <w:sz w:val="18"/>
            <w:szCs w:val="18"/>
            <w:lang w:val="en-US"/>
          </w:rPr>
          <w:t>ACCESS TO JUSTICE</w:t>
        </w:r>
        <w:r w:rsidR="001A3B36" w:rsidRPr="00D869E3">
          <w:rPr>
            <w:webHidden/>
          </w:rPr>
          <w:tab/>
        </w:r>
        <w:r w:rsidR="001A3B36" w:rsidRPr="00D869E3">
          <w:rPr>
            <w:webHidden/>
          </w:rPr>
          <w:fldChar w:fldCharType="begin"/>
        </w:r>
        <w:r w:rsidR="001A3B36" w:rsidRPr="00D869E3">
          <w:rPr>
            <w:webHidden/>
          </w:rPr>
          <w:instrText xml:space="preserve"> PAGEREF _Toc29114144 \h </w:instrText>
        </w:r>
        <w:r w:rsidR="001A3B36" w:rsidRPr="00D869E3">
          <w:rPr>
            <w:webHidden/>
          </w:rPr>
        </w:r>
        <w:r w:rsidR="001A3B36" w:rsidRPr="00D869E3">
          <w:rPr>
            <w:webHidden/>
          </w:rPr>
          <w:fldChar w:fldCharType="separate"/>
        </w:r>
        <w:r>
          <w:rPr>
            <w:webHidden/>
          </w:rPr>
          <w:t>53</w:t>
        </w:r>
        <w:r w:rsidR="001A3B36" w:rsidRPr="00D869E3">
          <w:rPr>
            <w:webHidden/>
          </w:rPr>
          <w:fldChar w:fldCharType="end"/>
        </w:r>
      </w:hyperlink>
    </w:p>
    <w:p w14:paraId="294A9572" w14:textId="3CE6CA10" w:rsidR="001A3B36" w:rsidRPr="00D869E3" w:rsidRDefault="0068647C" w:rsidP="00BE5A9F">
      <w:pPr>
        <w:pStyle w:val="TDC1"/>
        <w:rPr>
          <w:rFonts w:eastAsiaTheme="minorEastAsia" w:cstheme="minorBidi"/>
          <w:snapToGrid/>
          <w:lang w:val="en-US"/>
        </w:rPr>
      </w:pPr>
      <w:hyperlink w:anchor="_Toc29114145" w:history="1">
        <w:r w:rsidR="001A3B36" w:rsidRPr="00D869E3">
          <w:rPr>
            <w:rStyle w:val="Hipervnculo"/>
            <w:rFonts w:cs="Verdana"/>
            <w:sz w:val="18"/>
            <w:szCs w:val="18"/>
            <w:lang w:val="en-US"/>
          </w:rPr>
          <w:t>(ARTICLES 8 and 25 OF THE AMERICAN CONVENTIONA)</w:t>
        </w:r>
        <w:r w:rsidR="001A3B36" w:rsidRPr="00D869E3">
          <w:rPr>
            <w:webHidden/>
          </w:rPr>
          <w:tab/>
        </w:r>
        <w:r w:rsidR="001A3B36" w:rsidRPr="00D869E3">
          <w:rPr>
            <w:webHidden/>
          </w:rPr>
          <w:fldChar w:fldCharType="begin"/>
        </w:r>
        <w:r w:rsidR="001A3B36" w:rsidRPr="00D869E3">
          <w:rPr>
            <w:webHidden/>
          </w:rPr>
          <w:instrText xml:space="preserve"> PAGEREF _Toc29114145 \h </w:instrText>
        </w:r>
        <w:r w:rsidR="001A3B36" w:rsidRPr="00D869E3">
          <w:rPr>
            <w:webHidden/>
          </w:rPr>
        </w:r>
        <w:r w:rsidR="001A3B36" w:rsidRPr="00D869E3">
          <w:rPr>
            <w:webHidden/>
          </w:rPr>
          <w:fldChar w:fldCharType="separate"/>
        </w:r>
        <w:r>
          <w:rPr>
            <w:webHidden/>
          </w:rPr>
          <w:t>53</w:t>
        </w:r>
        <w:r w:rsidR="001A3B36" w:rsidRPr="00D869E3">
          <w:rPr>
            <w:webHidden/>
          </w:rPr>
          <w:fldChar w:fldCharType="end"/>
        </w:r>
      </w:hyperlink>
    </w:p>
    <w:p w14:paraId="2D53F761" w14:textId="1F34E043"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46" w:history="1">
        <w:r w:rsidR="001A3B36" w:rsidRPr="00D869E3">
          <w:rPr>
            <w:rStyle w:val="Hipervnculo"/>
            <w:rFonts w:ascii="Verdana"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Arguments of the parties and of the Commission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53</w:t>
        </w:r>
        <w:r w:rsidR="001A3B36" w:rsidRPr="00D869E3">
          <w:rPr>
            <w:rFonts w:ascii="Verdana" w:hAnsi="Verdana"/>
            <w:noProof/>
            <w:webHidden/>
            <w:sz w:val="18"/>
            <w:szCs w:val="18"/>
          </w:rPr>
          <w:fldChar w:fldCharType="end"/>
        </w:r>
      </w:hyperlink>
    </w:p>
    <w:p w14:paraId="09460A3A" w14:textId="7F23CCC8"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47" w:history="1">
        <w:r w:rsidR="001A3B36" w:rsidRPr="00D869E3">
          <w:rPr>
            <w:rStyle w:val="Hipervnculo"/>
            <w:rFonts w:ascii="Verdana" w:hAnsi="Verdana"/>
            <w:i/>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Considerations of the Court</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_Toc29114147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54</w:t>
        </w:r>
        <w:r w:rsidR="001A3B36" w:rsidRPr="00D869E3">
          <w:rPr>
            <w:rFonts w:ascii="Verdana" w:hAnsi="Verdana"/>
            <w:noProof/>
            <w:webHidden/>
            <w:sz w:val="18"/>
            <w:szCs w:val="18"/>
          </w:rPr>
          <w:fldChar w:fldCharType="end"/>
        </w:r>
      </w:hyperlink>
    </w:p>
    <w:p w14:paraId="5F02F935" w14:textId="4CCD2AA3"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48"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cs="Verdana"/>
            <w:i/>
            <w:noProof/>
            <w:sz w:val="18"/>
            <w:szCs w:val="18"/>
            <w:lang w:val="en-US" w:eastAsia="es-MX"/>
          </w:rPr>
          <w:t>Access to justice to protect job security as a right recognized in the Constitution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54</w:t>
        </w:r>
        <w:r w:rsidR="001A3B36" w:rsidRPr="00D869E3">
          <w:rPr>
            <w:rFonts w:ascii="Verdana" w:hAnsi="Verdana"/>
            <w:noProof/>
            <w:webHidden/>
            <w:sz w:val="18"/>
            <w:szCs w:val="18"/>
          </w:rPr>
          <w:fldChar w:fldCharType="end"/>
        </w:r>
      </w:hyperlink>
    </w:p>
    <w:p w14:paraId="101F518E" w14:textId="1C91C05F"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49" w:history="1">
        <w:r w:rsidR="001A3B36" w:rsidRPr="00D869E3">
          <w:rPr>
            <w:rStyle w:val="Hipervnculo"/>
            <w:rFonts w:ascii="Verdana" w:hAnsi="Verdana"/>
            <w:i/>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Conclusion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_Toc29114149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58</w:t>
        </w:r>
        <w:r w:rsidR="001A3B36" w:rsidRPr="00D869E3">
          <w:rPr>
            <w:rFonts w:ascii="Verdana" w:hAnsi="Verdana"/>
            <w:noProof/>
            <w:webHidden/>
            <w:sz w:val="18"/>
            <w:szCs w:val="18"/>
          </w:rPr>
          <w:fldChar w:fldCharType="end"/>
        </w:r>
      </w:hyperlink>
    </w:p>
    <w:p w14:paraId="1C886C43" w14:textId="3DD600E0" w:rsidR="001A3B36" w:rsidRPr="00D869E3" w:rsidRDefault="0068647C" w:rsidP="00BE5A9F">
      <w:pPr>
        <w:pStyle w:val="TDC1"/>
        <w:rPr>
          <w:rFonts w:eastAsiaTheme="minorEastAsia" w:cstheme="minorBidi"/>
          <w:snapToGrid/>
          <w:lang w:val="en-US"/>
        </w:rPr>
      </w:pPr>
      <w:hyperlink w:anchor="_Toc29114150" w:history="1">
        <w:r w:rsidR="001A3B36" w:rsidRPr="00D869E3">
          <w:rPr>
            <w:rStyle w:val="Hipervnculo"/>
            <w:rFonts w:cs="Verdana"/>
            <w:sz w:val="18"/>
            <w:szCs w:val="18"/>
            <w:lang w:val="en-US"/>
          </w:rPr>
          <w:t>VIII</w:t>
        </w:r>
        <w:r w:rsidR="001A3B36" w:rsidRPr="00D869E3">
          <w:rPr>
            <w:webHidden/>
          </w:rPr>
          <w:tab/>
        </w:r>
        <w:r w:rsidR="001A3B36" w:rsidRPr="00D869E3">
          <w:rPr>
            <w:webHidden/>
          </w:rPr>
          <w:fldChar w:fldCharType="begin"/>
        </w:r>
        <w:r w:rsidR="001A3B36" w:rsidRPr="00D869E3">
          <w:rPr>
            <w:webHidden/>
          </w:rPr>
          <w:instrText xml:space="preserve"> PAGEREF _Toc29114150 \h </w:instrText>
        </w:r>
        <w:r w:rsidR="001A3B36" w:rsidRPr="00D869E3">
          <w:rPr>
            <w:webHidden/>
          </w:rPr>
        </w:r>
        <w:r w:rsidR="001A3B36" w:rsidRPr="00D869E3">
          <w:rPr>
            <w:webHidden/>
          </w:rPr>
          <w:fldChar w:fldCharType="separate"/>
        </w:r>
        <w:r>
          <w:rPr>
            <w:webHidden/>
          </w:rPr>
          <w:t>59</w:t>
        </w:r>
        <w:r w:rsidR="001A3B36" w:rsidRPr="00D869E3">
          <w:rPr>
            <w:webHidden/>
          </w:rPr>
          <w:fldChar w:fldCharType="end"/>
        </w:r>
      </w:hyperlink>
    </w:p>
    <w:p w14:paraId="38ADF83E" w14:textId="678F8908" w:rsidR="001A3B36" w:rsidRPr="00D869E3" w:rsidRDefault="0068647C" w:rsidP="00BE5A9F">
      <w:pPr>
        <w:pStyle w:val="TDC1"/>
        <w:rPr>
          <w:rFonts w:eastAsiaTheme="minorEastAsia" w:cstheme="minorBidi"/>
          <w:snapToGrid/>
          <w:lang w:val="en-US"/>
        </w:rPr>
      </w:pPr>
      <w:hyperlink w:anchor="_Toc29114151" w:history="1">
        <w:r w:rsidR="001A3B36" w:rsidRPr="00D869E3">
          <w:rPr>
            <w:rStyle w:val="Hipervnculo"/>
            <w:rFonts w:cs="Verdana"/>
            <w:sz w:val="18"/>
            <w:szCs w:val="18"/>
            <w:lang w:val="en-US"/>
          </w:rPr>
          <w:t>REPARATIONS</w:t>
        </w:r>
        <w:r w:rsidR="001A3B36" w:rsidRPr="00D869E3">
          <w:rPr>
            <w:webHidden/>
          </w:rPr>
          <w:tab/>
        </w:r>
        <w:r w:rsidR="001A3B36" w:rsidRPr="00D869E3">
          <w:rPr>
            <w:webHidden/>
          </w:rPr>
          <w:fldChar w:fldCharType="begin"/>
        </w:r>
        <w:r w:rsidR="001A3B36" w:rsidRPr="00D869E3">
          <w:rPr>
            <w:webHidden/>
          </w:rPr>
          <w:instrText xml:space="preserve"> PAGEREF _Toc29114151 \h </w:instrText>
        </w:r>
        <w:r w:rsidR="001A3B36" w:rsidRPr="00D869E3">
          <w:rPr>
            <w:webHidden/>
          </w:rPr>
        </w:r>
        <w:r w:rsidR="001A3B36" w:rsidRPr="00D869E3">
          <w:rPr>
            <w:webHidden/>
          </w:rPr>
          <w:fldChar w:fldCharType="separate"/>
        </w:r>
        <w:r>
          <w:rPr>
            <w:webHidden/>
          </w:rPr>
          <w:t>59</w:t>
        </w:r>
        <w:r w:rsidR="001A3B36" w:rsidRPr="00D869E3">
          <w:rPr>
            <w:webHidden/>
          </w:rPr>
          <w:fldChar w:fldCharType="end"/>
        </w:r>
      </w:hyperlink>
    </w:p>
    <w:p w14:paraId="05193B51" w14:textId="09136250" w:rsidR="001A3B36" w:rsidRPr="00D869E3" w:rsidRDefault="0068647C" w:rsidP="00BE5A9F">
      <w:pPr>
        <w:pStyle w:val="TDC1"/>
        <w:rPr>
          <w:rFonts w:eastAsiaTheme="minorEastAsia" w:cstheme="minorBidi"/>
          <w:snapToGrid/>
          <w:lang w:val="en-US"/>
        </w:rPr>
      </w:pPr>
      <w:hyperlink w:anchor="_Toc29114152" w:history="1">
        <w:r w:rsidR="001A3B36" w:rsidRPr="00D869E3">
          <w:rPr>
            <w:rStyle w:val="Hipervnculo"/>
            <w:rFonts w:cs="Verdana"/>
            <w:sz w:val="18"/>
            <w:szCs w:val="18"/>
            <w:lang w:val="en-US"/>
          </w:rPr>
          <w:t>(ApPLICATIOn of Article 63(1) of the American Convention)</w:t>
        </w:r>
        <w:r w:rsidR="001A3B36" w:rsidRPr="00D869E3">
          <w:rPr>
            <w:webHidden/>
          </w:rPr>
          <w:tab/>
        </w:r>
        <w:r w:rsidR="001A3B36" w:rsidRPr="00D869E3">
          <w:rPr>
            <w:webHidden/>
          </w:rPr>
          <w:fldChar w:fldCharType="begin"/>
        </w:r>
        <w:r w:rsidR="001A3B36" w:rsidRPr="00D869E3">
          <w:rPr>
            <w:webHidden/>
          </w:rPr>
          <w:instrText xml:space="preserve"> PAGEREF _Toc29114152 \h </w:instrText>
        </w:r>
        <w:r w:rsidR="001A3B36" w:rsidRPr="00D869E3">
          <w:rPr>
            <w:webHidden/>
          </w:rPr>
        </w:r>
        <w:r w:rsidR="001A3B36" w:rsidRPr="00D869E3">
          <w:rPr>
            <w:webHidden/>
          </w:rPr>
          <w:fldChar w:fldCharType="separate"/>
        </w:r>
        <w:r>
          <w:rPr>
            <w:webHidden/>
          </w:rPr>
          <w:t>59</w:t>
        </w:r>
        <w:r w:rsidR="001A3B36" w:rsidRPr="00D869E3">
          <w:rPr>
            <w:webHidden/>
          </w:rPr>
          <w:fldChar w:fldCharType="end"/>
        </w:r>
      </w:hyperlink>
    </w:p>
    <w:p w14:paraId="34054F45" w14:textId="2CDC4A03"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53" w:history="1">
        <w:r w:rsidR="001A3B36" w:rsidRPr="00D869E3">
          <w:rPr>
            <w:rStyle w:val="Hipervnculo"/>
            <w:rFonts w:ascii="Verdana" w:hAnsi="Verdana"/>
            <w:i/>
            <w:noProof/>
            <w:sz w:val="18"/>
            <w:szCs w:val="18"/>
            <w:lang w:val="en-US"/>
          </w:rPr>
          <w:t>A.</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Injured party</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_Toc29114153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59</w:t>
        </w:r>
        <w:r w:rsidR="001A3B36" w:rsidRPr="00D869E3">
          <w:rPr>
            <w:rFonts w:ascii="Verdana" w:hAnsi="Verdana"/>
            <w:noProof/>
            <w:webHidden/>
            <w:sz w:val="18"/>
            <w:szCs w:val="18"/>
          </w:rPr>
          <w:fldChar w:fldCharType="end"/>
        </w:r>
      </w:hyperlink>
    </w:p>
    <w:p w14:paraId="4ABED06C" w14:textId="756D259A"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54" w:history="1">
        <w:r w:rsidR="001A3B36" w:rsidRPr="00D869E3">
          <w:rPr>
            <w:rStyle w:val="Hipervnculo"/>
            <w:rFonts w:ascii="Verdana" w:hAnsi="Verdana"/>
            <w:i/>
            <w:noProof/>
            <w:sz w:val="18"/>
            <w:szCs w:val="18"/>
            <w:lang w:val="en-US"/>
          </w:rPr>
          <w:t>B.</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Measures of satisfaction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_Toc29114154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60</w:t>
        </w:r>
        <w:r w:rsidR="001A3B36" w:rsidRPr="00D869E3">
          <w:rPr>
            <w:rFonts w:ascii="Verdana" w:hAnsi="Verdana"/>
            <w:noProof/>
            <w:webHidden/>
            <w:sz w:val="18"/>
            <w:szCs w:val="18"/>
          </w:rPr>
          <w:fldChar w:fldCharType="end"/>
        </w:r>
      </w:hyperlink>
    </w:p>
    <w:p w14:paraId="154EAE95" w14:textId="32AD65A0"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55"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Publications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_Toc29114155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60</w:t>
        </w:r>
        <w:r w:rsidR="001A3B36" w:rsidRPr="00D869E3">
          <w:rPr>
            <w:rFonts w:ascii="Verdana" w:hAnsi="Verdana"/>
            <w:noProof/>
            <w:webHidden/>
            <w:sz w:val="18"/>
            <w:szCs w:val="18"/>
          </w:rPr>
          <w:fldChar w:fldCharType="end"/>
        </w:r>
      </w:hyperlink>
    </w:p>
    <w:p w14:paraId="068C3A76" w14:textId="13DF7457"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56" w:history="1">
        <w:r w:rsidR="001A3B36" w:rsidRPr="00D869E3">
          <w:rPr>
            <w:rStyle w:val="Hipervnculo"/>
            <w:rFonts w:ascii="Verdana" w:hAnsi="Verdana"/>
            <w:i/>
            <w:noProof/>
            <w:sz w:val="18"/>
            <w:szCs w:val="18"/>
            <w:lang w:val="en-US"/>
          </w:rPr>
          <w:t>C.</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Other measures requested</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_Toc29114156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60</w:t>
        </w:r>
        <w:r w:rsidR="001A3B36" w:rsidRPr="00D869E3">
          <w:rPr>
            <w:rFonts w:ascii="Verdana" w:hAnsi="Verdana"/>
            <w:noProof/>
            <w:webHidden/>
            <w:sz w:val="18"/>
            <w:szCs w:val="18"/>
          </w:rPr>
          <w:fldChar w:fldCharType="end"/>
        </w:r>
      </w:hyperlink>
    </w:p>
    <w:p w14:paraId="4CAB7A69" w14:textId="684DC91B"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57" w:history="1">
        <w:r w:rsidR="001A3B36" w:rsidRPr="00D869E3">
          <w:rPr>
            <w:rStyle w:val="Hipervnculo"/>
            <w:rFonts w:ascii="Verdana" w:hAnsi="Verdana"/>
            <w:i/>
            <w:noProof/>
            <w:sz w:val="18"/>
            <w:szCs w:val="18"/>
            <w:lang w:val="en-US"/>
          </w:rPr>
          <w:t>D.</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Compensation</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_Toc29114157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62</w:t>
        </w:r>
        <w:r w:rsidR="001A3B36" w:rsidRPr="00D869E3">
          <w:rPr>
            <w:rFonts w:ascii="Verdana" w:hAnsi="Verdana"/>
            <w:noProof/>
            <w:webHidden/>
            <w:sz w:val="18"/>
            <w:szCs w:val="18"/>
          </w:rPr>
          <w:fldChar w:fldCharType="end"/>
        </w:r>
      </w:hyperlink>
    </w:p>
    <w:p w14:paraId="6983FB2A" w14:textId="3C5FACBC"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58" w:history="1">
        <w:r w:rsidR="001A3B36" w:rsidRPr="00D869E3">
          <w:rPr>
            <w:rStyle w:val="Hipervnculo"/>
            <w:rFonts w:ascii="Verdana" w:hAnsi="Verdana"/>
            <w:i/>
            <w:noProof/>
            <w:sz w:val="18"/>
            <w:szCs w:val="18"/>
            <w:lang w:val="en-US"/>
          </w:rPr>
          <w:t>1.</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Pecuniary damage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_Toc29114158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62</w:t>
        </w:r>
        <w:r w:rsidR="001A3B36" w:rsidRPr="00D869E3">
          <w:rPr>
            <w:rFonts w:ascii="Verdana" w:hAnsi="Verdana"/>
            <w:noProof/>
            <w:webHidden/>
            <w:sz w:val="18"/>
            <w:szCs w:val="18"/>
          </w:rPr>
          <w:fldChar w:fldCharType="end"/>
        </w:r>
      </w:hyperlink>
    </w:p>
    <w:p w14:paraId="07475F1D" w14:textId="6CCF0C32" w:rsidR="001A3B36" w:rsidRPr="00D869E3" w:rsidRDefault="0068647C" w:rsidP="00BE5A9F">
      <w:pPr>
        <w:pStyle w:val="TDC3"/>
        <w:tabs>
          <w:tab w:val="clear" w:pos="8828"/>
          <w:tab w:val="right" w:leader="dot" w:pos="8820"/>
        </w:tabs>
        <w:rPr>
          <w:rFonts w:ascii="Verdana" w:eastAsiaTheme="minorEastAsia" w:hAnsi="Verdana" w:cstheme="minorBidi"/>
          <w:noProof/>
          <w:sz w:val="18"/>
          <w:szCs w:val="18"/>
          <w:lang w:val="en-US"/>
        </w:rPr>
      </w:pPr>
      <w:hyperlink w:anchor="_Toc29114159" w:history="1">
        <w:r w:rsidR="001A3B36" w:rsidRPr="00D869E3">
          <w:rPr>
            <w:rStyle w:val="Hipervnculo"/>
            <w:rFonts w:ascii="Verdana" w:hAnsi="Verdana"/>
            <w:i/>
            <w:noProof/>
            <w:sz w:val="18"/>
            <w:szCs w:val="18"/>
            <w:lang w:val="en-US"/>
          </w:rPr>
          <w:t>2.</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Non-pecuniary damage</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_Toc29114159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63</w:t>
        </w:r>
        <w:r w:rsidR="001A3B36" w:rsidRPr="00D869E3">
          <w:rPr>
            <w:rFonts w:ascii="Verdana" w:hAnsi="Verdana"/>
            <w:noProof/>
            <w:webHidden/>
            <w:sz w:val="18"/>
            <w:szCs w:val="18"/>
          </w:rPr>
          <w:fldChar w:fldCharType="end"/>
        </w:r>
      </w:hyperlink>
    </w:p>
    <w:p w14:paraId="5818A1BE" w14:textId="37C1BB85"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60" w:history="1">
        <w:r w:rsidR="001A3B36" w:rsidRPr="00D869E3">
          <w:rPr>
            <w:rStyle w:val="Hipervnculo"/>
            <w:rFonts w:ascii="Verdana" w:hAnsi="Verdana"/>
            <w:i/>
            <w:noProof/>
            <w:sz w:val="18"/>
            <w:szCs w:val="18"/>
            <w:lang w:val="en-US"/>
          </w:rPr>
          <w:t>E.</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Costs and expenses</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_Toc29114160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64</w:t>
        </w:r>
        <w:r w:rsidR="001A3B36" w:rsidRPr="00D869E3">
          <w:rPr>
            <w:rFonts w:ascii="Verdana" w:hAnsi="Verdana"/>
            <w:noProof/>
            <w:webHidden/>
            <w:sz w:val="18"/>
            <w:szCs w:val="18"/>
          </w:rPr>
          <w:fldChar w:fldCharType="end"/>
        </w:r>
      </w:hyperlink>
    </w:p>
    <w:p w14:paraId="4401D76E" w14:textId="2768E49C"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61" w:history="1">
        <w:r w:rsidR="001A3B36" w:rsidRPr="00D869E3">
          <w:rPr>
            <w:rStyle w:val="Hipervnculo"/>
            <w:rFonts w:ascii="Verdana" w:hAnsi="Verdana"/>
            <w:i/>
            <w:noProof/>
            <w:sz w:val="18"/>
            <w:szCs w:val="18"/>
            <w:lang w:val="en-US"/>
          </w:rPr>
          <w:t>F.</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Reimbursement of expenditure to the Victims’ Legal Assistance Fund</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_Toc29114161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65</w:t>
        </w:r>
        <w:r w:rsidR="001A3B36" w:rsidRPr="00D869E3">
          <w:rPr>
            <w:rFonts w:ascii="Verdana" w:hAnsi="Verdana"/>
            <w:noProof/>
            <w:webHidden/>
            <w:sz w:val="18"/>
            <w:szCs w:val="18"/>
          </w:rPr>
          <w:fldChar w:fldCharType="end"/>
        </w:r>
      </w:hyperlink>
    </w:p>
    <w:p w14:paraId="15B275E6" w14:textId="52C309B9" w:rsidR="001A3B36" w:rsidRPr="00D869E3" w:rsidRDefault="0068647C" w:rsidP="00BE5A9F">
      <w:pPr>
        <w:pStyle w:val="TDC2"/>
        <w:tabs>
          <w:tab w:val="right" w:leader="dot" w:pos="8820"/>
        </w:tabs>
        <w:rPr>
          <w:rFonts w:ascii="Verdana" w:eastAsiaTheme="minorEastAsia" w:hAnsi="Verdana" w:cstheme="minorBidi"/>
          <w:noProof/>
          <w:sz w:val="18"/>
          <w:szCs w:val="18"/>
          <w:lang w:val="en-US"/>
        </w:rPr>
      </w:pPr>
      <w:hyperlink w:anchor="_Toc29114162" w:history="1">
        <w:r w:rsidR="001A3B36" w:rsidRPr="00D869E3">
          <w:rPr>
            <w:rStyle w:val="Hipervnculo"/>
            <w:rFonts w:ascii="Verdana" w:hAnsi="Verdana"/>
            <w:i/>
            <w:noProof/>
            <w:sz w:val="18"/>
            <w:szCs w:val="18"/>
            <w:lang w:val="en-US"/>
          </w:rPr>
          <w:t>G.</w:t>
        </w:r>
        <w:r w:rsidR="001A3B36" w:rsidRPr="00D869E3">
          <w:rPr>
            <w:rFonts w:ascii="Verdana" w:eastAsiaTheme="minorEastAsia" w:hAnsi="Verdana" w:cstheme="minorBidi"/>
            <w:noProof/>
            <w:sz w:val="18"/>
            <w:szCs w:val="18"/>
            <w:lang w:val="en-US"/>
          </w:rPr>
          <w:tab/>
        </w:r>
        <w:r w:rsidR="001A3B36" w:rsidRPr="00D869E3">
          <w:rPr>
            <w:rStyle w:val="Hipervnculo"/>
            <w:rFonts w:ascii="Verdana" w:hAnsi="Verdana"/>
            <w:i/>
            <w:noProof/>
            <w:sz w:val="18"/>
            <w:szCs w:val="18"/>
            <w:lang w:val="en-US"/>
          </w:rPr>
          <w:t>Method of complying with the payments ordered</w:t>
        </w:r>
        <w:r w:rsidR="001A3B36" w:rsidRPr="00D869E3">
          <w:rPr>
            <w:rFonts w:ascii="Verdana" w:hAnsi="Verdana"/>
            <w:noProof/>
            <w:webHidden/>
            <w:sz w:val="18"/>
            <w:szCs w:val="18"/>
          </w:rPr>
          <w:tab/>
        </w:r>
        <w:r w:rsidR="001A3B36" w:rsidRPr="00D869E3">
          <w:rPr>
            <w:rFonts w:ascii="Verdana" w:hAnsi="Verdana"/>
            <w:noProof/>
            <w:webHidden/>
            <w:sz w:val="18"/>
            <w:szCs w:val="18"/>
          </w:rPr>
          <w:fldChar w:fldCharType="begin"/>
        </w:r>
        <w:r w:rsidR="001A3B36" w:rsidRPr="00D869E3">
          <w:rPr>
            <w:rFonts w:ascii="Verdana" w:hAnsi="Verdana"/>
            <w:noProof/>
            <w:webHidden/>
            <w:sz w:val="18"/>
            <w:szCs w:val="18"/>
          </w:rPr>
          <w:instrText xml:space="preserve"> PAGEREF _Toc29114162 \h </w:instrText>
        </w:r>
        <w:r w:rsidR="001A3B36" w:rsidRPr="00D869E3">
          <w:rPr>
            <w:rFonts w:ascii="Verdana" w:hAnsi="Verdana"/>
            <w:noProof/>
            <w:webHidden/>
            <w:sz w:val="18"/>
            <w:szCs w:val="18"/>
          </w:rPr>
        </w:r>
        <w:r w:rsidR="001A3B36" w:rsidRPr="00D869E3">
          <w:rPr>
            <w:rFonts w:ascii="Verdana" w:hAnsi="Verdana"/>
            <w:noProof/>
            <w:webHidden/>
            <w:sz w:val="18"/>
            <w:szCs w:val="18"/>
          </w:rPr>
          <w:fldChar w:fldCharType="separate"/>
        </w:r>
        <w:r>
          <w:rPr>
            <w:rFonts w:ascii="Verdana" w:hAnsi="Verdana"/>
            <w:noProof/>
            <w:webHidden/>
            <w:sz w:val="18"/>
            <w:szCs w:val="18"/>
          </w:rPr>
          <w:t>66</w:t>
        </w:r>
        <w:r w:rsidR="001A3B36" w:rsidRPr="00D869E3">
          <w:rPr>
            <w:rFonts w:ascii="Verdana" w:hAnsi="Verdana"/>
            <w:noProof/>
            <w:webHidden/>
            <w:sz w:val="18"/>
            <w:szCs w:val="18"/>
          </w:rPr>
          <w:fldChar w:fldCharType="end"/>
        </w:r>
      </w:hyperlink>
    </w:p>
    <w:p w14:paraId="7A61B159" w14:textId="2E201923" w:rsidR="001A3B36" w:rsidRPr="00D869E3" w:rsidRDefault="0068647C" w:rsidP="00BE5A9F">
      <w:pPr>
        <w:pStyle w:val="TDC1"/>
        <w:rPr>
          <w:rFonts w:eastAsiaTheme="minorEastAsia" w:cstheme="minorBidi"/>
          <w:snapToGrid/>
          <w:lang w:val="en-US"/>
        </w:rPr>
      </w:pPr>
      <w:hyperlink w:anchor="_Toc29114163" w:history="1">
        <w:r w:rsidR="001A3B36" w:rsidRPr="00D869E3">
          <w:rPr>
            <w:rStyle w:val="Hipervnculo"/>
            <w:rFonts w:cs="Verdana"/>
            <w:sz w:val="18"/>
            <w:szCs w:val="18"/>
            <w:lang w:val="en-US"/>
          </w:rPr>
          <w:t>IX OPERATIVE PARAGRAPHS</w:t>
        </w:r>
        <w:r w:rsidR="001A3B36" w:rsidRPr="00D869E3">
          <w:rPr>
            <w:webHidden/>
          </w:rPr>
          <w:tab/>
        </w:r>
        <w:r w:rsidR="001A3B36" w:rsidRPr="00D869E3">
          <w:rPr>
            <w:webHidden/>
          </w:rPr>
          <w:fldChar w:fldCharType="begin"/>
        </w:r>
        <w:r w:rsidR="001A3B36" w:rsidRPr="00D869E3">
          <w:rPr>
            <w:webHidden/>
          </w:rPr>
          <w:instrText xml:space="preserve"> PAGEREF _Toc29114163 \h </w:instrText>
        </w:r>
        <w:r w:rsidR="001A3B36" w:rsidRPr="00D869E3">
          <w:rPr>
            <w:webHidden/>
          </w:rPr>
        </w:r>
        <w:r w:rsidR="001A3B36" w:rsidRPr="00D869E3">
          <w:rPr>
            <w:webHidden/>
          </w:rPr>
          <w:fldChar w:fldCharType="separate"/>
        </w:r>
        <w:r>
          <w:rPr>
            <w:webHidden/>
          </w:rPr>
          <w:t>66</w:t>
        </w:r>
        <w:r w:rsidR="001A3B36" w:rsidRPr="00D869E3">
          <w:rPr>
            <w:webHidden/>
          </w:rPr>
          <w:fldChar w:fldCharType="end"/>
        </w:r>
      </w:hyperlink>
    </w:p>
    <w:p w14:paraId="10DD9766" w14:textId="13BEF210" w:rsidR="001A3B36" w:rsidRPr="00D869E3" w:rsidRDefault="0068647C" w:rsidP="00BE5A9F">
      <w:pPr>
        <w:pStyle w:val="TDC1"/>
        <w:rPr>
          <w:rFonts w:eastAsiaTheme="minorEastAsia" w:cstheme="minorBidi"/>
          <w:snapToGrid/>
          <w:lang w:val="en-US"/>
        </w:rPr>
      </w:pPr>
      <w:hyperlink w:anchor="_Toc29114164" w:history="1"/>
    </w:p>
    <w:p w14:paraId="16A8882A" w14:textId="7136F6F8" w:rsidR="00240326" w:rsidRPr="00D869E3" w:rsidRDefault="006F79F4" w:rsidP="00BE5A9F">
      <w:pPr>
        <w:tabs>
          <w:tab w:val="left" w:pos="0"/>
          <w:tab w:val="left" w:pos="8730"/>
          <w:tab w:val="right" w:leader="dot" w:pos="8789"/>
          <w:tab w:val="right" w:leader="dot" w:pos="8820"/>
          <w:tab w:val="left" w:pos="8931"/>
          <w:tab w:val="left" w:pos="9639"/>
          <w:tab w:val="right" w:leader="dot" w:pos="10065"/>
        </w:tabs>
        <w:ind w:right="815"/>
        <w:jc w:val="both"/>
        <w:rPr>
          <w:rFonts w:ascii="Verdana" w:hAnsi="Verdana" w:cs="Verdana"/>
          <w:b/>
          <w:caps/>
          <w:noProof/>
          <w:snapToGrid w:val="0"/>
          <w:sz w:val="18"/>
          <w:szCs w:val="18"/>
          <w:lang w:val="en-US"/>
        </w:rPr>
      </w:pPr>
      <w:r w:rsidRPr="00D869E3">
        <w:rPr>
          <w:rFonts w:ascii="Verdana" w:hAnsi="Verdana" w:cs="Verdana"/>
          <w:b/>
          <w:caps/>
          <w:noProof/>
          <w:snapToGrid w:val="0"/>
          <w:sz w:val="18"/>
          <w:szCs w:val="18"/>
          <w:lang w:val="en-US"/>
        </w:rPr>
        <w:fldChar w:fldCharType="end"/>
      </w:r>
    </w:p>
    <w:p w14:paraId="29E189B8" w14:textId="77777777" w:rsidR="00240326" w:rsidRPr="00D869E3" w:rsidRDefault="00240326" w:rsidP="00BE5A9F">
      <w:pPr>
        <w:tabs>
          <w:tab w:val="right" w:leader="dot" w:pos="8820"/>
        </w:tabs>
        <w:spacing w:after="200" w:line="276" w:lineRule="auto"/>
        <w:rPr>
          <w:rFonts w:ascii="Verdana" w:hAnsi="Verdana" w:cs="Verdana"/>
          <w:b/>
          <w:caps/>
          <w:noProof/>
          <w:snapToGrid w:val="0"/>
          <w:sz w:val="18"/>
          <w:szCs w:val="18"/>
          <w:lang w:val="en-US"/>
        </w:rPr>
      </w:pPr>
      <w:r w:rsidRPr="00D869E3">
        <w:rPr>
          <w:rFonts w:ascii="Verdana" w:hAnsi="Verdana" w:cs="Verdana"/>
          <w:b/>
          <w:caps/>
          <w:noProof/>
          <w:snapToGrid w:val="0"/>
          <w:sz w:val="18"/>
          <w:szCs w:val="18"/>
          <w:lang w:val="en-US"/>
        </w:rPr>
        <w:br w:type="page"/>
      </w:r>
    </w:p>
    <w:p w14:paraId="4744C2C7" w14:textId="6CAF0827" w:rsidR="006F79F4" w:rsidRPr="00D869E3" w:rsidRDefault="006F79F4" w:rsidP="006F79F4">
      <w:pPr>
        <w:pStyle w:val="Ttulo1"/>
        <w:tabs>
          <w:tab w:val="left" w:pos="851"/>
        </w:tabs>
        <w:spacing w:before="0"/>
        <w:jc w:val="center"/>
        <w:rPr>
          <w:rFonts w:cs="Verdana"/>
          <w:caps/>
          <w:snapToGrid w:val="0"/>
          <w:szCs w:val="20"/>
          <w:lang w:val="en-US"/>
        </w:rPr>
      </w:pPr>
      <w:bookmarkStart w:id="1" w:name="_Toc29114099"/>
      <w:r w:rsidRPr="00D869E3">
        <w:rPr>
          <w:rFonts w:cs="Verdana"/>
          <w:caps/>
          <w:snapToGrid w:val="0"/>
          <w:szCs w:val="20"/>
          <w:lang w:val="en-US"/>
        </w:rPr>
        <w:lastRenderedPageBreak/>
        <w:t>I</w:t>
      </w:r>
      <w:r w:rsidRPr="00D869E3">
        <w:rPr>
          <w:rFonts w:cs="Verdana"/>
          <w:caps/>
          <w:snapToGrid w:val="0"/>
          <w:szCs w:val="20"/>
          <w:lang w:val="en-US"/>
        </w:rPr>
        <w:br/>
      </w:r>
      <w:bookmarkEnd w:id="0"/>
      <w:r w:rsidR="00447C65" w:rsidRPr="00D869E3">
        <w:rPr>
          <w:rFonts w:cs="Verdana"/>
          <w:caps/>
          <w:snapToGrid w:val="0"/>
          <w:szCs w:val="20"/>
          <w:lang w:val="en-US"/>
        </w:rPr>
        <w:t>INTRODUCTION OF THE CASE AND PURPOSE OF THE DISPUTE</w:t>
      </w:r>
      <w:bookmarkEnd w:id="1"/>
    </w:p>
    <w:p w14:paraId="33F120F7" w14:textId="77777777" w:rsidR="006F79F4" w:rsidRPr="00D869E3" w:rsidRDefault="006F79F4" w:rsidP="006F79F4">
      <w:pPr>
        <w:jc w:val="both"/>
        <w:rPr>
          <w:rFonts w:ascii="Verdana" w:hAnsi="Verdana"/>
          <w:sz w:val="20"/>
          <w:szCs w:val="20"/>
          <w:lang w:val="en-US"/>
        </w:rPr>
      </w:pPr>
    </w:p>
    <w:p w14:paraId="5F084C35" w14:textId="73009747" w:rsidR="008C33CE" w:rsidRPr="00D869E3" w:rsidRDefault="00447C65" w:rsidP="00687684">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The case submitted to the Court</w:t>
      </w:r>
      <w:r w:rsidR="006F79F4" w:rsidRPr="00D869E3">
        <w:rPr>
          <w:rFonts w:ascii="Verdana" w:hAnsi="Verdana"/>
          <w:sz w:val="20"/>
          <w:szCs w:val="20"/>
          <w:lang w:val="en-US"/>
        </w:rPr>
        <w:t xml:space="preserve">. </w:t>
      </w:r>
      <w:r w:rsidRPr="00D869E3">
        <w:rPr>
          <w:rFonts w:ascii="Verdana" w:hAnsi="Verdana"/>
          <w:sz w:val="20"/>
          <w:szCs w:val="20"/>
          <w:lang w:val="en-US"/>
        </w:rPr>
        <w:t>On November 28,</w:t>
      </w:r>
      <w:r w:rsidR="006F79F4" w:rsidRPr="00D869E3">
        <w:rPr>
          <w:rFonts w:ascii="Verdana" w:hAnsi="Verdana"/>
          <w:sz w:val="20"/>
          <w:szCs w:val="20"/>
          <w:lang w:val="en-US"/>
        </w:rPr>
        <w:t xml:space="preserve"> 2015</w:t>
      </w:r>
      <w:r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the Inter-American Commission on Human Rights</w:t>
      </w:r>
      <w:r w:rsidR="006F79F4" w:rsidRPr="00D869E3">
        <w:rPr>
          <w:rFonts w:ascii="Verdana" w:hAnsi="Verdana"/>
          <w:sz w:val="20"/>
          <w:szCs w:val="20"/>
          <w:lang w:val="en-US"/>
        </w:rPr>
        <w:t xml:space="preserve">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Commission</w:t>
      </w:r>
      <w:r w:rsidR="0043442C" w:rsidRPr="00D869E3">
        <w:rPr>
          <w:rFonts w:ascii="Verdana" w:hAnsi="Verdana"/>
          <w:sz w:val="20"/>
          <w:szCs w:val="20"/>
          <w:lang w:val="en-US"/>
        </w:rPr>
        <w:t>,</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Inter-American Commission</w:t>
      </w:r>
      <w:r w:rsidR="006436CA" w:rsidRPr="00D869E3">
        <w:rPr>
          <w:rFonts w:ascii="Verdana" w:hAnsi="Verdana"/>
          <w:sz w:val="20"/>
          <w:szCs w:val="20"/>
          <w:lang w:val="en-US"/>
        </w:rPr>
        <w:t>”</w:t>
      </w:r>
      <w:r w:rsidR="000909C0" w:rsidRPr="00D869E3">
        <w:rPr>
          <w:rFonts w:ascii="Verdana" w:hAnsi="Verdana"/>
          <w:sz w:val="20"/>
          <w:szCs w:val="20"/>
          <w:lang w:val="en-US"/>
        </w:rPr>
        <w:t xml:space="preserve"> o</w:t>
      </w:r>
      <w:r w:rsidR="00461EE2" w:rsidRPr="00D869E3">
        <w:rPr>
          <w:rFonts w:ascii="Verdana" w:hAnsi="Verdana"/>
          <w:sz w:val="20"/>
          <w:szCs w:val="20"/>
          <w:lang w:val="en-US"/>
        </w:rPr>
        <w:t xml:space="preserve">r </w:t>
      </w:r>
      <w:r w:rsidR="006436CA" w:rsidRPr="00D869E3">
        <w:rPr>
          <w:rFonts w:ascii="Verdana" w:hAnsi="Verdana"/>
          <w:sz w:val="20"/>
          <w:szCs w:val="20"/>
          <w:lang w:val="en-US"/>
        </w:rPr>
        <w:t>“</w:t>
      </w:r>
      <w:r w:rsidR="00461EE2" w:rsidRPr="00D869E3">
        <w:rPr>
          <w:rFonts w:ascii="Verdana" w:hAnsi="Verdana"/>
          <w:sz w:val="20"/>
          <w:szCs w:val="20"/>
          <w:lang w:val="en-US"/>
        </w:rPr>
        <w:t>the IACHR</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submitted the case of</w:t>
      </w:r>
      <w:r w:rsidR="006F79F4" w:rsidRPr="00D869E3">
        <w:rPr>
          <w:rFonts w:ascii="Verdana" w:hAnsi="Verdana"/>
          <w:sz w:val="20"/>
          <w:szCs w:val="20"/>
          <w:lang w:val="en-US"/>
        </w:rPr>
        <w:t xml:space="preserve"> </w:t>
      </w:r>
      <w:r w:rsidR="006F79F4" w:rsidRPr="00D869E3">
        <w:rPr>
          <w:rFonts w:ascii="Verdana" w:hAnsi="Verdana"/>
          <w:iCs/>
          <w:sz w:val="20"/>
          <w:szCs w:val="20"/>
          <w:lang w:val="en-US"/>
        </w:rPr>
        <w:t>Lagos del Campo</w:t>
      </w:r>
      <w:r w:rsidR="006F79F4" w:rsidRPr="00D869E3">
        <w:rPr>
          <w:rFonts w:ascii="Verdana" w:hAnsi="Verdana"/>
          <w:i/>
          <w:sz w:val="20"/>
          <w:szCs w:val="20"/>
          <w:lang w:val="en-US"/>
        </w:rPr>
        <w:t xml:space="preserve"> </w:t>
      </w:r>
      <w:r w:rsidRPr="00D869E3">
        <w:rPr>
          <w:rFonts w:ascii="Verdana" w:hAnsi="Verdana"/>
          <w:sz w:val="20"/>
          <w:szCs w:val="20"/>
          <w:lang w:val="en-US"/>
        </w:rPr>
        <w:t>versus the Republic of</w:t>
      </w:r>
      <w:r w:rsidR="006F79F4" w:rsidRPr="00D869E3">
        <w:rPr>
          <w:rFonts w:ascii="Verdana" w:hAnsi="Verdana"/>
          <w:sz w:val="20"/>
          <w:szCs w:val="20"/>
          <w:lang w:val="en-US"/>
        </w:rPr>
        <w:t xml:space="preserve"> </w:t>
      </w:r>
      <w:r w:rsidRPr="00D869E3">
        <w:rPr>
          <w:rFonts w:ascii="Verdana" w:hAnsi="Verdana"/>
          <w:sz w:val="20"/>
          <w:szCs w:val="20"/>
          <w:lang w:val="en-US"/>
        </w:rPr>
        <w:t>Peru</w:t>
      </w:r>
      <w:r w:rsidR="006F79F4" w:rsidRPr="00D869E3">
        <w:rPr>
          <w:rFonts w:ascii="Verdana" w:hAnsi="Verdana"/>
          <w:sz w:val="20"/>
          <w:szCs w:val="20"/>
          <w:lang w:val="en-US"/>
        </w:rPr>
        <w:t xml:space="preserve">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State</w:t>
      </w:r>
      <w:r w:rsidR="006436CA" w:rsidRPr="00D869E3">
        <w:rPr>
          <w:rFonts w:ascii="Verdana" w:hAnsi="Verdana"/>
          <w:sz w:val="20"/>
          <w:szCs w:val="20"/>
          <w:lang w:val="en-US"/>
        </w:rPr>
        <w:t>”</w:t>
      </w:r>
      <w:r w:rsidR="006F79F4" w:rsidRPr="00D869E3">
        <w:rPr>
          <w:rFonts w:ascii="Verdana" w:hAnsi="Verdana"/>
          <w:sz w:val="20"/>
          <w:szCs w:val="20"/>
          <w:lang w:val="en-US"/>
        </w:rPr>
        <w:t xml:space="preserve"> o</w:t>
      </w:r>
      <w:r w:rsidRPr="00D869E3">
        <w:rPr>
          <w:rFonts w:ascii="Verdana" w:hAnsi="Verdana"/>
          <w:sz w:val="20"/>
          <w:szCs w:val="20"/>
          <w:lang w:val="en-US"/>
        </w:rPr>
        <w:t>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Peru</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to the jurisdiction of the Inter-American Court</w:t>
      </w:r>
      <w:r w:rsidR="006F79F4" w:rsidRPr="00D869E3">
        <w:rPr>
          <w:rFonts w:ascii="Verdana" w:hAnsi="Verdana"/>
          <w:sz w:val="20"/>
          <w:szCs w:val="20"/>
          <w:lang w:val="en-US"/>
        </w:rPr>
        <w:t xml:space="preserve">. </w:t>
      </w:r>
      <w:r w:rsidRPr="00D869E3">
        <w:rPr>
          <w:rFonts w:ascii="Verdana" w:hAnsi="Verdana"/>
          <w:sz w:val="20"/>
          <w:szCs w:val="20"/>
          <w:lang w:val="en-US"/>
        </w:rPr>
        <w:t>According to the Commission</w:t>
      </w:r>
      <w:r w:rsidR="006F79F4" w:rsidRPr="00D869E3">
        <w:rPr>
          <w:rFonts w:ascii="Verdana" w:hAnsi="Verdana"/>
          <w:sz w:val="20"/>
          <w:szCs w:val="20"/>
          <w:lang w:val="en-US"/>
        </w:rPr>
        <w:t xml:space="preserve">, </w:t>
      </w:r>
      <w:r w:rsidR="00C3448E" w:rsidRPr="00D869E3">
        <w:rPr>
          <w:rFonts w:ascii="Verdana" w:hAnsi="Verdana"/>
          <w:sz w:val="20"/>
          <w:szCs w:val="20"/>
          <w:lang w:val="en-US"/>
        </w:rPr>
        <w:t xml:space="preserve">the case relates to the dismissal of </w:t>
      </w:r>
      <w:r w:rsidR="006F79F4" w:rsidRPr="00D869E3">
        <w:rPr>
          <w:rFonts w:ascii="Verdana" w:hAnsi="Verdana"/>
          <w:sz w:val="20"/>
          <w:szCs w:val="20"/>
          <w:lang w:val="en-US"/>
        </w:rPr>
        <w:t>Alfredo Lagos del Campo (</w:t>
      </w:r>
      <w:r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0043442C" w:rsidRPr="00D869E3">
        <w:rPr>
          <w:rFonts w:ascii="Verdana" w:hAnsi="Verdana"/>
          <w:sz w:val="20"/>
          <w:szCs w:val="20"/>
          <w:lang w:val="en-US"/>
        </w:rPr>
        <w:t xml:space="preserve">Mr. </w:t>
      </w:r>
      <w:r w:rsidR="006F79F4" w:rsidRPr="00D869E3">
        <w:rPr>
          <w:rFonts w:ascii="Verdana" w:hAnsi="Verdana"/>
          <w:sz w:val="20"/>
          <w:szCs w:val="20"/>
          <w:lang w:val="en-US"/>
        </w:rPr>
        <w:t>Lagos del Campo</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00C3448E" w:rsidRPr="00D869E3">
        <w:rPr>
          <w:rFonts w:ascii="Verdana" w:hAnsi="Verdana"/>
          <w:sz w:val="20"/>
          <w:szCs w:val="20"/>
          <w:lang w:val="en-US"/>
        </w:rPr>
        <w:t>on June 26,</w:t>
      </w:r>
      <w:r w:rsidR="006F79F4" w:rsidRPr="00D869E3">
        <w:rPr>
          <w:rFonts w:ascii="Verdana" w:hAnsi="Verdana"/>
          <w:sz w:val="20"/>
          <w:szCs w:val="20"/>
          <w:lang w:val="en-US"/>
        </w:rPr>
        <w:t xml:space="preserve"> 1989</w:t>
      </w:r>
      <w:r w:rsidR="00C3448E" w:rsidRPr="00D869E3">
        <w:rPr>
          <w:rFonts w:ascii="Verdana" w:hAnsi="Verdana"/>
          <w:sz w:val="20"/>
          <w:szCs w:val="20"/>
          <w:lang w:val="en-US"/>
        </w:rPr>
        <w:t xml:space="preserve">, as a result of statements he made as </w:t>
      </w:r>
      <w:r w:rsidR="001B0492" w:rsidRPr="00D869E3">
        <w:rPr>
          <w:rFonts w:ascii="Verdana" w:hAnsi="Verdana"/>
          <w:sz w:val="20"/>
          <w:szCs w:val="20"/>
          <w:lang w:val="en-US"/>
        </w:rPr>
        <w:t>president of the Electoral</w:t>
      </w:r>
      <w:r w:rsidR="00C3448E" w:rsidRPr="00D869E3">
        <w:rPr>
          <w:rFonts w:ascii="Verdana" w:hAnsi="Verdana"/>
          <w:sz w:val="20"/>
          <w:szCs w:val="20"/>
          <w:lang w:val="en-US"/>
        </w:rPr>
        <w:t xml:space="preserve"> </w:t>
      </w:r>
      <w:r w:rsidR="0043442C" w:rsidRPr="00D869E3">
        <w:rPr>
          <w:rFonts w:ascii="Verdana" w:hAnsi="Verdana"/>
          <w:sz w:val="20"/>
          <w:szCs w:val="20"/>
          <w:lang w:val="en-US"/>
        </w:rPr>
        <w:t>C</w:t>
      </w:r>
      <w:r w:rsidR="00C3448E" w:rsidRPr="00D869E3">
        <w:rPr>
          <w:rFonts w:ascii="Verdana" w:hAnsi="Verdana"/>
          <w:sz w:val="20"/>
          <w:szCs w:val="20"/>
          <w:lang w:val="en-US"/>
        </w:rPr>
        <w:t xml:space="preserve">ommittee of the Industrial Community of the </w:t>
      </w:r>
      <w:r w:rsidR="006F79F4" w:rsidRPr="00D869E3">
        <w:rPr>
          <w:rFonts w:ascii="Verdana" w:hAnsi="Verdana"/>
          <w:sz w:val="20"/>
          <w:szCs w:val="20"/>
          <w:lang w:val="en-US"/>
        </w:rPr>
        <w:t>Ceper-Pirelli</w:t>
      </w:r>
      <w:r w:rsidR="00C3448E" w:rsidRPr="00D869E3">
        <w:rPr>
          <w:rFonts w:ascii="Verdana" w:hAnsi="Verdana"/>
          <w:sz w:val="20"/>
          <w:szCs w:val="20"/>
          <w:lang w:val="en-US"/>
        </w:rPr>
        <w:t xml:space="preserve"> company</w:t>
      </w:r>
      <w:r w:rsidR="006F79F4" w:rsidRPr="00D869E3">
        <w:rPr>
          <w:rFonts w:ascii="Verdana" w:hAnsi="Verdana"/>
          <w:sz w:val="20"/>
          <w:szCs w:val="20"/>
          <w:lang w:val="en-US"/>
        </w:rPr>
        <w:t xml:space="preserve">. </w:t>
      </w:r>
      <w:r w:rsidR="00C3448E" w:rsidRPr="00D869E3">
        <w:rPr>
          <w:rFonts w:ascii="Verdana" w:hAnsi="Verdana"/>
          <w:sz w:val="20"/>
          <w:szCs w:val="20"/>
          <w:lang w:val="en-US"/>
        </w:rPr>
        <w:t>According to</w:t>
      </w:r>
      <w:r w:rsidR="006F79F4" w:rsidRPr="00D869E3">
        <w:rPr>
          <w:rFonts w:ascii="Verdana" w:hAnsi="Verdana"/>
          <w:sz w:val="20"/>
          <w:szCs w:val="20"/>
          <w:lang w:val="en-US"/>
        </w:rPr>
        <w:t xml:space="preserve"> </w:t>
      </w:r>
      <w:r w:rsidRPr="00D869E3">
        <w:rPr>
          <w:rFonts w:ascii="Verdana" w:hAnsi="Verdana"/>
          <w:sz w:val="20"/>
          <w:szCs w:val="20"/>
          <w:lang w:val="en-US"/>
        </w:rPr>
        <w:t>the Commission</w:t>
      </w:r>
      <w:r w:rsidR="006F79F4" w:rsidRPr="00D869E3">
        <w:rPr>
          <w:rFonts w:ascii="Verdana" w:hAnsi="Verdana"/>
          <w:sz w:val="20"/>
          <w:szCs w:val="20"/>
          <w:lang w:val="en-US"/>
        </w:rPr>
        <w:t xml:space="preserve">, </w:t>
      </w:r>
      <w:r w:rsidR="00C3448E" w:rsidRPr="00D869E3">
        <w:rPr>
          <w:rFonts w:ascii="Verdana" w:hAnsi="Verdana"/>
          <w:sz w:val="20"/>
          <w:szCs w:val="20"/>
          <w:lang w:val="en-US"/>
        </w:rPr>
        <w:t xml:space="preserve">the purpose of the statements made by Mr. </w:t>
      </w:r>
      <w:r w:rsidR="006F79F4" w:rsidRPr="00D869E3">
        <w:rPr>
          <w:rFonts w:ascii="Verdana" w:hAnsi="Verdana"/>
          <w:sz w:val="20"/>
          <w:szCs w:val="20"/>
          <w:lang w:val="en-US"/>
        </w:rPr>
        <w:t xml:space="preserve">Lagos del Campo </w:t>
      </w:r>
      <w:r w:rsidR="00C3448E" w:rsidRPr="00D869E3">
        <w:rPr>
          <w:rFonts w:ascii="Verdana" w:hAnsi="Verdana"/>
          <w:sz w:val="20"/>
          <w:szCs w:val="20"/>
          <w:lang w:val="en-US"/>
        </w:rPr>
        <w:t xml:space="preserve">was to denounce and call attention to acts of undue interference by the employers in the life of the organizations that represented the company’s workers, and in the elections held within the Comunidad Industrial. The dismissal was confirmed by Peru’s domestic courts. Also, </w:t>
      </w:r>
      <w:r w:rsidR="006436CA" w:rsidRPr="00D869E3">
        <w:rPr>
          <w:rFonts w:ascii="Verdana" w:hAnsi="Verdana"/>
          <w:sz w:val="20"/>
          <w:szCs w:val="20"/>
          <w:lang w:val="en-US"/>
        </w:rPr>
        <w:t>“</w:t>
      </w:r>
      <w:r w:rsidR="00C3448E" w:rsidRPr="00D869E3">
        <w:rPr>
          <w:rFonts w:ascii="Verdana" w:hAnsi="Verdana"/>
          <w:sz w:val="20"/>
          <w:szCs w:val="20"/>
          <w:lang w:val="en-US"/>
        </w:rPr>
        <w:t>[t]he Commission determined that the dismissal of Mr. Lagos del Campo constituted</w:t>
      </w:r>
      <w:r w:rsidR="00687684" w:rsidRPr="00D869E3">
        <w:rPr>
          <w:rFonts w:ascii="Verdana" w:hAnsi="Verdana"/>
          <w:sz w:val="20"/>
          <w:szCs w:val="20"/>
          <w:lang w:val="en-US"/>
        </w:rPr>
        <w:t xml:space="preserve"> arbitrary interference</w:t>
      </w:r>
      <w:r w:rsidR="00C3448E" w:rsidRPr="00D869E3">
        <w:rPr>
          <w:rFonts w:ascii="Verdana" w:hAnsi="Verdana"/>
          <w:sz w:val="20"/>
          <w:szCs w:val="20"/>
          <w:lang w:val="en-US"/>
        </w:rPr>
        <w:t xml:space="preserve"> </w:t>
      </w:r>
      <w:r w:rsidR="00687684" w:rsidRPr="00D869E3">
        <w:rPr>
          <w:rFonts w:ascii="Verdana" w:hAnsi="Verdana"/>
          <w:sz w:val="20"/>
          <w:szCs w:val="20"/>
          <w:lang w:val="en-US"/>
        </w:rPr>
        <w:t xml:space="preserve">in the exercise of the right to freedom of expression […]. </w:t>
      </w:r>
      <w:r w:rsidRPr="00D869E3">
        <w:rPr>
          <w:rFonts w:ascii="Verdana" w:hAnsi="Verdana"/>
          <w:sz w:val="20"/>
          <w:szCs w:val="20"/>
          <w:lang w:val="en-US"/>
        </w:rPr>
        <w:t>The Commission</w:t>
      </w:r>
      <w:r w:rsidR="006F79F4" w:rsidRPr="00D869E3">
        <w:rPr>
          <w:rFonts w:ascii="Verdana" w:hAnsi="Verdana"/>
          <w:sz w:val="20"/>
          <w:szCs w:val="20"/>
          <w:lang w:val="en-US"/>
        </w:rPr>
        <w:t xml:space="preserve"> determin</w:t>
      </w:r>
      <w:r w:rsidR="00687684" w:rsidRPr="00D869E3">
        <w:rPr>
          <w:rFonts w:ascii="Verdana" w:hAnsi="Verdana"/>
          <w:sz w:val="20"/>
          <w:szCs w:val="20"/>
          <w:lang w:val="en-US"/>
        </w:rPr>
        <w:t>ed that the most severe punishment provided for by law was applied with significant effects on the [presumed] victim’s freedom of expression as a leader of workers and on the collective right of workers to receive information on matters that concern them.</w:t>
      </w:r>
      <w:r w:rsidR="006436CA" w:rsidRPr="00D869E3">
        <w:rPr>
          <w:rFonts w:ascii="Verdana" w:hAnsi="Verdana"/>
          <w:sz w:val="20"/>
          <w:szCs w:val="20"/>
          <w:lang w:val="en-US"/>
        </w:rPr>
        <w:t>”</w:t>
      </w:r>
      <w:r w:rsidR="00687684" w:rsidRPr="00D869E3">
        <w:rPr>
          <w:rFonts w:ascii="Verdana" w:hAnsi="Verdana"/>
          <w:sz w:val="20"/>
          <w:szCs w:val="20"/>
          <w:lang w:val="en-US"/>
        </w:rPr>
        <w:t xml:space="preserve"> Lastly, in its Merits Report, the Commission indicated that, in this case, it was necessary to determine whether the State had complied with its duty to guarantee</w:t>
      </w:r>
      <w:r w:rsidR="00D21668" w:rsidRPr="00D869E3">
        <w:rPr>
          <w:rFonts w:ascii="Verdana" w:hAnsi="Verdana"/>
          <w:sz w:val="20"/>
          <w:szCs w:val="20"/>
          <w:lang w:val="en-US"/>
        </w:rPr>
        <w:t xml:space="preserve"> </w:t>
      </w:r>
      <w:r w:rsidR="00687684" w:rsidRPr="00D869E3">
        <w:rPr>
          <w:rFonts w:ascii="Verdana" w:hAnsi="Verdana"/>
          <w:sz w:val="20"/>
          <w:szCs w:val="20"/>
          <w:lang w:val="en-US"/>
        </w:rPr>
        <w:t>the presumed victim’s rights in the context of labor relations, bearing in mind the scope of the rights recognized in</w:t>
      </w:r>
      <w:r w:rsidR="006F79F4" w:rsidRPr="00D869E3">
        <w:rPr>
          <w:rFonts w:ascii="Verdana" w:hAnsi="Verdana"/>
          <w:sz w:val="20"/>
          <w:szCs w:val="20"/>
          <w:lang w:val="en-US"/>
        </w:rPr>
        <w:t xml:space="preserve"> </w:t>
      </w:r>
      <w:r w:rsidRPr="00D869E3">
        <w:rPr>
          <w:rFonts w:ascii="Verdana" w:hAnsi="Verdana"/>
          <w:sz w:val="20"/>
          <w:szCs w:val="20"/>
          <w:lang w:val="en-US"/>
        </w:rPr>
        <w:t>the American Convention</w:t>
      </w:r>
      <w:r w:rsidR="006F79F4" w:rsidRPr="00D869E3">
        <w:rPr>
          <w:rFonts w:ascii="Verdana" w:hAnsi="Verdana"/>
          <w:sz w:val="20"/>
          <w:szCs w:val="20"/>
          <w:lang w:val="en-US"/>
        </w:rPr>
        <w:t>.</w:t>
      </w:r>
    </w:p>
    <w:p w14:paraId="4A7211FF" w14:textId="77777777" w:rsidR="006F79F4" w:rsidRPr="00D869E3" w:rsidRDefault="006F79F4" w:rsidP="00AF7637">
      <w:pPr>
        <w:pStyle w:val="Prrafodelista"/>
        <w:ind w:left="0"/>
        <w:jc w:val="both"/>
        <w:rPr>
          <w:rFonts w:ascii="Verdana" w:hAnsi="Verdana"/>
          <w:sz w:val="20"/>
          <w:szCs w:val="20"/>
          <w:lang w:val="en-US"/>
        </w:rPr>
      </w:pPr>
    </w:p>
    <w:p w14:paraId="686D96E8" w14:textId="79BF540E" w:rsidR="006F79F4" w:rsidRPr="00D869E3" w:rsidRDefault="00687684" w:rsidP="00BB61A6">
      <w:pPr>
        <w:pStyle w:val="Prrafodelista"/>
        <w:numPr>
          <w:ilvl w:val="0"/>
          <w:numId w:val="1"/>
        </w:numPr>
        <w:ind w:left="0" w:firstLine="0"/>
        <w:jc w:val="both"/>
        <w:rPr>
          <w:rFonts w:ascii="Verdana" w:hAnsi="Verdana"/>
          <w:i/>
          <w:sz w:val="20"/>
          <w:szCs w:val="20"/>
          <w:lang w:val="en-US"/>
        </w:rPr>
      </w:pPr>
      <w:r w:rsidRPr="00D869E3">
        <w:rPr>
          <w:rFonts w:ascii="Verdana" w:hAnsi="Verdana"/>
          <w:i/>
          <w:sz w:val="20"/>
          <w:szCs w:val="20"/>
          <w:lang w:val="en-US"/>
        </w:rPr>
        <w:t>Procedure before</w:t>
      </w:r>
      <w:r w:rsidR="006F79F4" w:rsidRPr="00D869E3">
        <w:rPr>
          <w:rFonts w:ascii="Verdana" w:hAnsi="Verdana"/>
          <w:i/>
          <w:sz w:val="20"/>
          <w:szCs w:val="20"/>
          <w:lang w:val="en-US"/>
        </w:rPr>
        <w:t xml:space="preserve"> </w:t>
      </w:r>
      <w:r w:rsidR="00447C65" w:rsidRPr="00D869E3">
        <w:rPr>
          <w:rFonts w:ascii="Verdana" w:hAnsi="Verdana"/>
          <w:i/>
          <w:sz w:val="20"/>
          <w:szCs w:val="20"/>
          <w:lang w:val="en-US"/>
        </w:rPr>
        <w:t>the Commission</w:t>
      </w:r>
      <w:r w:rsidR="006F79F4" w:rsidRPr="00D869E3">
        <w:rPr>
          <w:rFonts w:ascii="Verdana" w:hAnsi="Verdana"/>
          <w:sz w:val="20"/>
          <w:szCs w:val="20"/>
          <w:lang w:val="en-US"/>
        </w:rPr>
        <w:t xml:space="preserve">. </w:t>
      </w:r>
      <w:r w:rsidRPr="00D869E3">
        <w:rPr>
          <w:rFonts w:ascii="Verdana" w:hAnsi="Verdana"/>
          <w:sz w:val="20"/>
          <w:szCs w:val="20"/>
          <w:lang w:val="en-US"/>
        </w:rPr>
        <w:t xml:space="preserve">The procedure before </w:t>
      </w:r>
      <w:r w:rsidR="00447C65" w:rsidRPr="00D869E3">
        <w:rPr>
          <w:rFonts w:ascii="Verdana" w:hAnsi="Verdana"/>
          <w:sz w:val="20"/>
          <w:szCs w:val="20"/>
          <w:lang w:val="en-US"/>
        </w:rPr>
        <w:t>the Commission</w:t>
      </w:r>
      <w:r w:rsidR="006F79F4" w:rsidRPr="00D869E3">
        <w:rPr>
          <w:rFonts w:ascii="Verdana" w:hAnsi="Verdana"/>
          <w:sz w:val="20"/>
          <w:szCs w:val="20"/>
          <w:lang w:val="en-US"/>
        </w:rPr>
        <w:t xml:space="preserve"> </w:t>
      </w:r>
      <w:r w:rsidRPr="00D869E3">
        <w:rPr>
          <w:rFonts w:ascii="Verdana" w:hAnsi="Verdana"/>
          <w:sz w:val="20"/>
          <w:szCs w:val="20"/>
          <w:lang w:val="en-US"/>
        </w:rPr>
        <w:t xml:space="preserve">was as follows: </w:t>
      </w:r>
    </w:p>
    <w:p w14:paraId="3C088BC1" w14:textId="77777777" w:rsidR="00687684" w:rsidRPr="00D869E3" w:rsidRDefault="00687684" w:rsidP="00687684">
      <w:pPr>
        <w:pStyle w:val="Prrafodelista"/>
        <w:ind w:left="0"/>
        <w:jc w:val="both"/>
        <w:rPr>
          <w:rFonts w:ascii="Verdana" w:hAnsi="Verdana"/>
          <w:i/>
          <w:sz w:val="20"/>
          <w:szCs w:val="20"/>
          <w:lang w:val="en-US"/>
        </w:rPr>
      </w:pPr>
    </w:p>
    <w:p w14:paraId="4F433080" w14:textId="290D1B59" w:rsidR="006F79F4" w:rsidRPr="00D869E3" w:rsidRDefault="006F79F4" w:rsidP="00687684">
      <w:pPr>
        <w:pStyle w:val="Prrafodelista"/>
        <w:numPr>
          <w:ilvl w:val="0"/>
          <w:numId w:val="4"/>
        </w:numPr>
        <w:ind w:left="1066" w:hanging="357"/>
        <w:jc w:val="both"/>
        <w:rPr>
          <w:rFonts w:ascii="Verdana" w:hAnsi="Verdana"/>
          <w:sz w:val="18"/>
          <w:szCs w:val="18"/>
          <w:lang w:val="en-US"/>
        </w:rPr>
      </w:pPr>
      <w:r w:rsidRPr="00D869E3">
        <w:rPr>
          <w:rFonts w:ascii="Verdana" w:hAnsi="Verdana"/>
          <w:i/>
          <w:sz w:val="18"/>
          <w:szCs w:val="18"/>
          <w:lang w:val="en-US"/>
        </w:rPr>
        <w:t>Peti</w:t>
      </w:r>
      <w:r w:rsidR="00687684" w:rsidRPr="00D869E3">
        <w:rPr>
          <w:rFonts w:ascii="Verdana" w:hAnsi="Verdana"/>
          <w:i/>
          <w:sz w:val="18"/>
          <w:szCs w:val="18"/>
          <w:lang w:val="en-US"/>
        </w:rPr>
        <w:t>tio</w:t>
      </w:r>
      <w:r w:rsidRPr="00D869E3">
        <w:rPr>
          <w:rFonts w:ascii="Verdana" w:hAnsi="Verdana"/>
          <w:i/>
          <w:sz w:val="18"/>
          <w:szCs w:val="18"/>
          <w:lang w:val="en-US"/>
        </w:rPr>
        <w:t>n</w:t>
      </w:r>
      <w:r w:rsidRPr="00D869E3">
        <w:rPr>
          <w:rFonts w:ascii="Verdana" w:hAnsi="Verdana"/>
          <w:sz w:val="18"/>
          <w:szCs w:val="18"/>
          <w:lang w:val="en-US"/>
        </w:rPr>
        <w:t xml:space="preserve">. </w:t>
      </w:r>
      <w:r w:rsidR="00687684" w:rsidRPr="00D869E3">
        <w:rPr>
          <w:rFonts w:ascii="Verdana" w:hAnsi="Verdana"/>
          <w:sz w:val="18"/>
          <w:szCs w:val="18"/>
          <w:lang w:val="en-US"/>
        </w:rPr>
        <w:t>On</w:t>
      </w:r>
      <w:r w:rsidRPr="00D869E3">
        <w:rPr>
          <w:rFonts w:ascii="Verdana" w:hAnsi="Verdana"/>
          <w:sz w:val="18"/>
          <w:szCs w:val="18"/>
          <w:lang w:val="en-US"/>
        </w:rPr>
        <w:t xml:space="preserve"> </w:t>
      </w:r>
      <w:r w:rsidR="00687684" w:rsidRPr="00D869E3">
        <w:rPr>
          <w:rFonts w:ascii="Verdana" w:hAnsi="Verdana"/>
          <w:sz w:val="18"/>
          <w:szCs w:val="18"/>
          <w:lang w:val="en-US"/>
        </w:rPr>
        <w:t>August 5,</w:t>
      </w:r>
      <w:r w:rsidRPr="00D869E3">
        <w:rPr>
          <w:rFonts w:ascii="Verdana" w:hAnsi="Verdana"/>
          <w:sz w:val="18"/>
          <w:szCs w:val="18"/>
          <w:lang w:val="en-US"/>
        </w:rPr>
        <w:t xml:space="preserve"> 1998</w:t>
      </w:r>
      <w:r w:rsidR="00687684" w:rsidRPr="00D869E3">
        <w:rPr>
          <w:rFonts w:ascii="Verdana" w:hAnsi="Verdana"/>
          <w:sz w:val="18"/>
          <w:szCs w:val="18"/>
          <w:lang w:val="en-US"/>
        </w:rPr>
        <w:t>,</w:t>
      </w:r>
      <w:r w:rsidRPr="00D869E3">
        <w:rPr>
          <w:rFonts w:ascii="Verdana" w:hAnsi="Verdana"/>
          <w:sz w:val="18"/>
          <w:szCs w:val="18"/>
          <w:lang w:val="en-US"/>
        </w:rPr>
        <w:t xml:space="preserve"> </w:t>
      </w:r>
      <w:r w:rsidR="00447C65" w:rsidRPr="00D869E3">
        <w:rPr>
          <w:rFonts w:ascii="Verdana" w:hAnsi="Verdana"/>
          <w:sz w:val="18"/>
          <w:szCs w:val="18"/>
          <w:lang w:val="en-US"/>
        </w:rPr>
        <w:t>the Commission</w:t>
      </w:r>
      <w:r w:rsidRPr="00D869E3">
        <w:rPr>
          <w:rFonts w:ascii="Verdana" w:hAnsi="Verdana"/>
          <w:sz w:val="18"/>
          <w:szCs w:val="18"/>
          <w:lang w:val="en-US"/>
        </w:rPr>
        <w:t xml:space="preserve"> rec</w:t>
      </w:r>
      <w:r w:rsidR="00687684" w:rsidRPr="00D869E3">
        <w:rPr>
          <w:rFonts w:ascii="Verdana" w:hAnsi="Verdana"/>
          <w:sz w:val="18"/>
          <w:szCs w:val="18"/>
          <w:lang w:val="en-US"/>
        </w:rPr>
        <w:t>eived a petition lodged by the presumed victim</w:t>
      </w:r>
      <w:r w:rsidR="00D21668" w:rsidRPr="00D869E3">
        <w:rPr>
          <w:rFonts w:ascii="Verdana" w:hAnsi="Verdana"/>
          <w:sz w:val="18"/>
          <w:szCs w:val="18"/>
          <w:lang w:val="en-US"/>
        </w:rPr>
        <w:t>, Mr.</w:t>
      </w:r>
      <w:r w:rsidR="00687684" w:rsidRPr="00D869E3">
        <w:rPr>
          <w:rFonts w:ascii="Verdana" w:hAnsi="Verdana"/>
          <w:sz w:val="18"/>
          <w:szCs w:val="18"/>
          <w:lang w:val="en-US"/>
        </w:rPr>
        <w:t xml:space="preserve"> </w:t>
      </w:r>
      <w:r w:rsidRPr="00D869E3">
        <w:rPr>
          <w:rFonts w:ascii="Verdana" w:hAnsi="Verdana"/>
          <w:sz w:val="18"/>
          <w:szCs w:val="18"/>
          <w:lang w:val="en-US"/>
        </w:rPr>
        <w:t>Lagos del Campo</w:t>
      </w:r>
      <w:r w:rsidR="00D21668" w:rsidRPr="00D869E3">
        <w:rPr>
          <w:rFonts w:ascii="Verdana" w:hAnsi="Verdana"/>
          <w:sz w:val="18"/>
          <w:szCs w:val="18"/>
          <w:lang w:val="en-US"/>
        </w:rPr>
        <w:t>,</w:t>
      </w:r>
      <w:r w:rsidRPr="00D869E3">
        <w:rPr>
          <w:rFonts w:ascii="Verdana" w:hAnsi="Verdana"/>
          <w:sz w:val="18"/>
          <w:szCs w:val="18"/>
          <w:lang w:val="en-US"/>
        </w:rPr>
        <w:t xml:space="preserve"> </w:t>
      </w:r>
      <w:r w:rsidR="00687684" w:rsidRPr="00D869E3">
        <w:rPr>
          <w:rFonts w:ascii="Verdana" w:hAnsi="Verdana"/>
          <w:sz w:val="18"/>
          <w:szCs w:val="18"/>
          <w:lang w:val="en-US"/>
        </w:rPr>
        <w:t xml:space="preserve">in which he indicated that Peru was internationally responsible for failing to protect his right, as a labor leader, to express opinions in the context of an electoral labor dispute. Subsequently, the </w:t>
      </w:r>
      <w:r w:rsidRPr="00D869E3">
        <w:rPr>
          <w:rFonts w:ascii="Verdana" w:hAnsi="Verdana"/>
          <w:i/>
          <w:iCs/>
          <w:sz w:val="18"/>
          <w:szCs w:val="18"/>
          <w:lang w:val="en-US"/>
        </w:rPr>
        <w:t xml:space="preserve">Asociación Pro </w:t>
      </w:r>
      <w:r w:rsidR="00D21668" w:rsidRPr="00D869E3">
        <w:rPr>
          <w:rFonts w:ascii="Verdana" w:hAnsi="Verdana"/>
          <w:i/>
          <w:iCs/>
          <w:sz w:val="18"/>
          <w:szCs w:val="18"/>
          <w:lang w:val="en-US"/>
        </w:rPr>
        <w:t>Derechos Humanos</w:t>
      </w:r>
      <w:r w:rsidRPr="00D869E3">
        <w:rPr>
          <w:rFonts w:ascii="Verdana" w:hAnsi="Verdana"/>
          <w:sz w:val="18"/>
          <w:szCs w:val="18"/>
          <w:lang w:val="en-US"/>
        </w:rPr>
        <w:t xml:space="preserve"> </w:t>
      </w:r>
      <w:r w:rsidR="00687684" w:rsidRPr="00D869E3">
        <w:rPr>
          <w:rFonts w:ascii="Verdana" w:hAnsi="Verdana"/>
          <w:sz w:val="18"/>
          <w:szCs w:val="18"/>
          <w:lang w:val="en-US"/>
        </w:rPr>
        <w:t>(</w:t>
      </w:r>
      <w:r w:rsidRPr="00D869E3">
        <w:rPr>
          <w:rFonts w:ascii="Verdana" w:hAnsi="Verdana"/>
          <w:sz w:val="18"/>
          <w:szCs w:val="18"/>
          <w:lang w:val="en-US"/>
        </w:rPr>
        <w:t>APRODEH</w:t>
      </w:r>
      <w:r w:rsidR="00687684" w:rsidRPr="00D869E3">
        <w:rPr>
          <w:rFonts w:ascii="Verdana" w:hAnsi="Verdana"/>
          <w:sz w:val="18"/>
          <w:szCs w:val="18"/>
          <w:lang w:val="en-US"/>
        </w:rPr>
        <w:t>)</w:t>
      </w:r>
      <w:r w:rsidRPr="00D869E3">
        <w:rPr>
          <w:rFonts w:ascii="Verdana" w:hAnsi="Verdana"/>
          <w:sz w:val="18"/>
          <w:szCs w:val="18"/>
          <w:lang w:val="en-US"/>
        </w:rPr>
        <w:t xml:space="preserve"> (</w:t>
      </w:r>
      <w:r w:rsidR="00447C65" w:rsidRPr="00D869E3">
        <w:rPr>
          <w:rFonts w:ascii="Verdana" w:hAnsi="Verdana"/>
          <w:sz w:val="18"/>
          <w:szCs w:val="18"/>
          <w:lang w:val="en-US"/>
        </w:rPr>
        <w:t>hereinafter</w:t>
      </w:r>
      <w:r w:rsidRPr="00D869E3">
        <w:rPr>
          <w:rFonts w:ascii="Verdana" w:hAnsi="Verdana"/>
          <w:sz w:val="18"/>
          <w:szCs w:val="18"/>
          <w:lang w:val="en-US"/>
        </w:rPr>
        <w:t xml:space="preserve">, </w:t>
      </w:r>
      <w:r w:rsidR="006436CA" w:rsidRPr="00D869E3">
        <w:rPr>
          <w:rFonts w:ascii="Verdana" w:hAnsi="Verdana"/>
          <w:sz w:val="18"/>
          <w:szCs w:val="18"/>
          <w:lang w:val="en-US"/>
        </w:rPr>
        <w:t>“</w:t>
      </w:r>
      <w:r w:rsidR="00687684" w:rsidRPr="00D869E3">
        <w:rPr>
          <w:rFonts w:ascii="Verdana" w:hAnsi="Verdana"/>
          <w:sz w:val="18"/>
          <w:szCs w:val="18"/>
          <w:lang w:val="en-US"/>
        </w:rPr>
        <w:t>the petitioners</w:t>
      </w:r>
      <w:r w:rsidR="006436CA" w:rsidRPr="00D869E3">
        <w:rPr>
          <w:rFonts w:ascii="Verdana" w:hAnsi="Verdana"/>
          <w:sz w:val="18"/>
          <w:szCs w:val="18"/>
          <w:lang w:val="en-US"/>
        </w:rPr>
        <w:t>”</w:t>
      </w:r>
      <w:r w:rsidRPr="00D869E3">
        <w:rPr>
          <w:rFonts w:ascii="Verdana" w:hAnsi="Verdana"/>
          <w:sz w:val="18"/>
          <w:szCs w:val="18"/>
          <w:lang w:val="en-US"/>
        </w:rPr>
        <w:t xml:space="preserve">), </w:t>
      </w:r>
      <w:r w:rsidR="00687684" w:rsidRPr="00D869E3">
        <w:rPr>
          <w:rFonts w:ascii="Verdana" w:hAnsi="Verdana"/>
          <w:sz w:val="18"/>
          <w:szCs w:val="18"/>
          <w:lang w:val="en-US"/>
        </w:rPr>
        <w:t>became the representative of the presumed victim</w:t>
      </w:r>
      <w:r w:rsidRPr="00D869E3">
        <w:rPr>
          <w:rFonts w:ascii="Verdana" w:hAnsi="Verdana"/>
          <w:sz w:val="18"/>
          <w:szCs w:val="18"/>
          <w:lang w:val="en-US"/>
        </w:rPr>
        <w:t xml:space="preserve"> </w:t>
      </w:r>
      <w:r w:rsidR="00687684" w:rsidRPr="00D869E3">
        <w:rPr>
          <w:rFonts w:ascii="Verdana" w:hAnsi="Verdana"/>
          <w:sz w:val="18"/>
          <w:szCs w:val="18"/>
          <w:lang w:val="en-US"/>
        </w:rPr>
        <w:t>in the case.</w:t>
      </w:r>
    </w:p>
    <w:p w14:paraId="5FA87FC1" w14:textId="77777777" w:rsidR="006F79F4" w:rsidRPr="00D869E3" w:rsidRDefault="006F79F4" w:rsidP="00AF7637">
      <w:pPr>
        <w:jc w:val="both"/>
        <w:rPr>
          <w:rFonts w:ascii="Verdana" w:hAnsi="Verdana"/>
          <w:sz w:val="18"/>
          <w:szCs w:val="18"/>
          <w:lang w:val="en-US"/>
        </w:rPr>
      </w:pPr>
    </w:p>
    <w:p w14:paraId="5E3A0679" w14:textId="536383AD" w:rsidR="006F79F4" w:rsidRPr="00D869E3" w:rsidRDefault="00687684" w:rsidP="00E66DD7">
      <w:pPr>
        <w:pStyle w:val="Prrafodelista"/>
        <w:numPr>
          <w:ilvl w:val="0"/>
          <w:numId w:val="4"/>
        </w:numPr>
        <w:ind w:left="1066" w:hanging="357"/>
        <w:jc w:val="both"/>
        <w:rPr>
          <w:rFonts w:ascii="Verdana" w:hAnsi="Verdana"/>
          <w:sz w:val="18"/>
          <w:szCs w:val="18"/>
          <w:lang w:val="en-US"/>
        </w:rPr>
      </w:pPr>
      <w:r w:rsidRPr="00D869E3">
        <w:rPr>
          <w:rFonts w:ascii="Verdana" w:hAnsi="Verdana"/>
          <w:i/>
          <w:sz w:val="18"/>
          <w:szCs w:val="18"/>
          <w:lang w:val="en-US"/>
        </w:rPr>
        <w:t>Admissibility Report</w:t>
      </w:r>
      <w:r w:rsidR="006F79F4" w:rsidRPr="00D869E3">
        <w:rPr>
          <w:rFonts w:ascii="Verdana" w:hAnsi="Verdana"/>
          <w:i/>
          <w:sz w:val="18"/>
          <w:szCs w:val="18"/>
          <w:lang w:val="en-US"/>
        </w:rPr>
        <w:t>.</w:t>
      </w:r>
      <w:r w:rsidR="006F79F4" w:rsidRPr="00D869E3">
        <w:rPr>
          <w:rFonts w:ascii="Verdana" w:hAnsi="Verdana"/>
          <w:sz w:val="18"/>
          <w:szCs w:val="18"/>
          <w:lang w:val="en-US"/>
        </w:rPr>
        <w:t xml:space="preserve"> </w:t>
      </w:r>
      <w:r w:rsidRPr="00D869E3">
        <w:rPr>
          <w:rFonts w:ascii="Verdana" w:hAnsi="Verdana"/>
          <w:sz w:val="18"/>
          <w:szCs w:val="18"/>
          <w:lang w:val="en-US"/>
        </w:rPr>
        <w:t>On November 1,</w:t>
      </w:r>
      <w:r w:rsidR="006F79F4" w:rsidRPr="00D869E3">
        <w:rPr>
          <w:rFonts w:ascii="Verdana" w:hAnsi="Verdana"/>
          <w:sz w:val="18"/>
          <w:szCs w:val="18"/>
          <w:lang w:val="en-US"/>
        </w:rPr>
        <w:t xml:space="preserve"> 2010</w:t>
      </w:r>
      <w:r w:rsidRPr="00D869E3">
        <w:rPr>
          <w:rFonts w:ascii="Verdana" w:hAnsi="Verdana"/>
          <w:sz w:val="18"/>
          <w:szCs w:val="18"/>
          <w:lang w:val="en-US"/>
        </w:rPr>
        <w:t>,</w:t>
      </w:r>
      <w:r w:rsidR="006F79F4" w:rsidRPr="00D869E3">
        <w:rPr>
          <w:rFonts w:ascii="Verdana" w:hAnsi="Verdana"/>
          <w:sz w:val="18"/>
          <w:szCs w:val="18"/>
          <w:lang w:val="en-US"/>
        </w:rPr>
        <w:t xml:space="preserve"> </w:t>
      </w:r>
      <w:r w:rsidR="00447C65" w:rsidRPr="00D869E3">
        <w:rPr>
          <w:rFonts w:ascii="Verdana" w:hAnsi="Verdana"/>
          <w:sz w:val="18"/>
          <w:szCs w:val="18"/>
          <w:lang w:val="en-US"/>
        </w:rPr>
        <w:t>the Commission</w:t>
      </w:r>
      <w:r w:rsidR="006F79F4" w:rsidRPr="00D869E3">
        <w:rPr>
          <w:rFonts w:ascii="Verdana" w:hAnsi="Verdana"/>
          <w:sz w:val="18"/>
          <w:szCs w:val="18"/>
          <w:lang w:val="en-US"/>
        </w:rPr>
        <w:t xml:space="preserve"> </w:t>
      </w:r>
      <w:r w:rsidRPr="00D869E3">
        <w:rPr>
          <w:rFonts w:ascii="Verdana" w:hAnsi="Verdana"/>
          <w:sz w:val="18"/>
          <w:szCs w:val="18"/>
          <w:lang w:val="en-US"/>
        </w:rPr>
        <w:t>issued</w:t>
      </w:r>
      <w:r w:rsidR="006F79F4" w:rsidRPr="00D869E3">
        <w:rPr>
          <w:rFonts w:ascii="Verdana" w:hAnsi="Verdana"/>
          <w:sz w:val="18"/>
          <w:szCs w:val="18"/>
          <w:lang w:val="en-US"/>
        </w:rPr>
        <w:t xml:space="preserve"> </w:t>
      </w:r>
      <w:r w:rsidRPr="00D869E3">
        <w:rPr>
          <w:rFonts w:ascii="Verdana" w:hAnsi="Verdana"/>
          <w:sz w:val="18"/>
          <w:szCs w:val="18"/>
          <w:lang w:val="en-US"/>
        </w:rPr>
        <w:t>Admissibility Report</w:t>
      </w:r>
      <w:r w:rsidR="006F79F4" w:rsidRPr="00D869E3">
        <w:rPr>
          <w:rFonts w:ascii="Verdana" w:hAnsi="Verdana"/>
          <w:sz w:val="18"/>
          <w:szCs w:val="18"/>
          <w:lang w:val="en-US"/>
        </w:rPr>
        <w:t xml:space="preserve"> No. 152/10 (</w:t>
      </w:r>
      <w:r w:rsidR="00447C65" w:rsidRPr="00D869E3">
        <w:rPr>
          <w:rFonts w:ascii="Verdana" w:hAnsi="Verdana"/>
          <w:sz w:val="18"/>
          <w:szCs w:val="18"/>
          <w:lang w:val="en-US"/>
        </w:rPr>
        <w:t>hereinafter</w:t>
      </w:r>
      <w:r w:rsidR="006F79F4" w:rsidRPr="00D869E3">
        <w:rPr>
          <w:rFonts w:ascii="Verdana" w:hAnsi="Verdana"/>
          <w:sz w:val="18"/>
          <w:szCs w:val="18"/>
          <w:lang w:val="en-US"/>
        </w:rPr>
        <w:t xml:space="preserve"> </w:t>
      </w:r>
      <w:r w:rsidR="006436CA" w:rsidRPr="00D869E3">
        <w:rPr>
          <w:rFonts w:ascii="Verdana" w:hAnsi="Verdana"/>
          <w:sz w:val="18"/>
          <w:szCs w:val="18"/>
          <w:lang w:val="en-US"/>
        </w:rPr>
        <w:t>“</w:t>
      </w:r>
      <w:r w:rsidRPr="00D869E3">
        <w:rPr>
          <w:rFonts w:ascii="Verdana" w:hAnsi="Verdana"/>
          <w:sz w:val="18"/>
          <w:szCs w:val="18"/>
          <w:lang w:val="en-US"/>
        </w:rPr>
        <w:t>the Admissibility Report</w:t>
      </w:r>
      <w:r w:rsidR="006436CA" w:rsidRPr="00D869E3">
        <w:rPr>
          <w:rFonts w:ascii="Verdana" w:hAnsi="Verdana"/>
          <w:sz w:val="18"/>
          <w:szCs w:val="18"/>
          <w:lang w:val="en-US"/>
        </w:rPr>
        <w:t>”</w:t>
      </w:r>
      <w:r w:rsidR="006F79F4" w:rsidRPr="00D869E3">
        <w:rPr>
          <w:rFonts w:ascii="Verdana" w:hAnsi="Verdana"/>
          <w:sz w:val="18"/>
          <w:szCs w:val="18"/>
          <w:lang w:val="en-US"/>
        </w:rPr>
        <w:t xml:space="preserve">), </w:t>
      </w:r>
      <w:r w:rsidRPr="00D869E3">
        <w:rPr>
          <w:rFonts w:ascii="Verdana" w:hAnsi="Verdana"/>
          <w:sz w:val="18"/>
          <w:szCs w:val="18"/>
          <w:lang w:val="en-US"/>
        </w:rPr>
        <w:t xml:space="preserve">in which it concluded that the petition was admissible in relation to </w:t>
      </w:r>
      <w:r w:rsidR="00447C65" w:rsidRPr="00D869E3">
        <w:rPr>
          <w:rFonts w:ascii="Verdana" w:hAnsi="Verdana"/>
          <w:sz w:val="18"/>
          <w:szCs w:val="18"/>
          <w:lang w:val="en-US"/>
        </w:rPr>
        <w:t>Articles</w:t>
      </w:r>
      <w:r w:rsidR="006F79F4" w:rsidRPr="00D869E3">
        <w:rPr>
          <w:rFonts w:ascii="Verdana" w:hAnsi="Verdana"/>
          <w:sz w:val="18"/>
          <w:szCs w:val="18"/>
          <w:lang w:val="en-US"/>
        </w:rPr>
        <w:t xml:space="preserve"> 8</w:t>
      </w:r>
      <w:r w:rsidRPr="00D869E3">
        <w:rPr>
          <w:rFonts w:ascii="Verdana" w:hAnsi="Verdana"/>
          <w:sz w:val="18"/>
          <w:szCs w:val="18"/>
          <w:lang w:val="en-US"/>
        </w:rPr>
        <w:t xml:space="preserve"> and </w:t>
      </w:r>
      <w:r w:rsidR="006F79F4" w:rsidRPr="00D869E3">
        <w:rPr>
          <w:rFonts w:ascii="Verdana" w:hAnsi="Verdana"/>
          <w:sz w:val="18"/>
          <w:szCs w:val="18"/>
          <w:lang w:val="en-US"/>
        </w:rPr>
        <w:t>13</w:t>
      </w:r>
      <w:r w:rsidR="00447C65" w:rsidRPr="00D869E3">
        <w:rPr>
          <w:rFonts w:ascii="Verdana" w:hAnsi="Verdana"/>
          <w:sz w:val="18"/>
          <w:szCs w:val="18"/>
          <w:lang w:val="en-US"/>
        </w:rPr>
        <w:t xml:space="preserve"> of the American Convention</w:t>
      </w:r>
      <w:r w:rsidR="006F79F4" w:rsidRPr="00D869E3">
        <w:rPr>
          <w:rFonts w:ascii="Verdana" w:hAnsi="Verdana"/>
          <w:sz w:val="18"/>
          <w:szCs w:val="18"/>
          <w:lang w:val="en-US"/>
        </w:rPr>
        <w:t xml:space="preserve">, </w:t>
      </w:r>
      <w:r w:rsidRPr="00D869E3">
        <w:rPr>
          <w:rFonts w:ascii="Verdana" w:hAnsi="Verdana"/>
          <w:sz w:val="18"/>
          <w:szCs w:val="18"/>
          <w:lang w:val="en-US"/>
        </w:rPr>
        <w:t>in relation to</w:t>
      </w:r>
      <w:r w:rsidR="006F79F4" w:rsidRPr="00D869E3">
        <w:rPr>
          <w:rFonts w:ascii="Verdana" w:hAnsi="Verdana"/>
          <w:sz w:val="18"/>
          <w:szCs w:val="18"/>
          <w:lang w:val="en-US"/>
        </w:rPr>
        <w:t xml:space="preserve"> </w:t>
      </w:r>
      <w:r w:rsidRPr="00D869E3">
        <w:rPr>
          <w:rFonts w:ascii="Verdana" w:hAnsi="Verdana"/>
          <w:sz w:val="18"/>
          <w:szCs w:val="18"/>
          <w:lang w:val="en-US"/>
        </w:rPr>
        <w:t xml:space="preserve">Articles 1(1) and </w:t>
      </w:r>
      <w:r w:rsidR="006F79F4" w:rsidRPr="00D869E3">
        <w:rPr>
          <w:rFonts w:ascii="Verdana" w:hAnsi="Verdana"/>
          <w:sz w:val="18"/>
          <w:szCs w:val="18"/>
          <w:lang w:val="en-US"/>
        </w:rPr>
        <w:t xml:space="preserve">2 </w:t>
      </w:r>
      <w:r w:rsidRPr="00D869E3">
        <w:rPr>
          <w:rFonts w:ascii="Verdana" w:hAnsi="Verdana"/>
          <w:sz w:val="18"/>
          <w:szCs w:val="18"/>
          <w:lang w:val="en-US"/>
        </w:rPr>
        <w:t>of this instrument</w:t>
      </w:r>
      <w:r w:rsidR="006F79F4" w:rsidRPr="00D869E3">
        <w:rPr>
          <w:rFonts w:ascii="Verdana" w:hAnsi="Verdana"/>
          <w:sz w:val="18"/>
          <w:szCs w:val="18"/>
          <w:lang w:val="en-US"/>
        </w:rPr>
        <w:t xml:space="preserve">, </w:t>
      </w:r>
      <w:r w:rsidR="00D21668" w:rsidRPr="00D869E3">
        <w:rPr>
          <w:rFonts w:ascii="Verdana" w:hAnsi="Verdana"/>
          <w:sz w:val="18"/>
          <w:szCs w:val="18"/>
          <w:lang w:val="en-US"/>
        </w:rPr>
        <w:t>to the detriment of Mr.</w:t>
      </w:r>
      <w:r w:rsidR="006F79F4" w:rsidRPr="00D869E3">
        <w:rPr>
          <w:rFonts w:ascii="Verdana" w:hAnsi="Verdana"/>
          <w:sz w:val="18"/>
          <w:szCs w:val="18"/>
          <w:lang w:val="en-US"/>
        </w:rPr>
        <w:t xml:space="preserve"> Lagos del Campo. </w:t>
      </w:r>
      <w:r w:rsidR="00447C65" w:rsidRPr="00D869E3">
        <w:rPr>
          <w:rFonts w:ascii="Verdana" w:hAnsi="Verdana"/>
          <w:sz w:val="18"/>
          <w:szCs w:val="18"/>
          <w:lang w:val="en-US"/>
        </w:rPr>
        <w:t>The Commission</w:t>
      </w:r>
      <w:r w:rsidR="006F79F4" w:rsidRPr="00D869E3">
        <w:rPr>
          <w:rFonts w:ascii="Verdana" w:hAnsi="Verdana"/>
          <w:sz w:val="18"/>
          <w:szCs w:val="18"/>
          <w:lang w:val="en-US"/>
        </w:rPr>
        <w:t xml:space="preserve"> </w:t>
      </w:r>
      <w:r w:rsidRPr="00D869E3">
        <w:rPr>
          <w:rFonts w:ascii="Verdana" w:hAnsi="Verdana"/>
          <w:sz w:val="18"/>
          <w:szCs w:val="18"/>
          <w:lang w:val="en-US"/>
        </w:rPr>
        <w:t xml:space="preserve">also declared that the petition was inadmissible with regard to the possible violation of </w:t>
      </w:r>
      <w:r w:rsidR="00447C65" w:rsidRPr="00D869E3">
        <w:rPr>
          <w:rFonts w:ascii="Verdana" w:eastAsiaTheme="minorHAnsi" w:hAnsi="Verdana" w:cs="Arial"/>
          <w:sz w:val="18"/>
          <w:szCs w:val="18"/>
          <w:lang w:val="en-US"/>
        </w:rPr>
        <w:t>Articles</w:t>
      </w:r>
      <w:r w:rsidR="006F79F4" w:rsidRPr="00D869E3">
        <w:rPr>
          <w:rFonts w:ascii="Verdana" w:eastAsiaTheme="minorHAnsi" w:hAnsi="Verdana" w:cs="Arial"/>
          <w:sz w:val="18"/>
          <w:szCs w:val="18"/>
          <w:lang w:val="en-US"/>
        </w:rPr>
        <w:t xml:space="preserve"> 24</w:t>
      </w:r>
      <w:r w:rsidRPr="00D869E3">
        <w:rPr>
          <w:rFonts w:ascii="Verdana" w:eastAsiaTheme="minorHAnsi" w:hAnsi="Verdana" w:cs="Arial"/>
          <w:sz w:val="18"/>
          <w:szCs w:val="18"/>
          <w:lang w:val="en-US"/>
        </w:rPr>
        <w:t xml:space="preserve"> and </w:t>
      </w:r>
      <w:r w:rsidR="006F79F4" w:rsidRPr="00D869E3">
        <w:rPr>
          <w:rFonts w:ascii="Verdana" w:eastAsiaTheme="minorHAnsi" w:hAnsi="Verdana" w:cs="Arial"/>
          <w:sz w:val="18"/>
          <w:szCs w:val="18"/>
          <w:lang w:val="en-US"/>
        </w:rPr>
        <w:t>25</w:t>
      </w:r>
      <w:r w:rsidR="00447C65" w:rsidRPr="00D869E3">
        <w:rPr>
          <w:rFonts w:ascii="Verdana" w:eastAsiaTheme="minorHAnsi" w:hAnsi="Verdana" w:cs="Arial"/>
          <w:sz w:val="18"/>
          <w:szCs w:val="18"/>
          <w:lang w:val="en-US"/>
        </w:rPr>
        <w:t xml:space="preserve"> of the Convention</w:t>
      </w:r>
      <w:r w:rsidR="006F79F4" w:rsidRPr="00D869E3">
        <w:rPr>
          <w:rFonts w:ascii="Verdana" w:eastAsiaTheme="minorHAnsi" w:hAnsi="Verdana" w:cs="Arial"/>
          <w:sz w:val="18"/>
          <w:szCs w:val="18"/>
          <w:lang w:val="en-US"/>
        </w:rPr>
        <w:t>.</w:t>
      </w:r>
    </w:p>
    <w:p w14:paraId="7317375B" w14:textId="77777777" w:rsidR="006F79F4" w:rsidRPr="00D869E3" w:rsidRDefault="006F79F4" w:rsidP="00AF7637">
      <w:pPr>
        <w:pStyle w:val="Prrafodelista"/>
        <w:rPr>
          <w:rFonts w:ascii="Verdana" w:hAnsi="Verdana"/>
          <w:i/>
          <w:sz w:val="18"/>
          <w:szCs w:val="18"/>
          <w:lang w:val="en-US"/>
        </w:rPr>
      </w:pPr>
    </w:p>
    <w:p w14:paraId="5CB3915F" w14:textId="1EA00019" w:rsidR="006F79F4" w:rsidRPr="00D869E3" w:rsidRDefault="00687684" w:rsidP="00E66DD7">
      <w:pPr>
        <w:pStyle w:val="Prrafodelista"/>
        <w:numPr>
          <w:ilvl w:val="0"/>
          <w:numId w:val="4"/>
        </w:numPr>
        <w:ind w:left="1066" w:hanging="357"/>
        <w:jc w:val="both"/>
        <w:rPr>
          <w:rFonts w:ascii="Verdana" w:hAnsi="Verdana"/>
          <w:sz w:val="18"/>
          <w:szCs w:val="18"/>
          <w:lang w:val="en-US"/>
        </w:rPr>
      </w:pPr>
      <w:r w:rsidRPr="00D869E3">
        <w:rPr>
          <w:rFonts w:ascii="Verdana" w:hAnsi="Verdana"/>
          <w:i/>
          <w:sz w:val="18"/>
          <w:szCs w:val="18"/>
          <w:lang w:val="en-US"/>
        </w:rPr>
        <w:t>Merits Report</w:t>
      </w:r>
      <w:r w:rsidR="006F79F4" w:rsidRPr="00D869E3">
        <w:rPr>
          <w:rFonts w:ascii="Verdana" w:hAnsi="Verdana"/>
          <w:i/>
          <w:sz w:val="18"/>
          <w:szCs w:val="18"/>
          <w:lang w:val="en-US"/>
        </w:rPr>
        <w:t>.</w:t>
      </w:r>
      <w:r w:rsidR="006F79F4" w:rsidRPr="00D869E3">
        <w:rPr>
          <w:rFonts w:ascii="Verdana" w:hAnsi="Verdana"/>
          <w:sz w:val="18"/>
          <w:szCs w:val="18"/>
          <w:lang w:val="en-US"/>
        </w:rPr>
        <w:t xml:space="preserve"> </w:t>
      </w:r>
      <w:r w:rsidRPr="00D869E3">
        <w:rPr>
          <w:rFonts w:ascii="Verdana" w:hAnsi="Verdana"/>
          <w:sz w:val="18"/>
          <w:szCs w:val="18"/>
          <w:lang w:val="en-US"/>
        </w:rPr>
        <w:t>On</w:t>
      </w:r>
      <w:r w:rsidR="006F79F4" w:rsidRPr="00D869E3">
        <w:rPr>
          <w:rFonts w:ascii="Verdana" w:hAnsi="Verdana"/>
          <w:sz w:val="18"/>
          <w:szCs w:val="18"/>
          <w:lang w:val="en-US"/>
        </w:rPr>
        <w:t xml:space="preserve"> </w:t>
      </w:r>
      <w:r w:rsidRPr="00D869E3">
        <w:rPr>
          <w:rFonts w:ascii="Verdana" w:hAnsi="Verdana"/>
          <w:sz w:val="18"/>
          <w:szCs w:val="18"/>
          <w:lang w:val="en-US"/>
        </w:rPr>
        <w:t>July 21,</w:t>
      </w:r>
      <w:r w:rsidR="006F79F4" w:rsidRPr="00D869E3">
        <w:rPr>
          <w:rFonts w:ascii="Verdana" w:hAnsi="Verdana"/>
          <w:sz w:val="18"/>
          <w:szCs w:val="18"/>
          <w:lang w:val="en-US"/>
        </w:rPr>
        <w:t xml:space="preserve"> 2015</w:t>
      </w:r>
      <w:r w:rsidRPr="00D869E3">
        <w:rPr>
          <w:rFonts w:ascii="Verdana" w:hAnsi="Verdana"/>
          <w:sz w:val="18"/>
          <w:szCs w:val="18"/>
          <w:lang w:val="en-US"/>
        </w:rPr>
        <w:t>,</w:t>
      </w:r>
      <w:r w:rsidR="006F79F4" w:rsidRPr="00D869E3">
        <w:rPr>
          <w:rFonts w:ascii="Verdana" w:hAnsi="Verdana"/>
          <w:sz w:val="18"/>
          <w:szCs w:val="18"/>
          <w:lang w:val="en-US"/>
        </w:rPr>
        <w:t xml:space="preserve"> </w:t>
      </w:r>
      <w:r w:rsidR="00447C65" w:rsidRPr="00D869E3">
        <w:rPr>
          <w:rFonts w:ascii="Verdana" w:hAnsi="Verdana"/>
          <w:sz w:val="18"/>
          <w:szCs w:val="18"/>
          <w:lang w:val="en-US"/>
        </w:rPr>
        <w:t>the Commission</w:t>
      </w:r>
      <w:r w:rsidR="006F79F4" w:rsidRPr="00D869E3">
        <w:rPr>
          <w:rFonts w:ascii="Verdana" w:hAnsi="Verdana"/>
          <w:sz w:val="18"/>
          <w:szCs w:val="18"/>
          <w:lang w:val="en-US"/>
        </w:rPr>
        <w:t xml:space="preserve"> </w:t>
      </w:r>
      <w:r w:rsidRPr="00D869E3">
        <w:rPr>
          <w:rFonts w:ascii="Verdana" w:hAnsi="Verdana"/>
          <w:sz w:val="18"/>
          <w:szCs w:val="18"/>
          <w:lang w:val="en-US"/>
        </w:rPr>
        <w:t>a</w:t>
      </w:r>
      <w:r w:rsidR="00D21668" w:rsidRPr="00D869E3">
        <w:rPr>
          <w:rFonts w:ascii="Verdana" w:hAnsi="Verdana"/>
          <w:sz w:val="18"/>
          <w:szCs w:val="18"/>
          <w:lang w:val="en-US"/>
        </w:rPr>
        <w:t>dopted</w:t>
      </w:r>
      <w:r w:rsidR="006F79F4" w:rsidRPr="00D869E3">
        <w:rPr>
          <w:rFonts w:ascii="Verdana" w:hAnsi="Verdana"/>
          <w:sz w:val="18"/>
          <w:szCs w:val="18"/>
          <w:lang w:val="en-US"/>
        </w:rPr>
        <w:t xml:space="preserve"> </w:t>
      </w:r>
      <w:r w:rsidRPr="00D869E3">
        <w:rPr>
          <w:rFonts w:ascii="Verdana" w:hAnsi="Verdana"/>
          <w:sz w:val="18"/>
          <w:szCs w:val="18"/>
          <w:lang w:val="en-US"/>
        </w:rPr>
        <w:t>Merits Report</w:t>
      </w:r>
      <w:r w:rsidR="006F79F4" w:rsidRPr="00D869E3">
        <w:rPr>
          <w:rFonts w:ascii="Verdana" w:hAnsi="Verdana"/>
          <w:sz w:val="18"/>
          <w:szCs w:val="18"/>
          <w:lang w:val="en-US"/>
        </w:rPr>
        <w:t xml:space="preserve"> No. 27/15, </w:t>
      </w:r>
      <w:r w:rsidRPr="00D869E3">
        <w:rPr>
          <w:rFonts w:ascii="Verdana" w:hAnsi="Verdana"/>
          <w:sz w:val="18"/>
          <w:szCs w:val="18"/>
          <w:lang w:val="en-US"/>
        </w:rPr>
        <w:t>pursuant to</w:t>
      </w:r>
      <w:r w:rsidR="006F79F4" w:rsidRPr="00D869E3">
        <w:rPr>
          <w:rFonts w:ascii="Verdana" w:hAnsi="Verdana"/>
          <w:sz w:val="18"/>
          <w:szCs w:val="18"/>
          <w:lang w:val="en-US"/>
        </w:rPr>
        <w:t xml:space="preserve"> </w:t>
      </w:r>
      <w:r w:rsidRPr="00D869E3">
        <w:rPr>
          <w:rFonts w:ascii="Verdana" w:hAnsi="Verdana"/>
          <w:sz w:val="18"/>
          <w:szCs w:val="18"/>
          <w:lang w:val="en-US"/>
        </w:rPr>
        <w:t>Article</w:t>
      </w:r>
      <w:r w:rsidR="006F79F4" w:rsidRPr="00D869E3">
        <w:rPr>
          <w:rFonts w:ascii="Verdana" w:hAnsi="Verdana"/>
          <w:sz w:val="18"/>
          <w:szCs w:val="18"/>
          <w:lang w:val="en-US"/>
        </w:rPr>
        <w:t xml:space="preserve"> 50</w:t>
      </w:r>
      <w:r w:rsidR="00447C65" w:rsidRPr="00D869E3">
        <w:rPr>
          <w:rFonts w:ascii="Verdana" w:hAnsi="Verdana"/>
          <w:sz w:val="18"/>
          <w:szCs w:val="18"/>
          <w:lang w:val="en-US"/>
        </w:rPr>
        <w:t xml:space="preserve"> of the American Convention</w:t>
      </w:r>
      <w:r w:rsidR="006F79F4" w:rsidRPr="00D869E3">
        <w:rPr>
          <w:rFonts w:ascii="Verdana" w:hAnsi="Verdana"/>
          <w:sz w:val="18"/>
          <w:szCs w:val="18"/>
          <w:lang w:val="en-US"/>
        </w:rPr>
        <w:t xml:space="preserve"> (</w:t>
      </w:r>
      <w:r w:rsidR="00447C65" w:rsidRPr="00D869E3">
        <w:rPr>
          <w:rFonts w:ascii="Verdana" w:hAnsi="Verdana"/>
          <w:sz w:val="18"/>
          <w:szCs w:val="18"/>
          <w:lang w:val="en-US"/>
        </w:rPr>
        <w:t>hereinafter</w:t>
      </w:r>
      <w:r w:rsidR="006F79F4" w:rsidRPr="00D869E3">
        <w:rPr>
          <w:rFonts w:ascii="Verdana" w:hAnsi="Verdana"/>
          <w:sz w:val="18"/>
          <w:szCs w:val="18"/>
          <w:lang w:val="en-US"/>
        </w:rPr>
        <w:t xml:space="preserve"> </w:t>
      </w:r>
      <w:r w:rsidR="006436CA" w:rsidRPr="00D869E3">
        <w:rPr>
          <w:rFonts w:ascii="Verdana" w:hAnsi="Verdana"/>
          <w:sz w:val="18"/>
          <w:szCs w:val="18"/>
          <w:lang w:val="en-US"/>
        </w:rPr>
        <w:t>“</w:t>
      </w:r>
      <w:r w:rsidRPr="00D869E3">
        <w:rPr>
          <w:rFonts w:ascii="Verdana" w:hAnsi="Verdana"/>
          <w:sz w:val="18"/>
          <w:szCs w:val="18"/>
          <w:lang w:val="en-US"/>
        </w:rPr>
        <w:t>the Merits Report</w:t>
      </w:r>
      <w:r w:rsidR="006436CA" w:rsidRPr="00D869E3">
        <w:rPr>
          <w:rFonts w:ascii="Verdana" w:hAnsi="Verdana"/>
          <w:sz w:val="18"/>
          <w:szCs w:val="18"/>
          <w:lang w:val="en-US"/>
        </w:rPr>
        <w:t>”</w:t>
      </w:r>
      <w:r w:rsidR="006F79F4" w:rsidRPr="00D869E3">
        <w:rPr>
          <w:rFonts w:ascii="Verdana" w:hAnsi="Verdana"/>
          <w:sz w:val="18"/>
          <w:szCs w:val="18"/>
          <w:lang w:val="en-US"/>
        </w:rPr>
        <w:t xml:space="preserve"> o</w:t>
      </w:r>
      <w:r w:rsidRPr="00D869E3">
        <w:rPr>
          <w:rFonts w:ascii="Verdana" w:hAnsi="Verdana"/>
          <w:sz w:val="18"/>
          <w:szCs w:val="18"/>
          <w:lang w:val="en-US"/>
        </w:rPr>
        <w:t>r</w:t>
      </w:r>
      <w:r w:rsidR="006F79F4" w:rsidRPr="00D869E3">
        <w:rPr>
          <w:rFonts w:ascii="Verdana" w:hAnsi="Verdana"/>
          <w:sz w:val="18"/>
          <w:szCs w:val="18"/>
          <w:lang w:val="en-US"/>
        </w:rPr>
        <w:t xml:space="preserve"> </w:t>
      </w:r>
      <w:r w:rsidR="006436CA" w:rsidRPr="00D869E3">
        <w:rPr>
          <w:rFonts w:ascii="Verdana" w:hAnsi="Verdana"/>
          <w:sz w:val="18"/>
          <w:szCs w:val="18"/>
          <w:lang w:val="en-US"/>
        </w:rPr>
        <w:t>“</w:t>
      </w:r>
      <w:r w:rsidRPr="00D869E3">
        <w:rPr>
          <w:rFonts w:ascii="Verdana" w:hAnsi="Verdana"/>
          <w:sz w:val="18"/>
          <w:szCs w:val="18"/>
          <w:lang w:val="en-US"/>
        </w:rPr>
        <w:t>Report</w:t>
      </w:r>
      <w:r w:rsidR="006F79F4" w:rsidRPr="00D869E3">
        <w:rPr>
          <w:rFonts w:ascii="Verdana" w:hAnsi="Verdana"/>
          <w:sz w:val="18"/>
          <w:szCs w:val="18"/>
          <w:lang w:val="en-US"/>
        </w:rPr>
        <w:t xml:space="preserve"> 27/15</w:t>
      </w:r>
      <w:r w:rsidR="006436CA" w:rsidRPr="00D869E3">
        <w:rPr>
          <w:rFonts w:ascii="Verdana" w:hAnsi="Verdana"/>
          <w:sz w:val="18"/>
          <w:szCs w:val="18"/>
          <w:lang w:val="en-US"/>
        </w:rPr>
        <w:t>”</w:t>
      </w:r>
      <w:r w:rsidR="006F79F4" w:rsidRPr="00D869E3">
        <w:rPr>
          <w:rFonts w:ascii="Verdana" w:hAnsi="Verdana"/>
          <w:sz w:val="18"/>
          <w:szCs w:val="18"/>
          <w:lang w:val="en-US"/>
        </w:rPr>
        <w:t xml:space="preserve">), </w:t>
      </w:r>
      <w:r w:rsidRPr="00D869E3">
        <w:rPr>
          <w:rFonts w:ascii="Verdana" w:hAnsi="Verdana"/>
          <w:sz w:val="18"/>
          <w:szCs w:val="18"/>
          <w:lang w:val="en-US"/>
        </w:rPr>
        <w:t>in which it reached the following conclusion and made several recommendations to the State, as follows</w:t>
      </w:r>
      <w:r w:rsidR="006F79F4" w:rsidRPr="00D869E3">
        <w:rPr>
          <w:rFonts w:ascii="Verdana" w:hAnsi="Verdana"/>
          <w:sz w:val="18"/>
          <w:szCs w:val="18"/>
          <w:lang w:val="en-US"/>
        </w:rPr>
        <w:t>:</w:t>
      </w:r>
    </w:p>
    <w:p w14:paraId="6FDCD854" w14:textId="77777777" w:rsidR="006F79F4" w:rsidRPr="00D869E3" w:rsidRDefault="006F79F4" w:rsidP="00AF7637">
      <w:pPr>
        <w:ind w:left="708"/>
        <w:jc w:val="both"/>
        <w:rPr>
          <w:rFonts w:ascii="Verdana" w:hAnsi="Verdana"/>
          <w:sz w:val="18"/>
          <w:szCs w:val="18"/>
          <w:lang w:val="en-US"/>
        </w:rPr>
      </w:pPr>
    </w:p>
    <w:p w14:paraId="06640129" w14:textId="4D04639A" w:rsidR="006F79F4" w:rsidRPr="00D869E3" w:rsidRDefault="006F79F4" w:rsidP="00AF7637">
      <w:pPr>
        <w:ind w:left="348" w:firstLine="720"/>
        <w:jc w:val="both"/>
        <w:rPr>
          <w:rFonts w:ascii="Verdana" w:hAnsi="Verdana"/>
          <w:sz w:val="18"/>
          <w:szCs w:val="18"/>
          <w:lang w:val="en-US"/>
        </w:rPr>
      </w:pPr>
      <w:r w:rsidRPr="00D869E3">
        <w:rPr>
          <w:rFonts w:ascii="Verdana" w:hAnsi="Verdana"/>
          <w:sz w:val="18"/>
          <w:szCs w:val="18"/>
          <w:lang w:val="en-US"/>
        </w:rPr>
        <w:t>Conclusi</w:t>
      </w:r>
      <w:r w:rsidR="00687684" w:rsidRPr="00D869E3">
        <w:rPr>
          <w:rFonts w:ascii="Verdana" w:hAnsi="Verdana"/>
          <w:sz w:val="18"/>
          <w:szCs w:val="18"/>
          <w:lang w:val="en-US"/>
        </w:rPr>
        <w:t>o</w:t>
      </w:r>
      <w:r w:rsidRPr="00D869E3">
        <w:rPr>
          <w:rFonts w:ascii="Verdana" w:hAnsi="Verdana"/>
          <w:sz w:val="18"/>
          <w:szCs w:val="18"/>
          <w:lang w:val="en-US"/>
        </w:rPr>
        <w:t>n:</w:t>
      </w:r>
    </w:p>
    <w:p w14:paraId="458D31EC" w14:textId="77777777" w:rsidR="006F79F4" w:rsidRPr="00D869E3" w:rsidRDefault="006F79F4" w:rsidP="00AF7637">
      <w:pPr>
        <w:jc w:val="both"/>
        <w:rPr>
          <w:rFonts w:ascii="Verdana" w:hAnsi="Verdana"/>
          <w:sz w:val="18"/>
          <w:szCs w:val="18"/>
          <w:lang w:val="en-US"/>
        </w:rPr>
      </w:pPr>
    </w:p>
    <w:p w14:paraId="54C11522" w14:textId="4D3392BF" w:rsidR="006F79F4" w:rsidRPr="00D869E3" w:rsidRDefault="00447C65" w:rsidP="00E66DD7">
      <w:pPr>
        <w:pStyle w:val="Prrafodelista"/>
        <w:numPr>
          <w:ilvl w:val="0"/>
          <w:numId w:val="2"/>
        </w:numPr>
        <w:tabs>
          <w:tab w:val="left" w:pos="1418"/>
        </w:tabs>
        <w:ind w:left="1775" w:hanging="357"/>
        <w:jc w:val="both"/>
        <w:rPr>
          <w:rFonts w:ascii="Verdana" w:hAnsi="Verdana"/>
          <w:sz w:val="18"/>
          <w:szCs w:val="18"/>
          <w:lang w:val="en-US"/>
        </w:rPr>
      </w:pPr>
      <w:r w:rsidRPr="00D869E3">
        <w:rPr>
          <w:rFonts w:ascii="Verdana" w:hAnsi="Verdana"/>
          <w:sz w:val="18"/>
          <w:szCs w:val="18"/>
          <w:lang w:val="en-US"/>
        </w:rPr>
        <w:t>The State</w:t>
      </w:r>
      <w:r w:rsidR="006F79F4" w:rsidRPr="00D869E3">
        <w:rPr>
          <w:rFonts w:ascii="Verdana" w:hAnsi="Verdana"/>
          <w:sz w:val="18"/>
          <w:szCs w:val="18"/>
          <w:lang w:val="en-US"/>
        </w:rPr>
        <w:t xml:space="preserve"> </w:t>
      </w:r>
      <w:r w:rsidR="00687684" w:rsidRPr="00D869E3">
        <w:rPr>
          <w:rFonts w:ascii="Verdana" w:hAnsi="Verdana"/>
          <w:sz w:val="18"/>
          <w:szCs w:val="18"/>
          <w:lang w:val="en-US"/>
        </w:rPr>
        <w:t>is</w:t>
      </w:r>
      <w:r w:rsidR="006F79F4" w:rsidRPr="00D869E3">
        <w:rPr>
          <w:rFonts w:ascii="Verdana" w:hAnsi="Verdana"/>
          <w:sz w:val="18"/>
          <w:szCs w:val="18"/>
          <w:lang w:val="en-US"/>
        </w:rPr>
        <w:t xml:space="preserve"> respons</w:t>
      </w:r>
      <w:r w:rsidR="00687684" w:rsidRPr="00D869E3">
        <w:rPr>
          <w:rFonts w:ascii="Verdana" w:hAnsi="Verdana"/>
          <w:sz w:val="18"/>
          <w:szCs w:val="18"/>
          <w:lang w:val="en-US"/>
        </w:rPr>
        <w:t>i</w:t>
      </w:r>
      <w:r w:rsidR="006F79F4" w:rsidRPr="00D869E3">
        <w:rPr>
          <w:rFonts w:ascii="Verdana" w:hAnsi="Verdana"/>
          <w:sz w:val="18"/>
          <w:szCs w:val="18"/>
          <w:lang w:val="en-US"/>
        </w:rPr>
        <w:t xml:space="preserve">ble </w:t>
      </w:r>
      <w:r w:rsidR="00687684" w:rsidRPr="00D869E3">
        <w:rPr>
          <w:rFonts w:ascii="Verdana" w:hAnsi="Verdana"/>
          <w:sz w:val="18"/>
          <w:szCs w:val="18"/>
          <w:lang w:val="en-US"/>
        </w:rPr>
        <w:t>for the violation of the right</w:t>
      </w:r>
      <w:r w:rsidR="00D21668" w:rsidRPr="00D869E3">
        <w:rPr>
          <w:rFonts w:ascii="Verdana" w:hAnsi="Verdana"/>
          <w:sz w:val="18"/>
          <w:szCs w:val="18"/>
          <w:lang w:val="en-US"/>
        </w:rPr>
        <w:t>s</w:t>
      </w:r>
      <w:r w:rsidR="00687684" w:rsidRPr="00D869E3">
        <w:rPr>
          <w:rFonts w:ascii="Verdana" w:hAnsi="Verdana"/>
          <w:sz w:val="18"/>
          <w:szCs w:val="18"/>
          <w:lang w:val="en-US"/>
        </w:rPr>
        <w:t xml:space="preserve"> to a fair trial and to freedom of expression </w:t>
      </w:r>
      <w:r w:rsidR="00D21668" w:rsidRPr="00D869E3">
        <w:rPr>
          <w:rFonts w:ascii="Verdana" w:hAnsi="Verdana"/>
          <w:sz w:val="18"/>
          <w:szCs w:val="18"/>
          <w:lang w:val="en-US"/>
        </w:rPr>
        <w:t>pursuant to</w:t>
      </w:r>
      <w:r w:rsidR="00687684" w:rsidRPr="00D869E3">
        <w:rPr>
          <w:rFonts w:ascii="Verdana" w:hAnsi="Verdana"/>
          <w:sz w:val="18"/>
          <w:szCs w:val="18"/>
          <w:lang w:val="en-US"/>
        </w:rPr>
        <w:t xml:space="preserve"> </w:t>
      </w:r>
      <w:r w:rsidRPr="00D869E3">
        <w:rPr>
          <w:rFonts w:ascii="Verdana" w:hAnsi="Verdana"/>
          <w:sz w:val="18"/>
          <w:szCs w:val="18"/>
          <w:lang w:val="en-US"/>
        </w:rPr>
        <w:t>Articles</w:t>
      </w:r>
      <w:r w:rsidR="006F79F4" w:rsidRPr="00D869E3">
        <w:rPr>
          <w:rFonts w:ascii="Verdana" w:hAnsi="Verdana"/>
          <w:sz w:val="18"/>
          <w:szCs w:val="18"/>
          <w:lang w:val="en-US"/>
        </w:rPr>
        <w:t xml:space="preserve"> </w:t>
      </w:r>
      <w:r w:rsidR="00687684" w:rsidRPr="00D869E3">
        <w:rPr>
          <w:rFonts w:ascii="Verdana" w:hAnsi="Verdana"/>
          <w:sz w:val="18"/>
          <w:szCs w:val="18"/>
          <w:lang w:val="en-US"/>
        </w:rPr>
        <w:t xml:space="preserve">8(1) and </w:t>
      </w:r>
      <w:r w:rsidR="006F79F4" w:rsidRPr="00D869E3">
        <w:rPr>
          <w:rFonts w:ascii="Verdana" w:hAnsi="Verdana"/>
          <w:sz w:val="18"/>
          <w:szCs w:val="18"/>
          <w:lang w:val="en-US"/>
        </w:rPr>
        <w:t>13</w:t>
      </w:r>
      <w:r w:rsidRPr="00D869E3">
        <w:rPr>
          <w:rFonts w:ascii="Verdana" w:hAnsi="Verdana"/>
          <w:sz w:val="18"/>
          <w:szCs w:val="18"/>
          <w:lang w:val="en-US"/>
        </w:rPr>
        <w:t xml:space="preserve"> of the American Convention</w:t>
      </w:r>
      <w:r w:rsidR="006F79F4" w:rsidRPr="00D869E3">
        <w:rPr>
          <w:rFonts w:ascii="Verdana" w:hAnsi="Verdana"/>
          <w:sz w:val="18"/>
          <w:szCs w:val="18"/>
          <w:lang w:val="en-US"/>
        </w:rPr>
        <w:t xml:space="preserve"> </w:t>
      </w:r>
      <w:r w:rsidR="00687684" w:rsidRPr="00D869E3">
        <w:rPr>
          <w:rFonts w:ascii="Verdana" w:hAnsi="Verdana"/>
          <w:sz w:val="18"/>
          <w:szCs w:val="18"/>
          <w:lang w:val="en-US"/>
        </w:rPr>
        <w:t>in relation to</w:t>
      </w:r>
      <w:r w:rsidR="006F79F4" w:rsidRPr="00D869E3">
        <w:rPr>
          <w:rFonts w:ascii="Verdana" w:hAnsi="Verdana"/>
          <w:sz w:val="18"/>
          <w:szCs w:val="18"/>
          <w:lang w:val="en-US"/>
        </w:rPr>
        <w:t xml:space="preserve"> </w:t>
      </w:r>
      <w:r w:rsidR="00687684" w:rsidRPr="00D869E3">
        <w:rPr>
          <w:rFonts w:ascii="Verdana" w:hAnsi="Verdana"/>
          <w:sz w:val="18"/>
          <w:szCs w:val="18"/>
          <w:lang w:val="en-US"/>
        </w:rPr>
        <w:t>Articles 1(1)</w:t>
      </w:r>
      <w:r w:rsidR="006F79F4" w:rsidRPr="00D869E3">
        <w:rPr>
          <w:rFonts w:ascii="Verdana" w:hAnsi="Verdana"/>
          <w:sz w:val="18"/>
          <w:szCs w:val="18"/>
          <w:lang w:val="en-US"/>
        </w:rPr>
        <w:t>, 2</w:t>
      </w:r>
      <w:r w:rsidR="00687684" w:rsidRPr="00D869E3">
        <w:rPr>
          <w:rFonts w:ascii="Verdana" w:hAnsi="Verdana"/>
          <w:sz w:val="18"/>
          <w:szCs w:val="18"/>
          <w:lang w:val="en-US"/>
        </w:rPr>
        <w:t xml:space="preserve"> and 16(1)</w:t>
      </w:r>
      <w:r w:rsidR="006F79F4" w:rsidRPr="00D869E3">
        <w:rPr>
          <w:rFonts w:ascii="Verdana" w:hAnsi="Verdana"/>
          <w:sz w:val="18"/>
          <w:szCs w:val="18"/>
          <w:lang w:val="en-US"/>
        </w:rPr>
        <w:t xml:space="preserve"> </w:t>
      </w:r>
      <w:r w:rsidR="00687684" w:rsidRPr="00D869E3">
        <w:rPr>
          <w:rFonts w:ascii="Verdana" w:hAnsi="Verdana"/>
          <w:sz w:val="18"/>
          <w:szCs w:val="18"/>
          <w:lang w:val="en-US"/>
        </w:rPr>
        <w:t>of this instrument</w:t>
      </w:r>
      <w:r w:rsidR="006F79F4" w:rsidRPr="00D869E3">
        <w:rPr>
          <w:rFonts w:ascii="Verdana" w:hAnsi="Verdana"/>
          <w:sz w:val="18"/>
          <w:szCs w:val="18"/>
          <w:lang w:val="en-US"/>
        </w:rPr>
        <w:t xml:space="preserve">, </w:t>
      </w:r>
      <w:r w:rsidR="00D21668" w:rsidRPr="00D869E3">
        <w:rPr>
          <w:rFonts w:ascii="Verdana" w:hAnsi="Verdana"/>
          <w:sz w:val="18"/>
          <w:szCs w:val="18"/>
          <w:lang w:val="en-US"/>
        </w:rPr>
        <w:t>to the detriment of</w:t>
      </w:r>
      <w:r w:rsidR="00687684" w:rsidRPr="00D869E3">
        <w:rPr>
          <w:rFonts w:ascii="Verdana" w:hAnsi="Verdana"/>
          <w:sz w:val="18"/>
          <w:szCs w:val="18"/>
          <w:lang w:val="en-US"/>
        </w:rPr>
        <w:t xml:space="preserve"> Mr. Lagos</w:t>
      </w:r>
      <w:r w:rsidR="006F79F4" w:rsidRPr="00D869E3">
        <w:rPr>
          <w:rFonts w:ascii="Verdana" w:hAnsi="Verdana"/>
          <w:sz w:val="18"/>
          <w:szCs w:val="18"/>
          <w:lang w:val="en-US"/>
        </w:rPr>
        <w:t xml:space="preserve"> del Campo.</w:t>
      </w:r>
    </w:p>
    <w:p w14:paraId="0E54907F" w14:textId="77777777" w:rsidR="006F79F4" w:rsidRPr="00D869E3" w:rsidRDefault="006F79F4" w:rsidP="00AF7637">
      <w:pPr>
        <w:jc w:val="both"/>
        <w:rPr>
          <w:rFonts w:ascii="Verdana" w:hAnsi="Verdana"/>
          <w:sz w:val="18"/>
          <w:szCs w:val="18"/>
          <w:lang w:val="en-US"/>
        </w:rPr>
      </w:pPr>
    </w:p>
    <w:p w14:paraId="5D381520" w14:textId="13398E45" w:rsidR="006F79F4" w:rsidRPr="00D869E3" w:rsidRDefault="006F79F4" w:rsidP="00AF7637">
      <w:pPr>
        <w:ind w:left="348" w:firstLine="720"/>
        <w:jc w:val="both"/>
        <w:rPr>
          <w:rFonts w:ascii="Verdana" w:hAnsi="Verdana"/>
          <w:sz w:val="18"/>
          <w:szCs w:val="18"/>
          <w:lang w:val="en-US"/>
        </w:rPr>
      </w:pPr>
      <w:r w:rsidRPr="00D869E3">
        <w:rPr>
          <w:rFonts w:ascii="Verdana" w:hAnsi="Verdana"/>
          <w:sz w:val="18"/>
          <w:szCs w:val="18"/>
          <w:lang w:val="en-US"/>
        </w:rPr>
        <w:t>Recom</w:t>
      </w:r>
      <w:r w:rsidR="00687684" w:rsidRPr="00D869E3">
        <w:rPr>
          <w:rFonts w:ascii="Verdana" w:hAnsi="Verdana"/>
          <w:sz w:val="18"/>
          <w:szCs w:val="18"/>
          <w:lang w:val="en-US"/>
        </w:rPr>
        <w:t>m</w:t>
      </w:r>
      <w:r w:rsidRPr="00D869E3">
        <w:rPr>
          <w:rFonts w:ascii="Verdana" w:hAnsi="Verdana"/>
          <w:sz w:val="18"/>
          <w:szCs w:val="18"/>
          <w:lang w:val="en-US"/>
        </w:rPr>
        <w:t>en</w:t>
      </w:r>
      <w:r w:rsidR="00D21668" w:rsidRPr="00D869E3">
        <w:rPr>
          <w:rFonts w:ascii="Verdana" w:hAnsi="Verdana"/>
          <w:sz w:val="18"/>
          <w:szCs w:val="18"/>
          <w:lang w:val="en-US"/>
        </w:rPr>
        <w:t>da</w:t>
      </w:r>
      <w:r w:rsidR="00687684" w:rsidRPr="00D869E3">
        <w:rPr>
          <w:rFonts w:ascii="Verdana" w:hAnsi="Verdana"/>
          <w:sz w:val="18"/>
          <w:szCs w:val="18"/>
          <w:lang w:val="en-US"/>
        </w:rPr>
        <w:t>tion</w:t>
      </w:r>
      <w:r w:rsidRPr="00D869E3">
        <w:rPr>
          <w:rFonts w:ascii="Verdana" w:hAnsi="Verdana"/>
          <w:sz w:val="18"/>
          <w:szCs w:val="18"/>
          <w:lang w:val="en-US"/>
        </w:rPr>
        <w:t>s:</w:t>
      </w:r>
    </w:p>
    <w:p w14:paraId="4B8F6748" w14:textId="77777777" w:rsidR="006F79F4" w:rsidRPr="00D869E3" w:rsidRDefault="006F79F4" w:rsidP="00AF7637">
      <w:pPr>
        <w:jc w:val="both"/>
        <w:rPr>
          <w:rFonts w:ascii="Verdana" w:hAnsi="Verdana"/>
          <w:sz w:val="18"/>
          <w:szCs w:val="18"/>
          <w:lang w:val="en-US"/>
        </w:rPr>
      </w:pPr>
    </w:p>
    <w:p w14:paraId="577A1C42" w14:textId="7A49240D" w:rsidR="006F79F4" w:rsidRPr="00D869E3" w:rsidRDefault="00687684" w:rsidP="00E66DD7">
      <w:pPr>
        <w:pStyle w:val="Prrafodelista"/>
        <w:numPr>
          <w:ilvl w:val="0"/>
          <w:numId w:val="5"/>
        </w:numPr>
        <w:jc w:val="both"/>
        <w:rPr>
          <w:rFonts w:ascii="Verdana" w:hAnsi="Verdana"/>
          <w:sz w:val="18"/>
          <w:szCs w:val="18"/>
          <w:lang w:val="en-US"/>
        </w:rPr>
      </w:pPr>
      <w:r w:rsidRPr="00D869E3">
        <w:rPr>
          <w:rFonts w:ascii="Verdana" w:eastAsiaTheme="minorHAnsi" w:hAnsi="Verdana" w:cs="Arial"/>
          <w:sz w:val="18"/>
          <w:szCs w:val="18"/>
          <w:lang w:val="en-US"/>
        </w:rPr>
        <w:t xml:space="preserve">Provide </w:t>
      </w:r>
      <w:r w:rsidR="00BB61A6" w:rsidRPr="00D869E3">
        <w:rPr>
          <w:rFonts w:ascii="Verdana" w:eastAsiaTheme="minorHAnsi" w:hAnsi="Verdana" w:cs="Arial"/>
          <w:sz w:val="18"/>
          <w:szCs w:val="18"/>
          <w:lang w:val="en-US"/>
        </w:rPr>
        <w:t xml:space="preserve">comprehensive reparation to Mr. </w:t>
      </w:r>
      <w:r w:rsidR="006F79F4" w:rsidRPr="00D869E3">
        <w:rPr>
          <w:rFonts w:ascii="Verdana" w:eastAsiaTheme="minorHAnsi" w:hAnsi="Verdana" w:cs="Arial"/>
          <w:sz w:val="18"/>
          <w:szCs w:val="18"/>
          <w:lang w:val="en-US"/>
        </w:rPr>
        <w:t xml:space="preserve">Lagos del Campo </w:t>
      </w:r>
      <w:r w:rsidR="00BB61A6" w:rsidRPr="00D869E3">
        <w:rPr>
          <w:rFonts w:ascii="Verdana" w:eastAsiaTheme="minorHAnsi" w:hAnsi="Verdana" w:cs="Arial"/>
          <w:sz w:val="18"/>
          <w:szCs w:val="18"/>
          <w:lang w:val="en-US"/>
        </w:rPr>
        <w:t>for the violations declared in the report. This reparation shou</w:t>
      </w:r>
      <w:r w:rsidR="00D21668" w:rsidRPr="00D869E3">
        <w:rPr>
          <w:rFonts w:ascii="Verdana" w:eastAsiaTheme="minorHAnsi" w:hAnsi="Verdana" w:cs="Arial"/>
          <w:sz w:val="18"/>
          <w:szCs w:val="18"/>
          <w:lang w:val="en-US"/>
        </w:rPr>
        <w:t>ld</w:t>
      </w:r>
      <w:r w:rsidR="00BB61A6" w:rsidRPr="00D869E3">
        <w:rPr>
          <w:rFonts w:ascii="Verdana" w:eastAsiaTheme="minorHAnsi" w:hAnsi="Verdana" w:cs="Arial"/>
          <w:sz w:val="18"/>
          <w:szCs w:val="18"/>
          <w:lang w:val="en-US"/>
        </w:rPr>
        <w:t xml:space="preserve"> include bot</w:t>
      </w:r>
      <w:r w:rsidR="00D21668" w:rsidRPr="00D869E3">
        <w:rPr>
          <w:rFonts w:ascii="Verdana" w:eastAsiaTheme="minorHAnsi" w:hAnsi="Verdana" w:cs="Arial"/>
          <w:sz w:val="18"/>
          <w:szCs w:val="18"/>
          <w:lang w:val="en-US"/>
        </w:rPr>
        <w:t>h</w:t>
      </w:r>
      <w:r w:rsidR="00BB61A6" w:rsidRPr="00D869E3">
        <w:rPr>
          <w:rFonts w:ascii="Verdana" w:eastAsiaTheme="minorHAnsi" w:hAnsi="Verdana" w:cs="Arial"/>
          <w:sz w:val="18"/>
          <w:szCs w:val="18"/>
          <w:lang w:val="en-US"/>
        </w:rPr>
        <w:t xml:space="preserve"> the pecuniary and the non-pecuniary aspects;</w:t>
      </w:r>
    </w:p>
    <w:p w14:paraId="029AE76C" w14:textId="77777777" w:rsidR="006F79F4" w:rsidRPr="00D869E3" w:rsidRDefault="006F79F4" w:rsidP="00AF7637">
      <w:pPr>
        <w:pStyle w:val="Prrafodelista"/>
        <w:ind w:left="1776"/>
        <w:jc w:val="both"/>
        <w:rPr>
          <w:rFonts w:ascii="Verdana" w:hAnsi="Verdana"/>
          <w:sz w:val="18"/>
          <w:szCs w:val="18"/>
          <w:lang w:val="en-US"/>
        </w:rPr>
      </w:pPr>
    </w:p>
    <w:p w14:paraId="0BACCCBD" w14:textId="15F2AE4B" w:rsidR="006F79F4" w:rsidRPr="00D869E3" w:rsidRDefault="006F79F4" w:rsidP="00E66DD7">
      <w:pPr>
        <w:pStyle w:val="Prrafodelista"/>
        <w:numPr>
          <w:ilvl w:val="0"/>
          <w:numId w:val="5"/>
        </w:numPr>
        <w:ind w:left="1775" w:hanging="357"/>
        <w:jc w:val="both"/>
        <w:rPr>
          <w:rFonts w:ascii="Verdana" w:hAnsi="Verdana"/>
          <w:sz w:val="18"/>
          <w:szCs w:val="18"/>
          <w:lang w:val="en-US"/>
        </w:rPr>
      </w:pPr>
      <w:r w:rsidRPr="00D869E3">
        <w:rPr>
          <w:rFonts w:ascii="Verdana" w:eastAsiaTheme="minorHAnsi" w:hAnsi="Verdana" w:cs="Arial"/>
          <w:sz w:val="18"/>
          <w:szCs w:val="18"/>
          <w:lang w:val="en-US"/>
        </w:rPr>
        <w:t>Adopt</w:t>
      </w:r>
      <w:r w:rsidR="00BB61A6" w:rsidRPr="00D869E3">
        <w:rPr>
          <w:rFonts w:ascii="Verdana" w:eastAsiaTheme="minorHAnsi" w:hAnsi="Verdana" w:cs="Arial"/>
          <w:sz w:val="18"/>
          <w:szCs w:val="18"/>
          <w:lang w:val="en-US"/>
        </w:rPr>
        <w:t xml:space="preserve"> </w:t>
      </w:r>
      <w:r w:rsidR="00BB61A6" w:rsidRPr="00D869E3">
        <w:rPr>
          <w:rFonts w:ascii="Verdana" w:hAnsi="Verdana"/>
          <w:sz w:val="18"/>
          <w:szCs w:val="18"/>
          <w:lang w:val="en-US"/>
        </w:rPr>
        <w:t>measures of non-repetition to guarantee that workers’ representatives and labor union leaders can enjoy</w:t>
      </w:r>
      <w:r w:rsidR="00BB61A6" w:rsidRPr="00D869E3">
        <w:rPr>
          <w:rFonts w:ascii="Verdana" w:eastAsiaTheme="minorHAnsi" w:hAnsi="Verdana" w:cs="Arial"/>
          <w:sz w:val="18"/>
          <w:szCs w:val="18"/>
          <w:lang w:val="en-US"/>
        </w:rPr>
        <w:t xml:space="preserve"> </w:t>
      </w:r>
      <w:r w:rsidR="00BB61A6" w:rsidRPr="00D869E3">
        <w:rPr>
          <w:rFonts w:ascii="Verdana" w:hAnsi="Verdana"/>
          <w:sz w:val="18"/>
          <w:szCs w:val="18"/>
          <w:lang w:val="en-US"/>
        </w:rPr>
        <w:t>their right to freedom of expression in accordance with the standards established in this report</w:t>
      </w:r>
      <w:r w:rsidRPr="00D869E3">
        <w:rPr>
          <w:rFonts w:ascii="Verdana" w:eastAsiaTheme="minorHAnsi" w:hAnsi="Verdana" w:cs="Arial"/>
          <w:sz w:val="18"/>
          <w:szCs w:val="18"/>
          <w:lang w:val="en-US"/>
        </w:rPr>
        <w:t xml:space="preserve">, </w:t>
      </w:r>
      <w:r w:rsidR="00BB61A6" w:rsidRPr="00D869E3">
        <w:rPr>
          <w:rFonts w:ascii="Verdana" w:eastAsiaTheme="minorHAnsi" w:hAnsi="Verdana" w:cs="Arial"/>
          <w:sz w:val="18"/>
          <w:szCs w:val="18"/>
          <w:lang w:val="en-US"/>
        </w:rPr>
        <w:t>and</w:t>
      </w:r>
    </w:p>
    <w:p w14:paraId="49AE5268" w14:textId="77777777" w:rsidR="00BB61A6" w:rsidRPr="00D869E3" w:rsidRDefault="00BB61A6" w:rsidP="00BB61A6">
      <w:pPr>
        <w:pStyle w:val="Prrafodelista"/>
        <w:rPr>
          <w:rFonts w:ascii="Verdana" w:hAnsi="Verdana"/>
          <w:sz w:val="18"/>
          <w:szCs w:val="18"/>
          <w:lang w:val="en-US"/>
        </w:rPr>
      </w:pPr>
    </w:p>
    <w:p w14:paraId="08769E94" w14:textId="06043451" w:rsidR="00BB61A6" w:rsidRPr="00D869E3" w:rsidRDefault="00BB61A6" w:rsidP="00E66DD7">
      <w:pPr>
        <w:pStyle w:val="Prrafodelista"/>
        <w:numPr>
          <w:ilvl w:val="0"/>
          <w:numId w:val="5"/>
        </w:numPr>
        <w:jc w:val="both"/>
        <w:rPr>
          <w:rFonts w:ascii="Verdana" w:hAnsi="Verdana"/>
          <w:sz w:val="18"/>
          <w:szCs w:val="18"/>
          <w:lang w:val="en-US"/>
        </w:rPr>
      </w:pPr>
      <w:r w:rsidRPr="00D869E3">
        <w:rPr>
          <w:rFonts w:ascii="Verdana" w:hAnsi="Verdana"/>
          <w:sz w:val="18"/>
          <w:szCs w:val="18"/>
          <w:lang w:val="en-US"/>
        </w:rPr>
        <w:t>Adopt measures to ensure that the application and interpretation of laws by the domestic courts are consistent with the principles established by international human rights law with respect to freedom of expression in labor-related contexts, reiterated in this case</w:t>
      </w:r>
    </w:p>
    <w:p w14:paraId="7ED779E0" w14:textId="77777777" w:rsidR="006F79F4" w:rsidRPr="00D869E3" w:rsidRDefault="006F79F4" w:rsidP="00AF7637">
      <w:pPr>
        <w:jc w:val="both"/>
        <w:rPr>
          <w:rFonts w:ascii="Verdana" w:hAnsi="Verdana"/>
          <w:sz w:val="18"/>
          <w:szCs w:val="18"/>
          <w:lang w:val="en-US"/>
        </w:rPr>
      </w:pPr>
    </w:p>
    <w:p w14:paraId="2B6B859B" w14:textId="2DE4A121" w:rsidR="006F79F4" w:rsidRPr="00D869E3" w:rsidRDefault="006F79F4" w:rsidP="00E66DD7">
      <w:pPr>
        <w:pStyle w:val="Prrafodelista"/>
        <w:numPr>
          <w:ilvl w:val="0"/>
          <w:numId w:val="4"/>
        </w:numPr>
        <w:jc w:val="both"/>
        <w:rPr>
          <w:rFonts w:ascii="Verdana" w:hAnsi="Verdana"/>
          <w:sz w:val="18"/>
          <w:szCs w:val="18"/>
          <w:lang w:val="en-US"/>
        </w:rPr>
      </w:pPr>
      <w:r w:rsidRPr="00D869E3">
        <w:rPr>
          <w:rFonts w:ascii="Verdana" w:hAnsi="Verdana"/>
          <w:i/>
          <w:sz w:val="18"/>
          <w:szCs w:val="18"/>
          <w:lang w:val="en-US"/>
        </w:rPr>
        <w:t>Notifica</w:t>
      </w:r>
      <w:r w:rsidR="00BB61A6" w:rsidRPr="00D869E3">
        <w:rPr>
          <w:rFonts w:ascii="Verdana" w:hAnsi="Verdana"/>
          <w:i/>
          <w:sz w:val="18"/>
          <w:szCs w:val="18"/>
          <w:lang w:val="en-US"/>
        </w:rPr>
        <w:t xml:space="preserve">tion of the State. </w:t>
      </w:r>
      <w:r w:rsidR="00BB61A6" w:rsidRPr="00D869E3">
        <w:rPr>
          <w:rFonts w:ascii="Verdana" w:hAnsi="Verdana"/>
          <w:sz w:val="18"/>
          <w:szCs w:val="18"/>
          <w:lang w:val="en-US"/>
        </w:rPr>
        <w:t>On August 28,</w:t>
      </w:r>
      <w:r w:rsidRPr="00D869E3">
        <w:rPr>
          <w:rFonts w:ascii="Verdana" w:hAnsi="Verdana"/>
          <w:sz w:val="18"/>
          <w:szCs w:val="18"/>
          <w:lang w:val="en-US"/>
        </w:rPr>
        <w:t xml:space="preserve"> 2015</w:t>
      </w:r>
      <w:r w:rsidR="00BB61A6" w:rsidRPr="00D869E3">
        <w:rPr>
          <w:rFonts w:ascii="Verdana" w:hAnsi="Verdana"/>
          <w:sz w:val="18"/>
          <w:szCs w:val="18"/>
          <w:lang w:val="en-US"/>
        </w:rPr>
        <w:t xml:space="preserve">, </w:t>
      </w:r>
      <w:r w:rsidR="00447C65" w:rsidRPr="00D869E3">
        <w:rPr>
          <w:rFonts w:ascii="Verdana" w:hAnsi="Verdana"/>
          <w:sz w:val="18"/>
          <w:szCs w:val="18"/>
          <w:lang w:val="en-US"/>
        </w:rPr>
        <w:t>the Commission</w:t>
      </w:r>
      <w:r w:rsidRPr="00D869E3">
        <w:rPr>
          <w:rFonts w:ascii="Verdana" w:hAnsi="Verdana"/>
          <w:sz w:val="18"/>
          <w:szCs w:val="18"/>
          <w:lang w:val="en-US"/>
        </w:rPr>
        <w:t xml:space="preserve"> notif</w:t>
      </w:r>
      <w:r w:rsidR="00BB61A6" w:rsidRPr="00D869E3">
        <w:rPr>
          <w:rFonts w:ascii="Verdana" w:hAnsi="Verdana"/>
          <w:sz w:val="18"/>
          <w:szCs w:val="18"/>
          <w:lang w:val="en-US"/>
        </w:rPr>
        <w:t>ied the</w:t>
      </w:r>
      <w:r w:rsidRPr="00D869E3">
        <w:rPr>
          <w:rFonts w:ascii="Verdana" w:hAnsi="Verdana"/>
          <w:sz w:val="18"/>
          <w:szCs w:val="18"/>
          <w:lang w:val="en-US"/>
        </w:rPr>
        <w:t xml:space="preserve"> </w:t>
      </w:r>
      <w:r w:rsidR="00687684" w:rsidRPr="00D869E3">
        <w:rPr>
          <w:rFonts w:ascii="Verdana" w:hAnsi="Verdana"/>
          <w:sz w:val="18"/>
          <w:szCs w:val="18"/>
          <w:lang w:val="en-US"/>
        </w:rPr>
        <w:t>Merits Report</w:t>
      </w:r>
      <w:r w:rsidRPr="00D869E3">
        <w:rPr>
          <w:rFonts w:ascii="Verdana" w:hAnsi="Verdana"/>
          <w:sz w:val="18"/>
          <w:szCs w:val="18"/>
          <w:lang w:val="en-US"/>
        </w:rPr>
        <w:t xml:space="preserve"> </w:t>
      </w:r>
      <w:r w:rsidR="00BB61A6" w:rsidRPr="00D869E3">
        <w:rPr>
          <w:rFonts w:ascii="Verdana" w:hAnsi="Verdana"/>
          <w:sz w:val="18"/>
          <w:szCs w:val="18"/>
          <w:lang w:val="en-US"/>
        </w:rPr>
        <w:t xml:space="preserve">to the State granting it two months to provide information on compliance with the recommendations. </w:t>
      </w:r>
    </w:p>
    <w:p w14:paraId="56F14F1E" w14:textId="77777777" w:rsidR="006F79F4" w:rsidRPr="00D869E3" w:rsidRDefault="006F79F4" w:rsidP="00AF7637">
      <w:pPr>
        <w:ind w:left="708"/>
        <w:jc w:val="both"/>
        <w:rPr>
          <w:rFonts w:ascii="Verdana" w:hAnsi="Verdana"/>
          <w:sz w:val="18"/>
          <w:szCs w:val="18"/>
          <w:lang w:val="en-US"/>
        </w:rPr>
      </w:pPr>
    </w:p>
    <w:p w14:paraId="02751A81" w14:textId="56569038" w:rsidR="006F79F4" w:rsidRPr="00D869E3" w:rsidRDefault="00687684" w:rsidP="00E66DD7">
      <w:pPr>
        <w:pStyle w:val="Prrafodelista"/>
        <w:numPr>
          <w:ilvl w:val="0"/>
          <w:numId w:val="4"/>
        </w:numPr>
        <w:jc w:val="both"/>
        <w:rPr>
          <w:rFonts w:ascii="Verdana" w:eastAsiaTheme="minorHAnsi" w:hAnsi="Verdana" w:cs="Arial"/>
          <w:sz w:val="18"/>
          <w:szCs w:val="18"/>
          <w:lang w:val="en-US"/>
        </w:rPr>
      </w:pPr>
      <w:r w:rsidRPr="00D869E3">
        <w:rPr>
          <w:rFonts w:ascii="Verdana" w:hAnsi="Verdana"/>
          <w:i/>
          <w:sz w:val="18"/>
          <w:szCs w:val="18"/>
          <w:lang w:val="en-US"/>
        </w:rPr>
        <w:t>Report</w:t>
      </w:r>
      <w:r w:rsidR="006F79F4" w:rsidRPr="00D869E3">
        <w:rPr>
          <w:rFonts w:ascii="Verdana" w:hAnsi="Verdana"/>
          <w:i/>
          <w:sz w:val="18"/>
          <w:szCs w:val="18"/>
          <w:lang w:val="en-US"/>
        </w:rPr>
        <w:t xml:space="preserve"> </w:t>
      </w:r>
      <w:r w:rsidR="00BB61A6" w:rsidRPr="00D869E3">
        <w:rPr>
          <w:rFonts w:ascii="Verdana" w:hAnsi="Verdana"/>
          <w:i/>
          <w:sz w:val="18"/>
          <w:szCs w:val="18"/>
          <w:lang w:val="en-US"/>
        </w:rPr>
        <w:t>on compliance</w:t>
      </w:r>
      <w:r w:rsidR="006F79F4" w:rsidRPr="00D869E3">
        <w:rPr>
          <w:rFonts w:ascii="Verdana" w:hAnsi="Verdana"/>
          <w:i/>
          <w:sz w:val="18"/>
          <w:szCs w:val="18"/>
          <w:lang w:val="en-US"/>
        </w:rPr>
        <w:t>.</w:t>
      </w:r>
      <w:r w:rsidR="006F79F4" w:rsidRPr="00D869E3">
        <w:rPr>
          <w:rFonts w:ascii="Verdana" w:hAnsi="Verdana"/>
          <w:sz w:val="18"/>
          <w:szCs w:val="18"/>
          <w:lang w:val="en-US"/>
        </w:rPr>
        <w:t xml:space="preserve"> </w:t>
      </w:r>
      <w:r w:rsidR="00BB61A6" w:rsidRPr="00D869E3">
        <w:rPr>
          <w:rFonts w:ascii="Verdana" w:hAnsi="Verdana"/>
          <w:sz w:val="18"/>
          <w:szCs w:val="18"/>
          <w:lang w:val="en-US"/>
        </w:rPr>
        <w:t>On October 29,</w:t>
      </w:r>
      <w:r w:rsidR="006F79F4" w:rsidRPr="00D869E3">
        <w:rPr>
          <w:rFonts w:ascii="Verdana" w:hAnsi="Verdana"/>
          <w:sz w:val="18"/>
          <w:szCs w:val="18"/>
          <w:lang w:val="en-US"/>
        </w:rPr>
        <w:t xml:space="preserve"> 2015</w:t>
      </w:r>
      <w:r w:rsidR="00BB61A6" w:rsidRPr="00D869E3">
        <w:rPr>
          <w:rFonts w:ascii="Verdana" w:hAnsi="Verdana"/>
          <w:sz w:val="18"/>
          <w:szCs w:val="18"/>
          <w:lang w:val="en-US"/>
        </w:rPr>
        <w:t>,</w:t>
      </w:r>
      <w:r w:rsidR="006F79F4" w:rsidRPr="00D869E3">
        <w:rPr>
          <w:rFonts w:ascii="Verdana" w:hAnsi="Verdana"/>
          <w:sz w:val="18"/>
          <w:szCs w:val="18"/>
          <w:lang w:val="en-US"/>
        </w:rPr>
        <w:t xml:space="preserve"> </w:t>
      </w:r>
      <w:r w:rsidR="00447C65" w:rsidRPr="00D869E3">
        <w:rPr>
          <w:rFonts w:ascii="Verdana" w:eastAsiaTheme="minorHAnsi" w:hAnsi="Verdana" w:cs="Arial"/>
          <w:sz w:val="18"/>
          <w:szCs w:val="18"/>
          <w:lang w:val="en-US"/>
        </w:rPr>
        <w:t>the State</w:t>
      </w:r>
      <w:r w:rsidR="006F79F4" w:rsidRPr="00D869E3">
        <w:rPr>
          <w:rFonts w:ascii="Verdana" w:eastAsiaTheme="minorHAnsi" w:hAnsi="Verdana" w:cs="Arial"/>
          <w:sz w:val="18"/>
          <w:szCs w:val="18"/>
          <w:lang w:val="en-US"/>
        </w:rPr>
        <w:t xml:space="preserve"> present</w:t>
      </w:r>
      <w:r w:rsidR="00BB61A6" w:rsidRPr="00D869E3">
        <w:rPr>
          <w:rFonts w:ascii="Verdana" w:eastAsiaTheme="minorHAnsi" w:hAnsi="Verdana" w:cs="Arial"/>
          <w:sz w:val="18"/>
          <w:szCs w:val="18"/>
          <w:lang w:val="en-US"/>
        </w:rPr>
        <w:t>ed a report in which it indicated that it had not violated the</w:t>
      </w:r>
      <w:r w:rsidR="00D21668" w:rsidRPr="00D869E3">
        <w:rPr>
          <w:rFonts w:ascii="Verdana" w:eastAsiaTheme="minorHAnsi" w:hAnsi="Verdana" w:cs="Arial"/>
          <w:sz w:val="18"/>
          <w:szCs w:val="18"/>
          <w:lang w:val="en-US"/>
        </w:rPr>
        <w:t xml:space="preserve"> rights</w:t>
      </w:r>
      <w:r w:rsidR="00BB61A6" w:rsidRPr="00D869E3">
        <w:rPr>
          <w:rFonts w:ascii="Verdana" w:eastAsiaTheme="minorHAnsi" w:hAnsi="Verdana" w:cs="Arial"/>
          <w:sz w:val="18"/>
          <w:szCs w:val="18"/>
          <w:lang w:val="en-US"/>
        </w:rPr>
        <w:t xml:space="preserve"> established in </w:t>
      </w:r>
      <w:r w:rsidR="00447C65" w:rsidRPr="00D869E3">
        <w:rPr>
          <w:rFonts w:ascii="Verdana" w:eastAsiaTheme="minorHAnsi" w:hAnsi="Verdana" w:cs="Arial"/>
          <w:sz w:val="18"/>
          <w:szCs w:val="18"/>
          <w:lang w:val="en-US"/>
        </w:rPr>
        <w:t>Articles</w:t>
      </w:r>
      <w:r w:rsidR="006F79F4" w:rsidRPr="00D869E3">
        <w:rPr>
          <w:rFonts w:ascii="Verdana" w:eastAsiaTheme="minorHAnsi" w:hAnsi="Verdana" w:cs="Arial"/>
          <w:sz w:val="18"/>
          <w:szCs w:val="18"/>
          <w:lang w:val="en-US"/>
        </w:rPr>
        <w:t xml:space="preserve"> </w:t>
      </w:r>
      <w:r w:rsidRPr="00D869E3">
        <w:rPr>
          <w:rFonts w:ascii="Verdana" w:eastAsiaTheme="minorHAnsi" w:hAnsi="Verdana" w:cs="Arial"/>
          <w:sz w:val="18"/>
          <w:szCs w:val="18"/>
          <w:lang w:val="en-US"/>
        </w:rPr>
        <w:t xml:space="preserve">8(1) and </w:t>
      </w:r>
      <w:r w:rsidR="006F79F4" w:rsidRPr="00D869E3">
        <w:rPr>
          <w:rFonts w:ascii="Verdana" w:eastAsiaTheme="minorHAnsi" w:hAnsi="Verdana" w:cs="Arial"/>
          <w:sz w:val="18"/>
          <w:szCs w:val="18"/>
          <w:lang w:val="en-US"/>
        </w:rPr>
        <w:t>13</w:t>
      </w:r>
      <w:r w:rsidR="00447C65" w:rsidRPr="00D869E3">
        <w:rPr>
          <w:rFonts w:ascii="Verdana" w:eastAsiaTheme="minorHAnsi" w:hAnsi="Verdana" w:cs="Arial"/>
          <w:sz w:val="18"/>
          <w:szCs w:val="18"/>
          <w:lang w:val="en-US"/>
        </w:rPr>
        <w:t xml:space="preserve"> of the Convention</w:t>
      </w:r>
      <w:r w:rsidR="003E68B9" w:rsidRPr="00D869E3">
        <w:rPr>
          <w:rFonts w:ascii="Verdana" w:eastAsiaTheme="minorHAnsi" w:hAnsi="Verdana" w:cs="Arial"/>
          <w:sz w:val="18"/>
          <w:szCs w:val="18"/>
          <w:lang w:val="en-US"/>
        </w:rPr>
        <w:t>,</w:t>
      </w:r>
      <w:r w:rsidR="006F79F4" w:rsidRPr="00D869E3">
        <w:rPr>
          <w:rFonts w:ascii="Verdana" w:eastAsiaTheme="minorHAnsi" w:hAnsi="Verdana" w:cs="Arial"/>
          <w:sz w:val="18"/>
          <w:szCs w:val="18"/>
          <w:lang w:val="en-US"/>
        </w:rPr>
        <w:t xml:space="preserve"> </w:t>
      </w:r>
      <w:r w:rsidR="00BB61A6" w:rsidRPr="00D869E3">
        <w:rPr>
          <w:rFonts w:ascii="Verdana" w:eastAsiaTheme="minorHAnsi" w:hAnsi="Verdana" w:cs="Arial"/>
          <w:sz w:val="18"/>
          <w:szCs w:val="18"/>
          <w:lang w:val="en-US"/>
        </w:rPr>
        <w:t>in relation to</w:t>
      </w:r>
      <w:r w:rsidR="006F79F4" w:rsidRPr="00D869E3">
        <w:rPr>
          <w:rFonts w:ascii="Verdana" w:eastAsiaTheme="minorHAnsi" w:hAnsi="Verdana" w:cs="Arial"/>
          <w:sz w:val="18"/>
          <w:szCs w:val="18"/>
          <w:lang w:val="en-US"/>
        </w:rPr>
        <w:t xml:space="preserve"> </w:t>
      </w:r>
      <w:r w:rsidRPr="00D869E3">
        <w:rPr>
          <w:rFonts w:ascii="Verdana" w:eastAsiaTheme="minorHAnsi" w:hAnsi="Verdana" w:cs="Arial"/>
          <w:sz w:val="18"/>
          <w:szCs w:val="18"/>
          <w:lang w:val="en-US"/>
        </w:rPr>
        <w:t>Articles 1(1)</w:t>
      </w:r>
      <w:r w:rsidR="006F79F4" w:rsidRPr="00D869E3">
        <w:rPr>
          <w:rFonts w:ascii="Verdana" w:eastAsiaTheme="minorHAnsi" w:hAnsi="Verdana" w:cs="Arial"/>
          <w:sz w:val="18"/>
          <w:szCs w:val="18"/>
          <w:lang w:val="en-US"/>
        </w:rPr>
        <w:t>, 2</w:t>
      </w:r>
      <w:r w:rsidRPr="00D869E3">
        <w:rPr>
          <w:rFonts w:ascii="Verdana" w:eastAsiaTheme="minorHAnsi" w:hAnsi="Verdana" w:cs="Arial"/>
          <w:sz w:val="18"/>
          <w:szCs w:val="18"/>
          <w:lang w:val="en-US"/>
        </w:rPr>
        <w:t xml:space="preserve"> and 16(1)</w:t>
      </w:r>
      <w:r w:rsidR="006F79F4" w:rsidRPr="00D869E3">
        <w:rPr>
          <w:rFonts w:ascii="Verdana" w:eastAsiaTheme="minorHAnsi" w:hAnsi="Verdana" w:cs="Arial"/>
          <w:sz w:val="18"/>
          <w:szCs w:val="18"/>
          <w:lang w:val="en-US"/>
        </w:rPr>
        <w:t xml:space="preserve"> </w:t>
      </w:r>
      <w:r w:rsidRPr="00D869E3">
        <w:rPr>
          <w:rFonts w:ascii="Verdana" w:eastAsiaTheme="minorHAnsi" w:hAnsi="Verdana" w:cs="Arial"/>
          <w:sz w:val="18"/>
          <w:szCs w:val="18"/>
          <w:lang w:val="en-US"/>
        </w:rPr>
        <w:t>of this instrument</w:t>
      </w:r>
      <w:r w:rsidR="006F79F4" w:rsidRPr="00D869E3">
        <w:rPr>
          <w:rFonts w:ascii="Verdana" w:eastAsiaTheme="minorHAnsi" w:hAnsi="Verdana" w:cs="Arial"/>
          <w:sz w:val="18"/>
          <w:szCs w:val="18"/>
          <w:lang w:val="en-US"/>
        </w:rPr>
        <w:t xml:space="preserve">, </w:t>
      </w:r>
      <w:r w:rsidR="00D21668" w:rsidRPr="00D869E3">
        <w:rPr>
          <w:rFonts w:ascii="Verdana" w:eastAsiaTheme="minorHAnsi" w:hAnsi="Verdana" w:cs="Arial"/>
          <w:sz w:val="18"/>
          <w:szCs w:val="18"/>
          <w:lang w:val="en-US"/>
        </w:rPr>
        <w:t xml:space="preserve">to the detriment of </w:t>
      </w:r>
      <w:r w:rsidRPr="00D869E3">
        <w:rPr>
          <w:rFonts w:ascii="Verdana" w:eastAsiaTheme="minorHAnsi" w:hAnsi="Verdana" w:cs="Arial"/>
          <w:sz w:val="18"/>
          <w:szCs w:val="18"/>
          <w:lang w:val="en-US"/>
        </w:rPr>
        <w:t>Mr. Lagos</w:t>
      </w:r>
      <w:r w:rsidR="006F79F4" w:rsidRPr="00D869E3">
        <w:rPr>
          <w:rFonts w:ascii="Verdana" w:eastAsiaTheme="minorHAnsi" w:hAnsi="Verdana" w:cs="Arial"/>
          <w:sz w:val="18"/>
          <w:szCs w:val="18"/>
          <w:lang w:val="en-US"/>
        </w:rPr>
        <w:t xml:space="preserve"> del Campo.</w:t>
      </w:r>
    </w:p>
    <w:p w14:paraId="618669DA" w14:textId="77777777" w:rsidR="006F79F4" w:rsidRPr="00D869E3" w:rsidRDefault="006F79F4" w:rsidP="00AF7637">
      <w:pPr>
        <w:ind w:left="708"/>
        <w:jc w:val="both"/>
        <w:rPr>
          <w:rFonts w:ascii="Verdana" w:hAnsi="Verdana"/>
          <w:i/>
          <w:sz w:val="18"/>
          <w:szCs w:val="18"/>
          <w:lang w:val="en-US"/>
        </w:rPr>
      </w:pPr>
    </w:p>
    <w:p w14:paraId="7C97C9BA" w14:textId="161D57BB" w:rsidR="006F79F4" w:rsidRPr="00D869E3" w:rsidRDefault="00BB61A6"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Submission to</w:t>
      </w:r>
      <w:r w:rsidR="006F79F4" w:rsidRPr="00D869E3">
        <w:rPr>
          <w:rFonts w:ascii="Verdana" w:hAnsi="Verdana"/>
          <w:i/>
          <w:sz w:val="20"/>
          <w:szCs w:val="20"/>
          <w:lang w:val="en-US"/>
        </w:rPr>
        <w:t xml:space="preserve"> </w:t>
      </w:r>
      <w:r w:rsidR="00447C65" w:rsidRPr="00D869E3">
        <w:rPr>
          <w:rFonts w:ascii="Verdana" w:hAnsi="Verdana"/>
          <w:i/>
          <w:sz w:val="20"/>
          <w:szCs w:val="20"/>
          <w:lang w:val="en-US"/>
        </w:rPr>
        <w:t>the Court</w:t>
      </w:r>
      <w:r w:rsidR="006F79F4" w:rsidRPr="00D869E3">
        <w:rPr>
          <w:rFonts w:ascii="Verdana" w:hAnsi="Verdana"/>
          <w:i/>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On</w:t>
      </w:r>
      <w:r w:rsidR="006F79F4" w:rsidRPr="00D869E3">
        <w:rPr>
          <w:rFonts w:ascii="Verdana" w:hAnsi="Verdana"/>
          <w:sz w:val="20"/>
          <w:szCs w:val="20"/>
          <w:lang w:val="en-US"/>
        </w:rPr>
        <w:t xml:space="preserve"> </w:t>
      </w:r>
      <w:r w:rsidR="00447C65" w:rsidRPr="00D869E3">
        <w:rPr>
          <w:rFonts w:ascii="Verdana" w:hAnsi="Verdana"/>
          <w:sz w:val="20"/>
          <w:szCs w:val="20"/>
          <w:lang w:val="en-US"/>
        </w:rPr>
        <w:t>November 28,</w:t>
      </w:r>
      <w:r w:rsidR="006F79F4" w:rsidRPr="00D869E3">
        <w:rPr>
          <w:rFonts w:ascii="Verdana" w:hAnsi="Verdana"/>
          <w:sz w:val="20"/>
          <w:szCs w:val="20"/>
          <w:lang w:val="en-US"/>
        </w:rPr>
        <w:t xml:space="preserve"> 2015</w:t>
      </w:r>
      <w:r w:rsidRPr="00D869E3">
        <w:rPr>
          <w:rFonts w:ascii="Verdana" w:hAnsi="Verdana"/>
          <w:sz w:val="20"/>
          <w:szCs w:val="20"/>
          <w:lang w:val="en-US"/>
        </w:rPr>
        <w:t>,</w:t>
      </w:r>
      <w:r w:rsidR="006F79F4"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6F79F4" w:rsidRPr="00D869E3">
        <w:rPr>
          <w:rFonts w:ascii="Verdana" w:hAnsi="Verdana"/>
          <w:sz w:val="20"/>
          <w:szCs w:val="20"/>
          <w:lang w:val="en-US"/>
        </w:rPr>
        <w:t xml:space="preserve"> decid</w:t>
      </w:r>
      <w:r w:rsidRPr="00D869E3">
        <w:rPr>
          <w:rFonts w:ascii="Verdana" w:hAnsi="Verdana"/>
          <w:sz w:val="20"/>
          <w:szCs w:val="20"/>
          <w:lang w:val="en-US"/>
        </w:rPr>
        <w:t xml:space="preserve">ed to submit the case to </w:t>
      </w:r>
      <w:r w:rsidR="00447C65" w:rsidRPr="00D869E3">
        <w:rPr>
          <w:rFonts w:ascii="Verdana" w:hAnsi="Verdana"/>
          <w:sz w:val="20"/>
          <w:szCs w:val="20"/>
          <w:lang w:val="en-US"/>
        </w:rPr>
        <w:t>the Inter-American Court</w:t>
      </w:r>
      <w:r w:rsidR="006F79F4" w:rsidRPr="00D869E3">
        <w:rPr>
          <w:rFonts w:ascii="Verdana" w:hAnsi="Verdana"/>
          <w:sz w:val="20"/>
          <w:szCs w:val="20"/>
          <w:lang w:val="en-US"/>
        </w:rPr>
        <w:t xml:space="preserve"> </w:t>
      </w:r>
      <w:r w:rsidRPr="00D869E3">
        <w:rPr>
          <w:rFonts w:ascii="Verdana" w:hAnsi="Verdana"/>
          <w:sz w:val="20"/>
          <w:szCs w:val="20"/>
          <w:lang w:val="en-US"/>
        </w:rPr>
        <w:t xml:space="preserve">in </w:t>
      </w:r>
      <w:r w:rsidR="003E68B9" w:rsidRPr="00D869E3">
        <w:rPr>
          <w:rFonts w:ascii="Verdana" w:hAnsi="Verdana"/>
          <w:sz w:val="20"/>
          <w:szCs w:val="20"/>
          <w:lang w:val="en-US"/>
        </w:rPr>
        <w:t>light</w:t>
      </w:r>
      <w:r w:rsidRPr="00D869E3">
        <w:rPr>
          <w:rFonts w:ascii="Verdana" w:hAnsi="Verdana"/>
          <w:sz w:val="20"/>
          <w:szCs w:val="20"/>
          <w:lang w:val="en-US"/>
        </w:rPr>
        <w:t xml:space="preserve"> of the need to obtain justice. It submitted to the Court’s jurisdiction all the facts and human rights violations described in the </w:t>
      </w:r>
      <w:r w:rsidR="00687684" w:rsidRPr="00D869E3">
        <w:rPr>
          <w:rFonts w:ascii="Verdana" w:hAnsi="Verdana"/>
          <w:sz w:val="20"/>
          <w:szCs w:val="20"/>
          <w:lang w:val="en-US"/>
        </w:rPr>
        <w:t>Merits Report</w:t>
      </w:r>
      <w:r w:rsidRPr="00D869E3">
        <w:rPr>
          <w:rFonts w:ascii="Verdana" w:hAnsi="Verdana"/>
          <w:sz w:val="20"/>
          <w:szCs w:val="20"/>
          <w:lang w:val="en-US"/>
        </w:rPr>
        <w:t>.</w:t>
      </w:r>
      <w:r w:rsidR="006F79F4" w:rsidRPr="00D869E3">
        <w:rPr>
          <w:rStyle w:val="Refdenotaalpie"/>
          <w:szCs w:val="20"/>
          <w:lang w:val="en-US"/>
        </w:rPr>
        <w:footnoteReference w:id="2"/>
      </w:r>
    </w:p>
    <w:p w14:paraId="6622ED3D" w14:textId="77777777" w:rsidR="006F79F4" w:rsidRPr="00D869E3" w:rsidRDefault="006F79F4" w:rsidP="00AF7637">
      <w:pPr>
        <w:pStyle w:val="Prrafodelista"/>
        <w:rPr>
          <w:rFonts w:ascii="Verdana" w:hAnsi="Verdana"/>
          <w:sz w:val="20"/>
          <w:szCs w:val="20"/>
          <w:lang w:val="en-US"/>
        </w:rPr>
      </w:pPr>
    </w:p>
    <w:p w14:paraId="04EF17FC" w14:textId="55C7C32F" w:rsidR="006F79F4" w:rsidRPr="00D869E3" w:rsidRDefault="00BB61A6" w:rsidP="006F79F4">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Requests by</w:t>
      </w:r>
      <w:r w:rsidR="00447C65" w:rsidRPr="00D869E3">
        <w:rPr>
          <w:rFonts w:ascii="Verdana" w:hAnsi="Verdana"/>
          <w:i/>
          <w:sz w:val="20"/>
          <w:szCs w:val="20"/>
          <w:lang w:val="en-US"/>
        </w:rPr>
        <w:t xml:space="preserve"> the Inter-American Commission</w:t>
      </w:r>
      <w:r w:rsidR="006F79F4" w:rsidRPr="00D869E3">
        <w:rPr>
          <w:rFonts w:ascii="Verdana" w:hAnsi="Verdana"/>
          <w:i/>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 xml:space="preserve">Based </w:t>
      </w:r>
      <w:r w:rsidR="006F79F4" w:rsidRPr="00D869E3">
        <w:rPr>
          <w:rFonts w:ascii="Verdana" w:hAnsi="Verdana"/>
          <w:sz w:val="20"/>
          <w:szCs w:val="20"/>
          <w:lang w:val="en-US"/>
        </w:rPr>
        <w:t>on</w:t>
      </w:r>
      <w:r w:rsidRPr="00D869E3">
        <w:rPr>
          <w:rFonts w:ascii="Verdana" w:hAnsi="Verdana"/>
          <w:sz w:val="20"/>
          <w:szCs w:val="20"/>
          <w:lang w:val="en-US"/>
        </w:rPr>
        <w:t xml:space="preserve"> the above,</w:t>
      </w:r>
      <w:r w:rsidR="006F79F4"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6F79F4" w:rsidRPr="00D869E3">
        <w:rPr>
          <w:rFonts w:ascii="Verdana" w:hAnsi="Verdana"/>
          <w:sz w:val="20"/>
          <w:szCs w:val="20"/>
          <w:lang w:val="en-US"/>
        </w:rPr>
        <w:t xml:space="preserve"> </w:t>
      </w:r>
      <w:r w:rsidRPr="00D869E3">
        <w:rPr>
          <w:rFonts w:ascii="Verdana" w:hAnsi="Verdana"/>
          <w:sz w:val="20"/>
          <w:szCs w:val="20"/>
          <w:lang w:val="en-US"/>
        </w:rPr>
        <w:t>asked</w:t>
      </w:r>
      <w:r w:rsidR="006F79F4" w:rsidRPr="00D869E3">
        <w:rPr>
          <w:rFonts w:ascii="Verdana" w:hAnsi="Verdana"/>
          <w:sz w:val="20"/>
          <w:szCs w:val="20"/>
          <w:lang w:val="en-US"/>
        </w:rPr>
        <w:t xml:space="preserve"> </w:t>
      </w:r>
      <w:r w:rsidR="00447C65" w:rsidRPr="00D869E3">
        <w:rPr>
          <w:rFonts w:ascii="Verdana" w:hAnsi="Verdana"/>
          <w:sz w:val="20"/>
          <w:szCs w:val="20"/>
          <w:lang w:val="en-US"/>
        </w:rPr>
        <w:t>the Court</w:t>
      </w:r>
      <w:r w:rsidR="006F79F4" w:rsidRPr="00D869E3">
        <w:rPr>
          <w:rFonts w:ascii="Verdana" w:hAnsi="Verdana"/>
          <w:sz w:val="20"/>
          <w:szCs w:val="20"/>
          <w:lang w:val="en-US"/>
        </w:rPr>
        <w:t xml:space="preserve"> </w:t>
      </w:r>
      <w:r w:rsidRPr="00D869E3">
        <w:rPr>
          <w:rFonts w:ascii="Verdana" w:hAnsi="Verdana"/>
          <w:sz w:val="20"/>
          <w:szCs w:val="20"/>
          <w:lang w:val="en-US"/>
        </w:rPr>
        <w:t xml:space="preserve">to conclude and declare the international responsibility of the State for the violation of the rights indicated in its </w:t>
      </w:r>
      <w:r w:rsidR="00687684" w:rsidRPr="00D869E3">
        <w:rPr>
          <w:rFonts w:ascii="Verdana" w:hAnsi="Verdana"/>
          <w:sz w:val="20"/>
          <w:szCs w:val="20"/>
          <w:lang w:val="en-US"/>
        </w:rPr>
        <w:t>Merits Report</w:t>
      </w:r>
      <w:r w:rsidR="006F79F4" w:rsidRPr="00D869E3">
        <w:rPr>
          <w:rFonts w:ascii="Verdana" w:hAnsi="Verdana"/>
          <w:sz w:val="20"/>
          <w:szCs w:val="20"/>
          <w:lang w:val="en-US"/>
        </w:rPr>
        <w:t xml:space="preserve"> </w:t>
      </w:r>
      <w:r w:rsidR="00D21668" w:rsidRPr="00D869E3">
        <w:rPr>
          <w:rFonts w:ascii="Verdana" w:hAnsi="Verdana"/>
          <w:sz w:val="20"/>
          <w:szCs w:val="20"/>
          <w:lang w:val="en-US"/>
        </w:rPr>
        <w:t>to the detriment of</w:t>
      </w:r>
      <w:r w:rsidR="006F79F4" w:rsidRPr="00D869E3">
        <w:rPr>
          <w:rFonts w:ascii="Verdana" w:hAnsi="Verdana"/>
          <w:sz w:val="20"/>
          <w:szCs w:val="20"/>
          <w:lang w:val="en-US"/>
        </w:rPr>
        <w:t xml:space="preserve"> </w:t>
      </w:r>
      <w:r w:rsidR="003E68B9" w:rsidRPr="00D869E3">
        <w:rPr>
          <w:rFonts w:ascii="Verdana" w:hAnsi="Verdana"/>
          <w:sz w:val="20"/>
          <w:szCs w:val="20"/>
          <w:lang w:val="en-US"/>
        </w:rPr>
        <w:t xml:space="preserve">Mr. Lagos </w:t>
      </w:r>
      <w:r w:rsidR="006F79F4" w:rsidRPr="00D869E3">
        <w:rPr>
          <w:rFonts w:ascii="Verdana" w:hAnsi="Verdana"/>
          <w:sz w:val="20"/>
          <w:szCs w:val="20"/>
          <w:lang w:val="en-US"/>
        </w:rPr>
        <w:t xml:space="preserve">del Campo. </w:t>
      </w:r>
      <w:r w:rsidRPr="00D869E3">
        <w:rPr>
          <w:rFonts w:ascii="Verdana" w:hAnsi="Verdana"/>
          <w:sz w:val="20"/>
          <w:szCs w:val="20"/>
          <w:lang w:val="en-US"/>
        </w:rPr>
        <w:t>It also asked the Court to order the State, as measures of reparation, to comply with the recommendations contained in the said report.</w:t>
      </w:r>
    </w:p>
    <w:p w14:paraId="215B204D" w14:textId="77777777" w:rsidR="006E4208" w:rsidRPr="00D869E3" w:rsidRDefault="006E4208" w:rsidP="006F79F4">
      <w:pPr>
        <w:pStyle w:val="Prrafodelista"/>
        <w:ind w:left="0"/>
        <w:jc w:val="both"/>
        <w:rPr>
          <w:rFonts w:ascii="Verdana" w:hAnsi="Verdana"/>
          <w:sz w:val="20"/>
          <w:szCs w:val="20"/>
          <w:lang w:val="en-US"/>
        </w:rPr>
      </w:pPr>
    </w:p>
    <w:p w14:paraId="6377CA61" w14:textId="6EAD1EBA" w:rsidR="006F79F4" w:rsidRPr="00D869E3" w:rsidRDefault="006F79F4" w:rsidP="006F79F4">
      <w:pPr>
        <w:pStyle w:val="Ttulo1"/>
        <w:tabs>
          <w:tab w:val="left" w:pos="851"/>
        </w:tabs>
        <w:spacing w:before="0"/>
        <w:jc w:val="center"/>
        <w:rPr>
          <w:rFonts w:cs="Verdana"/>
          <w:caps/>
          <w:snapToGrid w:val="0"/>
          <w:szCs w:val="20"/>
          <w:lang w:val="en-US"/>
        </w:rPr>
      </w:pPr>
      <w:bookmarkStart w:id="2" w:name="_Toc29114100"/>
      <w:r w:rsidRPr="00D869E3">
        <w:rPr>
          <w:rFonts w:cs="Verdana"/>
          <w:caps/>
          <w:snapToGrid w:val="0"/>
          <w:szCs w:val="20"/>
          <w:lang w:val="en-US"/>
        </w:rPr>
        <w:t>II</w:t>
      </w:r>
      <w:r w:rsidRPr="00D869E3">
        <w:rPr>
          <w:rFonts w:cs="Verdana"/>
          <w:caps/>
          <w:snapToGrid w:val="0"/>
          <w:szCs w:val="20"/>
          <w:lang w:val="en-US"/>
        </w:rPr>
        <w:br/>
      </w:r>
      <w:r w:rsidR="00BB61A6" w:rsidRPr="00D869E3">
        <w:rPr>
          <w:rFonts w:cs="Verdana"/>
          <w:caps/>
          <w:snapToGrid w:val="0"/>
          <w:szCs w:val="20"/>
          <w:lang w:val="en-US"/>
        </w:rPr>
        <w:t>PROCEEDINGS BEFORE THE COURT</w:t>
      </w:r>
      <w:bookmarkEnd w:id="2"/>
    </w:p>
    <w:p w14:paraId="059BCF0C" w14:textId="77777777" w:rsidR="006F79F4" w:rsidRPr="00D869E3" w:rsidRDefault="006F79F4" w:rsidP="006F79F4">
      <w:pPr>
        <w:pStyle w:val="Prrafodelista"/>
        <w:ind w:left="0"/>
        <w:jc w:val="both"/>
        <w:rPr>
          <w:rFonts w:ascii="Verdana" w:hAnsi="Verdana"/>
          <w:sz w:val="20"/>
          <w:szCs w:val="20"/>
          <w:lang w:val="en-US"/>
        </w:rPr>
      </w:pPr>
    </w:p>
    <w:p w14:paraId="4562B0BD" w14:textId="63CE4D29" w:rsidR="006F79F4" w:rsidRPr="00D869E3" w:rsidRDefault="006F79F4"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Notifica</w:t>
      </w:r>
      <w:r w:rsidR="00BB61A6" w:rsidRPr="00D869E3">
        <w:rPr>
          <w:rFonts w:ascii="Verdana" w:hAnsi="Verdana"/>
          <w:i/>
          <w:sz w:val="20"/>
          <w:szCs w:val="20"/>
          <w:lang w:val="en-US"/>
        </w:rPr>
        <w:t>tio</w:t>
      </w:r>
      <w:r w:rsidRPr="00D869E3">
        <w:rPr>
          <w:rFonts w:ascii="Verdana" w:hAnsi="Verdana"/>
          <w:i/>
          <w:sz w:val="20"/>
          <w:szCs w:val="20"/>
          <w:lang w:val="en-US"/>
        </w:rPr>
        <w:t xml:space="preserve">n </w:t>
      </w:r>
      <w:r w:rsidR="00BB61A6" w:rsidRPr="00D869E3">
        <w:rPr>
          <w:rFonts w:ascii="Verdana" w:hAnsi="Verdana"/>
          <w:i/>
          <w:sz w:val="20"/>
          <w:szCs w:val="20"/>
          <w:lang w:val="en-US"/>
        </w:rPr>
        <w:t>of the State</w:t>
      </w:r>
      <w:r w:rsidRPr="00D869E3">
        <w:rPr>
          <w:rStyle w:val="Refdenotaalpie"/>
          <w:i/>
          <w:szCs w:val="20"/>
          <w:lang w:val="en-US"/>
        </w:rPr>
        <w:footnoteReference w:id="3"/>
      </w:r>
      <w:r w:rsidR="00687684" w:rsidRPr="00D869E3">
        <w:rPr>
          <w:rFonts w:ascii="Verdana" w:hAnsi="Verdana"/>
          <w:i/>
          <w:sz w:val="20"/>
          <w:szCs w:val="20"/>
          <w:lang w:val="en-US"/>
        </w:rPr>
        <w:t xml:space="preserve"> and</w:t>
      </w:r>
      <w:r w:rsidRPr="00D869E3">
        <w:rPr>
          <w:rFonts w:ascii="Verdana" w:hAnsi="Verdana"/>
          <w:i/>
          <w:sz w:val="20"/>
          <w:szCs w:val="20"/>
          <w:lang w:val="en-US"/>
        </w:rPr>
        <w:t xml:space="preserve"> </w:t>
      </w:r>
      <w:r w:rsidR="00687684" w:rsidRPr="00D869E3">
        <w:rPr>
          <w:rFonts w:ascii="Verdana" w:hAnsi="Verdana"/>
          <w:i/>
          <w:sz w:val="20"/>
          <w:szCs w:val="20"/>
          <w:lang w:val="en-US"/>
        </w:rPr>
        <w:t>the representatives</w:t>
      </w:r>
      <w:r w:rsidRPr="00D869E3">
        <w:rPr>
          <w:rFonts w:ascii="Verdana" w:hAnsi="Verdana"/>
          <w:i/>
          <w:sz w:val="20"/>
          <w:szCs w:val="20"/>
          <w:lang w:val="en-US"/>
        </w:rPr>
        <w:t>.</w:t>
      </w:r>
      <w:r w:rsidRPr="00D869E3">
        <w:rPr>
          <w:rFonts w:ascii="Verdana" w:hAnsi="Verdana"/>
          <w:sz w:val="20"/>
          <w:szCs w:val="20"/>
          <w:lang w:val="en-US"/>
        </w:rPr>
        <w:t xml:space="preserve"> </w:t>
      </w:r>
      <w:r w:rsidR="00BB61A6" w:rsidRPr="00D869E3">
        <w:rPr>
          <w:rFonts w:ascii="Verdana" w:hAnsi="Verdana"/>
          <w:sz w:val="20"/>
          <w:szCs w:val="20"/>
          <w:lang w:val="en-US"/>
        </w:rPr>
        <w:t xml:space="preserve">The Commission’s submission of the case was notified to the State and to </w:t>
      </w:r>
      <w:r w:rsidR="00687684" w:rsidRPr="00D869E3">
        <w:rPr>
          <w:rFonts w:ascii="Verdana" w:hAnsi="Verdana"/>
          <w:sz w:val="20"/>
          <w:szCs w:val="20"/>
          <w:lang w:val="en-US"/>
        </w:rPr>
        <w:t>the representatives</w:t>
      </w:r>
      <w:r w:rsidRPr="00D869E3">
        <w:rPr>
          <w:rFonts w:ascii="Verdana" w:hAnsi="Verdana"/>
          <w:sz w:val="20"/>
          <w:szCs w:val="20"/>
          <w:lang w:val="en-US"/>
        </w:rPr>
        <w:t xml:space="preserve"> </w:t>
      </w:r>
      <w:r w:rsidR="00BB61A6" w:rsidRPr="00D869E3">
        <w:rPr>
          <w:rFonts w:ascii="Verdana" w:hAnsi="Verdana"/>
          <w:sz w:val="20"/>
          <w:szCs w:val="20"/>
          <w:lang w:val="en-US"/>
        </w:rPr>
        <w:t>on February 15,</w:t>
      </w:r>
      <w:r w:rsidRPr="00D869E3">
        <w:rPr>
          <w:rFonts w:ascii="Verdana" w:hAnsi="Verdana"/>
          <w:sz w:val="20"/>
          <w:szCs w:val="20"/>
          <w:lang w:val="en-US"/>
        </w:rPr>
        <w:t xml:space="preserve"> 2016. </w:t>
      </w:r>
    </w:p>
    <w:p w14:paraId="76231108" w14:textId="77777777" w:rsidR="006F79F4" w:rsidRPr="00D869E3" w:rsidRDefault="006F79F4" w:rsidP="00AF7637">
      <w:pPr>
        <w:pStyle w:val="Prrafodelista"/>
        <w:ind w:left="0"/>
        <w:jc w:val="both"/>
        <w:rPr>
          <w:rFonts w:ascii="Verdana" w:hAnsi="Verdana"/>
          <w:sz w:val="20"/>
          <w:szCs w:val="20"/>
          <w:lang w:val="en-US"/>
        </w:rPr>
      </w:pPr>
    </w:p>
    <w:p w14:paraId="37142132" w14:textId="64E98C70" w:rsidR="00EC6021" w:rsidRPr="00D869E3" w:rsidRDefault="00CE3F0D" w:rsidP="00333304">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Brief with motions</w:t>
      </w:r>
      <w:r w:rsidR="001C1450" w:rsidRPr="00D869E3">
        <w:rPr>
          <w:rFonts w:ascii="Verdana" w:hAnsi="Verdana"/>
          <w:i/>
          <w:sz w:val="20"/>
          <w:szCs w:val="20"/>
          <w:lang w:val="en-US"/>
        </w:rPr>
        <w:t xml:space="preserve">, pleadings </w:t>
      </w:r>
      <w:r w:rsidRPr="00D869E3">
        <w:rPr>
          <w:rFonts w:ascii="Verdana" w:hAnsi="Verdana"/>
          <w:i/>
          <w:sz w:val="20"/>
          <w:szCs w:val="20"/>
          <w:lang w:val="en-US"/>
        </w:rPr>
        <w:t>and evidence</w:t>
      </w:r>
      <w:r w:rsidR="006F79F4" w:rsidRPr="00D869E3">
        <w:rPr>
          <w:rFonts w:ascii="Verdana" w:hAnsi="Verdana"/>
          <w:i/>
          <w:sz w:val="20"/>
          <w:szCs w:val="20"/>
          <w:lang w:val="en-US"/>
        </w:rPr>
        <w:t>.</w:t>
      </w:r>
      <w:r w:rsidR="006F79F4" w:rsidRPr="00D869E3">
        <w:rPr>
          <w:rFonts w:ascii="Verdana" w:hAnsi="Verdana"/>
          <w:sz w:val="20"/>
          <w:szCs w:val="20"/>
          <w:lang w:val="en-US"/>
        </w:rPr>
        <w:t xml:space="preserve"> </w:t>
      </w:r>
      <w:r w:rsidR="00BB61A6" w:rsidRPr="00D869E3">
        <w:rPr>
          <w:rFonts w:ascii="Verdana" w:hAnsi="Verdana"/>
          <w:sz w:val="20"/>
          <w:szCs w:val="20"/>
          <w:lang w:val="en-US"/>
        </w:rPr>
        <w:t>On April 15,</w:t>
      </w:r>
      <w:r w:rsidR="006F79F4" w:rsidRPr="00D869E3">
        <w:rPr>
          <w:rFonts w:ascii="Verdana" w:hAnsi="Verdana"/>
          <w:sz w:val="20"/>
          <w:szCs w:val="20"/>
          <w:lang w:val="en-US"/>
        </w:rPr>
        <w:t xml:space="preserve"> 2016</w:t>
      </w:r>
      <w:r w:rsidR="00BB61A6" w:rsidRPr="00D869E3">
        <w:rPr>
          <w:rFonts w:ascii="Verdana" w:hAnsi="Verdana"/>
          <w:sz w:val="20"/>
          <w:szCs w:val="20"/>
          <w:lang w:val="en-US"/>
        </w:rPr>
        <w:t>,</w:t>
      </w:r>
      <w:r w:rsidR="006F79F4"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6F79F4" w:rsidRPr="00D869E3">
        <w:rPr>
          <w:rFonts w:ascii="Verdana" w:hAnsi="Verdana"/>
          <w:sz w:val="20"/>
          <w:szCs w:val="20"/>
          <w:lang w:val="en-US"/>
        </w:rPr>
        <w:t xml:space="preserve"> present</w:t>
      </w:r>
      <w:r w:rsidRPr="00D869E3">
        <w:rPr>
          <w:rFonts w:ascii="Verdana" w:hAnsi="Verdana"/>
          <w:sz w:val="20"/>
          <w:szCs w:val="20"/>
          <w:lang w:val="en-US"/>
        </w:rPr>
        <w:t xml:space="preserve">ed their brief with </w:t>
      </w:r>
      <w:r w:rsidR="001C1450" w:rsidRPr="00D869E3">
        <w:rPr>
          <w:rFonts w:ascii="Verdana" w:hAnsi="Verdana"/>
          <w:sz w:val="20"/>
          <w:szCs w:val="20"/>
          <w:lang w:val="en-US"/>
        </w:rPr>
        <w:t>motions, pleadings and</w:t>
      </w:r>
      <w:r w:rsidRPr="00D869E3">
        <w:rPr>
          <w:rFonts w:ascii="Verdana" w:hAnsi="Verdana"/>
          <w:sz w:val="20"/>
          <w:szCs w:val="20"/>
          <w:lang w:val="en-US"/>
        </w:rPr>
        <w:t xml:space="preserve"> evidence</w:t>
      </w:r>
      <w:r w:rsidR="006F79F4" w:rsidRPr="00D869E3">
        <w:rPr>
          <w:rFonts w:ascii="Verdana" w:hAnsi="Verdana"/>
          <w:sz w:val="20"/>
          <w:szCs w:val="20"/>
          <w:lang w:val="en-US"/>
        </w:rPr>
        <w:t xml:space="preserve"> (</w:t>
      </w:r>
      <w:r w:rsidR="00447C65"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001C1450" w:rsidRPr="00D869E3">
        <w:rPr>
          <w:rFonts w:ascii="Verdana" w:hAnsi="Verdana"/>
          <w:sz w:val="20"/>
          <w:szCs w:val="20"/>
          <w:lang w:val="en-US"/>
        </w:rPr>
        <w:t>motions and pleadings</w:t>
      </w:r>
      <w:r w:rsidRPr="00D869E3">
        <w:rPr>
          <w:rFonts w:ascii="Verdana" w:hAnsi="Verdana"/>
          <w:sz w:val="20"/>
          <w:szCs w:val="20"/>
          <w:lang w:val="en-US"/>
        </w:rPr>
        <w:t xml:space="preserve"> brief</w:t>
      </w:r>
      <w:r w:rsidR="006436CA"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in which they requested access to the Victims’ Legal Assistance Fund</w:t>
      </w:r>
      <w:r w:rsidR="00447C65" w:rsidRPr="00D869E3">
        <w:rPr>
          <w:rFonts w:ascii="Verdana" w:hAnsi="Verdana"/>
          <w:sz w:val="20"/>
          <w:szCs w:val="20"/>
          <w:lang w:val="en-US"/>
        </w:rPr>
        <w:t xml:space="preserve"> of the Inter-American Court</w:t>
      </w:r>
      <w:r w:rsidR="006F79F4" w:rsidRPr="00D869E3">
        <w:rPr>
          <w:rFonts w:ascii="Verdana" w:hAnsi="Verdana"/>
          <w:sz w:val="20"/>
          <w:szCs w:val="20"/>
          <w:lang w:val="en-US"/>
        </w:rPr>
        <w:t xml:space="preserve"> (</w:t>
      </w:r>
      <w:r w:rsidR="00447C65"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Court’s Assistance Fund</w:t>
      </w:r>
      <w:r w:rsidR="006436CA" w:rsidRPr="00D869E3">
        <w:rPr>
          <w:rFonts w:ascii="Verdana" w:hAnsi="Verdana"/>
          <w:sz w:val="20"/>
          <w:szCs w:val="20"/>
          <w:lang w:val="en-US"/>
        </w:rPr>
        <w:t>”</w:t>
      </w:r>
      <w:r w:rsidR="006F79F4" w:rsidRPr="00D869E3">
        <w:rPr>
          <w:rFonts w:ascii="Verdana" w:hAnsi="Verdana"/>
          <w:sz w:val="20"/>
          <w:szCs w:val="20"/>
          <w:lang w:val="en-US"/>
        </w:rPr>
        <w:t xml:space="preserve"> o</w:t>
      </w:r>
      <w:r w:rsidRPr="00D869E3">
        <w:rPr>
          <w:rFonts w:ascii="Verdana" w:hAnsi="Verdana"/>
          <w:sz w:val="20"/>
          <w:szCs w:val="20"/>
          <w:lang w:val="en-US"/>
        </w:rPr>
        <w:t>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 xml:space="preserve">the </w:t>
      </w:r>
      <w:r w:rsidR="006F79F4" w:rsidRPr="00D869E3">
        <w:rPr>
          <w:rFonts w:ascii="Verdana" w:hAnsi="Verdana"/>
          <w:sz w:val="20"/>
          <w:szCs w:val="20"/>
          <w:lang w:val="en-US"/>
        </w:rPr>
        <w:t>F</w:t>
      </w:r>
      <w:r w:rsidRPr="00D869E3">
        <w:rPr>
          <w:rFonts w:ascii="Verdana" w:hAnsi="Verdana"/>
          <w:sz w:val="20"/>
          <w:szCs w:val="20"/>
          <w:lang w:val="en-US"/>
        </w:rPr>
        <w:t>und</w:t>
      </w:r>
      <w:r w:rsidR="006436CA" w:rsidRPr="00D869E3">
        <w:rPr>
          <w:rFonts w:ascii="Verdana" w:hAnsi="Verdana"/>
          <w:sz w:val="20"/>
          <w:szCs w:val="20"/>
          <w:lang w:val="en-US"/>
        </w:rPr>
        <w:t>”</w:t>
      </w:r>
      <w:r w:rsidR="006F79F4" w:rsidRPr="00D869E3">
        <w:rPr>
          <w:rFonts w:ascii="Verdana" w:hAnsi="Verdana"/>
          <w:sz w:val="20"/>
          <w:szCs w:val="20"/>
          <w:lang w:val="en-US"/>
        </w:rPr>
        <w:t>).</w:t>
      </w:r>
    </w:p>
    <w:p w14:paraId="242AE307" w14:textId="77777777" w:rsidR="006F79F4" w:rsidRPr="00D869E3" w:rsidRDefault="006F79F4" w:rsidP="00333304">
      <w:pPr>
        <w:pStyle w:val="Prrafodelista"/>
        <w:ind w:left="0"/>
        <w:jc w:val="both"/>
        <w:rPr>
          <w:rFonts w:ascii="Verdana" w:hAnsi="Verdana"/>
          <w:sz w:val="20"/>
          <w:szCs w:val="20"/>
          <w:lang w:val="en-US"/>
        </w:rPr>
      </w:pPr>
    </w:p>
    <w:p w14:paraId="1807BAF3" w14:textId="34FCEADE" w:rsidR="006F79F4" w:rsidRPr="00D869E3" w:rsidRDefault="001B7816"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Answering brief</w:t>
      </w:r>
      <w:r w:rsidR="006F79F4" w:rsidRPr="00D869E3">
        <w:rPr>
          <w:rFonts w:ascii="Verdana" w:hAnsi="Verdana"/>
          <w:i/>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On June 27,</w:t>
      </w:r>
      <w:r w:rsidR="006F79F4" w:rsidRPr="00D869E3">
        <w:rPr>
          <w:rFonts w:ascii="Verdana" w:hAnsi="Verdana"/>
          <w:sz w:val="20"/>
          <w:szCs w:val="20"/>
          <w:lang w:val="en-US"/>
        </w:rPr>
        <w:t xml:space="preserve"> 2016</w:t>
      </w:r>
      <w:r w:rsidRPr="00D869E3">
        <w:rPr>
          <w:rFonts w:ascii="Verdana" w:hAnsi="Verdana"/>
          <w:sz w:val="20"/>
          <w:szCs w:val="20"/>
          <w:lang w:val="en-US"/>
        </w:rPr>
        <w:t>,</w:t>
      </w:r>
      <w:r w:rsidR="006F79F4" w:rsidRPr="00D869E3">
        <w:rPr>
          <w:rFonts w:ascii="Verdana" w:hAnsi="Verdana"/>
          <w:sz w:val="20"/>
          <w:szCs w:val="20"/>
          <w:lang w:val="en-US"/>
        </w:rPr>
        <w:t xml:space="preserve"> </w:t>
      </w:r>
      <w:r w:rsidR="00447C65" w:rsidRPr="00D869E3">
        <w:rPr>
          <w:rFonts w:ascii="Verdana" w:hAnsi="Verdana"/>
          <w:sz w:val="20"/>
          <w:szCs w:val="20"/>
          <w:lang w:val="en-US"/>
        </w:rPr>
        <w:t>the State</w:t>
      </w:r>
      <w:r w:rsidR="006F79F4" w:rsidRPr="00D869E3">
        <w:rPr>
          <w:rFonts w:ascii="Verdana" w:hAnsi="Verdana"/>
          <w:sz w:val="20"/>
          <w:szCs w:val="20"/>
          <w:lang w:val="en-US"/>
        </w:rPr>
        <w:t xml:space="preserve"> </w:t>
      </w:r>
      <w:r w:rsidR="00CE3F0D" w:rsidRPr="00D869E3">
        <w:rPr>
          <w:rFonts w:ascii="Verdana" w:hAnsi="Verdana"/>
          <w:sz w:val="20"/>
          <w:szCs w:val="20"/>
          <w:lang w:val="en-US"/>
        </w:rPr>
        <w:t>presented to</w:t>
      </w:r>
      <w:r w:rsidR="006F79F4" w:rsidRPr="00D869E3">
        <w:rPr>
          <w:rFonts w:ascii="Verdana" w:hAnsi="Verdana"/>
          <w:sz w:val="20"/>
          <w:szCs w:val="20"/>
          <w:lang w:val="en-US"/>
        </w:rPr>
        <w:t xml:space="preserve"> </w:t>
      </w:r>
      <w:r w:rsidR="00447C65" w:rsidRPr="00D869E3">
        <w:rPr>
          <w:rFonts w:ascii="Verdana" w:hAnsi="Verdana"/>
          <w:sz w:val="20"/>
          <w:szCs w:val="20"/>
          <w:lang w:val="en-US"/>
        </w:rPr>
        <w:t>the Court</w:t>
      </w:r>
      <w:r w:rsidR="006F79F4" w:rsidRPr="00D869E3">
        <w:rPr>
          <w:rFonts w:ascii="Verdana" w:hAnsi="Verdana"/>
          <w:sz w:val="20"/>
          <w:szCs w:val="20"/>
          <w:lang w:val="en-US"/>
        </w:rPr>
        <w:t xml:space="preserve"> </w:t>
      </w:r>
      <w:r w:rsidR="00CE3F0D" w:rsidRPr="00D869E3">
        <w:rPr>
          <w:rFonts w:ascii="Verdana" w:hAnsi="Verdana"/>
          <w:sz w:val="20"/>
          <w:szCs w:val="20"/>
          <w:lang w:val="en-US"/>
        </w:rPr>
        <w:t xml:space="preserve">its answer to the brief submitting the case, and with observations on the brief with </w:t>
      </w:r>
      <w:r w:rsidR="001C1450" w:rsidRPr="00D869E3">
        <w:rPr>
          <w:rFonts w:ascii="Verdana" w:hAnsi="Verdana"/>
          <w:sz w:val="20"/>
          <w:szCs w:val="20"/>
          <w:lang w:val="en-US"/>
        </w:rPr>
        <w:t>motions, pleadings and</w:t>
      </w:r>
      <w:r w:rsidR="00CE3F0D" w:rsidRPr="00D869E3">
        <w:rPr>
          <w:rFonts w:ascii="Verdana" w:hAnsi="Verdana"/>
          <w:sz w:val="20"/>
          <w:szCs w:val="20"/>
          <w:lang w:val="en-US"/>
        </w:rPr>
        <w:t xml:space="preserve"> evidence</w:t>
      </w:r>
      <w:r w:rsidR="006F79F4" w:rsidRPr="00D869E3">
        <w:rPr>
          <w:rFonts w:ascii="Verdana" w:hAnsi="Verdana"/>
          <w:sz w:val="20"/>
          <w:szCs w:val="20"/>
          <w:lang w:val="en-US"/>
        </w:rPr>
        <w:t xml:space="preserve"> (</w:t>
      </w:r>
      <w:r w:rsidR="00447C65" w:rsidRPr="00D869E3">
        <w:rPr>
          <w:rFonts w:ascii="Verdana" w:hAnsi="Verdana"/>
          <w:sz w:val="20"/>
          <w:szCs w:val="20"/>
          <w:lang w:val="en-US"/>
        </w:rPr>
        <w:t>hereinafter</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00CE3F0D" w:rsidRPr="00D869E3">
        <w:rPr>
          <w:rFonts w:ascii="Verdana" w:hAnsi="Verdana"/>
          <w:sz w:val="20"/>
          <w:szCs w:val="20"/>
          <w:lang w:val="en-US"/>
        </w:rPr>
        <w:t>a</w:t>
      </w:r>
      <w:r w:rsidRPr="00D869E3">
        <w:rPr>
          <w:rFonts w:ascii="Verdana" w:hAnsi="Verdana"/>
          <w:sz w:val="20"/>
          <w:szCs w:val="20"/>
          <w:lang w:val="en-US"/>
        </w:rPr>
        <w:t>nswering brief</w:t>
      </w:r>
      <w:r w:rsidR="006436CA" w:rsidRPr="00D869E3">
        <w:rPr>
          <w:rFonts w:ascii="Verdana" w:hAnsi="Verdana"/>
          <w:sz w:val="20"/>
          <w:szCs w:val="20"/>
          <w:lang w:val="en-US"/>
        </w:rPr>
        <w:t>”</w:t>
      </w:r>
      <w:r w:rsidR="006F79F4" w:rsidRPr="00D869E3">
        <w:rPr>
          <w:rFonts w:ascii="Verdana" w:hAnsi="Verdana"/>
          <w:sz w:val="20"/>
          <w:szCs w:val="20"/>
          <w:lang w:val="en-US"/>
        </w:rPr>
        <w:t>).</w:t>
      </w:r>
      <w:r w:rsidR="00524EDB" w:rsidRPr="00D869E3">
        <w:rPr>
          <w:rFonts w:ascii="Verdana" w:hAnsi="Verdana"/>
          <w:sz w:val="20"/>
          <w:szCs w:val="20"/>
          <w:lang w:val="en-US"/>
        </w:rPr>
        <w:t xml:space="preserve"> </w:t>
      </w:r>
      <w:r w:rsidR="00CE3F0D" w:rsidRPr="00D869E3">
        <w:rPr>
          <w:rFonts w:ascii="Verdana" w:hAnsi="Verdana"/>
          <w:sz w:val="20"/>
          <w:szCs w:val="20"/>
          <w:lang w:val="en-US"/>
        </w:rPr>
        <w:t>In this brief,</w:t>
      </w:r>
      <w:r w:rsidR="006F79F4" w:rsidRPr="00D869E3">
        <w:rPr>
          <w:rFonts w:ascii="Verdana" w:hAnsi="Verdana"/>
          <w:sz w:val="20"/>
          <w:szCs w:val="20"/>
          <w:lang w:val="en-US"/>
        </w:rPr>
        <w:t xml:space="preserve"> </w:t>
      </w:r>
      <w:r w:rsidR="00447C65" w:rsidRPr="00D869E3">
        <w:rPr>
          <w:rFonts w:ascii="Verdana" w:hAnsi="Verdana"/>
          <w:sz w:val="20"/>
          <w:szCs w:val="20"/>
          <w:lang w:val="en-US"/>
        </w:rPr>
        <w:t>the State</w:t>
      </w:r>
      <w:r w:rsidR="006F79F4" w:rsidRPr="00D869E3">
        <w:rPr>
          <w:rFonts w:ascii="Verdana" w:hAnsi="Verdana"/>
          <w:sz w:val="20"/>
          <w:szCs w:val="20"/>
          <w:lang w:val="en-US"/>
        </w:rPr>
        <w:t xml:space="preserve"> </w:t>
      </w:r>
      <w:r w:rsidR="00CE3F0D" w:rsidRPr="00D869E3">
        <w:rPr>
          <w:rFonts w:ascii="Verdana" w:hAnsi="Verdana"/>
          <w:sz w:val="20"/>
          <w:szCs w:val="20"/>
          <w:lang w:val="en-US"/>
        </w:rPr>
        <w:t>filed a series of</w:t>
      </w:r>
      <w:r w:rsidR="006F79F4" w:rsidRPr="00D869E3">
        <w:rPr>
          <w:rFonts w:ascii="Verdana" w:hAnsi="Verdana"/>
          <w:sz w:val="20"/>
          <w:szCs w:val="20"/>
          <w:lang w:val="en-US"/>
        </w:rPr>
        <w:t xml:space="preserve"> </w:t>
      </w:r>
      <w:r w:rsidR="006436CA" w:rsidRPr="00D869E3">
        <w:rPr>
          <w:rFonts w:ascii="Verdana" w:hAnsi="Verdana"/>
          <w:sz w:val="20"/>
          <w:szCs w:val="20"/>
          <w:lang w:val="en-US"/>
        </w:rPr>
        <w:t>“</w:t>
      </w:r>
      <w:r w:rsidR="006F79F4" w:rsidRPr="00D869E3">
        <w:rPr>
          <w:rFonts w:ascii="Verdana" w:hAnsi="Verdana"/>
          <w:sz w:val="20"/>
          <w:szCs w:val="20"/>
          <w:lang w:val="en-US"/>
        </w:rPr>
        <w:t>observa</w:t>
      </w:r>
      <w:r w:rsidR="00CE3F0D" w:rsidRPr="00D869E3">
        <w:rPr>
          <w:rFonts w:ascii="Verdana" w:hAnsi="Verdana"/>
          <w:sz w:val="20"/>
          <w:szCs w:val="20"/>
          <w:lang w:val="en-US"/>
        </w:rPr>
        <w:t xml:space="preserve">tions on the </w:t>
      </w:r>
      <w:r w:rsidR="00687684" w:rsidRPr="00D869E3">
        <w:rPr>
          <w:rFonts w:ascii="Verdana" w:hAnsi="Verdana"/>
          <w:sz w:val="20"/>
          <w:szCs w:val="20"/>
          <w:lang w:val="en-US"/>
        </w:rPr>
        <w:t xml:space="preserve">Admissibility Report and </w:t>
      </w:r>
      <w:r w:rsidR="00CE3F0D" w:rsidRPr="00D869E3">
        <w:rPr>
          <w:rFonts w:ascii="Verdana" w:hAnsi="Verdana"/>
          <w:sz w:val="20"/>
          <w:szCs w:val="20"/>
          <w:lang w:val="en-US"/>
        </w:rPr>
        <w:t xml:space="preserve">raised procedural questions concerning the arguments filed by </w:t>
      </w:r>
      <w:r w:rsidR="00447C65" w:rsidRPr="00D869E3">
        <w:rPr>
          <w:rFonts w:ascii="Verdana" w:hAnsi="Verdana"/>
          <w:sz w:val="20"/>
          <w:szCs w:val="20"/>
          <w:lang w:val="en-US"/>
        </w:rPr>
        <w:t>the Commission</w:t>
      </w:r>
      <w:r w:rsidR="00687684" w:rsidRPr="00D869E3">
        <w:rPr>
          <w:rFonts w:ascii="Verdana" w:hAnsi="Verdana"/>
          <w:sz w:val="20"/>
          <w:szCs w:val="20"/>
          <w:lang w:val="en-US"/>
        </w:rPr>
        <w:t xml:space="preserve"> and the representatives</w:t>
      </w:r>
      <w:r w:rsidR="00CE3F0D" w:rsidRPr="00D869E3">
        <w:rPr>
          <w:rFonts w:ascii="Verdana" w:hAnsi="Verdana"/>
          <w:sz w:val="20"/>
          <w:szCs w:val="20"/>
          <w:lang w:val="en-US"/>
        </w:rPr>
        <w:t>.</w:t>
      </w:r>
      <w:r w:rsidR="006436CA" w:rsidRPr="00D869E3">
        <w:rPr>
          <w:rFonts w:ascii="Verdana" w:hAnsi="Verdana"/>
          <w:sz w:val="20"/>
          <w:szCs w:val="20"/>
          <w:lang w:val="en-US"/>
        </w:rPr>
        <w:t>”</w:t>
      </w:r>
    </w:p>
    <w:p w14:paraId="7B9BC5A1" w14:textId="77777777" w:rsidR="006F79F4" w:rsidRPr="00D869E3" w:rsidRDefault="006F79F4" w:rsidP="00AF7637">
      <w:pPr>
        <w:pStyle w:val="Prrafodelista"/>
        <w:ind w:left="0"/>
        <w:rPr>
          <w:rFonts w:ascii="Verdana" w:hAnsi="Verdana"/>
          <w:sz w:val="20"/>
          <w:szCs w:val="20"/>
          <w:lang w:val="en-US"/>
        </w:rPr>
      </w:pPr>
    </w:p>
    <w:p w14:paraId="21F9AB06" w14:textId="0E973AEE" w:rsidR="006F79F4" w:rsidRPr="00D869E3" w:rsidRDefault="006F79F4" w:rsidP="00E66DD7">
      <w:pPr>
        <w:pStyle w:val="Prrafodelista"/>
        <w:numPr>
          <w:ilvl w:val="0"/>
          <w:numId w:val="1"/>
        </w:numPr>
        <w:ind w:left="0" w:firstLine="0"/>
        <w:jc w:val="both"/>
        <w:rPr>
          <w:rFonts w:ascii="Verdana" w:hAnsi="Verdana"/>
          <w:i/>
          <w:sz w:val="20"/>
          <w:szCs w:val="20"/>
          <w:lang w:val="en-US"/>
        </w:rPr>
      </w:pPr>
      <w:r w:rsidRPr="00D869E3">
        <w:rPr>
          <w:rFonts w:ascii="Verdana" w:hAnsi="Verdana"/>
          <w:i/>
          <w:sz w:val="20"/>
          <w:szCs w:val="20"/>
          <w:lang w:val="en-US"/>
        </w:rPr>
        <w:t>Observa</w:t>
      </w:r>
      <w:r w:rsidR="00CE3F0D" w:rsidRPr="00D869E3">
        <w:rPr>
          <w:rFonts w:ascii="Verdana" w:hAnsi="Verdana"/>
          <w:i/>
          <w:sz w:val="20"/>
          <w:szCs w:val="20"/>
          <w:lang w:val="en-US"/>
        </w:rPr>
        <w:t>tions on the</w:t>
      </w:r>
      <w:r w:rsidRPr="00D869E3">
        <w:rPr>
          <w:rFonts w:ascii="Verdana" w:hAnsi="Verdana"/>
          <w:i/>
          <w:sz w:val="20"/>
          <w:szCs w:val="20"/>
          <w:lang w:val="en-US"/>
        </w:rPr>
        <w:t xml:space="preserve"> </w:t>
      </w:r>
      <w:r w:rsidR="00CE3F0D" w:rsidRPr="00D869E3">
        <w:rPr>
          <w:rFonts w:ascii="Verdana" w:hAnsi="Verdana"/>
          <w:i/>
          <w:sz w:val="20"/>
          <w:szCs w:val="20"/>
          <w:lang w:val="en-US"/>
        </w:rPr>
        <w:t>preliminary objections</w:t>
      </w:r>
      <w:r w:rsidRPr="00D869E3">
        <w:rPr>
          <w:rFonts w:ascii="Verdana" w:hAnsi="Verdana"/>
          <w:i/>
          <w:sz w:val="20"/>
          <w:szCs w:val="20"/>
          <w:lang w:val="en-US"/>
        </w:rPr>
        <w:t>.</w:t>
      </w:r>
      <w:r w:rsidR="007C68E6" w:rsidRPr="00D869E3">
        <w:rPr>
          <w:rFonts w:ascii="Verdana" w:hAnsi="Verdana"/>
          <w:sz w:val="20"/>
          <w:szCs w:val="20"/>
          <w:lang w:val="en-US"/>
        </w:rPr>
        <w:t xml:space="preserve"> </w:t>
      </w:r>
      <w:r w:rsidR="00CE3F0D" w:rsidRPr="00D869E3">
        <w:rPr>
          <w:rFonts w:ascii="Verdana" w:hAnsi="Verdana"/>
          <w:sz w:val="20"/>
          <w:szCs w:val="20"/>
          <w:lang w:val="en-US"/>
        </w:rPr>
        <w:t>On August</w:t>
      </w:r>
      <w:r w:rsidRPr="00D869E3">
        <w:rPr>
          <w:rFonts w:ascii="Verdana" w:hAnsi="Verdana"/>
          <w:sz w:val="20"/>
          <w:szCs w:val="20"/>
          <w:lang w:val="en-US"/>
        </w:rPr>
        <w:t xml:space="preserve"> 14</w:t>
      </w:r>
      <w:r w:rsidR="00687684" w:rsidRPr="00D869E3">
        <w:rPr>
          <w:rFonts w:ascii="Verdana" w:hAnsi="Verdana"/>
          <w:sz w:val="20"/>
          <w:szCs w:val="20"/>
          <w:lang w:val="en-US"/>
        </w:rPr>
        <w:t xml:space="preserve"> and </w:t>
      </w:r>
      <w:r w:rsidRPr="00D869E3">
        <w:rPr>
          <w:rFonts w:ascii="Verdana" w:hAnsi="Verdana"/>
          <w:sz w:val="20"/>
          <w:szCs w:val="20"/>
          <w:lang w:val="en-US"/>
        </w:rPr>
        <w:t>16</w:t>
      </w:r>
      <w:r w:rsidR="003E68B9" w:rsidRPr="00D869E3">
        <w:rPr>
          <w:rFonts w:ascii="Verdana" w:hAnsi="Verdana"/>
          <w:sz w:val="20"/>
          <w:szCs w:val="20"/>
          <w:lang w:val="en-US"/>
        </w:rPr>
        <w:t>,</w:t>
      </w:r>
      <w:r w:rsidRPr="00D869E3">
        <w:rPr>
          <w:rFonts w:ascii="Verdana" w:hAnsi="Verdana"/>
          <w:sz w:val="20"/>
          <w:szCs w:val="20"/>
          <w:lang w:val="en-US"/>
        </w:rPr>
        <w:t xml:space="preserve"> 2016, respectiv</w:t>
      </w:r>
      <w:r w:rsidR="00CE3F0D" w:rsidRPr="00D869E3">
        <w:rPr>
          <w:rFonts w:ascii="Verdana" w:hAnsi="Verdana"/>
          <w:sz w:val="20"/>
          <w:szCs w:val="20"/>
          <w:lang w:val="en-US"/>
        </w:rPr>
        <w:t>ely</w:t>
      </w:r>
      <w:r w:rsidRPr="00D869E3">
        <w:rPr>
          <w:rFonts w:ascii="Verdana" w:hAnsi="Verdana"/>
          <w:sz w:val="20"/>
          <w:szCs w:val="20"/>
          <w:lang w:val="en-US"/>
        </w:rPr>
        <w:t xml:space="preserve">, </w:t>
      </w:r>
      <w:r w:rsidR="00687684" w:rsidRPr="00D869E3">
        <w:rPr>
          <w:rFonts w:ascii="Verdana" w:hAnsi="Verdana"/>
          <w:sz w:val="20"/>
          <w:szCs w:val="20"/>
          <w:lang w:val="en-US"/>
        </w:rPr>
        <w:t xml:space="preserve">the representatives and </w:t>
      </w:r>
      <w:r w:rsidR="00447C65" w:rsidRPr="00D869E3">
        <w:rPr>
          <w:rFonts w:ascii="Verdana" w:hAnsi="Verdana"/>
          <w:sz w:val="20"/>
          <w:szCs w:val="20"/>
          <w:lang w:val="en-US"/>
        </w:rPr>
        <w:t>the Commission</w:t>
      </w:r>
      <w:r w:rsidR="00524EDB" w:rsidRPr="00D869E3">
        <w:rPr>
          <w:rFonts w:ascii="Verdana" w:hAnsi="Verdana"/>
          <w:sz w:val="20"/>
          <w:szCs w:val="20"/>
          <w:lang w:val="en-US"/>
        </w:rPr>
        <w:t xml:space="preserve"> </w:t>
      </w:r>
      <w:r w:rsidR="00CE3F0D" w:rsidRPr="00D869E3">
        <w:rPr>
          <w:rFonts w:ascii="Verdana" w:hAnsi="Verdana"/>
          <w:sz w:val="20"/>
          <w:szCs w:val="20"/>
          <w:lang w:val="en-US"/>
        </w:rPr>
        <w:t xml:space="preserve">forwarded their observations on the </w:t>
      </w:r>
      <w:r w:rsidR="006436CA" w:rsidRPr="00D869E3">
        <w:rPr>
          <w:rFonts w:ascii="Verdana" w:hAnsi="Verdana"/>
          <w:sz w:val="20"/>
          <w:szCs w:val="20"/>
          <w:lang w:val="en-US"/>
        </w:rPr>
        <w:t>“</w:t>
      </w:r>
      <w:r w:rsidRPr="00D869E3">
        <w:rPr>
          <w:rFonts w:ascii="Verdana" w:hAnsi="Verdana"/>
          <w:sz w:val="20"/>
          <w:szCs w:val="20"/>
          <w:lang w:val="en-US"/>
        </w:rPr>
        <w:t>observa</w:t>
      </w:r>
      <w:r w:rsidR="00CE3F0D" w:rsidRPr="00D869E3">
        <w:rPr>
          <w:rFonts w:ascii="Verdana" w:hAnsi="Verdana"/>
          <w:sz w:val="20"/>
          <w:szCs w:val="20"/>
          <w:lang w:val="en-US"/>
        </w:rPr>
        <w:t xml:space="preserve">tions on the </w:t>
      </w:r>
      <w:r w:rsidR="00687684" w:rsidRPr="00D869E3">
        <w:rPr>
          <w:rFonts w:ascii="Verdana" w:hAnsi="Verdana"/>
          <w:sz w:val="20"/>
          <w:szCs w:val="20"/>
          <w:lang w:val="en-US"/>
        </w:rPr>
        <w:t xml:space="preserve">Admissibility Report and </w:t>
      </w:r>
      <w:r w:rsidR="00CE3F0D" w:rsidRPr="00D869E3">
        <w:rPr>
          <w:rFonts w:ascii="Verdana" w:hAnsi="Verdana"/>
          <w:sz w:val="20"/>
          <w:szCs w:val="20"/>
          <w:lang w:val="en-US"/>
        </w:rPr>
        <w:t>procedural questions</w:t>
      </w:r>
      <w:r w:rsidR="006436CA" w:rsidRPr="00D869E3">
        <w:rPr>
          <w:rFonts w:ascii="Verdana" w:hAnsi="Verdana"/>
          <w:sz w:val="20"/>
          <w:szCs w:val="20"/>
          <w:lang w:val="en-US"/>
        </w:rPr>
        <w:t>”</w:t>
      </w:r>
      <w:r w:rsidRPr="00D869E3">
        <w:rPr>
          <w:rFonts w:ascii="Verdana" w:hAnsi="Verdana"/>
          <w:sz w:val="20"/>
          <w:szCs w:val="20"/>
          <w:lang w:val="en-US"/>
        </w:rPr>
        <w:t xml:space="preserve"> </w:t>
      </w:r>
      <w:r w:rsidR="00CE3F0D" w:rsidRPr="00D869E3">
        <w:rPr>
          <w:rFonts w:ascii="Verdana" w:hAnsi="Verdana"/>
          <w:sz w:val="20"/>
          <w:szCs w:val="20"/>
          <w:lang w:val="en-US"/>
        </w:rPr>
        <w:t>filed by</w:t>
      </w:r>
      <w:r w:rsidRPr="00D869E3">
        <w:rPr>
          <w:rFonts w:ascii="Verdana" w:hAnsi="Verdana"/>
          <w:sz w:val="20"/>
          <w:szCs w:val="20"/>
          <w:lang w:val="en-US"/>
        </w:rPr>
        <w:t xml:space="preserve"> </w:t>
      </w:r>
      <w:r w:rsidR="00447C65" w:rsidRPr="00D869E3">
        <w:rPr>
          <w:rFonts w:ascii="Verdana" w:hAnsi="Verdana"/>
          <w:sz w:val="20"/>
          <w:szCs w:val="20"/>
          <w:lang w:val="en-US"/>
        </w:rPr>
        <w:t>the State</w:t>
      </w:r>
      <w:r w:rsidRPr="00D869E3">
        <w:rPr>
          <w:rFonts w:ascii="Verdana" w:hAnsi="Verdana"/>
          <w:sz w:val="20"/>
          <w:szCs w:val="20"/>
          <w:lang w:val="en-US"/>
        </w:rPr>
        <w:t xml:space="preserve">. </w:t>
      </w:r>
    </w:p>
    <w:p w14:paraId="3C49942A" w14:textId="77777777" w:rsidR="00BD0D35" w:rsidRPr="00D869E3" w:rsidRDefault="00BD0D35" w:rsidP="005D0F69">
      <w:pPr>
        <w:pStyle w:val="Prrafodelista"/>
        <w:ind w:left="0"/>
        <w:jc w:val="both"/>
        <w:rPr>
          <w:rFonts w:ascii="Verdana" w:hAnsi="Verdana"/>
          <w:i/>
          <w:sz w:val="20"/>
          <w:szCs w:val="20"/>
          <w:lang w:val="en-US"/>
        </w:rPr>
      </w:pPr>
    </w:p>
    <w:p w14:paraId="5B7012DE" w14:textId="6A635EAA" w:rsidR="00BD0D35" w:rsidRPr="00D869E3" w:rsidRDefault="003D1F89" w:rsidP="00E66DD7">
      <w:pPr>
        <w:pStyle w:val="Prrafodelista"/>
        <w:numPr>
          <w:ilvl w:val="0"/>
          <w:numId w:val="1"/>
        </w:numPr>
        <w:ind w:left="0" w:firstLine="0"/>
        <w:jc w:val="both"/>
        <w:rPr>
          <w:rFonts w:ascii="Verdana" w:hAnsi="Verdana"/>
          <w:i/>
          <w:sz w:val="20"/>
          <w:szCs w:val="20"/>
          <w:lang w:val="en-US"/>
        </w:rPr>
      </w:pPr>
      <w:r w:rsidRPr="00D869E3">
        <w:rPr>
          <w:rFonts w:ascii="Verdana" w:hAnsi="Verdana"/>
          <w:i/>
          <w:sz w:val="20"/>
          <w:szCs w:val="20"/>
          <w:lang w:val="en-US"/>
        </w:rPr>
        <w:lastRenderedPageBreak/>
        <w:t>Victims’ Legal Assistance Fund</w:t>
      </w:r>
      <w:r w:rsidR="00BD0D35" w:rsidRPr="00D869E3">
        <w:rPr>
          <w:rFonts w:ascii="Verdana" w:hAnsi="Verdana"/>
          <w:sz w:val="20"/>
          <w:lang w:val="en-US"/>
        </w:rPr>
        <w:t xml:space="preserve">. </w:t>
      </w:r>
      <w:r w:rsidR="001E44D3" w:rsidRPr="00D869E3">
        <w:rPr>
          <w:rFonts w:ascii="Verdana" w:hAnsi="Verdana"/>
          <w:sz w:val="20"/>
          <w:lang w:val="en-US"/>
        </w:rPr>
        <w:t>In an order</w:t>
      </w:r>
      <w:r w:rsidR="00447C65" w:rsidRPr="00D869E3">
        <w:rPr>
          <w:rFonts w:ascii="Verdana" w:hAnsi="Verdana"/>
          <w:sz w:val="20"/>
          <w:lang w:val="en-US"/>
        </w:rPr>
        <w:t xml:space="preserve"> of the President of the Court</w:t>
      </w:r>
      <w:r w:rsidR="00BD0D35" w:rsidRPr="00D869E3">
        <w:rPr>
          <w:rFonts w:ascii="Verdana" w:hAnsi="Verdana"/>
          <w:sz w:val="20"/>
          <w:lang w:val="en-US"/>
        </w:rPr>
        <w:t xml:space="preserve"> </w:t>
      </w:r>
      <w:r w:rsidR="001E44D3" w:rsidRPr="00D869E3">
        <w:rPr>
          <w:rFonts w:ascii="Verdana" w:hAnsi="Verdana"/>
          <w:sz w:val="20"/>
          <w:lang w:val="en-US"/>
        </w:rPr>
        <w:t>of July 14,</w:t>
      </w:r>
      <w:r w:rsidR="00BD0D35" w:rsidRPr="00D869E3">
        <w:rPr>
          <w:rFonts w:ascii="Verdana" w:hAnsi="Verdana"/>
          <w:sz w:val="20"/>
          <w:lang w:val="en-US"/>
        </w:rPr>
        <w:t xml:space="preserve"> 2016</w:t>
      </w:r>
      <w:r w:rsidR="00DD091E" w:rsidRPr="00D869E3">
        <w:rPr>
          <w:rFonts w:ascii="Verdana" w:hAnsi="Verdana"/>
          <w:sz w:val="20"/>
          <w:lang w:val="en-US"/>
        </w:rPr>
        <w:t xml:space="preserve"> </w:t>
      </w:r>
      <w:r w:rsidR="001E44D3" w:rsidRPr="00D869E3">
        <w:rPr>
          <w:rFonts w:ascii="Verdana" w:hAnsi="Verdana"/>
          <w:sz w:val="20"/>
          <w:lang w:val="en-US"/>
        </w:rPr>
        <w:t xml:space="preserve">the request for access to the Court’s Assistance Fund filed by </w:t>
      </w:r>
      <w:r w:rsidR="00687684" w:rsidRPr="00D869E3">
        <w:rPr>
          <w:rFonts w:ascii="Verdana" w:hAnsi="Verdana"/>
          <w:sz w:val="20"/>
          <w:lang w:val="en-US"/>
        </w:rPr>
        <w:t>the presumed victim</w:t>
      </w:r>
      <w:r w:rsidR="00BD0D35" w:rsidRPr="00D869E3">
        <w:rPr>
          <w:rFonts w:ascii="Verdana" w:hAnsi="Verdana"/>
          <w:sz w:val="20"/>
          <w:lang w:val="en-US"/>
        </w:rPr>
        <w:t xml:space="preserve">, </w:t>
      </w:r>
      <w:r w:rsidR="001E44D3" w:rsidRPr="00D869E3">
        <w:rPr>
          <w:rFonts w:ascii="Verdana" w:hAnsi="Verdana"/>
          <w:sz w:val="20"/>
          <w:lang w:val="en-US"/>
        </w:rPr>
        <w:t>through his representatives</w:t>
      </w:r>
      <w:r w:rsidR="00BD0D35" w:rsidRPr="00D869E3">
        <w:rPr>
          <w:rFonts w:ascii="Verdana" w:hAnsi="Verdana"/>
          <w:sz w:val="20"/>
          <w:lang w:val="en-US"/>
        </w:rPr>
        <w:t xml:space="preserve">, </w:t>
      </w:r>
      <w:r w:rsidR="001E44D3" w:rsidRPr="00D869E3">
        <w:rPr>
          <w:rFonts w:ascii="Verdana" w:hAnsi="Verdana"/>
          <w:sz w:val="20"/>
          <w:lang w:val="en-US"/>
        </w:rPr>
        <w:t>was declared admissible.</w:t>
      </w:r>
      <w:r w:rsidR="00A141EA" w:rsidRPr="00D869E3">
        <w:rPr>
          <w:rStyle w:val="Refdenotaalpie"/>
          <w:lang w:val="en-US"/>
        </w:rPr>
        <w:footnoteReference w:id="4"/>
      </w:r>
    </w:p>
    <w:p w14:paraId="0222D07D" w14:textId="77777777" w:rsidR="006F79F4" w:rsidRPr="00D869E3" w:rsidRDefault="006F79F4" w:rsidP="00AF7637">
      <w:pPr>
        <w:autoSpaceDE w:val="0"/>
        <w:autoSpaceDN w:val="0"/>
        <w:adjustRightInd w:val="0"/>
        <w:jc w:val="both"/>
        <w:rPr>
          <w:rFonts w:ascii="Verdana" w:eastAsiaTheme="minorHAnsi" w:hAnsi="Verdana" w:cs="Verdana"/>
          <w:color w:val="000000"/>
          <w:sz w:val="20"/>
          <w:szCs w:val="20"/>
          <w:lang w:val="en-US"/>
        </w:rPr>
      </w:pPr>
    </w:p>
    <w:p w14:paraId="0CA4ED95" w14:textId="79315C11" w:rsidR="006F79F4" w:rsidRPr="00D869E3" w:rsidRDefault="001E44D3"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Public hearing</w:t>
      </w:r>
      <w:r w:rsidR="006F79F4" w:rsidRPr="00D869E3">
        <w:rPr>
          <w:rFonts w:ascii="Verdana" w:hAnsi="Verdana"/>
          <w:i/>
          <w:sz w:val="20"/>
          <w:szCs w:val="20"/>
          <w:lang w:val="en-US"/>
        </w:rPr>
        <w:t>.</w:t>
      </w:r>
      <w:r w:rsidR="006F79F4" w:rsidRPr="00D869E3">
        <w:rPr>
          <w:rFonts w:ascii="Verdana" w:hAnsi="Verdana"/>
          <w:sz w:val="20"/>
          <w:szCs w:val="20"/>
          <w:lang w:val="en-US"/>
        </w:rPr>
        <w:t xml:space="preserve"> </w:t>
      </w:r>
      <w:r w:rsidRPr="00D869E3">
        <w:rPr>
          <w:rFonts w:ascii="Verdana" w:hAnsi="Verdana"/>
          <w:sz w:val="20"/>
          <w:lang w:val="en-US"/>
        </w:rPr>
        <w:t xml:space="preserve">In an order of the </w:t>
      </w:r>
      <w:r w:rsidR="00447C65" w:rsidRPr="00D869E3">
        <w:rPr>
          <w:rFonts w:ascii="Verdana" w:hAnsi="Verdana"/>
          <w:sz w:val="20"/>
          <w:szCs w:val="20"/>
          <w:lang w:val="en-US"/>
        </w:rPr>
        <w:t>President of the Court</w:t>
      </w:r>
      <w:r w:rsidR="006F79F4" w:rsidRPr="00D869E3">
        <w:rPr>
          <w:rFonts w:ascii="Verdana" w:hAnsi="Verdana"/>
          <w:sz w:val="20"/>
          <w:szCs w:val="20"/>
          <w:lang w:val="en-US"/>
        </w:rPr>
        <w:t xml:space="preserve"> </w:t>
      </w:r>
      <w:r w:rsidRPr="00D869E3">
        <w:rPr>
          <w:rFonts w:ascii="Verdana" w:hAnsi="Verdana"/>
          <w:sz w:val="20"/>
          <w:szCs w:val="20"/>
          <w:lang w:val="en-US"/>
        </w:rPr>
        <w:t xml:space="preserve">of </w:t>
      </w:r>
      <w:r w:rsidR="00687684" w:rsidRPr="00D869E3">
        <w:rPr>
          <w:rFonts w:ascii="Verdana" w:hAnsi="Verdana"/>
          <w:sz w:val="20"/>
          <w:szCs w:val="20"/>
          <w:lang w:val="en-US"/>
        </w:rPr>
        <w:t xml:space="preserve">November </w:t>
      </w:r>
      <w:r w:rsidRPr="00D869E3">
        <w:rPr>
          <w:rFonts w:ascii="Verdana" w:hAnsi="Verdana"/>
          <w:sz w:val="20"/>
          <w:szCs w:val="20"/>
          <w:lang w:val="en-US"/>
        </w:rPr>
        <w:t>2</w:t>
      </w:r>
      <w:r w:rsidR="00687684" w:rsidRPr="00D869E3">
        <w:rPr>
          <w:rFonts w:ascii="Verdana" w:hAnsi="Verdana"/>
          <w:sz w:val="20"/>
          <w:szCs w:val="20"/>
          <w:lang w:val="en-US"/>
        </w:rPr>
        <w:t>1,</w:t>
      </w:r>
      <w:r w:rsidR="006F79F4" w:rsidRPr="00D869E3">
        <w:rPr>
          <w:rFonts w:ascii="Verdana" w:hAnsi="Verdana"/>
          <w:sz w:val="20"/>
          <w:szCs w:val="20"/>
          <w:lang w:val="en-US"/>
        </w:rPr>
        <w:t xml:space="preserve"> 2016</w:t>
      </w:r>
      <w:r w:rsidRPr="00D869E3">
        <w:rPr>
          <w:rFonts w:ascii="Verdana" w:hAnsi="Verdana"/>
          <w:sz w:val="20"/>
          <w:szCs w:val="20"/>
          <w:lang w:val="en-US"/>
        </w:rPr>
        <w:t>,</w:t>
      </w:r>
      <w:r w:rsidR="006F79F4" w:rsidRPr="00D869E3">
        <w:rPr>
          <w:rFonts w:ascii="Verdana" w:hAnsi="Verdana"/>
          <w:sz w:val="20"/>
          <w:szCs w:val="20"/>
          <w:vertAlign w:val="superscript"/>
          <w:lang w:val="en-US"/>
        </w:rPr>
        <w:footnoteReference w:id="5"/>
      </w:r>
      <w:r w:rsidR="006F79F4" w:rsidRPr="00D869E3">
        <w:rPr>
          <w:rFonts w:ascii="Verdana" w:hAnsi="Verdana"/>
          <w:sz w:val="20"/>
          <w:szCs w:val="20"/>
          <w:lang w:val="en-US"/>
        </w:rPr>
        <w:t xml:space="preserve"> </w:t>
      </w:r>
      <w:r w:rsidRPr="00D869E3">
        <w:rPr>
          <w:rFonts w:ascii="Verdana" w:hAnsi="Verdana"/>
          <w:sz w:val="20"/>
          <w:szCs w:val="20"/>
          <w:lang w:val="en-US"/>
        </w:rPr>
        <w:t xml:space="preserve">it was decided, </w:t>
      </w:r>
      <w:r w:rsidRPr="00D869E3">
        <w:rPr>
          <w:rFonts w:ascii="Verdana" w:hAnsi="Verdana"/>
          <w:i/>
          <w:iCs/>
          <w:sz w:val="20"/>
          <w:szCs w:val="20"/>
          <w:lang w:val="en-US"/>
        </w:rPr>
        <w:t>inter alia</w:t>
      </w:r>
      <w:r w:rsidRPr="00D869E3">
        <w:rPr>
          <w:rFonts w:ascii="Verdana" w:hAnsi="Verdana"/>
          <w:sz w:val="20"/>
          <w:szCs w:val="20"/>
          <w:lang w:val="en-US"/>
        </w:rPr>
        <w:t>: (a)</w:t>
      </w:r>
      <w:r w:rsidR="006F79F4" w:rsidRPr="00D869E3">
        <w:rPr>
          <w:rFonts w:ascii="Verdana" w:hAnsi="Verdana"/>
          <w:sz w:val="20"/>
          <w:szCs w:val="20"/>
          <w:lang w:val="en-US"/>
        </w:rPr>
        <w:t xml:space="preserve"> </w:t>
      </w:r>
      <w:r w:rsidRPr="00D869E3">
        <w:rPr>
          <w:rFonts w:ascii="Verdana" w:hAnsi="Verdana"/>
          <w:sz w:val="20"/>
          <w:szCs w:val="20"/>
          <w:lang w:val="en-US"/>
        </w:rPr>
        <w:t>to call the parties to a public hearing</w:t>
      </w:r>
      <w:r w:rsidR="006F79F4" w:rsidRPr="00D869E3">
        <w:rPr>
          <w:rStyle w:val="Refdenotaalpie"/>
          <w:szCs w:val="20"/>
          <w:lang w:val="en-US"/>
        </w:rPr>
        <w:footnoteReference w:id="6"/>
      </w:r>
      <w:r w:rsidR="006F79F4" w:rsidRPr="00D869E3">
        <w:rPr>
          <w:rFonts w:ascii="Verdana" w:hAnsi="Verdana"/>
          <w:sz w:val="20"/>
          <w:szCs w:val="20"/>
          <w:lang w:val="en-US"/>
        </w:rPr>
        <w:t xml:space="preserve"> </w:t>
      </w:r>
      <w:r w:rsidRPr="00D869E3">
        <w:rPr>
          <w:rFonts w:ascii="Verdana" w:hAnsi="Verdana"/>
          <w:sz w:val="20"/>
          <w:szCs w:val="20"/>
          <w:lang w:val="en-US"/>
        </w:rPr>
        <w:t xml:space="preserve">to receive the statements </w:t>
      </w:r>
      <w:r w:rsidR="00687684" w:rsidRPr="00D869E3">
        <w:rPr>
          <w:rFonts w:ascii="Verdana" w:hAnsi="Verdana"/>
          <w:sz w:val="20"/>
          <w:szCs w:val="20"/>
          <w:lang w:val="en-US"/>
        </w:rPr>
        <w:t>of the presumed victim</w:t>
      </w:r>
      <w:r w:rsidR="006F79F4" w:rsidRPr="00D869E3">
        <w:rPr>
          <w:rFonts w:ascii="Verdana" w:hAnsi="Verdana"/>
          <w:sz w:val="20"/>
          <w:szCs w:val="20"/>
          <w:lang w:val="en-US"/>
        </w:rPr>
        <w:t xml:space="preserve">, </w:t>
      </w:r>
      <w:r w:rsidRPr="00D869E3">
        <w:rPr>
          <w:rFonts w:ascii="Verdana" w:hAnsi="Verdana"/>
          <w:sz w:val="20"/>
          <w:szCs w:val="20"/>
          <w:lang w:val="en-US"/>
        </w:rPr>
        <w:t>and two expert witnesses</w:t>
      </w:r>
      <w:r w:rsidR="006F79F4" w:rsidRPr="00D869E3">
        <w:rPr>
          <w:rFonts w:ascii="Verdana" w:hAnsi="Verdana"/>
          <w:sz w:val="20"/>
          <w:szCs w:val="20"/>
          <w:lang w:val="en-US"/>
        </w:rPr>
        <w:t xml:space="preserve">; </w:t>
      </w:r>
      <w:r w:rsidRPr="00D869E3">
        <w:rPr>
          <w:rFonts w:ascii="Verdana" w:hAnsi="Verdana"/>
          <w:sz w:val="20"/>
          <w:szCs w:val="20"/>
          <w:lang w:val="en-US"/>
        </w:rPr>
        <w:t>one proposed by</w:t>
      </w:r>
      <w:r w:rsidR="006F79F4"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687684" w:rsidRPr="00D869E3">
        <w:rPr>
          <w:rFonts w:ascii="Verdana" w:hAnsi="Verdana"/>
          <w:sz w:val="20"/>
          <w:szCs w:val="20"/>
          <w:lang w:val="en-US"/>
        </w:rPr>
        <w:t xml:space="preserve"> and </w:t>
      </w:r>
      <w:r w:rsidRPr="00D869E3">
        <w:rPr>
          <w:rFonts w:ascii="Verdana" w:hAnsi="Verdana"/>
          <w:sz w:val="20"/>
          <w:szCs w:val="20"/>
          <w:lang w:val="en-US"/>
        </w:rPr>
        <w:t>the other by</w:t>
      </w:r>
      <w:r w:rsidR="006F79F4" w:rsidRPr="00D869E3">
        <w:rPr>
          <w:rFonts w:ascii="Verdana" w:hAnsi="Verdana"/>
          <w:sz w:val="20"/>
          <w:szCs w:val="20"/>
          <w:lang w:val="en-US"/>
        </w:rPr>
        <w:t xml:space="preserve"> </w:t>
      </w:r>
      <w:r w:rsidR="00447C65" w:rsidRPr="00D869E3">
        <w:rPr>
          <w:rFonts w:ascii="Verdana" w:hAnsi="Verdana"/>
          <w:sz w:val="20"/>
          <w:szCs w:val="20"/>
          <w:lang w:val="en-US"/>
        </w:rPr>
        <w:t>the State</w:t>
      </w:r>
      <w:r w:rsidR="006F79F4" w:rsidRPr="00D869E3">
        <w:rPr>
          <w:rFonts w:ascii="Verdana" w:hAnsi="Verdana"/>
          <w:sz w:val="20"/>
          <w:szCs w:val="20"/>
          <w:lang w:val="en-US"/>
        </w:rPr>
        <w:t>,</w:t>
      </w:r>
      <w:r w:rsidR="00687684" w:rsidRPr="00D869E3">
        <w:rPr>
          <w:rFonts w:ascii="Verdana" w:hAnsi="Verdana"/>
          <w:sz w:val="20"/>
          <w:szCs w:val="20"/>
          <w:lang w:val="en-US"/>
        </w:rPr>
        <w:t xml:space="preserve"> and </w:t>
      </w:r>
      <w:r w:rsidRPr="00D869E3">
        <w:rPr>
          <w:rFonts w:ascii="Verdana" w:hAnsi="Verdana"/>
          <w:sz w:val="20"/>
          <w:szCs w:val="20"/>
          <w:lang w:val="en-US"/>
        </w:rPr>
        <w:t>(</w:t>
      </w:r>
      <w:r w:rsidR="006F79F4" w:rsidRPr="00D869E3">
        <w:rPr>
          <w:rFonts w:ascii="Verdana" w:hAnsi="Verdana"/>
          <w:sz w:val="20"/>
          <w:szCs w:val="20"/>
          <w:lang w:val="en-US"/>
        </w:rPr>
        <w:t>b)</w:t>
      </w:r>
      <w:r w:rsidRPr="00D869E3">
        <w:rPr>
          <w:rFonts w:ascii="Verdana" w:hAnsi="Verdana"/>
          <w:sz w:val="20"/>
          <w:szCs w:val="20"/>
          <w:lang w:val="en-US"/>
        </w:rPr>
        <w:t xml:space="preserve"> to require, pursuant to the principle of procedural economy and the authority granted by</w:t>
      </w:r>
      <w:r w:rsidR="006F79F4" w:rsidRPr="00D869E3">
        <w:rPr>
          <w:rFonts w:ascii="Verdana" w:hAnsi="Verdana"/>
          <w:sz w:val="20"/>
          <w:szCs w:val="20"/>
          <w:lang w:val="en-US"/>
        </w:rPr>
        <w:t xml:space="preserve"> </w:t>
      </w:r>
      <w:r w:rsidR="00447C65" w:rsidRPr="00D869E3">
        <w:rPr>
          <w:rFonts w:ascii="Verdana" w:hAnsi="Verdana"/>
          <w:sz w:val="20"/>
          <w:szCs w:val="20"/>
          <w:lang w:val="en-US"/>
        </w:rPr>
        <w:t>Article</w:t>
      </w:r>
      <w:r w:rsidR="006F79F4" w:rsidRPr="00D869E3">
        <w:rPr>
          <w:rFonts w:ascii="Verdana" w:hAnsi="Verdana"/>
          <w:sz w:val="20"/>
          <w:szCs w:val="20"/>
          <w:lang w:val="en-US"/>
        </w:rPr>
        <w:t xml:space="preserve"> 50</w:t>
      </w:r>
      <w:r w:rsidRPr="00D869E3">
        <w:rPr>
          <w:rFonts w:ascii="Verdana" w:hAnsi="Verdana"/>
          <w:sz w:val="20"/>
          <w:szCs w:val="20"/>
          <w:lang w:val="en-US"/>
        </w:rPr>
        <w:t>(</w:t>
      </w:r>
      <w:r w:rsidR="006F79F4" w:rsidRPr="00D869E3">
        <w:rPr>
          <w:rFonts w:ascii="Verdana" w:hAnsi="Verdana"/>
          <w:sz w:val="20"/>
          <w:szCs w:val="20"/>
          <w:lang w:val="en-US"/>
        </w:rPr>
        <w:t>1</w:t>
      </w:r>
      <w:r w:rsidRPr="00D869E3">
        <w:rPr>
          <w:rFonts w:ascii="Verdana" w:hAnsi="Verdana"/>
          <w:sz w:val="20"/>
          <w:szCs w:val="20"/>
          <w:lang w:val="en-US"/>
        </w:rPr>
        <w:t>)</w:t>
      </w:r>
      <w:r w:rsidR="00447C65" w:rsidRPr="00D869E3">
        <w:rPr>
          <w:rFonts w:ascii="Verdana" w:hAnsi="Verdana"/>
          <w:sz w:val="20"/>
          <w:szCs w:val="20"/>
          <w:lang w:val="en-US"/>
        </w:rPr>
        <w:t xml:space="preserve"> of the </w:t>
      </w:r>
      <w:r w:rsidRPr="00D869E3">
        <w:rPr>
          <w:rFonts w:ascii="Verdana" w:hAnsi="Verdana"/>
          <w:sz w:val="20"/>
          <w:szCs w:val="20"/>
          <w:lang w:val="en-US"/>
        </w:rPr>
        <w:t xml:space="preserve">Court’s </w:t>
      </w:r>
      <w:r w:rsidR="00447C65" w:rsidRPr="00D869E3">
        <w:rPr>
          <w:rFonts w:ascii="Verdana" w:hAnsi="Verdana"/>
          <w:sz w:val="20"/>
          <w:szCs w:val="20"/>
          <w:lang w:val="en-US"/>
        </w:rPr>
        <w:t>Rules of Procedure</w:t>
      </w:r>
      <w:r w:rsidRPr="00D869E3">
        <w:rPr>
          <w:rFonts w:ascii="Verdana" w:hAnsi="Verdana"/>
          <w:sz w:val="20"/>
          <w:szCs w:val="20"/>
          <w:lang w:val="en-US"/>
        </w:rPr>
        <w:t>, that two expert witnesses</w:t>
      </w:r>
      <w:r w:rsidR="006F79F4" w:rsidRPr="00D869E3">
        <w:rPr>
          <w:rFonts w:ascii="Verdana" w:hAnsi="Verdana"/>
          <w:sz w:val="20"/>
          <w:szCs w:val="20"/>
          <w:lang w:val="en-US"/>
        </w:rPr>
        <w:t xml:space="preserve">, </w:t>
      </w:r>
      <w:r w:rsidRPr="00D869E3">
        <w:rPr>
          <w:rFonts w:ascii="Verdana" w:hAnsi="Verdana"/>
          <w:sz w:val="20"/>
          <w:szCs w:val="20"/>
          <w:lang w:val="en-US"/>
        </w:rPr>
        <w:t xml:space="preserve">one proposed by </w:t>
      </w:r>
      <w:r w:rsidR="00447C65" w:rsidRPr="00D869E3">
        <w:rPr>
          <w:rFonts w:ascii="Verdana" w:hAnsi="Verdana"/>
          <w:sz w:val="20"/>
          <w:szCs w:val="20"/>
          <w:lang w:val="en-US"/>
        </w:rPr>
        <w:t>the State</w:t>
      </w:r>
      <w:r w:rsidR="006F79F4" w:rsidRPr="00D869E3">
        <w:rPr>
          <w:rStyle w:val="Refdenotaalpie"/>
          <w:szCs w:val="20"/>
          <w:lang w:val="en-US"/>
        </w:rPr>
        <w:footnoteReference w:id="7"/>
      </w:r>
      <w:r w:rsidR="00687684" w:rsidRPr="00D869E3">
        <w:rPr>
          <w:rFonts w:ascii="Verdana" w:hAnsi="Verdana"/>
          <w:sz w:val="20"/>
          <w:szCs w:val="20"/>
          <w:lang w:val="en-US"/>
        </w:rPr>
        <w:t xml:space="preserve"> and </w:t>
      </w:r>
      <w:r w:rsidRPr="00D869E3">
        <w:rPr>
          <w:rFonts w:ascii="Verdana" w:hAnsi="Verdana"/>
          <w:sz w:val="20"/>
          <w:szCs w:val="20"/>
          <w:lang w:val="en-US"/>
        </w:rPr>
        <w:t>the other by</w:t>
      </w:r>
      <w:r w:rsidR="006F79F4"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3E68B9" w:rsidRPr="00D869E3">
        <w:rPr>
          <w:rFonts w:ascii="Verdana" w:hAnsi="Verdana"/>
          <w:sz w:val="20"/>
          <w:szCs w:val="20"/>
          <w:lang w:val="en-US"/>
        </w:rPr>
        <w:t>,</w:t>
      </w:r>
      <w:r w:rsidR="006F79F4" w:rsidRPr="00D869E3">
        <w:rPr>
          <w:rStyle w:val="Refdenotaalpie"/>
          <w:szCs w:val="20"/>
          <w:lang w:val="en-US"/>
        </w:rPr>
        <w:footnoteReference w:id="8"/>
      </w:r>
      <w:r w:rsidR="006F79F4" w:rsidRPr="00D869E3">
        <w:rPr>
          <w:rFonts w:ascii="Verdana" w:hAnsi="Verdana"/>
          <w:sz w:val="20"/>
          <w:szCs w:val="20"/>
          <w:lang w:val="en-US"/>
        </w:rPr>
        <w:t xml:space="preserve"> </w:t>
      </w:r>
      <w:r w:rsidRPr="00D869E3">
        <w:rPr>
          <w:rFonts w:ascii="Verdana" w:hAnsi="Verdana"/>
          <w:sz w:val="20"/>
          <w:szCs w:val="20"/>
          <w:lang w:val="en-US"/>
        </w:rPr>
        <w:t>provide their opinions by affidavit.</w:t>
      </w:r>
      <w:r w:rsidR="006F79F4" w:rsidRPr="00D869E3">
        <w:rPr>
          <w:rStyle w:val="Refdenotaalpie"/>
          <w:rFonts w:eastAsiaTheme="minorHAnsi"/>
          <w:color w:val="000000"/>
          <w:szCs w:val="20"/>
          <w:lang w:val="en-US"/>
        </w:rPr>
        <w:footnoteReference w:id="9"/>
      </w:r>
      <w:r w:rsidR="006F79F4" w:rsidRPr="00D869E3">
        <w:rPr>
          <w:rFonts w:ascii="Verdana" w:hAnsi="Verdana"/>
          <w:sz w:val="20"/>
          <w:szCs w:val="20"/>
          <w:lang w:val="en-US"/>
        </w:rPr>
        <w:t xml:space="preserve"> </w:t>
      </w:r>
      <w:r w:rsidRPr="00D869E3">
        <w:rPr>
          <w:rFonts w:ascii="Verdana" w:hAnsi="Verdana"/>
          <w:sz w:val="20"/>
          <w:szCs w:val="20"/>
          <w:lang w:val="en-US"/>
        </w:rPr>
        <w:t>The</w:t>
      </w:r>
      <w:r w:rsidR="006F79F4" w:rsidRPr="00D869E3">
        <w:rPr>
          <w:rFonts w:ascii="Verdana" w:hAnsi="Verdana"/>
          <w:sz w:val="20"/>
          <w:szCs w:val="20"/>
          <w:lang w:val="en-US"/>
        </w:rPr>
        <w:t xml:space="preserve"> </w:t>
      </w:r>
      <w:r w:rsidRPr="00D869E3">
        <w:rPr>
          <w:rFonts w:ascii="Verdana" w:hAnsi="Verdana"/>
          <w:sz w:val="20"/>
          <w:szCs w:val="20"/>
          <w:lang w:val="en-US"/>
        </w:rPr>
        <w:t>public hearing</w:t>
      </w:r>
      <w:r w:rsidR="006F79F4" w:rsidRPr="00D869E3">
        <w:rPr>
          <w:rFonts w:ascii="Verdana" w:hAnsi="Verdana"/>
          <w:sz w:val="20"/>
          <w:szCs w:val="20"/>
          <w:lang w:val="en-US"/>
        </w:rPr>
        <w:t xml:space="preserve"> </w:t>
      </w:r>
      <w:r w:rsidRPr="00D869E3">
        <w:rPr>
          <w:rFonts w:ascii="Verdana" w:hAnsi="Verdana"/>
          <w:sz w:val="20"/>
          <w:szCs w:val="20"/>
          <w:lang w:val="en-US"/>
        </w:rPr>
        <w:t xml:space="preserve">was held on February 7, 2017, in </w:t>
      </w:r>
      <w:r w:rsidR="006F79F4" w:rsidRPr="00D869E3">
        <w:rPr>
          <w:rFonts w:ascii="Verdana" w:hAnsi="Verdana"/>
          <w:sz w:val="20"/>
          <w:szCs w:val="20"/>
          <w:lang w:val="en-US"/>
        </w:rPr>
        <w:t>San José, Costa Rica, dur</w:t>
      </w:r>
      <w:r w:rsidRPr="00D869E3">
        <w:rPr>
          <w:rFonts w:ascii="Verdana" w:hAnsi="Verdana"/>
          <w:sz w:val="20"/>
          <w:szCs w:val="20"/>
          <w:lang w:val="en-US"/>
        </w:rPr>
        <w:t>ing the 117</w:t>
      </w:r>
      <w:r w:rsidRPr="00D869E3">
        <w:rPr>
          <w:rFonts w:ascii="Verdana" w:hAnsi="Verdana"/>
          <w:sz w:val="20"/>
          <w:szCs w:val="20"/>
          <w:vertAlign w:val="superscript"/>
          <w:lang w:val="en-US"/>
        </w:rPr>
        <w:t>th</w:t>
      </w:r>
      <w:r w:rsidRPr="00D869E3">
        <w:rPr>
          <w:rFonts w:ascii="Verdana" w:hAnsi="Verdana"/>
          <w:sz w:val="20"/>
          <w:szCs w:val="20"/>
          <w:lang w:val="en-US"/>
        </w:rPr>
        <w:t xml:space="preserve"> regular session </w:t>
      </w:r>
      <w:r w:rsidR="00447C65" w:rsidRPr="00D869E3">
        <w:rPr>
          <w:rFonts w:ascii="Verdana" w:hAnsi="Verdana"/>
          <w:sz w:val="20"/>
          <w:szCs w:val="20"/>
          <w:lang w:val="en-US"/>
        </w:rPr>
        <w:t>of the Court</w:t>
      </w:r>
      <w:r w:rsidRPr="00D869E3">
        <w:rPr>
          <w:rFonts w:ascii="Verdana" w:hAnsi="Verdana"/>
          <w:sz w:val="20"/>
          <w:szCs w:val="20"/>
          <w:lang w:val="en-US"/>
        </w:rPr>
        <w:t>.</w:t>
      </w:r>
      <w:r w:rsidR="006F79F4" w:rsidRPr="00D869E3">
        <w:rPr>
          <w:rStyle w:val="Refdenotaalpie"/>
          <w:szCs w:val="20"/>
          <w:lang w:val="en-US"/>
        </w:rPr>
        <w:footnoteReference w:id="10"/>
      </w:r>
      <w:r w:rsidRPr="00D869E3">
        <w:rPr>
          <w:rFonts w:ascii="Verdana" w:hAnsi="Verdana"/>
          <w:sz w:val="20"/>
          <w:szCs w:val="20"/>
          <w:lang w:val="en-US"/>
        </w:rPr>
        <w:t xml:space="preserve"> During the hearing, the Court received the statements</w:t>
      </w:r>
      <w:r w:rsidR="006F79F4" w:rsidRPr="00D869E3">
        <w:rPr>
          <w:rFonts w:ascii="Verdana" w:hAnsi="Verdana"/>
          <w:sz w:val="20"/>
          <w:szCs w:val="20"/>
          <w:lang w:val="en-US"/>
        </w:rPr>
        <w:t xml:space="preserve"> </w:t>
      </w:r>
      <w:r w:rsidR="00687684" w:rsidRPr="00D869E3">
        <w:rPr>
          <w:rFonts w:ascii="Verdana" w:hAnsi="Verdana"/>
          <w:sz w:val="20"/>
          <w:szCs w:val="20"/>
          <w:lang w:val="en-US"/>
        </w:rPr>
        <w:t>of the presumed victim</w:t>
      </w:r>
      <w:r w:rsidR="003E68B9" w:rsidRPr="00D869E3">
        <w:rPr>
          <w:rFonts w:ascii="Verdana" w:hAnsi="Verdana"/>
          <w:sz w:val="20"/>
          <w:szCs w:val="20"/>
          <w:lang w:val="en-US"/>
        </w:rPr>
        <w:t>,</w:t>
      </w:r>
      <w:r w:rsidR="006F79F4" w:rsidRPr="00D869E3">
        <w:rPr>
          <w:rFonts w:ascii="Verdana" w:hAnsi="Verdana"/>
          <w:sz w:val="20"/>
          <w:szCs w:val="20"/>
          <w:lang w:val="en-US"/>
        </w:rPr>
        <w:t xml:space="preserve"> </w:t>
      </w:r>
      <w:r w:rsidRPr="00D869E3">
        <w:rPr>
          <w:rFonts w:ascii="Verdana" w:hAnsi="Verdana"/>
          <w:sz w:val="20"/>
          <w:szCs w:val="20"/>
          <w:lang w:val="en-US"/>
        </w:rPr>
        <w:t>Mr. Lagos del Campo</w:t>
      </w:r>
      <w:r w:rsidR="003E68B9" w:rsidRPr="00D869E3">
        <w:rPr>
          <w:rFonts w:ascii="Verdana" w:hAnsi="Verdana"/>
          <w:sz w:val="20"/>
          <w:szCs w:val="20"/>
          <w:lang w:val="en-US"/>
        </w:rPr>
        <w:t>,</w:t>
      </w:r>
      <w:r w:rsidR="00687684" w:rsidRPr="00D869E3">
        <w:rPr>
          <w:rFonts w:ascii="Verdana" w:hAnsi="Verdana"/>
          <w:sz w:val="20"/>
          <w:szCs w:val="20"/>
          <w:lang w:val="en-US"/>
        </w:rPr>
        <w:t xml:space="preserve"> </w:t>
      </w:r>
      <w:r w:rsidRPr="00D869E3">
        <w:rPr>
          <w:rFonts w:ascii="Verdana" w:hAnsi="Verdana"/>
          <w:sz w:val="20"/>
          <w:szCs w:val="20"/>
          <w:lang w:val="en-US"/>
        </w:rPr>
        <w:t>expert witness</w:t>
      </w:r>
      <w:r w:rsidR="006F79F4" w:rsidRPr="00D869E3">
        <w:rPr>
          <w:rFonts w:ascii="Verdana" w:hAnsi="Verdana"/>
          <w:sz w:val="20"/>
          <w:szCs w:val="20"/>
          <w:lang w:val="en-US"/>
        </w:rPr>
        <w:t xml:space="preserve"> Damián Loreti prop</w:t>
      </w:r>
      <w:r w:rsidRPr="00D869E3">
        <w:rPr>
          <w:rFonts w:ascii="Verdana" w:hAnsi="Verdana"/>
          <w:sz w:val="20"/>
          <w:szCs w:val="20"/>
          <w:lang w:val="en-US"/>
        </w:rPr>
        <w:t xml:space="preserve">osed by </w:t>
      </w:r>
      <w:r w:rsidR="00447C65" w:rsidRPr="00D869E3">
        <w:rPr>
          <w:rFonts w:ascii="Verdana" w:hAnsi="Verdana"/>
          <w:sz w:val="20"/>
          <w:szCs w:val="20"/>
          <w:lang w:val="en-US"/>
        </w:rPr>
        <w:t>the Commission</w:t>
      </w:r>
      <w:r w:rsidR="006F79F4" w:rsidRPr="00D869E3">
        <w:rPr>
          <w:rFonts w:ascii="Verdana" w:hAnsi="Verdana"/>
          <w:sz w:val="20"/>
          <w:szCs w:val="20"/>
          <w:lang w:val="en-US"/>
        </w:rPr>
        <w:t xml:space="preserve">, </w:t>
      </w:r>
      <w:r w:rsidRPr="00D869E3">
        <w:rPr>
          <w:rFonts w:ascii="Verdana" w:hAnsi="Verdana"/>
          <w:sz w:val="20"/>
          <w:szCs w:val="20"/>
          <w:lang w:val="en-US"/>
        </w:rPr>
        <w:t>and</w:t>
      </w:r>
      <w:r w:rsidR="006F79F4" w:rsidRPr="00D869E3">
        <w:rPr>
          <w:rFonts w:ascii="Verdana" w:hAnsi="Verdana"/>
          <w:sz w:val="20"/>
          <w:szCs w:val="20"/>
          <w:lang w:val="en-US"/>
        </w:rPr>
        <w:t xml:space="preserve"> </w:t>
      </w:r>
      <w:r w:rsidRPr="00D869E3">
        <w:rPr>
          <w:rFonts w:ascii="Verdana" w:hAnsi="Verdana"/>
          <w:sz w:val="20"/>
          <w:szCs w:val="20"/>
          <w:lang w:val="en-US"/>
        </w:rPr>
        <w:t>expert witness</w:t>
      </w:r>
      <w:r w:rsidR="006F79F4" w:rsidRPr="00D869E3">
        <w:rPr>
          <w:rFonts w:ascii="Verdana" w:hAnsi="Verdana"/>
          <w:sz w:val="20"/>
          <w:szCs w:val="20"/>
          <w:lang w:val="en-US"/>
        </w:rPr>
        <w:t xml:space="preserve"> C</w:t>
      </w:r>
      <w:r w:rsidR="009E49BF" w:rsidRPr="00D869E3">
        <w:rPr>
          <w:rFonts w:ascii="Verdana" w:hAnsi="Verdana"/>
          <w:sz w:val="20"/>
          <w:szCs w:val="20"/>
          <w:lang w:val="en-US"/>
        </w:rPr>
        <w:t>é</w:t>
      </w:r>
      <w:r w:rsidR="006F79F4" w:rsidRPr="00D869E3">
        <w:rPr>
          <w:rFonts w:ascii="Verdana" w:hAnsi="Verdana"/>
          <w:sz w:val="20"/>
          <w:szCs w:val="20"/>
          <w:lang w:val="en-US"/>
        </w:rPr>
        <w:t xml:space="preserve">sar Gonzáles Hunt </w:t>
      </w:r>
      <w:r w:rsidRPr="00D869E3">
        <w:rPr>
          <w:rFonts w:ascii="Verdana" w:hAnsi="Verdana"/>
          <w:sz w:val="20"/>
          <w:szCs w:val="20"/>
          <w:lang w:val="en-US"/>
        </w:rPr>
        <w:t>proposed by</w:t>
      </w:r>
      <w:r w:rsidR="006F79F4" w:rsidRPr="00D869E3">
        <w:rPr>
          <w:rFonts w:ascii="Verdana" w:hAnsi="Verdana"/>
          <w:sz w:val="20"/>
          <w:szCs w:val="20"/>
          <w:lang w:val="en-US"/>
        </w:rPr>
        <w:t xml:space="preserve"> </w:t>
      </w:r>
      <w:r w:rsidR="00447C65" w:rsidRPr="00D869E3">
        <w:rPr>
          <w:rFonts w:ascii="Verdana" w:hAnsi="Verdana"/>
          <w:sz w:val="20"/>
          <w:szCs w:val="20"/>
          <w:lang w:val="en-US"/>
        </w:rPr>
        <w:t>the State</w:t>
      </w:r>
      <w:r w:rsidR="006F79F4" w:rsidRPr="00D869E3">
        <w:rPr>
          <w:rFonts w:ascii="Verdana" w:hAnsi="Verdana"/>
          <w:sz w:val="20"/>
          <w:szCs w:val="20"/>
          <w:lang w:val="en-US"/>
        </w:rPr>
        <w:t xml:space="preserve">. </w:t>
      </w:r>
      <w:r w:rsidRPr="00D869E3">
        <w:rPr>
          <w:rFonts w:ascii="Verdana" w:hAnsi="Verdana"/>
          <w:sz w:val="20"/>
          <w:szCs w:val="20"/>
          <w:lang w:val="en-US"/>
        </w:rPr>
        <w:t xml:space="preserve">It also heard the final oral arguments </w:t>
      </w:r>
      <w:r w:rsidR="00687684" w:rsidRPr="00D869E3">
        <w:rPr>
          <w:rFonts w:ascii="Verdana" w:hAnsi="Verdana"/>
          <w:sz w:val="20"/>
          <w:szCs w:val="20"/>
          <w:lang w:val="en-US"/>
        </w:rPr>
        <w:t xml:space="preserve">of the representatives and </w:t>
      </w:r>
      <w:r w:rsidR="00447C65" w:rsidRPr="00D869E3">
        <w:rPr>
          <w:rFonts w:ascii="Verdana" w:hAnsi="Verdana"/>
          <w:sz w:val="20"/>
          <w:szCs w:val="20"/>
          <w:lang w:val="en-US"/>
        </w:rPr>
        <w:t>the State</w:t>
      </w:r>
      <w:r w:rsidR="006F79F4" w:rsidRPr="00D869E3">
        <w:rPr>
          <w:rFonts w:ascii="Verdana" w:hAnsi="Verdana"/>
          <w:sz w:val="20"/>
          <w:szCs w:val="20"/>
          <w:lang w:val="en-US"/>
        </w:rPr>
        <w:t xml:space="preserve">, </w:t>
      </w:r>
      <w:r w:rsidRPr="00D869E3">
        <w:rPr>
          <w:rFonts w:ascii="Verdana" w:hAnsi="Verdana"/>
          <w:sz w:val="20"/>
          <w:szCs w:val="20"/>
          <w:lang w:val="en-US"/>
        </w:rPr>
        <w:t xml:space="preserve">and the final oral observations </w:t>
      </w:r>
      <w:r w:rsidR="00447C65" w:rsidRPr="00D869E3">
        <w:rPr>
          <w:rFonts w:ascii="Verdana" w:hAnsi="Verdana"/>
          <w:sz w:val="20"/>
          <w:szCs w:val="20"/>
          <w:lang w:val="en-US"/>
        </w:rPr>
        <w:t>of the Commission</w:t>
      </w:r>
      <w:r w:rsidR="00386930" w:rsidRPr="00D869E3">
        <w:rPr>
          <w:rFonts w:ascii="Verdana" w:hAnsi="Verdana"/>
          <w:sz w:val="20"/>
          <w:szCs w:val="20"/>
          <w:lang w:val="en-US"/>
        </w:rPr>
        <w:t>.</w:t>
      </w:r>
    </w:p>
    <w:p w14:paraId="2E3B1A04" w14:textId="77777777" w:rsidR="006F79F4" w:rsidRPr="00D869E3" w:rsidRDefault="006F79F4" w:rsidP="00AF7637">
      <w:pPr>
        <w:rPr>
          <w:rFonts w:ascii="Verdana" w:hAnsi="Verdana"/>
          <w:sz w:val="20"/>
          <w:szCs w:val="20"/>
          <w:lang w:val="en-US"/>
        </w:rPr>
      </w:pPr>
    </w:p>
    <w:p w14:paraId="7C31B343" w14:textId="2848BF56" w:rsidR="006F79F4" w:rsidRPr="00D869E3" w:rsidRDefault="001E44D3" w:rsidP="001E44D3">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 xml:space="preserve">Final written arguments and observations. </w:t>
      </w:r>
      <w:r w:rsidRPr="00D869E3">
        <w:rPr>
          <w:rFonts w:ascii="Verdana" w:hAnsi="Verdana"/>
          <w:sz w:val="20"/>
          <w:szCs w:val="20"/>
          <w:lang w:val="en-US"/>
        </w:rPr>
        <w:t>On March 8,</w:t>
      </w:r>
      <w:r w:rsidR="006F79F4" w:rsidRPr="00D869E3">
        <w:rPr>
          <w:rFonts w:ascii="Verdana" w:hAnsi="Verdana"/>
          <w:sz w:val="20"/>
          <w:szCs w:val="20"/>
          <w:lang w:val="en-US"/>
        </w:rPr>
        <w:t xml:space="preserve"> 2017</w:t>
      </w:r>
      <w:r w:rsidRPr="00D869E3">
        <w:rPr>
          <w:rFonts w:ascii="Verdana" w:hAnsi="Verdana"/>
          <w:sz w:val="20"/>
          <w:szCs w:val="20"/>
          <w:lang w:val="en-US"/>
        </w:rPr>
        <w:t>,</w:t>
      </w:r>
      <w:r w:rsidR="006F79F4" w:rsidRPr="00D869E3">
        <w:rPr>
          <w:rFonts w:ascii="Verdana" w:hAnsi="Verdana"/>
          <w:sz w:val="20"/>
          <w:szCs w:val="20"/>
          <w:lang w:val="en-US"/>
        </w:rPr>
        <w:t xml:space="preserve"> </w:t>
      </w:r>
      <w:r w:rsidR="00447C65" w:rsidRPr="00D869E3">
        <w:rPr>
          <w:rFonts w:ascii="Verdana" w:hAnsi="Verdana"/>
          <w:sz w:val="20"/>
          <w:szCs w:val="20"/>
          <w:lang w:val="en-US"/>
        </w:rPr>
        <w:t>the State</w:t>
      </w:r>
      <w:r w:rsidR="00687684" w:rsidRPr="00D869E3">
        <w:rPr>
          <w:rFonts w:ascii="Verdana" w:hAnsi="Verdana"/>
          <w:sz w:val="20"/>
          <w:szCs w:val="20"/>
          <w:lang w:val="en-US"/>
        </w:rPr>
        <w:t xml:space="preserve"> and the representatives</w:t>
      </w:r>
      <w:r w:rsidR="006F79F4" w:rsidRPr="00D869E3">
        <w:rPr>
          <w:rFonts w:ascii="Verdana" w:hAnsi="Verdana"/>
          <w:sz w:val="20"/>
          <w:szCs w:val="20"/>
          <w:lang w:val="en-US"/>
        </w:rPr>
        <w:t xml:space="preserve"> present</w:t>
      </w:r>
      <w:r w:rsidRPr="00D869E3">
        <w:rPr>
          <w:rFonts w:ascii="Verdana" w:hAnsi="Verdana"/>
          <w:sz w:val="20"/>
          <w:szCs w:val="20"/>
          <w:lang w:val="en-US"/>
        </w:rPr>
        <w:t>ed their final written arguments with a</w:t>
      </w:r>
      <w:r w:rsidR="003E68B9" w:rsidRPr="00D869E3">
        <w:rPr>
          <w:rFonts w:ascii="Verdana" w:hAnsi="Verdana"/>
          <w:sz w:val="20"/>
          <w:szCs w:val="20"/>
          <w:lang w:val="en-US"/>
        </w:rPr>
        <w:t>nnexes</w:t>
      </w:r>
      <w:r w:rsidRPr="00D869E3">
        <w:rPr>
          <w:rFonts w:ascii="Verdana" w:hAnsi="Verdana"/>
          <w:sz w:val="20"/>
          <w:szCs w:val="20"/>
          <w:lang w:val="en-US"/>
        </w:rPr>
        <w:t xml:space="preserve">, and </w:t>
      </w:r>
      <w:r w:rsidR="00447C65" w:rsidRPr="00D869E3">
        <w:rPr>
          <w:rFonts w:ascii="Verdana" w:hAnsi="Verdana"/>
          <w:sz w:val="20"/>
          <w:szCs w:val="20"/>
          <w:lang w:val="en-US"/>
        </w:rPr>
        <w:t>the Commission</w:t>
      </w:r>
      <w:r w:rsidR="006F79F4" w:rsidRPr="00D869E3">
        <w:rPr>
          <w:rFonts w:ascii="Verdana" w:hAnsi="Verdana"/>
          <w:sz w:val="20"/>
          <w:szCs w:val="20"/>
          <w:lang w:val="en-US"/>
        </w:rPr>
        <w:t xml:space="preserve"> present</w:t>
      </w:r>
      <w:r w:rsidRPr="00D869E3">
        <w:rPr>
          <w:rFonts w:ascii="Verdana" w:hAnsi="Verdana"/>
          <w:sz w:val="20"/>
          <w:szCs w:val="20"/>
          <w:lang w:val="en-US"/>
        </w:rPr>
        <w:t>ed its final written observations. On March 9, 2017, the Court’s Secretariat forwarded the annexes to the final written arguments to the parties and the Commission and asked them to remit any observations they deemed pertinent. In a communication of March 20, 2017</w:t>
      </w:r>
      <w:r w:rsidR="00386930"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6F79F4" w:rsidRPr="00D869E3">
        <w:rPr>
          <w:rFonts w:ascii="Verdana" w:hAnsi="Verdana"/>
          <w:sz w:val="20"/>
          <w:szCs w:val="20"/>
          <w:lang w:val="en-US"/>
        </w:rPr>
        <w:t xml:space="preserve"> present</w:t>
      </w:r>
      <w:r w:rsidRPr="00D869E3">
        <w:rPr>
          <w:rFonts w:ascii="Verdana" w:hAnsi="Verdana"/>
          <w:sz w:val="20"/>
          <w:szCs w:val="20"/>
          <w:lang w:val="en-US"/>
        </w:rPr>
        <w:t>ed observations on some of the annexes.</w:t>
      </w:r>
    </w:p>
    <w:p w14:paraId="68DCEB49" w14:textId="77777777" w:rsidR="001E44D3" w:rsidRPr="00D869E3" w:rsidRDefault="001E44D3" w:rsidP="001E44D3">
      <w:pPr>
        <w:pStyle w:val="Prrafodelista"/>
        <w:ind w:left="0"/>
        <w:jc w:val="both"/>
        <w:rPr>
          <w:rFonts w:ascii="Verdana" w:hAnsi="Verdana"/>
          <w:sz w:val="20"/>
          <w:szCs w:val="20"/>
          <w:lang w:val="en-US"/>
        </w:rPr>
      </w:pPr>
    </w:p>
    <w:p w14:paraId="4B474A91" w14:textId="46402391" w:rsidR="001E44D3" w:rsidRPr="00D869E3" w:rsidRDefault="001E44D3"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 xml:space="preserve">Disbursements in application of the Legal Assistance Fund. </w:t>
      </w:r>
      <w:r w:rsidRPr="00D869E3">
        <w:rPr>
          <w:rFonts w:ascii="Verdana" w:hAnsi="Verdana"/>
          <w:sz w:val="20"/>
          <w:szCs w:val="20"/>
          <w:lang w:val="en-US"/>
        </w:rPr>
        <w:t>On April 7,</w:t>
      </w:r>
      <w:r w:rsidR="006F79F4" w:rsidRPr="00D869E3">
        <w:rPr>
          <w:rFonts w:ascii="Verdana" w:hAnsi="Verdana"/>
          <w:sz w:val="20"/>
          <w:szCs w:val="20"/>
          <w:lang w:val="en-US"/>
        </w:rPr>
        <w:t xml:space="preserve"> 2017</w:t>
      </w:r>
      <w:r w:rsidRPr="00D869E3">
        <w:rPr>
          <w:rFonts w:ascii="Verdana" w:hAnsi="Verdana"/>
          <w:sz w:val="20"/>
          <w:szCs w:val="20"/>
          <w:lang w:val="en-US"/>
        </w:rPr>
        <w:t>, the Secretariat, on the instructions</w:t>
      </w:r>
      <w:r w:rsidR="006F79F4" w:rsidRPr="00D869E3">
        <w:rPr>
          <w:rFonts w:ascii="Verdana" w:hAnsi="Verdana"/>
          <w:sz w:val="20"/>
          <w:szCs w:val="20"/>
          <w:lang w:val="en-US"/>
        </w:rPr>
        <w:t xml:space="preserve"> </w:t>
      </w:r>
      <w:r w:rsidR="00447C65" w:rsidRPr="00D869E3">
        <w:rPr>
          <w:rFonts w:ascii="Verdana" w:hAnsi="Verdana"/>
          <w:sz w:val="20"/>
          <w:szCs w:val="20"/>
          <w:lang w:val="en-US"/>
        </w:rPr>
        <w:t>of the President of the Court</w:t>
      </w:r>
      <w:r w:rsidR="006F79F4" w:rsidRPr="00D869E3">
        <w:rPr>
          <w:rFonts w:ascii="Verdana" w:hAnsi="Verdana"/>
          <w:sz w:val="20"/>
          <w:szCs w:val="20"/>
          <w:lang w:val="en-US"/>
        </w:rPr>
        <w:t xml:space="preserve">, </w:t>
      </w:r>
      <w:r w:rsidRPr="00D869E3">
        <w:rPr>
          <w:rFonts w:ascii="Verdana" w:hAnsi="Verdana"/>
          <w:sz w:val="20"/>
          <w:szCs w:val="20"/>
          <w:lang w:val="en-US"/>
        </w:rPr>
        <w:t xml:space="preserve">forwarded information to the State on the disbursements made in application of the Legal Assistance Fund in this case and, as provided for in article 5 of the Rules for the Operation of the Fund, </w:t>
      </w:r>
      <w:r w:rsidR="0011223E" w:rsidRPr="00D869E3">
        <w:rPr>
          <w:rFonts w:ascii="Verdana" w:hAnsi="Verdana"/>
          <w:sz w:val="20"/>
          <w:szCs w:val="20"/>
          <w:lang w:val="en-US"/>
        </w:rPr>
        <w:t>granted it a time frame to present any observations it deemed pertinent. The State presented its observations on April 17, 2017</w:t>
      </w:r>
      <w:r w:rsidR="003E68B9" w:rsidRPr="00D869E3">
        <w:rPr>
          <w:rFonts w:ascii="Verdana" w:hAnsi="Verdana"/>
          <w:sz w:val="20"/>
          <w:szCs w:val="20"/>
          <w:lang w:val="en-US"/>
        </w:rPr>
        <w:t>.</w:t>
      </w:r>
    </w:p>
    <w:p w14:paraId="2108DD93" w14:textId="77777777" w:rsidR="006F79F4" w:rsidRPr="00D869E3" w:rsidRDefault="006F79F4" w:rsidP="00AF7637">
      <w:pPr>
        <w:pStyle w:val="Prrafodelista"/>
        <w:ind w:left="0"/>
        <w:jc w:val="both"/>
        <w:rPr>
          <w:rFonts w:ascii="Verdana" w:hAnsi="Verdana"/>
          <w:sz w:val="20"/>
          <w:szCs w:val="20"/>
          <w:lang w:val="en-US"/>
        </w:rPr>
      </w:pPr>
    </w:p>
    <w:p w14:paraId="6C2905C0" w14:textId="605EAADD" w:rsidR="006F79F4" w:rsidRPr="00D869E3" w:rsidRDefault="006F79F4" w:rsidP="00E66DD7">
      <w:pPr>
        <w:pStyle w:val="Prrafodelista"/>
        <w:numPr>
          <w:ilvl w:val="0"/>
          <w:numId w:val="1"/>
        </w:numPr>
        <w:ind w:left="0" w:firstLine="0"/>
        <w:jc w:val="both"/>
        <w:rPr>
          <w:rFonts w:ascii="Verdana" w:hAnsi="Verdana"/>
          <w:sz w:val="20"/>
          <w:szCs w:val="20"/>
          <w:lang w:val="en-US"/>
        </w:rPr>
      </w:pPr>
      <w:r w:rsidRPr="00D869E3">
        <w:rPr>
          <w:rFonts w:ascii="Verdana" w:hAnsi="Verdana"/>
          <w:i/>
          <w:sz w:val="20"/>
          <w:szCs w:val="20"/>
          <w:lang w:val="en-US"/>
        </w:rPr>
        <w:t>Delibera</w:t>
      </w:r>
      <w:r w:rsidR="006E4208" w:rsidRPr="00D869E3">
        <w:rPr>
          <w:rFonts w:ascii="Verdana" w:hAnsi="Verdana"/>
          <w:i/>
          <w:sz w:val="20"/>
          <w:szCs w:val="20"/>
          <w:lang w:val="en-US"/>
        </w:rPr>
        <w:t>tio</w:t>
      </w:r>
      <w:r w:rsidRPr="00D869E3">
        <w:rPr>
          <w:rFonts w:ascii="Verdana" w:hAnsi="Verdana"/>
          <w:i/>
          <w:sz w:val="20"/>
          <w:szCs w:val="20"/>
          <w:lang w:val="en-US"/>
        </w:rPr>
        <w:t xml:space="preserve">n </w:t>
      </w:r>
      <w:r w:rsidR="001C1450" w:rsidRPr="00D869E3">
        <w:rPr>
          <w:rFonts w:ascii="Verdana" w:hAnsi="Verdana"/>
          <w:i/>
          <w:sz w:val="20"/>
          <w:szCs w:val="20"/>
          <w:lang w:val="en-US"/>
        </w:rPr>
        <w:t>of th</w:t>
      </w:r>
      <w:r w:rsidR="003E68B9" w:rsidRPr="00D869E3">
        <w:rPr>
          <w:rFonts w:ascii="Verdana" w:hAnsi="Verdana"/>
          <w:i/>
          <w:sz w:val="20"/>
          <w:szCs w:val="20"/>
          <w:lang w:val="en-US"/>
        </w:rPr>
        <w:t>e</w:t>
      </w:r>
      <w:r w:rsidR="001C1450" w:rsidRPr="00D869E3">
        <w:rPr>
          <w:rFonts w:ascii="Verdana" w:hAnsi="Verdana"/>
          <w:i/>
          <w:sz w:val="20"/>
          <w:szCs w:val="20"/>
          <w:lang w:val="en-US"/>
        </w:rPr>
        <w:t xml:space="preserve"> case.</w:t>
      </w:r>
      <w:r w:rsidRPr="00D869E3">
        <w:rPr>
          <w:rFonts w:ascii="Verdana" w:hAnsi="Verdana"/>
          <w:sz w:val="20"/>
          <w:szCs w:val="20"/>
          <w:lang w:val="en-US"/>
        </w:rPr>
        <w:t xml:space="preserve"> </w:t>
      </w:r>
      <w:r w:rsidR="00447C65" w:rsidRPr="00D869E3">
        <w:rPr>
          <w:rFonts w:ascii="Verdana" w:hAnsi="Verdana"/>
          <w:sz w:val="20"/>
          <w:szCs w:val="20"/>
          <w:lang w:val="en-US"/>
        </w:rPr>
        <w:t>The Court</w:t>
      </w:r>
      <w:r w:rsidRPr="00D869E3">
        <w:rPr>
          <w:rFonts w:ascii="Verdana" w:hAnsi="Verdana"/>
          <w:sz w:val="20"/>
          <w:szCs w:val="20"/>
          <w:lang w:val="en-US"/>
        </w:rPr>
        <w:t xml:space="preserve"> </w:t>
      </w:r>
      <w:r w:rsidR="001C1450" w:rsidRPr="00D869E3">
        <w:rPr>
          <w:rFonts w:ascii="Verdana" w:hAnsi="Verdana"/>
          <w:sz w:val="20"/>
          <w:szCs w:val="20"/>
          <w:lang w:val="en-US"/>
        </w:rPr>
        <w:t>began deliberating this judgment on May 18,</w:t>
      </w:r>
      <w:r w:rsidRPr="00D869E3">
        <w:rPr>
          <w:rFonts w:ascii="Verdana" w:hAnsi="Verdana"/>
          <w:sz w:val="20"/>
          <w:szCs w:val="20"/>
          <w:lang w:val="en-US"/>
        </w:rPr>
        <w:t xml:space="preserve"> 2017</w:t>
      </w:r>
      <w:r w:rsidR="001C1450" w:rsidRPr="00D869E3">
        <w:rPr>
          <w:rFonts w:ascii="Verdana" w:hAnsi="Verdana"/>
          <w:sz w:val="20"/>
          <w:szCs w:val="20"/>
          <w:lang w:val="en-US"/>
        </w:rPr>
        <w:t>, and continued on August 29,</w:t>
      </w:r>
      <w:r w:rsidR="00687684" w:rsidRPr="00D869E3">
        <w:rPr>
          <w:rFonts w:ascii="Verdana" w:hAnsi="Verdana"/>
          <w:sz w:val="20"/>
          <w:szCs w:val="20"/>
          <w:lang w:val="en-US"/>
        </w:rPr>
        <w:t xml:space="preserve"> </w:t>
      </w:r>
      <w:r w:rsidR="00DE6F3B" w:rsidRPr="00D869E3">
        <w:rPr>
          <w:rFonts w:ascii="Verdana" w:hAnsi="Verdana"/>
          <w:sz w:val="20"/>
          <w:szCs w:val="20"/>
          <w:lang w:val="en-US"/>
        </w:rPr>
        <w:t>2017</w:t>
      </w:r>
      <w:r w:rsidRPr="00D869E3">
        <w:rPr>
          <w:rFonts w:ascii="Verdana" w:hAnsi="Verdana"/>
          <w:sz w:val="20"/>
          <w:szCs w:val="20"/>
          <w:lang w:val="en-US"/>
        </w:rPr>
        <w:t xml:space="preserve">. </w:t>
      </w:r>
    </w:p>
    <w:p w14:paraId="0C07D0C6" w14:textId="77777777" w:rsidR="002A7EAF" w:rsidRPr="00D869E3" w:rsidRDefault="002A7EAF" w:rsidP="00D951AE">
      <w:pPr>
        <w:rPr>
          <w:rFonts w:ascii="Verdana" w:hAnsi="Verdana"/>
          <w:sz w:val="20"/>
          <w:szCs w:val="20"/>
          <w:lang w:val="en-US"/>
        </w:rPr>
      </w:pPr>
    </w:p>
    <w:p w14:paraId="18A50CE1" w14:textId="6E5D7570" w:rsidR="006F79F4" w:rsidRPr="00D869E3" w:rsidRDefault="006F79F4" w:rsidP="006F79F4">
      <w:pPr>
        <w:pStyle w:val="Ttulo1"/>
        <w:tabs>
          <w:tab w:val="left" w:pos="851"/>
        </w:tabs>
        <w:spacing w:before="0"/>
        <w:jc w:val="center"/>
        <w:rPr>
          <w:rFonts w:cs="Verdana"/>
          <w:caps/>
          <w:snapToGrid w:val="0"/>
          <w:szCs w:val="20"/>
          <w:lang w:val="en-US"/>
        </w:rPr>
      </w:pPr>
      <w:bookmarkStart w:id="3" w:name="_Toc437960385"/>
      <w:bookmarkStart w:id="4" w:name="_Toc29114101"/>
      <w:r w:rsidRPr="00D869E3">
        <w:rPr>
          <w:rFonts w:cs="Verdana"/>
          <w:caps/>
          <w:snapToGrid w:val="0"/>
          <w:szCs w:val="20"/>
          <w:lang w:val="en-US"/>
        </w:rPr>
        <w:lastRenderedPageBreak/>
        <w:t>III</w:t>
      </w:r>
      <w:r w:rsidRPr="00D869E3">
        <w:rPr>
          <w:rFonts w:cs="Verdana"/>
          <w:caps/>
          <w:snapToGrid w:val="0"/>
          <w:szCs w:val="20"/>
          <w:lang w:val="en-US"/>
        </w:rPr>
        <w:br/>
      </w:r>
      <w:r w:rsidR="006E4208" w:rsidRPr="00D869E3">
        <w:rPr>
          <w:rFonts w:cs="Verdana"/>
          <w:caps/>
          <w:snapToGrid w:val="0"/>
          <w:szCs w:val="20"/>
          <w:lang w:val="en-US"/>
        </w:rPr>
        <w:t>JURISDICTION</w:t>
      </w:r>
      <w:bookmarkEnd w:id="3"/>
      <w:bookmarkEnd w:id="4"/>
    </w:p>
    <w:p w14:paraId="0EEBCC03" w14:textId="77777777" w:rsidR="006F79F4" w:rsidRPr="00D869E3" w:rsidRDefault="006F79F4" w:rsidP="006F79F4">
      <w:pPr>
        <w:rPr>
          <w:rFonts w:ascii="Verdana" w:hAnsi="Verdana"/>
          <w:sz w:val="20"/>
          <w:szCs w:val="20"/>
          <w:lang w:val="en-US"/>
        </w:rPr>
      </w:pPr>
    </w:p>
    <w:p w14:paraId="06FE5261" w14:textId="134F5412" w:rsidR="006F79F4" w:rsidRPr="00D869E3" w:rsidRDefault="00447C65" w:rsidP="00E66DD7">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The Court</w:t>
      </w:r>
      <w:r w:rsidR="006F79F4" w:rsidRPr="00D869E3">
        <w:rPr>
          <w:rFonts w:ascii="Verdana" w:eastAsia="Times New Roman" w:hAnsi="Verdana"/>
          <w:sz w:val="20"/>
          <w:szCs w:val="20"/>
          <w:lang w:val="en-US"/>
        </w:rPr>
        <w:t xml:space="preserve"> </w:t>
      </w:r>
      <w:r w:rsidR="002A7EAF" w:rsidRPr="00D869E3">
        <w:rPr>
          <w:rFonts w:ascii="Verdana" w:eastAsia="Times New Roman" w:hAnsi="Verdana"/>
          <w:sz w:val="20"/>
          <w:szCs w:val="20"/>
          <w:lang w:val="en-US"/>
        </w:rPr>
        <w:t>has jurisdiction to hear this case pursuant to</w:t>
      </w:r>
      <w:r w:rsidR="00687684" w:rsidRPr="00D869E3">
        <w:rPr>
          <w:rFonts w:ascii="Verdana" w:eastAsia="Times New Roman" w:hAnsi="Verdana"/>
          <w:sz w:val="20"/>
          <w:szCs w:val="20"/>
          <w:lang w:val="en-US"/>
        </w:rPr>
        <w:t xml:space="preserve"> Article</w:t>
      </w:r>
      <w:r w:rsidR="006F79F4" w:rsidRPr="00D869E3">
        <w:rPr>
          <w:rFonts w:ascii="Verdana" w:eastAsia="Times New Roman" w:hAnsi="Verdana"/>
          <w:sz w:val="20"/>
          <w:szCs w:val="20"/>
          <w:lang w:val="en-US"/>
        </w:rPr>
        <w:t xml:space="preserve"> </w:t>
      </w:r>
      <w:r w:rsidRPr="00D869E3">
        <w:rPr>
          <w:rFonts w:ascii="Verdana" w:eastAsia="Times New Roman" w:hAnsi="Verdana"/>
          <w:sz w:val="20"/>
          <w:szCs w:val="20"/>
          <w:lang w:val="en-US"/>
        </w:rPr>
        <w:t>62(3) of the American Convention</w:t>
      </w:r>
      <w:r w:rsidR="006F79F4" w:rsidRPr="00D869E3">
        <w:rPr>
          <w:rFonts w:ascii="Verdana" w:eastAsia="Times New Roman" w:hAnsi="Verdana"/>
          <w:sz w:val="20"/>
          <w:szCs w:val="20"/>
          <w:lang w:val="en-US"/>
        </w:rPr>
        <w:t xml:space="preserve">, </w:t>
      </w:r>
      <w:r w:rsidR="002A7EAF" w:rsidRPr="00D869E3">
        <w:rPr>
          <w:rFonts w:ascii="Verdana" w:eastAsia="Times New Roman" w:hAnsi="Verdana"/>
          <w:sz w:val="20"/>
          <w:szCs w:val="20"/>
          <w:lang w:val="en-US"/>
        </w:rPr>
        <w:t>because</w:t>
      </w:r>
      <w:r w:rsidR="006F79F4" w:rsidRPr="00D869E3">
        <w:rPr>
          <w:rFonts w:ascii="Verdana" w:eastAsia="Times New Roman" w:hAnsi="Verdana"/>
          <w:sz w:val="20"/>
          <w:szCs w:val="20"/>
          <w:lang w:val="en-US"/>
        </w:rPr>
        <w:t xml:space="preserve"> </w:t>
      </w:r>
      <w:r w:rsidRPr="00D869E3">
        <w:rPr>
          <w:rFonts w:ascii="Verdana" w:eastAsia="Times New Roman" w:hAnsi="Verdana"/>
          <w:sz w:val="20"/>
          <w:szCs w:val="20"/>
          <w:lang w:val="en-US"/>
        </w:rPr>
        <w:t>Peru</w:t>
      </w:r>
      <w:r w:rsidR="006F79F4" w:rsidRPr="00D869E3">
        <w:rPr>
          <w:rFonts w:ascii="Verdana" w:eastAsia="Times New Roman" w:hAnsi="Verdana"/>
          <w:sz w:val="20"/>
          <w:szCs w:val="20"/>
          <w:lang w:val="en-US"/>
        </w:rPr>
        <w:t xml:space="preserve"> ratifi</w:t>
      </w:r>
      <w:r w:rsidR="002A7EAF" w:rsidRPr="00D869E3">
        <w:rPr>
          <w:rFonts w:ascii="Verdana" w:eastAsia="Times New Roman" w:hAnsi="Verdana"/>
          <w:sz w:val="20"/>
          <w:szCs w:val="20"/>
          <w:lang w:val="en-US"/>
        </w:rPr>
        <w:t>ed</w:t>
      </w:r>
      <w:r w:rsidR="006F79F4" w:rsidRPr="00D869E3">
        <w:rPr>
          <w:rFonts w:ascii="Verdana" w:eastAsia="Times New Roman" w:hAnsi="Verdana"/>
          <w:sz w:val="20"/>
          <w:szCs w:val="20"/>
          <w:lang w:val="en-US"/>
        </w:rPr>
        <w:t xml:space="preserve"> </w:t>
      </w:r>
      <w:r w:rsidRPr="00D869E3">
        <w:rPr>
          <w:rFonts w:ascii="Verdana" w:eastAsia="Times New Roman" w:hAnsi="Verdana"/>
          <w:sz w:val="20"/>
          <w:szCs w:val="20"/>
          <w:lang w:val="en-US"/>
        </w:rPr>
        <w:t>the American Convention</w:t>
      </w:r>
      <w:r w:rsidR="006F79F4" w:rsidRPr="00D869E3">
        <w:rPr>
          <w:rFonts w:ascii="Verdana" w:eastAsia="Times New Roman" w:hAnsi="Verdana"/>
          <w:sz w:val="20"/>
          <w:szCs w:val="20"/>
          <w:lang w:val="en-US"/>
        </w:rPr>
        <w:t xml:space="preserve"> </w:t>
      </w:r>
      <w:r w:rsidR="002A7EAF" w:rsidRPr="00D869E3">
        <w:rPr>
          <w:rFonts w:ascii="Verdana" w:eastAsia="Times New Roman" w:hAnsi="Verdana"/>
          <w:sz w:val="20"/>
          <w:szCs w:val="20"/>
          <w:lang w:val="en-US"/>
        </w:rPr>
        <w:t>on July 28,</w:t>
      </w:r>
      <w:r w:rsidR="006F79F4" w:rsidRPr="00D869E3">
        <w:rPr>
          <w:rFonts w:ascii="Verdana" w:eastAsia="Times New Roman" w:hAnsi="Verdana"/>
          <w:sz w:val="20"/>
          <w:szCs w:val="20"/>
          <w:lang w:val="en-US"/>
        </w:rPr>
        <w:t xml:space="preserve"> 1978,</w:t>
      </w:r>
      <w:r w:rsidR="00687684" w:rsidRPr="00D869E3">
        <w:rPr>
          <w:rFonts w:ascii="Verdana" w:eastAsia="Times New Roman" w:hAnsi="Verdana"/>
          <w:sz w:val="20"/>
          <w:szCs w:val="20"/>
          <w:lang w:val="en-US"/>
        </w:rPr>
        <w:t xml:space="preserve"> and </w:t>
      </w:r>
      <w:r w:rsidR="002A7EAF" w:rsidRPr="00D869E3">
        <w:rPr>
          <w:rFonts w:ascii="Verdana" w:eastAsia="Times New Roman" w:hAnsi="Verdana"/>
          <w:sz w:val="20"/>
          <w:szCs w:val="20"/>
          <w:lang w:val="en-US"/>
        </w:rPr>
        <w:t xml:space="preserve">accepted the contentious jurisdiction </w:t>
      </w:r>
      <w:r w:rsidRPr="00D869E3">
        <w:rPr>
          <w:rFonts w:ascii="Verdana" w:eastAsia="Times New Roman" w:hAnsi="Verdana"/>
          <w:sz w:val="20"/>
          <w:szCs w:val="20"/>
          <w:lang w:val="en-US"/>
        </w:rPr>
        <w:t>of the Court</w:t>
      </w:r>
      <w:r w:rsidR="006F79F4" w:rsidRPr="00D869E3">
        <w:rPr>
          <w:rFonts w:ascii="Verdana" w:eastAsia="Times New Roman" w:hAnsi="Verdana"/>
          <w:sz w:val="20"/>
          <w:szCs w:val="20"/>
          <w:lang w:val="en-US"/>
        </w:rPr>
        <w:t xml:space="preserve"> </w:t>
      </w:r>
      <w:r w:rsidR="002A7EAF" w:rsidRPr="00D869E3">
        <w:rPr>
          <w:rFonts w:ascii="Verdana" w:eastAsia="Times New Roman" w:hAnsi="Verdana"/>
          <w:sz w:val="20"/>
          <w:szCs w:val="20"/>
          <w:lang w:val="en-US"/>
        </w:rPr>
        <w:t>on January 21,</w:t>
      </w:r>
      <w:r w:rsidR="006F79F4" w:rsidRPr="00D869E3">
        <w:rPr>
          <w:rFonts w:ascii="Verdana" w:eastAsia="Times New Roman" w:hAnsi="Verdana"/>
          <w:sz w:val="20"/>
          <w:szCs w:val="20"/>
          <w:lang w:val="en-US"/>
        </w:rPr>
        <w:t xml:space="preserve"> 1981.</w:t>
      </w:r>
    </w:p>
    <w:p w14:paraId="099FC5D0" w14:textId="77777777" w:rsidR="00474832" w:rsidRPr="00D869E3" w:rsidRDefault="00474832" w:rsidP="006F79F4">
      <w:pPr>
        <w:pStyle w:val="Prrafodelista"/>
        <w:ind w:left="0"/>
        <w:jc w:val="both"/>
        <w:rPr>
          <w:rFonts w:ascii="Verdana" w:hAnsi="Verdana"/>
          <w:sz w:val="20"/>
          <w:szCs w:val="20"/>
          <w:lang w:val="en-US"/>
        </w:rPr>
      </w:pPr>
    </w:p>
    <w:p w14:paraId="39C32B7E" w14:textId="7E95333D" w:rsidR="00AF7637" w:rsidRPr="00D869E3" w:rsidRDefault="00374FC9" w:rsidP="00AF7637">
      <w:pPr>
        <w:pStyle w:val="Ttulo1"/>
        <w:tabs>
          <w:tab w:val="left" w:pos="851"/>
        </w:tabs>
        <w:spacing w:before="0"/>
        <w:jc w:val="center"/>
        <w:rPr>
          <w:rFonts w:cs="Verdana"/>
          <w:caps/>
          <w:snapToGrid w:val="0"/>
          <w:szCs w:val="20"/>
          <w:lang w:val="en-US"/>
        </w:rPr>
      </w:pPr>
      <w:bookmarkStart w:id="5" w:name="_Toc437960386"/>
      <w:bookmarkStart w:id="6" w:name="_Toc29114102"/>
      <w:r w:rsidRPr="00D869E3">
        <w:rPr>
          <w:rFonts w:cs="Verdana"/>
          <w:caps/>
          <w:snapToGrid w:val="0"/>
          <w:szCs w:val="20"/>
          <w:lang w:val="en-US"/>
        </w:rPr>
        <w:t>I</w:t>
      </w:r>
      <w:r w:rsidR="00AF7637" w:rsidRPr="00D869E3">
        <w:rPr>
          <w:rFonts w:cs="Verdana"/>
          <w:caps/>
          <w:snapToGrid w:val="0"/>
          <w:szCs w:val="20"/>
          <w:lang w:val="en-US"/>
        </w:rPr>
        <w:t>V</w:t>
      </w:r>
      <w:r w:rsidR="00AF7637" w:rsidRPr="00D869E3">
        <w:rPr>
          <w:rFonts w:cs="Verdana"/>
          <w:caps/>
          <w:snapToGrid w:val="0"/>
          <w:szCs w:val="20"/>
          <w:lang w:val="en-US"/>
        </w:rPr>
        <w:br/>
      </w:r>
      <w:r w:rsidR="00CE3F0D" w:rsidRPr="00D869E3">
        <w:rPr>
          <w:caps/>
          <w:snapToGrid w:val="0"/>
          <w:lang w:val="en-US"/>
        </w:rPr>
        <w:t>PRELIMINARY OBJECTIONS</w:t>
      </w:r>
      <w:bookmarkEnd w:id="5"/>
      <w:bookmarkEnd w:id="6"/>
    </w:p>
    <w:p w14:paraId="0F684868" w14:textId="77777777" w:rsidR="00AF7637" w:rsidRPr="00D869E3" w:rsidRDefault="00AF7637" w:rsidP="00AF7637">
      <w:pPr>
        <w:rPr>
          <w:rFonts w:ascii="Verdana" w:hAnsi="Verdana"/>
          <w:lang w:val="en-US"/>
        </w:rPr>
      </w:pPr>
    </w:p>
    <w:p w14:paraId="0A754255" w14:textId="0DA2B843" w:rsidR="00154B4B" w:rsidRPr="00D869E3" w:rsidRDefault="00154B4B" w:rsidP="00E66DD7">
      <w:pPr>
        <w:pStyle w:val="Ttulo2"/>
        <w:numPr>
          <w:ilvl w:val="0"/>
          <w:numId w:val="8"/>
        </w:numPr>
        <w:rPr>
          <w:i/>
          <w:szCs w:val="20"/>
          <w:lang w:val="en-US"/>
        </w:rPr>
      </w:pPr>
      <w:r w:rsidRPr="00D869E3">
        <w:rPr>
          <w:i/>
          <w:szCs w:val="20"/>
          <w:lang w:val="en-US"/>
        </w:rPr>
        <w:t xml:space="preserve"> </w:t>
      </w:r>
      <w:bookmarkStart w:id="7" w:name="_Toc29114103"/>
      <w:r w:rsidR="002A7EAF" w:rsidRPr="00D869E3">
        <w:rPr>
          <w:rFonts w:eastAsia="MS Gothic"/>
          <w:i/>
          <w:lang w:val="en-US"/>
        </w:rPr>
        <w:t>Arguments of the State and observations</w:t>
      </w:r>
      <w:r w:rsidR="00447C65" w:rsidRPr="00D869E3">
        <w:rPr>
          <w:rFonts w:eastAsia="MS Gothic"/>
          <w:i/>
          <w:lang w:val="en-US"/>
        </w:rPr>
        <w:t xml:space="preserve"> of the Commission</w:t>
      </w:r>
      <w:r w:rsidR="00687684" w:rsidRPr="00D869E3">
        <w:rPr>
          <w:rFonts w:eastAsia="MS Gothic"/>
          <w:i/>
          <w:lang w:val="en-US"/>
        </w:rPr>
        <w:t xml:space="preserve"> and the representatives</w:t>
      </w:r>
      <w:bookmarkEnd w:id="7"/>
    </w:p>
    <w:p w14:paraId="4F7E7751" w14:textId="77777777" w:rsidR="00154B4B" w:rsidRPr="00D869E3" w:rsidRDefault="00154B4B" w:rsidP="00154B4B">
      <w:pPr>
        <w:pStyle w:val="Prrafodelista"/>
        <w:ind w:left="0"/>
        <w:jc w:val="both"/>
        <w:rPr>
          <w:rFonts w:ascii="Verdana" w:hAnsi="Verdana"/>
          <w:sz w:val="20"/>
          <w:szCs w:val="20"/>
          <w:lang w:val="en-US"/>
        </w:rPr>
      </w:pPr>
    </w:p>
    <w:p w14:paraId="41B4405B" w14:textId="3939FBE2" w:rsidR="00154B4B" w:rsidRPr="00D869E3" w:rsidRDefault="00447C65" w:rsidP="00E66DD7">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The </w:t>
      </w:r>
      <w:r w:rsidRPr="00B06D8F">
        <w:rPr>
          <w:rFonts w:ascii="Verdana" w:hAnsi="Verdana"/>
          <w:b/>
          <w:bCs/>
          <w:i/>
          <w:iCs/>
          <w:sz w:val="20"/>
          <w:szCs w:val="20"/>
          <w:lang w:val="en-US"/>
        </w:rPr>
        <w:t>State</w:t>
      </w:r>
      <w:r w:rsidR="00154B4B" w:rsidRPr="00D869E3">
        <w:rPr>
          <w:rFonts w:ascii="Verdana" w:hAnsi="Verdana"/>
          <w:sz w:val="20"/>
          <w:szCs w:val="20"/>
          <w:lang w:val="en-US"/>
        </w:rPr>
        <w:t xml:space="preserve"> </w:t>
      </w:r>
      <w:r w:rsidR="002A7EAF" w:rsidRPr="00D869E3">
        <w:rPr>
          <w:rFonts w:ascii="Verdana" w:hAnsi="Verdana"/>
          <w:sz w:val="20"/>
          <w:szCs w:val="20"/>
          <w:lang w:val="en-US"/>
        </w:rPr>
        <w:t>asked</w:t>
      </w:r>
      <w:r w:rsidR="00154B4B" w:rsidRPr="00D869E3">
        <w:rPr>
          <w:rFonts w:ascii="Verdana" w:hAnsi="Verdana"/>
          <w:sz w:val="20"/>
          <w:szCs w:val="20"/>
          <w:lang w:val="en-US"/>
        </w:rPr>
        <w:t xml:space="preserve"> </w:t>
      </w:r>
      <w:r w:rsidRPr="00D869E3">
        <w:rPr>
          <w:rFonts w:ascii="Verdana" w:hAnsi="Verdana"/>
          <w:sz w:val="20"/>
          <w:szCs w:val="20"/>
          <w:lang w:val="en-US"/>
        </w:rPr>
        <w:t>the Court</w:t>
      </w:r>
      <w:r w:rsidR="00154B4B" w:rsidRPr="00D869E3">
        <w:rPr>
          <w:rFonts w:ascii="Verdana" w:hAnsi="Verdana"/>
          <w:sz w:val="20"/>
          <w:szCs w:val="20"/>
          <w:lang w:val="en-US"/>
        </w:rPr>
        <w:t xml:space="preserve"> </w:t>
      </w:r>
      <w:r w:rsidR="002A7EAF" w:rsidRPr="00D869E3">
        <w:rPr>
          <w:rFonts w:ascii="Verdana" w:hAnsi="Verdana"/>
          <w:sz w:val="20"/>
          <w:szCs w:val="20"/>
          <w:lang w:val="en-US"/>
        </w:rPr>
        <w:t>to review the legality of the</w:t>
      </w:r>
      <w:r w:rsidR="00154B4B" w:rsidRPr="00D869E3">
        <w:rPr>
          <w:rFonts w:ascii="Verdana" w:hAnsi="Verdana"/>
          <w:sz w:val="20"/>
          <w:szCs w:val="20"/>
          <w:lang w:val="en-US"/>
        </w:rPr>
        <w:t xml:space="preserve"> </w:t>
      </w:r>
      <w:r w:rsidR="002A7EAF" w:rsidRPr="00D869E3">
        <w:rPr>
          <w:rFonts w:ascii="Verdana" w:hAnsi="Verdana"/>
          <w:sz w:val="20"/>
          <w:szCs w:val="20"/>
          <w:lang w:val="en-US"/>
        </w:rPr>
        <w:t xml:space="preserve">Commission’s </w:t>
      </w:r>
      <w:r w:rsidR="00687684" w:rsidRPr="00D869E3">
        <w:rPr>
          <w:rFonts w:ascii="Verdana" w:hAnsi="Verdana"/>
          <w:sz w:val="20"/>
          <w:szCs w:val="20"/>
          <w:lang w:val="en-US"/>
        </w:rPr>
        <w:t>Admissibility Report</w:t>
      </w:r>
      <w:r w:rsidRPr="00D869E3">
        <w:rPr>
          <w:rFonts w:ascii="Verdana" w:hAnsi="Verdana"/>
          <w:sz w:val="20"/>
          <w:szCs w:val="20"/>
          <w:lang w:val="en-US"/>
        </w:rPr>
        <w:t xml:space="preserve"> </w:t>
      </w:r>
      <w:r w:rsidR="00687684" w:rsidRPr="00D869E3">
        <w:rPr>
          <w:rFonts w:ascii="Verdana" w:hAnsi="Verdana"/>
          <w:sz w:val="20"/>
          <w:szCs w:val="20"/>
          <w:lang w:val="en-US"/>
        </w:rPr>
        <w:t xml:space="preserve">and </w:t>
      </w:r>
      <w:r w:rsidR="00027310" w:rsidRPr="00D869E3">
        <w:rPr>
          <w:rFonts w:ascii="Verdana" w:hAnsi="Verdana"/>
          <w:sz w:val="20"/>
          <w:szCs w:val="20"/>
          <w:lang w:val="en-US"/>
        </w:rPr>
        <w:t>raised</w:t>
      </w:r>
      <w:r w:rsidR="00C2431F" w:rsidRPr="00D869E3">
        <w:rPr>
          <w:rFonts w:ascii="Verdana" w:hAnsi="Verdana"/>
          <w:sz w:val="20"/>
          <w:szCs w:val="20"/>
          <w:lang w:val="en-US"/>
        </w:rPr>
        <w:t xml:space="preserve"> the following</w:t>
      </w:r>
      <w:r w:rsidR="002A7EAF" w:rsidRPr="00D869E3">
        <w:rPr>
          <w:rFonts w:ascii="Verdana" w:hAnsi="Verdana"/>
          <w:sz w:val="20"/>
          <w:szCs w:val="20"/>
          <w:lang w:val="en-US"/>
        </w:rPr>
        <w:t xml:space="preserve"> six</w:t>
      </w:r>
      <w:r w:rsidR="00154B4B" w:rsidRPr="00D869E3">
        <w:rPr>
          <w:rFonts w:ascii="Verdana" w:hAnsi="Verdana"/>
          <w:sz w:val="20"/>
          <w:szCs w:val="20"/>
          <w:lang w:val="en-US"/>
        </w:rPr>
        <w:t xml:space="preserve"> </w:t>
      </w:r>
      <w:r w:rsidR="006436CA" w:rsidRPr="00D869E3">
        <w:rPr>
          <w:rFonts w:ascii="Verdana" w:hAnsi="Verdana"/>
          <w:sz w:val="20"/>
          <w:szCs w:val="20"/>
          <w:lang w:val="en-US"/>
        </w:rPr>
        <w:t>“</w:t>
      </w:r>
      <w:r w:rsidR="00154B4B" w:rsidRPr="00D869E3">
        <w:rPr>
          <w:rFonts w:ascii="Verdana" w:hAnsi="Verdana"/>
          <w:sz w:val="20"/>
          <w:szCs w:val="20"/>
          <w:lang w:val="en-US"/>
        </w:rPr>
        <w:t>proce</w:t>
      </w:r>
      <w:r w:rsidR="002A7EAF" w:rsidRPr="00D869E3">
        <w:rPr>
          <w:rFonts w:ascii="Verdana" w:hAnsi="Verdana"/>
          <w:sz w:val="20"/>
          <w:szCs w:val="20"/>
          <w:lang w:val="en-US"/>
        </w:rPr>
        <w:t>dural question</w:t>
      </w:r>
      <w:r w:rsidR="00C2431F" w:rsidRPr="00D869E3">
        <w:rPr>
          <w:rFonts w:ascii="Verdana" w:hAnsi="Verdana"/>
          <w:sz w:val="20"/>
          <w:szCs w:val="20"/>
          <w:lang w:val="en-US"/>
        </w:rPr>
        <w:t>s</w:t>
      </w:r>
      <w:r w:rsidR="006436CA" w:rsidRPr="00D869E3">
        <w:rPr>
          <w:rFonts w:ascii="Verdana" w:hAnsi="Verdana"/>
          <w:sz w:val="20"/>
          <w:szCs w:val="20"/>
          <w:lang w:val="en-US"/>
        </w:rPr>
        <w:t>”</w:t>
      </w:r>
      <w:r w:rsidR="00C2431F" w:rsidRPr="00D869E3">
        <w:rPr>
          <w:rFonts w:ascii="Verdana" w:hAnsi="Verdana"/>
          <w:sz w:val="20"/>
          <w:szCs w:val="20"/>
          <w:lang w:val="en-US"/>
        </w:rPr>
        <w:t>:</w:t>
      </w:r>
    </w:p>
    <w:p w14:paraId="3B15CC69" w14:textId="77777777" w:rsidR="00154B4B" w:rsidRPr="00D869E3" w:rsidRDefault="00154B4B" w:rsidP="00154B4B">
      <w:pPr>
        <w:pStyle w:val="Prrafodelista"/>
        <w:ind w:left="0"/>
        <w:jc w:val="both"/>
        <w:rPr>
          <w:rFonts w:ascii="Verdana" w:hAnsi="Verdana"/>
          <w:sz w:val="20"/>
          <w:szCs w:val="20"/>
          <w:lang w:val="en-US"/>
        </w:rPr>
      </w:pPr>
    </w:p>
    <w:p w14:paraId="7F7F4E3E" w14:textId="4B63CA5D" w:rsidR="009E5D0F" w:rsidRPr="00D869E3" w:rsidRDefault="00154B4B" w:rsidP="009E5D0F">
      <w:pPr>
        <w:pStyle w:val="Prrafodelista"/>
        <w:numPr>
          <w:ilvl w:val="0"/>
          <w:numId w:val="17"/>
        </w:numPr>
        <w:ind w:hanging="11"/>
        <w:jc w:val="both"/>
        <w:rPr>
          <w:rFonts w:ascii="Verdana" w:hAnsi="Verdana"/>
          <w:sz w:val="20"/>
          <w:szCs w:val="20"/>
          <w:lang w:val="en-US"/>
        </w:rPr>
      </w:pPr>
      <w:r w:rsidRPr="00D869E3">
        <w:rPr>
          <w:rFonts w:ascii="Verdana" w:hAnsi="Verdana"/>
          <w:sz w:val="20"/>
          <w:szCs w:val="20"/>
          <w:lang w:val="en-US"/>
        </w:rPr>
        <w:t xml:space="preserve"> </w:t>
      </w:r>
      <w:r w:rsidR="006436CA" w:rsidRPr="00D869E3">
        <w:rPr>
          <w:rFonts w:ascii="Verdana" w:hAnsi="Verdana"/>
          <w:i/>
          <w:sz w:val="20"/>
          <w:szCs w:val="20"/>
          <w:lang w:val="en-US"/>
        </w:rPr>
        <w:t>“</w:t>
      </w:r>
      <w:r w:rsidR="00474832" w:rsidRPr="00D869E3">
        <w:rPr>
          <w:rFonts w:ascii="Verdana" w:hAnsi="Verdana"/>
          <w:i/>
          <w:sz w:val="20"/>
          <w:szCs w:val="20"/>
          <w:lang w:val="en-US"/>
        </w:rPr>
        <w:t xml:space="preserve">Review of legality of the IACHR </w:t>
      </w:r>
      <w:r w:rsidR="00687684" w:rsidRPr="00D869E3">
        <w:rPr>
          <w:rFonts w:ascii="Verdana" w:hAnsi="Verdana"/>
          <w:i/>
          <w:sz w:val="20"/>
          <w:szCs w:val="20"/>
          <w:lang w:val="en-US"/>
        </w:rPr>
        <w:t>Admissibility Report</w:t>
      </w:r>
      <w:r w:rsidRPr="00D869E3">
        <w:rPr>
          <w:rFonts w:ascii="Verdana" w:hAnsi="Verdana"/>
          <w:i/>
          <w:sz w:val="20"/>
          <w:szCs w:val="20"/>
          <w:lang w:val="en-US"/>
        </w:rPr>
        <w:t xml:space="preserve"> </w:t>
      </w:r>
      <w:r w:rsidR="00474832" w:rsidRPr="00D869E3">
        <w:rPr>
          <w:rFonts w:ascii="Verdana" w:hAnsi="Verdana"/>
          <w:i/>
          <w:sz w:val="20"/>
          <w:szCs w:val="20"/>
          <w:lang w:val="en-US"/>
        </w:rPr>
        <w:t>in this case</w:t>
      </w:r>
      <w:r w:rsidR="006436CA" w:rsidRPr="00D869E3">
        <w:rPr>
          <w:rFonts w:ascii="Verdana" w:hAnsi="Verdana"/>
          <w:i/>
          <w:sz w:val="20"/>
          <w:szCs w:val="20"/>
          <w:lang w:val="en-US"/>
        </w:rPr>
        <w:t>”</w:t>
      </w:r>
      <w:r w:rsidR="00386930" w:rsidRPr="00D869E3">
        <w:rPr>
          <w:rFonts w:ascii="Verdana" w:hAnsi="Verdana"/>
          <w:sz w:val="20"/>
          <w:szCs w:val="20"/>
          <w:lang w:val="en-US"/>
        </w:rPr>
        <w:t xml:space="preserve">: </w:t>
      </w:r>
      <w:r w:rsidR="00447C65" w:rsidRPr="00D869E3">
        <w:rPr>
          <w:rFonts w:ascii="Verdana" w:hAnsi="Verdana"/>
          <w:sz w:val="20"/>
          <w:szCs w:val="20"/>
          <w:lang w:val="en-US"/>
        </w:rPr>
        <w:t>The State</w:t>
      </w:r>
      <w:r w:rsidRPr="00D869E3">
        <w:rPr>
          <w:rFonts w:ascii="Verdana" w:hAnsi="Verdana"/>
          <w:sz w:val="20"/>
          <w:szCs w:val="20"/>
          <w:lang w:val="en-US"/>
        </w:rPr>
        <w:t xml:space="preserve"> </w:t>
      </w:r>
      <w:r w:rsidR="009E5D0F" w:rsidRPr="00D869E3">
        <w:rPr>
          <w:rFonts w:ascii="Verdana" w:hAnsi="Verdana"/>
          <w:sz w:val="20"/>
          <w:szCs w:val="20"/>
          <w:lang w:val="en-US"/>
        </w:rPr>
        <w:t>asked</w:t>
      </w:r>
      <w:r w:rsidRPr="00D869E3">
        <w:rPr>
          <w:rFonts w:ascii="Verdana" w:hAnsi="Verdana"/>
          <w:sz w:val="20"/>
          <w:szCs w:val="20"/>
          <w:lang w:val="en-US"/>
        </w:rPr>
        <w:t xml:space="preserve"> </w:t>
      </w:r>
      <w:r w:rsidR="00447C65" w:rsidRPr="00D869E3">
        <w:rPr>
          <w:rFonts w:ascii="Verdana" w:hAnsi="Verdana"/>
          <w:sz w:val="20"/>
          <w:szCs w:val="20"/>
          <w:lang w:val="en-US"/>
        </w:rPr>
        <w:t>the Court</w:t>
      </w:r>
      <w:r w:rsidRPr="00D869E3">
        <w:rPr>
          <w:rFonts w:ascii="Verdana" w:hAnsi="Verdana"/>
          <w:sz w:val="20"/>
          <w:szCs w:val="20"/>
          <w:lang w:val="en-US"/>
        </w:rPr>
        <w:t xml:space="preserve"> </w:t>
      </w:r>
      <w:r w:rsidR="009E5D0F" w:rsidRPr="00D869E3">
        <w:rPr>
          <w:rFonts w:ascii="Verdana" w:hAnsi="Verdana"/>
          <w:sz w:val="20"/>
          <w:szCs w:val="20"/>
          <w:lang w:val="en-US"/>
        </w:rPr>
        <w:t xml:space="preserve">to exercise its authority to review the Commission’s omissions in relation to the failure to verify the </w:t>
      </w:r>
      <w:r w:rsidR="00D951AE" w:rsidRPr="00D869E3">
        <w:rPr>
          <w:rFonts w:ascii="Verdana" w:hAnsi="Verdana"/>
          <w:sz w:val="20"/>
          <w:szCs w:val="20"/>
          <w:lang w:val="en-US"/>
        </w:rPr>
        <w:t>time limit for filing</w:t>
      </w:r>
      <w:r w:rsidR="009E5D0F" w:rsidRPr="00D869E3">
        <w:rPr>
          <w:rFonts w:ascii="Verdana" w:hAnsi="Verdana"/>
          <w:sz w:val="20"/>
          <w:szCs w:val="20"/>
          <w:lang w:val="en-US"/>
        </w:rPr>
        <w:t xml:space="preserve"> the petition pursuant to </w:t>
      </w:r>
      <w:r w:rsidR="00447C65" w:rsidRPr="00D869E3">
        <w:rPr>
          <w:rFonts w:ascii="Verdana" w:hAnsi="Verdana"/>
          <w:sz w:val="20"/>
          <w:szCs w:val="20"/>
          <w:lang w:val="en-US"/>
        </w:rPr>
        <w:t>Article</w:t>
      </w:r>
      <w:r w:rsidRPr="00D869E3">
        <w:rPr>
          <w:rFonts w:ascii="Verdana" w:hAnsi="Verdana"/>
          <w:sz w:val="20"/>
          <w:szCs w:val="20"/>
          <w:lang w:val="en-US"/>
        </w:rPr>
        <w:t xml:space="preserve"> 46</w:t>
      </w:r>
      <w:r w:rsidR="009E5D0F" w:rsidRPr="00D869E3">
        <w:rPr>
          <w:rFonts w:ascii="Verdana" w:hAnsi="Verdana"/>
          <w:sz w:val="20"/>
          <w:szCs w:val="20"/>
          <w:lang w:val="en-US"/>
        </w:rPr>
        <w:t>(1)(</w:t>
      </w:r>
      <w:r w:rsidRPr="00D869E3">
        <w:rPr>
          <w:rFonts w:ascii="Verdana" w:hAnsi="Verdana"/>
          <w:sz w:val="20"/>
          <w:szCs w:val="20"/>
          <w:lang w:val="en-US"/>
        </w:rPr>
        <w:t>b)</w:t>
      </w:r>
      <w:r w:rsidR="00447C65" w:rsidRPr="00D869E3">
        <w:rPr>
          <w:rFonts w:ascii="Verdana" w:hAnsi="Verdana"/>
          <w:sz w:val="20"/>
          <w:szCs w:val="20"/>
          <w:lang w:val="en-US"/>
        </w:rPr>
        <w:t xml:space="preserve"> of the Convention</w:t>
      </w:r>
      <w:r w:rsidRPr="00D869E3">
        <w:rPr>
          <w:rFonts w:ascii="Verdana" w:hAnsi="Verdana"/>
          <w:sz w:val="20"/>
          <w:szCs w:val="20"/>
          <w:lang w:val="en-US"/>
        </w:rPr>
        <w:t xml:space="preserve">. </w:t>
      </w:r>
      <w:r w:rsidR="00D951AE" w:rsidRPr="00D869E3">
        <w:rPr>
          <w:rFonts w:ascii="Verdana" w:hAnsi="Verdana"/>
          <w:sz w:val="20"/>
          <w:szCs w:val="20"/>
          <w:lang w:val="en-US"/>
        </w:rPr>
        <w:t>It</w:t>
      </w:r>
      <w:r w:rsidR="009E5D0F" w:rsidRPr="00D869E3">
        <w:rPr>
          <w:rFonts w:ascii="Verdana" w:hAnsi="Verdana"/>
          <w:sz w:val="20"/>
          <w:szCs w:val="20"/>
          <w:lang w:val="en-US"/>
        </w:rPr>
        <w:t xml:space="preserve"> indicated that </w:t>
      </w:r>
      <w:r w:rsidR="00447C65" w:rsidRPr="00D869E3">
        <w:rPr>
          <w:rFonts w:ascii="Verdana" w:hAnsi="Verdana"/>
          <w:sz w:val="20"/>
          <w:szCs w:val="20"/>
          <w:lang w:val="en-US"/>
        </w:rPr>
        <w:t>the Commission</w:t>
      </w:r>
      <w:r w:rsidRPr="00D869E3">
        <w:rPr>
          <w:rFonts w:ascii="Verdana" w:hAnsi="Verdana"/>
          <w:sz w:val="20"/>
          <w:szCs w:val="20"/>
          <w:lang w:val="en-US"/>
        </w:rPr>
        <w:t xml:space="preserve"> </w:t>
      </w:r>
      <w:r w:rsidR="009E5D0F" w:rsidRPr="00D869E3">
        <w:rPr>
          <w:rFonts w:ascii="Verdana" w:hAnsi="Verdana"/>
          <w:sz w:val="20"/>
          <w:szCs w:val="20"/>
          <w:lang w:val="en-US"/>
        </w:rPr>
        <w:t xml:space="preserve">had considered October 14, </w:t>
      </w:r>
      <w:r w:rsidRPr="00D869E3">
        <w:rPr>
          <w:rFonts w:ascii="Verdana" w:hAnsi="Verdana"/>
          <w:sz w:val="20"/>
          <w:szCs w:val="20"/>
          <w:lang w:val="en-US"/>
        </w:rPr>
        <w:t>1993</w:t>
      </w:r>
      <w:r w:rsidR="009E5D0F" w:rsidRPr="00D869E3">
        <w:rPr>
          <w:rFonts w:ascii="Verdana" w:hAnsi="Verdana"/>
          <w:sz w:val="20"/>
          <w:szCs w:val="20"/>
          <w:lang w:val="en-US"/>
        </w:rPr>
        <w:t xml:space="preserve">, as the date of </w:t>
      </w:r>
      <w:r w:rsidR="001E44D3" w:rsidRPr="00D869E3">
        <w:rPr>
          <w:rFonts w:ascii="Verdana" w:hAnsi="Verdana"/>
          <w:sz w:val="20"/>
          <w:szCs w:val="20"/>
          <w:lang w:val="en-US"/>
        </w:rPr>
        <w:t>Mr. Lagos del Campo</w:t>
      </w:r>
      <w:r w:rsidR="009E5D0F" w:rsidRPr="00D869E3">
        <w:rPr>
          <w:rFonts w:ascii="Verdana" w:hAnsi="Verdana"/>
          <w:sz w:val="20"/>
          <w:szCs w:val="20"/>
          <w:lang w:val="en-US"/>
        </w:rPr>
        <w:t xml:space="preserve">’s petition, </w:t>
      </w:r>
      <w:r w:rsidR="00D951AE" w:rsidRPr="00D869E3">
        <w:rPr>
          <w:rFonts w:ascii="Verdana" w:hAnsi="Verdana"/>
          <w:sz w:val="20"/>
          <w:szCs w:val="20"/>
          <w:lang w:val="en-US"/>
        </w:rPr>
        <w:t>despite the fact that</w:t>
      </w:r>
      <w:r w:rsidR="009E5D0F" w:rsidRPr="00D869E3">
        <w:rPr>
          <w:rFonts w:ascii="Verdana" w:hAnsi="Verdana"/>
          <w:sz w:val="20"/>
          <w:szCs w:val="20"/>
          <w:lang w:val="en-US"/>
        </w:rPr>
        <w:t xml:space="preserve"> this had been </w:t>
      </w:r>
      <w:r w:rsidR="00D951AE" w:rsidRPr="00D869E3">
        <w:rPr>
          <w:rFonts w:ascii="Verdana" w:hAnsi="Verdana"/>
          <w:sz w:val="20"/>
          <w:szCs w:val="20"/>
          <w:lang w:val="en-US"/>
        </w:rPr>
        <w:t xml:space="preserve">delivered </w:t>
      </w:r>
      <w:r w:rsidR="009E5D0F" w:rsidRPr="00D869E3">
        <w:rPr>
          <w:rFonts w:ascii="Verdana" w:hAnsi="Verdana"/>
          <w:sz w:val="20"/>
          <w:szCs w:val="20"/>
          <w:lang w:val="en-US"/>
        </w:rPr>
        <w:t>to the offices of</w:t>
      </w:r>
      <w:r w:rsidRPr="00D869E3">
        <w:rPr>
          <w:rFonts w:ascii="Verdana" w:hAnsi="Verdana"/>
          <w:sz w:val="20"/>
          <w:szCs w:val="20"/>
          <w:lang w:val="en-US"/>
        </w:rPr>
        <w:t xml:space="preserve"> </w:t>
      </w:r>
      <w:r w:rsidR="009E5D0F" w:rsidRPr="00D869E3">
        <w:rPr>
          <w:rFonts w:ascii="Verdana" w:hAnsi="Verdana"/>
          <w:sz w:val="20"/>
          <w:szCs w:val="20"/>
          <w:lang w:val="en-US"/>
        </w:rPr>
        <w:t>the Organization of American States</w:t>
      </w:r>
      <w:r w:rsidRPr="00D869E3">
        <w:rPr>
          <w:rFonts w:ascii="Verdana" w:hAnsi="Verdana"/>
          <w:sz w:val="20"/>
          <w:szCs w:val="20"/>
          <w:lang w:val="en-US"/>
        </w:rPr>
        <w:t xml:space="preserve"> </w:t>
      </w:r>
      <w:r w:rsidR="009E5D0F" w:rsidRPr="00D869E3">
        <w:rPr>
          <w:rFonts w:ascii="Verdana" w:hAnsi="Verdana"/>
          <w:sz w:val="20"/>
          <w:szCs w:val="20"/>
          <w:lang w:val="en-US"/>
        </w:rPr>
        <w:t>i</w:t>
      </w:r>
      <w:r w:rsidRPr="00D869E3">
        <w:rPr>
          <w:rFonts w:ascii="Verdana" w:hAnsi="Verdana"/>
          <w:sz w:val="20"/>
          <w:szCs w:val="20"/>
          <w:lang w:val="en-US"/>
        </w:rPr>
        <w:t xml:space="preserve">n </w:t>
      </w:r>
      <w:r w:rsidR="00447C65" w:rsidRPr="00D869E3">
        <w:rPr>
          <w:rFonts w:ascii="Verdana" w:hAnsi="Verdana"/>
          <w:sz w:val="20"/>
          <w:szCs w:val="20"/>
          <w:lang w:val="en-US"/>
        </w:rPr>
        <w:t>Peru</w:t>
      </w:r>
      <w:r w:rsidRPr="00D869E3">
        <w:rPr>
          <w:rFonts w:ascii="Verdana" w:hAnsi="Verdana"/>
          <w:sz w:val="20"/>
          <w:szCs w:val="20"/>
          <w:lang w:val="en-US"/>
        </w:rPr>
        <w:t xml:space="preserve"> </w:t>
      </w:r>
      <w:r w:rsidR="009E5D0F" w:rsidRPr="00D869E3">
        <w:rPr>
          <w:rFonts w:ascii="Verdana" w:hAnsi="Verdana"/>
          <w:sz w:val="20"/>
          <w:szCs w:val="20"/>
          <w:lang w:val="en-US"/>
        </w:rPr>
        <w:t>on</w:t>
      </w:r>
      <w:r w:rsidRPr="00D869E3">
        <w:rPr>
          <w:rFonts w:ascii="Verdana" w:hAnsi="Verdana"/>
          <w:sz w:val="20"/>
          <w:szCs w:val="20"/>
          <w:lang w:val="en-US"/>
        </w:rPr>
        <w:t xml:space="preserve"> </w:t>
      </w:r>
      <w:r w:rsidR="00687684" w:rsidRPr="00D869E3">
        <w:rPr>
          <w:rFonts w:ascii="Verdana" w:hAnsi="Verdana"/>
          <w:sz w:val="20"/>
          <w:szCs w:val="20"/>
          <w:lang w:val="en-US"/>
        </w:rPr>
        <w:t>August 5,</w:t>
      </w:r>
      <w:r w:rsidRPr="00D869E3">
        <w:rPr>
          <w:rFonts w:ascii="Verdana" w:hAnsi="Verdana"/>
          <w:sz w:val="20"/>
          <w:szCs w:val="20"/>
          <w:lang w:val="en-US"/>
        </w:rPr>
        <w:t xml:space="preserve"> 1998</w:t>
      </w:r>
      <w:r w:rsidR="009E5D0F" w:rsidRPr="00D869E3">
        <w:rPr>
          <w:rFonts w:ascii="Verdana" w:hAnsi="Verdana"/>
          <w:sz w:val="20"/>
          <w:szCs w:val="20"/>
          <w:lang w:val="en-US"/>
        </w:rPr>
        <w:t xml:space="preserve">, thus violating the principles of legal certainty and procedural </w:t>
      </w:r>
      <w:r w:rsidR="00D951AE" w:rsidRPr="00D869E3">
        <w:rPr>
          <w:rFonts w:ascii="Verdana" w:hAnsi="Verdana"/>
          <w:sz w:val="20"/>
          <w:szCs w:val="20"/>
          <w:lang w:val="en-US"/>
        </w:rPr>
        <w:t>fairness</w:t>
      </w:r>
      <w:r w:rsidR="009E5D0F" w:rsidRPr="00D869E3">
        <w:rPr>
          <w:rFonts w:ascii="Verdana" w:hAnsi="Verdana"/>
          <w:sz w:val="20"/>
          <w:szCs w:val="20"/>
          <w:lang w:val="en-US"/>
        </w:rPr>
        <w:t>. In addition, the State considered that</w:t>
      </w:r>
      <w:r w:rsidRPr="00D869E3">
        <w:rPr>
          <w:rFonts w:ascii="Verdana" w:hAnsi="Verdana"/>
          <w:sz w:val="20"/>
          <w:szCs w:val="20"/>
          <w:lang w:val="en-US"/>
        </w:rPr>
        <w:t xml:space="preserve"> </w:t>
      </w:r>
      <w:r w:rsidR="00447C65" w:rsidRPr="00D869E3">
        <w:rPr>
          <w:rFonts w:ascii="Verdana" w:hAnsi="Verdana"/>
          <w:sz w:val="20"/>
          <w:szCs w:val="20"/>
          <w:lang w:val="en-US"/>
        </w:rPr>
        <w:t>the</w:t>
      </w:r>
      <w:r w:rsidR="002D3CB7" w:rsidRPr="00D869E3">
        <w:rPr>
          <w:rFonts w:ascii="Verdana" w:hAnsi="Verdana"/>
          <w:sz w:val="20"/>
          <w:szCs w:val="20"/>
          <w:lang w:val="en-US"/>
        </w:rPr>
        <w:t xml:space="preserve"> verification made by the</w:t>
      </w:r>
      <w:r w:rsidR="00447C65" w:rsidRPr="00D869E3">
        <w:rPr>
          <w:rFonts w:ascii="Verdana" w:hAnsi="Verdana"/>
          <w:sz w:val="20"/>
          <w:szCs w:val="20"/>
          <w:lang w:val="en-US"/>
        </w:rPr>
        <w:t xml:space="preserve"> Commission</w:t>
      </w:r>
      <w:r w:rsidRPr="00D869E3">
        <w:rPr>
          <w:rFonts w:ascii="Verdana" w:hAnsi="Verdana"/>
          <w:sz w:val="20"/>
          <w:szCs w:val="20"/>
          <w:lang w:val="en-US"/>
        </w:rPr>
        <w:t xml:space="preserve"> </w:t>
      </w:r>
      <w:r w:rsidR="009E5D0F" w:rsidRPr="00D869E3">
        <w:rPr>
          <w:rFonts w:ascii="Verdana" w:hAnsi="Verdana"/>
          <w:sz w:val="20"/>
          <w:szCs w:val="20"/>
          <w:lang w:val="en-US"/>
        </w:rPr>
        <w:t xml:space="preserve">was contrary to the procedural rules </w:t>
      </w:r>
      <w:r w:rsidR="002D3CB7" w:rsidRPr="00D869E3">
        <w:rPr>
          <w:rFonts w:ascii="Verdana" w:hAnsi="Verdana"/>
          <w:sz w:val="20"/>
          <w:szCs w:val="20"/>
          <w:lang w:val="en-US"/>
        </w:rPr>
        <w:t>with regard to</w:t>
      </w:r>
      <w:r w:rsidR="009E5D0F" w:rsidRPr="00D869E3">
        <w:rPr>
          <w:rFonts w:ascii="Verdana" w:hAnsi="Verdana"/>
          <w:sz w:val="20"/>
          <w:szCs w:val="20"/>
          <w:lang w:val="en-US"/>
        </w:rPr>
        <w:t xml:space="preserve"> compliance with </w:t>
      </w:r>
      <w:r w:rsidR="002D3CB7" w:rsidRPr="00D869E3">
        <w:rPr>
          <w:rFonts w:ascii="Verdana" w:hAnsi="Verdana"/>
          <w:sz w:val="20"/>
          <w:szCs w:val="20"/>
          <w:lang w:val="en-US"/>
        </w:rPr>
        <w:t>the six months’ time frame</w:t>
      </w:r>
      <w:r w:rsidR="009E5D0F" w:rsidRPr="00D869E3">
        <w:rPr>
          <w:rFonts w:ascii="Verdana" w:hAnsi="Verdana"/>
          <w:sz w:val="20"/>
          <w:szCs w:val="20"/>
          <w:lang w:val="en-US"/>
        </w:rPr>
        <w:t xml:space="preserve"> for the admissibility of the petition</w:t>
      </w:r>
      <w:r w:rsidR="002D3CB7" w:rsidRPr="00D869E3">
        <w:rPr>
          <w:rFonts w:ascii="Verdana" w:hAnsi="Verdana"/>
          <w:sz w:val="20"/>
          <w:szCs w:val="20"/>
          <w:lang w:val="en-US"/>
        </w:rPr>
        <w:t>,</w:t>
      </w:r>
      <w:r w:rsidR="009E5D0F" w:rsidRPr="00D869E3">
        <w:rPr>
          <w:rFonts w:ascii="Verdana" w:hAnsi="Verdana"/>
          <w:sz w:val="20"/>
          <w:szCs w:val="20"/>
          <w:lang w:val="en-US"/>
        </w:rPr>
        <w:t xml:space="preserve"> </w:t>
      </w:r>
      <w:r w:rsidR="002D3CB7" w:rsidRPr="00D869E3">
        <w:rPr>
          <w:rFonts w:ascii="Verdana" w:hAnsi="Verdana"/>
          <w:sz w:val="20"/>
          <w:szCs w:val="20"/>
          <w:lang w:val="en-US"/>
        </w:rPr>
        <w:t>in relation to</w:t>
      </w:r>
      <w:r w:rsidR="009E5D0F" w:rsidRPr="00D869E3">
        <w:rPr>
          <w:rFonts w:ascii="Verdana" w:hAnsi="Verdana"/>
          <w:sz w:val="20"/>
          <w:szCs w:val="20"/>
          <w:lang w:val="en-US"/>
        </w:rPr>
        <w:t xml:space="preserve"> the alleged violations of the right to freedom of expression and the right to be heard. Consequently, it asked the Court to determine how the Commission should proceed in similar circumstances</w:t>
      </w:r>
      <w:r w:rsidR="002D3CB7" w:rsidRPr="00D869E3">
        <w:rPr>
          <w:rFonts w:ascii="Verdana" w:hAnsi="Verdana"/>
          <w:sz w:val="20"/>
          <w:szCs w:val="20"/>
          <w:lang w:val="en-US"/>
        </w:rPr>
        <w:t>,</w:t>
      </w:r>
      <w:r w:rsidR="009E5D0F" w:rsidRPr="00D869E3">
        <w:rPr>
          <w:rFonts w:ascii="Verdana" w:hAnsi="Verdana"/>
          <w:sz w:val="20"/>
          <w:szCs w:val="20"/>
          <w:lang w:val="en-US"/>
        </w:rPr>
        <w:t xml:space="preserve"> and to declare that the action of the IACHR was not in keeping with the procedural rules and its competencies, and that the petition should have been rejected. </w:t>
      </w:r>
    </w:p>
    <w:p w14:paraId="5EE54AD3" w14:textId="77777777" w:rsidR="00154B4B" w:rsidRPr="00D869E3" w:rsidRDefault="00154B4B" w:rsidP="001B45F8">
      <w:pPr>
        <w:ind w:left="360" w:hanging="11"/>
        <w:jc w:val="both"/>
        <w:rPr>
          <w:rFonts w:ascii="Verdana" w:hAnsi="Verdana"/>
          <w:sz w:val="20"/>
          <w:szCs w:val="20"/>
          <w:lang w:val="en-US"/>
        </w:rPr>
      </w:pPr>
    </w:p>
    <w:p w14:paraId="34F27D98" w14:textId="0CFE1117" w:rsidR="00EE0BD4" w:rsidRPr="00D869E3" w:rsidRDefault="006436CA" w:rsidP="00EE0BD4">
      <w:pPr>
        <w:pStyle w:val="Prrafodelista"/>
        <w:numPr>
          <w:ilvl w:val="0"/>
          <w:numId w:val="17"/>
        </w:numPr>
        <w:ind w:hanging="11"/>
        <w:jc w:val="both"/>
        <w:rPr>
          <w:rFonts w:ascii="Verdana" w:hAnsi="Verdana"/>
          <w:sz w:val="20"/>
          <w:szCs w:val="20"/>
          <w:lang w:val="en-US"/>
        </w:rPr>
      </w:pPr>
      <w:r w:rsidRPr="00D869E3">
        <w:rPr>
          <w:rFonts w:ascii="Verdana" w:hAnsi="Verdana"/>
          <w:i/>
          <w:sz w:val="20"/>
          <w:szCs w:val="20"/>
          <w:lang w:val="en-US"/>
        </w:rPr>
        <w:t>“</w:t>
      </w:r>
      <w:r w:rsidR="009E5D0F" w:rsidRPr="00D869E3">
        <w:rPr>
          <w:rFonts w:ascii="Verdana" w:hAnsi="Verdana"/>
          <w:i/>
          <w:sz w:val="20"/>
          <w:szCs w:val="20"/>
          <w:lang w:val="en-US"/>
        </w:rPr>
        <w:t xml:space="preserve">Failure to exhaust domestic remedies in relation to the allegation of the failure to </w:t>
      </w:r>
      <w:r w:rsidR="002D3CB7" w:rsidRPr="00D869E3">
        <w:rPr>
          <w:rFonts w:ascii="Verdana" w:hAnsi="Verdana"/>
          <w:i/>
          <w:sz w:val="20"/>
          <w:szCs w:val="20"/>
          <w:lang w:val="en-US"/>
        </w:rPr>
        <w:t>state the reasons</w:t>
      </w:r>
      <w:r w:rsidR="009E5D0F" w:rsidRPr="00D869E3">
        <w:rPr>
          <w:rFonts w:ascii="Verdana" w:hAnsi="Verdana"/>
          <w:i/>
          <w:sz w:val="20"/>
          <w:szCs w:val="20"/>
          <w:lang w:val="en-US"/>
        </w:rPr>
        <w:t xml:space="preserve"> for the legal decisions.</w:t>
      </w:r>
      <w:r w:rsidRPr="00D869E3">
        <w:rPr>
          <w:rFonts w:ascii="Verdana" w:hAnsi="Verdana"/>
          <w:i/>
          <w:sz w:val="20"/>
          <w:szCs w:val="20"/>
          <w:lang w:val="en-US"/>
        </w:rPr>
        <w:t>”</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 xml:space="preserve"> </w:t>
      </w:r>
      <w:r w:rsidR="009E5D0F" w:rsidRPr="00D869E3">
        <w:rPr>
          <w:rFonts w:ascii="Verdana" w:hAnsi="Verdana"/>
          <w:sz w:val="20"/>
          <w:szCs w:val="20"/>
          <w:lang w:val="en-US"/>
        </w:rPr>
        <w:t>argued that</w:t>
      </w:r>
      <w:r w:rsidR="00154B4B"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154B4B" w:rsidRPr="00D869E3">
        <w:rPr>
          <w:rFonts w:ascii="Verdana" w:hAnsi="Verdana"/>
          <w:sz w:val="20"/>
          <w:szCs w:val="20"/>
          <w:lang w:val="en-US"/>
        </w:rPr>
        <w:t xml:space="preserve"> </w:t>
      </w:r>
      <w:r w:rsidR="009E5D0F" w:rsidRPr="00D869E3">
        <w:rPr>
          <w:rFonts w:ascii="Verdana" w:hAnsi="Verdana"/>
          <w:sz w:val="20"/>
          <w:szCs w:val="20"/>
          <w:lang w:val="en-US"/>
        </w:rPr>
        <w:t>had made an incomplete or partial evaluation of the admissibility of the petition</w:t>
      </w:r>
      <w:r w:rsidR="00EE0BD4" w:rsidRPr="00D869E3">
        <w:rPr>
          <w:rFonts w:ascii="Verdana" w:hAnsi="Verdana"/>
          <w:sz w:val="20"/>
          <w:szCs w:val="20"/>
          <w:lang w:val="en-US"/>
        </w:rPr>
        <w:t xml:space="preserve"> in relation to compliance with the obligation to exhaust domestic remedies, and that the reasons why </w:t>
      </w:r>
      <w:r w:rsidR="002D3CB7" w:rsidRPr="00D869E3">
        <w:rPr>
          <w:rFonts w:ascii="Verdana" w:hAnsi="Verdana"/>
          <w:sz w:val="20"/>
          <w:szCs w:val="20"/>
          <w:lang w:val="en-US"/>
        </w:rPr>
        <w:t>the Commission</w:t>
      </w:r>
      <w:r w:rsidR="00EE0BD4" w:rsidRPr="00D869E3">
        <w:rPr>
          <w:rFonts w:ascii="Verdana" w:hAnsi="Verdana"/>
          <w:sz w:val="20"/>
          <w:szCs w:val="20"/>
          <w:lang w:val="en-US"/>
        </w:rPr>
        <w:t xml:space="preserve"> considered that this requirement had been complied with had been developed insufficiently, without explaining the connection between the remedies filed and the content of the alleged violations. In this regard, it asked the Court to analyze whether the judicial decision taken into account by the Commission as the final remedy exhausted by the petitioner had really sought to reverse each and every violation of the rights alleged in the petition lodged before </w:t>
      </w:r>
      <w:r w:rsidR="00447C65" w:rsidRPr="00D869E3">
        <w:rPr>
          <w:rFonts w:ascii="Verdana" w:hAnsi="Verdana"/>
          <w:sz w:val="20"/>
          <w:szCs w:val="20"/>
          <w:lang w:val="en-US"/>
        </w:rPr>
        <w:t>the Inter-American Commission</w:t>
      </w:r>
      <w:r w:rsidR="00386930" w:rsidRPr="00D869E3">
        <w:rPr>
          <w:rFonts w:ascii="Verdana" w:hAnsi="Verdana"/>
          <w:sz w:val="20"/>
          <w:szCs w:val="20"/>
          <w:lang w:val="en-US"/>
        </w:rPr>
        <w:t>.</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 xml:space="preserve"> s</w:t>
      </w:r>
      <w:r w:rsidR="00EE0BD4" w:rsidRPr="00D869E3">
        <w:rPr>
          <w:rFonts w:ascii="Verdana" w:hAnsi="Verdana"/>
          <w:sz w:val="20"/>
          <w:szCs w:val="20"/>
          <w:lang w:val="en-US"/>
        </w:rPr>
        <w:t>ubmitted this aspect to the Court because it considered that clarity and transparency should exist in the criteria used by the Commission to admit petitions, regardless of whether the State had alleged the matter at the opportune procedural moment.</w:t>
      </w:r>
    </w:p>
    <w:p w14:paraId="17E235DB" w14:textId="46F82279" w:rsidR="00154B4B" w:rsidRPr="00D869E3" w:rsidRDefault="00154B4B" w:rsidP="00EE0BD4">
      <w:pPr>
        <w:jc w:val="both"/>
        <w:rPr>
          <w:rFonts w:ascii="Verdana" w:hAnsi="Verdana"/>
          <w:sz w:val="20"/>
          <w:szCs w:val="20"/>
          <w:lang w:val="en-US"/>
        </w:rPr>
      </w:pPr>
    </w:p>
    <w:p w14:paraId="5C38D791" w14:textId="50ED6407" w:rsidR="00154B4B" w:rsidRPr="00D869E3" w:rsidRDefault="006436CA" w:rsidP="00EE0BD4">
      <w:pPr>
        <w:pStyle w:val="Prrafodelista"/>
        <w:numPr>
          <w:ilvl w:val="0"/>
          <w:numId w:val="17"/>
        </w:numPr>
        <w:ind w:hanging="11"/>
        <w:jc w:val="both"/>
        <w:rPr>
          <w:rFonts w:ascii="Verdana" w:hAnsi="Verdana"/>
          <w:sz w:val="20"/>
          <w:szCs w:val="20"/>
          <w:lang w:val="en-US"/>
        </w:rPr>
      </w:pPr>
      <w:r w:rsidRPr="00D869E3">
        <w:rPr>
          <w:rFonts w:ascii="Verdana" w:hAnsi="Verdana"/>
          <w:i/>
          <w:sz w:val="20"/>
          <w:szCs w:val="20"/>
          <w:lang w:val="en-US"/>
        </w:rPr>
        <w:t>“</w:t>
      </w:r>
      <w:r w:rsidR="00154B4B" w:rsidRPr="00D869E3">
        <w:rPr>
          <w:rFonts w:ascii="Verdana" w:hAnsi="Verdana"/>
          <w:i/>
          <w:sz w:val="20"/>
          <w:szCs w:val="20"/>
          <w:lang w:val="en-US"/>
        </w:rPr>
        <w:t>Observa</w:t>
      </w:r>
      <w:r w:rsidR="00EE0BD4" w:rsidRPr="00D869E3">
        <w:rPr>
          <w:rFonts w:ascii="Verdana" w:hAnsi="Verdana"/>
          <w:i/>
          <w:sz w:val="20"/>
          <w:szCs w:val="20"/>
          <w:lang w:val="en-US"/>
        </w:rPr>
        <w:t xml:space="preserve">tions on the undue inclusion of </w:t>
      </w:r>
      <w:r w:rsidR="00687684" w:rsidRPr="00D869E3">
        <w:rPr>
          <w:rFonts w:ascii="Verdana" w:hAnsi="Verdana"/>
          <w:i/>
          <w:sz w:val="20"/>
          <w:szCs w:val="20"/>
          <w:lang w:val="en-US"/>
        </w:rPr>
        <w:t>Article</w:t>
      </w:r>
      <w:r w:rsidR="00A032B8" w:rsidRPr="00D869E3">
        <w:rPr>
          <w:rFonts w:ascii="Verdana" w:hAnsi="Verdana"/>
          <w:i/>
          <w:sz w:val="20"/>
          <w:szCs w:val="20"/>
          <w:lang w:val="en-US"/>
        </w:rPr>
        <w:t xml:space="preserve"> 16 </w:t>
      </w:r>
      <w:r w:rsidR="00EE0BD4" w:rsidRPr="00D869E3">
        <w:rPr>
          <w:rFonts w:ascii="Verdana" w:hAnsi="Verdana"/>
          <w:i/>
          <w:sz w:val="20"/>
          <w:szCs w:val="20"/>
          <w:lang w:val="en-US"/>
        </w:rPr>
        <w:t>in the IACHR</w:t>
      </w:r>
      <w:r w:rsidR="00A032B8" w:rsidRPr="00D869E3">
        <w:rPr>
          <w:rFonts w:ascii="Verdana" w:hAnsi="Verdana"/>
          <w:i/>
          <w:sz w:val="20"/>
          <w:szCs w:val="20"/>
          <w:lang w:val="en-US"/>
        </w:rPr>
        <w:t xml:space="preserve"> </w:t>
      </w:r>
      <w:r w:rsidR="00687684" w:rsidRPr="00D869E3">
        <w:rPr>
          <w:rFonts w:ascii="Verdana" w:hAnsi="Verdana"/>
          <w:i/>
          <w:sz w:val="20"/>
          <w:szCs w:val="20"/>
          <w:lang w:val="en-US"/>
        </w:rPr>
        <w:t>Merits Report</w:t>
      </w:r>
      <w:r w:rsidR="00EE0BD4" w:rsidRPr="00D869E3">
        <w:rPr>
          <w:rFonts w:ascii="Verdana" w:hAnsi="Verdana"/>
          <w:i/>
          <w:sz w:val="20"/>
          <w:szCs w:val="20"/>
          <w:lang w:val="en-US"/>
        </w:rPr>
        <w:t>.</w:t>
      </w:r>
      <w:r w:rsidRPr="00D869E3">
        <w:rPr>
          <w:rFonts w:ascii="Verdana" w:hAnsi="Verdana"/>
          <w:i/>
          <w:sz w:val="20"/>
          <w:szCs w:val="20"/>
          <w:lang w:val="en-US"/>
        </w:rPr>
        <w:t>”</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 xml:space="preserve"> a</w:t>
      </w:r>
      <w:r w:rsidR="00EE0BD4" w:rsidRPr="00D869E3">
        <w:rPr>
          <w:rFonts w:ascii="Verdana" w:hAnsi="Verdana"/>
          <w:sz w:val="20"/>
          <w:szCs w:val="20"/>
          <w:lang w:val="en-US"/>
        </w:rPr>
        <w:t>lleged that</w:t>
      </w:r>
      <w:r w:rsidR="00154B4B"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154B4B" w:rsidRPr="00D869E3">
        <w:rPr>
          <w:rFonts w:ascii="Verdana" w:hAnsi="Verdana"/>
          <w:sz w:val="20"/>
          <w:szCs w:val="20"/>
          <w:lang w:val="en-US"/>
        </w:rPr>
        <w:t xml:space="preserve"> </w:t>
      </w:r>
      <w:r w:rsidR="00EE0BD4" w:rsidRPr="00D869E3">
        <w:rPr>
          <w:rFonts w:ascii="Verdana" w:hAnsi="Verdana"/>
          <w:sz w:val="20"/>
          <w:szCs w:val="20"/>
          <w:lang w:val="en-US"/>
        </w:rPr>
        <w:t xml:space="preserve">had admitted the petition with regard to </w:t>
      </w:r>
      <w:r w:rsidR="00447C65" w:rsidRPr="00D869E3">
        <w:rPr>
          <w:rFonts w:ascii="Verdana" w:hAnsi="Verdana"/>
          <w:sz w:val="20"/>
          <w:szCs w:val="20"/>
          <w:lang w:val="en-US"/>
        </w:rPr>
        <w:t>Articles</w:t>
      </w:r>
      <w:r w:rsidR="00154B4B" w:rsidRPr="00D869E3">
        <w:rPr>
          <w:rFonts w:ascii="Verdana" w:hAnsi="Verdana"/>
          <w:sz w:val="20"/>
          <w:szCs w:val="20"/>
          <w:lang w:val="en-US"/>
        </w:rPr>
        <w:t xml:space="preserve"> 8</w:t>
      </w:r>
      <w:r w:rsidR="00687684" w:rsidRPr="00D869E3">
        <w:rPr>
          <w:rFonts w:ascii="Verdana" w:hAnsi="Verdana"/>
          <w:sz w:val="20"/>
          <w:szCs w:val="20"/>
          <w:lang w:val="en-US"/>
        </w:rPr>
        <w:t xml:space="preserve"> and </w:t>
      </w:r>
      <w:r w:rsidR="00154B4B" w:rsidRPr="00D869E3">
        <w:rPr>
          <w:rFonts w:ascii="Verdana" w:hAnsi="Verdana"/>
          <w:sz w:val="20"/>
          <w:szCs w:val="20"/>
          <w:lang w:val="en-US"/>
        </w:rPr>
        <w:t xml:space="preserve">13 </w:t>
      </w:r>
      <w:r w:rsidR="00EE0BD4" w:rsidRPr="00D869E3">
        <w:rPr>
          <w:rFonts w:ascii="Verdana" w:hAnsi="Verdana"/>
          <w:sz w:val="20"/>
          <w:szCs w:val="20"/>
          <w:lang w:val="en-US"/>
        </w:rPr>
        <w:t>in relation to</w:t>
      </w:r>
      <w:r w:rsidR="00154B4B" w:rsidRPr="00D869E3">
        <w:rPr>
          <w:rFonts w:ascii="Verdana" w:hAnsi="Verdana"/>
          <w:sz w:val="20"/>
          <w:szCs w:val="20"/>
          <w:lang w:val="en-US"/>
        </w:rPr>
        <w:t xml:space="preserve"> </w:t>
      </w:r>
      <w:r w:rsidR="00687684" w:rsidRPr="00D869E3">
        <w:rPr>
          <w:rFonts w:ascii="Verdana" w:hAnsi="Verdana"/>
          <w:sz w:val="20"/>
          <w:szCs w:val="20"/>
          <w:lang w:val="en-US"/>
        </w:rPr>
        <w:t xml:space="preserve">Articles 1(1) and </w:t>
      </w:r>
      <w:r w:rsidR="00154B4B" w:rsidRPr="00D869E3">
        <w:rPr>
          <w:rFonts w:ascii="Verdana" w:hAnsi="Verdana"/>
          <w:sz w:val="20"/>
          <w:szCs w:val="20"/>
          <w:lang w:val="en-US"/>
        </w:rPr>
        <w:t>2</w:t>
      </w:r>
      <w:r w:rsidR="00447C65" w:rsidRPr="00D869E3">
        <w:rPr>
          <w:rFonts w:ascii="Verdana" w:hAnsi="Verdana"/>
          <w:sz w:val="20"/>
          <w:szCs w:val="20"/>
          <w:lang w:val="en-US"/>
        </w:rPr>
        <w:t xml:space="preserve"> of the Convention</w:t>
      </w:r>
      <w:r w:rsidR="00154B4B" w:rsidRPr="00D869E3">
        <w:rPr>
          <w:rFonts w:ascii="Verdana" w:hAnsi="Verdana"/>
          <w:sz w:val="20"/>
          <w:szCs w:val="20"/>
          <w:lang w:val="en-US"/>
        </w:rPr>
        <w:t xml:space="preserve"> </w:t>
      </w:r>
      <w:r w:rsidR="00EE0BD4" w:rsidRPr="00D869E3">
        <w:rPr>
          <w:rFonts w:ascii="Verdana" w:hAnsi="Verdana"/>
          <w:sz w:val="20"/>
          <w:szCs w:val="20"/>
          <w:lang w:val="en-US"/>
        </w:rPr>
        <w:t>but that</w:t>
      </w:r>
      <w:r w:rsidR="005169B2" w:rsidRPr="00D869E3">
        <w:rPr>
          <w:rFonts w:ascii="Verdana" w:hAnsi="Verdana"/>
          <w:sz w:val="20"/>
          <w:szCs w:val="20"/>
          <w:lang w:val="en-US"/>
        </w:rPr>
        <w:t>,</w:t>
      </w:r>
      <w:r w:rsidR="00EE0BD4" w:rsidRPr="00D869E3">
        <w:rPr>
          <w:rFonts w:ascii="Verdana" w:hAnsi="Verdana"/>
          <w:sz w:val="20"/>
          <w:szCs w:val="20"/>
          <w:lang w:val="en-US"/>
        </w:rPr>
        <w:t xml:space="preserve"> in the</w:t>
      </w:r>
      <w:r w:rsidR="00154B4B"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5169B2" w:rsidRPr="00D869E3">
        <w:rPr>
          <w:rFonts w:ascii="Verdana" w:hAnsi="Verdana"/>
          <w:sz w:val="20"/>
          <w:szCs w:val="20"/>
          <w:lang w:val="en-US"/>
        </w:rPr>
        <w:t>,</w:t>
      </w:r>
      <w:r w:rsidR="00154B4B" w:rsidRPr="00D869E3">
        <w:rPr>
          <w:rFonts w:ascii="Verdana" w:hAnsi="Verdana"/>
          <w:sz w:val="20"/>
          <w:szCs w:val="20"/>
          <w:lang w:val="en-US"/>
        </w:rPr>
        <w:t xml:space="preserve"> </w:t>
      </w:r>
      <w:r w:rsidR="00EE0BD4" w:rsidRPr="00D869E3">
        <w:rPr>
          <w:rFonts w:ascii="Verdana" w:hAnsi="Verdana"/>
          <w:sz w:val="20"/>
          <w:szCs w:val="20"/>
          <w:lang w:val="en-US"/>
        </w:rPr>
        <w:t xml:space="preserve">it had unduly included presumed violations of </w:t>
      </w:r>
      <w:r w:rsidR="00447C65" w:rsidRPr="00D869E3">
        <w:rPr>
          <w:rFonts w:ascii="Verdana" w:hAnsi="Verdana"/>
          <w:sz w:val="20"/>
          <w:szCs w:val="20"/>
          <w:lang w:val="en-US"/>
        </w:rPr>
        <w:t>Article</w:t>
      </w:r>
      <w:r w:rsidR="00154B4B" w:rsidRPr="00D869E3">
        <w:rPr>
          <w:rFonts w:ascii="Verdana" w:hAnsi="Verdana"/>
          <w:sz w:val="20"/>
          <w:szCs w:val="20"/>
          <w:lang w:val="en-US"/>
        </w:rPr>
        <w:t xml:space="preserve"> </w:t>
      </w:r>
      <w:r w:rsidR="00687684" w:rsidRPr="00D869E3">
        <w:rPr>
          <w:rFonts w:ascii="Verdana" w:hAnsi="Verdana"/>
          <w:sz w:val="20"/>
          <w:szCs w:val="20"/>
          <w:lang w:val="en-US"/>
        </w:rPr>
        <w:t>16(1)</w:t>
      </w:r>
      <w:r w:rsidR="00447C65" w:rsidRPr="00D869E3">
        <w:rPr>
          <w:rFonts w:ascii="Verdana" w:hAnsi="Verdana"/>
          <w:sz w:val="20"/>
          <w:szCs w:val="20"/>
          <w:lang w:val="en-US"/>
        </w:rPr>
        <w:t xml:space="preserve"> of the Convention</w:t>
      </w:r>
      <w:r w:rsidR="00154B4B" w:rsidRPr="00D869E3">
        <w:rPr>
          <w:rFonts w:ascii="Verdana" w:hAnsi="Verdana"/>
          <w:sz w:val="20"/>
          <w:szCs w:val="20"/>
          <w:lang w:val="en-US"/>
        </w:rPr>
        <w:t xml:space="preserve">. </w:t>
      </w:r>
      <w:r w:rsidR="005169B2" w:rsidRPr="00D869E3">
        <w:rPr>
          <w:rFonts w:ascii="Verdana" w:hAnsi="Verdana"/>
          <w:sz w:val="20"/>
          <w:szCs w:val="20"/>
          <w:lang w:val="en-US"/>
        </w:rPr>
        <w:t>I</w:t>
      </w:r>
      <w:r w:rsidR="00EE0BD4" w:rsidRPr="00D869E3">
        <w:rPr>
          <w:rFonts w:ascii="Verdana" w:hAnsi="Verdana"/>
          <w:sz w:val="20"/>
          <w:szCs w:val="20"/>
          <w:lang w:val="en-US"/>
        </w:rPr>
        <w:t xml:space="preserve">t </w:t>
      </w:r>
      <w:r w:rsidR="005169B2" w:rsidRPr="00D869E3">
        <w:rPr>
          <w:rFonts w:ascii="Verdana" w:hAnsi="Verdana"/>
          <w:sz w:val="20"/>
          <w:szCs w:val="20"/>
          <w:lang w:val="en-US"/>
        </w:rPr>
        <w:t>i</w:t>
      </w:r>
      <w:r w:rsidR="00EE0BD4" w:rsidRPr="00D869E3">
        <w:rPr>
          <w:rFonts w:ascii="Verdana" w:hAnsi="Verdana"/>
          <w:sz w:val="20"/>
          <w:szCs w:val="20"/>
          <w:lang w:val="en-US"/>
        </w:rPr>
        <w:t xml:space="preserve">ndicated that, neither in the facts of the case submitted by </w:t>
      </w:r>
      <w:r w:rsidR="00687684" w:rsidRPr="00D869E3">
        <w:rPr>
          <w:rFonts w:ascii="Verdana" w:hAnsi="Verdana"/>
          <w:sz w:val="20"/>
          <w:szCs w:val="20"/>
          <w:lang w:val="en-US"/>
        </w:rPr>
        <w:t>the petitioners</w:t>
      </w:r>
      <w:r w:rsidR="00154B4B" w:rsidRPr="00D869E3">
        <w:rPr>
          <w:rFonts w:ascii="Verdana" w:hAnsi="Verdana"/>
          <w:sz w:val="20"/>
          <w:szCs w:val="20"/>
          <w:lang w:val="en-US"/>
        </w:rPr>
        <w:t>, n</w:t>
      </w:r>
      <w:r w:rsidR="00EE0BD4" w:rsidRPr="00D869E3">
        <w:rPr>
          <w:rFonts w:ascii="Verdana" w:hAnsi="Verdana"/>
          <w:sz w:val="20"/>
          <w:szCs w:val="20"/>
          <w:lang w:val="en-US"/>
        </w:rPr>
        <w:t xml:space="preserve">or in the documents they had provided, was there any mention that, owing to the exercise of the right to freedom of expression and the resulting alleged arbitrary dismissal of </w:t>
      </w:r>
      <w:r w:rsidR="001E44D3" w:rsidRPr="00D869E3">
        <w:rPr>
          <w:rFonts w:ascii="Verdana" w:hAnsi="Verdana"/>
          <w:sz w:val="20"/>
          <w:szCs w:val="20"/>
          <w:lang w:val="en-US"/>
        </w:rPr>
        <w:t>Mr. Lagos del Campo</w:t>
      </w:r>
      <w:r w:rsidR="00154B4B" w:rsidRPr="00D869E3">
        <w:rPr>
          <w:rFonts w:ascii="Verdana" w:hAnsi="Verdana"/>
          <w:sz w:val="20"/>
          <w:szCs w:val="20"/>
          <w:lang w:val="en-US"/>
        </w:rPr>
        <w:t xml:space="preserve">, </w:t>
      </w:r>
      <w:r w:rsidR="00EE0BD4" w:rsidRPr="00D869E3">
        <w:rPr>
          <w:rFonts w:ascii="Verdana" w:hAnsi="Verdana"/>
          <w:sz w:val="20"/>
          <w:szCs w:val="20"/>
          <w:lang w:val="en-US"/>
        </w:rPr>
        <w:t xml:space="preserve">had his freedom of association been violated. Consequently, the State alleged that it had never had the opportunity to submit arguments </w:t>
      </w:r>
      <w:r w:rsidR="005169B2" w:rsidRPr="00D869E3">
        <w:rPr>
          <w:rFonts w:ascii="Verdana" w:hAnsi="Verdana"/>
          <w:sz w:val="20"/>
          <w:szCs w:val="20"/>
          <w:lang w:val="en-US"/>
        </w:rPr>
        <w:t>on</w:t>
      </w:r>
      <w:r w:rsidR="00EE0BD4" w:rsidRPr="00D869E3">
        <w:rPr>
          <w:rFonts w:ascii="Verdana" w:hAnsi="Verdana"/>
          <w:sz w:val="20"/>
          <w:szCs w:val="20"/>
          <w:lang w:val="en-US"/>
        </w:rPr>
        <w:t xml:space="preserve"> this aspect, </w:t>
      </w:r>
      <w:r w:rsidR="005169B2" w:rsidRPr="00D869E3">
        <w:rPr>
          <w:rFonts w:ascii="Verdana" w:hAnsi="Verdana"/>
          <w:sz w:val="20"/>
          <w:szCs w:val="20"/>
          <w:lang w:val="en-US"/>
        </w:rPr>
        <w:t xml:space="preserve">and </w:t>
      </w:r>
      <w:r w:rsidR="005169B2" w:rsidRPr="00D869E3">
        <w:rPr>
          <w:rFonts w:ascii="Verdana" w:hAnsi="Verdana"/>
          <w:sz w:val="20"/>
          <w:szCs w:val="20"/>
          <w:lang w:val="en-US"/>
        </w:rPr>
        <w:lastRenderedPageBreak/>
        <w:t xml:space="preserve">this </w:t>
      </w:r>
      <w:r w:rsidR="00EE0BD4" w:rsidRPr="00D869E3">
        <w:rPr>
          <w:rFonts w:ascii="Verdana" w:hAnsi="Verdana"/>
          <w:sz w:val="20"/>
          <w:szCs w:val="20"/>
          <w:lang w:val="en-US"/>
        </w:rPr>
        <w:t xml:space="preserve">constituted a violation of its right to defend itself. Accordingly, it asked the Court to reject the arguments related to the presumed violations of </w:t>
      </w:r>
      <w:r w:rsidR="00447C65" w:rsidRPr="00D869E3">
        <w:rPr>
          <w:rFonts w:ascii="Verdana" w:hAnsi="Verdana"/>
          <w:sz w:val="20"/>
          <w:szCs w:val="20"/>
          <w:lang w:val="en-US"/>
        </w:rPr>
        <w:t>Article</w:t>
      </w:r>
      <w:r w:rsidR="00154B4B" w:rsidRPr="00D869E3">
        <w:rPr>
          <w:rFonts w:ascii="Verdana" w:hAnsi="Verdana"/>
          <w:sz w:val="20"/>
          <w:szCs w:val="20"/>
          <w:lang w:val="en-US"/>
        </w:rPr>
        <w:t xml:space="preserve"> 16. </w:t>
      </w:r>
    </w:p>
    <w:p w14:paraId="0BB2BAAF" w14:textId="77777777" w:rsidR="00154B4B" w:rsidRPr="00D869E3" w:rsidRDefault="00154B4B" w:rsidP="001B45F8">
      <w:pPr>
        <w:ind w:hanging="11"/>
        <w:jc w:val="both"/>
        <w:rPr>
          <w:rFonts w:ascii="Verdana" w:hAnsi="Verdana"/>
          <w:sz w:val="20"/>
          <w:szCs w:val="20"/>
          <w:lang w:val="en-US"/>
        </w:rPr>
      </w:pPr>
    </w:p>
    <w:p w14:paraId="10ED02DD" w14:textId="3738875B" w:rsidR="00EE0BD4" w:rsidRPr="00D869E3" w:rsidRDefault="006436CA" w:rsidP="00E66DD7">
      <w:pPr>
        <w:pStyle w:val="Prrafodelista"/>
        <w:numPr>
          <w:ilvl w:val="0"/>
          <w:numId w:val="17"/>
        </w:numPr>
        <w:ind w:hanging="11"/>
        <w:jc w:val="both"/>
        <w:rPr>
          <w:rFonts w:ascii="Verdana" w:hAnsi="Verdana"/>
          <w:sz w:val="20"/>
          <w:szCs w:val="20"/>
          <w:lang w:val="en-US"/>
        </w:rPr>
      </w:pPr>
      <w:r w:rsidRPr="00D869E3">
        <w:rPr>
          <w:rFonts w:ascii="Verdana" w:hAnsi="Verdana"/>
          <w:i/>
          <w:sz w:val="20"/>
          <w:szCs w:val="20"/>
          <w:lang w:val="en-US"/>
        </w:rPr>
        <w:t>“</w:t>
      </w:r>
      <w:r w:rsidR="00EE0BD4" w:rsidRPr="00D869E3">
        <w:rPr>
          <w:rFonts w:ascii="Verdana" w:hAnsi="Verdana"/>
          <w:i/>
          <w:sz w:val="20"/>
          <w:szCs w:val="20"/>
          <w:lang w:val="en-US"/>
        </w:rPr>
        <w:t>Lack of competence of</w:t>
      </w:r>
      <w:r w:rsidR="00154B4B" w:rsidRPr="00D869E3">
        <w:rPr>
          <w:rFonts w:ascii="Verdana" w:hAnsi="Verdana"/>
          <w:i/>
          <w:sz w:val="20"/>
          <w:szCs w:val="20"/>
          <w:lang w:val="en-US"/>
        </w:rPr>
        <w:t xml:space="preserve"> </w:t>
      </w:r>
      <w:r w:rsidR="00EE0BD4" w:rsidRPr="00D869E3">
        <w:rPr>
          <w:rFonts w:ascii="Verdana" w:hAnsi="Verdana"/>
          <w:i/>
          <w:sz w:val="20"/>
          <w:szCs w:val="20"/>
          <w:lang w:val="en-US"/>
        </w:rPr>
        <w:t>the IACHR</w:t>
      </w:r>
      <w:r w:rsidR="00154B4B" w:rsidRPr="00D869E3">
        <w:rPr>
          <w:rFonts w:ascii="Verdana" w:hAnsi="Verdana"/>
          <w:i/>
          <w:sz w:val="20"/>
          <w:szCs w:val="20"/>
          <w:lang w:val="en-US"/>
        </w:rPr>
        <w:t xml:space="preserve"> </w:t>
      </w:r>
      <w:r w:rsidR="00EE0BD4" w:rsidRPr="00D869E3">
        <w:rPr>
          <w:rFonts w:ascii="Verdana" w:hAnsi="Verdana"/>
          <w:i/>
          <w:sz w:val="20"/>
          <w:szCs w:val="20"/>
          <w:lang w:val="en-US"/>
        </w:rPr>
        <w:t>to assume the role of fourth instance.</w:t>
      </w:r>
      <w:r w:rsidRPr="00D869E3">
        <w:rPr>
          <w:rFonts w:ascii="Verdana" w:hAnsi="Verdana"/>
          <w:i/>
          <w:sz w:val="20"/>
          <w:szCs w:val="20"/>
          <w:lang w:val="en-US"/>
        </w:rPr>
        <w:t>”</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 xml:space="preserve"> a</w:t>
      </w:r>
      <w:r w:rsidR="00EE0BD4" w:rsidRPr="00D869E3">
        <w:rPr>
          <w:rFonts w:ascii="Verdana" w:hAnsi="Verdana"/>
          <w:sz w:val="20"/>
          <w:szCs w:val="20"/>
          <w:lang w:val="en-US"/>
        </w:rPr>
        <w:t xml:space="preserve">rgued that </w:t>
      </w:r>
      <w:r w:rsidR="005169B2" w:rsidRPr="00D869E3">
        <w:rPr>
          <w:rFonts w:ascii="Verdana" w:hAnsi="Verdana"/>
          <w:sz w:val="20"/>
          <w:szCs w:val="20"/>
          <w:lang w:val="en-US"/>
        </w:rPr>
        <w:t xml:space="preserve">the </w:t>
      </w:r>
      <w:r w:rsidR="00EE0BD4" w:rsidRPr="00D869E3">
        <w:rPr>
          <w:rFonts w:ascii="Verdana" w:hAnsi="Verdana"/>
          <w:sz w:val="20"/>
          <w:szCs w:val="20"/>
          <w:lang w:val="en-US"/>
        </w:rPr>
        <w:t xml:space="preserve">petitioner’s intention had been for </w:t>
      </w:r>
      <w:r w:rsidR="00447C65" w:rsidRPr="00D869E3">
        <w:rPr>
          <w:rFonts w:ascii="Verdana" w:hAnsi="Verdana"/>
          <w:sz w:val="20"/>
          <w:szCs w:val="20"/>
          <w:lang w:val="en-US"/>
        </w:rPr>
        <w:t>the Commission</w:t>
      </w:r>
      <w:r w:rsidR="00EE0BD4" w:rsidRPr="00D869E3">
        <w:rPr>
          <w:rFonts w:ascii="Verdana" w:hAnsi="Verdana"/>
          <w:sz w:val="20"/>
          <w:szCs w:val="20"/>
          <w:lang w:val="en-US"/>
        </w:rPr>
        <w:t xml:space="preserve"> to act as a domestic court with authority to evaluate evidence and facts related to proceedings in the domestic sphere, </w:t>
      </w:r>
      <w:r w:rsidR="005169B2" w:rsidRPr="00D869E3">
        <w:rPr>
          <w:rFonts w:ascii="Verdana" w:hAnsi="Verdana"/>
          <w:sz w:val="20"/>
          <w:szCs w:val="20"/>
          <w:lang w:val="en-US"/>
        </w:rPr>
        <w:t>and this</w:t>
      </w:r>
      <w:r w:rsidR="00EE0BD4" w:rsidRPr="00D869E3">
        <w:rPr>
          <w:rFonts w:ascii="Verdana" w:hAnsi="Verdana"/>
          <w:sz w:val="20"/>
          <w:szCs w:val="20"/>
          <w:lang w:val="en-US"/>
        </w:rPr>
        <w:t xml:space="preserve"> exceeded its competence. It therefore asked the Court to assess the labor proceedings and the amparo proceeding in order to verify that they were both executed with full respect for the guarantees of due process of law, providing Mr. Lagos del Campo with the opportunity to appeal any judicial rulings that went against him.</w:t>
      </w:r>
    </w:p>
    <w:p w14:paraId="272C713A" w14:textId="77777777" w:rsidR="00154B4B" w:rsidRPr="00D869E3" w:rsidRDefault="00154B4B" w:rsidP="00EE0BD4">
      <w:pPr>
        <w:rPr>
          <w:rFonts w:ascii="Verdana" w:hAnsi="Verdana"/>
          <w:i/>
          <w:sz w:val="20"/>
          <w:szCs w:val="20"/>
          <w:lang w:val="en-US"/>
        </w:rPr>
      </w:pPr>
    </w:p>
    <w:p w14:paraId="6F007763" w14:textId="2CA53F47" w:rsidR="00154B4B" w:rsidRPr="00D869E3" w:rsidRDefault="006436CA" w:rsidP="007F0648">
      <w:pPr>
        <w:pStyle w:val="Prrafodelista"/>
        <w:numPr>
          <w:ilvl w:val="0"/>
          <w:numId w:val="17"/>
        </w:numPr>
        <w:ind w:hanging="11"/>
        <w:jc w:val="both"/>
        <w:rPr>
          <w:rFonts w:ascii="Verdana" w:hAnsi="Verdana"/>
          <w:sz w:val="20"/>
          <w:szCs w:val="20"/>
          <w:lang w:val="en-US"/>
        </w:rPr>
      </w:pPr>
      <w:r w:rsidRPr="00D869E3">
        <w:rPr>
          <w:rFonts w:ascii="Verdana" w:hAnsi="Verdana"/>
          <w:i/>
          <w:sz w:val="20"/>
          <w:szCs w:val="20"/>
          <w:lang w:val="en-US"/>
        </w:rPr>
        <w:t>“</w:t>
      </w:r>
      <w:r w:rsidR="00154B4B" w:rsidRPr="00D869E3">
        <w:rPr>
          <w:rFonts w:ascii="Verdana" w:hAnsi="Verdana"/>
          <w:i/>
          <w:sz w:val="20"/>
          <w:szCs w:val="20"/>
          <w:lang w:val="en-US"/>
        </w:rPr>
        <w:t>Observa</w:t>
      </w:r>
      <w:r w:rsidR="00EE0BD4" w:rsidRPr="00D869E3">
        <w:rPr>
          <w:rFonts w:ascii="Verdana" w:hAnsi="Verdana"/>
          <w:i/>
          <w:sz w:val="20"/>
          <w:szCs w:val="20"/>
          <w:lang w:val="en-US"/>
        </w:rPr>
        <w:t>tions on the</w:t>
      </w:r>
      <w:r w:rsidR="00154B4B" w:rsidRPr="00D869E3">
        <w:rPr>
          <w:rFonts w:ascii="Verdana" w:hAnsi="Verdana"/>
          <w:i/>
          <w:sz w:val="20"/>
          <w:szCs w:val="20"/>
          <w:lang w:val="en-US"/>
        </w:rPr>
        <w:t xml:space="preserve"> </w:t>
      </w:r>
      <w:r w:rsidR="00EE0BD4" w:rsidRPr="00D869E3">
        <w:rPr>
          <w:rFonts w:ascii="Verdana" w:hAnsi="Verdana"/>
          <w:i/>
          <w:sz w:val="20"/>
          <w:szCs w:val="20"/>
          <w:lang w:val="en-US"/>
        </w:rPr>
        <w:t>b</w:t>
      </w:r>
      <w:r w:rsidR="00CE3F0D" w:rsidRPr="00D869E3">
        <w:rPr>
          <w:rFonts w:ascii="Verdana" w:hAnsi="Verdana"/>
          <w:i/>
          <w:sz w:val="20"/>
          <w:szCs w:val="20"/>
          <w:lang w:val="en-US"/>
        </w:rPr>
        <w:t xml:space="preserve">rief with </w:t>
      </w:r>
      <w:r w:rsidR="001C1450" w:rsidRPr="00D869E3">
        <w:rPr>
          <w:rFonts w:ascii="Verdana" w:hAnsi="Verdana"/>
          <w:i/>
          <w:sz w:val="20"/>
          <w:szCs w:val="20"/>
          <w:lang w:val="en-US"/>
        </w:rPr>
        <w:t>motions, pleadings and</w:t>
      </w:r>
      <w:r w:rsidR="00CE3F0D" w:rsidRPr="00D869E3">
        <w:rPr>
          <w:rFonts w:ascii="Verdana" w:hAnsi="Verdana"/>
          <w:i/>
          <w:sz w:val="20"/>
          <w:szCs w:val="20"/>
          <w:lang w:val="en-US"/>
        </w:rPr>
        <w:t xml:space="preserve"> evidence</w:t>
      </w:r>
      <w:r w:rsidR="00154B4B" w:rsidRPr="00D869E3">
        <w:rPr>
          <w:rFonts w:ascii="Verdana" w:hAnsi="Verdana"/>
          <w:i/>
          <w:sz w:val="20"/>
          <w:szCs w:val="20"/>
          <w:lang w:val="en-US"/>
        </w:rPr>
        <w:t xml:space="preserve"> con</w:t>
      </w:r>
      <w:r w:rsidR="00EE0BD4" w:rsidRPr="00D869E3">
        <w:rPr>
          <w:rFonts w:ascii="Verdana" w:hAnsi="Verdana"/>
          <w:i/>
          <w:sz w:val="20"/>
          <w:szCs w:val="20"/>
          <w:lang w:val="en-US"/>
        </w:rPr>
        <w:t>cerning the delimitation of the legal dispute.</w:t>
      </w:r>
      <w:r w:rsidRPr="00D869E3">
        <w:rPr>
          <w:rFonts w:ascii="Verdana" w:hAnsi="Verdana"/>
          <w:i/>
          <w:sz w:val="20"/>
          <w:szCs w:val="20"/>
          <w:lang w:val="en-US"/>
        </w:rPr>
        <w:t>”</w:t>
      </w:r>
      <w:r w:rsidR="00154B4B" w:rsidRPr="00D869E3">
        <w:rPr>
          <w:rFonts w:ascii="Verdana" w:hAnsi="Verdana"/>
          <w:i/>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b/>
          <w:i/>
          <w:sz w:val="20"/>
          <w:szCs w:val="20"/>
          <w:lang w:val="en-US"/>
        </w:rPr>
        <w:t xml:space="preserve"> </w:t>
      </w:r>
      <w:r w:rsidR="00154B4B" w:rsidRPr="00D869E3">
        <w:rPr>
          <w:rFonts w:ascii="Verdana" w:hAnsi="Verdana"/>
          <w:sz w:val="20"/>
          <w:szCs w:val="20"/>
          <w:lang w:val="en-US"/>
        </w:rPr>
        <w:t>al</w:t>
      </w:r>
      <w:r w:rsidR="00EE0BD4" w:rsidRPr="00D869E3">
        <w:rPr>
          <w:rFonts w:ascii="Verdana" w:hAnsi="Verdana"/>
          <w:sz w:val="20"/>
          <w:szCs w:val="20"/>
          <w:lang w:val="en-US"/>
        </w:rPr>
        <w:t xml:space="preserve">leged that the remedies that were not examined in order to establish compliance with the admissibility requirements – in other words, those subsequent to the </w:t>
      </w:r>
      <w:r w:rsidR="005169B2" w:rsidRPr="00D869E3">
        <w:rPr>
          <w:rFonts w:ascii="Verdana" w:hAnsi="Verdana"/>
          <w:sz w:val="20"/>
          <w:szCs w:val="20"/>
          <w:lang w:val="en-US"/>
        </w:rPr>
        <w:t>appeal</w:t>
      </w:r>
      <w:r w:rsidR="00EE0BD4" w:rsidRPr="00D869E3">
        <w:rPr>
          <w:rFonts w:ascii="Verdana" w:hAnsi="Verdana"/>
          <w:sz w:val="20"/>
          <w:szCs w:val="20"/>
          <w:lang w:val="en-US"/>
        </w:rPr>
        <w:t xml:space="preserve"> filed on March 15, 1993 – could not be used to consider violations of additional rights to those contain</w:t>
      </w:r>
      <w:r w:rsidR="005169B2" w:rsidRPr="00D869E3">
        <w:rPr>
          <w:rFonts w:ascii="Verdana" w:hAnsi="Verdana"/>
          <w:sz w:val="20"/>
          <w:szCs w:val="20"/>
          <w:lang w:val="en-US"/>
        </w:rPr>
        <w:t>ed</w:t>
      </w:r>
      <w:r w:rsidR="00EE0BD4" w:rsidRPr="00D869E3">
        <w:rPr>
          <w:rFonts w:ascii="Verdana" w:hAnsi="Verdana"/>
          <w:sz w:val="20"/>
          <w:szCs w:val="20"/>
          <w:lang w:val="en-US"/>
        </w:rPr>
        <w:t xml:space="preserve"> in the Merits Report. Likewise, it alleged that the presumed victim’s representatives unduly used the events related to the self-coup of April 5, 1992, and the </w:t>
      </w:r>
      <w:r w:rsidR="00E5104D" w:rsidRPr="00D869E3">
        <w:rPr>
          <w:rFonts w:ascii="Verdana" w:hAnsi="Verdana"/>
          <w:sz w:val="20"/>
          <w:szCs w:val="20"/>
          <w:lang w:val="en-US"/>
        </w:rPr>
        <w:t>dissolving</w:t>
      </w:r>
      <w:r w:rsidR="00EE0BD4" w:rsidRPr="00D869E3">
        <w:rPr>
          <w:rFonts w:ascii="Verdana" w:hAnsi="Verdana"/>
          <w:sz w:val="20"/>
          <w:szCs w:val="20"/>
          <w:lang w:val="en-US"/>
        </w:rPr>
        <w:t xml:space="preserve"> of the Court of Constitutional Guarantees</w:t>
      </w:r>
      <w:r w:rsidR="00154B4B" w:rsidRPr="00D869E3">
        <w:rPr>
          <w:rFonts w:ascii="Verdana" w:hAnsi="Verdana"/>
          <w:sz w:val="20"/>
          <w:szCs w:val="20"/>
          <w:lang w:val="en-US"/>
        </w:rPr>
        <w:t xml:space="preserve"> </w:t>
      </w:r>
      <w:r w:rsidR="00EE0BD4" w:rsidRPr="00D869E3">
        <w:rPr>
          <w:rFonts w:ascii="Verdana" w:hAnsi="Verdana"/>
          <w:sz w:val="20"/>
          <w:szCs w:val="20"/>
          <w:lang w:val="en-US"/>
        </w:rPr>
        <w:t xml:space="preserve">to substantiate a </w:t>
      </w:r>
      <w:r w:rsidR="007F0648" w:rsidRPr="00D869E3">
        <w:rPr>
          <w:rFonts w:ascii="Verdana" w:hAnsi="Verdana"/>
          <w:sz w:val="20"/>
          <w:szCs w:val="20"/>
          <w:lang w:val="en-US"/>
        </w:rPr>
        <w:t>suggested infringement of the right to contest court decisions, even when th</w:t>
      </w:r>
      <w:r w:rsidR="005169B2" w:rsidRPr="00D869E3">
        <w:rPr>
          <w:rFonts w:ascii="Verdana" w:hAnsi="Verdana"/>
          <w:sz w:val="20"/>
          <w:szCs w:val="20"/>
          <w:lang w:val="en-US"/>
        </w:rPr>
        <w:t>o</w:t>
      </w:r>
      <w:r w:rsidR="007F0648" w:rsidRPr="00D869E3">
        <w:rPr>
          <w:rFonts w:ascii="Verdana" w:hAnsi="Verdana"/>
          <w:sz w:val="20"/>
          <w:szCs w:val="20"/>
          <w:lang w:val="en-US"/>
        </w:rPr>
        <w:t xml:space="preserve">se facts were not considered in the Commission’s Merits Report. Consequently, it asked the Court to establish that the arguments presented by the representatives regarding </w:t>
      </w:r>
      <w:r w:rsidR="005169B2" w:rsidRPr="00D869E3">
        <w:rPr>
          <w:rFonts w:ascii="Verdana" w:hAnsi="Verdana"/>
          <w:sz w:val="20"/>
          <w:szCs w:val="20"/>
          <w:lang w:val="en-US"/>
        </w:rPr>
        <w:t>violations</w:t>
      </w:r>
      <w:r w:rsidR="007F0648" w:rsidRPr="00D869E3">
        <w:rPr>
          <w:rFonts w:ascii="Verdana" w:hAnsi="Verdana"/>
          <w:sz w:val="20"/>
          <w:szCs w:val="20"/>
          <w:lang w:val="en-US"/>
        </w:rPr>
        <w:t xml:space="preserve"> of the right to be heard by a judge or court, and the right to contest decisions, as well as the new facts and context mentioned by </w:t>
      </w:r>
      <w:r w:rsidR="00687684" w:rsidRPr="00D869E3">
        <w:rPr>
          <w:rFonts w:ascii="Verdana" w:hAnsi="Verdana"/>
          <w:sz w:val="20"/>
          <w:szCs w:val="20"/>
          <w:lang w:val="en-US"/>
        </w:rPr>
        <w:t>the representatives</w:t>
      </w:r>
      <w:r w:rsidR="00154B4B" w:rsidRPr="00D869E3">
        <w:rPr>
          <w:rFonts w:ascii="Verdana" w:hAnsi="Verdana"/>
          <w:sz w:val="20"/>
          <w:szCs w:val="20"/>
          <w:lang w:val="en-US"/>
        </w:rPr>
        <w:t xml:space="preserve">, </w:t>
      </w:r>
      <w:r w:rsidR="007F0648" w:rsidRPr="00D869E3">
        <w:rPr>
          <w:rFonts w:ascii="Verdana" w:hAnsi="Verdana"/>
          <w:sz w:val="20"/>
          <w:szCs w:val="20"/>
          <w:lang w:val="en-US"/>
        </w:rPr>
        <w:t xml:space="preserve">were not considered </w:t>
      </w:r>
      <w:r w:rsidR="005169B2" w:rsidRPr="00D869E3">
        <w:rPr>
          <w:rFonts w:ascii="Verdana" w:hAnsi="Verdana"/>
          <w:sz w:val="20"/>
          <w:szCs w:val="20"/>
          <w:lang w:val="en-US"/>
        </w:rPr>
        <w:t xml:space="preserve">to be </w:t>
      </w:r>
      <w:r w:rsidR="007F0648" w:rsidRPr="00D869E3">
        <w:rPr>
          <w:rFonts w:ascii="Verdana" w:hAnsi="Verdana"/>
          <w:sz w:val="20"/>
          <w:szCs w:val="20"/>
          <w:lang w:val="en-US"/>
        </w:rPr>
        <w:t>part of the dispute.</w:t>
      </w:r>
    </w:p>
    <w:p w14:paraId="7FF10F71" w14:textId="77777777" w:rsidR="00154B4B" w:rsidRPr="00D869E3" w:rsidRDefault="00154B4B" w:rsidP="001B45F8">
      <w:pPr>
        <w:ind w:hanging="11"/>
        <w:jc w:val="both"/>
        <w:rPr>
          <w:rFonts w:ascii="Verdana" w:hAnsi="Verdana"/>
          <w:sz w:val="20"/>
          <w:szCs w:val="20"/>
          <w:lang w:val="en-US"/>
        </w:rPr>
      </w:pPr>
    </w:p>
    <w:p w14:paraId="5DEA5344" w14:textId="6D68AA25" w:rsidR="00154B4B" w:rsidRPr="00D869E3" w:rsidRDefault="006436CA" w:rsidP="00E66DD7">
      <w:pPr>
        <w:pStyle w:val="Prrafodelista"/>
        <w:numPr>
          <w:ilvl w:val="0"/>
          <w:numId w:val="17"/>
        </w:numPr>
        <w:ind w:hanging="11"/>
        <w:jc w:val="both"/>
        <w:rPr>
          <w:rFonts w:ascii="Verdana" w:hAnsi="Verdana"/>
          <w:sz w:val="20"/>
          <w:szCs w:val="20"/>
          <w:lang w:val="en-US"/>
        </w:rPr>
      </w:pPr>
      <w:r w:rsidRPr="00D869E3">
        <w:rPr>
          <w:rFonts w:ascii="Verdana" w:hAnsi="Verdana"/>
          <w:i/>
          <w:sz w:val="20"/>
          <w:szCs w:val="20"/>
          <w:lang w:val="en-US"/>
        </w:rPr>
        <w:t>“</w:t>
      </w:r>
      <w:r w:rsidR="007F0648" w:rsidRPr="00D869E3">
        <w:rPr>
          <w:rFonts w:ascii="Verdana" w:hAnsi="Verdana"/>
          <w:i/>
          <w:sz w:val="20"/>
          <w:szCs w:val="20"/>
          <w:lang w:val="en-US"/>
        </w:rPr>
        <w:t>Undue</w:t>
      </w:r>
      <w:r w:rsidR="00154B4B" w:rsidRPr="00D869E3">
        <w:rPr>
          <w:rFonts w:ascii="Verdana" w:hAnsi="Verdana"/>
          <w:i/>
          <w:sz w:val="20"/>
          <w:szCs w:val="20"/>
          <w:lang w:val="en-US"/>
        </w:rPr>
        <w:t xml:space="preserve"> </w:t>
      </w:r>
      <w:r w:rsidR="007F0648" w:rsidRPr="00D869E3">
        <w:rPr>
          <w:rFonts w:ascii="Verdana" w:hAnsi="Verdana"/>
          <w:i/>
          <w:sz w:val="20"/>
          <w:szCs w:val="20"/>
          <w:lang w:val="en-US"/>
        </w:rPr>
        <w:t>inclusion of additional presumed victims in the motions and pleadings brief.</w:t>
      </w:r>
      <w:r w:rsidRPr="00D869E3">
        <w:rPr>
          <w:rFonts w:ascii="Verdana" w:hAnsi="Verdana"/>
          <w:i/>
          <w:sz w:val="20"/>
          <w:szCs w:val="20"/>
          <w:lang w:val="en-US"/>
        </w:rPr>
        <w:t>”</w:t>
      </w:r>
      <w:r w:rsidR="007F0648" w:rsidRPr="00D869E3">
        <w:rPr>
          <w:rFonts w:ascii="Verdana" w:hAnsi="Verdana"/>
          <w:i/>
          <w:sz w:val="20"/>
          <w:szCs w:val="20"/>
          <w:lang w:val="en-US"/>
        </w:rPr>
        <w:t xml:space="preserve"> </w:t>
      </w:r>
      <w:r w:rsidR="007F0648" w:rsidRPr="00D869E3">
        <w:rPr>
          <w:rFonts w:ascii="Verdana" w:hAnsi="Verdana"/>
          <w:sz w:val="20"/>
          <w:szCs w:val="20"/>
          <w:lang w:val="en-US"/>
        </w:rPr>
        <w:t>The S</w:t>
      </w:r>
      <w:r w:rsidR="00447C65" w:rsidRPr="00D869E3">
        <w:rPr>
          <w:rFonts w:ascii="Verdana" w:hAnsi="Verdana"/>
          <w:sz w:val="20"/>
          <w:szCs w:val="20"/>
          <w:lang w:val="en-US"/>
        </w:rPr>
        <w:t>tate</w:t>
      </w:r>
      <w:r w:rsidR="00154B4B" w:rsidRPr="00D869E3">
        <w:rPr>
          <w:rFonts w:ascii="Verdana" w:hAnsi="Verdana"/>
          <w:sz w:val="20"/>
          <w:szCs w:val="20"/>
          <w:lang w:val="en-US"/>
        </w:rPr>
        <w:t xml:space="preserve"> a</w:t>
      </w:r>
      <w:r w:rsidR="007F0648" w:rsidRPr="00D869E3">
        <w:rPr>
          <w:rFonts w:ascii="Verdana" w:hAnsi="Verdana"/>
          <w:sz w:val="20"/>
          <w:szCs w:val="20"/>
          <w:lang w:val="en-US"/>
        </w:rPr>
        <w:t xml:space="preserve">rgued that </w:t>
      </w:r>
      <w:r w:rsidR="005169B2" w:rsidRPr="00D869E3">
        <w:rPr>
          <w:rFonts w:ascii="Verdana" w:hAnsi="Verdana"/>
          <w:sz w:val="20"/>
          <w:szCs w:val="20"/>
          <w:lang w:val="en-US"/>
        </w:rPr>
        <w:t xml:space="preserve">the </w:t>
      </w:r>
      <w:r w:rsidR="007F0648" w:rsidRPr="00D869E3">
        <w:rPr>
          <w:rFonts w:ascii="Verdana" w:hAnsi="Verdana"/>
          <w:sz w:val="20"/>
          <w:szCs w:val="20"/>
          <w:lang w:val="en-US"/>
        </w:rPr>
        <w:t>presumed victims are those indicated b</w:t>
      </w:r>
      <w:r w:rsidR="005169B2" w:rsidRPr="00D869E3">
        <w:rPr>
          <w:rFonts w:ascii="Verdana" w:hAnsi="Verdana"/>
          <w:sz w:val="20"/>
          <w:szCs w:val="20"/>
          <w:lang w:val="en-US"/>
        </w:rPr>
        <w:t>y</w:t>
      </w:r>
      <w:r w:rsidR="00154B4B"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154B4B" w:rsidRPr="00D869E3">
        <w:rPr>
          <w:rFonts w:ascii="Verdana" w:hAnsi="Verdana"/>
          <w:sz w:val="20"/>
          <w:szCs w:val="20"/>
          <w:lang w:val="en-US"/>
        </w:rPr>
        <w:t xml:space="preserve"> </w:t>
      </w:r>
      <w:r w:rsidR="007F0648" w:rsidRPr="00D869E3">
        <w:rPr>
          <w:rFonts w:ascii="Verdana" w:hAnsi="Verdana"/>
          <w:sz w:val="20"/>
          <w:szCs w:val="20"/>
          <w:lang w:val="en-US"/>
        </w:rPr>
        <w:t>in the</w:t>
      </w:r>
      <w:r w:rsidR="00154B4B"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154B4B" w:rsidRPr="00D869E3">
        <w:rPr>
          <w:rFonts w:ascii="Verdana" w:hAnsi="Verdana"/>
          <w:sz w:val="20"/>
          <w:szCs w:val="20"/>
          <w:lang w:val="en-US"/>
        </w:rPr>
        <w:t>,</w:t>
      </w:r>
      <w:r w:rsidR="007F0648" w:rsidRPr="00D869E3">
        <w:rPr>
          <w:rFonts w:ascii="Verdana" w:hAnsi="Verdana"/>
          <w:sz w:val="20"/>
          <w:szCs w:val="20"/>
          <w:lang w:val="en-US"/>
        </w:rPr>
        <w:t xml:space="preserve"> which, in this case, only considered</w:t>
      </w:r>
      <w:r w:rsidR="00EE0BD4" w:rsidRPr="00D869E3">
        <w:rPr>
          <w:rFonts w:ascii="Verdana" w:hAnsi="Verdana"/>
          <w:sz w:val="20"/>
          <w:szCs w:val="20"/>
          <w:lang w:val="en-US"/>
        </w:rPr>
        <w:t xml:space="preserve"> Mr. Lagos</w:t>
      </w:r>
      <w:r w:rsidR="00154B4B" w:rsidRPr="00D869E3">
        <w:rPr>
          <w:rFonts w:ascii="Verdana" w:hAnsi="Verdana"/>
          <w:sz w:val="20"/>
          <w:szCs w:val="20"/>
          <w:lang w:val="en-US"/>
        </w:rPr>
        <w:t xml:space="preserve"> del Campo</w:t>
      </w:r>
      <w:r w:rsidR="007F0648" w:rsidRPr="00D869E3">
        <w:rPr>
          <w:rFonts w:ascii="Verdana" w:hAnsi="Verdana"/>
          <w:sz w:val="20"/>
          <w:szCs w:val="20"/>
          <w:lang w:val="en-US"/>
        </w:rPr>
        <w:t xml:space="preserve"> as a presumed victim</w:t>
      </w:r>
      <w:r w:rsidR="00154B4B" w:rsidRPr="00D869E3">
        <w:rPr>
          <w:rFonts w:ascii="Verdana" w:hAnsi="Verdana"/>
          <w:sz w:val="20"/>
          <w:szCs w:val="20"/>
          <w:lang w:val="en-US"/>
        </w:rPr>
        <w:t xml:space="preserve">. </w:t>
      </w:r>
      <w:r w:rsidR="007F0648" w:rsidRPr="00D869E3">
        <w:rPr>
          <w:rFonts w:ascii="Verdana" w:hAnsi="Verdana"/>
          <w:sz w:val="20"/>
          <w:szCs w:val="20"/>
          <w:lang w:val="en-US"/>
        </w:rPr>
        <w:t xml:space="preserve">Consequently, the State </w:t>
      </w:r>
      <w:r w:rsidR="005169B2" w:rsidRPr="00D869E3">
        <w:rPr>
          <w:rFonts w:ascii="Verdana" w:hAnsi="Verdana"/>
          <w:sz w:val="20"/>
          <w:szCs w:val="20"/>
          <w:lang w:val="en-US"/>
        </w:rPr>
        <w:t>contested</w:t>
      </w:r>
      <w:r w:rsidR="007F0648" w:rsidRPr="00D869E3">
        <w:rPr>
          <w:rFonts w:ascii="Verdana" w:hAnsi="Verdana"/>
          <w:sz w:val="20"/>
          <w:szCs w:val="20"/>
          <w:lang w:val="en-US"/>
        </w:rPr>
        <w:t xml:space="preserve"> the inclusion of presumed victims by </w:t>
      </w:r>
      <w:r w:rsidR="00687684" w:rsidRPr="00D869E3">
        <w:rPr>
          <w:rFonts w:ascii="Verdana" w:hAnsi="Verdana"/>
          <w:sz w:val="20"/>
          <w:szCs w:val="20"/>
          <w:lang w:val="en-US"/>
        </w:rPr>
        <w:t>the representatives</w:t>
      </w:r>
      <w:r w:rsidR="007F0648" w:rsidRPr="00D869E3">
        <w:rPr>
          <w:rFonts w:ascii="Verdana" w:hAnsi="Verdana"/>
          <w:sz w:val="20"/>
          <w:szCs w:val="20"/>
          <w:lang w:val="en-US"/>
        </w:rPr>
        <w:t xml:space="preserve"> in whose favor they </w:t>
      </w:r>
      <w:r w:rsidR="005169B2" w:rsidRPr="00D869E3">
        <w:rPr>
          <w:rFonts w:ascii="Verdana" w:hAnsi="Verdana"/>
          <w:sz w:val="20"/>
          <w:szCs w:val="20"/>
          <w:lang w:val="en-US"/>
        </w:rPr>
        <w:t xml:space="preserve">had </w:t>
      </w:r>
      <w:r w:rsidR="007F0648" w:rsidRPr="00D869E3">
        <w:rPr>
          <w:rFonts w:ascii="Verdana" w:hAnsi="Verdana"/>
          <w:sz w:val="20"/>
          <w:szCs w:val="20"/>
          <w:lang w:val="en-US"/>
        </w:rPr>
        <w:t>request</w:t>
      </w:r>
      <w:r w:rsidR="005169B2" w:rsidRPr="00D869E3">
        <w:rPr>
          <w:rFonts w:ascii="Verdana" w:hAnsi="Verdana"/>
          <w:sz w:val="20"/>
          <w:szCs w:val="20"/>
          <w:lang w:val="en-US"/>
        </w:rPr>
        <w:t>ed</w:t>
      </w:r>
      <w:r w:rsidR="007F0648" w:rsidRPr="00D869E3">
        <w:rPr>
          <w:rFonts w:ascii="Verdana" w:hAnsi="Verdana"/>
          <w:sz w:val="20"/>
          <w:szCs w:val="20"/>
          <w:lang w:val="en-US"/>
        </w:rPr>
        <w:t xml:space="preserve"> measures of reparation, because they </w:t>
      </w:r>
      <w:r w:rsidR="005169B2" w:rsidRPr="00D869E3">
        <w:rPr>
          <w:rFonts w:ascii="Verdana" w:hAnsi="Verdana"/>
          <w:sz w:val="20"/>
          <w:szCs w:val="20"/>
          <w:lang w:val="en-US"/>
        </w:rPr>
        <w:t>were not</w:t>
      </w:r>
      <w:r w:rsidR="007F0648" w:rsidRPr="00D869E3">
        <w:rPr>
          <w:rFonts w:ascii="Verdana" w:hAnsi="Verdana"/>
          <w:sz w:val="20"/>
          <w:szCs w:val="20"/>
          <w:lang w:val="en-US"/>
        </w:rPr>
        <w:t xml:space="preserve"> considered in the Commission’s</w:t>
      </w:r>
      <w:r w:rsidR="00154B4B"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154B4B" w:rsidRPr="00D869E3">
        <w:rPr>
          <w:rFonts w:ascii="Verdana" w:hAnsi="Verdana"/>
          <w:sz w:val="20"/>
          <w:szCs w:val="20"/>
          <w:lang w:val="en-US"/>
        </w:rPr>
        <w:t>.</w:t>
      </w:r>
    </w:p>
    <w:p w14:paraId="0189433B" w14:textId="77777777" w:rsidR="00154B4B" w:rsidRPr="00D869E3" w:rsidRDefault="00154B4B" w:rsidP="00154B4B">
      <w:pPr>
        <w:pStyle w:val="Prrafodelista"/>
        <w:ind w:left="0"/>
        <w:jc w:val="both"/>
        <w:rPr>
          <w:rFonts w:ascii="Verdana" w:hAnsi="Verdana"/>
          <w:sz w:val="20"/>
          <w:szCs w:val="20"/>
          <w:lang w:val="en-US"/>
        </w:rPr>
      </w:pPr>
    </w:p>
    <w:p w14:paraId="09E4D4A7" w14:textId="153F2D00" w:rsidR="00154B4B" w:rsidRPr="00D869E3" w:rsidRDefault="00447C65" w:rsidP="001D1B96">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154B4B" w:rsidRPr="00D869E3">
        <w:rPr>
          <w:rFonts w:ascii="Verdana" w:hAnsi="Verdana"/>
          <w:b/>
          <w:sz w:val="20"/>
          <w:szCs w:val="20"/>
          <w:lang w:val="en-US"/>
        </w:rPr>
        <w:t xml:space="preserve"> </w:t>
      </w:r>
      <w:r w:rsidR="001D1B96" w:rsidRPr="00D869E3">
        <w:rPr>
          <w:rFonts w:ascii="Verdana" w:hAnsi="Verdana"/>
          <w:sz w:val="20"/>
          <w:szCs w:val="20"/>
          <w:lang w:val="en-US"/>
        </w:rPr>
        <w:t xml:space="preserve">argued that the allegations: (a) review of the legality with regard to the Commission’s report and (b) failure to exhaust domestic remedies referred to </w:t>
      </w:r>
      <w:r w:rsidR="00CE3F0D" w:rsidRPr="00D869E3">
        <w:rPr>
          <w:rFonts w:ascii="Verdana" w:hAnsi="Verdana"/>
          <w:sz w:val="20"/>
          <w:szCs w:val="20"/>
          <w:lang w:val="en-US"/>
        </w:rPr>
        <w:t>preliminary objections</w:t>
      </w:r>
      <w:r w:rsidR="00154B4B" w:rsidRPr="00D869E3">
        <w:rPr>
          <w:rFonts w:ascii="Verdana" w:hAnsi="Verdana"/>
          <w:sz w:val="20"/>
          <w:szCs w:val="20"/>
          <w:lang w:val="en-US"/>
        </w:rPr>
        <w:t xml:space="preserve"> </w:t>
      </w:r>
      <w:r w:rsidR="001D1B96" w:rsidRPr="00D869E3">
        <w:rPr>
          <w:rFonts w:ascii="Verdana" w:hAnsi="Verdana"/>
          <w:sz w:val="20"/>
          <w:szCs w:val="20"/>
          <w:lang w:val="en-US"/>
        </w:rPr>
        <w:t>that the State did not present at the proper procedural opportunity and, therefore, should be rejected as time-barred. In addition, it observed that the allegations: (c) inclusion of Article 16 in the Merits Report, and (d) the Commission’s lack of competence to assume a fourth instance role, were not preliminary objections, b</w:t>
      </w:r>
      <w:r w:rsidR="005169B2" w:rsidRPr="00D869E3">
        <w:rPr>
          <w:rFonts w:ascii="Verdana" w:hAnsi="Verdana"/>
          <w:sz w:val="20"/>
          <w:szCs w:val="20"/>
          <w:lang w:val="en-US"/>
        </w:rPr>
        <w:t>ut</w:t>
      </w:r>
      <w:r w:rsidR="001D1B96" w:rsidRPr="00D869E3">
        <w:rPr>
          <w:rFonts w:ascii="Verdana" w:hAnsi="Verdana"/>
          <w:sz w:val="20"/>
          <w:szCs w:val="20"/>
          <w:lang w:val="en-US"/>
        </w:rPr>
        <w:t xml:space="preserve"> rather matters relating to the merits of the matter. Regarding allegation (e) delimitation of the legal dispute, the Commission argued that the facts that the State was trying to exclude by this allegation were included in the factual framework defined by the Commission. Lastly, with regard to argument (f) undue inclusion of presumed victims, the Commission agreed with the State that </w:t>
      </w:r>
      <w:r w:rsidR="001E44D3" w:rsidRPr="00D869E3">
        <w:rPr>
          <w:rFonts w:ascii="Verdana" w:hAnsi="Verdana"/>
          <w:sz w:val="20"/>
          <w:szCs w:val="20"/>
          <w:lang w:val="en-US"/>
        </w:rPr>
        <w:t>Mr. Lagos del Campo</w:t>
      </w:r>
      <w:r w:rsidR="00154B4B" w:rsidRPr="00D869E3">
        <w:rPr>
          <w:rFonts w:ascii="Verdana" w:hAnsi="Verdana"/>
          <w:sz w:val="20"/>
          <w:szCs w:val="20"/>
          <w:lang w:val="en-US"/>
        </w:rPr>
        <w:t xml:space="preserve"> </w:t>
      </w:r>
      <w:r w:rsidR="001D1B96" w:rsidRPr="00D869E3">
        <w:rPr>
          <w:rFonts w:ascii="Verdana" w:hAnsi="Verdana"/>
          <w:sz w:val="20"/>
          <w:szCs w:val="20"/>
          <w:lang w:val="en-US"/>
        </w:rPr>
        <w:t xml:space="preserve">was the only victim declared in the </w:t>
      </w:r>
      <w:r w:rsidR="00687684" w:rsidRPr="00D869E3">
        <w:rPr>
          <w:rFonts w:ascii="Verdana" w:hAnsi="Verdana"/>
          <w:sz w:val="20"/>
          <w:szCs w:val="20"/>
          <w:lang w:val="en-US"/>
        </w:rPr>
        <w:t>Merits Report</w:t>
      </w:r>
      <w:r w:rsidR="0086485F" w:rsidRPr="00D869E3">
        <w:rPr>
          <w:rFonts w:ascii="Verdana" w:hAnsi="Verdana"/>
          <w:sz w:val="20"/>
          <w:szCs w:val="20"/>
          <w:lang w:val="en-US"/>
        </w:rPr>
        <w:t xml:space="preserve">. </w:t>
      </w:r>
      <w:r w:rsidR="001D1B96" w:rsidRPr="00D869E3">
        <w:rPr>
          <w:rFonts w:ascii="Verdana" w:hAnsi="Verdana"/>
          <w:sz w:val="20"/>
          <w:szCs w:val="20"/>
          <w:lang w:val="en-US"/>
        </w:rPr>
        <w:t>Meanwhile</w:t>
      </w:r>
      <w:r w:rsidR="00154B4B" w:rsidRPr="00D869E3">
        <w:rPr>
          <w:rFonts w:ascii="Verdana" w:hAnsi="Verdana"/>
          <w:sz w:val="20"/>
          <w:szCs w:val="20"/>
          <w:lang w:val="en-US"/>
        </w:rPr>
        <w:t xml:space="preserve">, </w:t>
      </w:r>
      <w:r w:rsidR="00687684" w:rsidRPr="00D869E3">
        <w:rPr>
          <w:rFonts w:ascii="Verdana" w:hAnsi="Verdana"/>
          <w:sz w:val="20"/>
          <w:szCs w:val="20"/>
          <w:lang w:val="en-US"/>
        </w:rPr>
        <w:t xml:space="preserve">the </w:t>
      </w:r>
      <w:r w:rsidR="00687684" w:rsidRPr="00D869E3">
        <w:rPr>
          <w:rFonts w:ascii="Verdana" w:hAnsi="Verdana"/>
          <w:b/>
          <w:bCs/>
          <w:i/>
          <w:iCs/>
          <w:sz w:val="20"/>
          <w:szCs w:val="20"/>
          <w:lang w:val="en-US"/>
        </w:rPr>
        <w:t>representatives</w:t>
      </w:r>
      <w:r w:rsidR="00154B4B" w:rsidRPr="00D869E3">
        <w:rPr>
          <w:rFonts w:ascii="Verdana" w:hAnsi="Verdana"/>
          <w:b/>
          <w:i/>
          <w:sz w:val="20"/>
          <w:szCs w:val="20"/>
          <w:lang w:val="en-US"/>
        </w:rPr>
        <w:t xml:space="preserve"> </w:t>
      </w:r>
      <w:r w:rsidR="001D1B96" w:rsidRPr="00D869E3">
        <w:rPr>
          <w:rFonts w:ascii="Verdana" w:hAnsi="Verdana"/>
          <w:sz w:val="20"/>
          <w:szCs w:val="20"/>
          <w:lang w:val="en-US"/>
        </w:rPr>
        <w:t xml:space="preserve">were in general agreement with the Commission’s position. Regarding the inclusion of additional victims, </w:t>
      </w:r>
      <w:r w:rsidR="00687684" w:rsidRPr="00D869E3">
        <w:rPr>
          <w:rFonts w:ascii="Verdana" w:hAnsi="Verdana"/>
          <w:sz w:val="20"/>
          <w:szCs w:val="20"/>
          <w:lang w:val="en-US"/>
        </w:rPr>
        <w:t>the representatives</w:t>
      </w:r>
      <w:r w:rsidR="00154B4B" w:rsidRPr="00D869E3">
        <w:rPr>
          <w:rFonts w:ascii="Verdana" w:hAnsi="Verdana"/>
          <w:sz w:val="20"/>
          <w:szCs w:val="20"/>
          <w:lang w:val="en-US"/>
        </w:rPr>
        <w:t xml:space="preserve">, </w:t>
      </w:r>
      <w:r w:rsidR="001D1B96" w:rsidRPr="00D869E3">
        <w:rPr>
          <w:rFonts w:ascii="Verdana" w:hAnsi="Verdana"/>
          <w:sz w:val="20"/>
          <w:szCs w:val="20"/>
          <w:lang w:val="en-US"/>
        </w:rPr>
        <w:t xml:space="preserve">in their brief of September 5, </w:t>
      </w:r>
      <w:r w:rsidR="00154B4B" w:rsidRPr="00D869E3">
        <w:rPr>
          <w:rFonts w:ascii="Verdana" w:hAnsi="Verdana"/>
          <w:sz w:val="20"/>
          <w:szCs w:val="20"/>
          <w:lang w:val="en-US"/>
        </w:rPr>
        <w:t>2016</w:t>
      </w:r>
      <w:r w:rsidR="001D1B96" w:rsidRPr="00D869E3">
        <w:rPr>
          <w:rFonts w:ascii="Verdana" w:hAnsi="Verdana"/>
          <w:sz w:val="20"/>
          <w:szCs w:val="20"/>
          <w:lang w:val="en-US"/>
        </w:rPr>
        <w:t>,</w:t>
      </w:r>
      <w:r w:rsidR="00154B4B" w:rsidRPr="00D869E3">
        <w:rPr>
          <w:rFonts w:ascii="Verdana" w:hAnsi="Verdana"/>
          <w:sz w:val="20"/>
          <w:szCs w:val="20"/>
          <w:lang w:val="en-US"/>
        </w:rPr>
        <w:t xml:space="preserve"> </w:t>
      </w:r>
      <w:r w:rsidR="001D1B96" w:rsidRPr="00D869E3">
        <w:rPr>
          <w:rFonts w:ascii="Verdana" w:hAnsi="Verdana"/>
          <w:sz w:val="20"/>
          <w:szCs w:val="20"/>
          <w:lang w:val="en-US"/>
        </w:rPr>
        <w:t>asked</w:t>
      </w:r>
      <w:r w:rsidR="00154B4B" w:rsidRPr="00D869E3">
        <w:rPr>
          <w:rFonts w:ascii="Verdana" w:hAnsi="Verdana"/>
          <w:sz w:val="20"/>
          <w:szCs w:val="20"/>
          <w:lang w:val="en-US"/>
        </w:rPr>
        <w:t xml:space="preserve"> </w:t>
      </w:r>
      <w:r w:rsidRPr="00D869E3">
        <w:rPr>
          <w:rFonts w:ascii="Verdana" w:hAnsi="Verdana"/>
          <w:sz w:val="20"/>
          <w:szCs w:val="20"/>
          <w:lang w:val="en-US"/>
        </w:rPr>
        <w:t>the Court</w:t>
      </w:r>
      <w:r w:rsidR="00154B4B" w:rsidRPr="00D869E3">
        <w:rPr>
          <w:rFonts w:ascii="Verdana" w:hAnsi="Verdana"/>
          <w:sz w:val="20"/>
          <w:szCs w:val="20"/>
          <w:lang w:val="en-US"/>
        </w:rPr>
        <w:t xml:space="preserve"> </w:t>
      </w:r>
      <w:r w:rsidR="001D1B96" w:rsidRPr="00D869E3">
        <w:rPr>
          <w:rFonts w:ascii="Verdana" w:hAnsi="Verdana"/>
          <w:sz w:val="20"/>
          <w:szCs w:val="20"/>
          <w:lang w:val="en-US"/>
        </w:rPr>
        <w:t>to consider that only</w:t>
      </w:r>
      <w:r w:rsidR="00EE0BD4" w:rsidRPr="00D869E3">
        <w:rPr>
          <w:rFonts w:ascii="Verdana" w:hAnsi="Verdana"/>
          <w:sz w:val="20"/>
          <w:szCs w:val="20"/>
          <w:lang w:val="en-US"/>
        </w:rPr>
        <w:t xml:space="preserve"> Mr. Lagos</w:t>
      </w:r>
      <w:r w:rsidR="00154B4B" w:rsidRPr="00D869E3">
        <w:rPr>
          <w:rFonts w:ascii="Verdana" w:hAnsi="Verdana"/>
          <w:sz w:val="20"/>
          <w:szCs w:val="20"/>
          <w:lang w:val="en-US"/>
        </w:rPr>
        <w:t xml:space="preserve"> del Campo</w:t>
      </w:r>
      <w:r w:rsidR="001D1B96" w:rsidRPr="00D869E3">
        <w:rPr>
          <w:rFonts w:ascii="Verdana" w:hAnsi="Verdana"/>
          <w:sz w:val="20"/>
          <w:szCs w:val="20"/>
          <w:lang w:val="en-US"/>
        </w:rPr>
        <w:t xml:space="preserve"> was a victim</w:t>
      </w:r>
      <w:r w:rsidR="00830CF2" w:rsidRPr="00D869E3">
        <w:rPr>
          <w:rFonts w:ascii="Verdana" w:hAnsi="Verdana"/>
          <w:sz w:val="20"/>
          <w:szCs w:val="20"/>
          <w:lang w:val="en-US"/>
        </w:rPr>
        <w:t xml:space="preserve">. </w:t>
      </w:r>
    </w:p>
    <w:p w14:paraId="2ABEB036" w14:textId="77777777" w:rsidR="00154B4B" w:rsidRPr="00D869E3" w:rsidRDefault="00154B4B" w:rsidP="00154B4B">
      <w:pPr>
        <w:jc w:val="both"/>
        <w:rPr>
          <w:rFonts w:ascii="Verdana" w:hAnsi="Verdana"/>
          <w:sz w:val="20"/>
          <w:szCs w:val="20"/>
          <w:lang w:val="en-US"/>
        </w:rPr>
      </w:pPr>
    </w:p>
    <w:p w14:paraId="707AC6AB" w14:textId="6275968A" w:rsidR="00154B4B" w:rsidRPr="00D869E3" w:rsidRDefault="001D1B96" w:rsidP="00E66DD7">
      <w:pPr>
        <w:pStyle w:val="Ttulo2"/>
        <w:numPr>
          <w:ilvl w:val="0"/>
          <w:numId w:val="8"/>
        </w:numPr>
        <w:rPr>
          <w:i/>
          <w:szCs w:val="20"/>
          <w:lang w:val="en-US"/>
        </w:rPr>
      </w:pPr>
      <w:bookmarkStart w:id="8" w:name="_Toc29114104"/>
      <w:r w:rsidRPr="00D869E3">
        <w:rPr>
          <w:i/>
          <w:szCs w:val="20"/>
          <w:lang w:val="en-US"/>
        </w:rPr>
        <w:t>Considerations</w:t>
      </w:r>
      <w:r w:rsidR="00447C65" w:rsidRPr="00D869E3">
        <w:rPr>
          <w:i/>
          <w:szCs w:val="20"/>
          <w:lang w:val="en-US"/>
        </w:rPr>
        <w:t xml:space="preserve"> of the Court</w:t>
      </w:r>
      <w:bookmarkEnd w:id="8"/>
      <w:r w:rsidR="00154B4B" w:rsidRPr="00D869E3">
        <w:rPr>
          <w:i/>
          <w:szCs w:val="20"/>
          <w:lang w:val="en-US"/>
        </w:rPr>
        <w:t xml:space="preserve"> </w:t>
      </w:r>
    </w:p>
    <w:p w14:paraId="31247569" w14:textId="77777777" w:rsidR="00154B4B" w:rsidRPr="00D869E3" w:rsidRDefault="00154B4B" w:rsidP="00154B4B">
      <w:pPr>
        <w:jc w:val="both"/>
        <w:rPr>
          <w:rFonts w:ascii="Verdana" w:hAnsi="Verdana"/>
          <w:sz w:val="20"/>
          <w:szCs w:val="20"/>
          <w:lang w:val="en-US"/>
        </w:rPr>
      </w:pPr>
    </w:p>
    <w:p w14:paraId="5EB912C9" w14:textId="4717CD60" w:rsidR="00154B4B" w:rsidRPr="00D869E3" w:rsidRDefault="00141BBB" w:rsidP="00277432">
      <w:pPr>
        <w:pStyle w:val="Prrafodelista"/>
        <w:numPr>
          <w:ilvl w:val="0"/>
          <w:numId w:val="1"/>
        </w:numPr>
        <w:ind w:left="0" w:firstLine="0"/>
        <w:jc w:val="both"/>
        <w:rPr>
          <w:rFonts w:ascii="Verdana" w:eastAsia="Verdana" w:hAnsi="Verdana" w:cs="Verdana"/>
          <w:lang w:val="en-US"/>
        </w:rPr>
      </w:pPr>
      <w:r w:rsidRPr="00D869E3">
        <w:rPr>
          <w:rFonts w:ascii="Verdana" w:hAnsi="Verdana"/>
          <w:sz w:val="20"/>
          <w:lang w:val="en-US"/>
        </w:rPr>
        <w:t>Bearing in mind</w:t>
      </w:r>
      <w:r w:rsidR="001D1B96" w:rsidRPr="00D869E3">
        <w:rPr>
          <w:rFonts w:ascii="Verdana" w:hAnsi="Verdana"/>
          <w:sz w:val="20"/>
          <w:lang w:val="en-US"/>
        </w:rPr>
        <w:t xml:space="preserve"> the diverse nature of the arguments submitted by the State, and </w:t>
      </w:r>
      <w:r w:rsidRPr="00D869E3">
        <w:rPr>
          <w:rFonts w:ascii="Verdana" w:hAnsi="Verdana"/>
          <w:sz w:val="20"/>
          <w:lang w:val="en-US"/>
        </w:rPr>
        <w:t>its</w:t>
      </w:r>
      <w:r w:rsidR="001D1B96" w:rsidRPr="00D869E3">
        <w:rPr>
          <w:rFonts w:ascii="Verdana" w:hAnsi="Verdana"/>
          <w:sz w:val="20"/>
          <w:lang w:val="en-US"/>
        </w:rPr>
        <w:t xml:space="preserve"> express assertion that the</w:t>
      </w:r>
      <w:r w:rsidRPr="00D869E3">
        <w:rPr>
          <w:rFonts w:ascii="Verdana" w:hAnsi="Verdana"/>
          <w:sz w:val="20"/>
          <w:lang w:val="en-US"/>
        </w:rPr>
        <w:t>y</w:t>
      </w:r>
      <w:r w:rsidR="001D1B96" w:rsidRPr="00D869E3">
        <w:rPr>
          <w:rFonts w:ascii="Verdana" w:hAnsi="Verdana"/>
          <w:sz w:val="20"/>
          <w:lang w:val="en-US"/>
        </w:rPr>
        <w:t xml:space="preserve"> were not submitted as preliminary objections, but rather as a request for the Court to </w:t>
      </w:r>
      <w:r w:rsidR="006436CA" w:rsidRPr="00D869E3">
        <w:rPr>
          <w:rFonts w:ascii="Verdana" w:hAnsi="Verdana"/>
          <w:sz w:val="20"/>
          <w:lang w:val="en-US"/>
        </w:rPr>
        <w:t>“</w:t>
      </w:r>
      <w:r w:rsidR="001D1B96" w:rsidRPr="00D869E3">
        <w:rPr>
          <w:rFonts w:ascii="Verdana" w:hAnsi="Verdana"/>
          <w:sz w:val="20"/>
          <w:lang w:val="en-US"/>
        </w:rPr>
        <w:t>review legality</w:t>
      </w:r>
      <w:r w:rsidR="006436CA" w:rsidRPr="00D869E3">
        <w:rPr>
          <w:rFonts w:ascii="Verdana" w:hAnsi="Verdana"/>
          <w:sz w:val="20"/>
          <w:lang w:val="en-US"/>
        </w:rPr>
        <w:t>”</w:t>
      </w:r>
      <w:r w:rsidR="001D1B96" w:rsidRPr="00D869E3">
        <w:rPr>
          <w:rFonts w:ascii="Verdana" w:hAnsi="Verdana"/>
          <w:sz w:val="20"/>
          <w:lang w:val="en-US"/>
        </w:rPr>
        <w:t xml:space="preserve"> and respond to </w:t>
      </w:r>
      <w:r w:rsidR="00277432" w:rsidRPr="00D869E3">
        <w:rPr>
          <w:rFonts w:ascii="Verdana" w:hAnsi="Verdana"/>
          <w:sz w:val="20"/>
          <w:lang w:val="en-US"/>
        </w:rPr>
        <w:t xml:space="preserve">certain </w:t>
      </w:r>
      <w:r w:rsidR="006436CA" w:rsidRPr="00D869E3">
        <w:rPr>
          <w:rFonts w:ascii="Verdana" w:hAnsi="Verdana"/>
          <w:sz w:val="20"/>
          <w:lang w:val="en-US"/>
        </w:rPr>
        <w:t>“</w:t>
      </w:r>
      <w:r w:rsidR="00277432" w:rsidRPr="00D869E3">
        <w:rPr>
          <w:rFonts w:ascii="Verdana" w:hAnsi="Verdana"/>
          <w:sz w:val="20"/>
          <w:lang w:val="en-US"/>
        </w:rPr>
        <w:t>procedural questions,</w:t>
      </w:r>
      <w:r w:rsidR="006436CA" w:rsidRPr="00D869E3">
        <w:rPr>
          <w:rFonts w:ascii="Verdana" w:hAnsi="Verdana"/>
          <w:sz w:val="20"/>
          <w:lang w:val="en-US"/>
        </w:rPr>
        <w:t>”</w:t>
      </w:r>
      <w:r w:rsidR="00277432" w:rsidRPr="00D869E3">
        <w:rPr>
          <w:rFonts w:ascii="Verdana" w:hAnsi="Verdana"/>
          <w:sz w:val="20"/>
          <w:lang w:val="en-US"/>
        </w:rPr>
        <w:t xml:space="preserve"> the Court recalls th</w:t>
      </w:r>
      <w:r w:rsidRPr="00D869E3">
        <w:rPr>
          <w:rFonts w:ascii="Verdana" w:hAnsi="Verdana"/>
          <w:sz w:val="20"/>
          <w:lang w:val="en-US"/>
        </w:rPr>
        <w:t>at</w:t>
      </w:r>
      <w:r w:rsidR="00277432" w:rsidRPr="00D869E3">
        <w:rPr>
          <w:rFonts w:ascii="Verdana" w:hAnsi="Verdana"/>
          <w:sz w:val="20"/>
          <w:lang w:val="en-US"/>
        </w:rPr>
        <w:t xml:space="preserve"> preliminary objections are objections to the admissibility of a </w:t>
      </w:r>
      <w:r w:rsidRPr="00D869E3">
        <w:rPr>
          <w:rFonts w:ascii="Verdana" w:hAnsi="Verdana"/>
          <w:sz w:val="20"/>
          <w:lang w:val="en-US"/>
        </w:rPr>
        <w:t>petition</w:t>
      </w:r>
      <w:r w:rsidR="00277432" w:rsidRPr="00D869E3">
        <w:rPr>
          <w:rFonts w:ascii="Verdana" w:hAnsi="Verdana"/>
          <w:sz w:val="20"/>
          <w:lang w:val="en-US"/>
        </w:rPr>
        <w:t xml:space="preserve"> or to the </w:t>
      </w:r>
      <w:r w:rsidRPr="00D869E3">
        <w:rPr>
          <w:rFonts w:ascii="Verdana" w:hAnsi="Verdana"/>
          <w:sz w:val="20"/>
          <w:lang w:val="en-US"/>
        </w:rPr>
        <w:lastRenderedPageBreak/>
        <w:t>competence of the Court</w:t>
      </w:r>
      <w:r w:rsidR="00277432" w:rsidRPr="00D869E3">
        <w:rPr>
          <w:rFonts w:ascii="Verdana" w:hAnsi="Verdana"/>
          <w:sz w:val="20"/>
          <w:lang w:val="en-US"/>
        </w:rPr>
        <w:t xml:space="preserve"> to hear a specific case or any of its aspects, </w:t>
      </w:r>
      <w:r w:rsidRPr="00D869E3">
        <w:rPr>
          <w:rFonts w:ascii="Verdana" w:hAnsi="Verdana"/>
          <w:sz w:val="20"/>
          <w:lang w:val="en-US"/>
        </w:rPr>
        <w:t>based on</w:t>
      </w:r>
      <w:r w:rsidR="00277432" w:rsidRPr="00D869E3">
        <w:rPr>
          <w:rFonts w:ascii="Verdana" w:hAnsi="Verdana"/>
          <w:sz w:val="20"/>
          <w:lang w:val="en-US"/>
        </w:rPr>
        <w:t xml:space="preserve"> the person, matter, time or place, provided that </w:t>
      </w:r>
      <w:r w:rsidRPr="00D869E3">
        <w:rPr>
          <w:rFonts w:ascii="Verdana" w:hAnsi="Verdana"/>
          <w:sz w:val="20"/>
          <w:lang w:val="en-US"/>
        </w:rPr>
        <w:t>such</w:t>
      </w:r>
      <w:r w:rsidR="00277432" w:rsidRPr="00D869E3">
        <w:rPr>
          <w:rFonts w:ascii="Verdana" w:hAnsi="Verdana"/>
          <w:sz w:val="20"/>
          <w:lang w:val="en-US"/>
        </w:rPr>
        <w:t xml:space="preserve"> considerations are of a preliminary nature.</w:t>
      </w:r>
      <w:r w:rsidR="00154B4B" w:rsidRPr="00D869E3">
        <w:rPr>
          <w:rFonts w:ascii="Verdana" w:eastAsia="Verdana" w:hAnsi="Verdana" w:cs="Verdana"/>
          <w:sz w:val="20"/>
          <w:vertAlign w:val="superscript"/>
          <w:lang w:val="en-US"/>
        </w:rPr>
        <w:footnoteReference w:id="11"/>
      </w:r>
      <w:r w:rsidR="00277432" w:rsidRPr="00D869E3">
        <w:rPr>
          <w:rFonts w:ascii="Verdana" w:hAnsi="Verdana"/>
          <w:sz w:val="20"/>
          <w:szCs w:val="20"/>
          <w:lang w:val="en-US"/>
        </w:rPr>
        <w:t xml:space="preserve"> Therefore, regardless of how the State describes them in its briefs, if</w:t>
      </w:r>
      <w:r w:rsidRPr="00D869E3">
        <w:rPr>
          <w:rFonts w:ascii="Verdana" w:hAnsi="Verdana"/>
          <w:sz w:val="20"/>
          <w:szCs w:val="20"/>
          <w:lang w:val="en-US"/>
        </w:rPr>
        <w:t>,</w:t>
      </w:r>
      <w:r w:rsidR="00277432" w:rsidRPr="00D869E3">
        <w:rPr>
          <w:rFonts w:ascii="Verdana" w:hAnsi="Verdana"/>
          <w:sz w:val="20"/>
          <w:szCs w:val="20"/>
          <w:lang w:val="en-US"/>
        </w:rPr>
        <w:t xml:space="preserve"> </w:t>
      </w:r>
      <w:r w:rsidRPr="00D869E3">
        <w:rPr>
          <w:rFonts w:ascii="Verdana" w:hAnsi="Verdana"/>
          <w:sz w:val="20"/>
          <w:szCs w:val="20"/>
          <w:lang w:val="en-US"/>
        </w:rPr>
        <w:t>on examination,</w:t>
      </w:r>
      <w:r w:rsidR="00277432" w:rsidRPr="00D869E3">
        <w:rPr>
          <w:rFonts w:ascii="Verdana" w:hAnsi="Verdana"/>
          <w:sz w:val="20"/>
          <w:szCs w:val="20"/>
          <w:lang w:val="en-US"/>
        </w:rPr>
        <w:t xml:space="preserve"> it is determined that the</w:t>
      </w:r>
      <w:r w:rsidRPr="00D869E3">
        <w:rPr>
          <w:rFonts w:ascii="Verdana" w:hAnsi="Verdana"/>
          <w:sz w:val="20"/>
          <w:szCs w:val="20"/>
          <w:lang w:val="en-US"/>
        </w:rPr>
        <w:t xml:space="preserve"> considerations</w:t>
      </w:r>
      <w:r w:rsidR="00277432" w:rsidRPr="00D869E3">
        <w:rPr>
          <w:rFonts w:ascii="Verdana" w:hAnsi="Verdana"/>
          <w:sz w:val="20"/>
          <w:szCs w:val="20"/>
          <w:lang w:val="en-US"/>
        </w:rPr>
        <w:t xml:space="preserve"> are of the nature of a preliminary objection – that is, they contest the admissibility of the </w:t>
      </w:r>
      <w:r w:rsidRPr="00D869E3">
        <w:rPr>
          <w:rFonts w:ascii="Verdana" w:hAnsi="Verdana"/>
          <w:sz w:val="20"/>
          <w:szCs w:val="20"/>
          <w:lang w:val="en-US"/>
        </w:rPr>
        <w:t>petition</w:t>
      </w:r>
      <w:r w:rsidR="00277432" w:rsidRPr="00D869E3">
        <w:rPr>
          <w:rFonts w:ascii="Verdana" w:hAnsi="Verdana"/>
          <w:sz w:val="20"/>
          <w:szCs w:val="20"/>
          <w:lang w:val="en-US"/>
        </w:rPr>
        <w:t xml:space="preserve"> or the </w:t>
      </w:r>
      <w:r w:rsidRPr="00D869E3">
        <w:rPr>
          <w:rFonts w:ascii="Verdana" w:hAnsi="Verdana"/>
          <w:sz w:val="20"/>
          <w:szCs w:val="20"/>
          <w:lang w:val="en-US"/>
        </w:rPr>
        <w:t xml:space="preserve">Court’s </w:t>
      </w:r>
      <w:r w:rsidR="00277432" w:rsidRPr="00D869E3">
        <w:rPr>
          <w:rFonts w:ascii="Verdana" w:hAnsi="Verdana"/>
          <w:sz w:val="20"/>
          <w:szCs w:val="20"/>
          <w:lang w:val="en-US"/>
        </w:rPr>
        <w:t>competence to hear the case or any of its aspects – then, it must be decided as such.</w:t>
      </w:r>
      <w:r w:rsidR="00154B4B" w:rsidRPr="00D869E3">
        <w:rPr>
          <w:rFonts w:ascii="Verdana" w:eastAsia="Verdana" w:hAnsi="Verdana" w:cs="Verdana"/>
          <w:sz w:val="20"/>
          <w:vertAlign w:val="superscript"/>
          <w:lang w:val="en-US"/>
        </w:rPr>
        <w:footnoteReference w:id="12"/>
      </w:r>
    </w:p>
    <w:p w14:paraId="1C9EDB0C" w14:textId="77777777" w:rsidR="00AA35B1" w:rsidRPr="00D869E3" w:rsidRDefault="00AA35B1" w:rsidP="00AA35B1">
      <w:pPr>
        <w:pStyle w:val="Prrafodelista"/>
        <w:ind w:left="0"/>
        <w:jc w:val="both"/>
        <w:rPr>
          <w:rFonts w:ascii="Verdana" w:eastAsia="Verdana" w:hAnsi="Verdana" w:cs="Verdana"/>
          <w:lang w:val="en-US"/>
        </w:rPr>
      </w:pPr>
    </w:p>
    <w:p w14:paraId="5DED06D8" w14:textId="3577DAEC" w:rsidR="00AA35B1" w:rsidRPr="00D869E3" w:rsidRDefault="00277432" w:rsidP="00277432">
      <w:pPr>
        <w:pStyle w:val="Prrafodelista"/>
        <w:numPr>
          <w:ilvl w:val="0"/>
          <w:numId w:val="1"/>
        </w:numPr>
        <w:ind w:left="0" w:firstLine="0"/>
        <w:jc w:val="both"/>
        <w:rPr>
          <w:rFonts w:ascii="Verdana" w:eastAsia="Verdana" w:hAnsi="Verdana" w:cs="Verdana"/>
          <w:lang w:val="en-US"/>
        </w:rPr>
      </w:pPr>
      <w:r w:rsidRPr="00D869E3">
        <w:rPr>
          <w:rFonts w:ascii="Verdana" w:hAnsi="Verdana"/>
          <w:sz w:val="20"/>
          <w:lang w:val="en-US"/>
        </w:rPr>
        <w:t xml:space="preserve">In this case, the Court points out that the State’s arguments, </w:t>
      </w:r>
      <w:r w:rsidRPr="00D869E3">
        <w:rPr>
          <w:rFonts w:ascii="Verdana" w:hAnsi="Verdana"/>
          <w:sz w:val="20"/>
          <w:szCs w:val="20"/>
          <w:lang w:val="en-US"/>
        </w:rPr>
        <w:t>(a) review of legality with regard to the Commission’s report and (b) failure to exhaust domestic remedies</w:t>
      </w:r>
      <w:r w:rsidR="001C0C19" w:rsidRPr="00D869E3">
        <w:rPr>
          <w:rFonts w:ascii="Verdana" w:hAnsi="Verdana"/>
          <w:sz w:val="20"/>
          <w:szCs w:val="20"/>
          <w:lang w:val="en-US"/>
        </w:rPr>
        <w:t>,</w:t>
      </w:r>
      <w:r w:rsidRPr="00D869E3">
        <w:rPr>
          <w:rFonts w:ascii="Verdana" w:hAnsi="Verdana"/>
          <w:sz w:val="20"/>
          <w:szCs w:val="20"/>
          <w:lang w:val="en-US"/>
        </w:rPr>
        <w:t xml:space="preserve"> relate to </w:t>
      </w:r>
      <w:r w:rsidR="001C0C19" w:rsidRPr="00D869E3">
        <w:rPr>
          <w:rFonts w:ascii="Verdana" w:hAnsi="Verdana"/>
          <w:sz w:val="20"/>
          <w:szCs w:val="20"/>
          <w:lang w:val="en-US"/>
        </w:rPr>
        <w:t xml:space="preserve">the Commission’s </w:t>
      </w:r>
      <w:r w:rsidRPr="00D869E3">
        <w:rPr>
          <w:rFonts w:ascii="Verdana" w:hAnsi="Verdana"/>
          <w:sz w:val="20"/>
          <w:szCs w:val="20"/>
          <w:lang w:val="en-US"/>
        </w:rPr>
        <w:t xml:space="preserve">alleged </w:t>
      </w:r>
      <w:r w:rsidR="001C0C19" w:rsidRPr="00D869E3">
        <w:rPr>
          <w:rFonts w:ascii="Verdana" w:hAnsi="Verdana"/>
          <w:sz w:val="20"/>
          <w:szCs w:val="20"/>
          <w:lang w:val="en-US"/>
        </w:rPr>
        <w:t>failure to comply with</w:t>
      </w:r>
      <w:r w:rsidRPr="00D869E3">
        <w:rPr>
          <w:rFonts w:ascii="Verdana" w:hAnsi="Verdana"/>
          <w:sz w:val="20"/>
          <w:szCs w:val="20"/>
          <w:lang w:val="en-US"/>
        </w:rPr>
        <w:t xml:space="preserve"> the admissibility requirements established in </w:t>
      </w:r>
      <w:r w:rsidRPr="00D869E3">
        <w:rPr>
          <w:rFonts w:ascii="Verdana" w:hAnsi="Verdana"/>
          <w:sz w:val="20"/>
          <w:lang w:val="en-US"/>
        </w:rPr>
        <w:t>Articles 46(</w:t>
      </w:r>
      <w:r w:rsidR="001C0C19" w:rsidRPr="00D869E3">
        <w:rPr>
          <w:rFonts w:ascii="Verdana" w:hAnsi="Verdana"/>
          <w:sz w:val="20"/>
          <w:lang w:val="en-US"/>
        </w:rPr>
        <w:t>1</w:t>
      </w:r>
      <w:r w:rsidRPr="00D869E3">
        <w:rPr>
          <w:rFonts w:ascii="Verdana" w:hAnsi="Verdana"/>
          <w:sz w:val="20"/>
          <w:lang w:val="en-US"/>
        </w:rPr>
        <w:t>)(a) and (b) of the Convention. Accordingly, and pursuant to its consistent case law, the Court rejects both preliminary objections because they were not submitted at the proper procedural opportunity; that is, during the admissibility procedure before the Commission.</w:t>
      </w:r>
      <w:r w:rsidRPr="00D869E3">
        <w:rPr>
          <w:rStyle w:val="Refdenotaalpie"/>
          <w:lang w:val="en-US"/>
        </w:rPr>
        <w:footnoteReference w:id="13"/>
      </w:r>
      <w:r w:rsidRPr="00D869E3">
        <w:rPr>
          <w:rFonts w:ascii="Verdana" w:hAnsi="Verdana"/>
          <w:sz w:val="20"/>
          <w:lang w:val="en-US"/>
        </w:rPr>
        <w:t xml:space="preserve"> </w:t>
      </w:r>
      <w:r w:rsidR="001C0C19" w:rsidRPr="00D869E3">
        <w:rPr>
          <w:rFonts w:ascii="Verdana" w:hAnsi="Verdana"/>
          <w:sz w:val="20"/>
          <w:lang w:val="en-US"/>
        </w:rPr>
        <w:t>Regarding</w:t>
      </w:r>
      <w:r w:rsidRPr="00D869E3">
        <w:rPr>
          <w:rFonts w:ascii="Verdana" w:hAnsi="Verdana"/>
          <w:sz w:val="20"/>
          <w:lang w:val="en-US"/>
        </w:rPr>
        <w:t xml:space="preserve"> allegation </w:t>
      </w:r>
      <w:r w:rsidRPr="00D869E3">
        <w:rPr>
          <w:rFonts w:ascii="Verdana" w:hAnsi="Verdana"/>
          <w:sz w:val="20"/>
          <w:szCs w:val="20"/>
          <w:lang w:val="en-US"/>
        </w:rPr>
        <w:t>(d) the Commission’s lack of competence to assume a fourth instance role,</w:t>
      </w:r>
      <w:r w:rsidR="00AA35B1" w:rsidRPr="00D869E3">
        <w:rPr>
          <w:rFonts w:ascii="Verdana" w:hAnsi="Verdana"/>
          <w:sz w:val="20"/>
          <w:szCs w:val="20"/>
          <w:lang w:val="en-US"/>
        </w:rPr>
        <w:t xml:space="preserve"> the Court notes that the State’s request does not seek to contest the admissibility of the case by this Court, and does not allege that its right to defend itself has been violated owing to supposed irregularities committed during the procedure before the Commission; rather it is an argument </w:t>
      </w:r>
      <w:r w:rsidR="001C0C19" w:rsidRPr="00D869E3">
        <w:rPr>
          <w:rFonts w:ascii="Verdana" w:hAnsi="Verdana"/>
          <w:sz w:val="20"/>
          <w:szCs w:val="20"/>
          <w:lang w:val="en-US"/>
        </w:rPr>
        <w:t>relating</w:t>
      </w:r>
      <w:r w:rsidR="00AA35B1" w:rsidRPr="00D869E3">
        <w:rPr>
          <w:rFonts w:ascii="Verdana" w:hAnsi="Verdana"/>
          <w:sz w:val="20"/>
          <w:szCs w:val="20"/>
          <w:lang w:val="en-US"/>
        </w:rPr>
        <w:t xml:space="preserve"> to the merits of the matter and, therefore, it will be decided in the corresponding section </w:t>
      </w:r>
      <w:r w:rsidR="00AA35B1" w:rsidRPr="00D869E3">
        <w:rPr>
          <w:rFonts w:ascii="Verdana" w:hAnsi="Verdana"/>
          <w:sz w:val="20"/>
          <w:lang w:val="en-US"/>
        </w:rPr>
        <w:t>(</w:t>
      </w:r>
      <w:r w:rsidR="00AA35B1" w:rsidRPr="00D869E3">
        <w:rPr>
          <w:rFonts w:ascii="Verdana" w:hAnsi="Verdana"/>
          <w:i/>
          <w:sz w:val="20"/>
          <w:lang w:val="en-US"/>
        </w:rPr>
        <w:t>infra</w:t>
      </w:r>
      <w:r w:rsidR="00AA35B1" w:rsidRPr="00D869E3">
        <w:rPr>
          <w:rFonts w:ascii="Verdana" w:hAnsi="Verdana"/>
          <w:sz w:val="20"/>
          <w:lang w:val="en-US"/>
        </w:rPr>
        <w:t xml:space="preserve"> para. 97). Also, with regard to the State’s argument </w:t>
      </w:r>
      <w:r w:rsidR="00AA35B1" w:rsidRPr="00D869E3">
        <w:rPr>
          <w:rFonts w:ascii="Verdana" w:hAnsi="Verdana"/>
          <w:sz w:val="20"/>
          <w:szCs w:val="20"/>
          <w:lang w:val="en-US"/>
        </w:rPr>
        <w:t>(f) undue inclusion of presumed victims, the Court concludes that, based on the positions of the parties, the dispute has ended</w:t>
      </w:r>
      <w:r w:rsidR="001C0C19" w:rsidRPr="00D869E3">
        <w:rPr>
          <w:rFonts w:ascii="Verdana" w:hAnsi="Verdana"/>
          <w:sz w:val="20"/>
          <w:szCs w:val="20"/>
          <w:lang w:val="en-US"/>
        </w:rPr>
        <w:t xml:space="preserve"> in this regard</w:t>
      </w:r>
      <w:r w:rsidR="00AA35B1" w:rsidRPr="00D869E3">
        <w:rPr>
          <w:rFonts w:ascii="Verdana" w:hAnsi="Verdana"/>
          <w:sz w:val="20"/>
          <w:szCs w:val="20"/>
          <w:lang w:val="en-US"/>
        </w:rPr>
        <w:t>.</w:t>
      </w:r>
    </w:p>
    <w:p w14:paraId="66F4694E" w14:textId="77777777" w:rsidR="008D084E" w:rsidRPr="00D869E3" w:rsidRDefault="008D084E" w:rsidP="005D0F69">
      <w:pPr>
        <w:pStyle w:val="Prrafodelista"/>
        <w:ind w:left="0"/>
        <w:jc w:val="both"/>
        <w:rPr>
          <w:rFonts w:ascii="Verdana" w:hAnsi="Verdana"/>
          <w:sz w:val="20"/>
          <w:szCs w:val="20"/>
          <w:lang w:val="en-US"/>
        </w:rPr>
      </w:pPr>
    </w:p>
    <w:p w14:paraId="780339A3" w14:textId="7A2D12D6" w:rsidR="00154B4B" w:rsidRPr="00D869E3" w:rsidRDefault="00AA35B1" w:rsidP="00AA35B1">
      <w:pPr>
        <w:pStyle w:val="Prrafodelista"/>
        <w:numPr>
          <w:ilvl w:val="0"/>
          <w:numId w:val="1"/>
        </w:numPr>
        <w:ind w:left="0" w:firstLine="0"/>
        <w:jc w:val="both"/>
        <w:rPr>
          <w:rFonts w:ascii="Verdana" w:hAnsi="Verdana"/>
          <w:sz w:val="20"/>
          <w:lang w:val="en-US"/>
        </w:rPr>
      </w:pPr>
      <w:r w:rsidRPr="00D869E3">
        <w:rPr>
          <w:rFonts w:ascii="Verdana" w:hAnsi="Verdana"/>
          <w:sz w:val="20"/>
          <w:szCs w:val="20"/>
          <w:lang w:val="en-US"/>
        </w:rPr>
        <w:t>The Court will now analyze the State’s arguments (c) inclusion of Article 16 in the Merits Report, and (e) delimitation of the legal dispute</w:t>
      </w:r>
      <w:r w:rsidR="00154B4B" w:rsidRPr="00D869E3">
        <w:rPr>
          <w:rFonts w:ascii="Verdana" w:hAnsi="Verdana"/>
          <w:sz w:val="20"/>
          <w:szCs w:val="20"/>
          <w:lang w:val="en-US"/>
        </w:rPr>
        <w:t>.</w:t>
      </w:r>
    </w:p>
    <w:p w14:paraId="2EC7136F" w14:textId="77777777" w:rsidR="00154B4B" w:rsidRPr="00D869E3" w:rsidRDefault="00154B4B" w:rsidP="00154B4B">
      <w:pPr>
        <w:pStyle w:val="Prrafodelista"/>
        <w:rPr>
          <w:rFonts w:ascii="Verdana" w:hAnsi="Verdana"/>
          <w:sz w:val="20"/>
          <w:szCs w:val="20"/>
          <w:lang w:val="en-US"/>
        </w:rPr>
      </w:pPr>
    </w:p>
    <w:p w14:paraId="26414E7C" w14:textId="5079A361" w:rsidR="00154B4B" w:rsidRPr="00D869E3" w:rsidRDefault="00154B4B" w:rsidP="00E66DD7">
      <w:pPr>
        <w:pStyle w:val="Ttulo3"/>
        <w:numPr>
          <w:ilvl w:val="0"/>
          <w:numId w:val="7"/>
        </w:numPr>
        <w:jc w:val="both"/>
        <w:rPr>
          <w:b w:val="0"/>
          <w:i/>
          <w:szCs w:val="20"/>
          <w:lang w:val="en-US"/>
        </w:rPr>
      </w:pPr>
      <w:bookmarkStart w:id="9" w:name="_Toc29114105"/>
      <w:r w:rsidRPr="00D869E3">
        <w:rPr>
          <w:i/>
          <w:szCs w:val="20"/>
          <w:lang w:val="en-US"/>
        </w:rPr>
        <w:t>Inclusi</w:t>
      </w:r>
      <w:r w:rsidR="00AA35B1" w:rsidRPr="00D869E3">
        <w:rPr>
          <w:i/>
          <w:szCs w:val="20"/>
          <w:lang w:val="en-US"/>
        </w:rPr>
        <w:t>o</w:t>
      </w:r>
      <w:r w:rsidRPr="00D869E3">
        <w:rPr>
          <w:i/>
          <w:szCs w:val="20"/>
          <w:lang w:val="en-US"/>
        </w:rPr>
        <w:t xml:space="preserve">n </w:t>
      </w:r>
      <w:r w:rsidR="00687684" w:rsidRPr="00D869E3">
        <w:rPr>
          <w:i/>
          <w:szCs w:val="20"/>
          <w:lang w:val="en-US"/>
        </w:rPr>
        <w:t>of Article</w:t>
      </w:r>
      <w:r w:rsidRPr="00D869E3">
        <w:rPr>
          <w:i/>
          <w:szCs w:val="20"/>
          <w:lang w:val="en-US"/>
        </w:rPr>
        <w:t xml:space="preserve"> 16</w:t>
      </w:r>
      <w:r w:rsidR="00447C65" w:rsidRPr="00D869E3">
        <w:rPr>
          <w:i/>
          <w:szCs w:val="20"/>
          <w:lang w:val="en-US"/>
        </w:rPr>
        <w:t xml:space="preserve"> of the Convention</w:t>
      </w:r>
      <w:r w:rsidRPr="00D869E3">
        <w:rPr>
          <w:i/>
          <w:szCs w:val="20"/>
          <w:lang w:val="en-US"/>
        </w:rPr>
        <w:t xml:space="preserve"> </w:t>
      </w:r>
      <w:r w:rsidR="00AA35B1" w:rsidRPr="00D869E3">
        <w:rPr>
          <w:i/>
          <w:szCs w:val="20"/>
          <w:lang w:val="en-US"/>
        </w:rPr>
        <w:t>in the</w:t>
      </w:r>
      <w:r w:rsidRPr="00D869E3">
        <w:rPr>
          <w:i/>
          <w:szCs w:val="20"/>
          <w:lang w:val="en-US"/>
        </w:rPr>
        <w:t xml:space="preserve"> </w:t>
      </w:r>
      <w:r w:rsidR="00687684" w:rsidRPr="00D869E3">
        <w:rPr>
          <w:i/>
          <w:szCs w:val="20"/>
          <w:lang w:val="en-US"/>
        </w:rPr>
        <w:t>Merits Report</w:t>
      </w:r>
      <w:bookmarkEnd w:id="9"/>
    </w:p>
    <w:p w14:paraId="326CB7A0" w14:textId="77777777" w:rsidR="00154B4B" w:rsidRPr="00D869E3" w:rsidRDefault="00154B4B" w:rsidP="00154B4B">
      <w:pPr>
        <w:tabs>
          <w:tab w:val="left" w:pos="1134"/>
        </w:tabs>
        <w:jc w:val="both"/>
        <w:rPr>
          <w:rFonts w:ascii="Verdana" w:hAnsi="Verdana"/>
          <w:b/>
          <w:i/>
          <w:sz w:val="20"/>
          <w:szCs w:val="20"/>
          <w:lang w:val="en-US"/>
        </w:rPr>
      </w:pPr>
    </w:p>
    <w:p w14:paraId="0FCD4108" w14:textId="10099C2F" w:rsidR="00154B4B" w:rsidRPr="00D869E3" w:rsidRDefault="00447C65" w:rsidP="00BC466E">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The Court</w:t>
      </w:r>
      <w:r w:rsidR="00154B4B" w:rsidRPr="00D869E3">
        <w:rPr>
          <w:rFonts w:ascii="Verdana" w:hAnsi="Verdana"/>
          <w:sz w:val="20"/>
          <w:szCs w:val="20"/>
          <w:lang w:val="en-US"/>
        </w:rPr>
        <w:t xml:space="preserve"> reitera</w:t>
      </w:r>
      <w:r w:rsidR="00BC466E" w:rsidRPr="00D869E3">
        <w:rPr>
          <w:rFonts w:ascii="Verdana" w:hAnsi="Verdana"/>
          <w:sz w:val="20"/>
          <w:szCs w:val="20"/>
          <w:lang w:val="en-US"/>
        </w:rPr>
        <w:t xml:space="preserve">tes that, regarding the Commission’s inclusion in the </w:t>
      </w:r>
      <w:r w:rsidR="00687684" w:rsidRPr="00D869E3">
        <w:rPr>
          <w:rFonts w:ascii="Verdana" w:hAnsi="Verdana"/>
          <w:sz w:val="20"/>
          <w:szCs w:val="20"/>
          <w:lang w:val="en-US"/>
        </w:rPr>
        <w:t>Merits Report</w:t>
      </w:r>
      <w:r w:rsidR="00BC466E" w:rsidRPr="00D869E3">
        <w:rPr>
          <w:rFonts w:ascii="Verdana" w:hAnsi="Verdana"/>
          <w:sz w:val="20"/>
          <w:szCs w:val="20"/>
          <w:lang w:val="en-US"/>
        </w:rPr>
        <w:t xml:space="preserve"> of rights that were not indicated previously in the</w:t>
      </w:r>
      <w:r w:rsidR="00154B4B" w:rsidRPr="00D869E3">
        <w:rPr>
          <w:rFonts w:ascii="Verdana" w:hAnsi="Verdana"/>
          <w:sz w:val="20"/>
          <w:szCs w:val="20"/>
          <w:lang w:val="en-US"/>
        </w:rPr>
        <w:t xml:space="preserve"> </w:t>
      </w:r>
      <w:r w:rsidR="00687684" w:rsidRPr="00D869E3">
        <w:rPr>
          <w:rFonts w:ascii="Verdana" w:hAnsi="Verdana"/>
          <w:sz w:val="20"/>
          <w:szCs w:val="20"/>
          <w:lang w:val="en-US"/>
        </w:rPr>
        <w:t>Admissibility Report</w:t>
      </w:r>
      <w:r w:rsidR="00154B4B" w:rsidRPr="00D869E3">
        <w:rPr>
          <w:rFonts w:ascii="Verdana" w:hAnsi="Verdana"/>
          <w:sz w:val="20"/>
          <w:szCs w:val="20"/>
          <w:lang w:val="en-US"/>
        </w:rPr>
        <w:t xml:space="preserve">, </w:t>
      </w:r>
      <w:r w:rsidR="002016F7" w:rsidRPr="00D869E3">
        <w:rPr>
          <w:rFonts w:ascii="Verdana" w:hAnsi="Verdana"/>
          <w:sz w:val="20"/>
          <w:szCs w:val="20"/>
          <w:lang w:val="en-US"/>
        </w:rPr>
        <w:t>neither</w:t>
      </w:r>
      <w:r w:rsidR="00BC466E" w:rsidRPr="00D869E3">
        <w:rPr>
          <w:rFonts w:ascii="Verdana" w:hAnsi="Verdana"/>
          <w:sz w:val="20"/>
          <w:szCs w:val="20"/>
          <w:lang w:val="en-US"/>
        </w:rPr>
        <w:t xml:space="preserve"> in</w:t>
      </w:r>
      <w:r w:rsidR="00154B4B" w:rsidRPr="00D869E3">
        <w:rPr>
          <w:rFonts w:ascii="Verdana" w:hAnsi="Verdana"/>
          <w:sz w:val="20"/>
          <w:szCs w:val="20"/>
          <w:lang w:val="en-US"/>
        </w:rPr>
        <w:t xml:space="preserve"> </w:t>
      </w:r>
      <w:r w:rsidRPr="00D869E3">
        <w:rPr>
          <w:rFonts w:ascii="Verdana" w:hAnsi="Verdana"/>
          <w:sz w:val="20"/>
          <w:szCs w:val="20"/>
          <w:lang w:val="en-US"/>
        </w:rPr>
        <w:t>the American Convention</w:t>
      </w:r>
      <w:r w:rsidR="00154B4B" w:rsidRPr="00D869E3">
        <w:rPr>
          <w:rFonts w:ascii="Verdana" w:hAnsi="Verdana"/>
          <w:sz w:val="20"/>
          <w:szCs w:val="20"/>
          <w:lang w:val="en-US"/>
        </w:rPr>
        <w:t xml:space="preserve"> </w:t>
      </w:r>
      <w:r w:rsidR="002016F7" w:rsidRPr="00D869E3">
        <w:rPr>
          <w:rFonts w:ascii="Verdana" w:hAnsi="Verdana"/>
          <w:sz w:val="20"/>
          <w:szCs w:val="20"/>
          <w:lang w:val="en-US"/>
        </w:rPr>
        <w:t>n</w:t>
      </w:r>
      <w:r w:rsidR="00BC466E" w:rsidRPr="00D869E3">
        <w:rPr>
          <w:rFonts w:ascii="Verdana" w:hAnsi="Verdana"/>
          <w:sz w:val="20"/>
          <w:szCs w:val="20"/>
          <w:lang w:val="en-US"/>
        </w:rPr>
        <w:t>or in</w:t>
      </w:r>
      <w:r w:rsidR="00154B4B" w:rsidRPr="00D869E3">
        <w:rPr>
          <w:rFonts w:ascii="Verdana" w:hAnsi="Verdana"/>
          <w:sz w:val="20"/>
          <w:szCs w:val="20"/>
          <w:lang w:val="en-US"/>
        </w:rPr>
        <w:t xml:space="preserve"> </w:t>
      </w:r>
      <w:r w:rsidRPr="00D869E3">
        <w:rPr>
          <w:rFonts w:ascii="Verdana" w:hAnsi="Verdana"/>
          <w:sz w:val="20"/>
          <w:szCs w:val="20"/>
          <w:lang w:val="en-US"/>
        </w:rPr>
        <w:t>the Inter-American Commission</w:t>
      </w:r>
      <w:r w:rsidR="00BC466E" w:rsidRPr="00D869E3">
        <w:rPr>
          <w:rFonts w:ascii="Verdana" w:hAnsi="Verdana"/>
          <w:sz w:val="20"/>
          <w:szCs w:val="20"/>
          <w:lang w:val="en-US"/>
        </w:rPr>
        <w:t xml:space="preserve">’s Rules of Procedure is </w:t>
      </w:r>
      <w:r w:rsidR="002016F7" w:rsidRPr="00D869E3">
        <w:rPr>
          <w:rFonts w:ascii="Verdana" w:hAnsi="Verdana"/>
          <w:sz w:val="20"/>
          <w:szCs w:val="20"/>
          <w:lang w:val="en-US"/>
        </w:rPr>
        <w:t>there a</w:t>
      </w:r>
      <w:r w:rsidR="00BC466E" w:rsidRPr="00D869E3">
        <w:rPr>
          <w:rFonts w:ascii="Verdana" w:hAnsi="Verdana"/>
          <w:sz w:val="20"/>
          <w:szCs w:val="20"/>
          <w:lang w:val="en-US"/>
        </w:rPr>
        <w:t xml:space="preserve"> rule that states that the </w:t>
      </w:r>
      <w:r w:rsidR="00687684" w:rsidRPr="00D869E3">
        <w:rPr>
          <w:rFonts w:ascii="Verdana" w:hAnsi="Verdana"/>
          <w:sz w:val="20"/>
          <w:szCs w:val="20"/>
          <w:lang w:val="en-US"/>
        </w:rPr>
        <w:t>Admissibility Report</w:t>
      </w:r>
      <w:r w:rsidR="00154B4B" w:rsidRPr="00D869E3">
        <w:rPr>
          <w:rFonts w:ascii="Verdana" w:hAnsi="Verdana"/>
          <w:sz w:val="20"/>
          <w:szCs w:val="20"/>
          <w:lang w:val="en-US"/>
        </w:rPr>
        <w:t xml:space="preserve"> </w:t>
      </w:r>
      <w:r w:rsidR="00BC466E" w:rsidRPr="00D869E3">
        <w:rPr>
          <w:rFonts w:ascii="Verdana" w:hAnsi="Verdana"/>
          <w:sz w:val="20"/>
          <w:szCs w:val="20"/>
          <w:lang w:val="en-US"/>
        </w:rPr>
        <w:t>must establish all the rights that have presumably been violated.</w:t>
      </w:r>
      <w:r w:rsidR="00154B4B" w:rsidRPr="00D869E3">
        <w:rPr>
          <w:rStyle w:val="Refdenotaalpie"/>
          <w:szCs w:val="20"/>
          <w:lang w:val="en-US"/>
        </w:rPr>
        <w:footnoteReference w:id="14"/>
      </w:r>
      <w:r w:rsidR="00154B4B"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154B4B" w:rsidRPr="00D869E3">
        <w:rPr>
          <w:rFonts w:ascii="Verdana" w:hAnsi="Verdana"/>
          <w:sz w:val="20"/>
          <w:szCs w:val="20"/>
          <w:lang w:val="en-US"/>
        </w:rPr>
        <w:t xml:space="preserve">, </w:t>
      </w:r>
      <w:r w:rsidRPr="00D869E3">
        <w:rPr>
          <w:rFonts w:ascii="Verdana" w:hAnsi="Verdana"/>
          <w:sz w:val="20"/>
          <w:szCs w:val="20"/>
          <w:lang w:val="en-US"/>
        </w:rPr>
        <w:t>Articles</w:t>
      </w:r>
      <w:r w:rsidR="00154B4B" w:rsidRPr="00D869E3">
        <w:rPr>
          <w:rFonts w:ascii="Verdana" w:hAnsi="Verdana"/>
          <w:sz w:val="20"/>
          <w:szCs w:val="20"/>
          <w:lang w:val="en-US"/>
        </w:rPr>
        <w:t xml:space="preserve"> 46</w:t>
      </w:r>
      <w:r w:rsidR="00154B4B" w:rsidRPr="00D869E3">
        <w:rPr>
          <w:rStyle w:val="Refdenotaalpie"/>
          <w:szCs w:val="20"/>
          <w:lang w:val="en-US"/>
        </w:rPr>
        <w:footnoteReference w:id="15"/>
      </w:r>
      <w:r w:rsidR="00687684" w:rsidRPr="00D869E3">
        <w:rPr>
          <w:rFonts w:ascii="Verdana" w:hAnsi="Verdana"/>
          <w:sz w:val="20"/>
          <w:szCs w:val="20"/>
          <w:lang w:val="en-US"/>
        </w:rPr>
        <w:t xml:space="preserve"> and </w:t>
      </w:r>
      <w:r w:rsidR="00154B4B" w:rsidRPr="00D869E3">
        <w:rPr>
          <w:rFonts w:ascii="Verdana" w:hAnsi="Verdana"/>
          <w:sz w:val="20"/>
          <w:szCs w:val="20"/>
          <w:lang w:val="en-US"/>
        </w:rPr>
        <w:t>47</w:t>
      </w:r>
      <w:r w:rsidR="00154B4B" w:rsidRPr="00D869E3">
        <w:rPr>
          <w:rStyle w:val="Refdenotaalpie"/>
          <w:szCs w:val="20"/>
          <w:lang w:val="en-US"/>
        </w:rPr>
        <w:footnoteReference w:id="16"/>
      </w:r>
      <w:r w:rsidRPr="00D869E3">
        <w:rPr>
          <w:rFonts w:ascii="Verdana" w:hAnsi="Verdana"/>
          <w:sz w:val="20"/>
          <w:szCs w:val="20"/>
          <w:lang w:val="en-US"/>
        </w:rPr>
        <w:t xml:space="preserve"> of the American Convention</w:t>
      </w:r>
      <w:r w:rsidR="00154B4B" w:rsidRPr="00D869E3">
        <w:rPr>
          <w:rFonts w:ascii="Verdana" w:hAnsi="Verdana"/>
          <w:sz w:val="20"/>
          <w:szCs w:val="20"/>
          <w:lang w:val="en-US"/>
        </w:rPr>
        <w:t xml:space="preserve"> </w:t>
      </w:r>
      <w:r w:rsidR="002016F7" w:rsidRPr="00D869E3">
        <w:rPr>
          <w:rFonts w:ascii="Verdana" w:hAnsi="Verdana"/>
          <w:sz w:val="20"/>
          <w:szCs w:val="20"/>
          <w:lang w:val="en-US"/>
        </w:rPr>
        <w:t>merely</w:t>
      </w:r>
      <w:r w:rsidR="00BC466E" w:rsidRPr="00D869E3">
        <w:rPr>
          <w:rFonts w:ascii="Verdana" w:hAnsi="Verdana"/>
          <w:sz w:val="20"/>
          <w:szCs w:val="20"/>
          <w:lang w:val="en-US"/>
        </w:rPr>
        <w:t xml:space="preserve"> </w:t>
      </w:r>
      <w:r w:rsidR="00154B4B" w:rsidRPr="00D869E3">
        <w:rPr>
          <w:rFonts w:ascii="Verdana" w:hAnsi="Verdana"/>
          <w:sz w:val="20"/>
          <w:szCs w:val="20"/>
          <w:lang w:val="en-US"/>
        </w:rPr>
        <w:t>establ</w:t>
      </w:r>
      <w:r w:rsidR="00BC466E" w:rsidRPr="00D869E3">
        <w:rPr>
          <w:rFonts w:ascii="Verdana" w:hAnsi="Verdana"/>
          <w:sz w:val="20"/>
          <w:szCs w:val="20"/>
          <w:lang w:val="en-US"/>
        </w:rPr>
        <w:t>ish</w:t>
      </w:r>
      <w:r w:rsidR="00154B4B" w:rsidRPr="00D869E3">
        <w:rPr>
          <w:rFonts w:ascii="Verdana" w:hAnsi="Verdana"/>
          <w:sz w:val="20"/>
          <w:szCs w:val="20"/>
          <w:lang w:val="en-US"/>
        </w:rPr>
        <w:t xml:space="preserve"> </w:t>
      </w:r>
      <w:r w:rsidR="00BC466E" w:rsidRPr="00D869E3">
        <w:rPr>
          <w:rFonts w:ascii="Verdana" w:hAnsi="Verdana"/>
          <w:sz w:val="20"/>
          <w:szCs w:val="20"/>
          <w:lang w:val="en-US"/>
        </w:rPr>
        <w:lastRenderedPageBreak/>
        <w:t xml:space="preserve">the requirements for declaring a petition admissible or inadmissible, but do not impose on </w:t>
      </w:r>
      <w:r w:rsidRPr="00D869E3">
        <w:rPr>
          <w:rFonts w:ascii="Verdana" w:hAnsi="Verdana"/>
          <w:sz w:val="20"/>
          <w:szCs w:val="20"/>
          <w:lang w:val="en-US"/>
        </w:rPr>
        <w:t>the Commission</w:t>
      </w:r>
      <w:r w:rsidR="00154B4B" w:rsidRPr="00D869E3">
        <w:rPr>
          <w:rFonts w:ascii="Verdana" w:hAnsi="Verdana"/>
          <w:sz w:val="20"/>
          <w:szCs w:val="20"/>
          <w:lang w:val="en-US"/>
        </w:rPr>
        <w:t xml:space="preserve"> </w:t>
      </w:r>
      <w:r w:rsidR="00BC466E" w:rsidRPr="00D869E3">
        <w:rPr>
          <w:rFonts w:ascii="Verdana" w:hAnsi="Verdana"/>
          <w:sz w:val="20"/>
          <w:szCs w:val="20"/>
          <w:lang w:val="en-US"/>
        </w:rPr>
        <w:t xml:space="preserve">the obligation to determine the rights that will be the purpose of the procedure. In this regard, the rights indicated in the Admissibility Report are the result of a preliminary examination of </w:t>
      </w:r>
      <w:r w:rsidR="002016F7" w:rsidRPr="00D869E3">
        <w:rPr>
          <w:rFonts w:ascii="Verdana" w:hAnsi="Verdana"/>
          <w:sz w:val="20"/>
          <w:szCs w:val="20"/>
          <w:lang w:val="en-US"/>
        </w:rPr>
        <w:t>a</w:t>
      </w:r>
      <w:r w:rsidR="00BC466E" w:rsidRPr="00D869E3">
        <w:rPr>
          <w:rFonts w:ascii="Verdana" w:hAnsi="Verdana"/>
          <w:sz w:val="20"/>
          <w:szCs w:val="20"/>
          <w:lang w:val="en-US"/>
        </w:rPr>
        <w:t xml:space="preserve"> petition that is being processed</w:t>
      </w:r>
      <w:r w:rsidR="002016F7" w:rsidRPr="00D869E3">
        <w:rPr>
          <w:rFonts w:ascii="Verdana" w:hAnsi="Verdana"/>
          <w:sz w:val="20"/>
          <w:szCs w:val="20"/>
          <w:lang w:val="en-US"/>
        </w:rPr>
        <w:t>; thus,</w:t>
      </w:r>
      <w:r w:rsidR="00BC466E" w:rsidRPr="00D869E3">
        <w:rPr>
          <w:rFonts w:ascii="Verdana" w:hAnsi="Verdana"/>
          <w:sz w:val="20"/>
          <w:szCs w:val="20"/>
          <w:lang w:val="en-US"/>
        </w:rPr>
        <w:t xml:space="preserve"> this does not </w:t>
      </w:r>
      <w:r w:rsidR="002016F7" w:rsidRPr="00D869E3">
        <w:rPr>
          <w:rFonts w:ascii="Verdana" w:hAnsi="Verdana"/>
          <w:sz w:val="20"/>
          <w:szCs w:val="20"/>
          <w:lang w:val="en-US"/>
        </w:rPr>
        <w:t>preclude</w:t>
      </w:r>
      <w:r w:rsidR="00BC466E" w:rsidRPr="00D869E3">
        <w:rPr>
          <w:rFonts w:ascii="Verdana" w:hAnsi="Verdana"/>
          <w:sz w:val="20"/>
          <w:szCs w:val="20"/>
          <w:lang w:val="en-US"/>
        </w:rPr>
        <w:t xml:space="preserve"> the possibility that, at later stages, the procedure may include other rights or articles that have presumably been violated, provided the State’s right to defend itself within the factual framework of the case analyzed</w:t>
      </w:r>
      <w:r w:rsidR="002016F7" w:rsidRPr="00D869E3">
        <w:rPr>
          <w:rFonts w:ascii="Verdana" w:hAnsi="Verdana"/>
          <w:sz w:val="20"/>
          <w:szCs w:val="20"/>
          <w:lang w:val="en-US"/>
        </w:rPr>
        <w:t xml:space="preserve"> is respected</w:t>
      </w:r>
      <w:r w:rsidR="00BC466E" w:rsidRPr="00D869E3">
        <w:rPr>
          <w:rFonts w:ascii="Verdana" w:hAnsi="Verdana"/>
          <w:sz w:val="20"/>
          <w:szCs w:val="20"/>
          <w:lang w:val="en-US"/>
        </w:rPr>
        <w:t>.</w:t>
      </w:r>
      <w:r w:rsidR="00154B4B" w:rsidRPr="00D869E3">
        <w:rPr>
          <w:rStyle w:val="Refdenotaalpie"/>
          <w:szCs w:val="20"/>
          <w:lang w:val="en-US"/>
        </w:rPr>
        <w:footnoteReference w:id="17"/>
      </w:r>
    </w:p>
    <w:p w14:paraId="50448375" w14:textId="77777777" w:rsidR="00154B4B" w:rsidRPr="00D869E3" w:rsidRDefault="00154B4B" w:rsidP="00154B4B">
      <w:pPr>
        <w:pStyle w:val="Prrafodelista"/>
        <w:ind w:left="0"/>
        <w:jc w:val="both"/>
        <w:rPr>
          <w:rFonts w:ascii="Verdana" w:hAnsi="Verdana"/>
          <w:sz w:val="20"/>
          <w:szCs w:val="20"/>
          <w:lang w:val="en-US"/>
        </w:rPr>
      </w:pPr>
    </w:p>
    <w:p w14:paraId="6F73F824" w14:textId="55EA710B" w:rsidR="00154B4B" w:rsidRPr="00D869E3" w:rsidRDefault="00BC466E" w:rsidP="00E6309B">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In the instant case</w:t>
      </w:r>
      <w:r w:rsidR="00154B4B" w:rsidRPr="00D869E3">
        <w:rPr>
          <w:rFonts w:ascii="Verdana" w:hAnsi="Verdana"/>
          <w:sz w:val="20"/>
          <w:szCs w:val="20"/>
          <w:lang w:val="en-US"/>
        </w:rPr>
        <w:t xml:space="preserve">, </w:t>
      </w:r>
      <w:r w:rsidR="00447C65" w:rsidRPr="00D869E3">
        <w:rPr>
          <w:rFonts w:ascii="Verdana" w:hAnsi="Verdana"/>
          <w:sz w:val="20"/>
          <w:szCs w:val="20"/>
          <w:lang w:val="en-US"/>
        </w:rPr>
        <w:t>the Court</w:t>
      </w:r>
      <w:r w:rsidR="00154B4B" w:rsidRPr="00D869E3">
        <w:rPr>
          <w:rFonts w:ascii="Verdana" w:hAnsi="Verdana"/>
          <w:sz w:val="20"/>
          <w:szCs w:val="20"/>
          <w:lang w:val="en-US"/>
        </w:rPr>
        <w:t xml:space="preserve"> observ</w:t>
      </w:r>
      <w:r w:rsidRPr="00D869E3">
        <w:rPr>
          <w:rFonts w:ascii="Verdana" w:hAnsi="Verdana"/>
          <w:sz w:val="20"/>
          <w:szCs w:val="20"/>
          <w:lang w:val="en-US"/>
        </w:rPr>
        <w:t>es that</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 xml:space="preserve"> </w:t>
      </w:r>
      <w:r w:rsidRPr="00D869E3">
        <w:rPr>
          <w:rFonts w:ascii="Verdana" w:hAnsi="Verdana"/>
          <w:sz w:val="20"/>
          <w:szCs w:val="20"/>
          <w:lang w:val="en-US"/>
        </w:rPr>
        <w:t>was aware of the facts that substantiate the presumed violation of</w:t>
      </w:r>
      <w:r w:rsidR="00154B4B" w:rsidRPr="00D869E3">
        <w:rPr>
          <w:rFonts w:ascii="Verdana" w:hAnsi="Verdana"/>
          <w:sz w:val="20"/>
          <w:szCs w:val="20"/>
          <w:lang w:val="en-US"/>
        </w:rPr>
        <w:t xml:space="preserve"> </w:t>
      </w:r>
      <w:r w:rsidR="00447C65" w:rsidRPr="00D869E3">
        <w:rPr>
          <w:rFonts w:ascii="Verdana" w:hAnsi="Verdana"/>
          <w:sz w:val="20"/>
          <w:szCs w:val="20"/>
          <w:lang w:val="en-US"/>
        </w:rPr>
        <w:t>Article</w:t>
      </w:r>
      <w:r w:rsidR="00154B4B" w:rsidRPr="00D869E3">
        <w:rPr>
          <w:rFonts w:ascii="Verdana" w:hAnsi="Verdana"/>
          <w:sz w:val="20"/>
          <w:szCs w:val="20"/>
          <w:lang w:val="en-US"/>
        </w:rPr>
        <w:t xml:space="preserve"> 16, </w:t>
      </w:r>
      <w:r w:rsidRPr="00D869E3">
        <w:rPr>
          <w:rFonts w:ascii="Verdana" w:hAnsi="Verdana"/>
          <w:sz w:val="20"/>
          <w:szCs w:val="20"/>
          <w:lang w:val="en-US"/>
        </w:rPr>
        <w:t xml:space="preserve">because these were included in the initial petition lodged before </w:t>
      </w:r>
      <w:r w:rsidR="00447C65" w:rsidRPr="00D869E3">
        <w:rPr>
          <w:rFonts w:ascii="Verdana" w:hAnsi="Verdana"/>
          <w:sz w:val="20"/>
          <w:szCs w:val="20"/>
          <w:lang w:val="en-US"/>
        </w:rPr>
        <w:t>the Inter-American Commission</w:t>
      </w:r>
      <w:r w:rsidR="00154B4B" w:rsidRPr="00D869E3">
        <w:rPr>
          <w:rFonts w:ascii="Verdana" w:hAnsi="Verdana"/>
          <w:sz w:val="20"/>
          <w:szCs w:val="20"/>
          <w:lang w:val="en-US"/>
        </w:rPr>
        <w:t xml:space="preserve"> </w:t>
      </w:r>
      <w:r w:rsidRPr="00D869E3">
        <w:rPr>
          <w:rFonts w:ascii="Verdana" w:hAnsi="Verdana"/>
          <w:sz w:val="20"/>
          <w:szCs w:val="20"/>
          <w:lang w:val="en-US"/>
        </w:rPr>
        <w:t>on October 13,</w:t>
      </w:r>
      <w:r w:rsidR="00154B4B" w:rsidRPr="00D869E3">
        <w:rPr>
          <w:rFonts w:ascii="Verdana" w:hAnsi="Verdana"/>
          <w:sz w:val="20"/>
          <w:szCs w:val="20"/>
          <w:lang w:val="en-US"/>
        </w:rPr>
        <w:t xml:space="preserve"> 1993</w:t>
      </w:r>
      <w:r w:rsidRPr="00D869E3">
        <w:rPr>
          <w:rFonts w:ascii="Verdana" w:hAnsi="Verdana"/>
          <w:sz w:val="20"/>
          <w:szCs w:val="20"/>
          <w:lang w:val="en-US"/>
        </w:rPr>
        <w:t>.</w:t>
      </w:r>
      <w:r w:rsidR="00154B4B" w:rsidRPr="00D869E3">
        <w:rPr>
          <w:rStyle w:val="Refdenotaalpie"/>
          <w:szCs w:val="20"/>
          <w:lang w:val="en-US"/>
        </w:rPr>
        <w:footnoteReference w:id="18"/>
      </w:r>
      <w:r w:rsidRPr="00D869E3">
        <w:rPr>
          <w:rFonts w:ascii="Verdana" w:hAnsi="Verdana"/>
          <w:sz w:val="20"/>
          <w:szCs w:val="20"/>
          <w:lang w:val="en-US"/>
        </w:rPr>
        <w:t xml:space="preserve"> In that communication, </w:t>
      </w:r>
      <w:r w:rsidR="001E44D3" w:rsidRPr="00D869E3">
        <w:rPr>
          <w:rFonts w:ascii="Verdana" w:hAnsi="Verdana"/>
          <w:sz w:val="20"/>
          <w:szCs w:val="20"/>
          <w:lang w:val="en-US"/>
        </w:rPr>
        <w:t>Mr. Lagos del Campo</w:t>
      </w:r>
      <w:r w:rsidR="00154B4B" w:rsidRPr="00D869E3">
        <w:rPr>
          <w:rFonts w:ascii="Verdana" w:hAnsi="Verdana"/>
          <w:sz w:val="20"/>
          <w:szCs w:val="20"/>
          <w:lang w:val="en-US"/>
        </w:rPr>
        <w:t xml:space="preserve"> </w:t>
      </w:r>
      <w:r w:rsidRPr="00D869E3">
        <w:rPr>
          <w:rFonts w:ascii="Verdana" w:hAnsi="Verdana"/>
          <w:sz w:val="20"/>
          <w:szCs w:val="20"/>
          <w:lang w:val="en-US"/>
        </w:rPr>
        <w:t xml:space="preserve">indicated that the reason for his dismissal related to his </w:t>
      </w:r>
      <w:r w:rsidR="002016F7" w:rsidRPr="00D869E3">
        <w:rPr>
          <w:rFonts w:ascii="Verdana" w:hAnsi="Verdana"/>
          <w:sz w:val="20"/>
          <w:szCs w:val="20"/>
          <w:lang w:val="en-US"/>
        </w:rPr>
        <w:t>position</w:t>
      </w:r>
      <w:r w:rsidRPr="00D869E3">
        <w:rPr>
          <w:rFonts w:ascii="Verdana" w:hAnsi="Verdana"/>
          <w:sz w:val="20"/>
          <w:szCs w:val="20"/>
          <w:lang w:val="en-US"/>
        </w:rPr>
        <w:t xml:space="preserve"> </w:t>
      </w:r>
      <w:r w:rsidR="002016F7" w:rsidRPr="00D869E3">
        <w:rPr>
          <w:rFonts w:ascii="Verdana" w:hAnsi="Verdana"/>
          <w:sz w:val="20"/>
          <w:szCs w:val="20"/>
          <w:lang w:val="en-US"/>
        </w:rPr>
        <w:t>as a</w:t>
      </w:r>
      <w:r w:rsidRPr="00D869E3">
        <w:rPr>
          <w:rFonts w:ascii="Verdana" w:hAnsi="Verdana"/>
          <w:sz w:val="20"/>
          <w:szCs w:val="20"/>
          <w:lang w:val="en-US"/>
        </w:rPr>
        <w:t xml:space="preserve"> labor leader, which is the factual framework used by the Commission to alleg</w:t>
      </w:r>
      <w:r w:rsidR="002016F7" w:rsidRPr="00D869E3">
        <w:rPr>
          <w:rFonts w:ascii="Verdana" w:hAnsi="Verdana"/>
          <w:sz w:val="20"/>
          <w:szCs w:val="20"/>
          <w:lang w:val="en-US"/>
        </w:rPr>
        <w:t>e</w:t>
      </w:r>
      <w:r w:rsidRPr="00D869E3">
        <w:rPr>
          <w:rFonts w:ascii="Verdana" w:hAnsi="Verdana"/>
          <w:sz w:val="20"/>
          <w:szCs w:val="20"/>
          <w:lang w:val="en-US"/>
        </w:rPr>
        <w:t xml:space="preserve"> the </w:t>
      </w:r>
      <w:r w:rsidR="007013E2" w:rsidRPr="00D869E3">
        <w:rPr>
          <w:rFonts w:ascii="Verdana" w:hAnsi="Verdana"/>
          <w:sz w:val="20"/>
          <w:szCs w:val="20"/>
          <w:lang w:val="en-US"/>
        </w:rPr>
        <w:t>violation</w:t>
      </w:r>
      <w:r w:rsidR="00154B4B" w:rsidRPr="00D869E3">
        <w:rPr>
          <w:rFonts w:ascii="Verdana" w:hAnsi="Verdana"/>
          <w:sz w:val="20"/>
          <w:szCs w:val="20"/>
          <w:lang w:val="en-US"/>
        </w:rPr>
        <w:t xml:space="preserve"> </w:t>
      </w:r>
      <w:r w:rsidRPr="00D869E3">
        <w:rPr>
          <w:rFonts w:ascii="Verdana" w:hAnsi="Verdana"/>
          <w:sz w:val="20"/>
          <w:szCs w:val="20"/>
          <w:lang w:val="en-US"/>
        </w:rPr>
        <w:t>of</w:t>
      </w:r>
      <w:r w:rsidR="00154B4B" w:rsidRPr="00D869E3">
        <w:rPr>
          <w:rFonts w:ascii="Verdana" w:hAnsi="Verdana"/>
          <w:sz w:val="20"/>
          <w:szCs w:val="20"/>
          <w:lang w:val="en-US"/>
        </w:rPr>
        <w:t xml:space="preserve"> </w:t>
      </w:r>
      <w:r w:rsidR="00447C65" w:rsidRPr="00D869E3">
        <w:rPr>
          <w:rFonts w:ascii="Verdana" w:hAnsi="Verdana"/>
          <w:sz w:val="20"/>
          <w:szCs w:val="20"/>
          <w:lang w:val="en-US"/>
        </w:rPr>
        <w:t>Article</w:t>
      </w:r>
      <w:r w:rsidR="00154B4B" w:rsidRPr="00D869E3">
        <w:rPr>
          <w:rFonts w:ascii="Verdana" w:hAnsi="Verdana"/>
          <w:sz w:val="20"/>
          <w:szCs w:val="20"/>
          <w:lang w:val="en-US"/>
        </w:rPr>
        <w:t xml:space="preserve"> 16</w:t>
      </w:r>
      <w:r w:rsidR="00447C65" w:rsidRPr="00D869E3">
        <w:rPr>
          <w:rFonts w:ascii="Verdana" w:hAnsi="Verdana"/>
          <w:sz w:val="20"/>
          <w:szCs w:val="20"/>
          <w:lang w:val="en-US"/>
        </w:rPr>
        <w:t xml:space="preserve"> of the Convention</w:t>
      </w:r>
      <w:r w:rsidRPr="00D869E3">
        <w:rPr>
          <w:rFonts w:ascii="Verdana" w:hAnsi="Verdana"/>
          <w:sz w:val="20"/>
          <w:szCs w:val="20"/>
          <w:lang w:val="en-US"/>
        </w:rPr>
        <w:t>.</w:t>
      </w:r>
      <w:r w:rsidR="00154B4B" w:rsidRPr="00D869E3">
        <w:rPr>
          <w:rStyle w:val="Refdenotaalpie"/>
          <w:szCs w:val="20"/>
          <w:lang w:val="en-US"/>
        </w:rPr>
        <w:footnoteReference w:id="19"/>
      </w:r>
      <w:r w:rsidR="00154B4B" w:rsidRPr="00D869E3">
        <w:rPr>
          <w:rFonts w:ascii="Verdana" w:hAnsi="Verdana"/>
          <w:sz w:val="20"/>
          <w:szCs w:val="20"/>
          <w:lang w:val="en-US"/>
        </w:rPr>
        <w:t xml:space="preserve"> </w:t>
      </w:r>
      <w:r w:rsidRPr="00D869E3">
        <w:rPr>
          <w:rFonts w:ascii="Verdana" w:hAnsi="Verdana"/>
          <w:sz w:val="20"/>
          <w:szCs w:val="20"/>
          <w:lang w:val="en-US"/>
        </w:rPr>
        <w:t>I</w:t>
      </w:r>
      <w:r w:rsidR="00154B4B" w:rsidRPr="00D869E3">
        <w:rPr>
          <w:rFonts w:ascii="Verdana" w:hAnsi="Verdana"/>
          <w:sz w:val="20"/>
          <w:szCs w:val="20"/>
          <w:lang w:val="en-US"/>
        </w:rPr>
        <w:t xml:space="preserve">n particular, </w:t>
      </w:r>
      <w:r w:rsidRPr="00D869E3">
        <w:rPr>
          <w:rFonts w:ascii="Verdana" w:hAnsi="Verdana"/>
          <w:sz w:val="20"/>
          <w:szCs w:val="20"/>
          <w:lang w:val="en-US"/>
        </w:rPr>
        <w:t xml:space="preserve">in </w:t>
      </w:r>
      <w:r w:rsidR="00E6309B" w:rsidRPr="00D869E3">
        <w:rPr>
          <w:rFonts w:ascii="Verdana" w:hAnsi="Verdana"/>
          <w:sz w:val="20"/>
          <w:szCs w:val="20"/>
          <w:lang w:val="en-US"/>
        </w:rPr>
        <w:t>t</w:t>
      </w:r>
      <w:r w:rsidRPr="00D869E3">
        <w:rPr>
          <w:rFonts w:ascii="Verdana" w:hAnsi="Verdana"/>
          <w:sz w:val="20"/>
          <w:szCs w:val="20"/>
          <w:lang w:val="en-US"/>
        </w:rPr>
        <w:t>h</w:t>
      </w:r>
      <w:r w:rsidR="002016F7" w:rsidRPr="00D869E3">
        <w:rPr>
          <w:rFonts w:ascii="Verdana" w:hAnsi="Verdana"/>
          <w:sz w:val="20"/>
          <w:szCs w:val="20"/>
          <w:lang w:val="en-US"/>
        </w:rPr>
        <w:t>at</w:t>
      </w:r>
      <w:r w:rsidRPr="00D869E3">
        <w:rPr>
          <w:rFonts w:ascii="Verdana" w:hAnsi="Verdana"/>
          <w:sz w:val="20"/>
          <w:szCs w:val="20"/>
          <w:lang w:val="en-US"/>
        </w:rPr>
        <w:t xml:space="preserve"> </w:t>
      </w:r>
      <w:r w:rsidR="002016F7" w:rsidRPr="00D869E3">
        <w:rPr>
          <w:rFonts w:ascii="Verdana" w:hAnsi="Verdana"/>
          <w:sz w:val="20"/>
          <w:szCs w:val="20"/>
          <w:lang w:val="en-US"/>
        </w:rPr>
        <w:t>petition</w:t>
      </w:r>
      <w:r w:rsidR="00154B4B"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154B4B" w:rsidRPr="00D869E3">
        <w:rPr>
          <w:rFonts w:ascii="Verdana" w:hAnsi="Verdana"/>
          <w:sz w:val="20"/>
          <w:szCs w:val="20"/>
          <w:lang w:val="en-US"/>
        </w:rPr>
        <w:t xml:space="preserve"> </w:t>
      </w:r>
      <w:r w:rsidR="00E6309B" w:rsidRPr="00D869E3">
        <w:rPr>
          <w:rFonts w:ascii="Verdana" w:hAnsi="Verdana"/>
          <w:sz w:val="20"/>
          <w:szCs w:val="20"/>
          <w:lang w:val="en-US"/>
        </w:rPr>
        <w:t xml:space="preserve">stated that he was dismissed when he was </w:t>
      </w:r>
      <w:r w:rsidR="001B0492" w:rsidRPr="00D869E3">
        <w:rPr>
          <w:rFonts w:ascii="Verdana" w:hAnsi="Verdana"/>
          <w:sz w:val="20"/>
          <w:szCs w:val="20"/>
          <w:lang w:val="en-US"/>
        </w:rPr>
        <w:t>president of the Electoral</w:t>
      </w:r>
      <w:r w:rsidR="00E6309B" w:rsidRPr="00D869E3">
        <w:rPr>
          <w:rFonts w:ascii="Verdana" w:hAnsi="Verdana"/>
          <w:sz w:val="20"/>
          <w:szCs w:val="20"/>
          <w:lang w:val="en-US"/>
        </w:rPr>
        <w:t xml:space="preserve"> Committee of the Industrial Community of the Ceper</w:t>
      </w:r>
      <w:r w:rsidR="002016F7" w:rsidRPr="00D869E3">
        <w:rPr>
          <w:rFonts w:ascii="Verdana" w:hAnsi="Verdana"/>
          <w:sz w:val="20"/>
          <w:szCs w:val="20"/>
          <w:lang w:val="en-US"/>
        </w:rPr>
        <w:t>-</w:t>
      </w:r>
      <w:r w:rsidR="00E6309B" w:rsidRPr="00D869E3">
        <w:rPr>
          <w:rFonts w:ascii="Verdana" w:hAnsi="Verdana"/>
          <w:sz w:val="20"/>
          <w:szCs w:val="20"/>
          <w:lang w:val="en-US"/>
        </w:rPr>
        <w:t xml:space="preserve">Pirelli company, </w:t>
      </w:r>
      <w:r w:rsidR="006436CA" w:rsidRPr="00D869E3">
        <w:rPr>
          <w:rFonts w:ascii="Verdana" w:hAnsi="Verdana"/>
          <w:sz w:val="20"/>
          <w:szCs w:val="20"/>
          <w:lang w:val="en-US"/>
        </w:rPr>
        <w:t>“</w:t>
      </w:r>
      <w:r w:rsidR="00E6309B" w:rsidRPr="00D869E3">
        <w:rPr>
          <w:rFonts w:ascii="Verdana" w:hAnsi="Verdana"/>
          <w:sz w:val="20"/>
          <w:szCs w:val="20"/>
          <w:lang w:val="en-US"/>
        </w:rPr>
        <w:t xml:space="preserve">merely because I was a [labor leader] who was defending the sacred rights and benefits of workers in my country and, especially, </w:t>
      </w:r>
      <w:r w:rsidR="002016F7" w:rsidRPr="00D869E3">
        <w:rPr>
          <w:rFonts w:ascii="Verdana" w:hAnsi="Verdana"/>
          <w:sz w:val="20"/>
          <w:szCs w:val="20"/>
          <w:lang w:val="en-US"/>
        </w:rPr>
        <w:t xml:space="preserve">of </w:t>
      </w:r>
      <w:r w:rsidR="00E6309B" w:rsidRPr="00D869E3">
        <w:rPr>
          <w:rFonts w:ascii="Verdana" w:hAnsi="Verdana"/>
          <w:sz w:val="20"/>
          <w:szCs w:val="20"/>
          <w:lang w:val="en-US"/>
        </w:rPr>
        <w:t xml:space="preserve">those who work </w:t>
      </w:r>
      <w:r w:rsidR="002016F7" w:rsidRPr="00D869E3">
        <w:rPr>
          <w:rFonts w:ascii="Verdana" w:hAnsi="Verdana"/>
          <w:sz w:val="20"/>
          <w:szCs w:val="20"/>
          <w:lang w:val="en-US"/>
        </w:rPr>
        <w:t>for</w:t>
      </w:r>
      <w:r w:rsidR="00E6309B" w:rsidRPr="00D869E3">
        <w:rPr>
          <w:rFonts w:ascii="Verdana" w:hAnsi="Verdana"/>
          <w:sz w:val="20"/>
          <w:szCs w:val="20"/>
          <w:lang w:val="en-US"/>
        </w:rPr>
        <w:t xml:space="preserve"> </w:t>
      </w:r>
      <w:r w:rsidR="00154B4B" w:rsidRPr="00D869E3">
        <w:rPr>
          <w:rFonts w:ascii="Verdana" w:hAnsi="Verdana"/>
          <w:sz w:val="20"/>
          <w:szCs w:val="20"/>
          <w:lang w:val="en-US"/>
        </w:rPr>
        <w:t xml:space="preserve">Conductores Eléctricos Peruanos S.A. </w:t>
      </w:r>
      <w:r w:rsidR="002016F7" w:rsidRPr="00D869E3">
        <w:rPr>
          <w:rFonts w:ascii="Verdana" w:hAnsi="Verdana"/>
          <w:sz w:val="20"/>
          <w:szCs w:val="20"/>
          <w:lang w:val="en-US"/>
        </w:rPr>
        <w:t>(</w:t>
      </w:r>
      <w:r w:rsidR="00154B4B" w:rsidRPr="00D869E3">
        <w:rPr>
          <w:rFonts w:ascii="Verdana" w:hAnsi="Verdana"/>
          <w:sz w:val="20"/>
          <w:szCs w:val="20"/>
          <w:lang w:val="en-US"/>
        </w:rPr>
        <w:t>CEPER PIRELLI</w:t>
      </w:r>
      <w:r w:rsidR="002016F7" w:rsidRPr="00D869E3">
        <w:rPr>
          <w:rFonts w:ascii="Verdana" w:hAnsi="Verdana"/>
          <w:sz w:val="20"/>
          <w:szCs w:val="20"/>
          <w:lang w:val="en-US"/>
        </w:rPr>
        <w:t>)</w:t>
      </w:r>
      <w:r w:rsidR="00E6309B" w:rsidRPr="00D869E3">
        <w:rPr>
          <w:rFonts w:ascii="Verdana" w:hAnsi="Verdana"/>
          <w:sz w:val="20"/>
          <w:szCs w:val="20"/>
          <w:lang w:val="en-US"/>
        </w:rPr>
        <w:t>.</w:t>
      </w:r>
      <w:r w:rsidR="006436CA" w:rsidRPr="00D869E3">
        <w:rPr>
          <w:rFonts w:ascii="Verdana" w:hAnsi="Verdana"/>
          <w:sz w:val="20"/>
          <w:szCs w:val="20"/>
          <w:lang w:val="en-US"/>
        </w:rPr>
        <w:t>”</w:t>
      </w:r>
      <w:r w:rsidR="00154B4B" w:rsidRPr="00D869E3">
        <w:rPr>
          <w:rStyle w:val="Refdenotaalpie"/>
          <w:szCs w:val="20"/>
          <w:lang w:val="en-US"/>
        </w:rPr>
        <w:footnoteReference w:id="20"/>
      </w:r>
      <w:r w:rsidR="006D5615" w:rsidRPr="00D869E3">
        <w:rPr>
          <w:rFonts w:ascii="Verdana" w:hAnsi="Verdana"/>
          <w:sz w:val="20"/>
          <w:szCs w:val="20"/>
          <w:lang w:val="en-US"/>
        </w:rPr>
        <w:t xml:space="preserve"> </w:t>
      </w:r>
    </w:p>
    <w:p w14:paraId="33FA198C" w14:textId="77777777" w:rsidR="006D5615" w:rsidRPr="00D869E3" w:rsidRDefault="006D5615" w:rsidP="005D0F69">
      <w:pPr>
        <w:pStyle w:val="Prrafodelista"/>
        <w:rPr>
          <w:rFonts w:ascii="Verdana" w:hAnsi="Verdana"/>
          <w:sz w:val="20"/>
          <w:szCs w:val="20"/>
          <w:lang w:val="en-US"/>
        </w:rPr>
      </w:pPr>
    </w:p>
    <w:p w14:paraId="66893D5E" w14:textId="4ADAFB64" w:rsidR="006D5615" w:rsidRPr="00D869E3" w:rsidRDefault="00E6309B" w:rsidP="00E6309B">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The Court also considers that </w:t>
      </w:r>
      <w:r w:rsidR="002016F7" w:rsidRPr="00D869E3">
        <w:rPr>
          <w:rFonts w:ascii="Verdana" w:hAnsi="Verdana"/>
          <w:sz w:val="20"/>
          <w:szCs w:val="20"/>
          <w:lang w:val="en-US"/>
        </w:rPr>
        <w:t xml:space="preserve">there are </w:t>
      </w:r>
      <w:r w:rsidRPr="00D869E3">
        <w:rPr>
          <w:rFonts w:ascii="Verdana" w:hAnsi="Verdana"/>
          <w:sz w:val="20"/>
          <w:szCs w:val="20"/>
          <w:lang w:val="en-US"/>
        </w:rPr>
        <w:t xml:space="preserve">elements that allow it to infer that, in his initial briefs, </w:t>
      </w:r>
      <w:r w:rsidR="001E44D3" w:rsidRPr="00D869E3">
        <w:rPr>
          <w:rFonts w:ascii="Verdana" w:hAnsi="Verdana"/>
          <w:sz w:val="20"/>
          <w:szCs w:val="20"/>
          <w:lang w:val="en-US"/>
        </w:rPr>
        <w:t>Mr. Lagos del Campo</w:t>
      </w:r>
      <w:r w:rsidRPr="00D869E3">
        <w:rPr>
          <w:rFonts w:ascii="Verdana" w:hAnsi="Verdana"/>
          <w:sz w:val="20"/>
          <w:szCs w:val="20"/>
          <w:lang w:val="en-US"/>
        </w:rPr>
        <w:t xml:space="preserve"> argued that, owing to his dismissal, the rights of other workers had been affected. In fact, the presumed victim indicated in the complaint he filed before the </w:t>
      </w:r>
      <w:r w:rsidR="002016F7" w:rsidRPr="00D869E3">
        <w:rPr>
          <w:rFonts w:ascii="Verdana" w:hAnsi="Verdana"/>
          <w:sz w:val="20"/>
          <w:szCs w:val="20"/>
          <w:lang w:val="en-US"/>
        </w:rPr>
        <w:t>l</w:t>
      </w:r>
      <w:r w:rsidRPr="00D869E3">
        <w:rPr>
          <w:rFonts w:ascii="Verdana" w:hAnsi="Verdana"/>
          <w:sz w:val="20"/>
          <w:szCs w:val="20"/>
          <w:lang w:val="en-US"/>
        </w:rPr>
        <w:t xml:space="preserve">abor </w:t>
      </w:r>
      <w:r w:rsidR="002016F7" w:rsidRPr="00D869E3">
        <w:rPr>
          <w:rFonts w:ascii="Verdana" w:hAnsi="Verdana"/>
          <w:sz w:val="20"/>
          <w:szCs w:val="20"/>
          <w:lang w:val="en-US"/>
        </w:rPr>
        <w:t>j</w:t>
      </w:r>
      <w:r w:rsidRPr="00D869E3">
        <w:rPr>
          <w:rFonts w:ascii="Verdana" w:hAnsi="Verdana"/>
          <w:sz w:val="20"/>
          <w:szCs w:val="20"/>
          <w:lang w:val="en-US"/>
        </w:rPr>
        <w:t xml:space="preserve">udge that </w:t>
      </w:r>
      <w:r w:rsidR="006436CA" w:rsidRPr="00D869E3">
        <w:rPr>
          <w:rFonts w:ascii="Verdana" w:hAnsi="Verdana"/>
          <w:sz w:val="20"/>
          <w:szCs w:val="20"/>
          <w:lang w:val="en-US"/>
        </w:rPr>
        <w:t>“</w:t>
      </w:r>
      <w:r w:rsidRPr="00D869E3">
        <w:rPr>
          <w:rFonts w:ascii="Verdana" w:hAnsi="Verdana"/>
          <w:sz w:val="20"/>
          <w:szCs w:val="20"/>
          <w:lang w:val="en-US"/>
        </w:rPr>
        <w:t xml:space="preserve">it is evident that the sanction applied against me, in addition to being unjustified and </w:t>
      </w:r>
      <w:r w:rsidR="004806A6" w:rsidRPr="00D869E3">
        <w:rPr>
          <w:rFonts w:ascii="Verdana" w:hAnsi="Verdana"/>
          <w:sz w:val="20"/>
          <w:szCs w:val="20"/>
          <w:lang w:val="en-US"/>
        </w:rPr>
        <w:t>unfair</w:t>
      </w:r>
      <w:r w:rsidRPr="00D869E3">
        <w:rPr>
          <w:rFonts w:ascii="Verdana" w:hAnsi="Verdana"/>
          <w:sz w:val="20"/>
          <w:szCs w:val="20"/>
          <w:lang w:val="en-US"/>
        </w:rPr>
        <w:t>, constitutes an act of interference in the internal matters of the Industrial Community.</w:t>
      </w:r>
      <w:r w:rsidR="006436CA" w:rsidRPr="00D869E3">
        <w:rPr>
          <w:rFonts w:ascii="Verdana" w:hAnsi="Verdana"/>
          <w:sz w:val="20"/>
          <w:szCs w:val="20"/>
          <w:lang w:val="en-US"/>
        </w:rPr>
        <w:t>”</w:t>
      </w:r>
      <w:r w:rsidR="006D5615" w:rsidRPr="00D869E3">
        <w:rPr>
          <w:rStyle w:val="Refdenotaalpie"/>
          <w:szCs w:val="20"/>
          <w:lang w:val="en-US"/>
        </w:rPr>
        <w:footnoteReference w:id="21"/>
      </w:r>
      <w:r w:rsidR="006D5615" w:rsidRPr="00D869E3">
        <w:rPr>
          <w:rFonts w:ascii="Verdana" w:hAnsi="Verdana"/>
          <w:sz w:val="20"/>
          <w:szCs w:val="20"/>
          <w:lang w:val="en-US"/>
        </w:rPr>
        <w:t xml:space="preserve"> </w:t>
      </w:r>
      <w:r w:rsidRPr="00D869E3">
        <w:rPr>
          <w:rFonts w:ascii="Verdana" w:hAnsi="Verdana"/>
          <w:sz w:val="20"/>
          <w:szCs w:val="20"/>
          <w:lang w:val="en-US"/>
        </w:rPr>
        <w:t>In</w:t>
      </w:r>
      <w:r w:rsidR="00447C65" w:rsidRPr="00D869E3">
        <w:rPr>
          <w:rFonts w:ascii="Verdana" w:hAnsi="Verdana"/>
          <w:sz w:val="20"/>
          <w:szCs w:val="20"/>
          <w:lang w:val="en-US"/>
        </w:rPr>
        <w:t xml:space="preserve"> the Court</w:t>
      </w:r>
      <w:r w:rsidRPr="00D869E3">
        <w:rPr>
          <w:rFonts w:ascii="Verdana" w:hAnsi="Verdana"/>
          <w:sz w:val="20"/>
          <w:szCs w:val="20"/>
          <w:lang w:val="en-US"/>
        </w:rPr>
        <w:t>’s opinion</w:t>
      </w:r>
      <w:r w:rsidR="006D5615" w:rsidRPr="00D869E3">
        <w:rPr>
          <w:rFonts w:ascii="Verdana" w:hAnsi="Verdana"/>
          <w:sz w:val="20"/>
          <w:szCs w:val="20"/>
          <w:lang w:val="en-US"/>
        </w:rPr>
        <w:t>,</w:t>
      </w:r>
      <w:r w:rsidRPr="00D869E3">
        <w:rPr>
          <w:rFonts w:ascii="Verdana" w:hAnsi="Verdana"/>
          <w:sz w:val="20"/>
          <w:szCs w:val="20"/>
          <w:lang w:val="en-US"/>
        </w:rPr>
        <w:t xml:space="preserve"> this and other references related to the connection between</w:t>
      </w:r>
      <w:r w:rsidR="00687684" w:rsidRPr="00D869E3">
        <w:rPr>
          <w:rFonts w:ascii="Verdana" w:hAnsi="Verdana"/>
          <w:sz w:val="20"/>
          <w:szCs w:val="20"/>
          <w:lang w:val="en-US"/>
        </w:rPr>
        <w:t xml:space="preserve"> the presumed </w:t>
      </w:r>
      <w:r w:rsidRPr="00D869E3">
        <w:rPr>
          <w:rFonts w:ascii="Verdana" w:hAnsi="Verdana"/>
          <w:sz w:val="20"/>
          <w:szCs w:val="20"/>
          <w:lang w:val="en-US"/>
        </w:rPr>
        <w:t>victim’s dismissal and the impact on the Industrial Community and its members, allow it to be concluded that the State had the opportunity to rule on facts related to the possible violation of the</w:t>
      </w:r>
      <w:r w:rsidR="006D5615"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006D5615" w:rsidRPr="00D869E3">
        <w:rPr>
          <w:rFonts w:ascii="Verdana" w:hAnsi="Verdana"/>
          <w:sz w:val="20"/>
          <w:szCs w:val="20"/>
          <w:lang w:val="en-US"/>
        </w:rPr>
        <w:t xml:space="preserve"> </w:t>
      </w:r>
      <w:r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other workers. </w:t>
      </w:r>
    </w:p>
    <w:p w14:paraId="4F0378B6" w14:textId="77777777" w:rsidR="00154B4B" w:rsidRPr="00D869E3" w:rsidRDefault="00154B4B" w:rsidP="00154B4B">
      <w:pPr>
        <w:pStyle w:val="Prrafodelista"/>
        <w:ind w:left="0"/>
        <w:rPr>
          <w:rFonts w:ascii="Verdana" w:hAnsi="Verdana"/>
          <w:sz w:val="20"/>
          <w:szCs w:val="20"/>
          <w:lang w:val="en-US"/>
        </w:rPr>
      </w:pPr>
    </w:p>
    <w:p w14:paraId="533AACB7" w14:textId="19C4175A" w:rsidR="00154B4B" w:rsidRPr="00D869E3" w:rsidRDefault="00E6309B" w:rsidP="00765E59">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Based on the above, the Court concludes that the State </w:t>
      </w:r>
      <w:r w:rsidR="00E65938" w:rsidRPr="00D869E3">
        <w:rPr>
          <w:rFonts w:ascii="Verdana" w:hAnsi="Verdana"/>
          <w:sz w:val="20"/>
          <w:szCs w:val="20"/>
          <w:lang w:val="en-US"/>
        </w:rPr>
        <w:t>had been</w:t>
      </w:r>
      <w:r w:rsidRPr="00D869E3">
        <w:rPr>
          <w:rFonts w:ascii="Verdana" w:hAnsi="Verdana"/>
          <w:sz w:val="20"/>
          <w:szCs w:val="20"/>
          <w:lang w:val="en-US"/>
        </w:rPr>
        <w:t xml:space="preserve"> aware of the facts that substantiate the presumed violation </w:t>
      </w:r>
      <w:r w:rsidR="00687684" w:rsidRPr="00D869E3">
        <w:rPr>
          <w:rFonts w:ascii="Verdana" w:hAnsi="Verdana"/>
          <w:sz w:val="20"/>
          <w:szCs w:val="20"/>
          <w:lang w:val="en-US"/>
        </w:rPr>
        <w:t>of Article</w:t>
      </w:r>
      <w:r w:rsidR="00154B4B" w:rsidRPr="00D869E3">
        <w:rPr>
          <w:rFonts w:ascii="Verdana" w:hAnsi="Verdana"/>
          <w:sz w:val="20"/>
          <w:szCs w:val="20"/>
          <w:lang w:val="en-US"/>
        </w:rPr>
        <w:t xml:space="preserve"> 16</w:t>
      </w:r>
      <w:r w:rsidR="00447C65" w:rsidRPr="00D869E3">
        <w:rPr>
          <w:rFonts w:ascii="Verdana" w:hAnsi="Verdana"/>
          <w:sz w:val="20"/>
          <w:szCs w:val="20"/>
          <w:lang w:val="en-US"/>
        </w:rPr>
        <w:t xml:space="preserve"> of the Convention</w:t>
      </w:r>
      <w:r w:rsidR="00154B4B" w:rsidRPr="00D869E3">
        <w:rPr>
          <w:rFonts w:ascii="Verdana" w:hAnsi="Verdana"/>
          <w:sz w:val="20"/>
          <w:szCs w:val="20"/>
          <w:lang w:val="en-US"/>
        </w:rPr>
        <w:t xml:space="preserve"> </w:t>
      </w:r>
      <w:r w:rsidR="00D21668" w:rsidRPr="00D869E3">
        <w:rPr>
          <w:rFonts w:ascii="Verdana" w:hAnsi="Verdana"/>
          <w:sz w:val="20"/>
          <w:szCs w:val="20"/>
          <w:lang w:val="en-US"/>
        </w:rPr>
        <w:t>to the detriment of</w:t>
      </w:r>
      <w:r w:rsidR="00154B4B" w:rsidRPr="00D869E3">
        <w:rPr>
          <w:rFonts w:ascii="Verdana" w:hAnsi="Verdana"/>
          <w:sz w:val="20"/>
          <w:szCs w:val="20"/>
          <w:lang w:val="en-US"/>
        </w:rPr>
        <w:t xml:space="preserve"> </w:t>
      </w:r>
      <w:r w:rsidR="00E65938" w:rsidRPr="00D869E3">
        <w:rPr>
          <w:rFonts w:ascii="Verdana" w:hAnsi="Verdana"/>
          <w:sz w:val="20"/>
          <w:szCs w:val="20"/>
          <w:lang w:val="en-US"/>
        </w:rPr>
        <w:t xml:space="preserve">Mr. Lagos </w:t>
      </w:r>
      <w:r w:rsidR="00154B4B" w:rsidRPr="00D869E3">
        <w:rPr>
          <w:rFonts w:ascii="Verdana" w:hAnsi="Verdana"/>
          <w:sz w:val="20"/>
          <w:szCs w:val="20"/>
          <w:lang w:val="en-US"/>
        </w:rPr>
        <w:t xml:space="preserve">del Campo </w:t>
      </w:r>
      <w:r w:rsidR="00E65938" w:rsidRPr="00D869E3">
        <w:rPr>
          <w:rFonts w:ascii="Verdana" w:hAnsi="Verdana"/>
          <w:sz w:val="20"/>
          <w:szCs w:val="20"/>
          <w:lang w:val="en-US"/>
        </w:rPr>
        <w:t xml:space="preserve">since the Commission began to process this matter; therefore, </w:t>
      </w:r>
      <w:r w:rsidR="00765E59" w:rsidRPr="00D869E3">
        <w:rPr>
          <w:rFonts w:ascii="Verdana" w:hAnsi="Verdana"/>
          <w:sz w:val="20"/>
          <w:szCs w:val="20"/>
          <w:lang w:val="en-US"/>
        </w:rPr>
        <w:t>it could have stated its position if it had deemed this pertinent. For the same reason</w:t>
      </w:r>
      <w:r w:rsidR="00154B4B" w:rsidRPr="00D869E3">
        <w:rPr>
          <w:rFonts w:ascii="Verdana" w:hAnsi="Verdana"/>
          <w:sz w:val="20"/>
          <w:szCs w:val="20"/>
          <w:lang w:val="en-US"/>
        </w:rPr>
        <w:t xml:space="preserve">, </w:t>
      </w:r>
      <w:r w:rsidR="00765E59" w:rsidRPr="00D869E3">
        <w:rPr>
          <w:rFonts w:ascii="Verdana" w:hAnsi="Verdana"/>
          <w:sz w:val="20"/>
          <w:szCs w:val="20"/>
          <w:lang w:val="en-US"/>
        </w:rPr>
        <w:t xml:space="preserve">in its Merits Report, </w:t>
      </w:r>
      <w:r w:rsidR="00447C65" w:rsidRPr="00D869E3">
        <w:rPr>
          <w:rFonts w:ascii="Verdana" w:hAnsi="Verdana"/>
          <w:sz w:val="20"/>
          <w:szCs w:val="20"/>
          <w:lang w:val="en-US"/>
        </w:rPr>
        <w:t>the Commission</w:t>
      </w:r>
      <w:r w:rsidR="00154B4B" w:rsidRPr="00D869E3">
        <w:rPr>
          <w:rFonts w:ascii="Verdana" w:hAnsi="Verdana"/>
          <w:sz w:val="20"/>
          <w:szCs w:val="20"/>
          <w:lang w:val="en-US"/>
        </w:rPr>
        <w:t xml:space="preserve"> </w:t>
      </w:r>
      <w:r w:rsidR="00765E59" w:rsidRPr="00D869E3">
        <w:rPr>
          <w:rFonts w:ascii="Verdana" w:hAnsi="Verdana"/>
          <w:sz w:val="20"/>
          <w:szCs w:val="20"/>
          <w:lang w:val="en-US"/>
        </w:rPr>
        <w:t xml:space="preserve">was able to classify the facts </w:t>
      </w:r>
      <w:r w:rsidR="00E65938" w:rsidRPr="00D869E3">
        <w:rPr>
          <w:rFonts w:ascii="Verdana" w:hAnsi="Verdana"/>
          <w:sz w:val="20"/>
          <w:szCs w:val="20"/>
          <w:lang w:val="en-US"/>
        </w:rPr>
        <w:t>in a different way</w:t>
      </w:r>
      <w:r w:rsidR="00765E59" w:rsidRPr="00D869E3">
        <w:rPr>
          <w:rFonts w:ascii="Verdana" w:hAnsi="Verdana"/>
          <w:sz w:val="20"/>
          <w:szCs w:val="20"/>
          <w:lang w:val="en-US"/>
        </w:rPr>
        <w:t xml:space="preserve"> from in the </w:t>
      </w:r>
      <w:r w:rsidR="00687684" w:rsidRPr="00D869E3">
        <w:rPr>
          <w:rFonts w:ascii="Verdana" w:hAnsi="Verdana"/>
          <w:sz w:val="20"/>
          <w:szCs w:val="20"/>
          <w:lang w:val="en-US"/>
        </w:rPr>
        <w:t>Admissibility Report</w:t>
      </w:r>
      <w:r w:rsidR="00154B4B" w:rsidRPr="00D869E3">
        <w:rPr>
          <w:rFonts w:ascii="Verdana" w:hAnsi="Verdana"/>
          <w:sz w:val="20"/>
          <w:szCs w:val="20"/>
          <w:lang w:val="en-US"/>
        </w:rPr>
        <w:t xml:space="preserve">, </w:t>
      </w:r>
      <w:r w:rsidR="00765E59" w:rsidRPr="00D869E3">
        <w:rPr>
          <w:rFonts w:ascii="Verdana" w:hAnsi="Verdana"/>
          <w:sz w:val="20"/>
          <w:szCs w:val="20"/>
          <w:lang w:val="en-US"/>
        </w:rPr>
        <w:t>without this involving a violation of the State’s right to defend itself. Consequently, the Court concludes that, in this regard, there was no violation of the right of defense during the procedure before</w:t>
      </w:r>
      <w:r w:rsidR="00154B4B" w:rsidRPr="00D869E3">
        <w:rPr>
          <w:rFonts w:ascii="Verdana" w:hAnsi="Verdana"/>
          <w:sz w:val="20"/>
          <w:szCs w:val="20"/>
          <w:lang w:val="en-US"/>
        </w:rPr>
        <w:t xml:space="preserve"> </w:t>
      </w:r>
      <w:r w:rsidR="00447C65" w:rsidRPr="00D869E3">
        <w:rPr>
          <w:rFonts w:ascii="Verdana" w:hAnsi="Verdana"/>
          <w:sz w:val="20"/>
          <w:szCs w:val="20"/>
          <w:lang w:val="en-US"/>
        </w:rPr>
        <w:t>the Inter-American Commission</w:t>
      </w:r>
      <w:r w:rsidR="00154B4B" w:rsidRPr="00D869E3">
        <w:rPr>
          <w:rFonts w:ascii="Verdana" w:hAnsi="Verdana"/>
          <w:sz w:val="20"/>
          <w:szCs w:val="20"/>
          <w:lang w:val="en-US"/>
        </w:rPr>
        <w:t xml:space="preserve"> </w:t>
      </w:r>
      <w:r w:rsidR="00765E59" w:rsidRPr="00D869E3">
        <w:rPr>
          <w:rFonts w:ascii="Verdana" w:hAnsi="Verdana"/>
          <w:sz w:val="20"/>
          <w:szCs w:val="20"/>
          <w:lang w:val="en-US"/>
        </w:rPr>
        <w:t>in the terms indicated by</w:t>
      </w:r>
      <w:r w:rsidR="00154B4B" w:rsidRPr="00D869E3">
        <w:rPr>
          <w:rFonts w:ascii="Verdana" w:hAnsi="Verdana"/>
          <w:sz w:val="20"/>
          <w:szCs w:val="20"/>
          <w:lang w:val="en-US"/>
        </w:rPr>
        <w:t xml:space="preserve"> </w:t>
      </w:r>
      <w:r w:rsidR="00447C65" w:rsidRPr="00D869E3">
        <w:rPr>
          <w:rFonts w:ascii="Verdana" w:hAnsi="Verdana"/>
          <w:sz w:val="20"/>
          <w:szCs w:val="20"/>
          <w:lang w:val="en-US"/>
        </w:rPr>
        <w:t>the State</w:t>
      </w:r>
      <w:r w:rsidR="00154B4B" w:rsidRPr="00D869E3">
        <w:rPr>
          <w:rFonts w:ascii="Verdana" w:hAnsi="Verdana"/>
          <w:sz w:val="20"/>
          <w:szCs w:val="20"/>
          <w:lang w:val="en-US"/>
        </w:rPr>
        <w:t>.</w:t>
      </w:r>
    </w:p>
    <w:p w14:paraId="0D00D714" w14:textId="77777777" w:rsidR="00154B4B" w:rsidRPr="00D869E3" w:rsidRDefault="00154B4B" w:rsidP="00154B4B">
      <w:pPr>
        <w:pStyle w:val="Prrafodelista"/>
        <w:ind w:left="0"/>
        <w:jc w:val="both"/>
        <w:rPr>
          <w:rFonts w:ascii="Verdana" w:hAnsi="Verdana"/>
          <w:sz w:val="20"/>
          <w:szCs w:val="20"/>
          <w:lang w:val="en-US"/>
        </w:rPr>
      </w:pPr>
    </w:p>
    <w:p w14:paraId="5199065F" w14:textId="77E96C13" w:rsidR="00154B4B" w:rsidRPr="00D869E3" w:rsidRDefault="00AA1EBF" w:rsidP="00E66DD7">
      <w:pPr>
        <w:pStyle w:val="Ttulo3"/>
        <w:numPr>
          <w:ilvl w:val="0"/>
          <w:numId w:val="7"/>
        </w:numPr>
        <w:jc w:val="both"/>
        <w:rPr>
          <w:i/>
          <w:szCs w:val="20"/>
          <w:lang w:val="en-US"/>
        </w:rPr>
      </w:pPr>
      <w:bookmarkStart w:id="10" w:name="_Toc29114106"/>
      <w:r w:rsidRPr="00D869E3">
        <w:rPr>
          <w:i/>
          <w:szCs w:val="20"/>
          <w:lang w:val="en-US"/>
        </w:rPr>
        <w:t>T</w:t>
      </w:r>
      <w:r w:rsidR="00154B4B" w:rsidRPr="00D869E3">
        <w:rPr>
          <w:i/>
          <w:szCs w:val="20"/>
          <w:lang w:val="en-US"/>
        </w:rPr>
        <w:t xml:space="preserve">emporal </w:t>
      </w:r>
      <w:r w:rsidRPr="00D869E3">
        <w:rPr>
          <w:i/>
          <w:szCs w:val="20"/>
          <w:lang w:val="en-US"/>
        </w:rPr>
        <w:t>delimitation of the analysis of judicial actions</w:t>
      </w:r>
      <w:bookmarkEnd w:id="10"/>
    </w:p>
    <w:p w14:paraId="02423CF9" w14:textId="77777777" w:rsidR="00154B4B" w:rsidRPr="00D869E3" w:rsidRDefault="00154B4B" w:rsidP="00154B4B">
      <w:pPr>
        <w:pStyle w:val="Prrafodelista"/>
        <w:ind w:left="0"/>
        <w:jc w:val="both"/>
        <w:rPr>
          <w:rFonts w:ascii="Verdana" w:hAnsi="Verdana"/>
          <w:sz w:val="20"/>
          <w:szCs w:val="20"/>
          <w:lang w:val="en-US"/>
        </w:rPr>
      </w:pPr>
    </w:p>
    <w:p w14:paraId="4229DF5E" w14:textId="621D524F" w:rsidR="00154B4B" w:rsidRPr="00D869E3" w:rsidRDefault="00A60EB7" w:rsidP="00A60EB7">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lastRenderedPageBreak/>
        <w:t>Th</w:t>
      </w:r>
      <w:r w:rsidR="00E65938" w:rsidRPr="00D869E3">
        <w:rPr>
          <w:rFonts w:ascii="Verdana" w:hAnsi="Verdana"/>
          <w:sz w:val="20"/>
          <w:szCs w:val="20"/>
          <w:lang w:val="en-US"/>
        </w:rPr>
        <w:t>e</w:t>
      </w:r>
      <w:r w:rsidRPr="00D869E3">
        <w:rPr>
          <w:rFonts w:ascii="Verdana" w:hAnsi="Verdana"/>
          <w:sz w:val="20"/>
          <w:szCs w:val="20"/>
          <w:lang w:val="en-US"/>
        </w:rPr>
        <w:t xml:space="preserve"> Court has established that the factual framework of the proceedings before it is constituted by the facts contained in the </w:t>
      </w:r>
      <w:r w:rsidR="00687684" w:rsidRPr="00D869E3">
        <w:rPr>
          <w:rFonts w:ascii="Verdana" w:hAnsi="Verdana"/>
          <w:sz w:val="20"/>
          <w:szCs w:val="20"/>
          <w:lang w:val="en-US"/>
        </w:rPr>
        <w:t>Merits Report</w:t>
      </w:r>
      <w:r w:rsidR="00154B4B" w:rsidRPr="00D869E3">
        <w:rPr>
          <w:rFonts w:ascii="Verdana" w:hAnsi="Verdana"/>
          <w:sz w:val="20"/>
          <w:szCs w:val="20"/>
          <w:lang w:val="en-US"/>
        </w:rPr>
        <w:t xml:space="preserve"> </w:t>
      </w:r>
      <w:r w:rsidRPr="00D869E3">
        <w:rPr>
          <w:rFonts w:ascii="Verdana" w:hAnsi="Verdana"/>
          <w:sz w:val="20"/>
          <w:szCs w:val="20"/>
          <w:lang w:val="en-US"/>
        </w:rPr>
        <w:t>submitted to its consideration</w:t>
      </w:r>
      <w:r w:rsidR="00154B4B" w:rsidRPr="00D869E3">
        <w:rPr>
          <w:rFonts w:ascii="Verdana" w:hAnsi="Verdana"/>
          <w:sz w:val="20"/>
          <w:szCs w:val="20"/>
          <w:lang w:val="en-US"/>
        </w:rPr>
        <w:t xml:space="preserve">. </w:t>
      </w:r>
      <w:r w:rsidRPr="00D869E3">
        <w:rPr>
          <w:rFonts w:ascii="Verdana" w:hAnsi="Verdana"/>
          <w:sz w:val="20"/>
          <w:szCs w:val="20"/>
          <w:lang w:val="en-US"/>
        </w:rPr>
        <w:t xml:space="preserve">Consequently, it is not admissible for the parties to allege new facts that differ from those contained in the Merits Report, without prejudice to submitting those that may explain, clarify or reject the facts mentioned in the said report that have been submitted to the Court’s consideration (also known as </w:t>
      </w:r>
      <w:r w:rsidR="006436CA" w:rsidRPr="00D869E3">
        <w:rPr>
          <w:rFonts w:ascii="Verdana" w:hAnsi="Verdana"/>
          <w:sz w:val="20"/>
          <w:szCs w:val="20"/>
          <w:lang w:val="en-US"/>
        </w:rPr>
        <w:t>“</w:t>
      </w:r>
      <w:r w:rsidRPr="00D869E3">
        <w:rPr>
          <w:rFonts w:ascii="Verdana" w:hAnsi="Verdana"/>
          <w:sz w:val="20"/>
          <w:szCs w:val="20"/>
          <w:lang w:val="en-US"/>
        </w:rPr>
        <w:t>supplementary facts</w:t>
      </w:r>
      <w:r w:rsidR="006436CA" w:rsidRPr="00D869E3">
        <w:rPr>
          <w:rFonts w:ascii="Verdana" w:hAnsi="Verdana"/>
          <w:sz w:val="20"/>
          <w:szCs w:val="20"/>
          <w:lang w:val="en-US"/>
        </w:rPr>
        <w:t>”</w:t>
      </w:r>
      <w:r w:rsidRPr="00D869E3">
        <w:rPr>
          <w:rFonts w:ascii="Verdana" w:hAnsi="Verdana"/>
          <w:sz w:val="20"/>
          <w:szCs w:val="20"/>
          <w:lang w:val="en-US"/>
        </w:rPr>
        <w:t>).</w:t>
      </w:r>
      <w:r w:rsidRPr="00D869E3">
        <w:rPr>
          <w:rStyle w:val="Refdenotaalpie"/>
          <w:szCs w:val="20"/>
          <w:lang w:val="en-US"/>
        </w:rPr>
        <w:footnoteReference w:id="22"/>
      </w:r>
      <w:r w:rsidRPr="00D869E3">
        <w:rPr>
          <w:rFonts w:ascii="Verdana" w:hAnsi="Verdana"/>
          <w:sz w:val="20"/>
          <w:szCs w:val="20"/>
          <w:lang w:val="en-US"/>
        </w:rPr>
        <w:t xml:space="preserve"> The exception to this principle are facts that are classified as supervening, which may be forwarded to the Court at any stage of the proceedings prior to the delivery of judgment</w:t>
      </w:r>
      <w:r w:rsidR="00E65938" w:rsidRPr="00D869E3">
        <w:rPr>
          <w:rFonts w:ascii="Verdana" w:hAnsi="Verdana"/>
          <w:sz w:val="20"/>
          <w:szCs w:val="20"/>
          <w:lang w:val="en-US"/>
        </w:rPr>
        <w:t>,</w:t>
      </w:r>
      <w:r w:rsidRPr="00D869E3">
        <w:rPr>
          <w:rFonts w:ascii="Verdana" w:hAnsi="Verdana"/>
          <w:sz w:val="20"/>
          <w:szCs w:val="20"/>
          <w:lang w:val="en-US"/>
        </w:rPr>
        <w:t xml:space="preserve"> provided they relate to the facts of the case</w:t>
      </w:r>
      <w:r w:rsidR="00154B4B" w:rsidRPr="00D869E3">
        <w:rPr>
          <w:rFonts w:ascii="Verdana" w:hAnsi="Verdana"/>
          <w:sz w:val="20"/>
          <w:szCs w:val="20"/>
          <w:lang w:val="en-US"/>
        </w:rPr>
        <w:t xml:space="preserve">. </w:t>
      </w:r>
    </w:p>
    <w:p w14:paraId="5B6AFADB" w14:textId="77777777" w:rsidR="00154B4B" w:rsidRPr="00D869E3" w:rsidRDefault="00154B4B" w:rsidP="00154B4B">
      <w:pPr>
        <w:pStyle w:val="Prrafodelista"/>
        <w:rPr>
          <w:rFonts w:ascii="Verdana" w:hAnsi="Verdana"/>
          <w:sz w:val="20"/>
          <w:szCs w:val="20"/>
          <w:lang w:val="en-US"/>
        </w:rPr>
      </w:pPr>
    </w:p>
    <w:p w14:paraId="46A619F4" w14:textId="5A7949A1" w:rsidR="00653B63" w:rsidRPr="00D869E3" w:rsidRDefault="00A60EB7" w:rsidP="00A60EB7">
      <w:pPr>
        <w:pStyle w:val="Prrafodelista"/>
        <w:numPr>
          <w:ilvl w:val="0"/>
          <w:numId w:val="1"/>
        </w:numPr>
        <w:ind w:left="0" w:firstLine="0"/>
        <w:jc w:val="both"/>
        <w:rPr>
          <w:rFonts w:ascii="Verdana" w:hAnsi="Verdana"/>
          <w:sz w:val="20"/>
          <w:lang w:val="en-US"/>
        </w:rPr>
      </w:pPr>
      <w:r w:rsidRPr="00D869E3">
        <w:rPr>
          <w:rFonts w:ascii="Verdana" w:hAnsi="Verdana"/>
          <w:sz w:val="20"/>
          <w:szCs w:val="20"/>
          <w:lang w:val="en-US"/>
        </w:rPr>
        <w:t>In the instant case</w:t>
      </w:r>
      <w:r w:rsidR="00154B4B" w:rsidRPr="00D869E3">
        <w:rPr>
          <w:rFonts w:ascii="Verdana" w:hAnsi="Verdana"/>
          <w:sz w:val="20"/>
          <w:szCs w:val="20"/>
          <w:lang w:val="en-US"/>
        </w:rPr>
        <w:t xml:space="preserve">, </w:t>
      </w:r>
      <w:r w:rsidR="00447C65" w:rsidRPr="00D869E3">
        <w:rPr>
          <w:rFonts w:ascii="Verdana" w:hAnsi="Verdana"/>
          <w:sz w:val="20"/>
          <w:szCs w:val="20"/>
          <w:lang w:val="en-US"/>
        </w:rPr>
        <w:t>the Court</w:t>
      </w:r>
      <w:r w:rsidR="00154B4B" w:rsidRPr="00D869E3">
        <w:rPr>
          <w:rFonts w:ascii="Verdana" w:hAnsi="Verdana"/>
          <w:sz w:val="20"/>
          <w:szCs w:val="20"/>
          <w:lang w:val="en-US"/>
        </w:rPr>
        <w:t xml:space="preserve"> </w:t>
      </w:r>
      <w:r w:rsidRPr="00D869E3">
        <w:rPr>
          <w:rFonts w:ascii="Verdana" w:hAnsi="Verdana"/>
          <w:sz w:val="20"/>
          <w:szCs w:val="20"/>
          <w:lang w:val="en-US"/>
        </w:rPr>
        <w:t>notes that, in the</w:t>
      </w:r>
      <w:r w:rsidR="00154B4B" w:rsidRPr="00D869E3">
        <w:rPr>
          <w:rFonts w:ascii="Verdana" w:hAnsi="Verdana"/>
          <w:sz w:val="20"/>
          <w:szCs w:val="20"/>
          <w:lang w:val="en-US"/>
        </w:rPr>
        <w:t xml:space="preserve"> </w:t>
      </w:r>
      <w:r w:rsidR="00687684" w:rsidRPr="00D869E3">
        <w:rPr>
          <w:rFonts w:ascii="Verdana" w:hAnsi="Verdana"/>
          <w:sz w:val="20"/>
          <w:szCs w:val="20"/>
          <w:lang w:val="en-US"/>
        </w:rPr>
        <w:t>Merits Report</w:t>
      </w:r>
      <w:r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154B4B" w:rsidRPr="00D869E3">
        <w:rPr>
          <w:rFonts w:ascii="Verdana" w:hAnsi="Verdana"/>
          <w:sz w:val="20"/>
          <w:szCs w:val="20"/>
          <w:lang w:val="en-US"/>
        </w:rPr>
        <w:t xml:space="preserve"> inclu</w:t>
      </w:r>
      <w:r w:rsidRPr="00D869E3">
        <w:rPr>
          <w:rFonts w:ascii="Verdana" w:hAnsi="Verdana"/>
          <w:sz w:val="20"/>
          <w:szCs w:val="20"/>
          <w:lang w:val="en-US"/>
        </w:rPr>
        <w:t>ded various remedies filed by</w:t>
      </w:r>
      <w:r w:rsidR="00154B4B"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154B4B" w:rsidRPr="00D869E3">
        <w:rPr>
          <w:rFonts w:ascii="Verdana" w:hAnsi="Verdana"/>
          <w:sz w:val="20"/>
          <w:szCs w:val="20"/>
          <w:lang w:val="en-US"/>
        </w:rPr>
        <w:t>,</w:t>
      </w:r>
      <w:r w:rsidRPr="00D869E3">
        <w:rPr>
          <w:rFonts w:ascii="Verdana" w:hAnsi="Verdana"/>
          <w:sz w:val="20"/>
          <w:szCs w:val="20"/>
          <w:lang w:val="en-US"/>
        </w:rPr>
        <w:t xml:space="preserve"> among which are those of March 30, April 28 and May 4, 1993, as well as those filed in 1996 and subsequently. The Commission also referred in the Merits Report to facts related to the self-coup of April 5, 1992, and the </w:t>
      </w:r>
      <w:r w:rsidR="00E5104D" w:rsidRPr="00D869E3">
        <w:rPr>
          <w:rFonts w:ascii="Verdana" w:hAnsi="Verdana"/>
          <w:sz w:val="20"/>
          <w:szCs w:val="20"/>
          <w:lang w:val="en-US"/>
        </w:rPr>
        <w:t xml:space="preserve">dissolving </w:t>
      </w:r>
      <w:r w:rsidRPr="00D869E3">
        <w:rPr>
          <w:rFonts w:ascii="Verdana" w:hAnsi="Verdana"/>
          <w:sz w:val="20"/>
          <w:szCs w:val="20"/>
          <w:lang w:val="en-US"/>
        </w:rPr>
        <w:t>of the Court of Constitutional Guarantees.</w:t>
      </w:r>
      <w:r w:rsidR="00380D3E" w:rsidRPr="00D869E3">
        <w:rPr>
          <w:rFonts w:ascii="Verdana" w:hAnsi="Verdana"/>
          <w:sz w:val="20"/>
          <w:szCs w:val="20"/>
          <w:lang w:val="en-US"/>
        </w:rPr>
        <w:t xml:space="preserve"> Therefore, since the Commission has submitted these facts to the jurisdiction of the Court, they may be taken into account when examining the merits of the case. Similarly, the facts narrated by the representatives in the</w:t>
      </w:r>
      <w:r w:rsidR="00380D3E" w:rsidRPr="00D869E3">
        <w:rPr>
          <w:rFonts w:ascii="Verdana" w:hAnsi="Verdana"/>
          <w:sz w:val="20"/>
          <w:lang w:val="en-US"/>
        </w:rPr>
        <w:t xml:space="preserve"> </w:t>
      </w:r>
      <w:r w:rsidR="00380D3E" w:rsidRPr="00D869E3">
        <w:rPr>
          <w:rFonts w:ascii="Verdana" w:hAnsi="Verdana"/>
          <w:sz w:val="20"/>
          <w:szCs w:val="20"/>
          <w:lang w:val="en-US"/>
        </w:rPr>
        <w:t>b</w:t>
      </w:r>
      <w:r w:rsidR="00CE3F0D" w:rsidRPr="00D869E3">
        <w:rPr>
          <w:rFonts w:ascii="Verdana" w:hAnsi="Verdana"/>
          <w:sz w:val="20"/>
          <w:szCs w:val="20"/>
          <w:lang w:val="en-US"/>
        </w:rPr>
        <w:t xml:space="preserve">rief with </w:t>
      </w:r>
      <w:r w:rsidR="001C1450" w:rsidRPr="00D869E3">
        <w:rPr>
          <w:rFonts w:ascii="Verdana" w:hAnsi="Verdana"/>
          <w:sz w:val="20"/>
          <w:szCs w:val="20"/>
          <w:lang w:val="en-US"/>
        </w:rPr>
        <w:t>motions, pleadings and</w:t>
      </w:r>
      <w:r w:rsidR="00CE3F0D" w:rsidRPr="00D869E3">
        <w:rPr>
          <w:rFonts w:ascii="Verdana" w:hAnsi="Verdana"/>
          <w:sz w:val="20"/>
          <w:szCs w:val="20"/>
          <w:lang w:val="en-US"/>
        </w:rPr>
        <w:t xml:space="preserve"> evidence</w:t>
      </w:r>
      <w:r w:rsidR="00154B4B" w:rsidRPr="00D869E3">
        <w:rPr>
          <w:rFonts w:ascii="Verdana" w:hAnsi="Verdana"/>
          <w:sz w:val="20"/>
          <w:lang w:val="en-US"/>
        </w:rPr>
        <w:t xml:space="preserve"> </w:t>
      </w:r>
      <w:r w:rsidR="00380D3E" w:rsidRPr="00D869E3">
        <w:rPr>
          <w:rFonts w:ascii="Verdana" w:hAnsi="Verdana"/>
          <w:sz w:val="20"/>
          <w:lang w:val="en-US"/>
        </w:rPr>
        <w:t>will be taken into consideration, insofar as they do not constitute new facts. Consequently, the Court finds the State’s request in this regard inadmissible.</w:t>
      </w:r>
    </w:p>
    <w:p w14:paraId="6BC60A54" w14:textId="67EF7B9D" w:rsidR="00AF7637" w:rsidRPr="00D869E3" w:rsidRDefault="00AF7637" w:rsidP="005D0F69">
      <w:pPr>
        <w:pStyle w:val="Prrafodelista"/>
        <w:ind w:left="0"/>
        <w:jc w:val="both"/>
        <w:rPr>
          <w:rFonts w:ascii="Verdana" w:hAnsi="Verdana"/>
          <w:sz w:val="20"/>
          <w:szCs w:val="20"/>
          <w:lang w:val="en-US"/>
        </w:rPr>
      </w:pPr>
    </w:p>
    <w:p w14:paraId="63C4E73D" w14:textId="5D35B2E9" w:rsidR="008C33CE" w:rsidRPr="00D869E3" w:rsidRDefault="008C33CE" w:rsidP="008C33CE">
      <w:pPr>
        <w:pStyle w:val="Ttulo1"/>
        <w:tabs>
          <w:tab w:val="left" w:pos="851"/>
        </w:tabs>
        <w:spacing w:before="0"/>
        <w:jc w:val="center"/>
        <w:rPr>
          <w:rFonts w:cs="Verdana"/>
          <w:caps/>
          <w:snapToGrid w:val="0"/>
          <w:szCs w:val="20"/>
          <w:lang w:val="en-US"/>
        </w:rPr>
      </w:pPr>
      <w:bookmarkStart w:id="11" w:name="_Toc29114107"/>
      <w:r w:rsidRPr="00D869E3">
        <w:rPr>
          <w:rFonts w:cs="Verdana"/>
          <w:caps/>
          <w:snapToGrid w:val="0"/>
          <w:szCs w:val="20"/>
          <w:lang w:val="en-US"/>
        </w:rPr>
        <w:t>V</w:t>
      </w:r>
      <w:r w:rsidRPr="00D869E3">
        <w:rPr>
          <w:rFonts w:cs="Verdana"/>
          <w:caps/>
          <w:snapToGrid w:val="0"/>
          <w:szCs w:val="20"/>
          <w:lang w:val="en-US"/>
        </w:rPr>
        <w:br/>
      </w:r>
      <w:r w:rsidR="00380D3E" w:rsidRPr="00D869E3">
        <w:rPr>
          <w:rFonts w:cs="Verdana"/>
          <w:caps/>
          <w:snapToGrid w:val="0"/>
          <w:szCs w:val="20"/>
          <w:lang w:val="en-US"/>
        </w:rPr>
        <w:t>EVIDENCE</w:t>
      </w:r>
      <w:bookmarkEnd w:id="11"/>
    </w:p>
    <w:p w14:paraId="13E7F092" w14:textId="77777777" w:rsidR="008C33CE" w:rsidRPr="00D869E3" w:rsidRDefault="008C33CE" w:rsidP="008C33CE">
      <w:pPr>
        <w:jc w:val="both"/>
        <w:rPr>
          <w:rFonts w:ascii="Verdana" w:hAnsi="Verdana"/>
          <w:sz w:val="20"/>
          <w:szCs w:val="20"/>
          <w:lang w:val="en-US"/>
        </w:rPr>
      </w:pPr>
    </w:p>
    <w:p w14:paraId="4404C99C" w14:textId="68C178F2" w:rsidR="008C33CE" w:rsidRPr="00D869E3" w:rsidRDefault="00380D3E" w:rsidP="00E66DD7">
      <w:pPr>
        <w:pStyle w:val="Ttulo2"/>
        <w:numPr>
          <w:ilvl w:val="0"/>
          <w:numId w:val="19"/>
        </w:numPr>
        <w:rPr>
          <w:rFonts w:eastAsia="MS Gothic"/>
          <w:i/>
          <w:lang w:val="en-US"/>
        </w:rPr>
      </w:pPr>
      <w:bookmarkStart w:id="12" w:name="_Toc29114108"/>
      <w:r w:rsidRPr="00D869E3">
        <w:rPr>
          <w:rFonts w:eastAsia="MS Gothic"/>
          <w:i/>
          <w:lang w:val="en-US"/>
        </w:rPr>
        <w:t>Documentary, testimonial and expert evidence</w:t>
      </w:r>
      <w:bookmarkEnd w:id="12"/>
    </w:p>
    <w:p w14:paraId="06B744D6" w14:textId="77777777" w:rsidR="008C33CE" w:rsidRPr="00D869E3" w:rsidRDefault="008C33CE" w:rsidP="008C33CE">
      <w:pPr>
        <w:pStyle w:val="Prrafodelista"/>
        <w:ind w:left="0"/>
        <w:jc w:val="both"/>
        <w:rPr>
          <w:rFonts w:ascii="Verdana" w:hAnsi="Verdana"/>
          <w:sz w:val="20"/>
          <w:szCs w:val="20"/>
          <w:lang w:val="en-US"/>
        </w:rPr>
      </w:pPr>
    </w:p>
    <w:p w14:paraId="3FD86D14" w14:textId="16FA13B3" w:rsidR="008C33CE" w:rsidRPr="00D869E3" w:rsidRDefault="00447C65" w:rsidP="00E66DD7">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The Court</w:t>
      </w:r>
      <w:r w:rsidR="008C33CE" w:rsidRPr="00D869E3">
        <w:rPr>
          <w:rFonts w:ascii="Verdana" w:hAnsi="Verdana"/>
          <w:sz w:val="20"/>
          <w:szCs w:val="20"/>
          <w:lang w:val="en-US"/>
        </w:rPr>
        <w:t xml:space="preserve"> </w:t>
      </w:r>
      <w:r w:rsidR="00380D3E" w:rsidRPr="00D869E3">
        <w:rPr>
          <w:rFonts w:ascii="Verdana" w:hAnsi="Verdana"/>
          <w:sz w:val="20"/>
          <w:szCs w:val="20"/>
          <w:lang w:val="en-US"/>
        </w:rPr>
        <w:t xml:space="preserve">has </w:t>
      </w:r>
      <w:r w:rsidR="008C33CE" w:rsidRPr="00D869E3">
        <w:rPr>
          <w:rFonts w:ascii="Verdana" w:hAnsi="Verdana"/>
          <w:sz w:val="20"/>
          <w:szCs w:val="20"/>
          <w:lang w:val="en-US"/>
        </w:rPr>
        <w:t>rec</w:t>
      </w:r>
      <w:r w:rsidR="00380D3E" w:rsidRPr="00D869E3">
        <w:rPr>
          <w:rFonts w:ascii="Verdana" w:hAnsi="Verdana"/>
          <w:sz w:val="20"/>
          <w:szCs w:val="20"/>
          <w:lang w:val="en-US"/>
        </w:rPr>
        <w:t xml:space="preserve">eived </w:t>
      </w:r>
      <w:r w:rsidR="00083067" w:rsidRPr="00D869E3">
        <w:rPr>
          <w:rFonts w:ascii="Verdana" w:hAnsi="Verdana"/>
          <w:sz w:val="20"/>
          <w:szCs w:val="20"/>
          <w:lang w:val="en-US"/>
        </w:rPr>
        <w:t>diverse</w:t>
      </w:r>
      <w:r w:rsidR="00380D3E" w:rsidRPr="00D869E3">
        <w:rPr>
          <w:rFonts w:ascii="Verdana" w:hAnsi="Verdana"/>
          <w:sz w:val="20"/>
          <w:szCs w:val="20"/>
          <w:lang w:val="en-US"/>
        </w:rPr>
        <w:t xml:space="preserve"> documents presented as evidence by </w:t>
      </w:r>
      <w:r w:rsidRPr="00D869E3">
        <w:rPr>
          <w:rFonts w:ascii="Verdana" w:hAnsi="Verdana"/>
          <w:sz w:val="20"/>
          <w:szCs w:val="20"/>
          <w:lang w:val="en-US"/>
        </w:rPr>
        <w:t>the Commission</w:t>
      </w:r>
      <w:r w:rsidR="008C33CE" w:rsidRPr="00D869E3">
        <w:rPr>
          <w:rFonts w:ascii="Verdana" w:hAnsi="Verdana"/>
          <w:sz w:val="20"/>
          <w:szCs w:val="20"/>
          <w:lang w:val="en-US"/>
        </w:rPr>
        <w:t xml:space="preserve">, </w:t>
      </w:r>
      <w:r w:rsidR="00687684" w:rsidRPr="00D869E3">
        <w:rPr>
          <w:rFonts w:ascii="Verdana" w:hAnsi="Verdana"/>
          <w:sz w:val="20"/>
          <w:szCs w:val="20"/>
          <w:lang w:val="en-US"/>
        </w:rPr>
        <w:t xml:space="preserve">the representatives and </w:t>
      </w:r>
      <w:r w:rsidRPr="00D869E3">
        <w:rPr>
          <w:rFonts w:ascii="Verdana" w:hAnsi="Verdana"/>
          <w:sz w:val="20"/>
          <w:szCs w:val="20"/>
          <w:lang w:val="en-US"/>
        </w:rPr>
        <w:t>the State</w:t>
      </w:r>
      <w:r w:rsidR="008C33CE" w:rsidRPr="00D869E3">
        <w:rPr>
          <w:rFonts w:ascii="Verdana" w:hAnsi="Verdana"/>
          <w:sz w:val="20"/>
          <w:szCs w:val="20"/>
          <w:lang w:val="en-US"/>
        </w:rPr>
        <w:t xml:space="preserve">, </w:t>
      </w:r>
      <w:r w:rsidR="00380D3E" w:rsidRPr="00D869E3">
        <w:rPr>
          <w:rFonts w:ascii="Verdana" w:hAnsi="Verdana"/>
          <w:sz w:val="20"/>
          <w:szCs w:val="20"/>
          <w:lang w:val="en-US"/>
        </w:rPr>
        <w:t>attached to their main briefs</w:t>
      </w:r>
      <w:r w:rsidR="008C33CE" w:rsidRPr="00D869E3">
        <w:rPr>
          <w:rFonts w:ascii="Verdana" w:hAnsi="Verdana"/>
          <w:sz w:val="20"/>
          <w:szCs w:val="20"/>
          <w:lang w:val="en-US"/>
        </w:rPr>
        <w:t xml:space="preserve"> (</w:t>
      </w:r>
      <w:r w:rsidR="00224537" w:rsidRPr="00D869E3">
        <w:rPr>
          <w:rFonts w:ascii="Verdana" w:hAnsi="Verdana"/>
          <w:i/>
          <w:sz w:val="20"/>
          <w:szCs w:val="20"/>
          <w:lang w:val="en-US"/>
        </w:rPr>
        <w:t>supra</w:t>
      </w:r>
      <w:r w:rsidR="008C33CE" w:rsidRPr="00D869E3">
        <w:rPr>
          <w:rFonts w:ascii="Verdana" w:hAnsi="Verdana"/>
          <w:sz w:val="20"/>
          <w:szCs w:val="20"/>
          <w:lang w:val="en-US"/>
        </w:rPr>
        <w:t xml:space="preserve"> </w:t>
      </w:r>
      <w:r w:rsidR="0087339F" w:rsidRPr="00D869E3">
        <w:rPr>
          <w:rFonts w:ascii="Verdana" w:hAnsi="Verdana"/>
          <w:sz w:val="20"/>
          <w:szCs w:val="20"/>
          <w:lang w:val="en-US"/>
        </w:rPr>
        <w:t>paras.</w:t>
      </w:r>
      <w:r w:rsidR="002A3B2C" w:rsidRPr="00D869E3">
        <w:rPr>
          <w:rFonts w:ascii="Verdana" w:hAnsi="Verdana"/>
          <w:sz w:val="20"/>
          <w:szCs w:val="20"/>
          <w:lang w:val="en-US"/>
        </w:rPr>
        <w:t xml:space="preserve"> 6</w:t>
      </w:r>
      <w:r w:rsidR="00687684" w:rsidRPr="00D869E3">
        <w:rPr>
          <w:rFonts w:ascii="Verdana" w:hAnsi="Verdana"/>
          <w:sz w:val="20"/>
          <w:szCs w:val="20"/>
          <w:lang w:val="en-US"/>
        </w:rPr>
        <w:t xml:space="preserve"> and </w:t>
      </w:r>
      <w:r w:rsidR="002A3B2C" w:rsidRPr="00D869E3">
        <w:rPr>
          <w:rFonts w:ascii="Verdana" w:hAnsi="Verdana"/>
          <w:sz w:val="20"/>
          <w:szCs w:val="20"/>
          <w:lang w:val="en-US"/>
        </w:rPr>
        <w:t>7</w:t>
      </w:r>
      <w:r w:rsidR="008C33CE" w:rsidRPr="00D869E3">
        <w:rPr>
          <w:rFonts w:ascii="Verdana" w:hAnsi="Verdana"/>
          <w:sz w:val="20"/>
          <w:szCs w:val="20"/>
          <w:lang w:val="en-US"/>
        </w:rPr>
        <w:t xml:space="preserve">). </w:t>
      </w:r>
      <w:r w:rsidR="00380D3E" w:rsidRPr="00D869E3">
        <w:rPr>
          <w:rFonts w:ascii="Verdana" w:hAnsi="Verdana"/>
          <w:sz w:val="20"/>
          <w:szCs w:val="20"/>
          <w:lang w:val="en-US"/>
        </w:rPr>
        <w:t xml:space="preserve">In addition, the Court has received the affidavits prepared by </w:t>
      </w:r>
      <w:r w:rsidR="008C33CE" w:rsidRPr="00D869E3">
        <w:rPr>
          <w:rFonts w:ascii="Verdana" w:hAnsi="Verdana"/>
          <w:sz w:val="20"/>
          <w:szCs w:val="20"/>
          <w:lang w:val="en-US"/>
        </w:rPr>
        <w:t>Carlos Alberto Jibaja Zárate</w:t>
      </w:r>
      <w:r w:rsidR="00687684" w:rsidRPr="00D869E3">
        <w:rPr>
          <w:rFonts w:ascii="Verdana" w:hAnsi="Verdana"/>
          <w:sz w:val="20"/>
          <w:szCs w:val="20"/>
          <w:lang w:val="en-US"/>
        </w:rPr>
        <w:t xml:space="preserve"> and </w:t>
      </w:r>
      <w:r w:rsidR="008C33CE" w:rsidRPr="00D869E3">
        <w:rPr>
          <w:rFonts w:ascii="Verdana" w:hAnsi="Verdana"/>
          <w:sz w:val="20"/>
          <w:szCs w:val="20"/>
          <w:lang w:val="en-US"/>
        </w:rPr>
        <w:t xml:space="preserve">Omar Sar Suárez, </w:t>
      </w:r>
      <w:r w:rsidR="00380D3E" w:rsidRPr="00D869E3">
        <w:rPr>
          <w:rFonts w:ascii="Verdana" w:hAnsi="Verdana"/>
          <w:sz w:val="20"/>
          <w:szCs w:val="20"/>
          <w:lang w:val="en-US"/>
        </w:rPr>
        <w:t>proposed by</w:t>
      </w:r>
      <w:r w:rsidR="008C33CE" w:rsidRPr="00D869E3">
        <w:rPr>
          <w:rFonts w:ascii="Verdana" w:hAnsi="Verdana"/>
          <w:sz w:val="20"/>
          <w:szCs w:val="20"/>
          <w:lang w:val="en-US"/>
        </w:rPr>
        <w:t xml:space="preserve"> </w:t>
      </w:r>
      <w:r w:rsidR="00687684" w:rsidRPr="00D869E3">
        <w:rPr>
          <w:rFonts w:ascii="Verdana" w:hAnsi="Verdana"/>
          <w:sz w:val="20"/>
          <w:szCs w:val="20"/>
          <w:lang w:val="en-US"/>
        </w:rPr>
        <w:t xml:space="preserve">the representatives and </w:t>
      </w:r>
      <w:r w:rsidRPr="00D869E3">
        <w:rPr>
          <w:rFonts w:ascii="Verdana" w:hAnsi="Verdana"/>
          <w:sz w:val="20"/>
          <w:szCs w:val="20"/>
          <w:lang w:val="en-US"/>
        </w:rPr>
        <w:t>the State</w:t>
      </w:r>
      <w:r w:rsidR="008C33CE" w:rsidRPr="00D869E3">
        <w:rPr>
          <w:rFonts w:ascii="Verdana" w:hAnsi="Verdana"/>
          <w:sz w:val="20"/>
          <w:szCs w:val="20"/>
          <w:lang w:val="en-US"/>
        </w:rPr>
        <w:t>, respectiv</w:t>
      </w:r>
      <w:r w:rsidR="00380D3E" w:rsidRPr="00D869E3">
        <w:rPr>
          <w:rFonts w:ascii="Verdana" w:hAnsi="Verdana"/>
          <w:sz w:val="20"/>
          <w:szCs w:val="20"/>
          <w:lang w:val="en-US"/>
        </w:rPr>
        <w:t>ely</w:t>
      </w:r>
      <w:r w:rsidR="008C33CE" w:rsidRPr="00D869E3">
        <w:rPr>
          <w:rFonts w:ascii="Verdana" w:hAnsi="Verdana"/>
          <w:sz w:val="20"/>
          <w:szCs w:val="20"/>
          <w:lang w:val="en-US"/>
        </w:rPr>
        <w:t xml:space="preserve">. </w:t>
      </w:r>
      <w:r w:rsidR="00380D3E" w:rsidRPr="00D869E3">
        <w:rPr>
          <w:rFonts w:ascii="Verdana" w:hAnsi="Verdana"/>
          <w:sz w:val="20"/>
          <w:szCs w:val="20"/>
          <w:lang w:val="en-US"/>
        </w:rPr>
        <w:t xml:space="preserve">Regarding the evidence provided during </w:t>
      </w:r>
      <w:r w:rsidR="001E44D3" w:rsidRPr="00D869E3">
        <w:rPr>
          <w:rFonts w:ascii="Verdana" w:hAnsi="Verdana"/>
          <w:sz w:val="20"/>
          <w:szCs w:val="20"/>
          <w:lang w:val="en-US"/>
        </w:rPr>
        <w:t>public hearing</w:t>
      </w:r>
      <w:r w:rsidR="008C33CE" w:rsidRPr="00D869E3">
        <w:rPr>
          <w:rFonts w:ascii="Verdana" w:hAnsi="Verdana"/>
          <w:sz w:val="20"/>
          <w:szCs w:val="20"/>
          <w:lang w:val="en-US"/>
        </w:rPr>
        <w:t xml:space="preserve">, </w:t>
      </w:r>
      <w:r w:rsidRPr="00D869E3">
        <w:rPr>
          <w:rFonts w:ascii="Verdana" w:hAnsi="Verdana"/>
          <w:sz w:val="20"/>
          <w:szCs w:val="20"/>
          <w:lang w:val="en-US"/>
        </w:rPr>
        <w:t>the Court</w:t>
      </w:r>
      <w:r w:rsidR="008C33CE" w:rsidRPr="00D869E3">
        <w:rPr>
          <w:rFonts w:ascii="Verdana" w:hAnsi="Verdana"/>
          <w:sz w:val="20"/>
          <w:szCs w:val="20"/>
          <w:lang w:val="en-US"/>
        </w:rPr>
        <w:t xml:space="preserve"> </w:t>
      </w:r>
      <w:r w:rsidR="00380D3E" w:rsidRPr="00D869E3">
        <w:rPr>
          <w:rFonts w:ascii="Verdana" w:hAnsi="Verdana"/>
          <w:sz w:val="20"/>
          <w:szCs w:val="20"/>
          <w:lang w:val="en-US"/>
        </w:rPr>
        <w:t xml:space="preserve">received the statements </w:t>
      </w:r>
      <w:r w:rsidR="00687684" w:rsidRPr="00D869E3">
        <w:rPr>
          <w:rFonts w:ascii="Verdana" w:hAnsi="Verdana"/>
          <w:sz w:val="20"/>
          <w:szCs w:val="20"/>
          <w:lang w:val="en-US"/>
        </w:rPr>
        <w:t>of the presumed victim</w:t>
      </w:r>
      <w:r w:rsidR="00083067" w:rsidRPr="00D869E3">
        <w:rPr>
          <w:rFonts w:ascii="Verdana" w:hAnsi="Verdana"/>
          <w:sz w:val="20"/>
          <w:szCs w:val="20"/>
          <w:lang w:val="en-US"/>
        </w:rPr>
        <w:t>,</w:t>
      </w:r>
      <w:r w:rsidR="008C33CE"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380D3E" w:rsidRPr="00D869E3">
        <w:rPr>
          <w:rFonts w:ascii="Verdana" w:hAnsi="Verdana"/>
          <w:sz w:val="20"/>
          <w:szCs w:val="20"/>
          <w:lang w:val="en-US"/>
        </w:rPr>
        <w:t>,</w:t>
      </w:r>
      <w:r w:rsidR="008C33CE" w:rsidRPr="00D869E3">
        <w:rPr>
          <w:rFonts w:ascii="Verdana" w:hAnsi="Verdana"/>
          <w:sz w:val="20"/>
          <w:szCs w:val="20"/>
          <w:lang w:val="en-US"/>
        </w:rPr>
        <w:t xml:space="preserve"> </w:t>
      </w:r>
      <w:r w:rsidR="00380D3E" w:rsidRPr="00D869E3">
        <w:rPr>
          <w:rFonts w:ascii="Verdana" w:hAnsi="Verdana"/>
          <w:sz w:val="20"/>
          <w:szCs w:val="20"/>
          <w:lang w:val="en-US"/>
        </w:rPr>
        <w:t>and the expert opinions of</w:t>
      </w:r>
      <w:r w:rsidR="008C33CE" w:rsidRPr="00D869E3">
        <w:rPr>
          <w:rFonts w:ascii="Verdana" w:hAnsi="Verdana"/>
          <w:sz w:val="20"/>
          <w:szCs w:val="20"/>
          <w:lang w:val="en-US"/>
        </w:rPr>
        <w:t xml:space="preserve"> Damián Loreti</w:t>
      </w:r>
      <w:r w:rsidR="00687684" w:rsidRPr="00D869E3">
        <w:rPr>
          <w:rFonts w:ascii="Verdana" w:hAnsi="Verdana"/>
          <w:sz w:val="20"/>
          <w:szCs w:val="20"/>
          <w:lang w:val="en-US"/>
        </w:rPr>
        <w:t xml:space="preserve"> and </w:t>
      </w:r>
      <w:r w:rsidR="008C33CE" w:rsidRPr="00D869E3">
        <w:rPr>
          <w:rFonts w:ascii="Verdana" w:hAnsi="Verdana"/>
          <w:sz w:val="20"/>
          <w:szCs w:val="20"/>
          <w:lang w:val="en-US"/>
        </w:rPr>
        <w:t>C</w:t>
      </w:r>
      <w:r w:rsidR="002A3B2C" w:rsidRPr="00D869E3">
        <w:rPr>
          <w:rFonts w:ascii="Verdana" w:hAnsi="Verdana"/>
          <w:sz w:val="20"/>
          <w:szCs w:val="20"/>
          <w:lang w:val="en-US"/>
        </w:rPr>
        <w:t>é</w:t>
      </w:r>
      <w:r w:rsidR="008C33CE" w:rsidRPr="00D869E3">
        <w:rPr>
          <w:rFonts w:ascii="Verdana" w:hAnsi="Verdana"/>
          <w:sz w:val="20"/>
          <w:szCs w:val="20"/>
          <w:lang w:val="en-US"/>
        </w:rPr>
        <w:t xml:space="preserve">sar Gonzáles Hunt, </w:t>
      </w:r>
      <w:r w:rsidR="00380D3E" w:rsidRPr="00D869E3">
        <w:rPr>
          <w:rFonts w:ascii="Verdana" w:hAnsi="Verdana"/>
          <w:sz w:val="20"/>
          <w:szCs w:val="20"/>
          <w:lang w:val="en-US"/>
        </w:rPr>
        <w:t>proposed by</w:t>
      </w:r>
      <w:r w:rsidR="008C33CE" w:rsidRPr="00D869E3">
        <w:rPr>
          <w:rFonts w:ascii="Verdana" w:hAnsi="Verdana"/>
          <w:sz w:val="20"/>
          <w:szCs w:val="20"/>
          <w:lang w:val="en-US"/>
        </w:rPr>
        <w:t xml:space="preserve"> </w:t>
      </w:r>
      <w:r w:rsidRPr="00D869E3">
        <w:rPr>
          <w:rFonts w:ascii="Verdana" w:hAnsi="Verdana"/>
          <w:sz w:val="20"/>
          <w:szCs w:val="20"/>
          <w:lang w:val="en-US"/>
        </w:rPr>
        <w:t>the Commission</w:t>
      </w:r>
      <w:r w:rsidR="00687684" w:rsidRPr="00D869E3">
        <w:rPr>
          <w:rFonts w:ascii="Verdana" w:hAnsi="Verdana"/>
          <w:sz w:val="20"/>
          <w:szCs w:val="20"/>
          <w:lang w:val="en-US"/>
        </w:rPr>
        <w:t xml:space="preserve"> and </w:t>
      </w:r>
      <w:r w:rsidRPr="00D869E3">
        <w:rPr>
          <w:rFonts w:ascii="Verdana" w:hAnsi="Verdana"/>
          <w:sz w:val="20"/>
          <w:szCs w:val="20"/>
          <w:lang w:val="en-US"/>
        </w:rPr>
        <w:t>the State</w:t>
      </w:r>
      <w:r w:rsidR="008C33CE" w:rsidRPr="00D869E3">
        <w:rPr>
          <w:rFonts w:ascii="Verdana" w:hAnsi="Verdana"/>
          <w:sz w:val="20"/>
          <w:szCs w:val="20"/>
          <w:lang w:val="en-US"/>
        </w:rPr>
        <w:t>, respectiv</w:t>
      </w:r>
      <w:r w:rsidR="00380D3E" w:rsidRPr="00D869E3">
        <w:rPr>
          <w:rFonts w:ascii="Verdana" w:hAnsi="Verdana"/>
          <w:sz w:val="20"/>
          <w:szCs w:val="20"/>
          <w:lang w:val="en-US"/>
        </w:rPr>
        <w:t>ely.</w:t>
      </w:r>
      <w:r w:rsidR="008C33CE" w:rsidRPr="00D869E3">
        <w:rPr>
          <w:rStyle w:val="Refdenotaalpie"/>
          <w:szCs w:val="20"/>
          <w:lang w:val="en-US"/>
        </w:rPr>
        <w:footnoteReference w:id="23"/>
      </w:r>
    </w:p>
    <w:p w14:paraId="6CDD7FF7" w14:textId="77777777" w:rsidR="008C33CE" w:rsidRPr="00D869E3" w:rsidRDefault="008C33CE" w:rsidP="008C33CE">
      <w:pPr>
        <w:jc w:val="both"/>
        <w:rPr>
          <w:rFonts w:ascii="Verdana" w:hAnsi="Verdana"/>
          <w:sz w:val="20"/>
          <w:szCs w:val="20"/>
          <w:lang w:val="en-US"/>
        </w:rPr>
      </w:pPr>
    </w:p>
    <w:p w14:paraId="08830F8F" w14:textId="6226CD23" w:rsidR="008C33CE" w:rsidRPr="00D869E3" w:rsidRDefault="00380D3E" w:rsidP="00E66DD7">
      <w:pPr>
        <w:pStyle w:val="Ttulo2"/>
        <w:numPr>
          <w:ilvl w:val="0"/>
          <w:numId w:val="19"/>
        </w:numPr>
        <w:rPr>
          <w:rFonts w:eastAsia="MS Gothic"/>
          <w:i/>
          <w:lang w:val="en-US"/>
        </w:rPr>
      </w:pPr>
      <w:bookmarkStart w:id="13" w:name="_Toc29114109"/>
      <w:r w:rsidRPr="00D869E3">
        <w:rPr>
          <w:rFonts w:eastAsia="MS Gothic"/>
          <w:i/>
          <w:lang w:val="en-US"/>
        </w:rPr>
        <w:t>Admission of the evidence</w:t>
      </w:r>
      <w:bookmarkEnd w:id="13"/>
    </w:p>
    <w:p w14:paraId="26F898EC" w14:textId="77777777" w:rsidR="008C33CE" w:rsidRPr="00D869E3" w:rsidRDefault="008C33CE" w:rsidP="008C33CE">
      <w:pPr>
        <w:pStyle w:val="Ttulo3"/>
        <w:jc w:val="both"/>
        <w:rPr>
          <w:rFonts w:eastAsia="Calibri" w:cs="Times New Roman"/>
          <w:b w:val="0"/>
          <w:bCs w:val="0"/>
          <w:szCs w:val="20"/>
          <w:lang w:val="en-US"/>
        </w:rPr>
      </w:pPr>
    </w:p>
    <w:p w14:paraId="2A0F6383" w14:textId="4237BA10" w:rsidR="008C33CE" w:rsidRPr="00D869E3" w:rsidRDefault="00380D3E" w:rsidP="00E66DD7">
      <w:pPr>
        <w:pStyle w:val="Ttulo3"/>
        <w:numPr>
          <w:ilvl w:val="0"/>
          <w:numId w:val="20"/>
        </w:numPr>
        <w:jc w:val="both"/>
        <w:rPr>
          <w:i/>
          <w:strike/>
          <w:szCs w:val="20"/>
          <w:lang w:val="en-US"/>
        </w:rPr>
      </w:pPr>
      <w:bookmarkStart w:id="14" w:name="_Toc29114110"/>
      <w:r w:rsidRPr="00D869E3">
        <w:rPr>
          <w:i/>
          <w:szCs w:val="20"/>
          <w:lang w:val="en-US"/>
        </w:rPr>
        <w:t>Admission of the documentary evidence</w:t>
      </w:r>
      <w:bookmarkEnd w:id="14"/>
    </w:p>
    <w:p w14:paraId="2B6960E6" w14:textId="77777777" w:rsidR="008C33CE" w:rsidRPr="00D869E3" w:rsidRDefault="008C33CE" w:rsidP="008C33CE">
      <w:pPr>
        <w:pStyle w:val="Prrafodelista"/>
        <w:ind w:left="0"/>
        <w:jc w:val="both"/>
        <w:rPr>
          <w:rFonts w:ascii="Verdana" w:hAnsi="Verdana"/>
          <w:sz w:val="20"/>
          <w:szCs w:val="20"/>
          <w:lang w:val="en-US"/>
        </w:rPr>
      </w:pPr>
    </w:p>
    <w:p w14:paraId="04B715E6" w14:textId="0B1C381E" w:rsidR="008C33CE" w:rsidRPr="00D869E3" w:rsidRDefault="00380D3E" w:rsidP="00E66DD7">
      <w:pPr>
        <w:pStyle w:val="Prrafodelista"/>
        <w:numPr>
          <w:ilvl w:val="0"/>
          <w:numId w:val="1"/>
        </w:numPr>
        <w:tabs>
          <w:tab w:val="left" w:pos="168"/>
          <w:tab w:val="left" w:pos="851"/>
          <w:tab w:val="left" w:pos="2618"/>
          <w:tab w:val="left" w:pos="4536"/>
        </w:tabs>
        <w:ind w:left="0" w:firstLine="0"/>
        <w:jc w:val="both"/>
        <w:rPr>
          <w:rFonts w:ascii="Verdana" w:hAnsi="Verdana"/>
          <w:sz w:val="20"/>
          <w:szCs w:val="20"/>
          <w:lang w:val="en-US"/>
        </w:rPr>
      </w:pPr>
      <w:r w:rsidRPr="00D869E3">
        <w:rPr>
          <w:rFonts w:ascii="Verdana" w:hAnsi="Verdana"/>
          <w:sz w:val="20"/>
          <w:szCs w:val="20"/>
          <w:lang w:val="en-US"/>
        </w:rPr>
        <w:t xml:space="preserve">In this case, as in others, the Court admits those documents presented by the parties </w:t>
      </w:r>
      <w:r w:rsidR="00687684" w:rsidRPr="00D869E3">
        <w:rPr>
          <w:rFonts w:ascii="Verdana" w:hAnsi="Verdana"/>
          <w:sz w:val="20"/>
          <w:szCs w:val="20"/>
          <w:lang w:val="en-US"/>
        </w:rPr>
        <w:t xml:space="preserve">and </w:t>
      </w:r>
      <w:r w:rsidR="00447C65" w:rsidRPr="00D869E3">
        <w:rPr>
          <w:rFonts w:ascii="Verdana" w:hAnsi="Verdana"/>
          <w:sz w:val="20"/>
          <w:szCs w:val="20"/>
          <w:lang w:val="en-US"/>
        </w:rPr>
        <w:t>the Commission</w:t>
      </w:r>
      <w:r w:rsidR="008C33CE" w:rsidRPr="00D869E3">
        <w:rPr>
          <w:rFonts w:ascii="Verdana" w:hAnsi="Verdana"/>
          <w:sz w:val="20"/>
          <w:szCs w:val="20"/>
          <w:lang w:val="en-US"/>
        </w:rPr>
        <w:t xml:space="preserve"> </w:t>
      </w:r>
      <w:r w:rsidRPr="00D869E3">
        <w:rPr>
          <w:rFonts w:ascii="Verdana" w:hAnsi="Verdana"/>
          <w:sz w:val="20"/>
          <w:szCs w:val="20"/>
          <w:lang w:val="en-US"/>
        </w:rPr>
        <w:t xml:space="preserve">at the proper procedural opportunity or requested as helpful evidence that were not contested or opposed, and </w:t>
      </w:r>
      <w:r w:rsidR="00083067" w:rsidRPr="00D869E3">
        <w:rPr>
          <w:rFonts w:ascii="Verdana" w:hAnsi="Verdana"/>
          <w:sz w:val="20"/>
          <w:szCs w:val="20"/>
          <w:lang w:val="en-US"/>
        </w:rPr>
        <w:t>the</w:t>
      </w:r>
      <w:r w:rsidRPr="00D869E3">
        <w:rPr>
          <w:rFonts w:ascii="Verdana" w:hAnsi="Verdana"/>
          <w:sz w:val="20"/>
          <w:szCs w:val="20"/>
          <w:lang w:val="en-US"/>
        </w:rPr>
        <w:t xml:space="preserve"> authenticity</w:t>
      </w:r>
      <w:r w:rsidR="00083067" w:rsidRPr="00D869E3">
        <w:rPr>
          <w:rFonts w:ascii="Verdana" w:hAnsi="Verdana"/>
          <w:sz w:val="20"/>
          <w:szCs w:val="20"/>
          <w:lang w:val="en-US"/>
        </w:rPr>
        <w:t xml:space="preserve"> of which</w:t>
      </w:r>
      <w:r w:rsidRPr="00D869E3">
        <w:rPr>
          <w:rFonts w:ascii="Verdana" w:hAnsi="Verdana"/>
          <w:sz w:val="20"/>
          <w:szCs w:val="20"/>
          <w:lang w:val="en-US"/>
        </w:rPr>
        <w:t xml:space="preserve"> was not questioned.</w:t>
      </w:r>
      <w:r w:rsidR="008C33CE" w:rsidRPr="00D869E3">
        <w:rPr>
          <w:rFonts w:ascii="Verdana" w:hAnsi="Verdana"/>
          <w:sz w:val="20"/>
          <w:szCs w:val="20"/>
          <w:vertAlign w:val="superscript"/>
          <w:lang w:val="en-US"/>
        </w:rPr>
        <w:footnoteReference w:id="24"/>
      </w:r>
      <w:r w:rsidR="008C33CE" w:rsidRPr="00D869E3">
        <w:rPr>
          <w:rFonts w:ascii="Verdana" w:hAnsi="Verdana"/>
          <w:sz w:val="20"/>
          <w:szCs w:val="20"/>
          <w:lang w:val="en-US"/>
        </w:rPr>
        <w:t xml:space="preserve"> </w:t>
      </w:r>
      <w:r w:rsidRPr="00D869E3">
        <w:rPr>
          <w:rFonts w:ascii="Verdana" w:hAnsi="Verdana"/>
          <w:sz w:val="20"/>
          <w:szCs w:val="20"/>
          <w:lang w:val="en-US"/>
        </w:rPr>
        <w:t xml:space="preserve">The documents requested by the Court </w:t>
      </w:r>
      <w:r w:rsidR="00A62EA8" w:rsidRPr="00D869E3">
        <w:rPr>
          <w:rFonts w:ascii="Verdana" w:hAnsi="Verdana"/>
          <w:sz w:val="20"/>
          <w:szCs w:val="20"/>
          <w:lang w:val="en-US"/>
        </w:rPr>
        <w:t xml:space="preserve">that were provided by the parties following the </w:t>
      </w:r>
      <w:r w:rsidR="001E44D3" w:rsidRPr="00D869E3">
        <w:rPr>
          <w:rFonts w:ascii="Verdana" w:hAnsi="Verdana"/>
          <w:sz w:val="20"/>
          <w:szCs w:val="20"/>
          <w:lang w:val="en-US"/>
        </w:rPr>
        <w:t>public hearing</w:t>
      </w:r>
      <w:r w:rsidR="00A62EA8" w:rsidRPr="00D869E3">
        <w:rPr>
          <w:rFonts w:ascii="Verdana" w:hAnsi="Verdana"/>
          <w:sz w:val="20"/>
          <w:szCs w:val="20"/>
          <w:lang w:val="en-US"/>
        </w:rPr>
        <w:t xml:space="preserve"> are incorporated into the body of evidence in application </w:t>
      </w:r>
      <w:r w:rsidR="00687684" w:rsidRPr="00D869E3">
        <w:rPr>
          <w:rFonts w:ascii="Verdana" w:hAnsi="Verdana"/>
          <w:sz w:val="20"/>
          <w:szCs w:val="20"/>
          <w:lang w:val="en-US"/>
        </w:rPr>
        <w:t>of Article</w:t>
      </w:r>
      <w:r w:rsidR="008C33CE" w:rsidRPr="00D869E3">
        <w:rPr>
          <w:rFonts w:ascii="Verdana" w:hAnsi="Verdana"/>
          <w:sz w:val="20"/>
          <w:szCs w:val="20"/>
          <w:lang w:val="en-US"/>
        </w:rPr>
        <w:t xml:space="preserve"> 58</w:t>
      </w:r>
      <w:r w:rsidR="00447C65" w:rsidRPr="00D869E3">
        <w:rPr>
          <w:rFonts w:ascii="Verdana" w:hAnsi="Verdana"/>
          <w:sz w:val="20"/>
          <w:szCs w:val="20"/>
          <w:lang w:val="en-US"/>
        </w:rPr>
        <w:t xml:space="preserve"> of the Rules of Procedure</w:t>
      </w:r>
      <w:r w:rsidR="008C33CE" w:rsidRPr="00D869E3">
        <w:rPr>
          <w:rFonts w:ascii="Verdana" w:hAnsi="Verdana"/>
          <w:sz w:val="20"/>
          <w:szCs w:val="20"/>
          <w:lang w:val="en-US"/>
        </w:rPr>
        <w:t xml:space="preserve"> (</w:t>
      </w:r>
      <w:r w:rsidR="00224537" w:rsidRPr="00D869E3">
        <w:rPr>
          <w:rFonts w:ascii="Verdana" w:hAnsi="Verdana"/>
          <w:i/>
          <w:sz w:val="20"/>
          <w:szCs w:val="20"/>
          <w:lang w:val="en-US"/>
        </w:rPr>
        <w:t>supra</w:t>
      </w:r>
      <w:r w:rsidR="008C33CE" w:rsidRPr="00D869E3">
        <w:rPr>
          <w:rFonts w:ascii="Verdana" w:hAnsi="Verdana"/>
          <w:sz w:val="20"/>
          <w:szCs w:val="20"/>
          <w:lang w:val="en-US"/>
        </w:rPr>
        <w:t xml:space="preserve"> </w:t>
      </w:r>
      <w:r w:rsidR="0087339F" w:rsidRPr="00D869E3">
        <w:rPr>
          <w:rFonts w:ascii="Verdana" w:hAnsi="Verdana"/>
          <w:sz w:val="20"/>
          <w:szCs w:val="20"/>
          <w:lang w:val="en-US"/>
        </w:rPr>
        <w:t>para.</w:t>
      </w:r>
      <w:r w:rsidR="008C33CE" w:rsidRPr="00D869E3">
        <w:rPr>
          <w:rFonts w:ascii="Verdana" w:hAnsi="Verdana"/>
          <w:sz w:val="20"/>
          <w:szCs w:val="20"/>
          <w:lang w:val="en-US"/>
        </w:rPr>
        <w:t xml:space="preserve"> </w:t>
      </w:r>
      <w:r w:rsidR="00EC6021" w:rsidRPr="00D869E3">
        <w:rPr>
          <w:rFonts w:ascii="Verdana" w:hAnsi="Verdana"/>
          <w:sz w:val="20"/>
          <w:szCs w:val="20"/>
          <w:lang w:val="en-US"/>
        </w:rPr>
        <w:t>10</w:t>
      </w:r>
      <w:r w:rsidR="008C33CE" w:rsidRPr="00D869E3">
        <w:rPr>
          <w:rFonts w:ascii="Verdana" w:hAnsi="Verdana"/>
          <w:sz w:val="20"/>
          <w:szCs w:val="20"/>
          <w:lang w:val="en-US"/>
        </w:rPr>
        <w:t xml:space="preserve">). </w:t>
      </w:r>
    </w:p>
    <w:p w14:paraId="44302028" w14:textId="77777777" w:rsidR="008C33CE" w:rsidRPr="00D869E3" w:rsidRDefault="008C33CE" w:rsidP="008C33CE">
      <w:pPr>
        <w:pStyle w:val="Prrafodelista"/>
        <w:ind w:left="0"/>
        <w:jc w:val="both"/>
        <w:rPr>
          <w:rFonts w:ascii="Verdana" w:hAnsi="Verdana"/>
          <w:sz w:val="20"/>
          <w:szCs w:val="20"/>
          <w:lang w:val="en-US"/>
        </w:rPr>
      </w:pPr>
    </w:p>
    <w:p w14:paraId="054E84BD" w14:textId="28B2CC07" w:rsidR="008C33CE" w:rsidRPr="00D869E3" w:rsidRDefault="00A62EA8" w:rsidP="00A62EA8">
      <w:pPr>
        <w:pStyle w:val="Prrafodelista"/>
        <w:numPr>
          <w:ilvl w:val="0"/>
          <w:numId w:val="1"/>
        </w:numPr>
        <w:ind w:left="0" w:firstLine="0"/>
        <w:jc w:val="both"/>
        <w:rPr>
          <w:rFonts w:ascii="Verdana" w:hAnsi="Verdana"/>
          <w:b/>
          <w:sz w:val="20"/>
          <w:szCs w:val="20"/>
          <w:lang w:val="en-US"/>
        </w:rPr>
      </w:pPr>
      <w:r w:rsidRPr="00D869E3">
        <w:rPr>
          <w:rFonts w:ascii="Verdana" w:hAnsi="Verdana"/>
          <w:sz w:val="20"/>
          <w:szCs w:val="20"/>
          <w:lang w:val="en-US"/>
        </w:rPr>
        <w:t>On March 20,</w:t>
      </w:r>
      <w:r w:rsidR="008C33CE" w:rsidRPr="00D869E3">
        <w:rPr>
          <w:rFonts w:ascii="Verdana" w:hAnsi="Verdana"/>
          <w:sz w:val="20"/>
          <w:szCs w:val="20"/>
          <w:lang w:val="en-US"/>
        </w:rPr>
        <w:t xml:space="preserve"> 2017</w:t>
      </w:r>
      <w:r w:rsidRPr="00D869E3">
        <w:rPr>
          <w:rFonts w:ascii="Verdana" w:hAnsi="Verdana"/>
          <w:sz w:val="20"/>
          <w:szCs w:val="20"/>
          <w:lang w:val="en-US"/>
        </w:rPr>
        <w:t>,</w:t>
      </w:r>
      <w:r w:rsidR="008C33CE"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8C33CE" w:rsidRPr="00D869E3">
        <w:rPr>
          <w:rFonts w:ascii="Verdana" w:hAnsi="Verdana"/>
          <w:sz w:val="20"/>
          <w:szCs w:val="20"/>
          <w:lang w:val="en-US"/>
        </w:rPr>
        <w:t xml:space="preserve"> present</w:t>
      </w:r>
      <w:r w:rsidRPr="00D869E3">
        <w:rPr>
          <w:rFonts w:ascii="Verdana" w:hAnsi="Verdana"/>
          <w:sz w:val="20"/>
          <w:szCs w:val="20"/>
          <w:lang w:val="en-US"/>
        </w:rPr>
        <w:t xml:space="preserve">ed observations on the annexes forwarded by the State with its final written arguments. In the case of documents that were incomplete or illegible, the Court considers that this does not affect their admissibility, although it may affect their probative weight. However, the Court considers that the said annexes </w:t>
      </w:r>
      <w:r w:rsidRPr="00D869E3">
        <w:rPr>
          <w:rFonts w:ascii="Verdana" w:hAnsi="Verdana"/>
          <w:sz w:val="20"/>
          <w:szCs w:val="20"/>
          <w:lang w:val="en-US"/>
        </w:rPr>
        <w:lastRenderedPageBreak/>
        <w:t xml:space="preserve">respond to helpful evidence requested during the public hearing; they are therefore admitted under </w:t>
      </w:r>
      <w:r w:rsidR="00687684" w:rsidRPr="00D869E3">
        <w:rPr>
          <w:rFonts w:ascii="Verdana" w:hAnsi="Verdana"/>
          <w:sz w:val="20"/>
          <w:szCs w:val="20"/>
          <w:lang w:val="en-US"/>
        </w:rPr>
        <w:t>Article</w:t>
      </w:r>
      <w:r w:rsidR="008C33CE" w:rsidRPr="00D869E3">
        <w:rPr>
          <w:rFonts w:ascii="Verdana" w:hAnsi="Verdana"/>
          <w:sz w:val="20"/>
          <w:szCs w:val="20"/>
          <w:lang w:val="en-US"/>
        </w:rPr>
        <w:t xml:space="preserve"> 58</w:t>
      </w:r>
      <w:r w:rsidRPr="00D869E3">
        <w:rPr>
          <w:rFonts w:ascii="Verdana" w:hAnsi="Verdana"/>
          <w:sz w:val="20"/>
          <w:szCs w:val="20"/>
          <w:lang w:val="en-US"/>
        </w:rPr>
        <w:t>(</w:t>
      </w:r>
      <w:r w:rsidR="008C33CE" w:rsidRPr="00D869E3">
        <w:rPr>
          <w:rFonts w:ascii="Verdana" w:hAnsi="Verdana"/>
          <w:sz w:val="20"/>
          <w:szCs w:val="20"/>
          <w:lang w:val="en-US"/>
        </w:rPr>
        <w:t>b)</w:t>
      </w:r>
      <w:r w:rsidR="00447C65" w:rsidRPr="00D869E3">
        <w:rPr>
          <w:rFonts w:ascii="Verdana" w:hAnsi="Verdana"/>
          <w:sz w:val="20"/>
          <w:szCs w:val="20"/>
          <w:lang w:val="en-US"/>
        </w:rPr>
        <w:t xml:space="preserve"> of the Rules of Procedure</w:t>
      </w:r>
      <w:r w:rsidR="008C33CE" w:rsidRPr="00D869E3">
        <w:rPr>
          <w:rFonts w:ascii="Verdana" w:hAnsi="Verdana"/>
          <w:sz w:val="20"/>
          <w:szCs w:val="20"/>
          <w:lang w:val="en-US"/>
        </w:rPr>
        <w:t>.</w:t>
      </w:r>
    </w:p>
    <w:p w14:paraId="3046F0D9" w14:textId="77777777" w:rsidR="008C33CE" w:rsidRPr="00D869E3" w:rsidRDefault="008C33CE" w:rsidP="008C33CE">
      <w:pPr>
        <w:jc w:val="both"/>
        <w:rPr>
          <w:rFonts w:ascii="Verdana" w:hAnsi="Verdana"/>
          <w:sz w:val="20"/>
          <w:szCs w:val="20"/>
          <w:u w:val="single"/>
          <w:lang w:val="en-US"/>
        </w:rPr>
      </w:pPr>
    </w:p>
    <w:p w14:paraId="2C92726D" w14:textId="0600D29D" w:rsidR="008C33CE" w:rsidRPr="00D869E3" w:rsidRDefault="00380D3E" w:rsidP="00E66DD7">
      <w:pPr>
        <w:pStyle w:val="Ttulo3"/>
        <w:numPr>
          <w:ilvl w:val="0"/>
          <w:numId w:val="20"/>
        </w:numPr>
        <w:jc w:val="both"/>
        <w:rPr>
          <w:i/>
          <w:szCs w:val="20"/>
          <w:lang w:val="en-US"/>
        </w:rPr>
      </w:pPr>
      <w:bookmarkStart w:id="15" w:name="_Toc29114111"/>
      <w:r w:rsidRPr="00D869E3">
        <w:rPr>
          <w:i/>
          <w:szCs w:val="20"/>
          <w:lang w:val="en-US"/>
        </w:rPr>
        <w:t xml:space="preserve">Admission of the </w:t>
      </w:r>
      <w:r w:rsidR="00A62EA8" w:rsidRPr="00D869E3">
        <w:rPr>
          <w:i/>
          <w:szCs w:val="20"/>
          <w:lang w:val="en-US"/>
        </w:rPr>
        <w:t>testimonial and expert evidence</w:t>
      </w:r>
      <w:bookmarkEnd w:id="15"/>
    </w:p>
    <w:p w14:paraId="093C7EEA" w14:textId="77777777" w:rsidR="008C33CE" w:rsidRPr="00D869E3" w:rsidRDefault="008C33CE" w:rsidP="008C33CE">
      <w:pPr>
        <w:jc w:val="both"/>
        <w:rPr>
          <w:rFonts w:ascii="Verdana" w:hAnsi="Verdana"/>
          <w:sz w:val="20"/>
          <w:szCs w:val="20"/>
          <w:lang w:val="en-US"/>
        </w:rPr>
      </w:pPr>
    </w:p>
    <w:p w14:paraId="70DD9D23" w14:textId="4F115728" w:rsidR="008C33CE" w:rsidRPr="00D869E3" w:rsidRDefault="00447C65" w:rsidP="00A62EA8">
      <w:pPr>
        <w:pStyle w:val="Prrafodelista"/>
        <w:numPr>
          <w:ilvl w:val="0"/>
          <w:numId w:val="1"/>
        </w:numPr>
        <w:ind w:left="0" w:firstLine="0"/>
        <w:jc w:val="both"/>
        <w:rPr>
          <w:rFonts w:ascii="Verdana" w:hAnsi="Verdana"/>
          <w:sz w:val="20"/>
          <w:szCs w:val="20"/>
          <w:lang w:val="en-US"/>
        </w:rPr>
      </w:pPr>
      <w:r w:rsidRPr="00D869E3">
        <w:rPr>
          <w:rFonts w:ascii="Verdana" w:eastAsia="Times New Roman" w:hAnsi="Verdana"/>
          <w:sz w:val="20"/>
          <w:szCs w:val="20"/>
          <w:lang w:val="en-US"/>
        </w:rPr>
        <w:t>The Court</w:t>
      </w:r>
      <w:r w:rsidR="008C33CE" w:rsidRPr="00D869E3">
        <w:rPr>
          <w:rFonts w:ascii="Verdana" w:eastAsia="Times New Roman" w:hAnsi="Verdana"/>
          <w:sz w:val="20"/>
          <w:szCs w:val="20"/>
          <w:lang w:val="en-US"/>
        </w:rPr>
        <w:t xml:space="preserve"> </w:t>
      </w:r>
      <w:r w:rsidR="00A62EA8" w:rsidRPr="00D869E3">
        <w:rPr>
          <w:rFonts w:ascii="Verdana" w:eastAsia="Times New Roman" w:hAnsi="Verdana"/>
          <w:sz w:val="20"/>
          <w:szCs w:val="20"/>
          <w:lang w:val="en-US"/>
        </w:rPr>
        <w:t>finds it pertinent to admit the statements made during the public hearing and by affidavit, insofar as they are in keeping with the purpose defined by the President in the order requiring them and the purpose of this case</w:t>
      </w:r>
      <w:r w:rsidR="008C33CE" w:rsidRPr="00D869E3">
        <w:rPr>
          <w:rFonts w:ascii="Verdana" w:eastAsia="Times New Roman" w:hAnsi="Verdana"/>
          <w:sz w:val="20"/>
          <w:szCs w:val="20"/>
          <w:lang w:val="en-US"/>
        </w:rPr>
        <w:t xml:space="preserve"> (</w:t>
      </w:r>
      <w:r w:rsidR="00224537" w:rsidRPr="00D869E3">
        <w:rPr>
          <w:rFonts w:ascii="Verdana" w:eastAsia="Times New Roman" w:hAnsi="Verdana"/>
          <w:i/>
          <w:sz w:val="20"/>
          <w:szCs w:val="20"/>
          <w:lang w:val="en-US"/>
        </w:rPr>
        <w:t>supra</w:t>
      </w:r>
      <w:r w:rsidR="008C33CE" w:rsidRPr="00D869E3">
        <w:rPr>
          <w:rFonts w:ascii="Verdana" w:eastAsia="Times New Roman" w:hAnsi="Verdana"/>
          <w:sz w:val="20"/>
          <w:szCs w:val="20"/>
          <w:lang w:val="en-US"/>
        </w:rPr>
        <w:t xml:space="preserve"> </w:t>
      </w:r>
      <w:r w:rsidR="0087339F" w:rsidRPr="00D869E3">
        <w:rPr>
          <w:rFonts w:ascii="Verdana" w:eastAsia="Times New Roman" w:hAnsi="Verdana"/>
          <w:sz w:val="20"/>
          <w:szCs w:val="20"/>
          <w:lang w:val="en-US"/>
        </w:rPr>
        <w:t>para.</w:t>
      </w:r>
      <w:r w:rsidR="001C0F23" w:rsidRPr="00D869E3">
        <w:rPr>
          <w:rFonts w:ascii="Verdana" w:eastAsia="Times New Roman" w:hAnsi="Verdana"/>
          <w:sz w:val="20"/>
          <w:szCs w:val="20"/>
          <w:lang w:val="en-US"/>
        </w:rPr>
        <w:t xml:space="preserve"> </w:t>
      </w:r>
      <w:r w:rsidR="00EC6021" w:rsidRPr="00D869E3">
        <w:rPr>
          <w:rFonts w:ascii="Verdana" w:eastAsia="Times New Roman" w:hAnsi="Verdana"/>
          <w:sz w:val="20"/>
          <w:szCs w:val="20"/>
          <w:lang w:val="en-US"/>
        </w:rPr>
        <w:t>10</w:t>
      </w:r>
      <w:r w:rsidR="008C33CE" w:rsidRPr="00D869E3">
        <w:rPr>
          <w:rFonts w:ascii="Verdana" w:eastAsia="Times New Roman" w:hAnsi="Verdana"/>
          <w:sz w:val="20"/>
          <w:szCs w:val="20"/>
          <w:lang w:val="en-US"/>
        </w:rPr>
        <w:t>).</w:t>
      </w:r>
    </w:p>
    <w:p w14:paraId="00E24885" w14:textId="77777777" w:rsidR="008C33CE" w:rsidRPr="00D869E3" w:rsidRDefault="008C33CE" w:rsidP="008C33CE">
      <w:pPr>
        <w:pStyle w:val="Prrafodelista"/>
        <w:ind w:left="0"/>
        <w:jc w:val="both"/>
        <w:rPr>
          <w:rFonts w:ascii="Verdana" w:hAnsi="Verdana"/>
          <w:sz w:val="20"/>
          <w:szCs w:val="20"/>
          <w:lang w:val="en-US"/>
        </w:rPr>
      </w:pPr>
    </w:p>
    <w:p w14:paraId="4822B262" w14:textId="51810A30" w:rsidR="008C33CE" w:rsidRPr="00D869E3" w:rsidRDefault="00A62EA8" w:rsidP="00EA232B">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In a communication of January</w:t>
      </w:r>
      <w:r w:rsidR="008C33CE" w:rsidRPr="00D869E3">
        <w:rPr>
          <w:rFonts w:ascii="Verdana" w:hAnsi="Verdana"/>
          <w:sz w:val="20"/>
          <w:szCs w:val="20"/>
          <w:lang w:val="en-US"/>
        </w:rPr>
        <w:t xml:space="preserve"> 30</w:t>
      </w:r>
      <w:r w:rsidRPr="00D869E3">
        <w:rPr>
          <w:rFonts w:ascii="Verdana" w:hAnsi="Verdana"/>
          <w:sz w:val="20"/>
          <w:szCs w:val="20"/>
          <w:lang w:val="en-US"/>
        </w:rPr>
        <w:t xml:space="preserve">, </w:t>
      </w:r>
      <w:r w:rsidR="008C33CE" w:rsidRPr="00D869E3">
        <w:rPr>
          <w:rFonts w:ascii="Verdana" w:hAnsi="Verdana"/>
          <w:sz w:val="20"/>
          <w:szCs w:val="20"/>
          <w:lang w:val="en-US"/>
        </w:rPr>
        <w:t>2017</w:t>
      </w:r>
      <w:r w:rsidRPr="00D869E3">
        <w:rPr>
          <w:rFonts w:ascii="Verdana" w:hAnsi="Verdana"/>
          <w:sz w:val="20"/>
          <w:szCs w:val="20"/>
          <w:lang w:val="en-US"/>
        </w:rPr>
        <w:t>,</w:t>
      </w:r>
      <w:r w:rsidR="008C33CE" w:rsidRPr="00D869E3">
        <w:rPr>
          <w:rFonts w:ascii="Verdana" w:hAnsi="Verdana"/>
          <w:sz w:val="20"/>
          <w:szCs w:val="20"/>
          <w:lang w:val="en-US"/>
        </w:rPr>
        <w:t xml:space="preserve"> </w:t>
      </w:r>
      <w:r w:rsidR="00447C65" w:rsidRPr="00D869E3">
        <w:rPr>
          <w:rFonts w:ascii="Verdana" w:hAnsi="Verdana"/>
          <w:sz w:val="20"/>
          <w:szCs w:val="20"/>
          <w:lang w:val="en-US"/>
        </w:rPr>
        <w:t>the State</w:t>
      </w:r>
      <w:r w:rsidR="008C33CE" w:rsidRPr="00D869E3">
        <w:rPr>
          <w:rFonts w:ascii="Verdana" w:hAnsi="Verdana"/>
          <w:sz w:val="20"/>
          <w:szCs w:val="20"/>
          <w:lang w:val="en-US"/>
        </w:rPr>
        <w:t xml:space="preserve"> </w:t>
      </w:r>
      <w:r w:rsidRPr="00D869E3">
        <w:rPr>
          <w:rFonts w:ascii="Verdana" w:hAnsi="Verdana"/>
          <w:sz w:val="20"/>
          <w:szCs w:val="20"/>
          <w:lang w:val="en-US"/>
        </w:rPr>
        <w:t xml:space="preserve">withdrew presentation of the expert opinion of </w:t>
      </w:r>
      <w:r w:rsidR="008C33CE" w:rsidRPr="00D869E3">
        <w:rPr>
          <w:rFonts w:ascii="Verdana" w:hAnsi="Verdana"/>
          <w:sz w:val="20"/>
          <w:szCs w:val="20"/>
          <w:lang w:val="en-US"/>
        </w:rPr>
        <w:t>Omar Sar Suárez</w:t>
      </w:r>
      <w:r w:rsidR="001C0F23" w:rsidRPr="00D869E3">
        <w:rPr>
          <w:rFonts w:ascii="Verdana" w:hAnsi="Verdana"/>
          <w:sz w:val="20"/>
          <w:szCs w:val="20"/>
          <w:lang w:val="en-US"/>
        </w:rPr>
        <w:t>.</w:t>
      </w:r>
      <w:r w:rsidR="008C33CE" w:rsidRPr="00D869E3">
        <w:rPr>
          <w:rFonts w:ascii="Verdana" w:hAnsi="Verdana"/>
          <w:sz w:val="20"/>
          <w:szCs w:val="20"/>
          <w:lang w:val="en-US"/>
        </w:rPr>
        <w:t xml:space="preserve"> </w:t>
      </w:r>
      <w:r w:rsidRPr="00D869E3">
        <w:rPr>
          <w:rFonts w:ascii="Verdana" w:hAnsi="Verdana"/>
          <w:sz w:val="20"/>
          <w:szCs w:val="20"/>
          <w:lang w:val="en-US"/>
        </w:rPr>
        <w:t>Th</w:t>
      </w:r>
      <w:r w:rsidR="00151407" w:rsidRPr="00D869E3">
        <w:rPr>
          <w:rFonts w:ascii="Verdana" w:hAnsi="Verdana"/>
          <w:sz w:val="20"/>
          <w:szCs w:val="20"/>
          <w:lang w:val="en-US"/>
        </w:rPr>
        <w:t>e</w:t>
      </w:r>
      <w:r w:rsidRPr="00D869E3">
        <w:rPr>
          <w:rFonts w:ascii="Verdana" w:hAnsi="Verdana"/>
          <w:sz w:val="20"/>
          <w:szCs w:val="20"/>
          <w:lang w:val="en-US"/>
        </w:rPr>
        <w:t xml:space="preserve"> </w:t>
      </w:r>
      <w:r w:rsidR="00687684" w:rsidRPr="00D869E3">
        <w:rPr>
          <w:rFonts w:ascii="Verdana" w:hAnsi="Verdana"/>
          <w:sz w:val="20"/>
          <w:szCs w:val="20"/>
          <w:lang w:val="en-US"/>
        </w:rPr>
        <w:t>representatives</w:t>
      </w:r>
      <w:r w:rsidR="008C33CE" w:rsidRPr="00D869E3">
        <w:rPr>
          <w:rFonts w:ascii="Verdana" w:hAnsi="Verdana"/>
          <w:sz w:val="20"/>
          <w:szCs w:val="20"/>
          <w:lang w:val="en-US"/>
        </w:rPr>
        <w:t xml:space="preserve"> </w:t>
      </w:r>
      <w:r w:rsidR="00151407" w:rsidRPr="00D869E3">
        <w:rPr>
          <w:rFonts w:ascii="Verdana" w:hAnsi="Verdana"/>
          <w:sz w:val="20"/>
          <w:szCs w:val="20"/>
          <w:lang w:val="en-US"/>
        </w:rPr>
        <w:t xml:space="preserve">contested the withdrawal on February 7, 2017, </w:t>
      </w:r>
      <w:r w:rsidR="008C33CE" w:rsidRPr="00D869E3">
        <w:rPr>
          <w:rFonts w:ascii="Verdana" w:hAnsi="Verdana"/>
          <w:sz w:val="20"/>
          <w:szCs w:val="20"/>
          <w:lang w:val="en-US"/>
        </w:rPr>
        <w:t>dur</w:t>
      </w:r>
      <w:r w:rsidRPr="00D869E3">
        <w:rPr>
          <w:rFonts w:ascii="Verdana" w:hAnsi="Verdana"/>
          <w:sz w:val="20"/>
          <w:szCs w:val="20"/>
          <w:lang w:val="en-US"/>
        </w:rPr>
        <w:t>ing the</w:t>
      </w:r>
      <w:r w:rsidR="008C33CE" w:rsidRPr="00D869E3">
        <w:rPr>
          <w:rFonts w:ascii="Verdana" w:hAnsi="Verdana"/>
          <w:sz w:val="20"/>
          <w:szCs w:val="20"/>
          <w:lang w:val="en-US"/>
        </w:rPr>
        <w:t xml:space="preserve"> </w:t>
      </w:r>
      <w:r w:rsidR="001E44D3" w:rsidRPr="00D869E3">
        <w:rPr>
          <w:rFonts w:ascii="Verdana" w:hAnsi="Verdana"/>
          <w:sz w:val="20"/>
          <w:szCs w:val="20"/>
          <w:lang w:val="en-US"/>
        </w:rPr>
        <w:t>public hearing</w:t>
      </w:r>
      <w:r w:rsidR="00687684" w:rsidRPr="00D869E3">
        <w:rPr>
          <w:rFonts w:ascii="Verdana" w:hAnsi="Verdana"/>
          <w:sz w:val="20"/>
          <w:szCs w:val="20"/>
          <w:lang w:val="en-US"/>
        </w:rPr>
        <w:t xml:space="preserve"> and </w:t>
      </w:r>
      <w:r w:rsidRPr="00D869E3">
        <w:rPr>
          <w:rFonts w:ascii="Verdana" w:hAnsi="Verdana"/>
          <w:sz w:val="20"/>
          <w:szCs w:val="20"/>
          <w:lang w:val="en-US"/>
        </w:rPr>
        <w:t>in a communication of February</w:t>
      </w:r>
      <w:r w:rsidR="008C33CE" w:rsidRPr="00D869E3">
        <w:rPr>
          <w:rFonts w:ascii="Verdana" w:hAnsi="Verdana"/>
          <w:sz w:val="20"/>
          <w:szCs w:val="20"/>
          <w:lang w:val="en-US"/>
        </w:rPr>
        <w:t xml:space="preserve"> 13</w:t>
      </w:r>
      <w:r w:rsidRPr="00D869E3">
        <w:rPr>
          <w:rFonts w:ascii="Verdana" w:hAnsi="Verdana"/>
          <w:sz w:val="20"/>
          <w:szCs w:val="20"/>
          <w:lang w:val="en-US"/>
        </w:rPr>
        <w:t xml:space="preserve">, </w:t>
      </w:r>
      <w:r w:rsidR="008C33CE" w:rsidRPr="00D869E3">
        <w:rPr>
          <w:rFonts w:ascii="Verdana" w:hAnsi="Verdana"/>
          <w:sz w:val="20"/>
          <w:szCs w:val="20"/>
          <w:lang w:val="en-US"/>
        </w:rPr>
        <w:t>2017</w:t>
      </w:r>
      <w:r w:rsidR="001C0F23" w:rsidRPr="00D869E3">
        <w:rPr>
          <w:rFonts w:ascii="Verdana" w:hAnsi="Verdana"/>
          <w:sz w:val="20"/>
          <w:szCs w:val="20"/>
          <w:lang w:val="en-US"/>
        </w:rPr>
        <w:t>.</w:t>
      </w:r>
      <w:r w:rsidR="008C33CE"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8C33CE" w:rsidRPr="00D869E3">
        <w:rPr>
          <w:rFonts w:ascii="Verdana" w:hAnsi="Verdana"/>
          <w:sz w:val="20"/>
          <w:szCs w:val="20"/>
          <w:lang w:val="en-US"/>
        </w:rPr>
        <w:t xml:space="preserve">, </w:t>
      </w:r>
      <w:r w:rsidRPr="00D869E3">
        <w:rPr>
          <w:rFonts w:ascii="Verdana" w:hAnsi="Verdana"/>
          <w:sz w:val="20"/>
          <w:szCs w:val="20"/>
          <w:lang w:val="en-US"/>
        </w:rPr>
        <w:t>the presumed victim’s representatives objected to the reasons given for th</w:t>
      </w:r>
      <w:r w:rsidR="00151407" w:rsidRPr="00D869E3">
        <w:rPr>
          <w:rFonts w:ascii="Verdana" w:hAnsi="Verdana"/>
          <w:sz w:val="20"/>
          <w:szCs w:val="20"/>
          <w:lang w:val="en-US"/>
        </w:rPr>
        <w:t>e</w:t>
      </w:r>
      <w:r w:rsidRPr="00D869E3">
        <w:rPr>
          <w:rFonts w:ascii="Verdana" w:hAnsi="Verdana"/>
          <w:sz w:val="20"/>
          <w:szCs w:val="20"/>
          <w:lang w:val="en-US"/>
        </w:rPr>
        <w:t xml:space="preserve"> withdrawal and advised that the opinion had already been given. They therefore requested the expert opinion and the answers to their questions and sent photographs showing that </w:t>
      </w:r>
      <w:r w:rsidR="008C33CE" w:rsidRPr="00D869E3">
        <w:rPr>
          <w:rFonts w:ascii="Verdana" w:hAnsi="Verdana"/>
          <w:sz w:val="20"/>
          <w:szCs w:val="20"/>
          <w:lang w:val="en-US"/>
        </w:rPr>
        <w:t xml:space="preserve">Omar Sar Suárez </w:t>
      </w:r>
      <w:r w:rsidRPr="00D869E3">
        <w:rPr>
          <w:rFonts w:ascii="Verdana" w:hAnsi="Verdana"/>
          <w:sz w:val="20"/>
          <w:szCs w:val="20"/>
          <w:lang w:val="en-US"/>
        </w:rPr>
        <w:t>had apparently prepared his affidavit.</w:t>
      </w:r>
    </w:p>
    <w:p w14:paraId="31666005" w14:textId="4113403E" w:rsidR="00A62EA8" w:rsidRPr="00D869E3" w:rsidRDefault="00A62EA8" w:rsidP="00A62EA8">
      <w:pPr>
        <w:pStyle w:val="Prrafodelista"/>
        <w:ind w:left="0"/>
        <w:jc w:val="both"/>
        <w:rPr>
          <w:rFonts w:ascii="Verdana" w:hAnsi="Verdana"/>
          <w:sz w:val="20"/>
          <w:szCs w:val="20"/>
          <w:lang w:val="en-US"/>
        </w:rPr>
      </w:pPr>
    </w:p>
    <w:p w14:paraId="76223234" w14:textId="0AFEE446" w:rsidR="008C33CE" w:rsidRPr="00D869E3" w:rsidRDefault="00A62EA8" w:rsidP="00A62EA8">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Consequently, in a Secretariat note of February 17,</w:t>
      </w:r>
      <w:r w:rsidR="008C33CE" w:rsidRPr="00D869E3">
        <w:rPr>
          <w:rFonts w:ascii="Verdana" w:hAnsi="Verdana"/>
          <w:sz w:val="20"/>
          <w:szCs w:val="20"/>
          <w:lang w:val="en-US"/>
        </w:rPr>
        <w:t xml:space="preserve"> 2017, </w:t>
      </w:r>
      <w:r w:rsidRPr="00D869E3">
        <w:rPr>
          <w:rFonts w:ascii="Verdana" w:hAnsi="Verdana"/>
          <w:sz w:val="20"/>
          <w:szCs w:val="20"/>
          <w:lang w:val="en-US"/>
        </w:rPr>
        <w:t>the full</w:t>
      </w:r>
      <w:r w:rsidR="00447C65" w:rsidRPr="00D869E3">
        <w:rPr>
          <w:rFonts w:ascii="Verdana" w:hAnsi="Verdana"/>
          <w:sz w:val="20"/>
          <w:szCs w:val="20"/>
          <w:lang w:val="en-US"/>
        </w:rPr>
        <w:t xml:space="preserve"> Court</w:t>
      </w:r>
      <w:r w:rsidR="008C33CE" w:rsidRPr="00D869E3">
        <w:rPr>
          <w:rFonts w:ascii="Verdana" w:hAnsi="Verdana"/>
          <w:sz w:val="20"/>
          <w:szCs w:val="20"/>
          <w:lang w:val="en-US"/>
        </w:rPr>
        <w:t xml:space="preserve"> determin</w:t>
      </w:r>
      <w:r w:rsidRPr="00D869E3">
        <w:rPr>
          <w:rFonts w:ascii="Verdana" w:hAnsi="Verdana"/>
          <w:sz w:val="20"/>
          <w:szCs w:val="20"/>
          <w:lang w:val="en-US"/>
        </w:rPr>
        <w:t>ed that, pursuant to</w:t>
      </w:r>
      <w:r w:rsidR="008C33CE" w:rsidRPr="00D869E3">
        <w:rPr>
          <w:rFonts w:ascii="Verdana" w:hAnsi="Verdana"/>
          <w:sz w:val="20"/>
          <w:szCs w:val="20"/>
          <w:lang w:val="en-US"/>
        </w:rPr>
        <w:t xml:space="preserve"> </w:t>
      </w:r>
      <w:r w:rsidR="00447C65" w:rsidRPr="00D869E3">
        <w:rPr>
          <w:rFonts w:ascii="Verdana" w:hAnsi="Verdana"/>
          <w:sz w:val="20"/>
          <w:szCs w:val="20"/>
          <w:lang w:val="en-US"/>
        </w:rPr>
        <w:t>Article</w:t>
      </w:r>
      <w:r w:rsidR="008C33CE" w:rsidRPr="00D869E3">
        <w:rPr>
          <w:rFonts w:ascii="Verdana" w:hAnsi="Verdana"/>
          <w:sz w:val="20"/>
          <w:szCs w:val="20"/>
          <w:lang w:val="en-US"/>
        </w:rPr>
        <w:t xml:space="preserve"> 46</w:t>
      </w:r>
      <w:r w:rsidRPr="00D869E3">
        <w:rPr>
          <w:rFonts w:ascii="Verdana" w:hAnsi="Verdana"/>
          <w:sz w:val="20"/>
          <w:szCs w:val="20"/>
          <w:lang w:val="en-US"/>
        </w:rPr>
        <w:t>(1)</w:t>
      </w:r>
      <w:r w:rsidR="00447C65" w:rsidRPr="00D869E3">
        <w:rPr>
          <w:rFonts w:ascii="Verdana" w:hAnsi="Verdana"/>
          <w:sz w:val="20"/>
          <w:szCs w:val="20"/>
          <w:lang w:val="en-US"/>
        </w:rPr>
        <w:t xml:space="preserve"> of the Rules of Procedure</w:t>
      </w:r>
      <w:r w:rsidR="008C33CE" w:rsidRPr="00D869E3">
        <w:rPr>
          <w:rFonts w:ascii="Verdana" w:hAnsi="Verdana"/>
          <w:sz w:val="20"/>
          <w:szCs w:val="20"/>
          <w:lang w:val="en-US"/>
        </w:rPr>
        <w:t xml:space="preserve">, </w:t>
      </w:r>
      <w:r w:rsidRPr="00D869E3">
        <w:rPr>
          <w:rFonts w:ascii="Verdana" w:hAnsi="Verdana"/>
          <w:sz w:val="20"/>
          <w:szCs w:val="20"/>
          <w:lang w:val="en-US"/>
        </w:rPr>
        <w:t xml:space="preserve">the proper procedural moment for </w:t>
      </w:r>
      <w:r w:rsidR="00447C65" w:rsidRPr="00D869E3">
        <w:rPr>
          <w:rFonts w:ascii="Verdana" w:hAnsi="Verdana"/>
          <w:sz w:val="20"/>
          <w:szCs w:val="20"/>
          <w:lang w:val="en-US"/>
        </w:rPr>
        <w:t>the Commission</w:t>
      </w:r>
      <w:r w:rsidR="00687684" w:rsidRPr="00D869E3">
        <w:rPr>
          <w:rFonts w:ascii="Verdana" w:hAnsi="Verdana"/>
          <w:sz w:val="20"/>
          <w:szCs w:val="20"/>
          <w:lang w:val="en-US"/>
        </w:rPr>
        <w:t xml:space="preserve"> and </w:t>
      </w:r>
      <w:r w:rsidRPr="00D869E3">
        <w:rPr>
          <w:rFonts w:ascii="Verdana" w:hAnsi="Verdana"/>
          <w:sz w:val="20"/>
          <w:szCs w:val="20"/>
          <w:lang w:val="en-US"/>
        </w:rPr>
        <w:t>the parties to confirm or withdraw the offer of the statements made in their respective briefs is in the final list requested by the Court</w:t>
      </w:r>
      <w:r w:rsidR="00151407" w:rsidRPr="00D869E3">
        <w:rPr>
          <w:rFonts w:ascii="Verdana" w:hAnsi="Verdana"/>
          <w:sz w:val="20"/>
          <w:szCs w:val="20"/>
          <w:lang w:val="en-US"/>
        </w:rPr>
        <w:t>; accordingly,</w:t>
      </w:r>
      <w:r w:rsidRPr="00D869E3">
        <w:rPr>
          <w:rFonts w:ascii="Verdana" w:hAnsi="Verdana"/>
          <w:sz w:val="20"/>
          <w:szCs w:val="20"/>
          <w:lang w:val="en-US"/>
        </w:rPr>
        <w:t xml:space="preserve"> once an expert opinion has been required in an order of the President and, especially, when it has been prepared, it is extremely relevant that it be incorporated into the proceedings. On this basis, pursuant to </w:t>
      </w:r>
      <w:r w:rsidR="00447C65" w:rsidRPr="00D869E3">
        <w:rPr>
          <w:rFonts w:ascii="Verdana" w:hAnsi="Verdana"/>
          <w:sz w:val="20"/>
          <w:szCs w:val="20"/>
          <w:lang w:val="en-US"/>
        </w:rPr>
        <w:t>Articles</w:t>
      </w:r>
      <w:r w:rsidR="008C33CE" w:rsidRPr="00D869E3">
        <w:rPr>
          <w:rFonts w:ascii="Verdana" w:hAnsi="Verdana"/>
          <w:sz w:val="20"/>
          <w:szCs w:val="20"/>
          <w:lang w:val="en-US"/>
        </w:rPr>
        <w:t xml:space="preserve"> 31, 46</w:t>
      </w:r>
      <w:r w:rsidRPr="00D869E3">
        <w:rPr>
          <w:rFonts w:ascii="Verdana" w:hAnsi="Verdana"/>
          <w:sz w:val="20"/>
          <w:szCs w:val="20"/>
          <w:lang w:val="en-US"/>
        </w:rPr>
        <w:t>(</w:t>
      </w:r>
      <w:r w:rsidR="008C33CE" w:rsidRPr="00D869E3">
        <w:rPr>
          <w:rFonts w:ascii="Verdana" w:hAnsi="Verdana"/>
          <w:sz w:val="20"/>
          <w:szCs w:val="20"/>
          <w:lang w:val="en-US"/>
        </w:rPr>
        <w:t>1</w:t>
      </w:r>
      <w:r w:rsidRPr="00D869E3">
        <w:rPr>
          <w:rFonts w:ascii="Verdana" w:hAnsi="Verdana"/>
          <w:sz w:val="20"/>
          <w:szCs w:val="20"/>
          <w:lang w:val="en-US"/>
        </w:rPr>
        <w:t>)</w:t>
      </w:r>
      <w:r w:rsidR="008C33CE" w:rsidRPr="00D869E3">
        <w:rPr>
          <w:rFonts w:ascii="Verdana" w:hAnsi="Verdana"/>
          <w:sz w:val="20"/>
          <w:szCs w:val="20"/>
          <w:lang w:val="en-US"/>
        </w:rPr>
        <w:t>, 54</w:t>
      </w:r>
      <w:r w:rsidR="00687684" w:rsidRPr="00D869E3">
        <w:rPr>
          <w:rFonts w:ascii="Verdana" w:hAnsi="Verdana"/>
          <w:sz w:val="20"/>
          <w:szCs w:val="20"/>
          <w:lang w:val="en-US"/>
        </w:rPr>
        <w:t xml:space="preserve"> and </w:t>
      </w:r>
      <w:r w:rsidR="008C33CE" w:rsidRPr="00D869E3">
        <w:rPr>
          <w:rFonts w:ascii="Verdana" w:hAnsi="Verdana"/>
          <w:sz w:val="20"/>
          <w:szCs w:val="20"/>
          <w:lang w:val="en-US"/>
        </w:rPr>
        <w:t>58</w:t>
      </w:r>
      <w:r w:rsidR="00447C65" w:rsidRPr="00D869E3">
        <w:rPr>
          <w:rFonts w:ascii="Verdana" w:hAnsi="Verdana"/>
          <w:sz w:val="20"/>
          <w:szCs w:val="20"/>
          <w:lang w:val="en-US"/>
        </w:rPr>
        <w:t xml:space="preserve"> of the Rules of Procedure</w:t>
      </w:r>
      <w:r w:rsidR="008C33CE" w:rsidRPr="00D869E3">
        <w:rPr>
          <w:rFonts w:ascii="Verdana" w:hAnsi="Verdana"/>
          <w:sz w:val="20"/>
          <w:szCs w:val="20"/>
          <w:lang w:val="en-US"/>
        </w:rPr>
        <w:t>, as</w:t>
      </w:r>
      <w:r w:rsidRPr="00D869E3">
        <w:rPr>
          <w:rFonts w:ascii="Verdana" w:hAnsi="Verdana"/>
          <w:sz w:val="20"/>
          <w:szCs w:val="20"/>
          <w:lang w:val="en-US"/>
        </w:rPr>
        <w:t xml:space="preserve"> well as operative paragraphs </w:t>
      </w:r>
      <w:r w:rsidR="008C33CE" w:rsidRPr="00D869E3">
        <w:rPr>
          <w:rFonts w:ascii="Verdana" w:hAnsi="Verdana"/>
          <w:sz w:val="20"/>
          <w:szCs w:val="20"/>
          <w:lang w:val="en-US"/>
        </w:rPr>
        <w:t>4, 5, 8</w:t>
      </w:r>
      <w:r w:rsidR="00687684" w:rsidRPr="00D869E3">
        <w:rPr>
          <w:rFonts w:ascii="Verdana" w:hAnsi="Verdana"/>
          <w:sz w:val="20"/>
          <w:szCs w:val="20"/>
          <w:lang w:val="en-US"/>
        </w:rPr>
        <w:t xml:space="preserve"> and </w:t>
      </w:r>
      <w:r w:rsidR="008C33CE" w:rsidRPr="00D869E3">
        <w:rPr>
          <w:rFonts w:ascii="Verdana" w:hAnsi="Verdana"/>
          <w:sz w:val="20"/>
          <w:szCs w:val="20"/>
          <w:lang w:val="en-US"/>
        </w:rPr>
        <w:t xml:space="preserve">11 </w:t>
      </w:r>
      <w:r w:rsidRPr="00D869E3">
        <w:rPr>
          <w:rFonts w:ascii="Verdana" w:hAnsi="Verdana"/>
          <w:sz w:val="20"/>
          <w:szCs w:val="20"/>
          <w:lang w:val="en-US"/>
        </w:rPr>
        <w:t>of the order</w:t>
      </w:r>
      <w:r w:rsidR="00447C65" w:rsidRPr="00D869E3">
        <w:rPr>
          <w:rFonts w:ascii="Verdana" w:hAnsi="Verdana"/>
          <w:sz w:val="20"/>
          <w:szCs w:val="20"/>
          <w:lang w:val="en-US"/>
        </w:rPr>
        <w:t xml:space="preserve"> of the President</w:t>
      </w:r>
      <w:r w:rsidR="008C33CE" w:rsidRPr="00D869E3">
        <w:rPr>
          <w:rFonts w:ascii="Verdana" w:hAnsi="Verdana"/>
          <w:sz w:val="20"/>
          <w:szCs w:val="20"/>
          <w:lang w:val="en-US"/>
        </w:rPr>
        <w:t xml:space="preserve"> </w:t>
      </w:r>
      <w:r w:rsidRPr="00D869E3">
        <w:rPr>
          <w:rFonts w:ascii="Verdana" w:hAnsi="Verdana"/>
          <w:sz w:val="20"/>
          <w:szCs w:val="20"/>
          <w:lang w:val="en-US"/>
        </w:rPr>
        <w:t xml:space="preserve">of </w:t>
      </w:r>
      <w:r w:rsidR="00687684" w:rsidRPr="00D869E3">
        <w:rPr>
          <w:rFonts w:ascii="Verdana" w:hAnsi="Verdana"/>
          <w:sz w:val="20"/>
          <w:szCs w:val="20"/>
          <w:lang w:val="en-US"/>
        </w:rPr>
        <w:t xml:space="preserve">November </w:t>
      </w:r>
      <w:r w:rsidRPr="00D869E3">
        <w:rPr>
          <w:rFonts w:ascii="Verdana" w:hAnsi="Verdana"/>
          <w:sz w:val="20"/>
          <w:szCs w:val="20"/>
          <w:lang w:val="en-US"/>
        </w:rPr>
        <w:t>2</w:t>
      </w:r>
      <w:r w:rsidR="00687684" w:rsidRPr="00D869E3">
        <w:rPr>
          <w:rFonts w:ascii="Verdana" w:hAnsi="Verdana"/>
          <w:sz w:val="20"/>
          <w:szCs w:val="20"/>
          <w:lang w:val="en-US"/>
        </w:rPr>
        <w:t>1,</w:t>
      </w:r>
      <w:r w:rsidR="008C33CE" w:rsidRPr="00D869E3">
        <w:rPr>
          <w:rFonts w:ascii="Verdana" w:hAnsi="Verdana"/>
          <w:sz w:val="20"/>
          <w:szCs w:val="20"/>
          <w:lang w:val="en-US"/>
        </w:rPr>
        <w:t xml:space="preserve"> 2016</w:t>
      </w:r>
      <w:r w:rsidRPr="00D869E3">
        <w:rPr>
          <w:rFonts w:ascii="Verdana" w:hAnsi="Verdana"/>
          <w:sz w:val="20"/>
          <w:szCs w:val="20"/>
          <w:lang w:val="en-US"/>
        </w:rPr>
        <w:t xml:space="preserve">, the State was required to forward the expert opinion of Omar Sar Suárez to the Court by February 24, </w:t>
      </w:r>
      <w:r w:rsidR="008C33CE" w:rsidRPr="00D869E3">
        <w:rPr>
          <w:rFonts w:ascii="Verdana" w:hAnsi="Verdana"/>
          <w:sz w:val="20"/>
          <w:szCs w:val="20"/>
          <w:lang w:val="en-US"/>
        </w:rPr>
        <w:t>2017.</w:t>
      </w:r>
    </w:p>
    <w:p w14:paraId="18ECD9E6" w14:textId="77777777" w:rsidR="008C33CE" w:rsidRPr="00D869E3" w:rsidRDefault="008C33CE" w:rsidP="008C33CE">
      <w:pPr>
        <w:pStyle w:val="Prrafodelista"/>
        <w:ind w:left="0"/>
        <w:jc w:val="both"/>
        <w:rPr>
          <w:rFonts w:ascii="Verdana" w:hAnsi="Verdana"/>
          <w:sz w:val="20"/>
          <w:szCs w:val="20"/>
          <w:lang w:val="en-US"/>
        </w:rPr>
      </w:pPr>
    </w:p>
    <w:p w14:paraId="516FFA56" w14:textId="1D255852" w:rsidR="008C33CE" w:rsidRPr="00D869E3" w:rsidRDefault="00A62EA8" w:rsidP="00A62EA8">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On February 24,</w:t>
      </w:r>
      <w:r w:rsidR="008C33CE" w:rsidRPr="00D869E3">
        <w:rPr>
          <w:rFonts w:ascii="Verdana" w:hAnsi="Verdana"/>
          <w:sz w:val="20"/>
          <w:szCs w:val="20"/>
          <w:lang w:val="en-US"/>
        </w:rPr>
        <w:t xml:space="preserve"> 2017</w:t>
      </w:r>
      <w:r w:rsidRPr="00D869E3">
        <w:rPr>
          <w:rFonts w:ascii="Verdana" w:hAnsi="Verdana"/>
          <w:sz w:val="20"/>
          <w:szCs w:val="20"/>
          <w:lang w:val="en-US"/>
        </w:rPr>
        <w:t>,</w:t>
      </w:r>
      <w:r w:rsidR="008C33CE" w:rsidRPr="00D869E3">
        <w:rPr>
          <w:rFonts w:ascii="Verdana" w:hAnsi="Verdana"/>
          <w:sz w:val="20"/>
          <w:szCs w:val="20"/>
          <w:lang w:val="en-US"/>
        </w:rPr>
        <w:t xml:space="preserve"> </w:t>
      </w:r>
      <w:r w:rsidR="00447C65" w:rsidRPr="00D869E3">
        <w:rPr>
          <w:rFonts w:ascii="Verdana" w:hAnsi="Verdana"/>
          <w:sz w:val="20"/>
          <w:szCs w:val="20"/>
          <w:lang w:val="en-US"/>
        </w:rPr>
        <w:t>the State</w:t>
      </w:r>
      <w:r w:rsidR="008C33CE" w:rsidRPr="00D869E3">
        <w:rPr>
          <w:rFonts w:ascii="Verdana" w:hAnsi="Verdana"/>
          <w:sz w:val="20"/>
          <w:szCs w:val="20"/>
          <w:lang w:val="en-US"/>
        </w:rPr>
        <w:t xml:space="preserve"> </w:t>
      </w:r>
      <w:r w:rsidRPr="00D869E3">
        <w:rPr>
          <w:rFonts w:ascii="Verdana" w:hAnsi="Verdana"/>
          <w:sz w:val="20"/>
          <w:szCs w:val="20"/>
          <w:lang w:val="en-US"/>
        </w:rPr>
        <w:t>presented the expert opinion of</w:t>
      </w:r>
      <w:r w:rsidR="008C33CE" w:rsidRPr="00D869E3">
        <w:rPr>
          <w:rFonts w:ascii="Verdana" w:hAnsi="Verdana"/>
          <w:sz w:val="20"/>
          <w:szCs w:val="20"/>
          <w:lang w:val="en-US"/>
        </w:rPr>
        <w:t xml:space="preserve"> Omar Sar</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its report </w:t>
      </w:r>
      <w:r w:rsidR="008C33CE" w:rsidRPr="00D869E3">
        <w:rPr>
          <w:rFonts w:ascii="Verdana" w:hAnsi="Verdana"/>
          <w:sz w:val="20"/>
          <w:szCs w:val="20"/>
          <w:lang w:val="en-US"/>
        </w:rPr>
        <w:t xml:space="preserve">No. 032-2017-JUS/CDJE-PPES </w:t>
      </w:r>
      <w:r w:rsidRPr="00D869E3">
        <w:rPr>
          <w:rFonts w:ascii="Verdana" w:hAnsi="Verdana"/>
          <w:sz w:val="20"/>
          <w:szCs w:val="20"/>
          <w:lang w:val="en-US"/>
        </w:rPr>
        <w:t xml:space="preserve">with observations on the Court’s requirement that this expert opinion be presented. In these observations, the State expressed its </w:t>
      </w:r>
      <w:r w:rsidR="00151407" w:rsidRPr="00D869E3">
        <w:rPr>
          <w:rFonts w:ascii="Verdana" w:hAnsi="Verdana"/>
          <w:sz w:val="20"/>
          <w:szCs w:val="20"/>
          <w:lang w:val="en-US"/>
        </w:rPr>
        <w:t>discrepancy</w:t>
      </w:r>
      <w:r w:rsidRPr="00D869E3">
        <w:rPr>
          <w:rFonts w:ascii="Verdana" w:hAnsi="Verdana"/>
          <w:sz w:val="20"/>
          <w:szCs w:val="20"/>
          <w:lang w:val="en-US"/>
        </w:rPr>
        <w:t xml:space="preserve"> with the fact that the Court had not provided it with the procedural opportunity to </w:t>
      </w:r>
      <w:r w:rsidR="00151407" w:rsidRPr="00D869E3">
        <w:rPr>
          <w:rFonts w:ascii="Verdana" w:hAnsi="Verdana"/>
          <w:sz w:val="20"/>
          <w:szCs w:val="20"/>
          <w:lang w:val="en-US"/>
        </w:rPr>
        <w:t>comment</w:t>
      </w:r>
      <w:r w:rsidRPr="00D869E3">
        <w:rPr>
          <w:rFonts w:ascii="Verdana" w:hAnsi="Verdana"/>
          <w:sz w:val="20"/>
          <w:szCs w:val="20"/>
          <w:lang w:val="en-US"/>
        </w:rPr>
        <w:t xml:space="preserve"> on the withdrawal of the expert opinion. In addition, it asked the Court not to take into account paragraphs 64 to 67, </w:t>
      </w:r>
      <w:r w:rsidR="008C33CE" w:rsidRPr="00D869E3">
        <w:rPr>
          <w:rFonts w:ascii="Verdana" w:hAnsi="Verdana"/>
          <w:sz w:val="20"/>
          <w:szCs w:val="20"/>
          <w:lang w:val="en-US"/>
        </w:rPr>
        <w:t>82, 83</w:t>
      </w:r>
      <w:r w:rsidR="00687684" w:rsidRPr="00D869E3">
        <w:rPr>
          <w:rFonts w:ascii="Verdana" w:hAnsi="Verdana"/>
          <w:sz w:val="20"/>
          <w:szCs w:val="20"/>
          <w:lang w:val="en-US"/>
        </w:rPr>
        <w:t xml:space="preserve"> and </w:t>
      </w:r>
      <w:r w:rsidR="008C33CE" w:rsidRPr="00D869E3">
        <w:rPr>
          <w:rFonts w:ascii="Verdana" w:hAnsi="Verdana"/>
          <w:sz w:val="20"/>
          <w:szCs w:val="20"/>
          <w:lang w:val="en-US"/>
        </w:rPr>
        <w:t>96,</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the answer to </w:t>
      </w:r>
      <w:r w:rsidR="00687684" w:rsidRPr="00D869E3">
        <w:rPr>
          <w:rFonts w:ascii="Verdana" w:hAnsi="Verdana"/>
          <w:sz w:val="20"/>
          <w:szCs w:val="20"/>
          <w:lang w:val="en-US"/>
        </w:rPr>
        <w:t>the representatives</w:t>
      </w:r>
      <w:r w:rsidRPr="00D869E3">
        <w:rPr>
          <w:rFonts w:ascii="Verdana" w:hAnsi="Verdana"/>
          <w:sz w:val="20"/>
          <w:szCs w:val="20"/>
          <w:lang w:val="en-US"/>
        </w:rPr>
        <w:t xml:space="preserve"> question 7</w:t>
      </w:r>
      <w:r w:rsidR="008C33CE" w:rsidRPr="00D869E3">
        <w:rPr>
          <w:rFonts w:ascii="Verdana" w:hAnsi="Verdana"/>
          <w:sz w:val="20"/>
          <w:szCs w:val="20"/>
          <w:lang w:val="en-US"/>
        </w:rPr>
        <w:t xml:space="preserve">, </w:t>
      </w:r>
      <w:r w:rsidRPr="00D869E3">
        <w:rPr>
          <w:rFonts w:ascii="Verdana" w:hAnsi="Verdana"/>
          <w:sz w:val="20"/>
          <w:szCs w:val="20"/>
          <w:lang w:val="en-US"/>
        </w:rPr>
        <w:t>because</w:t>
      </w:r>
      <w:r w:rsidR="008C33CE" w:rsidRPr="00D869E3">
        <w:rPr>
          <w:rFonts w:ascii="Verdana" w:hAnsi="Verdana"/>
          <w:sz w:val="20"/>
          <w:szCs w:val="20"/>
          <w:lang w:val="en-US"/>
        </w:rPr>
        <w:t xml:space="preserve"> </w:t>
      </w:r>
      <w:r w:rsidR="00447C65" w:rsidRPr="00D869E3">
        <w:rPr>
          <w:rFonts w:ascii="Verdana" w:hAnsi="Verdana"/>
          <w:sz w:val="20"/>
          <w:szCs w:val="20"/>
          <w:lang w:val="en-US"/>
        </w:rPr>
        <w:t>the State</w:t>
      </w:r>
      <w:r w:rsidR="008C33CE" w:rsidRPr="00D869E3">
        <w:rPr>
          <w:rFonts w:ascii="Verdana" w:hAnsi="Verdana"/>
          <w:sz w:val="20"/>
          <w:szCs w:val="20"/>
          <w:lang w:val="en-US"/>
        </w:rPr>
        <w:t xml:space="preserve"> consider</w:t>
      </w:r>
      <w:r w:rsidRPr="00D869E3">
        <w:rPr>
          <w:rFonts w:ascii="Verdana" w:hAnsi="Verdana"/>
          <w:sz w:val="20"/>
          <w:szCs w:val="20"/>
          <w:lang w:val="en-US"/>
        </w:rPr>
        <w:t>ed that the</w:t>
      </w:r>
      <w:r w:rsidR="00151407" w:rsidRPr="00D869E3">
        <w:rPr>
          <w:rFonts w:ascii="Verdana" w:hAnsi="Verdana"/>
          <w:sz w:val="20"/>
          <w:szCs w:val="20"/>
          <w:lang w:val="en-US"/>
        </w:rPr>
        <w:t>se referred</w:t>
      </w:r>
      <w:r w:rsidRPr="00D869E3">
        <w:rPr>
          <w:rFonts w:ascii="Verdana" w:hAnsi="Verdana"/>
          <w:sz w:val="20"/>
          <w:szCs w:val="20"/>
          <w:lang w:val="en-US"/>
        </w:rPr>
        <w:t xml:space="preserve"> directly to the specific case. Despite this, in its final written arguments, the State used the opinion of</w:t>
      </w:r>
      <w:r w:rsidR="008C33CE" w:rsidRPr="00D869E3">
        <w:rPr>
          <w:rFonts w:ascii="Verdana" w:hAnsi="Verdana"/>
          <w:sz w:val="20"/>
          <w:szCs w:val="20"/>
          <w:lang w:val="en-US"/>
        </w:rPr>
        <w:t xml:space="preserve"> Omar Sar Suárez </w:t>
      </w:r>
      <w:r w:rsidRPr="00D869E3">
        <w:rPr>
          <w:rFonts w:ascii="Verdana" w:hAnsi="Verdana"/>
          <w:sz w:val="20"/>
          <w:szCs w:val="20"/>
          <w:lang w:val="en-US"/>
        </w:rPr>
        <w:t>with regard to various aspects such as limits to freedom of expression and</w:t>
      </w:r>
      <w:r w:rsidR="00C82C0C" w:rsidRPr="00D869E3">
        <w:rPr>
          <w:rFonts w:ascii="Verdana" w:hAnsi="Verdana"/>
          <w:sz w:val="20"/>
          <w:szCs w:val="20"/>
          <w:lang w:val="en-US"/>
        </w:rPr>
        <w:t xml:space="preserve"> </w:t>
      </w:r>
      <w:r w:rsidR="006436CA" w:rsidRPr="00D869E3">
        <w:rPr>
          <w:rFonts w:ascii="Verdana" w:hAnsi="Verdana"/>
          <w:sz w:val="20"/>
          <w:szCs w:val="20"/>
          <w:lang w:val="en-US"/>
        </w:rPr>
        <w:t>“</w:t>
      </w:r>
      <w:r w:rsidR="00C82C0C" w:rsidRPr="00D869E3">
        <w:rPr>
          <w:rFonts w:ascii="Verdana" w:hAnsi="Verdana"/>
          <w:sz w:val="20"/>
          <w:szCs w:val="20"/>
          <w:lang w:val="en-US"/>
        </w:rPr>
        <w:t xml:space="preserve">serious </w:t>
      </w:r>
      <w:r w:rsidR="009D2A11" w:rsidRPr="00D869E3">
        <w:rPr>
          <w:rFonts w:ascii="Verdana" w:hAnsi="Verdana"/>
          <w:sz w:val="20"/>
          <w:szCs w:val="20"/>
          <w:lang w:val="en-US"/>
        </w:rPr>
        <w:t xml:space="preserve">verbal </w:t>
      </w:r>
      <w:r w:rsidR="00745FB9" w:rsidRPr="00D869E3">
        <w:rPr>
          <w:rFonts w:ascii="Verdana" w:hAnsi="Verdana"/>
          <w:sz w:val="20"/>
          <w:szCs w:val="20"/>
          <w:lang w:val="en-US"/>
        </w:rPr>
        <w:t>misconduct</w:t>
      </w:r>
      <w:r w:rsidR="00C82C0C" w:rsidRPr="00D869E3">
        <w:rPr>
          <w:rFonts w:ascii="Verdana" w:hAnsi="Verdana"/>
          <w:sz w:val="20"/>
          <w:szCs w:val="20"/>
          <w:lang w:val="en-US"/>
        </w:rPr>
        <w:t>.</w:t>
      </w:r>
      <w:r w:rsidR="006436CA" w:rsidRPr="00D869E3">
        <w:rPr>
          <w:rFonts w:ascii="Verdana" w:hAnsi="Verdana"/>
          <w:sz w:val="20"/>
          <w:szCs w:val="20"/>
          <w:lang w:val="en-US"/>
        </w:rPr>
        <w:t>”</w:t>
      </w:r>
    </w:p>
    <w:p w14:paraId="4FE38E68" w14:textId="77777777" w:rsidR="008C33CE" w:rsidRPr="00D869E3" w:rsidRDefault="008C33CE" w:rsidP="008C33CE">
      <w:pPr>
        <w:pStyle w:val="Prrafodelista"/>
        <w:ind w:left="0"/>
        <w:jc w:val="both"/>
        <w:rPr>
          <w:rFonts w:ascii="Verdana" w:hAnsi="Verdana"/>
          <w:sz w:val="20"/>
          <w:szCs w:val="20"/>
          <w:lang w:val="en-US"/>
        </w:rPr>
      </w:pPr>
    </w:p>
    <w:p w14:paraId="119F97A5" w14:textId="0011B4DB" w:rsidR="00EA232B" w:rsidRPr="00D869E3" w:rsidRDefault="00C82C0C" w:rsidP="00E66DD7">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Based on the </w:t>
      </w:r>
      <w:r w:rsidR="00745FB9" w:rsidRPr="00D869E3">
        <w:rPr>
          <w:rFonts w:ascii="Verdana" w:hAnsi="Verdana"/>
          <w:sz w:val="20"/>
          <w:szCs w:val="20"/>
          <w:lang w:val="en-US"/>
        </w:rPr>
        <w:t xml:space="preserve">State’s </w:t>
      </w:r>
      <w:r w:rsidRPr="00D869E3">
        <w:rPr>
          <w:rFonts w:ascii="Verdana" w:hAnsi="Verdana"/>
          <w:sz w:val="20"/>
          <w:szCs w:val="20"/>
          <w:lang w:val="en-US"/>
        </w:rPr>
        <w:t xml:space="preserve">observations in its brief of February 24, </w:t>
      </w:r>
      <w:r w:rsidR="008C33CE" w:rsidRPr="00D869E3">
        <w:rPr>
          <w:rFonts w:ascii="Verdana" w:hAnsi="Verdana"/>
          <w:sz w:val="20"/>
          <w:szCs w:val="20"/>
          <w:lang w:val="en-US"/>
        </w:rPr>
        <w:t>2017</w:t>
      </w:r>
      <w:r w:rsidRPr="00D869E3">
        <w:rPr>
          <w:rFonts w:ascii="Verdana" w:hAnsi="Verdana"/>
          <w:sz w:val="20"/>
          <w:szCs w:val="20"/>
          <w:lang w:val="en-US"/>
        </w:rPr>
        <w:t>,</w:t>
      </w:r>
      <w:r w:rsidR="008C33CE" w:rsidRPr="00D869E3">
        <w:rPr>
          <w:rFonts w:ascii="Verdana" w:hAnsi="Verdana"/>
          <w:sz w:val="20"/>
          <w:szCs w:val="20"/>
          <w:lang w:val="en-US"/>
        </w:rPr>
        <w:t xml:space="preserve"> </w:t>
      </w:r>
      <w:r w:rsidR="00447C65" w:rsidRPr="00D869E3">
        <w:rPr>
          <w:rFonts w:ascii="Verdana" w:hAnsi="Verdana"/>
          <w:sz w:val="20"/>
          <w:szCs w:val="20"/>
          <w:lang w:val="en-US"/>
        </w:rPr>
        <w:t>the Court</w:t>
      </w:r>
      <w:r w:rsidR="008C33CE" w:rsidRPr="00D869E3">
        <w:rPr>
          <w:rFonts w:ascii="Verdana" w:hAnsi="Verdana"/>
          <w:sz w:val="20"/>
          <w:szCs w:val="20"/>
          <w:lang w:val="en-US"/>
        </w:rPr>
        <w:t xml:space="preserve"> </w:t>
      </w:r>
      <w:r w:rsidRPr="00D869E3">
        <w:rPr>
          <w:rFonts w:ascii="Verdana" w:hAnsi="Verdana"/>
          <w:sz w:val="20"/>
          <w:szCs w:val="20"/>
          <w:lang w:val="en-US"/>
        </w:rPr>
        <w:t>finds that the re</w:t>
      </w:r>
      <w:r w:rsidR="00DF79A9" w:rsidRPr="00D869E3">
        <w:rPr>
          <w:rFonts w:ascii="Verdana" w:hAnsi="Verdana"/>
          <w:sz w:val="20"/>
          <w:szCs w:val="20"/>
          <w:lang w:val="en-US"/>
        </w:rPr>
        <w:t>quirement</w:t>
      </w:r>
      <w:r w:rsidRPr="00D869E3">
        <w:rPr>
          <w:rFonts w:ascii="Verdana" w:hAnsi="Verdana"/>
          <w:sz w:val="20"/>
          <w:szCs w:val="20"/>
          <w:lang w:val="en-US"/>
        </w:rPr>
        <w:t xml:space="preserve"> and admission of the expert opinion of </w:t>
      </w:r>
      <w:r w:rsidR="008C33CE" w:rsidRPr="00D869E3">
        <w:rPr>
          <w:rFonts w:ascii="Verdana" w:hAnsi="Verdana"/>
          <w:sz w:val="20"/>
          <w:szCs w:val="20"/>
          <w:lang w:val="en-US"/>
        </w:rPr>
        <w:t xml:space="preserve">Omar Sar Suárez </w:t>
      </w:r>
      <w:r w:rsidRPr="00D869E3">
        <w:rPr>
          <w:rFonts w:ascii="Verdana" w:hAnsi="Verdana"/>
          <w:sz w:val="20"/>
          <w:szCs w:val="20"/>
          <w:lang w:val="en-US"/>
        </w:rPr>
        <w:t>w</w:t>
      </w:r>
      <w:r w:rsidR="00DF79A9" w:rsidRPr="00D869E3">
        <w:rPr>
          <w:rFonts w:ascii="Verdana" w:hAnsi="Verdana"/>
          <w:sz w:val="20"/>
          <w:szCs w:val="20"/>
          <w:lang w:val="en-US"/>
        </w:rPr>
        <w:t>ere</w:t>
      </w:r>
      <w:r w:rsidRPr="00D869E3">
        <w:rPr>
          <w:rFonts w:ascii="Verdana" w:hAnsi="Verdana"/>
          <w:sz w:val="20"/>
          <w:szCs w:val="20"/>
          <w:lang w:val="en-US"/>
        </w:rPr>
        <w:t xml:space="preserve"> decided in </w:t>
      </w:r>
      <w:r w:rsidR="00DF79A9" w:rsidRPr="00D869E3">
        <w:rPr>
          <w:rFonts w:ascii="Verdana" w:hAnsi="Verdana"/>
          <w:sz w:val="20"/>
          <w:szCs w:val="20"/>
          <w:lang w:val="en-US"/>
        </w:rPr>
        <w:t xml:space="preserve">both </w:t>
      </w:r>
      <w:r w:rsidRPr="00D869E3">
        <w:rPr>
          <w:rFonts w:ascii="Verdana" w:hAnsi="Verdana"/>
          <w:sz w:val="20"/>
          <w:szCs w:val="20"/>
          <w:lang w:val="en-US"/>
        </w:rPr>
        <w:t>the order calling</w:t>
      </w:r>
      <w:r w:rsidR="00DF79A9" w:rsidRPr="00D869E3">
        <w:rPr>
          <w:rFonts w:ascii="Verdana" w:hAnsi="Verdana"/>
          <w:sz w:val="20"/>
          <w:szCs w:val="20"/>
          <w:lang w:val="en-US"/>
        </w:rPr>
        <w:t xml:space="preserve"> for</w:t>
      </w:r>
      <w:r w:rsidRPr="00D869E3">
        <w:rPr>
          <w:rFonts w:ascii="Verdana" w:hAnsi="Verdana"/>
          <w:sz w:val="20"/>
          <w:szCs w:val="20"/>
          <w:lang w:val="en-US"/>
        </w:rPr>
        <w:t xml:space="preserve"> the hearing of November 21</w:t>
      </w:r>
      <w:r w:rsidR="00687684" w:rsidRPr="00D869E3">
        <w:rPr>
          <w:rFonts w:ascii="Verdana" w:hAnsi="Verdana"/>
          <w:sz w:val="20"/>
          <w:szCs w:val="20"/>
          <w:lang w:val="en-US"/>
        </w:rPr>
        <w:t>,</w:t>
      </w:r>
      <w:r w:rsidR="008C33CE" w:rsidRPr="00D869E3">
        <w:rPr>
          <w:rFonts w:ascii="Verdana" w:hAnsi="Verdana"/>
          <w:sz w:val="20"/>
          <w:szCs w:val="20"/>
          <w:lang w:val="en-US"/>
        </w:rPr>
        <w:t xml:space="preserve"> 2016</w:t>
      </w:r>
      <w:r w:rsidRPr="00D869E3">
        <w:rPr>
          <w:rFonts w:ascii="Verdana" w:hAnsi="Verdana"/>
          <w:sz w:val="20"/>
          <w:szCs w:val="20"/>
          <w:lang w:val="en-US"/>
        </w:rPr>
        <w:t>, and the decision of the full Court, in a Secretariat note of February 17,</w:t>
      </w:r>
      <w:r w:rsidR="008C33CE" w:rsidRPr="00D869E3">
        <w:rPr>
          <w:rFonts w:ascii="Verdana" w:hAnsi="Verdana"/>
          <w:sz w:val="20"/>
          <w:szCs w:val="20"/>
          <w:lang w:val="en-US"/>
        </w:rPr>
        <w:t xml:space="preserve"> 2017 (</w:t>
      </w:r>
      <w:r w:rsidR="00224537" w:rsidRPr="00D869E3">
        <w:rPr>
          <w:rFonts w:ascii="Verdana" w:hAnsi="Verdana"/>
          <w:i/>
          <w:sz w:val="20"/>
          <w:szCs w:val="20"/>
          <w:lang w:val="en-US"/>
        </w:rPr>
        <w:t>supra</w:t>
      </w:r>
      <w:r w:rsidR="008C33CE" w:rsidRPr="00D869E3">
        <w:rPr>
          <w:rFonts w:ascii="Verdana" w:hAnsi="Verdana"/>
          <w:sz w:val="20"/>
          <w:szCs w:val="20"/>
          <w:lang w:val="en-US"/>
        </w:rPr>
        <w:t xml:space="preserve">, </w:t>
      </w:r>
      <w:r w:rsidR="0087339F" w:rsidRPr="00D869E3">
        <w:rPr>
          <w:rFonts w:ascii="Verdana" w:hAnsi="Verdana"/>
          <w:sz w:val="20"/>
          <w:szCs w:val="20"/>
          <w:lang w:val="en-US"/>
        </w:rPr>
        <w:t>para.</w:t>
      </w:r>
      <w:r w:rsidR="008C33CE" w:rsidRPr="00D869E3">
        <w:rPr>
          <w:rFonts w:ascii="Verdana" w:hAnsi="Verdana"/>
          <w:sz w:val="20"/>
          <w:szCs w:val="20"/>
          <w:lang w:val="en-US"/>
        </w:rPr>
        <w:t xml:space="preserve"> </w:t>
      </w:r>
      <w:r w:rsidR="00FF0C2D" w:rsidRPr="00D869E3">
        <w:rPr>
          <w:rFonts w:ascii="Verdana" w:hAnsi="Verdana"/>
          <w:sz w:val="20"/>
          <w:szCs w:val="20"/>
          <w:lang w:val="en-US"/>
        </w:rPr>
        <w:t>31</w:t>
      </w:r>
      <w:r w:rsidR="008C33CE" w:rsidRPr="00D869E3">
        <w:rPr>
          <w:rFonts w:ascii="Verdana" w:hAnsi="Verdana"/>
          <w:sz w:val="20"/>
          <w:szCs w:val="20"/>
          <w:lang w:val="en-US"/>
        </w:rPr>
        <w:t>).</w:t>
      </w:r>
      <w:r w:rsidR="000D5308" w:rsidRPr="00D869E3">
        <w:rPr>
          <w:rFonts w:ascii="Verdana" w:hAnsi="Verdana"/>
          <w:sz w:val="20"/>
          <w:szCs w:val="20"/>
          <w:lang w:val="en-US"/>
        </w:rPr>
        <w:t xml:space="preserve"> </w:t>
      </w:r>
      <w:r w:rsidRPr="00D869E3">
        <w:rPr>
          <w:rFonts w:ascii="Verdana" w:hAnsi="Verdana"/>
          <w:sz w:val="20"/>
          <w:szCs w:val="20"/>
          <w:lang w:val="en-US"/>
        </w:rPr>
        <w:t xml:space="preserve">Regarding the content of the opinion, the Court has indicated that </w:t>
      </w:r>
      <w:r w:rsidR="001E44D3" w:rsidRPr="00D869E3">
        <w:rPr>
          <w:rFonts w:ascii="Verdana" w:hAnsi="Verdana"/>
          <w:sz w:val="20"/>
          <w:szCs w:val="20"/>
          <w:lang w:val="en-US"/>
        </w:rPr>
        <w:t>expert witnesses</w:t>
      </w:r>
      <w:r w:rsidR="008C33CE" w:rsidRPr="00D869E3">
        <w:rPr>
          <w:rFonts w:ascii="Verdana" w:hAnsi="Verdana"/>
          <w:sz w:val="20"/>
          <w:szCs w:val="20"/>
          <w:lang w:val="en-US"/>
        </w:rPr>
        <w:t xml:space="preserve"> </w:t>
      </w:r>
      <w:r w:rsidRPr="00D869E3">
        <w:rPr>
          <w:rFonts w:ascii="Verdana" w:hAnsi="Verdana"/>
          <w:sz w:val="20"/>
          <w:szCs w:val="20"/>
          <w:lang w:val="en-US"/>
        </w:rPr>
        <w:t xml:space="preserve">may refer to specific points of the </w:t>
      </w:r>
      <w:r w:rsidR="008C33CE" w:rsidRPr="00D869E3">
        <w:rPr>
          <w:rFonts w:ascii="Verdana" w:hAnsi="Verdana"/>
          <w:i/>
          <w:sz w:val="20"/>
          <w:szCs w:val="20"/>
          <w:lang w:val="en-US"/>
        </w:rPr>
        <w:t>litis</w:t>
      </w:r>
      <w:r w:rsidR="008C33CE" w:rsidRPr="00D869E3">
        <w:rPr>
          <w:rFonts w:ascii="Verdana" w:hAnsi="Verdana"/>
          <w:sz w:val="20"/>
          <w:szCs w:val="20"/>
          <w:lang w:val="en-US"/>
        </w:rPr>
        <w:t xml:space="preserve"> </w:t>
      </w:r>
      <w:r w:rsidRPr="00D869E3">
        <w:rPr>
          <w:rFonts w:ascii="Verdana" w:hAnsi="Verdana"/>
          <w:sz w:val="20"/>
          <w:szCs w:val="20"/>
          <w:lang w:val="en-US"/>
        </w:rPr>
        <w:t xml:space="preserve">and to any other point that is relevant to the litigation, provided they respect the purpose for which they were </w:t>
      </w:r>
      <w:r w:rsidR="00DF79A9" w:rsidRPr="00D869E3">
        <w:rPr>
          <w:rFonts w:ascii="Verdana" w:hAnsi="Verdana"/>
          <w:sz w:val="20"/>
          <w:szCs w:val="20"/>
          <w:lang w:val="en-US"/>
        </w:rPr>
        <w:t>required</w:t>
      </w:r>
      <w:r w:rsidRPr="00D869E3">
        <w:rPr>
          <w:rFonts w:ascii="Verdana" w:hAnsi="Verdana"/>
          <w:sz w:val="20"/>
          <w:szCs w:val="20"/>
          <w:lang w:val="en-US"/>
        </w:rPr>
        <w:t>.</w:t>
      </w:r>
      <w:r w:rsidR="008C33CE" w:rsidRPr="00D869E3">
        <w:rPr>
          <w:rStyle w:val="Refdenotaalpie"/>
          <w:szCs w:val="20"/>
          <w:lang w:val="en-US"/>
        </w:rPr>
        <w:footnoteReference w:id="25"/>
      </w:r>
      <w:r w:rsidR="008C33CE" w:rsidRPr="00D869E3">
        <w:rPr>
          <w:rFonts w:ascii="Verdana" w:hAnsi="Verdana"/>
          <w:sz w:val="20"/>
          <w:szCs w:val="20"/>
          <w:lang w:val="en-US"/>
        </w:rPr>
        <w:t xml:space="preserve"> </w:t>
      </w:r>
      <w:r w:rsidR="00447C65" w:rsidRPr="00D869E3">
        <w:rPr>
          <w:rFonts w:ascii="Verdana" w:hAnsi="Verdana"/>
          <w:sz w:val="20"/>
          <w:szCs w:val="20"/>
          <w:lang w:val="en-US"/>
        </w:rPr>
        <w:t>The Court</w:t>
      </w:r>
      <w:r w:rsidR="008C33CE" w:rsidRPr="00D869E3">
        <w:rPr>
          <w:rFonts w:ascii="Verdana" w:hAnsi="Verdana"/>
          <w:sz w:val="20"/>
          <w:szCs w:val="20"/>
          <w:lang w:val="en-US"/>
        </w:rPr>
        <w:t xml:space="preserve"> </w:t>
      </w:r>
      <w:r w:rsidR="00DF79A9" w:rsidRPr="00D869E3">
        <w:rPr>
          <w:rFonts w:ascii="Verdana" w:hAnsi="Verdana"/>
          <w:sz w:val="20"/>
          <w:szCs w:val="20"/>
          <w:lang w:val="en-US"/>
        </w:rPr>
        <w:t>determines</w:t>
      </w:r>
      <w:r w:rsidRPr="00D869E3">
        <w:rPr>
          <w:rFonts w:ascii="Verdana" w:hAnsi="Verdana"/>
          <w:sz w:val="20"/>
          <w:szCs w:val="20"/>
          <w:lang w:val="en-US"/>
        </w:rPr>
        <w:t xml:space="preserve"> that the statements </w:t>
      </w:r>
      <w:r w:rsidR="00DF79A9" w:rsidRPr="00D869E3">
        <w:rPr>
          <w:rFonts w:ascii="Verdana" w:hAnsi="Verdana"/>
          <w:sz w:val="20"/>
          <w:szCs w:val="20"/>
          <w:lang w:val="en-US"/>
        </w:rPr>
        <w:t>made</w:t>
      </w:r>
      <w:r w:rsidRPr="00D869E3">
        <w:rPr>
          <w:rFonts w:ascii="Verdana" w:hAnsi="Verdana"/>
          <w:sz w:val="20"/>
          <w:szCs w:val="20"/>
          <w:lang w:val="en-US"/>
        </w:rPr>
        <w:t xml:space="preserve"> in the </w:t>
      </w:r>
      <w:r w:rsidR="00DF79A9" w:rsidRPr="00D869E3">
        <w:rPr>
          <w:rFonts w:ascii="Verdana" w:hAnsi="Verdana"/>
          <w:sz w:val="20"/>
          <w:szCs w:val="20"/>
          <w:lang w:val="en-US"/>
        </w:rPr>
        <w:t>above-mentioned</w:t>
      </w:r>
      <w:r w:rsidRPr="00D869E3">
        <w:rPr>
          <w:rFonts w:ascii="Verdana" w:hAnsi="Verdana"/>
          <w:sz w:val="20"/>
          <w:szCs w:val="20"/>
          <w:lang w:val="en-US"/>
        </w:rPr>
        <w:t xml:space="preserve"> paragraphs refer</w:t>
      </w:r>
      <w:r w:rsidR="00DF79A9" w:rsidRPr="00D869E3">
        <w:rPr>
          <w:rFonts w:ascii="Verdana" w:hAnsi="Verdana"/>
          <w:sz w:val="20"/>
          <w:szCs w:val="20"/>
          <w:lang w:val="en-US"/>
        </w:rPr>
        <w:t>red</w:t>
      </w:r>
      <w:r w:rsidRPr="00D869E3">
        <w:rPr>
          <w:rFonts w:ascii="Verdana" w:hAnsi="Verdana"/>
          <w:sz w:val="20"/>
          <w:szCs w:val="20"/>
          <w:lang w:val="en-US"/>
        </w:rPr>
        <w:t xml:space="preserve"> to the scope, content and legitimate restrictions of the</w:t>
      </w:r>
      <w:r w:rsidR="008C33CE" w:rsidRPr="00D869E3">
        <w:rPr>
          <w:rFonts w:ascii="Verdana" w:hAnsi="Verdana"/>
          <w:sz w:val="20"/>
          <w:szCs w:val="20"/>
          <w:lang w:val="en-US"/>
        </w:rPr>
        <w:t xml:space="preserve"> </w:t>
      </w:r>
      <w:r w:rsidRPr="00D869E3">
        <w:rPr>
          <w:rFonts w:ascii="Verdana" w:hAnsi="Verdana"/>
          <w:sz w:val="20"/>
          <w:szCs w:val="20"/>
          <w:lang w:val="en-US"/>
        </w:rPr>
        <w:t>right to freedom</w:t>
      </w:r>
      <w:r w:rsidR="00A62EA8" w:rsidRPr="00D869E3">
        <w:rPr>
          <w:rFonts w:ascii="Verdana" w:hAnsi="Verdana"/>
          <w:sz w:val="20"/>
          <w:szCs w:val="20"/>
          <w:lang w:val="en-US"/>
        </w:rPr>
        <w:t xml:space="preserve"> of expression</w:t>
      </w:r>
      <w:r w:rsidR="008C33CE" w:rsidRPr="00D869E3">
        <w:rPr>
          <w:rFonts w:ascii="Verdana" w:hAnsi="Verdana"/>
          <w:sz w:val="20"/>
          <w:szCs w:val="20"/>
          <w:lang w:val="en-US"/>
        </w:rPr>
        <w:t xml:space="preserve"> </w:t>
      </w:r>
      <w:r w:rsidRPr="00D869E3">
        <w:rPr>
          <w:rFonts w:ascii="Verdana" w:hAnsi="Verdana"/>
          <w:sz w:val="20"/>
          <w:szCs w:val="20"/>
          <w:lang w:val="en-US"/>
        </w:rPr>
        <w:t>in the labor context</w:t>
      </w:r>
      <w:r w:rsidR="00EA232B" w:rsidRPr="00D869E3">
        <w:rPr>
          <w:rFonts w:ascii="Verdana" w:hAnsi="Verdana"/>
          <w:sz w:val="20"/>
          <w:szCs w:val="20"/>
          <w:lang w:val="en-US"/>
        </w:rPr>
        <w:t xml:space="preserve"> focused on </w:t>
      </w:r>
      <w:r w:rsidR="00687684" w:rsidRPr="00D869E3">
        <w:rPr>
          <w:rFonts w:ascii="Verdana" w:hAnsi="Verdana"/>
          <w:sz w:val="20"/>
          <w:szCs w:val="20"/>
          <w:lang w:val="en-US"/>
        </w:rPr>
        <w:t>the representatives</w:t>
      </w:r>
      <w:r w:rsidR="008C33CE" w:rsidRPr="00D869E3">
        <w:rPr>
          <w:rFonts w:ascii="Verdana" w:hAnsi="Verdana"/>
          <w:sz w:val="20"/>
          <w:szCs w:val="20"/>
          <w:lang w:val="en-US"/>
        </w:rPr>
        <w:t xml:space="preserve"> </w:t>
      </w:r>
      <w:r w:rsidR="00EA232B" w:rsidRPr="00D869E3">
        <w:rPr>
          <w:rFonts w:ascii="Verdana" w:hAnsi="Verdana"/>
          <w:sz w:val="20"/>
          <w:szCs w:val="20"/>
          <w:lang w:val="en-US"/>
        </w:rPr>
        <w:t xml:space="preserve">of a </w:t>
      </w:r>
      <w:r w:rsidR="00E85F6A" w:rsidRPr="00D869E3">
        <w:rPr>
          <w:rFonts w:ascii="Verdana" w:hAnsi="Verdana"/>
          <w:sz w:val="20"/>
          <w:szCs w:val="20"/>
          <w:lang w:val="en-US"/>
        </w:rPr>
        <w:t>labor union</w:t>
      </w:r>
      <w:r w:rsidR="00EA232B" w:rsidRPr="00D869E3">
        <w:rPr>
          <w:rFonts w:ascii="Verdana" w:hAnsi="Verdana"/>
          <w:sz w:val="20"/>
          <w:szCs w:val="20"/>
          <w:lang w:val="en-US"/>
        </w:rPr>
        <w:t xml:space="preserve"> and of the Electoral Committee of the Industrial Community</w:t>
      </w:r>
      <w:r w:rsidR="008C33CE" w:rsidRPr="00D869E3">
        <w:rPr>
          <w:rFonts w:ascii="Verdana" w:hAnsi="Verdana"/>
          <w:sz w:val="20"/>
          <w:szCs w:val="20"/>
          <w:lang w:val="en-US"/>
        </w:rPr>
        <w:t xml:space="preserve">. </w:t>
      </w:r>
      <w:r w:rsidR="00EA232B" w:rsidRPr="00D869E3">
        <w:rPr>
          <w:rFonts w:ascii="Verdana" w:hAnsi="Verdana"/>
          <w:sz w:val="20"/>
          <w:szCs w:val="20"/>
          <w:lang w:val="en-US"/>
        </w:rPr>
        <w:t xml:space="preserve">Based on the order calling the hearing, the Court admits the said expert opinion </w:t>
      </w:r>
      <w:r w:rsidR="00DF79A9" w:rsidRPr="00D869E3">
        <w:rPr>
          <w:rFonts w:ascii="Verdana" w:hAnsi="Verdana"/>
          <w:sz w:val="20"/>
          <w:szCs w:val="20"/>
          <w:lang w:val="en-US"/>
        </w:rPr>
        <w:t>to the extent that</w:t>
      </w:r>
      <w:r w:rsidR="00EA232B" w:rsidRPr="00D869E3">
        <w:rPr>
          <w:rFonts w:ascii="Verdana" w:hAnsi="Verdana"/>
          <w:sz w:val="20"/>
          <w:szCs w:val="20"/>
          <w:lang w:val="en-US"/>
        </w:rPr>
        <w:t xml:space="preserve"> it is in keeping with the purpose required</w:t>
      </w:r>
      <w:r w:rsidR="00DF79A9" w:rsidRPr="00D869E3">
        <w:rPr>
          <w:rFonts w:ascii="Verdana" w:hAnsi="Verdana"/>
          <w:sz w:val="20"/>
          <w:szCs w:val="20"/>
          <w:lang w:val="en-US"/>
        </w:rPr>
        <w:t>,</w:t>
      </w:r>
      <w:r w:rsidR="00EA232B" w:rsidRPr="00D869E3">
        <w:rPr>
          <w:rFonts w:ascii="Verdana" w:hAnsi="Verdana"/>
          <w:sz w:val="20"/>
          <w:szCs w:val="20"/>
          <w:lang w:val="en-US"/>
        </w:rPr>
        <w:t xml:space="preserve"> and will assess it together with the body of evidence and pursuant to the rules of sound judicial criteria. </w:t>
      </w:r>
    </w:p>
    <w:p w14:paraId="1B7B4FE9" w14:textId="77777777" w:rsidR="008C33CE" w:rsidRPr="00D869E3" w:rsidRDefault="008C33CE" w:rsidP="008C33CE">
      <w:pPr>
        <w:tabs>
          <w:tab w:val="left" w:pos="426"/>
        </w:tabs>
        <w:jc w:val="both"/>
        <w:rPr>
          <w:rFonts w:ascii="Verdana" w:hAnsi="Verdana"/>
          <w:sz w:val="20"/>
          <w:szCs w:val="20"/>
          <w:lang w:val="en-US"/>
        </w:rPr>
      </w:pPr>
    </w:p>
    <w:p w14:paraId="64B550D2" w14:textId="740A16C9" w:rsidR="008C33CE" w:rsidRPr="00D869E3" w:rsidRDefault="00EA232B" w:rsidP="00E66DD7">
      <w:pPr>
        <w:pStyle w:val="Ttulo2"/>
        <w:numPr>
          <w:ilvl w:val="0"/>
          <w:numId w:val="19"/>
        </w:numPr>
        <w:rPr>
          <w:rFonts w:eastAsia="MS Gothic"/>
          <w:i/>
          <w:lang w:val="en-US"/>
        </w:rPr>
      </w:pPr>
      <w:bookmarkStart w:id="16" w:name="_Toc29114112"/>
      <w:r w:rsidRPr="00D869E3">
        <w:rPr>
          <w:rFonts w:eastAsia="MS Gothic"/>
          <w:i/>
          <w:lang w:val="en-US"/>
        </w:rPr>
        <w:t>Assessment of the evidence</w:t>
      </w:r>
      <w:bookmarkEnd w:id="16"/>
    </w:p>
    <w:p w14:paraId="1AEA6474" w14:textId="77777777" w:rsidR="008C33CE" w:rsidRPr="00D869E3" w:rsidRDefault="008C33CE" w:rsidP="008C33CE">
      <w:pPr>
        <w:pStyle w:val="Prrafodelista"/>
        <w:rPr>
          <w:rFonts w:ascii="Verdana" w:hAnsi="Verdana"/>
          <w:sz w:val="20"/>
          <w:szCs w:val="20"/>
          <w:lang w:val="en-US"/>
        </w:rPr>
      </w:pPr>
    </w:p>
    <w:p w14:paraId="2D1C79A7" w14:textId="2C94A9CB" w:rsidR="008C33CE" w:rsidRPr="00D869E3" w:rsidRDefault="00EA232B" w:rsidP="00EA232B">
      <w:pPr>
        <w:pStyle w:val="Prrafodelista"/>
        <w:numPr>
          <w:ilvl w:val="0"/>
          <w:numId w:val="1"/>
        </w:numPr>
        <w:ind w:left="0" w:firstLine="0"/>
        <w:jc w:val="both"/>
        <w:rPr>
          <w:rFonts w:ascii="Verdana" w:eastAsia="Times New Roman" w:hAnsi="Verdana"/>
          <w:sz w:val="20"/>
          <w:szCs w:val="20"/>
          <w:lang w:val="en-US"/>
        </w:rPr>
      </w:pPr>
      <w:r w:rsidRPr="00D869E3">
        <w:rPr>
          <w:rFonts w:ascii="Verdana" w:hAnsi="Verdana" w:cs="Verdana"/>
          <w:sz w:val="20"/>
          <w:szCs w:val="20"/>
          <w:lang w:val="en-US" w:eastAsia="es-MX"/>
        </w:rPr>
        <w:t>Based on its consistent case law regarding evidence and its assessment, the Court will examine and assess the documentary evidence forwarded by the parties and the Commission, together with the statements, testimony and expert opinions, and also the helpful evidence that has been requested and incorporated by this Court</w:t>
      </w:r>
      <w:r w:rsidR="00DF79A9" w:rsidRPr="00D869E3">
        <w:rPr>
          <w:rFonts w:ascii="Verdana" w:hAnsi="Verdana" w:cs="Verdana"/>
          <w:sz w:val="20"/>
          <w:szCs w:val="20"/>
          <w:lang w:val="en-US" w:eastAsia="es-MX"/>
        </w:rPr>
        <w:t>,</w:t>
      </w:r>
      <w:r w:rsidRPr="00D869E3">
        <w:rPr>
          <w:rFonts w:ascii="Verdana" w:hAnsi="Verdana" w:cs="Verdana"/>
          <w:sz w:val="20"/>
          <w:szCs w:val="20"/>
          <w:lang w:val="en-US" w:eastAsia="es-MX"/>
        </w:rPr>
        <w:t xml:space="preserve"> in order to establish the facts of the case and rule on the merits. To this end, it will abide by the principles of sound judicial criteria, within the corresponding legal framework, taking into account the body of evidence and the arguments submitted during the proceedings</w:t>
      </w:r>
      <w:r w:rsidRPr="00D869E3">
        <w:rPr>
          <w:rFonts w:ascii="Verdana" w:eastAsia="Times New Roman" w:hAnsi="Verdana"/>
          <w:sz w:val="20"/>
          <w:szCs w:val="20"/>
          <w:lang w:val="en-US"/>
        </w:rPr>
        <w:t>.</w:t>
      </w:r>
      <w:r w:rsidR="008C33CE" w:rsidRPr="00D869E3">
        <w:rPr>
          <w:rFonts w:ascii="Verdana" w:eastAsia="Times New Roman" w:hAnsi="Verdana"/>
          <w:sz w:val="20"/>
          <w:szCs w:val="20"/>
          <w:vertAlign w:val="superscript"/>
          <w:lang w:val="en-US"/>
        </w:rPr>
        <w:footnoteReference w:id="26"/>
      </w:r>
    </w:p>
    <w:p w14:paraId="3873C865" w14:textId="77777777" w:rsidR="008C33CE" w:rsidRPr="00D869E3" w:rsidRDefault="008C33CE" w:rsidP="008C33CE">
      <w:pPr>
        <w:pStyle w:val="Prrafodelista"/>
        <w:ind w:left="0"/>
        <w:jc w:val="both"/>
        <w:rPr>
          <w:rFonts w:ascii="Verdana" w:eastAsia="Times New Roman" w:hAnsi="Verdana"/>
          <w:sz w:val="20"/>
          <w:szCs w:val="20"/>
          <w:lang w:val="en-US"/>
        </w:rPr>
      </w:pPr>
    </w:p>
    <w:p w14:paraId="6796056D" w14:textId="44D37ED5" w:rsidR="009E58AE" w:rsidRPr="00D869E3" w:rsidRDefault="00EA232B" w:rsidP="009E58AE">
      <w:pPr>
        <w:pStyle w:val="Prrafodelista"/>
        <w:numPr>
          <w:ilvl w:val="0"/>
          <w:numId w:val="1"/>
        </w:numPr>
        <w:ind w:left="0" w:firstLine="0"/>
        <w:jc w:val="both"/>
        <w:rPr>
          <w:rFonts w:ascii="Verdana" w:eastAsia="Times New Roman" w:hAnsi="Verdana"/>
          <w:sz w:val="20"/>
          <w:szCs w:val="20"/>
          <w:lang w:val="en-US"/>
        </w:rPr>
      </w:pPr>
      <w:r w:rsidRPr="00D869E3">
        <w:rPr>
          <w:rFonts w:ascii="Verdana" w:hAnsi="Verdana" w:cs="Verdana"/>
          <w:sz w:val="20"/>
          <w:szCs w:val="20"/>
          <w:lang w:val="en-US" w:eastAsia="es-MX"/>
        </w:rPr>
        <w:t>Lastly, pursuant to the Court’s case law, the statement made by presumed victim cannot be assessed in isolation, but only within the whole body of evidence, insofar as it may provide further information on the presumed violations and their consequences</w:t>
      </w:r>
      <w:r w:rsidRPr="00D869E3">
        <w:rPr>
          <w:rFonts w:ascii="Verdana" w:eastAsia="Times New Roman" w:hAnsi="Verdana"/>
          <w:sz w:val="20"/>
          <w:szCs w:val="20"/>
          <w:lang w:val="en-US"/>
        </w:rPr>
        <w:t>.</w:t>
      </w:r>
      <w:r w:rsidR="008C33CE" w:rsidRPr="00D869E3">
        <w:rPr>
          <w:rFonts w:ascii="Verdana" w:eastAsia="Times New Roman" w:hAnsi="Verdana"/>
          <w:sz w:val="20"/>
          <w:szCs w:val="20"/>
          <w:vertAlign w:val="superscript"/>
          <w:lang w:val="en-US"/>
        </w:rPr>
        <w:footnoteReference w:id="27"/>
      </w:r>
    </w:p>
    <w:p w14:paraId="57884309" w14:textId="77777777" w:rsidR="008C33CE" w:rsidRPr="00D869E3" w:rsidRDefault="008C33CE" w:rsidP="009E58AE">
      <w:pPr>
        <w:pStyle w:val="Ttulo1"/>
        <w:tabs>
          <w:tab w:val="left" w:pos="851"/>
        </w:tabs>
        <w:spacing w:before="0"/>
        <w:jc w:val="center"/>
        <w:rPr>
          <w:rFonts w:cs="Verdana"/>
          <w:caps/>
          <w:snapToGrid w:val="0"/>
          <w:szCs w:val="20"/>
          <w:lang w:val="en-US"/>
        </w:rPr>
      </w:pPr>
    </w:p>
    <w:p w14:paraId="6796056E" w14:textId="0AB61D2E" w:rsidR="009E58AE" w:rsidRPr="00D869E3" w:rsidRDefault="00374FC9" w:rsidP="009E58AE">
      <w:pPr>
        <w:pStyle w:val="Ttulo1"/>
        <w:tabs>
          <w:tab w:val="left" w:pos="851"/>
        </w:tabs>
        <w:spacing w:before="0"/>
        <w:jc w:val="center"/>
        <w:rPr>
          <w:rFonts w:cs="Verdana"/>
          <w:caps/>
          <w:snapToGrid w:val="0"/>
          <w:szCs w:val="20"/>
          <w:lang w:val="en-US"/>
        </w:rPr>
      </w:pPr>
      <w:bookmarkStart w:id="17" w:name="_Toc29114113"/>
      <w:r w:rsidRPr="00D869E3">
        <w:rPr>
          <w:rFonts w:cs="Verdana"/>
          <w:caps/>
          <w:snapToGrid w:val="0"/>
          <w:szCs w:val="20"/>
          <w:lang w:val="en-US"/>
        </w:rPr>
        <w:t>Vi</w:t>
      </w:r>
      <w:r w:rsidR="009E58AE" w:rsidRPr="00D869E3">
        <w:rPr>
          <w:rFonts w:cs="Verdana"/>
          <w:caps/>
          <w:snapToGrid w:val="0"/>
          <w:szCs w:val="20"/>
          <w:lang w:val="en-US"/>
        </w:rPr>
        <w:br/>
      </w:r>
      <w:r w:rsidR="00EA232B" w:rsidRPr="00D869E3">
        <w:rPr>
          <w:rFonts w:cs="Verdana"/>
          <w:caps/>
          <w:snapToGrid w:val="0"/>
          <w:szCs w:val="20"/>
          <w:lang w:val="en-US"/>
        </w:rPr>
        <w:t>fact</w:t>
      </w:r>
      <w:r w:rsidR="009E58AE" w:rsidRPr="00D869E3">
        <w:rPr>
          <w:rFonts w:cs="Verdana"/>
          <w:caps/>
          <w:snapToGrid w:val="0"/>
          <w:szCs w:val="20"/>
          <w:lang w:val="en-US"/>
        </w:rPr>
        <w:t>s</w:t>
      </w:r>
      <w:bookmarkEnd w:id="17"/>
    </w:p>
    <w:p w14:paraId="6796056F" w14:textId="77777777" w:rsidR="009E58AE" w:rsidRPr="00D869E3" w:rsidRDefault="009E58AE" w:rsidP="009E58AE">
      <w:pPr>
        <w:jc w:val="both"/>
        <w:rPr>
          <w:rFonts w:ascii="Verdana" w:hAnsi="Verdana"/>
          <w:spacing w:val="-2"/>
          <w:sz w:val="20"/>
          <w:szCs w:val="20"/>
          <w:lang w:val="en-US"/>
        </w:rPr>
      </w:pPr>
    </w:p>
    <w:p w14:paraId="2983E08D" w14:textId="27ACF51E" w:rsidR="00D73A3B" w:rsidRPr="00D869E3" w:rsidRDefault="004A39B2" w:rsidP="004A39B2">
      <w:pPr>
        <w:pStyle w:val="Prrafodelista"/>
        <w:numPr>
          <w:ilvl w:val="0"/>
          <w:numId w:val="1"/>
        </w:numPr>
        <w:ind w:left="0" w:firstLine="0"/>
        <w:jc w:val="both"/>
        <w:rPr>
          <w:rFonts w:ascii="Verdana" w:hAnsi="Verdana"/>
          <w:strike/>
          <w:spacing w:val="-2"/>
          <w:sz w:val="20"/>
          <w:szCs w:val="20"/>
          <w:lang w:val="en-US"/>
        </w:rPr>
      </w:pPr>
      <w:r w:rsidRPr="00D869E3">
        <w:rPr>
          <w:rFonts w:ascii="Verdana" w:hAnsi="Verdana"/>
          <w:spacing w:val="-2"/>
          <w:sz w:val="20"/>
          <w:szCs w:val="20"/>
          <w:lang w:val="en-US"/>
        </w:rPr>
        <w:t xml:space="preserve">In this chapter, the Court will establish the facts of this case based on the factual framework submitted to its consideration by the Commission, taking into </w:t>
      </w:r>
      <w:r w:rsidR="00DF79A9" w:rsidRPr="00D869E3">
        <w:rPr>
          <w:rFonts w:ascii="Verdana" w:hAnsi="Verdana"/>
          <w:spacing w:val="-2"/>
          <w:sz w:val="20"/>
          <w:szCs w:val="20"/>
          <w:lang w:val="en-US"/>
        </w:rPr>
        <w:t>account</w:t>
      </w:r>
      <w:r w:rsidRPr="00D869E3">
        <w:rPr>
          <w:rFonts w:ascii="Verdana" w:hAnsi="Verdana"/>
          <w:spacing w:val="-2"/>
          <w:sz w:val="20"/>
          <w:szCs w:val="20"/>
          <w:lang w:val="en-US"/>
        </w:rPr>
        <w:t xml:space="preserve"> the body of evidence in the case, and the arguments of the representatives and the State. To this end, the facts will be examined under the following headings</w:t>
      </w:r>
      <w:r w:rsidR="007912F7" w:rsidRPr="00D869E3">
        <w:rPr>
          <w:rFonts w:ascii="Verdana" w:hAnsi="Verdana"/>
          <w:spacing w:val="-2"/>
          <w:sz w:val="20"/>
          <w:szCs w:val="20"/>
          <w:lang w:val="en-US"/>
        </w:rPr>
        <w:t xml:space="preserve">: </w:t>
      </w:r>
      <w:r w:rsidRPr="00D869E3">
        <w:rPr>
          <w:rFonts w:ascii="Verdana" w:hAnsi="Verdana"/>
          <w:spacing w:val="-2"/>
          <w:sz w:val="20"/>
          <w:szCs w:val="20"/>
          <w:lang w:val="en-US"/>
        </w:rPr>
        <w:t>(</w:t>
      </w:r>
      <w:r w:rsidR="007912F7" w:rsidRPr="00D869E3">
        <w:rPr>
          <w:rFonts w:ascii="Verdana" w:hAnsi="Verdana"/>
          <w:spacing w:val="-2"/>
          <w:sz w:val="20"/>
          <w:szCs w:val="20"/>
          <w:lang w:val="en-US"/>
        </w:rPr>
        <w:t xml:space="preserve">a) </w:t>
      </w:r>
      <w:r w:rsidRPr="00D869E3">
        <w:rPr>
          <w:rFonts w:ascii="Verdana" w:hAnsi="Verdana"/>
          <w:spacing w:val="-2"/>
          <w:sz w:val="20"/>
          <w:szCs w:val="20"/>
          <w:lang w:val="en-US"/>
        </w:rPr>
        <w:t>t</w:t>
      </w:r>
      <w:r w:rsidR="00EA232B" w:rsidRPr="00D869E3">
        <w:rPr>
          <w:rFonts w:ascii="Verdana" w:hAnsi="Verdana"/>
          <w:spacing w:val="-2"/>
          <w:sz w:val="20"/>
          <w:szCs w:val="20"/>
          <w:lang w:val="en-US"/>
        </w:rPr>
        <w:t>he Industrial Communities in</w:t>
      </w:r>
      <w:r w:rsidR="007912F7" w:rsidRPr="00D869E3">
        <w:rPr>
          <w:rFonts w:ascii="Verdana" w:hAnsi="Verdana"/>
          <w:spacing w:val="-2"/>
          <w:sz w:val="20"/>
          <w:szCs w:val="20"/>
          <w:lang w:val="en-US"/>
        </w:rPr>
        <w:t xml:space="preserve"> </w:t>
      </w:r>
      <w:r w:rsidR="00447C65" w:rsidRPr="00D869E3">
        <w:rPr>
          <w:rFonts w:ascii="Verdana" w:hAnsi="Verdana"/>
          <w:spacing w:val="-2"/>
          <w:sz w:val="20"/>
          <w:szCs w:val="20"/>
          <w:lang w:val="en-US"/>
        </w:rPr>
        <w:t>Peru</w:t>
      </w:r>
      <w:r w:rsidR="007912F7" w:rsidRPr="00D869E3">
        <w:rPr>
          <w:rFonts w:ascii="Verdana" w:hAnsi="Verdana"/>
          <w:spacing w:val="-2"/>
          <w:sz w:val="20"/>
          <w:szCs w:val="20"/>
          <w:lang w:val="en-US"/>
        </w:rPr>
        <w:t xml:space="preserve">; </w:t>
      </w:r>
      <w:r w:rsidRPr="00D869E3">
        <w:rPr>
          <w:rFonts w:ascii="Verdana" w:hAnsi="Verdana"/>
          <w:spacing w:val="-2"/>
          <w:sz w:val="20"/>
          <w:szCs w:val="20"/>
          <w:lang w:val="en-US"/>
        </w:rPr>
        <w:t>(</w:t>
      </w:r>
      <w:r w:rsidR="007912F7" w:rsidRPr="00D869E3">
        <w:rPr>
          <w:rFonts w:ascii="Verdana" w:hAnsi="Verdana"/>
          <w:spacing w:val="-2"/>
          <w:sz w:val="20"/>
          <w:szCs w:val="20"/>
          <w:lang w:val="en-US"/>
        </w:rPr>
        <w:t xml:space="preserve">b) </w:t>
      </w:r>
      <w:r w:rsidRPr="00D869E3">
        <w:rPr>
          <w:rFonts w:ascii="Verdana" w:hAnsi="Verdana"/>
          <w:spacing w:val="-2"/>
          <w:sz w:val="20"/>
          <w:szCs w:val="20"/>
          <w:lang w:val="en-US"/>
        </w:rPr>
        <w:t xml:space="preserve">background information, functions and responsibilities </w:t>
      </w:r>
      <w:r w:rsidR="00E6309B" w:rsidRPr="00D869E3">
        <w:rPr>
          <w:rFonts w:ascii="Verdana" w:hAnsi="Verdana"/>
          <w:spacing w:val="-2"/>
          <w:sz w:val="20"/>
          <w:szCs w:val="20"/>
          <w:lang w:val="en-US"/>
        </w:rPr>
        <w:t>of Mr.</w:t>
      </w:r>
      <w:r w:rsidR="001E44D3" w:rsidRPr="00D869E3">
        <w:rPr>
          <w:rFonts w:ascii="Verdana" w:hAnsi="Verdana"/>
          <w:spacing w:val="-2"/>
          <w:sz w:val="20"/>
          <w:szCs w:val="20"/>
          <w:lang w:val="en-US"/>
        </w:rPr>
        <w:t xml:space="preserve"> Lagos del Campo</w:t>
      </w:r>
      <w:r w:rsidR="007912F7" w:rsidRPr="00D869E3">
        <w:rPr>
          <w:rFonts w:ascii="Verdana" w:hAnsi="Verdana"/>
          <w:spacing w:val="-2"/>
          <w:sz w:val="20"/>
          <w:szCs w:val="20"/>
          <w:lang w:val="en-US"/>
        </w:rPr>
        <w:t xml:space="preserve"> </w:t>
      </w:r>
      <w:r w:rsidRPr="00D869E3">
        <w:rPr>
          <w:rFonts w:ascii="Verdana" w:hAnsi="Verdana"/>
          <w:spacing w:val="-2"/>
          <w:sz w:val="20"/>
          <w:szCs w:val="20"/>
          <w:lang w:val="en-US"/>
        </w:rPr>
        <w:t>as a labor leader; (</w:t>
      </w:r>
      <w:r w:rsidR="007912F7" w:rsidRPr="00D869E3">
        <w:rPr>
          <w:rFonts w:ascii="Verdana" w:hAnsi="Verdana"/>
          <w:spacing w:val="-2"/>
          <w:sz w:val="20"/>
          <w:szCs w:val="20"/>
          <w:lang w:val="en-US"/>
        </w:rPr>
        <w:t xml:space="preserve">c) </w:t>
      </w:r>
      <w:r w:rsidRPr="00D869E3">
        <w:rPr>
          <w:rFonts w:ascii="Verdana" w:hAnsi="Verdana"/>
          <w:spacing w:val="-2"/>
          <w:sz w:val="20"/>
          <w:szCs w:val="20"/>
          <w:lang w:val="en-US"/>
        </w:rPr>
        <w:t>the dismissal</w:t>
      </w:r>
      <w:r w:rsidR="007912F7" w:rsidRPr="00D869E3">
        <w:rPr>
          <w:rFonts w:ascii="Verdana" w:hAnsi="Verdana"/>
          <w:spacing w:val="-2"/>
          <w:sz w:val="20"/>
          <w:szCs w:val="20"/>
          <w:lang w:val="en-US"/>
        </w:rPr>
        <w:t xml:space="preserve"> </w:t>
      </w:r>
      <w:r w:rsidR="00E6309B" w:rsidRPr="00D869E3">
        <w:rPr>
          <w:rFonts w:ascii="Verdana" w:hAnsi="Verdana"/>
          <w:spacing w:val="-2"/>
          <w:sz w:val="20"/>
          <w:szCs w:val="20"/>
          <w:lang w:val="en-US"/>
        </w:rPr>
        <w:t>of Mr.</w:t>
      </w:r>
      <w:r w:rsidR="001E44D3" w:rsidRPr="00D869E3">
        <w:rPr>
          <w:rFonts w:ascii="Verdana" w:hAnsi="Verdana"/>
          <w:spacing w:val="-2"/>
          <w:sz w:val="20"/>
          <w:szCs w:val="20"/>
          <w:lang w:val="en-US"/>
        </w:rPr>
        <w:t xml:space="preserve"> Lagos del Campo</w:t>
      </w:r>
      <w:r w:rsidR="00687684" w:rsidRPr="00D869E3">
        <w:rPr>
          <w:rFonts w:ascii="Verdana" w:hAnsi="Verdana"/>
          <w:spacing w:val="-2"/>
          <w:sz w:val="20"/>
          <w:szCs w:val="20"/>
          <w:lang w:val="en-US"/>
        </w:rPr>
        <w:t xml:space="preserve"> and </w:t>
      </w:r>
      <w:r w:rsidRPr="00D869E3">
        <w:rPr>
          <w:rFonts w:ascii="Verdana" w:hAnsi="Verdana"/>
          <w:spacing w:val="-2"/>
          <w:sz w:val="20"/>
          <w:szCs w:val="20"/>
          <w:lang w:val="en-US"/>
        </w:rPr>
        <w:t>the applicable legal framework; (</w:t>
      </w:r>
      <w:r w:rsidR="007912F7" w:rsidRPr="00D869E3">
        <w:rPr>
          <w:rFonts w:ascii="Verdana" w:hAnsi="Verdana"/>
          <w:spacing w:val="-2"/>
          <w:sz w:val="20"/>
          <w:szCs w:val="20"/>
          <w:lang w:val="en-US"/>
        </w:rPr>
        <w:t xml:space="preserve">d) </w:t>
      </w:r>
      <w:r w:rsidRPr="00D869E3">
        <w:rPr>
          <w:rFonts w:ascii="Verdana" w:hAnsi="Verdana"/>
          <w:spacing w:val="-2"/>
          <w:sz w:val="20"/>
          <w:szCs w:val="20"/>
          <w:lang w:val="en-US"/>
        </w:rPr>
        <w:t>the judicial actions filed by</w:t>
      </w:r>
      <w:r w:rsidR="007912F7" w:rsidRPr="00D869E3">
        <w:rPr>
          <w:rFonts w:ascii="Verdana" w:hAnsi="Verdana"/>
          <w:spacing w:val="-2"/>
          <w:sz w:val="20"/>
          <w:szCs w:val="20"/>
          <w:lang w:val="en-US"/>
        </w:rPr>
        <w:t xml:space="preserve"> </w:t>
      </w:r>
      <w:r w:rsidR="001E44D3" w:rsidRPr="00D869E3">
        <w:rPr>
          <w:rFonts w:ascii="Verdana" w:hAnsi="Verdana"/>
          <w:spacing w:val="-2"/>
          <w:sz w:val="20"/>
          <w:szCs w:val="20"/>
          <w:lang w:val="en-US"/>
        </w:rPr>
        <w:t>Mr. Lagos del Campo</w:t>
      </w:r>
      <w:r w:rsidR="007912F7" w:rsidRPr="00D869E3">
        <w:rPr>
          <w:rFonts w:ascii="Verdana" w:hAnsi="Verdana"/>
          <w:spacing w:val="-2"/>
          <w:sz w:val="20"/>
          <w:szCs w:val="20"/>
          <w:lang w:val="en-US"/>
        </w:rPr>
        <w:t>,</w:t>
      </w:r>
      <w:r w:rsidR="00687684" w:rsidRPr="00D869E3">
        <w:rPr>
          <w:rFonts w:ascii="Verdana" w:hAnsi="Verdana"/>
          <w:spacing w:val="-2"/>
          <w:sz w:val="20"/>
          <w:szCs w:val="20"/>
          <w:lang w:val="en-US"/>
        </w:rPr>
        <w:t xml:space="preserve"> and </w:t>
      </w:r>
      <w:r w:rsidRPr="00D869E3">
        <w:rPr>
          <w:rFonts w:ascii="Verdana" w:hAnsi="Verdana"/>
          <w:spacing w:val="-2"/>
          <w:sz w:val="20"/>
          <w:szCs w:val="20"/>
          <w:lang w:val="en-US"/>
        </w:rPr>
        <w:t>(</w:t>
      </w:r>
      <w:r w:rsidR="007912F7" w:rsidRPr="00D869E3">
        <w:rPr>
          <w:rFonts w:ascii="Verdana" w:hAnsi="Verdana"/>
          <w:spacing w:val="-2"/>
          <w:sz w:val="20"/>
          <w:szCs w:val="20"/>
          <w:lang w:val="en-US"/>
        </w:rPr>
        <w:t xml:space="preserve">e) </w:t>
      </w:r>
      <w:r w:rsidRPr="00D869E3">
        <w:rPr>
          <w:rFonts w:ascii="Verdana" w:hAnsi="Verdana"/>
          <w:spacing w:val="-2"/>
          <w:sz w:val="20"/>
          <w:szCs w:val="20"/>
          <w:lang w:val="en-US"/>
        </w:rPr>
        <w:t>his situation following his dismissal</w:t>
      </w:r>
      <w:r w:rsidR="007912F7" w:rsidRPr="00D869E3">
        <w:rPr>
          <w:rFonts w:ascii="Verdana" w:hAnsi="Verdana"/>
          <w:spacing w:val="-2"/>
          <w:sz w:val="20"/>
          <w:szCs w:val="20"/>
          <w:lang w:val="en-US"/>
        </w:rPr>
        <w:t>.</w:t>
      </w:r>
    </w:p>
    <w:p w14:paraId="5851E457" w14:textId="77777777" w:rsidR="00D73A3B" w:rsidRPr="00D869E3" w:rsidRDefault="00D73A3B" w:rsidP="00D73A3B">
      <w:pPr>
        <w:jc w:val="both"/>
        <w:rPr>
          <w:rFonts w:ascii="Verdana" w:hAnsi="Verdana"/>
          <w:b/>
          <w:sz w:val="20"/>
          <w:szCs w:val="20"/>
          <w:lang w:val="en-US"/>
        </w:rPr>
      </w:pPr>
    </w:p>
    <w:p w14:paraId="2CCC10F2" w14:textId="4253A598" w:rsidR="00275EDE" w:rsidRPr="00D869E3" w:rsidRDefault="00EA232B" w:rsidP="00E66DD7">
      <w:pPr>
        <w:pStyle w:val="Ttulo2"/>
        <w:numPr>
          <w:ilvl w:val="0"/>
          <w:numId w:val="12"/>
        </w:numPr>
        <w:rPr>
          <w:rFonts w:eastAsia="MS Gothic"/>
          <w:i/>
          <w:lang w:val="en-US"/>
        </w:rPr>
      </w:pPr>
      <w:bookmarkStart w:id="18" w:name="_Toc29114114"/>
      <w:r w:rsidRPr="00D869E3">
        <w:rPr>
          <w:rFonts w:eastAsia="MS Gothic"/>
          <w:i/>
          <w:lang w:val="en-US"/>
        </w:rPr>
        <w:t>The Industrial Communities in</w:t>
      </w:r>
      <w:r w:rsidR="00275EDE" w:rsidRPr="00D869E3">
        <w:rPr>
          <w:rFonts w:eastAsia="MS Gothic"/>
          <w:i/>
          <w:lang w:val="en-US"/>
        </w:rPr>
        <w:t xml:space="preserve"> </w:t>
      </w:r>
      <w:r w:rsidR="00447C65" w:rsidRPr="00D869E3">
        <w:rPr>
          <w:rFonts w:eastAsia="MS Gothic"/>
          <w:i/>
          <w:lang w:val="en-US"/>
        </w:rPr>
        <w:t>Peru</w:t>
      </w:r>
      <w:bookmarkEnd w:id="18"/>
      <w:r w:rsidR="00D73A3B" w:rsidRPr="00D869E3">
        <w:rPr>
          <w:rFonts w:eastAsia="MS Gothic"/>
          <w:i/>
          <w:lang w:val="en-US"/>
        </w:rPr>
        <w:t xml:space="preserve"> </w:t>
      </w:r>
    </w:p>
    <w:p w14:paraId="1C3858AE" w14:textId="77777777" w:rsidR="00D73A3B" w:rsidRPr="00D869E3" w:rsidRDefault="00D73A3B" w:rsidP="00D73A3B">
      <w:pPr>
        <w:rPr>
          <w:rFonts w:ascii="Verdana" w:hAnsi="Verdana"/>
          <w:lang w:val="en-US"/>
        </w:rPr>
      </w:pPr>
    </w:p>
    <w:p w14:paraId="2330291F" w14:textId="76837BFA" w:rsidR="007912F7" w:rsidRPr="00D869E3" w:rsidRDefault="004A39B2"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The concept</w:t>
      </w:r>
      <w:r w:rsidR="00EA232B" w:rsidRPr="00D869E3">
        <w:rPr>
          <w:rFonts w:ascii="Verdana" w:hAnsi="Verdana"/>
          <w:sz w:val="20"/>
          <w:szCs w:val="20"/>
          <w:lang w:val="en-US"/>
        </w:rPr>
        <w:t xml:space="preserve"> of the Industrial Community</w:t>
      </w:r>
      <w:r w:rsidR="00275EDE" w:rsidRPr="00D869E3">
        <w:rPr>
          <w:rFonts w:ascii="Verdana" w:hAnsi="Verdana"/>
          <w:sz w:val="20"/>
          <w:szCs w:val="20"/>
          <w:lang w:val="en-US"/>
        </w:rPr>
        <w:t xml:space="preserve"> </w:t>
      </w:r>
      <w:r w:rsidRPr="00D869E3">
        <w:rPr>
          <w:rFonts w:ascii="Verdana" w:hAnsi="Verdana"/>
          <w:sz w:val="20"/>
          <w:szCs w:val="20"/>
          <w:lang w:val="en-US"/>
        </w:rPr>
        <w:t xml:space="preserve">was incorporated into the laws of Peru on July 27, </w:t>
      </w:r>
      <w:r w:rsidR="00275EDE" w:rsidRPr="00D869E3">
        <w:rPr>
          <w:rFonts w:ascii="Verdana" w:hAnsi="Verdana"/>
          <w:sz w:val="20"/>
          <w:szCs w:val="20"/>
          <w:lang w:val="en-US"/>
        </w:rPr>
        <w:t>1970</w:t>
      </w:r>
      <w:r w:rsidRPr="00D869E3">
        <w:rPr>
          <w:rFonts w:ascii="Verdana" w:hAnsi="Verdana"/>
          <w:sz w:val="20"/>
          <w:szCs w:val="20"/>
          <w:lang w:val="en-US"/>
        </w:rPr>
        <w:t xml:space="preserve">, the date on which the General Industries </w:t>
      </w:r>
      <w:r w:rsidR="004C2B15" w:rsidRPr="00D869E3">
        <w:rPr>
          <w:rFonts w:ascii="Verdana" w:hAnsi="Verdana"/>
          <w:sz w:val="20"/>
          <w:szCs w:val="20"/>
          <w:lang w:val="en-US"/>
        </w:rPr>
        <w:t>Act</w:t>
      </w:r>
      <w:r w:rsidRPr="00D869E3">
        <w:rPr>
          <w:rFonts w:ascii="Verdana" w:hAnsi="Verdana"/>
          <w:sz w:val="20"/>
          <w:szCs w:val="20"/>
          <w:lang w:val="en-US"/>
        </w:rPr>
        <w:t xml:space="preserve"> was </w:t>
      </w:r>
      <w:r w:rsidR="0003030B" w:rsidRPr="00D869E3">
        <w:rPr>
          <w:rFonts w:ascii="Verdana" w:hAnsi="Verdana"/>
          <w:sz w:val="20"/>
          <w:szCs w:val="20"/>
          <w:lang w:val="en-US"/>
        </w:rPr>
        <w:t xml:space="preserve">promulgated (Decree-Law </w:t>
      </w:r>
      <w:r w:rsidR="00275EDE" w:rsidRPr="00D869E3">
        <w:rPr>
          <w:rFonts w:ascii="Verdana" w:hAnsi="Verdana"/>
          <w:sz w:val="20"/>
          <w:szCs w:val="20"/>
          <w:lang w:val="en-US"/>
        </w:rPr>
        <w:t>18350)</w:t>
      </w:r>
      <w:r w:rsidR="0003030B"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28"/>
      </w:r>
      <w:r w:rsidR="00275EDE" w:rsidRPr="00D869E3">
        <w:rPr>
          <w:rFonts w:ascii="Verdana" w:hAnsi="Verdana"/>
          <w:sz w:val="20"/>
          <w:szCs w:val="20"/>
          <w:lang w:val="en-US"/>
        </w:rPr>
        <w:t xml:space="preserve"> </w:t>
      </w:r>
      <w:r w:rsidR="00447C65" w:rsidRPr="00D869E3">
        <w:rPr>
          <w:rFonts w:ascii="Verdana" w:hAnsi="Verdana"/>
          <w:sz w:val="20"/>
          <w:szCs w:val="20"/>
          <w:lang w:val="en-US"/>
        </w:rPr>
        <w:t>Article</w:t>
      </w:r>
      <w:r w:rsidR="00275EDE" w:rsidRPr="00D869E3">
        <w:rPr>
          <w:rFonts w:ascii="Verdana" w:hAnsi="Verdana"/>
          <w:sz w:val="20"/>
          <w:szCs w:val="20"/>
          <w:lang w:val="en-US"/>
        </w:rPr>
        <w:t xml:space="preserve"> 23</w:t>
      </w:r>
      <w:r w:rsidR="0003030B" w:rsidRPr="00D869E3">
        <w:rPr>
          <w:rFonts w:ascii="Verdana" w:hAnsi="Verdana"/>
          <w:sz w:val="20"/>
          <w:szCs w:val="20"/>
          <w:lang w:val="en-US"/>
        </w:rPr>
        <w:t xml:space="preserve"> of this law establishes that </w:t>
      </w:r>
      <w:r w:rsidR="00EA232B" w:rsidRPr="00D869E3">
        <w:rPr>
          <w:rFonts w:ascii="Verdana" w:hAnsi="Verdana"/>
          <w:sz w:val="20"/>
          <w:szCs w:val="20"/>
          <w:lang w:val="en-US"/>
        </w:rPr>
        <w:t>the Industrial Community</w:t>
      </w:r>
      <w:r w:rsidR="00275EDE" w:rsidRPr="00D869E3">
        <w:rPr>
          <w:rFonts w:ascii="Verdana" w:hAnsi="Verdana"/>
          <w:sz w:val="20"/>
          <w:szCs w:val="20"/>
          <w:lang w:val="en-US"/>
        </w:rPr>
        <w:t xml:space="preserve"> </w:t>
      </w:r>
      <w:r w:rsidR="0003030B" w:rsidRPr="00D869E3">
        <w:rPr>
          <w:rFonts w:ascii="Verdana" w:hAnsi="Verdana"/>
          <w:sz w:val="20"/>
          <w:szCs w:val="20"/>
          <w:lang w:val="en-US"/>
        </w:rPr>
        <w:t xml:space="preserve">was a legal entity created </w:t>
      </w:r>
      <w:r w:rsidR="00DF79A9" w:rsidRPr="00D869E3">
        <w:rPr>
          <w:rFonts w:ascii="Verdana" w:hAnsi="Verdana"/>
          <w:sz w:val="20"/>
          <w:szCs w:val="20"/>
          <w:lang w:val="en-US"/>
        </w:rPr>
        <w:t>with</w:t>
      </w:r>
      <w:r w:rsidR="0003030B" w:rsidRPr="00D869E3">
        <w:rPr>
          <w:rFonts w:ascii="Verdana" w:hAnsi="Verdana"/>
          <w:sz w:val="20"/>
          <w:szCs w:val="20"/>
          <w:lang w:val="en-US"/>
        </w:rPr>
        <w:t xml:space="preserve">in an industrial company as the representative of all its </w:t>
      </w:r>
      <w:r w:rsidR="00785445" w:rsidRPr="00D869E3">
        <w:rPr>
          <w:rFonts w:ascii="Verdana" w:hAnsi="Verdana"/>
          <w:sz w:val="20"/>
          <w:szCs w:val="20"/>
          <w:lang w:val="en-US"/>
        </w:rPr>
        <w:t>permanent</w:t>
      </w:r>
      <w:r w:rsidR="0003030B" w:rsidRPr="00D869E3">
        <w:rPr>
          <w:rFonts w:ascii="Verdana" w:hAnsi="Verdana"/>
          <w:sz w:val="20"/>
          <w:szCs w:val="20"/>
          <w:lang w:val="en-US"/>
        </w:rPr>
        <w:t xml:space="preserve"> workers, and its </w:t>
      </w:r>
      <w:r w:rsidR="004C2B15" w:rsidRPr="00D869E3">
        <w:rPr>
          <w:rFonts w:ascii="Verdana" w:hAnsi="Verdana"/>
          <w:sz w:val="20"/>
          <w:szCs w:val="20"/>
          <w:lang w:val="en-US"/>
        </w:rPr>
        <w:t>purposes</w:t>
      </w:r>
      <w:r w:rsidR="0003030B" w:rsidRPr="00D869E3">
        <w:rPr>
          <w:rFonts w:ascii="Verdana" w:hAnsi="Verdana"/>
          <w:sz w:val="20"/>
          <w:szCs w:val="20"/>
          <w:lang w:val="en-US"/>
        </w:rPr>
        <w:t xml:space="preserve"> were established in Decree-Law </w:t>
      </w:r>
      <w:r w:rsidR="00275EDE" w:rsidRPr="00D869E3">
        <w:rPr>
          <w:rFonts w:ascii="Verdana" w:hAnsi="Verdana"/>
          <w:sz w:val="20"/>
          <w:szCs w:val="20"/>
          <w:lang w:val="en-US"/>
        </w:rPr>
        <w:t>18384</w:t>
      </w:r>
      <w:r w:rsidR="0003030B"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29"/>
      </w:r>
      <w:r w:rsidR="00275EDE" w:rsidRPr="00D869E3">
        <w:rPr>
          <w:rFonts w:ascii="Verdana" w:hAnsi="Verdana"/>
          <w:b/>
          <w:sz w:val="20"/>
          <w:szCs w:val="20"/>
          <w:lang w:val="en-US"/>
        </w:rPr>
        <w:t xml:space="preserve"> </w:t>
      </w:r>
    </w:p>
    <w:p w14:paraId="3A11ADD8" w14:textId="77777777" w:rsidR="007912F7" w:rsidRPr="00D869E3" w:rsidRDefault="007912F7" w:rsidP="00557859">
      <w:pPr>
        <w:pStyle w:val="Prrafodelista"/>
        <w:ind w:left="0"/>
        <w:jc w:val="both"/>
        <w:rPr>
          <w:rFonts w:ascii="Verdana" w:hAnsi="Verdana"/>
          <w:b/>
          <w:sz w:val="20"/>
          <w:szCs w:val="20"/>
          <w:lang w:val="en-US"/>
        </w:rPr>
      </w:pPr>
    </w:p>
    <w:p w14:paraId="3A205016" w14:textId="2C77CC4F" w:rsidR="00275EDE" w:rsidRPr="00D869E3" w:rsidRDefault="0003030B" w:rsidP="00F4667D">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I</w:t>
      </w:r>
      <w:r w:rsidR="00275EDE" w:rsidRPr="00D869E3">
        <w:rPr>
          <w:rFonts w:ascii="Verdana" w:hAnsi="Verdana"/>
          <w:sz w:val="20"/>
          <w:szCs w:val="20"/>
          <w:lang w:val="en-US"/>
        </w:rPr>
        <w:t xml:space="preserve">n </w:t>
      </w:r>
      <w:r w:rsidRPr="00D869E3">
        <w:rPr>
          <w:rFonts w:ascii="Verdana" w:hAnsi="Verdana"/>
          <w:sz w:val="20"/>
          <w:szCs w:val="20"/>
          <w:lang w:val="en-US"/>
        </w:rPr>
        <w:t>February</w:t>
      </w:r>
      <w:r w:rsidR="00275EDE" w:rsidRPr="00D869E3">
        <w:rPr>
          <w:rFonts w:ascii="Verdana" w:hAnsi="Verdana"/>
          <w:sz w:val="20"/>
          <w:szCs w:val="20"/>
          <w:lang w:val="en-US"/>
        </w:rPr>
        <w:t xml:space="preserve"> 1977</w:t>
      </w:r>
      <w:r w:rsidRPr="00D869E3">
        <w:rPr>
          <w:rFonts w:ascii="Verdana" w:hAnsi="Verdana"/>
          <w:sz w:val="20"/>
          <w:szCs w:val="20"/>
          <w:lang w:val="en-US"/>
        </w:rPr>
        <w:t>,</w:t>
      </w:r>
      <w:r w:rsidR="00275EDE" w:rsidRPr="00D869E3">
        <w:rPr>
          <w:rFonts w:ascii="Verdana" w:hAnsi="Verdana"/>
          <w:sz w:val="20"/>
          <w:szCs w:val="20"/>
          <w:lang w:val="en-US"/>
        </w:rPr>
        <w:t xml:space="preserve"> </w:t>
      </w:r>
      <w:r w:rsidR="00EA232B" w:rsidRPr="00D869E3">
        <w:rPr>
          <w:rFonts w:ascii="Verdana" w:hAnsi="Verdana"/>
          <w:sz w:val="20"/>
          <w:szCs w:val="20"/>
          <w:lang w:val="en-US"/>
        </w:rPr>
        <w:t>the Industrial Community</w:t>
      </w:r>
      <w:r w:rsidRPr="00D869E3">
        <w:rPr>
          <w:rFonts w:ascii="Verdana" w:hAnsi="Verdana"/>
          <w:sz w:val="20"/>
          <w:szCs w:val="20"/>
          <w:lang w:val="en-US"/>
        </w:rPr>
        <w:t xml:space="preserve"> </w:t>
      </w:r>
      <w:r w:rsidR="004C2B15" w:rsidRPr="00D869E3">
        <w:rPr>
          <w:rFonts w:ascii="Verdana" w:hAnsi="Verdana"/>
          <w:sz w:val="20"/>
          <w:szCs w:val="20"/>
          <w:lang w:val="en-US"/>
        </w:rPr>
        <w:t>Act</w:t>
      </w:r>
      <w:r w:rsidRPr="00D869E3">
        <w:rPr>
          <w:rFonts w:ascii="Verdana" w:hAnsi="Verdana"/>
          <w:sz w:val="20"/>
          <w:szCs w:val="20"/>
          <w:lang w:val="en-US"/>
        </w:rPr>
        <w:t xml:space="preserve"> was promulgated</w:t>
      </w:r>
      <w:r w:rsidR="00275EDE"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Decree-Law</w:t>
      </w:r>
      <w:r w:rsidR="00275EDE" w:rsidRPr="00D869E3">
        <w:rPr>
          <w:rFonts w:ascii="Verdana" w:hAnsi="Verdana"/>
          <w:sz w:val="20"/>
          <w:szCs w:val="20"/>
          <w:lang w:val="en-US"/>
        </w:rPr>
        <w:t xml:space="preserve"> 21789</w:t>
      </w:r>
      <w:r w:rsidR="006436CA" w:rsidRPr="00D869E3">
        <w:rPr>
          <w:rFonts w:ascii="Verdana" w:hAnsi="Verdana"/>
          <w:sz w:val="20"/>
          <w:szCs w:val="20"/>
          <w:lang w:val="en-US"/>
        </w:rPr>
        <w:t>”</w:t>
      </w:r>
      <w:r w:rsidR="00275EDE" w:rsidRPr="00D869E3">
        <w:rPr>
          <w:rFonts w:ascii="Verdana" w:hAnsi="Verdana"/>
          <w:sz w:val="20"/>
          <w:szCs w:val="20"/>
          <w:lang w:val="en-US"/>
        </w:rPr>
        <w:t>)</w:t>
      </w:r>
      <w:r w:rsidRPr="00D869E3">
        <w:rPr>
          <w:rFonts w:ascii="Verdana" w:hAnsi="Verdana"/>
          <w:sz w:val="20"/>
          <w:szCs w:val="20"/>
          <w:lang w:val="en-US"/>
        </w:rPr>
        <w:t xml:space="preserve"> amend</w:t>
      </w:r>
      <w:r w:rsidR="004C2B15" w:rsidRPr="00D869E3">
        <w:rPr>
          <w:rFonts w:ascii="Verdana" w:hAnsi="Verdana"/>
          <w:sz w:val="20"/>
          <w:szCs w:val="20"/>
          <w:lang w:val="en-US"/>
        </w:rPr>
        <w:t>ing</w:t>
      </w:r>
      <w:r w:rsidRPr="00D869E3">
        <w:rPr>
          <w:rFonts w:ascii="Verdana" w:hAnsi="Verdana"/>
          <w:sz w:val="20"/>
          <w:szCs w:val="20"/>
          <w:lang w:val="en-US"/>
        </w:rPr>
        <w:t xml:space="preserve"> the previous law.</w:t>
      </w:r>
      <w:r w:rsidR="00275EDE" w:rsidRPr="00D869E3">
        <w:rPr>
          <w:rFonts w:ascii="Verdana" w:hAnsi="Verdana"/>
          <w:sz w:val="20"/>
          <w:szCs w:val="20"/>
          <w:vertAlign w:val="superscript"/>
          <w:lang w:val="en-US"/>
        </w:rPr>
        <w:footnoteReference w:id="30"/>
      </w:r>
      <w:r w:rsidR="00275EDE" w:rsidRPr="00D869E3">
        <w:rPr>
          <w:rFonts w:ascii="Verdana" w:hAnsi="Verdana"/>
          <w:sz w:val="20"/>
          <w:szCs w:val="20"/>
          <w:lang w:val="en-US"/>
        </w:rPr>
        <w:t xml:space="preserve"> </w:t>
      </w:r>
      <w:r w:rsidRPr="00D869E3">
        <w:rPr>
          <w:rFonts w:ascii="Verdana" w:hAnsi="Verdana"/>
          <w:sz w:val="20"/>
          <w:szCs w:val="20"/>
          <w:lang w:val="en-US"/>
        </w:rPr>
        <w:t>According to the act</w:t>
      </w:r>
      <w:r w:rsidR="00275EDE" w:rsidRPr="00D869E3">
        <w:rPr>
          <w:rFonts w:ascii="Verdana" w:hAnsi="Verdana"/>
          <w:sz w:val="20"/>
          <w:szCs w:val="20"/>
          <w:lang w:val="en-US"/>
        </w:rPr>
        <w:t xml:space="preserve">, </w:t>
      </w:r>
      <w:r w:rsidR="006436CA" w:rsidRPr="00D869E3">
        <w:rPr>
          <w:rFonts w:ascii="Verdana" w:hAnsi="Verdana"/>
          <w:sz w:val="20"/>
          <w:szCs w:val="20"/>
          <w:lang w:val="en-US"/>
        </w:rPr>
        <w:t>“</w:t>
      </w:r>
      <w:r w:rsidR="00F969B2" w:rsidRPr="00D869E3">
        <w:rPr>
          <w:rFonts w:ascii="Verdana" w:hAnsi="Verdana"/>
          <w:sz w:val="20"/>
          <w:szCs w:val="20"/>
          <w:lang w:val="en-US"/>
        </w:rPr>
        <w:t>[</w:t>
      </w:r>
      <w:r w:rsidRPr="00D869E3">
        <w:rPr>
          <w:rFonts w:ascii="Verdana" w:hAnsi="Verdana"/>
          <w:sz w:val="20"/>
          <w:szCs w:val="20"/>
          <w:lang w:val="en-US"/>
        </w:rPr>
        <w:t>t</w:t>
      </w:r>
      <w:r w:rsidR="00F969B2" w:rsidRPr="00D869E3">
        <w:rPr>
          <w:rFonts w:ascii="Verdana" w:hAnsi="Verdana"/>
          <w:sz w:val="20"/>
          <w:szCs w:val="20"/>
          <w:lang w:val="en-US"/>
        </w:rPr>
        <w:t>]</w:t>
      </w:r>
      <w:r w:rsidRPr="00D869E3">
        <w:rPr>
          <w:rFonts w:ascii="Verdana" w:hAnsi="Verdana"/>
          <w:sz w:val="20"/>
          <w:szCs w:val="20"/>
          <w:lang w:val="en-US"/>
        </w:rPr>
        <w:t>he</w:t>
      </w:r>
      <w:r w:rsidR="00275EDE" w:rsidRPr="00D869E3">
        <w:rPr>
          <w:rFonts w:ascii="Verdana" w:hAnsi="Verdana"/>
          <w:sz w:val="20"/>
          <w:szCs w:val="20"/>
          <w:lang w:val="en-US"/>
        </w:rPr>
        <w:t xml:space="preserve"> </w:t>
      </w:r>
      <w:r w:rsidRPr="00D869E3">
        <w:rPr>
          <w:rFonts w:ascii="Verdana" w:hAnsi="Verdana"/>
          <w:sz w:val="20"/>
          <w:szCs w:val="20"/>
          <w:lang w:val="en-US"/>
        </w:rPr>
        <w:t xml:space="preserve">Industrial Community of an industrial company in the reformed private sector </w:t>
      </w:r>
      <w:r w:rsidR="004C2B15" w:rsidRPr="00D869E3">
        <w:rPr>
          <w:rFonts w:ascii="Verdana" w:hAnsi="Verdana"/>
          <w:sz w:val="20"/>
          <w:szCs w:val="20"/>
          <w:lang w:val="en-US"/>
        </w:rPr>
        <w:t>is</w:t>
      </w:r>
      <w:r w:rsidR="00F4667D" w:rsidRPr="00D869E3">
        <w:rPr>
          <w:rFonts w:ascii="Verdana" w:hAnsi="Verdana"/>
          <w:sz w:val="20"/>
          <w:szCs w:val="20"/>
          <w:lang w:val="en-US"/>
        </w:rPr>
        <w:t xml:space="preserve"> composed of all </w:t>
      </w:r>
      <w:r w:rsidR="004C2B15" w:rsidRPr="00D869E3">
        <w:rPr>
          <w:rFonts w:ascii="Verdana" w:hAnsi="Verdana"/>
          <w:sz w:val="20"/>
          <w:szCs w:val="20"/>
          <w:lang w:val="en-US"/>
        </w:rPr>
        <w:t>its</w:t>
      </w:r>
      <w:r w:rsidR="00F4667D" w:rsidRPr="00D869E3">
        <w:rPr>
          <w:rFonts w:ascii="Verdana" w:hAnsi="Verdana"/>
          <w:sz w:val="20"/>
          <w:szCs w:val="20"/>
          <w:lang w:val="en-US"/>
        </w:rPr>
        <w:t xml:space="preserve"> </w:t>
      </w:r>
      <w:r w:rsidR="00785445" w:rsidRPr="00D869E3">
        <w:rPr>
          <w:rFonts w:ascii="Verdana" w:hAnsi="Verdana"/>
          <w:sz w:val="20"/>
          <w:szCs w:val="20"/>
          <w:lang w:val="en-US"/>
        </w:rPr>
        <w:t>permanent</w:t>
      </w:r>
      <w:r w:rsidR="00F4667D" w:rsidRPr="00D869E3">
        <w:rPr>
          <w:rFonts w:ascii="Verdana" w:hAnsi="Verdana"/>
          <w:sz w:val="20"/>
          <w:szCs w:val="20"/>
          <w:lang w:val="en-US"/>
        </w:rPr>
        <w:t xml:space="preserve"> workers, who </w:t>
      </w:r>
      <w:r w:rsidR="00F4667D" w:rsidRPr="00D869E3">
        <w:rPr>
          <w:rFonts w:ascii="Verdana" w:hAnsi="Verdana"/>
          <w:sz w:val="20"/>
          <w:szCs w:val="20"/>
          <w:lang w:val="en-US"/>
        </w:rPr>
        <w:lastRenderedPageBreak/>
        <w:t>participate in its ownership, management and profits.</w:t>
      </w:r>
      <w:r w:rsidR="006436CA"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31"/>
      </w:r>
      <w:r w:rsidR="00F4667D" w:rsidRPr="00D869E3">
        <w:rPr>
          <w:rFonts w:ascii="Verdana" w:hAnsi="Verdana"/>
          <w:sz w:val="20"/>
          <w:szCs w:val="20"/>
          <w:lang w:val="en-US"/>
        </w:rPr>
        <w:t xml:space="preserve"> It was constituted as a private legal entity, and its purposes were</w:t>
      </w:r>
      <w:bookmarkStart w:id="19" w:name="_Hlk28689775"/>
      <w:r w:rsidR="00F4667D" w:rsidRPr="00D869E3">
        <w:rPr>
          <w:rFonts w:ascii="Verdana" w:hAnsi="Verdana"/>
          <w:sz w:val="20"/>
          <w:szCs w:val="20"/>
          <w:lang w:val="en-US"/>
        </w:rPr>
        <w:t xml:space="preserve">: </w:t>
      </w:r>
      <w:r w:rsidR="001923AA" w:rsidRPr="00D869E3">
        <w:rPr>
          <w:rFonts w:ascii="Verdana" w:hAnsi="Verdana"/>
          <w:sz w:val="20"/>
          <w:szCs w:val="20"/>
          <w:lang w:val="en-US"/>
        </w:rPr>
        <w:t xml:space="preserve">(a) to contribute to the establishment of constructive forms of interrelationship in the industrial company; (b) to strengthen </w:t>
      </w:r>
      <w:r w:rsidR="001923AA" w:rsidRPr="00D869E3">
        <w:rPr>
          <w:rFonts w:ascii="Verdana" w:hAnsi="Verdana"/>
          <w:sz w:val="20"/>
          <w:szCs w:val="20"/>
          <w:lang w:val="en-US" w:eastAsia="es-MX"/>
        </w:rPr>
        <w:t>the company by the united action of its members in the management and productive process, and their participation in the ownership of the company’s patrimony</w:t>
      </w:r>
      <w:r w:rsidR="00F4667D" w:rsidRPr="00D869E3">
        <w:rPr>
          <w:rFonts w:ascii="Verdana" w:hAnsi="Verdana"/>
          <w:sz w:val="20"/>
          <w:szCs w:val="20"/>
          <w:lang w:val="en-US" w:eastAsia="es-MX"/>
        </w:rPr>
        <w:t>;</w:t>
      </w:r>
      <w:r w:rsidR="00275EDE" w:rsidRPr="00D869E3">
        <w:rPr>
          <w:rFonts w:ascii="Verdana" w:hAnsi="Verdana"/>
          <w:sz w:val="20"/>
          <w:szCs w:val="20"/>
          <w:vertAlign w:val="superscript"/>
          <w:lang w:val="en-US" w:eastAsia="es-MX"/>
        </w:rPr>
        <w:footnoteReference w:id="32"/>
      </w:r>
      <w:r w:rsidR="00275EDE" w:rsidRPr="00D869E3">
        <w:rPr>
          <w:rFonts w:ascii="Verdana" w:hAnsi="Verdana"/>
          <w:sz w:val="20"/>
          <w:szCs w:val="20"/>
          <w:lang w:val="en-US" w:eastAsia="es-MX"/>
        </w:rPr>
        <w:t xml:space="preserve"> </w:t>
      </w:r>
      <w:bookmarkEnd w:id="19"/>
      <w:r w:rsidR="001923AA" w:rsidRPr="00D869E3">
        <w:rPr>
          <w:rFonts w:ascii="Verdana" w:hAnsi="Verdana"/>
          <w:sz w:val="20"/>
          <w:szCs w:val="20"/>
          <w:lang w:val="en-US" w:eastAsia="es-MX"/>
        </w:rPr>
        <w:t xml:space="preserve">(c) to establish an appropriate and rational distribution of the benefits among the investors and </w:t>
      </w:r>
      <w:r w:rsidR="00785445" w:rsidRPr="00D869E3">
        <w:rPr>
          <w:rFonts w:ascii="Verdana" w:hAnsi="Verdana"/>
          <w:sz w:val="20"/>
          <w:szCs w:val="20"/>
          <w:lang w:val="en-US" w:eastAsia="es-MX"/>
        </w:rPr>
        <w:t>permanent</w:t>
      </w:r>
      <w:r w:rsidR="001923AA" w:rsidRPr="00D869E3">
        <w:rPr>
          <w:rFonts w:ascii="Verdana" w:hAnsi="Verdana"/>
          <w:sz w:val="20"/>
          <w:szCs w:val="20"/>
          <w:lang w:val="en-US" w:eastAsia="es-MX"/>
        </w:rPr>
        <w:t xml:space="preserve"> workers of an industrial company, and (d) to promote permanent training and stimulate the creativity of the company’s workers</w:t>
      </w:r>
      <w:r w:rsidR="00F4667D" w:rsidRPr="00D869E3">
        <w:rPr>
          <w:rFonts w:ascii="Verdana" w:hAnsi="Verdana"/>
          <w:sz w:val="20"/>
          <w:szCs w:val="20"/>
          <w:lang w:val="en-US" w:eastAsia="es-MX"/>
        </w:rPr>
        <w:t>.</w:t>
      </w:r>
      <w:r w:rsidR="00275EDE" w:rsidRPr="00D869E3">
        <w:rPr>
          <w:rFonts w:ascii="Verdana" w:hAnsi="Verdana"/>
          <w:sz w:val="20"/>
          <w:szCs w:val="20"/>
          <w:vertAlign w:val="superscript"/>
          <w:lang w:val="en-US" w:eastAsia="es-MX"/>
        </w:rPr>
        <w:footnoteReference w:id="33"/>
      </w:r>
    </w:p>
    <w:p w14:paraId="04AD29EC" w14:textId="77777777" w:rsidR="00275EDE" w:rsidRPr="00D869E3" w:rsidRDefault="00275EDE" w:rsidP="005D0ACD">
      <w:pPr>
        <w:jc w:val="both"/>
        <w:rPr>
          <w:rFonts w:ascii="Verdana" w:hAnsi="Verdana"/>
          <w:sz w:val="20"/>
          <w:szCs w:val="20"/>
          <w:lang w:val="en-US" w:eastAsia="es-MX"/>
        </w:rPr>
      </w:pPr>
    </w:p>
    <w:p w14:paraId="022DF29E" w14:textId="14F4581D" w:rsidR="00275EDE" w:rsidRPr="00D869E3" w:rsidRDefault="004C2B15" w:rsidP="00F4667D">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eastAsia="es-MX"/>
        </w:rPr>
        <w:t>The</w:t>
      </w:r>
      <w:r w:rsidR="00EA232B" w:rsidRPr="00D869E3">
        <w:rPr>
          <w:rFonts w:ascii="Verdana" w:hAnsi="Verdana"/>
          <w:sz w:val="20"/>
          <w:szCs w:val="20"/>
          <w:lang w:val="en-US" w:eastAsia="es-MX"/>
        </w:rPr>
        <w:t xml:space="preserve"> Industrial Community</w:t>
      </w:r>
      <w:r w:rsidR="00275EDE" w:rsidRPr="00D869E3">
        <w:rPr>
          <w:rFonts w:ascii="Verdana" w:hAnsi="Verdana"/>
          <w:sz w:val="20"/>
          <w:szCs w:val="20"/>
          <w:lang w:val="en-US" w:eastAsia="es-MX"/>
        </w:rPr>
        <w:t xml:space="preserve"> </w:t>
      </w:r>
      <w:r w:rsidRPr="00D869E3">
        <w:rPr>
          <w:rFonts w:ascii="Verdana" w:hAnsi="Verdana"/>
          <w:sz w:val="20"/>
          <w:szCs w:val="20"/>
          <w:lang w:val="en-US" w:eastAsia="es-MX"/>
        </w:rPr>
        <w:t xml:space="preserve">was </w:t>
      </w:r>
      <w:r w:rsidR="00F4667D" w:rsidRPr="00D869E3">
        <w:rPr>
          <w:rFonts w:ascii="Verdana" w:hAnsi="Verdana"/>
          <w:sz w:val="20"/>
          <w:szCs w:val="20"/>
          <w:lang w:val="en-US" w:eastAsia="es-MX"/>
        </w:rPr>
        <w:t>a system</w:t>
      </w:r>
      <w:r w:rsidRPr="00D869E3">
        <w:rPr>
          <w:rFonts w:ascii="Verdana" w:hAnsi="Verdana"/>
          <w:sz w:val="20"/>
          <w:szCs w:val="20"/>
          <w:lang w:val="en-US" w:eastAsia="es-MX"/>
        </w:rPr>
        <w:t xml:space="preserve"> </w:t>
      </w:r>
      <w:r w:rsidRPr="00D869E3">
        <w:rPr>
          <w:rFonts w:ascii="Verdana" w:hAnsi="Verdana"/>
          <w:i/>
          <w:sz w:val="20"/>
          <w:szCs w:val="20"/>
          <w:lang w:val="en-US" w:eastAsia="es-MX"/>
        </w:rPr>
        <w:t>sui generis</w:t>
      </w:r>
      <w:r w:rsidR="00F4667D" w:rsidRPr="00D869E3">
        <w:rPr>
          <w:rFonts w:ascii="Verdana" w:hAnsi="Verdana"/>
          <w:sz w:val="20"/>
          <w:szCs w:val="20"/>
          <w:lang w:val="en-US" w:eastAsia="es-MX"/>
        </w:rPr>
        <w:t xml:space="preserve"> for industrial and labor promotion</w:t>
      </w:r>
      <w:r w:rsidR="00F4667D" w:rsidRPr="00D869E3">
        <w:rPr>
          <w:rFonts w:ascii="Verdana" w:hAnsi="Verdana"/>
          <w:i/>
          <w:sz w:val="20"/>
          <w:szCs w:val="20"/>
          <w:lang w:val="en-US" w:eastAsia="es-MX"/>
        </w:rPr>
        <w:t>,</w:t>
      </w:r>
      <w:r w:rsidR="00F4667D" w:rsidRPr="00D869E3">
        <w:rPr>
          <w:rFonts w:ascii="Verdana" w:hAnsi="Verdana"/>
          <w:iCs/>
          <w:sz w:val="20"/>
          <w:szCs w:val="20"/>
          <w:lang w:val="en-US" w:eastAsia="es-MX"/>
        </w:rPr>
        <w:t xml:space="preserve"> applicable </w:t>
      </w:r>
      <w:r w:rsidRPr="00D869E3">
        <w:rPr>
          <w:rFonts w:ascii="Verdana" w:hAnsi="Verdana"/>
          <w:iCs/>
          <w:sz w:val="20"/>
          <w:szCs w:val="20"/>
          <w:lang w:val="en-US" w:eastAsia="es-MX"/>
        </w:rPr>
        <w:t>in</w:t>
      </w:r>
      <w:r w:rsidR="00F4667D" w:rsidRPr="00D869E3">
        <w:rPr>
          <w:rFonts w:ascii="Verdana" w:hAnsi="Verdana"/>
          <w:iCs/>
          <w:sz w:val="20"/>
          <w:szCs w:val="20"/>
          <w:lang w:val="en-US" w:eastAsia="es-MX"/>
        </w:rPr>
        <w:t xml:space="preserve"> </w:t>
      </w:r>
      <w:r w:rsidR="006436CA" w:rsidRPr="00D869E3">
        <w:rPr>
          <w:rFonts w:ascii="Verdana" w:hAnsi="Verdana"/>
          <w:iCs/>
          <w:sz w:val="20"/>
          <w:szCs w:val="20"/>
          <w:lang w:val="en-US" w:eastAsia="es-MX"/>
        </w:rPr>
        <w:t>“</w:t>
      </w:r>
      <w:r w:rsidR="00F4667D" w:rsidRPr="00D869E3">
        <w:rPr>
          <w:rFonts w:ascii="Verdana" w:hAnsi="Verdana"/>
          <w:iCs/>
          <w:sz w:val="20"/>
          <w:szCs w:val="20"/>
          <w:lang w:val="en-US" w:eastAsia="es-MX"/>
        </w:rPr>
        <w:t xml:space="preserve">all industrial manufacturing companies of the reformed private sector that were governed by the General Industries Act, </w:t>
      </w:r>
      <w:r w:rsidR="0003030B" w:rsidRPr="00D869E3">
        <w:rPr>
          <w:rFonts w:ascii="Verdana" w:hAnsi="Verdana"/>
          <w:sz w:val="20"/>
          <w:szCs w:val="20"/>
          <w:lang w:val="en-US" w:eastAsia="es-MX"/>
        </w:rPr>
        <w:t>Decree-Law</w:t>
      </w:r>
      <w:r w:rsidR="00275EDE" w:rsidRPr="00D869E3">
        <w:rPr>
          <w:rFonts w:ascii="Verdana" w:hAnsi="Verdana"/>
          <w:sz w:val="20"/>
          <w:szCs w:val="20"/>
          <w:lang w:val="en-US" w:eastAsia="es-MX"/>
        </w:rPr>
        <w:t xml:space="preserve"> 18350, </w:t>
      </w:r>
      <w:r w:rsidR="00F4667D" w:rsidRPr="00D869E3">
        <w:rPr>
          <w:rFonts w:ascii="Verdana" w:hAnsi="Verdana"/>
          <w:sz w:val="20"/>
          <w:szCs w:val="20"/>
          <w:lang w:val="en-US" w:eastAsia="es-MX"/>
        </w:rPr>
        <w:t xml:space="preserve">whatsoever their administrative </w:t>
      </w:r>
      <w:r w:rsidR="00E51E71" w:rsidRPr="00D869E3">
        <w:rPr>
          <w:rFonts w:ascii="Verdana" w:hAnsi="Verdana"/>
          <w:sz w:val="20"/>
          <w:szCs w:val="20"/>
          <w:lang w:val="en-US" w:eastAsia="es-MX"/>
        </w:rPr>
        <w:t>regime</w:t>
      </w:r>
      <w:r w:rsidR="00F4667D" w:rsidRPr="00D869E3">
        <w:rPr>
          <w:rFonts w:ascii="Verdana" w:hAnsi="Verdana"/>
          <w:sz w:val="20"/>
          <w:szCs w:val="20"/>
          <w:lang w:val="en-US" w:eastAsia="es-MX"/>
        </w:rPr>
        <w:t>.</w:t>
      </w:r>
      <w:r w:rsidR="006436CA"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34"/>
      </w:r>
      <w:r w:rsidR="00F4667D" w:rsidRPr="00D869E3">
        <w:rPr>
          <w:rFonts w:ascii="Verdana" w:hAnsi="Verdana"/>
          <w:sz w:val="20"/>
          <w:szCs w:val="20"/>
          <w:lang w:val="en-US"/>
        </w:rPr>
        <w:t xml:space="preserve"> Thus, compan</w:t>
      </w:r>
      <w:r w:rsidRPr="00D869E3">
        <w:rPr>
          <w:rFonts w:ascii="Verdana" w:hAnsi="Verdana"/>
          <w:sz w:val="20"/>
          <w:szCs w:val="20"/>
          <w:lang w:val="en-US"/>
        </w:rPr>
        <w:t>ies</w:t>
      </w:r>
      <w:r w:rsidR="00F4667D" w:rsidRPr="00D869E3">
        <w:rPr>
          <w:rFonts w:ascii="Verdana" w:hAnsi="Verdana"/>
          <w:sz w:val="20"/>
          <w:szCs w:val="20"/>
          <w:lang w:val="en-US"/>
        </w:rPr>
        <w:t xml:space="preserve"> that </w:t>
      </w:r>
      <w:r w:rsidRPr="00D869E3">
        <w:rPr>
          <w:rFonts w:ascii="Verdana" w:hAnsi="Verdana"/>
          <w:sz w:val="20"/>
          <w:szCs w:val="20"/>
          <w:lang w:val="en-US"/>
        </w:rPr>
        <w:t>formed</w:t>
      </w:r>
      <w:r w:rsidR="00F4667D" w:rsidRPr="00D869E3">
        <w:rPr>
          <w:rFonts w:ascii="Verdana" w:hAnsi="Verdana"/>
          <w:sz w:val="20"/>
          <w:szCs w:val="20"/>
          <w:lang w:val="en-US"/>
        </w:rPr>
        <w:t xml:space="preserve"> part of the said reformed private sector were obliged to create an Industrial Community.</w:t>
      </w:r>
    </w:p>
    <w:p w14:paraId="37C14D7F" w14:textId="77777777" w:rsidR="00275EDE" w:rsidRPr="00D869E3" w:rsidRDefault="00275EDE" w:rsidP="005D0ACD">
      <w:pPr>
        <w:jc w:val="both"/>
        <w:rPr>
          <w:rFonts w:ascii="Verdana" w:hAnsi="Verdana"/>
          <w:sz w:val="20"/>
          <w:szCs w:val="20"/>
          <w:lang w:val="en-US" w:eastAsia="es-MX"/>
        </w:rPr>
      </w:pPr>
    </w:p>
    <w:p w14:paraId="0DC6E087" w14:textId="51FADCD6" w:rsidR="00275EDE" w:rsidRPr="00D869E3" w:rsidRDefault="00F4667D" w:rsidP="00E66DD7">
      <w:pPr>
        <w:pStyle w:val="Prrafodelista"/>
        <w:numPr>
          <w:ilvl w:val="0"/>
          <w:numId w:val="1"/>
        </w:numPr>
        <w:ind w:left="0" w:hanging="11"/>
        <w:jc w:val="both"/>
        <w:rPr>
          <w:rFonts w:ascii="Verdana" w:hAnsi="Verdana"/>
          <w:sz w:val="20"/>
          <w:szCs w:val="20"/>
          <w:lang w:val="en-US"/>
        </w:rPr>
      </w:pPr>
      <w:r w:rsidRPr="00D869E3">
        <w:rPr>
          <w:rFonts w:ascii="Verdana" w:hAnsi="Verdana"/>
          <w:sz w:val="20"/>
          <w:szCs w:val="20"/>
          <w:lang w:val="en-US" w:eastAsia="es-MX"/>
        </w:rPr>
        <w:t>Under this concept, the workers participated in company ownership, management and profits</w:t>
      </w:r>
      <w:r w:rsidR="00275EDE" w:rsidRPr="00D869E3">
        <w:rPr>
          <w:rFonts w:ascii="Verdana" w:hAnsi="Verdana"/>
          <w:sz w:val="20"/>
          <w:szCs w:val="20"/>
          <w:lang w:val="en-US" w:eastAsia="es-MX"/>
        </w:rPr>
        <w:t xml:space="preserve">. </w:t>
      </w:r>
      <w:r w:rsidRPr="00D869E3">
        <w:rPr>
          <w:rFonts w:ascii="Verdana" w:hAnsi="Verdana"/>
          <w:sz w:val="20"/>
          <w:szCs w:val="20"/>
          <w:lang w:val="en-US" w:eastAsia="es-MX"/>
        </w:rPr>
        <w:t>The</w:t>
      </w:r>
      <w:r w:rsidR="00EA232B" w:rsidRPr="00D869E3">
        <w:rPr>
          <w:rFonts w:ascii="Verdana" w:hAnsi="Verdana"/>
          <w:sz w:val="20"/>
          <w:szCs w:val="20"/>
          <w:lang w:val="en-US" w:eastAsia="es-MX"/>
        </w:rPr>
        <w:t xml:space="preserve"> Industrial Community</w:t>
      </w:r>
      <w:r w:rsidR="00275EDE" w:rsidRPr="00D869E3">
        <w:rPr>
          <w:rFonts w:ascii="Verdana" w:hAnsi="Verdana"/>
          <w:sz w:val="20"/>
          <w:szCs w:val="20"/>
          <w:lang w:val="en-US" w:eastAsia="es-MX"/>
        </w:rPr>
        <w:t xml:space="preserve"> </w:t>
      </w:r>
      <w:r w:rsidRPr="00D869E3">
        <w:rPr>
          <w:rFonts w:ascii="Verdana" w:hAnsi="Verdana"/>
          <w:sz w:val="20"/>
          <w:szCs w:val="20"/>
          <w:lang w:val="en-US" w:eastAsia="es-MX"/>
        </w:rPr>
        <w:t xml:space="preserve">was administered and managed by the Community’s General Assembly and Council. The </w:t>
      </w:r>
      <w:r w:rsidRPr="00D869E3">
        <w:rPr>
          <w:rFonts w:ascii="Verdana" w:hAnsi="Verdana"/>
          <w:sz w:val="20"/>
          <w:szCs w:val="20"/>
          <w:lang w:val="en-US"/>
        </w:rPr>
        <w:t>General Assembly</w:t>
      </w:r>
      <w:r w:rsidR="00275EDE" w:rsidRPr="00D869E3">
        <w:rPr>
          <w:rFonts w:ascii="Verdana" w:hAnsi="Verdana"/>
          <w:sz w:val="20"/>
          <w:szCs w:val="20"/>
          <w:lang w:val="en-US"/>
        </w:rPr>
        <w:t xml:space="preserve"> </w:t>
      </w:r>
      <w:r w:rsidRPr="00D869E3">
        <w:rPr>
          <w:rFonts w:ascii="Verdana" w:hAnsi="Verdana"/>
          <w:sz w:val="20"/>
          <w:szCs w:val="20"/>
          <w:lang w:val="en-US"/>
        </w:rPr>
        <w:t>was the highest authority of the Community and it was composed of all the workers.</w:t>
      </w:r>
      <w:r w:rsidR="00275EDE" w:rsidRPr="00D869E3">
        <w:rPr>
          <w:rFonts w:ascii="Verdana" w:hAnsi="Verdana"/>
          <w:sz w:val="20"/>
          <w:szCs w:val="20"/>
          <w:vertAlign w:val="superscript"/>
          <w:lang w:val="en-US"/>
        </w:rPr>
        <w:footnoteReference w:id="35"/>
      </w:r>
      <w:r w:rsidR="00275EDE" w:rsidRPr="00D869E3">
        <w:rPr>
          <w:rFonts w:ascii="Verdana" w:hAnsi="Verdana"/>
          <w:sz w:val="20"/>
          <w:szCs w:val="20"/>
          <w:lang w:val="en-US"/>
        </w:rPr>
        <w:t xml:space="preserve"> </w:t>
      </w:r>
    </w:p>
    <w:p w14:paraId="316DD286" w14:textId="77777777" w:rsidR="005D0ACD" w:rsidRPr="00D869E3" w:rsidRDefault="005D0ACD" w:rsidP="005D0ACD">
      <w:pPr>
        <w:pStyle w:val="Prrafodelista"/>
        <w:ind w:left="0"/>
        <w:jc w:val="both"/>
        <w:rPr>
          <w:rFonts w:ascii="Verdana" w:hAnsi="Verdana"/>
          <w:sz w:val="20"/>
          <w:szCs w:val="20"/>
          <w:lang w:val="en-US"/>
        </w:rPr>
      </w:pPr>
    </w:p>
    <w:p w14:paraId="21A047ED" w14:textId="6AA75A30" w:rsidR="00275EDE" w:rsidRPr="00D869E3" w:rsidRDefault="00C30192" w:rsidP="00BD270B">
      <w:pPr>
        <w:pStyle w:val="Prrafodelista"/>
        <w:numPr>
          <w:ilvl w:val="0"/>
          <w:numId w:val="1"/>
        </w:numPr>
        <w:ind w:left="0" w:hanging="11"/>
        <w:jc w:val="both"/>
        <w:rPr>
          <w:rFonts w:ascii="Verdana" w:hAnsi="Verdana"/>
          <w:sz w:val="20"/>
          <w:szCs w:val="20"/>
          <w:lang w:val="en-US"/>
        </w:rPr>
      </w:pPr>
      <w:r w:rsidRPr="00D869E3">
        <w:rPr>
          <w:rFonts w:ascii="Verdana" w:hAnsi="Verdana"/>
          <w:sz w:val="20"/>
          <w:szCs w:val="20"/>
          <w:lang w:val="en-US"/>
        </w:rPr>
        <w:t xml:space="preserve">Meanwhile, the Community Council was the executive body </w:t>
      </w:r>
      <w:r w:rsidR="00EA232B" w:rsidRPr="00D869E3">
        <w:rPr>
          <w:rFonts w:ascii="Verdana" w:hAnsi="Verdana"/>
          <w:sz w:val="20"/>
          <w:szCs w:val="20"/>
          <w:lang w:val="en-US"/>
        </w:rPr>
        <w:t>of the Industrial Community</w:t>
      </w:r>
      <w:r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36"/>
      </w:r>
      <w:r w:rsidR="00275EDE" w:rsidRPr="00D869E3">
        <w:rPr>
          <w:rFonts w:ascii="Verdana" w:hAnsi="Verdana"/>
          <w:sz w:val="20"/>
          <w:szCs w:val="20"/>
          <w:lang w:val="en-US"/>
        </w:rPr>
        <w:t xml:space="preserve"> </w:t>
      </w:r>
      <w:r w:rsidRPr="00D869E3">
        <w:rPr>
          <w:rFonts w:ascii="Verdana" w:hAnsi="Verdana"/>
          <w:sz w:val="20"/>
          <w:szCs w:val="20"/>
          <w:lang w:val="en-US"/>
        </w:rPr>
        <w:t xml:space="preserve">Among other functions, it was responsible for </w:t>
      </w:r>
      <w:r w:rsidR="00BD270B" w:rsidRPr="00D869E3">
        <w:rPr>
          <w:rFonts w:ascii="Verdana" w:hAnsi="Verdana"/>
          <w:sz w:val="20"/>
          <w:szCs w:val="20"/>
          <w:lang w:val="en-US"/>
        </w:rPr>
        <w:t xml:space="preserve">administering its patrimony, executing the decisions of </w:t>
      </w:r>
      <w:r w:rsidR="00F4667D" w:rsidRPr="00D869E3">
        <w:rPr>
          <w:rFonts w:ascii="Verdana" w:hAnsi="Verdana"/>
          <w:sz w:val="20"/>
          <w:szCs w:val="20"/>
          <w:lang w:val="en-US"/>
        </w:rPr>
        <w:t>the General Assembly</w:t>
      </w:r>
      <w:r w:rsidR="00687684" w:rsidRPr="00D869E3">
        <w:rPr>
          <w:rFonts w:ascii="Verdana" w:hAnsi="Verdana"/>
          <w:sz w:val="20"/>
          <w:szCs w:val="20"/>
          <w:lang w:val="en-US"/>
        </w:rPr>
        <w:t xml:space="preserve"> and </w:t>
      </w:r>
      <w:r w:rsidR="00BD270B" w:rsidRPr="00D869E3">
        <w:rPr>
          <w:rFonts w:ascii="Verdana" w:hAnsi="Verdana"/>
          <w:sz w:val="20"/>
          <w:szCs w:val="20"/>
          <w:lang w:val="en-US"/>
        </w:rPr>
        <w:t>ensuring compliance with</w:t>
      </w:r>
      <w:r w:rsidR="00D7137C" w:rsidRPr="00D869E3">
        <w:rPr>
          <w:rFonts w:ascii="Verdana" w:hAnsi="Verdana"/>
          <w:sz w:val="20"/>
          <w:szCs w:val="20"/>
          <w:lang w:val="en-US"/>
        </w:rPr>
        <w:t xml:space="preserve"> the </w:t>
      </w:r>
      <w:r w:rsidR="00BD270B" w:rsidRPr="00D869E3">
        <w:rPr>
          <w:rFonts w:ascii="Verdana" w:hAnsi="Verdana"/>
          <w:sz w:val="20"/>
          <w:szCs w:val="20"/>
          <w:lang w:val="en-US"/>
        </w:rPr>
        <w:t xml:space="preserve">Community’s </w:t>
      </w:r>
      <w:r w:rsidR="00D7137C" w:rsidRPr="00D869E3">
        <w:rPr>
          <w:rFonts w:ascii="Verdana" w:hAnsi="Verdana"/>
          <w:sz w:val="20"/>
          <w:szCs w:val="20"/>
          <w:lang w:val="en-US"/>
        </w:rPr>
        <w:t>Statute</w:t>
      </w:r>
      <w:r w:rsidR="00275EDE" w:rsidRPr="00D869E3">
        <w:rPr>
          <w:rFonts w:ascii="Verdana" w:hAnsi="Verdana"/>
          <w:sz w:val="20"/>
          <w:szCs w:val="20"/>
          <w:lang w:val="en-US"/>
        </w:rPr>
        <w:t>; a</w:t>
      </w:r>
      <w:r w:rsidR="00BD270B" w:rsidRPr="00D869E3">
        <w:rPr>
          <w:rFonts w:ascii="Verdana" w:hAnsi="Verdana"/>
          <w:sz w:val="20"/>
          <w:szCs w:val="20"/>
          <w:lang w:val="en-US"/>
        </w:rPr>
        <w:t xml:space="preserve">dvising </w:t>
      </w:r>
      <w:r w:rsidR="00687684" w:rsidRPr="00D869E3">
        <w:rPr>
          <w:rFonts w:ascii="Verdana" w:hAnsi="Verdana"/>
          <w:sz w:val="20"/>
          <w:szCs w:val="20"/>
          <w:lang w:val="en-US"/>
        </w:rPr>
        <w:t xml:space="preserve">the </w:t>
      </w:r>
      <w:r w:rsidR="00BD270B" w:rsidRPr="00D869E3">
        <w:rPr>
          <w:rFonts w:ascii="Verdana" w:hAnsi="Verdana"/>
          <w:sz w:val="20"/>
          <w:szCs w:val="20"/>
          <w:lang w:val="en-US"/>
        </w:rPr>
        <w:t xml:space="preserve">workers’ </w:t>
      </w:r>
      <w:r w:rsidR="00687684" w:rsidRPr="00D869E3">
        <w:rPr>
          <w:rFonts w:ascii="Verdana" w:hAnsi="Verdana"/>
          <w:sz w:val="20"/>
          <w:szCs w:val="20"/>
          <w:lang w:val="en-US"/>
        </w:rPr>
        <w:t>representatives</w:t>
      </w:r>
      <w:r w:rsidR="00275EDE" w:rsidRPr="00D869E3">
        <w:rPr>
          <w:rFonts w:ascii="Verdana" w:hAnsi="Verdana"/>
          <w:sz w:val="20"/>
          <w:szCs w:val="20"/>
          <w:lang w:val="en-US"/>
        </w:rPr>
        <w:t xml:space="preserve"> </w:t>
      </w:r>
      <w:r w:rsidR="00BD270B" w:rsidRPr="00D869E3">
        <w:rPr>
          <w:rFonts w:ascii="Verdana" w:hAnsi="Verdana"/>
          <w:sz w:val="20"/>
          <w:szCs w:val="20"/>
          <w:lang w:val="en-US"/>
        </w:rPr>
        <w:t>on the company’s board</w:t>
      </w:r>
      <w:r w:rsidR="001923AA" w:rsidRPr="00D869E3">
        <w:rPr>
          <w:rFonts w:ascii="Verdana" w:hAnsi="Verdana"/>
          <w:sz w:val="20"/>
          <w:szCs w:val="20"/>
          <w:lang w:val="en-US"/>
        </w:rPr>
        <w:t>;</w:t>
      </w:r>
      <w:r w:rsidR="00BD270B" w:rsidRPr="00D869E3">
        <w:rPr>
          <w:rFonts w:ascii="Verdana" w:hAnsi="Verdana"/>
          <w:sz w:val="20"/>
          <w:szCs w:val="20"/>
          <w:lang w:val="en-US"/>
        </w:rPr>
        <w:t xml:space="preserve"> ruling on matters submitted to it by the workers, after consulting the General Assembly if necessary, and convening the General Assembly. The members of the Community Council could not perform or postulate their candidacy for a </w:t>
      </w:r>
      <w:r w:rsidR="00E85F6A" w:rsidRPr="00D869E3">
        <w:rPr>
          <w:rFonts w:ascii="Verdana" w:hAnsi="Verdana"/>
          <w:sz w:val="20"/>
          <w:szCs w:val="20"/>
          <w:lang w:val="en-US"/>
        </w:rPr>
        <w:t>labor union</w:t>
      </w:r>
      <w:r w:rsidR="00BD270B" w:rsidRPr="00D869E3">
        <w:rPr>
          <w:rFonts w:ascii="Verdana" w:hAnsi="Verdana"/>
          <w:sz w:val="20"/>
          <w:szCs w:val="20"/>
          <w:lang w:val="en-US"/>
        </w:rPr>
        <w:t xml:space="preserve"> position of any kind during their term of office.</w:t>
      </w:r>
      <w:r w:rsidR="00275EDE" w:rsidRPr="00D869E3">
        <w:rPr>
          <w:rFonts w:ascii="Verdana" w:hAnsi="Verdana"/>
          <w:sz w:val="20"/>
          <w:szCs w:val="20"/>
          <w:vertAlign w:val="superscript"/>
          <w:lang w:val="en-US"/>
        </w:rPr>
        <w:footnoteReference w:id="37"/>
      </w:r>
      <w:r w:rsidR="00275EDE" w:rsidRPr="00D869E3">
        <w:rPr>
          <w:rFonts w:ascii="Verdana" w:hAnsi="Verdana"/>
          <w:sz w:val="20"/>
          <w:szCs w:val="20"/>
          <w:lang w:val="en-US"/>
        </w:rPr>
        <w:t xml:space="preserve"> </w:t>
      </w:r>
    </w:p>
    <w:p w14:paraId="5C2C33C6" w14:textId="77777777" w:rsidR="005D0ACD" w:rsidRPr="00D869E3" w:rsidRDefault="005D0ACD" w:rsidP="005D0ACD">
      <w:pPr>
        <w:pStyle w:val="Prrafodelista"/>
        <w:ind w:left="0"/>
        <w:jc w:val="both"/>
        <w:rPr>
          <w:rFonts w:ascii="Verdana" w:hAnsi="Verdana"/>
          <w:sz w:val="20"/>
          <w:szCs w:val="20"/>
          <w:lang w:val="en-US"/>
        </w:rPr>
      </w:pPr>
    </w:p>
    <w:p w14:paraId="1CF4215F" w14:textId="045B6D23" w:rsidR="00275EDE" w:rsidRPr="00D869E3" w:rsidRDefault="00F43C5F" w:rsidP="00F43C5F">
      <w:pPr>
        <w:pStyle w:val="Prrafodelista"/>
        <w:numPr>
          <w:ilvl w:val="0"/>
          <w:numId w:val="1"/>
        </w:numPr>
        <w:ind w:left="0" w:hanging="11"/>
        <w:jc w:val="both"/>
        <w:rPr>
          <w:rFonts w:ascii="Verdana" w:hAnsi="Verdana"/>
          <w:b/>
          <w:color w:val="000000"/>
          <w:sz w:val="20"/>
          <w:szCs w:val="20"/>
          <w:lang w:val="en-US"/>
        </w:rPr>
      </w:pPr>
      <w:r w:rsidRPr="00D869E3">
        <w:rPr>
          <w:rFonts w:ascii="Verdana" w:hAnsi="Verdana"/>
          <w:color w:val="000000"/>
          <w:sz w:val="20"/>
          <w:szCs w:val="20"/>
          <w:lang w:val="en-US"/>
        </w:rPr>
        <w:lastRenderedPageBreak/>
        <w:t xml:space="preserve">The workers </w:t>
      </w:r>
      <w:r w:rsidR="00275EDE" w:rsidRPr="00D869E3">
        <w:rPr>
          <w:rFonts w:ascii="Verdana" w:hAnsi="Verdana"/>
          <w:color w:val="000000"/>
          <w:sz w:val="20"/>
          <w:szCs w:val="20"/>
          <w:lang w:val="en-US"/>
        </w:rPr>
        <w:t>participa</w:t>
      </w:r>
      <w:r w:rsidRPr="00D869E3">
        <w:rPr>
          <w:rFonts w:ascii="Verdana" w:hAnsi="Verdana"/>
          <w:color w:val="000000"/>
          <w:sz w:val="20"/>
          <w:szCs w:val="20"/>
          <w:lang w:val="en-US"/>
        </w:rPr>
        <w:t>ted in company management by appointing their</w:t>
      </w:r>
      <w:r w:rsidR="001E44D3" w:rsidRPr="00D869E3">
        <w:rPr>
          <w:rFonts w:ascii="Verdana" w:hAnsi="Verdana"/>
          <w:color w:val="000000"/>
          <w:sz w:val="20"/>
          <w:szCs w:val="20"/>
          <w:lang w:val="en-US"/>
        </w:rPr>
        <w:t xml:space="preserve"> representatives</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to the company’s Board</w:t>
      </w:r>
      <w:r w:rsidR="00E37BD1" w:rsidRPr="00D869E3">
        <w:rPr>
          <w:rFonts w:ascii="Verdana" w:hAnsi="Verdana"/>
          <w:color w:val="000000"/>
          <w:sz w:val="20"/>
          <w:szCs w:val="20"/>
          <w:lang w:val="en-US"/>
        </w:rPr>
        <w:t>, which was</w:t>
      </w:r>
      <w:r w:rsidRPr="00D869E3">
        <w:rPr>
          <w:rFonts w:ascii="Verdana" w:hAnsi="Verdana"/>
          <w:color w:val="000000"/>
          <w:sz w:val="20"/>
          <w:szCs w:val="20"/>
          <w:lang w:val="en-US"/>
        </w:rPr>
        <w:t xml:space="preserve"> composed of the latter together with the directors appointed by the company’s shareholders. The directors who represented the workers were elected for one year and could be re-elected for an additional term. The directors who represented the workers had the same responsibilities and the same rights as the other company directors.</w:t>
      </w:r>
      <w:r w:rsidR="00275EDE" w:rsidRPr="00D869E3">
        <w:rPr>
          <w:rFonts w:ascii="Verdana" w:hAnsi="Verdana"/>
          <w:color w:val="000000"/>
          <w:sz w:val="20"/>
          <w:szCs w:val="20"/>
          <w:vertAlign w:val="superscript"/>
          <w:lang w:val="en-US"/>
        </w:rPr>
        <w:footnoteReference w:id="38"/>
      </w:r>
      <w:r w:rsidR="00275EDE" w:rsidRPr="00D869E3">
        <w:rPr>
          <w:rFonts w:ascii="Verdana" w:hAnsi="Verdana"/>
          <w:color w:val="000000"/>
          <w:sz w:val="20"/>
          <w:szCs w:val="20"/>
          <w:lang w:val="en-US"/>
        </w:rPr>
        <w:t xml:space="preserve">  </w:t>
      </w:r>
    </w:p>
    <w:p w14:paraId="5CB0FDEB" w14:textId="77777777" w:rsidR="00275EDE" w:rsidRPr="00D869E3" w:rsidRDefault="00275EDE" w:rsidP="005D0ACD">
      <w:pPr>
        <w:jc w:val="both"/>
        <w:rPr>
          <w:rFonts w:ascii="Verdana" w:hAnsi="Verdana"/>
          <w:sz w:val="20"/>
          <w:szCs w:val="20"/>
          <w:lang w:val="en-US"/>
        </w:rPr>
      </w:pPr>
    </w:p>
    <w:p w14:paraId="0D0A1A5C" w14:textId="0A1E59AE" w:rsidR="00275EDE" w:rsidRPr="00D869E3" w:rsidRDefault="00F43C5F" w:rsidP="00F43C5F">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 xml:space="preserve">According to the Decree-Law, the members </w:t>
      </w:r>
      <w:r w:rsidR="00EA232B" w:rsidRPr="00D869E3">
        <w:rPr>
          <w:rFonts w:ascii="Verdana" w:hAnsi="Verdana"/>
          <w:sz w:val="20"/>
          <w:szCs w:val="20"/>
          <w:lang w:val="en-US"/>
        </w:rPr>
        <w:t>of the Industrial Community</w:t>
      </w:r>
      <w:r w:rsidR="00275EDE" w:rsidRPr="00D869E3">
        <w:rPr>
          <w:rFonts w:ascii="Verdana" w:hAnsi="Verdana"/>
          <w:sz w:val="20"/>
          <w:szCs w:val="20"/>
          <w:lang w:val="en-US"/>
        </w:rPr>
        <w:t xml:space="preserve"> </w:t>
      </w:r>
      <w:r w:rsidRPr="00D869E3">
        <w:rPr>
          <w:rFonts w:ascii="Verdana" w:hAnsi="Verdana"/>
          <w:sz w:val="20"/>
          <w:szCs w:val="20"/>
          <w:lang w:val="en-US"/>
        </w:rPr>
        <w:t xml:space="preserve">had the right to elect the workers’ </w:t>
      </w:r>
      <w:r w:rsidR="00687684" w:rsidRPr="00D869E3">
        <w:rPr>
          <w:rFonts w:ascii="Verdana" w:hAnsi="Verdana"/>
          <w:sz w:val="20"/>
          <w:szCs w:val="20"/>
          <w:lang w:val="en-US"/>
        </w:rPr>
        <w:t>representatives</w:t>
      </w:r>
      <w:r w:rsidR="00275EDE" w:rsidRPr="00D869E3">
        <w:rPr>
          <w:rFonts w:ascii="Verdana" w:hAnsi="Verdana"/>
          <w:sz w:val="20"/>
          <w:szCs w:val="20"/>
          <w:lang w:val="en-US"/>
        </w:rPr>
        <w:t xml:space="preserve"> </w:t>
      </w:r>
      <w:r w:rsidRPr="00D869E3">
        <w:rPr>
          <w:rFonts w:ascii="Verdana" w:hAnsi="Verdana"/>
          <w:sz w:val="20"/>
          <w:szCs w:val="20"/>
          <w:lang w:val="en-US"/>
        </w:rPr>
        <w:t>on the Board,</w:t>
      </w:r>
      <w:r w:rsidR="00275EDE" w:rsidRPr="00D869E3">
        <w:rPr>
          <w:rFonts w:ascii="Verdana" w:hAnsi="Verdana"/>
          <w:sz w:val="20"/>
          <w:szCs w:val="20"/>
          <w:vertAlign w:val="superscript"/>
          <w:lang w:val="en-US"/>
        </w:rPr>
        <w:footnoteReference w:id="39"/>
      </w:r>
      <w:r w:rsidRPr="00D869E3">
        <w:rPr>
          <w:rFonts w:ascii="Verdana" w:hAnsi="Verdana"/>
          <w:sz w:val="20"/>
          <w:szCs w:val="20"/>
          <w:lang w:val="en-US"/>
        </w:rPr>
        <w:t xml:space="preserve"> an also the members of the Community Council.</w:t>
      </w:r>
      <w:r w:rsidR="00275EDE" w:rsidRPr="00D869E3">
        <w:rPr>
          <w:rFonts w:ascii="Verdana" w:hAnsi="Verdana"/>
          <w:sz w:val="20"/>
          <w:szCs w:val="20"/>
          <w:vertAlign w:val="superscript"/>
          <w:lang w:val="en-US"/>
        </w:rPr>
        <w:footnoteReference w:id="40"/>
      </w:r>
      <w:r w:rsidRPr="00D869E3">
        <w:rPr>
          <w:rFonts w:ascii="Verdana" w:hAnsi="Verdana"/>
          <w:sz w:val="20"/>
          <w:szCs w:val="20"/>
          <w:lang w:val="en-US"/>
        </w:rPr>
        <w:t xml:space="preserve"> To this end, every year </w:t>
      </w:r>
      <w:r w:rsidR="00F4667D" w:rsidRPr="00D869E3">
        <w:rPr>
          <w:rFonts w:ascii="Verdana" w:hAnsi="Verdana"/>
          <w:sz w:val="20"/>
          <w:szCs w:val="20"/>
          <w:lang w:val="en-US"/>
        </w:rPr>
        <w:t>the General Assembly</w:t>
      </w:r>
      <w:r w:rsidR="00275EDE" w:rsidRPr="00D869E3">
        <w:rPr>
          <w:rFonts w:ascii="Verdana" w:hAnsi="Verdana"/>
          <w:sz w:val="20"/>
          <w:szCs w:val="20"/>
          <w:lang w:val="en-US"/>
        </w:rPr>
        <w:t xml:space="preserve"> </w:t>
      </w:r>
      <w:r w:rsidRPr="00D869E3">
        <w:rPr>
          <w:rFonts w:ascii="Verdana" w:hAnsi="Verdana"/>
          <w:sz w:val="20"/>
          <w:szCs w:val="20"/>
          <w:lang w:val="en-US"/>
        </w:rPr>
        <w:t>appointed an electoral committee,</w:t>
      </w:r>
      <w:r w:rsidR="00275EDE" w:rsidRPr="00D869E3">
        <w:rPr>
          <w:rFonts w:ascii="Verdana" w:hAnsi="Verdana"/>
          <w:sz w:val="20"/>
          <w:szCs w:val="20"/>
          <w:vertAlign w:val="superscript"/>
          <w:lang w:val="en-US"/>
        </w:rPr>
        <w:footnoteReference w:id="41"/>
      </w:r>
      <w:r w:rsidRPr="00D869E3">
        <w:rPr>
          <w:rFonts w:ascii="Verdana" w:hAnsi="Verdana"/>
          <w:sz w:val="20"/>
          <w:szCs w:val="20"/>
          <w:lang w:val="en-US"/>
        </w:rPr>
        <w:t xml:space="preserve"> which was responsible for holding elections for the members of the Community Council and the representatives on the company’s Board for each term.</w:t>
      </w:r>
      <w:r w:rsidR="00275EDE" w:rsidRPr="00D869E3">
        <w:rPr>
          <w:rFonts w:ascii="Verdana" w:hAnsi="Verdana"/>
          <w:sz w:val="20"/>
          <w:szCs w:val="20"/>
          <w:vertAlign w:val="superscript"/>
          <w:lang w:val="en-US"/>
        </w:rPr>
        <w:footnoteReference w:id="42"/>
      </w:r>
      <w:r w:rsidR="00275EDE" w:rsidRPr="00D869E3">
        <w:rPr>
          <w:rFonts w:ascii="Verdana" w:hAnsi="Verdana" w:cs="Arial"/>
          <w:b/>
          <w:sz w:val="20"/>
          <w:szCs w:val="20"/>
          <w:lang w:val="en-US"/>
        </w:rPr>
        <w:t xml:space="preserve"> </w:t>
      </w:r>
      <w:r w:rsidRPr="00D869E3">
        <w:rPr>
          <w:rFonts w:ascii="Verdana" w:hAnsi="Verdana" w:cs="Arial"/>
          <w:bCs/>
          <w:sz w:val="20"/>
          <w:szCs w:val="20"/>
          <w:lang w:val="en-US"/>
        </w:rPr>
        <w:t xml:space="preserve">The </w:t>
      </w:r>
      <w:r w:rsidR="00E37BD1" w:rsidRPr="00D869E3">
        <w:rPr>
          <w:rFonts w:ascii="Verdana" w:hAnsi="Verdana" w:cs="Arial"/>
          <w:bCs/>
          <w:sz w:val="20"/>
          <w:szCs w:val="20"/>
          <w:lang w:val="en-US"/>
        </w:rPr>
        <w:t xml:space="preserve">Electoral </w:t>
      </w:r>
      <w:r w:rsidRPr="00D869E3">
        <w:rPr>
          <w:rFonts w:ascii="Verdana" w:hAnsi="Verdana" w:cs="Arial"/>
          <w:bCs/>
          <w:sz w:val="20"/>
          <w:szCs w:val="20"/>
          <w:lang w:val="en-US"/>
        </w:rPr>
        <w:t>Committee</w:t>
      </w:r>
      <w:r w:rsidRPr="00D869E3">
        <w:rPr>
          <w:rFonts w:ascii="Verdana" w:hAnsi="Verdana" w:cs="Arial"/>
          <w:sz w:val="20"/>
          <w:szCs w:val="20"/>
          <w:lang w:val="en-US"/>
        </w:rPr>
        <w:t xml:space="preserve"> was also responsible for holding any elections required to elect replacements in cases of resignation, vacancy or removal. The Committee</w:t>
      </w:r>
      <w:r w:rsidR="00275EDE" w:rsidRPr="00D869E3">
        <w:rPr>
          <w:rFonts w:ascii="Verdana" w:hAnsi="Verdana" w:cs="Arial"/>
          <w:sz w:val="20"/>
          <w:szCs w:val="20"/>
          <w:lang w:val="en-US"/>
        </w:rPr>
        <w:t xml:space="preserve"> </w:t>
      </w:r>
      <w:r w:rsidRPr="00D869E3">
        <w:rPr>
          <w:rFonts w:ascii="Verdana" w:hAnsi="Verdana" w:cs="Arial"/>
          <w:sz w:val="20"/>
          <w:szCs w:val="20"/>
          <w:lang w:val="en-US"/>
        </w:rPr>
        <w:t>was composed of employees and manual workers in proportion to their total number in the company.</w:t>
      </w:r>
      <w:r w:rsidR="00275EDE" w:rsidRPr="00D869E3">
        <w:rPr>
          <w:rFonts w:ascii="Verdana" w:hAnsi="Verdana"/>
          <w:sz w:val="20"/>
          <w:szCs w:val="20"/>
          <w:vertAlign w:val="superscript"/>
          <w:lang w:val="en-US"/>
        </w:rPr>
        <w:footnoteReference w:id="43"/>
      </w:r>
    </w:p>
    <w:p w14:paraId="57A1E3CF" w14:textId="77777777" w:rsidR="00275EDE" w:rsidRPr="00D869E3" w:rsidRDefault="00275EDE" w:rsidP="005D0ACD">
      <w:pPr>
        <w:jc w:val="both"/>
        <w:rPr>
          <w:rFonts w:ascii="Verdana" w:hAnsi="Verdana" w:cs="Arial"/>
          <w:sz w:val="20"/>
          <w:szCs w:val="20"/>
          <w:lang w:val="en-US"/>
        </w:rPr>
      </w:pPr>
    </w:p>
    <w:p w14:paraId="78AD525D" w14:textId="6F9141FF" w:rsidR="00275EDE" w:rsidRPr="00D869E3" w:rsidRDefault="00F43C5F" w:rsidP="00E66DD7">
      <w:pPr>
        <w:pStyle w:val="Prrafodelista"/>
        <w:numPr>
          <w:ilvl w:val="0"/>
          <w:numId w:val="1"/>
        </w:numPr>
        <w:ind w:left="0" w:hanging="11"/>
        <w:jc w:val="both"/>
        <w:rPr>
          <w:rFonts w:ascii="Verdana" w:hAnsi="Verdana"/>
          <w:b/>
          <w:sz w:val="20"/>
          <w:szCs w:val="20"/>
          <w:lang w:val="en-US"/>
        </w:rPr>
      </w:pPr>
      <w:r w:rsidRPr="00D869E3">
        <w:rPr>
          <w:rFonts w:ascii="Verdana" w:hAnsi="Verdana" w:cs="Arial"/>
          <w:sz w:val="20"/>
          <w:szCs w:val="20"/>
          <w:lang w:val="en-US"/>
        </w:rPr>
        <w:t xml:space="preserve">In the specific case of </w:t>
      </w:r>
      <w:r w:rsidR="00275EDE" w:rsidRPr="00D869E3">
        <w:rPr>
          <w:rFonts w:ascii="Verdana" w:hAnsi="Verdana" w:cs="Arial"/>
          <w:sz w:val="20"/>
          <w:szCs w:val="20"/>
          <w:lang w:val="en-US"/>
        </w:rPr>
        <w:t xml:space="preserve">Ceper-Pirelli S.A., </w:t>
      </w:r>
      <w:r w:rsidR="00EA232B" w:rsidRPr="00D869E3">
        <w:rPr>
          <w:rFonts w:ascii="Verdana" w:hAnsi="Verdana" w:cs="Arial"/>
          <w:sz w:val="20"/>
          <w:szCs w:val="20"/>
          <w:lang w:val="en-US"/>
        </w:rPr>
        <w:t>the Electoral Committee</w:t>
      </w:r>
      <w:r w:rsidR="00275EDE" w:rsidRPr="00D869E3">
        <w:rPr>
          <w:rFonts w:ascii="Verdana" w:hAnsi="Verdana" w:cs="Arial"/>
          <w:sz w:val="20"/>
          <w:szCs w:val="20"/>
          <w:lang w:val="en-US"/>
        </w:rPr>
        <w:t xml:space="preserve"> </w:t>
      </w:r>
      <w:r w:rsidRPr="00D869E3">
        <w:rPr>
          <w:rFonts w:ascii="Verdana" w:hAnsi="Verdana" w:cs="Arial"/>
          <w:sz w:val="20"/>
          <w:szCs w:val="20"/>
          <w:lang w:val="en-US"/>
        </w:rPr>
        <w:t>for the period</w:t>
      </w:r>
      <w:r w:rsidR="00275EDE" w:rsidRPr="00D869E3">
        <w:rPr>
          <w:rFonts w:ascii="Verdana" w:hAnsi="Verdana" w:cs="Arial"/>
          <w:sz w:val="20"/>
          <w:szCs w:val="20"/>
          <w:lang w:val="en-US"/>
        </w:rPr>
        <w:t xml:space="preserve"> 1988-1989 </w:t>
      </w:r>
      <w:r w:rsidRPr="00D869E3">
        <w:rPr>
          <w:rFonts w:ascii="Verdana" w:hAnsi="Verdana" w:cs="Arial"/>
          <w:sz w:val="20"/>
          <w:szCs w:val="20"/>
          <w:lang w:val="en-US"/>
        </w:rPr>
        <w:t>was composed of five persons, two of them were employees and held the positions of Secretary and First Member of the Committee,</w:t>
      </w:r>
      <w:r w:rsidR="00275EDE" w:rsidRPr="00D869E3">
        <w:rPr>
          <w:rFonts w:ascii="Verdana" w:hAnsi="Verdana"/>
          <w:sz w:val="20"/>
          <w:szCs w:val="20"/>
          <w:vertAlign w:val="superscript"/>
          <w:lang w:val="en-US"/>
        </w:rPr>
        <w:footnoteReference w:id="44"/>
      </w:r>
      <w:r w:rsidR="00687684" w:rsidRPr="00D869E3">
        <w:rPr>
          <w:rFonts w:ascii="Verdana" w:hAnsi="Verdana" w:cs="Arial"/>
          <w:sz w:val="20"/>
          <w:szCs w:val="20"/>
          <w:lang w:val="en-US"/>
        </w:rPr>
        <w:t xml:space="preserve"> and</w:t>
      </w:r>
      <w:r w:rsidRPr="00D869E3">
        <w:rPr>
          <w:rFonts w:ascii="Verdana" w:hAnsi="Verdana" w:cs="Arial"/>
          <w:sz w:val="20"/>
          <w:szCs w:val="20"/>
          <w:lang w:val="en-US"/>
        </w:rPr>
        <w:t xml:space="preserve"> three manual workers.</w:t>
      </w:r>
      <w:r w:rsidR="00275EDE" w:rsidRPr="00D869E3">
        <w:rPr>
          <w:rFonts w:ascii="Verdana" w:hAnsi="Verdana"/>
          <w:sz w:val="20"/>
          <w:szCs w:val="20"/>
          <w:vertAlign w:val="superscript"/>
          <w:lang w:val="en-US"/>
        </w:rPr>
        <w:footnoteReference w:id="45"/>
      </w:r>
      <w:r w:rsidR="002C7E4F" w:rsidRPr="00D869E3">
        <w:rPr>
          <w:rFonts w:ascii="Verdana" w:hAnsi="Verdana" w:cs="Arial"/>
          <w:sz w:val="20"/>
          <w:szCs w:val="20"/>
          <w:lang w:val="en-US"/>
        </w:rPr>
        <w:t xml:space="preserve"> </w:t>
      </w:r>
      <w:r w:rsidR="001E44D3" w:rsidRPr="00D869E3">
        <w:rPr>
          <w:rFonts w:ascii="Verdana" w:hAnsi="Verdana"/>
          <w:sz w:val="20"/>
          <w:lang w:val="en-US"/>
        </w:rPr>
        <w:t>Mr. Lagos del Campo</w:t>
      </w:r>
      <w:r w:rsidRPr="00D869E3">
        <w:rPr>
          <w:rFonts w:ascii="Verdana" w:hAnsi="Verdana"/>
          <w:sz w:val="20"/>
          <w:lang w:val="en-US"/>
        </w:rPr>
        <w:t xml:space="preserve"> was a representative of the manual workers and also held the position of </w:t>
      </w:r>
      <w:r w:rsidR="001B0492" w:rsidRPr="00D869E3">
        <w:rPr>
          <w:rFonts w:ascii="Verdana" w:hAnsi="Verdana"/>
          <w:sz w:val="20"/>
          <w:lang w:val="en-US"/>
        </w:rPr>
        <w:t>president of the Electoral</w:t>
      </w:r>
      <w:r w:rsidR="00EA232B" w:rsidRPr="00D869E3">
        <w:rPr>
          <w:rFonts w:ascii="Verdana" w:hAnsi="Verdana"/>
          <w:sz w:val="20"/>
          <w:lang w:val="en-US"/>
        </w:rPr>
        <w:t xml:space="preserve"> Committee</w:t>
      </w:r>
      <w:r w:rsidR="00275EDE" w:rsidRPr="00D869E3">
        <w:rPr>
          <w:rFonts w:ascii="Verdana" w:hAnsi="Verdana"/>
          <w:sz w:val="20"/>
          <w:lang w:val="en-US"/>
        </w:rPr>
        <w:t>.</w:t>
      </w:r>
      <w:r w:rsidR="00275EDE" w:rsidRPr="00D869E3">
        <w:rPr>
          <w:rFonts w:ascii="Verdana" w:hAnsi="Verdana"/>
          <w:sz w:val="20"/>
          <w:szCs w:val="20"/>
          <w:lang w:val="en-US"/>
        </w:rPr>
        <w:t xml:space="preserve"> </w:t>
      </w:r>
      <w:r w:rsidRPr="00D869E3">
        <w:rPr>
          <w:rFonts w:ascii="Verdana" w:hAnsi="Verdana"/>
          <w:sz w:val="20"/>
          <w:szCs w:val="20"/>
          <w:lang w:val="en-US"/>
        </w:rPr>
        <w:t xml:space="preserve">The elections to appoint the members </w:t>
      </w:r>
      <w:r w:rsidR="00EA232B" w:rsidRPr="00D869E3">
        <w:rPr>
          <w:rFonts w:ascii="Verdana" w:hAnsi="Verdana"/>
          <w:sz w:val="20"/>
          <w:szCs w:val="20"/>
          <w:lang w:val="en-US"/>
        </w:rPr>
        <w:t>of the Electoral Committee</w:t>
      </w:r>
      <w:r w:rsidR="00275EDE" w:rsidRPr="00D869E3">
        <w:rPr>
          <w:rFonts w:ascii="Verdana" w:hAnsi="Verdana"/>
          <w:sz w:val="20"/>
          <w:szCs w:val="20"/>
          <w:lang w:val="en-US"/>
        </w:rPr>
        <w:t xml:space="preserve"> </w:t>
      </w:r>
      <w:r w:rsidRPr="00D869E3">
        <w:rPr>
          <w:rFonts w:ascii="Verdana" w:hAnsi="Verdana"/>
          <w:sz w:val="20"/>
          <w:szCs w:val="20"/>
          <w:lang w:val="en-US"/>
        </w:rPr>
        <w:t xml:space="preserve">were held on just one day, without affecting working hours, following a procedure established in </w:t>
      </w:r>
      <w:r w:rsidR="00447C65" w:rsidRPr="00D869E3">
        <w:rPr>
          <w:rFonts w:ascii="Verdana" w:hAnsi="Verdana"/>
          <w:sz w:val="20"/>
          <w:szCs w:val="20"/>
          <w:lang w:val="en-US"/>
        </w:rPr>
        <w:t>the Rules of Procedure</w:t>
      </w:r>
      <w:r w:rsidRPr="00D869E3">
        <w:rPr>
          <w:rFonts w:ascii="Verdana" w:hAnsi="Verdana"/>
          <w:sz w:val="20"/>
          <w:szCs w:val="20"/>
          <w:lang w:val="en-US"/>
        </w:rPr>
        <w:t xml:space="preserve">; that is, by </w:t>
      </w:r>
      <w:r w:rsidR="00E37BD1" w:rsidRPr="00D869E3">
        <w:rPr>
          <w:rFonts w:ascii="Verdana" w:hAnsi="Verdana"/>
          <w:sz w:val="20"/>
          <w:szCs w:val="20"/>
          <w:lang w:val="en-US"/>
        </w:rPr>
        <w:t>individual</w:t>
      </w:r>
      <w:r w:rsidRPr="00D869E3">
        <w:rPr>
          <w:rFonts w:ascii="Verdana" w:hAnsi="Verdana"/>
          <w:sz w:val="20"/>
          <w:szCs w:val="20"/>
          <w:lang w:val="en-US"/>
        </w:rPr>
        <w:t>, secret, universal and compulsory vote.</w:t>
      </w:r>
      <w:r w:rsidR="00275EDE" w:rsidRPr="00D869E3">
        <w:rPr>
          <w:rFonts w:ascii="Verdana" w:hAnsi="Verdana"/>
          <w:sz w:val="20"/>
          <w:szCs w:val="20"/>
          <w:vertAlign w:val="superscript"/>
          <w:lang w:val="en-US"/>
        </w:rPr>
        <w:footnoteReference w:id="46"/>
      </w:r>
      <w:r w:rsidR="00275EDE" w:rsidRPr="00D869E3">
        <w:rPr>
          <w:rFonts w:ascii="Verdana" w:hAnsi="Verdana"/>
          <w:sz w:val="20"/>
          <w:szCs w:val="20"/>
          <w:lang w:val="en-US"/>
        </w:rPr>
        <w:t xml:space="preserve"> </w:t>
      </w:r>
    </w:p>
    <w:p w14:paraId="2C3DB5A5" w14:textId="77777777" w:rsidR="00275EDE" w:rsidRPr="00D869E3" w:rsidRDefault="00275EDE" w:rsidP="005D0ACD">
      <w:pPr>
        <w:jc w:val="both"/>
        <w:rPr>
          <w:rFonts w:ascii="Verdana" w:hAnsi="Verdana"/>
          <w:b/>
          <w:sz w:val="20"/>
          <w:szCs w:val="20"/>
          <w:lang w:val="en-US"/>
        </w:rPr>
      </w:pPr>
    </w:p>
    <w:p w14:paraId="7FFBA36B" w14:textId="2C96FF4C" w:rsidR="0073406A" w:rsidRPr="00D869E3" w:rsidRDefault="00906BFC" w:rsidP="00C66688">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 xml:space="preserve">At the time of the facts, Industrial Communities and </w:t>
      </w:r>
      <w:r w:rsidR="00E85F6A" w:rsidRPr="00D869E3">
        <w:rPr>
          <w:rFonts w:ascii="Verdana" w:hAnsi="Verdana"/>
          <w:sz w:val="20"/>
          <w:szCs w:val="20"/>
          <w:lang w:val="en-US"/>
        </w:rPr>
        <w:t>labor union</w:t>
      </w:r>
      <w:r w:rsidRPr="00D869E3">
        <w:rPr>
          <w:rFonts w:ascii="Verdana" w:hAnsi="Verdana"/>
          <w:sz w:val="20"/>
          <w:szCs w:val="20"/>
          <w:lang w:val="en-US"/>
        </w:rPr>
        <w:t xml:space="preserve">s were governed by different regimes. In particular, it was expressly established by law that, under the Industrial </w:t>
      </w:r>
      <w:r w:rsidRPr="00D869E3">
        <w:rPr>
          <w:rFonts w:ascii="Verdana" w:hAnsi="Verdana"/>
          <w:sz w:val="20"/>
          <w:szCs w:val="20"/>
          <w:lang w:val="en-US"/>
        </w:rPr>
        <w:lastRenderedPageBreak/>
        <w:t xml:space="preserve">Community, the worker’s tenure depended on the existence of the industrial company and </w:t>
      </w:r>
      <w:r w:rsidR="00785445" w:rsidRPr="00D869E3">
        <w:rPr>
          <w:rFonts w:ascii="Verdana" w:hAnsi="Verdana"/>
          <w:sz w:val="20"/>
          <w:szCs w:val="20"/>
          <w:lang w:val="en-US"/>
        </w:rPr>
        <w:t xml:space="preserve">his status as a permanent employee </w:t>
      </w:r>
      <w:r w:rsidRPr="00D869E3">
        <w:rPr>
          <w:rFonts w:ascii="Verdana" w:hAnsi="Verdana"/>
          <w:sz w:val="20"/>
          <w:szCs w:val="20"/>
          <w:lang w:val="en-US"/>
        </w:rPr>
        <w:t xml:space="preserve">while, in the case of the </w:t>
      </w:r>
      <w:r w:rsidR="00E85F6A" w:rsidRPr="00D869E3">
        <w:rPr>
          <w:rFonts w:ascii="Verdana" w:hAnsi="Verdana"/>
          <w:sz w:val="20"/>
          <w:szCs w:val="20"/>
          <w:lang w:val="en-US"/>
        </w:rPr>
        <w:t>labor union</w:t>
      </w:r>
      <w:r w:rsidRPr="00D869E3">
        <w:rPr>
          <w:rFonts w:ascii="Verdana" w:hAnsi="Verdana"/>
          <w:sz w:val="20"/>
          <w:szCs w:val="20"/>
          <w:lang w:val="en-US"/>
        </w:rPr>
        <w:t xml:space="preserve">s, their constitution was voluntary and subject to the decision of workers who wished to defend their interests before their employer. In addition, the </w:t>
      </w:r>
      <w:r w:rsidR="00785445" w:rsidRPr="00D869E3">
        <w:rPr>
          <w:rFonts w:ascii="Verdana" w:hAnsi="Verdana"/>
          <w:sz w:val="20"/>
          <w:szCs w:val="20"/>
          <w:lang w:val="en-US"/>
        </w:rPr>
        <w:t xml:space="preserve">creation, </w:t>
      </w:r>
      <w:r w:rsidRPr="00D869E3">
        <w:rPr>
          <w:rFonts w:ascii="Verdana" w:hAnsi="Verdana"/>
          <w:sz w:val="20"/>
          <w:szCs w:val="20"/>
          <w:lang w:val="en-US"/>
        </w:rPr>
        <w:t>composition</w:t>
      </w:r>
      <w:r w:rsidR="00785445" w:rsidRPr="00D869E3">
        <w:rPr>
          <w:rFonts w:ascii="Verdana" w:hAnsi="Verdana"/>
          <w:sz w:val="20"/>
          <w:szCs w:val="20"/>
          <w:lang w:val="en-US"/>
        </w:rPr>
        <w:t xml:space="preserve"> and</w:t>
      </w:r>
      <w:r w:rsidRPr="00D869E3">
        <w:rPr>
          <w:rFonts w:ascii="Verdana" w:hAnsi="Verdana"/>
          <w:sz w:val="20"/>
          <w:szCs w:val="20"/>
          <w:lang w:val="en-US"/>
        </w:rPr>
        <w:t xml:space="preserve"> funding formalities of these two regimes were different. In particular, they had different objectives. The purpose of the Industrial Community was to allow the workers to </w:t>
      </w:r>
      <w:r w:rsidR="00785445" w:rsidRPr="00D869E3">
        <w:rPr>
          <w:rFonts w:ascii="Verdana" w:hAnsi="Verdana"/>
          <w:sz w:val="20"/>
          <w:szCs w:val="20"/>
          <w:lang w:val="en-US"/>
        </w:rPr>
        <w:t>participate</w:t>
      </w:r>
      <w:r w:rsidRPr="00D869E3">
        <w:rPr>
          <w:rFonts w:ascii="Verdana" w:hAnsi="Verdana"/>
          <w:sz w:val="20"/>
          <w:szCs w:val="20"/>
          <w:lang w:val="en-US"/>
        </w:rPr>
        <w:t xml:space="preserve"> in the ownership, management and profits of the</w:t>
      </w:r>
      <w:r w:rsidRPr="00D869E3">
        <w:rPr>
          <w:rFonts w:ascii="Verdana" w:hAnsi="Verdana"/>
          <w:b/>
          <w:sz w:val="20"/>
          <w:szCs w:val="20"/>
          <w:lang w:val="en-US"/>
        </w:rPr>
        <w:t xml:space="preserve"> </w:t>
      </w:r>
      <w:r w:rsidR="00F4667D" w:rsidRPr="00D869E3">
        <w:rPr>
          <w:rFonts w:ascii="Verdana" w:hAnsi="Verdana"/>
          <w:sz w:val="20"/>
          <w:szCs w:val="20"/>
          <w:lang w:val="en-US"/>
        </w:rPr>
        <w:t>industrial company</w:t>
      </w:r>
      <w:r w:rsidR="00785445" w:rsidRPr="00D869E3">
        <w:rPr>
          <w:rFonts w:ascii="Verdana" w:hAnsi="Verdana"/>
          <w:sz w:val="20"/>
          <w:szCs w:val="20"/>
          <w:lang w:val="en-US"/>
        </w:rPr>
        <w:t>;</w:t>
      </w:r>
      <w:r w:rsidR="0073406A" w:rsidRPr="00D869E3">
        <w:rPr>
          <w:rFonts w:ascii="Verdana" w:hAnsi="Verdana"/>
          <w:sz w:val="20"/>
          <w:szCs w:val="20"/>
          <w:vertAlign w:val="superscript"/>
          <w:lang w:val="en-US"/>
        </w:rPr>
        <w:footnoteReference w:id="47"/>
      </w:r>
      <w:r w:rsidRPr="00D869E3">
        <w:rPr>
          <w:rFonts w:ascii="Verdana" w:hAnsi="Verdana"/>
          <w:sz w:val="20"/>
          <w:szCs w:val="20"/>
          <w:lang w:val="en-US"/>
        </w:rPr>
        <w:t xml:space="preserve"> </w:t>
      </w:r>
      <w:r w:rsidR="00785445" w:rsidRPr="00D869E3">
        <w:rPr>
          <w:rFonts w:ascii="Verdana" w:hAnsi="Verdana"/>
          <w:sz w:val="20"/>
          <w:szCs w:val="20"/>
          <w:lang w:val="en-US"/>
        </w:rPr>
        <w:t>w</w:t>
      </w:r>
      <w:r w:rsidRPr="00D869E3">
        <w:rPr>
          <w:rFonts w:ascii="Verdana" w:hAnsi="Verdana"/>
          <w:sz w:val="20"/>
          <w:szCs w:val="20"/>
          <w:lang w:val="en-US"/>
        </w:rPr>
        <w:t xml:space="preserve">hile, the purpose of the </w:t>
      </w:r>
      <w:r w:rsidR="00E85F6A" w:rsidRPr="00D869E3">
        <w:rPr>
          <w:rFonts w:ascii="Verdana" w:hAnsi="Verdana"/>
          <w:sz w:val="20"/>
          <w:szCs w:val="20"/>
          <w:lang w:val="en-US"/>
        </w:rPr>
        <w:t>labor union</w:t>
      </w:r>
      <w:r w:rsidRPr="00D869E3">
        <w:rPr>
          <w:rFonts w:ascii="Verdana" w:hAnsi="Verdana"/>
          <w:sz w:val="20"/>
          <w:szCs w:val="20"/>
          <w:lang w:val="en-US"/>
        </w:rPr>
        <w:t xml:space="preserve"> was to defend the rights and socio-economic and professional interests of the workers.</w:t>
      </w:r>
      <w:r w:rsidR="0073406A" w:rsidRPr="00D869E3">
        <w:rPr>
          <w:rFonts w:ascii="Verdana" w:hAnsi="Verdana"/>
          <w:sz w:val="20"/>
          <w:szCs w:val="20"/>
          <w:vertAlign w:val="superscript"/>
          <w:lang w:val="en-US"/>
        </w:rPr>
        <w:footnoteReference w:id="48"/>
      </w:r>
      <w:r w:rsidRPr="00D869E3">
        <w:rPr>
          <w:rFonts w:ascii="Verdana" w:hAnsi="Verdana"/>
          <w:sz w:val="20"/>
          <w:szCs w:val="20"/>
          <w:lang w:val="en-US"/>
        </w:rPr>
        <w:t xml:space="preserve"> </w:t>
      </w:r>
      <w:r w:rsidR="00C66688" w:rsidRPr="00D869E3">
        <w:rPr>
          <w:rFonts w:ascii="Verdana" w:hAnsi="Verdana"/>
          <w:sz w:val="20"/>
          <w:szCs w:val="20"/>
          <w:lang w:val="en-US"/>
        </w:rPr>
        <w:t xml:space="preserve">Nevertheless, according to the expert opinions provided in this case, under both regimes, </w:t>
      </w:r>
      <w:r w:rsidR="00687684" w:rsidRPr="00D869E3">
        <w:rPr>
          <w:rFonts w:ascii="Verdana" w:hAnsi="Verdana"/>
          <w:sz w:val="20"/>
          <w:szCs w:val="20"/>
          <w:lang w:val="en-US"/>
        </w:rPr>
        <w:t>the</w:t>
      </w:r>
      <w:r w:rsidR="00C66688" w:rsidRPr="00D869E3">
        <w:rPr>
          <w:rFonts w:ascii="Verdana" w:hAnsi="Verdana"/>
          <w:sz w:val="20"/>
          <w:szCs w:val="20"/>
          <w:lang w:val="en-US"/>
        </w:rPr>
        <w:t xml:space="preserve"> workers’</w:t>
      </w:r>
      <w:r w:rsidR="00687684" w:rsidRPr="00D869E3">
        <w:rPr>
          <w:rFonts w:ascii="Verdana" w:hAnsi="Verdana"/>
          <w:sz w:val="20"/>
          <w:szCs w:val="20"/>
          <w:lang w:val="en-US"/>
        </w:rPr>
        <w:t xml:space="preserve"> representatives</w:t>
      </w:r>
      <w:r w:rsidR="0073406A" w:rsidRPr="00D869E3">
        <w:rPr>
          <w:rFonts w:ascii="Verdana" w:hAnsi="Verdana"/>
          <w:sz w:val="20"/>
          <w:szCs w:val="20"/>
          <w:lang w:val="en-US"/>
        </w:rPr>
        <w:t xml:space="preserve"> </w:t>
      </w:r>
      <w:r w:rsidR="00C66688" w:rsidRPr="00D869E3">
        <w:rPr>
          <w:rFonts w:ascii="Verdana" w:hAnsi="Verdana"/>
          <w:sz w:val="20"/>
          <w:szCs w:val="20"/>
          <w:lang w:val="en-US"/>
        </w:rPr>
        <w:t>stood for the sectoral interests of this group</w:t>
      </w:r>
      <w:r w:rsidR="00785445" w:rsidRPr="00D869E3">
        <w:rPr>
          <w:rFonts w:ascii="Verdana" w:hAnsi="Verdana"/>
          <w:b/>
          <w:bCs/>
          <w:sz w:val="20"/>
          <w:szCs w:val="20"/>
          <w:lang w:val="en-US"/>
        </w:rPr>
        <w:t xml:space="preserve"> </w:t>
      </w:r>
      <w:r w:rsidR="00785445" w:rsidRPr="00D869E3">
        <w:rPr>
          <w:rFonts w:ascii="Verdana" w:hAnsi="Verdana"/>
          <w:sz w:val="20"/>
          <w:szCs w:val="20"/>
          <w:lang w:val="en-US"/>
        </w:rPr>
        <w:t xml:space="preserve">vis-à-vis </w:t>
      </w:r>
      <w:r w:rsidR="00C66688" w:rsidRPr="00D869E3">
        <w:rPr>
          <w:rFonts w:ascii="Verdana" w:hAnsi="Verdana"/>
          <w:sz w:val="20"/>
          <w:szCs w:val="20"/>
          <w:lang w:val="en-US"/>
        </w:rPr>
        <w:t>the employer.</w:t>
      </w:r>
      <w:r w:rsidR="0073406A" w:rsidRPr="00D869E3">
        <w:rPr>
          <w:rFonts w:ascii="Verdana" w:hAnsi="Verdana"/>
          <w:sz w:val="20"/>
          <w:szCs w:val="20"/>
          <w:vertAlign w:val="superscript"/>
          <w:lang w:val="en-US"/>
        </w:rPr>
        <w:footnoteReference w:id="49"/>
      </w:r>
      <w:r w:rsidR="0073406A" w:rsidRPr="00D869E3">
        <w:rPr>
          <w:rFonts w:ascii="Verdana" w:hAnsi="Verdana"/>
          <w:sz w:val="20"/>
          <w:szCs w:val="20"/>
          <w:lang w:val="en-US"/>
        </w:rPr>
        <w:t xml:space="preserve"> </w:t>
      </w:r>
    </w:p>
    <w:p w14:paraId="0D89760E" w14:textId="31D24687" w:rsidR="00275EDE" w:rsidRPr="00D869E3" w:rsidRDefault="00275EDE">
      <w:pPr>
        <w:jc w:val="both"/>
        <w:rPr>
          <w:rFonts w:ascii="Verdana" w:hAnsi="Verdana"/>
          <w:b/>
          <w:sz w:val="20"/>
          <w:szCs w:val="20"/>
          <w:lang w:val="en-US"/>
        </w:rPr>
      </w:pPr>
    </w:p>
    <w:p w14:paraId="6D829F05" w14:textId="6C9DE7CC" w:rsidR="00275EDE" w:rsidRPr="00D869E3" w:rsidRDefault="00C66688" w:rsidP="00E66DD7">
      <w:pPr>
        <w:pStyle w:val="Ttulo2"/>
        <w:numPr>
          <w:ilvl w:val="0"/>
          <w:numId w:val="12"/>
        </w:numPr>
        <w:jc w:val="both"/>
        <w:rPr>
          <w:rFonts w:eastAsia="MS Gothic"/>
          <w:i/>
          <w:iCs/>
          <w:szCs w:val="20"/>
          <w:lang w:val="en-US"/>
        </w:rPr>
      </w:pPr>
      <w:bookmarkStart w:id="21" w:name="_Toc29114115"/>
      <w:r w:rsidRPr="00D869E3">
        <w:rPr>
          <w:rFonts w:eastAsia="MS Gothic"/>
          <w:i/>
          <w:iCs/>
          <w:szCs w:val="20"/>
          <w:lang w:val="en-US"/>
        </w:rPr>
        <w:t>Background, functions and responsibilities of</w:t>
      </w:r>
      <w:r w:rsidR="00E6309B" w:rsidRPr="00D869E3">
        <w:rPr>
          <w:rFonts w:eastAsia="MS Gothic"/>
          <w:i/>
          <w:iCs/>
          <w:szCs w:val="20"/>
          <w:lang w:val="en-US"/>
        </w:rPr>
        <w:t xml:space="preserve"> Mr.</w:t>
      </w:r>
      <w:r w:rsidR="001E44D3" w:rsidRPr="00D869E3">
        <w:rPr>
          <w:rFonts w:eastAsia="MS Gothic"/>
          <w:i/>
          <w:iCs/>
          <w:szCs w:val="20"/>
          <w:lang w:val="en-US"/>
        </w:rPr>
        <w:t xml:space="preserve"> Lagos del Campo</w:t>
      </w:r>
      <w:r w:rsidR="00275EDE" w:rsidRPr="00D869E3">
        <w:rPr>
          <w:rFonts w:eastAsia="MS Gothic"/>
          <w:i/>
          <w:iCs/>
          <w:szCs w:val="20"/>
          <w:lang w:val="en-US"/>
        </w:rPr>
        <w:t xml:space="preserve"> </w:t>
      </w:r>
      <w:r w:rsidRPr="00D869E3">
        <w:rPr>
          <w:rFonts w:eastAsia="MS Gothic"/>
          <w:i/>
          <w:iCs/>
          <w:szCs w:val="20"/>
          <w:lang w:val="en-US"/>
        </w:rPr>
        <w:t xml:space="preserve">as </w:t>
      </w:r>
      <w:r w:rsidR="001B0492" w:rsidRPr="00D869E3">
        <w:rPr>
          <w:rFonts w:eastAsia="MS Gothic"/>
          <w:i/>
          <w:iCs/>
          <w:szCs w:val="20"/>
          <w:lang w:val="en-US"/>
        </w:rPr>
        <w:t>president of the Electoral</w:t>
      </w:r>
      <w:r w:rsidR="00EA232B" w:rsidRPr="00D869E3">
        <w:rPr>
          <w:rFonts w:eastAsia="MS Gothic"/>
          <w:i/>
          <w:iCs/>
          <w:szCs w:val="20"/>
          <w:lang w:val="en-US"/>
        </w:rPr>
        <w:t xml:space="preserve"> Committee of the Industrial Community</w:t>
      </w:r>
      <w:bookmarkEnd w:id="21"/>
      <w:r w:rsidR="00D9489E" w:rsidRPr="00D869E3">
        <w:rPr>
          <w:rFonts w:eastAsia="MS Gothic"/>
          <w:i/>
          <w:iCs/>
          <w:szCs w:val="20"/>
          <w:lang w:val="en-US"/>
        </w:rPr>
        <w:t xml:space="preserve"> </w:t>
      </w:r>
    </w:p>
    <w:p w14:paraId="471B7BE7" w14:textId="77777777" w:rsidR="00275EDE" w:rsidRPr="00D869E3" w:rsidRDefault="00275EDE" w:rsidP="00275EDE">
      <w:pPr>
        <w:jc w:val="both"/>
        <w:rPr>
          <w:rFonts w:ascii="Verdana" w:hAnsi="Verdana"/>
          <w:b/>
          <w:sz w:val="20"/>
          <w:szCs w:val="20"/>
          <w:lang w:val="en-US"/>
        </w:rPr>
      </w:pPr>
    </w:p>
    <w:p w14:paraId="3D870195" w14:textId="1FD14DD7" w:rsidR="005D0F69" w:rsidRPr="00D869E3" w:rsidRDefault="001E44D3"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Mr. Lagos del Campo</w:t>
      </w:r>
      <w:r w:rsidR="005D0F69" w:rsidRPr="00D869E3">
        <w:rPr>
          <w:rFonts w:ascii="Verdana" w:hAnsi="Verdana"/>
          <w:sz w:val="20"/>
          <w:szCs w:val="20"/>
          <w:lang w:val="en-US"/>
        </w:rPr>
        <w:t xml:space="preserve"> </w:t>
      </w:r>
      <w:r w:rsidR="00C66688" w:rsidRPr="00D869E3">
        <w:rPr>
          <w:rFonts w:ascii="Verdana" w:hAnsi="Verdana"/>
          <w:sz w:val="20"/>
          <w:szCs w:val="20"/>
          <w:lang w:val="en-US"/>
        </w:rPr>
        <w:t>was born on February 21,</w:t>
      </w:r>
      <w:r w:rsidR="005D0F69" w:rsidRPr="00D869E3">
        <w:rPr>
          <w:rFonts w:ascii="Verdana" w:hAnsi="Verdana"/>
          <w:sz w:val="20"/>
          <w:szCs w:val="20"/>
          <w:lang w:val="en-US"/>
        </w:rPr>
        <w:t xml:space="preserve"> 1939. </w:t>
      </w:r>
      <w:r w:rsidR="00C66688" w:rsidRPr="00D869E3">
        <w:rPr>
          <w:rFonts w:ascii="Verdana" w:hAnsi="Verdana"/>
          <w:sz w:val="20"/>
          <w:szCs w:val="20"/>
          <w:lang w:val="en-US"/>
        </w:rPr>
        <w:t xml:space="preserve">He </w:t>
      </w:r>
      <w:r w:rsidR="00785445" w:rsidRPr="00D869E3">
        <w:rPr>
          <w:rFonts w:ascii="Verdana" w:hAnsi="Verdana"/>
          <w:sz w:val="20"/>
          <w:szCs w:val="20"/>
          <w:lang w:val="en-US"/>
        </w:rPr>
        <w:t>and</w:t>
      </w:r>
      <w:r w:rsidR="00C66688" w:rsidRPr="00D869E3">
        <w:rPr>
          <w:rFonts w:ascii="Verdana" w:hAnsi="Verdana"/>
          <w:sz w:val="20"/>
          <w:szCs w:val="20"/>
          <w:lang w:val="en-US"/>
        </w:rPr>
        <w:t xml:space="preserve"> his wife</w:t>
      </w:r>
      <w:r w:rsidR="00785445" w:rsidRPr="00D869E3">
        <w:rPr>
          <w:rFonts w:ascii="Verdana" w:hAnsi="Verdana"/>
          <w:sz w:val="20"/>
          <w:szCs w:val="20"/>
          <w:lang w:val="en-US"/>
        </w:rPr>
        <w:t>,</w:t>
      </w:r>
      <w:r w:rsidR="005D0F69" w:rsidRPr="00D869E3">
        <w:rPr>
          <w:rFonts w:ascii="Verdana" w:hAnsi="Verdana"/>
          <w:sz w:val="20"/>
          <w:szCs w:val="20"/>
          <w:lang w:val="en-US"/>
        </w:rPr>
        <w:t xml:space="preserve"> Teresa Gonzáles Cornejo</w:t>
      </w:r>
      <w:r w:rsidR="00785445" w:rsidRPr="00D869E3">
        <w:rPr>
          <w:rFonts w:ascii="Verdana" w:hAnsi="Verdana"/>
          <w:sz w:val="20"/>
          <w:szCs w:val="20"/>
          <w:lang w:val="en-US"/>
        </w:rPr>
        <w:t>, have 14 children</w:t>
      </w:r>
      <w:r w:rsidR="00C66688" w:rsidRPr="00D869E3">
        <w:rPr>
          <w:rFonts w:ascii="Verdana" w:hAnsi="Verdana"/>
          <w:sz w:val="20"/>
          <w:szCs w:val="20"/>
          <w:lang w:val="en-US"/>
        </w:rPr>
        <w:t>.</w:t>
      </w:r>
      <w:r w:rsidR="005D0F69" w:rsidRPr="00D869E3">
        <w:rPr>
          <w:rStyle w:val="Refdenotaalpie"/>
          <w:szCs w:val="20"/>
          <w:lang w:val="en-US"/>
        </w:rPr>
        <w:footnoteReference w:id="50"/>
      </w:r>
      <w:r w:rsidR="005D0F69" w:rsidRPr="00D869E3">
        <w:rPr>
          <w:rFonts w:ascii="Verdana" w:hAnsi="Verdana"/>
          <w:sz w:val="20"/>
          <w:szCs w:val="20"/>
          <w:lang w:val="en-US"/>
        </w:rPr>
        <w:t xml:space="preserve"> </w:t>
      </w:r>
      <w:r w:rsidR="00C66688" w:rsidRPr="00D869E3">
        <w:rPr>
          <w:rFonts w:ascii="Verdana" w:hAnsi="Verdana"/>
          <w:sz w:val="20"/>
          <w:szCs w:val="20"/>
          <w:lang w:val="en-US"/>
        </w:rPr>
        <w:t>On July 12,</w:t>
      </w:r>
      <w:r w:rsidR="005D0F69" w:rsidRPr="00D869E3">
        <w:rPr>
          <w:rFonts w:ascii="Verdana" w:hAnsi="Verdana"/>
          <w:sz w:val="20"/>
          <w:szCs w:val="20"/>
          <w:lang w:val="en-US"/>
        </w:rPr>
        <w:t xml:space="preserve"> 1976</w:t>
      </w:r>
      <w:r w:rsidR="00C66688" w:rsidRPr="00D869E3">
        <w:rPr>
          <w:rFonts w:ascii="Verdana" w:hAnsi="Verdana"/>
          <w:sz w:val="20"/>
          <w:szCs w:val="20"/>
          <w:lang w:val="en-US"/>
        </w:rPr>
        <w:t>,</w:t>
      </w:r>
      <w:r w:rsidR="005D0F69" w:rsidRPr="00D869E3">
        <w:rPr>
          <w:rFonts w:ascii="Verdana" w:hAnsi="Verdana"/>
          <w:sz w:val="20"/>
          <w:szCs w:val="20"/>
          <w:lang w:val="en-US"/>
        </w:rPr>
        <w:t xml:space="preserve"> </w:t>
      </w:r>
      <w:r w:rsidRPr="00D869E3">
        <w:rPr>
          <w:rFonts w:ascii="Verdana" w:hAnsi="Verdana"/>
          <w:sz w:val="20"/>
          <w:szCs w:val="20"/>
          <w:lang w:val="en-US"/>
        </w:rPr>
        <w:t>Mr. Lagos del Campo</w:t>
      </w:r>
      <w:r w:rsidR="005D0F69" w:rsidRPr="00D869E3">
        <w:rPr>
          <w:rFonts w:ascii="Verdana" w:hAnsi="Verdana"/>
          <w:sz w:val="20"/>
          <w:szCs w:val="20"/>
          <w:lang w:val="en-US"/>
        </w:rPr>
        <w:t xml:space="preserve"> </w:t>
      </w:r>
      <w:r w:rsidR="00C66688" w:rsidRPr="00D869E3">
        <w:rPr>
          <w:rFonts w:ascii="Verdana" w:hAnsi="Verdana"/>
          <w:sz w:val="20"/>
          <w:szCs w:val="20"/>
          <w:lang w:val="en-US"/>
        </w:rPr>
        <w:t>began to work a</w:t>
      </w:r>
      <w:r w:rsidR="00D76516" w:rsidRPr="00D869E3">
        <w:rPr>
          <w:rFonts w:ascii="Verdana" w:hAnsi="Verdana"/>
          <w:sz w:val="20"/>
          <w:szCs w:val="20"/>
          <w:lang w:val="en-US"/>
        </w:rPr>
        <w:t xml:space="preserve">s </w:t>
      </w:r>
      <w:r w:rsidR="00C66688" w:rsidRPr="00D869E3">
        <w:rPr>
          <w:rFonts w:ascii="Verdana" w:hAnsi="Verdana"/>
          <w:sz w:val="20"/>
          <w:szCs w:val="20"/>
          <w:lang w:val="en-US"/>
        </w:rPr>
        <w:t>an electrician,</w:t>
      </w:r>
      <w:r w:rsidR="00D76516" w:rsidRPr="00D869E3">
        <w:rPr>
          <w:rFonts w:ascii="Verdana" w:hAnsi="Verdana"/>
          <w:sz w:val="20"/>
          <w:szCs w:val="20"/>
          <w:lang w:val="en-US"/>
        </w:rPr>
        <w:t xml:space="preserve"> a manual worker,</w:t>
      </w:r>
      <w:r w:rsidR="00C66688" w:rsidRPr="00D869E3">
        <w:rPr>
          <w:rFonts w:ascii="Verdana" w:hAnsi="Verdana"/>
          <w:sz w:val="20"/>
          <w:szCs w:val="20"/>
          <w:lang w:val="en-US"/>
        </w:rPr>
        <w:t xml:space="preserve"> in the maintenance department of the company, </w:t>
      </w:r>
      <w:r w:rsidR="005D0F69" w:rsidRPr="00D869E3">
        <w:rPr>
          <w:rFonts w:ascii="Verdana" w:hAnsi="Verdana"/>
          <w:sz w:val="20"/>
          <w:szCs w:val="20"/>
          <w:lang w:val="en-US"/>
        </w:rPr>
        <w:t>Conductores Eléctricos Peruanos Ceper-Pirelli S.A.</w:t>
      </w:r>
      <w:r w:rsidR="005D0F69" w:rsidRPr="00D869E3">
        <w:rPr>
          <w:rFonts w:ascii="Verdana" w:hAnsi="Verdana"/>
          <w:sz w:val="20"/>
          <w:szCs w:val="20"/>
          <w:vertAlign w:val="superscript"/>
          <w:lang w:val="en-US"/>
        </w:rPr>
        <w:footnoteReference w:id="51"/>
      </w:r>
      <w:r w:rsidR="005D0F69" w:rsidRPr="00D869E3">
        <w:rPr>
          <w:rFonts w:ascii="Verdana" w:hAnsi="Verdana"/>
          <w:sz w:val="20"/>
          <w:szCs w:val="20"/>
          <w:lang w:val="en-US"/>
        </w:rPr>
        <w:t xml:space="preserve"> </w:t>
      </w:r>
    </w:p>
    <w:p w14:paraId="67C2D12F" w14:textId="77777777" w:rsidR="00275EDE" w:rsidRPr="00D869E3" w:rsidRDefault="00275EDE" w:rsidP="009C6F8E">
      <w:pPr>
        <w:jc w:val="both"/>
        <w:rPr>
          <w:rFonts w:ascii="Verdana" w:hAnsi="Verdana"/>
          <w:b/>
          <w:sz w:val="20"/>
          <w:szCs w:val="20"/>
          <w:lang w:val="en-US"/>
        </w:rPr>
      </w:pPr>
    </w:p>
    <w:p w14:paraId="37DFEF70" w14:textId="62FEE9E8" w:rsidR="00275EDE" w:rsidRPr="00D869E3" w:rsidRDefault="001E44D3" w:rsidP="004D704D">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Mr. Lagos del Campo</w:t>
      </w:r>
      <w:r w:rsidR="00275EDE" w:rsidRPr="00D869E3">
        <w:rPr>
          <w:rFonts w:ascii="Verdana" w:hAnsi="Verdana"/>
          <w:sz w:val="20"/>
          <w:szCs w:val="20"/>
          <w:lang w:val="en-US"/>
        </w:rPr>
        <w:t xml:space="preserve"> </w:t>
      </w:r>
      <w:r w:rsidR="004D704D" w:rsidRPr="00D869E3">
        <w:rPr>
          <w:rFonts w:ascii="Verdana" w:hAnsi="Verdana"/>
          <w:sz w:val="20"/>
          <w:szCs w:val="20"/>
          <w:lang w:val="en-US"/>
        </w:rPr>
        <w:t xml:space="preserve">served as </w:t>
      </w:r>
      <w:r w:rsidR="00E85F6A" w:rsidRPr="00D869E3">
        <w:rPr>
          <w:rFonts w:ascii="Verdana" w:hAnsi="Verdana"/>
          <w:sz w:val="20"/>
          <w:szCs w:val="20"/>
          <w:lang w:val="en-US"/>
        </w:rPr>
        <w:t>labor union</w:t>
      </w:r>
      <w:r w:rsidR="004D704D" w:rsidRPr="00D869E3">
        <w:rPr>
          <w:rFonts w:ascii="Verdana" w:hAnsi="Verdana"/>
          <w:sz w:val="20"/>
          <w:szCs w:val="20"/>
          <w:lang w:val="en-US"/>
        </w:rPr>
        <w:t xml:space="preserve"> leader and labor leader in the company </w:t>
      </w:r>
      <w:r w:rsidR="004F3EAC" w:rsidRPr="00D869E3">
        <w:rPr>
          <w:rFonts w:ascii="Verdana" w:hAnsi="Verdana"/>
          <w:sz w:val="20"/>
          <w:szCs w:val="20"/>
          <w:lang w:val="en-US"/>
        </w:rPr>
        <w:t>Ceper-Pirelli S.A.</w:t>
      </w:r>
      <w:r w:rsidR="00275EDE" w:rsidRPr="00D869E3">
        <w:rPr>
          <w:rFonts w:ascii="Verdana" w:hAnsi="Verdana"/>
          <w:sz w:val="20"/>
          <w:szCs w:val="20"/>
          <w:lang w:val="en-US"/>
        </w:rPr>
        <w:t xml:space="preserve"> </w:t>
      </w:r>
      <w:r w:rsidR="004D704D" w:rsidRPr="00D869E3">
        <w:rPr>
          <w:rFonts w:ascii="Verdana" w:hAnsi="Verdana"/>
          <w:sz w:val="20"/>
          <w:szCs w:val="20"/>
          <w:lang w:val="en-US"/>
        </w:rPr>
        <w:t xml:space="preserve">He held a number of management positions within the Ceper-Pirelli Labor Union; he served two terms as </w:t>
      </w:r>
      <w:r w:rsidR="00785445" w:rsidRPr="00D869E3">
        <w:rPr>
          <w:rFonts w:ascii="Verdana" w:hAnsi="Verdana"/>
          <w:sz w:val="20"/>
          <w:szCs w:val="20"/>
          <w:lang w:val="en-US"/>
        </w:rPr>
        <w:t>S</w:t>
      </w:r>
      <w:r w:rsidR="004D704D" w:rsidRPr="00D869E3">
        <w:rPr>
          <w:rFonts w:ascii="Verdana" w:hAnsi="Verdana"/>
          <w:sz w:val="20"/>
          <w:szCs w:val="20"/>
          <w:lang w:val="en-US"/>
        </w:rPr>
        <w:t>ecretary</w:t>
      </w:r>
      <w:r w:rsidR="00785445" w:rsidRPr="00D869E3">
        <w:rPr>
          <w:rFonts w:ascii="Verdana" w:hAnsi="Verdana"/>
          <w:sz w:val="20"/>
          <w:szCs w:val="20"/>
          <w:lang w:val="en-US"/>
        </w:rPr>
        <w:t xml:space="preserve"> for the defense of workers’ rights</w:t>
      </w:r>
      <w:r w:rsidR="004D704D" w:rsidRPr="00D869E3">
        <w:rPr>
          <w:rFonts w:ascii="Verdana" w:hAnsi="Verdana"/>
          <w:sz w:val="20"/>
          <w:szCs w:val="20"/>
          <w:lang w:val="en-US"/>
        </w:rPr>
        <w:t xml:space="preserve"> </w:t>
      </w:r>
      <w:r w:rsidR="00275EDE" w:rsidRPr="00D869E3">
        <w:rPr>
          <w:rFonts w:ascii="Verdana" w:hAnsi="Verdana"/>
          <w:sz w:val="20"/>
          <w:szCs w:val="20"/>
          <w:lang w:val="en-US"/>
        </w:rPr>
        <w:t>(1982-1983</w:t>
      </w:r>
      <w:r w:rsidR="00687684" w:rsidRPr="00D869E3">
        <w:rPr>
          <w:rFonts w:ascii="Verdana" w:hAnsi="Verdana"/>
          <w:sz w:val="20"/>
          <w:szCs w:val="20"/>
          <w:lang w:val="en-US"/>
        </w:rPr>
        <w:t xml:space="preserve"> and </w:t>
      </w:r>
      <w:r w:rsidR="00275EDE" w:rsidRPr="00D869E3">
        <w:rPr>
          <w:rFonts w:ascii="Verdana" w:hAnsi="Verdana"/>
          <w:sz w:val="20"/>
          <w:szCs w:val="20"/>
          <w:lang w:val="en-US"/>
        </w:rPr>
        <w:t>1985-1986),</w:t>
      </w:r>
      <w:r w:rsidR="00687684" w:rsidRPr="00D869E3">
        <w:rPr>
          <w:rFonts w:ascii="Verdana" w:hAnsi="Verdana"/>
          <w:sz w:val="20"/>
          <w:szCs w:val="20"/>
          <w:lang w:val="en-US"/>
        </w:rPr>
        <w:t xml:space="preserve"> and </w:t>
      </w:r>
      <w:r w:rsidR="004D704D" w:rsidRPr="00D869E3">
        <w:rPr>
          <w:rFonts w:ascii="Verdana" w:hAnsi="Verdana"/>
          <w:sz w:val="20"/>
          <w:szCs w:val="20"/>
          <w:lang w:val="en-US"/>
        </w:rPr>
        <w:t xml:space="preserve">one as Secretary </w:t>
      </w:r>
      <w:r w:rsidR="00275EDE" w:rsidRPr="00D869E3">
        <w:rPr>
          <w:rFonts w:ascii="Verdana" w:hAnsi="Verdana"/>
          <w:sz w:val="20"/>
          <w:szCs w:val="20"/>
          <w:lang w:val="en-US"/>
        </w:rPr>
        <w:t>General (1983-1984)</w:t>
      </w:r>
      <w:r w:rsidR="004D704D"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52"/>
      </w:r>
      <w:r w:rsidR="00F41D30" w:rsidRPr="00D869E3">
        <w:rPr>
          <w:rFonts w:ascii="Verdana" w:hAnsi="Verdana" w:cs="Arial"/>
          <w:sz w:val="20"/>
          <w:szCs w:val="20"/>
          <w:lang w:val="en-US"/>
        </w:rPr>
        <w:t xml:space="preserve"> </w:t>
      </w:r>
      <w:r w:rsidR="004D704D" w:rsidRPr="00D869E3">
        <w:rPr>
          <w:rFonts w:ascii="Verdana" w:hAnsi="Verdana" w:cs="Arial"/>
          <w:sz w:val="20"/>
          <w:szCs w:val="20"/>
          <w:lang w:val="en-US"/>
        </w:rPr>
        <w:t>As a permanent worker of the company, and pursuant to</w:t>
      </w:r>
      <w:r w:rsidR="004D704D" w:rsidRPr="00D869E3">
        <w:rPr>
          <w:rFonts w:ascii="Verdana" w:hAnsi="Verdana"/>
          <w:b/>
          <w:sz w:val="20"/>
          <w:szCs w:val="20"/>
          <w:lang w:val="en-US"/>
        </w:rPr>
        <w:t xml:space="preserve"> </w:t>
      </w:r>
      <w:r w:rsidR="0003030B" w:rsidRPr="00D869E3">
        <w:rPr>
          <w:rFonts w:ascii="Verdana" w:hAnsi="Verdana"/>
          <w:color w:val="000000"/>
          <w:sz w:val="20"/>
          <w:szCs w:val="20"/>
          <w:lang w:val="en-US"/>
        </w:rPr>
        <w:t>Decree-Law</w:t>
      </w:r>
      <w:r w:rsidR="00275EDE" w:rsidRPr="00D869E3">
        <w:rPr>
          <w:rFonts w:ascii="Verdana" w:hAnsi="Verdana"/>
          <w:color w:val="000000"/>
          <w:sz w:val="20"/>
          <w:szCs w:val="20"/>
          <w:lang w:val="en-US"/>
        </w:rPr>
        <w:t xml:space="preserve"> 21789, </w:t>
      </w:r>
      <w:r w:rsidRPr="00D869E3">
        <w:rPr>
          <w:rFonts w:ascii="Verdana" w:hAnsi="Verdana"/>
          <w:color w:val="000000"/>
          <w:sz w:val="20"/>
          <w:szCs w:val="20"/>
          <w:lang w:val="en-US"/>
        </w:rPr>
        <w:t>Mr. Lagos del Campo</w:t>
      </w:r>
      <w:r w:rsidR="00275EDE" w:rsidRPr="00D869E3">
        <w:rPr>
          <w:rFonts w:ascii="Verdana" w:hAnsi="Verdana"/>
          <w:color w:val="000000"/>
          <w:sz w:val="20"/>
          <w:szCs w:val="20"/>
          <w:lang w:val="en-US"/>
        </w:rPr>
        <w:t xml:space="preserve"> </w:t>
      </w:r>
      <w:r w:rsidR="004D704D" w:rsidRPr="00D869E3">
        <w:rPr>
          <w:rFonts w:ascii="Verdana" w:hAnsi="Verdana"/>
          <w:color w:val="000000"/>
          <w:sz w:val="20"/>
          <w:szCs w:val="20"/>
          <w:lang w:val="en-US"/>
        </w:rPr>
        <w:t xml:space="preserve">also formed part </w:t>
      </w:r>
      <w:r w:rsidR="00EA232B" w:rsidRPr="00D869E3">
        <w:rPr>
          <w:rFonts w:ascii="Verdana" w:hAnsi="Verdana"/>
          <w:color w:val="000000"/>
          <w:sz w:val="20"/>
          <w:szCs w:val="20"/>
          <w:lang w:val="en-US"/>
        </w:rPr>
        <w:t>of the</w:t>
      </w:r>
      <w:r w:rsidR="004D704D" w:rsidRPr="00D869E3">
        <w:rPr>
          <w:rFonts w:ascii="Verdana" w:hAnsi="Verdana"/>
          <w:color w:val="000000"/>
          <w:sz w:val="20"/>
          <w:szCs w:val="20"/>
          <w:lang w:val="en-US"/>
        </w:rPr>
        <w:t xml:space="preserve"> company’s</w:t>
      </w:r>
      <w:r w:rsidR="00EA232B" w:rsidRPr="00D869E3">
        <w:rPr>
          <w:rFonts w:ascii="Verdana" w:hAnsi="Verdana"/>
          <w:color w:val="000000"/>
          <w:sz w:val="20"/>
          <w:szCs w:val="20"/>
          <w:lang w:val="en-US"/>
        </w:rPr>
        <w:t xml:space="preserve"> Industrial Community</w:t>
      </w:r>
      <w:r w:rsidR="004D704D" w:rsidRPr="00D869E3">
        <w:rPr>
          <w:rFonts w:ascii="Verdana" w:hAnsi="Verdana"/>
          <w:color w:val="000000"/>
          <w:sz w:val="20"/>
          <w:szCs w:val="20"/>
          <w:lang w:val="en-US"/>
        </w:rPr>
        <w:t>, within which</w:t>
      </w:r>
      <w:r w:rsidR="00275EDE" w:rsidRPr="00D869E3">
        <w:rPr>
          <w:rFonts w:ascii="Verdana" w:hAnsi="Verdana"/>
          <w:color w:val="000000"/>
          <w:sz w:val="20"/>
          <w:szCs w:val="20"/>
          <w:lang w:val="en-US"/>
        </w:rPr>
        <w:t xml:space="preserve"> </w:t>
      </w:r>
      <w:r w:rsidR="00F4667D" w:rsidRPr="00D869E3">
        <w:rPr>
          <w:rFonts w:ascii="Verdana" w:hAnsi="Verdana"/>
          <w:color w:val="000000"/>
          <w:sz w:val="20"/>
          <w:szCs w:val="20"/>
          <w:lang w:val="en-US"/>
        </w:rPr>
        <w:t>the General Assembly</w:t>
      </w:r>
      <w:r w:rsidR="00C86725" w:rsidRPr="00D869E3">
        <w:rPr>
          <w:rFonts w:ascii="Verdana" w:hAnsi="Verdana"/>
          <w:color w:val="000000"/>
          <w:sz w:val="20"/>
          <w:szCs w:val="20"/>
          <w:lang w:val="en-US"/>
        </w:rPr>
        <w:t xml:space="preserve"> </w:t>
      </w:r>
      <w:r w:rsidR="004D704D" w:rsidRPr="00D869E3">
        <w:rPr>
          <w:rFonts w:ascii="Verdana" w:hAnsi="Verdana"/>
          <w:color w:val="000000"/>
          <w:sz w:val="20"/>
          <w:szCs w:val="20"/>
          <w:lang w:val="en-US"/>
        </w:rPr>
        <w:t>elected him as a member</w:t>
      </w:r>
      <w:r w:rsidR="00EA232B" w:rsidRPr="00D869E3">
        <w:rPr>
          <w:rFonts w:ascii="Verdana" w:hAnsi="Verdana"/>
          <w:color w:val="000000"/>
          <w:sz w:val="20"/>
          <w:szCs w:val="20"/>
          <w:lang w:val="en-US"/>
        </w:rPr>
        <w:t xml:space="preserve"> </w:t>
      </w:r>
      <w:r w:rsidR="00EA232B" w:rsidRPr="00D869E3">
        <w:rPr>
          <w:rFonts w:ascii="Verdana" w:hAnsi="Verdana"/>
          <w:color w:val="000000"/>
          <w:sz w:val="20"/>
          <w:szCs w:val="20"/>
          <w:lang w:val="en-US"/>
        </w:rPr>
        <w:lastRenderedPageBreak/>
        <w:t>of the Electoral Committee</w:t>
      </w:r>
      <w:r w:rsidR="00275EDE" w:rsidRPr="00D869E3">
        <w:rPr>
          <w:rFonts w:ascii="Verdana" w:hAnsi="Verdana"/>
          <w:color w:val="000000"/>
          <w:sz w:val="20"/>
          <w:szCs w:val="20"/>
          <w:lang w:val="en-US"/>
        </w:rPr>
        <w:t xml:space="preserve">. </w:t>
      </w:r>
      <w:r w:rsidR="004D704D" w:rsidRPr="00D869E3">
        <w:rPr>
          <w:rFonts w:ascii="Verdana" w:hAnsi="Verdana"/>
          <w:color w:val="000000"/>
          <w:sz w:val="20"/>
          <w:szCs w:val="20"/>
          <w:lang w:val="en-US"/>
        </w:rPr>
        <w:t xml:space="preserve">He served as </w:t>
      </w:r>
      <w:r w:rsidR="00447C65" w:rsidRPr="00D869E3">
        <w:rPr>
          <w:rFonts w:ascii="Verdana" w:hAnsi="Verdana"/>
          <w:color w:val="000000"/>
          <w:sz w:val="20"/>
          <w:szCs w:val="20"/>
          <w:lang w:val="en-US"/>
        </w:rPr>
        <w:t>President</w:t>
      </w:r>
      <w:r w:rsidR="00EA232B" w:rsidRPr="00D869E3">
        <w:rPr>
          <w:rFonts w:ascii="Verdana" w:hAnsi="Verdana"/>
          <w:color w:val="000000"/>
          <w:sz w:val="20"/>
          <w:szCs w:val="20"/>
          <w:lang w:val="en-US"/>
        </w:rPr>
        <w:t xml:space="preserve"> of the Industrial Community</w:t>
      </w:r>
      <w:r w:rsidR="004D704D" w:rsidRPr="00D869E3">
        <w:rPr>
          <w:rFonts w:ascii="Verdana" w:hAnsi="Verdana"/>
          <w:color w:val="000000"/>
          <w:sz w:val="20"/>
          <w:szCs w:val="20"/>
          <w:lang w:val="en-US"/>
        </w:rPr>
        <w:t>’s Electoral Committee for the period 1988-1989,</w:t>
      </w:r>
      <w:r w:rsidR="00275EDE" w:rsidRPr="00D869E3">
        <w:rPr>
          <w:rFonts w:ascii="Verdana" w:hAnsi="Verdana"/>
          <w:color w:val="000000"/>
          <w:sz w:val="20"/>
          <w:szCs w:val="20"/>
          <w:vertAlign w:val="superscript"/>
          <w:lang w:val="en-US"/>
        </w:rPr>
        <w:footnoteReference w:id="53"/>
      </w:r>
      <w:r w:rsidR="00275EDE" w:rsidRPr="00D869E3">
        <w:rPr>
          <w:rFonts w:ascii="Verdana" w:hAnsi="Verdana"/>
          <w:color w:val="000000"/>
          <w:sz w:val="20"/>
          <w:szCs w:val="20"/>
          <w:lang w:val="en-US"/>
        </w:rPr>
        <w:t xml:space="preserve"> </w:t>
      </w:r>
      <w:r w:rsidR="004D704D" w:rsidRPr="00D869E3">
        <w:rPr>
          <w:rFonts w:ascii="Verdana" w:hAnsi="Verdana"/>
          <w:color w:val="000000"/>
          <w:sz w:val="20"/>
          <w:szCs w:val="20"/>
          <w:lang w:val="en-US"/>
        </w:rPr>
        <w:t xml:space="preserve">the entity responsible for holding the elections for members of the Community Council </w:t>
      </w:r>
      <w:r w:rsidR="00687684" w:rsidRPr="00D869E3">
        <w:rPr>
          <w:rFonts w:ascii="Verdana" w:hAnsi="Verdana"/>
          <w:sz w:val="20"/>
          <w:szCs w:val="20"/>
          <w:lang w:val="en-US"/>
        </w:rPr>
        <w:t>and representatives</w:t>
      </w:r>
      <w:r w:rsidR="00275EDE" w:rsidRPr="00D869E3">
        <w:rPr>
          <w:rFonts w:ascii="Verdana" w:hAnsi="Verdana"/>
          <w:sz w:val="20"/>
          <w:szCs w:val="20"/>
          <w:lang w:val="en-US"/>
        </w:rPr>
        <w:t xml:space="preserve"> </w:t>
      </w:r>
      <w:r w:rsidR="004D704D" w:rsidRPr="00D869E3">
        <w:rPr>
          <w:rFonts w:ascii="Verdana" w:hAnsi="Verdana"/>
          <w:sz w:val="20"/>
          <w:szCs w:val="20"/>
          <w:lang w:val="en-US"/>
        </w:rPr>
        <w:t xml:space="preserve">on the company’s Board </w:t>
      </w:r>
      <w:r w:rsidR="00275EDE" w:rsidRPr="00D869E3">
        <w:rPr>
          <w:rFonts w:ascii="Verdana" w:hAnsi="Verdana"/>
          <w:sz w:val="20"/>
          <w:szCs w:val="20"/>
          <w:lang w:val="en-US"/>
        </w:rPr>
        <w:t>(</w:t>
      </w:r>
      <w:r w:rsidR="00224537" w:rsidRPr="00D869E3">
        <w:rPr>
          <w:rFonts w:ascii="Verdana" w:hAnsi="Verdana"/>
          <w:i/>
          <w:sz w:val="20"/>
          <w:szCs w:val="20"/>
          <w:lang w:val="en-US"/>
        </w:rPr>
        <w:t>supra</w:t>
      </w:r>
      <w:r w:rsidR="00CC7C1E" w:rsidRPr="00D869E3">
        <w:rPr>
          <w:rFonts w:ascii="Verdana" w:hAnsi="Verdana"/>
          <w:i/>
          <w:sz w:val="20"/>
          <w:szCs w:val="20"/>
          <w:lang w:val="en-US"/>
        </w:rPr>
        <w:t xml:space="preserve"> </w:t>
      </w:r>
      <w:r w:rsidR="0087339F" w:rsidRPr="00D869E3">
        <w:rPr>
          <w:rFonts w:ascii="Verdana" w:hAnsi="Verdana"/>
          <w:sz w:val="20"/>
          <w:szCs w:val="20"/>
          <w:lang w:val="en-US"/>
        </w:rPr>
        <w:t>para.</w:t>
      </w:r>
      <w:r w:rsidR="00275EDE" w:rsidRPr="00D869E3">
        <w:rPr>
          <w:rFonts w:ascii="Verdana" w:hAnsi="Verdana"/>
          <w:sz w:val="20"/>
          <w:szCs w:val="20"/>
          <w:lang w:val="en-US"/>
        </w:rPr>
        <w:t xml:space="preserve"> </w:t>
      </w:r>
      <w:r w:rsidR="00D02C92" w:rsidRPr="00D869E3">
        <w:rPr>
          <w:rFonts w:ascii="Verdana" w:hAnsi="Verdana"/>
          <w:sz w:val="20"/>
          <w:szCs w:val="20"/>
          <w:lang w:val="en-US"/>
        </w:rPr>
        <w:t>43</w:t>
      </w:r>
      <w:r w:rsidR="00275EDE" w:rsidRPr="00D869E3">
        <w:rPr>
          <w:rFonts w:ascii="Verdana" w:hAnsi="Verdana"/>
          <w:sz w:val="20"/>
          <w:szCs w:val="20"/>
          <w:lang w:val="en-US"/>
        </w:rPr>
        <w:t>).</w:t>
      </w:r>
    </w:p>
    <w:p w14:paraId="24F15CBA" w14:textId="77777777" w:rsidR="00275EDE" w:rsidRPr="00D869E3" w:rsidRDefault="00275EDE" w:rsidP="009C6F8E">
      <w:pPr>
        <w:jc w:val="both"/>
        <w:rPr>
          <w:rFonts w:ascii="Verdana" w:hAnsi="Verdana"/>
          <w:b/>
          <w:sz w:val="20"/>
          <w:szCs w:val="20"/>
          <w:lang w:val="en-US"/>
        </w:rPr>
      </w:pPr>
    </w:p>
    <w:p w14:paraId="5A7F1885" w14:textId="241BAEE3" w:rsidR="00275EDE" w:rsidRPr="00D869E3" w:rsidRDefault="004D704D" w:rsidP="004D704D">
      <w:pPr>
        <w:pStyle w:val="Prrafodelista"/>
        <w:numPr>
          <w:ilvl w:val="0"/>
          <w:numId w:val="1"/>
        </w:numPr>
        <w:ind w:left="0" w:hanging="11"/>
        <w:jc w:val="both"/>
        <w:rPr>
          <w:rFonts w:ascii="Verdana" w:eastAsiaTheme="minorHAnsi" w:hAnsi="Verdana"/>
          <w:b/>
          <w:sz w:val="20"/>
          <w:szCs w:val="20"/>
          <w:lang w:val="en-US"/>
        </w:rPr>
      </w:pPr>
      <w:r w:rsidRPr="00D869E3">
        <w:rPr>
          <w:rFonts w:ascii="Verdana" w:hAnsi="Verdana"/>
          <w:color w:val="000000"/>
          <w:sz w:val="20"/>
          <w:szCs w:val="20"/>
          <w:lang w:val="en-US"/>
        </w:rPr>
        <w:t>On April 26,</w:t>
      </w:r>
      <w:r w:rsidR="00275EDE" w:rsidRPr="00D869E3">
        <w:rPr>
          <w:rFonts w:ascii="Verdana" w:hAnsi="Verdana"/>
          <w:color w:val="000000"/>
          <w:sz w:val="20"/>
          <w:szCs w:val="20"/>
          <w:lang w:val="en-US"/>
        </w:rPr>
        <w:t xml:space="preserve"> 1989</w:t>
      </w:r>
      <w:r w:rsidRPr="00D869E3">
        <w:rPr>
          <w:rFonts w:ascii="Verdana" w:hAnsi="Verdana"/>
          <w:color w:val="000000"/>
          <w:sz w:val="20"/>
          <w:szCs w:val="20"/>
          <w:lang w:val="en-US"/>
        </w:rPr>
        <w:t>,</w:t>
      </w:r>
      <w:r w:rsidR="00275EDE" w:rsidRPr="00D869E3">
        <w:rPr>
          <w:rFonts w:ascii="Verdana" w:hAnsi="Verdana"/>
          <w:color w:val="000000"/>
          <w:sz w:val="20"/>
          <w:szCs w:val="20"/>
          <w:lang w:val="en-US"/>
        </w:rPr>
        <w:t xml:space="preserve"> Alfredo Lagos del Campo, </w:t>
      </w:r>
      <w:r w:rsidRPr="00D869E3">
        <w:rPr>
          <w:rFonts w:ascii="Verdana" w:hAnsi="Verdana"/>
          <w:color w:val="000000"/>
          <w:sz w:val="20"/>
          <w:szCs w:val="20"/>
          <w:lang w:val="en-US"/>
        </w:rPr>
        <w:t>in his capacity as</w:t>
      </w:r>
      <w:r w:rsidR="00275EDE" w:rsidRPr="00D869E3">
        <w:rPr>
          <w:rFonts w:ascii="Verdana" w:hAnsi="Verdana"/>
          <w:color w:val="000000"/>
          <w:sz w:val="20"/>
          <w:szCs w:val="20"/>
          <w:lang w:val="en-US"/>
        </w:rPr>
        <w:t xml:space="preserve"> </w:t>
      </w:r>
      <w:r w:rsidR="001B0492" w:rsidRPr="00D869E3">
        <w:rPr>
          <w:rFonts w:ascii="Verdana" w:hAnsi="Verdana"/>
          <w:color w:val="000000"/>
          <w:sz w:val="20"/>
          <w:szCs w:val="20"/>
          <w:lang w:val="en-US"/>
        </w:rPr>
        <w:t>president of the Electoral</w:t>
      </w:r>
      <w:r w:rsidR="00EA232B" w:rsidRPr="00D869E3">
        <w:rPr>
          <w:rFonts w:ascii="Verdana" w:hAnsi="Verdana"/>
          <w:color w:val="000000"/>
          <w:sz w:val="20"/>
          <w:szCs w:val="20"/>
          <w:lang w:val="en-US"/>
        </w:rPr>
        <w:t xml:space="preserve"> Committee of the Industrial Community</w:t>
      </w:r>
      <w:r w:rsidR="00687684" w:rsidRPr="00D869E3">
        <w:rPr>
          <w:rFonts w:ascii="Verdana" w:hAnsi="Verdana"/>
          <w:color w:val="000000"/>
          <w:sz w:val="20"/>
          <w:szCs w:val="20"/>
          <w:lang w:val="en-US"/>
        </w:rPr>
        <w:t xml:space="preserve"> and </w:t>
      </w:r>
      <w:r w:rsidR="00275EDE" w:rsidRPr="00D869E3">
        <w:rPr>
          <w:rFonts w:ascii="Verdana" w:hAnsi="Verdana"/>
          <w:color w:val="000000"/>
          <w:sz w:val="20"/>
          <w:szCs w:val="20"/>
          <w:lang w:val="en-US"/>
        </w:rPr>
        <w:t>delega</w:t>
      </w:r>
      <w:r w:rsidRPr="00D869E3">
        <w:rPr>
          <w:rFonts w:ascii="Verdana" w:hAnsi="Verdana"/>
          <w:color w:val="000000"/>
          <w:sz w:val="20"/>
          <w:szCs w:val="20"/>
          <w:lang w:val="en-US"/>
        </w:rPr>
        <w:t xml:space="preserve">te to the National Confederation of Industrial Communities </w:t>
      </w:r>
      <w:r w:rsidR="00275EDE" w:rsidRPr="00D869E3">
        <w:rPr>
          <w:rFonts w:ascii="Verdana" w:hAnsi="Verdana"/>
          <w:color w:val="000000"/>
          <w:sz w:val="20"/>
          <w:szCs w:val="20"/>
          <w:lang w:val="en-US"/>
        </w:rPr>
        <w:t>(</w:t>
      </w:r>
      <w:r w:rsidR="00447C65" w:rsidRPr="00D869E3">
        <w:rPr>
          <w:rFonts w:ascii="Verdana" w:hAnsi="Verdana"/>
          <w:color w:val="000000"/>
          <w:sz w:val="20"/>
          <w:szCs w:val="20"/>
          <w:lang w:val="en-US"/>
        </w:rPr>
        <w:t>hereinafter</w:t>
      </w:r>
      <w:r w:rsidR="00C86725" w:rsidRPr="00D869E3">
        <w:rPr>
          <w:rFonts w:ascii="Verdana" w:hAnsi="Verdana"/>
          <w:color w:val="000000"/>
          <w:sz w:val="20"/>
          <w:szCs w:val="20"/>
          <w:lang w:val="en-US"/>
        </w:rPr>
        <w:t xml:space="preserve"> </w:t>
      </w:r>
      <w:r w:rsidR="00275EDE" w:rsidRPr="00D869E3">
        <w:rPr>
          <w:rFonts w:ascii="Verdana" w:hAnsi="Verdana"/>
          <w:color w:val="000000"/>
          <w:sz w:val="20"/>
          <w:szCs w:val="20"/>
          <w:lang w:val="en-US"/>
        </w:rPr>
        <w:t xml:space="preserve">CONACI) </w:t>
      </w:r>
      <w:r w:rsidRPr="00D869E3">
        <w:rPr>
          <w:rFonts w:ascii="Verdana" w:hAnsi="Verdana"/>
          <w:color w:val="000000"/>
          <w:sz w:val="20"/>
          <w:szCs w:val="20"/>
          <w:lang w:val="en-US"/>
        </w:rPr>
        <w:t xml:space="preserve">denounced before the </w:t>
      </w:r>
      <w:r w:rsidR="00EC2233" w:rsidRPr="00D869E3">
        <w:rPr>
          <w:rFonts w:ascii="Verdana" w:hAnsi="Verdana"/>
          <w:color w:val="000000"/>
          <w:sz w:val="20"/>
          <w:szCs w:val="20"/>
          <w:lang w:val="en-US"/>
        </w:rPr>
        <w:t>Participation Directorate</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of the Ministry</w:t>
      </w:r>
      <w:r w:rsidR="00F43C5F" w:rsidRPr="00D869E3">
        <w:rPr>
          <w:rFonts w:ascii="Verdana" w:hAnsi="Verdana"/>
          <w:color w:val="000000"/>
          <w:sz w:val="20"/>
          <w:szCs w:val="20"/>
          <w:lang w:val="en-US"/>
        </w:rPr>
        <w:t xml:space="preserve"> of Industry</w:t>
      </w:r>
      <w:r w:rsidR="00275EDE" w:rsidRPr="00D869E3">
        <w:rPr>
          <w:rFonts w:ascii="Verdana" w:hAnsi="Verdana"/>
          <w:color w:val="000000"/>
          <w:sz w:val="20"/>
          <w:szCs w:val="20"/>
          <w:lang w:val="en-US"/>
        </w:rPr>
        <w:t xml:space="preserve"> irregulari</w:t>
      </w:r>
      <w:r w:rsidRPr="00D869E3">
        <w:rPr>
          <w:rFonts w:ascii="Verdana" w:hAnsi="Verdana"/>
          <w:color w:val="000000"/>
          <w:sz w:val="20"/>
          <w:szCs w:val="20"/>
          <w:lang w:val="en-US"/>
        </w:rPr>
        <w:t>ties in the call for elections of the members of the Council</w:t>
      </w:r>
      <w:r w:rsidRPr="00D869E3">
        <w:rPr>
          <w:rFonts w:ascii="Verdana" w:eastAsiaTheme="minorHAnsi" w:hAnsi="Verdana"/>
          <w:b/>
          <w:sz w:val="20"/>
          <w:szCs w:val="20"/>
          <w:lang w:val="en-US"/>
        </w:rPr>
        <w:t xml:space="preserve"> </w:t>
      </w:r>
      <w:r w:rsidR="00EA232B" w:rsidRPr="00D869E3">
        <w:rPr>
          <w:rFonts w:ascii="Verdana" w:hAnsi="Verdana"/>
          <w:color w:val="000000"/>
          <w:sz w:val="20"/>
          <w:szCs w:val="20"/>
          <w:lang w:val="en-US"/>
        </w:rPr>
        <w:t>of the Industrial Community</w:t>
      </w:r>
      <w:r w:rsidR="00687684" w:rsidRPr="00D869E3">
        <w:rPr>
          <w:rFonts w:ascii="Verdana" w:hAnsi="Verdana"/>
          <w:color w:val="000000"/>
          <w:sz w:val="20"/>
          <w:szCs w:val="20"/>
          <w:lang w:val="en-US"/>
        </w:rPr>
        <w:t xml:space="preserve"> and the</w:t>
      </w:r>
      <w:r w:rsidRPr="00D869E3">
        <w:rPr>
          <w:rFonts w:ascii="Verdana" w:hAnsi="Verdana"/>
          <w:color w:val="000000"/>
          <w:sz w:val="20"/>
          <w:szCs w:val="20"/>
          <w:lang w:val="en-US"/>
        </w:rPr>
        <w:t xml:space="preserve"> workers’</w:t>
      </w:r>
      <w:r w:rsidR="00687684" w:rsidRPr="00D869E3">
        <w:rPr>
          <w:rFonts w:ascii="Verdana" w:hAnsi="Verdana"/>
          <w:color w:val="000000"/>
          <w:sz w:val="20"/>
          <w:szCs w:val="20"/>
          <w:lang w:val="en-US"/>
        </w:rPr>
        <w:t xml:space="preserve"> representatives</w:t>
      </w:r>
      <w:r w:rsidR="00275EDE" w:rsidRPr="00D869E3">
        <w:rPr>
          <w:rFonts w:ascii="Verdana" w:hAnsi="Verdana"/>
          <w:sz w:val="20"/>
          <w:szCs w:val="20"/>
          <w:lang w:val="en-US"/>
        </w:rPr>
        <w:t xml:space="preserve"> </w:t>
      </w:r>
      <w:r w:rsidRPr="00D869E3">
        <w:rPr>
          <w:rFonts w:ascii="Verdana" w:hAnsi="Verdana"/>
          <w:sz w:val="20"/>
          <w:szCs w:val="20"/>
          <w:lang w:val="en-US"/>
        </w:rPr>
        <w:t>on the company’s Board</w:t>
      </w:r>
      <w:r w:rsidR="000D6F59" w:rsidRPr="00D869E3">
        <w:rPr>
          <w:rFonts w:ascii="Verdana" w:hAnsi="Verdana"/>
          <w:sz w:val="20"/>
          <w:szCs w:val="20"/>
          <w:lang w:val="en-US"/>
        </w:rPr>
        <w:t>,</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to be held on April 28 that year. It was alleged that these irregularities were due to the fact that presumably three members</w:t>
      </w:r>
      <w:r w:rsidR="00275EDE" w:rsidRPr="00D869E3">
        <w:rPr>
          <w:rFonts w:ascii="Verdana" w:hAnsi="Verdana"/>
          <w:color w:val="000000"/>
          <w:sz w:val="20"/>
          <w:szCs w:val="20"/>
          <w:vertAlign w:val="superscript"/>
          <w:lang w:val="en-US"/>
        </w:rPr>
        <w:footnoteReference w:id="54"/>
      </w:r>
      <w:r w:rsidR="00EA232B" w:rsidRPr="00D869E3">
        <w:rPr>
          <w:rFonts w:ascii="Verdana" w:hAnsi="Verdana"/>
          <w:color w:val="000000"/>
          <w:sz w:val="20"/>
          <w:szCs w:val="20"/>
          <w:lang w:val="en-US"/>
        </w:rPr>
        <w:t xml:space="preserve"> of the Electoral Committee</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who represented the employers’ interests, called for elections without the participation of the workers’ representatives</w:t>
      </w:r>
      <w:r w:rsidR="00275EDE" w:rsidRPr="00D869E3">
        <w:rPr>
          <w:rFonts w:ascii="Verdana" w:hAnsi="Verdana"/>
          <w:sz w:val="20"/>
          <w:szCs w:val="20"/>
          <w:lang w:val="en-US"/>
        </w:rPr>
        <w:t xml:space="preserve"> (</w:t>
      </w:r>
      <w:r w:rsidR="00EC2233" w:rsidRPr="00D869E3">
        <w:rPr>
          <w:rFonts w:ascii="Verdana" w:hAnsi="Verdana"/>
          <w:sz w:val="20"/>
          <w:szCs w:val="20"/>
          <w:lang w:val="en-US"/>
        </w:rPr>
        <w:t xml:space="preserve">Alfredo </w:t>
      </w:r>
      <w:r w:rsidR="00275EDE" w:rsidRPr="00D869E3">
        <w:rPr>
          <w:rFonts w:ascii="Verdana" w:hAnsi="Verdana"/>
          <w:sz w:val="20"/>
          <w:szCs w:val="20"/>
          <w:lang w:val="en-US"/>
        </w:rPr>
        <w:t>Lagos del Campo</w:t>
      </w:r>
      <w:r w:rsidR="00687684" w:rsidRPr="00D869E3">
        <w:rPr>
          <w:rFonts w:ascii="Verdana" w:hAnsi="Verdana"/>
          <w:sz w:val="20"/>
          <w:szCs w:val="20"/>
          <w:lang w:val="en-US"/>
        </w:rPr>
        <w:t xml:space="preserve"> and </w:t>
      </w:r>
      <w:r w:rsidR="00787FF6" w:rsidRPr="00D869E3">
        <w:rPr>
          <w:rFonts w:ascii="Verdana" w:hAnsi="Verdana"/>
          <w:sz w:val="20"/>
          <w:szCs w:val="20"/>
          <w:lang w:val="en-US"/>
        </w:rPr>
        <w:t>Aristedes Quispe Altamirano</w:t>
      </w:r>
      <w:r w:rsidR="00275EDE" w:rsidRPr="00D869E3">
        <w:rPr>
          <w:rFonts w:ascii="Verdana" w:hAnsi="Verdana"/>
          <w:sz w:val="20"/>
          <w:szCs w:val="20"/>
          <w:lang w:val="en-US"/>
        </w:rPr>
        <w:t xml:space="preserve">), </w:t>
      </w:r>
      <w:r w:rsidRPr="00D869E3">
        <w:rPr>
          <w:rFonts w:ascii="Verdana" w:hAnsi="Verdana"/>
          <w:sz w:val="20"/>
          <w:szCs w:val="20"/>
          <w:lang w:val="en-US"/>
        </w:rPr>
        <w:t xml:space="preserve">in order to </w:t>
      </w:r>
      <w:r w:rsidR="00EC2233" w:rsidRPr="00D869E3">
        <w:rPr>
          <w:rFonts w:ascii="Verdana" w:hAnsi="Verdana"/>
          <w:sz w:val="20"/>
          <w:szCs w:val="20"/>
          <w:lang w:val="en-US"/>
        </w:rPr>
        <w:t>benefit</w:t>
      </w:r>
      <w:r w:rsidRPr="00D869E3">
        <w:rPr>
          <w:rFonts w:ascii="Verdana" w:hAnsi="Verdana"/>
          <w:sz w:val="20"/>
          <w:szCs w:val="20"/>
          <w:lang w:val="en-US"/>
        </w:rPr>
        <w:t xml:space="preserve"> the election of a list promoted by the employers.</w:t>
      </w:r>
      <w:r w:rsidR="00275EDE" w:rsidRPr="00D869E3">
        <w:rPr>
          <w:rFonts w:ascii="Verdana" w:hAnsi="Verdana"/>
          <w:sz w:val="20"/>
          <w:szCs w:val="20"/>
          <w:vertAlign w:val="superscript"/>
          <w:lang w:val="en-US"/>
        </w:rPr>
        <w:footnoteReference w:id="55"/>
      </w:r>
    </w:p>
    <w:p w14:paraId="58DC950F" w14:textId="15656FDD" w:rsidR="00275EDE" w:rsidRPr="00D869E3" w:rsidRDefault="00275EDE" w:rsidP="009C6F8E">
      <w:pPr>
        <w:jc w:val="both"/>
        <w:rPr>
          <w:rFonts w:ascii="Verdana" w:hAnsi="Verdana"/>
          <w:b/>
          <w:sz w:val="20"/>
          <w:szCs w:val="20"/>
          <w:lang w:val="en-US"/>
        </w:rPr>
      </w:pPr>
    </w:p>
    <w:p w14:paraId="214F4C20" w14:textId="7984C34B" w:rsidR="00275EDE" w:rsidRPr="00D869E3" w:rsidRDefault="004D704D"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After the elections had been held, a group of workers filed a brief contesting these elections before</w:t>
      </w:r>
      <w:r w:rsidR="00275EDE" w:rsidRPr="00D869E3">
        <w:rPr>
          <w:rFonts w:ascii="Verdana" w:hAnsi="Verdana"/>
          <w:sz w:val="20"/>
          <w:szCs w:val="20"/>
          <w:lang w:val="en-US"/>
        </w:rPr>
        <w:t xml:space="preserve"> </w:t>
      </w:r>
      <w:r w:rsidRPr="00D869E3">
        <w:rPr>
          <w:rFonts w:ascii="Verdana" w:hAnsi="Verdana"/>
          <w:sz w:val="20"/>
          <w:szCs w:val="20"/>
          <w:lang w:val="en-US"/>
        </w:rPr>
        <w:t>the</w:t>
      </w:r>
      <w:r w:rsidR="00275EDE" w:rsidRPr="00D869E3">
        <w:rPr>
          <w:rFonts w:ascii="Verdana" w:hAnsi="Verdana"/>
          <w:sz w:val="20"/>
          <w:szCs w:val="20"/>
          <w:lang w:val="en-US"/>
        </w:rPr>
        <w:t xml:space="preserve"> </w:t>
      </w:r>
      <w:r w:rsidR="00EC2233" w:rsidRPr="00D869E3">
        <w:rPr>
          <w:rFonts w:ascii="Verdana" w:hAnsi="Verdana"/>
          <w:sz w:val="20"/>
          <w:szCs w:val="20"/>
          <w:lang w:val="en-US"/>
        </w:rPr>
        <w:t>Participation Directorate</w:t>
      </w:r>
      <w:r w:rsidR="00275EDE" w:rsidRPr="00D869E3">
        <w:rPr>
          <w:rFonts w:ascii="Verdana" w:hAnsi="Verdana"/>
          <w:sz w:val="20"/>
          <w:szCs w:val="20"/>
          <w:lang w:val="en-US"/>
        </w:rPr>
        <w:t xml:space="preserve"> </w:t>
      </w:r>
      <w:r w:rsidRPr="00D869E3">
        <w:rPr>
          <w:rFonts w:ascii="Verdana" w:hAnsi="Verdana"/>
          <w:sz w:val="20"/>
          <w:szCs w:val="20"/>
          <w:lang w:val="en-US"/>
        </w:rPr>
        <w:t>of the Ministry</w:t>
      </w:r>
      <w:r w:rsidR="00F43C5F" w:rsidRPr="00D869E3">
        <w:rPr>
          <w:rFonts w:ascii="Verdana" w:hAnsi="Verdana"/>
          <w:sz w:val="20"/>
          <w:szCs w:val="20"/>
          <w:lang w:val="en-US"/>
        </w:rPr>
        <w:t xml:space="preserve"> of Industry</w:t>
      </w:r>
      <w:r w:rsidRPr="00D869E3">
        <w:rPr>
          <w:rFonts w:ascii="Verdana" w:hAnsi="Verdana"/>
          <w:sz w:val="20"/>
          <w:szCs w:val="20"/>
          <w:lang w:val="en-US"/>
        </w:rPr>
        <w:t xml:space="preserve"> on April 28, 1989.</w:t>
      </w:r>
      <w:r w:rsidR="00E362E6" w:rsidRPr="00D869E3">
        <w:rPr>
          <w:rFonts w:ascii="Verdana" w:hAnsi="Verdana"/>
          <w:sz w:val="20"/>
          <w:szCs w:val="20"/>
          <w:vertAlign w:val="superscript"/>
          <w:lang w:val="en-US"/>
        </w:rPr>
        <w:footnoteReference w:id="56"/>
      </w:r>
      <w:r w:rsidR="00E02AC4" w:rsidRPr="00D869E3">
        <w:rPr>
          <w:rFonts w:ascii="Verdana" w:hAnsi="Verdana"/>
          <w:b/>
          <w:sz w:val="20"/>
          <w:lang w:val="en-US"/>
        </w:rPr>
        <w:t xml:space="preserve"> </w:t>
      </w:r>
      <w:r w:rsidR="00075E68" w:rsidRPr="00D869E3">
        <w:rPr>
          <w:rFonts w:ascii="Verdana" w:hAnsi="Verdana"/>
          <w:sz w:val="20"/>
          <w:szCs w:val="20"/>
          <w:lang w:val="en-US"/>
        </w:rPr>
        <w:t>In this regard</w:t>
      </w:r>
      <w:r w:rsidR="00787FF6" w:rsidRPr="00D869E3">
        <w:rPr>
          <w:rFonts w:ascii="Verdana" w:hAnsi="Verdana"/>
          <w:sz w:val="20"/>
          <w:szCs w:val="20"/>
          <w:lang w:val="en-US"/>
        </w:rPr>
        <w:t xml:space="preserve">, </w:t>
      </w:r>
      <w:r w:rsidRPr="00D869E3">
        <w:rPr>
          <w:rFonts w:ascii="Verdana" w:hAnsi="Verdana"/>
          <w:sz w:val="20"/>
          <w:szCs w:val="20"/>
          <w:lang w:val="en-US"/>
        </w:rPr>
        <w:t>on June 9,</w:t>
      </w:r>
      <w:r w:rsidR="00275EDE" w:rsidRPr="00D869E3">
        <w:rPr>
          <w:rFonts w:ascii="Verdana" w:hAnsi="Verdana"/>
          <w:sz w:val="20"/>
          <w:szCs w:val="20"/>
          <w:lang w:val="en-US"/>
        </w:rPr>
        <w:t xml:space="preserve"> 1989</w:t>
      </w:r>
      <w:r w:rsidRPr="00D869E3">
        <w:rPr>
          <w:rFonts w:ascii="Verdana" w:hAnsi="Verdana"/>
          <w:sz w:val="20"/>
          <w:szCs w:val="20"/>
          <w:lang w:val="en-US"/>
        </w:rPr>
        <w:t>, the</w:t>
      </w:r>
      <w:r w:rsidR="00275EDE" w:rsidRPr="00D869E3">
        <w:rPr>
          <w:rFonts w:ascii="Verdana" w:hAnsi="Verdana"/>
          <w:sz w:val="20"/>
          <w:szCs w:val="20"/>
          <w:lang w:val="en-US"/>
        </w:rPr>
        <w:t xml:space="preserve"> </w:t>
      </w:r>
      <w:r w:rsidR="00EC2233" w:rsidRPr="00D869E3">
        <w:rPr>
          <w:rFonts w:ascii="Verdana" w:hAnsi="Verdana"/>
          <w:sz w:val="20"/>
          <w:szCs w:val="20"/>
          <w:lang w:val="en-US"/>
        </w:rPr>
        <w:t>Participation Directorate</w:t>
      </w:r>
      <w:r w:rsidR="00275EDE" w:rsidRPr="00D869E3">
        <w:rPr>
          <w:rFonts w:ascii="Verdana" w:hAnsi="Verdana"/>
          <w:sz w:val="20"/>
          <w:szCs w:val="20"/>
          <w:lang w:val="en-US"/>
        </w:rPr>
        <w:t xml:space="preserve"> </w:t>
      </w:r>
      <w:r w:rsidRPr="00D869E3">
        <w:rPr>
          <w:rFonts w:ascii="Verdana" w:hAnsi="Verdana"/>
          <w:sz w:val="20"/>
          <w:szCs w:val="20"/>
          <w:lang w:val="en-US"/>
        </w:rPr>
        <w:t>of the Ministry</w:t>
      </w:r>
      <w:r w:rsidR="00F43C5F" w:rsidRPr="00D869E3">
        <w:rPr>
          <w:rFonts w:ascii="Verdana" w:hAnsi="Verdana"/>
          <w:sz w:val="20"/>
          <w:szCs w:val="20"/>
          <w:lang w:val="en-US"/>
        </w:rPr>
        <w:t xml:space="preserve"> of Industry</w:t>
      </w:r>
      <w:r w:rsidR="00275EDE" w:rsidRPr="00D869E3">
        <w:rPr>
          <w:rFonts w:ascii="Verdana" w:hAnsi="Verdana"/>
          <w:sz w:val="20"/>
          <w:szCs w:val="20"/>
          <w:lang w:val="en-US"/>
        </w:rPr>
        <w:t xml:space="preserve"> </w:t>
      </w:r>
      <w:r w:rsidRPr="00D869E3">
        <w:rPr>
          <w:rFonts w:ascii="Verdana" w:hAnsi="Verdana"/>
          <w:sz w:val="20"/>
          <w:szCs w:val="20"/>
          <w:lang w:val="en-US"/>
        </w:rPr>
        <w:t>verified that the number of votes was less than 75% of the members</w:t>
      </w:r>
      <w:r w:rsidR="00EA232B" w:rsidRPr="00D869E3">
        <w:rPr>
          <w:rFonts w:ascii="Verdana" w:hAnsi="Verdana"/>
          <w:sz w:val="20"/>
          <w:szCs w:val="20"/>
          <w:lang w:val="en-US"/>
        </w:rPr>
        <w:t xml:space="preserve"> of the Industrial Community</w:t>
      </w:r>
      <w:r w:rsidRPr="00D869E3">
        <w:rPr>
          <w:rFonts w:ascii="Verdana" w:hAnsi="Verdana"/>
          <w:sz w:val="20"/>
          <w:szCs w:val="20"/>
          <w:lang w:val="en-US"/>
        </w:rPr>
        <w:t>; it therefore declared that the appeal was admissible and issued a call for a new electoral process.</w:t>
      </w:r>
      <w:r w:rsidR="00275EDE" w:rsidRPr="00D869E3">
        <w:rPr>
          <w:rFonts w:ascii="Verdana" w:hAnsi="Verdana"/>
          <w:sz w:val="20"/>
          <w:szCs w:val="20"/>
          <w:vertAlign w:val="superscript"/>
          <w:lang w:val="en-US"/>
        </w:rPr>
        <w:footnoteReference w:id="57"/>
      </w:r>
      <w:r w:rsidR="00275EDE" w:rsidRPr="00D869E3">
        <w:rPr>
          <w:rFonts w:ascii="Verdana" w:hAnsi="Verdana" w:cs="Arial"/>
          <w:sz w:val="20"/>
          <w:szCs w:val="20"/>
          <w:lang w:val="en-US"/>
        </w:rPr>
        <w:t xml:space="preserve"> </w:t>
      </w:r>
      <w:r w:rsidRPr="00D869E3">
        <w:rPr>
          <w:rFonts w:ascii="Verdana" w:hAnsi="Verdana" w:cs="Arial"/>
          <w:sz w:val="20"/>
          <w:szCs w:val="20"/>
          <w:lang w:val="en-US"/>
        </w:rPr>
        <w:t>On June 22,</w:t>
      </w:r>
      <w:r w:rsidR="00275EDE" w:rsidRPr="00D869E3">
        <w:rPr>
          <w:rFonts w:ascii="Verdana" w:hAnsi="Verdana" w:cs="Arial"/>
          <w:sz w:val="20"/>
          <w:szCs w:val="20"/>
          <w:lang w:val="en-US"/>
        </w:rPr>
        <w:t xml:space="preserve"> 1989</w:t>
      </w:r>
      <w:r w:rsidRPr="00D869E3">
        <w:rPr>
          <w:rFonts w:ascii="Verdana" w:hAnsi="Verdana" w:cs="Arial"/>
          <w:sz w:val="20"/>
          <w:szCs w:val="20"/>
          <w:lang w:val="en-US"/>
        </w:rPr>
        <w:t>,</w:t>
      </w:r>
      <w:r w:rsidR="00275EDE" w:rsidRPr="00D869E3">
        <w:rPr>
          <w:rFonts w:ascii="Verdana" w:hAnsi="Verdana" w:cs="Arial"/>
          <w:sz w:val="20"/>
          <w:szCs w:val="20"/>
          <w:lang w:val="en-US"/>
        </w:rPr>
        <w:t xml:space="preserve"> </w:t>
      </w:r>
      <w:r w:rsidR="00EA232B" w:rsidRPr="00D869E3">
        <w:rPr>
          <w:rFonts w:ascii="Verdana" w:hAnsi="Verdana" w:cs="Arial"/>
          <w:sz w:val="20"/>
          <w:szCs w:val="20"/>
          <w:lang w:val="en-US"/>
        </w:rPr>
        <w:t>the Electoral Committee</w:t>
      </w:r>
      <w:r w:rsidR="000D6F59" w:rsidRPr="00D869E3">
        <w:rPr>
          <w:rFonts w:ascii="Verdana" w:hAnsi="Verdana" w:cs="Arial"/>
          <w:sz w:val="20"/>
          <w:szCs w:val="20"/>
          <w:lang w:val="en-US"/>
        </w:rPr>
        <w:t>,</w:t>
      </w:r>
      <w:r w:rsidR="00275EDE" w:rsidRPr="00D869E3">
        <w:rPr>
          <w:rFonts w:ascii="Verdana" w:hAnsi="Verdana" w:cs="Arial"/>
          <w:sz w:val="20"/>
          <w:szCs w:val="20"/>
          <w:lang w:val="en-US"/>
        </w:rPr>
        <w:t xml:space="preserve"> </w:t>
      </w:r>
      <w:r w:rsidRPr="00D869E3">
        <w:rPr>
          <w:rFonts w:ascii="Verdana" w:hAnsi="Verdana" w:cs="Arial"/>
          <w:sz w:val="20"/>
          <w:szCs w:val="20"/>
          <w:lang w:val="en-US"/>
        </w:rPr>
        <w:t>presided by</w:t>
      </w:r>
      <w:r w:rsidR="00275EDE" w:rsidRPr="00D869E3">
        <w:rPr>
          <w:rFonts w:ascii="Verdana" w:hAnsi="Verdana" w:cs="Arial"/>
          <w:sz w:val="20"/>
          <w:szCs w:val="20"/>
          <w:lang w:val="en-US"/>
        </w:rPr>
        <w:t xml:space="preserve"> </w:t>
      </w:r>
      <w:r w:rsidR="001E44D3" w:rsidRPr="00D869E3">
        <w:rPr>
          <w:rFonts w:ascii="Verdana" w:hAnsi="Verdana" w:cs="Arial"/>
          <w:sz w:val="20"/>
          <w:szCs w:val="20"/>
          <w:lang w:val="en-US"/>
        </w:rPr>
        <w:t>Mr. Lagos del Campo</w:t>
      </w:r>
      <w:r w:rsidR="000D6F59" w:rsidRPr="00D869E3">
        <w:rPr>
          <w:rFonts w:ascii="Verdana" w:hAnsi="Verdana" w:cs="Arial"/>
          <w:sz w:val="20"/>
          <w:szCs w:val="20"/>
          <w:lang w:val="en-US"/>
        </w:rPr>
        <w:t>,</w:t>
      </w:r>
      <w:r w:rsidR="00275EDE" w:rsidRPr="00D869E3">
        <w:rPr>
          <w:rFonts w:ascii="Verdana" w:hAnsi="Verdana" w:cs="Arial"/>
          <w:sz w:val="20"/>
          <w:szCs w:val="20"/>
          <w:lang w:val="en-US"/>
        </w:rPr>
        <w:t xml:space="preserve"> </w:t>
      </w:r>
      <w:r w:rsidRPr="00D869E3">
        <w:rPr>
          <w:rFonts w:ascii="Verdana" w:hAnsi="Verdana" w:cs="Arial"/>
          <w:sz w:val="20"/>
          <w:szCs w:val="20"/>
          <w:lang w:val="en-US"/>
        </w:rPr>
        <w:t>scheduled a meetin</w:t>
      </w:r>
      <w:r w:rsidR="00601138" w:rsidRPr="00D869E3">
        <w:rPr>
          <w:rFonts w:ascii="Verdana" w:hAnsi="Verdana" w:cs="Arial"/>
          <w:sz w:val="20"/>
          <w:szCs w:val="20"/>
          <w:lang w:val="en-US"/>
        </w:rPr>
        <w:t>g</w:t>
      </w:r>
      <w:r w:rsidRPr="00D869E3">
        <w:rPr>
          <w:rFonts w:ascii="Verdana" w:hAnsi="Verdana" w:cs="Arial"/>
          <w:sz w:val="20"/>
          <w:szCs w:val="20"/>
          <w:lang w:val="en-US"/>
        </w:rPr>
        <w:t xml:space="preserve"> for June 27,</w:t>
      </w:r>
      <w:r w:rsidR="00275EDE" w:rsidRPr="00D869E3">
        <w:rPr>
          <w:rFonts w:ascii="Verdana" w:hAnsi="Verdana" w:cs="Arial"/>
          <w:sz w:val="20"/>
          <w:szCs w:val="20"/>
          <w:lang w:val="en-US"/>
        </w:rPr>
        <w:t xml:space="preserve"> 1989,</w:t>
      </w:r>
      <w:r w:rsidRPr="00D869E3">
        <w:rPr>
          <w:rFonts w:ascii="Verdana" w:hAnsi="Verdana" w:cs="Arial"/>
          <w:sz w:val="20"/>
          <w:szCs w:val="20"/>
          <w:lang w:val="en-US"/>
        </w:rPr>
        <w:t xml:space="preserve"> to coordinate the new election, as ordered by the</w:t>
      </w:r>
      <w:r w:rsidR="00275EDE" w:rsidRPr="00D869E3">
        <w:rPr>
          <w:rFonts w:ascii="Verdana" w:hAnsi="Verdana" w:cs="Arial"/>
          <w:sz w:val="20"/>
          <w:szCs w:val="20"/>
          <w:lang w:val="en-US"/>
        </w:rPr>
        <w:t xml:space="preserve"> </w:t>
      </w:r>
      <w:r w:rsidR="00EC2233" w:rsidRPr="00D869E3">
        <w:rPr>
          <w:rFonts w:ascii="Verdana" w:hAnsi="Verdana" w:cs="Arial"/>
          <w:sz w:val="20"/>
          <w:szCs w:val="20"/>
          <w:lang w:val="en-US"/>
        </w:rPr>
        <w:t>Participation Directorate</w:t>
      </w:r>
      <w:r w:rsidR="00275EDE" w:rsidRPr="00D869E3">
        <w:rPr>
          <w:rFonts w:ascii="Verdana" w:hAnsi="Verdana"/>
          <w:sz w:val="20"/>
          <w:szCs w:val="20"/>
          <w:lang w:val="en-US"/>
        </w:rPr>
        <w:t xml:space="preserve"> </w:t>
      </w:r>
      <w:r w:rsidRPr="00D869E3">
        <w:rPr>
          <w:rFonts w:ascii="Verdana" w:hAnsi="Verdana"/>
          <w:sz w:val="20"/>
          <w:szCs w:val="20"/>
          <w:lang w:val="en-US"/>
        </w:rPr>
        <w:t>of the Ministry</w:t>
      </w:r>
      <w:r w:rsidR="00F43C5F" w:rsidRPr="00D869E3">
        <w:rPr>
          <w:rFonts w:ascii="Verdana" w:hAnsi="Verdana"/>
          <w:sz w:val="20"/>
          <w:szCs w:val="20"/>
          <w:lang w:val="en-US"/>
        </w:rPr>
        <w:t xml:space="preserve"> of Industry</w:t>
      </w:r>
      <w:r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58"/>
      </w:r>
    </w:p>
    <w:p w14:paraId="7A281BC6" w14:textId="0C0A6434" w:rsidR="00275EDE" w:rsidRPr="00D869E3" w:rsidRDefault="00275EDE" w:rsidP="005D0ACD">
      <w:pPr>
        <w:jc w:val="both"/>
        <w:rPr>
          <w:rFonts w:ascii="Verdana" w:hAnsi="Verdana"/>
          <w:b/>
          <w:sz w:val="20"/>
          <w:szCs w:val="20"/>
          <w:lang w:val="en-US"/>
        </w:rPr>
      </w:pPr>
    </w:p>
    <w:p w14:paraId="6FBE64F3" w14:textId="3AE587E3" w:rsidR="00275EDE" w:rsidRPr="00D869E3" w:rsidRDefault="00601138" w:rsidP="00E66DD7">
      <w:pPr>
        <w:pStyle w:val="Ttulo2"/>
        <w:numPr>
          <w:ilvl w:val="0"/>
          <w:numId w:val="12"/>
        </w:numPr>
        <w:rPr>
          <w:rFonts w:eastAsia="MS Gothic"/>
          <w:i/>
          <w:iCs/>
          <w:szCs w:val="20"/>
          <w:lang w:val="en-US"/>
        </w:rPr>
      </w:pPr>
      <w:bookmarkStart w:id="22" w:name="_Toc29114116"/>
      <w:r w:rsidRPr="00D869E3">
        <w:rPr>
          <w:rFonts w:eastAsia="MS Gothic"/>
          <w:i/>
          <w:iCs/>
          <w:szCs w:val="20"/>
          <w:lang w:val="en-US"/>
        </w:rPr>
        <w:t>The dismissal of Mr. Lagos del Campo and the applicable legal framework</w:t>
      </w:r>
      <w:bookmarkEnd w:id="22"/>
    </w:p>
    <w:p w14:paraId="7633BF60" w14:textId="77777777" w:rsidR="00275EDE" w:rsidRPr="00D869E3" w:rsidRDefault="00275EDE" w:rsidP="00275EDE">
      <w:pPr>
        <w:autoSpaceDE w:val="0"/>
        <w:autoSpaceDN w:val="0"/>
        <w:adjustRightInd w:val="0"/>
        <w:ind w:left="720"/>
        <w:jc w:val="both"/>
        <w:rPr>
          <w:rFonts w:ascii="Verdana" w:hAnsi="Verdana"/>
          <w:b/>
          <w:sz w:val="20"/>
          <w:szCs w:val="20"/>
          <w:lang w:val="en-US"/>
        </w:rPr>
      </w:pPr>
      <w:r w:rsidRPr="00D869E3">
        <w:rPr>
          <w:rFonts w:ascii="Verdana" w:hAnsi="Verdana"/>
          <w:b/>
          <w:sz w:val="20"/>
          <w:szCs w:val="20"/>
          <w:lang w:val="en-US"/>
        </w:rPr>
        <w:t xml:space="preserve"> </w:t>
      </w:r>
    </w:p>
    <w:p w14:paraId="3A41C4E1" w14:textId="3059DDF8" w:rsidR="00275EDE" w:rsidRPr="00D869E3" w:rsidRDefault="00601138" w:rsidP="006436CA">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In this context</w:t>
      </w:r>
      <w:r w:rsidR="00275EDE" w:rsidRPr="00D869E3">
        <w:rPr>
          <w:rFonts w:ascii="Verdana" w:hAnsi="Verdana"/>
          <w:sz w:val="20"/>
          <w:szCs w:val="20"/>
          <w:lang w:val="en-US"/>
        </w:rPr>
        <w:t xml:space="preserve">, </w:t>
      </w:r>
      <w:r w:rsidR="006436CA" w:rsidRPr="00D869E3">
        <w:rPr>
          <w:rFonts w:ascii="Verdana" w:hAnsi="Verdana"/>
          <w:sz w:val="20"/>
          <w:szCs w:val="20"/>
          <w:lang w:val="en-US"/>
        </w:rPr>
        <w:t>during his term as</w:t>
      </w:r>
      <w:r w:rsidR="00C66688" w:rsidRPr="00D869E3">
        <w:rPr>
          <w:rFonts w:ascii="Verdana" w:hAnsi="Verdana"/>
          <w:sz w:val="20"/>
          <w:szCs w:val="20"/>
          <w:lang w:val="en-US"/>
        </w:rPr>
        <w:t xml:space="preserve">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w:t>
      </w:r>
      <w:r w:rsidR="00275EDE"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275EDE" w:rsidRPr="00D869E3">
        <w:rPr>
          <w:rFonts w:ascii="Verdana" w:hAnsi="Verdana"/>
          <w:sz w:val="20"/>
          <w:szCs w:val="20"/>
          <w:lang w:val="en-US"/>
        </w:rPr>
        <w:t xml:space="preserve"> </w:t>
      </w:r>
      <w:r w:rsidR="006436CA" w:rsidRPr="00D869E3">
        <w:rPr>
          <w:rFonts w:ascii="Verdana" w:hAnsi="Verdana"/>
          <w:sz w:val="20"/>
          <w:szCs w:val="20"/>
          <w:lang w:val="en-US"/>
        </w:rPr>
        <w:t>gave an interview to a journalist of “</w:t>
      </w:r>
      <w:r w:rsidR="00275EDE" w:rsidRPr="00D869E3">
        <w:rPr>
          <w:rFonts w:ascii="Verdana" w:hAnsi="Verdana"/>
          <w:i/>
          <w:iCs/>
          <w:sz w:val="20"/>
          <w:szCs w:val="20"/>
          <w:lang w:val="en-US"/>
        </w:rPr>
        <w:t>La Razón</w:t>
      </w:r>
      <w:r w:rsidR="006436CA"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59"/>
      </w:r>
      <w:r w:rsidR="00275EDE" w:rsidRPr="00D869E3">
        <w:rPr>
          <w:rFonts w:ascii="Verdana" w:hAnsi="Verdana"/>
          <w:sz w:val="20"/>
          <w:szCs w:val="20"/>
          <w:lang w:val="en-US"/>
        </w:rPr>
        <w:t xml:space="preserve"> </w:t>
      </w:r>
      <w:r w:rsidR="006436CA" w:rsidRPr="00D869E3">
        <w:rPr>
          <w:rFonts w:ascii="Verdana" w:hAnsi="Verdana"/>
          <w:sz w:val="20"/>
          <w:szCs w:val="20"/>
          <w:lang w:val="en-US"/>
        </w:rPr>
        <w:t>in June</w:t>
      </w:r>
      <w:r w:rsidR="00275EDE" w:rsidRPr="00D869E3">
        <w:rPr>
          <w:rFonts w:ascii="Verdana" w:hAnsi="Verdana"/>
          <w:sz w:val="20"/>
          <w:szCs w:val="20"/>
          <w:lang w:val="en-US"/>
        </w:rPr>
        <w:t xml:space="preserve"> 1989. </w:t>
      </w:r>
      <w:r w:rsidR="006436CA" w:rsidRPr="00D869E3">
        <w:rPr>
          <w:rFonts w:ascii="Verdana" w:hAnsi="Verdana"/>
          <w:sz w:val="20"/>
          <w:szCs w:val="20"/>
          <w:lang w:val="en-US"/>
        </w:rPr>
        <w:t>The a</w:t>
      </w:r>
      <w:r w:rsidR="00447C65" w:rsidRPr="00D869E3">
        <w:rPr>
          <w:rFonts w:ascii="Verdana" w:hAnsi="Verdana"/>
          <w:sz w:val="20"/>
          <w:szCs w:val="20"/>
          <w:lang w:val="en-US"/>
        </w:rPr>
        <w:t>rticle</w:t>
      </w:r>
      <w:r w:rsidR="00275EDE" w:rsidRPr="00D869E3">
        <w:rPr>
          <w:rFonts w:ascii="Verdana" w:hAnsi="Verdana"/>
          <w:sz w:val="20"/>
          <w:szCs w:val="20"/>
          <w:lang w:val="en-US"/>
        </w:rPr>
        <w:t xml:space="preserve"> publi</w:t>
      </w:r>
      <w:r w:rsidR="006436CA" w:rsidRPr="00D869E3">
        <w:rPr>
          <w:rFonts w:ascii="Verdana" w:hAnsi="Verdana"/>
          <w:sz w:val="20"/>
          <w:szCs w:val="20"/>
          <w:lang w:val="en-US"/>
        </w:rPr>
        <w:t>shed two weeks later indicated that “</w:t>
      </w:r>
      <w:r w:rsidR="00447C65" w:rsidRPr="00D869E3">
        <w:rPr>
          <w:rFonts w:ascii="Verdana" w:hAnsi="Verdana"/>
          <w:sz w:val="20"/>
          <w:szCs w:val="20"/>
          <w:lang w:val="en-US"/>
        </w:rPr>
        <w:t xml:space="preserve">the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 of the </w:t>
      </w:r>
      <w:r w:rsidR="006436CA" w:rsidRPr="00D869E3">
        <w:rPr>
          <w:rFonts w:ascii="Verdana" w:hAnsi="Verdana"/>
          <w:sz w:val="20"/>
          <w:szCs w:val="20"/>
          <w:lang w:val="en-US"/>
        </w:rPr>
        <w:t xml:space="preserve">company’s </w:t>
      </w:r>
      <w:r w:rsidR="00EA232B" w:rsidRPr="00D869E3">
        <w:rPr>
          <w:rFonts w:ascii="Verdana" w:hAnsi="Verdana"/>
          <w:sz w:val="20"/>
          <w:szCs w:val="20"/>
          <w:lang w:val="en-US"/>
        </w:rPr>
        <w:t>Industrial Community</w:t>
      </w:r>
      <w:r w:rsidR="00275EDE" w:rsidRPr="00D869E3">
        <w:rPr>
          <w:rFonts w:ascii="Verdana" w:hAnsi="Verdana"/>
          <w:sz w:val="20"/>
          <w:szCs w:val="20"/>
          <w:lang w:val="en-US"/>
        </w:rPr>
        <w:t xml:space="preserve">, </w:t>
      </w:r>
      <w:r w:rsidR="006436CA" w:rsidRPr="00D869E3">
        <w:rPr>
          <w:rFonts w:ascii="Verdana" w:hAnsi="Verdana"/>
          <w:sz w:val="20"/>
          <w:szCs w:val="20"/>
          <w:lang w:val="en-US"/>
        </w:rPr>
        <w:t xml:space="preserve">Mr. </w:t>
      </w:r>
      <w:r w:rsidR="00275EDE" w:rsidRPr="00D869E3">
        <w:rPr>
          <w:rFonts w:ascii="Verdana" w:hAnsi="Verdana"/>
          <w:sz w:val="20"/>
          <w:szCs w:val="20"/>
          <w:lang w:val="en-US"/>
        </w:rPr>
        <w:t xml:space="preserve">Lagos del Campo, </w:t>
      </w:r>
      <w:r w:rsidR="006436CA" w:rsidRPr="00D869E3">
        <w:rPr>
          <w:rFonts w:ascii="Verdana" w:hAnsi="Verdana"/>
          <w:sz w:val="20"/>
          <w:szCs w:val="20"/>
          <w:lang w:val="en-US"/>
        </w:rPr>
        <w:t>a delegate to the</w:t>
      </w:r>
      <w:r w:rsidR="00275EDE" w:rsidRPr="00D869E3">
        <w:rPr>
          <w:rFonts w:ascii="Verdana" w:hAnsi="Verdana"/>
          <w:sz w:val="20"/>
          <w:szCs w:val="20"/>
          <w:lang w:val="en-US"/>
        </w:rPr>
        <w:t xml:space="preserve"> CONACI</w:t>
      </w:r>
      <w:r w:rsidR="00E72D85" w:rsidRPr="00D869E3">
        <w:rPr>
          <w:rFonts w:ascii="Verdana" w:hAnsi="Verdana"/>
          <w:sz w:val="20"/>
          <w:szCs w:val="20"/>
          <w:lang w:val="en-US"/>
        </w:rPr>
        <w:t>,</w:t>
      </w:r>
      <w:r w:rsidR="00275EDE" w:rsidRPr="00D869E3">
        <w:rPr>
          <w:rFonts w:ascii="Verdana" w:hAnsi="Verdana"/>
          <w:sz w:val="20"/>
          <w:szCs w:val="20"/>
          <w:lang w:val="en-US"/>
        </w:rPr>
        <w:t xml:space="preserve"> den</w:t>
      </w:r>
      <w:r w:rsidR="006436CA" w:rsidRPr="00D869E3">
        <w:rPr>
          <w:rFonts w:ascii="Verdana" w:hAnsi="Verdana"/>
          <w:sz w:val="20"/>
          <w:szCs w:val="20"/>
          <w:lang w:val="en-US"/>
        </w:rPr>
        <w:t>ounced before public opinion and the competent authorities the destructive maneuvers of the employer who</w:t>
      </w:r>
      <w:r w:rsidR="00CC4B3E" w:rsidRPr="00D869E3">
        <w:rPr>
          <w:rFonts w:ascii="Verdana" w:hAnsi="Verdana"/>
          <w:sz w:val="20"/>
          <w:szCs w:val="20"/>
          <w:lang w:val="en-US"/>
        </w:rPr>
        <w:t xml:space="preserve">, taking advantage of </w:t>
      </w:r>
      <w:r w:rsidR="006436CA" w:rsidRPr="00D869E3">
        <w:rPr>
          <w:rFonts w:ascii="Verdana" w:hAnsi="Verdana"/>
          <w:sz w:val="20"/>
          <w:szCs w:val="20"/>
          <w:lang w:val="en-US"/>
        </w:rPr>
        <w:t>the hesitation of some workers</w:t>
      </w:r>
      <w:r w:rsidR="00CC4B3E" w:rsidRPr="00D869E3">
        <w:rPr>
          <w:rFonts w:ascii="Verdana" w:hAnsi="Verdana"/>
          <w:sz w:val="20"/>
          <w:szCs w:val="20"/>
          <w:lang w:val="en-US"/>
        </w:rPr>
        <w:t>,</w:t>
      </w:r>
      <w:r w:rsidR="006436CA" w:rsidRPr="00D869E3">
        <w:rPr>
          <w:rFonts w:ascii="Verdana" w:hAnsi="Verdana"/>
          <w:sz w:val="20"/>
          <w:szCs w:val="20"/>
          <w:lang w:val="en-US"/>
        </w:rPr>
        <w:t xml:space="preserve"> </w:t>
      </w:r>
      <w:r w:rsidR="00CC4B3E" w:rsidRPr="00D869E3">
        <w:rPr>
          <w:rFonts w:ascii="Verdana" w:hAnsi="Verdana"/>
          <w:sz w:val="20"/>
          <w:szCs w:val="20"/>
          <w:lang w:val="en-US"/>
        </w:rPr>
        <w:t>organized</w:t>
      </w:r>
      <w:r w:rsidR="006436CA" w:rsidRPr="00D869E3">
        <w:rPr>
          <w:rFonts w:ascii="Verdana" w:hAnsi="Verdana"/>
          <w:sz w:val="20"/>
          <w:szCs w:val="20"/>
          <w:lang w:val="en-US"/>
        </w:rPr>
        <w:t xml:space="preserve"> fraudulent elections that were held </w:t>
      </w:r>
      <w:r w:rsidR="006436CA" w:rsidRPr="00D869E3">
        <w:rPr>
          <w:rFonts w:ascii="Verdana" w:hAnsi="Verdana"/>
          <w:sz w:val="20"/>
          <w:szCs w:val="20"/>
          <w:lang w:val="en-US"/>
        </w:rPr>
        <w:lastRenderedPageBreak/>
        <w:t>without the participation of the Electoral Committee and the majority participation of the members of the Community.”</w:t>
      </w:r>
      <w:r w:rsidR="00275EDE" w:rsidRPr="00D869E3">
        <w:rPr>
          <w:rFonts w:ascii="Verdana" w:hAnsi="Verdana"/>
          <w:sz w:val="20"/>
          <w:szCs w:val="20"/>
          <w:vertAlign w:val="superscript"/>
          <w:lang w:val="en-US"/>
        </w:rPr>
        <w:footnoteReference w:id="60"/>
      </w:r>
      <w:r w:rsidR="006436CA" w:rsidRPr="00D869E3">
        <w:rPr>
          <w:rFonts w:ascii="Verdana" w:hAnsi="Verdana" w:cs="Arial"/>
          <w:sz w:val="20"/>
          <w:szCs w:val="20"/>
          <w:lang w:val="en-US"/>
        </w:rPr>
        <w:t xml:space="preserve">  </w:t>
      </w:r>
    </w:p>
    <w:p w14:paraId="082AC116" w14:textId="77777777" w:rsidR="00275EDE" w:rsidRPr="00D869E3" w:rsidRDefault="00275EDE" w:rsidP="00275EDE">
      <w:pPr>
        <w:jc w:val="both"/>
        <w:rPr>
          <w:rFonts w:ascii="Verdana" w:hAnsi="Verdana"/>
          <w:b/>
          <w:sz w:val="20"/>
          <w:szCs w:val="20"/>
          <w:lang w:val="en-US"/>
        </w:rPr>
      </w:pPr>
    </w:p>
    <w:p w14:paraId="6B3E1832" w14:textId="7AED7982" w:rsidR="00275EDE" w:rsidRPr="00D869E3" w:rsidRDefault="006436CA" w:rsidP="00E66DD7">
      <w:pPr>
        <w:pStyle w:val="Prrafodelista"/>
        <w:numPr>
          <w:ilvl w:val="0"/>
          <w:numId w:val="1"/>
        </w:numPr>
        <w:ind w:left="0" w:hanging="11"/>
        <w:jc w:val="both"/>
        <w:rPr>
          <w:rFonts w:ascii="Verdana" w:hAnsi="Verdana"/>
          <w:b/>
          <w:sz w:val="20"/>
          <w:szCs w:val="20"/>
          <w:lang w:val="en-US"/>
        </w:rPr>
      </w:pPr>
      <w:r w:rsidRPr="00D869E3">
        <w:rPr>
          <w:rFonts w:ascii="Verdana" w:hAnsi="Verdana" w:cs="Arial"/>
          <w:sz w:val="20"/>
          <w:szCs w:val="20"/>
          <w:lang w:val="en-US"/>
        </w:rPr>
        <w:t>I</w:t>
      </w:r>
      <w:r w:rsidR="00275EDE" w:rsidRPr="00D869E3">
        <w:rPr>
          <w:rFonts w:ascii="Verdana" w:hAnsi="Verdana" w:cs="Arial"/>
          <w:sz w:val="20"/>
          <w:szCs w:val="20"/>
          <w:lang w:val="en-US"/>
        </w:rPr>
        <w:t xml:space="preserve">n particular, </w:t>
      </w:r>
      <w:r w:rsidRPr="00D869E3">
        <w:rPr>
          <w:rFonts w:ascii="Verdana" w:hAnsi="Verdana" w:cs="Arial"/>
          <w:sz w:val="20"/>
          <w:szCs w:val="20"/>
          <w:lang w:val="en-US"/>
        </w:rPr>
        <w:t>the interview indicated the following:</w:t>
      </w:r>
      <w:r w:rsidR="00275EDE" w:rsidRPr="00D869E3">
        <w:rPr>
          <w:rFonts w:ascii="Verdana" w:hAnsi="Verdana"/>
          <w:sz w:val="20"/>
          <w:szCs w:val="20"/>
          <w:vertAlign w:val="superscript"/>
          <w:lang w:val="en-US"/>
        </w:rPr>
        <w:footnoteReference w:id="61"/>
      </w:r>
      <w:r w:rsidR="00275EDE" w:rsidRPr="00D869E3">
        <w:rPr>
          <w:rFonts w:ascii="Verdana" w:hAnsi="Verdana" w:cs="Arial"/>
          <w:sz w:val="20"/>
          <w:szCs w:val="20"/>
          <w:lang w:val="en-US"/>
        </w:rPr>
        <w:t xml:space="preserve"> </w:t>
      </w:r>
    </w:p>
    <w:p w14:paraId="483320A3" w14:textId="77777777" w:rsidR="00275EDE" w:rsidRPr="00D869E3" w:rsidRDefault="00275EDE" w:rsidP="009C6F8E">
      <w:pPr>
        <w:jc w:val="both"/>
        <w:rPr>
          <w:rFonts w:ascii="Verdana" w:hAnsi="Verdana" w:cs="Arial"/>
          <w:sz w:val="20"/>
          <w:szCs w:val="20"/>
          <w:lang w:val="en-US"/>
        </w:rPr>
      </w:pPr>
    </w:p>
    <w:p w14:paraId="6C77EB66" w14:textId="2941D70E" w:rsidR="00275EDE" w:rsidRPr="00D869E3" w:rsidRDefault="006436CA" w:rsidP="00D61BD2">
      <w:pPr>
        <w:ind w:right="713" w:firstLine="990"/>
        <w:contextualSpacing/>
        <w:jc w:val="both"/>
        <w:rPr>
          <w:rFonts w:ascii="Verdana" w:eastAsia="Times New Roman" w:hAnsi="Verdana"/>
          <w:bCs/>
          <w:i/>
          <w:iCs/>
          <w:sz w:val="18"/>
          <w:szCs w:val="18"/>
          <w:lang w:val="en-US"/>
        </w:rPr>
      </w:pPr>
      <w:r w:rsidRPr="00D869E3">
        <w:rPr>
          <w:rFonts w:ascii="Verdana" w:eastAsia="Times New Roman" w:hAnsi="Verdana"/>
          <w:sz w:val="18"/>
          <w:szCs w:val="18"/>
          <w:lang w:val="en-US"/>
        </w:rPr>
        <w:t>“</w:t>
      </w:r>
      <w:r w:rsidRPr="00D869E3">
        <w:rPr>
          <w:rFonts w:ascii="Verdana" w:eastAsia="Times New Roman" w:hAnsi="Verdana"/>
          <w:bCs/>
          <w:i/>
          <w:iCs/>
          <w:sz w:val="18"/>
          <w:szCs w:val="18"/>
          <w:lang w:val="en-US"/>
        </w:rPr>
        <w:t>Mr. Lagos, did you agree with the call for elections?</w:t>
      </w:r>
    </w:p>
    <w:p w14:paraId="6D09857B" w14:textId="51A2959D" w:rsidR="006436CA" w:rsidRPr="00D869E3" w:rsidRDefault="006436CA" w:rsidP="00D61BD2">
      <w:pPr>
        <w:ind w:left="990" w:right="713"/>
        <w:contextualSpacing/>
        <w:jc w:val="both"/>
        <w:rPr>
          <w:rFonts w:ascii="Verdana" w:eastAsia="Times New Roman" w:hAnsi="Verdana"/>
          <w:i/>
          <w:iCs/>
          <w:sz w:val="18"/>
          <w:szCs w:val="18"/>
          <w:lang w:val="en-US"/>
        </w:rPr>
      </w:pPr>
      <w:r w:rsidRPr="00D869E3">
        <w:rPr>
          <w:rFonts w:ascii="Verdana" w:eastAsia="Times New Roman" w:hAnsi="Verdana"/>
          <w:i/>
          <w:iCs/>
          <w:sz w:val="18"/>
          <w:szCs w:val="18"/>
          <w:lang w:val="en-US"/>
        </w:rPr>
        <w:t>I did not agree</w:t>
      </w:r>
      <w:r w:rsidR="007916DC" w:rsidRPr="00D869E3">
        <w:rPr>
          <w:rFonts w:ascii="Verdana" w:eastAsia="Times New Roman" w:hAnsi="Verdana"/>
          <w:i/>
          <w:iCs/>
          <w:sz w:val="18"/>
          <w:szCs w:val="18"/>
          <w:lang w:val="en-US"/>
        </w:rPr>
        <w:t>,</w:t>
      </w:r>
      <w:r w:rsidRPr="00D869E3">
        <w:rPr>
          <w:rFonts w:ascii="Verdana" w:eastAsia="Times New Roman" w:hAnsi="Verdana"/>
          <w:i/>
          <w:iCs/>
          <w:sz w:val="18"/>
          <w:szCs w:val="18"/>
          <w:lang w:val="en-US"/>
        </w:rPr>
        <w:t xml:space="preserve"> because the company</w:t>
      </w:r>
      <w:r w:rsidR="007916DC" w:rsidRPr="00D869E3">
        <w:rPr>
          <w:rFonts w:ascii="Verdana" w:eastAsia="Times New Roman" w:hAnsi="Verdana"/>
          <w:i/>
          <w:iCs/>
          <w:sz w:val="18"/>
          <w:szCs w:val="18"/>
          <w:lang w:val="en-US"/>
        </w:rPr>
        <w:t>’s</w:t>
      </w:r>
      <w:r w:rsidRPr="00D869E3">
        <w:rPr>
          <w:rFonts w:ascii="Verdana" w:eastAsia="Times New Roman" w:hAnsi="Verdana"/>
          <w:i/>
          <w:iCs/>
          <w:sz w:val="18"/>
          <w:szCs w:val="18"/>
          <w:lang w:val="en-US"/>
        </w:rPr>
        <w:t xml:space="preserve"> Board </w:t>
      </w:r>
      <w:r w:rsidR="007916DC" w:rsidRPr="00D869E3">
        <w:rPr>
          <w:rFonts w:ascii="Verdana" w:eastAsia="Times New Roman" w:hAnsi="Verdana"/>
          <w:i/>
          <w:iCs/>
          <w:sz w:val="18"/>
          <w:szCs w:val="18"/>
          <w:lang w:val="en-US"/>
        </w:rPr>
        <w:t xml:space="preserve">of Directors </w:t>
      </w:r>
      <w:r w:rsidRPr="00D869E3">
        <w:rPr>
          <w:rFonts w:ascii="Verdana" w:eastAsia="Times New Roman" w:hAnsi="Verdana"/>
          <w:i/>
          <w:iCs/>
          <w:sz w:val="18"/>
          <w:szCs w:val="18"/>
          <w:lang w:val="en-US"/>
        </w:rPr>
        <w:t xml:space="preserve">had used and </w:t>
      </w:r>
      <w:r w:rsidR="007916DC" w:rsidRPr="00D869E3">
        <w:rPr>
          <w:rFonts w:ascii="Verdana" w:eastAsia="Times New Roman" w:hAnsi="Verdana"/>
          <w:i/>
          <w:iCs/>
          <w:sz w:val="18"/>
          <w:szCs w:val="18"/>
          <w:lang w:val="en-US"/>
        </w:rPr>
        <w:t xml:space="preserve">continues to </w:t>
      </w:r>
      <w:r w:rsidRPr="00D869E3">
        <w:rPr>
          <w:rFonts w:ascii="Verdana" w:eastAsia="Times New Roman" w:hAnsi="Verdana"/>
          <w:i/>
          <w:iCs/>
          <w:sz w:val="18"/>
          <w:szCs w:val="18"/>
          <w:lang w:val="en-US"/>
        </w:rPr>
        <w:t xml:space="preserve">use </w:t>
      </w:r>
      <w:r w:rsidR="006543DC" w:rsidRPr="00D869E3">
        <w:rPr>
          <w:rFonts w:ascii="Verdana" w:eastAsia="Times New Roman" w:hAnsi="Verdana"/>
          <w:i/>
          <w:iCs/>
          <w:sz w:val="18"/>
          <w:szCs w:val="18"/>
          <w:lang w:val="en-US"/>
        </w:rPr>
        <w:t>blackmail</w:t>
      </w:r>
      <w:r w:rsidRPr="00D869E3">
        <w:rPr>
          <w:rFonts w:ascii="Verdana" w:eastAsia="Times New Roman" w:hAnsi="Verdana"/>
          <w:i/>
          <w:iCs/>
          <w:sz w:val="18"/>
          <w:szCs w:val="18"/>
          <w:lang w:val="en-US"/>
        </w:rPr>
        <w:t xml:space="preserve"> and coercion (sic) </w:t>
      </w:r>
      <w:r w:rsidR="007916DC" w:rsidRPr="00D869E3">
        <w:rPr>
          <w:rFonts w:ascii="Verdana" w:eastAsia="Times New Roman" w:hAnsi="Verdana"/>
          <w:i/>
          <w:iCs/>
          <w:sz w:val="18"/>
          <w:szCs w:val="18"/>
          <w:lang w:val="en-US"/>
        </w:rPr>
        <w:t>against</w:t>
      </w:r>
      <w:r w:rsidRPr="00D869E3">
        <w:rPr>
          <w:rFonts w:ascii="Verdana" w:eastAsia="Times New Roman" w:hAnsi="Verdana"/>
          <w:i/>
          <w:iCs/>
          <w:sz w:val="18"/>
          <w:szCs w:val="18"/>
          <w:lang w:val="en-US"/>
        </w:rPr>
        <w:t xml:space="preserve"> the members of the Community, </w:t>
      </w:r>
      <w:r w:rsidR="00AA0003" w:rsidRPr="00D869E3">
        <w:rPr>
          <w:rFonts w:ascii="Verdana" w:eastAsia="Times New Roman" w:hAnsi="Verdana"/>
          <w:i/>
          <w:iCs/>
          <w:sz w:val="18"/>
          <w:szCs w:val="18"/>
          <w:lang w:val="en-US"/>
        </w:rPr>
        <w:t xml:space="preserve">exerting pressure on a </w:t>
      </w:r>
      <w:r w:rsidR="007916DC" w:rsidRPr="00D869E3">
        <w:rPr>
          <w:rFonts w:ascii="Verdana" w:eastAsia="Times New Roman" w:hAnsi="Verdana"/>
          <w:i/>
          <w:iCs/>
          <w:sz w:val="18"/>
          <w:szCs w:val="18"/>
          <w:lang w:val="en-US"/>
        </w:rPr>
        <w:t>particular</w:t>
      </w:r>
      <w:r w:rsidR="00AA0003" w:rsidRPr="00D869E3">
        <w:rPr>
          <w:rFonts w:ascii="Verdana" w:eastAsia="Times New Roman" w:hAnsi="Verdana"/>
          <w:i/>
          <w:iCs/>
          <w:sz w:val="18"/>
          <w:szCs w:val="18"/>
          <w:lang w:val="en-US"/>
        </w:rPr>
        <w:t xml:space="preserve"> group of workers to make them take part in the elections under threat of dismissal.</w:t>
      </w:r>
    </w:p>
    <w:p w14:paraId="2AF44A87" w14:textId="77777777" w:rsidR="00275EDE" w:rsidRPr="00D869E3" w:rsidRDefault="00275EDE" w:rsidP="00AA0003">
      <w:pPr>
        <w:ind w:right="713"/>
        <w:contextualSpacing/>
        <w:jc w:val="both"/>
        <w:rPr>
          <w:rFonts w:ascii="Verdana" w:eastAsia="Times New Roman" w:hAnsi="Verdana"/>
          <w:bCs/>
          <w:i/>
          <w:iCs/>
          <w:sz w:val="18"/>
          <w:szCs w:val="18"/>
          <w:lang w:val="en-US"/>
        </w:rPr>
      </w:pPr>
    </w:p>
    <w:p w14:paraId="78DBDAA2" w14:textId="6978DF2A" w:rsidR="00275EDE" w:rsidRPr="00D869E3" w:rsidRDefault="00AA0003" w:rsidP="00D61BD2">
      <w:pPr>
        <w:ind w:left="862" w:right="713" w:firstLine="128"/>
        <w:contextualSpacing/>
        <w:jc w:val="both"/>
        <w:rPr>
          <w:rFonts w:ascii="Verdana" w:eastAsia="Times New Roman" w:hAnsi="Verdana"/>
          <w:bCs/>
          <w:i/>
          <w:iCs/>
          <w:sz w:val="18"/>
          <w:szCs w:val="18"/>
          <w:lang w:val="en-US"/>
        </w:rPr>
      </w:pPr>
      <w:r w:rsidRPr="00D869E3">
        <w:rPr>
          <w:rFonts w:ascii="Verdana" w:eastAsia="Times New Roman" w:hAnsi="Verdana"/>
          <w:bCs/>
          <w:i/>
          <w:iCs/>
          <w:sz w:val="18"/>
          <w:szCs w:val="18"/>
          <w:lang w:val="en-US"/>
        </w:rPr>
        <w:t xml:space="preserve">Do you consider the elections </w:t>
      </w:r>
      <w:r w:rsidR="007916DC" w:rsidRPr="00D869E3">
        <w:rPr>
          <w:rFonts w:ascii="Verdana" w:eastAsia="Times New Roman" w:hAnsi="Verdana"/>
          <w:bCs/>
          <w:i/>
          <w:iCs/>
          <w:sz w:val="18"/>
          <w:szCs w:val="18"/>
          <w:lang w:val="en-US"/>
        </w:rPr>
        <w:t>to be</w:t>
      </w:r>
      <w:r w:rsidRPr="00D869E3">
        <w:rPr>
          <w:rFonts w:ascii="Verdana" w:eastAsia="Times New Roman" w:hAnsi="Verdana"/>
          <w:bCs/>
          <w:i/>
          <w:iCs/>
          <w:sz w:val="18"/>
          <w:szCs w:val="18"/>
          <w:lang w:val="en-US"/>
        </w:rPr>
        <w:t xml:space="preserve"> legal?</w:t>
      </w:r>
      <w:r w:rsidR="00275EDE" w:rsidRPr="00D869E3">
        <w:rPr>
          <w:rFonts w:ascii="Verdana" w:eastAsia="Times New Roman" w:hAnsi="Verdana"/>
          <w:bCs/>
          <w:i/>
          <w:iCs/>
          <w:sz w:val="18"/>
          <w:szCs w:val="18"/>
          <w:lang w:val="en-US"/>
        </w:rPr>
        <w:t xml:space="preserve"> </w:t>
      </w:r>
    </w:p>
    <w:p w14:paraId="49A0E5FA" w14:textId="170186FA" w:rsidR="00AA0003" w:rsidRPr="00D869E3" w:rsidRDefault="00275EDE" w:rsidP="00D61BD2">
      <w:pPr>
        <w:ind w:left="990" w:right="713"/>
        <w:contextualSpacing/>
        <w:jc w:val="both"/>
        <w:rPr>
          <w:rFonts w:ascii="Verdana" w:eastAsia="Times New Roman" w:hAnsi="Verdana"/>
          <w:i/>
          <w:iCs/>
          <w:sz w:val="18"/>
          <w:szCs w:val="18"/>
          <w:lang w:val="en-US"/>
        </w:rPr>
      </w:pPr>
      <w:r w:rsidRPr="00D869E3">
        <w:rPr>
          <w:rFonts w:ascii="Verdana" w:eastAsia="Times New Roman" w:hAnsi="Verdana"/>
          <w:i/>
          <w:iCs/>
          <w:sz w:val="18"/>
          <w:szCs w:val="18"/>
          <w:lang w:val="en-US"/>
        </w:rPr>
        <w:t xml:space="preserve">No, </w:t>
      </w:r>
      <w:r w:rsidR="00AA0003" w:rsidRPr="00D869E3">
        <w:rPr>
          <w:rFonts w:ascii="Verdana" w:eastAsia="Times New Roman" w:hAnsi="Verdana"/>
          <w:i/>
          <w:iCs/>
          <w:sz w:val="18"/>
          <w:szCs w:val="18"/>
          <w:lang w:val="en-US"/>
        </w:rPr>
        <w:t>they are not legal. According to a</w:t>
      </w:r>
      <w:r w:rsidR="00447C65" w:rsidRPr="00D869E3">
        <w:rPr>
          <w:rFonts w:ascii="Verdana" w:eastAsia="Times New Roman" w:hAnsi="Verdana"/>
          <w:i/>
          <w:iCs/>
          <w:sz w:val="18"/>
          <w:szCs w:val="18"/>
          <w:lang w:val="en-US"/>
        </w:rPr>
        <w:t>rticle</w:t>
      </w:r>
      <w:r w:rsidRPr="00D869E3">
        <w:rPr>
          <w:rFonts w:ascii="Verdana" w:eastAsia="Times New Roman" w:hAnsi="Verdana"/>
          <w:i/>
          <w:iCs/>
          <w:sz w:val="18"/>
          <w:szCs w:val="18"/>
          <w:lang w:val="en-US"/>
        </w:rPr>
        <w:t xml:space="preserve"> 61 </w:t>
      </w:r>
      <w:r w:rsidR="00AA0003" w:rsidRPr="00D869E3">
        <w:rPr>
          <w:rFonts w:ascii="Verdana" w:eastAsia="Times New Roman" w:hAnsi="Verdana"/>
          <w:i/>
          <w:iCs/>
          <w:sz w:val="18"/>
          <w:szCs w:val="18"/>
          <w:lang w:val="en-US"/>
        </w:rPr>
        <w:t>(</w:t>
      </w:r>
      <w:r w:rsidRPr="00D869E3">
        <w:rPr>
          <w:rFonts w:ascii="Verdana" w:eastAsia="Times New Roman" w:hAnsi="Verdana"/>
          <w:i/>
          <w:iCs/>
          <w:sz w:val="18"/>
          <w:szCs w:val="18"/>
          <w:lang w:val="en-US"/>
        </w:rPr>
        <w:t>15</w:t>
      </w:r>
      <w:r w:rsidR="00AA0003" w:rsidRPr="00D869E3">
        <w:rPr>
          <w:rFonts w:ascii="Verdana" w:eastAsia="Times New Roman" w:hAnsi="Verdana"/>
          <w:i/>
          <w:iCs/>
          <w:sz w:val="18"/>
          <w:szCs w:val="18"/>
          <w:lang w:val="en-US"/>
        </w:rPr>
        <w:t>)</w:t>
      </w:r>
      <w:r w:rsidRPr="00D869E3">
        <w:rPr>
          <w:rFonts w:ascii="Verdana" w:eastAsia="Times New Roman" w:hAnsi="Verdana"/>
          <w:i/>
          <w:iCs/>
          <w:sz w:val="18"/>
          <w:szCs w:val="18"/>
          <w:lang w:val="en-US"/>
        </w:rPr>
        <w:t xml:space="preserve"> </w:t>
      </w:r>
      <w:r w:rsidR="00AA0003" w:rsidRPr="00D869E3">
        <w:rPr>
          <w:rFonts w:ascii="Verdana" w:eastAsia="Times New Roman" w:hAnsi="Verdana"/>
          <w:i/>
          <w:iCs/>
          <w:sz w:val="18"/>
          <w:szCs w:val="18"/>
          <w:lang w:val="en-US"/>
        </w:rPr>
        <w:t>of</w:t>
      </w:r>
      <w:r w:rsidRPr="00D869E3">
        <w:rPr>
          <w:rFonts w:ascii="Verdana" w:eastAsia="Times New Roman" w:hAnsi="Verdana"/>
          <w:i/>
          <w:iCs/>
          <w:sz w:val="18"/>
          <w:szCs w:val="18"/>
          <w:lang w:val="en-US"/>
        </w:rPr>
        <w:t xml:space="preserve"> </w:t>
      </w:r>
      <w:r w:rsidR="00CC4B3E" w:rsidRPr="00D869E3">
        <w:rPr>
          <w:rFonts w:ascii="Verdana" w:eastAsia="Times New Roman" w:hAnsi="Verdana"/>
          <w:i/>
          <w:iCs/>
          <w:sz w:val="18"/>
          <w:szCs w:val="18"/>
          <w:lang w:val="en-US"/>
        </w:rPr>
        <w:t>Supreme Decree</w:t>
      </w:r>
      <w:r w:rsidRPr="00D869E3">
        <w:rPr>
          <w:rFonts w:ascii="Verdana" w:eastAsia="Times New Roman" w:hAnsi="Verdana"/>
          <w:i/>
          <w:iCs/>
          <w:sz w:val="18"/>
          <w:szCs w:val="18"/>
          <w:lang w:val="en-US"/>
        </w:rPr>
        <w:t>. N</w:t>
      </w:r>
      <w:r w:rsidR="00AA0003" w:rsidRPr="00D869E3">
        <w:rPr>
          <w:rFonts w:ascii="Verdana" w:eastAsia="Times New Roman" w:hAnsi="Verdana"/>
          <w:i/>
          <w:iCs/>
          <w:sz w:val="18"/>
          <w:szCs w:val="18"/>
          <w:lang w:val="en-US"/>
        </w:rPr>
        <w:t>o.</w:t>
      </w:r>
      <w:r w:rsidRPr="00D869E3">
        <w:rPr>
          <w:rFonts w:ascii="Verdana" w:eastAsia="Times New Roman" w:hAnsi="Verdana"/>
          <w:i/>
          <w:iCs/>
          <w:sz w:val="18"/>
          <w:szCs w:val="18"/>
          <w:lang w:val="en-US"/>
        </w:rPr>
        <w:t xml:space="preserve"> 002-77-IT/DS</w:t>
      </w:r>
      <w:r w:rsidR="00AA0003" w:rsidRPr="00D869E3">
        <w:rPr>
          <w:rFonts w:ascii="Verdana" w:eastAsia="Times New Roman" w:hAnsi="Verdana"/>
          <w:i/>
          <w:iCs/>
          <w:sz w:val="18"/>
          <w:szCs w:val="18"/>
          <w:lang w:val="en-US"/>
        </w:rPr>
        <w:t xml:space="preserve">, for the elections to be valid, 75% of the members of the Community must vote. In these fraudulent elections 148 of a total of 210 members of the Community voted; in other words, 62 members did not vote, thus less than the 75% stipulated in the law voted. In my capacity as </w:t>
      </w:r>
      <w:r w:rsidR="001B0492" w:rsidRPr="00D869E3">
        <w:rPr>
          <w:rFonts w:ascii="Verdana" w:eastAsia="Times New Roman" w:hAnsi="Verdana"/>
          <w:i/>
          <w:iCs/>
          <w:sz w:val="18"/>
          <w:szCs w:val="18"/>
          <w:lang w:val="en-US"/>
        </w:rPr>
        <w:t>president of the Electoral</w:t>
      </w:r>
      <w:r w:rsidR="00AA0003" w:rsidRPr="00D869E3">
        <w:rPr>
          <w:rFonts w:ascii="Verdana" w:eastAsia="Times New Roman" w:hAnsi="Verdana"/>
          <w:i/>
          <w:iCs/>
          <w:sz w:val="18"/>
          <w:szCs w:val="18"/>
          <w:lang w:val="en-US"/>
        </w:rPr>
        <w:t xml:space="preserve"> Committee, it was my responsibility to call the election</w:t>
      </w:r>
      <w:r w:rsidR="007916DC" w:rsidRPr="00D869E3">
        <w:rPr>
          <w:rFonts w:ascii="Verdana" w:eastAsia="Times New Roman" w:hAnsi="Verdana"/>
          <w:i/>
          <w:iCs/>
          <w:sz w:val="18"/>
          <w:szCs w:val="18"/>
          <w:lang w:val="en-US"/>
        </w:rPr>
        <w:t xml:space="preserve">. Nevertheless, </w:t>
      </w:r>
      <w:r w:rsidR="00AA0003" w:rsidRPr="00D869E3">
        <w:rPr>
          <w:rFonts w:ascii="Verdana" w:eastAsia="Times New Roman" w:hAnsi="Verdana"/>
          <w:i/>
          <w:iCs/>
          <w:sz w:val="18"/>
          <w:szCs w:val="18"/>
          <w:lang w:val="en-US"/>
        </w:rPr>
        <w:t xml:space="preserve">the company management </w:t>
      </w:r>
      <w:r w:rsidR="007916DC" w:rsidRPr="00D869E3">
        <w:rPr>
          <w:rFonts w:ascii="Verdana" w:eastAsia="Times New Roman" w:hAnsi="Verdana"/>
          <w:i/>
          <w:iCs/>
          <w:sz w:val="18"/>
          <w:szCs w:val="18"/>
          <w:lang w:val="en-US"/>
        </w:rPr>
        <w:t>convene</w:t>
      </w:r>
      <w:r w:rsidR="00AA0003" w:rsidRPr="00D869E3">
        <w:rPr>
          <w:rFonts w:ascii="Verdana" w:eastAsia="Times New Roman" w:hAnsi="Verdana"/>
          <w:i/>
          <w:iCs/>
          <w:sz w:val="18"/>
          <w:szCs w:val="18"/>
          <w:lang w:val="en-US"/>
        </w:rPr>
        <w:t>d three members and, in the Industrial Relations Office – take note, in the employer’s office – they called elections for the Community, making a mockery of the law. To this end, they used a group of Community members who served their interests, and with these people they established a slate, which was the only one presented for election.</w:t>
      </w:r>
    </w:p>
    <w:p w14:paraId="56BA4D9D" w14:textId="77777777" w:rsidR="00275EDE" w:rsidRPr="00D869E3" w:rsidRDefault="00275EDE" w:rsidP="00AA0003">
      <w:pPr>
        <w:ind w:right="713"/>
        <w:contextualSpacing/>
        <w:jc w:val="both"/>
        <w:rPr>
          <w:rFonts w:ascii="Verdana" w:eastAsia="Times New Roman" w:hAnsi="Verdana"/>
          <w:i/>
          <w:iCs/>
          <w:sz w:val="18"/>
          <w:szCs w:val="18"/>
          <w:lang w:val="en-US"/>
        </w:rPr>
      </w:pPr>
    </w:p>
    <w:p w14:paraId="44406171" w14:textId="62B448CC" w:rsidR="00275EDE" w:rsidRPr="00D869E3" w:rsidRDefault="00AA0003" w:rsidP="00D61BD2">
      <w:pPr>
        <w:ind w:left="990" w:right="713"/>
        <w:contextualSpacing/>
        <w:jc w:val="both"/>
        <w:rPr>
          <w:rFonts w:ascii="Verdana" w:eastAsia="Times New Roman" w:hAnsi="Verdana"/>
          <w:i/>
          <w:iCs/>
          <w:sz w:val="18"/>
          <w:szCs w:val="18"/>
          <w:lang w:val="en-US"/>
        </w:rPr>
      </w:pPr>
      <w:r w:rsidRPr="00D869E3">
        <w:rPr>
          <w:rFonts w:ascii="Verdana" w:eastAsia="Times New Roman" w:hAnsi="Verdana"/>
          <w:i/>
          <w:iCs/>
          <w:sz w:val="18"/>
          <w:szCs w:val="18"/>
          <w:lang w:val="en-US"/>
        </w:rPr>
        <w:t>Why didn’t the members of the Community present another slate?</w:t>
      </w:r>
    </w:p>
    <w:p w14:paraId="4A1030C1" w14:textId="638BAD36" w:rsidR="00AA0003" w:rsidRPr="00D869E3" w:rsidRDefault="00AA0003" w:rsidP="00D61BD2">
      <w:pPr>
        <w:ind w:left="990" w:right="713"/>
        <w:contextualSpacing/>
        <w:jc w:val="both"/>
        <w:rPr>
          <w:rFonts w:ascii="Verdana" w:eastAsia="Times New Roman" w:hAnsi="Verdana"/>
          <w:i/>
          <w:iCs/>
          <w:sz w:val="18"/>
          <w:szCs w:val="18"/>
          <w:lang w:val="en-US"/>
        </w:rPr>
      </w:pPr>
      <w:r w:rsidRPr="00D869E3">
        <w:rPr>
          <w:rFonts w:ascii="Verdana" w:eastAsia="Times New Roman" w:hAnsi="Verdana"/>
          <w:i/>
          <w:iCs/>
          <w:sz w:val="18"/>
          <w:szCs w:val="18"/>
          <w:lang w:val="en-US"/>
        </w:rPr>
        <w:t xml:space="preserve">For one simple reason. The law on Industrial Community elections establishes that a slate must be </w:t>
      </w:r>
      <w:r w:rsidR="007916DC" w:rsidRPr="00D869E3">
        <w:rPr>
          <w:rFonts w:ascii="Verdana" w:eastAsia="Times New Roman" w:hAnsi="Verdana"/>
          <w:i/>
          <w:iCs/>
          <w:sz w:val="18"/>
          <w:szCs w:val="18"/>
          <w:lang w:val="en-US"/>
        </w:rPr>
        <w:t>composed</w:t>
      </w:r>
      <w:r w:rsidRPr="00D869E3">
        <w:rPr>
          <w:rFonts w:ascii="Verdana" w:eastAsia="Times New Roman" w:hAnsi="Verdana"/>
          <w:i/>
          <w:iCs/>
          <w:sz w:val="18"/>
          <w:szCs w:val="18"/>
          <w:lang w:val="en-US"/>
        </w:rPr>
        <w:t xml:space="preserve"> of members who are manual workers and members who are employees. I would like to clarify an important point: the manual workers have a union, which defends their interests and is relatively independent. The employees do not have a union (they had one previously, but it was dissolved by the </w:t>
      </w:r>
      <w:r w:rsidR="004108F1" w:rsidRPr="00D869E3">
        <w:rPr>
          <w:rFonts w:ascii="Verdana" w:eastAsia="Times New Roman" w:hAnsi="Verdana"/>
          <w:i/>
          <w:iCs/>
          <w:sz w:val="18"/>
          <w:szCs w:val="18"/>
          <w:lang w:val="en-US"/>
        </w:rPr>
        <w:t xml:space="preserve">employers; the employees were unable to defend their rights). These employees are at the mercy of the employer and are constantly </w:t>
      </w:r>
      <w:r w:rsidR="000B550A" w:rsidRPr="00D869E3">
        <w:rPr>
          <w:rFonts w:ascii="Verdana" w:eastAsia="Times New Roman" w:hAnsi="Verdana"/>
          <w:i/>
          <w:iCs/>
          <w:sz w:val="18"/>
          <w:szCs w:val="18"/>
          <w:lang w:val="en-US"/>
        </w:rPr>
        <w:t>blackmailed</w:t>
      </w:r>
      <w:r w:rsidR="004108F1" w:rsidRPr="00D869E3">
        <w:rPr>
          <w:rFonts w:ascii="Verdana" w:eastAsia="Times New Roman" w:hAnsi="Verdana"/>
          <w:i/>
          <w:iCs/>
          <w:sz w:val="18"/>
          <w:szCs w:val="18"/>
          <w:lang w:val="en-US"/>
        </w:rPr>
        <w:t xml:space="preserve"> by the management; therefore, they are</w:t>
      </w:r>
      <w:r w:rsidR="007916DC" w:rsidRPr="00D869E3">
        <w:rPr>
          <w:rFonts w:ascii="Verdana" w:eastAsia="Times New Roman" w:hAnsi="Verdana"/>
          <w:i/>
          <w:iCs/>
          <w:sz w:val="18"/>
          <w:szCs w:val="18"/>
          <w:lang w:val="en-US"/>
        </w:rPr>
        <w:t xml:space="preserve"> afraid</w:t>
      </w:r>
      <w:r w:rsidR="004108F1" w:rsidRPr="00D869E3">
        <w:rPr>
          <w:rFonts w:ascii="Verdana" w:eastAsia="Times New Roman" w:hAnsi="Verdana"/>
          <w:i/>
          <w:iCs/>
          <w:sz w:val="18"/>
          <w:szCs w:val="18"/>
          <w:lang w:val="en-US"/>
        </w:rPr>
        <w:t xml:space="preserve"> of forming part of a slate that is drawn up by the manual workers who do not enjoy the good graces of the employers. I believe that this was the fundamental reason why another slate was not presented.</w:t>
      </w:r>
    </w:p>
    <w:p w14:paraId="5E9D44B4" w14:textId="77777777" w:rsidR="00275EDE" w:rsidRPr="00D869E3" w:rsidRDefault="00275EDE" w:rsidP="00D61BD2">
      <w:pPr>
        <w:ind w:left="990" w:right="713"/>
        <w:contextualSpacing/>
        <w:jc w:val="both"/>
        <w:rPr>
          <w:rFonts w:ascii="Verdana" w:eastAsia="Times New Roman" w:hAnsi="Verdana"/>
          <w:i/>
          <w:iCs/>
          <w:sz w:val="18"/>
          <w:szCs w:val="18"/>
          <w:lang w:val="en-US"/>
        </w:rPr>
      </w:pPr>
    </w:p>
    <w:p w14:paraId="5261A174" w14:textId="1C317BCF" w:rsidR="00275EDE" w:rsidRPr="00D869E3" w:rsidRDefault="004108F1" w:rsidP="00D61BD2">
      <w:pPr>
        <w:ind w:left="990" w:right="713"/>
        <w:contextualSpacing/>
        <w:jc w:val="both"/>
        <w:rPr>
          <w:rFonts w:ascii="Verdana" w:eastAsia="Times New Roman" w:hAnsi="Verdana"/>
          <w:bCs/>
          <w:i/>
          <w:sz w:val="18"/>
          <w:szCs w:val="18"/>
          <w:lang w:val="en-US"/>
        </w:rPr>
      </w:pPr>
      <w:r w:rsidRPr="00D869E3">
        <w:rPr>
          <w:rFonts w:ascii="Verdana" w:eastAsia="Times New Roman" w:hAnsi="Verdana"/>
          <w:i/>
          <w:sz w:val="18"/>
          <w:szCs w:val="18"/>
          <w:lang w:val="en-US"/>
        </w:rPr>
        <w:t xml:space="preserve">In </w:t>
      </w:r>
      <w:r w:rsidR="007916DC" w:rsidRPr="00D869E3">
        <w:rPr>
          <w:rFonts w:ascii="Verdana" w:eastAsia="Times New Roman" w:hAnsi="Verdana"/>
          <w:i/>
          <w:sz w:val="18"/>
          <w:szCs w:val="18"/>
          <w:lang w:val="en-US"/>
        </w:rPr>
        <w:t>light</w:t>
      </w:r>
      <w:r w:rsidRPr="00D869E3">
        <w:rPr>
          <w:rFonts w:ascii="Verdana" w:eastAsia="Times New Roman" w:hAnsi="Verdana"/>
          <w:i/>
          <w:sz w:val="18"/>
          <w:szCs w:val="18"/>
          <w:lang w:val="en-US"/>
        </w:rPr>
        <w:t xml:space="preserve"> of these abuses by the employers, what measures have you taken in your capacity as </w:t>
      </w:r>
      <w:r w:rsidR="001B0492" w:rsidRPr="00D869E3">
        <w:rPr>
          <w:rFonts w:ascii="Verdana" w:eastAsia="Times New Roman" w:hAnsi="Verdana"/>
          <w:bCs/>
          <w:i/>
          <w:sz w:val="18"/>
          <w:szCs w:val="18"/>
          <w:lang w:val="en-US"/>
        </w:rPr>
        <w:t>president of the Electoral</w:t>
      </w:r>
      <w:r w:rsidR="00EA232B" w:rsidRPr="00D869E3">
        <w:rPr>
          <w:rFonts w:ascii="Verdana" w:eastAsia="Times New Roman" w:hAnsi="Verdana"/>
          <w:bCs/>
          <w:i/>
          <w:sz w:val="18"/>
          <w:szCs w:val="18"/>
          <w:lang w:val="en-US"/>
        </w:rPr>
        <w:t xml:space="preserve"> Committee</w:t>
      </w:r>
      <w:r w:rsidR="00275EDE" w:rsidRPr="00D869E3">
        <w:rPr>
          <w:rFonts w:ascii="Verdana" w:eastAsia="Times New Roman" w:hAnsi="Verdana"/>
          <w:bCs/>
          <w:i/>
          <w:sz w:val="18"/>
          <w:szCs w:val="18"/>
          <w:lang w:val="en-US"/>
        </w:rPr>
        <w:t xml:space="preserve">? </w:t>
      </w:r>
    </w:p>
    <w:p w14:paraId="067BC6D8" w14:textId="0DCF347D" w:rsidR="00275EDE" w:rsidRPr="00D869E3" w:rsidRDefault="007916DC" w:rsidP="00D61BD2">
      <w:pPr>
        <w:ind w:left="990" w:right="713"/>
        <w:contextualSpacing/>
        <w:jc w:val="both"/>
        <w:rPr>
          <w:rFonts w:ascii="Verdana" w:eastAsia="Times New Roman" w:hAnsi="Verdana"/>
          <w:i/>
          <w:sz w:val="18"/>
          <w:szCs w:val="18"/>
          <w:lang w:val="en-US"/>
        </w:rPr>
      </w:pPr>
      <w:r w:rsidRPr="00D869E3">
        <w:rPr>
          <w:rFonts w:ascii="Verdana" w:eastAsia="Times New Roman" w:hAnsi="Verdana"/>
          <w:i/>
          <w:sz w:val="18"/>
          <w:szCs w:val="18"/>
          <w:lang w:val="en-US"/>
        </w:rPr>
        <w:t>First</w:t>
      </w:r>
      <w:r w:rsidR="004108F1" w:rsidRPr="00D869E3">
        <w:rPr>
          <w:rFonts w:ascii="Verdana" w:eastAsia="Times New Roman" w:hAnsi="Verdana"/>
          <w:i/>
          <w:sz w:val="18"/>
          <w:szCs w:val="18"/>
          <w:lang w:val="en-US"/>
        </w:rPr>
        <w:t xml:space="preserve">, I have denounced the irregularities that the employer has been committing and promoting. I </w:t>
      </w:r>
      <w:r w:rsidRPr="00D869E3">
        <w:rPr>
          <w:rFonts w:ascii="Verdana" w:eastAsia="Times New Roman" w:hAnsi="Verdana"/>
          <w:i/>
          <w:sz w:val="18"/>
          <w:szCs w:val="18"/>
          <w:lang w:val="en-US"/>
        </w:rPr>
        <w:t>submitted this complaint</w:t>
      </w:r>
      <w:r w:rsidR="004108F1" w:rsidRPr="00D869E3">
        <w:rPr>
          <w:rFonts w:ascii="Verdana" w:eastAsia="Times New Roman" w:hAnsi="Verdana"/>
          <w:i/>
          <w:sz w:val="18"/>
          <w:szCs w:val="18"/>
          <w:lang w:val="en-US"/>
        </w:rPr>
        <w:t xml:space="preserve"> officially in Communication No. 05824 to the Participation Directorate </w:t>
      </w:r>
      <w:r w:rsidR="004D704D" w:rsidRPr="00D869E3">
        <w:rPr>
          <w:rFonts w:ascii="Verdana" w:eastAsia="Times New Roman" w:hAnsi="Verdana"/>
          <w:i/>
          <w:iCs/>
          <w:sz w:val="18"/>
          <w:szCs w:val="18"/>
          <w:lang w:val="en-US"/>
        </w:rPr>
        <w:t>of the Ministry</w:t>
      </w:r>
      <w:r w:rsidR="00F43C5F" w:rsidRPr="00D869E3">
        <w:rPr>
          <w:rFonts w:ascii="Verdana" w:eastAsia="Times New Roman" w:hAnsi="Verdana"/>
          <w:i/>
          <w:iCs/>
          <w:sz w:val="18"/>
          <w:szCs w:val="18"/>
          <w:lang w:val="en-US"/>
        </w:rPr>
        <w:t xml:space="preserve"> of Industry</w:t>
      </w:r>
      <w:r w:rsidR="00687684" w:rsidRPr="00D869E3">
        <w:rPr>
          <w:rFonts w:ascii="Verdana" w:eastAsia="Times New Roman" w:hAnsi="Verdana"/>
          <w:i/>
          <w:iCs/>
          <w:sz w:val="18"/>
          <w:szCs w:val="18"/>
          <w:lang w:val="en-US"/>
        </w:rPr>
        <w:t xml:space="preserve"> and </w:t>
      </w:r>
      <w:r w:rsidR="00275EDE" w:rsidRPr="00D869E3">
        <w:rPr>
          <w:rFonts w:ascii="Verdana" w:eastAsia="Times New Roman" w:hAnsi="Verdana"/>
          <w:i/>
          <w:iCs/>
          <w:sz w:val="18"/>
          <w:szCs w:val="18"/>
          <w:lang w:val="en-US"/>
        </w:rPr>
        <w:t>Com</w:t>
      </w:r>
      <w:r w:rsidRPr="00D869E3">
        <w:rPr>
          <w:rFonts w:ascii="Verdana" w:eastAsia="Times New Roman" w:hAnsi="Verdana"/>
          <w:i/>
          <w:iCs/>
          <w:sz w:val="18"/>
          <w:szCs w:val="18"/>
          <w:lang w:val="en-US"/>
        </w:rPr>
        <w:t>merce</w:t>
      </w:r>
      <w:r w:rsidR="00275EDE" w:rsidRPr="00D869E3">
        <w:rPr>
          <w:rFonts w:ascii="Verdana" w:eastAsia="Times New Roman" w:hAnsi="Verdana"/>
          <w:i/>
          <w:iCs/>
          <w:sz w:val="18"/>
          <w:szCs w:val="18"/>
          <w:lang w:val="en-US"/>
        </w:rPr>
        <w:t>.</w:t>
      </w:r>
    </w:p>
    <w:p w14:paraId="55880EEE" w14:textId="77777777" w:rsidR="00275EDE" w:rsidRPr="00D869E3" w:rsidRDefault="00275EDE" w:rsidP="00D61BD2">
      <w:pPr>
        <w:ind w:left="990" w:right="713"/>
        <w:contextualSpacing/>
        <w:jc w:val="both"/>
        <w:rPr>
          <w:rFonts w:ascii="Verdana" w:eastAsia="Times New Roman" w:hAnsi="Verdana"/>
          <w:bCs/>
          <w:i/>
          <w:iCs/>
          <w:sz w:val="18"/>
          <w:szCs w:val="18"/>
          <w:lang w:val="en-US"/>
        </w:rPr>
      </w:pPr>
    </w:p>
    <w:p w14:paraId="5FB19EB8" w14:textId="026C6640" w:rsidR="00275EDE" w:rsidRPr="00D869E3" w:rsidRDefault="004108F1" w:rsidP="00D61BD2">
      <w:pPr>
        <w:ind w:right="713" w:firstLine="990"/>
        <w:contextualSpacing/>
        <w:jc w:val="both"/>
        <w:rPr>
          <w:rFonts w:ascii="Verdana" w:eastAsia="Times New Roman" w:hAnsi="Verdana"/>
          <w:bCs/>
          <w:i/>
          <w:iCs/>
          <w:sz w:val="18"/>
          <w:szCs w:val="18"/>
          <w:lang w:val="en-US"/>
        </w:rPr>
      </w:pPr>
      <w:r w:rsidRPr="00D869E3">
        <w:rPr>
          <w:rFonts w:ascii="Verdana" w:eastAsia="Times New Roman" w:hAnsi="Verdana"/>
          <w:bCs/>
          <w:i/>
          <w:iCs/>
          <w:sz w:val="18"/>
          <w:szCs w:val="18"/>
          <w:lang w:val="en-US"/>
        </w:rPr>
        <w:t>What has been the response of the Ministry</w:t>
      </w:r>
      <w:r w:rsidR="00275EDE" w:rsidRPr="00D869E3">
        <w:rPr>
          <w:rFonts w:ascii="Verdana" w:eastAsia="Times New Roman" w:hAnsi="Verdana"/>
          <w:bCs/>
          <w:i/>
          <w:iCs/>
          <w:sz w:val="18"/>
          <w:szCs w:val="18"/>
          <w:lang w:val="en-US"/>
        </w:rPr>
        <w:t xml:space="preserve">? </w:t>
      </w:r>
    </w:p>
    <w:p w14:paraId="3C22E604" w14:textId="10B0B633" w:rsidR="00275EDE" w:rsidRPr="00D869E3" w:rsidRDefault="00A141EA" w:rsidP="00D61BD2">
      <w:pPr>
        <w:ind w:left="990" w:right="713"/>
        <w:contextualSpacing/>
        <w:jc w:val="both"/>
        <w:rPr>
          <w:rFonts w:ascii="Verdana" w:eastAsia="Times New Roman" w:hAnsi="Verdana"/>
          <w:i/>
          <w:iCs/>
          <w:sz w:val="18"/>
          <w:szCs w:val="18"/>
          <w:lang w:val="en-US"/>
        </w:rPr>
      </w:pPr>
      <w:r w:rsidRPr="00D869E3">
        <w:rPr>
          <w:rFonts w:ascii="Verdana" w:eastAsia="Times New Roman" w:hAnsi="Verdana"/>
          <w:i/>
          <w:iCs/>
          <w:sz w:val="18"/>
          <w:szCs w:val="18"/>
          <w:lang w:val="en-US"/>
        </w:rPr>
        <w:t xml:space="preserve">Here, I have to report that the Ministry’s bureaucracy responded in a vague manner, without </w:t>
      </w:r>
      <w:r w:rsidR="00103C07" w:rsidRPr="00D869E3">
        <w:rPr>
          <w:rFonts w:ascii="Verdana" w:eastAsia="Times New Roman" w:hAnsi="Verdana"/>
          <w:i/>
          <w:iCs/>
          <w:sz w:val="18"/>
          <w:szCs w:val="18"/>
          <w:lang w:val="en-US"/>
        </w:rPr>
        <w:t>making any determination</w:t>
      </w:r>
      <w:r w:rsidR="00CC4B3E" w:rsidRPr="00D869E3">
        <w:rPr>
          <w:rFonts w:ascii="Verdana" w:eastAsia="Times New Roman" w:hAnsi="Verdana"/>
          <w:i/>
          <w:iCs/>
          <w:sz w:val="18"/>
          <w:szCs w:val="18"/>
          <w:lang w:val="en-US"/>
        </w:rPr>
        <w:t xml:space="preserve">; </w:t>
      </w:r>
      <w:r w:rsidRPr="00D869E3">
        <w:rPr>
          <w:rFonts w:ascii="Verdana" w:eastAsia="Times New Roman" w:hAnsi="Verdana"/>
          <w:i/>
          <w:iCs/>
          <w:sz w:val="18"/>
          <w:szCs w:val="18"/>
          <w:lang w:val="en-US"/>
        </w:rPr>
        <w:t xml:space="preserve">concluding that the communication was time-barred. </w:t>
      </w:r>
      <w:r w:rsidR="00CC4B3E" w:rsidRPr="00D869E3">
        <w:rPr>
          <w:rFonts w:ascii="Verdana" w:eastAsia="Times New Roman" w:hAnsi="Verdana"/>
          <w:i/>
          <w:iCs/>
          <w:sz w:val="18"/>
          <w:szCs w:val="18"/>
          <w:lang w:val="en-US"/>
        </w:rPr>
        <w:t>As I had</w:t>
      </w:r>
      <w:r w:rsidRPr="00D869E3">
        <w:rPr>
          <w:rFonts w:ascii="Verdana" w:eastAsia="Times New Roman" w:hAnsi="Verdana"/>
          <w:i/>
          <w:iCs/>
          <w:sz w:val="18"/>
          <w:szCs w:val="18"/>
          <w:lang w:val="en-US"/>
        </w:rPr>
        <w:t xml:space="preserve"> presented the communication before the elections, this shows that there was an understanding between the Participation Directorate headed by </w:t>
      </w:r>
      <w:r w:rsidR="00275EDE" w:rsidRPr="00D869E3">
        <w:rPr>
          <w:rFonts w:ascii="Verdana" w:eastAsia="Times New Roman" w:hAnsi="Verdana"/>
          <w:i/>
          <w:iCs/>
          <w:sz w:val="18"/>
          <w:szCs w:val="18"/>
          <w:lang w:val="en-US"/>
        </w:rPr>
        <w:t>Alicia Liñán Núñez</w:t>
      </w:r>
      <w:r w:rsidR="00687684" w:rsidRPr="00D869E3">
        <w:rPr>
          <w:rFonts w:ascii="Verdana" w:eastAsia="Times New Roman" w:hAnsi="Verdana"/>
          <w:i/>
          <w:iCs/>
          <w:sz w:val="18"/>
          <w:szCs w:val="18"/>
          <w:lang w:val="en-US"/>
        </w:rPr>
        <w:t xml:space="preserve"> and </w:t>
      </w:r>
      <w:r w:rsidRPr="00D869E3">
        <w:rPr>
          <w:rFonts w:ascii="Verdana" w:eastAsia="Times New Roman" w:hAnsi="Verdana"/>
          <w:i/>
          <w:iCs/>
          <w:sz w:val="18"/>
          <w:szCs w:val="18"/>
          <w:lang w:val="en-US"/>
        </w:rPr>
        <w:t>the employer.</w:t>
      </w:r>
    </w:p>
    <w:p w14:paraId="21DEF3E2" w14:textId="77777777" w:rsidR="00275EDE" w:rsidRPr="00D869E3" w:rsidRDefault="00275EDE" w:rsidP="009C6F8E">
      <w:pPr>
        <w:ind w:right="720"/>
        <w:contextualSpacing/>
        <w:jc w:val="both"/>
        <w:rPr>
          <w:rFonts w:ascii="Verdana" w:eastAsia="Times New Roman" w:hAnsi="Verdana"/>
          <w:bCs/>
          <w:i/>
          <w:iCs/>
          <w:color w:val="000000"/>
          <w:sz w:val="18"/>
          <w:szCs w:val="18"/>
          <w:lang w:val="en-US"/>
        </w:rPr>
      </w:pPr>
    </w:p>
    <w:p w14:paraId="013EE312" w14:textId="363293A2" w:rsidR="00275EDE" w:rsidRPr="00D869E3" w:rsidRDefault="00A141EA" w:rsidP="00D61BD2">
      <w:pPr>
        <w:ind w:left="990"/>
        <w:jc w:val="both"/>
        <w:rPr>
          <w:rFonts w:ascii="Verdana" w:hAnsi="Verdana"/>
          <w:bCs/>
          <w:i/>
          <w:iCs/>
          <w:color w:val="000000"/>
          <w:sz w:val="18"/>
          <w:szCs w:val="18"/>
          <w:lang w:val="en-US"/>
        </w:rPr>
      </w:pPr>
      <w:r w:rsidRPr="00D869E3">
        <w:rPr>
          <w:rFonts w:ascii="Verdana" w:hAnsi="Verdana"/>
          <w:bCs/>
          <w:i/>
          <w:iCs/>
          <w:color w:val="000000"/>
          <w:sz w:val="18"/>
          <w:szCs w:val="18"/>
          <w:lang w:val="en-US"/>
        </w:rPr>
        <w:t>What measures are you considering</w:t>
      </w:r>
      <w:r w:rsidR="00275EDE" w:rsidRPr="00D869E3">
        <w:rPr>
          <w:rFonts w:ascii="Verdana" w:hAnsi="Verdana"/>
          <w:bCs/>
          <w:i/>
          <w:iCs/>
          <w:color w:val="000000"/>
          <w:sz w:val="18"/>
          <w:szCs w:val="18"/>
          <w:lang w:val="en-US"/>
        </w:rPr>
        <w:t xml:space="preserve">? </w:t>
      </w:r>
    </w:p>
    <w:p w14:paraId="6499E554" w14:textId="56AAC803" w:rsidR="00275EDE" w:rsidRPr="00D869E3" w:rsidRDefault="00A141EA" w:rsidP="00D61BD2">
      <w:pPr>
        <w:ind w:left="990" w:right="630"/>
        <w:jc w:val="both"/>
        <w:rPr>
          <w:rFonts w:ascii="Verdana" w:hAnsi="Verdana"/>
          <w:i/>
          <w:iCs/>
          <w:color w:val="000000"/>
          <w:sz w:val="18"/>
          <w:szCs w:val="18"/>
          <w:lang w:val="en-US"/>
        </w:rPr>
      </w:pPr>
      <w:bookmarkStart w:id="23" w:name="_Hlk27819207"/>
      <w:r w:rsidRPr="00D869E3">
        <w:rPr>
          <w:rFonts w:ascii="Verdana" w:hAnsi="Verdana"/>
          <w:i/>
          <w:iCs/>
          <w:color w:val="000000"/>
          <w:sz w:val="18"/>
          <w:szCs w:val="18"/>
          <w:lang w:val="en-US"/>
        </w:rPr>
        <w:t xml:space="preserve">I will continue fighting against the fraud, </w:t>
      </w:r>
      <w:r w:rsidR="00E85F6A" w:rsidRPr="00D869E3">
        <w:rPr>
          <w:rFonts w:ascii="Verdana" w:hAnsi="Verdana"/>
          <w:i/>
          <w:iCs/>
          <w:color w:val="000000"/>
          <w:sz w:val="18"/>
          <w:szCs w:val="18"/>
          <w:lang w:val="en-US"/>
        </w:rPr>
        <w:t>informing</w:t>
      </w:r>
      <w:r w:rsidRPr="00D869E3">
        <w:rPr>
          <w:rFonts w:ascii="Verdana" w:hAnsi="Verdana"/>
          <w:i/>
          <w:iCs/>
          <w:color w:val="000000"/>
          <w:sz w:val="18"/>
          <w:szCs w:val="18"/>
          <w:lang w:val="en-US"/>
        </w:rPr>
        <w:t xml:space="preserve"> public opinion, the Government and other competent authorities, </w:t>
      </w:r>
      <w:r w:rsidR="00E85F6A" w:rsidRPr="00D869E3">
        <w:rPr>
          <w:rFonts w:ascii="Verdana" w:hAnsi="Verdana"/>
          <w:i/>
          <w:iCs/>
          <w:color w:val="000000"/>
          <w:sz w:val="18"/>
          <w:szCs w:val="18"/>
          <w:lang w:val="en-US"/>
        </w:rPr>
        <w:t xml:space="preserve">about </w:t>
      </w:r>
      <w:r w:rsidRPr="00D869E3">
        <w:rPr>
          <w:rFonts w:ascii="Verdana" w:hAnsi="Verdana"/>
          <w:i/>
          <w:iCs/>
          <w:color w:val="000000"/>
          <w:sz w:val="18"/>
          <w:szCs w:val="18"/>
          <w:lang w:val="en-US"/>
        </w:rPr>
        <w:t>the attempt by the Ceper-Pirelli company to liquidate the Industrial Community, especially now that the company has been obtaining significant profits</w:t>
      </w:r>
      <w:r w:rsidR="00E85F6A" w:rsidRPr="00D869E3">
        <w:rPr>
          <w:rFonts w:ascii="Verdana" w:hAnsi="Verdana"/>
          <w:i/>
          <w:iCs/>
          <w:color w:val="000000"/>
          <w:sz w:val="18"/>
          <w:szCs w:val="18"/>
          <w:lang w:val="en-US"/>
        </w:rPr>
        <w:t>,</w:t>
      </w:r>
      <w:r w:rsidRPr="00D869E3">
        <w:rPr>
          <w:rFonts w:ascii="Verdana" w:hAnsi="Verdana"/>
          <w:i/>
          <w:iCs/>
          <w:color w:val="000000"/>
          <w:sz w:val="18"/>
          <w:szCs w:val="18"/>
          <w:lang w:val="en-US"/>
        </w:rPr>
        <w:t xml:space="preserve"> some of </w:t>
      </w:r>
      <w:r w:rsidR="00E85F6A" w:rsidRPr="00D869E3">
        <w:rPr>
          <w:rFonts w:ascii="Verdana" w:hAnsi="Verdana"/>
          <w:i/>
          <w:iCs/>
          <w:color w:val="000000"/>
          <w:sz w:val="18"/>
          <w:szCs w:val="18"/>
          <w:lang w:val="en-US"/>
        </w:rPr>
        <w:t>which</w:t>
      </w:r>
      <w:r w:rsidRPr="00D869E3">
        <w:rPr>
          <w:rFonts w:ascii="Verdana" w:hAnsi="Verdana"/>
          <w:i/>
          <w:iCs/>
          <w:color w:val="000000"/>
          <w:sz w:val="18"/>
          <w:szCs w:val="18"/>
          <w:lang w:val="en-US"/>
        </w:rPr>
        <w:t xml:space="preserve"> correspond to the workers </w:t>
      </w:r>
      <w:r w:rsidR="00E85F6A" w:rsidRPr="00D869E3">
        <w:rPr>
          <w:rFonts w:ascii="Verdana" w:hAnsi="Verdana"/>
          <w:i/>
          <w:iCs/>
          <w:color w:val="000000"/>
          <w:sz w:val="18"/>
          <w:szCs w:val="18"/>
          <w:lang w:val="en-US"/>
        </w:rPr>
        <w:t>through</w:t>
      </w:r>
      <w:r w:rsidRPr="00D869E3">
        <w:rPr>
          <w:rFonts w:ascii="Verdana" w:hAnsi="Verdana"/>
          <w:i/>
          <w:iCs/>
          <w:color w:val="000000"/>
          <w:sz w:val="18"/>
          <w:szCs w:val="18"/>
          <w:lang w:val="en-US"/>
        </w:rPr>
        <w:t xml:space="preserve"> the Industrial Community. I call on all the workers of Ceper-Pirelli </w:t>
      </w:r>
      <w:r w:rsidR="00E85F6A" w:rsidRPr="00D869E3">
        <w:rPr>
          <w:rFonts w:ascii="Verdana" w:hAnsi="Verdana"/>
          <w:i/>
          <w:iCs/>
          <w:color w:val="000000"/>
          <w:sz w:val="18"/>
          <w:szCs w:val="18"/>
          <w:lang w:val="en-US"/>
        </w:rPr>
        <w:t>t</w:t>
      </w:r>
      <w:r w:rsidRPr="00D869E3">
        <w:rPr>
          <w:rFonts w:ascii="Verdana" w:hAnsi="Verdana"/>
          <w:i/>
          <w:iCs/>
          <w:color w:val="000000"/>
          <w:sz w:val="18"/>
          <w:szCs w:val="18"/>
          <w:lang w:val="en-US"/>
        </w:rPr>
        <w:t xml:space="preserve">o close ranks against the fraud, </w:t>
      </w:r>
      <w:r w:rsidR="00E85F6A" w:rsidRPr="00D869E3">
        <w:rPr>
          <w:rFonts w:ascii="Verdana" w:hAnsi="Verdana"/>
          <w:i/>
          <w:iCs/>
          <w:color w:val="000000"/>
          <w:sz w:val="18"/>
          <w:szCs w:val="18"/>
          <w:lang w:val="en-US"/>
        </w:rPr>
        <w:t>demanding that</w:t>
      </w:r>
      <w:r w:rsidRPr="00D869E3">
        <w:rPr>
          <w:rFonts w:ascii="Verdana" w:hAnsi="Verdana"/>
          <w:i/>
          <w:iCs/>
          <w:color w:val="000000"/>
          <w:sz w:val="18"/>
          <w:szCs w:val="18"/>
          <w:lang w:val="en-US"/>
        </w:rPr>
        <w:t xml:space="preserve"> our legal rights and obligations </w:t>
      </w:r>
      <w:r w:rsidR="00E85F6A" w:rsidRPr="00D869E3">
        <w:rPr>
          <w:rFonts w:ascii="Verdana" w:hAnsi="Verdana"/>
          <w:i/>
          <w:iCs/>
          <w:color w:val="000000"/>
          <w:sz w:val="18"/>
          <w:szCs w:val="18"/>
          <w:lang w:val="en-US"/>
        </w:rPr>
        <w:t>be</w:t>
      </w:r>
      <w:r w:rsidRPr="00D869E3">
        <w:rPr>
          <w:rFonts w:ascii="Verdana" w:hAnsi="Verdana"/>
          <w:i/>
          <w:iCs/>
          <w:color w:val="000000"/>
          <w:sz w:val="18"/>
          <w:szCs w:val="18"/>
          <w:lang w:val="en-US"/>
        </w:rPr>
        <w:t xml:space="preserve"> respected. I ask for the solidarity of </w:t>
      </w:r>
      <w:r w:rsidRPr="00D869E3">
        <w:rPr>
          <w:rFonts w:ascii="Verdana" w:hAnsi="Verdana"/>
          <w:i/>
          <w:iCs/>
          <w:color w:val="000000"/>
          <w:sz w:val="18"/>
          <w:szCs w:val="18"/>
          <w:lang w:val="en-US"/>
        </w:rPr>
        <w:lastRenderedPageBreak/>
        <w:t xml:space="preserve">all the country’s </w:t>
      </w:r>
      <w:r w:rsidR="00CC6441" w:rsidRPr="00D869E3">
        <w:rPr>
          <w:rFonts w:ascii="Verdana" w:hAnsi="Verdana"/>
          <w:i/>
          <w:iCs/>
          <w:color w:val="000000"/>
          <w:sz w:val="18"/>
          <w:szCs w:val="18"/>
          <w:lang w:val="en-US"/>
        </w:rPr>
        <w:t xml:space="preserve">industrial communities and </w:t>
      </w:r>
      <w:r w:rsidR="00E85F6A" w:rsidRPr="00D869E3">
        <w:rPr>
          <w:rFonts w:ascii="Verdana" w:hAnsi="Verdana"/>
          <w:i/>
          <w:iCs/>
          <w:color w:val="000000"/>
          <w:sz w:val="18"/>
          <w:szCs w:val="18"/>
          <w:lang w:val="en-US"/>
        </w:rPr>
        <w:t>labor union</w:t>
      </w:r>
      <w:r w:rsidR="00CC6441" w:rsidRPr="00D869E3">
        <w:rPr>
          <w:rFonts w:ascii="Verdana" w:hAnsi="Verdana"/>
          <w:i/>
          <w:iCs/>
          <w:color w:val="000000"/>
          <w:sz w:val="18"/>
          <w:szCs w:val="18"/>
          <w:lang w:val="en-US"/>
        </w:rPr>
        <w:t xml:space="preserve">s to express their rejection of the attempt to liquidate the </w:t>
      </w:r>
      <w:r w:rsidR="004D704D" w:rsidRPr="00D869E3">
        <w:rPr>
          <w:rFonts w:ascii="Verdana" w:hAnsi="Verdana"/>
          <w:i/>
          <w:iCs/>
          <w:color w:val="000000"/>
          <w:sz w:val="18"/>
          <w:szCs w:val="18"/>
          <w:lang w:val="en-US"/>
        </w:rPr>
        <w:t>industrial communities</w:t>
      </w:r>
      <w:r w:rsidR="00CC6441" w:rsidRPr="00D869E3">
        <w:rPr>
          <w:rFonts w:ascii="Verdana" w:hAnsi="Verdana"/>
          <w:i/>
          <w:iCs/>
          <w:color w:val="000000"/>
          <w:sz w:val="18"/>
          <w:szCs w:val="18"/>
          <w:lang w:val="en-US"/>
        </w:rPr>
        <w:t>.</w:t>
      </w:r>
      <w:r w:rsidR="006436CA" w:rsidRPr="00D869E3">
        <w:rPr>
          <w:rFonts w:ascii="Verdana" w:hAnsi="Verdana"/>
          <w:i/>
          <w:iCs/>
          <w:color w:val="000000"/>
          <w:sz w:val="18"/>
          <w:szCs w:val="18"/>
          <w:lang w:val="en-US"/>
        </w:rPr>
        <w:t>”</w:t>
      </w:r>
    </w:p>
    <w:bookmarkEnd w:id="23"/>
    <w:p w14:paraId="7EFFC5C4" w14:textId="77777777" w:rsidR="00275EDE" w:rsidRPr="00D869E3" w:rsidRDefault="00275EDE" w:rsidP="00275EDE">
      <w:pPr>
        <w:jc w:val="both"/>
        <w:rPr>
          <w:rFonts w:ascii="Verdana" w:hAnsi="Verdana"/>
          <w:b/>
          <w:sz w:val="20"/>
          <w:szCs w:val="20"/>
          <w:lang w:val="en-US"/>
        </w:rPr>
      </w:pPr>
    </w:p>
    <w:p w14:paraId="3552FE58" w14:textId="61209766" w:rsidR="00275EDE" w:rsidRPr="00D869E3" w:rsidRDefault="00852CCA" w:rsidP="00852CCA">
      <w:pPr>
        <w:pStyle w:val="Prrafodelista"/>
        <w:numPr>
          <w:ilvl w:val="0"/>
          <w:numId w:val="1"/>
        </w:numPr>
        <w:ind w:left="0" w:hanging="11"/>
        <w:jc w:val="both"/>
        <w:rPr>
          <w:rFonts w:ascii="Verdana" w:hAnsi="Verdana"/>
          <w:color w:val="000000"/>
          <w:sz w:val="20"/>
          <w:szCs w:val="20"/>
          <w:lang w:val="en-US"/>
        </w:rPr>
      </w:pPr>
      <w:r w:rsidRPr="00D869E3">
        <w:rPr>
          <w:rFonts w:ascii="Verdana" w:hAnsi="Verdana"/>
          <w:color w:val="000000"/>
          <w:sz w:val="20"/>
          <w:szCs w:val="20"/>
          <w:lang w:val="en-US"/>
        </w:rPr>
        <w:t>Based on</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the interview given by </w:t>
      </w:r>
      <w:r w:rsidR="001E44D3" w:rsidRPr="00D869E3">
        <w:rPr>
          <w:rFonts w:ascii="Verdana" w:hAnsi="Verdana"/>
          <w:color w:val="000000"/>
          <w:sz w:val="20"/>
          <w:szCs w:val="20"/>
          <w:lang w:val="en-US"/>
        </w:rPr>
        <w:t>Mr. Lagos del Campo</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the General Manager of </w:t>
      </w:r>
      <w:r w:rsidR="00275EDE" w:rsidRPr="00D869E3">
        <w:rPr>
          <w:rFonts w:ascii="Verdana" w:hAnsi="Verdana"/>
          <w:color w:val="000000"/>
          <w:sz w:val="20"/>
          <w:szCs w:val="20"/>
          <w:lang w:val="en-US"/>
        </w:rPr>
        <w:t>Ceper-Pirelli</w:t>
      </w:r>
      <w:r w:rsidR="000D6F59" w:rsidRPr="00D869E3">
        <w:rPr>
          <w:rFonts w:ascii="Verdana" w:hAnsi="Verdana"/>
          <w:color w:val="000000"/>
          <w:sz w:val="20"/>
          <w:szCs w:val="20"/>
          <w:lang w:val="en-US"/>
        </w:rPr>
        <w:t>,</w:t>
      </w:r>
      <w:r w:rsidRPr="00D869E3">
        <w:rPr>
          <w:rFonts w:ascii="Verdana" w:hAnsi="Verdana"/>
          <w:color w:val="000000"/>
          <w:sz w:val="20"/>
          <w:szCs w:val="20"/>
          <w:lang w:val="en-US"/>
        </w:rPr>
        <w:t xml:space="preserve"> in a notarized letter of June 26,</w:t>
      </w:r>
      <w:r w:rsidR="00275EDE" w:rsidRPr="00D869E3">
        <w:rPr>
          <w:rFonts w:ascii="Verdana" w:hAnsi="Verdana"/>
          <w:color w:val="000000"/>
          <w:sz w:val="20"/>
          <w:szCs w:val="20"/>
          <w:lang w:val="en-US"/>
        </w:rPr>
        <w:t xml:space="preserve"> 1989</w:t>
      </w:r>
      <w:r w:rsidRPr="00D869E3">
        <w:rPr>
          <w:rFonts w:ascii="Verdana" w:hAnsi="Verdana"/>
          <w:color w:val="000000"/>
          <w:sz w:val="20"/>
          <w:szCs w:val="20"/>
          <w:lang w:val="en-US"/>
        </w:rPr>
        <w:t>,</w:t>
      </w:r>
      <w:r w:rsidR="00275EDE" w:rsidRPr="00D869E3">
        <w:rPr>
          <w:rFonts w:ascii="Verdana" w:hAnsi="Verdana"/>
          <w:color w:val="000000"/>
          <w:sz w:val="20"/>
          <w:szCs w:val="20"/>
          <w:vertAlign w:val="superscript"/>
          <w:lang w:val="en-US"/>
        </w:rPr>
        <w:footnoteReference w:id="62"/>
      </w:r>
      <w:r w:rsidR="00275EDE" w:rsidRPr="00D869E3">
        <w:rPr>
          <w:rFonts w:ascii="Verdana" w:hAnsi="Verdana"/>
          <w:color w:val="000000"/>
          <w:sz w:val="20"/>
          <w:szCs w:val="20"/>
          <w:lang w:val="en-US"/>
        </w:rPr>
        <w:t xml:space="preserve"> </w:t>
      </w:r>
      <w:r w:rsidR="006436CA" w:rsidRPr="00D869E3">
        <w:rPr>
          <w:rFonts w:ascii="Verdana" w:hAnsi="Verdana"/>
          <w:sz w:val="20"/>
          <w:szCs w:val="20"/>
          <w:lang w:val="en-US"/>
        </w:rPr>
        <w:t>“</w:t>
      </w:r>
      <w:r w:rsidR="00103C07" w:rsidRPr="00D869E3">
        <w:rPr>
          <w:rFonts w:ascii="Verdana" w:hAnsi="Verdana"/>
          <w:sz w:val="20"/>
          <w:szCs w:val="20"/>
          <w:lang w:val="en-US"/>
        </w:rPr>
        <w:t>accused</w:t>
      </w:r>
      <w:r w:rsidRPr="00D869E3">
        <w:rPr>
          <w:rFonts w:ascii="Verdana" w:hAnsi="Verdana"/>
          <w:sz w:val="20"/>
          <w:szCs w:val="20"/>
          <w:lang w:val="en-US"/>
        </w:rPr>
        <w:t xml:space="preserve">” him </w:t>
      </w:r>
      <w:r w:rsidR="00103C07" w:rsidRPr="00D869E3">
        <w:rPr>
          <w:rFonts w:ascii="Verdana" w:hAnsi="Verdana"/>
          <w:sz w:val="20"/>
          <w:szCs w:val="20"/>
          <w:lang w:val="en-US"/>
        </w:rPr>
        <w:t>of</w:t>
      </w:r>
      <w:r w:rsidRPr="00D869E3">
        <w:rPr>
          <w:rFonts w:ascii="Verdana" w:hAnsi="Verdana"/>
          <w:sz w:val="20"/>
          <w:szCs w:val="20"/>
          <w:lang w:val="en-US"/>
        </w:rPr>
        <w:t xml:space="preserve"> work-related misconduct. </w:t>
      </w:r>
      <w:r w:rsidRPr="00D869E3">
        <w:rPr>
          <w:rFonts w:ascii="Verdana" w:hAnsi="Verdana"/>
          <w:color w:val="000000"/>
          <w:sz w:val="20"/>
          <w:szCs w:val="20"/>
          <w:lang w:val="en-US"/>
        </w:rPr>
        <w:t>I</w:t>
      </w:r>
      <w:r w:rsidR="00275EDE" w:rsidRPr="00D869E3">
        <w:rPr>
          <w:rFonts w:ascii="Verdana" w:hAnsi="Verdana"/>
          <w:color w:val="000000"/>
          <w:sz w:val="20"/>
          <w:szCs w:val="20"/>
          <w:lang w:val="en-US"/>
        </w:rPr>
        <w:t xml:space="preserve">n particular, </w:t>
      </w:r>
      <w:r w:rsidRPr="00D869E3">
        <w:rPr>
          <w:rFonts w:ascii="Verdana" w:hAnsi="Verdana"/>
          <w:color w:val="000000"/>
          <w:sz w:val="20"/>
          <w:szCs w:val="20"/>
          <w:lang w:val="en-US"/>
        </w:rPr>
        <w:t>the General Manager</w:t>
      </w:r>
      <w:r w:rsidR="00275EDE" w:rsidRPr="00D869E3">
        <w:rPr>
          <w:rFonts w:ascii="Verdana" w:hAnsi="Verdana"/>
          <w:color w:val="000000"/>
          <w:sz w:val="20"/>
          <w:szCs w:val="20"/>
          <w:lang w:val="en-US"/>
        </w:rPr>
        <w:t xml:space="preserve"> consider</w:t>
      </w:r>
      <w:r w:rsidRPr="00D869E3">
        <w:rPr>
          <w:rFonts w:ascii="Verdana" w:hAnsi="Verdana"/>
          <w:color w:val="000000"/>
          <w:sz w:val="20"/>
          <w:szCs w:val="20"/>
          <w:lang w:val="en-US"/>
        </w:rPr>
        <w:t>ed</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that the employment relationship with </w:t>
      </w:r>
      <w:r w:rsidR="001E44D3" w:rsidRPr="00D869E3">
        <w:rPr>
          <w:rFonts w:ascii="Verdana" w:hAnsi="Verdana"/>
          <w:color w:val="000000"/>
          <w:sz w:val="20"/>
          <w:szCs w:val="20"/>
          <w:lang w:val="en-US"/>
        </w:rPr>
        <w:t>Mr. Lagos del Campo</w:t>
      </w:r>
      <w:r w:rsidR="000D6F59" w:rsidRPr="00D869E3">
        <w:rPr>
          <w:rFonts w:ascii="Verdana" w:hAnsi="Verdana"/>
          <w:color w:val="000000"/>
          <w:sz w:val="20"/>
          <w:szCs w:val="20"/>
          <w:lang w:val="en-US"/>
        </w:rPr>
        <w:t xml:space="preserve"> </w:t>
      </w:r>
      <w:r w:rsidRPr="00D869E3">
        <w:rPr>
          <w:rFonts w:ascii="Verdana" w:hAnsi="Verdana"/>
          <w:color w:val="000000"/>
          <w:sz w:val="20"/>
          <w:szCs w:val="20"/>
          <w:lang w:val="en-US"/>
        </w:rPr>
        <w:t>could not continue pursuant to paragraph</w:t>
      </w:r>
      <w:r w:rsidR="00CC4B3E" w:rsidRPr="00D869E3">
        <w:rPr>
          <w:rFonts w:ascii="Verdana" w:hAnsi="Verdana"/>
          <w:color w:val="000000"/>
          <w:sz w:val="20"/>
          <w:szCs w:val="20"/>
          <w:lang w:val="en-US"/>
        </w:rPr>
        <w:t>s</w:t>
      </w:r>
      <w:r w:rsidRPr="00D869E3">
        <w:rPr>
          <w:rFonts w:ascii="Verdana" w:hAnsi="Verdana"/>
          <w:color w:val="000000"/>
          <w:sz w:val="20"/>
          <w:szCs w:val="20"/>
          <w:lang w:val="en-US"/>
        </w:rPr>
        <w:t xml:space="preserve"> (a) and (h) </w:t>
      </w:r>
      <w:r w:rsidR="00687684" w:rsidRPr="00D869E3">
        <w:rPr>
          <w:rFonts w:ascii="Verdana" w:hAnsi="Verdana"/>
          <w:color w:val="000000"/>
          <w:sz w:val="20"/>
          <w:szCs w:val="20"/>
          <w:lang w:val="en-US"/>
        </w:rPr>
        <w:t xml:space="preserve">of </w:t>
      </w:r>
      <w:r w:rsidRPr="00D869E3">
        <w:rPr>
          <w:rFonts w:ascii="Verdana" w:hAnsi="Verdana"/>
          <w:color w:val="000000"/>
          <w:sz w:val="20"/>
          <w:szCs w:val="20"/>
          <w:lang w:val="en-US"/>
        </w:rPr>
        <w:t>a</w:t>
      </w:r>
      <w:r w:rsidR="00687684" w:rsidRPr="00D869E3">
        <w:rPr>
          <w:rFonts w:ascii="Verdana" w:hAnsi="Verdana"/>
          <w:color w:val="000000"/>
          <w:sz w:val="20"/>
          <w:szCs w:val="20"/>
          <w:lang w:val="en-US"/>
        </w:rPr>
        <w:t>rticle</w:t>
      </w:r>
      <w:r w:rsidR="00275EDE" w:rsidRPr="00D869E3">
        <w:rPr>
          <w:rFonts w:ascii="Verdana" w:hAnsi="Verdana"/>
          <w:color w:val="000000"/>
          <w:sz w:val="20"/>
          <w:szCs w:val="20"/>
          <w:lang w:val="en-US"/>
        </w:rPr>
        <w:t xml:space="preserve"> 5 </w:t>
      </w:r>
      <w:r w:rsidR="002F2E2B" w:rsidRPr="00D869E3">
        <w:rPr>
          <w:rFonts w:ascii="Verdana" w:hAnsi="Verdana"/>
          <w:color w:val="000000"/>
          <w:sz w:val="20"/>
          <w:szCs w:val="20"/>
          <w:lang w:val="en-US"/>
        </w:rPr>
        <w:t>of</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Law</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No. </w:t>
      </w:r>
      <w:r w:rsidR="00275EDE" w:rsidRPr="00D869E3">
        <w:rPr>
          <w:rFonts w:ascii="Verdana" w:hAnsi="Verdana"/>
          <w:color w:val="000000"/>
          <w:sz w:val="20"/>
          <w:szCs w:val="20"/>
          <w:lang w:val="en-US"/>
        </w:rPr>
        <w:t xml:space="preserve">24514, </w:t>
      </w:r>
      <w:r w:rsidRPr="00D869E3">
        <w:rPr>
          <w:rFonts w:ascii="Verdana" w:hAnsi="Verdana"/>
          <w:color w:val="000000"/>
          <w:sz w:val="20"/>
          <w:szCs w:val="20"/>
          <w:lang w:val="en-US"/>
        </w:rPr>
        <w:t xml:space="preserve">which consider </w:t>
      </w:r>
      <w:r w:rsidR="00CC4B3E" w:rsidRPr="00D869E3">
        <w:rPr>
          <w:rFonts w:ascii="Verdana" w:hAnsi="Verdana"/>
          <w:color w:val="000000"/>
          <w:sz w:val="20"/>
          <w:szCs w:val="20"/>
          <w:lang w:val="en-US"/>
        </w:rPr>
        <w:t xml:space="preserve">that </w:t>
      </w:r>
      <w:r w:rsidRPr="00D869E3">
        <w:rPr>
          <w:rFonts w:ascii="Verdana" w:hAnsi="Verdana"/>
          <w:color w:val="000000"/>
          <w:sz w:val="20"/>
          <w:szCs w:val="20"/>
          <w:lang w:val="en-US"/>
        </w:rPr>
        <w:t xml:space="preserve">unjustified failure to </w:t>
      </w:r>
      <w:r w:rsidR="00103C07" w:rsidRPr="00D869E3">
        <w:rPr>
          <w:rFonts w:ascii="Verdana" w:hAnsi="Verdana"/>
          <w:color w:val="000000"/>
          <w:sz w:val="20"/>
          <w:szCs w:val="20"/>
          <w:lang w:val="en-US"/>
        </w:rPr>
        <w:t>meet</w:t>
      </w:r>
      <w:r w:rsidRPr="00D869E3">
        <w:rPr>
          <w:rFonts w:ascii="Verdana" w:hAnsi="Verdana"/>
          <w:color w:val="000000"/>
          <w:sz w:val="20"/>
          <w:szCs w:val="20"/>
          <w:lang w:val="en-US"/>
        </w:rPr>
        <w:t xml:space="preserve"> work obligations, serious </w:t>
      </w:r>
      <w:r w:rsidR="00EC6DBA" w:rsidRPr="00D869E3">
        <w:rPr>
          <w:rFonts w:ascii="Verdana" w:hAnsi="Verdana"/>
          <w:color w:val="000000"/>
          <w:sz w:val="20"/>
          <w:szCs w:val="20"/>
          <w:lang w:val="en-US"/>
        </w:rPr>
        <w:t>insubordination</w:t>
      </w:r>
      <w:r w:rsidRPr="00D869E3">
        <w:rPr>
          <w:rFonts w:ascii="Verdana" w:hAnsi="Verdana"/>
          <w:color w:val="000000"/>
          <w:sz w:val="20"/>
          <w:szCs w:val="20"/>
          <w:lang w:val="en-US"/>
        </w:rPr>
        <w:t>, and “</w:t>
      </w:r>
      <w:r w:rsidR="00EC6DBA" w:rsidRPr="00D869E3">
        <w:rPr>
          <w:rFonts w:ascii="Verdana" w:hAnsi="Verdana"/>
          <w:color w:val="000000"/>
          <w:sz w:val="20"/>
          <w:szCs w:val="20"/>
          <w:lang w:val="en-US"/>
        </w:rPr>
        <w:t xml:space="preserve">serious verbal </w:t>
      </w:r>
      <w:r w:rsidR="009D2A11" w:rsidRPr="00D869E3">
        <w:rPr>
          <w:rFonts w:ascii="Verdana" w:hAnsi="Verdana"/>
          <w:color w:val="000000"/>
          <w:sz w:val="20"/>
          <w:szCs w:val="20"/>
          <w:lang w:val="en-US"/>
        </w:rPr>
        <w:t>misconduct</w:t>
      </w:r>
      <w:r w:rsidRPr="00D869E3">
        <w:rPr>
          <w:rFonts w:ascii="Verdana" w:hAnsi="Verdana"/>
          <w:color w:val="000000"/>
          <w:sz w:val="20"/>
          <w:szCs w:val="20"/>
          <w:lang w:val="en-US"/>
        </w:rPr>
        <w:t xml:space="preserve">” </w:t>
      </w:r>
      <w:r w:rsidR="00EC6DBA" w:rsidRPr="00D869E3">
        <w:rPr>
          <w:rFonts w:ascii="Verdana" w:hAnsi="Verdana"/>
          <w:color w:val="000000"/>
          <w:sz w:val="20"/>
          <w:szCs w:val="20"/>
          <w:lang w:val="en-US"/>
        </w:rPr>
        <w:t>against</w:t>
      </w:r>
      <w:r w:rsidRPr="00D869E3">
        <w:rPr>
          <w:rFonts w:ascii="Verdana" w:hAnsi="Verdana"/>
          <w:color w:val="000000"/>
          <w:sz w:val="20"/>
          <w:szCs w:val="20"/>
          <w:lang w:val="en-US"/>
        </w:rPr>
        <w:t xml:space="preserve"> the employer a</w:t>
      </w:r>
      <w:r w:rsidR="00CC4B3E" w:rsidRPr="00D869E3">
        <w:rPr>
          <w:rFonts w:ascii="Verdana" w:hAnsi="Verdana"/>
          <w:color w:val="000000"/>
          <w:sz w:val="20"/>
          <w:szCs w:val="20"/>
          <w:lang w:val="en-US"/>
        </w:rPr>
        <w:t>re</w:t>
      </w:r>
      <w:r w:rsidRPr="00D869E3">
        <w:rPr>
          <w:rFonts w:ascii="Verdana" w:hAnsi="Verdana"/>
          <w:color w:val="000000"/>
          <w:sz w:val="20"/>
          <w:szCs w:val="20"/>
          <w:lang w:val="en-US"/>
        </w:rPr>
        <w:t xml:space="preserve"> justified cause</w:t>
      </w:r>
      <w:r w:rsidR="00CC4B3E" w:rsidRPr="00D869E3">
        <w:rPr>
          <w:rFonts w:ascii="Verdana" w:hAnsi="Verdana"/>
          <w:color w:val="000000"/>
          <w:sz w:val="20"/>
          <w:szCs w:val="20"/>
          <w:lang w:val="en-US"/>
        </w:rPr>
        <w:t>s</w:t>
      </w:r>
      <w:r w:rsidRPr="00D869E3">
        <w:rPr>
          <w:rFonts w:ascii="Verdana" w:hAnsi="Verdana"/>
          <w:color w:val="000000"/>
          <w:sz w:val="20"/>
          <w:szCs w:val="20"/>
          <w:lang w:val="en-US"/>
        </w:rPr>
        <w:t xml:space="preserve"> </w:t>
      </w:r>
      <w:r w:rsidR="00CC4B3E" w:rsidRPr="00D869E3">
        <w:rPr>
          <w:rFonts w:ascii="Verdana" w:hAnsi="Verdana"/>
          <w:color w:val="000000"/>
          <w:sz w:val="20"/>
          <w:szCs w:val="20"/>
          <w:lang w:val="en-US"/>
        </w:rPr>
        <w:t>for</w:t>
      </w:r>
      <w:r w:rsidRPr="00D869E3">
        <w:rPr>
          <w:rFonts w:ascii="Verdana" w:hAnsi="Verdana"/>
          <w:color w:val="000000"/>
          <w:sz w:val="20"/>
          <w:szCs w:val="20"/>
          <w:lang w:val="en-US"/>
        </w:rPr>
        <w:t xml:space="preserve"> dismissal. According to this letter</w:t>
      </w:r>
      <w:r w:rsidR="00275EDE" w:rsidRPr="00D869E3">
        <w:rPr>
          <w:rFonts w:ascii="Verdana" w:hAnsi="Verdana"/>
          <w:color w:val="000000"/>
          <w:sz w:val="20"/>
          <w:szCs w:val="20"/>
          <w:lang w:val="en-US"/>
        </w:rPr>
        <w:t>, Alfredo Lagos del Campo ha</w:t>
      </w:r>
      <w:r w:rsidRPr="00D869E3">
        <w:rPr>
          <w:rFonts w:ascii="Verdana" w:hAnsi="Verdana"/>
          <w:color w:val="000000"/>
          <w:sz w:val="20"/>
          <w:szCs w:val="20"/>
          <w:lang w:val="en-US"/>
        </w:rPr>
        <w:t xml:space="preserve">d incurred </w:t>
      </w:r>
      <w:r w:rsidR="00491E38" w:rsidRPr="00D869E3">
        <w:rPr>
          <w:rFonts w:ascii="Verdana" w:hAnsi="Verdana"/>
          <w:color w:val="000000"/>
          <w:sz w:val="20"/>
          <w:szCs w:val="20"/>
          <w:lang w:val="en-US"/>
        </w:rPr>
        <w:t xml:space="preserve">in </w:t>
      </w:r>
      <w:r w:rsidRPr="00D869E3">
        <w:rPr>
          <w:rFonts w:ascii="Verdana" w:hAnsi="Verdana"/>
          <w:color w:val="000000"/>
          <w:sz w:val="20"/>
          <w:szCs w:val="20"/>
          <w:lang w:val="en-US"/>
        </w:rPr>
        <w:t>these grounds for dismissal. The General Manager</w:t>
      </w:r>
      <w:r w:rsidR="00275EDE"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of the company considered that the </w:t>
      </w:r>
      <w:r w:rsidR="004800B8" w:rsidRPr="00D869E3">
        <w:rPr>
          <w:rFonts w:ascii="Verdana" w:hAnsi="Verdana"/>
          <w:color w:val="000000"/>
          <w:sz w:val="20"/>
          <w:szCs w:val="20"/>
          <w:lang w:val="en-US"/>
        </w:rPr>
        <w:t>statement</w:t>
      </w:r>
      <w:r w:rsidR="00A157F5" w:rsidRPr="00D869E3">
        <w:rPr>
          <w:rFonts w:ascii="Verdana" w:hAnsi="Verdana"/>
          <w:color w:val="000000"/>
          <w:sz w:val="20"/>
          <w:szCs w:val="20"/>
          <w:lang w:val="en-US"/>
        </w:rPr>
        <w:t>s</w:t>
      </w:r>
      <w:r w:rsidRPr="00D869E3">
        <w:rPr>
          <w:rFonts w:ascii="Verdana" w:hAnsi="Verdana"/>
          <w:color w:val="000000"/>
          <w:sz w:val="20"/>
          <w:szCs w:val="20"/>
          <w:lang w:val="en-US"/>
        </w:rPr>
        <w:t xml:space="preserve"> made by </w:t>
      </w:r>
      <w:r w:rsidRPr="00D869E3">
        <w:rPr>
          <w:rFonts w:ascii="Verdana" w:hAnsi="Verdana"/>
          <w:sz w:val="20"/>
          <w:szCs w:val="20"/>
          <w:lang w:val="en-US"/>
        </w:rPr>
        <w:t>of Mr. Lagos del Campo regarding the “</w:t>
      </w:r>
      <w:r w:rsidR="00AA3112" w:rsidRPr="00D869E3">
        <w:rPr>
          <w:rFonts w:ascii="Verdana" w:hAnsi="Verdana"/>
          <w:sz w:val="20"/>
          <w:szCs w:val="20"/>
          <w:lang w:val="en-US"/>
        </w:rPr>
        <w:t>fraudulent</w:t>
      </w:r>
      <w:r w:rsidRPr="00D869E3">
        <w:rPr>
          <w:rFonts w:ascii="Verdana" w:hAnsi="Verdana"/>
          <w:sz w:val="20"/>
          <w:szCs w:val="20"/>
          <w:lang w:val="en-US"/>
        </w:rPr>
        <w:t xml:space="preserve"> and unlawful understanding” and “complicity” between the Management and the Director of the </w:t>
      </w:r>
      <w:r w:rsidR="00EC2233" w:rsidRPr="00D869E3">
        <w:rPr>
          <w:rFonts w:ascii="Verdana" w:hAnsi="Verdana"/>
          <w:sz w:val="20"/>
          <w:szCs w:val="20"/>
          <w:lang w:val="en-US"/>
        </w:rPr>
        <w:t>Participation Directorate</w:t>
      </w:r>
      <w:r w:rsidRPr="00D869E3">
        <w:rPr>
          <w:rFonts w:ascii="Verdana" w:hAnsi="Verdana"/>
          <w:sz w:val="20"/>
          <w:szCs w:val="20"/>
          <w:lang w:val="en-US"/>
        </w:rPr>
        <w:t xml:space="preserve"> was “particularly serious.”</w:t>
      </w:r>
      <w:r w:rsidR="00275EDE" w:rsidRPr="00D869E3">
        <w:rPr>
          <w:rFonts w:ascii="Verdana" w:hAnsi="Verdana"/>
          <w:sz w:val="20"/>
          <w:szCs w:val="20"/>
          <w:vertAlign w:val="superscript"/>
          <w:lang w:val="en-US"/>
        </w:rPr>
        <w:footnoteReference w:id="63"/>
      </w:r>
      <w:r w:rsidR="00275EDE" w:rsidRPr="00D869E3">
        <w:rPr>
          <w:rFonts w:ascii="Verdana" w:hAnsi="Verdana"/>
          <w:b/>
          <w:color w:val="000000"/>
          <w:sz w:val="20"/>
          <w:szCs w:val="20"/>
          <w:lang w:val="en-US"/>
        </w:rPr>
        <w:t xml:space="preserve"> </w:t>
      </w:r>
    </w:p>
    <w:p w14:paraId="4BF43F79" w14:textId="77777777" w:rsidR="00275EDE" w:rsidRPr="00D869E3" w:rsidRDefault="00275EDE" w:rsidP="009C6F8E">
      <w:pPr>
        <w:jc w:val="both"/>
        <w:rPr>
          <w:rFonts w:ascii="Verdana" w:hAnsi="Verdana"/>
          <w:color w:val="000000"/>
          <w:sz w:val="20"/>
          <w:szCs w:val="20"/>
          <w:lang w:val="en-US"/>
        </w:rPr>
      </w:pPr>
    </w:p>
    <w:p w14:paraId="788EFFEB" w14:textId="67BEE0FB" w:rsidR="007C5857" w:rsidRPr="00D869E3" w:rsidRDefault="00852CCA" w:rsidP="00A157F5">
      <w:pPr>
        <w:pStyle w:val="Prrafodelista"/>
        <w:numPr>
          <w:ilvl w:val="0"/>
          <w:numId w:val="1"/>
        </w:numPr>
        <w:ind w:left="0" w:hanging="11"/>
        <w:jc w:val="both"/>
        <w:rPr>
          <w:rFonts w:ascii="Verdana" w:hAnsi="Verdana"/>
          <w:color w:val="000000"/>
          <w:sz w:val="20"/>
          <w:szCs w:val="20"/>
          <w:lang w:val="en-US"/>
        </w:rPr>
      </w:pPr>
      <w:r w:rsidRPr="00D869E3">
        <w:rPr>
          <w:rFonts w:ascii="Verdana" w:hAnsi="Verdana"/>
          <w:color w:val="000000"/>
          <w:sz w:val="20"/>
          <w:szCs w:val="20"/>
          <w:lang w:val="en-US"/>
        </w:rPr>
        <w:t xml:space="preserve">The company indicated that </w:t>
      </w:r>
      <w:r w:rsidR="00A157F5" w:rsidRPr="00D869E3">
        <w:rPr>
          <w:rFonts w:ascii="Verdana" w:hAnsi="Verdana"/>
          <w:color w:val="000000"/>
          <w:sz w:val="20"/>
          <w:szCs w:val="20"/>
          <w:lang w:val="en-US"/>
        </w:rPr>
        <w:t xml:space="preserve">the opinions expressed in the </w:t>
      </w:r>
      <w:r w:rsidR="00E91CF4" w:rsidRPr="00D869E3">
        <w:rPr>
          <w:rFonts w:ascii="Verdana" w:hAnsi="Verdana"/>
          <w:color w:val="000000"/>
          <w:sz w:val="20"/>
          <w:szCs w:val="20"/>
          <w:lang w:val="en-US"/>
        </w:rPr>
        <w:t>interview</w:t>
      </w:r>
      <w:r w:rsidR="00A157F5" w:rsidRPr="00D869E3">
        <w:rPr>
          <w:rFonts w:ascii="Verdana" w:hAnsi="Verdana"/>
          <w:color w:val="000000"/>
          <w:sz w:val="20"/>
          <w:szCs w:val="20"/>
          <w:lang w:val="en-US"/>
        </w:rPr>
        <w:t>, “in addition to constituting serious work-related misconduct, also constituted the offense of libel.” The company also informed Mr. Lagos del Campo that he should respond to the charges made against him. During that process, the company “exonerated” Mr. Lagos del Campo from coming to work, while “paying him his wages and any other benefits to which he was entitled.</w:t>
      </w:r>
      <w:r w:rsidR="006436CA" w:rsidRPr="00D869E3">
        <w:rPr>
          <w:rFonts w:ascii="Verdana" w:hAnsi="Verdana"/>
          <w:sz w:val="20"/>
          <w:szCs w:val="20"/>
          <w:lang w:val="en-US"/>
        </w:rPr>
        <w:t>”</w:t>
      </w:r>
      <w:r w:rsidR="00275EDE" w:rsidRPr="00D869E3">
        <w:rPr>
          <w:rFonts w:ascii="Verdana" w:hAnsi="Verdana"/>
          <w:color w:val="000000"/>
          <w:sz w:val="20"/>
          <w:szCs w:val="20"/>
          <w:vertAlign w:val="superscript"/>
          <w:lang w:val="en-US"/>
        </w:rPr>
        <w:footnoteReference w:id="64"/>
      </w:r>
      <w:r w:rsidR="00A157F5" w:rsidRPr="00D869E3">
        <w:rPr>
          <w:rFonts w:ascii="Verdana" w:hAnsi="Verdana"/>
          <w:sz w:val="20"/>
          <w:szCs w:val="20"/>
          <w:lang w:val="en-US"/>
        </w:rPr>
        <w:t xml:space="preserve"> As a result, </w:t>
      </w:r>
      <w:r w:rsidR="00EE0BD4" w:rsidRPr="00D869E3">
        <w:rPr>
          <w:rFonts w:ascii="Verdana" w:hAnsi="Verdana"/>
          <w:color w:val="000000"/>
          <w:sz w:val="20"/>
          <w:szCs w:val="20"/>
          <w:lang w:val="en-US"/>
        </w:rPr>
        <w:t>Mr. Lagos</w:t>
      </w:r>
      <w:r w:rsidR="00275EDE" w:rsidRPr="00D869E3">
        <w:rPr>
          <w:rFonts w:ascii="Verdana" w:hAnsi="Verdana"/>
          <w:color w:val="000000"/>
          <w:sz w:val="20"/>
          <w:szCs w:val="20"/>
          <w:lang w:val="en-US"/>
        </w:rPr>
        <w:t xml:space="preserve"> del Campo </w:t>
      </w:r>
      <w:r w:rsidR="00A157F5" w:rsidRPr="00D869E3">
        <w:rPr>
          <w:rFonts w:ascii="Verdana" w:hAnsi="Verdana"/>
          <w:color w:val="000000"/>
          <w:sz w:val="20"/>
          <w:szCs w:val="20"/>
          <w:lang w:val="en-US"/>
        </w:rPr>
        <w:t>was prohibited from entering the company on June 27,</w:t>
      </w:r>
      <w:r w:rsidR="00275EDE" w:rsidRPr="00D869E3">
        <w:rPr>
          <w:rFonts w:ascii="Verdana" w:hAnsi="Verdana"/>
          <w:color w:val="000000"/>
          <w:sz w:val="20"/>
          <w:szCs w:val="20"/>
          <w:lang w:val="en-US"/>
        </w:rPr>
        <w:t xml:space="preserve"> 1989</w:t>
      </w:r>
      <w:r w:rsidR="00A157F5" w:rsidRPr="00D869E3">
        <w:rPr>
          <w:rFonts w:ascii="Verdana" w:hAnsi="Verdana"/>
          <w:color w:val="000000"/>
          <w:sz w:val="20"/>
          <w:szCs w:val="20"/>
          <w:lang w:val="en-US"/>
        </w:rPr>
        <w:t xml:space="preserve">, </w:t>
      </w:r>
      <w:r w:rsidR="00AA3112" w:rsidRPr="00D869E3">
        <w:rPr>
          <w:rFonts w:ascii="Verdana" w:hAnsi="Verdana"/>
          <w:color w:val="000000"/>
          <w:sz w:val="20"/>
          <w:szCs w:val="20"/>
          <w:lang w:val="en-US"/>
        </w:rPr>
        <w:t>and this</w:t>
      </w:r>
      <w:r w:rsidR="00A157F5" w:rsidRPr="00D869E3">
        <w:rPr>
          <w:rFonts w:ascii="Verdana" w:hAnsi="Verdana"/>
          <w:color w:val="000000"/>
          <w:sz w:val="20"/>
          <w:szCs w:val="20"/>
          <w:lang w:val="en-US"/>
        </w:rPr>
        <w:t xml:space="preserve"> prevented him from attending the meeting that he himself had called, in his capacity as</w:t>
      </w:r>
      <w:r w:rsidR="00275EDE" w:rsidRPr="00D869E3">
        <w:rPr>
          <w:rFonts w:ascii="Verdana" w:hAnsi="Verdana"/>
          <w:color w:val="000000"/>
          <w:sz w:val="20"/>
          <w:szCs w:val="20"/>
          <w:lang w:val="en-US"/>
        </w:rPr>
        <w:t xml:space="preserve"> </w:t>
      </w:r>
      <w:r w:rsidR="001B0492" w:rsidRPr="00D869E3">
        <w:rPr>
          <w:rFonts w:ascii="Verdana" w:hAnsi="Verdana"/>
          <w:color w:val="000000"/>
          <w:sz w:val="20"/>
          <w:szCs w:val="20"/>
          <w:lang w:val="en-US"/>
        </w:rPr>
        <w:t>president of the Electoral</w:t>
      </w:r>
      <w:r w:rsidR="00EA232B" w:rsidRPr="00D869E3">
        <w:rPr>
          <w:rFonts w:ascii="Verdana" w:hAnsi="Verdana"/>
          <w:color w:val="000000"/>
          <w:sz w:val="20"/>
          <w:szCs w:val="20"/>
          <w:lang w:val="en-US"/>
        </w:rPr>
        <w:t xml:space="preserve"> Committee</w:t>
      </w:r>
      <w:r w:rsidR="00275EDE" w:rsidRPr="00D869E3">
        <w:rPr>
          <w:rFonts w:ascii="Verdana" w:hAnsi="Verdana"/>
          <w:color w:val="000000"/>
          <w:sz w:val="20"/>
          <w:szCs w:val="20"/>
          <w:lang w:val="en-US"/>
        </w:rPr>
        <w:t xml:space="preserve">, </w:t>
      </w:r>
      <w:r w:rsidR="00A157F5" w:rsidRPr="00D869E3">
        <w:rPr>
          <w:rFonts w:ascii="Verdana" w:hAnsi="Verdana"/>
          <w:color w:val="000000"/>
          <w:sz w:val="20"/>
          <w:szCs w:val="20"/>
          <w:lang w:val="en-US"/>
        </w:rPr>
        <w:t xml:space="preserve">with the other members of </w:t>
      </w:r>
      <w:r w:rsidR="00F43C5F" w:rsidRPr="00D869E3">
        <w:rPr>
          <w:rFonts w:ascii="Verdana" w:hAnsi="Verdana"/>
          <w:color w:val="000000"/>
          <w:sz w:val="20"/>
          <w:szCs w:val="20"/>
          <w:lang w:val="en-US"/>
        </w:rPr>
        <w:t>Committee</w:t>
      </w:r>
      <w:r w:rsidR="00275EDE" w:rsidRPr="00D869E3">
        <w:rPr>
          <w:rFonts w:ascii="Verdana" w:hAnsi="Verdana"/>
          <w:color w:val="000000"/>
          <w:sz w:val="20"/>
          <w:szCs w:val="20"/>
          <w:lang w:val="en-US"/>
        </w:rPr>
        <w:t xml:space="preserve"> </w:t>
      </w:r>
      <w:r w:rsidR="00A157F5" w:rsidRPr="00D869E3">
        <w:rPr>
          <w:rFonts w:ascii="Verdana" w:hAnsi="Verdana"/>
          <w:color w:val="000000"/>
          <w:sz w:val="20"/>
          <w:szCs w:val="20"/>
          <w:lang w:val="en-US"/>
        </w:rPr>
        <w:t>to discuss the issue of a new election.</w:t>
      </w:r>
    </w:p>
    <w:p w14:paraId="0CE086E0" w14:textId="77777777" w:rsidR="007C5857" w:rsidRPr="00D869E3" w:rsidRDefault="007C5857" w:rsidP="009C6F8E">
      <w:pPr>
        <w:jc w:val="both"/>
        <w:rPr>
          <w:rFonts w:ascii="Verdana" w:hAnsi="Verdana"/>
          <w:b/>
          <w:color w:val="000000"/>
          <w:sz w:val="20"/>
          <w:szCs w:val="20"/>
          <w:lang w:val="en-US"/>
        </w:rPr>
      </w:pPr>
    </w:p>
    <w:p w14:paraId="5CED3683" w14:textId="49612354" w:rsidR="00275EDE" w:rsidRPr="00D869E3" w:rsidRDefault="00A157F5" w:rsidP="00A157F5">
      <w:pPr>
        <w:pStyle w:val="Prrafodelista"/>
        <w:numPr>
          <w:ilvl w:val="0"/>
          <w:numId w:val="1"/>
        </w:numPr>
        <w:ind w:left="0" w:hanging="11"/>
        <w:jc w:val="both"/>
        <w:rPr>
          <w:rFonts w:ascii="Verdana" w:hAnsi="Verdana"/>
          <w:sz w:val="20"/>
          <w:szCs w:val="20"/>
          <w:lang w:val="en-US"/>
        </w:rPr>
      </w:pPr>
      <w:r w:rsidRPr="00D869E3">
        <w:rPr>
          <w:rFonts w:ascii="Verdana" w:hAnsi="Verdana"/>
          <w:sz w:val="20"/>
          <w:szCs w:val="20"/>
          <w:lang w:val="en-US"/>
        </w:rPr>
        <w:t>In a letter of</w:t>
      </w:r>
      <w:r w:rsidR="00275EDE" w:rsidRPr="00D869E3">
        <w:rPr>
          <w:rFonts w:ascii="Verdana" w:hAnsi="Verdana"/>
          <w:sz w:val="20"/>
          <w:szCs w:val="20"/>
          <w:lang w:val="en-US"/>
        </w:rPr>
        <w:t xml:space="preserve"> </w:t>
      </w:r>
      <w:r w:rsidRPr="00D869E3">
        <w:rPr>
          <w:rFonts w:ascii="Verdana" w:hAnsi="Verdana"/>
          <w:sz w:val="20"/>
          <w:szCs w:val="20"/>
          <w:lang w:val="en-US"/>
        </w:rPr>
        <w:t>June 30,</w:t>
      </w:r>
      <w:r w:rsidR="00275EDE" w:rsidRPr="00D869E3">
        <w:rPr>
          <w:rFonts w:ascii="Verdana" w:hAnsi="Verdana"/>
          <w:sz w:val="20"/>
          <w:szCs w:val="20"/>
          <w:lang w:val="en-US"/>
        </w:rPr>
        <w:t xml:space="preserve"> 1989</w:t>
      </w:r>
      <w:r w:rsidRPr="00D869E3">
        <w:rPr>
          <w:rFonts w:ascii="Verdana" w:hAnsi="Verdana"/>
          <w:sz w:val="20"/>
          <w:szCs w:val="20"/>
          <w:lang w:val="en-US"/>
        </w:rPr>
        <w:t>, addressed to the General Manager</w:t>
      </w:r>
      <w:r w:rsidR="00275EDE"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275EDE" w:rsidRPr="00D869E3">
        <w:rPr>
          <w:rFonts w:ascii="Verdana" w:hAnsi="Verdana"/>
          <w:sz w:val="20"/>
          <w:szCs w:val="20"/>
          <w:lang w:val="en-US"/>
        </w:rPr>
        <w:t xml:space="preserve"> </w:t>
      </w:r>
      <w:r w:rsidRPr="00D869E3">
        <w:rPr>
          <w:rFonts w:ascii="Verdana" w:hAnsi="Verdana"/>
          <w:sz w:val="20"/>
          <w:szCs w:val="20"/>
          <w:lang w:val="en-US"/>
        </w:rPr>
        <w:t>sought to disprove the charges that had been brought in the notarized letter. I</w:t>
      </w:r>
      <w:r w:rsidR="00275EDE" w:rsidRPr="00D869E3">
        <w:rPr>
          <w:rFonts w:ascii="Verdana" w:hAnsi="Verdana"/>
          <w:sz w:val="20"/>
          <w:szCs w:val="20"/>
          <w:lang w:val="en-US"/>
        </w:rPr>
        <w:t xml:space="preserve">n particular, </w:t>
      </w:r>
      <w:r w:rsidR="001E44D3" w:rsidRPr="00D869E3">
        <w:rPr>
          <w:rFonts w:ascii="Verdana" w:hAnsi="Verdana"/>
          <w:sz w:val="20"/>
          <w:szCs w:val="20"/>
          <w:lang w:val="en-US"/>
        </w:rPr>
        <w:t>Mr. Lagos del Campo</w:t>
      </w:r>
      <w:r w:rsidR="00275EDE" w:rsidRPr="00D869E3">
        <w:rPr>
          <w:rFonts w:ascii="Verdana" w:hAnsi="Verdana"/>
          <w:sz w:val="20"/>
          <w:szCs w:val="20"/>
          <w:lang w:val="en-US"/>
        </w:rPr>
        <w:t xml:space="preserve"> </w:t>
      </w:r>
      <w:r w:rsidRPr="00D869E3">
        <w:rPr>
          <w:rFonts w:ascii="Verdana" w:hAnsi="Verdana"/>
          <w:sz w:val="20"/>
          <w:szCs w:val="20"/>
          <w:lang w:val="en-US"/>
        </w:rPr>
        <w:t>indicated that</w:t>
      </w:r>
      <w:r w:rsidR="00275EDE" w:rsidRPr="00D869E3">
        <w:rPr>
          <w:rFonts w:ascii="Verdana" w:hAnsi="Verdana"/>
          <w:sz w:val="20"/>
          <w:szCs w:val="20"/>
          <w:lang w:val="en-US"/>
        </w:rPr>
        <w:t xml:space="preserve">: </w:t>
      </w:r>
      <w:r w:rsidRPr="00D869E3">
        <w:rPr>
          <w:rFonts w:ascii="Verdana" w:hAnsi="Verdana"/>
          <w:sz w:val="20"/>
          <w:szCs w:val="20"/>
          <w:lang w:val="en-US"/>
        </w:rPr>
        <w:t>(</w:t>
      </w:r>
      <w:r w:rsidR="00275EDE" w:rsidRPr="00D869E3">
        <w:rPr>
          <w:rFonts w:ascii="Verdana" w:hAnsi="Verdana"/>
          <w:sz w:val="20"/>
          <w:szCs w:val="20"/>
          <w:lang w:val="en-US"/>
        </w:rPr>
        <w:t xml:space="preserve">a) </w:t>
      </w:r>
      <w:r w:rsidRPr="00D869E3">
        <w:rPr>
          <w:rFonts w:ascii="Verdana" w:hAnsi="Verdana"/>
          <w:sz w:val="20"/>
          <w:szCs w:val="20"/>
          <w:lang w:val="en-US"/>
        </w:rPr>
        <w:t>it was not true that he had failed to comply with his work-related obligations or incurred in serious</w:t>
      </w:r>
      <w:r w:rsidR="00275EDE" w:rsidRPr="00D869E3">
        <w:rPr>
          <w:rFonts w:ascii="Verdana" w:hAnsi="Verdana"/>
          <w:sz w:val="20"/>
          <w:szCs w:val="20"/>
          <w:lang w:val="en-US"/>
        </w:rPr>
        <w:t xml:space="preserve"> </w:t>
      </w:r>
      <w:r w:rsidR="00EC6DBA" w:rsidRPr="00D869E3">
        <w:rPr>
          <w:rFonts w:ascii="Verdana" w:hAnsi="Verdana"/>
          <w:sz w:val="20"/>
          <w:szCs w:val="20"/>
          <w:lang w:val="en-US"/>
        </w:rPr>
        <w:t>insubordination</w:t>
      </w:r>
      <w:r w:rsidR="00275EDE" w:rsidRPr="00D869E3">
        <w:rPr>
          <w:rFonts w:ascii="Verdana" w:hAnsi="Verdana"/>
          <w:sz w:val="20"/>
          <w:szCs w:val="20"/>
          <w:lang w:val="en-US"/>
        </w:rPr>
        <w:t xml:space="preserve">, </w:t>
      </w:r>
      <w:r w:rsidRPr="00D869E3">
        <w:rPr>
          <w:rFonts w:ascii="Verdana" w:hAnsi="Verdana"/>
          <w:sz w:val="20"/>
          <w:szCs w:val="20"/>
          <w:lang w:val="en-US"/>
        </w:rPr>
        <w:t xml:space="preserve">because he had always executed the work assigned to him scrupulously; (b) it was not true that he had incurred in </w:t>
      </w:r>
      <w:r w:rsidRPr="00D869E3">
        <w:rPr>
          <w:rFonts w:ascii="Verdana" w:hAnsi="Verdana"/>
          <w:color w:val="000000"/>
          <w:sz w:val="20"/>
          <w:szCs w:val="20"/>
          <w:lang w:val="en-US"/>
        </w:rPr>
        <w:t>“</w:t>
      </w:r>
      <w:r w:rsidR="00EC6DBA" w:rsidRPr="00D869E3">
        <w:rPr>
          <w:rFonts w:ascii="Verdana" w:hAnsi="Verdana"/>
          <w:color w:val="000000"/>
          <w:sz w:val="20"/>
          <w:szCs w:val="20"/>
          <w:lang w:val="en-US"/>
        </w:rPr>
        <w:t>serious verbal misconduct</w:t>
      </w:r>
      <w:r w:rsidRPr="00D869E3">
        <w:rPr>
          <w:rFonts w:ascii="Verdana" w:hAnsi="Verdana"/>
          <w:color w:val="000000"/>
          <w:sz w:val="20"/>
          <w:szCs w:val="20"/>
          <w:lang w:val="en-US"/>
        </w:rPr>
        <w:t xml:space="preserve">” </w:t>
      </w:r>
      <w:r w:rsidR="00EC6DBA" w:rsidRPr="00D869E3">
        <w:rPr>
          <w:rFonts w:ascii="Verdana" w:hAnsi="Verdana"/>
          <w:color w:val="000000"/>
          <w:sz w:val="20"/>
          <w:szCs w:val="20"/>
          <w:lang w:val="en-US"/>
        </w:rPr>
        <w:t>against</w:t>
      </w:r>
      <w:r w:rsidRPr="00D869E3">
        <w:rPr>
          <w:rFonts w:ascii="Verdana" w:hAnsi="Verdana"/>
          <w:color w:val="000000"/>
          <w:sz w:val="20"/>
          <w:szCs w:val="20"/>
          <w:lang w:val="en-US"/>
        </w:rPr>
        <w:t xml:space="preserve"> the employer or the latter’s </w:t>
      </w:r>
      <w:r w:rsidRPr="00D869E3">
        <w:rPr>
          <w:rFonts w:ascii="Verdana" w:hAnsi="Verdana"/>
          <w:sz w:val="20"/>
          <w:szCs w:val="20"/>
          <w:lang w:val="en-US"/>
        </w:rPr>
        <w:t xml:space="preserve">representatives, because </w:t>
      </w:r>
      <w:r w:rsidR="00AA3112" w:rsidRPr="00D869E3">
        <w:rPr>
          <w:rFonts w:ascii="Verdana" w:hAnsi="Verdana"/>
          <w:sz w:val="20"/>
          <w:szCs w:val="20"/>
          <w:lang w:val="en-US"/>
        </w:rPr>
        <w:t xml:space="preserve">his words had not </w:t>
      </w:r>
      <w:r w:rsidRPr="00D869E3">
        <w:rPr>
          <w:rFonts w:ascii="Verdana" w:hAnsi="Verdana"/>
          <w:sz w:val="20"/>
          <w:szCs w:val="20"/>
          <w:lang w:val="en-US"/>
        </w:rPr>
        <w:t xml:space="preserve">directly </w:t>
      </w:r>
      <w:r w:rsidR="00AA3112" w:rsidRPr="00D869E3">
        <w:rPr>
          <w:rFonts w:ascii="Verdana" w:hAnsi="Verdana"/>
          <w:sz w:val="20"/>
          <w:szCs w:val="20"/>
          <w:lang w:val="en-US"/>
        </w:rPr>
        <w:t>addressed at</w:t>
      </w:r>
      <w:r w:rsidRPr="00D869E3">
        <w:rPr>
          <w:rFonts w:ascii="Verdana" w:hAnsi="Verdana"/>
          <w:sz w:val="20"/>
          <w:szCs w:val="20"/>
          <w:lang w:val="en-US"/>
        </w:rPr>
        <w:t xml:space="preserve"> the employer or with the intention to offend him; (c) since these were not repeat offenses and there had been no previous disciplinary sanction for similar offenses, the company should have proceeded in accordance with the provisions of the Internal Labor Regulations applying, first, the </w:t>
      </w:r>
      <w:r w:rsidR="00AA3112" w:rsidRPr="00D869E3">
        <w:rPr>
          <w:rFonts w:ascii="Verdana" w:hAnsi="Verdana"/>
          <w:sz w:val="20"/>
          <w:szCs w:val="20"/>
          <w:lang w:val="en-US"/>
        </w:rPr>
        <w:t>lesser</w:t>
      </w:r>
      <w:r w:rsidRPr="00D869E3">
        <w:rPr>
          <w:rFonts w:ascii="Verdana" w:hAnsi="Verdana"/>
          <w:sz w:val="20"/>
          <w:szCs w:val="20"/>
          <w:lang w:val="en-US"/>
        </w:rPr>
        <w:t xml:space="preserve"> sanctions established by these regulations; (d) it was not true that he had stated that there had been a “</w:t>
      </w:r>
      <w:r w:rsidR="00AA3112" w:rsidRPr="00D869E3">
        <w:rPr>
          <w:rFonts w:ascii="Verdana" w:hAnsi="Verdana"/>
          <w:sz w:val="20"/>
          <w:szCs w:val="20"/>
          <w:lang w:val="en-US"/>
        </w:rPr>
        <w:t>fraudulent</w:t>
      </w:r>
      <w:r w:rsidRPr="00D869E3">
        <w:rPr>
          <w:rFonts w:ascii="Verdana" w:hAnsi="Verdana"/>
          <w:sz w:val="20"/>
          <w:szCs w:val="20"/>
          <w:lang w:val="en-US"/>
        </w:rPr>
        <w:t xml:space="preserve"> and unlawful understanding” with the Director of the </w:t>
      </w:r>
      <w:r w:rsidR="00EC2233" w:rsidRPr="00D869E3">
        <w:rPr>
          <w:rFonts w:ascii="Verdana" w:hAnsi="Verdana"/>
          <w:sz w:val="20"/>
          <w:szCs w:val="20"/>
          <w:lang w:val="en-US"/>
        </w:rPr>
        <w:t>Participation Directorate</w:t>
      </w:r>
      <w:r w:rsidRPr="00D869E3">
        <w:rPr>
          <w:rFonts w:ascii="Verdana" w:hAnsi="Verdana"/>
          <w:sz w:val="20"/>
          <w:szCs w:val="20"/>
          <w:lang w:val="en-US"/>
        </w:rPr>
        <w:t>; (e) it was eviden</w:t>
      </w:r>
      <w:r w:rsidR="00AA3112" w:rsidRPr="00D869E3">
        <w:rPr>
          <w:rFonts w:ascii="Verdana" w:hAnsi="Verdana"/>
          <w:sz w:val="20"/>
          <w:szCs w:val="20"/>
          <w:lang w:val="en-US"/>
        </w:rPr>
        <w:t>t</w:t>
      </w:r>
      <w:r w:rsidRPr="00D869E3">
        <w:rPr>
          <w:rFonts w:ascii="Verdana" w:hAnsi="Verdana"/>
          <w:sz w:val="20"/>
          <w:szCs w:val="20"/>
          <w:lang w:val="en-US"/>
        </w:rPr>
        <w:t xml:space="preserve"> that his statements had been distorted; (f) also, the notarized letter sought to </w:t>
      </w:r>
      <w:r w:rsidR="00AA3112" w:rsidRPr="00D869E3">
        <w:rPr>
          <w:rFonts w:ascii="Verdana" w:hAnsi="Verdana"/>
          <w:sz w:val="20"/>
          <w:szCs w:val="20"/>
          <w:lang w:val="en-US"/>
        </w:rPr>
        <w:t>ascribe</w:t>
      </w:r>
      <w:r w:rsidRPr="00D869E3">
        <w:rPr>
          <w:rFonts w:ascii="Verdana" w:hAnsi="Verdana"/>
          <w:sz w:val="20"/>
          <w:szCs w:val="20"/>
          <w:lang w:val="en-US"/>
        </w:rPr>
        <w:t xml:space="preserve"> disciplinary sanctions in the exercise of his functions, wh</w:t>
      </w:r>
      <w:r w:rsidR="00AA3112" w:rsidRPr="00D869E3">
        <w:rPr>
          <w:rFonts w:ascii="Verdana" w:hAnsi="Verdana"/>
          <w:sz w:val="20"/>
          <w:szCs w:val="20"/>
          <w:lang w:val="en-US"/>
        </w:rPr>
        <w:t>ereas</w:t>
      </w:r>
      <w:r w:rsidRPr="00D869E3">
        <w:rPr>
          <w:rFonts w:ascii="Verdana" w:hAnsi="Verdana"/>
          <w:sz w:val="20"/>
          <w:szCs w:val="20"/>
          <w:lang w:val="en-US"/>
        </w:rPr>
        <w:t xml:space="preserve"> this was a </w:t>
      </w:r>
      <w:r w:rsidR="00AA3112" w:rsidRPr="00D869E3">
        <w:rPr>
          <w:rFonts w:ascii="Verdana" w:hAnsi="Verdana"/>
          <w:sz w:val="20"/>
          <w:szCs w:val="20"/>
          <w:lang w:val="en-US"/>
        </w:rPr>
        <w:t>conspicuous</w:t>
      </w:r>
      <w:r w:rsidRPr="00D869E3">
        <w:rPr>
          <w:rFonts w:ascii="Verdana" w:hAnsi="Verdana"/>
          <w:sz w:val="20"/>
          <w:szCs w:val="20"/>
          <w:lang w:val="en-US"/>
        </w:rPr>
        <w:t xml:space="preserve"> act of interference in the internal activities </w:t>
      </w:r>
      <w:r w:rsidR="00EA232B" w:rsidRPr="00D869E3">
        <w:rPr>
          <w:rFonts w:ascii="Verdana" w:hAnsi="Verdana"/>
          <w:sz w:val="20"/>
          <w:szCs w:val="20"/>
          <w:lang w:val="en-US"/>
        </w:rPr>
        <w:t>of the Industrial Community</w:t>
      </w:r>
      <w:r w:rsidR="00452C95" w:rsidRPr="00D869E3">
        <w:rPr>
          <w:rFonts w:ascii="Verdana" w:hAnsi="Verdana"/>
          <w:sz w:val="20"/>
          <w:szCs w:val="20"/>
          <w:lang w:val="en-US"/>
        </w:rPr>
        <w:t>,</w:t>
      </w:r>
      <w:r w:rsidR="00687684" w:rsidRPr="00D869E3">
        <w:rPr>
          <w:rFonts w:ascii="Verdana" w:hAnsi="Verdana"/>
          <w:sz w:val="20"/>
          <w:szCs w:val="20"/>
          <w:lang w:val="en-US"/>
        </w:rPr>
        <w:t xml:space="preserve"> and </w:t>
      </w:r>
      <w:r w:rsidRPr="00D869E3">
        <w:rPr>
          <w:rFonts w:ascii="Verdana" w:hAnsi="Verdana"/>
          <w:sz w:val="20"/>
          <w:szCs w:val="20"/>
          <w:lang w:val="en-US"/>
        </w:rPr>
        <w:t>(</w:t>
      </w:r>
      <w:r w:rsidR="00275EDE" w:rsidRPr="00D869E3">
        <w:rPr>
          <w:rFonts w:ascii="Verdana" w:hAnsi="Verdana"/>
          <w:sz w:val="20"/>
          <w:szCs w:val="20"/>
          <w:lang w:val="en-US"/>
        </w:rPr>
        <w:t>g)</w:t>
      </w:r>
      <w:r w:rsidR="007E0ADF" w:rsidRPr="00D869E3">
        <w:rPr>
          <w:rFonts w:ascii="Verdana" w:hAnsi="Verdana"/>
          <w:sz w:val="20"/>
          <w:szCs w:val="20"/>
          <w:lang w:val="en-US"/>
        </w:rPr>
        <w:t xml:space="preserve"> </w:t>
      </w:r>
      <w:r w:rsidRPr="00D869E3">
        <w:rPr>
          <w:rFonts w:ascii="Verdana" w:hAnsi="Verdana"/>
          <w:sz w:val="20"/>
          <w:szCs w:val="20"/>
          <w:lang w:val="en-US"/>
        </w:rPr>
        <w:t>the accusation</w:t>
      </w:r>
      <w:r w:rsidR="00AA3112" w:rsidRPr="00D869E3">
        <w:rPr>
          <w:rFonts w:ascii="Verdana" w:hAnsi="Verdana"/>
          <w:sz w:val="20"/>
          <w:szCs w:val="20"/>
          <w:lang w:val="en-US"/>
        </w:rPr>
        <w:t>s</w:t>
      </w:r>
      <w:r w:rsidRPr="00D869E3">
        <w:rPr>
          <w:rFonts w:ascii="Verdana" w:hAnsi="Verdana"/>
          <w:sz w:val="20"/>
          <w:szCs w:val="20"/>
          <w:lang w:val="en-US"/>
        </w:rPr>
        <w:t xml:space="preserve"> made were an attack on his </w:t>
      </w:r>
      <w:r w:rsidR="00C82C0C" w:rsidRPr="00D869E3">
        <w:rPr>
          <w:rFonts w:ascii="Verdana" w:hAnsi="Verdana"/>
          <w:sz w:val="20"/>
          <w:szCs w:val="20"/>
          <w:lang w:val="en-US"/>
        </w:rPr>
        <w:t>right to freedom</w:t>
      </w:r>
      <w:r w:rsidR="00A62EA8" w:rsidRPr="00D869E3">
        <w:rPr>
          <w:rFonts w:ascii="Verdana" w:hAnsi="Verdana"/>
          <w:sz w:val="20"/>
          <w:szCs w:val="20"/>
          <w:lang w:val="en-US"/>
        </w:rPr>
        <w:t xml:space="preserve"> of expression</w:t>
      </w:r>
      <w:r w:rsidR="00687684" w:rsidRPr="00D869E3">
        <w:rPr>
          <w:rFonts w:ascii="Verdana" w:hAnsi="Verdana"/>
          <w:sz w:val="20"/>
          <w:szCs w:val="20"/>
          <w:lang w:val="en-US"/>
        </w:rPr>
        <w:t xml:space="preserve"> and </w:t>
      </w:r>
      <w:r w:rsidR="006F030D" w:rsidRPr="00D869E3">
        <w:rPr>
          <w:rFonts w:ascii="Verdana" w:hAnsi="Verdana"/>
          <w:sz w:val="20"/>
          <w:szCs w:val="20"/>
          <w:lang w:val="en-US"/>
        </w:rPr>
        <w:t>to impart ideas.</w:t>
      </w:r>
      <w:r w:rsidR="00275EDE" w:rsidRPr="00D869E3">
        <w:rPr>
          <w:rFonts w:ascii="Verdana" w:hAnsi="Verdana"/>
          <w:color w:val="000000"/>
          <w:sz w:val="20"/>
          <w:szCs w:val="20"/>
          <w:vertAlign w:val="superscript"/>
          <w:lang w:val="en-US"/>
        </w:rPr>
        <w:footnoteReference w:id="65"/>
      </w:r>
      <w:r w:rsidR="00275EDE" w:rsidRPr="00D869E3">
        <w:rPr>
          <w:rFonts w:ascii="Verdana" w:hAnsi="Verdana"/>
          <w:sz w:val="20"/>
          <w:szCs w:val="20"/>
          <w:lang w:val="en-US"/>
        </w:rPr>
        <w:t xml:space="preserve"> </w:t>
      </w:r>
    </w:p>
    <w:p w14:paraId="13513920" w14:textId="77777777" w:rsidR="00275EDE" w:rsidRPr="00D869E3" w:rsidRDefault="00275EDE" w:rsidP="009C6F8E">
      <w:pPr>
        <w:jc w:val="both"/>
        <w:rPr>
          <w:rFonts w:ascii="Verdana" w:hAnsi="Verdana"/>
          <w:b/>
          <w:sz w:val="20"/>
          <w:szCs w:val="20"/>
          <w:lang w:val="en-US"/>
        </w:rPr>
      </w:pPr>
    </w:p>
    <w:p w14:paraId="35B2B1FE" w14:textId="7079B650" w:rsidR="00275EDE" w:rsidRPr="00D869E3" w:rsidRDefault="0062551F" w:rsidP="0062551F">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In a note</w:t>
      </w:r>
      <w:r w:rsidR="00275EDE" w:rsidRPr="00D869E3">
        <w:rPr>
          <w:rFonts w:ascii="Verdana" w:hAnsi="Verdana"/>
          <w:sz w:val="20"/>
          <w:szCs w:val="20"/>
          <w:lang w:val="en-US"/>
        </w:rPr>
        <w:t xml:space="preserve"> </w:t>
      </w:r>
      <w:r w:rsidRPr="00D869E3">
        <w:rPr>
          <w:rFonts w:ascii="Verdana" w:hAnsi="Verdana"/>
          <w:sz w:val="20"/>
          <w:szCs w:val="20"/>
          <w:lang w:val="en-US"/>
        </w:rPr>
        <w:t>of</w:t>
      </w:r>
      <w:r w:rsidR="00275EDE" w:rsidRPr="00D869E3">
        <w:rPr>
          <w:rFonts w:ascii="Verdana" w:hAnsi="Verdana"/>
          <w:sz w:val="20"/>
          <w:szCs w:val="20"/>
          <w:lang w:val="en-US"/>
        </w:rPr>
        <w:t xml:space="preserve"> </w:t>
      </w:r>
      <w:r w:rsidRPr="00D869E3">
        <w:rPr>
          <w:rFonts w:ascii="Verdana" w:hAnsi="Verdana"/>
          <w:sz w:val="20"/>
          <w:szCs w:val="20"/>
          <w:lang w:val="en-US"/>
        </w:rPr>
        <w:t>July 1,</w:t>
      </w:r>
      <w:r w:rsidR="00275EDE" w:rsidRPr="00D869E3">
        <w:rPr>
          <w:rFonts w:ascii="Verdana" w:hAnsi="Verdana"/>
          <w:sz w:val="20"/>
          <w:szCs w:val="20"/>
          <w:lang w:val="en-US"/>
        </w:rPr>
        <w:t xml:space="preserve"> 1989</w:t>
      </w:r>
      <w:r w:rsidRPr="00D869E3">
        <w:rPr>
          <w:rFonts w:ascii="Verdana" w:hAnsi="Verdana"/>
          <w:sz w:val="20"/>
          <w:szCs w:val="20"/>
          <w:lang w:val="en-US"/>
        </w:rPr>
        <w:t>,</w:t>
      </w:r>
      <w:r w:rsidR="00275EDE" w:rsidRPr="00D869E3">
        <w:rPr>
          <w:rFonts w:ascii="Verdana" w:hAnsi="Verdana"/>
          <w:sz w:val="20"/>
          <w:szCs w:val="20"/>
          <w:vertAlign w:val="superscript"/>
          <w:lang w:val="en-US"/>
        </w:rPr>
        <w:footnoteReference w:id="66"/>
      </w:r>
      <w:r w:rsidR="00275EDE" w:rsidRPr="00D869E3">
        <w:rPr>
          <w:rFonts w:ascii="Verdana" w:hAnsi="Verdana"/>
          <w:sz w:val="20"/>
          <w:szCs w:val="20"/>
          <w:lang w:val="en-US"/>
        </w:rPr>
        <w:t xml:space="preserve"> </w:t>
      </w:r>
      <w:r w:rsidRPr="00D869E3">
        <w:rPr>
          <w:rFonts w:ascii="Verdana" w:hAnsi="Verdana"/>
          <w:sz w:val="20"/>
          <w:szCs w:val="20"/>
          <w:lang w:val="en-US"/>
        </w:rPr>
        <w:t>the company informed</w:t>
      </w:r>
      <w:r w:rsidR="00EE0BD4" w:rsidRPr="00D869E3">
        <w:rPr>
          <w:rFonts w:ascii="Verdana" w:hAnsi="Verdana"/>
          <w:sz w:val="20"/>
          <w:szCs w:val="20"/>
          <w:lang w:val="en-US"/>
        </w:rPr>
        <w:t xml:space="preserve"> Mr. Lagos</w:t>
      </w:r>
      <w:r w:rsidR="00275EDE" w:rsidRPr="00D869E3">
        <w:rPr>
          <w:rFonts w:ascii="Verdana" w:hAnsi="Verdana"/>
          <w:sz w:val="20"/>
          <w:szCs w:val="20"/>
          <w:lang w:val="en-US"/>
        </w:rPr>
        <w:t xml:space="preserve"> del Campo</w:t>
      </w:r>
      <w:r w:rsidRPr="00D869E3">
        <w:rPr>
          <w:rFonts w:ascii="Verdana" w:hAnsi="Verdana"/>
          <w:sz w:val="20"/>
          <w:szCs w:val="20"/>
          <w:lang w:val="en-US"/>
        </w:rPr>
        <w:t xml:space="preserve"> of the decision to dismiss him from his employment, because “[…] he had not disproved the charges that had </w:t>
      </w:r>
      <w:r w:rsidRPr="00D869E3">
        <w:rPr>
          <w:rFonts w:ascii="Verdana" w:hAnsi="Verdana"/>
          <w:sz w:val="20"/>
          <w:szCs w:val="20"/>
          <w:lang w:val="en-US"/>
        </w:rPr>
        <w:lastRenderedPageBreak/>
        <w:t xml:space="preserve">been brought against him in the notarized letter of June 26 […].” It considered that the dismissal was justified, in particular, because he had committed the serious offenses </w:t>
      </w:r>
      <w:r w:rsidR="00491E38" w:rsidRPr="00D869E3">
        <w:rPr>
          <w:rFonts w:ascii="Verdana" w:hAnsi="Verdana"/>
          <w:sz w:val="20"/>
          <w:szCs w:val="20"/>
          <w:lang w:val="en-US"/>
        </w:rPr>
        <w:t xml:space="preserve">that were </w:t>
      </w:r>
      <w:r w:rsidRPr="00D869E3">
        <w:rPr>
          <w:rFonts w:ascii="Verdana" w:hAnsi="Verdana"/>
          <w:sz w:val="20"/>
          <w:szCs w:val="20"/>
          <w:lang w:val="en-US"/>
        </w:rPr>
        <w:t xml:space="preserve">causes </w:t>
      </w:r>
      <w:r w:rsidR="00491E38" w:rsidRPr="00D869E3">
        <w:rPr>
          <w:rFonts w:ascii="Verdana" w:hAnsi="Verdana"/>
          <w:sz w:val="20"/>
          <w:szCs w:val="20"/>
          <w:lang w:val="en-US"/>
        </w:rPr>
        <w:t>for dismissal under</w:t>
      </w:r>
      <w:r w:rsidRPr="00D869E3">
        <w:rPr>
          <w:rFonts w:ascii="Verdana" w:hAnsi="Verdana"/>
          <w:sz w:val="20"/>
          <w:szCs w:val="20"/>
          <w:lang w:val="en-US"/>
        </w:rPr>
        <w:t xml:space="preserve"> paragraphs (a) and (h) of article 5 of Law 24514 of 1986, regulating the right to </w:t>
      </w:r>
      <w:r w:rsidR="00397BCB" w:rsidRPr="00D869E3">
        <w:rPr>
          <w:rFonts w:ascii="Verdana" w:hAnsi="Verdana"/>
          <w:sz w:val="20"/>
          <w:szCs w:val="20"/>
          <w:lang w:val="en-US"/>
        </w:rPr>
        <w:t>job security</w:t>
      </w:r>
      <w:r w:rsidRPr="00D869E3">
        <w:rPr>
          <w:rFonts w:ascii="Verdana" w:hAnsi="Verdana"/>
          <w:sz w:val="20"/>
          <w:szCs w:val="20"/>
          <w:lang w:val="en-US"/>
        </w:rPr>
        <w:t>, which considered as serious offenses “</w:t>
      </w:r>
      <w:r w:rsidR="00EC6DBA" w:rsidRPr="00D869E3">
        <w:rPr>
          <w:rFonts w:ascii="Verdana" w:hAnsi="Verdana"/>
          <w:sz w:val="20"/>
          <w:szCs w:val="20"/>
          <w:lang w:val="en-US"/>
        </w:rPr>
        <w:t>serious verbal misconduct</w:t>
      </w:r>
      <w:r w:rsidRPr="00D869E3">
        <w:rPr>
          <w:rFonts w:ascii="Verdana" w:hAnsi="Verdana"/>
          <w:sz w:val="20"/>
          <w:szCs w:val="20"/>
          <w:lang w:val="en-US"/>
        </w:rPr>
        <w:t xml:space="preserve"> </w:t>
      </w:r>
      <w:r w:rsidR="00EC6DBA" w:rsidRPr="00D869E3">
        <w:rPr>
          <w:rFonts w:ascii="Verdana" w:hAnsi="Verdana"/>
          <w:sz w:val="20"/>
          <w:szCs w:val="20"/>
          <w:lang w:val="en-US"/>
        </w:rPr>
        <w:t>against</w:t>
      </w:r>
      <w:r w:rsidRPr="00D869E3">
        <w:rPr>
          <w:rFonts w:ascii="Verdana" w:hAnsi="Verdana"/>
          <w:sz w:val="20"/>
          <w:szCs w:val="20"/>
          <w:lang w:val="en-US"/>
        </w:rPr>
        <w:t xml:space="preserve"> his employer, </w:t>
      </w:r>
      <w:r w:rsidR="00491E38" w:rsidRPr="00D869E3">
        <w:rPr>
          <w:rFonts w:ascii="Verdana" w:hAnsi="Verdana"/>
          <w:sz w:val="20"/>
          <w:szCs w:val="20"/>
          <w:lang w:val="en-US"/>
        </w:rPr>
        <w:t>its</w:t>
      </w:r>
      <w:r w:rsidRPr="00D869E3">
        <w:rPr>
          <w:rFonts w:ascii="Verdana" w:hAnsi="Verdana"/>
          <w:sz w:val="20"/>
          <w:szCs w:val="20"/>
          <w:lang w:val="en-US"/>
        </w:rPr>
        <w:t xml:space="preserve"> representatives, and his fellow workers,” based on the </w:t>
      </w:r>
      <w:r w:rsidR="00397BCB" w:rsidRPr="00D869E3">
        <w:rPr>
          <w:rFonts w:ascii="Verdana" w:hAnsi="Verdana"/>
          <w:sz w:val="20"/>
          <w:szCs w:val="20"/>
          <w:lang w:val="en-US"/>
        </w:rPr>
        <w:t>statements</w:t>
      </w:r>
      <w:r w:rsidRPr="00D869E3">
        <w:rPr>
          <w:rFonts w:ascii="Verdana" w:hAnsi="Verdana"/>
          <w:sz w:val="20"/>
          <w:szCs w:val="20"/>
          <w:lang w:val="en-US"/>
        </w:rPr>
        <w:t xml:space="preserve"> he made when he gave the interview.</w:t>
      </w:r>
      <w:r w:rsidR="00275EDE" w:rsidRPr="00D869E3">
        <w:rPr>
          <w:rFonts w:ascii="Verdana" w:hAnsi="Verdana"/>
          <w:sz w:val="20"/>
          <w:szCs w:val="20"/>
          <w:vertAlign w:val="superscript"/>
          <w:lang w:val="en-US"/>
        </w:rPr>
        <w:footnoteReference w:id="67"/>
      </w:r>
      <w:r w:rsidRPr="00D869E3">
        <w:rPr>
          <w:rFonts w:ascii="Verdana" w:hAnsi="Verdana"/>
          <w:sz w:val="20"/>
          <w:szCs w:val="20"/>
          <w:lang w:val="en-US"/>
        </w:rPr>
        <w:t xml:space="preserve"> I</w:t>
      </w:r>
      <w:r w:rsidR="00275EDE" w:rsidRPr="00D869E3">
        <w:rPr>
          <w:rFonts w:ascii="Verdana" w:hAnsi="Verdana"/>
          <w:sz w:val="20"/>
          <w:szCs w:val="20"/>
          <w:lang w:val="en-US"/>
        </w:rPr>
        <w:t xml:space="preserve">n particular, </w:t>
      </w:r>
      <w:r w:rsidRPr="00D869E3">
        <w:rPr>
          <w:rFonts w:ascii="Verdana" w:hAnsi="Verdana"/>
          <w:sz w:val="20"/>
          <w:szCs w:val="20"/>
          <w:lang w:val="en-US"/>
        </w:rPr>
        <w:t>the company argued that Mr. Lagos had committed a serious offense by accusing the Board of using “blackmail” and “coerci</w:t>
      </w:r>
      <w:r w:rsidR="00E91FDA" w:rsidRPr="00D869E3">
        <w:rPr>
          <w:rFonts w:ascii="Verdana" w:hAnsi="Verdana"/>
          <w:sz w:val="20"/>
          <w:szCs w:val="20"/>
          <w:lang w:val="en-US"/>
        </w:rPr>
        <w:t>o</w:t>
      </w:r>
      <w:r w:rsidRPr="00D869E3">
        <w:rPr>
          <w:rFonts w:ascii="Verdana" w:hAnsi="Verdana"/>
          <w:sz w:val="20"/>
          <w:szCs w:val="20"/>
          <w:lang w:val="en-US"/>
        </w:rPr>
        <w:t xml:space="preserve">n,” of having an understanding with the </w:t>
      </w:r>
      <w:r w:rsidR="00EC2233" w:rsidRPr="00D869E3">
        <w:rPr>
          <w:rFonts w:ascii="Verdana" w:hAnsi="Verdana"/>
          <w:sz w:val="20"/>
          <w:szCs w:val="20"/>
          <w:lang w:val="en-US"/>
        </w:rPr>
        <w:t>Participation Directorate</w:t>
      </w:r>
      <w:r w:rsidR="00275EDE" w:rsidRPr="00D869E3">
        <w:rPr>
          <w:rFonts w:ascii="Verdana" w:hAnsi="Verdana"/>
          <w:sz w:val="20"/>
          <w:szCs w:val="20"/>
          <w:lang w:val="en-US"/>
        </w:rPr>
        <w:t xml:space="preserve"> </w:t>
      </w:r>
      <w:r w:rsidR="004D704D" w:rsidRPr="00D869E3">
        <w:rPr>
          <w:rFonts w:ascii="Verdana" w:hAnsi="Verdana"/>
          <w:sz w:val="20"/>
          <w:szCs w:val="20"/>
          <w:lang w:val="en-US"/>
        </w:rPr>
        <w:t>of the Ministry</w:t>
      </w:r>
      <w:r w:rsidR="00F43C5F" w:rsidRPr="00D869E3">
        <w:rPr>
          <w:rFonts w:ascii="Verdana" w:hAnsi="Verdana"/>
          <w:sz w:val="20"/>
          <w:szCs w:val="20"/>
          <w:lang w:val="en-US"/>
        </w:rPr>
        <w:t xml:space="preserve"> of Industry</w:t>
      </w:r>
      <w:r w:rsidR="00275EDE" w:rsidRPr="00D869E3">
        <w:rPr>
          <w:rFonts w:ascii="Verdana" w:hAnsi="Verdana"/>
          <w:sz w:val="20"/>
          <w:szCs w:val="20"/>
          <w:lang w:val="en-US"/>
        </w:rPr>
        <w:t>, T</w:t>
      </w:r>
      <w:r w:rsidRPr="00D869E3">
        <w:rPr>
          <w:rFonts w:ascii="Verdana" w:hAnsi="Verdana"/>
          <w:sz w:val="20"/>
          <w:szCs w:val="20"/>
          <w:lang w:val="en-US"/>
        </w:rPr>
        <w:t xml:space="preserve">ourism and Commerce, have the intention of “liquidating” </w:t>
      </w:r>
      <w:r w:rsidR="00EA232B" w:rsidRPr="00D869E3">
        <w:rPr>
          <w:rFonts w:ascii="Verdana" w:hAnsi="Verdana"/>
          <w:sz w:val="20"/>
          <w:szCs w:val="20"/>
          <w:lang w:val="en-US"/>
        </w:rPr>
        <w:t>the Industrial Community</w:t>
      </w:r>
      <w:r w:rsidR="00275EDE" w:rsidRPr="00D869E3">
        <w:rPr>
          <w:rFonts w:ascii="Verdana" w:hAnsi="Verdana"/>
          <w:sz w:val="20"/>
          <w:szCs w:val="20"/>
          <w:lang w:val="en-US"/>
        </w:rPr>
        <w:t>,</w:t>
      </w:r>
      <w:r w:rsidR="00687684" w:rsidRPr="00D869E3">
        <w:rPr>
          <w:rFonts w:ascii="Verdana" w:hAnsi="Verdana"/>
          <w:sz w:val="20"/>
          <w:szCs w:val="20"/>
          <w:lang w:val="en-US"/>
        </w:rPr>
        <w:t xml:space="preserve"> and</w:t>
      </w:r>
      <w:r w:rsidRPr="00D869E3">
        <w:rPr>
          <w:rFonts w:ascii="Verdana" w:hAnsi="Verdana"/>
          <w:sz w:val="20"/>
          <w:szCs w:val="20"/>
          <w:lang w:val="en-US"/>
        </w:rPr>
        <w:t xml:space="preserve"> seeking to</w:t>
      </w:r>
      <w:r w:rsidR="00275EDE" w:rsidRPr="00D869E3">
        <w:rPr>
          <w:rFonts w:ascii="Verdana" w:hAnsi="Verdana"/>
          <w:sz w:val="20"/>
          <w:szCs w:val="20"/>
          <w:lang w:val="en-US"/>
        </w:rPr>
        <w:t xml:space="preserve"> </w:t>
      </w:r>
      <w:r w:rsidR="006436CA" w:rsidRPr="00D869E3">
        <w:rPr>
          <w:rFonts w:ascii="Verdana" w:hAnsi="Verdana"/>
          <w:sz w:val="20"/>
          <w:szCs w:val="20"/>
          <w:lang w:val="en-US"/>
        </w:rPr>
        <w:t>“</w:t>
      </w:r>
      <w:r w:rsidR="00275EDE" w:rsidRPr="00D869E3">
        <w:rPr>
          <w:rFonts w:ascii="Verdana" w:hAnsi="Verdana"/>
          <w:iCs/>
          <w:sz w:val="20"/>
          <w:szCs w:val="20"/>
          <w:lang w:val="en-US"/>
        </w:rPr>
        <w:t>influenc</w:t>
      </w:r>
      <w:r w:rsidRPr="00D869E3">
        <w:rPr>
          <w:rFonts w:ascii="Verdana" w:hAnsi="Verdana"/>
          <w:iCs/>
          <w:sz w:val="20"/>
          <w:szCs w:val="20"/>
          <w:lang w:val="en-US"/>
        </w:rPr>
        <w:t>e</w:t>
      </w:r>
      <w:r w:rsidR="006436CA" w:rsidRPr="00D869E3">
        <w:rPr>
          <w:rFonts w:ascii="Verdana" w:hAnsi="Verdana"/>
          <w:sz w:val="20"/>
          <w:szCs w:val="20"/>
          <w:lang w:val="en-US"/>
        </w:rPr>
        <w:t>”</w:t>
      </w:r>
      <w:r w:rsidR="00275EDE" w:rsidRPr="00D869E3">
        <w:rPr>
          <w:rFonts w:ascii="Verdana" w:hAnsi="Verdana"/>
          <w:iCs/>
          <w:sz w:val="20"/>
          <w:szCs w:val="20"/>
          <w:lang w:val="en-US"/>
        </w:rPr>
        <w:t xml:space="preserve"> </w:t>
      </w:r>
      <w:r w:rsidR="00EA232B" w:rsidRPr="00D869E3">
        <w:rPr>
          <w:rFonts w:ascii="Verdana" w:hAnsi="Verdana"/>
          <w:sz w:val="20"/>
          <w:szCs w:val="20"/>
          <w:lang w:val="en-US"/>
        </w:rPr>
        <w:t>the Industrial Community</w:t>
      </w:r>
      <w:r w:rsidRPr="00D869E3">
        <w:rPr>
          <w:rFonts w:ascii="Verdana" w:hAnsi="Verdana"/>
          <w:sz w:val="20"/>
          <w:szCs w:val="20"/>
          <w:lang w:val="en-US"/>
        </w:rPr>
        <w:t xml:space="preserve"> elections</w:t>
      </w:r>
      <w:r w:rsidR="00491E38" w:rsidRPr="00D869E3">
        <w:rPr>
          <w:rFonts w:ascii="Verdana" w:hAnsi="Verdana"/>
          <w:sz w:val="20"/>
          <w:szCs w:val="20"/>
          <w:lang w:val="en-US"/>
        </w:rPr>
        <w:t xml:space="preserve"> </w:t>
      </w:r>
      <w:r w:rsidRPr="00D869E3">
        <w:rPr>
          <w:rFonts w:ascii="Verdana" w:hAnsi="Verdana"/>
          <w:sz w:val="20"/>
          <w:szCs w:val="20"/>
          <w:lang w:val="en-US"/>
        </w:rPr>
        <w:t>by exerting pressure on a specific group of workers.</w:t>
      </w:r>
    </w:p>
    <w:p w14:paraId="2F493097" w14:textId="77777777" w:rsidR="00275EDE" w:rsidRPr="00D869E3" w:rsidRDefault="00275EDE" w:rsidP="009C6F8E">
      <w:pPr>
        <w:jc w:val="both"/>
        <w:rPr>
          <w:rFonts w:ascii="Verdana" w:hAnsi="Verdana"/>
          <w:b/>
          <w:sz w:val="20"/>
          <w:szCs w:val="20"/>
          <w:lang w:val="en-US"/>
        </w:rPr>
      </w:pPr>
    </w:p>
    <w:p w14:paraId="25D9D544" w14:textId="27A17051" w:rsidR="00275EDE" w:rsidRPr="00D869E3" w:rsidRDefault="0062551F"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At that time</w:t>
      </w:r>
      <w:r w:rsidR="00275EDE" w:rsidRPr="00D869E3">
        <w:rPr>
          <w:rFonts w:ascii="Verdana" w:hAnsi="Verdana"/>
          <w:sz w:val="20"/>
          <w:szCs w:val="20"/>
          <w:lang w:val="en-US"/>
        </w:rPr>
        <w:t xml:space="preserve">, </w:t>
      </w:r>
      <w:r w:rsidR="00852CCA" w:rsidRPr="00D869E3">
        <w:rPr>
          <w:rFonts w:ascii="Verdana" w:hAnsi="Verdana"/>
          <w:sz w:val="20"/>
          <w:szCs w:val="20"/>
          <w:lang w:val="en-US"/>
        </w:rPr>
        <w:t>Law</w:t>
      </w:r>
      <w:r w:rsidR="00275EDE" w:rsidRPr="00D869E3">
        <w:rPr>
          <w:rFonts w:ascii="Verdana" w:hAnsi="Verdana"/>
          <w:sz w:val="20"/>
          <w:szCs w:val="20"/>
          <w:lang w:val="en-US"/>
        </w:rPr>
        <w:t xml:space="preserve"> 24514 </w:t>
      </w:r>
      <w:r w:rsidRPr="00D869E3">
        <w:rPr>
          <w:rFonts w:ascii="Verdana" w:hAnsi="Verdana"/>
          <w:sz w:val="20"/>
          <w:szCs w:val="20"/>
          <w:lang w:val="en-US"/>
        </w:rPr>
        <w:t>of</w:t>
      </w:r>
      <w:r w:rsidR="00275EDE" w:rsidRPr="00D869E3">
        <w:rPr>
          <w:rFonts w:ascii="Verdana" w:hAnsi="Verdana"/>
          <w:sz w:val="20"/>
          <w:szCs w:val="20"/>
          <w:lang w:val="en-US"/>
        </w:rPr>
        <w:t xml:space="preserve"> 1986 regula</w:t>
      </w:r>
      <w:r w:rsidRPr="00D869E3">
        <w:rPr>
          <w:rFonts w:ascii="Verdana" w:hAnsi="Verdana"/>
          <w:sz w:val="20"/>
          <w:szCs w:val="20"/>
          <w:lang w:val="en-US"/>
        </w:rPr>
        <w:t xml:space="preserve">ted the right to </w:t>
      </w:r>
      <w:r w:rsidR="00695B39" w:rsidRPr="00D869E3">
        <w:rPr>
          <w:rFonts w:ascii="Verdana" w:hAnsi="Verdana"/>
          <w:sz w:val="20"/>
          <w:szCs w:val="20"/>
          <w:lang w:val="en-US"/>
        </w:rPr>
        <w:t>job security</w:t>
      </w:r>
      <w:r w:rsidRPr="00D869E3">
        <w:rPr>
          <w:rFonts w:ascii="Verdana" w:hAnsi="Verdana"/>
          <w:sz w:val="20"/>
          <w:szCs w:val="20"/>
          <w:lang w:val="en-US"/>
        </w:rPr>
        <w:t xml:space="preserve"> and the procedure for the dismissal of workers.</w:t>
      </w:r>
      <w:r w:rsidR="00275EDE" w:rsidRPr="00D869E3">
        <w:rPr>
          <w:rFonts w:ascii="Verdana" w:hAnsi="Verdana"/>
          <w:sz w:val="20"/>
          <w:szCs w:val="20"/>
          <w:vertAlign w:val="superscript"/>
          <w:lang w:val="en-US"/>
        </w:rPr>
        <w:footnoteReference w:id="68"/>
      </w:r>
      <w:r w:rsidR="00275EDE" w:rsidRPr="00D869E3">
        <w:rPr>
          <w:rFonts w:ascii="Verdana" w:hAnsi="Verdana" w:cs="Arial"/>
          <w:sz w:val="20"/>
          <w:szCs w:val="20"/>
          <w:lang w:val="en-US"/>
        </w:rPr>
        <w:t xml:space="preserve"> </w:t>
      </w:r>
      <w:r w:rsidR="00491E38" w:rsidRPr="00D869E3">
        <w:rPr>
          <w:rFonts w:ascii="Verdana" w:hAnsi="Verdana" w:cs="Arial"/>
          <w:sz w:val="20"/>
          <w:szCs w:val="20"/>
          <w:lang w:val="en-US"/>
        </w:rPr>
        <w:t>The law stipulated that serious offenses committed by the workers w</w:t>
      </w:r>
      <w:r w:rsidR="00397BCB" w:rsidRPr="00D869E3">
        <w:rPr>
          <w:rFonts w:ascii="Verdana" w:hAnsi="Verdana" w:cs="Arial"/>
          <w:sz w:val="20"/>
          <w:szCs w:val="20"/>
          <w:lang w:val="en-US"/>
        </w:rPr>
        <w:t>ere</w:t>
      </w:r>
      <w:r w:rsidR="00491E38" w:rsidRPr="00D869E3">
        <w:rPr>
          <w:rFonts w:ascii="Verdana" w:hAnsi="Verdana" w:cs="Arial"/>
          <w:sz w:val="20"/>
          <w:szCs w:val="20"/>
          <w:lang w:val="en-US"/>
        </w:rPr>
        <w:t xml:space="preserve"> a </w:t>
      </w:r>
      <w:r w:rsidR="00491E38" w:rsidRPr="00D869E3">
        <w:rPr>
          <w:rFonts w:ascii="Verdana" w:hAnsi="Verdana"/>
          <w:sz w:val="20"/>
          <w:szCs w:val="20"/>
          <w:lang w:val="en-US"/>
        </w:rPr>
        <w:t>just cause for dismissal</w:t>
      </w:r>
      <w:r w:rsidR="00275EDE" w:rsidRPr="00D869E3">
        <w:rPr>
          <w:rFonts w:ascii="Verdana" w:hAnsi="Verdana"/>
          <w:sz w:val="20"/>
          <w:szCs w:val="20"/>
          <w:vertAlign w:val="superscript"/>
          <w:lang w:val="en-US"/>
        </w:rPr>
        <w:footnoteReference w:id="69"/>
      </w:r>
      <w:r w:rsidR="00687684" w:rsidRPr="00D869E3">
        <w:rPr>
          <w:rFonts w:ascii="Verdana" w:hAnsi="Verdana"/>
          <w:sz w:val="20"/>
          <w:szCs w:val="20"/>
          <w:lang w:val="en-US"/>
        </w:rPr>
        <w:t xml:space="preserve"> and </w:t>
      </w:r>
      <w:r w:rsidR="00491E38" w:rsidRPr="00D869E3">
        <w:rPr>
          <w:rFonts w:ascii="Verdana" w:hAnsi="Verdana"/>
          <w:sz w:val="20"/>
          <w:szCs w:val="20"/>
          <w:lang w:val="en-US"/>
        </w:rPr>
        <w:t xml:space="preserve">established the following, </w:t>
      </w:r>
      <w:r w:rsidR="00491E38" w:rsidRPr="00D869E3">
        <w:rPr>
          <w:rFonts w:ascii="Verdana" w:hAnsi="Verdana"/>
          <w:i/>
          <w:iCs/>
          <w:sz w:val="20"/>
          <w:szCs w:val="20"/>
          <w:lang w:val="en-US"/>
        </w:rPr>
        <w:t>inter alia</w:t>
      </w:r>
      <w:r w:rsidR="00491E38" w:rsidRPr="00D869E3">
        <w:rPr>
          <w:rFonts w:ascii="Verdana" w:hAnsi="Verdana"/>
          <w:sz w:val="20"/>
          <w:szCs w:val="20"/>
          <w:lang w:val="en-US"/>
        </w:rPr>
        <w:t>, as serious offenses:</w:t>
      </w:r>
      <w:r w:rsidR="00275EDE" w:rsidRPr="00D869E3">
        <w:rPr>
          <w:rFonts w:ascii="Verdana" w:hAnsi="Verdana"/>
          <w:sz w:val="20"/>
          <w:szCs w:val="20"/>
          <w:vertAlign w:val="superscript"/>
          <w:lang w:val="en-US"/>
        </w:rPr>
        <w:footnoteReference w:id="70"/>
      </w:r>
      <w:r w:rsidR="00275EDE" w:rsidRPr="00D869E3">
        <w:rPr>
          <w:rFonts w:ascii="Verdana" w:hAnsi="Verdana"/>
          <w:sz w:val="20"/>
          <w:szCs w:val="20"/>
          <w:lang w:val="en-US"/>
        </w:rPr>
        <w:t xml:space="preserve"> </w:t>
      </w:r>
      <w:r w:rsidR="00491E38" w:rsidRPr="00D869E3">
        <w:rPr>
          <w:rFonts w:ascii="Verdana" w:hAnsi="Verdana"/>
          <w:sz w:val="20"/>
          <w:szCs w:val="20"/>
          <w:lang w:val="en-US"/>
        </w:rPr>
        <w:t xml:space="preserve"> </w:t>
      </w:r>
    </w:p>
    <w:p w14:paraId="30D76553" w14:textId="77777777" w:rsidR="00275EDE" w:rsidRPr="00D869E3" w:rsidRDefault="00275EDE" w:rsidP="00275EDE">
      <w:pPr>
        <w:jc w:val="both"/>
        <w:rPr>
          <w:rFonts w:ascii="Verdana" w:hAnsi="Verdana"/>
          <w:b/>
          <w:sz w:val="20"/>
          <w:szCs w:val="20"/>
          <w:lang w:val="en-US"/>
        </w:rPr>
      </w:pPr>
    </w:p>
    <w:p w14:paraId="041810F2" w14:textId="2D4FA85C" w:rsidR="00491E38" w:rsidRPr="00D869E3" w:rsidRDefault="00D61BD2" w:rsidP="00D61BD2">
      <w:pPr>
        <w:autoSpaceDE w:val="0"/>
        <w:autoSpaceDN w:val="0"/>
        <w:adjustRightInd w:val="0"/>
        <w:ind w:left="810" w:right="566"/>
        <w:jc w:val="both"/>
        <w:rPr>
          <w:rFonts w:ascii="Verdana" w:hAnsi="Verdana"/>
          <w:sz w:val="18"/>
          <w:szCs w:val="18"/>
          <w:lang w:val="en-US" w:eastAsia="es-MX"/>
        </w:rPr>
      </w:pPr>
      <w:r w:rsidRPr="00D869E3">
        <w:rPr>
          <w:rFonts w:ascii="Verdana" w:hAnsi="Verdana"/>
          <w:sz w:val="18"/>
          <w:szCs w:val="18"/>
          <w:lang w:val="en-US" w:eastAsia="es-MX"/>
        </w:rPr>
        <w:t>(</w:t>
      </w:r>
      <w:r w:rsidR="00275EDE" w:rsidRPr="00D869E3">
        <w:rPr>
          <w:rFonts w:ascii="Verdana" w:hAnsi="Verdana"/>
          <w:sz w:val="18"/>
          <w:szCs w:val="18"/>
          <w:lang w:val="en-US" w:eastAsia="es-MX"/>
        </w:rPr>
        <w:t xml:space="preserve">a) </w:t>
      </w:r>
      <w:r w:rsidR="00491E38" w:rsidRPr="00D869E3">
        <w:rPr>
          <w:rFonts w:ascii="Verdana" w:hAnsi="Verdana"/>
          <w:sz w:val="18"/>
          <w:szCs w:val="18"/>
          <w:lang w:val="en-US" w:eastAsia="es-MX"/>
        </w:rPr>
        <w:t xml:space="preserve">Unjustified failure to </w:t>
      </w:r>
      <w:r w:rsidR="00103C07" w:rsidRPr="00D869E3">
        <w:rPr>
          <w:rFonts w:ascii="Verdana" w:hAnsi="Verdana"/>
          <w:sz w:val="18"/>
          <w:szCs w:val="18"/>
          <w:lang w:val="en-US" w:eastAsia="es-MX"/>
        </w:rPr>
        <w:t>meet</w:t>
      </w:r>
      <w:r w:rsidR="00491E38" w:rsidRPr="00D869E3">
        <w:rPr>
          <w:rFonts w:ascii="Verdana" w:hAnsi="Verdana"/>
          <w:sz w:val="18"/>
          <w:szCs w:val="18"/>
          <w:lang w:val="en-US" w:eastAsia="es-MX"/>
        </w:rPr>
        <w:t xml:space="preserve"> work obligations; re</w:t>
      </w:r>
      <w:r w:rsidR="00103C07" w:rsidRPr="00D869E3">
        <w:rPr>
          <w:rFonts w:ascii="Verdana" w:hAnsi="Verdana"/>
          <w:sz w:val="18"/>
          <w:szCs w:val="18"/>
          <w:lang w:val="en-US" w:eastAsia="es-MX"/>
        </w:rPr>
        <w:t>peated</w:t>
      </w:r>
      <w:r w:rsidR="00491E38" w:rsidRPr="00D869E3">
        <w:rPr>
          <w:rFonts w:ascii="Verdana" w:hAnsi="Verdana"/>
          <w:sz w:val="18"/>
          <w:szCs w:val="18"/>
          <w:lang w:val="en-US" w:eastAsia="es-MX"/>
        </w:rPr>
        <w:t xml:space="preserve"> resistance to work-related orders of superiors and failure to observe the Internal Work and Industrial Safety Regulations duly approved by the administrative </w:t>
      </w:r>
      <w:r w:rsidR="00E91FDA" w:rsidRPr="00D869E3">
        <w:rPr>
          <w:rFonts w:ascii="Verdana" w:hAnsi="Verdana"/>
          <w:sz w:val="18"/>
          <w:szCs w:val="18"/>
          <w:lang w:val="en-US" w:eastAsia="es-MX"/>
        </w:rPr>
        <w:t xml:space="preserve">labor </w:t>
      </w:r>
      <w:r w:rsidR="00491E38" w:rsidRPr="00D869E3">
        <w:rPr>
          <w:rFonts w:ascii="Verdana" w:hAnsi="Verdana"/>
          <w:sz w:val="18"/>
          <w:szCs w:val="18"/>
          <w:lang w:val="en-US" w:eastAsia="es-MX"/>
        </w:rPr>
        <w:t>authority, which, in all cases, are serious offenses; […]</w:t>
      </w:r>
    </w:p>
    <w:p w14:paraId="6C3E4715" w14:textId="77777777" w:rsidR="00275EDE" w:rsidRPr="00D869E3" w:rsidRDefault="00275EDE" w:rsidP="00D61BD2">
      <w:pPr>
        <w:autoSpaceDE w:val="0"/>
        <w:autoSpaceDN w:val="0"/>
        <w:adjustRightInd w:val="0"/>
        <w:ind w:left="810" w:right="566"/>
        <w:jc w:val="both"/>
        <w:rPr>
          <w:rFonts w:ascii="Verdana" w:hAnsi="Verdana" w:cs="Arial"/>
          <w:sz w:val="18"/>
          <w:szCs w:val="18"/>
          <w:lang w:val="en-US" w:eastAsia="es-MX"/>
        </w:rPr>
      </w:pPr>
    </w:p>
    <w:p w14:paraId="02BFE881" w14:textId="63FAABB5" w:rsidR="00491E38" w:rsidRPr="00D869E3" w:rsidRDefault="00D61BD2" w:rsidP="00D61BD2">
      <w:pPr>
        <w:autoSpaceDE w:val="0"/>
        <w:autoSpaceDN w:val="0"/>
        <w:adjustRightInd w:val="0"/>
        <w:ind w:left="810" w:right="566"/>
        <w:jc w:val="both"/>
        <w:rPr>
          <w:rFonts w:ascii="Verdana" w:hAnsi="Verdana"/>
          <w:color w:val="000000"/>
          <w:sz w:val="18"/>
          <w:szCs w:val="18"/>
          <w:lang w:val="en-US"/>
        </w:rPr>
      </w:pPr>
      <w:r w:rsidRPr="00D869E3">
        <w:rPr>
          <w:rFonts w:ascii="Verdana" w:hAnsi="Verdana"/>
          <w:sz w:val="18"/>
          <w:szCs w:val="18"/>
          <w:lang w:val="en-US" w:eastAsia="es-MX"/>
        </w:rPr>
        <w:t>(</w:t>
      </w:r>
      <w:r w:rsidR="00275EDE" w:rsidRPr="00D869E3">
        <w:rPr>
          <w:rFonts w:ascii="Verdana" w:hAnsi="Verdana"/>
          <w:sz w:val="18"/>
          <w:szCs w:val="18"/>
          <w:lang w:val="en-US" w:eastAsia="es-MX"/>
        </w:rPr>
        <w:t xml:space="preserve">h) </w:t>
      </w:r>
      <w:r w:rsidR="00103C07" w:rsidRPr="00D869E3">
        <w:rPr>
          <w:rFonts w:ascii="Verdana" w:hAnsi="Verdana"/>
          <w:sz w:val="18"/>
          <w:szCs w:val="18"/>
          <w:lang w:val="en-US" w:eastAsia="es-MX"/>
        </w:rPr>
        <w:t xml:space="preserve">The perpetration of </w:t>
      </w:r>
      <w:r w:rsidR="00491E38" w:rsidRPr="00D869E3">
        <w:rPr>
          <w:rFonts w:ascii="Verdana" w:hAnsi="Verdana"/>
          <w:sz w:val="18"/>
          <w:szCs w:val="18"/>
          <w:lang w:val="en-US" w:eastAsia="es-MX"/>
        </w:rPr>
        <w:t>act</w:t>
      </w:r>
      <w:r w:rsidR="00103C07" w:rsidRPr="00D869E3">
        <w:rPr>
          <w:rFonts w:ascii="Verdana" w:hAnsi="Verdana"/>
          <w:sz w:val="18"/>
          <w:szCs w:val="18"/>
          <w:lang w:val="en-US" w:eastAsia="es-MX"/>
        </w:rPr>
        <w:t>s</w:t>
      </w:r>
      <w:r w:rsidR="00491E38" w:rsidRPr="00D869E3">
        <w:rPr>
          <w:rFonts w:ascii="Verdana" w:hAnsi="Verdana"/>
          <w:sz w:val="18"/>
          <w:szCs w:val="18"/>
          <w:lang w:val="en-US" w:eastAsia="es-MX"/>
        </w:rPr>
        <w:t xml:space="preserve"> of violence, serious </w:t>
      </w:r>
      <w:r w:rsidR="00EC6DBA" w:rsidRPr="00D869E3">
        <w:rPr>
          <w:rFonts w:ascii="Verdana" w:hAnsi="Verdana"/>
          <w:sz w:val="18"/>
          <w:szCs w:val="18"/>
          <w:lang w:val="en-US" w:eastAsia="es-MX"/>
        </w:rPr>
        <w:t>insubordination</w:t>
      </w:r>
      <w:r w:rsidR="00491E38" w:rsidRPr="00D869E3">
        <w:rPr>
          <w:rFonts w:ascii="Verdana" w:hAnsi="Verdana"/>
          <w:sz w:val="18"/>
          <w:szCs w:val="18"/>
          <w:lang w:val="en-US" w:eastAsia="es-MX"/>
        </w:rPr>
        <w:t xml:space="preserve"> or </w:t>
      </w:r>
      <w:r w:rsidR="00EC6DBA" w:rsidRPr="00D869E3">
        <w:rPr>
          <w:rFonts w:ascii="Verdana" w:hAnsi="Verdana"/>
          <w:color w:val="000000"/>
          <w:sz w:val="18"/>
          <w:szCs w:val="18"/>
          <w:lang w:val="en-US"/>
        </w:rPr>
        <w:t>serious verbal misconduct</w:t>
      </w:r>
      <w:r w:rsidR="00491E38" w:rsidRPr="00D869E3">
        <w:rPr>
          <w:rFonts w:ascii="Verdana" w:hAnsi="Verdana"/>
          <w:color w:val="000000"/>
          <w:sz w:val="18"/>
          <w:szCs w:val="18"/>
          <w:lang w:val="en-US"/>
        </w:rPr>
        <w:t xml:space="preserve"> </w:t>
      </w:r>
      <w:r w:rsidR="00EC6DBA" w:rsidRPr="00D869E3">
        <w:rPr>
          <w:rFonts w:ascii="Verdana" w:hAnsi="Verdana"/>
          <w:color w:val="000000"/>
          <w:sz w:val="18"/>
          <w:szCs w:val="18"/>
          <w:lang w:val="en-US"/>
        </w:rPr>
        <w:t>against</w:t>
      </w:r>
      <w:r w:rsidR="00491E38" w:rsidRPr="00D869E3">
        <w:rPr>
          <w:rFonts w:ascii="Verdana" w:hAnsi="Verdana"/>
          <w:color w:val="000000"/>
          <w:sz w:val="18"/>
          <w:szCs w:val="18"/>
          <w:lang w:val="en-US"/>
        </w:rPr>
        <w:t xml:space="preserve"> the employer, its representatives, senior personnel, or co-workers, in the workplace, or outside this when the facts </w:t>
      </w:r>
      <w:r w:rsidR="00103C07" w:rsidRPr="00D869E3">
        <w:rPr>
          <w:rFonts w:ascii="Verdana" w:hAnsi="Verdana"/>
          <w:color w:val="000000"/>
          <w:sz w:val="18"/>
          <w:szCs w:val="18"/>
          <w:lang w:val="en-US"/>
        </w:rPr>
        <w:t>stem</w:t>
      </w:r>
      <w:r w:rsidR="00491E38" w:rsidRPr="00D869E3">
        <w:rPr>
          <w:rFonts w:ascii="Verdana" w:hAnsi="Verdana"/>
          <w:color w:val="000000"/>
          <w:sz w:val="18"/>
          <w:szCs w:val="18"/>
          <w:lang w:val="en-US"/>
        </w:rPr>
        <w:t xml:space="preserve"> directly from the employment relationship.</w:t>
      </w:r>
    </w:p>
    <w:p w14:paraId="453234A0" w14:textId="77777777" w:rsidR="00275EDE" w:rsidRPr="00D869E3" w:rsidRDefault="00275EDE" w:rsidP="00275EDE">
      <w:pPr>
        <w:jc w:val="both"/>
        <w:rPr>
          <w:rFonts w:ascii="Verdana" w:hAnsi="Verdana"/>
          <w:sz w:val="20"/>
          <w:szCs w:val="20"/>
          <w:lang w:val="en-US"/>
        </w:rPr>
      </w:pPr>
    </w:p>
    <w:p w14:paraId="0396123B" w14:textId="4AA7F783" w:rsidR="001B2ECD" w:rsidRPr="00D869E3" w:rsidRDefault="001B2ECD" w:rsidP="00E91FDA">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Re</w:t>
      </w:r>
      <w:r w:rsidR="00EC6DBA" w:rsidRPr="00D869E3">
        <w:rPr>
          <w:rFonts w:ascii="Verdana" w:hAnsi="Verdana"/>
          <w:sz w:val="20"/>
          <w:szCs w:val="20"/>
          <w:lang w:val="en-US"/>
        </w:rPr>
        <w:t>garding the dismissal procedure, when a worker commit</w:t>
      </w:r>
      <w:r w:rsidR="00397BCB" w:rsidRPr="00D869E3">
        <w:rPr>
          <w:rFonts w:ascii="Verdana" w:hAnsi="Verdana"/>
          <w:sz w:val="20"/>
          <w:szCs w:val="20"/>
          <w:lang w:val="en-US"/>
        </w:rPr>
        <w:t>ted</w:t>
      </w:r>
      <w:r w:rsidR="00EC6DBA" w:rsidRPr="00D869E3">
        <w:rPr>
          <w:rFonts w:ascii="Verdana" w:hAnsi="Verdana"/>
          <w:sz w:val="20"/>
          <w:szCs w:val="20"/>
          <w:lang w:val="en-US"/>
        </w:rPr>
        <w:t xml:space="preserve"> a serious</w:t>
      </w:r>
      <w:r w:rsidR="00103C07" w:rsidRPr="00D869E3">
        <w:rPr>
          <w:rFonts w:ascii="Verdana" w:hAnsi="Verdana"/>
          <w:sz w:val="20"/>
          <w:szCs w:val="20"/>
          <w:lang w:val="en-US"/>
        </w:rPr>
        <w:t xml:space="preserve"> </w:t>
      </w:r>
      <w:r w:rsidR="00EC6DBA" w:rsidRPr="00D869E3">
        <w:rPr>
          <w:rFonts w:ascii="Verdana" w:hAnsi="Verdana"/>
          <w:sz w:val="20"/>
          <w:szCs w:val="20"/>
          <w:lang w:val="en-US"/>
        </w:rPr>
        <w:t xml:space="preserve">infraction, the employer </w:t>
      </w:r>
      <w:r w:rsidR="00397BCB" w:rsidRPr="00D869E3">
        <w:rPr>
          <w:rFonts w:ascii="Verdana" w:hAnsi="Verdana"/>
          <w:sz w:val="20"/>
          <w:szCs w:val="20"/>
          <w:lang w:val="en-US"/>
        </w:rPr>
        <w:t>had to</w:t>
      </w:r>
      <w:r w:rsidR="00EC6DBA" w:rsidRPr="00D869E3">
        <w:rPr>
          <w:rFonts w:ascii="Verdana" w:hAnsi="Verdana"/>
          <w:sz w:val="20"/>
          <w:szCs w:val="20"/>
          <w:lang w:val="en-US"/>
        </w:rPr>
        <w:t xml:space="preserve"> inform him</w:t>
      </w:r>
      <w:r w:rsidR="00103C07" w:rsidRPr="00D869E3">
        <w:rPr>
          <w:rFonts w:ascii="Verdana" w:hAnsi="Verdana"/>
          <w:sz w:val="20"/>
          <w:szCs w:val="20"/>
          <w:lang w:val="en-US"/>
        </w:rPr>
        <w:t xml:space="preserve"> </w:t>
      </w:r>
      <w:r w:rsidR="00EC6DBA" w:rsidRPr="00D869E3">
        <w:rPr>
          <w:rFonts w:ascii="Verdana" w:hAnsi="Verdana"/>
          <w:sz w:val="20"/>
          <w:szCs w:val="20"/>
          <w:lang w:val="en-US"/>
        </w:rPr>
        <w:t>in writing of the facts and the opening of an investigation.</w:t>
      </w:r>
      <w:r w:rsidRPr="00D869E3">
        <w:rPr>
          <w:rFonts w:ascii="Verdana" w:hAnsi="Verdana"/>
          <w:color w:val="000000"/>
          <w:sz w:val="20"/>
          <w:szCs w:val="20"/>
          <w:vertAlign w:val="superscript"/>
          <w:lang w:val="en-US"/>
        </w:rPr>
        <w:footnoteReference w:id="71"/>
      </w:r>
      <w:r w:rsidR="00EC6DBA" w:rsidRPr="00D869E3">
        <w:rPr>
          <w:rFonts w:ascii="Verdana" w:hAnsi="Verdana"/>
          <w:color w:val="000000"/>
          <w:sz w:val="20"/>
          <w:szCs w:val="20"/>
          <w:lang w:val="en-US"/>
        </w:rPr>
        <w:t xml:space="preserve"> The worker, in the exercise of his right to defend himself, ha</w:t>
      </w:r>
      <w:r w:rsidR="00397BCB" w:rsidRPr="00D869E3">
        <w:rPr>
          <w:rFonts w:ascii="Verdana" w:hAnsi="Verdana"/>
          <w:color w:val="000000"/>
          <w:sz w:val="20"/>
          <w:szCs w:val="20"/>
          <w:lang w:val="en-US"/>
        </w:rPr>
        <w:t>d</w:t>
      </w:r>
      <w:r w:rsidR="00EC6DBA" w:rsidRPr="00D869E3">
        <w:rPr>
          <w:rFonts w:ascii="Verdana" w:hAnsi="Verdana"/>
          <w:color w:val="000000"/>
          <w:sz w:val="20"/>
          <w:szCs w:val="20"/>
          <w:lang w:val="en-US"/>
        </w:rPr>
        <w:t xml:space="preserve"> six days to disprove the facts of which he </w:t>
      </w:r>
      <w:r w:rsidR="00397BCB" w:rsidRPr="00D869E3">
        <w:rPr>
          <w:rFonts w:ascii="Verdana" w:hAnsi="Verdana"/>
          <w:color w:val="000000"/>
          <w:sz w:val="20"/>
          <w:szCs w:val="20"/>
          <w:lang w:val="en-US"/>
        </w:rPr>
        <w:t>was</w:t>
      </w:r>
      <w:r w:rsidR="00EC6DBA" w:rsidRPr="00D869E3">
        <w:rPr>
          <w:rFonts w:ascii="Verdana" w:hAnsi="Verdana"/>
          <w:color w:val="000000"/>
          <w:sz w:val="20"/>
          <w:szCs w:val="20"/>
          <w:lang w:val="en-US"/>
        </w:rPr>
        <w:t xml:space="preserve"> accused, because, if he d</w:t>
      </w:r>
      <w:r w:rsidR="00397BCB" w:rsidRPr="00D869E3">
        <w:rPr>
          <w:rFonts w:ascii="Verdana" w:hAnsi="Verdana"/>
          <w:color w:val="000000"/>
          <w:sz w:val="20"/>
          <w:szCs w:val="20"/>
          <w:lang w:val="en-US"/>
        </w:rPr>
        <w:t>id</w:t>
      </w:r>
      <w:r w:rsidR="00EC6DBA" w:rsidRPr="00D869E3">
        <w:rPr>
          <w:rFonts w:ascii="Verdana" w:hAnsi="Verdana"/>
          <w:color w:val="000000"/>
          <w:sz w:val="20"/>
          <w:szCs w:val="20"/>
          <w:lang w:val="en-US"/>
        </w:rPr>
        <w:t xml:space="preserve"> not do so, the employer w</w:t>
      </w:r>
      <w:r w:rsidR="00397BCB" w:rsidRPr="00D869E3">
        <w:rPr>
          <w:rFonts w:ascii="Verdana" w:hAnsi="Verdana"/>
          <w:color w:val="000000"/>
          <w:sz w:val="20"/>
          <w:szCs w:val="20"/>
          <w:lang w:val="en-US"/>
        </w:rPr>
        <w:t>ould</w:t>
      </w:r>
      <w:r w:rsidR="00EC6DBA" w:rsidRPr="00D869E3">
        <w:rPr>
          <w:rFonts w:ascii="Verdana" w:hAnsi="Verdana"/>
          <w:color w:val="000000"/>
          <w:sz w:val="20"/>
          <w:szCs w:val="20"/>
          <w:lang w:val="en-US"/>
        </w:rPr>
        <w:t xml:space="preserve"> notify him of his dismissal and the date </w:t>
      </w:r>
      <w:r w:rsidR="00397BCB" w:rsidRPr="00D869E3">
        <w:rPr>
          <w:rFonts w:ascii="Verdana" w:hAnsi="Verdana"/>
          <w:color w:val="000000"/>
          <w:sz w:val="20"/>
          <w:szCs w:val="20"/>
          <w:lang w:val="en-US"/>
        </w:rPr>
        <w:t>of</w:t>
      </w:r>
      <w:r w:rsidR="00EC6DBA" w:rsidRPr="00D869E3">
        <w:rPr>
          <w:rFonts w:ascii="Verdana" w:hAnsi="Verdana"/>
          <w:color w:val="000000"/>
          <w:sz w:val="20"/>
          <w:szCs w:val="20"/>
          <w:lang w:val="en-US"/>
        </w:rPr>
        <w:t xml:space="preserve"> terminat</w:t>
      </w:r>
      <w:r w:rsidR="00397BCB" w:rsidRPr="00D869E3">
        <w:rPr>
          <w:rFonts w:ascii="Verdana" w:hAnsi="Verdana"/>
          <w:color w:val="000000"/>
          <w:sz w:val="20"/>
          <w:szCs w:val="20"/>
          <w:lang w:val="en-US"/>
        </w:rPr>
        <w:t>ion of</w:t>
      </w:r>
      <w:r w:rsidR="00EC6DBA" w:rsidRPr="00D869E3">
        <w:rPr>
          <w:rFonts w:ascii="Verdana" w:hAnsi="Verdana"/>
          <w:color w:val="000000"/>
          <w:sz w:val="20"/>
          <w:szCs w:val="20"/>
          <w:lang w:val="en-US"/>
        </w:rPr>
        <w:t xml:space="preserve"> employment in a notarized letter; the employer w</w:t>
      </w:r>
      <w:r w:rsidR="00397BCB" w:rsidRPr="00D869E3">
        <w:rPr>
          <w:rFonts w:ascii="Verdana" w:hAnsi="Verdana"/>
          <w:color w:val="000000"/>
          <w:sz w:val="20"/>
          <w:szCs w:val="20"/>
          <w:lang w:val="en-US"/>
        </w:rPr>
        <w:t>ould</w:t>
      </w:r>
      <w:r w:rsidR="00EC6DBA" w:rsidRPr="00D869E3">
        <w:rPr>
          <w:rFonts w:ascii="Verdana" w:hAnsi="Verdana"/>
          <w:color w:val="000000"/>
          <w:sz w:val="20"/>
          <w:szCs w:val="20"/>
          <w:lang w:val="en-US"/>
        </w:rPr>
        <w:t xml:space="preserve"> also communicate the decision to the administrative</w:t>
      </w:r>
      <w:r w:rsidR="00E91FDA" w:rsidRPr="00D869E3">
        <w:rPr>
          <w:rFonts w:ascii="Verdana" w:hAnsi="Verdana"/>
          <w:color w:val="000000"/>
          <w:sz w:val="20"/>
          <w:szCs w:val="20"/>
          <w:lang w:val="en-US"/>
        </w:rPr>
        <w:t xml:space="preserve"> labor</w:t>
      </w:r>
      <w:r w:rsidR="00EC6DBA" w:rsidRPr="00D869E3">
        <w:rPr>
          <w:rFonts w:ascii="Verdana" w:hAnsi="Verdana"/>
          <w:color w:val="000000"/>
          <w:sz w:val="20"/>
          <w:szCs w:val="20"/>
          <w:lang w:val="en-US"/>
        </w:rPr>
        <w:t xml:space="preserve"> authority.</w:t>
      </w:r>
      <w:r w:rsidRPr="00D869E3">
        <w:rPr>
          <w:rFonts w:ascii="Verdana" w:hAnsi="Verdana"/>
          <w:sz w:val="20"/>
          <w:szCs w:val="20"/>
          <w:vertAlign w:val="superscript"/>
          <w:lang w:val="en-US"/>
        </w:rPr>
        <w:footnoteReference w:id="72"/>
      </w:r>
      <w:r w:rsidR="00E91FDA" w:rsidRPr="00D869E3">
        <w:rPr>
          <w:rFonts w:ascii="Verdana" w:hAnsi="Verdana" w:cs="Arial"/>
          <w:sz w:val="20"/>
          <w:szCs w:val="20"/>
          <w:lang w:val="en-US"/>
        </w:rPr>
        <w:t xml:space="preserve"> The law stipulate</w:t>
      </w:r>
      <w:r w:rsidR="00397BCB" w:rsidRPr="00D869E3">
        <w:rPr>
          <w:rFonts w:ascii="Verdana" w:hAnsi="Verdana" w:cs="Arial"/>
          <w:sz w:val="20"/>
          <w:szCs w:val="20"/>
          <w:lang w:val="en-US"/>
        </w:rPr>
        <w:t>d</w:t>
      </w:r>
      <w:r w:rsidR="00E91FDA" w:rsidRPr="00D869E3">
        <w:rPr>
          <w:rFonts w:ascii="Verdana" w:hAnsi="Verdana" w:cs="Arial"/>
          <w:sz w:val="20"/>
          <w:szCs w:val="20"/>
          <w:lang w:val="en-US"/>
        </w:rPr>
        <w:t xml:space="preserve"> that the worker </w:t>
      </w:r>
      <w:r w:rsidR="00397BCB" w:rsidRPr="00D869E3">
        <w:rPr>
          <w:rFonts w:ascii="Verdana" w:hAnsi="Verdana" w:cs="Arial"/>
          <w:sz w:val="20"/>
          <w:szCs w:val="20"/>
          <w:lang w:val="en-US"/>
        </w:rPr>
        <w:t>could</w:t>
      </w:r>
      <w:r w:rsidR="00E91FDA" w:rsidRPr="00D869E3">
        <w:rPr>
          <w:rFonts w:ascii="Verdana" w:hAnsi="Verdana" w:cs="Arial"/>
          <w:sz w:val="20"/>
          <w:szCs w:val="20"/>
          <w:lang w:val="en-US"/>
        </w:rPr>
        <w:t xml:space="preserve"> have recourse to the labor jurisdiction if he consider</w:t>
      </w:r>
      <w:r w:rsidR="00397BCB" w:rsidRPr="00D869E3">
        <w:rPr>
          <w:rFonts w:ascii="Verdana" w:hAnsi="Verdana" w:cs="Arial"/>
          <w:sz w:val="20"/>
          <w:szCs w:val="20"/>
          <w:lang w:val="en-US"/>
        </w:rPr>
        <w:t>ed</w:t>
      </w:r>
      <w:r w:rsidR="00E91FDA" w:rsidRPr="00D869E3">
        <w:rPr>
          <w:rFonts w:ascii="Verdana" w:hAnsi="Verdana" w:cs="Arial"/>
          <w:sz w:val="20"/>
          <w:szCs w:val="20"/>
          <w:lang w:val="en-US"/>
        </w:rPr>
        <w:t xml:space="preserve"> that </w:t>
      </w:r>
      <w:r w:rsidR="00103C07" w:rsidRPr="00D869E3">
        <w:rPr>
          <w:rFonts w:ascii="Verdana" w:hAnsi="Verdana" w:cs="Arial"/>
          <w:sz w:val="20"/>
          <w:szCs w:val="20"/>
          <w:lang w:val="en-US"/>
        </w:rPr>
        <w:t>the</w:t>
      </w:r>
      <w:r w:rsidR="00E91FDA" w:rsidRPr="00D869E3">
        <w:rPr>
          <w:rFonts w:ascii="Verdana" w:hAnsi="Verdana" w:cs="Arial"/>
          <w:sz w:val="20"/>
          <w:szCs w:val="20"/>
          <w:lang w:val="en-US"/>
        </w:rPr>
        <w:t xml:space="preserve"> dismissal was not </w:t>
      </w:r>
      <w:r w:rsidR="00E91FDA" w:rsidRPr="00D869E3">
        <w:rPr>
          <w:rFonts w:ascii="Verdana" w:hAnsi="Verdana" w:cs="Arial"/>
          <w:sz w:val="20"/>
          <w:szCs w:val="20"/>
          <w:lang w:val="en-US"/>
        </w:rPr>
        <w:lastRenderedPageBreak/>
        <w:t>justified.</w:t>
      </w:r>
      <w:r w:rsidRPr="00D869E3">
        <w:rPr>
          <w:rFonts w:ascii="Verdana" w:hAnsi="Verdana"/>
          <w:sz w:val="20"/>
          <w:szCs w:val="20"/>
          <w:vertAlign w:val="superscript"/>
          <w:lang w:val="en-US"/>
        </w:rPr>
        <w:footnoteReference w:id="73"/>
      </w:r>
      <w:r w:rsidR="00E91FDA" w:rsidRPr="00D869E3">
        <w:rPr>
          <w:rFonts w:ascii="Verdana" w:hAnsi="Verdana"/>
          <w:sz w:val="20"/>
          <w:szCs w:val="20"/>
          <w:lang w:val="en-US"/>
        </w:rPr>
        <w:t xml:space="preserve"> The law expressly establishe</w:t>
      </w:r>
      <w:r w:rsidR="00397BCB" w:rsidRPr="00D869E3">
        <w:rPr>
          <w:rFonts w:ascii="Verdana" w:hAnsi="Verdana"/>
          <w:sz w:val="20"/>
          <w:szCs w:val="20"/>
          <w:lang w:val="en-US"/>
        </w:rPr>
        <w:t>d</w:t>
      </w:r>
      <w:r w:rsidR="00E91FDA" w:rsidRPr="00D869E3">
        <w:rPr>
          <w:rFonts w:ascii="Verdana" w:hAnsi="Verdana"/>
          <w:sz w:val="20"/>
          <w:szCs w:val="20"/>
          <w:lang w:val="en-US"/>
        </w:rPr>
        <w:t xml:space="preserve"> that the burden of proof for the dismissal correspond</w:t>
      </w:r>
      <w:r w:rsidR="00397BCB" w:rsidRPr="00D869E3">
        <w:rPr>
          <w:rFonts w:ascii="Verdana" w:hAnsi="Verdana"/>
          <w:sz w:val="20"/>
          <w:szCs w:val="20"/>
          <w:lang w:val="en-US"/>
        </w:rPr>
        <w:t>ed</w:t>
      </w:r>
      <w:r w:rsidR="00E91FDA" w:rsidRPr="00D869E3">
        <w:rPr>
          <w:rFonts w:ascii="Verdana" w:hAnsi="Verdana"/>
          <w:sz w:val="20"/>
          <w:szCs w:val="20"/>
          <w:lang w:val="en-US"/>
        </w:rPr>
        <w:t xml:space="preserve"> to the employer.</w:t>
      </w:r>
      <w:r w:rsidRPr="00D869E3">
        <w:rPr>
          <w:rFonts w:ascii="Verdana" w:hAnsi="Verdana"/>
          <w:sz w:val="20"/>
          <w:szCs w:val="20"/>
          <w:vertAlign w:val="superscript"/>
          <w:lang w:val="en-US"/>
        </w:rPr>
        <w:footnoteReference w:id="74"/>
      </w:r>
      <w:r w:rsidR="00E91FDA" w:rsidRPr="00D869E3">
        <w:rPr>
          <w:rFonts w:ascii="Verdana" w:hAnsi="Verdana"/>
          <w:sz w:val="20"/>
          <w:szCs w:val="20"/>
          <w:lang w:val="en-US"/>
        </w:rPr>
        <w:t xml:space="preserve"> If the proceedings </w:t>
      </w:r>
      <w:r w:rsidR="00397BCB" w:rsidRPr="00D869E3">
        <w:rPr>
          <w:rFonts w:ascii="Verdana" w:hAnsi="Verdana"/>
          <w:sz w:val="20"/>
          <w:szCs w:val="20"/>
          <w:lang w:val="en-US"/>
        </w:rPr>
        <w:t>we</w:t>
      </w:r>
      <w:r w:rsidR="00E91FDA" w:rsidRPr="00D869E3">
        <w:rPr>
          <w:rFonts w:ascii="Verdana" w:hAnsi="Verdana"/>
          <w:sz w:val="20"/>
          <w:szCs w:val="20"/>
          <w:lang w:val="en-US"/>
        </w:rPr>
        <w:t xml:space="preserve">re </w:t>
      </w:r>
      <w:r w:rsidR="00103C07" w:rsidRPr="00D869E3">
        <w:rPr>
          <w:rFonts w:ascii="Verdana" w:hAnsi="Verdana"/>
          <w:sz w:val="20"/>
          <w:szCs w:val="20"/>
          <w:lang w:val="en-US"/>
        </w:rPr>
        <w:t>adjudicated in favor of</w:t>
      </w:r>
      <w:r w:rsidR="00E91FDA" w:rsidRPr="00D869E3">
        <w:rPr>
          <w:rFonts w:ascii="Verdana" w:hAnsi="Verdana"/>
          <w:sz w:val="20"/>
          <w:szCs w:val="20"/>
          <w:lang w:val="en-US"/>
        </w:rPr>
        <w:t xml:space="preserve"> the worker, he </w:t>
      </w:r>
      <w:r w:rsidR="00397BCB" w:rsidRPr="00D869E3">
        <w:rPr>
          <w:rFonts w:ascii="Verdana" w:hAnsi="Verdana"/>
          <w:sz w:val="20"/>
          <w:szCs w:val="20"/>
          <w:lang w:val="en-US"/>
        </w:rPr>
        <w:t>could</w:t>
      </w:r>
      <w:r w:rsidR="00E91FDA" w:rsidRPr="00D869E3">
        <w:rPr>
          <w:rFonts w:ascii="Verdana" w:hAnsi="Verdana"/>
          <w:sz w:val="20"/>
          <w:szCs w:val="20"/>
          <w:lang w:val="en-US"/>
        </w:rPr>
        <w:t xml:space="preserve"> opt to be reinstated or </w:t>
      </w:r>
      <w:r w:rsidR="00103C07" w:rsidRPr="00D869E3">
        <w:rPr>
          <w:rFonts w:ascii="Verdana" w:hAnsi="Verdana"/>
          <w:sz w:val="20"/>
          <w:szCs w:val="20"/>
          <w:lang w:val="en-US"/>
        </w:rPr>
        <w:t>to</w:t>
      </w:r>
      <w:r w:rsidR="00E91FDA" w:rsidRPr="00D869E3">
        <w:rPr>
          <w:rFonts w:ascii="Verdana" w:hAnsi="Verdana"/>
          <w:sz w:val="20"/>
          <w:szCs w:val="20"/>
          <w:lang w:val="en-US"/>
        </w:rPr>
        <w:t xml:space="preserve"> terminat</w:t>
      </w:r>
      <w:r w:rsidR="00103C07" w:rsidRPr="00D869E3">
        <w:rPr>
          <w:rFonts w:ascii="Verdana" w:hAnsi="Verdana"/>
          <w:sz w:val="20"/>
          <w:szCs w:val="20"/>
          <w:lang w:val="en-US"/>
        </w:rPr>
        <w:t>e his</w:t>
      </w:r>
      <w:r w:rsidR="00E91FDA" w:rsidRPr="00D869E3">
        <w:rPr>
          <w:rFonts w:ascii="Verdana" w:hAnsi="Verdana"/>
          <w:sz w:val="20"/>
          <w:szCs w:val="20"/>
          <w:lang w:val="en-US"/>
        </w:rPr>
        <w:t xml:space="preserve"> contract, which w</w:t>
      </w:r>
      <w:r w:rsidR="00103C07" w:rsidRPr="00D869E3">
        <w:rPr>
          <w:rFonts w:ascii="Verdana" w:hAnsi="Verdana"/>
          <w:sz w:val="20"/>
          <w:szCs w:val="20"/>
          <w:lang w:val="en-US"/>
        </w:rPr>
        <w:t>ould</w:t>
      </w:r>
      <w:r w:rsidR="00E91FDA" w:rsidRPr="00D869E3">
        <w:rPr>
          <w:rFonts w:ascii="Verdana" w:hAnsi="Verdana"/>
          <w:sz w:val="20"/>
          <w:szCs w:val="20"/>
          <w:lang w:val="en-US"/>
        </w:rPr>
        <w:t xml:space="preserve"> lead to the payment of the severance package </w:t>
      </w:r>
      <w:r w:rsidR="00687684" w:rsidRPr="00D869E3">
        <w:rPr>
          <w:rFonts w:ascii="Verdana" w:hAnsi="Verdana"/>
          <w:sz w:val="20"/>
          <w:szCs w:val="20"/>
          <w:lang w:val="en-US"/>
        </w:rPr>
        <w:t>and</w:t>
      </w:r>
      <w:r w:rsidR="00E91FDA" w:rsidRPr="00D869E3">
        <w:rPr>
          <w:rFonts w:ascii="Verdana" w:hAnsi="Verdana"/>
          <w:sz w:val="20"/>
          <w:szCs w:val="20"/>
          <w:lang w:val="en-US"/>
        </w:rPr>
        <w:t xml:space="preserve"> special compensation.</w:t>
      </w:r>
      <w:r w:rsidRPr="00D869E3">
        <w:rPr>
          <w:rFonts w:ascii="Verdana" w:hAnsi="Verdana"/>
          <w:sz w:val="20"/>
          <w:szCs w:val="20"/>
          <w:vertAlign w:val="superscript"/>
          <w:lang w:val="en-US"/>
        </w:rPr>
        <w:footnoteReference w:id="75"/>
      </w:r>
      <w:r w:rsidRPr="00D869E3">
        <w:rPr>
          <w:rFonts w:ascii="Verdana" w:hAnsi="Verdana" w:cs="Arial"/>
          <w:sz w:val="20"/>
          <w:szCs w:val="20"/>
          <w:lang w:val="en-US"/>
        </w:rPr>
        <w:t xml:space="preserve"> </w:t>
      </w:r>
    </w:p>
    <w:p w14:paraId="220095E5" w14:textId="77777777" w:rsidR="00275EDE" w:rsidRPr="00D869E3" w:rsidRDefault="00275EDE" w:rsidP="009C6F8E">
      <w:pPr>
        <w:jc w:val="both"/>
        <w:rPr>
          <w:rFonts w:ascii="Verdana" w:hAnsi="Verdana"/>
          <w:b/>
          <w:sz w:val="20"/>
          <w:szCs w:val="20"/>
          <w:lang w:val="en-US"/>
        </w:rPr>
      </w:pPr>
    </w:p>
    <w:p w14:paraId="0B832466" w14:textId="79A92487" w:rsidR="00275EDE" w:rsidRPr="00D869E3" w:rsidRDefault="006543DC" w:rsidP="00E66DD7">
      <w:pPr>
        <w:pStyle w:val="Ttulo2"/>
        <w:numPr>
          <w:ilvl w:val="0"/>
          <w:numId w:val="12"/>
        </w:numPr>
        <w:rPr>
          <w:rFonts w:eastAsia="MS Gothic"/>
          <w:i/>
          <w:iCs/>
          <w:szCs w:val="20"/>
          <w:lang w:val="en-US"/>
        </w:rPr>
      </w:pPr>
      <w:bookmarkStart w:id="24" w:name="_Toc29114117"/>
      <w:r w:rsidRPr="00D869E3">
        <w:rPr>
          <w:rFonts w:eastAsia="MS Gothic"/>
          <w:i/>
          <w:iCs/>
          <w:szCs w:val="20"/>
          <w:lang w:val="en-US"/>
        </w:rPr>
        <w:t>Actions filed by</w:t>
      </w:r>
      <w:r w:rsidR="00E91FDA" w:rsidRPr="00D869E3">
        <w:rPr>
          <w:rFonts w:eastAsia="MS Gothic"/>
          <w:i/>
          <w:iCs/>
          <w:szCs w:val="20"/>
          <w:lang w:val="en-US"/>
        </w:rPr>
        <w:t xml:space="preserve"> Mr.</w:t>
      </w:r>
      <w:r w:rsidR="001E44D3" w:rsidRPr="00D869E3">
        <w:rPr>
          <w:rFonts w:eastAsia="MS Gothic"/>
          <w:i/>
          <w:iCs/>
          <w:szCs w:val="20"/>
          <w:lang w:val="en-US"/>
        </w:rPr>
        <w:t xml:space="preserve"> Lagos del Campo</w:t>
      </w:r>
      <w:bookmarkEnd w:id="24"/>
    </w:p>
    <w:p w14:paraId="411804FE" w14:textId="77777777" w:rsidR="00275EDE" w:rsidRPr="00D869E3" w:rsidRDefault="00275EDE" w:rsidP="00275EDE">
      <w:pPr>
        <w:autoSpaceDE w:val="0"/>
        <w:autoSpaceDN w:val="0"/>
        <w:adjustRightInd w:val="0"/>
        <w:jc w:val="both"/>
        <w:rPr>
          <w:rFonts w:ascii="Verdana" w:hAnsi="Verdana"/>
          <w:b/>
          <w:bCs/>
          <w:sz w:val="20"/>
          <w:szCs w:val="20"/>
          <w:lang w:val="en-US"/>
        </w:rPr>
      </w:pPr>
    </w:p>
    <w:p w14:paraId="518456FE" w14:textId="227E601D" w:rsidR="00275EDE" w:rsidRPr="00D869E3" w:rsidRDefault="00034E2C" w:rsidP="00E66DD7">
      <w:pPr>
        <w:pStyle w:val="Ttulo3"/>
        <w:numPr>
          <w:ilvl w:val="0"/>
          <w:numId w:val="9"/>
        </w:numPr>
        <w:rPr>
          <w:i/>
          <w:lang w:val="en-US"/>
        </w:rPr>
      </w:pPr>
      <w:bookmarkStart w:id="25" w:name="_Toc29114118"/>
      <w:r w:rsidRPr="00D869E3">
        <w:rPr>
          <w:i/>
          <w:lang w:val="en-US"/>
        </w:rPr>
        <w:t>Application for review of dismissal</w:t>
      </w:r>
      <w:bookmarkEnd w:id="25"/>
    </w:p>
    <w:p w14:paraId="5D0A3C7E" w14:textId="77777777" w:rsidR="00275EDE" w:rsidRPr="00D869E3" w:rsidRDefault="00275EDE" w:rsidP="00275EDE">
      <w:pPr>
        <w:jc w:val="both"/>
        <w:rPr>
          <w:rFonts w:ascii="Verdana" w:hAnsi="Verdana"/>
          <w:sz w:val="20"/>
          <w:szCs w:val="20"/>
          <w:lang w:val="en-US"/>
        </w:rPr>
      </w:pPr>
    </w:p>
    <w:p w14:paraId="0BDEF6E8" w14:textId="7F75175C" w:rsidR="00275EDE" w:rsidRPr="00D869E3" w:rsidRDefault="00034E2C" w:rsidP="00EB5E2E">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July 26,</w:t>
      </w:r>
      <w:r w:rsidR="001B2ECD" w:rsidRPr="00D869E3">
        <w:rPr>
          <w:rFonts w:ascii="Verdana" w:hAnsi="Verdana"/>
          <w:sz w:val="20"/>
          <w:szCs w:val="20"/>
          <w:lang w:val="en-US"/>
        </w:rPr>
        <w:t xml:space="preserve"> 1989</w:t>
      </w:r>
      <w:r w:rsidRPr="00D869E3">
        <w:rPr>
          <w:rFonts w:ascii="Verdana" w:hAnsi="Verdana"/>
          <w:sz w:val="20"/>
          <w:szCs w:val="20"/>
          <w:lang w:val="en-US"/>
        </w:rPr>
        <w:t>,</w:t>
      </w:r>
      <w:r w:rsidR="001B2ECD"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1B2ECD" w:rsidRPr="00D869E3">
        <w:rPr>
          <w:rFonts w:ascii="Verdana" w:hAnsi="Verdana"/>
          <w:sz w:val="20"/>
          <w:szCs w:val="20"/>
          <w:lang w:val="en-US"/>
        </w:rPr>
        <w:t xml:space="preserve"> </w:t>
      </w:r>
      <w:r w:rsidR="006543DC" w:rsidRPr="00D869E3">
        <w:rPr>
          <w:rFonts w:ascii="Verdana" w:hAnsi="Verdana"/>
          <w:sz w:val="20"/>
          <w:szCs w:val="20"/>
          <w:lang w:val="en-US"/>
        </w:rPr>
        <w:t xml:space="preserve">filed an action against </w:t>
      </w:r>
      <w:r w:rsidR="001B2ECD" w:rsidRPr="00D869E3">
        <w:rPr>
          <w:rFonts w:ascii="Verdana" w:hAnsi="Verdana"/>
          <w:sz w:val="20"/>
          <w:szCs w:val="20"/>
          <w:lang w:val="en-US"/>
        </w:rPr>
        <w:t xml:space="preserve">Ceper-Pirelli S.A. </w:t>
      </w:r>
      <w:r w:rsidR="006543DC" w:rsidRPr="00D869E3">
        <w:rPr>
          <w:rFonts w:ascii="Verdana" w:hAnsi="Verdana"/>
          <w:sz w:val="20"/>
          <w:szCs w:val="20"/>
          <w:lang w:val="en-US"/>
        </w:rPr>
        <w:t>before the</w:t>
      </w:r>
      <w:r w:rsidR="001B2ECD" w:rsidRPr="00D869E3">
        <w:rPr>
          <w:rFonts w:ascii="Verdana" w:hAnsi="Verdana"/>
          <w:sz w:val="20"/>
          <w:szCs w:val="20"/>
          <w:lang w:val="en-US"/>
        </w:rPr>
        <w:t xml:space="preserve"> </w:t>
      </w:r>
      <w:r w:rsidR="006543DC" w:rsidRPr="00D869E3">
        <w:rPr>
          <w:rFonts w:ascii="Verdana" w:hAnsi="Verdana"/>
          <w:sz w:val="20"/>
          <w:szCs w:val="20"/>
          <w:lang w:val="en-US"/>
        </w:rPr>
        <w:t>Lima Labor Court</w:t>
      </w:r>
      <w:r w:rsidR="001B2ECD" w:rsidRPr="00D869E3">
        <w:rPr>
          <w:rFonts w:ascii="Verdana" w:hAnsi="Verdana"/>
          <w:sz w:val="20"/>
          <w:szCs w:val="20"/>
          <w:lang w:val="en-US"/>
        </w:rPr>
        <w:t xml:space="preserve"> </w:t>
      </w:r>
      <w:r w:rsidR="006543DC" w:rsidRPr="00D869E3">
        <w:rPr>
          <w:rFonts w:ascii="Verdana" w:hAnsi="Verdana"/>
          <w:sz w:val="20"/>
          <w:szCs w:val="20"/>
          <w:lang w:val="en-US"/>
        </w:rPr>
        <w:t xml:space="preserve">requesting that the court declare his dismissal “unjustified </w:t>
      </w:r>
      <w:r w:rsidR="004806A6" w:rsidRPr="00D869E3">
        <w:rPr>
          <w:rFonts w:ascii="Verdana" w:hAnsi="Verdana"/>
          <w:sz w:val="20"/>
          <w:szCs w:val="20"/>
          <w:lang w:val="en-US"/>
        </w:rPr>
        <w:t>and</w:t>
      </w:r>
      <w:r w:rsidR="006543DC" w:rsidRPr="00D869E3">
        <w:rPr>
          <w:rFonts w:ascii="Verdana" w:hAnsi="Verdana"/>
          <w:sz w:val="20"/>
          <w:szCs w:val="20"/>
          <w:lang w:val="en-US"/>
        </w:rPr>
        <w:t xml:space="preserve"> </w:t>
      </w:r>
      <w:r w:rsidR="004806A6" w:rsidRPr="00D869E3">
        <w:rPr>
          <w:rFonts w:ascii="Verdana" w:hAnsi="Verdana"/>
          <w:sz w:val="20"/>
          <w:szCs w:val="20"/>
          <w:lang w:val="en-US"/>
        </w:rPr>
        <w:t>unfair</w:t>
      </w:r>
      <w:r w:rsidR="006543DC" w:rsidRPr="00D869E3">
        <w:rPr>
          <w:rFonts w:ascii="Verdana" w:hAnsi="Verdana"/>
          <w:sz w:val="20"/>
          <w:szCs w:val="20"/>
          <w:lang w:val="en-US"/>
        </w:rPr>
        <w:t>.”</w:t>
      </w:r>
      <w:r w:rsidR="001B2ECD" w:rsidRPr="00D869E3">
        <w:rPr>
          <w:rFonts w:ascii="Verdana" w:hAnsi="Verdana"/>
          <w:sz w:val="20"/>
          <w:szCs w:val="20"/>
          <w:vertAlign w:val="superscript"/>
          <w:lang w:val="en-US"/>
        </w:rPr>
        <w:footnoteReference w:id="76"/>
      </w:r>
      <w:r w:rsidR="001B2ECD" w:rsidRPr="00D869E3">
        <w:rPr>
          <w:rFonts w:ascii="Verdana" w:hAnsi="Verdana"/>
          <w:sz w:val="20"/>
          <w:szCs w:val="20"/>
          <w:lang w:val="en-US"/>
        </w:rPr>
        <w:t xml:space="preserve"> </w:t>
      </w:r>
      <w:r w:rsidR="006543DC" w:rsidRPr="00D869E3">
        <w:rPr>
          <w:rFonts w:ascii="Verdana" w:hAnsi="Verdana"/>
          <w:sz w:val="20"/>
          <w:szCs w:val="20"/>
          <w:lang w:val="en-US"/>
        </w:rPr>
        <w:t xml:space="preserve">He denied that he had insulted the company or had used the words “blackmail” and </w:t>
      </w:r>
      <w:r w:rsidR="006436CA" w:rsidRPr="00D869E3">
        <w:rPr>
          <w:rFonts w:ascii="Verdana" w:hAnsi="Verdana"/>
          <w:sz w:val="20"/>
          <w:szCs w:val="20"/>
          <w:lang w:val="en-US"/>
        </w:rPr>
        <w:t>“</w:t>
      </w:r>
      <w:r w:rsidR="001B2ECD" w:rsidRPr="00D869E3">
        <w:rPr>
          <w:rFonts w:ascii="Verdana" w:hAnsi="Verdana"/>
          <w:sz w:val="20"/>
          <w:szCs w:val="20"/>
          <w:lang w:val="en-US"/>
        </w:rPr>
        <w:t>coerci</w:t>
      </w:r>
      <w:r w:rsidR="006543DC" w:rsidRPr="00D869E3">
        <w:rPr>
          <w:rFonts w:ascii="Verdana" w:hAnsi="Verdana"/>
          <w:sz w:val="20"/>
          <w:szCs w:val="20"/>
          <w:lang w:val="en-US"/>
        </w:rPr>
        <w:t>o</w:t>
      </w:r>
      <w:r w:rsidR="001B2ECD" w:rsidRPr="00D869E3">
        <w:rPr>
          <w:rFonts w:ascii="Verdana" w:hAnsi="Verdana"/>
          <w:sz w:val="20"/>
          <w:szCs w:val="20"/>
          <w:lang w:val="en-US"/>
        </w:rPr>
        <w:t>n</w:t>
      </w:r>
      <w:r w:rsidR="000B550A" w:rsidRPr="00D869E3">
        <w:rPr>
          <w:rFonts w:ascii="Verdana" w:hAnsi="Verdana"/>
          <w:sz w:val="20"/>
          <w:szCs w:val="20"/>
          <w:lang w:val="en-US"/>
        </w:rPr>
        <w:t>.</w:t>
      </w:r>
      <w:r w:rsidR="006436CA" w:rsidRPr="00D869E3">
        <w:rPr>
          <w:rFonts w:ascii="Verdana" w:hAnsi="Verdana"/>
          <w:sz w:val="20"/>
          <w:szCs w:val="20"/>
          <w:lang w:val="en-US"/>
        </w:rPr>
        <w:t>”</w:t>
      </w:r>
      <w:r w:rsidR="000B550A" w:rsidRPr="00D869E3">
        <w:rPr>
          <w:rFonts w:ascii="Verdana" w:hAnsi="Verdana"/>
          <w:sz w:val="20"/>
          <w:szCs w:val="20"/>
          <w:lang w:val="en-US"/>
        </w:rPr>
        <w:t xml:space="preserve"> He stressed that, in any case, the </w:t>
      </w:r>
      <w:r w:rsidR="00364D8A" w:rsidRPr="00D869E3">
        <w:rPr>
          <w:rFonts w:ascii="Verdana" w:hAnsi="Verdana"/>
          <w:sz w:val="20"/>
          <w:szCs w:val="20"/>
          <w:lang w:val="en-US"/>
        </w:rPr>
        <w:t>statements</w:t>
      </w:r>
      <w:r w:rsidR="000B550A" w:rsidRPr="00D869E3">
        <w:rPr>
          <w:rFonts w:ascii="Verdana" w:hAnsi="Verdana"/>
          <w:sz w:val="20"/>
          <w:szCs w:val="20"/>
          <w:lang w:val="en-US"/>
        </w:rPr>
        <w:t xml:space="preserve"> that </w:t>
      </w:r>
      <w:r w:rsidR="00E85F6A" w:rsidRPr="00D869E3">
        <w:rPr>
          <w:rFonts w:ascii="Verdana" w:hAnsi="Verdana"/>
          <w:sz w:val="20"/>
          <w:szCs w:val="20"/>
          <w:lang w:val="en-US"/>
        </w:rPr>
        <w:t>had led to</w:t>
      </w:r>
      <w:r w:rsidR="000B550A" w:rsidRPr="00D869E3">
        <w:rPr>
          <w:rFonts w:ascii="Verdana" w:hAnsi="Verdana"/>
          <w:sz w:val="20"/>
          <w:szCs w:val="20"/>
          <w:lang w:val="en-US"/>
        </w:rPr>
        <w:t xml:space="preserve"> his dismissal had been made in his capacity as</w:t>
      </w:r>
      <w:r w:rsidR="000B550A" w:rsidRPr="00D869E3">
        <w:rPr>
          <w:rFonts w:ascii="Verdana" w:hAnsi="Verdana"/>
          <w:b/>
          <w:sz w:val="20"/>
          <w:szCs w:val="20"/>
          <w:lang w:val="en-US"/>
        </w:rPr>
        <w:t xml:space="preserve">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 of the </w:t>
      </w:r>
      <w:r w:rsidR="000B550A" w:rsidRPr="00D869E3">
        <w:rPr>
          <w:rFonts w:ascii="Verdana" w:hAnsi="Verdana"/>
          <w:sz w:val="20"/>
          <w:szCs w:val="20"/>
          <w:lang w:val="en-US"/>
        </w:rPr>
        <w:t xml:space="preserve">company’s </w:t>
      </w:r>
      <w:r w:rsidR="00EA232B" w:rsidRPr="00D869E3">
        <w:rPr>
          <w:rFonts w:ascii="Verdana" w:hAnsi="Verdana"/>
          <w:sz w:val="20"/>
          <w:szCs w:val="20"/>
          <w:lang w:val="en-US"/>
        </w:rPr>
        <w:t>Industrial Community</w:t>
      </w:r>
      <w:r w:rsidR="001B2ECD" w:rsidRPr="00D869E3">
        <w:rPr>
          <w:rFonts w:ascii="Verdana" w:hAnsi="Verdana"/>
          <w:sz w:val="20"/>
          <w:szCs w:val="20"/>
          <w:lang w:val="en-US"/>
        </w:rPr>
        <w:t xml:space="preserve"> </w:t>
      </w:r>
      <w:r w:rsidR="000B550A" w:rsidRPr="00D869E3">
        <w:rPr>
          <w:rFonts w:ascii="Verdana" w:hAnsi="Verdana"/>
          <w:sz w:val="20"/>
          <w:szCs w:val="20"/>
          <w:lang w:val="en-US"/>
        </w:rPr>
        <w:t xml:space="preserve">and referred to </w:t>
      </w:r>
      <w:r w:rsidR="00E85F6A" w:rsidRPr="00D869E3">
        <w:rPr>
          <w:rFonts w:ascii="Verdana" w:hAnsi="Verdana"/>
          <w:sz w:val="20"/>
          <w:szCs w:val="20"/>
          <w:lang w:val="en-US"/>
        </w:rPr>
        <w:t xml:space="preserve">internal </w:t>
      </w:r>
      <w:r w:rsidR="000B550A" w:rsidRPr="00D869E3">
        <w:rPr>
          <w:rFonts w:ascii="Verdana" w:hAnsi="Verdana"/>
          <w:sz w:val="20"/>
          <w:szCs w:val="20"/>
          <w:lang w:val="en-US"/>
        </w:rPr>
        <w:t>problems within this community, specifically irregularities in the election of the members of the company’s Board</w:t>
      </w:r>
      <w:r w:rsidR="00E85F6A" w:rsidRPr="00D869E3">
        <w:rPr>
          <w:rFonts w:ascii="Verdana" w:hAnsi="Verdana"/>
          <w:sz w:val="20"/>
          <w:szCs w:val="20"/>
          <w:lang w:val="en-US"/>
        </w:rPr>
        <w:t xml:space="preserve"> of Directors</w:t>
      </w:r>
      <w:r w:rsidR="000B550A" w:rsidRPr="00D869E3">
        <w:rPr>
          <w:rFonts w:ascii="Verdana" w:hAnsi="Verdana"/>
          <w:sz w:val="20"/>
          <w:szCs w:val="20"/>
          <w:lang w:val="en-US"/>
        </w:rPr>
        <w:t xml:space="preserve">. In this regard, he argued that the sanction </w:t>
      </w:r>
      <w:r w:rsidR="00E85F6A" w:rsidRPr="00D869E3">
        <w:rPr>
          <w:rFonts w:ascii="Verdana" w:hAnsi="Verdana"/>
          <w:sz w:val="20"/>
          <w:szCs w:val="20"/>
          <w:lang w:val="en-US"/>
        </w:rPr>
        <w:t>imposed on</w:t>
      </w:r>
      <w:r w:rsidR="000B550A" w:rsidRPr="00D869E3">
        <w:rPr>
          <w:rFonts w:ascii="Verdana" w:hAnsi="Verdana"/>
          <w:sz w:val="20"/>
          <w:szCs w:val="20"/>
          <w:lang w:val="en-US"/>
        </w:rPr>
        <w:t xml:space="preserve"> him, in addition to being </w:t>
      </w:r>
      <w:r w:rsidR="004806A6" w:rsidRPr="00D869E3">
        <w:rPr>
          <w:rFonts w:ascii="Verdana" w:hAnsi="Verdana"/>
          <w:sz w:val="20"/>
          <w:szCs w:val="20"/>
          <w:lang w:val="en-US"/>
        </w:rPr>
        <w:t>unfair</w:t>
      </w:r>
      <w:r w:rsidR="00364D8A" w:rsidRPr="00D869E3">
        <w:rPr>
          <w:rFonts w:ascii="Verdana" w:hAnsi="Verdana"/>
          <w:sz w:val="20"/>
          <w:szCs w:val="20"/>
          <w:lang w:val="en-US"/>
        </w:rPr>
        <w:t>,</w:t>
      </w:r>
      <w:r w:rsidR="000B550A" w:rsidRPr="00D869E3">
        <w:rPr>
          <w:rFonts w:ascii="Verdana" w:hAnsi="Verdana"/>
          <w:sz w:val="20"/>
          <w:szCs w:val="20"/>
          <w:lang w:val="en-US"/>
        </w:rPr>
        <w:t xml:space="preserve"> was “a </w:t>
      </w:r>
      <w:r w:rsidR="00E85F6A" w:rsidRPr="00D869E3">
        <w:rPr>
          <w:rFonts w:ascii="Verdana" w:hAnsi="Verdana"/>
          <w:sz w:val="20"/>
          <w:szCs w:val="20"/>
          <w:lang w:val="en-US"/>
        </w:rPr>
        <w:t>serious</w:t>
      </w:r>
      <w:r w:rsidR="000B550A" w:rsidRPr="00D869E3">
        <w:rPr>
          <w:rFonts w:ascii="Verdana" w:hAnsi="Verdana"/>
          <w:sz w:val="20"/>
          <w:szCs w:val="20"/>
          <w:lang w:val="en-US"/>
        </w:rPr>
        <w:t xml:space="preserve"> violation of his right to freedom of opinion, expression and thought, which was guaranteed in the Constitution, and also a serious interference in community and </w:t>
      </w:r>
      <w:r w:rsidR="00E85F6A" w:rsidRPr="00D869E3">
        <w:rPr>
          <w:rFonts w:ascii="Verdana" w:hAnsi="Verdana"/>
          <w:sz w:val="20"/>
          <w:szCs w:val="20"/>
          <w:lang w:val="en-US"/>
        </w:rPr>
        <w:t>labor union activities</w:t>
      </w:r>
      <w:r w:rsidR="000B550A" w:rsidRPr="00D869E3">
        <w:rPr>
          <w:rFonts w:ascii="Verdana" w:hAnsi="Verdana"/>
          <w:sz w:val="20"/>
          <w:szCs w:val="20"/>
          <w:lang w:val="en-US"/>
        </w:rPr>
        <w:t>.</w:t>
      </w:r>
      <w:r w:rsidR="006436CA" w:rsidRPr="00D869E3">
        <w:rPr>
          <w:rFonts w:ascii="Verdana" w:hAnsi="Verdana"/>
          <w:sz w:val="20"/>
          <w:szCs w:val="20"/>
          <w:lang w:val="en-US"/>
        </w:rPr>
        <w:t>”</w:t>
      </w:r>
      <w:r w:rsidR="001B2ECD" w:rsidRPr="00D869E3">
        <w:rPr>
          <w:rFonts w:ascii="Verdana" w:hAnsi="Verdana"/>
          <w:sz w:val="20"/>
          <w:szCs w:val="20"/>
          <w:lang w:val="en-US"/>
        </w:rPr>
        <w:t xml:space="preserve"> </w:t>
      </w:r>
      <w:r w:rsidR="000B550A" w:rsidRPr="00D869E3">
        <w:rPr>
          <w:rFonts w:ascii="Verdana" w:hAnsi="Verdana"/>
          <w:sz w:val="20"/>
          <w:szCs w:val="20"/>
          <w:lang w:val="en-US"/>
        </w:rPr>
        <w:t>Regarding the latter</w:t>
      </w:r>
      <w:r w:rsidR="001B2ECD"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1B2ECD" w:rsidRPr="00D869E3">
        <w:rPr>
          <w:rFonts w:ascii="Verdana" w:hAnsi="Verdana"/>
          <w:sz w:val="20"/>
          <w:szCs w:val="20"/>
          <w:lang w:val="en-US"/>
        </w:rPr>
        <w:t xml:space="preserve"> </w:t>
      </w:r>
      <w:r w:rsidR="000B550A" w:rsidRPr="00D869E3">
        <w:rPr>
          <w:rFonts w:ascii="Verdana" w:hAnsi="Verdana"/>
          <w:sz w:val="20"/>
          <w:szCs w:val="20"/>
          <w:lang w:val="en-US"/>
        </w:rPr>
        <w:t>indicated that</w:t>
      </w:r>
      <w:r w:rsidR="001B2ECD" w:rsidRPr="00D869E3">
        <w:rPr>
          <w:rFonts w:ascii="Verdana" w:hAnsi="Verdana"/>
          <w:sz w:val="20"/>
          <w:szCs w:val="20"/>
          <w:lang w:val="en-US"/>
        </w:rPr>
        <w:t xml:space="preserve"> </w:t>
      </w:r>
      <w:r w:rsidR="006436CA" w:rsidRPr="00D869E3">
        <w:rPr>
          <w:rFonts w:ascii="Verdana" w:hAnsi="Verdana"/>
          <w:sz w:val="20"/>
          <w:szCs w:val="20"/>
          <w:lang w:val="en-US"/>
        </w:rPr>
        <w:t>“</w:t>
      </w:r>
      <w:r w:rsidR="000B550A" w:rsidRPr="00D869E3">
        <w:rPr>
          <w:rFonts w:ascii="Verdana" w:hAnsi="Verdana"/>
          <w:sz w:val="20"/>
          <w:szCs w:val="20"/>
          <w:lang w:val="en-US"/>
        </w:rPr>
        <w:t xml:space="preserve">every worker and, in particular, those who occupy positions </w:t>
      </w:r>
      <w:r w:rsidR="006F7F35" w:rsidRPr="00D869E3">
        <w:rPr>
          <w:rFonts w:ascii="Verdana" w:hAnsi="Verdana"/>
          <w:sz w:val="20"/>
          <w:szCs w:val="20"/>
          <w:lang w:val="en-US"/>
        </w:rPr>
        <w:t xml:space="preserve">in </w:t>
      </w:r>
      <w:r w:rsidR="00E85F6A" w:rsidRPr="00D869E3">
        <w:rPr>
          <w:rFonts w:ascii="Verdana" w:hAnsi="Verdana"/>
          <w:sz w:val="20"/>
          <w:szCs w:val="20"/>
          <w:lang w:val="en-US"/>
        </w:rPr>
        <w:t>labor union</w:t>
      </w:r>
      <w:r w:rsidR="006F7F35" w:rsidRPr="00D869E3">
        <w:rPr>
          <w:rFonts w:ascii="Verdana" w:hAnsi="Verdana"/>
          <w:sz w:val="20"/>
          <w:szCs w:val="20"/>
          <w:lang w:val="en-US"/>
        </w:rPr>
        <w:t xml:space="preserve">s or communities, as in his case, have not only the right, but also the need to </w:t>
      </w:r>
      <w:r w:rsidR="00E85F6A" w:rsidRPr="00D869E3">
        <w:rPr>
          <w:rFonts w:ascii="Verdana" w:hAnsi="Verdana"/>
          <w:sz w:val="20"/>
          <w:szCs w:val="20"/>
          <w:lang w:val="en-US"/>
        </w:rPr>
        <w:t>be informed</w:t>
      </w:r>
      <w:r w:rsidR="006F7F35" w:rsidRPr="00D869E3">
        <w:rPr>
          <w:rFonts w:ascii="Verdana" w:hAnsi="Verdana"/>
          <w:sz w:val="20"/>
          <w:szCs w:val="20"/>
          <w:lang w:val="en-US"/>
        </w:rPr>
        <w:t xml:space="preserve"> and to </w:t>
      </w:r>
      <w:r w:rsidR="00E85F6A" w:rsidRPr="00D869E3">
        <w:rPr>
          <w:rFonts w:ascii="Verdana" w:hAnsi="Verdana"/>
          <w:sz w:val="20"/>
          <w:szCs w:val="20"/>
          <w:lang w:val="en-US"/>
        </w:rPr>
        <w:t>speak out about</w:t>
      </w:r>
      <w:r w:rsidR="006F7F35" w:rsidRPr="00D869E3">
        <w:rPr>
          <w:rFonts w:ascii="Verdana" w:hAnsi="Verdana"/>
          <w:sz w:val="20"/>
          <w:szCs w:val="20"/>
          <w:lang w:val="en-US"/>
        </w:rPr>
        <w:t xml:space="preserve"> </w:t>
      </w:r>
      <w:r w:rsidR="00E85F6A" w:rsidRPr="00D869E3">
        <w:rPr>
          <w:rFonts w:ascii="Verdana" w:hAnsi="Verdana"/>
          <w:sz w:val="20"/>
          <w:szCs w:val="20"/>
          <w:lang w:val="en-US"/>
        </w:rPr>
        <w:t>workplace situations and</w:t>
      </w:r>
      <w:r w:rsidR="006F7F35" w:rsidRPr="00D869E3">
        <w:rPr>
          <w:rFonts w:ascii="Verdana" w:hAnsi="Verdana"/>
          <w:sz w:val="20"/>
          <w:szCs w:val="20"/>
          <w:lang w:val="en-US"/>
        </w:rPr>
        <w:t xml:space="preserve"> activities</w:t>
      </w:r>
      <w:r w:rsidR="00E85F6A" w:rsidRPr="00D869E3">
        <w:rPr>
          <w:rFonts w:ascii="Verdana" w:hAnsi="Verdana"/>
          <w:sz w:val="20"/>
          <w:szCs w:val="20"/>
          <w:lang w:val="en-US"/>
        </w:rPr>
        <w:t>.”</w:t>
      </w:r>
    </w:p>
    <w:p w14:paraId="3B6CD985" w14:textId="77777777" w:rsidR="00364D8A" w:rsidRPr="00D869E3" w:rsidRDefault="00364D8A" w:rsidP="00364D8A">
      <w:pPr>
        <w:pStyle w:val="Prrafodelista"/>
        <w:ind w:left="0"/>
        <w:jc w:val="both"/>
        <w:rPr>
          <w:rFonts w:ascii="Verdana" w:hAnsi="Verdana"/>
          <w:b/>
          <w:sz w:val="20"/>
          <w:szCs w:val="20"/>
          <w:lang w:val="en-US"/>
        </w:rPr>
      </w:pPr>
    </w:p>
    <w:p w14:paraId="3BFA9F46" w14:textId="46C2AC2D" w:rsidR="007472EE" w:rsidRPr="00D869E3" w:rsidRDefault="006F7F35" w:rsidP="006F7F35">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 xml:space="preserve">The matter was admitted </w:t>
      </w:r>
      <w:r w:rsidR="00364D8A" w:rsidRPr="00D869E3">
        <w:rPr>
          <w:rFonts w:ascii="Verdana" w:hAnsi="Verdana"/>
          <w:sz w:val="20"/>
          <w:szCs w:val="20"/>
          <w:lang w:val="en-US"/>
        </w:rPr>
        <w:t xml:space="preserve">under file No. 4737-89 </w:t>
      </w:r>
      <w:r w:rsidRPr="00D869E3">
        <w:rPr>
          <w:rFonts w:ascii="Verdana" w:hAnsi="Verdana"/>
          <w:sz w:val="20"/>
          <w:szCs w:val="20"/>
          <w:lang w:val="en-US"/>
        </w:rPr>
        <w:t>before</w:t>
      </w:r>
      <w:r w:rsidR="001B2ECD" w:rsidRPr="00D869E3">
        <w:rPr>
          <w:rFonts w:ascii="Verdana" w:hAnsi="Verdana"/>
          <w:sz w:val="20"/>
          <w:szCs w:val="20"/>
          <w:lang w:val="en-US"/>
        </w:rPr>
        <w:t xml:space="preserve"> </w:t>
      </w:r>
      <w:r w:rsidR="003506CC" w:rsidRPr="00D869E3">
        <w:rPr>
          <w:rFonts w:ascii="Verdana" w:hAnsi="Verdana"/>
          <w:sz w:val="20"/>
          <w:szCs w:val="20"/>
          <w:lang w:val="en-US"/>
        </w:rPr>
        <w:t>the Fifteenth Labor Court of Lima</w:t>
      </w:r>
      <w:r w:rsidR="001B2ECD" w:rsidRPr="00D869E3">
        <w:rPr>
          <w:rFonts w:ascii="Verdana" w:hAnsi="Verdana"/>
          <w:sz w:val="20"/>
          <w:szCs w:val="20"/>
          <w:lang w:val="en-US"/>
        </w:rPr>
        <w:t xml:space="preserve">. </w:t>
      </w:r>
      <w:r w:rsidRPr="00D869E3">
        <w:rPr>
          <w:rFonts w:ascii="Verdana" w:hAnsi="Verdana"/>
          <w:sz w:val="20"/>
          <w:szCs w:val="20"/>
          <w:lang w:val="en-US"/>
        </w:rPr>
        <w:t>In judgment</w:t>
      </w:r>
      <w:r w:rsidR="001B2ECD" w:rsidRPr="00D869E3">
        <w:rPr>
          <w:rFonts w:ascii="Verdana" w:hAnsi="Verdana"/>
          <w:sz w:val="20"/>
          <w:szCs w:val="20"/>
          <w:lang w:val="en-US"/>
        </w:rPr>
        <w:t xml:space="preserve"> 25-91 </w:t>
      </w:r>
      <w:r w:rsidRPr="00D869E3">
        <w:rPr>
          <w:rFonts w:ascii="Verdana" w:hAnsi="Verdana"/>
          <w:sz w:val="20"/>
          <w:szCs w:val="20"/>
          <w:lang w:val="en-US"/>
        </w:rPr>
        <w:t>of</w:t>
      </w:r>
      <w:r w:rsidR="001B2ECD" w:rsidRPr="00D869E3">
        <w:rPr>
          <w:rFonts w:ascii="Verdana" w:hAnsi="Verdana"/>
          <w:sz w:val="20"/>
          <w:szCs w:val="20"/>
          <w:lang w:val="en-US"/>
        </w:rPr>
        <w:t xml:space="preserve"> </w:t>
      </w:r>
      <w:r w:rsidRPr="00D869E3">
        <w:rPr>
          <w:rFonts w:ascii="Verdana" w:hAnsi="Verdana"/>
          <w:sz w:val="20"/>
          <w:szCs w:val="20"/>
          <w:lang w:val="en-US"/>
        </w:rPr>
        <w:t>March 5,</w:t>
      </w:r>
      <w:r w:rsidR="001B2ECD" w:rsidRPr="00D869E3">
        <w:rPr>
          <w:rFonts w:ascii="Verdana" w:hAnsi="Verdana"/>
          <w:sz w:val="20"/>
          <w:szCs w:val="20"/>
          <w:lang w:val="en-US"/>
        </w:rPr>
        <w:t xml:space="preserve"> 199</w:t>
      </w:r>
      <w:r w:rsidR="005D72FB" w:rsidRPr="00D869E3">
        <w:rPr>
          <w:rFonts w:ascii="Verdana" w:hAnsi="Verdana"/>
          <w:sz w:val="20"/>
          <w:szCs w:val="20"/>
          <w:lang w:val="en-US"/>
        </w:rPr>
        <w:t>1</w:t>
      </w:r>
      <w:r w:rsidR="001B2ECD" w:rsidRPr="00D869E3">
        <w:rPr>
          <w:rFonts w:ascii="Verdana" w:hAnsi="Verdana"/>
          <w:sz w:val="20"/>
          <w:szCs w:val="20"/>
          <w:lang w:val="en-US"/>
        </w:rPr>
        <w:t xml:space="preserve"> </w:t>
      </w:r>
      <w:r w:rsidRPr="00D869E3">
        <w:rPr>
          <w:rFonts w:ascii="Verdana" w:hAnsi="Verdana"/>
          <w:sz w:val="20"/>
          <w:szCs w:val="20"/>
          <w:lang w:val="en-US"/>
        </w:rPr>
        <w:t>the</w:t>
      </w:r>
      <w:r w:rsidR="001B2ECD" w:rsidRPr="00D869E3">
        <w:rPr>
          <w:rFonts w:ascii="Verdana" w:hAnsi="Verdana"/>
          <w:sz w:val="20"/>
          <w:szCs w:val="20"/>
          <w:lang w:val="en-US"/>
        </w:rPr>
        <w:t xml:space="preserve"> </w:t>
      </w:r>
      <w:r w:rsidRPr="00D869E3">
        <w:rPr>
          <w:rFonts w:ascii="Verdana" w:hAnsi="Verdana"/>
          <w:sz w:val="20"/>
          <w:szCs w:val="20"/>
          <w:lang w:val="en-US"/>
        </w:rPr>
        <w:t>j</w:t>
      </w:r>
      <w:r w:rsidR="00447C65" w:rsidRPr="00D869E3">
        <w:rPr>
          <w:rFonts w:ascii="Verdana" w:hAnsi="Verdana"/>
          <w:sz w:val="20"/>
          <w:szCs w:val="20"/>
          <w:lang w:val="en-US"/>
        </w:rPr>
        <w:t>udge</w:t>
      </w:r>
      <w:r w:rsidR="001B2ECD" w:rsidRPr="00D869E3">
        <w:rPr>
          <w:rFonts w:ascii="Verdana" w:hAnsi="Verdana"/>
          <w:sz w:val="20"/>
          <w:szCs w:val="20"/>
          <w:lang w:val="en-US"/>
        </w:rPr>
        <w:t xml:space="preserve"> </w:t>
      </w:r>
      <w:r w:rsidR="00E85F6A" w:rsidRPr="00D869E3">
        <w:rPr>
          <w:rFonts w:ascii="Verdana" w:hAnsi="Verdana"/>
          <w:sz w:val="20"/>
          <w:szCs w:val="20"/>
          <w:lang w:val="en-US"/>
        </w:rPr>
        <w:t xml:space="preserve">ruled </w:t>
      </w:r>
      <w:r w:rsidRPr="00D869E3">
        <w:rPr>
          <w:rFonts w:ascii="Verdana" w:hAnsi="Verdana"/>
          <w:sz w:val="20"/>
          <w:szCs w:val="20"/>
          <w:lang w:val="en-US"/>
        </w:rPr>
        <w:t>that the dismissal was “unlawful and unjustified,</w:t>
      </w:r>
      <w:r w:rsidR="006436CA" w:rsidRPr="00D869E3">
        <w:rPr>
          <w:rFonts w:ascii="Verdana" w:hAnsi="Verdana"/>
          <w:sz w:val="20"/>
          <w:szCs w:val="20"/>
          <w:lang w:val="en-US"/>
        </w:rPr>
        <w:t>”</w:t>
      </w:r>
      <w:r w:rsidR="001B2ECD" w:rsidRPr="00D869E3">
        <w:rPr>
          <w:rFonts w:ascii="Verdana" w:hAnsi="Verdana"/>
          <w:sz w:val="20"/>
          <w:szCs w:val="20"/>
          <w:vertAlign w:val="superscript"/>
          <w:lang w:val="en-US"/>
        </w:rPr>
        <w:footnoteReference w:id="77"/>
      </w:r>
      <w:r w:rsidRPr="00D869E3">
        <w:rPr>
          <w:rFonts w:ascii="Verdana" w:hAnsi="Verdana"/>
          <w:sz w:val="20"/>
          <w:szCs w:val="20"/>
          <w:lang w:val="en-US"/>
        </w:rPr>
        <w:t xml:space="preserve"> considering that for a dismissal to be admissible, the law required that the serious offense attributed to an employee must be duly prove</w:t>
      </w:r>
      <w:r w:rsidR="007472EE" w:rsidRPr="00D869E3">
        <w:rPr>
          <w:rFonts w:ascii="Verdana" w:hAnsi="Verdana"/>
          <w:sz w:val="20"/>
          <w:szCs w:val="20"/>
          <w:lang w:val="en-US"/>
        </w:rPr>
        <w:t>n</w:t>
      </w:r>
      <w:r w:rsidRPr="00D869E3">
        <w:rPr>
          <w:rFonts w:ascii="Verdana" w:hAnsi="Verdana"/>
          <w:sz w:val="20"/>
          <w:szCs w:val="20"/>
          <w:lang w:val="en-US"/>
        </w:rPr>
        <w:t xml:space="preserve">. In this regard, he considered that the dismissal was based on an article published in a </w:t>
      </w:r>
      <w:r w:rsidR="00364D8A" w:rsidRPr="00D869E3">
        <w:rPr>
          <w:rFonts w:ascii="Verdana" w:hAnsi="Verdana"/>
          <w:sz w:val="20"/>
          <w:szCs w:val="20"/>
          <w:lang w:val="en-US"/>
        </w:rPr>
        <w:t>newspaper</w:t>
      </w:r>
      <w:r w:rsidRPr="00D869E3">
        <w:rPr>
          <w:rFonts w:ascii="Verdana" w:hAnsi="Verdana"/>
          <w:sz w:val="20"/>
          <w:szCs w:val="20"/>
          <w:lang w:val="en-US"/>
        </w:rPr>
        <w:t xml:space="preserve"> </w:t>
      </w:r>
      <w:r w:rsidR="007472EE" w:rsidRPr="00D869E3">
        <w:rPr>
          <w:rFonts w:ascii="Verdana" w:hAnsi="Verdana"/>
          <w:sz w:val="20"/>
          <w:szCs w:val="20"/>
          <w:lang w:val="en-US"/>
        </w:rPr>
        <w:t xml:space="preserve">without it being reliably </w:t>
      </w:r>
      <w:r w:rsidR="00364D8A" w:rsidRPr="00D869E3">
        <w:rPr>
          <w:rFonts w:ascii="Verdana" w:hAnsi="Verdana"/>
          <w:sz w:val="20"/>
          <w:szCs w:val="20"/>
          <w:lang w:val="en-US"/>
        </w:rPr>
        <w:t>proved</w:t>
      </w:r>
      <w:r w:rsidR="007472EE" w:rsidRPr="00D869E3">
        <w:rPr>
          <w:rFonts w:ascii="Verdana" w:hAnsi="Verdana"/>
          <w:sz w:val="20"/>
          <w:szCs w:val="20"/>
          <w:lang w:val="en-US"/>
        </w:rPr>
        <w:t xml:space="preserve"> by the representatives of the respondent company that the “defamatory words” could in fact be attributed to the worker. In addition, the judge held that the statements contained in the article did not refer to individual persons, and therefore no members of the company had been directly wronged.</w:t>
      </w:r>
    </w:p>
    <w:p w14:paraId="03B9D241" w14:textId="77777777" w:rsidR="00275EDE" w:rsidRPr="00D869E3" w:rsidRDefault="00275EDE" w:rsidP="00333304">
      <w:pPr>
        <w:pStyle w:val="Prrafodelista"/>
        <w:ind w:left="0"/>
        <w:jc w:val="both"/>
        <w:rPr>
          <w:rFonts w:ascii="Verdana" w:hAnsi="Verdana"/>
          <w:sz w:val="20"/>
          <w:szCs w:val="20"/>
          <w:lang w:val="en-US"/>
        </w:rPr>
      </w:pPr>
    </w:p>
    <w:p w14:paraId="70DBE44B" w14:textId="65558636" w:rsidR="00275EDE" w:rsidRPr="00D869E3" w:rsidRDefault="003506CC" w:rsidP="007472EE">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lastRenderedPageBreak/>
        <w:t>On June 25,</w:t>
      </w:r>
      <w:r w:rsidR="001B2ECD" w:rsidRPr="00D869E3">
        <w:rPr>
          <w:rFonts w:ascii="Verdana" w:hAnsi="Verdana"/>
          <w:sz w:val="20"/>
          <w:szCs w:val="20"/>
          <w:lang w:val="en-US"/>
        </w:rPr>
        <w:t xml:space="preserve"> 1991</w:t>
      </w:r>
      <w:r w:rsidRPr="00D869E3">
        <w:rPr>
          <w:rFonts w:ascii="Verdana" w:hAnsi="Verdana"/>
          <w:sz w:val="20"/>
          <w:szCs w:val="20"/>
          <w:lang w:val="en-US"/>
        </w:rPr>
        <w:t>, the company filed an appeal against the decision of</w:t>
      </w:r>
      <w:r w:rsidR="001B2ECD" w:rsidRPr="00D869E3">
        <w:rPr>
          <w:rFonts w:ascii="Verdana" w:hAnsi="Verdana"/>
          <w:sz w:val="20"/>
          <w:szCs w:val="20"/>
          <w:lang w:val="en-US"/>
        </w:rPr>
        <w:t xml:space="preserve"> </w:t>
      </w:r>
      <w:r w:rsidRPr="00D869E3">
        <w:rPr>
          <w:rFonts w:ascii="Verdana" w:hAnsi="Verdana"/>
          <w:sz w:val="20"/>
          <w:szCs w:val="20"/>
          <w:lang w:val="en-US"/>
        </w:rPr>
        <w:t>the Fifteenth Labor Court</w:t>
      </w:r>
      <w:r w:rsidR="00D20A28" w:rsidRPr="00D869E3">
        <w:rPr>
          <w:rFonts w:ascii="Verdana" w:hAnsi="Verdana"/>
          <w:sz w:val="20"/>
          <w:szCs w:val="20"/>
          <w:lang w:val="en-US"/>
        </w:rPr>
        <w:t>.</w:t>
      </w:r>
      <w:r w:rsidR="001B2ECD" w:rsidRPr="00D869E3">
        <w:rPr>
          <w:rFonts w:ascii="Verdana" w:hAnsi="Verdana"/>
          <w:sz w:val="20"/>
          <w:szCs w:val="20"/>
          <w:lang w:val="en-US"/>
        </w:rPr>
        <w:t xml:space="preserve"> </w:t>
      </w:r>
      <w:r w:rsidR="007472EE" w:rsidRPr="00D869E3">
        <w:rPr>
          <w:rFonts w:ascii="Verdana" w:hAnsi="Verdana"/>
          <w:sz w:val="20"/>
          <w:szCs w:val="20"/>
          <w:lang w:val="en-US"/>
        </w:rPr>
        <w:t>In response, Mr.</w:t>
      </w:r>
      <w:r w:rsidR="001B2ECD" w:rsidRPr="00D869E3">
        <w:rPr>
          <w:rFonts w:ascii="Verdana" w:hAnsi="Verdana"/>
          <w:sz w:val="20"/>
          <w:szCs w:val="20"/>
          <w:lang w:val="en-US"/>
        </w:rPr>
        <w:t xml:space="preserve"> Lagos del Campo </w:t>
      </w:r>
      <w:r w:rsidR="007472EE" w:rsidRPr="00D869E3">
        <w:rPr>
          <w:rFonts w:ascii="Verdana" w:hAnsi="Verdana"/>
          <w:sz w:val="20"/>
          <w:szCs w:val="20"/>
          <w:lang w:val="en-US"/>
        </w:rPr>
        <w:t>filed a</w:t>
      </w:r>
      <w:r w:rsidRPr="00D869E3">
        <w:rPr>
          <w:rFonts w:ascii="Verdana" w:hAnsi="Verdana"/>
          <w:sz w:val="20"/>
          <w:szCs w:val="20"/>
          <w:lang w:val="en-US"/>
        </w:rPr>
        <w:t xml:space="preserve"> brief on August 1, </w:t>
      </w:r>
      <w:r w:rsidR="001B2ECD" w:rsidRPr="00D869E3">
        <w:rPr>
          <w:rFonts w:ascii="Verdana" w:hAnsi="Verdana"/>
          <w:color w:val="000000"/>
          <w:sz w:val="20"/>
          <w:szCs w:val="20"/>
          <w:lang w:val="en-US"/>
        </w:rPr>
        <w:t>1991</w:t>
      </w:r>
      <w:r w:rsidRPr="00D869E3">
        <w:rPr>
          <w:rFonts w:ascii="Verdana" w:hAnsi="Verdana"/>
          <w:color w:val="000000"/>
          <w:sz w:val="20"/>
          <w:szCs w:val="20"/>
          <w:lang w:val="en-US"/>
        </w:rPr>
        <w:t>,</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in which he refuted the arguments submitted by Ceper-Pirelli; however, this brief was processed by the Labor Court after it had delivered judgment.</w:t>
      </w:r>
      <w:r w:rsidR="001B2ECD" w:rsidRPr="00D869E3">
        <w:rPr>
          <w:rFonts w:ascii="Verdana" w:hAnsi="Verdana"/>
          <w:color w:val="000000"/>
          <w:sz w:val="20"/>
          <w:szCs w:val="20"/>
          <w:vertAlign w:val="superscript"/>
          <w:lang w:val="en-US"/>
        </w:rPr>
        <w:footnoteReference w:id="78"/>
      </w:r>
      <w:r w:rsidR="001B2ECD" w:rsidRPr="00D869E3">
        <w:rPr>
          <w:rFonts w:ascii="Verdana" w:hAnsi="Verdana"/>
          <w:color w:val="000000"/>
          <w:sz w:val="20"/>
          <w:szCs w:val="20"/>
          <w:lang w:val="en-US"/>
        </w:rPr>
        <w:t xml:space="preserve"> </w:t>
      </w:r>
      <w:r w:rsidR="00D03B66" w:rsidRPr="00D869E3">
        <w:rPr>
          <w:rFonts w:ascii="Verdana" w:hAnsi="Verdana"/>
          <w:color w:val="000000"/>
          <w:sz w:val="20"/>
          <w:szCs w:val="20"/>
          <w:lang w:val="en-US"/>
        </w:rPr>
        <w:t>Thus, i</w:t>
      </w:r>
      <w:r w:rsidR="007472EE" w:rsidRPr="00D869E3">
        <w:rPr>
          <w:rFonts w:ascii="Verdana" w:hAnsi="Verdana"/>
          <w:color w:val="000000"/>
          <w:sz w:val="20"/>
          <w:szCs w:val="20"/>
          <w:lang w:val="en-US"/>
        </w:rPr>
        <w:t>n a</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j</w:t>
      </w:r>
      <w:r w:rsidR="00447C65" w:rsidRPr="00D869E3">
        <w:rPr>
          <w:rFonts w:ascii="Verdana" w:hAnsi="Verdana"/>
          <w:color w:val="000000"/>
          <w:sz w:val="20"/>
          <w:szCs w:val="20"/>
          <w:lang w:val="en-US"/>
        </w:rPr>
        <w:t>udgment of</w:t>
      </w:r>
      <w:r w:rsidR="001B2ECD" w:rsidRPr="00D869E3">
        <w:rPr>
          <w:rFonts w:ascii="Verdana" w:hAnsi="Verdana"/>
          <w:color w:val="000000"/>
          <w:sz w:val="20"/>
          <w:szCs w:val="20"/>
          <w:lang w:val="en-US"/>
        </w:rPr>
        <w:t xml:space="preserve"> </w:t>
      </w:r>
      <w:r w:rsidRPr="00D869E3">
        <w:rPr>
          <w:rFonts w:ascii="Verdana" w:hAnsi="Verdana"/>
          <w:color w:val="000000"/>
          <w:sz w:val="20"/>
          <w:szCs w:val="20"/>
          <w:lang w:val="en-US"/>
        </w:rPr>
        <w:t>August 8,</w:t>
      </w:r>
      <w:r w:rsidR="001B2ECD" w:rsidRPr="00D869E3">
        <w:rPr>
          <w:rFonts w:ascii="Verdana" w:hAnsi="Verdana"/>
          <w:color w:val="000000"/>
          <w:sz w:val="20"/>
          <w:szCs w:val="20"/>
          <w:lang w:val="en-US"/>
        </w:rPr>
        <w:t xml:space="preserve"> 1991</w:t>
      </w:r>
      <w:r w:rsidRPr="00D869E3">
        <w:rPr>
          <w:rFonts w:ascii="Verdana" w:hAnsi="Verdana"/>
          <w:color w:val="000000"/>
          <w:sz w:val="20"/>
          <w:szCs w:val="20"/>
          <w:lang w:val="en-US"/>
        </w:rPr>
        <w:t>,</w:t>
      </w:r>
      <w:r w:rsidR="001B2ECD" w:rsidRPr="00D869E3">
        <w:rPr>
          <w:rFonts w:ascii="Verdana" w:hAnsi="Verdana"/>
          <w:color w:val="000000"/>
          <w:sz w:val="20"/>
          <w:szCs w:val="20"/>
          <w:lang w:val="en-US"/>
        </w:rPr>
        <w:t xml:space="preserve"> </w:t>
      </w:r>
      <w:r w:rsidRPr="00D869E3">
        <w:rPr>
          <w:rFonts w:ascii="Verdana" w:hAnsi="Verdana"/>
          <w:color w:val="000000"/>
          <w:sz w:val="20"/>
          <w:szCs w:val="20"/>
          <w:lang w:val="en-US"/>
        </w:rPr>
        <w:t>the Second Court</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reversed the lower court’s decision and, consequently, classified the dismissal as</w:t>
      </w:r>
      <w:r w:rsidR="001B2ECD" w:rsidRPr="00D869E3">
        <w:rPr>
          <w:rFonts w:ascii="Verdana" w:hAnsi="Verdana"/>
          <w:color w:val="000000"/>
          <w:sz w:val="20"/>
          <w:szCs w:val="20"/>
          <w:lang w:val="en-US"/>
        </w:rPr>
        <w:t xml:space="preserve"> </w:t>
      </w:r>
      <w:r w:rsidR="006436CA" w:rsidRPr="00D869E3">
        <w:rPr>
          <w:rFonts w:ascii="Verdana" w:hAnsi="Verdana"/>
          <w:color w:val="000000"/>
          <w:sz w:val="20"/>
          <w:szCs w:val="20"/>
          <w:lang w:val="en-US"/>
        </w:rPr>
        <w:t>“</w:t>
      </w:r>
      <w:r w:rsidR="001B2ECD" w:rsidRPr="00D869E3">
        <w:rPr>
          <w:rFonts w:ascii="Verdana" w:hAnsi="Verdana"/>
          <w:color w:val="000000"/>
          <w:sz w:val="20"/>
          <w:szCs w:val="20"/>
          <w:lang w:val="en-US"/>
        </w:rPr>
        <w:t>legal</w:t>
      </w:r>
      <w:r w:rsidR="00687684" w:rsidRPr="00D869E3">
        <w:rPr>
          <w:rFonts w:ascii="Verdana" w:hAnsi="Verdana"/>
          <w:color w:val="000000"/>
          <w:sz w:val="20"/>
          <w:szCs w:val="20"/>
          <w:lang w:val="en-US"/>
        </w:rPr>
        <w:t xml:space="preserve"> and </w:t>
      </w:r>
      <w:r w:rsidR="001B2ECD" w:rsidRPr="00D869E3">
        <w:rPr>
          <w:rFonts w:ascii="Verdana" w:hAnsi="Verdana"/>
          <w:color w:val="000000"/>
          <w:sz w:val="20"/>
          <w:szCs w:val="20"/>
          <w:lang w:val="en-US"/>
        </w:rPr>
        <w:t>justifi</w:t>
      </w:r>
      <w:r w:rsidR="007472EE" w:rsidRPr="00D869E3">
        <w:rPr>
          <w:rFonts w:ascii="Verdana" w:hAnsi="Verdana"/>
          <w:color w:val="000000"/>
          <w:sz w:val="20"/>
          <w:szCs w:val="20"/>
          <w:lang w:val="en-US"/>
        </w:rPr>
        <w:t>ed.</w:t>
      </w:r>
      <w:r w:rsidR="006436CA" w:rsidRPr="00D869E3">
        <w:rPr>
          <w:rFonts w:ascii="Verdana" w:hAnsi="Verdana"/>
          <w:color w:val="000000"/>
          <w:sz w:val="20"/>
          <w:szCs w:val="20"/>
          <w:lang w:val="en-US"/>
        </w:rPr>
        <w:t>”</w:t>
      </w:r>
      <w:r w:rsidR="001B2ECD" w:rsidRPr="00D869E3">
        <w:rPr>
          <w:rFonts w:ascii="Verdana" w:hAnsi="Verdana"/>
          <w:color w:val="000000"/>
          <w:sz w:val="20"/>
          <w:szCs w:val="20"/>
          <w:vertAlign w:val="superscript"/>
          <w:lang w:val="en-US"/>
        </w:rPr>
        <w:footnoteReference w:id="79"/>
      </w:r>
      <w:r w:rsidR="001B2ECD"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w:t>
      </w:r>
      <w:r w:rsidR="00D03B66" w:rsidRPr="00D869E3">
        <w:rPr>
          <w:rFonts w:ascii="Verdana" w:hAnsi="Verdana"/>
          <w:color w:val="000000"/>
          <w:sz w:val="20"/>
          <w:szCs w:val="20"/>
          <w:lang w:val="en-US"/>
        </w:rPr>
        <w:t>at c</w:t>
      </w:r>
      <w:r w:rsidR="00447C65" w:rsidRPr="00D869E3">
        <w:rPr>
          <w:rFonts w:ascii="Verdana" w:hAnsi="Verdana"/>
          <w:color w:val="000000"/>
          <w:sz w:val="20"/>
          <w:szCs w:val="20"/>
          <w:lang w:val="en-US"/>
        </w:rPr>
        <w:t>ourt</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found that the statements made by</w:t>
      </w:r>
      <w:r w:rsidR="001B2ECD" w:rsidRPr="00D869E3">
        <w:rPr>
          <w:rFonts w:ascii="Verdana" w:hAnsi="Verdana"/>
          <w:color w:val="000000"/>
          <w:sz w:val="20"/>
          <w:szCs w:val="20"/>
          <w:lang w:val="en-US"/>
        </w:rPr>
        <w:t xml:space="preserve"> </w:t>
      </w:r>
      <w:r w:rsidR="001E44D3" w:rsidRPr="00D869E3">
        <w:rPr>
          <w:rFonts w:ascii="Verdana" w:hAnsi="Verdana"/>
          <w:color w:val="000000"/>
          <w:sz w:val="20"/>
          <w:szCs w:val="20"/>
          <w:lang w:val="en-US"/>
        </w:rPr>
        <w:t>Mr. Lagos del Campo</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 xml:space="preserve">constituted “serious insubordination or a serious </w:t>
      </w:r>
      <w:r w:rsidR="00DD43AD" w:rsidRPr="00D869E3">
        <w:rPr>
          <w:rFonts w:ascii="Verdana" w:hAnsi="Verdana"/>
          <w:color w:val="000000"/>
          <w:sz w:val="20"/>
          <w:szCs w:val="20"/>
          <w:lang w:val="en-US"/>
        </w:rPr>
        <w:t>verbal offense</w:t>
      </w:r>
      <w:r w:rsidR="001B2ECD" w:rsidRPr="00D869E3">
        <w:rPr>
          <w:rFonts w:ascii="Verdana" w:hAnsi="Verdana"/>
          <w:color w:val="000000"/>
          <w:sz w:val="20"/>
          <w:szCs w:val="20"/>
          <w:lang w:val="en-US"/>
        </w:rPr>
        <w:t xml:space="preserve"> </w:t>
      </w:r>
      <w:r w:rsidR="007472EE" w:rsidRPr="00D869E3">
        <w:rPr>
          <w:rFonts w:ascii="Verdana" w:hAnsi="Verdana"/>
          <w:color w:val="000000"/>
          <w:sz w:val="20"/>
          <w:szCs w:val="20"/>
          <w:lang w:val="en-US"/>
        </w:rPr>
        <w:t>against the employer” and that</w:t>
      </w:r>
      <w:r w:rsidR="001B2ECD" w:rsidRPr="00D869E3">
        <w:rPr>
          <w:rFonts w:ascii="Verdana" w:hAnsi="Verdana"/>
          <w:sz w:val="20"/>
          <w:szCs w:val="20"/>
          <w:lang w:val="en-US"/>
        </w:rPr>
        <w:t xml:space="preserve"> </w:t>
      </w:r>
      <w:r w:rsidR="006436CA" w:rsidRPr="00D869E3">
        <w:rPr>
          <w:rFonts w:ascii="Verdana" w:hAnsi="Verdana"/>
          <w:sz w:val="20"/>
          <w:szCs w:val="20"/>
          <w:lang w:val="en-US"/>
        </w:rPr>
        <w:t>“</w:t>
      </w:r>
      <w:r w:rsidR="007472EE" w:rsidRPr="00D869E3">
        <w:rPr>
          <w:rFonts w:ascii="Verdana" w:hAnsi="Verdana"/>
          <w:sz w:val="20"/>
          <w:szCs w:val="20"/>
          <w:lang w:val="en-US"/>
        </w:rPr>
        <w:t>the</w:t>
      </w:r>
      <w:r w:rsidR="001B2ECD" w:rsidRPr="00D869E3">
        <w:rPr>
          <w:rFonts w:ascii="Verdana" w:hAnsi="Verdana"/>
          <w:sz w:val="20"/>
          <w:szCs w:val="20"/>
          <w:lang w:val="en-US"/>
        </w:rPr>
        <w:t xml:space="preserve"> </w:t>
      </w:r>
      <w:r w:rsidR="007472EE" w:rsidRPr="00D869E3">
        <w:rPr>
          <w:rFonts w:ascii="Verdana" w:hAnsi="Verdana"/>
          <w:sz w:val="20"/>
          <w:szCs w:val="20"/>
          <w:lang w:val="en-US"/>
        </w:rPr>
        <w:t xml:space="preserve">State’s Constitution guarantees </w:t>
      </w:r>
      <w:r w:rsidR="00A62EA8" w:rsidRPr="00D869E3">
        <w:rPr>
          <w:rFonts w:ascii="Verdana" w:hAnsi="Verdana"/>
          <w:sz w:val="20"/>
          <w:szCs w:val="20"/>
          <w:lang w:val="en-US"/>
        </w:rPr>
        <w:t>freedom of expression</w:t>
      </w:r>
      <w:r w:rsidR="001B2ECD" w:rsidRPr="00D869E3">
        <w:rPr>
          <w:rFonts w:ascii="Verdana" w:hAnsi="Verdana"/>
          <w:sz w:val="20"/>
          <w:szCs w:val="20"/>
          <w:lang w:val="en-US"/>
        </w:rPr>
        <w:t xml:space="preserve">, </w:t>
      </w:r>
      <w:r w:rsidR="007472EE" w:rsidRPr="00D869E3">
        <w:rPr>
          <w:rFonts w:ascii="Verdana" w:hAnsi="Verdana"/>
          <w:sz w:val="20"/>
          <w:szCs w:val="20"/>
          <w:lang w:val="en-US"/>
        </w:rPr>
        <w:t>but not to insult the honor and dignity of senior personnel of the employer company.</w:t>
      </w:r>
      <w:r w:rsidR="006436CA" w:rsidRPr="00D869E3">
        <w:rPr>
          <w:rFonts w:ascii="Verdana" w:hAnsi="Verdana"/>
          <w:sz w:val="20"/>
          <w:szCs w:val="20"/>
          <w:lang w:val="en-US"/>
        </w:rPr>
        <w:t>”</w:t>
      </w:r>
      <w:r w:rsidR="001B2ECD" w:rsidRPr="00D869E3">
        <w:rPr>
          <w:rFonts w:ascii="Verdana" w:hAnsi="Verdana"/>
          <w:sz w:val="20"/>
          <w:szCs w:val="20"/>
          <w:vertAlign w:val="superscript"/>
          <w:lang w:val="en-US"/>
        </w:rPr>
        <w:footnoteReference w:id="80"/>
      </w:r>
      <w:r w:rsidR="00275EDE" w:rsidRPr="00D869E3">
        <w:rPr>
          <w:rFonts w:ascii="Verdana" w:hAnsi="Verdana"/>
          <w:color w:val="000000"/>
          <w:sz w:val="20"/>
          <w:szCs w:val="20"/>
          <w:lang w:val="en-US"/>
        </w:rPr>
        <w:t xml:space="preserve"> </w:t>
      </w:r>
    </w:p>
    <w:p w14:paraId="3ED1FD4B" w14:textId="77777777" w:rsidR="00275EDE" w:rsidRPr="00D869E3" w:rsidRDefault="00275EDE" w:rsidP="009C6F8E">
      <w:pPr>
        <w:jc w:val="both"/>
        <w:rPr>
          <w:rFonts w:ascii="Verdana" w:hAnsi="Verdana"/>
          <w:b/>
          <w:sz w:val="20"/>
          <w:szCs w:val="20"/>
          <w:lang w:val="en-US"/>
        </w:rPr>
      </w:pPr>
    </w:p>
    <w:p w14:paraId="11005C3B" w14:textId="552F2936" w:rsidR="007A6FDA" w:rsidRPr="00D869E3" w:rsidRDefault="003506CC"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August 26,</w:t>
      </w:r>
      <w:r w:rsidR="007A6FDA" w:rsidRPr="00D869E3">
        <w:rPr>
          <w:rFonts w:ascii="Verdana" w:hAnsi="Verdana"/>
          <w:sz w:val="20"/>
          <w:szCs w:val="20"/>
          <w:lang w:val="en-US"/>
        </w:rPr>
        <w:t xml:space="preserve"> 1991</w:t>
      </w:r>
      <w:r w:rsidRPr="00D869E3">
        <w:rPr>
          <w:rFonts w:ascii="Verdana" w:hAnsi="Verdana"/>
          <w:sz w:val="20"/>
          <w:szCs w:val="20"/>
          <w:lang w:val="en-US"/>
        </w:rPr>
        <w:t>,</w:t>
      </w:r>
      <w:r w:rsidR="007A6FDA"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00DB128C" w:rsidRPr="00D869E3">
        <w:rPr>
          <w:rFonts w:ascii="Verdana" w:hAnsi="Verdana"/>
          <w:sz w:val="20"/>
          <w:szCs w:val="20"/>
          <w:lang w:val="en-US"/>
        </w:rPr>
        <w:t>filed a</w:t>
      </w:r>
      <w:r w:rsidR="003B7C84" w:rsidRPr="00D869E3">
        <w:rPr>
          <w:rFonts w:ascii="Verdana" w:hAnsi="Verdana"/>
          <w:sz w:val="20"/>
          <w:szCs w:val="20"/>
          <w:lang w:val="en-US"/>
        </w:rPr>
        <w:t xml:space="preserve"> motion </w:t>
      </w:r>
      <w:r w:rsidR="00DB128C" w:rsidRPr="00D869E3">
        <w:rPr>
          <w:rFonts w:ascii="Verdana" w:hAnsi="Verdana"/>
          <w:sz w:val="20"/>
          <w:szCs w:val="20"/>
          <w:lang w:val="en-US"/>
        </w:rPr>
        <w:t>for</w:t>
      </w:r>
      <w:r w:rsidR="007A6FDA" w:rsidRPr="00D869E3">
        <w:rPr>
          <w:rFonts w:ascii="Verdana" w:hAnsi="Verdana"/>
          <w:sz w:val="20"/>
          <w:szCs w:val="20"/>
          <w:lang w:val="en-US"/>
        </w:rPr>
        <w:t xml:space="preserve"> </w:t>
      </w:r>
      <w:r w:rsidR="006436CA" w:rsidRPr="00D869E3">
        <w:rPr>
          <w:rFonts w:ascii="Verdana" w:hAnsi="Verdana"/>
          <w:sz w:val="20"/>
          <w:szCs w:val="20"/>
          <w:lang w:val="en-US"/>
        </w:rPr>
        <w:t>“</w:t>
      </w:r>
      <w:r w:rsidR="007A6FDA" w:rsidRPr="00D869E3">
        <w:rPr>
          <w:rFonts w:ascii="Verdana" w:hAnsi="Verdana"/>
          <w:sz w:val="20"/>
          <w:szCs w:val="20"/>
          <w:lang w:val="en-US"/>
        </w:rPr>
        <w:t>revi</w:t>
      </w:r>
      <w:r w:rsidR="00DB128C" w:rsidRPr="00D869E3">
        <w:rPr>
          <w:rFonts w:ascii="Verdana" w:hAnsi="Verdana"/>
          <w:sz w:val="20"/>
          <w:szCs w:val="20"/>
          <w:lang w:val="en-US"/>
        </w:rPr>
        <w:t>ew</w:t>
      </w:r>
      <w:r w:rsidR="00687684" w:rsidRPr="00D869E3">
        <w:rPr>
          <w:rFonts w:ascii="Verdana" w:hAnsi="Verdana"/>
          <w:sz w:val="20"/>
          <w:szCs w:val="20"/>
          <w:lang w:val="en-US"/>
        </w:rPr>
        <w:t xml:space="preserve"> and </w:t>
      </w:r>
      <w:r w:rsidR="007A6FDA" w:rsidRPr="00D869E3">
        <w:rPr>
          <w:rFonts w:ascii="Verdana" w:hAnsi="Verdana"/>
          <w:sz w:val="20"/>
          <w:szCs w:val="20"/>
          <w:lang w:val="en-US"/>
        </w:rPr>
        <w:t>reconsider</w:t>
      </w:r>
      <w:r w:rsidR="00DB128C" w:rsidRPr="00D869E3">
        <w:rPr>
          <w:rFonts w:ascii="Verdana" w:hAnsi="Verdana"/>
          <w:sz w:val="20"/>
          <w:szCs w:val="20"/>
          <w:lang w:val="en-US"/>
        </w:rPr>
        <w:t>atio</w:t>
      </w:r>
      <w:r w:rsidR="007A6FDA" w:rsidRPr="00D869E3">
        <w:rPr>
          <w:rFonts w:ascii="Verdana" w:hAnsi="Verdana"/>
          <w:sz w:val="20"/>
          <w:szCs w:val="20"/>
          <w:lang w:val="en-US"/>
        </w:rPr>
        <w:t>n</w:t>
      </w:r>
      <w:r w:rsidR="006436CA" w:rsidRPr="00D869E3">
        <w:rPr>
          <w:rFonts w:ascii="Verdana" w:hAnsi="Verdana"/>
          <w:sz w:val="20"/>
          <w:szCs w:val="20"/>
          <w:lang w:val="en-US"/>
        </w:rPr>
        <w:t>”</w:t>
      </w:r>
      <w:r w:rsidR="007A6FDA" w:rsidRPr="00D869E3">
        <w:rPr>
          <w:rFonts w:ascii="Verdana" w:hAnsi="Verdana"/>
          <w:sz w:val="20"/>
          <w:szCs w:val="20"/>
          <w:lang w:val="en-US"/>
        </w:rPr>
        <w:t xml:space="preserve"> </w:t>
      </w:r>
      <w:r w:rsidR="00DB128C" w:rsidRPr="00D869E3">
        <w:rPr>
          <w:rFonts w:ascii="Verdana" w:hAnsi="Verdana"/>
          <w:sz w:val="20"/>
          <w:szCs w:val="20"/>
          <w:lang w:val="en-US"/>
        </w:rPr>
        <w:t>before</w:t>
      </w:r>
      <w:r w:rsidR="007A6FDA" w:rsidRPr="00D869E3">
        <w:rPr>
          <w:rFonts w:ascii="Verdana" w:hAnsi="Verdana"/>
          <w:sz w:val="20"/>
          <w:szCs w:val="20"/>
          <w:lang w:val="en-US"/>
        </w:rPr>
        <w:t xml:space="preserve"> </w:t>
      </w:r>
      <w:r w:rsidRPr="00D869E3">
        <w:rPr>
          <w:rFonts w:ascii="Verdana" w:hAnsi="Verdana"/>
          <w:sz w:val="20"/>
          <w:szCs w:val="20"/>
          <w:lang w:val="en-US"/>
        </w:rPr>
        <w:t>the Second Labor Court of Lima</w:t>
      </w:r>
      <w:r w:rsidR="007A6FDA" w:rsidRPr="00D869E3">
        <w:rPr>
          <w:rFonts w:ascii="Verdana" w:hAnsi="Verdana"/>
          <w:sz w:val="20"/>
          <w:szCs w:val="20"/>
          <w:lang w:val="en-US"/>
        </w:rPr>
        <w:t xml:space="preserve">, </w:t>
      </w:r>
      <w:r w:rsidR="00D03B66" w:rsidRPr="00D869E3">
        <w:rPr>
          <w:rFonts w:ascii="Verdana" w:hAnsi="Verdana"/>
          <w:sz w:val="20"/>
          <w:szCs w:val="20"/>
          <w:lang w:val="en-US"/>
        </w:rPr>
        <w:t>but this</w:t>
      </w:r>
      <w:r w:rsidR="00DB128C" w:rsidRPr="00D869E3">
        <w:rPr>
          <w:rFonts w:ascii="Verdana" w:hAnsi="Verdana"/>
          <w:sz w:val="20"/>
          <w:szCs w:val="20"/>
          <w:lang w:val="en-US"/>
        </w:rPr>
        <w:t xml:space="preserve"> was declared inadmissible on August </w:t>
      </w:r>
      <w:r w:rsidR="007A6FDA" w:rsidRPr="00D869E3">
        <w:rPr>
          <w:rFonts w:ascii="Verdana" w:hAnsi="Verdana"/>
          <w:sz w:val="20"/>
          <w:szCs w:val="20"/>
          <w:lang w:val="en-US"/>
        </w:rPr>
        <w:t>27</w:t>
      </w:r>
      <w:r w:rsidR="00DB128C" w:rsidRPr="00D869E3">
        <w:rPr>
          <w:rFonts w:ascii="Verdana" w:hAnsi="Verdana"/>
          <w:sz w:val="20"/>
          <w:szCs w:val="20"/>
          <w:lang w:val="en-US"/>
        </w:rPr>
        <w:t xml:space="preserve">, </w:t>
      </w:r>
      <w:r w:rsidR="007A6FDA" w:rsidRPr="00D869E3">
        <w:rPr>
          <w:rFonts w:ascii="Verdana" w:hAnsi="Verdana"/>
          <w:sz w:val="20"/>
          <w:szCs w:val="20"/>
          <w:lang w:val="en-US"/>
        </w:rPr>
        <w:t>1991</w:t>
      </w:r>
      <w:r w:rsidR="00DB128C" w:rsidRPr="00D869E3">
        <w:rPr>
          <w:rFonts w:ascii="Verdana" w:hAnsi="Verdana"/>
          <w:sz w:val="20"/>
          <w:szCs w:val="20"/>
          <w:lang w:val="en-US"/>
        </w:rPr>
        <w:t>.</w:t>
      </w:r>
      <w:r w:rsidR="007A6FDA" w:rsidRPr="00D869E3">
        <w:rPr>
          <w:rFonts w:ascii="Verdana" w:hAnsi="Verdana"/>
          <w:sz w:val="20"/>
          <w:szCs w:val="20"/>
          <w:vertAlign w:val="superscript"/>
          <w:lang w:val="en-US"/>
        </w:rPr>
        <w:footnoteReference w:id="81"/>
      </w:r>
      <w:r w:rsidR="007A6FDA" w:rsidRPr="00D869E3">
        <w:rPr>
          <w:rFonts w:ascii="Verdana" w:hAnsi="Verdana"/>
          <w:sz w:val="20"/>
          <w:szCs w:val="20"/>
          <w:lang w:val="en-US"/>
        </w:rPr>
        <w:t xml:space="preserve"> </w:t>
      </w:r>
    </w:p>
    <w:p w14:paraId="3C53B86C" w14:textId="77777777" w:rsidR="009C6F8E" w:rsidRPr="00D869E3" w:rsidRDefault="009C6F8E" w:rsidP="009C6F8E">
      <w:pPr>
        <w:pStyle w:val="Prrafodelista"/>
        <w:ind w:left="0"/>
        <w:jc w:val="both"/>
        <w:rPr>
          <w:rFonts w:ascii="Verdana" w:hAnsi="Verdana"/>
          <w:b/>
          <w:sz w:val="20"/>
          <w:szCs w:val="20"/>
          <w:lang w:val="en-US"/>
        </w:rPr>
      </w:pPr>
    </w:p>
    <w:p w14:paraId="58A0DE68" w14:textId="72E52C59" w:rsidR="00CE7987" w:rsidRPr="00D869E3" w:rsidRDefault="003506CC" w:rsidP="00E66DD7">
      <w:pPr>
        <w:pStyle w:val="Prrafodelista"/>
        <w:numPr>
          <w:ilvl w:val="0"/>
          <w:numId w:val="1"/>
        </w:numPr>
        <w:ind w:left="0" w:hanging="11"/>
        <w:jc w:val="both"/>
        <w:rPr>
          <w:rFonts w:ascii="Verdana" w:hAnsi="Verdana"/>
          <w:sz w:val="20"/>
          <w:szCs w:val="20"/>
          <w:lang w:val="en-US"/>
        </w:rPr>
      </w:pPr>
      <w:r w:rsidRPr="00D869E3">
        <w:rPr>
          <w:rFonts w:ascii="Verdana" w:hAnsi="Verdana"/>
          <w:sz w:val="20"/>
          <w:szCs w:val="20"/>
          <w:lang w:val="en-US"/>
        </w:rPr>
        <w:t>On September 2,</w:t>
      </w:r>
      <w:r w:rsidR="00CE7987" w:rsidRPr="00D869E3">
        <w:rPr>
          <w:rFonts w:ascii="Verdana" w:hAnsi="Verdana"/>
          <w:sz w:val="20"/>
          <w:szCs w:val="20"/>
          <w:lang w:val="en-US"/>
        </w:rPr>
        <w:t xml:space="preserve"> 1991, </w:t>
      </w:r>
      <w:r w:rsidR="003B7C84" w:rsidRPr="00D869E3">
        <w:rPr>
          <w:rFonts w:ascii="Verdana" w:hAnsi="Verdana"/>
          <w:sz w:val="20"/>
          <w:szCs w:val="20"/>
          <w:lang w:val="en-US"/>
        </w:rPr>
        <w:t xml:space="preserve">following the denial of his motion for review and reconsideration, </w:t>
      </w:r>
      <w:r w:rsidRPr="00D869E3">
        <w:rPr>
          <w:rFonts w:ascii="Verdana" w:hAnsi="Verdana"/>
          <w:sz w:val="20"/>
          <w:szCs w:val="20"/>
          <w:lang w:val="en-US"/>
        </w:rPr>
        <w:t xml:space="preserve">Mr. </w:t>
      </w:r>
      <w:r w:rsidR="00CE7987" w:rsidRPr="00D869E3">
        <w:rPr>
          <w:rFonts w:ascii="Verdana" w:hAnsi="Verdana"/>
          <w:sz w:val="20"/>
          <w:szCs w:val="20"/>
          <w:lang w:val="en-US"/>
        </w:rPr>
        <w:t xml:space="preserve">Lagos del Campo </w:t>
      </w:r>
      <w:r w:rsidR="003B7C84" w:rsidRPr="00D869E3">
        <w:rPr>
          <w:rFonts w:ascii="Verdana" w:hAnsi="Verdana"/>
          <w:sz w:val="20"/>
          <w:szCs w:val="20"/>
          <w:lang w:val="en-US"/>
        </w:rPr>
        <w:t xml:space="preserve">filed </w:t>
      </w:r>
      <w:r w:rsidR="00031A38" w:rsidRPr="00D869E3">
        <w:rPr>
          <w:rFonts w:ascii="Verdana" w:hAnsi="Verdana"/>
          <w:sz w:val="20"/>
          <w:szCs w:val="20"/>
          <w:lang w:val="en-US"/>
        </w:rPr>
        <w:t>an appeal for the annulment</w:t>
      </w:r>
      <w:r w:rsidR="00CE7987" w:rsidRPr="00D869E3">
        <w:rPr>
          <w:rFonts w:ascii="Verdana" w:hAnsi="Verdana"/>
          <w:sz w:val="20"/>
          <w:vertAlign w:val="superscript"/>
          <w:lang w:val="en-US"/>
        </w:rPr>
        <w:footnoteReference w:id="82"/>
      </w:r>
      <w:r w:rsidR="00031A38" w:rsidRPr="00D869E3">
        <w:rPr>
          <w:rFonts w:ascii="Verdana" w:hAnsi="Verdana"/>
          <w:sz w:val="20"/>
          <w:szCs w:val="20"/>
          <w:lang w:val="en-US"/>
        </w:rPr>
        <w:t xml:space="preserve"> of</w:t>
      </w:r>
      <w:r w:rsidRPr="00D869E3">
        <w:rPr>
          <w:rFonts w:ascii="Verdana" w:hAnsi="Verdana"/>
          <w:sz w:val="20"/>
          <w:szCs w:val="20"/>
          <w:lang w:val="en-US"/>
        </w:rPr>
        <w:t xml:space="preserve"> the decision issued on August 8,</w:t>
      </w:r>
      <w:r w:rsidR="00CE7987" w:rsidRPr="00D869E3">
        <w:rPr>
          <w:rFonts w:ascii="Verdana" w:hAnsi="Verdana"/>
          <w:sz w:val="20"/>
          <w:szCs w:val="20"/>
          <w:lang w:val="en-US"/>
        </w:rPr>
        <w:t xml:space="preserve"> 1991</w:t>
      </w:r>
      <w:r w:rsidRPr="00D869E3">
        <w:rPr>
          <w:rFonts w:ascii="Verdana" w:hAnsi="Verdana"/>
          <w:sz w:val="20"/>
          <w:szCs w:val="20"/>
          <w:lang w:val="en-US"/>
        </w:rPr>
        <w:t>,</w:t>
      </w:r>
      <w:r w:rsidR="00CE7987" w:rsidRPr="00D869E3">
        <w:rPr>
          <w:rFonts w:ascii="Verdana" w:hAnsi="Verdana"/>
          <w:sz w:val="20"/>
          <w:szCs w:val="20"/>
          <w:lang w:val="en-US"/>
        </w:rPr>
        <w:t xml:space="preserve"> </w:t>
      </w:r>
      <w:r w:rsidRPr="00D869E3">
        <w:rPr>
          <w:rFonts w:ascii="Verdana" w:hAnsi="Verdana"/>
          <w:sz w:val="20"/>
          <w:szCs w:val="20"/>
          <w:lang w:val="en-US"/>
        </w:rPr>
        <w:t>by th</w:t>
      </w:r>
      <w:r w:rsidR="003B7C84" w:rsidRPr="00D869E3">
        <w:rPr>
          <w:rFonts w:ascii="Verdana" w:hAnsi="Verdana"/>
          <w:sz w:val="20"/>
          <w:szCs w:val="20"/>
          <w:lang w:val="en-US"/>
        </w:rPr>
        <w:t xml:space="preserve">at </w:t>
      </w:r>
      <w:r w:rsidRPr="00D869E3">
        <w:rPr>
          <w:rFonts w:ascii="Verdana" w:hAnsi="Verdana"/>
          <w:sz w:val="20"/>
          <w:szCs w:val="20"/>
          <w:lang w:val="en-US"/>
        </w:rPr>
        <w:t>Labor Court</w:t>
      </w:r>
      <w:r w:rsidR="00CE7987"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CE7987" w:rsidRPr="00D869E3">
        <w:rPr>
          <w:rFonts w:ascii="Verdana" w:hAnsi="Verdana"/>
          <w:sz w:val="20"/>
          <w:szCs w:val="20"/>
          <w:lang w:val="en-US"/>
        </w:rPr>
        <w:t xml:space="preserve">, </w:t>
      </w:r>
      <w:r w:rsidRPr="00D869E3">
        <w:rPr>
          <w:rFonts w:ascii="Verdana" w:hAnsi="Verdana"/>
          <w:sz w:val="20"/>
          <w:szCs w:val="20"/>
          <w:lang w:val="en-US"/>
        </w:rPr>
        <w:t>the Second Labor Court</w:t>
      </w:r>
      <w:r w:rsidR="00CE7987" w:rsidRPr="00D869E3">
        <w:rPr>
          <w:rFonts w:ascii="Verdana" w:hAnsi="Verdana"/>
          <w:sz w:val="20"/>
          <w:szCs w:val="20"/>
          <w:lang w:val="en-US"/>
        </w:rPr>
        <w:t xml:space="preserve"> conclu</w:t>
      </w:r>
      <w:r w:rsidRPr="00D869E3">
        <w:rPr>
          <w:rFonts w:ascii="Verdana" w:hAnsi="Verdana"/>
          <w:sz w:val="20"/>
          <w:szCs w:val="20"/>
          <w:lang w:val="en-US"/>
        </w:rPr>
        <w:t>ded that</w:t>
      </w:r>
      <w:r w:rsidR="003B7C84" w:rsidRPr="00D869E3">
        <w:rPr>
          <w:rFonts w:ascii="Verdana" w:hAnsi="Verdana"/>
          <w:sz w:val="20"/>
          <w:szCs w:val="20"/>
          <w:lang w:val="en-US"/>
        </w:rPr>
        <w:t xml:space="preserve"> the motion did not cite any of the grounds for annulment established in</w:t>
      </w:r>
      <w:r w:rsidR="00CE7987" w:rsidRPr="00D869E3">
        <w:rPr>
          <w:rFonts w:ascii="Verdana" w:hAnsi="Verdana"/>
          <w:sz w:val="20"/>
          <w:szCs w:val="20"/>
          <w:lang w:val="en-US"/>
        </w:rPr>
        <w:t xml:space="preserve"> </w:t>
      </w:r>
      <w:r w:rsidR="003B7C84" w:rsidRPr="00D869E3">
        <w:rPr>
          <w:rFonts w:ascii="Verdana" w:hAnsi="Verdana"/>
          <w:sz w:val="20"/>
          <w:szCs w:val="20"/>
          <w:lang w:val="en-US"/>
        </w:rPr>
        <w:t>a</w:t>
      </w:r>
      <w:r w:rsidR="00447C65" w:rsidRPr="00D869E3">
        <w:rPr>
          <w:rFonts w:ascii="Verdana" w:hAnsi="Verdana"/>
          <w:sz w:val="20"/>
          <w:szCs w:val="20"/>
          <w:lang w:val="en-US"/>
        </w:rPr>
        <w:t>rticle</w:t>
      </w:r>
      <w:r w:rsidR="00F409D7" w:rsidRPr="00D869E3">
        <w:rPr>
          <w:rFonts w:ascii="Verdana" w:hAnsi="Verdana"/>
          <w:sz w:val="20"/>
          <w:szCs w:val="20"/>
          <w:lang w:val="en-US"/>
        </w:rPr>
        <w:t xml:space="preserve"> 1085</w:t>
      </w:r>
      <w:r w:rsidRPr="00D869E3">
        <w:rPr>
          <w:rFonts w:ascii="Verdana" w:hAnsi="Verdana"/>
          <w:sz w:val="20"/>
          <w:szCs w:val="20"/>
          <w:lang w:val="en-US"/>
        </w:rPr>
        <w:t xml:space="preserve"> of the Code of Civil Procedure</w:t>
      </w:r>
      <w:r w:rsidR="003B7C84" w:rsidRPr="00D869E3">
        <w:rPr>
          <w:rFonts w:ascii="Verdana" w:hAnsi="Verdana"/>
          <w:sz w:val="20"/>
          <w:szCs w:val="20"/>
          <w:lang w:val="en-US"/>
        </w:rPr>
        <w:t>.</w:t>
      </w:r>
      <w:r w:rsidR="00F409D7" w:rsidRPr="00D869E3">
        <w:rPr>
          <w:rStyle w:val="Refdenotaalpie"/>
          <w:color w:val="000000"/>
          <w:szCs w:val="20"/>
          <w:lang w:val="en-US"/>
        </w:rPr>
        <w:footnoteReference w:id="83"/>
      </w:r>
      <w:r w:rsidR="00CE7987" w:rsidRPr="00D869E3">
        <w:rPr>
          <w:rFonts w:ascii="Verdana" w:hAnsi="Verdana"/>
          <w:sz w:val="20"/>
          <w:szCs w:val="20"/>
          <w:lang w:val="en-US"/>
        </w:rPr>
        <w:t xml:space="preserve">  </w:t>
      </w:r>
    </w:p>
    <w:p w14:paraId="7AA01D00" w14:textId="77777777" w:rsidR="00CE7987" w:rsidRPr="00D869E3" w:rsidRDefault="00CE7987" w:rsidP="009C6F8E">
      <w:pPr>
        <w:pStyle w:val="Prrafodelista"/>
        <w:ind w:left="0"/>
        <w:jc w:val="both"/>
        <w:rPr>
          <w:rFonts w:ascii="Verdana" w:hAnsi="Verdana"/>
          <w:b/>
          <w:sz w:val="20"/>
          <w:szCs w:val="20"/>
          <w:lang w:val="en-US"/>
        </w:rPr>
      </w:pPr>
    </w:p>
    <w:p w14:paraId="549D9725" w14:textId="2FF60E69" w:rsidR="005D0ACD" w:rsidRPr="00D869E3" w:rsidRDefault="009D37C8" w:rsidP="00E66DD7">
      <w:pPr>
        <w:pStyle w:val="Ttulo3"/>
        <w:numPr>
          <w:ilvl w:val="0"/>
          <w:numId w:val="9"/>
        </w:numPr>
        <w:rPr>
          <w:i/>
          <w:iCs/>
          <w:color w:val="000000"/>
          <w:szCs w:val="20"/>
          <w:lang w:val="en-US"/>
        </w:rPr>
      </w:pPr>
      <w:bookmarkStart w:id="26" w:name="_Toc29114119"/>
      <w:r w:rsidRPr="00D869E3">
        <w:rPr>
          <w:i/>
          <w:iCs/>
          <w:color w:val="000000"/>
          <w:szCs w:val="20"/>
          <w:lang w:val="en-US"/>
        </w:rPr>
        <w:t>Application for amparo and nullity</w:t>
      </w:r>
      <w:bookmarkEnd w:id="26"/>
    </w:p>
    <w:p w14:paraId="6AD3C2A0" w14:textId="4418F7AE" w:rsidR="00CB2CF7" w:rsidRPr="00D869E3" w:rsidRDefault="00CB2CF7" w:rsidP="00CB2CF7">
      <w:pPr>
        <w:rPr>
          <w:rFonts w:ascii="Verdana" w:hAnsi="Verdana"/>
          <w:lang w:val="en-US"/>
        </w:rPr>
      </w:pPr>
    </w:p>
    <w:p w14:paraId="5E4D1A24" w14:textId="3C6C420B" w:rsidR="007A6FDA" w:rsidRPr="00D869E3" w:rsidRDefault="001E3B42"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October 21,</w:t>
      </w:r>
      <w:r w:rsidR="007A6FDA" w:rsidRPr="00D869E3">
        <w:rPr>
          <w:rFonts w:ascii="Verdana" w:hAnsi="Verdana"/>
          <w:sz w:val="20"/>
          <w:szCs w:val="20"/>
          <w:lang w:val="en-US"/>
        </w:rPr>
        <w:t xml:space="preserve"> 1991</w:t>
      </w:r>
      <w:r w:rsidRPr="00D869E3">
        <w:rPr>
          <w:rFonts w:ascii="Verdana" w:hAnsi="Verdana"/>
          <w:sz w:val="20"/>
          <w:szCs w:val="20"/>
          <w:lang w:val="en-US"/>
        </w:rPr>
        <w:t>,</w:t>
      </w:r>
      <w:r w:rsidR="007A6FDA"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002A2C65" w:rsidRPr="00D869E3">
        <w:rPr>
          <w:rFonts w:ascii="Verdana" w:hAnsi="Verdana"/>
          <w:sz w:val="20"/>
          <w:szCs w:val="20"/>
          <w:lang w:val="en-US"/>
        </w:rPr>
        <w:t xml:space="preserve">filed an application for amparo (constitutional protection) before </w:t>
      </w:r>
      <w:r w:rsidRPr="00D869E3">
        <w:rPr>
          <w:rFonts w:ascii="Verdana" w:hAnsi="Verdana"/>
          <w:sz w:val="20"/>
          <w:szCs w:val="20"/>
          <w:lang w:val="en-US"/>
        </w:rPr>
        <w:t>the Civil Chamber of the Superior Court</w:t>
      </w:r>
      <w:r w:rsidR="002A2C65" w:rsidRPr="00D869E3">
        <w:rPr>
          <w:rFonts w:ascii="Verdana" w:hAnsi="Verdana"/>
          <w:sz w:val="20"/>
          <w:szCs w:val="20"/>
          <w:lang w:val="en-US"/>
        </w:rPr>
        <w:t>,</w:t>
      </w:r>
      <w:r w:rsidR="007A6FDA" w:rsidRPr="00D869E3">
        <w:rPr>
          <w:rFonts w:ascii="Verdana" w:hAnsi="Verdana"/>
          <w:sz w:val="20"/>
          <w:szCs w:val="20"/>
          <w:vertAlign w:val="superscript"/>
          <w:lang w:val="en-US"/>
        </w:rPr>
        <w:footnoteReference w:id="84"/>
      </w:r>
      <w:r w:rsidR="007A6FDA" w:rsidRPr="00D869E3">
        <w:rPr>
          <w:rFonts w:ascii="Verdana" w:hAnsi="Verdana"/>
          <w:sz w:val="20"/>
          <w:szCs w:val="20"/>
          <w:lang w:val="en-US"/>
        </w:rPr>
        <w:t xml:space="preserve"> </w:t>
      </w:r>
      <w:r w:rsidRPr="00D869E3">
        <w:rPr>
          <w:rFonts w:ascii="Verdana" w:hAnsi="Verdana"/>
          <w:sz w:val="20"/>
          <w:szCs w:val="20"/>
          <w:lang w:val="en-US"/>
        </w:rPr>
        <w:t>against the</w:t>
      </w:r>
      <w:r w:rsidR="007A6FDA" w:rsidRPr="00D869E3">
        <w:rPr>
          <w:rFonts w:ascii="Verdana" w:hAnsi="Verdana"/>
          <w:sz w:val="20"/>
          <w:szCs w:val="20"/>
          <w:lang w:val="en-US"/>
        </w:rPr>
        <w:t xml:space="preserve"> </w:t>
      </w:r>
      <w:r w:rsidR="002A2C65" w:rsidRPr="00D869E3">
        <w:rPr>
          <w:rFonts w:ascii="Verdana" w:hAnsi="Verdana"/>
          <w:sz w:val="20"/>
          <w:szCs w:val="20"/>
          <w:lang w:val="en-US"/>
        </w:rPr>
        <w:t>judgment</w:t>
      </w:r>
      <w:r w:rsidR="00447C65" w:rsidRPr="00D869E3">
        <w:rPr>
          <w:rFonts w:ascii="Verdana" w:hAnsi="Verdana"/>
          <w:sz w:val="20"/>
          <w:szCs w:val="20"/>
          <w:lang w:val="en-US"/>
        </w:rPr>
        <w:t xml:space="preserve"> of</w:t>
      </w:r>
      <w:r w:rsidR="007A6FDA" w:rsidRPr="00D869E3">
        <w:rPr>
          <w:rFonts w:ascii="Verdana" w:hAnsi="Verdana"/>
          <w:sz w:val="20"/>
          <w:szCs w:val="20"/>
          <w:lang w:val="en-US"/>
        </w:rPr>
        <w:t xml:space="preserve"> </w:t>
      </w:r>
      <w:r w:rsidRPr="00D869E3">
        <w:rPr>
          <w:rFonts w:ascii="Verdana" w:hAnsi="Verdana"/>
          <w:sz w:val="20"/>
          <w:szCs w:val="20"/>
          <w:lang w:val="en-US"/>
        </w:rPr>
        <w:t>August 8,</w:t>
      </w:r>
      <w:r w:rsidR="007A6FDA" w:rsidRPr="00D869E3">
        <w:rPr>
          <w:rFonts w:ascii="Verdana" w:hAnsi="Verdana"/>
          <w:sz w:val="20"/>
          <w:szCs w:val="20"/>
          <w:lang w:val="en-US"/>
        </w:rPr>
        <w:t xml:space="preserve"> 1991</w:t>
      </w:r>
      <w:r w:rsidR="002A2C65" w:rsidRPr="00D869E3">
        <w:rPr>
          <w:rFonts w:ascii="Verdana" w:hAnsi="Verdana"/>
          <w:sz w:val="20"/>
          <w:szCs w:val="20"/>
          <w:lang w:val="en-US"/>
        </w:rPr>
        <w:t xml:space="preserve">, which </w:t>
      </w:r>
      <w:r w:rsidR="00D03B66" w:rsidRPr="00D869E3">
        <w:rPr>
          <w:rFonts w:ascii="Verdana" w:hAnsi="Verdana"/>
          <w:sz w:val="20"/>
          <w:szCs w:val="20"/>
          <w:lang w:val="en-US"/>
        </w:rPr>
        <w:t xml:space="preserve">had </w:t>
      </w:r>
      <w:r w:rsidR="002A2C65" w:rsidRPr="00D869E3">
        <w:rPr>
          <w:rFonts w:ascii="Verdana" w:hAnsi="Verdana"/>
          <w:sz w:val="20"/>
          <w:szCs w:val="20"/>
          <w:lang w:val="en-US"/>
        </w:rPr>
        <w:t>decided the appeal against the way in which his dismissal had been classified. Mr</w:t>
      </w:r>
      <w:r w:rsidR="007A6FDA" w:rsidRPr="00D869E3">
        <w:rPr>
          <w:rFonts w:ascii="Verdana" w:hAnsi="Verdana"/>
          <w:sz w:val="20"/>
          <w:szCs w:val="20"/>
          <w:lang w:val="en-US"/>
        </w:rPr>
        <w:t xml:space="preserve">. Lagos del Campo </w:t>
      </w:r>
      <w:r w:rsidR="002A2C65" w:rsidRPr="00D869E3">
        <w:rPr>
          <w:rFonts w:ascii="Verdana" w:hAnsi="Verdana" w:cs="Arial"/>
          <w:sz w:val="20"/>
          <w:szCs w:val="20"/>
          <w:lang w:val="en-US"/>
        </w:rPr>
        <w:t>argued that:</w:t>
      </w:r>
    </w:p>
    <w:p w14:paraId="0BF672EC" w14:textId="77777777" w:rsidR="002A2C65" w:rsidRPr="00D869E3" w:rsidRDefault="002A2C65" w:rsidP="002A2C65">
      <w:pPr>
        <w:pStyle w:val="Prrafodelista"/>
        <w:ind w:left="0"/>
        <w:jc w:val="both"/>
        <w:rPr>
          <w:rFonts w:ascii="Verdana" w:hAnsi="Verdana"/>
          <w:b/>
          <w:sz w:val="20"/>
          <w:szCs w:val="20"/>
          <w:lang w:val="en-US"/>
        </w:rPr>
      </w:pPr>
    </w:p>
    <w:p w14:paraId="3AAC544B" w14:textId="2D4D9CB5" w:rsidR="00275EDE" w:rsidRPr="00D869E3" w:rsidRDefault="001E3B42" w:rsidP="006A4718">
      <w:pPr>
        <w:ind w:left="720"/>
        <w:jc w:val="both"/>
        <w:rPr>
          <w:rFonts w:ascii="Verdana" w:hAnsi="Verdana" w:cs="Arial"/>
          <w:sz w:val="18"/>
          <w:szCs w:val="18"/>
          <w:lang w:val="en-US"/>
        </w:rPr>
      </w:pPr>
      <w:r w:rsidRPr="00D869E3">
        <w:rPr>
          <w:rFonts w:ascii="Verdana" w:hAnsi="Verdana" w:cs="Arial"/>
          <w:sz w:val="18"/>
          <w:szCs w:val="18"/>
          <w:lang w:val="en-US"/>
        </w:rPr>
        <w:t>FOURTH</w:t>
      </w:r>
      <w:r w:rsidR="00275EDE" w:rsidRPr="00D869E3">
        <w:rPr>
          <w:rFonts w:ascii="Verdana" w:hAnsi="Verdana" w:cs="Arial"/>
          <w:sz w:val="18"/>
          <w:szCs w:val="18"/>
          <w:lang w:val="en-US"/>
        </w:rPr>
        <w:t>:</w:t>
      </w:r>
    </w:p>
    <w:p w14:paraId="002A82D0" w14:textId="77777777" w:rsidR="00275EDE" w:rsidRPr="00D869E3" w:rsidRDefault="00275EDE" w:rsidP="006A4718">
      <w:pPr>
        <w:ind w:left="720" w:right="720"/>
        <w:jc w:val="both"/>
        <w:rPr>
          <w:rFonts w:ascii="Verdana" w:hAnsi="Verdana" w:cs="Arial"/>
          <w:sz w:val="18"/>
          <w:szCs w:val="18"/>
          <w:lang w:val="en-US"/>
        </w:rPr>
      </w:pPr>
      <w:r w:rsidRPr="00D869E3">
        <w:rPr>
          <w:rFonts w:ascii="Verdana" w:hAnsi="Verdana" w:cs="Arial"/>
          <w:sz w:val="18"/>
          <w:szCs w:val="18"/>
          <w:lang w:val="en-US"/>
        </w:rPr>
        <w:t xml:space="preserve"> </w:t>
      </w:r>
    </w:p>
    <w:p w14:paraId="215E254E" w14:textId="277E9770" w:rsidR="006C6373" w:rsidRPr="00D869E3" w:rsidRDefault="006C6373" w:rsidP="006A4718">
      <w:pPr>
        <w:ind w:left="720" w:right="720"/>
        <w:jc w:val="both"/>
        <w:rPr>
          <w:rFonts w:ascii="Verdana" w:hAnsi="Verdana"/>
          <w:sz w:val="18"/>
          <w:szCs w:val="18"/>
          <w:lang w:val="en-US"/>
        </w:rPr>
      </w:pPr>
      <w:r w:rsidRPr="00D869E3">
        <w:rPr>
          <w:rFonts w:ascii="Verdana" w:hAnsi="Verdana"/>
          <w:iCs/>
          <w:color w:val="000000"/>
          <w:sz w:val="18"/>
          <w:szCs w:val="18"/>
          <w:lang w:val="en-US"/>
        </w:rPr>
        <w:t xml:space="preserve">Thus, by failing to take into account my brief </w:t>
      </w:r>
      <w:r w:rsidR="00275EDE" w:rsidRPr="00D869E3">
        <w:rPr>
          <w:rFonts w:ascii="Verdana" w:hAnsi="Verdana"/>
          <w:sz w:val="18"/>
          <w:szCs w:val="18"/>
          <w:lang w:val="en-US"/>
        </w:rPr>
        <w:t>(</w:t>
      </w:r>
      <w:r w:rsidRPr="00D869E3">
        <w:rPr>
          <w:rFonts w:ascii="Verdana" w:hAnsi="Verdana"/>
          <w:sz w:val="18"/>
          <w:szCs w:val="18"/>
          <w:lang w:val="en-US"/>
        </w:rPr>
        <w:t>of August 1,</w:t>
      </w:r>
      <w:r w:rsidR="00275EDE" w:rsidRPr="00D869E3">
        <w:rPr>
          <w:rFonts w:ascii="Verdana" w:hAnsi="Verdana"/>
          <w:sz w:val="18"/>
          <w:szCs w:val="18"/>
          <w:lang w:val="en-US"/>
        </w:rPr>
        <w:t xml:space="preserve"> 1991) </w:t>
      </w:r>
      <w:r w:rsidRPr="00D869E3">
        <w:rPr>
          <w:rFonts w:ascii="Verdana" w:hAnsi="Verdana"/>
          <w:sz w:val="18"/>
          <w:szCs w:val="18"/>
          <w:lang w:val="en-US"/>
        </w:rPr>
        <w:t>when delivering the j</w:t>
      </w:r>
      <w:r w:rsidR="00447C65" w:rsidRPr="00D869E3">
        <w:rPr>
          <w:rFonts w:ascii="Verdana" w:hAnsi="Verdana"/>
          <w:sz w:val="18"/>
          <w:szCs w:val="18"/>
          <w:lang w:val="en-US"/>
        </w:rPr>
        <w:t>udgment of</w:t>
      </w:r>
      <w:r w:rsidRPr="00D869E3">
        <w:rPr>
          <w:rFonts w:ascii="Verdana" w:hAnsi="Verdana"/>
          <w:sz w:val="18"/>
          <w:szCs w:val="18"/>
          <w:lang w:val="en-US"/>
        </w:rPr>
        <w:t xml:space="preserve"> </w:t>
      </w:r>
      <w:r w:rsidR="001E3B42" w:rsidRPr="00D869E3">
        <w:rPr>
          <w:rFonts w:ascii="Verdana" w:hAnsi="Verdana"/>
          <w:sz w:val="18"/>
          <w:szCs w:val="18"/>
          <w:lang w:val="en-US"/>
        </w:rPr>
        <w:t>August 8</w:t>
      </w:r>
      <w:r w:rsidR="00687684" w:rsidRPr="00D869E3">
        <w:rPr>
          <w:rFonts w:ascii="Verdana" w:hAnsi="Verdana"/>
          <w:sz w:val="18"/>
          <w:szCs w:val="18"/>
          <w:lang w:val="en-US"/>
        </w:rPr>
        <w:t xml:space="preserve"> and</w:t>
      </w:r>
      <w:r w:rsidRPr="00D869E3">
        <w:rPr>
          <w:rFonts w:ascii="Verdana" w:hAnsi="Verdana"/>
          <w:sz w:val="18"/>
          <w:szCs w:val="18"/>
          <w:lang w:val="en-US"/>
        </w:rPr>
        <w:t>, to the contrary, taking into account the complaint brief, not only has there been a violation of the equal opportunit</w:t>
      </w:r>
      <w:r w:rsidR="006A4718" w:rsidRPr="00D869E3">
        <w:rPr>
          <w:rFonts w:ascii="Verdana" w:hAnsi="Verdana"/>
          <w:sz w:val="18"/>
          <w:szCs w:val="18"/>
          <w:lang w:val="en-US"/>
        </w:rPr>
        <w:t>y to be heard, with their respective arguments,</w:t>
      </w:r>
      <w:r w:rsidRPr="00D869E3">
        <w:rPr>
          <w:rFonts w:ascii="Verdana" w:hAnsi="Verdana"/>
          <w:sz w:val="18"/>
          <w:szCs w:val="18"/>
          <w:lang w:val="en-US"/>
        </w:rPr>
        <w:t xml:space="preserve"> that the judge should offer the parties to the litigation, but also the basic right of defense against the arguments submitted by the other party in the said brief.</w:t>
      </w:r>
    </w:p>
    <w:p w14:paraId="75BD658D" w14:textId="241DD4EF" w:rsidR="00E3327C" w:rsidRPr="00D869E3" w:rsidRDefault="00E3327C" w:rsidP="006A4718">
      <w:pPr>
        <w:ind w:left="720" w:right="720"/>
        <w:jc w:val="both"/>
        <w:rPr>
          <w:rFonts w:ascii="Verdana" w:hAnsi="Verdana"/>
          <w:sz w:val="18"/>
          <w:szCs w:val="18"/>
          <w:lang w:val="en-US"/>
        </w:rPr>
      </w:pPr>
      <w:r w:rsidRPr="00D869E3">
        <w:rPr>
          <w:rFonts w:ascii="Verdana" w:hAnsi="Verdana"/>
          <w:sz w:val="18"/>
          <w:szCs w:val="18"/>
          <w:lang w:val="en-US"/>
        </w:rPr>
        <w:t>[…]</w:t>
      </w:r>
    </w:p>
    <w:p w14:paraId="364CF890" w14:textId="3E846985" w:rsidR="006C6373" w:rsidRPr="00D869E3" w:rsidRDefault="006C6373" w:rsidP="006A4718">
      <w:pPr>
        <w:ind w:left="720" w:right="720"/>
        <w:jc w:val="both"/>
        <w:rPr>
          <w:rFonts w:ascii="Verdana" w:hAnsi="Verdana"/>
          <w:sz w:val="18"/>
          <w:szCs w:val="18"/>
          <w:lang w:val="en-US"/>
        </w:rPr>
      </w:pPr>
      <w:r w:rsidRPr="00D869E3">
        <w:rPr>
          <w:rFonts w:ascii="Verdana" w:hAnsi="Verdana"/>
          <w:sz w:val="18"/>
          <w:szCs w:val="18"/>
          <w:lang w:val="en-US"/>
        </w:rPr>
        <w:t>By violating my right to due process, my right to job security has been violated. […] Indeed, job security is subject to special protection under our legal and constitutional order and, in the instant case, this has been violated by the aforementioned irregularities and, also</w:t>
      </w:r>
      <w:r w:rsidR="006A4718" w:rsidRPr="00D869E3">
        <w:rPr>
          <w:rFonts w:ascii="Verdana" w:hAnsi="Verdana"/>
          <w:sz w:val="18"/>
          <w:szCs w:val="18"/>
          <w:lang w:val="en-US"/>
        </w:rPr>
        <w:t>,</w:t>
      </w:r>
      <w:r w:rsidRPr="00D869E3">
        <w:rPr>
          <w:rFonts w:ascii="Verdana" w:hAnsi="Verdana"/>
          <w:sz w:val="18"/>
          <w:szCs w:val="18"/>
          <w:lang w:val="en-US"/>
        </w:rPr>
        <w:t xml:space="preserve"> without allowing the said arguments to be disproved, thus constituting the violation of two constitutional rights: DUE PROCESS and JOB SECURITTY.</w:t>
      </w:r>
    </w:p>
    <w:p w14:paraId="45B3A922" w14:textId="75673D49" w:rsidR="00275EDE" w:rsidRPr="00D869E3" w:rsidRDefault="00275EDE" w:rsidP="006C6373">
      <w:pPr>
        <w:ind w:right="720"/>
        <w:jc w:val="both"/>
        <w:rPr>
          <w:rFonts w:ascii="Verdana" w:hAnsi="Verdana"/>
          <w:b/>
          <w:sz w:val="20"/>
          <w:szCs w:val="20"/>
          <w:lang w:val="en-US"/>
        </w:rPr>
      </w:pPr>
      <w:r w:rsidRPr="00D869E3">
        <w:rPr>
          <w:rFonts w:ascii="Verdana" w:hAnsi="Verdana"/>
          <w:b/>
          <w:sz w:val="18"/>
          <w:szCs w:val="18"/>
          <w:lang w:val="en-US"/>
        </w:rPr>
        <w:tab/>
      </w:r>
    </w:p>
    <w:p w14:paraId="70AF0BA1" w14:textId="35741F50" w:rsidR="007A6FDA" w:rsidRPr="00D869E3" w:rsidRDefault="006C6373"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 xml:space="preserve">In April 1992, while the appeal was being processed before </w:t>
      </w:r>
      <w:r w:rsidR="001E3B42" w:rsidRPr="00D869E3">
        <w:rPr>
          <w:rFonts w:ascii="Verdana" w:hAnsi="Verdana"/>
          <w:sz w:val="20"/>
          <w:szCs w:val="20"/>
          <w:lang w:val="en-US"/>
        </w:rPr>
        <w:t>the Civil Chamber of the Superior Court</w:t>
      </w:r>
      <w:r w:rsidR="007A6FDA" w:rsidRPr="00D869E3">
        <w:rPr>
          <w:rFonts w:ascii="Verdana" w:hAnsi="Verdana"/>
          <w:sz w:val="20"/>
          <w:szCs w:val="20"/>
          <w:lang w:val="en-US"/>
        </w:rPr>
        <w:t xml:space="preserve">, </w:t>
      </w:r>
      <w:r w:rsidRPr="00D869E3">
        <w:rPr>
          <w:rFonts w:ascii="Verdana" w:hAnsi="Verdana"/>
          <w:sz w:val="20"/>
          <w:szCs w:val="20"/>
          <w:lang w:val="en-US"/>
        </w:rPr>
        <w:t>the Peruvian Governm</w:t>
      </w:r>
      <w:r w:rsidR="00AD62D7" w:rsidRPr="00D869E3">
        <w:rPr>
          <w:rFonts w:ascii="Verdana" w:hAnsi="Verdana"/>
          <w:sz w:val="20"/>
          <w:szCs w:val="20"/>
          <w:lang w:val="en-US"/>
        </w:rPr>
        <w:t>e</w:t>
      </w:r>
      <w:r w:rsidRPr="00D869E3">
        <w:rPr>
          <w:rFonts w:ascii="Verdana" w:hAnsi="Verdana"/>
          <w:sz w:val="20"/>
          <w:szCs w:val="20"/>
          <w:lang w:val="en-US"/>
        </w:rPr>
        <w:t>nt proceeded to declare a “reorganization” of the Judiciary.</w:t>
      </w:r>
      <w:r w:rsidR="007A6FDA" w:rsidRPr="00D869E3">
        <w:rPr>
          <w:rFonts w:ascii="Verdana" w:hAnsi="Verdana"/>
          <w:sz w:val="20"/>
          <w:szCs w:val="20"/>
          <w:vertAlign w:val="superscript"/>
          <w:lang w:val="en-US"/>
        </w:rPr>
        <w:footnoteReference w:id="85"/>
      </w:r>
      <w:r w:rsidRPr="00D869E3">
        <w:rPr>
          <w:rFonts w:ascii="Verdana" w:hAnsi="Verdana"/>
          <w:sz w:val="20"/>
          <w:szCs w:val="20"/>
          <w:lang w:val="en-US"/>
        </w:rPr>
        <w:t xml:space="preserve"> </w:t>
      </w:r>
      <w:r w:rsidR="00AD62D7" w:rsidRPr="00D869E3">
        <w:rPr>
          <w:rFonts w:ascii="Verdana" w:hAnsi="Verdana"/>
          <w:sz w:val="20"/>
          <w:szCs w:val="20"/>
          <w:lang w:val="en-US"/>
        </w:rPr>
        <w:t xml:space="preserve">In the context of these reforms, on </w:t>
      </w:r>
      <w:r w:rsidR="001E3B42" w:rsidRPr="00D869E3">
        <w:rPr>
          <w:rFonts w:ascii="Verdana" w:hAnsi="Verdana"/>
          <w:sz w:val="20"/>
          <w:szCs w:val="20"/>
          <w:lang w:val="en-US"/>
        </w:rPr>
        <w:t>August 3,</w:t>
      </w:r>
      <w:r w:rsidR="007A6FDA" w:rsidRPr="00D869E3">
        <w:rPr>
          <w:rFonts w:ascii="Verdana" w:hAnsi="Verdana"/>
          <w:sz w:val="20"/>
          <w:szCs w:val="20"/>
          <w:lang w:val="en-US"/>
        </w:rPr>
        <w:t xml:space="preserve"> 1992 </w:t>
      </w:r>
      <w:r w:rsidR="001E3B42" w:rsidRPr="00D869E3">
        <w:rPr>
          <w:rFonts w:ascii="Verdana" w:hAnsi="Verdana"/>
          <w:sz w:val="20"/>
          <w:szCs w:val="20"/>
          <w:lang w:val="en-US"/>
        </w:rPr>
        <w:t>the Fifth Civil Chamber of the Superior Court of</w:t>
      </w:r>
      <w:r w:rsidR="007A6FDA" w:rsidRPr="00D869E3">
        <w:rPr>
          <w:rFonts w:ascii="Verdana" w:hAnsi="Verdana"/>
          <w:sz w:val="20"/>
          <w:szCs w:val="20"/>
          <w:lang w:val="en-US"/>
        </w:rPr>
        <w:t xml:space="preserve"> Lima r</w:t>
      </w:r>
      <w:r w:rsidR="00AD62D7" w:rsidRPr="00D869E3">
        <w:rPr>
          <w:rFonts w:ascii="Verdana" w:hAnsi="Verdana"/>
          <w:sz w:val="20"/>
          <w:szCs w:val="20"/>
          <w:lang w:val="en-US"/>
        </w:rPr>
        <w:t>uled that the application for amparo was inadmissible.</w:t>
      </w:r>
      <w:r w:rsidR="007A6FDA" w:rsidRPr="00D869E3">
        <w:rPr>
          <w:rFonts w:ascii="Verdana" w:hAnsi="Verdana"/>
          <w:sz w:val="20"/>
          <w:szCs w:val="20"/>
          <w:vertAlign w:val="superscript"/>
          <w:lang w:val="en-US"/>
        </w:rPr>
        <w:footnoteReference w:id="86"/>
      </w:r>
      <w:r w:rsidR="007A6FDA" w:rsidRPr="00D869E3">
        <w:rPr>
          <w:rFonts w:ascii="Verdana" w:hAnsi="Verdana"/>
          <w:sz w:val="20"/>
          <w:szCs w:val="20"/>
          <w:lang w:val="en-US"/>
        </w:rPr>
        <w:t xml:space="preserve"> </w:t>
      </w:r>
    </w:p>
    <w:p w14:paraId="065E016C" w14:textId="77777777" w:rsidR="007A6FDA" w:rsidRPr="00D869E3" w:rsidRDefault="007A6FDA" w:rsidP="007A6FDA">
      <w:pPr>
        <w:pStyle w:val="Prrafodelista"/>
        <w:rPr>
          <w:rFonts w:ascii="Verdana" w:hAnsi="Verdana"/>
          <w:b/>
          <w:sz w:val="20"/>
          <w:szCs w:val="20"/>
          <w:lang w:val="en-US"/>
        </w:rPr>
      </w:pPr>
    </w:p>
    <w:p w14:paraId="5F694F4B" w14:textId="755C41CA" w:rsidR="007A6FDA" w:rsidRPr="00D869E3" w:rsidRDefault="006A4718"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w:t>
      </w:r>
      <w:r w:rsidR="007A6FDA" w:rsidRPr="00D869E3">
        <w:rPr>
          <w:rFonts w:ascii="Verdana" w:hAnsi="Verdana"/>
          <w:sz w:val="20"/>
          <w:szCs w:val="20"/>
          <w:lang w:val="en-US"/>
        </w:rPr>
        <w:t xml:space="preserve"> </w:t>
      </w:r>
      <w:r w:rsidR="001E3B42" w:rsidRPr="00D869E3">
        <w:rPr>
          <w:rFonts w:ascii="Verdana" w:hAnsi="Verdana"/>
          <w:sz w:val="20"/>
          <w:szCs w:val="20"/>
          <w:lang w:val="en-US"/>
        </w:rPr>
        <w:t>August 26,</w:t>
      </w:r>
      <w:r w:rsidR="007A6FDA" w:rsidRPr="00D869E3">
        <w:rPr>
          <w:rFonts w:ascii="Verdana" w:hAnsi="Verdana"/>
          <w:sz w:val="20"/>
          <w:szCs w:val="20"/>
          <w:lang w:val="en-US"/>
        </w:rPr>
        <w:t xml:space="preserve"> 1992</w:t>
      </w:r>
      <w:r w:rsidR="001E3B42" w:rsidRPr="00D869E3">
        <w:rPr>
          <w:rFonts w:ascii="Verdana" w:hAnsi="Verdana"/>
          <w:sz w:val="20"/>
          <w:szCs w:val="20"/>
          <w:lang w:val="en-US"/>
        </w:rPr>
        <w:t>, Mr.</w:t>
      </w:r>
      <w:r w:rsidR="007A6FDA" w:rsidRPr="00D869E3">
        <w:rPr>
          <w:rFonts w:ascii="Verdana" w:hAnsi="Verdana"/>
          <w:sz w:val="20"/>
          <w:szCs w:val="20"/>
          <w:lang w:val="en-US"/>
        </w:rPr>
        <w:t xml:space="preserve"> Lagos del Campo</w:t>
      </w:r>
      <w:r w:rsidR="00EB5E2E" w:rsidRPr="00D869E3">
        <w:rPr>
          <w:rFonts w:ascii="Verdana" w:hAnsi="Verdana"/>
          <w:sz w:val="20"/>
          <w:szCs w:val="20"/>
          <w:lang w:val="en-US"/>
        </w:rPr>
        <w:t xml:space="preserve"> filed a</w:t>
      </w:r>
      <w:r w:rsidR="00CF1D7C" w:rsidRPr="00D869E3">
        <w:rPr>
          <w:rFonts w:ascii="Verdana" w:hAnsi="Verdana"/>
          <w:sz w:val="20"/>
          <w:szCs w:val="20"/>
          <w:lang w:val="en-US"/>
        </w:rPr>
        <w:t>n</w:t>
      </w:r>
      <w:r w:rsidR="00EB5E2E" w:rsidRPr="00D869E3">
        <w:rPr>
          <w:rFonts w:ascii="Verdana" w:hAnsi="Verdana"/>
          <w:sz w:val="20"/>
          <w:szCs w:val="20"/>
          <w:lang w:val="en-US"/>
        </w:rPr>
        <w:t xml:space="preserve"> </w:t>
      </w:r>
      <w:r w:rsidR="00CF1D7C" w:rsidRPr="00D869E3">
        <w:rPr>
          <w:rFonts w:ascii="Verdana" w:hAnsi="Verdana"/>
          <w:sz w:val="20"/>
          <w:szCs w:val="20"/>
          <w:lang w:val="en-US"/>
        </w:rPr>
        <w:t>appeal for annulment</w:t>
      </w:r>
      <w:r w:rsidR="00EB5E2E" w:rsidRPr="00D869E3">
        <w:rPr>
          <w:rFonts w:ascii="Verdana" w:hAnsi="Verdana"/>
          <w:sz w:val="20"/>
          <w:szCs w:val="20"/>
          <w:lang w:val="en-US"/>
        </w:rPr>
        <w:t xml:space="preserve"> before </w:t>
      </w:r>
      <w:r w:rsidR="00447C65" w:rsidRPr="00D869E3">
        <w:rPr>
          <w:rFonts w:ascii="Verdana" w:hAnsi="Verdana"/>
          <w:sz w:val="20"/>
          <w:szCs w:val="20"/>
          <w:lang w:val="en-US"/>
        </w:rPr>
        <w:t>the President</w:t>
      </w:r>
      <w:r w:rsidR="00EB5E2E" w:rsidRPr="00D869E3">
        <w:rPr>
          <w:rFonts w:ascii="Verdana" w:hAnsi="Verdana"/>
          <w:sz w:val="20"/>
          <w:szCs w:val="20"/>
          <w:lang w:val="en-US"/>
        </w:rPr>
        <w:t xml:space="preserve"> of the Fifth Civil Chamber of</w:t>
      </w:r>
      <w:r w:rsidR="007A6FDA" w:rsidRPr="00D869E3">
        <w:rPr>
          <w:rFonts w:ascii="Verdana" w:hAnsi="Verdana"/>
          <w:sz w:val="20"/>
          <w:szCs w:val="20"/>
          <w:lang w:val="en-US"/>
        </w:rPr>
        <w:t xml:space="preserve"> Lima, </w:t>
      </w:r>
      <w:r w:rsidR="00EB5E2E" w:rsidRPr="00D869E3">
        <w:rPr>
          <w:rFonts w:ascii="Verdana" w:hAnsi="Verdana"/>
          <w:sz w:val="20"/>
          <w:szCs w:val="20"/>
          <w:lang w:val="en-US"/>
        </w:rPr>
        <w:t>against the judgment delivered by the Fifth Civil Chamber of</w:t>
      </w:r>
      <w:r w:rsidR="007A6FDA" w:rsidRPr="00D869E3">
        <w:rPr>
          <w:rFonts w:ascii="Verdana" w:hAnsi="Verdana"/>
          <w:sz w:val="20"/>
          <w:szCs w:val="20"/>
          <w:lang w:val="en-US"/>
        </w:rPr>
        <w:t xml:space="preserve"> Lima</w:t>
      </w:r>
      <w:r w:rsidR="00EB5E2E" w:rsidRPr="00D869E3">
        <w:rPr>
          <w:rFonts w:ascii="Verdana" w:hAnsi="Verdana"/>
          <w:sz w:val="20"/>
          <w:szCs w:val="20"/>
          <w:lang w:val="en-US"/>
        </w:rPr>
        <w:t>;</w:t>
      </w:r>
      <w:r w:rsidR="00AD0A6C" w:rsidRPr="00D869E3">
        <w:rPr>
          <w:rStyle w:val="Refdenotaalpie"/>
          <w:szCs w:val="20"/>
          <w:lang w:val="en-US"/>
        </w:rPr>
        <w:footnoteReference w:id="87"/>
      </w:r>
      <w:r w:rsidR="00EB5E2E" w:rsidRPr="00D869E3">
        <w:rPr>
          <w:rFonts w:ascii="Verdana" w:hAnsi="Verdana"/>
          <w:sz w:val="20"/>
          <w:szCs w:val="20"/>
          <w:lang w:val="en-US"/>
        </w:rPr>
        <w:t xml:space="preserve"> however,</w:t>
      </w:r>
      <w:r w:rsidR="00447C65" w:rsidRPr="00D869E3">
        <w:rPr>
          <w:rFonts w:ascii="Verdana" w:hAnsi="Verdana"/>
          <w:sz w:val="20"/>
          <w:szCs w:val="20"/>
          <w:lang w:val="en-US"/>
        </w:rPr>
        <w:t xml:space="preserve"> the President</w:t>
      </w:r>
      <w:r w:rsidR="007A6FDA" w:rsidRPr="00D869E3">
        <w:rPr>
          <w:rFonts w:ascii="Verdana" w:hAnsi="Verdana"/>
          <w:sz w:val="20"/>
          <w:szCs w:val="20"/>
          <w:lang w:val="en-US"/>
        </w:rPr>
        <w:t xml:space="preserve"> </w:t>
      </w:r>
      <w:r w:rsidR="00EB5E2E" w:rsidRPr="00D869E3">
        <w:rPr>
          <w:rFonts w:ascii="Verdana" w:hAnsi="Verdana"/>
          <w:sz w:val="20"/>
          <w:szCs w:val="20"/>
          <w:lang w:val="en-US"/>
        </w:rPr>
        <w:t>of the Fifth Civil Chamber did not reply</w:t>
      </w:r>
      <w:r w:rsidR="007A6FDA" w:rsidRPr="00D869E3">
        <w:rPr>
          <w:rFonts w:ascii="Verdana" w:hAnsi="Verdana"/>
          <w:sz w:val="20"/>
          <w:szCs w:val="20"/>
          <w:lang w:val="en-US"/>
        </w:rPr>
        <w:t xml:space="preserve">. </w:t>
      </w:r>
    </w:p>
    <w:p w14:paraId="6613DFE3" w14:textId="77777777" w:rsidR="007A6FDA" w:rsidRPr="00D869E3" w:rsidRDefault="007A6FDA" w:rsidP="007A6FDA">
      <w:pPr>
        <w:pStyle w:val="Prrafodelista"/>
        <w:rPr>
          <w:rFonts w:ascii="Verdana" w:hAnsi="Verdana"/>
          <w:b/>
          <w:sz w:val="20"/>
          <w:szCs w:val="20"/>
          <w:lang w:val="en-US"/>
        </w:rPr>
      </w:pPr>
    </w:p>
    <w:p w14:paraId="2380FA08" w14:textId="33EF0668" w:rsidR="007A6FDA" w:rsidRPr="00D869E3" w:rsidRDefault="00EB5E2E"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 xml:space="preserve">Consequently, on March 10, </w:t>
      </w:r>
      <w:r w:rsidR="007A6FDA" w:rsidRPr="00D869E3">
        <w:rPr>
          <w:rFonts w:ascii="Verdana" w:hAnsi="Verdana"/>
          <w:sz w:val="20"/>
          <w:szCs w:val="20"/>
          <w:lang w:val="en-US"/>
        </w:rPr>
        <w:t>1993</w:t>
      </w:r>
      <w:r w:rsidRPr="00D869E3">
        <w:rPr>
          <w:rFonts w:ascii="Verdana" w:hAnsi="Verdana"/>
          <w:sz w:val="20"/>
          <w:szCs w:val="20"/>
          <w:lang w:val="en-US"/>
        </w:rPr>
        <w:t>, Mr.</w:t>
      </w:r>
      <w:r w:rsidR="007A6FDA" w:rsidRPr="00D869E3">
        <w:rPr>
          <w:rFonts w:ascii="Verdana" w:hAnsi="Verdana"/>
          <w:sz w:val="20"/>
          <w:szCs w:val="20"/>
          <w:lang w:val="en-US"/>
        </w:rPr>
        <w:t xml:space="preserve"> Lagos del Campo </w:t>
      </w:r>
      <w:r w:rsidRPr="00D869E3">
        <w:rPr>
          <w:rFonts w:ascii="Verdana" w:hAnsi="Verdana"/>
          <w:sz w:val="20"/>
          <w:szCs w:val="20"/>
          <w:lang w:val="en-US"/>
        </w:rPr>
        <w:t>filed a brief before</w:t>
      </w:r>
      <w:r w:rsidR="007A6FDA" w:rsidRPr="00D869E3">
        <w:rPr>
          <w:rFonts w:ascii="Verdana" w:hAnsi="Verdana"/>
          <w:sz w:val="20"/>
          <w:szCs w:val="20"/>
          <w:lang w:val="en-US"/>
        </w:rPr>
        <w:t xml:space="preserve"> </w:t>
      </w:r>
      <w:r w:rsidR="00447C65" w:rsidRPr="00D869E3">
        <w:rPr>
          <w:rFonts w:ascii="Verdana" w:hAnsi="Verdana"/>
          <w:sz w:val="20"/>
          <w:szCs w:val="20"/>
          <w:lang w:val="en-US"/>
        </w:rPr>
        <w:t>the President</w:t>
      </w:r>
      <w:r w:rsidRPr="00D869E3">
        <w:rPr>
          <w:rFonts w:ascii="Verdana" w:hAnsi="Verdana"/>
          <w:sz w:val="20"/>
          <w:szCs w:val="20"/>
          <w:lang w:val="en-US"/>
        </w:rPr>
        <w:t xml:space="preserve"> of the Social and Constitutional Law Chamber</w:t>
      </w:r>
      <w:r w:rsidR="00447C65" w:rsidRPr="00D869E3">
        <w:rPr>
          <w:rFonts w:ascii="Verdana" w:hAnsi="Verdana"/>
          <w:sz w:val="20"/>
          <w:szCs w:val="20"/>
          <w:lang w:val="en-US"/>
        </w:rPr>
        <w:t xml:space="preserve"> of the </w:t>
      </w:r>
      <w:r w:rsidRPr="00D869E3">
        <w:rPr>
          <w:rFonts w:ascii="Verdana" w:hAnsi="Verdana"/>
          <w:sz w:val="20"/>
          <w:szCs w:val="20"/>
          <w:lang w:val="en-US"/>
        </w:rPr>
        <w:t>Supreme Court</w:t>
      </w:r>
      <w:r w:rsidR="007A6FDA" w:rsidRPr="00D869E3">
        <w:rPr>
          <w:rFonts w:ascii="Verdana" w:hAnsi="Verdana"/>
          <w:sz w:val="20"/>
          <w:szCs w:val="20"/>
          <w:lang w:val="en-US"/>
        </w:rPr>
        <w:t xml:space="preserve"> </w:t>
      </w:r>
      <w:r w:rsidRPr="00D869E3">
        <w:rPr>
          <w:rFonts w:ascii="Verdana" w:hAnsi="Verdana"/>
          <w:sz w:val="20"/>
          <w:szCs w:val="20"/>
          <w:lang w:val="en-US"/>
        </w:rPr>
        <w:t>in which he indicated</w:t>
      </w:r>
      <w:r w:rsidR="009F1D2A" w:rsidRPr="00D869E3">
        <w:rPr>
          <w:rFonts w:ascii="Verdana" w:hAnsi="Verdana"/>
          <w:sz w:val="20"/>
          <w:szCs w:val="20"/>
          <w:lang w:val="en-US"/>
        </w:rPr>
        <w:t xml:space="preserve"> that he “respectfully request[ed] that the Court declare the nullity of the judgment, which should be amended, and declare the application for amparo admissible.</w:t>
      </w:r>
      <w:r w:rsidR="006436CA" w:rsidRPr="00D869E3">
        <w:rPr>
          <w:rFonts w:ascii="Verdana" w:hAnsi="Verdana"/>
          <w:sz w:val="20"/>
          <w:szCs w:val="20"/>
          <w:lang w:val="en-US"/>
        </w:rPr>
        <w:t>”</w:t>
      </w:r>
      <w:r w:rsidR="00AD0A6C" w:rsidRPr="00D869E3">
        <w:rPr>
          <w:rStyle w:val="Refdenotaalpie"/>
          <w:szCs w:val="20"/>
          <w:lang w:val="en-US"/>
        </w:rPr>
        <w:footnoteReference w:id="88"/>
      </w:r>
      <w:r w:rsidR="00D20A28" w:rsidRPr="00D869E3">
        <w:rPr>
          <w:rFonts w:ascii="Verdana" w:hAnsi="Verdana"/>
          <w:sz w:val="20"/>
          <w:szCs w:val="20"/>
          <w:lang w:val="en-US"/>
        </w:rPr>
        <w:t xml:space="preserve"> </w:t>
      </w:r>
      <w:r w:rsidRPr="00D869E3">
        <w:rPr>
          <w:rFonts w:ascii="Verdana" w:hAnsi="Verdana"/>
          <w:sz w:val="20"/>
          <w:szCs w:val="20"/>
          <w:lang w:val="en-US"/>
        </w:rPr>
        <w:t>The Social and Constitutional Law Chamber</w:t>
      </w:r>
      <w:r w:rsidR="00447C65" w:rsidRPr="00D869E3">
        <w:rPr>
          <w:rFonts w:ascii="Verdana" w:hAnsi="Verdana"/>
          <w:sz w:val="20"/>
          <w:szCs w:val="20"/>
          <w:lang w:val="en-US"/>
        </w:rPr>
        <w:t xml:space="preserve"> of the </w:t>
      </w:r>
      <w:r w:rsidR="009F1D2A" w:rsidRPr="00D869E3">
        <w:rPr>
          <w:rFonts w:ascii="Verdana" w:hAnsi="Verdana"/>
          <w:sz w:val="20"/>
          <w:szCs w:val="20"/>
          <w:lang w:val="en-US"/>
        </w:rPr>
        <w:t>Supreme Court of Justice</w:t>
      </w:r>
      <w:r w:rsidR="00D20A28" w:rsidRPr="00D869E3">
        <w:rPr>
          <w:rFonts w:ascii="Verdana" w:hAnsi="Verdana"/>
          <w:sz w:val="20"/>
          <w:szCs w:val="20"/>
          <w:lang w:val="en-US"/>
        </w:rPr>
        <w:t>,</w:t>
      </w:r>
      <w:r w:rsidR="007A6FDA" w:rsidRPr="00D869E3">
        <w:rPr>
          <w:rFonts w:ascii="Verdana" w:hAnsi="Verdana"/>
          <w:sz w:val="20"/>
          <w:szCs w:val="20"/>
          <w:lang w:val="en-US"/>
        </w:rPr>
        <w:t xml:space="preserve"> </w:t>
      </w:r>
      <w:r w:rsidR="009F1D2A" w:rsidRPr="00D869E3">
        <w:rPr>
          <w:rFonts w:ascii="Verdana" w:hAnsi="Verdana"/>
          <w:sz w:val="20"/>
          <w:szCs w:val="20"/>
          <w:lang w:val="en-US"/>
        </w:rPr>
        <w:t xml:space="preserve">in </w:t>
      </w:r>
      <w:r w:rsidR="006A4718" w:rsidRPr="00D869E3">
        <w:rPr>
          <w:rFonts w:ascii="Verdana" w:hAnsi="Verdana"/>
          <w:sz w:val="20"/>
          <w:szCs w:val="20"/>
          <w:lang w:val="en-US"/>
        </w:rPr>
        <w:t xml:space="preserve">a decision </w:t>
      </w:r>
      <w:r w:rsidR="009F1D2A" w:rsidRPr="00D869E3">
        <w:rPr>
          <w:rFonts w:ascii="Verdana" w:hAnsi="Verdana"/>
          <w:sz w:val="20"/>
          <w:szCs w:val="20"/>
          <w:lang w:val="en-US"/>
        </w:rPr>
        <w:t>of</w:t>
      </w:r>
      <w:r w:rsidR="007A6FDA" w:rsidRPr="00D869E3">
        <w:rPr>
          <w:rFonts w:ascii="Verdana" w:hAnsi="Verdana"/>
          <w:sz w:val="20"/>
          <w:szCs w:val="20"/>
          <w:lang w:val="en-US"/>
        </w:rPr>
        <w:t xml:space="preserve"> </w:t>
      </w:r>
      <w:r w:rsidR="006F7F35" w:rsidRPr="00D869E3">
        <w:rPr>
          <w:rFonts w:ascii="Verdana" w:hAnsi="Verdana"/>
          <w:sz w:val="20"/>
          <w:szCs w:val="20"/>
          <w:lang w:val="en-US"/>
        </w:rPr>
        <w:t xml:space="preserve">March </w:t>
      </w:r>
      <w:r w:rsidR="009F1D2A" w:rsidRPr="00D869E3">
        <w:rPr>
          <w:rFonts w:ascii="Verdana" w:hAnsi="Verdana"/>
          <w:sz w:val="20"/>
          <w:szCs w:val="20"/>
          <w:lang w:val="en-US"/>
        </w:rPr>
        <w:t>1</w:t>
      </w:r>
      <w:r w:rsidR="006F7F35" w:rsidRPr="00D869E3">
        <w:rPr>
          <w:rFonts w:ascii="Verdana" w:hAnsi="Verdana"/>
          <w:sz w:val="20"/>
          <w:szCs w:val="20"/>
          <w:lang w:val="en-US"/>
        </w:rPr>
        <w:t>5,</w:t>
      </w:r>
      <w:r w:rsidR="007A6FDA" w:rsidRPr="00D869E3">
        <w:rPr>
          <w:rFonts w:ascii="Verdana" w:hAnsi="Verdana"/>
          <w:sz w:val="20"/>
          <w:szCs w:val="20"/>
          <w:lang w:val="en-US"/>
        </w:rPr>
        <w:t xml:space="preserve"> 1993</w:t>
      </w:r>
      <w:r w:rsidR="00D20A28" w:rsidRPr="00D869E3">
        <w:rPr>
          <w:rFonts w:ascii="Verdana" w:hAnsi="Verdana"/>
          <w:sz w:val="20"/>
          <w:szCs w:val="20"/>
          <w:lang w:val="en-US"/>
        </w:rPr>
        <w:t>,</w:t>
      </w:r>
      <w:r w:rsidR="007A6FDA" w:rsidRPr="00D869E3">
        <w:rPr>
          <w:rFonts w:ascii="Verdana" w:hAnsi="Verdana"/>
          <w:sz w:val="20"/>
          <w:szCs w:val="20"/>
          <w:lang w:val="en-US"/>
        </w:rPr>
        <w:t xml:space="preserve"> declar</w:t>
      </w:r>
      <w:r w:rsidR="009F1D2A" w:rsidRPr="00D869E3">
        <w:rPr>
          <w:rFonts w:ascii="Verdana" w:hAnsi="Verdana"/>
          <w:sz w:val="20"/>
          <w:szCs w:val="20"/>
          <w:lang w:val="en-US"/>
        </w:rPr>
        <w:t>ed that the request for nullity against the</w:t>
      </w:r>
      <w:r w:rsidR="007A6FDA" w:rsidRPr="00D869E3">
        <w:rPr>
          <w:rFonts w:ascii="Verdana" w:hAnsi="Verdana"/>
          <w:sz w:val="20"/>
          <w:szCs w:val="20"/>
          <w:lang w:val="en-US"/>
        </w:rPr>
        <w:t xml:space="preserve"> </w:t>
      </w:r>
      <w:r w:rsidR="009F1D2A" w:rsidRPr="00D869E3">
        <w:rPr>
          <w:rFonts w:ascii="Verdana" w:hAnsi="Verdana"/>
          <w:sz w:val="20"/>
          <w:szCs w:val="20"/>
          <w:lang w:val="en-US"/>
        </w:rPr>
        <w:t>j</w:t>
      </w:r>
      <w:r w:rsidR="00447C65" w:rsidRPr="00D869E3">
        <w:rPr>
          <w:rFonts w:ascii="Verdana" w:hAnsi="Verdana"/>
          <w:sz w:val="20"/>
          <w:szCs w:val="20"/>
          <w:lang w:val="en-US"/>
        </w:rPr>
        <w:t>udgment of</w:t>
      </w:r>
      <w:r w:rsidR="007A6FDA" w:rsidRPr="00D869E3">
        <w:rPr>
          <w:rFonts w:ascii="Verdana" w:hAnsi="Verdana"/>
          <w:sz w:val="20"/>
          <w:szCs w:val="20"/>
          <w:lang w:val="en-US"/>
        </w:rPr>
        <w:t xml:space="preserve"> </w:t>
      </w:r>
      <w:r w:rsidR="001E3B42" w:rsidRPr="00D869E3">
        <w:rPr>
          <w:rFonts w:ascii="Verdana" w:hAnsi="Verdana"/>
          <w:sz w:val="20"/>
          <w:szCs w:val="20"/>
          <w:lang w:val="en-US"/>
        </w:rPr>
        <w:t>August 8,</w:t>
      </w:r>
      <w:r w:rsidR="007A6FDA" w:rsidRPr="00D869E3">
        <w:rPr>
          <w:rFonts w:ascii="Verdana" w:hAnsi="Verdana"/>
          <w:sz w:val="20"/>
          <w:szCs w:val="20"/>
          <w:lang w:val="en-US"/>
        </w:rPr>
        <w:t xml:space="preserve"> 1992</w:t>
      </w:r>
      <w:r w:rsidR="006A4718" w:rsidRPr="00D869E3">
        <w:rPr>
          <w:rFonts w:ascii="Verdana" w:hAnsi="Verdana"/>
          <w:sz w:val="20"/>
          <w:szCs w:val="20"/>
          <w:lang w:val="en-US"/>
        </w:rPr>
        <w:t>, was not admissible</w:t>
      </w:r>
      <w:r w:rsidR="009F1D2A" w:rsidRPr="00D869E3">
        <w:rPr>
          <w:rFonts w:ascii="Verdana" w:hAnsi="Verdana"/>
          <w:sz w:val="20"/>
          <w:szCs w:val="20"/>
          <w:lang w:val="en-US"/>
        </w:rPr>
        <w:t>.</w:t>
      </w:r>
      <w:r w:rsidR="007A6FDA" w:rsidRPr="00D869E3">
        <w:rPr>
          <w:rStyle w:val="Refdenotaalpie"/>
          <w:szCs w:val="20"/>
          <w:lang w:val="en-US"/>
        </w:rPr>
        <w:footnoteReference w:id="89"/>
      </w:r>
    </w:p>
    <w:p w14:paraId="2604D455" w14:textId="77777777" w:rsidR="007A6FDA" w:rsidRPr="00D869E3" w:rsidRDefault="007A6FDA" w:rsidP="007A6FDA">
      <w:pPr>
        <w:pStyle w:val="Prrafodelista"/>
        <w:rPr>
          <w:rFonts w:ascii="Verdana" w:hAnsi="Verdana"/>
          <w:b/>
          <w:sz w:val="20"/>
          <w:szCs w:val="20"/>
          <w:lang w:val="en-US"/>
        </w:rPr>
      </w:pPr>
    </w:p>
    <w:p w14:paraId="18C27A8A" w14:textId="07651365" w:rsidR="009F1D2A" w:rsidRPr="00D869E3" w:rsidRDefault="009F1D2A" w:rsidP="00E66DD7">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April 28,</w:t>
      </w:r>
      <w:r w:rsidR="007A6FDA" w:rsidRPr="00D869E3">
        <w:rPr>
          <w:rFonts w:ascii="Verdana" w:hAnsi="Verdana"/>
          <w:sz w:val="20"/>
          <w:szCs w:val="20"/>
          <w:lang w:val="en-US"/>
        </w:rPr>
        <w:t xml:space="preserve"> 1993</w:t>
      </w:r>
      <w:r w:rsidRPr="00D869E3">
        <w:rPr>
          <w:rFonts w:ascii="Verdana" w:hAnsi="Verdana"/>
          <w:sz w:val="20"/>
          <w:szCs w:val="20"/>
          <w:lang w:val="en-US"/>
        </w:rPr>
        <w:t>, Mr.</w:t>
      </w:r>
      <w:r w:rsidR="007A6FDA" w:rsidRPr="00D869E3">
        <w:rPr>
          <w:rFonts w:ascii="Verdana" w:hAnsi="Verdana"/>
          <w:sz w:val="20"/>
          <w:szCs w:val="20"/>
          <w:lang w:val="en-US"/>
        </w:rPr>
        <w:t xml:space="preserve"> Lagos del Campo </w:t>
      </w:r>
      <w:r w:rsidRPr="00D869E3">
        <w:rPr>
          <w:rFonts w:ascii="Verdana" w:hAnsi="Verdana"/>
          <w:sz w:val="20"/>
          <w:szCs w:val="20"/>
          <w:lang w:val="en-US"/>
        </w:rPr>
        <w:t>filed a motion for reconsideration</w:t>
      </w:r>
      <w:r w:rsidR="00363C3C" w:rsidRPr="00D869E3">
        <w:rPr>
          <w:rFonts w:ascii="Verdana" w:hAnsi="Verdana"/>
          <w:sz w:val="20"/>
          <w:szCs w:val="20"/>
          <w:lang w:val="en-US"/>
        </w:rPr>
        <w:t xml:space="preserve"> of the ruling that declared the request for nullity inadmissible</w:t>
      </w:r>
      <w:r w:rsidRPr="00D869E3">
        <w:rPr>
          <w:rFonts w:ascii="Verdana" w:hAnsi="Verdana"/>
          <w:sz w:val="20"/>
          <w:szCs w:val="20"/>
          <w:lang w:val="en-US"/>
        </w:rPr>
        <w:t xml:space="preserve"> before</w:t>
      </w:r>
      <w:r w:rsidR="007A6FDA" w:rsidRPr="00D869E3">
        <w:rPr>
          <w:rFonts w:ascii="Verdana" w:hAnsi="Verdana"/>
          <w:sz w:val="20"/>
          <w:szCs w:val="20"/>
          <w:lang w:val="en-US"/>
        </w:rPr>
        <w:t xml:space="preserve"> </w:t>
      </w:r>
      <w:r w:rsidR="00447C65" w:rsidRPr="00D869E3">
        <w:rPr>
          <w:rFonts w:ascii="Verdana" w:hAnsi="Verdana"/>
          <w:sz w:val="20"/>
          <w:szCs w:val="20"/>
          <w:lang w:val="en-US"/>
        </w:rPr>
        <w:t>the President</w:t>
      </w:r>
      <w:r w:rsidR="007A6FDA" w:rsidRPr="00D869E3">
        <w:rPr>
          <w:rFonts w:ascii="Verdana" w:hAnsi="Verdana"/>
          <w:sz w:val="20"/>
          <w:szCs w:val="20"/>
          <w:lang w:val="en-US"/>
        </w:rPr>
        <w:t xml:space="preserve"> </w:t>
      </w:r>
      <w:r w:rsidRPr="00D869E3">
        <w:rPr>
          <w:rFonts w:ascii="Verdana" w:hAnsi="Verdana"/>
          <w:sz w:val="20"/>
          <w:szCs w:val="20"/>
          <w:lang w:val="en-US"/>
        </w:rPr>
        <w:t>of the Social and Constitutional Law Chamber of the Supreme Court.</w:t>
      </w:r>
      <w:r w:rsidR="00363C3C" w:rsidRPr="00D869E3">
        <w:rPr>
          <w:rStyle w:val="Refdenotaalpie"/>
          <w:szCs w:val="20"/>
          <w:lang w:val="en-US"/>
        </w:rPr>
        <w:footnoteReference w:id="90"/>
      </w:r>
      <w:r w:rsidR="00363C3C" w:rsidRPr="00D869E3">
        <w:rPr>
          <w:rFonts w:ascii="Verdana" w:hAnsi="Verdana"/>
          <w:sz w:val="20"/>
          <w:szCs w:val="20"/>
          <w:lang w:val="en-US"/>
        </w:rPr>
        <w:t xml:space="preserve"> The request was not admitted.</w:t>
      </w:r>
    </w:p>
    <w:p w14:paraId="679B8BD5" w14:textId="77777777" w:rsidR="00275EDE" w:rsidRPr="00D869E3" w:rsidRDefault="00275EDE" w:rsidP="009C6F8E">
      <w:pPr>
        <w:jc w:val="both"/>
        <w:rPr>
          <w:rFonts w:ascii="Verdana" w:hAnsi="Verdana"/>
          <w:b/>
          <w:sz w:val="20"/>
          <w:szCs w:val="20"/>
          <w:lang w:val="en-US"/>
        </w:rPr>
      </w:pPr>
    </w:p>
    <w:p w14:paraId="5550559A" w14:textId="5F15D405" w:rsidR="00275EDE" w:rsidRPr="00D869E3" w:rsidRDefault="00363C3C" w:rsidP="00E66DD7">
      <w:pPr>
        <w:pStyle w:val="Ttulo3"/>
        <w:numPr>
          <w:ilvl w:val="0"/>
          <w:numId w:val="9"/>
        </w:numPr>
        <w:rPr>
          <w:i/>
          <w:iCs/>
          <w:szCs w:val="20"/>
          <w:lang w:val="en-US"/>
        </w:rPr>
      </w:pPr>
      <w:bookmarkStart w:id="27" w:name="_Toc29114120"/>
      <w:r w:rsidRPr="00D869E3">
        <w:rPr>
          <w:i/>
          <w:iCs/>
          <w:szCs w:val="20"/>
          <w:lang w:val="en-US"/>
        </w:rPr>
        <w:t>Application for amparo before the Constitutional Court</w:t>
      </w:r>
      <w:bookmarkEnd w:id="27"/>
    </w:p>
    <w:p w14:paraId="05F0CC04" w14:textId="77777777" w:rsidR="00275EDE" w:rsidRPr="00D869E3" w:rsidRDefault="00275EDE" w:rsidP="00275EDE">
      <w:pPr>
        <w:jc w:val="both"/>
        <w:rPr>
          <w:rFonts w:ascii="Verdana" w:hAnsi="Verdana"/>
          <w:sz w:val="20"/>
          <w:szCs w:val="20"/>
          <w:lang w:val="en-US"/>
        </w:rPr>
      </w:pPr>
    </w:p>
    <w:p w14:paraId="0CEF7AFE" w14:textId="6EB81621" w:rsidR="003F5593" w:rsidRPr="00D869E3" w:rsidRDefault="00363C3C" w:rsidP="00333304">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July 26,</w:t>
      </w:r>
      <w:r w:rsidR="007A6FDA" w:rsidRPr="00D869E3">
        <w:rPr>
          <w:rFonts w:ascii="Verdana" w:hAnsi="Verdana"/>
          <w:sz w:val="20"/>
          <w:szCs w:val="20"/>
          <w:lang w:val="en-US"/>
        </w:rPr>
        <w:t xml:space="preserve"> 1996</w:t>
      </w:r>
      <w:r w:rsidR="009D37C8" w:rsidRPr="00D869E3">
        <w:rPr>
          <w:rFonts w:ascii="Verdana" w:hAnsi="Verdana"/>
          <w:sz w:val="20"/>
          <w:szCs w:val="20"/>
          <w:lang w:val="en-US"/>
        </w:rPr>
        <w:t>,</w:t>
      </w:r>
      <w:r w:rsidR="00687684" w:rsidRPr="00D869E3">
        <w:rPr>
          <w:rFonts w:ascii="Verdana" w:hAnsi="Verdana"/>
          <w:sz w:val="20"/>
          <w:szCs w:val="20"/>
          <w:lang w:val="en-US"/>
        </w:rPr>
        <w:t xml:space="preserve"> and </w:t>
      </w:r>
      <w:r w:rsidR="00756501" w:rsidRPr="00D869E3">
        <w:rPr>
          <w:rFonts w:ascii="Verdana" w:hAnsi="Verdana"/>
          <w:sz w:val="20"/>
          <w:szCs w:val="20"/>
          <w:lang w:val="en-US"/>
        </w:rPr>
        <w:t>with</w:t>
      </w:r>
      <w:r w:rsidR="009D37C8" w:rsidRPr="00D869E3">
        <w:rPr>
          <w:rFonts w:ascii="Verdana" w:hAnsi="Verdana"/>
          <w:sz w:val="20"/>
          <w:szCs w:val="20"/>
          <w:lang w:val="en-US"/>
        </w:rPr>
        <w:t xml:space="preserve"> the </w:t>
      </w:r>
      <w:r w:rsidR="00902899" w:rsidRPr="00D869E3">
        <w:rPr>
          <w:rFonts w:ascii="Verdana" w:hAnsi="Verdana"/>
          <w:sz w:val="20"/>
          <w:szCs w:val="20"/>
          <w:lang w:val="en-US"/>
        </w:rPr>
        <w:t>inauguration of</w:t>
      </w:r>
      <w:r w:rsidR="00447C65" w:rsidRPr="00D869E3">
        <w:rPr>
          <w:rFonts w:ascii="Verdana" w:hAnsi="Verdana"/>
          <w:sz w:val="20"/>
          <w:szCs w:val="20"/>
          <w:lang w:val="en-US"/>
        </w:rPr>
        <w:t xml:space="preserve"> the </w:t>
      </w:r>
      <w:r w:rsidR="00075E68" w:rsidRPr="00D869E3">
        <w:rPr>
          <w:rFonts w:ascii="Verdana" w:hAnsi="Verdana"/>
          <w:sz w:val="20"/>
          <w:szCs w:val="20"/>
          <w:lang w:val="en-US"/>
        </w:rPr>
        <w:t>Constitutional Court of</w:t>
      </w:r>
      <w:r w:rsidR="007A6FDA" w:rsidRPr="00D869E3">
        <w:rPr>
          <w:rFonts w:ascii="Verdana" w:hAnsi="Verdana"/>
          <w:sz w:val="20"/>
          <w:szCs w:val="20"/>
          <w:lang w:val="en-US"/>
        </w:rPr>
        <w:t xml:space="preserve"> </w:t>
      </w:r>
      <w:r w:rsidR="00447C65" w:rsidRPr="00D869E3">
        <w:rPr>
          <w:rFonts w:ascii="Verdana" w:hAnsi="Verdana"/>
          <w:sz w:val="20"/>
          <w:szCs w:val="20"/>
          <w:lang w:val="en-US"/>
        </w:rPr>
        <w:t>Peru</w:t>
      </w:r>
      <w:r w:rsidR="007A6FDA"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009D37C8" w:rsidRPr="00D869E3">
        <w:rPr>
          <w:rFonts w:ascii="Verdana" w:hAnsi="Verdana"/>
          <w:sz w:val="20"/>
          <w:szCs w:val="20"/>
          <w:lang w:val="en-US"/>
        </w:rPr>
        <w:t xml:space="preserve">filed a brief before </w:t>
      </w:r>
      <w:r w:rsidR="00EB5E2E" w:rsidRPr="00D869E3">
        <w:rPr>
          <w:rFonts w:ascii="Verdana" w:hAnsi="Verdana"/>
          <w:sz w:val="20"/>
          <w:szCs w:val="20"/>
          <w:lang w:val="en-US"/>
        </w:rPr>
        <w:t>the Fifth Civil Chamber</w:t>
      </w:r>
      <w:r w:rsidR="00447C65" w:rsidRPr="00D869E3">
        <w:rPr>
          <w:rFonts w:ascii="Verdana" w:hAnsi="Verdana"/>
          <w:sz w:val="20"/>
          <w:szCs w:val="20"/>
          <w:lang w:val="en-US"/>
        </w:rPr>
        <w:t xml:space="preserve"> of the </w:t>
      </w:r>
      <w:r w:rsidR="009D37C8" w:rsidRPr="00D869E3">
        <w:rPr>
          <w:rFonts w:ascii="Verdana" w:hAnsi="Verdana"/>
          <w:sz w:val="20"/>
          <w:szCs w:val="20"/>
          <w:lang w:val="en-US"/>
        </w:rPr>
        <w:t>Superior Court</w:t>
      </w:r>
      <w:r w:rsidR="007A6FDA" w:rsidRPr="00D869E3">
        <w:rPr>
          <w:rFonts w:ascii="Verdana" w:hAnsi="Verdana"/>
          <w:sz w:val="20"/>
          <w:szCs w:val="20"/>
          <w:lang w:val="en-US"/>
        </w:rPr>
        <w:t xml:space="preserve"> </w:t>
      </w:r>
      <w:r w:rsidR="009D37C8" w:rsidRPr="00D869E3">
        <w:rPr>
          <w:rFonts w:ascii="Verdana" w:hAnsi="Verdana"/>
          <w:sz w:val="20"/>
          <w:szCs w:val="20"/>
          <w:lang w:val="en-US"/>
        </w:rPr>
        <w:t xml:space="preserve">requesting that </w:t>
      </w:r>
      <w:r w:rsidR="00902899" w:rsidRPr="00D869E3">
        <w:rPr>
          <w:rFonts w:ascii="Verdana" w:hAnsi="Verdana"/>
          <w:sz w:val="20"/>
          <w:szCs w:val="20"/>
          <w:lang w:val="en-US"/>
        </w:rPr>
        <w:t>h</w:t>
      </w:r>
      <w:r w:rsidR="009D37C8" w:rsidRPr="00D869E3">
        <w:rPr>
          <w:rFonts w:ascii="Verdana" w:hAnsi="Verdana"/>
          <w:sz w:val="20"/>
          <w:szCs w:val="20"/>
          <w:lang w:val="en-US"/>
        </w:rPr>
        <w:t>is application for amparo be reopened and referred to the Constitutional Court.</w:t>
      </w:r>
      <w:r w:rsidR="007A6FDA" w:rsidRPr="00D869E3">
        <w:rPr>
          <w:rFonts w:ascii="Verdana" w:hAnsi="Verdana"/>
          <w:sz w:val="20"/>
          <w:szCs w:val="20"/>
          <w:vertAlign w:val="superscript"/>
          <w:lang w:val="en-US"/>
        </w:rPr>
        <w:footnoteReference w:id="91"/>
      </w:r>
      <w:r w:rsidR="007A6FDA" w:rsidRPr="00D869E3">
        <w:rPr>
          <w:rFonts w:ascii="Verdana" w:hAnsi="Verdana"/>
          <w:sz w:val="20"/>
          <w:szCs w:val="20"/>
          <w:lang w:val="en-US"/>
        </w:rPr>
        <w:t xml:space="preserve"> </w:t>
      </w:r>
      <w:r w:rsidR="009D37C8" w:rsidRPr="00D869E3">
        <w:rPr>
          <w:rFonts w:ascii="Verdana" w:hAnsi="Verdana"/>
          <w:sz w:val="20"/>
          <w:szCs w:val="20"/>
          <w:lang w:val="en-US"/>
        </w:rPr>
        <w:t>On January 14,</w:t>
      </w:r>
      <w:r w:rsidR="007A6FDA" w:rsidRPr="00D869E3">
        <w:rPr>
          <w:rFonts w:ascii="Verdana" w:hAnsi="Verdana"/>
          <w:sz w:val="20"/>
          <w:szCs w:val="20"/>
          <w:lang w:val="en-US"/>
        </w:rPr>
        <w:t xml:space="preserve"> 1997</w:t>
      </w:r>
      <w:r w:rsidR="009D37C8" w:rsidRPr="00D869E3">
        <w:rPr>
          <w:rFonts w:ascii="Verdana" w:hAnsi="Verdana"/>
          <w:sz w:val="20"/>
          <w:szCs w:val="20"/>
          <w:lang w:val="en-US"/>
        </w:rPr>
        <w:t>,</w:t>
      </w:r>
      <w:r w:rsidR="007A6FDA"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re</w:t>
      </w:r>
      <w:r w:rsidR="009D37C8" w:rsidRPr="00D869E3">
        <w:rPr>
          <w:rFonts w:ascii="Verdana" w:hAnsi="Verdana"/>
          <w:sz w:val="20"/>
          <w:szCs w:val="20"/>
          <w:lang w:val="en-US"/>
        </w:rPr>
        <w:t>peated this request because he had not received an answer.</w:t>
      </w:r>
      <w:r w:rsidR="007A6FDA" w:rsidRPr="00D869E3">
        <w:rPr>
          <w:rFonts w:ascii="Verdana" w:hAnsi="Verdana"/>
          <w:sz w:val="20"/>
          <w:szCs w:val="20"/>
          <w:vertAlign w:val="superscript"/>
          <w:lang w:val="en-US"/>
        </w:rPr>
        <w:footnoteReference w:id="92"/>
      </w:r>
      <w:r w:rsidR="007A6FDA" w:rsidRPr="00D869E3">
        <w:rPr>
          <w:rFonts w:ascii="Verdana" w:hAnsi="Verdana"/>
          <w:sz w:val="20"/>
          <w:szCs w:val="20"/>
          <w:lang w:val="en-US"/>
        </w:rPr>
        <w:t xml:space="preserve"> </w:t>
      </w:r>
      <w:r w:rsidR="009D37C8" w:rsidRPr="00D869E3">
        <w:rPr>
          <w:rFonts w:ascii="Verdana" w:hAnsi="Verdana"/>
          <w:sz w:val="20"/>
          <w:szCs w:val="20"/>
          <w:lang w:val="en-US"/>
        </w:rPr>
        <w:t>On June 24,</w:t>
      </w:r>
      <w:r w:rsidR="007A6FDA" w:rsidRPr="00D869E3">
        <w:rPr>
          <w:rFonts w:ascii="Verdana" w:hAnsi="Verdana"/>
          <w:sz w:val="20"/>
          <w:szCs w:val="20"/>
          <w:lang w:val="en-US"/>
        </w:rPr>
        <w:t xml:space="preserve"> 1997</w:t>
      </w:r>
      <w:r w:rsidR="009D37C8" w:rsidRPr="00D869E3">
        <w:rPr>
          <w:rFonts w:ascii="Verdana" w:hAnsi="Verdana"/>
          <w:sz w:val="20"/>
          <w:szCs w:val="20"/>
          <w:lang w:val="en-US"/>
        </w:rPr>
        <w:t>,</w:t>
      </w:r>
      <w:r w:rsidR="007A6FDA" w:rsidRPr="00D869E3">
        <w:rPr>
          <w:rFonts w:ascii="Verdana" w:hAnsi="Verdana"/>
          <w:sz w:val="20"/>
          <w:szCs w:val="20"/>
          <w:lang w:val="en-US"/>
        </w:rPr>
        <w:t xml:space="preserve"> </w:t>
      </w:r>
      <w:r w:rsidR="009D37C8" w:rsidRPr="00D869E3">
        <w:rPr>
          <w:rFonts w:ascii="Verdana" w:hAnsi="Verdana"/>
          <w:sz w:val="20"/>
          <w:szCs w:val="20"/>
          <w:lang w:val="en-US"/>
        </w:rPr>
        <w:t>the Third Specialized Civil Chamber</w:t>
      </w:r>
      <w:r w:rsidR="00447C65" w:rsidRPr="00D869E3">
        <w:rPr>
          <w:rFonts w:ascii="Verdana" w:hAnsi="Verdana"/>
          <w:sz w:val="20"/>
          <w:szCs w:val="20"/>
          <w:lang w:val="en-US"/>
        </w:rPr>
        <w:t xml:space="preserve"> of the </w:t>
      </w:r>
      <w:r w:rsidR="009D37C8" w:rsidRPr="00D869E3">
        <w:rPr>
          <w:rFonts w:ascii="Verdana" w:hAnsi="Verdana"/>
          <w:sz w:val="20"/>
          <w:szCs w:val="20"/>
          <w:lang w:val="en-US"/>
        </w:rPr>
        <w:t>Superior Court</w:t>
      </w:r>
      <w:r w:rsidR="007A6FDA" w:rsidRPr="00D869E3">
        <w:rPr>
          <w:rFonts w:ascii="Verdana" w:hAnsi="Verdana"/>
          <w:sz w:val="20"/>
          <w:szCs w:val="20"/>
          <w:lang w:val="en-US"/>
        </w:rPr>
        <w:t xml:space="preserve"> </w:t>
      </w:r>
      <w:r w:rsidR="009D37C8" w:rsidRPr="00D869E3">
        <w:rPr>
          <w:rFonts w:ascii="Verdana" w:hAnsi="Verdana"/>
          <w:sz w:val="20"/>
          <w:szCs w:val="20"/>
          <w:lang w:val="en-US"/>
        </w:rPr>
        <w:t>of</w:t>
      </w:r>
      <w:r w:rsidR="007A6FDA" w:rsidRPr="00D869E3">
        <w:rPr>
          <w:rFonts w:ascii="Verdana" w:hAnsi="Verdana"/>
          <w:sz w:val="20"/>
          <w:szCs w:val="20"/>
          <w:lang w:val="en-US"/>
        </w:rPr>
        <w:t xml:space="preserve"> Lima</w:t>
      </w:r>
      <w:r w:rsidR="005F0BEE" w:rsidRPr="00D869E3">
        <w:rPr>
          <w:rFonts w:ascii="Verdana" w:hAnsi="Verdana"/>
          <w:sz w:val="20"/>
          <w:szCs w:val="20"/>
          <w:lang w:val="en-US"/>
        </w:rPr>
        <w:t xml:space="preserve">, </w:t>
      </w:r>
      <w:r w:rsidR="009D37C8" w:rsidRPr="00D869E3">
        <w:rPr>
          <w:rFonts w:ascii="Verdana" w:hAnsi="Verdana"/>
          <w:sz w:val="20"/>
          <w:szCs w:val="20"/>
          <w:lang w:val="en-US"/>
        </w:rPr>
        <w:t>pursuant to a</w:t>
      </w:r>
      <w:r w:rsidR="00E542A7" w:rsidRPr="00D869E3">
        <w:rPr>
          <w:rFonts w:ascii="Verdana" w:hAnsi="Verdana"/>
          <w:sz w:val="20"/>
          <w:szCs w:val="20"/>
          <w:lang w:val="en-US"/>
        </w:rPr>
        <w:t>rticle</w:t>
      </w:r>
      <w:r w:rsidR="005F0BEE" w:rsidRPr="00D869E3">
        <w:rPr>
          <w:rFonts w:ascii="Verdana" w:hAnsi="Verdana"/>
          <w:sz w:val="20"/>
          <w:szCs w:val="20"/>
          <w:lang w:val="en-US"/>
        </w:rPr>
        <w:t xml:space="preserve"> 298 </w:t>
      </w:r>
      <w:r w:rsidR="001E3B42" w:rsidRPr="00D869E3">
        <w:rPr>
          <w:rFonts w:ascii="Verdana" w:hAnsi="Verdana"/>
          <w:sz w:val="20"/>
          <w:szCs w:val="20"/>
          <w:lang w:val="en-US"/>
        </w:rPr>
        <w:t xml:space="preserve">of the </w:t>
      </w:r>
      <w:r w:rsidR="009D37C8" w:rsidRPr="00D869E3">
        <w:rPr>
          <w:rFonts w:ascii="Verdana" w:hAnsi="Verdana"/>
          <w:sz w:val="20"/>
          <w:szCs w:val="20"/>
          <w:lang w:val="en-US"/>
        </w:rPr>
        <w:t xml:space="preserve">1979 </w:t>
      </w:r>
      <w:r w:rsidR="001E3B42" w:rsidRPr="00D869E3">
        <w:rPr>
          <w:rFonts w:ascii="Verdana" w:hAnsi="Verdana"/>
          <w:sz w:val="20"/>
          <w:szCs w:val="20"/>
          <w:lang w:val="en-US"/>
        </w:rPr>
        <w:t>Constitutio</w:t>
      </w:r>
      <w:r w:rsidR="009D37C8" w:rsidRPr="00D869E3">
        <w:rPr>
          <w:rFonts w:ascii="Verdana" w:hAnsi="Verdana"/>
          <w:sz w:val="20"/>
          <w:szCs w:val="20"/>
          <w:lang w:val="en-US"/>
        </w:rPr>
        <w:t>n,</w:t>
      </w:r>
      <w:r w:rsidR="005F0BEE" w:rsidRPr="00D869E3">
        <w:rPr>
          <w:rStyle w:val="Refdenotaalpie"/>
          <w:szCs w:val="20"/>
          <w:lang w:val="en-US"/>
        </w:rPr>
        <w:footnoteReference w:id="93"/>
      </w:r>
      <w:r w:rsidR="009D37C8" w:rsidRPr="00D869E3">
        <w:rPr>
          <w:rFonts w:ascii="Verdana" w:hAnsi="Verdana"/>
          <w:sz w:val="20"/>
          <w:szCs w:val="20"/>
          <w:lang w:val="en-US"/>
        </w:rPr>
        <w:t xml:space="preserve"> in force at the date of the application for amparo, declare</w:t>
      </w:r>
      <w:r w:rsidR="00902899" w:rsidRPr="00D869E3">
        <w:rPr>
          <w:rFonts w:ascii="Verdana" w:hAnsi="Verdana"/>
          <w:sz w:val="20"/>
          <w:szCs w:val="20"/>
          <w:lang w:val="en-US"/>
        </w:rPr>
        <w:t>d</w:t>
      </w:r>
      <w:r w:rsidR="009D37C8" w:rsidRPr="00D869E3">
        <w:rPr>
          <w:rFonts w:ascii="Verdana" w:hAnsi="Verdana"/>
          <w:sz w:val="20"/>
          <w:szCs w:val="20"/>
          <w:lang w:val="en-US"/>
        </w:rPr>
        <w:t xml:space="preserve"> the request inadmissible on the grounds that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009D37C8" w:rsidRPr="00D869E3">
        <w:rPr>
          <w:rFonts w:ascii="Verdana" w:hAnsi="Verdana"/>
          <w:sz w:val="20"/>
          <w:szCs w:val="20"/>
          <w:lang w:val="en-US"/>
        </w:rPr>
        <w:t xml:space="preserve">should have filed a request for cassation </w:t>
      </w:r>
      <w:r w:rsidR="00902899" w:rsidRPr="00D869E3">
        <w:rPr>
          <w:rFonts w:ascii="Verdana" w:hAnsi="Verdana"/>
          <w:sz w:val="20"/>
          <w:szCs w:val="20"/>
          <w:lang w:val="en-US"/>
        </w:rPr>
        <w:t>based on</w:t>
      </w:r>
      <w:r w:rsidR="009D37C8" w:rsidRPr="00D869E3">
        <w:rPr>
          <w:rFonts w:ascii="Verdana" w:hAnsi="Verdana"/>
          <w:sz w:val="20"/>
          <w:szCs w:val="20"/>
          <w:lang w:val="en-US"/>
        </w:rPr>
        <w:t xml:space="preserve"> the denial of the amparo application within 15 days of receiving notice of that decision and before the corresponding court, </w:t>
      </w:r>
      <w:r w:rsidR="00447C65" w:rsidRPr="00D869E3">
        <w:rPr>
          <w:rFonts w:ascii="Verdana" w:hAnsi="Verdana"/>
          <w:sz w:val="20"/>
          <w:szCs w:val="20"/>
          <w:lang w:val="en-US"/>
        </w:rPr>
        <w:t xml:space="preserve">the </w:t>
      </w:r>
      <w:r w:rsidR="00EE0BD4" w:rsidRPr="00D869E3">
        <w:rPr>
          <w:rFonts w:ascii="Verdana" w:hAnsi="Verdana"/>
          <w:sz w:val="20"/>
          <w:szCs w:val="20"/>
          <w:lang w:val="en-US"/>
        </w:rPr>
        <w:t>Court of Constitutional Guarantees</w:t>
      </w:r>
      <w:r w:rsidR="009D37C8" w:rsidRPr="00D869E3">
        <w:rPr>
          <w:rFonts w:ascii="Verdana" w:hAnsi="Verdana"/>
          <w:sz w:val="20"/>
          <w:szCs w:val="20"/>
          <w:lang w:val="en-US"/>
        </w:rPr>
        <w:t>.</w:t>
      </w:r>
      <w:r w:rsidR="007A6FDA" w:rsidRPr="00D869E3">
        <w:rPr>
          <w:rFonts w:ascii="Verdana" w:hAnsi="Verdana"/>
          <w:sz w:val="20"/>
          <w:szCs w:val="20"/>
          <w:vertAlign w:val="superscript"/>
          <w:lang w:val="en-US"/>
        </w:rPr>
        <w:footnoteReference w:id="94"/>
      </w:r>
      <w:r w:rsidR="007A6FDA" w:rsidRPr="00D869E3">
        <w:rPr>
          <w:rFonts w:ascii="Verdana" w:hAnsi="Verdana" w:cs="Arial"/>
          <w:sz w:val="20"/>
          <w:szCs w:val="20"/>
          <w:lang w:val="en-US"/>
        </w:rPr>
        <w:t xml:space="preserve"> </w:t>
      </w:r>
    </w:p>
    <w:p w14:paraId="27548CAB" w14:textId="77777777" w:rsidR="007A6FDA" w:rsidRPr="00D869E3" w:rsidRDefault="007A6FDA" w:rsidP="00333304">
      <w:pPr>
        <w:pStyle w:val="Prrafodelista"/>
        <w:ind w:left="0"/>
        <w:jc w:val="both"/>
        <w:rPr>
          <w:rFonts w:ascii="Verdana" w:hAnsi="Verdana"/>
          <w:b/>
          <w:sz w:val="20"/>
          <w:szCs w:val="20"/>
          <w:lang w:val="en-US"/>
        </w:rPr>
      </w:pPr>
    </w:p>
    <w:p w14:paraId="7A18499C" w14:textId="699C77AD" w:rsidR="007A6FDA" w:rsidRPr="00D869E3" w:rsidRDefault="00756501" w:rsidP="00674572">
      <w:pPr>
        <w:pStyle w:val="Prrafodelista"/>
        <w:numPr>
          <w:ilvl w:val="0"/>
          <w:numId w:val="1"/>
        </w:numPr>
        <w:ind w:left="0" w:hanging="11"/>
        <w:jc w:val="both"/>
        <w:rPr>
          <w:rFonts w:ascii="Verdana" w:hAnsi="Verdana"/>
          <w:b/>
          <w:sz w:val="20"/>
          <w:szCs w:val="20"/>
          <w:lang w:val="en-US"/>
        </w:rPr>
      </w:pPr>
      <w:r w:rsidRPr="00D869E3">
        <w:rPr>
          <w:rFonts w:ascii="Verdana" w:hAnsi="Verdana"/>
          <w:sz w:val="20"/>
          <w:szCs w:val="20"/>
          <w:lang w:val="en-US"/>
        </w:rPr>
        <w:t>On July 18,</w:t>
      </w:r>
      <w:r w:rsidR="007A6FDA" w:rsidRPr="00D869E3">
        <w:rPr>
          <w:rFonts w:ascii="Verdana" w:hAnsi="Verdana"/>
          <w:sz w:val="20"/>
          <w:szCs w:val="20"/>
          <w:lang w:val="en-US"/>
        </w:rPr>
        <w:t xml:space="preserve"> 1997</w:t>
      </w:r>
      <w:r w:rsidRPr="00D869E3">
        <w:rPr>
          <w:rFonts w:ascii="Verdana" w:hAnsi="Verdana"/>
          <w:sz w:val="20"/>
          <w:szCs w:val="20"/>
          <w:lang w:val="en-US"/>
        </w:rPr>
        <w:t>,</w:t>
      </w:r>
      <w:r w:rsidR="007A6FDA"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Pr="00D869E3">
        <w:rPr>
          <w:rFonts w:ascii="Verdana" w:hAnsi="Verdana"/>
          <w:sz w:val="20"/>
          <w:szCs w:val="20"/>
          <w:lang w:val="en-US"/>
        </w:rPr>
        <w:t>filed an appeal</w:t>
      </w:r>
      <w:r w:rsidR="007A6FDA" w:rsidRPr="00D869E3">
        <w:rPr>
          <w:rFonts w:ascii="Verdana" w:hAnsi="Verdana"/>
          <w:sz w:val="20"/>
          <w:szCs w:val="20"/>
          <w:vertAlign w:val="superscript"/>
          <w:lang w:val="en-US"/>
        </w:rPr>
        <w:footnoteReference w:id="95"/>
      </w:r>
      <w:r w:rsidR="007A6FDA" w:rsidRPr="00D869E3">
        <w:rPr>
          <w:rFonts w:ascii="Verdana" w:hAnsi="Verdana"/>
          <w:sz w:val="20"/>
          <w:szCs w:val="20"/>
          <w:lang w:val="en-US"/>
        </w:rPr>
        <w:t xml:space="preserve"> </w:t>
      </w:r>
      <w:r w:rsidRPr="00D869E3">
        <w:rPr>
          <w:rFonts w:ascii="Verdana" w:hAnsi="Verdana"/>
          <w:sz w:val="20"/>
          <w:szCs w:val="20"/>
          <w:lang w:val="en-US"/>
        </w:rPr>
        <w:t>before</w:t>
      </w:r>
      <w:r w:rsidR="007A6FDA" w:rsidRPr="00D869E3">
        <w:rPr>
          <w:rFonts w:ascii="Verdana" w:hAnsi="Verdana"/>
          <w:sz w:val="20"/>
          <w:szCs w:val="20"/>
          <w:lang w:val="en-US"/>
        </w:rPr>
        <w:t xml:space="preserve"> </w:t>
      </w:r>
      <w:r w:rsidR="009D37C8" w:rsidRPr="00D869E3">
        <w:rPr>
          <w:rFonts w:ascii="Verdana" w:hAnsi="Verdana"/>
          <w:sz w:val="20"/>
          <w:szCs w:val="20"/>
          <w:lang w:val="en-US"/>
        </w:rPr>
        <w:t>the Third Specialized Civil Chamber</w:t>
      </w:r>
      <w:r w:rsidR="00447C65" w:rsidRPr="00D869E3">
        <w:rPr>
          <w:rFonts w:ascii="Verdana" w:hAnsi="Verdana"/>
          <w:sz w:val="20"/>
          <w:szCs w:val="20"/>
          <w:lang w:val="en-US"/>
        </w:rPr>
        <w:t xml:space="preserve"> of the </w:t>
      </w:r>
      <w:r w:rsidR="009D37C8" w:rsidRPr="00D869E3">
        <w:rPr>
          <w:rFonts w:ascii="Verdana" w:hAnsi="Verdana"/>
          <w:sz w:val="20"/>
          <w:szCs w:val="20"/>
          <w:lang w:val="en-US"/>
        </w:rPr>
        <w:t>Superior Court</w:t>
      </w:r>
      <w:r w:rsidR="007A6FDA" w:rsidRPr="00D869E3">
        <w:rPr>
          <w:rFonts w:ascii="Verdana" w:hAnsi="Verdana"/>
          <w:sz w:val="20"/>
          <w:szCs w:val="20"/>
          <w:lang w:val="en-US"/>
        </w:rPr>
        <w:t xml:space="preserve">, </w:t>
      </w:r>
      <w:r w:rsidR="00674572" w:rsidRPr="00D869E3">
        <w:rPr>
          <w:rFonts w:ascii="Verdana" w:hAnsi="Verdana"/>
          <w:sz w:val="20"/>
          <w:szCs w:val="20"/>
          <w:lang w:val="en-US"/>
        </w:rPr>
        <w:t xml:space="preserve">asserting that </w:t>
      </w:r>
      <w:r w:rsidR="00447C65" w:rsidRPr="00D869E3">
        <w:rPr>
          <w:rFonts w:ascii="Verdana" w:hAnsi="Verdana"/>
          <w:sz w:val="20"/>
          <w:szCs w:val="20"/>
          <w:lang w:val="en-US"/>
        </w:rPr>
        <w:t xml:space="preserve">the </w:t>
      </w:r>
      <w:r w:rsidR="00674572" w:rsidRPr="00D869E3">
        <w:rPr>
          <w:rFonts w:ascii="Verdana" w:hAnsi="Verdana"/>
          <w:sz w:val="20"/>
          <w:szCs w:val="20"/>
          <w:lang w:val="en-US"/>
        </w:rPr>
        <w:t>Court of Constitutional Guarantees had been placed in “recess by the Government of national reconstruction and pacification” for nearly four years, and he had therefore chosen to file motions for review of judgment before the Constitutional and Social Chamber</w:t>
      </w:r>
      <w:r w:rsidR="00447C65" w:rsidRPr="00D869E3">
        <w:rPr>
          <w:rFonts w:ascii="Verdana" w:hAnsi="Verdana"/>
          <w:sz w:val="20"/>
          <w:szCs w:val="20"/>
          <w:lang w:val="en-US"/>
        </w:rPr>
        <w:t xml:space="preserve"> of the </w:t>
      </w:r>
      <w:r w:rsidR="009F1D2A" w:rsidRPr="00D869E3">
        <w:rPr>
          <w:rFonts w:ascii="Verdana" w:hAnsi="Verdana"/>
          <w:sz w:val="20"/>
          <w:szCs w:val="20"/>
          <w:lang w:val="en-US"/>
        </w:rPr>
        <w:t>Supreme Court of Justice</w:t>
      </w:r>
      <w:r w:rsidR="007A6FDA" w:rsidRPr="00D869E3">
        <w:rPr>
          <w:rFonts w:ascii="Verdana" w:hAnsi="Verdana"/>
          <w:sz w:val="20"/>
          <w:szCs w:val="20"/>
          <w:lang w:val="en-US"/>
        </w:rPr>
        <w:t xml:space="preserve"> </w:t>
      </w:r>
      <w:r w:rsidR="00674572" w:rsidRPr="00D869E3">
        <w:rPr>
          <w:rFonts w:ascii="Verdana" w:hAnsi="Verdana"/>
          <w:sz w:val="20"/>
          <w:szCs w:val="20"/>
          <w:lang w:val="en-US"/>
        </w:rPr>
        <w:t xml:space="preserve">that </w:t>
      </w:r>
      <w:r w:rsidR="00902899" w:rsidRPr="00D869E3">
        <w:rPr>
          <w:rFonts w:ascii="Verdana" w:hAnsi="Verdana"/>
          <w:sz w:val="20"/>
          <w:szCs w:val="20"/>
          <w:lang w:val="en-US"/>
        </w:rPr>
        <w:t>had</w:t>
      </w:r>
      <w:r w:rsidR="00674572" w:rsidRPr="00D869E3">
        <w:rPr>
          <w:rFonts w:ascii="Verdana" w:hAnsi="Verdana"/>
          <w:sz w:val="20"/>
          <w:szCs w:val="20"/>
          <w:lang w:val="en-US"/>
        </w:rPr>
        <w:t xml:space="preserve"> never </w:t>
      </w:r>
      <w:r w:rsidR="00902899" w:rsidRPr="00D869E3">
        <w:rPr>
          <w:rFonts w:ascii="Verdana" w:hAnsi="Verdana"/>
          <w:sz w:val="20"/>
          <w:szCs w:val="20"/>
          <w:lang w:val="en-US"/>
        </w:rPr>
        <w:t xml:space="preserve">been </w:t>
      </w:r>
      <w:r w:rsidR="00674572" w:rsidRPr="00D869E3">
        <w:rPr>
          <w:rFonts w:ascii="Verdana" w:hAnsi="Verdana"/>
          <w:sz w:val="20"/>
          <w:szCs w:val="20"/>
          <w:lang w:val="en-US"/>
        </w:rPr>
        <w:t xml:space="preserve">decided. On July 25, </w:t>
      </w:r>
      <w:r w:rsidR="007A6FDA" w:rsidRPr="00D869E3">
        <w:rPr>
          <w:rFonts w:ascii="Verdana" w:hAnsi="Verdana"/>
          <w:sz w:val="20"/>
          <w:szCs w:val="20"/>
          <w:lang w:val="en-US"/>
        </w:rPr>
        <w:t>1997</w:t>
      </w:r>
      <w:r w:rsidR="00674572" w:rsidRPr="00D869E3">
        <w:rPr>
          <w:rFonts w:ascii="Verdana" w:hAnsi="Verdana"/>
          <w:sz w:val="20"/>
          <w:szCs w:val="20"/>
          <w:lang w:val="en-US"/>
        </w:rPr>
        <w:t>,</w:t>
      </w:r>
      <w:r w:rsidR="007A6FDA" w:rsidRPr="00D869E3">
        <w:rPr>
          <w:rFonts w:ascii="Verdana" w:hAnsi="Verdana"/>
          <w:sz w:val="20"/>
          <w:szCs w:val="20"/>
          <w:lang w:val="en-US"/>
        </w:rPr>
        <w:t xml:space="preserve"> </w:t>
      </w:r>
      <w:r w:rsidR="009D37C8" w:rsidRPr="00D869E3">
        <w:rPr>
          <w:rFonts w:ascii="Verdana" w:hAnsi="Verdana"/>
          <w:sz w:val="20"/>
          <w:szCs w:val="20"/>
          <w:lang w:val="en-US"/>
        </w:rPr>
        <w:t>the Third Specialized Civil Chamber</w:t>
      </w:r>
      <w:r w:rsidR="00447C65" w:rsidRPr="00D869E3">
        <w:rPr>
          <w:rFonts w:ascii="Verdana" w:hAnsi="Verdana"/>
          <w:sz w:val="20"/>
          <w:szCs w:val="20"/>
          <w:lang w:val="en-US"/>
        </w:rPr>
        <w:t xml:space="preserve"> of the </w:t>
      </w:r>
      <w:r w:rsidR="009D37C8" w:rsidRPr="00D869E3">
        <w:rPr>
          <w:rFonts w:ascii="Verdana" w:hAnsi="Verdana"/>
          <w:sz w:val="20"/>
          <w:szCs w:val="20"/>
          <w:lang w:val="en-US"/>
        </w:rPr>
        <w:t>Superior Court</w:t>
      </w:r>
      <w:r w:rsidR="007A6FDA" w:rsidRPr="00D869E3">
        <w:rPr>
          <w:rFonts w:ascii="Verdana" w:hAnsi="Verdana"/>
          <w:sz w:val="20"/>
          <w:szCs w:val="20"/>
          <w:lang w:val="en-US"/>
        </w:rPr>
        <w:t xml:space="preserve"> declar</w:t>
      </w:r>
      <w:r w:rsidR="00674572" w:rsidRPr="00D869E3">
        <w:rPr>
          <w:rFonts w:ascii="Verdana" w:hAnsi="Verdana"/>
          <w:sz w:val="20"/>
          <w:szCs w:val="20"/>
          <w:lang w:val="en-US"/>
        </w:rPr>
        <w:t xml:space="preserve">ed the appeal inadmissible, because an appeal against the decision of June 24, </w:t>
      </w:r>
      <w:r w:rsidR="007A6FDA" w:rsidRPr="00D869E3">
        <w:rPr>
          <w:rFonts w:ascii="Verdana" w:hAnsi="Verdana"/>
          <w:sz w:val="20"/>
          <w:szCs w:val="20"/>
          <w:lang w:val="en-US"/>
        </w:rPr>
        <w:t>1997</w:t>
      </w:r>
      <w:r w:rsidR="00674572" w:rsidRPr="00D869E3">
        <w:rPr>
          <w:rFonts w:ascii="Verdana" w:hAnsi="Verdana"/>
          <w:sz w:val="20"/>
          <w:szCs w:val="20"/>
          <w:lang w:val="en-US"/>
        </w:rPr>
        <w:t>, was not established in the laws of</w:t>
      </w:r>
      <w:r w:rsidR="007A6FDA" w:rsidRPr="00D869E3">
        <w:rPr>
          <w:rFonts w:ascii="Verdana" w:hAnsi="Verdana"/>
          <w:sz w:val="20"/>
          <w:szCs w:val="20"/>
          <w:lang w:val="en-US"/>
        </w:rPr>
        <w:t xml:space="preserve"> </w:t>
      </w:r>
      <w:r w:rsidR="00447C65" w:rsidRPr="00D869E3">
        <w:rPr>
          <w:rFonts w:ascii="Verdana" w:hAnsi="Verdana"/>
          <w:sz w:val="20"/>
          <w:szCs w:val="20"/>
          <w:lang w:val="en-US"/>
        </w:rPr>
        <w:t>Peru</w:t>
      </w:r>
      <w:r w:rsidR="00674572" w:rsidRPr="00D869E3">
        <w:rPr>
          <w:rFonts w:ascii="Verdana" w:hAnsi="Verdana"/>
          <w:sz w:val="20"/>
          <w:szCs w:val="20"/>
          <w:lang w:val="en-US"/>
        </w:rPr>
        <w:t>.</w:t>
      </w:r>
      <w:r w:rsidR="007A6FDA" w:rsidRPr="00D869E3">
        <w:rPr>
          <w:rFonts w:ascii="Verdana" w:hAnsi="Verdana"/>
          <w:sz w:val="20"/>
          <w:szCs w:val="20"/>
          <w:vertAlign w:val="superscript"/>
          <w:lang w:val="en-US"/>
        </w:rPr>
        <w:footnoteReference w:id="96"/>
      </w:r>
    </w:p>
    <w:p w14:paraId="56844E91" w14:textId="77777777" w:rsidR="000E40FD" w:rsidRPr="00D869E3" w:rsidRDefault="000E40FD" w:rsidP="000E40FD">
      <w:pPr>
        <w:pStyle w:val="Prrafodelista"/>
        <w:ind w:left="0"/>
        <w:jc w:val="both"/>
        <w:rPr>
          <w:rFonts w:ascii="Verdana" w:hAnsi="Verdana"/>
          <w:b/>
          <w:sz w:val="20"/>
          <w:szCs w:val="20"/>
          <w:lang w:val="en-US"/>
        </w:rPr>
      </w:pPr>
    </w:p>
    <w:p w14:paraId="458AA4C0" w14:textId="6D3FAB97" w:rsidR="00275EDE" w:rsidRPr="00D869E3" w:rsidRDefault="00674572" w:rsidP="00312792">
      <w:pPr>
        <w:pStyle w:val="Prrafodelista"/>
        <w:numPr>
          <w:ilvl w:val="0"/>
          <w:numId w:val="1"/>
        </w:numPr>
        <w:ind w:left="0" w:hanging="11"/>
        <w:jc w:val="both"/>
        <w:rPr>
          <w:rFonts w:ascii="Verdana" w:hAnsi="Verdana"/>
          <w:b/>
          <w:sz w:val="20"/>
          <w:szCs w:val="20"/>
          <w:lang w:val="en-US"/>
        </w:rPr>
      </w:pPr>
      <w:r w:rsidRPr="00D869E3">
        <w:rPr>
          <w:rFonts w:ascii="Verdana" w:eastAsia="Batang" w:hAnsi="Verdana"/>
          <w:sz w:val="20"/>
          <w:szCs w:val="20"/>
          <w:lang w:val="en-US" w:eastAsia="es-ES"/>
        </w:rPr>
        <w:lastRenderedPageBreak/>
        <w:t>On August 19,</w:t>
      </w:r>
      <w:r w:rsidR="007A6FDA" w:rsidRPr="00D869E3">
        <w:rPr>
          <w:rFonts w:ascii="Verdana" w:eastAsia="Batang" w:hAnsi="Verdana"/>
          <w:sz w:val="20"/>
          <w:szCs w:val="20"/>
          <w:lang w:val="en-US" w:eastAsia="es-ES"/>
        </w:rPr>
        <w:t xml:space="preserve"> 1997</w:t>
      </w:r>
      <w:r w:rsidRPr="00D869E3">
        <w:rPr>
          <w:rFonts w:ascii="Verdana" w:eastAsia="Batang" w:hAnsi="Verdana"/>
          <w:sz w:val="20"/>
          <w:szCs w:val="20"/>
          <w:lang w:val="en-US" w:eastAsia="es-ES"/>
        </w:rPr>
        <w:t xml:space="preserve">, Mr. </w:t>
      </w:r>
      <w:r w:rsidR="007A6FDA" w:rsidRPr="00D869E3">
        <w:rPr>
          <w:rFonts w:ascii="Verdana" w:eastAsia="Batang" w:hAnsi="Verdana"/>
          <w:sz w:val="20"/>
          <w:szCs w:val="20"/>
          <w:lang w:val="en-US" w:eastAsia="es-ES"/>
        </w:rPr>
        <w:t>Lago del Campo</w:t>
      </w:r>
      <w:r w:rsidRPr="00D869E3">
        <w:rPr>
          <w:rFonts w:ascii="Verdana" w:eastAsia="Batang" w:hAnsi="Verdana"/>
          <w:sz w:val="20"/>
          <w:szCs w:val="20"/>
          <w:lang w:val="en-US" w:eastAsia="es-ES"/>
        </w:rPr>
        <w:t xml:space="preserve"> filed</w:t>
      </w:r>
      <w:r w:rsidR="007A6FDA" w:rsidRPr="00D869E3">
        <w:rPr>
          <w:rFonts w:ascii="Verdana" w:eastAsia="Batang" w:hAnsi="Verdana"/>
          <w:sz w:val="20"/>
          <w:szCs w:val="20"/>
          <w:lang w:val="en-US" w:eastAsia="es-ES"/>
        </w:rPr>
        <w:t xml:space="preserve"> </w:t>
      </w:r>
      <w:r w:rsidRPr="00D869E3">
        <w:rPr>
          <w:rFonts w:ascii="Verdana" w:eastAsia="Batang" w:hAnsi="Verdana"/>
          <w:sz w:val="20"/>
          <w:szCs w:val="20"/>
          <w:lang w:val="en-US" w:eastAsia="es-ES"/>
        </w:rPr>
        <w:t>a request for review of the appeal that had been denied</w:t>
      </w:r>
      <w:r w:rsidR="007A6FDA" w:rsidRPr="00D869E3">
        <w:rPr>
          <w:rFonts w:ascii="Verdana" w:hAnsi="Verdana"/>
          <w:sz w:val="20"/>
          <w:szCs w:val="20"/>
          <w:vertAlign w:val="superscript"/>
          <w:lang w:val="en-US"/>
        </w:rPr>
        <w:footnoteReference w:id="97"/>
      </w:r>
      <w:r w:rsidR="007A6FDA" w:rsidRPr="00D869E3">
        <w:rPr>
          <w:rFonts w:ascii="Verdana" w:eastAsia="Batang" w:hAnsi="Verdana"/>
          <w:sz w:val="20"/>
          <w:szCs w:val="20"/>
          <w:lang w:val="en-US" w:eastAsia="es-ES"/>
        </w:rPr>
        <w:t xml:space="preserve"> </w:t>
      </w:r>
      <w:r w:rsidRPr="00D869E3">
        <w:rPr>
          <w:rFonts w:ascii="Verdana" w:eastAsia="Batang" w:hAnsi="Verdana"/>
          <w:sz w:val="20"/>
          <w:szCs w:val="20"/>
          <w:lang w:val="en-US" w:eastAsia="es-ES"/>
        </w:rPr>
        <w:t>before</w:t>
      </w:r>
      <w:r w:rsidR="007A6FDA" w:rsidRPr="00D869E3">
        <w:rPr>
          <w:rFonts w:ascii="Verdana" w:eastAsia="Batang" w:hAnsi="Verdana"/>
          <w:sz w:val="20"/>
          <w:szCs w:val="20"/>
          <w:lang w:val="en-US" w:eastAsia="es-ES"/>
        </w:rPr>
        <w:t xml:space="preserve"> </w:t>
      </w:r>
      <w:r w:rsidR="009D37C8" w:rsidRPr="00D869E3">
        <w:rPr>
          <w:rFonts w:ascii="Verdana" w:eastAsia="Batang" w:hAnsi="Verdana"/>
          <w:sz w:val="20"/>
          <w:szCs w:val="20"/>
          <w:lang w:val="en-US" w:eastAsia="es-ES"/>
        </w:rPr>
        <w:t>the Third Specialized Civil Chamber</w:t>
      </w:r>
      <w:r w:rsidR="00447C65" w:rsidRPr="00D869E3">
        <w:rPr>
          <w:rFonts w:ascii="Verdana" w:eastAsia="Batang" w:hAnsi="Verdana"/>
          <w:sz w:val="20"/>
          <w:szCs w:val="20"/>
          <w:lang w:val="en-US" w:eastAsia="es-ES"/>
        </w:rPr>
        <w:t xml:space="preserve"> of the </w:t>
      </w:r>
      <w:r w:rsidR="009D37C8" w:rsidRPr="00D869E3">
        <w:rPr>
          <w:rFonts w:ascii="Verdana" w:eastAsia="Batang" w:hAnsi="Verdana"/>
          <w:sz w:val="20"/>
          <w:szCs w:val="20"/>
          <w:lang w:val="en-US" w:eastAsia="es-ES"/>
        </w:rPr>
        <w:t>Superior Court</w:t>
      </w:r>
      <w:r w:rsidR="007A6FDA" w:rsidRPr="00D869E3">
        <w:rPr>
          <w:rFonts w:ascii="Verdana" w:eastAsia="Batang" w:hAnsi="Verdana"/>
          <w:sz w:val="20"/>
          <w:szCs w:val="20"/>
          <w:lang w:val="en-US" w:eastAsia="es-ES"/>
        </w:rPr>
        <w:t xml:space="preserve">, </w:t>
      </w:r>
      <w:r w:rsidR="00473A96" w:rsidRPr="00D869E3">
        <w:rPr>
          <w:rFonts w:ascii="Verdana" w:eastAsia="Batang" w:hAnsi="Verdana"/>
          <w:sz w:val="20"/>
          <w:szCs w:val="20"/>
          <w:lang w:val="en-US" w:eastAsia="es-ES"/>
        </w:rPr>
        <w:t>requesting that</w:t>
      </w:r>
      <w:r w:rsidRPr="00D869E3">
        <w:rPr>
          <w:rFonts w:ascii="Verdana" w:eastAsia="Batang" w:hAnsi="Verdana"/>
          <w:sz w:val="20"/>
          <w:szCs w:val="20"/>
          <w:lang w:val="en-US" w:eastAsia="es-ES"/>
        </w:rPr>
        <w:t xml:space="preserve"> his application for amparo to be heard in final instance by</w:t>
      </w:r>
      <w:r w:rsidR="007A6FDA" w:rsidRPr="00D869E3">
        <w:rPr>
          <w:rFonts w:ascii="Verdana" w:eastAsia="Batang" w:hAnsi="Verdana"/>
          <w:sz w:val="20"/>
          <w:szCs w:val="20"/>
          <w:lang w:val="en-US" w:eastAsia="es-ES"/>
        </w:rPr>
        <w:t xml:space="preserve"> </w:t>
      </w:r>
      <w:r w:rsidR="00447C65" w:rsidRPr="00D869E3">
        <w:rPr>
          <w:rFonts w:ascii="Verdana" w:eastAsia="Batang" w:hAnsi="Verdana"/>
          <w:sz w:val="20"/>
          <w:szCs w:val="20"/>
          <w:lang w:val="en-US" w:eastAsia="es-ES"/>
        </w:rPr>
        <w:t xml:space="preserve">the </w:t>
      </w:r>
      <w:r w:rsidRPr="00D869E3">
        <w:rPr>
          <w:rFonts w:ascii="Verdana" w:eastAsia="Batang" w:hAnsi="Verdana"/>
          <w:sz w:val="20"/>
          <w:szCs w:val="20"/>
          <w:lang w:val="en-US" w:eastAsia="es-ES"/>
        </w:rPr>
        <w:t>Constitutional Court</w:t>
      </w:r>
      <w:r w:rsidR="007A6FDA" w:rsidRPr="00D869E3">
        <w:rPr>
          <w:rFonts w:ascii="Verdana" w:eastAsia="Batang" w:hAnsi="Verdana"/>
          <w:sz w:val="20"/>
          <w:szCs w:val="20"/>
          <w:lang w:val="en-US" w:eastAsia="es-ES"/>
        </w:rPr>
        <w:t xml:space="preserve">. </w:t>
      </w:r>
      <w:r w:rsidRPr="00D869E3">
        <w:rPr>
          <w:rFonts w:ascii="Verdana" w:eastAsia="Batang" w:hAnsi="Verdana"/>
          <w:sz w:val="20"/>
          <w:szCs w:val="20"/>
          <w:lang w:val="en-US" w:eastAsia="es-ES"/>
        </w:rPr>
        <w:t>On October 2,</w:t>
      </w:r>
      <w:r w:rsidR="007A6FDA" w:rsidRPr="00D869E3">
        <w:rPr>
          <w:rFonts w:ascii="Verdana" w:eastAsia="Batang" w:hAnsi="Verdana"/>
          <w:sz w:val="20"/>
          <w:szCs w:val="20"/>
          <w:lang w:val="en-US" w:eastAsia="es-ES"/>
        </w:rPr>
        <w:t xml:space="preserve"> 1997</w:t>
      </w:r>
      <w:r w:rsidRPr="00D869E3">
        <w:rPr>
          <w:rFonts w:ascii="Verdana" w:eastAsia="Batang" w:hAnsi="Verdana"/>
          <w:sz w:val="20"/>
          <w:szCs w:val="20"/>
          <w:lang w:val="en-US" w:eastAsia="es-ES"/>
        </w:rPr>
        <w:t xml:space="preserve">, </w:t>
      </w:r>
      <w:r w:rsidR="001E44D3" w:rsidRPr="00D869E3">
        <w:rPr>
          <w:rFonts w:ascii="Verdana" w:eastAsia="Batang" w:hAnsi="Verdana"/>
          <w:sz w:val="20"/>
          <w:szCs w:val="20"/>
          <w:lang w:val="en-US" w:eastAsia="es-ES"/>
        </w:rPr>
        <w:t>Mr. Lagos del Campo</w:t>
      </w:r>
      <w:r w:rsidR="007A6FDA" w:rsidRPr="00D869E3">
        <w:rPr>
          <w:rFonts w:ascii="Verdana" w:eastAsia="Batang" w:hAnsi="Verdana"/>
          <w:sz w:val="20"/>
          <w:szCs w:val="20"/>
          <w:lang w:val="en-US" w:eastAsia="es-ES"/>
        </w:rPr>
        <w:t xml:space="preserve"> </w:t>
      </w:r>
      <w:r w:rsidRPr="00D869E3">
        <w:rPr>
          <w:rFonts w:ascii="Verdana" w:eastAsia="Batang" w:hAnsi="Verdana"/>
          <w:sz w:val="20"/>
          <w:szCs w:val="20"/>
          <w:lang w:val="en-US" w:eastAsia="es-ES"/>
        </w:rPr>
        <w:t xml:space="preserve">submitted the request for review of the appeal that had been denied to the </w:t>
      </w:r>
      <w:r w:rsidR="00447C65" w:rsidRPr="00D869E3">
        <w:rPr>
          <w:rFonts w:ascii="Verdana" w:eastAsia="Batang" w:hAnsi="Verdana"/>
          <w:sz w:val="20"/>
          <w:szCs w:val="20"/>
          <w:lang w:val="en-US" w:eastAsia="es-ES"/>
        </w:rPr>
        <w:t xml:space="preserve">President of the </w:t>
      </w:r>
      <w:r w:rsidRPr="00D869E3">
        <w:rPr>
          <w:rFonts w:ascii="Verdana" w:eastAsia="Batang" w:hAnsi="Verdana"/>
          <w:sz w:val="20"/>
          <w:szCs w:val="20"/>
          <w:lang w:val="en-US" w:eastAsia="es-ES"/>
        </w:rPr>
        <w:t>Constitutional Court</w:t>
      </w:r>
      <w:r w:rsidR="00D20A28" w:rsidRPr="00D869E3">
        <w:rPr>
          <w:rFonts w:ascii="Verdana" w:hAnsi="Verdana"/>
          <w:sz w:val="20"/>
          <w:szCs w:val="20"/>
          <w:lang w:val="en-US"/>
        </w:rPr>
        <w:t>.</w:t>
      </w:r>
      <w:r w:rsidR="007A6FDA" w:rsidRPr="00D869E3">
        <w:rPr>
          <w:rFonts w:ascii="Verdana" w:hAnsi="Verdana"/>
          <w:sz w:val="20"/>
          <w:szCs w:val="20"/>
          <w:lang w:val="en-US"/>
        </w:rPr>
        <w:t xml:space="preserve"> </w:t>
      </w:r>
      <w:r w:rsidRPr="00D869E3">
        <w:rPr>
          <w:rFonts w:ascii="Verdana" w:hAnsi="Verdana"/>
          <w:sz w:val="20"/>
          <w:szCs w:val="20"/>
          <w:lang w:val="en-US"/>
        </w:rPr>
        <w:t>On November 27,</w:t>
      </w:r>
      <w:r w:rsidR="007A6FDA" w:rsidRPr="00D869E3">
        <w:rPr>
          <w:rFonts w:ascii="Verdana" w:eastAsia="Batang" w:hAnsi="Verdana"/>
          <w:sz w:val="20"/>
          <w:szCs w:val="20"/>
          <w:lang w:val="en-US" w:eastAsia="es-ES"/>
        </w:rPr>
        <w:t xml:space="preserve"> 1997</w:t>
      </w:r>
      <w:r w:rsidRPr="00D869E3">
        <w:rPr>
          <w:rFonts w:ascii="Verdana" w:eastAsia="Batang" w:hAnsi="Verdana"/>
          <w:sz w:val="20"/>
          <w:szCs w:val="20"/>
          <w:lang w:val="en-US" w:eastAsia="es-ES"/>
        </w:rPr>
        <w:t>,</w:t>
      </w:r>
      <w:r w:rsidR="007A6FDA" w:rsidRPr="00D869E3">
        <w:rPr>
          <w:rFonts w:ascii="Verdana" w:eastAsia="Batang" w:hAnsi="Verdana"/>
          <w:sz w:val="20"/>
          <w:szCs w:val="20"/>
          <w:lang w:val="en-US" w:eastAsia="es-ES"/>
        </w:rPr>
        <w:t xml:space="preserve"> </w:t>
      </w:r>
      <w:r w:rsidR="00EB5E2E" w:rsidRPr="00D869E3">
        <w:rPr>
          <w:rFonts w:ascii="Verdana" w:eastAsia="Batang" w:hAnsi="Verdana"/>
          <w:sz w:val="20"/>
          <w:szCs w:val="20"/>
          <w:lang w:val="en-US" w:eastAsia="es-ES"/>
        </w:rPr>
        <w:t>the Social and Constitutional Law Chamber</w:t>
      </w:r>
      <w:r w:rsidR="00447C65" w:rsidRPr="00D869E3">
        <w:rPr>
          <w:rFonts w:ascii="Verdana" w:eastAsia="Batang" w:hAnsi="Verdana"/>
          <w:sz w:val="20"/>
          <w:szCs w:val="20"/>
          <w:lang w:val="en-US" w:eastAsia="es-ES"/>
        </w:rPr>
        <w:t xml:space="preserve"> of the </w:t>
      </w:r>
      <w:r w:rsidR="009F1D2A" w:rsidRPr="00D869E3">
        <w:rPr>
          <w:rFonts w:ascii="Verdana" w:eastAsia="Batang" w:hAnsi="Verdana"/>
          <w:sz w:val="20"/>
          <w:szCs w:val="20"/>
          <w:lang w:val="en-US" w:eastAsia="es-ES"/>
        </w:rPr>
        <w:t>Supreme Court of Justice</w:t>
      </w:r>
      <w:r w:rsidR="007A6FDA" w:rsidRPr="00D869E3">
        <w:rPr>
          <w:rFonts w:ascii="Verdana" w:eastAsia="Batang" w:hAnsi="Verdana"/>
          <w:sz w:val="20"/>
          <w:szCs w:val="20"/>
          <w:lang w:val="en-US" w:eastAsia="es-ES"/>
        </w:rPr>
        <w:t xml:space="preserve"> </w:t>
      </w:r>
      <w:r w:rsidR="00312792" w:rsidRPr="00D869E3">
        <w:rPr>
          <w:rFonts w:ascii="Verdana" w:eastAsia="Batang" w:hAnsi="Verdana"/>
          <w:sz w:val="20"/>
          <w:szCs w:val="20"/>
          <w:lang w:val="en-US" w:eastAsia="es-ES"/>
        </w:rPr>
        <w:t xml:space="preserve">decided </w:t>
      </w:r>
      <w:r w:rsidR="00473A96" w:rsidRPr="00D869E3">
        <w:rPr>
          <w:rFonts w:ascii="Verdana" w:eastAsia="Batang" w:hAnsi="Verdana"/>
          <w:sz w:val="20"/>
          <w:szCs w:val="20"/>
          <w:lang w:val="en-US" w:eastAsia="es-ES"/>
        </w:rPr>
        <w:t>complaint</w:t>
      </w:r>
      <w:r w:rsidR="007A6FDA" w:rsidRPr="00D869E3">
        <w:rPr>
          <w:rFonts w:ascii="Verdana" w:eastAsia="Batang" w:hAnsi="Verdana"/>
          <w:sz w:val="20"/>
          <w:szCs w:val="20"/>
          <w:lang w:val="en-US" w:eastAsia="es-ES"/>
        </w:rPr>
        <w:t xml:space="preserve"> 447-97, declar</w:t>
      </w:r>
      <w:r w:rsidR="00312792" w:rsidRPr="00D869E3">
        <w:rPr>
          <w:rFonts w:ascii="Verdana" w:eastAsia="Batang" w:hAnsi="Verdana"/>
          <w:sz w:val="20"/>
          <w:szCs w:val="20"/>
          <w:lang w:val="en-US" w:eastAsia="es-ES"/>
        </w:rPr>
        <w:t xml:space="preserve">ing it inadmissible on the grounds that, by law, judgments issued by </w:t>
      </w:r>
      <w:r w:rsidR="00473A96" w:rsidRPr="00D869E3">
        <w:rPr>
          <w:rFonts w:ascii="Verdana" w:eastAsia="Batang" w:hAnsi="Verdana"/>
          <w:sz w:val="20"/>
          <w:szCs w:val="20"/>
          <w:lang w:val="en-US" w:eastAsia="es-ES"/>
        </w:rPr>
        <w:t>a</w:t>
      </w:r>
      <w:r w:rsidR="00312792" w:rsidRPr="00D869E3">
        <w:rPr>
          <w:rFonts w:ascii="Verdana" w:eastAsia="Batang" w:hAnsi="Verdana"/>
          <w:sz w:val="20"/>
          <w:szCs w:val="20"/>
          <w:lang w:val="en-US" w:eastAsia="es-ES"/>
        </w:rPr>
        <w:t xml:space="preserve"> </w:t>
      </w:r>
      <w:r w:rsidR="00473A96" w:rsidRPr="00D869E3">
        <w:rPr>
          <w:rFonts w:ascii="Verdana" w:eastAsia="Batang" w:hAnsi="Verdana"/>
          <w:sz w:val="20"/>
          <w:szCs w:val="20"/>
          <w:lang w:val="en-US" w:eastAsia="es-ES"/>
        </w:rPr>
        <w:t>higher</w:t>
      </w:r>
      <w:r w:rsidR="00312792" w:rsidRPr="00D869E3">
        <w:rPr>
          <w:rFonts w:ascii="Verdana" w:eastAsia="Batang" w:hAnsi="Verdana"/>
          <w:sz w:val="20"/>
          <w:szCs w:val="20"/>
          <w:lang w:val="en-US" w:eastAsia="es-ES"/>
        </w:rPr>
        <w:t xml:space="preserve"> </w:t>
      </w:r>
      <w:r w:rsidR="00473A96" w:rsidRPr="00D869E3">
        <w:rPr>
          <w:rFonts w:ascii="Verdana" w:eastAsia="Batang" w:hAnsi="Verdana"/>
          <w:sz w:val="20"/>
          <w:szCs w:val="20"/>
          <w:lang w:val="en-US" w:eastAsia="es-ES"/>
        </w:rPr>
        <w:t>c</w:t>
      </w:r>
      <w:r w:rsidR="00312792" w:rsidRPr="00D869E3">
        <w:rPr>
          <w:rFonts w:ascii="Verdana" w:eastAsia="Batang" w:hAnsi="Verdana"/>
          <w:sz w:val="20"/>
          <w:szCs w:val="20"/>
          <w:lang w:val="en-US" w:eastAsia="es-ES"/>
        </w:rPr>
        <w:t xml:space="preserve">ourt in second instance must be contested by </w:t>
      </w:r>
      <w:r w:rsidR="00BF2968" w:rsidRPr="00D869E3">
        <w:rPr>
          <w:rFonts w:ascii="Verdana" w:eastAsia="Batang" w:hAnsi="Verdana"/>
          <w:sz w:val="20"/>
          <w:szCs w:val="20"/>
          <w:lang w:val="en-US" w:eastAsia="es-ES"/>
        </w:rPr>
        <w:t>an action for annulment</w:t>
      </w:r>
      <w:r w:rsidR="00312792" w:rsidRPr="00D869E3">
        <w:rPr>
          <w:rFonts w:ascii="Verdana" w:eastAsia="Batang" w:hAnsi="Verdana"/>
          <w:sz w:val="20"/>
          <w:szCs w:val="20"/>
          <w:lang w:val="en-US" w:eastAsia="es-ES"/>
        </w:rPr>
        <w:t xml:space="preserve"> rather than an appeal.</w:t>
      </w:r>
      <w:r w:rsidR="007A6FDA" w:rsidRPr="00D869E3">
        <w:rPr>
          <w:rFonts w:ascii="Verdana" w:hAnsi="Verdana"/>
          <w:sz w:val="20"/>
          <w:szCs w:val="20"/>
          <w:vertAlign w:val="superscript"/>
          <w:lang w:val="en-US"/>
        </w:rPr>
        <w:footnoteReference w:id="98"/>
      </w:r>
      <w:r w:rsidR="00312792" w:rsidRPr="00D869E3">
        <w:rPr>
          <w:rFonts w:ascii="Verdana" w:eastAsia="Batang" w:hAnsi="Verdana"/>
          <w:sz w:val="20"/>
          <w:szCs w:val="20"/>
          <w:lang w:val="en-US" w:eastAsia="es-ES"/>
        </w:rPr>
        <w:t xml:space="preserve"> In view of this decision,</w:t>
      </w:r>
      <w:r w:rsidR="007A6FDA" w:rsidRPr="00D869E3">
        <w:rPr>
          <w:rFonts w:ascii="Verdana" w:eastAsia="Batang" w:hAnsi="Verdana"/>
          <w:sz w:val="20"/>
          <w:szCs w:val="20"/>
          <w:lang w:val="en-US" w:eastAsia="es-ES"/>
        </w:rPr>
        <w:t xml:space="preserve"> </w:t>
      </w:r>
      <w:r w:rsidR="001E44D3" w:rsidRPr="00D869E3">
        <w:rPr>
          <w:rFonts w:ascii="Verdana" w:hAnsi="Verdana"/>
          <w:sz w:val="20"/>
          <w:szCs w:val="20"/>
          <w:lang w:val="en-US"/>
        </w:rPr>
        <w:t>Mr. Lagos del Campo</w:t>
      </w:r>
      <w:r w:rsidR="007A6FDA" w:rsidRPr="00D869E3">
        <w:rPr>
          <w:rFonts w:ascii="Verdana" w:hAnsi="Verdana"/>
          <w:sz w:val="20"/>
          <w:szCs w:val="20"/>
          <w:lang w:val="en-US"/>
        </w:rPr>
        <w:t xml:space="preserve"> </w:t>
      </w:r>
      <w:r w:rsidR="00312792" w:rsidRPr="00D869E3">
        <w:rPr>
          <w:rFonts w:ascii="Verdana" w:hAnsi="Verdana"/>
          <w:sz w:val="20"/>
          <w:szCs w:val="20"/>
          <w:lang w:val="en-US"/>
        </w:rPr>
        <w:t xml:space="preserve">requested the President of the Constitutional Court to correct and explain </w:t>
      </w:r>
      <w:r w:rsidR="00473A96" w:rsidRPr="00D869E3">
        <w:rPr>
          <w:rFonts w:ascii="Verdana" w:hAnsi="Verdana"/>
          <w:sz w:val="20"/>
          <w:szCs w:val="20"/>
          <w:lang w:val="en-US"/>
        </w:rPr>
        <w:t>this decision</w:t>
      </w:r>
      <w:r w:rsidR="00312792" w:rsidRPr="00D869E3">
        <w:rPr>
          <w:rFonts w:ascii="Verdana" w:hAnsi="Verdana"/>
          <w:sz w:val="20"/>
          <w:szCs w:val="20"/>
          <w:lang w:val="en-US"/>
        </w:rPr>
        <w:t xml:space="preserve"> on February 25, </w:t>
      </w:r>
      <w:r w:rsidR="007A6FDA" w:rsidRPr="00D869E3">
        <w:rPr>
          <w:rFonts w:ascii="Verdana" w:hAnsi="Verdana"/>
          <w:sz w:val="20"/>
          <w:szCs w:val="20"/>
          <w:lang w:val="en-US"/>
        </w:rPr>
        <w:t>1998</w:t>
      </w:r>
      <w:r w:rsidR="00D20A28" w:rsidRPr="00D869E3">
        <w:rPr>
          <w:rFonts w:ascii="Verdana" w:hAnsi="Verdana"/>
          <w:sz w:val="20"/>
          <w:szCs w:val="20"/>
          <w:lang w:val="en-US"/>
        </w:rPr>
        <w:t>,</w:t>
      </w:r>
      <w:r w:rsidR="007A6FDA" w:rsidRPr="00D869E3">
        <w:rPr>
          <w:rFonts w:ascii="Verdana" w:hAnsi="Verdana"/>
          <w:sz w:val="20"/>
          <w:szCs w:val="20"/>
          <w:lang w:val="en-US"/>
        </w:rPr>
        <w:t xml:space="preserve"> </w:t>
      </w:r>
      <w:r w:rsidR="00312792" w:rsidRPr="00D869E3">
        <w:rPr>
          <w:rFonts w:ascii="Verdana" w:eastAsia="Batang" w:hAnsi="Verdana"/>
          <w:sz w:val="20"/>
          <w:szCs w:val="20"/>
          <w:lang w:val="en-US" w:eastAsia="es-ES"/>
        </w:rPr>
        <w:t>but without obtaining any answer.</w:t>
      </w:r>
      <w:r w:rsidR="007A6FDA" w:rsidRPr="00D869E3">
        <w:rPr>
          <w:rFonts w:ascii="Verdana" w:hAnsi="Verdana"/>
          <w:sz w:val="20"/>
          <w:szCs w:val="20"/>
          <w:vertAlign w:val="superscript"/>
          <w:lang w:val="en-US"/>
        </w:rPr>
        <w:footnoteReference w:id="99"/>
      </w:r>
      <w:r w:rsidR="007A6FDA" w:rsidRPr="00D869E3">
        <w:rPr>
          <w:rFonts w:ascii="Verdana" w:hAnsi="Verdana" w:cs="Arial"/>
          <w:sz w:val="20"/>
          <w:szCs w:val="20"/>
          <w:lang w:val="en-US"/>
        </w:rPr>
        <w:t xml:space="preserve"> </w:t>
      </w:r>
    </w:p>
    <w:p w14:paraId="72DF32B0" w14:textId="77777777" w:rsidR="00275EDE" w:rsidRPr="00D869E3" w:rsidRDefault="00275EDE" w:rsidP="00275EDE">
      <w:pPr>
        <w:jc w:val="both"/>
        <w:rPr>
          <w:rFonts w:ascii="Verdana" w:hAnsi="Verdana"/>
          <w:b/>
          <w:sz w:val="20"/>
          <w:szCs w:val="20"/>
          <w:lang w:val="en-US"/>
        </w:rPr>
      </w:pPr>
    </w:p>
    <w:p w14:paraId="77A87B13" w14:textId="0823F979" w:rsidR="00275EDE" w:rsidRPr="00D869E3" w:rsidRDefault="00312792" w:rsidP="00E66DD7">
      <w:pPr>
        <w:pStyle w:val="Ttulo2"/>
        <w:numPr>
          <w:ilvl w:val="0"/>
          <w:numId w:val="12"/>
        </w:numPr>
        <w:rPr>
          <w:rFonts w:eastAsia="MS Gothic"/>
          <w:i/>
          <w:iCs/>
          <w:szCs w:val="20"/>
          <w:lang w:val="en-US"/>
        </w:rPr>
      </w:pPr>
      <w:bookmarkStart w:id="28" w:name="_Toc29114121"/>
      <w:r w:rsidRPr="00D869E3">
        <w:rPr>
          <w:rFonts w:eastAsia="MS Gothic"/>
          <w:i/>
          <w:iCs/>
          <w:szCs w:val="20"/>
          <w:lang w:val="en-US"/>
        </w:rPr>
        <w:t>The situation of Mr. Lagos del Campo after his dismissal</w:t>
      </w:r>
      <w:bookmarkEnd w:id="28"/>
    </w:p>
    <w:p w14:paraId="158692BF" w14:textId="77777777" w:rsidR="00275EDE" w:rsidRPr="00D869E3" w:rsidRDefault="00275EDE" w:rsidP="00275EDE">
      <w:pPr>
        <w:jc w:val="both"/>
        <w:rPr>
          <w:rFonts w:ascii="Verdana" w:hAnsi="Verdana"/>
          <w:sz w:val="20"/>
          <w:szCs w:val="20"/>
          <w:lang w:val="en-US"/>
        </w:rPr>
      </w:pPr>
    </w:p>
    <w:p w14:paraId="76BFD0A0" w14:textId="4B3B592B" w:rsidR="00602F2B" w:rsidRPr="00D869E3" w:rsidRDefault="007A6FDA" w:rsidP="00602F2B">
      <w:pPr>
        <w:pStyle w:val="Prrafodelista"/>
        <w:numPr>
          <w:ilvl w:val="0"/>
          <w:numId w:val="1"/>
        </w:numPr>
        <w:ind w:left="11" w:hanging="11"/>
        <w:jc w:val="both"/>
        <w:rPr>
          <w:rFonts w:ascii="Verdana" w:hAnsi="Verdana"/>
          <w:b/>
          <w:sz w:val="20"/>
          <w:szCs w:val="20"/>
          <w:lang w:val="en-US"/>
        </w:rPr>
      </w:pPr>
      <w:r w:rsidRPr="00D869E3">
        <w:rPr>
          <w:rFonts w:ascii="Verdana" w:hAnsi="Verdana"/>
          <w:color w:val="000000"/>
          <w:sz w:val="20"/>
          <w:szCs w:val="20"/>
          <w:lang w:val="en-US"/>
        </w:rPr>
        <w:t>A</w:t>
      </w:r>
      <w:r w:rsidR="00312792" w:rsidRPr="00D869E3">
        <w:rPr>
          <w:rFonts w:ascii="Verdana" w:hAnsi="Verdana"/>
          <w:color w:val="000000"/>
          <w:sz w:val="20"/>
          <w:szCs w:val="20"/>
          <w:lang w:val="en-US"/>
        </w:rPr>
        <w:t xml:space="preserve">t the time of his dismissal in 1989, Mr. </w:t>
      </w:r>
      <w:r w:rsidRPr="00D869E3">
        <w:rPr>
          <w:rFonts w:ascii="Verdana" w:hAnsi="Verdana"/>
          <w:color w:val="000000"/>
          <w:sz w:val="20"/>
          <w:szCs w:val="20"/>
          <w:lang w:val="en-US"/>
        </w:rPr>
        <w:t xml:space="preserve">Lagos del Campo </w:t>
      </w:r>
      <w:r w:rsidR="00312792" w:rsidRPr="00D869E3">
        <w:rPr>
          <w:rFonts w:ascii="Verdana" w:hAnsi="Verdana"/>
          <w:color w:val="000000"/>
          <w:sz w:val="20"/>
          <w:szCs w:val="20"/>
          <w:lang w:val="en-US"/>
        </w:rPr>
        <w:t xml:space="preserve">was 50 years </w:t>
      </w:r>
      <w:r w:rsidR="00473A96" w:rsidRPr="00D869E3">
        <w:rPr>
          <w:rFonts w:ascii="Verdana" w:hAnsi="Verdana"/>
          <w:color w:val="000000"/>
          <w:sz w:val="20"/>
          <w:szCs w:val="20"/>
          <w:lang w:val="en-US"/>
        </w:rPr>
        <w:t>old</w:t>
      </w:r>
      <w:r w:rsidR="00312792" w:rsidRPr="00D869E3">
        <w:rPr>
          <w:rFonts w:ascii="Verdana" w:hAnsi="Verdana"/>
          <w:color w:val="000000"/>
          <w:sz w:val="20"/>
          <w:szCs w:val="20"/>
          <w:lang w:val="en-US"/>
        </w:rPr>
        <w:t xml:space="preserve"> and had 14 children, six</w:t>
      </w:r>
      <w:r w:rsidR="00473A96" w:rsidRPr="00D869E3">
        <w:rPr>
          <w:rFonts w:ascii="Verdana" w:hAnsi="Verdana"/>
          <w:color w:val="000000"/>
          <w:sz w:val="20"/>
          <w:szCs w:val="20"/>
          <w:lang w:val="en-US"/>
        </w:rPr>
        <w:t xml:space="preserve"> of whom</w:t>
      </w:r>
      <w:r w:rsidR="00312792" w:rsidRPr="00D869E3">
        <w:rPr>
          <w:rFonts w:ascii="Verdana" w:hAnsi="Verdana"/>
          <w:color w:val="000000"/>
          <w:sz w:val="20"/>
          <w:szCs w:val="20"/>
          <w:lang w:val="en-US"/>
        </w:rPr>
        <w:t xml:space="preserve"> were of school age. According to the information provided by the representatives, and undisputed by the State, after his dismissal, </w:t>
      </w:r>
      <w:r w:rsidR="00312792" w:rsidRPr="00D869E3">
        <w:rPr>
          <w:rFonts w:ascii="Verdana" w:hAnsi="Verdana"/>
          <w:sz w:val="20"/>
          <w:szCs w:val="20"/>
          <w:lang w:val="en-US"/>
        </w:rPr>
        <w:t>Mr. Lagos del Campo was unable to access all the social security benefits that depended on his employment. Mr. Lagos</w:t>
      </w:r>
      <w:r w:rsidRPr="00D869E3">
        <w:rPr>
          <w:rFonts w:ascii="Verdana" w:hAnsi="Verdana"/>
          <w:sz w:val="20"/>
          <w:szCs w:val="20"/>
          <w:lang w:val="en-US"/>
        </w:rPr>
        <w:t xml:space="preserve"> </w:t>
      </w:r>
      <w:r w:rsidR="00312792" w:rsidRPr="00D869E3">
        <w:rPr>
          <w:rFonts w:ascii="Verdana" w:hAnsi="Verdana"/>
          <w:sz w:val="20"/>
          <w:szCs w:val="20"/>
          <w:lang w:val="en-US"/>
        </w:rPr>
        <w:t xml:space="preserve">underscored in the statement he gave during the </w:t>
      </w:r>
      <w:r w:rsidR="00473A96" w:rsidRPr="00D869E3">
        <w:rPr>
          <w:rFonts w:ascii="Verdana" w:hAnsi="Verdana"/>
          <w:sz w:val="20"/>
          <w:szCs w:val="20"/>
          <w:lang w:val="en-US"/>
        </w:rPr>
        <w:t xml:space="preserve">public </w:t>
      </w:r>
      <w:r w:rsidR="00312792" w:rsidRPr="00D869E3">
        <w:rPr>
          <w:rFonts w:ascii="Verdana" w:hAnsi="Verdana"/>
          <w:sz w:val="20"/>
          <w:szCs w:val="20"/>
          <w:lang w:val="en-US"/>
        </w:rPr>
        <w:t xml:space="preserve">hearing that </w:t>
      </w:r>
      <w:r w:rsidR="00602F2B" w:rsidRPr="00D869E3">
        <w:rPr>
          <w:rFonts w:ascii="Verdana" w:hAnsi="Verdana"/>
          <w:sz w:val="20"/>
          <w:szCs w:val="20"/>
          <w:lang w:val="en-US"/>
        </w:rPr>
        <w:t>“according to the law, [he] would have been entitled to a decent subsistence pension in five more years</w:t>
      </w:r>
      <w:r w:rsidR="00473A96" w:rsidRPr="00D869E3">
        <w:rPr>
          <w:rFonts w:ascii="Verdana" w:hAnsi="Verdana"/>
          <w:sz w:val="20"/>
          <w:szCs w:val="20"/>
          <w:lang w:val="en-US"/>
        </w:rPr>
        <w:t>,</w:t>
      </w:r>
      <w:r w:rsidR="006436CA" w:rsidRPr="00D869E3">
        <w:rPr>
          <w:rFonts w:ascii="Verdana" w:hAnsi="Verdana"/>
          <w:sz w:val="20"/>
          <w:szCs w:val="20"/>
          <w:lang w:val="en-US"/>
        </w:rPr>
        <w:t>”</w:t>
      </w:r>
      <w:r w:rsidRPr="00D869E3">
        <w:rPr>
          <w:rFonts w:ascii="Verdana" w:hAnsi="Verdana"/>
          <w:sz w:val="20"/>
          <w:szCs w:val="20"/>
          <w:vertAlign w:val="superscript"/>
          <w:lang w:val="en-US"/>
        </w:rPr>
        <w:footnoteReference w:id="100"/>
      </w:r>
      <w:r w:rsidRPr="00D869E3">
        <w:rPr>
          <w:rFonts w:ascii="Verdana" w:hAnsi="Verdana"/>
          <w:sz w:val="20"/>
          <w:szCs w:val="20"/>
          <w:lang w:val="en-US"/>
        </w:rPr>
        <w:t xml:space="preserve"> </w:t>
      </w:r>
      <w:r w:rsidR="00602F2B" w:rsidRPr="00D869E3">
        <w:rPr>
          <w:rFonts w:ascii="Verdana" w:hAnsi="Verdana"/>
          <w:sz w:val="20"/>
          <w:szCs w:val="20"/>
          <w:lang w:val="en-US"/>
        </w:rPr>
        <w:t>having worked in the company for more than 13 years. The economic hardships of the times, his age, and the circumstances of his dismissal, prevented him from obtaining stable employment as an electrician and receiving adequate wages to support his family.</w:t>
      </w:r>
    </w:p>
    <w:p w14:paraId="790FEE35" w14:textId="77777777" w:rsidR="007A6FDA" w:rsidRPr="00D869E3" w:rsidRDefault="007A6FDA" w:rsidP="007A6FDA">
      <w:pPr>
        <w:jc w:val="both"/>
        <w:rPr>
          <w:rFonts w:ascii="Verdana" w:hAnsi="Verdana"/>
          <w:b/>
          <w:sz w:val="20"/>
          <w:szCs w:val="20"/>
          <w:lang w:val="en-US"/>
        </w:rPr>
      </w:pPr>
    </w:p>
    <w:p w14:paraId="733255C5" w14:textId="2D517A9C" w:rsidR="007A6FDA" w:rsidRPr="00D869E3" w:rsidRDefault="00473A96" w:rsidP="00602F2B">
      <w:pPr>
        <w:pStyle w:val="Prrafodelista"/>
        <w:numPr>
          <w:ilvl w:val="0"/>
          <w:numId w:val="1"/>
        </w:numPr>
        <w:ind w:left="0" w:hanging="11"/>
        <w:jc w:val="both"/>
        <w:rPr>
          <w:rFonts w:ascii="Verdana" w:hAnsi="Verdana"/>
          <w:b/>
          <w:sz w:val="20"/>
          <w:szCs w:val="20"/>
          <w:lang w:val="en-US"/>
        </w:rPr>
      </w:pPr>
      <w:r w:rsidRPr="00D869E3">
        <w:rPr>
          <w:rFonts w:ascii="Verdana" w:hAnsi="Verdana"/>
          <w:color w:val="000000"/>
          <w:sz w:val="20"/>
          <w:szCs w:val="20"/>
          <w:lang w:val="en-US"/>
        </w:rPr>
        <w:t>Mr</w:t>
      </w:r>
      <w:r w:rsidR="001E44D3" w:rsidRPr="00D869E3">
        <w:rPr>
          <w:rFonts w:ascii="Verdana" w:hAnsi="Verdana" w:cs="Arial"/>
          <w:sz w:val="20"/>
          <w:szCs w:val="20"/>
          <w:lang w:val="en-US"/>
        </w:rPr>
        <w:t>. Lagos del Campo</w:t>
      </w:r>
      <w:r w:rsidRPr="00D869E3">
        <w:rPr>
          <w:rFonts w:ascii="Verdana" w:hAnsi="Verdana" w:cs="Arial"/>
          <w:sz w:val="20"/>
          <w:szCs w:val="20"/>
          <w:lang w:val="en-US"/>
        </w:rPr>
        <w:t xml:space="preserve"> also</w:t>
      </w:r>
      <w:r w:rsidR="00602F2B" w:rsidRPr="00D869E3">
        <w:rPr>
          <w:rFonts w:ascii="Verdana" w:hAnsi="Verdana" w:cs="Arial"/>
          <w:sz w:val="20"/>
          <w:szCs w:val="20"/>
          <w:lang w:val="en-US"/>
        </w:rPr>
        <w:t xml:space="preserve"> stated during the hearing that his dismissal “resulted in harm to</w:t>
      </w:r>
      <w:r w:rsidRPr="00D869E3">
        <w:rPr>
          <w:rFonts w:ascii="Verdana" w:hAnsi="Verdana" w:cs="Arial"/>
          <w:sz w:val="20"/>
          <w:szCs w:val="20"/>
          <w:lang w:val="en-US"/>
        </w:rPr>
        <w:t xml:space="preserve"> both</w:t>
      </w:r>
      <w:r w:rsidR="00602F2B" w:rsidRPr="00D869E3">
        <w:rPr>
          <w:rFonts w:ascii="Verdana" w:hAnsi="Verdana" w:cs="Arial"/>
          <w:sz w:val="20"/>
          <w:szCs w:val="20"/>
          <w:lang w:val="en-US"/>
        </w:rPr>
        <w:t xml:space="preserve"> [his] labor</w:t>
      </w:r>
      <w:r w:rsidRPr="00D869E3">
        <w:rPr>
          <w:rFonts w:ascii="Verdana" w:hAnsi="Verdana" w:cs="Arial"/>
          <w:sz w:val="20"/>
          <w:szCs w:val="20"/>
          <w:lang w:val="en-US"/>
        </w:rPr>
        <w:t xml:space="preserve"> rights</w:t>
      </w:r>
      <w:r w:rsidR="00602F2B" w:rsidRPr="00D869E3">
        <w:rPr>
          <w:rFonts w:ascii="Verdana" w:hAnsi="Verdana" w:cs="Arial"/>
          <w:sz w:val="20"/>
          <w:szCs w:val="20"/>
          <w:lang w:val="en-US"/>
        </w:rPr>
        <w:t xml:space="preserve"> and </w:t>
      </w:r>
      <w:r w:rsidRPr="00D869E3">
        <w:rPr>
          <w:rFonts w:ascii="Verdana" w:hAnsi="Verdana" w:cs="Arial"/>
          <w:sz w:val="20"/>
          <w:szCs w:val="20"/>
          <w:lang w:val="en-US"/>
        </w:rPr>
        <w:t>[</w:t>
      </w:r>
      <w:r w:rsidR="00602F2B" w:rsidRPr="00D869E3">
        <w:rPr>
          <w:rFonts w:ascii="Verdana" w:hAnsi="Verdana" w:cs="Arial"/>
          <w:sz w:val="20"/>
          <w:szCs w:val="20"/>
          <w:lang w:val="en-US"/>
        </w:rPr>
        <w:t>his</w:t>
      </w:r>
      <w:r w:rsidRPr="00D869E3">
        <w:rPr>
          <w:rFonts w:ascii="Verdana" w:hAnsi="Verdana" w:cs="Arial"/>
          <w:sz w:val="20"/>
          <w:szCs w:val="20"/>
          <w:lang w:val="en-US"/>
        </w:rPr>
        <w:t>]</w:t>
      </w:r>
      <w:r w:rsidR="00602F2B" w:rsidRPr="00D869E3">
        <w:rPr>
          <w:rFonts w:ascii="Verdana" w:hAnsi="Verdana" w:cs="Arial"/>
          <w:sz w:val="20"/>
          <w:szCs w:val="20"/>
          <w:lang w:val="en-US"/>
        </w:rPr>
        <w:t xml:space="preserve"> human rights” and added that, following his dismissal, he had no employment possibilities “because there were no jobs for workers who were over 50 years of age</w:t>
      </w:r>
      <w:r w:rsidR="007A6FDA" w:rsidRPr="00D869E3">
        <w:rPr>
          <w:rFonts w:ascii="Verdana" w:hAnsi="Verdana"/>
          <w:sz w:val="20"/>
          <w:szCs w:val="20"/>
          <w:lang w:val="en-US"/>
        </w:rPr>
        <w:t xml:space="preserve"> </w:t>
      </w:r>
      <w:r w:rsidR="007A6FDA" w:rsidRPr="00D869E3">
        <w:rPr>
          <w:rFonts w:ascii="Verdana" w:hAnsi="Verdana"/>
          <w:iCs/>
          <w:color w:val="000000"/>
          <w:sz w:val="20"/>
          <w:szCs w:val="20"/>
          <w:lang w:val="en-US"/>
        </w:rPr>
        <w:t>[…] [</w:t>
      </w:r>
      <w:r w:rsidR="00602F2B" w:rsidRPr="00D869E3">
        <w:rPr>
          <w:rFonts w:ascii="Verdana" w:hAnsi="Verdana"/>
          <w:iCs/>
          <w:color w:val="000000"/>
          <w:sz w:val="20"/>
          <w:szCs w:val="20"/>
          <w:lang w:val="en-US"/>
        </w:rPr>
        <w:t>s</w:t>
      </w:r>
      <w:r w:rsidR="007A6FDA" w:rsidRPr="00D869E3">
        <w:rPr>
          <w:rFonts w:ascii="Verdana" w:hAnsi="Verdana"/>
          <w:iCs/>
          <w:color w:val="000000"/>
          <w:sz w:val="20"/>
          <w:szCs w:val="20"/>
          <w:lang w:val="en-US"/>
        </w:rPr>
        <w:t>]</w:t>
      </w:r>
      <w:r w:rsidR="00602F2B" w:rsidRPr="00D869E3">
        <w:rPr>
          <w:rFonts w:ascii="Verdana" w:hAnsi="Verdana"/>
          <w:iCs/>
          <w:color w:val="000000"/>
          <w:sz w:val="20"/>
          <w:szCs w:val="20"/>
          <w:lang w:val="en-US"/>
        </w:rPr>
        <w:t>o that there were no stable and profitable jobs to maintain a household and a family.</w:t>
      </w:r>
      <w:r w:rsidR="00602F2B" w:rsidRPr="00D869E3">
        <w:rPr>
          <w:rFonts w:ascii="Verdana" w:hAnsi="Verdana"/>
          <w:sz w:val="20"/>
          <w:szCs w:val="20"/>
          <w:lang w:val="en-US"/>
        </w:rPr>
        <w:t>”</w:t>
      </w:r>
      <w:r w:rsidR="007A6FDA" w:rsidRPr="00D869E3">
        <w:rPr>
          <w:rFonts w:ascii="Verdana" w:hAnsi="Verdana"/>
          <w:b/>
          <w:sz w:val="20"/>
          <w:szCs w:val="20"/>
          <w:lang w:val="en-US"/>
        </w:rPr>
        <w:t xml:space="preserve"> </w:t>
      </w:r>
      <w:r w:rsidR="00A674A7" w:rsidRPr="00D869E3">
        <w:rPr>
          <w:rFonts w:ascii="Verdana" w:hAnsi="Verdana"/>
          <w:sz w:val="20"/>
          <w:szCs w:val="20"/>
          <w:lang w:val="en-US"/>
        </w:rPr>
        <w:t>Nowadays, both his financial status</w:t>
      </w:r>
      <w:r w:rsidR="008C770D" w:rsidRPr="00D869E3">
        <w:rPr>
          <w:rFonts w:ascii="Verdana" w:hAnsi="Verdana"/>
          <w:sz w:val="20"/>
          <w:szCs w:val="20"/>
          <w:vertAlign w:val="superscript"/>
          <w:lang w:val="en-US"/>
        </w:rPr>
        <w:footnoteReference w:id="101"/>
      </w:r>
      <w:r w:rsidR="00687684" w:rsidRPr="00D869E3">
        <w:rPr>
          <w:rFonts w:ascii="Verdana" w:hAnsi="Verdana"/>
          <w:sz w:val="20"/>
          <w:szCs w:val="20"/>
          <w:lang w:val="en-US"/>
        </w:rPr>
        <w:t xml:space="preserve"> and </w:t>
      </w:r>
      <w:r w:rsidR="00A674A7" w:rsidRPr="00D869E3">
        <w:rPr>
          <w:rFonts w:ascii="Verdana" w:hAnsi="Verdana"/>
          <w:sz w:val="20"/>
          <w:szCs w:val="20"/>
          <w:lang w:val="en-US"/>
        </w:rPr>
        <w:t>his health are precarious.</w:t>
      </w:r>
      <w:r w:rsidR="007A6FDA" w:rsidRPr="00D869E3">
        <w:rPr>
          <w:rFonts w:ascii="Verdana" w:hAnsi="Verdana"/>
          <w:sz w:val="20"/>
          <w:szCs w:val="20"/>
          <w:vertAlign w:val="superscript"/>
          <w:lang w:val="en-US"/>
        </w:rPr>
        <w:footnoteReference w:id="102"/>
      </w:r>
      <w:r w:rsidR="007A6FDA" w:rsidRPr="00D869E3">
        <w:rPr>
          <w:rFonts w:ascii="Verdana" w:hAnsi="Verdana" w:cs="Arial"/>
          <w:sz w:val="20"/>
          <w:szCs w:val="20"/>
          <w:lang w:val="en-US"/>
        </w:rPr>
        <w:t xml:space="preserve"> </w:t>
      </w:r>
    </w:p>
    <w:p w14:paraId="1D501058" w14:textId="77777777" w:rsidR="00275EDE" w:rsidRPr="00D869E3" w:rsidRDefault="00275EDE" w:rsidP="0089179B">
      <w:pPr>
        <w:pStyle w:val="Prrafodelista"/>
        <w:ind w:left="0"/>
        <w:jc w:val="both"/>
        <w:rPr>
          <w:rFonts w:ascii="Verdana" w:hAnsi="Verdana"/>
          <w:lang w:val="en-US"/>
        </w:rPr>
      </w:pPr>
    </w:p>
    <w:p w14:paraId="1B3EE87E" w14:textId="72B2F87D" w:rsidR="00D33760" w:rsidRPr="00D869E3" w:rsidRDefault="00374FC9" w:rsidP="00D33760">
      <w:pPr>
        <w:pStyle w:val="Ttulo1"/>
        <w:tabs>
          <w:tab w:val="left" w:pos="851"/>
        </w:tabs>
        <w:spacing w:before="0"/>
        <w:jc w:val="center"/>
        <w:rPr>
          <w:rFonts w:cs="Verdana"/>
          <w:caps/>
          <w:snapToGrid w:val="0"/>
          <w:szCs w:val="20"/>
          <w:lang w:val="en-US"/>
        </w:rPr>
      </w:pPr>
      <w:bookmarkStart w:id="29" w:name="_Toc29114122"/>
      <w:r w:rsidRPr="00D869E3">
        <w:rPr>
          <w:rFonts w:cs="Verdana"/>
          <w:caps/>
          <w:snapToGrid w:val="0"/>
          <w:szCs w:val="20"/>
          <w:lang w:val="en-US"/>
        </w:rPr>
        <w:t>Vi</w:t>
      </w:r>
      <w:r w:rsidR="00D33760" w:rsidRPr="00D869E3">
        <w:rPr>
          <w:rFonts w:cs="Verdana"/>
          <w:caps/>
          <w:snapToGrid w:val="0"/>
          <w:szCs w:val="20"/>
          <w:lang w:val="en-US"/>
        </w:rPr>
        <w:t>I</w:t>
      </w:r>
      <w:r w:rsidR="00D33760" w:rsidRPr="00D869E3">
        <w:rPr>
          <w:rFonts w:cs="Verdana"/>
          <w:caps/>
          <w:snapToGrid w:val="0"/>
          <w:szCs w:val="20"/>
          <w:lang w:val="en-US"/>
        </w:rPr>
        <w:br/>
      </w:r>
      <w:r w:rsidR="00A674A7" w:rsidRPr="00D869E3">
        <w:rPr>
          <w:rFonts w:cs="Verdana"/>
          <w:caps/>
          <w:snapToGrid w:val="0"/>
          <w:szCs w:val="20"/>
          <w:lang w:val="en-US"/>
        </w:rPr>
        <w:t>Merits</w:t>
      </w:r>
      <w:bookmarkEnd w:id="29"/>
    </w:p>
    <w:p w14:paraId="5769FAD8" w14:textId="77777777" w:rsidR="00D33760" w:rsidRPr="00D869E3" w:rsidRDefault="00D33760" w:rsidP="00D33760">
      <w:pPr>
        <w:rPr>
          <w:rFonts w:ascii="Verdana" w:hAnsi="Verdana"/>
          <w:sz w:val="20"/>
          <w:szCs w:val="20"/>
          <w:lang w:val="en-US"/>
        </w:rPr>
      </w:pPr>
    </w:p>
    <w:p w14:paraId="38FF1881" w14:textId="26022B8E" w:rsidR="00E62F6C" w:rsidRPr="00D869E3" w:rsidRDefault="00A674A7" w:rsidP="00966115">
      <w:pPr>
        <w:pStyle w:val="Prrafodelista"/>
        <w:numPr>
          <w:ilvl w:val="0"/>
          <w:numId w:val="1"/>
        </w:numPr>
        <w:ind w:left="0" w:firstLine="0"/>
        <w:jc w:val="both"/>
        <w:rPr>
          <w:rFonts w:ascii="Verdana" w:hAnsi="Verdana"/>
          <w:sz w:val="20"/>
          <w:szCs w:val="20"/>
          <w:lang w:val="en-US"/>
        </w:rPr>
      </w:pPr>
      <w:r w:rsidRPr="00D869E3">
        <w:rPr>
          <w:rFonts w:ascii="Verdana" w:hAnsi="Verdana"/>
          <w:sz w:val="20"/>
          <w:szCs w:val="20"/>
          <w:lang w:val="en-US"/>
        </w:rPr>
        <w:t xml:space="preserve">This case relates to the dismissal of </w:t>
      </w:r>
      <w:r w:rsidR="00E62F6C" w:rsidRPr="00D869E3">
        <w:rPr>
          <w:rFonts w:ascii="Verdana" w:hAnsi="Verdana"/>
          <w:sz w:val="20"/>
          <w:szCs w:val="20"/>
          <w:lang w:val="en-US"/>
        </w:rPr>
        <w:t xml:space="preserve">Alfredo Lagos del Campo </w:t>
      </w:r>
      <w:r w:rsidRPr="00D869E3">
        <w:rPr>
          <w:rFonts w:ascii="Verdana" w:hAnsi="Verdana"/>
          <w:sz w:val="20"/>
          <w:szCs w:val="20"/>
          <w:lang w:val="en-US"/>
        </w:rPr>
        <w:t>on</w:t>
      </w:r>
      <w:r w:rsidR="00E62F6C" w:rsidRPr="00D869E3">
        <w:rPr>
          <w:rFonts w:ascii="Verdana" w:hAnsi="Verdana"/>
          <w:sz w:val="20"/>
          <w:szCs w:val="20"/>
          <w:lang w:val="en-US"/>
        </w:rPr>
        <w:t xml:space="preserve"> </w:t>
      </w:r>
      <w:r w:rsidR="00852CCA" w:rsidRPr="00D869E3">
        <w:rPr>
          <w:rFonts w:ascii="Verdana" w:hAnsi="Verdana"/>
          <w:sz w:val="20"/>
          <w:szCs w:val="20"/>
          <w:lang w:val="en-US"/>
        </w:rPr>
        <w:t>June 26,</w:t>
      </w:r>
      <w:r w:rsidR="00E62F6C" w:rsidRPr="00D869E3">
        <w:rPr>
          <w:rFonts w:ascii="Verdana" w:hAnsi="Verdana"/>
          <w:sz w:val="20"/>
          <w:szCs w:val="20"/>
          <w:lang w:val="en-US"/>
        </w:rPr>
        <w:t xml:space="preserve"> 1989</w:t>
      </w:r>
      <w:r w:rsidRPr="00D869E3">
        <w:rPr>
          <w:rFonts w:ascii="Verdana" w:hAnsi="Verdana"/>
          <w:sz w:val="20"/>
          <w:szCs w:val="20"/>
          <w:lang w:val="en-US"/>
        </w:rPr>
        <w:t xml:space="preserve">, as a result of statements made during an interview for the </w:t>
      </w:r>
      <w:r w:rsidR="00E91CF4" w:rsidRPr="00D869E3">
        <w:rPr>
          <w:rFonts w:ascii="Verdana" w:hAnsi="Verdana"/>
          <w:sz w:val="20"/>
          <w:szCs w:val="20"/>
          <w:lang w:val="en-US"/>
        </w:rPr>
        <w:t>newspaper</w:t>
      </w:r>
      <w:r w:rsidRPr="00D869E3">
        <w:rPr>
          <w:rFonts w:ascii="Verdana" w:hAnsi="Verdana"/>
          <w:sz w:val="20"/>
          <w:szCs w:val="20"/>
          <w:lang w:val="en-US"/>
        </w:rPr>
        <w:t xml:space="preserve"> </w:t>
      </w:r>
      <w:r w:rsidR="006436CA" w:rsidRPr="00D869E3">
        <w:rPr>
          <w:rFonts w:ascii="Verdana" w:hAnsi="Verdana"/>
          <w:sz w:val="20"/>
          <w:szCs w:val="20"/>
          <w:lang w:val="en-US"/>
        </w:rPr>
        <w:t>“</w:t>
      </w:r>
      <w:r w:rsidR="00E62F6C" w:rsidRPr="00D869E3">
        <w:rPr>
          <w:rFonts w:ascii="Verdana" w:hAnsi="Verdana"/>
          <w:i/>
          <w:iCs/>
          <w:sz w:val="20"/>
          <w:szCs w:val="20"/>
          <w:lang w:val="en-US"/>
        </w:rPr>
        <w:t>La Razón</w:t>
      </w:r>
      <w:r w:rsidRPr="00D869E3">
        <w:rPr>
          <w:rFonts w:ascii="Verdana" w:hAnsi="Verdana"/>
          <w:sz w:val="20"/>
          <w:szCs w:val="20"/>
          <w:lang w:val="en-US"/>
        </w:rPr>
        <w:t>.</w:t>
      </w:r>
      <w:r w:rsidR="006436CA" w:rsidRPr="00D869E3">
        <w:rPr>
          <w:rFonts w:ascii="Verdana" w:hAnsi="Verdana"/>
          <w:sz w:val="20"/>
          <w:szCs w:val="20"/>
          <w:lang w:val="en-US"/>
        </w:rPr>
        <w:t>”</w:t>
      </w:r>
      <w:r w:rsidRPr="00D869E3">
        <w:rPr>
          <w:rFonts w:ascii="Verdana" w:hAnsi="Verdana"/>
          <w:sz w:val="20"/>
          <w:szCs w:val="20"/>
          <w:lang w:val="en-US"/>
        </w:rPr>
        <w:t xml:space="preserve"> This interview was </w:t>
      </w:r>
      <w:r w:rsidR="00E62F6C" w:rsidRPr="00D869E3">
        <w:rPr>
          <w:rFonts w:ascii="Verdana" w:hAnsi="Verdana"/>
          <w:sz w:val="20"/>
          <w:szCs w:val="20"/>
          <w:lang w:val="en-US"/>
        </w:rPr>
        <w:t xml:space="preserve"> </w:t>
      </w:r>
      <w:r w:rsidRPr="00D869E3">
        <w:rPr>
          <w:rFonts w:ascii="Verdana" w:hAnsi="Verdana"/>
          <w:sz w:val="20"/>
          <w:szCs w:val="20"/>
          <w:lang w:val="en-US"/>
        </w:rPr>
        <w:t xml:space="preserve">given when he was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 of the Industrial Community</w:t>
      </w:r>
      <w:r w:rsidR="00E62F6C" w:rsidRPr="00D869E3">
        <w:rPr>
          <w:rFonts w:ascii="Verdana" w:hAnsi="Verdana"/>
          <w:sz w:val="20"/>
          <w:szCs w:val="20"/>
          <w:lang w:val="en-US"/>
        </w:rPr>
        <w:t xml:space="preserve"> </w:t>
      </w:r>
      <w:r w:rsidR="00966115" w:rsidRPr="00D869E3">
        <w:rPr>
          <w:rFonts w:ascii="Verdana" w:hAnsi="Verdana"/>
          <w:sz w:val="20"/>
          <w:szCs w:val="20"/>
          <w:lang w:val="en-US"/>
        </w:rPr>
        <w:t xml:space="preserve">of the </w:t>
      </w:r>
      <w:r w:rsidR="00966115" w:rsidRPr="00D869E3">
        <w:rPr>
          <w:rFonts w:ascii="Verdana" w:hAnsi="Verdana"/>
          <w:sz w:val="20"/>
          <w:szCs w:val="20"/>
          <w:lang w:val="en-US"/>
        </w:rPr>
        <w:lastRenderedPageBreak/>
        <w:t xml:space="preserve">company, </w:t>
      </w:r>
      <w:r w:rsidR="00E62F6C" w:rsidRPr="00D869E3">
        <w:rPr>
          <w:rFonts w:ascii="Verdana" w:hAnsi="Verdana"/>
          <w:sz w:val="20"/>
          <w:szCs w:val="20"/>
          <w:lang w:val="en-US"/>
        </w:rPr>
        <w:t>Ceper-Pirelli,</w:t>
      </w:r>
      <w:r w:rsidR="00687684" w:rsidRPr="00D869E3">
        <w:rPr>
          <w:rFonts w:ascii="Verdana" w:hAnsi="Verdana"/>
          <w:sz w:val="20"/>
          <w:szCs w:val="20"/>
          <w:lang w:val="en-US"/>
        </w:rPr>
        <w:t xml:space="preserve"> and </w:t>
      </w:r>
      <w:r w:rsidR="00966115" w:rsidRPr="00D869E3">
        <w:rPr>
          <w:rFonts w:ascii="Verdana" w:hAnsi="Verdana"/>
          <w:sz w:val="20"/>
          <w:szCs w:val="20"/>
          <w:lang w:val="en-US"/>
        </w:rPr>
        <w:t>in it he reported,</w:t>
      </w:r>
      <w:r w:rsidR="00E62F6C" w:rsidRPr="00D869E3">
        <w:rPr>
          <w:rFonts w:ascii="Verdana" w:hAnsi="Verdana"/>
          <w:sz w:val="20"/>
          <w:szCs w:val="20"/>
          <w:lang w:val="en-US"/>
        </w:rPr>
        <w:t xml:space="preserve"> </w:t>
      </w:r>
      <w:r w:rsidR="00004729" w:rsidRPr="00D869E3">
        <w:rPr>
          <w:rFonts w:ascii="Verdana" w:hAnsi="Verdana"/>
          <w:i/>
          <w:sz w:val="20"/>
          <w:szCs w:val="20"/>
          <w:lang w:val="en-US"/>
        </w:rPr>
        <w:t>inter alia</w:t>
      </w:r>
      <w:r w:rsidR="00004729" w:rsidRPr="00D869E3">
        <w:rPr>
          <w:rFonts w:ascii="Verdana" w:hAnsi="Verdana"/>
          <w:sz w:val="20"/>
          <w:szCs w:val="20"/>
          <w:lang w:val="en-US"/>
        </w:rPr>
        <w:t xml:space="preserve">, </w:t>
      </w:r>
      <w:r w:rsidR="00966115" w:rsidRPr="00D869E3">
        <w:rPr>
          <w:rFonts w:ascii="Verdana" w:hAnsi="Verdana"/>
          <w:sz w:val="20"/>
          <w:szCs w:val="20"/>
          <w:lang w:val="en-US"/>
        </w:rPr>
        <w:t>that the company’s Board had presumably used “blackmail and coercion” to hold “fraudulent elections outside the purview of the</w:t>
      </w:r>
      <w:r w:rsidR="00EA232B" w:rsidRPr="00D869E3">
        <w:rPr>
          <w:rFonts w:ascii="Verdana" w:hAnsi="Verdana"/>
          <w:sz w:val="20"/>
          <w:szCs w:val="20"/>
          <w:lang w:val="en-US"/>
        </w:rPr>
        <w:t xml:space="preserve"> Electoral Committee</w:t>
      </w:r>
      <w:r w:rsidR="006436CA" w:rsidRPr="00D869E3">
        <w:rPr>
          <w:rFonts w:ascii="Verdana" w:hAnsi="Verdana"/>
          <w:sz w:val="20"/>
          <w:szCs w:val="20"/>
          <w:lang w:val="en-US"/>
        </w:rPr>
        <w:t>”</w:t>
      </w:r>
      <w:r w:rsidR="00E62F6C" w:rsidRPr="00D869E3">
        <w:rPr>
          <w:rFonts w:ascii="Verdana" w:hAnsi="Verdana"/>
          <w:sz w:val="20"/>
          <w:szCs w:val="20"/>
          <w:lang w:val="en-US"/>
        </w:rPr>
        <w:t xml:space="preserve"> (</w:t>
      </w:r>
      <w:r w:rsidR="00224537" w:rsidRPr="00D869E3">
        <w:rPr>
          <w:rFonts w:ascii="Verdana" w:hAnsi="Verdana"/>
          <w:i/>
          <w:sz w:val="20"/>
          <w:szCs w:val="20"/>
          <w:lang w:val="en-US"/>
        </w:rPr>
        <w:t>supra</w:t>
      </w:r>
      <w:r w:rsidR="00E62F6C" w:rsidRPr="00D869E3">
        <w:rPr>
          <w:rFonts w:ascii="Verdana" w:hAnsi="Verdana"/>
          <w:sz w:val="20"/>
          <w:szCs w:val="20"/>
          <w:lang w:val="en-US"/>
        </w:rPr>
        <w:t xml:space="preserve"> </w:t>
      </w:r>
      <w:r w:rsidR="0087339F" w:rsidRPr="00D869E3">
        <w:rPr>
          <w:rFonts w:ascii="Verdana" w:hAnsi="Verdana"/>
          <w:sz w:val="20"/>
          <w:szCs w:val="20"/>
          <w:lang w:val="en-US"/>
        </w:rPr>
        <w:t>para.</w:t>
      </w:r>
      <w:r w:rsidR="00DC1C15" w:rsidRPr="00D869E3">
        <w:rPr>
          <w:rFonts w:ascii="Verdana" w:hAnsi="Verdana"/>
          <w:sz w:val="20"/>
          <w:szCs w:val="20"/>
          <w:lang w:val="en-US"/>
        </w:rPr>
        <w:t xml:space="preserve"> 50</w:t>
      </w:r>
      <w:r w:rsidR="00E62F6C" w:rsidRPr="00D869E3">
        <w:rPr>
          <w:rFonts w:ascii="Verdana" w:hAnsi="Verdana"/>
          <w:sz w:val="20"/>
          <w:szCs w:val="20"/>
          <w:lang w:val="en-US"/>
        </w:rPr>
        <w:t xml:space="preserve">). </w:t>
      </w:r>
      <w:r w:rsidR="00966115" w:rsidRPr="00D869E3">
        <w:rPr>
          <w:rFonts w:ascii="Verdana" w:hAnsi="Verdana"/>
          <w:sz w:val="20"/>
          <w:szCs w:val="20"/>
          <w:lang w:val="en-US"/>
        </w:rPr>
        <w:t>Following his dismissal</w:t>
      </w:r>
      <w:r w:rsidR="00E62F6C"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E62F6C" w:rsidRPr="00D869E3">
        <w:rPr>
          <w:rFonts w:ascii="Verdana" w:hAnsi="Verdana"/>
          <w:sz w:val="20"/>
          <w:szCs w:val="20"/>
          <w:lang w:val="en-US"/>
        </w:rPr>
        <w:t xml:space="preserve"> </w:t>
      </w:r>
      <w:r w:rsidR="00966115" w:rsidRPr="00D869E3">
        <w:rPr>
          <w:rFonts w:ascii="Verdana" w:hAnsi="Verdana"/>
          <w:sz w:val="20"/>
          <w:szCs w:val="20"/>
          <w:lang w:val="en-US"/>
        </w:rPr>
        <w:t xml:space="preserve">filed </w:t>
      </w:r>
      <w:r w:rsidR="00D13E32" w:rsidRPr="00D869E3">
        <w:rPr>
          <w:rFonts w:ascii="Verdana" w:hAnsi="Verdana"/>
          <w:sz w:val="20"/>
          <w:szCs w:val="20"/>
          <w:lang w:val="en-US"/>
        </w:rPr>
        <w:t>an</w:t>
      </w:r>
      <w:r w:rsidR="00966115" w:rsidRPr="00D869E3">
        <w:rPr>
          <w:rFonts w:ascii="Verdana" w:hAnsi="Verdana"/>
          <w:sz w:val="20"/>
          <w:szCs w:val="20"/>
          <w:lang w:val="en-US"/>
        </w:rPr>
        <w:t xml:space="preserve"> action before the</w:t>
      </w:r>
      <w:r w:rsidR="003506CC" w:rsidRPr="00D869E3">
        <w:rPr>
          <w:rFonts w:ascii="Verdana" w:hAnsi="Verdana"/>
          <w:sz w:val="20"/>
          <w:szCs w:val="20"/>
          <w:lang w:val="en-US"/>
        </w:rPr>
        <w:t xml:space="preserve"> Fifteenth Labor Court of Lima</w:t>
      </w:r>
      <w:r w:rsidR="00E62F6C" w:rsidRPr="00D869E3">
        <w:rPr>
          <w:rFonts w:ascii="Verdana" w:hAnsi="Verdana"/>
          <w:sz w:val="20"/>
          <w:szCs w:val="20"/>
          <w:lang w:val="en-US"/>
        </w:rPr>
        <w:t xml:space="preserve">, </w:t>
      </w:r>
      <w:r w:rsidR="00966115" w:rsidRPr="00D869E3">
        <w:rPr>
          <w:rFonts w:ascii="Verdana" w:hAnsi="Verdana"/>
          <w:sz w:val="20"/>
          <w:szCs w:val="20"/>
          <w:lang w:val="en-US"/>
        </w:rPr>
        <w:t xml:space="preserve">which classified the dismissals as </w:t>
      </w:r>
      <w:r w:rsidR="006436CA" w:rsidRPr="00D869E3">
        <w:rPr>
          <w:rFonts w:ascii="Verdana" w:hAnsi="Verdana"/>
          <w:sz w:val="20"/>
          <w:szCs w:val="20"/>
          <w:lang w:val="en-US"/>
        </w:rPr>
        <w:t>“</w:t>
      </w:r>
      <w:r w:rsidR="004806A6" w:rsidRPr="00D869E3">
        <w:rPr>
          <w:rFonts w:ascii="Verdana" w:hAnsi="Verdana"/>
          <w:sz w:val="20"/>
          <w:szCs w:val="20"/>
          <w:lang w:val="en-US"/>
        </w:rPr>
        <w:t>unfair</w:t>
      </w:r>
      <w:r w:rsidR="00E62F6C" w:rsidRPr="00D869E3">
        <w:rPr>
          <w:rFonts w:ascii="Verdana" w:hAnsi="Verdana"/>
          <w:sz w:val="20"/>
          <w:szCs w:val="20"/>
          <w:lang w:val="en-US"/>
        </w:rPr>
        <w:t xml:space="preserve"> </w:t>
      </w:r>
      <w:r w:rsidR="00966115" w:rsidRPr="00D869E3">
        <w:rPr>
          <w:rFonts w:ascii="Verdana" w:hAnsi="Verdana"/>
          <w:sz w:val="20"/>
          <w:szCs w:val="20"/>
          <w:lang w:val="en-US"/>
        </w:rPr>
        <w:t>and unjustified</w:t>
      </w:r>
      <w:r w:rsidR="006436CA" w:rsidRPr="00D869E3">
        <w:rPr>
          <w:rFonts w:ascii="Verdana" w:hAnsi="Verdana"/>
          <w:sz w:val="20"/>
          <w:szCs w:val="20"/>
          <w:lang w:val="en-US"/>
        </w:rPr>
        <w:t>”</w:t>
      </w:r>
      <w:r w:rsidR="00E62F6C" w:rsidRPr="00D869E3">
        <w:rPr>
          <w:rFonts w:ascii="Verdana" w:hAnsi="Verdana"/>
          <w:sz w:val="20"/>
          <w:szCs w:val="20"/>
          <w:lang w:val="en-US"/>
        </w:rPr>
        <w:t xml:space="preserve"> (</w:t>
      </w:r>
      <w:r w:rsidR="00224537" w:rsidRPr="00D869E3">
        <w:rPr>
          <w:rFonts w:ascii="Verdana" w:hAnsi="Verdana"/>
          <w:i/>
          <w:sz w:val="20"/>
          <w:szCs w:val="20"/>
          <w:lang w:val="en-US"/>
        </w:rPr>
        <w:t>supra</w:t>
      </w:r>
      <w:r w:rsidR="00E62F6C" w:rsidRPr="00D869E3">
        <w:rPr>
          <w:rFonts w:ascii="Verdana" w:hAnsi="Verdana"/>
          <w:sz w:val="20"/>
          <w:szCs w:val="20"/>
          <w:lang w:val="en-US"/>
        </w:rPr>
        <w:t xml:space="preserve"> </w:t>
      </w:r>
      <w:r w:rsidR="0087339F" w:rsidRPr="00D869E3">
        <w:rPr>
          <w:rFonts w:ascii="Verdana" w:hAnsi="Verdana"/>
          <w:sz w:val="20"/>
          <w:szCs w:val="20"/>
          <w:lang w:val="en-US"/>
        </w:rPr>
        <w:t>para.</w:t>
      </w:r>
      <w:r w:rsidR="00DC1C15" w:rsidRPr="00D869E3">
        <w:rPr>
          <w:rFonts w:ascii="Verdana" w:hAnsi="Verdana"/>
          <w:sz w:val="20"/>
          <w:szCs w:val="20"/>
          <w:lang w:val="en-US"/>
        </w:rPr>
        <w:t xml:space="preserve"> 58</w:t>
      </w:r>
      <w:r w:rsidR="00E62F6C" w:rsidRPr="00D869E3">
        <w:rPr>
          <w:rFonts w:ascii="Verdana" w:hAnsi="Verdana"/>
          <w:sz w:val="20"/>
          <w:szCs w:val="20"/>
          <w:lang w:val="en-US"/>
        </w:rPr>
        <w:t xml:space="preserve">). </w:t>
      </w:r>
      <w:r w:rsidR="00966115" w:rsidRPr="00D869E3">
        <w:rPr>
          <w:rFonts w:ascii="Verdana" w:hAnsi="Verdana"/>
          <w:sz w:val="20"/>
          <w:szCs w:val="20"/>
          <w:lang w:val="en-US"/>
        </w:rPr>
        <w:t xml:space="preserve">However, following an appeal filed by the employer, </w:t>
      </w:r>
      <w:r w:rsidR="003506CC" w:rsidRPr="00D869E3">
        <w:rPr>
          <w:rFonts w:ascii="Verdana" w:hAnsi="Verdana"/>
          <w:sz w:val="20"/>
          <w:szCs w:val="20"/>
          <w:lang w:val="en-US"/>
        </w:rPr>
        <w:t xml:space="preserve">the </w:t>
      </w:r>
      <w:r w:rsidR="00966115" w:rsidRPr="00D869E3">
        <w:rPr>
          <w:rFonts w:ascii="Verdana" w:hAnsi="Verdana"/>
          <w:sz w:val="20"/>
          <w:szCs w:val="20"/>
          <w:lang w:val="en-US"/>
        </w:rPr>
        <w:t>Second Labor Court</w:t>
      </w:r>
      <w:r w:rsidR="009D37C8" w:rsidRPr="00D869E3">
        <w:rPr>
          <w:rFonts w:ascii="Verdana" w:hAnsi="Verdana"/>
          <w:sz w:val="20"/>
          <w:szCs w:val="20"/>
          <w:lang w:val="en-US"/>
        </w:rPr>
        <w:t xml:space="preserve"> of Lima</w:t>
      </w:r>
      <w:r w:rsidR="00E62F6C" w:rsidRPr="00D869E3">
        <w:rPr>
          <w:rFonts w:ascii="Verdana" w:hAnsi="Verdana"/>
          <w:sz w:val="20"/>
          <w:szCs w:val="20"/>
          <w:lang w:val="en-US"/>
        </w:rPr>
        <w:t xml:space="preserve"> </w:t>
      </w:r>
      <w:r w:rsidR="00966115" w:rsidRPr="00D869E3">
        <w:rPr>
          <w:rFonts w:ascii="Verdana" w:hAnsi="Verdana"/>
          <w:sz w:val="20"/>
          <w:szCs w:val="20"/>
          <w:lang w:val="en-US"/>
        </w:rPr>
        <w:t>reversed the first instance</w:t>
      </w:r>
      <w:r w:rsidR="00E62F6C" w:rsidRPr="00D869E3">
        <w:rPr>
          <w:rFonts w:ascii="Verdana" w:hAnsi="Verdana"/>
          <w:sz w:val="20"/>
          <w:szCs w:val="20"/>
          <w:lang w:val="en-US"/>
        </w:rPr>
        <w:t xml:space="preserve"> </w:t>
      </w:r>
      <w:r w:rsidR="00966115" w:rsidRPr="00D869E3">
        <w:rPr>
          <w:rFonts w:ascii="Verdana" w:hAnsi="Verdana"/>
          <w:sz w:val="20"/>
          <w:szCs w:val="20"/>
          <w:lang w:val="en-US"/>
        </w:rPr>
        <w:t>j</w:t>
      </w:r>
      <w:r w:rsidR="00447C65" w:rsidRPr="00D869E3">
        <w:rPr>
          <w:rFonts w:ascii="Verdana" w:hAnsi="Verdana"/>
          <w:sz w:val="20"/>
          <w:szCs w:val="20"/>
          <w:lang w:val="en-US"/>
        </w:rPr>
        <w:t xml:space="preserve">udgment </w:t>
      </w:r>
      <w:r w:rsidR="00687684" w:rsidRPr="00D869E3">
        <w:rPr>
          <w:rFonts w:ascii="Verdana" w:hAnsi="Verdana"/>
          <w:sz w:val="20"/>
          <w:szCs w:val="20"/>
          <w:lang w:val="en-US"/>
        </w:rPr>
        <w:t xml:space="preserve">and </w:t>
      </w:r>
      <w:r w:rsidR="00E62F6C" w:rsidRPr="00D869E3">
        <w:rPr>
          <w:rFonts w:ascii="Verdana" w:hAnsi="Verdana"/>
          <w:sz w:val="20"/>
          <w:szCs w:val="20"/>
          <w:lang w:val="en-US"/>
        </w:rPr>
        <w:t>c</w:t>
      </w:r>
      <w:r w:rsidR="00966115" w:rsidRPr="00D869E3">
        <w:rPr>
          <w:rFonts w:ascii="Verdana" w:hAnsi="Verdana"/>
          <w:sz w:val="20"/>
          <w:szCs w:val="20"/>
          <w:lang w:val="en-US"/>
        </w:rPr>
        <w:t xml:space="preserve">lassified the dismissal as </w:t>
      </w:r>
      <w:r w:rsidR="006436CA" w:rsidRPr="00D869E3">
        <w:rPr>
          <w:rFonts w:ascii="Verdana" w:hAnsi="Verdana"/>
          <w:sz w:val="20"/>
          <w:szCs w:val="20"/>
          <w:lang w:val="en-US"/>
        </w:rPr>
        <w:t>“</w:t>
      </w:r>
      <w:r w:rsidR="00E62F6C" w:rsidRPr="00D869E3">
        <w:rPr>
          <w:rFonts w:ascii="Verdana" w:hAnsi="Verdana"/>
          <w:sz w:val="20"/>
          <w:szCs w:val="20"/>
          <w:lang w:val="en-US"/>
        </w:rPr>
        <w:t>legal</w:t>
      </w:r>
      <w:r w:rsidR="00687684" w:rsidRPr="00D869E3">
        <w:rPr>
          <w:rFonts w:ascii="Verdana" w:hAnsi="Verdana"/>
          <w:sz w:val="20"/>
          <w:szCs w:val="20"/>
          <w:lang w:val="en-US"/>
        </w:rPr>
        <w:t xml:space="preserve"> and </w:t>
      </w:r>
      <w:r w:rsidR="00E62F6C" w:rsidRPr="00D869E3">
        <w:rPr>
          <w:rFonts w:ascii="Verdana" w:hAnsi="Verdana"/>
          <w:sz w:val="20"/>
          <w:szCs w:val="20"/>
          <w:lang w:val="en-US"/>
        </w:rPr>
        <w:t>justi</w:t>
      </w:r>
      <w:r w:rsidR="00966115" w:rsidRPr="00D869E3">
        <w:rPr>
          <w:rFonts w:ascii="Verdana" w:hAnsi="Verdana"/>
          <w:sz w:val="20"/>
          <w:szCs w:val="20"/>
          <w:lang w:val="en-US"/>
        </w:rPr>
        <w:t>fied</w:t>
      </w:r>
      <w:r w:rsidR="006436CA" w:rsidRPr="00D869E3">
        <w:rPr>
          <w:rFonts w:ascii="Verdana" w:hAnsi="Verdana"/>
          <w:sz w:val="20"/>
          <w:szCs w:val="20"/>
          <w:lang w:val="en-US"/>
        </w:rPr>
        <w:t>”</w:t>
      </w:r>
      <w:r w:rsidR="00E62F6C" w:rsidRPr="00D869E3">
        <w:rPr>
          <w:rFonts w:ascii="Verdana" w:hAnsi="Verdana"/>
          <w:sz w:val="20"/>
          <w:szCs w:val="20"/>
          <w:lang w:val="en-US"/>
        </w:rPr>
        <w:t xml:space="preserve"> (</w:t>
      </w:r>
      <w:r w:rsidR="00224537" w:rsidRPr="00D869E3">
        <w:rPr>
          <w:rFonts w:ascii="Verdana" w:hAnsi="Verdana"/>
          <w:i/>
          <w:sz w:val="20"/>
          <w:szCs w:val="20"/>
          <w:lang w:val="en-US"/>
        </w:rPr>
        <w:t>supra</w:t>
      </w:r>
      <w:r w:rsidR="00E62F6C" w:rsidRPr="00D869E3">
        <w:rPr>
          <w:rFonts w:ascii="Verdana" w:hAnsi="Verdana"/>
          <w:sz w:val="20"/>
          <w:szCs w:val="20"/>
          <w:lang w:val="en-US"/>
        </w:rPr>
        <w:t xml:space="preserve"> </w:t>
      </w:r>
      <w:r w:rsidR="0087339F" w:rsidRPr="00D869E3">
        <w:rPr>
          <w:rFonts w:ascii="Verdana" w:hAnsi="Verdana"/>
          <w:sz w:val="20"/>
          <w:szCs w:val="20"/>
          <w:lang w:val="en-US"/>
        </w:rPr>
        <w:t>para.</w:t>
      </w:r>
      <w:r w:rsidR="00DC1C15" w:rsidRPr="00D869E3">
        <w:rPr>
          <w:rFonts w:ascii="Verdana" w:hAnsi="Verdana"/>
          <w:sz w:val="20"/>
          <w:szCs w:val="20"/>
          <w:lang w:val="en-US"/>
        </w:rPr>
        <w:t xml:space="preserve"> 60</w:t>
      </w:r>
      <w:r w:rsidR="00E62F6C" w:rsidRPr="00D869E3">
        <w:rPr>
          <w:rFonts w:ascii="Verdana" w:hAnsi="Verdana"/>
          <w:sz w:val="20"/>
          <w:szCs w:val="20"/>
          <w:lang w:val="en-US"/>
        </w:rPr>
        <w:t xml:space="preserve">). </w:t>
      </w:r>
      <w:r w:rsidR="00966115" w:rsidRPr="00D869E3">
        <w:rPr>
          <w:rFonts w:ascii="Verdana" w:hAnsi="Verdana"/>
          <w:sz w:val="20"/>
          <w:szCs w:val="20"/>
          <w:lang w:val="en-US"/>
        </w:rPr>
        <w:t>Subsequently</w:t>
      </w:r>
      <w:r w:rsidR="00D37AAF"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E62F6C" w:rsidRPr="00D869E3">
        <w:rPr>
          <w:rFonts w:ascii="Verdana" w:hAnsi="Verdana"/>
          <w:sz w:val="20"/>
          <w:szCs w:val="20"/>
          <w:lang w:val="en-US"/>
        </w:rPr>
        <w:t xml:space="preserve"> </w:t>
      </w:r>
      <w:r w:rsidR="00966115" w:rsidRPr="00D869E3">
        <w:rPr>
          <w:rFonts w:ascii="Verdana" w:hAnsi="Verdana"/>
          <w:sz w:val="20"/>
          <w:szCs w:val="20"/>
          <w:lang w:val="en-US"/>
        </w:rPr>
        <w:t>filed several appeals which were declared inadmissible</w:t>
      </w:r>
      <w:r w:rsidR="00E62F6C" w:rsidRPr="00D869E3">
        <w:rPr>
          <w:rFonts w:ascii="Verdana" w:hAnsi="Verdana"/>
          <w:sz w:val="20"/>
          <w:szCs w:val="20"/>
          <w:lang w:val="en-US"/>
        </w:rPr>
        <w:t xml:space="preserve"> (</w:t>
      </w:r>
      <w:r w:rsidR="00224537" w:rsidRPr="00D869E3">
        <w:rPr>
          <w:rFonts w:ascii="Verdana" w:hAnsi="Verdana"/>
          <w:i/>
          <w:sz w:val="20"/>
          <w:szCs w:val="20"/>
          <w:lang w:val="en-US"/>
        </w:rPr>
        <w:t>supra</w:t>
      </w:r>
      <w:r w:rsidR="00E62F6C" w:rsidRPr="00D869E3">
        <w:rPr>
          <w:rFonts w:ascii="Verdana" w:hAnsi="Verdana"/>
          <w:sz w:val="20"/>
          <w:szCs w:val="20"/>
          <w:lang w:val="en-US"/>
        </w:rPr>
        <w:t xml:space="preserve"> </w:t>
      </w:r>
      <w:r w:rsidR="0087339F" w:rsidRPr="00D869E3">
        <w:rPr>
          <w:rFonts w:ascii="Verdana" w:hAnsi="Verdana"/>
          <w:sz w:val="20"/>
          <w:szCs w:val="20"/>
          <w:lang w:val="en-US"/>
        </w:rPr>
        <w:t>paras.</w:t>
      </w:r>
      <w:r w:rsidR="00DC1C15" w:rsidRPr="00D869E3">
        <w:rPr>
          <w:rFonts w:ascii="Verdana" w:hAnsi="Verdana"/>
          <w:sz w:val="20"/>
          <w:szCs w:val="20"/>
          <w:lang w:val="en-US"/>
        </w:rPr>
        <w:t xml:space="preserve"> 61</w:t>
      </w:r>
      <w:r w:rsidR="003F5593" w:rsidRPr="00D869E3">
        <w:rPr>
          <w:rFonts w:ascii="Verdana" w:hAnsi="Verdana"/>
          <w:sz w:val="20"/>
          <w:szCs w:val="20"/>
          <w:lang w:val="en-US"/>
        </w:rPr>
        <w:t xml:space="preserve"> </w:t>
      </w:r>
      <w:r w:rsidR="00966115" w:rsidRPr="00D869E3">
        <w:rPr>
          <w:rFonts w:ascii="Verdana" w:hAnsi="Verdana"/>
          <w:sz w:val="20"/>
          <w:szCs w:val="20"/>
          <w:lang w:val="en-US"/>
        </w:rPr>
        <w:t>to</w:t>
      </w:r>
      <w:r w:rsidR="003F5593" w:rsidRPr="00D869E3">
        <w:rPr>
          <w:rFonts w:ascii="Verdana" w:hAnsi="Verdana"/>
          <w:sz w:val="20"/>
          <w:szCs w:val="20"/>
          <w:lang w:val="en-US"/>
        </w:rPr>
        <w:t xml:space="preserve"> 70</w:t>
      </w:r>
      <w:r w:rsidR="00E62F6C" w:rsidRPr="00D869E3">
        <w:rPr>
          <w:rFonts w:ascii="Verdana" w:hAnsi="Verdana"/>
          <w:sz w:val="20"/>
          <w:szCs w:val="20"/>
          <w:lang w:val="en-US"/>
        </w:rPr>
        <w:t>).</w:t>
      </w:r>
    </w:p>
    <w:p w14:paraId="2D5BDB77" w14:textId="77777777" w:rsidR="00E62F6C" w:rsidRPr="00D869E3" w:rsidRDefault="00E62F6C" w:rsidP="00E62F6C">
      <w:pPr>
        <w:pStyle w:val="Prrafodelista"/>
        <w:ind w:left="0"/>
        <w:jc w:val="both"/>
        <w:rPr>
          <w:rFonts w:ascii="Verdana" w:hAnsi="Verdana"/>
          <w:sz w:val="20"/>
          <w:szCs w:val="20"/>
          <w:lang w:val="en-US"/>
        </w:rPr>
      </w:pPr>
    </w:p>
    <w:p w14:paraId="37FF2C76" w14:textId="2B976D0E" w:rsidR="00E62F6C" w:rsidRPr="00D869E3" w:rsidRDefault="00966115" w:rsidP="00966115">
      <w:pPr>
        <w:pStyle w:val="Prrafodelista"/>
        <w:numPr>
          <w:ilvl w:val="0"/>
          <w:numId w:val="1"/>
        </w:numPr>
        <w:ind w:left="0" w:firstLine="0"/>
        <w:jc w:val="both"/>
        <w:rPr>
          <w:rFonts w:ascii="Verdana" w:hAnsi="Verdana"/>
          <w:sz w:val="20"/>
          <w:szCs w:val="20"/>
          <w:lang w:val="en-US"/>
        </w:rPr>
      </w:pPr>
      <w:r w:rsidRPr="00D869E3">
        <w:rPr>
          <w:rFonts w:ascii="Verdana" w:hAnsi="Verdana"/>
          <w:sz w:val="20"/>
          <w:lang w:val="en-US"/>
        </w:rPr>
        <w:t>Based on the above, the Court must analyze whether the</w:t>
      </w:r>
      <w:r w:rsidR="00E62F6C" w:rsidRPr="00D869E3">
        <w:rPr>
          <w:rFonts w:ascii="Verdana" w:hAnsi="Verdana"/>
          <w:sz w:val="20"/>
          <w:lang w:val="en-US"/>
        </w:rPr>
        <w:t xml:space="preserve"> </w:t>
      </w:r>
      <w:r w:rsidRPr="00D869E3">
        <w:rPr>
          <w:rFonts w:ascii="Verdana" w:hAnsi="Verdana"/>
          <w:sz w:val="20"/>
          <w:lang w:val="en-US"/>
        </w:rPr>
        <w:t>j</w:t>
      </w:r>
      <w:r w:rsidR="00447C65" w:rsidRPr="00D869E3">
        <w:rPr>
          <w:rFonts w:ascii="Verdana" w:hAnsi="Verdana"/>
          <w:sz w:val="20"/>
          <w:lang w:val="en-US"/>
        </w:rPr>
        <w:t>udgment of</w:t>
      </w:r>
      <w:r w:rsidRPr="00D869E3">
        <w:rPr>
          <w:rFonts w:ascii="Verdana" w:hAnsi="Verdana"/>
          <w:sz w:val="20"/>
          <w:lang w:val="en-US"/>
        </w:rPr>
        <w:t xml:space="preserve"> the</w:t>
      </w:r>
      <w:r w:rsidR="00E62F6C" w:rsidRPr="00D869E3">
        <w:rPr>
          <w:rFonts w:ascii="Verdana" w:hAnsi="Verdana"/>
          <w:sz w:val="20"/>
          <w:lang w:val="en-US"/>
        </w:rPr>
        <w:t xml:space="preserve"> </w:t>
      </w:r>
      <w:r w:rsidRPr="00D869E3">
        <w:rPr>
          <w:rFonts w:ascii="Verdana" w:hAnsi="Verdana"/>
          <w:sz w:val="20"/>
          <w:szCs w:val="20"/>
          <w:lang w:val="en-US"/>
        </w:rPr>
        <w:t>Second Labor Court</w:t>
      </w:r>
      <w:r w:rsidR="00E62F6C" w:rsidRPr="00D869E3">
        <w:rPr>
          <w:rFonts w:ascii="Verdana" w:hAnsi="Verdana"/>
          <w:sz w:val="20"/>
          <w:lang w:val="en-US"/>
        </w:rPr>
        <w:t xml:space="preserve">, </w:t>
      </w:r>
      <w:r w:rsidRPr="00D869E3">
        <w:rPr>
          <w:rFonts w:ascii="Verdana" w:hAnsi="Verdana"/>
          <w:sz w:val="20"/>
          <w:lang w:val="en-US"/>
        </w:rPr>
        <w:t xml:space="preserve">that </w:t>
      </w:r>
      <w:r w:rsidRPr="00D869E3">
        <w:rPr>
          <w:rFonts w:ascii="Verdana" w:hAnsi="Verdana"/>
          <w:sz w:val="20"/>
          <w:szCs w:val="20"/>
          <w:lang w:val="en-US"/>
        </w:rPr>
        <w:t xml:space="preserve">classified the dismissal </w:t>
      </w:r>
      <w:r w:rsidRPr="00D869E3">
        <w:rPr>
          <w:rFonts w:ascii="Verdana" w:hAnsi="Verdana"/>
          <w:sz w:val="20"/>
          <w:lang w:val="en-US"/>
        </w:rPr>
        <w:t xml:space="preserve">of Mr. Lagos del Campo as </w:t>
      </w:r>
      <w:r w:rsidRPr="00D869E3">
        <w:rPr>
          <w:rFonts w:ascii="Verdana" w:hAnsi="Verdana"/>
          <w:sz w:val="20"/>
          <w:szCs w:val="20"/>
          <w:lang w:val="en-US"/>
        </w:rPr>
        <w:t>“legal and justified</w:t>
      </w:r>
      <w:r w:rsidR="00AD031C" w:rsidRPr="00D869E3">
        <w:rPr>
          <w:rFonts w:ascii="Verdana" w:hAnsi="Verdana"/>
          <w:sz w:val="20"/>
          <w:szCs w:val="20"/>
          <w:lang w:val="en-US"/>
        </w:rPr>
        <w:t>,</w:t>
      </w:r>
      <w:r w:rsidRPr="00D869E3">
        <w:rPr>
          <w:rFonts w:ascii="Verdana" w:hAnsi="Verdana"/>
          <w:sz w:val="20"/>
          <w:szCs w:val="20"/>
          <w:lang w:val="en-US"/>
        </w:rPr>
        <w:t xml:space="preserve">” respected the provisions of Article </w:t>
      </w:r>
      <w:r w:rsidRPr="00D869E3">
        <w:rPr>
          <w:rFonts w:ascii="Verdana" w:hAnsi="Verdana"/>
          <w:sz w:val="20"/>
          <w:lang w:val="en-US"/>
        </w:rPr>
        <w:t>13(2)</w:t>
      </w:r>
      <w:r w:rsidR="00687684" w:rsidRPr="00D869E3">
        <w:rPr>
          <w:rFonts w:ascii="Verdana" w:hAnsi="Verdana"/>
          <w:sz w:val="20"/>
          <w:lang w:val="en-US"/>
        </w:rPr>
        <w:t xml:space="preserve"> and </w:t>
      </w:r>
      <w:r w:rsidR="00004729" w:rsidRPr="00D869E3">
        <w:rPr>
          <w:rFonts w:ascii="Verdana" w:hAnsi="Verdana"/>
          <w:sz w:val="20"/>
          <w:lang w:val="en-US"/>
        </w:rPr>
        <w:t>8</w:t>
      </w:r>
      <w:r w:rsidR="00447C65" w:rsidRPr="00D869E3">
        <w:rPr>
          <w:rFonts w:ascii="Verdana" w:hAnsi="Verdana"/>
          <w:sz w:val="20"/>
          <w:lang w:val="en-US"/>
        </w:rPr>
        <w:t xml:space="preserve"> of the </w:t>
      </w:r>
      <w:r w:rsidR="00E91CF4" w:rsidRPr="00D869E3">
        <w:rPr>
          <w:rFonts w:ascii="Verdana" w:hAnsi="Verdana"/>
          <w:sz w:val="20"/>
          <w:lang w:val="en-US"/>
        </w:rPr>
        <w:t xml:space="preserve">American </w:t>
      </w:r>
      <w:r w:rsidR="00447C65" w:rsidRPr="00D869E3">
        <w:rPr>
          <w:rFonts w:ascii="Verdana" w:hAnsi="Verdana"/>
          <w:sz w:val="20"/>
          <w:lang w:val="en-US"/>
        </w:rPr>
        <w:t>Convention</w:t>
      </w:r>
      <w:r w:rsidR="00004729" w:rsidRPr="00D869E3">
        <w:rPr>
          <w:rFonts w:ascii="Verdana" w:hAnsi="Verdana"/>
          <w:sz w:val="20"/>
          <w:lang w:val="en-US"/>
        </w:rPr>
        <w:t xml:space="preserve"> </w:t>
      </w:r>
      <w:r w:rsidRPr="00D869E3">
        <w:rPr>
          <w:rFonts w:ascii="Verdana" w:hAnsi="Verdana"/>
          <w:sz w:val="20"/>
          <w:lang w:val="en-US"/>
        </w:rPr>
        <w:t>by evaluating the need for the restriction imposed by a private individual</w:t>
      </w:r>
      <w:r w:rsidR="00E91CF4" w:rsidRPr="00D869E3">
        <w:rPr>
          <w:rFonts w:ascii="Verdana" w:hAnsi="Verdana"/>
          <w:sz w:val="20"/>
          <w:lang w:val="en-US"/>
        </w:rPr>
        <w:t xml:space="preserve"> </w:t>
      </w:r>
      <w:r w:rsidR="00AD031C" w:rsidRPr="00D869E3">
        <w:rPr>
          <w:rFonts w:ascii="Verdana" w:hAnsi="Verdana"/>
          <w:sz w:val="20"/>
          <w:lang w:val="en-US"/>
        </w:rPr>
        <w:t xml:space="preserve">and duly stating the reasons for its decision. </w:t>
      </w:r>
      <w:r w:rsidRPr="00D869E3">
        <w:rPr>
          <w:rFonts w:ascii="Verdana" w:hAnsi="Verdana"/>
          <w:sz w:val="20"/>
          <w:lang w:val="en-US"/>
        </w:rPr>
        <w:t xml:space="preserve">In particular, the Court will examine whether the statements made by </w:t>
      </w:r>
      <w:r w:rsidRPr="00D869E3">
        <w:rPr>
          <w:rFonts w:ascii="Verdana" w:hAnsi="Verdana"/>
          <w:sz w:val="20"/>
          <w:szCs w:val="20"/>
          <w:lang w:val="en-US"/>
        </w:rPr>
        <w:t xml:space="preserve">Mr. Lagos del Campo had enhanced protection owing to their context and his position as a representative, and also whether the judge who evaluated the said restriction gave proper consideration to these conditions when classifying the legality of the restriction. In addition, the Court must determine whether the </w:t>
      </w:r>
      <w:r w:rsidR="00AD031C" w:rsidRPr="00D869E3">
        <w:rPr>
          <w:rFonts w:ascii="Verdana" w:hAnsi="Verdana"/>
          <w:sz w:val="20"/>
          <w:szCs w:val="20"/>
          <w:lang w:val="en-US"/>
        </w:rPr>
        <w:t xml:space="preserve">sanction </w:t>
      </w:r>
      <w:r w:rsidRPr="00D869E3">
        <w:rPr>
          <w:rFonts w:ascii="Verdana" w:hAnsi="Verdana"/>
          <w:sz w:val="20"/>
          <w:szCs w:val="20"/>
          <w:lang w:val="en-US"/>
        </w:rPr>
        <w:t xml:space="preserve">imposed, </w:t>
      </w:r>
      <w:r w:rsidR="00AD031C" w:rsidRPr="00D869E3">
        <w:rPr>
          <w:rFonts w:ascii="Verdana" w:hAnsi="Verdana"/>
          <w:sz w:val="20"/>
          <w:szCs w:val="20"/>
          <w:lang w:val="en-US"/>
        </w:rPr>
        <w:t xml:space="preserve">that was </w:t>
      </w:r>
      <w:r w:rsidR="00D329A8" w:rsidRPr="00D869E3">
        <w:rPr>
          <w:rFonts w:ascii="Verdana" w:hAnsi="Verdana"/>
          <w:sz w:val="20"/>
          <w:szCs w:val="20"/>
          <w:lang w:val="en-US"/>
        </w:rPr>
        <w:t>ratifie</w:t>
      </w:r>
      <w:r w:rsidRPr="00D869E3">
        <w:rPr>
          <w:rFonts w:ascii="Verdana" w:hAnsi="Verdana"/>
          <w:sz w:val="20"/>
          <w:szCs w:val="20"/>
          <w:lang w:val="en-US"/>
        </w:rPr>
        <w:t xml:space="preserve">d by the judge, had an impact on the State’s obligation to ensure </w:t>
      </w:r>
      <w:r w:rsidR="00A157F5" w:rsidRPr="00D869E3">
        <w:rPr>
          <w:rFonts w:ascii="Verdana" w:hAnsi="Verdana"/>
          <w:sz w:val="20"/>
          <w:szCs w:val="20"/>
          <w:lang w:val="en-US"/>
        </w:rPr>
        <w:t>the</w:t>
      </w:r>
      <w:r w:rsidR="00AD031C" w:rsidRPr="00D869E3">
        <w:rPr>
          <w:rFonts w:ascii="Verdana" w:hAnsi="Verdana"/>
          <w:sz w:val="20"/>
          <w:szCs w:val="20"/>
          <w:lang w:val="en-US"/>
        </w:rPr>
        <w:t xml:space="preserve"> individual and collective dimension of the</w:t>
      </w:r>
      <w:r w:rsidR="00A157F5" w:rsidRPr="00D869E3">
        <w:rPr>
          <w:rFonts w:ascii="Verdana" w:hAnsi="Verdana"/>
          <w:sz w:val="20"/>
          <w:szCs w:val="20"/>
          <w:lang w:val="en-US"/>
        </w:rPr>
        <w:t xml:space="preserve"> </w:t>
      </w:r>
      <w:r w:rsidR="000B2E5E" w:rsidRPr="00D869E3">
        <w:rPr>
          <w:rFonts w:ascii="Verdana" w:hAnsi="Verdana"/>
          <w:sz w:val="20"/>
          <w:szCs w:val="20"/>
          <w:lang w:val="en-US"/>
        </w:rPr>
        <w:t>right to</w:t>
      </w:r>
      <w:r w:rsidR="00E62F6C"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Pr="00D869E3">
        <w:rPr>
          <w:rFonts w:ascii="Verdana" w:hAnsi="Verdana"/>
          <w:sz w:val="20"/>
          <w:szCs w:val="20"/>
          <w:lang w:val="en-US"/>
        </w:rPr>
        <w:t xml:space="preserve">. Furthermore, </w:t>
      </w:r>
      <w:r w:rsidR="00AD031C" w:rsidRPr="00D869E3">
        <w:rPr>
          <w:rFonts w:ascii="Verdana" w:hAnsi="Verdana"/>
          <w:sz w:val="20"/>
          <w:szCs w:val="20"/>
          <w:lang w:val="en-US"/>
        </w:rPr>
        <w:t>whether</w:t>
      </w:r>
      <w:r w:rsidRPr="00D869E3">
        <w:rPr>
          <w:rFonts w:ascii="Verdana" w:hAnsi="Verdana"/>
          <w:sz w:val="20"/>
          <w:szCs w:val="20"/>
          <w:lang w:val="en-US"/>
        </w:rPr>
        <w:t xml:space="preserve"> the dismissal violated the presumed victim</w:t>
      </w:r>
      <w:r w:rsidR="00AD031C" w:rsidRPr="00D869E3">
        <w:rPr>
          <w:rFonts w:ascii="Verdana" w:hAnsi="Verdana"/>
          <w:sz w:val="20"/>
          <w:szCs w:val="20"/>
          <w:lang w:val="en-US"/>
        </w:rPr>
        <w:t>’s job security</w:t>
      </w:r>
      <w:r w:rsidRPr="00D869E3">
        <w:rPr>
          <w:rFonts w:ascii="Verdana" w:hAnsi="Verdana"/>
          <w:sz w:val="20"/>
          <w:szCs w:val="20"/>
          <w:lang w:val="en-US"/>
        </w:rPr>
        <w:t xml:space="preserve">, as well as whether he was afforded effective judicial protection of his rights. Lastly, the Court must determine whether the law on which the dismissal of Mr. Lagos was based violated </w:t>
      </w:r>
      <w:r w:rsidR="00447C65" w:rsidRPr="00D869E3">
        <w:rPr>
          <w:rFonts w:ascii="Verdana" w:hAnsi="Verdana"/>
          <w:sz w:val="20"/>
          <w:szCs w:val="20"/>
          <w:lang w:val="en-US"/>
        </w:rPr>
        <w:t>Article</w:t>
      </w:r>
      <w:r w:rsidR="00E62F6C" w:rsidRPr="00D869E3">
        <w:rPr>
          <w:rFonts w:ascii="Verdana" w:hAnsi="Verdana"/>
          <w:sz w:val="20"/>
          <w:szCs w:val="20"/>
          <w:lang w:val="en-US"/>
        </w:rPr>
        <w:t xml:space="preserve"> 2</w:t>
      </w:r>
      <w:r w:rsidR="00447C65" w:rsidRPr="00D869E3">
        <w:rPr>
          <w:rFonts w:ascii="Verdana" w:hAnsi="Verdana"/>
          <w:sz w:val="20"/>
          <w:szCs w:val="20"/>
          <w:lang w:val="en-US"/>
        </w:rPr>
        <w:t xml:space="preserve"> of the Convention</w:t>
      </w:r>
      <w:r w:rsidR="00995EA7" w:rsidRPr="00D869E3">
        <w:rPr>
          <w:rFonts w:ascii="Verdana" w:hAnsi="Verdana"/>
          <w:sz w:val="20"/>
          <w:szCs w:val="20"/>
          <w:lang w:val="en-US"/>
        </w:rPr>
        <w:t xml:space="preserve">. </w:t>
      </w:r>
    </w:p>
    <w:p w14:paraId="514A1204" w14:textId="77777777" w:rsidR="00E62F6C" w:rsidRPr="00D869E3" w:rsidRDefault="00E62F6C" w:rsidP="00D33760">
      <w:pPr>
        <w:rPr>
          <w:rFonts w:ascii="Verdana" w:hAnsi="Verdana"/>
          <w:sz w:val="20"/>
          <w:szCs w:val="20"/>
          <w:lang w:val="en-US"/>
        </w:rPr>
      </w:pPr>
    </w:p>
    <w:p w14:paraId="17C91ED7" w14:textId="662D3950" w:rsidR="00D33760" w:rsidRPr="00D869E3" w:rsidRDefault="00DF1382" w:rsidP="00E66DD7">
      <w:pPr>
        <w:numPr>
          <w:ilvl w:val="0"/>
          <w:numId w:val="1"/>
        </w:numPr>
        <w:ind w:left="11" w:hanging="11"/>
        <w:contextualSpacing/>
        <w:jc w:val="both"/>
        <w:rPr>
          <w:rFonts w:ascii="Verdana" w:hAnsi="Verdana"/>
          <w:sz w:val="20"/>
          <w:szCs w:val="20"/>
          <w:lang w:val="en-US"/>
        </w:rPr>
      </w:pPr>
      <w:r w:rsidRPr="00D869E3">
        <w:rPr>
          <w:rFonts w:ascii="Verdana" w:hAnsi="Verdana" w:cs="Arial"/>
          <w:sz w:val="20"/>
          <w:szCs w:val="20"/>
          <w:lang w:val="en-US"/>
        </w:rPr>
        <w:t xml:space="preserve">To this end, The Court will now analyze the arguments presented by the parties </w:t>
      </w:r>
      <w:r w:rsidR="00687684" w:rsidRPr="00D869E3">
        <w:rPr>
          <w:rFonts w:ascii="Verdana" w:hAnsi="Verdana"/>
          <w:sz w:val="20"/>
          <w:szCs w:val="20"/>
          <w:lang w:val="en-US"/>
        </w:rPr>
        <w:t xml:space="preserve">and </w:t>
      </w:r>
      <w:r w:rsidR="00447C65" w:rsidRPr="00D869E3">
        <w:rPr>
          <w:rFonts w:ascii="Verdana" w:hAnsi="Verdana"/>
          <w:sz w:val="20"/>
          <w:szCs w:val="20"/>
          <w:lang w:val="en-US"/>
        </w:rPr>
        <w:t>the Commission</w:t>
      </w:r>
      <w:r w:rsidR="00D33760" w:rsidRPr="00D869E3">
        <w:rPr>
          <w:rFonts w:ascii="Verdana" w:hAnsi="Verdana"/>
          <w:sz w:val="20"/>
          <w:szCs w:val="20"/>
          <w:lang w:val="en-US"/>
        </w:rPr>
        <w:t>,</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will develop </w:t>
      </w:r>
      <w:r w:rsidR="00F35942" w:rsidRPr="00D869E3">
        <w:rPr>
          <w:rFonts w:ascii="Verdana" w:hAnsi="Verdana"/>
          <w:sz w:val="20"/>
          <w:szCs w:val="20"/>
          <w:lang w:val="en-US"/>
        </w:rPr>
        <w:t xml:space="preserve">the pertinent legal </w:t>
      </w:r>
      <w:r w:rsidRPr="00D869E3">
        <w:rPr>
          <w:rFonts w:ascii="Verdana" w:hAnsi="Verdana"/>
          <w:sz w:val="20"/>
          <w:szCs w:val="20"/>
          <w:lang w:val="en-US"/>
        </w:rPr>
        <w:t xml:space="preserve">considerations </w:t>
      </w:r>
      <w:r w:rsidR="00F35942" w:rsidRPr="00D869E3">
        <w:rPr>
          <w:rFonts w:ascii="Verdana" w:hAnsi="Verdana"/>
          <w:sz w:val="20"/>
          <w:szCs w:val="20"/>
          <w:lang w:val="en-US"/>
        </w:rPr>
        <w:t xml:space="preserve">related to the alleged violations of freedom of thought and expression </w:t>
      </w:r>
      <w:r w:rsidR="00897EE7" w:rsidRPr="00D869E3">
        <w:rPr>
          <w:rFonts w:ascii="Verdana" w:hAnsi="Verdana"/>
          <w:sz w:val="20"/>
          <w:szCs w:val="20"/>
          <w:lang w:val="en-US"/>
        </w:rPr>
        <w:t>(</w:t>
      </w:r>
      <w:r w:rsidR="00447C65" w:rsidRPr="00D869E3">
        <w:rPr>
          <w:rFonts w:ascii="Verdana" w:hAnsi="Verdana"/>
          <w:sz w:val="20"/>
          <w:szCs w:val="20"/>
          <w:lang w:val="en-US"/>
        </w:rPr>
        <w:t>Article</w:t>
      </w:r>
      <w:r w:rsidR="00897EE7" w:rsidRPr="00D869E3">
        <w:rPr>
          <w:rFonts w:ascii="Verdana" w:hAnsi="Verdana"/>
          <w:sz w:val="20"/>
          <w:szCs w:val="20"/>
          <w:lang w:val="en-US"/>
        </w:rPr>
        <w:t xml:space="preserve"> 13)</w:t>
      </w:r>
      <w:r w:rsidR="00F35942" w:rsidRPr="00D869E3">
        <w:rPr>
          <w:rFonts w:ascii="Verdana" w:hAnsi="Verdana"/>
          <w:sz w:val="20"/>
          <w:szCs w:val="20"/>
          <w:lang w:val="en-US"/>
        </w:rPr>
        <w:t>,</w:t>
      </w:r>
      <w:r w:rsidR="00D37AAF" w:rsidRPr="00D869E3">
        <w:rPr>
          <w:rFonts w:ascii="Verdana" w:hAnsi="Verdana"/>
          <w:sz w:val="20"/>
          <w:szCs w:val="20"/>
          <w:vertAlign w:val="superscript"/>
          <w:lang w:val="en-US"/>
        </w:rPr>
        <w:footnoteReference w:id="103"/>
      </w:r>
      <w:r w:rsidR="00D37AAF" w:rsidRPr="00D869E3">
        <w:rPr>
          <w:rFonts w:ascii="Verdana" w:hAnsi="Verdana"/>
          <w:sz w:val="20"/>
          <w:szCs w:val="20"/>
          <w:lang w:val="en-US"/>
        </w:rPr>
        <w:t xml:space="preserve"> </w:t>
      </w:r>
      <w:r w:rsidR="00F35942" w:rsidRPr="00D869E3">
        <w:rPr>
          <w:rFonts w:ascii="Verdana" w:hAnsi="Verdana"/>
          <w:sz w:val="20"/>
          <w:szCs w:val="20"/>
          <w:lang w:val="en-US"/>
        </w:rPr>
        <w:t>right to a free trial</w:t>
      </w:r>
      <w:r w:rsidR="00897EE7" w:rsidRPr="00D869E3">
        <w:rPr>
          <w:rFonts w:ascii="Verdana" w:hAnsi="Verdana"/>
          <w:sz w:val="20"/>
          <w:szCs w:val="20"/>
          <w:lang w:val="en-US"/>
        </w:rPr>
        <w:t xml:space="preserve"> (</w:t>
      </w:r>
      <w:r w:rsidR="00447C65" w:rsidRPr="00D869E3">
        <w:rPr>
          <w:rFonts w:ascii="Verdana" w:hAnsi="Verdana"/>
          <w:sz w:val="20"/>
          <w:szCs w:val="20"/>
          <w:lang w:val="en-US"/>
        </w:rPr>
        <w:t>Article</w:t>
      </w:r>
      <w:r w:rsidR="00897EE7" w:rsidRPr="00D869E3">
        <w:rPr>
          <w:rFonts w:ascii="Verdana" w:hAnsi="Verdana"/>
          <w:sz w:val="20"/>
          <w:szCs w:val="20"/>
          <w:lang w:val="en-US"/>
        </w:rPr>
        <w:t xml:space="preserve"> 8)</w:t>
      </w:r>
      <w:r w:rsidR="00F35942" w:rsidRPr="00D869E3">
        <w:rPr>
          <w:rFonts w:ascii="Verdana" w:hAnsi="Verdana"/>
          <w:sz w:val="20"/>
          <w:szCs w:val="20"/>
          <w:lang w:val="en-US"/>
        </w:rPr>
        <w:t>,</w:t>
      </w:r>
      <w:r w:rsidR="00D37AAF" w:rsidRPr="00D869E3">
        <w:rPr>
          <w:rFonts w:ascii="Verdana" w:hAnsi="Verdana"/>
          <w:sz w:val="20"/>
          <w:szCs w:val="20"/>
          <w:vertAlign w:val="superscript"/>
          <w:lang w:val="en-US"/>
        </w:rPr>
        <w:footnoteReference w:id="104"/>
      </w:r>
      <w:r w:rsidR="00115071" w:rsidRPr="00D869E3">
        <w:rPr>
          <w:rFonts w:ascii="Verdana" w:hAnsi="Verdana"/>
          <w:sz w:val="20"/>
          <w:szCs w:val="20"/>
          <w:lang w:val="en-US"/>
        </w:rPr>
        <w:t xml:space="preserve"> </w:t>
      </w:r>
      <w:r w:rsidR="00F35942" w:rsidRPr="00D869E3">
        <w:rPr>
          <w:rFonts w:ascii="Verdana" w:hAnsi="Verdana"/>
          <w:sz w:val="20"/>
          <w:szCs w:val="20"/>
          <w:lang w:val="en-US"/>
        </w:rPr>
        <w:t xml:space="preserve">freedom of association </w:t>
      </w:r>
      <w:r w:rsidR="00897EE7" w:rsidRPr="00D869E3">
        <w:rPr>
          <w:rFonts w:ascii="Verdana" w:hAnsi="Verdana"/>
          <w:sz w:val="20"/>
          <w:szCs w:val="20"/>
          <w:lang w:val="en-US"/>
        </w:rPr>
        <w:t>(</w:t>
      </w:r>
      <w:r w:rsidR="00447C65" w:rsidRPr="00D869E3">
        <w:rPr>
          <w:rFonts w:ascii="Verdana" w:hAnsi="Verdana"/>
          <w:sz w:val="20"/>
          <w:szCs w:val="20"/>
          <w:lang w:val="en-US"/>
        </w:rPr>
        <w:t>Article</w:t>
      </w:r>
      <w:r w:rsidR="00897EE7" w:rsidRPr="00D869E3">
        <w:rPr>
          <w:rFonts w:ascii="Verdana" w:hAnsi="Verdana"/>
          <w:sz w:val="20"/>
          <w:szCs w:val="20"/>
          <w:lang w:val="en-US"/>
        </w:rPr>
        <w:t xml:space="preserve"> 16)</w:t>
      </w:r>
      <w:r w:rsidR="00F35942" w:rsidRPr="00D869E3">
        <w:rPr>
          <w:rFonts w:ascii="Verdana" w:hAnsi="Verdana"/>
          <w:sz w:val="20"/>
          <w:szCs w:val="20"/>
          <w:lang w:val="en-US"/>
        </w:rPr>
        <w:t>,</w:t>
      </w:r>
      <w:r w:rsidR="00D37AAF" w:rsidRPr="00D869E3">
        <w:rPr>
          <w:rFonts w:ascii="Verdana" w:hAnsi="Verdana"/>
          <w:sz w:val="20"/>
          <w:szCs w:val="20"/>
          <w:vertAlign w:val="superscript"/>
          <w:lang w:val="en-US"/>
        </w:rPr>
        <w:footnoteReference w:id="105"/>
      </w:r>
      <w:r w:rsidR="00D37AAF" w:rsidRPr="00D869E3">
        <w:rPr>
          <w:rFonts w:ascii="Verdana" w:hAnsi="Verdana"/>
          <w:sz w:val="20"/>
          <w:szCs w:val="20"/>
          <w:lang w:val="en-US"/>
        </w:rPr>
        <w:t xml:space="preserve"> </w:t>
      </w:r>
      <w:r w:rsidR="00F35942" w:rsidRPr="00D869E3">
        <w:rPr>
          <w:rFonts w:ascii="Verdana" w:hAnsi="Verdana"/>
          <w:sz w:val="20"/>
          <w:szCs w:val="20"/>
          <w:lang w:val="en-US"/>
        </w:rPr>
        <w:t xml:space="preserve">job security </w:t>
      </w:r>
      <w:r w:rsidR="00115071" w:rsidRPr="00D869E3">
        <w:rPr>
          <w:rFonts w:ascii="Verdana" w:hAnsi="Verdana"/>
          <w:sz w:val="20"/>
          <w:szCs w:val="20"/>
          <w:lang w:val="en-US"/>
        </w:rPr>
        <w:t>(</w:t>
      </w:r>
      <w:r w:rsidR="00447C65" w:rsidRPr="00D869E3">
        <w:rPr>
          <w:rFonts w:ascii="Verdana" w:hAnsi="Verdana"/>
          <w:sz w:val="20"/>
          <w:szCs w:val="20"/>
          <w:lang w:val="en-US"/>
        </w:rPr>
        <w:t>Article</w:t>
      </w:r>
      <w:r w:rsidR="00115071" w:rsidRPr="00D869E3">
        <w:rPr>
          <w:rFonts w:ascii="Verdana" w:hAnsi="Verdana"/>
          <w:sz w:val="20"/>
          <w:szCs w:val="20"/>
          <w:lang w:val="en-US"/>
        </w:rPr>
        <w:t xml:space="preserve"> 26</w:t>
      </w:r>
      <w:r w:rsidR="00334B6C" w:rsidRPr="00D869E3">
        <w:rPr>
          <w:rStyle w:val="Refdenotaalpie"/>
          <w:szCs w:val="20"/>
          <w:lang w:val="en-US"/>
        </w:rPr>
        <w:footnoteReference w:id="106"/>
      </w:r>
      <w:r w:rsidR="00115071"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D37AAF" w:rsidRPr="00D869E3">
        <w:rPr>
          <w:rFonts w:ascii="Verdana" w:hAnsi="Verdana"/>
          <w:sz w:val="20"/>
          <w:szCs w:val="20"/>
          <w:lang w:val="en-US"/>
        </w:rPr>
        <w:t xml:space="preserve"> </w:t>
      </w:r>
      <w:r w:rsidR="00687684" w:rsidRPr="00D869E3">
        <w:rPr>
          <w:rFonts w:ascii="Verdana" w:hAnsi="Verdana"/>
          <w:sz w:val="20"/>
          <w:szCs w:val="20"/>
          <w:lang w:val="en-US"/>
        </w:rPr>
        <w:t>Article 1(1)</w:t>
      </w:r>
      <w:r w:rsidR="00F35942" w:rsidRPr="00D869E3">
        <w:rPr>
          <w:rFonts w:ascii="Verdana" w:hAnsi="Verdana"/>
          <w:sz w:val="20"/>
          <w:szCs w:val="20"/>
          <w:lang w:val="en-US"/>
        </w:rPr>
        <w:t>,</w:t>
      </w:r>
      <w:r w:rsidR="00363DED" w:rsidRPr="00D869E3">
        <w:rPr>
          <w:rFonts w:ascii="Verdana" w:hAnsi="Verdana" w:cs="Verdana"/>
          <w:caps/>
          <w:snapToGrid w:val="0"/>
          <w:sz w:val="20"/>
          <w:szCs w:val="20"/>
          <w:vertAlign w:val="superscript"/>
          <w:lang w:val="en-US"/>
        </w:rPr>
        <w:footnoteReference w:id="107"/>
      </w:r>
      <w:r w:rsidR="00F35942" w:rsidRPr="00D869E3">
        <w:rPr>
          <w:rFonts w:ascii="Verdana" w:hAnsi="Verdana"/>
          <w:sz w:val="20"/>
          <w:szCs w:val="20"/>
          <w:lang w:val="en-US"/>
        </w:rPr>
        <w:t xml:space="preserve"> and also </w:t>
      </w:r>
      <w:r w:rsidR="00F35942" w:rsidRPr="00D869E3">
        <w:rPr>
          <w:rFonts w:ascii="Verdana" w:hAnsi="Verdana"/>
          <w:sz w:val="20"/>
          <w:szCs w:val="20"/>
          <w:lang w:val="en-US"/>
        </w:rPr>
        <w:lastRenderedPageBreak/>
        <w:t>the alleged violation</w:t>
      </w:r>
      <w:r w:rsidR="00363DED" w:rsidRPr="00D869E3">
        <w:rPr>
          <w:rFonts w:ascii="Verdana" w:hAnsi="Verdana"/>
          <w:sz w:val="20"/>
          <w:szCs w:val="20"/>
          <w:lang w:val="en-US"/>
        </w:rPr>
        <w:t xml:space="preserve"> </w:t>
      </w:r>
      <w:r w:rsidR="00687684" w:rsidRPr="00D869E3">
        <w:rPr>
          <w:rFonts w:ascii="Verdana" w:hAnsi="Verdana"/>
          <w:sz w:val="20"/>
          <w:szCs w:val="20"/>
          <w:lang w:val="en-US"/>
        </w:rPr>
        <w:t>of Article</w:t>
      </w:r>
      <w:r w:rsidR="00363DED" w:rsidRPr="00D869E3">
        <w:rPr>
          <w:rFonts w:ascii="Verdana" w:hAnsi="Verdana"/>
          <w:sz w:val="20"/>
          <w:szCs w:val="20"/>
          <w:lang w:val="en-US"/>
        </w:rPr>
        <w:t xml:space="preserve"> 2</w:t>
      </w:r>
      <w:r w:rsidR="00363DED" w:rsidRPr="00D869E3">
        <w:rPr>
          <w:rStyle w:val="Refdenotaalpie"/>
          <w:szCs w:val="20"/>
          <w:lang w:val="en-US"/>
        </w:rPr>
        <w:footnoteReference w:id="108"/>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Articles</w:t>
      </w:r>
      <w:r w:rsidR="00363DED" w:rsidRPr="00D869E3">
        <w:rPr>
          <w:rFonts w:ascii="Verdana" w:hAnsi="Verdana"/>
          <w:sz w:val="20"/>
          <w:szCs w:val="20"/>
          <w:lang w:val="en-US"/>
        </w:rPr>
        <w:t xml:space="preserve"> </w:t>
      </w:r>
      <w:r w:rsidR="00004729" w:rsidRPr="00D869E3">
        <w:rPr>
          <w:rFonts w:ascii="Verdana" w:hAnsi="Verdana"/>
          <w:sz w:val="20"/>
          <w:szCs w:val="20"/>
          <w:lang w:val="en-US"/>
        </w:rPr>
        <w:t>8</w:t>
      </w:r>
      <w:r w:rsidR="00687684" w:rsidRPr="00D869E3">
        <w:rPr>
          <w:rFonts w:ascii="Verdana" w:hAnsi="Verdana"/>
          <w:sz w:val="20"/>
          <w:szCs w:val="20"/>
          <w:lang w:val="en-US"/>
        </w:rPr>
        <w:t xml:space="preserve"> and </w:t>
      </w:r>
      <w:r w:rsidR="00363DED" w:rsidRPr="00D869E3">
        <w:rPr>
          <w:rFonts w:ascii="Verdana" w:hAnsi="Verdana"/>
          <w:sz w:val="20"/>
          <w:szCs w:val="20"/>
          <w:lang w:val="en-US"/>
        </w:rPr>
        <w:t>25</w:t>
      </w:r>
      <w:r w:rsidR="00F35942" w:rsidRPr="00D869E3">
        <w:rPr>
          <w:rFonts w:ascii="Verdana" w:hAnsi="Verdana"/>
          <w:sz w:val="20"/>
          <w:szCs w:val="20"/>
          <w:lang w:val="en-US"/>
        </w:rPr>
        <w:t>,</w:t>
      </w:r>
      <w:r w:rsidR="00363DED" w:rsidRPr="00D869E3">
        <w:rPr>
          <w:rStyle w:val="Refdenotaalpie"/>
          <w:szCs w:val="20"/>
          <w:lang w:val="en-US"/>
        </w:rPr>
        <w:footnoteReference w:id="109"/>
      </w:r>
      <w:r w:rsidR="00CD0D18" w:rsidRPr="00D869E3">
        <w:rPr>
          <w:rFonts w:ascii="Verdana" w:hAnsi="Verdana"/>
          <w:sz w:val="20"/>
          <w:szCs w:val="20"/>
          <w:lang w:val="en-US"/>
        </w:rPr>
        <w:t xml:space="preserve"> </w:t>
      </w:r>
      <w:r w:rsidR="00F35942" w:rsidRPr="00D869E3">
        <w:rPr>
          <w:rFonts w:ascii="Verdana" w:hAnsi="Verdana"/>
          <w:sz w:val="20"/>
          <w:szCs w:val="20"/>
          <w:lang w:val="en-US"/>
        </w:rPr>
        <w:t>all</w:t>
      </w:r>
      <w:r w:rsidR="00447C65" w:rsidRPr="00D869E3">
        <w:rPr>
          <w:rFonts w:ascii="Verdana" w:hAnsi="Verdana"/>
          <w:sz w:val="20"/>
          <w:szCs w:val="20"/>
          <w:lang w:val="en-US"/>
        </w:rPr>
        <w:t xml:space="preserve"> of the American Convention on Human Rights</w:t>
      </w:r>
      <w:r w:rsidR="00CD0D18" w:rsidRPr="00D869E3">
        <w:rPr>
          <w:rFonts w:ascii="Verdana" w:hAnsi="Verdana"/>
          <w:sz w:val="20"/>
          <w:szCs w:val="20"/>
          <w:lang w:val="en-US"/>
        </w:rPr>
        <w:t>.</w:t>
      </w:r>
    </w:p>
    <w:p w14:paraId="5DDF4D2C" w14:textId="77777777" w:rsidR="00A4549D" w:rsidRPr="00D869E3" w:rsidRDefault="00A4549D" w:rsidP="00A4549D">
      <w:pPr>
        <w:contextualSpacing/>
        <w:jc w:val="both"/>
        <w:rPr>
          <w:rFonts w:ascii="Verdana" w:hAnsi="Verdana"/>
          <w:sz w:val="20"/>
          <w:szCs w:val="20"/>
          <w:lang w:val="en-US"/>
        </w:rPr>
      </w:pPr>
    </w:p>
    <w:p w14:paraId="6D018C52" w14:textId="10871581" w:rsidR="00C01305" w:rsidRPr="00D869E3" w:rsidRDefault="00374FC9" w:rsidP="00C01305">
      <w:pPr>
        <w:pStyle w:val="Ttulo1"/>
        <w:tabs>
          <w:tab w:val="left" w:pos="851"/>
        </w:tabs>
        <w:spacing w:before="0"/>
        <w:jc w:val="center"/>
        <w:rPr>
          <w:rFonts w:cs="Verdana"/>
          <w:caps/>
          <w:snapToGrid w:val="0"/>
          <w:szCs w:val="20"/>
          <w:lang w:val="en-US"/>
        </w:rPr>
      </w:pPr>
      <w:bookmarkStart w:id="30" w:name="_Toc482355927"/>
      <w:bookmarkStart w:id="31" w:name="_Toc29114123"/>
      <w:r w:rsidRPr="00D869E3">
        <w:rPr>
          <w:rFonts w:cs="Verdana"/>
          <w:caps/>
          <w:snapToGrid w:val="0"/>
          <w:szCs w:val="20"/>
          <w:lang w:val="en-US"/>
        </w:rPr>
        <w:t>VII</w:t>
      </w:r>
      <w:r w:rsidR="00C01305" w:rsidRPr="00D869E3">
        <w:rPr>
          <w:rFonts w:cs="Verdana"/>
          <w:caps/>
          <w:snapToGrid w:val="0"/>
          <w:szCs w:val="20"/>
          <w:lang w:val="en-US"/>
        </w:rPr>
        <w:t>-</w:t>
      </w:r>
      <w:bookmarkEnd w:id="30"/>
      <w:r w:rsidRPr="00D869E3">
        <w:rPr>
          <w:rFonts w:cs="Verdana"/>
          <w:caps/>
          <w:snapToGrid w:val="0"/>
          <w:szCs w:val="20"/>
          <w:lang w:val="en-US"/>
        </w:rPr>
        <w:t>1</w:t>
      </w:r>
      <w:bookmarkEnd w:id="31"/>
    </w:p>
    <w:p w14:paraId="6F711E32" w14:textId="69013947" w:rsidR="00C01305" w:rsidRPr="00D869E3" w:rsidRDefault="00DF1382" w:rsidP="00CC31D1">
      <w:pPr>
        <w:pStyle w:val="Ttulo1"/>
        <w:tabs>
          <w:tab w:val="left" w:pos="851"/>
        </w:tabs>
        <w:spacing w:before="0"/>
        <w:jc w:val="center"/>
        <w:rPr>
          <w:rFonts w:cs="Verdana"/>
          <w:caps/>
          <w:snapToGrid w:val="0"/>
          <w:szCs w:val="20"/>
          <w:lang w:val="en-US"/>
        </w:rPr>
      </w:pPr>
      <w:bookmarkStart w:id="32" w:name="_Toc29114124"/>
      <w:r w:rsidRPr="00D869E3">
        <w:rPr>
          <w:rFonts w:cs="Verdana"/>
          <w:caps/>
          <w:snapToGrid w:val="0"/>
          <w:szCs w:val="20"/>
          <w:lang w:val="en-US"/>
        </w:rPr>
        <w:t>FREEDOM OF THOUGHT AND EXPRESSION</w:t>
      </w:r>
      <w:r w:rsidR="00CC31D1" w:rsidRPr="00D869E3">
        <w:rPr>
          <w:rFonts w:cs="Verdana"/>
          <w:caps/>
          <w:snapToGrid w:val="0"/>
          <w:szCs w:val="20"/>
          <w:lang w:val="en-US"/>
        </w:rPr>
        <w:t>,</w:t>
      </w:r>
      <w:r w:rsidR="00C01305" w:rsidRPr="00D869E3">
        <w:rPr>
          <w:rFonts w:cs="Verdana"/>
          <w:caps/>
          <w:snapToGrid w:val="0"/>
          <w:szCs w:val="20"/>
          <w:lang w:val="en-US"/>
        </w:rPr>
        <w:t xml:space="preserve"> </w:t>
      </w:r>
      <w:r w:rsidR="00F35942" w:rsidRPr="00D869E3">
        <w:rPr>
          <w:rFonts w:cs="Verdana"/>
          <w:caps/>
          <w:snapToGrid w:val="0"/>
          <w:szCs w:val="20"/>
          <w:lang w:val="en-US"/>
        </w:rPr>
        <w:t>RIGHT TO A FAIR TRIAL</w:t>
      </w:r>
      <w:r w:rsidRPr="00D869E3">
        <w:rPr>
          <w:rFonts w:cs="Verdana"/>
          <w:caps/>
          <w:snapToGrid w:val="0"/>
          <w:szCs w:val="20"/>
          <w:lang w:val="en-US"/>
        </w:rPr>
        <w:t>,</w:t>
      </w:r>
      <w:r w:rsidR="00430EA0" w:rsidRPr="00D869E3">
        <w:rPr>
          <w:rFonts w:cs="Verdana"/>
          <w:caps/>
          <w:snapToGrid w:val="0"/>
          <w:szCs w:val="20"/>
          <w:lang w:val="en-US"/>
        </w:rPr>
        <w:t xml:space="preserve"> </w:t>
      </w:r>
      <w:r w:rsidRPr="00D869E3">
        <w:rPr>
          <w:rFonts w:cs="Verdana"/>
          <w:caps/>
          <w:snapToGrid w:val="0"/>
          <w:szCs w:val="20"/>
          <w:lang w:val="en-US"/>
        </w:rPr>
        <w:t>JOB SECURITY</w:t>
      </w:r>
      <w:r w:rsidR="00F20967" w:rsidRPr="00D869E3">
        <w:rPr>
          <w:rFonts w:cs="Verdana"/>
          <w:caps/>
          <w:snapToGrid w:val="0"/>
          <w:szCs w:val="20"/>
          <w:lang w:val="en-US"/>
        </w:rPr>
        <w:t xml:space="preserve">, </w:t>
      </w:r>
      <w:r w:rsidRPr="00D869E3">
        <w:rPr>
          <w:rFonts w:cs="Verdana"/>
          <w:caps/>
          <w:snapToGrid w:val="0"/>
          <w:szCs w:val="20"/>
          <w:lang w:val="en-US"/>
        </w:rPr>
        <w:t>FREEDOM OF ASSOCIATION</w:t>
      </w:r>
      <w:r w:rsidR="00430EA0" w:rsidRPr="00D869E3">
        <w:rPr>
          <w:rFonts w:cs="Verdana"/>
          <w:caps/>
          <w:snapToGrid w:val="0"/>
          <w:szCs w:val="20"/>
          <w:lang w:val="en-US"/>
        </w:rPr>
        <w:t>,</w:t>
      </w:r>
      <w:r w:rsidR="007A4CF1" w:rsidRPr="00D869E3">
        <w:rPr>
          <w:rFonts w:cs="Verdana"/>
          <w:caps/>
          <w:snapToGrid w:val="0"/>
          <w:szCs w:val="20"/>
          <w:lang w:val="en-US"/>
        </w:rPr>
        <w:t xml:space="preserve"> AND</w:t>
      </w:r>
      <w:r w:rsidR="0088700B" w:rsidRPr="00D869E3">
        <w:rPr>
          <w:rFonts w:cs="Verdana"/>
          <w:caps/>
          <w:snapToGrid w:val="0"/>
          <w:szCs w:val="20"/>
          <w:lang w:val="en-US"/>
        </w:rPr>
        <w:t xml:space="preserve"> </w:t>
      </w:r>
      <w:r w:rsidRPr="00D869E3">
        <w:rPr>
          <w:rFonts w:cs="Verdana"/>
          <w:caps/>
          <w:snapToGrid w:val="0"/>
          <w:szCs w:val="20"/>
          <w:lang w:val="en-US"/>
        </w:rPr>
        <w:t>DOMESTIC LEGAL EFFECTS</w:t>
      </w:r>
      <w:bookmarkEnd w:id="32"/>
    </w:p>
    <w:p w14:paraId="61A06078" w14:textId="70A7362C" w:rsidR="00C01305" w:rsidRPr="00D869E3" w:rsidRDefault="00C01305" w:rsidP="00C01305">
      <w:pPr>
        <w:pStyle w:val="Ttulo1"/>
        <w:tabs>
          <w:tab w:val="left" w:pos="851"/>
        </w:tabs>
        <w:spacing w:before="0"/>
        <w:jc w:val="center"/>
        <w:rPr>
          <w:rFonts w:cs="Verdana"/>
          <w:caps/>
          <w:snapToGrid w:val="0"/>
          <w:szCs w:val="20"/>
          <w:lang w:val="en-US"/>
        </w:rPr>
      </w:pPr>
      <w:bookmarkStart w:id="33" w:name="_Toc482355929"/>
      <w:bookmarkStart w:id="34" w:name="_Toc29114125"/>
      <w:r w:rsidRPr="00D869E3">
        <w:rPr>
          <w:rFonts w:cs="Verdana"/>
          <w:caps/>
          <w:snapToGrid w:val="0"/>
          <w:szCs w:val="20"/>
          <w:lang w:val="en-US"/>
        </w:rPr>
        <w:t>(</w:t>
      </w:r>
      <w:r w:rsidR="00DF1382" w:rsidRPr="00D869E3">
        <w:rPr>
          <w:rFonts w:cs="Verdana"/>
          <w:caps/>
          <w:snapToGrid w:val="0"/>
          <w:szCs w:val="20"/>
          <w:lang w:val="en-US"/>
        </w:rPr>
        <w:t>ARTICLES</w:t>
      </w:r>
      <w:r w:rsidRPr="00D869E3">
        <w:rPr>
          <w:rFonts w:cs="Verdana"/>
          <w:caps/>
          <w:snapToGrid w:val="0"/>
          <w:szCs w:val="20"/>
          <w:lang w:val="en-US"/>
        </w:rPr>
        <w:t xml:space="preserve"> 13</w:t>
      </w:r>
      <w:r w:rsidR="00CC31D1" w:rsidRPr="00D869E3">
        <w:rPr>
          <w:rFonts w:cs="Verdana"/>
          <w:caps/>
          <w:snapToGrid w:val="0"/>
          <w:szCs w:val="20"/>
          <w:lang w:val="en-US"/>
        </w:rPr>
        <w:t xml:space="preserve">, </w:t>
      </w:r>
      <w:r w:rsidRPr="00D869E3">
        <w:rPr>
          <w:rFonts w:cs="Verdana"/>
          <w:caps/>
          <w:snapToGrid w:val="0"/>
          <w:szCs w:val="20"/>
          <w:lang w:val="en-US"/>
        </w:rPr>
        <w:t>8</w:t>
      </w:r>
      <w:r w:rsidR="00CC31D1" w:rsidRPr="00D869E3">
        <w:rPr>
          <w:rFonts w:cs="Verdana"/>
          <w:caps/>
          <w:snapToGrid w:val="0"/>
          <w:szCs w:val="20"/>
          <w:lang w:val="en-US"/>
        </w:rPr>
        <w:t>,</w:t>
      </w:r>
      <w:r w:rsidR="00430EA0" w:rsidRPr="00D869E3">
        <w:rPr>
          <w:rFonts w:cs="Verdana"/>
          <w:caps/>
          <w:snapToGrid w:val="0"/>
          <w:szCs w:val="20"/>
          <w:lang w:val="en-US"/>
        </w:rPr>
        <w:t xml:space="preserve"> </w:t>
      </w:r>
      <w:r w:rsidR="00F20967" w:rsidRPr="00D869E3">
        <w:rPr>
          <w:rFonts w:cs="Verdana"/>
          <w:caps/>
          <w:snapToGrid w:val="0"/>
          <w:szCs w:val="20"/>
          <w:lang w:val="en-US"/>
        </w:rPr>
        <w:t>26, 16</w:t>
      </w:r>
      <w:r w:rsidR="0088700B" w:rsidRPr="00D869E3">
        <w:rPr>
          <w:rFonts w:cs="Verdana"/>
          <w:caps/>
          <w:snapToGrid w:val="0"/>
          <w:szCs w:val="20"/>
          <w:lang w:val="en-US"/>
        </w:rPr>
        <w:t>,</w:t>
      </w:r>
      <w:r w:rsidR="00DF1382" w:rsidRPr="00D869E3">
        <w:rPr>
          <w:rFonts w:cs="Verdana"/>
          <w:caps/>
          <w:snapToGrid w:val="0"/>
          <w:szCs w:val="20"/>
          <w:lang w:val="en-US"/>
        </w:rPr>
        <w:t xml:space="preserve"> 1(1) </w:t>
      </w:r>
      <w:r w:rsidR="00687684" w:rsidRPr="00D869E3">
        <w:rPr>
          <w:rFonts w:cs="Verdana"/>
          <w:caps/>
          <w:snapToGrid w:val="0"/>
          <w:szCs w:val="20"/>
          <w:lang w:val="en-US"/>
        </w:rPr>
        <w:t xml:space="preserve">and </w:t>
      </w:r>
      <w:r w:rsidR="00CC31D1" w:rsidRPr="00D869E3">
        <w:rPr>
          <w:rFonts w:cs="Verdana"/>
          <w:caps/>
          <w:snapToGrid w:val="0"/>
          <w:szCs w:val="20"/>
          <w:lang w:val="en-US"/>
        </w:rPr>
        <w:t>2</w:t>
      </w:r>
      <w:r w:rsidR="00447C65" w:rsidRPr="00D869E3">
        <w:rPr>
          <w:rFonts w:cs="Verdana"/>
          <w:caps/>
          <w:snapToGrid w:val="0"/>
          <w:szCs w:val="20"/>
          <w:lang w:val="en-US"/>
        </w:rPr>
        <w:t xml:space="preserve"> of the AMERICAN CONVENTION</w:t>
      </w:r>
      <w:r w:rsidRPr="00D869E3">
        <w:rPr>
          <w:rFonts w:cs="Verdana"/>
          <w:caps/>
          <w:snapToGrid w:val="0"/>
          <w:szCs w:val="20"/>
          <w:lang w:val="en-US"/>
        </w:rPr>
        <w:t>)</w:t>
      </w:r>
      <w:bookmarkEnd w:id="33"/>
      <w:bookmarkEnd w:id="34"/>
    </w:p>
    <w:p w14:paraId="09CCEE2C" w14:textId="77777777" w:rsidR="00C01305" w:rsidRPr="00D869E3" w:rsidRDefault="00C01305" w:rsidP="00C01305">
      <w:pPr>
        <w:rPr>
          <w:rFonts w:ascii="Verdana" w:hAnsi="Verdana"/>
          <w:lang w:val="en-US"/>
        </w:rPr>
      </w:pPr>
    </w:p>
    <w:p w14:paraId="60A1C29E" w14:textId="10945692" w:rsidR="00C01305" w:rsidRPr="00D869E3" w:rsidRDefault="00966115" w:rsidP="00E66DD7">
      <w:pPr>
        <w:pStyle w:val="Ttulo2"/>
        <w:numPr>
          <w:ilvl w:val="0"/>
          <w:numId w:val="10"/>
        </w:numPr>
        <w:rPr>
          <w:i/>
          <w:szCs w:val="20"/>
          <w:lang w:val="en-US"/>
        </w:rPr>
      </w:pPr>
      <w:bookmarkStart w:id="35" w:name="_Toc29114126"/>
      <w:r w:rsidRPr="00D869E3">
        <w:rPr>
          <w:i/>
          <w:szCs w:val="20"/>
          <w:lang w:val="en-US"/>
        </w:rPr>
        <w:t>Arguments of the parties</w:t>
      </w:r>
      <w:r w:rsidR="00687684" w:rsidRPr="00D869E3">
        <w:rPr>
          <w:i/>
          <w:szCs w:val="20"/>
          <w:lang w:val="en-US"/>
        </w:rPr>
        <w:t xml:space="preserve"> and </w:t>
      </w:r>
      <w:r w:rsidR="00447C65" w:rsidRPr="00D869E3">
        <w:rPr>
          <w:i/>
          <w:szCs w:val="20"/>
          <w:lang w:val="en-US"/>
        </w:rPr>
        <w:t>of the Commission</w:t>
      </w:r>
      <w:bookmarkEnd w:id="35"/>
    </w:p>
    <w:p w14:paraId="19404AC6" w14:textId="77777777" w:rsidR="004D6B60" w:rsidRPr="00D869E3" w:rsidRDefault="004D6B60" w:rsidP="005D0F69">
      <w:pPr>
        <w:keepNext/>
        <w:keepLines/>
        <w:jc w:val="both"/>
        <w:outlineLvl w:val="1"/>
        <w:rPr>
          <w:rFonts w:ascii="Verdana" w:eastAsia="Times New Roman" w:hAnsi="Verdana"/>
          <w:b/>
          <w:bCs/>
          <w:i/>
          <w:sz w:val="20"/>
          <w:szCs w:val="20"/>
          <w:lang w:val="en-US"/>
        </w:rPr>
      </w:pPr>
    </w:p>
    <w:p w14:paraId="38B41E3C" w14:textId="3BAF225F" w:rsidR="00C01305" w:rsidRPr="00D869E3" w:rsidRDefault="008E0F63" w:rsidP="00E66DD7">
      <w:pPr>
        <w:pStyle w:val="Ttulo3"/>
        <w:numPr>
          <w:ilvl w:val="0"/>
          <w:numId w:val="18"/>
        </w:numPr>
        <w:rPr>
          <w:b w:val="0"/>
          <w:bCs w:val="0"/>
          <w:i/>
          <w:iCs/>
          <w:szCs w:val="20"/>
          <w:lang w:val="en-US"/>
        </w:rPr>
      </w:pPr>
      <w:bookmarkStart w:id="36" w:name="_Toc29114127"/>
      <w:r w:rsidRPr="00D869E3">
        <w:rPr>
          <w:i/>
          <w:iCs/>
          <w:szCs w:val="20"/>
          <w:lang w:val="en-US"/>
        </w:rPr>
        <w:t>F</w:t>
      </w:r>
      <w:r w:rsidR="00966115" w:rsidRPr="00D869E3">
        <w:rPr>
          <w:i/>
          <w:iCs/>
          <w:szCs w:val="20"/>
          <w:lang w:val="en-US"/>
        </w:rPr>
        <w:t>reedom of expression and the right to a fair trial</w:t>
      </w:r>
      <w:bookmarkEnd w:id="36"/>
    </w:p>
    <w:p w14:paraId="30000091" w14:textId="77777777" w:rsidR="004D6B60" w:rsidRPr="00D869E3" w:rsidRDefault="004D6B60" w:rsidP="005D0F69">
      <w:pPr>
        <w:keepNext/>
        <w:keepLines/>
        <w:jc w:val="both"/>
        <w:outlineLvl w:val="1"/>
        <w:rPr>
          <w:rFonts w:ascii="Verdana" w:eastAsia="Times New Roman" w:hAnsi="Verdana"/>
          <w:b/>
          <w:bCs/>
          <w:i/>
          <w:sz w:val="20"/>
          <w:szCs w:val="20"/>
          <w:lang w:val="en-US"/>
        </w:rPr>
      </w:pPr>
    </w:p>
    <w:p w14:paraId="4BA24615" w14:textId="37210C9B" w:rsidR="00BB1F42" w:rsidRPr="00D869E3" w:rsidRDefault="00966115" w:rsidP="006D2CFE">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Regarding</w:t>
      </w:r>
      <w:r w:rsidR="00C01305" w:rsidRPr="00D869E3">
        <w:rPr>
          <w:rFonts w:ascii="Verdana" w:hAnsi="Verdana"/>
          <w:sz w:val="20"/>
          <w:szCs w:val="20"/>
          <w:lang w:val="en-US"/>
        </w:rPr>
        <w:t xml:space="preserve"> </w:t>
      </w:r>
      <w:r w:rsidR="00A62EA8" w:rsidRPr="00D869E3">
        <w:rPr>
          <w:rFonts w:ascii="Verdana" w:hAnsi="Verdana"/>
          <w:sz w:val="20"/>
          <w:szCs w:val="20"/>
          <w:lang w:val="en-US"/>
        </w:rPr>
        <w:t>freedom of expression</w:t>
      </w:r>
      <w:r w:rsidR="00C01305"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00447C65" w:rsidRPr="00D869E3">
        <w:rPr>
          <w:rFonts w:ascii="Verdana" w:hAnsi="Verdana"/>
          <w:b/>
          <w:bCs/>
          <w:i/>
          <w:iCs/>
          <w:sz w:val="20"/>
          <w:szCs w:val="20"/>
          <w:lang w:val="en-US"/>
        </w:rPr>
        <w:t>Commission</w:t>
      </w:r>
      <w:r w:rsidR="00C01305" w:rsidRPr="00D869E3">
        <w:rPr>
          <w:rFonts w:ascii="Verdana" w:hAnsi="Verdana"/>
          <w:sz w:val="20"/>
          <w:szCs w:val="20"/>
          <w:lang w:val="en-US"/>
        </w:rPr>
        <w:t xml:space="preserve"> a</w:t>
      </w:r>
      <w:r w:rsidR="00C948E2" w:rsidRPr="00D869E3">
        <w:rPr>
          <w:rFonts w:ascii="Verdana" w:hAnsi="Verdana"/>
          <w:sz w:val="20"/>
          <w:szCs w:val="20"/>
          <w:lang w:val="en-US"/>
        </w:rPr>
        <w:t xml:space="preserve">rgued that </w:t>
      </w:r>
      <w:r w:rsidR="006D2CFE" w:rsidRPr="00D869E3">
        <w:rPr>
          <w:rFonts w:ascii="Verdana" w:hAnsi="Verdana"/>
          <w:sz w:val="20"/>
          <w:szCs w:val="20"/>
          <w:lang w:val="en-US"/>
        </w:rPr>
        <w:t xml:space="preserve">the statements made by </w:t>
      </w:r>
      <w:r w:rsidR="00E6309B" w:rsidRPr="00D869E3">
        <w:rPr>
          <w:rFonts w:ascii="Verdana" w:hAnsi="Verdana"/>
          <w:sz w:val="20"/>
          <w:szCs w:val="20"/>
          <w:lang w:val="en-US" w:eastAsia="es-ES"/>
        </w:rPr>
        <w:t>Mr.</w:t>
      </w:r>
      <w:r w:rsidR="001E44D3" w:rsidRPr="00D869E3">
        <w:rPr>
          <w:rFonts w:ascii="Verdana" w:hAnsi="Verdana"/>
          <w:sz w:val="20"/>
          <w:szCs w:val="20"/>
          <w:lang w:val="en-US" w:eastAsia="es-ES"/>
        </w:rPr>
        <w:t xml:space="preserve"> Lagos del Campo</w:t>
      </w:r>
      <w:r w:rsidR="00C01305" w:rsidRPr="00D869E3">
        <w:rPr>
          <w:rFonts w:ascii="Verdana" w:hAnsi="Verdana"/>
          <w:sz w:val="20"/>
          <w:szCs w:val="20"/>
          <w:lang w:val="en-US" w:eastAsia="es-ES"/>
        </w:rPr>
        <w:t xml:space="preserve"> </w:t>
      </w:r>
      <w:r w:rsidR="006D2CFE" w:rsidRPr="00D869E3">
        <w:rPr>
          <w:rFonts w:ascii="Verdana" w:hAnsi="Verdana"/>
          <w:sz w:val="20"/>
          <w:szCs w:val="20"/>
          <w:lang w:val="en-US" w:eastAsia="es-ES"/>
        </w:rPr>
        <w:t>should be understood as part of his work as a representative of a group of workers, which enjoy greater protection under the American Convention.</w:t>
      </w:r>
      <w:r w:rsidR="006D2CFE" w:rsidRPr="00D869E3">
        <w:rPr>
          <w:rFonts w:ascii="Verdana" w:hAnsi="Verdana"/>
          <w:sz w:val="20"/>
          <w:szCs w:val="20"/>
          <w:lang w:val="en-US"/>
        </w:rPr>
        <w:t xml:space="preserve"> </w:t>
      </w:r>
      <w:r w:rsidR="006D2CFE" w:rsidRPr="00D869E3">
        <w:rPr>
          <w:rFonts w:ascii="Verdana" w:hAnsi="Verdana" w:cs="Arial"/>
          <w:sz w:val="20"/>
          <w:szCs w:val="20"/>
          <w:lang w:val="en-US"/>
        </w:rPr>
        <w:t>It was clear from reading the whole interview published in “</w:t>
      </w:r>
      <w:r w:rsidR="006D2CFE" w:rsidRPr="00D869E3">
        <w:rPr>
          <w:rFonts w:ascii="Verdana" w:hAnsi="Verdana" w:cs="Arial"/>
          <w:i/>
          <w:iCs/>
          <w:sz w:val="20"/>
          <w:szCs w:val="20"/>
          <w:lang w:val="en-US"/>
        </w:rPr>
        <w:t>La Razón</w:t>
      </w:r>
      <w:r w:rsidR="006D2CFE" w:rsidRPr="00D869E3">
        <w:rPr>
          <w:rFonts w:ascii="Verdana" w:hAnsi="Verdana" w:cs="Arial"/>
          <w:sz w:val="20"/>
          <w:szCs w:val="20"/>
          <w:lang w:val="en-US"/>
        </w:rPr>
        <w:t xml:space="preserve">” that the purpose of the statements was to expose and call attention to acts of undue interference by the employers in the </w:t>
      </w:r>
      <w:r w:rsidR="004B1195" w:rsidRPr="00D869E3">
        <w:rPr>
          <w:rFonts w:ascii="Verdana" w:hAnsi="Verdana" w:cs="Arial"/>
          <w:sz w:val="20"/>
          <w:szCs w:val="20"/>
          <w:lang w:val="en-US"/>
        </w:rPr>
        <w:t xml:space="preserve">activities of the </w:t>
      </w:r>
      <w:r w:rsidR="006D2CFE" w:rsidRPr="00D869E3">
        <w:rPr>
          <w:rFonts w:ascii="Verdana" w:hAnsi="Verdana" w:cs="Arial"/>
          <w:sz w:val="20"/>
          <w:szCs w:val="20"/>
          <w:lang w:val="en-US"/>
        </w:rPr>
        <w:t>organizations</w:t>
      </w:r>
      <w:r w:rsidR="004B1195" w:rsidRPr="00D869E3">
        <w:rPr>
          <w:rFonts w:ascii="Verdana" w:hAnsi="Verdana" w:cs="Arial"/>
          <w:sz w:val="20"/>
          <w:szCs w:val="20"/>
          <w:lang w:val="en-US"/>
        </w:rPr>
        <w:t xml:space="preserve"> that represented the workers, </w:t>
      </w:r>
      <w:r w:rsidR="006D2CFE" w:rsidRPr="00D869E3">
        <w:rPr>
          <w:rFonts w:ascii="Verdana" w:hAnsi="Verdana" w:cs="Arial"/>
          <w:sz w:val="20"/>
          <w:szCs w:val="20"/>
          <w:lang w:val="en-US"/>
        </w:rPr>
        <w:t>and in internal elections of the Industrial Community</w:t>
      </w:r>
      <w:r w:rsidR="004B1195" w:rsidRPr="00D869E3">
        <w:rPr>
          <w:rFonts w:ascii="Verdana" w:hAnsi="Verdana" w:cs="Arial"/>
          <w:sz w:val="20"/>
          <w:szCs w:val="20"/>
          <w:lang w:val="en-US"/>
        </w:rPr>
        <w:t xml:space="preserve">, because those elections could have an impact on the exercise of the workers’ rights. Consequently, it was not proved that the </w:t>
      </w:r>
      <w:r w:rsidR="00AD031C" w:rsidRPr="00D869E3">
        <w:rPr>
          <w:rFonts w:ascii="Verdana" w:hAnsi="Verdana" w:cs="Arial"/>
          <w:sz w:val="20"/>
          <w:szCs w:val="20"/>
          <w:lang w:val="en-US"/>
        </w:rPr>
        <w:t>sanction</w:t>
      </w:r>
      <w:r w:rsidR="004B1195" w:rsidRPr="00D869E3">
        <w:rPr>
          <w:rFonts w:ascii="Verdana" w:hAnsi="Verdana" w:cs="Arial"/>
          <w:sz w:val="20"/>
          <w:szCs w:val="20"/>
          <w:lang w:val="en-US"/>
        </w:rPr>
        <w:t xml:space="preserve"> was really necessary in a democratic society, because evident public interest</w:t>
      </w:r>
      <w:r w:rsidR="00AD031C" w:rsidRPr="00D869E3">
        <w:rPr>
          <w:rFonts w:ascii="Verdana" w:hAnsi="Verdana" w:cs="Arial"/>
          <w:sz w:val="20"/>
          <w:szCs w:val="20"/>
          <w:lang w:val="en-US"/>
        </w:rPr>
        <w:t xml:space="preserve"> was involved.</w:t>
      </w:r>
      <w:r w:rsidR="004B1195" w:rsidRPr="00D869E3">
        <w:rPr>
          <w:rFonts w:ascii="Verdana" w:hAnsi="Verdana" w:cs="Arial"/>
          <w:sz w:val="20"/>
          <w:szCs w:val="20"/>
          <w:lang w:val="en-US"/>
        </w:rPr>
        <w:t xml:space="preserve"> The Commission added that the State had not proved that the dismissal responded to an urgent social need; moreover, it c</w:t>
      </w:r>
      <w:r w:rsidR="00AD031C" w:rsidRPr="00D869E3">
        <w:rPr>
          <w:rFonts w:ascii="Verdana" w:hAnsi="Verdana" w:cs="Arial"/>
          <w:sz w:val="20"/>
          <w:szCs w:val="20"/>
          <w:lang w:val="en-US"/>
        </w:rPr>
        <w:t>ould not</w:t>
      </w:r>
      <w:r w:rsidR="004B1195" w:rsidRPr="00D869E3">
        <w:rPr>
          <w:rFonts w:ascii="Verdana" w:hAnsi="Verdana" w:cs="Arial"/>
          <w:sz w:val="20"/>
          <w:szCs w:val="20"/>
          <w:lang w:val="en-US"/>
        </w:rPr>
        <w:t xml:space="preserve"> be argued that it was proportionate to the objective sought.</w:t>
      </w:r>
      <w:r w:rsidR="00C01305" w:rsidRPr="00D869E3">
        <w:rPr>
          <w:rFonts w:ascii="Verdana" w:hAnsi="Verdana"/>
          <w:sz w:val="20"/>
          <w:szCs w:val="20"/>
          <w:vertAlign w:val="superscript"/>
          <w:lang w:val="en-US"/>
        </w:rPr>
        <w:footnoteReference w:id="110"/>
      </w:r>
      <w:r w:rsidR="00C01305" w:rsidRPr="00D869E3">
        <w:rPr>
          <w:rFonts w:ascii="Verdana" w:hAnsi="Verdana"/>
          <w:b/>
          <w:sz w:val="20"/>
          <w:szCs w:val="20"/>
          <w:lang w:val="en-US"/>
        </w:rPr>
        <w:t xml:space="preserve"> </w:t>
      </w:r>
      <w:r w:rsidR="00EA03AE" w:rsidRPr="00D869E3">
        <w:rPr>
          <w:rFonts w:ascii="Verdana" w:hAnsi="Verdana"/>
          <w:sz w:val="20"/>
          <w:szCs w:val="20"/>
          <w:lang w:val="en-US"/>
        </w:rPr>
        <w:t>Ad</w:t>
      </w:r>
      <w:r w:rsidR="00BB1F42" w:rsidRPr="00D869E3">
        <w:rPr>
          <w:rFonts w:ascii="Verdana" w:hAnsi="Verdana"/>
          <w:sz w:val="20"/>
          <w:szCs w:val="20"/>
          <w:lang w:val="en-US"/>
        </w:rPr>
        <w:t xml:space="preserve">ditionally, </w:t>
      </w:r>
      <w:r w:rsidR="00447C65" w:rsidRPr="00D869E3">
        <w:rPr>
          <w:rFonts w:ascii="Verdana" w:hAnsi="Verdana"/>
          <w:sz w:val="20"/>
          <w:szCs w:val="20"/>
          <w:lang w:val="en-US" w:eastAsia="es-ES"/>
        </w:rPr>
        <w:t>the Commission</w:t>
      </w:r>
      <w:r w:rsidR="00BB1F42" w:rsidRPr="00D869E3">
        <w:rPr>
          <w:rFonts w:ascii="Verdana" w:hAnsi="Verdana"/>
          <w:sz w:val="20"/>
          <w:szCs w:val="20"/>
          <w:lang w:val="en-US" w:eastAsia="es-ES"/>
        </w:rPr>
        <w:t xml:space="preserve"> argued that the statements made by</w:t>
      </w:r>
      <w:r w:rsidR="00EA03AE" w:rsidRPr="00D869E3">
        <w:rPr>
          <w:rFonts w:ascii="Verdana" w:hAnsi="Verdana"/>
          <w:sz w:val="20"/>
          <w:szCs w:val="20"/>
          <w:lang w:val="en-US" w:eastAsia="es-ES"/>
        </w:rPr>
        <w:t xml:space="preserve"> </w:t>
      </w:r>
      <w:r w:rsidR="00E6309B" w:rsidRPr="00D869E3">
        <w:rPr>
          <w:rFonts w:ascii="Verdana" w:hAnsi="Verdana"/>
          <w:sz w:val="20"/>
          <w:szCs w:val="20"/>
          <w:lang w:val="en-US" w:eastAsia="es-ES"/>
        </w:rPr>
        <w:t>Mr.</w:t>
      </w:r>
      <w:r w:rsidR="001E44D3" w:rsidRPr="00D869E3">
        <w:rPr>
          <w:rFonts w:ascii="Verdana" w:hAnsi="Verdana"/>
          <w:sz w:val="20"/>
          <w:szCs w:val="20"/>
          <w:lang w:val="en-US" w:eastAsia="es-ES"/>
        </w:rPr>
        <w:t xml:space="preserve"> Lagos del Campo</w:t>
      </w:r>
      <w:r w:rsidR="00EA03AE" w:rsidRPr="00D869E3">
        <w:rPr>
          <w:rFonts w:ascii="Verdana" w:hAnsi="Verdana"/>
          <w:sz w:val="20"/>
          <w:szCs w:val="20"/>
          <w:lang w:val="en-US" w:eastAsia="es-ES"/>
        </w:rPr>
        <w:t xml:space="preserve"> </w:t>
      </w:r>
      <w:r w:rsidR="00BB1F42" w:rsidRPr="00D869E3">
        <w:rPr>
          <w:rFonts w:ascii="Verdana" w:hAnsi="Verdana"/>
          <w:sz w:val="20"/>
          <w:szCs w:val="20"/>
          <w:lang w:val="en-US" w:eastAsia="es-ES"/>
        </w:rPr>
        <w:t>could have been investigated, corrected or explained by the company and that there were other measures less harmful than dismissal that the company could have used to</w:t>
      </w:r>
      <w:r w:rsidR="00AD031C" w:rsidRPr="00D869E3">
        <w:rPr>
          <w:rFonts w:ascii="Verdana" w:hAnsi="Verdana"/>
          <w:sz w:val="20"/>
          <w:szCs w:val="20"/>
          <w:lang w:val="en-US" w:eastAsia="es-ES"/>
        </w:rPr>
        <w:t xml:space="preserve"> defend the honor of those who felt that they </w:t>
      </w:r>
      <w:r w:rsidR="00064854" w:rsidRPr="00D869E3">
        <w:rPr>
          <w:rFonts w:ascii="Verdana" w:hAnsi="Verdana"/>
          <w:sz w:val="20"/>
          <w:szCs w:val="20"/>
          <w:lang w:val="en-US" w:eastAsia="es-ES"/>
        </w:rPr>
        <w:t>had been</w:t>
      </w:r>
      <w:r w:rsidR="00AD031C" w:rsidRPr="00D869E3">
        <w:rPr>
          <w:rFonts w:ascii="Verdana" w:hAnsi="Verdana"/>
          <w:sz w:val="20"/>
          <w:szCs w:val="20"/>
          <w:lang w:val="en-US" w:eastAsia="es-ES"/>
        </w:rPr>
        <w:t xml:space="preserve"> adversely affected.</w:t>
      </w:r>
      <w:r w:rsidR="00BB1F42" w:rsidRPr="00D869E3">
        <w:rPr>
          <w:rFonts w:ascii="Verdana" w:hAnsi="Verdana"/>
          <w:sz w:val="20"/>
          <w:szCs w:val="20"/>
          <w:lang w:val="en-US" w:eastAsia="es-ES"/>
        </w:rPr>
        <w:t xml:space="preserve"> Moreover, the application of restrictions to freedom of expression to protect legitimate aims cannot lead to</w:t>
      </w:r>
      <w:r w:rsidR="00064854" w:rsidRPr="00D869E3">
        <w:rPr>
          <w:rFonts w:ascii="Verdana" w:hAnsi="Verdana"/>
          <w:sz w:val="20"/>
          <w:szCs w:val="20"/>
          <w:lang w:val="en-US" w:eastAsia="es-ES"/>
        </w:rPr>
        <w:t xml:space="preserve"> the</w:t>
      </w:r>
      <w:r w:rsidR="00BB1F42" w:rsidRPr="00D869E3">
        <w:rPr>
          <w:rFonts w:ascii="Verdana" w:hAnsi="Verdana"/>
          <w:sz w:val="20"/>
          <w:szCs w:val="20"/>
          <w:lang w:val="en-US" w:eastAsia="es-ES"/>
        </w:rPr>
        <w:t xml:space="preserve"> imposi</w:t>
      </w:r>
      <w:r w:rsidR="00064854" w:rsidRPr="00D869E3">
        <w:rPr>
          <w:rFonts w:ascii="Verdana" w:hAnsi="Verdana"/>
          <w:sz w:val="20"/>
          <w:szCs w:val="20"/>
          <w:lang w:val="en-US" w:eastAsia="es-ES"/>
        </w:rPr>
        <w:t>tion of</w:t>
      </w:r>
      <w:r w:rsidR="00BB1F42" w:rsidRPr="00D869E3">
        <w:rPr>
          <w:rFonts w:ascii="Verdana" w:hAnsi="Verdana"/>
          <w:sz w:val="20"/>
          <w:szCs w:val="20"/>
          <w:lang w:val="en-US" w:eastAsia="es-ES"/>
        </w:rPr>
        <w:t xml:space="preserve"> a duty of absolute loyalty t</w:t>
      </w:r>
      <w:r w:rsidR="00064854" w:rsidRPr="00D869E3">
        <w:rPr>
          <w:rFonts w:ascii="Verdana" w:hAnsi="Verdana"/>
          <w:sz w:val="20"/>
          <w:szCs w:val="20"/>
          <w:lang w:val="en-US" w:eastAsia="es-ES"/>
        </w:rPr>
        <w:t>o</w:t>
      </w:r>
      <w:r w:rsidR="00BB1F42" w:rsidRPr="00D869E3">
        <w:rPr>
          <w:rFonts w:ascii="Verdana" w:hAnsi="Verdana"/>
          <w:sz w:val="20"/>
          <w:szCs w:val="20"/>
          <w:lang w:val="en-US" w:eastAsia="es-ES"/>
        </w:rPr>
        <w:t xml:space="preserve"> the employer or to subjecting </w:t>
      </w:r>
      <w:r w:rsidR="00064854" w:rsidRPr="00D869E3">
        <w:rPr>
          <w:rFonts w:ascii="Verdana" w:hAnsi="Verdana"/>
          <w:sz w:val="20"/>
          <w:szCs w:val="20"/>
          <w:lang w:val="en-US" w:eastAsia="es-ES"/>
        </w:rPr>
        <w:t>a</w:t>
      </w:r>
      <w:r w:rsidR="00BB1F42" w:rsidRPr="00D869E3">
        <w:rPr>
          <w:rFonts w:ascii="Verdana" w:hAnsi="Verdana"/>
          <w:sz w:val="20"/>
          <w:szCs w:val="20"/>
          <w:lang w:val="en-US" w:eastAsia="es-ES"/>
        </w:rPr>
        <w:t xml:space="preserve"> work</w:t>
      </w:r>
      <w:r w:rsidR="00064854" w:rsidRPr="00D869E3">
        <w:rPr>
          <w:rFonts w:ascii="Verdana" w:hAnsi="Verdana"/>
          <w:sz w:val="20"/>
          <w:szCs w:val="20"/>
          <w:lang w:val="en-US" w:eastAsia="es-ES"/>
        </w:rPr>
        <w:t>er</w:t>
      </w:r>
      <w:r w:rsidR="00BB1F42" w:rsidRPr="00D869E3">
        <w:rPr>
          <w:rFonts w:ascii="Verdana" w:hAnsi="Verdana"/>
          <w:sz w:val="20"/>
          <w:szCs w:val="20"/>
          <w:lang w:val="en-US" w:eastAsia="es-ES"/>
        </w:rPr>
        <w:t xml:space="preserve"> – especially a leader</w:t>
      </w:r>
      <w:r w:rsidR="00064854" w:rsidRPr="00D869E3">
        <w:rPr>
          <w:rFonts w:ascii="Verdana" w:hAnsi="Verdana"/>
          <w:sz w:val="20"/>
          <w:szCs w:val="20"/>
          <w:lang w:val="en-US" w:eastAsia="es-ES"/>
        </w:rPr>
        <w:t xml:space="preserve"> of the workers</w:t>
      </w:r>
      <w:r w:rsidR="00BB1F42" w:rsidRPr="00D869E3">
        <w:rPr>
          <w:rFonts w:ascii="Verdana" w:hAnsi="Verdana"/>
          <w:sz w:val="20"/>
          <w:szCs w:val="20"/>
          <w:lang w:val="en-US" w:eastAsia="es-ES"/>
        </w:rPr>
        <w:t xml:space="preserve"> – to the</w:t>
      </w:r>
      <w:r w:rsidR="00064854" w:rsidRPr="00D869E3">
        <w:rPr>
          <w:rFonts w:ascii="Verdana" w:hAnsi="Verdana"/>
          <w:sz w:val="20"/>
          <w:szCs w:val="20"/>
          <w:lang w:val="en-US" w:eastAsia="es-ES"/>
        </w:rPr>
        <w:t xml:space="preserve"> employer’s</w:t>
      </w:r>
      <w:r w:rsidR="00BB1F42" w:rsidRPr="00D869E3">
        <w:rPr>
          <w:rFonts w:ascii="Verdana" w:hAnsi="Verdana"/>
          <w:sz w:val="20"/>
          <w:szCs w:val="20"/>
          <w:lang w:val="en-US" w:eastAsia="es-ES"/>
        </w:rPr>
        <w:t xml:space="preserve"> interests.</w:t>
      </w:r>
    </w:p>
    <w:p w14:paraId="6945F76D" w14:textId="77777777" w:rsidR="0052581B" w:rsidRPr="00D869E3" w:rsidRDefault="0052581B" w:rsidP="00262F28">
      <w:pPr>
        <w:autoSpaceDE w:val="0"/>
        <w:autoSpaceDN w:val="0"/>
        <w:adjustRightInd w:val="0"/>
        <w:contextualSpacing/>
        <w:jc w:val="both"/>
        <w:rPr>
          <w:rFonts w:ascii="Verdana" w:hAnsi="Verdana"/>
          <w:lang w:val="en-US"/>
        </w:rPr>
      </w:pPr>
    </w:p>
    <w:p w14:paraId="561DCFC9" w14:textId="22F91C8E" w:rsidR="00B21EF0" w:rsidRPr="00D869E3" w:rsidRDefault="00BB1F42" w:rsidP="00333304">
      <w:pPr>
        <w:numPr>
          <w:ilvl w:val="0"/>
          <w:numId w:val="1"/>
        </w:numPr>
        <w:autoSpaceDE w:val="0"/>
        <w:autoSpaceDN w:val="0"/>
        <w:adjustRightInd w:val="0"/>
        <w:ind w:left="0" w:firstLine="0"/>
        <w:contextualSpacing/>
        <w:jc w:val="both"/>
        <w:rPr>
          <w:rFonts w:ascii="Verdana" w:hAnsi="Verdana"/>
          <w:b/>
          <w:sz w:val="20"/>
          <w:szCs w:val="20"/>
          <w:lang w:val="en-US"/>
        </w:rPr>
      </w:pPr>
      <w:r w:rsidRPr="00D869E3">
        <w:rPr>
          <w:rFonts w:ascii="Verdana" w:eastAsia="MS Mincho" w:hAnsi="Verdana" w:cs="Verdana"/>
          <w:sz w:val="20"/>
          <w:szCs w:val="20"/>
          <w:lang w:val="en-US" w:eastAsia="es-ES"/>
        </w:rPr>
        <w:t xml:space="preserve">With regard to </w:t>
      </w:r>
      <w:r w:rsidR="00B21EF0" w:rsidRPr="00D869E3">
        <w:rPr>
          <w:rFonts w:ascii="Verdana" w:eastAsia="MS Mincho" w:hAnsi="Verdana" w:cs="Verdana"/>
          <w:sz w:val="20"/>
          <w:szCs w:val="20"/>
          <w:lang w:val="en-US" w:eastAsia="es-ES"/>
        </w:rPr>
        <w:t xml:space="preserve">judicial guarantees the Commission argued that the Peruvian Courts </w:t>
      </w:r>
      <w:r w:rsidR="0057485C" w:rsidRPr="00D869E3">
        <w:rPr>
          <w:rFonts w:ascii="Verdana" w:eastAsia="MS Mincho" w:hAnsi="Verdana" w:cs="Verdana"/>
          <w:sz w:val="20"/>
          <w:szCs w:val="20"/>
          <w:lang w:val="en-US" w:eastAsia="es-ES"/>
        </w:rPr>
        <w:t xml:space="preserve">had </w:t>
      </w:r>
      <w:r w:rsidR="00B21EF0" w:rsidRPr="00D869E3">
        <w:rPr>
          <w:rFonts w:ascii="Verdana" w:eastAsia="MS Mincho" w:hAnsi="Verdana" w:cs="Verdana"/>
          <w:sz w:val="20"/>
          <w:szCs w:val="20"/>
          <w:lang w:val="en-US" w:eastAsia="es-ES"/>
        </w:rPr>
        <w:t>violated</w:t>
      </w:r>
      <w:r w:rsidR="00C01305" w:rsidRPr="00D869E3">
        <w:rPr>
          <w:rFonts w:ascii="Verdana" w:hAnsi="Verdana"/>
          <w:sz w:val="20"/>
          <w:szCs w:val="20"/>
          <w:lang w:val="en-US"/>
        </w:rPr>
        <w:t xml:space="preserve"> </w:t>
      </w:r>
      <w:r w:rsidR="00447C65" w:rsidRPr="00D869E3">
        <w:rPr>
          <w:rFonts w:ascii="Verdana" w:hAnsi="Verdana"/>
          <w:sz w:val="20"/>
          <w:szCs w:val="20"/>
          <w:lang w:val="en-US"/>
        </w:rPr>
        <w:t>Article</w:t>
      </w:r>
      <w:r w:rsidR="00C01305" w:rsidRPr="00D869E3">
        <w:rPr>
          <w:rFonts w:ascii="Verdana" w:hAnsi="Verdana"/>
          <w:sz w:val="20"/>
          <w:szCs w:val="20"/>
          <w:lang w:val="en-US"/>
        </w:rPr>
        <w:t xml:space="preserve"> </w:t>
      </w:r>
      <w:r w:rsidR="00687684" w:rsidRPr="00D869E3">
        <w:rPr>
          <w:rFonts w:ascii="Verdana" w:hAnsi="Verdana"/>
          <w:sz w:val="20"/>
          <w:szCs w:val="20"/>
          <w:lang w:val="en-US"/>
        </w:rPr>
        <w:t>8(1)</w:t>
      </w:r>
      <w:r w:rsidR="00447C65" w:rsidRPr="00D869E3">
        <w:rPr>
          <w:rFonts w:ascii="Verdana" w:hAnsi="Verdana"/>
          <w:sz w:val="20"/>
          <w:szCs w:val="20"/>
          <w:lang w:val="en-US"/>
        </w:rPr>
        <w:t xml:space="preserve"> of the American Convention</w:t>
      </w:r>
      <w:r w:rsidR="00C01305"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2E04A3" w:rsidRPr="00D869E3">
        <w:rPr>
          <w:rFonts w:ascii="Verdana" w:hAnsi="Verdana"/>
          <w:sz w:val="20"/>
          <w:szCs w:val="20"/>
          <w:lang w:val="en-US"/>
        </w:rPr>
        <w:t xml:space="preserve"> </w:t>
      </w:r>
      <w:r w:rsidR="00B21EF0" w:rsidRPr="00D869E3">
        <w:rPr>
          <w:rFonts w:ascii="Verdana" w:hAnsi="Verdana"/>
          <w:sz w:val="20"/>
          <w:szCs w:val="20"/>
          <w:lang w:val="en-US"/>
        </w:rPr>
        <w:t>the obligation to substantiate decisions, because the ruling that upheld the dismissal was “equivalent to a mere rubber-stamp approval of the measure taken by the employer.” This failure to state the reasons for their decision</w:t>
      </w:r>
      <w:r w:rsidR="0057485C" w:rsidRPr="00D869E3">
        <w:rPr>
          <w:rFonts w:ascii="Verdana" w:hAnsi="Verdana"/>
          <w:sz w:val="20"/>
          <w:szCs w:val="20"/>
          <w:lang w:val="en-US"/>
        </w:rPr>
        <w:t>s</w:t>
      </w:r>
      <w:r w:rsidR="00B21EF0" w:rsidRPr="00D869E3">
        <w:rPr>
          <w:rFonts w:ascii="Verdana" w:hAnsi="Verdana"/>
          <w:sz w:val="20"/>
          <w:szCs w:val="20"/>
          <w:lang w:val="en-US"/>
        </w:rPr>
        <w:t xml:space="preserve"> is </w:t>
      </w:r>
      <w:r w:rsidR="0057485C" w:rsidRPr="00D869E3">
        <w:rPr>
          <w:rFonts w:ascii="Verdana" w:hAnsi="Verdana"/>
          <w:sz w:val="20"/>
          <w:szCs w:val="20"/>
          <w:lang w:val="en-US"/>
        </w:rPr>
        <w:t>enhanced</w:t>
      </w:r>
      <w:r w:rsidR="00B21EF0" w:rsidRPr="00D869E3">
        <w:rPr>
          <w:rFonts w:ascii="Verdana" w:hAnsi="Verdana"/>
          <w:sz w:val="20"/>
          <w:szCs w:val="20"/>
          <w:lang w:val="en-US"/>
        </w:rPr>
        <w:t xml:space="preserve"> if its recalled that the decision reversed the first instance judgment that had ruled in favor of the worker.</w:t>
      </w:r>
    </w:p>
    <w:p w14:paraId="14F5CCCC" w14:textId="77777777" w:rsidR="004D6B60" w:rsidRPr="00D869E3" w:rsidRDefault="004D6B60" w:rsidP="00333304">
      <w:pPr>
        <w:autoSpaceDE w:val="0"/>
        <w:autoSpaceDN w:val="0"/>
        <w:adjustRightInd w:val="0"/>
        <w:contextualSpacing/>
        <w:jc w:val="both"/>
        <w:rPr>
          <w:rFonts w:ascii="Verdana" w:hAnsi="Verdana"/>
          <w:b/>
          <w:sz w:val="20"/>
          <w:szCs w:val="20"/>
          <w:lang w:val="en-US"/>
        </w:rPr>
      </w:pPr>
    </w:p>
    <w:p w14:paraId="5A61A9FE" w14:textId="554BB708" w:rsidR="004D6B60" w:rsidRPr="00D869E3" w:rsidRDefault="00B21EF0" w:rsidP="006801FB">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Regarding</w:t>
      </w:r>
      <w:r w:rsidR="004D6B60" w:rsidRPr="00D869E3">
        <w:rPr>
          <w:rFonts w:ascii="Verdana" w:hAnsi="Verdana"/>
          <w:sz w:val="20"/>
          <w:szCs w:val="20"/>
          <w:lang w:val="en-US"/>
        </w:rPr>
        <w:t xml:space="preserve"> </w:t>
      </w:r>
      <w:r w:rsidR="00A62EA8" w:rsidRPr="00D869E3">
        <w:rPr>
          <w:rFonts w:ascii="Verdana" w:hAnsi="Verdana"/>
          <w:sz w:val="20"/>
          <w:szCs w:val="20"/>
          <w:lang w:val="en-US"/>
        </w:rPr>
        <w:t>freedom of expression</w:t>
      </w:r>
      <w:r w:rsidR="004D6B60" w:rsidRPr="00D869E3">
        <w:rPr>
          <w:rFonts w:ascii="Verdana" w:hAnsi="Verdana"/>
          <w:sz w:val="20"/>
          <w:szCs w:val="20"/>
          <w:lang w:val="en-US"/>
        </w:rPr>
        <w:t xml:space="preserve">, </w:t>
      </w:r>
      <w:r w:rsidR="00D40119" w:rsidRPr="00D869E3">
        <w:rPr>
          <w:rFonts w:ascii="Verdana" w:hAnsi="Verdana"/>
          <w:sz w:val="20"/>
          <w:szCs w:val="20"/>
          <w:lang w:val="en-US"/>
        </w:rPr>
        <w:t xml:space="preserve">in general, </w:t>
      </w:r>
      <w:r w:rsidR="00687684" w:rsidRPr="00D869E3">
        <w:rPr>
          <w:rFonts w:ascii="Verdana" w:hAnsi="Verdana"/>
          <w:sz w:val="20"/>
          <w:szCs w:val="20"/>
          <w:lang w:val="en-US"/>
        </w:rPr>
        <w:t xml:space="preserve">the </w:t>
      </w:r>
      <w:r w:rsidR="00687684" w:rsidRPr="00D869E3">
        <w:rPr>
          <w:rFonts w:ascii="Verdana" w:hAnsi="Verdana"/>
          <w:b/>
          <w:bCs/>
          <w:i/>
          <w:iCs/>
          <w:sz w:val="20"/>
          <w:szCs w:val="20"/>
          <w:lang w:val="en-US"/>
        </w:rPr>
        <w:t>representatives</w:t>
      </w:r>
      <w:r w:rsidRPr="00D869E3">
        <w:rPr>
          <w:rFonts w:ascii="Verdana" w:hAnsi="Verdana"/>
          <w:b/>
          <w:i/>
          <w:sz w:val="20"/>
          <w:szCs w:val="20"/>
          <w:lang w:val="en-US"/>
        </w:rPr>
        <w:t xml:space="preserve"> </w:t>
      </w:r>
      <w:r w:rsidRPr="00D869E3">
        <w:rPr>
          <w:rFonts w:ascii="Verdana" w:hAnsi="Verdana"/>
          <w:sz w:val="20"/>
          <w:szCs w:val="20"/>
          <w:lang w:val="en-US"/>
        </w:rPr>
        <w:t xml:space="preserve">agreed with </w:t>
      </w:r>
      <w:r w:rsidR="00447C65" w:rsidRPr="00D869E3">
        <w:rPr>
          <w:rFonts w:ascii="Verdana" w:hAnsi="Verdana"/>
          <w:sz w:val="20"/>
          <w:szCs w:val="20"/>
          <w:lang w:val="en-US"/>
        </w:rPr>
        <w:t>the Commission</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emphasized that the statements made by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4D6B60" w:rsidRPr="00D869E3">
        <w:rPr>
          <w:rFonts w:ascii="Verdana" w:hAnsi="Verdana"/>
          <w:sz w:val="20"/>
          <w:szCs w:val="20"/>
          <w:lang w:val="en-US"/>
        </w:rPr>
        <w:t xml:space="preserve"> </w:t>
      </w:r>
      <w:r w:rsidRPr="00D869E3">
        <w:rPr>
          <w:rFonts w:ascii="Verdana" w:hAnsi="Verdana"/>
          <w:sz w:val="20"/>
          <w:szCs w:val="20"/>
          <w:lang w:val="en-US"/>
        </w:rPr>
        <w:t xml:space="preserve">were published based on his position as a representative, so that the workers who were members </w:t>
      </w:r>
      <w:r w:rsidR="00EA232B" w:rsidRPr="00D869E3">
        <w:rPr>
          <w:rFonts w:ascii="Verdana" w:hAnsi="Verdana"/>
          <w:sz w:val="20"/>
          <w:szCs w:val="20"/>
          <w:lang w:val="en-US"/>
        </w:rPr>
        <w:t>of the Industrial Community</w:t>
      </w:r>
      <w:r w:rsidR="00687684" w:rsidRPr="00D869E3">
        <w:rPr>
          <w:rFonts w:ascii="Verdana" w:hAnsi="Verdana"/>
          <w:sz w:val="20"/>
          <w:szCs w:val="20"/>
          <w:lang w:val="en-US"/>
        </w:rPr>
        <w:t xml:space="preserve"> and</w:t>
      </w:r>
      <w:r w:rsidRPr="00D869E3">
        <w:rPr>
          <w:rFonts w:ascii="Verdana" w:hAnsi="Verdana"/>
          <w:sz w:val="20"/>
          <w:szCs w:val="20"/>
          <w:lang w:val="en-US"/>
        </w:rPr>
        <w:t xml:space="preserve"> public opinion, in general, could learn about how the elections were handled with</w:t>
      </w:r>
      <w:r w:rsidR="00A8581E" w:rsidRPr="00D869E3">
        <w:rPr>
          <w:rFonts w:ascii="Verdana" w:hAnsi="Verdana"/>
          <w:sz w:val="20"/>
          <w:szCs w:val="20"/>
          <w:lang w:val="en-US"/>
        </w:rPr>
        <w:t>in</w:t>
      </w:r>
      <w:r w:rsidRPr="00D869E3">
        <w:rPr>
          <w:rFonts w:ascii="Verdana" w:hAnsi="Verdana"/>
          <w:sz w:val="20"/>
          <w:szCs w:val="20"/>
          <w:lang w:val="en-US"/>
        </w:rPr>
        <w:t xml:space="preserve"> the conflictive labor </w:t>
      </w:r>
      <w:r w:rsidR="00A8581E" w:rsidRPr="00D869E3">
        <w:rPr>
          <w:rFonts w:ascii="Verdana" w:hAnsi="Verdana"/>
          <w:sz w:val="20"/>
          <w:szCs w:val="20"/>
          <w:lang w:val="en-US"/>
        </w:rPr>
        <w:t>environment</w:t>
      </w:r>
      <w:r w:rsidR="006801FB" w:rsidRPr="00D869E3">
        <w:rPr>
          <w:rFonts w:ascii="Verdana" w:hAnsi="Verdana"/>
          <w:sz w:val="20"/>
          <w:szCs w:val="20"/>
          <w:lang w:val="en-US"/>
        </w:rPr>
        <w:t xml:space="preserve">. Moreover, </w:t>
      </w:r>
      <w:r w:rsidRPr="00D869E3">
        <w:rPr>
          <w:rFonts w:ascii="Verdana" w:hAnsi="Verdana"/>
          <w:sz w:val="20"/>
          <w:szCs w:val="20"/>
          <w:lang w:val="en-US"/>
        </w:rPr>
        <w:t xml:space="preserve">in view of the conflictive context </w:t>
      </w:r>
      <w:r w:rsidR="006801FB" w:rsidRPr="00D869E3">
        <w:rPr>
          <w:rFonts w:ascii="Verdana" w:hAnsi="Verdana"/>
          <w:sz w:val="20"/>
          <w:szCs w:val="20"/>
          <w:lang w:val="en-US"/>
        </w:rPr>
        <w:t xml:space="preserve">that surrounded the industrial communities, the information on irregularities within them was of public interest. </w:t>
      </w:r>
      <w:r w:rsidR="00687684" w:rsidRPr="00D869E3">
        <w:rPr>
          <w:rFonts w:ascii="Verdana" w:hAnsi="Verdana"/>
          <w:sz w:val="20"/>
          <w:szCs w:val="20"/>
          <w:lang w:val="en-US"/>
        </w:rPr>
        <w:t>The representatives</w:t>
      </w:r>
      <w:r w:rsidR="004D6B60" w:rsidRPr="00D869E3">
        <w:rPr>
          <w:rFonts w:ascii="Verdana" w:hAnsi="Verdana"/>
          <w:sz w:val="20"/>
          <w:szCs w:val="20"/>
          <w:lang w:val="en-US"/>
        </w:rPr>
        <w:t xml:space="preserve"> </w:t>
      </w:r>
      <w:r w:rsidR="006801FB" w:rsidRPr="00D869E3">
        <w:rPr>
          <w:rFonts w:ascii="Verdana" w:hAnsi="Verdana"/>
          <w:sz w:val="20"/>
          <w:szCs w:val="20"/>
          <w:lang w:val="en-US"/>
        </w:rPr>
        <w:t xml:space="preserve">argued that this information was important for an open discussion in a democratic society and for the 220 employees and manual workers who worked for </w:t>
      </w:r>
      <w:r w:rsidR="004D6B60" w:rsidRPr="00D869E3">
        <w:rPr>
          <w:rFonts w:ascii="Verdana" w:hAnsi="Verdana"/>
          <w:iCs/>
          <w:sz w:val="20"/>
          <w:szCs w:val="20"/>
          <w:lang w:val="en-US"/>
        </w:rPr>
        <w:t>Ceper-Pirelli</w:t>
      </w:r>
      <w:r w:rsidR="004D6B60" w:rsidRPr="00D869E3">
        <w:rPr>
          <w:rFonts w:ascii="Verdana" w:hAnsi="Verdana"/>
          <w:sz w:val="20"/>
          <w:szCs w:val="20"/>
          <w:lang w:val="en-US"/>
        </w:rPr>
        <w:t xml:space="preserve"> </w:t>
      </w:r>
      <w:r w:rsidR="006801FB" w:rsidRPr="00D869E3">
        <w:rPr>
          <w:rFonts w:ascii="Verdana" w:hAnsi="Verdana"/>
          <w:sz w:val="20"/>
          <w:szCs w:val="20"/>
          <w:lang w:val="en-US"/>
        </w:rPr>
        <w:t xml:space="preserve">at that time. They indicated that, although </w:t>
      </w:r>
      <w:r w:rsidR="003506CC" w:rsidRPr="00D869E3">
        <w:rPr>
          <w:rFonts w:ascii="Verdana" w:hAnsi="Verdana"/>
          <w:sz w:val="20"/>
          <w:szCs w:val="20"/>
          <w:lang w:val="en-US"/>
        </w:rPr>
        <w:t xml:space="preserve">the </w:t>
      </w:r>
      <w:r w:rsidR="00966115" w:rsidRPr="00D869E3">
        <w:rPr>
          <w:rFonts w:ascii="Verdana" w:hAnsi="Verdana"/>
          <w:sz w:val="20"/>
          <w:szCs w:val="20"/>
          <w:lang w:val="en-US"/>
        </w:rPr>
        <w:t>Second Labor Court</w:t>
      </w:r>
      <w:r w:rsidR="004D6B60" w:rsidRPr="00D869E3">
        <w:rPr>
          <w:rFonts w:ascii="Verdana" w:hAnsi="Verdana"/>
          <w:sz w:val="20"/>
          <w:szCs w:val="20"/>
          <w:lang w:val="en-US"/>
        </w:rPr>
        <w:t xml:space="preserve"> </w:t>
      </w:r>
      <w:r w:rsidR="006801FB" w:rsidRPr="00D869E3">
        <w:rPr>
          <w:rFonts w:ascii="Verdana" w:hAnsi="Verdana"/>
          <w:sz w:val="20"/>
          <w:szCs w:val="20"/>
          <w:lang w:val="en-US"/>
        </w:rPr>
        <w:t xml:space="preserve">made an interpretation pursuant to </w:t>
      </w:r>
      <w:r w:rsidR="00852CCA" w:rsidRPr="00D869E3">
        <w:rPr>
          <w:rFonts w:ascii="Verdana" w:hAnsi="Verdana"/>
          <w:sz w:val="20"/>
          <w:szCs w:val="20"/>
          <w:lang w:val="en-US"/>
        </w:rPr>
        <w:t>Law</w:t>
      </w:r>
      <w:r w:rsidR="004D6B60" w:rsidRPr="00D869E3">
        <w:rPr>
          <w:rFonts w:ascii="Verdana" w:hAnsi="Verdana"/>
          <w:sz w:val="20"/>
          <w:szCs w:val="20"/>
          <w:lang w:val="en-US"/>
        </w:rPr>
        <w:t xml:space="preserve"> </w:t>
      </w:r>
      <w:r w:rsidR="00852CCA" w:rsidRPr="00D869E3">
        <w:rPr>
          <w:rFonts w:ascii="Verdana" w:hAnsi="Verdana"/>
          <w:sz w:val="20"/>
          <w:szCs w:val="20"/>
          <w:lang w:val="en-US"/>
        </w:rPr>
        <w:t>No.</w:t>
      </w:r>
      <w:r w:rsidR="004D6B60" w:rsidRPr="00D869E3">
        <w:rPr>
          <w:rFonts w:ascii="Verdana" w:hAnsi="Verdana"/>
          <w:sz w:val="20"/>
          <w:szCs w:val="20"/>
          <w:lang w:val="en-US"/>
        </w:rPr>
        <w:t xml:space="preserve"> 24514, </w:t>
      </w:r>
      <w:r w:rsidR="006801FB" w:rsidRPr="00D869E3">
        <w:rPr>
          <w:rFonts w:ascii="Verdana" w:hAnsi="Verdana"/>
          <w:sz w:val="20"/>
          <w:szCs w:val="20"/>
          <w:lang w:val="en-US"/>
        </w:rPr>
        <w:t xml:space="preserve">since the case related to a restriction of </w:t>
      </w:r>
      <w:r w:rsidR="00A62EA8" w:rsidRPr="00D869E3">
        <w:rPr>
          <w:rFonts w:ascii="Verdana" w:hAnsi="Verdana"/>
          <w:sz w:val="20"/>
          <w:szCs w:val="20"/>
          <w:lang w:val="en-US"/>
        </w:rPr>
        <w:t>freedom of expression</w:t>
      </w:r>
      <w:r w:rsidR="006801FB" w:rsidRPr="00D869E3">
        <w:rPr>
          <w:rFonts w:ascii="Verdana" w:hAnsi="Verdana"/>
          <w:sz w:val="20"/>
          <w:szCs w:val="20"/>
          <w:lang w:val="en-US"/>
        </w:rPr>
        <w:t>, it</w:t>
      </w:r>
      <w:r w:rsidR="00A8581E" w:rsidRPr="00D869E3">
        <w:rPr>
          <w:rFonts w:ascii="Verdana" w:hAnsi="Verdana"/>
          <w:sz w:val="20"/>
          <w:szCs w:val="20"/>
          <w:lang w:val="en-US"/>
        </w:rPr>
        <w:t xml:space="preserve">s decision should have weighed this right against </w:t>
      </w:r>
      <w:r w:rsidR="000B2E5E" w:rsidRPr="00D869E3">
        <w:rPr>
          <w:rFonts w:ascii="Verdana" w:hAnsi="Verdana"/>
          <w:sz w:val="20"/>
          <w:szCs w:val="20"/>
          <w:lang w:val="en-US"/>
        </w:rPr>
        <w:t>the right to</w:t>
      </w:r>
      <w:r w:rsidR="006801FB" w:rsidRPr="00D869E3">
        <w:rPr>
          <w:rFonts w:ascii="Verdana" w:hAnsi="Verdana"/>
          <w:sz w:val="20"/>
          <w:szCs w:val="20"/>
          <w:lang w:val="en-US"/>
        </w:rPr>
        <w:t xml:space="preserve"> reputation</w:t>
      </w:r>
      <w:r w:rsidR="00A8581E" w:rsidRPr="00D869E3">
        <w:rPr>
          <w:rFonts w:ascii="Verdana" w:hAnsi="Verdana"/>
          <w:sz w:val="20"/>
          <w:szCs w:val="20"/>
          <w:lang w:val="en-US"/>
        </w:rPr>
        <w:t>, which had been alleged</w:t>
      </w:r>
      <w:r w:rsidR="006801FB" w:rsidRPr="00D869E3">
        <w:rPr>
          <w:rFonts w:ascii="Verdana" w:hAnsi="Verdana"/>
          <w:sz w:val="20"/>
          <w:szCs w:val="20"/>
          <w:lang w:val="en-US"/>
        </w:rPr>
        <w:t>. In addition, the</w:t>
      </w:r>
      <w:r w:rsidR="00A8581E" w:rsidRPr="00D869E3">
        <w:rPr>
          <w:rFonts w:ascii="Verdana" w:hAnsi="Verdana"/>
          <w:sz w:val="20"/>
          <w:szCs w:val="20"/>
          <w:lang w:val="en-US"/>
        </w:rPr>
        <w:t xml:space="preserve"> representatives</w:t>
      </w:r>
      <w:r w:rsidR="006801FB" w:rsidRPr="00D869E3">
        <w:rPr>
          <w:rFonts w:ascii="Verdana" w:hAnsi="Verdana"/>
          <w:sz w:val="20"/>
          <w:szCs w:val="20"/>
          <w:lang w:val="en-US"/>
        </w:rPr>
        <w:t xml:space="preserve"> indicated that the </w:t>
      </w:r>
      <w:r w:rsidR="00A8581E" w:rsidRPr="00D869E3">
        <w:rPr>
          <w:rFonts w:ascii="Verdana" w:hAnsi="Verdana"/>
          <w:sz w:val="20"/>
          <w:szCs w:val="20"/>
          <w:lang w:val="en-US"/>
        </w:rPr>
        <w:t>sanction</w:t>
      </w:r>
      <w:r w:rsidR="006801FB" w:rsidRPr="00D869E3">
        <w:rPr>
          <w:rFonts w:ascii="Verdana" w:hAnsi="Verdana"/>
          <w:sz w:val="20"/>
          <w:szCs w:val="20"/>
          <w:lang w:val="en-US"/>
        </w:rPr>
        <w:t xml:space="preserve"> was not necessary in a democratic society and was not proportionate to the alleged harm to the right to honor of the company and the personnel. They </w:t>
      </w:r>
      <w:r w:rsidR="00A8581E" w:rsidRPr="00D869E3">
        <w:rPr>
          <w:rFonts w:ascii="Verdana" w:hAnsi="Verdana"/>
          <w:sz w:val="20"/>
          <w:szCs w:val="20"/>
          <w:lang w:val="en-US"/>
        </w:rPr>
        <w:t>considered</w:t>
      </w:r>
      <w:r w:rsidR="006801FB" w:rsidRPr="00D869E3">
        <w:rPr>
          <w:rFonts w:ascii="Verdana" w:hAnsi="Verdana"/>
          <w:sz w:val="20"/>
          <w:szCs w:val="20"/>
          <w:lang w:val="en-US"/>
        </w:rPr>
        <w:t xml:space="preserve"> that a civil </w:t>
      </w:r>
      <w:r w:rsidR="00A8581E" w:rsidRPr="00D869E3">
        <w:rPr>
          <w:rFonts w:ascii="Verdana" w:hAnsi="Verdana"/>
          <w:sz w:val="20"/>
          <w:szCs w:val="20"/>
          <w:lang w:val="en-US"/>
        </w:rPr>
        <w:t>sanction</w:t>
      </w:r>
      <w:r w:rsidR="006801FB" w:rsidRPr="00D869E3">
        <w:rPr>
          <w:rFonts w:ascii="Verdana" w:hAnsi="Verdana"/>
          <w:sz w:val="20"/>
          <w:szCs w:val="20"/>
          <w:lang w:val="en-US"/>
        </w:rPr>
        <w:t xml:space="preserve"> such as dismissal c</w:t>
      </w:r>
      <w:r w:rsidR="00A8581E" w:rsidRPr="00D869E3">
        <w:rPr>
          <w:rFonts w:ascii="Verdana" w:hAnsi="Verdana"/>
          <w:sz w:val="20"/>
          <w:szCs w:val="20"/>
          <w:lang w:val="en-US"/>
        </w:rPr>
        <w:t>ould</w:t>
      </w:r>
      <w:r w:rsidR="006801FB" w:rsidRPr="00D869E3">
        <w:rPr>
          <w:rFonts w:ascii="Verdana" w:hAnsi="Verdana"/>
          <w:sz w:val="20"/>
          <w:szCs w:val="20"/>
          <w:lang w:val="en-US"/>
        </w:rPr>
        <w:t xml:space="preserve"> be more </w:t>
      </w:r>
      <w:r w:rsidR="00A8581E" w:rsidRPr="00D869E3">
        <w:rPr>
          <w:rFonts w:ascii="Verdana" w:hAnsi="Verdana"/>
          <w:sz w:val="20"/>
          <w:szCs w:val="20"/>
          <w:lang w:val="en-US"/>
        </w:rPr>
        <w:t>daunting</w:t>
      </w:r>
      <w:r w:rsidR="006801FB" w:rsidRPr="00D869E3">
        <w:rPr>
          <w:rFonts w:ascii="Verdana" w:hAnsi="Verdana"/>
          <w:sz w:val="20"/>
          <w:szCs w:val="20"/>
          <w:lang w:val="en-US"/>
        </w:rPr>
        <w:t xml:space="preserve"> than a criminal </w:t>
      </w:r>
      <w:r w:rsidR="00D13E32" w:rsidRPr="00D869E3">
        <w:rPr>
          <w:rFonts w:ascii="Verdana" w:hAnsi="Verdana"/>
          <w:sz w:val="20"/>
          <w:szCs w:val="20"/>
          <w:lang w:val="en-US"/>
        </w:rPr>
        <w:t>sanction because</w:t>
      </w:r>
      <w:r w:rsidR="006801FB" w:rsidRPr="00D869E3">
        <w:rPr>
          <w:rFonts w:ascii="Verdana" w:hAnsi="Verdana"/>
          <w:sz w:val="20"/>
          <w:szCs w:val="20"/>
          <w:lang w:val="en-US"/>
        </w:rPr>
        <w:t xml:space="preserve"> it ha</w:t>
      </w:r>
      <w:r w:rsidR="00A8581E" w:rsidRPr="00D869E3">
        <w:rPr>
          <w:rFonts w:ascii="Verdana" w:hAnsi="Verdana"/>
          <w:sz w:val="20"/>
          <w:szCs w:val="20"/>
          <w:lang w:val="en-US"/>
        </w:rPr>
        <w:t>d</w:t>
      </w:r>
      <w:r w:rsidR="006801FB" w:rsidRPr="00D869E3">
        <w:rPr>
          <w:rFonts w:ascii="Verdana" w:hAnsi="Verdana"/>
          <w:sz w:val="20"/>
          <w:szCs w:val="20"/>
          <w:lang w:val="en-US"/>
        </w:rPr>
        <w:t xml:space="preserve"> the potential to compromise personal and family life. Nevertheless, the representatives considered that, in light of the existence of a conflict between the rights presumably violated, the individuals who felt that they had been harmed or insulted could have filed a criminal complaint against </w:t>
      </w:r>
      <w:r w:rsidR="00312792" w:rsidRPr="00D869E3">
        <w:rPr>
          <w:rFonts w:ascii="Verdana" w:hAnsi="Verdana"/>
          <w:sz w:val="20"/>
          <w:szCs w:val="20"/>
          <w:lang w:val="en-US"/>
        </w:rPr>
        <w:t>Mr. Lagos</w:t>
      </w:r>
      <w:r w:rsidR="004D6B60" w:rsidRPr="00D869E3">
        <w:rPr>
          <w:rFonts w:ascii="Verdana" w:hAnsi="Verdana"/>
          <w:sz w:val="20"/>
          <w:szCs w:val="20"/>
          <w:lang w:val="en-US"/>
        </w:rPr>
        <w:t xml:space="preserve"> de</w:t>
      </w:r>
      <w:r w:rsidR="004E7ECD">
        <w:rPr>
          <w:rFonts w:ascii="Verdana" w:hAnsi="Verdana"/>
          <w:sz w:val="20"/>
          <w:szCs w:val="20"/>
          <w:lang w:val="en-US"/>
        </w:rPr>
        <w:t>l</w:t>
      </w:r>
      <w:r w:rsidR="004D6B60" w:rsidRPr="00D869E3">
        <w:rPr>
          <w:rFonts w:ascii="Verdana" w:hAnsi="Verdana"/>
          <w:sz w:val="20"/>
          <w:szCs w:val="20"/>
          <w:lang w:val="en-US"/>
        </w:rPr>
        <w:t xml:space="preserve"> Campo </w:t>
      </w:r>
      <w:r w:rsidR="006801FB" w:rsidRPr="00D869E3">
        <w:rPr>
          <w:rFonts w:ascii="Verdana" w:hAnsi="Verdana"/>
          <w:sz w:val="20"/>
          <w:szCs w:val="20"/>
          <w:lang w:val="en-US"/>
        </w:rPr>
        <w:t xml:space="preserve">for offenses against honor or, if appropriate, requested a rectification pursuant to the Press Freedom Statute. </w:t>
      </w:r>
    </w:p>
    <w:p w14:paraId="44E13C1A" w14:textId="77777777" w:rsidR="004D6B60" w:rsidRPr="00D869E3" w:rsidRDefault="004D6B60" w:rsidP="005D0F69">
      <w:pPr>
        <w:contextualSpacing/>
        <w:jc w:val="both"/>
        <w:rPr>
          <w:rFonts w:ascii="Verdana" w:hAnsi="Verdana"/>
          <w:sz w:val="20"/>
          <w:szCs w:val="20"/>
          <w:lang w:val="en-US"/>
        </w:rPr>
      </w:pPr>
    </w:p>
    <w:p w14:paraId="791A4FF8" w14:textId="79A0FFB4" w:rsidR="006F3392" w:rsidRPr="00D869E3" w:rsidRDefault="004D6B60" w:rsidP="00E66DD7">
      <w:pPr>
        <w:numPr>
          <w:ilvl w:val="0"/>
          <w:numId w:val="1"/>
        </w:numPr>
        <w:ind w:left="0" w:hanging="11"/>
        <w:contextualSpacing/>
        <w:jc w:val="both"/>
        <w:rPr>
          <w:rFonts w:ascii="Verdana" w:hAnsi="Verdana"/>
          <w:strike/>
          <w:sz w:val="20"/>
          <w:lang w:val="en-US"/>
        </w:rPr>
      </w:pPr>
      <w:r w:rsidRPr="00D869E3">
        <w:rPr>
          <w:rFonts w:ascii="Verdana" w:eastAsia="MS Mincho" w:hAnsi="Verdana" w:cs="Verdana"/>
          <w:sz w:val="20"/>
          <w:szCs w:val="20"/>
          <w:lang w:val="en-US" w:eastAsia="es-ES"/>
        </w:rPr>
        <w:t>Re</w:t>
      </w:r>
      <w:r w:rsidR="006F3392" w:rsidRPr="00D869E3">
        <w:rPr>
          <w:rFonts w:ascii="Verdana" w:eastAsia="MS Mincho" w:hAnsi="Verdana" w:cs="Verdana"/>
          <w:sz w:val="20"/>
          <w:szCs w:val="20"/>
          <w:lang w:val="en-US" w:eastAsia="es-ES"/>
        </w:rPr>
        <w:t xml:space="preserve">garding </w:t>
      </w:r>
      <w:r w:rsidR="001C3FBD" w:rsidRPr="00D869E3">
        <w:rPr>
          <w:rFonts w:ascii="Verdana" w:eastAsia="MS Mincho" w:hAnsi="Verdana" w:cs="Verdana"/>
          <w:sz w:val="20"/>
          <w:szCs w:val="20"/>
          <w:lang w:val="en-US" w:eastAsia="es-ES"/>
        </w:rPr>
        <w:t>judicial guarantees</w:t>
      </w:r>
      <w:r w:rsidR="006801FB" w:rsidRPr="00D869E3">
        <w:rPr>
          <w:rFonts w:ascii="Verdana" w:eastAsia="MS Mincho" w:hAnsi="Verdana" w:cs="Verdana"/>
          <w:sz w:val="20"/>
          <w:szCs w:val="20"/>
          <w:lang w:val="en-US" w:eastAsia="es-ES"/>
        </w:rPr>
        <w:t xml:space="preserve">, </w:t>
      </w:r>
      <w:r w:rsidR="00687684" w:rsidRPr="00D869E3">
        <w:rPr>
          <w:rFonts w:ascii="Verdana" w:eastAsia="MS Mincho" w:hAnsi="Verdana" w:cs="Verdana"/>
          <w:sz w:val="20"/>
          <w:szCs w:val="20"/>
          <w:lang w:val="en-US" w:eastAsia="es-ES"/>
        </w:rPr>
        <w:t>the representatives</w:t>
      </w:r>
      <w:r w:rsidRPr="00D869E3">
        <w:rPr>
          <w:rFonts w:ascii="Verdana" w:eastAsia="MS Mincho" w:hAnsi="Verdana" w:cs="Verdana"/>
          <w:sz w:val="20"/>
          <w:szCs w:val="20"/>
          <w:lang w:val="en-US" w:eastAsia="es-ES"/>
        </w:rPr>
        <w:t xml:space="preserve"> a</w:t>
      </w:r>
      <w:r w:rsidR="006F3392" w:rsidRPr="00D869E3">
        <w:rPr>
          <w:rFonts w:ascii="Verdana" w:eastAsia="MS Mincho" w:hAnsi="Verdana" w:cs="Verdana"/>
          <w:sz w:val="20"/>
          <w:szCs w:val="20"/>
          <w:lang w:val="en-US" w:eastAsia="es-ES"/>
        </w:rPr>
        <w:t xml:space="preserve">sserted that the obligation to </w:t>
      </w:r>
      <w:r w:rsidR="00A8581E" w:rsidRPr="00D869E3">
        <w:rPr>
          <w:rFonts w:ascii="Verdana" w:eastAsia="MS Mincho" w:hAnsi="Verdana" w:cs="Verdana"/>
          <w:sz w:val="20"/>
          <w:szCs w:val="20"/>
          <w:lang w:val="en-US" w:eastAsia="es-ES"/>
        </w:rPr>
        <w:t xml:space="preserve">give reasoned decisions </w:t>
      </w:r>
      <w:r w:rsidR="006F3392" w:rsidRPr="00D869E3">
        <w:rPr>
          <w:rFonts w:ascii="Verdana" w:eastAsia="MS Mincho" w:hAnsi="Verdana" w:cs="Verdana"/>
          <w:sz w:val="20"/>
          <w:szCs w:val="20"/>
          <w:lang w:val="en-US" w:eastAsia="es-ES"/>
        </w:rPr>
        <w:t xml:space="preserve">had been violated in both the labor proceeding and in the proceeding on the application for amparo. In addition, they argued that the right to be heard by a judge or court had been violated because </w:t>
      </w:r>
      <w:r w:rsidR="006F3392" w:rsidRPr="00D869E3">
        <w:rPr>
          <w:rFonts w:ascii="Verdana" w:hAnsi="Verdana"/>
          <w:sz w:val="20"/>
          <w:szCs w:val="20"/>
          <w:lang w:val="en-US"/>
        </w:rPr>
        <w:t xml:space="preserve">the Second Labor Court had not processed </w:t>
      </w:r>
      <w:r w:rsidR="00A8581E" w:rsidRPr="00D869E3">
        <w:rPr>
          <w:rFonts w:ascii="Verdana" w:hAnsi="Verdana"/>
          <w:sz w:val="20"/>
          <w:szCs w:val="20"/>
          <w:lang w:val="en-US"/>
        </w:rPr>
        <w:t>Mr. Lagos del Campo’s</w:t>
      </w:r>
      <w:r w:rsidR="006F3392" w:rsidRPr="00D869E3">
        <w:rPr>
          <w:rFonts w:ascii="Verdana" w:hAnsi="Verdana"/>
          <w:sz w:val="20"/>
          <w:szCs w:val="20"/>
          <w:lang w:val="en-US"/>
        </w:rPr>
        <w:t xml:space="preserve"> observations and arguments until after it had delivered judgment. They indicated that the right to be heard included not only the possibility of the evidence being examined, but also that of the arguments of the parties being analyzed</w:t>
      </w:r>
      <w:r w:rsidR="00A8581E" w:rsidRPr="00D869E3">
        <w:rPr>
          <w:rFonts w:ascii="Verdana" w:hAnsi="Verdana"/>
          <w:sz w:val="20"/>
          <w:szCs w:val="20"/>
          <w:lang w:val="en-US"/>
        </w:rPr>
        <w:t>, a</w:t>
      </w:r>
      <w:r w:rsidR="006F3392" w:rsidRPr="00D869E3">
        <w:rPr>
          <w:rFonts w:ascii="Verdana" w:hAnsi="Verdana"/>
          <w:sz w:val="20"/>
          <w:szCs w:val="20"/>
          <w:lang w:val="en-US"/>
        </w:rPr>
        <w:t>nd that</w:t>
      </w:r>
      <w:r w:rsidR="00A8581E" w:rsidRPr="00D869E3">
        <w:rPr>
          <w:rFonts w:ascii="Verdana" w:hAnsi="Verdana"/>
          <w:sz w:val="20"/>
          <w:szCs w:val="20"/>
          <w:lang w:val="en-US"/>
        </w:rPr>
        <w:t xml:space="preserve"> this had</w:t>
      </w:r>
      <w:r w:rsidR="006F3392" w:rsidRPr="00D869E3">
        <w:rPr>
          <w:rFonts w:ascii="Verdana" w:hAnsi="Verdana"/>
          <w:sz w:val="20"/>
          <w:szCs w:val="20"/>
          <w:lang w:val="en-US"/>
        </w:rPr>
        <w:t xml:space="preserve"> constituted a limitation of the right to contradict the statements and arguments made by the company.</w:t>
      </w:r>
    </w:p>
    <w:p w14:paraId="0213FE86" w14:textId="77777777" w:rsidR="00B252C9" w:rsidRPr="00D869E3" w:rsidRDefault="00B252C9" w:rsidP="00B252C9">
      <w:pPr>
        <w:pStyle w:val="Prrafodelista"/>
        <w:rPr>
          <w:rFonts w:ascii="Verdana" w:hAnsi="Verdana"/>
          <w:strike/>
          <w:sz w:val="20"/>
          <w:lang w:val="en-US"/>
        </w:rPr>
      </w:pPr>
    </w:p>
    <w:p w14:paraId="2748E574" w14:textId="1590CBF5" w:rsidR="004D6B60" w:rsidRPr="00D869E3" w:rsidRDefault="00447C65" w:rsidP="00262F28">
      <w:pPr>
        <w:numPr>
          <w:ilvl w:val="0"/>
          <w:numId w:val="1"/>
        </w:numPr>
        <w:ind w:left="0" w:hanging="11"/>
        <w:contextualSpacing/>
        <w:jc w:val="both"/>
        <w:rPr>
          <w:rFonts w:ascii="Verdana" w:hAnsi="Verdana"/>
          <w:strike/>
          <w:sz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4D6B60" w:rsidRPr="00D869E3">
        <w:rPr>
          <w:rFonts w:ascii="Verdana" w:hAnsi="Verdana"/>
          <w:b/>
          <w:i/>
          <w:sz w:val="20"/>
          <w:szCs w:val="20"/>
          <w:lang w:val="en-US"/>
        </w:rPr>
        <w:t xml:space="preserve"> </w:t>
      </w:r>
      <w:r w:rsidR="006F3392" w:rsidRPr="00D869E3">
        <w:rPr>
          <w:rFonts w:ascii="Verdana" w:hAnsi="Verdana"/>
          <w:sz w:val="20"/>
          <w:szCs w:val="20"/>
          <w:lang w:val="en-US"/>
        </w:rPr>
        <w:t xml:space="preserve">indicated that, since </w:t>
      </w:r>
      <w:r w:rsidR="001E44D3" w:rsidRPr="00D869E3">
        <w:rPr>
          <w:rFonts w:ascii="Verdana" w:hAnsi="Verdana"/>
          <w:sz w:val="20"/>
          <w:szCs w:val="20"/>
          <w:lang w:val="en-US"/>
        </w:rPr>
        <w:t>Mr. Lagos del Campo</w:t>
      </w:r>
      <w:r w:rsidR="004D6B60" w:rsidRPr="00D869E3">
        <w:rPr>
          <w:rFonts w:ascii="Verdana" w:hAnsi="Verdana"/>
          <w:sz w:val="20"/>
          <w:szCs w:val="20"/>
          <w:lang w:val="en-US"/>
        </w:rPr>
        <w:t xml:space="preserve"> </w:t>
      </w:r>
      <w:r w:rsidR="006F3392" w:rsidRPr="00D869E3">
        <w:rPr>
          <w:rFonts w:ascii="Verdana" w:hAnsi="Verdana"/>
          <w:sz w:val="20"/>
          <w:szCs w:val="20"/>
          <w:lang w:val="en-US"/>
        </w:rPr>
        <w:t xml:space="preserve">was not a labor union leader, he was not entitled to “greater protection” and his statements were not a matter of public interest. It argued that the fact that the information was relevant for the workers to form an opinion on the situation of the elections made it even more important that such information should not be false or biased. The State also indicated that the Commission had disregarded the importance of </w:t>
      </w:r>
      <w:r w:rsidR="003055FB" w:rsidRPr="00D869E3">
        <w:rPr>
          <w:rFonts w:ascii="Verdana" w:hAnsi="Verdana"/>
          <w:sz w:val="20"/>
          <w:szCs w:val="20"/>
          <w:lang w:val="en-US"/>
        </w:rPr>
        <w:t>generating a respectful discussion of opinions and information. In this regard, it indicated that</w:t>
      </w:r>
      <w:r w:rsidR="003055FB" w:rsidRPr="00D869E3">
        <w:rPr>
          <w:rFonts w:ascii="Verdana" w:hAnsi="Verdana"/>
          <w:b/>
          <w:sz w:val="20"/>
          <w:szCs w:val="20"/>
          <w:lang w:val="en-US"/>
        </w:rPr>
        <w:t xml:space="preserve"> </w:t>
      </w:r>
      <w:r w:rsidR="00F43C5F" w:rsidRPr="00D869E3">
        <w:rPr>
          <w:rFonts w:ascii="Verdana" w:hAnsi="Verdana"/>
          <w:sz w:val="20"/>
          <w:szCs w:val="20"/>
          <w:lang w:val="en-US"/>
        </w:rPr>
        <w:t>the Committee</w:t>
      </w:r>
      <w:r w:rsidR="00AD5EEE" w:rsidRPr="00D869E3">
        <w:rPr>
          <w:rFonts w:ascii="Verdana" w:hAnsi="Verdana"/>
          <w:sz w:val="20"/>
          <w:szCs w:val="20"/>
          <w:lang w:val="en-US"/>
        </w:rPr>
        <w:t xml:space="preserve"> </w:t>
      </w:r>
      <w:r w:rsidR="003055FB" w:rsidRPr="00D869E3">
        <w:rPr>
          <w:rFonts w:ascii="Verdana" w:hAnsi="Verdana"/>
          <w:sz w:val="20"/>
          <w:szCs w:val="20"/>
          <w:lang w:val="en-US"/>
        </w:rPr>
        <w:t xml:space="preserve">on Freedom of Association of the Governing Body of the International Labour Organization (ILO) had indicated that trade unions </w:t>
      </w:r>
      <w:r w:rsidR="006701AD" w:rsidRPr="00D869E3">
        <w:rPr>
          <w:rFonts w:ascii="Verdana" w:hAnsi="Verdana"/>
          <w:sz w:val="20"/>
          <w:szCs w:val="20"/>
          <w:lang w:val="en-US"/>
        </w:rPr>
        <w:t>“</w:t>
      </w:r>
      <w:r w:rsidR="003055FB" w:rsidRPr="00D869E3">
        <w:rPr>
          <w:rFonts w:ascii="Verdana" w:hAnsi="Verdana"/>
          <w:sz w:val="20"/>
          <w:szCs w:val="20"/>
          <w:lang w:val="en-US"/>
        </w:rPr>
        <w:t xml:space="preserve">should </w:t>
      </w:r>
      <w:r w:rsidR="006701AD" w:rsidRPr="00D869E3">
        <w:rPr>
          <w:rFonts w:ascii="Verdana" w:hAnsi="Verdana"/>
          <w:sz w:val="20"/>
          <w:szCs w:val="20"/>
          <w:lang w:val="en-US"/>
        </w:rPr>
        <w:t xml:space="preserve">respect the limits of propriety and </w:t>
      </w:r>
      <w:r w:rsidR="003055FB" w:rsidRPr="00D869E3">
        <w:rPr>
          <w:rFonts w:ascii="Verdana" w:hAnsi="Verdana"/>
          <w:sz w:val="20"/>
          <w:szCs w:val="20"/>
          <w:lang w:val="en-US"/>
        </w:rPr>
        <w:t>refrain from</w:t>
      </w:r>
      <w:r w:rsidR="006701AD" w:rsidRPr="00D869E3">
        <w:rPr>
          <w:rFonts w:ascii="Verdana" w:hAnsi="Verdana"/>
          <w:sz w:val="20"/>
          <w:szCs w:val="20"/>
          <w:lang w:val="en-US"/>
        </w:rPr>
        <w:t xml:space="preserve"> the use of insulting</w:t>
      </w:r>
      <w:r w:rsidR="003055FB" w:rsidRPr="00D869E3">
        <w:rPr>
          <w:rFonts w:ascii="Verdana" w:hAnsi="Verdana"/>
          <w:sz w:val="20"/>
          <w:szCs w:val="20"/>
          <w:lang w:val="en-US"/>
        </w:rPr>
        <w:t xml:space="preserve"> language.” It argued that the Commission had not analyzed the limits to the use of certain </w:t>
      </w:r>
      <w:r w:rsidR="006701AD" w:rsidRPr="00D869E3">
        <w:rPr>
          <w:rFonts w:ascii="Verdana" w:hAnsi="Verdana"/>
          <w:sz w:val="20"/>
          <w:szCs w:val="20"/>
          <w:lang w:val="en-US"/>
        </w:rPr>
        <w:t>expressions</w:t>
      </w:r>
      <w:r w:rsidR="003055FB" w:rsidRPr="00D869E3">
        <w:rPr>
          <w:rFonts w:ascii="Verdana" w:hAnsi="Verdana"/>
          <w:sz w:val="20"/>
          <w:szCs w:val="20"/>
          <w:lang w:val="en-US"/>
        </w:rPr>
        <w:t>, ignoring the fact that it is necessary to weigh th</w:t>
      </w:r>
      <w:r w:rsidR="00863902" w:rsidRPr="00D869E3">
        <w:rPr>
          <w:rFonts w:ascii="Verdana" w:hAnsi="Verdana"/>
          <w:sz w:val="20"/>
          <w:szCs w:val="20"/>
          <w:lang w:val="en-US"/>
        </w:rPr>
        <w:t>e</w:t>
      </w:r>
      <w:r w:rsidR="003055FB" w:rsidRPr="00D869E3">
        <w:rPr>
          <w:rFonts w:ascii="Verdana" w:hAnsi="Verdana"/>
          <w:sz w:val="20"/>
          <w:szCs w:val="20"/>
          <w:lang w:val="en-US"/>
        </w:rPr>
        <w:t xml:space="preserve"> right </w:t>
      </w:r>
      <w:r w:rsidR="00863902" w:rsidRPr="00D869E3">
        <w:rPr>
          <w:rFonts w:ascii="Verdana" w:hAnsi="Verdana"/>
          <w:sz w:val="20"/>
          <w:szCs w:val="20"/>
          <w:lang w:val="en-US"/>
        </w:rPr>
        <w:t xml:space="preserve">to freedom of expression </w:t>
      </w:r>
      <w:r w:rsidR="003055FB" w:rsidRPr="00D869E3">
        <w:rPr>
          <w:rFonts w:ascii="Verdana" w:hAnsi="Verdana"/>
          <w:sz w:val="20"/>
          <w:szCs w:val="20"/>
          <w:lang w:val="en-US"/>
        </w:rPr>
        <w:t>against the right to honor. It also indicated that the Commission had tried to transfer to the “</w:t>
      </w:r>
      <w:r w:rsidR="00863902" w:rsidRPr="00D869E3">
        <w:rPr>
          <w:rFonts w:ascii="Verdana" w:hAnsi="Verdana"/>
          <w:sz w:val="20"/>
          <w:szCs w:val="20"/>
          <w:lang w:val="en-US"/>
        </w:rPr>
        <w:t xml:space="preserve">private third party” </w:t>
      </w:r>
      <w:r w:rsidR="003055FB" w:rsidRPr="00D869E3">
        <w:rPr>
          <w:rFonts w:ascii="Verdana" w:hAnsi="Verdana"/>
          <w:sz w:val="20"/>
          <w:szCs w:val="20"/>
          <w:lang w:val="en-US"/>
        </w:rPr>
        <w:t xml:space="preserve">not only the responsibility for requesting a rectification, but also </w:t>
      </w:r>
      <w:r w:rsidR="00863902" w:rsidRPr="00D869E3">
        <w:rPr>
          <w:rFonts w:ascii="Verdana" w:hAnsi="Verdana"/>
          <w:sz w:val="20"/>
          <w:szCs w:val="20"/>
          <w:lang w:val="en-US"/>
        </w:rPr>
        <w:t>for</w:t>
      </w:r>
      <w:r w:rsidR="003055FB" w:rsidRPr="00D869E3">
        <w:rPr>
          <w:rFonts w:ascii="Verdana" w:hAnsi="Verdana"/>
          <w:sz w:val="20"/>
          <w:szCs w:val="20"/>
          <w:lang w:val="en-US"/>
        </w:rPr>
        <w:t xml:space="preserve"> corroborat</w:t>
      </w:r>
      <w:r w:rsidR="00863902" w:rsidRPr="00D869E3">
        <w:rPr>
          <w:rFonts w:ascii="Verdana" w:hAnsi="Verdana"/>
          <w:sz w:val="20"/>
          <w:szCs w:val="20"/>
          <w:lang w:val="en-US"/>
        </w:rPr>
        <w:t>ing</w:t>
      </w:r>
      <w:r w:rsidR="003055FB" w:rsidRPr="00D869E3">
        <w:rPr>
          <w:rFonts w:ascii="Verdana" w:hAnsi="Verdana"/>
          <w:sz w:val="20"/>
          <w:szCs w:val="20"/>
          <w:lang w:val="en-US"/>
        </w:rPr>
        <w:t xml:space="preserve"> the statement </w:t>
      </w:r>
      <w:r w:rsidR="00B54668" w:rsidRPr="00D869E3">
        <w:rPr>
          <w:rFonts w:ascii="Verdana" w:hAnsi="Verdana"/>
          <w:sz w:val="20"/>
          <w:szCs w:val="20"/>
          <w:lang w:val="en-US"/>
        </w:rPr>
        <w:t xml:space="preserve">that had been </w:t>
      </w:r>
      <w:r w:rsidR="003055FB" w:rsidRPr="00D869E3">
        <w:rPr>
          <w:rFonts w:ascii="Verdana" w:hAnsi="Verdana"/>
          <w:sz w:val="20"/>
          <w:szCs w:val="20"/>
          <w:lang w:val="en-US"/>
        </w:rPr>
        <w:t>made and prov</w:t>
      </w:r>
      <w:r w:rsidR="00863902" w:rsidRPr="00D869E3">
        <w:rPr>
          <w:rFonts w:ascii="Verdana" w:hAnsi="Verdana"/>
          <w:sz w:val="20"/>
          <w:szCs w:val="20"/>
          <w:lang w:val="en-US"/>
        </w:rPr>
        <w:t>ing</w:t>
      </w:r>
      <w:r w:rsidR="003055FB" w:rsidRPr="00D869E3">
        <w:rPr>
          <w:rFonts w:ascii="Verdana" w:hAnsi="Verdana"/>
          <w:sz w:val="20"/>
          <w:szCs w:val="20"/>
          <w:lang w:val="en-US"/>
        </w:rPr>
        <w:t xml:space="preserve"> serious harm.</w:t>
      </w:r>
      <w:r w:rsidR="00B54668" w:rsidRPr="00D869E3">
        <w:rPr>
          <w:rFonts w:ascii="Verdana" w:hAnsi="Verdana"/>
          <w:sz w:val="20"/>
          <w:szCs w:val="20"/>
          <w:lang w:val="en-US"/>
        </w:rPr>
        <w:t xml:space="preserve"> This would </w:t>
      </w:r>
      <w:r w:rsidR="00863902" w:rsidRPr="00D869E3">
        <w:rPr>
          <w:rFonts w:ascii="Verdana" w:hAnsi="Verdana"/>
          <w:sz w:val="20"/>
          <w:szCs w:val="20"/>
          <w:lang w:val="en-US"/>
        </w:rPr>
        <w:t>have made</w:t>
      </w:r>
      <w:r w:rsidR="00B54668" w:rsidRPr="00D869E3">
        <w:rPr>
          <w:rFonts w:ascii="Verdana" w:hAnsi="Verdana"/>
          <w:sz w:val="20"/>
          <w:szCs w:val="20"/>
          <w:lang w:val="en-US"/>
        </w:rPr>
        <w:t xml:space="preserve"> the defense of those who consider</w:t>
      </w:r>
      <w:r w:rsidR="00863902" w:rsidRPr="00D869E3">
        <w:rPr>
          <w:rFonts w:ascii="Verdana" w:hAnsi="Verdana"/>
          <w:sz w:val="20"/>
          <w:szCs w:val="20"/>
          <w:lang w:val="en-US"/>
        </w:rPr>
        <w:t>ed</w:t>
      </w:r>
      <w:r w:rsidR="00B54668" w:rsidRPr="00D869E3">
        <w:rPr>
          <w:rFonts w:ascii="Verdana" w:hAnsi="Verdana"/>
          <w:sz w:val="20"/>
          <w:szCs w:val="20"/>
          <w:lang w:val="en-US"/>
        </w:rPr>
        <w:t xml:space="preserve"> that </w:t>
      </w:r>
      <w:r w:rsidR="00863902" w:rsidRPr="00D869E3">
        <w:rPr>
          <w:rFonts w:ascii="Verdana" w:hAnsi="Verdana"/>
          <w:sz w:val="20"/>
          <w:szCs w:val="20"/>
          <w:lang w:val="en-US"/>
        </w:rPr>
        <w:t>t</w:t>
      </w:r>
      <w:r w:rsidR="00B54668" w:rsidRPr="00D869E3">
        <w:rPr>
          <w:rFonts w:ascii="Verdana" w:hAnsi="Verdana"/>
          <w:sz w:val="20"/>
          <w:szCs w:val="20"/>
          <w:lang w:val="en-US"/>
        </w:rPr>
        <w:t>heir honor ha</w:t>
      </w:r>
      <w:r w:rsidR="00863902" w:rsidRPr="00D869E3">
        <w:rPr>
          <w:rFonts w:ascii="Verdana" w:hAnsi="Verdana"/>
          <w:sz w:val="20"/>
          <w:szCs w:val="20"/>
          <w:lang w:val="en-US"/>
        </w:rPr>
        <w:t>d</w:t>
      </w:r>
      <w:r w:rsidR="00B54668" w:rsidRPr="00D869E3">
        <w:rPr>
          <w:rFonts w:ascii="Verdana" w:hAnsi="Verdana"/>
          <w:sz w:val="20"/>
          <w:szCs w:val="20"/>
          <w:lang w:val="en-US"/>
        </w:rPr>
        <w:t xml:space="preserve"> been violated unmanageable and unrealistic. </w:t>
      </w:r>
      <w:r w:rsidR="00863902" w:rsidRPr="00D869E3">
        <w:rPr>
          <w:rFonts w:ascii="Verdana" w:hAnsi="Verdana"/>
          <w:sz w:val="20"/>
          <w:szCs w:val="20"/>
          <w:lang w:val="en-US"/>
        </w:rPr>
        <w:t>Moreover,</w:t>
      </w:r>
      <w:r w:rsidR="00B54668" w:rsidRPr="00D869E3">
        <w:rPr>
          <w:rFonts w:ascii="Verdana" w:hAnsi="Verdana"/>
          <w:sz w:val="20"/>
          <w:szCs w:val="20"/>
          <w:lang w:val="en-US"/>
        </w:rPr>
        <w:t xml:space="preserve"> the Commission </w:t>
      </w:r>
      <w:r w:rsidR="00863902" w:rsidRPr="00D869E3">
        <w:rPr>
          <w:rFonts w:ascii="Verdana" w:hAnsi="Verdana"/>
          <w:sz w:val="20"/>
          <w:szCs w:val="20"/>
          <w:lang w:val="en-US"/>
        </w:rPr>
        <w:t>had</w:t>
      </w:r>
      <w:r w:rsidR="00B54668" w:rsidRPr="00D869E3">
        <w:rPr>
          <w:rFonts w:ascii="Verdana" w:hAnsi="Verdana"/>
          <w:sz w:val="20"/>
          <w:szCs w:val="20"/>
          <w:lang w:val="en-US"/>
        </w:rPr>
        <w:t xml:space="preserve"> failed to indicate that, if the presumed victim considered that the interview had not reflected his words faithfully,</w:t>
      </w:r>
      <w:r w:rsidR="00863902" w:rsidRPr="00D869E3">
        <w:rPr>
          <w:rFonts w:ascii="Verdana" w:hAnsi="Verdana"/>
          <w:sz w:val="20"/>
          <w:szCs w:val="20"/>
          <w:lang w:val="en-US"/>
        </w:rPr>
        <w:t xml:space="preserve"> he co</w:t>
      </w:r>
      <w:r w:rsidR="00B54668" w:rsidRPr="00D869E3">
        <w:rPr>
          <w:rFonts w:ascii="Verdana" w:hAnsi="Verdana"/>
          <w:sz w:val="20"/>
          <w:szCs w:val="20"/>
          <w:lang w:val="en-US"/>
        </w:rPr>
        <w:t xml:space="preserve">uld have requested a rectification, </w:t>
      </w:r>
      <w:r w:rsidR="00863902" w:rsidRPr="00D869E3">
        <w:rPr>
          <w:rFonts w:ascii="Verdana" w:hAnsi="Verdana"/>
          <w:sz w:val="20"/>
          <w:szCs w:val="20"/>
          <w:lang w:val="en-US"/>
        </w:rPr>
        <w:t>and he did not do this</w:t>
      </w:r>
      <w:r w:rsidR="00B54668" w:rsidRPr="00D869E3">
        <w:rPr>
          <w:rFonts w:ascii="Verdana" w:hAnsi="Verdana"/>
          <w:sz w:val="20"/>
          <w:szCs w:val="20"/>
          <w:lang w:val="en-US"/>
        </w:rPr>
        <w:t>. The European Court</w:t>
      </w:r>
      <w:r w:rsidR="00863902" w:rsidRPr="00D869E3">
        <w:rPr>
          <w:rFonts w:ascii="Verdana" w:hAnsi="Verdana"/>
          <w:sz w:val="20"/>
          <w:szCs w:val="20"/>
          <w:lang w:val="en-US"/>
        </w:rPr>
        <w:t>’s case law</w:t>
      </w:r>
      <w:r w:rsidR="00B54668" w:rsidRPr="00D869E3">
        <w:rPr>
          <w:rFonts w:ascii="Verdana" w:hAnsi="Verdana"/>
          <w:sz w:val="20"/>
          <w:szCs w:val="20"/>
          <w:lang w:val="en-US"/>
        </w:rPr>
        <w:t xml:space="preserve"> had recognized that employees</w:t>
      </w:r>
      <w:r w:rsidR="00863902" w:rsidRPr="00D869E3">
        <w:rPr>
          <w:rFonts w:ascii="Verdana" w:hAnsi="Verdana"/>
          <w:sz w:val="20"/>
          <w:szCs w:val="20"/>
          <w:lang w:val="en-US"/>
        </w:rPr>
        <w:t xml:space="preserve"> had an obligation of loyalty</w:t>
      </w:r>
      <w:r w:rsidR="00B54668" w:rsidRPr="00D869E3">
        <w:rPr>
          <w:rFonts w:ascii="Verdana" w:hAnsi="Verdana"/>
          <w:sz w:val="20"/>
          <w:szCs w:val="20"/>
          <w:lang w:val="en-US"/>
        </w:rPr>
        <w:t xml:space="preserve"> towards their employer, even though this </w:t>
      </w:r>
      <w:r w:rsidR="00863902" w:rsidRPr="00D869E3">
        <w:rPr>
          <w:rFonts w:ascii="Verdana" w:hAnsi="Verdana"/>
          <w:sz w:val="20"/>
          <w:szCs w:val="20"/>
          <w:lang w:val="en-US"/>
        </w:rPr>
        <w:t>was</w:t>
      </w:r>
      <w:r w:rsidR="00B54668" w:rsidRPr="00D869E3">
        <w:rPr>
          <w:rFonts w:ascii="Verdana" w:hAnsi="Verdana"/>
          <w:sz w:val="20"/>
          <w:szCs w:val="20"/>
          <w:lang w:val="en-US"/>
        </w:rPr>
        <w:t xml:space="preserve"> not absolute. In addition, th</w:t>
      </w:r>
      <w:r w:rsidR="00863902" w:rsidRPr="00D869E3">
        <w:rPr>
          <w:rFonts w:ascii="Verdana" w:hAnsi="Verdana"/>
          <w:sz w:val="20"/>
          <w:szCs w:val="20"/>
          <w:lang w:val="en-US"/>
        </w:rPr>
        <w:t>e European</w:t>
      </w:r>
      <w:r w:rsidR="00B54668" w:rsidRPr="00D869E3">
        <w:rPr>
          <w:rFonts w:ascii="Verdana" w:hAnsi="Verdana"/>
          <w:sz w:val="20"/>
          <w:szCs w:val="20"/>
          <w:lang w:val="en-US"/>
        </w:rPr>
        <w:t xml:space="preserve"> Court had differentiated criticism and insult, stating that the employer </w:t>
      </w:r>
      <w:r w:rsidR="00863902" w:rsidRPr="00D869E3">
        <w:rPr>
          <w:rFonts w:ascii="Verdana" w:hAnsi="Verdana"/>
          <w:sz w:val="20"/>
          <w:szCs w:val="20"/>
          <w:lang w:val="en-US"/>
        </w:rPr>
        <w:t>could</w:t>
      </w:r>
      <w:r w:rsidR="00B54668" w:rsidRPr="00D869E3">
        <w:rPr>
          <w:rFonts w:ascii="Verdana" w:hAnsi="Verdana"/>
          <w:sz w:val="20"/>
          <w:szCs w:val="20"/>
          <w:lang w:val="en-US"/>
        </w:rPr>
        <w:t xml:space="preserve"> use his disciplinary authority when he </w:t>
      </w:r>
      <w:r w:rsidR="00863902" w:rsidRPr="00D869E3">
        <w:rPr>
          <w:rFonts w:ascii="Verdana" w:hAnsi="Verdana"/>
          <w:sz w:val="20"/>
          <w:szCs w:val="20"/>
          <w:lang w:val="en-US"/>
        </w:rPr>
        <w:t>was</w:t>
      </w:r>
      <w:r w:rsidR="00B54668" w:rsidRPr="00D869E3">
        <w:rPr>
          <w:rFonts w:ascii="Verdana" w:hAnsi="Verdana"/>
          <w:sz w:val="20"/>
          <w:szCs w:val="20"/>
          <w:lang w:val="en-US"/>
        </w:rPr>
        <w:t xml:space="preserve"> insulted by an employee. </w:t>
      </w:r>
      <w:r w:rsidR="00863902" w:rsidRPr="00D869E3">
        <w:rPr>
          <w:rFonts w:ascii="Verdana" w:hAnsi="Verdana"/>
          <w:sz w:val="20"/>
          <w:szCs w:val="20"/>
          <w:lang w:val="en-US"/>
        </w:rPr>
        <w:t>The State</w:t>
      </w:r>
      <w:r w:rsidR="00B54668" w:rsidRPr="00D869E3">
        <w:rPr>
          <w:rFonts w:ascii="Verdana" w:hAnsi="Verdana"/>
          <w:sz w:val="20"/>
          <w:szCs w:val="20"/>
          <w:lang w:val="en-US"/>
        </w:rPr>
        <w:t xml:space="preserve"> argued that, in the instant case, it was not possible to consider that the statements of the presumed victim were objective criticisms, </w:t>
      </w:r>
      <w:r w:rsidR="00863902" w:rsidRPr="00D869E3">
        <w:rPr>
          <w:rFonts w:ascii="Verdana" w:hAnsi="Verdana"/>
          <w:sz w:val="20"/>
          <w:szCs w:val="20"/>
          <w:lang w:val="en-US"/>
        </w:rPr>
        <w:t>because</w:t>
      </w:r>
      <w:r w:rsidR="00B54668" w:rsidRPr="00D869E3">
        <w:rPr>
          <w:rFonts w:ascii="Verdana" w:hAnsi="Verdana"/>
          <w:sz w:val="20"/>
          <w:szCs w:val="20"/>
          <w:lang w:val="en-US"/>
        </w:rPr>
        <w:t xml:space="preserve"> he had used injurious terms such as “blackmail” and “coercion.” Lastly, it indicated that, in order to analyze the </w:t>
      </w:r>
      <w:r w:rsidR="00B54668" w:rsidRPr="00D869E3">
        <w:rPr>
          <w:rFonts w:ascii="Verdana" w:hAnsi="Verdana"/>
          <w:sz w:val="20"/>
          <w:szCs w:val="20"/>
          <w:lang w:val="en-US"/>
        </w:rPr>
        <w:lastRenderedPageBreak/>
        <w:t xml:space="preserve">proportionality of the </w:t>
      </w:r>
      <w:r w:rsidR="00863902" w:rsidRPr="00D869E3">
        <w:rPr>
          <w:rFonts w:ascii="Verdana" w:hAnsi="Verdana"/>
          <w:sz w:val="20"/>
          <w:szCs w:val="20"/>
          <w:lang w:val="en-US"/>
        </w:rPr>
        <w:t>sanction</w:t>
      </w:r>
      <w:r w:rsidR="00B54668" w:rsidRPr="00D869E3">
        <w:rPr>
          <w:rFonts w:ascii="Verdana" w:hAnsi="Verdana"/>
          <w:sz w:val="20"/>
          <w:szCs w:val="20"/>
          <w:lang w:val="en-US"/>
        </w:rPr>
        <w:t xml:space="preserve">, it should be considered that </w:t>
      </w:r>
      <w:r w:rsidR="001E44D3" w:rsidRPr="00D869E3">
        <w:rPr>
          <w:rFonts w:ascii="Verdana" w:hAnsi="Verdana"/>
          <w:sz w:val="20"/>
          <w:szCs w:val="20"/>
          <w:lang w:val="en-US"/>
        </w:rPr>
        <w:t>Mr. Lagos del Campo</w:t>
      </w:r>
      <w:r w:rsidR="004D6B60" w:rsidRPr="00D869E3">
        <w:rPr>
          <w:rFonts w:ascii="Verdana" w:hAnsi="Verdana"/>
          <w:sz w:val="20"/>
          <w:szCs w:val="20"/>
          <w:lang w:val="en-US"/>
        </w:rPr>
        <w:t xml:space="preserve"> </w:t>
      </w:r>
      <w:r w:rsidR="00B54668" w:rsidRPr="00D869E3">
        <w:rPr>
          <w:rFonts w:ascii="Verdana" w:hAnsi="Verdana"/>
          <w:sz w:val="20"/>
          <w:szCs w:val="20"/>
          <w:lang w:val="en-US"/>
        </w:rPr>
        <w:t xml:space="preserve">had been suspended for acts of insubordination in </w:t>
      </w:r>
      <w:r w:rsidR="004D6B60" w:rsidRPr="00D869E3">
        <w:rPr>
          <w:rFonts w:ascii="Verdana" w:hAnsi="Verdana"/>
          <w:sz w:val="20"/>
          <w:szCs w:val="20"/>
          <w:lang w:val="en-US"/>
        </w:rPr>
        <w:t xml:space="preserve">1985, </w:t>
      </w:r>
      <w:r w:rsidR="00B54668" w:rsidRPr="00D869E3">
        <w:rPr>
          <w:rFonts w:ascii="Verdana" w:hAnsi="Verdana"/>
          <w:sz w:val="20"/>
          <w:szCs w:val="20"/>
          <w:lang w:val="en-US"/>
        </w:rPr>
        <w:t xml:space="preserve">a </w:t>
      </w:r>
      <w:r w:rsidR="00863902" w:rsidRPr="00D869E3">
        <w:rPr>
          <w:rFonts w:ascii="Verdana" w:hAnsi="Verdana"/>
          <w:sz w:val="20"/>
          <w:szCs w:val="20"/>
          <w:lang w:val="en-US"/>
        </w:rPr>
        <w:t xml:space="preserve">measure </w:t>
      </w:r>
      <w:r w:rsidR="00B54668" w:rsidRPr="00D869E3">
        <w:rPr>
          <w:rFonts w:ascii="Verdana" w:hAnsi="Verdana"/>
          <w:sz w:val="20"/>
          <w:szCs w:val="20"/>
          <w:lang w:val="en-US"/>
        </w:rPr>
        <w:t>that the Labor Directorate had considered justified</w:t>
      </w:r>
      <w:r w:rsidR="00B252C9" w:rsidRPr="00D869E3">
        <w:rPr>
          <w:rFonts w:ascii="Verdana" w:hAnsi="Verdana"/>
          <w:sz w:val="20"/>
          <w:szCs w:val="20"/>
          <w:lang w:val="en-US"/>
        </w:rPr>
        <w:t>.</w:t>
      </w:r>
    </w:p>
    <w:p w14:paraId="1E8AA0C2" w14:textId="77777777" w:rsidR="00B252C9" w:rsidRPr="00D869E3" w:rsidRDefault="00B252C9" w:rsidP="00B252C9">
      <w:pPr>
        <w:contextualSpacing/>
        <w:jc w:val="both"/>
        <w:rPr>
          <w:rFonts w:ascii="Calibri" w:hAnsi="Calibri"/>
          <w:sz w:val="22"/>
          <w:szCs w:val="22"/>
          <w:lang w:val="en-US"/>
        </w:rPr>
      </w:pPr>
    </w:p>
    <w:p w14:paraId="6EED3EAF" w14:textId="63ACD778" w:rsidR="00B252C9" w:rsidRPr="00D869E3" w:rsidRDefault="00B252C9" w:rsidP="00B252C9">
      <w:pPr>
        <w:numPr>
          <w:ilvl w:val="0"/>
          <w:numId w:val="1"/>
        </w:numPr>
        <w:ind w:left="0" w:hanging="11"/>
        <w:contextualSpacing/>
        <w:jc w:val="both"/>
        <w:rPr>
          <w:rFonts w:ascii="Verdana" w:hAnsi="Verdana"/>
          <w:b/>
          <w:sz w:val="20"/>
          <w:szCs w:val="20"/>
          <w:lang w:val="en-US"/>
        </w:rPr>
      </w:pPr>
      <w:r w:rsidRPr="00D869E3">
        <w:rPr>
          <w:rFonts w:ascii="Verdana" w:eastAsia="MS Mincho" w:hAnsi="Verdana" w:cs="Verdana"/>
          <w:sz w:val="20"/>
          <w:szCs w:val="20"/>
          <w:lang w:val="en-US" w:eastAsia="es-ES"/>
        </w:rPr>
        <w:t xml:space="preserve">Regarding judicial guarantees, </w:t>
      </w:r>
      <w:r w:rsidRPr="00D869E3">
        <w:rPr>
          <w:rFonts w:ascii="Verdana" w:hAnsi="Verdana"/>
          <w:b/>
          <w:bCs/>
          <w:i/>
          <w:iCs/>
          <w:sz w:val="20"/>
          <w:szCs w:val="20"/>
          <w:lang w:val="en-US"/>
        </w:rPr>
        <w:t>the State</w:t>
      </w:r>
      <w:r w:rsidRPr="00D869E3">
        <w:rPr>
          <w:rFonts w:ascii="Verdana" w:hAnsi="Verdana"/>
          <w:sz w:val="20"/>
          <w:szCs w:val="20"/>
          <w:lang w:val="en-US"/>
        </w:rPr>
        <w:t xml:space="preserve"> considered that although the court </w:t>
      </w:r>
      <w:r w:rsidR="00DD7284" w:rsidRPr="00D869E3">
        <w:rPr>
          <w:rFonts w:ascii="Verdana" w:hAnsi="Verdana"/>
          <w:sz w:val="20"/>
          <w:szCs w:val="20"/>
          <w:lang w:val="en-US"/>
        </w:rPr>
        <w:t>proceedings</w:t>
      </w:r>
      <w:r w:rsidRPr="00D869E3">
        <w:rPr>
          <w:rFonts w:ascii="Verdana" w:hAnsi="Verdana"/>
          <w:sz w:val="20"/>
          <w:szCs w:val="20"/>
          <w:lang w:val="en-US"/>
        </w:rPr>
        <w:t xml:space="preserve"> did not use the same terminology used by the Commission, this did not mean that the Peruvian courts did not weigh the factors mentioned. Indeed, the Second Labor Court of Lima </w:t>
      </w:r>
      <w:r w:rsidR="00DD7284" w:rsidRPr="00D869E3">
        <w:rPr>
          <w:rFonts w:ascii="Verdana" w:hAnsi="Verdana"/>
          <w:sz w:val="20"/>
          <w:szCs w:val="20"/>
          <w:lang w:val="en-US"/>
        </w:rPr>
        <w:t xml:space="preserve">had </w:t>
      </w:r>
      <w:r w:rsidRPr="00D869E3">
        <w:rPr>
          <w:rFonts w:ascii="Verdana" w:hAnsi="Verdana"/>
          <w:sz w:val="20"/>
          <w:szCs w:val="20"/>
          <w:lang w:val="en-US"/>
        </w:rPr>
        <w:t>assessed the statements published in “</w:t>
      </w:r>
      <w:r w:rsidRPr="00D869E3">
        <w:rPr>
          <w:rFonts w:ascii="Verdana" w:hAnsi="Verdana"/>
          <w:i/>
          <w:iCs/>
          <w:sz w:val="20"/>
          <w:szCs w:val="20"/>
          <w:lang w:val="en-US"/>
        </w:rPr>
        <w:t>La Razón</w:t>
      </w:r>
      <w:r w:rsidRPr="00D869E3">
        <w:rPr>
          <w:rFonts w:ascii="Verdana" w:hAnsi="Verdana"/>
          <w:sz w:val="20"/>
          <w:szCs w:val="20"/>
          <w:lang w:val="en-US"/>
        </w:rPr>
        <w:t xml:space="preserve">” and found that </w:t>
      </w:r>
      <w:r w:rsidR="00EC4557" w:rsidRPr="00D869E3">
        <w:rPr>
          <w:rFonts w:ascii="Verdana" w:hAnsi="Verdana"/>
          <w:sz w:val="20"/>
          <w:szCs w:val="20"/>
          <w:lang w:val="en-US"/>
        </w:rPr>
        <w:t>they</w:t>
      </w:r>
      <w:r w:rsidRPr="00D869E3">
        <w:rPr>
          <w:rFonts w:ascii="Verdana" w:hAnsi="Verdana"/>
          <w:sz w:val="20"/>
          <w:szCs w:val="20"/>
          <w:lang w:val="en-US"/>
        </w:rPr>
        <w:t xml:space="preserve"> contained phrases that were injurious for employer and co-workers. Also, that court took into consideration other elements, such as Mr. Lagos del Campo’s recidivism and that the presumed victim could have requested a rectification and did not do so. Moreover, it is incomprehensible to claim that the domestic courts should have </w:t>
      </w:r>
      <w:r w:rsidR="00EC4557" w:rsidRPr="00D869E3">
        <w:rPr>
          <w:rFonts w:ascii="Verdana" w:hAnsi="Verdana"/>
          <w:sz w:val="20"/>
          <w:szCs w:val="20"/>
          <w:lang w:val="en-US"/>
        </w:rPr>
        <w:t>analyzed</w:t>
      </w:r>
      <w:r w:rsidRPr="00D869E3">
        <w:rPr>
          <w:rFonts w:ascii="Verdana" w:hAnsi="Verdana"/>
          <w:sz w:val="20"/>
          <w:szCs w:val="20"/>
          <w:lang w:val="en-US"/>
        </w:rPr>
        <w:t xml:space="preserve"> the case based on a test of proportionality that did not even exist at the time</w:t>
      </w:r>
      <w:r w:rsidR="00BE7B4A" w:rsidRPr="00D869E3">
        <w:rPr>
          <w:rFonts w:ascii="Verdana" w:hAnsi="Verdana"/>
          <w:sz w:val="20"/>
          <w:szCs w:val="20"/>
          <w:lang w:val="en-US"/>
        </w:rPr>
        <w:t xml:space="preserve"> – m</w:t>
      </w:r>
      <w:r w:rsidRPr="00D869E3">
        <w:rPr>
          <w:rFonts w:ascii="Verdana" w:hAnsi="Verdana"/>
          <w:sz w:val="20"/>
          <w:szCs w:val="20"/>
          <w:lang w:val="en-US"/>
        </w:rPr>
        <w:t>ore than 20 years ago. Regarding the argument of the right to be heard, the State indicated that</w:t>
      </w:r>
      <w:r w:rsidR="00BE7B4A" w:rsidRPr="00D869E3">
        <w:rPr>
          <w:rFonts w:ascii="Verdana" w:hAnsi="Verdana"/>
          <w:sz w:val="20"/>
          <w:szCs w:val="20"/>
          <w:lang w:val="en-US"/>
        </w:rPr>
        <w:t xml:space="preserve">, even though </w:t>
      </w:r>
      <w:r w:rsidRPr="00D869E3">
        <w:rPr>
          <w:rFonts w:ascii="Verdana" w:hAnsi="Verdana"/>
          <w:sz w:val="20"/>
          <w:szCs w:val="20"/>
          <w:lang w:val="en-US"/>
        </w:rPr>
        <w:t>the brief that</w:t>
      </w:r>
      <w:r w:rsidRPr="00D869E3">
        <w:rPr>
          <w:rFonts w:ascii="Verdana" w:hAnsi="Verdana"/>
          <w:b/>
          <w:sz w:val="20"/>
          <w:szCs w:val="20"/>
          <w:lang w:val="en-US"/>
        </w:rPr>
        <w:t xml:space="preserve"> </w:t>
      </w:r>
      <w:r w:rsidRPr="00D869E3">
        <w:rPr>
          <w:rFonts w:ascii="Verdana" w:hAnsi="Verdana"/>
          <w:sz w:val="20"/>
          <w:szCs w:val="20"/>
          <w:lang w:val="en-US"/>
        </w:rPr>
        <w:t>Mr. Lagos del Campo submitted to the Second Labor Court</w:t>
      </w:r>
      <w:r w:rsidR="00BE7B4A" w:rsidRPr="00D869E3">
        <w:rPr>
          <w:rFonts w:ascii="Verdana" w:hAnsi="Verdana"/>
          <w:sz w:val="20"/>
          <w:szCs w:val="20"/>
          <w:lang w:val="en-US"/>
        </w:rPr>
        <w:t xml:space="preserve"> </w:t>
      </w:r>
      <w:r w:rsidRPr="00D869E3">
        <w:rPr>
          <w:rFonts w:ascii="Verdana" w:hAnsi="Verdana"/>
          <w:sz w:val="20"/>
          <w:szCs w:val="20"/>
          <w:lang w:val="en-US"/>
        </w:rPr>
        <w:t xml:space="preserve">was only processed after the judgment, </w:t>
      </w:r>
      <w:r w:rsidR="00BE7B4A" w:rsidRPr="00D869E3">
        <w:rPr>
          <w:rFonts w:ascii="Verdana" w:hAnsi="Verdana"/>
          <w:sz w:val="20"/>
          <w:szCs w:val="20"/>
          <w:lang w:val="en-US"/>
        </w:rPr>
        <w:t>it did not contain</w:t>
      </w:r>
      <w:r w:rsidRPr="00D869E3">
        <w:rPr>
          <w:rFonts w:ascii="Verdana" w:hAnsi="Verdana"/>
          <w:sz w:val="20"/>
          <w:szCs w:val="20"/>
          <w:lang w:val="en-US"/>
        </w:rPr>
        <w:t xml:space="preserve"> probative elements, but rather legal arguments and many of the</w:t>
      </w:r>
      <w:r w:rsidR="00BE7B4A" w:rsidRPr="00D869E3">
        <w:rPr>
          <w:rFonts w:ascii="Verdana" w:hAnsi="Verdana"/>
          <w:sz w:val="20"/>
          <w:szCs w:val="20"/>
          <w:lang w:val="en-US"/>
        </w:rPr>
        <w:t>se had been included in previous</w:t>
      </w:r>
      <w:r w:rsidRPr="00D869E3">
        <w:rPr>
          <w:rFonts w:ascii="Verdana" w:hAnsi="Verdana"/>
          <w:sz w:val="20"/>
          <w:szCs w:val="20"/>
          <w:lang w:val="en-US"/>
        </w:rPr>
        <w:t xml:space="preserve"> briefs presented by the plaintiff</w:t>
      </w:r>
      <w:r w:rsidR="00BE7B4A" w:rsidRPr="00D869E3">
        <w:rPr>
          <w:rFonts w:ascii="Verdana" w:hAnsi="Verdana"/>
          <w:sz w:val="20"/>
          <w:szCs w:val="20"/>
          <w:lang w:val="en-US"/>
        </w:rPr>
        <w:t>; therefore,</w:t>
      </w:r>
      <w:r w:rsidRPr="00D869E3">
        <w:rPr>
          <w:rFonts w:ascii="Verdana" w:hAnsi="Verdana"/>
          <w:sz w:val="20"/>
          <w:szCs w:val="20"/>
          <w:lang w:val="en-US"/>
        </w:rPr>
        <w:t xml:space="preserve"> this did not </w:t>
      </w:r>
      <w:r w:rsidR="00BE7B4A" w:rsidRPr="00D869E3">
        <w:rPr>
          <w:rFonts w:ascii="Verdana" w:hAnsi="Verdana"/>
          <w:sz w:val="20"/>
          <w:szCs w:val="20"/>
          <w:lang w:val="en-US"/>
        </w:rPr>
        <w:t>violate</w:t>
      </w:r>
      <w:r w:rsidRPr="00D869E3">
        <w:rPr>
          <w:rFonts w:ascii="Verdana" w:hAnsi="Verdana"/>
          <w:sz w:val="20"/>
          <w:szCs w:val="20"/>
          <w:lang w:val="en-US"/>
        </w:rPr>
        <w:t xml:space="preserve"> his right </w:t>
      </w:r>
      <w:r w:rsidR="00BE7B4A" w:rsidRPr="00D869E3">
        <w:rPr>
          <w:rFonts w:ascii="Verdana" w:hAnsi="Verdana"/>
          <w:sz w:val="20"/>
          <w:szCs w:val="20"/>
          <w:lang w:val="en-US"/>
        </w:rPr>
        <w:t>to</w:t>
      </w:r>
      <w:r w:rsidRPr="00D869E3">
        <w:rPr>
          <w:rFonts w:ascii="Verdana" w:hAnsi="Verdana"/>
          <w:sz w:val="20"/>
          <w:szCs w:val="20"/>
          <w:lang w:val="en-US"/>
        </w:rPr>
        <w:t xml:space="preserve"> defense.</w:t>
      </w:r>
    </w:p>
    <w:p w14:paraId="72CDD069" w14:textId="77777777" w:rsidR="00B252C9" w:rsidRPr="00D869E3" w:rsidRDefault="00B252C9" w:rsidP="00262F28">
      <w:pPr>
        <w:jc w:val="both"/>
        <w:rPr>
          <w:rFonts w:ascii="Verdana" w:hAnsi="Verdana"/>
          <w:b/>
          <w:sz w:val="20"/>
          <w:szCs w:val="20"/>
          <w:lang w:val="en-US"/>
        </w:rPr>
      </w:pPr>
    </w:p>
    <w:p w14:paraId="014D3BB9" w14:textId="6DB8C3B7" w:rsidR="004D6B60" w:rsidRPr="00D869E3" w:rsidRDefault="008E0F63" w:rsidP="00E66DD7">
      <w:pPr>
        <w:pStyle w:val="Ttulo3"/>
        <w:numPr>
          <w:ilvl w:val="0"/>
          <w:numId w:val="18"/>
        </w:numPr>
        <w:rPr>
          <w:b w:val="0"/>
          <w:i/>
          <w:iCs/>
          <w:szCs w:val="20"/>
          <w:lang w:val="en-US"/>
        </w:rPr>
      </w:pPr>
      <w:bookmarkStart w:id="37" w:name="_Toc29114128"/>
      <w:r w:rsidRPr="00D869E3">
        <w:rPr>
          <w:i/>
          <w:iCs/>
          <w:szCs w:val="20"/>
          <w:lang w:val="en-US"/>
        </w:rPr>
        <w:t>F</w:t>
      </w:r>
      <w:r w:rsidR="006665C4" w:rsidRPr="00D869E3">
        <w:rPr>
          <w:i/>
          <w:iCs/>
          <w:szCs w:val="20"/>
          <w:lang w:val="en-US"/>
        </w:rPr>
        <w:t>reedom</w:t>
      </w:r>
      <w:r w:rsidR="00351902" w:rsidRPr="00D869E3">
        <w:rPr>
          <w:i/>
          <w:iCs/>
          <w:szCs w:val="20"/>
          <w:lang w:val="en-US"/>
        </w:rPr>
        <w:t xml:space="preserve"> of association</w:t>
      </w:r>
      <w:bookmarkEnd w:id="37"/>
    </w:p>
    <w:p w14:paraId="753E6DEE" w14:textId="77777777" w:rsidR="004D6B60" w:rsidRPr="00D869E3" w:rsidRDefault="004D6B60" w:rsidP="00262F28">
      <w:pPr>
        <w:jc w:val="both"/>
        <w:rPr>
          <w:rFonts w:ascii="Verdana" w:hAnsi="Verdana"/>
          <w:b/>
          <w:sz w:val="20"/>
          <w:szCs w:val="20"/>
          <w:lang w:val="en-US"/>
        </w:rPr>
      </w:pPr>
    </w:p>
    <w:p w14:paraId="03C7A04F" w14:textId="2BE8D319" w:rsidR="00430EA0" w:rsidRPr="00D869E3" w:rsidRDefault="00447C65" w:rsidP="006665C4">
      <w:pPr>
        <w:numPr>
          <w:ilvl w:val="0"/>
          <w:numId w:val="1"/>
        </w:numPr>
        <w:ind w:left="0" w:firstLine="0"/>
        <w:contextualSpacing/>
        <w:jc w:val="both"/>
        <w:rPr>
          <w:rFonts w:ascii="Verdana" w:hAnsi="Verdana"/>
          <w:b/>
          <w:sz w:val="20"/>
          <w:szCs w:val="20"/>
          <w:lang w:val="en-US"/>
        </w:rPr>
      </w:pPr>
      <w:r w:rsidRPr="00D869E3">
        <w:rPr>
          <w:rFonts w:ascii="Verdana" w:eastAsia="MS Mincho" w:hAnsi="Verdana" w:cs="Verdana"/>
          <w:sz w:val="20"/>
          <w:szCs w:val="20"/>
          <w:lang w:val="en-US" w:eastAsia="es-ES"/>
        </w:rPr>
        <w:t xml:space="preserve">The </w:t>
      </w:r>
      <w:r w:rsidRPr="00D869E3">
        <w:rPr>
          <w:rFonts w:ascii="Verdana" w:eastAsia="MS Mincho" w:hAnsi="Verdana" w:cs="Verdana"/>
          <w:b/>
          <w:bCs/>
          <w:i/>
          <w:iCs/>
          <w:sz w:val="20"/>
          <w:szCs w:val="20"/>
          <w:lang w:val="en-US" w:eastAsia="es-ES"/>
        </w:rPr>
        <w:t>Commission</w:t>
      </w:r>
      <w:r w:rsidR="00430EA0" w:rsidRPr="00D869E3">
        <w:rPr>
          <w:rFonts w:ascii="Verdana" w:eastAsia="MS Mincho" w:hAnsi="Verdana" w:cs="Verdana"/>
          <w:b/>
          <w:i/>
          <w:sz w:val="20"/>
          <w:szCs w:val="20"/>
          <w:lang w:val="en-US" w:eastAsia="es-ES"/>
        </w:rPr>
        <w:t xml:space="preserve"> </w:t>
      </w:r>
      <w:r w:rsidR="006665C4" w:rsidRPr="00D869E3">
        <w:rPr>
          <w:rFonts w:ascii="Verdana" w:eastAsia="MS Mincho" w:hAnsi="Verdana" w:cs="Verdana"/>
          <w:sz w:val="20"/>
          <w:szCs w:val="20"/>
          <w:lang w:val="en-US" w:eastAsia="es-ES"/>
        </w:rPr>
        <w:t>argued that</w:t>
      </w:r>
      <w:r w:rsidR="00753FC6" w:rsidRPr="00D869E3">
        <w:rPr>
          <w:rFonts w:ascii="Verdana" w:eastAsia="MS Mincho" w:hAnsi="Verdana" w:cs="Verdana"/>
          <w:sz w:val="20"/>
          <w:szCs w:val="20"/>
          <w:lang w:val="en-US" w:eastAsia="es-ES"/>
        </w:rPr>
        <w:t>, in the workplace,</w:t>
      </w:r>
      <w:r w:rsidR="006665C4" w:rsidRPr="00D869E3">
        <w:rPr>
          <w:rFonts w:ascii="Verdana" w:eastAsia="MS Mincho" w:hAnsi="Verdana" w:cs="Verdana"/>
          <w:sz w:val="20"/>
          <w:szCs w:val="20"/>
          <w:lang w:val="en-US" w:eastAsia="es-ES"/>
        </w:rPr>
        <w:t xml:space="preserve"> the protection of </w:t>
      </w:r>
      <w:r w:rsidR="00A62EA8" w:rsidRPr="00D869E3">
        <w:rPr>
          <w:rFonts w:ascii="Verdana" w:eastAsia="MS Mincho" w:hAnsi="Verdana" w:cs="Verdana"/>
          <w:sz w:val="20"/>
          <w:szCs w:val="20"/>
          <w:lang w:val="en-US" w:eastAsia="es-ES"/>
        </w:rPr>
        <w:t xml:space="preserve">freedom of </w:t>
      </w:r>
      <w:r w:rsidR="006665C4" w:rsidRPr="00D869E3">
        <w:rPr>
          <w:rFonts w:ascii="Verdana" w:eastAsia="MS Mincho" w:hAnsi="Verdana" w:cs="Verdana"/>
          <w:sz w:val="20"/>
          <w:szCs w:val="20"/>
          <w:lang w:val="en-US" w:eastAsia="es-ES"/>
        </w:rPr>
        <w:t xml:space="preserve">expression is especially relevant when it </w:t>
      </w:r>
      <w:r w:rsidR="00753FC6" w:rsidRPr="00D869E3">
        <w:rPr>
          <w:rFonts w:ascii="Verdana" w:eastAsia="MS Mincho" w:hAnsi="Verdana" w:cs="Verdana"/>
          <w:sz w:val="20"/>
          <w:szCs w:val="20"/>
          <w:lang w:val="en-US" w:eastAsia="es-ES"/>
        </w:rPr>
        <w:t>is related to</w:t>
      </w:r>
      <w:r w:rsidR="006665C4" w:rsidRPr="00D869E3">
        <w:rPr>
          <w:rFonts w:ascii="Verdana" w:eastAsia="MS Mincho" w:hAnsi="Verdana" w:cs="Verdana"/>
          <w:sz w:val="20"/>
          <w:szCs w:val="20"/>
          <w:lang w:val="en-US" w:eastAsia="es-ES"/>
        </w:rPr>
        <w:t xml:space="preserve"> freedom of association for </w:t>
      </w:r>
      <w:r w:rsidR="00753FC6" w:rsidRPr="00D869E3">
        <w:rPr>
          <w:rFonts w:ascii="Verdana" w:eastAsia="MS Mincho" w:hAnsi="Verdana" w:cs="Verdana"/>
          <w:sz w:val="20"/>
          <w:szCs w:val="20"/>
          <w:lang w:val="en-US" w:eastAsia="es-ES"/>
        </w:rPr>
        <w:t>labor-related</w:t>
      </w:r>
      <w:r w:rsidR="006665C4" w:rsidRPr="00D869E3">
        <w:rPr>
          <w:rFonts w:ascii="Verdana" w:eastAsia="MS Mincho" w:hAnsi="Verdana" w:cs="Verdana"/>
          <w:sz w:val="20"/>
          <w:szCs w:val="20"/>
          <w:lang w:val="en-US" w:eastAsia="es-ES"/>
        </w:rPr>
        <w:t xml:space="preserve"> purposes, because the protection of the right of workers to express themselves in order to </w:t>
      </w:r>
      <w:r w:rsidR="00753FC6" w:rsidRPr="00D869E3">
        <w:rPr>
          <w:rFonts w:ascii="Verdana" w:eastAsia="MS Mincho" w:hAnsi="Verdana" w:cs="Verdana"/>
          <w:sz w:val="20"/>
          <w:szCs w:val="20"/>
          <w:lang w:val="en-US" w:eastAsia="es-ES"/>
        </w:rPr>
        <w:t xml:space="preserve">impart </w:t>
      </w:r>
      <w:r w:rsidR="006665C4" w:rsidRPr="00D869E3">
        <w:rPr>
          <w:rFonts w:ascii="Verdana" w:eastAsia="MS Mincho" w:hAnsi="Verdana" w:cs="Verdana"/>
          <w:sz w:val="20"/>
          <w:szCs w:val="20"/>
          <w:lang w:val="en-US" w:eastAsia="es-ES"/>
        </w:rPr>
        <w:t>information and promote their</w:t>
      </w:r>
      <w:r w:rsidR="00753FC6" w:rsidRPr="00D869E3">
        <w:rPr>
          <w:rFonts w:ascii="Verdana" w:eastAsia="MS Mincho" w:hAnsi="Verdana" w:cs="Verdana"/>
          <w:sz w:val="20"/>
          <w:szCs w:val="20"/>
          <w:lang w:val="en-US" w:eastAsia="es-ES"/>
        </w:rPr>
        <w:t xml:space="preserve"> common</w:t>
      </w:r>
      <w:r w:rsidR="006665C4" w:rsidRPr="00D869E3">
        <w:rPr>
          <w:rFonts w:ascii="Verdana" w:eastAsia="MS Mincho" w:hAnsi="Verdana" w:cs="Verdana"/>
          <w:sz w:val="20"/>
          <w:szCs w:val="20"/>
          <w:lang w:val="en-US" w:eastAsia="es-ES"/>
        </w:rPr>
        <w:t xml:space="preserve"> interests and claims is one of the purposes of the right to freedom of association in the work</w:t>
      </w:r>
      <w:r w:rsidR="00753FC6" w:rsidRPr="00D869E3">
        <w:rPr>
          <w:rFonts w:ascii="Verdana" w:eastAsia="MS Mincho" w:hAnsi="Verdana" w:cs="Verdana"/>
          <w:sz w:val="20"/>
          <w:szCs w:val="20"/>
          <w:lang w:val="en-US" w:eastAsia="es-ES"/>
        </w:rPr>
        <w:t>place</w:t>
      </w:r>
      <w:r w:rsidR="006665C4" w:rsidRPr="00D869E3">
        <w:rPr>
          <w:rFonts w:ascii="Verdana" w:eastAsia="MS Mincho" w:hAnsi="Verdana" w:cs="Verdana"/>
          <w:sz w:val="20"/>
          <w:szCs w:val="20"/>
          <w:lang w:val="en-US" w:eastAsia="es-ES"/>
        </w:rPr>
        <w:t xml:space="preserve">. Consequently, </w:t>
      </w:r>
      <w:r w:rsidR="00753FC6" w:rsidRPr="00D869E3">
        <w:rPr>
          <w:rFonts w:ascii="Verdana" w:eastAsia="MS Mincho" w:hAnsi="Verdana" w:cs="Verdana"/>
          <w:sz w:val="20"/>
          <w:szCs w:val="20"/>
          <w:lang w:val="en-US" w:eastAsia="es-ES"/>
        </w:rPr>
        <w:t>the Commission</w:t>
      </w:r>
      <w:r w:rsidR="006665C4" w:rsidRPr="00D869E3">
        <w:rPr>
          <w:rFonts w:ascii="Verdana" w:eastAsia="MS Mincho" w:hAnsi="Verdana" w:cs="Verdana"/>
          <w:sz w:val="20"/>
          <w:szCs w:val="20"/>
          <w:lang w:val="en-US" w:eastAsia="es-ES"/>
        </w:rPr>
        <w:t xml:space="preserve"> considered that the strict proportionality of restrictions to freedom of association in the workplace should be judged based on the</w:t>
      </w:r>
      <w:r w:rsidR="00753FC6" w:rsidRPr="00D869E3">
        <w:rPr>
          <w:rFonts w:ascii="Verdana" w:eastAsia="MS Mincho" w:hAnsi="Verdana" w:cs="Verdana"/>
          <w:sz w:val="20"/>
          <w:szCs w:val="20"/>
          <w:lang w:val="en-US" w:eastAsia="es-ES"/>
        </w:rPr>
        <w:t>ir</w:t>
      </w:r>
      <w:r w:rsidR="006665C4" w:rsidRPr="00D869E3">
        <w:rPr>
          <w:rFonts w:ascii="Verdana" w:eastAsia="MS Mincho" w:hAnsi="Verdana" w:cs="Verdana"/>
          <w:sz w:val="20"/>
          <w:szCs w:val="20"/>
          <w:lang w:val="en-US" w:eastAsia="es-ES"/>
        </w:rPr>
        <w:t xml:space="preserve"> effects on the right of </w:t>
      </w:r>
      <w:r w:rsidR="00753FC6" w:rsidRPr="00D869E3">
        <w:rPr>
          <w:rFonts w:ascii="Verdana" w:eastAsia="MS Mincho" w:hAnsi="Verdana" w:cs="Verdana"/>
          <w:sz w:val="20"/>
          <w:szCs w:val="20"/>
          <w:lang w:val="en-US" w:eastAsia="es-ES"/>
        </w:rPr>
        <w:t>labor</w:t>
      </w:r>
      <w:r w:rsidR="006665C4" w:rsidRPr="00D869E3">
        <w:rPr>
          <w:rFonts w:ascii="Verdana" w:eastAsia="MS Mincho" w:hAnsi="Verdana" w:cs="Verdana"/>
          <w:sz w:val="20"/>
          <w:szCs w:val="20"/>
          <w:lang w:val="en-US" w:eastAsia="es-ES"/>
        </w:rPr>
        <w:t xml:space="preserve"> organizations and their leaders to ensure the protection of the interests of those they represent, and on </w:t>
      </w:r>
      <w:r w:rsidR="00753FC6" w:rsidRPr="00D869E3">
        <w:rPr>
          <w:rFonts w:ascii="Verdana" w:eastAsia="MS Mincho" w:hAnsi="Verdana" w:cs="Verdana"/>
          <w:sz w:val="20"/>
          <w:szCs w:val="20"/>
          <w:lang w:val="en-US" w:eastAsia="es-ES"/>
        </w:rPr>
        <w:t>their</w:t>
      </w:r>
      <w:r w:rsidR="006665C4" w:rsidRPr="00D869E3">
        <w:rPr>
          <w:rFonts w:ascii="Verdana" w:eastAsia="MS Mincho" w:hAnsi="Verdana" w:cs="Verdana"/>
          <w:sz w:val="20"/>
          <w:szCs w:val="20"/>
          <w:lang w:val="en-US" w:eastAsia="es-ES"/>
        </w:rPr>
        <w:t xml:space="preserve"> potential dissuasive effect</w:t>
      </w:r>
      <w:r w:rsidR="00753FC6" w:rsidRPr="00D869E3">
        <w:rPr>
          <w:rFonts w:ascii="Verdana" w:eastAsia="MS Mincho" w:hAnsi="Verdana" w:cs="Verdana"/>
          <w:sz w:val="20"/>
          <w:szCs w:val="20"/>
          <w:lang w:val="en-US" w:eastAsia="es-ES"/>
        </w:rPr>
        <w:t>s</w:t>
      </w:r>
      <w:r w:rsidR="006665C4" w:rsidRPr="00D869E3">
        <w:rPr>
          <w:rFonts w:ascii="Verdana" w:eastAsia="MS Mincho" w:hAnsi="Verdana" w:cs="Verdana"/>
          <w:sz w:val="20"/>
          <w:szCs w:val="20"/>
          <w:lang w:val="en-US" w:eastAsia="es-ES"/>
        </w:rPr>
        <w:t xml:space="preserve"> on other </w:t>
      </w:r>
      <w:r w:rsidR="00753FC6" w:rsidRPr="00D869E3">
        <w:rPr>
          <w:rFonts w:ascii="Verdana" w:eastAsia="MS Mincho" w:hAnsi="Verdana" w:cs="Verdana"/>
          <w:sz w:val="20"/>
          <w:szCs w:val="20"/>
          <w:lang w:val="en-US" w:eastAsia="es-ES"/>
        </w:rPr>
        <w:t>trade union or workers’ leaders.</w:t>
      </w:r>
    </w:p>
    <w:p w14:paraId="4B51AF6E" w14:textId="77777777" w:rsidR="004D6B60" w:rsidRPr="00D869E3" w:rsidRDefault="004D6B60" w:rsidP="005D0F69">
      <w:pPr>
        <w:contextualSpacing/>
        <w:jc w:val="both"/>
        <w:rPr>
          <w:rFonts w:ascii="Verdana" w:eastAsia="MS Mincho" w:hAnsi="Verdana" w:cs="Verdana"/>
          <w:sz w:val="20"/>
          <w:szCs w:val="20"/>
          <w:lang w:val="en-US" w:eastAsia="es-ES"/>
        </w:rPr>
      </w:pPr>
    </w:p>
    <w:p w14:paraId="4E2F503B" w14:textId="5C72235E" w:rsidR="006665C4" w:rsidRPr="00D869E3" w:rsidRDefault="00687684" w:rsidP="00E66DD7">
      <w:pPr>
        <w:numPr>
          <w:ilvl w:val="0"/>
          <w:numId w:val="1"/>
        </w:numPr>
        <w:ind w:left="0" w:firstLine="0"/>
        <w:contextualSpacing/>
        <w:jc w:val="both"/>
        <w:rPr>
          <w:rFonts w:ascii="Verdana" w:hAnsi="Verdana"/>
          <w:b/>
          <w:sz w:val="20"/>
          <w:szCs w:val="20"/>
          <w:lang w:val="en-US"/>
        </w:rPr>
      </w:pPr>
      <w:r w:rsidRPr="00D869E3">
        <w:rPr>
          <w:rFonts w:ascii="Verdana" w:eastAsia="MS Mincho" w:hAnsi="Verdana" w:cs="Verdana"/>
          <w:sz w:val="20"/>
          <w:szCs w:val="20"/>
          <w:lang w:val="en-US" w:eastAsia="es-ES"/>
        </w:rPr>
        <w:t xml:space="preserve">The </w:t>
      </w:r>
      <w:r w:rsidRPr="00D869E3">
        <w:rPr>
          <w:rFonts w:ascii="Verdana" w:eastAsia="MS Mincho" w:hAnsi="Verdana" w:cs="Verdana"/>
          <w:b/>
          <w:bCs/>
          <w:i/>
          <w:iCs/>
          <w:sz w:val="20"/>
          <w:szCs w:val="20"/>
          <w:lang w:val="en-US" w:eastAsia="es-ES"/>
        </w:rPr>
        <w:t>representatives</w:t>
      </w:r>
      <w:r w:rsidR="004D6B60" w:rsidRPr="00D869E3">
        <w:rPr>
          <w:rFonts w:ascii="Verdana" w:eastAsia="MS Mincho" w:hAnsi="Verdana" w:cs="Verdana"/>
          <w:b/>
          <w:i/>
          <w:sz w:val="20"/>
          <w:szCs w:val="20"/>
          <w:lang w:val="en-US" w:eastAsia="es-ES"/>
        </w:rPr>
        <w:t xml:space="preserve"> </w:t>
      </w:r>
      <w:r w:rsidR="004D6B60" w:rsidRPr="00D869E3">
        <w:rPr>
          <w:rFonts w:ascii="Verdana" w:eastAsia="MS Mincho" w:hAnsi="Verdana" w:cs="Verdana"/>
          <w:sz w:val="20"/>
          <w:szCs w:val="20"/>
          <w:lang w:val="en-US" w:eastAsia="es-ES"/>
        </w:rPr>
        <w:t>a</w:t>
      </w:r>
      <w:r w:rsidR="006665C4" w:rsidRPr="00D869E3">
        <w:rPr>
          <w:rFonts w:ascii="Verdana" w:eastAsia="MS Mincho" w:hAnsi="Verdana" w:cs="Verdana"/>
          <w:sz w:val="20"/>
          <w:szCs w:val="20"/>
          <w:lang w:val="en-US" w:eastAsia="es-ES"/>
        </w:rPr>
        <w:t xml:space="preserve">rgued that the judicial confirmation of Mr. </w:t>
      </w:r>
      <w:r w:rsidR="004D6B60" w:rsidRPr="00D869E3">
        <w:rPr>
          <w:rFonts w:ascii="Verdana" w:eastAsia="MS Mincho" w:hAnsi="Verdana" w:cs="Verdana"/>
          <w:sz w:val="20"/>
          <w:szCs w:val="20"/>
          <w:lang w:val="en-US" w:eastAsia="es-ES"/>
        </w:rPr>
        <w:t>Lagos del Campo</w:t>
      </w:r>
      <w:r w:rsidR="00753FC6" w:rsidRPr="00D869E3">
        <w:rPr>
          <w:rFonts w:ascii="Verdana" w:eastAsia="MS Mincho" w:hAnsi="Verdana" w:cs="Verdana"/>
          <w:sz w:val="20"/>
          <w:szCs w:val="20"/>
          <w:lang w:val="en-US" w:eastAsia="es-ES"/>
        </w:rPr>
        <w:t>’s dismissal</w:t>
      </w:r>
      <w:r w:rsidR="004D6B60" w:rsidRPr="00D869E3">
        <w:rPr>
          <w:rFonts w:ascii="Verdana" w:eastAsia="MS Mincho" w:hAnsi="Verdana" w:cs="Verdana"/>
          <w:sz w:val="20"/>
          <w:szCs w:val="20"/>
          <w:lang w:val="en-US" w:eastAsia="es-ES"/>
        </w:rPr>
        <w:t xml:space="preserve"> </w:t>
      </w:r>
      <w:r w:rsidR="006665C4" w:rsidRPr="00D869E3">
        <w:rPr>
          <w:rFonts w:ascii="Verdana" w:eastAsia="MS Mincho" w:hAnsi="Verdana" w:cs="Verdana"/>
          <w:sz w:val="20"/>
          <w:szCs w:val="20"/>
          <w:lang w:val="en-US" w:eastAsia="es-ES"/>
        </w:rPr>
        <w:t>could have an intimidating effect on other individuals in a similar situation, or other workers who have been mistreated by their employers, leading them to be afraid to report irregularities such as those described in this case. Consequently, they argued that the judgment handed down by the Second Labor Court of Peru contributed to a work environment in which the workers could be afraid to report problems such as those in this case or other conflicts.</w:t>
      </w:r>
    </w:p>
    <w:p w14:paraId="0825D595" w14:textId="77777777" w:rsidR="006665C4" w:rsidRPr="00D869E3" w:rsidRDefault="006665C4" w:rsidP="006665C4">
      <w:pPr>
        <w:pStyle w:val="Prrafodelista"/>
        <w:rPr>
          <w:rFonts w:ascii="Verdana" w:eastAsia="MS Mincho" w:hAnsi="Verdana" w:cs="Verdana"/>
          <w:sz w:val="20"/>
          <w:szCs w:val="20"/>
          <w:lang w:val="en-US" w:eastAsia="es-ES"/>
        </w:rPr>
      </w:pPr>
    </w:p>
    <w:p w14:paraId="6E4514E2" w14:textId="0A37A297" w:rsidR="008B63E1" w:rsidRPr="00D869E3" w:rsidRDefault="00447C65" w:rsidP="008B63E1">
      <w:pPr>
        <w:numPr>
          <w:ilvl w:val="0"/>
          <w:numId w:val="1"/>
        </w:numPr>
        <w:ind w:left="0" w:firstLine="0"/>
        <w:contextualSpacing/>
        <w:jc w:val="both"/>
        <w:rPr>
          <w:rFonts w:ascii="Verdana" w:hAnsi="Verdana"/>
          <w:b/>
          <w:sz w:val="20"/>
          <w:szCs w:val="20"/>
          <w:lang w:val="en-US"/>
        </w:rPr>
      </w:pPr>
      <w:r w:rsidRPr="00D869E3">
        <w:rPr>
          <w:rFonts w:ascii="Verdana" w:hAnsi="Verdana"/>
          <w:sz w:val="20"/>
          <w:lang w:val="en-US"/>
        </w:rPr>
        <w:t xml:space="preserve">The </w:t>
      </w:r>
      <w:r w:rsidRPr="00D869E3">
        <w:rPr>
          <w:rFonts w:ascii="Verdana" w:hAnsi="Verdana"/>
          <w:b/>
          <w:bCs/>
          <w:i/>
          <w:iCs/>
          <w:sz w:val="20"/>
          <w:lang w:val="en-US"/>
        </w:rPr>
        <w:t>State</w:t>
      </w:r>
      <w:r w:rsidR="004D6B60" w:rsidRPr="00D869E3">
        <w:rPr>
          <w:rFonts w:ascii="Verdana" w:hAnsi="Verdana"/>
          <w:b/>
          <w:i/>
          <w:sz w:val="20"/>
          <w:szCs w:val="20"/>
          <w:lang w:val="en-US"/>
        </w:rPr>
        <w:t xml:space="preserve"> </w:t>
      </w:r>
      <w:r w:rsidR="006665C4" w:rsidRPr="00D869E3">
        <w:rPr>
          <w:rFonts w:ascii="Verdana" w:hAnsi="Verdana"/>
          <w:sz w:val="20"/>
          <w:szCs w:val="20"/>
          <w:lang w:val="en-US"/>
        </w:rPr>
        <w:t>argued that,</w:t>
      </w:r>
      <w:r w:rsidR="004D6B60" w:rsidRPr="00D869E3">
        <w:rPr>
          <w:rFonts w:ascii="Verdana" w:hAnsi="Verdana"/>
          <w:sz w:val="20"/>
          <w:szCs w:val="20"/>
          <w:lang w:val="en-US"/>
        </w:rPr>
        <w:t xml:space="preserve"> </w:t>
      </w:r>
      <w:r w:rsidR="006665C4" w:rsidRPr="00D869E3">
        <w:rPr>
          <w:rFonts w:ascii="Verdana" w:hAnsi="Verdana"/>
          <w:sz w:val="20"/>
          <w:szCs w:val="20"/>
          <w:lang w:val="en-US"/>
        </w:rPr>
        <w:t>since Mr. Lagos del Campo was not a representative of the workers or a labor union leader, and therefore did not have the corresponding protection</w:t>
      </w:r>
      <w:r w:rsidR="004D6B60" w:rsidRPr="00D869E3">
        <w:rPr>
          <w:rFonts w:ascii="Verdana" w:hAnsi="Verdana"/>
          <w:sz w:val="20"/>
          <w:szCs w:val="20"/>
          <w:lang w:val="en-US"/>
        </w:rPr>
        <w:t xml:space="preserve">, </w:t>
      </w:r>
      <w:r w:rsidR="006665C4" w:rsidRPr="00D869E3">
        <w:rPr>
          <w:rFonts w:ascii="Verdana" w:hAnsi="Verdana"/>
          <w:sz w:val="20"/>
          <w:szCs w:val="20"/>
          <w:lang w:val="en-US"/>
        </w:rPr>
        <w:t xml:space="preserve">his freedom of association was not violated as a result of the presumed violation of his </w:t>
      </w:r>
      <w:r w:rsidR="00A62EA8" w:rsidRPr="00D869E3">
        <w:rPr>
          <w:rFonts w:ascii="Verdana" w:hAnsi="Verdana"/>
          <w:sz w:val="20"/>
          <w:szCs w:val="20"/>
          <w:lang w:val="en-US"/>
        </w:rPr>
        <w:t>freedom of expression</w:t>
      </w:r>
      <w:r w:rsidR="004D6B60" w:rsidRPr="00D869E3">
        <w:rPr>
          <w:rFonts w:ascii="Verdana" w:hAnsi="Verdana"/>
          <w:sz w:val="20"/>
          <w:szCs w:val="20"/>
          <w:lang w:val="en-US"/>
        </w:rPr>
        <w:t xml:space="preserve">. </w:t>
      </w:r>
      <w:r w:rsidR="00753FC6" w:rsidRPr="00D869E3">
        <w:rPr>
          <w:rFonts w:ascii="Verdana" w:hAnsi="Verdana"/>
          <w:sz w:val="20"/>
          <w:szCs w:val="20"/>
          <w:lang w:val="en-US"/>
        </w:rPr>
        <w:t>The</w:t>
      </w:r>
      <w:r w:rsidRPr="00D869E3">
        <w:rPr>
          <w:rFonts w:ascii="Verdana" w:hAnsi="Verdana"/>
          <w:sz w:val="20"/>
          <w:szCs w:val="20"/>
          <w:lang w:val="en-US"/>
        </w:rPr>
        <w:t xml:space="preserve"> State</w:t>
      </w:r>
      <w:r w:rsidR="004D6B60" w:rsidRPr="00D869E3">
        <w:rPr>
          <w:rFonts w:ascii="Verdana" w:hAnsi="Verdana"/>
          <w:sz w:val="20"/>
          <w:szCs w:val="20"/>
          <w:lang w:val="en-US"/>
        </w:rPr>
        <w:t xml:space="preserve"> </w:t>
      </w:r>
      <w:r w:rsidR="00753FC6" w:rsidRPr="00D869E3">
        <w:rPr>
          <w:rFonts w:ascii="Verdana" w:hAnsi="Verdana"/>
          <w:sz w:val="20"/>
          <w:szCs w:val="20"/>
          <w:lang w:val="en-US"/>
        </w:rPr>
        <w:t xml:space="preserve">also </w:t>
      </w:r>
      <w:r w:rsidR="006665C4" w:rsidRPr="00D869E3">
        <w:rPr>
          <w:rFonts w:ascii="Verdana" w:hAnsi="Verdana"/>
          <w:sz w:val="20"/>
          <w:szCs w:val="20"/>
          <w:lang w:val="en-US"/>
        </w:rPr>
        <w:t>argued that</w:t>
      </w:r>
      <w:r w:rsidR="008B63E1" w:rsidRPr="00D869E3">
        <w:rPr>
          <w:rFonts w:ascii="Verdana" w:hAnsi="Verdana"/>
          <w:sz w:val="20"/>
          <w:szCs w:val="20"/>
          <w:lang w:val="en-US"/>
        </w:rPr>
        <w:t xml:space="preserve"> there could not be any intimidating effect for other workers in relation to their membership in </w:t>
      </w:r>
      <w:r w:rsidR="00EA232B" w:rsidRPr="00D869E3">
        <w:rPr>
          <w:rFonts w:ascii="Verdana" w:hAnsi="Verdana"/>
          <w:sz w:val="20"/>
          <w:szCs w:val="20"/>
          <w:lang w:val="en-US"/>
        </w:rPr>
        <w:t>the Industrial Community</w:t>
      </w:r>
      <w:r w:rsidR="004D6B60" w:rsidRPr="00D869E3">
        <w:rPr>
          <w:rFonts w:ascii="Verdana" w:hAnsi="Verdana"/>
          <w:sz w:val="20"/>
          <w:szCs w:val="20"/>
          <w:lang w:val="en-US"/>
        </w:rPr>
        <w:t xml:space="preserve">, </w:t>
      </w:r>
      <w:r w:rsidR="008B63E1" w:rsidRPr="00D869E3">
        <w:rPr>
          <w:rFonts w:ascii="Verdana" w:hAnsi="Verdana"/>
          <w:sz w:val="20"/>
          <w:szCs w:val="20"/>
          <w:lang w:val="en-US"/>
        </w:rPr>
        <w:t>because membership of th</w:t>
      </w:r>
      <w:r w:rsidR="00432C64" w:rsidRPr="00D869E3">
        <w:rPr>
          <w:rFonts w:ascii="Verdana" w:hAnsi="Verdana"/>
          <w:sz w:val="20"/>
          <w:szCs w:val="20"/>
          <w:lang w:val="en-US"/>
        </w:rPr>
        <w:t>at</w:t>
      </w:r>
      <w:r w:rsidR="008B63E1" w:rsidRPr="00D869E3">
        <w:rPr>
          <w:rFonts w:ascii="Verdana" w:hAnsi="Verdana"/>
          <w:sz w:val="20"/>
          <w:szCs w:val="20"/>
          <w:lang w:val="en-US"/>
        </w:rPr>
        <w:t xml:space="preserve"> Community did not depend on </w:t>
      </w:r>
      <w:r w:rsidR="00432C64" w:rsidRPr="00D869E3">
        <w:rPr>
          <w:rFonts w:ascii="Verdana" w:hAnsi="Verdana"/>
          <w:sz w:val="20"/>
          <w:szCs w:val="20"/>
          <w:lang w:val="en-US"/>
        </w:rPr>
        <w:t>them;</w:t>
      </w:r>
      <w:r w:rsidR="008B63E1" w:rsidRPr="00D869E3">
        <w:rPr>
          <w:rFonts w:ascii="Verdana" w:hAnsi="Verdana"/>
          <w:sz w:val="20"/>
          <w:szCs w:val="20"/>
          <w:lang w:val="en-US"/>
        </w:rPr>
        <w:t xml:space="preserve"> rather it was established in the applicable law in force at the time. Lastly, it argued that no proof had been submitted with regard to the presumed intimidation and/or fear caused to the workers owing to possible loss of their jobs.</w:t>
      </w:r>
    </w:p>
    <w:p w14:paraId="6AEDF954" w14:textId="1E383B3B" w:rsidR="004D6B60" w:rsidRPr="00D869E3" w:rsidRDefault="008B63E1" w:rsidP="008B63E1">
      <w:pPr>
        <w:contextualSpacing/>
        <w:jc w:val="both"/>
        <w:rPr>
          <w:rFonts w:ascii="Verdana" w:hAnsi="Verdana"/>
          <w:b/>
          <w:sz w:val="20"/>
          <w:szCs w:val="20"/>
          <w:lang w:val="en-US"/>
        </w:rPr>
      </w:pPr>
      <w:r w:rsidRPr="00D869E3">
        <w:rPr>
          <w:rFonts w:ascii="Verdana" w:hAnsi="Verdana"/>
          <w:b/>
          <w:sz w:val="20"/>
          <w:szCs w:val="20"/>
          <w:lang w:val="en-US"/>
        </w:rPr>
        <w:t xml:space="preserve"> </w:t>
      </w:r>
    </w:p>
    <w:p w14:paraId="1D4048BB" w14:textId="0854137A" w:rsidR="004D6B60" w:rsidRPr="00D869E3" w:rsidRDefault="008E0F63" w:rsidP="00E66DD7">
      <w:pPr>
        <w:pStyle w:val="Ttulo3"/>
        <w:numPr>
          <w:ilvl w:val="0"/>
          <w:numId w:val="18"/>
        </w:numPr>
        <w:rPr>
          <w:b w:val="0"/>
          <w:i/>
          <w:iCs/>
          <w:szCs w:val="20"/>
          <w:lang w:val="en-US"/>
        </w:rPr>
      </w:pPr>
      <w:bookmarkStart w:id="38" w:name="_Toc29114129"/>
      <w:r w:rsidRPr="00D869E3">
        <w:rPr>
          <w:i/>
          <w:iCs/>
          <w:szCs w:val="20"/>
          <w:lang w:val="en-US"/>
        </w:rPr>
        <w:t>D</w:t>
      </w:r>
      <w:r w:rsidR="008B63E1" w:rsidRPr="00D869E3">
        <w:rPr>
          <w:i/>
          <w:iCs/>
          <w:szCs w:val="20"/>
          <w:lang w:val="en-US"/>
        </w:rPr>
        <w:t>omestic legal effects</w:t>
      </w:r>
      <w:bookmarkEnd w:id="38"/>
    </w:p>
    <w:p w14:paraId="0E63871A" w14:textId="77777777" w:rsidR="00625FAD" w:rsidRPr="00D869E3" w:rsidRDefault="00625FAD" w:rsidP="00CB5A95">
      <w:pPr>
        <w:autoSpaceDE w:val="0"/>
        <w:autoSpaceDN w:val="0"/>
        <w:adjustRightInd w:val="0"/>
        <w:contextualSpacing/>
        <w:jc w:val="both"/>
        <w:rPr>
          <w:rFonts w:ascii="Verdana" w:hAnsi="Verdana"/>
          <w:b/>
          <w:sz w:val="20"/>
          <w:lang w:val="en-US"/>
        </w:rPr>
      </w:pPr>
    </w:p>
    <w:p w14:paraId="01060B21" w14:textId="308F1542" w:rsidR="002F1386" w:rsidRPr="00D869E3" w:rsidRDefault="00447C65" w:rsidP="008B63E1">
      <w:pPr>
        <w:numPr>
          <w:ilvl w:val="0"/>
          <w:numId w:val="1"/>
        </w:numPr>
        <w:ind w:left="0" w:hanging="11"/>
        <w:contextualSpacing/>
        <w:jc w:val="both"/>
        <w:rPr>
          <w:rFonts w:ascii="Verdana" w:hAnsi="Verdana"/>
          <w:sz w:val="20"/>
          <w:szCs w:val="20"/>
          <w:lang w:val="en-US" w:eastAsia="es-E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2F1386" w:rsidRPr="00D869E3">
        <w:rPr>
          <w:rFonts w:ascii="Verdana" w:hAnsi="Verdana"/>
          <w:i/>
          <w:sz w:val="20"/>
          <w:szCs w:val="20"/>
          <w:lang w:val="en-US"/>
        </w:rPr>
        <w:t xml:space="preserve"> </w:t>
      </w:r>
      <w:r w:rsidR="002F1386" w:rsidRPr="00D869E3">
        <w:rPr>
          <w:rFonts w:ascii="Verdana" w:hAnsi="Verdana"/>
          <w:sz w:val="20"/>
          <w:szCs w:val="20"/>
          <w:lang w:val="en-US"/>
        </w:rPr>
        <w:t>consider</w:t>
      </w:r>
      <w:r w:rsidR="008B63E1" w:rsidRPr="00D869E3">
        <w:rPr>
          <w:rFonts w:ascii="Verdana" w:hAnsi="Verdana"/>
          <w:sz w:val="20"/>
          <w:szCs w:val="20"/>
          <w:lang w:val="en-US"/>
        </w:rPr>
        <w:t>ed that the laws on which the dismissal of</w:t>
      </w:r>
      <w:r w:rsidR="002F1386" w:rsidRPr="00D869E3">
        <w:rPr>
          <w:rFonts w:ascii="Verdana" w:hAnsi="Verdana"/>
          <w:sz w:val="20"/>
          <w:szCs w:val="20"/>
          <w:lang w:val="en-US"/>
        </w:rPr>
        <w:t xml:space="preserve">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2F1386" w:rsidRPr="00D869E3">
        <w:rPr>
          <w:rFonts w:ascii="Verdana" w:hAnsi="Verdana"/>
          <w:sz w:val="20"/>
          <w:szCs w:val="20"/>
          <w:lang w:val="en-US"/>
        </w:rPr>
        <w:t xml:space="preserve"> </w:t>
      </w:r>
      <w:r w:rsidR="008B63E1" w:rsidRPr="00D869E3">
        <w:rPr>
          <w:rFonts w:ascii="Verdana" w:hAnsi="Verdana"/>
          <w:sz w:val="20"/>
          <w:szCs w:val="20"/>
          <w:lang w:val="en-US"/>
        </w:rPr>
        <w:t>was based were vague and imprecise, because they failed to delimit the</w:t>
      </w:r>
      <w:r w:rsidR="00432C64" w:rsidRPr="00D869E3">
        <w:rPr>
          <w:rFonts w:ascii="Verdana" w:hAnsi="Verdana"/>
          <w:sz w:val="20"/>
          <w:szCs w:val="20"/>
          <w:lang w:val="en-US"/>
        </w:rPr>
        <w:t>ir</w:t>
      </w:r>
      <w:r w:rsidR="008B63E1" w:rsidRPr="00D869E3">
        <w:rPr>
          <w:rFonts w:ascii="Verdana" w:hAnsi="Verdana"/>
          <w:sz w:val="20"/>
          <w:szCs w:val="20"/>
          <w:lang w:val="en-US"/>
        </w:rPr>
        <w:t xml:space="preserve"> sphere of application </w:t>
      </w:r>
      <w:r w:rsidR="00432C64" w:rsidRPr="00D869E3">
        <w:rPr>
          <w:rFonts w:ascii="Verdana" w:hAnsi="Verdana"/>
          <w:sz w:val="20"/>
          <w:szCs w:val="20"/>
          <w:lang w:val="en-US"/>
        </w:rPr>
        <w:t xml:space="preserve">so as </w:t>
      </w:r>
      <w:r w:rsidR="008B63E1" w:rsidRPr="00D869E3">
        <w:rPr>
          <w:rFonts w:ascii="Verdana" w:hAnsi="Verdana"/>
          <w:sz w:val="20"/>
          <w:szCs w:val="20"/>
          <w:lang w:val="en-US"/>
        </w:rPr>
        <w:t xml:space="preserve">to protect statements on matters of public interest or </w:t>
      </w:r>
      <w:r w:rsidR="00432C64" w:rsidRPr="00D869E3">
        <w:rPr>
          <w:rFonts w:ascii="Verdana" w:hAnsi="Verdana"/>
          <w:sz w:val="20"/>
          <w:szCs w:val="20"/>
          <w:lang w:val="en-US"/>
        </w:rPr>
        <w:t xml:space="preserve">declarations made </w:t>
      </w:r>
      <w:r w:rsidR="008B63E1" w:rsidRPr="00D869E3">
        <w:rPr>
          <w:rFonts w:ascii="Verdana" w:hAnsi="Verdana"/>
          <w:sz w:val="20"/>
          <w:szCs w:val="20"/>
          <w:lang w:val="en-US"/>
        </w:rPr>
        <w:t>by worker</w:t>
      </w:r>
      <w:r w:rsidR="00432C64" w:rsidRPr="00D869E3">
        <w:rPr>
          <w:rFonts w:ascii="Verdana" w:hAnsi="Verdana"/>
          <w:sz w:val="20"/>
          <w:szCs w:val="20"/>
          <w:lang w:val="en-US"/>
        </w:rPr>
        <w:t>s’</w:t>
      </w:r>
      <w:r w:rsidR="008B63E1" w:rsidRPr="00D869E3">
        <w:rPr>
          <w:rFonts w:ascii="Verdana" w:hAnsi="Verdana"/>
          <w:sz w:val="20"/>
          <w:szCs w:val="20"/>
          <w:lang w:val="en-US"/>
        </w:rPr>
        <w:t xml:space="preserve"> representatives, speaking in th</w:t>
      </w:r>
      <w:r w:rsidR="00432C64" w:rsidRPr="00D869E3">
        <w:rPr>
          <w:rFonts w:ascii="Verdana" w:hAnsi="Verdana"/>
          <w:sz w:val="20"/>
          <w:szCs w:val="20"/>
          <w:lang w:val="en-US"/>
        </w:rPr>
        <w:t>at</w:t>
      </w:r>
      <w:r w:rsidR="008B63E1" w:rsidRPr="00D869E3">
        <w:rPr>
          <w:rFonts w:ascii="Verdana" w:hAnsi="Verdana"/>
          <w:sz w:val="20"/>
          <w:szCs w:val="20"/>
          <w:lang w:val="en-US"/>
        </w:rPr>
        <w:t xml:space="preserve"> capacity. In this regard, it indicated that, in light of the fact that Mr. Lagos del Campo’s right to freedom of expression having been violated as a </w:t>
      </w:r>
      <w:r w:rsidR="008B63E1" w:rsidRPr="00D869E3">
        <w:rPr>
          <w:rFonts w:ascii="Verdana" w:hAnsi="Verdana"/>
          <w:sz w:val="20"/>
          <w:szCs w:val="20"/>
          <w:lang w:val="en-US"/>
        </w:rPr>
        <w:lastRenderedPageBreak/>
        <w:t>result of the application of a law that did not meet legal requirements, the State also failed to comply with</w:t>
      </w:r>
      <w:r w:rsidR="008B63E1" w:rsidRPr="00D869E3">
        <w:rPr>
          <w:rFonts w:ascii="Verdana" w:hAnsi="Verdana"/>
          <w:sz w:val="20"/>
          <w:szCs w:val="20"/>
          <w:lang w:val="en-US" w:eastAsia="es-ES"/>
        </w:rPr>
        <w:t xml:space="preserve"> </w:t>
      </w:r>
      <w:r w:rsidRPr="00D869E3">
        <w:rPr>
          <w:rFonts w:ascii="Verdana" w:hAnsi="Verdana"/>
          <w:sz w:val="20"/>
          <w:szCs w:val="20"/>
          <w:lang w:val="en-US"/>
        </w:rPr>
        <w:t>Article</w:t>
      </w:r>
      <w:r w:rsidR="002F1386" w:rsidRPr="00D869E3">
        <w:rPr>
          <w:rFonts w:ascii="Verdana" w:hAnsi="Verdana"/>
          <w:sz w:val="20"/>
          <w:szCs w:val="20"/>
          <w:lang w:val="en-US"/>
        </w:rPr>
        <w:t xml:space="preserve"> 2</w:t>
      </w:r>
      <w:r w:rsidRPr="00D869E3">
        <w:rPr>
          <w:rFonts w:ascii="Verdana" w:hAnsi="Verdana"/>
          <w:sz w:val="20"/>
          <w:szCs w:val="20"/>
          <w:lang w:val="en-US"/>
        </w:rPr>
        <w:t xml:space="preserve"> of the American Convention</w:t>
      </w:r>
      <w:r w:rsidR="003304E1" w:rsidRPr="00D869E3">
        <w:rPr>
          <w:rFonts w:ascii="Verdana" w:hAnsi="Verdana"/>
          <w:sz w:val="20"/>
          <w:szCs w:val="20"/>
          <w:lang w:val="en-US"/>
        </w:rPr>
        <w:t>.</w:t>
      </w:r>
      <w:r w:rsidR="002F1386" w:rsidRPr="00D869E3">
        <w:rPr>
          <w:rFonts w:ascii="Verdana" w:hAnsi="Verdana"/>
          <w:sz w:val="20"/>
          <w:szCs w:val="20"/>
          <w:lang w:val="en-US"/>
        </w:rPr>
        <w:t xml:space="preserve"> </w:t>
      </w:r>
    </w:p>
    <w:p w14:paraId="06735E69" w14:textId="77777777" w:rsidR="002F1386" w:rsidRPr="00D869E3" w:rsidRDefault="002F1386" w:rsidP="005D0F69">
      <w:pPr>
        <w:jc w:val="both"/>
        <w:rPr>
          <w:rFonts w:ascii="Verdana" w:hAnsi="Verdana"/>
          <w:sz w:val="20"/>
          <w:szCs w:val="20"/>
          <w:lang w:val="en-US"/>
        </w:rPr>
      </w:pPr>
    </w:p>
    <w:p w14:paraId="6B2D8144" w14:textId="4A7D16AC" w:rsidR="004D6B60" w:rsidRPr="00D869E3" w:rsidRDefault="00687684" w:rsidP="008B63E1">
      <w:pPr>
        <w:pStyle w:val="Prrafodelista"/>
        <w:numPr>
          <w:ilvl w:val="0"/>
          <w:numId w:val="1"/>
        </w:numPr>
        <w:ind w:left="0" w:firstLine="70"/>
        <w:jc w:val="both"/>
        <w:rPr>
          <w:rFonts w:ascii="Verdana" w:hAnsi="Verdana"/>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representatives</w:t>
      </w:r>
      <w:r w:rsidR="000F0E92" w:rsidRPr="00D869E3">
        <w:rPr>
          <w:rFonts w:ascii="Verdana" w:hAnsi="Verdana"/>
          <w:sz w:val="20"/>
          <w:szCs w:val="20"/>
          <w:lang w:val="en-US"/>
        </w:rPr>
        <w:t xml:space="preserve"> </w:t>
      </w:r>
      <w:r w:rsidR="008B63E1" w:rsidRPr="00D869E3">
        <w:rPr>
          <w:rFonts w:ascii="Verdana" w:hAnsi="Verdana"/>
          <w:sz w:val="20"/>
          <w:szCs w:val="20"/>
          <w:lang w:val="en-US"/>
        </w:rPr>
        <w:t xml:space="preserve">agreed with the Commission’s argument on the incompatibility between paragraph (h) of article 5 of Law </w:t>
      </w:r>
      <w:r w:rsidR="000F0E92" w:rsidRPr="00D869E3">
        <w:rPr>
          <w:rFonts w:ascii="Verdana" w:hAnsi="Verdana"/>
          <w:sz w:val="20"/>
          <w:szCs w:val="20"/>
          <w:lang w:val="en-US"/>
        </w:rPr>
        <w:t>No. 24514</w:t>
      </w:r>
      <w:r w:rsidRPr="00D869E3">
        <w:rPr>
          <w:rFonts w:ascii="Verdana" w:hAnsi="Verdana"/>
          <w:sz w:val="20"/>
          <w:szCs w:val="20"/>
          <w:lang w:val="en-US"/>
        </w:rPr>
        <w:t xml:space="preserve"> and </w:t>
      </w:r>
      <w:r w:rsidR="00447C65" w:rsidRPr="00D869E3">
        <w:rPr>
          <w:rFonts w:ascii="Verdana" w:hAnsi="Verdana"/>
          <w:sz w:val="20"/>
          <w:szCs w:val="20"/>
          <w:lang w:val="en-US"/>
        </w:rPr>
        <w:t>Article</w:t>
      </w:r>
      <w:r w:rsidR="000F0E92" w:rsidRPr="00D869E3">
        <w:rPr>
          <w:rFonts w:ascii="Verdana" w:hAnsi="Verdana"/>
          <w:sz w:val="20"/>
          <w:szCs w:val="20"/>
          <w:lang w:val="en-US"/>
        </w:rPr>
        <w:t xml:space="preserve"> 2</w:t>
      </w:r>
      <w:r w:rsidR="00447C65" w:rsidRPr="00D869E3">
        <w:rPr>
          <w:rFonts w:ascii="Verdana" w:hAnsi="Verdana"/>
          <w:sz w:val="20"/>
          <w:szCs w:val="20"/>
          <w:lang w:val="en-US"/>
        </w:rPr>
        <w:t xml:space="preserve"> of the American Convention</w:t>
      </w:r>
      <w:r w:rsidR="000F0E92" w:rsidRPr="00D869E3">
        <w:rPr>
          <w:rFonts w:ascii="Verdana" w:hAnsi="Verdana"/>
          <w:sz w:val="20"/>
          <w:szCs w:val="20"/>
          <w:lang w:val="en-US"/>
        </w:rPr>
        <w:t xml:space="preserve">. </w:t>
      </w:r>
      <w:r w:rsidR="008B63E1" w:rsidRPr="00D869E3">
        <w:rPr>
          <w:rFonts w:ascii="Verdana" w:hAnsi="Verdana"/>
          <w:sz w:val="20"/>
          <w:szCs w:val="20"/>
          <w:lang w:val="en-US"/>
        </w:rPr>
        <w:t>In addition, they argued that Legislative Decree</w:t>
      </w:r>
      <w:r w:rsidR="000F0E92" w:rsidRPr="00D869E3">
        <w:rPr>
          <w:rFonts w:ascii="Verdana" w:hAnsi="Verdana"/>
          <w:sz w:val="20"/>
          <w:szCs w:val="20"/>
          <w:lang w:val="en-US"/>
        </w:rPr>
        <w:t xml:space="preserve"> No. 728, </w:t>
      </w:r>
      <w:r w:rsidR="008B63E1" w:rsidRPr="00D869E3">
        <w:rPr>
          <w:rFonts w:ascii="Verdana" w:hAnsi="Verdana"/>
          <w:sz w:val="20"/>
          <w:szCs w:val="20"/>
          <w:lang w:val="en-US"/>
        </w:rPr>
        <w:t xml:space="preserve">which derogated Law </w:t>
      </w:r>
      <w:r w:rsidR="000F0E92" w:rsidRPr="00D869E3">
        <w:rPr>
          <w:rFonts w:ascii="Verdana" w:hAnsi="Verdana"/>
          <w:sz w:val="20"/>
          <w:szCs w:val="20"/>
          <w:lang w:val="en-US"/>
        </w:rPr>
        <w:t xml:space="preserve">No. 24514, </w:t>
      </w:r>
      <w:r w:rsidR="008B63E1" w:rsidRPr="00D869E3">
        <w:rPr>
          <w:rFonts w:ascii="Verdana" w:hAnsi="Verdana"/>
          <w:sz w:val="20"/>
          <w:szCs w:val="20"/>
          <w:lang w:val="en-US"/>
        </w:rPr>
        <w:t>suffered from the same defects as the law applied in th</w:t>
      </w:r>
      <w:r w:rsidR="00432C64" w:rsidRPr="00D869E3">
        <w:rPr>
          <w:rFonts w:ascii="Verdana" w:hAnsi="Verdana"/>
          <w:sz w:val="20"/>
          <w:szCs w:val="20"/>
          <w:lang w:val="en-US"/>
        </w:rPr>
        <w:t>is</w:t>
      </w:r>
      <w:r w:rsidR="008B63E1" w:rsidRPr="00D869E3">
        <w:rPr>
          <w:rFonts w:ascii="Verdana" w:hAnsi="Verdana"/>
          <w:sz w:val="20"/>
          <w:szCs w:val="20"/>
          <w:lang w:val="en-US"/>
        </w:rPr>
        <w:t xml:space="preserve"> specific case. Consequently, they asked the Court to examine the compatibility of a</w:t>
      </w:r>
      <w:r w:rsidR="00447C65" w:rsidRPr="00D869E3">
        <w:rPr>
          <w:rFonts w:ascii="Verdana" w:hAnsi="Verdana"/>
          <w:sz w:val="20"/>
          <w:szCs w:val="20"/>
          <w:lang w:val="en-US"/>
        </w:rPr>
        <w:t>rticle</w:t>
      </w:r>
      <w:r w:rsidR="000F0E92" w:rsidRPr="00D869E3">
        <w:rPr>
          <w:rFonts w:ascii="Verdana" w:hAnsi="Verdana"/>
          <w:sz w:val="20"/>
          <w:szCs w:val="20"/>
          <w:lang w:val="en-US"/>
        </w:rPr>
        <w:t xml:space="preserve"> 25</w:t>
      </w:r>
      <w:r w:rsidR="008B63E1" w:rsidRPr="00D869E3">
        <w:rPr>
          <w:rFonts w:ascii="Verdana" w:hAnsi="Verdana"/>
          <w:sz w:val="20"/>
          <w:szCs w:val="20"/>
          <w:lang w:val="en-US"/>
        </w:rPr>
        <w:t xml:space="preserve"> of Legislative Decree</w:t>
      </w:r>
      <w:r w:rsidR="000F0E92" w:rsidRPr="00D869E3">
        <w:rPr>
          <w:rFonts w:ascii="Verdana" w:hAnsi="Verdana"/>
          <w:sz w:val="20"/>
          <w:szCs w:val="20"/>
          <w:lang w:val="en-US"/>
        </w:rPr>
        <w:t xml:space="preserve"> No. 728</w:t>
      </w:r>
      <w:r w:rsidRPr="00D869E3">
        <w:rPr>
          <w:rFonts w:ascii="Verdana" w:hAnsi="Verdana"/>
          <w:sz w:val="20"/>
          <w:szCs w:val="20"/>
          <w:lang w:val="en-US"/>
        </w:rPr>
        <w:t xml:space="preserve"> </w:t>
      </w:r>
      <w:r w:rsidR="00432C64" w:rsidRPr="00D869E3">
        <w:rPr>
          <w:rFonts w:ascii="Verdana" w:hAnsi="Verdana"/>
          <w:sz w:val="20"/>
          <w:szCs w:val="20"/>
          <w:lang w:val="en-US"/>
        </w:rPr>
        <w:t>with</w:t>
      </w:r>
      <w:r w:rsidRPr="00D869E3">
        <w:rPr>
          <w:rFonts w:ascii="Verdana" w:hAnsi="Verdana"/>
          <w:sz w:val="20"/>
          <w:szCs w:val="20"/>
          <w:lang w:val="en-US"/>
        </w:rPr>
        <w:t xml:space="preserve"> </w:t>
      </w:r>
      <w:r w:rsidR="00447C65" w:rsidRPr="00D869E3">
        <w:rPr>
          <w:rFonts w:ascii="Verdana" w:hAnsi="Verdana"/>
          <w:sz w:val="20"/>
          <w:szCs w:val="20"/>
          <w:lang w:val="en-US"/>
        </w:rPr>
        <w:t>the American Convention</w:t>
      </w:r>
    </w:p>
    <w:p w14:paraId="04B5AD25" w14:textId="77777777" w:rsidR="004D6B60" w:rsidRPr="00D869E3" w:rsidRDefault="004D6B60" w:rsidP="005D0F69">
      <w:pPr>
        <w:autoSpaceDE w:val="0"/>
        <w:autoSpaceDN w:val="0"/>
        <w:adjustRightInd w:val="0"/>
        <w:contextualSpacing/>
        <w:jc w:val="both"/>
        <w:rPr>
          <w:rFonts w:ascii="Verdana" w:hAnsi="Verdana"/>
          <w:sz w:val="20"/>
          <w:lang w:val="en-US"/>
        </w:rPr>
      </w:pPr>
    </w:p>
    <w:p w14:paraId="7182B7AB" w14:textId="0E0DE5B5" w:rsidR="0055376B" w:rsidRPr="00D869E3" w:rsidRDefault="00447C65" w:rsidP="008B63E1">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55376B" w:rsidRPr="00D869E3">
        <w:rPr>
          <w:rFonts w:ascii="Verdana" w:hAnsi="Verdana"/>
          <w:b/>
          <w:bCs/>
          <w:i/>
          <w:iCs/>
          <w:sz w:val="20"/>
          <w:szCs w:val="20"/>
          <w:lang w:val="en-US"/>
        </w:rPr>
        <w:t xml:space="preserve"> </w:t>
      </w:r>
      <w:r w:rsidR="008B63E1" w:rsidRPr="00D869E3">
        <w:rPr>
          <w:rFonts w:ascii="Verdana" w:hAnsi="Verdana"/>
          <w:sz w:val="20"/>
          <w:szCs w:val="20"/>
          <w:lang w:val="en-US"/>
        </w:rPr>
        <w:t>argued that</w:t>
      </w:r>
      <w:r w:rsidR="0055376B" w:rsidRPr="00D869E3">
        <w:rPr>
          <w:rFonts w:ascii="Verdana" w:hAnsi="Verdana"/>
          <w:sz w:val="20"/>
          <w:szCs w:val="20"/>
          <w:lang w:val="en-US"/>
        </w:rPr>
        <w:t xml:space="preserve"> </w:t>
      </w:r>
      <w:r w:rsidR="008B63E1" w:rsidRPr="00D869E3">
        <w:rPr>
          <w:rFonts w:ascii="Verdana" w:hAnsi="Verdana"/>
          <w:sz w:val="20"/>
          <w:szCs w:val="20"/>
          <w:lang w:val="en-US"/>
        </w:rPr>
        <w:t>a</w:t>
      </w:r>
      <w:r w:rsidRPr="00D869E3">
        <w:rPr>
          <w:rFonts w:ascii="Verdana" w:hAnsi="Verdana"/>
          <w:sz w:val="20"/>
          <w:szCs w:val="20"/>
          <w:lang w:val="en-US"/>
        </w:rPr>
        <w:t>rticle</w:t>
      </w:r>
      <w:r w:rsidR="0055376B" w:rsidRPr="00D869E3">
        <w:rPr>
          <w:rFonts w:ascii="Verdana" w:hAnsi="Verdana"/>
          <w:sz w:val="20"/>
          <w:szCs w:val="20"/>
          <w:lang w:val="en-US"/>
        </w:rPr>
        <w:t xml:space="preserve"> 5 </w:t>
      </w:r>
      <w:r w:rsidR="008B63E1" w:rsidRPr="00D869E3">
        <w:rPr>
          <w:rFonts w:ascii="Verdana" w:hAnsi="Verdana"/>
          <w:sz w:val="20"/>
          <w:szCs w:val="20"/>
          <w:lang w:val="en-US"/>
        </w:rPr>
        <w:t xml:space="preserve">of Law </w:t>
      </w:r>
      <w:r w:rsidR="0055376B" w:rsidRPr="00D869E3">
        <w:rPr>
          <w:rFonts w:ascii="Verdana" w:hAnsi="Verdana"/>
          <w:sz w:val="20"/>
          <w:szCs w:val="20"/>
          <w:lang w:val="en-US"/>
        </w:rPr>
        <w:t xml:space="preserve">No. 24514 </w:t>
      </w:r>
      <w:r w:rsidR="008B63E1" w:rsidRPr="00D869E3">
        <w:rPr>
          <w:rFonts w:ascii="Verdana" w:hAnsi="Verdana"/>
          <w:sz w:val="20"/>
          <w:szCs w:val="20"/>
          <w:lang w:val="en-US"/>
        </w:rPr>
        <w:t xml:space="preserve">was not vague and imprecise because it did not delimit its sphere of application with regard to matters of public interest or with regard to statements made by representatives acting as such. However, Mr. Lagos del Campo was not a </w:t>
      </w:r>
      <w:r w:rsidR="00432C64" w:rsidRPr="00D869E3">
        <w:rPr>
          <w:rFonts w:ascii="Verdana" w:hAnsi="Verdana"/>
          <w:sz w:val="20"/>
          <w:szCs w:val="20"/>
          <w:lang w:val="en-US"/>
        </w:rPr>
        <w:t>workers’</w:t>
      </w:r>
      <w:r w:rsidR="008B63E1" w:rsidRPr="00D869E3">
        <w:rPr>
          <w:rFonts w:ascii="Verdana" w:hAnsi="Verdana"/>
          <w:sz w:val="20"/>
          <w:szCs w:val="20"/>
          <w:lang w:val="en-US"/>
        </w:rPr>
        <w:t xml:space="preserve"> representative and, therefore, his statements were not of public interest. Furthermore, and despite the foregoing, it argued that the constitutionality of </w:t>
      </w:r>
      <w:r w:rsidR="00852CCA" w:rsidRPr="00D869E3">
        <w:rPr>
          <w:rFonts w:ascii="Verdana" w:hAnsi="Verdana"/>
          <w:sz w:val="20"/>
          <w:szCs w:val="20"/>
          <w:lang w:val="en-US"/>
        </w:rPr>
        <w:t>Law</w:t>
      </w:r>
      <w:r w:rsidR="0055376B" w:rsidRPr="00D869E3">
        <w:rPr>
          <w:rFonts w:ascii="Verdana" w:hAnsi="Verdana"/>
          <w:sz w:val="20"/>
          <w:szCs w:val="20"/>
          <w:lang w:val="en-US"/>
        </w:rPr>
        <w:t xml:space="preserve"> No. 24514 </w:t>
      </w:r>
      <w:r w:rsidR="008B63E1" w:rsidRPr="00D869E3">
        <w:rPr>
          <w:rFonts w:ascii="Verdana" w:hAnsi="Verdana"/>
          <w:sz w:val="20"/>
          <w:szCs w:val="20"/>
          <w:lang w:val="en-US"/>
        </w:rPr>
        <w:t xml:space="preserve">had never been questioned by the respective domestic mechanisms </w:t>
      </w:r>
      <w:r w:rsidR="00432C64" w:rsidRPr="00D869E3">
        <w:rPr>
          <w:rFonts w:ascii="Verdana" w:hAnsi="Verdana"/>
          <w:sz w:val="20"/>
          <w:szCs w:val="20"/>
          <w:lang w:val="en-US"/>
        </w:rPr>
        <w:t>while</w:t>
      </w:r>
      <w:r w:rsidR="008B63E1" w:rsidRPr="00D869E3">
        <w:rPr>
          <w:rFonts w:ascii="Verdana" w:hAnsi="Verdana"/>
          <w:sz w:val="20"/>
          <w:szCs w:val="20"/>
          <w:lang w:val="en-US"/>
        </w:rPr>
        <w:t xml:space="preserve"> it was in force, and was never the object of eithe</w:t>
      </w:r>
      <w:r w:rsidR="00432C64" w:rsidRPr="00D869E3">
        <w:rPr>
          <w:rFonts w:ascii="Verdana" w:hAnsi="Verdana"/>
          <w:sz w:val="20"/>
          <w:szCs w:val="20"/>
          <w:lang w:val="en-US"/>
        </w:rPr>
        <w:t>r</w:t>
      </w:r>
      <w:r w:rsidR="008B63E1" w:rsidRPr="00D869E3">
        <w:rPr>
          <w:rFonts w:ascii="Verdana" w:hAnsi="Verdana"/>
          <w:sz w:val="20"/>
          <w:szCs w:val="20"/>
          <w:lang w:val="en-US"/>
        </w:rPr>
        <w:t xml:space="preserve"> complaint or criticism before the International Labour Organization</w:t>
      </w:r>
      <w:r w:rsidR="0055376B" w:rsidRPr="00D869E3">
        <w:rPr>
          <w:rFonts w:ascii="Verdana" w:hAnsi="Verdana"/>
          <w:sz w:val="20"/>
          <w:szCs w:val="20"/>
          <w:lang w:val="en-US"/>
        </w:rPr>
        <w:t xml:space="preserve">. </w:t>
      </w:r>
      <w:r w:rsidR="008B63E1" w:rsidRPr="00D869E3">
        <w:rPr>
          <w:rFonts w:ascii="Verdana" w:hAnsi="Verdana"/>
          <w:sz w:val="20"/>
          <w:szCs w:val="20"/>
          <w:lang w:val="en-US"/>
        </w:rPr>
        <w:t>Consequently</w:t>
      </w:r>
      <w:r w:rsidR="0055376B" w:rsidRPr="00D869E3">
        <w:rPr>
          <w:rFonts w:ascii="Verdana" w:hAnsi="Verdana"/>
          <w:sz w:val="20"/>
          <w:szCs w:val="20"/>
          <w:lang w:val="en-US"/>
        </w:rPr>
        <w:t xml:space="preserve">, </w:t>
      </w:r>
      <w:r w:rsidRPr="00D869E3">
        <w:rPr>
          <w:rFonts w:ascii="Verdana" w:hAnsi="Verdana"/>
          <w:sz w:val="20"/>
          <w:szCs w:val="20"/>
          <w:lang w:val="en-US"/>
        </w:rPr>
        <w:t>the State</w:t>
      </w:r>
      <w:r w:rsidR="0055376B" w:rsidRPr="00D869E3">
        <w:rPr>
          <w:rFonts w:ascii="Verdana" w:hAnsi="Verdana"/>
          <w:sz w:val="20"/>
          <w:szCs w:val="20"/>
          <w:lang w:val="en-US"/>
        </w:rPr>
        <w:t xml:space="preserve"> </w:t>
      </w:r>
      <w:r w:rsidR="008B63E1" w:rsidRPr="00D869E3">
        <w:rPr>
          <w:rFonts w:ascii="Verdana" w:hAnsi="Verdana"/>
          <w:sz w:val="20"/>
          <w:szCs w:val="20"/>
          <w:lang w:val="en-US"/>
        </w:rPr>
        <w:t>considered that it did not fa</w:t>
      </w:r>
      <w:r w:rsidR="0055376B" w:rsidRPr="00D869E3">
        <w:rPr>
          <w:rFonts w:ascii="Verdana" w:hAnsi="Verdana"/>
          <w:sz w:val="20"/>
          <w:szCs w:val="20"/>
          <w:lang w:val="en-US"/>
        </w:rPr>
        <w:t>i</w:t>
      </w:r>
      <w:r w:rsidR="008B63E1" w:rsidRPr="00D869E3">
        <w:rPr>
          <w:rFonts w:ascii="Verdana" w:hAnsi="Verdana"/>
          <w:sz w:val="20"/>
          <w:szCs w:val="20"/>
          <w:lang w:val="en-US"/>
        </w:rPr>
        <w:t xml:space="preserve">l to comply with </w:t>
      </w:r>
      <w:r w:rsidRPr="00D869E3">
        <w:rPr>
          <w:rFonts w:ascii="Verdana" w:hAnsi="Verdana"/>
          <w:sz w:val="20"/>
          <w:szCs w:val="20"/>
          <w:lang w:val="en-US"/>
        </w:rPr>
        <w:t>Article</w:t>
      </w:r>
      <w:r w:rsidR="0055376B" w:rsidRPr="00D869E3">
        <w:rPr>
          <w:rFonts w:ascii="Verdana" w:hAnsi="Verdana"/>
          <w:sz w:val="20"/>
          <w:szCs w:val="20"/>
          <w:lang w:val="en-US"/>
        </w:rPr>
        <w:t xml:space="preserve"> 2</w:t>
      </w:r>
      <w:r w:rsidRPr="00D869E3">
        <w:rPr>
          <w:rFonts w:ascii="Verdana" w:hAnsi="Verdana"/>
          <w:sz w:val="20"/>
          <w:szCs w:val="20"/>
          <w:lang w:val="en-US"/>
        </w:rPr>
        <w:t xml:space="preserve"> of the American Convention</w:t>
      </w:r>
      <w:r w:rsidR="00FA58C4" w:rsidRPr="00D869E3">
        <w:rPr>
          <w:rFonts w:ascii="Verdana" w:hAnsi="Verdana"/>
          <w:sz w:val="20"/>
          <w:szCs w:val="20"/>
          <w:lang w:val="en-US"/>
        </w:rPr>
        <w:t>.</w:t>
      </w:r>
    </w:p>
    <w:p w14:paraId="2CEC15E1" w14:textId="77777777" w:rsidR="00C01305" w:rsidRPr="00D869E3" w:rsidRDefault="00C01305" w:rsidP="00C01305">
      <w:pPr>
        <w:autoSpaceDE w:val="0"/>
        <w:autoSpaceDN w:val="0"/>
        <w:adjustRightInd w:val="0"/>
        <w:contextualSpacing/>
        <w:jc w:val="both"/>
        <w:rPr>
          <w:rFonts w:ascii="Verdana" w:hAnsi="Verdana"/>
          <w:sz w:val="20"/>
          <w:szCs w:val="20"/>
          <w:lang w:val="en-US"/>
        </w:rPr>
      </w:pPr>
    </w:p>
    <w:p w14:paraId="781034BF" w14:textId="7C5BFF3B" w:rsidR="00C01305" w:rsidRPr="00D869E3" w:rsidRDefault="001D1B96" w:rsidP="00E66DD7">
      <w:pPr>
        <w:pStyle w:val="Ttulo2"/>
        <w:numPr>
          <w:ilvl w:val="0"/>
          <w:numId w:val="10"/>
        </w:numPr>
        <w:rPr>
          <w:i/>
          <w:szCs w:val="20"/>
          <w:lang w:val="en-US"/>
        </w:rPr>
      </w:pPr>
      <w:bookmarkStart w:id="39" w:name="_Toc29114130"/>
      <w:r w:rsidRPr="00D869E3">
        <w:rPr>
          <w:i/>
          <w:szCs w:val="20"/>
          <w:lang w:val="en-US"/>
        </w:rPr>
        <w:t>Considerations</w:t>
      </w:r>
      <w:r w:rsidR="00447C65" w:rsidRPr="00D869E3">
        <w:rPr>
          <w:i/>
          <w:szCs w:val="20"/>
          <w:lang w:val="en-US"/>
        </w:rPr>
        <w:t xml:space="preserve"> of the Court</w:t>
      </w:r>
      <w:bookmarkEnd w:id="39"/>
    </w:p>
    <w:p w14:paraId="20C485B0" w14:textId="77777777" w:rsidR="00C01305" w:rsidRPr="00D869E3" w:rsidRDefault="00C01305" w:rsidP="00C01305">
      <w:pPr>
        <w:rPr>
          <w:rFonts w:ascii="Verdana" w:hAnsi="Verdana"/>
          <w:sz w:val="22"/>
          <w:szCs w:val="22"/>
          <w:lang w:val="en-US"/>
        </w:rPr>
      </w:pPr>
    </w:p>
    <w:p w14:paraId="347C3D51" w14:textId="431271B4" w:rsidR="002F1386" w:rsidRPr="00D869E3" w:rsidRDefault="00A62EA8" w:rsidP="00E66DD7">
      <w:pPr>
        <w:pStyle w:val="Ttulo3"/>
        <w:numPr>
          <w:ilvl w:val="0"/>
          <w:numId w:val="11"/>
        </w:numPr>
        <w:ind w:left="714" w:hanging="357"/>
        <w:rPr>
          <w:b w:val="0"/>
          <w:i/>
          <w:lang w:val="en-US"/>
        </w:rPr>
      </w:pPr>
      <w:bookmarkStart w:id="40" w:name="_Toc29114131"/>
      <w:r w:rsidRPr="00D869E3">
        <w:rPr>
          <w:i/>
          <w:lang w:val="en-US"/>
        </w:rPr>
        <w:t>Freedom of expression</w:t>
      </w:r>
      <w:r w:rsidR="00687684" w:rsidRPr="00D869E3">
        <w:rPr>
          <w:i/>
          <w:lang w:val="en-US"/>
        </w:rPr>
        <w:t xml:space="preserve"> </w:t>
      </w:r>
      <w:r w:rsidR="008B63E1" w:rsidRPr="00D869E3">
        <w:rPr>
          <w:i/>
          <w:lang w:val="en-US"/>
        </w:rPr>
        <w:t>and judicial guarantees</w:t>
      </w:r>
      <w:bookmarkEnd w:id="40"/>
    </w:p>
    <w:p w14:paraId="55A5CE3E" w14:textId="77777777" w:rsidR="00C01305" w:rsidRPr="00D869E3" w:rsidRDefault="00C01305" w:rsidP="00C01305">
      <w:pPr>
        <w:autoSpaceDE w:val="0"/>
        <w:autoSpaceDN w:val="0"/>
        <w:adjustRightInd w:val="0"/>
        <w:contextualSpacing/>
        <w:jc w:val="both"/>
        <w:rPr>
          <w:rFonts w:ascii="Verdana" w:hAnsi="Verdana"/>
          <w:sz w:val="20"/>
          <w:szCs w:val="20"/>
          <w:lang w:val="en-US"/>
        </w:rPr>
      </w:pPr>
    </w:p>
    <w:p w14:paraId="3D5ED48C" w14:textId="5B5F24E8" w:rsidR="00C01305" w:rsidRPr="00D869E3" w:rsidRDefault="008B63E1" w:rsidP="00E66DD7">
      <w:pPr>
        <w:numPr>
          <w:ilvl w:val="0"/>
          <w:numId w:val="1"/>
        </w:numPr>
        <w:autoSpaceDE w:val="0"/>
        <w:autoSpaceDN w:val="0"/>
        <w:adjustRightInd w:val="0"/>
        <w:ind w:left="0" w:firstLine="0"/>
        <w:contextualSpacing/>
        <w:jc w:val="both"/>
        <w:rPr>
          <w:rFonts w:ascii="Verdana" w:hAnsi="Verdana"/>
          <w:sz w:val="20"/>
          <w:lang w:val="en-US"/>
        </w:rPr>
      </w:pPr>
      <w:r w:rsidRPr="00D869E3">
        <w:rPr>
          <w:rFonts w:ascii="Verdana" w:hAnsi="Verdana"/>
          <w:sz w:val="20"/>
          <w:szCs w:val="20"/>
          <w:lang w:val="en-US"/>
        </w:rPr>
        <w:t xml:space="preserve">In this section, the Court will analyze whether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432C64" w:rsidRPr="00D869E3">
        <w:rPr>
          <w:rFonts w:ascii="Verdana" w:hAnsi="Verdana"/>
          <w:sz w:val="20"/>
          <w:szCs w:val="20"/>
          <w:lang w:val="en-US"/>
        </w:rPr>
        <w:t>’s statements</w:t>
      </w:r>
      <w:r w:rsidR="00C01305" w:rsidRPr="00D869E3">
        <w:rPr>
          <w:rFonts w:ascii="Verdana" w:hAnsi="Verdana"/>
          <w:sz w:val="20"/>
          <w:szCs w:val="20"/>
          <w:lang w:val="en-US"/>
        </w:rPr>
        <w:t xml:space="preserve"> </w:t>
      </w:r>
      <w:r w:rsidRPr="00D869E3">
        <w:rPr>
          <w:rFonts w:ascii="Verdana" w:hAnsi="Verdana"/>
          <w:sz w:val="20"/>
          <w:szCs w:val="20"/>
          <w:lang w:val="en-US"/>
        </w:rPr>
        <w:t xml:space="preserve">fell within the sphere of special protection of the </w:t>
      </w:r>
      <w:r w:rsidR="00C82C0C" w:rsidRPr="00D869E3">
        <w:rPr>
          <w:rFonts w:ascii="Verdana" w:hAnsi="Verdana"/>
          <w:sz w:val="20"/>
          <w:szCs w:val="20"/>
          <w:lang w:val="en-US"/>
        </w:rPr>
        <w:t>right to freedom</w:t>
      </w:r>
      <w:r w:rsidR="00A62EA8" w:rsidRPr="00D869E3">
        <w:rPr>
          <w:rFonts w:ascii="Verdana" w:hAnsi="Verdana"/>
          <w:sz w:val="20"/>
          <w:szCs w:val="20"/>
          <w:lang w:val="en-US"/>
        </w:rPr>
        <w:t xml:space="preserve"> of expression</w:t>
      </w:r>
      <w:r w:rsidR="00C01305" w:rsidRPr="00D869E3">
        <w:rPr>
          <w:rFonts w:ascii="Verdana" w:hAnsi="Verdana"/>
          <w:sz w:val="20"/>
          <w:szCs w:val="20"/>
          <w:lang w:val="en-US"/>
        </w:rPr>
        <w:t xml:space="preserve"> </w:t>
      </w:r>
      <w:r w:rsidRPr="00D869E3">
        <w:rPr>
          <w:rFonts w:ascii="Verdana" w:hAnsi="Verdana"/>
          <w:sz w:val="20"/>
          <w:szCs w:val="20"/>
          <w:lang w:val="en-US"/>
        </w:rPr>
        <w:t xml:space="preserve">and, if applicable, whether his </w:t>
      </w:r>
      <w:r w:rsidR="00A62EA8" w:rsidRPr="00D869E3">
        <w:rPr>
          <w:rFonts w:ascii="Verdana" w:hAnsi="Verdana"/>
          <w:sz w:val="20"/>
          <w:szCs w:val="20"/>
          <w:lang w:val="en-US"/>
        </w:rPr>
        <w:t>freedom of expression</w:t>
      </w:r>
      <w:r w:rsidR="00602389" w:rsidRPr="00D869E3">
        <w:rPr>
          <w:rFonts w:ascii="Verdana" w:hAnsi="Verdana"/>
          <w:sz w:val="20"/>
          <w:szCs w:val="20"/>
          <w:lang w:val="en-US"/>
        </w:rPr>
        <w:t xml:space="preserve"> </w:t>
      </w:r>
      <w:r w:rsidRPr="00D869E3">
        <w:rPr>
          <w:rFonts w:ascii="Verdana" w:hAnsi="Verdana"/>
          <w:sz w:val="20"/>
          <w:szCs w:val="20"/>
          <w:lang w:val="en-US"/>
        </w:rPr>
        <w:t>was ensured by the State by the decision of the second instance</w:t>
      </w:r>
      <w:r w:rsidR="00432C64" w:rsidRPr="00D869E3">
        <w:rPr>
          <w:rFonts w:ascii="Verdana" w:hAnsi="Verdana"/>
          <w:sz w:val="20"/>
          <w:szCs w:val="20"/>
          <w:lang w:val="en-US"/>
        </w:rPr>
        <w:t xml:space="preserve"> judge</w:t>
      </w:r>
      <w:r w:rsidRPr="00D869E3">
        <w:rPr>
          <w:rFonts w:ascii="Verdana" w:hAnsi="Verdana"/>
          <w:sz w:val="20"/>
          <w:szCs w:val="20"/>
          <w:lang w:val="en-US"/>
        </w:rPr>
        <w:t>. To this end, the Court will analyze this dispute in the following sections: (a) Freedom of expression in labor contexts</w:t>
      </w:r>
      <w:r w:rsidR="00687684" w:rsidRPr="00D869E3">
        <w:rPr>
          <w:rFonts w:ascii="Verdana" w:hAnsi="Verdana"/>
          <w:sz w:val="20"/>
          <w:szCs w:val="20"/>
          <w:lang w:val="en-US"/>
        </w:rPr>
        <w:t xml:space="preserve"> and </w:t>
      </w:r>
      <w:r w:rsidRPr="00D869E3">
        <w:rPr>
          <w:rFonts w:ascii="Verdana" w:hAnsi="Verdana"/>
          <w:sz w:val="20"/>
          <w:szCs w:val="20"/>
          <w:lang w:val="en-US"/>
        </w:rPr>
        <w:t>(</w:t>
      </w:r>
      <w:r w:rsidR="002A7B50" w:rsidRPr="00D869E3">
        <w:rPr>
          <w:rFonts w:ascii="Verdana" w:hAnsi="Verdana"/>
          <w:sz w:val="20"/>
          <w:szCs w:val="20"/>
          <w:lang w:val="en-US"/>
        </w:rPr>
        <w:t>b</w:t>
      </w:r>
      <w:r w:rsidR="00C01305" w:rsidRPr="00D869E3">
        <w:rPr>
          <w:rFonts w:ascii="Verdana" w:hAnsi="Verdana"/>
          <w:sz w:val="20"/>
          <w:lang w:val="en-US"/>
        </w:rPr>
        <w:t xml:space="preserve">) </w:t>
      </w:r>
      <w:r w:rsidR="00B44B46" w:rsidRPr="00D869E3">
        <w:rPr>
          <w:rFonts w:ascii="Verdana" w:hAnsi="Verdana"/>
          <w:sz w:val="20"/>
          <w:lang w:val="en-US"/>
        </w:rPr>
        <w:t>Analysis of the necessity</w:t>
      </w:r>
      <w:r w:rsidRPr="00D869E3">
        <w:rPr>
          <w:rFonts w:ascii="Verdana" w:hAnsi="Verdana"/>
          <w:sz w:val="20"/>
          <w:lang w:val="en-US"/>
        </w:rPr>
        <w:t xml:space="preserve"> and reasonableness of the restriction in this case</w:t>
      </w:r>
      <w:r w:rsidR="001E446C" w:rsidRPr="00D869E3">
        <w:rPr>
          <w:rFonts w:ascii="Verdana" w:hAnsi="Verdana"/>
          <w:sz w:val="20"/>
          <w:lang w:val="en-US"/>
        </w:rPr>
        <w:t>.</w:t>
      </w:r>
    </w:p>
    <w:p w14:paraId="22B20085" w14:textId="77777777" w:rsidR="00C41937" w:rsidRPr="00D869E3" w:rsidRDefault="00C41937" w:rsidP="00557859">
      <w:pPr>
        <w:autoSpaceDE w:val="0"/>
        <w:autoSpaceDN w:val="0"/>
        <w:adjustRightInd w:val="0"/>
        <w:contextualSpacing/>
        <w:jc w:val="both"/>
        <w:rPr>
          <w:rFonts w:ascii="Verdana" w:hAnsi="Verdana"/>
          <w:sz w:val="20"/>
          <w:szCs w:val="20"/>
          <w:lang w:val="en-US"/>
        </w:rPr>
      </w:pPr>
    </w:p>
    <w:p w14:paraId="7B3BA865" w14:textId="48B9C4E3" w:rsidR="00517048" w:rsidRPr="00D869E3" w:rsidRDefault="008B63E1" w:rsidP="00E66DD7">
      <w:pPr>
        <w:pStyle w:val="Ttulo3"/>
        <w:numPr>
          <w:ilvl w:val="1"/>
          <w:numId w:val="11"/>
        </w:numPr>
        <w:rPr>
          <w:i/>
          <w:lang w:val="en-US"/>
        </w:rPr>
      </w:pPr>
      <w:bookmarkStart w:id="41" w:name="_Toc29114132"/>
      <w:r w:rsidRPr="00D869E3">
        <w:rPr>
          <w:i/>
          <w:lang w:val="en-US"/>
        </w:rPr>
        <w:t>Freedom of expression in labor contexts</w:t>
      </w:r>
      <w:bookmarkEnd w:id="41"/>
    </w:p>
    <w:p w14:paraId="2AD0E74E" w14:textId="77777777" w:rsidR="00E365AD" w:rsidRPr="00D869E3" w:rsidRDefault="00E365AD" w:rsidP="00CB5A95">
      <w:pPr>
        <w:autoSpaceDE w:val="0"/>
        <w:autoSpaceDN w:val="0"/>
        <w:adjustRightInd w:val="0"/>
        <w:contextualSpacing/>
        <w:jc w:val="both"/>
        <w:rPr>
          <w:rFonts w:ascii="Verdana" w:hAnsi="Verdana"/>
          <w:i/>
          <w:lang w:val="en-US"/>
        </w:rPr>
      </w:pPr>
    </w:p>
    <w:p w14:paraId="34AC2DC1" w14:textId="68871B72" w:rsidR="00E365AD" w:rsidRPr="00D869E3" w:rsidRDefault="00A14ABD" w:rsidP="00E66DD7">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00447C65" w:rsidRPr="00D869E3">
        <w:rPr>
          <w:rFonts w:ascii="Verdana" w:hAnsi="Verdana"/>
          <w:sz w:val="20"/>
          <w:szCs w:val="20"/>
          <w:lang w:val="en-US"/>
        </w:rPr>
        <w:t>Court</w:t>
      </w:r>
      <w:r w:rsidRPr="00D869E3">
        <w:rPr>
          <w:rFonts w:ascii="Verdana" w:hAnsi="Verdana"/>
          <w:sz w:val="20"/>
          <w:szCs w:val="20"/>
          <w:lang w:val="en-US"/>
        </w:rPr>
        <w:t>’s</w:t>
      </w:r>
      <w:r w:rsidR="00E365AD" w:rsidRPr="00D869E3">
        <w:rPr>
          <w:rFonts w:ascii="Verdana" w:hAnsi="Verdana"/>
          <w:sz w:val="20"/>
          <w:szCs w:val="20"/>
          <w:lang w:val="en-US"/>
        </w:rPr>
        <w:t xml:space="preserve"> </w:t>
      </w:r>
      <w:r w:rsidRPr="00D869E3">
        <w:rPr>
          <w:rFonts w:ascii="Verdana" w:hAnsi="Verdana"/>
          <w:sz w:val="20"/>
          <w:szCs w:val="20"/>
          <w:lang w:val="en-US"/>
        </w:rPr>
        <w:t>jurisprudence has provided the right to freedom of thought and expression recognized in Article 13 of the Convention with a wide-ranging content</w:t>
      </w:r>
      <w:r w:rsidR="00E365AD" w:rsidRPr="00D869E3">
        <w:rPr>
          <w:rFonts w:ascii="Verdana" w:hAnsi="Verdana"/>
          <w:sz w:val="20"/>
          <w:szCs w:val="20"/>
          <w:lang w:val="en-US"/>
        </w:rPr>
        <w:t xml:space="preserve">. </w:t>
      </w:r>
      <w:r w:rsidR="00447C65" w:rsidRPr="00D869E3">
        <w:rPr>
          <w:rFonts w:ascii="Verdana" w:hAnsi="Verdana"/>
          <w:sz w:val="20"/>
          <w:szCs w:val="20"/>
          <w:lang w:val="en-US"/>
        </w:rPr>
        <w:t>The Court</w:t>
      </w:r>
      <w:r w:rsidR="00E365AD" w:rsidRPr="00D869E3">
        <w:rPr>
          <w:rFonts w:ascii="Verdana" w:hAnsi="Verdana"/>
          <w:sz w:val="20"/>
          <w:szCs w:val="20"/>
          <w:lang w:val="en-US"/>
        </w:rPr>
        <w:t xml:space="preserve"> ha</w:t>
      </w:r>
      <w:r w:rsidR="006A7D7C" w:rsidRPr="00D869E3">
        <w:rPr>
          <w:rFonts w:ascii="Verdana" w:hAnsi="Verdana"/>
          <w:sz w:val="20"/>
          <w:szCs w:val="20"/>
          <w:lang w:val="en-US"/>
        </w:rPr>
        <w:t>s indicated that this article protects the right to seek</w:t>
      </w:r>
      <w:r w:rsidR="00186103" w:rsidRPr="00D869E3">
        <w:rPr>
          <w:rFonts w:ascii="Verdana" w:hAnsi="Verdana"/>
          <w:sz w:val="20"/>
          <w:szCs w:val="20"/>
          <w:lang w:val="en-US"/>
        </w:rPr>
        <w:t>,</w:t>
      </w:r>
      <w:r w:rsidR="006A7D7C" w:rsidRPr="00D869E3">
        <w:rPr>
          <w:rFonts w:ascii="Verdana" w:hAnsi="Verdana"/>
          <w:sz w:val="20"/>
          <w:szCs w:val="20"/>
          <w:lang w:val="en-US"/>
        </w:rPr>
        <w:t xml:space="preserve"> receive and impart information and ideas of all kinds, as well as to receive and</w:t>
      </w:r>
      <w:r w:rsidRPr="00D869E3">
        <w:rPr>
          <w:rFonts w:ascii="Verdana" w:hAnsi="Verdana"/>
          <w:sz w:val="20"/>
          <w:szCs w:val="20"/>
          <w:lang w:val="en-US"/>
        </w:rPr>
        <w:t xml:space="preserve"> obtain</w:t>
      </w:r>
      <w:r w:rsidR="006A7D7C" w:rsidRPr="00D869E3">
        <w:rPr>
          <w:rFonts w:ascii="Verdana" w:hAnsi="Verdana"/>
          <w:sz w:val="20"/>
          <w:szCs w:val="20"/>
          <w:lang w:val="en-US"/>
        </w:rPr>
        <w:t xml:space="preserve"> the information and ideas imparted by others.</w:t>
      </w:r>
      <w:r w:rsidR="00E365AD" w:rsidRPr="00D869E3">
        <w:rPr>
          <w:rFonts w:ascii="Verdana" w:hAnsi="Verdana"/>
          <w:sz w:val="20"/>
          <w:szCs w:val="20"/>
          <w:vertAlign w:val="superscript"/>
          <w:lang w:val="en-US"/>
        </w:rPr>
        <w:footnoteReference w:id="111"/>
      </w:r>
      <w:r w:rsidR="00E365AD" w:rsidRPr="00D869E3">
        <w:rPr>
          <w:rFonts w:ascii="Verdana" w:hAnsi="Verdana"/>
          <w:sz w:val="20"/>
          <w:szCs w:val="20"/>
          <w:lang w:val="en-US"/>
        </w:rPr>
        <w:t xml:space="preserve"> </w:t>
      </w:r>
      <w:r w:rsidRPr="00D869E3">
        <w:rPr>
          <w:rFonts w:ascii="Verdana" w:hAnsi="Verdana"/>
          <w:sz w:val="20"/>
          <w:szCs w:val="20"/>
          <w:lang w:val="en-US"/>
        </w:rPr>
        <w:t>It has also indicated that freedom of expression has both an individual and a social dimension, and from this it has extrapolated a series of rights that are protected by this article.</w:t>
      </w:r>
      <w:r w:rsidR="00E365AD" w:rsidRPr="00D869E3">
        <w:rPr>
          <w:rFonts w:ascii="Verdana" w:hAnsi="Verdana"/>
          <w:sz w:val="20"/>
          <w:szCs w:val="20"/>
          <w:vertAlign w:val="superscript"/>
          <w:lang w:val="en-US"/>
        </w:rPr>
        <w:footnoteReference w:id="112"/>
      </w:r>
      <w:r w:rsidR="00E365AD" w:rsidRPr="00D869E3">
        <w:rPr>
          <w:rFonts w:ascii="Verdana" w:hAnsi="Verdana"/>
          <w:sz w:val="20"/>
          <w:szCs w:val="20"/>
          <w:lang w:val="en-US"/>
        </w:rPr>
        <w:t xml:space="preserve"> </w:t>
      </w:r>
      <w:r w:rsidRPr="00D869E3">
        <w:rPr>
          <w:rFonts w:ascii="Verdana" w:hAnsi="Verdana"/>
          <w:sz w:val="20"/>
          <w:szCs w:val="20"/>
          <w:lang w:val="en-US"/>
        </w:rPr>
        <w:t>The Court has asserted that the two dimensions are equally important and must be guaranteed absolutely and simultaneously in order to give full effect to the right to freedom of expression in the terms of Article 13 of the Convention.</w:t>
      </w:r>
      <w:r w:rsidR="00E365AD" w:rsidRPr="00D869E3">
        <w:rPr>
          <w:rFonts w:ascii="Verdana" w:hAnsi="Verdana"/>
          <w:sz w:val="20"/>
          <w:szCs w:val="20"/>
          <w:vertAlign w:val="superscript"/>
          <w:lang w:val="en-US"/>
        </w:rPr>
        <w:footnoteReference w:id="113"/>
      </w:r>
      <w:r w:rsidR="00E365AD" w:rsidRPr="00D869E3">
        <w:rPr>
          <w:rFonts w:ascii="Verdana" w:hAnsi="Verdana"/>
          <w:sz w:val="20"/>
          <w:szCs w:val="20"/>
          <w:lang w:val="en-US"/>
        </w:rPr>
        <w:t xml:space="preserve"> </w:t>
      </w:r>
      <w:r w:rsidRPr="00D869E3">
        <w:rPr>
          <w:rFonts w:ascii="Verdana" w:hAnsi="Verdana"/>
          <w:sz w:val="20"/>
          <w:szCs w:val="20"/>
          <w:lang w:val="en-US"/>
        </w:rPr>
        <w:t>For the ordinary citizen, knowing the opinion of others or the information possessed by others is as important as the right to disseminate his or her own opinion or information.</w:t>
      </w:r>
      <w:r w:rsidR="00E365AD" w:rsidRPr="00D869E3">
        <w:rPr>
          <w:rFonts w:ascii="Verdana" w:hAnsi="Verdana"/>
          <w:sz w:val="20"/>
          <w:szCs w:val="20"/>
          <w:vertAlign w:val="superscript"/>
          <w:lang w:val="en-US"/>
        </w:rPr>
        <w:footnoteReference w:id="114"/>
      </w:r>
      <w:r w:rsidR="00E365AD" w:rsidRPr="00D869E3">
        <w:rPr>
          <w:rFonts w:ascii="Verdana" w:hAnsi="Verdana"/>
          <w:b/>
          <w:sz w:val="20"/>
          <w:szCs w:val="20"/>
          <w:lang w:val="en-US"/>
        </w:rPr>
        <w:t xml:space="preserve"> </w:t>
      </w:r>
      <w:r w:rsidRPr="00D869E3">
        <w:rPr>
          <w:rFonts w:ascii="Verdana" w:hAnsi="Verdana"/>
          <w:sz w:val="20"/>
          <w:szCs w:val="20"/>
          <w:lang w:val="en-US"/>
        </w:rPr>
        <w:t xml:space="preserve">Consequently, in light of the two dimensions, freedom of expression </w:t>
      </w:r>
      <w:r w:rsidRPr="00D869E3">
        <w:rPr>
          <w:rFonts w:ascii="Verdana" w:hAnsi="Verdana"/>
          <w:sz w:val="20"/>
          <w:szCs w:val="20"/>
          <w:lang w:val="en-US"/>
        </w:rPr>
        <w:lastRenderedPageBreak/>
        <w:t>requires, on the one hand, that no one may be arbitrarily hindered or prevented from expressing his or her own opinion and, thus, represents a right of each individual; while, on the other hand, it also signifies a collective right to receive any kind of information and learn about the opinions of others.</w:t>
      </w:r>
      <w:r w:rsidR="00E365AD" w:rsidRPr="00D869E3">
        <w:rPr>
          <w:rFonts w:ascii="Verdana" w:hAnsi="Verdana"/>
          <w:sz w:val="20"/>
          <w:szCs w:val="20"/>
          <w:vertAlign w:val="superscript"/>
          <w:lang w:val="en-US"/>
        </w:rPr>
        <w:footnoteReference w:id="115"/>
      </w:r>
    </w:p>
    <w:p w14:paraId="4C6409BF" w14:textId="77777777" w:rsidR="00E365AD" w:rsidRPr="00D869E3" w:rsidRDefault="00E365AD" w:rsidP="00E365AD">
      <w:pPr>
        <w:autoSpaceDE w:val="0"/>
        <w:autoSpaceDN w:val="0"/>
        <w:adjustRightInd w:val="0"/>
        <w:contextualSpacing/>
        <w:jc w:val="both"/>
        <w:rPr>
          <w:rFonts w:ascii="Verdana" w:hAnsi="Verdana"/>
          <w:sz w:val="20"/>
          <w:szCs w:val="20"/>
          <w:lang w:val="en-US"/>
        </w:rPr>
      </w:pPr>
    </w:p>
    <w:p w14:paraId="34D6CCEA" w14:textId="436AE520" w:rsidR="00E365AD" w:rsidRPr="00D869E3" w:rsidRDefault="00447C65" w:rsidP="00E66DD7">
      <w:pPr>
        <w:numPr>
          <w:ilvl w:val="0"/>
          <w:numId w:val="1"/>
        </w:numPr>
        <w:autoSpaceDE w:val="0"/>
        <w:autoSpaceDN w:val="0"/>
        <w:adjustRightInd w:val="0"/>
        <w:ind w:left="0" w:firstLine="0"/>
        <w:contextualSpacing/>
        <w:jc w:val="both"/>
        <w:rPr>
          <w:rFonts w:ascii="Verdana" w:eastAsia="Times New Roman" w:hAnsi="Verdana" w:cs="Arial"/>
          <w:b/>
          <w:sz w:val="20"/>
          <w:szCs w:val="20"/>
          <w:lang w:val="en-US"/>
        </w:rPr>
      </w:pPr>
      <w:r w:rsidRPr="00D869E3">
        <w:rPr>
          <w:rFonts w:ascii="Verdana" w:hAnsi="Verdana"/>
          <w:sz w:val="20"/>
          <w:szCs w:val="22"/>
          <w:lang w:val="en-US"/>
        </w:rPr>
        <w:t>The American Convention</w:t>
      </w:r>
      <w:r w:rsidR="00E365AD" w:rsidRPr="00D869E3">
        <w:rPr>
          <w:rFonts w:ascii="Verdana" w:hAnsi="Verdana"/>
          <w:sz w:val="20"/>
          <w:szCs w:val="22"/>
          <w:lang w:val="en-US"/>
        </w:rPr>
        <w:t xml:space="preserve"> </w:t>
      </w:r>
      <w:r w:rsidR="00A14ABD" w:rsidRPr="00D869E3">
        <w:rPr>
          <w:rFonts w:ascii="Verdana" w:hAnsi="Verdana"/>
          <w:sz w:val="20"/>
          <w:szCs w:val="20"/>
          <w:lang w:val="en-US"/>
        </w:rPr>
        <w:t>guarantees everyone’s right to freedom of expression, regardless of any other consideration, so that it cannot be restricted to a specific profession or group of persons.</w:t>
      </w:r>
      <w:r w:rsidR="00E365AD" w:rsidRPr="00D869E3">
        <w:rPr>
          <w:rFonts w:ascii="Verdana" w:hAnsi="Verdana"/>
          <w:sz w:val="20"/>
          <w:szCs w:val="20"/>
          <w:vertAlign w:val="superscript"/>
          <w:lang w:val="en-US"/>
        </w:rPr>
        <w:footnoteReference w:id="116"/>
      </w:r>
      <w:r w:rsidR="00E365AD" w:rsidRPr="00D869E3">
        <w:rPr>
          <w:rFonts w:ascii="Verdana" w:eastAsia="Times New Roman" w:hAnsi="Verdana" w:cs="Arial"/>
          <w:sz w:val="20"/>
          <w:szCs w:val="20"/>
          <w:lang w:val="en-US"/>
        </w:rPr>
        <w:t xml:space="preserve"> </w:t>
      </w:r>
      <w:r w:rsidR="005E7D90" w:rsidRPr="00D869E3">
        <w:rPr>
          <w:rFonts w:ascii="Verdana" w:hAnsi="Verdana"/>
          <w:sz w:val="20"/>
          <w:szCs w:val="20"/>
          <w:lang w:val="en-US"/>
        </w:rPr>
        <w:t xml:space="preserve">Thus, the Court has maintained that </w:t>
      </w:r>
      <w:r w:rsidR="005E7D90" w:rsidRPr="00D869E3">
        <w:rPr>
          <w:rFonts w:ascii="Verdana" w:eastAsia="Times New Roman" w:hAnsi="Verdana"/>
          <w:sz w:val="20"/>
          <w:szCs w:val="20"/>
          <w:lang w:val="en-US" w:eastAsia="es-ES"/>
        </w:rPr>
        <w:t xml:space="preserve">freedom of expression is essential for the formation of public opinion in a democratic society. “It is also a condition </w:t>
      </w:r>
      <w:r w:rsidR="005E7D90" w:rsidRPr="00D869E3">
        <w:rPr>
          <w:rFonts w:ascii="Verdana" w:eastAsia="Times New Roman" w:hAnsi="Verdana"/>
          <w:i/>
          <w:sz w:val="20"/>
          <w:szCs w:val="20"/>
          <w:lang w:val="en-US" w:eastAsia="es-ES"/>
        </w:rPr>
        <w:t>sine qua non</w:t>
      </w:r>
      <w:r w:rsidR="005E7D90" w:rsidRPr="00D869E3">
        <w:rPr>
          <w:rFonts w:ascii="Verdana" w:eastAsia="Times New Roman" w:hAnsi="Verdana"/>
          <w:sz w:val="20"/>
          <w:szCs w:val="20"/>
          <w:lang w:val="en-US" w:eastAsia="es-ES"/>
        </w:rPr>
        <w:t xml:space="preserve"> to enable […] labor unions […] and, in general, those who wish to have an influence over the collectivity to develop their full potential.</w:t>
      </w:r>
      <w:r w:rsidR="006436CA" w:rsidRPr="00D869E3">
        <w:rPr>
          <w:rFonts w:ascii="Verdana" w:eastAsia="Times New Roman" w:hAnsi="Verdana"/>
          <w:sz w:val="20"/>
          <w:szCs w:val="20"/>
          <w:lang w:val="en-US" w:eastAsia="es-ES"/>
        </w:rPr>
        <w:t>”</w:t>
      </w:r>
      <w:r w:rsidR="00E365AD" w:rsidRPr="00D869E3">
        <w:rPr>
          <w:rFonts w:ascii="Verdana" w:eastAsia="Times New Roman" w:hAnsi="Verdana"/>
          <w:sz w:val="20"/>
          <w:szCs w:val="20"/>
          <w:vertAlign w:val="superscript"/>
          <w:lang w:val="en-US" w:eastAsia="es-ES"/>
        </w:rPr>
        <w:footnoteReference w:id="117"/>
      </w:r>
      <w:r w:rsidR="00E365AD" w:rsidRPr="00D869E3">
        <w:rPr>
          <w:rFonts w:ascii="Verdana" w:eastAsia="Times New Roman" w:hAnsi="Verdana"/>
          <w:sz w:val="20"/>
          <w:szCs w:val="20"/>
          <w:lang w:val="en-US" w:eastAsia="es-ES"/>
        </w:rPr>
        <w:t xml:space="preserve"> </w:t>
      </w:r>
    </w:p>
    <w:p w14:paraId="2F7FEF65" w14:textId="77777777" w:rsidR="00E365AD" w:rsidRPr="00D869E3" w:rsidRDefault="00E365AD" w:rsidP="00E365AD">
      <w:pPr>
        <w:contextualSpacing/>
        <w:rPr>
          <w:rFonts w:ascii="Verdana" w:eastAsia="Times New Roman" w:hAnsi="Verdana" w:cs="Arial"/>
          <w:b/>
          <w:sz w:val="20"/>
          <w:szCs w:val="20"/>
          <w:lang w:val="en-US"/>
        </w:rPr>
      </w:pPr>
    </w:p>
    <w:p w14:paraId="5A0FCCFB" w14:textId="79774FC3" w:rsidR="00E365AD" w:rsidRPr="00D869E3" w:rsidRDefault="005E7D90" w:rsidP="00E66DD7">
      <w:pPr>
        <w:numPr>
          <w:ilvl w:val="0"/>
          <w:numId w:val="1"/>
        </w:numPr>
        <w:autoSpaceDE w:val="0"/>
        <w:autoSpaceDN w:val="0"/>
        <w:adjustRightInd w:val="0"/>
        <w:ind w:left="0" w:firstLine="0"/>
        <w:contextualSpacing/>
        <w:jc w:val="both"/>
        <w:rPr>
          <w:rFonts w:ascii="Verdana" w:eastAsia="Times New Roman" w:hAnsi="Verdana" w:cs="Arial"/>
          <w:sz w:val="20"/>
          <w:szCs w:val="20"/>
          <w:lang w:val="en-US"/>
        </w:rPr>
      </w:pPr>
      <w:r w:rsidRPr="00D869E3">
        <w:rPr>
          <w:rFonts w:ascii="Verdana" w:eastAsia="Times New Roman" w:hAnsi="Verdana" w:cs="Arial"/>
          <w:sz w:val="20"/>
          <w:szCs w:val="20"/>
          <w:lang w:val="en-US"/>
        </w:rPr>
        <w:t>Consequently, freedom of expression is necessary for the work of labor unions, to protect labor rights and to further legitimate interests and improve conditions, because, without this right, such organizations would be ineffective and devoid of purpose.</w:t>
      </w:r>
      <w:r w:rsidR="00E365AD" w:rsidRPr="00D869E3">
        <w:rPr>
          <w:rFonts w:ascii="Verdana" w:hAnsi="Verdana"/>
          <w:sz w:val="20"/>
          <w:szCs w:val="20"/>
          <w:vertAlign w:val="superscript"/>
          <w:lang w:val="en-US"/>
        </w:rPr>
        <w:footnoteReference w:id="118"/>
      </w:r>
      <w:r w:rsidR="00E365AD" w:rsidRPr="00D869E3">
        <w:rPr>
          <w:rFonts w:ascii="Verdana" w:eastAsia="Times New Roman" w:hAnsi="Verdana" w:cs="Arial"/>
          <w:sz w:val="20"/>
          <w:szCs w:val="20"/>
          <w:lang w:val="en-US"/>
        </w:rPr>
        <w:t xml:space="preserve"> </w:t>
      </w:r>
    </w:p>
    <w:p w14:paraId="1CAD3BF6" w14:textId="77777777" w:rsidR="00E365AD" w:rsidRPr="00D869E3" w:rsidRDefault="00E365AD" w:rsidP="00CB5A95">
      <w:pPr>
        <w:autoSpaceDE w:val="0"/>
        <w:autoSpaceDN w:val="0"/>
        <w:adjustRightInd w:val="0"/>
        <w:contextualSpacing/>
        <w:jc w:val="both"/>
        <w:rPr>
          <w:rFonts w:ascii="Verdana" w:hAnsi="Verdana"/>
          <w:i/>
          <w:lang w:val="en-US"/>
        </w:rPr>
      </w:pPr>
    </w:p>
    <w:p w14:paraId="7279346B" w14:textId="2609F571" w:rsidR="004F060B" w:rsidRPr="00D869E3" w:rsidRDefault="005E7D90" w:rsidP="00E66DD7">
      <w:pPr>
        <w:numPr>
          <w:ilvl w:val="0"/>
          <w:numId w:val="1"/>
        </w:numPr>
        <w:autoSpaceDE w:val="0"/>
        <w:autoSpaceDN w:val="0"/>
        <w:adjustRightInd w:val="0"/>
        <w:ind w:left="0" w:firstLine="0"/>
        <w:contextualSpacing/>
        <w:jc w:val="both"/>
        <w:rPr>
          <w:rFonts w:ascii="Verdana" w:eastAsia="Times New Roman" w:hAnsi="Verdana" w:cs="Arial"/>
          <w:b/>
          <w:sz w:val="20"/>
          <w:szCs w:val="20"/>
          <w:lang w:val="en-US"/>
        </w:rPr>
      </w:pPr>
      <w:r w:rsidRPr="00D869E3">
        <w:rPr>
          <w:rFonts w:ascii="Verdana" w:hAnsi="Verdana"/>
          <w:sz w:val="20"/>
          <w:szCs w:val="20"/>
          <w:lang w:val="en-US"/>
        </w:rPr>
        <w:t>The Court has also established that the obligation to ensure the rights recognized in the Convention presupposes positive obligations for the State to protect rights, even in the private sphere.</w:t>
      </w:r>
      <w:r w:rsidR="004F060B" w:rsidRPr="00D869E3">
        <w:rPr>
          <w:rFonts w:ascii="Verdana" w:hAnsi="Verdana" w:cs="Tahoma"/>
          <w:sz w:val="20"/>
          <w:szCs w:val="20"/>
          <w:vertAlign w:val="superscript"/>
          <w:lang w:val="en-US"/>
        </w:rPr>
        <w:footnoteReference w:id="119"/>
      </w:r>
      <w:r w:rsidR="004F060B" w:rsidRPr="00D869E3">
        <w:rPr>
          <w:rFonts w:ascii="Verdana" w:hAnsi="Verdana"/>
          <w:sz w:val="20"/>
          <w:szCs w:val="20"/>
          <w:lang w:val="en-US"/>
        </w:rPr>
        <w:t xml:space="preserve"> </w:t>
      </w:r>
      <w:r w:rsidRPr="00D869E3">
        <w:rPr>
          <w:rFonts w:ascii="Verdana" w:hAnsi="Verdana"/>
          <w:sz w:val="20"/>
          <w:szCs w:val="20"/>
          <w:lang w:val="en-US"/>
        </w:rPr>
        <w:t>In cases such as this one, the competent administrative or judicial authorities have the obligation to monitor whether acts or decisions in the private sphere have consequences on fundamental rights, and whether they are in conformity with domestic law and the State’s international obligations. To the contrary, the State must remedy the violation of these rights and protect them adequately</w:t>
      </w:r>
      <w:r w:rsidR="00517048" w:rsidRPr="00D869E3">
        <w:rPr>
          <w:rFonts w:ascii="Verdana" w:hAnsi="Verdana"/>
          <w:sz w:val="20"/>
          <w:szCs w:val="20"/>
          <w:lang w:val="en-US"/>
        </w:rPr>
        <w:t>.</w:t>
      </w:r>
    </w:p>
    <w:p w14:paraId="55CE164D" w14:textId="77777777" w:rsidR="004F060B" w:rsidRPr="00D869E3" w:rsidRDefault="004F060B" w:rsidP="00CB5A95">
      <w:pPr>
        <w:autoSpaceDE w:val="0"/>
        <w:autoSpaceDN w:val="0"/>
        <w:adjustRightInd w:val="0"/>
        <w:contextualSpacing/>
        <w:jc w:val="both"/>
        <w:rPr>
          <w:rFonts w:ascii="Verdana" w:eastAsia="Times New Roman" w:hAnsi="Verdana" w:cs="Arial"/>
          <w:b/>
          <w:sz w:val="20"/>
          <w:szCs w:val="20"/>
          <w:lang w:val="en-US"/>
        </w:rPr>
      </w:pPr>
    </w:p>
    <w:p w14:paraId="3FBABE17" w14:textId="000FF07D" w:rsidR="00C41937" w:rsidRPr="00D869E3" w:rsidRDefault="005E7D90" w:rsidP="005E7D90">
      <w:pPr>
        <w:numPr>
          <w:ilvl w:val="0"/>
          <w:numId w:val="1"/>
        </w:numPr>
        <w:autoSpaceDE w:val="0"/>
        <w:autoSpaceDN w:val="0"/>
        <w:adjustRightInd w:val="0"/>
        <w:ind w:left="0" w:firstLine="0"/>
        <w:contextualSpacing/>
        <w:jc w:val="both"/>
        <w:rPr>
          <w:rFonts w:ascii="Verdana" w:hAnsi="Verdana"/>
          <w:sz w:val="20"/>
          <w:lang w:val="en-US"/>
        </w:rPr>
      </w:pPr>
      <w:r w:rsidRPr="00D869E3">
        <w:rPr>
          <w:rFonts w:ascii="Verdana" w:hAnsi="Verdana"/>
          <w:sz w:val="20"/>
          <w:szCs w:val="20"/>
          <w:lang w:val="en-US"/>
        </w:rPr>
        <w:t xml:space="preserve">In this regard, the Court has recognized that “in the broad terms of the American Convention, freedom of expression may also be affected without the direct intervention of </w:t>
      </w:r>
      <w:r w:rsidR="00045AAF" w:rsidRPr="00D869E3">
        <w:rPr>
          <w:rFonts w:ascii="Verdana" w:hAnsi="Verdana"/>
          <w:sz w:val="20"/>
          <w:szCs w:val="20"/>
          <w:lang w:val="en-US"/>
        </w:rPr>
        <w:t>S</w:t>
      </w:r>
      <w:r w:rsidRPr="00D869E3">
        <w:rPr>
          <w:rFonts w:ascii="Verdana" w:hAnsi="Verdana"/>
          <w:sz w:val="20"/>
          <w:szCs w:val="20"/>
          <w:lang w:val="en-US"/>
        </w:rPr>
        <w:t>tate actions.</w:t>
      </w:r>
      <w:r w:rsidR="006436CA" w:rsidRPr="00D869E3">
        <w:rPr>
          <w:rFonts w:ascii="Verdana" w:hAnsi="Verdana"/>
          <w:sz w:val="20"/>
          <w:lang w:val="en-US"/>
        </w:rPr>
        <w:t>”</w:t>
      </w:r>
      <w:r w:rsidR="00C41937" w:rsidRPr="00D869E3">
        <w:rPr>
          <w:rFonts w:ascii="Verdana" w:hAnsi="Verdana"/>
          <w:sz w:val="20"/>
          <w:vertAlign w:val="superscript"/>
          <w:lang w:val="en-US"/>
        </w:rPr>
        <w:footnoteReference w:id="120"/>
      </w:r>
      <w:r w:rsidR="00C41937" w:rsidRPr="00D869E3">
        <w:rPr>
          <w:rFonts w:ascii="Verdana" w:hAnsi="Verdana"/>
          <w:sz w:val="20"/>
          <w:lang w:val="en-US"/>
        </w:rPr>
        <w:t xml:space="preserve"> </w:t>
      </w:r>
      <w:r w:rsidRPr="00D869E3">
        <w:rPr>
          <w:rFonts w:ascii="Verdana" w:hAnsi="Verdana"/>
          <w:sz w:val="20"/>
          <w:szCs w:val="20"/>
          <w:lang w:val="en-US"/>
        </w:rPr>
        <w:t>In the case of freedom of expression, its real and effective exercise does not depend merely on the State’s obligation to abstain from any interference, but may call for positive measures of protection, including in the relationships between individuals. Indeed, in certain cases, the State has the positive obligation to protect the right to freedom of expression, even from attacks by private individuals</w:t>
      </w:r>
      <w:r w:rsidRPr="00D869E3">
        <w:rPr>
          <w:rFonts w:ascii="Verdana" w:hAnsi="Verdana"/>
          <w:sz w:val="20"/>
          <w:lang w:val="en-US"/>
        </w:rPr>
        <w:t>.</w:t>
      </w:r>
      <w:r w:rsidR="00C41937" w:rsidRPr="00D869E3">
        <w:rPr>
          <w:rFonts w:ascii="Verdana" w:hAnsi="Verdana"/>
          <w:sz w:val="20"/>
          <w:vertAlign w:val="superscript"/>
          <w:lang w:val="en-US"/>
        </w:rPr>
        <w:footnoteReference w:id="121"/>
      </w:r>
    </w:p>
    <w:p w14:paraId="01EA1B53" w14:textId="77777777" w:rsidR="00517048" w:rsidRPr="00D869E3" w:rsidRDefault="00517048" w:rsidP="005D0F69">
      <w:pPr>
        <w:autoSpaceDE w:val="0"/>
        <w:autoSpaceDN w:val="0"/>
        <w:adjustRightInd w:val="0"/>
        <w:contextualSpacing/>
        <w:jc w:val="both"/>
        <w:rPr>
          <w:rFonts w:ascii="Verdana" w:hAnsi="Verdana"/>
          <w:sz w:val="20"/>
          <w:lang w:val="en-US"/>
        </w:rPr>
      </w:pPr>
    </w:p>
    <w:p w14:paraId="6919E06A" w14:textId="34586B8C" w:rsidR="005E7D90" w:rsidRPr="00D869E3" w:rsidRDefault="005E7D90" w:rsidP="00E66DD7">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eastAsia="Times New Roman" w:hAnsi="Verdana" w:cs="Arial"/>
          <w:sz w:val="20"/>
          <w:szCs w:val="20"/>
          <w:lang w:val="en-US"/>
        </w:rPr>
        <w:t xml:space="preserve">This is why, in the </w:t>
      </w:r>
      <w:r w:rsidR="00314A91" w:rsidRPr="00D869E3">
        <w:rPr>
          <w:rFonts w:ascii="Verdana" w:eastAsia="Times New Roman" w:hAnsi="Verdana" w:cs="Arial"/>
          <w:sz w:val="20"/>
          <w:szCs w:val="20"/>
          <w:lang w:val="en-US"/>
        </w:rPr>
        <w:t>area of labor</w:t>
      </w:r>
      <w:r w:rsidRPr="00D869E3">
        <w:rPr>
          <w:rFonts w:ascii="Verdana" w:eastAsia="Times New Roman" w:hAnsi="Verdana" w:cs="Arial"/>
          <w:sz w:val="20"/>
          <w:szCs w:val="20"/>
          <w:lang w:val="en-US"/>
        </w:rPr>
        <w:t>, the State’s responsibility may arise in the situation in which domestic law, as interpreted in final instance by the domestic jurisdictional organ, validates a violation of the right of the appellant, so that, ultimately, the penalty is a result of the decision of the national court, and this may entail an internationally wrongful act.</w:t>
      </w:r>
    </w:p>
    <w:p w14:paraId="3231E571" w14:textId="77777777" w:rsidR="00C41937" w:rsidRPr="00D869E3" w:rsidRDefault="00C41937" w:rsidP="00C41937">
      <w:pPr>
        <w:contextualSpacing/>
        <w:rPr>
          <w:rFonts w:ascii="Verdana" w:hAnsi="Verdana"/>
          <w:sz w:val="20"/>
          <w:szCs w:val="20"/>
          <w:lang w:val="en-US"/>
        </w:rPr>
      </w:pPr>
    </w:p>
    <w:p w14:paraId="3F3BF7DE" w14:textId="7976FB89" w:rsidR="00C41937" w:rsidRPr="00D869E3" w:rsidRDefault="00075E68" w:rsidP="005E7D90">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C41937"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005E7D90" w:rsidRPr="00D869E3">
        <w:rPr>
          <w:rFonts w:ascii="Verdana" w:hAnsi="Verdana"/>
          <w:sz w:val="20"/>
          <w:szCs w:val="20"/>
          <w:lang w:val="en-US"/>
        </w:rPr>
        <w:t xml:space="preserve">European Court of Human Rights </w:t>
      </w:r>
      <w:r w:rsidR="00C41937" w:rsidRPr="00D869E3">
        <w:rPr>
          <w:rFonts w:ascii="Verdana" w:hAnsi="Verdana"/>
          <w:sz w:val="20"/>
          <w:szCs w:val="20"/>
          <w:lang w:val="en-US"/>
        </w:rPr>
        <w:t>ha</w:t>
      </w:r>
      <w:r w:rsidR="005E7D90" w:rsidRPr="00D869E3">
        <w:rPr>
          <w:rFonts w:ascii="Verdana" w:hAnsi="Verdana"/>
          <w:sz w:val="20"/>
          <w:szCs w:val="20"/>
          <w:lang w:val="en-US"/>
        </w:rPr>
        <w:t>s indicated that</w:t>
      </w:r>
      <w:r w:rsidR="00C41937" w:rsidRPr="00D869E3">
        <w:rPr>
          <w:rFonts w:ascii="Verdana" w:hAnsi="Verdana"/>
          <w:sz w:val="20"/>
          <w:szCs w:val="20"/>
          <w:lang w:val="en-US"/>
        </w:rPr>
        <w:t xml:space="preserve"> </w:t>
      </w:r>
      <w:r w:rsidR="00447C65" w:rsidRPr="00D869E3">
        <w:rPr>
          <w:rFonts w:ascii="Verdana" w:eastAsia="Cambria" w:hAnsi="Verdana"/>
          <w:sz w:val="20"/>
          <w:szCs w:val="20"/>
          <w:lang w:val="en-US"/>
        </w:rPr>
        <w:t>Article</w:t>
      </w:r>
      <w:r w:rsidR="00C41937" w:rsidRPr="00D869E3">
        <w:rPr>
          <w:rFonts w:ascii="Verdana" w:eastAsia="Cambria" w:hAnsi="Verdana"/>
          <w:sz w:val="20"/>
          <w:szCs w:val="20"/>
          <w:lang w:val="en-US"/>
        </w:rPr>
        <w:t xml:space="preserve"> 10 </w:t>
      </w:r>
      <w:r w:rsidR="005E7D90" w:rsidRPr="00D869E3">
        <w:rPr>
          <w:rFonts w:ascii="Verdana" w:eastAsia="Cambria" w:hAnsi="Verdana"/>
          <w:sz w:val="20"/>
          <w:szCs w:val="20"/>
          <w:lang w:val="en-US"/>
        </w:rPr>
        <w:t xml:space="preserve">of the European Convention </w:t>
      </w:r>
      <w:r w:rsidR="00C41937" w:rsidRPr="00D869E3">
        <w:rPr>
          <w:rFonts w:ascii="Verdana" w:eastAsia="Cambria" w:hAnsi="Verdana"/>
          <w:sz w:val="20"/>
          <w:szCs w:val="20"/>
          <w:lang w:val="en-US"/>
        </w:rPr>
        <w:t>(</w:t>
      </w:r>
      <w:r w:rsidR="005E7D90" w:rsidRPr="00D869E3">
        <w:rPr>
          <w:rFonts w:ascii="Verdana" w:eastAsia="Cambria" w:hAnsi="Verdana"/>
          <w:sz w:val="20"/>
          <w:szCs w:val="20"/>
          <w:lang w:val="en-US"/>
        </w:rPr>
        <w:t>F</w:t>
      </w:r>
      <w:r w:rsidR="00A62EA8" w:rsidRPr="00D869E3">
        <w:rPr>
          <w:rFonts w:ascii="Verdana" w:eastAsia="Cambria" w:hAnsi="Verdana"/>
          <w:sz w:val="20"/>
          <w:szCs w:val="20"/>
          <w:lang w:val="en-US"/>
        </w:rPr>
        <w:t xml:space="preserve">reedom of </w:t>
      </w:r>
      <w:r w:rsidR="00314A91" w:rsidRPr="00D869E3">
        <w:rPr>
          <w:rFonts w:ascii="Verdana" w:eastAsia="Cambria" w:hAnsi="Verdana"/>
          <w:sz w:val="20"/>
          <w:szCs w:val="20"/>
          <w:lang w:val="en-US"/>
        </w:rPr>
        <w:t>E</w:t>
      </w:r>
      <w:r w:rsidR="00A62EA8" w:rsidRPr="00D869E3">
        <w:rPr>
          <w:rFonts w:ascii="Verdana" w:eastAsia="Cambria" w:hAnsi="Verdana"/>
          <w:sz w:val="20"/>
          <w:szCs w:val="20"/>
          <w:lang w:val="en-US"/>
        </w:rPr>
        <w:t>xpression</w:t>
      </w:r>
      <w:r w:rsidR="00C41937" w:rsidRPr="00D869E3">
        <w:rPr>
          <w:rFonts w:ascii="Verdana" w:eastAsia="Cambria" w:hAnsi="Verdana"/>
          <w:sz w:val="20"/>
          <w:szCs w:val="20"/>
          <w:lang w:val="en-US"/>
        </w:rPr>
        <w:t xml:space="preserve">) </w:t>
      </w:r>
      <w:r w:rsidR="005E7D90" w:rsidRPr="00D869E3">
        <w:rPr>
          <w:rFonts w:ascii="Verdana" w:eastAsia="Cambria" w:hAnsi="Verdana"/>
          <w:sz w:val="20"/>
          <w:szCs w:val="20"/>
          <w:lang w:val="en-US"/>
        </w:rPr>
        <w:t>prevails not only in relations between employer and employee when these are governed by public law, but may also apply when these relations are governed by private law.</w:t>
      </w:r>
      <w:r w:rsidR="00C41937" w:rsidRPr="00D869E3">
        <w:rPr>
          <w:rFonts w:ascii="Verdana" w:eastAsia="Cambria" w:hAnsi="Verdana"/>
          <w:sz w:val="20"/>
          <w:szCs w:val="20"/>
          <w:vertAlign w:val="superscript"/>
          <w:lang w:val="en-US"/>
        </w:rPr>
        <w:footnoteReference w:id="122"/>
      </w:r>
      <w:r w:rsidR="00C41937" w:rsidRPr="00D869E3">
        <w:rPr>
          <w:rFonts w:ascii="Verdana" w:hAnsi="Verdana"/>
          <w:sz w:val="18"/>
          <w:szCs w:val="20"/>
          <w:lang w:val="en-US"/>
        </w:rPr>
        <w:t xml:space="preserve"> </w:t>
      </w:r>
      <w:r w:rsidR="005E7D90" w:rsidRPr="00D869E3">
        <w:rPr>
          <w:rFonts w:ascii="Verdana" w:hAnsi="Verdana"/>
          <w:sz w:val="20"/>
          <w:szCs w:val="20"/>
          <w:lang w:val="en-US"/>
        </w:rPr>
        <w:t>I</w:t>
      </w:r>
      <w:r w:rsidR="00C41937" w:rsidRPr="00D869E3">
        <w:rPr>
          <w:rFonts w:ascii="Verdana" w:hAnsi="Verdana"/>
          <w:sz w:val="20"/>
          <w:szCs w:val="20"/>
          <w:lang w:val="en-US"/>
        </w:rPr>
        <w:t xml:space="preserve">n particular, </w:t>
      </w:r>
      <w:r w:rsidR="005E7D90" w:rsidRPr="00D869E3">
        <w:rPr>
          <w:rFonts w:ascii="Verdana" w:hAnsi="Verdana"/>
          <w:sz w:val="20"/>
          <w:szCs w:val="20"/>
          <w:lang w:val="en-US"/>
        </w:rPr>
        <w:t>in application of the protection of f</w:t>
      </w:r>
      <w:r w:rsidR="008B63E1" w:rsidRPr="00D869E3">
        <w:rPr>
          <w:rFonts w:ascii="Verdana" w:hAnsi="Verdana"/>
          <w:sz w:val="20"/>
          <w:szCs w:val="20"/>
          <w:lang w:val="en-US"/>
        </w:rPr>
        <w:t>reedom of expression in labor contexts</w:t>
      </w:r>
      <w:r w:rsidR="00C41937" w:rsidRPr="00D869E3">
        <w:rPr>
          <w:rFonts w:ascii="Verdana" w:hAnsi="Verdana"/>
          <w:sz w:val="20"/>
          <w:szCs w:val="20"/>
          <w:lang w:val="en-US"/>
        </w:rPr>
        <w:t xml:space="preserve"> </w:t>
      </w:r>
      <w:r w:rsidR="005E7D90" w:rsidRPr="00D869E3">
        <w:rPr>
          <w:rFonts w:ascii="Verdana" w:hAnsi="Verdana"/>
          <w:sz w:val="20"/>
          <w:szCs w:val="20"/>
          <w:lang w:val="en-US"/>
        </w:rPr>
        <w:t>between private individuals</w:t>
      </w:r>
      <w:r w:rsidR="00C41937"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005E7D90" w:rsidRPr="00D869E3">
        <w:rPr>
          <w:rFonts w:ascii="Verdana" w:hAnsi="Verdana"/>
          <w:sz w:val="20"/>
          <w:szCs w:val="20"/>
          <w:lang w:val="en-US"/>
        </w:rPr>
        <w:t>European Court</w:t>
      </w:r>
      <w:r w:rsidR="00C41937" w:rsidRPr="00D869E3">
        <w:rPr>
          <w:rFonts w:ascii="Verdana" w:hAnsi="Verdana"/>
          <w:sz w:val="20"/>
          <w:szCs w:val="20"/>
          <w:lang w:val="en-US"/>
        </w:rPr>
        <w:t xml:space="preserve"> ha</w:t>
      </w:r>
      <w:r w:rsidR="005E7D90" w:rsidRPr="00D869E3">
        <w:rPr>
          <w:rFonts w:ascii="Verdana" w:hAnsi="Verdana"/>
          <w:sz w:val="20"/>
          <w:szCs w:val="20"/>
          <w:lang w:val="en-US"/>
        </w:rPr>
        <w:t xml:space="preserve">s analyzed whether interference in this right may be attributed to </w:t>
      </w:r>
      <w:r w:rsidR="00314A91" w:rsidRPr="00D869E3">
        <w:rPr>
          <w:rFonts w:ascii="Verdana" w:hAnsi="Verdana"/>
          <w:sz w:val="20"/>
          <w:szCs w:val="20"/>
          <w:lang w:val="en-US"/>
        </w:rPr>
        <w:t>court</w:t>
      </w:r>
      <w:r w:rsidR="005E7D90" w:rsidRPr="00D869E3">
        <w:rPr>
          <w:rFonts w:ascii="Verdana" w:hAnsi="Verdana"/>
          <w:sz w:val="20"/>
          <w:szCs w:val="20"/>
          <w:lang w:val="en-US"/>
        </w:rPr>
        <w:t xml:space="preserve"> decisions that </w:t>
      </w:r>
      <w:r w:rsidR="00D329A8" w:rsidRPr="00D869E3">
        <w:rPr>
          <w:rFonts w:ascii="Verdana" w:hAnsi="Verdana"/>
          <w:sz w:val="20"/>
          <w:szCs w:val="20"/>
          <w:lang w:val="en-US"/>
        </w:rPr>
        <w:t>ratify</w:t>
      </w:r>
      <w:r w:rsidR="005E7D90" w:rsidRPr="00D869E3">
        <w:rPr>
          <w:rFonts w:ascii="Verdana" w:hAnsi="Verdana"/>
          <w:sz w:val="20"/>
          <w:szCs w:val="20"/>
          <w:lang w:val="en-US"/>
        </w:rPr>
        <w:t xml:space="preserve"> dismissal or another penalty.</w:t>
      </w:r>
      <w:r w:rsidR="00C41937" w:rsidRPr="00D869E3">
        <w:rPr>
          <w:rFonts w:ascii="Verdana" w:hAnsi="Verdana"/>
          <w:sz w:val="20"/>
          <w:szCs w:val="20"/>
          <w:vertAlign w:val="superscript"/>
          <w:lang w:val="en-US"/>
        </w:rPr>
        <w:footnoteReference w:id="123"/>
      </w:r>
      <w:r w:rsidR="00C41937" w:rsidRPr="00D869E3">
        <w:rPr>
          <w:rFonts w:ascii="Verdana" w:hAnsi="Verdana"/>
          <w:color w:val="222222"/>
          <w:sz w:val="20"/>
          <w:szCs w:val="20"/>
          <w:lang w:val="en-US"/>
        </w:rPr>
        <w:t xml:space="preserve"> </w:t>
      </w:r>
    </w:p>
    <w:p w14:paraId="67A66A18" w14:textId="77777777" w:rsidR="00C01305" w:rsidRPr="00D869E3" w:rsidRDefault="00C01305" w:rsidP="00262F28">
      <w:pPr>
        <w:contextualSpacing/>
        <w:rPr>
          <w:rFonts w:ascii="Verdana" w:eastAsia="Times New Roman" w:hAnsi="Verdana" w:cs="Arial"/>
          <w:sz w:val="20"/>
          <w:szCs w:val="20"/>
          <w:lang w:val="en-US"/>
        </w:rPr>
      </w:pPr>
    </w:p>
    <w:p w14:paraId="054B7E74" w14:textId="37A7DD51" w:rsidR="00622991" w:rsidRPr="00D869E3" w:rsidRDefault="00622991" w:rsidP="00E66DD7">
      <w:pPr>
        <w:numPr>
          <w:ilvl w:val="0"/>
          <w:numId w:val="1"/>
        </w:numPr>
        <w:autoSpaceDE w:val="0"/>
        <w:autoSpaceDN w:val="0"/>
        <w:adjustRightInd w:val="0"/>
        <w:ind w:left="0" w:firstLine="0"/>
        <w:contextualSpacing/>
        <w:jc w:val="both"/>
        <w:rPr>
          <w:rFonts w:ascii="Verdana" w:hAnsi="Verdana"/>
          <w:sz w:val="20"/>
          <w:lang w:val="en-US"/>
        </w:rPr>
      </w:pPr>
      <w:r w:rsidRPr="00D869E3">
        <w:rPr>
          <w:rFonts w:ascii="Verdana" w:hAnsi="Verdana"/>
          <w:sz w:val="20"/>
          <w:szCs w:val="20"/>
          <w:lang w:val="en-US"/>
        </w:rPr>
        <w:t>This is why, the Court reaffirms that, the sphere of protection of the right to freedom of thought and expression is particularly applicable to workplace contexts such as in the instant case, and in such contexts the State must not only respect this right, but also guarantee it, so that the workers or their representatives may also exercise it</w:t>
      </w:r>
      <w:r w:rsidR="00C01305" w:rsidRPr="00D869E3">
        <w:rPr>
          <w:rFonts w:ascii="Verdana" w:hAnsi="Verdana"/>
          <w:sz w:val="20"/>
          <w:lang w:val="en-US"/>
        </w:rPr>
        <w:t xml:space="preserve">. </w:t>
      </w:r>
      <w:r w:rsidRPr="00D869E3">
        <w:rPr>
          <w:rFonts w:ascii="Verdana" w:hAnsi="Verdana"/>
          <w:sz w:val="20"/>
          <w:szCs w:val="20"/>
          <w:lang w:val="en-US"/>
        </w:rPr>
        <w:t>Thus, should a general or public interest be involved, a higher degree of protection of freedom of expression is required;</w:t>
      </w:r>
      <w:r w:rsidRPr="00D869E3">
        <w:rPr>
          <w:rFonts w:ascii="Verdana" w:hAnsi="Verdana"/>
          <w:sz w:val="20"/>
          <w:vertAlign w:val="superscript"/>
          <w:lang w:val="en-US"/>
        </w:rPr>
        <w:footnoteReference w:id="124"/>
      </w:r>
      <w:r w:rsidRPr="00D869E3">
        <w:rPr>
          <w:rFonts w:ascii="Verdana" w:hAnsi="Verdana"/>
          <w:sz w:val="20"/>
          <w:szCs w:val="20"/>
          <w:lang w:val="en-US"/>
        </w:rPr>
        <w:t xml:space="preserve"> particularly with regard to those who have a mandate to represent others.</w:t>
      </w:r>
    </w:p>
    <w:p w14:paraId="45F74B1F" w14:textId="77777777" w:rsidR="00C01305" w:rsidRPr="00D869E3" w:rsidRDefault="00C01305" w:rsidP="00C01305">
      <w:pPr>
        <w:autoSpaceDE w:val="0"/>
        <w:autoSpaceDN w:val="0"/>
        <w:adjustRightInd w:val="0"/>
        <w:spacing w:before="120"/>
        <w:contextualSpacing/>
        <w:jc w:val="both"/>
        <w:rPr>
          <w:rFonts w:ascii="Verdana" w:eastAsia="Times New Roman" w:hAnsi="Verdana" w:cs="Arial"/>
          <w:b/>
          <w:sz w:val="20"/>
          <w:szCs w:val="20"/>
          <w:lang w:val="en-US"/>
        </w:rPr>
      </w:pPr>
    </w:p>
    <w:p w14:paraId="568DBB11" w14:textId="3A00D0AD" w:rsidR="002A7B50" w:rsidRPr="00D869E3" w:rsidRDefault="00314A91" w:rsidP="00E66DD7">
      <w:pPr>
        <w:numPr>
          <w:ilvl w:val="0"/>
          <w:numId w:val="1"/>
        </w:numPr>
        <w:autoSpaceDE w:val="0"/>
        <w:autoSpaceDN w:val="0"/>
        <w:adjustRightInd w:val="0"/>
        <w:ind w:left="0" w:firstLine="0"/>
        <w:contextualSpacing/>
        <w:jc w:val="both"/>
        <w:rPr>
          <w:rFonts w:ascii="Verdana" w:eastAsia="Times New Roman" w:hAnsi="Verdana" w:cs="Arial"/>
          <w:b/>
          <w:sz w:val="20"/>
          <w:szCs w:val="20"/>
          <w:lang w:val="en-US"/>
        </w:rPr>
      </w:pPr>
      <w:r w:rsidRPr="00D869E3">
        <w:rPr>
          <w:rFonts w:ascii="Verdana" w:eastAsia="Times New Roman" w:hAnsi="Verdana" w:cs="Arial"/>
          <w:sz w:val="20"/>
          <w:szCs w:val="20"/>
          <w:lang w:val="en-US"/>
        </w:rPr>
        <w:t>The</w:t>
      </w:r>
      <w:r w:rsidR="00622991" w:rsidRPr="00D869E3">
        <w:rPr>
          <w:rFonts w:ascii="Verdana" w:eastAsia="Times New Roman" w:hAnsi="Verdana" w:cs="Arial"/>
          <w:sz w:val="20"/>
          <w:szCs w:val="20"/>
          <w:lang w:val="en-US"/>
        </w:rPr>
        <w:t xml:space="preserve"> Court will </w:t>
      </w:r>
      <w:r w:rsidRPr="00D869E3">
        <w:rPr>
          <w:rFonts w:ascii="Verdana" w:eastAsia="Times New Roman" w:hAnsi="Verdana" w:cs="Arial"/>
          <w:sz w:val="20"/>
          <w:szCs w:val="20"/>
          <w:lang w:val="en-US"/>
        </w:rPr>
        <w:t>therefore ascertain</w:t>
      </w:r>
      <w:r w:rsidR="00622991" w:rsidRPr="00D869E3">
        <w:rPr>
          <w:rFonts w:ascii="Verdana" w:eastAsia="Times New Roman" w:hAnsi="Verdana" w:cs="Arial"/>
          <w:sz w:val="20"/>
          <w:szCs w:val="20"/>
          <w:lang w:val="en-US"/>
        </w:rPr>
        <w:t xml:space="preserve"> whether, in </w:t>
      </w:r>
      <w:r w:rsidR="004848D5" w:rsidRPr="00D869E3">
        <w:rPr>
          <w:rFonts w:ascii="Verdana" w:eastAsia="Times New Roman" w:hAnsi="Verdana" w:cs="Arial"/>
          <w:sz w:val="20"/>
          <w:szCs w:val="20"/>
          <w:lang w:val="en-US"/>
        </w:rPr>
        <w:t>this</w:t>
      </w:r>
      <w:r w:rsidR="00622991" w:rsidRPr="00D869E3">
        <w:rPr>
          <w:rFonts w:ascii="Verdana" w:eastAsia="Times New Roman" w:hAnsi="Verdana" w:cs="Arial"/>
          <w:sz w:val="20"/>
          <w:szCs w:val="20"/>
          <w:lang w:val="en-US"/>
        </w:rPr>
        <w:t xml:space="preserve"> case, in </w:t>
      </w:r>
      <w:r w:rsidR="004848D5" w:rsidRPr="00D869E3">
        <w:rPr>
          <w:rFonts w:ascii="Verdana" w:eastAsia="Times New Roman" w:hAnsi="Verdana" w:cs="Arial"/>
          <w:sz w:val="20"/>
          <w:szCs w:val="20"/>
          <w:lang w:val="en-US"/>
        </w:rPr>
        <w:t>relation to</w:t>
      </w:r>
      <w:r w:rsidR="00622991" w:rsidRPr="00D869E3">
        <w:rPr>
          <w:rFonts w:ascii="Verdana" w:eastAsia="Times New Roman" w:hAnsi="Verdana" w:cs="Arial"/>
          <w:sz w:val="20"/>
          <w:szCs w:val="20"/>
          <w:lang w:val="en-US"/>
        </w:rPr>
        <w:t xml:space="preserve"> preserv</w:t>
      </w:r>
      <w:r w:rsidR="004848D5" w:rsidRPr="00D869E3">
        <w:rPr>
          <w:rFonts w:ascii="Verdana" w:eastAsia="Times New Roman" w:hAnsi="Verdana" w:cs="Arial"/>
          <w:sz w:val="20"/>
          <w:szCs w:val="20"/>
          <w:lang w:val="en-US"/>
        </w:rPr>
        <w:t>ation of</w:t>
      </w:r>
      <w:r w:rsidR="00622991" w:rsidRPr="00D869E3">
        <w:rPr>
          <w:rFonts w:ascii="Verdana" w:eastAsia="Times New Roman" w:hAnsi="Verdana" w:cs="Arial"/>
          <w:sz w:val="20"/>
          <w:szCs w:val="20"/>
          <w:lang w:val="en-US"/>
        </w:rPr>
        <w:t xml:space="preserve"> the rights alleged by </w:t>
      </w:r>
      <w:r w:rsidR="00687684" w:rsidRPr="00D869E3">
        <w:rPr>
          <w:rFonts w:ascii="Verdana" w:eastAsia="Times New Roman" w:hAnsi="Verdana" w:cs="Arial"/>
          <w:sz w:val="20"/>
          <w:szCs w:val="20"/>
          <w:lang w:val="en-US"/>
        </w:rPr>
        <w:t>the presumed victim</w:t>
      </w:r>
      <w:r w:rsidR="004848D5" w:rsidRPr="00D869E3">
        <w:rPr>
          <w:rFonts w:ascii="Verdana" w:eastAsia="Times New Roman" w:hAnsi="Verdana" w:cs="Arial"/>
          <w:sz w:val="20"/>
          <w:szCs w:val="20"/>
          <w:lang w:val="en-US"/>
        </w:rPr>
        <w:t>,</w:t>
      </w:r>
      <w:r w:rsidR="002A7B50" w:rsidRPr="00D869E3">
        <w:rPr>
          <w:rFonts w:ascii="Verdana" w:eastAsia="Times New Roman" w:hAnsi="Verdana" w:cs="Arial"/>
          <w:sz w:val="20"/>
          <w:szCs w:val="20"/>
          <w:lang w:val="en-US"/>
        </w:rPr>
        <w:t xml:space="preserve"> </w:t>
      </w:r>
      <w:r w:rsidR="00622991" w:rsidRPr="00D869E3">
        <w:rPr>
          <w:rFonts w:ascii="Verdana" w:eastAsia="Times New Roman" w:hAnsi="Verdana" w:cs="Arial"/>
          <w:sz w:val="20"/>
          <w:szCs w:val="20"/>
          <w:lang w:val="en-US"/>
        </w:rPr>
        <w:t xml:space="preserve">the second instance decision </w:t>
      </w:r>
      <w:r w:rsidRPr="00D869E3">
        <w:rPr>
          <w:rFonts w:ascii="Verdana" w:eastAsia="Times New Roman" w:hAnsi="Verdana" w:cs="Arial"/>
          <w:sz w:val="20"/>
          <w:szCs w:val="20"/>
          <w:lang w:val="en-US"/>
        </w:rPr>
        <w:t>endorsing his dismissal constituted a violation of freedom of expression</w:t>
      </w:r>
      <w:r w:rsidR="004848D5" w:rsidRPr="00D869E3">
        <w:rPr>
          <w:rFonts w:ascii="Verdana" w:eastAsia="Times New Roman" w:hAnsi="Verdana" w:cs="Arial"/>
          <w:sz w:val="20"/>
          <w:szCs w:val="20"/>
          <w:lang w:val="en-US"/>
        </w:rPr>
        <w:t xml:space="preserve"> in the context of labor relations</w:t>
      </w:r>
      <w:r w:rsidR="00622991" w:rsidRPr="00D869E3">
        <w:rPr>
          <w:rFonts w:ascii="Verdana" w:eastAsia="Times New Roman" w:hAnsi="Verdana" w:cs="Arial"/>
          <w:sz w:val="20"/>
          <w:szCs w:val="20"/>
          <w:lang w:val="en-US"/>
        </w:rPr>
        <w:t>.</w:t>
      </w:r>
      <w:r w:rsidR="002A7B50" w:rsidRPr="00D869E3">
        <w:rPr>
          <w:rStyle w:val="Refdenotaalpie"/>
          <w:rFonts w:eastAsia="Times New Roman"/>
          <w:szCs w:val="20"/>
          <w:lang w:val="en-US"/>
        </w:rPr>
        <w:footnoteReference w:id="125"/>
      </w:r>
    </w:p>
    <w:p w14:paraId="35ECFAEB" w14:textId="77777777" w:rsidR="002A7B50" w:rsidRPr="00D869E3" w:rsidRDefault="002A7B50" w:rsidP="00C01305">
      <w:pPr>
        <w:autoSpaceDE w:val="0"/>
        <w:autoSpaceDN w:val="0"/>
        <w:adjustRightInd w:val="0"/>
        <w:spacing w:before="120"/>
        <w:contextualSpacing/>
        <w:jc w:val="both"/>
        <w:rPr>
          <w:rFonts w:ascii="Verdana" w:eastAsia="Times New Roman" w:hAnsi="Verdana" w:cs="Arial"/>
          <w:b/>
          <w:sz w:val="20"/>
          <w:szCs w:val="20"/>
          <w:lang w:val="en-US"/>
        </w:rPr>
      </w:pPr>
    </w:p>
    <w:p w14:paraId="3B09C73E" w14:textId="08D6004A" w:rsidR="00C01305" w:rsidRPr="00D869E3" w:rsidRDefault="00B44B46" w:rsidP="00E66DD7">
      <w:pPr>
        <w:pStyle w:val="Ttulo3"/>
        <w:numPr>
          <w:ilvl w:val="1"/>
          <w:numId w:val="11"/>
        </w:numPr>
        <w:rPr>
          <w:i/>
          <w:lang w:val="en-US"/>
        </w:rPr>
      </w:pPr>
      <w:bookmarkStart w:id="42" w:name="_Toc29114133"/>
      <w:r w:rsidRPr="00D869E3">
        <w:rPr>
          <w:i/>
          <w:lang w:val="en-US"/>
        </w:rPr>
        <w:t>Analysis of the necessity</w:t>
      </w:r>
      <w:r w:rsidR="008B63E1" w:rsidRPr="00D869E3">
        <w:rPr>
          <w:i/>
          <w:lang w:val="en-US"/>
        </w:rPr>
        <w:t xml:space="preserve"> and reasonableness of the restriction in this case</w:t>
      </w:r>
      <w:bookmarkEnd w:id="42"/>
    </w:p>
    <w:p w14:paraId="76155D6A" w14:textId="39E760E6" w:rsidR="00604459" w:rsidRPr="00D869E3" w:rsidRDefault="00604459" w:rsidP="00604459">
      <w:pPr>
        <w:pStyle w:val="Prrafodelista"/>
        <w:ind w:left="1080"/>
        <w:rPr>
          <w:rFonts w:ascii="Verdana" w:hAnsi="Verdana"/>
          <w:lang w:val="en-US"/>
        </w:rPr>
      </w:pPr>
    </w:p>
    <w:p w14:paraId="46C877F3" w14:textId="2C4E3813" w:rsidR="00C01305" w:rsidRPr="00D869E3" w:rsidRDefault="00447C65" w:rsidP="00F10D93">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pacing w:val="-3"/>
          <w:sz w:val="20"/>
          <w:szCs w:val="20"/>
          <w:lang w:val="en-US"/>
        </w:rPr>
        <w:t>The Court</w:t>
      </w:r>
      <w:r w:rsidR="00F10D93" w:rsidRPr="00D869E3">
        <w:rPr>
          <w:rFonts w:ascii="Verdana" w:hAnsi="Verdana"/>
          <w:spacing w:val="-3"/>
          <w:sz w:val="20"/>
          <w:szCs w:val="20"/>
          <w:lang w:val="en-US"/>
        </w:rPr>
        <w:t xml:space="preserve"> has repeatedly indicated that freedom of expression is not an absolute right. Article</w:t>
      </w:r>
      <w:r w:rsidR="00F10D93" w:rsidRPr="00D869E3">
        <w:rPr>
          <w:rFonts w:ascii="Verdana" w:hAnsi="Verdana"/>
          <w:sz w:val="20"/>
          <w:szCs w:val="20"/>
          <w:lang w:val="en-US"/>
        </w:rPr>
        <w:t xml:space="preserve"> 13(2) of the Convention, which prohibits prior censorship, also establishes the possibility of the subsequent imposition of liability for the abusive exercise of this right, including to ensure “respect for the rights or reputations of others” </w:t>
      </w:r>
      <w:r w:rsidR="00F10D93" w:rsidRPr="00D869E3">
        <w:rPr>
          <w:rFonts w:ascii="Verdana" w:hAnsi="Verdana"/>
          <w:spacing w:val="-2"/>
          <w:sz w:val="20"/>
          <w:szCs w:val="20"/>
          <w:lang w:val="en-US"/>
        </w:rPr>
        <w:t xml:space="preserve">(subparagraph (a) of Article 13(2)). These restrictions are of an exceptional nature and should not limit, beyond strictly necessary, the full exercise of </w:t>
      </w:r>
      <w:r w:rsidR="00F10D93" w:rsidRPr="00D869E3">
        <w:rPr>
          <w:rFonts w:ascii="Verdana" w:hAnsi="Verdana"/>
          <w:sz w:val="20"/>
          <w:szCs w:val="20"/>
          <w:lang w:val="en-US"/>
        </w:rPr>
        <w:t>freedom of expression and become a direct or indirect means of prior censorship.</w:t>
      </w:r>
      <w:r w:rsidR="00C01305" w:rsidRPr="00D869E3">
        <w:rPr>
          <w:rFonts w:ascii="Verdana" w:hAnsi="Verdana"/>
          <w:sz w:val="20"/>
          <w:szCs w:val="20"/>
          <w:vertAlign w:val="superscript"/>
          <w:lang w:val="en-US"/>
        </w:rPr>
        <w:footnoteReference w:id="126"/>
      </w:r>
      <w:r w:rsidR="00C01305" w:rsidRPr="00D869E3">
        <w:rPr>
          <w:rFonts w:ascii="Verdana" w:hAnsi="Verdana"/>
          <w:sz w:val="20"/>
          <w:szCs w:val="20"/>
          <w:lang w:val="en-US"/>
        </w:rPr>
        <w:t xml:space="preserve"> </w:t>
      </w:r>
      <w:r w:rsidR="00F10D93" w:rsidRPr="00D869E3">
        <w:rPr>
          <w:rFonts w:ascii="Verdana" w:hAnsi="Verdana"/>
          <w:sz w:val="20"/>
          <w:szCs w:val="20"/>
          <w:lang w:val="en-US"/>
        </w:rPr>
        <w:t>Thus, the Court has established that liability may be imposed subsequently if the right to honor and reputation may have been affected.</w:t>
      </w:r>
      <w:r w:rsidR="00C01305" w:rsidRPr="00D869E3">
        <w:rPr>
          <w:rFonts w:ascii="Verdana" w:eastAsia="Times New Roman" w:hAnsi="Verdana"/>
          <w:spacing w:val="-2"/>
          <w:sz w:val="20"/>
          <w:szCs w:val="20"/>
          <w:vertAlign w:val="superscript"/>
          <w:lang w:val="en-US"/>
        </w:rPr>
        <w:footnoteReference w:id="127"/>
      </w:r>
      <w:r w:rsidR="00C01305" w:rsidRPr="00D869E3">
        <w:rPr>
          <w:rFonts w:ascii="Verdana" w:eastAsia="Times New Roman" w:hAnsi="Verdana"/>
          <w:spacing w:val="-2"/>
          <w:lang w:val="en-US"/>
        </w:rPr>
        <w:t xml:space="preserve"> </w:t>
      </w:r>
    </w:p>
    <w:p w14:paraId="13AE7ADA" w14:textId="77777777" w:rsidR="00C01305" w:rsidRPr="00D869E3" w:rsidRDefault="00C01305" w:rsidP="00CA58EF">
      <w:pPr>
        <w:contextualSpacing/>
        <w:rPr>
          <w:rFonts w:ascii="Verdana" w:hAnsi="Verdana"/>
          <w:sz w:val="20"/>
          <w:szCs w:val="20"/>
          <w:lang w:val="en-US"/>
        </w:rPr>
      </w:pPr>
    </w:p>
    <w:p w14:paraId="27ABA668" w14:textId="20FB57CB" w:rsidR="00C01305" w:rsidRPr="00D869E3" w:rsidRDefault="00447C65" w:rsidP="00F10D93">
      <w:pPr>
        <w:numPr>
          <w:ilvl w:val="0"/>
          <w:numId w:val="1"/>
        </w:numPr>
        <w:autoSpaceDE w:val="0"/>
        <w:autoSpaceDN w:val="0"/>
        <w:adjustRightInd w:val="0"/>
        <w:ind w:left="0" w:firstLine="0"/>
        <w:contextualSpacing/>
        <w:jc w:val="both"/>
        <w:rPr>
          <w:rFonts w:ascii="Verdana" w:hAnsi="Verdana" w:cs="Verdana"/>
          <w:b/>
          <w:bCs/>
          <w:spacing w:val="-2"/>
          <w:sz w:val="20"/>
          <w:szCs w:val="20"/>
          <w:lang w:val="en-US"/>
        </w:rPr>
      </w:pPr>
      <w:bookmarkStart w:id="43" w:name="_Ref370754675"/>
      <w:r w:rsidRPr="00D869E3">
        <w:rPr>
          <w:rFonts w:ascii="Verdana" w:hAnsi="Verdana"/>
          <w:spacing w:val="-3"/>
          <w:sz w:val="20"/>
          <w:szCs w:val="20"/>
          <w:lang w:val="en-US"/>
        </w:rPr>
        <w:lastRenderedPageBreak/>
        <w:t>Article</w:t>
      </w:r>
      <w:r w:rsidR="00C01305" w:rsidRPr="00D869E3">
        <w:rPr>
          <w:rFonts w:ascii="Verdana" w:hAnsi="Verdana" w:cs="Verdana"/>
          <w:spacing w:val="-2"/>
          <w:sz w:val="20"/>
          <w:szCs w:val="20"/>
          <w:lang w:val="en-US"/>
        </w:rPr>
        <w:t xml:space="preserve"> 11</w:t>
      </w:r>
      <w:r w:rsidRPr="00D869E3">
        <w:rPr>
          <w:rFonts w:ascii="Verdana" w:hAnsi="Verdana" w:cs="Verdana"/>
          <w:spacing w:val="-2"/>
          <w:sz w:val="20"/>
          <w:szCs w:val="20"/>
          <w:lang w:val="en-US"/>
        </w:rPr>
        <w:t xml:space="preserve"> of the Convention</w:t>
      </w:r>
      <w:r w:rsidR="00C01305" w:rsidRPr="00D869E3">
        <w:rPr>
          <w:rFonts w:ascii="Verdana" w:hAnsi="Verdana" w:cs="Verdana"/>
          <w:spacing w:val="-2"/>
          <w:sz w:val="20"/>
          <w:szCs w:val="20"/>
          <w:lang w:val="en-US"/>
        </w:rPr>
        <w:t xml:space="preserve"> </w:t>
      </w:r>
      <w:r w:rsidR="00F10D93" w:rsidRPr="00D869E3">
        <w:rPr>
          <w:rFonts w:ascii="Verdana" w:hAnsi="Verdana" w:cs="Verdana"/>
          <w:spacing w:val="-2"/>
          <w:sz w:val="20"/>
          <w:szCs w:val="20"/>
          <w:lang w:val="en-US"/>
        </w:rPr>
        <w:t>establishes that everyone has the right to the protection of his honor and recognition of his dignity. The Court has indicated that the right to honor “recognizes that everyone has the right to have their honor respected, prohibits any unlawful attack on honor and reputation, and imposes on States the obligation to provide the protection of the law against such attacks. In general. The Court has indicated that the right to honor relates to self-esteem and self-worth, while the right to reputation relate to the opinion that others have of a person.</w:t>
      </w:r>
      <w:r w:rsidR="006436CA" w:rsidRPr="00D869E3">
        <w:rPr>
          <w:rFonts w:ascii="Verdana" w:hAnsi="Verdana" w:cs="Verdana"/>
          <w:spacing w:val="-2"/>
          <w:sz w:val="20"/>
          <w:szCs w:val="20"/>
          <w:lang w:val="en-US"/>
        </w:rPr>
        <w:t>”</w:t>
      </w:r>
      <w:r w:rsidR="00C01305" w:rsidRPr="00D869E3">
        <w:rPr>
          <w:rFonts w:ascii="Verdana" w:hAnsi="Verdana" w:cs="Verdana"/>
          <w:spacing w:val="-2"/>
          <w:sz w:val="20"/>
          <w:szCs w:val="20"/>
          <w:vertAlign w:val="superscript"/>
          <w:lang w:val="en-US"/>
        </w:rPr>
        <w:footnoteReference w:id="128"/>
      </w:r>
      <w:bookmarkEnd w:id="43"/>
      <w:r w:rsidR="00C01305" w:rsidRPr="00D869E3">
        <w:rPr>
          <w:rFonts w:ascii="Verdana" w:hAnsi="Verdana" w:cs="Verdana"/>
          <w:spacing w:val="-2"/>
          <w:sz w:val="20"/>
          <w:szCs w:val="20"/>
          <w:lang w:val="en-US"/>
        </w:rPr>
        <w:t xml:space="preserve">  </w:t>
      </w:r>
    </w:p>
    <w:p w14:paraId="433E7114" w14:textId="77777777" w:rsidR="00F10D93" w:rsidRPr="00D869E3" w:rsidRDefault="00F10D93" w:rsidP="00F10D93">
      <w:pPr>
        <w:pStyle w:val="Prrafodelista"/>
        <w:rPr>
          <w:rFonts w:ascii="Verdana" w:hAnsi="Verdana" w:cs="Verdana"/>
          <w:b/>
          <w:bCs/>
          <w:spacing w:val="-2"/>
          <w:sz w:val="20"/>
          <w:szCs w:val="20"/>
          <w:lang w:val="en-US"/>
        </w:rPr>
      </w:pPr>
    </w:p>
    <w:p w14:paraId="65B694E6" w14:textId="479474B7" w:rsidR="00C01305" w:rsidRPr="00D869E3" w:rsidRDefault="00075E68" w:rsidP="00F10D93">
      <w:pPr>
        <w:numPr>
          <w:ilvl w:val="0"/>
          <w:numId w:val="1"/>
        </w:numPr>
        <w:autoSpaceDE w:val="0"/>
        <w:autoSpaceDN w:val="0"/>
        <w:adjustRightInd w:val="0"/>
        <w:ind w:left="0" w:firstLine="0"/>
        <w:contextualSpacing/>
        <w:jc w:val="both"/>
        <w:rPr>
          <w:rFonts w:ascii="Verdana" w:hAnsi="Verdana" w:cs="Verdana"/>
          <w:b/>
          <w:bCs/>
          <w:spacing w:val="-2"/>
          <w:sz w:val="20"/>
          <w:szCs w:val="20"/>
          <w:lang w:val="en-US"/>
        </w:rPr>
      </w:pPr>
      <w:r w:rsidRPr="00D869E3">
        <w:rPr>
          <w:rFonts w:ascii="Verdana" w:hAnsi="Verdana"/>
          <w:spacing w:val="-2"/>
          <w:sz w:val="20"/>
          <w:szCs w:val="20"/>
          <w:lang w:val="en-US"/>
        </w:rPr>
        <w:t>In this regard</w:t>
      </w:r>
      <w:r w:rsidR="00C01305" w:rsidRPr="00D869E3">
        <w:rPr>
          <w:rFonts w:ascii="Verdana" w:hAnsi="Verdana"/>
          <w:spacing w:val="-2"/>
          <w:sz w:val="20"/>
          <w:szCs w:val="20"/>
          <w:lang w:val="en-US"/>
        </w:rPr>
        <w:t xml:space="preserve">, </w:t>
      </w:r>
      <w:r w:rsidR="00F10D93" w:rsidRPr="00D869E3">
        <w:rPr>
          <w:rFonts w:ascii="Verdana" w:hAnsi="Verdana"/>
          <w:spacing w:val="-2"/>
          <w:sz w:val="20"/>
          <w:szCs w:val="20"/>
          <w:lang w:val="en-US"/>
        </w:rPr>
        <w:t>the Court has maintained that, “both freedom of expression and the right to honor, rights protected by the Convention, are extremely important, thus the two rights must be guaranteed, so that they may coexist harmoniously.</w:t>
      </w:r>
      <w:r w:rsidR="006436CA" w:rsidRPr="00D869E3">
        <w:rPr>
          <w:rFonts w:ascii="Verdana" w:hAnsi="Verdana"/>
          <w:spacing w:val="-2"/>
          <w:sz w:val="20"/>
          <w:szCs w:val="20"/>
          <w:lang w:val="en-US"/>
        </w:rPr>
        <w:t>”</w:t>
      </w:r>
      <w:r w:rsidR="00C01305" w:rsidRPr="00D869E3">
        <w:rPr>
          <w:rFonts w:ascii="Verdana" w:hAnsi="Verdana"/>
          <w:spacing w:val="-2"/>
          <w:sz w:val="20"/>
          <w:szCs w:val="20"/>
          <w:vertAlign w:val="superscript"/>
          <w:lang w:val="en-US"/>
        </w:rPr>
        <w:footnoteReference w:id="129"/>
      </w:r>
      <w:r w:rsidR="00F10D93" w:rsidRPr="00D869E3">
        <w:rPr>
          <w:rFonts w:ascii="Verdana" w:hAnsi="Verdana"/>
          <w:spacing w:val="-2"/>
          <w:sz w:val="20"/>
          <w:szCs w:val="20"/>
          <w:lang w:val="en-US"/>
        </w:rPr>
        <w:t xml:space="preserve"> Each fundamental right must be exercised respecting and safeguarding the other fundamental rights.</w:t>
      </w:r>
      <w:r w:rsidR="00C01305" w:rsidRPr="00D869E3">
        <w:rPr>
          <w:rFonts w:ascii="Verdana" w:hAnsi="Verdana"/>
          <w:spacing w:val="-2"/>
          <w:sz w:val="20"/>
          <w:szCs w:val="20"/>
          <w:vertAlign w:val="superscript"/>
          <w:lang w:val="en-US"/>
        </w:rPr>
        <w:footnoteReference w:id="130"/>
      </w:r>
      <w:r w:rsidR="00C01305" w:rsidRPr="00D869E3">
        <w:rPr>
          <w:rFonts w:ascii="Verdana" w:hAnsi="Verdana"/>
          <w:spacing w:val="-2"/>
          <w:sz w:val="20"/>
          <w:szCs w:val="20"/>
          <w:lang w:val="en-US"/>
        </w:rPr>
        <w:t xml:space="preserve"> </w:t>
      </w:r>
      <w:r w:rsidR="00F10D93" w:rsidRPr="00D869E3">
        <w:rPr>
          <w:rFonts w:ascii="Verdana" w:hAnsi="Verdana"/>
          <w:spacing w:val="-2"/>
          <w:sz w:val="20"/>
          <w:szCs w:val="20"/>
          <w:lang w:val="en-US"/>
        </w:rPr>
        <w:t>Consequently, the Court has indicated that “any conflict between the two rights requires that they be weighed and, to this end, each case must be examined taking into account its characteristics and circumstances in order to assess the existence and intensity of the elements on which the said opinion is based.</w:t>
      </w:r>
      <w:r w:rsidR="006436CA" w:rsidRPr="00D869E3">
        <w:rPr>
          <w:rFonts w:ascii="Verdana" w:hAnsi="Verdana"/>
          <w:spacing w:val="-2"/>
          <w:sz w:val="20"/>
          <w:szCs w:val="20"/>
          <w:lang w:val="en-US"/>
        </w:rPr>
        <w:t>”</w:t>
      </w:r>
      <w:r w:rsidR="00C01305" w:rsidRPr="00D869E3">
        <w:rPr>
          <w:rFonts w:ascii="Verdana" w:hAnsi="Verdana"/>
          <w:spacing w:val="-2"/>
          <w:sz w:val="20"/>
          <w:szCs w:val="20"/>
          <w:vertAlign w:val="superscript"/>
          <w:lang w:val="en-US"/>
        </w:rPr>
        <w:footnoteReference w:id="131"/>
      </w:r>
    </w:p>
    <w:p w14:paraId="287B232F" w14:textId="77777777" w:rsidR="00C01305" w:rsidRPr="00D869E3" w:rsidRDefault="00C01305" w:rsidP="00CA58EF">
      <w:pPr>
        <w:autoSpaceDE w:val="0"/>
        <w:autoSpaceDN w:val="0"/>
        <w:adjustRightInd w:val="0"/>
        <w:contextualSpacing/>
        <w:jc w:val="both"/>
        <w:rPr>
          <w:rFonts w:ascii="Verdana" w:hAnsi="Verdana" w:cs="Verdana"/>
          <w:b/>
          <w:bCs/>
          <w:spacing w:val="-2"/>
          <w:sz w:val="20"/>
          <w:szCs w:val="20"/>
          <w:lang w:val="en-US"/>
        </w:rPr>
      </w:pPr>
    </w:p>
    <w:p w14:paraId="09BFECD5" w14:textId="05753AB6" w:rsidR="000A6A6B" w:rsidRPr="00D869E3" w:rsidRDefault="00075E68" w:rsidP="00F10D93">
      <w:pPr>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C01305" w:rsidRPr="00D869E3">
        <w:rPr>
          <w:rFonts w:ascii="Verdana" w:hAnsi="Verdana"/>
          <w:sz w:val="20"/>
          <w:szCs w:val="20"/>
          <w:lang w:val="en-US"/>
        </w:rPr>
        <w:t xml:space="preserve">, </w:t>
      </w:r>
      <w:r w:rsidR="00F10D93" w:rsidRPr="00D869E3">
        <w:rPr>
          <w:rFonts w:ascii="Verdana" w:hAnsi="Verdana"/>
          <w:sz w:val="20"/>
          <w:szCs w:val="20"/>
          <w:lang w:val="en-US"/>
        </w:rPr>
        <w:t>it should be pointed out that Peru contested the application of a proportionality test because, according to the State, this is derived from legal doctrine or jurisprudence subsequent to the facts</w:t>
      </w:r>
      <w:r w:rsidR="00C01305" w:rsidRPr="00D869E3">
        <w:rPr>
          <w:rFonts w:ascii="Verdana" w:hAnsi="Verdana"/>
          <w:sz w:val="20"/>
          <w:szCs w:val="20"/>
          <w:lang w:val="en-US"/>
        </w:rPr>
        <w:t xml:space="preserve"> (</w:t>
      </w:r>
      <w:r w:rsidR="00224537" w:rsidRPr="00D869E3">
        <w:rPr>
          <w:rFonts w:ascii="Verdana" w:hAnsi="Verdana"/>
          <w:i/>
          <w:sz w:val="20"/>
          <w:szCs w:val="20"/>
          <w:lang w:val="en-US"/>
        </w:rPr>
        <w:t>supra</w:t>
      </w:r>
      <w:r w:rsidR="00E71477" w:rsidRPr="00D869E3">
        <w:rPr>
          <w:rFonts w:ascii="Verdana" w:hAnsi="Verdana"/>
          <w:sz w:val="20"/>
          <w:szCs w:val="20"/>
          <w:lang w:val="en-US"/>
        </w:rPr>
        <w:t xml:space="preserve"> </w:t>
      </w:r>
      <w:r w:rsidR="0087339F" w:rsidRPr="00D869E3">
        <w:rPr>
          <w:rFonts w:ascii="Verdana" w:hAnsi="Verdana"/>
          <w:sz w:val="20"/>
          <w:szCs w:val="20"/>
          <w:lang w:val="en-US"/>
        </w:rPr>
        <w:t>para.</w:t>
      </w:r>
      <w:r w:rsidR="00691B72" w:rsidRPr="00D869E3">
        <w:rPr>
          <w:rFonts w:ascii="Verdana" w:hAnsi="Verdana"/>
          <w:sz w:val="20"/>
          <w:szCs w:val="20"/>
          <w:lang w:val="en-US"/>
        </w:rPr>
        <w:t xml:space="preserve"> 81</w:t>
      </w:r>
      <w:r w:rsidR="00E71477" w:rsidRPr="00D869E3">
        <w:rPr>
          <w:rFonts w:ascii="Verdana" w:hAnsi="Verdana"/>
          <w:sz w:val="20"/>
          <w:szCs w:val="20"/>
          <w:lang w:val="en-US"/>
        </w:rPr>
        <w:t xml:space="preserve">). </w:t>
      </w:r>
      <w:r w:rsidR="00447C65" w:rsidRPr="00D869E3">
        <w:rPr>
          <w:rFonts w:ascii="Verdana" w:hAnsi="Verdana"/>
          <w:sz w:val="20"/>
          <w:szCs w:val="20"/>
          <w:lang w:val="en-US"/>
        </w:rPr>
        <w:t>The Court</w:t>
      </w:r>
      <w:r w:rsidR="00B56102" w:rsidRPr="00D869E3">
        <w:rPr>
          <w:rFonts w:ascii="Verdana" w:hAnsi="Verdana"/>
          <w:sz w:val="20"/>
          <w:szCs w:val="20"/>
          <w:lang w:val="en-US"/>
        </w:rPr>
        <w:t xml:space="preserve"> </w:t>
      </w:r>
      <w:r w:rsidR="00F10D93" w:rsidRPr="00D869E3">
        <w:rPr>
          <w:rFonts w:ascii="Verdana" w:hAnsi="Verdana"/>
          <w:sz w:val="20"/>
          <w:szCs w:val="20"/>
          <w:lang w:val="en-US"/>
        </w:rPr>
        <w:t>notes that</w:t>
      </w:r>
      <w:r w:rsidR="00B56102" w:rsidRPr="00D869E3">
        <w:rPr>
          <w:rFonts w:ascii="Verdana" w:hAnsi="Verdana"/>
          <w:sz w:val="20"/>
          <w:szCs w:val="20"/>
          <w:lang w:val="en-US"/>
        </w:rPr>
        <w:t xml:space="preserve"> </w:t>
      </w:r>
      <w:r w:rsidR="00447C65" w:rsidRPr="00D869E3">
        <w:rPr>
          <w:rFonts w:ascii="Verdana" w:hAnsi="Verdana"/>
          <w:sz w:val="20"/>
          <w:szCs w:val="20"/>
          <w:lang w:val="en-US"/>
        </w:rPr>
        <w:t>Article</w:t>
      </w:r>
      <w:r w:rsidR="00B56102" w:rsidRPr="00D869E3">
        <w:rPr>
          <w:rFonts w:ascii="Verdana" w:hAnsi="Verdana"/>
          <w:sz w:val="20"/>
          <w:szCs w:val="20"/>
          <w:lang w:val="en-US"/>
        </w:rPr>
        <w:t xml:space="preserve"> </w:t>
      </w:r>
      <w:r w:rsidR="00966115" w:rsidRPr="00D869E3">
        <w:rPr>
          <w:rFonts w:ascii="Verdana" w:hAnsi="Verdana"/>
          <w:sz w:val="20"/>
          <w:szCs w:val="20"/>
          <w:lang w:val="en-US"/>
        </w:rPr>
        <w:t>13(2)</w:t>
      </w:r>
      <w:r w:rsidR="00447C65" w:rsidRPr="00D869E3">
        <w:rPr>
          <w:rFonts w:ascii="Verdana" w:hAnsi="Verdana"/>
          <w:sz w:val="20"/>
          <w:szCs w:val="20"/>
          <w:lang w:val="en-US"/>
        </w:rPr>
        <w:t xml:space="preserve"> of the Convention</w:t>
      </w:r>
      <w:r w:rsidR="00B56102" w:rsidRPr="00D869E3">
        <w:rPr>
          <w:rFonts w:ascii="Verdana" w:hAnsi="Verdana"/>
          <w:sz w:val="20"/>
          <w:szCs w:val="20"/>
          <w:lang w:val="en-US"/>
        </w:rPr>
        <w:t xml:space="preserve"> </w:t>
      </w:r>
      <w:r w:rsidR="00F10D93" w:rsidRPr="00D869E3">
        <w:rPr>
          <w:rFonts w:ascii="Verdana" w:hAnsi="Verdana"/>
          <w:sz w:val="20"/>
          <w:szCs w:val="20"/>
          <w:lang w:val="en-US"/>
        </w:rPr>
        <w:t xml:space="preserve">expressly establishes the requirement </w:t>
      </w:r>
      <w:r w:rsidR="004848D5" w:rsidRPr="00D869E3">
        <w:rPr>
          <w:rFonts w:ascii="Verdana" w:hAnsi="Verdana"/>
          <w:sz w:val="20"/>
          <w:szCs w:val="20"/>
          <w:lang w:val="en-US"/>
        </w:rPr>
        <w:t>to</w:t>
      </w:r>
      <w:r w:rsidR="00F10D93" w:rsidRPr="00D869E3">
        <w:rPr>
          <w:rFonts w:ascii="Verdana" w:hAnsi="Verdana"/>
          <w:sz w:val="20"/>
          <w:szCs w:val="20"/>
          <w:lang w:val="en-US"/>
        </w:rPr>
        <w:t xml:space="preserve"> make an analysis of reasonableness when there has been a restriction of freedom of expression. Furthermore, it should be </w:t>
      </w:r>
      <w:r w:rsidR="00127816" w:rsidRPr="00D869E3">
        <w:rPr>
          <w:rFonts w:ascii="Verdana" w:hAnsi="Verdana"/>
          <w:sz w:val="20"/>
          <w:szCs w:val="20"/>
          <w:lang w:val="en-US"/>
        </w:rPr>
        <w:t>noted that the criteria</w:t>
      </w:r>
      <w:r w:rsidR="004848D5" w:rsidRPr="00D869E3">
        <w:rPr>
          <w:rFonts w:ascii="Verdana" w:hAnsi="Verdana"/>
          <w:sz w:val="20"/>
          <w:szCs w:val="20"/>
          <w:lang w:val="en-US"/>
        </w:rPr>
        <w:t xml:space="preserve"> on proportionality</w:t>
      </w:r>
      <w:r w:rsidR="00127816" w:rsidRPr="00D869E3">
        <w:rPr>
          <w:rFonts w:ascii="Verdana" w:hAnsi="Verdana"/>
          <w:sz w:val="20"/>
          <w:szCs w:val="20"/>
          <w:lang w:val="en-US"/>
        </w:rPr>
        <w:t xml:space="preserve"> subsequently developed by this Court </w:t>
      </w:r>
      <w:r w:rsidR="004848D5" w:rsidRPr="00D869E3">
        <w:rPr>
          <w:rFonts w:ascii="Verdana" w:hAnsi="Verdana"/>
          <w:sz w:val="20"/>
          <w:szCs w:val="20"/>
          <w:lang w:val="en-US"/>
        </w:rPr>
        <w:t>merely</w:t>
      </w:r>
      <w:r w:rsidR="00127816" w:rsidRPr="00D869E3">
        <w:rPr>
          <w:rFonts w:ascii="Verdana" w:hAnsi="Verdana"/>
          <w:sz w:val="20"/>
          <w:szCs w:val="20"/>
          <w:lang w:val="en-US"/>
        </w:rPr>
        <w:t xml:space="preserve"> appl</w:t>
      </w:r>
      <w:r w:rsidR="004848D5" w:rsidRPr="00D869E3">
        <w:rPr>
          <w:rFonts w:ascii="Verdana" w:hAnsi="Verdana"/>
          <w:sz w:val="20"/>
          <w:szCs w:val="20"/>
          <w:lang w:val="en-US"/>
        </w:rPr>
        <w:t>y</w:t>
      </w:r>
      <w:r w:rsidR="00127816" w:rsidRPr="00D869E3">
        <w:rPr>
          <w:rFonts w:ascii="Verdana" w:hAnsi="Verdana"/>
          <w:sz w:val="20"/>
          <w:szCs w:val="20"/>
          <w:lang w:val="en-US"/>
        </w:rPr>
        <w:t xml:space="preserve"> a general principle of legal interpretation derived from the general matrix of rationality. Consequently, the weighing is established in </w:t>
      </w:r>
      <w:r w:rsidR="00447C65" w:rsidRPr="00D869E3">
        <w:rPr>
          <w:rFonts w:ascii="Verdana" w:hAnsi="Verdana"/>
          <w:sz w:val="20"/>
          <w:szCs w:val="20"/>
          <w:lang w:val="en-US"/>
        </w:rPr>
        <w:t>Article</w:t>
      </w:r>
      <w:r w:rsidR="002F3D8B" w:rsidRPr="00D869E3">
        <w:rPr>
          <w:rFonts w:ascii="Verdana" w:hAnsi="Verdana"/>
          <w:sz w:val="20"/>
          <w:szCs w:val="20"/>
          <w:lang w:val="en-US"/>
        </w:rPr>
        <w:t xml:space="preserve"> </w:t>
      </w:r>
      <w:r w:rsidR="00966115" w:rsidRPr="00D869E3">
        <w:rPr>
          <w:rFonts w:ascii="Verdana" w:hAnsi="Verdana"/>
          <w:sz w:val="20"/>
          <w:szCs w:val="20"/>
          <w:lang w:val="en-US"/>
        </w:rPr>
        <w:t>13(2)</w:t>
      </w:r>
      <w:r w:rsidR="00447C65" w:rsidRPr="00D869E3">
        <w:rPr>
          <w:rFonts w:ascii="Verdana" w:hAnsi="Verdana"/>
          <w:sz w:val="20"/>
          <w:szCs w:val="20"/>
          <w:lang w:val="en-US"/>
        </w:rPr>
        <w:t xml:space="preserve"> of the Convention</w:t>
      </w:r>
      <w:r w:rsidR="00127816" w:rsidRPr="00D869E3">
        <w:rPr>
          <w:rFonts w:ascii="Verdana" w:hAnsi="Verdana"/>
          <w:sz w:val="20"/>
          <w:szCs w:val="20"/>
          <w:lang w:val="en-US"/>
        </w:rPr>
        <w:t xml:space="preserve"> itself</w:t>
      </w:r>
      <w:r w:rsidR="002F3D8B" w:rsidRPr="00D869E3">
        <w:rPr>
          <w:rFonts w:ascii="Verdana" w:hAnsi="Verdana"/>
          <w:sz w:val="20"/>
          <w:szCs w:val="20"/>
          <w:lang w:val="en-US"/>
        </w:rPr>
        <w:t>.</w:t>
      </w:r>
    </w:p>
    <w:p w14:paraId="2F3B060F" w14:textId="77777777" w:rsidR="00C01305" w:rsidRPr="00D869E3" w:rsidRDefault="00C01305" w:rsidP="00CA58EF">
      <w:pPr>
        <w:autoSpaceDE w:val="0"/>
        <w:autoSpaceDN w:val="0"/>
        <w:adjustRightInd w:val="0"/>
        <w:contextualSpacing/>
        <w:jc w:val="both"/>
        <w:rPr>
          <w:rFonts w:ascii="Verdana" w:hAnsi="Verdana" w:cs="Verdana"/>
          <w:bCs/>
          <w:spacing w:val="-2"/>
          <w:sz w:val="20"/>
          <w:szCs w:val="20"/>
          <w:lang w:val="en-US"/>
        </w:rPr>
      </w:pPr>
    </w:p>
    <w:p w14:paraId="066433E3" w14:textId="6FA84ED6" w:rsidR="00C01305" w:rsidRPr="00D869E3" w:rsidRDefault="00395E3F" w:rsidP="00E66DD7">
      <w:pPr>
        <w:numPr>
          <w:ilvl w:val="0"/>
          <w:numId w:val="1"/>
        </w:numPr>
        <w:autoSpaceDE w:val="0"/>
        <w:autoSpaceDN w:val="0"/>
        <w:adjustRightInd w:val="0"/>
        <w:ind w:left="0" w:firstLine="0"/>
        <w:jc w:val="both"/>
        <w:rPr>
          <w:rFonts w:ascii="Verdana" w:hAnsi="Verdana"/>
          <w:b/>
          <w:sz w:val="20"/>
          <w:szCs w:val="20"/>
          <w:lang w:val="en-US"/>
        </w:rPr>
      </w:pPr>
      <w:bookmarkStart w:id="44" w:name="_Ref359981203"/>
      <w:r w:rsidRPr="00D869E3">
        <w:rPr>
          <w:rFonts w:ascii="Verdana" w:hAnsi="Verdana"/>
          <w:spacing w:val="-2"/>
          <w:sz w:val="20"/>
          <w:szCs w:val="20"/>
          <w:lang w:val="en-US"/>
        </w:rPr>
        <w:t>The</w:t>
      </w:r>
      <w:r w:rsidR="00127816" w:rsidRPr="00D869E3">
        <w:rPr>
          <w:rFonts w:ascii="Verdana" w:hAnsi="Verdana"/>
          <w:spacing w:val="-2"/>
          <w:sz w:val="20"/>
          <w:szCs w:val="20"/>
          <w:lang w:val="en-US"/>
        </w:rPr>
        <w:t xml:space="preserve"> Court has reiterated in its case law that </w:t>
      </w:r>
      <w:r w:rsidR="00447C65" w:rsidRPr="00D869E3">
        <w:rPr>
          <w:rFonts w:ascii="Verdana" w:hAnsi="Verdana"/>
          <w:spacing w:val="-2"/>
          <w:sz w:val="20"/>
          <w:szCs w:val="20"/>
          <w:lang w:val="en-US"/>
        </w:rPr>
        <w:t>Article</w:t>
      </w:r>
      <w:r w:rsidR="00C01305" w:rsidRPr="00D869E3">
        <w:rPr>
          <w:rFonts w:ascii="Verdana" w:hAnsi="Verdana"/>
          <w:spacing w:val="-2"/>
          <w:sz w:val="20"/>
          <w:szCs w:val="20"/>
          <w:lang w:val="en-US"/>
        </w:rPr>
        <w:t xml:space="preserve"> </w:t>
      </w:r>
      <w:r w:rsidR="00966115" w:rsidRPr="00D869E3">
        <w:rPr>
          <w:rFonts w:ascii="Verdana" w:hAnsi="Verdana"/>
          <w:spacing w:val="-2"/>
          <w:sz w:val="20"/>
          <w:szCs w:val="20"/>
          <w:lang w:val="en-US"/>
        </w:rPr>
        <w:t>13(2)</w:t>
      </w:r>
      <w:r w:rsidR="00447C65" w:rsidRPr="00D869E3">
        <w:rPr>
          <w:rFonts w:ascii="Verdana" w:hAnsi="Verdana"/>
          <w:spacing w:val="-2"/>
          <w:sz w:val="20"/>
          <w:szCs w:val="20"/>
          <w:lang w:val="en-US"/>
        </w:rPr>
        <w:t xml:space="preserve"> of the American Convention</w:t>
      </w:r>
      <w:r w:rsidR="00C01305" w:rsidRPr="00D869E3">
        <w:rPr>
          <w:rFonts w:ascii="Verdana" w:hAnsi="Verdana"/>
          <w:spacing w:val="-2"/>
          <w:sz w:val="20"/>
          <w:szCs w:val="20"/>
          <w:lang w:val="en-US"/>
        </w:rPr>
        <w:t xml:space="preserve"> establ</w:t>
      </w:r>
      <w:r w:rsidR="00127816" w:rsidRPr="00D869E3">
        <w:rPr>
          <w:rFonts w:ascii="Verdana" w:hAnsi="Verdana"/>
          <w:spacing w:val="-2"/>
          <w:sz w:val="20"/>
          <w:szCs w:val="20"/>
          <w:lang w:val="en-US"/>
        </w:rPr>
        <w:t>ishes that the responsibilities ensu</w:t>
      </w:r>
      <w:r w:rsidR="004848D5" w:rsidRPr="00D869E3">
        <w:rPr>
          <w:rFonts w:ascii="Verdana" w:hAnsi="Verdana"/>
          <w:spacing w:val="-2"/>
          <w:sz w:val="20"/>
          <w:szCs w:val="20"/>
          <w:lang w:val="en-US"/>
        </w:rPr>
        <w:t>ing</w:t>
      </w:r>
      <w:r w:rsidR="00127816" w:rsidRPr="00D869E3">
        <w:rPr>
          <w:rFonts w:ascii="Verdana" w:hAnsi="Verdana"/>
          <w:spacing w:val="-2"/>
          <w:sz w:val="20"/>
          <w:szCs w:val="20"/>
          <w:lang w:val="en-US"/>
        </w:rPr>
        <w:t xml:space="preserve"> from the exercise of</w:t>
      </w:r>
      <w:r w:rsidR="00C01305" w:rsidRPr="00D869E3">
        <w:rPr>
          <w:rFonts w:ascii="Verdana" w:hAnsi="Verdana"/>
          <w:spacing w:val="-2"/>
          <w:sz w:val="20"/>
          <w:szCs w:val="20"/>
          <w:lang w:val="en-US"/>
        </w:rPr>
        <w:t xml:space="preserve"> </w:t>
      </w:r>
      <w:r w:rsidR="00A62EA8" w:rsidRPr="00D869E3">
        <w:rPr>
          <w:rFonts w:ascii="Verdana" w:hAnsi="Verdana"/>
          <w:spacing w:val="-2"/>
          <w:sz w:val="20"/>
          <w:szCs w:val="20"/>
          <w:lang w:val="en-US"/>
        </w:rPr>
        <w:t xml:space="preserve">freedom of </w:t>
      </w:r>
      <w:r w:rsidR="00127816" w:rsidRPr="00D869E3">
        <w:rPr>
          <w:rFonts w:ascii="Verdana" w:hAnsi="Verdana"/>
          <w:spacing w:val="-2"/>
          <w:sz w:val="20"/>
          <w:szCs w:val="20"/>
          <w:lang w:val="en-US"/>
        </w:rPr>
        <w:t>expres</w:t>
      </w:r>
      <w:r w:rsidR="00CC5F8A" w:rsidRPr="00D869E3">
        <w:rPr>
          <w:rFonts w:ascii="Verdana" w:hAnsi="Verdana"/>
          <w:spacing w:val="-2"/>
          <w:sz w:val="20"/>
          <w:szCs w:val="20"/>
          <w:lang w:val="en-US"/>
        </w:rPr>
        <w:t>sio</w:t>
      </w:r>
      <w:r w:rsidR="00127816" w:rsidRPr="00D869E3">
        <w:rPr>
          <w:rFonts w:ascii="Verdana" w:hAnsi="Verdana"/>
          <w:spacing w:val="-2"/>
          <w:sz w:val="20"/>
          <w:szCs w:val="20"/>
          <w:lang w:val="en-US"/>
        </w:rPr>
        <w:t xml:space="preserve">n </w:t>
      </w:r>
      <w:r w:rsidR="00CC5F8A" w:rsidRPr="00D869E3">
        <w:rPr>
          <w:rFonts w:ascii="Verdana" w:hAnsi="Verdana"/>
          <w:spacing w:val="-2"/>
          <w:sz w:val="20"/>
          <w:szCs w:val="20"/>
          <w:lang w:val="en-US"/>
        </w:rPr>
        <w:t>must</w:t>
      </w:r>
      <w:r w:rsidR="00127816" w:rsidRPr="00D869E3">
        <w:rPr>
          <w:rFonts w:ascii="Verdana" w:hAnsi="Verdana"/>
          <w:spacing w:val="-2"/>
          <w:sz w:val="20"/>
          <w:szCs w:val="20"/>
          <w:lang w:val="en-US"/>
        </w:rPr>
        <w:t xml:space="preserve"> comply with the following requirements, concurrently: (i) they must be previously es</w:t>
      </w:r>
      <w:r w:rsidR="00CC5F8A" w:rsidRPr="00D869E3">
        <w:rPr>
          <w:rFonts w:ascii="Verdana" w:hAnsi="Verdana"/>
          <w:spacing w:val="-2"/>
          <w:sz w:val="20"/>
          <w:szCs w:val="20"/>
          <w:lang w:val="en-US"/>
        </w:rPr>
        <w:t>t</w:t>
      </w:r>
      <w:r w:rsidR="00127816" w:rsidRPr="00D869E3">
        <w:rPr>
          <w:rFonts w:ascii="Verdana" w:hAnsi="Verdana"/>
          <w:spacing w:val="-2"/>
          <w:sz w:val="20"/>
          <w:szCs w:val="20"/>
          <w:lang w:val="en-US"/>
        </w:rPr>
        <w:t>ablished by law, in form and in content;</w:t>
      </w:r>
      <w:r w:rsidR="00C01305" w:rsidRPr="00D869E3">
        <w:rPr>
          <w:rFonts w:ascii="Verdana" w:hAnsi="Verdana"/>
          <w:spacing w:val="-2"/>
          <w:sz w:val="20"/>
          <w:szCs w:val="20"/>
          <w:vertAlign w:val="superscript"/>
          <w:lang w:val="en-US" w:eastAsia="de-DE"/>
        </w:rPr>
        <w:footnoteReference w:id="132"/>
      </w:r>
      <w:r w:rsidR="00C01305" w:rsidRPr="00D869E3">
        <w:rPr>
          <w:rFonts w:ascii="Verdana" w:hAnsi="Verdana"/>
          <w:spacing w:val="-2"/>
          <w:sz w:val="20"/>
          <w:szCs w:val="20"/>
          <w:lang w:val="en-US"/>
        </w:rPr>
        <w:t xml:space="preserve"> (ii) </w:t>
      </w:r>
      <w:r w:rsidR="00127816" w:rsidRPr="00D869E3">
        <w:rPr>
          <w:rFonts w:ascii="Verdana" w:hAnsi="Verdana"/>
          <w:spacing w:val="-2"/>
          <w:sz w:val="20"/>
          <w:szCs w:val="20"/>
          <w:lang w:val="en-US"/>
        </w:rPr>
        <w:t xml:space="preserve">they must respond to a purpose permitted by </w:t>
      </w:r>
      <w:r w:rsidR="00447C65" w:rsidRPr="00D869E3">
        <w:rPr>
          <w:rFonts w:ascii="Verdana" w:hAnsi="Verdana"/>
          <w:spacing w:val="-2"/>
          <w:sz w:val="20"/>
          <w:szCs w:val="20"/>
          <w:lang w:val="en-US"/>
        </w:rPr>
        <w:t>the American Convention</w:t>
      </w:r>
      <w:r w:rsidR="00C01305" w:rsidRPr="00D869E3">
        <w:rPr>
          <w:rFonts w:ascii="Verdana" w:hAnsi="Verdana"/>
          <w:spacing w:val="-2"/>
          <w:sz w:val="20"/>
          <w:szCs w:val="20"/>
          <w:lang w:val="en-US"/>
        </w:rPr>
        <w:t xml:space="preserve"> (</w:t>
      </w:r>
      <w:r w:rsidR="006436CA" w:rsidRPr="00D869E3">
        <w:rPr>
          <w:rFonts w:ascii="Verdana" w:hAnsi="Verdana"/>
          <w:spacing w:val="-2"/>
          <w:sz w:val="20"/>
          <w:szCs w:val="20"/>
          <w:lang w:val="en-US"/>
        </w:rPr>
        <w:t>“</w:t>
      </w:r>
      <w:r w:rsidR="00127816" w:rsidRPr="00D869E3">
        <w:rPr>
          <w:rFonts w:ascii="Verdana" w:hAnsi="Verdana"/>
          <w:spacing w:val="-2"/>
          <w:sz w:val="20"/>
          <w:szCs w:val="20"/>
          <w:lang w:val="en-US"/>
        </w:rPr>
        <w:t>respect for the right</w:t>
      </w:r>
      <w:r w:rsidR="00CC5F8A" w:rsidRPr="00D869E3">
        <w:rPr>
          <w:rFonts w:ascii="Verdana" w:hAnsi="Verdana"/>
          <w:spacing w:val="-2"/>
          <w:sz w:val="20"/>
          <w:szCs w:val="20"/>
          <w:lang w:val="en-US"/>
        </w:rPr>
        <w:t>s</w:t>
      </w:r>
      <w:r w:rsidR="00127816" w:rsidRPr="00D869E3">
        <w:rPr>
          <w:rFonts w:ascii="Verdana" w:hAnsi="Verdana"/>
          <w:spacing w:val="-2"/>
          <w:sz w:val="20"/>
          <w:szCs w:val="20"/>
          <w:lang w:val="en-US"/>
        </w:rPr>
        <w:t xml:space="preserve"> </w:t>
      </w:r>
      <w:r w:rsidR="00CC5F8A" w:rsidRPr="00D869E3">
        <w:rPr>
          <w:rFonts w:ascii="Verdana" w:hAnsi="Verdana"/>
          <w:spacing w:val="-2"/>
          <w:sz w:val="20"/>
          <w:szCs w:val="20"/>
          <w:lang w:val="en-US"/>
        </w:rPr>
        <w:t>or</w:t>
      </w:r>
      <w:r w:rsidR="00127816" w:rsidRPr="00D869E3">
        <w:rPr>
          <w:rFonts w:ascii="Verdana" w:hAnsi="Verdana"/>
          <w:spacing w:val="-2"/>
          <w:sz w:val="20"/>
          <w:szCs w:val="20"/>
          <w:lang w:val="en-US"/>
        </w:rPr>
        <w:t xml:space="preserve"> reputation of others</w:t>
      </w:r>
      <w:r w:rsidR="006436CA" w:rsidRPr="00D869E3">
        <w:rPr>
          <w:rFonts w:ascii="Verdana" w:hAnsi="Verdana"/>
          <w:spacing w:val="-2"/>
          <w:sz w:val="20"/>
          <w:szCs w:val="20"/>
          <w:lang w:val="en-US"/>
        </w:rPr>
        <w:t>”</w:t>
      </w:r>
      <w:r w:rsidR="00C01305" w:rsidRPr="00D869E3">
        <w:rPr>
          <w:rFonts w:ascii="Verdana" w:hAnsi="Verdana"/>
          <w:spacing w:val="-2"/>
          <w:sz w:val="20"/>
          <w:szCs w:val="20"/>
          <w:lang w:val="en-US"/>
        </w:rPr>
        <w:t xml:space="preserve"> o</w:t>
      </w:r>
      <w:r w:rsidR="00CC5F8A" w:rsidRPr="00D869E3">
        <w:rPr>
          <w:rFonts w:ascii="Verdana" w:hAnsi="Verdana"/>
          <w:spacing w:val="-2"/>
          <w:sz w:val="20"/>
          <w:szCs w:val="20"/>
          <w:lang w:val="en-US"/>
        </w:rPr>
        <w:t>r</w:t>
      </w:r>
      <w:r w:rsidR="00C01305" w:rsidRPr="00D869E3">
        <w:rPr>
          <w:rFonts w:ascii="Verdana" w:hAnsi="Verdana"/>
          <w:spacing w:val="-2"/>
          <w:sz w:val="20"/>
          <w:szCs w:val="20"/>
          <w:lang w:val="en-US"/>
        </w:rPr>
        <w:t xml:space="preserve"> </w:t>
      </w:r>
      <w:r w:rsidR="006436CA" w:rsidRPr="00D869E3">
        <w:rPr>
          <w:rFonts w:ascii="Verdana" w:hAnsi="Verdana"/>
          <w:spacing w:val="-2"/>
          <w:sz w:val="20"/>
          <w:szCs w:val="20"/>
          <w:lang w:val="en-US"/>
        </w:rPr>
        <w:t>“</w:t>
      </w:r>
      <w:r w:rsidR="00CC5F8A" w:rsidRPr="00D869E3">
        <w:rPr>
          <w:rFonts w:ascii="Verdana" w:hAnsi="Verdana"/>
          <w:spacing w:val="-2"/>
          <w:sz w:val="20"/>
          <w:szCs w:val="20"/>
          <w:lang w:val="en-US"/>
        </w:rPr>
        <w:t xml:space="preserve">the protection of national security, public order, or public health or morals”) and </w:t>
      </w:r>
      <w:r w:rsidR="00C01305" w:rsidRPr="00D869E3">
        <w:rPr>
          <w:rFonts w:ascii="Verdana" w:hAnsi="Verdana"/>
          <w:spacing w:val="-2"/>
          <w:sz w:val="20"/>
          <w:szCs w:val="20"/>
          <w:lang w:val="en-US"/>
        </w:rPr>
        <w:t xml:space="preserve">(iii) </w:t>
      </w:r>
      <w:r w:rsidR="00CC5F8A" w:rsidRPr="00D869E3">
        <w:rPr>
          <w:rFonts w:ascii="Verdana" w:hAnsi="Verdana"/>
          <w:spacing w:val="-2"/>
          <w:sz w:val="20"/>
          <w:szCs w:val="20"/>
          <w:lang w:val="en-US"/>
        </w:rPr>
        <w:t>they must be necessary in a democratic society (and must therefore comply with the requirements of appropriateness, necessity and proportionality</w:t>
      </w:r>
      <w:r w:rsidR="00C01305" w:rsidRPr="00D869E3">
        <w:rPr>
          <w:rFonts w:ascii="Verdana" w:hAnsi="Verdana"/>
          <w:spacing w:val="-2"/>
          <w:sz w:val="20"/>
          <w:szCs w:val="20"/>
          <w:vertAlign w:val="superscript"/>
          <w:lang w:val="en-US" w:eastAsia="de-DE"/>
        </w:rPr>
        <w:footnoteReference w:id="133"/>
      </w:r>
      <w:r w:rsidR="00C01305" w:rsidRPr="00D869E3">
        <w:rPr>
          <w:rFonts w:ascii="Verdana" w:hAnsi="Verdana"/>
          <w:spacing w:val="-2"/>
          <w:sz w:val="20"/>
          <w:szCs w:val="20"/>
          <w:lang w:val="en-US" w:eastAsia="de-DE"/>
        </w:rPr>
        <w:t>).</w:t>
      </w:r>
      <w:r w:rsidR="00C01305" w:rsidRPr="00D869E3">
        <w:rPr>
          <w:rFonts w:ascii="Verdana" w:hAnsi="Verdana"/>
          <w:spacing w:val="-2"/>
          <w:sz w:val="20"/>
          <w:szCs w:val="20"/>
          <w:lang w:val="en-US"/>
        </w:rPr>
        <w:t xml:space="preserve"> </w:t>
      </w:r>
      <w:bookmarkEnd w:id="44"/>
    </w:p>
    <w:p w14:paraId="4863E179" w14:textId="77777777" w:rsidR="00C01305" w:rsidRPr="00D869E3" w:rsidRDefault="00C01305" w:rsidP="00CA58EF">
      <w:pPr>
        <w:contextualSpacing/>
        <w:rPr>
          <w:rFonts w:ascii="Verdana" w:hAnsi="Verdana"/>
          <w:sz w:val="20"/>
          <w:szCs w:val="20"/>
          <w:lang w:val="en-US"/>
        </w:rPr>
      </w:pPr>
    </w:p>
    <w:p w14:paraId="3ACDC9F5" w14:textId="672AD03D" w:rsidR="00C01305" w:rsidRPr="00D869E3" w:rsidRDefault="00395E3F" w:rsidP="00395E3F">
      <w:pPr>
        <w:numPr>
          <w:ilvl w:val="0"/>
          <w:numId w:val="1"/>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lang w:val="en-US"/>
        </w:rPr>
        <w:t>I</w:t>
      </w:r>
      <w:r w:rsidR="00AF6642" w:rsidRPr="00D869E3">
        <w:rPr>
          <w:rFonts w:ascii="Verdana" w:hAnsi="Verdana"/>
          <w:sz w:val="20"/>
          <w:szCs w:val="20"/>
          <w:lang w:val="en-US"/>
        </w:rPr>
        <w:t xml:space="preserve">n particular, </w:t>
      </w:r>
      <w:r w:rsidR="0015138B" w:rsidRPr="00D869E3">
        <w:rPr>
          <w:rFonts w:ascii="Verdana" w:hAnsi="Verdana"/>
          <w:sz w:val="20"/>
          <w:szCs w:val="20"/>
          <w:lang w:val="en-US"/>
        </w:rPr>
        <w:t>an</w:t>
      </w:r>
      <w:r w:rsidRPr="00D869E3">
        <w:rPr>
          <w:rFonts w:ascii="Verdana" w:hAnsi="Verdana"/>
          <w:sz w:val="20"/>
          <w:szCs w:val="20"/>
          <w:lang w:val="en-US"/>
        </w:rPr>
        <w:t xml:space="preserve"> evaluation of legitimate restrictions to the </w:t>
      </w:r>
      <w:r w:rsidR="00C82C0C" w:rsidRPr="00D869E3">
        <w:rPr>
          <w:rFonts w:ascii="Verdana" w:hAnsi="Verdana"/>
          <w:sz w:val="20"/>
          <w:szCs w:val="20"/>
          <w:lang w:val="en-US"/>
        </w:rPr>
        <w:t>right to freedom</w:t>
      </w:r>
      <w:r w:rsidR="00A62EA8" w:rsidRPr="00D869E3">
        <w:rPr>
          <w:rFonts w:ascii="Verdana" w:hAnsi="Verdana"/>
          <w:sz w:val="20"/>
          <w:szCs w:val="20"/>
          <w:lang w:val="en-US"/>
        </w:rPr>
        <w:t xml:space="preserve"> of expression</w:t>
      </w:r>
      <w:r w:rsidRPr="00D869E3">
        <w:rPr>
          <w:rFonts w:ascii="Verdana" w:hAnsi="Verdana"/>
          <w:sz w:val="20"/>
          <w:szCs w:val="20"/>
          <w:lang w:val="en-US"/>
        </w:rPr>
        <w:t xml:space="preserve"> requires an analysis of necessity </w:t>
      </w:r>
      <w:r w:rsidR="004E4E2E" w:rsidRPr="00D869E3">
        <w:rPr>
          <w:rFonts w:ascii="Verdana" w:hAnsi="Verdana"/>
          <w:sz w:val="20"/>
          <w:szCs w:val="20"/>
          <w:lang w:val="en-US"/>
        </w:rPr>
        <w:t>(</w:t>
      </w:r>
      <w:r w:rsidR="00447C65" w:rsidRPr="00D869E3">
        <w:rPr>
          <w:rFonts w:ascii="Verdana" w:hAnsi="Verdana"/>
          <w:sz w:val="20"/>
          <w:szCs w:val="20"/>
          <w:lang w:val="en-US"/>
        </w:rPr>
        <w:t>Article</w:t>
      </w:r>
      <w:r w:rsidR="004E4E2E" w:rsidRPr="00D869E3">
        <w:rPr>
          <w:rFonts w:ascii="Verdana" w:hAnsi="Verdana"/>
          <w:sz w:val="20"/>
          <w:szCs w:val="20"/>
          <w:lang w:val="en-US"/>
        </w:rPr>
        <w:t xml:space="preserve"> </w:t>
      </w:r>
      <w:r w:rsidR="00966115" w:rsidRPr="00D869E3">
        <w:rPr>
          <w:rFonts w:ascii="Verdana" w:hAnsi="Verdana"/>
          <w:sz w:val="20"/>
          <w:szCs w:val="20"/>
          <w:lang w:val="en-US"/>
        </w:rPr>
        <w:t>13(2)</w:t>
      </w:r>
      <w:r w:rsidR="004E4E2E" w:rsidRPr="00D869E3">
        <w:rPr>
          <w:rFonts w:ascii="Verdana" w:hAnsi="Verdana"/>
          <w:sz w:val="20"/>
          <w:szCs w:val="20"/>
          <w:lang w:val="en-US"/>
        </w:rPr>
        <w:t xml:space="preserve">). </w:t>
      </w:r>
      <w:r w:rsidRPr="00D869E3">
        <w:rPr>
          <w:rFonts w:ascii="Verdana" w:hAnsi="Verdana"/>
          <w:sz w:val="20"/>
          <w:szCs w:val="20"/>
          <w:lang w:val="en-US"/>
        </w:rPr>
        <w:t>Thus, the State, through its agents of justice, is required to make an analysis of reasonableness or a weighing up</w:t>
      </w:r>
      <w:r w:rsidR="0015138B" w:rsidRPr="00D869E3">
        <w:rPr>
          <w:rFonts w:ascii="Verdana" w:hAnsi="Verdana"/>
          <w:sz w:val="20"/>
          <w:szCs w:val="20"/>
          <w:lang w:val="en-US"/>
        </w:rPr>
        <w:t xml:space="preserve"> of</w:t>
      </w:r>
      <w:r w:rsidRPr="00D869E3">
        <w:rPr>
          <w:rFonts w:ascii="Verdana" w:hAnsi="Verdana"/>
          <w:sz w:val="20"/>
          <w:szCs w:val="20"/>
          <w:lang w:val="en-US"/>
        </w:rPr>
        <w:t xml:space="preserve"> the limitations or restrictions to </w:t>
      </w:r>
      <w:r w:rsidR="0015138B" w:rsidRPr="00D869E3">
        <w:rPr>
          <w:rFonts w:ascii="Verdana" w:hAnsi="Verdana"/>
          <w:sz w:val="20"/>
          <w:szCs w:val="20"/>
          <w:lang w:val="en-US"/>
        </w:rPr>
        <w:t xml:space="preserve">a </w:t>
      </w:r>
      <w:r w:rsidRPr="00D869E3">
        <w:rPr>
          <w:rFonts w:ascii="Verdana" w:hAnsi="Verdana"/>
          <w:sz w:val="20"/>
          <w:szCs w:val="20"/>
          <w:lang w:val="en-US"/>
        </w:rPr>
        <w:t xml:space="preserve">human right recognized in the Convention (Article13(2)), </w:t>
      </w:r>
      <w:r w:rsidR="0015138B" w:rsidRPr="00D869E3">
        <w:rPr>
          <w:rFonts w:ascii="Verdana" w:hAnsi="Verdana"/>
          <w:sz w:val="20"/>
          <w:szCs w:val="20"/>
          <w:lang w:val="en-US"/>
        </w:rPr>
        <w:t>and also</w:t>
      </w:r>
      <w:r w:rsidRPr="00D869E3">
        <w:rPr>
          <w:rFonts w:ascii="Verdana" w:hAnsi="Verdana"/>
          <w:sz w:val="20"/>
          <w:szCs w:val="20"/>
          <w:lang w:val="en-US"/>
        </w:rPr>
        <w:t xml:space="preserve"> an appropriate </w:t>
      </w:r>
      <w:r w:rsidR="0015138B" w:rsidRPr="00D869E3">
        <w:rPr>
          <w:rFonts w:ascii="Verdana" w:hAnsi="Verdana"/>
          <w:sz w:val="20"/>
          <w:szCs w:val="20"/>
          <w:lang w:val="en-US"/>
        </w:rPr>
        <w:t>reasoning</w:t>
      </w:r>
      <w:r w:rsidRPr="00D869E3">
        <w:rPr>
          <w:rFonts w:ascii="Verdana" w:hAnsi="Verdana"/>
          <w:sz w:val="20"/>
          <w:szCs w:val="20"/>
          <w:lang w:val="en-US"/>
        </w:rPr>
        <w:t xml:space="preserve"> that respects due process of law (Article 8 of the Convention). The </w:t>
      </w:r>
      <w:r w:rsidR="0015138B" w:rsidRPr="00D869E3">
        <w:rPr>
          <w:rFonts w:ascii="Verdana" w:hAnsi="Verdana"/>
          <w:sz w:val="20"/>
          <w:szCs w:val="20"/>
          <w:lang w:val="en-US"/>
        </w:rPr>
        <w:t xml:space="preserve">specific </w:t>
      </w:r>
      <w:r w:rsidRPr="00D869E3">
        <w:rPr>
          <w:rFonts w:ascii="Verdana" w:hAnsi="Verdana"/>
          <w:sz w:val="20"/>
          <w:szCs w:val="20"/>
          <w:lang w:val="en-US"/>
        </w:rPr>
        <w:t xml:space="preserve">methodology, argument or </w:t>
      </w:r>
      <w:r w:rsidR="0015138B" w:rsidRPr="00D869E3">
        <w:rPr>
          <w:rFonts w:ascii="Verdana" w:hAnsi="Verdana"/>
          <w:sz w:val="20"/>
          <w:szCs w:val="20"/>
          <w:lang w:val="en-US"/>
        </w:rPr>
        <w:t>analysis</w:t>
      </w:r>
      <w:r w:rsidRPr="00D869E3">
        <w:rPr>
          <w:rFonts w:ascii="Verdana" w:hAnsi="Verdana"/>
          <w:sz w:val="20"/>
          <w:szCs w:val="20"/>
          <w:lang w:val="en-US"/>
        </w:rPr>
        <w:t xml:space="preserve"> is the task of the domestic authorities, provided that it reflects th</w:t>
      </w:r>
      <w:r w:rsidR="0015138B" w:rsidRPr="00D869E3">
        <w:rPr>
          <w:rFonts w:ascii="Verdana" w:hAnsi="Verdana"/>
          <w:sz w:val="20"/>
          <w:szCs w:val="20"/>
          <w:lang w:val="en-US"/>
        </w:rPr>
        <w:t>o</w:t>
      </w:r>
      <w:r w:rsidRPr="00D869E3">
        <w:rPr>
          <w:rFonts w:ascii="Verdana" w:hAnsi="Verdana"/>
          <w:sz w:val="20"/>
          <w:szCs w:val="20"/>
          <w:lang w:val="en-US"/>
        </w:rPr>
        <w:t xml:space="preserve">se guarantees. To make this evaluation at the international level, the Court has used different forms of analysis, depending on the rights at stake, but always making an adequate weighing up or balance </w:t>
      </w:r>
      <w:r w:rsidR="0015138B" w:rsidRPr="00D869E3">
        <w:rPr>
          <w:rFonts w:ascii="Verdana" w:hAnsi="Verdana"/>
          <w:sz w:val="20"/>
          <w:szCs w:val="20"/>
          <w:lang w:val="en-US"/>
        </w:rPr>
        <w:t>between</w:t>
      </w:r>
      <w:r w:rsidRPr="00D869E3">
        <w:rPr>
          <w:rFonts w:ascii="Verdana" w:hAnsi="Verdana"/>
          <w:sz w:val="20"/>
          <w:szCs w:val="20"/>
          <w:lang w:val="en-US"/>
        </w:rPr>
        <w:t xml:space="preserve"> the treaty-based rights</w:t>
      </w:r>
      <w:r w:rsidR="0015138B" w:rsidRPr="00D869E3">
        <w:rPr>
          <w:rFonts w:ascii="Verdana" w:hAnsi="Verdana"/>
          <w:sz w:val="20"/>
          <w:szCs w:val="20"/>
          <w:lang w:val="en-US"/>
        </w:rPr>
        <w:t>.</w:t>
      </w:r>
      <w:r w:rsidR="00F80ADC" w:rsidRPr="00D869E3">
        <w:rPr>
          <w:rStyle w:val="Refdenotaalpie"/>
          <w:szCs w:val="20"/>
          <w:lang w:val="en-US"/>
        </w:rPr>
        <w:footnoteReference w:id="134"/>
      </w:r>
      <w:r w:rsidRPr="00D869E3">
        <w:rPr>
          <w:rFonts w:ascii="Verdana" w:hAnsi="Verdana"/>
          <w:sz w:val="20"/>
          <w:szCs w:val="20"/>
          <w:lang w:val="en-US"/>
        </w:rPr>
        <w:t xml:space="preserve"> </w:t>
      </w:r>
      <w:r w:rsidR="0015138B" w:rsidRPr="00D869E3">
        <w:rPr>
          <w:rFonts w:ascii="Verdana" w:hAnsi="Verdana"/>
          <w:sz w:val="20"/>
          <w:szCs w:val="20"/>
          <w:lang w:val="en-US"/>
        </w:rPr>
        <w:t>C</w:t>
      </w:r>
      <w:r w:rsidRPr="00D869E3">
        <w:rPr>
          <w:rFonts w:ascii="Verdana" w:hAnsi="Verdana"/>
          <w:sz w:val="20"/>
          <w:szCs w:val="20"/>
          <w:lang w:val="en-US"/>
        </w:rPr>
        <w:t xml:space="preserve">onsequently, the </w:t>
      </w:r>
      <w:r w:rsidRPr="00D869E3">
        <w:rPr>
          <w:rFonts w:ascii="Verdana" w:hAnsi="Verdana"/>
          <w:sz w:val="20"/>
          <w:szCs w:val="20"/>
          <w:lang w:val="en-US"/>
        </w:rPr>
        <w:lastRenderedPageBreak/>
        <w:t>reasoned analysis of necessity made by this Court derives from the international treaty that it must interpret,</w:t>
      </w:r>
      <w:r w:rsidR="004E4E2E" w:rsidRPr="00D869E3">
        <w:rPr>
          <w:rStyle w:val="Refdenotaalpie"/>
          <w:szCs w:val="20"/>
          <w:lang w:val="en-US"/>
        </w:rPr>
        <w:footnoteReference w:id="135"/>
      </w:r>
      <w:r w:rsidR="002C371D" w:rsidRPr="00D869E3">
        <w:rPr>
          <w:rFonts w:ascii="Verdana" w:hAnsi="Verdana"/>
          <w:sz w:val="20"/>
          <w:szCs w:val="20"/>
          <w:lang w:val="en-US"/>
        </w:rPr>
        <w:t xml:space="preserve"> </w:t>
      </w:r>
      <w:r w:rsidRPr="00D869E3">
        <w:rPr>
          <w:rFonts w:ascii="Verdana" w:hAnsi="Verdana"/>
          <w:sz w:val="20"/>
          <w:szCs w:val="20"/>
          <w:lang w:val="en-US"/>
        </w:rPr>
        <w:t>together with its consistent case law.</w:t>
      </w:r>
    </w:p>
    <w:p w14:paraId="03C97E2B" w14:textId="77777777" w:rsidR="00C01305" w:rsidRPr="00D869E3" w:rsidRDefault="00C01305" w:rsidP="00CA58EF">
      <w:pPr>
        <w:contextualSpacing/>
        <w:rPr>
          <w:rFonts w:ascii="Verdana" w:hAnsi="Verdana"/>
          <w:sz w:val="20"/>
          <w:szCs w:val="20"/>
          <w:lang w:val="en-US"/>
        </w:rPr>
      </w:pPr>
    </w:p>
    <w:p w14:paraId="63F9FA01" w14:textId="768584D1" w:rsidR="00C01305" w:rsidRPr="00D869E3" w:rsidRDefault="00395E3F" w:rsidP="00CA352C">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For the purposes of this case, concerning the interpretation of subsequent responsibilities</w:t>
      </w:r>
      <w:r w:rsidR="00CA352C" w:rsidRPr="00D869E3">
        <w:rPr>
          <w:rFonts w:ascii="Verdana" w:hAnsi="Verdana"/>
          <w:sz w:val="20"/>
          <w:szCs w:val="20"/>
          <w:lang w:val="en-US"/>
        </w:rPr>
        <w:t xml:space="preserve"> for the exercise of freedom of expression in the wor</w:t>
      </w:r>
      <w:r w:rsidR="0015138B" w:rsidRPr="00D869E3">
        <w:rPr>
          <w:rFonts w:ascii="Verdana" w:hAnsi="Verdana"/>
          <w:sz w:val="20"/>
          <w:szCs w:val="20"/>
          <w:lang w:val="en-US"/>
        </w:rPr>
        <w:t>kplace</w:t>
      </w:r>
      <w:r w:rsidR="00CA352C" w:rsidRPr="00D869E3">
        <w:rPr>
          <w:rFonts w:ascii="Verdana" w:hAnsi="Verdana"/>
          <w:sz w:val="20"/>
          <w:szCs w:val="20"/>
          <w:lang w:val="en-US"/>
        </w:rPr>
        <w:t xml:space="preserve">, the Court will analyze the restriction imposed in light </w:t>
      </w:r>
      <w:r w:rsidR="00687684" w:rsidRPr="00D869E3">
        <w:rPr>
          <w:rFonts w:ascii="Verdana" w:hAnsi="Verdana"/>
          <w:sz w:val="20"/>
          <w:szCs w:val="20"/>
          <w:lang w:val="en-US"/>
        </w:rPr>
        <w:t>of Article</w:t>
      </w:r>
      <w:r w:rsidR="00C01305" w:rsidRPr="00D869E3">
        <w:rPr>
          <w:rFonts w:ascii="Verdana" w:hAnsi="Verdana"/>
          <w:sz w:val="20"/>
          <w:szCs w:val="20"/>
          <w:lang w:val="en-US"/>
        </w:rPr>
        <w:t xml:space="preserve"> </w:t>
      </w:r>
      <w:r w:rsidR="00966115" w:rsidRPr="00D869E3">
        <w:rPr>
          <w:rFonts w:ascii="Verdana" w:hAnsi="Verdana"/>
          <w:sz w:val="20"/>
          <w:szCs w:val="20"/>
          <w:lang w:val="en-US"/>
        </w:rPr>
        <w:t>13(2)</w:t>
      </w:r>
      <w:r w:rsidR="00447C65" w:rsidRPr="00D869E3">
        <w:rPr>
          <w:rFonts w:ascii="Verdana" w:hAnsi="Verdana"/>
          <w:sz w:val="20"/>
          <w:szCs w:val="20"/>
          <w:lang w:val="en-US"/>
        </w:rPr>
        <w:t xml:space="preserve"> of the Convention</w:t>
      </w:r>
      <w:r w:rsidR="00C01305" w:rsidRPr="00D869E3">
        <w:rPr>
          <w:rFonts w:ascii="Verdana" w:hAnsi="Verdana"/>
          <w:sz w:val="20"/>
          <w:szCs w:val="20"/>
          <w:lang w:val="en-US"/>
        </w:rPr>
        <w:t xml:space="preserve">, </w:t>
      </w:r>
      <w:r w:rsidR="00CA352C" w:rsidRPr="00D869E3">
        <w:rPr>
          <w:rFonts w:ascii="Verdana" w:hAnsi="Verdana"/>
          <w:sz w:val="20"/>
          <w:szCs w:val="20"/>
          <w:lang w:val="en-US"/>
        </w:rPr>
        <w:t xml:space="preserve">taking into account the following requirements, concurrently: (i) classification of Mr. </w:t>
      </w:r>
      <w:r w:rsidR="007A21DE" w:rsidRPr="00D869E3">
        <w:rPr>
          <w:rFonts w:ascii="Verdana" w:hAnsi="Verdana"/>
          <w:sz w:val="20"/>
          <w:szCs w:val="20"/>
          <w:lang w:val="en-US"/>
        </w:rPr>
        <w:t>Lagos del Campo</w:t>
      </w:r>
      <w:r w:rsidR="0015138B" w:rsidRPr="00D869E3">
        <w:rPr>
          <w:rFonts w:ascii="Verdana" w:hAnsi="Verdana"/>
          <w:sz w:val="20"/>
          <w:szCs w:val="20"/>
          <w:lang w:val="en-US"/>
        </w:rPr>
        <w:t>’s statements</w:t>
      </w:r>
      <w:r w:rsidR="007A21DE" w:rsidRPr="00D869E3">
        <w:rPr>
          <w:rFonts w:ascii="Verdana" w:hAnsi="Verdana"/>
          <w:sz w:val="20"/>
          <w:szCs w:val="20"/>
          <w:lang w:val="en-US"/>
        </w:rPr>
        <w:t xml:space="preserve">; </w:t>
      </w:r>
      <w:r w:rsidR="00CA352C" w:rsidRPr="00D869E3">
        <w:rPr>
          <w:rFonts w:ascii="Verdana" w:hAnsi="Verdana"/>
          <w:sz w:val="20"/>
          <w:szCs w:val="20"/>
          <w:lang w:val="en-US"/>
        </w:rPr>
        <w:t>(</w:t>
      </w:r>
      <w:r w:rsidR="00C81E7D" w:rsidRPr="00D869E3">
        <w:rPr>
          <w:rFonts w:ascii="Verdana" w:hAnsi="Verdana"/>
          <w:sz w:val="20"/>
          <w:szCs w:val="20"/>
          <w:lang w:val="en-US"/>
        </w:rPr>
        <w:t>i</w:t>
      </w:r>
      <w:r w:rsidR="007A21DE" w:rsidRPr="00D869E3">
        <w:rPr>
          <w:rFonts w:ascii="Verdana" w:hAnsi="Verdana"/>
          <w:sz w:val="20"/>
          <w:szCs w:val="20"/>
          <w:lang w:val="en-US"/>
        </w:rPr>
        <w:t>i</w:t>
      </w:r>
      <w:r w:rsidR="00C81E7D" w:rsidRPr="00D869E3">
        <w:rPr>
          <w:rFonts w:ascii="Verdana" w:hAnsi="Verdana"/>
          <w:sz w:val="20"/>
          <w:szCs w:val="20"/>
          <w:lang w:val="en-US"/>
        </w:rPr>
        <w:t>) l</w:t>
      </w:r>
      <w:r w:rsidR="00C01305" w:rsidRPr="00D869E3">
        <w:rPr>
          <w:rFonts w:ascii="Verdana" w:hAnsi="Verdana"/>
          <w:sz w:val="20"/>
          <w:szCs w:val="20"/>
          <w:lang w:val="en-US"/>
        </w:rPr>
        <w:t>egali</w:t>
      </w:r>
      <w:r w:rsidR="00CA352C" w:rsidRPr="00D869E3">
        <w:rPr>
          <w:rFonts w:ascii="Verdana" w:hAnsi="Verdana"/>
          <w:sz w:val="20"/>
          <w:szCs w:val="20"/>
          <w:lang w:val="en-US"/>
        </w:rPr>
        <w:t xml:space="preserve">ty and purpose, and (iii) necessity and obligation to </w:t>
      </w:r>
      <w:r w:rsidR="0015138B" w:rsidRPr="00D869E3">
        <w:rPr>
          <w:rFonts w:ascii="Verdana" w:hAnsi="Verdana"/>
          <w:sz w:val="20"/>
          <w:szCs w:val="20"/>
          <w:lang w:val="en-US"/>
        </w:rPr>
        <w:t>state reasons</w:t>
      </w:r>
      <w:r w:rsidR="00CA352C" w:rsidRPr="00D869E3">
        <w:rPr>
          <w:rFonts w:ascii="Verdana" w:hAnsi="Verdana"/>
          <w:sz w:val="20"/>
          <w:szCs w:val="20"/>
          <w:lang w:val="en-US"/>
        </w:rPr>
        <w:t>.</w:t>
      </w:r>
      <w:r w:rsidR="00C01305" w:rsidRPr="00D869E3">
        <w:rPr>
          <w:rFonts w:ascii="Verdana" w:hAnsi="Verdana"/>
          <w:sz w:val="20"/>
          <w:szCs w:val="20"/>
          <w:vertAlign w:val="superscript"/>
          <w:lang w:val="en-US"/>
        </w:rPr>
        <w:footnoteReference w:id="136"/>
      </w:r>
      <w:r w:rsidR="00C01305" w:rsidRPr="00D869E3">
        <w:rPr>
          <w:rFonts w:ascii="Verdana" w:hAnsi="Verdana"/>
          <w:sz w:val="20"/>
          <w:szCs w:val="20"/>
          <w:lang w:val="en-US"/>
        </w:rPr>
        <w:t xml:space="preserve"> </w:t>
      </w:r>
    </w:p>
    <w:p w14:paraId="07F8F606" w14:textId="77777777" w:rsidR="00C01305" w:rsidRPr="00D869E3" w:rsidRDefault="00C01305" w:rsidP="00C01305">
      <w:pPr>
        <w:ind w:left="720"/>
        <w:contextualSpacing/>
        <w:rPr>
          <w:rFonts w:ascii="Verdana" w:hAnsi="Verdana"/>
          <w:sz w:val="20"/>
          <w:szCs w:val="20"/>
          <w:lang w:val="en-US"/>
        </w:rPr>
      </w:pPr>
    </w:p>
    <w:p w14:paraId="380ED213" w14:textId="138FDE41" w:rsidR="007A21DE" w:rsidRPr="00D869E3" w:rsidRDefault="00897912" w:rsidP="005B3D37">
      <w:pPr>
        <w:pStyle w:val="Ttulo3"/>
        <w:ind w:left="360"/>
        <w:rPr>
          <w:i/>
          <w:lang w:val="en-US"/>
        </w:rPr>
      </w:pPr>
      <w:bookmarkStart w:id="45" w:name="_Toc29114134"/>
      <w:r w:rsidRPr="00D869E3">
        <w:rPr>
          <w:i/>
          <w:lang w:val="en-US"/>
        </w:rPr>
        <w:t xml:space="preserve">1.2.1 </w:t>
      </w:r>
      <w:r w:rsidR="00CA352C" w:rsidRPr="00D869E3">
        <w:rPr>
          <w:i/>
          <w:lang w:val="en-US"/>
        </w:rPr>
        <w:t xml:space="preserve">Classification </w:t>
      </w:r>
      <w:r w:rsidR="0015138B" w:rsidRPr="00D869E3">
        <w:rPr>
          <w:i/>
          <w:lang w:val="en-US"/>
        </w:rPr>
        <w:t>of Mr. Lagos del Campo’s statements</w:t>
      </w:r>
      <w:bookmarkEnd w:id="45"/>
    </w:p>
    <w:p w14:paraId="2B9DF720" w14:textId="77777777" w:rsidR="007A21DE" w:rsidRPr="00D869E3" w:rsidRDefault="007A21DE" w:rsidP="00604459">
      <w:pPr>
        <w:pStyle w:val="Ttulo3"/>
        <w:ind w:left="720"/>
        <w:rPr>
          <w:rFonts w:eastAsia="Times New Roman"/>
          <w:i/>
          <w:lang w:val="en-US"/>
        </w:rPr>
      </w:pPr>
    </w:p>
    <w:p w14:paraId="661E4065" w14:textId="15790556" w:rsidR="007A21DE" w:rsidRPr="00D869E3" w:rsidRDefault="00447C6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7A21DE" w:rsidRPr="00D869E3">
        <w:rPr>
          <w:rFonts w:ascii="Verdana" w:hAnsi="Verdana"/>
          <w:sz w:val="20"/>
          <w:szCs w:val="20"/>
          <w:lang w:val="en-US"/>
        </w:rPr>
        <w:t xml:space="preserve"> </w:t>
      </w:r>
      <w:r w:rsidR="008303A0" w:rsidRPr="00D869E3">
        <w:rPr>
          <w:rFonts w:ascii="Verdana" w:hAnsi="Verdana"/>
          <w:sz w:val="20"/>
          <w:szCs w:val="20"/>
          <w:lang w:val="en-US"/>
        </w:rPr>
        <w:t>finds</w:t>
      </w:r>
      <w:r w:rsidR="00CA352C" w:rsidRPr="00D869E3">
        <w:rPr>
          <w:rFonts w:ascii="Verdana" w:hAnsi="Verdana"/>
          <w:sz w:val="20"/>
          <w:szCs w:val="20"/>
          <w:lang w:val="en-US"/>
        </w:rPr>
        <w:t xml:space="preserve"> it necessary to determine</w:t>
      </w:r>
      <w:r w:rsidR="003F7516" w:rsidRPr="00D869E3">
        <w:rPr>
          <w:rFonts w:ascii="Verdana" w:hAnsi="Verdana"/>
          <w:sz w:val="20"/>
          <w:szCs w:val="20"/>
          <w:lang w:val="en-US"/>
        </w:rPr>
        <w:t>:</w:t>
      </w:r>
      <w:r w:rsidR="00CA352C" w:rsidRPr="00D869E3">
        <w:rPr>
          <w:rFonts w:ascii="Verdana" w:hAnsi="Verdana"/>
          <w:sz w:val="20"/>
          <w:szCs w:val="20"/>
          <w:lang w:val="en-US"/>
        </w:rPr>
        <w:t xml:space="preserve"> </w:t>
      </w:r>
      <w:r w:rsidR="003F7516" w:rsidRPr="00D869E3">
        <w:rPr>
          <w:rFonts w:ascii="Verdana" w:hAnsi="Verdana"/>
          <w:sz w:val="20"/>
          <w:szCs w:val="20"/>
          <w:lang w:val="en-US"/>
        </w:rPr>
        <w:t xml:space="preserve">(a) </w:t>
      </w:r>
      <w:r w:rsidR="00CA352C" w:rsidRPr="00D869E3">
        <w:rPr>
          <w:rFonts w:ascii="Verdana" w:hAnsi="Verdana"/>
          <w:sz w:val="20"/>
          <w:szCs w:val="20"/>
          <w:lang w:val="en-US"/>
        </w:rPr>
        <w:t xml:space="preserve">whether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CA352C" w:rsidRPr="00D869E3">
        <w:rPr>
          <w:rFonts w:ascii="Verdana" w:hAnsi="Verdana"/>
          <w:sz w:val="20"/>
          <w:szCs w:val="20"/>
          <w:lang w:val="en-US"/>
        </w:rPr>
        <w:t>’s statement</w:t>
      </w:r>
      <w:r w:rsidR="008303A0" w:rsidRPr="00D869E3">
        <w:rPr>
          <w:rFonts w:ascii="Verdana" w:hAnsi="Verdana"/>
          <w:sz w:val="20"/>
          <w:szCs w:val="20"/>
          <w:lang w:val="en-US"/>
        </w:rPr>
        <w:t>s</w:t>
      </w:r>
      <w:r w:rsidR="00CA352C" w:rsidRPr="00D869E3">
        <w:rPr>
          <w:rFonts w:ascii="Verdana" w:hAnsi="Verdana"/>
          <w:sz w:val="20"/>
          <w:szCs w:val="20"/>
          <w:lang w:val="en-US"/>
        </w:rPr>
        <w:t xml:space="preserve"> w</w:t>
      </w:r>
      <w:r w:rsidR="008303A0" w:rsidRPr="00D869E3">
        <w:rPr>
          <w:rFonts w:ascii="Verdana" w:hAnsi="Verdana"/>
          <w:sz w:val="20"/>
          <w:szCs w:val="20"/>
          <w:lang w:val="en-US"/>
        </w:rPr>
        <w:t>ere</w:t>
      </w:r>
      <w:r w:rsidR="00CA352C" w:rsidRPr="00D869E3">
        <w:rPr>
          <w:rFonts w:ascii="Verdana" w:hAnsi="Verdana"/>
          <w:sz w:val="20"/>
          <w:szCs w:val="20"/>
          <w:lang w:val="en-US"/>
        </w:rPr>
        <w:t xml:space="preserve"> given in his capacity as the workers’ representative</w:t>
      </w:r>
      <w:r w:rsidR="007A21DE" w:rsidRPr="00D869E3">
        <w:rPr>
          <w:rFonts w:ascii="Verdana" w:hAnsi="Verdana"/>
          <w:sz w:val="20"/>
          <w:szCs w:val="20"/>
          <w:lang w:val="en-US"/>
        </w:rPr>
        <w:t xml:space="preserve"> (</w:t>
      </w:r>
      <w:r w:rsidR="00224537" w:rsidRPr="00D869E3">
        <w:rPr>
          <w:rFonts w:ascii="Verdana" w:hAnsi="Verdana"/>
          <w:i/>
          <w:sz w:val="20"/>
          <w:szCs w:val="20"/>
          <w:lang w:val="en-US"/>
        </w:rPr>
        <w:t>supra</w:t>
      </w:r>
      <w:r w:rsidR="007A21DE" w:rsidRPr="00D869E3">
        <w:rPr>
          <w:rFonts w:ascii="Verdana" w:hAnsi="Verdana"/>
          <w:sz w:val="20"/>
          <w:szCs w:val="20"/>
          <w:lang w:val="en-US"/>
        </w:rPr>
        <w:t xml:space="preserve">, </w:t>
      </w:r>
      <w:r w:rsidR="0087339F" w:rsidRPr="00D869E3">
        <w:rPr>
          <w:rFonts w:ascii="Verdana" w:hAnsi="Verdana"/>
          <w:sz w:val="20"/>
          <w:szCs w:val="20"/>
          <w:lang w:val="en-US"/>
        </w:rPr>
        <w:t>para.</w:t>
      </w:r>
      <w:r w:rsidR="007A21DE" w:rsidRPr="00D869E3">
        <w:rPr>
          <w:rFonts w:ascii="Verdana" w:hAnsi="Verdana"/>
          <w:sz w:val="20"/>
          <w:szCs w:val="20"/>
          <w:lang w:val="en-US"/>
        </w:rPr>
        <w:t xml:space="preserve"> </w:t>
      </w:r>
      <w:r w:rsidR="00F8746C" w:rsidRPr="00D869E3">
        <w:rPr>
          <w:rFonts w:ascii="Verdana" w:hAnsi="Verdana"/>
          <w:sz w:val="20"/>
          <w:szCs w:val="20"/>
          <w:lang w:val="en-US"/>
        </w:rPr>
        <w:t>96</w:t>
      </w:r>
      <w:r w:rsidR="007A21DE" w:rsidRPr="00D869E3">
        <w:rPr>
          <w:rFonts w:ascii="Verdana" w:hAnsi="Verdana"/>
          <w:sz w:val="20"/>
          <w:szCs w:val="20"/>
          <w:lang w:val="en-US"/>
        </w:rPr>
        <w:t>)</w:t>
      </w:r>
      <w:r w:rsidR="003F7516" w:rsidRPr="00D869E3">
        <w:rPr>
          <w:rFonts w:ascii="Verdana" w:hAnsi="Verdana"/>
          <w:sz w:val="20"/>
          <w:szCs w:val="20"/>
          <w:lang w:val="en-US"/>
        </w:rPr>
        <w:t>;</w:t>
      </w:r>
      <w:r w:rsidR="007A21DE" w:rsidRPr="00D869E3">
        <w:rPr>
          <w:rFonts w:ascii="Verdana" w:hAnsi="Verdana"/>
          <w:sz w:val="20"/>
          <w:szCs w:val="20"/>
          <w:lang w:val="en-US"/>
        </w:rPr>
        <w:t xml:space="preserve"> </w:t>
      </w:r>
      <w:r w:rsidR="00CA352C" w:rsidRPr="00D869E3">
        <w:rPr>
          <w:rFonts w:ascii="Verdana" w:hAnsi="Verdana"/>
          <w:sz w:val="20"/>
          <w:szCs w:val="20"/>
          <w:lang w:val="en-US"/>
        </w:rPr>
        <w:t>(</w:t>
      </w:r>
      <w:r w:rsidR="007A21DE" w:rsidRPr="00D869E3">
        <w:rPr>
          <w:rFonts w:ascii="Verdana" w:hAnsi="Verdana"/>
          <w:sz w:val="20"/>
          <w:szCs w:val="20"/>
          <w:lang w:val="en-US"/>
        </w:rPr>
        <w:t xml:space="preserve">b) </w:t>
      </w:r>
      <w:r w:rsidR="003F7516" w:rsidRPr="00D869E3">
        <w:rPr>
          <w:rFonts w:ascii="Verdana" w:hAnsi="Verdana"/>
          <w:sz w:val="20"/>
          <w:szCs w:val="20"/>
          <w:lang w:val="en-US"/>
        </w:rPr>
        <w:t xml:space="preserve">whether they </w:t>
      </w:r>
      <w:r w:rsidR="00CA352C" w:rsidRPr="00D869E3">
        <w:rPr>
          <w:rFonts w:ascii="Verdana" w:hAnsi="Verdana"/>
          <w:sz w:val="20"/>
          <w:szCs w:val="20"/>
          <w:lang w:val="en-US"/>
        </w:rPr>
        <w:t>w</w:t>
      </w:r>
      <w:r w:rsidR="008303A0" w:rsidRPr="00D869E3">
        <w:rPr>
          <w:rFonts w:ascii="Verdana" w:hAnsi="Verdana"/>
          <w:sz w:val="20"/>
          <w:szCs w:val="20"/>
          <w:lang w:val="en-US"/>
        </w:rPr>
        <w:t>ere</w:t>
      </w:r>
      <w:r w:rsidR="00CA352C" w:rsidRPr="00D869E3">
        <w:rPr>
          <w:rFonts w:ascii="Verdana" w:hAnsi="Verdana"/>
          <w:sz w:val="20"/>
          <w:szCs w:val="20"/>
          <w:lang w:val="en-US"/>
        </w:rPr>
        <w:t xml:space="preserve"> of public interest, and (c) the </w:t>
      </w:r>
      <w:r w:rsidR="003F7516" w:rsidRPr="00D869E3">
        <w:rPr>
          <w:rFonts w:ascii="Verdana" w:hAnsi="Verdana"/>
          <w:sz w:val="20"/>
          <w:szCs w:val="20"/>
          <w:lang w:val="en-US"/>
        </w:rPr>
        <w:t xml:space="preserve">significance </w:t>
      </w:r>
      <w:r w:rsidR="00CA352C" w:rsidRPr="00D869E3">
        <w:rPr>
          <w:rFonts w:ascii="Verdana" w:hAnsi="Verdana"/>
          <w:sz w:val="20"/>
          <w:szCs w:val="20"/>
          <w:lang w:val="en-US"/>
        </w:rPr>
        <w:t>of his statements</w:t>
      </w:r>
      <w:r w:rsidR="007A21DE" w:rsidRPr="00D869E3">
        <w:rPr>
          <w:rFonts w:ascii="Verdana" w:hAnsi="Verdana"/>
          <w:sz w:val="20"/>
          <w:szCs w:val="20"/>
          <w:lang w:val="en-US"/>
        </w:rPr>
        <w:t xml:space="preserve">. </w:t>
      </w:r>
    </w:p>
    <w:p w14:paraId="31993E41" w14:textId="77777777" w:rsidR="007A21DE" w:rsidRPr="00D869E3" w:rsidRDefault="007A21DE" w:rsidP="007A21DE">
      <w:pPr>
        <w:contextualSpacing/>
        <w:jc w:val="both"/>
        <w:rPr>
          <w:rFonts w:ascii="Verdana" w:hAnsi="Verdana"/>
          <w:sz w:val="20"/>
          <w:szCs w:val="20"/>
          <w:lang w:val="en-US"/>
        </w:rPr>
      </w:pPr>
    </w:p>
    <w:p w14:paraId="55D4A522" w14:textId="228EA26D" w:rsidR="00CA352C" w:rsidRPr="00D869E3" w:rsidRDefault="00CA352C" w:rsidP="00F84D64">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First, regarding </w:t>
      </w:r>
      <w:r w:rsidR="003F7516" w:rsidRPr="00D869E3">
        <w:rPr>
          <w:rFonts w:ascii="Verdana" w:hAnsi="Verdana"/>
          <w:sz w:val="20"/>
          <w:szCs w:val="20"/>
          <w:lang w:val="en-US"/>
        </w:rPr>
        <w:t xml:space="preserve">the </w:t>
      </w:r>
      <w:r w:rsidRPr="00D869E3">
        <w:rPr>
          <w:rFonts w:ascii="Verdana" w:hAnsi="Verdana"/>
          <w:sz w:val="20"/>
          <w:szCs w:val="20"/>
          <w:lang w:val="en-US"/>
        </w:rPr>
        <w:t>representation</w:t>
      </w:r>
      <w:r w:rsidR="00F84D64" w:rsidRPr="00D869E3">
        <w:rPr>
          <w:rFonts w:ascii="Verdana" w:hAnsi="Verdana"/>
          <w:sz w:val="20"/>
          <w:szCs w:val="20"/>
          <w:lang w:val="en-US"/>
        </w:rPr>
        <w:t xml:space="preserve"> exercised by Mr. Lagos del Campo</w:t>
      </w:r>
      <w:r w:rsidRPr="00D869E3">
        <w:rPr>
          <w:rFonts w:ascii="Verdana" w:hAnsi="Verdana"/>
          <w:sz w:val="20"/>
          <w:szCs w:val="20"/>
          <w:lang w:val="en-US"/>
        </w:rPr>
        <w:t xml:space="preserve">, the Court observes – </w:t>
      </w:r>
      <w:r w:rsidR="004F3F27" w:rsidRPr="00D869E3">
        <w:rPr>
          <w:rFonts w:ascii="Verdana" w:hAnsi="Verdana"/>
          <w:sz w:val="20"/>
          <w:szCs w:val="20"/>
          <w:lang w:val="en-US"/>
        </w:rPr>
        <w:t>based on</w:t>
      </w:r>
      <w:r w:rsidRPr="00D869E3">
        <w:rPr>
          <w:rFonts w:ascii="Verdana" w:hAnsi="Verdana"/>
          <w:sz w:val="20"/>
          <w:szCs w:val="20"/>
          <w:lang w:val="en-US"/>
        </w:rPr>
        <w:t xml:space="preserve"> the principle of immediacy – in the very first </w:t>
      </w:r>
      <w:r w:rsidR="00D77CB3" w:rsidRPr="00D869E3">
        <w:rPr>
          <w:rFonts w:ascii="Verdana" w:hAnsi="Verdana"/>
          <w:sz w:val="20"/>
          <w:szCs w:val="20"/>
          <w:lang w:val="en-US"/>
        </w:rPr>
        <w:t xml:space="preserve">exculpatory </w:t>
      </w:r>
      <w:r w:rsidR="00D470B2" w:rsidRPr="00D869E3">
        <w:rPr>
          <w:rFonts w:ascii="Verdana" w:hAnsi="Verdana"/>
          <w:sz w:val="20"/>
          <w:szCs w:val="20"/>
          <w:lang w:val="en-US"/>
        </w:rPr>
        <w:t>letter</w:t>
      </w:r>
      <w:r w:rsidRPr="00D869E3">
        <w:rPr>
          <w:rFonts w:ascii="Verdana" w:hAnsi="Verdana"/>
          <w:sz w:val="20"/>
          <w:szCs w:val="20"/>
          <w:lang w:val="en-US"/>
        </w:rPr>
        <w:t xml:space="preserve"> that Mr. Lagos del Campo submitted to the company, he specified that the statements: </w:t>
      </w:r>
    </w:p>
    <w:p w14:paraId="22A0FF24" w14:textId="77777777" w:rsidR="007A21DE" w:rsidRPr="00D869E3" w:rsidRDefault="007A21DE" w:rsidP="007A21DE">
      <w:pPr>
        <w:ind w:left="720"/>
        <w:contextualSpacing/>
        <w:rPr>
          <w:rFonts w:ascii="Verdana" w:hAnsi="Verdana"/>
          <w:sz w:val="20"/>
          <w:szCs w:val="20"/>
          <w:lang w:val="en-US"/>
        </w:rPr>
      </w:pPr>
    </w:p>
    <w:p w14:paraId="1568DEEC" w14:textId="243B106A" w:rsidR="007A21DE" w:rsidRPr="00D869E3" w:rsidRDefault="006436CA" w:rsidP="004F3F27">
      <w:pPr>
        <w:ind w:left="284" w:right="476"/>
        <w:contextualSpacing/>
        <w:jc w:val="both"/>
        <w:rPr>
          <w:rFonts w:ascii="Verdana" w:hAnsi="Verdana"/>
          <w:sz w:val="18"/>
          <w:szCs w:val="18"/>
          <w:lang w:val="en-US"/>
        </w:rPr>
      </w:pPr>
      <w:r w:rsidRPr="00D869E3">
        <w:rPr>
          <w:rFonts w:ascii="Verdana" w:hAnsi="Verdana"/>
          <w:sz w:val="18"/>
          <w:szCs w:val="20"/>
          <w:lang w:val="en-US"/>
        </w:rPr>
        <w:t>“</w:t>
      </w:r>
      <w:r w:rsidR="00F84D64" w:rsidRPr="00D869E3">
        <w:rPr>
          <w:rFonts w:ascii="Verdana" w:hAnsi="Verdana"/>
          <w:sz w:val="18"/>
          <w:szCs w:val="20"/>
          <w:lang w:val="en-US"/>
        </w:rPr>
        <w:t xml:space="preserve">were given in [his] capacity as </w:t>
      </w:r>
      <w:r w:rsidR="001B0492" w:rsidRPr="00D869E3">
        <w:rPr>
          <w:rFonts w:ascii="Verdana" w:hAnsi="Verdana"/>
          <w:sz w:val="18"/>
          <w:szCs w:val="20"/>
          <w:lang w:val="en-US"/>
        </w:rPr>
        <w:t>president of the Electoral</w:t>
      </w:r>
      <w:r w:rsidR="00EA232B" w:rsidRPr="00D869E3">
        <w:rPr>
          <w:rFonts w:ascii="Verdana" w:hAnsi="Verdana"/>
          <w:sz w:val="18"/>
          <w:szCs w:val="20"/>
          <w:lang w:val="en-US"/>
        </w:rPr>
        <w:t xml:space="preserve"> Committee of the</w:t>
      </w:r>
      <w:r w:rsidR="004F3F27" w:rsidRPr="00D869E3">
        <w:rPr>
          <w:rFonts w:ascii="Verdana" w:hAnsi="Verdana"/>
          <w:sz w:val="18"/>
          <w:szCs w:val="20"/>
          <w:lang w:val="en-US"/>
        </w:rPr>
        <w:t xml:space="preserve"> CEPER</w:t>
      </w:r>
      <w:r w:rsidR="00EA232B" w:rsidRPr="00D869E3">
        <w:rPr>
          <w:rFonts w:ascii="Verdana" w:hAnsi="Verdana"/>
          <w:sz w:val="18"/>
          <w:szCs w:val="20"/>
          <w:lang w:val="en-US"/>
        </w:rPr>
        <w:t xml:space="preserve"> Industrial Community</w:t>
      </w:r>
      <w:r w:rsidR="007A21DE" w:rsidRPr="00D869E3">
        <w:rPr>
          <w:rFonts w:ascii="Verdana" w:hAnsi="Verdana"/>
          <w:sz w:val="18"/>
          <w:szCs w:val="20"/>
          <w:lang w:val="en-US"/>
        </w:rPr>
        <w:t xml:space="preserve">, </w:t>
      </w:r>
      <w:r w:rsidR="00F84D64" w:rsidRPr="00D869E3">
        <w:rPr>
          <w:rFonts w:ascii="Verdana" w:hAnsi="Verdana"/>
          <w:sz w:val="18"/>
          <w:szCs w:val="20"/>
          <w:lang w:val="en-US"/>
        </w:rPr>
        <w:t xml:space="preserve">as they were directly and exclusively related to internal matters of an interest to the Community, such as the </w:t>
      </w:r>
      <w:r w:rsidR="00F84D64" w:rsidRPr="00D869E3">
        <w:rPr>
          <w:rFonts w:ascii="Verdana" w:hAnsi="Verdana"/>
          <w:sz w:val="18"/>
          <w:szCs w:val="18"/>
          <w:lang w:val="en-US"/>
        </w:rPr>
        <w:t xml:space="preserve">irregularities in the electoral process […] that, </w:t>
      </w:r>
      <w:r w:rsidR="004F3F27" w:rsidRPr="00D869E3">
        <w:rPr>
          <w:rFonts w:ascii="Verdana" w:hAnsi="Verdana"/>
          <w:sz w:val="18"/>
          <w:szCs w:val="18"/>
          <w:lang w:val="en-US"/>
        </w:rPr>
        <w:t>in any case</w:t>
      </w:r>
      <w:r w:rsidR="00F84D64" w:rsidRPr="00D869E3">
        <w:rPr>
          <w:rFonts w:ascii="Verdana" w:hAnsi="Verdana"/>
          <w:sz w:val="18"/>
          <w:szCs w:val="18"/>
          <w:lang w:val="en-US"/>
        </w:rPr>
        <w:t>, had been denounced by the members of the Community themselves</w:t>
      </w:r>
      <w:r w:rsidR="004F3F27" w:rsidRPr="00D869E3">
        <w:rPr>
          <w:rFonts w:ascii="Verdana" w:hAnsi="Verdana"/>
          <w:sz w:val="18"/>
          <w:szCs w:val="18"/>
          <w:lang w:val="en-US"/>
        </w:rPr>
        <w:t>,</w:t>
      </w:r>
      <w:r w:rsidR="00F84D64" w:rsidRPr="00D869E3">
        <w:rPr>
          <w:rFonts w:ascii="Verdana" w:hAnsi="Verdana"/>
          <w:sz w:val="18"/>
          <w:szCs w:val="18"/>
          <w:lang w:val="en-US"/>
        </w:rPr>
        <w:t xml:space="preserve"> and that had been verified by the </w:t>
      </w:r>
      <w:r w:rsidR="00EC2233" w:rsidRPr="00D869E3">
        <w:rPr>
          <w:rFonts w:ascii="Verdana" w:hAnsi="Verdana"/>
          <w:sz w:val="18"/>
          <w:szCs w:val="18"/>
          <w:lang w:val="en-US"/>
        </w:rPr>
        <w:t>Participation Directorate</w:t>
      </w:r>
      <w:r w:rsidR="007A21DE" w:rsidRPr="00D869E3">
        <w:rPr>
          <w:rFonts w:ascii="Verdana" w:hAnsi="Verdana"/>
          <w:sz w:val="18"/>
          <w:szCs w:val="18"/>
          <w:lang w:val="en-US"/>
        </w:rPr>
        <w:t xml:space="preserve"> </w:t>
      </w:r>
      <w:r w:rsidR="004D704D" w:rsidRPr="00D869E3">
        <w:rPr>
          <w:rFonts w:ascii="Verdana" w:hAnsi="Verdana"/>
          <w:sz w:val="18"/>
          <w:szCs w:val="18"/>
          <w:lang w:val="en-US"/>
        </w:rPr>
        <w:t>of the Ministry</w:t>
      </w:r>
      <w:r w:rsidR="00F43C5F" w:rsidRPr="00D869E3">
        <w:rPr>
          <w:rFonts w:ascii="Verdana" w:hAnsi="Verdana"/>
          <w:sz w:val="18"/>
          <w:szCs w:val="18"/>
          <w:lang w:val="en-US"/>
        </w:rPr>
        <w:t xml:space="preserve"> of Industry</w:t>
      </w:r>
      <w:r w:rsidR="00F84D64" w:rsidRPr="00D869E3">
        <w:rPr>
          <w:rFonts w:ascii="Verdana" w:hAnsi="Verdana"/>
          <w:sz w:val="18"/>
          <w:szCs w:val="18"/>
          <w:lang w:val="en-US"/>
        </w:rPr>
        <w:t>.</w:t>
      </w:r>
      <w:r w:rsidRPr="00D869E3">
        <w:rPr>
          <w:rFonts w:ascii="Verdana" w:hAnsi="Verdana"/>
          <w:sz w:val="18"/>
          <w:szCs w:val="18"/>
          <w:lang w:val="en-US"/>
        </w:rPr>
        <w:t>”</w:t>
      </w:r>
      <w:r w:rsidR="007A21DE" w:rsidRPr="00D869E3">
        <w:rPr>
          <w:rFonts w:ascii="Verdana" w:hAnsi="Verdana"/>
          <w:sz w:val="18"/>
          <w:szCs w:val="18"/>
          <w:vertAlign w:val="superscript"/>
          <w:lang w:val="en-US"/>
        </w:rPr>
        <w:footnoteReference w:id="137"/>
      </w:r>
    </w:p>
    <w:p w14:paraId="733CCB37" w14:textId="77777777" w:rsidR="007A21DE" w:rsidRPr="00D869E3" w:rsidRDefault="007A21DE" w:rsidP="007A21DE">
      <w:pPr>
        <w:contextualSpacing/>
        <w:jc w:val="both"/>
        <w:rPr>
          <w:rFonts w:ascii="Verdana" w:hAnsi="Verdana"/>
          <w:sz w:val="20"/>
          <w:szCs w:val="20"/>
          <w:lang w:val="en-US"/>
        </w:rPr>
      </w:pPr>
    </w:p>
    <w:p w14:paraId="7E4CE1C1" w14:textId="33A81AC4" w:rsidR="007A21DE" w:rsidRPr="00D869E3" w:rsidRDefault="007E39F5" w:rsidP="00F84D64">
      <w:pPr>
        <w:numPr>
          <w:ilvl w:val="0"/>
          <w:numId w:val="1"/>
        </w:numPr>
        <w:ind w:left="0" w:firstLine="0"/>
        <w:contextualSpacing/>
        <w:jc w:val="both"/>
        <w:rPr>
          <w:rFonts w:ascii="Verdana" w:hAnsi="Verdana"/>
          <w:sz w:val="20"/>
          <w:lang w:val="en-US"/>
        </w:rPr>
      </w:pPr>
      <w:r w:rsidRPr="00D869E3">
        <w:rPr>
          <w:rFonts w:ascii="Verdana" w:hAnsi="Verdana"/>
          <w:sz w:val="20"/>
          <w:szCs w:val="20"/>
          <w:lang w:val="en-US"/>
        </w:rPr>
        <w:t>A</w:t>
      </w:r>
      <w:r w:rsidR="00F84D64" w:rsidRPr="00D869E3">
        <w:rPr>
          <w:rFonts w:ascii="Verdana" w:hAnsi="Verdana"/>
          <w:sz w:val="20"/>
          <w:szCs w:val="20"/>
          <w:lang w:val="en-US"/>
        </w:rPr>
        <w:t>lso, from the body of evidence, the Court finds that: (</w:t>
      </w:r>
      <w:r w:rsidR="00B32EB0" w:rsidRPr="00D869E3">
        <w:rPr>
          <w:rFonts w:ascii="Verdana" w:hAnsi="Verdana"/>
          <w:sz w:val="20"/>
          <w:szCs w:val="20"/>
          <w:lang w:val="en-US"/>
        </w:rPr>
        <w:t xml:space="preserve">i) </w:t>
      </w:r>
      <w:r w:rsidR="004F3F27" w:rsidRPr="00D869E3">
        <w:rPr>
          <w:rFonts w:ascii="Verdana" w:hAnsi="Verdana"/>
          <w:sz w:val="20"/>
          <w:szCs w:val="20"/>
          <w:lang w:val="en-US"/>
        </w:rPr>
        <w:t xml:space="preserve">since </w:t>
      </w:r>
      <w:r w:rsidR="001E44D3" w:rsidRPr="00D869E3">
        <w:rPr>
          <w:rFonts w:ascii="Verdana" w:hAnsi="Verdana"/>
          <w:sz w:val="20"/>
          <w:szCs w:val="20"/>
          <w:lang w:val="en-US"/>
        </w:rPr>
        <w:t>Mr. Lagos del Campo</w:t>
      </w:r>
      <w:r w:rsidR="00F84D64" w:rsidRPr="00D869E3">
        <w:rPr>
          <w:rFonts w:ascii="Verdana" w:hAnsi="Verdana"/>
          <w:sz w:val="20"/>
          <w:szCs w:val="20"/>
          <w:lang w:val="en-US"/>
        </w:rPr>
        <w:t xml:space="preserve"> </w:t>
      </w:r>
      <w:r w:rsidR="004F3F27" w:rsidRPr="00D869E3">
        <w:rPr>
          <w:rFonts w:ascii="Verdana" w:hAnsi="Verdana"/>
          <w:sz w:val="20"/>
          <w:szCs w:val="20"/>
          <w:lang w:val="en-US"/>
        </w:rPr>
        <w:t xml:space="preserve">was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 of the</w:t>
      </w:r>
      <w:r w:rsidR="00F84D64" w:rsidRPr="00D869E3">
        <w:rPr>
          <w:rFonts w:ascii="Verdana" w:hAnsi="Verdana"/>
          <w:sz w:val="20"/>
          <w:szCs w:val="20"/>
          <w:lang w:val="en-US"/>
        </w:rPr>
        <w:t xml:space="preserve"> company’s</w:t>
      </w:r>
      <w:r w:rsidR="00EA232B" w:rsidRPr="00D869E3">
        <w:rPr>
          <w:rFonts w:ascii="Verdana" w:hAnsi="Verdana"/>
          <w:sz w:val="20"/>
          <w:szCs w:val="20"/>
          <w:lang w:val="en-US"/>
        </w:rPr>
        <w:t xml:space="preserve"> Industrial Community</w:t>
      </w:r>
      <w:r w:rsidR="00B32EB0" w:rsidRPr="00D869E3">
        <w:rPr>
          <w:rFonts w:ascii="Verdana" w:hAnsi="Verdana"/>
          <w:sz w:val="20"/>
          <w:szCs w:val="20"/>
          <w:lang w:val="en-US"/>
        </w:rPr>
        <w:t xml:space="preserve">, </w:t>
      </w:r>
      <w:r w:rsidR="00F84D64" w:rsidRPr="00D869E3">
        <w:rPr>
          <w:rFonts w:ascii="Verdana" w:hAnsi="Verdana"/>
          <w:sz w:val="20"/>
          <w:szCs w:val="20"/>
          <w:lang w:val="en-US"/>
        </w:rPr>
        <w:t>a post to which h</w:t>
      </w:r>
      <w:r w:rsidR="004F3F27" w:rsidRPr="00D869E3">
        <w:rPr>
          <w:rFonts w:ascii="Verdana" w:hAnsi="Verdana"/>
          <w:sz w:val="20"/>
          <w:szCs w:val="20"/>
          <w:lang w:val="en-US"/>
        </w:rPr>
        <w:t>e</w:t>
      </w:r>
      <w:r w:rsidR="00F84D64" w:rsidRPr="00D869E3">
        <w:rPr>
          <w:rFonts w:ascii="Verdana" w:hAnsi="Verdana"/>
          <w:sz w:val="20"/>
          <w:szCs w:val="20"/>
          <w:lang w:val="en-US"/>
        </w:rPr>
        <w:t xml:space="preserve"> had been elected by </w:t>
      </w:r>
      <w:r w:rsidR="00F4667D" w:rsidRPr="00D869E3">
        <w:rPr>
          <w:rFonts w:ascii="Verdana" w:hAnsi="Verdana"/>
          <w:sz w:val="20"/>
          <w:szCs w:val="20"/>
          <w:lang w:val="en-US"/>
        </w:rPr>
        <w:t>the General Assembly</w:t>
      </w:r>
      <w:r w:rsidR="004F3F27" w:rsidRPr="00D869E3">
        <w:rPr>
          <w:rFonts w:ascii="Verdana" w:hAnsi="Verdana"/>
          <w:sz w:val="20"/>
          <w:szCs w:val="20"/>
          <w:lang w:val="en-US"/>
        </w:rPr>
        <w:t xml:space="preserve"> </w:t>
      </w:r>
      <w:r w:rsidR="00F84D64" w:rsidRPr="00D869E3">
        <w:rPr>
          <w:rFonts w:ascii="Verdana" w:hAnsi="Verdana"/>
          <w:sz w:val="20"/>
          <w:szCs w:val="20"/>
          <w:lang w:val="en-US"/>
        </w:rPr>
        <w:t xml:space="preserve">composed of all the members </w:t>
      </w:r>
      <w:r w:rsidR="00EA232B" w:rsidRPr="00D869E3">
        <w:rPr>
          <w:rFonts w:ascii="Verdana" w:hAnsi="Verdana"/>
          <w:sz w:val="20"/>
          <w:szCs w:val="20"/>
          <w:lang w:val="en-US"/>
        </w:rPr>
        <w:t>of the Industrial Community</w:t>
      </w:r>
      <w:r w:rsidR="00F84D64" w:rsidRPr="00D869E3">
        <w:rPr>
          <w:rFonts w:ascii="Verdana" w:hAnsi="Verdana"/>
          <w:sz w:val="20"/>
          <w:szCs w:val="20"/>
          <w:lang w:val="en-US"/>
        </w:rPr>
        <w:t xml:space="preserve"> – that is, by all the company’s </w:t>
      </w:r>
      <w:r w:rsidR="00785445" w:rsidRPr="00D869E3">
        <w:rPr>
          <w:rFonts w:ascii="Verdana" w:hAnsi="Verdana"/>
          <w:sz w:val="20"/>
          <w:szCs w:val="20"/>
          <w:lang w:val="en-US"/>
        </w:rPr>
        <w:t>permanent</w:t>
      </w:r>
      <w:r w:rsidR="00F84D64" w:rsidRPr="00D869E3">
        <w:rPr>
          <w:rFonts w:ascii="Verdana" w:hAnsi="Verdana"/>
          <w:sz w:val="20"/>
          <w:szCs w:val="20"/>
          <w:lang w:val="en-US"/>
        </w:rPr>
        <w:t xml:space="preserve">  workers</w:t>
      </w:r>
      <w:r w:rsidR="00B32EB0" w:rsidRPr="00D869E3">
        <w:rPr>
          <w:rFonts w:ascii="Verdana" w:hAnsi="Verdana"/>
          <w:sz w:val="20"/>
          <w:szCs w:val="20"/>
          <w:vertAlign w:val="superscript"/>
          <w:lang w:val="en-US"/>
        </w:rPr>
        <w:footnoteReference w:id="138"/>
      </w:r>
      <w:r w:rsidR="00F84D64" w:rsidRPr="00D869E3">
        <w:rPr>
          <w:rFonts w:ascii="Verdana" w:hAnsi="Verdana"/>
          <w:sz w:val="20"/>
          <w:szCs w:val="20"/>
          <w:lang w:val="en-US"/>
        </w:rPr>
        <w:t xml:space="preserve"> - and that </w:t>
      </w:r>
      <w:r w:rsidR="004F3F27" w:rsidRPr="00D869E3">
        <w:rPr>
          <w:rFonts w:ascii="Verdana" w:hAnsi="Verdana"/>
          <w:sz w:val="20"/>
          <w:szCs w:val="20"/>
          <w:lang w:val="en-US"/>
        </w:rPr>
        <w:t>his</w:t>
      </w:r>
      <w:r w:rsidR="00F84D64" w:rsidRPr="00D869E3">
        <w:rPr>
          <w:rFonts w:ascii="Verdana" w:hAnsi="Verdana"/>
          <w:sz w:val="20"/>
          <w:szCs w:val="20"/>
          <w:lang w:val="en-US"/>
        </w:rPr>
        <w:t xml:space="preserve"> function</w:t>
      </w:r>
      <w:r w:rsidR="004F3F27" w:rsidRPr="00D869E3">
        <w:rPr>
          <w:rFonts w:ascii="Verdana" w:hAnsi="Verdana"/>
          <w:sz w:val="20"/>
          <w:szCs w:val="20"/>
          <w:lang w:val="en-US"/>
        </w:rPr>
        <w:t>s</w:t>
      </w:r>
      <w:r w:rsidR="00F84D64" w:rsidRPr="00D869E3">
        <w:rPr>
          <w:rFonts w:ascii="Verdana" w:hAnsi="Verdana"/>
          <w:sz w:val="20"/>
          <w:szCs w:val="20"/>
          <w:lang w:val="en-US"/>
        </w:rPr>
        <w:t xml:space="preserve"> </w:t>
      </w:r>
      <w:r w:rsidR="004F3F27" w:rsidRPr="00D869E3">
        <w:rPr>
          <w:rFonts w:ascii="Verdana" w:hAnsi="Verdana"/>
          <w:sz w:val="20"/>
          <w:szCs w:val="20"/>
          <w:lang w:val="en-US"/>
        </w:rPr>
        <w:t>included</w:t>
      </w:r>
      <w:r w:rsidR="00F84D64" w:rsidRPr="00D869E3">
        <w:rPr>
          <w:rFonts w:ascii="Verdana" w:hAnsi="Verdana"/>
          <w:sz w:val="20"/>
          <w:szCs w:val="20"/>
          <w:lang w:val="en-US"/>
        </w:rPr>
        <w:t xml:space="preserve"> holding elections for the members of the Community Council and for its representatives on the company’s Board, he undoubtedly held a position that represented the interests of the company’s workers;</w:t>
      </w:r>
      <w:r w:rsidR="00B32EB0" w:rsidRPr="00D869E3">
        <w:rPr>
          <w:rFonts w:ascii="Verdana" w:hAnsi="Verdana"/>
          <w:sz w:val="20"/>
          <w:szCs w:val="20"/>
          <w:vertAlign w:val="superscript"/>
          <w:lang w:val="en-US"/>
        </w:rPr>
        <w:footnoteReference w:id="139"/>
      </w:r>
      <w:r w:rsidR="00171480" w:rsidRPr="00D869E3">
        <w:rPr>
          <w:rFonts w:ascii="Verdana" w:hAnsi="Verdana"/>
          <w:sz w:val="20"/>
          <w:szCs w:val="20"/>
          <w:lang w:val="en-US"/>
        </w:rPr>
        <w:t xml:space="preserve"> </w:t>
      </w:r>
      <w:r w:rsidR="00F84D64" w:rsidRPr="00D869E3">
        <w:rPr>
          <w:rFonts w:ascii="Verdana" w:hAnsi="Verdana"/>
          <w:sz w:val="20"/>
          <w:szCs w:val="20"/>
          <w:lang w:val="en-US"/>
        </w:rPr>
        <w:t>(</w:t>
      </w:r>
      <w:r w:rsidR="00171480" w:rsidRPr="00D869E3">
        <w:rPr>
          <w:rFonts w:ascii="Verdana" w:hAnsi="Verdana"/>
          <w:sz w:val="20"/>
          <w:szCs w:val="20"/>
          <w:lang w:val="en-US"/>
        </w:rPr>
        <w:t>ii)</w:t>
      </w:r>
      <w:r w:rsidR="00B32EB0"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B32EB0" w:rsidRPr="00D869E3">
        <w:rPr>
          <w:rFonts w:ascii="Verdana" w:hAnsi="Verdana"/>
          <w:sz w:val="20"/>
          <w:szCs w:val="20"/>
          <w:lang w:val="en-US"/>
        </w:rPr>
        <w:t xml:space="preserve"> </w:t>
      </w:r>
      <w:r w:rsidR="00F84D64" w:rsidRPr="00D869E3">
        <w:rPr>
          <w:rFonts w:ascii="Verdana" w:hAnsi="Verdana"/>
          <w:sz w:val="20"/>
          <w:szCs w:val="20"/>
          <w:lang w:val="en-US"/>
        </w:rPr>
        <w:t xml:space="preserve">also represented the workers before the </w:t>
      </w:r>
      <w:r w:rsidR="00B32EB0" w:rsidRPr="00D869E3">
        <w:rPr>
          <w:rFonts w:ascii="Verdana" w:hAnsi="Verdana"/>
          <w:sz w:val="20"/>
          <w:szCs w:val="20"/>
          <w:lang w:val="en-US"/>
        </w:rPr>
        <w:t>CONACI</w:t>
      </w:r>
      <w:r w:rsidR="00915ACA" w:rsidRPr="00D869E3">
        <w:rPr>
          <w:rFonts w:ascii="Verdana" w:hAnsi="Verdana"/>
          <w:sz w:val="20"/>
          <w:szCs w:val="20"/>
          <w:lang w:val="en-US"/>
        </w:rPr>
        <w:t xml:space="preserve"> (</w:t>
      </w:r>
      <w:r w:rsidR="00224537" w:rsidRPr="00D869E3">
        <w:rPr>
          <w:rFonts w:ascii="Verdana" w:hAnsi="Verdana"/>
          <w:i/>
          <w:sz w:val="20"/>
          <w:szCs w:val="20"/>
          <w:lang w:val="en-US"/>
        </w:rPr>
        <w:t>supra</w:t>
      </w:r>
      <w:r w:rsidR="00AF223F" w:rsidRPr="00D869E3">
        <w:rPr>
          <w:rFonts w:ascii="Verdana" w:hAnsi="Verdana"/>
          <w:i/>
          <w:sz w:val="20"/>
          <w:szCs w:val="20"/>
          <w:lang w:val="en-US"/>
        </w:rPr>
        <w:t xml:space="preserve"> </w:t>
      </w:r>
      <w:r w:rsidR="0087339F" w:rsidRPr="00D869E3">
        <w:rPr>
          <w:rFonts w:ascii="Verdana" w:hAnsi="Verdana"/>
          <w:sz w:val="20"/>
          <w:szCs w:val="20"/>
          <w:lang w:val="en-US"/>
        </w:rPr>
        <w:t>para.</w:t>
      </w:r>
      <w:r w:rsidR="00EC11D2" w:rsidRPr="00D869E3">
        <w:rPr>
          <w:rFonts w:ascii="Verdana" w:hAnsi="Verdana"/>
          <w:sz w:val="20"/>
          <w:szCs w:val="20"/>
          <w:lang w:val="en-US"/>
        </w:rPr>
        <w:t xml:space="preserve"> </w:t>
      </w:r>
      <w:r w:rsidR="00AF223F" w:rsidRPr="00D869E3">
        <w:rPr>
          <w:rFonts w:ascii="Verdana" w:hAnsi="Verdana"/>
          <w:sz w:val="20"/>
          <w:szCs w:val="20"/>
          <w:lang w:val="en-US"/>
        </w:rPr>
        <w:t>50</w:t>
      </w:r>
      <w:r w:rsidR="00915ACA" w:rsidRPr="00D869E3">
        <w:rPr>
          <w:rFonts w:ascii="Verdana" w:hAnsi="Verdana"/>
          <w:sz w:val="20"/>
          <w:szCs w:val="20"/>
          <w:lang w:val="en-US"/>
        </w:rPr>
        <w:t>)</w:t>
      </w:r>
      <w:r w:rsidR="00F84D64" w:rsidRPr="00D869E3">
        <w:rPr>
          <w:rFonts w:ascii="Verdana" w:hAnsi="Verdana"/>
          <w:sz w:val="20"/>
          <w:szCs w:val="20"/>
          <w:lang w:val="en-US"/>
        </w:rPr>
        <w:t>,</w:t>
      </w:r>
      <w:r w:rsidR="00B32EB0" w:rsidRPr="00D869E3">
        <w:rPr>
          <w:rFonts w:ascii="Verdana" w:hAnsi="Verdana"/>
          <w:sz w:val="20"/>
          <w:szCs w:val="20"/>
          <w:vertAlign w:val="superscript"/>
          <w:lang w:val="en-US"/>
        </w:rPr>
        <w:footnoteReference w:id="140"/>
      </w:r>
      <w:r w:rsidR="00687684" w:rsidRPr="00D869E3">
        <w:rPr>
          <w:rFonts w:ascii="Verdana" w:hAnsi="Verdana"/>
          <w:sz w:val="20"/>
          <w:szCs w:val="20"/>
          <w:lang w:val="en-US"/>
        </w:rPr>
        <w:t xml:space="preserve"> and </w:t>
      </w:r>
      <w:r w:rsidR="00F84D64" w:rsidRPr="00D869E3">
        <w:rPr>
          <w:rFonts w:ascii="Verdana" w:hAnsi="Verdana"/>
          <w:sz w:val="20"/>
          <w:szCs w:val="20"/>
          <w:lang w:val="en-US"/>
        </w:rPr>
        <w:t>(iii</w:t>
      </w:r>
      <w:r w:rsidR="00B32EB0" w:rsidRPr="00D869E3">
        <w:rPr>
          <w:rFonts w:ascii="Verdana" w:hAnsi="Verdana"/>
          <w:sz w:val="20"/>
          <w:szCs w:val="20"/>
          <w:lang w:val="en-US"/>
        </w:rPr>
        <w:t xml:space="preserve">) </w:t>
      </w:r>
      <w:r w:rsidR="00F84D64" w:rsidRPr="00D869E3">
        <w:rPr>
          <w:rFonts w:ascii="Verdana" w:hAnsi="Verdana"/>
          <w:sz w:val="20"/>
          <w:szCs w:val="20"/>
          <w:lang w:val="en-US"/>
        </w:rPr>
        <w:t>the statements he made to “</w:t>
      </w:r>
      <w:r w:rsidR="00F84D64" w:rsidRPr="00D869E3">
        <w:rPr>
          <w:rFonts w:ascii="Verdana" w:hAnsi="Verdana"/>
          <w:i/>
          <w:iCs/>
          <w:sz w:val="20"/>
          <w:szCs w:val="20"/>
          <w:lang w:val="en-US"/>
        </w:rPr>
        <w:t>La Razón</w:t>
      </w:r>
      <w:r w:rsidR="00F84D64" w:rsidRPr="00D869E3">
        <w:rPr>
          <w:rFonts w:ascii="Verdana" w:hAnsi="Verdana"/>
          <w:sz w:val="20"/>
          <w:szCs w:val="20"/>
          <w:lang w:val="en-US"/>
        </w:rPr>
        <w:t xml:space="preserve">” reveal </w:t>
      </w:r>
      <w:r w:rsidR="00F84D64" w:rsidRPr="00D869E3">
        <w:rPr>
          <w:rFonts w:ascii="Verdana" w:hAnsi="Verdana"/>
          <w:sz w:val="20"/>
          <w:szCs w:val="20"/>
          <w:lang w:val="en-US"/>
        </w:rPr>
        <w:lastRenderedPageBreak/>
        <w:t>that he denounced supposed irregularities in the internal electoral process, and he made the</w:t>
      </w:r>
      <w:r w:rsidR="00D470B2" w:rsidRPr="00D869E3">
        <w:rPr>
          <w:rFonts w:ascii="Verdana" w:hAnsi="Verdana"/>
          <w:sz w:val="20"/>
          <w:szCs w:val="20"/>
          <w:lang w:val="en-US"/>
        </w:rPr>
        <w:t>se statements</w:t>
      </w:r>
      <w:r w:rsidR="00F84D64" w:rsidRPr="00D869E3">
        <w:rPr>
          <w:rFonts w:ascii="Verdana" w:hAnsi="Verdana"/>
          <w:sz w:val="20"/>
          <w:szCs w:val="20"/>
          <w:lang w:val="en-US"/>
        </w:rPr>
        <w:t xml:space="preserve"> as </w:t>
      </w:r>
      <w:r w:rsidR="00C66688" w:rsidRPr="00D869E3">
        <w:rPr>
          <w:rFonts w:ascii="Verdana" w:hAnsi="Verdana"/>
          <w:sz w:val="20"/>
          <w:szCs w:val="20"/>
          <w:lang w:val="en-US"/>
        </w:rPr>
        <w:t>President</w:t>
      </w:r>
      <w:r w:rsidR="00A157F5" w:rsidRPr="00D869E3">
        <w:rPr>
          <w:rFonts w:ascii="Verdana" w:hAnsi="Verdana"/>
          <w:sz w:val="20"/>
          <w:szCs w:val="20"/>
          <w:lang w:val="en-US"/>
        </w:rPr>
        <w:t xml:space="preserve"> of the </w:t>
      </w:r>
      <w:r w:rsidR="00F43C5F" w:rsidRPr="00D869E3">
        <w:rPr>
          <w:rFonts w:ascii="Verdana" w:hAnsi="Verdana"/>
          <w:sz w:val="20"/>
          <w:szCs w:val="20"/>
          <w:lang w:val="en-US"/>
        </w:rPr>
        <w:t>Committee</w:t>
      </w:r>
      <w:r w:rsidR="00B32EB0" w:rsidRPr="00D869E3">
        <w:rPr>
          <w:rFonts w:ascii="Verdana" w:hAnsi="Verdana"/>
          <w:sz w:val="20"/>
          <w:szCs w:val="20"/>
          <w:lang w:val="en-US"/>
        </w:rPr>
        <w:t xml:space="preserve"> </w:t>
      </w:r>
      <w:r w:rsidR="00F84D64" w:rsidRPr="00D869E3">
        <w:rPr>
          <w:rFonts w:ascii="Verdana" w:hAnsi="Verdana"/>
          <w:sz w:val="20"/>
          <w:szCs w:val="20"/>
          <w:lang w:val="en-US"/>
        </w:rPr>
        <w:t>responsible for regulating th</w:t>
      </w:r>
      <w:r w:rsidR="00D470B2" w:rsidRPr="00D869E3">
        <w:rPr>
          <w:rFonts w:ascii="Verdana" w:hAnsi="Verdana"/>
          <w:sz w:val="20"/>
          <w:szCs w:val="20"/>
          <w:lang w:val="en-US"/>
        </w:rPr>
        <w:t>at</w:t>
      </w:r>
      <w:r w:rsidR="00F84D64" w:rsidRPr="00D869E3">
        <w:rPr>
          <w:rFonts w:ascii="Verdana" w:hAnsi="Verdana"/>
          <w:sz w:val="20"/>
          <w:szCs w:val="20"/>
          <w:lang w:val="en-US"/>
        </w:rPr>
        <w:t xml:space="preserve"> process.</w:t>
      </w:r>
      <w:r w:rsidR="00B32EB0" w:rsidRPr="00D869E3">
        <w:rPr>
          <w:rStyle w:val="Refdenotaalpie"/>
          <w:szCs w:val="20"/>
          <w:lang w:val="en-US"/>
        </w:rPr>
        <w:footnoteReference w:id="141"/>
      </w:r>
    </w:p>
    <w:p w14:paraId="667DB527" w14:textId="77777777" w:rsidR="007A21DE" w:rsidRPr="00D869E3" w:rsidRDefault="007A21DE" w:rsidP="007A21DE">
      <w:pPr>
        <w:contextualSpacing/>
        <w:rPr>
          <w:rFonts w:ascii="Verdana" w:hAnsi="Verdana"/>
          <w:sz w:val="20"/>
          <w:szCs w:val="20"/>
          <w:lang w:val="en-US"/>
        </w:rPr>
      </w:pPr>
    </w:p>
    <w:p w14:paraId="7F9B85BC" w14:textId="4D6E5DA7" w:rsidR="007A21DE" w:rsidRPr="00D869E3" w:rsidRDefault="00F84D64" w:rsidP="001F3785">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Consequently</w:t>
      </w:r>
      <w:r w:rsidR="007A21DE" w:rsidRPr="00D869E3">
        <w:rPr>
          <w:rFonts w:ascii="Verdana" w:hAnsi="Verdana"/>
          <w:sz w:val="20"/>
          <w:szCs w:val="20"/>
          <w:lang w:val="en-US"/>
        </w:rPr>
        <w:t xml:space="preserve">, </w:t>
      </w:r>
      <w:r w:rsidR="00447C65" w:rsidRPr="00D869E3">
        <w:rPr>
          <w:rFonts w:ascii="Verdana" w:hAnsi="Verdana"/>
          <w:sz w:val="20"/>
          <w:szCs w:val="20"/>
          <w:lang w:val="en-US"/>
        </w:rPr>
        <w:t>the Court</w:t>
      </w:r>
      <w:r w:rsidR="007A21DE" w:rsidRPr="00D869E3">
        <w:rPr>
          <w:rFonts w:ascii="Verdana" w:hAnsi="Verdana"/>
          <w:sz w:val="20"/>
          <w:szCs w:val="20"/>
          <w:lang w:val="en-US"/>
        </w:rPr>
        <w:t xml:space="preserve"> confirm</w:t>
      </w:r>
      <w:r w:rsidRPr="00D869E3">
        <w:rPr>
          <w:rFonts w:ascii="Verdana" w:hAnsi="Verdana"/>
          <w:sz w:val="20"/>
          <w:szCs w:val="20"/>
          <w:lang w:val="en-US"/>
        </w:rPr>
        <w:t>s</w:t>
      </w:r>
      <w:r w:rsidR="007A21DE" w:rsidRPr="00D869E3">
        <w:rPr>
          <w:rFonts w:ascii="Verdana" w:hAnsi="Verdana"/>
          <w:sz w:val="20"/>
          <w:szCs w:val="20"/>
          <w:lang w:val="en-US"/>
        </w:rPr>
        <w:t xml:space="preserve"> </w:t>
      </w:r>
      <w:r w:rsidRPr="00D869E3">
        <w:rPr>
          <w:rFonts w:ascii="Verdana" w:hAnsi="Verdana"/>
          <w:sz w:val="20"/>
          <w:szCs w:val="20"/>
          <w:lang w:val="en-US"/>
        </w:rPr>
        <w:t>that</w:t>
      </w:r>
      <w:r w:rsidR="007A21DE"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7A21DE" w:rsidRPr="00D869E3">
        <w:rPr>
          <w:rFonts w:ascii="Verdana" w:hAnsi="Verdana"/>
          <w:sz w:val="20"/>
          <w:szCs w:val="20"/>
          <w:lang w:val="en-US"/>
        </w:rPr>
        <w:t xml:space="preserve"> </w:t>
      </w:r>
      <w:r w:rsidRPr="00D869E3">
        <w:rPr>
          <w:rFonts w:ascii="Verdana" w:hAnsi="Verdana"/>
          <w:sz w:val="20"/>
          <w:szCs w:val="20"/>
          <w:lang w:val="en-US"/>
        </w:rPr>
        <w:t xml:space="preserve">made the said </w:t>
      </w:r>
      <w:r w:rsidR="00B3048A" w:rsidRPr="00D869E3">
        <w:rPr>
          <w:rFonts w:ascii="Verdana" w:hAnsi="Verdana"/>
          <w:sz w:val="20"/>
          <w:szCs w:val="20"/>
          <w:lang w:val="en-US"/>
        </w:rPr>
        <w:t>statements</w:t>
      </w:r>
      <w:r w:rsidRPr="00D869E3">
        <w:rPr>
          <w:rFonts w:ascii="Verdana" w:hAnsi="Verdana"/>
          <w:sz w:val="20"/>
          <w:szCs w:val="20"/>
          <w:lang w:val="en-US"/>
        </w:rPr>
        <w:t xml:space="preserve"> in his capacity as a</w:t>
      </w:r>
      <w:r w:rsidR="00D470B2" w:rsidRPr="00D869E3">
        <w:rPr>
          <w:rFonts w:ascii="Verdana" w:hAnsi="Verdana"/>
          <w:sz w:val="20"/>
          <w:szCs w:val="20"/>
          <w:lang w:val="en-US"/>
        </w:rPr>
        <w:t xml:space="preserve"> workers’</w:t>
      </w:r>
      <w:r w:rsidRPr="00D869E3">
        <w:rPr>
          <w:rFonts w:ascii="Verdana" w:hAnsi="Verdana"/>
          <w:sz w:val="20"/>
          <w:szCs w:val="20"/>
          <w:lang w:val="en-US"/>
        </w:rPr>
        <w:t xml:space="preserve"> representative</w:t>
      </w:r>
      <w:r w:rsidR="007A21DE" w:rsidRPr="00D869E3">
        <w:rPr>
          <w:rFonts w:ascii="Verdana" w:hAnsi="Verdana"/>
          <w:sz w:val="20"/>
          <w:szCs w:val="20"/>
          <w:vertAlign w:val="superscript"/>
          <w:lang w:val="en-US"/>
        </w:rPr>
        <w:footnoteReference w:id="142"/>
      </w:r>
      <w:r w:rsidR="00687684" w:rsidRPr="00D869E3">
        <w:rPr>
          <w:rFonts w:ascii="Verdana" w:hAnsi="Verdana"/>
          <w:sz w:val="20"/>
          <w:szCs w:val="20"/>
          <w:lang w:val="en-US"/>
        </w:rPr>
        <w:t xml:space="preserve"> and </w:t>
      </w:r>
      <w:r w:rsidRPr="00D869E3">
        <w:rPr>
          <w:rFonts w:ascii="Verdana" w:hAnsi="Verdana"/>
          <w:sz w:val="20"/>
          <w:szCs w:val="20"/>
          <w:lang w:val="en-US"/>
        </w:rPr>
        <w:t xml:space="preserve">within the framework of the exercise of his </w:t>
      </w:r>
      <w:r w:rsidR="00B3048A" w:rsidRPr="00D869E3">
        <w:rPr>
          <w:rFonts w:ascii="Verdana" w:hAnsi="Verdana"/>
          <w:sz w:val="20"/>
          <w:szCs w:val="20"/>
          <w:lang w:val="en-US"/>
        </w:rPr>
        <w:t xml:space="preserve">responsibilities </w:t>
      </w:r>
      <w:r w:rsidR="00C66688" w:rsidRPr="00D869E3">
        <w:rPr>
          <w:rFonts w:ascii="Verdana" w:hAnsi="Verdana"/>
          <w:sz w:val="20"/>
          <w:szCs w:val="20"/>
          <w:lang w:val="en-US"/>
        </w:rPr>
        <w:t xml:space="preserve">as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w:t>
      </w:r>
      <w:r w:rsidR="007A21DE" w:rsidRPr="00D869E3">
        <w:rPr>
          <w:rFonts w:ascii="Verdana" w:hAnsi="Verdana"/>
          <w:sz w:val="20"/>
          <w:szCs w:val="20"/>
          <w:lang w:val="en-US"/>
        </w:rPr>
        <w:t xml:space="preserve">.  </w:t>
      </w:r>
    </w:p>
    <w:p w14:paraId="0C668512" w14:textId="77777777" w:rsidR="007A21DE" w:rsidRPr="00D869E3" w:rsidRDefault="007A21DE" w:rsidP="007A21DE">
      <w:pPr>
        <w:contextualSpacing/>
        <w:rPr>
          <w:rFonts w:ascii="Verdana" w:hAnsi="Verdana"/>
          <w:sz w:val="20"/>
          <w:szCs w:val="20"/>
          <w:lang w:val="en-US"/>
        </w:rPr>
      </w:pPr>
    </w:p>
    <w:p w14:paraId="540BBC1C" w14:textId="4BDD5BE7" w:rsidR="007A21DE" w:rsidRPr="00D869E3" w:rsidRDefault="00DB128C" w:rsidP="000E7A82">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Second</w:t>
      </w:r>
      <w:r w:rsidR="000E7A82" w:rsidRPr="00D869E3">
        <w:rPr>
          <w:rFonts w:ascii="Verdana" w:hAnsi="Verdana"/>
          <w:sz w:val="20"/>
          <w:szCs w:val="20"/>
          <w:lang w:val="en-US"/>
        </w:rPr>
        <w:t xml:space="preserve">, regarding the general interest of the statements, the Court has indicated that </w:t>
      </w:r>
      <w:r w:rsidR="007A21DE" w:rsidRPr="00D869E3">
        <w:rPr>
          <w:rFonts w:ascii="Verdana" w:hAnsi="Verdana"/>
          <w:sz w:val="20"/>
          <w:szCs w:val="20"/>
          <w:lang w:val="en-US"/>
        </w:rPr>
        <w:t xml:space="preserve"> </w:t>
      </w:r>
      <w:r w:rsidR="00447C65" w:rsidRPr="00D869E3">
        <w:rPr>
          <w:rFonts w:ascii="Verdana" w:hAnsi="Verdana"/>
          <w:spacing w:val="-2"/>
          <w:sz w:val="20"/>
          <w:szCs w:val="20"/>
          <w:lang w:val="en-US"/>
        </w:rPr>
        <w:t>Article</w:t>
      </w:r>
      <w:r w:rsidR="007A21DE" w:rsidRPr="00D869E3">
        <w:rPr>
          <w:rFonts w:ascii="Verdana" w:hAnsi="Verdana"/>
          <w:spacing w:val="-2"/>
          <w:sz w:val="20"/>
          <w:szCs w:val="20"/>
          <w:lang w:val="en-US"/>
        </w:rPr>
        <w:t xml:space="preserve"> 13</w:t>
      </w:r>
      <w:r w:rsidR="00447C65" w:rsidRPr="00D869E3">
        <w:rPr>
          <w:rFonts w:ascii="Verdana" w:hAnsi="Verdana"/>
          <w:spacing w:val="-2"/>
          <w:sz w:val="20"/>
          <w:szCs w:val="20"/>
          <w:lang w:val="en-US"/>
        </w:rPr>
        <w:t xml:space="preserve"> of the Convention</w:t>
      </w:r>
      <w:r w:rsidR="007A21DE" w:rsidRPr="00D869E3">
        <w:rPr>
          <w:rFonts w:ascii="Verdana" w:hAnsi="Verdana"/>
          <w:spacing w:val="-2"/>
          <w:sz w:val="20"/>
          <w:szCs w:val="20"/>
          <w:lang w:val="en-US"/>
        </w:rPr>
        <w:t xml:space="preserve"> prote</w:t>
      </w:r>
      <w:r w:rsidR="000E7A82" w:rsidRPr="00D869E3">
        <w:rPr>
          <w:rFonts w:ascii="Verdana" w:hAnsi="Verdana"/>
          <w:spacing w:val="-2"/>
          <w:sz w:val="20"/>
          <w:szCs w:val="20"/>
          <w:lang w:val="en-US"/>
        </w:rPr>
        <w:t>cts statements, ideas or information “of any kind, whether or not it is of public interest. However, when such statements relate to issues of public interest, the judge must evaluate the need to limit</w:t>
      </w:r>
      <w:r w:rsidR="000E7A82" w:rsidRPr="00D869E3">
        <w:rPr>
          <w:rFonts w:ascii="Verdana" w:hAnsi="Verdana"/>
          <w:sz w:val="20"/>
          <w:szCs w:val="20"/>
          <w:lang w:val="en-US"/>
        </w:rPr>
        <w:t xml:space="preserve"> </w:t>
      </w:r>
      <w:r w:rsidR="00A62EA8" w:rsidRPr="00D869E3">
        <w:rPr>
          <w:rFonts w:ascii="Verdana" w:hAnsi="Verdana"/>
          <w:spacing w:val="-2"/>
          <w:sz w:val="20"/>
          <w:szCs w:val="20"/>
          <w:lang w:val="en-US"/>
        </w:rPr>
        <w:t>freedom of expression</w:t>
      </w:r>
      <w:r w:rsidR="000E7A82" w:rsidRPr="00D869E3">
        <w:rPr>
          <w:rFonts w:ascii="Verdana" w:hAnsi="Verdana"/>
          <w:spacing w:val="-2"/>
          <w:sz w:val="20"/>
          <w:szCs w:val="20"/>
          <w:lang w:val="en-US"/>
        </w:rPr>
        <w:t xml:space="preserve"> with special care.</w:t>
      </w:r>
      <w:r w:rsidR="007A21DE" w:rsidRPr="00D869E3">
        <w:rPr>
          <w:rFonts w:ascii="Verdana" w:hAnsi="Verdana"/>
          <w:spacing w:val="-2"/>
          <w:sz w:val="20"/>
          <w:szCs w:val="20"/>
          <w:vertAlign w:val="superscript"/>
          <w:lang w:val="en-US"/>
        </w:rPr>
        <w:footnoteReference w:id="143"/>
      </w:r>
      <w:r w:rsidR="007A21DE" w:rsidRPr="00D869E3">
        <w:rPr>
          <w:rFonts w:ascii="Verdana" w:hAnsi="Verdana"/>
          <w:spacing w:val="-2"/>
          <w:lang w:val="en-US"/>
        </w:rPr>
        <w:t xml:space="preserve"> </w:t>
      </w:r>
    </w:p>
    <w:p w14:paraId="613C5D54" w14:textId="77777777" w:rsidR="007A21DE" w:rsidRPr="00D869E3" w:rsidRDefault="007A21DE" w:rsidP="007A21DE">
      <w:pPr>
        <w:contextualSpacing/>
        <w:rPr>
          <w:rFonts w:ascii="Verdana" w:hAnsi="Verdana"/>
          <w:sz w:val="20"/>
          <w:szCs w:val="20"/>
          <w:lang w:val="en-US"/>
        </w:rPr>
      </w:pPr>
    </w:p>
    <w:p w14:paraId="63D55394" w14:textId="60F9C18A" w:rsidR="007A21DE" w:rsidRPr="00D869E3" w:rsidRDefault="000E7A82" w:rsidP="000E7A82">
      <w:pPr>
        <w:numPr>
          <w:ilvl w:val="0"/>
          <w:numId w:val="1"/>
        </w:numPr>
        <w:ind w:left="0" w:firstLine="0"/>
        <w:contextualSpacing/>
        <w:jc w:val="both"/>
        <w:rPr>
          <w:rFonts w:ascii="Verdana" w:hAnsi="Verdana"/>
          <w:sz w:val="20"/>
          <w:szCs w:val="20"/>
          <w:lang w:val="en-US"/>
        </w:rPr>
      </w:pPr>
      <w:r w:rsidRPr="00D869E3">
        <w:rPr>
          <w:rFonts w:ascii="Verdana" w:hAnsi="Verdana"/>
          <w:spacing w:val="-2"/>
          <w:sz w:val="20"/>
          <w:szCs w:val="20"/>
          <w:lang w:val="en-US"/>
        </w:rPr>
        <w:t>Thus</w:t>
      </w:r>
      <w:r w:rsidR="007A21DE" w:rsidRPr="00D869E3">
        <w:rPr>
          <w:rFonts w:ascii="Verdana" w:hAnsi="Verdana"/>
          <w:spacing w:val="-2"/>
          <w:sz w:val="20"/>
          <w:szCs w:val="20"/>
          <w:lang w:val="en-US"/>
        </w:rPr>
        <w:t xml:space="preserve">, </w:t>
      </w:r>
      <w:r w:rsidR="00447C65" w:rsidRPr="00D869E3">
        <w:rPr>
          <w:rFonts w:ascii="Verdana" w:hAnsi="Verdana"/>
          <w:spacing w:val="-2"/>
          <w:sz w:val="20"/>
          <w:szCs w:val="20"/>
          <w:lang w:val="en-US"/>
        </w:rPr>
        <w:t>the Court</w:t>
      </w:r>
      <w:r w:rsidR="007A21DE" w:rsidRPr="00D869E3">
        <w:rPr>
          <w:rFonts w:ascii="Verdana" w:hAnsi="Verdana"/>
          <w:spacing w:val="-2"/>
          <w:sz w:val="20"/>
          <w:szCs w:val="20"/>
          <w:lang w:val="en-US"/>
        </w:rPr>
        <w:t xml:space="preserve"> ha</w:t>
      </w:r>
      <w:r w:rsidRPr="00D869E3">
        <w:rPr>
          <w:rFonts w:ascii="Verdana" w:hAnsi="Verdana"/>
          <w:spacing w:val="-2"/>
          <w:sz w:val="20"/>
          <w:szCs w:val="20"/>
          <w:lang w:val="en-US"/>
        </w:rPr>
        <w:t>s considered of public interest</w:t>
      </w:r>
      <w:r w:rsidR="00D470B2" w:rsidRPr="00D869E3">
        <w:rPr>
          <w:rFonts w:ascii="Verdana" w:hAnsi="Verdana"/>
          <w:spacing w:val="-2"/>
          <w:sz w:val="20"/>
          <w:szCs w:val="20"/>
          <w:lang w:val="en-US"/>
        </w:rPr>
        <w:t xml:space="preserve"> </w:t>
      </w:r>
      <w:r w:rsidRPr="00D869E3">
        <w:rPr>
          <w:rFonts w:ascii="Verdana" w:hAnsi="Verdana"/>
          <w:spacing w:val="-2"/>
          <w:sz w:val="20"/>
          <w:szCs w:val="20"/>
          <w:lang w:val="en-US"/>
        </w:rPr>
        <w:t>information</w:t>
      </w:r>
      <w:r w:rsidR="0017313D" w:rsidRPr="00D869E3">
        <w:rPr>
          <w:rFonts w:ascii="Verdana" w:hAnsi="Verdana"/>
          <w:spacing w:val="-2"/>
          <w:sz w:val="20"/>
          <w:szCs w:val="20"/>
          <w:lang w:val="en-US"/>
        </w:rPr>
        <w:t xml:space="preserve"> or opinions</w:t>
      </w:r>
      <w:r w:rsidRPr="00D869E3">
        <w:rPr>
          <w:rFonts w:ascii="Verdana" w:hAnsi="Verdana"/>
          <w:spacing w:val="-2"/>
          <w:sz w:val="20"/>
          <w:szCs w:val="20"/>
          <w:lang w:val="en-US"/>
        </w:rPr>
        <w:t xml:space="preserve"> </w:t>
      </w:r>
      <w:r w:rsidR="0017313D" w:rsidRPr="00D869E3">
        <w:rPr>
          <w:rFonts w:ascii="Verdana" w:hAnsi="Verdana"/>
          <w:spacing w:val="-2"/>
          <w:sz w:val="20"/>
          <w:szCs w:val="20"/>
          <w:lang w:val="en-US"/>
        </w:rPr>
        <w:t>regarding</w:t>
      </w:r>
      <w:r w:rsidRPr="00D869E3">
        <w:rPr>
          <w:rFonts w:ascii="Verdana" w:hAnsi="Verdana"/>
          <w:spacing w:val="-2"/>
          <w:sz w:val="20"/>
          <w:szCs w:val="20"/>
          <w:lang w:val="en-US"/>
        </w:rPr>
        <w:t xml:space="preserve"> matters </w:t>
      </w:r>
      <w:r w:rsidR="0017313D" w:rsidRPr="00D869E3">
        <w:rPr>
          <w:rFonts w:ascii="Verdana" w:hAnsi="Verdana"/>
          <w:spacing w:val="-2"/>
          <w:sz w:val="20"/>
          <w:szCs w:val="20"/>
          <w:lang w:val="en-US"/>
        </w:rPr>
        <w:t>on</w:t>
      </w:r>
      <w:r w:rsidRPr="00D869E3">
        <w:rPr>
          <w:rFonts w:ascii="Verdana" w:hAnsi="Verdana"/>
          <w:spacing w:val="-2"/>
          <w:sz w:val="20"/>
          <w:szCs w:val="20"/>
          <w:lang w:val="en-US"/>
        </w:rPr>
        <w:t xml:space="preserve"> which society has a legitimate interest to</w:t>
      </w:r>
      <w:r w:rsidR="0017313D" w:rsidRPr="00D869E3">
        <w:rPr>
          <w:rFonts w:ascii="Verdana" w:hAnsi="Verdana"/>
          <w:spacing w:val="-2"/>
          <w:sz w:val="20"/>
          <w:szCs w:val="20"/>
          <w:lang w:val="en-US"/>
        </w:rPr>
        <w:t xml:space="preserve"> know and to</w:t>
      </w:r>
      <w:r w:rsidRPr="00D869E3">
        <w:rPr>
          <w:rFonts w:ascii="Verdana" w:hAnsi="Verdana"/>
          <w:spacing w:val="-2"/>
          <w:sz w:val="20"/>
          <w:szCs w:val="20"/>
          <w:lang w:val="en-US"/>
        </w:rPr>
        <w:t xml:space="preserve"> be informed</w:t>
      </w:r>
      <w:r w:rsidR="00D470B2" w:rsidRPr="00D869E3">
        <w:rPr>
          <w:rFonts w:ascii="Verdana" w:hAnsi="Verdana"/>
          <w:spacing w:val="-2"/>
          <w:sz w:val="20"/>
          <w:szCs w:val="20"/>
          <w:lang w:val="en-US"/>
        </w:rPr>
        <w:t xml:space="preserve"> </w:t>
      </w:r>
      <w:r w:rsidR="0017313D" w:rsidRPr="00D869E3">
        <w:rPr>
          <w:rFonts w:ascii="Verdana" w:hAnsi="Verdana"/>
          <w:spacing w:val="-2"/>
          <w:sz w:val="20"/>
          <w:szCs w:val="20"/>
          <w:lang w:val="en-US"/>
        </w:rPr>
        <w:t>about</w:t>
      </w:r>
      <w:r w:rsidRPr="00D869E3">
        <w:rPr>
          <w:rFonts w:ascii="Verdana" w:hAnsi="Verdana"/>
          <w:spacing w:val="-2"/>
          <w:sz w:val="20"/>
          <w:szCs w:val="20"/>
          <w:lang w:val="en-US"/>
        </w:rPr>
        <w:t xml:space="preserve"> </w:t>
      </w:r>
      <w:r w:rsidR="0017313D" w:rsidRPr="00D869E3">
        <w:rPr>
          <w:rFonts w:ascii="Verdana" w:hAnsi="Verdana"/>
          <w:spacing w:val="-2"/>
          <w:sz w:val="20"/>
          <w:szCs w:val="20"/>
          <w:lang w:val="en-US"/>
        </w:rPr>
        <w:t>concerning</w:t>
      </w:r>
      <w:r w:rsidRPr="00D869E3">
        <w:rPr>
          <w:rFonts w:ascii="Verdana" w:hAnsi="Verdana"/>
          <w:spacing w:val="-2"/>
          <w:sz w:val="20"/>
          <w:szCs w:val="20"/>
          <w:lang w:val="en-US"/>
        </w:rPr>
        <w:t xml:space="preserve"> issues relating to the functioning of the State or that affect general rights or interests or that may have significant consequences.</w:t>
      </w:r>
      <w:r w:rsidR="007A21DE" w:rsidRPr="00D869E3">
        <w:rPr>
          <w:rFonts w:ascii="Verdana" w:hAnsi="Verdana"/>
          <w:spacing w:val="-2"/>
          <w:sz w:val="20"/>
          <w:szCs w:val="20"/>
          <w:vertAlign w:val="superscript"/>
          <w:lang w:val="en-US"/>
        </w:rPr>
        <w:footnoteReference w:id="144"/>
      </w:r>
      <w:r w:rsidR="007A21DE" w:rsidRPr="00D869E3">
        <w:rPr>
          <w:rFonts w:ascii="Verdana" w:hAnsi="Verdana"/>
          <w:spacing w:val="-2"/>
          <w:sz w:val="20"/>
          <w:szCs w:val="20"/>
          <w:lang w:val="en-US"/>
        </w:rPr>
        <w:t xml:space="preserve"> </w:t>
      </w:r>
    </w:p>
    <w:p w14:paraId="09F43C78" w14:textId="77777777" w:rsidR="007A21DE" w:rsidRPr="00D869E3" w:rsidRDefault="007A21DE" w:rsidP="007A21DE">
      <w:pPr>
        <w:contextualSpacing/>
        <w:rPr>
          <w:rFonts w:ascii="Verdana" w:hAnsi="Verdana"/>
          <w:spacing w:val="-2"/>
          <w:sz w:val="20"/>
          <w:szCs w:val="20"/>
          <w:lang w:val="en-US"/>
        </w:rPr>
      </w:pPr>
    </w:p>
    <w:p w14:paraId="79C08A0D" w14:textId="675F24BD" w:rsidR="007A21DE" w:rsidRPr="00D869E3" w:rsidRDefault="002C371D" w:rsidP="00E66DD7">
      <w:pPr>
        <w:numPr>
          <w:ilvl w:val="0"/>
          <w:numId w:val="1"/>
        </w:numPr>
        <w:ind w:left="0" w:firstLine="0"/>
        <w:contextualSpacing/>
        <w:jc w:val="both"/>
        <w:rPr>
          <w:rFonts w:ascii="Verdana" w:hAnsi="Verdana"/>
          <w:sz w:val="20"/>
          <w:szCs w:val="20"/>
          <w:lang w:val="en-US"/>
        </w:rPr>
      </w:pPr>
      <w:r w:rsidRPr="00D869E3">
        <w:rPr>
          <w:rFonts w:ascii="Verdana" w:hAnsi="Verdana"/>
          <w:spacing w:val="-2"/>
          <w:sz w:val="20"/>
          <w:szCs w:val="20"/>
          <w:lang w:val="en-US"/>
        </w:rPr>
        <w:t xml:space="preserve">The Court recognizes that information </w:t>
      </w:r>
      <w:r w:rsidR="00BB2FBA" w:rsidRPr="00D869E3">
        <w:rPr>
          <w:rFonts w:ascii="Verdana" w:hAnsi="Verdana"/>
          <w:spacing w:val="-2"/>
          <w:sz w:val="20"/>
          <w:szCs w:val="20"/>
          <w:lang w:val="en-US"/>
        </w:rPr>
        <w:t>concerning</w:t>
      </w:r>
      <w:r w:rsidRPr="00D869E3">
        <w:rPr>
          <w:rFonts w:ascii="Verdana" w:hAnsi="Verdana"/>
          <w:spacing w:val="-2"/>
          <w:sz w:val="20"/>
          <w:szCs w:val="20"/>
          <w:lang w:val="en-US"/>
        </w:rPr>
        <w:t xml:space="preserve"> labor </w:t>
      </w:r>
      <w:r w:rsidR="00270810" w:rsidRPr="00D869E3">
        <w:rPr>
          <w:rFonts w:ascii="Verdana" w:hAnsi="Verdana"/>
          <w:spacing w:val="-2"/>
          <w:sz w:val="20"/>
          <w:szCs w:val="20"/>
          <w:lang w:val="en-US"/>
        </w:rPr>
        <w:t>questions</w:t>
      </w:r>
      <w:r w:rsidRPr="00D869E3">
        <w:rPr>
          <w:rFonts w:ascii="Verdana" w:hAnsi="Verdana"/>
          <w:spacing w:val="-2"/>
          <w:sz w:val="20"/>
          <w:szCs w:val="20"/>
          <w:lang w:val="en-US"/>
        </w:rPr>
        <w:t xml:space="preserve"> is </w:t>
      </w:r>
      <w:r w:rsidR="00E147EC" w:rsidRPr="00D869E3">
        <w:rPr>
          <w:rFonts w:ascii="Verdana" w:hAnsi="Verdana"/>
          <w:spacing w:val="-2"/>
          <w:sz w:val="20"/>
          <w:szCs w:val="20"/>
          <w:lang w:val="en-US"/>
        </w:rPr>
        <w:t xml:space="preserve">usually </w:t>
      </w:r>
      <w:r w:rsidRPr="00D869E3">
        <w:rPr>
          <w:rFonts w:ascii="Verdana" w:hAnsi="Verdana"/>
          <w:spacing w:val="-2"/>
          <w:sz w:val="20"/>
          <w:szCs w:val="20"/>
          <w:lang w:val="en-US"/>
        </w:rPr>
        <w:t xml:space="preserve">of </w:t>
      </w:r>
      <w:r w:rsidR="00E147EC" w:rsidRPr="00D869E3">
        <w:rPr>
          <w:rFonts w:ascii="Verdana" w:hAnsi="Verdana"/>
          <w:spacing w:val="-2"/>
          <w:sz w:val="20"/>
          <w:szCs w:val="20"/>
          <w:lang w:val="en-US"/>
        </w:rPr>
        <w:t>general</w:t>
      </w:r>
      <w:r w:rsidRPr="00D869E3">
        <w:rPr>
          <w:rFonts w:ascii="Verdana" w:hAnsi="Verdana"/>
          <w:spacing w:val="-2"/>
          <w:sz w:val="20"/>
          <w:szCs w:val="20"/>
          <w:lang w:val="en-US"/>
        </w:rPr>
        <w:t xml:space="preserve"> interest. First</w:t>
      </w:r>
      <w:r w:rsidR="00E74F1C" w:rsidRPr="00D869E3">
        <w:rPr>
          <w:rFonts w:ascii="Verdana" w:hAnsi="Verdana"/>
          <w:spacing w:val="-2"/>
          <w:sz w:val="20"/>
          <w:szCs w:val="20"/>
          <w:lang w:val="en-US"/>
        </w:rPr>
        <w:t>,</w:t>
      </w:r>
      <w:r w:rsidR="007A21DE" w:rsidRPr="00D869E3">
        <w:rPr>
          <w:rFonts w:ascii="Verdana" w:hAnsi="Verdana"/>
          <w:spacing w:val="-2"/>
          <w:sz w:val="20"/>
          <w:szCs w:val="20"/>
          <w:lang w:val="en-US"/>
        </w:rPr>
        <w:t xml:space="preserve"> </w:t>
      </w:r>
      <w:r w:rsidRPr="00D869E3">
        <w:rPr>
          <w:rFonts w:ascii="Verdana" w:hAnsi="Verdana"/>
          <w:spacing w:val="-2"/>
          <w:sz w:val="20"/>
          <w:szCs w:val="20"/>
          <w:lang w:val="en-US"/>
        </w:rPr>
        <w:t xml:space="preserve">there is a collective interest for the corresponding workers, and </w:t>
      </w:r>
      <w:r w:rsidR="00E147EC" w:rsidRPr="00D869E3">
        <w:rPr>
          <w:rFonts w:ascii="Verdana" w:hAnsi="Verdana"/>
          <w:spacing w:val="-2"/>
          <w:sz w:val="20"/>
          <w:szCs w:val="20"/>
          <w:lang w:val="en-US"/>
        </w:rPr>
        <w:t xml:space="preserve">this </w:t>
      </w:r>
      <w:r w:rsidRPr="00D869E3">
        <w:rPr>
          <w:rFonts w:ascii="Verdana" w:hAnsi="Verdana"/>
          <w:spacing w:val="-2"/>
          <w:sz w:val="20"/>
          <w:szCs w:val="20"/>
          <w:lang w:val="en-US"/>
        </w:rPr>
        <w:t>has a</w:t>
      </w:r>
      <w:r w:rsidR="00BB2FBA" w:rsidRPr="00D869E3">
        <w:rPr>
          <w:rFonts w:ascii="Verdana" w:hAnsi="Verdana"/>
          <w:spacing w:val="-2"/>
          <w:sz w:val="20"/>
          <w:szCs w:val="20"/>
          <w:lang w:val="en-US"/>
        </w:rPr>
        <w:t>n</w:t>
      </w:r>
      <w:r w:rsidRPr="00D869E3">
        <w:rPr>
          <w:rFonts w:ascii="Verdana" w:hAnsi="Verdana"/>
          <w:spacing w:val="-2"/>
          <w:sz w:val="20"/>
          <w:szCs w:val="20"/>
          <w:lang w:val="en-US"/>
        </w:rPr>
        <w:t xml:space="preserve"> </w:t>
      </w:r>
      <w:r w:rsidR="00E147EC" w:rsidRPr="00D869E3">
        <w:rPr>
          <w:rFonts w:ascii="Verdana" w:hAnsi="Verdana"/>
          <w:spacing w:val="-2"/>
          <w:sz w:val="20"/>
          <w:szCs w:val="20"/>
          <w:lang w:val="en-US"/>
        </w:rPr>
        <w:t>even greater</w:t>
      </w:r>
      <w:r w:rsidRPr="00D869E3">
        <w:rPr>
          <w:rFonts w:ascii="Verdana" w:hAnsi="Verdana"/>
          <w:spacing w:val="-2"/>
          <w:sz w:val="20"/>
          <w:szCs w:val="20"/>
          <w:lang w:val="en-US"/>
        </w:rPr>
        <w:t xml:space="preserve"> importance when it refers to relevant aspects</w:t>
      </w:r>
      <w:r w:rsidR="00E74F1C" w:rsidRPr="00D869E3">
        <w:rPr>
          <w:rFonts w:ascii="Verdana" w:hAnsi="Verdana"/>
          <w:spacing w:val="-2"/>
          <w:sz w:val="20"/>
          <w:szCs w:val="20"/>
          <w:lang w:val="en-US"/>
        </w:rPr>
        <w:t>,</w:t>
      </w:r>
      <w:r w:rsidR="007A21DE" w:rsidRPr="00D869E3">
        <w:rPr>
          <w:rFonts w:ascii="Verdana" w:hAnsi="Verdana"/>
          <w:spacing w:val="-2"/>
          <w:sz w:val="20"/>
          <w:szCs w:val="20"/>
          <w:lang w:val="en-US"/>
        </w:rPr>
        <w:t xml:space="preserve"> </w:t>
      </w:r>
      <w:r w:rsidR="00075E68" w:rsidRPr="00D869E3">
        <w:rPr>
          <w:rFonts w:ascii="Verdana" w:hAnsi="Verdana"/>
          <w:spacing w:val="-2"/>
          <w:sz w:val="20"/>
          <w:szCs w:val="20"/>
          <w:lang w:val="en-US"/>
        </w:rPr>
        <w:t>for example</w:t>
      </w:r>
      <w:r w:rsidR="00E74F1C" w:rsidRPr="00D869E3">
        <w:rPr>
          <w:rFonts w:ascii="Verdana" w:hAnsi="Verdana"/>
          <w:spacing w:val="-2"/>
          <w:sz w:val="20"/>
          <w:szCs w:val="20"/>
          <w:lang w:val="en-US"/>
        </w:rPr>
        <w:t xml:space="preserve">, </w:t>
      </w:r>
      <w:r w:rsidRPr="00D869E3">
        <w:rPr>
          <w:rFonts w:ascii="Verdana" w:hAnsi="Verdana"/>
          <w:spacing w:val="-2"/>
          <w:sz w:val="20"/>
          <w:szCs w:val="20"/>
          <w:lang w:val="en-US"/>
        </w:rPr>
        <w:t>in relation to a specific sector,</w:t>
      </w:r>
      <w:r w:rsidR="007A21DE" w:rsidRPr="00D869E3">
        <w:rPr>
          <w:rFonts w:ascii="Verdana" w:hAnsi="Verdana"/>
          <w:spacing w:val="-2"/>
          <w:sz w:val="20"/>
          <w:szCs w:val="20"/>
          <w:vertAlign w:val="superscript"/>
          <w:lang w:val="en-US"/>
        </w:rPr>
        <w:footnoteReference w:id="145"/>
      </w:r>
      <w:r w:rsidR="00687684" w:rsidRPr="00D869E3">
        <w:rPr>
          <w:rFonts w:ascii="Verdana" w:hAnsi="Verdana"/>
          <w:spacing w:val="-2"/>
          <w:sz w:val="20"/>
          <w:szCs w:val="20"/>
          <w:lang w:val="en-US"/>
        </w:rPr>
        <w:t xml:space="preserve"> and</w:t>
      </w:r>
      <w:r w:rsidR="007E1B37" w:rsidRPr="00D869E3">
        <w:rPr>
          <w:rFonts w:ascii="Verdana" w:hAnsi="Verdana"/>
          <w:spacing w:val="-2"/>
          <w:sz w:val="20"/>
          <w:szCs w:val="20"/>
          <w:lang w:val="en-US"/>
        </w:rPr>
        <w:t xml:space="preserve"> especially when the opinions </w:t>
      </w:r>
      <w:r w:rsidR="00E147EC" w:rsidRPr="00D869E3">
        <w:rPr>
          <w:rFonts w:ascii="Verdana" w:hAnsi="Verdana"/>
          <w:spacing w:val="-2"/>
          <w:sz w:val="20"/>
          <w:szCs w:val="20"/>
          <w:lang w:val="en-US"/>
        </w:rPr>
        <w:t>refer to a</w:t>
      </w:r>
      <w:r w:rsidR="00BB2FBA" w:rsidRPr="00D869E3">
        <w:rPr>
          <w:rFonts w:ascii="Verdana" w:hAnsi="Verdana"/>
          <w:spacing w:val="-2"/>
          <w:sz w:val="20"/>
          <w:szCs w:val="20"/>
          <w:lang w:val="en-US"/>
        </w:rPr>
        <w:t xml:space="preserve">n </w:t>
      </w:r>
      <w:r w:rsidR="00E147EC" w:rsidRPr="00D869E3">
        <w:rPr>
          <w:rFonts w:ascii="Verdana" w:hAnsi="Verdana"/>
          <w:spacing w:val="-2"/>
          <w:sz w:val="20"/>
          <w:szCs w:val="20"/>
          <w:lang w:val="en-US"/>
        </w:rPr>
        <w:t>organizational model of the State or its institutions in a democratic society.</w:t>
      </w:r>
      <w:r w:rsidR="007A21DE" w:rsidRPr="00D869E3">
        <w:rPr>
          <w:rFonts w:ascii="Verdana" w:hAnsi="Verdana"/>
          <w:spacing w:val="-2"/>
          <w:sz w:val="20"/>
          <w:szCs w:val="20"/>
          <w:vertAlign w:val="superscript"/>
          <w:lang w:val="en-US"/>
        </w:rPr>
        <w:footnoteReference w:id="146"/>
      </w:r>
      <w:r w:rsidR="007A21DE" w:rsidRPr="00D869E3">
        <w:rPr>
          <w:rFonts w:ascii="Verdana" w:hAnsi="Verdana"/>
          <w:spacing w:val="-2"/>
          <w:sz w:val="20"/>
          <w:szCs w:val="20"/>
          <w:lang w:val="en-US"/>
        </w:rPr>
        <w:t xml:space="preserve"> </w:t>
      </w:r>
    </w:p>
    <w:p w14:paraId="6A7D1958" w14:textId="77777777" w:rsidR="007A21DE" w:rsidRPr="00D869E3" w:rsidRDefault="007A21DE" w:rsidP="007A21DE">
      <w:pPr>
        <w:contextualSpacing/>
        <w:rPr>
          <w:rFonts w:ascii="Verdana" w:hAnsi="Verdana"/>
          <w:sz w:val="20"/>
          <w:szCs w:val="20"/>
          <w:lang w:val="en-US"/>
        </w:rPr>
      </w:pPr>
    </w:p>
    <w:p w14:paraId="5C423223" w14:textId="3016E73C" w:rsidR="007A21DE" w:rsidRPr="00D869E3" w:rsidRDefault="00366EA8"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Regarding</w:t>
      </w:r>
      <w:r w:rsidR="00E74F1C" w:rsidRPr="00D869E3">
        <w:rPr>
          <w:rFonts w:ascii="Verdana" w:hAnsi="Verdana"/>
          <w:sz w:val="20"/>
          <w:szCs w:val="20"/>
          <w:lang w:val="en-US"/>
        </w:rPr>
        <w:t xml:space="preserve"> </w:t>
      </w:r>
      <w:r w:rsidRPr="00D869E3">
        <w:rPr>
          <w:rFonts w:ascii="Verdana" w:hAnsi="Verdana"/>
          <w:sz w:val="20"/>
          <w:szCs w:val="20"/>
          <w:lang w:val="en-US"/>
        </w:rPr>
        <w:t>public interest</w:t>
      </w:r>
      <w:r w:rsidR="007A21DE" w:rsidRPr="00D869E3">
        <w:rPr>
          <w:rFonts w:ascii="Verdana" w:hAnsi="Verdana"/>
          <w:sz w:val="20"/>
          <w:szCs w:val="20"/>
          <w:lang w:val="en-US"/>
        </w:rPr>
        <w:t xml:space="preserve">, </w:t>
      </w:r>
      <w:r w:rsidR="001E44D3" w:rsidRPr="00D869E3">
        <w:rPr>
          <w:rFonts w:ascii="Verdana" w:hAnsi="Verdana"/>
          <w:sz w:val="20"/>
          <w:szCs w:val="20"/>
          <w:lang w:val="en-US"/>
        </w:rPr>
        <w:t>expert witness</w:t>
      </w:r>
      <w:r w:rsidR="007A21DE" w:rsidRPr="00D869E3">
        <w:rPr>
          <w:rFonts w:ascii="Verdana" w:hAnsi="Verdana"/>
          <w:sz w:val="20"/>
          <w:szCs w:val="20"/>
          <w:lang w:val="en-US"/>
        </w:rPr>
        <w:t xml:space="preserve"> Damián Loreti </w:t>
      </w:r>
      <w:r w:rsidR="00BB2FBA" w:rsidRPr="00D869E3">
        <w:rPr>
          <w:rFonts w:ascii="Verdana" w:hAnsi="Verdana"/>
          <w:sz w:val="20"/>
          <w:szCs w:val="20"/>
          <w:lang w:val="en-US"/>
        </w:rPr>
        <w:t>state</w:t>
      </w:r>
      <w:r w:rsidRPr="00D869E3">
        <w:rPr>
          <w:rFonts w:ascii="Verdana" w:hAnsi="Verdana"/>
          <w:sz w:val="20"/>
          <w:szCs w:val="20"/>
          <w:lang w:val="en-US"/>
        </w:rPr>
        <w:t xml:space="preserve">d during the hearing </w:t>
      </w:r>
      <w:r w:rsidR="00966115" w:rsidRPr="00D869E3">
        <w:rPr>
          <w:rFonts w:ascii="Verdana" w:hAnsi="Verdana"/>
          <w:sz w:val="20"/>
          <w:szCs w:val="20"/>
          <w:lang w:val="en-US"/>
        </w:rPr>
        <w:t>before the</w:t>
      </w:r>
      <w:r w:rsidR="00447C65" w:rsidRPr="00D869E3">
        <w:rPr>
          <w:rFonts w:ascii="Verdana" w:hAnsi="Verdana"/>
          <w:sz w:val="20"/>
          <w:szCs w:val="20"/>
          <w:lang w:val="en-US"/>
        </w:rPr>
        <w:t xml:space="preserve"> Court</w:t>
      </w:r>
      <w:r w:rsidR="007A21DE" w:rsidRPr="00D869E3">
        <w:rPr>
          <w:rFonts w:ascii="Verdana" w:hAnsi="Verdana"/>
          <w:sz w:val="20"/>
          <w:szCs w:val="20"/>
          <w:lang w:val="en-US"/>
        </w:rPr>
        <w:t xml:space="preserve"> </w:t>
      </w:r>
      <w:r w:rsidRPr="00D869E3">
        <w:rPr>
          <w:rFonts w:ascii="Verdana" w:hAnsi="Verdana"/>
          <w:sz w:val="20"/>
          <w:szCs w:val="20"/>
          <w:lang w:val="en-US"/>
        </w:rPr>
        <w:t>that</w:t>
      </w:r>
      <w:r w:rsidR="007A21DE" w:rsidRPr="00D869E3">
        <w:rPr>
          <w:rFonts w:ascii="Verdana" w:hAnsi="Verdana"/>
          <w:sz w:val="20"/>
          <w:szCs w:val="20"/>
          <w:lang w:val="en-US"/>
        </w:rPr>
        <w:t xml:space="preserve">: </w:t>
      </w:r>
    </w:p>
    <w:p w14:paraId="728A5B81" w14:textId="77777777" w:rsidR="007A21DE" w:rsidRPr="00D869E3" w:rsidRDefault="007A21DE" w:rsidP="007A21DE">
      <w:pPr>
        <w:ind w:left="567"/>
        <w:contextualSpacing/>
        <w:jc w:val="both"/>
        <w:rPr>
          <w:rFonts w:ascii="Verdana" w:hAnsi="Verdana"/>
          <w:sz w:val="18"/>
          <w:szCs w:val="20"/>
          <w:lang w:val="en-US"/>
        </w:rPr>
      </w:pPr>
    </w:p>
    <w:p w14:paraId="1B60DD5B" w14:textId="6978B9C8" w:rsidR="00E147EC" w:rsidRPr="00D869E3" w:rsidRDefault="007A21DE" w:rsidP="00270810">
      <w:pPr>
        <w:ind w:left="567" w:right="566"/>
        <w:contextualSpacing/>
        <w:jc w:val="both"/>
        <w:rPr>
          <w:rFonts w:ascii="Verdana" w:hAnsi="Verdana"/>
          <w:sz w:val="18"/>
          <w:szCs w:val="20"/>
          <w:lang w:val="en-US"/>
        </w:rPr>
      </w:pPr>
      <w:r w:rsidRPr="00D869E3">
        <w:rPr>
          <w:rFonts w:ascii="Verdana" w:hAnsi="Verdana"/>
          <w:sz w:val="18"/>
          <w:szCs w:val="20"/>
          <w:lang w:val="en-US"/>
        </w:rPr>
        <w:t>[</w:t>
      </w:r>
      <w:r w:rsidR="00E147EC" w:rsidRPr="00D869E3">
        <w:rPr>
          <w:rFonts w:ascii="Verdana" w:hAnsi="Verdana"/>
          <w:sz w:val="18"/>
          <w:szCs w:val="20"/>
          <w:lang w:val="en-US"/>
        </w:rPr>
        <w:t>On the one hand</w:t>
      </w:r>
      <w:r w:rsidRPr="00D869E3">
        <w:rPr>
          <w:rFonts w:ascii="Verdana" w:hAnsi="Verdana"/>
          <w:sz w:val="18"/>
          <w:szCs w:val="20"/>
          <w:lang w:val="en-US"/>
        </w:rPr>
        <w:t xml:space="preserve">], </w:t>
      </w:r>
      <w:r w:rsidR="00E147EC" w:rsidRPr="00D869E3">
        <w:rPr>
          <w:rFonts w:ascii="Verdana" w:hAnsi="Verdana"/>
          <w:sz w:val="18"/>
          <w:szCs w:val="20"/>
          <w:lang w:val="en-US"/>
        </w:rPr>
        <w:t xml:space="preserve">when placing the analysis </w:t>
      </w:r>
      <w:r w:rsidRPr="00D869E3">
        <w:rPr>
          <w:rFonts w:ascii="Verdana" w:hAnsi="Verdana"/>
          <w:sz w:val="18"/>
          <w:szCs w:val="20"/>
          <w:lang w:val="en-US"/>
        </w:rPr>
        <w:t>[</w:t>
      </w:r>
      <w:r w:rsidR="00E74F1C" w:rsidRPr="00D869E3">
        <w:rPr>
          <w:rFonts w:ascii="Verdana" w:hAnsi="Verdana"/>
          <w:sz w:val="18"/>
          <w:szCs w:val="20"/>
          <w:lang w:val="en-US"/>
        </w:rPr>
        <w:t xml:space="preserve">… </w:t>
      </w:r>
      <w:r w:rsidR="00E147EC" w:rsidRPr="00D869E3">
        <w:rPr>
          <w:rFonts w:ascii="Verdana" w:hAnsi="Verdana"/>
          <w:sz w:val="18"/>
          <w:szCs w:val="20"/>
          <w:lang w:val="en-US"/>
        </w:rPr>
        <w:t>of</w:t>
      </w:r>
      <w:r w:rsidR="00E74F1C" w:rsidRPr="00D869E3">
        <w:rPr>
          <w:rFonts w:ascii="Verdana" w:hAnsi="Verdana"/>
          <w:sz w:val="18"/>
          <w:szCs w:val="20"/>
          <w:lang w:val="en-US"/>
        </w:rPr>
        <w:t xml:space="preserve"> </w:t>
      </w:r>
      <w:r w:rsidR="00366EA8" w:rsidRPr="00D869E3">
        <w:rPr>
          <w:rFonts w:ascii="Verdana" w:hAnsi="Verdana"/>
          <w:sz w:val="18"/>
          <w:szCs w:val="20"/>
          <w:lang w:val="en-US"/>
        </w:rPr>
        <w:t>public interest</w:t>
      </w:r>
      <w:r w:rsidRPr="00D869E3">
        <w:rPr>
          <w:rFonts w:ascii="Verdana" w:hAnsi="Verdana"/>
          <w:sz w:val="18"/>
          <w:szCs w:val="20"/>
          <w:lang w:val="en-US"/>
        </w:rPr>
        <w:t>]</w:t>
      </w:r>
      <w:r w:rsidR="00E147EC" w:rsidRPr="00D869E3">
        <w:rPr>
          <w:rFonts w:ascii="Verdana" w:hAnsi="Verdana"/>
          <w:sz w:val="18"/>
          <w:szCs w:val="20"/>
          <w:lang w:val="en-US"/>
        </w:rPr>
        <w:t xml:space="preserve"> in context, it is necessary to take into account the content of the </w:t>
      </w:r>
      <w:r w:rsidR="008B574B" w:rsidRPr="00D869E3">
        <w:rPr>
          <w:rFonts w:ascii="Verdana" w:hAnsi="Verdana"/>
          <w:sz w:val="18"/>
          <w:szCs w:val="20"/>
          <w:lang w:val="en-US"/>
        </w:rPr>
        <w:t>opinion or publication</w:t>
      </w:r>
      <w:r w:rsidR="00BB2FBA" w:rsidRPr="00D869E3">
        <w:rPr>
          <w:rFonts w:ascii="Verdana" w:hAnsi="Verdana"/>
          <w:sz w:val="18"/>
          <w:szCs w:val="20"/>
          <w:lang w:val="en-US"/>
        </w:rPr>
        <w:t>,</w:t>
      </w:r>
      <w:r w:rsidR="008B574B" w:rsidRPr="00D869E3">
        <w:rPr>
          <w:rFonts w:ascii="Verdana" w:hAnsi="Verdana"/>
          <w:sz w:val="18"/>
          <w:szCs w:val="20"/>
          <w:lang w:val="en-US"/>
        </w:rPr>
        <w:t xml:space="preserve"> whether it contributes to the </w:t>
      </w:r>
      <w:r w:rsidR="008B574B" w:rsidRPr="00D869E3">
        <w:rPr>
          <w:rFonts w:ascii="Verdana" w:hAnsi="Verdana"/>
          <w:sz w:val="18"/>
          <w:szCs w:val="20"/>
          <w:lang w:val="en-US"/>
        </w:rPr>
        <w:lastRenderedPageBreak/>
        <w:t>discussion or to the interests of labor union or worker activities. The means used, the social context, including the timeliness. The nature of the position of the employee, whether or not he is a representative. The type of company […], the content of the opinion or publication that contributes to the discussion or to the defense of interests; the means used. The context includes the timeliness, the nature, the position of the employee; in other words, if the opinion is given in defense of others or of the individual himself; the nature of the company, whether it is public or private; the way in which the criticism was expressed; whether it was spontaneous; what were the intentions; whether it was based on facts, and whether there have been previous actions by the employee and the employer that would justify the statements.</w:t>
      </w:r>
    </w:p>
    <w:p w14:paraId="370F6208" w14:textId="77777777" w:rsidR="007A21DE" w:rsidRPr="00D869E3" w:rsidRDefault="007A21DE" w:rsidP="00270810">
      <w:pPr>
        <w:ind w:right="566"/>
        <w:contextualSpacing/>
        <w:jc w:val="both"/>
        <w:rPr>
          <w:rFonts w:ascii="Verdana" w:hAnsi="Verdana"/>
          <w:sz w:val="18"/>
          <w:szCs w:val="20"/>
          <w:lang w:val="en-US"/>
        </w:rPr>
      </w:pPr>
    </w:p>
    <w:p w14:paraId="733C9576" w14:textId="152647DF" w:rsidR="008B574B" w:rsidRPr="00D869E3" w:rsidRDefault="007A21DE" w:rsidP="00270810">
      <w:pPr>
        <w:ind w:left="567" w:right="566"/>
        <w:contextualSpacing/>
        <w:jc w:val="both"/>
        <w:rPr>
          <w:rFonts w:ascii="Verdana" w:hAnsi="Verdana"/>
          <w:sz w:val="18"/>
          <w:szCs w:val="20"/>
          <w:lang w:val="en-US"/>
        </w:rPr>
      </w:pPr>
      <w:r w:rsidRPr="00D869E3">
        <w:rPr>
          <w:rFonts w:ascii="Verdana" w:hAnsi="Verdana"/>
          <w:sz w:val="18"/>
          <w:szCs w:val="20"/>
          <w:lang w:val="en-US"/>
        </w:rPr>
        <w:t>[</w:t>
      </w:r>
      <w:r w:rsidR="008B574B" w:rsidRPr="00D869E3">
        <w:rPr>
          <w:rFonts w:ascii="Verdana" w:hAnsi="Verdana"/>
          <w:sz w:val="18"/>
          <w:szCs w:val="20"/>
          <w:lang w:val="en-US"/>
        </w:rPr>
        <w:t>On the other hand</w:t>
      </w:r>
      <w:r w:rsidRPr="00D869E3">
        <w:rPr>
          <w:rFonts w:ascii="Verdana" w:hAnsi="Verdana"/>
          <w:sz w:val="18"/>
          <w:szCs w:val="20"/>
          <w:lang w:val="en-US"/>
        </w:rPr>
        <w:t xml:space="preserve">], </w:t>
      </w:r>
      <w:r w:rsidR="008B574B" w:rsidRPr="00D869E3">
        <w:rPr>
          <w:rFonts w:ascii="Verdana" w:hAnsi="Verdana"/>
          <w:sz w:val="18"/>
          <w:szCs w:val="20"/>
          <w:lang w:val="en-US"/>
        </w:rPr>
        <w:t>it is possible to systematize the cases in which the statements […] are not of public interest. [For example,] when they refer to or affect the product offered by the company</w:t>
      </w:r>
      <w:r w:rsidR="00270810" w:rsidRPr="00D869E3">
        <w:rPr>
          <w:rFonts w:ascii="Verdana" w:hAnsi="Verdana"/>
          <w:sz w:val="18"/>
          <w:szCs w:val="20"/>
          <w:lang w:val="en-US"/>
        </w:rPr>
        <w:t>;</w:t>
      </w:r>
      <w:r w:rsidR="008B574B" w:rsidRPr="00D869E3">
        <w:rPr>
          <w:rFonts w:ascii="Verdana" w:hAnsi="Verdana"/>
          <w:sz w:val="18"/>
          <w:szCs w:val="20"/>
          <w:lang w:val="en-US"/>
        </w:rPr>
        <w:t xml:space="preserve"> […] criticism of the quality of the service offered when there is no [general] interest that justifies this or it is not a public service […], or when someone’s private life is affected without this being justified […]; collaboration with the competition, breach of confidentiality […] of any kind. The existence of […] disparaging information that is not justified towards </w:t>
      </w:r>
      <w:r w:rsidR="007D630F" w:rsidRPr="00D869E3">
        <w:rPr>
          <w:rFonts w:ascii="Verdana" w:hAnsi="Verdana"/>
          <w:sz w:val="18"/>
          <w:szCs w:val="20"/>
          <w:lang w:val="en-US"/>
        </w:rPr>
        <w:t xml:space="preserve">co-workers with better jobs, which alters the normal co-existence in the workplace, and when the statements are unnecessary and do not defend the interests of the workers, or are not based on facts […]. </w:t>
      </w:r>
    </w:p>
    <w:p w14:paraId="3A3A5665" w14:textId="77777777" w:rsidR="007A21DE" w:rsidRPr="00D869E3" w:rsidRDefault="007A21DE" w:rsidP="007D630F">
      <w:pPr>
        <w:contextualSpacing/>
        <w:jc w:val="both"/>
        <w:rPr>
          <w:rFonts w:ascii="Verdana" w:hAnsi="Verdana"/>
          <w:sz w:val="18"/>
          <w:szCs w:val="20"/>
          <w:lang w:val="en-US"/>
        </w:rPr>
      </w:pPr>
    </w:p>
    <w:p w14:paraId="10E344CF" w14:textId="654289A9" w:rsidR="00432FF5" w:rsidRPr="00D869E3" w:rsidRDefault="00447C65" w:rsidP="00432FF5">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7C6623" w:rsidRPr="00D869E3">
        <w:rPr>
          <w:rFonts w:ascii="Verdana" w:hAnsi="Verdana"/>
          <w:sz w:val="20"/>
          <w:szCs w:val="20"/>
          <w:lang w:val="en-US"/>
        </w:rPr>
        <w:t xml:space="preserve"> </w:t>
      </w:r>
      <w:r w:rsidR="00432FF5" w:rsidRPr="00D869E3">
        <w:rPr>
          <w:rFonts w:ascii="Verdana" w:hAnsi="Verdana"/>
          <w:sz w:val="20"/>
          <w:szCs w:val="20"/>
          <w:lang w:val="en-US"/>
        </w:rPr>
        <w:t>considers that, in principle, statements aimed at promoting the proper functioning and improvement of working conditions, or workers’ demands, represent, in themselves, a legitimate and coherent purpose within the framework of worker organizations.</w:t>
      </w:r>
      <w:r w:rsidR="007C6623" w:rsidRPr="00D869E3">
        <w:rPr>
          <w:rFonts w:ascii="Verdana" w:hAnsi="Verdana"/>
          <w:sz w:val="20"/>
          <w:szCs w:val="20"/>
          <w:vertAlign w:val="superscript"/>
          <w:lang w:val="en-US"/>
        </w:rPr>
        <w:footnoteReference w:id="147"/>
      </w:r>
      <w:r w:rsidR="007C6623" w:rsidRPr="00D869E3">
        <w:rPr>
          <w:rFonts w:ascii="Verdana" w:hAnsi="Verdana"/>
          <w:sz w:val="20"/>
          <w:szCs w:val="20"/>
          <w:lang w:val="en-US"/>
        </w:rPr>
        <w:t xml:space="preserve"> A</w:t>
      </w:r>
      <w:r w:rsidR="00432FF5" w:rsidRPr="00D869E3">
        <w:rPr>
          <w:rFonts w:ascii="Verdana" w:hAnsi="Verdana"/>
          <w:sz w:val="20"/>
          <w:szCs w:val="20"/>
          <w:lang w:val="en-US"/>
        </w:rPr>
        <w:t>lso, statements made in the context of an internal electoral process contribute to the debate during the process as an essential tool of the collective interest and of voters.</w:t>
      </w:r>
    </w:p>
    <w:p w14:paraId="173E4361" w14:textId="77777777" w:rsidR="007C6623" w:rsidRPr="00D869E3" w:rsidRDefault="007C6623" w:rsidP="00557859">
      <w:pPr>
        <w:contextualSpacing/>
        <w:jc w:val="both"/>
        <w:rPr>
          <w:rFonts w:ascii="Verdana" w:hAnsi="Verdana"/>
          <w:sz w:val="20"/>
          <w:szCs w:val="20"/>
          <w:lang w:val="en-US"/>
        </w:rPr>
      </w:pPr>
    </w:p>
    <w:p w14:paraId="13FAFB77" w14:textId="30D72807" w:rsidR="00227C33" w:rsidRPr="00D869E3" w:rsidRDefault="00075E68"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227C33"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005E7D90" w:rsidRPr="00D869E3">
        <w:rPr>
          <w:rFonts w:ascii="Verdana" w:hAnsi="Verdana"/>
          <w:sz w:val="20"/>
          <w:szCs w:val="20"/>
          <w:lang w:val="en-US"/>
        </w:rPr>
        <w:t>European Court of Human Rights</w:t>
      </w:r>
      <w:r w:rsidR="00432FF5" w:rsidRPr="00D869E3">
        <w:rPr>
          <w:rFonts w:ascii="Verdana" w:hAnsi="Verdana"/>
          <w:sz w:val="20"/>
          <w:szCs w:val="20"/>
          <w:lang w:val="en-US"/>
        </w:rPr>
        <w:t xml:space="preserve"> </w:t>
      </w:r>
      <w:r w:rsidR="00227C33" w:rsidRPr="00D869E3">
        <w:rPr>
          <w:rFonts w:ascii="Verdana" w:hAnsi="Verdana"/>
          <w:sz w:val="20"/>
          <w:szCs w:val="20"/>
          <w:lang w:val="en-US"/>
        </w:rPr>
        <w:t>ha</w:t>
      </w:r>
      <w:r w:rsidR="00432FF5" w:rsidRPr="00D869E3">
        <w:rPr>
          <w:rFonts w:ascii="Verdana" w:hAnsi="Verdana"/>
          <w:sz w:val="20"/>
          <w:szCs w:val="20"/>
          <w:lang w:val="en-US"/>
        </w:rPr>
        <w:t>s recognized certain statements made by workers in the specific context of the private sphere as of general</w:t>
      </w:r>
      <w:r w:rsidR="00366EA8" w:rsidRPr="00D869E3">
        <w:rPr>
          <w:rFonts w:ascii="Verdana" w:hAnsi="Verdana"/>
          <w:sz w:val="20"/>
          <w:szCs w:val="20"/>
          <w:lang w:val="en-US"/>
        </w:rPr>
        <w:t xml:space="preserve"> interest</w:t>
      </w:r>
      <w:r w:rsidR="00227C33" w:rsidRPr="00D869E3">
        <w:rPr>
          <w:rFonts w:ascii="Verdana" w:hAnsi="Verdana"/>
          <w:sz w:val="20"/>
          <w:szCs w:val="20"/>
          <w:lang w:val="en-US"/>
        </w:rPr>
        <w:t xml:space="preserve"> </w:t>
      </w:r>
      <w:r w:rsidR="00432FF5" w:rsidRPr="00D869E3">
        <w:rPr>
          <w:rFonts w:ascii="Verdana" w:hAnsi="Verdana"/>
          <w:sz w:val="20"/>
          <w:szCs w:val="20"/>
          <w:lang w:val="en-US"/>
        </w:rPr>
        <w:t>in light of the</w:t>
      </w:r>
      <w:r w:rsidR="00227C33" w:rsidRPr="00D869E3">
        <w:rPr>
          <w:rFonts w:ascii="Verdana" w:hAnsi="Verdana"/>
          <w:sz w:val="20"/>
          <w:szCs w:val="20"/>
          <w:lang w:val="en-US"/>
        </w:rPr>
        <w:t xml:space="preserve"> </w:t>
      </w:r>
      <w:r w:rsidR="00C82C0C" w:rsidRPr="00D869E3">
        <w:rPr>
          <w:rFonts w:ascii="Verdana" w:hAnsi="Verdana"/>
          <w:sz w:val="20"/>
          <w:szCs w:val="20"/>
          <w:lang w:val="en-US"/>
        </w:rPr>
        <w:t>right to freedom</w:t>
      </w:r>
      <w:r w:rsidR="00A62EA8" w:rsidRPr="00D869E3">
        <w:rPr>
          <w:rFonts w:ascii="Verdana" w:hAnsi="Verdana"/>
          <w:sz w:val="20"/>
          <w:szCs w:val="20"/>
          <w:lang w:val="en-US"/>
        </w:rPr>
        <w:t xml:space="preserve"> of expression</w:t>
      </w:r>
      <w:r w:rsidR="00227C33" w:rsidRPr="00D869E3">
        <w:rPr>
          <w:rFonts w:ascii="Verdana" w:hAnsi="Verdana"/>
          <w:sz w:val="20"/>
          <w:szCs w:val="20"/>
          <w:lang w:val="en-US"/>
        </w:rPr>
        <w:t xml:space="preserve"> </w:t>
      </w:r>
      <w:r w:rsidR="00432FF5" w:rsidRPr="00D869E3">
        <w:rPr>
          <w:rFonts w:ascii="Verdana" w:hAnsi="Verdana"/>
          <w:sz w:val="20"/>
          <w:szCs w:val="20"/>
          <w:lang w:val="en-US"/>
        </w:rPr>
        <w:t>under the European Convention.</w:t>
      </w:r>
      <w:r w:rsidR="00115071" w:rsidRPr="00D869E3">
        <w:rPr>
          <w:rStyle w:val="Refdenotaalpie"/>
          <w:szCs w:val="20"/>
          <w:lang w:val="en-US"/>
        </w:rPr>
        <w:footnoteReference w:id="148"/>
      </w:r>
      <w:r w:rsidR="00227C33" w:rsidRPr="00D869E3">
        <w:rPr>
          <w:rFonts w:ascii="Verdana" w:hAnsi="Verdana"/>
          <w:sz w:val="20"/>
          <w:szCs w:val="20"/>
          <w:lang w:val="en-US"/>
        </w:rPr>
        <w:t xml:space="preserve"> </w:t>
      </w:r>
    </w:p>
    <w:p w14:paraId="4F94492E" w14:textId="77777777" w:rsidR="00227C33" w:rsidRPr="00D869E3" w:rsidRDefault="00227C33" w:rsidP="00557859">
      <w:pPr>
        <w:contextualSpacing/>
        <w:jc w:val="both"/>
        <w:rPr>
          <w:rFonts w:ascii="Verdana" w:hAnsi="Verdana"/>
          <w:sz w:val="20"/>
          <w:szCs w:val="20"/>
          <w:lang w:val="en-US"/>
        </w:rPr>
      </w:pPr>
    </w:p>
    <w:p w14:paraId="0DCBB2EB" w14:textId="697256CC" w:rsidR="007A21DE" w:rsidRPr="00D869E3" w:rsidRDefault="00432FF5" w:rsidP="003D55AE">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order to evaluate the</w:t>
      </w:r>
      <w:r w:rsidR="007A21DE" w:rsidRPr="00D869E3">
        <w:rPr>
          <w:rFonts w:ascii="Verdana" w:hAnsi="Verdana"/>
          <w:sz w:val="20"/>
          <w:szCs w:val="20"/>
          <w:lang w:val="en-US"/>
        </w:rPr>
        <w:t xml:space="preserve"> </w:t>
      </w:r>
      <w:r w:rsidR="00366EA8" w:rsidRPr="00D869E3">
        <w:rPr>
          <w:rFonts w:ascii="Verdana" w:hAnsi="Verdana"/>
          <w:sz w:val="20"/>
          <w:szCs w:val="20"/>
          <w:lang w:val="en-US"/>
        </w:rPr>
        <w:t>public interest</w:t>
      </w:r>
      <w:r w:rsidR="007A21DE" w:rsidRPr="00D869E3">
        <w:rPr>
          <w:rFonts w:ascii="Verdana" w:hAnsi="Verdana"/>
          <w:sz w:val="20"/>
          <w:szCs w:val="20"/>
          <w:lang w:val="en-US"/>
        </w:rPr>
        <w:t xml:space="preserve"> </w:t>
      </w:r>
      <w:r w:rsidRPr="00D869E3">
        <w:rPr>
          <w:rFonts w:ascii="Verdana" w:hAnsi="Verdana"/>
          <w:sz w:val="20"/>
          <w:szCs w:val="20"/>
          <w:lang w:val="en-US"/>
        </w:rPr>
        <w:t>in this specific case, the Court finds that it must consider the following elements</w:t>
      </w:r>
      <w:r w:rsidR="007A21DE" w:rsidRPr="00D869E3">
        <w:rPr>
          <w:rFonts w:ascii="Verdana" w:hAnsi="Verdana"/>
          <w:sz w:val="20"/>
          <w:szCs w:val="20"/>
          <w:lang w:val="en-US"/>
        </w:rPr>
        <w:t xml:space="preserve">: </w:t>
      </w:r>
      <w:r w:rsidRPr="00D869E3">
        <w:rPr>
          <w:rFonts w:ascii="Verdana" w:hAnsi="Verdana"/>
          <w:sz w:val="20"/>
          <w:szCs w:val="20"/>
          <w:lang w:val="en-US"/>
        </w:rPr>
        <w:t>(</w:t>
      </w:r>
      <w:r w:rsidR="007A21DE" w:rsidRPr="00D869E3">
        <w:rPr>
          <w:rFonts w:ascii="Verdana" w:hAnsi="Verdana"/>
          <w:sz w:val="20"/>
          <w:szCs w:val="20"/>
          <w:lang w:val="en-US"/>
        </w:rPr>
        <w:t xml:space="preserve">i) </w:t>
      </w:r>
      <w:r w:rsidRPr="00D869E3">
        <w:rPr>
          <w:rFonts w:ascii="Verdana" w:hAnsi="Verdana"/>
          <w:sz w:val="20"/>
          <w:szCs w:val="20"/>
          <w:lang w:val="en-US"/>
        </w:rPr>
        <w:t>The a</w:t>
      </w:r>
      <w:r w:rsidR="00447C65" w:rsidRPr="00D869E3">
        <w:rPr>
          <w:rFonts w:ascii="Verdana" w:hAnsi="Verdana"/>
          <w:sz w:val="20"/>
          <w:szCs w:val="20"/>
          <w:lang w:val="en-US"/>
        </w:rPr>
        <w:t>rticle</w:t>
      </w:r>
      <w:r w:rsidRPr="00D869E3">
        <w:rPr>
          <w:rFonts w:ascii="Verdana" w:hAnsi="Verdana"/>
          <w:sz w:val="20"/>
          <w:szCs w:val="20"/>
          <w:lang w:val="en-US"/>
        </w:rPr>
        <w:t xml:space="preserve"> examined was published in the context of an internal labor conflict based on presumed irregularities in the electoral process that the competent authority had been informed of, prior to the its publication</w:t>
      </w:r>
      <w:r w:rsidR="004E38FB" w:rsidRPr="00D869E3">
        <w:rPr>
          <w:rFonts w:ascii="Verdana" w:hAnsi="Verdana"/>
          <w:sz w:val="20"/>
          <w:lang w:val="en-US"/>
        </w:rPr>
        <w:t>;</w:t>
      </w:r>
      <w:r w:rsidR="007A21DE" w:rsidRPr="00D869E3">
        <w:rPr>
          <w:rFonts w:ascii="Verdana" w:hAnsi="Verdana"/>
          <w:sz w:val="20"/>
          <w:szCs w:val="20"/>
          <w:lang w:val="en-US"/>
        </w:rPr>
        <w:t xml:space="preserve"> </w:t>
      </w:r>
      <w:r w:rsidRPr="00D869E3">
        <w:rPr>
          <w:rFonts w:ascii="Verdana" w:hAnsi="Verdana"/>
          <w:sz w:val="20"/>
          <w:szCs w:val="20"/>
          <w:lang w:val="en-US"/>
        </w:rPr>
        <w:t>(</w:t>
      </w:r>
      <w:r w:rsidR="007A21DE" w:rsidRPr="00D869E3">
        <w:rPr>
          <w:rFonts w:ascii="Verdana" w:hAnsi="Verdana"/>
          <w:sz w:val="20"/>
          <w:szCs w:val="20"/>
          <w:lang w:val="en-US"/>
        </w:rPr>
        <w:t xml:space="preserve">ii) </w:t>
      </w:r>
      <w:r w:rsidR="00270810" w:rsidRPr="00D869E3">
        <w:rPr>
          <w:rFonts w:ascii="Verdana" w:hAnsi="Verdana"/>
          <w:sz w:val="20"/>
          <w:szCs w:val="20"/>
          <w:lang w:val="en-US"/>
        </w:rPr>
        <w:t>i</w:t>
      </w:r>
      <w:r w:rsidRPr="00D869E3">
        <w:rPr>
          <w:rFonts w:ascii="Verdana" w:hAnsi="Verdana"/>
          <w:sz w:val="20"/>
          <w:szCs w:val="20"/>
          <w:lang w:val="en-US"/>
        </w:rPr>
        <w:t xml:space="preserve">n the published interview, </w:t>
      </w:r>
      <w:r w:rsidR="001E44D3" w:rsidRPr="00D869E3">
        <w:rPr>
          <w:rFonts w:ascii="Verdana" w:hAnsi="Verdana"/>
          <w:sz w:val="20"/>
          <w:szCs w:val="20"/>
          <w:lang w:val="en-US"/>
        </w:rPr>
        <w:t>Mr. Lagos del Campo</w:t>
      </w:r>
      <w:r w:rsidR="007A21DE" w:rsidRPr="00D869E3">
        <w:rPr>
          <w:rFonts w:ascii="Verdana" w:hAnsi="Verdana"/>
          <w:sz w:val="20"/>
          <w:szCs w:val="20"/>
          <w:lang w:val="en-US"/>
        </w:rPr>
        <w:t xml:space="preserve"> </w:t>
      </w:r>
      <w:r w:rsidRPr="00D869E3">
        <w:rPr>
          <w:rFonts w:ascii="Verdana" w:hAnsi="Verdana"/>
          <w:sz w:val="20"/>
          <w:szCs w:val="20"/>
          <w:lang w:val="en-US"/>
        </w:rPr>
        <w:t>indicated that he</w:t>
      </w:r>
      <w:r w:rsidR="007A21DE" w:rsidRPr="00D869E3">
        <w:rPr>
          <w:rFonts w:ascii="Verdana" w:hAnsi="Verdana"/>
          <w:sz w:val="20"/>
          <w:szCs w:val="20"/>
          <w:lang w:val="en-US"/>
        </w:rPr>
        <w:t xml:space="preserve"> </w:t>
      </w:r>
      <w:r w:rsidR="003D55AE" w:rsidRPr="00D869E3">
        <w:rPr>
          <w:rFonts w:ascii="Verdana" w:hAnsi="Verdana"/>
          <w:sz w:val="20"/>
          <w:szCs w:val="20"/>
          <w:lang w:val="en-US"/>
        </w:rPr>
        <w:t xml:space="preserve">would </w:t>
      </w:r>
      <w:r w:rsidR="003D55AE" w:rsidRPr="00D869E3">
        <w:rPr>
          <w:rFonts w:ascii="Verdana" w:hAnsi="Verdana"/>
          <w:i/>
          <w:iCs/>
          <w:color w:val="000000"/>
          <w:sz w:val="20"/>
          <w:szCs w:val="20"/>
          <w:lang w:val="en-US"/>
        </w:rPr>
        <w:t>“continue fighting against the fraud, and call[ed] on all the workers to close ranks, demanding that [their] legal rights and obligations be respected. [He also asked] for the solidarity of all the country’s industrial communities and labor unions to express their rejection of the attempt to liquidate the industrial communities</w:t>
      </w:r>
      <w:r w:rsidR="00270810" w:rsidRPr="00D869E3">
        <w:rPr>
          <w:rFonts w:ascii="Verdana" w:hAnsi="Verdana"/>
          <w:i/>
          <w:iCs/>
          <w:color w:val="000000"/>
          <w:sz w:val="20"/>
          <w:szCs w:val="20"/>
          <w:lang w:val="en-US"/>
        </w:rPr>
        <w:t>,</w:t>
      </w:r>
      <w:r w:rsidR="003D55AE" w:rsidRPr="00D869E3">
        <w:rPr>
          <w:rFonts w:ascii="Verdana" w:hAnsi="Verdana"/>
          <w:i/>
          <w:iCs/>
          <w:color w:val="000000"/>
          <w:sz w:val="20"/>
          <w:szCs w:val="20"/>
          <w:lang w:val="en-US"/>
        </w:rPr>
        <w:t xml:space="preserve">” </w:t>
      </w:r>
      <w:r w:rsidR="003D55AE" w:rsidRPr="00D869E3">
        <w:rPr>
          <w:rFonts w:ascii="Verdana" w:hAnsi="Verdana"/>
          <w:color w:val="000000"/>
          <w:sz w:val="20"/>
          <w:szCs w:val="20"/>
          <w:lang w:val="en-US"/>
        </w:rPr>
        <w:t xml:space="preserve">and this reveals the collective nature of his statements; (iii) </w:t>
      </w:r>
      <w:r w:rsidR="00270810" w:rsidRPr="00D869E3">
        <w:rPr>
          <w:rFonts w:ascii="Verdana" w:hAnsi="Verdana"/>
          <w:color w:val="000000"/>
          <w:sz w:val="20"/>
          <w:szCs w:val="20"/>
          <w:lang w:val="en-US"/>
        </w:rPr>
        <w:t>i</w:t>
      </w:r>
      <w:r w:rsidR="003D55AE" w:rsidRPr="00D869E3">
        <w:rPr>
          <w:rFonts w:ascii="Verdana" w:hAnsi="Verdana"/>
          <w:color w:val="000000"/>
          <w:sz w:val="20"/>
          <w:szCs w:val="20"/>
          <w:lang w:val="en-US"/>
        </w:rPr>
        <w:t>n Peru, one of the purposes of the industrial communities is to promote the participation of the workers in a company’s patrimony and ensure an adequate distribution of profits</w:t>
      </w:r>
      <w:r w:rsidR="000D5155" w:rsidRPr="00D869E3">
        <w:rPr>
          <w:rFonts w:ascii="Verdana" w:hAnsi="Verdana"/>
          <w:color w:val="000000"/>
          <w:sz w:val="20"/>
          <w:szCs w:val="20"/>
          <w:lang w:val="en-US"/>
        </w:rPr>
        <w:t>; (iv) his statements referred to the intervention of the</w:t>
      </w:r>
      <w:r w:rsidR="007A568E" w:rsidRPr="00D869E3">
        <w:rPr>
          <w:rFonts w:ascii="Verdana" w:hAnsi="Verdana"/>
          <w:sz w:val="20"/>
          <w:szCs w:val="20"/>
          <w:lang w:val="en-US"/>
        </w:rPr>
        <w:t xml:space="preserve"> </w:t>
      </w:r>
      <w:r w:rsidR="00EC2233" w:rsidRPr="00D869E3">
        <w:rPr>
          <w:rFonts w:ascii="Verdana" w:hAnsi="Verdana"/>
          <w:sz w:val="20"/>
          <w:szCs w:val="20"/>
          <w:lang w:val="en-US"/>
        </w:rPr>
        <w:t>Participation Directorate</w:t>
      </w:r>
      <w:r w:rsidR="007A568E" w:rsidRPr="00D869E3">
        <w:rPr>
          <w:rFonts w:ascii="Verdana" w:hAnsi="Verdana"/>
          <w:sz w:val="20"/>
          <w:szCs w:val="20"/>
          <w:lang w:val="en-US"/>
        </w:rPr>
        <w:t xml:space="preserve"> </w:t>
      </w:r>
      <w:r w:rsidR="004D704D" w:rsidRPr="00D869E3">
        <w:rPr>
          <w:rFonts w:ascii="Verdana" w:hAnsi="Verdana"/>
          <w:sz w:val="20"/>
          <w:szCs w:val="20"/>
          <w:lang w:val="en-US"/>
        </w:rPr>
        <w:t>of the Ministry</w:t>
      </w:r>
      <w:r w:rsidR="00F43C5F" w:rsidRPr="00D869E3">
        <w:rPr>
          <w:rFonts w:ascii="Verdana" w:hAnsi="Verdana"/>
          <w:sz w:val="20"/>
          <w:szCs w:val="20"/>
          <w:lang w:val="en-US"/>
        </w:rPr>
        <w:t xml:space="preserve"> of Industry</w:t>
      </w:r>
      <w:r w:rsidR="007A568E" w:rsidRPr="00D869E3">
        <w:rPr>
          <w:rFonts w:ascii="Verdana" w:hAnsi="Verdana"/>
          <w:sz w:val="20"/>
          <w:szCs w:val="20"/>
          <w:lang w:val="en-US"/>
        </w:rPr>
        <w:t>;</w:t>
      </w:r>
      <w:r w:rsidR="007A568E" w:rsidRPr="00D869E3">
        <w:rPr>
          <w:rFonts w:ascii="Verdana" w:hAnsi="Verdana"/>
          <w:bCs/>
          <w:sz w:val="20"/>
          <w:szCs w:val="20"/>
          <w:lang w:val="en-US"/>
        </w:rPr>
        <w:t xml:space="preserve"> </w:t>
      </w:r>
      <w:r w:rsidR="000D5155" w:rsidRPr="00D869E3">
        <w:rPr>
          <w:rFonts w:ascii="Verdana" w:hAnsi="Verdana"/>
          <w:bCs/>
          <w:sz w:val="20"/>
          <w:szCs w:val="20"/>
          <w:lang w:val="en-US"/>
        </w:rPr>
        <w:t>(</w:t>
      </w:r>
      <w:r w:rsidR="007A21DE" w:rsidRPr="00D869E3">
        <w:rPr>
          <w:rFonts w:ascii="Verdana" w:hAnsi="Verdana"/>
          <w:sz w:val="20"/>
          <w:szCs w:val="20"/>
          <w:lang w:val="en-US"/>
        </w:rPr>
        <w:t xml:space="preserve">iv) </w:t>
      </w:r>
      <w:r w:rsidR="000D5155" w:rsidRPr="00D869E3">
        <w:rPr>
          <w:rFonts w:ascii="Verdana" w:hAnsi="Verdana"/>
          <w:sz w:val="20"/>
          <w:szCs w:val="20"/>
          <w:lang w:val="en-US"/>
        </w:rPr>
        <w:t>the newspaper requested the interview with</w:t>
      </w:r>
      <w:r w:rsidR="00EE0BD4" w:rsidRPr="00D869E3">
        <w:rPr>
          <w:rFonts w:ascii="Verdana" w:hAnsi="Verdana"/>
          <w:sz w:val="20"/>
          <w:szCs w:val="20"/>
          <w:lang w:val="en-US"/>
        </w:rPr>
        <w:t xml:space="preserve"> Mr. Lagos</w:t>
      </w:r>
      <w:r w:rsidR="007A21DE" w:rsidRPr="00D869E3">
        <w:rPr>
          <w:rFonts w:ascii="Verdana" w:hAnsi="Verdana"/>
          <w:sz w:val="20"/>
          <w:szCs w:val="20"/>
          <w:lang w:val="en-US"/>
        </w:rPr>
        <w:t xml:space="preserve"> del Campo</w:t>
      </w:r>
      <w:r w:rsidR="00687684" w:rsidRPr="00D869E3">
        <w:rPr>
          <w:rFonts w:ascii="Verdana" w:hAnsi="Verdana"/>
          <w:sz w:val="20"/>
          <w:szCs w:val="20"/>
          <w:lang w:val="en-US"/>
        </w:rPr>
        <w:t xml:space="preserve"> and </w:t>
      </w:r>
      <w:r w:rsidR="000D5155" w:rsidRPr="00D869E3">
        <w:rPr>
          <w:rFonts w:ascii="Verdana" w:hAnsi="Verdana"/>
          <w:sz w:val="20"/>
          <w:szCs w:val="20"/>
          <w:lang w:val="en-US"/>
        </w:rPr>
        <w:t xml:space="preserve">published the interview in the written media, considering that he referred to matters that were relevant for the interested sector of society (industry) </w:t>
      </w:r>
      <w:r w:rsidR="007C6623" w:rsidRPr="00D869E3">
        <w:rPr>
          <w:rFonts w:ascii="Verdana" w:hAnsi="Verdana"/>
          <w:sz w:val="20"/>
          <w:szCs w:val="20"/>
          <w:lang w:val="en-US"/>
        </w:rPr>
        <w:t>(</w:t>
      </w:r>
      <w:r w:rsidR="00224537" w:rsidRPr="00D869E3">
        <w:rPr>
          <w:rFonts w:ascii="Verdana" w:hAnsi="Verdana"/>
          <w:i/>
          <w:sz w:val="20"/>
          <w:szCs w:val="20"/>
          <w:lang w:val="en-US"/>
        </w:rPr>
        <w:t>supra</w:t>
      </w:r>
      <w:r w:rsidR="007C6623" w:rsidRPr="00D869E3">
        <w:rPr>
          <w:rFonts w:ascii="Verdana" w:hAnsi="Verdana"/>
          <w:sz w:val="20"/>
          <w:szCs w:val="20"/>
          <w:lang w:val="en-US"/>
        </w:rPr>
        <w:t xml:space="preserve">, </w:t>
      </w:r>
      <w:r w:rsidR="0087339F" w:rsidRPr="00D869E3">
        <w:rPr>
          <w:rFonts w:ascii="Verdana" w:hAnsi="Verdana"/>
          <w:sz w:val="20"/>
          <w:szCs w:val="20"/>
          <w:lang w:val="en-US"/>
        </w:rPr>
        <w:t>para.</w:t>
      </w:r>
      <w:r w:rsidR="002F31BD" w:rsidRPr="00D869E3">
        <w:rPr>
          <w:rFonts w:ascii="Verdana" w:hAnsi="Verdana"/>
          <w:sz w:val="20"/>
          <w:szCs w:val="20"/>
          <w:lang w:val="en-US"/>
        </w:rPr>
        <w:t xml:space="preserve"> </w:t>
      </w:r>
      <w:r w:rsidR="006F2EA3" w:rsidRPr="00D869E3">
        <w:rPr>
          <w:rFonts w:ascii="Verdana" w:hAnsi="Verdana"/>
          <w:sz w:val="20"/>
          <w:szCs w:val="20"/>
          <w:lang w:val="en-US"/>
        </w:rPr>
        <w:t>11</w:t>
      </w:r>
      <w:r w:rsidR="000023EA" w:rsidRPr="00D869E3">
        <w:rPr>
          <w:rFonts w:ascii="Verdana" w:hAnsi="Verdana"/>
          <w:sz w:val="20"/>
          <w:szCs w:val="20"/>
          <w:lang w:val="en-US"/>
        </w:rPr>
        <w:t>1</w:t>
      </w:r>
      <w:r w:rsidR="007C6623" w:rsidRPr="00D869E3">
        <w:rPr>
          <w:rFonts w:ascii="Verdana" w:hAnsi="Verdana"/>
          <w:sz w:val="20"/>
          <w:szCs w:val="20"/>
          <w:lang w:val="en-US"/>
        </w:rPr>
        <w:t>)</w:t>
      </w:r>
      <w:r w:rsidR="007A21DE" w:rsidRPr="00D869E3">
        <w:rPr>
          <w:rFonts w:ascii="Verdana" w:hAnsi="Verdana"/>
          <w:sz w:val="20"/>
          <w:szCs w:val="20"/>
          <w:lang w:val="en-US"/>
        </w:rPr>
        <w:t xml:space="preserve">. </w:t>
      </w:r>
    </w:p>
    <w:p w14:paraId="2072FA6F" w14:textId="77777777" w:rsidR="007A21DE" w:rsidRPr="00D869E3" w:rsidRDefault="007A21DE" w:rsidP="007A21DE">
      <w:pPr>
        <w:contextualSpacing/>
        <w:jc w:val="both"/>
        <w:rPr>
          <w:rFonts w:ascii="Verdana" w:hAnsi="Verdana"/>
          <w:sz w:val="20"/>
          <w:szCs w:val="20"/>
          <w:lang w:val="en-US"/>
        </w:rPr>
      </w:pPr>
    </w:p>
    <w:p w14:paraId="35338EBD" w14:textId="63705DF2" w:rsidR="000D5155" w:rsidRPr="00D869E3" w:rsidRDefault="000D5155" w:rsidP="000D5155">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lastRenderedPageBreak/>
        <w:t xml:space="preserve">Consequently, </w:t>
      </w:r>
      <w:r w:rsidR="00447C65" w:rsidRPr="00D869E3">
        <w:rPr>
          <w:rFonts w:ascii="Verdana" w:hAnsi="Verdana"/>
          <w:sz w:val="20"/>
          <w:szCs w:val="20"/>
          <w:lang w:val="en-US"/>
        </w:rPr>
        <w:t>the Court</w:t>
      </w:r>
      <w:r w:rsidR="007A21DE" w:rsidRPr="00D869E3">
        <w:rPr>
          <w:rFonts w:ascii="Verdana" w:hAnsi="Verdana"/>
          <w:sz w:val="20"/>
          <w:szCs w:val="20"/>
          <w:lang w:val="en-US"/>
        </w:rPr>
        <w:t xml:space="preserve"> not</w:t>
      </w:r>
      <w:r w:rsidRPr="00D869E3">
        <w:rPr>
          <w:rFonts w:ascii="Verdana" w:hAnsi="Verdana"/>
          <w:sz w:val="20"/>
          <w:szCs w:val="20"/>
          <w:lang w:val="en-US"/>
        </w:rPr>
        <w:t xml:space="preserve">es that, in the context of the said electoral process, the statements </w:t>
      </w:r>
      <w:r w:rsidR="00270810" w:rsidRPr="00D869E3">
        <w:rPr>
          <w:rFonts w:ascii="Verdana" w:hAnsi="Verdana"/>
          <w:sz w:val="20"/>
          <w:szCs w:val="20"/>
          <w:lang w:val="en-US"/>
        </w:rPr>
        <w:t>made by</w:t>
      </w:r>
      <w:r w:rsidRPr="00D869E3">
        <w:rPr>
          <w:rFonts w:ascii="Verdana" w:hAnsi="Verdana"/>
          <w:sz w:val="20"/>
          <w:szCs w:val="20"/>
          <w:lang w:val="en-US"/>
        </w:rPr>
        <w:t xml:space="preserve"> Mr. Lagos del Campo, as a representative of the workers, in addition to exceeding the private sphere, had a relevance or impact that went beyond not only the collective interest of the company’s workers,</w:t>
      </w:r>
      <w:r w:rsidR="007A21DE" w:rsidRPr="00D869E3">
        <w:rPr>
          <w:rFonts w:ascii="Verdana" w:hAnsi="Verdana"/>
          <w:sz w:val="20"/>
          <w:szCs w:val="20"/>
          <w:vertAlign w:val="superscript"/>
          <w:lang w:val="en-US"/>
        </w:rPr>
        <w:footnoteReference w:id="149"/>
      </w:r>
      <w:r w:rsidR="007A21DE" w:rsidRPr="00D869E3">
        <w:rPr>
          <w:rFonts w:ascii="Verdana" w:hAnsi="Verdana"/>
          <w:sz w:val="20"/>
          <w:szCs w:val="20"/>
          <w:lang w:val="en-US"/>
        </w:rPr>
        <w:t xml:space="preserve"> </w:t>
      </w:r>
      <w:r w:rsidRPr="00D869E3">
        <w:rPr>
          <w:rFonts w:ascii="Verdana" w:hAnsi="Verdana"/>
          <w:sz w:val="20"/>
          <w:szCs w:val="20"/>
          <w:lang w:val="en-US"/>
        </w:rPr>
        <w:t>but of members of the industrial communities as it related to the industrial communities in general. Therefore, the facts of this case reveal that the information contained in Mr. Lagos del Campo’s statements w</w:t>
      </w:r>
      <w:r w:rsidR="00270810" w:rsidRPr="00D869E3">
        <w:rPr>
          <w:rFonts w:ascii="Verdana" w:hAnsi="Verdana"/>
          <w:sz w:val="20"/>
          <w:szCs w:val="20"/>
          <w:lang w:val="en-US"/>
        </w:rPr>
        <w:t>as</w:t>
      </w:r>
      <w:r w:rsidRPr="00D869E3">
        <w:rPr>
          <w:rFonts w:ascii="Verdana" w:hAnsi="Verdana"/>
          <w:sz w:val="20"/>
          <w:szCs w:val="20"/>
          <w:lang w:val="en-US"/>
        </w:rPr>
        <w:t xml:space="preserve"> of general interest and, consequently, w</w:t>
      </w:r>
      <w:r w:rsidR="00270810" w:rsidRPr="00D869E3">
        <w:rPr>
          <w:rFonts w:ascii="Verdana" w:hAnsi="Verdana"/>
          <w:sz w:val="20"/>
          <w:szCs w:val="20"/>
          <w:lang w:val="en-US"/>
        </w:rPr>
        <w:t>as</w:t>
      </w:r>
      <w:r w:rsidRPr="00D869E3">
        <w:rPr>
          <w:rFonts w:ascii="Verdana" w:hAnsi="Verdana"/>
          <w:sz w:val="20"/>
          <w:szCs w:val="20"/>
          <w:lang w:val="en-US"/>
        </w:rPr>
        <w:t xml:space="preserve"> subject to </w:t>
      </w:r>
      <w:r w:rsidR="00270810" w:rsidRPr="00D869E3">
        <w:rPr>
          <w:rFonts w:ascii="Verdana" w:hAnsi="Verdana"/>
          <w:sz w:val="20"/>
          <w:szCs w:val="20"/>
          <w:lang w:val="en-US"/>
        </w:rPr>
        <w:t>a greater</w:t>
      </w:r>
      <w:r w:rsidRPr="00D869E3">
        <w:rPr>
          <w:rFonts w:ascii="Verdana" w:hAnsi="Verdana"/>
          <w:sz w:val="20"/>
          <w:szCs w:val="20"/>
          <w:lang w:val="en-US"/>
        </w:rPr>
        <w:t xml:space="preserve"> level of protection.</w:t>
      </w:r>
    </w:p>
    <w:p w14:paraId="6842EEB2" w14:textId="77777777" w:rsidR="007A21DE" w:rsidRPr="00D869E3" w:rsidRDefault="007A21DE" w:rsidP="007A21DE">
      <w:pPr>
        <w:contextualSpacing/>
        <w:rPr>
          <w:rFonts w:ascii="Verdana" w:hAnsi="Verdana"/>
          <w:sz w:val="20"/>
          <w:szCs w:val="20"/>
          <w:lang w:val="en-US"/>
        </w:rPr>
      </w:pPr>
    </w:p>
    <w:p w14:paraId="6ACC07BD" w14:textId="61CA79A0" w:rsidR="007A21DE" w:rsidRPr="00D869E3" w:rsidRDefault="000D5155" w:rsidP="0026230A">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Third</w:t>
      </w:r>
      <w:r w:rsidR="007A21DE" w:rsidRPr="00D869E3">
        <w:rPr>
          <w:rFonts w:ascii="Verdana" w:hAnsi="Verdana"/>
          <w:sz w:val="20"/>
          <w:szCs w:val="20"/>
          <w:lang w:val="en-US"/>
        </w:rPr>
        <w:t>, re</w:t>
      </w:r>
      <w:r w:rsidRPr="00D869E3">
        <w:rPr>
          <w:rFonts w:ascii="Verdana" w:hAnsi="Verdana"/>
          <w:sz w:val="20"/>
          <w:szCs w:val="20"/>
          <w:lang w:val="en-US"/>
        </w:rPr>
        <w:t xml:space="preserve">garding the </w:t>
      </w:r>
      <w:r w:rsidR="00270810" w:rsidRPr="00D869E3">
        <w:rPr>
          <w:rFonts w:ascii="Verdana" w:hAnsi="Verdana"/>
          <w:sz w:val="20"/>
          <w:szCs w:val="20"/>
          <w:lang w:val="en-US"/>
        </w:rPr>
        <w:t>significance</w:t>
      </w:r>
      <w:r w:rsidR="007C6623" w:rsidRPr="00D869E3">
        <w:rPr>
          <w:rFonts w:ascii="Verdana" w:hAnsi="Verdana"/>
          <w:sz w:val="20"/>
          <w:szCs w:val="20"/>
          <w:lang w:val="en-US"/>
        </w:rPr>
        <w:t xml:space="preserve"> </w:t>
      </w:r>
      <w:r w:rsidRPr="00D869E3">
        <w:rPr>
          <w:rFonts w:ascii="Verdana" w:hAnsi="Verdana"/>
          <w:sz w:val="20"/>
          <w:szCs w:val="20"/>
          <w:lang w:val="en-US"/>
        </w:rPr>
        <w:t>of the statements published in “</w:t>
      </w:r>
      <w:r w:rsidRPr="00D869E3">
        <w:rPr>
          <w:rFonts w:ascii="Verdana" w:hAnsi="Verdana"/>
          <w:i/>
          <w:iCs/>
          <w:sz w:val="20"/>
          <w:szCs w:val="20"/>
          <w:lang w:val="en-US"/>
        </w:rPr>
        <w:t>La Razón,</w:t>
      </w:r>
      <w:r w:rsidRPr="00D869E3">
        <w:rPr>
          <w:rFonts w:ascii="Verdana" w:hAnsi="Verdana"/>
          <w:sz w:val="20"/>
          <w:szCs w:val="20"/>
          <w:lang w:val="en-US"/>
        </w:rPr>
        <w:t xml:space="preserve">” the Court recalls that </w:t>
      </w:r>
      <w:r w:rsidR="00A62EA8" w:rsidRPr="00D869E3">
        <w:rPr>
          <w:rFonts w:ascii="Verdana" w:hAnsi="Verdana"/>
          <w:sz w:val="20"/>
          <w:szCs w:val="20"/>
          <w:lang w:val="en-US"/>
        </w:rPr>
        <w:t>freedom of expression</w:t>
      </w:r>
      <w:r w:rsidR="007A21DE" w:rsidRPr="00D869E3">
        <w:rPr>
          <w:rFonts w:ascii="Verdana" w:hAnsi="Verdana"/>
          <w:sz w:val="20"/>
          <w:szCs w:val="20"/>
          <w:lang w:val="en-US"/>
        </w:rPr>
        <w:t>, particular</w:t>
      </w:r>
      <w:r w:rsidRPr="00D869E3">
        <w:rPr>
          <w:rFonts w:ascii="Verdana" w:hAnsi="Verdana"/>
          <w:sz w:val="20"/>
          <w:szCs w:val="20"/>
          <w:lang w:val="en-US"/>
        </w:rPr>
        <w:t>ly in matters of general or public interest, “</w:t>
      </w:r>
      <w:r w:rsidR="00C762BF" w:rsidRPr="00D869E3">
        <w:rPr>
          <w:rFonts w:ascii="Verdana" w:hAnsi="Verdana"/>
          <w:sz w:val="20"/>
          <w:szCs w:val="20"/>
          <w:lang w:val="en-US"/>
        </w:rPr>
        <w:t xml:space="preserve">constitutes one of the essential foundations </w:t>
      </w:r>
      <w:r w:rsidRPr="00D869E3">
        <w:rPr>
          <w:rFonts w:ascii="Verdana" w:hAnsi="Verdana"/>
          <w:sz w:val="20"/>
          <w:szCs w:val="20"/>
          <w:lang w:val="en-US"/>
        </w:rPr>
        <w:t>of a democratic society.</w:t>
      </w:r>
      <w:r w:rsidR="006436CA" w:rsidRPr="00D869E3">
        <w:rPr>
          <w:rFonts w:ascii="Verdana" w:hAnsi="Verdana"/>
          <w:sz w:val="20"/>
          <w:szCs w:val="20"/>
          <w:lang w:val="en-US"/>
        </w:rPr>
        <w:t>”</w:t>
      </w:r>
      <w:r w:rsidR="007A21DE" w:rsidRPr="00D869E3">
        <w:rPr>
          <w:rFonts w:ascii="Verdana" w:hAnsi="Verdana"/>
          <w:sz w:val="20"/>
          <w:szCs w:val="20"/>
          <w:vertAlign w:val="superscript"/>
          <w:lang w:val="en-US"/>
        </w:rPr>
        <w:footnoteReference w:id="150"/>
      </w:r>
      <w:r w:rsidRPr="00D869E3">
        <w:rPr>
          <w:rFonts w:ascii="Verdana" w:hAnsi="Verdana"/>
          <w:sz w:val="20"/>
          <w:szCs w:val="20"/>
          <w:lang w:val="en-US"/>
        </w:rPr>
        <w:t xml:space="preserve"> </w:t>
      </w:r>
      <w:r w:rsidR="00E23428" w:rsidRPr="00D869E3">
        <w:rPr>
          <w:rFonts w:ascii="Verdana" w:hAnsi="Verdana"/>
          <w:sz w:val="20"/>
          <w:szCs w:val="20"/>
          <w:lang w:val="en-US"/>
        </w:rPr>
        <w:t xml:space="preserve">It </w:t>
      </w:r>
      <w:r w:rsidR="0026230A" w:rsidRPr="00D869E3">
        <w:rPr>
          <w:rFonts w:ascii="Verdana" w:hAnsi="Verdana"/>
          <w:sz w:val="20"/>
          <w:szCs w:val="20"/>
          <w:lang w:val="en-US"/>
        </w:rPr>
        <w:t>must</w:t>
      </w:r>
      <w:r w:rsidR="00E23428" w:rsidRPr="00D869E3">
        <w:rPr>
          <w:rFonts w:ascii="Verdana" w:hAnsi="Verdana"/>
          <w:sz w:val="20"/>
          <w:szCs w:val="20"/>
          <w:lang w:val="en-US"/>
        </w:rPr>
        <w:t xml:space="preserve"> be guaranteed</w:t>
      </w:r>
      <w:r w:rsidR="00C762BF" w:rsidRPr="00D869E3">
        <w:rPr>
          <w:rFonts w:ascii="Verdana" w:hAnsi="Verdana"/>
          <w:sz w:val="20"/>
          <w:szCs w:val="20"/>
          <w:lang w:val="en-US"/>
        </w:rPr>
        <w:t xml:space="preserve"> not only in relation to the dissemination of information and ideas that are </w:t>
      </w:r>
      <w:r w:rsidR="0026230A" w:rsidRPr="00D869E3">
        <w:rPr>
          <w:rFonts w:ascii="Verdana" w:hAnsi="Verdana"/>
          <w:sz w:val="20"/>
          <w:szCs w:val="20"/>
          <w:lang w:val="en-US"/>
        </w:rPr>
        <w:t xml:space="preserve">favorably </w:t>
      </w:r>
      <w:r w:rsidR="00C762BF" w:rsidRPr="00D869E3">
        <w:rPr>
          <w:rFonts w:ascii="Verdana" w:hAnsi="Verdana"/>
          <w:sz w:val="20"/>
          <w:szCs w:val="20"/>
          <w:lang w:val="en-US"/>
        </w:rPr>
        <w:t xml:space="preserve">received or </w:t>
      </w:r>
      <w:r w:rsidR="0026230A" w:rsidRPr="00D869E3">
        <w:rPr>
          <w:rFonts w:ascii="Verdana" w:hAnsi="Verdana"/>
          <w:sz w:val="20"/>
          <w:szCs w:val="20"/>
          <w:lang w:val="en-US"/>
        </w:rPr>
        <w:t>regarded as</w:t>
      </w:r>
      <w:r w:rsidR="00C762BF" w:rsidRPr="00D869E3">
        <w:rPr>
          <w:rFonts w:ascii="Verdana" w:hAnsi="Verdana"/>
          <w:sz w:val="20"/>
          <w:szCs w:val="20"/>
          <w:lang w:val="en-US"/>
        </w:rPr>
        <w:t xml:space="preserve"> inoffensive or</w:t>
      </w:r>
      <w:r w:rsidR="0026230A" w:rsidRPr="00D869E3">
        <w:rPr>
          <w:rFonts w:ascii="Verdana" w:hAnsi="Verdana"/>
          <w:sz w:val="20"/>
          <w:szCs w:val="20"/>
          <w:lang w:val="en-US"/>
        </w:rPr>
        <w:t xml:space="preserve"> as a matter of indifference, </w:t>
      </w:r>
      <w:r w:rsidR="00C762BF" w:rsidRPr="00D869E3">
        <w:rPr>
          <w:rFonts w:ascii="Verdana" w:hAnsi="Verdana"/>
          <w:sz w:val="20"/>
          <w:szCs w:val="20"/>
          <w:lang w:val="en-US"/>
        </w:rPr>
        <w:t xml:space="preserve">but also as regards those that </w:t>
      </w:r>
      <w:r w:rsidR="0026230A" w:rsidRPr="00D869E3">
        <w:rPr>
          <w:rFonts w:ascii="Verdana" w:hAnsi="Verdana"/>
          <w:sz w:val="20"/>
          <w:szCs w:val="20"/>
          <w:lang w:val="en-US"/>
        </w:rPr>
        <w:t xml:space="preserve">offend </w:t>
      </w:r>
      <w:r w:rsidR="00C762BF" w:rsidRPr="00D869E3">
        <w:rPr>
          <w:rFonts w:ascii="Verdana" w:hAnsi="Verdana"/>
          <w:sz w:val="20"/>
          <w:szCs w:val="20"/>
          <w:lang w:val="en-US"/>
        </w:rPr>
        <w:t>the State or any sector of the population.</w:t>
      </w:r>
      <w:r w:rsidR="00C762BF" w:rsidRPr="00D869E3">
        <w:rPr>
          <w:rFonts w:ascii="Verdana" w:hAnsi="Verdana"/>
          <w:sz w:val="20"/>
          <w:szCs w:val="20"/>
          <w:vertAlign w:val="superscript"/>
          <w:lang w:val="en-US"/>
        </w:rPr>
        <w:footnoteReference w:id="151"/>
      </w:r>
      <w:r w:rsidR="00C762BF" w:rsidRPr="00D869E3">
        <w:rPr>
          <w:rFonts w:ascii="Verdana" w:hAnsi="Verdana"/>
          <w:sz w:val="20"/>
          <w:szCs w:val="20"/>
          <w:lang w:val="en-US"/>
        </w:rPr>
        <w:t xml:space="preserve"> In addition, the Court has indicated that “[i]n discussions on issues of great public interest, </w:t>
      </w:r>
      <w:r w:rsidR="0026230A" w:rsidRPr="00D869E3">
        <w:rPr>
          <w:rFonts w:ascii="Verdana" w:hAnsi="Verdana"/>
          <w:sz w:val="20"/>
          <w:szCs w:val="20"/>
          <w:lang w:val="en-US"/>
        </w:rPr>
        <w:t>it protects not only statements that are inoffensive or well-received by public opinion, but also those that shock, offend or disturb public officials or any sector of the population.</w:t>
      </w:r>
      <w:r w:rsidR="007A21DE" w:rsidRPr="00D869E3">
        <w:rPr>
          <w:rFonts w:ascii="Verdana" w:hAnsi="Verdana"/>
          <w:sz w:val="20"/>
          <w:szCs w:val="20"/>
          <w:vertAlign w:val="superscript"/>
          <w:lang w:val="en-US"/>
        </w:rPr>
        <w:footnoteReference w:id="152"/>
      </w:r>
      <w:r w:rsidR="0026230A" w:rsidRPr="00D869E3">
        <w:rPr>
          <w:rFonts w:ascii="Verdana" w:hAnsi="Verdana" w:cs="Arial"/>
          <w:sz w:val="20"/>
          <w:szCs w:val="20"/>
          <w:lang w:val="en-US"/>
        </w:rPr>
        <w:t xml:space="preserve"> In a democratic society, the media must provide extensive information on matters of </w:t>
      </w:r>
      <w:r w:rsidR="00366EA8" w:rsidRPr="00D869E3">
        <w:rPr>
          <w:rFonts w:ascii="Verdana" w:hAnsi="Verdana"/>
          <w:sz w:val="20"/>
          <w:szCs w:val="20"/>
          <w:lang w:val="en-US"/>
        </w:rPr>
        <w:t>public interest</w:t>
      </w:r>
      <w:r w:rsidR="007A21DE" w:rsidRPr="00D869E3">
        <w:rPr>
          <w:rFonts w:ascii="Verdana" w:hAnsi="Verdana"/>
          <w:sz w:val="20"/>
          <w:szCs w:val="20"/>
          <w:lang w:val="en-US"/>
        </w:rPr>
        <w:t xml:space="preserve">, </w:t>
      </w:r>
      <w:r w:rsidR="0026230A" w:rsidRPr="00D869E3">
        <w:rPr>
          <w:rFonts w:ascii="Verdana" w:hAnsi="Verdana"/>
          <w:sz w:val="20"/>
          <w:szCs w:val="20"/>
          <w:lang w:val="en-US"/>
        </w:rPr>
        <w:t xml:space="preserve">which affect social rights </w:t>
      </w:r>
      <w:r w:rsidR="007A21DE" w:rsidRPr="00D869E3">
        <w:rPr>
          <w:rFonts w:ascii="Verdana" w:hAnsi="Verdana"/>
          <w:sz w:val="20"/>
          <w:szCs w:val="20"/>
          <w:lang w:val="en-US"/>
        </w:rPr>
        <w:t>[…]</w:t>
      </w:r>
      <w:r w:rsidR="0026230A" w:rsidRPr="00D869E3">
        <w:rPr>
          <w:rFonts w:ascii="Verdana" w:hAnsi="Verdana"/>
          <w:sz w:val="20"/>
          <w:szCs w:val="20"/>
          <w:lang w:val="en-US"/>
        </w:rPr>
        <w:t>.</w:t>
      </w:r>
      <w:r w:rsidR="006436CA" w:rsidRPr="00D869E3">
        <w:rPr>
          <w:rFonts w:ascii="Verdana" w:hAnsi="Verdana"/>
          <w:sz w:val="20"/>
          <w:szCs w:val="20"/>
          <w:lang w:val="en-US"/>
        </w:rPr>
        <w:t>”</w:t>
      </w:r>
      <w:r w:rsidR="007A21DE" w:rsidRPr="00D869E3">
        <w:rPr>
          <w:rFonts w:ascii="Verdana" w:hAnsi="Verdana"/>
          <w:sz w:val="20"/>
          <w:szCs w:val="20"/>
          <w:vertAlign w:val="superscript"/>
          <w:lang w:val="en-US"/>
        </w:rPr>
        <w:footnoteReference w:id="153"/>
      </w:r>
      <w:r w:rsidR="0026230A" w:rsidRPr="00D869E3">
        <w:rPr>
          <w:rFonts w:ascii="Verdana" w:hAnsi="Verdana"/>
          <w:sz w:val="20"/>
          <w:szCs w:val="20"/>
          <w:lang w:val="en-US"/>
        </w:rPr>
        <w:t xml:space="preserve"> Nevertheless, the Court is aware that</w:t>
      </w:r>
      <w:r w:rsidR="00415910" w:rsidRPr="00D869E3">
        <w:rPr>
          <w:rFonts w:ascii="Verdana" w:hAnsi="Verdana"/>
          <w:sz w:val="20"/>
          <w:szCs w:val="20"/>
          <w:lang w:val="en-US"/>
        </w:rPr>
        <w:t xml:space="preserve"> the extent of acceptable criticism when directed against a private individual is narrower than that directed against politicians or public officials in the exercise of their functions.</w:t>
      </w:r>
      <w:r w:rsidR="007A21DE" w:rsidRPr="00D869E3">
        <w:rPr>
          <w:rFonts w:ascii="Verdana" w:hAnsi="Verdana"/>
          <w:sz w:val="20"/>
          <w:szCs w:val="20"/>
          <w:vertAlign w:val="superscript"/>
          <w:lang w:val="en-US"/>
        </w:rPr>
        <w:footnoteReference w:id="154"/>
      </w:r>
      <w:r w:rsidR="007A21DE" w:rsidRPr="00D869E3">
        <w:rPr>
          <w:rFonts w:ascii="Verdana" w:hAnsi="Verdana"/>
          <w:sz w:val="20"/>
          <w:szCs w:val="20"/>
          <w:lang w:val="en-US"/>
        </w:rPr>
        <w:t xml:space="preserve"> </w:t>
      </w:r>
    </w:p>
    <w:p w14:paraId="3051DF23" w14:textId="77777777" w:rsidR="007A21DE" w:rsidRPr="00D869E3" w:rsidRDefault="007A21DE" w:rsidP="007A21DE">
      <w:pPr>
        <w:contextualSpacing/>
        <w:jc w:val="both"/>
        <w:rPr>
          <w:rFonts w:ascii="Verdana" w:hAnsi="Verdana"/>
          <w:sz w:val="20"/>
          <w:szCs w:val="20"/>
          <w:lang w:val="en-US"/>
        </w:rPr>
      </w:pPr>
    </w:p>
    <w:p w14:paraId="1E90D8E0" w14:textId="4FCFEB66" w:rsidR="00FF5791" w:rsidRPr="00D869E3" w:rsidRDefault="00415910" w:rsidP="00415910">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With regard to the statements published in the interview, the Court considers that, in general, they reveal that the purpose sought by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B22068" w:rsidRPr="00D869E3">
        <w:rPr>
          <w:rFonts w:ascii="Verdana" w:hAnsi="Verdana"/>
          <w:sz w:val="20"/>
          <w:szCs w:val="20"/>
          <w:lang w:val="en-US"/>
        </w:rPr>
        <w:t xml:space="preserve"> </w:t>
      </w:r>
      <w:r w:rsidRPr="00D869E3">
        <w:rPr>
          <w:rFonts w:ascii="Verdana" w:hAnsi="Verdana"/>
          <w:sz w:val="20"/>
          <w:szCs w:val="20"/>
          <w:lang w:val="en-US"/>
        </w:rPr>
        <w:t>was to denounce alleged irregularities; in other words, to provide information on a situation that, in his opinion, violated the interests he represented,</w:t>
      </w:r>
      <w:r w:rsidR="007A21DE" w:rsidRPr="00D869E3">
        <w:rPr>
          <w:rFonts w:ascii="Verdana" w:hAnsi="Verdana"/>
          <w:sz w:val="20"/>
          <w:szCs w:val="20"/>
          <w:vertAlign w:val="superscript"/>
          <w:lang w:val="en-US"/>
        </w:rPr>
        <w:footnoteReference w:id="155"/>
      </w:r>
      <w:r w:rsidRPr="00D869E3">
        <w:rPr>
          <w:rFonts w:ascii="Verdana" w:hAnsi="Verdana"/>
          <w:sz w:val="20"/>
          <w:szCs w:val="20"/>
          <w:lang w:val="en-US"/>
        </w:rPr>
        <w:t xml:space="preserve"> accompanied perhaps by critical comments and opinions.</w:t>
      </w:r>
      <w:r w:rsidR="007A21DE" w:rsidRPr="00D869E3">
        <w:rPr>
          <w:rFonts w:ascii="Verdana" w:hAnsi="Verdana"/>
          <w:sz w:val="20"/>
          <w:szCs w:val="20"/>
          <w:lang w:val="en-US"/>
        </w:rPr>
        <w:t xml:space="preserve"> </w:t>
      </w:r>
      <w:r w:rsidRPr="00D869E3">
        <w:rPr>
          <w:rFonts w:ascii="Verdana" w:hAnsi="Verdana"/>
          <w:sz w:val="20"/>
          <w:szCs w:val="20"/>
          <w:lang w:val="en-US"/>
        </w:rPr>
        <w:t>Conversely, the content of th</w:t>
      </w:r>
      <w:r w:rsidR="00270810" w:rsidRPr="00D869E3">
        <w:rPr>
          <w:rFonts w:ascii="Verdana" w:hAnsi="Verdana"/>
          <w:sz w:val="20"/>
          <w:szCs w:val="20"/>
          <w:lang w:val="en-US"/>
        </w:rPr>
        <w:t>o</w:t>
      </w:r>
      <w:r w:rsidRPr="00D869E3">
        <w:rPr>
          <w:rFonts w:ascii="Verdana" w:hAnsi="Verdana"/>
          <w:sz w:val="20"/>
          <w:szCs w:val="20"/>
          <w:lang w:val="en-US"/>
        </w:rPr>
        <w:t>se statements in this context does not reveal that they had an evident offensive, defamatory, degrading or malicious intent against anyone in particular or that they were aimed at harming the company’s product</w:t>
      </w:r>
      <w:r w:rsidR="00FF5791" w:rsidRPr="00D869E3">
        <w:rPr>
          <w:rFonts w:ascii="Verdana" w:hAnsi="Verdana"/>
          <w:sz w:val="20"/>
          <w:szCs w:val="20"/>
          <w:lang w:val="en-US"/>
        </w:rPr>
        <w:t xml:space="preserve"> (</w:t>
      </w:r>
      <w:r w:rsidR="00224537" w:rsidRPr="00D869E3">
        <w:rPr>
          <w:rFonts w:ascii="Verdana" w:hAnsi="Verdana"/>
          <w:i/>
          <w:sz w:val="20"/>
          <w:szCs w:val="20"/>
          <w:lang w:val="en-US"/>
        </w:rPr>
        <w:t>supra</w:t>
      </w:r>
      <w:r w:rsidR="00FF5791" w:rsidRPr="00D869E3">
        <w:rPr>
          <w:rFonts w:ascii="Verdana" w:hAnsi="Verdana"/>
          <w:sz w:val="20"/>
          <w:szCs w:val="20"/>
          <w:lang w:val="en-US"/>
        </w:rPr>
        <w:t xml:space="preserve"> </w:t>
      </w:r>
      <w:r w:rsidR="0087339F" w:rsidRPr="00D869E3">
        <w:rPr>
          <w:rFonts w:ascii="Verdana" w:hAnsi="Verdana"/>
          <w:sz w:val="20"/>
          <w:szCs w:val="20"/>
          <w:lang w:val="en-US"/>
        </w:rPr>
        <w:t>para.</w:t>
      </w:r>
      <w:r w:rsidR="00CA4720" w:rsidRPr="00D869E3">
        <w:rPr>
          <w:rFonts w:ascii="Verdana" w:hAnsi="Verdana"/>
          <w:sz w:val="20"/>
          <w:szCs w:val="20"/>
          <w:lang w:val="en-US"/>
        </w:rPr>
        <w:t xml:space="preserve"> 11</w:t>
      </w:r>
      <w:r w:rsidR="000023EA" w:rsidRPr="00D869E3">
        <w:rPr>
          <w:rFonts w:ascii="Verdana" w:hAnsi="Verdana"/>
          <w:sz w:val="20"/>
          <w:szCs w:val="20"/>
          <w:lang w:val="en-US"/>
        </w:rPr>
        <w:t>2</w:t>
      </w:r>
      <w:r w:rsidR="00FF5791" w:rsidRPr="00D869E3">
        <w:rPr>
          <w:rFonts w:ascii="Verdana" w:hAnsi="Verdana"/>
          <w:sz w:val="20"/>
          <w:szCs w:val="20"/>
          <w:lang w:val="en-US"/>
        </w:rPr>
        <w:t>).</w:t>
      </w:r>
      <w:r w:rsidRPr="00D869E3">
        <w:rPr>
          <w:rFonts w:ascii="Verdana" w:hAnsi="Verdana"/>
          <w:sz w:val="20"/>
          <w:szCs w:val="20"/>
          <w:lang w:val="en-US"/>
        </w:rPr>
        <w:t xml:space="preserve"> Although the publication contained bombastic phrases concerning the situation denounced, th</w:t>
      </w:r>
      <w:r w:rsidR="00464BB4" w:rsidRPr="00D869E3">
        <w:rPr>
          <w:rFonts w:ascii="Verdana" w:hAnsi="Verdana"/>
          <w:sz w:val="20"/>
          <w:szCs w:val="20"/>
          <w:lang w:val="en-US"/>
        </w:rPr>
        <w:t>eir content did not exceed the threshold of special protection for the nature of the complaints made i</w:t>
      </w:r>
      <w:r w:rsidR="00225A4A" w:rsidRPr="00D869E3">
        <w:rPr>
          <w:rFonts w:ascii="Verdana" w:hAnsi="Verdana"/>
          <w:sz w:val="20"/>
          <w:szCs w:val="20"/>
          <w:lang w:val="en-US"/>
        </w:rPr>
        <w:t>n</w:t>
      </w:r>
      <w:r w:rsidR="00464BB4" w:rsidRPr="00D869E3">
        <w:rPr>
          <w:rFonts w:ascii="Verdana" w:hAnsi="Verdana"/>
          <w:sz w:val="20"/>
          <w:szCs w:val="20"/>
          <w:lang w:val="en-US"/>
        </w:rPr>
        <w:t xml:space="preserve"> the said context.</w:t>
      </w:r>
      <w:r w:rsidR="009B6CB7" w:rsidRPr="00D869E3">
        <w:rPr>
          <w:rFonts w:ascii="Verdana" w:hAnsi="Verdana"/>
          <w:sz w:val="20"/>
          <w:szCs w:val="20"/>
          <w:vertAlign w:val="superscript"/>
          <w:lang w:val="en-US"/>
        </w:rPr>
        <w:footnoteReference w:id="156"/>
      </w:r>
    </w:p>
    <w:p w14:paraId="57C95F0E" w14:textId="77777777" w:rsidR="00C92868" w:rsidRPr="00D869E3" w:rsidRDefault="00C92868" w:rsidP="005D0F69">
      <w:pPr>
        <w:contextualSpacing/>
        <w:rPr>
          <w:rFonts w:ascii="Verdana" w:hAnsi="Verdana"/>
          <w:sz w:val="20"/>
          <w:szCs w:val="20"/>
          <w:lang w:val="en-US"/>
        </w:rPr>
      </w:pPr>
    </w:p>
    <w:p w14:paraId="7502E8BE" w14:textId="42F3EA9C" w:rsidR="00C01305" w:rsidRPr="00D869E3" w:rsidRDefault="00897912" w:rsidP="005B3D37">
      <w:pPr>
        <w:pStyle w:val="Ttulo3"/>
        <w:ind w:left="360"/>
        <w:rPr>
          <w:i/>
          <w:lang w:val="en-US"/>
        </w:rPr>
      </w:pPr>
      <w:bookmarkStart w:id="47" w:name="_Toc29114135"/>
      <w:r w:rsidRPr="00D869E3">
        <w:rPr>
          <w:i/>
          <w:lang w:val="en-US"/>
        </w:rPr>
        <w:t xml:space="preserve">1.2.2. </w:t>
      </w:r>
      <w:r w:rsidR="00840D15" w:rsidRPr="00D869E3">
        <w:rPr>
          <w:i/>
          <w:lang w:val="en-US"/>
        </w:rPr>
        <w:t>Legality and purpose</w:t>
      </w:r>
      <w:bookmarkEnd w:id="47"/>
    </w:p>
    <w:p w14:paraId="0BA7B371" w14:textId="42263B6F" w:rsidR="00C01305" w:rsidRPr="00D869E3" w:rsidRDefault="00C01305" w:rsidP="00C01305">
      <w:pPr>
        <w:ind w:left="1440"/>
        <w:contextualSpacing/>
        <w:rPr>
          <w:rFonts w:ascii="Verdana" w:hAnsi="Verdana"/>
          <w:sz w:val="20"/>
          <w:szCs w:val="20"/>
          <w:lang w:val="en-US"/>
        </w:rPr>
      </w:pPr>
    </w:p>
    <w:p w14:paraId="450851B1" w14:textId="05678A62" w:rsidR="00C464D5" w:rsidRPr="00D869E3" w:rsidRDefault="00840D15" w:rsidP="003F1022">
      <w:pPr>
        <w:pStyle w:val="Prrafodelista"/>
        <w:numPr>
          <w:ilvl w:val="0"/>
          <w:numId w:val="1"/>
        </w:numPr>
        <w:ind w:left="0" w:firstLine="0"/>
        <w:jc w:val="both"/>
        <w:rPr>
          <w:rFonts w:ascii="Verdana" w:hAnsi="Verdana"/>
          <w:b/>
          <w:sz w:val="20"/>
          <w:szCs w:val="20"/>
          <w:lang w:val="en-US"/>
        </w:rPr>
      </w:pPr>
      <w:r w:rsidRPr="00D869E3">
        <w:rPr>
          <w:rFonts w:ascii="Verdana" w:hAnsi="Verdana"/>
          <w:sz w:val="20"/>
          <w:szCs w:val="20"/>
          <w:lang w:val="en-US"/>
        </w:rPr>
        <w:t>According to</w:t>
      </w:r>
      <w:r w:rsidR="00EF57BA" w:rsidRPr="00D869E3">
        <w:rPr>
          <w:rFonts w:ascii="Verdana" w:hAnsi="Verdana"/>
          <w:sz w:val="20"/>
          <w:szCs w:val="20"/>
          <w:lang w:val="en-US"/>
        </w:rPr>
        <w:t xml:space="preserve"> </w:t>
      </w:r>
      <w:r w:rsidR="00447C65" w:rsidRPr="00D869E3">
        <w:rPr>
          <w:rFonts w:ascii="Verdana" w:hAnsi="Verdana"/>
          <w:sz w:val="20"/>
          <w:szCs w:val="20"/>
          <w:lang w:val="en-US"/>
        </w:rPr>
        <w:t>Article</w:t>
      </w:r>
      <w:r w:rsidR="00EF57BA" w:rsidRPr="00D869E3">
        <w:rPr>
          <w:rFonts w:ascii="Verdana" w:hAnsi="Verdana"/>
          <w:sz w:val="20"/>
          <w:szCs w:val="20"/>
          <w:lang w:val="en-US"/>
        </w:rPr>
        <w:t xml:space="preserve"> </w:t>
      </w:r>
      <w:r w:rsidR="00966115" w:rsidRPr="00D869E3">
        <w:rPr>
          <w:rFonts w:ascii="Verdana" w:hAnsi="Verdana"/>
          <w:sz w:val="20"/>
          <w:szCs w:val="20"/>
          <w:lang w:val="en-US"/>
        </w:rPr>
        <w:t>13(2)</w:t>
      </w:r>
      <w:r w:rsidR="00EF57BA" w:rsidRPr="00D869E3">
        <w:rPr>
          <w:rFonts w:ascii="Verdana" w:hAnsi="Verdana"/>
          <w:sz w:val="20"/>
          <w:szCs w:val="20"/>
          <w:lang w:val="en-US"/>
        </w:rPr>
        <w:t xml:space="preserve">, </w:t>
      </w:r>
      <w:r w:rsidR="003F1022" w:rsidRPr="00D869E3">
        <w:rPr>
          <w:rFonts w:ascii="Verdana" w:hAnsi="Verdana"/>
          <w:sz w:val="20"/>
          <w:szCs w:val="20"/>
          <w:lang w:val="en-US"/>
        </w:rPr>
        <w:t>to evaluate whether a restriction of a right established in the American Convention is permitted in light of this treaty it is necessary to analyze whether the restrictive measure complies with the requirement of legality. This means that the general circumstances and conditions that authorize restrictions of a human right must be clearly established by law, in both the formal and the substantial sense.</w:t>
      </w:r>
      <w:r w:rsidR="00FF1171" w:rsidRPr="00D869E3">
        <w:rPr>
          <w:rStyle w:val="Refdenotaalpie"/>
          <w:szCs w:val="20"/>
          <w:lang w:val="en-US"/>
        </w:rPr>
        <w:footnoteReference w:id="157"/>
      </w:r>
      <w:r w:rsidR="00FF1171" w:rsidRPr="00D869E3">
        <w:rPr>
          <w:rFonts w:ascii="Verdana" w:hAnsi="Verdana"/>
          <w:sz w:val="20"/>
          <w:szCs w:val="20"/>
          <w:lang w:val="en-US"/>
        </w:rPr>
        <w:t xml:space="preserve"> </w:t>
      </w:r>
    </w:p>
    <w:p w14:paraId="3FAF4880" w14:textId="77777777" w:rsidR="00C464D5" w:rsidRPr="00D869E3" w:rsidRDefault="00C464D5" w:rsidP="00CB5A95">
      <w:pPr>
        <w:pStyle w:val="Prrafodelista"/>
        <w:ind w:left="0"/>
        <w:jc w:val="both"/>
        <w:rPr>
          <w:rFonts w:ascii="Verdana" w:hAnsi="Verdana"/>
          <w:b/>
          <w:sz w:val="20"/>
          <w:szCs w:val="20"/>
          <w:lang w:val="en-US"/>
        </w:rPr>
      </w:pPr>
    </w:p>
    <w:p w14:paraId="499BF4FD" w14:textId="52164D4E" w:rsidR="00620DC9" w:rsidRPr="00D869E3" w:rsidRDefault="003F1022" w:rsidP="003F1022">
      <w:pPr>
        <w:pStyle w:val="Prrafodelista"/>
        <w:numPr>
          <w:ilvl w:val="0"/>
          <w:numId w:val="1"/>
        </w:numPr>
        <w:ind w:left="0" w:firstLine="0"/>
        <w:jc w:val="both"/>
        <w:rPr>
          <w:rFonts w:ascii="Verdana" w:hAnsi="Verdana"/>
          <w:b/>
          <w:sz w:val="20"/>
          <w:szCs w:val="20"/>
          <w:lang w:val="en-US"/>
        </w:rPr>
      </w:pPr>
      <w:r w:rsidRPr="00D869E3">
        <w:rPr>
          <w:rFonts w:ascii="Verdana" w:hAnsi="Verdana"/>
          <w:sz w:val="20"/>
          <w:lang w:val="en-US"/>
        </w:rPr>
        <w:t xml:space="preserve">Regarding </w:t>
      </w:r>
      <w:r w:rsidR="00620DC9" w:rsidRPr="00D869E3">
        <w:rPr>
          <w:rFonts w:ascii="Verdana" w:hAnsi="Verdana"/>
          <w:sz w:val="20"/>
          <w:lang w:val="en-US"/>
        </w:rPr>
        <w:t>restrictions of a criminal nature</w:t>
      </w:r>
      <w:r w:rsidRPr="00D869E3">
        <w:rPr>
          <w:rFonts w:ascii="Verdana" w:hAnsi="Verdana"/>
          <w:sz w:val="20"/>
          <w:lang w:val="en-US"/>
        </w:rPr>
        <w:t xml:space="preserve">, the Court has established that it is necessary to abide strictly by the requirements </w:t>
      </w:r>
      <w:r w:rsidR="003E4AF2" w:rsidRPr="00D869E3">
        <w:rPr>
          <w:rFonts w:ascii="Verdana" w:hAnsi="Verdana"/>
          <w:sz w:val="20"/>
          <w:lang w:val="en-US"/>
        </w:rPr>
        <w:t xml:space="preserve">that are </w:t>
      </w:r>
      <w:r w:rsidRPr="00D869E3">
        <w:rPr>
          <w:rFonts w:ascii="Verdana" w:hAnsi="Verdana"/>
          <w:sz w:val="20"/>
          <w:lang w:val="en-US"/>
        </w:rPr>
        <w:t>characteristic of the definition of the crime in order to comply with the principle of legality.</w:t>
      </w:r>
      <w:r w:rsidR="00FF1171" w:rsidRPr="00D869E3">
        <w:rPr>
          <w:rFonts w:ascii="Verdana" w:hAnsi="Verdana"/>
          <w:sz w:val="20"/>
          <w:szCs w:val="20"/>
          <w:vertAlign w:val="superscript"/>
          <w:lang w:val="en-US"/>
        </w:rPr>
        <w:footnoteReference w:id="158"/>
      </w:r>
      <w:r w:rsidR="00FF1171" w:rsidRPr="00D869E3">
        <w:rPr>
          <w:rFonts w:ascii="Verdana" w:hAnsi="Verdana"/>
          <w:sz w:val="20"/>
          <w:szCs w:val="20"/>
          <w:lang w:val="en-US"/>
        </w:rPr>
        <w:t xml:space="preserve"> </w:t>
      </w:r>
      <w:r w:rsidRPr="00D869E3">
        <w:rPr>
          <w:rFonts w:ascii="Verdana" w:hAnsi="Verdana"/>
          <w:sz w:val="20"/>
          <w:szCs w:val="20"/>
          <w:lang w:val="en-US"/>
        </w:rPr>
        <w:t xml:space="preserve">However, the Court notes that the law applied </w:t>
      </w:r>
      <w:r w:rsidR="003E4AF2" w:rsidRPr="00D869E3">
        <w:rPr>
          <w:rFonts w:ascii="Verdana" w:hAnsi="Verdana"/>
          <w:sz w:val="20"/>
          <w:szCs w:val="20"/>
          <w:lang w:val="en-US"/>
        </w:rPr>
        <w:t>to</w:t>
      </w:r>
      <w:r w:rsidRPr="00D869E3">
        <w:rPr>
          <w:rFonts w:ascii="Verdana" w:hAnsi="Verdana"/>
          <w:sz w:val="20"/>
          <w:szCs w:val="20"/>
          <w:lang w:val="en-US"/>
        </w:rPr>
        <w:t xml:space="preserve"> justif</w:t>
      </w:r>
      <w:r w:rsidR="003E4AF2" w:rsidRPr="00D869E3">
        <w:rPr>
          <w:rFonts w:ascii="Verdana" w:hAnsi="Verdana"/>
          <w:sz w:val="20"/>
          <w:szCs w:val="20"/>
          <w:lang w:val="en-US"/>
        </w:rPr>
        <w:t xml:space="preserve">y </w:t>
      </w:r>
      <w:r w:rsidRPr="00D869E3">
        <w:rPr>
          <w:rFonts w:ascii="Verdana" w:hAnsi="Verdana"/>
          <w:sz w:val="20"/>
          <w:szCs w:val="20"/>
          <w:lang w:val="en-US"/>
        </w:rPr>
        <w:t>Mr. Lagos del Campo</w:t>
      </w:r>
      <w:r w:rsidR="003E4AF2" w:rsidRPr="00D869E3">
        <w:rPr>
          <w:rFonts w:ascii="Verdana" w:hAnsi="Verdana"/>
          <w:sz w:val="20"/>
          <w:szCs w:val="20"/>
          <w:lang w:val="en-US"/>
        </w:rPr>
        <w:t>’s dismissal</w:t>
      </w:r>
      <w:r w:rsidRPr="00D869E3">
        <w:rPr>
          <w:rFonts w:ascii="Verdana" w:hAnsi="Verdana"/>
          <w:sz w:val="20"/>
          <w:szCs w:val="20"/>
          <w:lang w:val="en-US"/>
        </w:rPr>
        <w:t xml:space="preserve"> was not of a criminal nature, but rather a labor law</w:t>
      </w:r>
      <w:r w:rsidR="003E4AF2" w:rsidRPr="00D869E3">
        <w:rPr>
          <w:rFonts w:ascii="Verdana" w:hAnsi="Verdana"/>
          <w:sz w:val="20"/>
          <w:szCs w:val="20"/>
          <w:lang w:val="en-US"/>
        </w:rPr>
        <w:t>.</w:t>
      </w:r>
      <w:r w:rsidRPr="00D869E3">
        <w:rPr>
          <w:rFonts w:ascii="Verdana" w:hAnsi="Verdana"/>
          <w:sz w:val="20"/>
          <w:szCs w:val="20"/>
          <w:lang w:val="en-US"/>
        </w:rPr>
        <w:t xml:space="preserve"> </w:t>
      </w:r>
      <w:r w:rsidR="003E4AF2" w:rsidRPr="00D869E3">
        <w:rPr>
          <w:rFonts w:ascii="Verdana" w:hAnsi="Verdana"/>
          <w:sz w:val="20"/>
          <w:szCs w:val="20"/>
          <w:lang w:val="en-US"/>
        </w:rPr>
        <w:t>T</w:t>
      </w:r>
      <w:r w:rsidRPr="00D869E3">
        <w:rPr>
          <w:rFonts w:ascii="Verdana" w:hAnsi="Verdana"/>
          <w:sz w:val="20"/>
          <w:szCs w:val="20"/>
          <w:lang w:val="en-US"/>
        </w:rPr>
        <w:t xml:space="preserve">herefore, it considers that compliance with the requirement of legality </w:t>
      </w:r>
      <w:r w:rsidR="003E4AF2" w:rsidRPr="00D869E3">
        <w:rPr>
          <w:rFonts w:ascii="Verdana" w:hAnsi="Verdana"/>
          <w:sz w:val="20"/>
          <w:szCs w:val="20"/>
          <w:lang w:val="en-US"/>
        </w:rPr>
        <w:t>does not require the same</w:t>
      </w:r>
      <w:r w:rsidRPr="00D869E3">
        <w:rPr>
          <w:rFonts w:ascii="Verdana" w:hAnsi="Verdana"/>
          <w:sz w:val="20"/>
          <w:szCs w:val="20"/>
          <w:lang w:val="en-US"/>
        </w:rPr>
        <w:t xml:space="preserve"> evaluation </w:t>
      </w:r>
      <w:r w:rsidR="003E4AF2" w:rsidRPr="00D869E3">
        <w:rPr>
          <w:rFonts w:ascii="Verdana" w:hAnsi="Verdana"/>
          <w:sz w:val="20"/>
          <w:szCs w:val="20"/>
          <w:lang w:val="en-US"/>
        </w:rPr>
        <w:t>as</w:t>
      </w:r>
      <w:r w:rsidRPr="00D869E3">
        <w:rPr>
          <w:rFonts w:ascii="Verdana" w:hAnsi="Verdana"/>
          <w:sz w:val="20"/>
          <w:szCs w:val="20"/>
          <w:lang w:val="en-US"/>
        </w:rPr>
        <w:t xml:space="preserve"> that made in cases that involve the </w:t>
      </w:r>
      <w:r w:rsidR="003E4AF2" w:rsidRPr="00D869E3">
        <w:rPr>
          <w:rFonts w:ascii="Verdana" w:hAnsi="Verdana"/>
          <w:sz w:val="20"/>
          <w:szCs w:val="20"/>
          <w:lang w:val="en-US"/>
        </w:rPr>
        <w:t>violation</w:t>
      </w:r>
      <w:r w:rsidRPr="00D869E3">
        <w:rPr>
          <w:rFonts w:ascii="Verdana" w:hAnsi="Verdana"/>
          <w:sz w:val="20"/>
          <w:szCs w:val="20"/>
          <w:lang w:val="en-US"/>
        </w:rPr>
        <w:t xml:space="preserve"> of rights protected by criminal law</w:t>
      </w:r>
      <w:r w:rsidR="003E4AF2" w:rsidRPr="00D869E3">
        <w:rPr>
          <w:rFonts w:ascii="Verdana" w:hAnsi="Verdana"/>
          <w:sz w:val="20"/>
          <w:szCs w:val="20"/>
          <w:lang w:val="en-US"/>
        </w:rPr>
        <w:t xml:space="preserve"> </w:t>
      </w:r>
      <w:r w:rsidR="00620DC9" w:rsidRPr="00D869E3">
        <w:rPr>
          <w:rFonts w:ascii="Verdana" w:hAnsi="Verdana"/>
          <w:sz w:val="20"/>
          <w:szCs w:val="20"/>
          <w:lang w:val="en-US"/>
        </w:rPr>
        <w:t>because, as th</w:t>
      </w:r>
      <w:r w:rsidR="003E4AF2" w:rsidRPr="00D869E3">
        <w:rPr>
          <w:rFonts w:ascii="Verdana" w:hAnsi="Verdana"/>
          <w:sz w:val="20"/>
          <w:szCs w:val="20"/>
          <w:lang w:val="en-US"/>
        </w:rPr>
        <w:t>e</w:t>
      </w:r>
      <w:r w:rsidR="00620DC9" w:rsidRPr="00D869E3">
        <w:rPr>
          <w:rFonts w:ascii="Verdana" w:hAnsi="Verdana"/>
          <w:sz w:val="20"/>
          <w:szCs w:val="20"/>
          <w:lang w:val="en-US"/>
        </w:rPr>
        <w:t xml:space="preserve"> Court has indicated when evaluating compliance with the requirement of legality in cases that do not involve criminal matters, “the degree of precision required of domestic legislation depends significantly on the subject matter.</w:t>
      </w:r>
      <w:r w:rsidR="006436CA" w:rsidRPr="00D869E3">
        <w:rPr>
          <w:rFonts w:ascii="Verdana" w:hAnsi="Verdana"/>
          <w:sz w:val="20"/>
          <w:szCs w:val="20"/>
          <w:lang w:val="en-US"/>
        </w:rPr>
        <w:t>”</w:t>
      </w:r>
      <w:r w:rsidR="00FF1171" w:rsidRPr="00D869E3">
        <w:rPr>
          <w:rFonts w:ascii="Verdana" w:hAnsi="Verdana"/>
          <w:sz w:val="20"/>
          <w:szCs w:val="20"/>
          <w:vertAlign w:val="superscript"/>
          <w:lang w:val="en-US"/>
        </w:rPr>
        <w:footnoteReference w:id="159"/>
      </w:r>
      <w:r w:rsidR="00620DC9" w:rsidRPr="00D869E3">
        <w:rPr>
          <w:rFonts w:ascii="Verdana" w:hAnsi="Verdana"/>
          <w:sz w:val="20"/>
          <w:szCs w:val="20"/>
          <w:lang w:val="en-US"/>
        </w:rPr>
        <w:t xml:space="preserve"> Thus, the same degree of precision cannot be required for all legal norms that establish restrictions of a right protected by the Convention because:</w:t>
      </w:r>
    </w:p>
    <w:p w14:paraId="5F4FB881" w14:textId="77777777" w:rsidR="00FF1171" w:rsidRPr="00D869E3" w:rsidRDefault="00FF1171" w:rsidP="00FF1171">
      <w:pPr>
        <w:contextualSpacing/>
        <w:jc w:val="both"/>
        <w:rPr>
          <w:rFonts w:ascii="Verdana" w:hAnsi="Verdana"/>
          <w:b/>
          <w:sz w:val="20"/>
          <w:szCs w:val="20"/>
          <w:lang w:val="en-US"/>
        </w:rPr>
      </w:pPr>
    </w:p>
    <w:p w14:paraId="4E030920" w14:textId="27D587C4" w:rsidR="00FF1171" w:rsidRPr="00D869E3" w:rsidRDefault="00FF1171" w:rsidP="00225A4A">
      <w:pPr>
        <w:ind w:left="720" w:right="566"/>
        <w:jc w:val="both"/>
        <w:rPr>
          <w:rFonts w:ascii="Verdana" w:hAnsi="Verdana" w:cs="Arial"/>
          <w:sz w:val="18"/>
          <w:szCs w:val="18"/>
          <w:lang w:val="en-US"/>
        </w:rPr>
      </w:pPr>
      <w:r w:rsidRPr="00D869E3">
        <w:rPr>
          <w:rFonts w:ascii="Verdana" w:hAnsi="Verdana"/>
          <w:sz w:val="20"/>
          <w:szCs w:val="20"/>
          <w:lang w:val="en-US"/>
        </w:rPr>
        <w:t>[</w:t>
      </w:r>
      <w:r w:rsidR="00620DC9" w:rsidRPr="00D869E3">
        <w:rPr>
          <w:rFonts w:ascii="Verdana" w:hAnsi="Verdana"/>
          <w:sz w:val="18"/>
          <w:szCs w:val="20"/>
          <w:lang w:val="en-US"/>
        </w:rPr>
        <w:t>T</w:t>
      </w:r>
      <w:r w:rsidRPr="00D869E3">
        <w:rPr>
          <w:rFonts w:ascii="Verdana" w:hAnsi="Verdana"/>
          <w:sz w:val="18"/>
          <w:szCs w:val="20"/>
          <w:lang w:val="en-US"/>
        </w:rPr>
        <w:t>]</w:t>
      </w:r>
      <w:r w:rsidR="00620DC9" w:rsidRPr="00D869E3">
        <w:rPr>
          <w:rFonts w:ascii="Verdana" w:hAnsi="Verdana" w:cs="Arial"/>
          <w:sz w:val="18"/>
          <w:szCs w:val="18"/>
          <w:lang w:val="en-US"/>
        </w:rPr>
        <w:t xml:space="preserve">he law must be formulated with sufficient precision to enable people to regulate their conduct so as to be able to predict </w:t>
      </w:r>
      <w:r w:rsidR="00225A4A" w:rsidRPr="00D869E3">
        <w:rPr>
          <w:rFonts w:ascii="Verdana" w:hAnsi="Verdana" w:cs="Arial"/>
          <w:sz w:val="18"/>
          <w:szCs w:val="18"/>
          <w:lang w:val="en-US"/>
        </w:rPr>
        <w:t>the consequences that a given action may entail to</w:t>
      </w:r>
      <w:r w:rsidR="00620DC9" w:rsidRPr="00D869E3">
        <w:rPr>
          <w:rFonts w:ascii="Verdana" w:hAnsi="Verdana" w:cs="Arial"/>
          <w:sz w:val="18"/>
          <w:szCs w:val="18"/>
          <w:lang w:val="en-US"/>
        </w:rPr>
        <w:t xml:space="preserve"> a degree that is reasonable under the circumstances. As has been noted, while the certainty of the law is highly desirable, it may bring with it excessive rigidity. On the other hand, the law must be able to remain in force despite changing circumstances. Consequently, many laws are formulated in terms, that to a greater or lesser extent, are vague and whose interpretation and application are questions of practice.</w:t>
      </w:r>
      <w:r w:rsidRPr="00D869E3">
        <w:rPr>
          <w:rFonts w:ascii="Verdana" w:hAnsi="Verdana"/>
          <w:sz w:val="18"/>
          <w:szCs w:val="20"/>
          <w:vertAlign w:val="superscript"/>
          <w:lang w:val="en-US"/>
        </w:rPr>
        <w:footnoteReference w:id="160"/>
      </w:r>
    </w:p>
    <w:p w14:paraId="4A185EFF" w14:textId="77777777" w:rsidR="003E4AF2" w:rsidRPr="00D869E3" w:rsidRDefault="003E4AF2" w:rsidP="003E4AF2">
      <w:pPr>
        <w:ind w:left="720" w:right="714"/>
        <w:jc w:val="both"/>
        <w:rPr>
          <w:rFonts w:ascii="Verdana" w:hAnsi="Verdana"/>
          <w:sz w:val="18"/>
          <w:szCs w:val="20"/>
          <w:lang w:val="en-US"/>
        </w:rPr>
      </w:pPr>
    </w:p>
    <w:p w14:paraId="4290F8D4" w14:textId="68BA9FFE" w:rsidR="003E4AF2" w:rsidRPr="00D869E3" w:rsidRDefault="003E4AF2"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In addition,</w:t>
      </w:r>
      <w:r w:rsidR="00D74FDD" w:rsidRPr="00D869E3">
        <w:rPr>
          <w:rFonts w:ascii="Verdana" w:hAnsi="Verdana"/>
          <w:sz w:val="20"/>
          <w:szCs w:val="20"/>
          <w:lang w:val="en-US"/>
        </w:rPr>
        <w:t xml:space="preserve"> </w:t>
      </w:r>
      <w:r w:rsidR="00447C65" w:rsidRPr="00D869E3">
        <w:rPr>
          <w:rFonts w:ascii="Verdana" w:hAnsi="Verdana"/>
          <w:sz w:val="20"/>
          <w:szCs w:val="20"/>
          <w:lang w:val="en-US"/>
        </w:rPr>
        <w:t>the Court</w:t>
      </w:r>
      <w:r w:rsidRPr="00D869E3">
        <w:rPr>
          <w:rFonts w:ascii="Verdana" w:hAnsi="Verdana"/>
          <w:sz w:val="20"/>
          <w:szCs w:val="20"/>
          <w:lang w:val="en-US"/>
        </w:rPr>
        <w:t xml:space="preserve"> notes that the </w:t>
      </w:r>
      <w:r w:rsidR="00225A4A" w:rsidRPr="00D869E3">
        <w:rPr>
          <w:rFonts w:ascii="Verdana" w:hAnsi="Verdana"/>
          <w:sz w:val="20"/>
          <w:szCs w:val="20"/>
          <w:lang w:val="en-US"/>
        </w:rPr>
        <w:t>law</w:t>
      </w:r>
      <w:r w:rsidRPr="00D869E3">
        <w:rPr>
          <w:rFonts w:ascii="Verdana" w:hAnsi="Verdana"/>
          <w:sz w:val="20"/>
          <w:szCs w:val="20"/>
          <w:lang w:val="en-US"/>
        </w:rPr>
        <w:t xml:space="preserve"> examined was designed to protect a legitimate purpose that was compatible with </w:t>
      </w:r>
      <w:r w:rsidR="00447C65" w:rsidRPr="00D869E3">
        <w:rPr>
          <w:rFonts w:ascii="Verdana" w:hAnsi="Verdana"/>
          <w:sz w:val="20"/>
          <w:szCs w:val="20"/>
          <w:lang w:val="en-US"/>
        </w:rPr>
        <w:t>the Convention</w:t>
      </w:r>
      <w:r w:rsidR="00D74FDD" w:rsidRPr="00D869E3">
        <w:rPr>
          <w:rFonts w:ascii="Verdana" w:hAnsi="Verdana"/>
          <w:sz w:val="20"/>
          <w:szCs w:val="20"/>
          <w:lang w:val="en-US"/>
        </w:rPr>
        <w:t xml:space="preserve">, </w:t>
      </w:r>
      <w:r w:rsidRPr="00D869E3">
        <w:rPr>
          <w:rFonts w:ascii="Verdana" w:hAnsi="Verdana"/>
          <w:sz w:val="20"/>
          <w:szCs w:val="20"/>
          <w:lang w:val="en-US"/>
        </w:rPr>
        <w:t xml:space="preserve">which is the protection of the honor and dignity of the employers and other workers in company or in the workplace. </w:t>
      </w:r>
      <w:r w:rsidR="00075E68" w:rsidRPr="00D869E3">
        <w:rPr>
          <w:rFonts w:ascii="Verdana" w:hAnsi="Verdana"/>
          <w:sz w:val="20"/>
          <w:szCs w:val="20"/>
          <w:lang w:val="en-US"/>
        </w:rPr>
        <w:t>In this regard</w:t>
      </w:r>
      <w:r w:rsidR="00D74FDD" w:rsidRPr="00D869E3">
        <w:rPr>
          <w:rFonts w:ascii="Verdana" w:hAnsi="Verdana"/>
          <w:sz w:val="20"/>
          <w:szCs w:val="20"/>
          <w:lang w:val="en-US"/>
        </w:rPr>
        <w:t xml:space="preserve">, </w:t>
      </w:r>
      <w:r w:rsidRPr="00D869E3">
        <w:rPr>
          <w:rFonts w:ascii="Verdana" w:hAnsi="Verdana"/>
          <w:sz w:val="20"/>
          <w:szCs w:val="20"/>
          <w:lang w:val="en-US"/>
        </w:rPr>
        <w:t xml:space="preserve">the Court considers that the fact that paragraph (h) </w:t>
      </w:r>
      <w:r w:rsidR="00687684" w:rsidRPr="00D869E3">
        <w:rPr>
          <w:rFonts w:ascii="Verdana" w:hAnsi="Verdana"/>
          <w:sz w:val="20"/>
          <w:szCs w:val="20"/>
          <w:lang w:val="en-US"/>
        </w:rPr>
        <w:t xml:space="preserve">of </w:t>
      </w:r>
      <w:r w:rsidRPr="00D869E3">
        <w:rPr>
          <w:rFonts w:ascii="Verdana" w:hAnsi="Verdana"/>
          <w:sz w:val="20"/>
          <w:szCs w:val="20"/>
          <w:lang w:val="en-US"/>
        </w:rPr>
        <w:t>a</w:t>
      </w:r>
      <w:r w:rsidR="00687684" w:rsidRPr="00D869E3">
        <w:rPr>
          <w:rFonts w:ascii="Verdana" w:hAnsi="Verdana"/>
          <w:sz w:val="20"/>
          <w:szCs w:val="20"/>
          <w:lang w:val="en-US"/>
        </w:rPr>
        <w:t>rticle</w:t>
      </w:r>
      <w:r w:rsidR="00D74FDD" w:rsidRPr="00D869E3">
        <w:rPr>
          <w:rFonts w:ascii="Verdana" w:hAnsi="Verdana"/>
          <w:sz w:val="20"/>
          <w:szCs w:val="20"/>
          <w:lang w:val="en-US"/>
        </w:rPr>
        <w:t xml:space="preserve"> 5 </w:t>
      </w:r>
      <w:r w:rsidRPr="00D869E3">
        <w:rPr>
          <w:rFonts w:ascii="Verdana" w:hAnsi="Verdana"/>
          <w:sz w:val="20"/>
          <w:szCs w:val="20"/>
          <w:lang w:val="en-US"/>
        </w:rPr>
        <w:t>of</w:t>
      </w:r>
      <w:r w:rsidR="00D74FDD" w:rsidRPr="00D869E3">
        <w:rPr>
          <w:rFonts w:ascii="Verdana" w:hAnsi="Verdana"/>
          <w:sz w:val="20"/>
          <w:szCs w:val="20"/>
          <w:lang w:val="en-US"/>
        </w:rPr>
        <w:t xml:space="preserve"> </w:t>
      </w:r>
      <w:r w:rsidR="00852CCA" w:rsidRPr="00D869E3">
        <w:rPr>
          <w:rFonts w:ascii="Verdana" w:hAnsi="Verdana"/>
          <w:sz w:val="20"/>
          <w:szCs w:val="20"/>
          <w:lang w:val="en-US"/>
        </w:rPr>
        <w:t>Law</w:t>
      </w:r>
      <w:r w:rsidR="00D74FDD" w:rsidRPr="00D869E3">
        <w:rPr>
          <w:rFonts w:ascii="Verdana" w:hAnsi="Verdana"/>
          <w:sz w:val="20"/>
          <w:szCs w:val="20"/>
          <w:lang w:val="en-US"/>
        </w:rPr>
        <w:t xml:space="preserve"> 24514 </w:t>
      </w:r>
      <w:r w:rsidRPr="00D869E3">
        <w:rPr>
          <w:rFonts w:ascii="Verdana" w:hAnsi="Verdana"/>
          <w:sz w:val="20"/>
          <w:szCs w:val="20"/>
          <w:lang w:val="en-US"/>
        </w:rPr>
        <w:t xml:space="preserve">does not expressly establish a delimitation of its application to protect statements of public interest, or those statements made by workers’ representatives in the exercise of their functions, is not </w:t>
      </w:r>
      <w:r w:rsidRPr="00D869E3">
        <w:rPr>
          <w:rFonts w:ascii="Verdana" w:hAnsi="Verdana"/>
          <w:i/>
          <w:iCs/>
          <w:sz w:val="20"/>
          <w:szCs w:val="20"/>
          <w:lang w:val="en-US"/>
        </w:rPr>
        <w:t>per se</w:t>
      </w:r>
      <w:r w:rsidRPr="00D869E3">
        <w:rPr>
          <w:rFonts w:ascii="Verdana" w:hAnsi="Verdana"/>
          <w:sz w:val="20"/>
          <w:szCs w:val="20"/>
          <w:lang w:val="en-US"/>
        </w:rPr>
        <w:t xml:space="preserve"> incompatible with the Convention. This is because the State is not obliged to make an exhaustive determination</w:t>
      </w:r>
      <w:r w:rsidR="00225A4A" w:rsidRPr="00D869E3">
        <w:rPr>
          <w:rFonts w:ascii="Verdana" w:hAnsi="Verdana"/>
          <w:sz w:val="20"/>
          <w:szCs w:val="20"/>
          <w:lang w:val="en-US"/>
        </w:rPr>
        <w:t xml:space="preserve"> in the law</w:t>
      </w:r>
      <w:r w:rsidRPr="00D869E3">
        <w:rPr>
          <w:rFonts w:ascii="Verdana" w:hAnsi="Verdana"/>
          <w:sz w:val="20"/>
          <w:szCs w:val="20"/>
          <w:lang w:val="en-US"/>
        </w:rPr>
        <w:t xml:space="preserve"> of which statements require special protection; rather, it will be the authorities responsible for its enforcement that must ensure the protection of other rights that are in play, in keeping with the legitimate purposes of the norm, by an adequate control of legality.</w:t>
      </w:r>
    </w:p>
    <w:p w14:paraId="343C0AE2" w14:textId="010D3BC8" w:rsidR="00FF1171" w:rsidRPr="00D869E3" w:rsidRDefault="00FF1171" w:rsidP="005D0F69">
      <w:pPr>
        <w:contextualSpacing/>
        <w:jc w:val="both"/>
        <w:rPr>
          <w:rFonts w:ascii="Verdana" w:hAnsi="Verdana"/>
          <w:b/>
          <w:sz w:val="20"/>
          <w:szCs w:val="20"/>
          <w:lang w:val="en-US"/>
        </w:rPr>
      </w:pPr>
    </w:p>
    <w:p w14:paraId="181D8924" w14:textId="2E9F38B7" w:rsidR="00D74FDD" w:rsidRPr="00D869E3" w:rsidRDefault="009E2BA6" w:rsidP="00303670">
      <w:pPr>
        <w:pStyle w:val="Prrafodelista"/>
        <w:numPr>
          <w:ilvl w:val="0"/>
          <w:numId w:val="1"/>
        </w:numPr>
        <w:ind w:left="0" w:firstLine="0"/>
        <w:jc w:val="both"/>
        <w:rPr>
          <w:rFonts w:ascii="Verdana" w:hAnsi="Verdana"/>
          <w:sz w:val="20"/>
          <w:lang w:val="en-US"/>
        </w:rPr>
      </w:pPr>
      <w:r w:rsidRPr="00D869E3">
        <w:rPr>
          <w:rFonts w:ascii="Verdana" w:hAnsi="Verdana"/>
          <w:sz w:val="20"/>
          <w:szCs w:val="20"/>
          <w:lang w:val="en-US"/>
        </w:rPr>
        <w:t>In this regard</w:t>
      </w:r>
      <w:r w:rsidR="00FF1171" w:rsidRPr="00D869E3">
        <w:rPr>
          <w:rFonts w:ascii="Verdana" w:hAnsi="Verdana"/>
          <w:sz w:val="20"/>
          <w:szCs w:val="20"/>
          <w:lang w:val="en-US"/>
        </w:rPr>
        <w:t xml:space="preserve">, </w:t>
      </w:r>
      <w:r w:rsidR="00447C65" w:rsidRPr="00D869E3">
        <w:rPr>
          <w:rFonts w:ascii="Verdana" w:hAnsi="Verdana"/>
          <w:sz w:val="20"/>
          <w:szCs w:val="20"/>
          <w:lang w:val="en-US"/>
        </w:rPr>
        <w:t>the Court</w:t>
      </w:r>
      <w:r w:rsidR="00FF1171" w:rsidRPr="00D869E3">
        <w:rPr>
          <w:rFonts w:ascii="Verdana" w:hAnsi="Verdana"/>
          <w:sz w:val="20"/>
          <w:szCs w:val="20"/>
          <w:lang w:val="en-US"/>
        </w:rPr>
        <w:t xml:space="preserve"> </w:t>
      </w:r>
      <w:r w:rsidR="00303670" w:rsidRPr="00D869E3">
        <w:rPr>
          <w:rFonts w:ascii="Verdana" w:hAnsi="Verdana"/>
          <w:sz w:val="20"/>
          <w:szCs w:val="20"/>
          <w:lang w:val="en-US"/>
        </w:rPr>
        <w:t>recalls that</w:t>
      </w:r>
      <w:r w:rsidR="00FF1171" w:rsidRPr="00D869E3">
        <w:rPr>
          <w:rFonts w:ascii="Verdana" w:hAnsi="Verdana"/>
          <w:sz w:val="20"/>
          <w:szCs w:val="20"/>
          <w:lang w:val="en-US"/>
        </w:rPr>
        <w:t xml:space="preserve">, </w:t>
      </w:r>
      <w:r w:rsidR="00303670" w:rsidRPr="00D869E3">
        <w:rPr>
          <w:rFonts w:ascii="Verdana" w:hAnsi="Verdana"/>
          <w:sz w:val="20"/>
          <w:szCs w:val="20"/>
          <w:lang w:val="en-US"/>
        </w:rPr>
        <w:t>under</w:t>
      </w:r>
      <w:r w:rsidR="00687684" w:rsidRPr="00D869E3">
        <w:rPr>
          <w:rFonts w:ascii="Verdana" w:hAnsi="Verdana"/>
          <w:sz w:val="20"/>
          <w:szCs w:val="20"/>
          <w:lang w:val="en-US"/>
        </w:rPr>
        <w:t xml:space="preserve"> Article</w:t>
      </w:r>
      <w:r w:rsidR="00FF1171" w:rsidRPr="00D869E3">
        <w:rPr>
          <w:rFonts w:ascii="Verdana" w:hAnsi="Verdana"/>
          <w:sz w:val="20"/>
          <w:szCs w:val="20"/>
          <w:lang w:val="en-US"/>
        </w:rPr>
        <w:t xml:space="preserve"> 2</w:t>
      </w:r>
      <w:r w:rsidR="00447C65" w:rsidRPr="00D869E3">
        <w:rPr>
          <w:rFonts w:ascii="Verdana" w:hAnsi="Verdana"/>
          <w:sz w:val="20"/>
          <w:szCs w:val="20"/>
          <w:lang w:val="en-US"/>
        </w:rPr>
        <w:t xml:space="preserve"> of the Convention</w:t>
      </w:r>
      <w:r w:rsidR="00FF1171" w:rsidRPr="00D869E3">
        <w:rPr>
          <w:rFonts w:ascii="Verdana" w:hAnsi="Verdana"/>
          <w:sz w:val="20"/>
          <w:szCs w:val="20"/>
          <w:lang w:val="en-US"/>
        </w:rPr>
        <w:t xml:space="preserve">, </w:t>
      </w:r>
      <w:r w:rsidR="00303670" w:rsidRPr="00D869E3">
        <w:rPr>
          <w:rFonts w:ascii="Verdana" w:hAnsi="Verdana"/>
          <w:sz w:val="20"/>
          <w:szCs w:val="20"/>
          <w:lang w:val="en-US"/>
        </w:rPr>
        <w:t xml:space="preserve">States have the obligation to implement actions leading to the effective observance of the rights protected by the Convention, because the existence of a law does not, in itself, ensure that it is enforced </w:t>
      </w:r>
      <w:r w:rsidR="00303670" w:rsidRPr="00D869E3">
        <w:rPr>
          <w:rFonts w:ascii="Verdana" w:hAnsi="Verdana"/>
          <w:sz w:val="20"/>
          <w:szCs w:val="20"/>
          <w:lang w:val="en-US"/>
        </w:rPr>
        <w:lastRenderedPageBreak/>
        <w:t>adequately. Thus, the Court has indicated that it is necessary that the application of laws or their interpretation, as jurisdictional practices and an expression of state public order, is adapted to the purpose sought by</w:t>
      </w:r>
      <w:r w:rsidR="00303670" w:rsidRPr="00D869E3">
        <w:rPr>
          <w:rFonts w:ascii="Verdana" w:hAnsi="Verdana"/>
          <w:sz w:val="20"/>
          <w:lang w:val="en-US"/>
        </w:rPr>
        <w:t xml:space="preserve"> </w:t>
      </w:r>
      <w:r w:rsidR="00447C65" w:rsidRPr="00D869E3">
        <w:rPr>
          <w:rFonts w:ascii="Verdana" w:hAnsi="Verdana"/>
          <w:sz w:val="20"/>
          <w:szCs w:val="20"/>
          <w:lang w:val="en-US"/>
        </w:rPr>
        <w:t>Article</w:t>
      </w:r>
      <w:r w:rsidR="00FF1171" w:rsidRPr="00D869E3">
        <w:rPr>
          <w:rFonts w:ascii="Verdana" w:hAnsi="Verdana"/>
          <w:sz w:val="20"/>
          <w:szCs w:val="20"/>
          <w:lang w:val="en-US"/>
        </w:rPr>
        <w:t xml:space="preserve"> 2</w:t>
      </w:r>
      <w:r w:rsidR="00447C65" w:rsidRPr="00D869E3">
        <w:rPr>
          <w:rFonts w:ascii="Verdana" w:hAnsi="Verdana"/>
          <w:sz w:val="20"/>
          <w:szCs w:val="20"/>
          <w:lang w:val="en-US"/>
        </w:rPr>
        <w:t xml:space="preserve"> of the Convention</w:t>
      </w:r>
      <w:r w:rsidR="00303670" w:rsidRPr="00D869E3">
        <w:rPr>
          <w:rFonts w:ascii="Verdana" w:hAnsi="Verdana"/>
          <w:sz w:val="20"/>
          <w:szCs w:val="20"/>
          <w:lang w:val="en-US"/>
        </w:rPr>
        <w:t>.</w:t>
      </w:r>
      <w:r w:rsidR="00FF1171" w:rsidRPr="00D869E3">
        <w:rPr>
          <w:rFonts w:ascii="Verdana" w:hAnsi="Verdana"/>
          <w:sz w:val="20"/>
          <w:szCs w:val="20"/>
          <w:vertAlign w:val="superscript"/>
          <w:lang w:val="en-US"/>
        </w:rPr>
        <w:footnoteReference w:id="161"/>
      </w:r>
      <w:r w:rsidR="00FF1171" w:rsidRPr="00D869E3">
        <w:rPr>
          <w:rFonts w:ascii="Verdana" w:hAnsi="Verdana"/>
          <w:sz w:val="20"/>
          <w:szCs w:val="20"/>
          <w:lang w:val="en-US"/>
        </w:rPr>
        <w:t xml:space="preserve"> </w:t>
      </w:r>
      <w:r w:rsidR="00303670" w:rsidRPr="00D869E3">
        <w:rPr>
          <w:rFonts w:ascii="Verdana" w:hAnsi="Verdana"/>
          <w:sz w:val="20"/>
          <w:szCs w:val="20"/>
          <w:lang w:val="en-US"/>
        </w:rPr>
        <w:t xml:space="preserve">Accordingly, even though </w:t>
      </w:r>
      <w:r w:rsidR="00447C65" w:rsidRPr="00D869E3">
        <w:rPr>
          <w:rFonts w:ascii="Verdana" w:hAnsi="Verdana"/>
          <w:sz w:val="20"/>
          <w:szCs w:val="20"/>
          <w:lang w:val="en-US"/>
        </w:rPr>
        <w:t>the Court</w:t>
      </w:r>
      <w:r w:rsidR="00FF1171" w:rsidRPr="00D869E3">
        <w:rPr>
          <w:rFonts w:ascii="Verdana" w:hAnsi="Verdana"/>
          <w:sz w:val="20"/>
          <w:szCs w:val="20"/>
          <w:lang w:val="en-US"/>
        </w:rPr>
        <w:t xml:space="preserve"> </w:t>
      </w:r>
      <w:r w:rsidR="00303670" w:rsidRPr="00D869E3">
        <w:rPr>
          <w:rFonts w:ascii="Verdana" w:hAnsi="Verdana"/>
          <w:sz w:val="20"/>
          <w:szCs w:val="20"/>
          <w:lang w:val="en-US"/>
        </w:rPr>
        <w:t>finds that paragraph</w:t>
      </w:r>
      <w:r w:rsidR="00FF1171" w:rsidRPr="00D869E3">
        <w:rPr>
          <w:rFonts w:ascii="Verdana" w:hAnsi="Verdana"/>
          <w:sz w:val="20"/>
          <w:szCs w:val="20"/>
          <w:lang w:val="en-US"/>
        </w:rPr>
        <w:t xml:space="preserve"> </w:t>
      </w:r>
      <w:r w:rsidR="00303670" w:rsidRPr="00D869E3">
        <w:rPr>
          <w:rFonts w:ascii="Verdana" w:hAnsi="Verdana"/>
          <w:sz w:val="20"/>
          <w:szCs w:val="20"/>
          <w:lang w:val="en-US"/>
        </w:rPr>
        <w:t>(</w:t>
      </w:r>
      <w:r w:rsidR="00FF1171" w:rsidRPr="00D869E3">
        <w:rPr>
          <w:rFonts w:ascii="Verdana" w:hAnsi="Verdana"/>
          <w:sz w:val="20"/>
          <w:szCs w:val="20"/>
          <w:lang w:val="en-US"/>
        </w:rPr>
        <w:t xml:space="preserve">h) </w:t>
      </w:r>
      <w:r w:rsidR="00687684" w:rsidRPr="00D869E3">
        <w:rPr>
          <w:rFonts w:ascii="Verdana" w:hAnsi="Verdana"/>
          <w:sz w:val="20"/>
          <w:szCs w:val="20"/>
          <w:lang w:val="en-US"/>
        </w:rPr>
        <w:t>of Article</w:t>
      </w:r>
      <w:r w:rsidR="00FF1171" w:rsidRPr="00D869E3">
        <w:rPr>
          <w:rFonts w:ascii="Verdana" w:hAnsi="Verdana"/>
          <w:sz w:val="20"/>
          <w:szCs w:val="20"/>
          <w:lang w:val="en-US"/>
        </w:rPr>
        <w:t xml:space="preserve"> 5 </w:t>
      </w:r>
      <w:r w:rsidR="00303670" w:rsidRPr="00D869E3">
        <w:rPr>
          <w:rFonts w:ascii="Verdana" w:hAnsi="Verdana"/>
          <w:sz w:val="20"/>
          <w:szCs w:val="20"/>
          <w:lang w:val="en-US"/>
        </w:rPr>
        <w:t>of</w:t>
      </w:r>
      <w:r w:rsidR="00FF1171" w:rsidRPr="00D869E3">
        <w:rPr>
          <w:rFonts w:ascii="Verdana" w:hAnsi="Verdana"/>
          <w:sz w:val="20"/>
          <w:szCs w:val="20"/>
          <w:lang w:val="en-US"/>
        </w:rPr>
        <w:t xml:space="preserve"> </w:t>
      </w:r>
      <w:r w:rsidR="00852CCA" w:rsidRPr="00D869E3">
        <w:rPr>
          <w:rFonts w:ascii="Verdana" w:hAnsi="Verdana"/>
          <w:sz w:val="20"/>
          <w:szCs w:val="20"/>
          <w:lang w:val="en-US"/>
        </w:rPr>
        <w:t>Law</w:t>
      </w:r>
      <w:r w:rsidR="00FF1171" w:rsidRPr="00D869E3">
        <w:rPr>
          <w:rFonts w:ascii="Verdana" w:hAnsi="Verdana"/>
          <w:sz w:val="20"/>
          <w:szCs w:val="20"/>
          <w:lang w:val="en-US"/>
        </w:rPr>
        <w:t xml:space="preserve"> 24514 </w:t>
      </w:r>
      <w:r w:rsidR="00303670" w:rsidRPr="00D869E3">
        <w:rPr>
          <w:rFonts w:ascii="Verdana" w:hAnsi="Verdana"/>
          <w:sz w:val="20"/>
          <w:szCs w:val="20"/>
          <w:lang w:val="en-US"/>
        </w:rPr>
        <w:t>did not</w:t>
      </w:r>
      <w:r w:rsidR="00FF1171" w:rsidRPr="00D869E3">
        <w:rPr>
          <w:rFonts w:ascii="Verdana" w:hAnsi="Verdana"/>
          <w:sz w:val="20"/>
          <w:szCs w:val="20"/>
          <w:lang w:val="en-US"/>
        </w:rPr>
        <w:t xml:space="preserve"> </w:t>
      </w:r>
      <w:r w:rsidR="00FF1171" w:rsidRPr="00D869E3">
        <w:rPr>
          <w:rFonts w:ascii="Verdana" w:hAnsi="Verdana"/>
          <w:i/>
          <w:sz w:val="20"/>
          <w:szCs w:val="20"/>
          <w:lang w:val="en-US"/>
        </w:rPr>
        <w:t xml:space="preserve">per se </w:t>
      </w:r>
      <w:r w:rsidR="00303670" w:rsidRPr="00D869E3">
        <w:rPr>
          <w:rFonts w:ascii="Verdana" w:hAnsi="Verdana"/>
          <w:sz w:val="20"/>
          <w:szCs w:val="20"/>
          <w:lang w:val="en-US"/>
        </w:rPr>
        <w:t xml:space="preserve">violate </w:t>
      </w:r>
      <w:r w:rsidR="00447C65" w:rsidRPr="00D869E3">
        <w:rPr>
          <w:rFonts w:ascii="Verdana" w:hAnsi="Verdana"/>
          <w:sz w:val="20"/>
          <w:szCs w:val="20"/>
          <w:lang w:val="en-US"/>
        </w:rPr>
        <w:t>Article</w:t>
      </w:r>
      <w:r w:rsidR="00CC31D1" w:rsidRPr="00D869E3">
        <w:rPr>
          <w:rFonts w:ascii="Verdana" w:hAnsi="Verdana"/>
          <w:sz w:val="20"/>
          <w:szCs w:val="20"/>
          <w:lang w:val="en-US"/>
        </w:rPr>
        <w:t xml:space="preserve"> </w:t>
      </w:r>
      <w:r w:rsidR="00966115" w:rsidRPr="00D869E3">
        <w:rPr>
          <w:rFonts w:ascii="Verdana" w:hAnsi="Verdana"/>
          <w:sz w:val="20"/>
          <w:szCs w:val="20"/>
          <w:lang w:val="en-US"/>
        </w:rPr>
        <w:t>13(2)</w:t>
      </w:r>
      <w:r w:rsidR="00447C65" w:rsidRPr="00D869E3">
        <w:rPr>
          <w:rFonts w:ascii="Verdana" w:hAnsi="Verdana"/>
          <w:sz w:val="20"/>
          <w:szCs w:val="20"/>
          <w:lang w:val="en-US"/>
        </w:rPr>
        <w:t xml:space="preserve"> of the American Convention</w:t>
      </w:r>
      <w:r w:rsidR="00FF1171" w:rsidRPr="00D869E3">
        <w:rPr>
          <w:rFonts w:ascii="Verdana" w:hAnsi="Verdana"/>
          <w:sz w:val="20"/>
          <w:szCs w:val="20"/>
          <w:lang w:val="en-US"/>
        </w:rPr>
        <w:t xml:space="preserve">, </w:t>
      </w:r>
      <w:r w:rsidR="00303670" w:rsidRPr="00D869E3">
        <w:rPr>
          <w:rFonts w:ascii="Verdana" w:hAnsi="Verdana"/>
          <w:sz w:val="20"/>
          <w:szCs w:val="20"/>
          <w:lang w:val="en-US"/>
        </w:rPr>
        <w:t>this did not exempt the authorities from ensuring that</w:t>
      </w:r>
      <w:r w:rsidR="00225A4A" w:rsidRPr="00D869E3">
        <w:rPr>
          <w:rFonts w:ascii="Verdana" w:hAnsi="Verdana"/>
          <w:sz w:val="20"/>
          <w:szCs w:val="20"/>
          <w:lang w:val="en-US"/>
        </w:rPr>
        <w:t xml:space="preserve"> </w:t>
      </w:r>
      <w:r w:rsidR="00303670" w:rsidRPr="00D869E3">
        <w:rPr>
          <w:rFonts w:ascii="Verdana" w:hAnsi="Verdana"/>
          <w:sz w:val="20"/>
          <w:szCs w:val="20"/>
          <w:lang w:val="en-US"/>
        </w:rPr>
        <w:t xml:space="preserve">this provision was </w:t>
      </w:r>
      <w:r w:rsidR="00225A4A" w:rsidRPr="00D869E3">
        <w:rPr>
          <w:rFonts w:ascii="Verdana" w:hAnsi="Verdana"/>
          <w:sz w:val="20"/>
          <w:szCs w:val="20"/>
          <w:lang w:val="en-US"/>
        </w:rPr>
        <w:t>applied</w:t>
      </w:r>
      <w:r w:rsidR="00303670" w:rsidRPr="00D869E3">
        <w:rPr>
          <w:rFonts w:ascii="Verdana" w:hAnsi="Verdana"/>
          <w:sz w:val="20"/>
          <w:szCs w:val="20"/>
          <w:lang w:val="en-US"/>
        </w:rPr>
        <w:t xml:space="preserve"> with due consideration for the other constitutional and treaty-based rights of the workers and their</w:t>
      </w:r>
      <w:r w:rsidR="00303670" w:rsidRPr="00D869E3">
        <w:rPr>
          <w:rFonts w:ascii="Verdana" w:hAnsi="Verdana"/>
          <w:sz w:val="20"/>
          <w:lang w:val="en-US"/>
        </w:rPr>
        <w:t xml:space="preserve"> </w:t>
      </w:r>
      <w:r w:rsidR="001E44D3" w:rsidRPr="00D869E3">
        <w:rPr>
          <w:rFonts w:ascii="Verdana" w:hAnsi="Verdana"/>
          <w:sz w:val="20"/>
          <w:szCs w:val="20"/>
          <w:lang w:val="en-US"/>
        </w:rPr>
        <w:t>representatives</w:t>
      </w:r>
      <w:r w:rsidR="00CC31D1" w:rsidRPr="00D869E3">
        <w:rPr>
          <w:rFonts w:ascii="Verdana" w:hAnsi="Verdana"/>
          <w:sz w:val="20"/>
          <w:szCs w:val="20"/>
          <w:lang w:val="en-US"/>
        </w:rPr>
        <w:t xml:space="preserve"> (</w:t>
      </w:r>
      <w:r w:rsidR="00CC31D1" w:rsidRPr="00D869E3">
        <w:rPr>
          <w:rFonts w:ascii="Verdana" w:hAnsi="Verdana"/>
          <w:i/>
          <w:sz w:val="20"/>
          <w:szCs w:val="20"/>
          <w:lang w:val="en-US"/>
        </w:rPr>
        <w:t>infra</w:t>
      </w:r>
      <w:r w:rsidR="00CC31D1" w:rsidRPr="00D869E3">
        <w:rPr>
          <w:rFonts w:ascii="Verdana" w:hAnsi="Verdana"/>
          <w:sz w:val="20"/>
          <w:szCs w:val="20"/>
          <w:lang w:val="en-US"/>
        </w:rPr>
        <w:t xml:space="preserve">, </w:t>
      </w:r>
      <w:r w:rsidR="0087339F" w:rsidRPr="00D869E3">
        <w:rPr>
          <w:rFonts w:ascii="Verdana" w:hAnsi="Verdana"/>
          <w:sz w:val="20"/>
          <w:szCs w:val="20"/>
          <w:lang w:val="en-US"/>
        </w:rPr>
        <w:t>para.</w:t>
      </w:r>
      <w:r w:rsidR="00CC31D1" w:rsidRPr="00D869E3">
        <w:rPr>
          <w:rFonts w:ascii="Verdana" w:hAnsi="Verdana"/>
          <w:sz w:val="20"/>
          <w:szCs w:val="20"/>
          <w:lang w:val="en-US"/>
        </w:rPr>
        <w:t xml:space="preserve"> </w:t>
      </w:r>
      <w:r w:rsidR="0010653B" w:rsidRPr="00D869E3">
        <w:rPr>
          <w:rFonts w:ascii="Verdana" w:hAnsi="Verdana"/>
          <w:sz w:val="20"/>
          <w:szCs w:val="20"/>
          <w:lang w:val="en-US"/>
        </w:rPr>
        <w:t>12</w:t>
      </w:r>
      <w:r w:rsidR="000023EA" w:rsidRPr="00D869E3">
        <w:rPr>
          <w:rFonts w:ascii="Verdana" w:hAnsi="Verdana"/>
          <w:sz w:val="20"/>
          <w:szCs w:val="20"/>
          <w:lang w:val="en-US"/>
        </w:rPr>
        <w:t>9</w:t>
      </w:r>
      <w:r w:rsidR="00CC31D1" w:rsidRPr="00D869E3">
        <w:rPr>
          <w:rFonts w:ascii="Verdana" w:hAnsi="Verdana"/>
          <w:sz w:val="20"/>
          <w:szCs w:val="20"/>
          <w:lang w:val="en-US"/>
        </w:rPr>
        <w:t>).</w:t>
      </w:r>
    </w:p>
    <w:p w14:paraId="30BCC8FB" w14:textId="77777777" w:rsidR="00D74FDD" w:rsidRPr="00D869E3" w:rsidRDefault="00D74FDD" w:rsidP="005D0F69">
      <w:pPr>
        <w:pStyle w:val="Prrafodelista"/>
        <w:ind w:left="0"/>
        <w:jc w:val="both"/>
        <w:rPr>
          <w:rFonts w:ascii="Verdana" w:hAnsi="Verdana"/>
          <w:sz w:val="20"/>
          <w:lang w:val="en-US"/>
        </w:rPr>
      </w:pPr>
    </w:p>
    <w:p w14:paraId="3B9BB79D" w14:textId="6DD1477F" w:rsidR="00C01305" w:rsidRPr="00D869E3" w:rsidRDefault="00303670" w:rsidP="00303670">
      <w:pPr>
        <w:pStyle w:val="Prrafodelista"/>
        <w:numPr>
          <w:ilvl w:val="0"/>
          <w:numId w:val="1"/>
        </w:numPr>
        <w:ind w:left="0" w:firstLine="0"/>
        <w:jc w:val="both"/>
        <w:rPr>
          <w:rFonts w:ascii="Verdana" w:hAnsi="Verdana"/>
          <w:sz w:val="20"/>
          <w:lang w:val="en-US"/>
        </w:rPr>
      </w:pPr>
      <w:r w:rsidRPr="00D869E3">
        <w:rPr>
          <w:rFonts w:ascii="Verdana" w:hAnsi="Verdana"/>
          <w:sz w:val="20"/>
          <w:szCs w:val="20"/>
          <w:lang w:val="en-US"/>
        </w:rPr>
        <w:t xml:space="preserve">Consequently </w:t>
      </w:r>
      <w:r w:rsidR="00447C65" w:rsidRPr="00D869E3">
        <w:rPr>
          <w:rFonts w:ascii="Verdana" w:hAnsi="Verdana"/>
          <w:sz w:val="20"/>
          <w:szCs w:val="20"/>
          <w:lang w:val="en-US"/>
        </w:rPr>
        <w:t>the Court</w:t>
      </w:r>
      <w:r w:rsidR="00D74FDD" w:rsidRPr="00D869E3">
        <w:rPr>
          <w:rFonts w:ascii="Verdana" w:hAnsi="Verdana"/>
          <w:sz w:val="20"/>
          <w:szCs w:val="20"/>
          <w:lang w:val="en-US"/>
        </w:rPr>
        <w:t xml:space="preserve"> </w:t>
      </w:r>
      <w:r w:rsidRPr="00D869E3">
        <w:rPr>
          <w:rFonts w:ascii="Verdana" w:hAnsi="Verdana"/>
          <w:sz w:val="20"/>
          <w:szCs w:val="20"/>
          <w:lang w:val="en-US"/>
        </w:rPr>
        <w:t>considers that</w:t>
      </w:r>
      <w:r w:rsidR="00D74FDD" w:rsidRPr="00D869E3">
        <w:rPr>
          <w:rFonts w:ascii="Verdana" w:hAnsi="Verdana"/>
          <w:sz w:val="20"/>
          <w:szCs w:val="20"/>
          <w:lang w:val="en-US"/>
        </w:rPr>
        <w:t xml:space="preserve"> </w:t>
      </w:r>
      <w:r w:rsidRPr="00D869E3">
        <w:rPr>
          <w:rFonts w:ascii="Verdana" w:hAnsi="Verdana"/>
          <w:sz w:val="20"/>
          <w:szCs w:val="20"/>
          <w:lang w:val="en-US"/>
        </w:rPr>
        <w:t xml:space="preserve">paragraph (h) of Article 5 of </w:t>
      </w:r>
      <w:r w:rsidR="00852CCA" w:rsidRPr="00D869E3">
        <w:rPr>
          <w:rFonts w:ascii="Verdana" w:hAnsi="Verdana"/>
          <w:sz w:val="20"/>
          <w:szCs w:val="20"/>
          <w:lang w:val="en-US"/>
        </w:rPr>
        <w:t>Law</w:t>
      </w:r>
      <w:r w:rsidR="00D74FDD" w:rsidRPr="00D869E3">
        <w:rPr>
          <w:rFonts w:ascii="Verdana" w:hAnsi="Verdana"/>
          <w:sz w:val="20"/>
          <w:szCs w:val="20"/>
          <w:lang w:val="en-US"/>
        </w:rPr>
        <w:t xml:space="preserve"> 24514 </w:t>
      </w:r>
      <w:r w:rsidRPr="00D869E3">
        <w:rPr>
          <w:rFonts w:ascii="Verdana" w:hAnsi="Verdana"/>
          <w:sz w:val="20"/>
          <w:szCs w:val="20"/>
          <w:lang w:val="en-US"/>
        </w:rPr>
        <w:t xml:space="preserve">does not, </w:t>
      </w:r>
      <w:r w:rsidRPr="00D869E3">
        <w:rPr>
          <w:rFonts w:ascii="Verdana" w:hAnsi="Verdana"/>
          <w:i/>
          <w:iCs/>
          <w:sz w:val="20"/>
          <w:szCs w:val="20"/>
          <w:lang w:val="en-US"/>
        </w:rPr>
        <w:t>per se</w:t>
      </w:r>
      <w:r w:rsidR="00FA7B6F" w:rsidRPr="00D869E3">
        <w:rPr>
          <w:rFonts w:ascii="Verdana" w:hAnsi="Verdana"/>
          <w:i/>
          <w:iCs/>
          <w:sz w:val="20"/>
          <w:szCs w:val="20"/>
          <w:lang w:val="en-US"/>
        </w:rPr>
        <w:t>,</w:t>
      </w:r>
      <w:r w:rsidRPr="00D869E3">
        <w:rPr>
          <w:rFonts w:ascii="Verdana" w:hAnsi="Verdana"/>
          <w:sz w:val="20"/>
          <w:szCs w:val="20"/>
          <w:lang w:val="en-US"/>
        </w:rPr>
        <w:t xml:space="preserve"> violate </w:t>
      </w:r>
      <w:r w:rsidR="00447C65" w:rsidRPr="00D869E3">
        <w:rPr>
          <w:rFonts w:ascii="Verdana" w:hAnsi="Verdana"/>
          <w:sz w:val="20"/>
          <w:szCs w:val="20"/>
          <w:lang w:val="en-US"/>
        </w:rPr>
        <w:t>Article</w:t>
      </w:r>
      <w:r w:rsidR="00261A99" w:rsidRPr="00D869E3">
        <w:rPr>
          <w:rFonts w:ascii="Verdana" w:hAnsi="Verdana"/>
          <w:sz w:val="20"/>
          <w:szCs w:val="20"/>
          <w:lang w:val="en-US"/>
        </w:rPr>
        <w:t xml:space="preserve"> </w:t>
      </w:r>
      <w:r w:rsidR="00966115" w:rsidRPr="00D869E3">
        <w:rPr>
          <w:rFonts w:ascii="Verdana" w:hAnsi="Verdana"/>
          <w:sz w:val="20"/>
          <w:szCs w:val="20"/>
          <w:lang w:val="en-US"/>
        </w:rPr>
        <w:t>13(2)</w:t>
      </w:r>
      <w:r w:rsidR="00447C65" w:rsidRPr="00D869E3">
        <w:rPr>
          <w:rFonts w:ascii="Verdana" w:hAnsi="Verdana"/>
          <w:i/>
          <w:sz w:val="20"/>
          <w:szCs w:val="20"/>
          <w:lang w:val="en-US"/>
        </w:rPr>
        <w:t xml:space="preserve"> </w:t>
      </w:r>
      <w:r w:rsidR="00447C65" w:rsidRPr="00D869E3">
        <w:rPr>
          <w:rFonts w:ascii="Verdana" w:hAnsi="Verdana"/>
          <w:iCs/>
          <w:sz w:val="20"/>
          <w:szCs w:val="20"/>
          <w:lang w:val="en-US"/>
        </w:rPr>
        <w:t>of the</w:t>
      </w:r>
      <w:r w:rsidR="00447C65" w:rsidRPr="00D869E3">
        <w:rPr>
          <w:rFonts w:ascii="Verdana" w:hAnsi="Verdana"/>
          <w:i/>
          <w:sz w:val="20"/>
          <w:szCs w:val="20"/>
          <w:lang w:val="en-US"/>
        </w:rPr>
        <w:t xml:space="preserve"> </w:t>
      </w:r>
      <w:r w:rsidR="00447C65" w:rsidRPr="00D869E3">
        <w:rPr>
          <w:rFonts w:ascii="Verdana" w:hAnsi="Verdana"/>
          <w:sz w:val="20"/>
          <w:szCs w:val="20"/>
          <w:lang w:val="en-US"/>
        </w:rPr>
        <w:t>American Convention</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that, therefore, it </w:t>
      </w:r>
      <w:r w:rsidR="00FA7B6F" w:rsidRPr="00D869E3">
        <w:rPr>
          <w:rFonts w:ascii="Verdana" w:hAnsi="Verdana"/>
          <w:sz w:val="20"/>
          <w:szCs w:val="20"/>
          <w:lang w:val="en-US"/>
        </w:rPr>
        <w:t>had</w:t>
      </w:r>
      <w:r w:rsidRPr="00D869E3">
        <w:rPr>
          <w:rFonts w:ascii="Verdana" w:hAnsi="Verdana"/>
          <w:sz w:val="20"/>
          <w:szCs w:val="20"/>
          <w:lang w:val="en-US"/>
        </w:rPr>
        <w:t xml:space="preserve"> a valid </w:t>
      </w:r>
      <w:r w:rsidR="00FA7B6F" w:rsidRPr="00D869E3">
        <w:rPr>
          <w:rFonts w:ascii="Verdana" w:hAnsi="Verdana"/>
          <w:sz w:val="20"/>
          <w:szCs w:val="20"/>
          <w:lang w:val="en-US"/>
        </w:rPr>
        <w:t xml:space="preserve">purpose </w:t>
      </w:r>
      <w:r w:rsidRPr="00D869E3">
        <w:rPr>
          <w:rFonts w:ascii="Verdana" w:hAnsi="Verdana"/>
          <w:sz w:val="20"/>
          <w:szCs w:val="20"/>
          <w:lang w:val="en-US"/>
        </w:rPr>
        <w:t xml:space="preserve">in light of </w:t>
      </w:r>
      <w:r w:rsidR="00447C65" w:rsidRPr="00D869E3">
        <w:rPr>
          <w:rFonts w:ascii="Verdana" w:hAnsi="Verdana"/>
          <w:sz w:val="20"/>
          <w:szCs w:val="20"/>
          <w:lang w:val="en-US"/>
        </w:rPr>
        <w:t>the Convention</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thus did not violate the requirement of legality. </w:t>
      </w:r>
    </w:p>
    <w:p w14:paraId="6B1A32BD" w14:textId="77777777" w:rsidR="00303670" w:rsidRPr="00D869E3" w:rsidRDefault="00303670" w:rsidP="00303670">
      <w:pPr>
        <w:pStyle w:val="Prrafodelista"/>
        <w:ind w:left="0"/>
        <w:jc w:val="both"/>
        <w:rPr>
          <w:rFonts w:ascii="Verdana" w:hAnsi="Verdana"/>
          <w:sz w:val="20"/>
          <w:lang w:val="en-US"/>
        </w:rPr>
      </w:pPr>
    </w:p>
    <w:p w14:paraId="4949392E" w14:textId="78D5B7BB" w:rsidR="00C01305" w:rsidRPr="00D869E3" w:rsidRDefault="00897912" w:rsidP="005B3D37">
      <w:pPr>
        <w:pStyle w:val="Ttulo3"/>
        <w:ind w:left="360"/>
        <w:rPr>
          <w:i/>
          <w:lang w:val="en-US"/>
        </w:rPr>
      </w:pPr>
      <w:bookmarkStart w:id="48" w:name="_Toc29114136"/>
      <w:r w:rsidRPr="00D869E3">
        <w:rPr>
          <w:i/>
          <w:lang w:val="en-US"/>
        </w:rPr>
        <w:t xml:space="preserve">1.2.3. </w:t>
      </w:r>
      <w:r w:rsidR="00303670" w:rsidRPr="00D869E3">
        <w:rPr>
          <w:i/>
          <w:lang w:val="en-US"/>
        </w:rPr>
        <w:t xml:space="preserve">Necessity for the restriction and </w:t>
      </w:r>
      <w:r w:rsidR="00C913C6" w:rsidRPr="00D869E3">
        <w:rPr>
          <w:i/>
          <w:lang w:val="en-US"/>
        </w:rPr>
        <w:t>obligation to state reasons</w:t>
      </w:r>
      <w:bookmarkEnd w:id="48"/>
    </w:p>
    <w:p w14:paraId="1923828A" w14:textId="77777777" w:rsidR="00C01305" w:rsidRPr="00D869E3" w:rsidRDefault="00C01305" w:rsidP="00C01305">
      <w:pPr>
        <w:ind w:left="1440"/>
        <w:contextualSpacing/>
        <w:jc w:val="both"/>
        <w:rPr>
          <w:rFonts w:ascii="Verdana" w:hAnsi="Verdana"/>
          <w:i/>
          <w:sz w:val="20"/>
          <w:szCs w:val="20"/>
          <w:lang w:val="en-US"/>
        </w:rPr>
      </w:pPr>
    </w:p>
    <w:p w14:paraId="5D2F19B6" w14:textId="14DFC4A5" w:rsidR="00C01305" w:rsidRPr="00D869E3" w:rsidRDefault="00447C65" w:rsidP="006F7E52">
      <w:pPr>
        <w:numPr>
          <w:ilvl w:val="0"/>
          <w:numId w:val="1"/>
        </w:numPr>
        <w:ind w:left="0" w:firstLine="0"/>
        <w:contextualSpacing/>
        <w:jc w:val="both"/>
        <w:rPr>
          <w:rFonts w:ascii="Verdana" w:hAnsi="Verdana"/>
          <w:szCs w:val="20"/>
          <w:lang w:val="en-US"/>
        </w:rPr>
      </w:pPr>
      <w:r w:rsidRPr="00D869E3">
        <w:rPr>
          <w:rFonts w:ascii="Verdana" w:hAnsi="Verdana"/>
          <w:sz w:val="20"/>
          <w:szCs w:val="20"/>
          <w:lang w:val="en-US"/>
        </w:rPr>
        <w:t>The Court</w:t>
      </w:r>
      <w:r w:rsidR="00C01305" w:rsidRPr="00D869E3">
        <w:rPr>
          <w:rFonts w:ascii="Verdana" w:hAnsi="Verdana"/>
          <w:sz w:val="20"/>
          <w:szCs w:val="20"/>
          <w:lang w:val="en-US"/>
        </w:rPr>
        <w:t xml:space="preserve"> </w:t>
      </w:r>
      <w:r w:rsidR="002F5C4C" w:rsidRPr="00D869E3">
        <w:rPr>
          <w:rFonts w:ascii="Verdana" w:hAnsi="Verdana"/>
          <w:sz w:val="20"/>
          <w:szCs w:val="20"/>
          <w:lang w:val="en-US"/>
        </w:rPr>
        <w:t>ha</w:t>
      </w:r>
      <w:r w:rsidR="00303670" w:rsidRPr="00D869E3">
        <w:rPr>
          <w:rFonts w:ascii="Verdana" w:hAnsi="Verdana"/>
          <w:sz w:val="20"/>
          <w:szCs w:val="20"/>
          <w:lang w:val="en-US"/>
        </w:rPr>
        <w:t>s</w:t>
      </w:r>
      <w:r w:rsidR="002F5C4C" w:rsidRPr="00D869E3">
        <w:rPr>
          <w:rFonts w:ascii="Verdana" w:hAnsi="Verdana"/>
          <w:sz w:val="20"/>
          <w:szCs w:val="20"/>
          <w:lang w:val="en-US"/>
        </w:rPr>
        <w:t xml:space="preserve"> </w:t>
      </w:r>
      <w:r w:rsidR="00C913C6" w:rsidRPr="00D869E3">
        <w:rPr>
          <w:rFonts w:ascii="Verdana" w:hAnsi="Verdana"/>
          <w:sz w:val="20"/>
          <w:szCs w:val="20"/>
          <w:lang w:val="en-US"/>
        </w:rPr>
        <w:t>established the standard</w:t>
      </w:r>
      <w:r w:rsidR="006F7E52" w:rsidRPr="00D869E3">
        <w:rPr>
          <w:rFonts w:ascii="Verdana" w:hAnsi="Verdana"/>
          <w:sz w:val="20"/>
          <w:szCs w:val="20"/>
          <w:lang w:val="en-US"/>
        </w:rPr>
        <w:t xml:space="preserve"> that</w:t>
      </w:r>
      <w:r w:rsidR="00C913C6" w:rsidRPr="00D869E3">
        <w:rPr>
          <w:rFonts w:ascii="Verdana" w:hAnsi="Verdana"/>
          <w:sz w:val="20"/>
          <w:szCs w:val="20"/>
          <w:lang w:val="en-US"/>
        </w:rPr>
        <w:t>,</w:t>
      </w:r>
      <w:r w:rsidR="006F7E52" w:rsidRPr="00D869E3">
        <w:rPr>
          <w:rFonts w:ascii="Verdana" w:hAnsi="Verdana"/>
          <w:sz w:val="20"/>
          <w:szCs w:val="20"/>
          <w:lang w:val="en-US"/>
        </w:rPr>
        <w:t xml:space="preserve"> “for a restriction of freedom of expression to be compatible with </w:t>
      </w:r>
      <w:r w:rsidRPr="00D869E3">
        <w:rPr>
          <w:rFonts w:ascii="Verdana" w:hAnsi="Verdana"/>
          <w:sz w:val="20"/>
          <w:szCs w:val="20"/>
          <w:lang w:val="en-US"/>
        </w:rPr>
        <w:t>the American Convention</w:t>
      </w:r>
      <w:r w:rsidR="00C01305" w:rsidRPr="00D869E3">
        <w:rPr>
          <w:rFonts w:ascii="Verdana" w:hAnsi="Verdana"/>
          <w:sz w:val="20"/>
          <w:szCs w:val="20"/>
          <w:lang w:val="en-US"/>
        </w:rPr>
        <w:t xml:space="preserve">, </w:t>
      </w:r>
      <w:r w:rsidR="006F7E52" w:rsidRPr="00D869E3">
        <w:rPr>
          <w:rFonts w:ascii="Verdana" w:hAnsi="Verdana"/>
          <w:sz w:val="20"/>
          <w:szCs w:val="20"/>
          <w:lang w:val="en-US"/>
        </w:rPr>
        <w:t>it must be necessary in a democratic society, understanding by ‘necessary’ the existence of an essential social need that would justify the restriction.</w:t>
      </w:r>
      <w:r w:rsidR="00C913C6" w:rsidRPr="00D869E3">
        <w:rPr>
          <w:rFonts w:ascii="Verdana" w:hAnsi="Verdana"/>
          <w:sz w:val="20"/>
          <w:szCs w:val="20"/>
          <w:lang w:val="en-US"/>
        </w:rPr>
        <w:t>”</w:t>
      </w:r>
      <w:r w:rsidR="00C01305" w:rsidRPr="00D869E3">
        <w:rPr>
          <w:rFonts w:ascii="Verdana" w:hAnsi="Verdana"/>
          <w:sz w:val="20"/>
          <w:szCs w:val="20"/>
          <w:vertAlign w:val="superscript"/>
          <w:lang w:val="en-US"/>
        </w:rPr>
        <w:footnoteReference w:id="162"/>
      </w:r>
      <w:r w:rsidR="006F7E52" w:rsidRPr="00D869E3">
        <w:rPr>
          <w:rFonts w:ascii="Verdana" w:hAnsi="Verdana"/>
          <w:sz w:val="20"/>
          <w:szCs w:val="20"/>
          <w:lang w:val="en-US"/>
        </w:rPr>
        <w:t xml:space="preserve"> Specifically, the Court must determine whether, in light of all the circumstances, the sanction imposed on </w:t>
      </w:r>
      <w:r w:rsidR="00687684" w:rsidRPr="00D869E3">
        <w:rPr>
          <w:rFonts w:ascii="Verdana" w:hAnsi="Verdana"/>
          <w:sz w:val="20"/>
          <w:szCs w:val="20"/>
          <w:lang w:val="en-US"/>
        </w:rPr>
        <w:t>the presumed victim</w:t>
      </w:r>
      <w:r w:rsidR="00473B78" w:rsidRPr="00D869E3">
        <w:rPr>
          <w:rFonts w:ascii="Verdana" w:hAnsi="Verdana"/>
          <w:sz w:val="20"/>
          <w:szCs w:val="20"/>
          <w:lang w:val="en-US"/>
        </w:rPr>
        <w:t xml:space="preserve"> </w:t>
      </w:r>
      <w:r w:rsidR="006F7E52" w:rsidRPr="00D869E3">
        <w:rPr>
          <w:rFonts w:ascii="Verdana" w:hAnsi="Verdana"/>
          <w:sz w:val="20"/>
          <w:szCs w:val="20"/>
          <w:lang w:val="en-US"/>
        </w:rPr>
        <w:t>was proportionate to the legitimate purpose sought,</w:t>
      </w:r>
      <w:r w:rsidR="00473B78" w:rsidRPr="00D869E3">
        <w:rPr>
          <w:rFonts w:ascii="Verdana" w:hAnsi="Verdana"/>
          <w:sz w:val="20"/>
          <w:szCs w:val="20"/>
          <w:vertAlign w:val="superscript"/>
          <w:lang w:val="en-US"/>
        </w:rPr>
        <w:footnoteReference w:id="163"/>
      </w:r>
      <w:r w:rsidR="00687684" w:rsidRPr="00D869E3">
        <w:rPr>
          <w:rFonts w:ascii="Verdana" w:hAnsi="Verdana"/>
          <w:sz w:val="20"/>
          <w:szCs w:val="20"/>
          <w:lang w:val="en-US"/>
        </w:rPr>
        <w:t xml:space="preserve"> and </w:t>
      </w:r>
      <w:r w:rsidR="006F7E52" w:rsidRPr="00D869E3">
        <w:rPr>
          <w:rFonts w:ascii="Verdana" w:hAnsi="Verdana"/>
          <w:sz w:val="20"/>
          <w:szCs w:val="20"/>
          <w:lang w:val="en-US"/>
        </w:rPr>
        <w:t xml:space="preserve">whether the </w:t>
      </w:r>
      <w:r w:rsidR="00DC5BC7" w:rsidRPr="00D869E3">
        <w:rPr>
          <w:rFonts w:ascii="Verdana" w:hAnsi="Verdana"/>
          <w:sz w:val="20"/>
          <w:szCs w:val="20"/>
          <w:lang w:val="en-US"/>
        </w:rPr>
        <w:t>reasons</w:t>
      </w:r>
      <w:r w:rsidR="006F7E52" w:rsidRPr="00D869E3">
        <w:rPr>
          <w:rFonts w:ascii="Verdana" w:hAnsi="Verdana"/>
          <w:sz w:val="20"/>
          <w:szCs w:val="20"/>
          <w:lang w:val="en-US"/>
        </w:rPr>
        <w:t xml:space="preserve"> given by the internal authorities to justify it were pertinent and sufficient.</w:t>
      </w:r>
      <w:r w:rsidR="00473B78" w:rsidRPr="00D869E3">
        <w:rPr>
          <w:rStyle w:val="Refdenotaalpie"/>
          <w:szCs w:val="20"/>
          <w:lang w:val="en-US"/>
        </w:rPr>
        <w:footnoteReference w:id="164"/>
      </w:r>
    </w:p>
    <w:p w14:paraId="0E4EB35F" w14:textId="77777777" w:rsidR="005967AA" w:rsidRPr="00D869E3" w:rsidRDefault="005967AA" w:rsidP="005967AA">
      <w:pPr>
        <w:contextualSpacing/>
        <w:jc w:val="both"/>
        <w:rPr>
          <w:rFonts w:ascii="Verdana" w:hAnsi="Verdana"/>
          <w:szCs w:val="20"/>
          <w:lang w:val="en-US"/>
        </w:rPr>
      </w:pPr>
    </w:p>
    <w:p w14:paraId="370320A9" w14:textId="171109D0" w:rsidR="00AA54B8" w:rsidRPr="00D869E3" w:rsidRDefault="00075E68"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C01305" w:rsidRPr="00D869E3">
        <w:rPr>
          <w:rFonts w:ascii="Verdana" w:hAnsi="Verdana"/>
          <w:sz w:val="20"/>
          <w:szCs w:val="20"/>
          <w:lang w:val="en-US"/>
        </w:rPr>
        <w:t xml:space="preserve">, </w:t>
      </w:r>
      <w:r w:rsidR="00447C65" w:rsidRPr="00D869E3">
        <w:rPr>
          <w:rFonts w:ascii="Verdana" w:hAnsi="Verdana"/>
          <w:sz w:val="20"/>
          <w:szCs w:val="20"/>
          <w:lang w:val="en-US"/>
        </w:rPr>
        <w:t>the Court</w:t>
      </w:r>
      <w:r w:rsidR="00C01305" w:rsidRPr="00D869E3">
        <w:rPr>
          <w:rFonts w:ascii="Verdana" w:hAnsi="Verdana"/>
          <w:sz w:val="20"/>
          <w:szCs w:val="20"/>
          <w:lang w:val="en-US"/>
        </w:rPr>
        <w:t xml:space="preserve"> </w:t>
      </w:r>
      <w:r w:rsidR="00DC5BC7" w:rsidRPr="00D869E3">
        <w:rPr>
          <w:rFonts w:ascii="Verdana" w:hAnsi="Verdana"/>
          <w:sz w:val="20"/>
          <w:szCs w:val="20"/>
          <w:lang w:val="en-US"/>
        </w:rPr>
        <w:t>understand that dismissal is probably the maximum penalty in the employment relationship;</w:t>
      </w:r>
      <w:r w:rsidR="00C01305" w:rsidRPr="00D869E3">
        <w:rPr>
          <w:rFonts w:ascii="Verdana" w:hAnsi="Verdana"/>
          <w:sz w:val="20"/>
          <w:szCs w:val="20"/>
          <w:vertAlign w:val="superscript"/>
          <w:lang w:val="en-US"/>
        </w:rPr>
        <w:footnoteReference w:id="165"/>
      </w:r>
      <w:r w:rsidR="00DC5BC7" w:rsidRPr="00D869E3">
        <w:rPr>
          <w:rFonts w:ascii="Verdana" w:hAnsi="Verdana"/>
          <w:sz w:val="20"/>
          <w:szCs w:val="20"/>
          <w:lang w:val="en-US"/>
        </w:rPr>
        <w:t xml:space="preserve"> therefore, it must respond to an imperative need in relation to </w:t>
      </w:r>
      <w:r w:rsidR="00A62EA8" w:rsidRPr="00D869E3">
        <w:rPr>
          <w:rFonts w:ascii="Verdana" w:hAnsi="Verdana"/>
          <w:sz w:val="20"/>
          <w:szCs w:val="20"/>
          <w:lang w:val="en-US"/>
        </w:rPr>
        <w:t>freedom of expression</w:t>
      </w:r>
      <w:r w:rsidR="00687684" w:rsidRPr="00D869E3">
        <w:rPr>
          <w:rFonts w:ascii="Verdana" w:hAnsi="Verdana"/>
          <w:sz w:val="20"/>
          <w:szCs w:val="20"/>
          <w:lang w:val="en-US"/>
        </w:rPr>
        <w:t xml:space="preserve"> and </w:t>
      </w:r>
      <w:r w:rsidR="00DC5BC7" w:rsidRPr="00D869E3">
        <w:rPr>
          <w:rFonts w:ascii="Verdana" w:hAnsi="Verdana"/>
          <w:sz w:val="20"/>
          <w:szCs w:val="20"/>
          <w:lang w:val="en-US"/>
        </w:rPr>
        <w:t>it must be duly justified</w:t>
      </w:r>
      <w:r w:rsidR="00C01305" w:rsidRPr="00D869E3">
        <w:rPr>
          <w:rFonts w:ascii="Verdana" w:hAnsi="Verdana"/>
          <w:sz w:val="20"/>
          <w:szCs w:val="20"/>
          <w:lang w:val="en-US"/>
        </w:rPr>
        <w:t xml:space="preserve"> (</w:t>
      </w:r>
      <w:r w:rsidR="006436CA" w:rsidRPr="00D869E3">
        <w:rPr>
          <w:rFonts w:ascii="Verdana" w:hAnsi="Verdana"/>
          <w:sz w:val="20"/>
          <w:szCs w:val="20"/>
          <w:lang w:val="en-US"/>
        </w:rPr>
        <w:t>“</w:t>
      </w:r>
      <w:r w:rsidR="00C01305" w:rsidRPr="00D869E3">
        <w:rPr>
          <w:rFonts w:ascii="Verdana" w:hAnsi="Verdana"/>
          <w:sz w:val="20"/>
          <w:szCs w:val="20"/>
          <w:lang w:val="en-US"/>
        </w:rPr>
        <w:t>justifi</w:t>
      </w:r>
      <w:r w:rsidR="00DC5BC7" w:rsidRPr="00D869E3">
        <w:rPr>
          <w:rFonts w:ascii="Verdana" w:hAnsi="Verdana"/>
          <w:sz w:val="20"/>
          <w:szCs w:val="20"/>
          <w:lang w:val="en-US"/>
        </w:rPr>
        <w:t>ed dismissal</w:t>
      </w:r>
      <w:r w:rsidR="006436CA" w:rsidRPr="00D869E3">
        <w:rPr>
          <w:rFonts w:ascii="Verdana" w:hAnsi="Verdana"/>
          <w:sz w:val="20"/>
          <w:szCs w:val="20"/>
          <w:lang w:val="en-US"/>
        </w:rPr>
        <w:t>”</w:t>
      </w:r>
      <w:r w:rsidR="00C01305" w:rsidRPr="00D869E3">
        <w:rPr>
          <w:rFonts w:ascii="Verdana" w:hAnsi="Verdana"/>
          <w:sz w:val="20"/>
          <w:szCs w:val="20"/>
          <w:lang w:val="en-US"/>
        </w:rPr>
        <w:t>)</w:t>
      </w:r>
      <w:r w:rsidR="00C01305" w:rsidRPr="00D869E3">
        <w:rPr>
          <w:rFonts w:ascii="Verdana" w:hAnsi="Verdana"/>
          <w:sz w:val="20"/>
          <w:szCs w:val="20"/>
          <w:vertAlign w:val="superscript"/>
          <w:lang w:val="en-US"/>
        </w:rPr>
        <w:footnoteReference w:id="166"/>
      </w:r>
      <w:r w:rsidR="00C01305" w:rsidRPr="00D869E3">
        <w:rPr>
          <w:rFonts w:ascii="Verdana" w:hAnsi="Verdana"/>
          <w:sz w:val="20"/>
          <w:szCs w:val="20"/>
          <w:lang w:val="en-US"/>
        </w:rPr>
        <w:t xml:space="preserve">. </w:t>
      </w:r>
    </w:p>
    <w:p w14:paraId="2538095C" w14:textId="0649B586" w:rsidR="00A528A6" w:rsidRPr="00D869E3" w:rsidRDefault="00A528A6" w:rsidP="005D0F69">
      <w:pPr>
        <w:contextualSpacing/>
        <w:jc w:val="both"/>
        <w:rPr>
          <w:rFonts w:ascii="Verdana" w:hAnsi="Verdana"/>
          <w:sz w:val="20"/>
          <w:szCs w:val="20"/>
          <w:lang w:val="en-US"/>
        </w:rPr>
      </w:pPr>
    </w:p>
    <w:p w14:paraId="16363821" w14:textId="6EAF921D" w:rsidR="00C01305" w:rsidRPr="00D869E3" w:rsidRDefault="00075E68" w:rsidP="00DC5BC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C01305" w:rsidRPr="00D869E3">
        <w:rPr>
          <w:rFonts w:ascii="Verdana" w:hAnsi="Verdana"/>
          <w:sz w:val="20"/>
          <w:szCs w:val="20"/>
          <w:lang w:val="en-US"/>
        </w:rPr>
        <w:t>,</w:t>
      </w:r>
      <w:r w:rsidR="00DC5BC7" w:rsidRPr="00D869E3">
        <w:rPr>
          <w:rFonts w:ascii="Verdana" w:hAnsi="Verdana"/>
          <w:sz w:val="20"/>
          <w:szCs w:val="20"/>
          <w:lang w:val="en-US"/>
        </w:rPr>
        <w:t xml:space="preserve"> paragraphs 5 and 6 of</w:t>
      </w:r>
      <w:r w:rsidR="00C01305" w:rsidRPr="00D869E3">
        <w:rPr>
          <w:rFonts w:ascii="Verdana" w:hAnsi="Verdana"/>
          <w:sz w:val="20"/>
          <w:szCs w:val="20"/>
          <w:lang w:val="en-US"/>
        </w:rPr>
        <w:t xml:space="preserve"> </w:t>
      </w:r>
      <w:r w:rsidR="00DC5BC7" w:rsidRPr="00D869E3">
        <w:rPr>
          <w:rFonts w:ascii="Verdana" w:hAnsi="Verdana"/>
          <w:sz w:val="20"/>
          <w:szCs w:val="20"/>
          <w:lang w:val="en-US"/>
        </w:rPr>
        <w:t>ILO</w:t>
      </w:r>
      <w:r w:rsidR="00C01305" w:rsidRPr="00D869E3">
        <w:rPr>
          <w:rFonts w:ascii="Verdana" w:hAnsi="Verdana"/>
          <w:sz w:val="20"/>
          <w:szCs w:val="20"/>
          <w:lang w:val="en-US"/>
        </w:rPr>
        <w:t xml:space="preserve"> </w:t>
      </w:r>
      <w:r w:rsidR="00B86291" w:rsidRPr="00D869E3">
        <w:rPr>
          <w:rFonts w:ascii="Verdana" w:hAnsi="Verdana"/>
          <w:sz w:val="20"/>
          <w:szCs w:val="20"/>
          <w:lang w:val="en-US"/>
        </w:rPr>
        <w:t>R</w:t>
      </w:r>
      <w:r w:rsidR="00C01305" w:rsidRPr="00D869E3">
        <w:rPr>
          <w:rFonts w:ascii="Verdana" w:hAnsi="Verdana"/>
          <w:sz w:val="20"/>
          <w:szCs w:val="20"/>
          <w:lang w:val="en-US"/>
        </w:rPr>
        <w:t>ecom</w:t>
      </w:r>
      <w:r w:rsidR="00DC5BC7" w:rsidRPr="00D869E3">
        <w:rPr>
          <w:rFonts w:ascii="Verdana" w:hAnsi="Verdana"/>
          <w:sz w:val="20"/>
          <w:szCs w:val="20"/>
          <w:lang w:val="en-US"/>
        </w:rPr>
        <w:t>mendation</w:t>
      </w:r>
      <w:r w:rsidR="00C01305" w:rsidRPr="00D869E3">
        <w:rPr>
          <w:rFonts w:ascii="Verdana" w:hAnsi="Verdana"/>
          <w:sz w:val="20"/>
          <w:szCs w:val="20"/>
          <w:lang w:val="en-US"/>
        </w:rPr>
        <w:t xml:space="preserve"> No. 143 </w:t>
      </w:r>
      <w:r w:rsidR="00DC5BC7" w:rsidRPr="00D869E3">
        <w:rPr>
          <w:rFonts w:ascii="Verdana" w:hAnsi="Verdana"/>
          <w:sz w:val="20"/>
          <w:szCs w:val="20"/>
          <w:lang w:val="en-US"/>
        </w:rPr>
        <w:t>on Workers’ Representatives are relevant when establishing “the special protection that workers’ representatives should have against any act prejudicial to them, including dismissal, based on their status as workers’ representatives, among other matters, insofar as they act in conformity with existing laws or collective agreements or other jointly agreed arrangements.”</w:t>
      </w:r>
      <w:r w:rsidR="00C01305" w:rsidRPr="00D869E3">
        <w:rPr>
          <w:rFonts w:ascii="Verdana" w:hAnsi="Verdana"/>
          <w:sz w:val="20"/>
          <w:szCs w:val="20"/>
          <w:vertAlign w:val="superscript"/>
          <w:lang w:val="en-US"/>
        </w:rPr>
        <w:footnoteReference w:id="167"/>
      </w:r>
      <w:r w:rsidR="00C01305" w:rsidRPr="00D869E3">
        <w:rPr>
          <w:rFonts w:ascii="Verdana" w:hAnsi="Verdana"/>
          <w:sz w:val="20"/>
          <w:szCs w:val="20"/>
          <w:lang w:val="en-US"/>
        </w:rPr>
        <w:t xml:space="preserve"> </w:t>
      </w:r>
    </w:p>
    <w:p w14:paraId="3913FC57" w14:textId="77777777" w:rsidR="00C01305" w:rsidRPr="00D869E3" w:rsidRDefault="00C01305" w:rsidP="00CA58EF">
      <w:pPr>
        <w:contextualSpacing/>
        <w:jc w:val="both"/>
        <w:rPr>
          <w:rFonts w:ascii="Verdana" w:hAnsi="Verdana"/>
          <w:sz w:val="20"/>
          <w:szCs w:val="20"/>
          <w:lang w:val="en-US"/>
        </w:rPr>
      </w:pPr>
    </w:p>
    <w:p w14:paraId="4EC471D7" w14:textId="303C0AFD" w:rsidR="00C01305" w:rsidRPr="00D869E3" w:rsidRDefault="00DC5BC7" w:rsidP="00E66DD7">
      <w:pPr>
        <w:numPr>
          <w:ilvl w:val="0"/>
          <w:numId w:val="1"/>
        </w:numPr>
        <w:shd w:val="clear" w:color="auto" w:fill="FFFFFF"/>
        <w:ind w:left="0" w:firstLine="0"/>
        <w:contextualSpacing/>
        <w:jc w:val="both"/>
        <w:rPr>
          <w:rFonts w:ascii="Verdana" w:hAnsi="Verdana"/>
          <w:b/>
          <w:sz w:val="20"/>
          <w:szCs w:val="20"/>
          <w:lang w:val="en-US"/>
        </w:rPr>
      </w:pPr>
      <w:r w:rsidRPr="00D869E3">
        <w:rPr>
          <w:rFonts w:ascii="Verdana" w:hAnsi="Verdana"/>
          <w:sz w:val="20"/>
          <w:szCs w:val="20"/>
          <w:lang w:val="en-US"/>
        </w:rPr>
        <w:t xml:space="preserve">First, in this case, </w:t>
      </w:r>
      <w:r w:rsidR="00341FEB" w:rsidRPr="00D869E3">
        <w:rPr>
          <w:rFonts w:ascii="Verdana" w:hAnsi="Verdana"/>
          <w:sz w:val="20"/>
          <w:szCs w:val="20"/>
          <w:lang w:val="en-US"/>
        </w:rPr>
        <w:t xml:space="preserve">in a letter informing him of his dismissal, the employer considered that Mr. </w:t>
      </w:r>
      <w:r w:rsidR="001E44D3" w:rsidRPr="00D869E3">
        <w:rPr>
          <w:rFonts w:ascii="Verdana" w:hAnsi="Verdana"/>
          <w:sz w:val="20"/>
          <w:szCs w:val="20"/>
          <w:lang w:val="en-US"/>
        </w:rPr>
        <w:t>Lagos del Campo</w:t>
      </w:r>
      <w:r w:rsidR="002F5C4C" w:rsidRPr="00D869E3">
        <w:rPr>
          <w:rFonts w:ascii="Verdana" w:hAnsi="Verdana"/>
          <w:sz w:val="20"/>
          <w:szCs w:val="20"/>
          <w:lang w:val="en-US"/>
        </w:rPr>
        <w:t xml:space="preserve"> </w:t>
      </w:r>
      <w:r w:rsidR="00341FEB" w:rsidRPr="00D869E3">
        <w:rPr>
          <w:rFonts w:ascii="Verdana" w:hAnsi="Verdana"/>
          <w:sz w:val="20"/>
          <w:szCs w:val="20"/>
          <w:lang w:val="en-US"/>
        </w:rPr>
        <w:t xml:space="preserve">had not disproved the charges against him, so that it was in order to </w:t>
      </w:r>
      <w:r w:rsidR="003A34C7" w:rsidRPr="00D869E3">
        <w:rPr>
          <w:rFonts w:ascii="Verdana" w:hAnsi="Verdana"/>
          <w:sz w:val="20"/>
          <w:szCs w:val="20"/>
          <w:lang w:val="en-US"/>
        </w:rPr>
        <w:t>sanction him with</w:t>
      </w:r>
      <w:r w:rsidR="00341FEB" w:rsidRPr="00D869E3">
        <w:rPr>
          <w:rFonts w:ascii="Verdana" w:hAnsi="Verdana"/>
          <w:sz w:val="20"/>
          <w:szCs w:val="20"/>
          <w:lang w:val="en-US"/>
        </w:rPr>
        <w:t xml:space="preserve"> dismissal, pursuant to the procedure established in </w:t>
      </w:r>
      <w:r w:rsidR="00447C65" w:rsidRPr="00D869E3">
        <w:rPr>
          <w:rFonts w:ascii="Verdana" w:hAnsi="Verdana"/>
          <w:sz w:val="20"/>
          <w:szCs w:val="20"/>
          <w:lang w:val="en-US"/>
        </w:rPr>
        <w:t>Article</w:t>
      </w:r>
      <w:r w:rsidR="00C01305" w:rsidRPr="00D869E3">
        <w:rPr>
          <w:rFonts w:ascii="Verdana" w:hAnsi="Verdana"/>
          <w:sz w:val="20"/>
          <w:szCs w:val="20"/>
          <w:lang w:val="en-US"/>
        </w:rPr>
        <w:t xml:space="preserve"> 6 </w:t>
      </w:r>
      <w:r w:rsidR="00C30192" w:rsidRPr="00D869E3">
        <w:rPr>
          <w:rFonts w:ascii="Verdana" w:hAnsi="Verdana"/>
          <w:sz w:val="20"/>
          <w:szCs w:val="20"/>
          <w:lang w:val="en-US"/>
        </w:rPr>
        <w:t>of the Decree</w:t>
      </w:r>
      <w:r w:rsidR="0003030B" w:rsidRPr="00D869E3">
        <w:rPr>
          <w:rFonts w:ascii="Verdana" w:hAnsi="Verdana"/>
          <w:sz w:val="20"/>
          <w:szCs w:val="20"/>
          <w:lang w:val="en-US"/>
        </w:rPr>
        <w:t>-Law</w:t>
      </w:r>
      <w:r w:rsidR="00C01305" w:rsidRPr="00D869E3">
        <w:rPr>
          <w:rFonts w:ascii="Verdana" w:hAnsi="Verdana"/>
          <w:sz w:val="20"/>
          <w:szCs w:val="20"/>
          <w:lang w:val="en-US"/>
        </w:rPr>
        <w:t xml:space="preserve"> (</w:t>
      </w:r>
      <w:r w:rsidR="00224537" w:rsidRPr="00D869E3">
        <w:rPr>
          <w:rFonts w:ascii="Verdana" w:hAnsi="Verdana"/>
          <w:i/>
          <w:sz w:val="20"/>
          <w:szCs w:val="20"/>
          <w:lang w:val="en-US"/>
        </w:rPr>
        <w:t>supra</w:t>
      </w:r>
      <w:r w:rsidR="00C01305" w:rsidRPr="00D869E3">
        <w:rPr>
          <w:rFonts w:ascii="Verdana" w:hAnsi="Verdana"/>
          <w:sz w:val="20"/>
          <w:szCs w:val="20"/>
          <w:lang w:val="en-US"/>
        </w:rPr>
        <w:t xml:space="preserve">, </w:t>
      </w:r>
      <w:r w:rsidR="0087339F" w:rsidRPr="00D869E3">
        <w:rPr>
          <w:rFonts w:ascii="Verdana" w:hAnsi="Verdana"/>
          <w:sz w:val="20"/>
          <w:szCs w:val="20"/>
          <w:lang w:val="en-US"/>
        </w:rPr>
        <w:t>para.</w:t>
      </w:r>
      <w:r w:rsidR="00C01305" w:rsidRPr="00D869E3">
        <w:rPr>
          <w:rFonts w:ascii="Verdana" w:hAnsi="Verdana"/>
          <w:sz w:val="20"/>
          <w:szCs w:val="20"/>
          <w:lang w:val="en-US"/>
        </w:rPr>
        <w:t xml:space="preserve"> </w:t>
      </w:r>
      <w:r w:rsidR="00332EE5" w:rsidRPr="00D869E3">
        <w:rPr>
          <w:rFonts w:ascii="Verdana" w:hAnsi="Verdana"/>
          <w:sz w:val="20"/>
          <w:szCs w:val="20"/>
          <w:lang w:val="en-US"/>
        </w:rPr>
        <w:t>55</w:t>
      </w:r>
      <w:r w:rsidR="00C01305" w:rsidRPr="00D869E3">
        <w:rPr>
          <w:rFonts w:ascii="Verdana" w:hAnsi="Verdana"/>
          <w:sz w:val="20"/>
          <w:szCs w:val="20"/>
          <w:lang w:val="en-US"/>
        </w:rPr>
        <w:t xml:space="preserve">), </w:t>
      </w:r>
      <w:r w:rsidR="00341FEB" w:rsidRPr="00D869E3">
        <w:rPr>
          <w:rFonts w:ascii="Verdana" w:hAnsi="Verdana"/>
          <w:sz w:val="20"/>
          <w:szCs w:val="20"/>
          <w:lang w:val="en-US"/>
        </w:rPr>
        <w:t xml:space="preserve">informing the administrative labor authority, and with the corresponding consequences </w:t>
      </w:r>
      <w:r w:rsidR="00C01305" w:rsidRPr="00D869E3">
        <w:rPr>
          <w:rFonts w:ascii="Verdana" w:hAnsi="Verdana"/>
          <w:sz w:val="20"/>
          <w:szCs w:val="20"/>
          <w:lang w:val="en-US"/>
        </w:rPr>
        <w:t>(</w:t>
      </w:r>
      <w:r w:rsidR="004868B2" w:rsidRPr="00D869E3">
        <w:rPr>
          <w:rFonts w:ascii="Verdana" w:hAnsi="Verdana"/>
          <w:i/>
          <w:sz w:val="20"/>
          <w:szCs w:val="20"/>
          <w:lang w:val="en-US"/>
        </w:rPr>
        <w:t>supra</w:t>
      </w:r>
      <w:r w:rsidR="00C01305" w:rsidRPr="00D869E3">
        <w:rPr>
          <w:rFonts w:ascii="Verdana" w:hAnsi="Verdana"/>
          <w:sz w:val="20"/>
          <w:szCs w:val="20"/>
          <w:lang w:val="en-US"/>
        </w:rPr>
        <w:t xml:space="preserve">, </w:t>
      </w:r>
      <w:r w:rsidR="0087339F" w:rsidRPr="00D869E3">
        <w:rPr>
          <w:rFonts w:ascii="Verdana" w:hAnsi="Verdana"/>
          <w:sz w:val="20"/>
          <w:szCs w:val="20"/>
          <w:lang w:val="en-US"/>
        </w:rPr>
        <w:t>para.</w:t>
      </w:r>
      <w:r w:rsidR="00C01305" w:rsidRPr="00D869E3">
        <w:rPr>
          <w:rFonts w:ascii="Verdana" w:hAnsi="Verdana"/>
          <w:sz w:val="20"/>
          <w:szCs w:val="20"/>
          <w:lang w:val="en-US"/>
        </w:rPr>
        <w:t xml:space="preserve"> </w:t>
      </w:r>
      <w:r w:rsidR="00332EE5" w:rsidRPr="00D869E3">
        <w:rPr>
          <w:rFonts w:ascii="Verdana" w:hAnsi="Verdana"/>
          <w:sz w:val="20"/>
          <w:szCs w:val="20"/>
          <w:lang w:val="en-US"/>
        </w:rPr>
        <w:t>57</w:t>
      </w:r>
      <w:r w:rsidR="00C01305" w:rsidRPr="00D869E3">
        <w:rPr>
          <w:rFonts w:ascii="Verdana" w:hAnsi="Verdana"/>
          <w:sz w:val="20"/>
          <w:szCs w:val="20"/>
          <w:lang w:val="en-US"/>
        </w:rPr>
        <w:t xml:space="preserve">). </w:t>
      </w:r>
    </w:p>
    <w:p w14:paraId="615035F2" w14:textId="77777777" w:rsidR="00C01305" w:rsidRPr="00D869E3" w:rsidRDefault="00C01305" w:rsidP="00CA58EF">
      <w:pPr>
        <w:contextualSpacing/>
        <w:rPr>
          <w:rFonts w:ascii="Verdana" w:hAnsi="Verdana"/>
          <w:b/>
          <w:sz w:val="20"/>
          <w:szCs w:val="20"/>
          <w:lang w:val="en-US"/>
        </w:rPr>
      </w:pPr>
    </w:p>
    <w:p w14:paraId="5D3273E2" w14:textId="6640D371" w:rsidR="00C01305" w:rsidRPr="00D869E3" w:rsidRDefault="00341FEB" w:rsidP="00E66DD7">
      <w:pPr>
        <w:numPr>
          <w:ilvl w:val="0"/>
          <w:numId w:val="1"/>
        </w:numPr>
        <w:shd w:val="clear" w:color="auto" w:fill="FFFFFF"/>
        <w:ind w:left="0" w:firstLine="0"/>
        <w:contextualSpacing/>
        <w:jc w:val="both"/>
        <w:rPr>
          <w:rFonts w:ascii="Verdana" w:hAnsi="Verdana"/>
          <w:sz w:val="20"/>
          <w:szCs w:val="20"/>
          <w:lang w:val="en-US"/>
        </w:rPr>
      </w:pPr>
      <w:r w:rsidRPr="00D869E3">
        <w:rPr>
          <w:rFonts w:ascii="Verdana" w:hAnsi="Verdana"/>
          <w:sz w:val="20"/>
          <w:szCs w:val="20"/>
          <w:lang w:val="en-US"/>
        </w:rPr>
        <w:t>In a complaint dated</w:t>
      </w:r>
      <w:r w:rsidR="002F5C4C" w:rsidRPr="00D869E3">
        <w:rPr>
          <w:rFonts w:ascii="Verdana" w:hAnsi="Verdana"/>
          <w:sz w:val="20"/>
          <w:szCs w:val="20"/>
          <w:lang w:val="en-US"/>
        </w:rPr>
        <w:t xml:space="preserve"> </w:t>
      </w:r>
      <w:r w:rsidRPr="00D869E3">
        <w:rPr>
          <w:rFonts w:ascii="Verdana" w:hAnsi="Verdana"/>
          <w:sz w:val="20"/>
          <w:szCs w:val="20"/>
          <w:lang w:val="en-US"/>
        </w:rPr>
        <w:t>July 26,</w:t>
      </w:r>
      <w:r w:rsidR="002F5C4C" w:rsidRPr="00D869E3">
        <w:rPr>
          <w:rFonts w:ascii="Verdana" w:hAnsi="Verdana"/>
          <w:sz w:val="20"/>
          <w:szCs w:val="20"/>
          <w:lang w:val="en-US"/>
        </w:rPr>
        <w:t xml:space="preserve"> 1989</w:t>
      </w:r>
      <w:r w:rsidRPr="00D869E3">
        <w:rPr>
          <w:rFonts w:ascii="Verdana" w:hAnsi="Verdana"/>
          <w:sz w:val="20"/>
          <w:szCs w:val="20"/>
          <w:lang w:val="en-US"/>
        </w:rPr>
        <w:t>,</w:t>
      </w:r>
      <w:r w:rsidR="002F5C4C"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C01305" w:rsidRPr="00D869E3">
        <w:rPr>
          <w:rFonts w:ascii="Verdana" w:hAnsi="Verdana"/>
          <w:sz w:val="20"/>
          <w:szCs w:val="20"/>
          <w:lang w:val="en-US"/>
        </w:rPr>
        <w:t xml:space="preserve"> </w:t>
      </w:r>
      <w:r w:rsidRPr="00D869E3">
        <w:rPr>
          <w:rFonts w:ascii="Verdana" w:hAnsi="Verdana"/>
          <w:sz w:val="20"/>
          <w:szCs w:val="20"/>
          <w:lang w:val="en-US"/>
        </w:rPr>
        <w:t>contested the dismissal as</w:t>
      </w:r>
      <w:r w:rsidR="00C01305"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unjustified and</w:t>
      </w:r>
      <w:r w:rsidR="00C01305" w:rsidRPr="00D869E3">
        <w:rPr>
          <w:rFonts w:ascii="Verdana" w:hAnsi="Verdana"/>
          <w:sz w:val="20"/>
          <w:szCs w:val="20"/>
          <w:lang w:val="en-US"/>
        </w:rPr>
        <w:t xml:space="preserve"> </w:t>
      </w:r>
      <w:r w:rsidR="004806A6" w:rsidRPr="00D869E3">
        <w:rPr>
          <w:rFonts w:ascii="Verdana" w:hAnsi="Verdana"/>
          <w:sz w:val="20"/>
          <w:szCs w:val="20"/>
          <w:lang w:val="en-US"/>
        </w:rPr>
        <w:t>unfair</w:t>
      </w:r>
      <w:r w:rsidR="003A34C7" w:rsidRPr="00D869E3">
        <w:rPr>
          <w:rFonts w:ascii="Verdana" w:hAnsi="Verdana"/>
          <w:sz w:val="20"/>
          <w:szCs w:val="20"/>
          <w:lang w:val="en-US"/>
        </w:rPr>
        <w:t>,</w:t>
      </w:r>
      <w:r w:rsidR="006436CA" w:rsidRPr="00D869E3">
        <w:rPr>
          <w:rFonts w:ascii="Verdana" w:hAnsi="Verdana"/>
          <w:sz w:val="20"/>
          <w:szCs w:val="20"/>
          <w:lang w:val="en-US"/>
        </w:rPr>
        <w:t>”</w:t>
      </w:r>
      <w:r w:rsidRPr="00D869E3">
        <w:rPr>
          <w:rFonts w:ascii="Verdana" w:hAnsi="Verdana"/>
          <w:sz w:val="20"/>
          <w:szCs w:val="20"/>
          <w:lang w:val="en-US"/>
        </w:rPr>
        <w:t xml:space="preserve"> </w:t>
      </w:r>
      <w:r w:rsidR="003A34C7" w:rsidRPr="00D869E3">
        <w:rPr>
          <w:rFonts w:ascii="Verdana" w:hAnsi="Verdana"/>
          <w:sz w:val="20"/>
          <w:szCs w:val="20"/>
          <w:lang w:val="en-US"/>
        </w:rPr>
        <w:t>A</w:t>
      </w:r>
      <w:r w:rsidRPr="00D869E3">
        <w:rPr>
          <w:rFonts w:ascii="Verdana" w:hAnsi="Verdana"/>
          <w:sz w:val="20"/>
          <w:szCs w:val="20"/>
          <w:lang w:val="en-US"/>
        </w:rPr>
        <w:t xml:space="preserve">ccordingly, Peru’s labor jurisdiction was called on to assess the necessity of the restriction imposed, and </w:t>
      </w:r>
      <w:r w:rsidR="003A34C7" w:rsidRPr="00D869E3">
        <w:rPr>
          <w:rFonts w:ascii="Verdana" w:hAnsi="Verdana"/>
          <w:sz w:val="20"/>
          <w:szCs w:val="20"/>
          <w:lang w:val="en-US"/>
        </w:rPr>
        <w:t xml:space="preserve">was </w:t>
      </w:r>
      <w:r w:rsidRPr="00D869E3">
        <w:rPr>
          <w:rFonts w:ascii="Verdana" w:hAnsi="Verdana"/>
          <w:sz w:val="20"/>
          <w:szCs w:val="20"/>
          <w:lang w:val="en-US"/>
        </w:rPr>
        <w:t xml:space="preserve">expressly asked to evaluate the necessity of applying the penalty </w:t>
      </w:r>
      <w:r w:rsidR="00C01305" w:rsidRPr="00D869E3">
        <w:rPr>
          <w:rFonts w:ascii="Verdana" w:hAnsi="Verdana"/>
          <w:sz w:val="20"/>
          <w:szCs w:val="20"/>
          <w:lang w:val="en-US"/>
        </w:rPr>
        <w:t>(</w:t>
      </w:r>
      <w:r w:rsidR="00224537" w:rsidRPr="00D869E3">
        <w:rPr>
          <w:rFonts w:ascii="Verdana" w:hAnsi="Verdana"/>
          <w:i/>
          <w:sz w:val="20"/>
          <w:szCs w:val="20"/>
          <w:lang w:val="en-US"/>
        </w:rPr>
        <w:t>supra</w:t>
      </w:r>
      <w:r w:rsidR="00C01305" w:rsidRPr="00D869E3">
        <w:rPr>
          <w:rFonts w:ascii="Verdana" w:hAnsi="Verdana"/>
          <w:sz w:val="20"/>
          <w:szCs w:val="20"/>
          <w:lang w:val="en-US"/>
        </w:rPr>
        <w:t xml:space="preserve">, </w:t>
      </w:r>
      <w:r w:rsidR="0087339F" w:rsidRPr="00D869E3">
        <w:rPr>
          <w:rFonts w:ascii="Verdana" w:hAnsi="Verdana"/>
          <w:sz w:val="20"/>
          <w:szCs w:val="20"/>
          <w:lang w:val="en-US"/>
        </w:rPr>
        <w:t>para.</w:t>
      </w:r>
      <w:r w:rsidR="00C01305" w:rsidRPr="00D869E3">
        <w:rPr>
          <w:rFonts w:ascii="Verdana" w:hAnsi="Verdana"/>
          <w:sz w:val="20"/>
          <w:szCs w:val="20"/>
          <w:lang w:val="en-US"/>
        </w:rPr>
        <w:t xml:space="preserve"> </w:t>
      </w:r>
      <w:r w:rsidR="000023EA" w:rsidRPr="00D869E3">
        <w:rPr>
          <w:rFonts w:ascii="Verdana" w:hAnsi="Verdana"/>
          <w:sz w:val="20"/>
          <w:szCs w:val="20"/>
          <w:lang w:val="en-US"/>
        </w:rPr>
        <w:t>58</w:t>
      </w:r>
      <w:r w:rsidR="00C01305" w:rsidRPr="00D869E3">
        <w:rPr>
          <w:rFonts w:ascii="Verdana" w:hAnsi="Verdana"/>
          <w:sz w:val="20"/>
          <w:szCs w:val="20"/>
          <w:lang w:val="en-US"/>
        </w:rPr>
        <w:t xml:space="preserve">). </w:t>
      </w:r>
    </w:p>
    <w:p w14:paraId="3042D1F6" w14:textId="77777777" w:rsidR="00625FAD" w:rsidRPr="00D869E3" w:rsidRDefault="00625FAD" w:rsidP="00CB5A95">
      <w:pPr>
        <w:pStyle w:val="Prrafodelista"/>
        <w:rPr>
          <w:rFonts w:ascii="Verdana" w:hAnsi="Verdana"/>
          <w:sz w:val="20"/>
          <w:szCs w:val="20"/>
          <w:lang w:val="en-US"/>
        </w:rPr>
      </w:pPr>
    </w:p>
    <w:p w14:paraId="110EFEB0" w14:textId="4B664D59" w:rsidR="00625FAD" w:rsidRPr="00D869E3" w:rsidRDefault="00341FEB" w:rsidP="00341FEB">
      <w:pPr>
        <w:numPr>
          <w:ilvl w:val="0"/>
          <w:numId w:val="1"/>
        </w:numPr>
        <w:shd w:val="clear" w:color="auto" w:fill="FFFFFF"/>
        <w:ind w:left="0" w:firstLine="0"/>
        <w:contextualSpacing/>
        <w:jc w:val="both"/>
        <w:rPr>
          <w:rFonts w:ascii="Verdana" w:hAnsi="Verdana"/>
          <w:sz w:val="20"/>
          <w:szCs w:val="20"/>
          <w:lang w:val="en-US"/>
        </w:rPr>
      </w:pPr>
      <w:r w:rsidRPr="00D869E3">
        <w:rPr>
          <w:rFonts w:ascii="Verdana" w:hAnsi="Verdana"/>
          <w:kern w:val="1"/>
          <w:sz w:val="20"/>
          <w:szCs w:val="20"/>
          <w:lang w:val="en-US"/>
        </w:rPr>
        <w:t>In consequence,</w:t>
      </w:r>
      <w:r w:rsidR="00625FAD" w:rsidRPr="00D869E3">
        <w:rPr>
          <w:rFonts w:ascii="Verdana" w:hAnsi="Verdana"/>
          <w:kern w:val="1"/>
          <w:sz w:val="20"/>
          <w:szCs w:val="20"/>
          <w:lang w:val="en-US"/>
        </w:rPr>
        <w:t xml:space="preserve"> </w:t>
      </w:r>
      <w:r w:rsidR="003506CC" w:rsidRPr="00D869E3">
        <w:rPr>
          <w:rFonts w:ascii="Verdana" w:hAnsi="Verdana"/>
          <w:kern w:val="1"/>
          <w:sz w:val="20"/>
          <w:szCs w:val="20"/>
          <w:lang w:val="en-US"/>
        </w:rPr>
        <w:t>the Second Labor Court</w:t>
      </w:r>
      <w:r w:rsidRPr="00D869E3">
        <w:rPr>
          <w:rFonts w:ascii="Verdana" w:hAnsi="Verdana"/>
          <w:sz w:val="20"/>
          <w:szCs w:val="20"/>
          <w:lang w:val="en-US"/>
        </w:rPr>
        <w:t xml:space="preserve">, which evaluated the dismissal, indicated that “in reiterated final </w:t>
      </w:r>
      <w:r w:rsidR="003A34C7" w:rsidRPr="00D869E3">
        <w:rPr>
          <w:rFonts w:ascii="Verdana" w:hAnsi="Verdana"/>
          <w:sz w:val="20"/>
          <w:szCs w:val="20"/>
          <w:lang w:val="en-US"/>
        </w:rPr>
        <w:t>judgments</w:t>
      </w:r>
      <w:r w:rsidRPr="00D869E3">
        <w:rPr>
          <w:rFonts w:ascii="Verdana" w:hAnsi="Verdana"/>
          <w:sz w:val="20"/>
          <w:szCs w:val="20"/>
          <w:lang w:val="en-US"/>
        </w:rPr>
        <w:t xml:space="preserve"> of this Court […] it has been established that the worker who makes statements or whose opinions published in newspapers offend</w:t>
      </w:r>
      <w:r w:rsidR="003A34C7" w:rsidRPr="00D869E3">
        <w:rPr>
          <w:rFonts w:ascii="Verdana" w:hAnsi="Verdana"/>
          <w:sz w:val="20"/>
          <w:szCs w:val="20"/>
          <w:lang w:val="en-US"/>
        </w:rPr>
        <w:t>s</w:t>
      </w:r>
      <w:r w:rsidRPr="00D869E3">
        <w:rPr>
          <w:rFonts w:ascii="Verdana" w:hAnsi="Verdana"/>
          <w:sz w:val="20"/>
          <w:szCs w:val="20"/>
          <w:lang w:val="en-US"/>
        </w:rPr>
        <w:t xml:space="preserve"> the honor and image of the employer commits the serious offense established </w:t>
      </w:r>
      <w:r w:rsidRPr="00D869E3">
        <w:rPr>
          <w:rFonts w:ascii="Verdana" w:hAnsi="Verdana"/>
          <w:kern w:val="1"/>
          <w:sz w:val="20"/>
          <w:szCs w:val="20"/>
          <w:lang w:val="en-US"/>
        </w:rPr>
        <w:t>in paragraphs</w:t>
      </w:r>
      <w:r w:rsidR="00625FAD" w:rsidRPr="00D869E3">
        <w:rPr>
          <w:rFonts w:ascii="Verdana" w:hAnsi="Verdana"/>
          <w:kern w:val="1"/>
          <w:sz w:val="20"/>
          <w:szCs w:val="20"/>
          <w:lang w:val="en-US"/>
        </w:rPr>
        <w:t xml:space="preserve"> </w:t>
      </w:r>
      <w:r w:rsidRPr="00D869E3">
        <w:rPr>
          <w:rFonts w:ascii="Verdana" w:hAnsi="Verdana"/>
          <w:kern w:val="1"/>
          <w:sz w:val="20"/>
          <w:szCs w:val="20"/>
          <w:lang w:val="en-US"/>
        </w:rPr>
        <w:t>(</w:t>
      </w:r>
      <w:r w:rsidR="00625FAD" w:rsidRPr="00D869E3">
        <w:rPr>
          <w:rFonts w:ascii="Verdana" w:hAnsi="Verdana"/>
          <w:kern w:val="1"/>
          <w:sz w:val="20"/>
          <w:szCs w:val="20"/>
          <w:lang w:val="en-US"/>
        </w:rPr>
        <w:t>a)</w:t>
      </w:r>
      <w:r w:rsidR="00687684" w:rsidRPr="00D869E3">
        <w:rPr>
          <w:rFonts w:ascii="Verdana" w:hAnsi="Verdana"/>
          <w:kern w:val="1"/>
          <w:sz w:val="20"/>
          <w:szCs w:val="20"/>
          <w:lang w:val="en-US"/>
        </w:rPr>
        <w:t xml:space="preserve"> and </w:t>
      </w:r>
      <w:r w:rsidRPr="00D869E3">
        <w:rPr>
          <w:rFonts w:ascii="Verdana" w:hAnsi="Verdana"/>
          <w:kern w:val="1"/>
          <w:sz w:val="20"/>
          <w:szCs w:val="20"/>
          <w:lang w:val="en-US"/>
        </w:rPr>
        <w:t>(</w:t>
      </w:r>
      <w:r w:rsidR="00625FAD" w:rsidRPr="00D869E3">
        <w:rPr>
          <w:rFonts w:ascii="Verdana" w:hAnsi="Verdana"/>
          <w:kern w:val="1"/>
          <w:sz w:val="20"/>
          <w:szCs w:val="20"/>
          <w:lang w:val="en-US"/>
        </w:rPr>
        <w:t xml:space="preserve">h) </w:t>
      </w:r>
      <w:r w:rsidR="00687684" w:rsidRPr="00D869E3">
        <w:rPr>
          <w:rFonts w:ascii="Verdana" w:hAnsi="Verdana"/>
          <w:kern w:val="1"/>
          <w:sz w:val="20"/>
          <w:szCs w:val="20"/>
          <w:lang w:val="en-US"/>
        </w:rPr>
        <w:t>of Article</w:t>
      </w:r>
      <w:r w:rsidR="00625FAD" w:rsidRPr="00D869E3">
        <w:rPr>
          <w:rFonts w:ascii="Verdana" w:hAnsi="Verdana"/>
          <w:kern w:val="1"/>
          <w:sz w:val="20"/>
          <w:szCs w:val="20"/>
          <w:lang w:val="en-US"/>
        </w:rPr>
        <w:t xml:space="preserve"> 5 </w:t>
      </w:r>
      <w:r w:rsidRPr="00D869E3">
        <w:rPr>
          <w:rFonts w:ascii="Verdana" w:hAnsi="Verdana"/>
          <w:kern w:val="1"/>
          <w:sz w:val="20"/>
          <w:szCs w:val="20"/>
          <w:lang w:val="en-US"/>
        </w:rPr>
        <w:t>of</w:t>
      </w:r>
      <w:r w:rsidR="00625FAD" w:rsidRPr="00D869E3">
        <w:rPr>
          <w:rFonts w:ascii="Verdana" w:hAnsi="Verdana"/>
          <w:kern w:val="1"/>
          <w:sz w:val="20"/>
          <w:szCs w:val="20"/>
          <w:lang w:val="en-US"/>
        </w:rPr>
        <w:t xml:space="preserve"> </w:t>
      </w:r>
      <w:r w:rsidR="00852CCA" w:rsidRPr="00D869E3">
        <w:rPr>
          <w:rFonts w:ascii="Verdana" w:hAnsi="Verdana"/>
          <w:kern w:val="1"/>
          <w:sz w:val="20"/>
          <w:szCs w:val="20"/>
          <w:lang w:val="en-US"/>
        </w:rPr>
        <w:t>Law</w:t>
      </w:r>
      <w:r w:rsidR="00625FAD" w:rsidRPr="00D869E3">
        <w:rPr>
          <w:rFonts w:ascii="Verdana" w:hAnsi="Verdana"/>
          <w:kern w:val="1"/>
          <w:sz w:val="20"/>
          <w:szCs w:val="20"/>
          <w:lang w:val="en-US"/>
        </w:rPr>
        <w:t xml:space="preserve"> 24514</w:t>
      </w:r>
      <w:r w:rsidRPr="00D869E3">
        <w:rPr>
          <w:rFonts w:ascii="Verdana" w:hAnsi="Verdana"/>
          <w:kern w:val="1"/>
          <w:sz w:val="20"/>
          <w:szCs w:val="20"/>
          <w:lang w:val="en-US"/>
        </w:rPr>
        <w:t xml:space="preserve">.” In addition, after quoting some lines from the interview in dispute it concluded that “the offensive words indicated in the preceding paragraph constitute[d] serious insubordination or </w:t>
      </w:r>
      <w:r w:rsidR="00440D99" w:rsidRPr="00D869E3">
        <w:rPr>
          <w:rFonts w:ascii="Verdana" w:hAnsi="Verdana"/>
          <w:kern w:val="1"/>
          <w:sz w:val="20"/>
          <w:szCs w:val="20"/>
          <w:lang w:val="en-US"/>
        </w:rPr>
        <w:t xml:space="preserve">serious verbal </w:t>
      </w:r>
      <w:r w:rsidR="009D2A11" w:rsidRPr="00D869E3">
        <w:rPr>
          <w:rFonts w:ascii="Verdana" w:hAnsi="Verdana"/>
          <w:kern w:val="1"/>
          <w:sz w:val="20"/>
          <w:szCs w:val="20"/>
          <w:lang w:val="en-US"/>
        </w:rPr>
        <w:t>misconduct</w:t>
      </w:r>
      <w:r w:rsidR="00440D99" w:rsidRPr="00D869E3">
        <w:rPr>
          <w:rFonts w:ascii="Verdana" w:hAnsi="Verdana"/>
          <w:kern w:val="1"/>
          <w:sz w:val="20"/>
          <w:szCs w:val="20"/>
          <w:lang w:val="en-US"/>
        </w:rPr>
        <w:t xml:space="preserve"> against the employer, </w:t>
      </w:r>
      <w:r w:rsidR="003A34C7" w:rsidRPr="00D869E3">
        <w:rPr>
          <w:rFonts w:ascii="Verdana" w:hAnsi="Verdana"/>
          <w:kern w:val="1"/>
          <w:sz w:val="20"/>
          <w:szCs w:val="20"/>
          <w:lang w:val="en-US"/>
        </w:rPr>
        <w:t>its</w:t>
      </w:r>
      <w:r w:rsidR="00440D99" w:rsidRPr="00D869E3">
        <w:rPr>
          <w:rFonts w:ascii="Verdana" w:hAnsi="Verdana"/>
          <w:kern w:val="1"/>
          <w:sz w:val="20"/>
          <w:szCs w:val="20"/>
          <w:lang w:val="en-US"/>
        </w:rPr>
        <w:t xml:space="preserve"> representatives and co-workers, as the newspaper statements of the plaintiff referred to members of the Board of Directors and co-workers in his workplace.</w:t>
      </w:r>
      <w:r w:rsidR="006436CA" w:rsidRPr="00D869E3">
        <w:rPr>
          <w:rFonts w:ascii="Verdana" w:hAnsi="Verdana"/>
          <w:sz w:val="20"/>
          <w:szCs w:val="20"/>
          <w:lang w:val="en-US"/>
        </w:rPr>
        <w:t>”</w:t>
      </w:r>
      <w:r w:rsidR="00625FAD" w:rsidRPr="00D869E3">
        <w:rPr>
          <w:rFonts w:ascii="Verdana" w:hAnsi="Verdana"/>
          <w:sz w:val="20"/>
          <w:szCs w:val="20"/>
          <w:vertAlign w:val="superscript"/>
          <w:lang w:val="en-US"/>
        </w:rPr>
        <w:footnoteReference w:id="168"/>
      </w:r>
      <w:r w:rsidR="00440D99" w:rsidRPr="00D869E3">
        <w:rPr>
          <w:rFonts w:ascii="Verdana" w:hAnsi="Verdana"/>
          <w:sz w:val="20"/>
          <w:szCs w:val="20"/>
          <w:lang w:val="en-US"/>
        </w:rPr>
        <w:t xml:space="preserve"> </w:t>
      </w:r>
      <w:r w:rsidR="003A34C7" w:rsidRPr="00D869E3">
        <w:rPr>
          <w:rFonts w:ascii="Verdana" w:hAnsi="Verdana"/>
          <w:sz w:val="20"/>
          <w:szCs w:val="20"/>
          <w:lang w:val="en-US"/>
        </w:rPr>
        <w:t>It also</w:t>
      </w:r>
      <w:r w:rsidR="00440D99" w:rsidRPr="00D869E3">
        <w:rPr>
          <w:rFonts w:ascii="Verdana" w:hAnsi="Verdana"/>
          <w:sz w:val="20"/>
          <w:szCs w:val="20"/>
          <w:lang w:val="en-US"/>
        </w:rPr>
        <w:t xml:space="preserve"> indicated that “the Constitution guarantees </w:t>
      </w:r>
      <w:r w:rsidR="00A62EA8" w:rsidRPr="00D869E3">
        <w:rPr>
          <w:rFonts w:ascii="Verdana" w:hAnsi="Verdana"/>
          <w:kern w:val="1"/>
          <w:sz w:val="20"/>
          <w:szCs w:val="20"/>
          <w:lang w:val="en-US"/>
        </w:rPr>
        <w:t>freedom of expression</w:t>
      </w:r>
      <w:r w:rsidR="00625FAD" w:rsidRPr="00D869E3">
        <w:rPr>
          <w:rFonts w:ascii="Verdana" w:hAnsi="Verdana"/>
          <w:kern w:val="1"/>
          <w:sz w:val="20"/>
          <w:szCs w:val="20"/>
          <w:lang w:val="en-US"/>
        </w:rPr>
        <w:t xml:space="preserve">, </w:t>
      </w:r>
      <w:r w:rsidR="00440D99" w:rsidRPr="00D869E3">
        <w:rPr>
          <w:rFonts w:ascii="Verdana" w:hAnsi="Verdana"/>
          <w:kern w:val="1"/>
          <w:sz w:val="20"/>
          <w:szCs w:val="20"/>
          <w:lang w:val="en-US"/>
        </w:rPr>
        <w:t>but not to offend the honor and dignity of senior members of the employer’s company.</w:t>
      </w:r>
      <w:r w:rsidR="006436CA" w:rsidRPr="00D869E3">
        <w:rPr>
          <w:rFonts w:ascii="Verdana" w:hAnsi="Verdana"/>
          <w:kern w:val="1"/>
          <w:sz w:val="20"/>
          <w:szCs w:val="20"/>
          <w:lang w:val="en-US"/>
        </w:rPr>
        <w:t>”</w:t>
      </w:r>
      <w:r w:rsidR="00473B78" w:rsidRPr="00D869E3">
        <w:rPr>
          <w:rFonts w:ascii="Verdana" w:hAnsi="Verdana"/>
          <w:kern w:val="1"/>
          <w:sz w:val="20"/>
          <w:szCs w:val="20"/>
          <w:lang w:val="en-US"/>
        </w:rPr>
        <w:t xml:space="preserve"> </w:t>
      </w:r>
    </w:p>
    <w:p w14:paraId="73947F50" w14:textId="77777777" w:rsidR="00C01305" w:rsidRPr="00D869E3" w:rsidRDefault="00C01305" w:rsidP="00CA58EF">
      <w:pPr>
        <w:shd w:val="clear" w:color="auto" w:fill="FFFFFF"/>
        <w:contextualSpacing/>
        <w:jc w:val="both"/>
        <w:rPr>
          <w:rFonts w:ascii="Verdana" w:hAnsi="Verdana"/>
          <w:b/>
          <w:sz w:val="20"/>
          <w:szCs w:val="20"/>
          <w:lang w:val="en-US"/>
        </w:rPr>
      </w:pPr>
    </w:p>
    <w:p w14:paraId="507AC225" w14:textId="22CEB1B0" w:rsidR="00E6716F" w:rsidRPr="00D869E3" w:rsidRDefault="00C01305" w:rsidP="007E7865">
      <w:pPr>
        <w:numPr>
          <w:ilvl w:val="0"/>
          <w:numId w:val="1"/>
        </w:numPr>
        <w:shd w:val="clear" w:color="auto" w:fill="FFFFFF"/>
        <w:ind w:left="0" w:firstLine="0"/>
        <w:contextualSpacing/>
        <w:jc w:val="both"/>
        <w:rPr>
          <w:rFonts w:ascii="Verdana" w:hAnsi="Verdana"/>
          <w:sz w:val="20"/>
          <w:szCs w:val="20"/>
          <w:lang w:val="en-US"/>
        </w:rPr>
      </w:pPr>
      <w:r w:rsidRPr="00D869E3">
        <w:rPr>
          <w:rFonts w:ascii="Verdana" w:hAnsi="Verdana"/>
          <w:sz w:val="20"/>
          <w:szCs w:val="20"/>
          <w:lang w:val="en-US"/>
        </w:rPr>
        <w:t>Re</w:t>
      </w:r>
      <w:r w:rsidR="000D2957" w:rsidRPr="00D869E3">
        <w:rPr>
          <w:rFonts w:ascii="Verdana" w:hAnsi="Verdana"/>
          <w:sz w:val="20"/>
          <w:szCs w:val="20"/>
          <w:lang w:val="en-US"/>
        </w:rPr>
        <w:t>garding the requirement of necessity in relation to the sanction imposed</w:t>
      </w:r>
      <w:r w:rsidRPr="00D869E3">
        <w:rPr>
          <w:rFonts w:ascii="Verdana" w:hAnsi="Verdana"/>
          <w:sz w:val="20"/>
          <w:szCs w:val="20"/>
          <w:lang w:val="en-US"/>
        </w:rPr>
        <w:t xml:space="preserve">, </w:t>
      </w:r>
      <w:r w:rsidR="00447C65" w:rsidRPr="00D869E3">
        <w:rPr>
          <w:rFonts w:ascii="Verdana" w:hAnsi="Verdana"/>
          <w:sz w:val="20"/>
          <w:szCs w:val="20"/>
          <w:lang w:val="en-US"/>
        </w:rPr>
        <w:t>the Court</w:t>
      </w:r>
      <w:r w:rsidRPr="00D869E3">
        <w:rPr>
          <w:rFonts w:ascii="Verdana" w:hAnsi="Verdana"/>
          <w:sz w:val="20"/>
          <w:szCs w:val="20"/>
          <w:lang w:val="en-US"/>
        </w:rPr>
        <w:t xml:space="preserve"> not</w:t>
      </w:r>
      <w:r w:rsidR="000D2957" w:rsidRPr="00D869E3">
        <w:rPr>
          <w:rFonts w:ascii="Verdana" w:hAnsi="Verdana"/>
          <w:sz w:val="20"/>
          <w:szCs w:val="20"/>
          <w:lang w:val="en-US"/>
        </w:rPr>
        <w:t>es that</w:t>
      </w:r>
      <w:r w:rsidRPr="00D869E3">
        <w:rPr>
          <w:rFonts w:ascii="Verdana" w:hAnsi="Verdana"/>
          <w:sz w:val="20"/>
          <w:szCs w:val="20"/>
          <w:lang w:val="en-US"/>
        </w:rPr>
        <w:t xml:space="preserve"> </w:t>
      </w:r>
      <w:r w:rsidR="00447C65" w:rsidRPr="00D869E3">
        <w:rPr>
          <w:rFonts w:ascii="Verdana" w:hAnsi="Verdana"/>
          <w:sz w:val="20"/>
          <w:szCs w:val="20"/>
          <w:lang w:val="en-US"/>
        </w:rPr>
        <w:t>the State</w:t>
      </w:r>
      <w:r w:rsidRPr="00D869E3">
        <w:rPr>
          <w:rFonts w:ascii="Verdana" w:hAnsi="Verdana"/>
          <w:sz w:val="20"/>
          <w:szCs w:val="20"/>
          <w:lang w:val="en-US"/>
        </w:rPr>
        <w:t xml:space="preserve">, </w:t>
      </w:r>
      <w:r w:rsidR="000D2957" w:rsidRPr="00D869E3">
        <w:rPr>
          <w:rFonts w:ascii="Verdana" w:hAnsi="Verdana"/>
          <w:sz w:val="20"/>
          <w:szCs w:val="20"/>
          <w:lang w:val="en-US"/>
        </w:rPr>
        <w:t>through</w:t>
      </w:r>
      <w:r w:rsidR="003506CC" w:rsidRPr="00D869E3">
        <w:rPr>
          <w:rFonts w:ascii="Verdana" w:hAnsi="Verdana"/>
          <w:sz w:val="20"/>
          <w:szCs w:val="20"/>
          <w:lang w:val="en-US"/>
        </w:rPr>
        <w:t xml:space="preserve"> the Second Labor Court</w:t>
      </w:r>
      <w:r w:rsidR="000D2957" w:rsidRPr="00D869E3">
        <w:rPr>
          <w:rFonts w:ascii="Verdana" w:hAnsi="Verdana"/>
          <w:sz w:val="20"/>
          <w:szCs w:val="20"/>
          <w:lang w:val="en-US"/>
        </w:rPr>
        <w:t>, which delivered the final decision, did not consider the following fundamental elements in its analysis: (</w:t>
      </w:r>
      <w:r w:rsidRPr="00D869E3">
        <w:rPr>
          <w:rFonts w:ascii="Verdana" w:hAnsi="Verdana"/>
          <w:sz w:val="20"/>
          <w:szCs w:val="20"/>
          <w:lang w:val="en-US"/>
        </w:rPr>
        <w:t xml:space="preserve">i) </w:t>
      </w:r>
      <w:r w:rsidR="001E44D3" w:rsidRPr="00D869E3">
        <w:rPr>
          <w:rFonts w:ascii="Verdana" w:hAnsi="Verdana"/>
          <w:sz w:val="20"/>
          <w:szCs w:val="20"/>
          <w:lang w:val="en-US"/>
        </w:rPr>
        <w:t>Mr. Lagos del Campo</w:t>
      </w:r>
      <w:r w:rsidRPr="00D869E3">
        <w:rPr>
          <w:rFonts w:ascii="Verdana" w:hAnsi="Verdana"/>
          <w:sz w:val="20"/>
          <w:szCs w:val="20"/>
          <w:lang w:val="en-US"/>
        </w:rPr>
        <w:t xml:space="preserve"> </w:t>
      </w:r>
      <w:r w:rsidR="000D2957" w:rsidRPr="00D869E3">
        <w:rPr>
          <w:rFonts w:ascii="Verdana" w:hAnsi="Verdana"/>
          <w:sz w:val="20"/>
          <w:szCs w:val="20"/>
          <w:lang w:val="en-US"/>
        </w:rPr>
        <w:t xml:space="preserve">was a representative elected by the workers and was acting in exercise of his mandate </w:t>
      </w:r>
      <w:r w:rsidRPr="00D869E3">
        <w:rPr>
          <w:rFonts w:ascii="Verdana" w:hAnsi="Verdana"/>
          <w:sz w:val="20"/>
          <w:szCs w:val="20"/>
          <w:lang w:val="en-US"/>
        </w:rPr>
        <w:t>(</w:t>
      </w:r>
      <w:r w:rsidR="00224537" w:rsidRPr="00D869E3">
        <w:rPr>
          <w:rFonts w:ascii="Verdana" w:hAnsi="Verdana"/>
          <w:i/>
          <w:sz w:val="20"/>
          <w:szCs w:val="20"/>
          <w:lang w:val="en-US"/>
        </w:rPr>
        <w:t>supra</w:t>
      </w:r>
      <w:r w:rsidR="00FC6BA5" w:rsidRPr="00D869E3">
        <w:rPr>
          <w:rFonts w:ascii="Verdana" w:hAnsi="Verdana"/>
          <w:i/>
          <w:sz w:val="20"/>
          <w:szCs w:val="20"/>
          <w:lang w:val="en-US"/>
        </w:rPr>
        <w:t xml:space="preserve"> </w:t>
      </w:r>
      <w:r w:rsidR="0087339F" w:rsidRPr="00D869E3">
        <w:rPr>
          <w:rFonts w:ascii="Verdana" w:hAnsi="Verdana"/>
          <w:sz w:val="20"/>
          <w:szCs w:val="20"/>
          <w:lang w:val="en-US"/>
        </w:rPr>
        <w:t>para.</w:t>
      </w:r>
      <w:r w:rsidRPr="00D869E3">
        <w:rPr>
          <w:rFonts w:ascii="Verdana" w:hAnsi="Verdana"/>
          <w:sz w:val="20"/>
          <w:szCs w:val="20"/>
          <w:lang w:val="en-US"/>
        </w:rPr>
        <w:t xml:space="preserve"> </w:t>
      </w:r>
      <w:r w:rsidR="00050C63" w:rsidRPr="00D869E3">
        <w:rPr>
          <w:rFonts w:ascii="Verdana" w:hAnsi="Verdana"/>
          <w:sz w:val="20"/>
          <w:szCs w:val="20"/>
          <w:lang w:val="en-US"/>
        </w:rPr>
        <w:t>10</w:t>
      </w:r>
      <w:r w:rsidR="000023EA" w:rsidRPr="00D869E3">
        <w:rPr>
          <w:rFonts w:ascii="Verdana" w:hAnsi="Verdana"/>
          <w:sz w:val="20"/>
          <w:szCs w:val="20"/>
          <w:lang w:val="en-US"/>
        </w:rPr>
        <w:t>8</w:t>
      </w:r>
      <w:r w:rsidRPr="00D869E3">
        <w:rPr>
          <w:rFonts w:ascii="Verdana" w:hAnsi="Verdana"/>
          <w:sz w:val="20"/>
          <w:szCs w:val="20"/>
          <w:lang w:val="en-US"/>
        </w:rPr>
        <w:t xml:space="preserve">); </w:t>
      </w:r>
      <w:r w:rsidR="000D2957" w:rsidRPr="00D869E3">
        <w:rPr>
          <w:rFonts w:ascii="Verdana" w:hAnsi="Verdana"/>
          <w:sz w:val="20"/>
          <w:szCs w:val="20"/>
          <w:lang w:val="en-US"/>
        </w:rPr>
        <w:t>(</w:t>
      </w:r>
      <w:r w:rsidRPr="00D869E3">
        <w:rPr>
          <w:rFonts w:ascii="Verdana" w:hAnsi="Verdana"/>
          <w:sz w:val="20"/>
          <w:szCs w:val="20"/>
          <w:lang w:val="en-US"/>
        </w:rPr>
        <w:t xml:space="preserve">ii) </w:t>
      </w:r>
      <w:r w:rsidR="000D2957" w:rsidRPr="00D869E3">
        <w:rPr>
          <w:rFonts w:ascii="Verdana" w:hAnsi="Verdana"/>
          <w:sz w:val="20"/>
          <w:szCs w:val="20"/>
          <w:lang w:val="en-US"/>
        </w:rPr>
        <w:t>his statements were made in the context of his functions and of an electoral debate and, consequently, were of general and collective interest; (iii) his statements were subject to enhanced protection in the exercise of his functions; (iv)</w:t>
      </w:r>
      <w:r w:rsidRPr="00D869E3">
        <w:rPr>
          <w:rFonts w:ascii="Verdana" w:hAnsi="Verdana"/>
          <w:sz w:val="20"/>
          <w:szCs w:val="20"/>
          <w:lang w:val="en-US"/>
        </w:rPr>
        <w:t xml:space="preserve"> </w:t>
      </w:r>
      <w:r w:rsidR="000D2957" w:rsidRPr="00D869E3">
        <w:rPr>
          <w:rFonts w:ascii="Verdana" w:hAnsi="Verdana"/>
          <w:sz w:val="20"/>
          <w:szCs w:val="20"/>
          <w:lang w:val="en-US"/>
        </w:rPr>
        <w:t>the statements</w:t>
      </w:r>
      <w:r w:rsidR="003A34C7" w:rsidRPr="00D869E3">
        <w:rPr>
          <w:rFonts w:ascii="Verdana" w:hAnsi="Verdana"/>
          <w:sz w:val="20"/>
          <w:szCs w:val="20"/>
          <w:lang w:val="en-US"/>
        </w:rPr>
        <w:t xml:space="preserve"> were not of such import that they</w:t>
      </w:r>
      <w:r w:rsidR="000D2957" w:rsidRPr="00D869E3">
        <w:rPr>
          <w:rFonts w:ascii="Verdana" w:hAnsi="Verdana"/>
          <w:sz w:val="20"/>
          <w:szCs w:val="20"/>
          <w:lang w:val="en-US"/>
        </w:rPr>
        <w:t xml:space="preserve"> exceed</w:t>
      </w:r>
      <w:r w:rsidR="003A34C7" w:rsidRPr="00D869E3">
        <w:rPr>
          <w:rFonts w:ascii="Verdana" w:hAnsi="Verdana"/>
          <w:sz w:val="20"/>
          <w:szCs w:val="20"/>
          <w:lang w:val="en-US"/>
        </w:rPr>
        <w:t>ed</w:t>
      </w:r>
      <w:r w:rsidR="000D2957" w:rsidRPr="00D869E3">
        <w:rPr>
          <w:rFonts w:ascii="Verdana" w:hAnsi="Verdana"/>
          <w:sz w:val="20"/>
          <w:szCs w:val="20"/>
          <w:lang w:val="en-US"/>
        </w:rPr>
        <w:t xml:space="preserve"> the threshold of protection in view of the electoral and labor context, and (v) it was not proved that there was an overriding ne</w:t>
      </w:r>
      <w:r w:rsidR="001B0492" w:rsidRPr="00D869E3">
        <w:rPr>
          <w:rFonts w:ascii="Verdana" w:hAnsi="Verdana"/>
          <w:sz w:val="20"/>
          <w:szCs w:val="20"/>
          <w:lang w:val="en-US"/>
        </w:rPr>
        <w:t>cessity</w:t>
      </w:r>
      <w:r w:rsidR="000D2957" w:rsidRPr="00D869E3">
        <w:rPr>
          <w:rFonts w:ascii="Verdana" w:hAnsi="Verdana"/>
          <w:sz w:val="20"/>
          <w:szCs w:val="20"/>
          <w:lang w:val="en-US"/>
        </w:rPr>
        <w:t xml:space="preserve"> to protect the rights to reputation and honor in this specific case. Even though </w:t>
      </w:r>
      <w:r w:rsidR="00A62EA8" w:rsidRPr="00D869E3">
        <w:rPr>
          <w:rFonts w:ascii="Verdana" w:hAnsi="Verdana"/>
          <w:kern w:val="1"/>
          <w:sz w:val="20"/>
          <w:szCs w:val="20"/>
          <w:lang w:val="en-US"/>
        </w:rPr>
        <w:t>freedom of expression</w:t>
      </w:r>
      <w:r w:rsidR="003A34C7" w:rsidRPr="00D869E3">
        <w:rPr>
          <w:rFonts w:ascii="Verdana" w:hAnsi="Verdana"/>
          <w:kern w:val="1"/>
          <w:sz w:val="20"/>
          <w:szCs w:val="20"/>
          <w:lang w:val="en-US"/>
        </w:rPr>
        <w:t xml:space="preserve"> was explicitly mentioned</w:t>
      </w:r>
      <w:r w:rsidR="00473B78" w:rsidRPr="00D869E3">
        <w:rPr>
          <w:rFonts w:ascii="Verdana" w:hAnsi="Verdana"/>
          <w:kern w:val="1"/>
          <w:sz w:val="20"/>
          <w:szCs w:val="20"/>
          <w:lang w:val="en-US"/>
        </w:rPr>
        <w:t xml:space="preserve">, </w:t>
      </w:r>
      <w:r w:rsidR="007E7865" w:rsidRPr="00D869E3">
        <w:rPr>
          <w:rFonts w:ascii="Verdana" w:hAnsi="Verdana"/>
          <w:kern w:val="1"/>
          <w:sz w:val="20"/>
          <w:szCs w:val="20"/>
          <w:lang w:val="en-US"/>
        </w:rPr>
        <w:t xml:space="preserve">the ruling does not indicate that either the rights in play or their consequences had been weighed in light of the requirement of necessity </w:t>
      </w:r>
      <w:r w:rsidR="00473B78" w:rsidRPr="00D869E3">
        <w:rPr>
          <w:rFonts w:ascii="Verdana" w:hAnsi="Verdana"/>
          <w:kern w:val="1"/>
          <w:sz w:val="20"/>
          <w:szCs w:val="20"/>
          <w:lang w:val="en-US"/>
        </w:rPr>
        <w:t>(</w:t>
      </w:r>
      <w:r w:rsidR="00224537" w:rsidRPr="00D869E3">
        <w:rPr>
          <w:rFonts w:ascii="Verdana" w:hAnsi="Verdana"/>
          <w:i/>
          <w:kern w:val="1"/>
          <w:sz w:val="20"/>
          <w:szCs w:val="20"/>
          <w:lang w:val="en-US"/>
        </w:rPr>
        <w:t>supra</w:t>
      </w:r>
      <w:r w:rsidR="00473B78" w:rsidRPr="00D869E3">
        <w:rPr>
          <w:rFonts w:ascii="Verdana" w:hAnsi="Verdana"/>
          <w:kern w:val="1"/>
          <w:sz w:val="20"/>
          <w:szCs w:val="20"/>
          <w:lang w:val="en-US"/>
        </w:rPr>
        <w:t xml:space="preserve">, </w:t>
      </w:r>
      <w:r w:rsidR="0087339F" w:rsidRPr="00D869E3">
        <w:rPr>
          <w:rFonts w:ascii="Verdana" w:hAnsi="Verdana"/>
          <w:kern w:val="1"/>
          <w:sz w:val="20"/>
          <w:szCs w:val="20"/>
          <w:lang w:val="en-US"/>
        </w:rPr>
        <w:t>para.</w:t>
      </w:r>
      <w:r w:rsidR="00473B78" w:rsidRPr="00D869E3">
        <w:rPr>
          <w:rFonts w:ascii="Verdana" w:hAnsi="Verdana"/>
          <w:kern w:val="1"/>
          <w:sz w:val="20"/>
          <w:szCs w:val="20"/>
          <w:lang w:val="en-US"/>
        </w:rPr>
        <w:t xml:space="preserve"> </w:t>
      </w:r>
      <w:r w:rsidR="00050C63" w:rsidRPr="00D869E3">
        <w:rPr>
          <w:rFonts w:ascii="Verdana" w:hAnsi="Verdana"/>
          <w:kern w:val="1"/>
          <w:sz w:val="20"/>
          <w:szCs w:val="20"/>
          <w:lang w:val="en-US"/>
        </w:rPr>
        <w:t>1</w:t>
      </w:r>
      <w:r w:rsidR="000023EA" w:rsidRPr="00D869E3">
        <w:rPr>
          <w:rFonts w:ascii="Verdana" w:hAnsi="Verdana"/>
          <w:kern w:val="1"/>
          <w:sz w:val="20"/>
          <w:szCs w:val="20"/>
          <w:lang w:val="en-US"/>
        </w:rPr>
        <w:t>24</w:t>
      </w:r>
      <w:r w:rsidR="00473B78" w:rsidRPr="00D869E3">
        <w:rPr>
          <w:rFonts w:ascii="Verdana" w:hAnsi="Verdana"/>
          <w:kern w:val="1"/>
          <w:sz w:val="20"/>
          <w:szCs w:val="20"/>
          <w:lang w:val="en-US"/>
        </w:rPr>
        <w:t>) (</w:t>
      </w:r>
      <w:r w:rsidR="003A34C7" w:rsidRPr="00D869E3">
        <w:rPr>
          <w:rFonts w:ascii="Verdana" w:hAnsi="Verdana"/>
          <w:kern w:val="1"/>
          <w:sz w:val="20"/>
          <w:szCs w:val="20"/>
          <w:lang w:val="en-US"/>
        </w:rPr>
        <w:t>specifically</w:t>
      </w:r>
      <w:r w:rsidR="007E7865" w:rsidRPr="00D869E3">
        <w:rPr>
          <w:rFonts w:ascii="Verdana" w:hAnsi="Verdana"/>
          <w:kern w:val="1"/>
          <w:sz w:val="20"/>
          <w:szCs w:val="20"/>
          <w:lang w:val="en-US"/>
        </w:rPr>
        <w:t xml:space="preserve"> established by</w:t>
      </w:r>
      <w:r w:rsidR="00473B78" w:rsidRPr="00D869E3">
        <w:rPr>
          <w:rFonts w:ascii="Verdana" w:hAnsi="Verdana"/>
          <w:kern w:val="1"/>
          <w:sz w:val="20"/>
          <w:szCs w:val="20"/>
          <w:lang w:val="en-US"/>
        </w:rPr>
        <w:t xml:space="preserve"> </w:t>
      </w:r>
      <w:r w:rsidR="00447C65" w:rsidRPr="00D869E3">
        <w:rPr>
          <w:rFonts w:ascii="Verdana" w:hAnsi="Verdana"/>
          <w:kern w:val="1"/>
          <w:sz w:val="20"/>
          <w:szCs w:val="20"/>
          <w:lang w:val="en-US"/>
        </w:rPr>
        <w:t>Article</w:t>
      </w:r>
      <w:r w:rsidR="00473B78" w:rsidRPr="00D869E3">
        <w:rPr>
          <w:rFonts w:ascii="Verdana" w:hAnsi="Verdana"/>
          <w:kern w:val="1"/>
          <w:sz w:val="20"/>
          <w:szCs w:val="20"/>
          <w:lang w:val="en-US"/>
        </w:rPr>
        <w:t xml:space="preserve"> </w:t>
      </w:r>
      <w:r w:rsidR="00966115" w:rsidRPr="00D869E3">
        <w:rPr>
          <w:rFonts w:ascii="Verdana" w:hAnsi="Verdana"/>
          <w:kern w:val="1"/>
          <w:sz w:val="20"/>
          <w:szCs w:val="20"/>
          <w:lang w:val="en-US"/>
        </w:rPr>
        <w:t>13(2)</w:t>
      </w:r>
      <w:r w:rsidR="00447C65" w:rsidRPr="00D869E3">
        <w:rPr>
          <w:rFonts w:ascii="Verdana" w:hAnsi="Verdana"/>
          <w:kern w:val="1"/>
          <w:sz w:val="20"/>
          <w:szCs w:val="20"/>
          <w:lang w:val="en-US"/>
        </w:rPr>
        <w:t xml:space="preserve"> of the American Convention</w:t>
      </w:r>
      <w:r w:rsidR="00473B78" w:rsidRPr="00D869E3">
        <w:rPr>
          <w:rFonts w:ascii="Verdana" w:hAnsi="Verdana"/>
          <w:kern w:val="1"/>
          <w:sz w:val="20"/>
          <w:szCs w:val="20"/>
          <w:lang w:val="en-US"/>
        </w:rPr>
        <w:t xml:space="preserve">). </w:t>
      </w:r>
      <w:r w:rsidR="007E7865" w:rsidRPr="00D869E3">
        <w:rPr>
          <w:rFonts w:ascii="Verdana" w:hAnsi="Verdana"/>
          <w:kern w:val="1"/>
          <w:sz w:val="20"/>
          <w:szCs w:val="20"/>
          <w:lang w:val="en-US"/>
        </w:rPr>
        <w:t xml:space="preserve">Moreover, the arguments that justified the first instance decision were not disproved, in order to make it essential to reverse it. Consequently, the heavy </w:t>
      </w:r>
      <w:r w:rsidR="003A34C7" w:rsidRPr="00D869E3">
        <w:rPr>
          <w:rFonts w:ascii="Verdana" w:hAnsi="Verdana"/>
          <w:kern w:val="1"/>
          <w:sz w:val="20"/>
          <w:szCs w:val="20"/>
          <w:lang w:val="en-US"/>
        </w:rPr>
        <w:t>penalty</w:t>
      </w:r>
      <w:r w:rsidR="007E7865" w:rsidRPr="00D869E3">
        <w:rPr>
          <w:rFonts w:ascii="Verdana" w:hAnsi="Verdana"/>
          <w:kern w:val="1"/>
          <w:sz w:val="20"/>
          <w:szCs w:val="20"/>
          <w:lang w:val="en-US"/>
        </w:rPr>
        <w:t xml:space="preserve"> of dismissal was </w:t>
      </w:r>
      <w:r w:rsidR="00D329A8" w:rsidRPr="00D869E3">
        <w:rPr>
          <w:rFonts w:ascii="Verdana" w:hAnsi="Verdana"/>
          <w:kern w:val="1"/>
          <w:sz w:val="20"/>
          <w:szCs w:val="20"/>
          <w:lang w:val="en-US"/>
        </w:rPr>
        <w:t>ratifie</w:t>
      </w:r>
      <w:r w:rsidR="007E7865" w:rsidRPr="00D869E3">
        <w:rPr>
          <w:rFonts w:ascii="Verdana" w:hAnsi="Verdana"/>
          <w:kern w:val="1"/>
          <w:sz w:val="20"/>
          <w:szCs w:val="20"/>
          <w:lang w:val="en-US"/>
        </w:rPr>
        <w:t>d by that court without considering these fundamental elements of special protection</w:t>
      </w:r>
      <w:r w:rsidR="00CD0F88" w:rsidRPr="00D869E3">
        <w:rPr>
          <w:rFonts w:ascii="Verdana" w:hAnsi="Verdana"/>
          <w:sz w:val="20"/>
          <w:szCs w:val="20"/>
          <w:lang w:val="en-US"/>
        </w:rPr>
        <w:t xml:space="preserve"> (</w:t>
      </w:r>
      <w:r w:rsidR="00224537" w:rsidRPr="00D869E3">
        <w:rPr>
          <w:rFonts w:ascii="Verdana" w:hAnsi="Verdana"/>
          <w:i/>
          <w:sz w:val="20"/>
          <w:szCs w:val="20"/>
          <w:lang w:val="en-US"/>
        </w:rPr>
        <w:t>supra</w:t>
      </w:r>
      <w:r w:rsidR="00CD0F88" w:rsidRPr="00D869E3">
        <w:rPr>
          <w:rFonts w:ascii="Verdana" w:hAnsi="Verdana"/>
          <w:sz w:val="20"/>
          <w:szCs w:val="20"/>
          <w:lang w:val="en-US"/>
        </w:rPr>
        <w:t xml:space="preserve"> </w:t>
      </w:r>
      <w:r w:rsidR="0087339F" w:rsidRPr="00D869E3">
        <w:rPr>
          <w:rFonts w:ascii="Verdana" w:hAnsi="Verdana"/>
          <w:sz w:val="20"/>
          <w:szCs w:val="20"/>
          <w:lang w:val="en-US"/>
        </w:rPr>
        <w:t>paras.</w:t>
      </w:r>
      <w:r w:rsidR="00CD0F88" w:rsidRPr="00D869E3">
        <w:rPr>
          <w:rFonts w:ascii="Verdana" w:hAnsi="Verdana"/>
          <w:sz w:val="20"/>
          <w:szCs w:val="20"/>
          <w:lang w:val="en-US"/>
        </w:rPr>
        <w:t xml:space="preserve"> </w:t>
      </w:r>
      <w:r w:rsidR="00050C63" w:rsidRPr="00D869E3">
        <w:rPr>
          <w:rFonts w:ascii="Verdana" w:hAnsi="Verdana"/>
          <w:sz w:val="20"/>
          <w:szCs w:val="20"/>
          <w:lang w:val="en-US"/>
        </w:rPr>
        <w:t>1</w:t>
      </w:r>
      <w:r w:rsidR="00587B73" w:rsidRPr="00D869E3">
        <w:rPr>
          <w:rFonts w:ascii="Verdana" w:hAnsi="Verdana"/>
          <w:sz w:val="20"/>
          <w:szCs w:val="20"/>
          <w:lang w:val="en-US"/>
        </w:rPr>
        <w:t>08</w:t>
      </w:r>
      <w:r w:rsidR="00687684" w:rsidRPr="00D869E3">
        <w:rPr>
          <w:rFonts w:ascii="Verdana" w:hAnsi="Verdana"/>
          <w:sz w:val="20"/>
          <w:szCs w:val="20"/>
          <w:lang w:val="en-US"/>
        </w:rPr>
        <w:t xml:space="preserve"> and </w:t>
      </w:r>
      <w:r w:rsidR="00587B73" w:rsidRPr="00D869E3">
        <w:rPr>
          <w:rFonts w:ascii="Verdana" w:hAnsi="Verdana"/>
          <w:sz w:val="20"/>
          <w:szCs w:val="20"/>
          <w:lang w:val="en-US"/>
        </w:rPr>
        <w:t>116</w:t>
      </w:r>
      <w:r w:rsidR="00CD0F88" w:rsidRPr="00D869E3">
        <w:rPr>
          <w:rFonts w:ascii="Verdana" w:hAnsi="Verdana"/>
          <w:sz w:val="20"/>
          <w:szCs w:val="20"/>
          <w:lang w:val="en-US"/>
        </w:rPr>
        <w:t>)</w:t>
      </w:r>
      <w:r w:rsidR="00024BA4" w:rsidRPr="00D869E3">
        <w:rPr>
          <w:rFonts w:ascii="Verdana" w:hAnsi="Verdana"/>
          <w:sz w:val="20"/>
          <w:szCs w:val="20"/>
          <w:lang w:val="en-US"/>
        </w:rPr>
        <w:t>,</w:t>
      </w:r>
      <w:r w:rsidR="00197772" w:rsidRPr="00D869E3">
        <w:rPr>
          <w:rFonts w:ascii="Verdana" w:hAnsi="Verdana"/>
          <w:sz w:val="20"/>
          <w:szCs w:val="20"/>
          <w:lang w:val="en-US"/>
        </w:rPr>
        <w:t xml:space="preserve"> </w:t>
      </w:r>
      <w:r w:rsidR="007E7865" w:rsidRPr="00D869E3">
        <w:rPr>
          <w:rFonts w:ascii="Verdana" w:hAnsi="Verdana"/>
          <w:sz w:val="20"/>
          <w:szCs w:val="20"/>
          <w:lang w:val="en-US"/>
        </w:rPr>
        <w:t>so that the sanction imposed was unnecessary in the specific case</w:t>
      </w:r>
      <w:r w:rsidR="00024BA4" w:rsidRPr="00D869E3">
        <w:rPr>
          <w:rFonts w:ascii="Verdana" w:hAnsi="Verdana"/>
          <w:sz w:val="20"/>
          <w:szCs w:val="20"/>
          <w:lang w:val="en-US"/>
        </w:rPr>
        <w:t xml:space="preserve">. </w:t>
      </w:r>
    </w:p>
    <w:p w14:paraId="14B85B96" w14:textId="77777777" w:rsidR="00197772" w:rsidRPr="00D869E3" w:rsidRDefault="00197772" w:rsidP="005D0F69">
      <w:pPr>
        <w:shd w:val="clear" w:color="auto" w:fill="FFFFFF"/>
        <w:contextualSpacing/>
        <w:jc w:val="both"/>
        <w:rPr>
          <w:rFonts w:ascii="Verdana" w:hAnsi="Verdana"/>
          <w:sz w:val="20"/>
          <w:szCs w:val="20"/>
          <w:lang w:val="en-US"/>
        </w:rPr>
      </w:pPr>
    </w:p>
    <w:p w14:paraId="4D57C80A" w14:textId="7844DF70" w:rsidR="00197772" w:rsidRPr="00D869E3" w:rsidRDefault="007E7865" w:rsidP="00AE7AD7">
      <w:pPr>
        <w:numPr>
          <w:ilvl w:val="0"/>
          <w:numId w:val="1"/>
        </w:numPr>
        <w:shd w:val="clear" w:color="auto" w:fill="FFFFFF"/>
        <w:ind w:left="0" w:firstLine="0"/>
        <w:contextualSpacing/>
        <w:jc w:val="both"/>
        <w:rPr>
          <w:rFonts w:ascii="Verdana" w:hAnsi="Verdana"/>
          <w:sz w:val="20"/>
          <w:szCs w:val="20"/>
          <w:lang w:val="en-US"/>
        </w:rPr>
      </w:pPr>
      <w:r w:rsidRPr="00D869E3">
        <w:rPr>
          <w:rFonts w:ascii="Verdana" w:hAnsi="Verdana"/>
          <w:sz w:val="20"/>
          <w:szCs w:val="20"/>
          <w:lang w:val="en-US"/>
        </w:rPr>
        <w:t xml:space="preserve">Accordingly, the Court finds that the ruling of the </w:t>
      </w:r>
      <w:r w:rsidR="00DB128C" w:rsidRPr="00D869E3">
        <w:rPr>
          <w:rFonts w:ascii="Verdana" w:hAnsi="Verdana"/>
          <w:sz w:val="20"/>
          <w:szCs w:val="20"/>
          <w:lang w:val="en-US"/>
        </w:rPr>
        <w:t>Second</w:t>
      </w:r>
      <w:r w:rsidR="00197772" w:rsidRPr="00D869E3">
        <w:rPr>
          <w:rFonts w:ascii="Verdana" w:hAnsi="Verdana"/>
          <w:sz w:val="20"/>
          <w:szCs w:val="20"/>
          <w:lang w:val="en-US"/>
        </w:rPr>
        <w:t xml:space="preserve"> </w:t>
      </w:r>
      <w:r w:rsidR="003506CC" w:rsidRPr="00D869E3">
        <w:rPr>
          <w:rFonts w:ascii="Verdana" w:hAnsi="Verdana"/>
          <w:sz w:val="20"/>
          <w:szCs w:val="20"/>
          <w:lang w:val="en-US"/>
        </w:rPr>
        <w:t>Labor Court</w:t>
      </w:r>
      <w:r w:rsidR="00197772" w:rsidRPr="00D869E3">
        <w:rPr>
          <w:rFonts w:ascii="Verdana" w:hAnsi="Verdana"/>
          <w:sz w:val="20"/>
          <w:szCs w:val="20"/>
          <w:lang w:val="en-US"/>
        </w:rPr>
        <w:t xml:space="preserve"> </w:t>
      </w:r>
      <w:r w:rsidR="00414544" w:rsidRPr="00D869E3">
        <w:rPr>
          <w:rFonts w:ascii="Verdana" w:hAnsi="Verdana"/>
          <w:sz w:val="20"/>
          <w:szCs w:val="20"/>
          <w:lang w:val="en-US"/>
        </w:rPr>
        <w:t xml:space="preserve">failed to </w:t>
      </w:r>
      <w:r w:rsidR="003A34C7" w:rsidRPr="00D869E3">
        <w:rPr>
          <w:rFonts w:ascii="Verdana" w:hAnsi="Verdana"/>
          <w:sz w:val="20"/>
          <w:szCs w:val="20"/>
          <w:lang w:val="en-US"/>
        </w:rPr>
        <w:t>state the reasons for the decision</w:t>
      </w:r>
      <w:r w:rsidR="00197772" w:rsidRPr="00D869E3">
        <w:rPr>
          <w:rStyle w:val="Refdenotaalpie"/>
          <w:szCs w:val="20"/>
          <w:lang w:val="en-US"/>
        </w:rPr>
        <w:footnoteReference w:id="169"/>
      </w:r>
      <w:r w:rsidR="00197772" w:rsidRPr="00D869E3">
        <w:rPr>
          <w:rFonts w:ascii="Verdana" w:hAnsi="Verdana"/>
          <w:sz w:val="20"/>
          <w:szCs w:val="20"/>
          <w:lang w:val="en-US"/>
        </w:rPr>
        <w:t xml:space="preserve"> </w:t>
      </w:r>
      <w:r w:rsidRPr="00D869E3">
        <w:rPr>
          <w:rFonts w:ascii="Verdana" w:hAnsi="Verdana"/>
          <w:sz w:val="20"/>
          <w:szCs w:val="20"/>
          <w:lang w:val="en-US"/>
        </w:rPr>
        <w:t>that would have analyzed the rights in play in light of the above-</w:t>
      </w:r>
      <w:r w:rsidRPr="00D869E3">
        <w:rPr>
          <w:rFonts w:ascii="Verdana" w:hAnsi="Verdana"/>
          <w:sz w:val="20"/>
          <w:szCs w:val="20"/>
          <w:lang w:val="en-US"/>
        </w:rPr>
        <w:lastRenderedPageBreak/>
        <w:t xml:space="preserve">mentioned elements, and would have assessed the arguments of the parties and the decision that was reversed. Therefore, the </w:t>
      </w:r>
      <w:r w:rsidR="00414544" w:rsidRPr="00D869E3">
        <w:rPr>
          <w:rFonts w:ascii="Verdana" w:hAnsi="Verdana"/>
          <w:sz w:val="20"/>
          <w:szCs w:val="20"/>
          <w:lang w:val="en-US"/>
        </w:rPr>
        <w:t xml:space="preserve">failure to </w:t>
      </w:r>
      <w:r w:rsidR="00AE7AD7" w:rsidRPr="00D869E3">
        <w:rPr>
          <w:rFonts w:ascii="Verdana" w:hAnsi="Verdana"/>
          <w:sz w:val="20"/>
          <w:szCs w:val="20"/>
          <w:lang w:val="en-US"/>
        </w:rPr>
        <w:t xml:space="preserve">provide a </w:t>
      </w:r>
      <w:r w:rsidR="00414544" w:rsidRPr="00D869E3">
        <w:rPr>
          <w:rFonts w:ascii="Verdana" w:hAnsi="Verdana"/>
          <w:sz w:val="20"/>
          <w:szCs w:val="20"/>
          <w:lang w:val="en-US"/>
        </w:rPr>
        <w:t>state</w:t>
      </w:r>
      <w:r w:rsidR="00AE7AD7" w:rsidRPr="00D869E3">
        <w:rPr>
          <w:rFonts w:ascii="Verdana" w:hAnsi="Verdana"/>
          <w:sz w:val="20"/>
          <w:szCs w:val="20"/>
          <w:lang w:val="en-US"/>
        </w:rPr>
        <w:t>ment of</w:t>
      </w:r>
      <w:r w:rsidR="00414544" w:rsidRPr="00D869E3">
        <w:rPr>
          <w:rFonts w:ascii="Verdana" w:hAnsi="Verdana"/>
          <w:sz w:val="20"/>
          <w:szCs w:val="20"/>
          <w:lang w:val="en-US"/>
        </w:rPr>
        <w:t xml:space="preserve"> reasons</w:t>
      </w:r>
      <w:r w:rsidRPr="00D869E3">
        <w:rPr>
          <w:rFonts w:ascii="Verdana" w:hAnsi="Verdana"/>
          <w:sz w:val="20"/>
          <w:szCs w:val="20"/>
          <w:lang w:val="en-US"/>
        </w:rPr>
        <w:t xml:space="preserve"> had a direct impact on due process, because that court failed to provide the legal</w:t>
      </w:r>
      <w:r w:rsidR="00414544" w:rsidRPr="00D869E3">
        <w:rPr>
          <w:rFonts w:ascii="Verdana" w:hAnsi="Verdana"/>
          <w:sz w:val="20"/>
          <w:szCs w:val="20"/>
          <w:lang w:val="en-US"/>
        </w:rPr>
        <w:t xml:space="preserve"> grounds substantiating it</w:t>
      </w:r>
      <w:r w:rsidR="00AE7AD7" w:rsidRPr="00D869E3">
        <w:rPr>
          <w:rFonts w:ascii="Verdana" w:hAnsi="Verdana"/>
          <w:sz w:val="20"/>
          <w:szCs w:val="20"/>
          <w:lang w:val="en-US"/>
        </w:rPr>
        <w:t>s</w:t>
      </w:r>
      <w:r w:rsidR="00414544" w:rsidRPr="00D869E3">
        <w:rPr>
          <w:rFonts w:ascii="Verdana" w:hAnsi="Verdana"/>
          <w:sz w:val="20"/>
          <w:szCs w:val="20"/>
          <w:lang w:val="en-US"/>
        </w:rPr>
        <w:t xml:space="preserve"> decision to</w:t>
      </w:r>
      <w:r w:rsidRPr="00D869E3">
        <w:rPr>
          <w:rFonts w:ascii="Verdana" w:hAnsi="Verdana"/>
          <w:sz w:val="20"/>
          <w:szCs w:val="20"/>
          <w:lang w:val="en-US"/>
        </w:rPr>
        <w:t xml:space="preserve"> </w:t>
      </w:r>
      <w:r w:rsidR="00AE7AD7" w:rsidRPr="00D869E3">
        <w:rPr>
          <w:rFonts w:ascii="Verdana" w:hAnsi="Verdana"/>
          <w:sz w:val="20"/>
          <w:szCs w:val="20"/>
          <w:lang w:val="en-US"/>
        </w:rPr>
        <w:t>ratify</w:t>
      </w:r>
      <w:r w:rsidRPr="00D869E3">
        <w:rPr>
          <w:rFonts w:ascii="Verdana" w:hAnsi="Verdana"/>
          <w:sz w:val="20"/>
          <w:szCs w:val="20"/>
          <w:lang w:val="en-US"/>
        </w:rPr>
        <w:t xml:space="preserve"> the dismissal of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197772" w:rsidRPr="00D869E3">
        <w:rPr>
          <w:rFonts w:ascii="Verdana" w:hAnsi="Verdana"/>
          <w:sz w:val="20"/>
          <w:szCs w:val="20"/>
          <w:lang w:val="en-US"/>
        </w:rPr>
        <w:t xml:space="preserve"> </w:t>
      </w:r>
      <w:r w:rsidRPr="00D869E3">
        <w:rPr>
          <w:rFonts w:ascii="Verdana" w:hAnsi="Verdana"/>
          <w:sz w:val="20"/>
          <w:szCs w:val="20"/>
          <w:lang w:val="en-US"/>
        </w:rPr>
        <w:t>in the context described above</w:t>
      </w:r>
      <w:r w:rsidR="00197772" w:rsidRPr="00D869E3">
        <w:rPr>
          <w:rFonts w:ascii="Verdana" w:hAnsi="Verdana"/>
          <w:sz w:val="20"/>
          <w:szCs w:val="20"/>
          <w:lang w:val="en-US"/>
        </w:rPr>
        <w:t>.</w:t>
      </w:r>
    </w:p>
    <w:p w14:paraId="41EDB291" w14:textId="77777777" w:rsidR="00C01305" w:rsidRPr="00D869E3" w:rsidRDefault="00C01305" w:rsidP="00CA58EF">
      <w:pPr>
        <w:contextualSpacing/>
        <w:jc w:val="both"/>
        <w:rPr>
          <w:rFonts w:ascii="Verdana" w:hAnsi="Verdana"/>
          <w:sz w:val="20"/>
          <w:szCs w:val="20"/>
          <w:lang w:val="en-US"/>
        </w:rPr>
      </w:pPr>
    </w:p>
    <w:p w14:paraId="753BCAF7" w14:textId="3F3C3FDE" w:rsidR="00365853" w:rsidRPr="00D869E3" w:rsidRDefault="007E7865" w:rsidP="00991C3F">
      <w:pPr>
        <w:numPr>
          <w:ilvl w:val="0"/>
          <w:numId w:val="1"/>
        </w:numPr>
        <w:ind w:left="0" w:hanging="11"/>
        <w:contextualSpacing/>
        <w:jc w:val="both"/>
        <w:rPr>
          <w:rFonts w:ascii="Verdana" w:hAnsi="Verdana"/>
          <w:sz w:val="20"/>
          <w:szCs w:val="20"/>
          <w:lang w:val="en-US"/>
        </w:rPr>
      </w:pPr>
      <w:r w:rsidRPr="00D869E3">
        <w:rPr>
          <w:rFonts w:ascii="Verdana" w:hAnsi="Verdana" w:cs="Arial"/>
          <w:snapToGrid w:val="0"/>
          <w:sz w:val="20"/>
          <w:szCs w:val="20"/>
          <w:lang w:val="en-US" w:eastAsia="es-ES"/>
        </w:rPr>
        <w:t xml:space="preserve">Based on the above, the Court concludes that the State endorsed a restriction of </w:t>
      </w:r>
      <w:r w:rsidR="00414B6B" w:rsidRPr="00D869E3">
        <w:rPr>
          <w:rFonts w:ascii="Verdana" w:hAnsi="Verdana"/>
          <w:color w:val="000000"/>
          <w:sz w:val="20"/>
          <w:lang w:val="en-US"/>
        </w:rPr>
        <w:t xml:space="preserve">the right </w:t>
      </w:r>
      <w:r w:rsidR="00636C30" w:rsidRPr="00D869E3">
        <w:rPr>
          <w:rFonts w:ascii="Verdana" w:hAnsi="Verdana"/>
          <w:color w:val="000000"/>
          <w:sz w:val="20"/>
          <w:lang w:val="en-US"/>
        </w:rPr>
        <w:t xml:space="preserve">to freedom of thought and expression </w:t>
      </w:r>
      <w:r w:rsidR="00E6309B" w:rsidRPr="00D869E3">
        <w:rPr>
          <w:rFonts w:ascii="Verdana" w:hAnsi="Verdana"/>
          <w:color w:val="000000"/>
          <w:sz w:val="20"/>
          <w:lang w:val="en-US"/>
        </w:rPr>
        <w:t>of Mr.</w:t>
      </w:r>
      <w:r w:rsidR="001E44D3" w:rsidRPr="00D869E3">
        <w:rPr>
          <w:rFonts w:ascii="Verdana" w:hAnsi="Verdana"/>
          <w:color w:val="000000"/>
          <w:sz w:val="20"/>
          <w:lang w:val="en-US"/>
        </w:rPr>
        <w:t xml:space="preserve"> Lagos del Campo</w:t>
      </w:r>
      <w:r w:rsidR="005967AA" w:rsidRPr="00D869E3">
        <w:rPr>
          <w:rFonts w:ascii="Verdana" w:hAnsi="Verdana"/>
          <w:sz w:val="20"/>
          <w:lang w:val="en-US"/>
        </w:rPr>
        <w:t xml:space="preserve">, </w:t>
      </w:r>
      <w:r w:rsidRPr="00D869E3">
        <w:rPr>
          <w:rFonts w:ascii="Verdana" w:hAnsi="Verdana"/>
          <w:sz w:val="20"/>
          <w:lang w:val="en-US"/>
        </w:rPr>
        <w:t xml:space="preserve">by an unnecessary sanction in relation to the objective sought and without a due justification. </w:t>
      </w:r>
      <w:r w:rsidR="00991C3F" w:rsidRPr="00D869E3">
        <w:rPr>
          <w:rFonts w:ascii="Verdana" w:hAnsi="Verdana"/>
          <w:sz w:val="20"/>
          <w:lang w:val="en-US"/>
        </w:rPr>
        <w:t xml:space="preserve">This was because, based on the circumstances of this case, there was no </w:t>
      </w:r>
      <w:r w:rsidR="001B0492" w:rsidRPr="00D869E3">
        <w:rPr>
          <w:rFonts w:ascii="Verdana" w:hAnsi="Verdana"/>
          <w:sz w:val="20"/>
          <w:lang w:val="en-US"/>
        </w:rPr>
        <w:t>overriding</w:t>
      </w:r>
      <w:r w:rsidR="00991C3F" w:rsidRPr="00D869E3">
        <w:rPr>
          <w:rFonts w:ascii="Verdana" w:hAnsi="Verdana"/>
          <w:sz w:val="20"/>
          <w:lang w:val="en-US"/>
        </w:rPr>
        <w:t xml:space="preserve"> necessity that would have justified the dismissal of </w:t>
      </w:r>
      <w:r w:rsidR="00E6309B" w:rsidRPr="00D869E3">
        <w:rPr>
          <w:rFonts w:ascii="Verdana" w:hAnsi="Verdana"/>
          <w:sz w:val="20"/>
          <w:lang w:val="en-US"/>
        </w:rPr>
        <w:t>Mr.</w:t>
      </w:r>
      <w:r w:rsidR="001E44D3" w:rsidRPr="00D869E3">
        <w:rPr>
          <w:rFonts w:ascii="Verdana" w:hAnsi="Verdana"/>
          <w:sz w:val="20"/>
          <w:lang w:val="en-US"/>
        </w:rPr>
        <w:t xml:space="preserve"> Lagos del Campo</w:t>
      </w:r>
      <w:r w:rsidR="00C01305" w:rsidRPr="00D869E3">
        <w:rPr>
          <w:rFonts w:ascii="Verdana" w:hAnsi="Verdana"/>
          <w:sz w:val="20"/>
          <w:lang w:val="en-US"/>
        </w:rPr>
        <w:t xml:space="preserve">. </w:t>
      </w:r>
      <w:r w:rsidR="00731ADA" w:rsidRPr="00D869E3">
        <w:rPr>
          <w:rFonts w:ascii="Verdana" w:hAnsi="Verdana"/>
          <w:sz w:val="20"/>
          <w:lang w:val="en-US"/>
        </w:rPr>
        <w:t>I</w:t>
      </w:r>
      <w:r w:rsidR="00C01305" w:rsidRPr="00D869E3">
        <w:rPr>
          <w:rFonts w:ascii="Verdana" w:hAnsi="Verdana"/>
          <w:sz w:val="20"/>
          <w:lang w:val="en-US"/>
        </w:rPr>
        <w:t xml:space="preserve">n particular, </w:t>
      </w:r>
      <w:r w:rsidR="00991C3F" w:rsidRPr="00D869E3">
        <w:rPr>
          <w:rFonts w:ascii="Verdana" w:hAnsi="Verdana"/>
          <w:sz w:val="20"/>
          <w:lang w:val="en-US"/>
        </w:rPr>
        <w:t>his</w:t>
      </w:r>
      <w:r w:rsidR="00637639" w:rsidRPr="00D869E3">
        <w:rPr>
          <w:rFonts w:ascii="Verdana" w:hAnsi="Verdana"/>
          <w:sz w:val="20"/>
          <w:lang w:val="en-US"/>
        </w:rPr>
        <w:t xml:space="preserve"> </w:t>
      </w:r>
      <w:r w:rsidR="00A62EA8" w:rsidRPr="00D869E3">
        <w:rPr>
          <w:rFonts w:ascii="Verdana" w:hAnsi="Verdana"/>
          <w:sz w:val="20"/>
          <w:lang w:val="en-US"/>
        </w:rPr>
        <w:t>freedom of expression</w:t>
      </w:r>
      <w:r w:rsidR="00C01305" w:rsidRPr="00D869E3">
        <w:rPr>
          <w:rFonts w:ascii="Verdana" w:hAnsi="Verdana"/>
          <w:sz w:val="20"/>
          <w:lang w:val="en-US"/>
        </w:rPr>
        <w:t xml:space="preserve"> </w:t>
      </w:r>
      <w:r w:rsidR="00991C3F" w:rsidRPr="00D869E3">
        <w:rPr>
          <w:rFonts w:ascii="Verdana" w:hAnsi="Verdana"/>
          <w:sz w:val="20"/>
          <w:lang w:val="en-US"/>
        </w:rPr>
        <w:t xml:space="preserve">was restricted without taking into consideration that his statements referred to matters of general interest, as part of his remit, and were protected also by his capacity </w:t>
      </w:r>
      <w:r w:rsidR="00D329A8" w:rsidRPr="00D869E3">
        <w:rPr>
          <w:rFonts w:ascii="Verdana" w:hAnsi="Verdana"/>
          <w:sz w:val="20"/>
          <w:lang w:val="en-US"/>
        </w:rPr>
        <w:t>as</w:t>
      </w:r>
      <w:r w:rsidR="00991C3F" w:rsidRPr="00D869E3">
        <w:rPr>
          <w:rFonts w:ascii="Verdana" w:hAnsi="Verdana"/>
          <w:sz w:val="20"/>
          <w:lang w:val="en-US"/>
        </w:rPr>
        <w:t xml:space="preserve"> a workers’ representative</w:t>
      </w:r>
      <w:r w:rsidR="00D329A8" w:rsidRPr="00D869E3">
        <w:rPr>
          <w:rFonts w:ascii="Verdana" w:hAnsi="Verdana"/>
          <w:sz w:val="20"/>
          <w:lang w:val="en-US"/>
        </w:rPr>
        <w:t>,</w:t>
      </w:r>
      <w:r w:rsidR="00991C3F" w:rsidRPr="00D869E3">
        <w:rPr>
          <w:rFonts w:ascii="Verdana" w:hAnsi="Verdana"/>
          <w:sz w:val="20"/>
          <w:szCs w:val="20"/>
          <w:lang w:val="en-US"/>
        </w:rPr>
        <w:t xml:space="preserve"> </w:t>
      </w:r>
      <w:r w:rsidR="00C66688" w:rsidRPr="00D869E3">
        <w:rPr>
          <w:rFonts w:ascii="Verdana" w:hAnsi="Verdana"/>
          <w:sz w:val="20"/>
          <w:lang w:val="en-US"/>
        </w:rPr>
        <w:t xml:space="preserve">as </w:t>
      </w:r>
      <w:r w:rsidR="001B0492" w:rsidRPr="00D869E3">
        <w:rPr>
          <w:rFonts w:ascii="Verdana" w:hAnsi="Verdana"/>
          <w:sz w:val="20"/>
          <w:lang w:val="en-US"/>
        </w:rPr>
        <w:t>president of the Electoral</w:t>
      </w:r>
      <w:r w:rsidR="00EA232B" w:rsidRPr="00D869E3">
        <w:rPr>
          <w:rFonts w:ascii="Verdana" w:hAnsi="Verdana"/>
          <w:sz w:val="20"/>
          <w:lang w:val="en-US"/>
        </w:rPr>
        <w:t xml:space="preserve"> Committee</w:t>
      </w:r>
      <w:r w:rsidR="00C01305" w:rsidRPr="00D869E3">
        <w:rPr>
          <w:rFonts w:ascii="Verdana" w:hAnsi="Verdana"/>
          <w:sz w:val="20"/>
          <w:lang w:val="en-US"/>
        </w:rPr>
        <w:t xml:space="preserve">. </w:t>
      </w:r>
      <w:r w:rsidR="00991C3F" w:rsidRPr="00D869E3">
        <w:rPr>
          <w:rFonts w:ascii="Verdana" w:hAnsi="Verdana"/>
          <w:sz w:val="20"/>
          <w:lang w:val="en-US"/>
        </w:rPr>
        <w:t>Therefore</w:t>
      </w:r>
      <w:r w:rsidR="00637639" w:rsidRPr="00D869E3">
        <w:rPr>
          <w:rFonts w:ascii="Verdana" w:hAnsi="Verdana"/>
          <w:sz w:val="20"/>
          <w:lang w:val="en-US"/>
        </w:rPr>
        <w:t>,</w:t>
      </w:r>
      <w:r w:rsidR="003F44BE" w:rsidRPr="00D869E3">
        <w:rPr>
          <w:rFonts w:ascii="Verdana" w:hAnsi="Verdana"/>
          <w:sz w:val="20"/>
          <w:lang w:val="en-US"/>
        </w:rPr>
        <w:t xml:space="preserve"> </w:t>
      </w:r>
      <w:r w:rsidR="00447C65" w:rsidRPr="00D869E3">
        <w:rPr>
          <w:rFonts w:ascii="Verdana" w:hAnsi="Verdana"/>
          <w:sz w:val="20"/>
          <w:lang w:val="en-US"/>
        </w:rPr>
        <w:t xml:space="preserve">the </w:t>
      </w:r>
      <w:r w:rsidR="00991C3F" w:rsidRPr="00D869E3">
        <w:rPr>
          <w:rFonts w:ascii="Verdana" w:hAnsi="Verdana"/>
          <w:sz w:val="20"/>
          <w:lang w:val="en-US"/>
        </w:rPr>
        <w:t xml:space="preserve">Peruvian </w:t>
      </w:r>
      <w:r w:rsidR="00447C65" w:rsidRPr="00D869E3">
        <w:rPr>
          <w:rFonts w:ascii="Verdana" w:hAnsi="Verdana"/>
          <w:sz w:val="20"/>
          <w:lang w:val="en-US"/>
        </w:rPr>
        <w:t>State</w:t>
      </w:r>
      <w:r w:rsidR="003F44BE" w:rsidRPr="00D869E3">
        <w:rPr>
          <w:rFonts w:ascii="Verdana" w:hAnsi="Verdana"/>
          <w:sz w:val="20"/>
          <w:lang w:val="en-US"/>
        </w:rPr>
        <w:t xml:space="preserve"> </w:t>
      </w:r>
      <w:r w:rsidR="00991C3F" w:rsidRPr="00D869E3">
        <w:rPr>
          <w:rFonts w:ascii="Verdana" w:hAnsi="Verdana"/>
          <w:sz w:val="20"/>
          <w:lang w:val="en-US"/>
        </w:rPr>
        <w:t>violated</w:t>
      </w:r>
      <w:r w:rsidR="003F44BE" w:rsidRPr="00D869E3">
        <w:rPr>
          <w:rFonts w:ascii="Verdana" w:hAnsi="Verdana"/>
          <w:color w:val="000000"/>
          <w:sz w:val="20"/>
          <w:lang w:val="en-US"/>
        </w:rPr>
        <w:t xml:space="preserve"> </w:t>
      </w:r>
      <w:r w:rsidR="00447C65" w:rsidRPr="00D869E3">
        <w:rPr>
          <w:rFonts w:ascii="Verdana" w:hAnsi="Verdana"/>
          <w:color w:val="000000"/>
          <w:sz w:val="20"/>
          <w:lang w:val="en-US"/>
        </w:rPr>
        <w:t>Articles</w:t>
      </w:r>
      <w:r w:rsidR="00C01305" w:rsidRPr="00D869E3">
        <w:rPr>
          <w:rFonts w:ascii="Verdana" w:hAnsi="Verdana"/>
          <w:color w:val="000000"/>
          <w:sz w:val="20"/>
          <w:lang w:val="en-US"/>
        </w:rPr>
        <w:t xml:space="preserve"> </w:t>
      </w:r>
      <w:r w:rsidR="00966115" w:rsidRPr="00D869E3">
        <w:rPr>
          <w:rFonts w:ascii="Verdana" w:hAnsi="Verdana"/>
          <w:color w:val="000000"/>
          <w:sz w:val="20"/>
          <w:lang w:val="en-US"/>
        </w:rPr>
        <w:t>13(2)</w:t>
      </w:r>
      <w:r w:rsidR="00687684" w:rsidRPr="00D869E3">
        <w:rPr>
          <w:rFonts w:ascii="Verdana" w:hAnsi="Verdana"/>
          <w:color w:val="000000"/>
          <w:sz w:val="20"/>
          <w:lang w:val="en-US"/>
        </w:rPr>
        <w:t xml:space="preserve"> and </w:t>
      </w:r>
      <w:r w:rsidR="00C01305" w:rsidRPr="00D869E3">
        <w:rPr>
          <w:rFonts w:ascii="Verdana" w:hAnsi="Verdana"/>
          <w:color w:val="000000"/>
          <w:sz w:val="20"/>
          <w:lang w:val="en-US"/>
        </w:rPr>
        <w:t>8</w:t>
      </w:r>
      <w:r w:rsidR="00991C3F" w:rsidRPr="00D869E3">
        <w:rPr>
          <w:rFonts w:ascii="Verdana" w:hAnsi="Verdana"/>
          <w:color w:val="000000"/>
          <w:sz w:val="20"/>
          <w:lang w:val="en-US"/>
        </w:rPr>
        <w:t>(</w:t>
      </w:r>
      <w:r w:rsidR="00C01305" w:rsidRPr="00D869E3">
        <w:rPr>
          <w:rFonts w:ascii="Verdana" w:hAnsi="Verdana"/>
          <w:color w:val="000000"/>
          <w:sz w:val="20"/>
          <w:lang w:val="en-US"/>
        </w:rPr>
        <w:t>2</w:t>
      </w:r>
      <w:r w:rsidR="00991C3F" w:rsidRPr="00D869E3">
        <w:rPr>
          <w:rFonts w:ascii="Verdana" w:hAnsi="Verdana"/>
          <w:color w:val="000000"/>
          <w:sz w:val="20"/>
          <w:lang w:val="en-US"/>
        </w:rPr>
        <w:t xml:space="preserve">) </w:t>
      </w:r>
      <w:r w:rsidR="00447C65" w:rsidRPr="00D869E3">
        <w:rPr>
          <w:rFonts w:ascii="Verdana" w:hAnsi="Verdana"/>
          <w:color w:val="000000"/>
          <w:sz w:val="20"/>
          <w:lang w:val="en-US"/>
        </w:rPr>
        <w:t>of the American Convention</w:t>
      </w:r>
      <w:r w:rsidR="0050364F" w:rsidRPr="00D869E3">
        <w:rPr>
          <w:rFonts w:ascii="Verdana" w:hAnsi="Verdana"/>
          <w:color w:val="000000"/>
          <w:sz w:val="20"/>
          <w:lang w:val="en-US"/>
        </w:rPr>
        <w:t xml:space="preserve">, </w:t>
      </w:r>
      <w:r w:rsidR="00991C3F" w:rsidRPr="00D869E3">
        <w:rPr>
          <w:rFonts w:ascii="Verdana" w:hAnsi="Verdana"/>
          <w:color w:val="000000"/>
          <w:sz w:val="20"/>
          <w:lang w:val="en-US"/>
        </w:rPr>
        <w:t>to the detriment of</w:t>
      </w:r>
      <w:r w:rsidR="00687684" w:rsidRPr="00D869E3">
        <w:rPr>
          <w:rFonts w:ascii="Verdana" w:hAnsi="Verdana"/>
          <w:color w:val="000000"/>
          <w:sz w:val="20"/>
          <w:lang w:val="en-US"/>
        </w:rPr>
        <w:t xml:space="preserve"> Mr. Lagos</w:t>
      </w:r>
      <w:r w:rsidR="00C01305" w:rsidRPr="00D869E3">
        <w:rPr>
          <w:rFonts w:ascii="Verdana" w:hAnsi="Verdana"/>
          <w:color w:val="000000"/>
          <w:sz w:val="20"/>
          <w:lang w:val="en-US"/>
        </w:rPr>
        <w:t xml:space="preserve"> del Campo.</w:t>
      </w:r>
    </w:p>
    <w:p w14:paraId="5960277C" w14:textId="77777777" w:rsidR="00365853" w:rsidRPr="00D869E3" w:rsidRDefault="00365853" w:rsidP="00CB5A95">
      <w:pPr>
        <w:contextualSpacing/>
        <w:jc w:val="both"/>
        <w:rPr>
          <w:rFonts w:ascii="Verdana" w:hAnsi="Verdana"/>
          <w:color w:val="000000"/>
          <w:sz w:val="20"/>
          <w:lang w:val="en-US"/>
        </w:rPr>
      </w:pPr>
    </w:p>
    <w:p w14:paraId="34B236BC" w14:textId="3A7AFD66" w:rsidR="0088700B" w:rsidRPr="00D869E3" w:rsidRDefault="00636C30" w:rsidP="00E66DD7">
      <w:pPr>
        <w:pStyle w:val="Ttulo3"/>
        <w:numPr>
          <w:ilvl w:val="0"/>
          <w:numId w:val="11"/>
        </w:numPr>
        <w:ind w:left="714" w:hanging="357"/>
        <w:rPr>
          <w:b w:val="0"/>
          <w:i/>
          <w:szCs w:val="20"/>
          <w:lang w:val="en-US"/>
        </w:rPr>
      </w:pPr>
      <w:bookmarkStart w:id="49" w:name="_Toc29114137"/>
      <w:r w:rsidRPr="00D869E3">
        <w:rPr>
          <w:i/>
          <w:szCs w:val="20"/>
          <w:lang w:val="en-US"/>
        </w:rPr>
        <w:t>Violation of job</w:t>
      </w:r>
      <w:r w:rsidR="00731ADA" w:rsidRPr="00D869E3">
        <w:rPr>
          <w:i/>
          <w:szCs w:val="20"/>
          <w:lang w:val="en-US"/>
        </w:rPr>
        <w:t xml:space="preserve"> security</w:t>
      </w:r>
      <w:bookmarkEnd w:id="49"/>
      <w:r w:rsidR="00731ADA" w:rsidRPr="00D869E3">
        <w:rPr>
          <w:i/>
          <w:szCs w:val="20"/>
          <w:lang w:val="en-US"/>
        </w:rPr>
        <w:t xml:space="preserve"> </w:t>
      </w:r>
    </w:p>
    <w:p w14:paraId="33EA8E08" w14:textId="77777777" w:rsidR="0088700B" w:rsidRPr="00D869E3" w:rsidRDefault="0088700B" w:rsidP="00801513">
      <w:pPr>
        <w:tabs>
          <w:tab w:val="left" w:pos="426"/>
        </w:tabs>
        <w:rPr>
          <w:rFonts w:ascii="Verdana" w:hAnsi="Verdana"/>
          <w:sz w:val="20"/>
          <w:szCs w:val="20"/>
          <w:lang w:val="en-US"/>
        </w:rPr>
      </w:pPr>
    </w:p>
    <w:p w14:paraId="4857AA8A" w14:textId="194B0CFD" w:rsidR="0088700B" w:rsidRPr="00D869E3" w:rsidRDefault="00731ADA" w:rsidP="00E66DD7">
      <w:pPr>
        <w:pStyle w:val="Ttulo3"/>
        <w:numPr>
          <w:ilvl w:val="1"/>
          <w:numId w:val="11"/>
        </w:numPr>
        <w:ind w:hanging="229"/>
        <w:rPr>
          <w:i/>
          <w:szCs w:val="20"/>
          <w:lang w:val="en-US"/>
        </w:rPr>
      </w:pPr>
      <w:bookmarkStart w:id="50" w:name="_Toc29114138"/>
      <w:r w:rsidRPr="00D869E3">
        <w:rPr>
          <w:i/>
          <w:color w:val="000000"/>
          <w:szCs w:val="20"/>
          <w:lang w:val="en-US"/>
        </w:rPr>
        <w:t>Arguments on labor rights</w:t>
      </w:r>
      <w:bookmarkEnd w:id="50"/>
    </w:p>
    <w:p w14:paraId="66363D9B" w14:textId="77777777" w:rsidR="0088700B" w:rsidRPr="00D869E3" w:rsidRDefault="0088700B" w:rsidP="0088700B">
      <w:pPr>
        <w:ind w:left="1068"/>
        <w:contextualSpacing/>
        <w:jc w:val="both"/>
        <w:rPr>
          <w:rFonts w:ascii="Verdana" w:hAnsi="Verdana"/>
          <w:b/>
          <w:i/>
          <w:sz w:val="20"/>
          <w:szCs w:val="20"/>
          <w:lang w:val="en-US"/>
        </w:rPr>
      </w:pPr>
    </w:p>
    <w:p w14:paraId="49E65C78" w14:textId="2C7A17B4" w:rsidR="0088700B" w:rsidRPr="00D869E3" w:rsidRDefault="00636C30"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In this case</w:t>
      </w:r>
      <w:r w:rsidR="0088700B" w:rsidRPr="00D869E3">
        <w:rPr>
          <w:rFonts w:ascii="Verdana" w:hAnsi="Verdana"/>
          <w:sz w:val="20"/>
          <w:szCs w:val="20"/>
          <w:lang w:val="en-US"/>
        </w:rPr>
        <w:t xml:space="preserve">, </w:t>
      </w:r>
      <w:r w:rsidR="00447C65" w:rsidRPr="00D869E3">
        <w:rPr>
          <w:rFonts w:ascii="Verdana" w:hAnsi="Verdana"/>
          <w:sz w:val="20"/>
          <w:szCs w:val="20"/>
          <w:lang w:val="en-US"/>
        </w:rPr>
        <w:t>the Court</w:t>
      </w:r>
      <w:r w:rsidR="0088700B" w:rsidRPr="00D869E3">
        <w:rPr>
          <w:rFonts w:ascii="Verdana" w:hAnsi="Verdana"/>
          <w:sz w:val="20"/>
          <w:szCs w:val="20"/>
          <w:lang w:val="en-US"/>
        </w:rPr>
        <w:t xml:space="preserve"> not</w:t>
      </w:r>
      <w:r w:rsidR="00991C3F" w:rsidRPr="00D869E3">
        <w:rPr>
          <w:rFonts w:ascii="Verdana" w:hAnsi="Verdana"/>
          <w:sz w:val="20"/>
          <w:szCs w:val="20"/>
          <w:lang w:val="en-US"/>
        </w:rPr>
        <w:t xml:space="preserve">es that, in the litigation before this Court, neither </w:t>
      </w:r>
      <w:r w:rsidR="00687684" w:rsidRPr="00D869E3">
        <w:rPr>
          <w:rFonts w:ascii="Verdana" w:hAnsi="Verdana"/>
          <w:sz w:val="20"/>
          <w:szCs w:val="20"/>
          <w:lang w:val="en-US"/>
        </w:rPr>
        <w:t>the representatives</w:t>
      </w:r>
      <w:r w:rsidR="0088700B" w:rsidRPr="00D869E3">
        <w:rPr>
          <w:rFonts w:ascii="Verdana" w:hAnsi="Verdana"/>
          <w:sz w:val="20"/>
          <w:szCs w:val="20"/>
          <w:lang w:val="en-US"/>
        </w:rPr>
        <w:t xml:space="preserve"> n</w:t>
      </w:r>
      <w:r w:rsidR="00991C3F" w:rsidRPr="00D869E3">
        <w:rPr>
          <w:rFonts w:ascii="Verdana" w:hAnsi="Verdana"/>
          <w:sz w:val="20"/>
          <w:szCs w:val="20"/>
          <w:lang w:val="en-US"/>
        </w:rPr>
        <w:t>or</w:t>
      </w:r>
      <w:r w:rsidR="0088700B"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88700B" w:rsidRPr="00D869E3">
        <w:rPr>
          <w:rFonts w:ascii="Verdana" w:hAnsi="Verdana"/>
          <w:sz w:val="20"/>
          <w:szCs w:val="20"/>
          <w:lang w:val="en-US"/>
        </w:rPr>
        <w:t xml:space="preserve"> </w:t>
      </w:r>
      <w:r w:rsidR="00991C3F" w:rsidRPr="00D869E3">
        <w:rPr>
          <w:rFonts w:ascii="Verdana" w:hAnsi="Verdana"/>
          <w:sz w:val="20"/>
          <w:szCs w:val="20"/>
          <w:lang w:val="en-US"/>
        </w:rPr>
        <w:t xml:space="preserve">expressly mentioned the presumed violation of labor rights in light of </w:t>
      </w:r>
      <w:r w:rsidR="00447C65" w:rsidRPr="00D869E3">
        <w:rPr>
          <w:rFonts w:ascii="Verdana" w:hAnsi="Verdana"/>
          <w:sz w:val="20"/>
          <w:szCs w:val="20"/>
          <w:lang w:val="en-US"/>
        </w:rPr>
        <w:t>the American Convention</w:t>
      </w:r>
      <w:r w:rsidR="0088700B" w:rsidRPr="00D869E3">
        <w:rPr>
          <w:rFonts w:ascii="Verdana" w:hAnsi="Verdana"/>
          <w:sz w:val="20"/>
          <w:szCs w:val="20"/>
          <w:lang w:val="en-US"/>
        </w:rPr>
        <w:t xml:space="preserve">. </w:t>
      </w:r>
      <w:r w:rsidR="00991C3F" w:rsidRPr="00D869E3">
        <w:rPr>
          <w:rFonts w:ascii="Verdana" w:hAnsi="Verdana"/>
          <w:sz w:val="20"/>
          <w:szCs w:val="20"/>
          <w:lang w:val="en-US"/>
        </w:rPr>
        <w:t>However, the Court has noted that, in all the instance</w:t>
      </w:r>
      <w:r w:rsidR="00D329A8" w:rsidRPr="00D869E3">
        <w:rPr>
          <w:rFonts w:ascii="Verdana" w:hAnsi="Verdana"/>
          <w:sz w:val="20"/>
          <w:szCs w:val="20"/>
          <w:lang w:val="en-US"/>
        </w:rPr>
        <w:t>s</w:t>
      </w:r>
      <w:r w:rsidR="00991C3F" w:rsidRPr="00D869E3">
        <w:rPr>
          <w:rFonts w:ascii="Verdana" w:hAnsi="Verdana"/>
          <w:sz w:val="20"/>
          <w:szCs w:val="20"/>
          <w:lang w:val="en-US"/>
        </w:rPr>
        <w:t xml:space="preserve">, both at the domestic level and </w:t>
      </w:r>
      <w:r w:rsidR="00966115" w:rsidRPr="00D869E3">
        <w:rPr>
          <w:rFonts w:ascii="Verdana" w:hAnsi="Verdana"/>
          <w:sz w:val="20"/>
          <w:szCs w:val="20"/>
          <w:lang w:val="en-US"/>
        </w:rPr>
        <w:t>before the</w:t>
      </w:r>
      <w:r w:rsidR="00447C65" w:rsidRPr="00D869E3">
        <w:rPr>
          <w:rFonts w:ascii="Verdana" w:hAnsi="Verdana"/>
          <w:sz w:val="20"/>
          <w:szCs w:val="20"/>
          <w:lang w:val="en-US"/>
        </w:rPr>
        <w:t xml:space="preserve"> Commission</w:t>
      </w:r>
      <w:r w:rsidR="00E41369" w:rsidRPr="00D869E3">
        <w:rPr>
          <w:rFonts w:ascii="Verdana" w:hAnsi="Verdana"/>
          <w:sz w:val="20"/>
          <w:szCs w:val="20"/>
          <w:lang w:val="en-US"/>
        </w:rPr>
        <w:t>,</w:t>
      </w:r>
      <w:r w:rsidR="00991C3F" w:rsidRPr="00D869E3">
        <w:rPr>
          <w:rFonts w:ascii="Verdana" w:hAnsi="Verdana"/>
          <w:sz w:val="20"/>
          <w:szCs w:val="20"/>
          <w:lang w:val="en-US"/>
        </w:rPr>
        <w:t xml:space="preserve"> the presumed victim</w:t>
      </w:r>
      <w:r w:rsidR="0088700B" w:rsidRPr="00D869E3">
        <w:rPr>
          <w:rFonts w:ascii="Verdana" w:hAnsi="Verdana"/>
          <w:sz w:val="20"/>
          <w:szCs w:val="20"/>
          <w:lang w:val="en-US"/>
        </w:rPr>
        <w:t xml:space="preserve"> </w:t>
      </w:r>
      <w:r w:rsidR="00991C3F" w:rsidRPr="00D869E3">
        <w:rPr>
          <w:rFonts w:ascii="Verdana" w:hAnsi="Verdana"/>
          <w:sz w:val="20"/>
          <w:szCs w:val="20"/>
          <w:lang w:val="en-US"/>
        </w:rPr>
        <w:t xml:space="preserve">repeatedly alleged that his labor rights had been violated, in particular </w:t>
      </w:r>
      <w:r w:rsidR="00D329A8" w:rsidRPr="00D869E3">
        <w:rPr>
          <w:rFonts w:ascii="Verdana" w:hAnsi="Verdana"/>
          <w:sz w:val="20"/>
          <w:szCs w:val="20"/>
          <w:lang w:val="en-US"/>
        </w:rPr>
        <w:t xml:space="preserve">his right </w:t>
      </w:r>
      <w:r w:rsidR="00991C3F" w:rsidRPr="00D869E3">
        <w:rPr>
          <w:rFonts w:ascii="Verdana" w:hAnsi="Verdana"/>
          <w:sz w:val="20"/>
          <w:szCs w:val="20"/>
          <w:lang w:val="en-US"/>
        </w:rPr>
        <w:t xml:space="preserve">to </w:t>
      </w:r>
      <w:r w:rsidR="00731ADA" w:rsidRPr="00D869E3">
        <w:rPr>
          <w:rFonts w:ascii="Verdana" w:hAnsi="Verdana"/>
          <w:sz w:val="20"/>
          <w:szCs w:val="20"/>
          <w:lang w:val="en-US"/>
        </w:rPr>
        <w:t>job security</w:t>
      </w:r>
      <w:r w:rsidR="0088700B" w:rsidRPr="00D869E3">
        <w:rPr>
          <w:rFonts w:ascii="Verdana" w:hAnsi="Verdana"/>
          <w:sz w:val="20"/>
          <w:szCs w:val="20"/>
          <w:lang w:val="en-US"/>
        </w:rPr>
        <w:t xml:space="preserve">, </w:t>
      </w:r>
      <w:r w:rsidR="00991C3F" w:rsidRPr="00D869E3">
        <w:rPr>
          <w:rFonts w:ascii="Verdana" w:hAnsi="Verdana"/>
          <w:sz w:val="20"/>
          <w:szCs w:val="20"/>
          <w:lang w:val="en-US"/>
        </w:rPr>
        <w:t>and also the consequences of the dismissal</w:t>
      </w:r>
      <w:r w:rsidR="0088700B" w:rsidRPr="00D869E3">
        <w:rPr>
          <w:rFonts w:ascii="Verdana" w:hAnsi="Verdana"/>
          <w:sz w:val="20"/>
          <w:szCs w:val="20"/>
          <w:lang w:val="en-US"/>
        </w:rPr>
        <w:t xml:space="preserve">. </w:t>
      </w:r>
      <w:r w:rsidR="00D329A8" w:rsidRPr="00D869E3">
        <w:rPr>
          <w:rFonts w:ascii="Verdana" w:hAnsi="Verdana"/>
          <w:sz w:val="20"/>
          <w:szCs w:val="20"/>
          <w:lang w:val="en-US"/>
        </w:rPr>
        <w:t>For instance:</w:t>
      </w:r>
      <w:r w:rsidR="0088700B" w:rsidRPr="00D869E3">
        <w:rPr>
          <w:rStyle w:val="Refdenotaalpie"/>
          <w:szCs w:val="20"/>
          <w:lang w:val="en-US"/>
        </w:rPr>
        <w:footnoteReference w:id="170"/>
      </w:r>
      <w:r w:rsidR="0088700B" w:rsidRPr="00D869E3">
        <w:rPr>
          <w:rFonts w:ascii="Verdana" w:hAnsi="Verdana"/>
          <w:sz w:val="20"/>
          <w:szCs w:val="20"/>
          <w:lang w:val="en-US"/>
        </w:rPr>
        <w:t xml:space="preserve"> </w:t>
      </w:r>
    </w:p>
    <w:p w14:paraId="2576366C" w14:textId="77777777" w:rsidR="0088700B" w:rsidRPr="00D869E3" w:rsidRDefault="0088700B" w:rsidP="0088700B">
      <w:pPr>
        <w:jc w:val="both"/>
        <w:rPr>
          <w:rFonts w:ascii="Verdana" w:hAnsi="Verdana"/>
          <w:sz w:val="18"/>
          <w:szCs w:val="20"/>
          <w:lang w:val="en-US"/>
        </w:rPr>
      </w:pPr>
    </w:p>
    <w:p w14:paraId="40F800AE" w14:textId="4665155B" w:rsidR="00417290" w:rsidRPr="00D869E3" w:rsidRDefault="00DF2008" w:rsidP="00E66DD7">
      <w:pPr>
        <w:pStyle w:val="Prrafodelista"/>
        <w:numPr>
          <w:ilvl w:val="2"/>
          <w:numId w:val="21"/>
        </w:numPr>
        <w:ind w:left="851" w:firstLine="0"/>
        <w:jc w:val="both"/>
        <w:rPr>
          <w:rFonts w:ascii="Verdana" w:hAnsi="Verdana"/>
          <w:b/>
          <w:sz w:val="18"/>
          <w:szCs w:val="18"/>
          <w:lang w:val="en-US"/>
        </w:rPr>
      </w:pPr>
      <w:r w:rsidRPr="00D869E3">
        <w:rPr>
          <w:rFonts w:ascii="Verdana" w:hAnsi="Verdana"/>
          <w:sz w:val="18"/>
          <w:szCs w:val="20"/>
          <w:lang w:val="en-US"/>
        </w:rPr>
        <w:t>In a communication</w:t>
      </w:r>
      <w:r w:rsidR="0088700B" w:rsidRPr="00D869E3">
        <w:rPr>
          <w:rFonts w:ascii="Verdana" w:hAnsi="Verdana"/>
          <w:sz w:val="18"/>
          <w:szCs w:val="20"/>
          <w:lang w:val="en-US"/>
        </w:rPr>
        <w:t xml:space="preserve"> </w:t>
      </w:r>
      <w:r w:rsidR="00414544" w:rsidRPr="00D869E3">
        <w:rPr>
          <w:rFonts w:ascii="Verdana" w:hAnsi="Verdana"/>
          <w:sz w:val="18"/>
          <w:szCs w:val="20"/>
          <w:lang w:val="en-US"/>
        </w:rPr>
        <w:t>of October 13,</w:t>
      </w:r>
      <w:r w:rsidR="0088700B" w:rsidRPr="00D869E3">
        <w:rPr>
          <w:rFonts w:ascii="Verdana" w:hAnsi="Verdana"/>
          <w:sz w:val="18"/>
          <w:szCs w:val="20"/>
          <w:lang w:val="en-US"/>
        </w:rPr>
        <w:t xml:space="preserve"> 1993, </w:t>
      </w:r>
      <w:r w:rsidR="00414544" w:rsidRPr="00D869E3">
        <w:rPr>
          <w:rFonts w:ascii="Verdana" w:hAnsi="Verdana"/>
          <w:sz w:val="18"/>
          <w:szCs w:val="20"/>
          <w:lang w:val="en-US"/>
        </w:rPr>
        <w:t>addressed to the</w:t>
      </w:r>
      <w:r w:rsidR="0088700B" w:rsidRPr="00D869E3">
        <w:rPr>
          <w:rFonts w:ascii="Verdana" w:hAnsi="Verdana"/>
          <w:sz w:val="18"/>
          <w:szCs w:val="20"/>
          <w:lang w:val="en-US"/>
        </w:rPr>
        <w:t xml:space="preserve"> </w:t>
      </w:r>
      <w:r w:rsidR="00447C65" w:rsidRPr="00D869E3">
        <w:rPr>
          <w:rFonts w:ascii="Verdana" w:hAnsi="Verdana"/>
          <w:sz w:val="18"/>
          <w:szCs w:val="20"/>
          <w:lang w:val="en-US"/>
        </w:rPr>
        <w:t>President of the Inter-American Commission</w:t>
      </w:r>
      <w:r w:rsidR="0088700B" w:rsidRPr="00D869E3">
        <w:rPr>
          <w:rFonts w:ascii="Verdana" w:hAnsi="Verdana"/>
          <w:sz w:val="18"/>
          <w:szCs w:val="20"/>
          <w:lang w:val="en-US"/>
        </w:rPr>
        <w:t xml:space="preserve">, </w:t>
      </w:r>
      <w:r w:rsidR="00414544" w:rsidRPr="00D869E3">
        <w:rPr>
          <w:rFonts w:ascii="Verdana" w:hAnsi="Verdana"/>
          <w:sz w:val="18"/>
          <w:szCs w:val="20"/>
          <w:lang w:val="en-US"/>
        </w:rPr>
        <w:t xml:space="preserve">and received in the OAS offices in Peru on </w:t>
      </w:r>
      <w:r w:rsidR="00937F08" w:rsidRPr="00D869E3">
        <w:rPr>
          <w:rFonts w:ascii="Verdana" w:hAnsi="Verdana"/>
          <w:sz w:val="18"/>
          <w:szCs w:val="20"/>
          <w:lang w:val="en-US"/>
        </w:rPr>
        <w:t>O</w:t>
      </w:r>
      <w:r w:rsidR="00414544" w:rsidRPr="00D869E3">
        <w:rPr>
          <w:rFonts w:ascii="Verdana" w:hAnsi="Verdana"/>
          <w:sz w:val="18"/>
          <w:szCs w:val="20"/>
          <w:lang w:val="en-US"/>
        </w:rPr>
        <w:t xml:space="preserve">ctober 14, </w:t>
      </w:r>
      <w:r w:rsidR="0088700B" w:rsidRPr="00D869E3">
        <w:rPr>
          <w:rFonts w:ascii="Verdana" w:hAnsi="Verdana"/>
          <w:sz w:val="18"/>
          <w:szCs w:val="20"/>
          <w:lang w:val="en-US"/>
        </w:rPr>
        <w:t xml:space="preserve">1993, </w:t>
      </w:r>
      <w:r w:rsidR="001E44D3" w:rsidRPr="00D869E3">
        <w:rPr>
          <w:rFonts w:ascii="Verdana" w:hAnsi="Verdana"/>
          <w:sz w:val="18"/>
          <w:szCs w:val="20"/>
          <w:lang w:val="en-US"/>
        </w:rPr>
        <w:t>Mr. Lagos del Campo</w:t>
      </w:r>
      <w:r w:rsidR="0088700B" w:rsidRPr="00D869E3">
        <w:rPr>
          <w:rFonts w:ascii="Verdana" w:hAnsi="Verdana"/>
          <w:sz w:val="18"/>
          <w:szCs w:val="20"/>
          <w:lang w:val="en-US"/>
        </w:rPr>
        <w:t xml:space="preserve"> </w:t>
      </w:r>
      <w:r w:rsidR="00414544" w:rsidRPr="00D869E3">
        <w:rPr>
          <w:rFonts w:ascii="Verdana" w:hAnsi="Verdana"/>
          <w:sz w:val="18"/>
          <w:szCs w:val="20"/>
          <w:lang w:val="en-US"/>
        </w:rPr>
        <w:t xml:space="preserve">stated that, </w:t>
      </w:r>
      <w:r w:rsidR="00417290" w:rsidRPr="00D869E3">
        <w:rPr>
          <w:rFonts w:ascii="Verdana" w:hAnsi="Verdana"/>
          <w:sz w:val="18"/>
          <w:szCs w:val="20"/>
          <w:lang w:val="en-US"/>
        </w:rPr>
        <w:t xml:space="preserve">in the judgment delivered by </w:t>
      </w:r>
      <w:r w:rsidR="003506CC" w:rsidRPr="00D869E3">
        <w:rPr>
          <w:rFonts w:ascii="Verdana" w:hAnsi="Verdana"/>
          <w:sz w:val="18"/>
          <w:szCs w:val="20"/>
          <w:lang w:val="en-US"/>
        </w:rPr>
        <w:t xml:space="preserve">the </w:t>
      </w:r>
      <w:r w:rsidR="00966115" w:rsidRPr="00D869E3">
        <w:rPr>
          <w:rFonts w:ascii="Verdana" w:hAnsi="Verdana"/>
          <w:sz w:val="18"/>
          <w:szCs w:val="20"/>
          <w:lang w:val="en-US"/>
        </w:rPr>
        <w:t>Second Labor Court</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0088700B" w:rsidRPr="00D869E3">
        <w:rPr>
          <w:rFonts w:ascii="Verdana" w:hAnsi="Verdana"/>
          <w:sz w:val="18"/>
          <w:szCs w:val="20"/>
          <w:lang w:val="en-US"/>
        </w:rPr>
        <w:t>[</w:t>
      </w:r>
      <w:r w:rsidR="00417290" w:rsidRPr="00D869E3">
        <w:rPr>
          <w:rFonts w:ascii="Verdana" w:hAnsi="Verdana"/>
          <w:sz w:val="18"/>
          <w:szCs w:val="20"/>
          <w:lang w:val="en-US"/>
        </w:rPr>
        <w:t>there were</w:t>
      </w:r>
      <w:r w:rsidR="0088700B" w:rsidRPr="00D869E3">
        <w:rPr>
          <w:rFonts w:ascii="Verdana" w:hAnsi="Verdana"/>
          <w:sz w:val="18"/>
          <w:szCs w:val="20"/>
          <w:lang w:val="en-US"/>
        </w:rPr>
        <w:t xml:space="preserve">] </w:t>
      </w:r>
      <w:r w:rsidR="00417290" w:rsidRPr="00D869E3">
        <w:rPr>
          <w:rFonts w:ascii="Verdana" w:hAnsi="Verdana"/>
          <w:sz w:val="18"/>
          <w:szCs w:val="20"/>
          <w:lang w:val="en-US"/>
        </w:rPr>
        <w:t xml:space="preserve">procedural irregularities that </w:t>
      </w:r>
      <w:r w:rsidR="00D329A8" w:rsidRPr="00D869E3">
        <w:rPr>
          <w:rFonts w:ascii="Verdana" w:hAnsi="Verdana"/>
          <w:sz w:val="18"/>
          <w:szCs w:val="20"/>
          <w:lang w:val="en-US"/>
        </w:rPr>
        <w:t>infringed</w:t>
      </w:r>
      <w:r w:rsidR="00417290" w:rsidRPr="00D869E3">
        <w:rPr>
          <w:rFonts w:ascii="Verdana" w:hAnsi="Verdana"/>
          <w:sz w:val="18"/>
          <w:szCs w:val="20"/>
          <w:lang w:val="en-US"/>
        </w:rPr>
        <w:t xml:space="preserve"> [his] judicial protection, thus </w:t>
      </w:r>
      <w:r w:rsidR="00417290" w:rsidRPr="00D869E3">
        <w:rPr>
          <w:rFonts w:ascii="Verdana" w:hAnsi="Verdana"/>
          <w:sz w:val="18"/>
          <w:szCs w:val="18"/>
          <w:lang w:val="en-US"/>
        </w:rPr>
        <w:t>violating the provisions of [his] country’s Constitution that guarantee</w:t>
      </w:r>
      <w:r w:rsidR="00D329A8" w:rsidRPr="00D869E3">
        <w:rPr>
          <w:rFonts w:ascii="Verdana" w:hAnsi="Verdana"/>
          <w:sz w:val="18"/>
          <w:szCs w:val="18"/>
          <w:lang w:val="en-US"/>
        </w:rPr>
        <w:t>d</w:t>
      </w:r>
      <w:r w:rsidR="00417290" w:rsidRPr="00D869E3">
        <w:rPr>
          <w:rFonts w:ascii="Verdana" w:hAnsi="Verdana"/>
          <w:sz w:val="18"/>
          <w:szCs w:val="18"/>
          <w:lang w:val="en-US"/>
        </w:rPr>
        <w:t xml:space="preserve"> to every Peruvian citizen </w:t>
      </w:r>
      <w:r w:rsidR="00417290" w:rsidRPr="00D869E3">
        <w:rPr>
          <w:rFonts w:ascii="Verdana" w:hAnsi="Verdana"/>
          <w:i/>
          <w:iCs/>
          <w:sz w:val="18"/>
          <w:szCs w:val="18"/>
          <w:lang w:val="en-US"/>
        </w:rPr>
        <w:t xml:space="preserve">the right to due process of law and </w:t>
      </w:r>
      <w:r w:rsidR="00417290" w:rsidRPr="00D869E3">
        <w:rPr>
          <w:rFonts w:ascii="Verdana" w:hAnsi="Verdana"/>
          <w:b/>
          <w:bCs/>
          <w:i/>
          <w:iCs/>
          <w:sz w:val="18"/>
          <w:szCs w:val="18"/>
          <w:lang w:val="en-US"/>
        </w:rPr>
        <w:t xml:space="preserve">the right to work.” </w:t>
      </w:r>
      <w:r w:rsidR="00937F08" w:rsidRPr="00D869E3">
        <w:rPr>
          <w:rFonts w:ascii="Verdana" w:hAnsi="Verdana"/>
          <w:sz w:val="18"/>
          <w:szCs w:val="18"/>
          <w:lang w:val="en-US"/>
        </w:rPr>
        <w:t>In annex 1 to this communication, the petitioner clarified, among other matters, that his “</w:t>
      </w:r>
      <w:r w:rsidR="00937F08" w:rsidRPr="00D869E3">
        <w:rPr>
          <w:rFonts w:ascii="Verdana" w:hAnsi="Verdana"/>
          <w:b/>
          <w:bCs/>
          <w:i/>
          <w:iCs/>
          <w:sz w:val="18"/>
          <w:szCs w:val="18"/>
          <w:lang w:val="en-US"/>
        </w:rPr>
        <w:t>right to job s</w:t>
      </w:r>
      <w:r w:rsidR="00D329A8" w:rsidRPr="00D869E3">
        <w:rPr>
          <w:rFonts w:ascii="Verdana" w:hAnsi="Verdana"/>
          <w:b/>
          <w:bCs/>
          <w:i/>
          <w:iCs/>
          <w:sz w:val="18"/>
          <w:szCs w:val="18"/>
          <w:lang w:val="en-US"/>
        </w:rPr>
        <w:t>ecurit</w:t>
      </w:r>
      <w:r w:rsidR="00937F08" w:rsidRPr="00D869E3">
        <w:rPr>
          <w:rFonts w:ascii="Verdana" w:hAnsi="Verdana"/>
          <w:b/>
          <w:bCs/>
          <w:i/>
          <w:iCs/>
          <w:sz w:val="18"/>
          <w:szCs w:val="18"/>
          <w:lang w:val="en-US"/>
        </w:rPr>
        <w:t>y</w:t>
      </w:r>
      <w:r w:rsidR="00937F08" w:rsidRPr="00D869E3">
        <w:rPr>
          <w:rFonts w:ascii="Verdana" w:hAnsi="Verdana"/>
          <w:sz w:val="18"/>
          <w:szCs w:val="18"/>
          <w:lang w:val="en-US"/>
        </w:rPr>
        <w:t xml:space="preserve"> indicated in article 48 of the Constitution and articles 27 and 26 of the proposed new constitution” had been violated.”</w:t>
      </w:r>
      <w:r w:rsidR="00937F08" w:rsidRPr="00D869E3">
        <w:rPr>
          <w:rStyle w:val="Refdenotaalpie"/>
          <w:sz w:val="18"/>
          <w:szCs w:val="18"/>
          <w:lang w:val="en-US"/>
        </w:rPr>
        <w:footnoteReference w:id="171"/>
      </w:r>
    </w:p>
    <w:p w14:paraId="385F1219" w14:textId="77777777" w:rsidR="0088700B" w:rsidRPr="00D869E3" w:rsidRDefault="0088700B" w:rsidP="0088700B">
      <w:pPr>
        <w:pStyle w:val="Prrafodelista"/>
        <w:ind w:left="851"/>
        <w:jc w:val="both"/>
        <w:rPr>
          <w:rFonts w:ascii="Verdana" w:hAnsi="Verdana"/>
          <w:b/>
          <w:sz w:val="18"/>
          <w:szCs w:val="20"/>
          <w:lang w:val="en-US"/>
        </w:rPr>
      </w:pPr>
    </w:p>
    <w:p w14:paraId="32462CF6" w14:textId="09658B1B" w:rsidR="0088700B" w:rsidRPr="00D869E3" w:rsidRDefault="00DF2008" w:rsidP="00F9732F">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In a communication</w:t>
      </w:r>
      <w:r w:rsidR="0088700B" w:rsidRPr="00D869E3">
        <w:rPr>
          <w:rFonts w:ascii="Verdana" w:hAnsi="Verdana"/>
          <w:sz w:val="18"/>
          <w:szCs w:val="20"/>
          <w:lang w:val="en-US"/>
        </w:rPr>
        <w:t xml:space="preserve"> </w:t>
      </w:r>
      <w:r w:rsidR="00D329A8" w:rsidRPr="00D869E3">
        <w:rPr>
          <w:rFonts w:ascii="Verdana" w:hAnsi="Verdana"/>
          <w:sz w:val="18"/>
          <w:szCs w:val="20"/>
          <w:lang w:val="en-US"/>
        </w:rPr>
        <w:t>dated</w:t>
      </w:r>
      <w:r w:rsidR="00937F08" w:rsidRPr="00D869E3">
        <w:rPr>
          <w:rFonts w:ascii="Verdana" w:hAnsi="Verdana"/>
          <w:sz w:val="18"/>
          <w:szCs w:val="20"/>
          <w:lang w:val="en-US"/>
        </w:rPr>
        <w:t xml:space="preserve"> September 30,</w:t>
      </w:r>
      <w:r w:rsidR="0088700B" w:rsidRPr="00D869E3">
        <w:rPr>
          <w:rFonts w:ascii="Verdana" w:hAnsi="Verdana"/>
          <w:sz w:val="18"/>
          <w:szCs w:val="20"/>
          <w:lang w:val="en-US"/>
        </w:rPr>
        <w:t xml:space="preserve"> 1994, </w:t>
      </w:r>
      <w:r w:rsidR="00D329A8" w:rsidRPr="00D869E3">
        <w:rPr>
          <w:rFonts w:ascii="Verdana" w:hAnsi="Verdana"/>
          <w:sz w:val="18"/>
          <w:szCs w:val="20"/>
          <w:lang w:val="en-US"/>
        </w:rPr>
        <w:t xml:space="preserve">addressed to the Inter-American Commission </w:t>
      </w:r>
      <w:r w:rsidR="00937F08" w:rsidRPr="00D869E3">
        <w:rPr>
          <w:rFonts w:ascii="Verdana" w:hAnsi="Verdana"/>
          <w:sz w:val="18"/>
          <w:szCs w:val="20"/>
          <w:lang w:val="en-US"/>
        </w:rPr>
        <w:t>and received in the OAS offices in Peru on October 4,</w:t>
      </w:r>
      <w:r w:rsidR="0088700B" w:rsidRPr="00D869E3">
        <w:rPr>
          <w:rFonts w:ascii="Verdana" w:hAnsi="Verdana"/>
          <w:sz w:val="18"/>
          <w:szCs w:val="20"/>
          <w:lang w:val="en-US"/>
        </w:rPr>
        <w:t xml:space="preserve"> 1994, </w:t>
      </w:r>
      <w:r w:rsidR="00937F08" w:rsidRPr="00D869E3">
        <w:rPr>
          <w:rFonts w:ascii="Verdana" w:hAnsi="Verdana"/>
          <w:sz w:val="18"/>
          <w:szCs w:val="20"/>
          <w:lang w:val="en-US"/>
        </w:rPr>
        <w:t xml:space="preserve">the petitioner stated </w:t>
      </w:r>
      <w:r w:rsidR="00F9732F" w:rsidRPr="00D869E3">
        <w:rPr>
          <w:rFonts w:ascii="Verdana" w:hAnsi="Verdana"/>
          <w:sz w:val="18"/>
          <w:szCs w:val="20"/>
          <w:lang w:val="en-US"/>
        </w:rPr>
        <w:t xml:space="preserve">that “the violation of [his] constitutional and human rights, such as </w:t>
      </w:r>
      <w:r w:rsidR="000B2E5E" w:rsidRPr="00D869E3">
        <w:rPr>
          <w:rFonts w:ascii="Verdana" w:hAnsi="Verdana"/>
          <w:i/>
          <w:sz w:val="18"/>
          <w:szCs w:val="20"/>
          <w:lang w:val="en-US"/>
        </w:rPr>
        <w:t>the right to</w:t>
      </w:r>
      <w:r w:rsidR="00F9732F" w:rsidRPr="00D869E3">
        <w:rPr>
          <w:rFonts w:ascii="Verdana" w:hAnsi="Verdana"/>
          <w:i/>
          <w:sz w:val="18"/>
          <w:szCs w:val="20"/>
          <w:lang w:val="en-US"/>
        </w:rPr>
        <w:t xml:space="preserve"> a fair trial and </w:t>
      </w:r>
      <w:r w:rsidR="00F9732F" w:rsidRPr="00D869E3">
        <w:rPr>
          <w:rFonts w:ascii="Verdana" w:hAnsi="Verdana"/>
          <w:b/>
          <w:bCs/>
          <w:i/>
          <w:sz w:val="18"/>
          <w:szCs w:val="20"/>
          <w:lang w:val="en-US"/>
        </w:rPr>
        <w:lastRenderedPageBreak/>
        <w:t>the right to work</w:t>
      </w:r>
      <w:r w:rsidR="0088700B" w:rsidRPr="00D869E3">
        <w:rPr>
          <w:rFonts w:ascii="Verdana" w:hAnsi="Verdana"/>
          <w:b/>
          <w:bCs/>
          <w:i/>
          <w:sz w:val="18"/>
          <w:szCs w:val="20"/>
          <w:lang w:val="en-US"/>
        </w:rPr>
        <w:t xml:space="preserve"> </w:t>
      </w:r>
      <w:r w:rsidR="00F9732F" w:rsidRPr="00D869E3">
        <w:rPr>
          <w:rFonts w:ascii="Verdana" w:hAnsi="Verdana"/>
          <w:sz w:val="18"/>
          <w:szCs w:val="20"/>
          <w:lang w:val="en-US"/>
        </w:rPr>
        <w:t xml:space="preserve">that the senior authorities of [his] country were aware of, [and] up until [then] there [had not been] any judicial action or </w:t>
      </w:r>
      <w:r w:rsidR="00BC22FA" w:rsidRPr="00D869E3">
        <w:rPr>
          <w:rFonts w:ascii="Verdana" w:hAnsi="Verdana"/>
          <w:sz w:val="18"/>
          <w:szCs w:val="20"/>
          <w:lang w:val="en-US"/>
        </w:rPr>
        <w:t>justice</w:t>
      </w:r>
      <w:r w:rsidR="00F9732F" w:rsidRPr="00D869E3">
        <w:rPr>
          <w:rFonts w:ascii="Verdana" w:hAnsi="Verdana"/>
          <w:sz w:val="18"/>
          <w:szCs w:val="20"/>
          <w:lang w:val="en-US"/>
        </w:rPr>
        <w:t xml:space="preserve"> </w:t>
      </w:r>
      <w:r w:rsidR="0088700B" w:rsidRPr="00D869E3">
        <w:rPr>
          <w:rFonts w:ascii="Verdana" w:hAnsi="Verdana"/>
          <w:sz w:val="18"/>
          <w:szCs w:val="20"/>
          <w:lang w:val="en-US"/>
        </w:rPr>
        <w:t>[…]</w:t>
      </w:r>
      <w:r w:rsidR="00F9732F" w:rsidRPr="00D869E3">
        <w:rPr>
          <w:rFonts w:ascii="Verdana" w:hAnsi="Verdana"/>
          <w:sz w:val="18"/>
          <w:szCs w:val="20"/>
          <w:lang w:val="en-US"/>
        </w:rPr>
        <w:t>.</w:t>
      </w:r>
      <w:r w:rsidR="006436CA" w:rsidRPr="00D869E3">
        <w:rPr>
          <w:rFonts w:ascii="Verdana" w:hAnsi="Verdana"/>
          <w:sz w:val="18"/>
          <w:szCs w:val="20"/>
          <w:lang w:val="en-US"/>
        </w:rPr>
        <w:t>”</w:t>
      </w:r>
      <w:r w:rsidR="0088700B" w:rsidRPr="00D869E3">
        <w:rPr>
          <w:rStyle w:val="Refdenotaalpie"/>
          <w:sz w:val="18"/>
          <w:szCs w:val="20"/>
          <w:lang w:val="en-US"/>
        </w:rPr>
        <w:footnoteReference w:id="172"/>
      </w:r>
    </w:p>
    <w:p w14:paraId="4937B814" w14:textId="77777777" w:rsidR="0088700B" w:rsidRPr="00D869E3" w:rsidRDefault="0088700B" w:rsidP="0088700B">
      <w:pPr>
        <w:ind w:left="851"/>
        <w:jc w:val="both"/>
        <w:rPr>
          <w:rFonts w:ascii="Verdana" w:hAnsi="Verdana"/>
          <w:b/>
          <w:sz w:val="18"/>
          <w:szCs w:val="20"/>
          <w:lang w:val="en-US"/>
        </w:rPr>
      </w:pPr>
    </w:p>
    <w:p w14:paraId="799DA184" w14:textId="25964DC5" w:rsidR="0088700B" w:rsidRPr="00D869E3" w:rsidRDefault="00DF2008" w:rsidP="00E66DD7">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In a communication</w:t>
      </w:r>
      <w:r w:rsidR="0088700B" w:rsidRPr="00D869E3">
        <w:rPr>
          <w:rFonts w:ascii="Verdana" w:hAnsi="Verdana"/>
          <w:sz w:val="18"/>
          <w:szCs w:val="20"/>
          <w:lang w:val="en-US"/>
        </w:rPr>
        <w:t xml:space="preserve"> </w:t>
      </w:r>
      <w:r w:rsidR="00F9732F" w:rsidRPr="00D869E3">
        <w:rPr>
          <w:rFonts w:ascii="Verdana" w:hAnsi="Verdana"/>
          <w:sz w:val="18"/>
          <w:szCs w:val="20"/>
          <w:lang w:val="en-US"/>
        </w:rPr>
        <w:t>of the</w:t>
      </w:r>
      <w:r w:rsidR="0088700B" w:rsidRPr="00D869E3">
        <w:rPr>
          <w:rFonts w:ascii="Verdana" w:hAnsi="Verdana"/>
          <w:sz w:val="18"/>
          <w:szCs w:val="20"/>
          <w:lang w:val="en-US"/>
        </w:rPr>
        <w:t xml:space="preserve"> </w:t>
      </w:r>
      <w:r w:rsidR="00F9732F" w:rsidRPr="00D869E3">
        <w:rPr>
          <w:rFonts w:ascii="Verdana" w:hAnsi="Verdana"/>
          <w:sz w:val="18"/>
          <w:szCs w:val="20"/>
          <w:lang w:val="en-US"/>
        </w:rPr>
        <w:t xml:space="preserve">Workers’ </w:t>
      </w:r>
      <w:r w:rsidR="0088700B" w:rsidRPr="00D869E3">
        <w:rPr>
          <w:rFonts w:ascii="Verdana" w:hAnsi="Verdana"/>
          <w:sz w:val="18"/>
          <w:szCs w:val="20"/>
          <w:lang w:val="en-US"/>
        </w:rPr>
        <w:t>Federa</w:t>
      </w:r>
      <w:r w:rsidR="00F9732F" w:rsidRPr="00D869E3">
        <w:rPr>
          <w:rFonts w:ascii="Verdana" w:hAnsi="Verdana"/>
          <w:sz w:val="18"/>
          <w:szCs w:val="20"/>
          <w:lang w:val="en-US"/>
        </w:rPr>
        <w:t xml:space="preserve">tion of the Metallurgical Industry of Peru </w:t>
      </w:r>
      <w:r w:rsidR="0088700B" w:rsidRPr="00D869E3">
        <w:rPr>
          <w:rFonts w:ascii="Verdana" w:hAnsi="Verdana"/>
          <w:sz w:val="18"/>
          <w:szCs w:val="20"/>
          <w:lang w:val="en-US"/>
        </w:rPr>
        <w:t xml:space="preserve">(FETIMP) </w:t>
      </w:r>
      <w:r w:rsidR="00F9732F" w:rsidRPr="00D869E3">
        <w:rPr>
          <w:rFonts w:ascii="Verdana" w:hAnsi="Verdana"/>
          <w:sz w:val="18"/>
          <w:szCs w:val="20"/>
          <w:lang w:val="en-US"/>
        </w:rPr>
        <w:t>on behalf</w:t>
      </w:r>
      <w:r w:rsidR="0088700B" w:rsidRPr="00D869E3">
        <w:rPr>
          <w:rFonts w:ascii="Verdana" w:hAnsi="Verdana"/>
          <w:sz w:val="18"/>
          <w:szCs w:val="20"/>
          <w:lang w:val="en-US"/>
        </w:rPr>
        <w:t xml:space="preserve"> </w:t>
      </w:r>
      <w:r w:rsidR="00E6309B" w:rsidRPr="00D869E3">
        <w:rPr>
          <w:rFonts w:ascii="Verdana" w:hAnsi="Verdana"/>
          <w:sz w:val="18"/>
          <w:szCs w:val="20"/>
          <w:lang w:val="en-US"/>
        </w:rPr>
        <w:t>of Mr.</w:t>
      </w:r>
      <w:r w:rsidR="001E44D3" w:rsidRPr="00D869E3">
        <w:rPr>
          <w:rFonts w:ascii="Verdana" w:hAnsi="Verdana"/>
          <w:sz w:val="18"/>
          <w:szCs w:val="20"/>
          <w:lang w:val="en-US"/>
        </w:rPr>
        <w:t xml:space="preserve"> Lagos del Campo</w:t>
      </w:r>
      <w:r w:rsidR="0088700B" w:rsidRPr="00D869E3">
        <w:rPr>
          <w:rFonts w:ascii="Verdana" w:hAnsi="Verdana"/>
          <w:sz w:val="18"/>
          <w:szCs w:val="20"/>
          <w:lang w:val="en-US"/>
        </w:rPr>
        <w:t xml:space="preserve">, </w:t>
      </w:r>
      <w:r w:rsidR="00F9732F" w:rsidRPr="00D869E3">
        <w:rPr>
          <w:rFonts w:ascii="Verdana" w:hAnsi="Verdana"/>
          <w:sz w:val="18"/>
          <w:szCs w:val="20"/>
          <w:lang w:val="en-US"/>
        </w:rPr>
        <w:t>addressed to the</w:t>
      </w:r>
      <w:r w:rsidR="0088700B" w:rsidRPr="00D869E3">
        <w:rPr>
          <w:rFonts w:ascii="Verdana" w:hAnsi="Verdana"/>
          <w:sz w:val="18"/>
          <w:szCs w:val="20"/>
          <w:lang w:val="en-US"/>
        </w:rPr>
        <w:t xml:space="preserve"> </w:t>
      </w:r>
      <w:r w:rsidR="00447C65" w:rsidRPr="00D869E3">
        <w:rPr>
          <w:rFonts w:ascii="Verdana" w:hAnsi="Verdana"/>
          <w:sz w:val="18"/>
          <w:szCs w:val="20"/>
          <w:lang w:val="en-US"/>
        </w:rPr>
        <w:t>President of the Inter-American Commission</w:t>
      </w:r>
      <w:r w:rsidR="0088700B" w:rsidRPr="00D869E3">
        <w:rPr>
          <w:rFonts w:ascii="Verdana" w:hAnsi="Verdana"/>
          <w:sz w:val="18"/>
          <w:szCs w:val="20"/>
          <w:lang w:val="en-US"/>
        </w:rPr>
        <w:t xml:space="preserve"> </w:t>
      </w:r>
      <w:r w:rsidR="00F9732F" w:rsidRPr="00D869E3">
        <w:rPr>
          <w:rFonts w:ascii="Verdana" w:hAnsi="Verdana"/>
          <w:sz w:val="18"/>
          <w:szCs w:val="20"/>
          <w:lang w:val="en-US"/>
        </w:rPr>
        <w:t>dated June 4,</w:t>
      </w:r>
      <w:r w:rsidR="0088700B" w:rsidRPr="00D869E3">
        <w:rPr>
          <w:rFonts w:ascii="Verdana" w:hAnsi="Verdana"/>
          <w:sz w:val="18"/>
          <w:szCs w:val="20"/>
          <w:lang w:val="en-US"/>
        </w:rPr>
        <w:t xml:space="preserve"> 1997</w:t>
      </w:r>
      <w:r w:rsidR="00F9732F" w:rsidRPr="00D869E3">
        <w:rPr>
          <w:rFonts w:ascii="Verdana" w:hAnsi="Verdana"/>
          <w:sz w:val="18"/>
          <w:szCs w:val="20"/>
          <w:lang w:val="en-US"/>
        </w:rPr>
        <w:t>,</w:t>
      </w:r>
      <w:r w:rsidR="00687684" w:rsidRPr="00D869E3">
        <w:rPr>
          <w:rFonts w:ascii="Verdana" w:hAnsi="Verdana"/>
          <w:sz w:val="18"/>
          <w:szCs w:val="20"/>
          <w:lang w:val="en-US"/>
        </w:rPr>
        <w:t xml:space="preserve"> and </w:t>
      </w:r>
      <w:r w:rsidR="00F9732F" w:rsidRPr="00D869E3">
        <w:rPr>
          <w:rFonts w:ascii="Verdana" w:hAnsi="Verdana"/>
          <w:sz w:val="18"/>
          <w:szCs w:val="20"/>
          <w:lang w:val="en-US"/>
        </w:rPr>
        <w:t>received by the Commission on</w:t>
      </w:r>
      <w:r w:rsidR="0088700B" w:rsidRPr="00D869E3">
        <w:rPr>
          <w:rFonts w:ascii="Verdana" w:hAnsi="Verdana"/>
          <w:sz w:val="18"/>
          <w:szCs w:val="20"/>
          <w:lang w:val="en-US"/>
        </w:rPr>
        <w:t xml:space="preserve"> </w:t>
      </w:r>
      <w:r w:rsidR="00687684" w:rsidRPr="00D869E3">
        <w:rPr>
          <w:rFonts w:ascii="Verdana" w:hAnsi="Verdana"/>
          <w:sz w:val="18"/>
          <w:szCs w:val="20"/>
          <w:lang w:val="en-US"/>
        </w:rPr>
        <w:t>August 5,</w:t>
      </w:r>
      <w:r w:rsidR="0088700B" w:rsidRPr="00D869E3">
        <w:rPr>
          <w:rFonts w:ascii="Verdana" w:hAnsi="Verdana"/>
          <w:sz w:val="18"/>
          <w:szCs w:val="20"/>
          <w:lang w:val="en-US"/>
        </w:rPr>
        <w:t xml:space="preserve"> 1998,</w:t>
      </w:r>
      <w:r w:rsidR="00F9732F" w:rsidRPr="00D869E3">
        <w:rPr>
          <w:rFonts w:ascii="Verdana" w:hAnsi="Verdana"/>
          <w:sz w:val="18"/>
          <w:szCs w:val="20"/>
          <w:lang w:val="en-US"/>
        </w:rPr>
        <w:t xml:space="preserve"> the Federation “describe[d] the case of the Peruvian citizen and member of [its] union organization, Mr.</w:t>
      </w:r>
      <w:r w:rsidR="0088700B" w:rsidRPr="00D869E3">
        <w:rPr>
          <w:rFonts w:ascii="Verdana" w:hAnsi="Verdana"/>
          <w:sz w:val="18"/>
          <w:szCs w:val="20"/>
          <w:lang w:val="en-US"/>
        </w:rPr>
        <w:t xml:space="preserve"> Lagos del Campo, </w:t>
      </w:r>
      <w:r w:rsidR="00F9732F" w:rsidRPr="00D869E3">
        <w:rPr>
          <w:rFonts w:ascii="Verdana" w:hAnsi="Verdana"/>
          <w:sz w:val="18"/>
          <w:szCs w:val="20"/>
          <w:lang w:val="en-US"/>
        </w:rPr>
        <w:t>who was</w:t>
      </w:r>
      <w:r w:rsidR="00E41369" w:rsidRPr="00D869E3">
        <w:rPr>
          <w:rFonts w:ascii="Verdana" w:hAnsi="Verdana"/>
          <w:sz w:val="18"/>
          <w:szCs w:val="20"/>
          <w:lang w:val="en-US"/>
        </w:rPr>
        <w:t xml:space="preserve"> […]</w:t>
      </w:r>
      <w:r w:rsidR="0088700B" w:rsidRPr="00D869E3">
        <w:rPr>
          <w:rFonts w:ascii="Verdana" w:hAnsi="Verdana"/>
          <w:sz w:val="18"/>
          <w:szCs w:val="20"/>
          <w:lang w:val="en-US"/>
        </w:rPr>
        <w:t xml:space="preserve"> </w:t>
      </w:r>
      <w:r w:rsidR="00F9732F" w:rsidRPr="00D869E3">
        <w:rPr>
          <w:rFonts w:ascii="Verdana" w:hAnsi="Verdana"/>
          <w:i/>
          <w:sz w:val="18"/>
          <w:szCs w:val="20"/>
          <w:lang w:val="en-US"/>
        </w:rPr>
        <w:t>u</w:t>
      </w:r>
      <w:r w:rsidR="0088700B" w:rsidRPr="00D869E3">
        <w:rPr>
          <w:rFonts w:ascii="Verdana" w:hAnsi="Verdana"/>
          <w:i/>
          <w:sz w:val="18"/>
          <w:szCs w:val="20"/>
          <w:lang w:val="en-US"/>
        </w:rPr>
        <w:t>njust</w:t>
      </w:r>
      <w:r w:rsidR="00F9732F" w:rsidRPr="00D869E3">
        <w:rPr>
          <w:rFonts w:ascii="Verdana" w:hAnsi="Verdana"/>
          <w:i/>
          <w:sz w:val="18"/>
          <w:szCs w:val="20"/>
          <w:lang w:val="en-US"/>
        </w:rPr>
        <w:t xml:space="preserve">ly dismissed from his workplace </w:t>
      </w:r>
      <w:r w:rsidR="00F9732F" w:rsidRPr="00D869E3">
        <w:rPr>
          <w:rFonts w:ascii="Verdana" w:hAnsi="Verdana"/>
          <w:sz w:val="18"/>
          <w:szCs w:val="20"/>
          <w:lang w:val="en-US"/>
        </w:rPr>
        <w:t>in</w:t>
      </w:r>
      <w:r w:rsidR="0088700B" w:rsidRPr="00D869E3">
        <w:rPr>
          <w:rFonts w:ascii="Verdana" w:hAnsi="Verdana"/>
          <w:sz w:val="18"/>
          <w:szCs w:val="20"/>
          <w:lang w:val="en-US"/>
        </w:rPr>
        <w:t xml:space="preserve"> CEPER PIRELLI, S.A. </w:t>
      </w:r>
      <w:r w:rsidR="00F9732F" w:rsidRPr="00D869E3">
        <w:rPr>
          <w:rFonts w:ascii="Verdana" w:hAnsi="Verdana"/>
          <w:sz w:val="18"/>
          <w:szCs w:val="20"/>
          <w:lang w:val="en-US"/>
        </w:rPr>
        <w:t>on</w:t>
      </w:r>
      <w:r w:rsidR="0088700B" w:rsidRPr="00D869E3">
        <w:rPr>
          <w:rFonts w:ascii="Verdana" w:hAnsi="Verdana"/>
          <w:sz w:val="18"/>
          <w:szCs w:val="20"/>
          <w:lang w:val="en-US"/>
        </w:rPr>
        <w:t xml:space="preserve"> </w:t>
      </w:r>
      <w:r w:rsidR="00852CCA" w:rsidRPr="00D869E3">
        <w:rPr>
          <w:rFonts w:ascii="Verdana" w:hAnsi="Verdana"/>
          <w:sz w:val="18"/>
          <w:szCs w:val="20"/>
          <w:lang w:val="en-US"/>
        </w:rPr>
        <w:t>June 26,</w:t>
      </w:r>
      <w:r w:rsidR="0088700B" w:rsidRPr="00D869E3">
        <w:rPr>
          <w:rFonts w:ascii="Verdana" w:hAnsi="Verdana"/>
          <w:sz w:val="18"/>
          <w:szCs w:val="20"/>
          <w:lang w:val="en-US"/>
        </w:rPr>
        <w:t xml:space="preserve"> 1989. </w:t>
      </w:r>
      <w:r w:rsidR="00F9732F" w:rsidRPr="00D869E3">
        <w:rPr>
          <w:rFonts w:ascii="Verdana" w:hAnsi="Verdana"/>
          <w:sz w:val="18"/>
          <w:szCs w:val="20"/>
          <w:lang w:val="en-US"/>
        </w:rPr>
        <w:t xml:space="preserve">He was a victim of poor administration of justice when he had recourse to the domestic courts and, is still demanding a response to application for amparo No. </w:t>
      </w:r>
      <w:r w:rsidR="0088700B" w:rsidRPr="00D869E3">
        <w:rPr>
          <w:rFonts w:ascii="Verdana" w:hAnsi="Verdana"/>
          <w:sz w:val="18"/>
          <w:szCs w:val="20"/>
          <w:lang w:val="en-US"/>
        </w:rPr>
        <w:t>2651-91</w:t>
      </w:r>
      <w:r w:rsidR="00F9732F" w:rsidRPr="00D869E3">
        <w:rPr>
          <w:rFonts w:ascii="Verdana" w:hAnsi="Verdana"/>
          <w:sz w:val="18"/>
          <w:szCs w:val="20"/>
          <w:lang w:val="en-US"/>
        </w:rPr>
        <w:t>.</w:t>
      </w:r>
      <w:r w:rsidR="006436CA" w:rsidRPr="00D869E3">
        <w:rPr>
          <w:rFonts w:ascii="Verdana" w:hAnsi="Verdana"/>
          <w:sz w:val="18"/>
          <w:szCs w:val="20"/>
          <w:lang w:val="en-US"/>
        </w:rPr>
        <w:t>”</w:t>
      </w:r>
      <w:r w:rsidR="0088700B" w:rsidRPr="00D869E3">
        <w:rPr>
          <w:rFonts w:ascii="Verdana" w:hAnsi="Verdana"/>
          <w:sz w:val="18"/>
          <w:szCs w:val="20"/>
          <w:lang w:val="en-US"/>
        </w:rPr>
        <w:t xml:space="preserve"> </w:t>
      </w:r>
      <w:r w:rsidR="00F9732F" w:rsidRPr="00D869E3">
        <w:rPr>
          <w:rFonts w:ascii="Verdana" w:hAnsi="Verdana"/>
          <w:sz w:val="18"/>
          <w:szCs w:val="20"/>
          <w:lang w:val="en-US"/>
        </w:rPr>
        <w:t xml:space="preserve">It also mentioned that, at that date, no answer had been received to the letter sent to </w:t>
      </w:r>
      <w:r w:rsidR="00447C65" w:rsidRPr="00D869E3">
        <w:rPr>
          <w:rFonts w:ascii="Verdana" w:hAnsi="Verdana"/>
          <w:sz w:val="18"/>
          <w:szCs w:val="20"/>
          <w:lang w:val="en-US"/>
        </w:rPr>
        <w:t>the Commission</w:t>
      </w:r>
      <w:r w:rsidR="0088700B" w:rsidRPr="00D869E3">
        <w:rPr>
          <w:rFonts w:ascii="Verdana" w:hAnsi="Verdana"/>
          <w:sz w:val="18"/>
          <w:szCs w:val="20"/>
          <w:lang w:val="en-US"/>
        </w:rPr>
        <w:t xml:space="preserve"> </w:t>
      </w:r>
      <w:r w:rsidR="00F9732F" w:rsidRPr="00D869E3">
        <w:rPr>
          <w:rFonts w:ascii="Verdana" w:hAnsi="Verdana"/>
          <w:sz w:val="18"/>
          <w:szCs w:val="20"/>
          <w:lang w:val="en-US"/>
        </w:rPr>
        <w:t>on October 14,</w:t>
      </w:r>
      <w:r w:rsidR="0088700B" w:rsidRPr="00D869E3">
        <w:rPr>
          <w:rFonts w:ascii="Verdana" w:hAnsi="Verdana"/>
          <w:sz w:val="18"/>
          <w:szCs w:val="20"/>
          <w:lang w:val="en-US"/>
        </w:rPr>
        <w:t xml:space="preserve"> 1993, </w:t>
      </w:r>
      <w:r w:rsidR="00B00B10" w:rsidRPr="00D869E3">
        <w:rPr>
          <w:rFonts w:ascii="Verdana" w:hAnsi="Verdana"/>
          <w:sz w:val="18"/>
          <w:szCs w:val="20"/>
          <w:lang w:val="en-US"/>
        </w:rPr>
        <w:t>through the OAS Office in</w:t>
      </w:r>
      <w:r w:rsidR="0088700B" w:rsidRPr="00D869E3">
        <w:rPr>
          <w:rFonts w:ascii="Verdana" w:hAnsi="Verdana"/>
          <w:sz w:val="18"/>
          <w:szCs w:val="20"/>
          <w:lang w:val="en-US"/>
        </w:rPr>
        <w:t xml:space="preserve"> Lima</w:t>
      </w:r>
      <w:r w:rsidR="00B00B10" w:rsidRPr="00D869E3">
        <w:rPr>
          <w:rFonts w:ascii="Verdana" w:hAnsi="Verdana"/>
          <w:sz w:val="18"/>
          <w:szCs w:val="20"/>
          <w:lang w:val="en-US"/>
        </w:rPr>
        <w:t>.</w:t>
      </w:r>
      <w:r w:rsidR="0088700B" w:rsidRPr="00D869E3">
        <w:rPr>
          <w:rStyle w:val="Refdenotaalpie"/>
          <w:sz w:val="18"/>
          <w:szCs w:val="20"/>
          <w:lang w:val="en-US"/>
        </w:rPr>
        <w:footnoteReference w:id="173"/>
      </w:r>
    </w:p>
    <w:p w14:paraId="2F4A4562" w14:textId="77777777" w:rsidR="0088700B" w:rsidRPr="00D869E3" w:rsidRDefault="0088700B" w:rsidP="0088700B">
      <w:pPr>
        <w:ind w:left="851"/>
        <w:jc w:val="both"/>
        <w:rPr>
          <w:rFonts w:ascii="Verdana" w:hAnsi="Verdana"/>
          <w:b/>
          <w:sz w:val="18"/>
          <w:szCs w:val="20"/>
          <w:lang w:val="en-US"/>
        </w:rPr>
      </w:pPr>
    </w:p>
    <w:p w14:paraId="4F5480D1" w14:textId="778DC2E2" w:rsidR="0088700B" w:rsidRPr="00D869E3" w:rsidRDefault="00B00B10" w:rsidP="00E66DD7">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In a petition addressed to</w:t>
      </w:r>
      <w:r w:rsidR="0088700B" w:rsidRPr="00D869E3">
        <w:rPr>
          <w:rFonts w:ascii="Verdana" w:hAnsi="Verdana"/>
          <w:sz w:val="18"/>
          <w:szCs w:val="20"/>
          <w:lang w:val="en-US"/>
        </w:rPr>
        <w:t xml:space="preserve"> </w:t>
      </w:r>
      <w:r w:rsidR="00447C65" w:rsidRPr="00D869E3">
        <w:rPr>
          <w:rFonts w:ascii="Verdana" w:hAnsi="Verdana"/>
          <w:sz w:val="18"/>
          <w:szCs w:val="20"/>
          <w:lang w:val="en-US"/>
        </w:rPr>
        <w:t>the Commission</w:t>
      </w:r>
      <w:r w:rsidR="0088700B" w:rsidRPr="00D869E3">
        <w:rPr>
          <w:rFonts w:ascii="Verdana" w:hAnsi="Verdana"/>
          <w:sz w:val="18"/>
          <w:szCs w:val="20"/>
          <w:lang w:val="en-US"/>
        </w:rPr>
        <w:t xml:space="preserve"> </w:t>
      </w:r>
      <w:r w:rsidRPr="00D869E3">
        <w:rPr>
          <w:rFonts w:ascii="Verdana" w:hAnsi="Verdana"/>
          <w:sz w:val="18"/>
          <w:szCs w:val="20"/>
          <w:lang w:val="en-US"/>
        </w:rPr>
        <w:t>on June 30,</w:t>
      </w:r>
      <w:r w:rsidR="0088700B" w:rsidRPr="00D869E3">
        <w:rPr>
          <w:rFonts w:ascii="Verdana" w:hAnsi="Verdana"/>
          <w:sz w:val="18"/>
          <w:szCs w:val="20"/>
          <w:lang w:val="en-US"/>
        </w:rPr>
        <w:t xml:space="preserve"> 1997, </w:t>
      </w:r>
      <w:r w:rsidR="001E44D3" w:rsidRPr="00D869E3">
        <w:rPr>
          <w:rFonts w:ascii="Verdana" w:hAnsi="Verdana"/>
          <w:sz w:val="18"/>
          <w:szCs w:val="20"/>
          <w:lang w:val="en-US"/>
        </w:rPr>
        <w:t>Mr. Lagos del Campo</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Pr="00D869E3">
        <w:rPr>
          <w:rFonts w:ascii="Verdana" w:hAnsi="Verdana"/>
          <w:sz w:val="18"/>
          <w:szCs w:val="20"/>
          <w:lang w:val="en-US"/>
        </w:rPr>
        <w:t xml:space="preserve">file[d] a </w:t>
      </w:r>
      <w:r w:rsidR="00BC22FA" w:rsidRPr="00D869E3">
        <w:rPr>
          <w:rFonts w:ascii="Verdana" w:hAnsi="Verdana"/>
          <w:sz w:val="18"/>
          <w:szCs w:val="20"/>
          <w:lang w:val="en-US"/>
        </w:rPr>
        <w:t>complaint</w:t>
      </w:r>
      <w:r w:rsidRPr="00D869E3">
        <w:rPr>
          <w:rFonts w:ascii="Verdana" w:hAnsi="Verdana"/>
          <w:sz w:val="18"/>
          <w:szCs w:val="20"/>
          <w:lang w:val="en-US"/>
        </w:rPr>
        <w:t xml:space="preserve"> of a human rights violation against the Peruvian Government for violating </w:t>
      </w:r>
      <w:r w:rsidR="000B2E5E" w:rsidRPr="00D869E3">
        <w:rPr>
          <w:rFonts w:ascii="Verdana" w:hAnsi="Verdana"/>
          <w:sz w:val="18"/>
          <w:szCs w:val="20"/>
          <w:lang w:val="en-US"/>
        </w:rPr>
        <w:t xml:space="preserve">the </w:t>
      </w:r>
      <w:r w:rsidR="000B2E5E" w:rsidRPr="00D869E3">
        <w:rPr>
          <w:rFonts w:ascii="Verdana" w:hAnsi="Verdana"/>
          <w:i/>
          <w:iCs/>
          <w:sz w:val="18"/>
          <w:szCs w:val="20"/>
          <w:lang w:val="en-US"/>
        </w:rPr>
        <w:t>right to</w:t>
      </w:r>
      <w:r w:rsidR="0088700B" w:rsidRPr="00D869E3">
        <w:rPr>
          <w:rFonts w:ascii="Verdana" w:hAnsi="Verdana"/>
          <w:i/>
          <w:sz w:val="18"/>
          <w:szCs w:val="20"/>
          <w:lang w:val="en-US"/>
        </w:rPr>
        <w:t xml:space="preserve"> </w:t>
      </w:r>
      <w:r w:rsidRPr="00D869E3">
        <w:rPr>
          <w:rFonts w:ascii="Verdana" w:hAnsi="Verdana"/>
          <w:i/>
          <w:sz w:val="18"/>
          <w:szCs w:val="20"/>
          <w:lang w:val="en-US"/>
        </w:rPr>
        <w:t>equal protection of the law</w:t>
      </w:r>
      <w:r w:rsidR="0088700B" w:rsidRPr="00D869E3">
        <w:rPr>
          <w:rFonts w:ascii="Verdana" w:hAnsi="Verdana"/>
          <w:i/>
          <w:sz w:val="18"/>
          <w:szCs w:val="20"/>
          <w:lang w:val="en-US"/>
        </w:rPr>
        <w:t xml:space="preserve"> (</w:t>
      </w:r>
      <w:r w:rsidRPr="00D869E3">
        <w:rPr>
          <w:rFonts w:ascii="Verdana" w:hAnsi="Verdana"/>
          <w:i/>
          <w:sz w:val="18"/>
          <w:szCs w:val="20"/>
          <w:lang w:val="en-US"/>
        </w:rPr>
        <w:t>Art.</w:t>
      </w:r>
      <w:r w:rsidR="0088700B" w:rsidRPr="00D869E3">
        <w:rPr>
          <w:rFonts w:ascii="Verdana" w:hAnsi="Verdana"/>
          <w:i/>
          <w:sz w:val="18"/>
          <w:szCs w:val="20"/>
          <w:lang w:val="en-US"/>
        </w:rPr>
        <w:t xml:space="preserve"> 22)</w:t>
      </w:r>
      <w:r w:rsidR="00687684" w:rsidRPr="00D869E3">
        <w:rPr>
          <w:rFonts w:ascii="Verdana" w:hAnsi="Verdana"/>
          <w:i/>
          <w:sz w:val="18"/>
          <w:szCs w:val="20"/>
          <w:lang w:val="en-US"/>
        </w:rPr>
        <w:t xml:space="preserve"> and </w:t>
      </w:r>
      <w:r w:rsidRPr="00D869E3">
        <w:rPr>
          <w:rFonts w:ascii="Verdana" w:hAnsi="Verdana"/>
          <w:i/>
          <w:sz w:val="18"/>
          <w:szCs w:val="20"/>
          <w:lang w:val="en-US"/>
        </w:rPr>
        <w:t>also</w:t>
      </w:r>
      <w:r w:rsidR="0088700B" w:rsidRPr="00D869E3">
        <w:rPr>
          <w:rFonts w:ascii="Verdana" w:hAnsi="Verdana"/>
          <w:i/>
          <w:sz w:val="18"/>
          <w:szCs w:val="20"/>
          <w:lang w:val="en-US"/>
        </w:rPr>
        <w:t xml:space="preserve"> </w:t>
      </w:r>
      <w:r w:rsidR="000B2E5E" w:rsidRPr="00D869E3">
        <w:rPr>
          <w:rFonts w:ascii="Verdana" w:hAnsi="Verdana"/>
          <w:i/>
          <w:sz w:val="18"/>
          <w:szCs w:val="20"/>
          <w:lang w:val="en-US"/>
        </w:rPr>
        <w:t>the right to</w:t>
      </w:r>
      <w:r w:rsidR="0088700B" w:rsidRPr="00D869E3">
        <w:rPr>
          <w:rFonts w:ascii="Verdana" w:hAnsi="Verdana"/>
          <w:i/>
          <w:sz w:val="18"/>
          <w:szCs w:val="20"/>
          <w:lang w:val="en-US"/>
        </w:rPr>
        <w:t xml:space="preserve"> judicial </w:t>
      </w:r>
      <w:r w:rsidRPr="00D869E3">
        <w:rPr>
          <w:rFonts w:ascii="Verdana" w:hAnsi="Verdana"/>
          <w:i/>
          <w:sz w:val="18"/>
          <w:szCs w:val="20"/>
          <w:lang w:val="en-US"/>
        </w:rPr>
        <w:t xml:space="preserve">protection against violations of fundamental rights (Art. 23) </w:t>
      </w:r>
      <w:r w:rsidR="0088700B" w:rsidRPr="00D869E3">
        <w:rPr>
          <w:rFonts w:ascii="Verdana" w:hAnsi="Verdana"/>
          <w:i/>
          <w:sz w:val="18"/>
          <w:szCs w:val="20"/>
          <w:lang w:val="en-US"/>
        </w:rPr>
        <w:t>[…]</w:t>
      </w:r>
      <w:r w:rsidRPr="00D869E3">
        <w:rPr>
          <w:rFonts w:ascii="Verdana" w:hAnsi="Verdana"/>
          <w:i/>
          <w:sz w:val="18"/>
          <w:szCs w:val="20"/>
          <w:lang w:val="en-US"/>
        </w:rPr>
        <w:t>.</w:t>
      </w:r>
      <w:r w:rsidR="006436CA" w:rsidRPr="00D869E3">
        <w:rPr>
          <w:rFonts w:ascii="Verdana" w:hAnsi="Verdana"/>
          <w:i/>
          <w:sz w:val="18"/>
          <w:szCs w:val="20"/>
          <w:lang w:val="en-US"/>
        </w:rPr>
        <w:t>”</w:t>
      </w:r>
      <w:r w:rsidR="0088700B" w:rsidRPr="00D869E3">
        <w:rPr>
          <w:rFonts w:ascii="Verdana" w:hAnsi="Verdana"/>
          <w:sz w:val="18"/>
          <w:szCs w:val="20"/>
          <w:lang w:val="en-US"/>
        </w:rPr>
        <w:t xml:space="preserve"> </w:t>
      </w:r>
      <w:r w:rsidRPr="00D869E3">
        <w:rPr>
          <w:rFonts w:ascii="Verdana" w:hAnsi="Verdana"/>
          <w:sz w:val="18"/>
          <w:szCs w:val="20"/>
          <w:lang w:val="en-US"/>
        </w:rPr>
        <w:t xml:space="preserve">He also asked that the petition be admitted and processed </w:t>
      </w:r>
      <w:r w:rsidR="006436CA" w:rsidRPr="00D869E3">
        <w:rPr>
          <w:rFonts w:ascii="Verdana" w:hAnsi="Verdana"/>
          <w:sz w:val="18"/>
          <w:szCs w:val="20"/>
          <w:lang w:val="en-US"/>
        </w:rPr>
        <w:t>“</w:t>
      </w:r>
      <w:r w:rsidRPr="00D869E3">
        <w:rPr>
          <w:rFonts w:ascii="Verdana" w:hAnsi="Verdana"/>
          <w:b/>
          <w:sz w:val="18"/>
          <w:szCs w:val="20"/>
          <w:lang w:val="en-US"/>
        </w:rPr>
        <w:t>to achieve the re-establishment of [his] rights to equal protection of the law, due process, and the right to work</w:t>
      </w:r>
      <w:r w:rsidR="0088700B" w:rsidRPr="00D869E3">
        <w:rPr>
          <w:rFonts w:ascii="Verdana" w:hAnsi="Verdana"/>
          <w:i/>
          <w:sz w:val="18"/>
          <w:szCs w:val="20"/>
          <w:lang w:val="en-US"/>
        </w:rPr>
        <w:t>,</w:t>
      </w:r>
      <w:r w:rsidR="0088700B" w:rsidRPr="00D869E3">
        <w:rPr>
          <w:rFonts w:ascii="Verdana" w:hAnsi="Verdana"/>
          <w:sz w:val="18"/>
          <w:szCs w:val="20"/>
          <w:lang w:val="en-US"/>
        </w:rPr>
        <w:t xml:space="preserve"> </w:t>
      </w:r>
      <w:r w:rsidRPr="00D869E3">
        <w:rPr>
          <w:rFonts w:ascii="Verdana" w:hAnsi="Verdana"/>
          <w:sz w:val="18"/>
          <w:szCs w:val="20"/>
          <w:lang w:val="en-US"/>
        </w:rPr>
        <w:t xml:space="preserve">which [had been] violated by </w:t>
      </w:r>
      <w:r w:rsidR="003506CC" w:rsidRPr="00D869E3">
        <w:rPr>
          <w:rFonts w:ascii="Verdana" w:hAnsi="Verdana"/>
          <w:sz w:val="18"/>
          <w:szCs w:val="20"/>
          <w:lang w:val="en-US"/>
        </w:rPr>
        <w:t>the Second Labor Court</w:t>
      </w:r>
      <w:r w:rsidR="00687684" w:rsidRPr="00D869E3">
        <w:rPr>
          <w:rFonts w:ascii="Verdana" w:hAnsi="Verdana"/>
          <w:sz w:val="18"/>
          <w:szCs w:val="20"/>
          <w:lang w:val="en-US"/>
        </w:rPr>
        <w:t xml:space="preserve"> and </w:t>
      </w:r>
      <w:r w:rsidR="0088700B" w:rsidRPr="00D869E3">
        <w:rPr>
          <w:rFonts w:ascii="Verdana" w:hAnsi="Verdana"/>
          <w:sz w:val="18"/>
          <w:szCs w:val="20"/>
          <w:lang w:val="en-US"/>
        </w:rPr>
        <w:t>CC.LL.,</w:t>
      </w:r>
      <w:r w:rsidRPr="00D869E3">
        <w:rPr>
          <w:rFonts w:ascii="Verdana" w:hAnsi="Verdana"/>
          <w:sz w:val="18"/>
          <w:szCs w:val="20"/>
          <w:lang w:val="en-US"/>
        </w:rPr>
        <w:t xml:space="preserve"> by the decision resulting from an irregular process</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0088700B" w:rsidRPr="00D869E3">
        <w:rPr>
          <w:rStyle w:val="Refdenotaalpie"/>
          <w:sz w:val="18"/>
          <w:szCs w:val="20"/>
          <w:lang w:val="en-US"/>
        </w:rPr>
        <w:footnoteReference w:id="174"/>
      </w:r>
      <w:r w:rsidR="00E41369" w:rsidRPr="00D869E3">
        <w:rPr>
          <w:rFonts w:ascii="Verdana" w:hAnsi="Verdana"/>
          <w:sz w:val="18"/>
          <w:szCs w:val="20"/>
          <w:lang w:val="en-US"/>
        </w:rPr>
        <w:t>.</w:t>
      </w:r>
    </w:p>
    <w:p w14:paraId="77DE9EF3" w14:textId="77777777" w:rsidR="0088700B" w:rsidRPr="00D869E3" w:rsidRDefault="0088700B" w:rsidP="0088700B">
      <w:pPr>
        <w:ind w:left="851"/>
        <w:jc w:val="both"/>
        <w:rPr>
          <w:rFonts w:ascii="Verdana" w:hAnsi="Verdana"/>
          <w:b/>
          <w:sz w:val="18"/>
          <w:szCs w:val="20"/>
          <w:lang w:val="en-US"/>
        </w:rPr>
      </w:pPr>
    </w:p>
    <w:p w14:paraId="3284C5FE" w14:textId="74B1DD4A" w:rsidR="0088700B" w:rsidRPr="00D869E3" w:rsidRDefault="00BC22FA" w:rsidP="00E66DD7">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T</w:t>
      </w:r>
      <w:r w:rsidR="00447C65" w:rsidRPr="00D869E3">
        <w:rPr>
          <w:rFonts w:ascii="Verdana" w:hAnsi="Verdana"/>
          <w:sz w:val="18"/>
          <w:szCs w:val="20"/>
          <w:lang w:val="en-US"/>
        </w:rPr>
        <w:t>he Commission</w:t>
      </w:r>
      <w:r w:rsidR="0061456F" w:rsidRPr="00D869E3">
        <w:rPr>
          <w:rFonts w:ascii="Verdana" w:hAnsi="Verdana"/>
          <w:sz w:val="18"/>
          <w:szCs w:val="20"/>
          <w:lang w:val="en-US"/>
        </w:rPr>
        <w:t xml:space="preserve"> responded to</w:t>
      </w:r>
      <w:r w:rsidR="00EE0BD4" w:rsidRPr="00D869E3">
        <w:rPr>
          <w:rFonts w:ascii="Verdana" w:hAnsi="Verdana"/>
          <w:sz w:val="18"/>
          <w:szCs w:val="20"/>
          <w:lang w:val="en-US"/>
        </w:rPr>
        <w:t xml:space="preserve"> Mr. Lagos</w:t>
      </w:r>
      <w:r w:rsidR="0088700B" w:rsidRPr="00D869E3">
        <w:rPr>
          <w:rFonts w:ascii="Verdana" w:hAnsi="Verdana"/>
          <w:sz w:val="18"/>
          <w:szCs w:val="20"/>
          <w:lang w:val="en-US"/>
        </w:rPr>
        <w:t xml:space="preserve"> del Campo </w:t>
      </w:r>
      <w:r w:rsidR="0061456F" w:rsidRPr="00D869E3">
        <w:rPr>
          <w:rFonts w:ascii="Verdana" w:hAnsi="Verdana"/>
          <w:sz w:val="18"/>
          <w:szCs w:val="20"/>
          <w:lang w:val="en-US"/>
        </w:rPr>
        <w:t>i</w:t>
      </w:r>
      <w:r w:rsidR="00DF2008" w:rsidRPr="00D869E3">
        <w:rPr>
          <w:rFonts w:ascii="Verdana" w:hAnsi="Verdana"/>
          <w:sz w:val="18"/>
          <w:szCs w:val="20"/>
          <w:lang w:val="en-US"/>
        </w:rPr>
        <w:t>n a communication</w:t>
      </w:r>
      <w:r w:rsidR="00E41369" w:rsidRPr="00D869E3">
        <w:rPr>
          <w:rFonts w:ascii="Verdana" w:hAnsi="Verdana"/>
          <w:sz w:val="18"/>
          <w:szCs w:val="20"/>
          <w:lang w:val="en-US"/>
        </w:rPr>
        <w:t xml:space="preserve"> </w:t>
      </w:r>
      <w:r w:rsidR="0061456F" w:rsidRPr="00D869E3">
        <w:rPr>
          <w:rFonts w:ascii="Verdana" w:hAnsi="Verdana"/>
          <w:sz w:val="18"/>
          <w:szCs w:val="20"/>
          <w:lang w:val="en-US"/>
        </w:rPr>
        <w:t xml:space="preserve">of September 2, </w:t>
      </w:r>
      <w:r w:rsidR="0088700B" w:rsidRPr="00D869E3">
        <w:rPr>
          <w:rFonts w:ascii="Verdana" w:hAnsi="Verdana"/>
          <w:sz w:val="18"/>
          <w:szCs w:val="20"/>
          <w:lang w:val="en-US"/>
        </w:rPr>
        <w:t>1997</w:t>
      </w:r>
      <w:r w:rsidR="00E41369" w:rsidRPr="00D869E3">
        <w:rPr>
          <w:rFonts w:ascii="Verdana" w:hAnsi="Verdana"/>
          <w:sz w:val="18"/>
          <w:szCs w:val="20"/>
          <w:lang w:val="en-US"/>
        </w:rPr>
        <w:t>,</w:t>
      </w:r>
      <w:r w:rsidR="0088700B" w:rsidRPr="00D869E3">
        <w:rPr>
          <w:rFonts w:ascii="Verdana" w:hAnsi="Verdana"/>
          <w:sz w:val="18"/>
          <w:szCs w:val="20"/>
          <w:lang w:val="en-US"/>
        </w:rPr>
        <w:t xml:space="preserve"> </w:t>
      </w:r>
      <w:r w:rsidR="0061456F" w:rsidRPr="00D869E3">
        <w:rPr>
          <w:rFonts w:ascii="Verdana" w:hAnsi="Verdana"/>
          <w:sz w:val="18"/>
          <w:szCs w:val="20"/>
          <w:lang w:val="en-US"/>
        </w:rPr>
        <w:t>received on September 24,</w:t>
      </w:r>
      <w:r w:rsidR="0088700B" w:rsidRPr="00D869E3">
        <w:rPr>
          <w:rFonts w:ascii="Verdana" w:hAnsi="Verdana"/>
          <w:sz w:val="18"/>
          <w:szCs w:val="20"/>
          <w:lang w:val="en-US"/>
        </w:rPr>
        <w:t xml:space="preserve"> 1997</w:t>
      </w:r>
      <w:r w:rsidR="0061456F" w:rsidRPr="00D869E3">
        <w:rPr>
          <w:rFonts w:ascii="Verdana" w:hAnsi="Verdana"/>
          <w:sz w:val="18"/>
          <w:szCs w:val="20"/>
          <w:lang w:val="en-US"/>
        </w:rPr>
        <w:t>, by the</w:t>
      </w:r>
      <w:r w:rsidR="0088700B" w:rsidRPr="00D869E3">
        <w:rPr>
          <w:rFonts w:ascii="Verdana" w:hAnsi="Verdana"/>
          <w:sz w:val="18"/>
          <w:szCs w:val="20"/>
          <w:lang w:val="en-US"/>
        </w:rPr>
        <w:t xml:space="preserve"> FETIMP</w:t>
      </w:r>
      <w:r w:rsidR="008E18C3" w:rsidRPr="00D869E3">
        <w:rPr>
          <w:rFonts w:ascii="Verdana" w:hAnsi="Verdana"/>
          <w:sz w:val="18"/>
          <w:szCs w:val="20"/>
          <w:lang w:val="en-US"/>
        </w:rPr>
        <w:t>,</w:t>
      </w:r>
      <w:r w:rsidR="00687684" w:rsidRPr="00D869E3">
        <w:rPr>
          <w:rFonts w:ascii="Verdana" w:hAnsi="Verdana"/>
          <w:sz w:val="18"/>
          <w:szCs w:val="20"/>
          <w:lang w:val="en-US"/>
        </w:rPr>
        <w:t xml:space="preserve"> </w:t>
      </w:r>
      <w:r w:rsidR="0061456F" w:rsidRPr="00D869E3">
        <w:rPr>
          <w:rFonts w:ascii="Verdana" w:hAnsi="Verdana"/>
          <w:sz w:val="18"/>
          <w:szCs w:val="20"/>
          <w:lang w:val="en-US"/>
        </w:rPr>
        <w:t xml:space="preserve">in which the </w:t>
      </w:r>
      <w:r w:rsidR="00447C65" w:rsidRPr="00D869E3">
        <w:rPr>
          <w:rFonts w:ascii="Verdana" w:hAnsi="Verdana"/>
          <w:sz w:val="18"/>
          <w:szCs w:val="20"/>
          <w:lang w:val="en-US"/>
        </w:rPr>
        <w:t>Commission</w:t>
      </w:r>
      <w:r w:rsidR="0088700B" w:rsidRPr="00D869E3">
        <w:rPr>
          <w:rFonts w:ascii="Verdana" w:hAnsi="Verdana"/>
          <w:sz w:val="18"/>
          <w:szCs w:val="20"/>
          <w:lang w:val="en-US"/>
        </w:rPr>
        <w:t xml:space="preserve"> </w:t>
      </w:r>
      <w:r w:rsidR="0061456F" w:rsidRPr="00D869E3">
        <w:rPr>
          <w:rFonts w:ascii="Verdana" w:hAnsi="Verdana"/>
          <w:sz w:val="18"/>
          <w:szCs w:val="20"/>
          <w:lang w:val="en-US"/>
        </w:rPr>
        <w:t xml:space="preserve">advised the petitioner that </w:t>
      </w:r>
      <w:r w:rsidR="00E747CD" w:rsidRPr="00D869E3">
        <w:rPr>
          <w:rFonts w:ascii="Verdana" w:hAnsi="Verdana"/>
          <w:sz w:val="18"/>
          <w:szCs w:val="20"/>
          <w:lang w:val="en-US"/>
        </w:rPr>
        <w:t xml:space="preserve">his petition had “not met the requirements established in </w:t>
      </w:r>
      <w:r w:rsidR="00447C65" w:rsidRPr="00D869E3">
        <w:rPr>
          <w:rFonts w:ascii="Verdana" w:hAnsi="Verdana"/>
          <w:sz w:val="18"/>
          <w:szCs w:val="20"/>
          <w:lang w:val="en-US"/>
        </w:rPr>
        <w:t>the</w:t>
      </w:r>
      <w:r w:rsidR="00E747CD" w:rsidRPr="00D869E3">
        <w:rPr>
          <w:rFonts w:ascii="Verdana" w:hAnsi="Verdana"/>
          <w:sz w:val="18"/>
          <w:szCs w:val="20"/>
          <w:lang w:val="en-US"/>
        </w:rPr>
        <w:t xml:space="preserve"> [IACHR]</w:t>
      </w:r>
      <w:r w:rsidR="00447C65" w:rsidRPr="00D869E3">
        <w:rPr>
          <w:rFonts w:ascii="Verdana" w:hAnsi="Verdana"/>
          <w:sz w:val="18"/>
          <w:szCs w:val="20"/>
          <w:lang w:val="en-US"/>
        </w:rPr>
        <w:t xml:space="preserve"> Rules of Procedure</w:t>
      </w:r>
      <w:r w:rsidR="00E747CD" w:rsidRPr="00D869E3">
        <w:rPr>
          <w:rFonts w:ascii="Verdana" w:hAnsi="Verdana"/>
          <w:sz w:val="18"/>
          <w:szCs w:val="20"/>
          <w:lang w:val="en-US"/>
        </w:rPr>
        <w:t xml:space="preserve">, in particular </w:t>
      </w:r>
      <w:r w:rsidR="00447C65" w:rsidRPr="00D869E3">
        <w:rPr>
          <w:rFonts w:ascii="Verdana" w:hAnsi="Verdana"/>
          <w:sz w:val="18"/>
          <w:szCs w:val="20"/>
          <w:lang w:val="en-US"/>
        </w:rPr>
        <w:t>Articles</w:t>
      </w:r>
      <w:r w:rsidR="0088700B" w:rsidRPr="00D869E3">
        <w:rPr>
          <w:rFonts w:ascii="Verdana" w:hAnsi="Verdana"/>
          <w:sz w:val="18"/>
          <w:szCs w:val="20"/>
          <w:lang w:val="en-US"/>
        </w:rPr>
        <w:t xml:space="preserve"> 32, 33, 34</w:t>
      </w:r>
      <w:r w:rsidR="00687684" w:rsidRPr="00D869E3">
        <w:rPr>
          <w:rFonts w:ascii="Verdana" w:hAnsi="Verdana"/>
          <w:sz w:val="18"/>
          <w:szCs w:val="20"/>
          <w:lang w:val="en-US"/>
        </w:rPr>
        <w:t xml:space="preserve"> and </w:t>
      </w:r>
      <w:r w:rsidR="0088700B" w:rsidRPr="00D869E3">
        <w:rPr>
          <w:rFonts w:ascii="Verdana" w:hAnsi="Verdana"/>
          <w:sz w:val="18"/>
          <w:szCs w:val="20"/>
          <w:lang w:val="en-US"/>
        </w:rPr>
        <w:t>37</w:t>
      </w:r>
      <w:r w:rsidR="00E41369" w:rsidRPr="00D869E3">
        <w:rPr>
          <w:rFonts w:ascii="Verdana" w:hAnsi="Verdana"/>
          <w:sz w:val="18"/>
          <w:szCs w:val="20"/>
          <w:lang w:val="en-US"/>
        </w:rPr>
        <w:t xml:space="preserve"> [</w:t>
      </w:r>
      <w:r w:rsidR="0088700B" w:rsidRPr="00D869E3">
        <w:rPr>
          <w:rFonts w:ascii="Verdana" w:hAnsi="Verdana"/>
          <w:sz w:val="18"/>
          <w:szCs w:val="20"/>
          <w:lang w:val="en-US"/>
        </w:rPr>
        <w:t>…</w:t>
      </w:r>
      <w:r w:rsidR="00E41369" w:rsidRPr="00D869E3">
        <w:rPr>
          <w:rFonts w:ascii="Verdana" w:hAnsi="Verdana"/>
          <w:sz w:val="18"/>
          <w:szCs w:val="20"/>
          <w:lang w:val="en-US"/>
        </w:rPr>
        <w:t>]</w:t>
      </w:r>
      <w:r w:rsidR="00E747CD" w:rsidRPr="00D869E3">
        <w:rPr>
          <w:rFonts w:ascii="Verdana" w:hAnsi="Verdana"/>
          <w:sz w:val="18"/>
          <w:szCs w:val="20"/>
          <w:lang w:val="en-US"/>
        </w:rPr>
        <w:t>.</w:t>
      </w:r>
      <w:r w:rsidR="006436CA" w:rsidRPr="00D869E3">
        <w:rPr>
          <w:rFonts w:ascii="Verdana" w:hAnsi="Verdana"/>
          <w:sz w:val="18"/>
          <w:szCs w:val="20"/>
          <w:lang w:val="en-US"/>
        </w:rPr>
        <w:t>”</w:t>
      </w:r>
      <w:r w:rsidR="00E747CD" w:rsidRPr="00D869E3">
        <w:rPr>
          <w:rFonts w:ascii="Verdana" w:hAnsi="Verdana"/>
          <w:sz w:val="18"/>
          <w:szCs w:val="20"/>
          <w:lang w:val="en-US"/>
        </w:rPr>
        <w:t xml:space="preserve"> The Commission also asked the petitioner to </w:t>
      </w:r>
      <w:r w:rsidRPr="00D869E3">
        <w:rPr>
          <w:rFonts w:ascii="Verdana" w:hAnsi="Verdana"/>
          <w:sz w:val="18"/>
          <w:szCs w:val="20"/>
          <w:lang w:val="en-US"/>
        </w:rPr>
        <w:t>indicate</w:t>
      </w:r>
      <w:r w:rsidR="00E747CD" w:rsidRPr="00D869E3">
        <w:rPr>
          <w:rFonts w:ascii="Verdana" w:hAnsi="Verdana"/>
          <w:sz w:val="18"/>
          <w:szCs w:val="20"/>
          <w:lang w:val="en-US"/>
        </w:rPr>
        <w:t xml:space="preserve"> the facts and the articles of the Convention that he considered had been violated, and the final judgment of the domestic jurisdiction.</w:t>
      </w:r>
      <w:r w:rsidR="0088700B" w:rsidRPr="00D869E3">
        <w:rPr>
          <w:rStyle w:val="Refdenotaalpie"/>
          <w:sz w:val="18"/>
          <w:szCs w:val="20"/>
          <w:lang w:val="en-US"/>
        </w:rPr>
        <w:footnoteReference w:id="175"/>
      </w:r>
    </w:p>
    <w:p w14:paraId="2AAC628A" w14:textId="77777777" w:rsidR="0088700B" w:rsidRPr="00D869E3" w:rsidRDefault="0088700B" w:rsidP="0088700B">
      <w:pPr>
        <w:ind w:left="851"/>
        <w:jc w:val="both"/>
        <w:rPr>
          <w:rFonts w:ascii="Verdana" w:hAnsi="Verdana"/>
          <w:b/>
          <w:sz w:val="18"/>
          <w:szCs w:val="20"/>
          <w:lang w:val="en-US"/>
        </w:rPr>
      </w:pPr>
    </w:p>
    <w:p w14:paraId="324D03A1" w14:textId="5CB1DCF4" w:rsidR="0088700B" w:rsidRPr="00D869E3" w:rsidRDefault="00E747CD" w:rsidP="00E66DD7">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 xml:space="preserve">In an “updated and regularized” petition dated July 22, 1998, addressed to the </w:t>
      </w:r>
      <w:r w:rsidR="00447C65" w:rsidRPr="00D869E3">
        <w:rPr>
          <w:rFonts w:ascii="Verdana" w:hAnsi="Verdana"/>
          <w:sz w:val="18"/>
          <w:szCs w:val="20"/>
          <w:lang w:val="en-US"/>
        </w:rPr>
        <w:t>President of the Inter-American Commission</w:t>
      </w:r>
      <w:r w:rsidR="0088700B" w:rsidRPr="00D869E3">
        <w:rPr>
          <w:rFonts w:ascii="Verdana" w:hAnsi="Verdana"/>
          <w:sz w:val="18"/>
          <w:szCs w:val="20"/>
          <w:lang w:val="en-US"/>
        </w:rPr>
        <w:t xml:space="preserve"> (</w:t>
      </w:r>
      <w:r w:rsidRPr="00D869E3">
        <w:rPr>
          <w:rFonts w:ascii="Verdana" w:hAnsi="Verdana"/>
          <w:sz w:val="18"/>
          <w:szCs w:val="20"/>
          <w:lang w:val="en-US"/>
        </w:rPr>
        <w:t>which does not indicate the date on which it was received</w:t>
      </w:r>
      <w:r w:rsidR="0088700B" w:rsidRPr="00D869E3">
        <w:rPr>
          <w:rFonts w:ascii="Verdana" w:hAnsi="Verdana"/>
          <w:sz w:val="18"/>
          <w:szCs w:val="20"/>
          <w:lang w:val="en-US"/>
        </w:rPr>
        <w:t xml:space="preserve">), </w:t>
      </w:r>
      <w:r w:rsidR="001E44D3" w:rsidRPr="00D869E3">
        <w:rPr>
          <w:rFonts w:ascii="Verdana" w:hAnsi="Verdana"/>
          <w:sz w:val="18"/>
          <w:szCs w:val="20"/>
          <w:lang w:val="en-US"/>
        </w:rPr>
        <w:t>Mr. Lagos del Campo</w:t>
      </w:r>
      <w:r w:rsidR="0088700B" w:rsidRPr="00D869E3">
        <w:rPr>
          <w:rFonts w:ascii="Verdana" w:hAnsi="Verdana"/>
          <w:sz w:val="18"/>
          <w:szCs w:val="20"/>
          <w:lang w:val="en-US"/>
        </w:rPr>
        <w:t xml:space="preserve"> </w:t>
      </w:r>
      <w:r w:rsidRPr="00D869E3">
        <w:rPr>
          <w:rFonts w:ascii="Verdana" w:hAnsi="Verdana"/>
          <w:sz w:val="18"/>
          <w:szCs w:val="20"/>
          <w:lang w:val="en-US"/>
        </w:rPr>
        <w:t>stated</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00E41369" w:rsidRPr="00D869E3">
        <w:rPr>
          <w:rFonts w:ascii="Verdana" w:hAnsi="Verdana"/>
          <w:sz w:val="18"/>
          <w:szCs w:val="20"/>
          <w:lang w:val="en-US"/>
        </w:rPr>
        <w:t>[</w:t>
      </w:r>
      <w:r w:rsidRPr="00D869E3">
        <w:rPr>
          <w:rFonts w:ascii="Verdana" w:hAnsi="Verdana"/>
          <w:sz w:val="18"/>
          <w:szCs w:val="20"/>
          <w:lang w:val="en-US"/>
        </w:rPr>
        <w:t>t</w:t>
      </w:r>
      <w:r w:rsidR="00E41369" w:rsidRPr="00D869E3">
        <w:rPr>
          <w:rFonts w:ascii="Verdana" w:hAnsi="Verdana"/>
          <w:sz w:val="18"/>
          <w:szCs w:val="20"/>
          <w:lang w:val="en-US"/>
        </w:rPr>
        <w:t>]</w:t>
      </w:r>
      <w:r w:rsidRPr="00D869E3">
        <w:rPr>
          <w:rFonts w:ascii="Verdana" w:hAnsi="Verdana"/>
          <w:sz w:val="18"/>
          <w:szCs w:val="20"/>
          <w:lang w:val="en-US"/>
        </w:rPr>
        <w:t xml:space="preserve">hat, pursuant to the provisions of </w:t>
      </w:r>
      <w:r w:rsidR="00447C65" w:rsidRPr="00D869E3">
        <w:rPr>
          <w:rFonts w:ascii="Verdana" w:hAnsi="Verdana"/>
          <w:sz w:val="18"/>
          <w:szCs w:val="20"/>
          <w:lang w:val="en-US"/>
        </w:rPr>
        <w:t>the American Convention</w:t>
      </w:r>
      <w:r w:rsidR="0088700B" w:rsidRPr="00D869E3">
        <w:rPr>
          <w:rFonts w:ascii="Verdana" w:hAnsi="Verdana"/>
          <w:sz w:val="18"/>
          <w:szCs w:val="20"/>
          <w:lang w:val="en-US"/>
        </w:rPr>
        <w:t xml:space="preserve"> </w:t>
      </w:r>
      <w:r w:rsidRPr="00D869E3">
        <w:rPr>
          <w:rFonts w:ascii="Verdana" w:hAnsi="Verdana"/>
          <w:sz w:val="18"/>
          <w:szCs w:val="20"/>
          <w:lang w:val="en-US"/>
        </w:rPr>
        <w:t xml:space="preserve">on </w:t>
      </w:r>
      <w:r w:rsidR="00B443B4" w:rsidRPr="00D869E3">
        <w:rPr>
          <w:rFonts w:ascii="Verdana" w:hAnsi="Verdana"/>
          <w:sz w:val="18"/>
          <w:szCs w:val="20"/>
          <w:lang w:val="en-US"/>
        </w:rPr>
        <w:t xml:space="preserve">Human </w:t>
      </w:r>
      <w:r w:rsidRPr="00D869E3">
        <w:rPr>
          <w:rFonts w:ascii="Verdana" w:hAnsi="Verdana"/>
          <w:sz w:val="18"/>
          <w:szCs w:val="20"/>
          <w:lang w:val="en-US"/>
        </w:rPr>
        <w:t>R</w:t>
      </w:r>
      <w:r w:rsidR="00B443B4" w:rsidRPr="00D869E3">
        <w:rPr>
          <w:rFonts w:ascii="Verdana" w:hAnsi="Verdana"/>
          <w:sz w:val="18"/>
          <w:szCs w:val="20"/>
          <w:lang w:val="en-US"/>
        </w:rPr>
        <w:t>ights</w:t>
      </w:r>
      <w:r w:rsidRPr="00D869E3">
        <w:rPr>
          <w:rFonts w:ascii="Verdana" w:hAnsi="Verdana"/>
          <w:sz w:val="18"/>
          <w:szCs w:val="20"/>
          <w:lang w:val="en-US"/>
        </w:rPr>
        <w:t xml:space="preserve">, which [his] country had ratified, [he was] lodging a complaint of violation of human rights against the Peruvian Government because it had violated </w:t>
      </w:r>
      <w:r w:rsidRPr="00D869E3">
        <w:rPr>
          <w:rFonts w:ascii="Verdana" w:hAnsi="Verdana"/>
          <w:i/>
          <w:iCs/>
          <w:sz w:val="18"/>
          <w:szCs w:val="20"/>
          <w:lang w:val="en-US"/>
        </w:rPr>
        <w:t>the right to</w:t>
      </w:r>
      <w:r w:rsidRPr="00D869E3">
        <w:rPr>
          <w:rFonts w:ascii="Verdana" w:hAnsi="Verdana"/>
          <w:i/>
          <w:sz w:val="18"/>
          <w:szCs w:val="20"/>
          <w:lang w:val="en-US"/>
        </w:rPr>
        <w:t xml:space="preserve"> equal protection of the law (Art. 22) and also the right to judicial protection against violations of fundamental rights (Art. 23</w:t>
      </w:r>
      <w:r w:rsidR="0088700B" w:rsidRPr="00D869E3">
        <w:rPr>
          <w:rFonts w:ascii="Verdana" w:hAnsi="Verdana"/>
          <w:i/>
          <w:sz w:val="18"/>
          <w:szCs w:val="20"/>
          <w:lang w:val="en-US"/>
        </w:rPr>
        <w:t>) […]</w:t>
      </w:r>
      <w:r w:rsidRPr="00D869E3">
        <w:rPr>
          <w:rFonts w:ascii="Verdana" w:hAnsi="Verdana"/>
          <w:i/>
          <w:sz w:val="18"/>
          <w:szCs w:val="20"/>
          <w:lang w:val="en-US"/>
        </w:rPr>
        <w:t>.</w:t>
      </w:r>
      <w:r w:rsidR="006436CA" w:rsidRPr="00D869E3">
        <w:rPr>
          <w:rFonts w:ascii="Verdana" w:hAnsi="Verdana"/>
          <w:sz w:val="18"/>
          <w:szCs w:val="20"/>
          <w:lang w:val="en-US"/>
        </w:rPr>
        <w:t>”</w:t>
      </w:r>
      <w:r w:rsidR="0088700B" w:rsidRPr="00D869E3">
        <w:rPr>
          <w:rFonts w:ascii="Verdana" w:hAnsi="Verdana"/>
          <w:sz w:val="18"/>
          <w:szCs w:val="20"/>
          <w:lang w:val="en-US"/>
        </w:rPr>
        <w:t xml:space="preserve"> </w:t>
      </w:r>
      <w:r w:rsidRPr="00D869E3">
        <w:rPr>
          <w:rFonts w:ascii="Verdana" w:hAnsi="Verdana"/>
          <w:sz w:val="18"/>
          <w:szCs w:val="20"/>
          <w:lang w:val="en-US"/>
        </w:rPr>
        <w:t xml:space="preserve">In the same document, the petitioner asked for the petition also to be admitted and processed </w:t>
      </w:r>
      <w:r w:rsidR="006436CA" w:rsidRPr="00D869E3">
        <w:rPr>
          <w:rFonts w:ascii="Verdana" w:hAnsi="Verdana"/>
          <w:sz w:val="18"/>
          <w:szCs w:val="20"/>
          <w:lang w:val="en-US"/>
        </w:rPr>
        <w:t>“</w:t>
      </w:r>
      <w:r w:rsidRPr="00D869E3">
        <w:rPr>
          <w:rFonts w:ascii="Verdana" w:hAnsi="Verdana"/>
          <w:i/>
          <w:sz w:val="18"/>
          <w:szCs w:val="20"/>
          <w:lang w:val="en-US"/>
        </w:rPr>
        <w:t>to re-establish</w:t>
      </w:r>
      <w:r w:rsidR="0088700B" w:rsidRPr="00D869E3">
        <w:rPr>
          <w:rFonts w:ascii="Verdana" w:hAnsi="Verdana"/>
          <w:i/>
          <w:sz w:val="18"/>
          <w:szCs w:val="20"/>
          <w:lang w:val="en-US"/>
        </w:rPr>
        <w:t xml:space="preserve"> [</w:t>
      </w:r>
      <w:r w:rsidRPr="00D869E3">
        <w:rPr>
          <w:rFonts w:ascii="Verdana" w:hAnsi="Verdana"/>
          <w:i/>
          <w:sz w:val="18"/>
          <w:szCs w:val="20"/>
          <w:lang w:val="en-US"/>
        </w:rPr>
        <w:t>his</w:t>
      </w:r>
      <w:r w:rsidR="0088700B" w:rsidRPr="00D869E3">
        <w:rPr>
          <w:rFonts w:ascii="Verdana" w:hAnsi="Verdana"/>
          <w:i/>
          <w:sz w:val="18"/>
          <w:szCs w:val="20"/>
          <w:lang w:val="en-US"/>
        </w:rPr>
        <w:t xml:space="preserve">] </w:t>
      </w:r>
      <w:r w:rsidRPr="00D869E3">
        <w:rPr>
          <w:rFonts w:ascii="Verdana" w:hAnsi="Verdana"/>
          <w:i/>
          <w:sz w:val="18"/>
          <w:szCs w:val="20"/>
          <w:lang w:val="en-US"/>
        </w:rPr>
        <w:t xml:space="preserve">rights to equal protection of the law, due process and </w:t>
      </w:r>
      <w:r w:rsidR="00A157F5" w:rsidRPr="00D869E3">
        <w:rPr>
          <w:rFonts w:ascii="Verdana" w:hAnsi="Verdana"/>
          <w:b/>
          <w:bCs/>
          <w:i/>
          <w:sz w:val="18"/>
          <w:szCs w:val="20"/>
          <w:lang w:val="en-US"/>
        </w:rPr>
        <w:t xml:space="preserve">the </w:t>
      </w:r>
      <w:r w:rsidR="000B2E5E" w:rsidRPr="00D869E3">
        <w:rPr>
          <w:rFonts w:ascii="Verdana" w:hAnsi="Verdana"/>
          <w:b/>
          <w:bCs/>
          <w:i/>
          <w:sz w:val="18"/>
          <w:szCs w:val="20"/>
          <w:lang w:val="en-US"/>
        </w:rPr>
        <w:t>right to</w:t>
      </w:r>
      <w:r w:rsidRPr="00D869E3">
        <w:rPr>
          <w:rFonts w:ascii="Verdana" w:hAnsi="Verdana"/>
          <w:b/>
          <w:bCs/>
          <w:i/>
          <w:sz w:val="18"/>
          <w:szCs w:val="20"/>
          <w:lang w:val="en-US"/>
        </w:rPr>
        <w:t xml:space="preserve"> work</w:t>
      </w:r>
      <w:r w:rsidRPr="00D869E3">
        <w:rPr>
          <w:rFonts w:ascii="Verdana" w:hAnsi="Verdana"/>
          <w:i/>
          <w:sz w:val="18"/>
          <w:szCs w:val="20"/>
          <w:lang w:val="en-US"/>
        </w:rPr>
        <w:t xml:space="preserve">, </w:t>
      </w:r>
      <w:r w:rsidRPr="00D869E3">
        <w:rPr>
          <w:rFonts w:ascii="Verdana" w:hAnsi="Verdana"/>
          <w:sz w:val="18"/>
          <w:szCs w:val="20"/>
          <w:lang w:val="en-US"/>
        </w:rPr>
        <w:t>which [had been] violated by</w:t>
      </w:r>
      <w:r w:rsidR="0088700B" w:rsidRPr="00D869E3">
        <w:rPr>
          <w:rFonts w:ascii="Verdana" w:hAnsi="Verdana"/>
          <w:sz w:val="18"/>
          <w:szCs w:val="20"/>
          <w:lang w:val="en-US"/>
        </w:rPr>
        <w:t xml:space="preserve"> </w:t>
      </w:r>
      <w:r w:rsidR="003506CC" w:rsidRPr="00D869E3">
        <w:rPr>
          <w:rFonts w:ascii="Verdana" w:hAnsi="Verdana"/>
          <w:sz w:val="18"/>
          <w:szCs w:val="20"/>
          <w:lang w:val="en-US"/>
        </w:rPr>
        <w:t xml:space="preserve">the </w:t>
      </w:r>
      <w:r w:rsidR="00966115" w:rsidRPr="00D869E3">
        <w:rPr>
          <w:rFonts w:ascii="Verdana" w:hAnsi="Verdana"/>
          <w:sz w:val="18"/>
          <w:szCs w:val="20"/>
          <w:lang w:val="en-US"/>
        </w:rPr>
        <w:t>Second Labor Court</w:t>
      </w:r>
      <w:r w:rsidR="00687684" w:rsidRPr="00D869E3">
        <w:rPr>
          <w:rFonts w:ascii="Verdana" w:hAnsi="Verdana"/>
          <w:sz w:val="18"/>
          <w:szCs w:val="20"/>
          <w:lang w:val="en-US"/>
        </w:rPr>
        <w:t xml:space="preserve"> and </w:t>
      </w:r>
      <w:r w:rsidR="0088700B" w:rsidRPr="00D869E3">
        <w:rPr>
          <w:rFonts w:ascii="Verdana" w:hAnsi="Verdana"/>
          <w:sz w:val="18"/>
          <w:szCs w:val="20"/>
          <w:lang w:val="en-US"/>
        </w:rPr>
        <w:t xml:space="preserve">CC.LL., </w:t>
      </w:r>
      <w:r w:rsidRPr="00D869E3">
        <w:rPr>
          <w:rFonts w:ascii="Verdana" w:hAnsi="Verdana"/>
          <w:sz w:val="18"/>
          <w:szCs w:val="20"/>
          <w:lang w:val="en-US"/>
        </w:rPr>
        <w:t>by the decision resulting from an irregular process</w:t>
      </w:r>
      <w:r w:rsidR="0088700B" w:rsidRPr="00D869E3">
        <w:rPr>
          <w:rFonts w:ascii="Verdana" w:hAnsi="Verdana"/>
          <w:sz w:val="18"/>
          <w:szCs w:val="20"/>
          <w:lang w:val="en-US"/>
        </w:rPr>
        <w:t xml:space="preserve"> […]</w:t>
      </w:r>
      <w:r w:rsidRPr="00D869E3">
        <w:rPr>
          <w:rFonts w:ascii="Verdana" w:hAnsi="Verdana"/>
          <w:sz w:val="18"/>
          <w:szCs w:val="20"/>
          <w:lang w:val="en-US"/>
        </w:rPr>
        <w:t>.</w:t>
      </w:r>
      <w:r w:rsidR="006436CA" w:rsidRPr="00D869E3">
        <w:rPr>
          <w:rFonts w:ascii="Verdana" w:hAnsi="Verdana"/>
          <w:sz w:val="18"/>
          <w:szCs w:val="20"/>
          <w:lang w:val="en-US"/>
        </w:rPr>
        <w:t>”</w:t>
      </w:r>
      <w:r w:rsidR="0088700B" w:rsidRPr="00D869E3">
        <w:rPr>
          <w:rStyle w:val="Refdenotaalpie"/>
          <w:sz w:val="18"/>
          <w:szCs w:val="20"/>
          <w:lang w:val="en-US"/>
        </w:rPr>
        <w:footnoteReference w:id="176"/>
      </w:r>
    </w:p>
    <w:p w14:paraId="4F90F381" w14:textId="77777777" w:rsidR="0088700B" w:rsidRPr="00D869E3" w:rsidRDefault="0088700B" w:rsidP="0088700B">
      <w:pPr>
        <w:ind w:left="851"/>
        <w:jc w:val="both"/>
        <w:rPr>
          <w:rFonts w:ascii="Verdana" w:hAnsi="Verdana"/>
          <w:b/>
          <w:sz w:val="18"/>
          <w:szCs w:val="20"/>
          <w:lang w:val="en-US"/>
        </w:rPr>
      </w:pPr>
    </w:p>
    <w:p w14:paraId="06DA88AA" w14:textId="107755E0" w:rsidR="0088700B" w:rsidRPr="00D869E3" w:rsidRDefault="00DE1777" w:rsidP="00E66DD7">
      <w:pPr>
        <w:pStyle w:val="Prrafodelista"/>
        <w:numPr>
          <w:ilvl w:val="2"/>
          <w:numId w:val="21"/>
        </w:numPr>
        <w:ind w:left="851" w:firstLine="0"/>
        <w:jc w:val="both"/>
        <w:rPr>
          <w:rFonts w:ascii="Verdana" w:hAnsi="Verdana"/>
          <w:b/>
          <w:sz w:val="18"/>
          <w:szCs w:val="20"/>
          <w:lang w:val="en-US"/>
        </w:rPr>
      </w:pPr>
      <w:r w:rsidRPr="00D869E3">
        <w:rPr>
          <w:rFonts w:ascii="Verdana" w:hAnsi="Verdana"/>
          <w:sz w:val="18"/>
          <w:szCs w:val="20"/>
          <w:lang w:val="en-US"/>
        </w:rPr>
        <w:t xml:space="preserve">In the petition addressed to the Executive Secretary </w:t>
      </w:r>
      <w:r w:rsidR="00447C65" w:rsidRPr="00D869E3">
        <w:rPr>
          <w:rFonts w:ascii="Verdana" w:hAnsi="Verdana"/>
          <w:sz w:val="18"/>
          <w:szCs w:val="20"/>
          <w:lang w:val="en-US"/>
        </w:rPr>
        <w:t>of the Commission</w:t>
      </w:r>
      <w:r w:rsidR="0088700B" w:rsidRPr="00D869E3">
        <w:rPr>
          <w:rFonts w:ascii="Verdana" w:hAnsi="Verdana"/>
          <w:sz w:val="18"/>
          <w:szCs w:val="20"/>
          <w:lang w:val="en-US"/>
        </w:rPr>
        <w:t xml:space="preserve"> </w:t>
      </w:r>
      <w:r w:rsidRPr="00D869E3">
        <w:rPr>
          <w:rFonts w:ascii="Verdana" w:hAnsi="Verdana"/>
          <w:sz w:val="18"/>
          <w:szCs w:val="20"/>
          <w:lang w:val="en-US"/>
        </w:rPr>
        <w:t>on January 21,</w:t>
      </w:r>
      <w:r w:rsidR="0088700B" w:rsidRPr="00D869E3">
        <w:rPr>
          <w:rFonts w:ascii="Verdana" w:hAnsi="Verdana"/>
          <w:sz w:val="18"/>
          <w:szCs w:val="20"/>
          <w:lang w:val="en-US"/>
        </w:rPr>
        <w:t xml:space="preserve"> 2002, re</w:t>
      </w:r>
      <w:r w:rsidRPr="00D869E3">
        <w:rPr>
          <w:rFonts w:ascii="Verdana" w:hAnsi="Verdana"/>
          <w:sz w:val="18"/>
          <w:szCs w:val="20"/>
          <w:lang w:val="en-US"/>
        </w:rPr>
        <w:t xml:space="preserve">ceive by </w:t>
      </w:r>
      <w:r w:rsidR="00447C65" w:rsidRPr="00D869E3">
        <w:rPr>
          <w:rFonts w:ascii="Verdana" w:hAnsi="Verdana"/>
          <w:sz w:val="18"/>
          <w:szCs w:val="20"/>
          <w:lang w:val="en-US"/>
        </w:rPr>
        <w:t>the Commission</w:t>
      </w:r>
      <w:r w:rsidRPr="00D869E3">
        <w:rPr>
          <w:rFonts w:ascii="Verdana" w:hAnsi="Verdana"/>
          <w:sz w:val="18"/>
          <w:szCs w:val="20"/>
          <w:lang w:val="en-US"/>
        </w:rPr>
        <w:t xml:space="preserve"> on the same date</w:t>
      </w:r>
      <w:r w:rsidR="0088700B" w:rsidRPr="00D869E3">
        <w:rPr>
          <w:rFonts w:ascii="Verdana" w:hAnsi="Verdana"/>
          <w:sz w:val="18"/>
          <w:szCs w:val="20"/>
          <w:lang w:val="en-US"/>
        </w:rPr>
        <w:t xml:space="preserve">, </w:t>
      </w:r>
      <w:r w:rsidRPr="00D869E3">
        <w:rPr>
          <w:rFonts w:ascii="Verdana" w:hAnsi="Verdana"/>
          <w:sz w:val="18"/>
          <w:szCs w:val="20"/>
          <w:lang w:val="en-US"/>
        </w:rPr>
        <w:t>the petitioner stated that</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Pr="00D869E3">
        <w:rPr>
          <w:rFonts w:ascii="Verdana" w:hAnsi="Verdana"/>
          <w:sz w:val="18"/>
          <w:szCs w:val="20"/>
          <w:lang w:val="en-US"/>
        </w:rPr>
        <w:t xml:space="preserve">the competent authorities and public opinion in general [were] fully aware of </w:t>
      </w:r>
      <w:r w:rsidR="007013E2" w:rsidRPr="00D869E3">
        <w:rPr>
          <w:rFonts w:ascii="Verdana" w:hAnsi="Verdana"/>
          <w:sz w:val="18"/>
          <w:szCs w:val="20"/>
          <w:lang w:val="en-US"/>
        </w:rPr>
        <w:t>the violation</w:t>
      </w:r>
      <w:r w:rsidR="0088700B" w:rsidRPr="00D869E3">
        <w:rPr>
          <w:rFonts w:ascii="Verdana" w:hAnsi="Verdana"/>
          <w:sz w:val="18"/>
          <w:szCs w:val="20"/>
          <w:lang w:val="en-US"/>
        </w:rPr>
        <w:t xml:space="preserve"> </w:t>
      </w:r>
      <w:r w:rsidRPr="00D869E3">
        <w:rPr>
          <w:rFonts w:ascii="Verdana" w:hAnsi="Verdana"/>
          <w:sz w:val="18"/>
          <w:szCs w:val="20"/>
          <w:lang w:val="en-US"/>
        </w:rPr>
        <w:t>of</w:t>
      </w:r>
      <w:r w:rsidR="0088700B" w:rsidRPr="00D869E3">
        <w:rPr>
          <w:rFonts w:ascii="Verdana" w:hAnsi="Verdana"/>
          <w:sz w:val="18"/>
          <w:szCs w:val="20"/>
          <w:lang w:val="en-US"/>
        </w:rPr>
        <w:t xml:space="preserve"> [</w:t>
      </w:r>
      <w:r w:rsidRPr="00D869E3">
        <w:rPr>
          <w:rFonts w:ascii="Verdana" w:hAnsi="Verdana"/>
          <w:sz w:val="18"/>
          <w:szCs w:val="20"/>
          <w:lang w:val="en-US"/>
        </w:rPr>
        <w:t>his</w:t>
      </w:r>
      <w:r w:rsidR="0088700B" w:rsidRPr="00D869E3">
        <w:rPr>
          <w:rFonts w:ascii="Verdana" w:hAnsi="Verdana"/>
          <w:sz w:val="18"/>
          <w:szCs w:val="20"/>
          <w:lang w:val="en-US"/>
        </w:rPr>
        <w:t xml:space="preserve">] </w:t>
      </w:r>
      <w:r w:rsidRPr="00D869E3">
        <w:rPr>
          <w:rFonts w:ascii="Verdana" w:hAnsi="Verdana"/>
          <w:sz w:val="18"/>
          <w:szCs w:val="20"/>
          <w:lang w:val="en-US"/>
        </w:rPr>
        <w:t xml:space="preserve">constitutional and human rights: </w:t>
      </w:r>
      <w:r w:rsidR="000B2E5E" w:rsidRPr="00D869E3">
        <w:rPr>
          <w:rFonts w:ascii="Verdana" w:hAnsi="Verdana"/>
          <w:i/>
          <w:sz w:val="18"/>
          <w:szCs w:val="20"/>
          <w:lang w:val="en-US"/>
        </w:rPr>
        <w:t>the right to</w:t>
      </w:r>
      <w:r w:rsidRPr="00D869E3">
        <w:rPr>
          <w:rFonts w:ascii="Verdana" w:hAnsi="Verdana"/>
          <w:i/>
          <w:sz w:val="18"/>
          <w:szCs w:val="20"/>
          <w:lang w:val="en-US"/>
        </w:rPr>
        <w:t xml:space="preserve"> a fair trial and </w:t>
      </w:r>
      <w:r w:rsidRPr="00D869E3">
        <w:rPr>
          <w:rFonts w:ascii="Verdana" w:hAnsi="Verdana"/>
          <w:b/>
          <w:bCs/>
          <w:i/>
          <w:sz w:val="18"/>
          <w:szCs w:val="20"/>
          <w:lang w:val="en-US"/>
        </w:rPr>
        <w:t>the right to work</w:t>
      </w:r>
      <w:r w:rsidRPr="00D869E3">
        <w:rPr>
          <w:rFonts w:ascii="Verdana" w:hAnsi="Verdana"/>
          <w:i/>
          <w:sz w:val="18"/>
          <w:szCs w:val="20"/>
          <w:lang w:val="en-US"/>
        </w:rPr>
        <w:t>.</w:t>
      </w:r>
      <w:r w:rsidR="006436CA" w:rsidRPr="00D869E3">
        <w:rPr>
          <w:rFonts w:ascii="Verdana" w:hAnsi="Verdana"/>
          <w:sz w:val="18"/>
          <w:szCs w:val="20"/>
          <w:lang w:val="en-US"/>
        </w:rPr>
        <w:t>”</w:t>
      </w:r>
      <w:r w:rsidR="0088700B" w:rsidRPr="00D869E3">
        <w:rPr>
          <w:rStyle w:val="Refdenotaalpie"/>
          <w:sz w:val="18"/>
          <w:szCs w:val="20"/>
          <w:lang w:val="en-US"/>
        </w:rPr>
        <w:footnoteReference w:id="177"/>
      </w:r>
      <w:r w:rsidR="0088700B" w:rsidRPr="00D869E3">
        <w:rPr>
          <w:rFonts w:ascii="Verdana" w:hAnsi="Verdana"/>
          <w:sz w:val="18"/>
          <w:szCs w:val="20"/>
          <w:lang w:val="en-US"/>
        </w:rPr>
        <w:t xml:space="preserve"> </w:t>
      </w:r>
    </w:p>
    <w:p w14:paraId="08B98B59" w14:textId="77777777" w:rsidR="0088700B" w:rsidRPr="00D869E3" w:rsidRDefault="0088700B" w:rsidP="0088700B">
      <w:pPr>
        <w:ind w:left="851"/>
        <w:jc w:val="both"/>
        <w:rPr>
          <w:rFonts w:ascii="Verdana" w:hAnsi="Verdana"/>
          <w:b/>
          <w:sz w:val="18"/>
          <w:szCs w:val="20"/>
          <w:lang w:val="en-US"/>
        </w:rPr>
      </w:pPr>
    </w:p>
    <w:p w14:paraId="5123818A" w14:textId="33DA3F1C" w:rsidR="0088700B" w:rsidRPr="00D869E3" w:rsidRDefault="00DF2008" w:rsidP="00E66DD7">
      <w:pPr>
        <w:pStyle w:val="Prrafodelista"/>
        <w:numPr>
          <w:ilvl w:val="2"/>
          <w:numId w:val="21"/>
        </w:numPr>
        <w:ind w:left="851" w:firstLine="0"/>
        <w:jc w:val="both"/>
        <w:rPr>
          <w:rFonts w:ascii="Verdana" w:hAnsi="Verdana"/>
          <w:sz w:val="18"/>
          <w:szCs w:val="20"/>
          <w:lang w:val="en-US"/>
        </w:rPr>
      </w:pPr>
      <w:r w:rsidRPr="00D869E3">
        <w:rPr>
          <w:rFonts w:ascii="Verdana" w:hAnsi="Verdana"/>
          <w:sz w:val="18"/>
          <w:szCs w:val="20"/>
          <w:lang w:val="en-US"/>
        </w:rPr>
        <w:t>In a communication</w:t>
      </w:r>
      <w:r w:rsidR="0088700B" w:rsidRPr="00D869E3">
        <w:rPr>
          <w:rFonts w:ascii="Verdana" w:hAnsi="Verdana"/>
          <w:sz w:val="18"/>
          <w:szCs w:val="20"/>
          <w:lang w:val="en-US"/>
        </w:rPr>
        <w:t xml:space="preserve"> </w:t>
      </w:r>
      <w:r w:rsidR="00DE1777" w:rsidRPr="00D869E3">
        <w:rPr>
          <w:rFonts w:ascii="Verdana" w:hAnsi="Verdana"/>
          <w:sz w:val="18"/>
          <w:szCs w:val="20"/>
          <w:lang w:val="en-US"/>
        </w:rPr>
        <w:t>of February 20,</w:t>
      </w:r>
      <w:r w:rsidR="0088700B" w:rsidRPr="00D869E3">
        <w:rPr>
          <w:rFonts w:ascii="Verdana" w:hAnsi="Verdana"/>
          <w:sz w:val="18"/>
          <w:szCs w:val="20"/>
          <w:lang w:val="en-US"/>
        </w:rPr>
        <w:t xml:space="preserve"> 2003</w:t>
      </w:r>
      <w:r w:rsidR="00DE1777" w:rsidRPr="00D869E3">
        <w:rPr>
          <w:rFonts w:ascii="Verdana" w:hAnsi="Verdana"/>
          <w:sz w:val="18"/>
          <w:szCs w:val="20"/>
          <w:lang w:val="en-US"/>
        </w:rPr>
        <w:t xml:space="preserve">, addressed to the </w:t>
      </w:r>
      <w:r w:rsidR="00447C65" w:rsidRPr="00D869E3">
        <w:rPr>
          <w:rFonts w:ascii="Verdana" w:hAnsi="Verdana"/>
          <w:sz w:val="18"/>
          <w:szCs w:val="20"/>
          <w:lang w:val="en-US"/>
        </w:rPr>
        <w:t>President of the Commission</w:t>
      </w:r>
      <w:r w:rsidR="0088700B" w:rsidRPr="00D869E3">
        <w:rPr>
          <w:rFonts w:ascii="Verdana" w:hAnsi="Verdana"/>
          <w:sz w:val="18"/>
          <w:szCs w:val="20"/>
          <w:lang w:val="en-US"/>
        </w:rPr>
        <w:t xml:space="preserve">, </w:t>
      </w:r>
      <w:r w:rsidR="00DE1777" w:rsidRPr="00D869E3">
        <w:rPr>
          <w:rFonts w:ascii="Verdana" w:hAnsi="Verdana"/>
          <w:sz w:val="18"/>
          <w:szCs w:val="20"/>
          <w:lang w:val="en-US"/>
        </w:rPr>
        <w:t xml:space="preserve">and received on February 26, </w:t>
      </w:r>
      <w:r w:rsidR="0088700B" w:rsidRPr="00D869E3">
        <w:rPr>
          <w:rFonts w:ascii="Verdana" w:hAnsi="Verdana"/>
          <w:sz w:val="18"/>
          <w:szCs w:val="20"/>
          <w:lang w:val="en-US"/>
        </w:rPr>
        <w:t xml:space="preserve">2003, </w:t>
      </w:r>
      <w:r w:rsidR="001E44D3" w:rsidRPr="00D869E3">
        <w:rPr>
          <w:rFonts w:ascii="Verdana" w:hAnsi="Verdana"/>
          <w:sz w:val="18"/>
          <w:szCs w:val="20"/>
          <w:lang w:val="en-US"/>
        </w:rPr>
        <w:t>Mr. Lagos del Campo</w:t>
      </w:r>
      <w:r w:rsidR="0088700B" w:rsidRPr="00D869E3">
        <w:rPr>
          <w:rFonts w:ascii="Verdana" w:hAnsi="Verdana"/>
          <w:sz w:val="18"/>
          <w:szCs w:val="20"/>
          <w:lang w:val="en-US"/>
        </w:rPr>
        <w:t xml:space="preserve"> </w:t>
      </w:r>
      <w:r w:rsidR="00DE1777" w:rsidRPr="00D869E3">
        <w:rPr>
          <w:rFonts w:ascii="Verdana" w:hAnsi="Verdana"/>
          <w:sz w:val="18"/>
          <w:szCs w:val="20"/>
          <w:lang w:val="en-US"/>
        </w:rPr>
        <w:t>stated that,</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00DE1777" w:rsidRPr="00D869E3">
        <w:rPr>
          <w:rFonts w:ascii="Verdana" w:hAnsi="Verdana"/>
          <w:sz w:val="18"/>
          <w:szCs w:val="20"/>
          <w:lang w:val="en-US"/>
        </w:rPr>
        <w:t>as the updated and regularized petition of July 23, 1998, [had] opportunely substantiated before the international jurisdiction that you preside, in Peru there had been a flagrant violation of [his] human rights ; to wit</w:t>
      </w:r>
      <w:r w:rsidR="00FF7414" w:rsidRPr="00D869E3">
        <w:rPr>
          <w:rFonts w:ascii="Verdana" w:hAnsi="Verdana"/>
          <w:sz w:val="18"/>
          <w:szCs w:val="20"/>
          <w:lang w:val="en-US"/>
        </w:rPr>
        <w:t>:</w:t>
      </w:r>
      <w:r w:rsidR="0088700B" w:rsidRPr="00D869E3">
        <w:rPr>
          <w:rFonts w:ascii="Verdana" w:hAnsi="Verdana"/>
          <w:sz w:val="18"/>
          <w:szCs w:val="20"/>
          <w:lang w:val="en-US"/>
        </w:rPr>
        <w:t xml:space="preserve"> </w:t>
      </w:r>
      <w:r w:rsidR="00DE1777" w:rsidRPr="00D869E3">
        <w:rPr>
          <w:rFonts w:ascii="Verdana" w:hAnsi="Verdana"/>
          <w:i/>
          <w:sz w:val="18"/>
          <w:szCs w:val="20"/>
          <w:lang w:val="en-US"/>
        </w:rPr>
        <w:t xml:space="preserve">the right to be heard by a competent court, the right of equal protection of the law, the right </w:t>
      </w:r>
      <w:r w:rsidR="00DE1777" w:rsidRPr="00D869E3">
        <w:rPr>
          <w:rFonts w:ascii="Verdana" w:hAnsi="Verdana"/>
          <w:i/>
          <w:sz w:val="18"/>
          <w:szCs w:val="20"/>
          <w:lang w:val="en-US"/>
        </w:rPr>
        <w:lastRenderedPageBreak/>
        <w:t xml:space="preserve">to protection of the family, the </w:t>
      </w:r>
      <w:r w:rsidR="00CC766D" w:rsidRPr="00D869E3">
        <w:rPr>
          <w:rFonts w:ascii="Verdana" w:hAnsi="Verdana"/>
          <w:i/>
          <w:sz w:val="18"/>
          <w:szCs w:val="20"/>
          <w:lang w:val="en-US"/>
        </w:rPr>
        <w:t>right to</w:t>
      </w:r>
      <w:r w:rsidR="0088700B" w:rsidRPr="00D869E3">
        <w:rPr>
          <w:rFonts w:ascii="Verdana" w:hAnsi="Verdana"/>
          <w:i/>
          <w:sz w:val="18"/>
          <w:szCs w:val="20"/>
          <w:lang w:val="en-US"/>
        </w:rPr>
        <w:t xml:space="preserve"> judicial</w:t>
      </w:r>
      <w:r w:rsidR="00DE1777" w:rsidRPr="00D869E3">
        <w:rPr>
          <w:rFonts w:ascii="Verdana" w:hAnsi="Verdana"/>
          <w:i/>
          <w:sz w:val="18"/>
          <w:szCs w:val="20"/>
          <w:lang w:val="en-US"/>
        </w:rPr>
        <w:t xml:space="preserve"> protection against the violation of fundamental rights </w:t>
      </w:r>
      <w:r w:rsidR="00687684" w:rsidRPr="00D869E3">
        <w:rPr>
          <w:rFonts w:ascii="Verdana" w:hAnsi="Verdana"/>
          <w:i/>
          <w:sz w:val="18"/>
          <w:szCs w:val="20"/>
          <w:lang w:val="en-US"/>
        </w:rPr>
        <w:t>and</w:t>
      </w:r>
      <w:r w:rsidR="00DE1777" w:rsidRPr="00D869E3">
        <w:rPr>
          <w:rFonts w:ascii="Verdana" w:hAnsi="Verdana"/>
          <w:i/>
          <w:sz w:val="18"/>
          <w:szCs w:val="20"/>
          <w:lang w:val="en-US"/>
        </w:rPr>
        <w:t xml:space="preserve"> the</w:t>
      </w:r>
      <w:r w:rsidR="00687684" w:rsidRPr="00D869E3">
        <w:rPr>
          <w:rFonts w:ascii="Verdana" w:hAnsi="Verdana"/>
          <w:i/>
          <w:sz w:val="18"/>
          <w:szCs w:val="20"/>
          <w:lang w:val="en-US"/>
        </w:rPr>
        <w:t xml:space="preserve"> </w:t>
      </w:r>
      <w:r w:rsidR="00DE1777" w:rsidRPr="00D869E3">
        <w:rPr>
          <w:rFonts w:ascii="Verdana" w:hAnsi="Verdana"/>
          <w:b/>
          <w:i/>
          <w:sz w:val="18"/>
          <w:szCs w:val="20"/>
          <w:lang w:val="en-US"/>
        </w:rPr>
        <w:t>right to work</w:t>
      </w:r>
      <w:r w:rsidR="003F425B" w:rsidRPr="00D869E3">
        <w:rPr>
          <w:rFonts w:ascii="Verdana" w:hAnsi="Verdana"/>
          <w:sz w:val="18"/>
          <w:szCs w:val="20"/>
          <w:lang w:val="en-US"/>
        </w:rPr>
        <w:t xml:space="preserve">, rights protected by </w:t>
      </w:r>
      <w:r w:rsidR="00447C65" w:rsidRPr="00D869E3">
        <w:rPr>
          <w:rFonts w:ascii="Verdana" w:hAnsi="Verdana"/>
          <w:sz w:val="18"/>
          <w:szCs w:val="20"/>
          <w:lang w:val="en-US"/>
        </w:rPr>
        <w:t>the American Convention on Human Rights</w:t>
      </w:r>
      <w:r w:rsidR="0088700B" w:rsidRPr="00D869E3">
        <w:rPr>
          <w:rFonts w:ascii="Verdana" w:hAnsi="Verdana"/>
          <w:sz w:val="18"/>
          <w:szCs w:val="20"/>
          <w:lang w:val="en-US"/>
        </w:rPr>
        <w:t xml:space="preserve">, </w:t>
      </w:r>
      <w:r w:rsidR="003F425B" w:rsidRPr="00D869E3">
        <w:rPr>
          <w:rFonts w:ascii="Verdana" w:hAnsi="Verdana"/>
          <w:sz w:val="18"/>
          <w:szCs w:val="20"/>
          <w:lang w:val="en-US"/>
        </w:rPr>
        <w:t xml:space="preserve">the Additional </w:t>
      </w:r>
      <w:r w:rsidR="00FF7414" w:rsidRPr="00D869E3">
        <w:rPr>
          <w:rFonts w:ascii="Verdana" w:hAnsi="Verdana"/>
          <w:sz w:val="18"/>
          <w:szCs w:val="20"/>
          <w:lang w:val="en-US"/>
        </w:rPr>
        <w:t>P</w:t>
      </w:r>
      <w:r w:rsidR="0088700B" w:rsidRPr="00D869E3">
        <w:rPr>
          <w:rFonts w:ascii="Verdana" w:hAnsi="Verdana"/>
          <w:sz w:val="18"/>
          <w:szCs w:val="20"/>
          <w:lang w:val="en-US"/>
        </w:rPr>
        <w:t>rotocol</w:t>
      </w:r>
      <w:r w:rsidR="003F425B" w:rsidRPr="00D869E3">
        <w:rPr>
          <w:rFonts w:ascii="Verdana" w:hAnsi="Verdana"/>
          <w:sz w:val="18"/>
          <w:szCs w:val="20"/>
          <w:lang w:val="en-US"/>
        </w:rPr>
        <w:t xml:space="preserve"> to </w:t>
      </w:r>
      <w:r w:rsidR="00447C65" w:rsidRPr="00D869E3">
        <w:rPr>
          <w:rFonts w:ascii="Verdana" w:hAnsi="Verdana"/>
          <w:sz w:val="18"/>
          <w:szCs w:val="20"/>
          <w:lang w:val="en-US"/>
        </w:rPr>
        <w:t>the American Convention on Human Rights</w:t>
      </w:r>
      <w:r w:rsidR="0088700B" w:rsidRPr="00D869E3">
        <w:rPr>
          <w:rFonts w:ascii="Verdana" w:hAnsi="Verdana"/>
          <w:sz w:val="18"/>
          <w:szCs w:val="20"/>
          <w:lang w:val="en-US"/>
        </w:rPr>
        <w:t xml:space="preserve"> </w:t>
      </w:r>
      <w:r w:rsidR="003F425B" w:rsidRPr="00D869E3">
        <w:rPr>
          <w:rFonts w:ascii="Verdana" w:hAnsi="Verdana"/>
          <w:sz w:val="18"/>
          <w:szCs w:val="20"/>
          <w:lang w:val="en-US"/>
        </w:rPr>
        <w:t>in the Area of Economic, Social and Cultural Rights, ‘</w:t>
      </w:r>
      <w:r w:rsidR="0088700B" w:rsidRPr="00D869E3">
        <w:rPr>
          <w:rFonts w:ascii="Verdana" w:hAnsi="Verdana"/>
          <w:sz w:val="18"/>
          <w:szCs w:val="20"/>
          <w:lang w:val="en-US"/>
        </w:rPr>
        <w:t>Protocol</w:t>
      </w:r>
      <w:r w:rsidR="003F425B" w:rsidRPr="00D869E3">
        <w:rPr>
          <w:rFonts w:ascii="Verdana" w:hAnsi="Verdana"/>
          <w:sz w:val="18"/>
          <w:szCs w:val="20"/>
          <w:lang w:val="en-US"/>
        </w:rPr>
        <w:t xml:space="preserve"> of</w:t>
      </w:r>
      <w:r w:rsidR="0088700B" w:rsidRPr="00D869E3">
        <w:rPr>
          <w:rFonts w:ascii="Verdana" w:hAnsi="Verdana"/>
          <w:sz w:val="18"/>
          <w:szCs w:val="20"/>
          <w:lang w:val="en-US"/>
        </w:rPr>
        <w:t xml:space="preserve"> San Salvador,</w:t>
      </w:r>
      <w:r w:rsidR="003F425B" w:rsidRPr="00D869E3">
        <w:rPr>
          <w:rFonts w:ascii="Verdana" w:hAnsi="Verdana"/>
          <w:sz w:val="18"/>
          <w:szCs w:val="20"/>
          <w:lang w:val="en-US"/>
        </w:rPr>
        <w:t>’</w:t>
      </w:r>
      <w:r w:rsidR="00687684" w:rsidRPr="00D869E3">
        <w:rPr>
          <w:rFonts w:ascii="Verdana" w:hAnsi="Verdana"/>
          <w:sz w:val="18"/>
          <w:szCs w:val="20"/>
          <w:lang w:val="en-US"/>
        </w:rPr>
        <w:t xml:space="preserve"> and </w:t>
      </w:r>
      <w:r w:rsidR="0088700B" w:rsidRPr="00D869E3">
        <w:rPr>
          <w:rFonts w:ascii="Verdana" w:hAnsi="Verdana"/>
          <w:sz w:val="18"/>
          <w:szCs w:val="20"/>
          <w:lang w:val="en-US"/>
        </w:rPr>
        <w:t>ot</w:t>
      </w:r>
      <w:r w:rsidR="003F425B" w:rsidRPr="00D869E3">
        <w:rPr>
          <w:rFonts w:ascii="Verdana" w:hAnsi="Verdana"/>
          <w:sz w:val="18"/>
          <w:szCs w:val="20"/>
          <w:lang w:val="en-US"/>
        </w:rPr>
        <w:t>her international human rights instruments.</w:t>
      </w:r>
      <w:r w:rsidR="006436CA" w:rsidRPr="00D869E3">
        <w:rPr>
          <w:rFonts w:ascii="Verdana" w:hAnsi="Verdana"/>
          <w:sz w:val="18"/>
          <w:szCs w:val="20"/>
          <w:lang w:val="en-US"/>
        </w:rPr>
        <w:t>”</w:t>
      </w:r>
      <w:r w:rsidR="0088700B" w:rsidRPr="00D869E3">
        <w:rPr>
          <w:rStyle w:val="Refdenotaalpie"/>
          <w:sz w:val="18"/>
          <w:szCs w:val="20"/>
          <w:lang w:val="en-US"/>
        </w:rPr>
        <w:footnoteReference w:id="178"/>
      </w:r>
    </w:p>
    <w:p w14:paraId="5A2D6B6A" w14:textId="77777777" w:rsidR="0088700B" w:rsidRPr="00D869E3" w:rsidRDefault="0088700B" w:rsidP="0088700B">
      <w:pPr>
        <w:jc w:val="both"/>
        <w:rPr>
          <w:rFonts w:ascii="Verdana" w:hAnsi="Verdana"/>
          <w:sz w:val="18"/>
          <w:szCs w:val="20"/>
          <w:lang w:val="en-US"/>
        </w:rPr>
      </w:pPr>
    </w:p>
    <w:p w14:paraId="1B7EAB02" w14:textId="52C2292A" w:rsidR="0088700B" w:rsidRPr="00D869E3" w:rsidRDefault="00687684" w:rsidP="00E66DD7">
      <w:pPr>
        <w:pStyle w:val="Prrafodelista"/>
        <w:numPr>
          <w:ilvl w:val="2"/>
          <w:numId w:val="21"/>
        </w:numPr>
        <w:ind w:left="851" w:firstLine="0"/>
        <w:jc w:val="both"/>
        <w:rPr>
          <w:rFonts w:ascii="Verdana" w:hAnsi="Verdana"/>
          <w:sz w:val="18"/>
          <w:szCs w:val="20"/>
          <w:lang w:val="en-US"/>
        </w:rPr>
      </w:pPr>
      <w:r w:rsidRPr="00D869E3">
        <w:rPr>
          <w:rFonts w:ascii="Verdana" w:hAnsi="Verdana"/>
          <w:sz w:val="18"/>
          <w:szCs w:val="20"/>
          <w:lang w:val="en-US"/>
        </w:rPr>
        <w:t>Report</w:t>
      </w:r>
      <w:r w:rsidR="0088700B" w:rsidRPr="00D869E3">
        <w:rPr>
          <w:rFonts w:ascii="Verdana" w:hAnsi="Verdana"/>
          <w:sz w:val="18"/>
          <w:szCs w:val="20"/>
          <w:lang w:val="en-US"/>
        </w:rPr>
        <w:t>s No</w:t>
      </w:r>
      <w:r w:rsidR="003F425B" w:rsidRPr="00D869E3">
        <w:rPr>
          <w:rFonts w:ascii="Verdana" w:hAnsi="Verdana"/>
          <w:sz w:val="18"/>
          <w:szCs w:val="20"/>
          <w:lang w:val="en-US"/>
        </w:rPr>
        <w:t>s</w:t>
      </w:r>
      <w:r w:rsidR="0088700B" w:rsidRPr="00D869E3">
        <w:rPr>
          <w:rFonts w:ascii="Verdana" w:hAnsi="Verdana"/>
          <w:sz w:val="18"/>
          <w:szCs w:val="20"/>
          <w:lang w:val="en-US"/>
        </w:rPr>
        <w:t xml:space="preserve">. </w:t>
      </w:r>
      <w:r w:rsidR="0088700B" w:rsidRPr="00D869E3">
        <w:rPr>
          <w:rFonts w:ascii="Verdana" w:hAnsi="Verdana"/>
          <w:bCs/>
          <w:sz w:val="18"/>
          <w:szCs w:val="20"/>
          <w:lang w:val="en-US"/>
        </w:rPr>
        <w:t>21-2003-JUS/CNDH-SE</w:t>
      </w:r>
      <w:r w:rsidRPr="00D869E3">
        <w:rPr>
          <w:rFonts w:ascii="Verdana" w:hAnsi="Verdana"/>
          <w:bCs/>
          <w:sz w:val="18"/>
          <w:szCs w:val="20"/>
          <w:lang w:val="en-US"/>
        </w:rPr>
        <w:t xml:space="preserve"> and </w:t>
      </w:r>
      <w:r w:rsidR="0088700B" w:rsidRPr="00D869E3">
        <w:rPr>
          <w:rFonts w:ascii="Verdana" w:hAnsi="Verdana"/>
          <w:sz w:val="18"/>
          <w:szCs w:val="20"/>
          <w:lang w:val="en-US"/>
        </w:rPr>
        <w:t xml:space="preserve">57-2007-JUS/CNDH/SE/CESAPI </w:t>
      </w:r>
      <w:r w:rsidR="003F425B" w:rsidRPr="00D869E3">
        <w:rPr>
          <w:rFonts w:ascii="Verdana" w:hAnsi="Verdana"/>
          <w:sz w:val="18"/>
          <w:szCs w:val="20"/>
          <w:lang w:val="en-US"/>
        </w:rPr>
        <w:t xml:space="preserve">of the Executive Secretariat of the National Human Rights Council of Peru </w:t>
      </w:r>
      <w:r w:rsidR="0088700B" w:rsidRPr="00D869E3">
        <w:rPr>
          <w:rFonts w:ascii="Verdana" w:hAnsi="Verdana"/>
          <w:sz w:val="18"/>
          <w:szCs w:val="20"/>
          <w:lang w:val="en-US"/>
        </w:rPr>
        <w:t>(</w:t>
      </w:r>
      <w:r w:rsidR="00447C65" w:rsidRPr="00D869E3">
        <w:rPr>
          <w:rFonts w:ascii="Verdana" w:hAnsi="Verdana"/>
          <w:sz w:val="18"/>
          <w:szCs w:val="20"/>
          <w:lang w:val="en-US"/>
        </w:rPr>
        <w:t>the State</w:t>
      </w:r>
      <w:r w:rsidR="0088700B" w:rsidRPr="00D869E3">
        <w:rPr>
          <w:rFonts w:ascii="Verdana" w:hAnsi="Verdana"/>
          <w:sz w:val="18"/>
          <w:szCs w:val="20"/>
          <w:lang w:val="en-US"/>
        </w:rPr>
        <w:t xml:space="preserve">) </w:t>
      </w:r>
      <w:r w:rsidR="003F425B" w:rsidRPr="00D869E3">
        <w:rPr>
          <w:rFonts w:ascii="Verdana" w:hAnsi="Verdana"/>
          <w:sz w:val="18"/>
          <w:szCs w:val="20"/>
          <w:lang w:val="en-US"/>
        </w:rPr>
        <w:t>dated March 7,</w:t>
      </w:r>
      <w:r w:rsidR="0088700B" w:rsidRPr="00D869E3">
        <w:rPr>
          <w:rFonts w:ascii="Verdana" w:hAnsi="Verdana"/>
          <w:sz w:val="18"/>
          <w:szCs w:val="20"/>
          <w:lang w:val="en-US"/>
        </w:rPr>
        <w:t xml:space="preserve"> 2003</w:t>
      </w:r>
      <w:r w:rsidR="003F425B" w:rsidRPr="00D869E3">
        <w:rPr>
          <w:rFonts w:ascii="Verdana" w:hAnsi="Verdana"/>
          <w:sz w:val="18"/>
          <w:szCs w:val="20"/>
          <w:lang w:val="en-US"/>
        </w:rPr>
        <w:t>,</w:t>
      </w:r>
      <w:r w:rsidRPr="00D869E3">
        <w:rPr>
          <w:rFonts w:ascii="Verdana" w:hAnsi="Verdana"/>
          <w:sz w:val="18"/>
          <w:szCs w:val="20"/>
          <w:lang w:val="en-US"/>
        </w:rPr>
        <w:t xml:space="preserve"> and </w:t>
      </w:r>
      <w:r w:rsidR="003F425B" w:rsidRPr="00D869E3">
        <w:rPr>
          <w:rFonts w:ascii="Verdana" w:hAnsi="Verdana"/>
          <w:sz w:val="18"/>
          <w:szCs w:val="20"/>
          <w:lang w:val="en-US"/>
        </w:rPr>
        <w:t>May 15,</w:t>
      </w:r>
      <w:r w:rsidR="0088700B" w:rsidRPr="00D869E3">
        <w:rPr>
          <w:rFonts w:ascii="Verdana" w:hAnsi="Verdana"/>
          <w:sz w:val="18"/>
          <w:szCs w:val="20"/>
          <w:lang w:val="en-US"/>
        </w:rPr>
        <w:t xml:space="preserve"> 2007, </w:t>
      </w:r>
      <w:r w:rsidR="003F425B" w:rsidRPr="00D869E3">
        <w:rPr>
          <w:rFonts w:ascii="Verdana" w:hAnsi="Verdana"/>
          <w:sz w:val="18"/>
          <w:szCs w:val="20"/>
          <w:lang w:val="en-US"/>
        </w:rPr>
        <w:t>indicated in the section on “Grounds for the petition or rights presumably violated” that</w:t>
      </w:r>
      <w:r w:rsidR="005A0EB4" w:rsidRPr="00D869E3">
        <w:rPr>
          <w:rFonts w:ascii="Verdana" w:hAnsi="Verdana"/>
          <w:sz w:val="18"/>
          <w:szCs w:val="20"/>
          <w:lang w:val="en-US"/>
        </w:rPr>
        <w:t>, in the petition lodged before the IACHR,</w:t>
      </w:r>
      <w:r w:rsidR="003F425B" w:rsidRPr="00D869E3">
        <w:rPr>
          <w:rFonts w:ascii="Verdana" w:hAnsi="Verdana"/>
          <w:sz w:val="18"/>
          <w:szCs w:val="20"/>
          <w:lang w:val="en-US"/>
        </w:rPr>
        <w:t xml:space="preserve"> </w:t>
      </w:r>
      <w:r w:rsidR="001E44D3" w:rsidRPr="00D869E3">
        <w:rPr>
          <w:rFonts w:ascii="Verdana" w:hAnsi="Verdana"/>
          <w:sz w:val="18"/>
          <w:szCs w:val="20"/>
          <w:lang w:val="en-US"/>
        </w:rPr>
        <w:t>Mr. Lagos del Campo</w:t>
      </w:r>
      <w:r w:rsidR="0088700B" w:rsidRPr="00D869E3">
        <w:rPr>
          <w:rFonts w:ascii="Verdana" w:hAnsi="Verdana"/>
          <w:sz w:val="18"/>
          <w:szCs w:val="20"/>
          <w:lang w:val="en-US"/>
        </w:rPr>
        <w:t xml:space="preserve"> </w:t>
      </w:r>
      <w:r w:rsidR="005A0EB4" w:rsidRPr="00D869E3">
        <w:rPr>
          <w:rFonts w:ascii="Verdana" w:hAnsi="Verdana"/>
          <w:sz w:val="18"/>
          <w:szCs w:val="20"/>
          <w:lang w:val="en-US"/>
        </w:rPr>
        <w:t xml:space="preserve">had requested “immediate </w:t>
      </w:r>
      <w:r w:rsidR="005A0EB4" w:rsidRPr="00D869E3">
        <w:rPr>
          <w:rFonts w:ascii="Verdana" w:hAnsi="Verdana"/>
          <w:i/>
          <w:iCs/>
          <w:sz w:val="18"/>
          <w:szCs w:val="20"/>
          <w:lang w:val="en-US"/>
        </w:rPr>
        <w:t>reinstatement in his job</w:t>
      </w:r>
      <w:r w:rsidR="005A0EB4" w:rsidRPr="00D869E3">
        <w:rPr>
          <w:rFonts w:ascii="Verdana" w:hAnsi="Verdana"/>
          <w:sz w:val="18"/>
          <w:szCs w:val="20"/>
          <w:lang w:val="en-US"/>
        </w:rPr>
        <w:t xml:space="preserve"> </w:t>
      </w:r>
      <w:r w:rsidR="005833C9" w:rsidRPr="00D869E3">
        <w:rPr>
          <w:rFonts w:ascii="Verdana" w:hAnsi="Verdana"/>
          <w:sz w:val="18"/>
          <w:szCs w:val="20"/>
          <w:lang w:val="en-US"/>
        </w:rPr>
        <w:t>at</w:t>
      </w:r>
      <w:r w:rsidR="005A0EB4" w:rsidRPr="00D869E3">
        <w:rPr>
          <w:rFonts w:ascii="Verdana" w:hAnsi="Verdana"/>
          <w:sz w:val="18"/>
          <w:szCs w:val="20"/>
          <w:lang w:val="en-US"/>
        </w:rPr>
        <w:t xml:space="preserve"> </w:t>
      </w:r>
      <w:r w:rsidR="0088700B" w:rsidRPr="00D869E3">
        <w:rPr>
          <w:rFonts w:ascii="Verdana" w:hAnsi="Verdana"/>
          <w:sz w:val="18"/>
          <w:szCs w:val="20"/>
          <w:lang w:val="en-US"/>
        </w:rPr>
        <w:t xml:space="preserve">CEPER-PIRELLI, </w:t>
      </w:r>
      <w:r w:rsidR="005A0EB4" w:rsidRPr="00D869E3">
        <w:rPr>
          <w:rFonts w:ascii="Verdana" w:hAnsi="Verdana"/>
          <w:sz w:val="18"/>
          <w:szCs w:val="20"/>
          <w:lang w:val="en-US"/>
        </w:rPr>
        <w:t>with the corresponding salary and benefits.</w:t>
      </w:r>
      <w:r w:rsidR="006436CA" w:rsidRPr="00D869E3">
        <w:rPr>
          <w:rFonts w:ascii="Verdana" w:hAnsi="Verdana"/>
          <w:sz w:val="18"/>
          <w:szCs w:val="20"/>
          <w:lang w:val="en-US"/>
        </w:rPr>
        <w:t>”</w:t>
      </w:r>
      <w:r w:rsidR="0088700B" w:rsidRPr="00D869E3">
        <w:rPr>
          <w:rStyle w:val="Refdenotaalpie"/>
          <w:sz w:val="18"/>
          <w:szCs w:val="18"/>
          <w:lang w:val="en-US"/>
        </w:rPr>
        <w:footnoteReference w:id="179"/>
      </w:r>
    </w:p>
    <w:p w14:paraId="65733BF9" w14:textId="77777777" w:rsidR="0088700B" w:rsidRPr="00D869E3" w:rsidRDefault="0088700B" w:rsidP="0088700B">
      <w:pPr>
        <w:pStyle w:val="Prrafodelista"/>
        <w:ind w:left="851"/>
        <w:rPr>
          <w:rFonts w:ascii="Verdana" w:hAnsi="Verdana"/>
          <w:sz w:val="18"/>
          <w:szCs w:val="20"/>
          <w:lang w:val="en-US"/>
        </w:rPr>
      </w:pPr>
    </w:p>
    <w:p w14:paraId="10D0ADE8" w14:textId="581A12C2" w:rsidR="0088700B" w:rsidRPr="00D869E3" w:rsidRDefault="005A0EB4" w:rsidP="00E66DD7">
      <w:pPr>
        <w:pStyle w:val="Prrafodelista"/>
        <w:numPr>
          <w:ilvl w:val="2"/>
          <w:numId w:val="21"/>
        </w:numPr>
        <w:ind w:left="851" w:firstLine="0"/>
        <w:jc w:val="both"/>
        <w:rPr>
          <w:rFonts w:ascii="Verdana" w:hAnsi="Verdana"/>
          <w:sz w:val="18"/>
          <w:szCs w:val="20"/>
          <w:lang w:val="en-US"/>
        </w:rPr>
      </w:pPr>
      <w:r w:rsidRPr="00D869E3">
        <w:rPr>
          <w:rFonts w:ascii="Verdana" w:hAnsi="Verdana"/>
          <w:sz w:val="18"/>
          <w:szCs w:val="20"/>
          <w:lang w:val="en-US"/>
        </w:rPr>
        <w:t>A</w:t>
      </w:r>
      <w:r w:rsidR="003F425B" w:rsidRPr="00D869E3">
        <w:rPr>
          <w:rFonts w:ascii="Verdana" w:hAnsi="Verdana"/>
          <w:sz w:val="18"/>
          <w:szCs w:val="20"/>
          <w:lang w:val="en-US"/>
        </w:rPr>
        <w:t xml:space="preserve"> communication</w:t>
      </w:r>
      <w:r w:rsidR="00447C65" w:rsidRPr="00D869E3">
        <w:rPr>
          <w:rFonts w:ascii="Verdana" w:hAnsi="Verdana"/>
          <w:sz w:val="18"/>
          <w:szCs w:val="20"/>
          <w:lang w:val="en-US"/>
        </w:rPr>
        <w:t xml:space="preserve"> of the Commission</w:t>
      </w:r>
      <w:r w:rsidR="0088700B" w:rsidRPr="00D869E3">
        <w:rPr>
          <w:rFonts w:ascii="Verdana" w:hAnsi="Verdana"/>
          <w:sz w:val="18"/>
          <w:szCs w:val="20"/>
          <w:lang w:val="en-US"/>
        </w:rPr>
        <w:t xml:space="preserve"> </w:t>
      </w:r>
      <w:r w:rsidRPr="00D869E3">
        <w:rPr>
          <w:rFonts w:ascii="Verdana" w:hAnsi="Verdana"/>
          <w:sz w:val="18"/>
          <w:szCs w:val="20"/>
          <w:lang w:val="en-US"/>
        </w:rPr>
        <w:t>of November 12,</w:t>
      </w:r>
      <w:r w:rsidR="0088700B" w:rsidRPr="00D869E3">
        <w:rPr>
          <w:rFonts w:ascii="Verdana" w:hAnsi="Verdana"/>
          <w:sz w:val="18"/>
          <w:szCs w:val="20"/>
          <w:lang w:val="en-US"/>
        </w:rPr>
        <w:t xml:space="preserve"> 2010</w:t>
      </w:r>
      <w:r w:rsidRPr="00D869E3">
        <w:rPr>
          <w:rFonts w:ascii="Verdana" w:hAnsi="Verdana"/>
          <w:sz w:val="18"/>
          <w:szCs w:val="20"/>
          <w:lang w:val="en-US"/>
        </w:rPr>
        <w:t>,</w:t>
      </w:r>
      <w:r w:rsidR="0088700B" w:rsidRPr="00D869E3">
        <w:rPr>
          <w:rFonts w:ascii="Verdana" w:hAnsi="Verdana"/>
          <w:sz w:val="18"/>
          <w:szCs w:val="20"/>
          <w:lang w:val="en-US"/>
        </w:rPr>
        <w:t xml:space="preserve"> </w:t>
      </w:r>
      <w:r w:rsidRPr="00D869E3">
        <w:rPr>
          <w:rFonts w:ascii="Verdana" w:hAnsi="Verdana"/>
          <w:sz w:val="18"/>
          <w:szCs w:val="20"/>
          <w:lang w:val="en-US"/>
        </w:rPr>
        <w:t>addressed to Mr.</w:t>
      </w:r>
      <w:r w:rsidR="0088700B" w:rsidRPr="00D869E3">
        <w:rPr>
          <w:rFonts w:ascii="Verdana" w:hAnsi="Verdana"/>
          <w:sz w:val="18"/>
          <w:szCs w:val="20"/>
          <w:lang w:val="en-US"/>
        </w:rPr>
        <w:t xml:space="preserve"> Lagos del Campo</w:t>
      </w:r>
      <w:r w:rsidRPr="00D869E3">
        <w:rPr>
          <w:rFonts w:ascii="Verdana" w:hAnsi="Verdana"/>
          <w:sz w:val="18"/>
          <w:szCs w:val="20"/>
          <w:lang w:val="en-US"/>
        </w:rPr>
        <w:t xml:space="preserve">, indicated </w:t>
      </w:r>
      <w:r w:rsidR="006436CA" w:rsidRPr="00D869E3">
        <w:rPr>
          <w:rFonts w:ascii="Verdana" w:hAnsi="Verdana"/>
          <w:sz w:val="18"/>
          <w:szCs w:val="20"/>
          <w:lang w:val="en-US"/>
        </w:rPr>
        <w:t>“</w:t>
      </w:r>
      <w:r w:rsidRPr="00D869E3">
        <w:rPr>
          <w:rFonts w:ascii="Verdana" w:hAnsi="Verdana"/>
          <w:sz w:val="18"/>
          <w:szCs w:val="20"/>
          <w:lang w:val="en-US"/>
        </w:rPr>
        <w:t>that</w:t>
      </w:r>
      <w:r w:rsidR="0088700B" w:rsidRPr="00D869E3">
        <w:rPr>
          <w:rFonts w:ascii="Verdana" w:hAnsi="Verdana"/>
          <w:sz w:val="18"/>
          <w:szCs w:val="20"/>
          <w:lang w:val="en-US"/>
        </w:rPr>
        <w:t xml:space="preserve"> </w:t>
      </w:r>
      <w:r w:rsidR="00447C65" w:rsidRPr="00D869E3">
        <w:rPr>
          <w:rFonts w:ascii="Verdana" w:hAnsi="Verdana"/>
          <w:sz w:val="18"/>
          <w:szCs w:val="20"/>
          <w:lang w:val="en-US"/>
        </w:rPr>
        <w:t>the Commission</w:t>
      </w:r>
      <w:r w:rsidR="0088700B" w:rsidRPr="00D869E3">
        <w:rPr>
          <w:rFonts w:ascii="Verdana" w:hAnsi="Verdana"/>
          <w:sz w:val="18"/>
          <w:szCs w:val="20"/>
          <w:lang w:val="en-US"/>
        </w:rPr>
        <w:t xml:space="preserve"> […</w:t>
      </w:r>
      <w:r w:rsidRPr="00D869E3">
        <w:rPr>
          <w:rFonts w:ascii="Verdana" w:hAnsi="Verdana"/>
          <w:sz w:val="18"/>
          <w:szCs w:val="20"/>
          <w:lang w:val="en-US"/>
        </w:rPr>
        <w:t>had</w:t>
      </w:r>
      <w:r w:rsidR="0088700B" w:rsidRPr="00D869E3">
        <w:rPr>
          <w:rFonts w:ascii="Verdana" w:hAnsi="Verdana"/>
          <w:sz w:val="18"/>
          <w:szCs w:val="20"/>
          <w:lang w:val="en-US"/>
        </w:rPr>
        <w:t>]</w:t>
      </w:r>
      <w:r w:rsidR="008644E8" w:rsidRPr="00D869E3">
        <w:rPr>
          <w:rFonts w:ascii="Verdana" w:hAnsi="Verdana"/>
          <w:sz w:val="18"/>
          <w:szCs w:val="20"/>
          <w:lang w:val="en-US"/>
        </w:rPr>
        <w:t xml:space="preserve"> </w:t>
      </w:r>
      <w:r w:rsidR="0088700B" w:rsidRPr="00D869E3">
        <w:rPr>
          <w:rFonts w:ascii="Verdana" w:hAnsi="Verdana"/>
          <w:sz w:val="18"/>
          <w:szCs w:val="20"/>
          <w:lang w:val="en-US"/>
        </w:rPr>
        <w:t>examin</w:t>
      </w:r>
      <w:r w:rsidRPr="00D869E3">
        <w:rPr>
          <w:rFonts w:ascii="Verdana" w:hAnsi="Verdana"/>
          <w:sz w:val="18"/>
          <w:szCs w:val="20"/>
          <w:lang w:val="en-US"/>
        </w:rPr>
        <w:t>ed</w:t>
      </w:r>
      <w:r w:rsidR="0088700B" w:rsidRPr="00D869E3">
        <w:rPr>
          <w:rFonts w:ascii="Verdana" w:hAnsi="Verdana"/>
          <w:sz w:val="18"/>
          <w:szCs w:val="20"/>
          <w:lang w:val="en-US"/>
        </w:rPr>
        <w:t xml:space="preserve"> </w:t>
      </w:r>
      <w:r w:rsidRPr="00D869E3">
        <w:rPr>
          <w:rFonts w:ascii="Verdana" w:hAnsi="Verdana"/>
          <w:sz w:val="18"/>
          <w:szCs w:val="20"/>
          <w:lang w:val="en-US"/>
        </w:rPr>
        <w:t xml:space="preserve">petition No. </w:t>
      </w:r>
      <w:r w:rsidR="0088700B" w:rsidRPr="00D869E3">
        <w:rPr>
          <w:rFonts w:ascii="Verdana" w:hAnsi="Verdana"/>
          <w:sz w:val="18"/>
          <w:szCs w:val="20"/>
          <w:lang w:val="en-US"/>
        </w:rPr>
        <w:t>459-97</w:t>
      </w:r>
      <w:r w:rsidR="00687684" w:rsidRPr="00D869E3">
        <w:rPr>
          <w:rFonts w:ascii="Verdana" w:hAnsi="Verdana"/>
          <w:sz w:val="18"/>
          <w:szCs w:val="20"/>
          <w:lang w:val="en-US"/>
        </w:rPr>
        <w:t xml:space="preserve"> and </w:t>
      </w:r>
      <w:r w:rsidRPr="00D869E3">
        <w:rPr>
          <w:rFonts w:ascii="Verdana" w:hAnsi="Verdana"/>
          <w:sz w:val="18"/>
          <w:szCs w:val="20"/>
          <w:lang w:val="en-US"/>
        </w:rPr>
        <w:t>[had] adopted Admissibility Report No.</w:t>
      </w:r>
      <w:r w:rsidR="0088700B" w:rsidRPr="00D869E3">
        <w:rPr>
          <w:rFonts w:ascii="Verdana" w:hAnsi="Verdana"/>
          <w:sz w:val="18"/>
          <w:szCs w:val="20"/>
          <w:lang w:val="en-US"/>
        </w:rPr>
        <w:t xml:space="preserve"> 152/10 </w:t>
      </w:r>
      <w:r w:rsidR="00687684" w:rsidRPr="00D869E3">
        <w:rPr>
          <w:rFonts w:ascii="Verdana" w:hAnsi="Verdana"/>
          <w:sz w:val="18"/>
          <w:szCs w:val="20"/>
          <w:lang w:val="en-US"/>
        </w:rPr>
        <w:t>on November 1,</w:t>
      </w:r>
      <w:r w:rsidR="0088700B" w:rsidRPr="00D869E3">
        <w:rPr>
          <w:rFonts w:ascii="Verdana" w:hAnsi="Verdana"/>
          <w:sz w:val="18"/>
          <w:szCs w:val="20"/>
          <w:lang w:val="en-US"/>
        </w:rPr>
        <w:t xml:space="preserve"> 2010</w:t>
      </w:r>
      <w:r w:rsidR="00857C27" w:rsidRPr="00D869E3">
        <w:rPr>
          <w:rFonts w:ascii="Verdana" w:hAnsi="Verdana"/>
          <w:sz w:val="18"/>
          <w:szCs w:val="20"/>
          <w:lang w:val="en-US"/>
        </w:rPr>
        <w:t>.</w:t>
      </w:r>
      <w:r w:rsidR="0088700B" w:rsidRPr="00D869E3">
        <w:rPr>
          <w:rFonts w:ascii="Verdana" w:hAnsi="Verdana"/>
          <w:sz w:val="18"/>
          <w:szCs w:val="20"/>
          <w:lang w:val="en-US"/>
        </w:rPr>
        <w:t xml:space="preserve"> […] </w:t>
      </w:r>
      <w:r w:rsidR="00EB2E3C" w:rsidRPr="00D869E3">
        <w:rPr>
          <w:rFonts w:ascii="Verdana" w:hAnsi="Verdana"/>
          <w:sz w:val="18"/>
          <w:szCs w:val="20"/>
          <w:lang w:val="en-US"/>
        </w:rPr>
        <w:t>Pursuant to a</w:t>
      </w:r>
      <w:r w:rsidR="00447C65" w:rsidRPr="00D869E3">
        <w:rPr>
          <w:rFonts w:ascii="Verdana" w:hAnsi="Verdana"/>
          <w:sz w:val="18"/>
          <w:szCs w:val="20"/>
          <w:lang w:val="en-US"/>
        </w:rPr>
        <w:t>rticle</w:t>
      </w:r>
      <w:r w:rsidR="0088700B" w:rsidRPr="00D869E3">
        <w:rPr>
          <w:rFonts w:ascii="Verdana" w:hAnsi="Verdana"/>
          <w:sz w:val="18"/>
          <w:szCs w:val="20"/>
          <w:lang w:val="en-US"/>
        </w:rPr>
        <w:t xml:space="preserve"> 37(1) </w:t>
      </w:r>
      <w:r w:rsidR="00EB2E3C" w:rsidRPr="00D869E3">
        <w:rPr>
          <w:rFonts w:ascii="Verdana" w:hAnsi="Verdana"/>
          <w:sz w:val="18"/>
          <w:szCs w:val="20"/>
          <w:lang w:val="en-US"/>
        </w:rPr>
        <w:t xml:space="preserve">of its Rules of Procedure, </w:t>
      </w:r>
      <w:r w:rsidR="00EE0BD4" w:rsidRPr="00D869E3">
        <w:rPr>
          <w:rFonts w:ascii="Verdana" w:hAnsi="Verdana"/>
          <w:sz w:val="18"/>
          <w:szCs w:val="20"/>
          <w:lang w:val="en-US"/>
        </w:rPr>
        <w:t>the IACHR</w:t>
      </w:r>
      <w:r w:rsidR="0088700B" w:rsidRPr="00D869E3">
        <w:rPr>
          <w:rFonts w:ascii="Verdana" w:hAnsi="Verdana"/>
          <w:sz w:val="18"/>
          <w:szCs w:val="20"/>
          <w:lang w:val="en-US"/>
        </w:rPr>
        <w:t xml:space="preserve"> </w:t>
      </w:r>
      <w:r w:rsidR="00EB2E3C" w:rsidRPr="00D869E3">
        <w:rPr>
          <w:rFonts w:ascii="Verdana" w:hAnsi="Verdana"/>
          <w:sz w:val="18"/>
          <w:szCs w:val="20"/>
          <w:lang w:val="en-US"/>
        </w:rPr>
        <w:t>establishe[d] a time frame of three months from the date of transmission of th[e] communication for presentation of any additional observations on the merits of the matter.</w:t>
      </w:r>
      <w:r w:rsidR="006436CA" w:rsidRPr="00D869E3">
        <w:rPr>
          <w:rFonts w:ascii="Verdana" w:hAnsi="Verdana"/>
          <w:sz w:val="18"/>
          <w:szCs w:val="20"/>
          <w:lang w:val="en-US"/>
        </w:rPr>
        <w:t>”</w:t>
      </w:r>
      <w:r w:rsidR="0088700B" w:rsidRPr="00D869E3">
        <w:rPr>
          <w:rStyle w:val="Refdenotaalpie"/>
          <w:sz w:val="18"/>
          <w:szCs w:val="20"/>
          <w:lang w:val="en-US"/>
        </w:rPr>
        <w:footnoteReference w:id="180"/>
      </w:r>
    </w:p>
    <w:p w14:paraId="30AC46B8" w14:textId="77777777" w:rsidR="0088700B" w:rsidRPr="00D869E3" w:rsidRDefault="0088700B" w:rsidP="0088700B">
      <w:pPr>
        <w:ind w:left="851"/>
        <w:jc w:val="both"/>
        <w:rPr>
          <w:rFonts w:ascii="Verdana" w:hAnsi="Verdana"/>
          <w:sz w:val="18"/>
          <w:szCs w:val="20"/>
          <w:lang w:val="en-US"/>
        </w:rPr>
      </w:pPr>
    </w:p>
    <w:p w14:paraId="5C21C57A" w14:textId="0FD97D30" w:rsidR="0088700B" w:rsidRPr="00D869E3" w:rsidRDefault="003F425B" w:rsidP="00E66DD7">
      <w:pPr>
        <w:pStyle w:val="Prrafodelista"/>
        <w:numPr>
          <w:ilvl w:val="2"/>
          <w:numId w:val="21"/>
        </w:numPr>
        <w:ind w:left="851" w:firstLine="0"/>
        <w:jc w:val="both"/>
        <w:rPr>
          <w:rFonts w:ascii="Verdana" w:hAnsi="Verdana"/>
          <w:sz w:val="18"/>
          <w:szCs w:val="20"/>
          <w:lang w:val="en-US"/>
        </w:rPr>
      </w:pPr>
      <w:r w:rsidRPr="00D869E3">
        <w:rPr>
          <w:rFonts w:ascii="Verdana" w:hAnsi="Verdana"/>
          <w:sz w:val="18"/>
          <w:szCs w:val="20"/>
          <w:lang w:val="en-US"/>
        </w:rPr>
        <w:t xml:space="preserve">In </w:t>
      </w:r>
      <w:r w:rsidR="00687684" w:rsidRPr="00D869E3">
        <w:rPr>
          <w:rFonts w:ascii="Verdana" w:hAnsi="Verdana"/>
          <w:sz w:val="18"/>
          <w:szCs w:val="20"/>
          <w:lang w:val="en-US"/>
        </w:rPr>
        <w:t>Admissibility Report</w:t>
      </w:r>
      <w:r w:rsidR="0088700B" w:rsidRPr="00D869E3">
        <w:rPr>
          <w:rFonts w:ascii="Verdana" w:hAnsi="Verdana"/>
          <w:sz w:val="18"/>
          <w:szCs w:val="20"/>
          <w:lang w:val="en-US"/>
        </w:rPr>
        <w:t xml:space="preserve"> </w:t>
      </w:r>
      <w:r w:rsidR="00857C27" w:rsidRPr="00D869E3">
        <w:rPr>
          <w:rFonts w:ascii="Verdana" w:hAnsi="Verdana"/>
          <w:sz w:val="18"/>
          <w:szCs w:val="20"/>
          <w:lang w:val="en-US"/>
        </w:rPr>
        <w:t xml:space="preserve">No. </w:t>
      </w:r>
      <w:r w:rsidR="0088700B" w:rsidRPr="00D869E3">
        <w:rPr>
          <w:rFonts w:ascii="Verdana" w:hAnsi="Verdana"/>
          <w:sz w:val="18"/>
          <w:szCs w:val="20"/>
          <w:lang w:val="en-US"/>
        </w:rPr>
        <w:t>152/10, peti</w:t>
      </w:r>
      <w:r w:rsidR="00EB2E3C" w:rsidRPr="00D869E3">
        <w:rPr>
          <w:rFonts w:ascii="Verdana" w:hAnsi="Verdana"/>
          <w:sz w:val="18"/>
          <w:szCs w:val="20"/>
          <w:lang w:val="en-US"/>
        </w:rPr>
        <w:t>tion</w:t>
      </w:r>
      <w:r w:rsidR="0088700B" w:rsidRPr="00D869E3">
        <w:rPr>
          <w:rFonts w:ascii="Verdana" w:hAnsi="Verdana"/>
          <w:sz w:val="18"/>
          <w:szCs w:val="20"/>
          <w:lang w:val="en-US"/>
        </w:rPr>
        <w:t xml:space="preserve"> 459-97, </w:t>
      </w:r>
      <w:r w:rsidR="00EB2E3C" w:rsidRPr="00D869E3">
        <w:rPr>
          <w:rFonts w:ascii="Verdana" w:hAnsi="Verdana"/>
          <w:sz w:val="18"/>
          <w:szCs w:val="20"/>
          <w:lang w:val="en-US"/>
        </w:rPr>
        <w:t>adopted on</w:t>
      </w:r>
      <w:r w:rsidR="00687684" w:rsidRPr="00D869E3">
        <w:rPr>
          <w:rFonts w:ascii="Verdana" w:hAnsi="Verdana"/>
          <w:sz w:val="18"/>
          <w:szCs w:val="20"/>
          <w:lang w:val="en-US"/>
        </w:rPr>
        <w:t xml:space="preserve"> November 1,</w:t>
      </w:r>
      <w:r w:rsidR="0088700B" w:rsidRPr="00D869E3">
        <w:rPr>
          <w:rFonts w:ascii="Verdana" w:hAnsi="Verdana"/>
          <w:sz w:val="18"/>
          <w:szCs w:val="20"/>
          <w:lang w:val="en-US"/>
        </w:rPr>
        <w:t xml:space="preserve"> 2010, </w:t>
      </w:r>
      <w:r w:rsidR="00EE0BD4" w:rsidRPr="00D869E3">
        <w:rPr>
          <w:rFonts w:ascii="Verdana" w:hAnsi="Verdana"/>
          <w:sz w:val="18"/>
          <w:szCs w:val="20"/>
          <w:lang w:val="en-US"/>
        </w:rPr>
        <w:t>the IACHR</w:t>
      </w:r>
      <w:r w:rsidR="0088700B" w:rsidRPr="00D869E3">
        <w:rPr>
          <w:rFonts w:ascii="Verdana" w:hAnsi="Verdana"/>
          <w:sz w:val="18"/>
          <w:szCs w:val="20"/>
          <w:lang w:val="en-US"/>
        </w:rPr>
        <w:t xml:space="preserve"> decid</w:t>
      </w:r>
      <w:r w:rsidR="00EB2E3C" w:rsidRPr="00D869E3">
        <w:rPr>
          <w:rFonts w:ascii="Verdana" w:hAnsi="Verdana"/>
          <w:sz w:val="18"/>
          <w:szCs w:val="20"/>
          <w:lang w:val="en-US"/>
        </w:rPr>
        <w:t>ed</w:t>
      </w:r>
      <w:r w:rsidR="0088700B" w:rsidRPr="00D869E3">
        <w:rPr>
          <w:rFonts w:ascii="Verdana" w:hAnsi="Verdana"/>
          <w:sz w:val="18"/>
          <w:szCs w:val="20"/>
          <w:lang w:val="en-US"/>
        </w:rPr>
        <w:t xml:space="preserve"> </w:t>
      </w:r>
      <w:r w:rsidR="006436CA" w:rsidRPr="00D869E3">
        <w:rPr>
          <w:rFonts w:ascii="Verdana" w:hAnsi="Verdana"/>
          <w:sz w:val="18"/>
          <w:szCs w:val="20"/>
          <w:lang w:val="en-US"/>
        </w:rPr>
        <w:t>“</w:t>
      </w:r>
      <w:r w:rsidR="00857C27" w:rsidRPr="00D869E3">
        <w:rPr>
          <w:rFonts w:ascii="Verdana" w:hAnsi="Verdana"/>
          <w:sz w:val="18"/>
          <w:szCs w:val="20"/>
          <w:lang w:val="en-US"/>
        </w:rPr>
        <w:t>[</w:t>
      </w:r>
      <w:r w:rsidR="00CA1A50" w:rsidRPr="00D869E3">
        <w:rPr>
          <w:rFonts w:ascii="Verdana" w:hAnsi="Verdana"/>
          <w:sz w:val="18"/>
          <w:szCs w:val="20"/>
          <w:lang w:val="en-US"/>
        </w:rPr>
        <w:t>t</w:t>
      </w:r>
      <w:r w:rsidR="00857C27" w:rsidRPr="00D869E3">
        <w:rPr>
          <w:rFonts w:ascii="Verdana" w:hAnsi="Verdana"/>
          <w:sz w:val="18"/>
          <w:szCs w:val="20"/>
          <w:lang w:val="en-US"/>
        </w:rPr>
        <w:t>]</w:t>
      </w:r>
      <w:r w:rsidR="00CA1A50" w:rsidRPr="00D869E3">
        <w:rPr>
          <w:rFonts w:ascii="Verdana" w:hAnsi="Verdana"/>
          <w:sz w:val="18"/>
          <w:szCs w:val="20"/>
          <w:lang w:val="en-US"/>
        </w:rPr>
        <w:t xml:space="preserve">o declare this case admissible with regard to the alleged violations of the rights recognized in </w:t>
      </w:r>
      <w:r w:rsidR="00447C65" w:rsidRPr="00D869E3">
        <w:rPr>
          <w:rFonts w:ascii="Verdana" w:hAnsi="Verdana"/>
          <w:sz w:val="18"/>
          <w:szCs w:val="20"/>
          <w:lang w:val="en-US"/>
        </w:rPr>
        <w:t>Articles</w:t>
      </w:r>
      <w:r w:rsidR="0088700B" w:rsidRPr="00D869E3">
        <w:rPr>
          <w:rFonts w:ascii="Verdana" w:hAnsi="Verdana"/>
          <w:sz w:val="18"/>
          <w:szCs w:val="20"/>
          <w:lang w:val="en-US"/>
        </w:rPr>
        <w:t xml:space="preserve"> 8</w:t>
      </w:r>
      <w:r w:rsidR="00687684" w:rsidRPr="00D869E3">
        <w:rPr>
          <w:rFonts w:ascii="Verdana" w:hAnsi="Verdana"/>
          <w:sz w:val="18"/>
          <w:szCs w:val="20"/>
          <w:lang w:val="en-US"/>
        </w:rPr>
        <w:t xml:space="preserve"> and </w:t>
      </w:r>
      <w:r w:rsidR="0088700B" w:rsidRPr="00D869E3">
        <w:rPr>
          <w:rFonts w:ascii="Verdana" w:hAnsi="Verdana"/>
          <w:sz w:val="18"/>
          <w:szCs w:val="20"/>
          <w:lang w:val="en-US"/>
        </w:rPr>
        <w:t xml:space="preserve">13 </w:t>
      </w:r>
      <w:r w:rsidR="00CA1A50" w:rsidRPr="00D869E3">
        <w:rPr>
          <w:rFonts w:ascii="Verdana" w:hAnsi="Verdana"/>
          <w:sz w:val="18"/>
          <w:szCs w:val="20"/>
          <w:lang w:val="en-US"/>
        </w:rPr>
        <w:t>in conjunction with Article</w:t>
      </w:r>
      <w:r w:rsidR="0088700B" w:rsidRPr="00D869E3">
        <w:rPr>
          <w:rFonts w:ascii="Verdana" w:hAnsi="Verdana"/>
          <w:sz w:val="18"/>
          <w:szCs w:val="20"/>
          <w:lang w:val="en-US"/>
        </w:rPr>
        <w:t xml:space="preserve"> 1(1)</w:t>
      </w:r>
      <w:r w:rsidR="00447C65" w:rsidRPr="00D869E3">
        <w:rPr>
          <w:rFonts w:ascii="Verdana" w:hAnsi="Verdana"/>
          <w:sz w:val="18"/>
          <w:szCs w:val="20"/>
          <w:lang w:val="en-US"/>
        </w:rPr>
        <w:t xml:space="preserve"> of the American Convention</w:t>
      </w:r>
      <w:r w:rsidR="0088700B" w:rsidRPr="00D869E3">
        <w:rPr>
          <w:rFonts w:ascii="Verdana" w:hAnsi="Verdana"/>
          <w:sz w:val="18"/>
          <w:szCs w:val="20"/>
          <w:lang w:val="en-US"/>
        </w:rPr>
        <w:t>.</w:t>
      </w:r>
      <w:r w:rsidR="00CA1A50" w:rsidRPr="00D869E3">
        <w:rPr>
          <w:rFonts w:ascii="Verdana" w:hAnsi="Verdana"/>
          <w:sz w:val="18"/>
          <w:szCs w:val="20"/>
          <w:lang w:val="en-US"/>
        </w:rPr>
        <w:t xml:space="preserve">” However, </w:t>
      </w:r>
      <w:r w:rsidR="00447C65" w:rsidRPr="00D869E3">
        <w:rPr>
          <w:rFonts w:ascii="Verdana" w:hAnsi="Verdana"/>
          <w:sz w:val="18"/>
          <w:szCs w:val="20"/>
          <w:lang w:val="en-US"/>
        </w:rPr>
        <w:t>the Commission</w:t>
      </w:r>
      <w:r w:rsidR="0088700B" w:rsidRPr="00D869E3">
        <w:rPr>
          <w:rFonts w:ascii="Verdana" w:hAnsi="Verdana"/>
          <w:sz w:val="18"/>
          <w:szCs w:val="20"/>
          <w:lang w:val="en-US"/>
        </w:rPr>
        <w:t xml:space="preserve"> </w:t>
      </w:r>
      <w:r w:rsidR="00CA1A50" w:rsidRPr="00D869E3">
        <w:rPr>
          <w:rFonts w:ascii="Verdana" w:hAnsi="Verdana"/>
          <w:sz w:val="18"/>
          <w:szCs w:val="20"/>
          <w:lang w:val="en-US"/>
        </w:rPr>
        <w:t>decided “[t]o declare inadmis</w:t>
      </w:r>
      <w:r w:rsidR="005833C9" w:rsidRPr="00D869E3">
        <w:rPr>
          <w:rFonts w:ascii="Verdana" w:hAnsi="Verdana"/>
          <w:sz w:val="18"/>
          <w:szCs w:val="20"/>
          <w:lang w:val="en-US"/>
        </w:rPr>
        <w:t>s</w:t>
      </w:r>
      <w:r w:rsidR="00CA1A50" w:rsidRPr="00D869E3">
        <w:rPr>
          <w:rFonts w:ascii="Verdana" w:hAnsi="Verdana"/>
          <w:sz w:val="18"/>
          <w:szCs w:val="20"/>
          <w:lang w:val="en-US"/>
        </w:rPr>
        <w:t xml:space="preserve">ible the arguments regarding the alleged characterization of violations of </w:t>
      </w:r>
      <w:r w:rsidR="00447C65" w:rsidRPr="00D869E3">
        <w:rPr>
          <w:rFonts w:ascii="Verdana" w:hAnsi="Verdana"/>
          <w:sz w:val="18"/>
          <w:szCs w:val="20"/>
          <w:lang w:val="en-US"/>
        </w:rPr>
        <w:t>Articles</w:t>
      </w:r>
      <w:r w:rsidR="0088700B" w:rsidRPr="00D869E3">
        <w:rPr>
          <w:rFonts w:ascii="Verdana" w:hAnsi="Verdana"/>
          <w:sz w:val="18"/>
          <w:szCs w:val="20"/>
          <w:lang w:val="en-US"/>
        </w:rPr>
        <w:t xml:space="preserve"> 24</w:t>
      </w:r>
      <w:r w:rsidR="00687684" w:rsidRPr="00D869E3">
        <w:rPr>
          <w:rFonts w:ascii="Verdana" w:hAnsi="Verdana"/>
          <w:sz w:val="18"/>
          <w:szCs w:val="20"/>
          <w:lang w:val="en-US"/>
        </w:rPr>
        <w:t xml:space="preserve"> and </w:t>
      </w:r>
      <w:r w:rsidR="0088700B" w:rsidRPr="00D869E3">
        <w:rPr>
          <w:rFonts w:ascii="Verdana" w:hAnsi="Verdana"/>
          <w:sz w:val="18"/>
          <w:szCs w:val="20"/>
          <w:lang w:val="en-US"/>
        </w:rPr>
        <w:t>25</w:t>
      </w:r>
      <w:r w:rsidR="00CA1A50" w:rsidRPr="00D869E3">
        <w:rPr>
          <w:rFonts w:ascii="Verdana" w:hAnsi="Verdana"/>
          <w:sz w:val="18"/>
          <w:szCs w:val="20"/>
          <w:lang w:val="en-US"/>
        </w:rPr>
        <w:t>.</w:t>
      </w:r>
      <w:r w:rsidR="006436CA" w:rsidRPr="00D869E3">
        <w:rPr>
          <w:rFonts w:ascii="Verdana" w:hAnsi="Verdana"/>
          <w:sz w:val="18"/>
          <w:szCs w:val="20"/>
          <w:lang w:val="en-US"/>
        </w:rPr>
        <w:t>”</w:t>
      </w:r>
      <w:r w:rsidR="0088700B" w:rsidRPr="00D869E3">
        <w:rPr>
          <w:rStyle w:val="Refdenotaalpie"/>
          <w:sz w:val="18"/>
          <w:szCs w:val="20"/>
          <w:lang w:val="en-US"/>
        </w:rPr>
        <w:footnoteReference w:id="181"/>
      </w:r>
      <w:r w:rsidR="00CA1A50" w:rsidRPr="00D869E3">
        <w:rPr>
          <w:rFonts w:ascii="Verdana" w:hAnsi="Verdana"/>
          <w:sz w:val="18"/>
          <w:szCs w:val="20"/>
          <w:lang w:val="en-US"/>
        </w:rPr>
        <w:t xml:space="preserve"> In paragraph</w:t>
      </w:r>
      <w:r w:rsidR="0088700B" w:rsidRPr="00D869E3">
        <w:rPr>
          <w:rFonts w:ascii="Verdana" w:hAnsi="Verdana"/>
          <w:sz w:val="18"/>
          <w:szCs w:val="20"/>
          <w:lang w:val="en-US"/>
        </w:rPr>
        <w:t xml:space="preserve"> 15 </w:t>
      </w:r>
      <w:r w:rsidR="00CA1A50" w:rsidRPr="00D869E3">
        <w:rPr>
          <w:rFonts w:ascii="Verdana" w:hAnsi="Verdana"/>
          <w:sz w:val="18"/>
          <w:szCs w:val="20"/>
          <w:lang w:val="en-US"/>
        </w:rPr>
        <w:t xml:space="preserve">of the </w:t>
      </w:r>
      <w:r w:rsidR="00687684" w:rsidRPr="00D869E3">
        <w:rPr>
          <w:rFonts w:ascii="Verdana" w:hAnsi="Verdana"/>
          <w:sz w:val="18"/>
          <w:szCs w:val="20"/>
          <w:lang w:val="en-US"/>
        </w:rPr>
        <w:t>Admissibility Report</w:t>
      </w:r>
      <w:r w:rsidR="0088700B" w:rsidRPr="00D869E3">
        <w:rPr>
          <w:rFonts w:ascii="Verdana" w:hAnsi="Verdana"/>
          <w:sz w:val="18"/>
          <w:szCs w:val="20"/>
          <w:lang w:val="en-US"/>
        </w:rPr>
        <w:t xml:space="preserve">, </w:t>
      </w:r>
      <w:r w:rsidR="00447C65" w:rsidRPr="00D869E3">
        <w:rPr>
          <w:rFonts w:ascii="Verdana" w:hAnsi="Verdana"/>
          <w:sz w:val="18"/>
          <w:szCs w:val="20"/>
          <w:lang w:val="en-US"/>
        </w:rPr>
        <w:t>the Commission</w:t>
      </w:r>
      <w:r w:rsidR="0088700B" w:rsidRPr="00D869E3">
        <w:rPr>
          <w:rFonts w:ascii="Verdana" w:hAnsi="Verdana"/>
          <w:sz w:val="18"/>
          <w:szCs w:val="20"/>
          <w:lang w:val="en-US"/>
        </w:rPr>
        <w:t xml:space="preserve"> </w:t>
      </w:r>
      <w:r w:rsidR="00CA1A50" w:rsidRPr="00D869E3">
        <w:rPr>
          <w:rFonts w:ascii="Verdana" w:hAnsi="Verdana"/>
          <w:sz w:val="18"/>
          <w:szCs w:val="20"/>
          <w:lang w:val="en-US"/>
        </w:rPr>
        <w:t>indicated that</w:t>
      </w:r>
      <w:r w:rsidR="0088700B" w:rsidRPr="00D869E3">
        <w:rPr>
          <w:rFonts w:ascii="Verdana" w:hAnsi="Verdana"/>
          <w:sz w:val="18"/>
          <w:szCs w:val="20"/>
          <w:lang w:val="en-US"/>
        </w:rPr>
        <w:t xml:space="preserve">: </w:t>
      </w:r>
    </w:p>
    <w:p w14:paraId="16A1C1D9" w14:textId="77777777" w:rsidR="0088700B" w:rsidRPr="00D869E3" w:rsidRDefault="0088700B" w:rsidP="0088700B">
      <w:pPr>
        <w:pStyle w:val="Prrafodelista"/>
        <w:rPr>
          <w:rFonts w:ascii="Verdana" w:hAnsi="Verdana"/>
          <w:sz w:val="16"/>
          <w:szCs w:val="20"/>
          <w:lang w:val="en-US"/>
        </w:rPr>
      </w:pPr>
    </w:p>
    <w:p w14:paraId="2B68BA67" w14:textId="12331351" w:rsidR="002E365F" w:rsidRPr="00D869E3" w:rsidRDefault="006436CA" w:rsidP="002E365F">
      <w:pPr>
        <w:autoSpaceDE w:val="0"/>
        <w:autoSpaceDN w:val="0"/>
        <w:adjustRightInd w:val="0"/>
        <w:ind w:left="1440" w:right="386"/>
        <w:jc w:val="both"/>
        <w:rPr>
          <w:rFonts w:ascii="Verdana" w:eastAsiaTheme="minorHAnsi" w:hAnsi="Verdana" w:cs="Arial"/>
          <w:sz w:val="16"/>
          <w:szCs w:val="16"/>
          <w:lang w:val="en-US"/>
        </w:rPr>
      </w:pPr>
      <w:r w:rsidRPr="00D869E3">
        <w:rPr>
          <w:rFonts w:ascii="Verdana" w:hAnsi="Verdana"/>
          <w:sz w:val="16"/>
          <w:szCs w:val="20"/>
          <w:lang w:val="en-US"/>
        </w:rPr>
        <w:t>“</w:t>
      </w:r>
      <w:r w:rsidR="002E365F" w:rsidRPr="00D869E3">
        <w:rPr>
          <w:rFonts w:ascii="Verdana" w:eastAsiaTheme="minorHAnsi" w:hAnsi="Verdana" w:cs="Arial"/>
          <w:sz w:val="16"/>
          <w:szCs w:val="16"/>
          <w:lang w:val="en-US"/>
        </w:rPr>
        <w:t xml:space="preserve">The petitioner believed that his right to due process enshrined in Article 8 of the American Convention was violated in connection with Article 14(1) of the International Covenant on Civil and Political Rights, </w:t>
      </w:r>
      <w:r w:rsidR="002E365F" w:rsidRPr="00D869E3">
        <w:rPr>
          <w:rFonts w:ascii="Verdana" w:eastAsiaTheme="minorHAnsi" w:hAnsi="Verdana" w:cs="Arial"/>
          <w:b/>
          <w:bCs/>
          <w:i/>
          <w:iCs/>
          <w:sz w:val="16"/>
          <w:szCs w:val="16"/>
          <w:lang w:val="en-US"/>
        </w:rPr>
        <w:t>the right to work</w:t>
      </w:r>
      <w:r w:rsidR="002E365F" w:rsidRPr="00D869E3">
        <w:rPr>
          <w:rFonts w:ascii="Verdana" w:eastAsiaTheme="minorHAnsi" w:hAnsi="Verdana" w:cs="Arial"/>
          <w:sz w:val="16"/>
          <w:szCs w:val="16"/>
          <w:lang w:val="en-US"/>
        </w:rPr>
        <w:t>, the right to equality before the law, and the right to judicial protection. The petitioner likewise indicates that, according to Article 39 of the Amparo Law, in conjunction with Article 303 of the Constitution, his constitutional rights were violated.</w:t>
      </w:r>
    </w:p>
    <w:p w14:paraId="628F8FA2" w14:textId="77777777" w:rsidR="0088700B" w:rsidRPr="00D869E3" w:rsidRDefault="0088700B" w:rsidP="0088700B">
      <w:pPr>
        <w:pStyle w:val="Prrafodelista"/>
        <w:ind w:left="1440"/>
        <w:jc w:val="both"/>
        <w:rPr>
          <w:rFonts w:ascii="Verdana" w:hAnsi="Verdana"/>
          <w:sz w:val="18"/>
          <w:szCs w:val="20"/>
          <w:lang w:val="en-US"/>
        </w:rPr>
      </w:pPr>
    </w:p>
    <w:p w14:paraId="38862B25" w14:textId="5660CEB7" w:rsidR="0088700B" w:rsidRPr="00D869E3" w:rsidRDefault="0088700B" w:rsidP="00E66DD7">
      <w:pPr>
        <w:pStyle w:val="Prrafodelista"/>
        <w:numPr>
          <w:ilvl w:val="2"/>
          <w:numId w:val="21"/>
        </w:numPr>
        <w:ind w:left="851" w:firstLine="0"/>
        <w:jc w:val="both"/>
        <w:rPr>
          <w:rFonts w:ascii="Verdana" w:hAnsi="Verdana"/>
          <w:sz w:val="18"/>
          <w:szCs w:val="20"/>
          <w:lang w:val="en-US"/>
        </w:rPr>
      </w:pPr>
      <w:r w:rsidRPr="00D869E3">
        <w:rPr>
          <w:rFonts w:ascii="Verdana" w:hAnsi="Verdana"/>
          <w:sz w:val="18"/>
          <w:szCs w:val="20"/>
          <w:lang w:val="en-US"/>
        </w:rPr>
        <w:t xml:space="preserve"> </w:t>
      </w:r>
      <w:r w:rsidR="002E365F" w:rsidRPr="00D869E3">
        <w:rPr>
          <w:rFonts w:ascii="Verdana" w:hAnsi="Verdana"/>
          <w:sz w:val="18"/>
          <w:szCs w:val="20"/>
          <w:lang w:val="en-US"/>
        </w:rPr>
        <w:t>The brief of</w:t>
      </w:r>
      <w:r w:rsidR="00D3263C" w:rsidRPr="00D869E3">
        <w:rPr>
          <w:rFonts w:ascii="Verdana" w:hAnsi="Verdana"/>
          <w:sz w:val="18"/>
          <w:szCs w:val="20"/>
          <w:lang w:val="en-US"/>
        </w:rPr>
        <w:t xml:space="preserve"> </w:t>
      </w:r>
      <w:r w:rsidRPr="00D869E3">
        <w:rPr>
          <w:rFonts w:ascii="Verdana" w:hAnsi="Verdana"/>
          <w:sz w:val="18"/>
          <w:szCs w:val="20"/>
          <w:lang w:val="en-US"/>
        </w:rPr>
        <w:t>APRODEH</w:t>
      </w:r>
      <w:r w:rsidR="00857C27" w:rsidRPr="00D869E3">
        <w:rPr>
          <w:rFonts w:ascii="Verdana" w:hAnsi="Verdana"/>
          <w:sz w:val="18"/>
          <w:szCs w:val="20"/>
          <w:lang w:val="en-US"/>
        </w:rPr>
        <w:t>,</w:t>
      </w:r>
      <w:r w:rsidRPr="00D869E3">
        <w:rPr>
          <w:rFonts w:ascii="Verdana" w:hAnsi="Verdana"/>
          <w:sz w:val="18"/>
          <w:szCs w:val="20"/>
          <w:lang w:val="en-US"/>
        </w:rPr>
        <w:t xml:space="preserve"> </w:t>
      </w:r>
      <w:r w:rsidR="002E365F" w:rsidRPr="00D869E3">
        <w:rPr>
          <w:rFonts w:ascii="Verdana" w:hAnsi="Verdana"/>
          <w:sz w:val="18"/>
          <w:szCs w:val="20"/>
          <w:lang w:val="en-US"/>
        </w:rPr>
        <w:t>on behalf of</w:t>
      </w:r>
      <w:r w:rsidR="00E6309B" w:rsidRPr="00D869E3">
        <w:rPr>
          <w:rFonts w:ascii="Verdana" w:hAnsi="Verdana"/>
          <w:sz w:val="18"/>
          <w:szCs w:val="20"/>
          <w:lang w:val="en-US"/>
        </w:rPr>
        <w:t xml:space="preserve"> Mr.</w:t>
      </w:r>
      <w:r w:rsidR="001E44D3" w:rsidRPr="00D869E3">
        <w:rPr>
          <w:rFonts w:ascii="Verdana" w:hAnsi="Verdana"/>
          <w:sz w:val="18"/>
          <w:szCs w:val="20"/>
          <w:lang w:val="en-US"/>
        </w:rPr>
        <w:t xml:space="preserve"> Lagos del Campo</w:t>
      </w:r>
      <w:r w:rsidR="002E365F" w:rsidRPr="00D869E3">
        <w:rPr>
          <w:rFonts w:ascii="Verdana" w:hAnsi="Verdana"/>
          <w:sz w:val="18"/>
          <w:szCs w:val="20"/>
          <w:lang w:val="en-US"/>
        </w:rPr>
        <w:t>,</w:t>
      </w:r>
      <w:r w:rsidRPr="00D869E3">
        <w:rPr>
          <w:rFonts w:ascii="Verdana" w:hAnsi="Verdana"/>
          <w:sz w:val="18"/>
          <w:szCs w:val="20"/>
          <w:lang w:val="en-US"/>
        </w:rPr>
        <w:t xml:space="preserve"> </w:t>
      </w:r>
      <w:r w:rsidR="002E365F" w:rsidRPr="00D869E3">
        <w:rPr>
          <w:rFonts w:ascii="Verdana" w:hAnsi="Verdana"/>
          <w:sz w:val="18"/>
          <w:szCs w:val="20"/>
          <w:lang w:val="en-US"/>
        </w:rPr>
        <w:t>dated March 16,</w:t>
      </w:r>
      <w:r w:rsidRPr="00D869E3">
        <w:rPr>
          <w:rFonts w:ascii="Verdana" w:hAnsi="Verdana"/>
          <w:sz w:val="18"/>
          <w:szCs w:val="20"/>
          <w:lang w:val="en-US"/>
        </w:rPr>
        <w:t xml:space="preserve"> 2011, </w:t>
      </w:r>
      <w:r w:rsidR="002E365F" w:rsidRPr="00D869E3">
        <w:rPr>
          <w:rFonts w:ascii="Verdana" w:hAnsi="Verdana"/>
          <w:sz w:val="18"/>
          <w:szCs w:val="20"/>
          <w:lang w:val="en-US"/>
        </w:rPr>
        <w:t xml:space="preserve">addressed to the </w:t>
      </w:r>
      <w:r w:rsidR="00447C65" w:rsidRPr="00D869E3">
        <w:rPr>
          <w:rFonts w:ascii="Verdana" w:hAnsi="Verdana"/>
          <w:sz w:val="18"/>
          <w:szCs w:val="20"/>
          <w:lang w:val="en-US"/>
        </w:rPr>
        <w:t>Commission</w:t>
      </w:r>
      <w:r w:rsidR="002E365F" w:rsidRPr="00D869E3">
        <w:rPr>
          <w:rFonts w:ascii="Verdana" w:hAnsi="Verdana"/>
          <w:sz w:val="18"/>
          <w:szCs w:val="20"/>
          <w:lang w:val="en-US"/>
        </w:rPr>
        <w:t>’s Executive Secretary</w:t>
      </w:r>
      <w:r w:rsidRPr="00D869E3">
        <w:rPr>
          <w:rFonts w:ascii="Verdana" w:hAnsi="Verdana"/>
          <w:sz w:val="18"/>
          <w:szCs w:val="20"/>
          <w:lang w:val="en-US"/>
        </w:rPr>
        <w:t xml:space="preserve"> </w:t>
      </w:r>
      <w:r w:rsidR="002E365F" w:rsidRPr="00D869E3">
        <w:rPr>
          <w:rFonts w:ascii="Verdana" w:hAnsi="Verdana"/>
          <w:sz w:val="18"/>
          <w:szCs w:val="20"/>
          <w:lang w:val="en-US"/>
        </w:rPr>
        <w:t>and received on March</w:t>
      </w:r>
      <w:r w:rsidRPr="00D869E3">
        <w:rPr>
          <w:rFonts w:ascii="Verdana" w:hAnsi="Verdana"/>
          <w:sz w:val="18"/>
          <w:szCs w:val="20"/>
          <w:lang w:val="en-US"/>
        </w:rPr>
        <w:t xml:space="preserve"> 24</w:t>
      </w:r>
      <w:r w:rsidR="002E365F" w:rsidRPr="00D869E3">
        <w:rPr>
          <w:rFonts w:ascii="Verdana" w:hAnsi="Verdana"/>
          <w:sz w:val="18"/>
          <w:szCs w:val="20"/>
          <w:lang w:val="en-US"/>
        </w:rPr>
        <w:t xml:space="preserve">, </w:t>
      </w:r>
      <w:r w:rsidRPr="00D869E3">
        <w:rPr>
          <w:rFonts w:ascii="Verdana" w:hAnsi="Verdana"/>
          <w:sz w:val="18"/>
          <w:szCs w:val="20"/>
          <w:lang w:val="en-US"/>
        </w:rPr>
        <w:t xml:space="preserve">2011, </w:t>
      </w:r>
      <w:r w:rsidR="002E365F" w:rsidRPr="00D869E3">
        <w:rPr>
          <w:rFonts w:ascii="Verdana" w:hAnsi="Verdana"/>
          <w:sz w:val="18"/>
          <w:szCs w:val="20"/>
          <w:lang w:val="en-US"/>
        </w:rPr>
        <w:t xml:space="preserve">indicated that it presented observations on the </w:t>
      </w:r>
      <w:r w:rsidR="00687684" w:rsidRPr="00D869E3">
        <w:rPr>
          <w:rFonts w:ascii="Verdana" w:hAnsi="Verdana"/>
          <w:sz w:val="18"/>
          <w:szCs w:val="20"/>
          <w:lang w:val="en-US"/>
        </w:rPr>
        <w:t>Admissibility Report</w:t>
      </w:r>
      <w:r w:rsidRPr="00D869E3">
        <w:rPr>
          <w:rFonts w:ascii="Verdana" w:hAnsi="Verdana"/>
          <w:sz w:val="18"/>
          <w:szCs w:val="20"/>
          <w:lang w:val="en-US"/>
        </w:rPr>
        <w:t xml:space="preserve">. </w:t>
      </w:r>
      <w:r w:rsidR="002E365F" w:rsidRPr="00D869E3">
        <w:rPr>
          <w:rFonts w:ascii="Verdana" w:hAnsi="Verdana"/>
          <w:sz w:val="18"/>
          <w:szCs w:val="20"/>
          <w:lang w:val="en-US"/>
        </w:rPr>
        <w:t xml:space="preserve">In the part with requests, it </w:t>
      </w:r>
      <w:r w:rsidR="00BC22FA" w:rsidRPr="00D869E3">
        <w:rPr>
          <w:rFonts w:ascii="Verdana" w:hAnsi="Verdana"/>
          <w:sz w:val="18"/>
          <w:szCs w:val="20"/>
          <w:lang w:val="en-US"/>
        </w:rPr>
        <w:t>asked</w:t>
      </w:r>
      <w:r w:rsidR="002E365F" w:rsidRPr="00D869E3">
        <w:rPr>
          <w:rFonts w:ascii="Verdana" w:hAnsi="Verdana"/>
          <w:sz w:val="18"/>
          <w:szCs w:val="20"/>
          <w:lang w:val="en-US"/>
        </w:rPr>
        <w:t xml:space="preserve"> “[t]hat, based on these conclusions, the State be required: (a) to </w:t>
      </w:r>
      <w:r w:rsidRPr="00D869E3">
        <w:rPr>
          <w:rFonts w:ascii="Verdana" w:hAnsi="Verdana"/>
          <w:sz w:val="18"/>
          <w:szCs w:val="20"/>
          <w:lang w:val="en-US"/>
        </w:rPr>
        <w:t>facilita</w:t>
      </w:r>
      <w:r w:rsidR="002E365F" w:rsidRPr="00D869E3">
        <w:rPr>
          <w:rFonts w:ascii="Verdana" w:hAnsi="Verdana"/>
          <w:sz w:val="18"/>
          <w:szCs w:val="20"/>
          <w:lang w:val="en-US"/>
        </w:rPr>
        <w:t>te the conditions for</w:t>
      </w:r>
      <w:r w:rsidRPr="00D869E3">
        <w:rPr>
          <w:rFonts w:ascii="Verdana" w:hAnsi="Verdana"/>
          <w:sz w:val="18"/>
          <w:szCs w:val="20"/>
          <w:lang w:val="en-US"/>
        </w:rPr>
        <w:t xml:space="preserve"> Alfredo Lagos del Campo </w:t>
      </w:r>
      <w:r w:rsidR="002E365F" w:rsidRPr="00D869E3">
        <w:rPr>
          <w:rFonts w:ascii="Verdana" w:hAnsi="Verdana"/>
          <w:sz w:val="18"/>
          <w:szCs w:val="20"/>
          <w:lang w:val="en-US"/>
        </w:rPr>
        <w:t xml:space="preserve">to be able to take the necessary steps to recover </w:t>
      </w:r>
      <w:r w:rsidR="002E365F" w:rsidRPr="00D869E3">
        <w:rPr>
          <w:rFonts w:ascii="Verdana" w:hAnsi="Verdana"/>
          <w:b/>
          <w:i/>
          <w:sz w:val="18"/>
          <w:szCs w:val="20"/>
          <w:lang w:val="en-US"/>
        </w:rPr>
        <w:t>the use and enjoyment of his labor rights,</w:t>
      </w:r>
      <w:r w:rsidR="00687684" w:rsidRPr="00D869E3">
        <w:rPr>
          <w:rFonts w:ascii="Verdana" w:hAnsi="Verdana"/>
          <w:b/>
          <w:i/>
          <w:sz w:val="18"/>
          <w:szCs w:val="20"/>
          <w:lang w:val="en-US"/>
        </w:rPr>
        <w:t xml:space="preserve"> </w:t>
      </w:r>
      <w:r w:rsidR="002E365F" w:rsidRPr="00D869E3">
        <w:rPr>
          <w:rFonts w:ascii="Verdana" w:hAnsi="Verdana"/>
          <w:sz w:val="18"/>
          <w:szCs w:val="20"/>
          <w:lang w:val="en-US"/>
        </w:rPr>
        <w:t>lost as a result of his dismissal</w:t>
      </w:r>
      <w:r w:rsidRPr="00D869E3">
        <w:rPr>
          <w:rFonts w:ascii="Verdana" w:hAnsi="Verdana"/>
          <w:sz w:val="18"/>
          <w:szCs w:val="20"/>
          <w:lang w:val="en-US"/>
        </w:rPr>
        <w:t xml:space="preserve"> […]</w:t>
      </w:r>
      <w:r w:rsidR="002E365F" w:rsidRPr="00D869E3">
        <w:rPr>
          <w:rFonts w:ascii="Verdana" w:hAnsi="Verdana"/>
          <w:sz w:val="18"/>
          <w:szCs w:val="20"/>
          <w:lang w:val="en-US"/>
        </w:rPr>
        <w:t>.</w:t>
      </w:r>
      <w:r w:rsidR="006436CA" w:rsidRPr="00D869E3">
        <w:rPr>
          <w:rFonts w:ascii="Verdana" w:hAnsi="Verdana"/>
          <w:sz w:val="18"/>
          <w:szCs w:val="20"/>
          <w:lang w:val="en-US"/>
        </w:rPr>
        <w:t>”</w:t>
      </w:r>
      <w:r w:rsidRPr="00D869E3">
        <w:rPr>
          <w:rStyle w:val="Refdenotaalpie"/>
          <w:sz w:val="18"/>
          <w:szCs w:val="20"/>
          <w:lang w:val="en-US"/>
        </w:rPr>
        <w:footnoteReference w:id="182"/>
      </w:r>
    </w:p>
    <w:p w14:paraId="0E31F67F" w14:textId="77777777" w:rsidR="0088700B" w:rsidRPr="00D869E3" w:rsidRDefault="0088700B" w:rsidP="0088700B">
      <w:pPr>
        <w:pStyle w:val="Prrafodelista"/>
        <w:ind w:left="851"/>
        <w:jc w:val="both"/>
        <w:rPr>
          <w:rFonts w:ascii="Verdana" w:hAnsi="Verdana"/>
          <w:sz w:val="18"/>
          <w:szCs w:val="20"/>
          <w:lang w:val="en-US"/>
        </w:rPr>
      </w:pPr>
    </w:p>
    <w:p w14:paraId="2DCA27A0" w14:textId="3B087CB0" w:rsidR="0088700B" w:rsidRPr="00D869E3" w:rsidRDefault="005833C9" w:rsidP="005833C9">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Based on all the above, this Court has verified that, starting with the first communications he sent to the Commission, the petitioner requested protection of his rights “</w:t>
      </w:r>
      <w:r w:rsidRPr="00D869E3">
        <w:rPr>
          <w:rFonts w:ascii="Verdana" w:hAnsi="Verdana"/>
          <w:i/>
          <w:iCs/>
          <w:sz w:val="20"/>
          <w:szCs w:val="20"/>
          <w:lang w:val="en-US"/>
        </w:rPr>
        <w:t>to a fair trial (due process) and the right to work</w:t>
      </w:r>
      <w:r w:rsidRPr="00D869E3">
        <w:rPr>
          <w:rFonts w:ascii="Verdana" w:hAnsi="Verdana"/>
          <w:sz w:val="20"/>
          <w:szCs w:val="20"/>
          <w:lang w:val="en-US"/>
        </w:rPr>
        <w:t xml:space="preserve">.” Also, the State indicated expressly that, in the petition he lodged before the Commission, </w:t>
      </w:r>
      <w:r w:rsidR="001E44D3" w:rsidRPr="00D869E3">
        <w:rPr>
          <w:rFonts w:ascii="Verdana" w:hAnsi="Verdana"/>
          <w:sz w:val="20"/>
          <w:szCs w:val="20"/>
          <w:lang w:val="en-US"/>
        </w:rPr>
        <w:t>Mr. Lagos del Campo</w:t>
      </w:r>
      <w:r w:rsidRPr="00D869E3">
        <w:rPr>
          <w:rFonts w:ascii="Verdana" w:hAnsi="Verdana"/>
          <w:sz w:val="20"/>
          <w:szCs w:val="20"/>
          <w:lang w:val="en-US"/>
        </w:rPr>
        <w:t xml:space="preserve"> requested “immediate </w:t>
      </w:r>
      <w:r w:rsidRPr="00D869E3">
        <w:rPr>
          <w:rFonts w:ascii="Verdana" w:hAnsi="Verdana"/>
          <w:i/>
          <w:iCs/>
          <w:sz w:val="20"/>
          <w:szCs w:val="20"/>
          <w:lang w:val="en-US"/>
        </w:rPr>
        <w:t>reinstatement in his job</w:t>
      </w:r>
      <w:r w:rsidRPr="00D869E3">
        <w:rPr>
          <w:rFonts w:ascii="Verdana" w:hAnsi="Verdana"/>
          <w:sz w:val="20"/>
          <w:szCs w:val="20"/>
          <w:lang w:val="en-US"/>
        </w:rPr>
        <w:t xml:space="preserve"> at CEPER-PIRELLI, with the corresponding salary and benefits.</w:t>
      </w:r>
      <w:r w:rsidR="006436CA" w:rsidRPr="00D869E3">
        <w:rPr>
          <w:rFonts w:ascii="Verdana" w:hAnsi="Verdana"/>
          <w:sz w:val="20"/>
          <w:szCs w:val="20"/>
          <w:lang w:val="en-US"/>
        </w:rPr>
        <w:t>”</w:t>
      </w:r>
    </w:p>
    <w:p w14:paraId="3F5EF586" w14:textId="77777777" w:rsidR="0088700B" w:rsidRPr="00D869E3" w:rsidRDefault="0088700B" w:rsidP="0088700B">
      <w:pPr>
        <w:contextualSpacing/>
        <w:jc w:val="both"/>
        <w:rPr>
          <w:rFonts w:ascii="Verdana" w:hAnsi="Verdana"/>
          <w:sz w:val="20"/>
          <w:szCs w:val="20"/>
          <w:lang w:val="en-US"/>
        </w:rPr>
      </w:pPr>
    </w:p>
    <w:p w14:paraId="38FDEBB3" w14:textId="175339B1" w:rsidR="0088700B" w:rsidRPr="00D869E3" w:rsidRDefault="00447C65" w:rsidP="005833C9">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88700B" w:rsidRPr="00D869E3">
        <w:rPr>
          <w:rFonts w:ascii="Verdana" w:hAnsi="Verdana"/>
          <w:sz w:val="20"/>
          <w:szCs w:val="20"/>
          <w:lang w:val="en-US"/>
        </w:rPr>
        <w:t xml:space="preserve"> </w:t>
      </w:r>
      <w:r w:rsidR="00595D0B" w:rsidRPr="00D869E3">
        <w:rPr>
          <w:rFonts w:ascii="Verdana" w:hAnsi="Verdana"/>
          <w:sz w:val="20"/>
          <w:szCs w:val="20"/>
          <w:lang w:val="en-US"/>
        </w:rPr>
        <w:t>points out</w:t>
      </w:r>
      <w:r w:rsidR="005833C9" w:rsidRPr="00D869E3">
        <w:rPr>
          <w:rFonts w:ascii="Verdana" w:hAnsi="Verdana"/>
          <w:sz w:val="20"/>
          <w:szCs w:val="20"/>
          <w:lang w:val="en-US"/>
        </w:rPr>
        <w:t xml:space="preserve"> that although</w:t>
      </w:r>
      <w:r w:rsidR="0088700B" w:rsidRPr="00D869E3">
        <w:rPr>
          <w:rFonts w:ascii="Verdana" w:hAnsi="Verdana"/>
          <w:sz w:val="20"/>
          <w:szCs w:val="20"/>
          <w:lang w:val="en-US"/>
        </w:rPr>
        <w:t xml:space="preserve"> </w:t>
      </w:r>
      <w:r w:rsidRPr="00D869E3">
        <w:rPr>
          <w:rFonts w:ascii="Verdana" w:hAnsi="Verdana"/>
          <w:sz w:val="20"/>
          <w:szCs w:val="20"/>
          <w:lang w:val="en-US"/>
        </w:rPr>
        <w:t>the Commission</w:t>
      </w:r>
      <w:r w:rsidR="005833C9" w:rsidRPr="00D869E3">
        <w:rPr>
          <w:rFonts w:ascii="Verdana" w:hAnsi="Verdana"/>
          <w:sz w:val="20"/>
          <w:szCs w:val="20"/>
          <w:lang w:val="en-US"/>
        </w:rPr>
        <w:t xml:space="preserve"> noted this request in its </w:t>
      </w:r>
      <w:r w:rsidR="00687684" w:rsidRPr="00D869E3">
        <w:rPr>
          <w:rFonts w:ascii="Verdana" w:hAnsi="Verdana"/>
          <w:sz w:val="20"/>
          <w:szCs w:val="20"/>
          <w:lang w:val="en-US"/>
        </w:rPr>
        <w:t>Admissibility Report</w:t>
      </w:r>
      <w:r w:rsidR="0088700B" w:rsidRPr="00D869E3">
        <w:rPr>
          <w:rFonts w:ascii="Verdana" w:hAnsi="Verdana"/>
          <w:sz w:val="20"/>
          <w:szCs w:val="20"/>
          <w:lang w:val="en-US"/>
        </w:rPr>
        <w:t xml:space="preserve"> (</w:t>
      </w:r>
      <w:r w:rsidR="0088700B" w:rsidRPr="00D869E3">
        <w:rPr>
          <w:rFonts w:ascii="Verdana" w:hAnsi="Verdana"/>
          <w:i/>
          <w:sz w:val="20"/>
          <w:szCs w:val="20"/>
          <w:lang w:val="en-US"/>
        </w:rPr>
        <w:t>supra,</w:t>
      </w:r>
      <w:r w:rsidR="0088700B" w:rsidRPr="00D869E3">
        <w:rPr>
          <w:rFonts w:ascii="Verdana" w:hAnsi="Verdana"/>
          <w:sz w:val="20"/>
          <w:szCs w:val="20"/>
          <w:lang w:val="en-US"/>
        </w:rPr>
        <w:t xml:space="preserve"> </w:t>
      </w:r>
      <w:r w:rsidR="0087339F" w:rsidRPr="00D869E3">
        <w:rPr>
          <w:rFonts w:ascii="Verdana" w:hAnsi="Verdana"/>
          <w:sz w:val="20"/>
          <w:szCs w:val="20"/>
          <w:lang w:val="en-US"/>
        </w:rPr>
        <w:t>para.</w:t>
      </w:r>
      <w:r w:rsidR="00587B73" w:rsidRPr="00D869E3">
        <w:rPr>
          <w:rFonts w:ascii="Verdana" w:hAnsi="Verdana"/>
          <w:sz w:val="20"/>
          <w:szCs w:val="20"/>
          <w:lang w:val="en-US"/>
        </w:rPr>
        <w:t xml:space="preserve"> 133</w:t>
      </w:r>
      <w:r w:rsidR="005833C9" w:rsidRPr="00D869E3">
        <w:rPr>
          <w:rFonts w:ascii="Verdana" w:hAnsi="Verdana"/>
          <w:sz w:val="20"/>
          <w:szCs w:val="20"/>
          <w:lang w:val="en-US"/>
        </w:rPr>
        <w:t xml:space="preserve"> (</w:t>
      </w:r>
      <w:r w:rsidR="0088700B" w:rsidRPr="00D869E3">
        <w:rPr>
          <w:rFonts w:ascii="Verdana" w:hAnsi="Verdana"/>
          <w:sz w:val="20"/>
          <w:szCs w:val="20"/>
          <w:lang w:val="en-US"/>
        </w:rPr>
        <w:t>k</w:t>
      </w:r>
      <w:r w:rsidR="005833C9" w:rsidRPr="00D869E3">
        <w:rPr>
          <w:rFonts w:ascii="Verdana" w:hAnsi="Verdana"/>
          <w:sz w:val="20"/>
          <w:szCs w:val="20"/>
          <w:lang w:val="en-US"/>
        </w:rPr>
        <w:t>)</w:t>
      </w:r>
      <w:r w:rsidR="0088700B" w:rsidRPr="00D869E3">
        <w:rPr>
          <w:rFonts w:ascii="Verdana" w:hAnsi="Verdana"/>
          <w:sz w:val="20"/>
          <w:szCs w:val="20"/>
          <w:lang w:val="en-US"/>
        </w:rPr>
        <w:t>)</w:t>
      </w:r>
      <w:r w:rsidR="005833C9" w:rsidRPr="00D869E3">
        <w:rPr>
          <w:rFonts w:ascii="Verdana" w:hAnsi="Verdana"/>
          <w:sz w:val="20"/>
          <w:szCs w:val="20"/>
          <w:lang w:val="en-US"/>
        </w:rPr>
        <w:t xml:space="preserve">, it failed to rule on the alleged right to work and its possible </w:t>
      </w:r>
      <w:r w:rsidR="005833C9" w:rsidRPr="00D869E3">
        <w:rPr>
          <w:rFonts w:ascii="Verdana" w:hAnsi="Verdana"/>
          <w:sz w:val="20"/>
          <w:szCs w:val="20"/>
          <w:lang w:val="en-US"/>
        </w:rPr>
        <w:lastRenderedPageBreak/>
        <w:t xml:space="preserve">admissibility. The Court also notes that, from the early stage, the State was aware of this claim by </w:t>
      </w:r>
      <w:r w:rsidR="00687684" w:rsidRPr="00D869E3">
        <w:rPr>
          <w:rFonts w:ascii="Verdana" w:hAnsi="Verdana"/>
          <w:sz w:val="20"/>
          <w:szCs w:val="20"/>
          <w:lang w:val="en-US"/>
        </w:rPr>
        <w:t>the presumed victim</w:t>
      </w:r>
      <w:r w:rsidR="0088700B" w:rsidRPr="00D869E3">
        <w:rPr>
          <w:rFonts w:ascii="Verdana" w:hAnsi="Verdana"/>
          <w:sz w:val="20"/>
          <w:szCs w:val="20"/>
          <w:lang w:val="en-US"/>
        </w:rPr>
        <w:t xml:space="preserve"> (</w:t>
      </w:r>
      <w:r w:rsidR="0088700B" w:rsidRPr="00D869E3">
        <w:rPr>
          <w:rFonts w:ascii="Verdana" w:hAnsi="Verdana"/>
          <w:i/>
          <w:sz w:val="20"/>
          <w:szCs w:val="20"/>
          <w:lang w:val="en-US"/>
        </w:rPr>
        <w:t>supra</w:t>
      </w:r>
      <w:r w:rsidR="0088700B" w:rsidRPr="00D869E3">
        <w:rPr>
          <w:rFonts w:ascii="Verdana" w:hAnsi="Verdana"/>
          <w:sz w:val="20"/>
          <w:szCs w:val="20"/>
          <w:lang w:val="en-US"/>
        </w:rPr>
        <w:t xml:space="preserve">, </w:t>
      </w:r>
      <w:r w:rsidR="0087339F" w:rsidRPr="00D869E3">
        <w:rPr>
          <w:rFonts w:ascii="Verdana" w:hAnsi="Verdana"/>
          <w:sz w:val="20"/>
          <w:szCs w:val="20"/>
          <w:lang w:val="en-US"/>
        </w:rPr>
        <w:t>para.</w:t>
      </w:r>
      <w:r w:rsidR="00587B73" w:rsidRPr="00D869E3">
        <w:rPr>
          <w:rFonts w:ascii="Verdana" w:hAnsi="Verdana"/>
          <w:sz w:val="20"/>
          <w:szCs w:val="20"/>
          <w:lang w:val="en-US"/>
        </w:rPr>
        <w:t xml:space="preserve"> 133</w:t>
      </w:r>
      <w:r w:rsidR="005833C9" w:rsidRPr="00D869E3">
        <w:rPr>
          <w:rFonts w:ascii="Verdana" w:hAnsi="Verdana"/>
          <w:sz w:val="20"/>
          <w:szCs w:val="20"/>
          <w:lang w:val="en-US"/>
        </w:rPr>
        <w:t>(</w:t>
      </w:r>
      <w:r w:rsidR="0088700B" w:rsidRPr="00D869E3">
        <w:rPr>
          <w:rFonts w:ascii="Verdana" w:hAnsi="Verdana"/>
          <w:sz w:val="20"/>
          <w:szCs w:val="20"/>
          <w:lang w:val="en-US"/>
        </w:rPr>
        <w:t>i</w:t>
      </w:r>
      <w:r w:rsidR="005833C9" w:rsidRPr="00D869E3">
        <w:rPr>
          <w:rFonts w:ascii="Verdana" w:hAnsi="Verdana"/>
          <w:sz w:val="20"/>
          <w:szCs w:val="20"/>
          <w:lang w:val="en-US"/>
        </w:rPr>
        <w:t>)</w:t>
      </w:r>
      <w:r w:rsidR="0088700B" w:rsidRPr="00D869E3">
        <w:rPr>
          <w:rFonts w:ascii="Verdana" w:hAnsi="Verdana"/>
          <w:sz w:val="20"/>
          <w:szCs w:val="20"/>
          <w:lang w:val="en-US"/>
        </w:rPr>
        <w:t xml:space="preserve">), </w:t>
      </w:r>
      <w:r w:rsidR="005833C9" w:rsidRPr="00D869E3">
        <w:rPr>
          <w:rFonts w:ascii="Verdana" w:hAnsi="Verdana"/>
          <w:sz w:val="20"/>
          <w:szCs w:val="20"/>
          <w:lang w:val="en-US"/>
        </w:rPr>
        <w:t xml:space="preserve">which is also evident in the factual framework presented by </w:t>
      </w:r>
      <w:r w:rsidRPr="00D869E3">
        <w:rPr>
          <w:rFonts w:ascii="Verdana" w:hAnsi="Verdana"/>
          <w:sz w:val="20"/>
          <w:szCs w:val="20"/>
          <w:lang w:val="en-US"/>
        </w:rPr>
        <w:t>the Commission</w:t>
      </w:r>
      <w:r w:rsidR="0088700B" w:rsidRPr="00D869E3">
        <w:rPr>
          <w:rFonts w:ascii="Verdana" w:hAnsi="Verdana"/>
          <w:sz w:val="20"/>
          <w:szCs w:val="20"/>
          <w:lang w:val="en-US"/>
        </w:rPr>
        <w:t xml:space="preserve">. </w:t>
      </w:r>
    </w:p>
    <w:p w14:paraId="0047F997" w14:textId="77777777" w:rsidR="0088700B" w:rsidRPr="00D869E3" w:rsidRDefault="0088700B" w:rsidP="0088700B">
      <w:pPr>
        <w:contextualSpacing/>
        <w:jc w:val="both"/>
        <w:rPr>
          <w:rFonts w:ascii="Verdana" w:hAnsi="Verdana"/>
          <w:sz w:val="20"/>
          <w:szCs w:val="20"/>
          <w:lang w:val="en-US"/>
        </w:rPr>
      </w:pPr>
    </w:p>
    <w:p w14:paraId="643EB4E0" w14:textId="4F7FFE5C" w:rsidR="0088700B" w:rsidRPr="00D869E3" w:rsidRDefault="00075E68"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88700B" w:rsidRPr="00D869E3">
        <w:rPr>
          <w:rFonts w:ascii="Verdana" w:hAnsi="Verdana"/>
          <w:sz w:val="20"/>
          <w:szCs w:val="20"/>
          <w:lang w:val="en-US"/>
        </w:rPr>
        <w:t xml:space="preserve">, </w:t>
      </w:r>
      <w:r w:rsidR="00447C65" w:rsidRPr="00D869E3">
        <w:rPr>
          <w:rFonts w:ascii="Verdana" w:hAnsi="Verdana"/>
          <w:sz w:val="20"/>
          <w:szCs w:val="20"/>
          <w:lang w:val="en-US"/>
        </w:rPr>
        <w:t>the State</w:t>
      </w:r>
      <w:r w:rsidR="0088700B" w:rsidRPr="00D869E3">
        <w:rPr>
          <w:rFonts w:ascii="Verdana" w:hAnsi="Verdana"/>
          <w:sz w:val="20"/>
          <w:szCs w:val="20"/>
          <w:lang w:val="en-US"/>
        </w:rPr>
        <w:t xml:space="preserve"> </w:t>
      </w:r>
      <w:r w:rsidR="005833C9" w:rsidRPr="00D869E3">
        <w:rPr>
          <w:rFonts w:ascii="Verdana" w:hAnsi="Verdana"/>
          <w:sz w:val="20"/>
          <w:szCs w:val="20"/>
          <w:lang w:val="en-US"/>
        </w:rPr>
        <w:t>expressly indicated</w:t>
      </w:r>
      <w:r w:rsidR="00966115" w:rsidRPr="00D869E3">
        <w:rPr>
          <w:rFonts w:ascii="Verdana" w:hAnsi="Verdana"/>
          <w:sz w:val="20"/>
          <w:szCs w:val="20"/>
          <w:lang w:val="en-US"/>
        </w:rPr>
        <w:t xml:space="preserve"> before the</w:t>
      </w:r>
      <w:r w:rsidR="00447C65" w:rsidRPr="00D869E3">
        <w:rPr>
          <w:rFonts w:ascii="Verdana" w:hAnsi="Verdana"/>
          <w:sz w:val="20"/>
          <w:szCs w:val="20"/>
          <w:lang w:val="en-US"/>
        </w:rPr>
        <w:t xml:space="preserve"> Court</w:t>
      </w:r>
      <w:r w:rsidR="0088700B" w:rsidRPr="00D869E3">
        <w:rPr>
          <w:rFonts w:ascii="Verdana" w:hAnsi="Verdana"/>
          <w:sz w:val="20"/>
          <w:szCs w:val="20"/>
          <w:lang w:val="en-US"/>
        </w:rPr>
        <w:t xml:space="preserve"> </w:t>
      </w:r>
      <w:r w:rsidR="005833C9" w:rsidRPr="00D869E3">
        <w:rPr>
          <w:rFonts w:ascii="Verdana" w:hAnsi="Verdana"/>
          <w:sz w:val="20"/>
          <w:szCs w:val="20"/>
          <w:lang w:val="en-US"/>
        </w:rPr>
        <w:t>that</w:t>
      </w:r>
      <w:r w:rsidR="0088700B" w:rsidRPr="00D869E3">
        <w:rPr>
          <w:rFonts w:ascii="Verdana" w:hAnsi="Verdana"/>
          <w:sz w:val="20"/>
          <w:szCs w:val="20"/>
          <w:lang w:val="en-US"/>
        </w:rPr>
        <w:t xml:space="preserve">: </w:t>
      </w:r>
    </w:p>
    <w:p w14:paraId="54ADD6DB" w14:textId="77777777" w:rsidR="0088700B" w:rsidRPr="00D869E3" w:rsidRDefault="0088700B" w:rsidP="0088700B">
      <w:pPr>
        <w:contextualSpacing/>
        <w:jc w:val="both"/>
        <w:rPr>
          <w:rFonts w:ascii="Verdana" w:hAnsi="Verdana"/>
          <w:sz w:val="20"/>
          <w:szCs w:val="20"/>
          <w:lang w:val="en-US"/>
        </w:rPr>
      </w:pPr>
    </w:p>
    <w:p w14:paraId="2C1883D9" w14:textId="75FF4134" w:rsidR="0088700B" w:rsidRPr="00D869E3" w:rsidRDefault="0088700B" w:rsidP="00595D0B">
      <w:pPr>
        <w:ind w:left="720" w:right="476"/>
        <w:contextualSpacing/>
        <w:jc w:val="both"/>
        <w:rPr>
          <w:rFonts w:ascii="Verdana" w:hAnsi="Verdana"/>
          <w:sz w:val="18"/>
          <w:szCs w:val="20"/>
          <w:lang w:val="en-US"/>
        </w:rPr>
      </w:pPr>
      <w:r w:rsidRPr="00D869E3">
        <w:rPr>
          <w:rFonts w:ascii="Verdana" w:hAnsi="Verdana"/>
          <w:sz w:val="18"/>
          <w:szCs w:val="20"/>
          <w:lang w:val="en-US"/>
        </w:rPr>
        <w:t xml:space="preserve"> </w:t>
      </w:r>
      <w:r w:rsidR="006436CA" w:rsidRPr="00D869E3">
        <w:rPr>
          <w:rFonts w:ascii="Verdana" w:hAnsi="Verdana"/>
          <w:sz w:val="18"/>
          <w:szCs w:val="20"/>
          <w:lang w:val="en-US"/>
        </w:rPr>
        <w:t>“</w:t>
      </w:r>
      <w:r w:rsidR="005833C9" w:rsidRPr="00D869E3">
        <w:rPr>
          <w:rFonts w:ascii="Verdana" w:hAnsi="Verdana"/>
          <w:sz w:val="18"/>
          <w:szCs w:val="20"/>
          <w:lang w:val="en-US"/>
        </w:rPr>
        <w:t xml:space="preserve">The whole dispute [is] centered on </w:t>
      </w:r>
      <w:r w:rsidR="00E6309B" w:rsidRPr="00D869E3">
        <w:rPr>
          <w:rFonts w:ascii="Verdana" w:hAnsi="Verdana"/>
          <w:sz w:val="18"/>
          <w:szCs w:val="20"/>
          <w:lang w:val="en-US"/>
        </w:rPr>
        <w:t>Mr.</w:t>
      </w:r>
      <w:r w:rsidR="001E44D3" w:rsidRPr="00D869E3">
        <w:rPr>
          <w:rFonts w:ascii="Verdana" w:hAnsi="Verdana"/>
          <w:sz w:val="18"/>
          <w:szCs w:val="20"/>
          <w:lang w:val="en-US"/>
        </w:rPr>
        <w:t xml:space="preserve"> Lagos del Campo</w:t>
      </w:r>
      <w:r w:rsidR="005833C9" w:rsidRPr="00D869E3">
        <w:rPr>
          <w:rFonts w:ascii="Verdana" w:hAnsi="Verdana"/>
          <w:sz w:val="18"/>
          <w:szCs w:val="20"/>
          <w:lang w:val="en-US"/>
        </w:rPr>
        <w:t>’s dismissal by</w:t>
      </w:r>
      <w:r w:rsidRPr="00D869E3">
        <w:rPr>
          <w:rFonts w:ascii="Verdana" w:hAnsi="Verdana"/>
          <w:sz w:val="18"/>
          <w:szCs w:val="20"/>
          <w:lang w:val="en-US"/>
        </w:rPr>
        <w:t xml:space="preserve"> Ceper-Pirelli, </w:t>
      </w:r>
      <w:r w:rsidR="005833C9" w:rsidRPr="00D869E3">
        <w:rPr>
          <w:rFonts w:ascii="Verdana" w:hAnsi="Verdana"/>
          <w:sz w:val="18"/>
          <w:szCs w:val="20"/>
          <w:lang w:val="en-US"/>
        </w:rPr>
        <w:t>becau</w:t>
      </w:r>
      <w:r w:rsidR="00595D0B" w:rsidRPr="00D869E3">
        <w:rPr>
          <w:rFonts w:ascii="Verdana" w:hAnsi="Verdana"/>
          <w:sz w:val="18"/>
          <w:szCs w:val="20"/>
          <w:lang w:val="en-US"/>
        </w:rPr>
        <w:t>s</w:t>
      </w:r>
      <w:r w:rsidR="005833C9" w:rsidRPr="00D869E3">
        <w:rPr>
          <w:rFonts w:ascii="Verdana" w:hAnsi="Verdana"/>
          <w:sz w:val="18"/>
          <w:szCs w:val="20"/>
          <w:lang w:val="en-US"/>
        </w:rPr>
        <w:t>e he committed an offense that was established in a</w:t>
      </w:r>
      <w:r w:rsidR="00447C65" w:rsidRPr="00D869E3">
        <w:rPr>
          <w:rFonts w:ascii="Verdana" w:hAnsi="Verdana"/>
          <w:sz w:val="18"/>
          <w:szCs w:val="20"/>
          <w:lang w:val="en-US"/>
        </w:rPr>
        <w:t>rticle</w:t>
      </w:r>
      <w:r w:rsidRPr="00D869E3">
        <w:rPr>
          <w:rFonts w:ascii="Verdana" w:hAnsi="Verdana"/>
          <w:sz w:val="18"/>
          <w:szCs w:val="20"/>
          <w:lang w:val="en-US"/>
        </w:rPr>
        <w:t xml:space="preserve"> 5</w:t>
      </w:r>
      <w:r w:rsidR="005833C9" w:rsidRPr="00D869E3">
        <w:rPr>
          <w:rFonts w:ascii="Verdana" w:hAnsi="Verdana"/>
          <w:sz w:val="18"/>
          <w:szCs w:val="20"/>
          <w:lang w:val="en-US"/>
        </w:rPr>
        <w:t>(</w:t>
      </w:r>
      <w:r w:rsidRPr="00D869E3">
        <w:rPr>
          <w:rFonts w:ascii="Verdana" w:hAnsi="Verdana"/>
          <w:sz w:val="18"/>
          <w:szCs w:val="20"/>
          <w:lang w:val="en-US"/>
        </w:rPr>
        <w:t>a)</w:t>
      </w:r>
      <w:r w:rsidR="00687684" w:rsidRPr="00D869E3">
        <w:rPr>
          <w:rFonts w:ascii="Verdana" w:hAnsi="Verdana"/>
          <w:sz w:val="18"/>
          <w:szCs w:val="20"/>
          <w:lang w:val="en-US"/>
        </w:rPr>
        <w:t xml:space="preserve"> and </w:t>
      </w:r>
      <w:r w:rsidR="005833C9" w:rsidRPr="00D869E3">
        <w:rPr>
          <w:rFonts w:ascii="Verdana" w:hAnsi="Verdana"/>
          <w:sz w:val="18"/>
          <w:szCs w:val="20"/>
          <w:lang w:val="en-US"/>
        </w:rPr>
        <w:t>(</w:t>
      </w:r>
      <w:r w:rsidRPr="00D869E3">
        <w:rPr>
          <w:rFonts w:ascii="Verdana" w:hAnsi="Verdana"/>
          <w:sz w:val="18"/>
          <w:szCs w:val="20"/>
          <w:lang w:val="en-US"/>
        </w:rPr>
        <w:t xml:space="preserve">h) </w:t>
      </w:r>
      <w:r w:rsidR="005833C9" w:rsidRPr="00D869E3">
        <w:rPr>
          <w:rFonts w:ascii="Verdana" w:hAnsi="Verdana"/>
          <w:sz w:val="18"/>
          <w:szCs w:val="20"/>
          <w:lang w:val="en-US"/>
        </w:rPr>
        <w:t>of</w:t>
      </w:r>
      <w:r w:rsidRPr="00D869E3">
        <w:rPr>
          <w:rFonts w:ascii="Verdana" w:hAnsi="Verdana"/>
          <w:sz w:val="18"/>
          <w:szCs w:val="20"/>
          <w:lang w:val="en-US"/>
        </w:rPr>
        <w:t xml:space="preserve"> </w:t>
      </w:r>
      <w:r w:rsidR="00852CCA" w:rsidRPr="00D869E3">
        <w:rPr>
          <w:rFonts w:ascii="Verdana" w:hAnsi="Verdana"/>
          <w:sz w:val="18"/>
          <w:szCs w:val="20"/>
          <w:lang w:val="en-US"/>
        </w:rPr>
        <w:t>Law</w:t>
      </w:r>
      <w:r w:rsidRPr="00D869E3">
        <w:rPr>
          <w:rFonts w:ascii="Verdana" w:hAnsi="Verdana"/>
          <w:sz w:val="18"/>
          <w:szCs w:val="20"/>
          <w:lang w:val="en-US"/>
        </w:rPr>
        <w:t xml:space="preserve"> </w:t>
      </w:r>
      <w:r w:rsidR="005833C9" w:rsidRPr="00D869E3">
        <w:rPr>
          <w:rFonts w:ascii="Verdana" w:hAnsi="Verdana"/>
          <w:sz w:val="18"/>
          <w:szCs w:val="20"/>
          <w:lang w:val="en-US"/>
        </w:rPr>
        <w:t>No.</w:t>
      </w:r>
      <w:r w:rsidRPr="00D869E3">
        <w:rPr>
          <w:rFonts w:ascii="Verdana" w:hAnsi="Verdana"/>
          <w:sz w:val="18"/>
          <w:szCs w:val="20"/>
          <w:lang w:val="en-US"/>
        </w:rPr>
        <w:t xml:space="preserve"> 24514 – </w:t>
      </w:r>
      <w:r w:rsidR="004806A6" w:rsidRPr="00D869E3">
        <w:rPr>
          <w:rFonts w:ascii="Verdana" w:hAnsi="Verdana"/>
          <w:sz w:val="18"/>
          <w:szCs w:val="20"/>
          <w:lang w:val="en-US"/>
        </w:rPr>
        <w:t xml:space="preserve">the law that regulates the right to job security” </w:t>
      </w:r>
      <w:r w:rsidRPr="00D869E3">
        <w:rPr>
          <w:rFonts w:ascii="Verdana" w:hAnsi="Verdana"/>
          <w:sz w:val="18"/>
          <w:szCs w:val="20"/>
          <w:lang w:val="en-US"/>
        </w:rPr>
        <w:t>(</w:t>
      </w:r>
      <w:r w:rsidR="00A674A7" w:rsidRPr="00D869E3">
        <w:rPr>
          <w:rFonts w:ascii="Verdana" w:hAnsi="Verdana"/>
          <w:sz w:val="18"/>
          <w:szCs w:val="20"/>
          <w:lang w:val="en-US"/>
        </w:rPr>
        <w:t>merits</w:t>
      </w:r>
      <w:r w:rsidR="004806A6" w:rsidRPr="00D869E3">
        <w:rPr>
          <w:rFonts w:ascii="Verdana" w:hAnsi="Verdana"/>
          <w:sz w:val="18"/>
          <w:szCs w:val="20"/>
          <w:lang w:val="en-US"/>
        </w:rPr>
        <w:t xml:space="preserve"> file</w:t>
      </w:r>
      <w:r w:rsidRPr="00D869E3">
        <w:rPr>
          <w:rFonts w:ascii="Verdana" w:hAnsi="Verdana"/>
          <w:sz w:val="18"/>
          <w:szCs w:val="20"/>
          <w:lang w:val="en-US"/>
        </w:rPr>
        <w:t>, f</w:t>
      </w:r>
      <w:r w:rsidR="00DE5D83" w:rsidRPr="00D869E3">
        <w:rPr>
          <w:rFonts w:ascii="Verdana" w:hAnsi="Verdana"/>
          <w:sz w:val="18"/>
          <w:szCs w:val="20"/>
          <w:lang w:val="en-US"/>
        </w:rPr>
        <w:t>olio</w:t>
      </w:r>
      <w:r w:rsidRPr="00D869E3">
        <w:rPr>
          <w:rFonts w:ascii="Verdana" w:hAnsi="Verdana"/>
          <w:sz w:val="18"/>
          <w:szCs w:val="20"/>
          <w:lang w:val="en-US"/>
        </w:rPr>
        <w:t xml:space="preserve"> 224). </w:t>
      </w:r>
      <w:r w:rsidR="004806A6" w:rsidRPr="00D869E3">
        <w:rPr>
          <w:rFonts w:ascii="Verdana" w:hAnsi="Verdana"/>
          <w:color w:val="000000"/>
          <w:sz w:val="18"/>
          <w:szCs w:val="20"/>
          <w:lang w:val="en-US"/>
        </w:rPr>
        <w:t>During the</w:t>
      </w:r>
      <w:r w:rsidRPr="00D869E3">
        <w:rPr>
          <w:rFonts w:ascii="Verdana" w:hAnsi="Verdana"/>
          <w:color w:val="000000"/>
          <w:sz w:val="18"/>
          <w:szCs w:val="20"/>
          <w:lang w:val="en-US"/>
        </w:rPr>
        <w:t xml:space="preserve"> </w:t>
      </w:r>
      <w:r w:rsidR="001E44D3" w:rsidRPr="00D869E3">
        <w:rPr>
          <w:rFonts w:ascii="Verdana" w:hAnsi="Verdana"/>
          <w:color w:val="000000"/>
          <w:sz w:val="18"/>
          <w:szCs w:val="20"/>
          <w:lang w:val="en-US"/>
        </w:rPr>
        <w:t>public hearing</w:t>
      </w:r>
      <w:r w:rsidRPr="00D869E3">
        <w:rPr>
          <w:rFonts w:ascii="Verdana" w:hAnsi="Verdana"/>
          <w:color w:val="000000"/>
          <w:sz w:val="18"/>
          <w:szCs w:val="20"/>
          <w:lang w:val="en-US"/>
        </w:rPr>
        <w:t xml:space="preserve">, </w:t>
      </w:r>
      <w:r w:rsidR="00447C65" w:rsidRPr="00D869E3">
        <w:rPr>
          <w:rFonts w:ascii="Verdana" w:hAnsi="Verdana"/>
          <w:color w:val="000000"/>
          <w:sz w:val="18"/>
          <w:szCs w:val="20"/>
          <w:lang w:val="en-US"/>
        </w:rPr>
        <w:t>the State</w:t>
      </w:r>
      <w:r w:rsidRPr="00D869E3">
        <w:rPr>
          <w:rFonts w:ascii="Verdana" w:hAnsi="Verdana"/>
          <w:color w:val="000000"/>
          <w:sz w:val="18"/>
          <w:szCs w:val="20"/>
          <w:lang w:val="en-US"/>
        </w:rPr>
        <w:t xml:space="preserve"> consider</w:t>
      </w:r>
      <w:r w:rsidR="004806A6" w:rsidRPr="00D869E3">
        <w:rPr>
          <w:rFonts w:ascii="Verdana" w:hAnsi="Verdana"/>
          <w:color w:val="000000"/>
          <w:sz w:val="18"/>
          <w:szCs w:val="20"/>
          <w:lang w:val="en-US"/>
        </w:rPr>
        <w:t xml:space="preserve">ed that the case related to a context in which </w:t>
      </w:r>
      <w:r w:rsidR="00595D0B" w:rsidRPr="00D869E3">
        <w:rPr>
          <w:rFonts w:ascii="Verdana" w:hAnsi="Verdana"/>
          <w:color w:val="000000"/>
          <w:sz w:val="18"/>
          <w:szCs w:val="20"/>
          <w:lang w:val="en-US"/>
        </w:rPr>
        <w:t>the</w:t>
      </w:r>
      <w:r w:rsidR="004806A6" w:rsidRPr="00D869E3">
        <w:rPr>
          <w:rFonts w:ascii="Verdana" w:hAnsi="Verdana"/>
          <w:color w:val="000000"/>
          <w:sz w:val="18"/>
          <w:szCs w:val="20"/>
          <w:lang w:val="en-US"/>
        </w:rPr>
        <w:t xml:space="preserve"> “labor </w:t>
      </w:r>
      <w:r w:rsidR="00595D0B" w:rsidRPr="00D869E3">
        <w:rPr>
          <w:rFonts w:ascii="Verdana" w:hAnsi="Verdana"/>
          <w:color w:val="000000"/>
          <w:sz w:val="18"/>
          <w:szCs w:val="20"/>
          <w:lang w:val="en-US"/>
        </w:rPr>
        <w:t>laws were</w:t>
      </w:r>
      <w:r w:rsidR="004806A6" w:rsidRPr="00D869E3">
        <w:rPr>
          <w:rFonts w:ascii="Verdana" w:hAnsi="Verdana"/>
          <w:color w:val="000000"/>
          <w:sz w:val="18"/>
          <w:szCs w:val="20"/>
          <w:lang w:val="en-US"/>
        </w:rPr>
        <w:t xml:space="preserve"> highly protective of the worker,” because “</w:t>
      </w:r>
      <w:r w:rsidR="00595D0B" w:rsidRPr="00D869E3">
        <w:rPr>
          <w:rFonts w:ascii="Verdana" w:hAnsi="Verdana"/>
          <w:color w:val="000000"/>
          <w:sz w:val="18"/>
          <w:szCs w:val="20"/>
          <w:lang w:val="en-US"/>
        </w:rPr>
        <w:t>they</w:t>
      </w:r>
      <w:r w:rsidR="004806A6" w:rsidRPr="00D869E3">
        <w:rPr>
          <w:rFonts w:ascii="Verdana" w:hAnsi="Verdana"/>
          <w:color w:val="000000"/>
          <w:sz w:val="18"/>
          <w:szCs w:val="20"/>
          <w:lang w:val="en-US"/>
        </w:rPr>
        <w:t xml:space="preserve"> provided a legal means of absolute protection of the workers’ </w:t>
      </w:r>
      <w:r w:rsidR="00065A47" w:rsidRPr="00D869E3">
        <w:rPr>
          <w:rFonts w:ascii="Verdana" w:hAnsi="Verdana"/>
          <w:color w:val="000000"/>
          <w:sz w:val="18"/>
          <w:szCs w:val="20"/>
          <w:lang w:val="en-US"/>
        </w:rPr>
        <w:t>job security</w:t>
      </w:r>
      <w:r w:rsidR="004806A6" w:rsidRPr="00D869E3">
        <w:rPr>
          <w:rFonts w:ascii="Verdana" w:hAnsi="Verdana"/>
          <w:color w:val="000000"/>
          <w:sz w:val="18"/>
          <w:szCs w:val="20"/>
          <w:lang w:val="en-US"/>
        </w:rPr>
        <w:t>.”</w:t>
      </w:r>
    </w:p>
    <w:p w14:paraId="4386F213" w14:textId="77777777" w:rsidR="0088700B" w:rsidRPr="00D869E3" w:rsidRDefault="0088700B" w:rsidP="0088700B">
      <w:pPr>
        <w:contextualSpacing/>
        <w:jc w:val="both"/>
        <w:rPr>
          <w:rFonts w:ascii="Verdana" w:hAnsi="Verdana"/>
          <w:sz w:val="20"/>
          <w:szCs w:val="20"/>
          <w:lang w:val="en-US"/>
        </w:rPr>
      </w:pPr>
    </w:p>
    <w:p w14:paraId="2B019F5E" w14:textId="51AC1E93" w:rsidR="0088700B" w:rsidRPr="00D869E3" w:rsidRDefault="004806A6"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Consequently, the Court notes that the facts corresponding to the dismissal </w:t>
      </w:r>
      <w:r w:rsidR="00E6309B"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88700B" w:rsidRPr="00D869E3">
        <w:rPr>
          <w:rFonts w:ascii="Verdana" w:hAnsi="Verdana"/>
          <w:sz w:val="20"/>
          <w:szCs w:val="20"/>
          <w:lang w:val="en-US"/>
        </w:rPr>
        <w:t xml:space="preserve"> ha</w:t>
      </w:r>
      <w:r w:rsidRPr="00D869E3">
        <w:rPr>
          <w:rFonts w:ascii="Verdana" w:hAnsi="Verdana"/>
          <w:sz w:val="20"/>
          <w:szCs w:val="20"/>
          <w:lang w:val="en-US"/>
        </w:rPr>
        <w:t>ve constantly been aired before the domestic judicial instances,</w:t>
      </w:r>
      <w:r w:rsidR="0088700B" w:rsidRPr="00D869E3">
        <w:rPr>
          <w:rStyle w:val="Refdenotaalpie"/>
          <w:szCs w:val="20"/>
          <w:lang w:val="en-US"/>
        </w:rPr>
        <w:footnoteReference w:id="183"/>
      </w:r>
      <w:r w:rsidRPr="00D869E3">
        <w:rPr>
          <w:rFonts w:ascii="Verdana" w:hAnsi="Verdana"/>
          <w:sz w:val="20"/>
          <w:szCs w:val="20"/>
          <w:lang w:val="en-US"/>
        </w:rPr>
        <w:t xml:space="preserve"> and also in the proceedings </w:t>
      </w:r>
      <w:r w:rsidR="00966115" w:rsidRPr="00D869E3">
        <w:rPr>
          <w:rFonts w:ascii="Verdana" w:hAnsi="Verdana"/>
          <w:sz w:val="20"/>
          <w:szCs w:val="20"/>
          <w:lang w:val="en-US"/>
        </w:rPr>
        <w:t>before the</w:t>
      </w:r>
      <w:r w:rsidR="00671B14" w:rsidRPr="00D869E3">
        <w:rPr>
          <w:rFonts w:ascii="Verdana" w:hAnsi="Verdana"/>
          <w:sz w:val="20"/>
          <w:szCs w:val="20"/>
          <w:lang w:val="en-US"/>
        </w:rPr>
        <w:t xml:space="preserve"> inter-American system</w:t>
      </w:r>
      <w:r w:rsidR="0088700B" w:rsidRPr="00D869E3">
        <w:rPr>
          <w:rStyle w:val="Refdenotaalpie"/>
          <w:szCs w:val="20"/>
          <w:lang w:val="en-US"/>
        </w:rPr>
        <w:footnoteReference w:id="184"/>
      </w:r>
      <w:r w:rsidR="000909C0" w:rsidRPr="00D869E3">
        <w:rPr>
          <w:rFonts w:ascii="Verdana" w:hAnsi="Verdana"/>
          <w:sz w:val="20"/>
          <w:szCs w:val="20"/>
          <w:lang w:val="en-US"/>
        </w:rPr>
        <w:t xml:space="preserve"> (</w:t>
      </w:r>
      <w:r w:rsidR="000909C0" w:rsidRPr="00D869E3">
        <w:rPr>
          <w:rFonts w:ascii="Verdana" w:hAnsi="Verdana"/>
          <w:i/>
          <w:sz w:val="20"/>
          <w:szCs w:val="20"/>
          <w:lang w:val="en-US"/>
        </w:rPr>
        <w:t>supra</w:t>
      </w:r>
      <w:r w:rsidR="000909C0" w:rsidRPr="00D869E3">
        <w:rPr>
          <w:rFonts w:ascii="Verdana" w:hAnsi="Verdana"/>
          <w:sz w:val="20"/>
          <w:szCs w:val="20"/>
          <w:lang w:val="en-US"/>
        </w:rPr>
        <w:t xml:space="preserve">, </w:t>
      </w:r>
      <w:r w:rsidR="0087339F" w:rsidRPr="00D869E3">
        <w:rPr>
          <w:rFonts w:ascii="Verdana" w:hAnsi="Verdana"/>
          <w:sz w:val="20"/>
          <w:szCs w:val="20"/>
          <w:lang w:val="en-US"/>
        </w:rPr>
        <w:t>para.</w:t>
      </w:r>
      <w:r w:rsidR="000909C0" w:rsidRPr="00D869E3">
        <w:rPr>
          <w:rFonts w:ascii="Verdana" w:hAnsi="Verdana"/>
          <w:sz w:val="20"/>
          <w:szCs w:val="20"/>
          <w:lang w:val="en-US"/>
        </w:rPr>
        <w:t xml:space="preserve"> 133)</w:t>
      </w:r>
      <w:r w:rsidRPr="00D869E3">
        <w:rPr>
          <w:rFonts w:ascii="Verdana" w:hAnsi="Verdana"/>
          <w:sz w:val="20"/>
          <w:szCs w:val="20"/>
          <w:lang w:val="en-US"/>
        </w:rPr>
        <w:t xml:space="preserve">. Moreover, the argument on the right to work was repeatedly substantiated by the petitioner as of the initial procedural stages </w:t>
      </w:r>
      <w:r w:rsidR="00966115" w:rsidRPr="00D869E3">
        <w:rPr>
          <w:rFonts w:ascii="Verdana" w:hAnsi="Verdana"/>
          <w:sz w:val="20"/>
          <w:szCs w:val="20"/>
          <w:lang w:val="en-US"/>
        </w:rPr>
        <w:t>before the</w:t>
      </w:r>
      <w:r w:rsidR="00447C65" w:rsidRPr="00D869E3">
        <w:rPr>
          <w:rFonts w:ascii="Verdana" w:hAnsi="Verdana"/>
          <w:sz w:val="20"/>
          <w:szCs w:val="20"/>
          <w:lang w:val="en-US"/>
        </w:rPr>
        <w:t xml:space="preserve"> Commission</w:t>
      </w:r>
      <w:r w:rsidR="0088700B"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88700B" w:rsidRPr="00D869E3">
        <w:rPr>
          <w:rFonts w:ascii="Verdana" w:hAnsi="Verdana"/>
          <w:sz w:val="20"/>
          <w:szCs w:val="20"/>
          <w:lang w:val="en-US"/>
        </w:rPr>
        <w:t xml:space="preserve">, </w:t>
      </w:r>
      <w:r w:rsidRPr="00D869E3">
        <w:rPr>
          <w:rFonts w:ascii="Verdana" w:hAnsi="Verdana"/>
          <w:sz w:val="20"/>
          <w:szCs w:val="20"/>
          <w:lang w:val="en-US"/>
        </w:rPr>
        <w:t>the parties have had abundant possibilities of referring to the scope of the rights involved in the facts analyzed.</w:t>
      </w:r>
      <w:r w:rsidR="0088700B" w:rsidRPr="00D869E3">
        <w:rPr>
          <w:rFonts w:ascii="Verdana" w:hAnsi="Verdana"/>
          <w:sz w:val="20"/>
          <w:szCs w:val="20"/>
          <w:vertAlign w:val="superscript"/>
          <w:lang w:val="en-US"/>
        </w:rPr>
        <w:footnoteReference w:id="185"/>
      </w:r>
      <w:r w:rsidR="0088700B" w:rsidRPr="00D869E3">
        <w:rPr>
          <w:rFonts w:ascii="Verdana" w:hAnsi="Verdana"/>
          <w:sz w:val="20"/>
          <w:szCs w:val="20"/>
          <w:lang w:val="en-US"/>
        </w:rPr>
        <w:t xml:space="preserve"> </w:t>
      </w:r>
    </w:p>
    <w:p w14:paraId="784B922A" w14:textId="77777777" w:rsidR="0088700B" w:rsidRPr="00D869E3" w:rsidRDefault="0088700B" w:rsidP="0088700B">
      <w:pPr>
        <w:contextualSpacing/>
        <w:jc w:val="both"/>
        <w:rPr>
          <w:rFonts w:ascii="Verdana" w:hAnsi="Verdana"/>
          <w:b/>
          <w:color w:val="800000"/>
          <w:sz w:val="20"/>
          <w:szCs w:val="20"/>
          <w:lang w:val="en-US"/>
        </w:rPr>
      </w:pPr>
    </w:p>
    <w:p w14:paraId="7FAAFD35" w14:textId="3222669B" w:rsidR="00032FC5" w:rsidRPr="00D869E3" w:rsidRDefault="00636C30"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addition</w:t>
      </w:r>
      <w:r w:rsidR="0088700B" w:rsidRPr="00D869E3">
        <w:rPr>
          <w:rFonts w:ascii="Verdana" w:hAnsi="Verdana"/>
          <w:sz w:val="20"/>
          <w:szCs w:val="20"/>
          <w:lang w:val="en-US"/>
        </w:rPr>
        <w:t xml:space="preserve">, </w:t>
      </w:r>
      <w:r w:rsidR="00447C65" w:rsidRPr="00D869E3">
        <w:rPr>
          <w:rFonts w:ascii="Verdana" w:hAnsi="Verdana"/>
          <w:sz w:val="20"/>
          <w:szCs w:val="20"/>
          <w:lang w:val="en-US"/>
        </w:rPr>
        <w:t>the Court</w:t>
      </w:r>
      <w:r w:rsidR="0088700B" w:rsidRPr="00D869E3">
        <w:rPr>
          <w:rFonts w:ascii="Verdana" w:hAnsi="Verdana"/>
          <w:sz w:val="20"/>
          <w:szCs w:val="20"/>
          <w:lang w:val="en-US"/>
        </w:rPr>
        <w:t xml:space="preserve"> not</w:t>
      </w:r>
      <w:r w:rsidRPr="00D869E3">
        <w:rPr>
          <w:rFonts w:ascii="Verdana" w:hAnsi="Verdana"/>
          <w:sz w:val="20"/>
          <w:szCs w:val="20"/>
          <w:lang w:val="en-US"/>
        </w:rPr>
        <w:t xml:space="preserve">es that both the </w:t>
      </w:r>
      <w:r w:rsidR="003531AF" w:rsidRPr="00D869E3">
        <w:rPr>
          <w:rFonts w:ascii="Verdana" w:hAnsi="Verdana" w:cs="Arial Narrow"/>
          <w:color w:val="000000"/>
          <w:sz w:val="20"/>
          <w:szCs w:val="20"/>
          <w:lang w:val="en-US" w:eastAsia="es-MX"/>
        </w:rPr>
        <w:t xml:space="preserve">1979 </w:t>
      </w:r>
      <w:r w:rsidRPr="00D869E3">
        <w:rPr>
          <w:rFonts w:ascii="Verdana" w:hAnsi="Verdana" w:cs="Arial Narrow"/>
          <w:color w:val="000000"/>
          <w:sz w:val="20"/>
          <w:szCs w:val="20"/>
          <w:lang w:val="en-US" w:eastAsia="es-MX"/>
        </w:rPr>
        <w:t xml:space="preserve">and the 1993 </w:t>
      </w:r>
      <w:r w:rsidR="003531AF" w:rsidRPr="00D869E3">
        <w:rPr>
          <w:rFonts w:ascii="Verdana" w:hAnsi="Verdana" w:cs="Arial Narrow"/>
          <w:color w:val="000000"/>
          <w:sz w:val="20"/>
          <w:szCs w:val="20"/>
          <w:lang w:val="en-US" w:eastAsia="es-MX"/>
        </w:rPr>
        <w:t>Constitution</w:t>
      </w:r>
      <w:r w:rsidR="0088700B" w:rsidRPr="00D869E3">
        <w:rPr>
          <w:rFonts w:ascii="Verdana" w:hAnsi="Verdana" w:cs="Arial Narrow"/>
          <w:color w:val="000000"/>
          <w:sz w:val="20"/>
          <w:szCs w:val="20"/>
          <w:lang w:val="en-US" w:eastAsia="es-MX"/>
        </w:rPr>
        <w:t xml:space="preserve"> </w:t>
      </w:r>
      <w:r w:rsidRPr="00D869E3">
        <w:rPr>
          <w:rFonts w:ascii="Verdana" w:hAnsi="Verdana" w:cs="Arial Narrow"/>
          <w:color w:val="000000"/>
          <w:sz w:val="20"/>
          <w:szCs w:val="20"/>
          <w:lang w:val="en-US" w:eastAsia="es-MX"/>
        </w:rPr>
        <w:t>of</w:t>
      </w:r>
      <w:r w:rsidR="0088700B" w:rsidRPr="00D869E3">
        <w:rPr>
          <w:rFonts w:ascii="Verdana" w:hAnsi="Verdana" w:cs="Arial Narrow"/>
          <w:color w:val="000000"/>
          <w:sz w:val="20"/>
          <w:szCs w:val="20"/>
          <w:lang w:val="en-US" w:eastAsia="es-MX"/>
        </w:rPr>
        <w:t xml:space="preserve"> </w:t>
      </w:r>
      <w:r w:rsidR="00447C65" w:rsidRPr="00D869E3">
        <w:rPr>
          <w:rFonts w:ascii="Verdana" w:hAnsi="Verdana" w:cs="Arial Narrow"/>
          <w:color w:val="000000"/>
          <w:sz w:val="20"/>
          <w:szCs w:val="20"/>
          <w:lang w:val="en-US" w:eastAsia="es-MX"/>
        </w:rPr>
        <w:t>Peru</w:t>
      </w:r>
      <w:r w:rsidR="0088700B" w:rsidRPr="00D869E3">
        <w:rPr>
          <w:rFonts w:ascii="Verdana" w:hAnsi="Verdana" w:cs="Arial Narrow"/>
          <w:color w:val="000000"/>
          <w:sz w:val="20"/>
          <w:szCs w:val="20"/>
          <w:lang w:val="en-US" w:eastAsia="es-MX"/>
        </w:rPr>
        <w:t>,</w:t>
      </w:r>
      <w:r w:rsidR="00687684" w:rsidRPr="00D869E3">
        <w:rPr>
          <w:rFonts w:ascii="Verdana" w:hAnsi="Verdana" w:cs="Arial Narrow"/>
          <w:color w:val="000000"/>
          <w:sz w:val="20"/>
          <w:szCs w:val="20"/>
          <w:lang w:val="en-US" w:eastAsia="es-MX"/>
        </w:rPr>
        <w:t xml:space="preserve"> and</w:t>
      </w:r>
      <w:r w:rsidRPr="00D869E3">
        <w:rPr>
          <w:rFonts w:ascii="Verdana" w:hAnsi="Verdana" w:cs="Arial Narrow"/>
          <w:color w:val="000000"/>
          <w:sz w:val="20"/>
          <w:szCs w:val="20"/>
          <w:lang w:val="en-US" w:eastAsia="es-MX"/>
        </w:rPr>
        <w:t xml:space="preserve"> labor laws at the time of the facts, explicitly recognized the right to job security,</w:t>
      </w:r>
      <w:r w:rsidR="0088700B" w:rsidRPr="00D869E3">
        <w:rPr>
          <w:rStyle w:val="Refdenotaalpie"/>
          <w:rFonts w:cs="Arial Narrow"/>
          <w:color w:val="000000"/>
          <w:szCs w:val="20"/>
          <w:lang w:val="en-US" w:eastAsia="es-MX"/>
        </w:rPr>
        <w:footnoteReference w:id="186"/>
      </w:r>
      <w:r w:rsidRPr="00D869E3">
        <w:rPr>
          <w:rFonts w:ascii="Verdana" w:hAnsi="Verdana" w:cs="Arial Narrow"/>
          <w:color w:val="000000"/>
          <w:sz w:val="20"/>
          <w:szCs w:val="20"/>
          <w:lang w:val="en-US" w:eastAsia="es-MX"/>
        </w:rPr>
        <w:t xml:space="preserve"> as follows</w:t>
      </w:r>
      <w:r w:rsidR="0088700B" w:rsidRPr="00D869E3">
        <w:rPr>
          <w:rFonts w:ascii="Verdana" w:hAnsi="Verdana" w:cs="Arial Narrow"/>
          <w:color w:val="000000"/>
          <w:sz w:val="20"/>
          <w:szCs w:val="20"/>
          <w:lang w:val="en-US" w:eastAsia="es-MX"/>
        </w:rPr>
        <w:t xml:space="preserve">: </w:t>
      </w:r>
    </w:p>
    <w:p w14:paraId="7BB2B268" w14:textId="77777777" w:rsidR="0088700B" w:rsidRPr="00D869E3" w:rsidRDefault="0088700B" w:rsidP="0088700B">
      <w:pPr>
        <w:pStyle w:val="Prrafodelista"/>
        <w:ind w:left="540" w:right="332"/>
        <w:jc w:val="both"/>
        <w:rPr>
          <w:rFonts w:ascii="Verdana" w:hAnsi="Verdana" w:cs="Arial Narrow"/>
          <w:color w:val="000000"/>
          <w:sz w:val="18"/>
          <w:szCs w:val="20"/>
          <w:lang w:val="en-US" w:eastAsia="es-MX"/>
        </w:rPr>
      </w:pPr>
    </w:p>
    <w:p w14:paraId="117329BC" w14:textId="46279E74" w:rsidR="0088700B" w:rsidRPr="00D869E3" w:rsidRDefault="003531AF" w:rsidP="00595D0B">
      <w:pPr>
        <w:pStyle w:val="Prrafodelista"/>
        <w:ind w:left="540" w:right="566"/>
        <w:jc w:val="both"/>
        <w:rPr>
          <w:rFonts w:ascii="Verdana" w:hAnsi="Verdana"/>
          <w:lang w:val="en-US"/>
        </w:rPr>
      </w:pPr>
      <w:r w:rsidRPr="00D869E3">
        <w:rPr>
          <w:rFonts w:ascii="Verdana" w:hAnsi="Verdana" w:cs="Arial Narrow"/>
          <w:color w:val="000000"/>
          <w:sz w:val="18"/>
          <w:szCs w:val="20"/>
          <w:lang w:val="en-US" w:eastAsia="es-MX"/>
        </w:rPr>
        <w:t>1979 Constitution</w:t>
      </w:r>
      <w:r w:rsidR="0088700B" w:rsidRPr="00D869E3">
        <w:rPr>
          <w:rFonts w:ascii="Verdana" w:hAnsi="Verdana" w:cs="Arial Narrow"/>
          <w:color w:val="000000"/>
          <w:sz w:val="18"/>
          <w:szCs w:val="20"/>
          <w:lang w:val="en-US" w:eastAsia="es-MX"/>
        </w:rPr>
        <w:t xml:space="preserve">. </w:t>
      </w:r>
      <w:r w:rsidR="00447C65" w:rsidRPr="00D869E3">
        <w:rPr>
          <w:rFonts w:ascii="Verdana" w:hAnsi="Verdana" w:cs="Arial Narrow"/>
          <w:color w:val="000000"/>
          <w:sz w:val="18"/>
          <w:szCs w:val="20"/>
          <w:lang w:val="en-US" w:eastAsia="es-MX"/>
        </w:rPr>
        <w:t>Article</w:t>
      </w:r>
      <w:r w:rsidR="0088700B" w:rsidRPr="00D869E3">
        <w:rPr>
          <w:rFonts w:ascii="Verdana" w:hAnsi="Verdana" w:cs="Arial Narrow"/>
          <w:color w:val="000000"/>
          <w:sz w:val="18"/>
          <w:szCs w:val="20"/>
          <w:lang w:val="en-US" w:eastAsia="es-MX"/>
        </w:rPr>
        <w:t xml:space="preserve"> 48. </w:t>
      </w:r>
      <w:r w:rsidR="006436CA" w:rsidRPr="00D869E3">
        <w:rPr>
          <w:rFonts w:ascii="Verdana" w:hAnsi="Verdana" w:cs="Arial Narrow"/>
          <w:color w:val="000000"/>
          <w:sz w:val="18"/>
          <w:szCs w:val="20"/>
          <w:lang w:val="en-US" w:eastAsia="es-MX"/>
        </w:rPr>
        <w:t>“</w:t>
      </w:r>
      <w:r w:rsidR="00447C65" w:rsidRPr="00D869E3">
        <w:rPr>
          <w:rFonts w:ascii="Verdana" w:hAnsi="Verdana" w:cs="Arial Narrow"/>
          <w:color w:val="000000"/>
          <w:sz w:val="18"/>
          <w:szCs w:val="20"/>
          <w:lang w:val="en-US" w:eastAsia="es-MX"/>
        </w:rPr>
        <w:t>The State</w:t>
      </w:r>
      <w:r w:rsidR="0088700B" w:rsidRPr="00D869E3">
        <w:rPr>
          <w:rFonts w:ascii="Verdana" w:hAnsi="Verdana" w:cs="Arial Narrow"/>
          <w:color w:val="000000"/>
          <w:sz w:val="18"/>
          <w:szCs w:val="20"/>
          <w:lang w:val="en-US" w:eastAsia="es-MX"/>
        </w:rPr>
        <w:t xml:space="preserve"> reco</w:t>
      </w:r>
      <w:r w:rsidR="004806A6" w:rsidRPr="00D869E3">
        <w:rPr>
          <w:rFonts w:ascii="Verdana" w:hAnsi="Verdana" w:cs="Arial Narrow"/>
          <w:color w:val="000000"/>
          <w:sz w:val="18"/>
          <w:szCs w:val="20"/>
          <w:lang w:val="en-US" w:eastAsia="es-MX"/>
        </w:rPr>
        <w:t xml:space="preserve">gnizes the right to </w:t>
      </w:r>
      <w:r w:rsidR="00595D0B" w:rsidRPr="00D869E3">
        <w:rPr>
          <w:rFonts w:ascii="Verdana" w:hAnsi="Verdana" w:cs="Arial Narrow"/>
          <w:color w:val="000000"/>
          <w:sz w:val="18"/>
          <w:szCs w:val="20"/>
          <w:lang w:val="en-US" w:eastAsia="es-MX"/>
        </w:rPr>
        <w:t>job security</w:t>
      </w:r>
      <w:r w:rsidR="004806A6" w:rsidRPr="00D869E3">
        <w:rPr>
          <w:rFonts w:ascii="Verdana" w:hAnsi="Verdana" w:cs="Arial Narrow"/>
          <w:color w:val="000000"/>
          <w:sz w:val="18"/>
          <w:szCs w:val="20"/>
          <w:lang w:val="en-US" w:eastAsia="es-MX"/>
        </w:rPr>
        <w:t xml:space="preserve">. The employee may only be dismissed for just cause, </w:t>
      </w:r>
      <w:r w:rsidR="00595D0B" w:rsidRPr="00D869E3">
        <w:rPr>
          <w:rFonts w:ascii="Verdana" w:hAnsi="Verdana" w:cs="Arial Narrow"/>
          <w:color w:val="000000"/>
          <w:sz w:val="18"/>
          <w:szCs w:val="20"/>
          <w:lang w:val="en-US" w:eastAsia="es-MX"/>
        </w:rPr>
        <w:t>established</w:t>
      </w:r>
      <w:r w:rsidR="004806A6" w:rsidRPr="00D869E3">
        <w:rPr>
          <w:rFonts w:ascii="Verdana" w:hAnsi="Verdana" w:cs="Arial Narrow"/>
          <w:color w:val="000000"/>
          <w:sz w:val="18"/>
          <w:szCs w:val="20"/>
          <w:lang w:val="en-US" w:eastAsia="es-MX"/>
        </w:rPr>
        <w:t xml:space="preserve"> </w:t>
      </w:r>
      <w:r w:rsidR="00B6692E" w:rsidRPr="00D869E3">
        <w:rPr>
          <w:rFonts w:ascii="Verdana" w:hAnsi="Verdana" w:cs="Arial Narrow"/>
          <w:color w:val="000000"/>
          <w:sz w:val="18"/>
          <w:szCs w:val="20"/>
          <w:lang w:val="en-US" w:eastAsia="es-MX"/>
        </w:rPr>
        <w:t>by</w:t>
      </w:r>
      <w:r w:rsidR="004806A6" w:rsidRPr="00D869E3">
        <w:rPr>
          <w:rFonts w:ascii="Verdana" w:hAnsi="Verdana" w:cs="Arial Narrow"/>
          <w:color w:val="000000"/>
          <w:sz w:val="18"/>
          <w:szCs w:val="20"/>
          <w:lang w:val="en-US" w:eastAsia="es-MX"/>
        </w:rPr>
        <w:t xml:space="preserve"> law and duly prove</w:t>
      </w:r>
      <w:r w:rsidR="00B6692E" w:rsidRPr="00D869E3">
        <w:rPr>
          <w:rFonts w:ascii="Verdana" w:hAnsi="Verdana" w:cs="Arial Narrow"/>
          <w:color w:val="000000"/>
          <w:sz w:val="18"/>
          <w:szCs w:val="20"/>
          <w:lang w:val="en-US" w:eastAsia="es-MX"/>
        </w:rPr>
        <w:t>n</w:t>
      </w:r>
      <w:r w:rsidR="004806A6" w:rsidRPr="00D869E3">
        <w:rPr>
          <w:rFonts w:ascii="Verdana" w:hAnsi="Verdana" w:cs="Arial Narrow"/>
          <w:color w:val="000000"/>
          <w:sz w:val="18"/>
          <w:szCs w:val="20"/>
          <w:lang w:val="en-US" w:eastAsia="es-MX"/>
        </w:rPr>
        <w:t>.”</w:t>
      </w:r>
    </w:p>
    <w:p w14:paraId="0A14BEA2" w14:textId="77777777" w:rsidR="0088700B" w:rsidRPr="00D869E3" w:rsidRDefault="0088700B" w:rsidP="0088700B">
      <w:pPr>
        <w:contextualSpacing/>
        <w:jc w:val="both"/>
        <w:rPr>
          <w:rFonts w:ascii="Verdana" w:hAnsi="Verdana"/>
          <w:b/>
          <w:sz w:val="20"/>
          <w:szCs w:val="20"/>
          <w:lang w:val="en-US"/>
        </w:rPr>
      </w:pPr>
    </w:p>
    <w:p w14:paraId="338B5CEE" w14:textId="3BB7B23A" w:rsidR="00753933" w:rsidRPr="00D869E3" w:rsidRDefault="002E51C1" w:rsidP="002E51C1">
      <w:pPr>
        <w:numPr>
          <w:ilvl w:val="0"/>
          <w:numId w:val="1"/>
        </w:numPr>
        <w:ind w:left="0" w:firstLine="0"/>
        <w:contextualSpacing/>
        <w:jc w:val="both"/>
        <w:rPr>
          <w:rFonts w:ascii="Verdana" w:hAnsi="Verdana"/>
          <w:bCs/>
          <w:color w:val="000000"/>
          <w:sz w:val="20"/>
          <w:szCs w:val="20"/>
          <w:lang w:val="en-US"/>
        </w:rPr>
      </w:pPr>
      <w:r w:rsidRPr="00D869E3">
        <w:rPr>
          <w:rFonts w:ascii="Verdana" w:hAnsi="Verdana"/>
          <w:sz w:val="20"/>
          <w:szCs w:val="20"/>
          <w:lang w:val="en-US"/>
        </w:rPr>
        <w:t xml:space="preserve">Consequently, this Court has competence – in light </w:t>
      </w:r>
      <w:r w:rsidR="00447C65" w:rsidRPr="00D869E3">
        <w:rPr>
          <w:rFonts w:ascii="Verdana" w:hAnsi="Verdana"/>
          <w:sz w:val="20"/>
          <w:szCs w:val="20"/>
          <w:lang w:val="en-US"/>
        </w:rPr>
        <w:t>of the American Convention</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based on the </w:t>
      </w:r>
      <w:r w:rsidR="005B0EF8" w:rsidRPr="00D869E3">
        <w:rPr>
          <w:rFonts w:ascii="Verdana" w:hAnsi="Verdana"/>
          <w:i/>
          <w:sz w:val="20"/>
          <w:szCs w:val="20"/>
          <w:lang w:val="en-US"/>
        </w:rPr>
        <w:t>iura novit curia</w:t>
      </w:r>
      <w:r w:rsidRPr="00D869E3">
        <w:rPr>
          <w:rFonts w:ascii="Verdana" w:hAnsi="Verdana"/>
          <w:sz w:val="20"/>
          <w:szCs w:val="20"/>
          <w:lang w:val="en-US"/>
        </w:rPr>
        <w:t xml:space="preserve"> principle, which is firmly supported by international jurisprudence</w:t>
      </w:r>
      <w:r w:rsidR="00052EDE" w:rsidRPr="00D869E3">
        <w:rPr>
          <w:rStyle w:val="Refdenotaalpie"/>
          <w:szCs w:val="20"/>
          <w:lang w:val="en-US"/>
        </w:rPr>
        <w:footnoteReference w:id="187"/>
      </w:r>
      <w:r w:rsidR="005B0EF8" w:rsidRPr="00D869E3">
        <w:rPr>
          <w:rFonts w:ascii="Verdana" w:hAnsi="Verdana"/>
          <w:sz w:val="20"/>
          <w:szCs w:val="20"/>
          <w:lang w:val="en-US"/>
        </w:rPr>
        <w:t xml:space="preserve"> </w:t>
      </w:r>
      <w:r w:rsidRPr="00D869E3">
        <w:rPr>
          <w:rFonts w:ascii="Verdana" w:hAnsi="Verdana"/>
          <w:sz w:val="20"/>
          <w:szCs w:val="20"/>
          <w:lang w:val="en-US"/>
        </w:rPr>
        <w:t xml:space="preserve">– to examine the possible violation of articles of the Convention that have not been alleged in the briefs submitted to it, in the understanding that the parties have had the opportunity to express their respective positions in relation to the facts that substantiate them, and as </w:t>
      </w:r>
      <w:r w:rsidR="00595D0B" w:rsidRPr="00D869E3">
        <w:rPr>
          <w:rFonts w:ascii="Verdana" w:hAnsi="Verdana"/>
          <w:sz w:val="20"/>
          <w:szCs w:val="20"/>
          <w:lang w:val="en-US"/>
        </w:rPr>
        <w:t>it</w:t>
      </w:r>
      <w:r w:rsidRPr="00D869E3">
        <w:rPr>
          <w:rFonts w:ascii="Verdana" w:hAnsi="Verdana"/>
          <w:sz w:val="20"/>
          <w:szCs w:val="20"/>
          <w:lang w:val="en-US"/>
        </w:rPr>
        <w:t xml:space="preserve"> has on numerous occasions.</w:t>
      </w:r>
      <w:r w:rsidR="005B0EF8" w:rsidRPr="00D869E3">
        <w:rPr>
          <w:rFonts w:ascii="Verdana" w:hAnsi="Verdana"/>
          <w:sz w:val="20"/>
          <w:szCs w:val="20"/>
          <w:vertAlign w:val="superscript"/>
          <w:lang w:val="en-US"/>
        </w:rPr>
        <w:footnoteReference w:id="188"/>
      </w:r>
    </w:p>
    <w:p w14:paraId="1CEB8AF8" w14:textId="77777777" w:rsidR="00032FC5" w:rsidRPr="00D869E3" w:rsidRDefault="00032FC5" w:rsidP="00801513">
      <w:pPr>
        <w:contextualSpacing/>
        <w:jc w:val="both"/>
        <w:rPr>
          <w:rFonts w:ascii="Verdana" w:hAnsi="Verdana"/>
          <w:b/>
          <w:sz w:val="20"/>
          <w:szCs w:val="20"/>
          <w:lang w:val="en-US"/>
        </w:rPr>
      </w:pPr>
    </w:p>
    <w:p w14:paraId="71A22A03" w14:textId="20A911EF" w:rsidR="00032FC5" w:rsidRPr="00D869E3" w:rsidRDefault="002E51C1" w:rsidP="00E66DD7">
      <w:pPr>
        <w:numPr>
          <w:ilvl w:val="0"/>
          <w:numId w:val="1"/>
        </w:numPr>
        <w:ind w:left="0" w:firstLine="0"/>
        <w:contextualSpacing/>
        <w:jc w:val="both"/>
        <w:rPr>
          <w:rFonts w:ascii="Verdana" w:hAnsi="Verdana"/>
          <w:sz w:val="20"/>
          <w:szCs w:val="20"/>
          <w:lang w:val="en-US"/>
        </w:rPr>
      </w:pPr>
      <w:r w:rsidRPr="00D869E3">
        <w:rPr>
          <w:rFonts w:ascii="Verdana" w:hAnsi="Verdana"/>
          <w:bCs/>
          <w:color w:val="000000"/>
          <w:sz w:val="20"/>
          <w:szCs w:val="20"/>
          <w:lang w:val="en-US"/>
        </w:rPr>
        <w:t xml:space="preserve">Therefore, for the purposes of this case, in light </w:t>
      </w:r>
      <w:r w:rsidR="00687684" w:rsidRPr="00D869E3">
        <w:rPr>
          <w:rFonts w:ascii="Verdana" w:hAnsi="Verdana"/>
          <w:bCs/>
          <w:color w:val="000000"/>
          <w:sz w:val="20"/>
          <w:szCs w:val="20"/>
          <w:lang w:val="en-US"/>
        </w:rPr>
        <w:t>of Article</w:t>
      </w:r>
      <w:r w:rsidR="00032FC5" w:rsidRPr="00D869E3">
        <w:rPr>
          <w:rFonts w:ascii="Verdana" w:hAnsi="Verdana"/>
          <w:bCs/>
          <w:color w:val="000000"/>
          <w:sz w:val="20"/>
          <w:szCs w:val="20"/>
          <w:lang w:val="en-US"/>
        </w:rPr>
        <w:t xml:space="preserve"> 29</w:t>
      </w:r>
      <w:r w:rsidR="00447C65" w:rsidRPr="00D869E3">
        <w:rPr>
          <w:rFonts w:ascii="Verdana" w:hAnsi="Verdana"/>
          <w:bCs/>
          <w:color w:val="000000"/>
          <w:sz w:val="20"/>
          <w:szCs w:val="20"/>
          <w:lang w:val="en-US"/>
        </w:rPr>
        <w:t xml:space="preserve"> of the American Convention</w:t>
      </w:r>
      <w:r w:rsidRPr="00D869E3">
        <w:rPr>
          <w:rFonts w:ascii="Verdana" w:hAnsi="Verdana"/>
          <w:bCs/>
          <w:color w:val="000000"/>
          <w:sz w:val="20"/>
          <w:szCs w:val="20"/>
          <w:lang w:val="en-US"/>
        </w:rPr>
        <w:t>,</w:t>
      </w:r>
      <w:r w:rsidR="00032FC5" w:rsidRPr="00D869E3">
        <w:rPr>
          <w:rStyle w:val="Refdenotaalpie"/>
          <w:rFonts w:cs="Helvetica"/>
          <w:szCs w:val="20"/>
          <w:lang w:val="en-US"/>
        </w:rPr>
        <w:footnoteReference w:id="189"/>
      </w:r>
      <w:r w:rsidR="00032FC5" w:rsidRPr="00D869E3">
        <w:rPr>
          <w:rFonts w:ascii="Verdana" w:hAnsi="Verdana"/>
          <w:bCs/>
          <w:color w:val="000000"/>
          <w:sz w:val="20"/>
          <w:szCs w:val="20"/>
          <w:lang w:val="en-US"/>
        </w:rPr>
        <w:t xml:space="preserve"> </w:t>
      </w:r>
      <w:r w:rsidR="00447C65" w:rsidRPr="00D869E3">
        <w:rPr>
          <w:rFonts w:ascii="Verdana" w:hAnsi="Verdana"/>
          <w:bCs/>
          <w:color w:val="000000"/>
          <w:sz w:val="20"/>
          <w:szCs w:val="20"/>
          <w:lang w:val="en-US"/>
        </w:rPr>
        <w:t>the Court</w:t>
      </w:r>
      <w:r w:rsidR="00032FC5" w:rsidRPr="00D869E3">
        <w:rPr>
          <w:rFonts w:ascii="Verdana" w:hAnsi="Verdana" w:cs="Verdana"/>
          <w:sz w:val="20"/>
          <w:szCs w:val="20"/>
          <w:lang w:val="en-US" w:eastAsia="es-MX"/>
        </w:rPr>
        <w:t xml:space="preserve"> </w:t>
      </w:r>
      <w:r w:rsidRPr="00D869E3">
        <w:rPr>
          <w:rFonts w:ascii="Verdana" w:hAnsi="Verdana" w:cs="Verdana"/>
          <w:sz w:val="20"/>
          <w:szCs w:val="20"/>
          <w:lang w:val="en-US" w:eastAsia="es-MX"/>
        </w:rPr>
        <w:t xml:space="preserve">will now examine the scope of </w:t>
      </w:r>
      <w:r w:rsidR="00A157F5" w:rsidRPr="00D869E3">
        <w:rPr>
          <w:rFonts w:ascii="Verdana" w:hAnsi="Verdana"/>
          <w:bCs/>
          <w:color w:val="000000"/>
          <w:sz w:val="20"/>
          <w:szCs w:val="20"/>
          <w:lang w:val="en-US"/>
        </w:rPr>
        <w:t xml:space="preserve">the </w:t>
      </w:r>
      <w:r w:rsidR="000B2E5E" w:rsidRPr="00D869E3">
        <w:rPr>
          <w:rFonts w:ascii="Verdana" w:hAnsi="Verdana"/>
          <w:bCs/>
          <w:color w:val="000000"/>
          <w:sz w:val="20"/>
          <w:szCs w:val="20"/>
          <w:lang w:val="en-US"/>
        </w:rPr>
        <w:t xml:space="preserve">right </w:t>
      </w:r>
      <w:r w:rsidR="003531AF" w:rsidRPr="00D869E3">
        <w:rPr>
          <w:rFonts w:ascii="Verdana" w:hAnsi="Verdana"/>
          <w:bCs/>
          <w:color w:val="000000"/>
          <w:sz w:val="20"/>
          <w:szCs w:val="20"/>
          <w:lang w:val="en-US"/>
        </w:rPr>
        <w:t xml:space="preserve">to job security </w:t>
      </w:r>
      <w:r w:rsidRPr="00D869E3">
        <w:rPr>
          <w:rFonts w:ascii="Verdana" w:hAnsi="Verdana"/>
          <w:bCs/>
          <w:color w:val="000000"/>
          <w:sz w:val="20"/>
          <w:szCs w:val="20"/>
          <w:lang w:val="en-US"/>
        </w:rPr>
        <w:t>pursuant to</w:t>
      </w:r>
      <w:r w:rsidR="00032FC5" w:rsidRPr="00D869E3">
        <w:rPr>
          <w:rFonts w:ascii="Verdana" w:hAnsi="Verdana"/>
          <w:bCs/>
          <w:color w:val="000000"/>
          <w:sz w:val="20"/>
          <w:szCs w:val="20"/>
          <w:lang w:val="en-US"/>
        </w:rPr>
        <w:t xml:space="preserve"> </w:t>
      </w:r>
      <w:r w:rsidR="00447C65" w:rsidRPr="00D869E3">
        <w:rPr>
          <w:rFonts w:ascii="Verdana" w:hAnsi="Verdana"/>
          <w:bCs/>
          <w:color w:val="000000"/>
          <w:sz w:val="20"/>
          <w:szCs w:val="20"/>
          <w:lang w:val="en-US"/>
        </w:rPr>
        <w:t>Article</w:t>
      </w:r>
      <w:r w:rsidR="00032FC5" w:rsidRPr="00D869E3">
        <w:rPr>
          <w:rFonts w:ascii="Verdana" w:hAnsi="Verdana"/>
          <w:bCs/>
          <w:color w:val="000000"/>
          <w:sz w:val="20"/>
          <w:szCs w:val="20"/>
          <w:lang w:val="en-US"/>
        </w:rPr>
        <w:t xml:space="preserve"> 26</w:t>
      </w:r>
      <w:r w:rsidR="00447C65" w:rsidRPr="00D869E3">
        <w:rPr>
          <w:rFonts w:ascii="Verdana" w:hAnsi="Verdana"/>
          <w:bCs/>
          <w:color w:val="000000"/>
          <w:sz w:val="20"/>
          <w:szCs w:val="20"/>
          <w:lang w:val="en-US"/>
        </w:rPr>
        <w:t xml:space="preserve"> of the American Convention</w:t>
      </w:r>
      <w:r w:rsidR="00032FC5" w:rsidRPr="00D869E3">
        <w:rPr>
          <w:rFonts w:ascii="Verdana" w:hAnsi="Verdana"/>
          <w:bCs/>
          <w:color w:val="000000"/>
          <w:sz w:val="20"/>
          <w:szCs w:val="20"/>
          <w:lang w:val="en-US"/>
        </w:rPr>
        <w:t>.</w:t>
      </w:r>
    </w:p>
    <w:p w14:paraId="70954F4C" w14:textId="77777777" w:rsidR="0088700B" w:rsidRPr="00D869E3" w:rsidRDefault="0088700B" w:rsidP="00032FC5">
      <w:pPr>
        <w:contextualSpacing/>
        <w:jc w:val="both"/>
        <w:rPr>
          <w:rFonts w:ascii="Verdana" w:hAnsi="Verdana"/>
          <w:lang w:val="en-US"/>
        </w:rPr>
      </w:pPr>
    </w:p>
    <w:p w14:paraId="4D99F36F" w14:textId="00D9C548" w:rsidR="00032FC5" w:rsidRPr="00D869E3" w:rsidRDefault="000B2E5E" w:rsidP="00E66DD7">
      <w:pPr>
        <w:pStyle w:val="Ttulo3"/>
        <w:numPr>
          <w:ilvl w:val="1"/>
          <w:numId w:val="11"/>
        </w:numPr>
        <w:ind w:hanging="229"/>
        <w:rPr>
          <w:i/>
          <w:color w:val="000000"/>
          <w:szCs w:val="20"/>
          <w:lang w:val="en-US"/>
        </w:rPr>
      </w:pPr>
      <w:bookmarkStart w:id="51" w:name="_Toc29114139"/>
      <w:r w:rsidRPr="00D869E3">
        <w:rPr>
          <w:i/>
          <w:color w:val="000000"/>
          <w:szCs w:val="20"/>
          <w:lang w:val="en-US"/>
        </w:rPr>
        <w:t xml:space="preserve">The </w:t>
      </w:r>
      <w:r w:rsidR="00B43D72" w:rsidRPr="00D869E3">
        <w:rPr>
          <w:i/>
          <w:color w:val="000000"/>
          <w:szCs w:val="20"/>
          <w:lang w:val="en-US"/>
        </w:rPr>
        <w:t>right to job security as a protected right</w:t>
      </w:r>
      <w:bookmarkEnd w:id="51"/>
    </w:p>
    <w:p w14:paraId="261CC50A" w14:textId="77777777" w:rsidR="00032FC5" w:rsidRPr="00D869E3" w:rsidRDefault="00032FC5" w:rsidP="00032FC5">
      <w:pPr>
        <w:ind w:left="720"/>
        <w:contextualSpacing/>
        <w:jc w:val="both"/>
        <w:rPr>
          <w:rFonts w:ascii="Verdana" w:hAnsi="Verdana"/>
          <w:sz w:val="20"/>
          <w:szCs w:val="20"/>
          <w:lang w:val="en-US"/>
        </w:rPr>
      </w:pPr>
    </w:p>
    <w:p w14:paraId="38BFD0B3" w14:textId="23615F7A" w:rsidR="00032FC5" w:rsidRPr="00D869E3" w:rsidRDefault="0073572D" w:rsidP="00E66DD7">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 xml:space="preserve">The Court has repeatedly maintained the interdependence and indivisibility of civil and political rights and economic, social and cultural rights, because they should all be understood integrally as human rights, without any </w:t>
      </w:r>
      <w:r w:rsidR="00850750" w:rsidRPr="00D869E3">
        <w:rPr>
          <w:rFonts w:ascii="Verdana" w:hAnsi="Verdana"/>
          <w:sz w:val="20"/>
          <w:szCs w:val="20"/>
          <w:lang w:val="en-US"/>
        </w:rPr>
        <w:t xml:space="preserve">specific </w:t>
      </w:r>
      <w:r w:rsidRPr="00D869E3">
        <w:rPr>
          <w:rFonts w:ascii="Verdana" w:hAnsi="Verdana"/>
          <w:sz w:val="20"/>
          <w:szCs w:val="20"/>
          <w:lang w:val="en-US"/>
        </w:rPr>
        <w:t>hierarchy, and be enforceable in all cases before the competent authorities</w:t>
      </w:r>
      <w:r w:rsidRPr="00D869E3">
        <w:rPr>
          <w:rFonts w:ascii="Verdana" w:hAnsi="Verdana" w:cs="Verdana"/>
          <w:sz w:val="20"/>
          <w:szCs w:val="20"/>
          <w:lang w:val="en-US" w:eastAsia="es-MX"/>
        </w:rPr>
        <w:t>.</w:t>
      </w:r>
      <w:r w:rsidR="00032FC5" w:rsidRPr="00D869E3">
        <w:rPr>
          <w:rStyle w:val="Refdenotaalpie"/>
          <w:rFonts w:cs="Verdana"/>
          <w:szCs w:val="20"/>
          <w:lang w:val="en-US" w:eastAsia="es-MX"/>
        </w:rPr>
        <w:footnoteReference w:id="190"/>
      </w:r>
    </w:p>
    <w:p w14:paraId="31B6221E" w14:textId="77777777" w:rsidR="00032FC5" w:rsidRPr="00D869E3" w:rsidRDefault="00032FC5" w:rsidP="00032FC5">
      <w:pPr>
        <w:contextualSpacing/>
        <w:jc w:val="both"/>
        <w:rPr>
          <w:rFonts w:ascii="Verdana" w:hAnsi="Verdana"/>
          <w:color w:val="000000"/>
          <w:sz w:val="20"/>
          <w:szCs w:val="20"/>
          <w:lang w:val="en-US"/>
        </w:rPr>
      </w:pPr>
    </w:p>
    <w:p w14:paraId="3347B07E" w14:textId="16C822A5" w:rsidR="00032FC5" w:rsidRPr="00D869E3" w:rsidRDefault="0073572D"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As indicated in the case of </w:t>
      </w:r>
      <w:r w:rsidR="00447C65" w:rsidRPr="00D869E3">
        <w:rPr>
          <w:rFonts w:ascii="Verdana" w:hAnsi="Verdana"/>
          <w:i/>
          <w:sz w:val="20"/>
          <w:szCs w:val="20"/>
          <w:lang w:val="en-US"/>
        </w:rPr>
        <w:t>Case of</w:t>
      </w:r>
      <w:r w:rsidR="00032FC5" w:rsidRPr="00D869E3">
        <w:rPr>
          <w:rFonts w:ascii="Verdana" w:hAnsi="Verdana"/>
          <w:i/>
          <w:sz w:val="20"/>
          <w:szCs w:val="20"/>
          <w:lang w:val="en-US"/>
        </w:rPr>
        <w:t xml:space="preserve"> Acevedo Buendía</w:t>
      </w:r>
      <w:r w:rsidR="00687684" w:rsidRPr="00D869E3">
        <w:rPr>
          <w:rFonts w:ascii="Verdana" w:hAnsi="Verdana"/>
          <w:i/>
          <w:sz w:val="20"/>
          <w:szCs w:val="20"/>
          <w:lang w:val="en-US"/>
        </w:rPr>
        <w:t xml:space="preserve"> </w:t>
      </w:r>
      <w:r w:rsidR="00B43D72" w:rsidRPr="00D869E3">
        <w:rPr>
          <w:rFonts w:ascii="Verdana" w:hAnsi="Verdana"/>
          <w:i/>
          <w:sz w:val="20"/>
          <w:szCs w:val="20"/>
          <w:lang w:val="en-US"/>
        </w:rPr>
        <w:t>et al.</w:t>
      </w:r>
      <w:r w:rsidR="00032FC5" w:rsidRPr="00D869E3">
        <w:rPr>
          <w:rFonts w:ascii="Verdana" w:hAnsi="Verdana"/>
          <w:i/>
          <w:sz w:val="20"/>
          <w:szCs w:val="20"/>
          <w:lang w:val="en-US"/>
        </w:rPr>
        <w:t xml:space="preserve"> </w:t>
      </w:r>
      <w:r w:rsidR="00447C65" w:rsidRPr="00D869E3">
        <w:rPr>
          <w:rFonts w:ascii="Verdana" w:hAnsi="Verdana"/>
          <w:i/>
          <w:sz w:val="20"/>
          <w:szCs w:val="20"/>
          <w:lang w:val="en-US"/>
        </w:rPr>
        <w:t>v.</w:t>
      </w:r>
      <w:r w:rsidR="00032FC5" w:rsidRPr="00D869E3">
        <w:rPr>
          <w:rFonts w:ascii="Verdana" w:hAnsi="Verdana"/>
          <w:i/>
          <w:sz w:val="20"/>
          <w:szCs w:val="20"/>
          <w:lang w:val="en-US"/>
        </w:rPr>
        <w:t xml:space="preserve"> </w:t>
      </w:r>
      <w:r w:rsidR="00447C65" w:rsidRPr="00D869E3">
        <w:rPr>
          <w:rFonts w:ascii="Verdana" w:hAnsi="Verdana"/>
          <w:i/>
          <w:sz w:val="20"/>
          <w:szCs w:val="20"/>
          <w:lang w:val="en-US"/>
        </w:rPr>
        <w:t>Peru</w:t>
      </w:r>
      <w:r w:rsidRPr="00D869E3">
        <w:rPr>
          <w:rFonts w:ascii="Verdana" w:hAnsi="Verdana"/>
          <w:i/>
          <w:sz w:val="20"/>
          <w:szCs w:val="20"/>
          <w:lang w:val="en-US"/>
        </w:rPr>
        <w:t>,</w:t>
      </w:r>
      <w:r w:rsidR="00032FC5" w:rsidRPr="00D869E3">
        <w:rPr>
          <w:rStyle w:val="Refdenotaalpie"/>
          <w:szCs w:val="20"/>
          <w:lang w:val="en-US"/>
        </w:rPr>
        <w:footnoteReference w:id="191"/>
      </w:r>
      <w:r w:rsidR="00032FC5" w:rsidRPr="00D869E3">
        <w:rPr>
          <w:rFonts w:ascii="Verdana" w:hAnsi="Verdana"/>
          <w:i/>
          <w:sz w:val="20"/>
          <w:szCs w:val="20"/>
          <w:lang w:val="en-US"/>
        </w:rPr>
        <w:t xml:space="preserve"> </w:t>
      </w:r>
      <w:r w:rsidRPr="00D869E3">
        <w:rPr>
          <w:rFonts w:ascii="Verdana" w:hAnsi="Verdana"/>
          <w:sz w:val="20"/>
          <w:szCs w:val="20"/>
          <w:lang w:val="en-US"/>
        </w:rPr>
        <w:t>the Court has the authority to decide any dispute concerning its jurisdiction.</w:t>
      </w:r>
      <w:r w:rsidR="00032FC5" w:rsidRPr="00D869E3">
        <w:rPr>
          <w:rStyle w:val="Refdenotaalpie"/>
          <w:rFonts w:cs="Verdana"/>
          <w:szCs w:val="20"/>
          <w:lang w:val="en-US" w:eastAsia="es-MX"/>
        </w:rPr>
        <w:footnoteReference w:id="192"/>
      </w:r>
      <w:r w:rsidR="00032FC5" w:rsidRPr="00D869E3">
        <w:rPr>
          <w:rFonts w:ascii="Verdana" w:hAnsi="Verdana" w:cs="Verdana"/>
          <w:sz w:val="20"/>
          <w:szCs w:val="20"/>
          <w:lang w:val="en-US" w:eastAsia="es-MX"/>
        </w:rPr>
        <w:t xml:space="preserve"> </w:t>
      </w:r>
      <w:r w:rsidRPr="00D869E3">
        <w:rPr>
          <w:rFonts w:ascii="Verdana" w:hAnsi="Verdana"/>
          <w:sz w:val="20"/>
          <w:szCs w:val="20"/>
          <w:lang w:val="en-US"/>
        </w:rPr>
        <w:t>Thus, the Court has previously asserted that the broad terms in which the Convention was drafted signify that the Court exercises full jurisdiction over all its articles and provisions.</w:t>
      </w:r>
      <w:r w:rsidR="00032FC5" w:rsidRPr="00D869E3">
        <w:rPr>
          <w:rStyle w:val="Refdenotaalpie"/>
          <w:rFonts w:cs="Verdana"/>
          <w:szCs w:val="20"/>
          <w:lang w:val="en-US" w:eastAsia="es-MX"/>
        </w:rPr>
        <w:footnoteReference w:id="193"/>
      </w:r>
      <w:r w:rsidR="00032FC5" w:rsidRPr="00D869E3">
        <w:rPr>
          <w:rFonts w:ascii="Verdana" w:hAnsi="Verdana" w:cs="Verdana"/>
          <w:sz w:val="20"/>
          <w:szCs w:val="20"/>
          <w:lang w:val="en-US" w:eastAsia="es-MX"/>
        </w:rPr>
        <w:t xml:space="preserve"> </w:t>
      </w:r>
      <w:r w:rsidRPr="00D869E3">
        <w:rPr>
          <w:rFonts w:ascii="Verdana" w:hAnsi="Verdana"/>
          <w:sz w:val="20"/>
          <w:szCs w:val="20"/>
          <w:lang w:val="en-US"/>
        </w:rPr>
        <w:t>It should also be noted that although Article 26 appears in Chapter III of the Convention, entitled “Economic, Social and Cultural Rights,” it is also located in Part I of this instrument, entitled “State Obligations and Rights Protected” and, consequently, it is subject to the general obligations contained in Articles 1(1) and 2 in Chapter I (entitled “General Obligations”), as  also are  Articles 3 to 25 that appear in Chapter II (entitled “Civil and Political Rights”).</w:t>
      </w:r>
      <w:r w:rsidR="00412DA2" w:rsidRPr="00D869E3">
        <w:rPr>
          <w:rStyle w:val="Refdenotaalpie"/>
          <w:rFonts w:cs="Verdana"/>
          <w:szCs w:val="20"/>
          <w:lang w:val="en-US"/>
        </w:rPr>
        <w:footnoteReference w:id="194"/>
      </w:r>
    </w:p>
    <w:p w14:paraId="604A9236" w14:textId="77777777" w:rsidR="00032FC5" w:rsidRPr="00D869E3" w:rsidRDefault="00032FC5" w:rsidP="00032FC5">
      <w:pPr>
        <w:contextualSpacing/>
        <w:jc w:val="both"/>
        <w:rPr>
          <w:rFonts w:ascii="Verdana" w:hAnsi="Verdana"/>
          <w:b/>
          <w:sz w:val="20"/>
          <w:szCs w:val="20"/>
          <w:lang w:val="en-US"/>
        </w:rPr>
      </w:pPr>
    </w:p>
    <w:p w14:paraId="27D8038D" w14:textId="2CAAF30D" w:rsidR="00032FC5" w:rsidRPr="00D869E3" w:rsidRDefault="0073572D" w:rsidP="00E66DD7">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 xml:space="preserve">Regarding the specific labor rights protected by Article 26 of the American Convention, the Court observed that the wording indicates that these are right derived from the economic, social, educational, scientific, and cultural standards set forth in the OAS Charter. In this </w:t>
      </w:r>
      <w:r w:rsidRPr="00D869E3">
        <w:rPr>
          <w:rFonts w:ascii="Verdana" w:hAnsi="Verdana"/>
          <w:sz w:val="20"/>
          <w:szCs w:val="20"/>
          <w:lang w:val="en-US"/>
        </w:rPr>
        <w:lastRenderedPageBreak/>
        <w:t>regard, Articles 45(b) and (c),</w:t>
      </w:r>
      <w:r w:rsidR="00032FC5" w:rsidRPr="00D869E3">
        <w:rPr>
          <w:rStyle w:val="Refdenotaalpie"/>
          <w:color w:val="000000"/>
          <w:szCs w:val="20"/>
          <w:lang w:val="en-US"/>
        </w:rPr>
        <w:footnoteReference w:id="195"/>
      </w:r>
      <w:r w:rsidR="00032FC5" w:rsidRPr="00D869E3">
        <w:rPr>
          <w:rFonts w:ascii="Verdana" w:hAnsi="Verdana"/>
          <w:color w:val="000000"/>
          <w:sz w:val="20"/>
          <w:szCs w:val="20"/>
          <w:lang w:val="en-US"/>
        </w:rPr>
        <w:t xml:space="preserve"> 46</w:t>
      </w:r>
      <w:r w:rsidR="00032FC5" w:rsidRPr="00D869E3">
        <w:rPr>
          <w:rStyle w:val="Refdenotaalpie"/>
          <w:color w:val="000000"/>
          <w:szCs w:val="20"/>
          <w:lang w:val="en-US"/>
        </w:rPr>
        <w:footnoteReference w:id="196"/>
      </w:r>
      <w:r w:rsidR="00687684" w:rsidRPr="00D869E3">
        <w:rPr>
          <w:rFonts w:ascii="Verdana" w:hAnsi="Verdana"/>
          <w:color w:val="000000"/>
          <w:sz w:val="20"/>
          <w:szCs w:val="20"/>
          <w:lang w:val="en-US"/>
        </w:rPr>
        <w:t xml:space="preserve"> and </w:t>
      </w:r>
      <w:r w:rsidR="00032FC5" w:rsidRPr="00D869E3">
        <w:rPr>
          <w:rFonts w:ascii="Verdana" w:hAnsi="Verdana"/>
          <w:color w:val="000000"/>
          <w:sz w:val="20"/>
          <w:szCs w:val="20"/>
          <w:lang w:val="en-US"/>
        </w:rPr>
        <w:t>34.g</w:t>
      </w:r>
      <w:r w:rsidR="00032FC5" w:rsidRPr="00D869E3">
        <w:rPr>
          <w:rStyle w:val="Refdenotaalpie"/>
          <w:color w:val="000000"/>
          <w:szCs w:val="20"/>
          <w:lang w:val="en-US"/>
        </w:rPr>
        <w:footnoteReference w:id="197"/>
      </w:r>
      <w:r w:rsidR="00032FC5" w:rsidRPr="00D869E3">
        <w:rPr>
          <w:rFonts w:ascii="Verdana" w:hAnsi="Verdana"/>
          <w:color w:val="000000"/>
          <w:sz w:val="20"/>
          <w:szCs w:val="20"/>
          <w:lang w:val="en-US"/>
        </w:rPr>
        <w:t xml:space="preserve"> </w:t>
      </w:r>
      <w:r w:rsidRPr="00D869E3">
        <w:rPr>
          <w:rFonts w:ascii="Verdana" w:hAnsi="Verdana"/>
          <w:sz w:val="20"/>
          <w:szCs w:val="20"/>
          <w:lang w:val="en-US"/>
        </w:rPr>
        <w:t>of the Charter establish that “[w]ork is a right and a social duty,” and that this should be performed with “fair wages, employment opportunities, and acceptable working conditions for all.” The</w:t>
      </w:r>
      <w:r w:rsidR="001D03B7" w:rsidRPr="00D869E3">
        <w:rPr>
          <w:rFonts w:ascii="Verdana" w:hAnsi="Verdana"/>
          <w:sz w:val="20"/>
          <w:szCs w:val="20"/>
          <w:lang w:val="en-US"/>
        </w:rPr>
        <w:t>se articles</w:t>
      </w:r>
      <w:r w:rsidRPr="00D869E3">
        <w:rPr>
          <w:rFonts w:ascii="Verdana" w:hAnsi="Verdana"/>
          <w:sz w:val="20"/>
          <w:szCs w:val="20"/>
          <w:lang w:val="en-US"/>
        </w:rPr>
        <w:t xml:space="preserve"> also establish the right of workers to “associate themselves freely for the defense and promotion of their interests.” In addition, they indicate that State must “harmonize the social legislation” for the protection of such rights. In its Advisory Opinion OC-10/89, the Court indicated that</w:t>
      </w:r>
      <w:r w:rsidR="00E02E02" w:rsidRPr="00D869E3">
        <w:rPr>
          <w:rFonts w:ascii="Verdana" w:hAnsi="Verdana"/>
          <w:sz w:val="20"/>
          <w:szCs w:val="20"/>
          <w:lang w:val="en-US"/>
        </w:rPr>
        <w:t>:</w:t>
      </w:r>
    </w:p>
    <w:p w14:paraId="250CFB36" w14:textId="77777777" w:rsidR="00032FC5" w:rsidRPr="00D869E3" w:rsidRDefault="00032FC5" w:rsidP="00032FC5">
      <w:pPr>
        <w:contextualSpacing/>
        <w:jc w:val="both"/>
        <w:rPr>
          <w:rFonts w:ascii="Verdana" w:hAnsi="Verdana"/>
          <w:color w:val="000000"/>
          <w:sz w:val="20"/>
          <w:szCs w:val="20"/>
          <w:lang w:val="en-US"/>
        </w:rPr>
      </w:pPr>
    </w:p>
    <w:p w14:paraId="7E0E08ED" w14:textId="5D4DB940" w:rsidR="00032FC5" w:rsidRPr="00D869E3" w:rsidRDefault="00032FC5" w:rsidP="00032FC5">
      <w:pPr>
        <w:autoSpaceDE w:val="0"/>
        <w:autoSpaceDN w:val="0"/>
        <w:adjustRightInd w:val="0"/>
        <w:ind w:left="708" w:right="390"/>
        <w:jc w:val="both"/>
        <w:rPr>
          <w:rFonts w:ascii="Verdana" w:eastAsiaTheme="minorHAnsi" w:hAnsi="Verdana" w:cs="Verdana"/>
          <w:sz w:val="18"/>
          <w:szCs w:val="18"/>
          <w:lang w:val="en-US"/>
        </w:rPr>
      </w:pPr>
      <w:r w:rsidRPr="00D869E3">
        <w:rPr>
          <w:rFonts w:ascii="Verdana" w:eastAsiaTheme="minorHAnsi" w:hAnsi="Verdana" w:cs="Verdana"/>
          <w:sz w:val="18"/>
          <w:szCs w:val="20"/>
          <w:lang w:val="en-US"/>
        </w:rPr>
        <w:t xml:space="preserve">[…] </w:t>
      </w:r>
      <w:r w:rsidR="0073572D" w:rsidRPr="00D869E3">
        <w:rPr>
          <w:rFonts w:ascii="Verdana" w:eastAsia="Times New Roman" w:hAnsi="Verdana" w:cs="Arial"/>
          <w:sz w:val="18"/>
          <w:szCs w:val="18"/>
          <w:lang w:val="en-US"/>
        </w:rPr>
        <w:t>The member States of the Organization have signaled their agreement that the Declaration contains and defines the fundamental human rights referred to in the Charter. Thus, the Charter of the Organization cannot be interpreted and applied as far as human rights are concerned without relating its norms, consistent with the practice of the organs of the OAS, to the corresponding provisions of the Declaration</w:t>
      </w:r>
      <w:r w:rsidR="00886C14" w:rsidRPr="00D869E3">
        <w:rPr>
          <w:rFonts w:ascii="Verdana" w:eastAsiaTheme="minorHAnsi" w:hAnsi="Verdana" w:cs="Verdana"/>
          <w:sz w:val="18"/>
          <w:szCs w:val="18"/>
          <w:lang w:val="en-US"/>
        </w:rPr>
        <w:t>.</w:t>
      </w:r>
      <w:r w:rsidRPr="00D869E3">
        <w:rPr>
          <w:rStyle w:val="Refdenotaalpie"/>
          <w:rFonts w:eastAsiaTheme="minorHAnsi" w:cs="Verdana"/>
          <w:sz w:val="18"/>
          <w:szCs w:val="18"/>
          <w:lang w:val="en-US"/>
        </w:rPr>
        <w:footnoteReference w:id="198"/>
      </w:r>
    </w:p>
    <w:p w14:paraId="7B7962C8" w14:textId="77777777" w:rsidR="00032FC5" w:rsidRPr="00D869E3" w:rsidRDefault="00032FC5" w:rsidP="00032FC5">
      <w:pPr>
        <w:contextualSpacing/>
        <w:jc w:val="both"/>
        <w:rPr>
          <w:rFonts w:ascii="Verdana" w:hAnsi="Verdana" w:cs="Verdana"/>
          <w:sz w:val="18"/>
          <w:szCs w:val="18"/>
          <w:lang w:val="en-US" w:eastAsia="es-MX"/>
        </w:rPr>
      </w:pPr>
    </w:p>
    <w:p w14:paraId="2FED2EE7" w14:textId="74C545FB" w:rsidR="00886C14" w:rsidRPr="00D869E3" w:rsidRDefault="00075E68" w:rsidP="00886C14">
      <w:pPr>
        <w:numPr>
          <w:ilvl w:val="0"/>
          <w:numId w:val="1"/>
        </w:numPr>
        <w:ind w:left="0" w:firstLine="0"/>
        <w:contextualSpacing/>
        <w:jc w:val="both"/>
        <w:rPr>
          <w:rFonts w:ascii="Verdana" w:hAnsi="Verdana"/>
          <w:strike/>
          <w:color w:val="000000"/>
          <w:sz w:val="20"/>
          <w:szCs w:val="20"/>
          <w:lang w:val="en-US"/>
        </w:rPr>
      </w:pPr>
      <w:r w:rsidRPr="00D869E3">
        <w:rPr>
          <w:rFonts w:ascii="Verdana" w:hAnsi="Verdana" w:cs="Verdana"/>
          <w:sz w:val="20"/>
          <w:szCs w:val="20"/>
          <w:lang w:val="en-US" w:eastAsia="es-MX"/>
        </w:rPr>
        <w:t>In this regard</w:t>
      </w:r>
      <w:r w:rsidR="00032FC5"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Article</w:t>
      </w:r>
      <w:r w:rsidR="00032FC5" w:rsidRPr="00D869E3">
        <w:rPr>
          <w:rFonts w:ascii="Verdana" w:hAnsi="Verdana"/>
          <w:color w:val="000000"/>
          <w:sz w:val="20"/>
          <w:szCs w:val="20"/>
          <w:lang w:val="en-US"/>
        </w:rPr>
        <w:t xml:space="preserve"> XIV </w:t>
      </w:r>
      <w:r w:rsidR="00886C14" w:rsidRPr="00D869E3">
        <w:rPr>
          <w:rFonts w:ascii="Verdana" w:hAnsi="Verdana"/>
          <w:sz w:val="20"/>
          <w:szCs w:val="20"/>
          <w:lang w:val="en-US"/>
        </w:rPr>
        <w:t>of the American Declaration stipulates that: “[e]very person has the right to work, under proper conditions, and to follow his vocation freely.” This provision is relevant to define the scope of Article 26, because “the American Declaration constitutes, as applicable and in relation to the OAS Charter, a source of international obligations.</w:t>
      </w:r>
      <w:r w:rsidR="006436CA" w:rsidRPr="00D869E3">
        <w:rPr>
          <w:rFonts w:ascii="Verdana" w:hAnsi="Verdana"/>
          <w:color w:val="000000"/>
          <w:sz w:val="20"/>
          <w:szCs w:val="20"/>
          <w:lang w:val="en-US"/>
        </w:rPr>
        <w:t>”</w:t>
      </w:r>
      <w:r w:rsidR="00032FC5" w:rsidRPr="00D869E3">
        <w:rPr>
          <w:rStyle w:val="Refdenotaalpie"/>
          <w:color w:val="000000"/>
          <w:szCs w:val="20"/>
          <w:lang w:val="en-US"/>
        </w:rPr>
        <w:footnoteReference w:id="199"/>
      </w:r>
      <w:r w:rsidR="00032FC5" w:rsidRPr="00D869E3">
        <w:rPr>
          <w:rFonts w:ascii="Verdana" w:hAnsi="Verdana"/>
          <w:color w:val="000000"/>
          <w:sz w:val="20"/>
          <w:szCs w:val="20"/>
          <w:lang w:val="en-US"/>
        </w:rPr>
        <w:t xml:space="preserve"> </w:t>
      </w:r>
      <w:r w:rsidR="00886C14" w:rsidRPr="00D869E3">
        <w:rPr>
          <w:rFonts w:ascii="Verdana" w:hAnsi="Verdana"/>
          <w:sz w:val="20"/>
          <w:szCs w:val="20"/>
          <w:lang w:val="en-US"/>
        </w:rPr>
        <w:t>Furthermore, Article 29(d) of the American Convention expressly establishes that “no provision of this Convention shall be interpreted as: […] (d) excluding or limiting the effect that the American Declaration of the Rights and Duties of Man and other international acts of the same nature have.”</w:t>
      </w:r>
    </w:p>
    <w:p w14:paraId="06A3E64C" w14:textId="77777777" w:rsidR="00032FC5" w:rsidRPr="00D869E3" w:rsidRDefault="00032FC5" w:rsidP="00032FC5">
      <w:pPr>
        <w:contextualSpacing/>
        <w:jc w:val="both"/>
        <w:rPr>
          <w:rFonts w:ascii="Verdana" w:hAnsi="Verdana"/>
          <w:sz w:val="20"/>
          <w:szCs w:val="20"/>
          <w:lang w:val="en-US"/>
        </w:rPr>
      </w:pPr>
    </w:p>
    <w:p w14:paraId="58C6974C" w14:textId="7A23E6DD" w:rsidR="00032FC5" w:rsidRPr="00D869E3" w:rsidRDefault="00886C14" w:rsidP="00E66DD7">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In addition to derivation of the right to work based on an interpretation of Article 26 in relation to the OAS Charter, together with the American Declaration, the right to work is explicitly recognized in different domestic laws of the States in the region,</w:t>
      </w:r>
      <w:r w:rsidR="00032FC5" w:rsidRPr="00D869E3">
        <w:rPr>
          <w:rStyle w:val="Refdenotaalpie"/>
          <w:iCs/>
          <w:szCs w:val="20"/>
          <w:bdr w:val="none" w:sz="0" w:space="0" w:color="auto" w:frame="1"/>
          <w:lang w:val="en-US"/>
        </w:rPr>
        <w:footnoteReference w:id="200"/>
      </w:r>
      <w:r w:rsidRPr="00D869E3">
        <w:rPr>
          <w:rFonts w:ascii="Verdana" w:hAnsi="Verdana"/>
          <w:iCs/>
          <w:sz w:val="20"/>
          <w:szCs w:val="20"/>
          <w:bdr w:val="none" w:sz="0" w:space="0" w:color="auto" w:frame="1"/>
          <w:lang w:val="en-US"/>
        </w:rPr>
        <w:t xml:space="preserve"> as</w:t>
      </w:r>
      <w:r w:rsidR="00032FC5" w:rsidRPr="00D869E3">
        <w:rPr>
          <w:rFonts w:ascii="Verdana" w:hAnsi="Verdana"/>
          <w:iCs/>
          <w:sz w:val="20"/>
          <w:szCs w:val="20"/>
          <w:bdr w:val="none" w:sz="0" w:space="0" w:color="auto" w:frame="1"/>
          <w:lang w:val="en-US"/>
        </w:rPr>
        <w:t xml:space="preserve"> </w:t>
      </w:r>
      <w:r w:rsidRPr="00D869E3">
        <w:rPr>
          <w:rFonts w:ascii="Verdana" w:hAnsi="Verdana"/>
          <w:sz w:val="20"/>
          <w:szCs w:val="20"/>
          <w:lang w:val="en-US"/>
        </w:rPr>
        <w:t xml:space="preserve">well as in a vast international </w:t>
      </w:r>
      <w:r w:rsidRPr="00D869E3">
        <w:rPr>
          <w:rFonts w:ascii="Verdana" w:hAnsi="Verdana"/>
          <w:i/>
          <w:sz w:val="20"/>
          <w:szCs w:val="20"/>
          <w:lang w:val="en-US"/>
        </w:rPr>
        <w:t>corpus iuris; inter alia</w:t>
      </w:r>
      <w:r w:rsidRPr="00D869E3">
        <w:rPr>
          <w:rFonts w:ascii="Verdana" w:hAnsi="Verdana"/>
          <w:sz w:val="20"/>
          <w:szCs w:val="20"/>
          <w:lang w:val="en-US"/>
        </w:rPr>
        <w:t xml:space="preserve">: </w:t>
      </w:r>
      <w:r w:rsidR="001D03B7" w:rsidRPr="00D869E3">
        <w:rPr>
          <w:rFonts w:ascii="Verdana" w:hAnsi="Verdana"/>
          <w:sz w:val="20"/>
          <w:szCs w:val="20"/>
          <w:lang w:val="en-US"/>
        </w:rPr>
        <w:t>A</w:t>
      </w:r>
      <w:r w:rsidRPr="00D869E3">
        <w:rPr>
          <w:rFonts w:ascii="Verdana" w:hAnsi="Verdana"/>
          <w:sz w:val="20"/>
          <w:szCs w:val="20"/>
          <w:lang w:val="en-US"/>
        </w:rPr>
        <w:t xml:space="preserve">rticle 6 of the International Covenant on Economic, Social </w:t>
      </w:r>
      <w:r w:rsidRPr="00D869E3">
        <w:rPr>
          <w:rFonts w:ascii="Verdana" w:hAnsi="Verdana"/>
          <w:sz w:val="20"/>
          <w:szCs w:val="20"/>
          <w:lang w:val="en-US"/>
        </w:rPr>
        <w:lastRenderedPageBreak/>
        <w:t>and Cultural Rights;</w:t>
      </w:r>
      <w:r w:rsidR="00032FC5" w:rsidRPr="00D869E3">
        <w:rPr>
          <w:rStyle w:val="Refdenotaalpie"/>
          <w:szCs w:val="20"/>
          <w:lang w:val="en-US"/>
        </w:rPr>
        <w:footnoteReference w:id="201"/>
      </w:r>
      <w:r w:rsidR="00032FC5" w:rsidRPr="00D869E3">
        <w:rPr>
          <w:rFonts w:ascii="Verdana" w:hAnsi="Verdana"/>
          <w:sz w:val="20"/>
          <w:szCs w:val="20"/>
          <w:lang w:val="en-US"/>
        </w:rPr>
        <w:t xml:space="preserve"> </w:t>
      </w:r>
      <w:r w:rsidR="00447C65" w:rsidRPr="00D869E3">
        <w:rPr>
          <w:rFonts w:ascii="Verdana" w:hAnsi="Verdana"/>
          <w:sz w:val="20"/>
          <w:szCs w:val="20"/>
          <w:lang w:val="en-US"/>
        </w:rPr>
        <w:t>Article</w:t>
      </w:r>
      <w:r w:rsidR="00032FC5" w:rsidRPr="00D869E3">
        <w:rPr>
          <w:rFonts w:ascii="Verdana" w:hAnsi="Verdana"/>
          <w:sz w:val="20"/>
          <w:szCs w:val="20"/>
          <w:lang w:val="en-US"/>
        </w:rPr>
        <w:t xml:space="preserve"> 23 </w:t>
      </w:r>
      <w:r w:rsidRPr="00D869E3">
        <w:rPr>
          <w:rFonts w:ascii="Verdana" w:hAnsi="Verdana"/>
          <w:sz w:val="20"/>
          <w:szCs w:val="20"/>
          <w:lang w:val="en-US"/>
        </w:rPr>
        <w:t>of the Universal Declaration of Human Rights;</w:t>
      </w:r>
      <w:r w:rsidR="00032FC5" w:rsidRPr="00D869E3">
        <w:rPr>
          <w:rStyle w:val="Refdenotaalpie"/>
          <w:szCs w:val="20"/>
          <w:lang w:val="en-US"/>
        </w:rPr>
        <w:footnoteReference w:id="202"/>
      </w:r>
      <w:r w:rsidR="00032FC5" w:rsidRPr="00D869E3">
        <w:rPr>
          <w:rFonts w:ascii="Verdana" w:hAnsi="Verdana"/>
          <w:sz w:val="20"/>
          <w:szCs w:val="20"/>
          <w:lang w:val="en-US"/>
        </w:rPr>
        <w:t xml:space="preserve"> </w:t>
      </w:r>
      <w:r w:rsidR="00447C65" w:rsidRPr="00D869E3">
        <w:rPr>
          <w:rFonts w:ascii="Verdana" w:hAnsi="Verdana"/>
          <w:sz w:val="20"/>
          <w:szCs w:val="20"/>
          <w:lang w:val="en-US"/>
        </w:rPr>
        <w:t>Article</w:t>
      </w:r>
      <w:r w:rsidR="009B31A2" w:rsidRPr="00D869E3">
        <w:rPr>
          <w:rFonts w:ascii="Verdana" w:hAnsi="Verdana"/>
          <w:sz w:val="20"/>
          <w:szCs w:val="20"/>
          <w:lang w:val="en-US"/>
        </w:rPr>
        <w:t>s 7 and</w:t>
      </w:r>
      <w:r w:rsidR="00687684" w:rsidRPr="00D869E3">
        <w:rPr>
          <w:rFonts w:ascii="Verdana" w:hAnsi="Verdana"/>
          <w:sz w:val="20"/>
          <w:szCs w:val="20"/>
          <w:lang w:val="en-US"/>
        </w:rPr>
        <w:t xml:space="preserve"> </w:t>
      </w:r>
      <w:r w:rsidR="00032FC5" w:rsidRPr="00D869E3">
        <w:rPr>
          <w:rFonts w:ascii="Verdana" w:hAnsi="Verdana"/>
          <w:sz w:val="20"/>
          <w:szCs w:val="20"/>
          <w:lang w:val="en-US"/>
        </w:rPr>
        <w:t xml:space="preserve">8 </w:t>
      </w:r>
      <w:r w:rsidR="00EF28DD" w:rsidRPr="00D869E3">
        <w:rPr>
          <w:rFonts w:ascii="Verdana" w:hAnsi="Verdana"/>
          <w:sz w:val="20"/>
          <w:szCs w:val="20"/>
          <w:lang w:val="en-US"/>
        </w:rPr>
        <w:t>of</w:t>
      </w:r>
      <w:r w:rsidR="00032FC5" w:rsidRPr="00D869E3">
        <w:rPr>
          <w:rFonts w:ascii="Verdana" w:hAnsi="Verdana"/>
          <w:sz w:val="20"/>
          <w:szCs w:val="20"/>
          <w:lang w:val="en-US"/>
        </w:rPr>
        <w:t xml:space="preserve"> </w:t>
      </w:r>
      <w:r w:rsidR="00A25801" w:rsidRPr="00D869E3">
        <w:rPr>
          <w:rFonts w:ascii="Verdana" w:hAnsi="Verdana"/>
          <w:sz w:val="20"/>
          <w:szCs w:val="20"/>
          <w:lang w:val="en-US"/>
        </w:rPr>
        <w:t>the Social Charter of the Americas,</w:t>
      </w:r>
      <w:r w:rsidR="00032FC5" w:rsidRPr="00D869E3">
        <w:rPr>
          <w:rStyle w:val="Refdenotaalpie"/>
          <w:szCs w:val="20"/>
          <w:lang w:val="en-US"/>
        </w:rPr>
        <w:footnoteReference w:id="203"/>
      </w:r>
      <w:r w:rsidR="00032FC5" w:rsidRPr="00D869E3">
        <w:rPr>
          <w:rFonts w:ascii="Verdana" w:hAnsi="Verdana"/>
          <w:sz w:val="20"/>
          <w:szCs w:val="20"/>
          <w:lang w:val="en-US"/>
        </w:rPr>
        <w:t xml:space="preserve"> </w:t>
      </w:r>
      <w:r w:rsidR="00447C65" w:rsidRPr="00D869E3">
        <w:rPr>
          <w:rFonts w:ascii="Verdana" w:hAnsi="Verdana"/>
          <w:sz w:val="20"/>
          <w:szCs w:val="20"/>
          <w:lang w:val="en-US"/>
        </w:rPr>
        <w:t>Articles</w:t>
      </w:r>
      <w:r w:rsidR="00032FC5" w:rsidRPr="00D869E3">
        <w:rPr>
          <w:rFonts w:ascii="Verdana" w:hAnsi="Verdana"/>
          <w:sz w:val="20"/>
          <w:szCs w:val="20"/>
          <w:lang w:val="en-US"/>
        </w:rPr>
        <w:t xml:space="preserve"> 6</w:t>
      </w:r>
      <w:r w:rsidR="00687684" w:rsidRPr="00D869E3">
        <w:rPr>
          <w:rFonts w:ascii="Verdana" w:hAnsi="Verdana"/>
          <w:sz w:val="20"/>
          <w:szCs w:val="20"/>
          <w:lang w:val="en-US"/>
        </w:rPr>
        <w:t xml:space="preserve"> and </w:t>
      </w:r>
      <w:r w:rsidR="00032FC5" w:rsidRPr="00D869E3">
        <w:rPr>
          <w:rFonts w:ascii="Verdana" w:hAnsi="Verdana"/>
          <w:sz w:val="20"/>
          <w:szCs w:val="20"/>
          <w:lang w:val="en-US"/>
        </w:rPr>
        <w:t xml:space="preserve">7 </w:t>
      </w:r>
      <w:r w:rsidR="00A25801" w:rsidRPr="00D869E3">
        <w:rPr>
          <w:rFonts w:ascii="Verdana" w:hAnsi="Verdana"/>
          <w:sz w:val="20"/>
          <w:szCs w:val="20"/>
          <w:lang w:val="en-US"/>
        </w:rPr>
        <w:t xml:space="preserve">of the Additional Protocol to </w:t>
      </w:r>
      <w:r w:rsidR="00447C65" w:rsidRPr="00D869E3">
        <w:rPr>
          <w:rFonts w:ascii="Verdana" w:hAnsi="Verdana"/>
          <w:sz w:val="20"/>
          <w:szCs w:val="20"/>
          <w:lang w:val="en-US"/>
        </w:rPr>
        <w:t xml:space="preserve">the American </w:t>
      </w:r>
      <w:r w:rsidR="00A25801" w:rsidRPr="00D869E3">
        <w:rPr>
          <w:rFonts w:ascii="Verdana" w:hAnsi="Verdana"/>
          <w:sz w:val="20"/>
          <w:szCs w:val="20"/>
          <w:lang w:val="en-US"/>
        </w:rPr>
        <w:t>Convention in the Area of Economic, Social and Cultural Rights,</w:t>
      </w:r>
      <w:r w:rsidR="00032FC5" w:rsidRPr="00D869E3">
        <w:rPr>
          <w:rStyle w:val="Refdenotaalpie"/>
          <w:szCs w:val="20"/>
          <w:lang w:val="en-US"/>
        </w:rPr>
        <w:footnoteReference w:id="204"/>
      </w:r>
      <w:r w:rsidR="00032FC5" w:rsidRPr="00D869E3">
        <w:rPr>
          <w:rFonts w:ascii="Verdana" w:hAnsi="Verdana"/>
          <w:sz w:val="20"/>
          <w:szCs w:val="20"/>
          <w:lang w:val="en-US"/>
        </w:rPr>
        <w:t xml:space="preserve"> </w:t>
      </w:r>
      <w:r w:rsidR="00447C65" w:rsidRPr="00D869E3">
        <w:rPr>
          <w:rFonts w:ascii="Verdana" w:hAnsi="Verdana"/>
          <w:sz w:val="20"/>
          <w:szCs w:val="20"/>
          <w:lang w:val="en-US"/>
        </w:rPr>
        <w:t>Article</w:t>
      </w:r>
      <w:r w:rsidR="00032FC5" w:rsidRPr="00D869E3">
        <w:rPr>
          <w:rFonts w:ascii="Verdana" w:hAnsi="Verdana"/>
          <w:sz w:val="20"/>
          <w:szCs w:val="20"/>
          <w:lang w:val="en-US"/>
        </w:rPr>
        <w:t xml:space="preserve"> 11</w:t>
      </w:r>
      <w:r w:rsidR="00447C65" w:rsidRPr="00D869E3">
        <w:rPr>
          <w:rFonts w:ascii="Verdana" w:hAnsi="Verdana"/>
          <w:sz w:val="20"/>
          <w:szCs w:val="20"/>
          <w:lang w:val="en-US"/>
        </w:rPr>
        <w:t xml:space="preserve"> of the Convention</w:t>
      </w:r>
      <w:r w:rsidR="00032FC5" w:rsidRPr="00D869E3">
        <w:rPr>
          <w:rFonts w:ascii="Verdana" w:hAnsi="Verdana"/>
          <w:sz w:val="20"/>
          <w:szCs w:val="20"/>
          <w:lang w:val="en-US"/>
        </w:rPr>
        <w:t xml:space="preserve"> </w:t>
      </w:r>
      <w:r w:rsidR="00A25801" w:rsidRPr="00D869E3">
        <w:rPr>
          <w:rFonts w:ascii="Verdana" w:hAnsi="Verdana"/>
          <w:sz w:val="20"/>
          <w:szCs w:val="20"/>
          <w:lang w:val="en-US"/>
        </w:rPr>
        <w:t>on the Elimination of All Forms of Discrimination against Women,</w:t>
      </w:r>
      <w:r w:rsidR="00032FC5" w:rsidRPr="00D869E3">
        <w:rPr>
          <w:rStyle w:val="Refdenotaalpie"/>
          <w:szCs w:val="20"/>
          <w:lang w:val="en-US"/>
        </w:rPr>
        <w:footnoteReference w:id="205"/>
      </w:r>
      <w:r w:rsidR="00032FC5" w:rsidRPr="00D869E3">
        <w:rPr>
          <w:rFonts w:ascii="Verdana" w:hAnsi="Verdana"/>
          <w:sz w:val="20"/>
          <w:szCs w:val="20"/>
          <w:lang w:val="en-US"/>
        </w:rPr>
        <w:t xml:space="preserve"> </w:t>
      </w:r>
      <w:r w:rsidR="00447C65" w:rsidRPr="00D869E3">
        <w:rPr>
          <w:rFonts w:ascii="Verdana" w:hAnsi="Verdana"/>
          <w:sz w:val="20"/>
          <w:szCs w:val="20"/>
          <w:lang w:val="en-US"/>
        </w:rPr>
        <w:t>Article</w:t>
      </w:r>
      <w:r w:rsidR="00032FC5" w:rsidRPr="00D869E3">
        <w:rPr>
          <w:rFonts w:ascii="Verdana" w:hAnsi="Verdana"/>
          <w:sz w:val="20"/>
          <w:szCs w:val="20"/>
          <w:lang w:val="en-US"/>
        </w:rPr>
        <w:t xml:space="preserve"> 32</w:t>
      </w:r>
      <w:r w:rsidR="00A25801" w:rsidRPr="00D869E3">
        <w:rPr>
          <w:rFonts w:ascii="Verdana" w:hAnsi="Verdana"/>
          <w:sz w:val="20"/>
          <w:szCs w:val="20"/>
          <w:lang w:val="en-US"/>
        </w:rPr>
        <w:t>(</w:t>
      </w:r>
      <w:r w:rsidR="00032FC5" w:rsidRPr="00D869E3">
        <w:rPr>
          <w:rFonts w:ascii="Verdana" w:hAnsi="Verdana"/>
          <w:sz w:val="20"/>
          <w:szCs w:val="20"/>
          <w:lang w:val="en-US"/>
        </w:rPr>
        <w:t>1</w:t>
      </w:r>
      <w:r w:rsidR="00A25801" w:rsidRPr="00D869E3">
        <w:rPr>
          <w:rFonts w:ascii="Verdana" w:hAnsi="Verdana"/>
          <w:sz w:val="20"/>
          <w:szCs w:val="20"/>
          <w:lang w:val="en-US"/>
        </w:rPr>
        <w:t>)</w:t>
      </w:r>
      <w:r w:rsidR="00447C65" w:rsidRPr="00D869E3">
        <w:rPr>
          <w:rFonts w:ascii="Verdana" w:hAnsi="Verdana"/>
          <w:sz w:val="20"/>
          <w:szCs w:val="20"/>
          <w:lang w:val="en-US"/>
        </w:rPr>
        <w:t xml:space="preserve"> of the Convention</w:t>
      </w:r>
      <w:r w:rsidR="00032FC5" w:rsidRPr="00D869E3">
        <w:rPr>
          <w:rFonts w:ascii="Verdana" w:hAnsi="Verdana"/>
          <w:sz w:val="20"/>
          <w:szCs w:val="20"/>
          <w:lang w:val="en-US"/>
        </w:rPr>
        <w:t xml:space="preserve"> </w:t>
      </w:r>
      <w:r w:rsidR="00A25801" w:rsidRPr="00D869E3">
        <w:rPr>
          <w:rFonts w:ascii="Verdana" w:hAnsi="Verdana"/>
          <w:sz w:val="20"/>
          <w:szCs w:val="20"/>
          <w:lang w:val="en-US"/>
        </w:rPr>
        <w:t>on the Rights of the Child</w:t>
      </w:r>
      <w:r w:rsidRPr="00D869E3">
        <w:rPr>
          <w:rFonts w:ascii="Verdana" w:hAnsi="Verdana"/>
          <w:sz w:val="20"/>
          <w:szCs w:val="20"/>
          <w:lang w:val="en-US"/>
        </w:rPr>
        <w:t>;</w:t>
      </w:r>
      <w:r w:rsidR="00032FC5" w:rsidRPr="00D869E3">
        <w:rPr>
          <w:rStyle w:val="Refdenotaalpie"/>
          <w:szCs w:val="20"/>
          <w:lang w:val="en-US"/>
        </w:rPr>
        <w:footnoteReference w:id="206"/>
      </w:r>
      <w:r w:rsidR="00A25801" w:rsidRPr="00D869E3">
        <w:rPr>
          <w:rFonts w:ascii="Verdana" w:hAnsi="Verdana"/>
          <w:sz w:val="20"/>
          <w:szCs w:val="20"/>
          <w:lang w:val="en-US"/>
        </w:rPr>
        <w:t xml:space="preserve"> </w:t>
      </w:r>
      <w:r w:rsidR="00447C65" w:rsidRPr="00D869E3">
        <w:rPr>
          <w:rFonts w:ascii="Verdana" w:hAnsi="Verdana"/>
          <w:sz w:val="20"/>
          <w:szCs w:val="20"/>
          <w:lang w:val="en-US"/>
        </w:rPr>
        <w:t>Article</w:t>
      </w:r>
      <w:r w:rsidR="00E606B9" w:rsidRPr="00D869E3">
        <w:rPr>
          <w:rFonts w:ascii="Verdana" w:hAnsi="Verdana"/>
          <w:sz w:val="20"/>
          <w:szCs w:val="20"/>
          <w:lang w:val="en-US"/>
        </w:rPr>
        <w:t xml:space="preserve"> 1</w:t>
      </w:r>
      <w:r w:rsidR="00032FC5" w:rsidRPr="00D869E3">
        <w:rPr>
          <w:rFonts w:ascii="Verdana" w:hAnsi="Verdana"/>
          <w:sz w:val="20"/>
          <w:szCs w:val="20"/>
          <w:lang w:val="en-US"/>
        </w:rPr>
        <w:t xml:space="preserve"> </w:t>
      </w:r>
      <w:r w:rsidR="00A25801" w:rsidRPr="00D869E3">
        <w:rPr>
          <w:rFonts w:ascii="Verdana" w:hAnsi="Verdana"/>
          <w:sz w:val="20"/>
          <w:szCs w:val="20"/>
          <w:lang w:val="en-US"/>
        </w:rPr>
        <w:t>of the</w:t>
      </w:r>
      <w:r w:rsidR="00032FC5" w:rsidRPr="00D869E3">
        <w:rPr>
          <w:rFonts w:ascii="Verdana" w:hAnsi="Verdana"/>
          <w:sz w:val="20"/>
          <w:szCs w:val="20"/>
          <w:lang w:val="en-US"/>
        </w:rPr>
        <w:t xml:space="preserve"> </w:t>
      </w:r>
      <w:r w:rsidR="00A25801" w:rsidRPr="00D869E3">
        <w:rPr>
          <w:rFonts w:ascii="Verdana" w:hAnsi="Verdana"/>
          <w:sz w:val="20"/>
          <w:szCs w:val="20"/>
          <w:lang w:val="en-US"/>
        </w:rPr>
        <w:t>European Social Charter</w:t>
      </w:r>
      <w:r w:rsidR="00032FC5" w:rsidRPr="00D869E3">
        <w:rPr>
          <w:rStyle w:val="Refdenotaalpie"/>
          <w:szCs w:val="20"/>
          <w:lang w:val="en-US"/>
        </w:rPr>
        <w:footnoteReference w:id="207"/>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032FC5" w:rsidRPr="00D869E3">
        <w:rPr>
          <w:rFonts w:ascii="Verdana" w:hAnsi="Verdana"/>
          <w:sz w:val="20"/>
          <w:szCs w:val="20"/>
          <w:lang w:val="en-US"/>
        </w:rPr>
        <w:t xml:space="preserve"> 15 </w:t>
      </w:r>
      <w:r w:rsidR="00A25801" w:rsidRPr="00D869E3">
        <w:rPr>
          <w:rFonts w:ascii="Verdana" w:hAnsi="Verdana"/>
          <w:sz w:val="20"/>
          <w:szCs w:val="20"/>
          <w:lang w:val="en-US"/>
        </w:rPr>
        <w:t>of the</w:t>
      </w:r>
      <w:r w:rsidR="00032FC5" w:rsidRPr="00D869E3">
        <w:rPr>
          <w:rFonts w:ascii="Verdana" w:hAnsi="Verdana"/>
          <w:sz w:val="20"/>
          <w:szCs w:val="20"/>
          <w:lang w:val="en-US"/>
        </w:rPr>
        <w:t xml:space="preserve"> </w:t>
      </w:r>
      <w:r w:rsidR="00A25801" w:rsidRPr="00D869E3">
        <w:rPr>
          <w:rFonts w:ascii="Verdana" w:hAnsi="Verdana"/>
          <w:sz w:val="20"/>
          <w:szCs w:val="20"/>
          <w:lang w:val="en-US"/>
        </w:rPr>
        <w:t>African Charter on Human and Peoples’ Rights.</w:t>
      </w:r>
      <w:r w:rsidR="00032FC5" w:rsidRPr="00D869E3">
        <w:rPr>
          <w:rStyle w:val="Refdenotaalpie"/>
          <w:szCs w:val="20"/>
          <w:lang w:val="en-US"/>
        </w:rPr>
        <w:footnoteReference w:id="208"/>
      </w:r>
    </w:p>
    <w:p w14:paraId="55A72676" w14:textId="77777777" w:rsidR="00032FC5" w:rsidRPr="00D869E3" w:rsidRDefault="00032FC5" w:rsidP="00032FC5">
      <w:pPr>
        <w:contextualSpacing/>
        <w:jc w:val="both"/>
        <w:rPr>
          <w:rFonts w:ascii="Verdana" w:hAnsi="Verdana"/>
          <w:color w:val="000000"/>
          <w:sz w:val="20"/>
          <w:szCs w:val="20"/>
          <w:lang w:val="en-US"/>
        </w:rPr>
      </w:pPr>
    </w:p>
    <w:p w14:paraId="27F3C63F" w14:textId="4E5CA704" w:rsidR="008221EB" w:rsidRPr="00D869E3" w:rsidRDefault="008221EB" w:rsidP="00E66DD7">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Consequently, when analyzing the meaning and scope of Article 26 of the Convention in this case, the Court will take into account, in light of the general rules of interpretation established in Article 29(b), (c) and (d) of this instrument,</w:t>
      </w:r>
      <w:r w:rsidRPr="00D869E3">
        <w:rPr>
          <w:rStyle w:val="Refdenotaalpie"/>
          <w:rFonts w:cs="Verdana"/>
          <w:szCs w:val="20"/>
          <w:lang w:val="en-US"/>
        </w:rPr>
        <w:footnoteReference w:id="209"/>
      </w:r>
      <w:r w:rsidRPr="00D869E3">
        <w:rPr>
          <w:rFonts w:ascii="Verdana" w:hAnsi="Verdana"/>
          <w:sz w:val="20"/>
          <w:szCs w:val="20"/>
          <w:lang w:val="en-US"/>
        </w:rPr>
        <w:t xml:space="preserve"> the aforementioned protection of job security</w:t>
      </w:r>
      <w:r w:rsidRPr="00D869E3">
        <w:rPr>
          <w:rStyle w:val="Refdenotaalpie"/>
          <w:rFonts w:cs="Verdana"/>
          <w:szCs w:val="20"/>
          <w:lang w:val="en-US"/>
        </w:rPr>
        <w:footnoteReference w:id="210"/>
      </w:r>
      <w:r w:rsidRPr="00D869E3">
        <w:rPr>
          <w:rFonts w:ascii="Verdana" w:hAnsi="Verdana"/>
          <w:sz w:val="20"/>
          <w:szCs w:val="20"/>
          <w:lang w:val="en-US"/>
        </w:rPr>
        <w:t xml:space="preserve"> as applicable to the specific case</w:t>
      </w:r>
      <w:r w:rsidR="001D03B7" w:rsidRPr="00D869E3">
        <w:rPr>
          <w:rFonts w:ascii="Verdana" w:hAnsi="Verdana"/>
          <w:sz w:val="20"/>
          <w:szCs w:val="20"/>
          <w:lang w:val="en-US"/>
        </w:rPr>
        <w:t>.</w:t>
      </w:r>
    </w:p>
    <w:p w14:paraId="7D4FFFB8" w14:textId="77777777" w:rsidR="00032FC5" w:rsidRPr="00D869E3" w:rsidRDefault="00032FC5" w:rsidP="00032FC5">
      <w:pPr>
        <w:contextualSpacing/>
        <w:jc w:val="both"/>
        <w:rPr>
          <w:rFonts w:ascii="Verdana" w:hAnsi="Verdana"/>
          <w:sz w:val="20"/>
          <w:szCs w:val="20"/>
          <w:lang w:val="en-US"/>
        </w:rPr>
      </w:pPr>
    </w:p>
    <w:p w14:paraId="011223C5" w14:textId="45CF2DFB" w:rsidR="00032FC5" w:rsidRPr="00D869E3" w:rsidRDefault="00075E68" w:rsidP="008221EB">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In this regard</w:t>
      </w:r>
      <w:r w:rsidR="00032FC5" w:rsidRPr="00D869E3">
        <w:rPr>
          <w:rFonts w:ascii="Verdana" w:hAnsi="Verdana"/>
          <w:sz w:val="20"/>
          <w:szCs w:val="20"/>
          <w:lang w:val="en-US"/>
        </w:rPr>
        <w:t xml:space="preserve">, </w:t>
      </w:r>
      <w:r w:rsidR="007013E2" w:rsidRPr="00D869E3">
        <w:rPr>
          <w:rFonts w:ascii="Verdana" w:hAnsi="Verdana"/>
          <w:color w:val="000000"/>
          <w:sz w:val="20"/>
          <w:szCs w:val="20"/>
          <w:lang w:val="en-US"/>
        </w:rPr>
        <w:t>the Committee on Economic, Social and Cultural Rights</w:t>
      </w:r>
      <w:r w:rsidR="00032FC5" w:rsidRPr="00D869E3">
        <w:rPr>
          <w:rFonts w:ascii="Verdana" w:hAnsi="Verdana" w:cs="TimesNewRoman"/>
          <w:color w:val="000000"/>
          <w:sz w:val="20"/>
          <w:szCs w:val="20"/>
          <w:lang w:val="en-US" w:eastAsia="es-CR"/>
        </w:rPr>
        <w:t xml:space="preserve">, </w:t>
      </w:r>
      <w:r w:rsidR="008221EB" w:rsidRPr="00D869E3">
        <w:rPr>
          <w:rFonts w:ascii="Verdana" w:hAnsi="Verdana"/>
          <w:sz w:val="20"/>
          <w:szCs w:val="20"/>
          <w:lang w:val="en-US"/>
        </w:rPr>
        <w:t>in its General Comment No. 18 on the right to work, indicated that this included “the right not to be deprived of work unfairly.</w:t>
      </w:r>
      <w:r w:rsidR="006436CA" w:rsidRPr="00D869E3">
        <w:rPr>
          <w:rFonts w:ascii="Verdana" w:hAnsi="Verdana"/>
          <w:color w:val="000000"/>
          <w:sz w:val="20"/>
          <w:szCs w:val="20"/>
          <w:lang w:val="en-US" w:eastAsia="es-CR"/>
        </w:rPr>
        <w:t>”</w:t>
      </w:r>
      <w:r w:rsidR="00032FC5" w:rsidRPr="00D869E3">
        <w:rPr>
          <w:rStyle w:val="Refdenotaalpie"/>
          <w:rFonts w:cs="TimesNewRoman"/>
          <w:color w:val="000000"/>
          <w:szCs w:val="20"/>
          <w:lang w:val="en-US" w:eastAsia="es-CR"/>
        </w:rPr>
        <w:footnoteReference w:id="211"/>
      </w:r>
      <w:r w:rsidR="008221EB" w:rsidRPr="00D869E3">
        <w:rPr>
          <w:rFonts w:ascii="Verdana" w:hAnsi="Verdana"/>
          <w:color w:val="000000"/>
          <w:sz w:val="20"/>
          <w:szCs w:val="20"/>
          <w:lang w:val="en-US"/>
        </w:rPr>
        <w:t xml:space="preserve"> </w:t>
      </w:r>
      <w:r w:rsidR="008221EB" w:rsidRPr="00D869E3">
        <w:rPr>
          <w:rFonts w:ascii="Verdana" w:hAnsi="Verdana"/>
          <w:sz w:val="20"/>
          <w:szCs w:val="20"/>
          <w:lang w:val="en-US"/>
        </w:rPr>
        <w:t>It has also indicated that “[v]iolations of the obligation to protect follow from the failure of States parties to take all necessary measures to safeguard persons within their jurisdiction from infringements of the right to work by third parties,” which include “failure to protect workers against unlawful dismissal.</w:t>
      </w:r>
      <w:r w:rsidR="006436CA" w:rsidRPr="00D869E3">
        <w:rPr>
          <w:rFonts w:ascii="Verdana" w:hAnsi="Verdana"/>
          <w:color w:val="000000"/>
          <w:sz w:val="20"/>
          <w:szCs w:val="20"/>
          <w:lang w:val="en-US" w:eastAsia="es-CR"/>
        </w:rPr>
        <w:t>”</w:t>
      </w:r>
      <w:r w:rsidR="00032FC5" w:rsidRPr="00D869E3">
        <w:rPr>
          <w:rStyle w:val="Refdenotaalpie"/>
          <w:color w:val="000000"/>
          <w:szCs w:val="20"/>
          <w:lang w:val="en-US" w:eastAsia="es-CR"/>
        </w:rPr>
        <w:footnoteReference w:id="212"/>
      </w:r>
    </w:p>
    <w:p w14:paraId="2FF2DBAA" w14:textId="77777777" w:rsidR="00032FC5" w:rsidRPr="00D869E3" w:rsidRDefault="00032FC5" w:rsidP="00032FC5">
      <w:pPr>
        <w:contextualSpacing/>
        <w:jc w:val="both"/>
        <w:rPr>
          <w:rFonts w:ascii="Verdana" w:hAnsi="Verdana"/>
          <w:color w:val="000000"/>
          <w:sz w:val="20"/>
          <w:szCs w:val="20"/>
          <w:lang w:val="en-US" w:eastAsia="es-CR"/>
        </w:rPr>
      </w:pPr>
    </w:p>
    <w:p w14:paraId="12E1CAD9" w14:textId="40DC9F3B" w:rsidR="00032FC5" w:rsidRPr="00D869E3" w:rsidRDefault="008221EB" w:rsidP="008221EB">
      <w:pPr>
        <w:numPr>
          <w:ilvl w:val="0"/>
          <w:numId w:val="1"/>
        </w:numPr>
        <w:ind w:left="0" w:firstLine="0"/>
        <w:contextualSpacing/>
        <w:jc w:val="both"/>
        <w:rPr>
          <w:rFonts w:ascii="Verdana" w:hAnsi="Verdana"/>
          <w:color w:val="000000"/>
          <w:sz w:val="20"/>
          <w:szCs w:val="20"/>
          <w:lang w:val="en-US"/>
        </w:rPr>
      </w:pPr>
      <w:r w:rsidRPr="00D869E3">
        <w:rPr>
          <w:rFonts w:ascii="Verdana" w:hAnsi="Verdana"/>
          <w:sz w:val="20"/>
          <w:szCs w:val="20"/>
          <w:lang w:val="en-US"/>
        </w:rPr>
        <w:t xml:space="preserve">For example, Convention 158 of the International Labour Organization (ILO) on termination of employment </w:t>
      </w:r>
      <w:r w:rsidR="00032FC5" w:rsidRPr="00D869E3">
        <w:rPr>
          <w:rFonts w:ascii="Verdana" w:hAnsi="Verdana" w:cs="TimesNewRoman"/>
          <w:sz w:val="20"/>
          <w:szCs w:val="20"/>
          <w:lang w:val="en-US" w:eastAsia="es-CR"/>
        </w:rPr>
        <w:t>(1982)</w:t>
      </w:r>
      <w:r w:rsidRPr="00D869E3">
        <w:rPr>
          <w:rFonts w:ascii="Verdana" w:hAnsi="Verdana" w:cs="TimesNewRoman"/>
          <w:sz w:val="20"/>
          <w:szCs w:val="20"/>
          <w:lang w:val="en-US" w:eastAsia="es-CR"/>
        </w:rPr>
        <w:t>,</w:t>
      </w:r>
      <w:r w:rsidR="00032FC5" w:rsidRPr="00D869E3">
        <w:rPr>
          <w:rStyle w:val="Refdenotaalpie"/>
          <w:rFonts w:cs="TimesNewRoman"/>
          <w:szCs w:val="20"/>
          <w:lang w:val="en-US" w:eastAsia="es-CR"/>
        </w:rPr>
        <w:footnoteReference w:id="213"/>
      </w:r>
      <w:r w:rsidR="00032FC5" w:rsidRPr="00D869E3">
        <w:rPr>
          <w:rFonts w:ascii="Verdana" w:hAnsi="Verdana" w:cs="TimesNewRoman"/>
          <w:sz w:val="20"/>
          <w:szCs w:val="20"/>
          <w:lang w:val="en-US" w:eastAsia="es-CR"/>
        </w:rPr>
        <w:t xml:space="preserve"> </w:t>
      </w:r>
      <w:r w:rsidRPr="00D869E3">
        <w:rPr>
          <w:rFonts w:ascii="Verdana" w:hAnsi="Verdana"/>
          <w:sz w:val="20"/>
          <w:szCs w:val="20"/>
          <w:lang w:val="en-US"/>
        </w:rPr>
        <w:t>establishes that the right to work includes the lawfulness of termination in its article 4</w:t>
      </w:r>
      <w:r w:rsidR="000125F4" w:rsidRPr="00D869E3">
        <w:rPr>
          <w:rStyle w:val="Refdenotaalpie"/>
          <w:rFonts w:cs="TimesNewRoman"/>
          <w:szCs w:val="20"/>
          <w:lang w:val="en-US" w:eastAsia="es-CR"/>
        </w:rPr>
        <w:footnoteReference w:id="214"/>
      </w:r>
      <w:r w:rsidRPr="00D869E3">
        <w:rPr>
          <w:rFonts w:ascii="Verdana" w:hAnsi="Verdana"/>
          <w:sz w:val="20"/>
          <w:szCs w:val="20"/>
          <w:lang w:val="en-US"/>
        </w:rPr>
        <w:t xml:space="preserve"> but stipulates, in particular, the need to provide “a valid reason for such termination”</w:t>
      </w:r>
      <w:r w:rsidR="000125F4" w:rsidRPr="00D869E3">
        <w:rPr>
          <w:rStyle w:val="Refdenotaalpie"/>
          <w:rFonts w:cs="TimesNewRoman"/>
          <w:szCs w:val="20"/>
          <w:lang w:val="en-US" w:eastAsia="es-CR"/>
        </w:rPr>
        <w:footnoteReference w:id="215"/>
      </w:r>
      <w:r w:rsidRPr="00D869E3">
        <w:rPr>
          <w:rFonts w:ascii="Verdana" w:hAnsi="Verdana"/>
          <w:sz w:val="20"/>
          <w:szCs w:val="20"/>
          <w:lang w:val="en-US"/>
        </w:rPr>
        <w:t xml:space="preserve"> as well as the right to effective legal remedies in case of an unjustifiable termination. Likewise, ILO Recommendation No. 143</w:t>
      </w:r>
      <w:r w:rsidR="007422B9" w:rsidRPr="00D869E3">
        <w:rPr>
          <w:rStyle w:val="Refdenotaalpie"/>
          <w:szCs w:val="20"/>
          <w:lang w:val="en-US" w:eastAsia="es-CR"/>
        </w:rPr>
        <w:footnoteReference w:id="216"/>
      </w:r>
      <w:r w:rsidR="00A63061" w:rsidRPr="00D869E3">
        <w:rPr>
          <w:rFonts w:ascii="Verdana" w:hAnsi="Verdana" w:cs="TimesNewRoman"/>
          <w:sz w:val="20"/>
          <w:szCs w:val="20"/>
          <w:lang w:val="en-US" w:eastAsia="es-CR"/>
        </w:rPr>
        <w:t xml:space="preserve"> </w:t>
      </w:r>
      <w:r w:rsidRPr="00D869E3">
        <w:rPr>
          <w:rFonts w:ascii="Verdana" w:hAnsi="Verdana"/>
          <w:sz w:val="20"/>
          <w:szCs w:val="20"/>
          <w:lang w:val="en-US"/>
        </w:rPr>
        <w:t>on workers’ representatives requires that appropriate measures be taken and resources made available for the protection of the workers’ representatives.</w:t>
      </w:r>
      <w:r w:rsidR="00A63061" w:rsidRPr="00D869E3">
        <w:rPr>
          <w:rFonts w:ascii="Verdana" w:hAnsi="Verdana" w:cs="TimesNewRoman"/>
          <w:sz w:val="20"/>
          <w:szCs w:val="20"/>
          <w:lang w:val="en-US" w:eastAsia="es-CR"/>
        </w:rPr>
        <w:t xml:space="preserve"> (</w:t>
      </w:r>
      <w:r w:rsidR="00A63061" w:rsidRPr="00D869E3">
        <w:rPr>
          <w:rFonts w:ascii="Verdana" w:hAnsi="Verdana" w:cs="TimesNewRoman"/>
          <w:i/>
          <w:sz w:val="20"/>
          <w:szCs w:val="20"/>
          <w:lang w:val="en-US" w:eastAsia="es-CR"/>
        </w:rPr>
        <w:t>supra</w:t>
      </w:r>
      <w:r w:rsidR="00A63061" w:rsidRPr="00D869E3">
        <w:rPr>
          <w:rFonts w:ascii="Verdana" w:hAnsi="Verdana" w:cs="TimesNewRoman"/>
          <w:sz w:val="20"/>
          <w:szCs w:val="20"/>
          <w:lang w:val="en-US" w:eastAsia="es-CR"/>
        </w:rPr>
        <w:t xml:space="preserve">, </w:t>
      </w:r>
      <w:r w:rsidR="0087339F" w:rsidRPr="00D869E3">
        <w:rPr>
          <w:rFonts w:ascii="Verdana" w:hAnsi="Verdana" w:cs="TimesNewRoman"/>
          <w:sz w:val="20"/>
          <w:szCs w:val="20"/>
          <w:lang w:val="en-US" w:eastAsia="es-CR"/>
        </w:rPr>
        <w:t>para.</w:t>
      </w:r>
      <w:r w:rsidR="00A63061" w:rsidRPr="00D869E3">
        <w:rPr>
          <w:rFonts w:ascii="Verdana" w:hAnsi="Verdana" w:cs="TimesNewRoman"/>
          <w:sz w:val="20"/>
          <w:szCs w:val="20"/>
          <w:lang w:val="en-US" w:eastAsia="es-CR"/>
        </w:rPr>
        <w:t xml:space="preserve"> </w:t>
      </w:r>
      <w:r w:rsidR="004B01AC" w:rsidRPr="00D869E3">
        <w:rPr>
          <w:rFonts w:ascii="Verdana" w:hAnsi="Verdana" w:cs="TimesNewRoman"/>
          <w:sz w:val="20"/>
          <w:szCs w:val="20"/>
          <w:lang w:val="en-US" w:eastAsia="es-CR"/>
        </w:rPr>
        <w:t>126</w:t>
      </w:r>
      <w:r w:rsidR="00A63061" w:rsidRPr="00D869E3">
        <w:rPr>
          <w:rFonts w:ascii="Verdana" w:hAnsi="Verdana" w:cs="TimesNewRoman"/>
          <w:sz w:val="20"/>
          <w:szCs w:val="20"/>
          <w:lang w:val="en-US" w:eastAsia="es-CR"/>
        </w:rPr>
        <w:t>)</w:t>
      </w:r>
      <w:r w:rsidRPr="00D869E3">
        <w:rPr>
          <w:rFonts w:ascii="Verdana" w:hAnsi="Verdana" w:cs="TimesNewRoman"/>
          <w:sz w:val="20"/>
          <w:szCs w:val="20"/>
          <w:lang w:val="en-US" w:eastAsia="es-CR"/>
        </w:rPr>
        <w:t>.</w:t>
      </w:r>
      <w:r w:rsidR="000125F4" w:rsidRPr="00D869E3">
        <w:rPr>
          <w:rStyle w:val="Refdenotaalpie"/>
          <w:szCs w:val="20"/>
          <w:lang w:val="en-US" w:eastAsia="es-CR"/>
        </w:rPr>
        <w:footnoteReference w:id="217"/>
      </w:r>
    </w:p>
    <w:p w14:paraId="7B2FADC0" w14:textId="77777777" w:rsidR="00032FC5" w:rsidRPr="00D869E3" w:rsidRDefault="00032FC5" w:rsidP="00032FC5">
      <w:pPr>
        <w:contextualSpacing/>
        <w:jc w:val="both"/>
        <w:rPr>
          <w:rFonts w:ascii="Verdana" w:hAnsi="Verdana"/>
          <w:color w:val="000000"/>
          <w:sz w:val="20"/>
          <w:szCs w:val="20"/>
          <w:lang w:val="en-US"/>
        </w:rPr>
      </w:pPr>
    </w:p>
    <w:p w14:paraId="6F2988CF" w14:textId="2A105B13" w:rsidR="00032FC5" w:rsidRPr="00D869E3" w:rsidRDefault="008221EB" w:rsidP="008221EB">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In correlation to the above, it can be understood that, in the private sphere, the state obligation to protect the right to </w:t>
      </w:r>
      <w:r w:rsidR="003F11AA" w:rsidRPr="00D869E3">
        <w:rPr>
          <w:rFonts w:ascii="Verdana" w:hAnsi="Verdana"/>
          <w:sz w:val="20"/>
          <w:szCs w:val="20"/>
          <w:lang w:val="en-US"/>
        </w:rPr>
        <w:t>job security</w:t>
      </w:r>
      <w:r w:rsidRPr="00D869E3">
        <w:rPr>
          <w:rFonts w:ascii="Verdana" w:hAnsi="Verdana"/>
          <w:sz w:val="20"/>
          <w:szCs w:val="20"/>
          <w:lang w:val="en-US"/>
        </w:rPr>
        <w:t xml:space="preserve"> results, in principle, in the following duties: (a) to adopt the appropriate measures for the due regulation and monitoring</w:t>
      </w:r>
      <w:r w:rsidR="000125F4" w:rsidRPr="00D869E3">
        <w:rPr>
          <w:rStyle w:val="Refdenotaalpie"/>
          <w:color w:val="000000"/>
          <w:szCs w:val="20"/>
          <w:lang w:val="en-US"/>
        </w:rPr>
        <w:footnoteReference w:id="218"/>
      </w:r>
      <w:r w:rsidRPr="00D869E3">
        <w:rPr>
          <w:rFonts w:ascii="Verdana" w:hAnsi="Verdana"/>
          <w:sz w:val="20"/>
          <w:szCs w:val="20"/>
          <w:lang w:val="en-US"/>
        </w:rPr>
        <w:t xml:space="preserve"> of this right; (b) to </w:t>
      </w:r>
      <w:r w:rsidRPr="00D869E3">
        <w:rPr>
          <w:rFonts w:ascii="Verdana" w:hAnsi="Verdana"/>
          <w:sz w:val="20"/>
          <w:szCs w:val="20"/>
          <w:lang w:val="en-US"/>
        </w:rPr>
        <w:lastRenderedPageBreak/>
        <w:t>protect the workers against unjustified dismissal</w:t>
      </w:r>
      <w:r w:rsidR="008B38F5" w:rsidRPr="00D869E3">
        <w:rPr>
          <w:rFonts w:ascii="Verdana" w:hAnsi="Verdana"/>
          <w:sz w:val="20"/>
          <w:szCs w:val="20"/>
          <w:lang w:val="en-US"/>
        </w:rPr>
        <w:t xml:space="preserve"> through its competent organs</w:t>
      </w:r>
      <w:r w:rsidRPr="00D869E3">
        <w:rPr>
          <w:rFonts w:ascii="Verdana" w:hAnsi="Verdana"/>
          <w:sz w:val="20"/>
          <w:szCs w:val="20"/>
          <w:lang w:val="en-US"/>
        </w:rPr>
        <w:t>; (c) in case of unjustified dismissal, to rectify the situation (either by reinstatement or, if appropriate, by compensation and other social benefits established in domestic law). Consequently, (d) the State should provide effective grievance mechanisms in cases of unjustified dismissal, to ensure access to justice and the effective judicial protection of such rights</w:t>
      </w:r>
      <w:r w:rsidR="00815B20" w:rsidRPr="00D869E3">
        <w:rPr>
          <w:rFonts w:ascii="Verdana" w:hAnsi="Verdana"/>
          <w:color w:val="000000"/>
          <w:sz w:val="20"/>
          <w:szCs w:val="20"/>
          <w:lang w:val="en-US"/>
        </w:rPr>
        <w:t xml:space="preserve"> (</w:t>
      </w:r>
      <w:r w:rsidR="00815B20" w:rsidRPr="00D869E3">
        <w:rPr>
          <w:rFonts w:ascii="Verdana" w:hAnsi="Verdana"/>
          <w:i/>
          <w:color w:val="000000"/>
          <w:sz w:val="20"/>
          <w:szCs w:val="20"/>
          <w:lang w:val="en-US"/>
        </w:rPr>
        <w:t>infra</w:t>
      </w:r>
      <w:r w:rsidR="00815B20" w:rsidRPr="00D869E3">
        <w:rPr>
          <w:rFonts w:ascii="Verdana" w:hAnsi="Verdana"/>
          <w:color w:val="000000"/>
          <w:sz w:val="20"/>
          <w:szCs w:val="20"/>
          <w:lang w:val="en-US"/>
        </w:rPr>
        <w:t xml:space="preserve">, </w:t>
      </w:r>
      <w:r w:rsidR="0087339F" w:rsidRPr="00D869E3">
        <w:rPr>
          <w:rFonts w:ascii="Verdana" w:hAnsi="Verdana"/>
          <w:color w:val="000000"/>
          <w:sz w:val="20"/>
          <w:szCs w:val="20"/>
          <w:lang w:val="en-US"/>
        </w:rPr>
        <w:t>paras.</w:t>
      </w:r>
      <w:r w:rsidR="000E13A2" w:rsidRPr="00D869E3">
        <w:rPr>
          <w:rFonts w:ascii="Verdana" w:hAnsi="Verdana"/>
          <w:color w:val="000000"/>
          <w:sz w:val="20"/>
          <w:szCs w:val="20"/>
          <w:lang w:val="en-US"/>
        </w:rPr>
        <w:t xml:space="preserve"> 174</w:t>
      </w:r>
      <w:r w:rsidR="00DD5817" w:rsidRPr="00D869E3">
        <w:rPr>
          <w:rFonts w:ascii="Verdana" w:hAnsi="Verdana"/>
          <w:color w:val="000000"/>
          <w:sz w:val="20"/>
          <w:szCs w:val="20"/>
          <w:lang w:val="en-US"/>
        </w:rPr>
        <w:t>, 176</w:t>
      </w:r>
      <w:r w:rsidR="00687684" w:rsidRPr="00D869E3">
        <w:rPr>
          <w:rFonts w:ascii="Verdana" w:hAnsi="Verdana"/>
          <w:color w:val="000000"/>
          <w:sz w:val="20"/>
          <w:szCs w:val="20"/>
          <w:lang w:val="en-US"/>
        </w:rPr>
        <w:t xml:space="preserve"> and </w:t>
      </w:r>
      <w:r w:rsidR="00DD5817" w:rsidRPr="00D869E3">
        <w:rPr>
          <w:rFonts w:ascii="Verdana" w:hAnsi="Verdana"/>
          <w:color w:val="000000"/>
          <w:sz w:val="20"/>
          <w:szCs w:val="20"/>
          <w:lang w:val="en-US"/>
        </w:rPr>
        <w:t>180</w:t>
      </w:r>
      <w:r w:rsidR="000E13A2" w:rsidRPr="00D869E3">
        <w:rPr>
          <w:rFonts w:ascii="Verdana" w:hAnsi="Verdana"/>
          <w:color w:val="000000"/>
          <w:sz w:val="20"/>
          <w:szCs w:val="20"/>
          <w:lang w:val="en-US"/>
        </w:rPr>
        <w:t>)</w:t>
      </w:r>
      <w:r w:rsidR="00032FC5" w:rsidRPr="00D869E3">
        <w:rPr>
          <w:rFonts w:ascii="Verdana" w:hAnsi="Verdana"/>
          <w:color w:val="000000"/>
          <w:sz w:val="20"/>
          <w:szCs w:val="20"/>
          <w:lang w:val="en-US"/>
        </w:rPr>
        <w:t>.</w:t>
      </w:r>
    </w:p>
    <w:p w14:paraId="27725E91" w14:textId="77777777" w:rsidR="00032FC5" w:rsidRPr="00D869E3" w:rsidRDefault="00032FC5" w:rsidP="00032FC5">
      <w:pPr>
        <w:contextualSpacing/>
        <w:jc w:val="both"/>
        <w:rPr>
          <w:rFonts w:ascii="Verdana" w:hAnsi="Verdana"/>
          <w:color w:val="000000"/>
          <w:sz w:val="20"/>
          <w:lang w:val="en-US"/>
        </w:rPr>
      </w:pPr>
    </w:p>
    <w:p w14:paraId="69A2B3C5" w14:textId="4DAB8428" w:rsidR="00032FC5" w:rsidRPr="00D869E3" w:rsidRDefault="008221EB" w:rsidP="00E66DD7">
      <w:pPr>
        <w:numPr>
          <w:ilvl w:val="0"/>
          <w:numId w:val="1"/>
        </w:numPr>
        <w:ind w:left="0" w:firstLine="0"/>
        <w:contextualSpacing/>
        <w:jc w:val="both"/>
        <w:rPr>
          <w:rFonts w:ascii="Verdana" w:hAnsi="Verdana"/>
          <w:strike/>
          <w:sz w:val="20"/>
          <w:szCs w:val="20"/>
          <w:lang w:val="en-US"/>
        </w:rPr>
      </w:pPr>
      <w:r w:rsidRPr="00D869E3">
        <w:rPr>
          <w:rFonts w:ascii="Verdana" w:hAnsi="Verdana"/>
          <w:sz w:val="20"/>
          <w:szCs w:val="20"/>
          <w:lang w:val="en-US"/>
        </w:rPr>
        <w:t xml:space="preserve">It should be noted that </w:t>
      </w:r>
      <w:r w:rsidR="00761589" w:rsidRPr="00D869E3">
        <w:rPr>
          <w:rFonts w:ascii="Verdana" w:hAnsi="Verdana"/>
          <w:sz w:val="20"/>
          <w:szCs w:val="20"/>
          <w:lang w:val="en-US"/>
        </w:rPr>
        <w:t>job security</w:t>
      </w:r>
      <w:r w:rsidRPr="00D869E3">
        <w:rPr>
          <w:rFonts w:ascii="Verdana" w:hAnsi="Verdana"/>
          <w:sz w:val="20"/>
          <w:szCs w:val="20"/>
          <w:lang w:val="en-US"/>
        </w:rPr>
        <w:t xml:space="preserve"> does not consist in an unrestricted permanence in the post; but rather, to respect this right, among other measures, by granting due guarantees of protection to the worker so that, if he or she is dismissed this is with justification, which means that the employer must provide sufficient reasons to impose this sanction with the due guarantees, and that the worker may appeal this decision before the domestic authorities, who must verify that the justification given is not arbitrary or unlawful.</w:t>
      </w:r>
    </w:p>
    <w:p w14:paraId="21D77744" w14:textId="77777777" w:rsidR="00032FC5" w:rsidRPr="00D869E3" w:rsidRDefault="00032FC5" w:rsidP="00032FC5">
      <w:pPr>
        <w:contextualSpacing/>
        <w:jc w:val="both"/>
        <w:rPr>
          <w:rFonts w:ascii="Verdana" w:hAnsi="Verdana"/>
          <w:strike/>
          <w:sz w:val="20"/>
          <w:szCs w:val="20"/>
          <w:lang w:val="en-US"/>
        </w:rPr>
      </w:pPr>
    </w:p>
    <w:p w14:paraId="6207385A" w14:textId="05E35867" w:rsidR="00032FC5" w:rsidRPr="00D869E3" w:rsidRDefault="00E21A02" w:rsidP="00875485">
      <w:pPr>
        <w:numPr>
          <w:ilvl w:val="0"/>
          <w:numId w:val="1"/>
        </w:numPr>
        <w:ind w:left="0" w:firstLine="0"/>
        <w:contextualSpacing/>
        <w:jc w:val="both"/>
        <w:rPr>
          <w:rFonts w:ascii="Verdana" w:hAnsi="Verdana"/>
          <w:sz w:val="20"/>
          <w:szCs w:val="20"/>
          <w:lang w:val="en-US"/>
        </w:rPr>
      </w:pPr>
      <w:r w:rsidRPr="00D869E3">
        <w:rPr>
          <w:rFonts w:ascii="Verdana" w:hAnsi="Verdana"/>
          <w:color w:val="000000"/>
          <w:sz w:val="20"/>
          <w:szCs w:val="20"/>
          <w:lang w:val="en-US"/>
        </w:rPr>
        <w:t>In this specific case</w:t>
      </w:r>
      <w:r w:rsidR="00032FC5" w:rsidRPr="00D869E3">
        <w:rPr>
          <w:rFonts w:ascii="Verdana" w:hAnsi="Verdana"/>
          <w:color w:val="000000"/>
          <w:sz w:val="20"/>
          <w:szCs w:val="20"/>
          <w:lang w:val="en-US"/>
        </w:rPr>
        <w:t xml:space="preserve">, </w:t>
      </w:r>
      <w:r w:rsidR="001E44D3" w:rsidRPr="00D869E3">
        <w:rPr>
          <w:rFonts w:ascii="Verdana" w:hAnsi="Verdana"/>
          <w:color w:val="000000"/>
          <w:sz w:val="20"/>
          <w:szCs w:val="20"/>
          <w:lang w:val="en-US"/>
        </w:rPr>
        <w:t>Mr. Lagos del Campo</w:t>
      </w:r>
      <w:r w:rsidR="00032FC5" w:rsidRPr="00D869E3">
        <w:rPr>
          <w:rFonts w:ascii="Verdana" w:hAnsi="Verdana"/>
          <w:color w:val="000000"/>
          <w:sz w:val="20"/>
          <w:szCs w:val="20"/>
          <w:lang w:val="en-US"/>
        </w:rPr>
        <w:t xml:space="preserve"> ha</w:t>
      </w:r>
      <w:r w:rsidR="000F6922" w:rsidRPr="00D869E3">
        <w:rPr>
          <w:rFonts w:ascii="Verdana" w:hAnsi="Verdana"/>
          <w:color w:val="000000"/>
          <w:sz w:val="20"/>
          <w:szCs w:val="20"/>
          <w:lang w:val="en-US"/>
        </w:rPr>
        <w:t xml:space="preserve">d been employed by the </w:t>
      </w:r>
      <w:r w:rsidR="009C4862" w:rsidRPr="00D869E3">
        <w:rPr>
          <w:rFonts w:ascii="Verdana" w:hAnsi="Verdana"/>
          <w:color w:val="000000"/>
          <w:sz w:val="20"/>
          <w:szCs w:val="20"/>
          <w:lang w:val="en-US"/>
        </w:rPr>
        <w:t>aforementioned</w:t>
      </w:r>
      <w:r w:rsidR="000F6922" w:rsidRPr="00D869E3">
        <w:rPr>
          <w:rFonts w:ascii="Verdana" w:hAnsi="Verdana"/>
          <w:color w:val="000000"/>
          <w:sz w:val="20"/>
          <w:szCs w:val="20"/>
          <w:lang w:val="en-US"/>
        </w:rPr>
        <w:t xml:space="preserve"> company as a manual worker for approximately 13 years and, at the time of the facts, he was </w:t>
      </w:r>
      <w:r w:rsidR="001B0492" w:rsidRPr="00D869E3">
        <w:rPr>
          <w:rFonts w:ascii="Verdana" w:hAnsi="Verdana"/>
          <w:color w:val="000000"/>
          <w:sz w:val="20"/>
          <w:szCs w:val="20"/>
          <w:lang w:val="en-US"/>
        </w:rPr>
        <w:t>president of the Electoral</w:t>
      </w:r>
      <w:r w:rsidR="00EA232B" w:rsidRPr="00D869E3">
        <w:rPr>
          <w:rFonts w:ascii="Verdana" w:hAnsi="Verdana"/>
          <w:color w:val="000000"/>
          <w:sz w:val="20"/>
          <w:szCs w:val="20"/>
          <w:lang w:val="en-US"/>
        </w:rPr>
        <w:t xml:space="preserve"> Committee of the</w:t>
      </w:r>
      <w:r w:rsidR="000F6922" w:rsidRPr="00D869E3">
        <w:rPr>
          <w:rFonts w:ascii="Verdana" w:hAnsi="Verdana"/>
          <w:color w:val="000000"/>
          <w:sz w:val="20"/>
          <w:szCs w:val="20"/>
          <w:lang w:val="en-US"/>
        </w:rPr>
        <w:t xml:space="preserve"> company’s</w:t>
      </w:r>
      <w:r w:rsidR="00EA232B" w:rsidRPr="00D869E3">
        <w:rPr>
          <w:rFonts w:ascii="Verdana" w:hAnsi="Verdana"/>
          <w:color w:val="000000"/>
          <w:sz w:val="20"/>
          <w:szCs w:val="20"/>
          <w:lang w:val="en-US"/>
        </w:rPr>
        <w:t xml:space="preserve"> Industrial Community</w:t>
      </w:r>
      <w:r w:rsidR="00032FC5" w:rsidRPr="00D869E3">
        <w:rPr>
          <w:rFonts w:ascii="Verdana" w:hAnsi="Verdana"/>
          <w:color w:val="000000"/>
          <w:sz w:val="20"/>
          <w:szCs w:val="20"/>
          <w:lang w:val="en-US"/>
        </w:rPr>
        <w:t xml:space="preserve"> </w:t>
      </w:r>
      <w:r w:rsidR="000F6922" w:rsidRPr="00D869E3">
        <w:rPr>
          <w:rFonts w:ascii="Verdana" w:hAnsi="Verdana"/>
          <w:color w:val="000000"/>
          <w:sz w:val="20"/>
          <w:szCs w:val="20"/>
          <w:lang w:val="en-US"/>
        </w:rPr>
        <w:t xml:space="preserve">and the delegate </w:t>
      </w:r>
      <w:r w:rsidR="009C4862" w:rsidRPr="00D869E3">
        <w:rPr>
          <w:rFonts w:ascii="Verdana" w:hAnsi="Verdana"/>
          <w:color w:val="000000"/>
          <w:sz w:val="20"/>
          <w:szCs w:val="20"/>
          <w:lang w:val="en-US"/>
        </w:rPr>
        <w:t>to</w:t>
      </w:r>
      <w:r w:rsidR="000F6922" w:rsidRPr="00D869E3">
        <w:rPr>
          <w:rFonts w:ascii="Verdana" w:hAnsi="Verdana"/>
          <w:color w:val="000000"/>
          <w:sz w:val="20"/>
          <w:szCs w:val="20"/>
          <w:lang w:val="en-US"/>
        </w:rPr>
        <w:t xml:space="preserve"> </w:t>
      </w:r>
      <w:r w:rsidR="00032FC5" w:rsidRPr="00D869E3">
        <w:rPr>
          <w:rFonts w:ascii="Verdana" w:hAnsi="Verdana"/>
          <w:color w:val="000000"/>
          <w:sz w:val="20"/>
          <w:szCs w:val="20"/>
          <w:lang w:val="en-US"/>
        </w:rPr>
        <w:t xml:space="preserve">CONACI. </w:t>
      </w:r>
      <w:r w:rsidR="000F6922" w:rsidRPr="00D869E3">
        <w:rPr>
          <w:rFonts w:ascii="Verdana" w:hAnsi="Verdana"/>
          <w:color w:val="000000"/>
          <w:sz w:val="20"/>
          <w:szCs w:val="20"/>
          <w:lang w:val="en-US"/>
        </w:rPr>
        <w:t>Based on statements made during an interview published in “La Razón” in the context of internal elections,</w:t>
      </w:r>
      <w:r w:rsidR="009C4862" w:rsidRPr="00D869E3">
        <w:rPr>
          <w:rFonts w:ascii="Verdana" w:hAnsi="Verdana"/>
          <w:color w:val="000000"/>
          <w:sz w:val="20"/>
          <w:szCs w:val="20"/>
          <w:lang w:val="en-US"/>
        </w:rPr>
        <w:t xml:space="preserve"> Mr. Lagos del Campo </w:t>
      </w:r>
      <w:r w:rsidR="000F6922" w:rsidRPr="00D869E3">
        <w:rPr>
          <w:rFonts w:ascii="Verdana" w:hAnsi="Verdana"/>
          <w:color w:val="000000"/>
          <w:sz w:val="20"/>
          <w:szCs w:val="20"/>
          <w:lang w:val="en-US"/>
        </w:rPr>
        <w:t xml:space="preserve">was dismissed for having committed a serious verbal offense against </w:t>
      </w:r>
      <w:r w:rsidR="009C4862" w:rsidRPr="00D869E3">
        <w:rPr>
          <w:rFonts w:ascii="Verdana" w:hAnsi="Verdana"/>
          <w:color w:val="000000"/>
          <w:sz w:val="20"/>
          <w:szCs w:val="20"/>
          <w:lang w:val="en-US"/>
        </w:rPr>
        <w:t>his</w:t>
      </w:r>
      <w:r w:rsidR="000F6922" w:rsidRPr="00D869E3">
        <w:rPr>
          <w:rFonts w:ascii="Verdana" w:hAnsi="Verdana"/>
          <w:color w:val="000000"/>
          <w:sz w:val="20"/>
          <w:szCs w:val="20"/>
          <w:lang w:val="en-US"/>
        </w:rPr>
        <w:t xml:space="preserve"> employer</w:t>
      </w:r>
      <w:r w:rsidR="00032FC5" w:rsidRPr="00D869E3">
        <w:rPr>
          <w:rFonts w:ascii="Verdana" w:hAnsi="Verdana"/>
          <w:color w:val="000000"/>
          <w:sz w:val="20"/>
          <w:szCs w:val="20"/>
          <w:lang w:val="en-US"/>
        </w:rPr>
        <w:t xml:space="preserve">. </w:t>
      </w:r>
      <w:r w:rsidR="009C4862" w:rsidRPr="00D869E3">
        <w:rPr>
          <w:rFonts w:ascii="Verdana" w:hAnsi="Verdana"/>
          <w:color w:val="000000"/>
          <w:sz w:val="20"/>
          <w:szCs w:val="20"/>
          <w:lang w:val="en-US"/>
        </w:rPr>
        <w:t>He</w:t>
      </w:r>
      <w:r w:rsidR="00032FC5" w:rsidRPr="00D869E3">
        <w:rPr>
          <w:rFonts w:ascii="Verdana" w:hAnsi="Verdana"/>
          <w:color w:val="000000"/>
          <w:sz w:val="20"/>
          <w:szCs w:val="20"/>
          <w:lang w:val="en-US"/>
        </w:rPr>
        <w:t xml:space="preserve"> </w:t>
      </w:r>
      <w:r w:rsidR="000F6922" w:rsidRPr="00D869E3">
        <w:rPr>
          <w:rFonts w:ascii="Verdana" w:hAnsi="Verdana"/>
          <w:color w:val="000000"/>
          <w:sz w:val="20"/>
          <w:szCs w:val="20"/>
          <w:lang w:val="en-US"/>
        </w:rPr>
        <w:t xml:space="preserve">contested this decision before the competent organs, </w:t>
      </w:r>
      <w:r w:rsidR="00875485" w:rsidRPr="00D869E3">
        <w:rPr>
          <w:rFonts w:ascii="Verdana" w:hAnsi="Verdana"/>
          <w:color w:val="000000"/>
          <w:sz w:val="20"/>
          <w:szCs w:val="20"/>
          <w:lang w:val="en-US"/>
        </w:rPr>
        <w:t xml:space="preserve">but it was </w:t>
      </w:r>
      <w:r w:rsidR="00D329A8" w:rsidRPr="00D869E3">
        <w:rPr>
          <w:rFonts w:ascii="Verdana" w:hAnsi="Verdana"/>
          <w:color w:val="000000"/>
          <w:sz w:val="20"/>
          <w:szCs w:val="20"/>
          <w:lang w:val="en-US"/>
        </w:rPr>
        <w:t>ratifie</w:t>
      </w:r>
      <w:r w:rsidR="00875485" w:rsidRPr="00D869E3">
        <w:rPr>
          <w:rFonts w:ascii="Verdana" w:hAnsi="Verdana"/>
          <w:color w:val="000000"/>
          <w:sz w:val="20"/>
          <w:szCs w:val="20"/>
          <w:lang w:val="en-US"/>
        </w:rPr>
        <w:t xml:space="preserve">d in second instance, considering that he had been dismissed for a justified reason. </w:t>
      </w:r>
      <w:r w:rsidR="009C4862" w:rsidRPr="00D869E3">
        <w:rPr>
          <w:rFonts w:ascii="Verdana" w:hAnsi="Verdana"/>
          <w:color w:val="000000"/>
          <w:sz w:val="20"/>
          <w:szCs w:val="20"/>
          <w:lang w:val="en-US"/>
        </w:rPr>
        <w:t>He appealed this</w:t>
      </w:r>
      <w:r w:rsidR="00875485" w:rsidRPr="00D869E3">
        <w:rPr>
          <w:rFonts w:ascii="Verdana" w:hAnsi="Verdana"/>
          <w:color w:val="000000"/>
          <w:sz w:val="20"/>
          <w:szCs w:val="20"/>
          <w:lang w:val="en-US"/>
        </w:rPr>
        <w:t xml:space="preserve"> decision before various domestic instances, without finding protection, particularly for his right to job security, alleging </w:t>
      </w:r>
      <w:r w:rsidR="009C4862" w:rsidRPr="00D869E3">
        <w:rPr>
          <w:rFonts w:ascii="Verdana" w:hAnsi="Verdana"/>
          <w:color w:val="000000"/>
          <w:sz w:val="20"/>
          <w:szCs w:val="20"/>
          <w:lang w:val="en-US"/>
        </w:rPr>
        <w:t>that the</w:t>
      </w:r>
      <w:r w:rsidR="00875485" w:rsidRPr="00D869E3">
        <w:rPr>
          <w:rFonts w:ascii="Verdana" w:hAnsi="Verdana"/>
          <w:color w:val="000000"/>
          <w:sz w:val="20"/>
          <w:szCs w:val="20"/>
          <w:lang w:val="en-US"/>
        </w:rPr>
        <w:t xml:space="preserve"> reasons for </w:t>
      </w:r>
      <w:r w:rsidR="009C4862" w:rsidRPr="00D869E3">
        <w:rPr>
          <w:rFonts w:ascii="Verdana" w:hAnsi="Verdana"/>
          <w:color w:val="000000"/>
          <w:sz w:val="20"/>
          <w:szCs w:val="20"/>
          <w:lang w:val="en-US"/>
        </w:rPr>
        <w:t>his</w:t>
      </w:r>
      <w:r w:rsidR="00875485" w:rsidRPr="00D869E3">
        <w:rPr>
          <w:rFonts w:ascii="Verdana" w:hAnsi="Verdana"/>
          <w:color w:val="000000"/>
          <w:sz w:val="20"/>
          <w:szCs w:val="20"/>
          <w:lang w:val="en-US"/>
        </w:rPr>
        <w:t xml:space="preserve"> dismissal </w:t>
      </w:r>
      <w:r w:rsidR="009C4862" w:rsidRPr="00D869E3">
        <w:rPr>
          <w:rFonts w:ascii="Verdana" w:hAnsi="Verdana"/>
          <w:color w:val="000000"/>
          <w:sz w:val="20"/>
          <w:szCs w:val="20"/>
          <w:lang w:val="en-US"/>
        </w:rPr>
        <w:t xml:space="preserve">were unjustified </w:t>
      </w:r>
      <w:r w:rsidR="00875485" w:rsidRPr="00D869E3">
        <w:rPr>
          <w:rFonts w:ascii="Verdana" w:hAnsi="Verdana"/>
          <w:color w:val="000000"/>
          <w:sz w:val="20"/>
          <w:szCs w:val="20"/>
          <w:lang w:val="en-US"/>
        </w:rPr>
        <w:t xml:space="preserve">or </w:t>
      </w:r>
      <w:r w:rsidR="009C4862" w:rsidRPr="00D869E3">
        <w:rPr>
          <w:rFonts w:ascii="Verdana" w:hAnsi="Verdana"/>
          <w:color w:val="000000"/>
          <w:sz w:val="20"/>
          <w:szCs w:val="20"/>
          <w:lang w:val="en-US"/>
        </w:rPr>
        <w:t xml:space="preserve">unwarranted </w:t>
      </w:r>
      <w:r w:rsidR="00875485" w:rsidRPr="00D869E3">
        <w:rPr>
          <w:rFonts w:ascii="Verdana" w:hAnsi="Verdana"/>
          <w:color w:val="000000"/>
          <w:sz w:val="20"/>
          <w:szCs w:val="20"/>
          <w:lang w:val="en-US"/>
        </w:rPr>
        <w:t xml:space="preserve">and that due process had been </w:t>
      </w:r>
      <w:r w:rsidR="00A9654F" w:rsidRPr="00D869E3">
        <w:rPr>
          <w:rFonts w:ascii="Verdana" w:hAnsi="Verdana"/>
          <w:color w:val="000000"/>
          <w:sz w:val="20"/>
          <w:szCs w:val="20"/>
          <w:lang w:val="en-US"/>
        </w:rPr>
        <w:t>violat</w:t>
      </w:r>
      <w:r w:rsidR="00875485" w:rsidRPr="00D869E3">
        <w:rPr>
          <w:rFonts w:ascii="Verdana" w:hAnsi="Verdana"/>
          <w:color w:val="000000"/>
          <w:sz w:val="20"/>
          <w:szCs w:val="20"/>
          <w:lang w:val="en-US"/>
        </w:rPr>
        <w:t xml:space="preserve">ed. </w:t>
      </w:r>
      <w:r w:rsidR="00A9654F" w:rsidRPr="00D869E3">
        <w:rPr>
          <w:rFonts w:ascii="Verdana" w:hAnsi="Verdana"/>
          <w:color w:val="000000"/>
          <w:sz w:val="20"/>
          <w:szCs w:val="20"/>
          <w:lang w:val="en-US"/>
        </w:rPr>
        <w:t>That is to say</w:t>
      </w:r>
      <w:r w:rsidR="00875485" w:rsidRPr="00D869E3">
        <w:rPr>
          <w:rFonts w:ascii="Verdana" w:hAnsi="Verdana"/>
          <w:color w:val="000000"/>
          <w:sz w:val="20"/>
          <w:szCs w:val="20"/>
          <w:lang w:val="en-US"/>
        </w:rPr>
        <w:t>, in light of the arbitrary dismissal by the company</w:t>
      </w:r>
      <w:r w:rsidR="00032FC5" w:rsidRPr="00D869E3">
        <w:rPr>
          <w:rFonts w:ascii="Verdana" w:hAnsi="Verdana"/>
          <w:color w:val="000000"/>
          <w:sz w:val="20"/>
          <w:szCs w:val="20"/>
          <w:lang w:val="en-US"/>
        </w:rPr>
        <w:t xml:space="preserve"> (</w:t>
      </w:r>
      <w:r w:rsidR="00032FC5" w:rsidRPr="00D869E3">
        <w:rPr>
          <w:rFonts w:ascii="Verdana" w:hAnsi="Verdana"/>
          <w:i/>
          <w:color w:val="000000"/>
          <w:sz w:val="20"/>
          <w:szCs w:val="20"/>
          <w:lang w:val="en-US"/>
        </w:rPr>
        <w:t>supra</w:t>
      </w:r>
      <w:r w:rsidR="00032FC5" w:rsidRPr="00D869E3">
        <w:rPr>
          <w:rFonts w:ascii="Verdana" w:hAnsi="Verdana"/>
          <w:color w:val="000000"/>
          <w:sz w:val="20"/>
          <w:szCs w:val="20"/>
          <w:lang w:val="en-US"/>
        </w:rPr>
        <w:t xml:space="preserve">, </w:t>
      </w:r>
      <w:r w:rsidR="0087339F" w:rsidRPr="00D869E3">
        <w:rPr>
          <w:rFonts w:ascii="Verdana" w:hAnsi="Verdana"/>
          <w:color w:val="000000"/>
          <w:sz w:val="20"/>
          <w:szCs w:val="20"/>
          <w:lang w:val="en-US"/>
        </w:rPr>
        <w:t>para.</w:t>
      </w:r>
      <w:r w:rsidR="00032FC5" w:rsidRPr="00D869E3">
        <w:rPr>
          <w:rFonts w:ascii="Verdana" w:hAnsi="Verdana"/>
          <w:color w:val="000000"/>
          <w:sz w:val="20"/>
          <w:szCs w:val="20"/>
          <w:lang w:val="en-US"/>
        </w:rPr>
        <w:t xml:space="preserve"> </w:t>
      </w:r>
      <w:r w:rsidR="00D97397" w:rsidRPr="00D869E3">
        <w:rPr>
          <w:rFonts w:ascii="Verdana" w:hAnsi="Verdana"/>
          <w:color w:val="000000"/>
          <w:sz w:val="20"/>
          <w:szCs w:val="20"/>
          <w:lang w:val="en-US"/>
        </w:rPr>
        <w:t>132</w:t>
      </w:r>
      <w:r w:rsidR="00032FC5"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State</w:t>
      </w:r>
      <w:r w:rsidR="00032FC5" w:rsidRPr="00D869E3">
        <w:rPr>
          <w:rFonts w:ascii="Verdana" w:hAnsi="Verdana"/>
          <w:color w:val="000000"/>
          <w:sz w:val="20"/>
          <w:szCs w:val="20"/>
          <w:lang w:val="en-US"/>
        </w:rPr>
        <w:t xml:space="preserve"> </w:t>
      </w:r>
      <w:r w:rsidR="00875485" w:rsidRPr="00D869E3">
        <w:rPr>
          <w:rFonts w:ascii="Verdana" w:hAnsi="Verdana"/>
          <w:color w:val="000000"/>
          <w:sz w:val="20"/>
          <w:szCs w:val="20"/>
          <w:lang w:val="en-US"/>
        </w:rPr>
        <w:t xml:space="preserve">failed to adopt adequate measures to protect the violation of the right to work by third parties. </w:t>
      </w:r>
      <w:r w:rsidR="00A9654F" w:rsidRPr="00D869E3">
        <w:rPr>
          <w:rFonts w:ascii="Verdana" w:hAnsi="Verdana"/>
          <w:color w:val="000000"/>
          <w:sz w:val="20"/>
          <w:szCs w:val="20"/>
          <w:lang w:val="en-US"/>
        </w:rPr>
        <w:t>Thus</w:t>
      </w:r>
      <w:r w:rsidR="00875485" w:rsidRPr="00D869E3">
        <w:rPr>
          <w:rFonts w:ascii="Verdana" w:hAnsi="Verdana"/>
          <w:color w:val="000000"/>
          <w:sz w:val="20"/>
          <w:szCs w:val="20"/>
          <w:lang w:val="en-US"/>
        </w:rPr>
        <w:t xml:space="preserve">, </w:t>
      </w:r>
      <w:r w:rsidR="00A9654F" w:rsidRPr="00D869E3">
        <w:rPr>
          <w:rFonts w:ascii="Verdana" w:hAnsi="Verdana"/>
          <w:color w:val="000000"/>
          <w:sz w:val="20"/>
          <w:szCs w:val="20"/>
          <w:lang w:val="en-US"/>
        </w:rPr>
        <w:t>Mr. Lagos del Campo</w:t>
      </w:r>
      <w:r w:rsidR="00875485" w:rsidRPr="00D869E3">
        <w:rPr>
          <w:rFonts w:ascii="Verdana" w:hAnsi="Verdana"/>
          <w:color w:val="000000"/>
          <w:sz w:val="20"/>
          <w:szCs w:val="20"/>
          <w:lang w:val="en-US"/>
        </w:rPr>
        <w:t xml:space="preserve"> was not reinstated in his job and did not receive any compensation or the corresponding benefits.</w:t>
      </w:r>
    </w:p>
    <w:p w14:paraId="4A09CDEE" w14:textId="77777777" w:rsidR="00032FC5" w:rsidRPr="00D869E3" w:rsidRDefault="00032FC5" w:rsidP="00032FC5">
      <w:pPr>
        <w:contextualSpacing/>
        <w:jc w:val="both"/>
        <w:rPr>
          <w:rFonts w:ascii="Verdana" w:hAnsi="Verdana"/>
          <w:sz w:val="20"/>
          <w:szCs w:val="20"/>
          <w:lang w:val="en-US"/>
        </w:rPr>
      </w:pPr>
    </w:p>
    <w:p w14:paraId="752DF940" w14:textId="721C9C2C" w:rsidR="00032FC5" w:rsidRPr="00D869E3" w:rsidRDefault="00A9654F"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Consequently</w:t>
      </w:r>
      <w:r w:rsidR="00875485"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032FC5" w:rsidRPr="00D869E3">
        <w:rPr>
          <w:rFonts w:ascii="Verdana" w:hAnsi="Verdana"/>
          <w:sz w:val="20"/>
          <w:szCs w:val="20"/>
          <w:lang w:val="en-US"/>
        </w:rPr>
        <w:t xml:space="preserve"> </w:t>
      </w:r>
      <w:r w:rsidR="00875485" w:rsidRPr="00D869E3">
        <w:rPr>
          <w:rFonts w:ascii="Verdana" w:hAnsi="Verdana"/>
          <w:sz w:val="20"/>
          <w:szCs w:val="20"/>
          <w:lang w:val="en-US"/>
        </w:rPr>
        <w:t>lost his job, the possibility of a retirement pensi</w:t>
      </w:r>
      <w:r w:rsidR="00501FE4" w:rsidRPr="00D869E3">
        <w:rPr>
          <w:rFonts w:ascii="Verdana" w:hAnsi="Verdana"/>
          <w:sz w:val="20"/>
          <w:szCs w:val="20"/>
          <w:lang w:val="en-US"/>
        </w:rPr>
        <w:t>o</w:t>
      </w:r>
      <w:r w:rsidR="00875485" w:rsidRPr="00D869E3">
        <w:rPr>
          <w:rFonts w:ascii="Verdana" w:hAnsi="Verdana"/>
          <w:sz w:val="20"/>
          <w:szCs w:val="20"/>
          <w:lang w:val="en-US"/>
        </w:rPr>
        <w:t>n, and also the exercise of his rights as a workers’ representative</w:t>
      </w:r>
      <w:r w:rsidR="00032FC5" w:rsidRPr="00D869E3">
        <w:rPr>
          <w:rFonts w:ascii="Verdana" w:hAnsi="Verdana"/>
          <w:sz w:val="20"/>
          <w:szCs w:val="20"/>
          <w:lang w:val="en-US"/>
        </w:rPr>
        <w:t xml:space="preserve">. </w:t>
      </w:r>
      <w:r w:rsidR="00E679D0" w:rsidRPr="00D869E3">
        <w:rPr>
          <w:rFonts w:ascii="Verdana" w:hAnsi="Verdana"/>
          <w:sz w:val="20"/>
          <w:szCs w:val="20"/>
          <w:lang w:val="en-US"/>
        </w:rPr>
        <w:t xml:space="preserve">This also had an impact on his professional, personal and family life </w:t>
      </w:r>
      <w:r w:rsidR="00032FC5" w:rsidRPr="00D869E3">
        <w:rPr>
          <w:rFonts w:ascii="Verdana" w:hAnsi="Verdana"/>
          <w:sz w:val="20"/>
          <w:szCs w:val="20"/>
          <w:lang w:val="en-US"/>
        </w:rPr>
        <w:t>(</w:t>
      </w:r>
      <w:r w:rsidR="00032FC5" w:rsidRPr="00D869E3">
        <w:rPr>
          <w:rFonts w:ascii="Verdana" w:hAnsi="Verdana"/>
          <w:i/>
          <w:sz w:val="20"/>
          <w:szCs w:val="20"/>
          <w:lang w:val="en-US"/>
        </w:rPr>
        <w:t>supra,</w:t>
      </w:r>
      <w:r w:rsidR="00032FC5" w:rsidRPr="00D869E3">
        <w:rPr>
          <w:rFonts w:ascii="Verdana" w:hAnsi="Verdana"/>
          <w:sz w:val="20"/>
          <w:szCs w:val="20"/>
          <w:lang w:val="en-US"/>
        </w:rPr>
        <w:t xml:space="preserve"> </w:t>
      </w:r>
      <w:r w:rsidR="0087339F" w:rsidRPr="00D869E3">
        <w:rPr>
          <w:rFonts w:ascii="Verdana" w:hAnsi="Verdana"/>
          <w:sz w:val="20"/>
          <w:szCs w:val="20"/>
          <w:lang w:val="en-US"/>
        </w:rPr>
        <w:t>para.</w:t>
      </w:r>
      <w:r w:rsidR="00032FC5" w:rsidRPr="00D869E3">
        <w:rPr>
          <w:rFonts w:ascii="Verdana" w:hAnsi="Verdana"/>
          <w:sz w:val="20"/>
          <w:szCs w:val="20"/>
          <w:lang w:val="en-US"/>
        </w:rPr>
        <w:t xml:space="preserve"> 72). </w:t>
      </w:r>
      <w:r w:rsidR="00075E68" w:rsidRPr="00D869E3">
        <w:rPr>
          <w:rFonts w:ascii="Verdana" w:hAnsi="Verdana"/>
          <w:sz w:val="20"/>
          <w:szCs w:val="20"/>
          <w:lang w:val="en-US"/>
        </w:rPr>
        <w:t>In this regard</w:t>
      </w:r>
      <w:r w:rsidR="00032FC5" w:rsidRPr="00D869E3">
        <w:rPr>
          <w:rFonts w:ascii="Verdana" w:hAnsi="Verdana"/>
          <w:sz w:val="20"/>
          <w:szCs w:val="20"/>
          <w:lang w:val="en-US"/>
        </w:rPr>
        <w:t xml:space="preserve">, </w:t>
      </w:r>
      <w:r w:rsidR="00E679D0" w:rsidRPr="00D869E3">
        <w:rPr>
          <w:rFonts w:ascii="Verdana" w:hAnsi="Verdana"/>
          <w:sz w:val="20"/>
          <w:szCs w:val="20"/>
          <w:lang w:val="en-US"/>
        </w:rPr>
        <w:t>during the</w:t>
      </w:r>
      <w:r w:rsidR="00032FC5" w:rsidRPr="00D869E3">
        <w:rPr>
          <w:rFonts w:ascii="Verdana" w:hAnsi="Verdana"/>
          <w:sz w:val="20"/>
          <w:szCs w:val="20"/>
          <w:lang w:val="en-US"/>
        </w:rPr>
        <w:t xml:space="preserve"> </w:t>
      </w:r>
      <w:r w:rsidR="001E44D3" w:rsidRPr="00D869E3">
        <w:rPr>
          <w:rFonts w:ascii="Verdana" w:hAnsi="Verdana"/>
          <w:sz w:val="20"/>
          <w:szCs w:val="20"/>
          <w:lang w:val="en-US"/>
        </w:rPr>
        <w:t>public hearing</w:t>
      </w:r>
      <w:r w:rsidR="00966115" w:rsidRPr="00D869E3">
        <w:rPr>
          <w:rFonts w:ascii="Verdana" w:hAnsi="Verdana"/>
          <w:sz w:val="20"/>
          <w:szCs w:val="20"/>
          <w:lang w:val="en-US"/>
        </w:rPr>
        <w:t xml:space="preserve"> before the</w:t>
      </w:r>
      <w:r w:rsidR="00447C65" w:rsidRPr="00D869E3">
        <w:rPr>
          <w:rFonts w:ascii="Verdana" w:hAnsi="Verdana"/>
          <w:sz w:val="20"/>
          <w:szCs w:val="20"/>
          <w:lang w:val="en-US"/>
        </w:rPr>
        <w:t xml:space="preserve"> Court</w:t>
      </w:r>
      <w:r w:rsidR="00E679D0" w:rsidRPr="00D869E3">
        <w:rPr>
          <w:rFonts w:ascii="Verdana" w:hAnsi="Verdana"/>
          <w:sz w:val="20"/>
          <w:szCs w:val="20"/>
          <w:lang w:val="en-US"/>
        </w:rPr>
        <w:t>, Mr. Lagos del Campo stated that the following were among the consequences of his dismissal</w:t>
      </w:r>
      <w:r w:rsidR="00032FC5" w:rsidRPr="00D869E3">
        <w:rPr>
          <w:rFonts w:ascii="Verdana" w:hAnsi="Verdana"/>
          <w:sz w:val="20"/>
          <w:szCs w:val="20"/>
          <w:lang w:val="en-US"/>
        </w:rPr>
        <w:t xml:space="preserve">: </w:t>
      </w:r>
    </w:p>
    <w:p w14:paraId="7FC00BA0" w14:textId="6DBB6323" w:rsidR="00032FC5" w:rsidRPr="00D869E3" w:rsidRDefault="000002AB" w:rsidP="00801513">
      <w:pPr>
        <w:tabs>
          <w:tab w:val="left" w:pos="974"/>
        </w:tabs>
        <w:contextualSpacing/>
        <w:jc w:val="both"/>
        <w:rPr>
          <w:rFonts w:ascii="Verdana" w:hAnsi="Verdana"/>
          <w:sz w:val="20"/>
          <w:szCs w:val="20"/>
          <w:lang w:val="en-US"/>
        </w:rPr>
      </w:pPr>
      <w:r w:rsidRPr="00D869E3">
        <w:rPr>
          <w:rFonts w:ascii="Verdana" w:hAnsi="Verdana"/>
          <w:sz w:val="20"/>
          <w:szCs w:val="20"/>
          <w:lang w:val="en-US"/>
        </w:rPr>
        <w:tab/>
      </w:r>
    </w:p>
    <w:p w14:paraId="3C3A25A8" w14:textId="2FED9C33" w:rsidR="00E679D0" w:rsidRPr="00D869E3" w:rsidRDefault="00032FC5" w:rsidP="00032FC5">
      <w:pPr>
        <w:ind w:left="720" w:right="720"/>
        <w:jc w:val="both"/>
        <w:rPr>
          <w:rFonts w:ascii="Verdana" w:hAnsi="Verdana"/>
          <w:sz w:val="18"/>
          <w:szCs w:val="18"/>
          <w:lang w:val="en-US"/>
        </w:rPr>
      </w:pPr>
      <w:r w:rsidRPr="00D869E3">
        <w:rPr>
          <w:rFonts w:ascii="Verdana" w:hAnsi="Verdana"/>
          <w:sz w:val="18"/>
          <w:szCs w:val="18"/>
          <w:lang w:val="en-US"/>
        </w:rPr>
        <w:t>[</w:t>
      </w:r>
      <w:r w:rsidR="00E679D0" w:rsidRPr="00D869E3">
        <w:rPr>
          <w:rFonts w:ascii="Verdana" w:hAnsi="Verdana"/>
          <w:sz w:val="18"/>
          <w:szCs w:val="18"/>
          <w:lang w:val="en-US"/>
        </w:rPr>
        <w:t>He was unable to obtain a pension because,] according to the law, [he needed to work] five more years in order to obtain a decent pension to be able to survive; but all that was violated because [he] did not meet the requirement of the President’s law. […] During th</w:t>
      </w:r>
      <w:r w:rsidR="00A9654F" w:rsidRPr="00D869E3">
        <w:rPr>
          <w:rFonts w:ascii="Verdana" w:hAnsi="Verdana"/>
          <w:sz w:val="18"/>
          <w:szCs w:val="18"/>
          <w:lang w:val="en-US"/>
        </w:rPr>
        <w:t>at Government’s</w:t>
      </w:r>
      <w:r w:rsidR="00E679D0" w:rsidRPr="00D869E3">
        <w:rPr>
          <w:rFonts w:ascii="Verdana" w:hAnsi="Verdana"/>
          <w:sz w:val="18"/>
          <w:szCs w:val="18"/>
          <w:lang w:val="en-US"/>
        </w:rPr>
        <w:t xml:space="preserve"> dictatorship […]</w:t>
      </w:r>
      <w:r w:rsidR="00A9654F" w:rsidRPr="00D869E3">
        <w:rPr>
          <w:rFonts w:ascii="Verdana" w:hAnsi="Verdana"/>
          <w:sz w:val="18"/>
          <w:szCs w:val="18"/>
          <w:lang w:val="en-US"/>
        </w:rPr>
        <w:t>, u</w:t>
      </w:r>
      <w:r w:rsidR="00E679D0" w:rsidRPr="00D869E3">
        <w:rPr>
          <w:rFonts w:ascii="Verdana" w:hAnsi="Verdana"/>
          <w:sz w:val="18"/>
          <w:szCs w:val="18"/>
          <w:lang w:val="en-US"/>
        </w:rPr>
        <w:t>nfortunately, any citizen or worker who was over 50 years of age no longer had access to any company or well-paid job.</w:t>
      </w:r>
      <w:r w:rsidR="005C675A" w:rsidRPr="00D869E3">
        <w:rPr>
          <w:rFonts w:ascii="Verdana" w:hAnsi="Verdana"/>
          <w:sz w:val="18"/>
          <w:szCs w:val="18"/>
          <w:lang w:val="en-US"/>
        </w:rPr>
        <w:t xml:space="preserve"> [… Furthermore,] after so many long years of suffering, of trying to obtain justice at the national level, </w:t>
      </w:r>
      <w:r w:rsidR="00A9654F" w:rsidRPr="00D869E3">
        <w:rPr>
          <w:rFonts w:ascii="Verdana" w:hAnsi="Verdana"/>
          <w:sz w:val="18"/>
          <w:szCs w:val="18"/>
          <w:lang w:val="en-US"/>
        </w:rPr>
        <w:t>during</w:t>
      </w:r>
      <w:r w:rsidR="005C675A" w:rsidRPr="00D869E3">
        <w:rPr>
          <w:rFonts w:ascii="Verdana" w:hAnsi="Verdana"/>
          <w:sz w:val="18"/>
          <w:szCs w:val="18"/>
          <w:lang w:val="en-US"/>
        </w:rPr>
        <w:t xml:space="preserve"> this international case, […, in 2015, he had] experienced [health problems].</w:t>
      </w:r>
    </w:p>
    <w:p w14:paraId="3E556B3B" w14:textId="77777777" w:rsidR="00032FC5" w:rsidRPr="00D869E3" w:rsidRDefault="00032FC5" w:rsidP="00032FC5">
      <w:pPr>
        <w:ind w:left="720" w:right="720"/>
        <w:jc w:val="both"/>
        <w:rPr>
          <w:rFonts w:ascii="Verdana" w:hAnsi="Verdana"/>
          <w:sz w:val="18"/>
          <w:szCs w:val="18"/>
          <w:lang w:val="en-US"/>
        </w:rPr>
      </w:pPr>
    </w:p>
    <w:p w14:paraId="2C2F610A" w14:textId="33E3EF3B" w:rsidR="0059018A" w:rsidRPr="00D869E3" w:rsidRDefault="005C675A" w:rsidP="005C675A">
      <w:pPr>
        <w:numPr>
          <w:ilvl w:val="0"/>
          <w:numId w:val="1"/>
        </w:numPr>
        <w:ind w:left="0" w:firstLine="0"/>
        <w:contextualSpacing/>
        <w:jc w:val="both"/>
        <w:rPr>
          <w:rFonts w:ascii="Verdana" w:hAnsi="Verdana"/>
          <w:sz w:val="20"/>
          <w:szCs w:val="20"/>
          <w:lang w:val="en-US"/>
        </w:rPr>
      </w:pPr>
      <w:r w:rsidRPr="00D869E3">
        <w:rPr>
          <w:rFonts w:ascii="Verdana" w:hAnsi="Verdana"/>
          <w:color w:val="000000"/>
          <w:sz w:val="20"/>
          <w:szCs w:val="20"/>
          <w:lang w:val="en-US"/>
        </w:rPr>
        <w:t xml:space="preserve">Based on the foregoing, the Court concludes that, owing to his arbitrary dismissal, </w:t>
      </w:r>
      <w:r w:rsidR="00E6309B" w:rsidRPr="00D869E3">
        <w:rPr>
          <w:rFonts w:ascii="Verdana" w:hAnsi="Verdana"/>
          <w:color w:val="000000"/>
          <w:sz w:val="20"/>
          <w:szCs w:val="20"/>
          <w:lang w:val="en-US"/>
        </w:rPr>
        <w:t>Mr.</w:t>
      </w:r>
      <w:r w:rsidR="001E44D3" w:rsidRPr="00D869E3">
        <w:rPr>
          <w:rFonts w:ascii="Verdana" w:hAnsi="Verdana"/>
          <w:color w:val="000000"/>
          <w:sz w:val="20"/>
          <w:szCs w:val="20"/>
          <w:lang w:val="en-US"/>
        </w:rPr>
        <w:t xml:space="preserve"> Lagos del Campo</w:t>
      </w:r>
      <w:r w:rsidRPr="00D869E3">
        <w:rPr>
          <w:rFonts w:ascii="Verdana" w:hAnsi="Verdana"/>
          <w:color w:val="000000"/>
          <w:sz w:val="20"/>
          <w:szCs w:val="20"/>
          <w:lang w:val="en-US"/>
        </w:rPr>
        <w:t xml:space="preserve"> was deprived of his employment and other benefits resulting from social security</w:t>
      </w:r>
      <w:r w:rsidR="00A9654F" w:rsidRPr="00D869E3">
        <w:rPr>
          <w:rFonts w:ascii="Verdana" w:hAnsi="Verdana"/>
          <w:color w:val="000000"/>
          <w:sz w:val="20"/>
          <w:szCs w:val="20"/>
          <w:lang w:val="en-US"/>
        </w:rPr>
        <w:t>.</w:t>
      </w:r>
      <w:r w:rsidRPr="00D869E3">
        <w:rPr>
          <w:rFonts w:ascii="Verdana" w:hAnsi="Verdana"/>
          <w:color w:val="000000"/>
          <w:sz w:val="20"/>
          <w:szCs w:val="20"/>
          <w:lang w:val="en-US"/>
        </w:rPr>
        <w:t xml:space="preserve"> </w:t>
      </w:r>
      <w:r w:rsidR="00A9654F" w:rsidRPr="00D869E3">
        <w:rPr>
          <w:rFonts w:ascii="Verdana" w:hAnsi="Verdana"/>
          <w:color w:val="000000"/>
          <w:sz w:val="20"/>
          <w:szCs w:val="20"/>
          <w:lang w:val="en-US"/>
        </w:rPr>
        <w:t>T</w:t>
      </w:r>
      <w:r w:rsidRPr="00D869E3">
        <w:rPr>
          <w:rFonts w:ascii="Verdana" w:hAnsi="Verdana"/>
          <w:color w:val="000000"/>
          <w:sz w:val="20"/>
          <w:szCs w:val="20"/>
          <w:lang w:val="en-US"/>
        </w:rPr>
        <w:t xml:space="preserve">herefore, the Peruvian State failed to protect his right to job security, in interpretation </w:t>
      </w:r>
      <w:r w:rsidR="00687684" w:rsidRPr="00D869E3">
        <w:rPr>
          <w:rFonts w:ascii="Verdana" w:hAnsi="Verdana"/>
          <w:color w:val="000000"/>
          <w:sz w:val="20"/>
          <w:szCs w:val="20"/>
          <w:lang w:val="en-US"/>
        </w:rPr>
        <w:t>of Article</w:t>
      </w:r>
      <w:r w:rsidR="00CB7CCB" w:rsidRPr="00D869E3">
        <w:rPr>
          <w:rFonts w:ascii="Verdana" w:hAnsi="Verdana"/>
          <w:color w:val="000000"/>
          <w:sz w:val="20"/>
          <w:szCs w:val="20"/>
          <w:lang w:val="en-US"/>
        </w:rPr>
        <w:t xml:space="preserve"> 26</w:t>
      </w:r>
      <w:r w:rsidR="00447C65" w:rsidRPr="00D869E3">
        <w:rPr>
          <w:rFonts w:ascii="Verdana" w:hAnsi="Verdana"/>
          <w:color w:val="000000"/>
          <w:sz w:val="20"/>
          <w:szCs w:val="20"/>
          <w:lang w:val="en-US"/>
        </w:rPr>
        <w:t xml:space="preserve"> of the American Convention</w:t>
      </w:r>
      <w:r w:rsidR="00CB7CCB" w:rsidRPr="00D869E3">
        <w:rPr>
          <w:rFonts w:ascii="Verdana" w:hAnsi="Verdana"/>
          <w:color w:val="000000"/>
          <w:sz w:val="20"/>
          <w:szCs w:val="20"/>
          <w:lang w:val="en-US"/>
        </w:rPr>
        <w:t xml:space="preserve">, </w:t>
      </w:r>
      <w:r w:rsidR="00BB61A6" w:rsidRPr="00D869E3">
        <w:rPr>
          <w:rFonts w:ascii="Verdana" w:hAnsi="Verdana"/>
          <w:color w:val="000000"/>
          <w:sz w:val="20"/>
          <w:szCs w:val="20"/>
          <w:lang w:val="en-US"/>
        </w:rPr>
        <w:t>in relation to</w:t>
      </w:r>
      <w:r w:rsidR="00CB7CCB" w:rsidRPr="00D869E3">
        <w:rPr>
          <w:rFonts w:ascii="Verdana" w:hAnsi="Verdana"/>
          <w:color w:val="000000"/>
          <w:sz w:val="20"/>
          <w:szCs w:val="20"/>
          <w:lang w:val="en-US"/>
        </w:rPr>
        <w:t xml:space="preserve"> </w:t>
      </w:r>
      <w:r w:rsidR="00687684" w:rsidRPr="00D869E3">
        <w:rPr>
          <w:rFonts w:ascii="Verdana" w:hAnsi="Verdana"/>
          <w:color w:val="000000"/>
          <w:sz w:val="20"/>
          <w:szCs w:val="20"/>
          <w:lang w:val="en-US"/>
        </w:rPr>
        <w:t>Articles 1(1)</w:t>
      </w:r>
      <w:r w:rsidR="00E606B9" w:rsidRPr="00D869E3">
        <w:rPr>
          <w:rFonts w:ascii="Verdana" w:hAnsi="Verdana"/>
          <w:color w:val="000000"/>
          <w:sz w:val="20"/>
          <w:szCs w:val="20"/>
          <w:lang w:val="en-US"/>
        </w:rPr>
        <w:t xml:space="preserve">, 13, </w:t>
      </w:r>
      <w:r w:rsidR="00CB7CCB" w:rsidRPr="00D869E3">
        <w:rPr>
          <w:rFonts w:ascii="Verdana" w:hAnsi="Verdana"/>
          <w:color w:val="000000"/>
          <w:sz w:val="20"/>
          <w:szCs w:val="20"/>
          <w:lang w:val="en-US"/>
        </w:rPr>
        <w:t>8</w:t>
      </w:r>
      <w:r w:rsidR="00687684" w:rsidRPr="00D869E3">
        <w:rPr>
          <w:rFonts w:ascii="Verdana" w:hAnsi="Verdana"/>
          <w:color w:val="000000"/>
          <w:sz w:val="20"/>
          <w:szCs w:val="20"/>
          <w:lang w:val="en-US"/>
        </w:rPr>
        <w:t xml:space="preserve"> and </w:t>
      </w:r>
      <w:r w:rsidR="00E606B9" w:rsidRPr="00D869E3">
        <w:rPr>
          <w:rFonts w:ascii="Verdana" w:hAnsi="Verdana"/>
          <w:color w:val="000000"/>
          <w:sz w:val="20"/>
          <w:szCs w:val="20"/>
          <w:lang w:val="en-US"/>
        </w:rPr>
        <w:t>16</w:t>
      </w:r>
      <w:r w:rsidR="00CB7CCB" w:rsidRPr="00D869E3">
        <w:rPr>
          <w:rFonts w:ascii="Verdana" w:hAnsi="Verdana"/>
          <w:color w:val="000000"/>
          <w:sz w:val="20"/>
          <w:szCs w:val="20"/>
          <w:lang w:val="en-US"/>
        </w:rPr>
        <w:t xml:space="preserve"> </w:t>
      </w:r>
      <w:r w:rsidR="00351902" w:rsidRPr="00D869E3">
        <w:rPr>
          <w:rFonts w:ascii="Verdana" w:hAnsi="Verdana"/>
          <w:color w:val="000000"/>
          <w:sz w:val="20"/>
          <w:szCs w:val="20"/>
          <w:lang w:val="en-US"/>
        </w:rPr>
        <w:t>of this instrument</w:t>
      </w:r>
      <w:r w:rsidR="00CB7CCB" w:rsidRPr="00D869E3">
        <w:rPr>
          <w:rFonts w:ascii="Verdana" w:hAnsi="Verdana"/>
          <w:color w:val="000000"/>
          <w:sz w:val="20"/>
          <w:szCs w:val="20"/>
          <w:lang w:val="en-US"/>
        </w:rPr>
        <w:t xml:space="preserve">, </w:t>
      </w:r>
      <w:r w:rsidRPr="00D869E3">
        <w:rPr>
          <w:rFonts w:ascii="Verdana" w:hAnsi="Verdana"/>
          <w:color w:val="000000"/>
          <w:sz w:val="20"/>
          <w:szCs w:val="20"/>
          <w:lang w:val="en-US"/>
        </w:rPr>
        <w:t>to the detriment of</w:t>
      </w:r>
      <w:r w:rsidR="00687684" w:rsidRPr="00D869E3">
        <w:rPr>
          <w:rFonts w:ascii="Verdana" w:hAnsi="Verdana"/>
          <w:color w:val="000000"/>
          <w:sz w:val="20"/>
          <w:szCs w:val="20"/>
          <w:lang w:val="en-US"/>
        </w:rPr>
        <w:t xml:space="preserve"> Mr. Lagos</w:t>
      </w:r>
      <w:r w:rsidR="00CB7CCB" w:rsidRPr="00D869E3">
        <w:rPr>
          <w:rFonts w:ascii="Verdana" w:hAnsi="Verdana"/>
          <w:color w:val="000000"/>
          <w:sz w:val="20"/>
          <w:szCs w:val="20"/>
          <w:lang w:val="en-US"/>
        </w:rPr>
        <w:t xml:space="preserve"> del Campo</w:t>
      </w:r>
      <w:r w:rsidR="00E606B9" w:rsidRPr="00D869E3">
        <w:rPr>
          <w:rFonts w:ascii="Verdana" w:hAnsi="Verdana"/>
          <w:color w:val="000000"/>
          <w:sz w:val="20"/>
          <w:szCs w:val="20"/>
          <w:lang w:val="en-US"/>
        </w:rPr>
        <w:t>.</w:t>
      </w:r>
    </w:p>
    <w:p w14:paraId="32995751" w14:textId="6179199B" w:rsidR="0059018A" w:rsidRPr="00D869E3" w:rsidRDefault="00CB7CCB" w:rsidP="00801513">
      <w:pPr>
        <w:contextualSpacing/>
        <w:jc w:val="both"/>
        <w:rPr>
          <w:rFonts w:ascii="Verdana" w:hAnsi="Verdana"/>
          <w:b/>
          <w:sz w:val="20"/>
          <w:szCs w:val="20"/>
          <w:lang w:val="en-US"/>
        </w:rPr>
      </w:pPr>
      <w:r w:rsidRPr="00D869E3" w:rsidDel="00CB7CCB">
        <w:rPr>
          <w:rFonts w:ascii="Verdana" w:hAnsi="Verdana"/>
          <w:b/>
          <w:color w:val="000000"/>
          <w:sz w:val="20"/>
          <w:szCs w:val="20"/>
          <w:lang w:val="en-US"/>
        </w:rPr>
        <w:t xml:space="preserve"> </w:t>
      </w:r>
    </w:p>
    <w:p w14:paraId="4532E36C" w14:textId="1AB31690" w:rsidR="00793256" w:rsidRPr="00D869E3" w:rsidRDefault="005C675A" w:rsidP="005C675A">
      <w:pPr>
        <w:numPr>
          <w:ilvl w:val="0"/>
          <w:numId w:val="1"/>
        </w:numPr>
        <w:ind w:left="0" w:firstLine="0"/>
        <w:contextualSpacing/>
        <w:jc w:val="both"/>
        <w:rPr>
          <w:rFonts w:ascii="Verdana" w:hAnsi="Verdana"/>
          <w:bCs/>
          <w:sz w:val="20"/>
          <w:szCs w:val="20"/>
          <w:lang w:val="en-US"/>
        </w:rPr>
      </w:pPr>
      <w:r w:rsidRPr="00D869E3">
        <w:rPr>
          <w:rFonts w:ascii="Verdana" w:hAnsi="Verdana"/>
          <w:color w:val="000000"/>
          <w:sz w:val="20"/>
          <w:szCs w:val="20"/>
          <w:lang w:val="en-US"/>
        </w:rPr>
        <w:t xml:space="preserve">Lastly, it should be pointed out that </w:t>
      </w:r>
      <w:r w:rsidR="00447C65" w:rsidRPr="00D869E3">
        <w:rPr>
          <w:rFonts w:ascii="Verdana" w:hAnsi="Verdana"/>
          <w:bCs/>
          <w:color w:val="000000"/>
          <w:sz w:val="20"/>
          <w:szCs w:val="20"/>
          <w:lang w:val="en-US"/>
        </w:rPr>
        <w:t>the Court</w:t>
      </w:r>
      <w:r w:rsidR="00793256" w:rsidRPr="00D869E3">
        <w:rPr>
          <w:rFonts w:ascii="Verdana" w:hAnsi="Verdana"/>
          <w:bCs/>
          <w:color w:val="000000"/>
          <w:sz w:val="20"/>
          <w:szCs w:val="20"/>
          <w:lang w:val="en-US"/>
        </w:rPr>
        <w:t xml:space="preserve"> </w:t>
      </w:r>
      <w:r w:rsidR="00793256" w:rsidRPr="00D869E3">
        <w:rPr>
          <w:rFonts w:ascii="Verdana" w:hAnsi="Verdana"/>
          <w:bCs/>
          <w:sz w:val="20"/>
          <w:szCs w:val="20"/>
          <w:lang w:val="en-US"/>
        </w:rPr>
        <w:t>ha</w:t>
      </w:r>
      <w:r w:rsidRPr="00D869E3">
        <w:rPr>
          <w:rFonts w:ascii="Verdana" w:hAnsi="Verdana"/>
          <w:bCs/>
          <w:sz w:val="20"/>
          <w:szCs w:val="20"/>
          <w:lang w:val="en-US"/>
        </w:rPr>
        <w:t>s established previously that it has jurisdiction to examine and decide disputes relating to</w:t>
      </w:r>
      <w:r w:rsidR="00793256" w:rsidRPr="00D869E3">
        <w:rPr>
          <w:rFonts w:ascii="Verdana" w:hAnsi="Verdana"/>
          <w:bCs/>
          <w:sz w:val="20"/>
          <w:szCs w:val="20"/>
          <w:lang w:val="en-US"/>
        </w:rPr>
        <w:t xml:space="preserve"> </w:t>
      </w:r>
      <w:r w:rsidR="00447C65" w:rsidRPr="00D869E3">
        <w:rPr>
          <w:rFonts w:ascii="Verdana" w:hAnsi="Verdana"/>
          <w:bCs/>
          <w:sz w:val="20"/>
          <w:szCs w:val="20"/>
          <w:lang w:val="en-US"/>
        </w:rPr>
        <w:t>Article</w:t>
      </w:r>
      <w:r w:rsidR="00793256" w:rsidRPr="00D869E3">
        <w:rPr>
          <w:rFonts w:ascii="Verdana" w:hAnsi="Verdana"/>
          <w:bCs/>
          <w:sz w:val="20"/>
          <w:szCs w:val="20"/>
          <w:lang w:val="en-US"/>
        </w:rPr>
        <w:t xml:space="preserve"> 26</w:t>
      </w:r>
      <w:r w:rsidR="00447C65" w:rsidRPr="00D869E3">
        <w:rPr>
          <w:rFonts w:ascii="Verdana" w:hAnsi="Verdana"/>
          <w:bCs/>
          <w:sz w:val="20"/>
          <w:szCs w:val="20"/>
          <w:lang w:val="en-US"/>
        </w:rPr>
        <w:t xml:space="preserve"> of the American Convention</w:t>
      </w:r>
      <w:r w:rsidR="00793256" w:rsidRPr="00D869E3">
        <w:rPr>
          <w:rFonts w:ascii="Verdana" w:hAnsi="Verdana"/>
          <w:bCs/>
          <w:sz w:val="20"/>
          <w:szCs w:val="20"/>
          <w:lang w:val="en-US"/>
        </w:rPr>
        <w:t xml:space="preserve">, </w:t>
      </w:r>
      <w:r w:rsidRPr="00D869E3">
        <w:rPr>
          <w:rFonts w:ascii="Verdana" w:hAnsi="Verdana"/>
          <w:bCs/>
          <w:sz w:val="20"/>
          <w:szCs w:val="20"/>
          <w:lang w:val="en-US"/>
        </w:rPr>
        <w:t>as an integral part of the rights named in it</w:t>
      </w:r>
      <w:r w:rsidR="00A9654F" w:rsidRPr="00D869E3">
        <w:rPr>
          <w:rFonts w:ascii="Verdana" w:hAnsi="Verdana"/>
          <w:bCs/>
          <w:sz w:val="20"/>
          <w:szCs w:val="20"/>
          <w:lang w:val="en-US"/>
        </w:rPr>
        <w:t xml:space="preserve"> and, regarding</w:t>
      </w:r>
      <w:r w:rsidRPr="00D869E3">
        <w:rPr>
          <w:rFonts w:ascii="Verdana" w:hAnsi="Verdana"/>
          <w:bCs/>
          <w:sz w:val="20"/>
          <w:szCs w:val="20"/>
          <w:lang w:val="en-US"/>
        </w:rPr>
        <w:t xml:space="preserve"> which</w:t>
      </w:r>
      <w:r w:rsidR="00A9654F" w:rsidRPr="00D869E3">
        <w:rPr>
          <w:rFonts w:ascii="Verdana" w:hAnsi="Verdana"/>
          <w:bCs/>
          <w:sz w:val="20"/>
          <w:szCs w:val="20"/>
          <w:lang w:val="en-US"/>
        </w:rPr>
        <w:t>,</w:t>
      </w:r>
      <w:r w:rsidRPr="00D869E3">
        <w:rPr>
          <w:rFonts w:ascii="Verdana" w:hAnsi="Verdana"/>
          <w:bCs/>
          <w:sz w:val="20"/>
          <w:szCs w:val="20"/>
          <w:lang w:val="en-US"/>
        </w:rPr>
        <w:t xml:space="preserve"> </w:t>
      </w:r>
      <w:r w:rsidR="00687684" w:rsidRPr="00D869E3">
        <w:rPr>
          <w:rFonts w:ascii="Verdana" w:hAnsi="Verdana"/>
          <w:bCs/>
          <w:sz w:val="20"/>
          <w:szCs w:val="20"/>
          <w:lang w:val="en-US"/>
        </w:rPr>
        <w:t>Article 1(1)</w:t>
      </w:r>
      <w:r w:rsidR="00793256" w:rsidRPr="00D869E3">
        <w:rPr>
          <w:rFonts w:ascii="Verdana" w:hAnsi="Verdana"/>
          <w:bCs/>
          <w:sz w:val="20"/>
          <w:szCs w:val="20"/>
          <w:lang w:val="en-US"/>
        </w:rPr>
        <w:t xml:space="preserve"> </w:t>
      </w:r>
      <w:r w:rsidR="00A9654F" w:rsidRPr="00D869E3">
        <w:rPr>
          <w:rFonts w:ascii="Verdana" w:hAnsi="Verdana"/>
          <w:bCs/>
          <w:sz w:val="20"/>
          <w:szCs w:val="20"/>
          <w:lang w:val="en-US"/>
        </w:rPr>
        <w:t>establishes</w:t>
      </w:r>
      <w:r w:rsidRPr="00D869E3">
        <w:rPr>
          <w:rFonts w:ascii="Verdana" w:hAnsi="Verdana"/>
          <w:bCs/>
          <w:sz w:val="20"/>
          <w:szCs w:val="20"/>
          <w:lang w:val="en-US"/>
        </w:rPr>
        <w:t xml:space="preserve"> the general obligations</w:t>
      </w:r>
      <w:r w:rsidR="00A9654F" w:rsidRPr="00D869E3">
        <w:rPr>
          <w:rFonts w:ascii="Verdana" w:hAnsi="Verdana"/>
          <w:bCs/>
          <w:sz w:val="20"/>
          <w:szCs w:val="20"/>
          <w:lang w:val="en-US"/>
        </w:rPr>
        <w:t xml:space="preserve"> of the States</w:t>
      </w:r>
      <w:r w:rsidRPr="00D869E3">
        <w:rPr>
          <w:rFonts w:ascii="Verdana" w:hAnsi="Verdana"/>
          <w:bCs/>
          <w:sz w:val="20"/>
          <w:szCs w:val="20"/>
          <w:lang w:val="en-US"/>
        </w:rPr>
        <w:t xml:space="preserve"> to respect and to ensure rights </w:t>
      </w:r>
      <w:r w:rsidR="00793256" w:rsidRPr="00D869E3">
        <w:rPr>
          <w:rFonts w:ascii="Verdana" w:hAnsi="Verdana"/>
          <w:bCs/>
          <w:sz w:val="20"/>
          <w:szCs w:val="20"/>
          <w:lang w:val="en-US"/>
        </w:rPr>
        <w:t>(</w:t>
      </w:r>
      <w:r w:rsidR="00793256" w:rsidRPr="00D869E3">
        <w:rPr>
          <w:rFonts w:ascii="Verdana" w:hAnsi="Verdana"/>
          <w:bCs/>
          <w:i/>
          <w:iCs/>
          <w:sz w:val="20"/>
          <w:szCs w:val="20"/>
          <w:lang w:val="en-US"/>
        </w:rPr>
        <w:t xml:space="preserve">supra </w:t>
      </w:r>
      <w:r w:rsidR="0087339F" w:rsidRPr="00D869E3">
        <w:rPr>
          <w:rFonts w:ascii="Verdana" w:hAnsi="Verdana"/>
          <w:bCs/>
          <w:sz w:val="20"/>
          <w:szCs w:val="20"/>
          <w:lang w:val="en-US"/>
        </w:rPr>
        <w:t>para.</w:t>
      </w:r>
      <w:r w:rsidR="00793256" w:rsidRPr="00D869E3">
        <w:rPr>
          <w:rFonts w:ascii="Verdana" w:hAnsi="Verdana"/>
          <w:bCs/>
          <w:sz w:val="20"/>
          <w:szCs w:val="20"/>
          <w:lang w:val="en-US"/>
        </w:rPr>
        <w:t xml:space="preserve"> </w:t>
      </w:r>
      <w:r w:rsidR="008638D8" w:rsidRPr="00D869E3">
        <w:rPr>
          <w:rFonts w:ascii="Verdana" w:hAnsi="Verdana"/>
          <w:bCs/>
          <w:sz w:val="20"/>
          <w:szCs w:val="20"/>
          <w:lang w:val="en-US"/>
        </w:rPr>
        <w:t>1</w:t>
      </w:r>
      <w:r w:rsidR="00B31162" w:rsidRPr="00D869E3">
        <w:rPr>
          <w:rFonts w:ascii="Verdana" w:hAnsi="Verdana"/>
          <w:bCs/>
          <w:sz w:val="20"/>
          <w:szCs w:val="20"/>
          <w:lang w:val="en-US"/>
        </w:rPr>
        <w:t>42</w:t>
      </w:r>
      <w:r w:rsidR="00793256" w:rsidRPr="00D869E3">
        <w:rPr>
          <w:rFonts w:ascii="Verdana" w:hAnsi="Verdana"/>
          <w:bCs/>
          <w:sz w:val="20"/>
          <w:szCs w:val="20"/>
          <w:lang w:val="en-US"/>
        </w:rPr>
        <w:t xml:space="preserve">). </w:t>
      </w:r>
      <w:r w:rsidRPr="00D869E3">
        <w:rPr>
          <w:rFonts w:ascii="Verdana" w:hAnsi="Verdana"/>
          <w:bCs/>
          <w:sz w:val="20"/>
          <w:szCs w:val="20"/>
          <w:lang w:val="en-US"/>
        </w:rPr>
        <w:t>The</w:t>
      </w:r>
      <w:r w:rsidR="00447C65" w:rsidRPr="00D869E3">
        <w:rPr>
          <w:rFonts w:ascii="Verdana" w:hAnsi="Verdana"/>
          <w:bCs/>
          <w:sz w:val="20"/>
          <w:szCs w:val="20"/>
          <w:lang w:val="en-US"/>
        </w:rPr>
        <w:t xml:space="preserve"> Court</w:t>
      </w:r>
      <w:r w:rsidR="00793256" w:rsidRPr="00D869E3">
        <w:rPr>
          <w:rFonts w:ascii="Verdana" w:hAnsi="Verdana"/>
          <w:bCs/>
          <w:sz w:val="20"/>
          <w:szCs w:val="20"/>
          <w:lang w:val="en-US"/>
        </w:rPr>
        <w:t xml:space="preserve"> ha</w:t>
      </w:r>
      <w:r w:rsidRPr="00D869E3">
        <w:rPr>
          <w:rFonts w:ascii="Verdana" w:hAnsi="Verdana"/>
          <w:bCs/>
          <w:sz w:val="20"/>
          <w:szCs w:val="20"/>
          <w:lang w:val="en-US"/>
        </w:rPr>
        <w:t>s also developed important case law on this matter, in light of different articles of the Convention. On this basis, th</w:t>
      </w:r>
      <w:r w:rsidR="00A9654F" w:rsidRPr="00D869E3">
        <w:rPr>
          <w:rFonts w:ascii="Verdana" w:hAnsi="Verdana"/>
          <w:bCs/>
          <w:sz w:val="20"/>
          <w:szCs w:val="20"/>
          <w:lang w:val="en-US"/>
        </w:rPr>
        <w:t>e present</w:t>
      </w:r>
      <w:r w:rsidRPr="00D869E3">
        <w:rPr>
          <w:rFonts w:ascii="Verdana" w:hAnsi="Verdana"/>
          <w:bCs/>
          <w:sz w:val="20"/>
          <w:szCs w:val="20"/>
          <w:lang w:val="en-US"/>
        </w:rPr>
        <w:t xml:space="preserve"> judgment develops and substantiates a specific </w:t>
      </w:r>
      <w:r w:rsidR="00FE7426" w:rsidRPr="00D869E3">
        <w:rPr>
          <w:rFonts w:ascii="Verdana" w:hAnsi="Verdana"/>
          <w:bCs/>
          <w:sz w:val="20"/>
          <w:szCs w:val="20"/>
          <w:lang w:val="en-US"/>
        </w:rPr>
        <w:lastRenderedPageBreak/>
        <w:t>condemnation</w:t>
      </w:r>
      <w:r w:rsidRPr="00D869E3">
        <w:rPr>
          <w:rFonts w:ascii="Verdana" w:hAnsi="Verdana"/>
          <w:bCs/>
          <w:sz w:val="20"/>
          <w:szCs w:val="20"/>
          <w:lang w:val="en-US"/>
        </w:rPr>
        <w:t xml:space="preserve"> for </w:t>
      </w:r>
      <w:r w:rsidR="007013E2" w:rsidRPr="00D869E3">
        <w:rPr>
          <w:rFonts w:ascii="Verdana" w:hAnsi="Verdana"/>
          <w:bCs/>
          <w:sz w:val="20"/>
          <w:szCs w:val="20"/>
          <w:lang w:val="en-US"/>
        </w:rPr>
        <w:t>the violation</w:t>
      </w:r>
      <w:r w:rsidR="00793256" w:rsidRPr="00D869E3">
        <w:rPr>
          <w:rFonts w:ascii="Verdana" w:hAnsi="Verdana"/>
          <w:bCs/>
          <w:sz w:val="20"/>
          <w:szCs w:val="20"/>
          <w:lang w:val="en-US"/>
        </w:rPr>
        <w:t xml:space="preserve"> </w:t>
      </w:r>
      <w:r w:rsidR="00687684" w:rsidRPr="00D869E3">
        <w:rPr>
          <w:rFonts w:ascii="Verdana" w:hAnsi="Verdana"/>
          <w:bCs/>
          <w:sz w:val="20"/>
          <w:szCs w:val="20"/>
          <w:lang w:val="en-US"/>
        </w:rPr>
        <w:t>of Article</w:t>
      </w:r>
      <w:r w:rsidR="00793256" w:rsidRPr="00D869E3">
        <w:rPr>
          <w:rFonts w:ascii="Verdana" w:hAnsi="Verdana"/>
          <w:bCs/>
          <w:sz w:val="20"/>
          <w:szCs w:val="20"/>
          <w:lang w:val="en-US"/>
        </w:rPr>
        <w:t xml:space="preserve"> 26</w:t>
      </w:r>
      <w:r w:rsidR="00447C65" w:rsidRPr="00D869E3">
        <w:rPr>
          <w:rFonts w:ascii="Verdana" w:hAnsi="Verdana"/>
          <w:bCs/>
          <w:sz w:val="20"/>
          <w:szCs w:val="20"/>
          <w:lang w:val="en-US"/>
        </w:rPr>
        <w:t xml:space="preserve"> of the American Convention on Human Rights</w:t>
      </w:r>
      <w:r w:rsidR="00793256" w:rsidRPr="00D869E3">
        <w:rPr>
          <w:rFonts w:ascii="Verdana" w:hAnsi="Verdana"/>
          <w:bCs/>
          <w:sz w:val="20"/>
          <w:szCs w:val="20"/>
          <w:lang w:val="en-US"/>
        </w:rPr>
        <w:t xml:space="preserve">, </w:t>
      </w:r>
      <w:r w:rsidRPr="00D869E3">
        <w:rPr>
          <w:rFonts w:ascii="Verdana" w:hAnsi="Verdana"/>
          <w:bCs/>
          <w:sz w:val="20"/>
          <w:szCs w:val="20"/>
          <w:lang w:val="en-US"/>
        </w:rPr>
        <w:t>established in</w:t>
      </w:r>
      <w:r w:rsidR="00793256" w:rsidRPr="00D869E3">
        <w:rPr>
          <w:rFonts w:ascii="Verdana" w:hAnsi="Verdana"/>
          <w:bCs/>
          <w:sz w:val="20"/>
          <w:szCs w:val="20"/>
          <w:lang w:val="en-US"/>
        </w:rPr>
        <w:t xml:space="preserve"> </w:t>
      </w:r>
      <w:r w:rsidR="00CC766D" w:rsidRPr="00D869E3">
        <w:rPr>
          <w:rFonts w:ascii="Verdana" w:hAnsi="Verdana"/>
          <w:bCs/>
          <w:sz w:val="20"/>
          <w:szCs w:val="20"/>
          <w:lang w:val="en-US"/>
        </w:rPr>
        <w:t>Chapter</w:t>
      </w:r>
      <w:r w:rsidR="00793256" w:rsidRPr="00D869E3">
        <w:rPr>
          <w:rFonts w:ascii="Verdana" w:hAnsi="Verdana"/>
          <w:bCs/>
          <w:sz w:val="20"/>
          <w:szCs w:val="20"/>
          <w:lang w:val="en-US"/>
        </w:rPr>
        <w:t xml:space="preserve"> III</w:t>
      </w:r>
      <w:r w:rsidRPr="00D869E3">
        <w:rPr>
          <w:rFonts w:ascii="Verdana" w:hAnsi="Verdana"/>
          <w:bCs/>
          <w:sz w:val="20"/>
          <w:szCs w:val="20"/>
          <w:lang w:val="en-US"/>
        </w:rPr>
        <w:t xml:space="preserve"> of this treaty</w:t>
      </w:r>
      <w:r w:rsidR="00094281" w:rsidRPr="00D869E3">
        <w:rPr>
          <w:rFonts w:ascii="Verdana" w:hAnsi="Verdana"/>
          <w:bCs/>
          <w:sz w:val="20"/>
          <w:szCs w:val="20"/>
          <w:lang w:val="en-US"/>
        </w:rPr>
        <w:t>,</w:t>
      </w:r>
      <w:r w:rsidR="00793256" w:rsidRPr="00D869E3">
        <w:rPr>
          <w:rFonts w:ascii="Verdana" w:hAnsi="Verdana"/>
          <w:bCs/>
          <w:sz w:val="20"/>
          <w:szCs w:val="20"/>
          <w:lang w:val="en-US"/>
        </w:rPr>
        <w:t xml:space="preserve"> </w:t>
      </w:r>
      <w:r w:rsidRPr="00D869E3">
        <w:rPr>
          <w:rFonts w:ascii="Verdana" w:hAnsi="Verdana"/>
          <w:bCs/>
          <w:sz w:val="20"/>
          <w:szCs w:val="20"/>
          <w:lang w:val="en-US"/>
        </w:rPr>
        <w:t>entitled Economic, Social and Cultural Rights</w:t>
      </w:r>
      <w:r w:rsidR="001625FE" w:rsidRPr="00D869E3">
        <w:rPr>
          <w:rFonts w:ascii="Verdana" w:hAnsi="Verdana"/>
          <w:bCs/>
          <w:sz w:val="20"/>
          <w:szCs w:val="20"/>
          <w:lang w:val="en-US"/>
        </w:rPr>
        <w:t>.</w:t>
      </w:r>
    </w:p>
    <w:p w14:paraId="460CD428" w14:textId="58BEB930" w:rsidR="00032FC5" w:rsidRPr="00D869E3" w:rsidRDefault="00032FC5" w:rsidP="00801513">
      <w:pPr>
        <w:contextualSpacing/>
        <w:jc w:val="both"/>
        <w:rPr>
          <w:rFonts w:ascii="Verdana" w:hAnsi="Verdana"/>
          <w:color w:val="000000"/>
          <w:sz w:val="20"/>
          <w:szCs w:val="20"/>
          <w:lang w:val="en-US"/>
        </w:rPr>
      </w:pPr>
    </w:p>
    <w:p w14:paraId="3B7B8378" w14:textId="386B49E3" w:rsidR="00032FC5" w:rsidRPr="00D869E3" w:rsidRDefault="00E21A02" w:rsidP="00E66DD7">
      <w:pPr>
        <w:pStyle w:val="Ttulo3"/>
        <w:numPr>
          <w:ilvl w:val="0"/>
          <w:numId w:val="11"/>
        </w:numPr>
        <w:ind w:left="714" w:hanging="357"/>
        <w:rPr>
          <w:i/>
          <w:lang w:val="en-US"/>
        </w:rPr>
      </w:pPr>
      <w:bookmarkStart w:id="52" w:name="_Toc29114140"/>
      <w:r w:rsidRPr="00D869E3">
        <w:rPr>
          <w:i/>
          <w:lang w:val="en-US"/>
        </w:rPr>
        <w:t>Violations of freedom</w:t>
      </w:r>
      <w:r w:rsidR="00351902" w:rsidRPr="00D869E3">
        <w:rPr>
          <w:i/>
          <w:lang w:val="en-US"/>
        </w:rPr>
        <w:t xml:space="preserve"> of association</w:t>
      </w:r>
      <w:bookmarkEnd w:id="52"/>
      <w:r w:rsidR="00032FC5" w:rsidRPr="00D869E3">
        <w:rPr>
          <w:i/>
          <w:lang w:val="en-US"/>
        </w:rPr>
        <w:t xml:space="preserve"> </w:t>
      </w:r>
    </w:p>
    <w:p w14:paraId="0C6F6F5C" w14:textId="77777777" w:rsidR="00032FC5" w:rsidRPr="00D869E3" w:rsidRDefault="00032FC5" w:rsidP="00032FC5">
      <w:pPr>
        <w:rPr>
          <w:rFonts w:ascii="Verdana" w:hAnsi="Verdana"/>
          <w:sz w:val="20"/>
          <w:szCs w:val="20"/>
          <w:lang w:val="en-US"/>
        </w:rPr>
      </w:pPr>
    </w:p>
    <w:p w14:paraId="2A0FCAF4" w14:textId="1AE4A1C3" w:rsidR="00032FC5" w:rsidRPr="00D869E3" w:rsidRDefault="00447C65"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Article</w:t>
      </w:r>
      <w:r w:rsidR="00032FC5" w:rsidRPr="00D869E3">
        <w:rPr>
          <w:rFonts w:ascii="Verdana" w:hAnsi="Verdana"/>
          <w:sz w:val="20"/>
          <w:szCs w:val="20"/>
          <w:lang w:val="en-US"/>
        </w:rPr>
        <w:t xml:space="preserve"> </w:t>
      </w:r>
      <w:r w:rsidR="00687684" w:rsidRPr="00D869E3">
        <w:rPr>
          <w:rFonts w:ascii="Verdana" w:hAnsi="Verdana"/>
          <w:sz w:val="20"/>
          <w:szCs w:val="20"/>
          <w:lang w:val="en-US"/>
        </w:rPr>
        <w:t>16(1)</w:t>
      </w:r>
      <w:r w:rsidR="00032FC5" w:rsidRPr="00D869E3">
        <w:rPr>
          <w:rFonts w:ascii="Verdana" w:hAnsi="Verdana"/>
          <w:sz w:val="20"/>
          <w:szCs w:val="20"/>
          <w:lang w:val="en-US"/>
        </w:rPr>
        <w:t xml:space="preserve"> </w:t>
      </w:r>
      <w:r w:rsidR="008221EB" w:rsidRPr="00D869E3">
        <w:rPr>
          <w:rFonts w:ascii="Verdana" w:hAnsi="Verdana"/>
          <w:sz w:val="20"/>
          <w:szCs w:val="20"/>
          <w:lang w:val="en-US"/>
        </w:rPr>
        <w:t>recognizes the right to associate freely for ideological, religious, political, economic, labor, social, cultural, sports, or other purposes. The right to freedom of association is characterized by enabling individuals to create or take part in entities or organizations in order to act collectively to achieve very diverse objectives, provided these are legitimate.</w:t>
      </w:r>
      <w:r w:rsidR="00032FC5" w:rsidRPr="00D869E3">
        <w:rPr>
          <w:rFonts w:ascii="Verdana" w:hAnsi="Verdana"/>
          <w:sz w:val="20"/>
          <w:szCs w:val="20"/>
          <w:vertAlign w:val="superscript"/>
          <w:lang w:val="en-US"/>
        </w:rPr>
        <w:footnoteReference w:id="219"/>
      </w:r>
      <w:r w:rsidR="00032FC5" w:rsidRPr="00D869E3">
        <w:rPr>
          <w:rFonts w:ascii="Verdana" w:hAnsi="Verdana"/>
          <w:sz w:val="20"/>
          <w:szCs w:val="20"/>
          <w:lang w:val="en-US"/>
        </w:rPr>
        <w:t xml:space="preserve"> </w:t>
      </w:r>
      <w:r w:rsidRPr="00D869E3">
        <w:rPr>
          <w:rFonts w:ascii="Verdana" w:hAnsi="Verdana"/>
          <w:sz w:val="20"/>
          <w:szCs w:val="20"/>
          <w:lang w:val="en-US"/>
        </w:rPr>
        <w:t>The Court</w:t>
      </w:r>
      <w:r w:rsidR="00032FC5" w:rsidRPr="00D869E3">
        <w:rPr>
          <w:rFonts w:ascii="Verdana" w:hAnsi="Verdana"/>
          <w:sz w:val="20"/>
          <w:szCs w:val="20"/>
          <w:lang w:val="en-US"/>
        </w:rPr>
        <w:t xml:space="preserve"> </w:t>
      </w:r>
      <w:r w:rsidR="008221EB" w:rsidRPr="00D869E3">
        <w:rPr>
          <w:rFonts w:ascii="Verdana" w:hAnsi="Verdana"/>
          <w:sz w:val="20"/>
          <w:szCs w:val="20"/>
          <w:lang w:val="en-US"/>
        </w:rPr>
        <w:t>has established that those persons who are subject to the jurisdiction of the States Parties have the right to associate freely with others, without the intervention of the public authorities limiting or obstructing the exercise of the said right. This signifies that they have the right to associate in order to seek the common attainment of a lawful goal, and the correlative negative obligation of the State not to exert pressure or interfere so as to change or denature this goal.</w:t>
      </w:r>
      <w:r w:rsidR="00032FC5" w:rsidRPr="00D869E3">
        <w:rPr>
          <w:rFonts w:ascii="Verdana" w:hAnsi="Verdana"/>
          <w:sz w:val="20"/>
          <w:szCs w:val="20"/>
          <w:vertAlign w:val="superscript"/>
          <w:lang w:val="en-US"/>
        </w:rPr>
        <w:footnoteReference w:id="220"/>
      </w:r>
      <w:r w:rsidR="00032FC5" w:rsidRPr="00D869E3">
        <w:rPr>
          <w:rFonts w:ascii="Verdana" w:hAnsi="Verdana"/>
          <w:b/>
          <w:sz w:val="20"/>
          <w:szCs w:val="20"/>
          <w:lang w:val="en-US"/>
        </w:rPr>
        <w:t xml:space="preserve"> </w:t>
      </w:r>
      <w:r w:rsidR="008221EB" w:rsidRPr="00D869E3">
        <w:rPr>
          <w:rFonts w:ascii="Verdana" w:hAnsi="Verdana"/>
          <w:sz w:val="20"/>
          <w:szCs w:val="20"/>
          <w:lang w:val="en-US"/>
        </w:rPr>
        <w:t xml:space="preserve">Additionally, the Court has observed that positive obligations also arise from freedom of association; these are to prevent attacks against this right, protect those who exercise it, and investigate any violations </w:t>
      </w:r>
      <w:r w:rsidR="00B4644D" w:rsidRPr="00D869E3">
        <w:rPr>
          <w:rFonts w:ascii="Verdana" w:hAnsi="Verdana"/>
          <w:sz w:val="20"/>
          <w:szCs w:val="20"/>
          <w:lang w:val="en-US"/>
        </w:rPr>
        <w:t>against</w:t>
      </w:r>
      <w:r w:rsidR="008221EB" w:rsidRPr="00D869E3">
        <w:rPr>
          <w:rFonts w:ascii="Verdana" w:hAnsi="Verdana"/>
          <w:sz w:val="20"/>
          <w:szCs w:val="20"/>
          <w:lang w:val="en-US"/>
        </w:rPr>
        <w:t xml:space="preserve"> it. These positive obligations must be met even in the </w:t>
      </w:r>
      <w:r w:rsidR="00B4644D" w:rsidRPr="00D869E3">
        <w:rPr>
          <w:rFonts w:ascii="Verdana" w:hAnsi="Verdana"/>
          <w:sz w:val="20"/>
          <w:szCs w:val="20"/>
          <w:lang w:val="en-US"/>
        </w:rPr>
        <w:t>context</w:t>
      </w:r>
      <w:r w:rsidR="008221EB" w:rsidRPr="00D869E3">
        <w:rPr>
          <w:rFonts w:ascii="Verdana" w:hAnsi="Verdana"/>
          <w:sz w:val="20"/>
          <w:szCs w:val="20"/>
          <w:lang w:val="en-US"/>
        </w:rPr>
        <w:t xml:space="preserve"> of relations between private individuals, if a</w:t>
      </w:r>
      <w:r w:rsidR="00B4644D" w:rsidRPr="00D869E3">
        <w:rPr>
          <w:rFonts w:ascii="Verdana" w:hAnsi="Verdana"/>
          <w:sz w:val="20"/>
          <w:szCs w:val="20"/>
          <w:lang w:val="en-US"/>
        </w:rPr>
        <w:t>p</w:t>
      </w:r>
      <w:r w:rsidR="008221EB" w:rsidRPr="00D869E3">
        <w:rPr>
          <w:rFonts w:ascii="Verdana" w:hAnsi="Verdana"/>
          <w:sz w:val="20"/>
          <w:szCs w:val="20"/>
          <w:lang w:val="en-US"/>
        </w:rPr>
        <w:t>p</w:t>
      </w:r>
      <w:r w:rsidR="00B4644D" w:rsidRPr="00D869E3">
        <w:rPr>
          <w:rFonts w:ascii="Verdana" w:hAnsi="Verdana"/>
          <w:sz w:val="20"/>
          <w:szCs w:val="20"/>
          <w:lang w:val="en-US"/>
        </w:rPr>
        <w:t>licabl</w:t>
      </w:r>
      <w:r w:rsidR="008221EB" w:rsidRPr="00D869E3">
        <w:rPr>
          <w:rFonts w:ascii="Verdana" w:hAnsi="Verdana"/>
          <w:sz w:val="20"/>
          <w:szCs w:val="20"/>
          <w:lang w:val="en-US"/>
        </w:rPr>
        <w:t>e.</w:t>
      </w:r>
      <w:r w:rsidR="00032FC5" w:rsidRPr="00D869E3">
        <w:rPr>
          <w:rFonts w:ascii="Verdana" w:hAnsi="Verdana"/>
          <w:sz w:val="20"/>
          <w:szCs w:val="20"/>
          <w:vertAlign w:val="superscript"/>
          <w:lang w:val="en-US"/>
        </w:rPr>
        <w:footnoteReference w:id="221"/>
      </w:r>
      <w:r w:rsidR="00032FC5" w:rsidRPr="00D869E3">
        <w:rPr>
          <w:rFonts w:ascii="Verdana" w:hAnsi="Verdana"/>
          <w:sz w:val="20"/>
          <w:szCs w:val="20"/>
          <w:lang w:val="en-US"/>
        </w:rPr>
        <w:t xml:space="preserve"> </w:t>
      </w:r>
    </w:p>
    <w:p w14:paraId="3AE9C4C3" w14:textId="77777777" w:rsidR="00032FC5" w:rsidRPr="00D869E3" w:rsidRDefault="00032FC5" w:rsidP="00032FC5">
      <w:pPr>
        <w:contextualSpacing/>
        <w:jc w:val="both"/>
        <w:rPr>
          <w:rFonts w:ascii="Verdana" w:hAnsi="Verdana"/>
          <w:b/>
          <w:sz w:val="20"/>
          <w:szCs w:val="20"/>
          <w:lang w:val="en-US"/>
        </w:rPr>
      </w:pPr>
    </w:p>
    <w:p w14:paraId="352E49AD" w14:textId="70C9F4A0" w:rsidR="00032FC5" w:rsidRPr="00D869E3" w:rsidRDefault="008221EB"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In labor matters, the Court has established that freedom of association protects the </w:t>
      </w:r>
      <w:r w:rsidR="00BB5C6E" w:rsidRPr="00D869E3">
        <w:rPr>
          <w:rFonts w:ascii="Verdana" w:hAnsi="Verdana"/>
          <w:sz w:val="20"/>
          <w:szCs w:val="20"/>
          <w:lang w:val="en-US"/>
        </w:rPr>
        <w:t>ability</w:t>
      </w:r>
      <w:r w:rsidRPr="00D869E3">
        <w:rPr>
          <w:rFonts w:ascii="Verdana" w:hAnsi="Verdana"/>
          <w:sz w:val="20"/>
          <w:szCs w:val="20"/>
          <w:lang w:val="en-US"/>
        </w:rPr>
        <w:t xml:space="preserve"> to constitute labor unions and implement their internal structure, activities and programs of action, without the intervention of the public authorities limiting or hindering the exercise of this right.</w:t>
      </w:r>
      <w:r w:rsidR="00032FC5" w:rsidRPr="00D869E3">
        <w:rPr>
          <w:rFonts w:ascii="Verdana" w:hAnsi="Verdana"/>
          <w:sz w:val="20"/>
          <w:szCs w:val="20"/>
          <w:vertAlign w:val="superscript"/>
          <w:lang w:val="en-US"/>
        </w:rPr>
        <w:footnoteReference w:id="222"/>
      </w:r>
      <w:r w:rsidR="00032FC5" w:rsidRPr="00D869E3">
        <w:rPr>
          <w:rFonts w:ascii="Verdana" w:hAnsi="Verdana"/>
          <w:sz w:val="20"/>
          <w:szCs w:val="20"/>
          <w:lang w:val="en-US"/>
        </w:rPr>
        <w:t xml:space="preserve"> </w:t>
      </w:r>
      <w:r w:rsidRPr="00D869E3">
        <w:rPr>
          <w:rFonts w:ascii="Verdana" w:hAnsi="Verdana"/>
          <w:sz w:val="20"/>
          <w:szCs w:val="20"/>
          <w:lang w:val="en-US"/>
        </w:rPr>
        <w:t>This freedom also supposes that each individual may determine, without any coercion whatsoever, whether he or she wishes to form part of the association</w:t>
      </w:r>
      <w:r w:rsidR="00647AF2" w:rsidRPr="00D869E3">
        <w:rPr>
          <w:rFonts w:ascii="Verdana" w:hAnsi="Verdana"/>
          <w:sz w:val="20"/>
          <w:szCs w:val="20"/>
          <w:lang w:val="en-US"/>
        </w:rPr>
        <w:t>.</w:t>
      </w:r>
      <w:r w:rsidR="00032FC5" w:rsidRPr="00D869E3">
        <w:rPr>
          <w:rFonts w:ascii="Verdana" w:hAnsi="Verdana"/>
          <w:sz w:val="20"/>
          <w:szCs w:val="20"/>
          <w:vertAlign w:val="superscript"/>
          <w:lang w:val="en-US"/>
        </w:rPr>
        <w:footnoteReference w:id="223"/>
      </w:r>
      <w:r w:rsidR="00032FC5" w:rsidRPr="00D869E3">
        <w:rPr>
          <w:rFonts w:ascii="Verdana" w:hAnsi="Verdana"/>
          <w:sz w:val="20"/>
          <w:szCs w:val="20"/>
          <w:lang w:val="en-US"/>
        </w:rPr>
        <w:t xml:space="preserve"> </w:t>
      </w:r>
      <w:r w:rsidR="00647AF2" w:rsidRPr="00D869E3">
        <w:rPr>
          <w:rFonts w:ascii="Verdana" w:hAnsi="Verdana"/>
          <w:sz w:val="20"/>
          <w:szCs w:val="20"/>
          <w:lang w:val="en-US"/>
        </w:rPr>
        <w:t xml:space="preserve">In addition, the State has the obligation to guarantee that everyone can exercise freely their freedom </w:t>
      </w:r>
      <w:r w:rsidR="00BB5C6E" w:rsidRPr="00D869E3">
        <w:rPr>
          <w:rFonts w:ascii="Verdana" w:hAnsi="Verdana"/>
          <w:sz w:val="20"/>
          <w:szCs w:val="20"/>
          <w:lang w:val="en-US"/>
        </w:rPr>
        <w:t xml:space="preserve">of association </w:t>
      </w:r>
      <w:r w:rsidR="00647AF2" w:rsidRPr="00D869E3">
        <w:rPr>
          <w:rFonts w:ascii="Verdana" w:hAnsi="Verdana"/>
          <w:sz w:val="20"/>
          <w:szCs w:val="20"/>
          <w:lang w:val="en-US"/>
        </w:rPr>
        <w:t>without fear that they will be subject to any kind of violence because, to the contrary, the ability of groups of people to organize themselves to protect their interests could be reduced.</w:t>
      </w:r>
      <w:r w:rsidR="00032FC5" w:rsidRPr="00D869E3">
        <w:rPr>
          <w:rFonts w:ascii="Verdana" w:hAnsi="Verdana"/>
          <w:sz w:val="20"/>
          <w:szCs w:val="20"/>
          <w:vertAlign w:val="superscript"/>
          <w:lang w:val="en-US"/>
        </w:rPr>
        <w:footnoteReference w:id="224"/>
      </w:r>
      <w:r w:rsidR="00647AF2"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032FC5" w:rsidRPr="00D869E3">
        <w:rPr>
          <w:rFonts w:ascii="Verdana" w:hAnsi="Verdana"/>
          <w:sz w:val="20"/>
          <w:szCs w:val="20"/>
          <w:lang w:val="en-US"/>
        </w:rPr>
        <w:t xml:space="preserve">, </w:t>
      </w:r>
      <w:r w:rsidR="00447C65" w:rsidRPr="00D869E3">
        <w:rPr>
          <w:rFonts w:ascii="Verdana" w:hAnsi="Verdana"/>
          <w:sz w:val="20"/>
          <w:szCs w:val="20"/>
          <w:lang w:val="en-US"/>
        </w:rPr>
        <w:t>the Court</w:t>
      </w:r>
      <w:r w:rsidR="00032FC5" w:rsidRPr="00D869E3">
        <w:rPr>
          <w:rFonts w:ascii="Verdana" w:hAnsi="Verdana"/>
          <w:sz w:val="20"/>
          <w:szCs w:val="20"/>
          <w:lang w:val="en-US"/>
        </w:rPr>
        <w:t xml:space="preserve"> </w:t>
      </w:r>
      <w:r w:rsidR="00647AF2" w:rsidRPr="00D869E3">
        <w:rPr>
          <w:rFonts w:ascii="Verdana" w:hAnsi="Verdana"/>
          <w:sz w:val="20"/>
          <w:szCs w:val="20"/>
          <w:lang w:val="en-US"/>
        </w:rPr>
        <w:t xml:space="preserve">has stressed </w:t>
      </w:r>
      <w:r w:rsidR="00BB5C6E" w:rsidRPr="00D869E3">
        <w:rPr>
          <w:rFonts w:ascii="Verdana" w:hAnsi="Verdana"/>
          <w:sz w:val="20"/>
          <w:szCs w:val="20"/>
          <w:lang w:val="en-US"/>
        </w:rPr>
        <w:t xml:space="preserve"> labor-related</w:t>
      </w:r>
      <w:r w:rsidR="00647AF2" w:rsidRPr="00D869E3">
        <w:rPr>
          <w:rFonts w:ascii="Verdana" w:hAnsi="Verdana"/>
          <w:sz w:val="20"/>
          <w:szCs w:val="20"/>
          <w:lang w:val="en-US"/>
        </w:rPr>
        <w:t xml:space="preserve"> freedom of association</w:t>
      </w:r>
      <w:r w:rsidR="00BB5C6E" w:rsidRPr="00D869E3">
        <w:rPr>
          <w:rFonts w:ascii="Verdana" w:hAnsi="Verdana"/>
          <w:sz w:val="20"/>
          <w:szCs w:val="20"/>
          <w:lang w:val="en-US"/>
        </w:rPr>
        <w:t xml:space="preserve"> </w:t>
      </w:r>
      <w:r w:rsidR="00647AF2" w:rsidRPr="00D869E3">
        <w:rPr>
          <w:rFonts w:ascii="Verdana" w:hAnsi="Verdana"/>
          <w:sz w:val="20"/>
          <w:szCs w:val="20"/>
          <w:lang w:val="en-US"/>
        </w:rPr>
        <w:t xml:space="preserve">“is not exhausted with the theoretical recognition of the right to </w:t>
      </w:r>
      <w:r w:rsidR="00BB5C6E" w:rsidRPr="00D869E3">
        <w:rPr>
          <w:rFonts w:ascii="Verdana" w:hAnsi="Verdana"/>
          <w:sz w:val="20"/>
          <w:szCs w:val="20"/>
          <w:lang w:val="en-US"/>
        </w:rPr>
        <w:t>constitute</w:t>
      </w:r>
      <w:r w:rsidR="00647AF2" w:rsidRPr="00D869E3">
        <w:rPr>
          <w:rFonts w:ascii="Verdana" w:hAnsi="Verdana"/>
          <w:sz w:val="20"/>
          <w:szCs w:val="20"/>
          <w:lang w:val="en-US"/>
        </w:rPr>
        <w:t xml:space="preserve"> (unions), but also includes, inseparably, the right to exercise this freedom.”</w:t>
      </w:r>
      <w:r w:rsidR="00032FC5" w:rsidRPr="00D869E3">
        <w:rPr>
          <w:rFonts w:ascii="Verdana" w:hAnsi="Verdana"/>
          <w:sz w:val="20"/>
          <w:szCs w:val="20"/>
          <w:vertAlign w:val="superscript"/>
          <w:lang w:val="en-US"/>
        </w:rPr>
        <w:footnoteReference w:id="225"/>
      </w:r>
    </w:p>
    <w:p w14:paraId="70654B84" w14:textId="77777777" w:rsidR="00647AF2" w:rsidRPr="00D869E3" w:rsidRDefault="00647AF2" w:rsidP="00647AF2">
      <w:pPr>
        <w:pStyle w:val="Prrafodelista"/>
        <w:rPr>
          <w:rFonts w:ascii="Verdana" w:hAnsi="Verdana"/>
          <w:b/>
          <w:sz w:val="20"/>
          <w:szCs w:val="20"/>
          <w:lang w:val="en-US"/>
        </w:rPr>
      </w:pPr>
    </w:p>
    <w:p w14:paraId="1E2B0D1F" w14:textId="69A7877E" w:rsidR="00032FC5" w:rsidRPr="00D869E3" w:rsidRDefault="00BB61A6" w:rsidP="00647AF2">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In </w:t>
      </w:r>
      <w:r w:rsidR="00647AF2" w:rsidRPr="00D869E3">
        <w:rPr>
          <w:rFonts w:ascii="Verdana" w:hAnsi="Verdana"/>
          <w:sz w:val="20"/>
          <w:szCs w:val="20"/>
          <w:lang w:val="en-US"/>
        </w:rPr>
        <w:t xml:space="preserve">this regard, the Court finds that the protection of the right to </w:t>
      </w:r>
      <w:r w:rsidR="00BB5C6E" w:rsidRPr="00D869E3">
        <w:rPr>
          <w:rFonts w:ascii="Verdana" w:hAnsi="Verdana"/>
          <w:sz w:val="20"/>
          <w:szCs w:val="20"/>
          <w:lang w:val="en-US"/>
        </w:rPr>
        <w:t xml:space="preserve">labor-related </w:t>
      </w:r>
      <w:r w:rsidR="00647AF2" w:rsidRPr="00D869E3">
        <w:rPr>
          <w:rFonts w:ascii="Verdana" w:hAnsi="Verdana"/>
          <w:sz w:val="20"/>
          <w:szCs w:val="20"/>
          <w:lang w:val="en-US"/>
        </w:rPr>
        <w:t xml:space="preserve">freedom of association is subsumed </w:t>
      </w:r>
      <w:r w:rsidR="00BB5C6E" w:rsidRPr="00D869E3">
        <w:rPr>
          <w:rFonts w:ascii="Verdana" w:hAnsi="Verdana"/>
          <w:sz w:val="20"/>
          <w:szCs w:val="20"/>
          <w:lang w:val="en-US"/>
        </w:rPr>
        <w:t xml:space="preserve">not only </w:t>
      </w:r>
      <w:r w:rsidR="00647AF2" w:rsidRPr="00D869E3">
        <w:rPr>
          <w:rFonts w:ascii="Verdana" w:hAnsi="Verdana"/>
          <w:sz w:val="20"/>
          <w:szCs w:val="20"/>
          <w:lang w:val="en-US"/>
        </w:rPr>
        <w:t>in the protection of labor unions, their members and their representatives. Indeed, unions and their representatives enjoy specific protection for the proper performance of their functions because, as the Court has established in its case law</w:t>
      </w:r>
      <w:r w:rsidR="00032FC5" w:rsidRPr="00D869E3">
        <w:rPr>
          <w:rFonts w:ascii="Verdana" w:hAnsi="Verdana"/>
          <w:sz w:val="20"/>
          <w:szCs w:val="20"/>
          <w:vertAlign w:val="superscript"/>
          <w:lang w:val="en-US"/>
        </w:rPr>
        <w:footnoteReference w:id="226"/>
      </w:r>
      <w:r w:rsidR="00687684" w:rsidRPr="00D869E3">
        <w:rPr>
          <w:rFonts w:ascii="Verdana" w:hAnsi="Verdana"/>
          <w:sz w:val="20"/>
          <w:szCs w:val="20"/>
          <w:lang w:val="en-US"/>
        </w:rPr>
        <w:t xml:space="preserve"> and </w:t>
      </w:r>
      <w:r w:rsidR="00647AF2" w:rsidRPr="00D869E3">
        <w:rPr>
          <w:rFonts w:ascii="Verdana" w:hAnsi="Verdana"/>
          <w:sz w:val="20"/>
          <w:szCs w:val="20"/>
          <w:lang w:val="en-US"/>
        </w:rPr>
        <w:t>as can be observed in different international instruments,</w:t>
      </w:r>
      <w:r w:rsidR="00032FC5" w:rsidRPr="00D869E3">
        <w:rPr>
          <w:rFonts w:ascii="Verdana" w:hAnsi="Verdana"/>
          <w:sz w:val="20"/>
          <w:szCs w:val="20"/>
          <w:vertAlign w:val="superscript"/>
          <w:lang w:val="en-US"/>
        </w:rPr>
        <w:footnoteReference w:id="227"/>
      </w:r>
      <w:r w:rsidR="00032FC5" w:rsidRPr="00D869E3">
        <w:rPr>
          <w:rFonts w:ascii="Verdana" w:hAnsi="Verdana"/>
          <w:sz w:val="20"/>
          <w:szCs w:val="20"/>
          <w:lang w:val="en-US"/>
        </w:rPr>
        <w:t xml:space="preserve"> </w:t>
      </w:r>
      <w:r w:rsidR="00647AF2" w:rsidRPr="00D869E3">
        <w:rPr>
          <w:rFonts w:ascii="Verdana" w:hAnsi="Verdana"/>
          <w:sz w:val="20"/>
          <w:szCs w:val="20"/>
          <w:lang w:val="en-US"/>
        </w:rPr>
        <w:t xml:space="preserve">including Article 8 of the Protocol of San Salvador, freedom of association in union matters is extremely important to </w:t>
      </w:r>
      <w:r w:rsidR="00647AF2" w:rsidRPr="00D869E3">
        <w:rPr>
          <w:rFonts w:ascii="Verdana" w:hAnsi="Verdana"/>
          <w:sz w:val="20"/>
          <w:szCs w:val="20"/>
          <w:lang w:val="en-US"/>
        </w:rPr>
        <w:lastRenderedPageBreak/>
        <w:t xml:space="preserve">defend the legitimate interests of the workers and is included in the human rights </w:t>
      </w:r>
      <w:r w:rsidR="00647AF2" w:rsidRPr="00D869E3">
        <w:rPr>
          <w:rFonts w:ascii="Verdana" w:hAnsi="Verdana"/>
          <w:i/>
          <w:sz w:val="20"/>
          <w:szCs w:val="20"/>
          <w:lang w:val="en-US"/>
        </w:rPr>
        <w:t>corpus juris</w:t>
      </w:r>
      <w:r w:rsidR="00647AF2" w:rsidRPr="00D869E3">
        <w:rPr>
          <w:rFonts w:ascii="Verdana" w:hAnsi="Verdana"/>
          <w:sz w:val="20"/>
          <w:szCs w:val="20"/>
          <w:lang w:val="en-US"/>
        </w:rPr>
        <w:t>.</w:t>
      </w:r>
      <w:r w:rsidR="00032FC5" w:rsidRPr="00D869E3">
        <w:rPr>
          <w:rFonts w:ascii="Verdana" w:hAnsi="Verdana"/>
          <w:sz w:val="20"/>
          <w:szCs w:val="20"/>
          <w:vertAlign w:val="superscript"/>
          <w:lang w:val="en-US"/>
        </w:rPr>
        <w:footnoteReference w:id="228"/>
      </w:r>
      <w:r w:rsidR="00032FC5" w:rsidRPr="00D869E3">
        <w:rPr>
          <w:rFonts w:ascii="Verdana" w:hAnsi="Verdana"/>
          <w:b/>
          <w:sz w:val="20"/>
          <w:szCs w:val="20"/>
          <w:lang w:val="en-US"/>
        </w:rPr>
        <w:t xml:space="preserve"> </w:t>
      </w:r>
      <w:r w:rsidR="00647AF2" w:rsidRPr="00D869E3">
        <w:rPr>
          <w:rFonts w:ascii="Verdana" w:hAnsi="Verdana"/>
          <w:sz w:val="20"/>
          <w:szCs w:val="20"/>
          <w:lang w:val="en-US"/>
        </w:rPr>
        <w:t xml:space="preserve">Moreover, the importance that States have recognized to union rights is reflected in the fact that Article 19 of the Protocol of San Salvador gives the Court competence to rule on violations of the </w:t>
      </w:r>
      <w:r w:rsidR="00BB5C6E" w:rsidRPr="00D869E3">
        <w:rPr>
          <w:rFonts w:ascii="Verdana" w:hAnsi="Verdana"/>
          <w:sz w:val="20"/>
          <w:szCs w:val="20"/>
          <w:lang w:val="en-US"/>
        </w:rPr>
        <w:t>S</w:t>
      </w:r>
      <w:r w:rsidR="00647AF2" w:rsidRPr="00D869E3">
        <w:rPr>
          <w:rFonts w:ascii="Verdana" w:hAnsi="Verdana"/>
          <w:sz w:val="20"/>
          <w:szCs w:val="20"/>
          <w:lang w:val="en-US"/>
        </w:rPr>
        <w:t>tate obligation to allow labor unions, federations and confederations to function freely.</w:t>
      </w:r>
      <w:r w:rsidR="00032FC5" w:rsidRPr="00D869E3">
        <w:rPr>
          <w:rFonts w:ascii="Verdana" w:hAnsi="Verdana"/>
          <w:sz w:val="20"/>
          <w:szCs w:val="20"/>
          <w:vertAlign w:val="superscript"/>
          <w:lang w:val="en-US"/>
        </w:rPr>
        <w:footnoteReference w:id="229"/>
      </w:r>
    </w:p>
    <w:p w14:paraId="10C9546B" w14:textId="77777777" w:rsidR="00647AF2" w:rsidRPr="00D869E3" w:rsidRDefault="00647AF2" w:rsidP="00647AF2">
      <w:pPr>
        <w:pStyle w:val="Prrafodelista"/>
        <w:rPr>
          <w:rFonts w:ascii="Verdana" w:hAnsi="Verdana"/>
          <w:b/>
          <w:sz w:val="20"/>
          <w:szCs w:val="20"/>
          <w:lang w:val="en-US"/>
        </w:rPr>
      </w:pPr>
    </w:p>
    <w:p w14:paraId="0FF80A99" w14:textId="167E0A06" w:rsidR="004205B3" w:rsidRPr="00D869E3" w:rsidRDefault="00647AF2" w:rsidP="007406F9">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However, the protection recognized to the right to freedom of association in</w:t>
      </w:r>
      <w:r w:rsidR="008A6FFA" w:rsidRPr="00D869E3">
        <w:rPr>
          <w:rFonts w:ascii="Verdana" w:hAnsi="Verdana"/>
          <w:sz w:val="20"/>
          <w:szCs w:val="20"/>
          <w:lang w:val="en-US"/>
        </w:rPr>
        <w:t xml:space="preserve"> the context of</w:t>
      </w:r>
      <w:r w:rsidRPr="00D869E3">
        <w:rPr>
          <w:rFonts w:ascii="Verdana" w:hAnsi="Verdana"/>
          <w:sz w:val="20"/>
          <w:szCs w:val="20"/>
          <w:lang w:val="en-US"/>
        </w:rPr>
        <w:t xml:space="preserve"> labor extends to organizations that, even though their nature differs from that of labor unions, seek to represent the legitimate interests of workers. This protection is derived from Article 16 of the American Convention, which protects freedom of association for any purpose, as well as from other international instruments that recognize special protection to freedom of association to protect the interests of workers, without specifying that this protection is restricted to the labor union sphere.</w:t>
      </w:r>
      <w:r w:rsidR="00032FC5" w:rsidRPr="00D869E3">
        <w:rPr>
          <w:rFonts w:ascii="Verdana" w:hAnsi="Verdana"/>
          <w:sz w:val="20"/>
          <w:szCs w:val="20"/>
          <w:vertAlign w:val="superscript"/>
          <w:lang w:val="en-US"/>
        </w:rPr>
        <w:footnoteReference w:id="230"/>
      </w:r>
      <w:r w:rsidR="00032FC5" w:rsidRPr="00D869E3">
        <w:rPr>
          <w:rFonts w:ascii="Verdana" w:hAnsi="Verdana"/>
          <w:sz w:val="20"/>
          <w:szCs w:val="20"/>
          <w:lang w:val="en-US"/>
        </w:rPr>
        <w:t xml:space="preserve"> </w:t>
      </w:r>
      <w:r w:rsidRPr="00D869E3">
        <w:rPr>
          <w:rFonts w:ascii="Verdana" w:hAnsi="Verdana"/>
          <w:sz w:val="20"/>
          <w:szCs w:val="20"/>
          <w:lang w:val="en-US"/>
        </w:rPr>
        <w:t xml:space="preserve">Thus Article 26 of the American Convention, which relates to the economic, social, educational, scientific and cultural standards set forth in the Charter of the Organization of American States, recognizes the right of employers and workers to associate freely for the defense and promotion of their interests. Additionally, the Preamble to the Inter-American Democratic Charter recognizes that the right of workers to associate themselves freely for the defense and promotion of their interests is fundamental to the </w:t>
      </w:r>
      <w:r w:rsidR="000258D5" w:rsidRPr="00D869E3">
        <w:rPr>
          <w:rFonts w:ascii="Verdana" w:hAnsi="Verdana"/>
          <w:sz w:val="20"/>
          <w:szCs w:val="20"/>
          <w:lang w:val="en-US"/>
        </w:rPr>
        <w:t>achievement</w:t>
      </w:r>
      <w:r w:rsidRPr="00D869E3">
        <w:rPr>
          <w:rFonts w:ascii="Verdana" w:hAnsi="Verdana"/>
          <w:sz w:val="20"/>
          <w:szCs w:val="20"/>
          <w:lang w:val="en-US"/>
        </w:rPr>
        <w:t xml:space="preserve"> of democratic ideals.</w:t>
      </w:r>
    </w:p>
    <w:p w14:paraId="52AE0B2C" w14:textId="77777777" w:rsidR="007406F9" w:rsidRPr="00D869E3" w:rsidRDefault="007406F9" w:rsidP="007406F9">
      <w:pPr>
        <w:contextualSpacing/>
        <w:jc w:val="both"/>
        <w:rPr>
          <w:rFonts w:ascii="Verdana" w:hAnsi="Verdana"/>
          <w:b/>
          <w:sz w:val="20"/>
          <w:szCs w:val="20"/>
          <w:lang w:val="en-US"/>
        </w:rPr>
      </w:pPr>
    </w:p>
    <w:p w14:paraId="126C354A" w14:textId="06A1DCEE" w:rsidR="00032FC5" w:rsidRPr="00D869E3" w:rsidRDefault="007406F9" w:rsidP="007406F9">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These principles </w:t>
      </w:r>
      <w:r w:rsidR="000258D5" w:rsidRPr="00D869E3">
        <w:rPr>
          <w:rFonts w:ascii="Verdana" w:hAnsi="Verdana"/>
          <w:sz w:val="20"/>
          <w:szCs w:val="20"/>
          <w:lang w:val="en-US"/>
        </w:rPr>
        <w:t>concur</w:t>
      </w:r>
      <w:r w:rsidRPr="00D869E3">
        <w:rPr>
          <w:rFonts w:ascii="Verdana" w:hAnsi="Verdana"/>
          <w:sz w:val="20"/>
          <w:szCs w:val="20"/>
          <w:lang w:val="en-US"/>
        </w:rPr>
        <w:t xml:space="preserve"> with the protection recognized by the ILO, which has clarified that the expression “workers’ representatives” includes those recognized as such under domestic law or practice, whether union representatives or “elected representatives, namely, representatives who are freely elected by the workers of the undertaking in accordance with the provisions of national laws or regulations or of collective agreements and whose functions do not include activities which are recognized as the exclusive prerogative of trade unions in the country concerned.</w:t>
      </w:r>
      <w:r w:rsidR="006436CA" w:rsidRPr="00D869E3">
        <w:rPr>
          <w:rFonts w:ascii="Verdana" w:hAnsi="Verdana"/>
          <w:sz w:val="20"/>
          <w:szCs w:val="20"/>
          <w:lang w:val="en-US"/>
        </w:rPr>
        <w:t>”</w:t>
      </w:r>
      <w:r w:rsidR="00032FC5" w:rsidRPr="00D869E3">
        <w:rPr>
          <w:rFonts w:ascii="Verdana" w:hAnsi="Verdana"/>
          <w:sz w:val="20"/>
          <w:szCs w:val="20"/>
          <w:vertAlign w:val="superscript"/>
          <w:lang w:val="en-US"/>
        </w:rPr>
        <w:footnoteReference w:id="231"/>
      </w:r>
      <w:r w:rsidR="00032FC5" w:rsidRPr="00D869E3">
        <w:rPr>
          <w:rFonts w:ascii="Verdana" w:hAnsi="Verdana"/>
          <w:sz w:val="20"/>
          <w:szCs w:val="20"/>
          <w:lang w:val="en-US"/>
        </w:rPr>
        <w:t xml:space="preserve"> </w:t>
      </w:r>
    </w:p>
    <w:p w14:paraId="12741BCB" w14:textId="77777777" w:rsidR="007406F9" w:rsidRPr="00D869E3" w:rsidRDefault="007406F9" w:rsidP="007406F9">
      <w:pPr>
        <w:pStyle w:val="Prrafodelista"/>
        <w:rPr>
          <w:rFonts w:ascii="Verdana" w:hAnsi="Verdana"/>
          <w:b/>
          <w:sz w:val="20"/>
          <w:szCs w:val="20"/>
          <w:lang w:val="en-US"/>
        </w:rPr>
      </w:pPr>
    </w:p>
    <w:p w14:paraId="62163FF8" w14:textId="482FCB81" w:rsidR="00032FC5" w:rsidRPr="00D869E3" w:rsidRDefault="007406F9" w:rsidP="007406F9">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Similarly, it has been interpreted that the representatives of the workers of an undertaking should enjoy effective protection against any act that could prejudice them, including dismissal based on their condition as</w:t>
      </w:r>
      <w:r w:rsidR="001625FE" w:rsidRPr="00D869E3">
        <w:rPr>
          <w:rFonts w:ascii="Verdana" w:hAnsi="Verdana"/>
          <w:sz w:val="20"/>
          <w:szCs w:val="20"/>
          <w:lang w:val="en-US"/>
        </w:rPr>
        <w:t xml:space="preserve"> workers’</w:t>
      </w:r>
      <w:r w:rsidRPr="00D869E3">
        <w:rPr>
          <w:rFonts w:ascii="Verdana" w:hAnsi="Verdana"/>
          <w:sz w:val="20"/>
          <w:szCs w:val="20"/>
          <w:lang w:val="en-US"/>
        </w:rPr>
        <w:t xml:space="preserve"> representatives, or on their activities arising from this representation.</w:t>
      </w:r>
      <w:r w:rsidR="00032FC5" w:rsidRPr="00D869E3">
        <w:rPr>
          <w:rFonts w:ascii="Verdana" w:hAnsi="Verdana"/>
          <w:sz w:val="20"/>
          <w:szCs w:val="20"/>
          <w:vertAlign w:val="superscript"/>
          <w:lang w:val="en-US"/>
        </w:rPr>
        <w:footnoteReference w:id="232"/>
      </w:r>
      <w:r w:rsidR="00032FC5" w:rsidRPr="00D869E3">
        <w:rPr>
          <w:rFonts w:ascii="Verdana" w:eastAsia="Times New Roman" w:hAnsi="Verdana" w:cs="Arial"/>
          <w:sz w:val="20"/>
          <w:szCs w:val="20"/>
          <w:lang w:val="en-US"/>
        </w:rPr>
        <w:t xml:space="preserve"> </w:t>
      </w:r>
      <w:r w:rsidRPr="00D869E3">
        <w:rPr>
          <w:rFonts w:ascii="Verdana" w:hAnsi="Verdana"/>
          <w:sz w:val="20"/>
          <w:szCs w:val="20"/>
          <w:lang w:val="en-US"/>
        </w:rPr>
        <w:t>Also, the national authorities must ensure that disproportionate penalties do not dissuade the representatives from seeking to express and defend the workers’ interests.</w:t>
      </w:r>
      <w:r w:rsidR="00032FC5" w:rsidRPr="00D869E3">
        <w:rPr>
          <w:rFonts w:ascii="Verdana" w:hAnsi="Verdana"/>
          <w:sz w:val="20"/>
          <w:szCs w:val="20"/>
          <w:vertAlign w:val="superscript"/>
          <w:lang w:val="en-US"/>
        </w:rPr>
        <w:footnoteReference w:id="233"/>
      </w:r>
    </w:p>
    <w:p w14:paraId="0AA0F207" w14:textId="77777777" w:rsidR="00032FC5" w:rsidRPr="00D869E3" w:rsidRDefault="00032FC5" w:rsidP="00032FC5">
      <w:pPr>
        <w:pStyle w:val="Prrafodelista"/>
        <w:rPr>
          <w:rFonts w:ascii="Verdana" w:hAnsi="Verdana"/>
          <w:sz w:val="20"/>
          <w:szCs w:val="20"/>
          <w:lang w:val="en-US"/>
        </w:rPr>
      </w:pPr>
    </w:p>
    <w:p w14:paraId="5B719D5B" w14:textId="592E3198" w:rsidR="00032FC5" w:rsidRPr="00D869E3" w:rsidRDefault="001625FE" w:rsidP="001625FE">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O</w:t>
      </w:r>
      <w:r w:rsidR="00032FC5" w:rsidRPr="00D869E3">
        <w:rPr>
          <w:rFonts w:ascii="Verdana" w:hAnsi="Verdana"/>
          <w:sz w:val="20"/>
          <w:szCs w:val="20"/>
          <w:lang w:val="en-US"/>
        </w:rPr>
        <w:t>n</w:t>
      </w:r>
      <w:r w:rsidRPr="00D869E3">
        <w:rPr>
          <w:rFonts w:ascii="Verdana" w:hAnsi="Verdana"/>
          <w:sz w:val="20"/>
          <w:szCs w:val="20"/>
          <w:lang w:val="en-US"/>
        </w:rPr>
        <w:t xml:space="preserve"> this</w:t>
      </w:r>
      <w:r w:rsidR="00032FC5" w:rsidRPr="00D869E3">
        <w:rPr>
          <w:rFonts w:ascii="Verdana" w:hAnsi="Verdana"/>
          <w:sz w:val="20"/>
          <w:szCs w:val="20"/>
          <w:lang w:val="en-US"/>
        </w:rPr>
        <w:t xml:space="preserve"> </w:t>
      </w:r>
      <w:r w:rsidRPr="00D869E3">
        <w:rPr>
          <w:rFonts w:ascii="Verdana" w:hAnsi="Verdana"/>
          <w:sz w:val="20"/>
          <w:szCs w:val="20"/>
          <w:lang w:val="en-US"/>
        </w:rPr>
        <w:t>point,</w:t>
      </w:r>
      <w:r w:rsidR="00032FC5" w:rsidRPr="00D869E3">
        <w:rPr>
          <w:rFonts w:ascii="Verdana" w:hAnsi="Verdana"/>
          <w:sz w:val="20"/>
          <w:szCs w:val="20"/>
          <w:lang w:val="en-US"/>
        </w:rPr>
        <w:t xml:space="preserve"> </w:t>
      </w:r>
      <w:r w:rsidR="00447C65" w:rsidRPr="00D869E3">
        <w:rPr>
          <w:rFonts w:ascii="Verdana" w:hAnsi="Verdana"/>
          <w:sz w:val="20"/>
          <w:szCs w:val="20"/>
          <w:lang w:val="en-US"/>
        </w:rPr>
        <w:t>the Court</w:t>
      </w:r>
      <w:r w:rsidR="00032FC5" w:rsidRPr="00D869E3">
        <w:rPr>
          <w:rFonts w:ascii="Verdana" w:hAnsi="Verdana"/>
          <w:sz w:val="20"/>
          <w:szCs w:val="20"/>
          <w:lang w:val="en-US"/>
        </w:rPr>
        <w:t xml:space="preserve"> </w:t>
      </w:r>
      <w:r w:rsidRPr="00D869E3">
        <w:rPr>
          <w:rFonts w:ascii="Verdana" w:hAnsi="Verdana"/>
          <w:sz w:val="20"/>
          <w:szCs w:val="20"/>
          <w:lang w:val="en-US"/>
        </w:rPr>
        <w:t xml:space="preserve">has verified that </w:t>
      </w:r>
      <w:r w:rsidR="001E44D3" w:rsidRPr="00D869E3">
        <w:rPr>
          <w:rFonts w:ascii="Verdana" w:hAnsi="Verdana"/>
          <w:sz w:val="20"/>
          <w:szCs w:val="20"/>
          <w:lang w:val="en-US"/>
        </w:rPr>
        <w:t>Mr. Lagos del Campo</w:t>
      </w:r>
      <w:r w:rsidR="00032FC5" w:rsidRPr="00D869E3">
        <w:rPr>
          <w:rFonts w:ascii="Verdana" w:hAnsi="Verdana"/>
          <w:sz w:val="20"/>
          <w:szCs w:val="20"/>
          <w:lang w:val="en-US"/>
        </w:rPr>
        <w:t xml:space="preserve"> </w:t>
      </w:r>
      <w:r w:rsidRPr="00D869E3">
        <w:rPr>
          <w:rFonts w:ascii="Verdana" w:hAnsi="Verdana"/>
          <w:sz w:val="20"/>
          <w:szCs w:val="20"/>
          <w:lang w:val="en-US"/>
        </w:rPr>
        <w:t>was dismissed owing to the complaints made in the context of an electoral process that the presumed victim, together with other workers, were called on to supervise. Additionally, it is a proven fact that, as a result of his dismissal</w:t>
      </w:r>
      <w:r w:rsidR="00032FC5"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032FC5" w:rsidRPr="00D869E3">
        <w:rPr>
          <w:rFonts w:ascii="Verdana" w:hAnsi="Verdana"/>
          <w:sz w:val="20"/>
          <w:szCs w:val="20"/>
          <w:lang w:val="en-US"/>
        </w:rPr>
        <w:t xml:space="preserve"> </w:t>
      </w:r>
      <w:r w:rsidRPr="00D869E3">
        <w:rPr>
          <w:rFonts w:ascii="Verdana" w:hAnsi="Verdana"/>
          <w:sz w:val="20"/>
          <w:szCs w:val="20"/>
          <w:lang w:val="en-US"/>
        </w:rPr>
        <w:t>was unable to continue his work representing the work</w:t>
      </w:r>
      <w:r w:rsidR="000258D5" w:rsidRPr="00D869E3">
        <w:rPr>
          <w:rFonts w:ascii="Verdana" w:hAnsi="Verdana"/>
          <w:sz w:val="20"/>
          <w:szCs w:val="20"/>
          <w:lang w:val="en-US"/>
        </w:rPr>
        <w:t>ers</w:t>
      </w:r>
      <w:r w:rsidRPr="00D869E3">
        <w:rPr>
          <w:rFonts w:ascii="Verdana" w:hAnsi="Verdana"/>
          <w:sz w:val="20"/>
          <w:szCs w:val="20"/>
          <w:lang w:val="en-US"/>
        </w:rPr>
        <w:t xml:space="preserve"> </w:t>
      </w:r>
      <w:r w:rsidRPr="00D869E3">
        <w:rPr>
          <w:rFonts w:ascii="Verdana" w:hAnsi="Verdana"/>
          <w:sz w:val="20"/>
          <w:szCs w:val="20"/>
          <w:lang w:val="en-US"/>
        </w:rPr>
        <w:lastRenderedPageBreak/>
        <w:t xml:space="preserve">on </w:t>
      </w:r>
      <w:r w:rsidR="00EA232B" w:rsidRPr="00D869E3">
        <w:rPr>
          <w:rFonts w:ascii="Verdana" w:hAnsi="Verdana"/>
          <w:sz w:val="20"/>
          <w:szCs w:val="20"/>
          <w:lang w:val="en-US"/>
        </w:rPr>
        <w:t>the Electoral Committee</w:t>
      </w:r>
      <w:r w:rsidR="00032FC5" w:rsidRPr="00D869E3">
        <w:rPr>
          <w:rFonts w:ascii="Verdana" w:hAnsi="Verdana"/>
          <w:sz w:val="20"/>
          <w:szCs w:val="20"/>
          <w:lang w:val="en-US"/>
        </w:rPr>
        <w:t xml:space="preserve">, </w:t>
      </w:r>
      <w:r w:rsidRPr="00D869E3">
        <w:rPr>
          <w:rFonts w:ascii="Verdana" w:hAnsi="Verdana"/>
          <w:sz w:val="20"/>
          <w:szCs w:val="20"/>
          <w:lang w:val="en-US"/>
        </w:rPr>
        <w:t xml:space="preserve">and could not even attend a meeting that he himself, in the exercise of his functions, had convened on June 27, </w:t>
      </w:r>
      <w:r w:rsidR="00032FC5" w:rsidRPr="00D869E3">
        <w:rPr>
          <w:rFonts w:ascii="Verdana" w:hAnsi="Verdana"/>
          <w:sz w:val="20"/>
          <w:szCs w:val="20"/>
          <w:lang w:val="en-US"/>
        </w:rPr>
        <w:t>1989</w:t>
      </w:r>
      <w:r w:rsidRPr="00D869E3">
        <w:rPr>
          <w:rFonts w:ascii="Verdana" w:hAnsi="Verdana"/>
          <w:sz w:val="20"/>
          <w:szCs w:val="20"/>
          <w:lang w:val="en-US"/>
        </w:rPr>
        <w:t>, before being dismissed</w:t>
      </w:r>
      <w:r w:rsidR="00032FC5" w:rsidRPr="00D869E3">
        <w:rPr>
          <w:rFonts w:ascii="Verdana" w:hAnsi="Verdana"/>
          <w:sz w:val="16"/>
          <w:szCs w:val="20"/>
          <w:lang w:val="en-US"/>
        </w:rPr>
        <w:t xml:space="preserve"> </w:t>
      </w:r>
      <w:r w:rsidR="00032FC5" w:rsidRPr="00D869E3">
        <w:rPr>
          <w:rFonts w:ascii="Verdana" w:hAnsi="Verdana"/>
          <w:sz w:val="20"/>
          <w:szCs w:val="20"/>
          <w:lang w:val="en-US"/>
        </w:rPr>
        <w:t>(</w:t>
      </w:r>
      <w:r w:rsidR="00032FC5" w:rsidRPr="00D869E3">
        <w:rPr>
          <w:rFonts w:ascii="Verdana" w:hAnsi="Verdana"/>
          <w:i/>
          <w:sz w:val="20"/>
          <w:szCs w:val="20"/>
          <w:lang w:val="en-US"/>
        </w:rPr>
        <w:t>supra</w:t>
      </w:r>
      <w:r w:rsidR="00032FC5" w:rsidRPr="00D869E3">
        <w:rPr>
          <w:rFonts w:ascii="Verdana" w:hAnsi="Verdana"/>
          <w:sz w:val="20"/>
          <w:szCs w:val="20"/>
          <w:lang w:val="en-US"/>
        </w:rPr>
        <w:t xml:space="preserve">, </w:t>
      </w:r>
      <w:r w:rsidR="0087339F" w:rsidRPr="00D869E3">
        <w:rPr>
          <w:rFonts w:ascii="Verdana" w:hAnsi="Verdana"/>
          <w:sz w:val="20"/>
          <w:szCs w:val="20"/>
          <w:lang w:val="en-US"/>
        </w:rPr>
        <w:t>para.</w:t>
      </w:r>
      <w:r w:rsidR="003E79D2" w:rsidRPr="00D869E3">
        <w:rPr>
          <w:rFonts w:ascii="Verdana" w:hAnsi="Verdana"/>
          <w:sz w:val="20"/>
          <w:szCs w:val="20"/>
          <w:lang w:val="en-US"/>
        </w:rPr>
        <w:t xml:space="preserve"> 53</w:t>
      </w:r>
      <w:r w:rsidR="00032FC5" w:rsidRPr="00D869E3">
        <w:rPr>
          <w:rFonts w:ascii="Verdana" w:hAnsi="Verdana"/>
          <w:sz w:val="20"/>
          <w:szCs w:val="20"/>
          <w:lang w:val="en-US"/>
        </w:rPr>
        <w:t>)</w:t>
      </w:r>
      <w:r w:rsidRPr="00D869E3">
        <w:rPr>
          <w:rFonts w:ascii="Verdana" w:hAnsi="Verdana"/>
          <w:sz w:val="20"/>
          <w:szCs w:val="20"/>
          <w:lang w:val="en-US"/>
        </w:rPr>
        <w:t>; also he was not</w:t>
      </w:r>
      <w:r w:rsidR="000258D5" w:rsidRPr="00D869E3">
        <w:rPr>
          <w:rFonts w:ascii="Verdana" w:hAnsi="Verdana"/>
          <w:sz w:val="20"/>
          <w:szCs w:val="20"/>
          <w:lang w:val="en-US"/>
        </w:rPr>
        <w:t xml:space="preserve"> </w:t>
      </w:r>
      <w:r w:rsidRPr="00D869E3">
        <w:rPr>
          <w:rFonts w:ascii="Verdana" w:hAnsi="Verdana"/>
          <w:sz w:val="20"/>
          <w:szCs w:val="20"/>
          <w:lang w:val="en-US"/>
        </w:rPr>
        <w:t xml:space="preserve">able to continue being a member of </w:t>
      </w:r>
      <w:r w:rsidR="00EA232B" w:rsidRPr="00D869E3">
        <w:rPr>
          <w:rFonts w:ascii="Verdana" w:hAnsi="Verdana"/>
          <w:sz w:val="20"/>
          <w:szCs w:val="20"/>
          <w:lang w:val="en-US"/>
        </w:rPr>
        <w:t xml:space="preserve">the Industrial </w:t>
      </w:r>
      <w:r w:rsidR="00D13E32" w:rsidRPr="00D869E3">
        <w:rPr>
          <w:rFonts w:ascii="Verdana" w:hAnsi="Verdana"/>
          <w:sz w:val="20"/>
          <w:szCs w:val="20"/>
          <w:lang w:val="en-US"/>
        </w:rPr>
        <w:t>Community since</w:t>
      </w:r>
      <w:r w:rsidRPr="00D869E3">
        <w:rPr>
          <w:rFonts w:ascii="Verdana" w:hAnsi="Verdana"/>
          <w:sz w:val="20"/>
          <w:szCs w:val="20"/>
          <w:lang w:val="en-US"/>
        </w:rPr>
        <w:t xml:space="preserve"> he no longer worked for the company. </w:t>
      </w:r>
      <w:r w:rsidR="00075E68" w:rsidRPr="00D869E3">
        <w:rPr>
          <w:rFonts w:ascii="Verdana" w:hAnsi="Verdana"/>
          <w:sz w:val="20"/>
          <w:szCs w:val="20"/>
          <w:lang w:val="en-US"/>
        </w:rPr>
        <w:t>In this regard</w:t>
      </w:r>
      <w:r w:rsidR="00032FC5" w:rsidRPr="00D869E3">
        <w:rPr>
          <w:rFonts w:ascii="Verdana" w:hAnsi="Verdana"/>
          <w:sz w:val="20"/>
          <w:szCs w:val="20"/>
          <w:lang w:val="en-US"/>
        </w:rPr>
        <w:t xml:space="preserve">, </w:t>
      </w:r>
      <w:r w:rsidR="00447C65" w:rsidRPr="00D869E3">
        <w:rPr>
          <w:rFonts w:ascii="Verdana" w:hAnsi="Verdana"/>
          <w:sz w:val="20"/>
          <w:szCs w:val="20"/>
          <w:lang w:val="en-US"/>
        </w:rPr>
        <w:t>the Court</w:t>
      </w:r>
      <w:r w:rsidR="00032FC5" w:rsidRPr="00D869E3">
        <w:rPr>
          <w:rFonts w:ascii="Verdana" w:hAnsi="Verdana"/>
          <w:sz w:val="20"/>
          <w:szCs w:val="20"/>
          <w:lang w:val="en-US"/>
        </w:rPr>
        <w:t xml:space="preserve"> </w:t>
      </w:r>
      <w:r w:rsidRPr="00D869E3">
        <w:rPr>
          <w:rFonts w:ascii="Verdana" w:hAnsi="Verdana"/>
          <w:sz w:val="20"/>
          <w:szCs w:val="20"/>
          <w:lang w:val="en-US"/>
        </w:rPr>
        <w:t>notes that</w:t>
      </w:r>
      <w:r w:rsidR="00032FC5" w:rsidRPr="00D869E3">
        <w:rPr>
          <w:rFonts w:ascii="Verdana" w:hAnsi="Verdana"/>
          <w:sz w:val="20"/>
          <w:szCs w:val="20"/>
          <w:lang w:val="en-US"/>
        </w:rPr>
        <w:t xml:space="preserve"> </w:t>
      </w:r>
      <w:r w:rsidR="003506CC" w:rsidRPr="00D869E3">
        <w:rPr>
          <w:rFonts w:ascii="Verdana" w:hAnsi="Verdana"/>
          <w:sz w:val="20"/>
          <w:szCs w:val="20"/>
          <w:lang w:val="en-US"/>
        </w:rPr>
        <w:t xml:space="preserve">the </w:t>
      </w:r>
      <w:r w:rsidR="00966115" w:rsidRPr="00D869E3">
        <w:rPr>
          <w:rFonts w:ascii="Verdana" w:hAnsi="Verdana"/>
          <w:sz w:val="20"/>
          <w:szCs w:val="20"/>
          <w:lang w:val="en-US"/>
        </w:rPr>
        <w:t>Second Labor Court</w:t>
      </w:r>
      <w:r w:rsidR="009D37C8" w:rsidRPr="00D869E3">
        <w:rPr>
          <w:rFonts w:ascii="Verdana" w:hAnsi="Verdana"/>
          <w:sz w:val="20"/>
          <w:szCs w:val="20"/>
          <w:lang w:val="en-US"/>
        </w:rPr>
        <w:t xml:space="preserve"> of Lima</w:t>
      </w:r>
      <w:r w:rsidR="00032FC5" w:rsidRPr="00D869E3">
        <w:rPr>
          <w:rFonts w:ascii="Verdana" w:hAnsi="Verdana"/>
          <w:sz w:val="20"/>
          <w:szCs w:val="20"/>
          <w:lang w:val="en-US"/>
        </w:rPr>
        <w:t xml:space="preserve">, </w:t>
      </w:r>
      <w:r w:rsidRPr="00D869E3">
        <w:rPr>
          <w:rFonts w:ascii="Verdana" w:hAnsi="Verdana"/>
          <w:sz w:val="20"/>
          <w:szCs w:val="20"/>
          <w:lang w:val="en-US"/>
        </w:rPr>
        <w:t>in its decision</w:t>
      </w:r>
      <w:r w:rsidR="00447C65" w:rsidRPr="00D869E3">
        <w:rPr>
          <w:rFonts w:ascii="Verdana" w:hAnsi="Verdana"/>
          <w:sz w:val="20"/>
          <w:szCs w:val="20"/>
          <w:lang w:val="en-US"/>
        </w:rPr>
        <w:t xml:space="preserve"> of</w:t>
      </w:r>
      <w:r w:rsidR="00032FC5" w:rsidRPr="00D869E3">
        <w:rPr>
          <w:rFonts w:ascii="Verdana" w:hAnsi="Verdana"/>
          <w:sz w:val="20"/>
          <w:szCs w:val="20"/>
          <w:lang w:val="en-US"/>
        </w:rPr>
        <w:t xml:space="preserve"> </w:t>
      </w:r>
      <w:r w:rsidR="001E3B42" w:rsidRPr="00D869E3">
        <w:rPr>
          <w:rFonts w:ascii="Verdana" w:hAnsi="Verdana"/>
          <w:sz w:val="20"/>
          <w:szCs w:val="20"/>
          <w:lang w:val="en-US"/>
        </w:rPr>
        <w:t>August 8,</w:t>
      </w:r>
      <w:r w:rsidR="00032FC5" w:rsidRPr="00D869E3">
        <w:rPr>
          <w:rFonts w:ascii="Verdana" w:hAnsi="Verdana"/>
          <w:sz w:val="20"/>
          <w:szCs w:val="20"/>
          <w:lang w:val="en-US"/>
        </w:rPr>
        <w:t xml:space="preserve"> 1991</w:t>
      </w:r>
      <w:r w:rsidRPr="00D869E3">
        <w:rPr>
          <w:rFonts w:ascii="Verdana" w:hAnsi="Verdana"/>
          <w:sz w:val="20"/>
          <w:szCs w:val="20"/>
          <w:lang w:val="en-US"/>
        </w:rPr>
        <w:t xml:space="preserve">, in which it classified the presumed victim’s dismissal as </w:t>
      </w:r>
      <w:r w:rsidR="00446B52" w:rsidRPr="00D869E3">
        <w:rPr>
          <w:rFonts w:ascii="Verdana" w:hAnsi="Verdana"/>
          <w:sz w:val="20"/>
          <w:szCs w:val="20"/>
          <w:lang w:val="en-US"/>
        </w:rPr>
        <w:t xml:space="preserve"> </w:t>
      </w:r>
      <w:r w:rsidR="006436CA" w:rsidRPr="00D869E3">
        <w:rPr>
          <w:rFonts w:ascii="Verdana" w:hAnsi="Verdana"/>
          <w:sz w:val="20"/>
          <w:szCs w:val="20"/>
          <w:lang w:val="en-US"/>
        </w:rPr>
        <w:t>“</w:t>
      </w:r>
      <w:r w:rsidR="00032FC5" w:rsidRPr="00D869E3">
        <w:rPr>
          <w:rFonts w:ascii="Verdana" w:hAnsi="Verdana"/>
          <w:sz w:val="20"/>
          <w:szCs w:val="20"/>
          <w:lang w:val="en-US"/>
        </w:rPr>
        <w:t>legal</w:t>
      </w:r>
      <w:r w:rsidR="00687684" w:rsidRPr="00D869E3">
        <w:rPr>
          <w:rFonts w:ascii="Verdana" w:hAnsi="Verdana"/>
          <w:sz w:val="20"/>
          <w:szCs w:val="20"/>
          <w:lang w:val="en-US"/>
        </w:rPr>
        <w:t xml:space="preserve"> and </w:t>
      </w:r>
      <w:r w:rsidR="00032FC5" w:rsidRPr="00D869E3">
        <w:rPr>
          <w:rFonts w:ascii="Verdana" w:hAnsi="Verdana"/>
          <w:sz w:val="20"/>
          <w:szCs w:val="20"/>
          <w:lang w:val="en-US"/>
        </w:rPr>
        <w:t>justifi</w:t>
      </w:r>
      <w:r w:rsidRPr="00D869E3">
        <w:rPr>
          <w:rFonts w:ascii="Verdana" w:hAnsi="Verdana"/>
          <w:sz w:val="20"/>
          <w:szCs w:val="20"/>
          <w:lang w:val="en-US"/>
        </w:rPr>
        <w:t>ed</w:t>
      </w:r>
      <w:r w:rsidR="006436CA" w:rsidRPr="00D869E3">
        <w:rPr>
          <w:rFonts w:ascii="Verdana" w:hAnsi="Verdana"/>
          <w:sz w:val="20"/>
          <w:szCs w:val="20"/>
          <w:lang w:val="en-US"/>
        </w:rPr>
        <w:t>”</w:t>
      </w:r>
      <w:r w:rsidR="00032FC5" w:rsidRPr="00D869E3">
        <w:rPr>
          <w:rFonts w:ascii="Verdana" w:hAnsi="Verdana"/>
          <w:sz w:val="20"/>
          <w:szCs w:val="20"/>
          <w:lang w:val="en-US"/>
        </w:rPr>
        <w:t xml:space="preserve"> (</w:t>
      </w:r>
      <w:r w:rsidR="00032FC5" w:rsidRPr="00D869E3">
        <w:rPr>
          <w:rFonts w:ascii="Verdana" w:hAnsi="Verdana"/>
          <w:i/>
          <w:sz w:val="20"/>
          <w:szCs w:val="20"/>
          <w:lang w:val="en-US"/>
        </w:rPr>
        <w:t>supra</w:t>
      </w:r>
      <w:r w:rsidR="00032FC5" w:rsidRPr="00D869E3">
        <w:rPr>
          <w:rFonts w:ascii="Verdana" w:hAnsi="Verdana"/>
          <w:sz w:val="20"/>
          <w:szCs w:val="20"/>
          <w:lang w:val="en-US"/>
        </w:rPr>
        <w:t xml:space="preserve"> </w:t>
      </w:r>
      <w:r w:rsidR="0087339F" w:rsidRPr="00D869E3">
        <w:rPr>
          <w:rFonts w:ascii="Verdana" w:hAnsi="Verdana"/>
          <w:sz w:val="20"/>
          <w:szCs w:val="20"/>
          <w:lang w:val="en-US"/>
        </w:rPr>
        <w:t>para.</w:t>
      </w:r>
      <w:r w:rsidR="003E79D2" w:rsidRPr="00D869E3">
        <w:rPr>
          <w:rFonts w:ascii="Verdana" w:hAnsi="Verdana"/>
          <w:sz w:val="20"/>
          <w:szCs w:val="20"/>
          <w:lang w:val="en-US"/>
        </w:rPr>
        <w:t xml:space="preserve"> 60</w:t>
      </w:r>
      <w:r w:rsidR="00032FC5" w:rsidRPr="00D869E3">
        <w:rPr>
          <w:rFonts w:ascii="Verdana" w:hAnsi="Verdana"/>
          <w:sz w:val="20"/>
          <w:szCs w:val="20"/>
          <w:lang w:val="en-US"/>
        </w:rPr>
        <w:t xml:space="preserve">), </w:t>
      </w:r>
      <w:r w:rsidR="00D329A8" w:rsidRPr="00D869E3">
        <w:rPr>
          <w:rFonts w:ascii="Verdana" w:hAnsi="Verdana"/>
          <w:sz w:val="20"/>
          <w:szCs w:val="20"/>
          <w:lang w:val="en-US"/>
        </w:rPr>
        <w:t>ratifie</w:t>
      </w:r>
      <w:r w:rsidRPr="00D869E3">
        <w:rPr>
          <w:rFonts w:ascii="Verdana" w:hAnsi="Verdana"/>
          <w:sz w:val="20"/>
          <w:szCs w:val="20"/>
          <w:lang w:val="en-US"/>
        </w:rPr>
        <w:t xml:space="preserve">d a sanction that had an impact on the possibility </w:t>
      </w:r>
      <w:r w:rsidR="00E6309B"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032FC5" w:rsidRPr="00D869E3">
        <w:rPr>
          <w:rFonts w:ascii="Verdana" w:hAnsi="Verdana"/>
          <w:sz w:val="20"/>
          <w:szCs w:val="20"/>
          <w:lang w:val="en-US"/>
        </w:rPr>
        <w:t xml:space="preserve"> </w:t>
      </w:r>
      <w:r w:rsidRPr="00D869E3">
        <w:rPr>
          <w:rFonts w:ascii="Verdana" w:hAnsi="Verdana"/>
          <w:sz w:val="20"/>
          <w:szCs w:val="20"/>
          <w:lang w:val="en-US"/>
        </w:rPr>
        <w:t>being able to continue to work for the said company and to represent the interests of the other workers.</w:t>
      </w:r>
    </w:p>
    <w:p w14:paraId="6B05BFD6" w14:textId="77777777" w:rsidR="007406F9" w:rsidRPr="00D869E3" w:rsidRDefault="007406F9" w:rsidP="007406F9">
      <w:pPr>
        <w:pStyle w:val="Prrafodelista"/>
        <w:rPr>
          <w:rFonts w:ascii="Verdana" w:hAnsi="Verdana"/>
          <w:b/>
          <w:sz w:val="20"/>
          <w:szCs w:val="20"/>
          <w:lang w:val="en-US"/>
        </w:rPr>
      </w:pPr>
    </w:p>
    <w:p w14:paraId="32D7D447" w14:textId="6BDB2088" w:rsidR="00032FC5" w:rsidRPr="00D869E3" w:rsidRDefault="007406F9" w:rsidP="007406F9">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In addition, the Court has established that freedom of association has two dimensions, because it relates both to the right of the individual to associate freely and </w:t>
      </w:r>
      <w:r w:rsidR="000258D5" w:rsidRPr="00D869E3">
        <w:rPr>
          <w:rFonts w:ascii="Verdana" w:hAnsi="Verdana"/>
          <w:sz w:val="20"/>
          <w:szCs w:val="20"/>
          <w:lang w:val="en-US"/>
        </w:rPr>
        <w:t xml:space="preserve">to </w:t>
      </w:r>
      <w:r w:rsidRPr="00D869E3">
        <w:rPr>
          <w:rFonts w:ascii="Verdana" w:hAnsi="Verdana"/>
          <w:sz w:val="20"/>
          <w:szCs w:val="20"/>
          <w:lang w:val="en-US"/>
        </w:rPr>
        <w:t>use the appropriate means to exercise this freedom, and to the right of the members of a group to achieve certain objectives together and to benefit from them.</w:t>
      </w:r>
      <w:r w:rsidR="00032FC5" w:rsidRPr="00D869E3">
        <w:rPr>
          <w:rStyle w:val="Refdenotaalpie"/>
          <w:szCs w:val="20"/>
          <w:lang w:val="en-US"/>
        </w:rPr>
        <w:footnoteReference w:id="234"/>
      </w:r>
      <w:r w:rsidR="00032FC5" w:rsidRPr="00D869E3">
        <w:rPr>
          <w:rFonts w:ascii="Verdana" w:hAnsi="Verdana"/>
          <w:sz w:val="20"/>
          <w:szCs w:val="20"/>
          <w:lang w:val="en-US"/>
        </w:rPr>
        <w:t xml:space="preserve"> </w:t>
      </w:r>
      <w:r w:rsidRPr="00D869E3">
        <w:rPr>
          <w:rFonts w:ascii="Verdana" w:hAnsi="Verdana"/>
          <w:sz w:val="20"/>
          <w:szCs w:val="20"/>
          <w:lang w:val="en-US"/>
        </w:rPr>
        <w:t>The Court has also established that the rights derived from representing the interests of a group are twofold, because they relate both to the right of the individual who exercises the mandate or appointment, and the right of the collectivity to be represented, so that the violation of the right of the former (the representative) results in the violation of the right of the latter (the person or collectivity represented).</w:t>
      </w:r>
      <w:r w:rsidR="00032FC5" w:rsidRPr="00D869E3">
        <w:rPr>
          <w:rFonts w:ascii="Verdana" w:hAnsi="Verdana"/>
          <w:sz w:val="20"/>
          <w:vertAlign w:val="superscript"/>
          <w:lang w:val="en-US"/>
        </w:rPr>
        <w:footnoteReference w:id="235"/>
      </w:r>
      <w:r w:rsidR="00032FC5" w:rsidRPr="00D869E3">
        <w:rPr>
          <w:rFonts w:ascii="Verdana" w:hAnsi="Verdana"/>
          <w:sz w:val="20"/>
          <w:szCs w:val="20"/>
          <w:lang w:val="en-US"/>
        </w:rPr>
        <w:t xml:space="preserve"> </w:t>
      </w:r>
      <w:r w:rsidR="00C01535" w:rsidRPr="00D869E3">
        <w:rPr>
          <w:rFonts w:ascii="Verdana" w:hAnsi="Verdana"/>
          <w:sz w:val="20"/>
          <w:szCs w:val="20"/>
          <w:lang w:val="en-US"/>
        </w:rPr>
        <w:t xml:space="preserve">Consequently, the Court finds that the dismissal </w:t>
      </w:r>
      <w:r w:rsidR="00E6309B"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032FC5" w:rsidRPr="00D869E3">
        <w:rPr>
          <w:rFonts w:ascii="Verdana" w:hAnsi="Verdana"/>
          <w:sz w:val="20"/>
          <w:szCs w:val="20"/>
          <w:lang w:val="en-US"/>
        </w:rPr>
        <w:t xml:space="preserve"> </w:t>
      </w:r>
      <w:r w:rsidR="00C01535" w:rsidRPr="00D869E3">
        <w:rPr>
          <w:rFonts w:ascii="Verdana" w:hAnsi="Verdana"/>
          <w:sz w:val="20"/>
          <w:szCs w:val="20"/>
          <w:lang w:val="en-US"/>
        </w:rPr>
        <w:t>transcended</w:t>
      </w:r>
      <w:r w:rsidR="00032FC5"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032FC5" w:rsidRPr="00D869E3">
        <w:rPr>
          <w:rFonts w:ascii="Verdana" w:hAnsi="Verdana"/>
          <w:sz w:val="20"/>
          <w:szCs w:val="20"/>
          <w:lang w:val="en-US"/>
        </w:rPr>
        <w:t xml:space="preserve"> </w:t>
      </w:r>
      <w:r w:rsidR="00C01535" w:rsidRPr="00D869E3">
        <w:rPr>
          <w:rFonts w:ascii="Verdana" w:hAnsi="Verdana"/>
          <w:sz w:val="20"/>
          <w:szCs w:val="20"/>
          <w:lang w:val="en-US"/>
        </w:rPr>
        <w:t xml:space="preserve">of his individual right to </w:t>
      </w:r>
      <w:r w:rsidR="00351902" w:rsidRPr="00D869E3">
        <w:rPr>
          <w:rFonts w:ascii="Verdana" w:hAnsi="Verdana"/>
          <w:sz w:val="20"/>
          <w:szCs w:val="20"/>
          <w:lang w:val="en-US"/>
        </w:rPr>
        <w:t>freedom of association</w:t>
      </w:r>
      <w:r w:rsidR="00032FC5" w:rsidRPr="00D869E3">
        <w:rPr>
          <w:rFonts w:ascii="Verdana" w:hAnsi="Verdana"/>
          <w:sz w:val="20"/>
          <w:szCs w:val="20"/>
          <w:lang w:val="en-US"/>
        </w:rPr>
        <w:t xml:space="preserve">, </w:t>
      </w:r>
      <w:r w:rsidR="00C01535" w:rsidRPr="00D869E3">
        <w:rPr>
          <w:rFonts w:ascii="Verdana" w:hAnsi="Verdana"/>
          <w:sz w:val="20"/>
          <w:szCs w:val="20"/>
          <w:lang w:val="en-US"/>
        </w:rPr>
        <w:t xml:space="preserve">because it deprived the workers </w:t>
      </w:r>
      <w:r w:rsidR="00EA232B" w:rsidRPr="00D869E3">
        <w:rPr>
          <w:rFonts w:ascii="Verdana" w:hAnsi="Verdana"/>
          <w:sz w:val="20"/>
          <w:szCs w:val="20"/>
          <w:lang w:val="en-US"/>
        </w:rPr>
        <w:t>of the Industrial Community</w:t>
      </w:r>
      <w:r w:rsidR="00032FC5" w:rsidRPr="00D869E3">
        <w:rPr>
          <w:rFonts w:ascii="Verdana" w:hAnsi="Verdana"/>
          <w:sz w:val="20"/>
          <w:szCs w:val="20"/>
          <w:lang w:val="en-US"/>
        </w:rPr>
        <w:t xml:space="preserve"> </w:t>
      </w:r>
      <w:r w:rsidR="00C01535" w:rsidRPr="00D869E3">
        <w:rPr>
          <w:rFonts w:ascii="Verdana" w:hAnsi="Verdana"/>
          <w:sz w:val="20"/>
          <w:szCs w:val="20"/>
          <w:lang w:val="en-US"/>
        </w:rPr>
        <w:t xml:space="preserve">of the representation of one of their leaders, especially in the election </w:t>
      </w:r>
      <w:r w:rsidR="00D2027E" w:rsidRPr="00D869E3">
        <w:rPr>
          <w:rFonts w:ascii="Verdana" w:hAnsi="Verdana"/>
          <w:sz w:val="20"/>
          <w:szCs w:val="20"/>
          <w:lang w:val="en-US"/>
        </w:rPr>
        <w:t xml:space="preserve">that should have been held under his supervision </w:t>
      </w:r>
      <w:r w:rsidR="00C66688" w:rsidRPr="00D869E3">
        <w:rPr>
          <w:rFonts w:ascii="Verdana" w:hAnsi="Verdana"/>
          <w:sz w:val="20"/>
          <w:szCs w:val="20"/>
          <w:lang w:val="en-US"/>
        </w:rPr>
        <w:t xml:space="preserve">as </w:t>
      </w:r>
      <w:r w:rsidR="001B0492" w:rsidRPr="00D869E3">
        <w:rPr>
          <w:rFonts w:ascii="Verdana" w:hAnsi="Verdana"/>
          <w:sz w:val="20"/>
          <w:szCs w:val="20"/>
          <w:lang w:val="en-US"/>
        </w:rPr>
        <w:t>president of the Electoral</w:t>
      </w:r>
      <w:r w:rsidR="00EA232B" w:rsidRPr="00D869E3">
        <w:rPr>
          <w:rFonts w:ascii="Verdana" w:hAnsi="Verdana"/>
          <w:sz w:val="20"/>
          <w:szCs w:val="20"/>
          <w:lang w:val="en-US"/>
        </w:rPr>
        <w:t xml:space="preserve"> Committee</w:t>
      </w:r>
      <w:r w:rsidR="00032FC5" w:rsidRPr="00D869E3">
        <w:rPr>
          <w:rFonts w:ascii="Verdana" w:hAnsi="Verdana"/>
          <w:sz w:val="20"/>
          <w:szCs w:val="20"/>
          <w:lang w:val="en-US"/>
        </w:rPr>
        <w:t xml:space="preserve">. </w:t>
      </w:r>
      <w:r w:rsidR="00D2027E" w:rsidRPr="00D869E3">
        <w:rPr>
          <w:rFonts w:ascii="Verdana" w:hAnsi="Verdana"/>
          <w:sz w:val="20"/>
          <w:szCs w:val="20"/>
          <w:lang w:val="en-US"/>
        </w:rPr>
        <w:t>T</w:t>
      </w:r>
      <w:r w:rsidR="00447C65" w:rsidRPr="00D869E3">
        <w:rPr>
          <w:rFonts w:ascii="Verdana" w:hAnsi="Verdana"/>
          <w:sz w:val="20"/>
          <w:szCs w:val="20"/>
          <w:lang w:val="en-US"/>
        </w:rPr>
        <w:t>he Court</w:t>
      </w:r>
      <w:r w:rsidR="00032FC5" w:rsidRPr="00D869E3">
        <w:rPr>
          <w:rFonts w:ascii="Verdana" w:hAnsi="Verdana"/>
          <w:sz w:val="20"/>
          <w:szCs w:val="20"/>
          <w:lang w:val="en-US"/>
        </w:rPr>
        <w:t xml:space="preserve"> </w:t>
      </w:r>
      <w:r w:rsidR="00D2027E" w:rsidRPr="00D869E3">
        <w:rPr>
          <w:rFonts w:ascii="Verdana" w:hAnsi="Verdana"/>
          <w:sz w:val="20"/>
          <w:szCs w:val="20"/>
          <w:lang w:val="en-US"/>
        </w:rPr>
        <w:t xml:space="preserve">also notes that, since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D2027E" w:rsidRPr="00D869E3">
        <w:rPr>
          <w:rFonts w:ascii="Verdana" w:hAnsi="Verdana"/>
          <w:sz w:val="20"/>
          <w:szCs w:val="20"/>
          <w:lang w:val="en-US"/>
        </w:rPr>
        <w:t>’s dismissal was carried out in reprisal for his representation work, this could have had a</w:t>
      </w:r>
      <w:r w:rsidR="000258D5" w:rsidRPr="00D869E3">
        <w:rPr>
          <w:rFonts w:ascii="Verdana" w:hAnsi="Verdana"/>
          <w:sz w:val="20"/>
          <w:szCs w:val="20"/>
          <w:lang w:val="en-US"/>
        </w:rPr>
        <w:t>n</w:t>
      </w:r>
      <w:r w:rsidR="00D2027E" w:rsidRPr="00D869E3">
        <w:rPr>
          <w:rFonts w:ascii="Verdana" w:hAnsi="Verdana"/>
          <w:sz w:val="20"/>
          <w:szCs w:val="20"/>
          <w:lang w:val="en-US"/>
        </w:rPr>
        <w:t xml:space="preserve"> intimidating and threatening impact o</w:t>
      </w:r>
      <w:r w:rsidR="000258D5" w:rsidRPr="00D869E3">
        <w:rPr>
          <w:rFonts w:ascii="Verdana" w:hAnsi="Verdana"/>
          <w:sz w:val="20"/>
          <w:szCs w:val="20"/>
          <w:lang w:val="en-US"/>
        </w:rPr>
        <w:t>n</w:t>
      </w:r>
      <w:r w:rsidR="00D2027E" w:rsidRPr="00D869E3">
        <w:rPr>
          <w:rFonts w:ascii="Verdana" w:hAnsi="Verdana"/>
          <w:sz w:val="20"/>
          <w:szCs w:val="20"/>
          <w:lang w:val="en-US"/>
        </w:rPr>
        <w:t xml:space="preserve"> the other members </w:t>
      </w:r>
      <w:r w:rsidR="00EA232B" w:rsidRPr="00D869E3">
        <w:rPr>
          <w:rFonts w:ascii="Verdana" w:hAnsi="Verdana"/>
          <w:sz w:val="20"/>
          <w:szCs w:val="20"/>
          <w:lang w:val="en-US"/>
        </w:rPr>
        <w:t>of the Industrial Community</w:t>
      </w:r>
      <w:r w:rsidR="00032FC5" w:rsidRPr="00D869E3">
        <w:rPr>
          <w:rFonts w:ascii="Verdana" w:hAnsi="Verdana"/>
          <w:sz w:val="20"/>
          <w:szCs w:val="20"/>
          <w:lang w:val="en-US"/>
        </w:rPr>
        <w:t xml:space="preserve">. </w:t>
      </w:r>
    </w:p>
    <w:p w14:paraId="1CF7836F" w14:textId="77777777" w:rsidR="00032FC5" w:rsidRPr="00D869E3" w:rsidRDefault="00032FC5" w:rsidP="00032FC5">
      <w:pPr>
        <w:pStyle w:val="Prrafodelista"/>
        <w:rPr>
          <w:rFonts w:ascii="Verdana" w:hAnsi="Verdana"/>
          <w:sz w:val="20"/>
          <w:szCs w:val="20"/>
          <w:lang w:val="en-US"/>
        </w:rPr>
      </w:pPr>
    </w:p>
    <w:p w14:paraId="6E769401" w14:textId="4006C4BC" w:rsidR="00032FC5" w:rsidRPr="00D869E3" w:rsidRDefault="00EB74BF"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Based on the above, the Court concludes that the State is responsible for </w:t>
      </w:r>
      <w:r w:rsidR="007013E2" w:rsidRPr="00D869E3">
        <w:rPr>
          <w:rFonts w:ascii="Verdana" w:hAnsi="Verdana"/>
          <w:sz w:val="20"/>
          <w:szCs w:val="20"/>
          <w:lang w:val="en-US"/>
        </w:rPr>
        <w:t>the violation</w:t>
      </w:r>
      <w:r w:rsidR="00032FC5" w:rsidRPr="00D869E3">
        <w:rPr>
          <w:rFonts w:ascii="Verdana" w:hAnsi="Verdana"/>
          <w:sz w:val="20"/>
          <w:szCs w:val="20"/>
          <w:lang w:val="en-US"/>
        </w:rPr>
        <w:t xml:space="preserve"> </w:t>
      </w:r>
      <w:r w:rsidR="00687684" w:rsidRPr="00D869E3">
        <w:rPr>
          <w:rFonts w:ascii="Verdana" w:hAnsi="Verdana"/>
          <w:sz w:val="20"/>
          <w:szCs w:val="20"/>
          <w:lang w:val="en-US"/>
        </w:rPr>
        <w:t>of Article</w:t>
      </w:r>
      <w:r w:rsidRPr="00D869E3">
        <w:rPr>
          <w:rFonts w:ascii="Verdana" w:hAnsi="Verdana"/>
          <w:sz w:val="20"/>
          <w:szCs w:val="20"/>
          <w:lang w:val="en-US"/>
        </w:rPr>
        <w:t>s</w:t>
      </w:r>
      <w:r w:rsidR="00032FC5" w:rsidRPr="00D869E3">
        <w:rPr>
          <w:rFonts w:ascii="Verdana" w:hAnsi="Verdana"/>
          <w:sz w:val="20"/>
          <w:szCs w:val="20"/>
          <w:lang w:val="en-US"/>
        </w:rPr>
        <w:t xml:space="preserve"> </w:t>
      </w:r>
      <w:r w:rsidR="00687684" w:rsidRPr="00D869E3">
        <w:rPr>
          <w:rFonts w:ascii="Verdana" w:hAnsi="Verdana"/>
          <w:sz w:val="20"/>
          <w:szCs w:val="20"/>
          <w:lang w:val="en-US"/>
        </w:rPr>
        <w:t xml:space="preserve">16(1) and </w:t>
      </w:r>
      <w:r w:rsidR="00032FC5" w:rsidRPr="00D869E3">
        <w:rPr>
          <w:rFonts w:ascii="Verdana" w:hAnsi="Verdana"/>
          <w:sz w:val="20"/>
          <w:szCs w:val="20"/>
          <w:lang w:val="en-US"/>
        </w:rPr>
        <w:t xml:space="preserve">26 </w:t>
      </w:r>
      <w:r w:rsidR="00BB61A6" w:rsidRPr="00D869E3">
        <w:rPr>
          <w:rFonts w:ascii="Verdana" w:hAnsi="Verdana"/>
          <w:sz w:val="20"/>
          <w:szCs w:val="20"/>
          <w:lang w:val="en-US"/>
        </w:rPr>
        <w:t>in relation to</w:t>
      </w:r>
      <w:r w:rsidR="00032FC5" w:rsidRPr="00D869E3">
        <w:rPr>
          <w:rFonts w:ascii="Verdana" w:hAnsi="Verdana"/>
          <w:sz w:val="20"/>
          <w:szCs w:val="20"/>
          <w:lang w:val="en-US"/>
        </w:rPr>
        <w:t xml:space="preserve"> </w:t>
      </w:r>
      <w:r w:rsidR="00687684" w:rsidRPr="00D869E3">
        <w:rPr>
          <w:rFonts w:ascii="Verdana" w:hAnsi="Verdana"/>
          <w:sz w:val="20"/>
          <w:szCs w:val="20"/>
          <w:lang w:val="en-US"/>
        </w:rPr>
        <w:t>Articles 1(1)</w:t>
      </w:r>
      <w:r w:rsidR="00062C2B" w:rsidRPr="00D869E3">
        <w:rPr>
          <w:rFonts w:ascii="Verdana" w:hAnsi="Verdana"/>
          <w:sz w:val="20"/>
          <w:szCs w:val="20"/>
          <w:lang w:val="en-US"/>
        </w:rPr>
        <w:t>, 13</w:t>
      </w:r>
      <w:r w:rsidR="00687684" w:rsidRPr="00D869E3">
        <w:rPr>
          <w:rFonts w:ascii="Verdana" w:hAnsi="Verdana"/>
          <w:sz w:val="20"/>
          <w:szCs w:val="20"/>
          <w:lang w:val="en-US"/>
        </w:rPr>
        <w:t xml:space="preserve"> and </w:t>
      </w:r>
      <w:r w:rsidR="00062C2B" w:rsidRPr="00D869E3">
        <w:rPr>
          <w:rFonts w:ascii="Verdana" w:hAnsi="Verdana"/>
          <w:sz w:val="20"/>
          <w:szCs w:val="20"/>
          <w:lang w:val="en-US"/>
        </w:rPr>
        <w:t>8</w:t>
      </w:r>
      <w:r w:rsidR="00447C65" w:rsidRPr="00D869E3">
        <w:rPr>
          <w:rFonts w:ascii="Verdana" w:hAnsi="Verdana"/>
          <w:sz w:val="20"/>
          <w:szCs w:val="20"/>
          <w:lang w:val="en-US"/>
        </w:rPr>
        <w:t xml:space="preserve"> of the American Convention</w:t>
      </w:r>
      <w:r w:rsidR="00032FC5" w:rsidRPr="00D869E3">
        <w:rPr>
          <w:rFonts w:ascii="Verdana" w:hAnsi="Verdana"/>
          <w:sz w:val="20"/>
          <w:szCs w:val="20"/>
          <w:lang w:val="en-US"/>
        </w:rPr>
        <w:t xml:space="preserve">, </w:t>
      </w:r>
      <w:r w:rsidRPr="00D869E3">
        <w:rPr>
          <w:rFonts w:ascii="Verdana" w:hAnsi="Verdana"/>
          <w:sz w:val="20"/>
          <w:szCs w:val="20"/>
          <w:lang w:val="en-US"/>
        </w:rPr>
        <w:t xml:space="preserve">to the detriment of </w:t>
      </w:r>
      <w:r w:rsidR="00687684" w:rsidRPr="00D869E3">
        <w:rPr>
          <w:rFonts w:ascii="Verdana" w:hAnsi="Verdana"/>
          <w:sz w:val="20"/>
          <w:szCs w:val="20"/>
          <w:lang w:val="en-US"/>
        </w:rPr>
        <w:t>Mr. Lagos</w:t>
      </w:r>
      <w:r w:rsidR="00032FC5" w:rsidRPr="00D869E3">
        <w:rPr>
          <w:rFonts w:ascii="Verdana" w:hAnsi="Verdana"/>
          <w:sz w:val="20"/>
          <w:szCs w:val="20"/>
          <w:lang w:val="en-US"/>
        </w:rPr>
        <w:t xml:space="preserve"> del Campo.</w:t>
      </w:r>
    </w:p>
    <w:p w14:paraId="42D6D54E" w14:textId="77777777" w:rsidR="0088700B" w:rsidRPr="00D869E3" w:rsidRDefault="0088700B" w:rsidP="0088700B">
      <w:pPr>
        <w:contextualSpacing/>
        <w:jc w:val="both"/>
        <w:rPr>
          <w:rFonts w:ascii="Verdana" w:hAnsi="Verdana"/>
          <w:color w:val="000000"/>
          <w:sz w:val="20"/>
          <w:lang w:val="en-US"/>
        </w:rPr>
      </w:pPr>
    </w:p>
    <w:p w14:paraId="01915554" w14:textId="631B1A2F" w:rsidR="003F0DD6" w:rsidRPr="00D869E3" w:rsidRDefault="007A4CF1" w:rsidP="00E66DD7">
      <w:pPr>
        <w:pStyle w:val="Ttulo3"/>
        <w:numPr>
          <w:ilvl w:val="0"/>
          <w:numId w:val="11"/>
        </w:numPr>
        <w:ind w:left="714" w:hanging="357"/>
        <w:rPr>
          <w:i/>
          <w:lang w:val="en-US"/>
        </w:rPr>
      </w:pPr>
      <w:bookmarkStart w:id="53" w:name="_Toc29114141"/>
      <w:r w:rsidRPr="00D869E3">
        <w:rPr>
          <w:i/>
          <w:lang w:val="en-US"/>
        </w:rPr>
        <w:t xml:space="preserve">Domestic </w:t>
      </w:r>
      <w:r w:rsidR="008E0F63" w:rsidRPr="00D869E3">
        <w:rPr>
          <w:i/>
          <w:lang w:val="en-US"/>
        </w:rPr>
        <w:t>l</w:t>
      </w:r>
      <w:r w:rsidRPr="00D869E3">
        <w:rPr>
          <w:i/>
          <w:lang w:val="en-US"/>
        </w:rPr>
        <w:t xml:space="preserve">egal </w:t>
      </w:r>
      <w:r w:rsidR="008E0F63" w:rsidRPr="00D869E3">
        <w:rPr>
          <w:i/>
          <w:lang w:val="en-US"/>
        </w:rPr>
        <w:t>e</w:t>
      </w:r>
      <w:r w:rsidRPr="00D869E3">
        <w:rPr>
          <w:i/>
          <w:lang w:val="en-US"/>
        </w:rPr>
        <w:t>ffects</w:t>
      </w:r>
      <w:bookmarkEnd w:id="53"/>
    </w:p>
    <w:p w14:paraId="080BB964" w14:textId="77777777" w:rsidR="00FF1171" w:rsidRPr="00D869E3" w:rsidRDefault="00FF1171" w:rsidP="00CB5A95">
      <w:pPr>
        <w:jc w:val="both"/>
        <w:rPr>
          <w:rFonts w:ascii="Verdana" w:hAnsi="Verdana"/>
          <w:color w:val="000000"/>
          <w:sz w:val="20"/>
          <w:lang w:val="en-US"/>
        </w:rPr>
      </w:pPr>
    </w:p>
    <w:p w14:paraId="159AAB1A" w14:textId="3D488DFF" w:rsidR="00470F22" w:rsidRPr="00D869E3" w:rsidRDefault="00BB61A6"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eastAsia="es-ES"/>
        </w:rPr>
        <w:t>In relation to</w:t>
      </w:r>
      <w:r w:rsidR="00FF1171" w:rsidRPr="00D869E3">
        <w:rPr>
          <w:rFonts w:ascii="Verdana" w:hAnsi="Verdana"/>
          <w:sz w:val="20"/>
          <w:szCs w:val="20"/>
          <w:lang w:val="en-US"/>
        </w:rPr>
        <w:t xml:space="preserve"> </w:t>
      </w:r>
      <w:r w:rsidR="002C19F3" w:rsidRPr="00D869E3">
        <w:rPr>
          <w:rFonts w:ascii="Verdana" w:hAnsi="Verdana"/>
          <w:sz w:val="20"/>
          <w:szCs w:val="20"/>
          <w:lang w:val="en-US"/>
        </w:rPr>
        <w:t xml:space="preserve">the argument concerning </w:t>
      </w:r>
      <w:r w:rsidR="00687684" w:rsidRPr="00D869E3">
        <w:rPr>
          <w:rFonts w:ascii="Verdana" w:hAnsi="Verdana"/>
          <w:sz w:val="20"/>
          <w:szCs w:val="20"/>
          <w:lang w:val="en-US"/>
        </w:rPr>
        <w:t>Article</w:t>
      </w:r>
      <w:r w:rsidR="00FF1171" w:rsidRPr="00D869E3">
        <w:rPr>
          <w:rFonts w:ascii="Verdana" w:hAnsi="Verdana"/>
          <w:sz w:val="20"/>
          <w:szCs w:val="20"/>
          <w:lang w:val="en-US"/>
        </w:rPr>
        <w:t xml:space="preserve"> 5</w:t>
      </w:r>
      <w:r w:rsidR="000258D5" w:rsidRPr="00D869E3">
        <w:rPr>
          <w:rFonts w:ascii="Verdana" w:hAnsi="Verdana"/>
          <w:sz w:val="20"/>
          <w:szCs w:val="20"/>
          <w:lang w:val="en-US"/>
        </w:rPr>
        <w:t>(h)</w:t>
      </w:r>
      <w:r w:rsidR="00FF1171" w:rsidRPr="00D869E3">
        <w:rPr>
          <w:rFonts w:ascii="Verdana" w:hAnsi="Verdana"/>
          <w:sz w:val="20"/>
          <w:szCs w:val="20"/>
          <w:lang w:val="en-US"/>
        </w:rPr>
        <w:t xml:space="preserve"> </w:t>
      </w:r>
      <w:r w:rsidR="002C19F3" w:rsidRPr="00D869E3">
        <w:rPr>
          <w:rFonts w:ascii="Verdana" w:hAnsi="Verdana"/>
          <w:sz w:val="20"/>
          <w:szCs w:val="20"/>
          <w:lang w:val="en-US"/>
        </w:rPr>
        <w:t>of</w:t>
      </w:r>
      <w:r w:rsidR="008B63E1" w:rsidRPr="00D869E3">
        <w:rPr>
          <w:rFonts w:ascii="Verdana" w:hAnsi="Verdana"/>
          <w:sz w:val="20"/>
          <w:szCs w:val="20"/>
          <w:lang w:val="en-US"/>
        </w:rPr>
        <w:t xml:space="preserve"> Law </w:t>
      </w:r>
      <w:r w:rsidR="00FF1171" w:rsidRPr="00D869E3">
        <w:rPr>
          <w:rFonts w:ascii="Verdana" w:hAnsi="Verdana"/>
          <w:sz w:val="20"/>
          <w:szCs w:val="20"/>
          <w:lang w:val="en-US"/>
        </w:rPr>
        <w:t>No. 24514 (</w:t>
      </w:r>
      <w:r w:rsidR="00224537" w:rsidRPr="00D869E3">
        <w:rPr>
          <w:rFonts w:ascii="Verdana" w:hAnsi="Verdana"/>
          <w:i/>
          <w:sz w:val="20"/>
          <w:szCs w:val="20"/>
          <w:lang w:val="en-US"/>
        </w:rPr>
        <w:t>supra</w:t>
      </w:r>
      <w:r w:rsidR="00FF1171" w:rsidRPr="00D869E3">
        <w:rPr>
          <w:rFonts w:ascii="Verdana" w:hAnsi="Verdana"/>
          <w:sz w:val="20"/>
          <w:szCs w:val="20"/>
          <w:lang w:val="en-US"/>
        </w:rPr>
        <w:t xml:space="preserve"> </w:t>
      </w:r>
      <w:r w:rsidR="0087339F" w:rsidRPr="00D869E3">
        <w:rPr>
          <w:rFonts w:ascii="Verdana" w:hAnsi="Verdana"/>
          <w:sz w:val="20"/>
          <w:szCs w:val="20"/>
          <w:lang w:val="en-US"/>
        </w:rPr>
        <w:t>paras.</w:t>
      </w:r>
      <w:r w:rsidR="003E79D2" w:rsidRPr="00D869E3">
        <w:rPr>
          <w:rFonts w:ascii="Verdana" w:hAnsi="Verdana"/>
          <w:sz w:val="20"/>
          <w:szCs w:val="20"/>
          <w:lang w:val="en-US"/>
        </w:rPr>
        <w:t xml:space="preserve"> </w:t>
      </w:r>
      <w:r w:rsidR="00161225" w:rsidRPr="00D869E3">
        <w:rPr>
          <w:rFonts w:ascii="Verdana" w:hAnsi="Verdana"/>
          <w:sz w:val="20"/>
          <w:szCs w:val="20"/>
          <w:lang w:val="en-US"/>
        </w:rPr>
        <w:t>85</w:t>
      </w:r>
      <w:r w:rsidR="00687684" w:rsidRPr="00D869E3">
        <w:rPr>
          <w:rFonts w:ascii="Verdana" w:hAnsi="Verdana"/>
          <w:sz w:val="20"/>
          <w:szCs w:val="20"/>
          <w:lang w:val="en-US"/>
        </w:rPr>
        <w:t xml:space="preserve"> and </w:t>
      </w:r>
      <w:r w:rsidR="00161225" w:rsidRPr="00D869E3">
        <w:rPr>
          <w:rFonts w:ascii="Verdana" w:hAnsi="Verdana"/>
          <w:sz w:val="20"/>
          <w:szCs w:val="20"/>
          <w:lang w:val="en-US"/>
        </w:rPr>
        <w:t>86</w:t>
      </w:r>
      <w:r w:rsidR="00FF1171" w:rsidRPr="00D869E3">
        <w:rPr>
          <w:rFonts w:ascii="Verdana" w:hAnsi="Verdana"/>
          <w:sz w:val="20"/>
          <w:szCs w:val="20"/>
          <w:lang w:val="en-US"/>
        </w:rPr>
        <w:t xml:space="preserve">), </w:t>
      </w:r>
      <w:r w:rsidR="002C19F3" w:rsidRPr="00D869E3">
        <w:rPr>
          <w:rFonts w:ascii="Verdana" w:hAnsi="Verdana"/>
          <w:sz w:val="20"/>
          <w:szCs w:val="20"/>
          <w:lang w:val="en-US"/>
        </w:rPr>
        <w:t>in force at the time o</w:t>
      </w:r>
      <w:r w:rsidR="000258D5" w:rsidRPr="00D869E3">
        <w:rPr>
          <w:rFonts w:ascii="Verdana" w:hAnsi="Verdana"/>
          <w:sz w:val="20"/>
          <w:szCs w:val="20"/>
          <w:lang w:val="en-US"/>
        </w:rPr>
        <w:t>f</w:t>
      </w:r>
      <w:r w:rsidR="002C19F3" w:rsidRPr="00D869E3">
        <w:rPr>
          <w:rFonts w:ascii="Verdana" w:hAnsi="Verdana"/>
          <w:sz w:val="20"/>
          <w:szCs w:val="20"/>
          <w:lang w:val="en-US"/>
        </w:rPr>
        <w:t xml:space="preserve"> the facts, based on the reasons given in the preceding section </w:t>
      </w:r>
      <w:r w:rsidR="00FF1171" w:rsidRPr="00D869E3">
        <w:rPr>
          <w:rFonts w:ascii="Verdana" w:hAnsi="Verdana"/>
          <w:sz w:val="20"/>
          <w:szCs w:val="20"/>
          <w:lang w:val="en-US"/>
        </w:rPr>
        <w:t>(</w:t>
      </w:r>
      <w:r w:rsidR="00224537" w:rsidRPr="00D869E3">
        <w:rPr>
          <w:rFonts w:ascii="Verdana" w:hAnsi="Verdana"/>
          <w:i/>
          <w:sz w:val="20"/>
          <w:szCs w:val="20"/>
          <w:lang w:val="en-US"/>
        </w:rPr>
        <w:t>supra</w:t>
      </w:r>
      <w:r w:rsidR="00FF1171" w:rsidRPr="00D869E3">
        <w:rPr>
          <w:rFonts w:ascii="Verdana" w:hAnsi="Verdana"/>
          <w:sz w:val="20"/>
          <w:szCs w:val="20"/>
          <w:lang w:val="en-US"/>
        </w:rPr>
        <w:t xml:space="preserve"> </w:t>
      </w:r>
      <w:r w:rsidR="0087339F" w:rsidRPr="00D869E3">
        <w:rPr>
          <w:rFonts w:ascii="Verdana" w:hAnsi="Verdana"/>
          <w:sz w:val="20"/>
          <w:szCs w:val="20"/>
          <w:lang w:val="en-US"/>
        </w:rPr>
        <w:t>para.</w:t>
      </w:r>
      <w:r w:rsidR="00161225" w:rsidRPr="00D869E3">
        <w:rPr>
          <w:rFonts w:ascii="Verdana" w:hAnsi="Verdana"/>
          <w:sz w:val="20"/>
          <w:szCs w:val="20"/>
          <w:lang w:val="en-US"/>
        </w:rPr>
        <w:t xml:space="preserve"> 123</w:t>
      </w:r>
      <w:r w:rsidR="003E79D2" w:rsidRPr="00D869E3">
        <w:rPr>
          <w:rFonts w:ascii="Verdana" w:hAnsi="Verdana"/>
          <w:sz w:val="20"/>
          <w:szCs w:val="20"/>
          <w:lang w:val="en-US"/>
        </w:rPr>
        <w:t xml:space="preserve"> </w:t>
      </w:r>
      <w:r w:rsidR="00FF1171" w:rsidRPr="00D869E3">
        <w:rPr>
          <w:rFonts w:ascii="Verdana" w:hAnsi="Verdana"/>
          <w:sz w:val="20"/>
          <w:szCs w:val="20"/>
          <w:lang w:val="en-US"/>
        </w:rPr>
        <w:t xml:space="preserve">), </w:t>
      </w:r>
      <w:r w:rsidR="00447C65" w:rsidRPr="00D869E3">
        <w:rPr>
          <w:rFonts w:ascii="Verdana" w:hAnsi="Verdana"/>
          <w:sz w:val="20"/>
          <w:szCs w:val="20"/>
          <w:lang w:val="en-US"/>
        </w:rPr>
        <w:t>the Court</w:t>
      </w:r>
      <w:r w:rsidR="00FF1171" w:rsidRPr="00D869E3">
        <w:rPr>
          <w:rFonts w:ascii="Verdana" w:hAnsi="Verdana"/>
          <w:sz w:val="20"/>
          <w:szCs w:val="20"/>
          <w:lang w:val="en-US"/>
        </w:rPr>
        <w:t xml:space="preserve"> conclu</w:t>
      </w:r>
      <w:r w:rsidR="002C19F3" w:rsidRPr="00D869E3">
        <w:rPr>
          <w:rFonts w:ascii="Verdana" w:hAnsi="Verdana"/>
          <w:sz w:val="20"/>
          <w:szCs w:val="20"/>
          <w:lang w:val="en-US"/>
        </w:rPr>
        <w:t>d</w:t>
      </w:r>
      <w:r w:rsidR="000C6082" w:rsidRPr="00D869E3">
        <w:rPr>
          <w:rFonts w:ascii="Verdana" w:hAnsi="Verdana"/>
          <w:sz w:val="20"/>
          <w:szCs w:val="20"/>
          <w:lang w:val="en-US"/>
        </w:rPr>
        <w:t>e</w:t>
      </w:r>
      <w:r w:rsidR="002C19F3" w:rsidRPr="00D869E3">
        <w:rPr>
          <w:rFonts w:ascii="Verdana" w:hAnsi="Verdana"/>
          <w:sz w:val="20"/>
          <w:szCs w:val="20"/>
          <w:lang w:val="en-US"/>
        </w:rPr>
        <w:t>s that the State is not responsible for</w:t>
      </w:r>
      <w:r w:rsidR="00FF1171"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FF1171" w:rsidRPr="00D869E3">
        <w:rPr>
          <w:rFonts w:ascii="Verdana" w:hAnsi="Verdana"/>
          <w:sz w:val="20"/>
          <w:szCs w:val="20"/>
          <w:lang w:val="en-US"/>
        </w:rPr>
        <w:t xml:space="preserve"> </w:t>
      </w:r>
      <w:r w:rsidR="002C19F3" w:rsidRPr="00D869E3">
        <w:rPr>
          <w:rFonts w:ascii="Verdana" w:hAnsi="Verdana"/>
          <w:sz w:val="20"/>
          <w:szCs w:val="20"/>
          <w:lang w:val="en-US"/>
        </w:rPr>
        <w:t>of</w:t>
      </w:r>
      <w:r w:rsidR="00FF1171" w:rsidRPr="00D869E3">
        <w:rPr>
          <w:rFonts w:ascii="Verdana" w:hAnsi="Verdana"/>
          <w:sz w:val="20"/>
          <w:szCs w:val="20"/>
          <w:lang w:val="en-US"/>
        </w:rPr>
        <w:t xml:space="preserve"> </w:t>
      </w:r>
      <w:r w:rsidR="00447C65" w:rsidRPr="00D869E3">
        <w:rPr>
          <w:rFonts w:ascii="Verdana" w:hAnsi="Verdana"/>
          <w:sz w:val="20"/>
          <w:szCs w:val="20"/>
          <w:lang w:val="en-US"/>
        </w:rPr>
        <w:t>Article</w:t>
      </w:r>
      <w:r w:rsidR="00FF1171" w:rsidRPr="00D869E3">
        <w:rPr>
          <w:rFonts w:ascii="Verdana" w:hAnsi="Verdana"/>
          <w:sz w:val="20"/>
          <w:szCs w:val="20"/>
          <w:lang w:val="en-US"/>
        </w:rPr>
        <w:t xml:space="preserve"> 2</w:t>
      </w:r>
      <w:r w:rsidR="00447C65" w:rsidRPr="00D869E3">
        <w:rPr>
          <w:rFonts w:ascii="Verdana" w:hAnsi="Verdana"/>
          <w:sz w:val="20"/>
          <w:szCs w:val="20"/>
          <w:lang w:val="en-US"/>
        </w:rPr>
        <w:t xml:space="preserve"> of the Convention</w:t>
      </w:r>
      <w:r w:rsidR="00FF1171" w:rsidRPr="00D869E3">
        <w:rPr>
          <w:rFonts w:ascii="Verdana" w:hAnsi="Verdana"/>
          <w:sz w:val="20"/>
          <w:szCs w:val="20"/>
          <w:lang w:val="en-US"/>
        </w:rPr>
        <w:t xml:space="preserve">. </w:t>
      </w:r>
    </w:p>
    <w:p w14:paraId="037FAAA1" w14:textId="77777777" w:rsidR="00470F22" w:rsidRPr="00D869E3" w:rsidRDefault="00470F22" w:rsidP="005D0F69">
      <w:pPr>
        <w:contextualSpacing/>
        <w:jc w:val="both"/>
        <w:rPr>
          <w:rFonts w:ascii="Verdana" w:hAnsi="Verdana"/>
          <w:sz w:val="20"/>
          <w:szCs w:val="20"/>
          <w:lang w:val="en-US"/>
        </w:rPr>
      </w:pPr>
    </w:p>
    <w:p w14:paraId="2293C6CA" w14:textId="5733E9E6" w:rsidR="00470F22" w:rsidRPr="00D869E3" w:rsidRDefault="002C19F3" w:rsidP="002C19F3">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Regarding the argument concerning the law currently in force, </w:t>
      </w:r>
      <w:r w:rsidR="000258D5" w:rsidRPr="00D869E3">
        <w:rPr>
          <w:rFonts w:ascii="Verdana" w:hAnsi="Verdana"/>
          <w:sz w:val="20"/>
          <w:szCs w:val="20"/>
          <w:lang w:val="en-US"/>
        </w:rPr>
        <w:t xml:space="preserve">in </w:t>
      </w:r>
      <w:r w:rsidRPr="00D869E3">
        <w:rPr>
          <w:rFonts w:ascii="Verdana" w:hAnsi="Verdana"/>
          <w:sz w:val="20"/>
          <w:szCs w:val="20"/>
          <w:lang w:val="en-US"/>
        </w:rPr>
        <w:t>relati</w:t>
      </w:r>
      <w:r w:rsidR="000258D5" w:rsidRPr="00D869E3">
        <w:rPr>
          <w:rFonts w:ascii="Verdana" w:hAnsi="Verdana"/>
          <w:sz w:val="20"/>
          <w:szCs w:val="20"/>
          <w:lang w:val="en-US"/>
        </w:rPr>
        <w:t>on</w:t>
      </w:r>
      <w:r w:rsidRPr="00D869E3">
        <w:rPr>
          <w:rFonts w:ascii="Verdana" w:hAnsi="Verdana"/>
          <w:sz w:val="20"/>
          <w:szCs w:val="20"/>
          <w:lang w:val="en-US"/>
        </w:rPr>
        <w:t xml:space="preserve"> to article 25 of </w:t>
      </w:r>
      <w:r w:rsidR="008B63E1" w:rsidRPr="00D869E3">
        <w:rPr>
          <w:rFonts w:ascii="Verdana" w:hAnsi="Verdana"/>
          <w:sz w:val="20"/>
          <w:szCs w:val="20"/>
          <w:lang w:val="en-US"/>
        </w:rPr>
        <w:t>Legislative Decree</w:t>
      </w:r>
      <w:r w:rsidR="00FF1171" w:rsidRPr="00D869E3">
        <w:rPr>
          <w:rFonts w:ascii="Verdana" w:hAnsi="Verdana"/>
          <w:sz w:val="20"/>
          <w:szCs w:val="20"/>
          <w:lang w:val="en-US"/>
        </w:rPr>
        <w:t xml:space="preserve"> No. 728 </w:t>
      </w:r>
      <w:r w:rsidRPr="00D869E3">
        <w:rPr>
          <w:rFonts w:ascii="Verdana" w:hAnsi="Verdana"/>
          <w:sz w:val="20"/>
          <w:szCs w:val="20"/>
          <w:lang w:val="en-US"/>
        </w:rPr>
        <w:t>o</w:t>
      </w:r>
      <w:r w:rsidR="000258D5" w:rsidRPr="00D869E3">
        <w:rPr>
          <w:rFonts w:ascii="Verdana" w:hAnsi="Verdana"/>
          <w:sz w:val="20"/>
          <w:szCs w:val="20"/>
          <w:lang w:val="en-US"/>
        </w:rPr>
        <w:t>f</w:t>
      </w:r>
      <w:r w:rsidRPr="00D869E3">
        <w:rPr>
          <w:rFonts w:ascii="Verdana" w:hAnsi="Verdana"/>
          <w:sz w:val="20"/>
          <w:szCs w:val="20"/>
          <w:lang w:val="en-US"/>
        </w:rPr>
        <w:t xml:space="preserve"> March 27,</w:t>
      </w:r>
      <w:r w:rsidR="00FF1171" w:rsidRPr="00D869E3">
        <w:rPr>
          <w:rFonts w:ascii="Verdana" w:hAnsi="Verdana"/>
          <w:sz w:val="20"/>
          <w:szCs w:val="20"/>
          <w:lang w:val="en-US"/>
        </w:rPr>
        <w:t xml:space="preserve"> 1997 (</w:t>
      </w:r>
      <w:r w:rsidR="00224537" w:rsidRPr="00D869E3">
        <w:rPr>
          <w:rFonts w:ascii="Verdana" w:hAnsi="Verdana"/>
          <w:i/>
          <w:sz w:val="20"/>
          <w:szCs w:val="20"/>
          <w:lang w:val="en-US"/>
        </w:rPr>
        <w:t>supra</w:t>
      </w:r>
      <w:r w:rsidR="00FF1171" w:rsidRPr="00D869E3">
        <w:rPr>
          <w:rFonts w:ascii="Verdana" w:hAnsi="Verdana"/>
          <w:sz w:val="20"/>
          <w:szCs w:val="20"/>
          <w:lang w:val="en-US"/>
        </w:rPr>
        <w:t xml:space="preserve"> </w:t>
      </w:r>
      <w:r w:rsidR="0087339F" w:rsidRPr="00D869E3">
        <w:rPr>
          <w:rFonts w:ascii="Verdana" w:hAnsi="Verdana"/>
          <w:sz w:val="20"/>
          <w:szCs w:val="20"/>
          <w:lang w:val="en-US"/>
        </w:rPr>
        <w:t>para.</w:t>
      </w:r>
      <w:r w:rsidR="003E79D2" w:rsidRPr="00D869E3">
        <w:rPr>
          <w:rFonts w:ascii="Verdana" w:hAnsi="Verdana"/>
          <w:sz w:val="20"/>
          <w:szCs w:val="20"/>
          <w:lang w:val="en-US"/>
        </w:rPr>
        <w:t xml:space="preserve"> 86</w:t>
      </w:r>
      <w:r w:rsidR="00FF1171" w:rsidRPr="00D869E3">
        <w:rPr>
          <w:rFonts w:ascii="Verdana" w:hAnsi="Verdana"/>
          <w:sz w:val="20"/>
          <w:szCs w:val="20"/>
          <w:lang w:val="en-US"/>
        </w:rPr>
        <w:t xml:space="preserve">), </w:t>
      </w:r>
      <w:r w:rsidR="00447C65" w:rsidRPr="00D869E3">
        <w:rPr>
          <w:rFonts w:ascii="Verdana" w:hAnsi="Verdana"/>
          <w:sz w:val="20"/>
          <w:szCs w:val="20"/>
          <w:lang w:val="en-US"/>
        </w:rPr>
        <w:t>the Court</w:t>
      </w:r>
      <w:r w:rsidR="00FF1171" w:rsidRPr="00D869E3">
        <w:rPr>
          <w:rFonts w:ascii="Verdana" w:hAnsi="Verdana"/>
          <w:sz w:val="20"/>
          <w:szCs w:val="20"/>
          <w:lang w:val="en-US"/>
        </w:rPr>
        <w:t xml:space="preserve"> </w:t>
      </w:r>
      <w:r w:rsidRPr="00D869E3">
        <w:rPr>
          <w:rFonts w:ascii="Verdana" w:hAnsi="Verdana"/>
          <w:sz w:val="20"/>
          <w:szCs w:val="20"/>
          <w:lang w:val="en-US"/>
        </w:rPr>
        <w:t xml:space="preserve">notes that this law derogated </w:t>
      </w:r>
      <w:r w:rsidR="00852CCA" w:rsidRPr="00D869E3">
        <w:rPr>
          <w:rFonts w:ascii="Verdana" w:hAnsi="Verdana"/>
          <w:sz w:val="20"/>
          <w:szCs w:val="20"/>
          <w:lang w:val="en-US"/>
        </w:rPr>
        <w:t>Law</w:t>
      </w:r>
      <w:r w:rsidR="00FF1171" w:rsidRPr="00D869E3">
        <w:rPr>
          <w:rFonts w:ascii="Verdana" w:hAnsi="Verdana"/>
          <w:sz w:val="20"/>
          <w:szCs w:val="20"/>
          <w:lang w:val="en-US"/>
        </w:rPr>
        <w:t xml:space="preserve"> No. 24514 </w:t>
      </w:r>
      <w:r w:rsidRPr="00D869E3">
        <w:rPr>
          <w:rFonts w:ascii="Verdana" w:hAnsi="Verdana"/>
          <w:sz w:val="20"/>
          <w:szCs w:val="20"/>
          <w:lang w:val="en-US"/>
        </w:rPr>
        <w:t>of June 5,</w:t>
      </w:r>
      <w:r w:rsidR="00FF1171" w:rsidRPr="00D869E3">
        <w:rPr>
          <w:rFonts w:ascii="Verdana" w:hAnsi="Verdana"/>
          <w:sz w:val="20"/>
          <w:szCs w:val="20"/>
          <w:lang w:val="en-US"/>
        </w:rPr>
        <w:t xml:space="preserve"> 1986 (</w:t>
      </w:r>
      <w:r w:rsidR="00224537" w:rsidRPr="00D869E3">
        <w:rPr>
          <w:rFonts w:ascii="Verdana" w:hAnsi="Verdana"/>
          <w:i/>
          <w:sz w:val="20"/>
          <w:szCs w:val="20"/>
          <w:lang w:val="en-US"/>
        </w:rPr>
        <w:t>supra</w:t>
      </w:r>
      <w:r w:rsidR="00FF1171" w:rsidRPr="00D869E3">
        <w:rPr>
          <w:rFonts w:ascii="Verdana" w:hAnsi="Verdana"/>
          <w:sz w:val="20"/>
          <w:szCs w:val="20"/>
          <w:lang w:val="en-US"/>
        </w:rPr>
        <w:t xml:space="preserve"> </w:t>
      </w:r>
      <w:r w:rsidR="0087339F" w:rsidRPr="00D869E3">
        <w:rPr>
          <w:rFonts w:ascii="Verdana" w:hAnsi="Verdana"/>
          <w:sz w:val="20"/>
          <w:szCs w:val="20"/>
          <w:lang w:val="en-US"/>
        </w:rPr>
        <w:t>para.</w:t>
      </w:r>
      <w:r w:rsidR="00FF1171" w:rsidRPr="00D869E3">
        <w:rPr>
          <w:rFonts w:ascii="Verdana" w:hAnsi="Verdana"/>
          <w:sz w:val="20"/>
          <w:szCs w:val="20"/>
          <w:lang w:val="en-US"/>
        </w:rPr>
        <w:t xml:space="preserve"> </w:t>
      </w:r>
      <w:r w:rsidR="00A31238" w:rsidRPr="00D869E3">
        <w:rPr>
          <w:rFonts w:ascii="Verdana" w:hAnsi="Verdana"/>
          <w:sz w:val="20"/>
          <w:szCs w:val="20"/>
          <w:lang w:val="en-US"/>
        </w:rPr>
        <w:t>55</w:t>
      </w:r>
      <w:r w:rsidR="00FF1171" w:rsidRPr="00D869E3">
        <w:rPr>
          <w:rFonts w:ascii="Verdana" w:hAnsi="Verdana"/>
          <w:sz w:val="20"/>
          <w:szCs w:val="20"/>
          <w:lang w:val="en-US"/>
        </w:rPr>
        <w:t>),</w:t>
      </w:r>
      <w:r w:rsidR="00687684" w:rsidRPr="00D869E3">
        <w:rPr>
          <w:rFonts w:ascii="Verdana" w:hAnsi="Verdana"/>
          <w:sz w:val="20"/>
          <w:szCs w:val="20"/>
          <w:lang w:val="en-US"/>
        </w:rPr>
        <w:t xml:space="preserve"> </w:t>
      </w:r>
      <w:r w:rsidRPr="00D869E3">
        <w:rPr>
          <w:rFonts w:ascii="Verdana" w:hAnsi="Verdana"/>
          <w:sz w:val="20"/>
          <w:szCs w:val="20"/>
          <w:lang w:val="en-US"/>
        </w:rPr>
        <w:t xml:space="preserve">that it was not applied to the facts of this case, and </w:t>
      </w:r>
      <w:r w:rsidR="000258D5" w:rsidRPr="00D869E3">
        <w:rPr>
          <w:rFonts w:ascii="Verdana" w:hAnsi="Verdana"/>
          <w:sz w:val="20"/>
          <w:szCs w:val="20"/>
          <w:lang w:val="en-US"/>
        </w:rPr>
        <w:t xml:space="preserve">that </w:t>
      </w:r>
      <w:r w:rsidRPr="00D869E3">
        <w:rPr>
          <w:rFonts w:ascii="Verdana" w:hAnsi="Verdana"/>
          <w:sz w:val="20"/>
          <w:szCs w:val="20"/>
          <w:lang w:val="en-US"/>
        </w:rPr>
        <w:t xml:space="preserve">this was expressly recognized by </w:t>
      </w:r>
      <w:r w:rsidR="00687684" w:rsidRPr="00D869E3">
        <w:rPr>
          <w:rFonts w:ascii="Verdana" w:hAnsi="Verdana"/>
          <w:sz w:val="20"/>
          <w:szCs w:val="20"/>
          <w:lang w:val="en-US"/>
        </w:rPr>
        <w:t>the representatives</w:t>
      </w:r>
      <w:r w:rsidR="00FF1171"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FF1171" w:rsidRPr="00D869E3">
        <w:rPr>
          <w:rFonts w:ascii="Verdana" w:hAnsi="Verdana"/>
          <w:sz w:val="20"/>
          <w:szCs w:val="20"/>
          <w:lang w:val="en-US"/>
        </w:rPr>
        <w:t xml:space="preserve">, </w:t>
      </w:r>
      <w:r w:rsidR="00447C65" w:rsidRPr="00D869E3">
        <w:rPr>
          <w:rFonts w:ascii="Verdana" w:hAnsi="Verdana"/>
          <w:sz w:val="20"/>
          <w:szCs w:val="20"/>
          <w:lang w:val="en-US"/>
        </w:rPr>
        <w:t>the Court</w:t>
      </w:r>
      <w:r w:rsidR="00FF1171" w:rsidRPr="00D869E3">
        <w:rPr>
          <w:rFonts w:ascii="Verdana" w:hAnsi="Verdana"/>
          <w:sz w:val="20"/>
          <w:szCs w:val="20"/>
          <w:lang w:val="en-US"/>
        </w:rPr>
        <w:t xml:space="preserve"> </w:t>
      </w:r>
      <w:r w:rsidRPr="00D869E3">
        <w:rPr>
          <w:rFonts w:ascii="Verdana" w:hAnsi="Verdana"/>
          <w:sz w:val="20"/>
          <w:szCs w:val="20"/>
          <w:lang w:val="en-US"/>
        </w:rPr>
        <w:t xml:space="preserve">considers that it does not have to issue a ruling or make an analysis </w:t>
      </w:r>
      <w:r w:rsidR="00351902" w:rsidRPr="00D869E3">
        <w:rPr>
          <w:rFonts w:ascii="Verdana" w:hAnsi="Verdana"/>
          <w:sz w:val="20"/>
          <w:szCs w:val="20"/>
          <w:lang w:val="en-US"/>
        </w:rPr>
        <w:t>of this instrument</w:t>
      </w:r>
      <w:r w:rsidR="00FF1171" w:rsidRPr="00D869E3">
        <w:rPr>
          <w:rFonts w:ascii="Verdana" w:hAnsi="Verdana"/>
          <w:sz w:val="20"/>
          <w:szCs w:val="20"/>
          <w:lang w:val="en-US"/>
        </w:rPr>
        <w:t xml:space="preserve">, </w:t>
      </w:r>
      <w:r w:rsidRPr="00D869E3">
        <w:rPr>
          <w:rFonts w:ascii="Verdana" w:hAnsi="Verdana"/>
          <w:sz w:val="20"/>
          <w:szCs w:val="20"/>
          <w:lang w:val="en-US"/>
        </w:rPr>
        <w:t>because the purpose of its contentious jurisdiction is not to review domestic laws in abstract.</w:t>
      </w:r>
      <w:r w:rsidR="00FF1171" w:rsidRPr="00D869E3">
        <w:rPr>
          <w:rFonts w:ascii="Verdana" w:hAnsi="Verdana"/>
          <w:sz w:val="20"/>
          <w:szCs w:val="20"/>
          <w:vertAlign w:val="superscript"/>
          <w:lang w:val="en-US"/>
        </w:rPr>
        <w:footnoteReference w:id="236"/>
      </w:r>
      <w:r w:rsidR="00FF1171" w:rsidRPr="00D869E3">
        <w:rPr>
          <w:rFonts w:ascii="Verdana" w:hAnsi="Verdana"/>
          <w:sz w:val="20"/>
          <w:szCs w:val="20"/>
          <w:lang w:val="en-US"/>
        </w:rPr>
        <w:t xml:space="preserve"> </w:t>
      </w:r>
    </w:p>
    <w:p w14:paraId="14B0DB9B" w14:textId="77777777" w:rsidR="00470F22" w:rsidRPr="00D869E3" w:rsidRDefault="00470F22" w:rsidP="005D0F69">
      <w:pPr>
        <w:contextualSpacing/>
        <w:jc w:val="both"/>
        <w:rPr>
          <w:rFonts w:ascii="Verdana" w:hAnsi="Verdana"/>
          <w:sz w:val="20"/>
          <w:szCs w:val="20"/>
          <w:lang w:val="en-US"/>
        </w:rPr>
      </w:pPr>
    </w:p>
    <w:p w14:paraId="111CC83D" w14:textId="331E4D22" w:rsidR="00CB7CCB" w:rsidRPr="00D869E3" w:rsidRDefault="00B44B46" w:rsidP="00E66DD7">
      <w:pPr>
        <w:pStyle w:val="Ttulo3"/>
        <w:numPr>
          <w:ilvl w:val="0"/>
          <w:numId w:val="11"/>
        </w:numPr>
        <w:ind w:left="714" w:hanging="357"/>
        <w:rPr>
          <w:szCs w:val="20"/>
          <w:lang w:val="en-US"/>
        </w:rPr>
      </w:pPr>
      <w:bookmarkStart w:id="54" w:name="_Toc29114142"/>
      <w:r w:rsidRPr="00D869E3">
        <w:rPr>
          <w:i/>
          <w:lang w:val="en-US"/>
        </w:rPr>
        <w:t>General conclusion</w:t>
      </w:r>
      <w:bookmarkEnd w:id="54"/>
      <w:r w:rsidR="00CB7CCB" w:rsidRPr="00D869E3">
        <w:rPr>
          <w:i/>
          <w:lang w:val="en-US"/>
        </w:rPr>
        <w:t xml:space="preserve"> </w:t>
      </w:r>
    </w:p>
    <w:p w14:paraId="786E01EE" w14:textId="77777777" w:rsidR="00CB7CCB" w:rsidRPr="00D869E3" w:rsidRDefault="00CB7CCB" w:rsidP="005D0F69">
      <w:pPr>
        <w:contextualSpacing/>
        <w:jc w:val="both"/>
        <w:rPr>
          <w:rFonts w:ascii="Verdana" w:hAnsi="Verdana"/>
          <w:sz w:val="20"/>
          <w:szCs w:val="20"/>
          <w:lang w:val="en-US"/>
        </w:rPr>
      </w:pPr>
    </w:p>
    <w:p w14:paraId="5FE8938E" w14:textId="15160204" w:rsidR="00CB7CCB" w:rsidRPr="00D869E3" w:rsidRDefault="002C19F3" w:rsidP="00E66DD7">
      <w:pPr>
        <w:numPr>
          <w:ilvl w:val="0"/>
          <w:numId w:val="1"/>
        </w:numPr>
        <w:ind w:left="0" w:firstLine="0"/>
        <w:contextualSpacing/>
        <w:jc w:val="both"/>
        <w:rPr>
          <w:rFonts w:ascii="Verdana" w:hAnsi="Verdana"/>
          <w:sz w:val="20"/>
          <w:szCs w:val="20"/>
          <w:lang w:val="en-US"/>
        </w:rPr>
      </w:pPr>
      <w:r w:rsidRPr="00D869E3">
        <w:rPr>
          <w:rFonts w:ascii="Verdana" w:hAnsi="Verdana"/>
          <w:color w:val="000000"/>
          <w:sz w:val="20"/>
          <w:szCs w:val="20"/>
          <w:lang w:val="en-US"/>
        </w:rPr>
        <w:t>Therefore</w:t>
      </w:r>
      <w:r w:rsidR="00CB7CCB"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Court</w:t>
      </w:r>
      <w:r w:rsidR="00CB7CCB" w:rsidRPr="00D869E3">
        <w:rPr>
          <w:rFonts w:ascii="Verdana" w:hAnsi="Verdana"/>
          <w:color w:val="000000"/>
          <w:sz w:val="20"/>
          <w:szCs w:val="20"/>
          <w:lang w:val="en-US"/>
        </w:rPr>
        <w:t xml:space="preserve"> </w:t>
      </w:r>
      <w:r w:rsidRPr="00D869E3">
        <w:rPr>
          <w:rFonts w:ascii="Verdana" w:hAnsi="Verdana"/>
          <w:color w:val="000000"/>
          <w:sz w:val="20"/>
          <w:szCs w:val="20"/>
          <w:lang w:val="en-US"/>
        </w:rPr>
        <w:t>finds that</w:t>
      </w:r>
      <w:r w:rsidR="00C05656"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State</w:t>
      </w:r>
      <w:r w:rsidR="00C05656" w:rsidRPr="00D869E3">
        <w:rPr>
          <w:rFonts w:ascii="Verdana" w:hAnsi="Verdana"/>
          <w:color w:val="000000"/>
          <w:sz w:val="20"/>
          <w:szCs w:val="20"/>
          <w:lang w:val="en-US"/>
        </w:rPr>
        <w:t xml:space="preserve">, </w:t>
      </w:r>
      <w:r w:rsidRPr="00D869E3">
        <w:rPr>
          <w:rFonts w:ascii="Verdana" w:hAnsi="Verdana"/>
          <w:color w:val="000000"/>
          <w:sz w:val="20"/>
          <w:szCs w:val="20"/>
          <w:lang w:val="en-US"/>
        </w:rPr>
        <w:t>based on the dismissal</w:t>
      </w:r>
      <w:r w:rsidR="009D44FB" w:rsidRPr="00D869E3">
        <w:rPr>
          <w:rFonts w:ascii="Verdana" w:hAnsi="Verdana"/>
          <w:color w:val="000000"/>
          <w:sz w:val="20"/>
          <w:szCs w:val="20"/>
          <w:lang w:val="en-US"/>
        </w:rPr>
        <w:t xml:space="preserve"> </w:t>
      </w:r>
      <w:r w:rsidR="00E6309B" w:rsidRPr="00D869E3">
        <w:rPr>
          <w:rFonts w:ascii="Verdana" w:hAnsi="Verdana"/>
          <w:color w:val="000000"/>
          <w:sz w:val="20"/>
          <w:szCs w:val="20"/>
          <w:lang w:val="en-US"/>
        </w:rPr>
        <w:t>of Mr.</w:t>
      </w:r>
      <w:r w:rsidR="001E44D3" w:rsidRPr="00D869E3">
        <w:rPr>
          <w:rFonts w:ascii="Verdana" w:hAnsi="Verdana"/>
          <w:color w:val="000000"/>
          <w:sz w:val="20"/>
          <w:szCs w:val="20"/>
          <w:lang w:val="en-US"/>
        </w:rPr>
        <w:t xml:space="preserve"> Lagos del Campo</w:t>
      </w:r>
      <w:r w:rsidR="009D44FB"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from his job, violated his rights to job security </w:t>
      </w:r>
      <w:r w:rsidR="009D44FB" w:rsidRPr="00D869E3">
        <w:rPr>
          <w:rFonts w:ascii="Verdana" w:hAnsi="Verdana"/>
          <w:color w:val="000000"/>
          <w:sz w:val="20"/>
          <w:szCs w:val="20"/>
          <w:lang w:val="en-US"/>
        </w:rPr>
        <w:t>(</w:t>
      </w:r>
      <w:r w:rsidR="00447C65" w:rsidRPr="00D869E3">
        <w:rPr>
          <w:rFonts w:ascii="Verdana" w:hAnsi="Verdana"/>
          <w:color w:val="000000"/>
          <w:sz w:val="20"/>
          <w:szCs w:val="20"/>
          <w:lang w:val="en-US"/>
        </w:rPr>
        <w:t>Article</w:t>
      </w:r>
      <w:r w:rsidR="009D44FB" w:rsidRPr="00D869E3">
        <w:rPr>
          <w:rFonts w:ascii="Verdana" w:hAnsi="Verdana"/>
          <w:color w:val="000000"/>
          <w:sz w:val="20"/>
          <w:szCs w:val="20"/>
          <w:lang w:val="en-US"/>
        </w:rPr>
        <w:t xml:space="preserve"> 26 </w:t>
      </w:r>
      <w:r w:rsidR="00BB61A6" w:rsidRPr="00D869E3">
        <w:rPr>
          <w:rFonts w:ascii="Verdana" w:hAnsi="Verdana"/>
          <w:color w:val="000000"/>
          <w:sz w:val="20"/>
          <w:szCs w:val="20"/>
          <w:lang w:val="en-US"/>
        </w:rPr>
        <w:t>in relation to</w:t>
      </w:r>
      <w:r w:rsidR="009D44FB" w:rsidRPr="00D869E3">
        <w:rPr>
          <w:rFonts w:ascii="Verdana" w:hAnsi="Verdana"/>
          <w:color w:val="000000"/>
          <w:sz w:val="20"/>
          <w:szCs w:val="20"/>
          <w:lang w:val="en-US"/>
        </w:rPr>
        <w:t xml:space="preserve"> </w:t>
      </w:r>
      <w:r w:rsidR="00687684" w:rsidRPr="00D869E3">
        <w:rPr>
          <w:rFonts w:ascii="Verdana" w:hAnsi="Verdana"/>
          <w:color w:val="000000"/>
          <w:sz w:val="20"/>
          <w:szCs w:val="20"/>
          <w:lang w:val="en-US"/>
        </w:rPr>
        <w:t>Articles 1(1)</w:t>
      </w:r>
      <w:r w:rsidR="009D44FB" w:rsidRPr="00D869E3">
        <w:rPr>
          <w:rFonts w:ascii="Verdana" w:hAnsi="Verdana"/>
          <w:color w:val="000000"/>
          <w:sz w:val="20"/>
          <w:szCs w:val="20"/>
          <w:lang w:val="en-US"/>
        </w:rPr>
        <w:t>, 13, 8</w:t>
      </w:r>
      <w:r w:rsidR="00687684" w:rsidRPr="00D869E3">
        <w:rPr>
          <w:rFonts w:ascii="Verdana" w:hAnsi="Verdana"/>
          <w:color w:val="000000"/>
          <w:sz w:val="20"/>
          <w:szCs w:val="20"/>
          <w:lang w:val="en-US"/>
        </w:rPr>
        <w:t xml:space="preserve"> and </w:t>
      </w:r>
      <w:r w:rsidR="009D44FB" w:rsidRPr="00D869E3">
        <w:rPr>
          <w:rFonts w:ascii="Verdana" w:hAnsi="Verdana"/>
          <w:color w:val="000000"/>
          <w:sz w:val="20"/>
          <w:szCs w:val="20"/>
          <w:lang w:val="en-US"/>
        </w:rPr>
        <w:lastRenderedPageBreak/>
        <w:t>16</w:t>
      </w:r>
      <w:r w:rsidR="00447C65" w:rsidRPr="00D869E3">
        <w:rPr>
          <w:rFonts w:ascii="Verdana" w:hAnsi="Verdana"/>
          <w:color w:val="000000"/>
          <w:sz w:val="20"/>
          <w:szCs w:val="20"/>
          <w:lang w:val="en-US"/>
        </w:rPr>
        <w:t xml:space="preserve"> of the Convention</w:t>
      </w:r>
      <w:r w:rsidR="009D44FB" w:rsidRPr="00D869E3">
        <w:rPr>
          <w:rFonts w:ascii="Verdana" w:hAnsi="Verdana"/>
          <w:color w:val="000000"/>
          <w:sz w:val="20"/>
          <w:szCs w:val="20"/>
          <w:lang w:val="en-US"/>
        </w:rPr>
        <w:t>)</w:t>
      </w:r>
      <w:r w:rsidR="00687684" w:rsidRPr="00D869E3">
        <w:rPr>
          <w:rFonts w:ascii="Verdana" w:hAnsi="Verdana"/>
          <w:color w:val="000000"/>
          <w:sz w:val="20"/>
          <w:szCs w:val="20"/>
          <w:lang w:val="en-US"/>
        </w:rPr>
        <w:t xml:space="preserve"> and </w:t>
      </w:r>
      <w:r w:rsidRPr="00D869E3">
        <w:rPr>
          <w:rFonts w:ascii="Verdana" w:hAnsi="Verdana"/>
          <w:color w:val="000000"/>
          <w:sz w:val="20"/>
          <w:szCs w:val="20"/>
          <w:lang w:val="en-US"/>
        </w:rPr>
        <w:t>to</w:t>
      </w:r>
      <w:r w:rsidR="00C05656" w:rsidRPr="00D869E3">
        <w:rPr>
          <w:rFonts w:ascii="Verdana" w:hAnsi="Verdana"/>
          <w:color w:val="000000"/>
          <w:sz w:val="20"/>
          <w:szCs w:val="20"/>
          <w:lang w:val="en-US"/>
        </w:rPr>
        <w:t xml:space="preserve"> </w:t>
      </w:r>
      <w:r w:rsidR="00A62EA8" w:rsidRPr="00D869E3">
        <w:rPr>
          <w:rFonts w:ascii="Verdana" w:hAnsi="Verdana"/>
          <w:color w:val="000000"/>
          <w:sz w:val="20"/>
          <w:szCs w:val="20"/>
          <w:lang w:val="en-US"/>
        </w:rPr>
        <w:t>freedom of expression</w:t>
      </w:r>
      <w:r w:rsidR="00C05656"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Article</w:t>
      </w:r>
      <w:r w:rsidR="00C05656" w:rsidRPr="00D869E3">
        <w:rPr>
          <w:rFonts w:ascii="Verdana" w:hAnsi="Verdana"/>
          <w:color w:val="000000"/>
          <w:sz w:val="20"/>
          <w:szCs w:val="20"/>
          <w:lang w:val="en-US"/>
        </w:rPr>
        <w:t>s 13</w:t>
      </w:r>
      <w:r w:rsidR="00687684" w:rsidRPr="00D869E3">
        <w:rPr>
          <w:rFonts w:ascii="Verdana" w:hAnsi="Verdana"/>
          <w:color w:val="000000"/>
          <w:sz w:val="20"/>
          <w:szCs w:val="20"/>
          <w:lang w:val="en-US"/>
        </w:rPr>
        <w:t xml:space="preserve"> and </w:t>
      </w:r>
      <w:r w:rsidR="00C05656" w:rsidRPr="00D869E3">
        <w:rPr>
          <w:rFonts w:ascii="Verdana" w:hAnsi="Verdana"/>
          <w:color w:val="000000"/>
          <w:sz w:val="20"/>
          <w:szCs w:val="20"/>
          <w:lang w:val="en-US"/>
        </w:rPr>
        <w:t>8</w:t>
      </w:r>
      <w:r w:rsidR="0067646F" w:rsidRPr="00D869E3">
        <w:rPr>
          <w:rFonts w:ascii="Verdana" w:hAnsi="Verdana"/>
          <w:color w:val="000000"/>
          <w:sz w:val="20"/>
          <w:szCs w:val="20"/>
          <w:lang w:val="en-US"/>
        </w:rPr>
        <w:t xml:space="preserve"> </w:t>
      </w:r>
      <w:r w:rsidR="00BB61A6" w:rsidRPr="00D869E3">
        <w:rPr>
          <w:rFonts w:ascii="Verdana" w:hAnsi="Verdana"/>
          <w:color w:val="000000"/>
          <w:sz w:val="20"/>
          <w:szCs w:val="20"/>
          <w:lang w:val="en-US"/>
        </w:rPr>
        <w:t>in relation to</w:t>
      </w:r>
      <w:r w:rsidR="0067646F" w:rsidRPr="00D869E3">
        <w:rPr>
          <w:rFonts w:ascii="Verdana" w:hAnsi="Verdana"/>
          <w:color w:val="000000"/>
          <w:sz w:val="20"/>
          <w:szCs w:val="20"/>
          <w:lang w:val="en-US"/>
        </w:rPr>
        <w:t xml:space="preserve"> </w:t>
      </w:r>
      <w:r w:rsidR="00687684" w:rsidRPr="00D869E3">
        <w:rPr>
          <w:rFonts w:ascii="Verdana" w:hAnsi="Verdana"/>
          <w:color w:val="000000"/>
          <w:sz w:val="20"/>
          <w:szCs w:val="20"/>
          <w:lang w:val="en-US"/>
        </w:rPr>
        <w:t xml:space="preserve">Article 1(1) </w:t>
      </w:r>
      <w:r w:rsidR="00447C65" w:rsidRPr="00D869E3">
        <w:rPr>
          <w:rFonts w:ascii="Verdana" w:hAnsi="Verdana"/>
          <w:color w:val="000000"/>
          <w:sz w:val="20"/>
          <w:szCs w:val="20"/>
          <w:lang w:val="en-US"/>
        </w:rPr>
        <w:t>of the Convention</w:t>
      </w:r>
      <w:r w:rsidR="00C05656" w:rsidRPr="00D869E3">
        <w:rPr>
          <w:rFonts w:ascii="Verdana" w:hAnsi="Verdana"/>
          <w:color w:val="000000"/>
          <w:sz w:val="20"/>
          <w:szCs w:val="20"/>
          <w:lang w:val="en-US"/>
        </w:rPr>
        <w:t>).</w:t>
      </w:r>
      <w:r w:rsidR="009D44FB" w:rsidRPr="00D869E3">
        <w:rPr>
          <w:rFonts w:ascii="Verdana" w:hAnsi="Verdana"/>
          <w:color w:val="000000"/>
          <w:sz w:val="20"/>
          <w:szCs w:val="20"/>
          <w:lang w:val="en-US"/>
        </w:rPr>
        <w:t xml:space="preserve"> </w:t>
      </w:r>
      <w:r w:rsidRPr="00D869E3">
        <w:rPr>
          <w:rFonts w:ascii="Verdana" w:hAnsi="Verdana"/>
          <w:color w:val="000000"/>
          <w:sz w:val="20"/>
          <w:szCs w:val="20"/>
          <w:lang w:val="en-US"/>
        </w:rPr>
        <w:t>This</w:t>
      </w:r>
      <w:r w:rsidR="009D5355" w:rsidRPr="00D869E3">
        <w:rPr>
          <w:rFonts w:ascii="Verdana" w:hAnsi="Verdana"/>
          <w:color w:val="000000"/>
          <w:sz w:val="20"/>
          <w:szCs w:val="20"/>
          <w:lang w:val="en-US"/>
        </w:rPr>
        <w:t xml:space="preserve"> had </w:t>
      </w:r>
      <w:r w:rsidR="000258D5" w:rsidRPr="00D869E3">
        <w:rPr>
          <w:rFonts w:ascii="Verdana" w:hAnsi="Verdana"/>
          <w:color w:val="000000"/>
          <w:sz w:val="20"/>
          <w:szCs w:val="20"/>
          <w:lang w:val="en-US"/>
        </w:rPr>
        <w:t>repercussions</w:t>
      </w:r>
      <w:r w:rsidR="009D5355" w:rsidRPr="00D869E3">
        <w:rPr>
          <w:rFonts w:ascii="Verdana" w:hAnsi="Verdana"/>
          <w:color w:val="000000"/>
          <w:sz w:val="20"/>
          <w:szCs w:val="20"/>
          <w:lang w:val="en-US"/>
        </w:rPr>
        <w:t xml:space="preserve"> on his labor representation and right to freedom of association</w:t>
      </w:r>
      <w:r w:rsidR="00747383"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Article</w:t>
      </w:r>
      <w:r w:rsidR="00C05656" w:rsidRPr="00D869E3">
        <w:rPr>
          <w:rFonts w:ascii="Verdana" w:hAnsi="Verdana"/>
          <w:color w:val="000000"/>
          <w:sz w:val="20"/>
          <w:szCs w:val="20"/>
          <w:lang w:val="en-US"/>
        </w:rPr>
        <w:t>s</w:t>
      </w:r>
      <w:r w:rsidR="00747383" w:rsidRPr="00D869E3">
        <w:rPr>
          <w:rFonts w:ascii="Verdana" w:hAnsi="Verdana"/>
          <w:color w:val="000000"/>
          <w:sz w:val="20"/>
          <w:szCs w:val="20"/>
          <w:lang w:val="en-US"/>
        </w:rPr>
        <w:t xml:space="preserve"> 16</w:t>
      </w:r>
      <w:r w:rsidR="00687684" w:rsidRPr="00D869E3">
        <w:rPr>
          <w:rFonts w:ascii="Verdana" w:hAnsi="Verdana"/>
          <w:color w:val="000000"/>
          <w:sz w:val="20"/>
          <w:szCs w:val="20"/>
          <w:lang w:val="en-US"/>
        </w:rPr>
        <w:t xml:space="preserve"> and </w:t>
      </w:r>
      <w:r w:rsidR="008F1812" w:rsidRPr="00D869E3">
        <w:rPr>
          <w:rFonts w:ascii="Verdana" w:hAnsi="Verdana"/>
          <w:color w:val="000000"/>
          <w:sz w:val="20"/>
          <w:szCs w:val="20"/>
          <w:lang w:val="en-US"/>
        </w:rPr>
        <w:t xml:space="preserve">26 </w:t>
      </w:r>
      <w:r w:rsidR="00BB61A6" w:rsidRPr="00D869E3">
        <w:rPr>
          <w:rFonts w:ascii="Verdana" w:hAnsi="Verdana"/>
          <w:color w:val="000000"/>
          <w:sz w:val="20"/>
          <w:szCs w:val="20"/>
          <w:lang w:val="en-US"/>
        </w:rPr>
        <w:t>in relation to</w:t>
      </w:r>
      <w:r w:rsidR="009D44FB" w:rsidRPr="00D869E3">
        <w:rPr>
          <w:rFonts w:ascii="Verdana" w:hAnsi="Verdana"/>
          <w:color w:val="000000"/>
          <w:sz w:val="20"/>
          <w:szCs w:val="20"/>
          <w:lang w:val="en-US"/>
        </w:rPr>
        <w:t xml:space="preserve"> </w:t>
      </w:r>
      <w:r w:rsidR="009D5355" w:rsidRPr="00D869E3">
        <w:rPr>
          <w:rFonts w:ascii="Verdana" w:hAnsi="Verdana"/>
          <w:color w:val="000000"/>
          <w:sz w:val="20"/>
          <w:szCs w:val="20"/>
          <w:lang w:val="en-US"/>
        </w:rPr>
        <w:t xml:space="preserve">Article </w:t>
      </w:r>
      <w:r w:rsidR="009D44FB" w:rsidRPr="00D869E3">
        <w:rPr>
          <w:rFonts w:ascii="Verdana" w:hAnsi="Verdana"/>
          <w:color w:val="000000"/>
          <w:sz w:val="20"/>
          <w:szCs w:val="20"/>
          <w:lang w:val="en-US"/>
        </w:rPr>
        <w:t>1</w:t>
      </w:r>
      <w:r w:rsidR="009D5355" w:rsidRPr="00D869E3">
        <w:rPr>
          <w:rFonts w:ascii="Verdana" w:hAnsi="Verdana"/>
          <w:color w:val="000000"/>
          <w:sz w:val="20"/>
          <w:szCs w:val="20"/>
          <w:lang w:val="en-US"/>
        </w:rPr>
        <w:t>(</w:t>
      </w:r>
      <w:r w:rsidR="009D44FB" w:rsidRPr="00D869E3">
        <w:rPr>
          <w:rFonts w:ascii="Verdana" w:hAnsi="Verdana"/>
          <w:color w:val="000000"/>
          <w:sz w:val="20"/>
          <w:szCs w:val="20"/>
          <w:lang w:val="en-US"/>
        </w:rPr>
        <w:t>1</w:t>
      </w:r>
      <w:r w:rsidR="009D5355" w:rsidRPr="00D869E3">
        <w:rPr>
          <w:rFonts w:ascii="Verdana" w:hAnsi="Verdana"/>
          <w:color w:val="000000"/>
          <w:sz w:val="20"/>
          <w:szCs w:val="20"/>
          <w:lang w:val="en-US"/>
        </w:rPr>
        <w:t>)</w:t>
      </w:r>
      <w:r w:rsidR="009D44FB" w:rsidRPr="00D869E3">
        <w:rPr>
          <w:rFonts w:ascii="Verdana" w:hAnsi="Verdana"/>
          <w:color w:val="000000"/>
          <w:sz w:val="20"/>
          <w:szCs w:val="20"/>
          <w:lang w:val="en-US"/>
        </w:rPr>
        <w:t>, 13</w:t>
      </w:r>
      <w:r w:rsidR="00687684" w:rsidRPr="00D869E3">
        <w:rPr>
          <w:rFonts w:ascii="Verdana" w:hAnsi="Verdana"/>
          <w:color w:val="000000"/>
          <w:sz w:val="20"/>
          <w:szCs w:val="20"/>
          <w:lang w:val="en-US"/>
        </w:rPr>
        <w:t xml:space="preserve"> and </w:t>
      </w:r>
      <w:r w:rsidR="009D44FB" w:rsidRPr="00D869E3">
        <w:rPr>
          <w:rFonts w:ascii="Verdana" w:hAnsi="Verdana"/>
          <w:color w:val="000000"/>
          <w:sz w:val="20"/>
          <w:szCs w:val="20"/>
          <w:lang w:val="en-US"/>
        </w:rPr>
        <w:t>8</w:t>
      </w:r>
      <w:r w:rsidR="00447C65" w:rsidRPr="00D869E3">
        <w:rPr>
          <w:rFonts w:ascii="Verdana" w:hAnsi="Verdana"/>
          <w:color w:val="000000"/>
          <w:sz w:val="20"/>
          <w:szCs w:val="20"/>
          <w:lang w:val="en-US"/>
        </w:rPr>
        <w:t xml:space="preserve"> of the Convention</w:t>
      </w:r>
      <w:r w:rsidR="00747383" w:rsidRPr="00D869E3">
        <w:rPr>
          <w:rFonts w:ascii="Verdana" w:hAnsi="Verdana"/>
          <w:color w:val="000000"/>
          <w:sz w:val="20"/>
          <w:szCs w:val="20"/>
          <w:lang w:val="en-US"/>
        </w:rPr>
        <w:t xml:space="preserve">), </w:t>
      </w:r>
      <w:r w:rsidR="009D5355" w:rsidRPr="00D869E3">
        <w:rPr>
          <w:rFonts w:ascii="Verdana" w:hAnsi="Verdana"/>
          <w:color w:val="000000"/>
          <w:sz w:val="20"/>
          <w:szCs w:val="20"/>
          <w:lang w:val="en-US"/>
        </w:rPr>
        <w:t>which had an impact on his professional, personal and family life</w:t>
      </w:r>
      <w:r w:rsidR="00747383" w:rsidRPr="00D869E3">
        <w:rPr>
          <w:rFonts w:ascii="Verdana" w:hAnsi="Verdana"/>
          <w:color w:val="000000"/>
          <w:sz w:val="20"/>
          <w:szCs w:val="20"/>
          <w:lang w:val="en-US"/>
        </w:rPr>
        <w:t xml:space="preserve">. </w:t>
      </w:r>
    </w:p>
    <w:p w14:paraId="14F47D2C" w14:textId="77777777" w:rsidR="00747383" w:rsidRPr="00D869E3" w:rsidRDefault="00747383" w:rsidP="005D0F69">
      <w:pPr>
        <w:contextualSpacing/>
        <w:jc w:val="both"/>
        <w:rPr>
          <w:rFonts w:ascii="Verdana" w:hAnsi="Verdana"/>
          <w:sz w:val="20"/>
          <w:szCs w:val="20"/>
          <w:lang w:val="en-US"/>
        </w:rPr>
      </w:pPr>
    </w:p>
    <w:p w14:paraId="3AFABC2A" w14:textId="77DD2F7F" w:rsidR="00747383" w:rsidRPr="00D869E3" w:rsidRDefault="00747383" w:rsidP="00333304">
      <w:pPr>
        <w:pStyle w:val="Ttulo1"/>
        <w:tabs>
          <w:tab w:val="left" w:pos="851"/>
        </w:tabs>
        <w:spacing w:before="0"/>
        <w:jc w:val="center"/>
        <w:rPr>
          <w:rFonts w:cs="Verdana"/>
          <w:b w:val="0"/>
          <w:caps/>
          <w:snapToGrid w:val="0"/>
          <w:szCs w:val="20"/>
          <w:lang w:val="en-US"/>
        </w:rPr>
      </w:pPr>
      <w:bookmarkStart w:id="55" w:name="_Toc29114143"/>
      <w:r w:rsidRPr="00D869E3">
        <w:rPr>
          <w:rFonts w:cs="Verdana"/>
          <w:caps/>
          <w:snapToGrid w:val="0"/>
          <w:szCs w:val="20"/>
          <w:lang w:val="en-US"/>
        </w:rPr>
        <w:t>VII-2</w:t>
      </w:r>
      <w:bookmarkEnd w:id="55"/>
    </w:p>
    <w:p w14:paraId="40116482" w14:textId="13CA44C8" w:rsidR="00747383" w:rsidRPr="00D869E3" w:rsidRDefault="00B44B46" w:rsidP="00333304">
      <w:pPr>
        <w:pStyle w:val="Ttulo1"/>
        <w:tabs>
          <w:tab w:val="left" w:pos="851"/>
        </w:tabs>
        <w:spacing w:before="0"/>
        <w:jc w:val="center"/>
        <w:rPr>
          <w:rFonts w:cs="Verdana"/>
          <w:b w:val="0"/>
          <w:bCs w:val="0"/>
          <w:caps/>
          <w:snapToGrid w:val="0"/>
          <w:szCs w:val="20"/>
          <w:lang w:val="en-US"/>
        </w:rPr>
      </w:pPr>
      <w:bookmarkStart w:id="56" w:name="_Toc29114144"/>
      <w:r w:rsidRPr="00D869E3">
        <w:rPr>
          <w:rFonts w:cs="Verdana"/>
          <w:caps/>
          <w:snapToGrid w:val="0"/>
          <w:szCs w:val="20"/>
          <w:lang w:val="en-US"/>
        </w:rPr>
        <w:t>ACCESS TO JUSTICE</w:t>
      </w:r>
      <w:bookmarkEnd w:id="56"/>
      <w:r w:rsidR="00747383" w:rsidRPr="00D869E3">
        <w:rPr>
          <w:rFonts w:cs="Verdana"/>
          <w:caps/>
          <w:snapToGrid w:val="0"/>
          <w:szCs w:val="20"/>
          <w:lang w:val="en-US"/>
        </w:rPr>
        <w:t xml:space="preserve"> </w:t>
      </w:r>
    </w:p>
    <w:p w14:paraId="7649B37A" w14:textId="33886191" w:rsidR="00747383" w:rsidRPr="00D869E3" w:rsidRDefault="00747383" w:rsidP="00333304">
      <w:pPr>
        <w:pStyle w:val="Ttulo1"/>
        <w:tabs>
          <w:tab w:val="left" w:pos="851"/>
        </w:tabs>
        <w:spacing w:before="0"/>
        <w:jc w:val="center"/>
        <w:rPr>
          <w:rFonts w:cs="Verdana"/>
          <w:b w:val="0"/>
          <w:bCs w:val="0"/>
          <w:caps/>
          <w:snapToGrid w:val="0"/>
          <w:szCs w:val="20"/>
          <w:lang w:val="en-US"/>
        </w:rPr>
      </w:pPr>
      <w:bookmarkStart w:id="57" w:name="_Toc29114145"/>
      <w:r w:rsidRPr="00D869E3">
        <w:rPr>
          <w:rFonts w:cs="Verdana"/>
          <w:caps/>
          <w:snapToGrid w:val="0"/>
          <w:szCs w:val="20"/>
          <w:lang w:val="en-US"/>
        </w:rPr>
        <w:t>(</w:t>
      </w:r>
      <w:r w:rsidR="00DF1382" w:rsidRPr="00D869E3">
        <w:rPr>
          <w:rFonts w:cs="Verdana"/>
          <w:caps/>
          <w:snapToGrid w:val="0"/>
          <w:szCs w:val="20"/>
          <w:lang w:val="en-US"/>
        </w:rPr>
        <w:t>ARTICLES</w:t>
      </w:r>
      <w:r w:rsidRPr="00D869E3">
        <w:rPr>
          <w:rFonts w:cs="Verdana"/>
          <w:caps/>
          <w:snapToGrid w:val="0"/>
          <w:szCs w:val="20"/>
          <w:lang w:val="en-US"/>
        </w:rPr>
        <w:t xml:space="preserve"> 8</w:t>
      </w:r>
      <w:r w:rsidR="00687684" w:rsidRPr="00D869E3">
        <w:rPr>
          <w:rFonts w:cs="Verdana"/>
          <w:caps/>
          <w:snapToGrid w:val="0"/>
          <w:szCs w:val="20"/>
          <w:lang w:val="en-US"/>
        </w:rPr>
        <w:t xml:space="preserve"> and </w:t>
      </w:r>
      <w:r w:rsidRPr="00D869E3">
        <w:rPr>
          <w:rFonts w:cs="Verdana"/>
          <w:caps/>
          <w:snapToGrid w:val="0"/>
          <w:szCs w:val="20"/>
          <w:lang w:val="en-US"/>
        </w:rPr>
        <w:t xml:space="preserve">25 </w:t>
      </w:r>
      <w:r w:rsidR="00B44B46" w:rsidRPr="00D869E3">
        <w:rPr>
          <w:rFonts w:cs="Verdana"/>
          <w:caps/>
          <w:snapToGrid w:val="0"/>
          <w:szCs w:val="20"/>
          <w:lang w:val="en-US"/>
        </w:rPr>
        <w:t>OF THE AMERICAN CONVENTION</w:t>
      </w:r>
      <w:r w:rsidRPr="00D869E3">
        <w:rPr>
          <w:rFonts w:cs="Verdana"/>
          <w:caps/>
          <w:snapToGrid w:val="0"/>
          <w:szCs w:val="20"/>
          <w:lang w:val="en-US"/>
        </w:rPr>
        <w:t>A)</w:t>
      </w:r>
      <w:bookmarkEnd w:id="57"/>
    </w:p>
    <w:p w14:paraId="54D436C3" w14:textId="77777777" w:rsidR="00747383" w:rsidRPr="00D869E3" w:rsidRDefault="00747383" w:rsidP="005D0F69">
      <w:pPr>
        <w:contextualSpacing/>
        <w:jc w:val="both"/>
        <w:rPr>
          <w:rFonts w:ascii="Verdana" w:hAnsi="Verdana"/>
          <w:sz w:val="20"/>
          <w:szCs w:val="20"/>
          <w:lang w:val="en-US"/>
        </w:rPr>
      </w:pPr>
    </w:p>
    <w:p w14:paraId="4B155468" w14:textId="3531A978" w:rsidR="00E66DD7" w:rsidRPr="00D869E3" w:rsidRDefault="00966115" w:rsidP="00E66DD7">
      <w:pPr>
        <w:pStyle w:val="Ttulo2"/>
        <w:numPr>
          <w:ilvl w:val="0"/>
          <w:numId w:val="23"/>
        </w:numPr>
        <w:rPr>
          <w:i/>
          <w:szCs w:val="20"/>
          <w:lang w:val="en-US"/>
        </w:rPr>
      </w:pPr>
      <w:bookmarkStart w:id="58" w:name="_Toc464140128"/>
      <w:bookmarkStart w:id="59" w:name="_Toc29114146"/>
      <w:r w:rsidRPr="00D869E3">
        <w:rPr>
          <w:i/>
          <w:szCs w:val="20"/>
          <w:lang w:val="en-US"/>
        </w:rPr>
        <w:t>Arguments of the parties</w:t>
      </w:r>
      <w:r w:rsidR="00687684" w:rsidRPr="00D869E3">
        <w:rPr>
          <w:i/>
          <w:szCs w:val="20"/>
          <w:lang w:val="en-US"/>
        </w:rPr>
        <w:t xml:space="preserve"> and </w:t>
      </w:r>
      <w:r w:rsidR="00447C65" w:rsidRPr="00D869E3">
        <w:rPr>
          <w:i/>
          <w:szCs w:val="20"/>
          <w:lang w:val="en-US"/>
        </w:rPr>
        <w:t>of the Commission</w:t>
      </w:r>
      <w:bookmarkEnd w:id="58"/>
      <w:bookmarkEnd w:id="59"/>
    </w:p>
    <w:p w14:paraId="0C53F68C" w14:textId="77777777" w:rsidR="00E66DD7" w:rsidRPr="00D869E3" w:rsidRDefault="00E66DD7" w:rsidP="00E66DD7">
      <w:pPr>
        <w:rPr>
          <w:rFonts w:ascii="Verdana" w:hAnsi="Verdana"/>
          <w:sz w:val="20"/>
          <w:szCs w:val="20"/>
          <w:lang w:val="en-US"/>
        </w:rPr>
      </w:pPr>
    </w:p>
    <w:p w14:paraId="29F65974" w14:textId="194938FE" w:rsidR="00E66DD7" w:rsidRPr="00D869E3" w:rsidRDefault="00687684" w:rsidP="00901386">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representatives</w:t>
      </w:r>
      <w:r w:rsidR="00E66DD7" w:rsidRPr="00D869E3">
        <w:rPr>
          <w:rFonts w:ascii="Verdana" w:hAnsi="Verdana"/>
          <w:sz w:val="20"/>
          <w:szCs w:val="20"/>
          <w:lang w:val="en-US"/>
        </w:rPr>
        <w:t xml:space="preserve"> al</w:t>
      </w:r>
      <w:r w:rsidR="007E67ED" w:rsidRPr="00D869E3">
        <w:rPr>
          <w:rFonts w:ascii="Verdana" w:hAnsi="Verdana"/>
          <w:sz w:val="20"/>
          <w:szCs w:val="20"/>
          <w:lang w:val="en-US"/>
        </w:rPr>
        <w:t>leged</w:t>
      </w:r>
      <w:r w:rsidR="00E66DD7"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E66DD7" w:rsidRPr="00D869E3">
        <w:rPr>
          <w:rFonts w:ascii="Verdana" w:hAnsi="Verdana"/>
          <w:sz w:val="20"/>
          <w:szCs w:val="20"/>
          <w:lang w:val="en-US"/>
        </w:rPr>
        <w:t xml:space="preserve"> </w:t>
      </w:r>
      <w:r w:rsidRPr="00D869E3">
        <w:rPr>
          <w:rFonts w:ascii="Verdana" w:hAnsi="Verdana"/>
          <w:sz w:val="20"/>
          <w:szCs w:val="20"/>
          <w:lang w:val="en-US"/>
        </w:rPr>
        <w:t>of Article</w:t>
      </w:r>
      <w:r w:rsidR="00E66DD7" w:rsidRPr="00D869E3">
        <w:rPr>
          <w:rFonts w:ascii="Verdana" w:hAnsi="Verdana"/>
          <w:sz w:val="20"/>
          <w:szCs w:val="20"/>
          <w:lang w:val="en-US"/>
        </w:rPr>
        <w:t xml:space="preserve"> 8</w:t>
      </w:r>
      <w:r w:rsidR="00447C65" w:rsidRPr="00D869E3">
        <w:rPr>
          <w:rFonts w:ascii="Verdana" w:hAnsi="Verdana"/>
          <w:sz w:val="20"/>
          <w:szCs w:val="20"/>
          <w:lang w:val="en-US"/>
        </w:rPr>
        <w:t xml:space="preserve"> of the Convention</w:t>
      </w:r>
      <w:r w:rsidR="00E66DD7" w:rsidRPr="00D869E3">
        <w:rPr>
          <w:rFonts w:ascii="Verdana" w:hAnsi="Verdana"/>
          <w:sz w:val="20"/>
          <w:szCs w:val="20"/>
          <w:lang w:val="en-US"/>
        </w:rPr>
        <w:t>, particula</w:t>
      </w:r>
      <w:r w:rsidR="007E67ED" w:rsidRPr="00D869E3">
        <w:rPr>
          <w:rFonts w:ascii="Verdana" w:hAnsi="Verdana"/>
          <w:sz w:val="20"/>
          <w:szCs w:val="20"/>
          <w:lang w:val="en-US"/>
        </w:rPr>
        <w:t>rly</w:t>
      </w:r>
      <w:r w:rsidR="00E66DD7" w:rsidRPr="00D869E3">
        <w:rPr>
          <w:rFonts w:ascii="Verdana" w:hAnsi="Verdana"/>
          <w:sz w:val="20"/>
          <w:szCs w:val="20"/>
          <w:lang w:val="en-US"/>
        </w:rPr>
        <w:t xml:space="preserve"> </w:t>
      </w:r>
      <w:r w:rsidR="007E67ED" w:rsidRPr="00D869E3">
        <w:rPr>
          <w:rFonts w:ascii="Verdana" w:hAnsi="Verdana"/>
          <w:sz w:val="20"/>
          <w:szCs w:val="20"/>
          <w:lang w:val="en-US"/>
        </w:rPr>
        <w:t xml:space="preserve">in relation to the </w:t>
      </w:r>
      <w:r w:rsidR="000B2E5E" w:rsidRPr="00D869E3">
        <w:rPr>
          <w:rFonts w:ascii="Verdana" w:hAnsi="Verdana"/>
          <w:sz w:val="20"/>
          <w:szCs w:val="20"/>
          <w:lang w:val="en-US"/>
        </w:rPr>
        <w:t>right to</w:t>
      </w:r>
      <w:r w:rsidR="007E67ED" w:rsidRPr="00D869E3">
        <w:rPr>
          <w:rFonts w:ascii="Verdana" w:hAnsi="Verdana"/>
          <w:sz w:val="20"/>
          <w:szCs w:val="20"/>
          <w:lang w:val="en-US"/>
        </w:rPr>
        <w:t xml:space="preserve"> </w:t>
      </w:r>
      <w:r w:rsidR="00CF1D7C" w:rsidRPr="00D869E3">
        <w:rPr>
          <w:rFonts w:ascii="Verdana" w:hAnsi="Verdana"/>
          <w:sz w:val="20"/>
          <w:szCs w:val="20"/>
          <w:lang w:val="en-US"/>
        </w:rPr>
        <w:t>appeal</w:t>
      </w:r>
      <w:r w:rsidR="007E67ED" w:rsidRPr="00D869E3">
        <w:rPr>
          <w:rFonts w:ascii="Verdana" w:hAnsi="Verdana"/>
          <w:sz w:val="20"/>
          <w:szCs w:val="20"/>
          <w:lang w:val="en-US"/>
        </w:rPr>
        <w:t xml:space="preserve"> </w:t>
      </w:r>
      <w:r w:rsidR="00CF1D7C" w:rsidRPr="00D869E3">
        <w:rPr>
          <w:rFonts w:ascii="Verdana" w:hAnsi="Verdana"/>
          <w:sz w:val="20"/>
          <w:szCs w:val="20"/>
          <w:lang w:val="en-US"/>
        </w:rPr>
        <w:t>a judgment</w:t>
      </w:r>
      <w:r w:rsidR="007E67ED"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7E67ED" w:rsidRPr="00D869E3">
        <w:rPr>
          <w:rFonts w:ascii="Verdana" w:hAnsi="Verdana"/>
          <w:sz w:val="20"/>
          <w:szCs w:val="20"/>
          <w:lang w:val="en-US"/>
        </w:rPr>
        <w:t xml:space="preserve">they referred to the actions taken by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7E67ED" w:rsidRPr="00D869E3">
        <w:rPr>
          <w:rFonts w:ascii="Verdana" w:hAnsi="Verdana"/>
          <w:sz w:val="20"/>
          <w:szCs w:val="20"/>
          <w:lang w:val="en-US"/>
        </w:rPr>
        <w:t>as a result of his dismissal, when “he took various measures addressed, first, to obtai</w:t>
      </w:r>
      <w:r w:rsidR="00CF1D7C" w:rsidRPr="00D869E3">
        <w:rPr>
          <w:rFonts w:ascii="Verdana" w:hAnsi="Verdana"/>
          <w:sz w:val="20"/>
          <w:szCs w:val="20"/>
          <w:lang w:val="en-US"/>
        </w:rPr>
        <w:t>n</w:t>
      </w:r>
      <w:r w:rsidR="007E67ED" w:rsidRPr="00D869E3">
        <w:rPr>
          <w:rFonts w:ascii="Verdana" w:hAnsi="Verdana"/>
          <w:sz w:val="20"/>
          <w:szCs w:val="20"/>
          <w:lang w:val="en-US"/>
        </w:rPr>
        <w:t xml:space="preserve"> reinstatement in his job […].” They then referred to the different actions filed by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7E67ED" w:rsidRPr="00D869E3">
        <w:rPr>
          <w:rFonts w:ascii="Verdana" w:hAnsi="Verdana"/>
          <w:sz w:val="20"/>
          <w:szCs w:val="20"/>
          <w:lang w:val="en-US"/>
        </w:rPr>
        <w:t xml:space="preserve">in which he alleged </w:t>
      </w:r>
      <w:r w:rsidR="007013E2" w:rsidRPr="00D869E3">
        <w:rPr>
          <w:rFonts w:ascii="Verdana" w:hAnsi="Verdana"/>
          <w:sz w:val="20"/>
          <w:szCs w:val="20"/>
          <w:lang w:val="en-US"/>
        </w:rPr>
        <w:t>the violation</w:t>
      </w:r>
      <w:r w:rsidR="00E66DD7" w:rsidRPr="00D869E3">
        <w:rPr>
          <w:rFonts w:ascii="Verdana" w:hAnsi="Verdana"/>
          <w:sz w:val="20"/>
          <w:szCs w:val="20"/>
          <w:lang w:val="en-US"/>
        </w:rPr>
        <w:t xml:space="preserve"> </w:t>
      </w:r>
      <w:r w:rsidR="007E67ED" w:rsidRPr="00D869E3">
        <w:rPr>
          <w:rFonts w:ascii="Verdana" w:hAnsi="Verdana"/>
          <w:sz w:val="20"/>
          <w:szCs w:val="20"/>
          <w:lang w:val="en-US"/>
        </w:rPr>
        <w:t xml:space="preserve">of his right to job security </w:t>
      </w:r>
      <w:r w:rsidRPr="00D869E3">
        <w:rPr>
          <w:rFonts w:ascii="Verdana" w:hAnsi="Verdana"/>
          <w:sz w:val="20"/>
          <w:szCs w:val="20"/>
          <w:lang w:val="en-US"/>
        </w:rPr>
        <w:t xml:space="preserve">and </w:t>
      </w:r>
      <w:r w:rsidR="007E67ED" w:rsidRPr="00D869E3">
        <w:rPr>
          <w:rFonts w:ascii="Verdana" w:hAnsi="Verdana"/>
          <w:sz w:val="20"/>
          <w:szCs w:val="20"/>
          <w:lang w:val="en-US"/>
        </w:rPr>
        <w:t>to due process of law established in</w:t>
      </w:r>
      <w:r w:rsidR="00E66DD7" w:rsidRPr="00D869E3">
        <w:rPr>
          <w:rFonts w:ascii="Verdana" w:hAnsi="Verdana"/>
          <w:sz w:val="20"/>
          <w:szCs w:val="20"/>
          <w:lang w:val="en-US"/>
        </w:rPr>
        <w:t xml:space="preserve"> </w:t>
      </w:r>
      <w:r w:rsidR="007E67ED" w:rsidRPr="00D869E3">
        <w:rPr>
          <w:rFonts w:ascii="Verdana" w:hAnsi="Verdana"/>
          <w:sz w:val="20"/>
          <w:szCs w:val="20"/>
          <w:lang w:val="en-US"/>
        </w:rPr>
        <w:t>a</w:t>
      </w:r>
      <w:r w:rsidR="00447C65" w:rsidRPr="00D869E3">
        <w:rPr>
          <w:rFonts w:ascii="Verdana" w:hAnsi="Verdana"/>
          <w:sz w:val="20"/>
          <w:szCs w:val="20"/>
          <w:lang w:val="en-US"/>
        </w:rPr>
        <w:t>rticles</w:t>
      </w:r>
      <w:r w:rsidR="00E66DD7" w:rsidRPr="00D869E3">
        <w:rPr>
          <w:rFonts w:ascii="Verdana" w:hAnsi="Verdana"/>
          <w:sz w:val="20"/>
          <w:szCs w:val="20"/>
          <w:lang w:val="en-US"/>
        </w:rPr>
        <w:t xml:space="preserve"> 48</w:t>
      </w:r>
      <w:r w:rsidRPr="00D869E3">
        <w:rPr>
          <w:rFonts w:ascii="Verdana" w:hAnsi="Verdana"/>
          <w:sz w:val="20"/>
          <w:szCs w:val="20"/>
          <w:lang w:val="en-US"/>
        </w:rPr>
        <w:t xml:space="preserve"> and </w:t>
      </w:r>
      <w:r w:rsidR="00E66DD7" w:rsidRPr="00D869E3">
        <w:rPr>
          <w:rFonts w:ascii="Verdana" w:hAnsi="Verdana"/>
          <w:sz w:val="20"/>
          <w:szCs w:val="20"/>
          <w:lang w:val="en-US"/>
        </w:rPr>
        <w:t xml:space="preserve">233 </w:t>
      </w:r>
      <w:r w:rsidR="001E3B42" w:rsidRPr="00D869E3">
        <w:rPr>
          <w:rFonts w:ascii="Verdana" w:hAnsi="Verdana"/>
          <w:sz w:val="20"/>
          <w:szCs w:val="20"/>
          <w:lang w:val="en-US"/>
        </w:rPr>
        <w:t>of the Constitution</w:t>
      </w:r>
      <w:r w:rsidR="00CF1D7C" w:rsidRPr="00D869E3">
        <w:rPr>
          <w:rFonts w:ascii="Verdana" w:hAnsi="Verdana"/>
          <w:sz w:val="20"/>
          <w:szCs w:val="20"/>
          <w:lang w:val="en-US"/>
        </w:rPr>
        <w:t>,</w:t>
      </w:r>
      <w:r w:rsidRPr="00D869E3">
        <w:rPr>
          <w:rFonts w:ascii="Verdana" w:hAnsi="Verdana"/>
          <w:sz w:val="20"/>
          <w:szCs w:val="20"/>
          <w:lang w:val="en-US"/>
        </w:rPr>
        <w:t xml:space="preserve"> and </w:t>
      </w:r>
      <w:r w:rsidR="007E67ED" w:rsidRPr="00D869E3">
        <w:rPr>
          <w:rFonts w:ascii="Verdana" w:hAnsi="Verdana"/>
          <w:sz w:val="20"/>
          <w:szCs w:val="20"/>
          <w:lang w:val="en-US"/>
        </w:rPr>
        <w:t xml:space="preserve">requested the annulment of the second instance decision claiming that it had been arbitrary. They added that on </w:t>
      </w:r>
      <w:r w:rsidR="001E3B42" w:rsidRPr="00D869E3">
        <w:rPr>
          <w:rFonts w:ascii="Verdana" w:hAnsi="Verdana"/>
          <w:sz w:val="20"/>
          <w:szCs w:val="20"/>
          <w:lang w:val="en-US"/>
        </w:rPr>
        <w:t xml:space="preserve">August </w:t>
      </w:r>
      <w:r w:rsidR="007E67ED" w:rsidRPr="00D869E3">
        <w:rPr>
          <w:rFonts w:ascii="Verdana" w:hAnsi="Verdana"/>
          <w:sz w:val="20"/>
          <w:szCs w:val="20"/>
          <w:lang w:val="en-US"/>
        </w:rPr>
        <w:t>1</w:t>
      </w:r>
      <w:r w:rsidR="001E3B42" w:rsidRPr="00D869E3">
        <w:rPr>
          <w:rFonts w:ascii="Verdana" w:hAnsi="Verdana"/>
          <w:sz w:val="20"/>
          <w:szCs w:val="20"/>
          <w:lang w:val="en-US"/>
        </w:rPr>
        <w:t>3,</w:t>
      </w:r>
      <w:r w:rsidR="00E66DD7" w:rsidRPr="00D869E3">
        <w:rPr>
          <w:rFonts w:ascii="Verdana" w:hAnsi="Verdana"/>
          <w:sz w:val="20"/>
          <w:szCs w:val="20"/>
          <w:lang w:val="en-US"/>
        </w:rPr>
        <w:t xml:space="preserve"> 1992, </w:t>
      </w:r>
      <w:r w:rsidR="00EB5E2E" w:rsidRPr="00D869E3">
        <w:rPr>
          <w:rFonts w:ascii="Verdana" w:hAnsi="Verdana"/>
          <w:sz w:val="20"/>
          <w:szCs w:val="20"/>
          <w:lang w:val="en-US"/>
        </w:rPr>
        <w:t>the Fifth Civil Chamber</w:t>
      </w:r>
      <w:r w:rsidR="00E66DD7" w:rsidRPr="00D869E3">
        <w:rPr>
          <w:rFonts w:ascii="Verdana" w:hAnsi="Verdana"/>
          <w:sz w:val="20"/>
          <w:szCs w:val="20"/>
          <w:lang w:val="en-US"/>
        </w:rPr>
        <w:t xml:space="preserve"> </w:t>
      </w:r>
      <w:r w:rsidR="007E67ED" w:rsidRPr="00D869E3">
        <w:rPr>
          <w:rFonts w:ascii="Verdana" w:hAnsi="Verdana"/>
          <w:sz w:val="20"/>
          <w:szCs w:val="20"/>
          <w:lang w:val="en-US"/>
        </w:rPr>
        <w:t>decided to declare that the application for amparo was inadmissible without considering that the Second Labor Court’s failure to process Mr. Lagos del Campo’s brief constituted a breach of due process. They also indicated that, during the amparo proceedings, the Constitutional and Social Chamber</w:t>
      </w:r>
      <w:r w:rsidR="006B3CE6" w:rsidRPr="00D869E3">
        <w:rPr>
          <w:rFonts w:ascii="Verdana" w:hAnsi="Verdana"/>
          <w:sz w:val="20"/>
          <w:szCs w:val="20"/>
          <w:lang w:val="en-US"/>
        </w:rPr>
        <w:t xml:space="preserve"> decided to declare that the said decision was valid, which also violated the obligation to give a reasoned judgment, because it merely reproduced the arguments of the Public Prosecution Service. They added that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6B3CE6" w:rsidRPr="00D869E3">
        <w:rPr>
          <w:rFonts w:ascii="Verdana" w:hAnsi="Verdana"/>
          <w:sz w:val="20"/>
          <w:szCs w:val="20"/>
          <w:lang w:val="en-US"/>
        </w:rPr>
        <w:t>was unable to contest the judicial decisions because</w:t>
      </w:r>
      <w:r w:rsidR="00E66DD7"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00EE0BD4" w:rsidRPr="00D869E3">
        <w:rPr>
          <w:rFonts w:ascii="Verdana" w:hAnsi="Verdana"/>
          <w:sz w:val="20"/>
          <w:szCs w:val="20"/>
          <w:lang w:val="en-US"/>
        </w:rPr>
        <w:t>Court of Constitutional Guarantees</w:t>
      </w:r>
      <w:r w:rsidR="006B3CE6" w:rsidRPr="00D869E3">
        <w:rPr>
          <w:rFonts w:ascii="Verdana" w:hAnsi="Verdana"/>
          <w:sz w:val="20"/>
          <w:szCs w:val="20"/>
          <w:lang w:val="en-US"/>
        </w:rPr>
        <w:t xml:space="preserve"> had been suspended</w:t>
      </w:r>
      <w:r w:rsidR="00E66DD7" w:rsidRPr="00D869E3">
        <w:rPr>
          <w:rFonts w:ascii="Verdana" w:hAnsi="Verdana"/>
          <w:sz w:val="20"/>
          <w:szCs w:val="20"/>
          <w:lang w:val="en-US"/>
        </w:rPr>
        <w:t xml:space="preserve"> </w:t>
      </w:r>
      <w:r w:rsidR="006B3CE6" w:rsidRPr="00D869E3">
        <w:rPr>
          <w:rFonts w:ascii="Verdana" w:hAnsi="Verdana"/>
          <w:sz w:val="20"/>
          <w:szCs w:val="20"/>
          <w:lang w:val="en-US"/>
        </w:rPr>
        <w:t>following the 1992 coup d’état</w:t>
      </w:r>
      <w:r w:rsidR="00E66DD7" w:rsidRPr="00D869E3">
        <w:rPr>
          <w:rFonts w:ascii="Verdana" w:hAnsi="Verdana"/>
          <w:sz w:val="20"/>
          <w:szCs w:val="20"/>
          <w:lang w:val="en-US"/>
        </w:rPr>
        <w:t xml:space="preserve"> </w:t>
      </w:r>
      <w:r w:rsidR="006B3CE6" w:rsidRPr="00D869E3">
        <w:rPr>
          <w:rFonts w:ascii="Verdana" w:hAnsi="Verdana"/>
          <w:sz w:val="20"/>
          <w:szCs w:val="20"/>
          <w:lang w:val="en-US"/>
        </w:rPr>
        <w:t>by</w:t>
      </w:r>
      <w:r w:rsidR="00E66DD7" w:rsidRPr="00D869E3">
        <w:rPr>
          <w:rFonts w:ascii="Verdana" w:hAnsi="Verdana"/>
          <w:sz w:val="20"/>
          <w:szCs w:val="20"/>
          <w:lang w:val="en-US"/>
        </w:rPr>
        <w:t xml:space="preserve"> Alberto Fujimori </w:t>
      </w:r>
      <w:r w:rsidRPr="00D869E3">
        <w:rPr>
          <w:rFonts w:ascii="Verdana" w:hAnsi="Verdana"/>
          <w:sz w:val="20"/>
          <w:szCs w:val="20"/>
          <w:lang w:val="en-US"/>
        </w:rPr>
        <w:t xml:space="preserve">and </w:t>
      </w:r>
      <w:r w:rsidR="006B3CE6" w:rsidRPr="00D869E3">
        <w:rPr>
          <w:rFonts w:ascii="Verdana" w:hAnsi="Verdana"/>
          <w:sz w:val="20"/>
          <w:szCs w:val="20"/>
          <w:lang w:val="en-US"/>
        </w:rPr>
        <w:t xml:space="preserve">the removal of the justices </w:t>
      </w:r>
      <w:r w:rsidR="00447C65" w:rsidRPr="00D869E3">
        <w:rPr>
          <w:rFonts w:ascii="Verdana" w:hAnsi="Verdana"/>
          <w:sz w:val="20"/>
          <w:szCs w:val="20"/>
          <w:lang w:val="en-US"/>
        </w:rPr>
        <w:t xml:space="preserve">of the </w:t>
      </w:r>
      <w:r w:rsidR="00674572" w:rsidRPr="00D869E3">
        <w:rPr>
          <w:rFonts w:ascii="Verdana" w:hAnsi="Verdana"/>
          <w:sz w:val="20"/>
          <w:szCs w:val="20"/>
          <w:lang w:val="en-US"/>
        </w:rPr>
        <w:t>Constitutional Court</w:t>
      </w:r>
      <w:r w:rsidR="00E66DD7" w:rsidRPr="00D869E3">
        <w:rPr>
          <w:rFonts w:ascii="Verdana" w:hAnsi="Verdana"/>
          <w:sz w:val="20"/>
          <w:szCs w:val="20"/>
          <w:lang w:val="en-US"/>
        </w:rPr>
        <w:t xml:space="preserve">. </w:t>
      </w:r>
      <w:r w:rsidR="006B3CE6" w:rsidRPr="00D869E3">
        <w:rPr>
          <w:rFonts w:ascii="Verdana" w:hAnsi="Verdana"/>
          <w:sz w:val="20"/>
          <w:szCs w:val="20"/>
          <w:lang w:val="en-US"/>
        </w:rPr>
        <w:t xml:space="preserve">They also indicated that, when </w:t>
      </w:r>
      <w:r w:rsidR="00447C65" w:rsidRPr="00D869E3">
        <w:rPr>
          <w:rFonts w:ascii="Verdana" w:hAnsi="Verdana"/>
          <w:sz w:val="20"/>
          <w:szCs w:val="20"/>
          <w:lang w:val="en-US"/>
        </w:rPr>
        <w:t xml:space="preserve">the </w:t>
      </w:r>
      <w:r w:rsidR="00674572" w:rsidRPr="00D869E3">
        <w:rPr>
          <w:rFonts w:ascii="Verdana" w:hAnsi="Verdana"/>
          <w:sz w:val="20"/>
          <w:szCs w:val="20"/>
          <w:lang w:val="en-US"/>
        </w:rPr>
        <w:t>Constitutional Court</w:t>
      </w:r>
      <w:r w:rsidR="00E66DD7" w:rsidRPr="00D869E3">
        <w:rPr>
          <w:rFonts w:ascii="Verdana" w:hAnsi="Verdana"/>
          <w:sz w:val="20"/>
          <w:szCs w:val="20"/>
          <w:lang w:val="en-US"/>
        </w:rPr>
        <w:t xml:space="preserve"> </w:t>
      </w:r>
      <w:r w:rsidR="006B3CE6" w:rsidRPr="00D869E3">
        <w:rPr>
          <w:rFonts w:ascii="Verdana" w:hAnsi="Verdana"/>
          <w:sz w:val="20"/>
          <w:szCs w:val="20"/>
          <w:lang w:val="en-US"/>
        </w:rPr>
        <w:t>was re-established in</w:t>
      </w:r>
      <w:r w:rsidR="00E66DD7" w:rsidRPr="00D869E3">
        <w:rPr>
          <w:rFonts w:ascii="Verdana" w:hAnsi="Verdana"/>
          <w:sz w:val="20"/>
          <w:szCs w:val="20"/>
          <w:lang w:val="en-US"/>
        </w:rPr>
        <w:t xml:space="preserve"> 1996,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6B3CE6" w:rsidRPr="00D869E3">
        <w:rPr>
          <w:rFonts w:ascii="Verdana" w:hAnsi="Verdana"/>
          <w:sz w:val="20"/>
          <w:szCs w:val="20"/>
          <w:lang w:val="en-US"/>
        </w:rPr>
        <w:t>requested that the amparo proceedings be raised before that court but</w:t>
      </w:r>
      <w:r w:rsidR="00E1338C" w:rsidRPr="00D869E3">
        <w:rPr>
          <w:rFonts w:ascii="Verdana" w:hAnsi="Verdana"/>
          <w:sz w:val="20"/>
          <w:szCs w:val="20"/>
          <w:lang w:val="en-US"/>
        </w:rPr>
        <w:t>,</w:t>
      </w:r>
      <w:r w:rsidR="006B3CE6" w:rsidRPr="00D869E3">
        <w:rPr>
          <w:rFonts w:ascii="Verdana" w:hAnsi="Verdana"/>
          <w:sz w:val="20"/>
          <w:szCs w:val="20"/>
          <w:lang w:val="en-US"/>
        </w:rPr>
        <w:t xml:space="preserve"> “incredibly</w:t>
      </w:r>
      <w:r w:rsidR="00E1338C" w:rsidRPr="00D869E3">
        <w:rPr>
          <w:rFonts w:ascii="Verdana" w:hAnsi="Verdana"/>
          <w:sz w:val="20"/>
          <w:szCs w:val="20"/>
          <w:lang w:val="en-US"/>
        </w:rPr>
        <w:t>,</w:t>
      </w:r>
      <w:r w:rsidR="006B3CE6" w:rsidRPr="00D869E3">
        <w:rPr>
          <w:rFonts w:ascii="Verdana" w:hAnsi="Verdana"/>
          <w:sz w:val="20"/>
          <w:szCs w:val="20"/>
          <w:lang w:val="en-US"/>
        </w:rPr>
        <w:t xml:space="preserve">” </w:t>
      </w:r>
      <w:r w:rsidR="009D37C8" w:rsidRPr="00D869E3">
        <w:rPr>
          <w:rFonts w:ascii="Verdana" w:hAnsi="Verdana"/>
          <w:sz w:val="20"/>
          <w:szCs w:val="20"/>
          <w:lang w:val="en-US"/>
        </w:rPr>
        <w:t>the Third Specialized Civil Chamber</w:t>
      </w:r>
      <w:r w:rsidR="00E66DD7" w:rsidRPr="00D869E3">
        <w:rPr>
          <w:rFonts w:ascii="Verdana" w:hAnsi="Verdana"/>
          <w:sz w:val="20"/>
          <w:szCs w:val="20"/>
          <w:lang w:val="en-US"/>
        </w:rPr>
        <w:t xml:space="preserve"> declar</w:t>
      </w:r>
      <w:r w:rsidR="006B3CE6" w:rsidRPr="00D869E3">
        <w:rPr>
          <w:rFonts w:ascii="Verdana" w:hAnsi="Verdana"/>
          <w:sz w:val="20"/>
          <w:szCs w:val="20"/>
          <w:lang w:val="en-US"/>
        </w:rPr>
        <w:t xml:space="preserve">ed his request inadmissible, requiring that he file a cassation appeal, “which was not available at that time owing to the cessation of the justices who were members </w:t>
      </w:r>
      <w:r w:rsidR="00447C65" w:rsidRPr="00D869E3">
        <w:rPr>
          <w:rFonts w:ascii="Verdana" w:hAnsi="Verdana"/>
          <w:sz w:val="20"/>
          <w:szCs w:val="20"/>
          <w:lang w:val="en-US"/>
        </w:rPr>
        <w:t xml:space="preserve">of the </w:t>
      </w:r>
      <w:r w:rsidR="00EE0BD4" w:rsidRPr="00D869E3">
        <w:rPr>
          <w:rFonts w:ascii="Verdana" w:hAnsi="Verdana"/>
          <w:sz w:val="20"/>
          <w:szCs w:val="20"/>
          <w:lang w:val="en-US"/>
        </w:rPr>
        <w:t>Court of Constitutional Guarantees</w:t>
      </w:r>
      <w:r w:rsidR="00E66DD7" w:rsidRPr="00D869E3">
        <w:rPr>
          <w:rFonts w:ascii="Verdana" w:hAnsi="Verdana"/>
          <w:sz w:val="20"/>
          <w:szCs w:val="20"/>
          <w:lang w:val="en-US"/>
        </w:rPr>
        <w:t xml:space="preserve">, </w:t>
      </w:r>
      <w:r w:rsidR="00E1338C" w:rsidRPr="00D869E3">
        <w:rPr>
          <w:rFonts w:ascii="Verdana" w:hAnsi="Verdana"/>
          <w:sz w:val="20"/>
          <w:szCs w:val="20"/>
          <w:lang w:val="en-US"/>
        </w:rPr>
        <w:t>therefore violating his right to contest judicial decisions.</w:t>
      </w:r>
    </w:p>
    <w:p w14:paraId="1078D91F" w14:textId="77777777" w:rsidR="00535D1F" w:rsidRPr="00D869E3" w:rsidRDefault="00535D1F" w:rsidP="00535D1F">
      <w:pPr>
        <w:contextualSpacing/>
        <w:jc w:val="both"/>
        <w:rPr>
          <w:rFonts w:ascii="Verdana" w:hAnsi="Verdana"/>
          <w:sz w:val="20"/>
          <w:szCs w:val="20"/>
          <w:lang w:val="en-US"/>
        </w:rPr>
      </w:pPr>
    </w:p>
    <w:p w14:paraId="6AD26D9C" w14:textId="7127951A" w:rsidR="00E66DD7" w:rsidRPr="00D869E3" w:rsidRDefault="00447C65" w:rsidP="00CA421A">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E66DD7" w:rsidRPr="00D869E3">
        <w:rPr>
          <w:rFonts w:ascii="Verdana" w:hAnsi="Verdana"/>
          <w:b/>
          <w:i/>
          <w:sz w:val="20"/>
          <w:szCs w:val="20"/>
          <w:lang w:val="en-US"/>
        </w:rPr>
        <w:t xml:space="preserve"> </w:t>
      </w:r>
      <w:r w:rsidR="00E1338C" w:rsidRPr="00D869E3">
        <w:rPr>
          <w:rFonts w:ascii="Verdana" w:hAnsi="Verdana"/>
          <w:sz w:val="20"/>
          <w:szCs w:val="20"/>
          <w:lang w:val="en-US"/>
        </w:rPr>
        <w:t>indicated that</w:t>
      </w:r>
      <w:r w:rsidR="00E66DD7" w:rsidRPr="00D869E3">
        <w:rPr>
          <w:rFonts w:ascii="Verdana" w:hAnsi="Verdana"/>
          <w:sz w:val="20"/>
          <w:szCs w:val="20"/>
          <w:lang w:val="en-US"/>
        </w:rPr>
        <w:t xml:space="preserve"> </w:t>
      </w:r>
      <w:r w:rsidR="000B2E5E" w:rsidRPr="00D869E3">
        <w:rPr>
          <w:rFonts w:ascii="Verdana" w:hAnsi="Verdana"/>
          <w:sz w:val="20"/>
          <w:szCs w:val="20"/>
          <w:lang w:val="en-US"/>
        </w:rPr>
        <w:t>the right to</w:t>
      </w:r>
      <w:r w:rsidR="00E1338C" w:rsidRPr="00D869E3">
        <w:rPr>
          <w:rFonts w:ascii="Verdana" w:hAnsi="Verdana"/>
          <w:sz w:val="20"/>
          <w:szCs w:val="20"/>
          <w:lang w:val="en-US"/>
        </w:rPr>
        <w:t xml:space="preserve"> contest judicial decisions did not form part of the dispute submitted by</w:t>
      </w:r>
      <w:r w:rsidR="00E66DD7" w:rsidRPr="00D869E3">
        <w:rPr>
          <w:rFonts w:ascii="Verdana" w:hAnsi="Verdana"/>
          <w:sz w:val="20"/>
          <w:szCs w:val="20"/>
          <w:lang w:val="en-US"/>
        </w:rPr>
        <w:t xml:space="preserve"> </w:t>
      </w:r>
      <w:r w:rsidRPr="00D869E3">
        <w:rPr>
          <w:rFonts w:ascii="Verdana" w:hAnsi="Verdana"/>
          <w:sz w:val="20"/>
          <w:szCs w:val="20"/>
          <w:lang w:val="en-US"/>
        </w:rPr>
        <w:t>the Commission</w:t>
      </w:r>
      <w:r w:rsidR="00E66DD7" w:rsidRPr="00D869E3">
        <w:rPr>
          <w:rFonts w:ascii="Verdana" w:hAnsi="Verdana"/>
          <w:sz w:val="20"/>
          <w:szCs w:val="20"/>
          <w:lang w:val="en-US"/>
        </w:rPr>
        <w:t xml:space="preserve">. </w:t>
      </w:r>
      <w:r w:rsidR="00E1338C" w:rsidRPr="00D869E3">
        <w:rPr>
          <w:rFonts w:ascii="Verdana" w:hAnsi="Verdana"/>
          <w:sz w:val="20"/>
          <w:szCs w:val="20"/>
          <w:lang w:val="en-US"/>
        </w:rPr>
        <w:t xml:space="preserve">However, it clarified that, with regard to the </w:t>
      </w:r>
      <w:r w:rsidR="00031A38" w:rsidRPr="00D869E3">
        <w:rPr>
          <w:rFonts w:ascii="Verdana" w:hAnsi="Verdana"/>
          <w:sz w:val="20"/>
          <w:szCs w:val="20"/>
          <w:lang w:val="en-US"/>
        </w:rPr>
        <w:t xml:space="preserve">appeal for annulment </w:t>
      </w:r>
      <w:r w:rsidR="00E1338C" w:rsidRPr="00D869E3">
        <w:rPr>
          <w:rFonts w:ascii="Verdana" w:hAnsi="Verdana"/>
          <w:sz w:val="20"/>
          <w:szCs w:val="20"/>
          <w:lang w:val="en-US"/>
        </w:rPr>
        <w:t xml:space="preserve">filed on September 2, </w:t>
      </w:r>
      <w:r w:rsidR="00E66DD7" w:rsidRPr="00D869E3">
        <w:rPr>
          <w:rFonts w:ascii="Verdana" w:hAnsi="Verdana"/>
          <w:sz w:val="20"/>
          <w:szCs w:val="20"/>
          <w:lang w:val="en-US"/>
        </w:rPr>
        <w:t xml:space="preserve">1991, </w:t>
      </w:r>
      <w:r w:rsidR="003506CC" w:rsidRPr="00D869E3">
        <w:rPr>
          <w:rFonts w:ascii="Verdana" w:hAnsi="Verdana"/>
          <w:sz w:val="20"/>
          <w:szCs w:val="20"/>
          <w:lang w:val="en-US"/>
        </w:rPr>
        <w:t>the Second Labor Court</w:t>
      </w:r>
      <w:r w:rsidR="00E66DD7" w:rsidRPr="00D869E3">
        <w:rPr>
          <w:rFonts w:ascii="Verdana" w:hAnsi="Verdana"/>
          <w:sz w:val="20"/>
          <w:szCs w:val="20"/>
          <w:lang w:val="en-US"/>
        </w:rPr>
        <w:t xml:space="preserve"> </w:t>
      </w:r>
      <w:r w:rsidR="00E1338C" w:rsidRPr="00D869E3">
        <w:rPr>
          <w:rFonts w:ascii="Verdana" w:hAnsi="Verdana"/>
          <w:sz w:val="20"/>
          <w:szCs w:val="20"/>
          <w:lang w:val="en-US"/>
        </w:rPr>
        <w:t>had stated that none of the causes established in article 1085 of the Code of Civil Procedure had been identified and, therefore, declared that nullification was not admissible. Furthermore, the Habeas Corpus and Amparo Law established that the appeal for annulment should be filed before the Supreme Court of Justice</w:t>
      </w:r>
      <w:r w:rsidR="00E66DD7"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312792" w:rsidRPr="00D869E3">
        <w:rPr>
          <w:rFonts w:ascii="Verdana" w:hAnsi="Verdana"/>
          <w:sz w:val="20"/>
          <w:szCs w:val="20"/>
          <w:lang w:val="en-US"/>
        </w:rPr>
        <w:t>Mr. Lagos</w:t>
      </w:r>
      <w:r w:rsidR="00E66DD7" w:rsidRPr="00D869E3">
        <w:rPr>
          <w:rFonts w:ascii="Verdana" w:hAnsi="Verdana"/>
          <w:sz w:val="20"/>
          <w:szCs w:val="20"/>
          <w:lang w:val="en-US"/>
        </w:rPr>
        <w:t xml:space="preserve"> </w:t>
      </w:r>
      <w:r w:rsidR="00E1338C" w:rsidRPr="00D869E3">
        <w:rPr>
          <w:rFonts w:ascii="Verdana" w:hAnsi="Verdana"/>
          <w:sz w:val="20"/>
          <w:szCs w:val="20"/>
          <w:lang w:val="en-US"/>
        </w:rPr>
        <w:t xml:space="preserve">filed this </w:t>
      </w:r>
      <w:r w:rsidR="00031A38" w:rsidRPr="00D869E3">
        <w:rPr>
          <w:rFonts w:ascii="Verdana" w:hAnsi="Verdana"/>
          <w:sz w:val="20"/>
          <w:szCs w:val="20"/>
          <w:lang w:val="en-US"/>
        </w:rPr>
        <w:t>appeal</w:t>
      </w:r>
      <w:r w:rsidR="00E1338C" w:rsidRPr="00D869E3">
        <w:rPr>
          <w:rFonts w:ascii="Verdana" w:hAnsi="Verdana"/>
          <w:sz w:val="20"/>
          <w:szCs w:val="20"/>
          <w:lang w:val="en-US"/>
        </w:rPr>
        <w:t xml:space="preserve"> on</w:t>
      </w:r>
      <w:r w:rsidR="00E66DD7" w:rsidRPr="00D869E3">
        <w:rPr>
          <w:rFonts w:ascii="Verdana" w:hAnsi="Verdana"/>
          <w:sz w:val="20"/>
          <w:szCs w:val="20"/>
          <w:lang w:val="en-US"/>
        </w:rPr>
        <w:t xml:space="preserve"> </w:t>
      </w:r>
      <w:r w:rsidR="001E3B42" w:rsidRPr="00D869E3">
        <w:rPr>
          <w:rFonts w:ascii="Verdana" w:hAnsi="Verdana"/>
          <w:sz w:val="20"/>
          <w:szCs w:val="20"/>
          <w:lang w:val="en-US"/>
        </w:rPr>
        <w:t>August 26,</w:t>
      </w:r>
      <w:r w:rsidR="00E66DD7" w:rsidRPr="00D869E3">
        <w:rPr>
          <w:rFonts w:ascii="Verdana" w:hAnsi="Verdana"/>
          <w:sz w:val="20"/>
          <w:szCs w:val="20"/>
          <w:lang w:val="en-US"/>
        </w:rPr>
        <w:t xml:space="preserve"> 1992. </w:t>
      </w:r>
      <w:r w:rsidR="00674572" w:rsidRPr="00D869E3">
        <w:rPr>
          <w:rFonts w:ascii="Verdana" w:hAnsi="Verdana"/>
          <w:sz w:val="20"/>
          <w:szCs w:val="20"/>
          <w:lang w:val="en-US"/>
        </w:rPr>
        <w:t>The Constitutional and Social Chamber</w:t>
      </w:r>
      <w:r w:rsidRPr="00D869E3">
        <w:rPr>
          <w:rFonts w:ascii="Verdana" w:hAnsi="Verdana"/>
          <w:sz w:val="20"/>
          <w:szCs w:val="20"/>
          <w:lang w:val="en-US"/>
        </w:rPr>
        <w:t xml:space="preserve"> of the </w:t>
      </w:r>
      <w:r w:rsidR="00EB5E2E" w:rsidRPr="00D869E3">
        <w:rPr>
          <w:rFonts w:ascii="Verdana" w:hAnsi="Verdana"/>
          <w:sz w:val="20"/>
          <w:szCs w:val="20"/>
          <w:lang w:val="en-US"/>
        </w:rPr>
        <w:t>Supreme Court</w:t>
      </w:r>
      <w:r w:rsidR="00E66DD7" w:rsidRPr="00D869E3">
        <w:rPr>
          <w:rFonts w:ascii="Verdana" w:hAnsi="Verdana"/>
          <w:sz w:val="20"/>
          <w:szCs w:val="20"/>
          <w:lang w:val="en-US"/>
        </w:rPr>
        <w:t xml:space="preserve"> </w:t>
      </w:r>
      <w:r w:rsidR="00E1338C" w:rsidRPr="00D869E3">
        <w:rPr>
          <w:rFonts w:ascii="Verdana" w:hAnsi="Verdana"/>
          <w:sz w:val="20"/>
          <w:szCs w:val="20"/>
          <w:lang w:val="en-US"/>
        </w:rPr>
        <w:t xml:space="preserve">ruled on this remedy on March 15, 1993, declaring that annulment was not admissible. In light of the dismissal of the appeal for annulment, he should have filed the appeal for cassation in relation to the judicial decisions rejecting applications for amparo, </w:t>
      </w:r>
      <w:r w:rsidR="00CA421A" w:rsidRPr="00D869E3">
        <w:rPr>
          <w:rFonts w:ascii="Verdana" w:hAnsi="Verdana"/>
          <w:sz w:val="20"/>
          <w:szCs w:val="20"/>
          <w:lang w:val="en-US"/>
        </w:rPr>
        <w:t>and this appeal should have been filed within 15 days of the decision rejecting the application. The Third Specialized Civil Chamber’s ruling of June 24, 1997, determined that the time frame for filing the cassation had expired. And this was so because</w:t>
      </w:r>
      <w:r w:rsidR="00031A38" w:rsidRPr="00D869E3">
        <w:rPr>
          <w:rFonts w:ascii="Verdana" w:hAnsi="Verdana"/>
          <w:sz w:val="20"/>
          <w:szCs w:val="20"/>
          <w:lang w:val="en-US"/>
        </w:rPr>
        <w:t>,</w:t>
      </w:r>
      <w:r w:rsidR="00CA421A" w:rsidRPr="00D869E3">
        <w:rPr>
          <w:rFonts w:ascii="Verdana" w:hAnsi="Verdana"/>
          <w:sz w:val="20"/>
          <w:szCs w:val="20"/>
          <w:lang w:val="en-US"/>
        </w:rPr>
        <w:t xml:space="preserve"> </w:t>
      </w:r>
      <w:r w:rsidR="00031A38" w:rsidRPr="00D869E3">
        <w:rPr>
          <w:rFonts w:ascii="Verdana" w:hAnsi="Verdana"/>
          <w:sz w:val="20"/>
          <w:szCs w:val="20"/>
          <w:lang w:val="en-US"/>
        </w:rPr>
        <w:t xml:space="preserve">even </w:t>
      </w:r>
      <w:r w:rsidR="00CA421A" w:rsidRPr="00D869E3">
        <w:rPr>
          <w:rFonts w:ascii="Verdana" w:hAnsi="Verdana"/>
          <w:sz w:val="20"/>
          <w:szCs w:val="20"/>
          <w:lang w:val="en-US"/>
        </w:rPr>
        <w:t>though the Court of Constitutional Guarantees was not functioning, those cassation appeals that had been filed opportunely at the time when the presumed victim should have filed his appeal, were decided by the Constitutional Court years later. Regarding the appeals filed by</w:t>
      </w:r>
      <w:r w:rsidR="00CA421A" w:rsidRPr="00D869E3">
        <w:rPr>
          <w:rFonts w:ascii="Verdana" w:hAnsi="Verdana"/>
          <w:b/>
          <w:sz w:val="20"/>
          <w:szCs w:val="20"/>
          <w:lang w:val="en-US"/>
        </w:rPr>
        <w:t xml:space="preserve"> </w:t>
      </w:r>
      <w:r w:rsidR="001E44D3" w:rsidRPr="00D869E3">
        <w:rPr>
          <w:rFonts w:ascii="Verdana" w:hAnsi="Verdana"/>
          <w:sz w:val="20"/>
          <w:szCs w:val="20"/>
          <w:lang w:val="en-US"/>
        </w:rPr>
        <w:t>Mr. Lagos del Campo</w:t>
      </w:r>
      <w:r w:rsidR="00966115" w:rsidRPr="00D869E3">
        <w:rPr>
          <w:rFonts w:ascii="Verdana" w:hAnsi="Verdana"/>
          <w:sz w:val="20"/>
          <w:szCs w:val="20"/>
          <w:lang w:val="en-US"/>
        </w:rPr>
        <w:t xml:space="preserve"> before the</w:t>
      </w:r>
      <w:r w:rsidR="00EB5E2E" w:rsidRPr="00D869E3">
        <w:rPr>
          <w:rFonts w:ascii="Verdana" w:hAnsi="Verdana"/>
          <w:sz w:val="20"/>
          <w:szCs w:val="20"/>
          <w:lang w:val="en-US"/>
        </w:rPr>
        <w:t xml:space="preserve"> Social and Constitutional Law Chamber</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the </w:t>
      </w:r>
      <w:r w:rsidR="00EB5E2E" w:rsidRPr="00D869E3">
        <w:rPr>
          <w:rFonts w:ascii="Verdana" w:hAnsi="Verdana"/>
          <w:sz w:val="20"/>
          <w:szCs w:val="20"/>
          <w:lang w:val="en-US"/>
        </w:rPr>
        <w:t>Supreme Court</w:t>
      </w:r>
      <w:r w:rsidR="00E66DD7" w:rsidRPr="00D869E3">
        <w:rPr>
          <w:rFonts w:ascii="Verdana" w:hAnsi="Verdana"/>
          <w:sz w:val="20"/>
          <w:szCs w:val="20"/>
          <w:lang w:val="en-US"/>
        </w:rPr>
        <w:t xml:space="preserve">, </w:t>
      </w:r>
      <w:r w:rsidRPr="00D869E3">
        <w:rPr>
          <w:rFonts w:ascii="Verdana" w:hAnsi="Verdana"/>
          <w:sz w:val="20"/>
          <w:szCs w:val="20"/>
          <w:lang w:val="en-US"/>
        </w:rPr>
        <w:t>the State</w:t>
      </w:r>
      <w:r w:rsidR="00E66DD7" w:rsidRPr="00D869E3">
        <w:rPr>
          <w:rFonts w:ascii="Verdana" w:hAnsi="Verdana"/>
          <w:sz w:val="20"/>
          <w:szCs w:val="20"/>
          <w:lang w:val="en-US"/>
        </w:rPr>
        <w:t xml:space="preserve"> </w:t>
      </w:r>
      <w:r w:rsidR="00CA421A" w:rsidRPr="00D869E3">
        <w:rPr>
          <w:rFonts w:ascii="Verdana" w:hAnsi="Verdana"/>
          <w:sz w:val="20"/>
          <w:szCs w:val="20"/>
          <w:lang w:val="en-US"/>
        </w:rPr>
        <w:t xml:space="preserve">argued that the appeal for review and reconsideration was not established in Peruvian </w:t>
      </w:r>
      <w:r w:rsidR="00031A38" w:rsidRPr="00D869E3">
        <w:rPr>
          <w:rFonts w:ascii="Verdana" w:hAnsi="Verdana"/>
          <w:sz w:val="20"/>
          <w:szCs w:val="20"/>
          <w:lang w:val="en-US"/>
        </w:rPr>
        <w:t>legislation</w:t>
      </w:r>
      <w:r w:rsidR="00CA421A" w:rsidRPr="00D869E3">
        <w:rPr>
          <w:rFonts w:ascii="Verdana" w:hAnsi="Verdana"/>
          <w:sz w:val="20"/>
          <w:szCs w:val="20"/>
          <w:lang w:val="en-US"/>
        </w:rPr>
        <w:t xml:space="preserve"> in the context of labor proceedings; therefore, it was logical to conclude that the filing of an appeal that was not established by law was inherently inadmissible and the same could be said for the appeals filed on March 30 and April 28, 1993. In addition, the State </w:t>
      </w:r>
      <w:r w:rsidR="00CA421A" w:rsidRPr="00D869E3">
        <w:rPr>
          <w:rFonts w:ascii="Verdana" w:hAnsi="Verdana"/>
          <w:sz w:val="20"/>
          <w:szCs w:val="20"/>
          <w:lang w:val="en-US"/>
        </w:rPr>
        <w:lastRenderedPageBreak/>
        <w:t>underlined that, regarding the appeals filed after July 1996, these “were not established by law or were subject to the statute of limitations; therefore, it was foreseeable that they would be ineffective.” The State indicated that many of the appeals filed had serious flaws in their elaboration and with regard to compliance with procedural requirements</w:t>
      </w:r>
      <w:r w:rsidR="00D858A4" w:rsidRPr="00D869E3">
        <w:rPr>
          <w:rFonts w:ascii="Verdana" w:hAnsi="Verdana"/>
          <w:sz w:val="20"/>
          <w:szCs w:val="20"/>
          <w:lang w:val="en-US"/>
        </w:rPr>
        <w:t>; in other words, they were preordained to be declared inadmissible immediately</w:t>
      </w:r>
      <w:r w:rsidR="00EE4766" w:rsidRPr="00D869E3">
        <w:rPr>
          <w:rFonts w:ascii="Verdana" w:hAnsi="Verdana"/>
          <w:sz w:val="20"/>
          <w:szCs w:val="20"/>
          <w:lang w:val="en-US"/>
        </w:rPr>
        <w:t xml:space="preserve"> </w:t>
      </w:r>
      <w:r w:rsidR="0013567C" w:rsidRPr="00D869E3">
        <w:rPr>
          <w:rFonts w:ascii="Verdana" w:hAnsi="Verdana"/>
          <w:sz w:val="20"/>
          <w:szCs w:val="20"/>
          <w:lang w:val="en-US"/>
        </w:rPr>
        <w:t>[…]</w:t>
      </w:r>
      <w:r w:rsidR="00D858A4" w:rsidRPr="00D869E3">
        <w:rPr>
          <w:rFonts w:ascii="Verdana" w:hAnsi="Verdana"/>
          <w:sz w:val="20"/>
          <w:szCs w:val="20"/>
          <w:lang w:val="en-US"/>
        </w:rPr>
        <w:t>.</w:t>
      </w:r>
      <w:r w:rsidR="006436CA" w:rsidRPr="00D869E3">
        <w:rPr>
          <w:rFonts w:ascii="Verdana" w:hAnsi="Verdana"/>
          <w:sz w:val="20"/>
          <w:szCs w:val="20"/>
          <w:lang w:val="en-US"/>
        </w:rPr>
        <w:t>”</w:t>
      </w:r>
      <w:r w:rsidR="00E66DD7" w:rsidRPr="00D869E3">
        <w:rPr>
          <w:rFonts w:ascii="Verdana" w:hAnsi="Verdana"/>
          <w:sz w:val="20"/>
          <w:szCs w:val="20"/>
          <w:lang w:val="en-US"/>
        </w:rPr>
        <w:t xml:space="preserve"> </w:t>
      </w:r>
    </w:p>
    <w:p w14:paraId="25C3FBE6" w14:textId="77777777" w:rsidR="00E66DD7" w:rsidRPr="00D869E3" w:rsidRDefault="00E66DD7" w:rsidP="00E66DD7">
      <w:pPr>
        <w:jc w:val="both"/>
        <w:rPr>
          <w:rFonts w:ascii="Verdana" w:hAnsi="Verdana"/>
          <w:b/>
          <w:sz w:val="20"/>
          <w:szCs w:val="20"/>
          <w:lang w:val="en-US"/>
        </w:rPr>
      </w:pPr>
    </w:p>
    <w:p w14:paraId="6AA3748E" w14:textId="76E069A2" w:rsidR="00E66DD7" w:rsidRPr="00D869E3" w:rsidRDefault="00447C6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E66DD7" w:rsidRPr="00D869E3">
        <w:rPr>
          <w:rFonts w:ascii="Verdana" w:hAnsi="Verdana"/>
          <w:sz w:val="20"/>
          <w:szCs w:val="20"/>
          <w:lang w:val="en-US"/>
        </w:rPr>
        <w:t xml:space="preserve"> </w:t>
      </w:r>
      <w:r w:rsidR="00D858A4" w:rsidRPr="00D869E3">
        <w:rPr>
          <w:rFonts w:ascii="Verdana" w:hAnsi="Verdana"/>
          <w:sz w:val="20"/>
          <w:szCs w:val="20"/>
          <w:lang w:val="en-US"/>
        </w:rPr>
        <w:t>did not address this matter</w:t>
      </w:r>
      <w:r w:rsidR="00E66DD7" w:rsidRPr="00D869E3">
        <w:rPr>
          <w:rFonts w:ascii="Verdana" w:hAnsi="Verdana"/>
          <w:sz w:val="20"/>
          <w:szCs w:val="20"/>
          <w:lang w:val="en-US"/>
        </w:rPr>
        <w:t xml:space="preserve">. </w:t>
      </w:r>
    </w:p>
    <w:p w14:paraId="1BBB48CD" w14:textId="77777777" w:rsidR="00E66DD7" w:rsidRPr="00D869E3" w:rsidRDefault="00E66DD7" w:rsidP="00E66DD7">
      <w:pPr>
        <w:jc w:val="both"/>
        <w:rPr>
          <w:rFonts w:ascii="Verdana" w:hAnsi="Verdana"/>
          <w:b/>
          <w:i/>
          <w:sz w:val="20"/>
          <w:szCs w:val="20"/>
          <w:lang w:val="en-US"/>
        </w:rPr>
      </w:pPr>
    </w:p>
    <w:p w14:paraId="7AE49272" w14:textId="704DF32E" w:rsidR="00E66DD7" w:rsidRPr="00D869E3" w:rsidRDefault="001D1B96" w:rsidP="00E66DD7">
      <w:pPr>
        <w:pStyle w:val="Ttulo2"/>
        <w:numPr>
          <w:ilvl w:val="0"/>
          <w:numId w:val="23"/>
        </w:numPr>
        <w:rPr>
          <w:i/>
          <w:szCs w:val="20"/>
          <w:lang w:val="en-US"/>
        </w:rPr>
      </w:pPr>
      <w:bookmarkStart w:id="60" w:name="_Toc29114147"/>
      <w:r w:rsidRPr="00D869E3">
        <w:rPr>
          <w:i/>
          <w:szCs w:val="20"/>
          <w:lang w:val="en-US"/>
        </w:rPr>
        <w:t>Considerations</w:t>
      </w:r>
      <w:r w:rsidR="00447C65" w:rsidRPr="00D869E3">
        <w:rPr>
          <w:i/>
          <w:szCs w:val="20"/>
          <w:lang w:val="en-US"/>
        </w:rPr>
        <w:t xml:space="preserve"> of the Court</w:t>
      </w:r>
      <w:bookmarkEnd w:id="60"/>
    </w:p>
    <w:p w14:paraId="2DD3258A" w14:textId="77777777" w:rsidR="00E66DD7" w:rsidRPr="00D869E3" w:rsidRDefault="00E66DD7" w:rsidP="00E66DD7">
      <w:pPr>
        <w:contextualSpacing/>
        <w:jc w:val="both"/>
        <w:rPr>
          <w:rFonts w:ascii="Verdana" w:hAnsi="Verdana"/>
          <w:sz w:val="20"/>
          <w:szCs w:val="20"/>
          <w:lang w:val="en-US"/>
        </w:rPr>
      </w:pPr>
    </w:p>
    <w:p w14:paraId="638CB34A" w14:textId="2BCC7D8A" w:rsidR="00E66DD7" w:rsidRPr="00D869E3" w:rsidRDefault="00447C65" w:rsidP="00901386">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The Court</w:t>
      </w:r>
      <w:r w:rsidR="00E66DD7" w:rsidRPr="00D869E3">
        <w:rPr>
          <w:rFonts w:ascii="Verdana" w:hAnsi="Verdana"/>
          <w:sz w:val="20"/>
          <w:szCs w:val="20"/>
          <w:lang w:val="en-US"/>
        </w:rPr>
        <w:t xml:space="preserve"> rec</w:t>
      </w:r>
      <w:r w:rsidR="00D858A4" w:rsidRPr="00D869E3">
        <w:rPr>
          <w:rFonts w:ascii="Verdana" w:hAnsi="Verdana"/>
          <w:sz w:val="20"/>
          <w:szCs w:val="20"/>
          <w:lang w:val="en-US"/>
        </w:rPr>
        <w:t xml:space="preserve">alls that, with the second instance decision, the State annulled the judgment of the lower court and declared that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D858A4" w:rsidRPr="00D869E3">
        <w:rPr>
          <w:rFonts w:ascii="Verdana" w:hAnsi="Verdana"/>
          <w:sz w:val="20"/>
          <w:szCs w:val="20"/>
          <w:lang w:val="en-US"/>
        </w:rPr>
        <w:t>’s dismissal was “justified.” Consequently, he had recourse to different courts in order to assert his rights</w:t>
      </w:r>
      <w:r w:rsidR="00E66DD7" w:rsidRPr="00D869E3">
        <w:rPr>
          <w:rFonts w:ascii="Verdana" w:hAnsi="Verdana"/>
          <w:sz w:val="20"/>
          <w:szCs w:val="20"/>
          <w:lang w:val="en-US"/>
        </w:rPr>
        <w:t xml:space="preserve"> (</w:t>
      </w:r>
      <w:r w:rsidR="00E66DD7" w:rsidRPr="00D869E3">
        <w:rPr>
          <w:rFonts w:ascii="Verdana" w:hAnsi="Verdana"/>
          <w:i/>
          <w:sz w:val="20"/>
          <w:szCs w:val="20"/>
          <w:lang w:val="en-US"/>
        </w:rPr>
        <w:t>supra</w:t>
      </w:r>
      <w:r w:rsidR="00E66DD7" w:rsidRPr="00D869E3">
        <w:rPr>
          <w:rFonts w:ascii="Verdana" w:hAnsi="Verdana"/>
          <w:sz w:val="20"/>
          <w:szCs w:val="20"/>
          <w:lang w:val="en-US"/>
        </w:rPr>
        <w:t xml:space="preserve"> </w:t>
      </w:r>
      <w:r w:rsidR="0087339F" w:rsidRPr="00D869E3">
        <w:rPr>
          <w:rFonts w:ascii="Verdana" w:hAnsi="Verdana"/>
          <w:sz w:val="20"/>
          <w:szCs w:val="20"/>
          <w:lang w:val="en-US"/>
        </w:rPr>
        <w:t>paras.</w:t>
      </w:r>
      <w:r w:rsidR="00E66DD7" w:rsidRPr="00D869E3">
        <w:rPr>
          <w:rFonts w:ascii="Verdana" w:hAnsi="Verdana"/>
          <w:sz w:val="20"/>
          <w:szCs w:val="20"/>
          <w:lang w:val="en-US"/>
        </w:rPr>
        <w:t xml:space="preserve"> </w:t>
      </w:r>
      <w:r w:rsidR="00444E07" w:rsidRPr="00D869E3">
        <w:rPr>
          <w:rFonts w:ascii="Verdana" w:hAnsi="Verdana"/>
          <w:sz w:val="20"/>
          <w:szCs w:val="20"/>
          <w:lang w:val="en-US"/>
        </w:rPr>
        <w:t xml:space="preserve">63 </w:t>
      </w:r>
      <w:r w:rsidR="00D858A4" w:rsidRPr="00D869E3">
        <w:rPr>
          <w:rFonts w:ascii="Verdana" w:hAnsi="Verdana"/>
          <w:sz w:val="20"/>
          <w:szCs w:val="20"/>
          <w:lang w:val="en-US"/>
        </w:rPr>
        <w:t>to</w:t>
      </w:r>
      <w:r w:rsidR="00444E07" w:rsidRPr="00D869E3">
        <w:rPr>
          <w:rFonts w:ascii="Verdana" w:hAnsi="Verdana"/>
          <w:sz w:val="20"/>
          <w:szCs w:val="20"/>
          <w:lang w:val="en-US"/>
        </w:rPr>
        <w:t xml:space="preserve"> 70). </w:t>
      </w:r>
      <w:r w:rsidR="00BB61A6" w:rsidRPr="00D869E3">
        <w:rPr>
          <w:rFonts w:ascii="Verdana" w:hAnsi="Verdana"/>
          <w:sz w:val="20"/>
          <w:szCs w:val="20"/>
          <w:lang w:val="en-US"/>
        </w:rPr>
        <w:t xml:space="preserve">In </w:t>
      </w:r>
      <w:r w:rsidR="00D858A4" w:rsidRPr="00D869E3">
        <w:rPr>
          <w:rFonts w:ascii="Verdana" w:hAnsi="Verdana"/>
          <w:sz w:val="20"/>
          <w:szCs w:val="20"/>
          <w:lang w:val="en-US"/>
        </w:rPr>
        <w:t xml:space="preserve">this regard, the dispute in this section consists in determining whether </w:t>
      </w:r>
      <w:r w:rsidR="001E44D3" w:rsidRPr="00D869E3">
        <w:rPr>
          <w:rFonts w:ascii="Verdana" w:hAnsi="Verdana"/>
          <w:sz w:val="20"/>
          <w:szCs w:val="20"/>
          <w:lang w:val="en-US"/>
        </w:rPr>
        <w:t>Mr. Lagos del Campo</w:t>
      </w:r>
      <w:r w:rsidR="00D858A4" w:rsidRPr="00D869E3">
        <w:rPr>
          <w:rFonts w:ascii="Verdana" w:hAnsi="Verdana"/>
          <w:sz w:val="20"/>
          <w:szCs w:val="20"/>
          <w:lang w:val="en-US"/>
        </w:rPr>
        <w:t xml:space="preserve"> had </w:t>
      </w:r>
      <w:r w:rsidR="00031A38" w:rsidRPr="00D869E3">
        <w:rPr>
          <w:rFonts w:ascii="Verdana" w:hAnsi="Verdana"/>
          <w:sz w:val="20"/>
          <w:szCs w:val="20"/>
          <w:lang w:val="en-US"/>
        </w:rPr>
        <w:t>a</w:t>
      </w:r>
      <w:r w:rsidR="00D858A4" w:rsidRPr="00D869E3">
        <w:rPr>
          <w:rFonts w:ascii="Verdana" w:hAnsi="Verdana"/>
          <w:sz w:val="20"/>
          <w:szCs w:val="20"/>
          <w:lang w:val="en-US"/>
        </w:rPr>
        <w:t xml:space="preserve">ccess to justice to protect his labor rights, in particular </w:t>
      </w:r>
      <w:r w:rsidR="000B2E5E" w:rsidRPr="00D869E3">
        <w:rPr>
          <w:rFonts w:ascii="Verdana" w:hAnsi="Verdana"/>
          <w:sz w:val="20"/>
          <w:szCs w:val="20"/>
          <w:lang w:val="en-US"/>
        </w:rPr>
        <w:t>the right to</w:t>
      </w:r>
      <w:r w:rsidR="00E66DD7" w:rsidRPr="00D869E3">
        <w:rPr>
          <w:rFonts w:ascii="Verdana" w:hAnsi="Verdana"/>
          <w:sz w:val="20"/>
          <w:szCs w:val="20"/>
          <w:lang w:val="en-US"/>
        </w:rPr>
        <w:t xml:space="preserve"> </w:t>
      </w:r>
      <w:r w:rsidR="00D858A4" w:rsidRPr="00D869E3">
        <w:rPr>
          <w:rFonts w:ascii="Verdana" w:hAnsi="Verdana"/>
          <w:sz w:val="20"/>
          <w:szCs w:val="20"/>
          <w:lang w:val="en-US"/>
        </w:rPr>
        <w:t>job security in light of his dismissal, a right recognized in the State’s domestic laws.</w:t>
      </w:r>
    </w:p>
    <w:p w14:paraId="4FB86FB4" w14:textId="77777777" w:rsidR="00D858A4" w:rsidRPr="00D869E3" w:rsidRDefault="00D858A4" w:rsidP="00D858A4">
      <w:pPr>
        <w:contextualSpacing/>
        <w:jc w:val="both"/>
        <w:rPr>
          <w:rFonts w:ascii="Verdana" w:hAnsi="Verdana"/>
          <w:b/>
          <w:sz w:val="20"/>
          <w:szCs w:val="20"/>
          <w:lang w:val="en-US"/>
        </w:rPr>
      </w:pPr>
    </w:p>
    <w:p w14:paraId="27C709B5" w14:textId="473D44E0" w:rsidR="00E66DD7" w:rsidRPr="00D869E3" w:rsidRDefault="00D858A4" w:rsidP="00E66DD7">
      <w:pPr>
        <w:numPr>
          <w:ilvl w:val="0"/>
          <w:numId w:val="1"/>
        </w:numPr>
        <w:ind w:left="0" w:firstLine="0"/>
        <w:contextualSpacing/>
        <w:jc w:val="both"/>
        <w:rPr>
          <w:rFonts w:ascii="Verdana" w:hAnsi="Verdana"/>
          <w:b/>
          <w:sz w:val="20"/>
          <w:szCs w:val="20"/>
          <w:lang w:val="en-US"/>
        </w:rPr>
      </w:pPr>
      <w:r w:rsidRPr="00D869E3">
        <w:rPr>
          <w:rFonts w:ascii="Verdana" w:hAnsi="Verdana"/>
          <w:sz w:val="20"/>
          <w:szCs w:val="20"/>
          <w:lang w:val="en-US"/>
        </w:rPr>
        <w:t>In the instant case</w:t>
      </w:r>
      <w:r w:rsidR="00E66DD7" w:rsidRPr="00D869E3">
        <w:rPr>
          <w:rFonts w:ascii="Verdana" w:hAnsi="Verdana"/>
          <w:sz w:val="20"/>
          <w:szCs w:val="20"/>
          <w:lang w:val="en-US"/>
        </w:rPr>
        <w:t xml:space="preserve">, </w:t>
      </w:r>
      <w:r w:rsidRPr="00D869E3">
        <w:rPr>
          <w:rFonts w:ascii="Verdana" w:hAnsi="Verdana"/>
          <w:sz w:val="20"/>
          <w:szCs w:val="20"/>
          <w:lang w:val="en-US"/>
        </w:rPr>
        <w:t>although</w:t>
      </w:r>
      <w:r w:rsidR="005D293B" w:rsidRPr="00D869E3">
        <w:rPr>
          <w:rFonts w:ascii="Verdana" w:hAnsi="Verdana"/>
          <w:sz w:val="20"/>
          <w:szCs w:val="20"/>
          <w:lang w:val="en-US"/>
        </w:rPr>
        <w:t>,</w:t>
      </w:r>
      <w:r w:rsidRPr="00D869E3">
        <w:rPr>
          <w:rFonts w:ascii="Verdana" w:hAnsi="Verdana"/>
          <w:sz w:val="20"/>
          <w:szCs w:val="20"/>
          <w:lang w:val="en-US"/>
        </w:rPr>
        <w:t xml:space="preserve"> before this Court</w:t>
      </w:r>
      <w:r w:rsidR="005D293B" w:rsidRPr="00D869E3">
        <w:rPr>
          <w:rFonts w:ascii="Verdana" w:hAnsi="Verdana"/>
          <w:sz w:val="20"/>
          <w:szCs w:val="20"/>
          <w:lang w:val="en-US"/>
        </w:rPr>
        <w:t>,</w:t>
      </w:r>
      <w:r w:rsidR="00E66DD7" w:rsidRPr="00D869E3">
        <w:rPr>
          <w:rFonts w:ascii="Verdana" w:hAnsi="Verdana"/>
          <w:sz w:val="20"/>
          <w:szCs w:val="20"/>
          <w:vertAlign w:val="superscript"/>
          <w:lang w:val="en-US"/>
        </w:rPr>
        <w:footnoteReference w:id="237"/>
      </w:r>
      <w:r w:rsidR="00E66DD7" w:rsidRPr="00D869E3">
        <w:rPr>
          <w:rFonts w:ascii="Verdana" w:hAnsi="Verdana"/>
          <w:sz w:val="20"/>
          <w:szCs w:val="20"/>
          <w:lang w:val="en-US"/>
        </w:rPr>
        <w:t xml:space="preserve"> </w:t>
      </w:r>
      <w:r w:rsidR="00740A0C" w:rsidRPr="00D869E3">
        <w:rPr>
          <w:rFonts w:ascii="Verdana" w:hAnsi="Verdana"/>
          <w:sz w:val="20"/>
          <w:szCs w:val="20"/>
          <w:lang w:val="en-US"/>
        </w:rPr>
        <w:t xml:space="preserve">the representatives have alluded to the absence of a remedy to contest the final judgment under Article 8 of the Convention, the Court finds that, based on the </w:t>
      </w:r>
      <w:r w:rsidR="00E66DD7" w:rsidRPr="00D869E3">
        <w:rPr>
          <w:rFonts w:ascii="Verdana" w:hAnsi="Verdana"/>
          <w:i/>
          <w:sz w:val="20"/>
          <w:szCs w:val="20"/>
          <w:lang w:val="en-US"/>
        </w:rPr>
        <w:t xml:space="preserve">iura novit curia </w:t>
      </w:r>
      <w:r w:rsidR="00740A0C" w:rsidRPr="00D869E3">
        <w:rPr>
          <w:rFonts w:ascii="Verdana" w:hAnsi="Verdana"/>
          <w:iCs/>
          <w:sz w:val="20"/>
          <w:szCs w:val="20"/>
          <w:lang w:val="en-US"/>
        </w:rPr>
        <w:t xml:space="preserve">principle </w:t>
      </w:r>
      <w:r w:rsidR="00E66DD7" w:rsidRPr="00D869E3">
        <w:rPr>
          <w:rFonts w:ascii="Verdana" w:hAnsi="Verdana"/>
          <w:iCs/>
          <w:sz w:val="20"/>
          <w:szCs w:val="20"/>
          <w:lang w:val="en-US"/>
        </w:rPr>
        <w:t>(</w:t>
      </w:r>
      <w:r w:rsidR="00E66DD7" w:rsidRPr="00D869E3">
        <w:rPr>
          <w:rFonts w:ascii="Verdana" w:hAnsi="Verdana"/>
          <w:i/>
          <w:sz w:val="20"/>
          <w:szCs w:val="20"/>
          <w:lang w:val="en-US"/>
        </w:rPr>
        <w:t>supra,</w:t>
      </w:r>
      <w:r w:rsidR="00E66DD7" w:rsidRPr="00D869E3">
        <w:rPr>
          <w:rFonts w:ascii="Verdana" w:hAnsi="Verdana"/>
          <w:sz w:val="20"/>
          <w:szCs w:val="20"/>
          <w:lang w:val="en-US"/>
        </w:rPr>
        <w:t xml:space="preserve"> </w:t>
      </w:r>
      <w:r w:rsidR="0087339F" w:rsidRPr="00D869E3">
        <w:rPr>
          <w:rFonts w:ascii="Verdana" w:hAnsi="Verdana"/>
          <w:sz w:val="20"/>
          <w:szCs w:val="20"/>
          <w:lang w:val="en-US"/>
        </w:rPr>
        <w:t>para.</w:t>
      </w:r>
      <w:r w:rsidR="00DD5817" w:rsidRPr="00D869E3">
        <w:rPr>
          <w:rFonts w:ascii="Verdana" w:hAnsi="Verdana"/>
          <w:sz w:val="20"/>
          <w:szCs w:val="20"/>
          <w:lang w:val="en-US"/>
        </w:rPr>
        <w:t xml:space="preserve"> </w:t>
      </w:r>
      <w:r w:rsidR="00444E07" w:rsidRPr="00D869E3">
        <w:rPr>
          <w:rFonts w:ascii="Verdana" w:hAnsi="Verdana"/>
          <w:sz w:val="20"/>
          <w:szCs w:val="20"/>
          <w:lang w:val="en-US"/>
        </w:rPr>
        <w:t>139</w:t>
      </w:r>
      <w:r w:rsidR="00E66DD7" w:rsidRPr="00D869E3">
        <w:rPr>
          <w:rFonts w:ascii="Verdana" w:hAnsi="Verdana"/>
          <w:i/>
          <w:sz w:val="20"/>
          <w:szCs w:val="20"/>
          <w:lang w:val="en-US"/>
        </w:rPr>
        <w:t xml:space="preserve">), </w:t>
      </w:r>
      <w:r w:rsidR="00740A0C" w:rsidRPr="00D869E3">
        <w:rPr>
          <w:rFonts w:ascii="Verdana" w:hAnsi="Verdana"/>
          <w:sz w:val="20"/>
          <w:szCs w:val="20"/>
          <w:lang w:val="en-US"/>
        </w:rPr>
        <w:t xml:space="preserve">the said arguments relating to the appeals made following the final decision </w:t>
      </w:r>
      <w:r w:rsidR="003506CC" w:rsidRPr="00D869E3">
        <w:rPr>
          <w:rFonts w:ascii="Verdana" w:hAnsi="Verdana"/>
          <w:sz w:val="20"/>
          <w:szCs w:val="20"/>
          <w:lang w:val="en-US"/>
        </w:rPr>
        <w:t xml:space="preserve">of the </w:t>
      </w:r>
      <w:r w:rsidR="00966115" w:rsidRPr="00D869E3">
        <w:rPr>
          <w:rFonts w:ascii="Verdana" w:hAnsi="Verdana"/>
          <w:sz w:val="20"/>
          <w:szCs w:val="20"/>
          <w:lang w:val="en-US"/>
        </w:rPr>
        <w:t>Second Labor Court</w:t>
      </w:r>
      <w:r w:rsidR="00E66DD7" w:rsidRPr="00D869E3">
        <w:rPr>
          <w:rFonts w:ascii="Verdana" w:hAnsi="Verdana"/>
          <w:sz w:val="20"/>
          <w:szCs w:val="20"/>
          <w:lang w:val="en-US"/>
        </w:rPr>
        <w:t xml:space="preserve">, </w:t>
      </w:r>
      <w:r w:rsidR="00740A0C" w:rsidRPr="00D869E3">
        <w:rPr>
          <w:rFonts w:ascii="Verdana" w:hAnsi="Verdana"/>
          <w:sz w:val="20"/>
          <w:szCs w:val="20"/>
          <w:lang w:val="en-US"/>
        </w:rPr>
        <w:t xml:space="preserve">should be analyzed in light of </w:t>
      </w:r>
      <w:r w:rsidR="00447C65" w:rsidRPr="00D869E3">
        <w:rPr>
          <w:rFonts w:ascii="Verdana" w:hAnsi="Verdana"/>
          <w:sz w:val="20"/>
          <w:szCs w:val="20"/>
          <w:lang w:val="en-US"/>
        </w:rPr>
        <w:t>Articles</w:t>
      </w:r>
      <w:r w:rsidR="00E66DD7" w:rsidRPr="00D869E3">
        <w:rPr>
          <w:rFonts w:ascii="Verdana" w:hAnsi="Verdana"/>
          <w:sz w:val="20"/>
          <w:szCs w:val="20"/>
          <w:lang w:val="en-US"/>
        </w:rPr>
        <w:t xml:space="preserve"> 8</w:t>
      </w:r>
      <w:r w:rsidR="00687684" w:rsidRPr="00D869E3">
        <w:rPr>
          <w:rFonts w:ascii="Verdana" w:hAnsi="Verdana"/>
          <w:sz w:val="20"/>
          <w:szCs w:val="20"/>
          <w:lang w:val="en-US"/>
        </w:rPr>
        <w:t xml:space="preserve"> and </w:t>
      </w:r>
      <w:r w:rsidR="00E66DD7" w:rsidRPr="00D869E3">
        <w:rPr>
          <w:rFonts w:ascii="Verdana" w:hAnsi="Verdana"/>
          <w:sz w:val="20"/>
          <w:szCs w:val="20"/>
          <w:lang w:val="en-US"/>
        </w:rPr>
        <w:t>25 (</w:t>
      </w:r>
      <w:r w:rsidR="00740A0C" w:rsidRPr="00D869E3">
        <w:rPr>
          <w:rFonts w:ascii="Verdana" w:hAnsi="Verdana"/>
          <w:sz w:val="20"/>
          <w:szCs w:val="20"/>
          <w:lang w:val="en-US"/>
        </w:rPr>
        <w:t>access to justice</w:t>
      </w:r>
      <w:r w:rsidR="00E66DD7" w:rsidRPr="00D869E3">
        <w:rPr>
          <w:rFonts w:ascii="Verdana" w:hAnsi="Verdana"/>
          <w:sz w:val="20"/>
          <w:szCs w:val="20"/>
          <w:lang w:val="en-US"/>
        </w:rPr>
        <w:t>)</w:t>
      </w:r>
      <w:r w:rsidR="00447C65" w:rsidRPr="00D869E3">
        <w:rPr>
          <w:rFonts w:ascii="Verdana" w:hAnsi="Verdana"/>
          <w:sz w:val="20"/>
          <w:szCs w:val="20"/>
          <w:lang w:val="en-US"/>
        </w:rPr>
        <w:t xml:space="preserve"> of the American Convention</w:t>
      </w:r>
      <w:r w:rsidR="00E66DD7" w:rsidRPr="00D869E3">
        <w:rPr>
          <w:rFonts w:ascii="Verdana" w:hAnsi="Verdana" w:cs="Arial"/>
          <w:sz w:val="20"/>
          <w:szCs w:val="20"/>
          <w:lang w:val="en-US"/>
        </w:rPr>
        <w:t>.</w:t>
      </w:r>
    </w:p>
    <w:p w14:paraId="19CC26D8" w14:textId="77777777" w:rsidR="00E66DD7" w:rsidRPr="00D869E3" w:rsidRDefault="00E66DD7" w:rsidP="00E66DD7">
      <w:pPr>
        <w:contextualSpacing/>
        <w:jc w:val="both"/>
        <w:rPr>
          <w:rFonts w:ascii="Verdana" w:hAnsi="Verdana"/>
          <w:b/>
          <w:sz w:val="20"/>
          <w:szCs w:val="20"/>
          <w:lang w:val="en-US"/>
        </w:rPr>
      </w:pPr>
    </w:p>
    <w:p w14:paraId="47FAE7E3" w14:textId="60285504" w:rsidR="00E66DD7" w:rsidRPr="00D869E3" w:rsidRDefault="00075E68"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447C65" w:rsidRPr="00D869E3">
        <w:rPr>
          <w:rFonts w:ascii="Verdana" w:hAnsi="Verdana"/>
          <w:sz w:val="20"/>
          <w:szCs w:val="20"/>
          <w:lang w:val="en-US"/>
        </w:rPr>
        <w:t>the Court</w:t>
      </w:r>
      <w:r w:rsidR="00E66DD7" w:rsidRPr="00D869E3">
        <w:rPr>
          <w:rFonts w:ascii="Verdana" w:hAnsi="Verdana"/>
          <w:sz w:val="20"/>
          <w:szCs w:val="20"/>
          <w:lang w:val="en-US"/>
        </w:rPr>
        <w:t xml:space="preserve"> </w:t>
      </w:r>
      <w:r w:rsidR="00740A0C" w:rsidRPr="00D869E3">
        <w:rPr>
          <w:rFonts w:ascii="Verdana" w:hAnsi="Verdana"/>
          <w:sz w:val="20"/>
          <w:szCs w:val="20"/>
          <w:lang w:val="en-US"/>
        </w:rPr>
        <w:t xml:space="preserve">notes that the facts relating to this analysis have been aired constantly starting with the </w:t>
      </w:r>
      <w:r w:rsidR="005D293B" w:rsidRPr="00D869E3">
        <w:rPr>
          <w:rFonts w:ascii="Verdana" w:hAnsi="Verdana"/>
          <w:sz w:val="20"/>
          <w:szCs w:val="20"/>
          <w:lang w:val="en-US"/>
        </w:rPr>
        <w:t xml:space="preserve">domestic </w:t>
      </w:r>
      <w:r w:rsidR="00740A0C" w:rsidRPr="00D869E3">
        <w:rPr>
          <w:rFonts w:ascii="Verdana" w:hAnsi="Verdana"/>
          <w:sz w:val="20"/>
          <w:szCs w:val="20"/>
          <w:lang w:val="en-US"/>
        </w:rPr>
        <w:t>proce</w:t>
      </w:r>
      <w:r w:rsidR="005D293B" w:rsidRPr="00D869E3">
        <w:rPr>
          <w:rFonts w:ascii="Verdana" w:hAnsi="Verdana"/>
          <w:sz w:val="20"/>
          <w:szCs w:val="20"/>
          <w:lang w:val="en-US"/>
        </w:rPr>
        <w:t>edings</w:t>
      </w:r>
      <w:r w:rsidR="00E66DD7" w:rsidRPr="00D869E3">
        <w:rPr>
          <w:rFonts w:ascii="Verdana" w:hAnsi="Verdana"/>
          <w:sz w:val="20"/>
          <w:szCs w:val="20"/>
          <w:vertAlign w:val="superscript"/>
          <w:lang w:val="en-US"/>
        </w:rPr>
        <w:footnoteReference w:id="238"/>
      </w:r>
      <w:r w:rsidR="00E66DD7" w:rsidRPr="00D869E3">
        <w:rPr>
          <w:rFonts w:ascii="Verdana" w:hAnsi="Verdana"/>
          <w:sz w:val="20"/>
          <w:szCs w:val="20"/>
          <w:lang w:val="en-US"/>
        </w:rPr>
        <w:t xml:space="preserve"> </w:t>
      </w:r>
      <w:r w:rsidR="00740A0C" w:rsidRPr="00D869E3">
        <w:rPr>
          <w:rFonts w:ascii="Verdana" w:hAnsi="Verdana"/>
          <w:sz w:val="20"/>
          <w:szCs w:val="20"/>
          <w:lang w:val="en-US"/>
        </w:rPr>
        <w:t>and as of the very first petitions</w:t>
      </w:r>
      <w:r w:rsidR="00966115" w:rsidRPr="00D869E3">
        <w:rPr>
          <w:rFonts w:ascii="Verdana" w:hAnsi="Verdana"/>
          <w:sz w:val="20"/>
          <w:szCs w:val="20"/>
          <w:lang w:val="en-US"/>
        </w:rPr>
        <w:t xml:space="preserve"> before the</w:t>
      </w:r>
      <w:r w:rsidR="00671B14" w:rsidRPr="00D869E3">
        <w:rPr>
          <w:rFonts w:ascii="Verdana" w:hAnsi="Verdana"/>
          <w:sz w:val="20"/>
          <w:szCs w:val="20"/>
          <w:lang w:val="en-US"/>
        </w:rPr>
        <w:t xml:space="preserve"> inter-American system</w:t>
      </w:r>
      <w:r w:rsidR="00E66DD7" w:rsidRPr="00D869E3">
        <w:rPr>
          <w:rFonts w:ascii="Verdana" w:hAnsi="Verdana"/>
          <w:sz w:val="20"/>
          <w:szCs w:val="20"/>
          <w:lang w:val="en-US"/>
        </w:rPr>
        <w:t xml:space="preserve"> (</w:t>
      </w:r>
      <w:r w:rsidR="00730D77" w:rsidRPr="00D869E3">
        <w:rPr>
          <w:rFonts w:ascii="Verdana" w:hAnsi="Verdana"/>
          <w:sz w:val="20"/>
          <w:szCs w:val="20"/>
          <w:lang w:val="en-US"/>
        </w:rPr>
        <w:t xml:space="preserve">supra, </w:t>
      </w:r>
      <w:r w:rsidR="0087339F" w:rsidRPr="00D869E3">
        <w:rPr>
          <w:rFonts w:ascii="Verdana" w:hAnsi="Verdana"/>
          <w:sz w:val="20"/>
          <w:szCs w:val="20"/>
          <w:lang w:val="en-US"/>
        </w:rPr>
        <w:t>para.</w:t>
      </w:r>
      <w:r w:rsidR="00E66DD7" w:rsidRPr="00D869E3">
        <w:rPr>
          <w:rFonts w:ascii="Verdana" w:hAnsi="Verdana"/>
          <w:sz w:val="20"/>
          <w:szCs w:val="20"/>
          <w:lang w:val="en-US"/>
        </w:rPr>
        <w:t xml:space="preserve"> </w:t>
      </w:r>
      <w:r w:rsidR="00444E07" w:rsidRPr="00D869E3">
        <w:rPr>
          <w:rFonts w:ascii="Verdana" w:hAnsi="Verdana"/>
          <w:sz w:val="20"/>
          <w:szCs w:val="20"/>
          <w:lang w:val="en-US"/>
        </w:rPr>
        <w:t>133)</w:t>
      </w:r>
      <w:r w:rsidR="00740A0C" w:rsidRPr="00D869E3">
        <w:rPr>
          <w:rFonts w:ascii="Verdana" w:hAnsi="Verdana"/>
          <w:sz w:val="20"/>
          <w:szCs w:val="20"/>
          <w:lang w:val="en-US"/>
        </w:rPr>
        <w:t>.</w:t>
      </w:r>
      <w:r w:rsidR="00444E07" w:rsidRPr="00D869E3">
        <w:rPr>
          <w:rFonts w:ascii="Verdana" w:hAnsi="Verdana"/>
          <w:sz w:val="20"/>
          <w:szCs w:val="20"/>
          <w:vertAlign w:val="superscript"/>
          <w:lang w:val="en-US"/>
        </w:rPr>
        <w:footnoteReference w:id="239"/>
      </w:r>
      <w:r w:rsidR="00444E07" w:rsidRPr="00D869E3">
        <w:rPr>
          <w:rFonts w:ascii="Verdana" w:hAnsi="Verdana"/>
          <w:sz w:val="20"/>
          <w:szCs w:val="20"/>
          <w:lang w:val="en-US"/>
        </w:rPr>
        <w:t xml:space="preserve"> </w:t>
      </w:r>
      <w:r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740A0C" w:rsidRPr="00D869E3">
        <w:rPr>
          <w:rFonts w:ascii="Verdana" w:hAnsi="Verdana"/>
          <w:sz w:val="20"/>
          <w:szCs w:val="20"/>
          <w:lang w:val="en-US"/>
        </w:rPr>
        <w:t>the parties have had abundant possibilities of referring to the scope of the rights affected by the facts analyzed.</w:t>
      </w:r>
    </w:p>
    <w:p w14:paraId="7F9ECAE0" w14:textId="77777777" w:rsidR="00E66DD7" w:rsidRPr="00D869E3" w:rsidRDefault="00E66DD7" w:rsidP="00E66DD7">
      <w:pPr>
        <w:contextualSpacing/>
        <w:jc w:val="both"/>
        <w:rPr>
          <w:rFonts w:ascii="Verdana" w:hAnsi="Verdana"/>
          <w:b/>
          <w:sz w:val="20"/>
          <w:szCs w:val="20"/>
          <w:lang w:val="en-US"/>
        </w:rPr>
      </w:pPr>
    </w:p>
    <w:p w14:paraId="09D9E44C" w14:textId="05036E1B" w:rsidR="00E66DD7" w:rsidRPr="00D869E3" w:rsidRDefault="00B44B46" w:rsidP="00F656E0">
      <w:pPr>
        <w:pStyle w:val="Ttulo3"/>
        <w:numPr>
          <w:ilvl w:val="0"/>
          <w:numId w:val="24"/>
        </w:numPr>
        <w:jc w:val="both"/>
        <w:rPr>
          <w:i/>
          <w:szCs w:val="20"/>
          <w:lang w:val="en-US"/>
        </w:rPr>
      </w:pPr>
      <w:bookmarkStart w:id="61" w:name="_Toc29114148"/>
      <w:r w:rsidRPr="00D869E3">
        <w:rPr>
          <w:rFonts w:cs="Verdana"/>
          <w:i/>
          <w:szCs w:val="20"/>
          <w:lang w:val="en-US" w:eastAsia="es-MX"/>
        </w:rPr>
        <w:t>Access to justice to protect job security as a right recognized in the Constitution</w:t>
      </w:r>
      <w:bookmarkEnd w:id="61"/>
    </w:p>
    <w:p w14:paraId="0717E0E6" w14:textId="77777777" w:rsidR="00E66DD7" w:rsidRPr="00D869E3" w:rsidRDefault="00E66DD7" w:rsidP="00E66DD7">
      <w:pPr>
        <w:contextualSpacing/>
        <w:jc w:val="both"/>
        <w:rPr>
          <w:rFonts w:ascii="Verdana" w:hAnsi="Verdana"/>
          <w:sz w:val="20"/>
          <w:szCs w:val="20"/>
          <w:lang w:val="en-US"/>
        </w:rPr>
      </w:pPr>
    </w:p>
    <w:p w14:paraId="3A1B8E41" w14:textId="697ADB3C" w:rsidR="00E66DD7" w:rsidRPr="00D869E3" w:rsidRDefault="00447C6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Article</w:t>
      </w:r>
      <w:r w:rsidR="00E66DD7" w:rsidRPr="00D869E3">
        <w:rPr>
          <w:rFonts w:ascii="Verdana" w:hAnsi="Verdana"/>
          <w:sz w:val="20"/>
          <w:szCs w:val="20"/>
          <w:lang w:val="en-US"/>
        </w:rPr>
        <w:t xml:space="preserve"> 25</w:t>
      </w:r>
      <w:r w:rsidRPr="00D869E3">
        <w:rPr>
          <w:rFonts w:ascii="Verdana" w:hAnsi="Verdana"/>
          <w:sz w:val="20"/>
          <w:szCs w:val="20"/>
          <w:lang w:val="en-US"/>
        </w:rPr>
        <w:t xml:space="preserve"> of the Convention</w:t>
      </w:r>
      <w:r w:rsidR="002C4F7B" w:rsidRPr="00D869E3">
        <w:rPr>
          <w:rFonts w:ascii="Verdana" w:hAnsi="Verdana"/>
          <w:sz w:val="20"/>
          <w:szCs w:val="20"/>
          <w:lang w:val="en-US"/>
        </w:rPr>
        <w:t xml:space="preserve"> </w:t>
      </w:r>
      <w:r w:rsidR="00DE1546" w:rsidRPr="00D869E3">
        <w:rPr>
          <w:rFonts w:ascii="Verdana" w:hAnsi="Verdana"/>
          <w:sz w:val="20"/>
          <w:szCs w:val="20"/>
          <w:lang w:val="en-US"/>
        </w:rPr>
        <w:t>indicates expressly that</w:t>
      </w:r>
      <w:r w:rsidR="00E66DD7" w:rsidRPr="00D869E3">
        <w:rPr>
          <w:rFonts w:ascii="Verdana" w:hAnsi="Verdana"/>
          <w:sz w:val="20"/>
          <w:szCs w:val="20"/>
          <w:lang w:val="en-US"/>
        </w:rPr>
        <w:t xml:space="preserve">: </w:t>
      </w:r>
    </w:p>
    <w:p w14:paraId="7348BAED" w14:textId="77777777" w:rsidR="002C4F7B" w:rsidRPr="00D869E3" w:rsidRDefault="002C4F7B" w:rsidP="00B06027">
      <w:pPr>
        <w:contextualSpacing/>
        <w:jc w:val="both"/>
        <w:rPr>
          <w:rFonts w:ascii="Verdana" w:hAnsi="Verdana"/>
          <w:sz w:val="20"/>
          <w:szCs w:val="20"/>
          <w:lang w:val="en-US"/>
        </w:rPr>
      </w:pPr>
    </w:p>
    <w:p w14:paraId="4E2D1E04" w14:textId="7AF00ABF" w:rsidR="00E66DD7" w:rsidRPr="00D869E3" w:rsidRDefault="00DE1546" w:rsidP="00334B6C">
      <w:pPr>
        <w:numPr>
          <w:ilvl w:val="0"/>
          <w:numId w:val="22"/>
        </w:numPr>
        <w:tabs>
          <w:tab w:val="left" w:pos="993"/>
        </w:tabs>
        <w:ind w:left="567" w:right="335" w:firstLine="0"/>
        <w:contextualSpacing/>
        <w:jc w:val="both"/>
        <w:rPr>
          <w:rFonts w:ascii="Verdana" w:eastAsia="Times New Roman" w:hAnsi="Verdana" w:cs="Tahoma"/>
          <w:color w:val="000000"/>
          <w:sz w:val="18"/>
          <w:szCs w:val="18"/>
          <w:lang w:val="en-US" w:eastAsia="es-MX"/>
        </w:rPr>
      </w:pPr>
      <w:r w:rsidRPr="00D869E3">
        <w:rPr>
          <w:rFonts w:ascii="Verdana" w:hAnsi="Verdana"/>
          <w:spacing w:val="-3"/>
          <w:sz w:val="18"/>
          <w:szCs w:val="18"/>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33E56774" w14:textId="77777777" w:rsidR="00E66DD7" w:rsidRPr="00D869E3" w:rsidRDefault="00E66DD7" w:rsidP="00334B6C">
      <w:pPr>
        <w:tabs>
          <w:tab w:val="left" w:pos="993"/>
        </w:tabs>
        <w:ind w:left="567" w:right="335"/>
        <w:contextualSpacing/>
        <w:jc w:val="both"/>
        <w:rPr>
          <w:rFonts w:ascii="Verdana" w:eastAsia="Times New Roman" w:hAnsi="Verdana" w:cs="Tahoma"/>
          <w:color w:val="000000"/>
          <w:sz w:val="18"/>
          <w:szCs w:val="18"/>
          <w:lang w:val="en-US" w:eastAsia="es-MX"/>
        </w:rPr>
      </w:pPr>
    </w:p>
    <w:p w14:paraId="02BEAB7B" w14:textId="37B9188C" w:rsidR="00E66DD7" w:rsidRPr="00D869E3" w:rsidRDefault="00DE1546" w:rsidP="00334B6C">
      <w:pPr>
        <w:numPr>
          <w:ilvl w:val="0"/>
          <w:numId w:val="22"/>
        </w:numPr>
        <w:tabs>
          <w:tab w:val="left" w:pos="993"/>
        </w:tabs>
        <w:ind w:left="567" w:right="335" w:firstLine="0"/>
        <w:contextualSpacing/>
        <w:jc w:val="both"/>
        <w:rPr>
          <w:rFonts w:ascii="Verdana" w:eastAsia="Times New Roman" w:hAnsi="Verdana" w:cs="Tahoma"/>
          <w:color w:val="000000"/>
          <w:sz w:val="18"/>
          <w:szCs w:val="18"/>
          <w:lang w:val="en-US" w:eastAsia="es-MX"/>
        </w:rPr>
      </w:pPr>
      <w:r w:rsidRPr="00D869E3">
        <w:rPr>
          <w:rFonts w:ascii="Verdana" w:hAnsi="Verdana"/>
          <w:spacing w:val="-3"/>
          <w:sz w:val="18"/>
          <w:szCs w:val="18"/>
          <w:lang w:val="en-US"/>
        </w:rPr>
        <w:t>The States Parties undertake</w:t>
      </w:r>
      <w:r w:rsidR="00E66DD7" w:rsidRPr="00D869E3">
        <w:rPr>
          <w:rFonts w:ascii="Verdana" w:eastAsia="Times New Roman" w:hAnsi="Verdana" w:cs="Tahoma"/>
          <w:color w:val="000000"/>
          <w:sz w:val="18"/>
          <w:szCs w:val="18"/>
          <w:lang w:val="en-US" w:eastAsia="es-MX"/>
        </w:rPr>
        <w:t xml:space="preserve">: </w:t>
      </w:r>
    </w:p>
    <w:p w14:paraId="67C53518" w14:textId="65D938D2" w:rsidR="00E66DD7" w:rsidRPr="00D869E3" w:rsidRDefault="00DE1546" w:rsidP="00334B6C">
      <w:pPr>
        <w:tabs>
          <w:tab w:val="left" w:pos="993"/>
        </w:tabs>
        <w:ind w:left="567" w:right="335"/>
        <w:contextualSpacing/>
        <w:jc w:val="both"/>
        <w:rPr>
          <w:rFonts w:ascii="Verdana" w:eastAsia="Times New Roman" w:hAnsi="Verdana" w:cs="Tahoma"/>
          <w:color w:val="000000"/>
          <w:sz w:val="18"/>
          <w:szCs w:val="18"/>
          <w:lang w:val="en-US" w:eastAsia="es-MX"/>
        </w:rPr>
      </w:pPr>
      <w:r w:rsidRPr="00D869E3">
        <w:rPr>
          <w:rFonts w:ascii="Verdana" w:eastAsia="Times New Roman" w:hAnsi="Verdana" w:cs="Tahoma"/>
          <w:color w:val="000000"/>
          <w:sz w:val="18"/>
          <w:szCs w:val="18"/>
          <w:lang w:val="en-US" w:eastAsia="es-MX"/>
        </w:rPr>
        <w:t>(</w:t>
      </w:r>
      <w:r w:rsidR="00E66DD7" w:rsidRPr="00D869E3">
        <w:rPr>
          <w:rFonts w:ascii="Verdana" w:eastAsia="Times New Roman" w:hAnsi="Verdana" w:cs="Tahoma"/>
          <w:color w:val="000000"/>
          <w:sz w:val="18"/>
          <w:szCs w:val="18"/>
          <w:lang w:val="en-US" w:eastAsia="es-MX"/>
        </w:rPr>
        <w:t xml:space="preserve">a) </w:t>
      </w:r>
      <w:r w:rsidRPr="00D869E3">
        <w:rPr>
          <w:rFonts w:ascii="Verdana" w:hAnsi="Verdana"/>
          <w:spacing w:val="-3"/>
          <w:sz w:val="18"/>
          <w:szCs w:val="18"/>
          <w:lang w:val="en-US"/>
        </w:rPr>
        <w:t>to ensure that any person claiming such remedy shall have his rights determined by the competent authority provided for by the legal system of the State</w:t>
      </w:r>
      <w:r w:rsidR="00E66DD7" w:rsidRPr="00D869E3">
        <w:rPr>
          <w:rFonts w:ascii="Verdana" w:eastAsia="Times New Roman" w:hAnsi="Verdana" w:cs="Tahoma"/>
          <w:color w:val="000000"/>
          <w:sz w:val="18"/>
          <w:szCs w:val="18"/>
          <w:lang w:val="en-US" w:eastAsia="es-MX"/>
        </w:rPr>
        <w:t>;</w:t>
      </w:r>
      <w:r w:rsidR="00E358F5" w:rsidRPr="00D869E3">
        <w:rPr>
          <w:rFonts w:ascii="Verdana" w:eastAsia="Times New Roman" w:hAnsi="Verdana" w:cs="Tahoma"/>
          <w:color w:val="000000"/>
          <w:sz w:val="18"/>
          <w:szCs w:val="18"/>
          <w:lang w:val="en-US" w:eastAsia="es-MX"/>
        </w:rPr>
        <w:t xml:space="preserve"> […]</w:t>
      </w:r>
    </w:p>
    <w:p w14:paraId="1392C865" w14:textId="77777777" w:rsidR="00E66DD7" w:rsidRPr="00D869E3" w:rsidRDefault="00E66DD7" w:rsidP="00E66DD7">
      <w:pPr>
        <w:contextualSpacing/>
        <w:jc w:val="both"/>
        <w:rPr>
          <w:rFonts w:ascii="Verdana" w:hAnsi="Verdana"/>
          <w:sz w:val="20"/>
          <w:szCs w:val="20"/>
          <w:lang w:val="en-US"/>
        </w:rPr>
      </w:pPr>
    </w:p>
    <w:p w14:paraId="011E79AD" w14:textId="39EAA015" w:rsidR="00E66DD7" w:rsidRPr="00D869E3" w:rsidRDefault="00901386" w:rsidP="00E66DD7">
      <w:pPr>
        <w:numPr>
          <w:ilvl w:val="0"/>
          <w:numId w:val="1"/>
        </w:numPr>
        <w:ind w:left="0" w:firstLine="0"/>
        <w:contextualSpacing/>
        <w:jc w:val="both"/>
        <w:rPr>
          <w:rFonts w:ascii="Verdana" w:hAnsi="Verdana"/>
          <w:sz w:val="20"/>
          <w:szCs w:val="20"/>
          <w:lang w:val="en-US"/>
        </w:rPr>
      </w:pPr>
      <w:r w:rsidRPr="00D869E3">
        <w:rPr>
          <w:rFonts w:ascii="Verdana" w:hAnsi="Verdana" w:cs="Helvetica"/>
          <w:sz w:val="20"/>
          <w:szCs w:val="20"/>
          <w:lang w:val="en-US"/>
        </w:rPr>
        <w:lastRenderedPageBreak/>
        <w:t>This Court</w:t>
      </w:r>
      <w:r w:rsidR="00E66DD7" w:rsidRPr="00D869E3">
        <w:rPr>
          <w:rFonts w:ascii="Verdana" w:hAnsi="Verdana" w:cs="Helvetica"/>
          <w:sz w:val="20"/>
          <w:szCs w:val="20"/>
          <w:lang w:val="en-US"/>
        </w:rPr>
        <w:t xml:space="preserve"> ha</w:t>
      </w:r>
      <w:r w:rsidRPr="00D869E3">
        <w:rPr>
          <w:rFonts w:ascii="Verdana" w:hAnsi="Verdana" w:cs="Helvetica"/>
          <w:sz w:val="20"/>
          <w:szCs w:val="20"/>
          <w:lang w:val="en-US"/>
        </w:rPr>
        <w:t>s declared that judicial protection</w:t>
      </w:r>
      <w:r w:rsidR="00E66DD7" w:rsidRPr="00D869E3">
        <w:rPr>
          <w:rFonts w:ascii="Verdana" w:hAnsi="Verdana" w:cs="Helvetica"/>
          <w:sz w:val="20"/>
          <w:szCs w:val="20"/>
          <w:lang w:val="en-US"/>
        </w:rPr>
        <w:t xml:space="preserve">, </w:t>
      </w:r>
      <w:r w:rsidR="006436CA" w:rsidRPr="00D869E3">
        <w:rPr>
          <w:rFonts w:ascii="Verdana" w:hAnsi="Verdana" w:cs="Helvetica"/>
          <w:sz w:val="20"/>
          <w:szCs w:val="20"/>
          <w:lang w:val="en-US"/>
        </w:rPr>
        <w:t>“</w:t>
      </w:r>
      <w:r w:rsidRPr="00D869E3">
        <w:rPr>
          <w:rFonts w:ascii="Verdana" w:hAnsi="Verdana" w:cs="Helvetica"/>
          <w:sz w:val="20"/>
          <w:szCs w:val="20"/>
          <w:lang w:val="en-US"/>
        </w:rPr>
        <w:t>is one of the basic pillars</w:t>
      </w:r>
      <w:r w:rsidR="00447C65" w:rsidRPr="00D869E3">
        <w:rPr>
          <w:rFonts w:ascii="Verdana" w:hAnsi="Verdana" w:cs="Helvetica"/>
          <w:sz w:val="20"/>
          <w:szCs w:val="20"/>
          <w:lang w:val="en-US"/>
        </w:rPr>
        <w:t xml:space="preserve"> of the American Convention</w:t>
      </w:r>
      <w:r w:rsidR="00687684" w:rsidRPr="00D869E3">
        <w:rPr>
          <w:rFonts w:ascii="Verdana" w:hAnsi="Verdana" w:cs="Helvetica"/>
          <w:sz w:val="20"/>
          <w:szCs w:val="20"/>
          <w:lang w:val="en-US"/>
        </w:rPr>
        <w:t xml:space="preserve"> and </w:t>
      </w:r>
      <w:r w:rsidRPr="00D869E3">
        <w:rPr>
          <w:rFonts w:ascii="Verdana" w:hAnsi="Verdana" w:cs="Helvetica"/>
          <w:sz w:val="20"/>
          <w:szCs w:val="20"/>
          <w:lang w:val="en-US"/>
        </w:rPr>
        <w:t>of the rule of law in a democratic society</w:t>
      </w:r>
      <w:r w:rsidR="00065A47" w:rsidRPr="00D869E3">
        <w:rPr>
          <w:rFonts w:ascii="Verdana" w:hAnsi="Verdana" w:cs="Helvetica"/>
          <w:sz w:val="20"/>
          <w:szCs w:val="20"/>
          <w:lang w:val="en-US"/>
        </w:rPr>
        <w:t>,</w:t>
      </w:r>
      <w:r w:rsidRPr="00D869E3">
        <w:rPr>
          <w:rFonts w:ascii="Verdana" w:hAnsi="Verdana" w:cs="Helvetica"/>
          <w:sz w:val="20"/>
          <w:szCs w:val="20"/>
          <w:lang w:val="en-US"/>
        </w:rPr>
        <w:t>”</w:t>
      </w:r>
      <w:r w:rsidR="00E66DD7" w:rsidRPr="00D869E3">
        <w:rPr>
          <w:rFonts w:ascii="Verdana" w:hAnsi="Verdana" w:cs="Helvetica"/>
          <w:sz w:val="20"/>
          <w:szCs w:val="20"/>
          <w:vertAlign w:val="superscript"/>
          <w:lang w:val="en-US"/>
        </w:rPr>
        <w:footnoteReference w:id="240"/>
      </w:r>
      <w:r w:rsidR="00E66DD7" w:rsidRPr="00D869E3">
        <w:rPr>
          <w:rFonts w:ascii="Verdana" w:hAnsi="Verdana"/>
          <w:sz w:val="20"/>
          <w:szCs w:val="20"/>
          <w:lang w:val="en-US"/>
        </w:rPr>
        <w:t xml:space="preserve"> </w:t>
      </w:r>
      <w:r w:rsidR="00065A47" w:rsidRPr="00D869E3">
        <w:rPr>
          <w:rFonts w:ascii="Verdana" w:hAnsi="Verdana" w:cs="Helvetica"/>
          <w:sz w:val="20"/>
          <w:szCs w:val="20"/>
          <w:lang w:val="en-US"/>
        </w:rPr>
        <w:t>and</w:t>
      </w:r>
      <w:r w:rsidR="00E66DD7" w:rsidRPr="00D869E3">
        <w:rPr>
          <w:rFonts w:ascii="Verdana" w:hAnsi="Verdana"/>
          <w:sz w:val="20"/>
          <w:szCs w:val="20"/>
          <w:lang w:val="en-US"/>
        </w:rPr>
        <w:t xml:space="preserve"> ha</w:t>
      </w:r>
      <w:r w:rsidRPr="00D869E3">
        <w:rPr>
          <w:rFonts w:ascii="Verdana" w:hAnsi="Verdana"/>
          <w:sz w:val="20"/>
          <w:szCs w:val="20"/>
          <w:lang w:val="en-US"/>
        </w:rPr>
        <w:t>s indicated that</w:t>
      </w:r>
      <w:r w:rsidR="00E66DD7" w:rsidRPr="00D869E3">
        <w:rPr>
          <w:rFonts w:ascii="Verdana" w:hAnsi="Verdana"/>
          <w:sz w:val="20"/>
          <w:szCs w:val="20"/>
          <w:lang w:val="en-US"/>
        </w:rPr>
        <w:t xml:space="preserve"> </w:t>
      </w:r>
      <w:r w:rsidR="006436CA" w:rsidRPr="00D869E3">
        <w:rPr>
          <w:rFonts w:ascii="Verdana" w:hAnsi="Verdana"/>
          <w:sz w:val="20"/>
          <w:szCs w:val="20"/>
          <w:lang w:val="en-US"/>
        </w:rPr>
        <w:t>“</w:t>
      </w:r>
      <w:r w:rsidR="00447C65" w:rsidRPr="00D869E3">
        <w:rPr>
          <w:rFonts w:ascii="Verdana" w:hAnsi="Verdana"/>
          <w:sz w:val="20"/>
          <w:szCs w:val="20"/>
          <w:lang w:val="en-US"/>
        </w:rPr>
        <w:t>Articles</w:t>
      </w:r>
      <w:r w:rsidR="00E66DD7" w:rsidRPr="00D869E3">
        <w:rPr>
          <w:rFonts w:ascii="Verdana" w:hAnsi="Verdana"/>
          <w:sz w:val="20"/>
          <w:szCs w:val="20"/>
          <w:lang w:val="en-US"/>
        </w:rPr>
        <w:t xml:space="preserve"> 8</w:t>
      </w:r>
      <w:r w:rsidR="00687684" w:rsidRPr="00D869E3">
        <w:rPr>
          <w:rFonts w:ascii="Verdana" w:hAnsi="Verdana"/>
          <w:sz w:val="20"/>
          <w:szCs w:val="20"/>
          <w:lang w:val="en-US"/>
        </w:rPr>
        <w:t xml:space="preserve"> and </w:t>
      </w:r>
      <w:r w:rsidR="00E66DD7" w:rsidRPr="00D869E3">
        <w:rPr>
          <w:rFonts w:ascii="Verdana" w:hAnsi="Verdana"/>
          <w:sz w:val="20"/>
          <w:szCs w:val="20"/>
          <w:lang w:val="en-US"/>
        </w:rPr>
        <w:t>25</w:t>
      </w:r>
      <w:r w:rsidR="00447C65" w:rsidRPr="00D869E3">
        <w:rPr>
          <w:rFonts w:ascii="Verdana" w:hAnsi="Verdana"/>
          <w:sz w:val="20"/>
          <w:szCs w:val="20"/>
          <w:lang w:val="en-US"/>
        </w:rPr>
        <w:t xml:space="preserve"> of the Convention</w:t>
      </w:r>
      <w:r w:rsidR="00E66DD7" w:rsidRPr="00D869E3">
        <w:rPr>
          <w:rFonts w:ascii="Verdana" w:hAnsi="Verdana"/>
          <w:sz w:val="20"/>
          <w:szCs w:val="20"/>
          <w:lang w:val="en-US"/>
        </w:rPr>
        <w:t xml:space="preserve"> </w:t>
      </w:r>
      <w:r w:rsidRPr="00D869E3">
        <w:rPr>
          <w:rFonts w:ascii="Verdana" w:hAnsi="Verdana"/>
          <w:sz w:val="20"/>
          <w:szCs w:val="20"/>
          <w:lang w:val="en-US"/>
        </w:rPr>
        <w:t xml:space="preserve">also establish </w:t>
      </w:r>
      <w:r w:rsidR="000B2E5E" w:rsidRPr="00D869E3">
        <w:rPr>
          <w:rFonts w:ascii="Verdana" w:hAnsi="Verdana"/>
          <w:sz w:val="20"/>
          <w:szCs w:val="20"/>
          <w:lang w:val="en-US"/>
        </w:rPr>
        <w:t xml:space="preserve">the right </w:t>
      </w:r>
      <w:r w:rsidRPr="00D869E3">
        <w:rPr>
          <w:rFonts w:ascii="Verdana" w:hAnsi="Verdana"/>
          <w:sz w:val="20"/>
          <w:szCs w:val="20"/>
          <w:lang w:val="en-US"/>
        </w:rPr>
        <w:t>of</w:t>
      </w:r>
      <w:r w:rsidR="00E66DD7" w:rsidRPr="00D869E3">
        <w:rPr>
          <w:rFonts w:ascii="Verdana" w:hAnsi="Verdana"/>
          <w:sz w:val="20"/>
          <w:szCs w:val="20"/>
          <w:lang w:val="en-US"/>
        </w:rPr>
        <w:t xml:space="preserve"> </w:t>
      </w:r>
      <w:r w:rsidRPr="00D869E3">
        <w:rPr>
          <w:rFonts w:ascii="Verdana" w:hAnsi="Verdana" w:cs="Helvetica"/>
          <w:sz w:val="20"/>
          <w:szCs w:val="20"/>
          <w:lang w:val="en-US"/>
        </w:rPr>
        <w:t>access to justice</w:t>
      </w:r>
      <w:r w:rsidR="00E66DD7" w:rsidRPr="00D869E3">
        <w:rPr>
          <w:rFonts w:ascii="Verdana" w:hAnsi="Verdana"/>
          <w:sz w:val="20"/>
          <w:szCs w:val="20"/>
          <w:lang w:val="en-US"/>
        </w:rPr>
        <w:t xml:space="preserve">, </w:t>
      </w:r>
      <w:r w:rsidRPr="00D869E3">
        <w:rPr>
          <w:rFonts w:ascii="Verdana" w:hAnsi="Verdana"/>
          <w:sz w:val="20"/>
          <w:szCs w:val="20"/>
          <w:lang w:val="en-US"/>
        </w:rPr>
        <w:t>a peremptory norm of international law.”</w:t>
      </w:r>
      <w:r w:rsidR="00E66DD7" w:rsidRPr="00D869E3">
        <w:rPr>
          <w:rFonts w:ascii="Verdana" w:hAnsi="Verdana"/>
          <w:sz w:val="20"/>
          <w:szCs w:val="20"/>
          <w:vertAlign w:val="superscript"/>
          <w:lang w:val="en-US"/>
        </w:rPr>
        <w:footnoteReference w:id="241"/>
      </w:r>
      <w:r w:rsidRPr="00D869E3">
        <w:rPr>
          <w:rFonts w:ascii="Verdana" w:hAnsi="Verdana"/>
          <w:sz w:val="20"/>
          <w:szCs w:val="20"/>
          <w:lang w:val="en-US"/>
        </w:rPr>
        <w:t xml:space="preserve"> </w:t>
      </w:r>
      <w:r w:rsidR="00065A47" w:rsidRPr="00D869E3">
        <w:rPr>
          <w:rFonts w:ascii="Verdana" w:hAnsi="Verdana"/>
          <w:sz w:val="20"/>
          <w:szCs w:val="20"/>
          <w:lang w:val="en-US"/>
        </w:rPr>
        <w:t>In addition</w:t>
      </w:r>
      <w:r w:rsidRPr="00D869E3">
        <w:rPr>
          <w:rFonts w:ascii="Verdana" w:hAnsi="Verdana"/>
          <w:sz w:val="20"/>
          <w:szCs w:val="20"/>
          <w:lang w:val="en-US"/>
        </w:rPr>
        <w:t xml:space="preserve">, the principle of effective </w:t>
      </w:r>
      <w:r w:rsidRPr="00D869E3">
        <w:rPr>
          <w:rFonts w:ascii="Verdana" w:hAnsi="Verdana" w:cs="Helvetica"/>
          <w:sz w:val="20"/>
          <w:szCs w:val="20"/>
          <w:lang w:val="en-US"/>
        </w:rPr>
        <w:t>judicial protection requires that judicial proceedings are accessible to the parties, without any undue obstacles or delays, so that they may achieve their purpose promptly, simply and fully.</w:t>
      </w:r>
      <w:r w:rsidR="00E66DD7" w:rsidRPr="00D869E3">
        <w:rPr>
          <w:rFonts w:ascii="Verdana" w:hAnsi="Verdana" w:cs="Helvetica"/>
          <w:sz w:val="20"/>
          <w:szCs w:val="20"/>
          <w:vertAlign w:val="superscript"/>
          <w:lang w:val="en-US"/>
        </w:rPr>
        <w:footnoteReference w:id="242"/>
      </w:r>
      <w:r w:rsidRPr="00D869E3">
        <w:rPr>
          <w:rFonts w:ascii="Verdana" w:hAnsi="Verdana" w:cs="Helvetica"/>
          <w:sz w:val="20"/>
          <w:szCs w:val="20"/>
          <w:lang w:val="en-US"/>
        </w:rPr>
        <w:t xml:space="preserve"> </w:t>
      </w:r>
      <w:r w:rsidR="00065A47" w:rsidRPr="00D869E3">
        <w:rPr>
          <w:rFonts w:ascii="Verdana" w:hAnsi="Verdana" w:cs="Helvetica"/>
          <w:sz w:val="20"/>
          <w:szCs w:val="20"/>
          <w:lang w:val="en-US"/>
        </w:rPr>
        <w:t>Furthermore</w:t>
      </w:r>
      <w:r w:rsidRPr="00D869E3">
        <w:rPr>
          <w:rFonts w:ascii="Verdana" w:hAnsi="Verdana" w:cs="Helvetica"/>
          <w:sz w:val="20"/>
          <w:szCs w:val="20"/>
          <w:lang w:val="en-US"/>
        </w:rPr>
        <w:t xml:space="preserve">, the Court has indicated that </w:t>
      </w:r>
      <w:r w:rsidR="00447C65" w:rsidRPr="00D869E3">
        <w:rPr>
          <w:rFonts w:ascii="Verdana" w:hAnsi="Verdana" w:cs="Helvetica"/>
          <w:sz w:val="20"/>
          <w:szCs w:val="20"/>
          <w:lang w:val="en-US"/>
        </w:rPr>
        <w:t>Article</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25(1)</w:t>
      </w:r>
      <w:r w:rsidR="00447C65" w:rsidRPr="00D869E3">
        <w:rPr>
          <w:rFonts w:ascii="Verdana" w:hAnsi="Verdana" w:cs="Helvetica"/>
          <w:sz w:val="20"/>
          <w:szCs w:val="20"/>
          <w:lang w:val="en-US"/>
        </w:rPr>
        <w:t xml:space="preserve"> of the Convention</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establishes</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the obligation</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of the</w:t>
      </w:r>
      <w:r w:rsidR="00E66DD7" w:rsidRPr="00D869E3">
        <w:rPr>
          <w:rFonts w:ascii="Verdana" w:hAnsi="Verdana" w:cs="Helvetica"/>
          <w:sz w:val="20"/>
          <w:szCs w:val="20"/>
          <w:lang w:val="en-US"/>
        </w:rPr>
        <w:t xml:space="preserve"> </w:t>
      </w:r>
      <w:r w:rsidR="00B443B4" w:rsidRPr="00D869E3">
        <w:rPr>
          <w:rFonts w:ascii="Verdana" w:hAnsi="Verdana" w:cs="Helvetica"/>
          <w:sz w:val="20"/>
          <w:szCs w:val="20"/>
          <w:lang w:val="en-US"/>
        </w:rPr>
        <w:t>States Parties</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 xml:space="preserve">to ensure to everyone subject to their jurisdiction an effective judicial remedy against acts that </w:t>
      </w:r>
      <w:r w:rsidR="00065A47" w:rsidRPr="00D869E3">
        <w:rPr>
          <w:rFonts w:ascii="Verdana" w:hAnsi="Verdana" w:cs="Helvetica"/>
          <w:sz w:val="20"/>
          <w:szCs w:val="20"/>
          <w:lang w:val="en-US"/>
        </w:rPr>
        <w:t xml:space="preserve">have </w:t>
      </w:r>
      <w:r w:rsidRPr="00D869E3">
        <w:rPr>
          <w:rFonts w:ascii="Verdana" w:hAnsi="Verdana" w:cs="Helvetica"/>
          <w:sz w:val="20"/>
          <w:szCs w:val="20"/>
          <w:lang w:val="en-US"/>
        </w:rPr>
        <w:t>violate</w:t>
      </w:r>
      <w:r w:rsidR="00065A47" w:rsidRPr="00D869E3">
        <w:rPr>
          <w:rFonts w:ascii="Verdana" w:hAnsi="Verdana" w:cs="Helvetica"/>
          <w:sz w:val="20"/>
          <w:szCs w:val="20"/>
          <w:lang w:val="en-US"/>
        </w:rPr>
        <w:t>d</w:t>
      </w:r>
      <w:r w:rsidRPr="00D869E3">
        <w:rPr>
          <w:rFonts w:ascii="Verdana" w:hAnsi="Verdana" w:cs="Helvetica"/>
          <w:sz w:val="20"/>
          <w:szCs w:val="20"/>
          <w:lang w:val="en-US"/>
        </w:rPr>
        <w:t xml:space="preserve"> their fundamental rights,</w:t>
      </w:r>
      <w:r w:rsidR="0013567C" w:rsidRPr="00D869E3">
        <w:rPr>
          <w:rFonts w:ascii="Verdana" w:hAnsi="Verdana" w:cs="Helvetica"/>
          <w:sz w:val="20"/>
          <w:szCs w:val="20"/>
          <w:vertAlign w:val="superscript"/>
          <w:lang w:val="en-US"/>
        </w:rPr>
        <w:footnoteReference w:id="243"/>
      </w:r>
      <w:r w:rsidRPr="00D869E3">
        <w:rPr>
          <w:rFonts w:ascii="Verdana" w:hAnsi="Verdana" w:cs="Helvetica"/>
          <w:sz w:val="20"/>
          <w:szCs w:val="20"/>
          <w:lang w:val="en-US"/>
        </w:rPr>
        <w:t xml:space="preserve"> </w:t>
      </w:r>
      <w:r w:rsidR="00065A47" w:rsidRPr="00D869E3">
        <w:rPr>
          <w:rFonts w:ascii="Verdana" w:hAnsi="Verdana" w:cs="Helvetica"/>
          <w:sz w:val="20"/>
          <w:szCs w:val="20"/>
          <w:lang w:val="en-US"/>
        </w:rPr>
        <w:t xml:space="preserve">which </w:t>
      </w:r>
      <w:r w:rsidRPr="00D869E3">
        <w:rPr>
          <w:rFonts w:ascii="Verdana" w:hAnsi="Verdana" w:cs="Helvetica"/>
          <w:sz w:val="20"/>
          <w:szCs w:val="20"/>
          <w:lang w:val="en-US"/>
        </w:rPr>
        <w:t>are recognized in either the Constitution, or the laws or the Convention.</w:t>
      </w:r>
      <w:r w:rsidR="00E66DD7" w:rsidRPr="00D869E3">
        <w:rPr>
          <w:rFonts w:ascii="Verdana" w:hAnsi="Verdana" w:cs="Helvetica"/>
          <w:sz w:val="20"/>
          <w:szCs w:val="20"/>
          <w:vertAlign w:val="superscript"/>
          <w:lang w:val="en-US"/>
        </w:rPr>
        <w:footnoteReference w:id="244"/>
      </w:r>
      <w:r w:rsidR="00E66DD7" w:rsidRPr="00D869E3">
        <w:rPr>
          <w:rFonts w:ascii="Verdana" w:hAnsi="Verdana" w:cs="Helvetica"/>
          <w:sz w:val="20"/>
          <w:szCs w:val="20"/>
          <w:lang w:val="en-US"/>
        </w:rPr>
        <w:t xml:space="preserve"> </w:t>
      </w:r>
    </w:p>
    <w:p w14:paraId="092E910E" w14:textId="77777777" w:rsidR="00E66DD7" w:rsidRPr="00D869E3" w:rsidRDefault="00E66DD7" w:rsidP="00E66DD7">
      <w:pPr>
        <w:contextualSpacing/>
        <w:jc w:val="both"/>
        <w:rPr>
          <w:rFonts w:ascii="Verdana" w:hAnsi="Verdana" w:cs="Helvetica"/>
          <w:sz w:val="20"/>
          <w:szCs w:val="20"/>
          <w:lang w:val="en-US"/>
        </w:rPr>
      </w:pPr>
    </w:p>
    <w:p w14:paraId="5A7F8A32" w14:textId="3D51F214" w:rsidR="00E66DD7" w:rsidRPr="00D869E3" w:rsidRDefault="008A0E87"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As already mentioned, both the </w:t>
      </w:r>
      <w:r w:rsidR="003531AF" w:rsidRPr="00D869E3">
        <w:rPr>
          <w:rFonts w:ascii="Verdana" w:hAnsi="Verdana" w:cs="Arial Narrow"/>
          <w:color w:val="000000"/>
          <w:sz w:val="20"/>
          <w:szCs w:val="20"/>
          <w:lang w:val="en-US" w:eastAsia="es-MX"/>
        </w:rPr>
        <w:t>1979</w:t>
      </w:r>
      <w:r w:rsidRPr="00D869E3">
        <w:rPr>
          <w:rFonts w:ascii="Verdana" w:hAnsi="Verdana" w:cs="Arial Narrow"/>
          <w:color w:val="000000"/>
          <w:sz w:val="20"/>
          <w:szCs w:val="20"/>
          <w:lang w:val="en-US" w:eastAsia="es-MX"/>
        </w:rPr>
        <w:t xml:space="preserve"> and the 1993</w:t>
      </w:r>
      <w:r w:rsidR="003531AF" w:rsidRPr="00D869E3">
        <w:rPr>
          <w:rFonts w:ascii="Verdana" w:hAnsi="Verdana" w:cs="Arial Narrow"/>
          <w:color w:val="000000"/>
          <w:sz w:val="20"/>
          <w:szCs w:val="20"/>
          <w:lang w:val="en-US" w:eastAsia="es-MX"/>
        </w:rPr>
        <w:t xml:space="preserve"> Constitution</w:t>
      </w:r>
      <w:r w:rsidRPr="00D869E3">
        <w:rPr>
          <w:rFonts w:ascii="Verdana" w:hAnsi="Verdana" w:cs="Arial Narrow"/>
          <w:color w:val="000000"/>
          <w:sz w:val="20"/>
          <w:szCs w:val="20"/>
          <w:lang w:val="en-US" w:eastAsia="es-MX"/>
        </w:rPr>
        <w:t>s</w:t>
      </w:r>
      <w:r w:rsidR="00E66DD7" w:rsidRPr="00D869E3">
        <w:rPr>
          <w:rFonts w:ascii="Verdana" w:hAnsi="Verdana" w:cs="Arial Narrow"/>
          <w:color w:val="000000"/>
          <w:sz w:val="20"/>
          <w:szCs w:val="20"/>
          <w:lang w:val="en-US" w:eastAsia="es-MX"/>
        </w:rPr>
        <w:t xml:space="preserve"> </w:t>
      </w:r>
      <w:r w:rsidRPr="00D869E3">
        <w:rPr>
          <w:rFonts w:ascii="Verdana" w:hAnsi="Verdana" w:cs="Arial Narrow"/>
          <w:color w:val="000000"/>
          <w:sz w:val="20"/>
          <w:szCs w:val="20"/>
          <w:lang w:val="en-US" w:eastAsia="es-MX"/>
        </w:rPr>
        <w:t>of</w:t>
      </w:r>
      <w:r w:rsidR="00E66DD7" w:rsidRPr="00D869E3">
        <w:rPr>
          <w:rFonts w:ascii="Verdana" w:hAnsi="Verdana" w:cs="Arial Narrow"/>
          <w:color w:val="000000"/>
          <w:sz w:val="20"/>
          <w:szCs w:val="20"/>
          <w:lang w:val="en-US" w:eastAsia="es-MX"/>
        </w:rPr>
        <w:t xml:space="preserve"> </w:t>
      </w:r>
      <w:r w:rsidR="00447C65" w:rsidRPr="00D869E3">
        <w:rPr>
          <w:rFonts w:ascii="Verdana" w:hAnsi="Verdana" w:cs="Arial Narrow"/>
          <w:color w:val="000000"/>
          <w:sz w:val="20"/>
          <w:szCs w:val="20"/>
          <w:lang w:val="en-US" w:eastAsia="es-MX"/>
        </w:rPr>
        <w:t>Peru</w:t>
      </w:r>
      <w:r w:rsidR="00E66DD7" w:rsidRPr="00D869E3">
        <w:rPr>
          <w:rFonts w:ascii="Verdana" w:hAnsi="Verdana" w:cs="Arial Narrow"/>
          <w:color w:val="000000"/>
          <w:sz w:val="20"/>
          <w:szCs w:val="20"/>
          <w:lang w:val="en-US" w:eastAsia="es-MX"/>
        </w:rPr>
        <w:t>,</w:t>
      </w:r>
      <w:r w:rsidR="00687684" w:rsidRPr="00D869E3">
        <w:rPr>
          <w:rFonts w:ascii="Verdana" w:hAnsi="Verdana" w:cs="Arial Narrow"/>
          <w:color w:val="000000"/>
          <w:sz w:val="20"/>
          <w:szCs w:val="20"/>
          <w:lang w:val="en-US" w:eastAsia="es-MX"/>
        </w:rPr>
        <w:t xml:space="preserve"> and</w:t>
      </w:r>
      <w:r w:rsidRPr="00D869E3">
        <w:rPr>
          <w:rFonts w:ascii="Verdana" w:hAnsi="Verdana" w:cs="Arial Narrow"/>
          <w:color w:val="000000"/>
          <w:sz w:val="20"/>
          <w:szCs w:val="20"/>
          <w:lang w:val="en-US" w:eastAsia="es-MX"/>
        </w:rPr>
        <w:t xml:space="preserve"> the labor laws at the time of the facts</w:t>
      </w:r>
      <w:r w:rsidR="00065A47" w:rsidRPr="00D869E3">
        <w:rPr>
          <w:rFonts w:ascii="Verdana" w:hAnsi="Verdana" w:cs="Arial Narrow"/>
          <w:color w:val="000000"/>
          <w:sz w:val="20"/>
          <w:szCs w:val="20"/>
          <w:lang w:val="en-US" w:eastAsia="es-MX"/>
        </w:rPr>
        <w:t>,</w:t>
      </w:r>
      <w:r w:rsidRPr="00D869E3">
        <w:rPr>
          <w:rFonts w:ascii="Verdana" w:hAnsi="Verdana" w:cs="Arial Narrow"/>
          <w:color w:val="000000"/>
          <w:sz w:val="20"/>
          <w:szCs w:val="20"/>
          <w:lang w:val="en-US" w:eastAsia="es-MX"/>
        </w:rPr>
        <w:t xml:space="preserve"> explicitly </w:t>
      </w:r>
      <w:r w:rsidR="00065A47" w:rsidRPr="00D869E3">
        <w:rPr>
          <w:rFonts w:ascii="Verdana" w:hAnsi="Verdana" w:cs="Arial Narrow"/>
          <w:color w:val="000000"/>
          <w:sz w:val="20"/>
          <w:szCs w:val="20"/>
          <w:lang w:val="en-US" w:eastAsia="es-MX"/>
        </w:rPr>
        <w:t xml:space="preserve">recognized </w:t>
      </w:r>
      <w:r w:rsidRPr="00D869E3">
        <w:rPr>
          <w:rFonts w:ascii="Verdana" w:hAnsi="Verdana" w:cs="Arial Narrow"/>
          <w:color w:val="000000"/>
          <w:sz w:val="20"/>
          <w:szCs w:val="20"/>
          <w:lang w:val="en-US" w:eastAsia="es-MX"/>
        </w:rPr>
        <w:t>the right to job security</w:t>
      </w:r>
      <w:r w:rsidR="00E66DD7" w:rsidRPr="00D869E3">
        <w:rPr>
          <w:rFonts w:ascii="Verdana" w:hAnsi="Verdana" w:cs="Arial Narrow"/>
          <w:color w:val="000000"/>
          <w:sz w:val="20"/>
          <w:szCs w:val="20"/>
          <w:vertAlign w:val="superscript"/>
          <w:lang w:val="en-US" w:eastAsia="es-MX"/>
        </w:rPr>
        <w:footnoteReference w:id="245"/>
      </w:r>
      <w:r w:rsidR="00E66DD7" w:rsidRPr="00D869E3">
        <w:rPr>
          <w:rFonts w:ascii="Verdana" w:hAnsi="Verdana" w:cs="Arial Narrow"/>
          <w:color w:val="000000"/>
          <w:sz w:val="20"/>
          <w:szCs w:val="20"/>
          <w:lang w:val="en-US" w:eastAsia="es-MX"/>
        </w:rPr>
        <w:t xml:space="preserve"> (</w:t>
      </w:r>
      <w:r w:rsidR="00E66DD7" w:rsidRPr="00D869E3">
        <w:rPr>
          <w:rFonts w:ascii="Verdana" w:hAnsi="Verdana" w:cs="Arial Narrow"/>
          <w:i/>
          <w:color w:val="000000"/>
          <w:sz w:val="20"/>
          <w:szCs w:val="20"/>
          <w:lang w:val="en-US" w:eastAsia="es-MX"/>
        </w:rPr>
        <w:t>supra</w:t>
      </w:r>
      <w:r w:rsidR="00E66DD7" w:rsidRPr="00D869E3">
        <w:rPr>
          <w:rFonts w:ascii="Verdana" w:hAnsi="Verdana" w:cs="Arial Narrow"/>
          <w:color w:val="000000"/>
          <w:sz w:val="20"/>
          <w:szCs w:val="20"/>
          <w:lang w:val="en-US" w:eastAsia="es-MX"/>
        </w:rPr>
        <w:t xml:space="preserve">, </w:t>
      </w:r>
      <w:r w:rsidR="0087339F" w:rsidRPr="00D869E3">
        <w:rPr>
          <w:rFonts w:ascii="Verdana" w:hAnsi="Verdana" w:cs="Arial Narrow"/>
          <w:color w:val="000000"/>
          <w:sz w:val="20"/>
          <w:szCs w:val="20"/>
          <w:lang w:val="en-US" w:eastAsia="es-MX"/>
        </w:rPr>
        <w:t>para.</w:t>
      </w:r>
      <w:r w:rsidR="00E66DD7" w:rsidRPr="00D869E3">
        <w:rPr>
          <w:rFonts w:ascii="Verdana" w:hAnsi="Verdana" w:cs="Arial Narrow"/>
          <w:color w:val="000000"/>
          <w:sz w:val="20"/>
          <w:szCs w:val="20"/>
          <w:lang w:val="en-US" w:eastAsia="es-MX"/>
        </w:rPr>
        <w:t xml:space="preserve"> </w:t>
      </w:r>
      <w:r w:rsidR="00444E07" w:rsidRPr="00D869E3">
        <w:rPr>
          <w:rFonts w:ascii="Verdana" w:hAnsi="Verdana" w:cs="Arial Narrow"/>
          <w:color w:val="000000"/>
          <w:sz w:val="20"/>
          <w:szCs w:val="20"/>
          <w:lang w:val="en-US" w:eastAsia="es-MX"/>
        </w:rPr>
        <w:t>138).</w:t>
      </w:r>
    </w:p>
    <w:p w14:paraId="69E589C6" w14:textId="77777777" w:rsidR="00E66DD7" w:rsidRPr="00D869E3" w:rsidRDefault="00E66DD7" w:rsidP="00E66DD7">
      <w:pPr>
        <w:contextualSpacing/>
        <w:jc w:val="both"/>
        <w:rPr>
          <w:rFonts w:ascii="Verdana" w:hAnsi="Verdana"/>
          <w:sz w:val="20"/>
          <w:szCs w:val="20"/>
          <w:lang w:val="en-US"/>
        </w:rPr>
      </w:pPr>
    </w:p>
    <w:p w14:paraId="25E35EDA" w14:textId="707080F7" w:rsidR="00E66DD7" w:rsidRPr="00D869E3" w:rsidRDefault="008A0E87" w:rsidP="008A0E8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In this regard, the Court’s case law has identified a close connection between the scope of the rights recognized in </w:t>
      </w:r>
      <w:r w:rsidR="00447C65" w:rsidRPr="00D869E3">
        <w:rPr>
          <w:rFonts w:ascii="Verdana" w:hAnsi="Verdana"/>
          <w:color w:val="000000"/>
          <w:sz w:val="20"/>
          <w:szCs w:val="20"/>
          <w:lang w:val="en-US"/>
        </w:rPr>
        <w:t>Articles</w:t>
      </w:r>
      <w:r w:rsidR="00E66DD7" w:rsidRPr="00D869E3">
        <w:rPr>
          <w:rFonts w:ascii="Verdana" w:hAnsi="Verdana"/>
          <w:color w:val="000000"/>
          <w:sz w:val="20"/>
          <w:szCs w:val="20"/>
          <w:lang w:val="en-US"/>
        </w:rPr>
        <w:t xml:space="preserve"> 8</w:t>
      </w:r>
      <w:r w:rsidR="00687684" w:rsidRPr="00D869E3">
        <w:rPr>
          <w:rFonts w:ascii="Verdana" w:hAnsi="Verdana"/>
          <w:color w:val="000000"/>
          <w:sz w:val="20"/>
          <w:szCs w:val="20"/>
          <w:lang w:val="en-US"/>
        </w:rPr>
        <w:t xml:space="preserve"> and </w:t>
      </w:r>
      <w:r w:rsidR="00E66DD7" w:rsidRPr="00D869E3">
        <w:rPr>
          <w:rFonts w:ascii="Verdana" w:hAnsi="Verdana"/>
          <w:color w:val="000000"/>
          <w:sz w:val="20"/>
          <w:szCs w:val="20"/>
          <w:lang w:val="en-US"/>
        </w:rPr>
        <w:t>25</w:t>
      </w:r>
      <w:r w:rsidR="00447C65" w:rsidRPr="00D869E3">
        <w:rPr>
          <w:rFonts w:ascii="Verdana" w:hAnsi="Verdana"/>
          <w:color w:val="000000"/>
          <w:sz w:val="20"/>
          <w:szCs w:val="20"/>
          <w:lang w:val="en-US"/>
        </w:rPr>
        <w:t xml:space="preserve"> of the American Convention</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Thus, it has established that States have </w:t>
      </w:r>
      <w:r w:rsidR="00901386" w:rsidRPr="00D869E3">
        <w:rPr>
          <w:rFonts w:ascii="Verdana" w:hAnsi="Verdana"/>
          <w:color w:val="000000"/>
          <w:sz w:val="20"/>
          <w:szCs w:val="20"/>
          <w:lang w:val="en-US"/>
        </w:rPr>
        <w:t>the obligation</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to design and legislate effective remedies for the comprehensive protection of </w:t>
      </w:r>
      <w:r w:rsidR="00B443B4" w:rsidRPr="00D869E3">
        <w:rPr>
          <w:rFonts w:ascii="Verdana" w:hAnsi="Verdana"/>
          <w:color w:val="000000"/>
          <w:sz w:val="20"/>
          <w:szCs w:val="20"/>
          <w:lang w:val="en-US"/>
        </w:rPr>
        <w:t>human rights</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but also</w:t>
      </w:r>
      <w:r w:rsidR="00E66DD7" w:rsidRPr="00D869E3">
        <w:rPr>
          <w:rFonts w:ascii="Verdana" w:hAnsi="Verdana"/>
          <w:color w:val="000000"/>
          <w:sz w:val="20"/>
          <w:szCs w:val="20"/>
          <w:lang w:val="en-US"/>
        </w:rPr>
        <w:t xml:space="preserve"> </w:t>
      </w:r>
      <w:r w:rsidR="00901386" w:rsidRPr="00D869E3">
        <w:rPr>
          <w:rFonts w:ascii="Verdana" w:hAnsi="Verdana"/>
          <w:color w:val="000000"/>
          <w:sz w:val="20"/>
          <w:szCs w:val="20"/>
          <w:lang w:val="en-US"/>
        </w:rPr>
        <w:t>the obligation</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to ensure the due application of these remedies by their judicial authorities in proceedings that respect adequate guarantees,</w:t>
      </w:r>
      <w:r w:rsidR="00E66DD7" w:rsidRPr="00D869E3">
        <w:rPr>
          <w:rFonts w:ascii="Verdana" w:hAnsi="Verdana"/>
          <w:color w:val="000000"/>
          <w:sz w:val="20"/>
          <w:szCs w:val="20"/>
          <w:vertAlign w:val="superscript"/>
          <w:lang w:val="en-US"/>
        </w:rPr>
        <w:footnoteReference w:id="246"/>
      </w:r>
      <w:r w:rsidR="00687684" w:rsidRPr="00D869E3">
        <w:rPr>
          <w:rFonts w:ascii="Verdana" w:hAnsi="Verdana" w:cs="Helvetica"/>
          <w:sz w:val="20"/>
          <w:szCs w:val="20"/>
          <w:lang w:val="en-US"/>
        </w:rPr>
        <w:t xml:space="preserve"> </w:t>
      </w:r>
      <w:r w:rsidRPr="00D869E3">
        <w:rPr>
          <w:rFonts w:ascii="Verdana" w:hAnsi="Verdana" w:cs="Helvetica"/>
          <w:sz w:val="20"/>
          <w:szCs w:val="20"/>
          <w:lang w:val="en-US"/>
        </w:rPr>
        <w:t xml:space="preserve">and these must be </w:t>
      </w:r>
      <w:r w:rsidR="00FF034F" w:rsidRPr="00D869E3">
        <w:rPr>
          <w:rFonts w:ascii="Verdana" w:hAnsi="Verdana" w:cs="Helvetica"/>
          <w:sz w:val="20"/>
          <w:szCs w:val="20"/>
          <w:lang w:val="en-US"/>
        </w:rPr>
        <w:t xml:space="preserve"> conducted</w:t>
      </w:r>
      <w:r w:rsidRPr="00D869E3">
        <w:rPr>
          <w:rFonts w:ascii="Verdana" w:hAnsi="Verdana" w:cs="Helvetica"/>
          <w:sz w:val="20"/>
          <w:szCs w:val="20"/>
          <w:lang w:val="en-US"/>
        </w:rPr>
        <w:t xml:space="preserve"> </w:t>
      </w:r>
      <w:r w:rsidR="00FF034F" w:rsidRPr="00D869E3">
        <w:rPr>
          <w:rFonts w:ascii="Verdana" w:hAnsi="Verdana" w:cs="Helvetica"/>
          <w:sz w:val="20"/>
          <w:szCs w:val="20"/>
          <w:lang w:val="en-US"/>
        </w:rPr>
        <w:t>in keeping with</w:t>
      </w:r>
      <w:r w:rsidRPr="00D869E3">
        <w:rPr>
          <w:rFonts w:ascii="Verdana" w:hAnsi="Verdana" w:cs="Helvetica"/>
          <w:sz w:val="20"/>
          <w:szCs w:val="20"/>
          <w:lang w:val="en-US"/>
        </w:rPr>
        <w:t xml:space="preserve"> the rules of due process of law.</w:t>
      </w:r>
      <w:r w:rsidR="00E66DD7" w:rsidRPr="00D869E3">
        <w:rPr>
          <w:rFonts w:ascii="Verdana" w:hAnsi="Verdana" w:cs="Helvetica"/>
          <w:sz w:val="20"/>
          <w:szCs w:val="20"/>
          <w:vertAlign w:val="superscript"/>
          <w:lang w:val="en-US"/>
        </w:rPr>
        <w:footnoteReference w:id="247"/>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Thus, an effective remedy means that the competent authority’s analysis of a judicial remedy cannot be reduced to a mere formality; rather it must examine the reasons cited by the plaintiff and rule on them expressly.</w:t>
      </w:r>
      <w:r w:rsidR="00E66DD7" w:rsidRPr="00D869E3">
        <w:rPr>
          <w:rFonts w:ascii="Verdana" w:hAnsi="Verdana" w:cs="Helvetica"/>
          <w:sz w:val="20"/>
          <w:szCs w:val="20"/>
          <w:vertAlign w:val="superscript"/>
          <w:lang w:val="en-US"/>
        </w:rPr>
        <w:footnoteReference w:id="248"/>
      </w:r>
      <w:r w:rsidRPr="00D869E3">
        <w:rPr>
          <w:rFonts w:ascii="Verdana" w:hAnsi="Verdana" w:cs="Helvetica"/>
          <w:sz w:val="20"/>
          <w:szCs w:val="20"/>
          <w:lang w:val="en-US"/>
        </w:rPr>
        <w:t xml:space="preserve"> Accordingly, this effectiveness supposes that, in addition to the formal existence of remedies, these must provide results or </w:t>
      </w:r>
      <w:r w:rsidR="00FF034F" w:rsidRPr="00D869E3">
        <w:rPr>
          <w:rFonts w:ascii="Verdana" w:hAnsi="Verdana" w:cs="Helvetica"/>
          <w:sz w:val="20"/>
          <w:szCs w:val="20"/>
          <w:lang w:val="en-US"/>
        </w:rPr>
        <w:t>answers</w:t>
      </w:r>
      <w:r w:rsidRPr="00D869E3">
        <w:rPr>
          <w:rFonts w:ascii="Verdana" w:hAnsi="Verdana" w:cs="Helvetica"/>
          <w:sz w:val="20"/>
          <w:szCs w:val="20"/>
          <w:lang w:val="en-US"/>
        </w:rPr>
        <w:t xml:space="preserve"> to the violations of rights established in either</w:t>
      </w:r>
      <w:r w:rsidR="00E66DD7" w:rsidRPr="00D869E3">
        <w:rPr>
          <w:rFonts w:ascii="Verdana" w:hAnsi="Verdana" w:cs="Helvetica"/>
          <w:sz w:val="20"/>
          <w:szCs w:val="20"/>
          <w:lang w:val="en-US"/>
        </w:rPr>
        <w:t xml:space="preserve"> </w:t>
      </w:r>
      <w:r w:rsidR="00447C65" w:rsidRPr="00D869E3">
        <w:rPr>
          <w:rFonts w:ascii="Verdana" w:hAnsi="Verdana" w:cs="Helvetica"/>
          <w:sz w:val="20"/>
          <w:szCs w:val="20"/>
          <w:lang w:val="en-US"/>
        </w:rPr>
        <w:t>the Convention</w:t>
      </w:r>
      <w:r w:rsidRPr="00D869E3">
        <w:rPr>
          <w:rFonts w:ascii="Verdana" w:hAnsi="Verdana" w:cs="Helvetica"/>
          <w:sz w:val="20"/>
          <w:szCs w:val="20"/>
          <w:lang w:val="en-US"/>
        </w:rPr>
        <w:t xml:space="preserve"> or</w:t>
      </w:r>
      <w:r w:rsidR="00E66DD7" w:rsidRPr="00D869E3">
        <w:rPr>
          <w:rFonts w:ascii="Verdana" w:hAnsi="Verdana" w:cs="Helvetica"/>
          <w:sz w:val="20"/>
          <w:szCs w:val="20"/>
          <w:lang w:val="en-US"/>
        </w:rPr>
        <w:t xml:space="preserve"> </w:t>
      </w:r>
      <w:r w:rsidRPr="00D869E3">
        <w:rPr>
          <w:rFonts w:ascii="Verdana" w:hAnsi="Verdana" w:cs="Helvetica"/>
          <w:sz w:val="20"/>
          <w:szCs w:val="20"/>
          <w:lang w:val="en-US"/>
        </w:rPr>
        <w:t>the Constitution or by law</w:t>
      </w:r>
      <w:r w:rsidR="00E66DD7" w:rsidRPr="00D869E3">
        <w:rPr>
          <w:rFonts w:ascii="Verdana" w:hAnsi="Verdana" w:cs="Helvetica"/>
          <w:sz w:val="20"/>
          <w:szCs w:val="20"/>
          <w:lang w:val="en-US"/>
        </w:rPr>
        <w:t xml:space="preserve">. </w:t>
      </w:r>
    </w:p>
    <w:p w14:paraId="1EBA9695" w14:textId="77777777" w:rsidR="00E66DD7" w:rsidRPr="00D869E3" w:rsidRDefault="00E66DD7" w:rsidP="00E66DD7">
      <w:pPr>
        <w:contextualSpacing/>
        <w:jc w:val="both"/>
        <w:rPr>
          <w:rFonts w:ascii="Verdana" w:hAnsi="Verdana"/>
          <w:sz w:val="20"/>
          <w:szCs w:val="20"/>
          <w:lang w:val="en-US"/>
        </w:rPr>
      </w:pPr>
    </w:p>
    <w:p w14:paraId="772F8D3F" w14:textId="640D07C1" w:rsidR="00E66DD7" w:rsidRPr="00D869E3" w:rsidRDefault="008A0E87"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 will now analyze whether</w:t>
      </w:r>
      <w:r w:rsidR="00FF034F" w:rsidRPr="00D869E3">
        <w:rPr>
          <w:rFonts w:ascii="Verdana" w:hAnsi="Verdana"/>
          <w:sz w:val="20"/>
          <w:szCs w:val="20"/>
          <w:lang w:val="en-US"/>
        </w:rPr>
        <w:t>, based on his dismissal,</w:t>
      </w:r>
      <w:r w:rsidRPr="00D869E3">
        <w:rPr>
          <w:rFonts w:ascii="Verdana" w:hAnsi="Verdana"/>
          <w:sz w:val="20"/>
          <w:szCs w:val="20"/>
          <w:lang w:val="en-US"/>
        </w:rPr>
        <w:t xml:space="preserve"> </w:t>
      </w:r>
      <w:r w:rsidR="00EE0BD4" w:rsidRPr="00D869E3">
        <w:rPr>
          <w:rFonts w:ascii="Verdana" w:hAnsi="Verdana"/>
          <w:sz w:val="20"/>
          <w:szCs w:val="20"/>
          <w:lang w:val="en-US"/>
        </w:rPr>
        <w:t>Mr. Lagos</w:t>
      </w:r>
      <w:r w:rsidR="00E66DD7" w:rsidRPr="00D869E3">
        <w:rPr>
          <w:rFonts w:ascii="Verdana" w:hAnsi="Verdana"/>
          <w:sz w:val="20"/>
          <w:szCs w:val="20"/>
          <w:lang w:val="en-US"/>
        </w:rPr>
        <w:t xml:space="preserve"> del Campo </w:t>
      </w:r>
      <w:r w:rsidRPr="00D869E3">
        <w:rPr>
          <w:rFonts w:ascii="Verdana" w:hAnsi="Verdana"/>
          <w:sz w:val="20"/>
          <w:szCs w:val="20"/>
          <w:lang w:val="en-US"/>
        </w:rPr>
        <w:t>was guarantee</w:t>
      </w:r>
      <w:r w:rsidR="00FF034F" w:rsidRPr="00D869E3">
        <w:rPr>
          <w:rFonts w:ascii="Verdana" w:hAnsi="Verdana"/>
          <w:sz w:val="20"/>
          <w:szCs w:val="20"/>
          <w:lang w:val="en-US"/>
        </w:rPr>
        <w:t>d</w:t>
      </w:r>
      <w:r w:rsidR="00E66DD7" w:rsidRPr="00D869E3">
        <w:rPr>
          <w:rFonts w:ascii="Verdana" w:hAnsi="Verdana"/>
          <w:sz w:val="20"/>
          <w:szCs w:val="20"/>
          <w:lang w:val="en-US"/>
        </w:rPr>
        <w:t xml:space="preserve"> </w:t>
      </w:r>
      <w:r w:rsidR="00901386" w:rsidRPr="00D869E3">
        <w:rPr>
          <w:rFonts w:ascii="Verdana" w:hAnsi="Verdana"/>
          <w:sz w:val="20"/>
          <w:szCs w:val="20"/>
          <w:lang w:val="en-US"/>
        </w:rPr>
        <w:t>access to justice</w:t>
      </w:r>
      <w:r w:rsidR="00E66DD7" w:rsidRPr="00D869E3">
        <w:rPr>
          <w:rFonts w:ascii="Verdana" w:hAnsi="Verdana"/>
          <w:sz w:val="20"/>
          <w:szCs w:val="20"/>
          <w:lang w:val="en-US"/>
        </w:rPr>
        <w:t xml:space="preserve"> </w:t>
      </w:r>
      <w:r w:rsidR="00A91C7C" w:rsidRPr="00D869E3">
        <w:rPr>
          <w:rFonts w:ascii="Verdana" w:hAnsi="Verdana"/>
          <w:sz w:val="20"/>
          <w:szCs w:val="20"/>
          <w:lang w:val="en-US"/>
        </w:rPr>
        <w:t>in relation to the rights alleged at the appeals stage.</w:t>
      </w:r>
    </w:p>
    <w:p w14:paraId="764A8FC9" w14:textId="77777777" w:rsidR="00E66DD7" w:rsidRPr="00D869E3" w:rsidRDefault="00E66DD7" w:rsidP="00E66DD7">
      <w:pPr>
        <w:contextualSpacing/>
        <w:jc w:val="both"/>
        <w:rPr>
          <w:rFonts w:ascii="Verdana" w:hAnsi="Verdana" w:cs="Helvetica"/>
          <w:sz w:val="20"/>
          <w:szCs w:val="20"/>
          <w:lang w:val="en-US"/>
        </w:rPr>
      </w:pPr>
    </w:p>
    <w:p w14:paraId="257B136C" w14:textId="381F9789" w:rsidR="00E66DD7" w:rsidRPr="00D869E3" w:rsidRDefault="00447C6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E66DD7" w:rsidRPr="00D869E3">
        <w:rPr>
          <w:rFonts w:ascii="Verdana" w:hAnsi="Verdana"/>
          <w:sz w:val="20"/>
          <w:szCs w:val="20"/>
          <w:lang w:val="en-US"/>
        </w:rPr>
        <w:t xml:space="preserve"> rec</w:t>
      </w:r>
      <w:r w:rsidR="00D23E42" w:rsidRPr="00D869E3">
        <w:rPr>
          <w:rFonts w:ascii="Verdana" w:hAnsi="Verdana"/>
          <w:sz w:val="20"/>
          <w:szCs w:val="20"/>
          <w:lang w:val="en-US"/>
        </w:rPr>
        <w:t xml:space="preserve">alls that, in light of the decision of the trial judge of June 25, 1991, that the dismissal was unjustified, Ceper-Pirelli filed an appeal before the </w:t>
      </w:r>
      <w:r w:rsidR="00DB128C" w:rsidRPr="00D869E3">
        <w:rPr>
          <w:rFonts w:ascii="Verdana" w:hAnsi="Verdana"/>
          <w:sz w:val="20"/>
          <w:szCs w:val="20"/>
          <w:lang w:val="en-US"/>
        </w:rPr>
        <w:t>Second</w:t>
      </w:r>
      <w:r w:rsidR="00E66DD7" w:rsidRPr="00D869E3">
        <w:rPr>
          <w:rFonts w:ascii="Verdana" w:hAnsi="Verdana"/>
          <w:sz w:val="20"/>
          <w:szCs w:val="20"/>
          <w:lang w:val="en-US"/>
        </w:rPr>
        <w:t xml:space="preserve"> </w:t>
      </w:r>
      <w:r w:rsidR="003506CC" w:rsidRPr="00D869E3">
        <w:rPr>
          <w:rFonts w:ascii="Verdana" w:hAnsi="Verdana"/>
          <w:sz w:val="20"/>
          <w:szCs w:val="20"/>
          <w:lang w:val="en-US"/>
        </w:rPr>
        <w:t>Labor Court</w:t>
      </w:r>
      <w:r w:rsidR="00D23E42" w:rsidRPr="00D869E3">
        <w:rPr>
          <w:rFonts w:ascii="Verdana" w:hAnsi="Verdana"/>
          <w:sz w:val="20"/>
          <w:szCs w:val="20"/>
          <w:lang w:val="en-US"/>
        </w:rPr>
        <w:t xml:space="preserve"> to revoke the first instance judgment.</w:t>
      </w:r>
      <w:r w:rsidR="00E66DD7" w:rsidRPr="00D869E3">
        <w:rPr>
          <w:rFonts w:ascii="Verdana" w:hAnsi="Verdana"/>
          <w:sz w:val="20"/>
          <w:szCs w:val="20"/>
          <w:vertAlign w:val="superscript"/>
          <w:lang w:val="en-US"/>
        </w:rPr>
        <w:footnoteReference w:id="249"/>
      </w:r>
      <w:r w:rsidR="00E66DD7" w:rsidRPr="00D869E3">
        <w:rPr>
          <w:rFonts w:ascii="Verdana" w:hAnsi="Verdana"/>
          <w:sz w:val="20"/>
          <w:szCs w:val="20"/>
          <w:lang w:val="en-US"/>
        </w:rPr>
        <w:t xml:space="preserve"> </w:t>
      </w:r>
      <w:r w:rsidR="00D23E42" w:rsidRPr="00D869E3">
        <w:rPr>
          <w:rFonts w:ascii="Verdana" w:hAnsi="Verdana"/>
          <w:sz w:val="20"/>
          <w:szCs w:val="20"/>
          <w:lang w:val="en-US"/>
        </w:rPr>
        <w:t>That same day,</w:t>
      </w:r>
      <w:r w:rsidR="00E66DD7" w:rsidRPr="00D869E3">
        <w:rPr>
          <w:rFonts w:ascii="Verdana" w:hAnsi="Verdana"/>
          <w:sz w:val="20"/>
          <w:szCs w:val="20"/>
          <w:lang w:val="en-US"/>
        </w:rPr>
        <w:t xml:space="preserve"> </w:t>
      </w:r>
      <w:r w:rsidR="003506CC" w:rsidRPr="00D869E3">
        <w:rPr>
          <w:rFonts w:ascii="Verdana" w:hAnsi="Verdana"/>
          <w:sz w:val="20"/>
          <w:szCs w:val="20"/>
          <w:lang w:val="en-US"/>
        </w:rPr>
        <w:t>the Second Labor Court</w:t>
      </w:r>
      <w:r w:rsidR="00D23E42" w:rsidRPr="00D869E3">
        <w:rPr>
          <w:rFonts w:ascii="Verdana" w:hAnsi="Verdana"/>
          <w:sz w:val="20"/>
          <w:szCs w:val="20"/>
          <w:lang w:val="en-US"/>
        </w:rPr>
        <w:t xml:space="preserve"> heard the oral </w:t>
      </w:r>
      <w:r w:rsidR="00FF034F" w:rsidRPr="00D869E3">
        <w:rPr>
          <w:rFonts w:ascii="Verdana" w:hAnsi="Verdana"/>
          <w:sz w:val="20"/>
          <w:szCs w:val="20"/>
          <w:lang w:val="en-US"/>
        </w:rPr>
        <w:t>submissions</w:t>
      </w:r>
      <w:r w:rsidR="00E66DD7" w:rsidRPr="00D869E3">
        <w:rPr>
          <w:rFonts w:ascii="Verdana" w:hAnsi="Verdana"/>
          <w:sz w:val="20"/>
          <w:szCs w:val="20"/>
          <w:lang w:val="en-US"/>
        </w:rPr>
        <w:t xml:space="preserve"> </w:t>
      </w:r>
      <w:r w:rsidR="00687684" w:rsidRPr="00D869E3">
        <w:rPr>
          <w:rFonts w:ascii="Verdana" w:hAnsi="Verdana"/>
          <w:sz w:val="20"/>
          <w:szCs w:val="20"/>
          <w:lang w:val="en-US"/>
        </w:rPr>
        <w:t>of the</w:t>
      </w:r>
      <w:r w:rsidR="00D23E42" w:rsidRPr="00D869E3">
        <w:rPr>
          <w:rFonts w:ascii="Verdana" w:hAnsi="Verdana"/>
          <w:sz w:val="20"/>
          <w:szCs w:val="20"/>
          <w:lang w:val="en-US"/>
        </w:rPr>
        <w:t xml:space="preserve"> company’s</w:t>
      </w:r>
      <w:r w:rsidR="00687684" w:rsidRPr="00D869E3">
        <w:rPr>
          <w:rFonts w:ascii="Verdana" w:hAnsi="Verdana"/>
          <w:sz w:val="20"/>
          <w:szCs w:val="20"/>
          <w:lang w:val="en-US"/>
        </w:rPr>
        <w:t xml:space="preserve"> representatives</w:t>
      </w:r>
      <w:r w:rsidR="00E66DD7" w:rsidRPr="00D869E3">
        <w:rPr>
          <w:rFonts w:ascii="Verdana" w:hAnsi="Verdana"/>
          <w:sz w:val="20"/>
          <w:szCs w:val="20"/>
          <w:lang w:val="en-US"/>
        </w:rPr>
        <w:t xml:space="preserve">. </w:t>
      </w:r>
      <w:r w:rsidR="00D23E42" w:rsidRPr="00D869E3">
        <w:rPr>
          <w:rFonts w:ascii="Verdana" w:hAnsi="Verdana"/>
          <w:sz w:val="20"/>
          <w:szCs w:val="20"/>
          <w:lang w:val="en-US"/>
        </w:rPr>
        <w:t>Subsequently, the company presented two briefs on June 25 and July 3, 1991, which were processed on July 15, 1991</w:t>
      </w:r>
      <w:r w:rsidR="00E66DD7"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D23E42" w:rsidRPr="00D869E3">
        <w:rPr>
          <w:rFonts w:ascii="Verdana" w:hAnsi="Verdana"/>
          <w:sz w:val="20"/>
          <w:szCs w:val="20"/>
          <w:lang w:val="en-US"/>
        </w:rPr>
        <w:t>received the respective notification on July 23,</w:t>
      </w:r>
      <w:r w:rsidR="00E66DD7" w:rsidRPr="00D869E3">
        <w:rPr>
          <w:rFonts w:ascii="Verdana" w:hAnsi="Verdana"/>
          <w:sz w:val="20"/>
          <w:szCs w:val="20"/>
          <w:lang w:val="en-US"/>
        </w:rPr>
        <w:t xml:space="preserve"> 1991. </w:t>
      </w:r>
    </w:p>
    <w:p w14:paraId="7DA4E462" w14:textId="77777777" w:rsidR="00E66DD7" w:rsidRPr="00D869E3" w:rsidRDefault="00E66DD7" w:rsidP="00E66DD7">
      <w:pPr>
        <w:contextualSpacing/>
        <w:jc w:val="both"/>
        <w:rPr>
          <w:rFonts w:ascii="Verdana" w:hAnsi="Verdana"/>
          <w:sz w:val="20"/>
          <w:szCs w:val="20"/>
          <w:lang w:val="en-US"/>
        </w:rPr>
      </w:pPr>
    </w:p>
    <w:p w14:paraId="39DA6EC0" w14:textId="2E579739" w:rsidR="00E66DD7" w:rsidRPr="00D869E3" w:rsidRDefault="001E44D3"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D23E42" w:rsidRPr="00D869E3">
        <w:rPr>
          <w:rFonts w:ascii="Verdana" w:hAnsi="Verdana"/>
          <w:sz w:val="20"/>
          <w:szCs w:val="20"/>
          <w:lang w:val="en-US"/>
        </w:rPr>
        <w:t>submitted his answer to those briefs to the Second Labor Court on August 1, 1991.</w:t>
      </w:r>
      <w:r w:rsidR="00E66DD7" w:rsidRPr="00D869E3">
        <w:rPr>
          <w:rFonts w:ascii="Verdana" w:hAnsi="Verdana"/>
          <w:sz w:val="20"/>
          <w:szCs w:val="20"/>
          <w:vertAlign w:val="superscript"/>
          <w:lang w:val="en-US"/>
        </w:rPr>
        <w:footnoteReference w:id="250"/>
      </w:r>
      <w:r w:rsidR="00D23E42" w:rsidRPr="00D869E3">
        <w:rPr>
          <w:rFonts w:ascii="Verdana" w:hAnsi="Verdana"/>
          <w:sz w:val="20"/>
          <w:szCs w:val="20"/>
          <w:lang w:val="en-US"/>
        </w:rPr>
        <w:t xml:space="preserve"> However, his brief was only processed by </w:t>
      </w:r>
      <w:r w:rsidR="00447C65" w:rsidRPr="00D869E3">
        <w:rPr>
          <w:rFonts w:ascii="Verdana" w:hAnsi="Verdana"/>
          <w:sz w:val="20"/>
          <w:szCs w:val="20"/>
          <w:lang w:val="en-US"/>
        </w:rPr>
        <w:t xml:space="preserve">the </w:t>
      </w:r>
      <w:r w:rsidR="003506CC" w:rsidRPr="00D869E3">
        <w:rPr>
          <w:rFonts w:ascii="Verdana" w:hAnsi="Verdana"/>
          <w:sz w:val="20"/>
          <w:szCs w:val="20"/>
          <w:lang w:val="en-US"/>
        </w:rPr>
        <w:t>Labor Court</w:t>
      </w:r>
      <w:r w:rsidR="00E66DD7" w:rsidRPr="00D869E3">
        <w:rPr>
          <w:rFonts w:ascii="Verdana" w:hAnsi="Verdana"/>
          <w:sz w:val="20"/>
          <w:szCs w:val="20"/>
          <w:lang w:val="en-US"/>
        </w:rPr>
        <w:t xml:space="preserve"> </w:t>
      </w:r>
      <w:r w:rsidR="00D23E42" w:rsidRPr="00D869E3">
        <w:rPr>
          <w:rFonts w:ascii="Verdana" w:hAnsi="Verdana"/>
          <w:sz w:val="20"/>
          <w:szCs w:val="20"/>
          <w:lang w:val="en-US"/>
        </w:rPr>
        <w:t>on August 9,</w:t>
      </w:r>
      <w:r w:rsidR="00E66DD7" w:rsidRPr="00D869E3">
        <w:rPr>
          <w:rFonts w:ascii="Verdana" w:hAnsi="Verdana"/>
          <w:sz w:val="20"/>
          <w:szCs w:val="20"/>
          <w:lang w:val="en-US"/>
        </w:rPr>
        <w:t xml:space="preserve"> 1991, </w:t>
      </w:r>
      <w:r w:rsidR="00D23E42" w:rsidRPr="00D869E3">
        <w:rPr>
          <w:rFonts w:ascii="Verdana" w:hAnsi="Verdana"/>
          <w:sz w:val="20"/>
          <w:szCs w:val="20"/>
          <w:lang w:val="en-US"/>
        </w:rPr>
        <w:t>after it had delivered judgment deciding to revoke the first instance judgment</w:t>
      </w:r>
      <w:r w:rsidR="00E66DD7" w:rsidRPr="00D869E3">
        <w:rPr>
          <w:rFonts w:ascii="Verdana" w:hAnsi="Verdana"/>
          <w:sz w:val="20"/>
          <w:szCs w:val="20"/>
          <w:lang w:val="en-US"/>
        </w:rPr>
        <w:t xml:space="preserve"> (</w:t>
      </w:r>
      <w:r w:rsidR="001E3B42" w:rsidRPr="00D869E3">
        <w:rPr>
          <w:rFonts w:ascii="Verdana" w:hAnsi="Verdana"/>
          <w:sz w:val="20"/>
          <w:szCs w:val="20"/>
          <w:lang w:val="en-US"/>
        </w:rPr>
        <w:t>August 8,</w:t>
      </w:r>
      <w:r w:rsidR="00E66DD7" w:rsidRPr="00D869E3">
        <w:rPr>
          <w:rFonts w:ascii="Verdana" w:hAnsi="Verdana"/>
          <w:sz w:val="20"/>
          <w:szCs w:val="20"/>
          <w:lang w:val="en-US"/>
        </w:rPr>
        <w:t xml:space="preserve"> 1991).</w:t>
      </w:r>
    </w:p>
    <w:p w14:paraId="0BD78BDA" w14:textId="77777777" w:rsidR="00E66DD7" w:rsidRPr="00D869E3" w:rsidRDefault="00E66DD7" w:rsidP="00E66DD7">
      <w:pPr>
        <w:contextualSpacing/>
        <w:jc w:val="both"/>
        <w:rPr>
          <w:rFonts w:ascii="Verdana" w:hAnsi="Verdana"/>
          <w:sz w:val="20"/>
          <w:szCs w:val="20"/>
          <w:lang w:val="en-US"/>
        </w:rPr>
      </w:pPr>
    </w:p>
    <w:p w14:paraId="671CE456" w14:textId="2299AEA5" w:rsidR="00E66DD7" w:rsidRPr="00D869E3" w:rsidRDefault="00075E68" w:rsidP="00D77CB3">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447C65" w:rsidRPr="00D869E3">
        <w:rPr>
          <w:rFonts w:ascii="Verdana" w:hAnsi="Verdana"/>
          <w:sz w:val="20"/>
          <w:szCs w:val="20"/>
          <w:lang w:val="en-US"/>
        </w:rPr>
        <w:t>the Court</w:t>
      </w:r>
      <w:r w:rsidR="00E66DD7" w:rsidRPr="00D869E3">
        <w:rPr>
          <w:rFonts w:ascii="Verdana" w:hAnsi="Verdana"/>
          <w:sz w:val="20"/>
          <w:szCs w:val="20"/>
          <w:lang w:val="en-US"/>
        </w:rPr>
        <w:t xml:space="preserve"> reitera</w:t>
      </w:r>
      <w:r w:rsidR="00D77CB3" w:rsidRPr="00D869E3">
        <w:rPr>
          <w:rFonts w:ascii="Verdana" w:hAnsi="Verdana"/>
          <w:sz w:val="20"/>
          <w:szCs w:val="20"/>
          <w:lang w:val="en-US"/>
        </w:rPr>
        <w:t>tes that States have the obligation to ensure the effectiveness of the said remedies with adequate guarantees and with rules to ensure due process of law</w:t>
      </w:r>
      <w:r w:rsidR="00AF0B80" w:rsidRPr="00D869E3">
        <w:rPr>
          <w:rFonts w:ascii="Verdana" w:hAnsi="Verdana"/>
          <w:sz w:val="20"/>
          <w:szCs w:val="20"/>
          <w:lang w:val="en-US"/>
        </w:rPr>
        <w:t xml:space="preserve"> (</w:t>
      </w:r>
      <w:r w:rsidR="00AF0B80" w:rsidRPr="00D869E3">
        <w:rPr>
          <w:rFonts w:ascii="Verdana" w:hAnsi="Verdana"/>
          <w:i/>
          <w:sz w:val="20"/>
          <w:szCs w:val="20"/>
          <w:lang w:val="en-US"/>
        </w:rPr>
        <w:t>supra</w:t>
      </w:r>
      <w:r w:rsidR="00AF0B80" w:rsidRPr="00D869E3">
        <w:rPr>
          <w:rFonts w:ascii="Verdana" w:hAnsi="Verdana"/>
          <w:sz w:val="20"/>
          <w:szCs w:val="20"/>
          <w:lang w:val="en-US"/>
        </w:rPr>
        <w:t xml:space="preserve">, </w:t>
      </w:r>
      <w:r w:rsidR="0087339F" w:rsidRPr="00D869E3">
        <w:rPr>
          <w:rFonts w:ascii="Verdana" w:hAnsi="Verdana"/>
          <w:sz w:val="20"/>
          <w:szCs w:val="20"/>
          <w:lang w:val="en-US"/>
        </w:rPr>
        <w:t>para.</w:t>
      </w:r>
      <w:r w:rsidR="00AF0B80" w:rsidRPr="00D869E3">
        <w:rPr>
          <w:rFonts w:ascii="Verdana" w:hAnsi="Verdana"/>
          <w:sz w:val="20"/>
          <w:szCs w:val="20"/>
          <w:lang w:val="en-US"/>
        </w:rPr>
        <w:t xml:space="preserve"> 76)</w:t>
      </w:r>
      <w:r w:rsidR="00E66DD7" w:rsidRPr="00D869E3">
        <w:rPr>
          <w:rFonts w:ascii="Verdana" w:hAnsi="Verdana"/>
          <w:sz w:val="20"/>
          <w:szCs w:val="20"/>
          <w:lang w:val="en-US"/>
        </w:rPr>
        <w:t>.</w:t>
      </w:r>
      <w:r w:rsidR="00E66DD7" w:rsidRPr="00D869E3">
        <w:rPr>
          <w:rFonts w:ascii="Verdana" w:hAnsi="Verdana"/>
          <w:color w:val="000000"/>
          <w:sz w:val="20"/>
          <w:szCs w:val="20"/>
          <w:lang w:val="en-US"/>
        </w:rPr>
        <w:t xml:space="preserve"> </w:t>
      </w:r>
      <w:r w:rsidR="00D77CB3" w:rsidRPr="00D869E3">
        <w:rPr>
          <w:rFonts w:ascii="Verdana" w:hAnsi="Verdana"/>
          <w:color w:val="000000"/>
          <w:sz w:val="20"/>
          <w:szCs w:val="20"/>
          <w:lang w:val="en-US"/>
        </w:rPr>
        <w:t>It should be pointed out that, pursuant to a</w:t>
      </w:r>
      <w:r w:rsidR="00447C65" w:rsidRPr="00D869E3">
        <w:rPr>
          <w:rFonts w:ascii="Verdana" w:hAnsi="Verdana"/>
          <w:color w:val="000000"/>
          <w:sz w:val="20"/>
          <w:szCs w:val="20"/>
          <w:lang w:val="en-US"/>
        </w:rPr>
        <w:t>rticle</w:t>
      </w:r>
      <w:r w:rsidR="00E66DD7" w:rsidRPr="00D869E3">
        <w:rPr>
          <w:rFonts w:ascii="Verdana" w:hAnsi="Verdana"/>
          <w:sz w:val="20"/>
          <w:szCs w:val="20"/>
          <w:lang w:val="en-US"/>
        </w:rPr>
        <w:t xml:space="preserve"> 233 </w:t>
      </w:r>
      <w:r w:rsidR="001E3B42" w:rsidRPr="00D869E3">
        <w:rPr>
          <w:rFonts w:ascii="Verdana" w:hAnsi="Verdana"/>
          <w:sz w:val="20"/>
          <w:szCs w:val="20"/>
          <w:lang w:val="en-US"/>
        </w:rPr>
        <w:t xml:space="preserve">of the </w:t>
      </w:r>
      <w:r w:rsidR="00D77CB3" w:rsidRPr="00D869E3">
        <w:rPr>
          <w:rFonts w:ascii="Verdana" w:hAnsi="Verdana"/>
          <w:sz w:val="20"/>
          <w:szCs w:val="20"/>
          <w:lang w:val="en-US"/>
        </w:rPr>
        <w:t xml:space="preserve">1979 Peruvian </w:t>
      </w:r>
      <w:r w:rsidR="001E3B42" w:rsidRPr="00D869E3">
        <w:rPr>
          <w:rFonts w:ascii="Verdana" w:hAnsi="Verdana"/>
          <w:sz w:val="20"/>
          <w:szCs w:val="20"/>
          <w:lang w:val="en-US"/>
        </w:rPr>
        <w:t>Constitution</w:t>
      </w:r>
      <w:r w:rsidR="00D77CB3" w:rsidRPr="00D869E3">
        <w:rPr>
          <w:rFonts w:ascii="Verdana" w:hAnsi="Verdana"/>
          <w:sz w:val="20"/>
          <w:szCs w:val="20"/>
          <w:lang w:val="en-US"/>
        </w:rPr>
        <w:t>, the proper administration of justice required “</w:t>
      </w:r>
      <w:r w:rsidR="00FF034F" w:rsidRPr="00D869E3">
        <w:rPr>
          <w:rFonts w:ascii="Verdana" w:hAnsi="Verdana"/>
          <w:sz w:val="20"/>
          <w:szCs w:val="20"/>
          <w:lang w:val="en-US"/>
        </w:rPr>
        <w:t>the</w:t>
      </w:r>
      <w:r w:rsidR="00D77CB3" w:rsidRPr="00D869E3">
        <w:rPr>
          <w:rFonts w:ascii="Verdana" w:hAnsi="Verdana"/>
          <w:sz w:val="20"/>
          <w:szCs w:val="20"/>
          <w:lang w:val="en-US"/>
        </w:rPr>
        <w:t xml:space="preserve"> statement of the reasons for the decisions, in all instances, that expressly mention[ed] the applicable law and the grounds that substantiate</w:t>
      </w:r>
      <w:r w:rsidR="009B63FE" w:rsidRPr="00D869E3">
        <w:rPr>
          <w:rFonts w:ascii="Verdana" w:hAnsi="Verdana"/>
          <w:sz w:val="20"/>
          <w:szCs w:val="20"/>
          <w:lang w:val="en-US"/>
        </w:rPr>
        <w:t>[d]</w:t>
      </w:r>
      <w:r w:rsidR="00C76F05" w:rsidRPr="00D869E3">
        <w:rPr>
          <w:rFonts w:ascii="Verdana" w:hAnsi="Verdana"/>
          <w:sz w:val="20"/>
          <w:szCs w:val="20"/>
          <w:lang w:val="en-US"/>
        </w:rPr>
        <w:t xml:space="preserve"> them.</w:t>
      </w:r>
      <w:r w:rsidR="00D77CB3" w:rsidRPr="00D869E3">
        <w:rPr>
          <w:rFonts w:ascii="Verdana" w:hAnsi="Verdana"/>
          <w:sz w:val="20"/>
          <w:szCs w:val="20"/>
          <w:lang w:val="en-US"/>
        </w:rPr>
        <w:t>”</w:t>
      </w:r>
      <w:r w:rsidR="00E66DD7" w:rsidRPr="00D869E3">
        <w:rPr>
          <w:rFonts w:ascii="Verdana" w:hAnsi="Verdana"/>
          <w:color w:val="000000"/>
          <w:sz w:val="20"/>
          <w:szCs w:val="20"/>
          <w:vertAlign w:val="superscript"/>
          <w:lang w:val="en-US"/>
        </w:rPr>
        <w:footnoteReference w:id="251"/>
      </w:r>
    </w:p>
    <w:p w14:paraId="5A70B5A5" w14:textId="77777777" w:rsidR="00E66DD7" w:rsidRPr="00D869E3" w:rsidRDefault="00E66DD7" w:rsidP="00E66DD7">
      <w:pPr>
        <w:contextualSpacing/>
        <w:jc w:val="both"/>
        <w:rPr>
          <w:rFonts w:ascii="Verdana" w:hAnsi="Verdana"/>
          <w:sz w:val="20"/>
          <w:szCs w:val="20"/>
          <w:lang w:val="en-US"/>
        </w:rPr>
      </w:pPr>
    </w:p>
    <w:p w14:paraId="0A83B126" w14:textId="3317CC3F" w:rsidR="009B63FE" w:rsidRPr="00D869E3" w:rsidRDefault="00447C6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E66DD7" w:rsidRPr="00D869E3">
        <w:rPr>
          <w:rFonts w:ascii="Verdana" w:hAnsi="Verdana"/>
          <w:sz w:val="20"/>
          <w:szCs w:val="20"/>
          <w:lang w:val="en-US"/>
        </w:rPr>
        <w:t xml:space="preserve"> not</w:t>
      </w:r>
      <w:r w:rsidR="009B63FE" w:rsidRPr="00D869E3">
        <w:rPr>
          <w:rFonts w:ascii="Verdana" w:hAnsi="Verdana"/>
          <w:sz w:val="20"/>
          <w:szCs w:val="20"/>
          <w:lang w:val="en-US"/>
        </w:rPr>
        <w:t xml:space="preserve">es that, at the domestic level, </w:t>
      </w:r>
      <w:r w:rsidR="001E44D3" w:rsidRPr="00D869E3">
        <w:rPr>
          <w:rFonts w:ascii="Verdana" w:hAnsi="Verdana"/>
          <w:sz w:val="20"/>
          <w:szCs w:val="20"/>
          <w:lang w:val="en-US"/>
        </w:rPr>
        <w:t>Mr. Lagos del Campo</w:t>
      </w:r>
      <w:r w:rsidR="00E66DD7" w:rsidRPr="00D869E3">
        <w:rPr>
          <w:rFonts w:ascii="Verdana" w:hAnsi="Verdana"/>
          <w:sz w:val="20"/>
          <w:szCs w:val="20"/>
          <w:lang w:val="en-US"/>
        </w:rPr>
        <w:t xml:space="preserve"> </w:t>
      </w:r>
      <w:r w:rsidR="009B63FE" w:rsidRPr="00D869E3">
        <w:rPr>
          <w:rFonts w:ascii="Verdana" w:hAnsi="Verdana"/>
          <w:sz w:val="20"/>
          <w:szCs w:val="20"/>
          <w:lang w:val="en-US"/>
        </w:rPr>
        <w:t xml:space="preserve">filed at least seven appeals and several requests before the judicial organs of </w:t>
      </w:r>
      <w:r w:rsidRPr="00D869E3">
        <w:rPr>
          <w:rFonts w:ascii="Verdana" w:hAnsi="Verdana"/>
          <w:sz w:val="20"/>
          <w:szCs w:val="20"/>
          <w:lang w:val="en-US"/>
        </w:rPr>
        <w:t>Peru</w:t>
      </w:r>
      <w:r w:rsidR="00E66DD7" w:rsidRPr="00D869E3">
        <w:rPr>
          <w:rFonts w:ascii="Verdana" w:hAnsi="Verdana"/>
          <w:sz w:val="20"/>
          <w:szCs w:val="20"/>
          <w:vertAlign w:val="superscript"/>
          <w:lang w:val="en-US"/>
        </w:rPr>
        <w:footnoteReference w:id="252"/>
      </w:r>
      <w:r w:rsidR="009B63FE" w:rsidRPr="00D869E3">
        <w:rPr>
          <w:rFonts w:ascii="Verdana" w:hAnsi="Verdana"/>
          <w:sz w:val="20"/>
          <w:szCs w:val="20"/>
          <w:lang w:val="en-US"/>
        </w:rPr>
        <w:t xml:space="preserve"> </w:t>
      </w:r>
      <w:r w:rsidR="009B63FE" w:rsidRPr="00D869E3">
        <w:rPr>
          <w:rFonts w:ascii="Verdana" w:hAnsi="Verdana"/>
          <w:sz w:val="20"/>
          <w:szCs w:val="20"/>
          <w:lang w:val="en-US"/>
        </w:rPr>
        <w:softHyphen/>
        <w:t xml:space="preserve">– all of which were rejected for different procedural reasons – by which he tried to have the judgment that </w:t>
      </w:r>
      <w:r w:rsidR="00D329A8" w:rsidRPr="00D869E3">
        <w:rPr>
          <w:rFonts w:ascii="Verdana" w:hAnsi="Verdana"/>
          <w:sz w:val="20"/>
          <w:szCs w:val="20"/>
          <w:lang w:val="en-US"/>
        </w:rPr>
        <w:t>ratifie</w:t>
      </w:r>
      <w:r w:rsidR="009B63FE" w:rsidRPr="00D869E3">
        <w:rPr>
          <w:rFonts w:ascii="Verdana" w:hAnsi="Verdana"/>
          <w:sz w:val="20"/>
          <w:szCs w:val="20"/>
          <w:lang w:val="en-US"/>
        </w:rPr>
        <w:t xml:space="preserve">d the alleged unjustified dismissal annulled, referring, in particular, to his constitutional rights </w:t>
      </w:r>
      <w:r w:rsidR="009B63FE" w:rsidRPr="00D869E3">
        <w:rPr>
          <w:rFonts w:ascii="Verdana" w:hAnsi="Verdana"/>
          <w:i/>
          <w:iCs/>
          <w:sz w:val="20"/>
          <w:szCs w:val="20"/>
          <w:lang w:val="en-US"/>
        </w:rPr>
        <w:t>to job security and due process</w:t>
      </w:r>
      <w:r w:rsidR="009B63FE" w:rsidRPr="00D869E3">
        <w:rPr>
          <w:rFonts w:ascii="Verdana" w:hAnsi="Verdana"/>
          <w:sz w:val="20"/>
          <w:szCs w:val="20"/>
          <w:lang w:val="en-US"/>
        </w:rPr>
        <w:t>. This Court finds that the filing of the appeals for annulment and amparo at the appeal stage were particularly pertinent. In this regard, the Court points out the following relevant omissions in relation to these remedies.</w:t>
      </w:r>
    </w:p>
    <w:p w14:paraId="5137D201" w14:textId="77777777" w:rsidR="00E66DD7" w:rsidRPr="00D869E3" w:rsidRDefault="00E66DD7" w:rsidP="00E66DD7">
      <w:pPr>
        <w:contextualSpacing/>
        <w:jc w:val="both"/>
        <w:rPr>
          <w:rFonts w:ascii="Verdana" w:hAnsi="Verdana"/>
          <w:sz w:val="20"/>
          <w:szCs w:val="20"/>
          <w:lang w:val="en-US"/>
        </w:rPr>
      </w:pPr>
    </w:p>
    <w:p w14:paraId="65805BF5" w14:textId="0B402B00" w:rsidR="00E66DD7" w:rsidRPr="00D869E3" w:rsidRDefault="009B63FE" w:rsidP="00CA0001">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First, </w:t>
      </w:r>
      <w:r w:rsidR="00C76F05" w:rsidRPr="00D869E3">
        <w:rPr>
          <w:rFonts w:ascii="Verdana" w:hAnsi="Verdana"/>
          <w:sz w:val="20"/>
          <w:szCs w:val="20"/>
          <w:lang w:val="en-US"/>
        </w:rPr>
        <w:t>in view of the fact that</w:t>
      </w:r>
      <w:r w:rsidRPr="00D869E3">
        <w:rPr>
          <w:rFonts w:ascii="Verdana" w:hAnsi="Verdana"/>
          <w:sz w:val="20"/>
          <w:szCs w:val="20"/>
          <w:lang w:val="en-US"/>
        </w:rPr>
        <w:t xml:space="preserve"> his defense brief of August 1, 1991, before the Second Court</w:t>
      </w:r>
      <w:r w:rsidR="00C76F05" w:rsidRPr="00D869E3">
        <w:rPr>
          <w:rFonts w:ascii="Verdana" w:hAnsi="Verdana"/>
          <w:sz w:val="20"/>
          <w:szCs w:val="20"/>
          <w:lang w:val="en-US"/>
        </w:rPr>
        <w:t xml:space="preserve"> – </w:t>
      </w:r>
      <w:r w:rsidRPr="00D869E3">
        <w:rPr>
          <w:rFonts w:ascii="Verdana" w:hAnsi="Verdana"/>
          <w:sz w:val="20"/>
          <w:szCs w:val="20"/>
          <w:lang w:val="en-US"/>
        </w:rPr>
        <w:t xml:space="preserve">in which he alleged </w:t>
      </w:r>
      <w:r w:rsidR="00C76F05" w:rsidRPr="00D869E3">
        <w:rPr>
          <w:rFonts w:ascii="Verdana" w:hAnsi="Verdana"/>
          <w:sz w:val="20"/>
          <w:szCs w:val="20"/>
          <w:lang w:val="en-US"/>
        </w:rPr>
        <w:t xml:space="preserve">that </w:t>
      </w:r>
      <w:r w:rsidRPr="00D869E3">
        <w:rPr>
          <w:rFonts w:ascii="Verdana" w:hAnsi="Verdana"/>
          <w:sz w:val="20"/>
          <w:szCs w:val="20"/>
          <w:lang w:val="en-US"/>
        </w:rPr>
        <w:t xml:space="preserve">the reasons for </w:t>
      </w:r>
      <w:r w:rsidR="00C76F05" w:rsidRPr="00D869E3">
        <w:rPr>
          <w:rFonts w:ascii="Verdana" w:hAnsi="Verdana"/>
          <w:sz w:val="20"/>
          <w:szCs w:val="20"/>
          <w:lang w:val="en-US"/>
        </w:rPr>
        <w:t>his</w:t>
      </w:r>
      <w:r w:rsidRPr="00D869E3">
        <w:rPr>
          <w:rFonts w:ascii="Verdana" w:hAnsi="Verdana"/>
          <w:sz w:val="20"/>
          <w:szCs w:val="20"/>
          <w:lang w:val="en-US"/>
        </w:rPr>
        <w:t xml:space="preserve"> dismissal</w:t>
      </w:r>
      <w:r w:rsidR="00C76F05" w:rsidRPr="00D869E3">
        <w:rPr>
          <w:rFonts w:ascii="Verdana" w:hAnsi="Verdana"/>
          <w:sz w:val="20"/>
          <w:szCs w:val="20"/>
          <w:lang w:val="en-US"/>
        </w:rPr>
        <w:t xml:space="preserve"> were unjustified – was</w:t>
      </w:r>
      <w:r w:rsidRPr="00D869E3">
        <w:rPr>
          <w:rFonts w:ascii="Verdana" w:hAnsi="Verdana"/>
          <w:sz w:val="20"/>
          <w:szCs w:val="20"/>
          <w:lang w:val="en-US"/>
        </w:rPr>
        <w:t xml:space="preserve"> not taken into consideration</w:t>
      </w:r>
      <w:r w:rsidR="00C76F05" w:rsidRPr="00D869E3">
        <w:rPr>
          <w:rFonts w:ascii="Verdana" w:hAnsi="Verdana"/>
          <w:sz w:val="20"/>
          <w:szCs w:val="20"/>
          <w:lang w:val="en-US"/>
        </w:rPr>
        <w:t>,</w:t>
      </w:r>
      <w:r w:rsidRPr="00D869E3">
        <w:rPr>
          <w:rFonts w:ascii="Verdana" w:hAnsi="Verdana"/>
          <w:sz w:val="20"/>
          <w:szCs w:val="20"/>
          <w:lang w:val="en-US"/>
        </w:rPr>
        <w:t xml:space="preserve"> in violation of article 9 of Supreme Decree 03-80-TR,</w:t>
      </w:r>
      <w:r w:rsidRPr="00D869E3">
        <w:rPr>
          <w:rFonts w:ascii="Verdana" w:hAnsi="Verdana"/>
          <w:sz w:val="20"/>
          <w:szCs w:val="20"/>
          <w:vertAlign w:val="superscript"/>
          <w:lang w:val="en-US"/>
        </w:rPr>
        <w:footnoteReference w:id="253"/>
      </w:r>
      <w:r w:rsidRPr="00D869E3">
        <w:rPr>
          <w:rFonts w:ascii="Verdana" w:hAnsi="Verdana"/>
          <w:sz w:val="20"/>
          <w:szCs w:val="20"/>
          <w:lang w:val="en-US"/>
        </w:rPr>
        <w:t xml:space="preserve"> Mr. Lagos continued </w:t>
      </w:r>
      <w:r w:rsidRPr="00D869E3">
        <w:rPr>
          <w:rFonts w:ascii="Verdana" w:hAnsi="Verdana"/>
          <w:sz w:val="20"/>
          <w:szCs w:val="20"/>
          <w:lang w:val="en-US"/>
        </w:rPr>
        <w:lastRenderedPageBreak/>
        <w:t xml:space="preserve">contesting this omission before different </w:t>
      </w:r>
      <w:r w:rsidR="00C76F05" w:rsidRPr="00D869E3">
        <w:rPr>
          <w:rFonts w:ascii="Verdana" w:hAnsi="Verdana"/>
          <w:sz w:val="20"/>
          <w:szCs w:val="20"/>
          <w:lang w:val="en-US"/>
        </w:rPr>
        <w:t>courts</w:t>
      </w:r>
      <w:r w:rsidRPr="00D869E3">
        <w:rPr>
          <w:rFonts w:ascii="Verdana" w:hAnsi="Verdana"/>
          <w:sz w:val="20"/>
          <w:szCs w:val="20"/>
          <w:lang w:val="en-US"/>
        </w:rPr>
        <w:t xml:space="preserve">. This Court notes that, in light of the appeal for annulment </w:t>
      </w:r>
      <w:r w:rsidR="000D2B93" w:rsidRPr="00D869E3">
        <w:rPr>
          <w:rFonts w:ascii="Verdana" w:hAnsi="Verdana"/>
          <w:sz w:val="20"/>
          <w:szCs w:val="20"/>
          <w:lang w:val="en-US"/>
        </w:rPr>
        <w:t xml:space="preserve">which was </w:t>
      </w:r>
      <w:r w:rsidRPr="00D869E3">
        <w:rPr>
          <w:rFonts w:ascii="Verdana" w:hAnsi="Verdana"/>
          <w:sz w:val="20"/>
          <w:szCs w:val="20"/>
          <w:lang w:val="en-US"/>
        </w:rPr>
        <w:t>established in Supreme Decree 03-80-TR (</w:t>
      </w:r>
      <w:r w:rsidRPr="00D869E3">
        <w:rPr>
          <w:rFonts w:ascii="Verdana" w:hAnsi="Verdana"/>
          <w:i/>
          <w:sz w:val="20"/>
          <w:szCs w:val="20"/>
          <w:lang w:val="en-US"/>
        </w:rPr>
        <w:t>supra</w:t>
      </w:r>
      <w:r w:rsidRPr="00D869E3">
        <w:rPr>
          <w:rFonts w:ascii="Verdana" w:hAnsi="Verdana"/>
          <w:sz w:val="20"/>
          <w:szCs w:val="20"/>
          <w:lang w:val="en-US"/>
        </w:rPr>
        <w:t xml:space="preserve">, para. 62), the court that </w:t>
      </w:r>
      <w:r w:rsidR="00D329A8" w:rsidRPr="00D869E3">
        <w:rPr>
          <w:rFonts w:ascii="Verdana" w:hAnsi="Verdana"/>
          <w:sz w:val="20"/>
          <w:szCs w:val="20"/>
          <w:lang w:val="en-US"/>
        </w:rPr>
        <w:t>ratifie</w:t>
      </w:r>
      <w:r w:rsidRPr="00D869E3">
        <w:rPr>
          <w:rFonts w:ascii="Verdana" w:hAnsi="Verdana"/>
          <w:sz w:val="20"/>
          <w:szCs w:val="20"/>
          <w:lang w:val="en-US"/>
        </w:rPr>
        <w:t>d the dismissal merely indicated that none of the causes for annulment had been</w:t>
      </w:r>
      <w:r w:rsidR="00CA0001" w:rsidRPr="00D869E3">
        <w:rPr>
          <w:rFonts w:ascii="Verdana" w:hAnsi="Verdana"/>
          <w:sz w:val="20"/>
          <w:szCs w:val="20"/>
          <w:lang w:val="en-US"/>
        </w:rPr>
        <w:t xml:space="preserve"> met, without any further reasoning and without ruling on Mr. Lagos del Campo’s arguments or his constitutional rights. Subsequently, in the case of the application for amparo</w:t>
      </w:r>
      <w:r w:rsidR="00E66DD7" w:rsidRPr="00D869E3">
        <w:rPr>
          <w:rFonts w:ascii="Verdana" w:hAnsi="Verdana"/>
          <w:sz w:val="20"/>
          <w:szCs w:val="20"/>
          <w:lang w:val="en-US"/>
        </w:rPr>
        <w:t xml:space="preserve">, </w:t>
      </w:r>
      <w:r w:rsidR="001E3B42" w:rsidRPr="00D869E3">
        <w:rPr>
          <w:rFonts w:ascii="Verdana" w:hAnsi="Verdana" w:cs="Verdana"/>
          <w:color w:val="000000"/>
          <w:sz w:val="20"/>
          <w:szCs w:val="20"/>
          <w:lang w:val="en-US"/>
        </w:rPr>
        <w:t>the Fifth Civil Chamber of the Superior Court of</w:t>
      </w:r>
      <w:r w:rsidR="00E66DD7" w:rsidRPr="00D869E3">
        <w:rPr>
          <w:rFonts w:ascii="Verdana" w:hAnsi="Verdana" w:cs="Verdana"/>
          <w:color w:val="000000"/>
          <w:sz w:val="20"/>
          <w:szCs w:val="20"/>
          <w:lang w:val="en-US"/>
        </w:rPr>
        <w:t xml:space="preserve"> Lima </w:t>
      </w:r>
      <w:r w:rsidR="00CA0001" w:rsidRPr="00D869E3">
        <w:rPr>
          <w:rFonts w:ascii="Verdana" w:hAnsi="Verdana" w:cs="Verdana"/>
          <w:color w:val="000000"/>
          <w:sz w:val="20"/>
          <w:szCs w:val="20"/>
          <w:lang w:val="en-US"/>
        </w:rPr>
        <w:t>indicated that the said a</w:t>
      </w:r>
      <w:r w:rsidR="001B7816" w:rsidRPr="00D869E3">
        <w:rPr>
          <w:rFonts w:ascii="Verdana" w:hAnsi="Verdana" w:cs="Verdana"/>
          <w:color w:val="000000"/>
          <w:sz w:val="20"/>
          <w:szCs w:val="20"/>
          <w:lang w:val="en-US"/>
        </w:rPr>
        <w:t>nswering brief</w:t>
      </w:r>
      <w:r w:rsidR="00E66DD7" w:rsidRPr="00D869E3">
        <w:rPr>
          <w:rFonts w:ascii="Verdana" w:hAnsi="Verdana" w:cs="Verdana"/>
          <w:color w:val="000000"/>
          <w:sz w:val="20"/>
          <w:szCs w:val="20"/>
          <w:lang w:val="en-US"/>
        </w:rPr>
        <w:t xml:space="preserve"> </w:t>
      </w:r>
      <w:r w:rsidR="00CA0001" w:rsidRPr="00D869E3">
        <w:rPr>
          <w:rFonts w:ascii="Verdana" w:hAnsi="Verdana" w:cs="Verdana"/>
          <w:color w:val="000000"/>
          <w:sz w:val="20"/>
          <w:szCs w:val="20"/>
          <w:lang w:val="en-US"/>
        </w:rPr>
        <w:t xml:space="preserve">only </w:t>
      </w:r>
      <w:r w:rsidR="000D2B93" w:rsidRPr="00D869E3">
        <w:rPr>
          <w:rFonts w:ascii="Verdana" w:hAnsi="Verdana" w:cs="Verdana"/>
          <w:color w:val="000000"/>
          <w:sz w:val="20"/>
          <w:szCs w:val="20"/>
          <w:lang w:val="en-US"/>
        </w:rPr>
        <w:t>contained</w:t>
      </w:r>
      <w:r w:rsidR="00CA0001" w:rsidRPr="00D869E3">
        <w:rPr>
          <w:rFonts w:ascii="Verdana" w:hAnsi="Verdana" w:cs="Verdana"/>
          <w:color w:val="000000"/>
          <w:sz w:val="20"/>
          <w:szCs w:val="20"/>
          <w:lang w:val="en-US"/>
        </w:rPr>
        <w:t xml:space="preserve"> arguments and not evidence. The omission was also expressly alleged </w:t>
      </w:r>
      <w:r w:rsidR="00966115" w:rsidRPr="00D869E3">
        <w:rPr>
          <w:rFonts w:ascii="Verdana" w:hAnsi="Verdana" w:cs="Verdana"/>
          <w:color w:val="000000"/>
          <w:sz w:val="20"/>
          <w:szCs w:val="20"/>
          <w:lang w:val="en-US"/>
        </w:rPr>
        <w:t>before the</w:t>
      </w:r>
      <w:r w:rsidR="00EB5E2E" w:rsidRPr="00D869E3">
        <w:rPr>
          <w:rFonts w:ascii="Verdana" w:hAnsi="Verdana" w:cs="Verdana"/>
          <w:color w:val="000000"/>
          <w:sz w:val="20"/>
          <w:szCs w:val="20"/>
          <w:lang w:val="en-US"/>
        </w:rPr>
        <w:t xml:space="preserve"> Social and Constitutional Law Chamber</w:t>
      </w:r>
      <w:r w:rsidR="00447C65" w:rsidRPr="00D869E3">
        <w:rPr>
          <w:rFonts w:ascii="Verdana" w:hAnsi="Verdana"/>
          <w:sz w:val="20"/>
          <w:szCs w:val="20"/>
          <w:lang w:val="en-US"/>
        </w:rPr>
        <w:t xml:space="preserve"> of the </w:t>
      </w:r>
      <w:r w:rsidR="00EB5E2E" w:rsidRPr="00D869E3">
        <w:rPr>
          <w:rFonts w:ascii="Verdana" w:hAnsi="Verdana"/>
          <w:sz w:val="20"/>
          <w:szCs w:val="20"/>
          <w:lang w:val="en-US"/>
        </w:rPr>
        <w:t>Supreme Court</w:t>
      </w:r>
      <w:r w:rsidR="00E66DD7" w:rsidRPr="00D869E3">
        <w:rPr>
          <w:rFonts w:ascii="Verdana" w:hAnsi="Verdana"/>
          <w:sz w:val="20"/>
          <w:szCs w:val="20"/>
          <w:lang w:val="en-US"/>
        </w:rPr>
        <w:t xml:space="preserve">, </w:t>
      </w:r>
      <w:r w:rsidR="00CA0001" w:rsidRPr="00D869E3">
        <w:rPr>
          <w:rFonts w:ascii="Verdana" w:hAnsi="Verdana"/>
          <w:sz w:val="20"/>
          <w:szCs w:val="20"/>
          <w:lang w:val="en-US"/>
        </w:rPr>
        <w:t xml:space="preserve">which did not rule in this regard. The Court notes that, according to the evidence provided in the instant case, when deciding the appeal, </w:t>
      </w:r>
      <w:r w:rsidR="00CA0001" w:rsidRPr="00D869E3">
        <w:rPr>
          <w:rFonts w:ascii="Verdana" w:hAnsi="Verdana" w:cs="Verdana"/>
          <w:sz w:val="20"/>
          <w:szCs w:val="20"/>
          <w:lang w:val="en-US"/>
        </w:rPr>
        <w:t>the Second Labor Court did not assess the brief filed by Mr. Lagos del Campo or his arguments</w:t>
      </w:r>
      <w:r w:rsidR="000D2B93" w:rsidRPr="00D869E3">
        <w:rPr>
          <w:rFonts w:ascii="Verdana" w:hAnsi="Verdana" w:cs="Verdana"/>
          <w:sz w:val="20"/>
          <w:szCs w:val="20"/>
          <w:lang w:val="en-US"/>
        </w:rPr>
        <w:t xml:space="preserve"> concerning the rights allegedly violated in light of the dismissal</w:t>
      </w:r>
      <w:r w:rsidR="00CA0001" w:rsidRPr="00D869E3">
        <w:rPr>
          <w:rFonts w:ascii="Verdana" w:hAnsi="Verdana" w:cs="Verdana"/>
          <w:sz w:val="20"/>
          <w:szCs w:val="20"/>
          <w:lang w:val="en-US"/>
        </w:rPr>
        <w:t xml:space="preserve">, thus violating the adversarial principle </w:t>
      </w:r>
      <w:r w:rsidR="00E66DD7" w:rsidRPr="00D869E3">
        <w:rPr>
          <w:rFonts w:ascii="Verdana" w:hAnsi="Verdana"/>
          <w:sz w:val="20"/>
          <w:szCs w:val="20"/>
          <w:lang w:val="en-US"/>
        </w:rPr>
        <w:t>(</w:t>
      </w:r>
      <w:r w:rsidR="00E66DD7" w:rsidRPr="00D869E3">
        <w:rPr>
          <w:rFonts w:ascii="Verdana" w:hAnsi="Verdana"/>
          <w:i/>
          <w:sz w:val="20"/>
          <w:szCs w:val="20"/>
          <w:lang w:val="en-US"/>
        </w:rPr>
        <w:t xml:space="preserve">supra </w:t>
      </w:r>
      <w:r w:rsidR="0087339F" w:rsidRPr="00D869E3">
        <w:rPr>
          <w:rFonts w:ascii="Verdana" w:hAnsi="Verdana"/>
          <w:sz w:val="20"/>
          <w:szCs w:val="20"/>
          <w:lang w:val="en-US"/>
        </w:rPr>
        <w:t>para.</w:t>
      </w:r>
      <w:r w:rsidR="00446B52" w:rsidRPr="00D869E3">
        <w:rPr>
          <w:rFonts w:ascii="Verdana" w:hAnsi="Verdana"/>
          <w:sz w:val="20"/>
          <w:szCs w:val="20"/>
          <w:lang w:val="en-US"/>
        </w:rPr>
        <w:t xml:space="preserve"> </w:t>
      </w:r>
      <w:r w:rsidR="00AF0B80" w:rsidRPr="00D869E3">
        <w:rPr>
          <w:rFonts w:ascii="Verdana" w:hAnsi="Verdana"/>
          <w:sz w:val="20"/>
          <w:szCs w:val="20"/>
          <w:lang w:val="en-US"/>
        </w:rPr>
        <w:t>66</w:t>
      </w:r>
      <w:r w:rsidR="00E66DD7" w:rsidRPr="00D869E3">
        <w:rPr>
          <w:rFonts w:ascii="Verdana" w:hAnsi="Verdana"/>
          <w:sz w:val="20"/>
          <w:szCs w:val="20"/>
          <w:lang w:val="en-US"/>
        </w:rPr>
        <w:t>)</w:t>
      </w:r>
      <w:r w:rsidR="00E66DD7" w:rsidRPr="00D869E3">
        <w:rPr>
          <w:rFonts w:ascii="Verdana" w:hAnsi="Verdana" w:cs="Verdana"/>
          <w:sz w:val="20"/>
          <w:szCs w:val="20"/>
          <w:lang w:val="en-US"/>
        </w:rPr>
        <w:t>.</w:t>
      </w:r>
    </w:p>
    <w:p w14:paraId="0854BFEA" w14:textId="77777777" w:rsidR="00E66DD7" w:rsidRPr="00D869E3" w:rsidRDefault="00E66DD7" w:rsidP="00E66DD7">
      <w:pPr>
        <w:contextualSpacing/>
        <w:jc w:val="both"/>
        <w:rPr>
          <w:rFonts w:ascii="Verdana" w:hAnsi="Verdana" w:cs="Verdana"/>
          <w:color w:val="000000"/>
          <w:sz w:val="20"/>
          <w:szCs w:val="20"/>
          <w:lang w:val="en-US"/>
        </w:rPr>
      </w:pPr>
    </w:p>
    <w:p w14:paraId="36533BCA" w14:textId="2609B84B" w:rsidR="00E66DD7" w:rsidRPr="00D869E3" w:rsidRDefault="00DB128C" w:rsidP="00E66DD7">
      <w:pPr>
        <w:numPr>
          <w:ilvl w:val="0"/>
          <w:numId w:val="1"/>
        </w:numPr>
        <w:ind w:left="0" w:firstLine="0"/>
        <w:contextualSpacing/>
        <w:jc w:val="both"/>
        <w:rPr>
          <w:rFonts w:ascii="Verdana" w:hAnsi="Verdana"/>
          <w:sz w:val="20"/>
          <w:szCs w:val="20"/>
          <w:lang w:val="en-US"/>
        </w:rPr>
      </w:pPr>
      <w:r w:rsidRPr="00D869E3">
        <w:rPr>
          <w:rFonts w:ascii="Verdana" w:hAnsi="Verdana" w:cs="Verdana"/>
          <w:color w:val="000000"/>
          <w:sz w:val="20"/>
          <w:szCs w:val="20"/>
          <w:lang w:val="en-US"/>
        </w:rPr>
        <w:t>Second</w:t>
      </w:r>
      <w:r w:rsidR="00E66DD7" w:rsidRPr="00D869E3">
        <w:rPr>
          <w:rFonts w:ascii="Verdana" w:hAnsi="Verdana" w:cs="Verdana"/>
          <w:color w:val="000000"/>
          <w:sz w:val="20"/>
          <w:szCs w:val="20"/>
          <w:lang w:val="en-US"/>
        </w:rPr>
        <w:t xml:space="preserve">, </w:t>
      </w:r>
      <w:r w:rsidR="00312792" w:rsidRPr="00D869E3">
        <w:rPr>
          <w:rFonts w:ascii="Verdana" w:hAnsi="Verdana" w:cs="Verdana"/>
          <w:color w:val="000000"/>
          <w:sz w:val="20"/>
          <w:szCs w:val="20"/>
          <w:lang w:val="en-US"/>
        </w:rPr>
        <w:t>Mr. Lagos</w:t>
      </w:r>
      <w:r w:rsidR="00E66DD7" w:rsidRPr="00D869E3">
        <w:rPr>
          <w:rFonts w:ascii="Verdana" w:hAnsi="Verdana" w:cs="Verdana"/>
          <w:color w:val="000000"/>
          <w:sz w:val="20"/>
          <w:szCs w:val="20"/>
          <w:lang w:val="en-US"/>
        </w:rPr>
        <w:t xml:space="preserve"> </w:t>
      </w:r>
      <w:r w:rsidR="00CA0001" w:rsidRPr="00D869E3">
        <w:rPr>
          <w:rFonts w:ascii="Verdana" w:hAnsi="Verdana" w:cs="Verdana"/>
          <w:color w:val="000000"/>
          <w:sz w:val="20"/>
          <w:szCs w:val="20"/>
          <w:lang w:val="en-US"/>
        </w:rPr>
        <w:t xml:space="preserve">filed a first application for </w:t>
      </w:r>
      <w:r w:rsidR="00E66DD7" w:rsidRPr="00D869E3">
        <w:rPr>
          <w:rFonts w:ascii="Verdana" w:hAnsi="Verdana" w:cs="Verdana"/>
          <w:color w:val="000000"/>
          <w:sz w:val="20"/>
          <w:szCs w:val="20"/>
          <w:lang w:val="en-US"/>
        </w:rPr>
        <w:t>amparo (1991)</w:t>
      </w:r>
      <w:r w:rsidR="00966115" w:rsidRPr="00D869E3">
        <w:rPr>
          <w:rFonts w:ascii="Verdana" w:hAnsi="Verdana" w:cs="Verdana"/>
          <w:color w:val="000000"/>
          <w:sz w:val="20"/>
          <w:szCs w:val="20"/>
          <w:lang w:val="en-US"/>
        </w:rPr>
        <w:t xml:space="preserve"> before the</w:t>
      </w:r>
      <w:r w:rsidR="001E3B42" w:rsidRPr="00D869E3">
        <w:rPr>
          <w:rFonts w:ascii="Verdana" w:hAnsi="Verdana"/>
          <w:color w:val="000000"/>
          <w:sz w:val="20"/>
          <w:szCs w:val="20"/>
          <w:lang w:val="en-US"/>
        </w:rPr>
        <w:t xml:space="preserve"> Civil Chamber of the Superior Court</w:t>
      </w:r>
      <w:r w:rsidR="009D37C8" w:rsidRPr="00D869E3">
        <w:rPr>
          <w:rFonts w:ascii="Verdana" w:hAnsi="Verdana"/>
          <w:color w:val="000000"/>
          <w:sz w:val="20"/>
          <w:szCs w:val="20"/>
          <w:lang w:val="en-US"/>
        </w:rPr>
        <w:t xml:space="preserve"> of Lima</w:t>
      </w:r>
      <w:r w:rsidR="00E66DD7" w:rsidRPr="00D869E3">
        <w:rPr>
          <w:rFonts w:ascii="Verdana" w:hAnsi="Verdana"/>
          <w:color w:val="000000"/>
          <w:sz w:val="20"/>
          <w:szCs w:val="20"/>
          <w:lang w:val="en-US"/>
        </w:rPr>
        <w:t xml:space="preserve"> </w:t>
      </w:r>
      <w:r w:rsidR="00CA0001" w:rsidRPr="00D869E3">
        <w:rPr>
          <w:rFonts w:ascii="Verdana" w:hAnsi="Verdana"/>
          <w:color w:val="000000"/>
          <w:sz w:val="20"/>
          <w:szCs w:val="20"/>
          <w:lang w:val="en-US"/>
        </w:rPr>
        <w:t xml:space="preserve">in which he alleged, among other matters, violations of his </w:t>
      </w:r>
      <w:r w:rsidR="00CC766D" w:rsidRPr="00D869E3">
        <w:rPr>
          <w:rFonts w:ascii="Verdana" w:hAnsi="Verdana"/>
          <w:color w:val="000000"/>
          <w:sz w:val="20"/>
          <w:szCs w:val="20"/>
          <w:lang w:val="en-US"/>
        </w:rPr>
        <w:t>right to</w:t>
      </w:r>
      <w:r w:rsidR="00E66DD7" w:rsidRPr="00D869E3">
        <w:rPr>
          <w:rFonts w:ascii="Verdana" w:hAnsi="Verdana"/>
          <w:color w:val="000000"/>
          <w:sz w:val="20"/>
          <w:szCs w:val="20"/>
          <w:lang w:val="en-US"/>
        </w:rPr>
        <w:t xml:space="preserve"> </w:t>
      </w:r>
      <w:r w:rsidR="00CA0001" w:rsidRPr="00D869E3">
        <w:rPr>
          <w:rFonts w:ascii="Verdana" w:hAnsi="Verdana"/>
          <w:color w:val="000000"/>
          <w:sz w:val="20"/>
          <w:szCs w:val="20"/>
          <w:lang w:val="en-US"/>
        </w:rPr>
        <w:t xml:space="preserve">job security </w:t>
      </w:r>
      <w:r w:rsidR="00687684" w:rsidRPr="00D869E3">
        <w:rPr>
          <w:rFonts w:ascii="Verdana" w:hAnsi="Verdana"/>
          <w:color w:val="000000"/>
          <w:sz w:val="20"/>
          <w:szCs w:val="20"/>
          <w:lang w:val="en-US"/>
        </w:rPr>
        <w:t xml:space="preserve">and </w:t>
      </w:r>
      <w:r w:rsidR="00CA0001" w:rsidRPr="00D869E3">
        <w:rPr>
          <w:rFonts w:ascii="Verdana" w:hAnsi="Verdana"/>
          <w:color w:val="000000"/>
          <w:sz w:val="20"/>
          <w:szCs w:val="20"/>
          <w:lang w:val="en-US"/>
        </w:rPr>
        <w:t>due process of law, established in a</w:t>
      </w:r>
      <w:r w:rsidR="00447C65" w:rsidRPr="00D869E3">
        <w:rPr>
          <w:rFonts w:ascii="Verdana" w:hAnsi="Verdana"/>
          <w:color w:val="000000"/>
          <w:sz w:val="20"/>
          <w:szCs w:val="20"/>
          <w:lang w:val="en-US"/>
        </w:rPr>
        <w:t>rticles</w:t>
      </w:r>
      <w:r w:rsidR="00E66DD7" w:rsidRPr="00D869E3">
        <w:rPr>
          <w:rFonts w:ascii="Verdana" w:hAnsi="Verdana"/>
          <w:color w:val="000000"/>
          <w:sz w:val="20"/>
          <w:szCs w:val="20"/>
          <w:lang w:val="en-US"/>
        </w:rPr>
        <w:t xml:space="preserve"> 48</w:t>
      </w:r>
      <w:r w:rsidR="00687684" w:rsidRPr="00D869E3">
        <w:rPr>
          <w:rFonts w:ascii="Verdana" w:hAnsi="Verdana"/>
          <w:color w:val="000000"/>
          <w:sz w:val="20"/>
          <w:szCs w:val="20"/>
          <w:lang w:val="en-US"/>
        </w:rPr>
        <w:t xml:space="preserve"> and </w:t>
      </w:r>
      <w:r w:rsidR="00E66DD7" w:rsidRPr="00D869E3">
        <w:rPr>
          <w:rFonts w:ascii="Verdana" w:hAnsi="Verdana"/>
          <w:color w:val="000000"/>
          <w:sz w:val="20"/>
          <w:szCs w:val="20"/>
          <w:lang w:val="en-US"/>
        </w:rPr>
        <w:t xml:space="preserve">233 </w:t>
      </w:r>
      <w:r w:rsidR="001E3B42" w:rsidRPr="00D869E3">
        <w:rPr>
          <w:rFonts w:ascii="Verdana" w:hAnsi="Verdana"/>
          <w:color w:val="000000"/>
          <w:sz w:val="20"/>
          <w:szCs w:val="20"/>
          <w:lang w:val="en-US"/>
        </w:rPr>
        <w:t>of the Constitution</w:t>
      </w:r>
      <w:r w:rsidR="00E66DD7" w:rsidRPr="00D869E3">
        <w:rPr>
          <w:rFonts w:ascii="Verdana" w:hAnsi="Verdana"/>
          <w:color w:val="000000"/>
          <w:sz w:val="20"/>
          <w:szCs w:val="20"/>
          <w:lang w:val="en-US"/>
        </w:rPr>
        <w:t xml:space="preserve">. </w:t>
      </w:r>
      <w:r w:rsidR="00CA0001" w:rsidRPr="00D869E3">
        <w:rPr>
          <w:rFonts w:ascii="Verdana" w:hAnsi="Verdana"/>
          <w:color w:val="000000"/>
          <w:sz w:val="20"/>
          <w:szCs w:val="20"/>
          <w:lang w:val="en-US"/>
        </w:rPr>
        <w:t xml:space="preserve">The </w:t>
      </w:r>
      <w:r w:rsidR="00D901B1" w:rsidRPr="00D869E3">
        <w:rPr>
          <w:rFonts w:ascii="Verdana" w:hAnsi="Verdana"/>
          <w:color w:val="000000"/>
          <w:sz w:val="20"/>
          <w:szCs w:val="20"/>
          <w:lang w:val="en-US"/>
        </w:rPr>
        <w:t>Civil</w:t>
      </w:r>
      <w:r w:rsidR="00CA0001" w:rsidRPr="00D869E3">
        <w:rPr>
          <w:rFonts w:ascii="Verdana" w:hAnsi="Verdana"/>
          <w:color w:val="000000"/>
          <w:sz w:val="20"/>
          <w:szCs w:val="20"/>
          <w:lang w:val="en-US"/>
        </w:rPr>
        <w:t xml:space="preserve"> Chamber </w:t>
      </w:r>
      <w:r w:rsidR="00D901B1" w:rsidRPr="00D869E3">
        <w:rPr>
          <w:rFonts w:ascii="Verdana" w:hAnsi="Verdana"/>
          <w:color w:val="000000"/>
          <w:sz w:val="20"/>
          <w:szCs w:val="20"/>
          <w:lang w:val="en-US"/>
        </w:rPr>
        <w:t>failed to</w:t>
      </w:r>
      <w:r w:rsidR="00CA0001" w:rsidRPr="00D869E3">
        <w:rPr>
          <w:rFonts w:ascii="Verdana" w:hAnsi="Verdana"/>
          <w:color w:val="000000"/>
          <w:sz w:val="20"/>
          <w:szCs w:val="20"/>
          <w:lang w:val="en-US"/>
        </w:rPr>
        <w:t xml:space="preserve"> decide the allegations relat</w:t>
      </w:r>
      <w:r w:rsidR="00D901B1" w:rsidRPr="00D869E3">
        <w:rPr>
          <w:rFonts w:ascii="Verdana" w:hAnsi="Verdana"/>
          <w:color w:val="000000"/>
          <w:sz w:val="20"/>
          <w:szCs w:val="20"/>
          <w:lang w:val="en-US"/>
        </w:rPr>
        <w:t>ing</w:t>
      </w:r>
      <w:r w:rsidR="00CA0001" w:rsidRPr="00D869E3">
        <w:rPr>
          <w:rFonts w:ascii="Verdana" w:hAnsi="Verdana"/>
          <w:color w:val="000000"/>
          <w:sz w:val="20"/>
          <w:szCs w:val="20"/>
          <w:lang w:val="en-US"/>
        </w:rPr>
        <w:t xml:space="preserve"> to the substantive (constitutional) rights, </w:t>
      </w:r>
      <w:r w:rsidR="00D901B1" w:rsidRPr="00D869E3">
        <w:rPr>
          <w:rFonts w:ascii="Verdana" w:hAnsi="Verdana"/>
          <w:color w:val="000000"/>
          <w:sz w:val="20"/>
          <w:szCs w:val="20"/>
          <w:lang w:val="en-US"/>
        </w:rPr>
        <w:t>and</w:t>
      </w:r>
      <w:r w:rsidR="00CA0001" w:rsidRPr="00D869E3">
        <w:rPr>
          <w:rFonts w:ascii="Verdana" w:hAnsi="Verdana"/>
          <w:color w:val="000000"/>
          <w:sz w:val="20"/>
          <w:szCs w:val="20"/>
          <w:lang w:val="en-US"/>
        </w:rPr>
        <w:t xml:space="preserve"> merely indicated that it had not determined a violation of due process and, therefore, declared the appeal inadmissible </w:t>
      </w:r>
      <w:r w:rsidR="00E66DD7" w:rsidRPr="00D869E3">
        <w:rPr>
          <w:rFonts w:ascii="Verdana" w:hAnsi="Verdana"/>
          <w:color w:val="000000"/>
          <w:sz w:val="20"/>
          <w:szCs w:val="20"/>
          <w:lang w:val="en-US"/>
        </w:rPr>
        <w:t>(</w:t>
      </w:r>
      <w:r w:rsidR="00E66DD7" w:rsidRPr="00D869E3">
        <w:rPr>
          <w:rFonts w:ascii="Verdana" w:hAnsi="Verdana"/>
          <w:i/>
          <w:color w:val="000000"/>
          <w:sz w:val="20"/>
          <w:szCs w:val="20"/>
          <w:lang w:val="en-US"/>
        </w:rPr>
        <w:t>supra</w:t>
      </w:r>
      <w:r w:rsidR="00E66DD7" w:rsidRPr="00D869E3">
        <w:rPr>
          <w:rFonts w:ascii="Verdana" w:hAnsi="Verdana"/>
          <w:color w:val="000000"/>
          <w:sz w:val="20"/>
          <w:szCs w:val="20"/>
          <w:lang w:val="en-US"/>
        </w:rPr>
        <w:t xml:space="preserve">, </w:t>
      </w:r>
      <w:r w:rsidR="0087339F" w:rsidRPr="00D869E3">
        <w:rPr>
          <w:rFonts w:ascii="Verdana" w:hAnsi="Verdana"/>
          <w:color w:val="000000"/>
          <w:sz w:val="20"/>
          <w:szCs w:val="20"/>
          <w:lang w:val="en-US"/>
        </w:rPr>
        <w:t>para.</w:t>
      </w:r>
      <w:r w:rsidR="00E66DD7" w:rsidRPr="00D869E3">
        <w:rPr>
          <w:rFonts w:ascii="Verdana" w:hAnsi="Verdana"/>
          <w:color w:val="000000"/>
          <w:sz w:val="20"/>
          <w:szCs w:val="20"/>
          <w:lang w:val="en-US"/>
        </w:rPr>
        <w:t xml:space="preserve"> </w:t>
      </w:r>
      <w:r w:rsidR="00AF0B80" w:rsidRPr="00D869E3">
        <w:rPr>
          <w:rFonts w:ascii="Verdana" w:hAnsi="Verdana"/>
          <w:color w:val="000000"/>
          <w:sz w:val="20"/>
          <w:szCs w:val="20"/>
          <w:lang w:val="en-US"/>
        </w:rPr>
        <w:t xml:space="preserve">63). </w:t>
      </w:r>
      <w:r w:rsidR="00075E68" w:rsidRPr="00D869E3">
        <w:rPr>
          <w:rFonts w:ascii="Verdana" w:hAnsi="Verdana"/>
          <w:sz w:val="20"/>
          <w:szCs w:val="20"/>
          <w:lang w:val="en-US"/>
        </w:rPr>
        <w:t>In this regard</w:t>
      </w:r>
      <w:r w:rsidR="00E66DD7" w:rsidRPr="00D869E3">
        <w:rPr>
          <w:rFonts w:ascii="Verdana" w:hAnsi="Verdana"/>
          <w:sz w:val="20"/>
          <w:szCs w:val="20"/>
          <w:lang w:val="en-US"/>
        </w:rPr>
        <w:t xml:space="preserve">, </w:t>
      </w:r>
      <w:r w:rsidR="00CA0001" w:rsidRPr="00D869E3">
        <w:rPr>
          <w:rFonts w:ascii="Verdana" w:hAnsi="Verdana"/>
          <w:sz w:val="20"/>
          <w:szCs w:val="20"/>
          <w:lang w:val="en-US"/>
        </w:rPr>
        <w:t>a</w:t>
      </w:r>
      <w:r w:rsidR="00E542A7" w:rsidRPr="00D869E3">
        <w:rPr>
          <w:rFonts w:ascii="Verdana" w:hAnsi="Verdana"/>
          <w:sz w:val="20"/>
          <w:szCs w:val="20"/>
          <w:lang w:val="en-US"/>
        </w:rPr>
        <w:t>rticle</w:t>
      </w:r>
      <w:r w:rsidR="00E66DD7" w:rsidRPr="00D869E3">
        <w:rPr>
          <w:rFonts w:ascii="Verdana" w:hAnsi="Verdana"/>
          <w:sz w:val="20"/>
          <w:szCs w:val="20"/>
          <w:lang w:val="en-US"/>
        </w:rPr>
        <w:t xml:space="preserve"> 295 </w:t>
      </w:r>
      <w:r w:rsidR="001E3B42" w:rsidRPr="00D869E3">
        <w:rPr>
          <w:rFonts w:ascii="Verdana" w:hAnsi="Verdana"/>
          <w:sz w:val="20"/>
          <w:szCs w:val="20"/>
          <w:lang w:val="en-US"/>
        </w:rPr>
        <w:t>of the Constitution</w:t>
      </w:r>
      <w:r w:rsidR="00E66DD7" w:rsidRPr="00D869E3">
        <w:rPr>
          <w:rFonts w:ascii="Verdana" w:hAnsi="Verdana"/>
          <w:sz w:val="20"/>
          <w:szCs w:val="20"/>
          <w:vertAlign w:val="superscript"/>
          <w:lang w:val="en-US"/>
        </w:rPr>
        <w:footnoteReference w:id="254"/>
      </w:r>
      <w:r w:rsidR="00E66DD7" w:rsidRPr="00D869E3">
        <w:rPr>
          <w:rFonts w:ascii="Verdana" w:hAnsi="Verdana"/>
          <w:sz w:val="20"/>
          <w:szCs w:val="20"/>
          <w:lang w:val="en-US"/>
        </w:rPr>
        <w:t xml:space="preserve"> </w:t>
      </w:r>
      <w:r w:rsidR="00CA0001" w:rsidRPr="00D869E3">
        <w:rPr>
          <w:rFonts w:ascii="Verdana" w:hAnsi="Verdana"/>
          <w:sz w:val="20"/>
          <w:szCs w:val="20"/>
          <w:lang w:val="en-US"/>
        </w:rPr>
        <w:t>establishes the application for amparo, the purpose of which is to protect the rights recognized in the Constitution</w:t>
      </w:r>
      <w:r w:rsidR="00E66DD7" w:rsidRPr="00D869E3">
        <w:rPr>
          <w:rFonts w:ascii="Verdana" w:hAnsi="Verdana"/>
          <w:sz w:val="20"/>
          <w:szCs w:val="20"/>
          <w:lang w:val="en-US"/>
        </w:rPr>
        <w:t>.</w:t>
      </w:r>
    </w:p>
    <w:p w14:paraId="32298EAC" w14:textId="01949346" w:rsidR="00E66DD7" w:rsidRPr="00D869E3" w:rsidRDefault="00E66DD7" w:rsidP="00E66DD7">
      <w:pPr>
        <w:contextualSpacing/>
        <w:jc w:val="both"/>
        <w:rPr>
          <w:rFonts w:ascii="Verdana" w:hAnsi="Verdana"/>
          <w:color w:val="000000"/>
          <w:sz w:val="20"/>
          <w:szCs w:val="20"/>
          <w:lang w:val="en-US"/>
        </w:rPr>
      </w:pPr>
    </w:p>
    <w:p w14:paraId="7F533199" w14:textId="531B4E84" w:rsidR="00E66DD7" w:rsidRPr="00D869E3" w:rsidRDefault="00134E25" w:rsidP="00134E25">
      <w:pPr>
        <w:numPr>
          <w:ilvl w:val="0"/>
          <w:numId w:val="1"/>
        </w:numPr>
        <w:ind w:left="0" w:firstLine="0"/>
        <w:contextualSpacing/>
        <w:jc w:val="both"/>
        <w:rPr>
          <w:rFonts w:ascii="Verdana" w:hAnsi="Verdana"/>
          <w:sz w:val="20"/>
          <w:szCs w:val="20"/>
          <w:lang w:val="en-US"/>
        </w:rPr>
      </w:pPr>
      <w:r w:rsidRPr="00D869E3">
        <w:rPr>
          <w:rFonts w:ascii="Verdana" w:hAnsi="Verdana"/>
          <w:color w:val="000000"/>
          <w:sz w:val="20"/>
          <w:szCs w:val="20"/>
          <w:lang w:val="en-US"/>
        </w:rPr>
        <w:t>Thus</w:t>
      </w:r>
      <w:r w:rsidR="00E66DD7"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Court</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considers that, even though the remedy of amparo was designed to protect constitutional rights, in this case the failure to consider the </w:t>
      </w:r>
      <w:r w:rsidRPr="00D869E3">
        <w:rPr>
          <w:rFonts w:ascii="Verdana" w:hAnsi="Verdana"/>
          <w:i/>
          <w:iCs/>
          <w:color w:val="000000"/>
          <w:sz w:val="20"/>
          <w:szCs w:val="20"/>
          <w:lang w:val="en-US"/>
        </w:rPr>
        <w:t>rights to job security and due process</w:t>
      </w:r>
      <w:r w:rsidRPr="00D869E3">
        <w:rPr>
          <w:rFonts w:ascii="Verdana" w:hAnsi="Verdana"/>
          <w:color w:val="000000"/>
          <w:sz w:val="20"/>
          <w:szCs w:val="20"/>
          <w:lang w:val="en-US"/>
        </w:rPr>
        <w:t xml:space="preserve"> prevented the application for amparo from producing the result for which it </w:t>
      </w:r>
      <w:r w:rsidR="00D901B1" w:rsidRPr="00D869E3">
        <w:rPr>
          <w:rFonts w:ascii="Verdana" w:hAnsi="Verdana"/>
          <w:color w:val="000000"/>
          <w:sz w:val="20"/>
          <w:szCs w:val="20"/>
          <w:lang w:val="en-US"/>
        </w:rPr>
        <w:t>w</w:t>
      </w:r>
      <w:r w:rsidRPr="00D869E3">
        <w:rPr>
          <w:rFonts w:ascii="Verdana" w:hAnsi="Verdana"/>
          <w:color w:val="000000"/>
          <w:sz w:val="20"/>
          <w:szCs w:val="20"/>
          <w:lang w:val="en-US"/>
        </w:rPr>
        <w:t>as conceived.</w:t>
      </w:r>
      <w:r w:rsidR="00E66DD7" w:rsidRPr="00D869E3">
        <w:rPr>
          <w:rFonts w:ascii="Verdana" w:hAnsi="Verdana"/>
          <w:color w:val="000000"/>
          <w:sz w:val="20"/>
          <w:szCs w:val="20"/>
          <w:vertAlign w:val="superscript"/>
          <w:lang w:val="en-US"/>
        </w:rPr>
        <w:footnoteReference w:id="255"/>
      </w:r>
      <w:r w:rsidR="00E66DD7" w:rsidRPr="00D869E3">
        <w:rPr>
          <w:rFonts w:ascii="Verdana" w:hAnsi="Verdana"/>
          <w:color w:val="000000"/>
          <w:sz w:val="20"/>
          <w:szCs w:val="20"/>
          <w:lang w:val="en-US"/>
        </w:rPr>
        <w:t xml:space="preserve"> </w:t>
      </w:r>
      <w:r w:rsidR="00075E68" w:rsidRPr="00D869E3">
        <w:rPr>
          <w:rFonts w:ascii="Verdana" w:hAnsi="Verdana" w:cs="Verdana"/>
          <w:sz w:val="20"/>
          <w:szCs w:val="20"/>
          <w:lang w:val="en-US"/>
        </w:rPr>
        <w:t>In this regard</w:t>
      </w:r>
      <w:r w:rsidR="00E66DD7" w:rsidRPr="00D869E3">
        <w:rPr>
          <w:rFonts w:ascii="Verdana" w:hAnsi="Verdana" w:cs="Verdana"/>
          <w:sz w:val="20"/>
          <w:szCs w:val="20"/>
          <w:lang w:val="en-US"/>
        </w:rPr>
        <w:t xml:space="preserve">, </w:t>
      </w:r>
      <w:r w:rsidR="00447C65" w:rsidRPr="00D869E3">
        <w:rPr>
          <w:rFonts w:ascii="Verdana" w:hAnsi="Verdana" w:cs="Verdana"/>
          <w:sz w:val="20"/>
          <w:szCs w:val="20"/>
          <w:lang w:val="en-US"/>
        </w:rPr>
        <w:t>the Court</w:t>
      </w:r>
      <w:r w:rsidR="00E66DD7" w:rsidRPr="00D869E3">
        <w:rPr>
          <w:rFonts w:ascii="Verdana" w:hAnsi="Verdana" w:cs="Verdana"/>
          <w:sz w:val="20"/>
          <w:szCs w:val="20"/>
          <w:lang w:val="en-US"/>
        </w:rPr>
        <w:t xml:space="preserve"> ha</w:t>
      </w:r>
      <w:r w:rsidRPr="00D869E3">
        <w:rPr>
          <w:rFonts w:ascii="Verdana" w:hAnsi="Verdana" w:cs="Verdana"/>
          <w:sz w:val="20"/>
          <w:szCs w:val="20"/>
          <w:lang w:val="en-US"/>
        </w:rPr>
        <w:t xml:space="preserve">s indicated that the analysis </w:t>
      </w:r>
      <w:r w:rsidR="00D901B1" w:rsidRPr="00D869E3">
        <w:rPr>
          <w:rFonts w:ascii="Verdana" w:hAnsi="Verdana" w:cs="Verdana"/>
          <w:sz w:val="20"/>
          <w:szCs w:val="20"/>
          <w:lang w:val="en-US"/>
        </w:rPr>
        <w:t>that</w:t>
      </w:r>
      <w:r w:rsidRPr="00D869E3">
        <w:rPr>
          <w:rFonts w:ascii="Verdana" w:hAnsi="Verdana" w:cs="Verdana"/>
          <w:sz w:val="20"/>
          <w:szCs w:val="20"/>
          <w:lang w:val="en-US"/>
        </w:rPr>
        <w:t xml:space="preserve"> the competent authority </w:t>
      </w:r>
      <w:r w:rsidR="00D901B1" w:rsidRPr="00D869E3">
        <w:rPr>
          <w:rFonts w:ascii="Verdana" w:hAnsi="Verdana" w:cs="Verdana"/>
          <w:sz w:val="20"/>
          <w:szCs w:val="20"/>
          <w:lang w:val="en-US"/>
        </w:rPr>
        <w:t xml:space="preserve">makes </w:t>
      </w:r>
      <w:r w:rsidRPr="00D869E3">
        <w:rPr>
          <w:rFonts w:ascii="Verdana" w:hAnsi="Verdana" w:cs="Verdana"/>
          <w:sz w:val="20"/>
          <w:szCs w:val="20"/>
          <w:lang w:val="en-US"/>
        </w:rPr>
        <w:t xml:space="preserve">of a judicial appeal – </w:t>
      </w:r>
      <w:r w:rsidR="00D901B1" w:rsidRPr="00D869E3">
        <w:rPr>
          <w:rFonts w:ascii="Verdana" w:hAnsi="Verdana" w:cs="Verdana"/>
          <w:sz w:val="20"/>
          <w:szCs w:val="20"/>
          <w:lang w:val="en-US"/>
        </w:rPr>
        <w:t>which</w:t>
      </w:r>
      <w:r w:rsidRPr="00D869E3">
        <w:rPr>
          <w:rFonts w:ascii="Verdana" w:hAnsi="Verdana" w:cs="Verdana"/>
          <w:sz w:val="20"/>
          <w:szCs w:val="20"/>
          <w:lang w:val="en-US"/>
        </w:rPr>
        <w:t xml:space="preserve"> contests constitutional rights such as job security and the right to due process – cannot be reduced to a mere formality and omit arguments </w:t>
      </w:r>
      <w:r w:rsidR="00D901B1" w:rsidRPr="00D869E3">
        <w:rPr>
          <w:rFonts w:ascii="Verdana" w:hAnsi="Verdana" w:cs="Verdana"/>
          <w:sz w:val="20"/>
          <w:szCs w:val="20"/>
          <w:lang w:val="en-US"/>
        </w:rPr>
        <w:t>submitted by</w:t>
      </w:r>
      <w:r w:rsidRPr="00D869E3">
        <w:rPr>
          <w:rFonts w:ascii="Verdana" w:hAnsi="Verdana" w:cs="Verdana"/>
          <w:sz w:val="20"/>
          <w:szCs w:val="20"/>
          <w:lang w:val="en-US"/>
        </w:rPr>
        <w:t xml:space="preserve"> the parties, because it must examine their reasons and rule on them pursuant to the </w:t>
      </w:r>
      <w:r w:rsidR="00FF19D3" w:rsidRPr="00D869E3">
        <w:rPr>
          <w:rFonts w:ascii="Verdana" w:hAnsi="Verdana" w:cs="Verdana"/>
          <w:sz w:val="20"/>
          <w:szCs w:val="20"/>
          <w:lang w:val="en-US"/>
        </w:rPr>
        <w:t>standards</w:t>
      </w:r>
      <w:r w:rsidRPr="00D869E3">
        <w:rPr>
          <w:rFonts w:ascii="Verdana" w:hAnsi="Verdana" w:cs="Verdana"/>
          <w:sz w:val="20"/>
          <w:szCs w:val="20"/>
          <w:lang w:val="en-US"/>
        </w:rPr>
        <w:t xml:space="preserve"> established by</w:t>
      </w:r>
      <w:r w:rsidRPr="00D869E3">
        <w:rPr>
          <w:rFonts w:ascii="Verdana" w:hAnsi="Verdana"/>
          <w:sz w:val="20"/>
          <w:szCs w:val="20"/>
          <w:lang w:val="en-US"/>
        </w:rPr>
        <w:t xml:space="preserve"> </w:t>
      </w:r>
      <w:r w:rsidR="00447C65" w:rsidRPr="00D869E3">
        <w:rPr>
          <w:rFonts w:ascii="Verdana" w:hAnsi="Verdana" w:cs="Verdana"/>
          <w:sz w:val="20"/>
          <w:szCs w:val="20"/>
          <w:lang w:val="en-US"/>
        </w:rPr>
        <w:t>the American Convention</w:t>
      </w:r>
      <w:r w:rsidRPr="00D869E3">
        <w:rPr>
          <w:rFonts w:ascii="Verdana" w:hAnsi="Verdana" w:cs="Verdana"/>
          <w:sz w:val="20"/>
          <w:szCs w:val="20"/>
          <w:lang w:val="en-US"/>
        </w:rPr>
        <w:t>.</w:t>
      </w:r>
      <w:r w:rsidR="00E66DD7" w:rsidRPr="00D869E3">
        <w:rPr>
          <w:rFonts w:ascii="Verdana" w:hAnsi="Verdana" w:cs="Verdana"/>
          <w:sz w:val="20"/>
          <w:szCs w:val="20"/>
          <w:vertAlign w:val="superscript"/>
          <w:lang w:val="en-US"/>
        </w:rPr>
        <w:footnoteReference w:id="256"/>
      </w:r>
    </w:p>
    <w:p w14:paraId="35A2C7F9" w14:textId="77777777" w:rsidR="00E66DD7" w:rsidRPr="00D869E3" w:rsidRDefault="00E66DD7" w:rsidP="00E66DD7">
      <w:pPr>
        <w:contextualSpacing/>
        <w:jc w:val="both"/>
        <w:rPr>
          <w:rFonts w:ascii="Verdana" w:hAnsi="Verdana"/>
          <w:color w:val="000000"/>
          <w:sz w:val="20"/>
          <w:szCs w:val="20"/>
          <w:lang w:val="en-US"/>
        </w:rPr>
      </w:pPr>
    </w:p>
    <w:p w14:paraId="40DE6C01" w14:textId="6FC63217" w:rsidR="00E66DD7" w:rsidRPr="00D869E3" w:rsidRDefault="00134E25" w:rsidP="00134E25">
      <w:pPr>
        <w:numPr>
          <w:ilvl w:val="0"/>
          <w:numId w:val="1"/>
        </w:numPr>
        <w:ind w:left="0" w:firstLine="0"/>
        <w:contextualSpacing/>
        <w:jc w:val="both"/>
        <w:rPr>
          <w:rFonts w:ascii="Verdana" w:hAnsi="Verdana" w:cs="Verdana"/>
          <w:sz w:val="20"/>
          <w:szCs w:val="20"/>
          <w:lang w:val="en-US"/>
        </w:rPr>
      </w:pPr>
      <w:r w:rsidRPr="00D869E3">
        <w:rPr>
          <w:rFonts w:ascii="Verdana" w:hAnsi="Verdana"/>
          <w:color w:val="000000"/>
          <w:sz w:val="20"/>
          <w:szCs w:val="20"/>
          <w:lang w:val="en-US"/>
        </w:rPr>
        <w:t>Third</w:t>
      </w:r>
      <w:r w:rsidR="00E66DD7" w:rsidRPr="00D869E3">
        <w:rPr>
          <w:rFonts w:ascii="Verdana" w:hAnsi="Verdana"/>
          <w:color w:val="000000"/>
          <w:sz w:val="20"/>
          <w:szCs w:val="20"/>
          <w:lang w:val="en-US"/>
        </w:rPr>
        <w:t xml:space="preserve">, </w:t>
      </w:r>
      <w:r w:rsidR="00312792" w:rsidRPr="00D869E3">
        <w:rPr>
          <w:rFonts w:ascii="Verdana" w:hAnsi="Verdana"/>
          <w:color w:val="000000"/>
          <w:sz w:val="20"/>
          <w:szCs w:val="20"/>
          <w:lang w:val="en-US"/>
        </w:rPr>
        <w:t>Mr. Lagos</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filed another </w:t>
      </w:r>
      <w:r w:rsidR="008817D4" w:rsidRPr="00D869E3">
        <w:rPr>
          <w:rFonts w:ascii="Verdana" w:hAnsi="Verdana"/>
          <w:color w:val="000000"/>
          <w:sz w:val="20"/>
          <w:szCs w:val="20"/>
          <w:lang w:val="en-US"/>
        </w:rPr>
        <w:t>appeal for annulment</w:t>
      </w:r>
      <w:r w:rsidR="00E66DD7" w:rsidRPr="00D869E3">
        <w:rPr>
          <w:rFonts w:ascii="Verdana" w:hAnsi="Verdana"/>
          <w:color w:val="000000"/>
          <w:sz w:val="20"/>
          <w:szCs w:val="20"/>
          <w:lang w:val="en-US"/>
        </w:rPr>
        <w:t xml:space="preserve"> (1993)</w:t>
      </w:r>
      <w:r w:rsidR="00966115" w:rsidRPr="00D869E3">
        <w:rPr>
          <w:rFonts w:ascii="Verdana" w:hAnsi="Verdana"/>
          <w:color w:val="000000"/>
          <w:sz w:val="20"/>
          <w:szCs w:val="20"/>
          <w:lang w:val="en-US"/>
        </w:rPr>
        <w:t xml:space="preserve"> before the</w:t>
      </w:r>
      <w:r w:rsidR="00674572" w:rsidRPr="00D869E3">
        <w:rPr>
          <w:rFonts w:ascii="Verdana" w:hAnsi="Verdana" w:cs="Verdana"/>
          <w:sz w:val="20"/>
          <w:szCs w:val="20"/>
          <w:lang w:val="en-US"/>
        </w:rPr>
        <w:t xml:space="preserve"> Constitutional and Social Chamber</w:t>
      </w:r>
      <w:r w:rsidR="00447C65" w:rsidRPr="00D869E3">
        <w:rPr>
          <w:rFonts w:ascii="Verdana" w:hAnsi="Verdana" w:cs="Verdana"/>
          <w:sz w:val="20"/>
          <w:szCs w:val="20"/>
          <w:lang w:val="en-US"/>
        </w:rPr>
        <w:t xml:space="preserve"> of the </w:t>
      </w:r>
      <w:r w:rsidR="00EB5E2E" w:rsidRPr="00D869E3">
        <w:rPr>
          <w:rFonts w:ascii="Verdana" w:hAnsi="Verdana" w:cs="Verdana"/>
          <w:sz w:val="20"/>
          <w:szCs w:val="20"/>
          <w:lang w:val="en-US"/>
        </w:rPr>
        <w:t>Supreme Court</w:t>
      </w:r>
      <w:r w:rsidR="00E66DD7" w:rsidRPr="00D869E3">
        <w:rPr>
          <w:rFonts w:ascii="Verdana" w:hAnsi="Verdana" w:cs="Verdana"/>
          <w:sz w:val="20"/>
          <w:szCs w:val="20"/>
          <w:lang w:val="en-US"/>
        </w:rPr>
        <w:t xml:space="preserve">, </w:t>
      </w:r>
      <w:r w:rsidRPr="00D869E3">
        <w:rPr>
          <w:rFonts w:ascii="Verdana" w:hAnsi="Verdana" w:cs="Verdana"/>
          <w:sz w:val="20"/>
          <w:szCs w:val="20"/>
          <w:lang w:val="en-US"/>
        </w:rPr>
        <w:t>which declared that the j</w:t>
      </w:r>
      <w:r w:rsidR="00447C65" w:rsidRPr="00D869E3">
        <w:rPr>
          <w:rFonts w:ascii="Verdana" w:hAnsi="Verdana" w:cs="Verdana"/>
          <w:sz w:val="20"/>
          <w:szCs w:val="20"/>
          <w:lang w:val="en-US"/>
        </w:rPr>
        <w:t>udgment of</w:t>
      </w:r>
      <w:r w:rsidR="00E66DD7" w:rsidRPr="00D869E3">
        <w:rPr>
          <w:rFonts w:ascii="Verdana" w:hAnsi="Verdana" w:cs="Verdana"/>
          <w:sz w:val="20"/>
          <w:szCs w:val="20"/>
          <w:lang w:val="en-US"/>
        </w:rPr>
        <w:t xml:space="preserve"> </w:t>
      </w:r>
      <w:r w:rsidR="00EB5E2E" w:rsidRPr="00D869E3">
        <w:rPr>
          <w:rFonts w:ascii="Verdana" w:hAnsi="Verdana" w:cs="Verdana"/>
          <w:sz w:val="20"/>
          <w:szCs w:val="20"/>
          <w:lang w:val="en-US"/>
        </w:rPr>
        <w:t>the Fifth Civil Chamber</w:t>
      </w:r>
      <w:r w:rsidRPr="00D869E3">
        <w:rPr>
          <w:rFonts w:ascii="Verdana" w:hAnsi="Verdana" w:cs="Verdana"/>
          <w:sz w:val="20"/>
          <w:szCs w:val="20"/>
          <w:lang w:val="en-US"/>
        </w:rPr>
        <w:t xml:space="preserve"> was valid</w:t>
      </w:r>
      <w:r w:rsidR="00E66DD7" w:rsidRPr="00D869E3">
        <w:rPr>
          <w:rFonts w:ascii="Verdana" w:hAnsi="Verdana" w:cs="Verdana"/>
          <w:sz w:val="20"/>
          <w:szCs w:val="20"/>
          <w:lang w:val="en-US"/>
        </w:rPr>
        <w:t xml:space="preserve">. </w:t>
      </w:r>
      <w:r w:rsidRPr="00D869E3">
        <w:rPr>
          <w:rFonts w:ascii="Verdana" w:hAnsi="Verdana" w:cs="Verdana"/>
          <w:sz w:val="20"/>
          <w:szCs w:val="20"/>
          <w:lang w:val="en-US"/>
        </w:rPr>
        <w:t>In its decision of</w:t>
      </w:r>
      <w:r w:rsidR="00E66DD7" w:rsidRPr="00D869E3">
        <w:rPr>
          <w:rFonts w:ascii="Verdana" w:hAnsi="Verdana" w:cs="Verdana"/>
          <w:sz w:val="20"/>
          <w:szCs w:val="20"/>
          <w:lang w:val="en-US"/>
        </w:rPr>
        <w:t xml:space="preserve"> </w:t>
      </w:r>
      <w:r w:rsidR="009D24D8" w:rsidRPr="00D869E3">
        <w:rPr>
          <w:rFonts w:ascii="Verdana" w:hAnsi="Verdana" w:cs="Verdana"/>
          <w:sz w:val="20"/>
          <w:szCs w:val="20"/>
          <w:lang w:val="en-US"/>
        </w:rPr>
        <w:t>March 15</w:t>
      </w:r>
      <w:r w:rsidR="006F7F35" w:rsidRPr="00D869E3">
        <w:rPr>
          <w:rFonts w:ascii="Verdana" w:hAnsi="Verdana" w:cs="Verdana"/>
          <w:sz w:val="20"/>
          <w:szCs w:val="20"/>
          <w:lang w:val="en-US"/>
        </w:rPr>
        <w:t>,</w:t>
      </w:r>
      <w:r w:rsidR="00E66DD7" w:rsidRPr="00D869E3">
        <w:rPr>
          <w:rFonts w:ascii="Verdana" w:hAnsi="Verdana" w:cs="Verdana"/>
          <w:sz w:val="20"/>
          <w:szCs w:val="20"/>
          <w:lang w:val="en-US"/>
        </w:rPr>
        <w:t xml:space="preserve"> 1993</w:t>
      </w:r>
      <w:r w:rsidRPr="00D869E3">
        <w:rPr>
          <w:rFonts w:ascii="Verdana" w:hAnsi="Verdana" w:cs="Verdana"/>
          <w:sz w:val="20"/>
          <w:szCs w:val="20"/>
          <w:lang w:val="en-US"/>
        </w:rPr>
        <w:t>, the Chamber merely indicated “that</w:t>
      </w:r>
      <w:r w:rsidR="00FF19D3" w:rsidRPr="00D869E3">
        <w:rPr>
          <w:rFonts w:ascii="Verdana" w:hAnsi="Verdana" w:cs="Verdana"/>
          <w:sz w:val="20"/>
          <w:szCs w:val="20"/>
          <w:lang w:val="en-US"/>
        </w:rPr>
        <w:t>,</w:t>
      </w:r>
      <w:r w:rsidRPr="00D869E3">
        <w:rPr>
          <w:rFonts w:ascii="Verdana" w:hAnsi="Verdana" w:cs="Verdana"/>
          <w:sz w:val="20"/>
          <w:szCs w:val="20"/>
          <w:lang w:val="en-US"/>
        </w:rPr>
        <w:t xml:space="preserve"> pursuant to the arguments of the [Supreme] Prosecutor [for Administrative Disputes, and taking into account] his reasoning, [it] declare[d] that the judgment was valid.” </w:t>
      </w:r>
      <w:r w:rsidR="00FF19D3" w:rsidRPr="00D869E3">
        <w:rPr>
          <w:rFonts w:ascii="Verdana" w:hAnsi="Verdana" w:cs="Verdana"/>
          <w:sz w:val="20"/>
          <w:szCs w:val="20"/>
          <w:lang w:val="en-US"/>
        </w:rPr>
        <w:t>The</w:t>
      </w:r>
      <w:r w:rsidR="006301C3" w:rsidRPr="00D869E3">
        <w:rPr>
          <w:rFonts w:ascii="Verdana" w:hAnsi="Verdana" w:cs="Verdana"/>
          <w:sz w:val="20"/>
          <w:szCs w:val="20"/>
          <w:lang w:val="en-US"/>
        </w:rPr>
        <w:t xml:space="preserve"> prosecutor</w:t>
      </w:r>
      <w:r w:rsidR="00FF19D3" w:rsidRPr="00D869E3">
        <w:rPr>
          <w:rFonts w:ascii="Verdana" w:hAnsi="Verdana" w:cs="Verdana"/>
          <w:sz w:val="20"/>
          <w:szCs w:val="20"/>
          <w:lang w:val="en-US"/>
        </w:rPr>
        <w:t>’s opinion</w:t>
      </w:r>
      <w:r w:rsidR="006301C3" w:rsidRPr="00D869E3">
        <w:rPr>
          <w:rFonts w:ascii="Verdana" w:hAnsi="Verdana" w:cs="Verdana"/>
          <w:sz w:val="20"/>
          <w:szCs w:val="20"/>
          <w:lang w:val="en-US"/>
        </w:rPr>
        <w:t xml:space="preserve"> indicated that “t</w:t>
      </w:r>
      <w:r w:rsidR="006301C3" w:rsidRPr="00D869E3">
        <w:rPr>
          <w:rFonts w:ascii="Verdana" w:hAnsi="Verdana"/>
          <w:sz w:val="20"/>
          <w:szCs w:val="20"/>
          <w:lang w:val="en-US"/>
        </w:rPr>
        <w:t xml:space="preserve">he judicial decisions of the Labor and Labor Communities Jurisdiction that </w:t>
      </w:r>
      <w:r w:rsidR="00FF19D3" w:rsidRPr="00D869E3">
        <w:rPr>
          <w:rFonts w:ascii="Verdana" w:hAnsi="Verdana"/>
          <w:sz w:val="20"/>
          <w:szCs w:val="20"/>
          <w:lang w:val="en-US"/>
        </w:rPr>
        <w:t>are final</w:t>
      </w:r>
      <w:r w:rsidR="006301C3" w:rsidRPr="00D869E3">
        <w:rPr>
          <w:rFonts w:ascii="Verdana" w:hAnsi="Verdana"/>
          <w:sz w:val="20"/>
          <w:szCs w:val="20"/>
          <w:lang w:val="en-US"/>
        </w:rPr>
        <w:t xml:space="preserve"> and enforceable have the authority of </w:t>
      </w:r>
      <w:r w:rsidR="006301C3" w:rsidRPr="00D869E3">
        <w:rPr>
          <w:rFonts w:ascii="Verdana" w:hAnsi="Verdana"/>
          <w:i/>
          <w:iCs/>
          <w:sz w:val="20"/>
          <w:szCs w:val="20"/>
          <w:lang w:val="en-US"/>
        </w:rPr>
        <w:t>res judicata</w:t>
      </w:r>
      <w:r w:rsidR="006301C3" w:rsidRPr="00D869E3">
        <w:rPr>
          <w:rFonts w:ascii="Verdana" w:hAnsi="Verdana"/>
          <w:sz w:val="20"/>
          <w:szCs w:val="20"/>
          <w:lang w:val="en-US"/>
        </w:rPr>
        <w:t xml:space="preserve">”; therefore, to review such a decision would entail reviving a defunct proceeding and, consequently, an infringement of </w:t>
      </w:r>
      <w:r w:rsidR="006301C3" w:rsidRPr="00D869E3">
        <w:rPr>
          <w:rFonts w:ascii="Verdana" w:hAnsi="Verdana"/>
          <w:i/>
          <w:iCs/>
          <w:sz w:val="20"/>
          <w:szCs w:val="20"/>
          <w:lang w:val="en-US"/>
        </w:rPr>
        <w:t>res judicata</w:t>
      </w:r>
      <w:r w:rsidR="006301C3" w:rsidRPr="00D869E3">
        <w:rPr>
          <w:rFonts w:ascii="Verdana" w:hAnsi="Verdana"/>
          <w:sz w:val="20"/>
          <w:szCs w:val="20"/>
          <w:lang w:val="en-US"/>
        </w:rPr>
        <w:t>.</w:t>
      </w:r>
      <w:r w:rsidR="006301C3" w:rsidRPr="00D869E3">
        <w:rPr>
          <w:rFonts w:ascii="Verdana" w:hAnsi="Verdana" w:cs="Verdana"/>
          <w:sz w:val="20"/>
          <w:szCs w:val="20"/>
          <w:lang w:val="en-US"/>
        </w:rPr>
        <w:t xml:space="preserve"> </w:t>
      </w:r>
      <w:r w:rsidR="00075E68" w:rsidRPr="00D869E3">
        <w:rPr>
          <w:rFonts w:ascii="Verdana" w:hAnsi="Verdana" w:cs="Verdana"/>
          <w:sz w:val="20"/>
          <w:szCs w:val="20"/>
          <w:lang w:val="en-US"/>
        </w:rPr>
        <w:t>In this regard</w:t>
      </w:r>
      <w:r w:rsidR="00E66DD7" w:rsidRPr="00D869E3">
        <w:rPr>
          <w:rFonts w:ascii="Verdana" w:hAnsi="Verdana" w:cs="Verdana"/>
          <w:sz w:val="20"/>
          <w:szCs w:val="20"/>
          <w:lang w:val="en-US"/>
        </w:rPr>
        <w:t xml:space="preserve">, </w:t>
      </w:r>
      <w:r w:rsidR="00447C65" w:rsidRPr="00D869E3">
        <w:rPr>
          <w:rFonts w:ascii="Verdana" w:hAnsi="Verdana" w:cs="Verdana"/>
          <w:sz w:val="20"/>
          <w:szCs w:val="20"/>
          <w:lang w:val="en-US"/>
        </w:rPr>
        <w:t>the Court</w:t>
      </w:r>
      <w:r w:rsidR="00E66DD7" w:rsidRPr="00D869E3">
        <w:rPr>
          <w:rFonts w:ascii="Verdana" w:hAnsi="Verdana" w:cs="Verdana"/>
          <w:sz w:val="20"/>
          <w:szCs w:val="20"/>
          <w:lang w:val="en-US"/>
        </w:rPr>
        <w:t xml:space="preserve"> not</w:t>
      </w:r>
      <w:r w:rsidR="006301C3" w:rsidRPr="00D869E3">
        <w:rPr>
          <w:rFonts w:ascii="Verdana" w:hAnsi="Verdana" w:cs="Verdana"/>
          <w:sz w:val="20"/>
          <w:szCs w:val="20"/>
          <w:lang w:val="en-US"/>
        </w:rPr>
        <w:t xml:space="preserve">es that, according to this decision, following </w:t>
      </w:r>
      <w:r w:rsidR="00FF19D3" w:rsidRPr="00D869E3">
        <w:rPr>
          <w:rFonts w:ascii="Verdana" w:hAnsi="Verdana" w:cs="Verdana"/>
          <w:sz w:val="20"/>
          <w:szCs w:val="20"/>
          <w:lang w:val="en-US"/>
        </w:rPr>
        <w:t>an</w:t>
      </w:r>
      <w:r w:rsidR="006301C3" w:rsidRPr="00D869E3">
        <w:rPr>
          <w:rFonts w:ascii="Verdana" w:hAnsi="Verdana" w:cs="Verdana"/>
          <w:sz w:val="20"/>
          <w:szCs w:val="20"/>
          <w:lang w:val="en-US"/>
        </w:rPr>
        <w:t xml:space="preserve"> appeal </w:t>
      </w:r>
      <w:r w:rsidR="00FF19D3" w:rsidRPr="00D869E3">
        <w:rPr>
          <w:rFonts w:ascii="Verdana" w:hAnsi="Verdana" w:cs="Verdana"/>
          <w:sz w:val="20"/>
          <w:szCs w:val="20"/>
          <w:lang w:val="en-US"/>
        </w:rPr>
        <w:t>i</w:t>
      </w:r>
      <w:r w:rsidR="006301C3" w:rsidRPr="00D869E3">
        <w:rPr>
          <w:rFonts w:ascii="Verdana" w:hAnsi="Verdana" w:cs="Verdana"/>
          <w:sz w:val="20"/>
          <w:szCs w:val="20"/>
          <w:lang w:val="en-US"/>
        </w:rPr>
        <w:t>n a labor matter, there was no possibility of reviewing or contesting key aspects of the final decision</w:t>
      </w:r>
      <w:r w:rsidR="00E66DD7" w:rsidRPr="00D869E3">
        <w:rPr>
          <w:rFonts w:ascii="Verdana" w:hAnsi="Verdana" w:cs="Verdana"/>
          <w:sz w:val="20"/>
          <w:szCs w:val="20"/>
          <w:lang w:val="en-US"/>
        </w:rPr>
        <w:t>.</w:t>
      </w:r>
    </w:p>
    <w:p w14:paraId="2FE24652" w14:textId="77777777" w:rsidR="00E66DD7" w:rsidRPr="00D869E3" w:rsidRDefault="00E66DD7" w:rsidP="00E66DD7">
      <w:pPr>
        <w:contextualSpacing/>
        <w:jc w:val="both"/>
        <w:rPr>
          <w:rFonts w:ascii="Verdana" w:hAnsi="Verdana" w:cs="Verdana"/>
          <w:color w:val="000000"/>
          <w:sz w:val="20"/>
          <w:szCs w:val="20"/>
          <w:lang w:val="en-US"/>
        </w:rPr>
      </w:pPr>
    </w:p>
    <w:p w14:paraId="16B0771B" w14:textId="4611A390" w:rsidR="00E66DD7" w:rsidRPr="00D869E3" w:rsidRDefault="00C27D92" w:rsidP="00E66DD7">
      <w:pPr>
        <w:numPr>
          <w:ilvl w:val="0"/>
          <w:numId w:val="1"/>
        </w:numPr>
        <w:ind w:left="0" w:firstLine="0"/>
        <w:contextualSpacing/>
        <w:jc w:val="both"/>
        <w:rPr>
          <w:rFonts w:ascii="Verdana" w:hAnsi="Verdana" w:cs="Arial"/>
          <w:sz w:val="20"/>
          <w:szCs w:val="20"/>
          <w:lang w:val="en-US"/>
        </w:rPr>
      </w:pPr>
      <w:r w:rsidRPr="00D869E3">
        <w:rPr>
          <w:rFonts w:ascii="Verdana" w:hAnsi="Verdana" w:cs="Verdana"/>
          <w:color w:val="000000"/>
          <w:sz w:val="20"/>
          <w:szCs w:val="20"/>
          <w:lang w:val="en-US"/>
        </w:rPr>
        <w:t>Fourth</w:t>
      </w:r>
      <w:r w:rsidR="00E66DD7" w:rsidRPr="00D869E3">
        <w:rPr>
          <w:rFonts w:ascii="Verdana" w:hAnsi="Verdana" w:cs="Verdana"/>
          <w:color w:val="000000"/>
          <w:sz w:val="20"/>
          <w:szCs w:val="20"/>
          <w:lang w:val="en-US"/>
        </w:rPr>
        <w:t>,</w:t>
      </w:r>
      <w:r w:rsidRPr="00D869E3">
        <w:rPr>
          <w:rFonts w:ascii="Verdana" w:hAnsi="Verdana" w:cs="Verdana"/>
          <w:color w:val="000000"/>
          <w:sz w:val="20"/>
          <w:szCs w:val="20"/>
          <w:lang w:val="en-US"/>
        </w:rPr>
        <w:t xml:space="preserve"> after his application for amparo was rejected in </w:t>
      </w:r>
      <w:r w:rsidR="00E66DD7" w:rsidRPr="00D869E3">
        <w:rPr>
          <w:rFonts w:ascii="Verdana" w:hAnsi="Verdana" w:cs="Verdana"/>
          <w:color w:val="000000"/>
          <w:sz w:val="20"/>
          <w:szCs w:val="20"/>
          <w:lang w:val="en-US"/>
        </w:rPr>
        <w:t xml:space="preserve">1992, </w:t>
      </w:r>
      <w:r w:rsidR="001E44D3" w:rsidRPr="00D869E3">
        <w:rPr>
          <w:rFonts w:ascii="Verdana" w:hAnsi="Verdana" w:cs="Verdana"/>
          <w:color w:val="000000"/>
          <w:sz w:val="20"/>
          <w:szCs w:val="20"/>
          <w:lang w:val="en-US"/>
        </w:rPr>
        <w:t>Mr. Lagos del Campo</w:t>
      </w:r>
      <w:r w:rsidR="00E66DD7" w:rsidRPr="00D869E3">
        <w:rPr>
          <w:rFonts w:ascii="Verdana" w:hAnsi="Verdana" w:cs="Verdana"/>
          <w:color w:val="000000"/>
          <w:sz w:val="20"/>
          <w:szCs w:val="20"/>
          <w:lang w:val="en-US"/>
        </w:rPr>
        <w:t xml:space="preserve"> continu</w:t>
      </w:r>
      <w:r w:rsidRPr="00D869E3">
        <w:rPr>
          <w:rFonts w:ascii="Verdana" w:hAnsi="Verdana" w:cs="Verdana"/>
          <w:color w:val="000000"/>
          <w:sz w:val="20"/>
          <w:szCs w:val="20"/>
          <w:lang w:val="en-US"/>
        </w:rPr>
        <w:t xml:space="preserve">ed filing appeals. Following the establishment of </w:t>
      </w:r>
      <w:r w:rsidR="00447C65" w:rsidRPr="00D869E3">
        <w:rPr>
          <w:rFonts w:ascii="Verdana" w:hAnsi="Verdana"/>
          <w:color w:val="000000"/>
          <w:sz w:val="20"/>
          <w:szCs w:val="20"/>
          <w:lang w:val="en-US"/>
        </w:rPr>
        <w:t xml:space="preserve">the </w:t>
      </w:r>
      <w:r w:rsidR="00674572" w:rsidRPr="00D869E3">
        <w:rPr>
          <w:rFonts w:ascii="Verdana" w:hAnsi="Verdana"/>
          <w:color w:val="000000"/>
          <w:sz w:val="20"/>
          <w:szCs w:val="20"/>
          <w:lang w:val="en-US"/>
        </w:rPr>
        <w:t>Constitutional Court</w:t>
      </w:r>
      <w:r w:rsidR="00E66DD7" w:rsidRPr="00D869E3">
        <w:rPr>
          <w:rFonts w:ascii="Verdana" w:hAnsi="Verdana"/>
          <w:color w:val="000000"/>
          <w:sz w:val="20"/>
          <w:szCs w:val="20"/>
          <w:lang w:val="en-US"/>
        </w:rPr>
        <w:t xml:space="preserve"> </w:t>
      </w:r>
      <w:r w:rsidRPr="00D869E3">
        <w:rPr>
          <w:rFonts w:ascii="Verdana" w:hAnsi="Verdana"/>
          <w:color w:val="000000"/>
          <w:sz w:val="20"/>
          <w:szCs w:val="20"/>
          <w:lang w:val="en-US"/>
        </w:rPr>
        <w:t>i</w:t>
      </w:r>
      <w:r w:rsidR="00E66DD7" w:rsidRPr="00D869E3">
        <w:rPr>
          <w:rFonts w:ascii="Verdana" w:hAnsi="Verdana"/>
          <w:color w:val="000000"/>
          <w:sz w:val="20"/>
          <w:szCs w:val="20"/>
          <w:lang w:val="en-US"/>
        </w:rPr>
        <w:t xml:space="preserve">n 1996, </w:t>
      </w:r>
      <w:r w:rsidRPr="00D869E3">
        <w:rPr>
          <w:rFonts w:ascii="Verdana" w:hAnsi="Verdana"/>
          <w:color w:val="000000"/>
          <w:sz w:val="20"/>
          <w:szCs w:val="20"/>
          <w:lang w:val="en-US"/>
        </w:rPr>
        <w:t xml:space="preserve">he requested that the amparo proceedings be raised before that court, but </w:t>
      </w:r>
      <w:r w:rsidR="009D37C8" w:rsidRPr="00D869E3">
        <w:rPr>
          <w:rFonts w:ascii="Verdana" w:hAnsi="Verdana"/>
          <w:color w:val="000000"/>
          <w:sz w:val="20"/>
          <w:szCs w:val="20"/>
          <w:lang w:val="en-US"/>
        </w:rPr>
        <w:t>the Third Specialized Civil Chamber</w:t>
      </w:r>
      <w:r w:rsidR="00E66DD7" w:rsidRPr="00D869E3">
        <w:rPr>
          <w:rFonts w:ascii="Verdana" w:hAnsi="Verdana"/>
          <w:color w:val="000000"/>
          <w:sz w:val="20"/>
          <w:szCs w:val="20"/>
          <w:lang w:val="en-US"/>
        </w:rPr>
        <w:t xml:space="preserve"> declar</w:t>
      </w:r>
      <w:r w:rsidRPr="00D869E3">
        <w:rPr>
          <w:rFonts w:ascii="Verdana" w:hAnsi="Verdana"/>
          <w:color w:val="000000"/>
          <w:sz w:val="20"/>
          <w:szCs w:val="20"/>
          <w:lang w:val="en-US"/>
        </w:rPr>
        <w:t xml:space="preserve">ed his request inadmissible, and indicated that he should have filed a cassation appeal within 15 days of the rejection </w:t>
      </w:r>
      <w:r w:rsidR="00E66DD7" w:rsidRPr="00D869E3">
        <w:rPr>
          <w:rFonts w:ascii="Verdana" w:hAnsi="Verdana"/>
          <w:color w:val="000000"/>
          <w:sz w:val="20"/>
          <w:szCs w:val="20"/>
          <w:lang w:val="en-US"/>
        </w:rPr>
        <w:t>(</w:t>
      </w:r>
      <w:r w:rsidR="001E3B42" w:rsidRPr="00D869E3">
        <w:rPr>
          <w:rFonts w:ascii="Verdana" w:hAnsi="Verdana"/>
          <w:color w:val="000000"/>
          <w:sz w:val="20"/>
          <w:szCs w:val="20"/>
          <w:lang w:val="en-US"/>
        </w:rPr>
        <w:t>August 3,</w:t>
      </w:r>
      <w:r w:rsidR="00E66DD7" w:rsidRPr="00D869E3">
        <w:rPr>
          <w:rFonts w:ascii="Verdana" w:hAnsi="Verdana"/>
          <w:color w:val="000000"/>
          <w:sz w:val="20"/>
          <w:szCs w:val="20"/>
          <w:lang w:val="en-US"/>
        </w:rPr>
        <w:t xml:space="preserve"> 1992). </w:t>
      </w:r>
    </w:p>
    <w:p w14:paraId="0AD60CF2" w14:textId="77777777" w:rsidR="00E66DD7" w:rsidRPr="00D869E3" w:rsidRDefault="00E66DD7" w:rsidP="00E66DD7">
      <w:pPr>
        <w:contextualSpacing/>
        <w:jc w:val="both"/>
        <w:rPr>
          <w:rFonts w:ascii="Verdana" w:hAnsi="Verdana" w:cs="Arial"/>
          <w:sz w:val="20"/>
          <w:szCs w:val="20"/>
          <w:lang w:val="en-US"/>
        </w:rPr>
      </w:pPr>
    </w:p>
    <w:p w14:paraId="50BB53FD" w14:textId="63BB976D" w:rsidR="00E66DD7" w:rsidRPr="00D869E3" w:rsidRDefault="00075E68" w:rsidP="00E66DD7">
      <w:pPr>
        <w:numPr>
          <w:ilvl w:val="0"/>
          <w:numId w:val="1"/>
        </w:numPr>
        <w:ind w:left="0" w:firstLine="0"/>
        <w:contextualSpacing/>
        <w:jc w:val="both"/>
        <w:rPr>
          <w:rFonts w:ascii="Verdana" w:hAnsi="Verdana" w:cs="Arial"/>
          <w:sz w:val="20"/>
          <w:szCs w:val="20"/>
          <w:lang w:val="en-US"/>
        </w:rPr>
      </w:pPr>
      <w:r w:rsidRPr="00D869E3">
        <w:rPr>
          <w:rFonts w:ascii="Verdana" w:hAnsi="Verdana"/>
          <w:color w:val="000000"/>
          <w:sz w:val="20"/>
          <w:szCs w:val="20"/>
          <w:lang w:val="en-US"/>
        </w:rPr>
        <w:t>In this regard</w:t>
      </w:r>
      <w:r w:rsidR="00E66DD7"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Court</w:t>
      </w:r>
      <w:r w:rsidR="00E66DD7" w:rsidRPr="00D869E3">
        <w:rPr>
          <w:rFonts w:ascii="Verdana" w:hAnsi="Verdana"/>
          <w:color w:val="000000"/>
          <w:sz w:val="20"/>
          <w:szCs w:val="20"/>
          <w:lang w:val="en-US"/>
        </w:rPr>
        <w:t xml:space="preserve"> not</w:t>
      </w:r>
      <w:r w:rsidR="00C27D92" w:rsidRPr="00D869E3">
        <w:rPr>
          <w:rFonts w:ascii="Verdana" w:hAnsi="Verdana"/>
          <w:color w:val="000000"/>
          <w:sz w:val="20"/>
          <w:szCs w:val="20"/>
          <w:lang w:val="en-US"/>
        </w:rPr>
        <w:t>es that, when the application for amparo was rejected,</w:t>
      </w:r>
      <w:r w:rsidR="00E66DD7" w:rsidRPr="00D869E3">
        <w:rPr>
          <w:rFonts w:ascii="Verdana" w:hAnsi="Verdana"/>
          <w:color w:val="000000"/>
          <w:sz w:val="20"/>
          <w:szCs w:val="20"/>
          <w:lang w:val="en-US"/>
        </w:rPr>
        <w:t xml:space="preserve"> </w:t>
      </w:r>
      <w:r w:rsidR="00447C65" w:rsidRPr="00D869E3">
        <w:rPr>
          <w:rFonts w:ascii="Verdana" w:hAnsi="Verdana" w:cs="Arial"/>
          <w:sz w:val="20"/>
          <w:szCs w:val="20"/>
          <w:lang w:val="en-US"/>
        </w:rPr>
        <w:t xml:space="preserve">the </w:t>
      </w:r>
      <w:r w:rsidR="00EE0BD4" w:rsidRPr="00D869E3">
        <w:rPr>
          <w:rFonts w:ascii="Verdana" w:hAnsi="Verdana" w:cs="Arial"/>
          <w:sz w:val="20"/>
          <w:szCs w:val="20"/>
          <w:lang w:val="en-US"/>
        </w:rPr>
        <w:t>Court of Constitutional Guarantees</w:t>
      </w:r>
      <w:r w:rsidR="00E66DD7" w:rsidRPr="00D869E3">
        <w:rPr>
          <w:rFonts w:ascii="Verdana" w:hAnsi="Verdana" w:cs="Arial"/>
          <w:sz w:val="20"/>
          <w:szCs w:val="20"/>
          <w:lang w:val="en-US"/>
        </w:rPr>
        <w:t xml:space="preserve"> </w:t>
      </w:r>
      <w:r w:rsidR="00C27D92" w:rsidRPr="00D869E3">
        <w:rPr>
          <w:rFonts w:ascii="Verdana" w:hAnsi="Verdana" w:cs="Arial"/>
          <w:sz w:val="20"/>
          <w:szCs w:val="20"/>
          <w:lang w:val="en-US"/>
        </w:rPr>
        <w:t>had been suspen</w:t>
      </w:r>
      <w:r w:rsidR="00162D2F" w:rsidRPr="00D869E3">
        <w:rPr>
          <w:rFonts w:ascii="Verdana" w:hAnsi="Verdana" w:cs="Arial"/>
          <w:sz w:val="20"/>
          <w:szCs w:val="20"/>
          <w:lang w:val="en-US"/>
        </w:rPr>
        <w:t>d</w:t>
      </w:r>
      <w:r w:rsidR="00C27D92" w:rsidRPr="00D869E3">
        <w:rPr>
          <w:rFonts w:ascii="Verdana" w:hAnsi="Verdana" w:cs="Arial"/>
          <w:sz w:val="20"/>
          <w:szCs w:val="20"/>
          <w:lang w:val="en-US"/>
        </w:rPr>
        <w:t xml:space="preserve">ed, owing to the dismissal of the justices by </w:t>
      </w:r>
      <w:r w:rsidR="00E66DD7" w:rsidRPr="00D869E3">
        <w:rPr>
          <w:rFonts w:ascii="Verdana" w:hAnsi="Verdana" w:cs="Arial"/>
          <w:sz w:val="20"/>
          <w:szCs w:val="20"/>
          <w:lang w:val="en-US"/>
        </w:rPr>
        <w:t>Decre</w:t>
      </w:r>
      <w:r w:rsidR="00162D2F" w:rsidRPr="00D869E3">
        <w:rPr>
          <w:rFonts w:ascii="Verdana" w:hAnsi="Verdana" w:cs="Arial"/>
          <w:sz w:val="20"/>
          <w:szCs w:val="20"/>
          <w:lang w:val="en-US"/>
        </w:rPr>
        <w:t>e</w:t>
      </w:r>
      <w:r w:rsidR="00E66DD7" w:rsidRPr="00D869E3">
        <w:rPr>
          <w:rFonts w:ascii="Verdana" w:hAnsi="Verdana" w:cs="Arial"/>
          <w:sz w:val="20"/>
          <w:szCs w:val="20"/>
          <w:lang w:val="en-US"/>
        </w:rPr>
        <w:t xml:space="preserve"> </w:t>
      </w:r>
      <w:r w:rsidR="00852CCA" w:rsidRPr="00D869E3">
        <w:rPr>
          <w:rFonts w:ascii="Verdana" w:hAnsi="Verdana" w:cs="Arial"/>
          <w:sz w:val="20"/>
          <w:szCs w:val="20"/>
          <w:lang w:val="en-US"/>
        </w:rPr>
        <w:t>Law</w:t>
      </w:r>
      <w:r w:rsidR="00E66DD7" w:rsidRPr="00D869E3">
        <w:rPr>
          <w:rFonts w:ascii="Verdana" w:hAnsi="Verdana" w:cs="Arial"/>
          <w:sz w:val="20"/>
          <w:szCs w:val="20"/>
          <w:lang w:val="en-US"/>
        </w:rPr>
        <w:t xml:space="preserve"> No. 25422 </w:t>
      </w:r>
      <w:r w:rsidR="00C27D92" w:rsidRPr="00D869E3">
        <w:rPr>
          <w:rFonts w:ascii="Verdana" w:hAnsi="Verdana" w:cs="Arial"/>
          <w:sz w:val="20"/>
          <w:szCs w:val="20"/>
          <w:lang w:val="en-US"/>
        </w:rPr>
        <w:t>of April 9,</w:t>
      </w:r>
      <w:r w:rsidR="00E66DD7" w:rsidRPr="00D869E3">
        <w:rPr>
          <w:rFonts w:ascii="Verdana" w:hAnsi="Verdana" w:cs="Arial"/>
          <w:sz w:val="20"/>
          <w:szCs w:val="20"/>
          <w:lang w:val="en-US"/>
        </w:rPr>
        <w:t xml:space="preserve"> 1992</w:t>
      </w:r>
      <w:r w:rsidR="00C27D92" w:rsidRPr="00D869E3">
        <w:rPr>
          <w:rFonts w:ascii="Verdana" w:hAnsi="Verdana" w:cs="Arial"/>
          <w:sz w:val="20"/>
          <w:szCs w:val="20"/>
          <w:lang w:val="en-US"/>
        </w:rPr>
        <w:t>.</w:t>
      </w:r>
      <w:r w:rsidR="00E66DD7" w:rsidRPr="00D869E3">
        <w:rPr>
          <w:rFonts w:ascii="Verdana" w:hAnsi="Verdana" w:cs="Verdana"/>
          <w:color w:val="000000"/>
          <w:sz w:val="20"/>
          <w:szCs w:val="20"/>
          <w:vertAlign w:val="superscript"/>
          <w:lang w:val="en-US"/>
        </w:rPr>
        <w:footnoteReference w:id="257"/>
      </w:r>
      <w:r w:rsidR="00C27D92" w:rsidRPr="00D869E3">
        <w:rPr>
          <w:rFonts w:ascii="Verdana" w:hAnsi="Verdana" w:cs="Arial"/>
          <w:sz w:val="20"/>
          <w:szCs w:val="20"/>
          <w:lang w:val="en-US"/>
        </w:rPr>
        <w:t xml:space="preserve"> Consequently, </w:t>
      </w:r>
      <w:r w:rsidR="00162D2F" w:rsidRPr="00D869E3">
        <w:rPr>
          <w:rFonts w:ascii="Verdana" w:hAnsi="Verdana" w:cs="Arial"/>
          <w:sz w:val="20"/>
          <w:szCs w:val="20"/>
          <w:lang w:val="en-US"/>
        </w:rPr>
        <w:t xml:space="preserve">the victim could not be required to exhaust a remedy that, at the time of the facts, was not available or that it would be illusory to exhaust, because </w:t>
      </w:r>
      <w:r w:rsidR="00FF19D3" w:rsidRPr="00D869E3">
        <w:rPr>
          <w:rFonts w:ascii="Verdana" w:hAnsi="Verdana" w:cs="Arial"/>
          <w:sz w:val="20"/>
          <w:szCs w:val="20"/>
          <w:lang w:val="en-US"/>
        </w:rPr>
        <w:t>t</w:t>
      </w:r>
      <w:r w:rsidR="00162D2F" w:rsidRPr="00D869E3">
        <w:rPr>
          <w:rFonts w:ascii="Verdana" w:hAnsi="Verdana" w:cs="Arial"/>
          <w:sz w:val="20"/>
          <w:szCs w:val="20"/>
          <w:lang w:val="en-US"/>
        </w:rPr>
        <w:t xml:space="preserve">he court was not functioning </w:t>
      </w:r>
      <w:r w:rsidR="00E66DD7" w:rsidRPr="00D869E3">
        <w:rPr>
          <w:rFonts w:ascii="Verdana" w:hAnsi="Verdana" w:cs="Verdana"/>
          <w:color w:val="000000"/>
          <w:sz w:val="20"/>
          <w:szCs w:val="20"/>
          <w:lang w:val="en-US"/>
        </w:rPr>
        <w:t>(</w:t>
      </w:r>
      <w:r w:rsidR="00447C65" w:rsidRPr="00D869E3">
        <w:rPr>
          <w:rFonts w:ascii="Verdana" w:hAnsi="Verdana" w:cs="Verdana"/>
          <w:color w:val="000000"/>
          <w:sz w:val="20"/>
          <w:szCs w:val="20"/>
          <w:lang w:val="en-US"/>
        </w:rPr>
        <w:t>Article</w:t>
      </w:r>
      <w:r w:rsidR="00E66DD7" w:rsidRPr="00D869E3">
        <w:rPr>
          <w:rFonts w:ascii="Verdana" w:hAnsi="Verdana" w:cs="Verdana"/>
          <w:color w:val="000000"/>
          <w:sz w:val="20"/>
          <w:szCs w:val="20"/>
          <w:lang w:val="en-US"/>
        </w:rPr>
        <w:t xml:space="preserve"> 46</w:t>
      </w:r>
      <w:r w:rsidR="00162D2F" w:rsidRPr="00D869E3">
        <w:rPr>
          <w:rFonts w:ascii="Verdana" w:hAnsi="Verdana" w:cs="Verdana"/>
          <w:color w:val="000000"/>
          <w:sz w:val="20"/>
          <w:szCs w:val="20"/>
          <w:lang w:val="en-US"/>
        </w:rPr>
        <w:t>(</w:t>
      </w:r>
      <w:r w:rsidR="00E66DD7" w:rsidRPr="00D869E3">
        <w:rPr>
          <w:rFonts w:ascii="Verdana" w:hAnsi="Verdana" w:cs="Verdana"/>
          <w:color w:val="000000"/>
          <w:sz w:val="20"/>
          <w:szCs w:val="20"/>
          <w:lang w:val="en-US"/>
        </w:rPr>
        <w:t>2</w:t>
      </w:r>
      <w:r w:rsidR="00162D2F" w:rsidRPr="00D869E3">
        <w:rPr>
          <w:rFonts w:ascii="Verdana" w:hAnsi="Verdana" w:cs="Verdana"/>
          <w:color w:val="000000"/>
          <w:sz w:val="20"/>
          <w:szCs w:val="20"/>
          <w:lang w:val="en-US"/>
        </w:rPr>
        <w:t>)(</w:t>
      </w:r>
      <w:r w:rsidR="00E66DD7" w:rsidRPr="00D869E3">
        <w:rPr>
          <w:rFonts w:ascii="Verdana" w:hAnsi="Verdana" w:cs="Verdana"/>
          <w:color w:val="000000"/>
          <w:sz w:val="20"/>
          <w:szCs w:val="20"/>
          <w:lang w:val="en-US"/>
        </w:rPr>
        <w:t>b</w:t>
      </w:r>
      <w:r w:rsidR="00162D2F" w:rsidRPr="00D869E3">
        <w:rPr>
          <w:rFonts w:ascii="Verdana" w:hAnsi="Verdana" w:cs="Verdana"/>
          <w:color w:val="000000"/>
          <w:sz w:val="20"/>
          <w:szCs w:val="20"/>
          <w:lang w:val="en-US"/>
        </w:rPr>
        <w:t>)</w:t>
      </w:r>
      <w:r w:rsidR="00447C65" w:rsidRPr="00D869E3">
        <w:rPr>
          <w:rFonts w:ascii="Verdana" w:hAnsi="Verdana" w:cs="Verdana"/>
          <w:color w:val="000000"/>
          <w:sz w:val="20"/>
          <w:szCs w:val="20"/>
          <w:lang w:val="en-US"/>
        </w:rPr>
        <w:t xml:space="preserve"> of the Convention</w:t>
      </w:r>
      <w:r w:rsidR="00E66DD7" w:rsidRPr="00D869E3">
        <w:rPr>
          <w:rFonts w:ascii="Verdana" w:hAnsi="Verdana" w:cs="Verdana"/>
          <w:color w:val="000000"/>
          <w:sz w:val="20"/>
          <w:szCs w:val="20"/>
          <w:vertAlign w:val="superscript"/>
          <w:lang w:val="en-US"/>
        </w:rPr>
        <w:footnoteReference w:id="258"/>
      </w:r>
      <w:r w:rsidR="00E66DD7" w:rsidRPr="00D869E3">
        <w:rPr>
          <w:rFonts w:ascii="Verdana" w:hAnsi="Verdana" w:cs="Verdana"/>
          <w:color w:val="000000"/>
          <w:sz w:val="20"/>
          <w:szCs w:val="20"/>
          <w:lang w:val="en-US"/>
        </w:rPr>
        <w:t>).</w:t>
      </w:r>
      <w:r w:rsidR="00E66DD7" w:rsidRPr="00D869E3">
        <w:rPr>
          <w:rFonts w:ascii="Verdana" w:hAnsi="Verdana" w:cs="Arial"/>
          <w:sz w:val="20"/>
          <w:szCs w:val="20"/>
          <w:lang w:val="en-US"/>
        </w:rPr>
        <w:t xml:space="preserve"> </w:t>
      </w:r>
    </w:p>
    <w:p w14:paraId="3D91F3F7" w14:textId="77777777" w:rsidR="00E66DD7" w:rsidRPr="00D869E3" w:rsidRDefault="00E66DD7" w:rsidP="00E66DD7">
      <w:pPr>
        <w:contextualSpacing/>
        <w:jc w:val="both"/>
        <w:rPr>
          <w:rFonts w:ascii="Verdana" w:hAnsi="Verdana" w:cs="Arial"/>
          <w:sz w:val="20"/>
          <w:szCs w:val="20"/>
          <w:lang w:val="en-US"/>
        </w:rPr>
      </w:pPr>
    </w:p>
    <w:p w14:paraId="23492984" w14:textId="7297639A" w:rsidR="00E66DD7" w:rsidRPr="00D869E3" w:rsidRDefault="00447C65" w:rsidP="007F5545">
      <w:pPr>
        <w:numPr>
          <w:ilvl w:val="0"/>
          <w:numId w:val="1"/>
        </w:numPr>
        <w:ind w:left="0" w:firstLine="0"/>
        <w:contextualSpacing/>
        <w:jc w:val="both"/>
        <w:rPr>
          <w:rFonts w:ascii="Verdana" w:hAnsi="Verdana"/>
          <w:sz w:val="20"/>
          <w:szCs w:val="20"/>
          <w:lang w:val="en-US"/>
        </w:rPr>
      </w:pPr>
      <w:r w:rsidRPr="00D869E3">
        <w:rPr>
          <w:rFonts w:ascii="Verdana" w:hAnsi="Verdana" w:cs="Verdana"/>
          <w:sz w:val="20"/>
          <w:szCs w:val="20"/>
          <w:lang w:val="en-US"/>
        </w:rPr>
        <w:t>The Court</w:t>
      </w:r>
      <w:r w:rsidR="00E66DD7" w:rsidRPr="00D869E3">
        <w:rPr>
          <w:rFonts w:ascii="Verdana" w:hAnsi="Verdana" w:cs="Verdana"/>
          <w:sz w:val="20"/>
          <w:szCs w:val="20"/>
          <w:lang w:val="en-US"/>
        </w:rPr>
        <w:t xml:space="preserve"> rec</w:t>
      </w:r>
      <w:r w:rsidR="007F5545" w:rsidRPr="00D869E3">
        <w:rPr>
          <w:rFonts w:ascii="Verdana" w:hAnsi="Verdana" w:cs="Verdana"/>
          <w:sz w:val="20"/>
          <w:szCs w:val="20"/>
          <w:lang w:val="en-US"/>
        </w:rPr>
        <w:t xml:space="preserve">alls that the inexistence of an effective remedy </w:t>
      </w:r>
      <w:r w:rsidR="00B40C62" w:rsidRPr="00D869E3">
        <w:rPr>
          <w:rFonts w:ascii="Verdana" w:hAnsi="Verdana" w:cs="Verdana"/>
          <w:sz w:val="20"/>
          <w:szCs w:val="20"/>
          <w:lang w:val="en-US"/>
        </w:rPr>
        <w:t>for</w:t>
      </w:r>
      <w:r w:rsidR="007F5545" w:rsidRPr="00D869E3">
        <w:rPr>
          <w:rFonts w:ascii="Verdana" w:hAnsi="Verdana" w:cs="Verdana"/>
          <w:sz w:val="20"/>
          <w:szCs w:val="20"/>
          <w:lang w:val="en-US"/>
        </w:rPr>
        <w:t xml:space="preserve"> violations of the rights recognized in the Convention constitutes </w:t>
      </w:r>
      <w:r w:rsidR="00B40C62" w:rsidRPr="00D869E3">
        <w:rPr>
          <w:rFonts w:ascii="Verdana" w:hAnsi="Verdana" w:cs="Verdana"/>
          <w:sz w:val="20"/>
          <w:szCs w:val="20"/>
          <w:lang w:val="en-US"/>
        </w:rPr>
        <w:t>a breach</w:t>
      </w:r>
      <w:r w:rsidR="007F5545" w:rsidRPr="00D869E3">
        <w:rPr>
          <w:rFonts w:ascii="Verdana" w:hAnsi="Verdana" w:cs="Verdana"/>
          <w:sz w:val="20"/>
          <w:szCs w:val="20"/>
          <w:lang w:val="en-US"/>
        </w:rPr>
        <w:t xml:space="preserve"> of this instrument by the State Party. Thus, it should be emphasized that, for such a remedy to exist, it is not enough that it is established by the Constitution or the law or that it is formally admissible; rather it must be truly appropriate to establish whether a violation of human rights has been committed and to provide the necessary means to remedy this. Those remedies that, owing to the general situation of the country or even the particular circumstances of a case</w:t>
      </w:r>
      <w:r w:rsidR="00B40C62" w:rsidRPr="00D869E3">
        <w:rPr>
          <w:rFonts w:ascii="Verdana" w:hAnsi="Verdana" w:cs="Verdana"/>
          <w:sz w:val="20"/>
          <w:szCs w:val="20"/>
          <w:lang w:val="en-US"/>
        </w:rPr>
        <w:t>,</w:t>
      </w:r>
      <w:r w:rsidR="007F5545" w:rsidRPr="00D869E3">
        <w:rPr>
          <w:rFonts w:ascii="Verdana" w:hAnsi="Verdana" w:cs="Verdana"/>
          <w:sz w:val="20"/>
          <w:szCs w:val="20"/>
          <w:lang w:val="en-US"/>
        </w:rPr>
        <w:t xml:space="preserve"> are unrealistic cannot be considered effective.</w:t>
      </w:r>
      <w:r w:rsidR="00E66DD7" w:rsidRPr="00D869E3">
        <w:rPr>
          <w:rFonts w:ascii="Verdana" w:hAnsi="Verdana" w:cs="Verdana"/>
          <w:sz w:val="20"/>
          <w:szCs w:val="20"/>
          <w:vertAlign w:val="superscript"/>
          <w:lang w:val="en-US"/>
        </w:rPr>
        <w:footnoteReference w:id="259"/>
      </w:r>
    </w:p>
    <w:p w14:paraId="012FAFD7" w14:textId="77777777" w:rsidR="00E66DD7" w:rsidRPr="00D869E3" w:rsidRDefault="00E66DD7" w:rsidP="00E66DD7">
      <w:pPr>
        <w:contextualSpacing/>
        <w:jc w:val="both"/>
        <w:rPr>
          <w:rFonts w:ascii="Verdana" w:hAnsi="Verdana"/>
          <w:sz w:val="20"/>
          <w:szCs w:val="20"/>
          <w:lang w:val="en-US"/>
        </w:rPr>
      </w:pPr>
    </w:p>
    <w:p w14:paraId="42761CE4" w14:textId="742A1723" w:rsidR="007F5545" w:rsidRPr="00D869E3" w:rsidRDefault="007F5545" w:rsidP="00E66DD7">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It is relevant to mention that the penalty established in th</w:t>
      </w:r>
      <w:r w:rsidR="00B40C62" w:rsidRPr="00D869E3">
        <w:rPr>
          <w:rFonts w:ascii="Verdana" w:hAnsi="Verdana"/>
          <w:sz w:val="20"/>
          <w:szCs w:val="20"/>
          <w:lang w:val="en-US"/>
        </w:rPr>
        <w:t>is</w:t>
      </w:r>
      <w:r w:rsidRPr="00D869E3">
        <w:rPr>
          <w:rFonts w:ascii="Verdana" w:hAnsi="Verdana"/>
          <w:sz w:val="20"/>
          <w:szCs w:val="20"/>
          <w:lang w:val="en-US"/>
        </w:rPr>
        <w:t xml:space="preserve"> case was the maximum established by labor legislation</w:t>
      </w:r>
      <w:r w:rsidR="00B40C62" w:rsidRPr="00D869E3">
        <w:rPr>
          <w:rFonts w:ascii="Verdana" w:hAnsi="Verdana"/>
          <w:sz w:val="20"/>
          <w:szCs w:val="20"/>
          <w:lang w:val="en-US"/>
        </w:rPr>
        <w:t xml:space="preserve">: </w:t>
      </w:r>
      <w:r w:rsidRPr="00D869E3">
        <w:rPr>
          <w:rFonts w:ascii="Verdana" w:hAnsi="Verdana"/>
          <w:sz w:val="20"/>
          <w:szCs w:val="20"/>
          <w:lang w:val="en-US"/>
        </w:rPr>
        <w:t>justified or legal dismissal</w:t>
      </w:r>
      <w:r w:rsidR="00B40C62" w:rsidRPr="00D869E3">
        <w:rPr>
          <w:rFonts w:ascii="Verdana" w:hAnsi="Verdana"/>
          <w:sz w:val="20"/>
          <w:szCs w:val="20"/>
          <w:lang w:val="en-US"/>
        </w:rPr>
        <w:t>,</w:t>
      </w:r>
      <w:r w:rsidRPr="00D869E3">
        <w:rPr>
          <w:rFonts w:ascii="Verdana" w:hAnsi="Verdana"/>
          <w:sz w:val="20"/>
          <w:szCs w:val="20"/>
          <w:lang w:val="en-US"/>
        </w:rPr>
        <w:t xml:space="preserve"> in which</w:t>
      </w:r>
      <w:r w:rsidR="00B40C62" w:rsidRPr="00D869E3">
        <w:rPr>
          <w:rFonts w:ascii="Verdana" w:hAnsi="Verdana"/>
          <w:sz w:val="20"/>
          <w:szCs w:val="20"/>
          <w:lang w:val="en-US"/>
        </w:rPr>
        <w:t xml:space="preserve"> the </w:t>
      </w:r>
      <w:r w:rsidRPr="00D869E3">
        <w:rPr>
          <w:rFonts w:ascii="Verdana" w:hAnsi="Verdana"/>
          <w:sz w:val="20"/>
          <w:szCs w:val="20"/>
          <w:lang w:val="en-US"/>
        </w:rPr>
        <w:t>sanction</w:t>
      </w:r>
      <w:r w:rsidR="00B40C62" w:rsidRPr="00D869E3">
        <w:rPr>
          <w:rFonts w:ascii="Verdana" w:hAnsi="Verdana"/>
          <w:sz w:val="20"/>
          <w:szCs w:val="20"/>
          <w:lang w:val="en-US"/>
        </w:rPr>
        <w:t xml:space="preserve"> terminated</w:t>
      </w:r>
      <w:r w:rsidRPr="00D869E3">
        <w:rPr>
          <w:rFonts w:ascii="Verdana" w:hAnsi="Verdana"/>
          <w:sz w:val="20"/>
          <w:szCs w:val="20"/>
          <w:lang w:val="en-US"/>
        </w:rPr>
        <w:t xml:space="preserve"> the</w:t>
      </w:r>
      <w:r w:rsidR="00B40C62" w:rsidRPr="00D869E3">
        <w:rPr>
          <w:rFonts w:ascii="Verdana" w:hAnsi="Verdana"/>
          <w:sz w:val="20"/>
          <w:szCs w:val="20"/>
          <w:lang w:val="en-US"/>
        </w:rPr>
        <w:t xml:space="preserve"> individual’s</w:t>
      </w:r>
      <w:r w:rsidRPr="00D869E3">
        <w:rPr>
          <w:rFonts w:ascii="Verdana" w:hAnsi="Verdana"/>
          <w:sz w:val="20"/>
          <w:szCs w:val="20"/>
          <w:lang w:val="en-US"/>
        </w:rPr>
        <w:t xml:space="preserve"> status as a worker</w:t>
      </w:r>
      <w:r w:rsidR="00B40C62" w:rsidRPr="00D869E3">
        <w:rPr>
          <w:rFonts w:ascii="Verdana" w:hAnsi="Verdana"/>
          <w:sz w:val="20"/>
          <w:szCs w:val="20"/>
          <w:lang w:val="en-US"/>
        </w:rPr>
        <w:t>. In other words,</w:t>
      </w:r>
      <w:r w:rsidRPr="00D869E3">
        <w:rPr>
          <w:rFonts w:ascii="Verdana" w:hAnsi="Verdana"/>
          <w:sz w:val="20"/>
          <w:szCs w:val="20"/>
          <w:lang w:val="en-US"/>
        </w:rPr>
        <w:t xml:space="preserve"> he </w:t>
      </w:r>
      <w:r w:rsidR="00B40C62" w:rsidRPr="00D869E3">
        <w:rPr>
          <w:rFonts w:ascii="Verdana" w:hAnsi="Verdana"/>
          <w:sz w:val="20"/>
          <w:szCs w:val="20"/>
          <w:lang w:val="en-US"/>
        </w:rPr>
        <w:t>was</w:t>
      </w:r>
      <w:r w:rsidRPr="00D869E3">
        <w:rPr>
          <w:rFonts w:ascii="Verdana" w:hAnsi="Verdana"/>
          <w:sz w:val="20"/>
          <w:szCs w:val="20"/>
          <w:lang w:val="en-US"/>
        </w:rPr>
        <w:t xml:space="preserve"> expelled from a </w:t>
      </w:r>
      <w:r w:rsidR="00B40C62" w:rsidRPr="00D869E3">
        <w:rPr>
          <w:rFonts w:ascii="Verdana" w:hAnsi="Verdana"/>
          <w:sz w:val="20"/>
          <w:szCs w:val="20"/>
          <w:lang w:val="en-US"/>
        </w:rPr>
        <w:t xml:space="preserve">specific </w:t>
      </w:r>
      <w:r w:rsidRPr="00D869E3">
        <w:rPr>
          <w:rFonts w:ascii="Verdana" w:hAnsi="Verdana"/>
          <w:sz w:val="20"/>
          <w:szCs w:val="20"/>
          <w:lang w:val="en-US"/>
        </w:rPr>
        <w:t>category and deprived of a fundamental right that, at times, is even essential for survival and the realization of other rights. The arbitrary harm to job security may even affect a person’s subjective identity and even exceed this affecting third parties concerned.</w:t>
      </w:r>
    </w:p>
    <w:p w14:paraId="568747FE" w14:textId="77777777" w:rsidR="00E66DD7" w:rsidRPr="00D869E3" w:rsidRDefault="00E66DD7" w:rsidP="00E66DD7">
      <w:pPr>
        <w:contextualSpacing/>
        <w:jc w:val="both"/>
        <w:rPr>
          <w:rFonts w:ascii="Verdana" w:hAnsi="Verdana"/>
          <w:sz w:val="20"/>
          <w:szCs w:val="20"/>
          <w:lang w:val="en-US"/>
        </w:rPr>
      </w:pPr>
    </w:p>
    <w:p w14:paraId="1EE1D034" w14:textId="54923935" w:rsidR="00E66DD7" w:rsidRPr="00D869E3" w:rsidRDefault="007F5545" w:rsidP="002C57C4">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Although any dismissal </w:t>
      </w:r>
      <w:r w:rsidR="000B71FF" w:rsidRPr="00D869E3">
        <w:rPr>
          <w:rFonts w:ascii="Verdana" w:hAnsi="Verdana"/>
          <w:sz w:val="20"/>
          <w:szCs w:val="20"/>
          <w:lang w:val="en-US"/>
        </w:rPr>
        <w:t>entails</w:t>
      </w:r>
      <w:r w:rsidRPr="00D869E3">
        <w:rPr>
          <w:rFonts w:ascii="Verdana" w:hAnsi="Verdana"/>
          <w:sz w:val="20"/>
          <w:szCs w:val="20"/>
          <w:lang w:val="en-US"/>
        </w:rPr>
        <w:t xml:space="preserve"> a </w:t>
      </w:r>
      <w:r w:rsidR="000B71FF" w:rsidRPr="00D869E3">
        <w:rPr>
          <w:rFonts w:ascii="Verdana" w:hAnsi="Verdana"/>
          <w:sz w:val="20"/>
          <w:szCs w:val="20"/>
          <w:lang w:val="en-US"/>
        </w:rPr>
        <w:t>sanction</w:t>
      </w:r>
      <w:r w:rsidRPr="00D869E3">
        <w:rPr>
          <w:rFonts w:ascii="Verdana" w:hAnsi="Verdana"/>
          <w:sz w:val="20"/>
          <w:szCs w:val="20"/>
          <w:lang w:val="en-US"/>
        </w:rPr>
        <w:t xml:space="preserve"> of the greatest severity, the Court underscores that, in some cases, it has particular characteristics </w:t>
      </w:r>
      <w:r w:rsidR="000B71FF" w:rsidRPr="00D869E3">
        <w:rPr>
          <w:rFonts w:ascii="Verdana" w:hAnsi="Verdana"/>
          <w:sz w:val="20"/>
          <w:szCs w:val="20"/>
          <w:lang w:val="en-US"/>
        </w:rPr>
        <w:t>that entail</w:t>
      </w:r>
      <w:r w:rsidRPr="00D869E3">
        <w:rPr>
          <w:rFonts w:ascii="Verdana" w:hAnsi="Verdana"/>
          <w:sz w:val="20"/>
          <w:szCs w:val="20"/>
          <w:lang w:val="en-US"/>
        </w:rPr>
        <w:t xml:space="preserve"> greater or special severity</w:t>
      </w:r>
      <w:r w:rsidR="000B71FF" w:rsidRPr="00D869E3">
        <w:rPr>
          <w:rFonts w:ascii="Verdana" w:hAnsi="Verdana"/>
          <w:sz w:val="20"/>
          <w:szCs w:val="20"/>
          <w:lang w:val="en-US"/>
        </w:rPr>
        <w:t xml:space="preserve"> as a punishment that</w:t>
      </w:r>
      <w:r w:rsidRPr="00D869E3">
        <w:rPr>
          <w:rFonts w:ascii="Verdana" w:hAnsi="Verdana"/>
          <w:sz w:val="20"/>
          <w:szCs w:val="20"/>
          <w:lang w:val="en-US"/>
        </w:rPr>
        <w:t xml:space="preserve"> require</w:t>
      </w:r>
      <w:r w:rsidR="000B71FF" w:rsidRPr="00D869E3">
        <w:rPr>
          <w:rFonts w:ascii="Verdana" w:hAnsi="Verdana"/>
          <w:sz w:val="20"/>
          <w:szCs w:val="20"/>
          <w:lang w:val="en-US"/>
        </w:rPr>
        <w:t xml:space="preserve"> full</w:t>
      </w:r>
      <w:r w:rsidRPr="00D869E3">
        <w:rPr>
          <w:rFonts w:ascii="Verdana" w:hAnsi="Verdana"/>
          <w:sz w:val="20"/>
          <w:szCs w:val="20"/>
          <w:lang w:val="en-US"/>
        </w:rPr>
        <w:t xml:space="preserve"> judicial protection. In this case, the particular </w:t>
      </w:r>
      <w:r w:rsidR="002C57C4" w:rsidRPr="00D869E3">
        <w:rPr>
          <w:rFonts w:ascii="Verdana" w:hAnsi="Verdana"/>
          <w:sz w:val="20"/>
          <w:szCs w:val="20"/>
          <w:lang w:val="en-US"/>
        </w:rPr>
        <w:t xml:space="preserve">severity of the punishment of dismissal </w:t>
      </w:r>
      <w:r w:rsidR="000B71FF" w:rsidRPr="00D869E3">
        <w:rPr>
          <w:rFonts w:ascii="Verdana" w:hAnsi="Verdana"/>
          <w:sz w:val="20"/>
          <w:szCs w:val="20"/>
          <w:lang w:val="en-US"/>
        </w:rPr>
        <w:t>arises</w:t>
      </w:r>
      <w:r w:rsidR="002C57C4" w:rsidRPr="00D869E3">
        <w:rPr>
          <w:rFonts w:ascii="Verdana" w:hAnsi="Verdana"/>
          <w:sz w:val="20"/>
          <w:szCs w:val="20"/>
          <w:lang w:val="en-US"/>
        </w:rPr>
        <w:t xml:space="preserve"> because the harm to job security was reinforced by the presumed victim’s condition as a democratically elected representative and by </w:t>
      </w:r>
      <w:r w:rsidR="007013E2" w:rsidRPr="00D869E3">
        <w:rPr>
          <w:rFonts w:ascii="Verdana" w:hAnsi="Verdana"/>
          <w:sz w:val="20"/>
          <w:szCs w:val="20"/>
          <w:lang w:val="en-US"/>
        </w:rPr>
        <w:t>the violation</w:t>
      </w:r>
      <w:r w:rsidR="00A157F5" w:rsidRPr="00D869E3">
        <w:rPr>
          <w:rFonts w:ascii="Verdana" w:hAnsi="Verdana"/>
          <w:sz w:val="20"/>
          <w:szCs w:val="20"/>
          <w:lang w:val="en-US"/>
        </w:rPr>
        <w:t xml:space="preserve"> of the </w:t>
      </w:r>
      <w:r w:rsidR="000B2E5E" w:rsidRPr="00D869E3">
        <w:rPr>
          <w:rFonts w:ascii="Verdana" w:hAnsi="Verdana"/>
          <w:sz w:val="20"/>
          <w:szCs w:val="20"/>
          <w:lang w:val="en-US"/>
        </w:rPr>
        <w:t>right to</w:t>
      </w:r>
      <w:r w:rsidR="00E66DD7" w:rsidRPr="00D869E3">
        <w:rPr>
          <w:rFonts w:ascii="Verdana" w:hAnsi="Verdana"/>
          <w:sz w:val="20"/>
          <w:szCs w:val="20"/>
          <w:lang w:val="en-US"/>
        </w:rPr>
        <w:t xml:space="preserve"> expres</w:t>
      </w:r>
      <w:r w:rsidR="002C57C4" w:rsidRPr="00D869E3">
        <w:rPr>
          <w:rFonts w:ascii="Verdana" w:hAnsi="Verdana"/>
          <w:sz w:val="20"/>
          <w:szCs w:val="20"/>
          <w:lang w:val="en-US"/>
        </w:rPr>
        <w:t xml:space="preserve">s his ideas freely. </w:t>
      </w:r>
    </w:p>
    <w:p w14:paraId="57FD0C7E" w14:textId="77777777" w:rsidR="00E66DD7" w:rsidRPr="00D869E3" w:rsidRDefault="00E66DD7" w:rsidP="00E66DD7">
      <w:pPr>
        <w:contextualSpacing/>
        <w:jc w:val="both"/>
        <w:rPr>
          <w:rFonts w:ascii="Verdana" w:hAnsi="Verdana"/>
          <w:sz w:val="20"/>
          <w:szCs w:val="20"/>
          <w:lang w:val="en-US"/>
        </w:rPr>
      </w:pPr>
    </w:p>
    <w:p w14:paraId="21D5210E" w14:textId="720EEE47" w:rsidR="00E66DD7" w:rsidRPr="00D869E3" w:rsidRDefault="00B44B46" w:rsidP="00E66DD7">
      <w:pPr>
        <w:pStyle w:val="Ttulo3"/>
        <w:numPr>
          <w:ilvl w:val="0"/>
          <w:numId w:val="24"/>
        </w:numPr>
        <w:rPr>
          <w:i/>
          <w:szCs w:val="20"/>
          <w:lang w:val="en-US"/>
        </w:rPr>
      </w:pPr>
      <w:bookmarkStart w:id="62" w:name="_Toc29114149"/>
      <w:r w:rsidRPr="00D869E3">
        <w:rPr>
          <w:i/>
          <w:szCs w:val="20"/>
          <w:lang w:val="en-US"/>
        </w:rPr>
        <w:t>Conclusion</w:t>
      </w:r>
      <w:bookmarkEnd w:id="62"/>
    </w:p>
    <w:p w14:paraId="0861E36A" w14:textId="77777777" w:rsidR="00E66DD7" w:rsidRPr="00D869E3" w:rsidRDefault="00E66DD7" w:rsidP="00E66DD7">
      <w:pPr>
        <w:contextualSpacing/>
        <w:jc w:val="both"/>
        <w:rPr>
          <w:rFonts w:ascii="Verdana" w:hAnsi="Verdana"/>
          <w:sz w:val="20"/>
          <w:szCs w:val="20"/>
          <w:lang w:val="en-US"/>
        </w:rPr>
      </w:pPr>
    </w:p>
    <w:p w14:paraId="336CC57D" w14:textId="121BCB50" w:rsidR="00D9601C" w:rsidRPr="00D869E3" w:rsidRDefault="002C57C4" w:rsidP="002C57C4">
      <w:pPr>
        <w:numPr>
          <w:ilvl w:val="0"/>
          <w:numId w:val="1"/>
        </w:numPr>
        <w:ind w:left="0" w:firstLine="0"/>
        <w:contextualSpacing/>
        <w:jc w:val="both"/>
        <w:rPr>
          <w:rFonts w:ascii="Verdana" w:hAnsi="Verdana"/>
          <w:sz w:val="22"/>
          <w:szCs w:val="22"/>
          <w:lang w:val="en-US"/>
        </w:rPr>
      </w:pPr>
      <w:r w:rsidRPr="00D869E3">
        <w:rPr>
          <w:rFonts w:ascii="Verdana" w:hAnsi="Verdana"/>
          <w:sz w:val="20"/>
          <w:szCs w:val="20"/>
          <w:lang w:val="en-US"/>
        </w:rPr>
        <w:lastRenderedPageBreak/>
        <w:t xml:space="preserve">Based on the above, it has been </w:t>
      </w:r>
      <w:r w:rsidR="000B71FF" w:rsidRPr="00D869E3">
        <w:rPr>
          <w:rFonts w:ascii="Verdana" w:hAnsi="Verdana"/>
          <w:sz w:val="20"/>
          <w:szCs w:val="20"/>
          <w:lang w:val="en-US"/>
        </w:rPr>
        <w:t>established</w:t>
      </w:r>
      <w:r w:rsidRPr="00D869E3">
        <w:rPr>
          <w:rFonts w:ascii="Verdana" w:hAnsi="Verdana"/>
          <w:sz w:val="20"/>
          <w:szCs w:val="20"/>
          <w:lang w:val="en-US"/>
        </w:rPr>
        <w:t xml:space="preserve"> that: (i) the second instance</w:t>
      </w:r>
      <w:r w:rsidR="000B71FF" w:rsidRPr="00D869E3">
        <w:rPr>
          <w:rFonts w:ascii="Verdana" w:hAnsi="Verdana"/>
          <w:sz w:val="20"/>
          <w:szCs w:val="20"/>
          <w:lang w:val="en-US"/>
        </w:rPr>
        <w:t xml:space="preserve"> proceedings</w:t>
      </w:r>
      <w:r w:rsidRPr="00D869E3">
        <w:rPr>
          <w:rFonts w:ascii="Verdana" w:hAnsi="Verdana"/>
          <w:sz w:val="20"/>
          <w:szCs w:val="20"/>
          <w:lang w:val="en-US"/>
        </w:rPr>
        <w:t xml:space="preserve"> failed to assess the victim’s defense arguments, and </w:t>
      </w:r>
      <w:r w:rsidR="000B71FF" w:rsidRPr="00D869E3">
        <w:rPr>
          <w:rFonts w:ascii="Verdana" w:hAnsi="Verdana"/>
          <w:sz w:val="20"/>
          <w:szCs w:val="20"/>
          <w:lang w:val="en-US"/>
        </w:rPr>
        <w:t>several other</w:t>
      </w:r>
      <w:r w:rsidRPr="00D869E3">
        <w:rPr>
          <w:rFonts w:ascii="Verdana" w:hAnsi="Verdana"/>
          <w:sz w:val="20"/>
          <w:szCs w:val="20"/>
          <w:lang w:val="en-US"/>
        </w:rPr>
        <w:t xml:space="preserve"> courts failed to correct this; (ii) the first</w:t>
      </w:r>
      <w:r w:rsidRPr="00D869E3">
        <w:rPr>
          <w:rFonts w:ascii="Verdana" w:hAnsi="Verdana"/>
          <w:sz w:val="22"/>
          <w:szCs w:val="22"/>
          <w:lang w:val="en-US"/>
        </w:rPr>
        <w:t xml:space="preserve"> </w:t>
      </w:r>
      <w:r w:rsidR="008817D4" w:rsidRPr="00D869E3">
        <w:rPr>
          <w:rFonts w:ascii="Verdana" w:hAnsi="Verdana"/>
          <w:sz w:val="20"/>
          <w:szCs w:val="20"/>
          <w:lang w:val="en-US"/>
        </w:rPr>
        <w:t>appeal for annulment</w:t>
      </w:r>
      <w:r w:rsidR="00E66DD7" w:rsidRPr="00D869E3">
        <w:rPr>
          <w:rFonts w:ascii="Verdana" w:hAnsi="Verdana"/>
          <w:sz w:val="20"/>
          <w:szCs w:val="20"/>
          <w:lang w:val="en-US"/>
        </w:rPr>
        <w:t xml:space="preserve"> </w:t>
      </w:r>
      <w:r w:rsidRPr="00D869E3">
        <w:rPr>
          <w:rFonts w:ascii="Verdana" w:hAnsi="Verdana"/>
          <w:sz w:val="20"/>
          <w:szCs w:val="20"/>
          <w:lang w:val="en-US"/>
        </w:rPr>
        <w:t xml:space="preserve">was heard and rejected by the same court that had </w:t>
      </w:r>
      <w:r w:rsidR="00D329A8" w:rsidRPr="00D869E3">
        <w:rPr>
          <w:rFonts w:ascii="Verdana" w:hAnsi="Verdana"/>
          <w:sz w:val="20"/>
          <w:szCs w:val="20"/>
          <w:lang w:val="en-US"/>
        </w:rPr>
        <w:t>ratifie</w:t>
      </w:r>
      <w:r w:rsidRPr="00D869E3">
        <w:rPr>
          <w:rFonts w:ascii="Verdana" w:hAnsi="Verdana"/>
          <w:sz w:val="20"/>
          <w:szCs w:val="20"/>
          <w:lang w:val="en-US"/>
        </w:rPr>
        <w:t>d the dismissal; (iii) the amparo proceedings did not rule on the substantive (constitutional) rights alleged by Mr. Lagos del Campo, considering that th</w:t>
      </w:r>
      <w:r w:rsidR="000B71FF" w:rsidRPr="00D869E3">
        <w:rPr>
          <w:rFonts w:ascii="Verdana" w:hAnsi="Verdana"/>
          <w:sz w:val="20"/>
          <w:szCs w:val="20"/>
          <w:lang w:val="en-US"/>
        </w:rPr>
        <w:t>e matter</w:t>
      </w:r>
      <w:r w:rsidRPr="00D869E3">
        <w:rPr>
          <w:rFonts w:ascii="Verdana" w:hAnsi="Verdana"/>
          <w:sz w:val="20"/>
          <w:szCs w:val="20"/>
          <w:lang w:val="en-US"/>
        </w:rPr>
        <w:t xml:space="preserve"> was </w:t>
      </w:r>
      <w:r w:rsidRPr="00D869E3">
        <w:rPr>
          <w:rFonts w:ascii="Verdana" w:hAnsi="Verdana"/>
          <w:i/>
          <w:iCs/>
          <w:sz w:val="20"/>
          <w:szCs w:val="20"/>
          <w:lang w:val="en-US"/>
        </w:rPr>
        <w:t>res judicata</w:t>
      </w:r>
      <w:r w:rsidRPr="00D869E3">
        <w:rPr>
          <w:rFonts w:ascii="Verdana" w:hAnsi="Verdana"/>
          <w:sz w:val="20"/>
          <w:szCs w:val="20"/>
          <w:lang w:val="en-US"/>
        </w:rPr>
        <w:t>, and (iv) he was required to exhaust a remedy that, at the time of the facts, was illusory. Therefore, this Court finds that the State violated</w:t>
      </w:r>
      <w:r w:rsidRPr="00D869E3">
        <w:rPr>
          <w:rFonts w:ascii="Verdana" w:hAnsi="Verdana"/>
          <w:sz w:val="22"/>
          <w:szCs w:val="22"/>
          <w:lang w:val="en-US"/>
        </w:rPr>
        <w:t xml:space="preserve"> </w:t>
      </w:r>
      <w:r w:rsidR="00447C65" w:rsidRPr="00D869E3">
        <w:rPr>
          <w:rFonts w:ascii="Verdana" w:hAnsi="Verdana" w:cs="Verdana"/>
          <w:sz w:val="20"/>
          <w:szCs w:val="20"/>
          <w:lang w:val="en-US"/>
        </w:rPr>
        <w:t>Articles</w:t>
      </w:r>
      <w:r w:rsidR="00E66DD7" w:rsidRPr="00D869E3">
        <w:rPr>
          <w:rFonts w:ascii="Verdana" w:hAnsi="Verdana" w:cs="Verdana"/>
          <w:sz w:val="20"/>
          <w:szCs w:val="20"/>
          <w:lang w:val="en-US"/>
        </w:rPr>
        <w:t xml:space="preserve"> </w:t>
      </w:r>
      <w:r w:rsidR="00687684" w:rsidRPr="00D869E3">
        <w:rPr>
          <w:rFonts w:ascii="Verdana" w:hAnsi="Verdana" w:cs="Verdana"/>
          <w:sz w:val="20"/>
          <w:szCs w:val="20"/>
          <w:lang w:val="en-US"/>
        </w:rPr>
        <w:t xml:space="preserve">8(1) and </w:t>
      </w:r>
      <w:r w:rsidR="00901386" w:rsidRPr="00D869E3">
        <w:rPr>
          <w:rFonts w:ascii="Verdana" w:hAnsi="Verdana" w:cs="Verdana"/>
          <w:sz w:val="20"/>
          <w:szCs w:val="20"/>
          <w:lang w:val="en-US"/>
        </w:rPr>
        <w:t>25(1)</w:t>
      </w:r>
      <w:r w:rsidR="00E66DD7" w:rsidRPr="00D869E3">
        <w:rPr>
          <w:rFonts w:ascii="Verdana" w:hAnsi="Verdana" w:cs="Verdana"/>
          <w:sz w:val="20"/>
          <w:szCs w:val="20"/>
          <w:lang w:val="en-US"/>
        </w:rPr>
        <w:t xml:space="preserve"> </w:t>
      </w:r>
      <w:r w:rsidRPr="00D869E3">
        <w:rPr>
          <w:rFonts w:ascii="Verdana" w:hAnsi="Verdana" w:cs="Verdana"/>
          <w:sz w:val="20"/>
          <w:szCs w:val="20"/>
          <w:lang w:val="en-US"/>
        </w:rPr>
        <w:t>of the American Convention</w:t>
      </w:r>
      <w:r w:rsidR="00E66DD7" w:rsidRPr="00D869E3">
        <w:rPr>
          <w:rFonts w:ascii="Verdana" w:hAnsi="Verdana" w:cs="Verdana"/>
          <w:sz w:val="20"/>
          <w:szCs w:val="20"/>
          <w:lang w:val="en-US"/>
        </w:rPr>
        <w:t xml:space="preserve">, </w:t>
      </w:r>
      <w:r w:rsidR="00BB61A6" w:rsidRPr="00D869E3">
        <w:rPr>
          <w:rFonts w:ascii="Verdana" w:hAnsi="Verdana" w:cs="Verdana"/>
          <w:sz w:val="20"/>
          <w:szCs w:val="20"/>
          <w:lang w:val="en-US"/>
        </w:rPr>
        <w:t>in relation to</w:t>
      </w:r>
      <w:r w:rsidR="00E66DD7" w:rsidRPr="00D869E3">
        <w:rPr>
          <w:rFonts w:ascii="Verdana" w:hAnsi="Verdana" w:cs="Verdana"/>
          <w:sz w:val="20"/>
          <w:szCs w:val="20"/>
          <w:lang w:val="en-US"/>
        </w:rPr>
        <w:t xml:space="preserve"> </w:t>
      </w:r>
      <w:r w:rsidR="00687684" w:rsidRPr="00D869E3">
        <w:rPr>
          <w:rFonts w:ascii="Verdana" w:hAnsi="Verdana" w:cs="Verdana"/>
          <w:sz w:val="20"/>
          <w:szCs w:val="20"/>
          <w:lang w:val="en-US"/>
        </w:rPr>
        <w:t>Article 1(1)</w:t>
      </w:r>
      <w:r w:rsidR="00334B6C" w:rsidRPr="00D869E3">
        <w:rPr>
          <w:rFonts w:ascii="Verdana" w:hAnsi="Verdana" w:cs="Verdana"/>
          <w:sz w:val="20"/>
          <w:szCs w:val="20"/>
          <w:lang w:val="en-US"/>
        </w:rPr>
        <w:t xml:space="preserve"> </w:t>
      </w:r>
      <w:r w:rsidR="00351902" w:rsidRPr="00D869E3">
        <w:rPr>
          <w:rFonts w:ascii="Verdana" w:hAnsi="Verdana" w:cs="Verdana"/>
          <w:sz w:val="20"/>
          <w:szCs w:val="20"/>
          <w:lang w:val="en-US"/>
        </w:rPr>
        <w:t>of this instrument</w:t>
      </w:r>
      <w:r w:rsidR="001D4D46" w:rsidRPr="00D869E3">
        <w:rPr>
          <w:rFonts w:ascii="Verdana" w:hAnsi="Verdana" w:cs="Verdana"/>
          <w:sz w:val="20"/>
          <w:szCs w:val="20"/>
          <w:lang w:val="en-US"/>
        </w:rPr>
        <w:t xml:space="preserve">, </w:t>
      </w:r>
      <w:r w:rsidRPr="00D869E3">
        <w:rPr>
          <w:rFonts w:ascii="Verdana" w:hAnsi="Verdana" w:cs="Verdana"/>
          <w:sz w:val="20"/>
          <w:szCs w:val="20"/>
          <w:lang w:val="en-US"/>
        </w:rPr>
        <w:t>to the detriment of</w:t>
      </w:r>
      <w:r w:rsidR="00687684" w:rsidRPr="00D869E3">
        <w:rPr>
          <w:rFonts w:ascii="Verdana" w:hAnsi="Verdana" w:cs="Verdana"/>
          <w:sz w:val="20"/>
          <w:szCs w:val="20"/>
          <w:lang w:val="en-US"/>
        </w:rPr>
        <w:t xml:space="preserve"> Mr. Lagos</w:t>
      </w:r>
      <w:r w:rsidR="00E66DD7" w:rsidRPr="00D869E3">
        <w:rPr>
          <w:rFonts w:ascii="Verdana" w:hAnsi="Verdana" w:cs="Verdana"/>
          <w:sz w:val="20"/>
          <w:szCs w:val="20"/>
          <w:lang w:val="en-US"/>
        </w:rPr>
        <w:t xml:space="preserve"> del Campo. </w:t>
      </w:r>
    </w:p>
    <w:p w14:paraId="44DA5CA7" w14:textId="77777777" w:rsidR="00880261" w:rsidRPr="00D869E3" w:rsidRDefault="00880261" w:rsidP="00DF09C1">
      <w:pPr>
        <w:contextualSpacing/>
        <w:jc w:val="both"/>
        <w:rPr>
          <w:rFonts w:ascii="Verdana" w:hAnsi="Verdana" w:cs="Verdana"/>
          <w:spacing w:val="-2"/>
          <w:sz w:val="20"/>
          <w:szCs w:val="20"/>
          <w:lang w:val="en-US"/>
        </w:rPr>
      </w:pPr>
    </w:p>
    <w:p w14:paraId="1CC83FE7" w14:textId="6A756ED2" w:rsidR="009C5D55" w:rsidRPr="00D869E3" w:rsidRDefault="00374FC9" w:rsidP="00C0187C">
      <w:pPr>
        <w:pStyle w:val="Ttulo1"/>
        <w:tabs>
          <w:tab w:val="left" w:pos="851"/>
        </w:tabs>
        <w:spacing w:before="0"/>
        <w:jc w:val="center"/>
        <w:rPr>
          <w:rFonts w:cs="Verdana"/>
          <w:caps/>
          <w:snapToGrid w:val="0"/>
          <w:szCs w:val="20"/>
          <w:lang w:val="en-US"/>
        </w:rPr>
      </w:pPr>
      <w:bookmarkStart w:id="63" w:name="_Toc29114150"/>
      <w:r w:rsidRPr="00D869E3">
        <w:rPr>
          <w:rFonts w:cs="Verdana"/>
          <w:caps/>
          <w:snapToGrid w:val="0"/>
          <w:szCs w:val="20"/>
          <w:lang w:val="en-US"/>
        </w:rPr>
        <w:t>VIII</w:t>
      </w:r>
      <w:bookmarkEnd w:id="63"/>
    </w:p>
    <w:p w14:paraId="4948543D" w14:textId="2BF3A700" w:rsidR="009C5D55" w:rsidRPr="00D869E3" w:rsidRDefault="00B44B46" w:rsidP="00C0187C">
      <w:pPr>
        <w:pStyle w:val="Ttulo1"/>
        <w:tabs>
          <w:tab w:val="left" w:pos="851"/>
        </w:tabs>
        <w:spacing w:before="0"/>
        <w:jc w:val="center"/>
        <w:rPr>
          <w:rFonts w:cs="Verdana"/>
          <w:caps/>
          <w:snapToGrid w:val="0"/>
          <w:szCs w:val="20"/>
          <w:lang w:val="en-US"/>
        </w:rPr>
      </w:pPr>
      <w:bookmarkStart w:id="64" w:name="_Toc29114151"/>
      <w:r w:rsidRPr="00D869E3">
        <w:rPr>
          <w:rFonts w:cs="Verdana"/>
          <w:caps/>
          <w:snapToGrid w:val="0"/>
          <w:szCs w:val="20"/>
          <w:lang w:val="en-US"/>
        </w:rPr>
        <w:t>REPARATIONS</w:t>
      </w:r>
      <w:bookmarkEnd w:id="64"/>
    </w:p>
    <w:p w14:paraId="76D48166" w14:textId="6F338472" w:rsidR="009C5D55" w:rsidRPr="00D869E3" w:rsidRDefault="009C5D55" w:rsidP="00C0187C">
      <w:pPr>
        <w:pStyle w:val="Ttulo1"/>
        <w:tabs>
          <w:tab w:val="left" w:pos="851"/>
        </w:tabs>
        <w:spacing w:before="0"/>
        <w:jc w:val="center"/>
        <w:rPr>
          <w:rFonts w:cs="Verdana"/>
          <w:caps/>
          <w:snapToGrid w:val="0"/>
          <w:szCs w:val="20"/>
          <w:lang w:val="en-US"/>
        </w:rPr>
      </w:pPr>
      <w:bookmarkStart w:id="65" w:name="_Toc29114152"/>
      <w:r w:rsidRPr="00D869E3">
        <w:rPr>
          <w:rFonts w:cs="Verdana"/>
          <w:caps/>
          <w:snapToGrid w:val="0"/>
          <w:szCs w:val="20"/>
          <w:lang w:val="en-US"/>
        </w:rPr>
        <w:t>(Ap</w:t>
      </w:r>
      <w:r w:rsidR="0008054E" w:rsidRPr="00D869E3">
        <w:rPr>
          <w:rFonts w:cs="Verdana"/>
          <w:caps/>
          <w:snapToGrid w:val="0"/>
          <w:szCs w:val="20"/>
          <w:lang w:val="en-US"/>
        </w:rPr>
        <w:t>PLICATIO</w:t>
      </w:r>
      <w:r w:rsidRPr="00D869E3">
        <w:rPr>
          <w:rFonts w:cs="Verdana"/>
          <w:caps/>
          <w:snapToGrid w:val="0"/>
          <w:szCs w:val="20"/>
          <w:lang w:val="en-US"/>
        </w:rPr>
        <w:t xml:space="preserve">n </w:t>
      </w:r>
      <w:r w:rsidR="00687684" w:rsidRPr="00D869E3">
        <w:rPr>
          <w:rFonts w:cs="Verdana"/>
          <w:caps/>
          <w:snapToGrid w:val="0"/>
          <w:szCs w:val="20"/>
          <w:lang w:val="en-US"/>
        </w:rPr>
        <w:t>of Article</w:t>
      </w:r>
      <w:r w:rsidRPr="00D869E3">
        <w:rPr>
          <w:rFonts w:cs="Verdana"/>
          <w:caps/>
          <w:snapToGrid w:val="0"/>
          <w:szCs w:val="20"/>
          <w:lang w:val="en-US"/>
        </w:rPr>
        <w:t xml:space="preserve"> </w:t>
      </w:r>
      <w:r w:rsidR="00447C65" w:rsidRPr="00D869E3">
        <w:rPr>
          <w:rFonts w:cs="Verdana"/>
          <w:caps/>
          <w:snapToGrid w:val="0"/>
          <w:szCs w:val="20"/>
          <w:lang w:val="en-US"/>
        </w:rPr>
        <w:t>63(1) of the American Convention</w:t>
      </w:r>
      <w:r w:rsidRPr="00D869E3">
        <w:rPr>
          <w:rFonts w:cs="Verdana"/>
          <w:caps/>
          <w:snapToGrid w:val="0"/>
          <w:szCs w:val="20"/>
          <w:lang w:val="en-US"/>
        </w:rPr>
        <w:t>)</w:t>
      </w:r>
      <w:bookmarkEnd w:id="65"/>
    </w:p>
    <w:p w14:paraId="51750CB5" w14:textId="77777777" w:rsidR="009C5D55" w:rsidRPr="00D869E3" w:rsidRDefault="009C5D55" w:rsidP="009C5D55">
      <w:pPr>
        <w:widowControl w:val="0"/>
        <w:tabs>
          <w:tab w:val="center" w:pos="567"/>
        </w:tabs>
        <w:autoSpaceDE w:val="0"/>
        <w:autoSpaceDN w:val="0"/>
        <w:adjustRightInd w:val="0"/>
        <w:ind w:right="-90"/>
        <w:contextualSpacing/>
        <w:jc w:val="both"/>
        <w:rPr>
          <w:rFonts w:ascii="Verdana" w:hAnsi="Verdana"/>
          <w:sz w:val="20"/>
          <w:szCs w:val="20"/>
          <w:lang w:val="en-US"/>
        </w:rPr>
      </w:pPr>
    </w:p>
    <w:p w14:paraId="12754FC0" w14:textId="08580F06" w:rsidR="009C5D55" w:rsidRPr="00D869E3" w:rsidRDefault="002C57C4"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bidi="en-US"/>
        </w:rPr>
        <w:t>Based on the provisions of</w:t>
      </w:r>
      <w:r w:rsidR="009C5D55" w:rsidRPr="00D869E3">
        <w:rPr>
          <w:rFonts w:ascii="Verdana" w:hAnsi="Verdana"/>
          <w:sz w:val="20"/>
          <w:szCs w:val="20"/>
          <w:lang w:val="en-US" w:bidi="en-US"/>
        </w:rPr>
        <w:t xml:space="preserve"> </w:t>
      </w:r>
      <w:r w:rsidR="00447C65" w:rsidRPr="00D869E3">
        <w:rPr>
          <w:rFonts w:ascii="Verdana" w:hAnsi="Verdana"/>
          <w:sz w:val="20"/>
          <w:szCs w:val="20"/>
          <w:lang w:val="en-US" w:bidi="en-US"/>
        </w:rPr>
        <w:t>Article</w:t>
      </w:r>
      <w:r w:rsidR="009C5D55" w:rsidRPr="00D869E3">
        <w:rPr>
          <w:rFonts w:ascii="Verdana" w:hAnsi="Verdana"/>
          <w:sz w:val="20"/>
          <w:szCs w:val="20"/>
          <w:lang w:val="en-US" w:bidi="en-US"/>
        </w:rPr>
        <w:t xml:space="preserve"> </w:t>
      </w:r>
      <w:r w:rsidR="00447C65" w:rsidRPr="00D869E3">
        <w:rPr>
          <w:rFonts w:ascii="Verdana" w:hAnsi="Verdana"/>
          <w:sz w:val="20"/>
          <w:szCs w:val="20"/>
          <w:lang w:val="en-US" w:bidi="en-US"/>
        </w:rPr>
        <w:t>63(1) of the American Convention</w:t>
      </w:r>
      <w:r w:rsidRPr="00D869E3">
        <w:rPr>
          <w:rFonts w:ascii="Verdana" w:hAnsi="Verdana"/>
          <w:sz w:val="20"/>
          <w:szCs w:val="20"/>
          <w:lang w:val="en-US" w:bidi="en-US"/>
        </w:rPr>
        <w:t>,</w:t>
      </w:r>
      <w:r w:rsidR="009C5D55" w:rsidRPr="00D869E3">
        <w:rPr>
          <w:rFonts w:ascii="Verdana" w:hAnsi="Verdana"/>
          <w:caps/>
          <w:sz w:val="20"/>
          <w:szCs w:val="20"/>
          <w:vertAlign w:val="superscript"/>
          <w:lang w:val="en-US"/>
        </w:rPr>
        <w:footnoteReference w:id="260"/>
      </w:r>
      <w:r w:rsidR="009C5D55" w:rsidRPr="00D869E3">
        <w:rPr>
          <w:rFonts w:ascii="Verdana" w:hAnsi="Verdana"/>
          <w:sz w:val="20"/>
          <w:szCs w:val="20"/>
          <w:lang w:val="en-US" w:bidi="en-US"/>
        </w:rPr>
        <w:t xml:space="preserve"> </w:t>
      </w:r>
      <w:r w:rsidR="00447C65" w:rsidRPr="00D869E3">
        <w:rPr>
          <w:rFonts w:ascii="Verdana" w:hAnsi="Verdana"/>
          <w:sz w:val="20"/>
          <w:szCs w:val="20"/>
          <w:lang w:val="en-US" w:bidi="en-US"/>
        </w:rPr>
        <w:t>the Court</w:t>
      </w:r>
      <w:r w:rsidR="009C5D55" w:rsidRPr="00D869E3">
        <w:rPr>
          <w:rFonts w:ascii="Verdana" w:hAnsi="Verdana"/>
          <w:sz w:val="20"/>
          <w:szCs w:val="20"/>
          <w:lang w:val="en-US" w:bidi="en-US"/>
        </w:rPr>
        <w:t xml:space="preserve"> ha</w:t>
      </w:r>
      <w:r w:rsidRPr="00D869E3">
        <w:rPr>
          <w:rFonts w:ascii="Verdana" w:hAnsi="Verdana"/>
          <w:sz w:val="20"/>
          <w:szCs w:val="20"/>
          <w:lang w:val="en-US" w:bidi="en-US"/>
        </w:rPr>
        <w:t>s indicated that an</w:t>
      </w:r>
      <w:r w:rsidR="000B71FF" w:rsidRPr="00D869E3">
        <w:rPr>
          <w:rFonts w:ascii="Verdana" w:hAnsi="Verdana"/>
          <w:sz w:val="20"/>
          <w:szCs w:val="20"/>
          <w:lang w:val="en-US" w:bidi="en-US"/>
        </w:rPr>
        <w:t>y</w:t>
      </w:r>
      <w:r w:rsidRPr="00D869E3">
        <w:rPr>
          <w:rFonts w:ascii="Verdana" w:hAnsi="Verdana"/>
          <w:sz w:val="20"/>
          <w:szCs w:val="20"/>
          <w:lang w:val="en-US" w:bidi="en-US"/>
        </w:rPr>
        <w:t xml:space="preserve"> violation of an international obligation that has produced harm entails the obligation to repair it adequately, and that this provisions “reflects a customary norm that is one of the fundamental principles of contemporary international law o</w:t>
      </w:r>
      <w:r w:rsidR="009751B3" w:rsidRPr="00D869E3">
        <w:rPr>
          <w:rFonts w:ascii="Verdana" w:hAnsi="Verdana"/>
          <w:sz w:val="20"/>
          <w:szCs w:val="20"/>
          <w:lang w:val="en-US" w:bidi="en-US"/>
        </w:rPr>
        <w:t>n</w:t>
      </w:r>
      <w:r w:rsidRPr="00D869E3">
        <w:rPr>
          <w:rFonts w:ascii="Verdana" w:hAnsi="Verdana"/>
          <w:sz w:val="20"/>
          <w:szCs w:val="20"/>
          <w:lang w:val="en-US" w:bidi="en-US"/>
        </w:rPr>
        <w:t xml:space="preserve"> State responsibility.</w:t>
      </w:r>
      <w:r w:rsidR="006436CA" w:rsidRPr="00D869E3">
        <w:rPr>
          <w:rFonts w:ascii="Verdana" w:hAnsi="Verdana"/>
          <w:sz w:val="20"/>
          <w:szCs w:val="20"/>
          <w:lang w:val="en-US" w:bidi="en-US"/>
        </w:rPr>
        <w:t>”</w:t>
      </w:r>
      <w:r w:rsidR="009C5D55" w:rsidRPr="00D869E3">
        <w:rPr>
          <w:rFonts w:ascii="Verdana" w:hAnsi="Verdana"/>
          <w:sz w:val="20"/>
          <w:szCs w:val="20"/>
          <w:vertAlign w:val="superscript"/>
          <w:lang w:val="en-US"/>
        </w:rPr>
        <w:footnoteReference w:id="261"/>
      </w:r>
      <w:r w:rsidR="009C5D55" w:rsidRPr="00D869E3">
        <w:rPr>
          <w:rFonts w:ascii="Verdana" w:hAnsi="Verdana"/>
          <w:sz w:val="20"/>
          <w:szCs w:val="20"/>
          <w:lang w:val="en-US" w:bidi="en-US"/>
        </w:rPr>
        <w:t xml:space="preserve"> </w:t>
      </w:r>
    </w:p>
    <w:p w14:paraId="398143FB" w14:textId="77777777" w:rsidR="009C5D55" w:rsidRPr="00D869E3" w:rsidRDefault="009C5D55" w:rsidP="00C0187C">
      <w:pPr>
        <w:tabs>
          <w:tab w:val="center" w:pos="0"/>
        </w:tabs>
        <w:contextualSpacing/>
        <w:rPr>
          <w:rFonts w:ascii="Verdana" w:hAnsi="Verdana"/>
          <w:sz w:val="20"/>
          <w:szCs w:val="20"/>
          <w:lang w:val="en-US" w:bidi="en-US"/>
        </w:rPr>
      </w:pPr>
    </w:p>
    <w:p w14:paraId="2F19B5BF" w14:textId="6865F45E" w:rsidR="009C5D55" w:rsidRPr="00D869E3" w:rsidRDefault="00447C6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bidi="en-US"/>
        </w:rPr>
        <w:t>The Court</w:t>
      </w:r>
      <w:r w:rsidR="009C5D55" w:rsidRPr="00D869E3">
        <w:rPr>
          <w:rFonts w:ascii="Verdana" w:hAnsi="Verdana"/>
          <w:sz w:val="20"/>
          <w:szCs w:val="20"/>
          <w:lang w:val="en-US" w:bidi="en-US"/>
        </w:rPr>
        <w:t xml:space="preserve"> ha</w:t>
      </w:r>
      <w:r w:rsidR="003C6CFD" w:rsidRPr="00D869E3">
        <w:rPr>
          <w:rFonts w:ascii="Verdana" w:hAnsi="Verdana"/>
          <w:sz w:val="20"/>
          <w:szCs w:val="20"/>
          <w:lang w:val="en-US" w:bidi="en-US"/>
        </w:rPr>
        <w:t>s established that reparations should have a causal nexus to the facts of the case, the violations that have been declared, the harm proved, and the measures requested to redress the respective harm. Therefore, the Court must analyze the concurrence of these factors to rule appropriately and pursuant to the law.</w:t>
      </w:r>
      <w:r w:rsidR="009C5D55" w:rsidRPr="00D869E3">
        <w:rPr>
          <w:rFonts w:ascii="Verdana" w:hAnsi="Verdana"/>
          <w:sz w:val="20"/>
          <w:szCs w:val="20"/>
          <w:vertAlign w:val="superscript"/>
          <w:lang w:val="en-US" w:bidi="en-US"/>
        </w:rPr>
        <w:footnoteReference w:id="262"/>
      </w:r>
      <w:r w:rsidR="009C5D55" w:rsidRPr="00D869E3">
        <w:rPr>
          <w:rFonts w:ascii="Verdana" w:hAnsi="Verdana"/>
          <w:sz w:val="20"/>
          <w:szCs w:val="20"/>
          <w:lang w:val="en-US"/>
        </w:rPr>
        <w:t xml:space="preserve"> </w:t>
      </w:r>
    </w:p>
    <w:p w14:paraId="085E37C2" w14:textId="77777777" w:rsidR="009C5D55" w:rsidRPr="00D869E3" w:rsidRDefault="009C5D55" w:rsidP="00C0187C">
      <w:pPr>
        <w:widowControl w:val="0"/>
        <w:tabs>
          <w:tab w:val="center" w:pos="0"/>
          <w:tab w:val="center" w:pos="567"/>
        </w:tabs>
        <w:autoSpaceDE w:val="0"/>
        <w:autoSpaceDN w:val="0"/>
        <w:adjustRightInd w:val="0"/>
        <w:contextualSpacing/>
        <w:jc w:val="both"/>
        <w:rPr>
          <w:rFonts w:ascii="Verdana" w:hAnsi="Verdana"/>
          <w:sz w:val="20"/>
          <w:szCs w:val="20"/>
          <w:lang w:val="en-US"/>
        </w:rPr>
      </w:pPr>
    </w:p>
    <w:p w14:paraId="218DB903" w14:textId="35451C2B" w:rsidR="009C5D55" w:rsidRPr="00D869E3" w:rsidRDefault="003C6CFD" w:rsidP="003C6CFD">
      <w:pPr>
        <w:widowControl w:val="0"/>
        <w:numPr>
          <w:ilvl w:val="0"/>
          <w:numId w:val="1"/>
        </w:numPr>
        <w:tabs>
          <w:tab w:val="center" w:pos="0"/>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bidi="en-US"/>
        </w:rPr>
        <w:t>Reparation of the harm caused by the violation of an international obligation requires, whenever pos</w:t>
      </w:r>
      <w:r w:rsidR="000B71FF" w:rsidRPr="00D869E3">
        <w:rPr>
          <w:rFonts w:ascii="Verdana" w:hAnsi="Verdana"/>
          <w:sz w:val="20"/>
          <w:szCs w:val="20"/>
          <w:lang w:val="en-US" w:bidi="en-US"/>
        </w:rPr>
        <w:t>s</w:t>
      </w:r>
      <w:r w:rsidRPr="00D869E3">
        <w:rPr>
          <w:rFonts w:ascii="Verdana" w:hAnsi="Verdana"/>
          <w:sz w:val="20"/>
          <w:szCs w:val="20"/>
          <w:lang w:val="en-US" w:bidi="en-US"/>
        </w:rPr>
        <w:t>ible, full restitution, which consists in the re-establishment of the previous situation. If this is not feasible, the Court will determine measures to ensure the violated rights and to redress the consequences of the violations.</w:t>
      </w:r>
      <w:r w:rsidR="009C5D55" w:rsidRPr="00D869E3">
        <w:rPr>
          <w:rFonts w:ascii="Verdana" w:eastAsia="MS Mincho" w:hAnsi="Verdana"/>
          <w:sz w:val="20"/>
          <w:szCs w:val="20"/>
          <w:vertAlign w:val="superscript"/>
          <w:lang w:val="en-US"/>
        </w:rPr>
        <w:footnoteReference w:id="263"/>
      </w:r>
      <w:r w:rsidR="009C5D55" w:rsidRPr="00D869E3">
        <w:rPr>
          <w:rFonts w:ascii="Verdana" w:hAnsi="Verdana"/>
          <w:sz w:val="20"/>
          <w:szCs w:val="20"/>
          <w:lang w:val="en-US"/>
        </w:rPr>
        <w:t xml:space="preserve"> </w:t>
      </w:r>
    </w:p>
    <w:p w14:paraId="54FF7005" w14:textId="77777777" w:rsidR="009C5D55" w:rsidRPr="00D869E3" w:rsidRDefault="009C5D55" w:rsidP="003C6CFD">
      <w:pPr>
        <w:tabs>
          <w:tab w:val="center" w:pos="0"/>
          <w:tab w:val="center" w:pos="720"/>
        </w:tabs>
        <w:contextualSpacing/>
        <w:rPr>
          <w:rFonts w:ascii="Verdana" w:hAnsi="Verdana"/>
          <w:sz w:val="20"/>
          <w:szCs w:val="20"/>
          <w:lang w:val="en-US" w:bidi="en-US"/>
        </w:rPr>
      </w:pPr>
    </w:p>
    <w:p w14:paraId="6679580A" w14:textId="37565FEF" w:rsidR="009C5D55" w:rsidRPr="00D869E3" w:rsidRDefault="003C6CFD" w:rsidP="003C6CFD">
      <w:pPr>
        <w:widowControl w:val="0"/>
        <w:numPr>
          <w:ilvl w:val="0"/>
          <w:numId w:val="1"/>
        </w:numPr>
        <w:tabs>
          <w:tab w:val="center" w:pos="0"/>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bidi="en-US"/>
        </w:rPr>
        <w:t>Based on the violation</w:t>
      </w:r>
      <w:r w:rsidR="000B71FF" w:rsidRPr="00D869E3">
        <w:rPr>
          <w:rFonts w:ascii="Verdana" w:hAnsi="Verdana"/>
          <w:sz w:val="20"/>
          <w:szCs w:val="20"/>
          <w:lang w:val="en-US" w:bidi="en-US"/>
        </w:rPr>
        <w:t>s</w:t>
      </w:r>
      <w:r w:rsidRPr="00D869E3">
        <w:rPr>
          <w:rFonts w:ascii="Verdana" w:hAnsi="Verdana"/>
          <w:sz w:val="20"/>
          <w:szCs w:val="20"/>
          <w:lang w:val="en-US" w:bidi="en-US"/>
        </w:rPr>
        <w:t xml:space="preserve"> of the Convention declared in the previous chapters, the Court will proceed to examine the claims submitted by </w:t>
      </w:r>
      <w:r w:rsidR="00447C65" w:rsidRPr="00D869E3">
        <w:rPr>
          <w:rFonts w:ascii="Verdana" w:hAnsi="Verdana"/>
          <w:sz w:val="20"/>
          <w:szCs w:val="20"/>
          <w:lang w:val="en-US" w:bidi="en-US"/>
        </w:rPr>
        <w:t>the Commission</w:t>
      </w:r>
      <w:r w:rsidR="00687684" w:rsidRPr="00D869E3">
        <w:rPr>
          <w:rFonts w:ascii="Verdana" w:hAnsi="Verdana"/>
          <w:sz w:val="20"/>
          <w:szCs w:val="20"/>
          <w:lang w:val="en-US" w:bidi="en-US"/>
        </w:rPr>
        <w:t xml:space="preserve"> and the representatives</w:t>
      </w:r>
      <w:r w:rsidR="009C5D55" w:rsidRPr="00D869E3">
        <w:rPr>
          <w:rFonts w:ascii="Verdana" w:hAnsi="Verdana"/>
          <w:sz w:val="20"/>
          <w:szCs w:val="20"/>
          <w:lang w:val="en-US" w:bidi="en-US"/>
        </w:rPr>
        <w:t>, as</w:t>
      </w:r>
      <w:r w:rsidRPr="00D869E3">
        <w:rPr>
          <w:rFonts w:ascii="Verdana" w:hAnsi="Verdana"/>
          <w:sz w:val="20"/>
          <w:szCs w:val="20"/>
          <w:lang w:val="en-US" w:bidi="en-US"/>
        </w:rPr>
        <w:t xml:space="preserve"> well as the arguments </w:t>
      </w:r>
      <w:r w:rsidR="00447C65" w:rsidRPr="00D869E3">
        <w:rPr>
          <w:rFonts w:ascii="Verdana" w:hAnsi="Verdana"/>
          <w:sz w:val="20"/>
          <w:szCs w:val="20"/>
          <w:lang w:val="en-US" w:bidi="en-US"/>
        </w:rPr>
        <w:t>of the State</w:t>
      </w:r>
      <w:r w:rsidR="009C5D55" w:rsidRPr="00D869E3">
        <w:rPr>
          <w:rFonts w:ascii="Verdana" w:hAnsi="Verdana"/>
          <w:sz w:val="20"/>
          <w:szCs w:val="20"/>
          <w:lang w:val="en-US" w:bidi="en-US"/>
        </w:rPr>
        <w:t xml:space="preserve">, </w:t>
      </w:r>
      <w:r w:rsidRPr="00D869E3">
        <w:rPr>
          <w:rFonts w:ascii="Verdana" w:hAnsi="Verdana"/>
          <w:sz w:val="20"/>
          <w:szCs w:val="20"/>
          <w:lang w:val="en-US" w:bidi="en-US"/>
        </w:rPr>
        <w:t>in light of the criteria established in its case law concerning the nature and scope of the obligation to make reparation,</w:t>
      </w:r>
      <w:r w:rsidR="009C5D55" w:rsidRPr="00D869E3">
        <w:rPr>
          <w:rFonts w:ascii="Verdana" w:hAnsi="Verdana"/>
          <w:sz w:val="20"/>
          <w:szCs w:val="20"/>
          <w:vertAlign w:val="superscript"/>
          <w:lang w:val="en-US" w:bidi="en-US"/>
        </w:rPr>
        <w:footnoteReference w:id="264"/>
      </w:r>
      <w:r w:rsidRPr="00D869E3">
        <w:rPr>
          <w:rFonts w:ascii="Verdana" w:hAnsi="Verdana"/>
          <w:sz w:val="20"/>
          <w:szCs w:val="20"/>
          <w:lang w:val="en-US" w:bidi="en-US"/>
        </w:rPr>
        <w:t xml:space="preserve"> in order to establish measures addressed at redressing the harm caused to the victim</w:t>
      </w:r>
      <w:r w:rsidR="009C5D55" w:rsidRPr="00D869E3">
        <w:rPr>
          <w:rFonts w:ascii="Verdana" w:hAnsi="Verdana"/>
          <w:sz w:val="20"/>
          <w:szCs w:val="20"/>
          <w:lang w:val="en-US" w:bidi="en-US"/>
        </w:rPr>
        <w:t>.</w:t>
      </w:r>
      <w:r w:rsidR="009C5D55" w:rsidRPr="00D869E3">
        <w:rPr>
          <w:rFonts w:ascii="Verdana" w:hAnsi="Verdana"/>
          <w:sz w:val="20"/>
          <w:szCs w:val="20"/>
          <w:lang w:val="en-US"/>
        </w:rPr>
        <w:t xml:space="preserve"> </w:t>
      </w:r>
    </w:p>
    <w:p w14:paraId="58336ADF" w14:textId="77777777" w:rsidR="009C5D55" w:rsidRPr="00D869E3" w:rsidRDefault="009C5D55" w:rsidP="009C5D55">
      <w:pPr>
        <w:rPr>
          <w:rFonts w:ascii="Verdana" w:hAnsi="Verdana"/>
          <w:sz w:val="20"/>
          <w:szCs w:val="20"/>
          <w:lang w:val="en-US"/>
        </w:rPr>
      </w:pPr>
    </w:p>
    <w:p w14:paraId="4797D4CA" w14:textId="4502FA46" w:rsidR="009C5D55" w:rsidRPr="00D869E3" w:rsidRDefault="00B44B46" w:rsidP="00E66DD7">
      <w:pPr>
        <w:pStyle w:val="Ttulo2"/>
        <w:numPr>
          <w:ilvl w:val="0"/>
          <w:numId w:val="13"/>
        </w:numPr>
        <w:rPr>
          <w:b w:val="0"/>
          <w:bCs w:val="0"/>
          <w:i/>
          <w:szCs w:val="20"/>
          <w:lang w:val="en-US"/>
        </w:rPr>
      </w:pPr>
      <w:bookmarkStart w:id="66" w:name="_Toc29114153"/>
      <w:r w:rsidRPr="00D869E3">
        <w:rPr>
          <w:i/>
          <w:szCs w:val="20"/>
          <w:lang w:val="en-US"/>
        </w:rPr>
        <w:t>Injured party</w:t>
      </w:r>
      <w:bookmarkEnd w:id="66"/>
    </w:p>
    <w:p w14:paraId="26CB12D0" w14:textId="77777777" w:rsidR="009C5D55" w:rsidRPr="00D869E3" w:rsidRDefault="009C5D55" w:rsidP="009C5D55">
      <w:pPr>
        <w:contextualSpacing/>
        <w:rPr>
          <w:rFonts w:ascii="Verdana" w:eastAsia="Batang" w:hAnsi="Verdana"/>
          <w:color w:val="000000"/>
          <w:sz w:val="20"/>
          <w:szCs w:val="20"/>
          <w:lang w:val="en-US"/>
        </w:rPr>
      </w:pPr>
    </w:p>
    <w:p w14:paraId="579D8FB3" w14:textId="67348C1A" w:rsidR="009C5D55" w:rsidRPr="00D869E3" w:rsidRDefault="00447C6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eastAsia="Batang" w:hAnsi="Verdana"/>
          <w:color w:val="000000"/>
          <w:sz w:val="20"/>
          <w:szCs w:val="20"/>
          <w:lang w:val="en-US"/>
        </w:rPr>
        <w:t>The Court</w:t>
      </w:r>
      <w:r w:rsidR="009C5D55" w:rsidRPr="00D869E3">
        <w:rPr>
          <w:rFonts w:ascii="Verdana" w:eastAsia="Batang" w:hAnsi="Verdana"/>
          <w:color w:val="000000"/>
          <w:sz w:val="20"/>
          <w:szCs w:val="20"/>
          <w:lang w:val="en-US"/>
        </w:rPr>
        <w:t xml:space="preserve"> con</w:t>
      </w:r>
      <w:r w:rsidR="003C6CFD" w:rsidRPr="00D869E3">
        <w:rPr>
          <w:rFonts w:ascii="Verdana" w:eastAsia="Batang" w:hAnsi="Verdana"/>
          <w:color w:val="000000"/>
          <w:sz w:val="20"/>
          <w:szCs w:val="20"/>
          <w:lang w:val="en-US"/>
        </w:rPr>
        <w:t xml:space="preserve">firms that, in accordance with </w:t>
      </w:r>
      <w:r w:rsidR="00687684" w:rsidRPr="00D869E3">
        <w:rPr>
          <w:rFonts w:ascii="Verdana" w:eastAsia="Batang" w:hAnsi="Verdana"/>
          <w:color w:val="000000"/>
          <w:sz w:val="20"/>
          <w:szCs w:val="20"/>
          <w:lang w:val="en-US"/>
        </w:rPr>
        <w:t>Article</w:t>
      </w:r>
      <w:r w:rsidR="009C5D55" w:rsidRPr="00D869E3">
        <w:rPr>
          <w:rFonts w:ascii="Verdana" w:eastAsia="Batang" w:hAnsi="Verdana"/>
          <w:color w:val="000000"/>
          <w:sz w:val="20"/>
          <w:szCs w:val="20"/>
          <w:lang w:val="en-US"/>
        </w:rPr>
        <w:t xml:space="preserve"> 35</w:t>
      </w:r>
      <w:r w:rsidR="003C6CFD" w:rsidRPr="00D869E3">
        <w:rPr>
          <w:rFonts w:ascii="Verdana" w:eastAsia="Batang" w:hAnsi="Verdana"/>
          <w:color w:val="000000"/>
          <w:sz w:val="20"/>
          <w:szCs w:val="20"/>
          <w:lang w:val="en-US"/>
        </w:rPr>
        <w:t>(</w:t>
      </w:r>
      <w:r w:rsidR="009C5D55" w:rsidRPr="00D869E3">
        <w:rPr>
          <w:rFonts w:ascii="Verdana" w:eastAsia="Batang" w:hAnsi="Verdana"/>
          <w:color w:val="000000"/>
          <w:sz w:val="20"/>
          <w:szCs w:val="20"/>
          <w:lang w:val="en-US"/>
        </w:rPr>
        <w:t>1</w:t>
      </w:r>
      <w:r w:rsidR="003C6CFD" w:rsidRPr="00D869E3">
        <w:rPr>
          <w:rFonts w:ascii="Verdana" w:eastAsia="Batang" w:hAnsi="Verdana"/>
          <w:color w:val="000000"/>
          <w:sz w:val="20"/>
          <w:szCs w:val="20"/>
          <w:lang w:val="en-US"/>
        </w:rPr>
        <w:t>)</w:t>
      </w:r>
      <w:r w:rsidRPr="00D869E3">
        <w:rPr>
          <w:rFonts w:ascii="Verdana" w:eastAsia="Batang" w:hAnsi="Verdana"/>
          <w:color w:val="000000"/>
          <w:sz w:val="20"/>
          <w:szCs w:val="20"/>
          <w:lang w:val="en-US"/>
        </w:rPr>
        <w:t xml:space="preserve"> of the Rules of Procedure</w:t>
      </w:r>
      <w:r w:rsidR="009C5D55" w:rsidRPr="00D869E3">
        <w:rPr>
          <w:rFonts w:ascii="Verdana" w:eastAsia="Batang" w:hAnsi="Verdana"/>
          <w:color w:val="000000"/>
          <w:sz w:val="20"/>
          <w:szCs w:val="20"/>
          <w:lang w:val="en-US"/>
        </w:rPr>
        <w:t xml:space="preserve">, </w:t>
      </w:r>
      <w:r w:rsidR="003C6CFD" w:rsidRPr="00D869E3">
        <w:rPr>
          <w:rFonts w:ascii="Verdana" w:eastAsia="Batang" w:hAnsi="Verdana"/>
          <w:color w:val="000000"/>
          <w:sz w:val="20"/>
          <w:szCs w:val="20"/>
          <w:lang w:val="en-US"/>
        </w:rPr>
        <w:t>only</w:t>
      </w:r>
      <w:r w:rsidR="009C5D55" w:rsidRPr="00D869E3">
        <w:rPr>
          <w:rFonts w:ascii="Verdana" w:eastAsia="Batang" w:hAnsi="Verdana"/>
          <w:color w:val="000000"/>
          <w:sz w:val="20"/>
          <w:szCs w:val="20"/>
          <w:lang w:val="en-US"/>
        </w:rPr>
        <w:t xml:space="preserve"> </w:t>
      </w:r>
      <w:r w:rsidR="00334B6C" w:rsidRPr="00D869E3">
        <w:rPr>
          <w:rFonts w:ascii="Verdana" w:eastAsia="Batang" w:hAnsi="Verdana"/>
          <w:color w:val="000000"/>
          <w:sz w:val="20"/>
          <w:szCs w:val="20"/>
          <w:lang w:val="en-US"/>
        </w:rPr>
        <w:t xml:space="preserve">Alfredo </w:t>
      </w:r>
      <w:r w:rsidR="009C5D55" w:rsidRPr="00D869E3">
        <w:rPr>
          <w:rFonts w:ascii="Verdana" w:eastAsia="Batang" w:hAnsi="Verdana"/>
          <w:color w:val="000000"/>
          <w:sz w:val="20"/>
          <w:szCs w:val="20"/>
          <w:lang w:val="en-US"/>
        </w:rPr>
        <w:t>Lagos del Campo</w:t>
      </w:r>
      <w:r w:rsidR="003C6CFD" w:rsidRPr="00D869E3">
        <w:rPr>
          <w:rFonts w:ascii="Verdana" w:eastAsia="Batang" w:hAnsi="Verdana"/>
          <w:color w:val="000000"/>
          <w:sz w:val="20"/>
          <w:szCs w:val="20"/>
          <w:lang w:val="en-US"/>
        </w:rPr>
        <w:t xml:space="preserve">, in his capacity as victim of the violations declared in this judgment, will be considered </w:t>
      </w:r>
      <w:r w:rsidR="00002A87" w:rsidRPr="00D869E3">
        <w:rPr>
          <w:rFonts w:ascii="Verdana" w:eastAsia="Batang" w:hAnsi="Verdana"/>
          <w:color w:val="000000"/>
          <w:sz w:val="20"/>
          <w:szCs w:val="20"/>
          <w:lang w:val="en-US"/>
        </w:rPr>
        <w:t>a</w:t>
      </w:r>
      <w:r w:rsidR="003C6CFD" w:rsidRPr="00D869E3">
        <w:rPr>
          <w:rFonts w:ascii="Verdana" w:eastAsia="Batang" w:hAnsi="Verdana"/>
          <w:color w:val="000000"/>
          <w:sz w:val="20"/>
          <w:szCs w:val="20"/>
          <w:lang w:val="en-US"/>
        </w:rPr>
        <w:t xml:space="preserve"> beneficiary of the reparations ordered by the Court. Consequently, the </w:t>
      </w:r>
      <w:r w:rsidR="003C6CFD" w:rsidRPr="00D869E3">
        <w:rPr>
          <w:rFonts w:ascii="Verdana" w:eastAsia="Batang" w:hAnsi="Verdana"/>
          <w:color w:val="000000"/>
          <w:sz w:val="20"/>
          <w:szCs w:val="20"/>
          <w:lang w:val="en-US"/>
        </w:rPr>
        <w:lastRenderedPageBreak/>
        <w:t>Court will not refer to the arguments that sought reparations for other individuals</w:t>
      </w:r>
      <w:r w:rsidR="009C5D55" w:rsidRPr="00D869E3">
        <w:rPr>
          <w:rFonts w:ascii="Verdana" w:hAnsi="Verdana"/>
          <w:sz w:val="20"/>
          <w:szCs w:val="20"/>
          <w:lang w:val="en-US"/>
        </w:rPr>
        <w:t xml:space="preserve">. </w:t>
      </w:r>
    </w:p>
    <w:p w14:paraId="529EB392" w14:textId="77777777" w:rsidR="009C5D55" w:rsidRPr="00D869E3" w:rsidRDefault="009C5D55" w:rsidP="009C5D55">
      <w:pPr>
        <w:widowControl w:val="0"/>
        <w:tabs>
          <w:tab w:val="center" w:pos="567"/>
        </w:tabs>
        <w:autoSpaceDE w:val="0"/>
        <w:autoSpaceDN w:val="0"/>
        <w:adjustRightInd w:val="0"/>
        <w:ind w:left="360" w:right="-90"/>
        <w:contextualSpacing/>
        <w:jc w:val="both"/>
        <w:rPr>
          <w:rFonts w:ascii="Verdana" w:hAnsi="Verdana"/>
          <w:sz w:val="20"/>
          <w:szCs w:val="20"/>
          <w:lang w:val="en-US"/>
        </w:rPr>
      </w:pPr>
    </w:p>
    <w:p w14:paraId="2D5BD74F" w14:textId="6936C3FF" w:rsidR="009C5D55" w:rsidRPr="00D869E3" w:rsidRDefault="00B44B46" w:rsidP="00E66DD7">
      <w:pPr>
        <w:pStyle w:val="Ttulo2"/>
        <w:numPr>
          <w:ilvl w:val="0"/>
          <w:numId w:val="13"/>
        </w:numPr>
        <w:rPr>
          <w:i/>
          <w:szCs w:val="20"/>
          <w:lang w:val="en-US"/>
        </w:rPr>
      </w:pPr>
      <w:bookmarkStart w:id="67" w:name="_Toc29114154"/>
      <w:r w:rsidRPr="00D869E3">
        <w:rPr>
          <w:i/>
          <w:szCs w:val="20"/>
          <w:lang w:val="en-US"/>
        </w:rPr>
        <w:t>Measures of satisfaction</w:t>
      </w:r>
      <w:bookmarkEnd w:id="67"/>
    </w:p>
    <w:p w14:paraId="375FC16C" w14:textId="77777777" w:rsidR="009C5D55" w:rsidRPr="00D869E3" w:rsidRDefault="009C5D55" w:rsidP="009C5D55">
      <w:pPr>
        <w:contextualSpacing/>
        <w:rPr>
          <w:rFonts w:ascii="Verdana" w:hAnsi="Verdana"/>
          <w:sz w:val="20"/>
          <w:szCs w:val="20"/>
          <w:lang w:val="en-US"/>
        </w:rPr>
      </w:pPr>
    </w:p>
    <w:p w14:paraId="303754C4" w14:textId="56B5D61B" w:rsidR="00A63638" w:rsidRPr="00D869E3" w:rsidRDefault="00B44B46" w:rsidP="00E66DD7">
      <w:pPr>
        <w:pStyle w:val="Ttulo3"/>
        <w:numPr>
          <w:ilvl w:val="0"/>
          <w:numId w:val="14"/>
        </w:numPr>
        <w:rPr>
          <w:i/>
          <w:lang w:val="en-US"/>
        </w:rPr>
      </w:pPr>
      <w:bookmarkStart w:id="68" w:name="_Toc29114155"/>
      <w:r w:rsidRPr="00D869E3">
        <w:rPr>
          <w:i/>
          <w:lang w:val="en-US"/>
        </w:rPr>
        <w:t>Publications</w:t>
      </w:r>
      <w:bookmarkEnd w:id="68"/>
    </w:p>
    <w:p w14:paraId="396158A0" w14:textId="77777777" w:rsidR="00A63638" w:rsidRPr="00D869E3" w:rsidRDefault="00A63638" w:rsidP="009C5D55">
      <w:pPr>
        <w:contextualSpacing/>
        <w:rPr>
          <w:rFonts w:ascii="Verdana" w:hAnsi="Verdana"/>
          <w:sz w:val="20"/>
          <w:szCs w:val="20"/>
          <w:lang w:val="en-US"/>
        </w:rPr>
      </w:pPr>
    </w:p>
    <w:p w14:paraId="508575A2" w14:textId="50FC5B98" w:rsidR="003C6CFD" w:rsidRPr="00D869E3" w:rsidRDefault="00687684" w:rsidP="00E66DD7">
      <w:pPr>
        <w:widowControl w:val="0"/>
        <w:numPr>
          <w:ilvl w:val="0"/>
          <w:numId w:val="1"/>
        </w:numPr>
        <w:tabs>
          <w:tab w:val="center" w:pos="0"/>
        </w:tabs>
        <w:autoSpaceDE w:val="0"/>
        <w:autoSpaceDN w:val="0"/>
        <w:adjustRightInd w:val="0"/>
        <w:ind w:left="0" w:firstLine="0"/>
        <w:contextualSpacing/>
        <w:jc w:val="both"/>
        <w:rPr>
          <w:rFonts w:ascii="Verdana" w:hAnsi="Verdana" w:cstheme="minorBidi"/>
          <w:bCs/>
          <w:sz w:val="20"/>
          <w:szCs w:val="20"/>
          <w:lang w:val="en-US"/>
        </w:rPr>
      </w:pPr>
      <w:r w:rsidRPr="00D869E3">
        <w:rPr>
          <w:rFonts w:ascii="Verdana" w:hAnsi="Verdana" w:cstheme="minorBidi"/>
          <w:bCs/>
          <w:sz w:val="20"/>
          <w:szCs w:val="20"/>
          <w:lang w:val="en-US"/>
        </w:rPr>
        <w:t xml:space="preserve">The </w:t>
      </w:r>
      <w:r w:rsidRPr="00D869E3">
        <w:rPr>
          <w:rFonts w:ascii="Verdana" w:hAnsi="Verdana" w:cstheme="minorBidi"/>
          <w:b/>
          <w:i/>
          <w:iCs/>
          <w:sz w:val="20"/>
          <w:szCs w:val="20"/>
          <w:lang w:val="en-US"/>
        </w:rPr>
        <w:t>representatives</w:t>
      </w:r>
      <w:r w:rsidR="009C5D55" w:rsidRPr="00D869E3">
        <w:rPr>
          <w:rFonts w:ascii="Verdana" w:hAnsi="Verdana" w:cstheme="minorBidi"/>
          <w:bCs/>
          <w:i/>
          <w:sz w:val="20"/>
          <w:szCs w:val="20"/>
          <w:lang w:val="en-US"/>
        </w:rPr>
        <w:t xml:space="preserve"> </w:t>
      </w:r>
      <w:r w:rsidR="003C6CFD" w:rsidRPr="00D869E3">
        <w:rPr>
          <w:rFonts w:ascii="Verdana" w:hAnsi="Verdana" w:cstheme="minorBidi"/>
          <w:bCs/>
          <w:sz w:val="20"/>
          <w:szCs w:val="20"/>
          <w:lang w:val="en-US"/>
        </w:rPr>
        <w:t>asked that the Court’s judgment be published in the Official Gazette and in a national newspaper withi</w:t>
      </w:r>
      <w:r w:rsidR="004A2BD6" w:rsidRPr="00D869E3">
        <w:rPr>
          <w:rFonts w:ascii="Verdana" w:hAnsi="Verdana" w:cstheme="minorBidi"/>
          <w:bCs/>
          <w:sz w:val="20"/>
          <w:szCs w:val="20"/>
          <w:lang w:val="en-US"/>
        </w:rPr>
        <w:t>n</w:t>
      </w:r>
      <w:r w:rsidR="003C6CFD" w:rsidRPr="00D869E3">
        <w:rPr>
          <w:rFonts w:ascii="Verdana" w:hAnsi="Verdana" w:cstheme="minorBidi"/>
          <w:bCs/>
          <w:sz w:val="20"/>
          <w:szCs w:val="20"/>
          <w:lang w:val="en-US"/>
        </w:rPr>
        <w:t xml:space="preserve"> six months, as well as on the website of the Ministry of Justice and Human Rights</w:t>
      </w:r>
      <w:r w:rsidR="004A2BD6" w:rsidRPr="00D869E3">
        <w:rPr>
          <w:rFonts w:ascii="Verdana" w:hAnsi="Verdana" w:cstheme="minorBidi"/>
          <w:bCs/>
          <w:sz w:val="20"/>
          <w:szCs w:val="20"/>
          <w:lang w:val="en-US"/>
        </w:rPr>
        <w:t xml:space="preserve">, at no more than three links from the main webpage, and that it remain there until the judgment had been executed fully. In particular, they asked that, at the very least, the sections </w:t>
      </w:r>
      <w:r w:rsidR="00804E37" w:rsidRPr="00D869E3">
        <w:rPr>
          <w:rFonts w:ascii="Verdana" w:hAnsi="Verdana" w:cstheme="minorBidi"/>
          <w:bCs/>
          <w:sz w:val="20"/>
          <w:szCs w:val="20"/>
          <w:lang w:val="en-US"/>
        </w:rPr>
        <w:t xml:space="preserve">of the judgment </w:t>
      </w:r>
      <w:r w:rsidR="004A2BD6" w:rsidRPr="00D869E3">
        <w:rPr>
          <w:rFonts w:ascii="Verdana" w:hAnsi="Verdana" w:cstheme="minorBidi"/>
          <w:bCs/>
          <w:sz w:val="20"/>
          <w:szCs w:val="20"/>
          <w:lang w:val="en-US"/>
        </w:rPr>
        <w:t>on context, proven facts and the operative paragraphs be published.</w:t>
      </w:r>
    </w:p>
    <w:p w14:paraId="702466FC"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3F8FB9EC" w14:textId="54CE4EA2" w:rsidR="009C5D55" w:rsidRPr="00D869E3" w:rsidRDefault="00447C65" w:rsidP="00804E3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9C5D55" w:rsidRPr="00D869E3">
        <w:rPr>
          <w:rFonts w:ascii="Verdana" w:hAnsi="Verdana"/>
          <w:sz w:val="20"/>
          <w:szCs w:val="20"/>
          <w:lang w:val="en-US"/>
        </w:rPr>
        <w:t xml:space="preserve"> </w:t>
      </w:r>
      <w:r w:rsidR="00804E37" w:rsidRPr="00D869E3">
        <w:rPr>
          <w:rFonts w:ascii="Verdana" w:hAnsi="Verdana"/>
          <w:sz w:val="20"/>
          <w:szCs w:val="20"/>
          <w:lang w:val="en-US"/>
        </w:rPr>
        <w:t xml:space="preserve">indicated that it was not appropriate to grant the publication of the judgment as a reparation because there were no facts that the publication would clarify. However, should the Court order this, the inclusion of the context of the internal armed conflict experienced by Peru between 1980 and 2000 was not appropriate, because it was not part of the factual framework established by the </w:t>
      </w:r>
      <w:r w:rsidR="00687684" w:rsidRPr="00D869E3">
        <w:rPr>
          <w:rFonts w:ascii="Verdana" w:hAnsi="Verdana"/>
          <w:sz w:val="20"/>
          <w:szCs w:val="20"/>
          <w:lang w:val="en-US"/>
        </w:rPr>
        <w:t>Merits Report</w:t>
      </w:r>
      <w:r w:rsidR="00A07203" w:rsidRPr="00D869E3">
        <w:rPr>
          <w:rFonts w:ascii="Verdana" w:hAnsi="Verdana"/>
          <w:sz w:val="20"/>
          <w:szCs w:val="20"/>
          <w:lang w:val="en-US"/>
        </w:rPr>
        <w:t xml:space="preserve">. </w:t>
      </w:r>
      <w:r w:rsidR="00A347F5" w:rsidRPr="00D869E3">
        <w:rPr>
          <w:rFonts w:ascii="Verdana" w:hAnsi="Verdana"/>
          <w:sz w:val="20"/>
          <w:szCs w:val="20"/>
          <w:lang w:val="en-US"/>
        </w:rPr>
        <w:t>Furthermore it was not incumbent on a Ministry of the Executive to make the publication because the said publication had always fallen within the State’s legitimate margin of discretion</w:t>
      </w:r>
      <w:r w:rsidR="00A07203" w:rsidRPr="00D869E3">
        <w:rPr>
          <w:rFonts w:ascii="Verdana" w:hAnsi="Verdana"/>
          <w:sz w:val="20"/>
          <w:szCs w:val="20"/>
          <w:lang w:val="en-US"/>
        </w:rPr>
        <w:t>.</w:t>
      </w:r>
    </w:p>
    <w:p w14:paraId="07DC6DA0"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2E665344" w14:textId="3A7FE256" w:rsidR="009C5D55" w:rsidRPr="00D869E3" w:rsidRDefault="00447C6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9C5D55" w:rsidRPr="00D869E3">
        <w:rPr>
          <w:rFonts w:ascii="Verdana" w:hAnsi="Verdana"/>
          <w:sz w:val="20"/>
          <w:szCs w:val="20"/>
          <w:lang w:val="en-US"/>
        </w:rPr>
        <w:t xml:space="preserve"> </w:t>
      </w:r>
      <w:r w:rsidR="00A347F5" w:rsidRPr="00D869E3">
        <w:rPr>
          <w:rFonts w:ascii="Verdana" w:hAnsi="Verdana"/>
          <w:sz w:val="20"/>
          <w:szCs w:val="20"/>
          <w:lang w:val="en-US"/>
        </w:rPr>
        <w:t>made no mention of this measure</w:t>
      </w:r>
      <w:r w:rsidR="009C5D55" w:rsidRPr="00D869E3">
        <w:rPr>
          <w:rFonts w:ascii="Verdana" w:hAnsi="Verdana"/>
          <w:sz w:val="20"/>
          <w:szCs w:val="20"/>
          <w:lang w:val="en-US"/>
        </w:rPr>
        <w:t>.</w:t>
      </w:r>
    </w:p>
    <w:p w14:paraId="3BA3DEE0" w14:textId="77777777" w:rsidR="009C5D55" w:rsidRPr="00D869E3" w:rsidRDefault="009C5D55" w:rsidP="009C5D55">
      <w:pPr>
        <w:contextualSpacing/>
        <w:rPr>
          <w:rFonts w:ascii="Verdana" w:hAnsi="Verdana"/>
          <w:sz w:val="20"/>
          <w:szCs w:val="20"/>
          <w:lang w:val="en-US"/>
        </w:rPr>
      </w:pPr>
    </w:p>
    <w:p w14:paraId="18AA15CA" w14:textId="27E668AC" w:rsidR="009C5D55" w:rsidRPr="00D869E3" w:rsidRDefault="00075E68" w:rsidP="00A347F5">
      <w:pPr>
        <w:widowControl w:val="0"/>
        <w:numPr>
          <w:ilvl w:val="0"/>
          <w:numId w:val="1"/>
        </w:numPr>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In this regard</w:t>
      </w:r>
      <w:r w:rsidR="009C5D55" w:rsidRPr="00D869E3">
        <w:rPr>
          <w:rFonts w:ascii="Verdana" w:hAnsi="Verdana"/>
          <w:sz w:val="20"/>
          <w:szCs w:val="20"/>
          <w:lang w:val="en-US"/>
        </w:rPr>
        <w:t xml:space="preserve">, </w:t>
      </w:r>
      <w:r w:rsidR="00447C65" w:rsidRPr="00D869E3">
        <w:rPr>
          <w:rFonts w:ascii="Verdana" w:hAnsi="Verdana"/>
          <w:sz w:val="20"/>
          <w:szCs w:val="20"/>
          <w:lang w:val="en-US"/>
        </w:rPr>
        <w:t>the Court</w:t>
      </w:r>
      <w:r w:rsidR="009C5D55" w:rsidRPr="00D869E3">
        <w:rPr>
          <w:rFonts w:ascii="Verdana" w:hAnsi="Verdana"/>
          <w:sz w:val="20"/>
          <w:szCs w:val="20"/>
          <w:lang w:val="en-US"/>
        </w:rPr>
        <w:t xml:space="preserve"> </w:t>
      </w:r>
      <w:r w:rsidR="00A347F5" w:rsidRPr="00D869E3">
        <w:rPr>
          <w:rFonts w:ascii="Verdana" w:hAnsi="Verdana"/>
          <w:sz w:val="20"/>
          <w:szCs w:val="20"/>
          <w:lang w:val="en-US"/>
        </w:rPr>
        <w:t>considers, as it has in other cases,</w:t>
      </w:r>
      <w:r w:rsidR="009C5D55" w:rsidRPr="00D869E3">
        <w:rPr>
          <w:rFonts w:ascii="Verdana" w:hAnsi="Verdana"/>
          <w:sz w:val="20"/>
          <w:szCs w:val="20"/>
          <w:vertAlign w:val="superscript"/>
          <w:lang w:val="en-US"/>
        </w:rPr>
        <w:footnoteReference w:id="265"/>
      </w:r>
      <w:r w:rsidR="00A347F5" w:rsidRPr="00D869E3">
        <w:rPr>
          <w:rFonts w:ascii="Verdana" w:hAnsi="Verdana"/>
          <w:sz w:val="20"/>
          <w:szCs w:val="20"/>
          <w:lang w:val="en-US"/>
        </w:rPr>
        <w:t xml:space="preserve"> that the State must publish, within six months of notification of this judgment: (a) the official summary of this judgment prepared by the Court, once, in the Official Gazette, in an appropriate and legible font size; (b) the official summary of this judgment prepared by the Court, once, in a national newspaper with widespread circulation, in an appropriate and legible font size, a</w:t>
      </w:r>
      <w:r w:rsidR="00F75DF3" w:rsidRPr="00D869E3">
        <w:rPr>
          <w:rFonts w:ascii="Verdana" w:hAnsi="Verdana"/>
          <w:sz w:val="20"/>
          <w:szCs w:val="20"/>
          <w:lang w:val="en-US"/>
        </w:rPr>
        <w:t>n</w:t>
      </w:r>
      <w:r w:rsidR="00A347F5" w:rsidRPr="00D869E3">
        <w:rPr>
          <w:rFonts w:ascii="Verdana" w:hAnsi="Verdana"/>
          <w:sz w:val="20"/>
          <w:szCs w:val="20"/>
          <w:lang w:val="en-US"/>
        </w:rPr>
        <w:t>d (c) this judgment in full, available for one year, on an official website accessible to the public from the site’s home page</w:t>
      </w:r>
      <w:r w:rsidR="009C5D55" w:rsidRPr="00D869E3">
        <w:rPr>
          <w:rFonts w:ascii="Verdana" w:hAnsi="Verdana"/>
          <w:sz w:val="20"/>
          <w:szCs w:val="20"/>
          <w:lang w:val="en-US"/>
        </w:rPr>
        <w:t>.</w:t>
      </w:r>
    </w:p>
    <w:p w14:paraId="501294C3" w14:textId="77777777" w:rsidR="009C5D55" w:rsidRPr="00D869E3" w:rsidRDefault="009C5D55" w:rsidP="009C5D55">
      <w:pPr>
        <w:widowControl w:val="0"/>
        <w:tabs>
          <w:tab w:val="center" w:pos="567"/>
        </w:tabs>
        <w:autoSpaceDE w:val="0"/>
        <w:autoSpaceDN w:val="0"/>
        <w:adjustRightInd w:val="0"/>
        <w:contextualSpacing/>
        <w:jc w:val="both"/>
        <w:rPr>
          <w:rFonts w:ascii="Verdana" w:hAnsi="Verdana"/>
          <w:sz w:val="20"/>
          <w:szCs w:val="20"/>
          <w:lang w:val="en-US"/>
        </w:rPr>
      </w:pPr>
    </w:p>
    <w:p w14:paraId="0325815D" w14:textId="3B78A7F3" w:rsidR="009C5D55" w:rsidRPr="00D869E3" w:rsidRDefault="00447C65" w:rsidP="0008054E">
      <w:pPr>
        <w:widowControl w:val="0"/>
        <w:numPr>
          <w:ilvl w:val="0"/>
          <w:numId w:val="1"/>
        </w:numPr>
        <w:autoSpaceDE w:val="0"/>
        <w:autoSpaceDN w:val="0"/>
        <w:adjustRightInd w:val="0"/>
        <w:ind w:left="0" w:firstLine="0"/>
        <w:contextualSpacing/>
        <w:jc w:val="both"/>
        <w:rPr>
          <w:rFonts w:ascii="Verdana" w:hAnsi="Verdana"/>
          <w:b/>
          <w:sz w:val="20"/>
          <w:szCs w:val="20"/>
          <w:lang w:val="en-US"/>
        </w:rPr>
      </w:pPr>
      <w:r w:rsidRPr="00D869E3">
        <w:rPr>
          <w:rFonts w:ascii="Verdana" w:hAnsi="Verdana"/>
          <w:sz w:val="20"/>
          <w:szCs w:val="20"/>
          <w:lang w:val="en-US"/>
        </w:rPr>
        <w:t>The State</w:t>
      </w:r>
      <w:r w:rsidR="009C5D55" w:rsidRPr="00D869E3">
        <w:rPr>
          <w:rFonts w:ascii="Verdana" w:hAnsi="Verdana"/>
          <w:sz w:val="20"/>
          <w:szCs w:val="20"/>
          <w:lang w:val="en-US"/>
        </w:rPr>
        <w:t xml:space="preserve"> </w:t>
      </w:r>
      <w:r w:rsidR="00A347F5" w:rsidRPr="00D869E3">
        <w:rPr>
          <w:rFonts w:ascii="Verdana" w:hAnsi="Verdana"/>
          <w:sz w:val="20"/>
          <w:szCs w:val="20"/>
          <w:lang w:val="en-US"/>
        </w:rPr>
        <w:t>must advise the Court immediately when it has made each of the publications ordered, irrespective of the one-year time frame for presenting its first report established in the thirteenth operative paragraph of the judgment</w:t>
      </w:r>
      <w:r w:rsidR="009C5D55" w:rsidRPr="00D869E3">
        <w:rPr>
          <w:rFonts w:ascii="Verdana" w:hAnsi="Verdana"/>
          <w:sz w:val="20"/>
          <w:szCs w:val="20"/>
          <w:lang w:val="en-US"/>
        </w:rPr>
        <w:t>.</w:t>
      </w:r>
    </w:p>
    <w:p w14:paraId="0960716B" w14:textId="6251EBE8" w:rsidR="00564925" w:rsidRPr="00D869E3" w:rsidRDefault="00564925"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n-US"/>
        </w:rPr>
      </w:pPr>
    </w:p>
    <w:p w14:paraId="3D8A5977" w14:textId="7B988DFC" w:rsidR="00564925" w:rsidRPr="00D869E3" w:rsidRDefault="00B44B46" w:rsidP="00E66DD7">
      <w:pPr>
        <w:pStyle w:val="Ttulo2"/>
        <w:numPr>
          <w:ilvl w:val="0"/>
          <w:numId w:val="13"/>
        </w:numPr>
        <w:rPr>
          <w:i/>
          <w:szCs w:val="20"/>
          <w:lang w:val="en-US"/>
        </w:rPr>
      </w:pPr>
      <w:bookmarkStart w:id="69" w:name="_Toc29114156"/>
      <w:r w:rsidRPr="00D869E3">
        <w:rPr>
          <w:i/>
          <w:szCs w:val="20"/>
          <w:lang w:val="en-US"/>
        </w:rPr>
        <w:t>Other measures requested</w:t>
      </w:r>
      <w:bookmarkEnd w:id="69"/>
    </w:p>
    <w:p w14:paraId="1AB68A0F" w14:textId="77777777" w:rsidR="003F07AD" w:rsidRPr="00D869E3" w:rsidRDefault="003F07AD"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n-US"/>
        </w:rPr>
      </w:pPr>
    </w:p>
    <w:p w14:paraId="0A71BC24" w14:textId="194F276D" w:rsidR="000C6082" w:rsidRPr="00D869E3" w:rsidRDefault="00A347F5" w:rsidP="0008054E">
      <w:pPr>
        <w:widowControl w:val="0"/>
        <w:numPr>
          <w:ilvl w:val="0"/>
          <w:numId w:val="1"/>
        </w:numPr>
        <w:tabs>
          <w:tab w:val="center" w:pos="720"/>
          <w:tab w:val="num" w:pos="84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International case law and, in particular, that of this Court, has established repeatedly that the judgment constitutes, in itself, a form of reparation. Nevertheless, the Court notes the other measures requested by the parties and will rule in this regard.</w:t>
      </w:r>
    </w:p>
    <w:p w14:paraId="4474E3C0" w14:textId="77777777" w:rsidR="000C6082" w:rsidRPr="00D869E3" w:rsidRDefault="000C6082" w:rsidP="0008054E">
      <w:pPr>
        <w:widowControl w:val="0"/>
        <w:tabs>
          <w:tab w:val="center" w:pos="720"/>
        </w:tabs>
        <w:autoSpaceDE w:val="0"/>
        <w:autoSpaceDN w:val="0"/>
        <w:adjustRightInd w:val="0"/>
        <w:contextualSpacing/>
        <w:jc w:val="both"/>
        <w:rPr>
          <w:rFonts w:ascii="Verdana" w:eastAsiaTheme="minorHAnsi" w:hAnsi="Verdana" w:cstheme="minorBidi"/>
          <w:sz w:val="20"/>
          <w:szCs w:val="20"/>
          <w:lang w:val="en-US"/>
        </w:rPr>
      </w:pPr>
    </w:p>
    <w:p w14:paraId="25808425" w14:textId="516B96F9" w:rsidR="00BD65C5" w:rsidRPr="00D869E3" w:rsidRDefault="00A347F5" w:rsidP="0008054E">
      <w:pPr>
        <w:widowControl w:val="0"/>
        <w:numPr>
          <w:ilvl w:val="0"/>
          <w:numId w:val="1"/>
        </w:numPr>
        <w:tabs>
          <w:tab w:val="center" w:pos="720"/>
          <w:tab w:val="num" w:pos="84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Regarding the other</w:t>
      </w:r>
      <w:r w:rsidR="003F07AD"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m</w:t>
      </w:r>
      <w:r w:rsidR="00B44B46" w:rsidRPr="00D869E3">
        <w:rPr>
          <w:rFonts w:ascii="Verdana" w:eastAsiaTheme="minorHAnsi" w:hAnsi="Verdana" w:cstheme="minorBidi"/>
          <w:sz w:val="20"/>
          <w:szCs w:val="20"/>
          <w:lang w:val="en-US"/>
        </w:rPr>
        <w:t>easures of satisfaction</w:t>
      </w:r>
      <w:r w:rsidR="003F07AD"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requested</w:t>
      </w:r>
      <w:r w:rsidR="003F07AD" w:rsidRPr="00D869E3">
        <w:rPr>
          <w:rFonts w:ascii="Verdana" w:eastAsiaTheme="minorHAnsi" w:hAnsi="Verdana" w:cstheme="minorBidi"/>
          <w:sz w:val="20"/>
          <w:szCs w:val="20"/>
          <w:lang w:val="en-US"/>
        </w:rPr>
        <w:t xml:space="preserve">, </w:t>
      </w:r>
      <w:r w:rsidR="00687684" w:rsidRPr="00D869E3">
        <w:rPr>
          <w:rFonts w:ascii="Verdana" w:eastAsiaTheme="minorHAnsi" w:hAnsi="Verdana" w:cstheme="minorBidi"/>
          <w:sz w:val="20"/>
          <w:szCs w:val="20"/>
          <w:lang w:val="en-US"/>
        </w:rPr>
        <w:t xml:space="preserve">the </w:t>
      </w:r>
      <w:r w:rsidR="00687684" w:rsidRPr="00D869E3">
        <w:rPr>
          <w:rFonts w:ascii="Verdana" w:eastAsiaTheme="minorHAnsi" w:hAnsi="Verdana" w:cstheme="minorBidi"/>
          <w:b/>
          <w:bCs/>
          <w:i/>
          <w:iCs/>
          <w:sz w:val="20"/>
          <w:szCs w:val="20"/>
          <w:lang w:val="en-US"/>
        </w:rPr>
        <w:t>representatives</w:t>
      </w:r>
      <w:r w:rsidR="00564925"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asked that the State organize an act during which its most senior authorities would make a public apology</w:t>
      </w:r>
      <w:r w:rsidR="00564925"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 xml:space="preserve">The </w:t>
      </w:r>
      <w:r w:rsidR="00447C65" w:rsidRPr="00D869E3">
        <w:rPr>
          <w:rFonts w:ascii="Verdana" w:eastAsiaTheme="minorHAnsi" w:hAnsi="Verdana" w:cstheme="minorBidi"/>
          <w:b/>
          <w:bCs/>
          <w:i/>
          <w:iCs/>
          <w:sz w:val="20"/>
          <w:szCs w:val="20"/>
          <w:lang w:val="en-US"/>
        </w:rPr>
        <w:t>State</w:t>
      </w:r>
      <w:r w:rsidR="00564925"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 xml:space="preserve">argued that </w:t>
      </w:r>
      <w:r w:rsidR="00BD65C5" w:rsidRPr="00D869E3">
        <w:rPr>
          <w:rFonts w:ascii="Verdana" w:eastAsiaTheme="minorHAnsi" w:hAnsi="Verdana" w:cstheme="minorBidi"/>
          <w:sz w:val="20"/>
          <w:szCs w:val="20"/>
          <w:lang w:val="en-US"/>
        </w:rPr>
        <w:t xml:space="preserve">the Court had not ordered a public act of apology in the case of </w:t>
      </w:r>
      <w:r w:rsidR="00564925" w:rsidRPr="00D869E3">
        <w:rPr>
          <w:rFonts w:ascii="Verdana" w:eastAsiaTheme="minorHAnsi" w:hAnsi="Verdana" w:cstheme="minorBidi"/>
          <w:i/>
          <w:iCs/>
          <w:sz w:val="20"/>
          <w:szCs w:val="20"/>
          <w:lang w:val="en-US"/>
        </w:rPr>
        <w:t>Aguado Alfaro</w:t>
      </w:r>
      <w:r w:rsidR="00A07203" w:rsidRPr="00D869E3">
        <w:rPr>
          <w:rFonts w:ascii="Verdana" w:eastAsiaTheme="minorHAnsi" w:hAnsi="Verdana" w:cstheme="minorBidi"/>
          <w:sz w:val="20"/>
          <w:szCs w:val="20"/>
          <w:lang w:val="en-US"/>
        </w:rPr>
        <w:t xml:space="preserve"> (</w:t>
      </w:r>
      <w:r w:rsidR="00BD65C5" w:rsidRPr="00D869E3">
        <w:rPr>
          <w:rFonts w:ascii="Verdana" w:hAnsi="Verdana"/>
          <w:i/>
          <w:sz w:val="20"/>
          <w:szCs w:val="20"/>
          <w:lang w:val="en-US"/>
        </w:rPr>
        <w:t xml:space="preserve">Dismissed Congressional Employees </w:t>
      </w:r>
      <w:r w:rsidR="00447C65" w:rsidRPr="00D869E3">
        <w:rPr>
          <w:rFonts w:ascii="Verdana" w:hAnsi="Verdana"/>
          <w:i/>
          <w:sz w:val="20"/>
          <w:szCs w:val="20"/>
          <w:lang w:val="en-US"/>
        </w:rPr>
        <w:t>v.</w:t>
      </w:r>
      <w:r w:rsidR="00A07203" w:rsidRPr="00D869E3">
        <w:rPr>
          <w:rFonts w:ascii="Verdana" w:hAnsi="Verdana"/>
          <w:i/>
          <w:sz w:val="20"/>
          <w:szCs w:val="20"/>
          <w:lang w:val="en-US"/>
        </w:rPr>
        <w:t xml:space="preserve"> </w:t>
      </w:r>
      <w:r w:rsidR="00447C65" w:rsidRPr="00D869E3">
        <w:rPr>
          <w:rFonts w:ascii="Verdana" w:hAnsi="Verdana"/>
          <w:i/>
          <w:sz w:val="20"/>
          <w:szCs w:val="20"/>
          <w:lang w:val="en-US"/>
        </w:rPr>
        <w:t>Peru</w:t>
      </w:r>
      <w:r w:rsidR="00A07203" w:rsidRPr="00D869E3">
        <w:rPr>
          <w:rFonts w:ascii="Verdana" w:hAnsi="Verdana"/>
          <w:sz w:val="20"/>
          <w:szCs w:val="20"/>
          <w:lang w:val="en-US"/>
        </w:rPr>
        <w:t xml:space="preserve"> </w:t>
      </w:r>
      <w:r w:rsidR="00BD65C5" w:rsidRPr="00D869E3">
        <w:rPr>
          <w:rFonts w:ascii="Verdana" w:hAnsi="Verdana"/>
          <w:sz w:val="20"/>
          <w:szCs w:val="20"/>
          <w:lang w:val="en-US"/>
        </w:rPr>
        <w:t>of November 24,</w:t>
      </w:r>
      <w:r w:rsidR="00A07203" w:rsidRPr="00D869E3">
        <w:rPr>
          <w:rFonts w:ascii="Verdana" w:hAnsi="Verdana"/>
          <w:sz w:val="20"/>
          <w:szCs w:val="20"/>
          <w:lang w:val="en-US"/>
        </w:rPr>
        <w:t xml:space="preserve"> 2006</w:t>
      </w:r>
      <w:r w:rsidR="00BD65C5" w:rsidRPr="00D869E3">
        <w:rPr>
          <w:rFonts w:ascii="Verdana" w:hAnsi="Verdana"/>
          <w:sz w:val="20"/>
          <w:szCs w:val="20"/>
          <w:lang w:val="en-US"/>
        </w:rPr>
        <w:t>)</w:t>
      </w:r>
      <w:r w:rsidR="00564925" w:rsidRPr="00D869E3">
        <w:rPr>
          <w:rFonts w:ascii="Verdana" w:eastAsiaTheme="minorHAnsi" w:hAnsi="Verdana" w:cstheme="minorBidi"/>
          <w:sz w:val="20"/>
          <w:szCs w:val="20"/>
          <w:lang w:val="en-US"/>
        </w:rPr>
        <w:t xml:space="preserve">, </w:t>
      </w:r>
      <w:r w:rsidR="00BD65C5" w:rsidRPr="00D869E3">
        <w:rPr>
          <w:rFonts w:ascii="Verdana" w:eastAsiaTheme="minorHAnsi" w:hAnsi="Verdana" w:cstheme="minorBidi"/>
          <w:sz w:val="20"/>
          <w:szCs w:val="20"/>
          <w:lang w:val="en-US"/>
        </w:rPr>
        <w:t>which concerned a collective dismissal; thus, with greater justification, it was not appropriate to organize an act in this case in which the presumed victim is a single individual.</w:t>
      </w:r>
    </w:p>
    <w:p w14:paraId="6807B2FA" w14:textId="77777777" w:rsidR="00232AA2" w:rsidRPr="00D869E3" w:rsidRDefault="00232AA2" w:rsidP="0008054E">
      <w:pPr>
        <w:widowControl w:val="0"/>
        <w:tabs>
          <w:tab w:val="center" w:pos="720"/>
        </w:tabs>
        <w:autoSpaceDE w:val="0"/>
        <w:autoSpaceDN w:val="0"/>
        <w:adjustRightInd w:val="0"/>
        <w:contextualSpacing/>
        <w:jc w:val="both"/>
        <w:rPr>
          <w:rFonts w:ascii="Verdana" w:eastAsiaTheme="minorHAnsi" w:hAnsi="Verdana" w:cstheme="minorBidi"/>
          <w:sz w:val="20"/>
          <w:szCs w:val="20"/>
          <w:lang w:val="en-US"/>
        </w:rPr>
      </w:pPr>
    </w:p>
    <w:p w14:paraId="5512710C" w14:textId="6E1ED053" w:rsidR="0062065E" w:rsidRPr="00D869E3" w:rsidRDefault="00BD65C5" w:rsidP="0008054E">
      <w:pPr>
        <w:widowControl w:val="0"/>
        <w:numPr>
          <w:ilvl w:val="0"/>
          <w:numId w:val="1"/>
        </w:numPr>
        <w:tabs>
          <w:tab w:val="center" w:pos="720"/>
          <w:tab w:val="num" w:pos="84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In this specific case</w:t>
      </w:r>
      <w:r w:rsidR="00564925"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the Court</w:t>
      </w:r>
      <w:r w:rsidR="00564925" w:rsidRPr="00D869E3">
        <w:rPr>
          <w:rFonts w:ascii="Verdana" w:eastAsiaTheme="minorHAnsi" w:hAnsi="Verdana" w:cstheme="minorBidi"/>
          <w:sz w:val="20"/>
          <w:szCs w:val="20"/>
          <w:lang w:val="en-US"/>
        </w:rPr>
        <w:t xml:space="preserve"> consider</w:t>
      </w:r>
      <w:r w:rsidRPr="00D869E3">
        <w:rPr>
          <w:rFonts w:ascii="Verdana" w:eastAsiaTheme="minorHAnsi" w:hAnsi="Verdana" w:cstheme="minorBidi"/>
          <w:sz w:val="20"/>
          <w:szCs w:val="20"/>
          <w:lang w:val="en-US"/>
        </w:rPr>
        <w:t>s that the delivery of this judgment and its publication in different media are sufficient and adequate m</w:t>
      </w:r>
      <w:r w:rsidR="00B44B46" w:rsidRPr="00D869E3">
        <w:rPr>
          <w:rFonts w:ascii="Verdana" w:eastAsiaTheme="minorHAnsi" w:hAnsi="Verdana" w:cstheme="minorBidi"/>
          <w:sz w:val="20"/>
          <w:szCs w:val="20"/>
          <w:lang w:val="en-US"/>
        </w:rPr>
        <w:t>easures of satisfaction</w:t>
      </w:r>
      <w:r w:rsidRPr="00D869E3">
        <w:rPr>
          <w:rFonts w:ascii="Verdana" w:eastAsiaTheme="minorHAnsi" w:hAnsi="Verdana" w:cstheme="minorBidi"/>
          <w:sz w:val="20"/>
          <w:szCs w:val="20"/>
          <w:lang w:val="en-US"/>
        </w:rPr>
        <w:t xml:space="preserve"> to remedy </w:t>
      </w:r>
      <w:r w:rsidRPr="00D869E3">
        <w:rPr>
          <w:rFonts w:ascii="Verdana" w:eastAsiaTheme="minorHAnsi" w:hAnsi="Verdana" w:cstheme="minorBidi"/>
          <w:sz w:val="20"/>
          <w:szCs w:val="20"/>
          <w:lang w:val="en-US"/>
        </w:rPr>
        <w:lastRenderedPageBreak/>
        <w:t>the violations against the victim and to comply with the purpose indicated by</w:t>
      </w:r>
      <w:r w:rsidR="00564925" w:rsidRPr="00D869E3">
        <w:rPr>
          <w:rFonts w:ascii="Verdana" w:eastAsiaTheme="minorHAnsi" w:hAnsi="Verdana" w:cstheme="minorBidi"/>
          <w:sz w:val="20"/>
          <w:szCs w:val="20"/>
          <w:lang w:val="en-US"/>
        </w:rPr>
        <w:t xml:space="preserve"> </w:t>
      </w:r>
      <w:r w:rsidR="00687684" w:rsidRPr="00D869E3">
        <w:rPr>
          <w:rFonts w:ascii="Verdana" w:eastAsiaTheme="minorHAnsi" w:hAnsi="Verdana" w:cstheme="minorBidi"/>
          <w:sz w:val="20"/>
          <w:szCs w:val="20"/>
          <w:lang w:val="en-US"/>
        </w:rPr>
        <w:t>the representatives</w:t>
      </w:r>
      <w:r w:rsidR="00564925" w:rsidRPr="00D869E3">
        <w:rPr>
          <w:rFonts w:ascii="Verdana" w:eastAsiaTheme="minorHAnsi" w:hAnsi="Verdana" w:cstheme="minorBidi"/>
          <w:sz w:val="20"/>
          <w:szCs w:val="20"/>
          <w:lang w:val="en-US"/>
        </w:rPr>
        <w:t xml:space="preserve">. </w:t>
      </w:r>
    </w:p>
    <w:p w14:paraId="1ADD8032" w14:textId="77777777" w:rsidR="00EB3278" w:rsidRPr="00D869E3" w:rsidRDefault="00EB3278"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n-US"/>
        </w:rPr>
      </w:pPr>
    </w:p>
    <w:p w14:paraId="33F80647" w14:textId="0B77D9D6" w:rsidR="00530F28" w:rsidRPr="00D869E3" w:rsidRDefault="003F07AD" w:rsidP="00530F28">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Re</w:t>
      </w:r>
      <w:r w:rsidR="00BD65C5" w:rsidRPr="00D869E3">
        <w:rPr>
          <w:rFonts w:ascii="Verdana" w:eastAsiaTheme="minorHAnsi" w:hAnsi="Verdana" w:cstheme="minorBidi"/>
          <w:sz w:val="20"/>
          <w:szCs w:val="20"/>
          <w:lang w:val="en-US"/>
        </w:rPr>
        <w:t xml:space="preserve">garding the measures of </w:t>
      </w:r>
      <w:r w:rsidRPr="00D869E3">
        <w:rPr>
          <w:rFonts w:ascii="Verdana" w:eastAsiaTheme="minorHAnsi" w:hAnsi="Verdana" w:cstheme="minorBidi"/>
          <w:i/>
          <w:sz w:val="20"/>
          <w:szCs w:val="20"/>
          <w:lang w:val="en-US"/>
        </w:rPr>
        <w:t>rehabilita</w:t>
      </w:r>
      <w:r w:rsidR="00BD65C5" w:rsidRPr="00D869E3">
        <w:rPr>
          <w:rFonts w:ascii="Verdana" w:eastAsiaTheme="minorHAnsi" w:hAnsi="Verdana" w:cstheme="minorBidi"/>
          <w:i/>
          <w:sz w:val="20"/>
          <w:szCs w:val="20"/>
          <w:lang w:val="en-US"/>
        </w:rPr>
        <w:t>tio</w:t>
      </w:r>
      <w:r w:rsidRPr="00D869E3">
        <w:rPr>
          <w:rFonts w:ascii="Verdana" w:eastAsiaTheme="minorHAnsi" w:hAnsi="Verdana" w:cstheme="minorBidi"/>
          <w:i/>
          <w:sz w:val="20"/>
          <w:szCs w:val="20"/>
          <w:lang w:val="en-US"/>
        </w:rPr>
        <w:t>n</w:t>
      </w:r>
      <w:r w:rsidRPr="00D869E3">
        <w:rPr>
          <w:rFonts w:ascii="Verdana" w:eastAsiaTheme="minorHAnsi" w:hAnsi="Verdana" w:cstheme="minorBidi"/>
          <w:sz w:val="20"/>
          <w:szCs w:val="20"/>
          <w:lang w:val="en-US"/>
        </w:rPr>
        <w:t xml:space="preserve"> </w:t>
      </w:r>
      <w:r w:rsidR="00BD65C5" w:rsidRPr="00D869E3">
        <w:rPr>
          <w:rFonts w:ascii="Verdana" w:eastAsiaTheme="minorHAnsi" w:hAnsi="Verdana" w:cstheme="minorBidi"/>
          <w:sz w:val="20"/>
          <w:szCs w:val="20"/>
          <w:lang w:val="en-US"/>
        </w:rPr>
        <w:t>requested</w:t>
      </w:r>
      <w:r w:rsidRPr="00D869E3">
        <w:rPr>
          <w:rFonts w:ascii="Verdana" w:eastAsiaTheme="minorHAnsi" w:hAnsi="Verdana" w:cstheme="minorBidi"/>
          <w:sz w:val="20"/>
          <w:szCs w:val="20"/>
          <w:lang w:val="en-US"/>
        </w:rPr>
        <w:t xml:space="preserve">, </w:t>
      </w:r>
      <w:r w:rsidR="00687684" w:rsidRPr="00D869E3">
        <w:rPr>
          <w:rFonts w:ascii="Verdana" w:eastAsiaTheme="minorHAnsi" w:hAnsi="Verdana" w:cstheme="minorBidi"/>
          <w:sz w:val="20"/>
          <w:szCs w:val="20"/>
          <w:lang w:val="en-US"/>
        </w:rPr>
        <w:t xml:space="preserve">the </w:t>
      </w:r>
      <w:r w:rsidR="00687684" w:rsidRPr="00D869E3">
        <w:rPr>
          <w:rFonts w:ascii="Verdana" w:eastAsiaTheme="minorHAnsi" w:hAnsi="Verdana" w:cstheme="minorBidi"/>
          <w:b/>
          <w:bCs/>
          <w:i/>
          <w:iCs/>
          <w:sz w:val="20"/>
          <w:szCs w:val="20"/>
          <w:lang w:val="en-US"/>
        </w:rPr>
        <w:t>representatives</w:t>
      </w:r>
      <w:r w:rsidR="00EB3278" w:rsidRPr="00D869E3">
        <w:rPr>
          <w:rFonts w:ascii="Verdana" w:eastAsiaTheme="minorHAnsi" w:hAnsi="Verdana" w:cstheme="minorBidi"/>
          <w:sz w:val="20"/>
          <w:szCs w:val="20"/>
          <w:lang w:val="en-US"/>
        </w:rPr>
        <w:t xml:space="preserve"> </w:t>
      </w:r>
      <w:r w:rsidR="00BD65C5" w:rsidRPr="00D869E3">
        <w:rPr>
          <w:rFonts w:ascii="Verdana" w:eastAsiaTheme="minorHAnsi" w:hAnsi="Verdana" w:cstheme="minorBidi"/>
          <w:sz w:val="20"/>
          <w:szCs w:val="20"/>
          <w:lang w:val="en-US"/>
        </w:rPr>
        <w:t xml:space="preserve">asked that the State guarantee permanent medical and psychological treatment, free of charge, for the victim and his family. During the hearing and in their </w:t>
      </w:r>
      <w:r w:rsidR="000E7A82" w:rsidRPr="00D869E3">
        <w:rPr>
          <w:rFonts w:ascii="Verdana" w:eastAsiaTheme="minorHAnsi" w:hAnsi="Verdana" w:cstheme="minorBidi"/>
          <w:sz w:val="20"/>
          <w:szCs w:val="20"/>
          <w:lang w:val="en-US"/>
        </w:rPr>
        <w:t>final written arguments</w:t>
      </w:r>
      <w:r w:rsidR="00EB3278" w:rsidRPr="00D869E3">
        <w:rPr>
          <w:rFonts w:ascii="Verdana" w:eastAsiaTheme="minorHAnsi" w:hAnsi="Verdana" w:cstheme="minorBidi"/>
          <w:sz w:val="20"/>
          <w:szCs w:val="20"/>
          <w:lang w:val="en-US"/>
        </w:rPr>
        <w:t xml:space="preserve">, </w:t>
      </w:r>
      <w:r w:rsidR="00687684" w:rsidRPr="00D869E3">
        <w:rPr>
          <w:rFonts w:ascii="Verdana" w:eastAsiaTheme="minorHAnsi" w:hAnsi="Verdana" w:cstheme="minorBidi"/>
          <w:sz w:val="20"/>
          <w:szCs w:val="20"/>
          <w:lang w:val="en-US"/>
        </w:rPr>
        <w:t>the representatives</w:t>
      </w:r>
      <w:r w:rsidR="00EB3278" w:rsidRPr="00D869E3">
        <w:rPr>
          <w:rFonts w:ascii="Verdana" w:eastAsiaTheme="minorHAnsi" w:hAnsi="Verdana" w:cstheme="minorBidi"/>
          <w:sz w:val="20"/>
          <w:szCs w:val="20"/>
          <w:lang w:val="en-US"/>
        </w:rPr>
        <w:t xml:space="preserve"> </w:t>
      </w:r>
      <w:r w:rsidR="00BD65C5" w:rsidRPr="00D869E3">
        <w:rPr>
          <w:rFonts w:ascii="Verdana" w:eastAsiaTheme="minorHAnsi" w:hAnsi="Verdana" w:cstheme="minorBidi"/>
          <w:sz w:val="20"/>
          <w:szCs w:val="20"/>
          <w:lang w:val="en-US"/>
        </w:rPr>
        <w:t xml:space="preserve">indicated – reiterating the opinion of </w:t>
      </w:r>
      <w:r w:rsidR="001E44D3" w:rsidRPr="00D869E3">
        <w:rPr>
          <w:rFonts w:ascii="Verdana" w:eastAsiaTheme="minorHAnsi" w:hAnsi="Verdana" w:cstheme="minorBidi"/>
          <w:sz w:val="20"/>
          <w:szCs w:val="20"/>
          <w:lang w:val="en-US"/>
        </w:rPr>
        <w:t>expert witness</w:t>
      </w:r>
      <w:r w:rsidR="00EB3278" w:rsidRPr="00D869E3">
        <w:rPr>
          <w:rFonts w:ascii="Verdana" w:eastAsiaTheme="minorHAnsi" w:hAnsi="Verdana" w:cstheme="minorBidi"/>
          <w:sz w:val="20"/>
          <w:szCs w:val="20"/>
          <w:lang w:val="en-US"/>
        </w:rPr>
        <w:t xml:space="preserve"> Carlos Jibaja Zárate</w:t>
      </w:r>
      <w:r w:rsidR="00BD65C5" w:rsidRPr="00D869E3">
        <w:rPr>
          <w:rFonts w:ascii="Verdana" w:eastAsiaTheme="minorHAnsi" w:hAnsi="Verdana" w:cstheme="minorBidi"/>
          <w:sz w:val="20"/>
          <w:szCs w:val="20"/>
          <w:lang w:val="en-US"/>
        </w:rPr>
        <w:t xml:space="preserve"> – that the conditions of his dismissal and the violation of his human rights, as well as the impossibility of obtaining justice to date, have been significant sources of stress, anxiety and worry that, over the years</w:t>
      </w:r>
      <w:r w:rsidR="00E03A7E" w:rsidRPr="00D869E3">
        <w:rPr>
          <w:rFonts w:ascii="Verdana" w:eastAsiaTheme="minorHAnsi" w:hAnsi="Verdana" w:cstheme="minorBidi"/>
          <w:sz w:val="20"/>
          <w:szCs w:val="20"/>
          <w:lang w:val="en-US"/>
        </w:rPr>
        <w:t>,</w:t>
      </w:r>
      <w:r w:rsidR="00BD65C5" w:rsidRPr="00D869E3">
        <w:rPr>
          <w:rFonts w:ascii="Verdana" w:eastAsiaTheme="minorHAnsi" w:hAnsi="Verdana" w:cstheme="minorBidi"/>
          <w:sz w:val="20"/>
          <w:szCs w:val="20"/>
          <w:lang w:val="en-US"/>
        </w:rPr>
        <w:t xml:space="preserve"> have affected Mr. Lagos del Campo’s health. They indicated that, currently, Mr. Lagos del Campo’s health is not good, owing to his age but, above all, </w:t>
      </w:r>
      <w:r w:rsidR="00530F28" w:rsidRPr="00D869E3">
        <w:rPr>
          <w:rFonts w:ascii="Verdana" w:eastAsiaTheme="minorHAnsi" w:hAnsi="Verdana" w:cstheme="minorBidi"/>
          <w:sz w:val="20"/>
          <w:szCs w:val="20"/>
          <w:lang w:val="en-US"/>
        </w:rPr>
        <w:t>since his</w:t>
      </w:r>
      <w:r w:rsidR="00530F28" w:rsidRPr="00D869E3">
        <w:rPr>
          <w:rFonts w:ascii="Verdana" w:hAnsi="Verdana"/>
          <w:lang w:val="en-US"/>
        </w:rPr>
        <w:t xml:space="preserve"> </w:t>
      </w:r>
      <w:r w:rsidR="00530F28" w:rsidRPr="00D869E3">
        <w:rPr>
          <w:rFonts w:ascii="Verdana" w:hAnsi="Verdana"/>
          <w:sz w:val="20"/>
          <w:szCs w:val="20"/>
          <w:lang w:val="en-US"/>
        </w:rPr>
        <w:t>hemorrhagic stroke</w:t>
      </w:r>
      <w:r w:rsidR="00A07203"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 xml:space="preserve">The </w:t>
      </w:r>
      <w:r w:rsidR="00447C65" w:rsidRPr="00D869E3">
        <w:rPr>
          <w:rFonts w:ascii="Verdana" w:eastAsiaTheme="minorHAnsi" w:hAnsi="Verdana" w:cstheme="minorBidi"/>
          <w:b/>
          <w:bCs/>
          <w:i/>
          <w:iCs/>
          <w:sz w:val="20"/>
          <w:szCs w:val="20"/>
          <w:lang w:val="en-US"/>
        </w:rPr>
        <w:t>State</w:t>
      </w:r>
      <w:r w:rsidR="00EB3278" w:rsidRPr="00D869E3">
        <w:rPr>
          <w:rFonts w:ascii="Verdana" w:eastAsiaTheme="minorHAnsi" w:hAnsi="Verdana" w:cstheme="minorBidi"/>
          <w:sz w:val="20"/>
          <w:szCs w:val="20"/>
          <w:lang w:val="en-US"/>
        </w:rPr>
        <w:t xml:space="preserve"> </w:t>
      </w:r>
      <w:r w:rsidR="00530F28" w:rsidRPr="00D869E3">
        <w:rPr>
          <w:rFonts w:ascii="Verdana" w:eastAsiaTheme="minorHAnsi" w:hAnsi="Verdana" w:cstheme="minorBidi"/>
          <w:sz w:val="20"/>
          <w:szCs w:val="20"/>
          <w:lang w:val="en-US"/>
        </w:rPr>
        <w:t xml:space="preserve">argued that there was no causal nexus between the acts or omissions attributed to the State and the family situation. The allegation that Mr. Lagos del Campo had experienced stigmatization had no basis in the facts, and had not been revealed in specific circumstances. It also indicated that, in other cases relating to dismissals, medical and psychological treatment had not been granted. Despite this, in Peru, people living in poverty received free medical and psychological care. Lastly, in its </w:t>
      </w:r>
      <w:r w:rsidR="000E7A82" w:rsidRPr="00D869E3">
        <w:rPr>
          <w:rFonts w:ascii="Verdana" w:eastAsiaTheme="minorHAnsi" w:hAnsi="Verdana" w:cstheme="minorBidi"/>
          <w:sz w:val="20"/>
          <w:szCs w:val="20"/>
          <w:lang w:val="en-US"/>
        </w:rPr>
        <w:t>final written arguments</w:t>
      </w:r>
      <w:r w:rsidR="00530F28" w:rsidRPr="00D869E3">
        <w:rPr>
          <w:rFonts w:ascii="Verdana" w:eastAsiaTheme="minorHAnsi" w:hAnsi="Verdana" w:cstheme="minorBidi"/>
          <w:sz w:val="20"/>
          <w:szCs w:val="20"/>
          <w:lang w:val="en-US"/>
        </w:rPr>
        <w:t>,</w:t>
      </w:r>
      <w:r w:rsidR="00EB3278"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the State</w:t>
      </w:r>
      <w:r w:rsidR="00EB3278" w:rsidRPr="00D869E3">
        <w:rPr>
          <w:rFonts w:ascii="Verdana" w:eastAsiaTheme="minorHAnsi" w:hAnsi="Verdana" w:cstheme="minorBidi"/>
          <w:sz w:val="20"/>
          <w:szCs w:val="20"/>
          <w:lang w:val="en-US"/>
        </w:rPr>
        <w:t xml:space="preserve"> </w:t>
      </w:r>
      <w:r w:rsidR="00530F28" w:rsidRPr="00D869E3">
        <w:rPr>
          <w:rFonts w:ascii="Verdana" w:eastAsiaTheme="minorHAnsi" w:hAnsi="Verdana" w:cstheme="minorBidi"/>
          <w:sz w:val="20"/>
          <w:szCs w:val="20"/>
          <w:lang w:val="en-US"/>
        </w:rPr>
        <w:t xml:space="preserve">indicated that, </w:t>
      </w:r>
      <w:r w:rsidR="00BB61A6" w:rsidRPr="00D869E3">
        <w:rPr>
          <w:rFonts w:ascii="Verdana" w:eastAsiaTheme="minorHAnsi" w:hAnsi="Verdana" w:cstheme="minorBidi"/>
          <w:sz w:val="20"/>
          <w:szCs w:val="20"/>
          <w:lang w:val="en-US"/>
        </w:rPr>
        <w:t>in relation to</w:t>
      </w:r>
      <w:r w:rsidR="00EB3278" w:rsidRPr="00D869E3">
        <w:rPr>
          <w:rFonts w:ascii="Verdana" w:eastAsiaTheme="minorHAnsi" w:hAnsi="Verdana" w:cstheme="minorBidi"/>
          <w:sz w:val="20"/>
          <w:szCs w:val="20"/>
          <w:lang w:val="en-US"/>
        </w:rPr>
        <w:t xml:space="preserve"> </w:t>
      </w:r>
      <w:r w:rsidR="00530F28" w:rsidRPr="00D869E3">
        <w:rPr>
          <w:rFonts w:ascii="Verdana" w:eastAsiaTheme="minorHAnsi" w:hAnsi="Verdana" w:cstheme="minorBidi"/>
          <w:sz w:val="20"/>
          <w:szCs w:val="20"/>
          <w:lang w:val="en-US"/>
        </w:rPr>
        <w:t xml:space="preserve">the deterioration in </w:t>
      </w:r>
      <w:r w:rsidR="00E6309B" w:rsidRPr="00D869E3">
        <w:rPr>
          <w:rFonts w:ascii="Verdana" w:eastAsiaTheme="minorHAnsi" w:hAnsi="Verdana" w:cstheme="minorBidi"/>
          <w:sz w:val="20"/>
          <w:szCs w:val="20"/>
          <w:lang w:val="en-US"/>
        </w:rPr>
        <w:t>Mr.</w:t>
      </w:r>
      <w:r w:rsidR="001E44D3" w:rsidRPr="00D869E3">
        <w:rPr>
          <w:rFonts w:ascii="Verdana" w:eastAsiaTheme="minorHAnsi" w:hAnsi="Verdana" w:cstheme="minorBidi"/>
          <w:sz w:val="20"/>
          <w:szCs w:val="20"/>
          <w:lang w:val="en-US"/>
        </w:rPr>
        <w:t xml:space="preserve"> Lagos del Campo</w:t>
      </w:r>
      <w:r w:rsidR="00530F28" w:rsidRPr="00D869E3">
        <w:rPr>
          <w:rFonts w:ascii="Verdana" w:eastAsiaTheme="minorHAnsi" w:hAnsi="Verdana" w:cstheme="minorBidi"/>
          <w:sz w:val="20"/>
          <w:szCs w:val="20"/>
          <w:lang w:val="en-US"/>
        </w:rPr>
        <w:t>’s health, his situation following the stroke had not been proved or the existence of a diagnosis by a neurologist that could prove, scientifically, that the alleged episode of the stroke was due to this case.</w:t>
      </w:r>
    </w:p>
    <w:p w14:paraId="0E88D00B" w14:textId="77777777" w:rsidR="00232AA2" w:rsidRPr="00D869E3" w:rsidRDefault="00232AA2" w:rsidP="005D0F69">
      <w:pPr>
        <w:widowControl w:val="0"/>
        <w:tabs>
          <w:tab w:val="center" w:pos="0"/>
        </w:tabs>
        <w:autoSpaceDE w:val="0"/>
        <w:autoSpaceDN w:val="0"/>
        <w:adjustRightInd w:val="0"/>
        <w:contextualSpacing/>
        <w:jc w:val="both"/>
        <w:rPr>
          <w:rFonts w:ascii="Verdana" w:eastAsiaTheme="minorHAnsi" w:hAnsi="Verdana" w:cstheme="minorBidi"/>
          <w:sz w:val="20"/>
          <w:szCs w:val="20"/>
          <w:lang w:val="en-US"/>
        </w:rPr>
      </w:pPr>
    </w:p>
    <w:p w14:paraId="316EFDF6" w14:textId="50831029" w:rsidR="00232AA2" w:rsidRPr="00D869E3" w:rsidRDefault="00530F28" w:rsidP="00530F28">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In the instant case</w:t>
      </w:r>
      <w:r w:rsidR="00EB3278"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the Court</w:t>
      </w:r>
      <w:r w:rsidR="00EB3278"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 xml:space="preserve">notes that, although there is a causal nexus between the facts of the case and the problems suffered by Mr. Lagos, especially the psychological effects, it considers that, in response to </w:t>
      </w:r>
      <w:r w:rsidR="00687684" w:rsidRPr="00D869E3">
        <w:rPr>
          <w:rFonts w:ascii="Verdana" w:eastAsiaTheme="minorHAnsi" w:hAnsi="Verdana" w:cstheme="minorBidi"/>
          <w:sz w:val="20"/>
          <w:szCs w:val="20"/>
          <w:lang w:val="en-US"/>
        </w:rPr>
        <w:t>the representatives</w:t>
      </w:r>
      <w:r w:rsidRPr="00D869E3">
        <w:rPr>
          <w:rFonts w:ascii="Verdana" w:eastAsiaTheme="minorHAnsi" w:hAnsi="Verdana" w:cstheme="minorBidi"/>
          <w:sz w:val="20"/>
          <w:szCs w:val="20"/>
          <w:lang w:val="en-US"/>
        </w:rPr>
        <w:t xml:space="preserve">’ request and based on the time that has elapsed, in this case it is not in order to require the State to provide adequate treatment, and that this item </w:t>
      </w:r>
      <w:r w:rsidR="009E17AA" w:rsidRPr="00D869E3">
        <w:rPr>
          <w:rFonts w:ascii="Verdana" w:eastAsiaTheme="minorHAnsi" w:hAnsi="Verdana" w:cstheme="minorBidi"/>
          <w:sz w:val="20"/>
          <w:szCs w:val="20"/>
          <w:lang w:val="en-US"/>
        </w:rPr>
        <w:t xml:space="preserve">may be considered under the heading of compensation for </w:t>
      </w:r>
      <w:r w:rsidR="00B44B46" w:rsidRPr="00D869E3">
        <w:rPr>
          <w:rFonts w:ascii="Verdana" w:eastAsiaTheme="minorHAnsi" w:hAnsi="Verdana" w:cstheme="minorBidi"/>
          <w:sz w:val="20"/>
          <w:szCs w:val="20"/>
          <w:lang w:val="en-US"/>
        </w:rPr>
        <w:t>non-pecuniary damage</w:t>
      </w:r>
      <w:r w:rsidR="0033330B" w:rsidRPr="00D869E3">
        <w:rPr>
          <w:rFonts w:ascii="Verdana" w:eastAsiaTheme="minorHAnsi" w:hAnsi="Verdana" w:cstheme="minorBidi"/>
          <w:sz w:val="20"/>
          <w:szCs w:val="20"/>
          <w:lang w:val="en-US"/>
        </w:rPr>
        <w:t>.</w:t>
      </w:r>
      <w:r w:rsidR="0062065E" w:rsidRPr="00D869E3">
        <w:rPr>
          <w:rFonts w:ascii="Verdana" w:eastAsiaTheme="minorHAnsi" w:hAnsi="Verdana" w:cstheme="minorBidi"/>
          <w:sz w:val="20"/>
          <w:szCs w:val="20"/>
          <w:lang w:val="en-US"/>
        </w:rPr>
        <w:t xml:space="preserve"> </w:t>
      </w:r>
      <w:r w:rsidR="009E17AA" w:rsidRPr="00D869E3">
        <w:rPr>
          <w:rFonts w:ascii="Verdana" w:eastAsiaTheme="minorHAnsi" w:hAnsi="Verdana" w:cstheme="minorBidi"/>
          <w:sz w:val="20"/>
          <w:szCs w:val="20"/>
          <w:lang w:val="en-US"/>
        </w:rPr>
        <w:t xml:space="preserve">Regarding the physical harm, the Court does not find that a causal nexus </w:t>
      </w:r>
      <w:r w:rsidR="00823E88" w:rsidRPr="00D869E3">
        <w:rPr>
          <w:rFonts w:ascii="Verdana" w:eastAsiaTheme="minorHAnsi" w:hAnsi="Verdana" w:cstheme="minorBidi"/>
          <w:sz w:val="20"/>
          <w:szCs w:val="20"/>
          <w:lang w:val="en-US"/>
        </w:rPr>
        <w:t>with the violations declared</w:t>
      </w:r>
      <w:r w:rsidR="00E03A7E" w:rsidRPr="00D869E3">
        <w:rPr>
          <w:rFonts w:ascii="Verdana" w:eastAsiaTheme="minorHAnsi" w:hAnsi="Verdana" w:cstheme="minorBidi"/>
          <w:sz w:val="20"/>
          <w:szCs w:val="20"/>
          <w:lang w:val="en-US"/>
        </w:rPr>
        <w:t xml:space="preserve"> has been proved</w:t>
      </w:r>
      <w:r w:rsidR="0062065E" w:rsidRPr="00D869E3">
        <w:rPr>
          <w:rFonts w:ascii="Verdana" w:eastAsiaTheme="minorHAnsi" w:hAnsi="Verdana" w:cstheme="minorBidi"/>
          <w:sz w:val="20"/>
          <w:szCs w:val="20"/>
          <w:lang w:val="en-US"/>
        </w:rPr>
        <w:t xml:space="preserve">. </w:t>
      </w:r>
    </w:p>
    <w:p w14:paraId="32AA849F" w14:textId="77777777" w:rsidR="00232AA2" w:rsidRPr="00D869E3" w:rsidRDefault="00232AA2" w:rsidP="005D0F69">
      <w:pPr>
        <w:widowControl w:val="0"/>
        <w:tabs>
          <w:tab w:val="center" w:pos="0"/>
        </w:tabs>
        <w:autoSpaceDE w:val="0"/>
        <w:autoSpaceDN w:val="0"/>
        <w:adjustRightInd w:val="0"/>
        <w:contextualSpacing/>
        <w:jc w:val="both"/>
        <w:rPr>
          <w:rFonts w:ascii="Verdana" w:eastAsiaTheme="minorHAnsi" w:hAnsi="Verdana" w:cstheme="minorBidi"/>
          <w:sz w:val="20"/>
          <w:szCs w:val="20"/>
          <w:lang w:val="en-US"/>
        </w:rPr>
      </w:pPr>
    </w:p>
    <w:p w14:paraId="52D863FB" w14:textId="2EC8CED8" w:rsidR="00190091" w:rsidRPr="00D869E3" w:rsidRDefault="00BB61A6" w:rsidP="00190091">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In relation to</w:t>
      </w:r>
      <w:r w:rsidR="003F07AD" w:rsidRPr="00D869E3">
        <w:rPr>
          <w:rFonts w:ascii="Verdana" w:eastAsiaTheme="minorHAnsi" w:hAnsi="Verdana" w:cstheme="minorBidi"/>
          <w:sz w:val="20"/>
          <w:szCs w:val="20"/>
          <w:lang w:val="en-US"/>
        </w:rPr>
        <w:t xml:space="preserve"> </w:t>
      </w:r>
      <w:r w:rsidR="0062065E" w:rsidRPr="00D869E3">
        <w:rPr>
          <w:rFonts w:ascii="Verdana" w:eastAsiaTheme="minorHAnsi" w:hAnsi="Verdana" w:cstheme="minorBidi"/>
          <w:i/>
          <w:sz w:val="20"/>
          <w:szCs w:val="20"/>
          <w:lang w:val="en-US"/>
        </w:rPr>
        <w:t>g</w:t>
      </w:r>
      <w:r w:rsidR="00823E88" w:rsidRPr="00D869E3">
        <w:rPr>
          <w:rFonts w:ascii="Verdana" w:eastAsiaTheme="minorHAnsi" w:hAnsi="Verdana" w:cstheme="minorBidi"/>
          <w:i/>
          <w:sz w:val="20"/>
          <w:szCs w:val="20"/>
          <w:lang w:val="en-US"/>
        </w:rPr>
        <w:t>uarantees of non-repetition,</w:t>
      </w:r>
      <w:r w:rsidR="003F07AD"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 xml:space="preserve">the </w:t>
      </w:r>
      <w:r w:rsidR="00447C65" w:rsidRPr="00D869E3">
        <w:rPr>
          <w:rFonts w:ascii="Verdana" w:eastAsiaTheme="minorHAnsi" w:hAnsi="Verdana" w:cstheme="minorBidi"/>
          <w:b/>
          <w:bCs/>
          <w:i/>
          <w:iCs/>
          <w:sz w:val="20"/>
          <w:szCs w:val="20"/>
          <w:lang w:val="en-US"/>
        </w:rPr>
        <w:t>Commission</w:t>
      </w:r>
      <w:r w:rsidR="00232AA2" w:rsidRPr="00D869E3">
        <w:rPr>
          <w:rFonts w:ascii="Verdana" w:eastAsiaTheme="minorHAnsi" w:hAnsi="Verdana" w:cstheme="minorBidi"/>
          <w:sz w:val="20"/>
          <w:szCs w:val="20"/>
          <w:lang w:val="en-US"/>
        </w:rPr>
        <w:t xml:space="preserve"> </w:t>
      </w:r>
      <w:r w:rsidR="0062065E" w:rsidRPr="00D869E3">
        <w:rPr>
          <w:rFonts w:ascii="Verdana" w:eastAsiaTheme="minorHAnsi" w:hAnsi="Verdana" w:cstheme="minorBidi"/>
          <w:sz w:val="20"/>
          <w:szCs w:val="20"/>
          <w:lang w:val="en-US"/>
        </w:rPr>
        <w:t>requ</w:t>
      </w:r>
      <w:r w:rsidR="00823E88" w:rsidRPr="00D869E3">
        <w:rPr>
          <w:rFonts w:ascii="Verdana" w:eastAsiaTheme="minorHAnsi" w:hAnsi="Verdana" w:cstheme="minorBidi"/>
          <w:sz w:val="20"/>
          <w:szCs w:val="20"/>
          <w:lang w:val="en-US"/>
        </w:rPr>
        <w:t>ested the adoption of measures of non-repetition to guarantee that workers’</w:t>
      </w:r>
      <w:r w:rsidR="00687684" w:rsidRPr="00D869E3">
        <w:rPr>
          <w:rFonts w:ascii="Verdana" w:eastAsiaTheme="minorHAnsi" w:hAnsi="Verdana" w:cstheme="minorBidi"/>
          <w:sz w:val="20"/>
          <w:szCs w:val="20"/>
          <w:lang w:val="en-US"/>
        </w:rPr>
        <w:t xml:space="preserve"> representatives</w:t>
      </w:r>
      <w:r w:rsidR="00232AA2" w:rsidRPr="00D869E3">
        <w:rPr>
          <w:rFonts w:ascii="Verdana" w:eastAsiaTheme="minorHAnsi" w:hAnsi="Verdana" w:cstheme="minorBidi"/>
          <w:sz w:val="20"/>
          <w:szCs w:val="20"/>
          <w:lang w:val="en-US"/>
        </w:rPr>
        <w:t xml:space="preserve"> </w:t>
      </w:r>
      <w:r w:rsidR="00823E88" w:rsidRPr="00D869E3">
        <w:rPr>
          <w:rFonts w:ascii="Verdana" w:eastAsiaTheme="minorHAnsi" w:hAnsi="Verdana" w:cstheme="minorBidi"/>
          <w:sz w:val="20"/>
          <w:szCs w:val="20"/>
          <w:lang w:val="en-US"/>
        </w:rPr>
        <w:t>and union leaders may enjoy their</w:t>
      </w:r>
      <w:r w:rsidR="00232AA2" w:rsidRPr="00D869E3">
        <w:rPr>
          <w:rFonts w:ascii="Verdana" w:eastAsiaTheme="minorHAnsi" w:hAnsi="Verdana" w:cstheme="minorBidi"/>
          <w:sz w:val="20"/>
          <w:szCs w:val="20"/>
          <w:lang w:val="en-US"/>
        </w:rPr>
        <w:t xml:space="preserve"> </w:t>
      </w:r>
      <w:r w:rsidR="00C82C0C" w:rsidRPr="00D869E3">
        <w:rPr>
          <w:rFonts w:ascii="Verdana" w:eastAsiaTheme="minorHAnsi" w:hAnsi="Verdana" w:cstheme="minorBidi"/>
          <w:sz w:val="20"/>
          <w:szCs w:val="20"/>
          <w:lang w:val="en-US"/>
        </w:rPr>
        <w:t>right to freedom</w:t>
      </w:r>
      <w:r w:rsidR="00A62EA8" w:rsidRPr="00D869E3">
        <w:rPr>
          <w:rFonts w:ascii="Verdana" w:eastAsiaTheme="minorHAnsi" w:hAnsi="Verdana" w:cstheme="minorBidi"/>
          <w:sz w:val="20"/>
          <w:szCs w:val="20"/>
          <w:lang w:val="en-US"/>
        </w:rPr>
        <w:t xml:space="preserve"> of expression</w:t>
      </w:r>
      <w:r w:rsidR="00232AA2" w:rsidRPr="00D869E3">
        <w:rPr>
          <w:rFonts w:ascii="Verdana" w:eastAsiaTheme="minorHAnsi" w:hAnsi="Verdana" w:cstheme="minorBidi"/>
          <w:sz w:val="20"/>
          <w:szCs w:val="20"/>
          <w:lang w:val="en-US"/>
        </w:rPr>
        <w:t xml:space="preserve">, </w:t>
      </w:r>
      <w:r w:rsidR="00823E88" w:rsidRPr="00D869E3">
        <w:rPr>
          <w:rFonts w:ascii="Verdana" w:eastAsiaTheme="minorHAnsi" w:hAnsi="Verdana" w:cstheme="minorBidi"/>
          <w:sz w:val="20"/>
          <w:szCs w:val="20"/>
          <w:lang w:val="en-US"/>
        </w:rPr>
        <w:t xml:space="preserve">in accordance with the standards established in the </w:t>
      </w:r>
      <w:r w:rsidR="00687684" w:rsidRPr="00D869E3">
        <w:rPr>
          <w:rFonts w:ascii="Verdana" w:eastAsiaTheme="minorHAnsi" w:hAnsi="Verdana" w:cstheme="minorBidi"/>
          <w:sz w:val="20"/>
          <w:szCs w:val="20"/>
          <w:lang w:val="en-US"/>
        </w:rPr>
        <w:t>Merits Report</w:t>
      </w:r>
      <w:r w:rsidR="00232AA2" w:rsidRPr="00D869E3">
        <w:rPr>
          <w:rFonts w:ascii="Verdana" w:eastAsiaTheme="minorHAnsi" w:hAnsi="Verdana" w:cstheme="minorBidi"/>
          <w:sz w:val="20"/>
          <w:szCs w:val="20"/>
          <w:lang w:val="en-US"/>
        </w:rPr>
        <w:t>, a</w:t>
      </w:r>
      <w:r w:rsidR="00823E88" w:rsidRPr="00D869E3">
        <w:rPr>
          <w:rFonts w:ascii="Verdana" w:eastAsiaTheme="minorHAnsi" w:hAnsi="Verdana" w:cstheme="minorBidi"/>
          <w:sz w:val="20"/>
          <w:szCs w:val="20"/>
          <w:lang w:val="en-US"/>
        </w:rPr>
        <w:t xml:space="preserve">nd also the adoption of measures to ensure that the laws and their interpretation by the domestic courts are consistent with the principles established by international human rights law with respect to </w:t>
      </w:r>
      <w:r w:rsidR="00A62EA8" w:rsidRPr="00D869E3">
        <w:rPr>
          <w:rFonts w:ascii="Verdana" w:eastAsiaTheme="minorHAnsi" w:hAnsi="Verdana" w:cstheme="minorBidi"/>
          <w:sz w:val="20"/>
          <w:szCs w:val="20"/>
          <w:lang w:val="en-US"/>
        </w:rPr>
        <w:t>freedom of expression</w:t>
      </w:r>
      <w:r w:rsidR="00232AA2" w:rsidRPr="00D869E3">
        <w:rPr>
          <w:rFonts w:ascii="Verdana" w:eastAsiaTheme="minorHAnsi" w:hAnsi="Verdana" w:cstheme="minorBidi"/>
          <w:sz w:val="20"/>
          <w:szCs w:val="20"/>
          <w:lang w:val="en-US"/>
        </w:rPr>
        <w:t xml:space="preserve"> </w:t>
      </w:r>
      <w:r w:rsidR="00823E88" w:rsidRPr="00D869E3">
        <w:rPr>
          <w:rFonts w:ascii="Verdana" w:eastAsiaTheme="minorHAnsi" w:hAnsi="Verdana" w:cstheme="minorBidi"/>
          <w:sz w:val="20"/>
          <w:szCs w:val="20"/>
          <w:lang w:val="en-US"/>
        </w:rPr>
        <w:t xml:space="preserve">in labor-related contexts. </w:t>
      </w:r>
      <w:r w:rsidR="00687684" w:rsidRPr="00D869E3">
        <w:rPr>
          <w:rFonts w:ascii="Verdana" w:eastAsiaTheme="minorHAnsi" w:hAnsi="Verdana" w:cstheme="minorBidi"/>
          <w:sz w:val="20"/>
          <w:szCs w:val="20"/>
          <w:lang w:val="en-US"/>
        </w:rPr>
        <w:t xml:space="preserve">The </w:t>
      </w:r>
      <w:r w:rsidR="00687684" w:rsidRPr="00D869E3">
        <w:rPr>
          <w:rFonts w:ascii="Verdana" w:eastAsiaTheme="minorHAnsi" w:hAnsi="Verdana" w:cstheme="minorBidi"/>
          <w:b/>
          <w:bCs/>
          <w:i/>
          <w:iCs/>
          <w:sz w:val="20"/>
          <w:szCs w:val="20"/>
          <w:lang w:val="en-US"/>
        </w:rPr>
        <w:t>representatives</w:t>
      </w:r>
      <w:r w:rsidR="00232AA2" w:rsidRPr="00D869E3">
        <w:rPr>
          <w:rFonts w:ascii="Verdana" w:eastAsiaTheme="minorHAnsi" w:hAnsi="Verdana" w:cstheme="minorBidi"/>
          <w:sz w:val="20"/>
          <w:szCs w:val="20"/>
          <w:lang w:val="en-US"/>
        </w:rPr>
        <w:t xml:space="preserve"> </w:t>
      </w:r>
      <w:r w:rsidR="00190091" w:rsidRPr="00D869E3">
        <w:rPr>
          <w:rFonts w:ascii="Verdana" w:eastAsiaTheme="minorHAnsi" w:hAnsi="Verdana" w:cstheme="minorBidi"/>
          <w:sz w:val="20"/>
          <w:szCs w:val="20"/>
          <w:lang w:val="en-US"/>
        </w:rPr>
        <w:t xml:space="preserve">also </w:t>
      </w:r>
      <w:r w:rsidR="00823E88" w:rsidRPr="00D869E3">
        <w:rPr>
          <w:rFonts w:ascii="Verdana" w:eastAsiaTheme="minorHAnsi" w:hAnsi="Verdana" w:cstheme="minorBidi"/>
          <w:sz w:val="20"/>
          <w:szCs w:val="20"/>
          <w:lang w:val="en-US"/>
        </w:rPr>
        <w:t>asked</w:t>
      </w:r>
      <w:r w:rsidR="00232AA2"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the Court</w:t>
      </w:r>
      <w:r w:rsidR="00232AA2" w:rsidRPr="00D869E3">
        <w:rPr>
          <w:rFonts w:ascii="Verdana" w:eastAsiaTheme="minorHAnsi" w:hAnsi="Verdana" w:cstheme="minorBidi"/>
          <w:sz w:val="20"/>
          <w:szCs w:val="20"/>
          <w:lang w:val="en-US"/>
        </w:rPr>
        <w:t xml:space="preserve"> </w:t>
      </w:r>
      <w:r w:rsidR="00823E88" w:rsidRPr="00D869E3">
        <w:rPr>
          <w:rFonts w:ascii="Verdana" w:eastAsiaTheme="minorHAnsi" w:hAnsi="Verdana" w:cstheme="minorBidi"/>
          <w:sz w:val="20"/>
          <w:szCs w:val="20"/>
          <w:lang w:val="en-US"/>
        </w:rPr>
        <w:t>to order</w:t>
      </w:r>
      <w:r w:rsidR="00190091" w:rsidRPr="00D869E3">
        <w:rPr>
          <w:rFonts w:ascii="Verdana" w:eastAsiaTheme="minorHAnsi" w:hAnsi="Verdana" w:cstheme="minorBidi"/>
          <w:sz w:val="20"/>
          <w:szCs w:val="20"/>
          <w:lang w:val="en-US"/>
        </w:rPr>
        <w:t xml:space="preserve"> the State to ensure that workers’ representatives and union leaders may enjoy their right to freedom of expression, in accordance with the standards established in the Merits Report, and to adopt measures to ensure that the laws and their interpretation by the domestic courts are consistent with the principles established by international human rights law with respect to freedom of expression in labor-related contexts. In particular, the representatives referred to the Commission</w:t>
      </w:r>
      <w:r w:rsidR="00E03A7E" w:rsidRPr="00D869E3">
        <w:rPr>
          <w:rFonts w:ascii="Verdana" w:eastAsiaTheme="minorHAnsi" w:hAnsi="Verdana" w:cstheme="minorBidi"/>
          <w:sz w:val="20"/>
          <w:szCs w:val="20"/>
          <w:lang w:val="en-US"/>
        </w:rPr>
        <w:t>’s considerations</w:t>
      </w:r>
      <w:r w:rsidR="00190091" w:rsidRPr="00D869E3">
        <w:rPr>
          <w:rFonts w:ascii="Verdana" w:eastAsiaTheme="minorHAnsi" w:hAnsi="Verdana" w:cstheme="minorBidi"/>
          <w:sz w:val="20"/>
          <w:szCs w:val="20"/>
          <w:lang w:val="en-US"/>
        </w:rPr>
        <w:t xml:space="preserve"> </w:t>
      </w:r>
      <w:r w:rsidR="00E03A7E" w:rsidRPr="00D869E3">
        <w:rPr>
          <w:rFonts w:ascii="Verdana" w:eastAsiaTheme="minorHAnsi" w:hAnsi="Verdana" w:cstheme="minorBidi"/>
          <w:sz w:val="20"/>
          <w:szCs w:val="20"/>
          <w:lang w:val="en-US"/>
        </w:rPr>
        <w:t xml:space="preserve">in its Merits Report </w:t>
      </w:r>
      <w:r w:rsidR="00190091" w:rsidRPr="00D869E3">
        <w:rPr>
          <w:rFonts w:ascii="Verdana" w:eastAsiaTheme="minorHAnsi" w:hAnsi="Verdana" w:cstheme="minorBidi"/>
          <w:sz w:val="20"/>
          <w:szCs w:val="20"/>
          <w:lang w:val="en-US"/>
        </w:rPr>
        <w:t xml:space="preserve">with regard to Legislative Decree 24514; specifically, that the decree was vague and imprecise and allegedly failed to comply with </w:t>
      </w:r>
      <w:r w:rsidR="00687684" w:rsidRPr="00D869E3">
        <w:rPr>
          <w:rFonts w:ascii="Verdana" w:eastAsiaTheme="minorHAnsi" w:hAnsi="Verdana" w:cstheme="minorBidi"/>
          <w:sz w:val="20"/>
          <w:szCs w:val="20"/>
          <w:lang w:val="en-US"/>
        </w:rPr>
        <w:t>Article</w:t>
      </w:r>
      <w:r w:rsidR="00E54DBC" w:rsidRPr="00D869E3">
        <w:rPr>
          <w:rFonts w:ascii="Verdana" w:eastAsiaTheme="minorHAnsi" w:hAnsi="Verdana" w:cstheme="minorBidi"/>
          <w:sz w:val="20"/>
          <w:szCs w:val="20"/>
          <w:lang w:val="en-US"/>
        </w:rPr>
        <w:t xml:space="preserve"> 2</w:t>
      </w:r>
      <w:r w:rsidR="00447C65" w:rsidRPr="00D869E3">
        <w:rPr>
          <w:rFonts w:ascii="Verdana" w:eastAsiaTheme="minorHAnsi" w:hAnsi="Verdana" w:cstheme="minorBidi"/>
          <w:sz w:val="20"/>
          <w:szCs w:val="20"/>
          <w:lang w:val="en-US"/>
        </w:rPr>
        <w:t xml:space="preserve"> of the Convention</w:t>
      </w:r>
      <w:r w:rsidR="00232AA2"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 xml:space="preserve">The </w:t>
      </w:r>
      <w:r w:rsidR="00447C65" w:rsidRPr="00D869E3">
        <w:rPr>
          <w:rFonts w:ascii="Verdana" w:eastAsiaTheme="minorHAnsi" w:hAnsi="Verdana" w:cstheme="minorBidi"/>
          <w:b/>
          <w:bCs/>
          <w:i/>
          <w:iCs/>
          <w:sz w:val="20"/>
          <w:szCs w:val="20"/>
          <w:lang w:val="en-US"/>
        </w:rPr>
        <w:t>State</w:t>
      </w:r>
      <w:r w:rsidR="00232AA2" w:rsidRPr="00D869E3">
        <w:rPr>
          <w:rFonts w:ascii="Verdana" w:eastAsiaTheme="minorHAnsi" w:hAnsi="Verdana" w:cstheme="minorBidi"/>
          <w:sz w:val="20"/>
          <w:szCs w:val="20"/>
          <w:lang w:val="en-US"/>
        </w:rPr>
        <w:t xml:space="preserve"> </w:t>
      </w:r>
      <w:r w:rsidR="00190091" w:rsidRPr="00D869E3">
        <w:rPr>
          <w:rFonts w:ascii="Verdana" w:eastAsiaTheme="minorHAnsi" w:hAnsi="Verdana" w:cstheme="minorBidi"/>
          <w:sz w:val="20"/>
          <w:szCs w:val="20"/>
          <w:lang w:val="en-US"/>
        </w:rPr>
        <w:t xml:space="preserve">argued that its right to defend itself had been </w:t>
      </w:r>
      <w:r w:rsidR="00E03A7E" w:rsidRPr="00D869E3">
        <w:rPr>
          <w:rFonts w:ascii="Verdana" w:eastAsiaTheme="minorHAnsi" w:hAnsi="Verdana" w:cstheme="minorBidi"/>
          <w:sz w:val="20"/>
          <w:szCs w:val="20"/>
          <w:lang w:val="en-US"/>
        </w:rPr>
        <w:t>contravened</w:t>
      </w:r>
      <w:r w:rsidR="00190091" w:rsidRPr="00D869E3">
        <w:rPr>
          <w:rFonts w:ascii="Verdana" w:eastAsiaTheme="minorHAnsi" w:hAnsi="Verdana" w:cstheme="minorBidi"/>
          <w:sz w:val="20"/>
          <w:szCs w:val="20"/>
          <w:lang w:val="en-US"/>
        </w:rPr>
        <w:t xml:space="preserve"> because it had not had the real possibility of knowing the specific type of measure it was required to adopt, </w:t>
      </w:r>
      <w:r w:rsidR="00E03A7E" w:rsidRPr="00D869E3">
        <w:rPr>
          <w:rFonts w:ascii="Verdana" w:eastAsiaTheme="minorHAnsi" w:hAnsi="Verdana" w:cstheme="minorBidi"/>
          <w:sz w:val="20"/>
          <w:szCs w:val="20"/>
          <w:lang w:val="en-US"/>
        </w:rPr>
        <w:t>since</w:t>
      </w:r>
      <w:r w:rsidR="00190091" w:rsidRPr="00D869E3">
        <w:rPr>
          <w:rFonts w:ascii="Verdana" w:eastAsiaTheme="minorHAnsi" w:hAnsi="Verdana" w:cstheme="minorBidi"/>
          <w:sz w:val="20"/>
          <w:szCs w:val="20"/>
          <w:lang w:val="en-US"/>
        </w:rPr>
        <w:t xml:space="preserve"> the Commission had not indicated the specific measures that the State should implement.</w:t>
      </w:r>
    </w:p>
    <w:p w14:paraId="1237851B" w14:textId="77777777" w:rsidR="00232AA2" w:rsidRPr="00D869E3" w:rsidRDefault="00232AA2" w:rsidP="00232AA2">
      <w:pPr>
        <w:widowControl w:val="0"/>
        <w:tabs>
          <w:tab w:val="center" w:pos="567"/>
        </w:tabs>
        <w:autoSpaceDE w:val="0"/>
        <w:autoSpaceDN w:val="0"/>
        <w:adjustRightInd w:val="0"/>
        <w:contextualSpacing/>
        <w:jc w:val="both"/>
        <w:rPr>
          <w:rFonts w:ascii="Verdana" w:eastAsiaTheme="minorHAnsi" w:hAnsi="Verdana" w:cstheme="minorBidi"/>
          <w:sz w:val="20"/>
          <w:szCs w:val="20"/>
          <w:lang w:val="en-US"/>
        </w:rPr>
      </w:pPr>
    </w:p>
    <w:p w14:paraId="6DAFCDE3" w14:textId="58A5EAB1" w:rsidR="00190091" w:rsidRPr="00D869E3" w:rsidRDefault="00447C65" w:rsidP="00190091">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The Court</w:t>
      </w:r>
      <w:r w:rsidR="00A57AE0" w:rsidRPr="00D869E3">
        <w:rPr>
          <w:rFonts w:ascii="Verdana" w:eastAsiaTheme="minorHAnsi" w:hAnsi="Verdana" w:cstheme="minorBidi"/>
          <w:sz w:val="20"/>
          <w:szCs w:val="20"/>
          <w:lang w:val="en-US"/>
        </w:rPr>
        <w:t xml:space="preserve"> </w:t>
      </w:r>
      <w:r w:rsidR="00A07203" w:rsidRPr="00D869E3">
        <w:rPr>
          <w:rFonts w:ascii="Verdana" w:eastAsiaTheme="minorHAnsi" w:hAnsi="Verdana" w:cstheme="minorBidi"/>
          <w:sz w:val="20"/>
          <w:szCs w:val="20"/>
          <w:lang w:val="en-US"/>
        </w:rPr>
        <w:t>not</w:t>
      </w:r>
      <w:r w:rsidR="00190091" w:rsidRPr="00D869E3">
        <w:rPr>
          <w:rFonts w:ascii="Verdana" w:eastAsiaTheme="minorHAnsi" w:hAnsi="Verdana" w:cstheme="minorBidi"/>
          <w:sz w:val="20"/>
          <w:szCs w:val="20"/>
          <w:lang w:val="en-US"/>
        </w:rPr>
        <w:t>es that neither</w:t>
      </w:r>
      <w:r w:rsidR="00A57AE0" w:rsidRPr="00D869E3">
        <w:rPr>
          <w:rFonts w:ascii="Verdana" w:eastAsiaTheme="minorHAnsi" w:hAnsi="Verdana" w:cstheme="minorBidi"/>
          <w:sz w:val="20"/>
          <w:szCs w:val="20"/>
          <w:lang w:val="en-US"/>
        </w:rPr>
        <w:t xml:space="preserve"> </w:t>
      </w:r>
      <w:r w:rsidR="00687684" w:rsidRPr="00D869E3">
        <w:rPr>
          <w:rFonts w:ascii="Verdana" w:eastAsiaTheme="minorHAnsi" w:hAnsi="Verdana" w:cstheme="minorBidi"/>
          <w:sz w:val="20"/>
          <w:szCs w:val="20"/>
          <w:lang w:val="en-US"/>
        </w:rPr>
        <w:t>the representatives</w:t>
      </w:r>
      <w:r w:rsidR="00A57AE0" w:rsidRPr="00D869E3">
        <w:rPr>
          <w:rFonts w:ascii="Verdana" w:eastAsiaTheme="minorHAnsi" w:hAnsi="Verdana" w:cstheme="minorBidi"/>
          <w:sz w:val="20"/>
          <w:szCs w:val="20"/>
          <w:lang w:val="en-US"/>
        </w:rPr>
        <w:t xml:space="preserve"> n</w:t>
      </w:r>
      <w:r w:rsidR="00190091" w:rsidRPr="00D869E3">
        <w:rPr>
          <w:rFonts w:ascii="Verdana" w:eastAsiaTheme="minorHAnsi" w:hAnsi="Verdana" w:cstheme="minorBidi"/>
          <w:sz w:val="20"/>
          <w:szCs w:val="20"/>
          <w:lang w:val="en-US"/>
        </w:rPr>
        <w:t>or</w:t>
      </w:r>
      <w:r w:rsidR="00A57AE0" w:rsidRPr="00D869E3">
        <w:rPr>
          <w:rFonts w:ascii="Verdana" w:eastAsiaTheme="minorHAnsi" w:hAnsi="Verdana" w:cstheme="minorBidi"/>
          <w:sz w:val="20"/>
          <w:szCs w:val="20"/>
          <w:lang w:val="en-US"/>
        </w:rPr>
        <w:t xml:space="preserve"> </w:t>
      </w:r>
      <w:r w:rsidRPr="00D869E3">
        <w:rPr>
          <w:rFonts w:ascii="Verdana" w:eastAsiaTheme="minorHAnsi" w:hAnsi="Verdana" w:cstheme="minorBidi"/>
          <w:sz w:val="20"/>
          <w:szCs w:val="20"/>
          <w:lang w:val="en-US"/>
        </w:rPr>
        <w:t>the Commission</w:t>
      </w:r>
      <w:r w:rsidR="00190091" w:rsidRPr="00D869E3">
        <w:rPr>
          <w:rFonts w:ascii="Verdana" w:eastAsiaTheme="minorHAnsi" w:hAnsi="Verdana" w:cstheme="minorBidi"/>
          <w:sz w:val="20"/>
          <w:szCs w:val="20"/>
          <w:lang w:val="en-US"/>
        </w:rPr>
        <w:t xml:space="preserve"> indicated the precise scope of the measures that the State should adopt. However, in this case, the Court concludes that paragraph (h) of article 5 of Law 24514 was not, </w:t>
      </w:r>
      <w:r w:rsidR="00190091" w:rsidRPr="00D869E3">
        <w:rPr>
          <w:rFonts w:ascii="Verdana" w:eastAsiaTheme="minorHAnsi" w:hAnsi="Verdana" w:cstheme="minorBidi"/>
          <w:i/>
          <w:sz w:val="20"/>
          <w:szCs w:val="20"/>
          <w:lang w:val="en-US"/>
        </w:rPr>
        <w:t xml:space="preserve">per se, </w:t>
      </w:r>
      <w:r w:rsidR="00190091" w:rsidRPr="00D869E3">
        <w:rPr>
          <w:rFonts w:ascii="Verdana" w:eastAsiaTheme="minorHAnsi" w:hAnsi="Verdana" w:cstheme="minorBidi"/>
          <w:sz w:val="20"/>
          <w:szCs w:val="20"/>
          <w:lang w:val="en-US"/>
        </w:rPr>
        <w:t>incompatible with the requirement of legality of Article 13(2) of the Convention. In addition, it has determined that it was not appropriate to rule on the compatibility of the norm that is currently in force</w:t>
      </w:r>
      <w:r w:rsidR="0062065E" w:rsidRPr="00D869E3">
        <w:rPr>
          <w:rFonts w:ascii="Verdana" w:eastAsiaTheme="minorHAnsi" w:hAnsi="Verdana" w:cstheme="minorBidi"/>
          <w:sz w:val="20"/>
          <w:szCs w:val="20"/>
          <w:lang w:val="en-US"/>
        </w:rPr>
        <w:t xml:space="preserve"> </w:t>
      </w:r>
      <w:r w:rsidR="00232AA2" w:rsidRPr="00D869E3">
        <w:rPr>
          <w:rFonts w:ascii="Verdana" w:eastAsiaTheme="minorHAnsi" w:hAnsi="Verdana" w:cstheme="minorBidi"/>
          <w:sz w:val="20"/>
          <w:szCs w:val="20"/>
          <w:lang w:val="en-US"/>
        </w:rPr>
        <w:t>(</w:t>
      </w:r>
      <w:r w:rsidR="00224537" w:rsidRPr="00D869E3">
        <w:rPr>
          <w:rFonts w:ascii="Verdana" w:eastAsiaTheme="minorHAnsi" w:hAnsi="Verdana" w:cstheme="minorBidi"/>
          <w:i/>
          <w:sz w:val="20"/>
          <w:szCs w:val="20"/>
          <w:lang w:val="en-US"/>
        </w:rPr>
        <w:t>supra</w:t>
      </w:r>
      <w:r w:rsidR="00232AA2" w:rsidRPr="00D869E3">
        <w:rPr>
          <w:rFonts w:ascii="Verdana" w:eastAsiaTheme="minorHAnsi" w:hAnsi="Verdana" w:cstheme="minorBidi"/>
          <w:sz w:val="20"/>
          <w:szCs w:val="20"/>
          <w:lang w:val="en-US"/>
        </w:rPr>
        <w:t xml:space="preserve"> </w:t>
      </w:r>
      <w:r w:rsidR="0087339F" w:rsidRPr="00D869E3">
        <w:rPr>
          <w:rFonts w:ascii="Verdana" w:eastAsiaTheme="minorHAnsi" w:hAnsi="Verdana" w:cstheme="minorBidi"/>
          <w:sz w:val="20"/>
          <w:szCs w:val="20"/>
          <w:lang w:val="en-US"/>
        </w:rPr>
        <w:t>para.</w:t>
      </w:r>
      <w:r w:rsidR="00B31162" w:rsidRPr="00D869E3">
        <w:rPr>
          <w:rFonts w:ascii="Verdana" w:eastAsiaTheme="minorHAnsi" w:hAnsi="Verdana" w:cstheme="minorBidi"/>
          <w:sz w:val="20"/>
          <w:szCs w:val="20"/>
          <w:lang w:val="en-US"/>
        </w:rPr>
        <w:t xml:space="preserve"> 165</w:t>
      </w:r>
      <w:r w:rsidR="00232AA2" w:rsidRPr="00D869E3">
        <w:rPr>
          <w:rFonts w:ascii="Verdana" w:eastAsiaTheme="minorHAnsi" w:hAnsi="Verdana" w:cstheme="minorBidi"/>
          <w:sz w:val="20"/>
          <w:szCs w:val="20"/>
          <w:lang w:val="en-US"/>
        </w:rPr>
        <w:t xml:space="preserve">). </w:t>
      </w:r>
      <w:r w:rsidR="00190091" w:rsidRPr="00D869E3">
        <w:rPr>
          <w:rFonts w:ascii="Verdana" w:eastAsiaTheme="minorHAnsi" w:hAnsi="Verdana" w:cstheme="minorBidi"/>
          <w:sz w:val="20"/>
          <w:szCs w:val="20"/>
          <w:lang w:val="en-US"/>
        </w:rPr>
        <w:t xml:space="preserve">Consequently, in this case, it is not admissible to order the adoption, amendment or adaptation of specific provisions of domestic law. However, this is without prejudice to the </w:t>
      </w:r>
      <w:r w:rsidR="00190091" w:rsidRPr="00D869E3">
        <w:rPr>
          <w:rFonts w:ascii="Verdana" w:eastAsiaTheme="minorHAnsi" w:hAnsi="Verdana" w:cstheme="minorBidi"/>
          <w:sz w:val="20"/>
          <w:szCs w:val="20"/>
          <w:lang w:val="en-US"/>
        </w:rPr>
        <w:lastRenderedPageBreak/>
        <w:t>provisions of paragraph 122 of this judgment.</w:t>
      </w:r>
    </w:p>
    <w:p w14:paraId="04CD50C9" w14:textId="77777777" w:rsidR="000C6082" w:rsidRPr="00D869E3" w:rsidRDefault="000C6082" w:rsidP="000C6082">
      <w:pPr>
        <w:rPr>
          <w:rFonts w:ascii="Verdana" w:hAnsi="Verdana"/>
          <w:lang w:val="en-US"/>
        </w:rPr>
      </w:pPr>
    </w:p>
    <w:p w14:paraId="2BB1E4E7" w14:textId="31EDA237" w:rsidR="000C6082" w:rsidRPr="00D869E3" w:rsidRDefault="00190091" w:rsidP="00E66DD7">
      <w:pPr>
        <w:widowControl w:val="0"/>
        <w:numPr>
          <w:ilvl w:val="0"/>
          <w:numId w:val="1"/>
        </w:numPr>
        <w:tabs>
          <w:tab w:val="center" w:pos="567"/>
          <w:tab w:val="num" w:pos="840"/>
        </w:tabs>
        <w:autoSpaceDE w:val="0"/>
        <w:autoSpaceDN w:val="0"/>
        <w:adjustRightInd w:val="0"/>
        <w:ind w:left="0" w:firstLine="0"/>
        <w:contextualSpacing/>
        <w:jc w:val="both"/>
        <w:rPr>
          <w:rFonts w:ascii="Verdana" w:eastAsiaTheme="minorHAnsi" w:hAnsi="Verdana" w:cstheme="minorBidi"/>
          <w:sz w:val="20"/>
          <w:szCs w:val="20"/>
          <w:lang w:val="en-US"/>
        </w:rPr>
      </w:pPr>
      <w:r w:rsidRPr="00D869E3">
        <w:rPr>
          <w:rFonts w:ascii="Verdana" w:eastAsiaTheme="minorHAnsi" w:hAnsi="Verdana" w:cstheme="minorBidi"/>
          <w:sz w:val="20"/>
          <w:szCs w:val="20"/>
          <w:lang w:val="en-US"/>
        </w:rPr>
        <w:t>I</w:t>
      </w:r>
      <w:r w:rsidR="000C6082" w:rsidRPr="00D869E3">
        <w:rPr>
          <w:rFonts w:ascii="Verdana" w:eastAsiaTheme="minorHAnsi" w:hAnsi="Verdana" w:cstheme="minorBidi"/>
          <w:sz w:val="20"/>
          <w:szCs w:val="20"/>
          <w:lang w:val="en-US"/>
        </w:rPr>
        <w:t xml:space="preserve">n </w:t>
      </w:r>
      <w:r w:rsidRPr="00D869E3">
        <w:rPr>
          <w:rFonts w:ascii="Verdana" w:eastAsiaTheme="minorHAnsi" w:hAnsi="Verdana" w:cstheme="minorBidi"/>
          <w:sz w:val="20"/>
          <w:szCs w:val="20"/>
          <w:lang w:val="en-US"/>
        </w:rPr>
        <w:t>c</w:t>
      </w:r>
      <w:r w:rsidR="00B44B46" w:rsidRPr="00D869E3">
        <w:rPr>
          <w:rFonts w:ascii="Verdana" w:eastAsiaTheme="minorHAnsi" w:hAnsi="Verdana" w:cstheme="minorBidi"/>
          <w:sz w:val="20"/>
          <w:szCs w:val="20"/>
          <w:lang w:val="en-US"/>
        </w:rPr>
        <w:t>onclusion</w:t>
      </w:r>
      <w:r w:rsidR="000C6082" w:rsidRPr="00D869E3">
        <w:rPr>
          <w:rFonts w:ascii="Verdana" w:eastAsiaTheme="minorHAnsi" w:hAnsi="Verdana" w:cstheme="minorBidi"/>
          <w:sz w:val="20"/>
          <w:szCs w:val="20"/>
          <w:lang w:val="en-US"/>
        </w:rPr>
        <w:t xml:space="preserve">, </w:t>
      </w:r>
      <w:r w:rsidR="00447C65" w:rsidRPr="00D869E3">
        <w:rPr>
          <w:rFonts w:ascii="Verdana" w:eastAsiaTheme="minorHAnsi" w:hAnsi="Verdana" w:cstheme="minorBidi"/>
          <w:sz w:val="20"/>
          <w:szCs w:val="20"/>
          <w:lang w:val="en-US"/>
        </w:rPr>
        <w:t>the Court</w:t>
      </w:r>
      <w:r w:rsidR="000C6082" w:rsidRPr="00D869E3">
        <w:rPr>
          <w:rFonts w:ascii="Verdana" w:eastAsiaTheme="minorHAnsi" w:hAnsi="Verdana" w:cstheme="minorBidi"/>
          <w:sz w:val="20"/>
          <w:szCs w:val="20"/>
          <w:lang w:val="en-US"/>
        </w:rPr>
        <w:t xml:space="preserve"> reitera</w:t>
      </w:r>
      <w:r w:rsidRPr="00D869E3">
        <w:rPr>
          <w:rFonts w:ascii="Verdana" w:eastAsiaTheme="minorHAnsi" w:hAnsi="Verdana" w:cstheme="minorBidi"/>
          <w:sz w:val="20"/>
          <w:szCs w:val="20"/>
          <w:lang w:val="en-US"/>
        </w:rPr>
        <w:t xml:space="preserve">tes that the delivery of this judgment and </w:t>
      </w:r>
      <w:r w:rsidR="00E03A7E" w:rsidRPr="00D869E3">
        <w:rPr>
          <w:rFonts w:ascii="Verdana" w:eastAsiaTheme="minorHAnsi" w:hAnsi="Verdana" w:cstheme="minorBidi"/>
          <w:sz w:val="20"/>
          <w:szCs w:val="20"/>
          <w:lang w:val="en-US"/>
        </w:rPr>
        <w:t xml:space="preserve">the </w:t>
      </w:r>
      <w:r w:rsidRPr="00D869E3">
        <w:rPr>
          <w:rFonts w:ascii="Verdana" w:eastAsiaTheme="minorHAnsi" w:hAnsi="Verdana" w:cstheme="minorBidi"/>
          <w:sz w:val="20"/>
          <w:szCs w:val="20"/>
          <w:lang w:val="en-US"/>
        </w:rPr>
        <w:t>repar</w:t>
      </w:r>
      <w:r w:rsidR="00FF777F" w:rsidRPr="00D869E3">
        <w:rPr>
          <w:rFonts w:ascii="Verdana" w:eastAsiaTheme="minorHAnsi" w:hAnsi="Verdana" w:cstheme="minorBidi"/>
          <w:sz w:val="20"/>
          <w:szCs w:val="20"/>
          <w:lang w:val="en-US"/>
        </w:rPr>
        <w:t>a</w:t>
      </w:r>
      <w:r w:rsidRPr="00D869E3">
        <w:rPr>
          <w:rFonts w:ascii="Verdana" w:eastAsiaTheme="minorHAnsi" w:hAnsi="Verdana" w:cstheme="minorBidi"/>
          <w:sz w:val="20"/>
          <w:szCs w:val="20"/>
          <w:lang w:val="en-US"/>
        </w:rPr>
        <w:t xml:space="preserve">tions ordered in this chapter are sufficient and adequate to remedy the violations suffered by the victim, so that it does not find it </w:t>
      </w:r>
      <w:r w:rsidR="00FF777F" w:rsidRPr="00D869E3">
        <w:rPr>
          <w:rFonts w:ascii="Verdana" w:eastAsiaTheme="minorHAnsi" w:hAnsi="Verdana" w:cstheme="minorBidi"/>
          <w:sz w:val="20"/>
          <w:szCs w:val="20"/>
          <w:lang w:val="en-US"/>
        </w:rPr>
        <w:t>n</w:t>
      </w:r>
      <w:r w:rsidRPr="00D869E3">
        <w:rPr>
          <w:rFonts w:ascii="Verdana" w:eastAsiaTheme="minorHAnsi" w:hAnsi="Verdana" w:cstheme="minorBidi"/>
          <w:sz w:val="20"/>
          <w:szCs w:val="20"/>
          <w:lang w:val="en-US"/>
        </w:rPr>
        <w:t>ecessary to order other measures</w:t>
      </w:r>
      <w:r w:rsidR="00FF777F" w:rsidRPr="00D869E3">
        <w:rPr>
          <w:rFonts w:ascii="Verdana" w:eastAsiaTheme="minorHAnsi" w:hAnsi="Verdana" w:cstheme="minorBidi"/>
          <w:sz w:val="20"/>
          <w:szCs w:val="20"/>
          <w:lang w:val="en-US"/>
        </w:rPr>
        <w:t xml:space="preserve"> of a comprehensive nature. </w:t>
      </w:r>
    </w:p>
    <w:p w14:paraId="008DD2F4" w14:textId="77777777" w:rsidR="00564925" w:rsidRPr="00D869E3" w:rsidRDefault="00564925" w:rsidP="005D0F69">
      <w:pPr>
        <w:rPr>
          <w:rFonts w:ascii="Verdana" w:hAnsi="Verdana"/>
          <w:lang w:val="en-US"/>
        </w:rPr>
      </w:pPr>
    </w:p>
    <w:p w14:paraId="3B1794ED" w14:textId="5CEE7822" w:rsidR="009C5D55" w:rsidRPr="00D869E3" w:rsidRDefault="00B44B46" w:rsidP="00E66DD7">
      <w:pPr>
        <w:pStyle w:val="Ttulo2"/>
        <w:numPr>
          <w:ilvl w:val="0"/>
          <w:numId w:val="13"/>
        </w:numPr>
        <w:rPr>
          <w:b w:val="0"/>
          <w:bCs w:val="0"/>
          <w:i/>
          <w:szCs w:val="20"/>
          <w:lang w:val="en-US"/>
        </w:rPr>
      </w:pPr>
      <w:bookmarkStart w:id="70" w:name="_Toc29114157"/>
      <w:r w:rsidRPr="00D869E3">
        <w:rPr>
          <w:i/>
          <w:szCs w:val="20"/>
          <w:lang w:val="en-US"/>
        </w:rPr>
        <w:t>Compensation</w:t>
      </w:r>
      <w:bookmarkEnd w:id="70"/>
    </w:p>
    <w:p w14:paraId="12B92CBB" w14:textId="77777777" w:rsidR="009C5D55" w:rsidRPr="00D869E3" w:rsidRDefault="009C5D55" w:rsidP="009C5D55">
      <w:pPr>
        <w:contextualSpacing/>
        <w:jc w:val="both"/>
        <w:rPr>
          <w:rFonts w:ascii="Verdana" w:hAnsi="Verdana"/>
          <w:sz w:val="20"/>
          <w:szCs w:val="20"/>
          <w:lang w:val="en-US"/>
        </w:rPr>
      </w:pPr>
    </w:p>
    <w:p w14:paraId="64F5B33C" w14:textId="079C9203" w:rsidR="009C5D55" w:rsidRPr="00D869E3" w:rsidRDefault="00B44B46" w:rsidP="00E66DD7">
      <w:pPr>
        <w:pStyle w:val="Ttulo3"/>
        <w:numPr>
          <w:ilvl w:val="0"/>
          <w:numId w:val="15"/>
        </w:numPr>
        <w:rPr>
          <w:i/>
          <w:lang w:val="en-US"/>
        </w:rPr>
      </w:pPr>
      <w:bookmarkStart w:id="71" w:name="_Toc29114158"/>
      <w:r w:rsidRPr="00D869E3">
        <w:rPr>
          <w:i/>
          <w:lang w:val="en-US"/>
        </w:rPr>
        <w:t>Pecuniary damage</w:t>
      </w:r>
      <w:bookmarkEnd w:id="71"/>
    </w:p>
    <w:p w14:paraId="40E9F291" w14:textId="77777777" w:rsidR="009C5D55" w:rsidRPr="00D869E3" w:rsidRDefault="009C5D55" w:rsidP="009C5D55">
      <w:pPr>
        <w:rPr>
          <w:rFonts w:ascii="Verdana" w:hAnsi="Verdana"/>
          <w:sz w:val="20"/>
          <w:szCs w:val="20"/>
          <w:lang w:val="en-US"/>
        </w:rPr>
      </w:pPr>
    </w:p>
    <w:p w14:paraId="6A0B827C" w14:textId="3D133E54" w:rsidR="009C5D55" w:rsidRPr="00D869E3" w:rsidRDefault="00447C6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9C5D55" w:rsidRPr="00D869E3">
        <w:rPr>
          <w:rFonts w:ascii="Verdana" w:hAnsi="Verdana"/>
          <w:sz w:val="20"/>
          <w:szCs w:val="20"/>
          <w:lang w:val="en-US"/>
        </w:rPr>
        <w:t xml:space="preserve"> </w:t>
      </w:r>
      <w:r w:rsidR="0008054E" w:rsidRPr="00D869E3">
        <w:rPr>
          <w:rFonts w:ascii="Verdana" w:hAnsi="Verdana"/>
          <w:sz w:val="20"/>
          <w:szCs w:val="20"/>
          <w:lang w:val="en-US"/>
        </w:rPr>
        <w:t xml:space="preserve">asked the Court to </w:t>
      </w:r>
      <w:r w:rsidR="004926D0" w:rsidRPr="00D869E3">
        <w:rPr>
          <w:rFonts w:ascii="Verdana" w:hAnsi="Verdana"/>
          <w:sz w:val="20"/>
          <w:szCs w:val="20"/>
          <w:lang w:val="en-US"/>
        </w:rPr>
        <w:t>establish both pecuniary and non-pecuniary damage as part of the reparation.</w:t>
      </w:r>
    </w:p>
    <w:p w14:paraId="5699B8C5"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625242B8" w14:textId="7CF05FCE" w:rsidR="009C5D55" w:rsidRPr="00D869E3" w:rsidRDefault="00C549C0" w:rsidP="00C549C0">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00687684" w:rsidRPr="00D869E3">
        <w:rPr>
          <w:rFonts w:ascii="Verdana" w:hAnsi="Verdana"/>
          <w:b/>
          <w:bCs/>
          <w:i/>
          <w:iCs/>
          <w:sz w:val="20"/>
          <w:szCs w:val="20"/>
          <w:lang w:val="en-US"/>
        </w:rPr>
        <w:t>representatives</w:t>
      </w:r>
      <w:r w:rsidR="009C5D55" w:rsidRPr="00D869E3">
        <w:rPr>
          <w:rFonts w:ascii="Verdana" w:hAnsi="Verdana"/>
          <w:b/>
          <w:i/>
          <w:sz w:val="20"/>
          <w:szCs w:val="20"/>
          <w:lang w:val="en-US"/>
        </w:rPr>
        <w:t xml:space="preserve"> </w:t>
      </w:r>
      <w:r w:rsidRPr="00D869E3">
        <w:rPr>
          <w:rFonts w:ascii="Verdana" w:hAnsi="Verdana"/>
          <w:sz w:val="20"/>
          <w:szCs w:val="20"/>
          <w:lang w:val="en-US"/>
        </w:rPr>
        <w:t xml:space="preserve">asked for compensation for the expenses incurred by the victim in his search for justice with a sum established based on equity. They also asked that a sum be established for loss of earnings, in equity, considering that Mr. Lagos del Campo had not been reinstated in his  job, curtailing his labor rights. </w:t>
      </w:r>
      <w:r w:rsidR="00075E68" w:rsidRPr="00D869E3">
        <w:rPr>
          <w:rFonts w:ascii="Verdana" w:hAnsi="Verdana"/>
          <w:sz w:val="20"/>
          <w:szCs w:val="20"/>
          <w:lang w:val="en-US"/>
        </w:rPr>
        <w:t>In this regard</w:t>
      </w:r>
      <w:r w:rsidR="00925FE5" w:rsidRPr="00D869E3">
        <w:rPr>
          <w:rFonts w:ascii="Verdana" w:hAnsi="Verdana"/>
          <w:sz w:val="20"/>
          <w:szCs w:val="20"/>
          <w:lang w:val="en-US"/>
        </w:rPr>
        <w:t xml:space="preserve">, </w:t>
      </w:r>
      <w:r w:rsidRPr="00D869E3">
        <w:rPr>
          <w:rFonts w:ascii="Verdana" w:hAnsi="Verdana"/>
          <w:sz w:val="20"/>
          <w:szCs w:val="20"/>
          <w:lang w:val="en-US"/>
        </w:rPr>
        <w:t xml:space="preserve">during the hearing, </w:t>
      </w:r>
      <w:r w:rsidR="00687684" w:rsidRPr="00D869E3">
        <w:rPr>
          <w:rFonts w:ascii="Verdana" w:hAnsi="Verdana"/>
          <w:sz w:val="20"/>
          <w:szCs w:val="20"/>
          <w:lang w:val="en-US"/>
        </w:rPr>
        <w:t>the representatives</w:t>
      </w:r>
      <w:r w:rsidR="00925FE5" w:rsidRPr="00D869E3">
        <w:rPr>
          <w:rFonts w:ascii="Verdana" w:hAnsi="Verdana"/>
          <w:sz w:val="20"/>
          <w:szCs w:val="20"/>
          <w:lang w:val="en-US"/>
        </w:rPr>
        <w:t xml:space="preserve"> al</w:t>
      </w:r>
      <w:r w:rsidRPr="00D869E3">
        <w:rPr>
          <w:rFonts w:ascii="Verdana" w:hAnsi="Verdana"/>
          <w:sz w:val="20"/>
          <w:szCs w:val="20"/>
          <w:lang w:val="en-US"/>
        </w:rPr>
        <w:t xml:space="preserve">leged that </w:t>
      </w:r>
      <w:r w:rsidR="001E44D3" w:rsidRPr="00D869E3">
        <w:rPr>
          <w:rFonts w:ascii="Verdana" w:hAnsi="Verdana"/>
          <w:sz w:val="20"/>
          <w:szCs w:val="20"/>
          <w:lang w:val="en-US"/>
        </w:rPr>
        <w:t>Mr. Lagos del Campo</w:t>
      </w:r>
      <w:r w:rsidR="00925FE5" w:rsidRPr="00D869E3">
        <w:rPr>
          <w:rFonts w:ascii="Verdana" w:hAnsi="Verdana"/>
          <w:sz w:val="20"/>
          <w:szCs w:val="20"/>
          <w:lang w:val="en-US"/>
        </w:rPr>
        <w:t xml:space="preserve"> </w:t>
      </w:r>
      <w:r w:rsidR="00E03A7E" w:rsidRPr="00D869E3">
        <w:rPr>
          <w:rFonts w:ascii="Verdana" w:hAnsi="Verdana"/>
          <w:sz w:val="20"/>
          <w:szCs w:val="20"/>
          <w:lang w:val="en-US"/>
        </w:rPr>
        <w:t>was</w:t>
      </w:r>
      <w:r w:rsidRPr="00D869E3">
        <w:rPr>
          <w:rFonts w:ascii="Verdana" w:hAnsi="Verdana"/>
          <w:sz w:val="20"/>
          <w:szCs w:val="20"/>
          <w:lang w:val="en-US"/>
        </w:rPr>
        <w:t xml:space="preserve"> not old enough to have access to a legitimate pension, or health insurance, as this </w:t>
      </w:r>
      <w:r w:rsidR="00E03A7E" w:rsidRPr="00D869E3">
        <w:rPr>
          <w:rFonts w:ascii="Verdana" w:hAnsi="Verdana"/>
          <w:sz w:val="20"/>
          <w:szCs w:val="20"/>
          <w:lang w:val="en-US"/>
        </w:rPr>
        <w:t>expectation</w:t>
      </w:r>
      <w:r w:rsidRPr="00D869E3">
        <w:rPr>
          <w:rFonts w:ascii="Verdana" w:hAnsi="Verdana"/>
          <w:sz w:val="20"/>
          <w:szCs w:val="20"/>
          <w:lang w:val="en-US"/>
        </w:rPr>
        <w:t xml:space="preserve"> </w:t>
      </w:r>
      <w:r w:rsidR="00E03A7E" w:rsidRPr="00D869E3">
        <w:rPr>
          <w:rFonts w:ascii="Verdana" w:hAnsi="Verdana"/>
          <w:sz w:val="20"/>
          <w:szCs w:val="20"/>
          <w:lang w:val="en-US"/>
        </w:rPr>
        <w:t>was</w:t>
      </w:r>
      <w:r w:rsidRPr="00D869E3">
        <w:rPr>
          <w:rFonts w:ascii="Verdana" w:hAnsi="Verdana"/>
          <w:sz w:val="20"/>
          <w:szCs w:val="20"/>
          <w:lang w:val="en-US"/>
        </w:rPr>
        <w:t xml:space="preserve"> destroyed as a result of the dismissal. In their </w:t>
      </w:r>
      <w:r w:rsidR="000E7A82" w:rsidRPr="00D869E3">
        <w:rPr>
          <w:rFonts w:ascii="Verdana" w:hAnsi="Verdana"/>
          <w:sz w:val="20"/>
          <w:szCs w:val="20"/>
          <w:lang w:val="en-US"/>
        </w:rPr>
        <w:t>final written arguments</w:t>
      </w:r>
      <w:r w:rsidR="009C5D55"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9C5D55" w:rsidRPr="00D869E3">
        <w:rPr>
          <w:rFonts w:ascii="Verdana" w:hAnsi="Verdana"/>
          <w:sz w:val="20"/>
          <w:szCs w:val="20"/>
          <w:lang w:val="en-US"/>
        </w:rPr>
        <w:t xml:space="preserve"> </w:t>
      </w:r>
      <w:r w:rsidRPr="00D869E3">
        <w:rPr>
          <w:rFonts w:ascii="Verdana" w:hAnsi="Verdana"/>
          <w:sz w:val="20"/>
          <w:szCs w:val="20"/>
          <w:lang w:val="en-US"/>
        </w:rPr>
        <w:t xml:space="preserve">indicated, since the expenses incurred by </w:t>
      </w:r>
      <w:r w:rsidR="001E44D3" w:rsidRPr="00D869E3">
        <w:rPr>
          <w:rFonts w:ascii="Verdana" w:hAnsi="Verdana"/>
          <w:sz w:val="20"/>
          <w:szCs w:val="20"/>
          <w:lang w:val="en-US"/>
        </w:rPr>
        <w:t>Mr. Lagos del Campo</w:t>
      </w:r>
      <w:r w:rsidR="009C5D55" w:rsidRPr="00D869E3">
        <w:rPr>
          <w:rFonts w:ascii="Verdana" w:hAnsi="Verdana"/>
          <w:sz w:val="20"/>
          <w:szCs w:val="20"/>
          <w:lang w:val="en-US"/>
        </w:rPr>
        <w:t xml:space="preserve"> </w:t>
      </w:r>
      <w:r w:rsidRPr="00D869E3">
        <w:rPr>
          <w:rFonts w:ascii="Verdana" w:hAnsi="Verdana"/>
          <w:sz w:val="20"/>
          <w:szCs w:val="20"/>
          <w:lang w:val="en-US"/>
        </w:rPr>
        <w:t xml:space="preserve">had taken place over a period of almost 28 years, </w:t>
      </w:r>
      <w:r w:rsidR="001E44D3" w:rsidRPr="00D869E3">
        <w:rPr>
          <w:rFonts w:ascii="Verdana" w:hAnsi="Verdana"/>
          <w:sz w:val="20"/>
          <w:szCs w:val="20"/>
          <w:lang w:val="en-US"/>
        </w:rPr>
        <w:t>Mr. Lagos del Campo</w:t>
      </w:r>
      <w:r w:rsidR="009C5D55" w:rsidRPr="00D869E3">
        <w:rPr>
          <w:rFonts w:ascii="Verdana" w:hAnsi="Verdana"/>
          <w:sz w:val="20"/>
          <w:szCs w:val="20"/>
          <w:lang w:val="en-US"/>
        </w:rPr>
        <w:t xml:space="preserve"> </w:t>
      </w:r>
      <w:r w:rsidRPr="00D869E3">
        <w:rPr>
          <w:rFonts w:ascii="Verdana" w:hAnsi="Verdana"/>
          <w:sz w:val="20"/>
          <w:szCs w:val="20"/>
          <w:lang w:val="en-US"/>
        </w:rPr>
        <w:t>ha</w:t>
      </w:r>
      <w:r w:rsidR="00E03A7E" w:rsidRPr="00D869E3">
        <w:rPr>
          <w:rFonts w:ascii="Verdana" w:hAnsi="Verdana"/>
          <w:sz w:val="20"/>
          <w:szCs w:val="20"/>
          <w:lang w:val="en-US"/>
        </w:rPr>
        <w:t>d</w:t>
      </w:r>
      <w:r w:rsidRPr="00D869E3">
        <w:rPr>
          <w:rFonts w:ascii="Verdana" w:hAnsi="Verdana"/>
          <w:sz w:val="20"/>
          <w:szCs w:val="20"/>
          <w:lang w:val="en-US"/>
        </w:rPr>
        <w:t xml:space="preserve"> not kept the vouchers.</w:t>
      </w:r>
      <w:r w:rsidR="00925FE5" w:rsidRPr="00D869E3">
        <w:rPr>
          <w:rFonts w:ascii="Verdana" w:hAnsi="Verdana"/>
          <w:sz w:val="20"/>
          <w:szCs w:val="20"/>
          <w:lang w:val="en-US"/>
        </w:rPr>
        <w:t xml:space="preserve"> </w:t>
      </w:r>
    </w:p>
    <w:p w14:paraId="08D66EEE"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256A4B06" w14:textId="54BAC215" w:rsidR="009C5D55" w:rsidRPr="00D869E3" w:rsidRDefault="00447C65" w:rsidP="00523BC0">
      <w:pPr>
        <w:widowControl w:val="0"/>
        <w:numPr>
          <w:ilvl w:val="0"/>
          <w:numId w:val="1"/>
        </w:numPr>
        <w:tabs>
          <w:tab w:val="center" w:pos="0"/>
        </w:tabs>
        <w:autoSpaceDE w:val="0"/>
        <w:autoSpaceDN w:val="0"/>
        <w:adjustRightInd w:val="0"/>
        <w:ind w:left="0" w:firstLine="0"/>
        <w:contextualSpacing/>
        <w:jc w:val="both"/>
        <w:rPr>
          <w:rFonts w:ascii="Verdana" w:hAnsi="Verdana"/>
          <w:sz w:val="18"/>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9C5D55" w:rsidRPr="00D869E3">
        <w:rPr>
          <w:rFonts w:ascii="Verdana" w:hAnsi="Verdana"/>
          <w:sz w:val="20"/>
          <w:szCs w:val="20"/>
          <w:lang w:val="en-US"/>
        </w:rPr>
        <w:t xml:space="preserve"> </w:t>
      </w:r>
      <w:r w:rsidR="00523BC0" w:rsidRPr="00D869E3">
        <w:rPr>
          <w:rFonts w:ascii="Verdana" w:hAnsi="Verdana"/>
          <w:sz w:val="20"/>
          <w:szCs w:val="20"/>
          <w:lang w:val="en-US"/>
        </w:rPr>
        <w:t>argued that</w:t>
      </w:r>
      <w:r w:rsidR="009C5D55"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E03A7E" w:rsidRPr="00D869E3">
        <w:rPr>
          <w:rFonts w:ascii="Verdana" w:hAnsi="Verdana"/>
          <w:sz w:val="20"/>
          <w:szCs w:val="20"/>
          <w:lang w:val="en-US"/>
        </w:rPr>
        <w:t xml:space="preserve"> had</w:t>
      </w:r>
      <w:r w:rsidR="009C5D55" w:rsidRPr="00D869E3">
        <w:rPr>
          <w:rFonts w:ascii="Verdana" w:hAnsi="Verdana"/>
          <w:sz w:val="20"/>
          <w:szCs w:val="20"/>
          <w:lang w:val="en-US"/>
        </w:rPr>
        <w:t xml:space="preserve"> </w:t>
      </w:r>
      <w:r w:rsidR="00523BC0" w:rsidRPr="00D869E3">
        <w:rPr>
          <w:rFonts w:ascii="Verdana" w:hAnsi="Verdana"/>
          <w:sz w:val="20"/>
          <w:szCs w:val="20"/>
          <w:lang w:val="en-US"/>
        </w:rPr>
        <w:t>failed to indicate the causal nexus between the acts and omissions of the State and the alleged harm. It a</w:t>
      </w:r>
      <w:r w:rsidR="00E03A7E" w:rsidRPr="00D869E3">
        <w:rPr>
          <w:rFonts w:ascii="Verdana" w:hAnsi="Verdana"/>
          <w:sz w:val="20"/>
          <w:szCs w:val="20"/>
          <w:lang w:val="en-US"/>
        </w:rPr>
        <w:t>rgued</w:t>
      </w:r>
      <w:r w:rsidR="00523BC0" w:rsidRPr="00D869E3">
        <w:rPr>
          <w:rFonts w:ascii="Verdana" w:hAnsi="Verdana"/>
          <w:sz w:val="20"/>
          <w:szCs w:val="20"/>
          <w:lang w:val="en-US"/>
        </w:rPr>
        <w:t xml:space="preserve"> that it was not possible to compensate general and unreasonable allegations; moreover, amparo and labor proceedings were free in Peru. It also argued that the source of work was private, not public, so that the State </w:t>
      </w:r>
      <w:r w:rsidR="00E03A7E" w:rsidRPr="00D869E3">
        <w:rPr>
          <w:rFonts w:ascii="Verdana" w:hAnsi="Verdana"/>
          <w:sz w:val="20"/>
          <w:szCs w:val="20"/>
          <w:lang w:val="en-US"/>
        </w:rPr>
        <w:t xml:space="preserve">did not </w:t>
      </w:r>
      <w:r w:rsidR="00523BC0" w:rsidRPr="00D869E3">
        <w:rPr>
          <w:rFonts w:ascii="Verdana" w:hAnsi="Verdana"/>
          <w:sz w:val="20"/>
          <w:szCs w:val="20"/>
          <w:lang w:val="en-US"/>
        </w:rPr>
        <w:t xml:space="preserve">owe the presumed victim </w:t>
      </w:r>
      <w:r w:rsidR="00E03A7E" w:rsidRPr="00D869E3">
        <w:rPr>
          <w:rFonts w:ascii="Verdana" w:hAnsi="Verdana"/>
          <w:sz w:val="20"/>
          <w:szCs w:val="20"/>
          <w:lang w:val="en-US"/>
        </w:rPr>
        <w:t>any</w:t>
      </w:r>
      <w:r w:rsidR="00523BC0" w:rsidRPr="00D869E3">
        <w:rPr>
          <w:rFonts w:ascii="Verdana" w:hAnsi="Verdana"/>
          <w:sz w:val="20"/>
          <w:szCs w:val="20"/>
          <w:lang w:val="en-US"/>
        </w:rPr>
        <w:t>thing. Regarding loss of earnings, it argued that it was not appropriate to examine harm arising from a violation of his right to work, because the dispute centered on a violation of his right to free expression. It also alleged that no arguments or evidence had been presented concerning the salary that the</w:t>
      </w:r>
      <w:r w:rsidR="00523BC0" w:rsidRPr="00D869E3">
        <w:rPr>
          <w:rFonts w:ascii="Verdana" w:hAnsi="Verdana"/>
          <w:sz w:val="18"/>
          <w:szCs w:val="20"/>
          <w:lang w:val="en-US"/>
        </w:rPr>
        <w:t xml:space="preserve"> </w:t>
      </w:r>
      <w:r w:rsidR="00687684" w:rsidRPr="00D869E3">
        <w:rPr>
          <w:rFonts w:ascii="Verdana" w:hAnsi="Verdana"/>
          <w:sz w:val="20"/>
          <w:szCs w:val="20"/>
          <w:lang w:val="en-US"/>
        </w:rPr>
        <w:t>presumed victim</w:t>
      </w:r>
      <w:r w:rsidR="00523BC0" w:rsidRPr="00D869E3">
        <w:rPr>
          <w:rFonts w:ascii="Verdana" w:hAnsi="Verdana"/>
          <w:sz w:val="20"/>
          <w:szCs w:val="20"/>
          <w:lang w:val="en-US"/>
        </w:rPr>
        <w:t xml:space="preserve"> </w:t>
      </w:r>
      <w:r w:rsidR="00B13B7D" w:rsidRPr="00D869E3">
        <w:rPr>
          <w:rFonts w:ascii="Verdana" w:hAnsi="Verdana"/>
          <w:sz w:val="20"/>
          <w:szCs w:val="20"/>
          <w:lang w:val="en-US"/>
        </w:rPr>
        <w:t xml:space="preserve">had </w:t>
      </w:r>
      <w:r w:rsidR="00523BC0" w:rsidRPr="00D869E3">
        <w:rPr>
          <w:rFonts w:ascii="Verdana" w:hAnsi="Verdana"/>
          <w:sz w:val="20"/>
          <w:szCs w:val="20"/>
          <w:lang w:val="en-US"/>
        </w:rPr>
        <w:t>received</w:t>
      </w:r>
      <w:r w:rsidR="009C5D55"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523BC0" w:rsidRPr="00D869E3">
        <w:rPr>
          <w:rFonts w:ascii="Verdana" w:hAnsi="Verdana"/>
          <w:sz w:val="20"/>
          <w:szCs w:val="20"/>
          <w:lang w:val="en-US"/>
        </w:rPr>
        <w:t xml:space="preserve"> Mr. Lagos del Campo</w:t>
      </w:r>
      <w:r w:rsidR="00B13B7D" w:rsidRPr="00D869E3">
        <w:rPr>
          <w:rFonts w:ascii="Verdana" w:hAnsi="Verdana"/>
          <w:sz w:val="20"/>
          <w:szCs w:val="20"/>
          <w:lang w:val="en-US"/>
        </w:rPr>
        <w:t>’s rights</w:t>
      </w:r>
      <w:r w:rsidR="00523BC0" w:rsidRPr="00D869E3">
        <w:rPr>
          <w:rFonts w:ascii="Verdana" w:hAnsi="Verdana"/>
          <w:sz w:val="20"/>
          <w:szCs w:val="20"/>
          <w:lang w:val="en-US"/>
        </w:rPr>
        <w:t xml:space="preserve"> to retirement and to a pension, in its final arguments, </w:t>
      </w:r>
      <w:r w:rsidRPr="00D869E3">
        <w:rPr>
          <w:rFonts w:ascii="Verdana" w:hAnsi="Verdana"/>
          <w:sz w:val="20"/>
          <w:szCs w:val="20"/>
          <w:lang w:val="en-US"/>
        </w:rPr>
        <w:t>the State</w:t>
      </w:r>
      <w:r w:rsidR="00274C5F" w:rsidRPr="00D869E3">
        <w:rPr>
          <w:rFonts w:ascii="Verdana" w:hAnsi="Verdana"/>
          <w:sz w:val="20"/>
          <w:szCs w:val="20"/>
          <w:lang w:val="en-US"/>
        </w:rPr>
        <w:t xml:space="preserve"> observ</w:t>
      </w:r>
      <w:r w:rsidR="00523BC0" w:rsidRPr="00D869E3">
        <w:rPr>
          <w:rFonts w:ascii="Verdana" w:hAnsi="Verdana"/>
          <w:sz w:val="20"/>
          <w:szCs w:val="20"/>
          <w:lang w:val="en-US"/>
        </w:rPr>
        <w:t>ed that</w:t>
      </w:r>
      <w:r w:rsidR="00B13B7D"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274C5F" w:rsidRPr="00D869E3">
        <w:rPr>
          <w:rFonts w:ascii="Verdana" w:hAnsi="Verdana"/>
          <w:sz w:val="20"/>
          <w:szCs w:val="20"/>
          <w:lang w:val="en-US"/>
        </w:rPr>
        <w:t xml:space="preserve"> </w:t>
      </w:r>
      <w:r w:rsidR="00523BC0" w:rsidRPr="00D869E3">
        <w:rPr>
          <w:rFonts w:ascii="Verdana" w:hAnsi="Verdana"/>
          <w:sz w:val="20"/>
          <w:szCs w:val="20"/>
          <w:lang w:val="en-US"/>
        </w:rPr>
        <w:t xml:space="preserve">had not provided any arguments or evidence in </w:t>
      </w:r>
      <w:r w:rsidR="00075E68" w:rsidRPr="00D869E3">
        <w:rPr>
          <w:rFonts w:ascii="Verdana" w:hAnsi="Verdana"/>
          <w:sz w:val="20"/>
          <w:szCs w:val="20"/>
          <w:lang w:val="en-US"/>
        </w:rPr>
        <w:t>this regard</w:t>
      </w:r>
      <w:r w:rsidR="00B13B7D" w:rsidRPr="00D869E3">
        <w:rPr>
          <w:rFonts w:ascii="Verdana" w:hAnsi="Verdana"/>
          <w:sz w:val="20"/>
          <w:szCs w:val="20"/>
          <w:lang w:val="en-US"/>
        </w:rPr>
        <w:t xml:space="preserve"> in the motions and pleadings brief</w:t>
      </w:r>
      <w:r w:rsidR="00274C5F" w:rsidRPr="00D869E3">
        <w:rPr>
          <w:rFonts w:ascii="Verdana" w:hAnsi="Verdana"/>
          <w:sz w:val="20"/>
          <w:szCs w:val="20"/>
          <w:lang w:val="en-US"/>
        </w:rPr>
        <w:t xml:space="preserve">. </w:t>
      </w:r>
    </w:p>
    <w:p w14:paraId="79CCDF3F"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439D6B53" w14:textId="35D3A883" w:rsidR="009C5D55" w:rsidRPr="00D869E3" w:rsidRDefault="00447C65" w:rsidP="00523BC0">
      <w:pPr>
        <w:widowControl w:val="0"/>
        <w:numPr>
          <w:ilvl w:val="0"/>
          <w:numId w:val="1"/>
        </w:numPr>
        <w:tabs>
          <w:tab w:val="center" w:pos="0"/>
        </w:tabs>
        <w:autoSpaceDE w:val="0"/>
        <w:autoSpaceDN w:val="0"/>
        <w:adjustRightInd w:val="0"/>
        <w:ind w:left="0" w:firstLine="0"/>
        <w:contextualSpacing/>
        <w:jc w:val="both"/>
        <w:rPr>
          <w:rFonts w:ascii="Verdana" w:hAnsi="Verdana"/>
          <w:lang w:val="en-US"/>
        </w:rPr>
      </w:pPr>
      <w:r w:rsidRPr="00D869E3">
        <w:rPr>
          <w:rFonts w:ascii="Verdana" w:hAnsi="Verdana"/>
          <w:sz w:val="20"/>
          <w:szCs w:val="20"/>
          <w:lang w:val="en-US"/>
        </w:rPr>
        <w:t>The Court</w:t>
      </w:r>
      <w:r w:rsidR="009C5D55" w:rsidRPr="00D869E3">
        <w:rPr>
          <w:rFonts w:ascii="Verdana" w:hAnsi="Verdana"/>
          <w:sz w:val="20"/>
          <w:szCs w:val="20"/>
          <w:lang w:val="en-US"/>
        </w:rPr>
        <w:t xml:space="preserve"> ha</w:t>
      </w:r>
      <w:r w:rsidR="00523BC0" w:rsidRPr="00D869E3">
        <w:rPr>
          <w:rFonts w:ascii="Verdana" w:hAnsi="Verdana"/>
          <w:sz w:val="20"/>
          <w:szCs w:val="20"/>
          <w:lang w:val="en-US"/>
        </w:rPr>
        <w:t>s developed the concepts of</w:t>
      </w:r>
      <w:r w:rsidR="009C5D55" w:rsidRPr="00D869E3">
        <w:rPr>
          <w:rFonts w:ascii="Verdana" w:hAnsi="Verdana"/>
          <w:sz w:val="20"/>
          <w:szCs w:val="20"/>
          <w:lang w:val="en-US"/>
        </w:rPr>
        <w:t xml:space="preserve"> </w:t>
      </w:r>
      <w:r w:rsidR="00B44B46" w:rsidRPr="00D869E3">
        <w:rPr>
          <w:rFonts w:ascii="Verdana" w:hAnsi="Verdana"/>
          <w:sz w:val="20"/>
          <w:szCs w:val="20"/>
          <w:lang w:val="en-US"/>
        </w:rPr>
        <w:t>pecuniary</w:t>
      </w:r>
      <w:r w:rsidR="009C5D55" w:rsidRPr="00D869E3">
        <w:rPr>
          <w:rFonts w:ascii="Verdana" w:hAnsi="Verdana"/>
          <w:sz w:val="20"/>
          <w:szCs w:val="20"/>
          <w:vertAlign w:val="superscript"/>
          <w:lang w:val="en-US"/>
        </w:rPr>
        <w:footnoteReference w:id="266"/>
      </w:r>
      <w:r w:rsidR="009C5D55" w:rsidRPr="00D869E3">
        <w:rPr>
          <w:rFonts w:ascii="Verdana" w:hAnsi="Verdana"/>
          <w:sz w:val="20"/>
          <w:szCs w:val="20"/>
          <w:lang w:val="en-US"/>
        </w:rPr>
        <w:t xml:space="preserve"> </w:t>
      </w:r>
      <w:r w:rsidR="00523BC0" w:rsidRPr="00D869E3">
        <w:rPr>
          <w:rFonts w:ascii="Verdana" w:hAnsi="Verdana"/>
          <w:sz w:val="20"/>
          <w:szCs w:val="20"/>
          <w:lang w:val="en-US"/>
        </w:rPr>
        <w:t>and non-pecuniary damage</w:t>
      </w:r>
      <w:r w:rsidR="009C5D55" w:rsidRPr="00D869E3">
        <w:rPr>
          <w:rFonts w:ascii="Verdana" w:hAnsi="Verdana"/>
          <w:bCs/>
          <w:sz w:val="20"/>
          <w:szCs w:val="20"/>
          <w:vertAlign w:val="superscript"/>
          <w:lang w:val="en-US"/>
        </w:rPr>
        <w:footnoteReference w:id="267"/>
      </w:r>
      <w:r w:rsidR="00687684" w:rsidRPr="00D869E3">
        <w:rPr>
          <w:rFonts w:ascii="Verdana" w:hAnsi="Verdana"/>
          <w:sz w:val="20"/>
          <w:szCs w:val="20"/>
          <w:lang w:val="en-US"/>
        </w:rPr>
        <w:t xml:space="preserve"> and </w:t>
      </w:r>
      <w:r w:rsidR="00523BC0" w:rsidRPr="00D869E3">
        <w:rPr>
          <w:rFonts w:ascii="Verdana" w:hAnsi="Verdana"/>
          <w:sz w:val="20"/>
          <w:szCs w:val="20"/>
          <w:lang w:val="en-US"/>
        </w:rPr>
        <w:t xml:space="preserve">the situations in which they should be compensated. In </w:t>
      </w:r>
      <w:r w:rsidR="009C5D55" w:rsidRPr="00D869E3">
        <w:rPr>
          <w:rFonts w:ascii="Verdana" w:hAnsi="Verdana"/>
          <w:sz w:val="20"/>
          <w:szCs w:val="20"/>
          <w:lang w:val="en-US"/>
        </w:rPr>
        <w:t>particular,</w:t>
      </w:r>
      <w:r w:rsidR="009C5D55" w:rsidRPr="00D869E3">
        <w:rPr>
          <w:rFonts w:ascii="Verdana" w:hAnsi="Verdana"/>
          <w:b/>
          <w:i/>
          <w:sz w:val="20"/>
          <w:szCs w:val="20"/>
          <w:lang w:val="en-US"/>
        </w:rPr>
        <w:t xml:space="preserve"> </w:t>
      </w:r>
      <w:r w:rsidR="00523BC0" w:rsidRPr="00D869E3">
        <w:rPr>
          <w:rFonts w:ascii="Verdana" w:hAnsi="Verdana" w:cs="Verdana"/>
          <w:sz w:val="20"/>
          <w:szCs w:val="20"/>
          <w:lang w:val="en-US" w:bidi="en-US"/>
        </w:rPr>
        <w:t>in its case law, t</w:t>
      </w:r>
      <w:r w:rsidRPr="00D869E3">
        <w:rPr>
          <w:rFonts w:ascii="Verdana" w:hAnsi="Verdana" w:cs="Verdana"/>
          <w:sz w:val="20"/>
          <w:szCs w:val="20"/>
          <w:lang w:val="en-US" w:bidi="en-US"/>
        </w:rPr>
        <w:t>he Court</w:t>
      </w:r>
      <w:r w:rsidR="009C5D55" w:rsidRPr="00D869E3">
        <w:rPr>
          <w:rFonts w:ascii="Verdana" w:hAnsi="Verdana" w:cs="Verdana"/>
          <w:sz w:val="20"/>
          <w:szCs w:val="20"/>
          <w:lang w:val="en-US" w:bidi="en-US"/>
        </w:rPr>
        <w:t xml:space="preserve"> ha</w:t>
      </w:r>
      <w:r w:rsidR="00523BC0" w:rsidRPr="00D869E3">
        <w:rPr>
          <w:rFonts w:ascii="Verdana" w:hAnsi="Verdana" w:cs="Verdana"/>
          <w:sz w:val="20"/>
          <w:szCs w:val="20"/>
          <w:lang w:val="en-US" w:bidi="en-US"/>
        </w:rPr>
        <w:t>s developed the concept of</w:t>
      </w:r>
      <w:r w:rsidR="009C5D55" w:rsidRPr="00D869E3">
        <w:rPr>
          <w:rFonts w:ascii="Verdana" w:hAnsi="Verdana" w:cs="Verdana"/>
          <w:sz w:val="20"/>
          <w:szCs w:val="20"/>
          <w:lang w:val="en-US" w:bidi="en-US"/>
        </w:rPr>
        <w:t xml:space="preserve"> </w:t>
      </w:r>
      <w:r w:rsidR="00B44B46" w:rsidRPr="00D869E3">
        <w:rPr>
          <w:rFonts w:ascii="Verdana" w:hAnsi="Verdana" w:cs="Verdana"/>
          <w:sz w:val="20"/>
          <w:szCs w:val="20"/>
          <w:lang w:val="en-US" w:bidi="en-US"/>
        </w:rPr>
        <w:t>pecuniary damage</w:t>
      </w:r>
      <w:r w:rsidR="00687684" w:rsidRPr="00D869E3">
        <w:rPr>
          <w:rFonts w:ascii="Verdana" w:hAnsi="Verdana" w:cs="Verdana"/>
          <w:sz w:val="20"/>
          <w:szCs w:val="20"/>
          <w:lang w:val="en-US" w:bidi="en-US"/>
        </w:rPr>
        <w:t xml:space="preserve"> and </w:t>
      </w:r>
      <w:r w:rsidR="009C5D55" w:rsidRPr="00D869E3">
        <w:rPr>
          <w:rFonts w:ascii="Verdana" w:hAnsi="Verdana"/>
          <w:bCs/>
          <w:sz w:val="20"/>
          <w:szCs w:val="20"/>
          <w:lang w:val="en-US"/>
        </w:rPr>
        <w:t>ha</w:t>
      </w:r>
      <w:r w:rsidR="00523BC0" w:rsidRPr="00D869E3">
        <w:rPr>
          <w:rFonts w:ascii="Verdana" w:hAnsi="Verdana"/>
          <w:bCs/>
          <w:sz w:val="20"/>
          <w:szCs w:val="20"/>
          <w:lang w:val="en-US"/>
        </w:rPr>
        <w:t>s established that this supposes “the loss or detriment to the victims’ income, the expenses incurred as a result of the facts, and the consequences of a pecuniary nature that have a causal nexus to the facts of the case.</w:t>
      </w:r>
      <w:r w:rsidR="006436CA" w:rsidRPr="00D869E3">
        <w:rPr>
          <w:rFonts w:ascii="Verdana" w:hAnsi="Verdana"/>
          <w:bCs/>
          <w:sz w:val="20"/>
          <w:szCs w:val="20"/>
          <w:lang w:val="en-US"/>
        </w:rPr>
        <w:t>”</w:t>
      </w:r>
      <w:r w:rsidR="00341FCF" w:rsidRPr="00D869E3">
        <w:rPr>
          <w:rStyle w:val="Refdenotaalpie"/>
          <w:bCs/>
          <w:szCs w:val="20"/>
          <w:lang w:val="en-US"/>
        </w:rPr>
        <w:footnoteReference w:id="268"/>
      </w:r>
      <w:r w:rsidR="009C5D55" w:rsidRPr="00D869E3">
        <w:rPr>
          <w:rFonts w:ascii="Verdana" w:hAnsi="Verdana"/>
          <w:bCs/>
          <w:sz w:val="20"/>
          <w:szCs w:val="20"/>
          <w:lang w:val="en-US"/>
        </w:rPr>
        <w:t xml:space="preserve"> </w:t>
      </w:r>
      <w:r w:rsidR="00E56813" w:rsidRPr="00D869E3">
        <w:rPr>
          <w:rFonts w:ascii="Verdana" w:hAnsi="Verdana"/>
          <w:bCs/>
          <w:sz w:val="20"/>
          <w:szCs w:val="20"/>
          <w:lang w:val="en-US"/>
        </w:rPr>
        <w:t>On this basis, the Court will determine the pertinence of granting pecuniary reparations and the respective sums owed in this case.</w:t>
      </w:r>
    </w:p>
    <w:p w14:paraId="092B1729"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552448B9" w14:textId="09A4F3C9" w:rsidR="009C5D55" w:rsidRPr="00D869E3" w:rsidRDefault="00E56813"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In the case of</w:t>
      </w:r>
      <w:r w:rsidR="009C5D55" w:rsidRPr="00D869E3">
        <w:rPr>
          <w:rFonts w:ascii="Verdana" w:hAnsi="Verdana"/>
          <w:sz w:val="20"/>
          <w:szCs w:val="20"/>
          <w:lang w:val="en-US"/>
        </w:rPr>
        <w:t xml:space="preserve"> </w:t>
      </w:r>
      <w:r w:rsidRPr="00D869E3">
        <w:rPr>
          <w:rFonts w:ascii="Verdana" w:hAnsi="Verdana"/>
          <w:i/>
          <w:sz w:val="20"/>
          <w:szCs w:val="20"/>
          <w:lang w:val="en-US"/>
        </w:rPr>
        <w:t>indirect damage,</w:t>
      </w:r>
      <w:r w:rsidR="009C5D55" w:rsidRPr="00D869E3">
        <w:rPr>
          <w:rFonts w:ascii="Verdana" w:hAnsi="Verdana"/>
          <w:i/>
          <w:sz w:val="20"/>
          <w:szCs w:val="20"/>
          <w:lang w:val="en-US"/>
        </w:rPr>
        <w:t xml:space="preserve"> </w:t>
      </w:r>
      <w:r w:rsidR="00901386" w:rsidRPr="00D869E3">
        <w:rPr>
          <w:rFonts w:ascii="Verdana" w:hAnsi="Verdana"/>
          <w:sz w:val="20"/>
          <w:szCs w:val="20"/>
          <w:lang w:val="en-US"/>
        </w:rPr>
        <w:t>th</w:t>
      </w:r>
      <w:r w:rsidR="00B13B7D" w:rsidRPr="00D869E3">
        <w:rPr>
          <w:rFonts w:ascii="Verdana" w:hAnsi="Verdana"/>
          <w:sz w:val="20"/>
          <w:szCs w:val="20"/>
          <w:lang w:val="en-US"/>
        </w:rPr>
        <w:t>e</w:t>
      </w:r>
      <w:r w:rsidR="00901386" w:rsidRPr="00D869E3">
        <w:rPr>
          <w:rFonts w:ascii="Verdana" w:hAnsi="Verdana"/>
          <w:sz w:val="20"/>
          <w:szCs w:val="20"/>
          <w:lang w:val="en-US"/>
        </w:rPr>
        <w:t xml:space="preserve"> Court</w:t>
      </w:r>
      <w:r w:rsidR="009C5D55" w:rsidRPr="00D869E3">
        <w:rPr>
          <w:rFonts w:ascii="Verdana" w:hAnsi="Verdana"/>
          <w:sz w:val="20"/>
          <w:szCs w:val="20"/>
          <w:lang w:val="en-US"/>
        </w:rPr>
        <w:t xml:space="preserve"> consider</w:t>
      </w:r>
      <w:r w:rsidRPr="00D869E3">
        <w:rPr>
          <w:rFonts w:ascii="Verdana" w:hAnsi="Verdana"/>
          <w:sz w:val="20"/>
          <w:szCs w:val="20"/>
          <w:lang w:val="en-US"/>
        </w:rPr>
        <w:t xml:space="preserve">s that </w:t>
      </w:r>
      <w:r w:rsidR="00687684" w:rsidRPr="00D869E3">
        <w:rPr>
          <w:rFonts w:ascii="Verdana" w:hAnsi="Verdana"/>
          <w:sz w:val="20"/>
          <w:szCs w:val="20"/>
          <w:lang w:val="en-US"/>
        </w:rPr>
        <w:t>the representatives</w:t>
      </w:r>
      <w:r w:rsidRPr="00D869E3">
        <w:rPr>
          <w:rFonts w:ascii="Verdana" w:hAnsi="Verdana"/>
          <w:sz w:val="20"/>
          <w:szCs w:val="20"/>
          <w:lang w:val="en-US"/>
        </w:rPr>
        <w:t>’ claim refers to the expenses incurred by</w:t>
      </w:r>
      <w:r w:rsidR="00F535E6"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F535E6" w:rsidRPr="00D869E3">
        <w:rPr>
          <w:rFonts w:ascii="Verdana" w:hAnsi="Verdana"/>
          <w:sz w:val="20"/>
          <w:szCs w:val="20"/>
          <w:lang w:val="en-US"/>
        </w:rPr>
        <w:t xml:space="preserve"> </w:t>
      </w:r>
      <w:r w:rsidRPr="00D869E3">
        <w:rPr>
          <w:rFonts w:ascii="Verdana" w:hAnsi="Verdana"/>
          <w:sz w:val="20"/>
          <w:szCs w:val="20"/>
          <w:lang w:val="en-US"/>
        </w:rPr>
        <w:t>in the domestic judicial proceedings, so that this will be analyzed in the section on</w:t>
      </w:r>
      <w:r w:rsidR="00F535E6" w:rsidRPr="00D869E3">
        <w:rPr>
          <w:rFonts w:ascii="Verdana" w:hAnsi="Verdana"/>
          <w:sz w:val="20"/>
          <w:szCs w:val="20"/>
          <w:lang w:val="en-US"/>
        </w:rPr>
        <w:t xml:space="preserve"> </w:t>
      </w:r>
      <w:r w:rsidR="006436CA" w:rsidRPr="00D869E3">
        <w:rPr>
          <w:rFonts w:ascii="Verdana" w:hAnsi="Verdana"/>
          <w:sz w:val="20"/>
          <w:szCs w:val="20"/>
          <w:lang w:val="en-US"/>
        </w:rPr>
        <w:t>“</w:t>
      </w:r>
      <w:r w:rsidR="00B44B46" w:rsidRPr="00D869E3">
        <w:rPr>
          <w:rFonts w:ascii="Verdana" w:hAnsi="Verdana"/>
          <w:sz w:val="20"/>
          <w:szCs w:val="20"/>
          <w:lang w:val="en-US"/>
        </w:rPr>
        <w:t xml:space="preserve">costs and </w:t>
      </w:r>
      <w:r w:rsidRPr="00D869E3">
        <w:rPr>
          <w:rFonts w:ascii="Verdana" w:hAnsi="Verdana"/>
          <w:sz w:val="20"/>
          <w:szCs w:val="20"/>
          <w:lang w:val="en-US"/>
        </w:rPr>
        <w:t>expenses</w:t>
      </w:r>
      <w:r w:rsidR="006436CA" w:rsidRPr="00D869E3">
        <w:rPr>
          <w:rFonts w:ascii="Verdana" w:hAnsi="Verdana"/>
          <w:sz w:val="20"/>
          <w:szCs w:val="20"/>
          <w:lang w:val="en-US"/>
        </w:rPr>
        <w:t>”</w:t>
      </w:r>
      <w:r w:rsidR="00F535E6" w:rsidRPr="00D869E3">
        <w:rPr>
          <w:rFonts w:ascii="Verdana" w:hAnsi="Verdana"/>
          <w:sz w:val="20"/>
          <w:szCs w:val="20"/>
          <w:lang w:val="en-US"/>
        </w:rPr>
        <w:t xml:space="preserve"> (</w:t>
      </w:r>
      <w:r w:rsidR="00F535E6" w:rsidRPr="00D869E3">
        <w:rPr>
          <w:rFonts w:ascii="Verdana" w:hAnsi="Verdana"/>
          <w:i/>
          <w:sz w:val="20"/>
          <w:szCs w:val="20"/>
          <w:lang w:val="en-US"/>
        </w:rPr>
        <w:t>infra</w:t>
      </w:r>
      <w:r w:rsidR="00F535E6" w:rsidRPr="00D869E3">
        <w:rPr>
          <w:rFonts w:ascii="Verdana" w:hAnsi="Verdana"/>
          <w:sz w:val="20"/>
          <w:szCs w:val="20"/>
          <w:lang w:val="en-US"/>
        </w:rPr>
        <w:t xml:space="preserve">, </w:t>
      </w:r>
      <w:r w:rsidR="0087339F" w:rsidRPr="00D869E3">
        <w:rPr>
          <w:rFonts w:ascii="Verdana" w:hAnsi="Verdana"/>
          <w:sz w:val="20"/>
          <w:szCs w:val="20"/>
          <w:lang w:val="en-US"/>
        </w:rPr>
        <w:t>paras.</w:t>
      </w:r>
      <w:r w:rsidR="00315E10" w:rsidRPr="00D869E3">
        <w:rPr>
          <w:rFonts w:ascii="Verdana" w:hAnsi="Verdana"/>
          <w:sz w:val="20"/>
          <w:szCs w:val="20"/>
          <w:lang w:val="en-US"/>
        </w:rPr>
        <w:t xml:space="preserve"> 223 </w:t>
      </w:r>
      <w:r w:rsidRPr="00D869E3">
        <w:rPr>
          <w:rFonts w:ascii="Verdana" w:hAnsi="Verdana"/>
          <w:sz w:val="20"/>
          <w:szCs w:val="20"/>
          <w:lang w:val="en-US"/>
        </w:rPr>
        <w:t>to</w:t>
      </w:r>
      <w:r w:rsidR="00315E10" w:rsidRPr="00D869E3">
        <w:rPr>
          <w:rFonts w:ascii="Verdana" w:hAnsi="Verdana"/>
          <w:sz w:val="20"/>
          <w:szCs w:val="20"/>
          <w:lang w:val="en-US"/>
        </w:rPr>
        <w:t xml:space="preserve"> 227</w:t>
      </w:r>
      <w:r w:rsidR="00F535E6" w:rsidRPr="00D869E3">
        <w:rPr>
          <w:rFonts w:ascii="Verdana" w:hAnsi="Verdana"/>
          <w:sz w:val="20"/>
          <w:szCs w:val="20"/>
          <w:lang w:val="en-US"/>
        </w:rPr>
        <w:t>)</w:t>
      </w:r>
      <w:r w:rsidR="009C5D55" w:rsidRPr="00D869E3">
        <w:rPr>
          <w:rFonts w:ascii="Verdana" w:hAnsi="Verdana"/>
          <w:sz w:val="20"/>
          <w:szCs w:val="20"/>
          <w:lang w:val="en-US"/>
        </w:rPr>
        <w:t>.</w:t>
      </w:r>
    </w:p>
    <w:p w14:paraId="6C06D053" w14:textId="77777777" w:rsidR="009C5D55" w:rsidRPr="00D869E3" w:rsidRDefault="009C5D55" w:rsidP="009C5D55">
      <w:pPr>
        <w:widowControl w:val="0"/>
        <w:tabs>
          <w:tab w:val="center" w:pos="567"/>
        </w:tabs>
        <w:autoSpaceDE w:val="0"/>
        <w:autoSpaceDN w:val="0"/>
        <w:adjustRightInd w:val="0"/>
        <w:contextualSpacing/>
        <w:jc w:val="both"/>
        <w:rPr>
          <w:rFonts w:ascii="Verdana" w:hAnsi="Verdana"/>
          <w:sz w:val="20"/>
          <w:szCs w:val="20"/>
          <w:lang w:val="en-US"/>
        </w:rPr>
      </w:pPr>
    </w:p>
    <w:p w14:paraId="5C72E84D" w14:textId="4A6705A5" w:rsidR="009C5D55" w:rsidRPr="00D869E3" w:rsidRDefault="00E56813" w:rsidP="00E56813">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u w:val="single"/>
          <w:lang w:val="en-US"/>
        </w:rPr>
      </w:pPr>
      <w:r w:rsidRPr="00D869E3">
        <w:rPr>
          <w:rFonts w:ascii="Verdana" w:hAnsi="Verdana"/>
          <w:sz w:val="20"/>
          <w:szCs w:val="20"/>
          <w:lang w:val="en-US"/>
        </w:rPr>
        <w:t>With regard to</w:t>
      </w:r>
      <w:r w:rsidR="009C5D55" w:rsidRPr="00D869E3">
        <w:rPr>
          <w:rFonts w:ascii="Verdana" w:hAnsi="Verdana"/>
          <w:sz w:val="20"/>
          <w:szCs w:val="20"/>
          <w:lang w:val="en-US"/>
        </w:rPr>
        <w:t xml:space="preserve"> </w:t>
      </w:r>
      <w:r w:rsidRPr="00D869E3">
        <w:rPr>
          <w:rFonts w:ascii="Verdana" w:hAnsi="Verdana"/>
          <w:i/>
          <w:sz w:val="20"/>
          <w:szCs w:val="20"/>
          <w:lang w:val="en-US"/>
        </w:rPr>
        <w:t>loss of earnings</w:t>
      </w:r>
      <w:r w:rsidR="009C5D55" w:rsidRPr="00D869E3">
        <w:rPr>
          <w:rFonts w:ascii="Verdana" w:hAnsi="Verdana"/>
          <w:sz w:val="20"/>
          <w:szCs w:val="20"/>
          <w:lang w:val="en-US"/>
        </w:rPr>
        <w:t xml:space="preserve">, </w:t>
      </w:r>
      <w:r w:rsidR="00901386" w:rsidRPr="00D869E3">
        <w:rPr>
          <w:rFonts w:ascii="Verdana" w:hAnsi="Verdana"/>
          <w:sz w:val="20"/>
          <w:szCs w:val="20"/>
          <w:lang w:val="en-US"/>
        </w:rPr>
        <w:t>th</w:t>
      </w:r>
      <w:r w:rsidR="00B13B7D" w:rsidRPr="00D869E3">
        <w:rPr>
          <w:rFonts w:ascii="Verdana" w:hAnsi="Verdana"/>
          <w:sz w:val="20"/>
          <w:szCs w:val="20"/>
          <w:lang w:val="en-US"/>
        </w:rPr>
        <w:t>e</w:t>
      </w:r>
      <w:r w:rsidR="00901386" w:rsidRPr="00D869E3">
        <w:rPr>
          <w:rFonts w:ascii="Verdana" w:hAnsi="Verdana"/>
          <w:sz w:val="20"/>
          <w:szCs w:val="20"/>
          <w:lang w:val="en-US"/>
        </w:rPr>
        <w:t xml:space="preserve"> Court</w:t>
      </w:r>
      <w:r w:rsidR="009C5D55" w:rsidRPr="00D869E3">
        <w:rPr>
          <w:rFonts w:ascii="Verdana" w:hAnsi="Verdana"/>
          <w:sz w:val="20"/>
          <w:szCs w:val="20"/>
          <w:lang w:val="en-US"/>
        </w:rPr>
        <w:t xml:space="preserve"> observ</w:t>
      </w:r>
      <w:r w:rsidRPr="00D869E3">
        <w:rPr>
          <w:rFonts w:ascii="Verdana" w:hAnsi="Verdana"/>
          <w:sz w:val="20"/>
          <w:szCs w:val="20"/>
          <w:lang w:val="en-US"/>
        </w:rPr>
        <w:t>es that</w:t>
      </w:r>
      <w:r w:rsidR="009C5D55"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009C5D55" w:rsidRPr="00D869E3">
        <w:rPr>
          <w:rFonts w:ascii="Verdana" w:hAnsi="Verdana"/>
          <w:sz w:val="20"/>
          <w:szCs w:val="20"/>
          <w:lang w:val="en-US"/>
        </w:rPr>
        <w:t xml:space="preserve"> </w:t>
      </w:r>
      <w:r w:rsidRPr="00D869E3">
        <w:rPr>
          <w:rFonts w:ascii="Verdana" w:hAnsi="Verdana"/>
          <w:sz w:val="20"/>
          <w:szCs w:val="20"/>
          <w:lang w:val="en-US"/>
        </w:rPr>
        <w:t xml:space="preserve">merely indicated that </w:t>
      </w:r>
      <w:r w:rsidR="006436CA" w:rsidRPr="00D869E3">
        <w:rPr>
          <w:rFonts w:ascii="Verdana" w:hAnsi="Verdana"/>
          <w:sz w:val="20"/>
          <w:szCs w:val="20"/>
          <w:lang w:val="en-US"/>
        </w:rPr>
        <w:t>“</w:t>
      </w:r>
      <w:r w:rsidR="001E44D3" w:rsidRPr="00D869E3">
        <w:rPr>
          <w:rFonts w:ascii="Verdana" w:hAnsi="Verdana"/>
          <w:sz w:val="20"/>
          <w:szCs w:val="20"/>
          <w:lang w:val="en-US"/>
        </w:rPr>
        <w:t>Mr. Lagos del Campo</w:t>
      </w:r>
      <w:r w:rsidR="009C5D55" w:rsidRPr="00D869E3">
        <w:rPr>
          <w:rFonts w:ascii="Verdana" w:hAnsi="Verdana"/>
          <w:sz w:val="20"/>
          <w:szCs w:val="20"/>
          <w:lang w:val="en-US"/>
        </w:rPr>
        <w:t xml:space="preserve"> </w:t>
      </w:r>
      <w:r w:rsidRPr="00D869E3">
        <w:rPr>
          <w:rFonts w:ascii="Verdana" w:hAnsi="Verdana"/>
          <w:sz w:val="20"/>
          <w:szCs w:val="20"/>
          <w:lang w:val="en-US"/>
        </w:rPr>
        <w:t xml:space="preserve">was not reinstated in his job, and this curtailed his labor rights and, consequently, his social rights and benefits”; however, they did not provide specific evidence of the salary that Mr. Lagos del Campo received before the facts in their motions and pleadings brief, and the Court does not have specific information on the time that he was unemployed and the economic impact arising from the facts of this case. Despite this, the Court notes that, </w:t>
      </w:r>
      <w:r w:rsidR="00F4667D" w:rsidRPr="00D869E3">
        <w:rPr>
          <w:rFonts w:ascii="Verdana" w:hAnsi="Verdana"/>
          <w:sz w:val="20"/>
          <w:szCs w:val="20"/>
          <w:lang w:val="en-US"/>
        </w:rPr>
        <w:t xml:space="preserve">annex </w:t>
      </w:r>
      <w:r w:rsidR="009C5D55" w:rsidRPr="00D869E3">
        <w:rPr>
          <w:rFonts w:ascii="Verdana" w:hAnsi="Verdana"/>
          <w:sz w:val="20"/>
          <w:szCs w:val="20"/>
          <w:lang w:val="en-US"/>
        </w:rPr>
        <w:t xml:space="preserve">2 </w:t>
      </w:r>
      <w:r w:rsidR="002D3638" w:rsidRPr="00D869E3">
        <w:rPr>
          <w:rFonts w:ascii="Verdana" w:hAnsi="Verdana"/>
          <w:sz w:val="20"/>
          <w:szCs w:val="20"/>
          <w:lang w:val="en-US"/>
        </w:rPr>
        <w:t>of</w:t>
      </w:r>
      <w:r w:rsidRPr="00D869E3">
        <w:rPr>
          <w:rFonts w:ascii="Verdana" w:hAnsi="Verdana"/>
          <w:sz w:val="20"/>
          <w:szCs w:val="20"/>
          <w:lang w:val="en-US"/>
        </w:rPr>
        <w:t xml:space="preserve"> the</w:t>
      </w:r>
      <w:r w:rsidR="009C5D55"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9C5D55" w:rsidRPr="00D869E3">
        <w:rPr>
          <w:rFonts w:ascii="Verdana" w:hAnsi="Verdana"/>
          <w:sz w:val="20"/>
          <w:szCs w:val="20"/>
          <w:lang w:val="en-US"/>
        </w:rPr>
        <w:t xml:space="preserve"> </w:t>
      </w:r>
      <w:r w:rsidRPr="00D869E3">
        <w:rPr>
          <w:rFonts w:ascii="Verdana" w:hAnsi="Verdana"/>
          <w:sz w:val="20"/>
          <w:szCs w:val="20"/>
          <w:lang w:val="en-US"/>
        </w:rPr>
        <w:t xml:space="preserve">consists of </w:t>
      </w:r>
      <w:r w:rsidR="006436CA" w:rsidRPr="00D869E3">
        <w:rPr>
          <w:rFonts w:ascii="Verdana" w:hAnsi="Verdana"/>
          <w:sz w:val="20"/>
          <w:szCs w:val="20"/>
          <w:lang w:val="en-US"/>
        </w:rPr>
        <w:t>“</w:t>
      </w:r>
      <w:r w:rsidRPr="00D869E3">
        <w:rPr>
          <w:rFonts w:ascii="Verdana" w:hAnsi="Verdana"/>
          <w:sz w:val="20"/>
          <w:szCs w:val="20"/>
          <w:lang w:val="en-US"/>
        </w:rPr>
        <w:t>the</w:t>
      </w:r>
      <w:r w:rsidR="009C5D55" w:rsidRPr="00D869E3">
        <w:rPr>
          <w:rFonts w:ascii="Verdana" w:hAnsi="Verdana"/>
          <w:sz w:val="20"/>
          <w:szCs w:val="20"/>
          <w:lang w:val="en-US"/>
        </w:rPr>
        <w:t xml:space="preserve"> </w:t>
      </w:r>
      <w:r w:rsidRPr="00D869E3">
        <w:rPr>
          <w:rFonts w:ascii="Verdana" w:hAnsi="Verdana"/>
          <w:sz w:val="20"/>
          <w:szCs w:val="20"/>
          <w:lang w:val="en-US"/>
        </w:rPr>
        <w:t>p</w:t>
      </w:r>
      <w:r w:rsidR="00D76516" w:rsidRPr="00D869E3">
        <w:rPr>
          <w:rFonts w:ascii="Verdana" w:hAnsi="Verdana"/>
          <w:sz w:val="20"/>
          <w:szCs w:val="20"/>
          <w:lang w:val="en-US"/>
        </w:rPr>
        <w:t>ay slip</w:t>
      </w:r>
      <w:r w:rsidR="009C5D55" w:rsidRPr="00D869E3">
        <w:rPr>
          <w:rFonts w:ascii="Verdana" w:hAnsi="Verdana"/>
          <w:sz w:val="20"/>
          <w:szCs w:val="20"/>
          <w:lang w:val="en-US"/>
        </w:rPr>
        <w:t xml:space="preserve"> </w:t>
      </w:r>
      <w:r w:rsidR="00E6309B"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9C5D55" w:rsidRPr="00D869E3">
        <w:rPr>
          <w:rFonts w:ascii="Verdana" w:hAnsi="Verdana"/>
          <w:sz w:val="20"/>
          <w:szCs w:val="20"/>
          <w:lang w:val="en-US"/>
        </w:rPr>
        <w:t xml:space="preserve">. </w:t>
      </w:r>
      <w:r w:rsidRPr="00D869E3">
        <w:rPr>
          <w:rFonts w:ascii="Verdana" w:hAnsi="Verdana"/>
          <w:sz w:val="20"/>
          <w:szCs w:val="20"/>
          <w:lang w:val="en-US"/>
        </w:rPr>
        <w:t>Week of June</w:t>
      </w:r>
      <w:r w:rsidR="009C5D55" w:rsidRPr="00D869E3">
        <w:rPr>
          <w:rFonts w:ascii="Verdana" w:hAnsi="Verdana"/>
          <w:sz w:val="20"/>
          <w:szCs w:val="20"/>
          <w:lang w:val="en-US"/>
        </w:rPr>
        <w:t xml:space="preserve"> 26 </w:t>
      </w:r>
      <w:r w:rsidRPr="00D869E3">
        <w:rPr>
          <w:rFonts w:ascii="Verdana" w:hAnsi="Verdana"/>
          <w:sz w:val="20"/>
          <w:szCs w:val="20"/>
          <w:lang w:val="en-US"/>
        </w:rPr>
        <w:t>to July</w:t>
      </w:r>
      <w:r w:rsidR="009C5D55" w:rsidRPr="00D869E3">
        <w:rPr>
          <w:rFonts w:ascii="Verdana" w:hAnsi="Verdana"/>
          <w:sz w:val="20"/>
          <w:szCs w:val="20"/>
          <w:lang w:val="en-US"/>
        </w:rPr>
        <w:t xml:space="preserve"> 2</w:t>
      </w:r>
      <w:r w:rsidRPr="00D869E3">
        <w:rPr>
          <w:rFonts w:ascii="Verdana" w:hAnsi="Verdana"/>
          <w:sz w:val="20"/>
          <w:szCs w:val="20"/>
          <w:lang w:val="en-US"/>
        </w:rPr>
        <w:t xml:space="preserve">, </w:t>
      </w:r>
      <w:r w:rsidR="009C5D55" w:rsidRPr="00D869E3">
        <w:rPr>
          <w:rFonts w:ascii="Verdana" w:hAnsi="Verdana"/>
          <w:sz w:val="20"/>
          <w:szCs w:val="20"/>
          <w:lang w:val="en-US"/>
        </w:rPr>
        <w:t>1989</w:t>
      </w:r>
      <w:r w:rsidRPr="00D869E3">
        <w:rPr>
          <w:rFonts w:ascii="Verdana" w:hAnsi="Verdana"/>
          <w:sz w:val="20"/>
          <w:szCs w:val="20"/>
          <w:lang w:val="en-US"/>
        </w:rPr>
        <w:t>,</w:t>
      </w:r>
      <w:r w:rsidR="006436CA" w:rsidRPr="00D869E3">
        <w:rPr>
          <w:rFonts w:ascii="Verdana" w:hAnsi="Verdana"/>
          <w:sz w:val="20"/>
          <w:szCs w:val="20"/>
          <w:lang w:val="en-US"/>
        </w:rPr>
        <w:t>”</w:t>
      </w:r>
      <w:r w:rsidR="00687684" w:rsidRPr="00D869E3">
        <w:rPr>
          <w:rFonts w:ascii="Verdana" w:hAnsi="Verdana"/>
          <w:sz w:val="20"/>
          <w:szCs w:val="20"/>
          <w:lang w:val="en-US"/>
        </w:rPr>
        <w:t xml:space="preserve"> and </w:t>
      </w:r>
      <w:r w:rsidR="00F4667D" w:rsidRPr="00D869E3">
        <w:rPr>
          <w:rFonts w:ascii="Verdana" w:hAnsi="Verdana"/>
          <w:sz w:val="20"/>
          <w:szCs w:val="20"/>
          <w:lang w:val="en-US"/>
        </w:rPr>
        <w:t xml:space="preserve">annex </w:t>
      </w:r>
      <w:r w:rsidR="009C5D55" w:rsidRPr="00D869E3">
        <w:rPr>
          <w:rFonts w:ascii="Verdana" w:hAnsi="Verdana"/>
          <w:sz w:val="20"/>
          <w:szCs w:val="20"/>
          <w:lang w:val="en-US"/>
        </w:rPr>
        <w:t xml:space="preserve">8 </w:t>
      </w:r>
      <w:r w:rsidR="002D3638" w:rsidRPr="00D869E3">
        <w:rPr>
          <w:rFonts w:ascii="Verdana" w:hAnsi="Verdana"/>
          <w:sz w:val="20"/>
          <w:szCs w:val="20"/>
          <w:lang w:val="en-US"/>
        </w:rPr>
        <w:t>of</w:t>
      </w:r>
      <w:r w:rsidRPr="00D869E3">
        <w:rPr>
          <w:rFonts w:ascii="Verdana" w:hAnsi="Verdana"/>
          <w:sz w:val="20"/>
          <w:szCs w:val="20"/>
          <w:lang w:val="en-US"/>
        </w:rPr>
        <w:t xml:space="preserve"> the</w:t>
      </w:r>
      <w:r w:rsidR="009C5D55"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9C5D55" w:rsidRPr="00D869E3">
        <w:rPr>
          <w:rFonts w:ascii="Verdana" w:hAnsi="Verdana"/>
          <w:sz w:val="20"/>
          <w:szCs w:val="20"/>
          <w:lang w:val="en-US"/>
        </w:rPr>
        <w:t xml:space="preserve"> </w:t>
      </w:r>
      <w:r w:rsidR="002D3638" w:rsidRPr="00D869E3">
        <w:rPr>
          <w:rFonts w:ascii="Verdana" w:hAnsi="Verdana"/>
          <w:sz w:val="20"/>
          <w:szCs w:val="20"/>
          <w:lang w:val="en-US"/>
        </w:rPr>
        <w:t xml:space="preserve">contains the decision of the judge </w:t>
      </w:r>
      <w:r w:rsidR="003506CC" w:rsidRPr="00D869E3">
        <w:rPr>
          <w:rFonts w:ascii="Verdana" w:hAnsi="Verdana"/>
          <w:sz w:val="20"/>
          <w:szCs w:val="20"/>
          <w:lang w:val="en-US"/>
        </w:rPr>
        <w:t>of the Fifteenth Labor Court</w:t>
      </w:r>
      <w:r w:rsidR="009C5D55" w:rsidRPr="00D869E3">
        <w:rPr>
          <w:rFonts w:ascii="Verdana" w:hAnsi="Verdana"/>
          <w:sz w:val="20"/>
          <w:szCs w:val="20"/>
          <w:lang w:val="en-US"/>
        </w:rPr>
        <w:t xml:space="preserve"> </w:t>
      </w:r>
      <w:r w:rsidR="002D3638" w:rsidRPr="00D869E3">
        <w:rPr>
          <w:rFonts w:ascii="Verdana" w:hAnsi="Verdana"/>
          <w:sz w:val="20"/>
          <w:szCs w:val="20"/>
          <w:lang w:val="en-US"/>
        </w:rPr>
        <w:t>of</w:t>
      </w:r>
      <w:r w:rsidR="009C5D55" w:rsidRPr="00D869E3">
        <w:rPr>
          <w:rFonts w:ascii="Verdana" w:hAnsi="Verdana"/>
          <w:sz w:val="20"/>
          <w:szCs w:val="20"/>
          <w:lang w:val="en-US"/>
        </w:rPr>
        <w:t xml:space="preserve"> Lima </w:t>
      </w:r>
      <w:r w:rsidR="002D3638" w:rsidRPr="00D869E3">
        <w:rPr>
          <w:rFonts w:ascii="Verdana" w:hAnsi="Verdana"/>
          <w:sz w:val="20"/>
          <w:szCs w:val="20"/>
          <w:lang w:val="en-US"/>
        </w:rPr>
        <w:t>of</w:t>
      </w:r>
      <w:r w:rsidR="009C5D55" w:rsidRPr="00D869E3">
        <w:rPr>
          <w:rFonts w:ascii="Verdana" w:hAnsi="Verdana"/>
          <w:sz w:val="20"/>
          <w:szCs w:val="20"/>
          <w:lang w:val="en-US"/>
        </w:rPr>
        <w:t xml:space="preserve"> </w:t>
      </w:r>
      <w:r w:rsidR="006F7F35" w:rsidRPr="00D869E3">
        <w:rPr>
          <w:rFonts w:ascii="Verdana" w:hAnsi="Verdana"/>
          <w:sz w:val="20"/>
          <w:szCs w:val="20"/>
          <w:lang w:val="en-US"/>
        </w:rPr>
        <w:t>March 5,</w:t>
      </w:r>
      <w:r w:rsidR="009C5D55" w:rsidRPr="00D869E3">
        <w:rPr>
          <w:rFonts w:ascii="Verdana" w:hAnsi="Verdana"/>
          <w:sz w:val="20"/>
          <w:szCs w:val="20"/>
          <w:lang w:val="en-US"/>
        </w:rPr>
        <w:t xml:space="preserve"> 1991</w:t>
      </w:r>
      <w:r w:rsidR="002D3638" w:rsidRPr="00D869E3">
        <w:rPr>
          <w:rFonts w:ascii="Verdana" w:hAnsi="Verdana"/>
          <w:sz w:val="20"/>
          <w:szCs w:val="20"/>
          <w:lang w:val="en-US"/>
        </w:rPr>
        <w:t xml:space="preserve">, which records that, at the time of the facts, Mr. Lagos received as his last day’s wage the sum of </w:t>
      </w:r>
      <w:r w:rsidR="00215464" w:rsidRPr="00D869E3">
        <w:rPr>
          <w:rFonts w:ascii="Verdana" w:hAnsi="Verdana"/>
          <w:sz w:val="20"/>
          <w:szCs w:val="20"/>
          <w:lang w:val="en-US"/>
        </w:rPr>
        <w:t>19,258</w:t>
      </w:r>
      <w:r w:rsidR="008846D2" w:rsidRPr="00D869E3">
        <w:rPr>
          <w:rFonts w:ascii="Verdana" w:hAnsi="Verdana"/>
          <w:sz w:val="20"/>
          <w:szCs w:val="20"/>
          <w:lang w:val="en-US"/>
        </w:rPr>
        <w:t>.53</w:t>
      </w:r>
      <w:r w:rsidR="00215464" w:rsidRPr="00D869E3">
        <w:rPr>
          <w:rFonts w:ascii="Verdana" w:hAnsi="Verdana"/>
          <w:sz w:val="20"/>
          <w:szCs w:val="20"/>
          <w:lang w:val="en-US"/>
        </w:rPr>
        <w:t xml:space="preserve"> Intis</w:t>
      </w:r>
      <w:r w:rsidR="002D3638" w:rsidRPr="00D869E3">
        <w:rPr>
          <w:rFonts w:ascii="Verdana" w:hAnsi="Verdana"/>
          <w:sz w:val="20"/>
          <w:szCs w:val="20"/>
          <w:lang w:val="en-US"/>
        </w:rPr>
        <w:t>.</w:t>
      </w:r>
      <w:r w:rsidR="00215464" w:rsidRPr="00D869E3">
        <w:rPr>
          <w:rStyle w:val="Refdenotaalpie"/>
          <w:szCs w:val="20"/>
          <w:lang w:val="en-US"/>
        </w:rPr>
        <w:footnoteReference w:id="269"/>
      </w:r>
      <w:r w:rsidR="009C5D55" w:rsidRPr="00D869E3">
        <w:rPr>
          <w:rFonts w:ascii="Verdana" w:hAnsi="Verdana"/>
          <w:sz w:val="20"/>
          <w:szCs w:val="20"/>
          <w:lang w:val="en-US"/>
        </w:rPr>
        <w:t xml:space="preserve"> </w:t>
      </w:r>
      <w:r w:rsidR="00447C65" w:rsidRPr="00D869E3">
        <w:rPr>
          <w:rFonts w:ascii="Verdana" w:hAnsi="Verdana"/>
          <w:sz w:val="20"/>
          <w:szCs w:val="20"/>
          <w:lang w:val="en-US"/>
        </w:rPr>
        <w:t>The Court</w:t>
      </w:r>
      <w:r w:rsidR="003B4ECF" w:rsidRPr="00D869E3">
        <w:rPr>
          <w:rFonts w:ascii="Verdana" w:hAnsi="Verdana"/>
          <w:sz w:val="20"/>
          <w:szCs w:val="20"/>
          <w:lang w:val="en-US"/>
        </w:rPr>
        <w:t xml:space="preserve"> </w:t>
      </w:r>
      <w:r w:rsidR="002D3638" w:rsidRPr="00D869E3">
        <w:rPr>
          <w:rFonts w:ascii="Verdana" w:hAnsi="Verdana"/>
          <w:sz w:val="20"/>
          <w:szCs w:val="20"/>
          <w:lang w:val="en-US"/>
        </w:rPr>
        <w:t>finds that, owing to the dismissal and lack of judicial protection, the victim found himself in a difficult</w:t>
      </w:r>
      <w:r w:rsidR="00B13B7D" w:rsidRPr="00D869E3">
        <w:rPr>
          <w:rFonts w:ascii="Verdana" w:hAnsi="Verdana"/>
          <w:sz w:val="20"/>
          <w:szCs w:val="20"/>
          <w:lang w:val="en-US"/>
        </w:rPr>
        <w:t>ies</w:t>
      </w:r>
      <w:r w:rsidR="002D3638" w:rsidRPr="00D869E3">
        <w:rPr>
          <w:rFonts w:ascii="Verdana" w:hAnsi="Verdana"/>
          <w:sz w:val="20"/>
          <w:szCs w:val="20"/>
          <w:lang w:val="en-US"/>
        </w:rPr>
        <w:t xml:space="preserve"> </w:t>
      </w:r>
      <w:r w:rsidR="00B13B7D" w:rsidRPr="00D869E3">
        <w:rPr>
          <w:rFonts w:ascii="Verdana" w:hAnsi="Verdana"/>
          <w:sz w:val="20"/>
          <w:szCs w:val="20"/>
          <w:lang w:val="en-US"/>
        </w:rPr>
        <w:t>with regard to</w:t>
      </w:r>
      <w:r w:rsidR="002D3638" w:rsidRPr="00D869E3">
        <w:rPr>
          <w:rFonts w:ascii="Verdana" w:hAnsi="Verdana"/>
          <w:sz w:val="20"/>
          <w:szCs w:val="20"/>
          <w:lang w:val="en-US"/>
        </w:rPr>
        <w:t xml:space="preserve"> his employment situation, </w:t>
      </w:r>
      <w:r w:rsidR="00B13B7D" w:rsidRPr="00D869E3">
        <w:rPr>
          <w:rFonts w:ascii="Verdana" w:hAnsi="Verdana"/>
          <w:sz w:val="20"/>
          <w:szCs w:val="20"/>
          <w:lang w:val="en-US"/>
        </w:rPr>
        <w:t>and this</w:t>
      </w:r>
      <w:r w:rsidR="002D3638" w:rsidRPr="00D869E3">
        <w:rPr>
          <w:rFonts w:ascii="Verdana" w:hAnsi="Verdana"/>
          <w:sz w:val="20"/>
          <w:szCs w:val="20"/>
          <w:lang w:val="en-US"/>
        </w:rPr>
        <w:t xml:space="preserve"> affected his living conditions. Therefore, the Court finds that he shall be granted the sum of </w:t>
      </w:r>
      <w:r w:rsidR="00215464" w:rsidRPr="00D869E3">
        <w:rPr>
          <w:rFonts w:ascii="Verdana" w:hAnsi="Verdana"/>
          <w:sz w:val="20"/>
          <w:szCs w:val="20"/>
          <w:lang w:val="en-US"/>
        </w:rPr>
        <w:t>U</w:t>
      </w:r>
      <w:r w:rsidR="002D3638" w:rsidRPr="00D869E3">
        <w:rPr>
          <w:rFonts w:ascii="Verdana" w:hAnsi="Verdana"/>
          <w:sz w:val="20"/>
          <w:szCs w:val="20"/>
          <w:lang w:val="en-US"/>
        </w:rPr>
        <w:t>S</w:t>
      </w:r>
      <w:r w:rsidR="00215464" w:rsidRPr="00D869E3">
        <w:rPr>
          <w:rFonts w:ascii="Verdana" w:hAnsi="Verdana"/>
          <w:sz w:val="20"/>
          <w:szCs w:val="20"/>
          <w:lang w:val="en-US"/>
        </w:rPr>
        <w:t>$2</w:t>
      </w:r>
      <w:r w:rsidR="00A57AE0" w:rsidRPr="00D869E3">
        <w:rPr>
          <w:rFonts w:ascii="Verdana" w:hAnsi="Verdana"/>
          <w:sz w:val="20"/>
          <w:szCs w:val="20"/>
          <w:lang w:val="en-US"/>
        </w:rPr>
        <w:t>8</w:t>
      </w:r>
      <w:r w:rsidR="00215464" w:rsidRPr="00D869E3">
        <w:rPr>
          <w:rFonts w:ascii="Verdana" w:hAnsi="Verdana"/>
          <w:sz w:val="20"/>
          <w:szCs w:val="20"/>
          <w:lang w:val="en-US"/>
        </w:rPr>
        <w:t>,</w:t>
      </w:r>
      <w:r w:rsidR="00A57AE0" w:rsidRPr="00D869E3">
        <w:rPr>
          <w:rFonts w:ascii="Verdana" w:hAnsi="Verdana"/>
          <w:sz w:val="20"/>
          <w:szCs w:val="20"/>
          <w:lang w:val="en-US"/>
        </w:rPr>
        <w:t>000</w:t>
      </w:r>
      <w:r w:rsidR="00215464" w:rsidRPr="00D869E3">
        <w:rPr>
          <w:rFonts w:ascii="Verdana" w:hAnsi="Verdana"/>
          <w:sz w:val="20"/>
          <w:szCs w:val="20"/>
          <w:lang w:val="en-US"/>
        </w:rPr>
        <w:t xml:space="preserve"> (</w:t>
      </w:r>
      <w:r w:rsidR="002D3638" w:rsidRPr="00D869E3">
        <w:rPr>
          <w:rFonts w:ascii="Verdana" w:hAnsi="Verdana"/>
          <w:sz w:val="20"/>
          <w:szCs w:val="20"/>
          <w:lang w:val="en-US"/>
        </w:rPr>
        <w:t>twenty-eight</w:t>
      </w:r>
      <w:r w:rsidR="00A57AE0" w:rsidRPr="00D869E3">
        <w:rPr>
          <w:rFonts w:ascii="Verdana" w:hAnsi="Verdana"/>
          <w:sz w:val="20"/>
          <w:szCs w:val="20"/>
          <w:lang w:val="en-US"/>
        </w:rPr>
        <w:t xml:space="preserve"> </w:t>
      </w:r>
      <w:r w:rsidR="004926D0" w:rsidRPr="00D869E3">
        <w:rPr>
          <w:rFonts w:ascii="Verdana" w:hAnsi="Verdana"/>
          <w:sz w:val="20"/>
          <w:szCs w:val="20"/>
          <w:lang w:val="en-US"/>
        </w:rPr>
        <w:t>thousand United States dollars</w:t>
      </w:r>
      <w:r w:rsidR="00215464" w:rsidRPr="00D869E3">
        <w:rPr>
          <w:rFonts w:ascii="Verdana" w:hAnsi="Verdana"/>
          <w:sz w:val="20"/>
          <w:szCs w:val="20"/>
          <w:lang w:val="en-US"/>
        </w:rPr>
        <w:t>)</w:t>
      </w:r>
      <w:r w:rsidR="009C5D55" w:rsidRPr="00D869E3">
        <w:rPr>
          <w:rFonts w:ascii="Verdana" w:hAnsi="Verdana"/>
          <w:sz w:val="20"/>
          <w:szCs w:val="20"/>
          <w:lang w:val="en-US"/>
        </w:rPr>
        <w:t>.</w:t>
      </w:r>
    </w:p>
    <w:p w14:paraId="3F46BE3F"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3F1C7CA9" w14:textId="593A2D71" w:rsidR="007C10CE" w:rsidRPr="00D869E3" w:rsidRDefault="00E60DEC" w:rsidP="00E60DEC">
      <w:pPr>
        <w:widowControl w:val="0"/>
        <w:numPr>
          <w:ilvl w:val="0"/>
          <w:numId w:val="1"/>
        </w:numPr>
        <w:tabs>
          <w:tab w:val="center" w:pos="720"/>
        </w:tabs>
        <w:autoSpaceDE w:val="0"/>
        <w:autoSpaceDN w:val="0"/>
        <w:adjustRightInd w:val="0"/>
        <w:ind w:left="0" w:firstLine="0"/>
        <w:jc w:val="both"/>
        <w:rPr>
          <w:rFonts w:ascii="Verdana" w:hAnsi="Verdana"/>
          <w:sz w:val="20"/>
          <w:szCs w:val="20"/>
          <w:lang w:val="en-US"/>
        </w:rPr>
      </w:pPr>
      <w:r w:rsidRPr="00D869E3">
        <w:rPr>
          <w:rFonts w:ascii="Verdana" w:hAnsi="Verdana"/>
          <w:sz w:val="20"/>
          <w:szCs w:val="20"/>
          <w:lang w:val="en-US"/>
        </w:rPr>
        <w:t xml:space="preserve">Regarding the arguments concerning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Pr="00D869E3">
        <w:rPr>
          <w:rFonts w:ascii="Verdana" w:hAnsi="Verdana"/>
          <w:sz w:val="20"/>
          <w:szCs w:val="20"/>
          <w:lang w:val="en-US"/>
        </w:rPr>
        <w:t xml:space="preserve">’s </w:t>
      </w:r>
      <w:r w:rsidR="00B13B7D" w:rsidRPr="00D869E3">
        <w:rPr>
          <w:rFonts w:ascii="Verdana" w:hAnsi="Verdana"/>
          <w:sz w:val="20"/>
          <w:szCs w:val="20"/>
          <w:lang w:val="en-US"/>
        </w:rPr>
        <w:t>a</w:t>
      </w:r>
      <w:r w:rsidRPr="00D869E3">
        <w:rPr>
          <w:rFonts w:ascii="Verdana" w:hAnsi="Verdana"/>
          <w:sz w:val="20"/>
          <w:szCs w:val="20"/>
          <w:lang w:val="en-US"/>
        </w:rPr>
        <w:t xml:space="preserve">ccess to a legitimate retirement pension, the Court finds that, as a result of the violations that have been established </w:t>
      </w:r>
      <w:r w:rsidR="00B13B7D" w:rsidRPr="00D869E3">
        <w:rPr>
          <w:rFonts w:ascii="Verdana" w:hAnsi="Verdana"/>
          <w:sz w:val="20"/>
          <w:szCs w:val="20"/>
          <w:lang w:val="en-US"/>
        </w:rPr>
        <w:t>stemming from</w:t>
      </w:r>
      <w:r w:rsidRPr="00D869E3">
        <w:rPr>
          <w:rFonts w:ascii="Verdana" w:hAnsi="Verdana"/>
          <w:sz w:val="20"/>
          <w:szCs w:val="20"/>
          <w:lang w:val="en-US"/>
        </w:rPr>
        <w:t xml:space="preserve"> </w:t>
      </w:r>
      <w:r w:rsidR="00B13B7D" w:rsidRPr="00D869E3">
        <w:rPr>
          <w:rFonts w:ascii="Verdana" w:hAnsi="Verdana"/>
          <w:sz w:val="20"/>
          <w:szCs w:val="20"/>
          <w:lang w:val="en-US"/>
        </w:rPr>
        <w:t>his</w:t>
      </w:r>
      <w:r w:rsidRPr="00D869E3">
        <w:rPr>
          <w:rFonts w:ascii="Verdana" w:hAnsi="Verdana"/>
          <w:sz w:val="20"/>
          <w:szCs w:val="20"/>
          <w:lang w:val="en-US"/>
        </w:rPr>
        <w:t xml:space="preserve"> arbitrary dismissal, the violation of job security, and the subsequent lack of judicial protection, </w:t>
      </w:r>
      <w:r w:rsidR="001E44D3" w:rsidRPr="00D869E3">
        <w:rPr>
          <w:rFonts w:ascii="Verdana" w:hAnsi="Verdana"/>
          <w:sz w:val="20"/>
          <w:szCs w:val="20"/>
          <w:lang w:val="en-US"/>
        </w:rPr>
        <w:t>Mr. Lagos del Campo</w:t>
      </w:r>
      <w:r w:rsidR="007C10CE" w:rsidRPr="00D869E3">
        <w:rPr>
          <w:rFonts w:ascii="Verdana" w:hAnsi="Verdana"/>
          <w:sz w:val="20"/>
          <w:szCs w:val="20"/>
          <w:lang w:val="en-US"/>
        </w:rPr>
        <w:t xml:space="preserve"> </w:t>
      </w:r>
      <w:r w:rsidRPr="00D869E3">
        <w:rPr>
          <w:rFonts w:ascii="Verdana" w:hAnsi="Verdana"/>
          <w:sz w:val="20"/>
          <w:szCs w:val="20"/>
          <w:lang w:val="en-US"/>
        </w:rPr>
        <w:t xml:space="preserve">lost the possibility of having access to a pension and social benefits. Consequently, the Court </w:t>
      </w:r>
      <w:r w:rsidR="00B13B7D" w:rsidRPr="00D869E3">
        <w:rPr>
          <w:rFonts w:ascii="Verdana" w:hAnsi="Verdana"/>
          <w:sz w:val="20"/>
          <w:szCs w:val="20"/>
          <w:lang w:val="en-US"/>
        </w:rPr>
        <w:t>finds</w:t>
      </w:r>
      <w:r w:rsidRPr="00D869E3">
        <w:rPr>
          <w:rFonts w:ascii="Verdana" w:hAnsi="Verdana"/>
          <w:sz w:val="20"/>
          <w:szCs w:val="20"/>
          <w:lang w:val="en-US"/>
        </w:rPr>
        <w:t xml:space="preserve"> that he shall be granted the reasonable sum of </w:t>
      </w:r>
      <w:r w:rsidR="007C10CE" w:rsidRPr="00D869E3">
        <w:rPr>
          <w:rFonts w:ascii="Verdana" w:hAnsi="Verdana"/>
          <w:sz w:val="20"/>
          <w:szCs w:val="20"/>
          <w:lang w:val="en-US"/>
        </w:rPr>
        <w:t>US$30,000 (</w:t>
      </w:r>
      <w:r w:rsidRPr="00D869E3">
        <w:rPr>
          <w:rFonts w:ascii="Verdana" w:hAnsi="Verdana"/>
          <w:sz w:val="20"/>
          <w:szCs w:val="20"/>
          <w:lang w:val="en-US"/>
        </w:rPr>
        <w:t>thirty</w:t>
      </w:r>
      <w:r w:rsidR="007C10CE" w:rsidRPr="00D869E3">
        <w:rPr>
          <w:rFonts w:ascii="Verdana" w:hAnsi="Verdana"/>
          <w:sz w:val="20"/>
          <w:szCs w:val="20"/>
          <w:lang w:val="en-US"/>
        </w:rPr>
        <w:t xml:space="preserve"> </w:t>
      </w:r>
      <w:r w:rsidR="004926D0" w:rsidRPr="00D869E3">
        <w:rPr>
          <w:rFonts w:ascii="Verdana" w:hAnsi="Verdana"/>
          <w:sz w:val="20"/>
          <w:szCs w:val="20"/>
          <w:lang w:val="en-US"/>
        </w:rPr>
        <w:t>thousand United States dollars</w:t>
      </w:r>
      <w:r w:rsidR="007C10CE" w:rsidRPr="00D869E3">
        <w:rPr>
          <w:rFonts w:ascii="Verdana" w:hAnsi="Verdana"/>
          <w:sz w:val="20"/>
          <w:szCs w:val="20"/>
          <w:lang w:val="en-US"/>
        </w:rPr>
        <w:t>).</w:t>
      </w:r>
    </w:p>
    <w:p w14:paraId="3EDD25E8" w14:textId="77777777" w:rsidR="003610EB" w:rsidRPr="00D869E3" w:rsidRDefault="003610EB" w:rsidP="009C5D55">
      <w:pPr>
        <w:contextualSpacing/>
        <w:jc w:val="both"/>
        <w:rPr>
          <w:rFonts w:ascii="Verdana" w:hAnsi="Verdana"/>
          <w:sz w:val="20"/>
          <w:szCs w:val="20"/>
          <w:lang w:val="en-US"/>
        </w:rPr>
      </w:pPr>
    </w:p>
    <w:p w14:paraId="508E288B" w14:textId="475D3522" w:rsidR="009C5D55" w:rsidRPr="00D869E3" w:rsidRDefault="00B44B46" w:rsidP="00E66DD7">
      <w:pPr>
        <w:pStyle w:val="Ttulo3"/>
        <w:numPr>
          <w:ilvl w:val="0"/>
          <w:numId w:val="15"/>
        </w:numPr>
        <w:rPr>
          <w:i/>
          <w:lang w:val="en-US"/>
        </w:rPr>
      </w:pPr>
      <w:bookmarkStart w:id="72" w:name="_Toc29114159"/>
      <w:r w:rsidRPr="00D869E3">
        <w:rPr>
          <w:i/>
          <w:lang w:val="en-US"/>
        </w:rPr>
        <w:t>Non-pecuniary damage</w:t>
      </w:r>
      <w:bookmarkEnd w:id="72"/>
    </w:p>
    <w:p w14:paraId="78B63848" w14:textId="77777777" w:rsidR="009C5D55" w:rsidRPr="00D869E3" w:rsidRDefault="009C5D55" w:rsidP="009C5D55">
      <w:pPr>
        <w:contextualSpacing/>
        <w:rPr>
          <w:rFonts w:ascii="Verdana" w:hAnsi="Verdana"/>
          <w:sz w:val="20"/>
          <w:szCs w:val="20"/>
          <w:lang w:val="en-US"/>
        </w:rPr>
      </w:pPr>
    </w:p>
    <w:p w14:paraId="43236ADA" w14:textId="788070E3" w:rsidR="000A123A" w:rsidRPr="00D869E3" w:rsidRDefault="00447C65" w:rsidP="00E60DEC">
      <w:pPr>
        <w:numPr>
          <w:ilvl w:val="0"/>
          <w:numId w:val="1"/>
        </w:numPr>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Commission</w:t>
      </w:r>
      <w:r w:rsidR="009C5D55" w:rsidRPr="00D869E3">
        <w:rPr>
          <w:rFonts w:ascii="Verdana" w:hAnsi="Verdana"/>
          <w:sz w:val="20"/>
          <w:szCs w:val="20"/>
          <w:lang w:val="en-US"/>
        </w:rPr>
        <w:t xml:space="preserve"> </w:t>
      </w:r>
      <w:r w:rsidR="00E60DEC" w:rsidRPr="00D869E3">
        <w:rPr>
          <w:rFonts w:ascii="Verdana" w:hAnsi="Verdana"/>
          <w:sz w:val="20"/>
          <w:szCs w:val="20"/>
          <w:lang w:val="en-US"/>
        </w:rPr>
        <w:t xml:space="preserve">requested that both </w:t>
      </w:r>
      <w:r w:rsidR="00B44B46" w:rsidRPr="00D869E3">
        <w:rPr>
          <w:rFonts w:ascii="Verdana" w:hAnsi="Verdana"/>
          <w:sz w:val="20"/>
          <w:szCs w:val="20"/>
          <w:lang w:val="en-US"/>
        </w:rPr>
        <w:t xml:space="preserve">pecuniary </w:t>
      </w:r>
      <w:r w:rsidR="00E60DEC" w:rsidRPr="00D869E3">
        <w:rPr>
          <w:rFonts w:ascii="Verdana" w:hAnsi="Verdana"/>
          <w:sz w:val="20"/>
          <w:szCs w:val="20"/>
          <w:lang w:val="en-US"/>
        </w:rPr>
        <w:t xml:space="preserve">and non-pecuniary </w:t>
      </w:r>
      <w:r w:rsidR="00B44B46" w:rsidRPr="00D869E3">
        <w:rPr>
          <w:rFonts w:ascii="Verdana" w:hAnsi="Verdana"/>
          <w:sz w:val="20"/>
          <w:szCs w:val="20"/>
          <w:lang w:val="en-US"/>
        </w:rPr>
        <w:t>damage</w:t>
      </w:r>
      <w:r w:rsidR="009C5D55" w:rsidRPr="00D869E3">
        <w:rPr>
          <w:rFonts w:ascii="Verdana" w:hAnsi="Verdana"/>
          <w:sz w:val="20"/>
          <w:szCs w:val="20"/>
          <w:lang w:val="en-US"/>
        </w:rPr>
        <w:t xml:space="preserve"> </w:t>
      </w:r>
      <w:r w:rsidR="00E60DEC" w:rsidRPr="00D869E3">
        <w:rPr>
          <w:rFonts w:ascii="Verdana" w:hAnsi="Verdana"/>
          <w:sz w:val="20"/>
          <w:szCs w:val="20"/>
          <w:lang w:val="en-US"/>
        </w:rPr>
        <w:t>be included in the reparation</w:t>
      </w:r>
      <w:r w:rsidR="000A123A" w:rsidRPr="00D869E3">
        <w:rPr>
          <w:rFonts w:ascii="Verdana" w:hAnsi="Verdana"/>
          <w:sz w:val="20"/>
          <w:szCs w:val="20"/>
          <w:lang w:val="en-US"/>
        </w:rPr>
        <w:t>.</w:t>
      </w:r>
    </w:p>
    <w:p w14:paraId="28354AC8" w14:textId="77777777" w:rsidR="009C5D55" w:rsidRPr="00D869E3" w:rsidRDefault="009C5D55" w:rsidP="000A123A">
      <w:pPr>
        <w:contextualSpacing/>
        <w:rPr>
          <w:rFonts w:ascii="Verdana" w:hAnsi="Verdana"/>
          <w:sz w:val="20"/>
          <w:szCs w:val="20"/>
          <w:lang w:val="en-US"/>
        </w:rPr>
      </w:pPr>
    </w:p>
    <w:p w14:paraId="71428BCC" w14:textId="425ED91B" w:rsidR="00E60DEC" w:rsidRPr="00D869E3" w:rsidRDefault="00687684" w:rsidP="00E60DEC">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The</w:t>
      </w:r>
      <w:r w:rsidRPr="00D869E3">
        <w:rPr>
          <w:rFonts w:ascii="Verdana" w:hAnsi="Verdana"/>
          <w:b/>
          <w:bCs/>
          <w:i/>
          <w:iCs/>
          <w:sz w:val="20"/>
          <w:szCs w:val="20"/>
          <w:lang w:val="en-US"/>
        </w:rPr>
        <w:t xml:space="preserve"> representatives</w:t>
      </w:r>
      <w:r w:rsidR="009C5D55" w:rsidRPr="00D869E3">
        <w:rPr>
          <w:rFonts w:ascii="Verdana" w:hAnsi="Verdana"/>
          <w:sz w:val="20"/>
          <w:szCs w:val="20"/>
          <w:lang w:val="en-US"/>
        </w:rPr>
        <w:t xml:space="preserve"> </w:t>
      </w:r>
      <w:r w:rsidR="00E60DEC" w:rsidRPr="00D869E3">
        <w:rPr>
          <w:rFonts w:ascii="Verdana" w:hAnsi="Verdana"/>
          <w:sz w:val="20"/>
          <w:szCs w:val="20"/>
          <w:lang w:val="en-US"/>
        </w:rPr>
        <w:t xml:space="preserve">asked the Court to establish, in equity, reparation </w:t>
      </w:r>
      <w:r w:rsidR="00B13B7D" w:rsidRPr="00D869E3">
        <w:rPr>
          <w:rFonts w:ascii="Verdana" w:hAnsi="Verdana"/>
          <w:sz w:val="20"/>
          <w:szCs w:val="20"/>
          <w:lang w:val="en-US"/>
        </w:rPr>
        <w:t>for</w:t>
      </w:r>
      <w:r w:rsidR="00E60DEC" w:rsidRPr="00D869E3">
        <w:rPr>
          <w:rFonts w:ascii="Verdana" w:hAnsi="Verdana"/>
          <w:sz w:val="20"/>
          <w:szCs w:val="20"/>
          <w:lang w:val="en-US"/>
        </w:rPr>
        <w:t xml:space="preserve"> non-pecuniary damage, because the violation suffered by both the victim and his family had harsh consequences and signified serious mental and moral harm for each of them, especially the victim.</w:t>
      </w:r>
    </w:p>
    <w:p w14:paraId="2F093001" w14:textId="77777777" w:rsidR="009C5D55" w:rsidRPr="00D869E3" w:rsidRDefault="009C5D55" w:rsidP="00E60DEC">
      <w:pPr>
        <w:tabs>
          <w:tab w:val="center" w:pos="720"/>
        </w:tabs>
        <w:contextualSpacing/>
        <w:rPr>
          <w:rFonts w:ascii="Verdana" w:hAnsi="Verdana"/>
          <w:sz w:val="20"/>
          <w:szCs w:val="20"/>
          <w:lang w:val="en-US"/>
        </w:rPr>
      </w:pPr>
    </w:p>
    <w:p w14:paraId="11E7ECBA" w14:textId="535F1318" w:rsidR="00E60DEC" w:rsidRPr="00D869E3" w:rsidRDefault="00447C65" w:rsidP="00E60DEC">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State</w:t>
      </w:r>
      <w:r w:rsidR="009C5D55" w:rsidRPr="00D869E3">
        <w:rPr>
          <w:rFonts w:ascii="Verdana" w:hAnsi="Verdana"/>
          <w:sz w:val="20"/>
          <w:szCs w:val="20"/>
          <w:lang w:val="en-US"/>
        </w:rPr>
        <w:t xml:space="preserve"> </w:t>
      </w:r>
      <w:r w:rsidR="00E60DEC" w:rsidRPr="00D869E3">
        <w:rPr>
          <w:rFonts w:ascii="Verdana" w:hAnsi="Verdana"/>
          <w:sz w:val="20"/>
          <w:szCs w:val="20"/>
          <w:lang w:val="en-US"/>
        </w:rPr>
        <w:t>argued that the criteri</w:t>
      </w:r>
      <w:r w:rsidR="00097299" w:rsidRPr="00D869E3">
        <w:rPr>
          <w:rFonts w:ascii="Verdana" w:hAnsi="Verdana"/>
          <w:sz w:val="20"/>
          <w:szCs w:val="20"/>
          <w:lang w:val="en-US"/>
        </w:rPr>
        <w:t>a</w:t>
      </w:r>
      <w:r w:rsidR="00E60DEC" w:rsidRPr="00D869E3">
        <w:rPr>
          <w:rFonts w:ascii="Verdana" w:hAnsi="Verdana"/>
          <w:sz w:val="20"/>
          <w:szCs w:val="20"/>
          <w:lang w:val="en-US"/>
        </w:rPr>
        <w:t xml:space="preserve"> cited by </w:t>
      </w:r>
      <w:r w:rsidR="00687684" w:rsidRPr="00D869E3">
        <w:rPr>
          <w:rFonts w:ascii="Verdana" w:hAnsi="Verdana"/>
          <w:sz w:val="20"/>
          <w:szCs w:val="20"/>
          <w:lang w:val="en-US"/>
        </w:rPr>
        <w:t>the representatives</w:t>
      </w:r>
      <w:r w:rsidR="009C5D55" w:rsidRPr="00D869E3">
        <w:rPr>
          <w:rFonts w:ascii="Verdana" w:hAnsi="Verdana"/>
          <w:sz w:val="20"/>
          <w:szCs w:val="20"/>
          <w:lang w:val="en-US"/>
        </w:rPr>
        <w:t xml:space="preserve"> </w:t>
      </w:r>
      <w:r w:rsidR="00E60DEC" w:rsidRPr="00D869E3">
        <w:rPr>
          <w:rFonts w:ascii="Verdana" w:hAnsi="Verdana"/>
          <w:sz w:val="20"/>
          <w:szCs w:val="20"/>
          <w:lang w:val="en-US"/>
        </w:rPr>
        <w:t>was based on case law that was unrelated to the facts of this case, because</w:t>
      </w:r>
      <w:r w:rsidR="00097299" w:rsidRPr="00D869E3">
        <w:rPr>
          <w:rFonts w:ascii="Verdana" w:hAnsi="Verdana"/>
          <w:sz w:val="20"/>
          <w:szCs w:val="20"/>
          <w:lang w:val="en-US"/>
        </w:rPr>
        <w:t xml:space="preserve"> the case did not involve an egregious violation of human rights or the presumed violation of a right belong</w:t>
      </w:r>
      <w:r w:rsidR="00B13B7D" w:rsidRPr="00D869E3">
        <w:rPr>
          <w:rFonts w:ascii="Verdana" w:hAnsi="Verdana"/>
          <w:sz w:val="20"/>
          <w:szCs w:val="20"/>
          <w:lang w:val="en-US"/>
        </w:rPr>
        <w:t>ing</w:t>
      </w:r>
      <w:r w:rsidR="00097299" w:rsidRPr="00D869E3">
        <w:rPr>
          <w:rFonts w:ascii="Verdana" w:hAnsi="Verdana"/>
          <w:sz w:val="20"/>
          <w:szCs w:val="20"/>
          <w:lang w:val="en-US"/>
        </w:rPr>
        <w:t xml:space="preserve"> to the “hard core” of human rights. Therefore, based on the violations in this case, the non-pecuniary damage would be of another nature and less serious than in the case of egregious human rights violations.</w:t>
      </w:r>
    </w:p>
    <w:p w14:paraId="63C638E0" w14:textId="77777777" w:rsidR="009C5D55" w:rsidRPr="00D869E3" w:rsidRDefault="009C5D55" w:rsidP="009C5D55">
      <w:pPr>
        <w:widowControl w:val="0"/>
        <w:tabs>
          <w:tab w:val="center" w:pos="567"/>
        </w:tabs>
        <w:autoSpaceDE w:val="0"/>
        <w:autoSpaceDN w:val="0"/>
        <w:adjustRightInd w:val="0"/>
        <w:contextualSpacing/>
        <w:jc w:val="both"/>
        <w:rPr>
          <w:rFonts w:ascii="Verdana" w:hAnsi="Verdana"/>
          <w:sz w:val="20"/>
          <w:szCs w:val="20"/>
          <w:lang w:val="en-US"/>
        </w:rPr>
      </w:pPr>
    </w:p>
    <w:p w14:paraId="5741FA6E" w14:textId="06368947" w:rsidR="009C5D55" w:rsidRPr="00D869E3" w:rsidRDefault="00097299" w:rsidP="00097299">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cs="Verdana"/>
          <w:sz w:val="20"/>
          <w:szCs w:val="20"/>
          <w:lang w:val="en-US" w:bidi="en-US"/>
        </w:rPr>
        <w:t>In its case law, t</w:t>
      </w:r>
      <w:r w:rsidR="00447C65" w:rsidRPr="00D869E3">
        <w:rPr>
          <w:rFonts w:ascii="Verdana" w:hAnsi="Verdana" w:cs="Verdana"/>
          <w:sz w:val="20"/>
          <w:szCs w:val="20"/>
          <w:lang w:val="en-US" w:bidi="en-US"/>
        </w:rPr>
        <w:t>he Court</w:t>
      </w:r>
      <w:r w:rsidR="009C5D55" w:rsidRPr="00D869E3">
        <w:rPr>
          <w:rFonts w:ascii="Verdana" w:hAnsi="Verdana" w:cs="Verdana"/>
          <w:sz w:val="20"/>
          <w:szCs w:val="20"/>
          <w:lang w:val="en-US" w:bidi="en-US"/>
        </w:rPr>
        <w:t xml:space="preserve"> ha</w:t>
      </w:r>
      <w:r w:rsidRPr="00D869E3">
        <w:rPr>
          <w:rFonts w:ascii="Verdana" w:hAnsi="Verdana" w:cs="Verdana"/>
          <w:sz w:val="20"/>
          <w:szCs w:val="20"/>
          <w:lang w:val="en-US" w:bidi="en-US"/>
        </w:rPr>
        <w:t xml:space="preserve">s developed the concept of </w:t>
      </w:r>
      <w:r w:rsidR="00B44B46" w:rsidRPr="00D869E3">
        <w:rPr>
          <w:rFonts w:ascii="Verdana" w:hAnsi="Verdana" w:cs="Verdana"/>
          <w:sz w:val="20"/>
          <w:szCs w:val="20"/>
          <w:lang w:val="en-US" w:bidi="en-US"/>
        </w:rPr>
        <w:t>non-pecuniary damage</w:t>
      </w:r>
      <w:r w:rsidR="00687684" w:rsidRPr="00D869E3">
        <w:rPr>
          <w:rFonts w:ascii="Verdana" w:hAnsi="Verdana" w:cs="Verdana"/>
          <w:sz w:val="20"/>
          <w:szCs w:val="20"/>
          <w:lang w:val="en-US" w:bidi="en-US"/>
        </w:rPr>
        <w:t xml:space="preserve"> and </w:t>
      </w:r>
      <w:r w:rsidR="009C5D55" w:rsidRPr="00D869E3">
        <w:rPr>
          <w:rFonts w:ascii="Verdana" w:hAnsi="Verdana"/>
          <w:sz w:val="20"/>
          <w:szCs w:val="20"/>
          <w:lang w:val="en-US"/>
        </w:rPr>
        <w:t>ha</w:t>
      </w:r>
      <w:r w:rsidRPr="00D869E3">
        <w:rPr>
          <w:rFonts w:ascii="Verdana" w:hAnsi="Verdana"/>
          <w:sz w:val="20"/>
          <w:szCs w:val="20"/>
          <w:lang w:val="en-US"/>
        </w:rPr>
        <w:t>s established that this “may include both the suffering and affliction caused to the direct victim and his family, the impairment of values that are of great significance for the individual, and also any changes, of a non-pecuniary nature, in the living conditions of the victim or his family.</w:t>
      </w:r>
      <w:r w:rsidR="006436CA" w:rsidRPr="00D869E3">
        <w:rPr>
          <w:rFonts w:ascii="Verdana" w:hAnsi="Verdana"/>
          <w:sz w:val="20"/>
          <w:szCs w:val="20"/>
          <w:lang w:val="en-US"/>
        </w:rPr>
        <w:t>”</w:t>
      </w:r>
      <w:r w:rsidR="009C5D55" w:rsidRPr="00D869E3">
        <w:rPr>
          <w:rFonts w:ascii="Verdana" w:hAnsi="Verdana"/>
          <w:sz w:val="20"/>
          <w:szCs w:val="20"/>
          <w:vertAlign w:val="superscript"/>
          <w:lang w:val="en-US"/>
        </w:rPr>
        <w:footnoteReference w:id="270"/>
      </w:r>
      <w:r w:rsidRPr="00D869E3">
        <w:rPr>
          <w:rFonts w:ascii="Verdana" w:hAnsi="Verdana" w:cs="Verdana"/>
          <w:sz w:val="20"/>
          <w:szCs w:val="20"/>
          <w:lang w:val="en-US" w:bidi="en-US"/>
        </w:rPr>
        <w:t xml:space="preserve"> Th</w:t>
      </w:r>
      <w:r w:rsidR="00232B57" w:rsidRPr="00D869E3">
        <w:rPr>
          <w:rFonts w:ascii="Verdana" w:hAnsi="Verdana" w:cs="Verdana"/>
          <w:sz w:val="20"/>
          <w:szCs w:val="20"/>
          <w:lang w:val="en-US" w:bidi="en-US"/>
        </w:rPr>
        <w:t>e said</w:t>
      </w:r>
      <w:r w:rsidRPr="00D869E3">
        <w:rPr>
          <w:rFonts w:ascii="Verdana" w:hAnsi="Verdana" w:cs="Verdana"/>
          <w:sz w:val="20"/>
          <w:szCs w:val="20"/>
          <w:lang w:val="en-US" w:bidi="en-US"/>
        </w:rPr>
        <w:t xml:space="preserve"> harm must be proved in cases such as this one.</w:t>
      </w:r>
    </w:p>
    <w:p w14:paraId="201B599B" w14:textId="77777777" w:rsidR="00097299" w:rsidRPr="00D869E3" w:rsidRDefault="00097299" w:rsidP="00097299">
      <w:pPr>
        <w:widowControl w:val="0"/>
        <w:tabs>
          <w:tab w:val="center" w:pos="720"/>
        </w:tabs>
        <w:autoSpaceDE w:val="0"/>
        <w:autoSpaceDN w:val="0"/>
        <w:adjustRightInd w:val="0"/>
        <w:contextualSpacing/>
        <w:jc w:val="both"/>
        <w:rPr>
          <w:rFonts w:ascii="Verdana" w:hAnsi="Verdana"/>
          <w:sz w:val="20"/>
          <w:szCs w:val="20"/>
          <w:lang w:val="en-US"/>
        </w:rPr>
      </w:pPr>
    </w:p>
    <w:p w14:paraId="659E110D" w14:textId="4A317A00" w:rsidR="00FF2083" w:rsidRPr="00D869E3" w:rsidRDefault="00447C65" w:rsidP="00097299">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cs="Tahoma"/>
          <w:color w:val="000000"/>
          <w:sz w:val="20"/>
          <w:szCs w:val="20"/>
          <w:lang w:val="en-US"/>
        </w:rPr>
        <w:t>The Court</w:t>
      </w:r>
      <w:r w:rsidR="009C5D55" w:rsidRPr="00D869E3">
        <w:rPr>
          <w:rFonts w:ascii="Verdana" w:hAnsi="Verdana"/>
          <w:sz w:val="20"/>
          <w:szCs w:val="20"/>
          <w:lang w:val="en-US"/>
        </w:rPr>
        <w:t xml:space="preserve"> t</w:t>
      </w:r>
      <w:r w:rsidR="00097299" w:rsidRPr="00D869E3">
        <w:rPr>
          <w:rFonts w:ascii="Verdana" w:hAnsi="Verdana"/>
          <w:sz w:val="20"/>
          <w:szCs w:val="20"/>
          <w:lang w:val="en-US"/>
        </w:rPr>
        <w:t xml:space="preserve">akes into consideration that </w:t>
      </w:r>
      <w:r w:rsidR="001E44D3" w:rsidRPr="00D869E3">
        <w:rPr>
          <w:rFonts w:ascii="Verdana" w:hAnsi="Verdana"/>
          <w:sz w:val="20"/>
          <w:szCs w:val="20"/>
          <w:lang w:val="en-US"/>
        </w:rPr>
        <w:t>Mr. Lagos del Campo</w:t>
      </w:r>
      <w:r w:rsidR="009C5D55" w:rsidRPr="00D869E3">
        <w:rPr>
          <w:rFonts w:ascii="Verdana" w:hAnsi="Verdana"/>
          <w:sz w:val="20"/>
          <w:szCs w:val="20"/>
          <w:lang w:val="en-US"/>
        </w:rPr>
        <w:t xml:space="preserve"> </w:t>
      </w:r>
      <w:r w:rsidR="00097299" w:rsidRPr="00D869E3">
        <w:rPr>
          <w:rFonts w:ascii="Verdana" w:hAnsi="Verdana"/>
          <w:sz w:val="20"/>
          <w:szCs w:val="20"/>
          <w:lang w:val="en-US"/>
        </w:rPr>
        <w:t xml:space="preserve">was declared a victim </w:t>
      </w:r>
      <w:r w:rsidR="00EA232B" w:rsidRPr="00D869E3">
        <w:rPr>
          <w:rFonts w:ascii="Verdana" w:hAnsi="Verdana"/>
          <w:sz w:val="20"/>
          <w:szCs w:val="20"/>
          <w:lang w:val="en-US"/>
        </w:rPr>
        <w:t xml:space="preserve">of the </w:t>
      </w:r>
      <w:r w:rsidR="007013E2" w:rsidRPr="00D869E3">
        <w:rPr>
          <w:rFonts w:ascii="Verdana" w:hAnsi="Verdana"/>
          <w:sz w:val="20"/>
          <w:szCs w:val="20"/>
          <w:lang w:val="en-US"/>
        </w:rPr>
        <w:t>violation</w:t>
      </w:r>
      <w:r w:rsidR="009C5D55" w:rsidRPr="00D869E3">
        <w:rPr>
          <w:rFonts w:ascii="Verdana" w:hAnsi="Verdana"/>
          <w:sz w:val="20"/>
          <w:szCs w:val="20"/>
          <w:lang w:val="en-US"/>
        </w:rPr>
        <w:t xml:space="preserve"> </w:t>
      </w:r>
      <w:r w:rsidR="00097299" w:rsidRPr="00D869E3">
        <w:rPr>
          <w:rFonts w:ascii="Verdana" w:hAnsi="Verdana"/>
          <w:sz w:val="20"/>
          <w:szCs w:val="20"/>
          <w:lang w:val="en-US"/>
        </w:rPr>
        <w:t>of</w:t>
      </w:r>
      <w:r w:rsidR="009C5D55" w:rsidRPr="00D869E3">
        <w:rPr>
          <w:rFonts w:ascii="Verdana" w:hAnsi="Verdana"/>
          <w:sz w:val="20"/>
          <w:szCs w:val="20"/>
          <w:lang w:val="en-US"/>
        </w:rPr>
        <w:t xml:space="preserve"> </w:t>
      </w:r>
      <w:r w:rsidRPr="00D869E3">
        <w:rPr>
          <w:rFonts w:ascii="Verdana" w:hAnsi="Verdana"/>
          <w:sz w:val="20"/>
          <w:szCs w:val="20"/>
          <w:lang w:val="en-US"/>
        </w:rPr>
        <w:t>Articles</w:t>
      </w:r>
      <w:r w:rsidR="009C5D55" w:rsidRPr="00D869E3">
        <w:rPr>
          <w:rFonts w:ascii="Verdana" w:hAnsi="Verdana"/>
          <w:sz w:val="20"/>
          <w:szCs w:val="20"/>
          <w:lang w:val="en-US"/>
        </w:rPr>
        <w:t xml:space="preserve"> </w:t>
      </w:r>
      <w:r w:rsidR="00F830E9" w:rsidRPr="00D869E3">
        <w:rPr>
          <w:rFonts w:ascii="Verdana" w:hAnsi="Verdana"/>
          <w:sz w:val="20"/>
          <w:szCs w:val="20"/>
          <w:lang w:val="en-US"/>
        </w:rPr>
        <w:t>13, 8, 26, 16</w:t>
      </w:r>
      <w:r w:rsidR="00687684" w:rsidRPr="00D869E3">
        <w:rPr>
          <w:rFonts w:ascii="Verdana" w:hAnsi="Verdana"/>
          <w:sz w:val="20"/>
          <w:szCs w:val="20"/>
          <w:lang w:val="en-US"/>
        </w:rPr>
        <w:t xml:space="preserve"> and </w:t>
      </w:r>
      <w:r w:rsidR="00F830E9" w:rsidRPr="00D869E3">
        <w:rPr>
          <w:rFonts w:ascii="Verdana" w:hAnsi="Verdana"/>
          <w:sz w:val="20"/>
          <w:szCs w:val="20"/>
          <w:lang w:val="en-US"/>
        </w:rPr>
        <w:t>25</w:t>
      </w:r>
      <w:r w:rsidR="00097299" w:rsidRPr="00D869E3">
        <w:rPr>
          <w:rFonts w:ascii="Verdana" w:hAnsi="Verdana"/>
          <w:sz w:val="20"/>
          <w:szCs w:val="20"/>
          <w:lang w:val="en-US"/>
        </w:rPr>
        <w:t xml:space="preserve"> of the Convention</w:t>
      </w:r>
      <w:r w:rsidR="009C5D55" w:rsidRPr="00D869E3">
        <w:rPr>
          <w:rFonts w:ascii="Verdana" w:hAnsi="Verdana"/>
          <w:sz w:val="20"/>
          <w:szCs w:val="20"/>
          <w:lang w:val="en-US"/>
        </w:rPr>
        <w:t xml:space="preserve">. </w:t>
      </w:r>
      <w:r w:rsidR="00097299" w:rsidRPr="00D869E3">
        <w:rPr>
          <w:rFonts w:ascii="Verdana" w:hAnsi="Verdana"/>
          <w:sz w:val="20"/>
          <w:szCs w:val="20"/>
          <w:lang w:val="en-US"/>
        </w:rPr>
        <w:t>These violations resulted in evident harm: the victim was diagnosed with the clinical disorder, classified by the</w:t>
      </w:r>
      <w:r w:rsidR="00232B57" w:rsidRPr="00D869E3">
        <w:rPr>
          <w:rFonts w:ascii="Verdana" w:hAnsi="Verdana"/>
          <w:sz w:val="20"/>
          <w:szCs w:val="20"/>
          <w:lang w:val="en-US"/>
        </w:rPr>
        <w:t xml:space="preserve"> </w:t>
      </w:r>
      <w:r w:rsidR="00097299" w:rsidRPr="00D869E3">
        <w:rPr>
          <w:rFonts w:ascii="Verdana" w:hAnsi="Verdana"/>
          <w:sz w:val="20"/>
          <w:szCs w:val="20"/>
          <w:lang w:val="en-US"/>
        </w:rPr>
        <w:t>ICD-10 [</w:t>
      </w:r>
      <w:r w:rsidR="00232B57" w:rsidRPr="00D869E3">
        <w:rPr>
          <w:rFonts w:ascii="Verdana" w:hAnsi="Verdana"/>
          <w:sz w:val="20"/>
          <w:szCs w:val="20"/>
          <w:lang w:val="en-US"/>
        </w:rPr>
        <w:t xml:space="preserve">Translator’s note: </w:t>
      </w:r>
      <w:r w:rsidR="00097299" w:rsidRPr="00D869E3">
        <w:rPr>
          <w:rStyle w:val="e24kjd"/>
          <w:rFonts w:ascii="Verdana" w:hAnsi="Verdana"/>
          <w:sz w:val="20"/>
          <w:szCs w:val="20"/>
          <w:lang w:val="en-US"/>
        </w:rPr>
        <w:t>the 10th revision of the International Statistical Classification of Diseases and Related Health Problems]</w:t>
      </w:r>
      <w:r w:rsidR="0032208A" w:rsidRPr="00D869E3">
        <w:rPr>
          <w:rStyle w:val="e24kjd"/>
          <w:rFonts w:ascii="Verdana" w:hAnsi="Verdana"/>
          <w:sz w:val="20"/>
          <w:szCs w:val="20"/>
          <w:lang w:val="en-US"/>
        </w:rPr>
        <w:t xml:space="preserve"> as a persistent personality disorder following a traumatic and/or catastrophic experience, </w:t>
      </w:r>
      <w:r w:rsidR="00232B57" w:rsidRPr="00D869E3">
        <w:rPr>
          <w:rStyle w:val="e24kjd"/>
          <w:rFonts w:ascii="Verdana" w:hAnsi="Verdana"/>
          <w:sz w:val="20"/>
          <w:szCs w:val="20"/>
          <w:lang w:val="en-US"/>
        </w:rPr>
        <w:t>following</w:t>
      </w:r>
      <w:r w:rsidR="0032208A" w:rsidRPr="00D869E3">
        <w:rPr>
          <w:rStyle w:val="e24kjd"/>
          <w:rFonts w:ascii="Verdana" w:hAnsi="Verdana"/>
          <w:sz w:val="20"/>
          <w:szCs w:val="20"/>
          <w:lang w:val="en-US"/>
        </w:rPr>
        <w:t xml:space="preserve"> the situation denounced and the prolonged judicial proceedings.</w:t>
      </w:r>
      <w:r w:rsidR="009C5D55" w:rsidRPr="00D869E3">
        <w:rPr>
          <w:rFonts w:ascii="Verdana" w:hAnsi="Verdana"/>
          <w:sz w:val="20"/>
          <w:szCs w:val="20"/>
          <w:vertAlign w:val="superscript"/>
          <w:lang w:val="en-US"/>
        </w:rPr>
        <w:footnoteReference w:id="271"/>
      </w:r>
      <w:r w:rsidR="009C5D55" w:rsidRPr="00D869E3">
        <w:rPr>
          <w:rFonts w:ascii="Verdana" w:hAnsi="Verdana"/>
          <w:sz w:val="20"/>
          <w:szCs w:val="20"/>
          <w:lang w:val="en-US"/>
        </w:rPr>
        <w:t xml:space="preserve"> </w:t>
      </w:r>
      <w:r w:rsidR="0032208A" w:rsidRPr="00D869E3">
        <w:rPr>
          <w:rFonts w:ascii="Verdana" w:hAnsi="Verdana"/>
          <w:sz w:val="20"/>
          <w:szCs w:val="20"/>
          <w:lang w:val="en-US"/>
        </w:rPr>
        <w:t xml:space="preserve">Moreover, it has been proved that his dismissal and the violation of his </w:t>
      </w:r>
      <w:r w:rsidR="00B443B4" w:rsidRPr="00D869E3">
        <w:rPr>
          <w:rFonts w:ascii="Verdana" w:hAnsi="Verdana"/>
          <w:sz w:val="20"/>
          <w:szCs w:val="20"/>
          <w:lang w:val="en-US"/>
        </w:rPr>
        <w:t>human rights</w:t>
      </w:r>
      <w:r w:rsidR="009C5D55" w:rsidRPr="00D869E3">
        <w:rPr>
          <w:rFonts w:ascii="Verdana" w:hAnsi="Verdana"/>
          <w:sz w:val="20"/>
          <w:szCs w:val="20"/>
          <w:lang w:val="en-US"/>
        </w:rPr>
        <w:t>, as</w:t>
      </w:r>
      <w:r w:rsidR="0032208A" w:rsidRPr="00D869E3">
        <w:rPr>
          <w:rFonts w:ascii="Verdana" w:hAnsi="Verdana"/>
          <w:sz w:val="20"/>
          <w:szCs w:val="20"/>
          <w:lang w:val="en-US"/>
        </w:rPr>
        <w:t xml:space="preserve"> well as the impossibility of obtaining justice to date, have been significant sources of stress, anxiety and worr</w:t>
      </w:r>
      <w:r w:rsidR="00232B57" w:rsidRPr="00D869E3">
        <w:rPr>
          <w:rFonts w:ascii="Verdana" w:hAnsi="Verdana"/>
          <w:sz w:val="20"/>
          <w:szCs w:val="20"/>
          <w:lang w:val="en-US"/>
        </w:rPr>
        <w:t>y and</w:t>
      </w:r>
      <w:r w:rsidR="0032208A" w:rsidRPr="00D869E3">
        <w:rPr>
          <w:rFonts w:ascii="Verdana" w:hAnsi="Verdana"/>
          <w:sz w:val="20"/>
          <w:szCs w:val="20"/>
          <w:lang w:val="en-US"/>
        </w:rPr>
        <w:t xml:space="preserve">, with the passage of time, </w:t>
      </w:r>
      <w:r w:rsidR="00232B57" w:rsidRPr="00D869E3">
        <w:rPr>
          <w:rFonts w:ascii="Verdana" w:hAnsi="Verdana"/>
          <w:sz w:val="20"/>
          <w:szCs w:val="20"/>
          <w:lang w:val="en-US"/>
        </w:rPr>
        <w:t xml:space="preserve">this </w:t>
      </w:r>
      <w:r w:rsidR="0032208A" w:rsidRPr="00D869E3">
        <w:rPr>
          <w:rFonts w:ascii="Verdana" w:hAnsi="Verdana"/>
          <w:sz w:val="20"/>
          <w:szCs w:val="20"/>
          <w:lang w:val="en-US"/>
        </w:rPr>
        <w:t xml:space="preserve">has affected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32208A" w:rsidRPr="00D869E3">
        <w:rPr>
          <w:rFonts w:ascii="Verdana" w:hAnsi="Verdana"/>
          <w:sz w:val="20"/>
          <w:szCs w:val="20"/>
          <w:lang w:val="en-US"/>
        </w:rPr>
        <w:t>’s health</w:t>
      </w:r>
      <w:r w:rsidR="009C5D55" w:rsidRPr="00D869E3">
        <w:rPr>
          <w:rFonts w:ascii="Verdana" w:hAnsi="Verdana"/>
          <w:sz w:val="20"/>
          <w:szCs w:val="20"/>
          <w:lang w:val="en-US"/>
        </w:rPr>
        <w:t>.</w:t>
      </w:r>
    </w:p>
    <w:p w14:paraId="131A265F" w14:textId="77777777" w:rsidR="00FF2083" w:rsidRPr="00D869E3" w:rsidRDefault="00FF2083" w:rsidP="00FF2083">
      <w:pPr>
        <w:widowControl w:val="0"/>
        <w:tabs>
          <w:tab w:val="center" w:pos="0"/>
        </w:tabs>
        <w:autoSpaceDE w:val="0"/>
        <w:autoSpaceDN w:val="0"/>
        <w:adjustRightInd w:val="0"/>
        <w:contextualSpacing/>
        <w:jc w:val="both"/>
        <w:rPr>
          <w:rFonts w:ascii="Verdana" w:hAnsi="Verdana"/>
          <w:sz w:val="20"/>
          <w:szCs w:val="20"/>
          <w:lang w:val="en-US"/>
        </w:rPr>
      </w:pPr>
    </w:p>
    <w:p w14:paraId="67638406" w14:textId="6432DCC9" w:rsidR="003610EB" w:rsidRPr="00D869E3" w:rsidRDefault="0032208A"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As a result of these violations, the Court finds it pertinent to establish, in equity, compensation for </w:t>
      </w:r>
      <w:r w:rsidR="00B44B46" w:rsidRPr="00D869E3">
        <w:rPr>
          <w:rFonts w:ascii="Verdana" w:hAnsi="Verdana"/>
          <w:sz w:val="20"/>
          <w:szCs w:val="20"/>
          <w:lang w:val="en-US"/>
        </w:rPr>
        <w:t>non-pecuniary damage</w:t>
      </w:r>
      <w:r w:rsidR="009C5D55" w:rsidRPr="00D869E3">
        <w:rPr>
          <w:rFonts w:ascii="Verdana" w:hAnsi="Verdana"/>
          <w:sz w:val="20"/>
          <w:szCs w:val="20"/>
          <w:lang w:val="en-US"/>
        </w:rPr>
        <w:t xml:space="preserve"> </w:t>
      </w:r>
      <w:r w:rsidRPr="00D869E3">
        <w:rPr>
          <w:rFonts w:ascii="Verdana" w:hAnsi="Verdana"/>
          <w:sz w:val="20"/>
          <w:szCs w:val="20"/>
          <w:lang w:val="en-US"/>
        </w:rPr>
        <w:t>of</w:t>
      </w:r>
      <w:r w:rsidR="009C5D55" w:rsidRPr="00D869E3">
        <w:rPr>
          <w:rFonts w:ascii="Verdana" w:hAnsi="Verdana"/>
          <w:sz w:val="20"/>
          <w:szCs w:val="20"/>
          <w:lang w:val="en-US"/>
        </w:rPr>
        <w:t xml:space="preserve"> </w:t>
      </w:r>
      <w:r w:rsidR="007C10CE" w:rsidRPr="00D869E3">
        <w:rPr>
          <w:rFonts w:ascii="Verdana" w:hAnsi="Verdana"/>
          <w:sz w:val="20"/>
          <w:szCs w:val="20"/>
          <w:lang w:val="en-US"/>
        </w:rPr>
        <w:t>US$20,000 (</w:t>
      </w:r>
      <w:r w:rsidRPr="00D869E3">
        <w:rPr>
          <w:rFonts w:ascii="Verdana" w:hAnsi="Verdana"/>
          <w:sz w:val="20"/>
          <w:szCs w:val="20"/>
          <w:lang w:val="en-US"/>
        </w:rPr>
        <w:t>twenty</w:t>
      </w:r>
      <w:r w:rsidR="007C10CE" w:rsidRPr="00D869E3">
        <w:rPr>
          <w:rFonts w:ascii="Verdana" w:hAnsi="Verdana"/>
          <w:sz w:val="20"/>
          <w:szCs w:val="20"/>
          <w:lang w:val="en-US"/>
        </w:rPr>
        <w:t xml:space="preserve"> </w:t>
      </w:r>
      <w:r w:rsidR="004926D0" w:rsidRPr="00D869E3">
        <w:rPr>
          <w:rFonts w:ascii="Verdana" w:hAnsi="Verdana"/>
          <w:sz w:val="20"/>
          <w:szCs w:val="20"/>
          <w:lang w:val="en-US"/>
        </w:rPr>
        <w:t>thousand United States dollars</w:t>
      </w:r>
      <w:r w:rsidR="007C10CE" w:rsidRPr="00D869E3">
        <w:rPr>
          <w:rFonts w:ascii="Verdana" w:hAnsi="Verdana"/>
          <w:sz w:val="20"/>
          <w:szCs w:val="20"/>
          <w:lang w:val="en-US"/>
        </w:rPr>
        <w:t>).</w:t>
      </w:r>
      <w:r w:rsidR="009C5D55" w:rsidRPr="00D869E3">
        <w:rPr>
          <w:rFonts w:ascii="Verdana" w:hAnsi="Verdana"/>
          <w:sz w:val="20"/>
          <w:szCs w:val="20"/>
          <w:lang w:val="en-US"/>
        </w:rPr>
        <w:t xml:space="preserve"> </w:t>
      </w:r>
    </w:p>
    <w:p w14:paraId="26E799AB" w14:textId="77777777" w:rsidR="009C5D55" w:rsidRPr="00D869E3" w:rsidRDefault="009C5D55" w:rsidP="009C5D55">
      <w:pPr>
        <w:rPr>
          <w:rFonts w:ascii="Verdana" w:hAnsi="Verdana"/>
          <w:sz w:val="20"/>
          <w:szCs w:val="20"/>
          <w:lang w:val="en-US"/>
        </w:rPr>
      </w:pPr>
    </w:p>
    <w:p w14:paraId="1DFEEBD2" w14:textId="395EBA58" w:rsidR="009C5D55" w:rsidRPr="00D869E3" w:rsidRDefault="00B44B46" w:rsidP="00E66DD7">
      <w:pPr>
        <w:pStyle w:val="Ttulo2"/>
        <w:numPr>
          <w:ilvl w:val="0"/>
          <w:numId w:val="13"/>
        </w:numPr>
        <w:rPr>
          <w:i/>
          <w:szCs w:val="20"/>
          <w:lang w:val="en-US"/>
        </w:rPr>
      </w:pPr>
      <w:bookmarkStart w:id="73" w:name="_Toc29114160"/>
      <w:r w:rsidRPr="00D869E3">
        <w:rPr>
          <w:i/>
          <w:szCs w:val="20"/>
          <w:lang w:val="en-US"/>
        </w:rPr>
        <w:t>Costs and expenses</w:t>
      </w:r>
      <w:bookmarkEnd w:id="73"/>
    </w:p>
    <w:p w14:paraId="57A9A1B1" w14:textId="77777777" w:rsidR="009C5D55" w:rsidRPr="00D869E3" w:rsidRDefault="009C5D55" w:rsidP="009C5D55">
      <w:pPr>
        <w:rPr>
          <w:rFonts w:ascii="Verdana" w:hAnsi="Verdana"/>
          <w:sz w:val="20"/>
          <w:szCs w:val="20"/>
          <w:lang w:val="en-US"/>
        </w:rPr>
      </w:pPr>
    </w:p>
    <w:p w14:paraId="21ACEB4E" w14:textId="0723F51D" w:rsidR="009C5D55" w:rsidRPr="00D869E3" w:rsidRDefault="00687684"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w:t>
      </w:r>
      <w:r w:rsidRPr="00D869E3">
        <w:rPr>
          <w:rFonts w:ascii="Verdana" w:hAnsi="Verdana"/>
          <w:b/>
          <w:bCs/>
          <w:i/>
          <w:iCs/>
          <w:sz w:val="20"/>
          <w:szCs w:val="20"/>
          <w:lang w:val="en-US"/>
        </w:rPr>
        <w:t>representatives</w:t>
      </w:r>
      <w:r w:rsidR="009C5D55" w:rsidRPr="00D869E3">
        <w:rPr>
          <w:rFonts w:ascii="Verdana" w:hAnsi="Verdana"/>
          <w:b/>
          <w:i/>
          <w:sz w:val="20"/>
          <w:szCs w:val="20"/>
          <w:lang w:val="en-US"/>
        </w:rPr>
        <w:t xml:space="preserve"> </w:t>
      </w:r>
      <w:r w:rsidR="0032208A" w:rsidRPr="00D869E3">
        <w:rPr>
          <w:rFonts w:ascii="Verdana" w:hAnsi="Verdana"/>
          <w:sz w:val="20"/>
          <w:szCs w:val="20"/>
          <w:lang w:val="en-US"/>
        </w:rPr>
        <w:t>explained that</w:t>
      </w:r>
      <w:r w:rsidR="009C5D55" w:rsidRPr="00D869E3">
        <w:rPr>
          <w:rFonts w:ascii="Verdana" w:hAnsi="Verdana"/>
          <w:sz w:val="20"/>
          <w:szCs w:val="20"/>
          <w:lang w:val="en-US"/>
        </w:rPr>
        <w:t xml:space="preserve"> </w:t>
      </w:r>
      <w:r w:rsidR="001E44D3" w:rsidRPr="00D869E3">
        <w:rPr>
          <w:rFonts w:ascii="Verdana" w:hAnsi="Verdana"/>
          <w:sz w:val="20"/>
          <w:szCs w:val="20"/>
          <w:lang w:val="en-US"/>
        </w:rPr>
        <w:t>Mr. Lagos del Campo</w:t>
      </w:r>
      <w:r w:rsidR="009C5D55" w:rsidRPr="00D869E3">
        <w:rPr>
          <w:rFonts w:ascii="Verdana" w:hAnsi="Verdana"/>
          <w:sz w:val="20"/>
          <w:szCs w:val="20"/>
          <w:lang w:val="en-US"/>
        </w:rPr>
        <w:t xml:space="preserve"> incurr</w:t>
      </w:r>
      <w:r w:rsidR="0032208A" w:rsidRPr="00D869E3">
        <w:rPr>
          <w:rFonts w:ascii="Verdana" w:hAnsi="Verdana"/>
          <w:sz w:val="20"/>
          <w:szCs w:val="20"/>
          <w:lang w:val="en-US"/>
        </w:rPr>
        <w:t xml:space="preserve">ed expenses in the different judicial proceedings, including when he had recourse to </w:t>
      </w:r>
      <w:r w:rsidR="00447C65" w:rsidRPr="00D869E3">
        <w:rPr>
          <w:rFonts w:ascii="Verdana" w:hAnsi="Verdana"/>
          <w:sz w:val="20"/>
          <w:szCs w:val="20"/>
          <w:lang w:val="en-US"/>
        </w:rPr>
        <w:t>the Commission</w:t>
      </w:r>
      <w:r w:rsidR="009C5D55" w:rsidRPr="00D869E3">
        <w:rPr>
          <w:rFonts w:ascii="Verdana" w:hAnsi="Verdana"/>
          <w:sz w:val="20"/>
          <w:szCs w:val="20"/>
          <w:lang w:val="en-US"/>
        </w:rPr>
        <w:t xml:space="preserve">. </w:t>
      </w:r>
      <w:r w:rsidR="0032208A" w:rsidRPr="00D869E3">
        <w:rPr>
          <w:rFonts w:ascii="Verdana" w:hAnsi="Verdana"/>
          <w:sz w:val="20"/>
          <w:szCs w:val="20"/>
          <w:lang w:val="en-US"/>
        </w:rPr>
        <w:t xml:space="preserve">Later, he was sponsored by </w:t>
      </w:r>
      <w:r w:rsidR="009C5D55" w:rsidRPr="00D869E3">
        <w:rPr>
          <w:rFonts w:ascii="Verdana" w:hAnsi="Verdana"/>
          <w:sz w:val="20"/>
          <w:szCs w:val="20"/>
          <w:lang w:val="en-US"/>
        </w:rPr>
        <w:t xml:space="preserve">APRODEH. </w:t>
      </w:r>
      <w:r w:rsidR="005401CF" w:rsidRPr="00D869E3">
        <w:rPr>
          <w:rFonts w:ascii="Verdana" w:hAnsi="Verdana"/>
          <w:sz w:val="20"/>
          <w:szCs w:val="20"/>
          <w:lang w:val="en-US"/>
        </w:rPr>
        <w:t>Accordingly, they asked</w:t>
      </w:r>
      <w:r w:rsidR="009C5D55" w:rsidRPr="00D869E3">
        <w:rPr>
          <w:rFonts w:ascii="Verdana" w:hAnsi="Verdana"/>
          <w:sz w:val="20"/>
          <w:szCs w:val="20"/>
          <w:lang w:val="en-US"/>
        </w:rPr>
        <w:t xml:space="preserve"> </w:t>
      </w:r>
      <w:r w:rsidR="00447C65" w:rsidRPr="00D869E3">
        <w:rPr>
          <w:rFonts w:ascii="Verdana" w:hAnsi="Verdana"/>
          <w:sz w:val="20"/>
          <w:szCs w:val="20"/>
          <w:lang w:val="en-US"/>
        </w:rPr>
        <w:t>the Court</w:t>
      </w:r>
      <w:r w:rsidR="005401CF" w:rsidRPr="00D869E3">
        <w:rPr>
          <w:rFonts w:ascii="Verdana" w:hAnsi="Verdana"/>
          <w:sz w:val="20"/>
          <w:szCs w:val="20"/>
          <w:lang w:val="en-US"/>
        </w:rPr>
        <w:t xml:space="preserve"> to establish, in equity, </w:t>
      </w:r>
      <w:r w:rsidR="00A02C61" w:rsidRPr="00D869E3">
        <w:rPr>
          <w:rFonts w:ascii="Verdana" w:hAnsi="Verdana"/>
          <w:sz w:val="20"/>
          <w:szCs w:val="20"/>
          <w:lang w:val="en-US"/>
        </w:rPr>
        <w:t>an</w:t>
      </w:r>
      <w:r w:rsidR="005401CF" w:rsidRPr="00D869E3">
        <w:rPr>
          <w:rFonts w:ascii="Verdana" w:hAnsi="Verdana"/>
          <w:sz w:val="20"/>
          <w:szCs w:val="20"/>
          <w:lang w:val="en-US"/>
        </w:rPr>
        <w:t xml:space="preserve"> amount for expenses corresponding </w:t>
      </w:r>
      <w:r w:rsidR="00EE0BD4" w:rsidRPr="00D869E3">
        <w:rPr>
          <w:rFonts w:ascii="Verdana" w:hAnsi="Verdana"/>
          <w:sz w:val="20"/>
          <w:szCs w:val="20"/>
          <w:lang w:val="en-US"/>
        </w:rPr>
        <w:t>to Mr. Lagos</w:t>
      </w:r>
      <w:r w:rsidR="009C5D55" w:rsidRPr="00D869E3">
        <w:rPr>
          <w:rFonts w:ascii="Verdana" w:hAnsi="Verdana"/>
          <w:sz w:val="20"/>
          <w:szCs w:val="20"/>
          <w:lang w:val="en-US"/>
        </w:rPr>
        <w:t xml:space="preserve"> del Campo,</w:t>
      </w:r>
      <w:r w:rsidRPr="00D869E3">
        <w:rPr>
          <w:rFonts w:ascii="Verdana" w:hAnsi="Verdana"/>
          <w:sz w:val="20"/>
          <w:szCs w:val="20"/>
          <w:lang w:val="en-US"/>
        </w:rPr>
        <w:t xml:space="preserve"> </w:t>
      </w:r>
      <w:r w:rsidR="005401CF" w:rsidRPr="00D869E3">
        <w:rPr>
          <w:rFonts w:ascii="Verdana" w:hAnsi="Verdana"/>
          <w:sz w:val="20"/>
          <w:szCs w:val="20"/>
          <w:lang w:val="en-US"/>
        </w:rPr>
        <w:t xml:space="preserve">and </w:t>
      </w:r>
      <w:r w:rsidR="00A02C61" w:rsidRPr="00D869E3">
        <w:rPr>
          <w:rFonts w:ascii="Verdana" w:hAnsi="Verdana"/>
          <w:sz w:val="20"/>
          <w:szCs w:val="20"/>
          <w:lang w:val="en-US"/>
        </w:rPr>
        <w:t xml:space="preserve">those </w:t>
      </w:r>
      <w:r w:rsidR="005401CF" w:rsidRPr="00D869E3">
        <w:rPr>
          <w:rFonts w:ascii="Verdana" w:hAnsi="Verdana"/>
          <w:sz w:val="20"/>
          <w:szCs w:val="20"/>
          <w:lang w:val="en-US"/>
        </w:rPr>
        <w:t>corresponding to</w:t>
      </w:r>
      <w:r w:rsidR="009C5D55" w:rsidRPr="00D869E3">
        <w:rPr>
          <w:rFonts w:ascii="Verdana" w:hAnsi="Verdana"/>
          <w:sz w:val="20"/>
          <w:szCs w:val="20"/>
          <w:lang w:val="en-US"/>
        </w:rPr>
        <w:t xml:space="preserve"> APRODEH </w:t>
      </w:r>
      <w:r w:rsidR="005401CF" w:rsidRPr="00D869E3">
        <w:rPr>
          <w:rFonts w:ascii="Verdana" w:hAnsi="Verdana"/>
          <w:sz w:val="20"/>
          <w:szCs w:val="20"/>
          <w:lang w:val="en-US"/>
        </w:rPr>
        <w:t>as the victim’s representatives. They also asked to be given the opportunity to present amounts and vouchers for future expenses at the corresponding procedural stage.</w:t>
      </w:r>
      <w:r w:rsidR="00012864" w:rsidRPr="00D869E3">
        <w:rPr>
          <w:rStyle w:val="Refdenotaalpie"/>
          <w:szCs w:val="20"/>
          <w:lang w:val="en-US"/>
        </w:rPr>
        <w:footnoteReference w:id="272"/>
      </w:r>
      <w:r w:rsidR="007D7DF2" w:rsidRPr="00D869E3">
        <w:rPr>
          <w:rFonts w:ascii="Verdana" w:hAnsi="Verdana"/>
          <w:sz w:val="20"/>
          <w:szCs w:val="20"/>
          <w:lang w:val="en-US"/>
        </w:rPr>
        <w:t xml:space="preserve"> </w:t>
      </w:r>
      <w:r w:rsidR="009C5D55" w:rsidRPr="00D869E3">
        <w:rPr>
          <w:rFonts w:ascii="Verdana" w:hAnsi="Verdana"/>
          <w:sz w:val="20"/>
          <w:szCs w:val="20"/>
          <w:lang w:val="en-US"/>
        </w:rPr>
        <w:t xml:space="preserve"> </w:t>
      </w:r>
    </w:p>
    <w:p w14:paraId="01CBC750"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68999DCB" w14:textId="13757EA7" w:rsidR="005401CF" w:rsidRPr="00D869E3" w:rsidRDefault="00447C6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The</w:t>
      </w:r>
      <w:r w:rsidRPr="00D869E3">
        <w:rPr>
          <w:rFonts w:ascii="Verdana" w:hAnsi="Verdana"/>
          <w:b/>
          <w:bCs/>
          <w:i/>
          <w:iCs/>
          <w:sz w:val="20"/>
          <w:szCs w:val="20"/>
          <w:lang w:val="en-US"/>
        </w:rPr>
        <w:t xml:space="preserve"> State</w:t>
      </w:r>
      <w:r w:rsidR="009C5D55" w:rsidRPr="00D869E3">
        <w:rPr>
          <w:rFonts w:ascii="Verdana" w:hAnsi="Verdana"/>
          <w:sz w:val="20"/>
          <w:szCs w:val="20"/>
          <w:lang w:val="en-US"/>
        </w:rPr>
        <w:t xml:space="preserve"> </w:t>
      </w:r>
      <w:r w:rsidR="005401CF" w:rsidRPr="00D869E3">
        <w:rPr>
          <w:rFonts w:ascii="Verdana" w:hAnsi="Verdana"/>
          <w:sz w:val="20"/>
          <w:szCs w:val="20"/>
          <w:lang w:val="en-US"/>
        </w:rPr>
        <w:t>argued that vouchers must be submitted in order to obtain reimbursement of costs and expenses. Regarding future expenditure, it indicated that the representative’s request appeared reasonable, but it reserved the right to examine the expenses at the corresponding procedural opportunity.</w:t>
      </w:r>
    </w:p>
    <w:p w14:paraId="6F54E3A0"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sz w:val="20"/>
          <w:szCs w:val="20"/>
          <w:lang w:val="en-US"/>
        </w:rPr>
      </w:pPr>
    </w:p>
    <w:p w14:paraId="26AD6CD4" w14:textId="1B262C04" w:rsidR="009C5D55" w:rsidRPr="00D869E3" w:rsidRDefault="00447C65" w:rsidP="0061303F">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The Court</w:t>
      </w:r>
      <w:r w:rsidR="009C5D55" w:rsidRPr="00D869E3">
        <w:rPr>
          <w:rFonts w:ascii="Verdana" w:hAnsi="Verdana"/>
          <w:sz w:val="20"/>
          <w:szCs w:val="20"/>
          <w:lang w:val="en-US"/>
        </w:rPr>
        <w:t xml:space="preserve"> reitera</w:t>
      </w:r>
      <w:r w:rsidR="0061303F" w:rsidRPr="00D869E3">
        <w:rPr>
          <w:rFonts w:ascii="Verdana" w:hAnsi="Verdana"/>
          <w:sz w:val="20"/>
          <w:szCs w:val="20"/>
          <w:lang w:val="en-US"/>
        </w:rPr>
        <w:t>tes that, pursuant to its case law,</w:t>
      </w:r>
      <w:r w:rsidR="009C5D55" w:rsidRPr="00D869E3">
        <w:rPr>
          <w:rFonts w:ascii="Verdana" w:hAnsi="Verdana"/>
          <w:sz w:val="20"/>
          <w:szCs w:val="20"/>
          <w:vertAlign w:val="superscript"/>
          <w:lang w:val="en-US"/>
        </w:rPr>
        <w:footnoteReference w:id="273"/>
      </w:r>
      <w:r w:rsidR="009C5D55" w:rsidRPr="00D869E3">
        <w:rPr>
          <w:rFonts w:ascii="Verdana" w:hAnsi="Verdana"/>
          <w:sz w:val="20"/>
          <w:szCs w:val="20"/>
          <w:lang w:val="en-US"/>
        </w:rPr>
        <w:t xml:space="preserve"> </w:t>
      </w:r>
      <w:r w:rsidR="00B44B46" w:rsidRPr="00D869E3">
        <w:rPr>
          <w:rFonts w:ascii="Verdana" w:hAnsi="Verdana"/>
          <w:sz w:val="20"/>
          <w:szCs w:val="20"/>
          <w:lang w:val="en-US"/>
        </w:rPr>
        <w:t xml:space="preserve">costs and </w:t>
      </w:r>
      <w:r w:rsidR="00E56813" w:rsidRPr="00D869E3">
        <w:rPr>
          <w:rFonts w:ascii="Verdana" w:hAnsi="Verdana"/>
          <w:sz w:val="20"/>
          <w:szCs w:val="20"/>
          <w:lang w:val="en-US"/>
        </w:rPr>
        <w:t>expenses</w:t>
      </w:r>
      <w:r w:rsidR="009C5D55" w:rsidRPr="00D869E3">
        <w:rPr>
          <w:rFonts w:ascii="Verdana" w:hAnsi="Verdana"/>
          <w:sz w:val="20"/>
          <w:szCs w:val="20"/>
          <w:lang w:val="en-US"/>
        </w:rPr>
        <w:t xml:space="preserve"> </w:t>
      </w:r>
      <w:r w:rsidR="0061303F" w:rsidRPr="00D869E3">
        <w:rPr>
          <w:rFonts w:ascii="Verdana" w:hAnsi="Verdana"/>
          <w:sz w:val="20"/>
          <w:szCs w:val="20"/>
          <w:lang w:val="en-US"/>
        </w:rPr>
        <w:t xml:space="preserve">form part of the concept of reparation, because the efforts made by the victims to obtain justice at both the national and the international level involve disbursements that should be compensated when the international responsibility of the State has been declared in a judgment. Regarding the reimbursement of costs and expenses, it is for the Court to make a prudent assessment of their scope, which includes the expenses arising before the authorities of the domestic jurisdiction and also those incurred in the course of the proceedings </w:t>
      </w:r>
      <w:r w:rsidR="00966115" w:rsidRPr="00D869E3">
        <w:rPr>
          <w:rFonts w:ascii="Verdana" w:hAnsi="Verdana"/>
          <w:sz w:val="20"/>
          <w:szCs w:val="20"/>
          <w:lang w:val="en-US"/>
        </w:rPr>
        <w:t>before the</w:t>
      </w:r>
      <w:r w:rsidR="00671B14" w:rsidRPr="00D869E3">
        <w:rPr>
          <w:rFonts w:ascii="Verdana" w:hAnsi="Verdana"/>
          <w:sz w:val="20"/>
          <w:szCs w:val="20"/>
          <w:lang w:val="en-US"/>
        </w:rPr>
        <w:t xml:space="preserve"> inter-American system</w:t>
      </w:r>
      <w:r w:rsidR="009C5D55" w:rsidRPr="00D869E3">
        <w:rPr>
          <w:rFonts w:ascii="Verdana" w:hAnsi="Verdana"/>
          <w:sz w:val="20"/>
          <w:szCs w:val="20"/>
          <w:lang w:val="en-US"/>
        </w:rPr>
        <w:t>, t</w:t>
      </w:r>
      <w:r w:rsidR="0061303F" w:rsidRPr="00D869E3">
        <w:rPr>
          <w:rFonts w:ascii="Verdana" w:hAnsi="Verdana"/>
          <w:sz w:val="20"/>
          <w:szCs w:val="20"/>
          <w:lang w:val="en-US"/>
        </w:rPr>
        <w:t xml:space="preserve">aking into account the circumstances of the specific case and the nature of the international jurisdiction for the protection of human rights. This assessment </w:t>
      </w:r>
      <w:r w:rsidR="00A02C61" w:rsidRPr="00D869E3">
        <w:rPr>
          <w:rFonts w:ascii="Verdana" w:hAnsi="Verdana"/>
          <w:sz w:val="20"/>
          <w:szCs w:val="20"/>
          <w:lang w:val="en-US"/>
        </w:rPr>
        <w:t>must</w:t>
      </w:r>
      <w:r w:rsidR="0061303F" w:rsidRPr="00D869E3">
        <w:rPr>
          <w:rFonts w:ascii="Verdana" w:hAnsi="Verdana"/>
          <w:sz w:val="20"/>
          <w:szCs w:val="20"/>
          <w:lang w:val="en-US"/>
        </w:rPr>
        <w:t xml:space="preserve"> be made taking into account the expenses indicated by the parties, provided that the</w:t>
      </w:r>
      <w:r w:rsidR="009C5D55" w:rsidRPr="00D869E3">
        <w:rPr>
          <w:rFonts w:ascii="Verdana" w:hAnsi="Verdana"/>
          <w:sz w:val="20"/>
          <w:szCs w:val="20"/>
          <w:lang w:val="en-US"/>
        </w:rPr>
        <w:t xml:space="preserve"> </w:t>
      </w:r>
      <w:r w:rsidR="009C5D55" w:rsidRPr="00D869E3">
        <w:rPr>
          <w:rFonts w:ascii="Verdana" w:hAnsi="Verdana"/>
          <w:i/>
          <w:sz w:val="20"/>
          <w:szCs w:val="20"/>
          <w:lang w:val="en-US"/>
        </w:rPr>
        <w:t>quantum</w:t>
      </w:r>
      <w:r w:rsidR="009C5D55" w:rsidRPr="00D869E3">
        <w:rPr>
          <w:rFonts w:ascii="Verdana" w:hAnsi="Verdana"/>
          <w:sz w:val="20"/>
          <w:szCs w:val="20"/>
          <w:lang w:val="en-US"/>
        </w:rPr>
        <w:t xml:space="preserve"> </w:t>
      </w:r>
      <w:r w:rsidR="00A02C61" w:rsidRPr="00D869E3">
        <w:rPr>
          <w:rFonts w:ascii="Verdana" w:hAnsi="Verdana"/>
          <w:sz w:val="20"/>
          <w:szCs w:val="20"/>
          <w:lang w:val="en-US"/>
        </w:rPr>
        <w:t>is</w:t>
      </w:r>
      <w:r w:rsidR="0061303F" w:rsidRPr="00D869E3">
        <w:rPr>
          <w:rFonts w:ascii="Verdana" w:hAnsi="Verdana"/>
          <w:sz w:val="20"/>
          <w:szCs w:val="20"/>
          <w:lang w:val="en-US"/>
        </w:rPr>
        <w:t xml:space="preserve"> reasonable.</w:t>
      </w:r>
      <w:r w:rsidR="009C5D55" w:rsidRPr="00D869E3">
        <w:rPr>
          <w:rFonts w:ascii="Verdana" w:hAnsi="Verdana"/>
          <w:sz w:val="20"/>
          <w:szCs w:val="20"/>
          <w:vertAlign w:val="superscript"/>
          <w:lang w:val="en-US"/>
        </w:rPr>
        <w:footnoteReference w:id="274"/>
      </w:r>
      <w:r w:rsidR="009C5D55" w:rsidRPr="00D869E3">
        <w:rPr>
          <w:rFonts w:ascii="Verdana" w:hAnsi="Verdana"/>
          <w:sz w:val="20"/>
          <w:szCs w:val="20"/>
          <w:lang w:val="en-US"/>
        </w:rPr>
        <w:t xml:space="preserve"> </w:t>
      </w:r>
    </w:p>
    <w:p w14:paraId="6634C37A" w14:textId="77777777" w:rsidR="009C5D55" w:rsidRPr="00D869E3" w:rsidRDefault="009C5D55" w:rsidP="009C5D55">
      <w:pPr>
        <w:contextualSpacing/>
        <w:rPr>
          <w:rFonts w:ascii="Verdana" w:hAnsi="Verdana"/>
          <w:sz w:val="20"/>
          <w:szCs w:val="20"/>
          <w:lang w:val="en-US"/>
        </w:rPr>
      </w:pPr>
    </w:p>
    <w:p w14:paraId="113BFD95" w14:textId="48BEC322" w:rsidR="009C5D55" w:rsidRPr="00D869E3" w:rsidRDefault="0061303F" w:rsidP="008A451A">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Court has indicated that “the claims of the victims or their representatives </w:t>
      </w:r>
      <w:r w:rsidR="00CC6A08" w:rsidRPr="00D869E3">
        <w:rPr>
          <w:rFonts w:ascii="Verdana" w:hAnsi="Verdana"/>
          <w:sz w:val="20"/>
          <w:szCs w:val="20"/>
          <w:lang w:val="en-US"/>
        </w:rPr>
        <w:t>for</w:t>
      </w:r>
      <w:r w:rsidRPr="00D869E3">
        <w:rPr>
          <w:rFonts w:ascii="Verdana" w:hAnsi="Verdana"/>
          <w:sz w:val="20"/>
          <w:szCs w:val="20"/>
          <w:lang w:val="en-US"/>
        </w:rPr>
        <w:t xml:space="preserve"> costs and expenses, and the </w:t>
      </w:r>
      <w:r w:rsidR="00CC6A08" w:rsidRPr="00D869E3">
        <w:rPr>
          <w:rFonts w:ascii="Verdana" w:hAnsi="Verdana"/>
          <w:sz w:val="20"/>
          <w:szCs w:val="20"/>
          <w:lang w:val="en-US"/>
        </w:rPr>
        <w:t xml:space="preserve">supporting </w:t>
      </w:r>
      <w:r w:rsidRPr="00D869E3">
        <w:rPr>
          <w:rFonts w:ascii="Verdana" w:hAnsi="Verdana"/>
          <w:sz w:val="20"/>
          <w:szCs w:val="20"/>
          <w:lang w:val="en-US"/>
        </w:rPr>
        <w:t xml:space="preserve">evidence, </w:t>
      </w:r>
      <w:r w:rsidR="00CC6A08" w:rsidRPr="00D869E3">
        <w:rPr>
          <w:rFonts w:ascii="Verdana" w:hAnsi="Verdana"/>
          <w:sz w:val="20"/>
          <w:szCs w:val="20"/>
          <w:lang w:val="en-US"/>
        </w:rPr>
        <w:t>must</w:t>
      </w:r>
      <w:r w:rsidRPr="00D869E3">
        <w:rPr>
          <w:rFonts w:ascii="Verdana" w:hAnsi="Verdana"/>
          <w:sz w:val="20"/>
          <w:szCs w:val="20"/>
          <w:lang w:val="en-US"/>
        </w:rPr>
        <w:t xml:space="preserve"> be presented to the Court at the first procedural opportunity granted to them; that is, in the </w:t>
      </w:r>
      <w:r w:rsidRPr="00D869E3">
        <w:rPr>
          <w:rFonts w:ascii="Verdana" w:eastAsia="Verdana" w:hAnsi="Verdana" w:cs="Verdana"/>
          <w:spacing w:val="-1"/>
          <w:sz w:val="20"/>
          <w:szCs w:val="20"/>
          <w:lang w:val="en-US"/>
        </w:rPr>
        <w:t>motions and pleadings brief</w:t>
      </w:r>
      <w:r w:rsidRPr="00D869E3">
        <w:rPr>
          <w:rFonts w:ascii="Verdana" w:eastAsia="Verdana" w:hAnsi="Verdana" w:cs="Verdana"/>
          <w:sz w:val="20"/>
          <w:szCs w:val="20"/>
          <w:lang w:val="en-US"/>
        </w:rPr>
        <w:t xml:space="preserve">, without prejudice to those claims being updated subsequently, with the new costs and expenses arising </w:t>
      </w:r>
      <w:r w:rsidRPr="00D869E3">
        <w:rPr>
          <w:rFonts w:ascii="Verdana" w:eastAsia="Verdana" w:hAnsi="Verdana" w:cs="Verdana"/>
          <w:sz w:val="20"/>
          <w:szCs w:val="20"/>
          <w:lang w:val="en-US"/>
        </w:rPr>
        <w:lastRenderedPageBreak/>
        <w:t>from the proceedings before</w:t>
      </w:r>
      <w:r w:rsidRPr="00D869E3">
        <w:rPr>
          <w:rFonts w:ascii="Verdana" w:hAnsi="Verdana"/>
          <w:sz w:val="20"/>
          <w:szCs w:val="20"/>
          <w:lang w:val="en-US"/>
        </w:rPr>
        <w:t xml:space="preserve"> </w:t>
      </w:r>
      <w:r w:rsidR="00901386" w:rsidRPr="00D869E3">
        <w:rPr>
          <w:rFonts w:ascii="Verdana" w:eastAsia="Verdana" w:hAnsi="Verdana" w:cs="Verdana"/>
          <w:spacing w:val="-1"/>
          <w:sz w:val="20"/>
          <w:szCs w:val="20"/>
          <w:lang w:val="en-US"/>
        </w:rPr>
        <w:t>this Court</w:t>
      </w:r>
      <w:r w:rsidRPr="00D869E3">
        <w:rPr>
          <w:rFonts w:ascii="Verdana" w:eastAsia="Verdana" w:hAnsi="Verdana" w:cs="Verdana"/>
          <w:spacing w:val="-1"/>
          <w:sz w:val="20"/>
          <w:szCs w:val="20"/>
          <w:lang w:val="en-US"/>
        </w:rPr>
        <w:t>.</w:t>
      </w:r>
      <w:r w:rsidR="006436CA" w:rsidRPr="00D869E3">
        <w:rPr>
          <w:rFonts w:ascii="Verdana" w:eastAsia="Verdana" w:hAnsi="Verdana" w:cs="Verdana"/>
          <w:spacing w:val="11"/>
          <w:sz w:val="20"/>
          <w:szCs w:val="20"/>
          <w:lang w:val="en-US"/>
        </w:rPr>
        <w:t>”</w:t>
      </w:r>
      <w:r w:rsidR="009C5D55" w:rsidRPr="00D869E3">
        <w:rPr>
          <w:rFonts w:ascii="Verdana" w:eastAsia="Verdana" w:hAnsi="Verdana" w:cs="Verdana"/>
          <w:spacing w:val="11"/>
          <w:sz w:val="20"/>
          <w:szCs w:val="20"/>
          <w:vertAlign w:val="superscript"/>
          <w:lang w:val="en-US"/>
        </w:rPr>
        <w:footnoteReference w:id="275"/>
      </w:r>
      <w:r w:rsidRPr="00D869E3">
        <w:rPr>
          <w:rFonts w:ascii="Verdana" w:eastAsia="Verdana" w:hAnsi="Verdana" w:cs="Verdana"/>
          <w:sz w:val="20"/>
          <w:szCs w:val="20"/>
          <w:lang w:val="en-US"/>
        </w:rPr>
        <w:t xml:space="preserve"> Furthermore, the Court reiterates that it is not sufficient to merely forward</w:t>
      </w:r>
      <w:r w:rsidR="008A451A" w:rsidRPr="00D869E3">
        <w:rPr>
          <w:rFonts w:ascii="Verdana" w:eastAsia="Verdana" w:hAnsi="Verdana" w:cs="Verdana"/>
          <w:sz w:val="20"/>
          <w:szCs w:val="20"/>
          <w:lang w:val="en-US"/>
        </w:rPr>
        <w:t xml:space="preserve"> the probative documents; rather, the parties are required to include arguments that relate the evidence to the fact it represents and, in the case of alleged financial disbursements, t</w:t>
      </w:r>
      <w:r w:rsidR="00CC6A08" w:rsidRPr="00D869E3">
        <w:rPr>
          <w:rFonts w:ascii="Verdana" w:eastAsia="Verdana" w:hAnsi="Verdana" w:cs="Verdana"/>
          <w:sz w:val="20"/>
          <w:szCs w:val="20"/>
          <w:lang w:val="en-US"/>
        </w:rPr>
        <w:t>hat</w:t>
      </w:r>
      <w:r w:rsidR="008A451A" w:rsidRPr="00D869E3">
        <w:rPr>
          <w:rFonts w:ascii="Verdana" w:eastAsia="Verdana" w:hAnsi="Verdana" w:cs="Verdana"/>
          <w:sz w:val="20"/>
          <w:szCs w:val="20"/>
          <w:lang w:val="en-US"/>
        </w:rPr>
        <w:t xml:space="preserve"> establish clearly the items and their justification.</w:t>
      </w:r>
      <w:r w:rsidR="009C5D55" w:rsidRPr="00D869E3">
        <w:rPr>
          <w:rFonts w:ascii="Verdana" w:eastAsia="Verdana" w:hAnsi="Verdana" w:cs="Verdana"/>
          <w:spacing w:val="7"/>
          <w:sz w:val="20"/>
          <w:szCs w:val="20"/>
          <w:vertAlign w:val="superscript"/>
          <w:lang w:val="en-US"/>
        </w:rPr>
        <w:footnoteReference w:id="276"/>
      </w:r>
      <w:r w:rsidR="009C5D55" w:rsidRPr="00D869E3">
        <w:rPr>
          <w:rFonts w:ascii="Verdana" w:hAnsi="Verdana"/>
          <w:sz w:val="20"/>
          <w:szCs w:val="20"/>
          <w:lang w:val="en-US"/>
        </w:rPr>
        <w:t xml:space="preserve"> </w:t>
      </w:r>
    </w:p>
    <w:p w14:paraId="457C03F0" w14:textId="77777777" w:rsidR="009C5D55" w:rsidRPr="00D869E3" w:rsidRDefault="009C5D55" w:rsidP="009C5D55">
      <w:pPr>
        <w:widowControl w:val="0"/>
        <w:tabs>
          <w:tab w:val="center" w:pos="0"/>
        </w:tabs>
        <w:autoSpaceDE w:val="0"/>
        <w:autoSpaceDN w:val="0"/>
        <w:adjustRightInd w:val="0"/>
        <w:contextualSpacing/>
        <w:jc w:val="both"/>
        <w:rPr>
          <w:rFonts w:ascii="Verdana" w:hAnsi="Verdana"/>
          <w:lang w:val="en-US"/>
        </w:rPr>
      </w:pPr>
    </w:p>
    <w:p w14:paraId="41AFDA9D" w14:textId="1EA16014" w:rsidR="009C5D55" w:rsidRPr="00D869E3" w:rsidRDefault="008A451A" w:rsidP="008A451A">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In the instant case</w:t>
      </w:r>
      <w:r w:rsidR="009C5D55" w:rsidRPr="00D869E3">
        <w:rPr>
          <w:rFonts w:ascii="Verdana" w:hAnsi="Verdana"/>
          <w:color w:val="000000"/>
          <w:sz w:val="20"/>
          <w:szCs w:val="20"/>
          <w:lang w:val="en-US"/>
        </w:rPr>
        <w:t xml:space="preserve">, </w:t>
      </w:r>
      <w:r w:rsidR="00447C65" w:rsidRPr="00D869E3">
        <w:rPr>
          <w:rFonts w:ascii="Verdana" w:hAnsi="Verdana"/>
          <w:color w:val="000000"/>
          <w:sz w:val="20"/>
          <w:szCs w:val="20"/>
          <w:lang w:val="en-US"/>
        </w:rPr>
        <w:t>the Court</w:t>
      </w:r>
      <w:r w:rsidR="009C5D55" w:rsidRPr="00D869E3">
        <w:rPr>
          <w:rFonts w:ascii="Verdana" w:hAnsi="Verdana"/>
          <w:color w:val="000000"/>
          <w:sz w:val="20"/>
          <w:szCs w:val="20"/>
          <w:lang w:val="en-US"/>
        </w:rPr>
        <w:t xml:space="preserve"> </w:t>
      </w:r>
      <w:r w:rsidRPr="00D869E3">
        <w:rPr>
          <w:rFonts w:ascii="Verdana" w:hAnsi="Verdana"/>
          <w:color w:val="000000"/>
          <w:sz w:val="20"/>
          <w:szCs w:val="20"/>
          <w:lang w:val="en-US"/>
        </w:rPr>
        <w:t>notes that</w:t>
      </w:r>
      <w:r w:rsidR="009C5D55" w:rsidRPr="00D869E3">
        <w:rPr>
          <w:rFonts w:ascii="Verdana" w:hAnsi="Verdana"/>
          <w:color w:val="000000"/>
          <w:sz w:val="20"/>
          <w:szCs w:val="20"/>
          <w:lang w:val="en-US"/>
        </w:rPr>
        <w:t xml:space="preserve"> </w:t>
      </w:r>
      <w:r w:rsidR="00687684" w:rsidRPr="00D869E3">
        <w:rPr>
          <w:rFonts w:ascii="Verdana" w:hAnsi="Verdana"/>
          <w:color w:val="000000"/>
          <w:sz w:val="20"/>
          <w:szCs w:val="20"/>
          <w:lang w:val="en-US"/>
        </w:rPr>
        <w:t>the representatives</w:t>
      </w:r>
      <w:r w:rsidR="009C5D55" w:rsidRPr="00D869E3">
        <w:rPr>
          <w:rFonts w:ascii="Verdana" w:hAnsi="Verdana"/>
          <w:color w:val="000000"/>
          <w:sz w:val="20"/>
          <w:szCs w:val="20"/>
          <w:lang w:val="en-US"/>
        </w:rPr>
        <w:t xml:space="preserve"> </w:t>
      </w:r>
      <w:r w:rsidRPr="00D869E3">
        <w:rPr>
          <w:rFonts w:ascii="Verdana" w:hAnsi="Verdana"/>
          <w:color w:val="000000"/>
          <w:sz w:val="20"/>
          <w:szCs w:val="20"/>
          <w:lang w:val="en-US"/>
        </w:rPr>
        <w:t xml:space="preserve">did not </w:t>
      </w:r>
      <w:r w:rsidR="00CC6A08" w:rsidRPr="00D869E3">
        <w:rPr>
          <w:rFonts w:ascii="Verdana" w:hAnsi="Verdana"/>
          <w:color w:val="000000"/>
          <w:sz w:val="20"/>
          <w:szCs w:val="20"/>
          <w:lang w:val="en-US"/>
        </w:rPr>
        <w:t>indicate</w:t>
      </w:r>
      <w:r w:rsidRPr="00D869E3">
        <w:rPr>
          <w:rFonts w:ascii="Verdana" w:hAnsi="Verdana"/>
          <w:color w:val="000000"/>
          <w:sz w:val="20"/>
          <w:szCs w:val="20"/>
          <w:lang w:val="en-US"/>
        </w:rPr>
        <w:t xml:space="preserve"> the amount of the expenditure incurred during the litigation at the </w:t>
      </w:r>
      <w:r w:rsidR="00CC6A08" w:rsidRPr="00D869E3">
        <w:rPr>
          <w:rFonts w:ascii="Verdana" w:hAnsi="Verdana"/>
          <w:color w:val="000000"/>
          <w:sz w:val="20"/>
          <w:szCs w:val="20"/>
          <w:lang w:val="en-US"/>
        </w:rPr>
        <w:t>domestic</w:t>
      </w:r>
      <w:r w:rsidRPr="00D869E3">
        <w:rPr>
          <w:rFonts w:ascii="Verdana" w:hAnsi="Verdana"/>
          <w:color w:val="000000"/>
          <w:sz w:val="20"/>
          <w:szCs w:val="20"/>
          <w:lang w:val="en-US"/>
        </w:rPr>
        <w:t xml:space="preserve"> level, and did not provide any evidence in this regard, because the facts occurred approximately 28 years ago and the domestic proceedings began in 1998; </w:t>
      </w:r>
      <w:r w:rsidR="00CC6A08" w:rsidRPr="00D869E3">
        <w:rPr>
          <w:rFonts w:ascii="Verdana" w:hAnsi="Verdana"/>
          <w:color w:val="000000"/>
          <w:sz w:val="20"/>
          <w:szCs w:val="20"/>
          <w:lang w:val="en-US"/>
        </w:rPr>
        <w:t>that is</w:t>
      </w:r>
      <w:r w:rsidRPr="00D869E3">
        <w:rPr>
          <w:rFonts w:ascii="Verdana" w:hAnsi="Verdana"/>
          <w:color w:val="000000"/>
          <w:sz w:val="20"/>
          <w:szCs w:val="20"/>
          <w:lang w:val="en-US"/>
        </w:rPr>
        <w:t xml:space="preserve">, approximately 19 years ago. </w:t>
      </w:r>
      <w:r w:rsidR="006B7D3C" w:rsidRPr="00D869E3">
        <w:rPr>
          <w:rFonts w:ascii="Verdana" w:hAnsi="Verdana"/>
          <w:color w:val="000000"/>
          <w:sz w:val="20"/>
          <w:szCs w:val="20"/>
          <w:lang w:val="en-US"/>
        </w:rPr>
        <w:t>Therefore</w:t>
      </w:r>
      <w:r w:rsidRPr="00D869E3">
        <w:rPr>
          <w:rFonts w:ascii="Verdana" w:hAnsi="Verdana"/>
          <w:color w:val="000000"/>
          <w:sz w:val="20"/>
          <w:szCs w:val="20"/>
          <w:lang w:val="en-US"/>
        </w:rPr>
        <w:t xml:space="preserve">, the Court </w:t>
      </w:r>
      <w:r w:rsidR="00CC6A08" w:rsidRPr="00D869E3">
        <w:rPr>
          <w:rFonts w:ascii="Verdana" w:hAnsi="Verdana"/>
          <w:color w:val="000000"/>
          <w:sz w:val="20"/>
          <w:szCs w:val="20"/>
          <w:lang w:val="en-US"/>
        </w:rPr>
        <w:t>has no</w:t>
      </w:r>
      <w:r w:rsidRPr="00D869E3">
        <w:rPr>
          <w:rFonts w:ascii="Verdana" w:hAnsi="Verdana"/>
          <w:color w:val="000000"/>
          <w:sz w:val="20"/>
          <w:szCs w:val="20"/>
          <w:lang w:val="en-US"/>
        </w:rPr>
        <w:t xml:space="preserve"> evidence to determine the expen</w:t>
      </w:r>
      <w:r w:rsidR="00CC6A08" w:rsidRPr="00D869E3">
        <w:rPr>
          <w:rFonts w:ascii="Verdana" w:hAnsi="Verdana"/>
          <w:color w:val="000000"/>
          <w:sz w:val="20"/>
          <w:szCs w:val="20"/>
          <w:lang w:val="en-US"/>
        </w:rPr>
        <w:t>ses incurred</w:t>
      </w:r>
      <w:r w:rsidRPr="00D869E3">
        <w:rPr>
          <w:rFonts w:ascii="Verdana" w:hAnsi="Verdana"/>
          <w:color w:val="000000"/>
          <w:sz w:val="20"/>
          <w:szCs w:val="20"/>
          <w:lang w:val="en-US"/>
        </w:rPr>
        <w:t xml:space="preserve">. Regarding the expenses incurred by the </w:t>
      </w:r>
      <w:r w:rsidRPr="00D869E3">
        <w:rPr>
          <w:rFonts w:ascii="Verdana" w:hAnsi="Verdana"/>
          <w:i/>
          <w:iCs/>
          <w:color w:val="000000"/>
          <w:sz w:val="20"/>
          <w:szCs w:val="20"/>
          <w:lang w:val="en-US"/>
        </w:rPr>
        <w:t xml:space="preserve">Asociación Pro </w:t>
      </w:r>
      <w:r w:rsidR="00881A39" w:rsidRPr="00D869E3">
        <w:rPr>
          <w:rFonts w:ascii="Verdana" w:hAnsi="Verdana"/>
          <w:i/>
          <w:iCs/>
          <w:color w:val="000000"/>
          <w:sz w:val="20"/>
          <w:szCs w:val="20"/>
          <w:lang w:val="en-US"/>
        </w:rPr>
        <w:t>Rights</w:t>
      </w:r>
      <w:r w:rsidRPr="00D869E3">
        <w:rPr>
          <w:rFonts w:ascii="Verdana" w:hAnsi="Verdana"/>
          <w:i/>
          <w:iCs/>
          <w:color w:val="000000"/>
          <w:sz w:val="20"/>
          <w:szCs w:val="20"/>
          <w:lang w:val="en-US"/>
        </w:rPr>
        <w:t xml:space="preserve"> Humanos</w:t>
      </w:r>
      <w:r w:rsidRPr="00D869E3">
        <w:rPr>
          <w:rFonts w:ascii="Verdana" w:hAnsi="Verdana"/>
          <w:color w:val="000000"/>
          <w:sz w:val="20"/>
          <w:szCs w:val="20"/>
          <w:lang w:val="en-US"/>
        </w:rPr>
        <w:t xml:space="preserve"> (APRODEH) during the international proceedings, no evidence was provided to establish these. However, the Court considers </w:t>
      </w:r>
      <w:r w:rsidR="00CC6A08" w:rsidRPr="00D869E3">
        <w:rPr>
          <w:rFonts w:ascii="Verdana" w:hAnsi="Verdana"/>
          <w:color w:val="000000"/>
          <w:sz w:val="20"/>
          <w:szCs w:val="20"/>
          <w:lang w:val="en-US"/>
        </w:rPr>
        <w:t>it</w:t>
      </w:r>
      <w:r w:rsidRPr="00D869E3">
        <w:rPr>
          <w:rFonts w:ascii="Verdana" w:hAnsi="Verdana"/>
          <w:color w:val="000000"/>
          <w:sz w:val="20"/>
          <w:szCs w:val="20"/>
          <w:lang w:val="en-US"/>
        </w:rPr>
        <w:t xml:space="preserve"> reasonable to suppose that </w:t>
      </w:r>
      <w:r w:rsidR="00CC6A08" w:rsidRPr="00D869E3">
        <w:rPr>
          <w:rFonts w:ascii="Verdana" w:hAnsi="Verdana"/>
          <w:color w:val="000000"/>
          <w:sz w:val="20"/>
          <w:szCs w:val="20"/>
          <w:lang w:val="en-US"/>
        </w:rPr>
        <w:t xml:space="preserve">the victim made financial disbursements </w:t>
      </w:r>
      <w:r w:rsidRPr="00D869E3">
        <w:rPr>
          <w:rFonts w:ascii="Verdana" w:hAnsi="Verdana"/>
          <w:color w:val="000000"/>
          <w:sz w:val="20"/>
          <w:szCs w:val="20"/>
          <w:lang w:val="en-US"/>
        </w:rPr>
        <w:t xml:space="preserve">during the years this case was processed before the internal jurisdiction. </w:t>
      </w:r>
      <w:r w:rsidR="00CC6A08" w:rsidRPr="00D869E3">
        <w:rPr>
          <w:rFonts w:ascii="Verdana" w:hAnsi="Verdana"/>
          <w:color w:val="000000"/>
          <w:sz w:val="20"/>
          <w:szCs w:val="20"/>
          <w:lang w:val="en-US"/>
        </w:rPr>
        <w:t>T</w:t>
      </w:r>
      <w:r w:rsidRPr="00D869E3">
        <w:rPr>
          <w:rFonts w:ascii="Verdana" w:hAnsi="Verdana"/>
          <w:color w:val="000000"/>
          <w:sz w:val="20"/>
          <w:szCs w:val="20"/>
          <w:lang w:val="en-US"/>
        </w:rPr>
        <w:t>he Court also finds it reasonable that</w:t>
      </w:r>
      <w:r w:rsidRPr="00D869E3">
        <w:rPr>
          <w:rFonts w:ascii="Verdana" w:hAnsi="Verdana"/>
          <w:sz w:val="20"/>
          <w:szCs w:val="20"/>
          <w:lang w:val="en-US"/>
        </w:rPr>
        <w:t xml:space="preserve"> </w:t>
      </w:r>
      <w:r w:rsidR="001E44D3" w:rsidRPr="00D869E3">
        <w:rPr>
          <w:rFonts w:ascii="Verdana" w:hAnsi="Verdana"/>
          <w:color w:val="000000"/>
          <w:sz w:val="20"/>
          <w:szCs w:val="20"/>
          <w:lang w:val="en-US"/>
        </w:rPr>
        <w:t>Mr. Lagos del Campo</w:t>
      </w:r>
      <w:r w:rsidR="00687684" w:rsidRPr="00D869E3">
        <w:rPr>
          <w:rFonts w:ascii="Verdana" w:hAnsi="Verdana"/>
          <w:color w:val="000000"/>
          <w:sz w:val="20"/>
          <w:szCs w:val="20"/>
          <w:lang w:val="en-US"/>
        </w:rPr>
        <w:t xml:space="preserve"> and </w:t>
      </w:r>
      <w:r w:rsidR="001E44D3" w:rsidRPr="00D869E3">
        <w:rPr>
          <w:rFonts w:ascii="Verdana" w:hAnsi="Verdana"/>
          <w:color w:val="000000"/>
          <w:sz w:val="20"/>
          <w:szCs w:val="20"/>
          <w:lang w:val="en-US"/>
        </w:rPr>
        <w:t>his representatives</w:t>
      </w:r>
      <w:r w:rsidR="009C5D55" w:rsidRPr="00D869E3">
        <w:rPr>
          <w:rFonts w:ascii="Verdana" w:hAnsi="Verdana"/>
          <w:color w:val="000000"/>
          <w:sz w:val="20"/>
          <w:szCs w:val="20"/>
          <w:lang w:val="en-US"/>
        </w:rPr>
        <w:t xml:space="preserve"> ha</w:t>
      </w:r>
      <w:r w:rsidRPr="00D869E3">
        <w:rPr>
          <w:rFonts w:ascii="Verdana" w:hAnsi="Verdana"/>
          <w:color w:val="000000"/>
          <w:sz w:val="20"/>
          <w:szCs w:val="20"/>
          <w:lang w:val="en-US"/>
        </w:rPr>
        <w:t xml:space="preserve">ve incurred different expenses such as for honoraria, gathering of evidence, transportation, </w:t>
      </w:r>
      <w:r w:rsidR="004136CD" w:rsidRPr="00D869E3">
        <w:rPr>
          <w:rFonts w:ascii="Verdana" w:hAnsi="Verdana"/>
          <w:color w:val="000000"/>
          <w:sz w:val="20"/>
          <w:szCs w:val="20"/>
          <w:lang w:val="en-US"/>
        </w:rPr>
        <w:t xml:space="preserve">and </w:t>
      </w:r>
      <w:r w:rsidRPr="00D869E3">
        <w:rPr>
          <w:rFonts w:ascii="Verdana" w:hAnsi="Verdana"/>
          <w:color w:val="000000"/>
          <w:sz w:val="20"/>
          <w:szCs w:val="20"/>
          <w:lang w:val="en-US"/>
        </w:rPr>
        <w:t xml:space="preserve">communication services </w:t>
      </w:r>
      <w:r w:rsidR="004136CD" w:rsidRPr="00D869E3">
        <w:rPr>
          <w:rFonts w:ascii="Verdana" w:hAnsi="Verdana"/>
          <w:color w:val="000000"/>
          <w:sz w:val="20"/>
          <w:szCs w:val="20"/>
          <w:lang w:val="en-US"/>
        </w:rPr>
        <w:t xml:space="preserve">during the international processing of this case. </w:t>
      </w:r>
      <w:r w:rsidR="006B7D3C" w:rsidRPr="00D869E3">
        <w:rPr>
          <w:rFonts w:ascii="Verdana" w:hAnsi="Verdana"/>
          <w:sz w:val="20"/>
          <w:szCs w:val="20"/>
          <w:lang w:val="en-US"/>
        </w:rPr>
        <w:t>Consequently</w:t>
      </w:r>
      <w:r w:rsidR="009C5D55" w:rsidRPr="00D869E3">
        <w:rPr>
          <w:rFonts w:ascii="Verdana" w:hAnsi="Verdana"/>
          <w:sz w:val="20"/>
          <w:szCs w:val="20"/>
          <w:lang w:val="en-US"/>
        </w:rPr>
        <w:t xml:space="preserve">, </w:t>
      </w:r>
      <w:r w:rsidR="00447C65" w:rsidRPr="00D869E3">
        <w:rPr>
          <w:rFonts w:ascii="Verdana" w:hAnsi="Verdana"/>
          <w:sz w:val="20"/>
          <w:szCs w:val="20"/>
          <w:lang w:val="en-US"/>
        </w:rPr>
        <w:t>the Court</w:t>
      </w:r>
      <w:r w:rsidR="009C5D55" w:rsidRPr="00D869E3">
        <w:rPr>
          <w:rFonts w:ascii="Verdana" w:hAnsi="Verdana"/>
          <w:sz w:val="20"/>
          <w:szCs w:val="20"/>
          <w:lang w:val="en-US"/>
        </w:rPr>
        <w:t xml:space="preserve"> decide</w:t>
      </w:r>
      <w:r w:rsidR="006B7D3C" w:rsidRPr="00D869E3">
        <w:rPr>
          <w:rFonts w:ascii="Verdana" w:hAnsi="Verdana"/>
          <w:sz w:val="20"/>
          <w:szCs w:val="20"/>
          <w:lang w:val="en-US"/>
        </w:rPr>
        <w:t>s to establish the reasonable amount</w:t>
      </w:r>
      <w:r w:rsidR="009C5D55" w:rsidRPr="00D869E3">
        <w:rPr>
          <w:rFonts w:ascii="Verdana" w:hAnsi="Verdana"/>
          <w:sz w:val="20"/>
          <w:szCs w:val="20"/>
          <w:lang w:val="en-US"/>
        </w:rPr>
        <w:t xml:space="preserve"> </w:t>
      </w:r>
      <w:r w:rsidR="006B7D3C" w:rsidRPr="00D869E3">
        <w:rPr>
          <w:rFonts w:ascii="Verdana" w:hAnsi="Verdana"/>
          <w:sz w:val="20"/>
          <w:szCs w:val="20"/>
          <w:lang w:val="en-US"/>
        </w:rPr>
        <w:t>of</w:t>
      </w:r>
      <w:r w:rsidR="009C5D55" w:rsidRPr="00D869E3">
        <w:rPr>
          <w:rFonts w:ascii="Verdana" w:hAnsi="Verdana"/>
          <w:sz w:val="20"/>
          <w:szCs w:val="20"/>
          <w:lang w:val="en-US"/>
        </w:rPr>
        <w:t xml:space="preserve"> </w:t>
      </w:r>
      <w:r w:rsidR="007C10CE" w:rsidRPr="00D869E3">
        <w:rPr>
          <w:rFonts w:ascii="Verdana" w:hAnsi="Verdana"/>
          <w:sz w:val="20"/>
          <w:szCs w:val="20"/>
          <w:lang w:val="en-US"/>
        </w:rPr>
        <w:t>US$20,000 (</w:t>
      </w:r>
      <w:r w:rsidR="006B7D3C" w:rsidRPr="00D869E3">
        <w:rPr>
          <w:rFonts w:ascii="Verdana" w:hAnsi="Verdana"/>
          <w:sz w:val="20"/>
          <w:szCs w:val="20"/>
          <w:lang w:val="en-US"/>
        </w:rPr>
        <w:t>twenty</w:t>
      </w:r>
      <w:r w:rsidR="007C10CE" w:rsidRPr="00D869E3">
        <w:rPr>
          <w:rFonts w:ascii="Verdana" w:hAnsi="Verdana"/>
          <w:sz w:val="20"/>
          <w:szCs w:val="20"/>
          <w:lang w:val="en-US"/>
        </w:rPr>
        <w:t xml:space="preserve"> </w:t>
      </w:r>
      <w:r w:rsidR="004926D0" w:rsidRPr="00D869E3">
        <w:rPr>
          <w:rFonts w:ascii="Verdana" w:hAnsi="Verdana"/>
          <w:sz w:val="20"/>
          <w:szCs w:val="20"/>
          <w:lang w:val="en-US"/>
        </w:rPr>
        <w:t>thousand United States dollars</w:t>
      </w:r>
      <w:r w:rsidR="007C10CE" w:rsidRPr="00D869E3">
        <w:rPr>
          <w:rFonts w:ascii="Verdana" w:hAnsi="Verdana"/>
          <w:sz w:val="20"/>
          <w:szCs w:val="20"/>
          <w:lang w:val="en-US"/>
        </w:rPr>
        <w:t xml:space="preserve">) </w:t>
      </w:r>
      <w:r w:rsidR="006B7D3C" w:rsidRPr="00D869E3">
        <w:rPr>
          <w:rFonts w:ascii="Verdana" w:hAnsi="Verdana"/>
          <w:sz w:val="20"/>
          <w:szCs w:val="20"/>
          <w:lang w:val="en-US"/>
        </w:rPr>
        <w:t xml:space="preserve">for the work carried out in the litigation of this case, which must be delivered </w:t>
      </w:r>
      <w:r w:rsidR="00EE0BD4" w:rsidRPr="00D869E3">
        <w:rPr>
          <w:rFonts w:ascii="Verdana" w:hAnsi="Verdana"/>
          <w:sz w:val="20"/>
          <w:szCs w:val="20"/>
          <w:lang w:val="en-US"/>
        </w:rPr>
        <w:t>to Mr. Lagos</w:t>
      </w:r>
      <w:r w:rsidR="00E4380F" w:rsidRPr="00D869E3">
        <w:rPr>
          <w:rFonts w:ascii="Verdana" w:hAnsi="Verdana"/>
          <w:sz w:val="20"/>
          <w:szCs w:val="20"/>
          <w:lang w:val="en-US"/>
        </w:rPr>
        <w:t xml:space="preserve"> del Campo, </w:t>
      </w:r>
      <w:r w:rsidR="006B7D3C" w:rsidRPr="00D869E3">
        <w:rPr>
          <w:rFonts w:ascii="Verdana" w:hAnsi="Verdana"/>
          <w:sz w:val="20"/>
          <w:szCs w:val="20"/>
          <w:lang w:val="en-US"/>
        </w:rPr>
        <w:t xml:space="preserve">who </w:t>
      </w:r>
      <w:r w:rsidR="00616FBB" w:rsidRPr="00D869E3">
        <w:rPr>
          <w:rFonts w:ascii="Verdana" w:hAnsi="Verdana"/>
          <w:sz w:val="20"/>
          <w:szCs w:val="20"/>
          <w:lang w:val="en-US"/>
        </w:rPr>
        <w:t>shall</w:t>
      </w:r>
      <w:r w:rsidR="006B7D3C" w:rsidRPr="00D869E3">
        <w:rPr>
          <w:rFonts w:ascii="Verdana" w:hAnsi="Verdana"/>
          <w:sz w:val="20"/>
          <w:szCs w:val="20"/>
          <w:lang w:val="en-US"/>
        </w:rPr>
        <w:t xml:space="preserve"> deliver the corresponding sum </w:t>
      </w:r>
      <w:r w:rsidR="00CC6A08" w:rsidRPr="00D869E3">
        <w:rPr>
          <w:rFonts w:ascii="Verdana" w:hAnsi="Verdana"/>
          <w:sz w:val="20"/>
          <w:szCs w:val="20"/>
          <w:lang w:val="en-US"/>
        </w:rPr>
        <w:t xml:space="preserve">to his representatives </w:t>
      </w:r>
      <w:r w:rsidR="006B7D3C" w:rsidRPr="00D869E3">
        <w:rPr>
          <w:rFonts w:ascii="Verdana" w:hAnsi="Verdana"/>
          <w:sz w:val="20"/>
          <w:szCs w:val="20"/>
          <w:lang w:val="en-US"/>
        </w:rPr>
        <w:t>based on the assistance they have provided</w:t>
      </w:r>
      <w:r w:rsidR="009C5D55" w:rsidRPr="00D869E3">
        <w:rPr>
          <w:rFonts w:ascii="Verdana" w:hAnsi="Verdana"/>
          <w:sz w:val="20"/>
          <w:szCs w:val="20"/>
          <w:lang w:val="en-US"/>
        </w:rPr>
        <w:t xml:space="preserve">. </w:t>
      </w:r>
    </w:p>
    <w:p w14:paraId="12629D5E" w14:textId="77777777" w:rsidR="009C5D55" w:rsidRPr="00D869E3" w:rsidRDefault="009C5D55" w:rsidP="009C5D55">
      <w:pPr>
        <w:rPr>
          <w:rFonts w:ascii="Verdana" w:hAnsi="Verdana"/>
          <w:sz w:val="20"/>
          <w:szCs w:val="20"/>
          <w:lang w:val="en-US"/>
        </w:rPr>
      </w:pPr>
    </w:p>
    <w:p w14:paraId="6C3BDAF0" w14:textId="198D852F" w:rsidR="009C5D55" w:rsidRPr="00D869E3" w:rsidRDefault="00B44B46" w:rsidP="00E66DD7">
      <w:pPr>
        <w:pStyle w:val="Ttulo2"/>
        <w:numPr>
          <w:ilvl w:val="0"/>
          <w:numId w:val="13"/>
        </w:numPr>
        <w:rPr>
          <w:i/>
          <w:lang w:val="en-US"/>
        </w:rPr>
      </w:pPr>
      <w:bookmarkStart w:id="74" w:name="_Toc29114161"/>
      <w:r w:rsidRPr="00D869E3">
        <w:rPr>
          <w:i/>
          <w:lang w:val="en-US"/>
        </w:rPr>
        <w:t>Reimbursement of expenditure to the</w:t>
      </w:r>
      <w:r w:rsidR="009C5D55" w:rsidRPr="00D869E3">
        <w:rPr>
          <w:i/>
          <w:lang w:val="en-US"/>
        </w:rPr>
        <w:t xml:space="preserve"> </w:t>
      </w:r>
      <w:r w:rsidR="00CE3F0D" w:rsidRPr="00D869E3">
        <w:rPr>
          <w:i/>
          <w:lang w:val="en-US"/>
        </w:rPr>
        <w:t>Victims’ Legal Assistance Fund</w:t>
      </w:r>
      <w:bookmarkEnd w:id="74"/>
    </w:p>
    <w:p w14:paraId="4F4B2771" w14:textId="77777777" w:rsidR="009C5D55" w:rsidRPr="00D869E3" w:rsidRDefault="009C5D55" w:rsidP="009C5D55">
      <w:pPr>
        <w:autoSpaceDE w:val="0"/>
        <w:autoSpaceDN w:val="0"/>
        <w:adjustRightInd w:val="0"/>
        <w:ind w:right="49"/>
        <w:contextualSpacing/>
        <w:jc w:val="both"/>
        <w:rPr>
          <w:rFonts w:ascii="Verdana" w:hAnsi="Verdana" w:cs="Verdana"/>
          <w:sz w:val="20"/>
          <w:szCs w:val="20"/>
          <w:lang w:val="en-US"/>
        </w:rPr>
      </w:pPr>
    </w:p>
    <w:p w14:paraId="1134F671" w14:textId="17599091" w:rsidR="009C5D55" w:rsidRPr="00D869E3" w:rsidRDefault="009C5D55" w:rsidP="006B7D3C">
      <w:pPr>
        <w:widowControl w:val="0"/>
        <w:numPr>
          <w:ilvl w:val="0"/>
          <w:numId w:val="1"/>
        </w:numPr>
        <w:tabs>
          <w:tab w:val="center" w:pos="0"/>
        </w:tabs>
        <w:autoSpaceDE w:val="0"/>
        <w:autoSpaceDN w:val="0"/>
        <w:adjustRightInd w:val="0"/>
        <w:ind w:left="0" w:firstLine="0"/>
        <w:contextualSpacing/>
        <w:jc w:val="both"/>
        <w:rPr>
          <w:rFonts w:ascii="Verdana" w:hAnsi="Verdana" w:cs="Verdana"/>
          <w:color w:val="000000"/>
          <w:sz w:val="20"/>
          <w:szCs w:val="20"/>
          <w:lang w:val="en-US"/>
        </w:rPr>
      </w:pPr>
      <w:r w:rsidRPr="00D869E3">
        <w:rPr>
          <w:rFonts w:ascii="Verdana" w:hAnsi="Verdana" w:cs="Verdana"/>
          <w:color w:val="000000"/>
          <w:sz w:val="20"/>
          <w:szCs w:val="20"/>
          <w:lang w:val="en-US"/>
        </w:rPr>
        <w:t xml:space="preserve"> </w:t>
      </w:r>
      <w:r w:rsidR="006B7D3C" w:rsidRPr="00D869E3">
        <w:rPr>
          <w:rFonts w:ascii="Verdana" w:hAnsi="Verdana" w:cs="Verdana"/>
          <w:color w:val="000000"/>
          <w:sz w:val="20"/>
          <w:szCs w:val="20"/>
          <w:lang w:val="en-US"/>
        </w:rPr>
        <w:t xml:space="preserve">The victim requested access to the </w:t>
      </w:r>
      <w:r w:rsidR="00CE3F0D" w:rsidRPr="00D869E3">
        <w:rPr>
          <w:rFonts w:ascii="Verdana" w:hAnsi="Verdana" w:cs="Verdana"/>
          <w:color w:val="000000"/>
          <w:sz w:val="20"/>
          <w:szCs w:val="20"/>
          <w:lang w:val="en-US"/>
        </w:rPr>
        <w:t xml:space="preserve">Court’s </w:t>
      </w:r>
      <w:r w:rsidR="00616FBB" w:rsidRPr="00D869E3">
        <w:rPr>
          <w:rFonts w:ascii="Verdana" w:hAnsi="Verdana" w:cs="Verdana"/>
          <w:color w:val="000000"/>
          <w:sz w:val="20"/>
          <w:szCs w:val="20"/>
          <w:lang w:val="en-US"/>
        </w:rPr>
        <w:t xml:space="preserve">Legal </w:t>
      </w:r>
      <w:r w:rsidR="00CE3F0D" w:rsidRPr="00D869E3">
        <w:rPr>
          <w:rFonts w:ascii="Verdana" w:hAnsi="Verdana" w:cs="Verdana"/>
          <w:color w:val="000000"/>
          <w:sz w:val="20"/>
          <w:szCs w:val="20"/>
          <w:lang w:val="en-US"/>
        </w:rPr>
        <w:t>Assistance Fund</w:t>
      </w:r>
      <w:r w:rsidR="006B7D3C" w:rsidRPr="00D869E3">
        <w:rPr>
          <w:rFonts w:ascii="Verdana" w:hAnsi="Verdana" w:cs="Verdana"/>
          <w:color w:val="000000"/>
          <w:sz w:val="20"/>
          <w:szCs w:val="20"/>
          <w:lang w:val="en-US"/>
        </w:rPr>
        <w:t>.</w:t>
      </w:r>
      <w:r w:rsidR="006B7D3C" w:rsidRPr="00D869E3">
        <w:rPr>
          <w:rFonts w:ascii="Verdana" w:hAnsi="Verdana" w:cs="Verdana"/>
          <w:b/>
          <w:color w:val="000000"/>
          <w:sz w:val="20"/>
          <w:szCs w:val="20"/>
          <w:lang w:val="en-US"/>
        </w:rPr>
        <w:t xml:space="preserve"> </w:t>
      </w:r>
      <w:r w:rsidR="006B7D3C" w:rsidRPr="00D869E3">
        <w:rPr>
          <w:rFonts w:ascii="Verdana" w:hAnsi="Verdana" w:cs="Verdana"/>
          <w:bCs/>
          <w:color w:val="000000"/>
          <w:sz w:val="20"/>
          <w:szCs w:val="20"/>
          <w:lang w:val="en-US"/>
        </w:rPr>
        <w:t>In an o</w:t>
      </w:r>
      <w:r w:rsidR="006B7D3C" w:rsidRPr="00D869E3">
        <w:rPr>
          <w:rFonts w:ascii="Verdana" w:hAnsi="Verdana" w:cs="Verdana"/>
          <w:color w:val="000000"/>
          <w:sz w:val="20"/>
          <w:szCs w:val="20"/>
          <w:lang w:val="en-US"/>
        </w:rPr>
        <w:t xml:space="preserve">rder of the President of July 14, 2016, it was established that the financial assistance would be allocated to cover, </w:t>
      </w:r>
      <w:r w:rsidR="006B7D3C" w:rsidRPr="00D869E3">
        <w:rPr>
          <w:rFonts w:ascii="Verdana" w:hAnsi="Verdana" w:cs="Verdana"/>
          <w:i/>
          <w:iCs/>
          <w:color w:val="000000"/>
          <w:sz w:val="20"/>
          <w:szCs w:val="20"/>
          <w:lang w:val="en-US"/>
        </w:rPr>
        <w:t>inter alia</w:t>
      </w:r>
      <w:r w:rsidR="006B7D3C" w:rsidRPr="00D869E3">
        <w:rPr>
          <w:rFonts w:ascii="Verdana" w:hAnsi="Verdana" w:cs="Verdana"/>
          <w:color w:val="000000"/>
          <w:sz w:val="20"/>
          <w:szCs w:val="20"/>
          <w:lang w:val="en-US"/>
        </w:rPr>
        <w:t xml:space="preserve">, the necessary travel and accommodation expenses for the victim to attend the public hearing, </w:t>
      </w:r>
      <w:r w:rsidR="00BA37EC" w:rsidRPr="00D869E3">
        <w:rPr>
          <w:rFonts w:ascii="Verdana" w:hAnsi="Verdana" w:cs="Verdana"/>
          <w:color w:val="000000"/>
          <w:sz w:val="20"/>
          <w:szCs w:val="20"/>
          <w:lang w:val="en-US"/>
        </w:rPr>
        <w:t xml:space="preserve">and the expenses relating to the preparation and mailing of the affidavit of </w:t>
      </w:r>
      <w:r w:rsidR="001E44D3" w:rsidRPr="00D869E3">
        <w:rPr>
          <w:rFonts w:ascii="Verdana" w:hAnsi="Verdana" w:cs="Verdana"/>
          <w:color w:val="000000"/>
          <w:sz w:val="20"/>
          <w:szCs w:val="20"/>
          <w:lang w:val="en-US"/>
        </w:rPr>
        <w:t>expert witness</w:t>
      </w:r>
      <w:r w:rsidRPr="00D869E3">
        <w:rPr>
          <w:rFonts w:ascii="Verdana" w:hAnsi="Verdana" w:cs="Verdana"/>
          <w:color w:val="000000"/>
          <w:sz w:val="20"/>
          <w:szCs w:val="20"/>
          <w:lang w:val="en-US"/>
        </w:rPr>
        <w:t xml:space="preserve"> Carlos Jibaja Zárate</w:t>
      </w:r>
      <w:r w:rsidR="00BA37EC" w:rsidRPr="00D869E3">
        <w:rPr>
          <w:rFonts w:ascii="Verdana" w:hAnsi="Verdana" w:cs="Verdana"/>
          <w:color w:val="000000"/>
          <w:sz w:val="20"/>
          <w:szCs w:val="20"/>
          <w:lang w:val="en-US"/>
        </w:rPr>
        <w:t>.</w:t>
      </w:r>
      <w:r w:rsidRPr="00D869E3">
        <w:rPr>
          <w:rFonts w:ascii="Verdana" w:hAnsi="Verdana" w:cs="Verdana"/>
          <w:color w:val="000000"/>
          <w:sz w:val="20"/>
          <w:szCs w:val="20"/>
          <w:vertAlign w:val="superscript"/>
          <w:lang w:val="en-US"/>
        </w:rPr>
        <w:footnoteReference w:id="277"/>
      </w:r>
    </w:p>
    <w:p w14:paraId="37DEFF1B" w14:textId="77777777" w:rsidR="009C5D55" w:rsidRPr="00D869E3" w:rsidRDefault="009C5D55" w:rsidP="009C5D55">
      <w:pPr>
        <w:tabs>
          <w:tab w:val="center" w:pos="0"/>
        </w:tabs>
        <w:autoSpaceDE w:val="0"/>
        <w:autoSpaceDN w:val="0"/>
        <w:adjustRightInd w:val="0"/>
        <w:jc w:val="both"/>
        <w:rPr>
          <w:rFonts w:ascii="Verdana" w:hAnsi="Verdana" w:cs="Verdana"/>
          <w:color w:val="000000"/>
          <w:sz w:val="20"/>
          <w:szCs w:val="20"/>
          <w:lang w:val="en-US"/>
        </w:rPr>
      </w:pPr>
    </w:p>
    <w:p w14:paraId="2FCEC5F3" w14:textId="022A6DD4" w:rsidR="009C5D55" w:rsidRPr="00D869E3" w:rsidRDefault="009C5D55" w:rsidP="00715661">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n-US"/>
        </w:rPr>
      </w:pPr>
      <w:r w:rsidRPr="00D869E3">
        <w:rPr>
          <w:rFonts w:ascii="Verdana" w:hAnsi="Verdana" w:cs="Verdana"/>
          <w:color w:val="000000"/>
          <w:sz w:val="20"/>
          <w:szCs w:val="20"/>
          <w:lang w:val="en-US"/>
        </w:rPr>
        <w:t xml:space="preserve"> </w:t>
      </w:r>
      <w:r w:rsidR="00101A57" w:rsidRPr="00D869E3">
        <w:rPr>
          <w:rFonts w:ascii="Verdana" w:hAnsi="Verdana" w:cs="Verdana"/>
          <w:color w:val="000000"/>
          <w:sz w:val="20"/>
          <w:szCs w:val="20"/>
          <w:lang w:val="en-US"/>
        </w:rPr>
        <w:t>In a Secretariat note of April 7,</w:t>
      </w:r>
      <w:r w:rsidR="0056094E" w:rsidRPr="00D869E3">
        <w:rPr>
          <w:rFonts w:ascii="Verdana" w:hAnsi="Verdana" w:cs="Verdana"/>
          <w:sz w:val="20"/>
          <w:szCs w:val="20"/>
          <w:lang w:val="en-US"/>
        </w:rPr>
        <w:t xml:space="preserve"> 201</w:t>
      </w:r>
      <w:r w:rsidR="00D9490E" w:rsidRPr="00D869E3">
        <w:rPr>
          <w:rFonts w:ascii="Verdana" w:hAnsi="Verdana" w:cs="Verdana"/>
          <w:sz w:val="20"/>
          <w:szCs w:val="20"/>
          <w:lang w:val="en-US"/>
        </w:rPr>
        <w:t>7</w:t>
      </w:r>
      <w:r w:rsidRPr="00D869E3">
        <w:rPr>
          <w:rFonts w:ascii="Verdana" w:hAnsi="Verdana" w:cs="Verdana"/>
          <w:sz w:val="20"/>
          <w:szCs w:val="20"/>
          <w:lang w:val="en-US"/>
        </w:rPr>
        <w:t xml:space="preserve">, </w:t>
      </w:r>
      <w:r w:rsidR="00101A57" w:rsidRPr="00D869E3">
        <w:rPr>
          <w:rFonts w:ascii="Verdana" w:hAnsi="Verdana" w:cs="Verdana"/>
          <w:sz w:val="20"/>
          <w:szCs w:val="20"/>
          <w:lang w:val="en-US"/>
        </w:rPr>
        <w:t>a report on the disbursements made from the Victims’ Assistance Fund in this case</w:t>
      </w:r>
      <w:r w:rsidR="00616FBB" w:rsidRPr="00D869E3">
        <w:rPr>
          <w:rFonts w:ascii="Verdana" w:hAnsi="Verdana" w:cs="Verdana"/>
          <w:sz w:val="20"/>
          <w:szCs w:val="20"/>
          <w:lang w:val="en-US"/>
        </w:rPr>
        <w:t>, which</w:t>
      </w:r>
      <w:r w:rsidR="00101A57" w:rsidRPr="00D869E3">
        <w:rPr>
          <w:rFonts w:ascii="Verdana" w:hAnsi="Verdana" w:cs="Verdana"/>
          <w:sz w:val="20"/>
          <w:szCs w:val="20"/>
          <w:lang w:val="en-US"/>
        </w:rPr>
        <w:t xml:space="preserve"> amounted to </w:t>
      </w:r>
      <w:r w:rsidRPr="00D869E3">
        <w:rPr>
          <w:rFonts w:ascii="Verdana" w:hAnsi="Verdana" w:cs="Verdana"/>
          <w:color w:val="000000"/>
          <w:sz w:val="20"/>
          <w:szCs w:val="20"/>
          <w:lang w:val="en-US"/>
        </w:rPr>
        <w:t>US</w:t>
      </w:r>
      <w:r w:rsidR="00616FBB" w:rsidRPr="00D869E3">
        <w:rPr>
          <w:rFonts w:ascii="Verdana" w:hAnsi="Verdana" w:cs="Verdana"/>
          <w:color w:val="000000"/>
          <w:sz w:val="20"/>
          <w:szCs w:val="20"/>
          <w:lang w:val="en-US"/>
        </w:rPr>
        <w:t>$</w:t>
      </w:r>
      <w:r w:rsidRPr="00D869E3">
        <w:rPr>
          <w:rFonts w:ascii="Verdana" w:hAnsi="Verdana" w:cs="Verdana"/>
          <w:sz w:val="20"/>
          <w:szCs w:val="20"/>
          <w:lang w:val="en-US"/>
        </w:rPr>
        <w:t>1,336.81 (</w:t>
      </w:r>
      <w:r w:rsidR="00101A57" w:rsidRPr="00D869E3">
        <w:rPr>
          <w:rFonts w:ascii="Verdana" w:hAnsi="Verdana" w:cs="Verdana"/>
          <w:sz w:val="20"/>
          <w:szCs w:val="20"/>
          <w:lang w:val="en-US"/>
        </w:rPr>
        <w:t>one thousand three hundred and thirty-six United States dollars and eighty-one cents</w:t>
      </w:r>
      <w:r w:rsidRPr="00D869E3">
        <w:rPr>
          <w:rFonts w:ascii="Verdana" w:hAnsi="Verdana" w:cs="Verdana"/>
          <w:sz w:val="20"/>
          <w:szCs w:val="20"/>
          <w:lang w:val="en-US"/>
        </w:rPr>
        <w:t>)</w:t>
      </w:r>
      <w:r w:rsidR="00616FBB" w:rsidRPr="00D869E3">
        <w:rPr>
          <w:rFonts w:ascii="Verdana" w:hAnsi="Verdana" w:cs="Verdana"/>
          <w:sz w:val="20"/>
          <w:szCs w:val="20"/>
          <w:lang w:val="en-US"/>
        </w:rPr>
        <w:t>,</w:t>
      </w:r>
      <w:r w:rsidRPr="00D869E3">
        <w:rPr>
          <w:rFonts w:ascii="Verdana" w:hAnsi="Verdana"/>
          <w:sz w:val="20"/>
          <w:szCs w:val="20"/>
          <w:vertAlign w:val="superscript"/>
          <w:lang w:val="en-US"/>
        </w:rPr>
        <w:footnoteReference w:id="278"/>
      </w:r>
      <w:r w:rsidRPr="00D869E3">
        <w:rPr>
          <w:rFonts w:ascii="Verdana" w:hAnsi="Verdana" w:cs="Verdana"/>
          <w:sz w:val="20"/>
          <w:szCs w:val="20"/>
          <w:lang w:val="en-US"/>
        </w:rPr>
        <w:t xml:space="preserve"> </w:t>
      </w:r>
      <w:r w:rsidR="00616FBB" w:rsidRPr="00D869E3">
        <w:rPr>
          <w:rFonts w:ascii="Verdana" w:hAnsi="Verdana" w:cs="Verdana"/>
          <w:sz w:val="20"/>
          <w:szCs w:val="20"/>
          <w:lang w:val="en-US"/>
        </w:rPr>
        <w:t xml:space="preserve">was sent to the State. </w:t>
      </w:r>
      <w:r w:rsidR="00616FBB" w:rsidRPr="00D869E3">
        <w:rPr>
          <w:rFonts w:ascii="Verdana" w:hAnsi="Verdana" w:cs="Verdana"/>
          <w:color w:val="000000"/>
          <w:sz w:val="20"/>
          <w:szCs w:val="20"/>
          <w:lang w:val="en-US"/>
        </w:rPr>
        <w:t>P</w:t>
      </w:r>
      <w:r w:rsidR="00101A57" w:rsidRPr="00D869E3">
        <w:rPr>
          <w:rFonts w:ascii="Verdana" w:hAnsi="Verdana" w:cs="Verdana"/>
          <w:color w:val="000000"/>
          <w:sz w:val="20"/>
          <w:szCs w:val="20"/>
          <w:lang w:val="en-US"/>
        </w:rPr>
        <w:t xml:space="preserve">ursuant to </w:t>
      </w:r>
      <w:r w:rsidR="00616FBB" w:rsidRPr="00D869E3">
        <w:rPr>
          <w:rFonts w:ascii="Verdana" w:hAnsi="Verdana" w:cs="Verdana"/>
          <w:color w:val="000000"/>
          <w:sz w:val="20"/>
          <w:szCs w:val="20"/>
          <w:lang w:val="en-US"/>
        </w:rPr>
        <w:t>a</w:t>
      </w:r>
      <w:r w:rsidR="00447C65" w:rsidRPr="00D869E3">
        <w:rPr>
          <w:rFonts w:ascii="Verdana" w:hAnsi="Verdana" w:cs="Verdana"/>
          <w:color w:val="000000"/>
          <w:sz w:val="20"/>
          <w:szCs w:val="20"/>
          <w:lang w:val="en-US"/>
        </w:rPr>
        <w:t>rticle</w:t>
      </w:r>
      <w:r w:rsidRPr="00D869E3">
        <w:rPr>
          <w:rFonts w:ascii="Verdana" w:hAnsi="Verdana" w:cs="Verdana"/>
          <w:color w:val="000000"/>
          <w:sz w:val="20"/>
          <w:szCs w:val="20"/>
          <w:lang w:val="en-US"/>
        </w:rPr>
        <w:t xml:space="preserve"> 5</w:t>
      </w:r>
      <w:r w:rsidR="00447C65" w:rsidRPr="00D869E3">
        <w:rPr>
          <w:rFonts w:ascii="Verdana" w:hAnsi="Verdana" w:cs="Verdana"/>
          <w:color w:val="000000"/>
          <w:sz w:val="20"/>
          <w:szCs w:val="20"/>
          <w:lang w:val="en-US"/>
        </w:rPr>
        <w:t xml:space="preserve"> of the Rules </w:t>
      </w:r>
      <w:r w:rsidR="00101A57" w:rsidRPr="00D869E3">
        <w:rPr>
          <w:rFonts w:ascii="Verdana" w:hAnsi="Verdana" w:cs="Verdana"/>
          <w:color w:val="000000"/>
          <w:sz w:val="20"/>
          <w:szCs w:val="20"/>
          <w:lang w:val="en-US"/>
        </w:rPr>
        <w:t xml:space="preserve">for the Operation of this Fund, Peru was granted a </w:t>
      </w:r>
      <w:r w:rsidR="00616FBB" w:rsidRPr="00D869E3">
        <w:rPr>
          <w:rFonts w:ascii="Verdana" w:hAnsi="Verdana" w:cs="Verdana"/>
          <w:color w:val="000000"/>
          <w:sz w:val="20"/>
          <w:szCs w:val="20"/>
          <w:lang w:val="en-US"/>
        </w:rPr>
        <w:t xml:space="preserve">specific </w:t>
      </w:r>
      <w:r w:rsidR="00101A57" w:rsidRPr="00D869E3">
        <w:rPr>
          <w:rFonts w:ascii="Verdana" w:hAnsi="Verdana" w:cs="Verdana"/>
          <w:color w:val="000000"/>
          <w:sz w:val="20"/>
          <w:szCs w:val="20"/>
          <w:lang w:val="en-US"/>
        </w:rPr>
        <w:t>time frame for presenting any observations it deemed pertinent,</w:t>
      </w:r>
      <w:r w:rsidR="005B3D37" w:rsidRPr="00D869E3">
        <w:rPr>
          <w:rStyle w:val="Refdenotaalpie"/>
          <w:szCs w:val="20"/>
          <w:lang w:val="en-US"/>
        </w:rPr>
        <w:footnoteReference w:id="279"/>
      </w:r>
      <w:r w:rsidR="00101A57" w:rsidRPr="00D869E3">
        <w:rPr>
          <w:rFonts w:ascii="Verdana" w:hAnsi="Verdana" w:cs="Verdana"/>
          <w:color w:val="000000"/>
          <w:sz w:val="20"/>
          <w:szCs w:val="20"/>
          <w:lang w:val="en-US"/>
        </w:rPr>
        <w:t xml:space="preserve"> and advised that th</w:t>
      </w:r>
      <w:r w:rsidR="00616FBB" w:rsidRPr="00D869E3">
        <w:rPr>
          <w:rFonts w:ascii="Verdana" w:hAnsi="Verdana" w:cs="Verdana"/>
          <w:color w:val="000000"/>
          <w:sz w:val="20"/>
          <w:szCs w:val="20"/>
          <w:lang w:val="en-US"/>
        </w:rPr>
        <w:t>e said</w:t>
      </w:r>
      <w:r w:rsidR="00101A57" w:rsidRPr="00D869E3">
        <w:rPr>
          <w:rFonts w:ascii="Verdana" w:hAnsi="Verdana" w:cs="Verdana"/>
          <w:color w:val="000000"/>
          <w:sz w:val="20"/>
          <w:szCs w:val="20"/>
          <w:lang w:val="en-US"/>
        </w:rPr>
        <w:t xml:space="preserve"> </w:t>
      </w:r>
      <w:r w:rsidR="00101A57" w:rsidRPr="00D869E3">
        <w:rPr>
          <w:rFonts w:ascii="Verdana" w:hAnsi="Verdana" w:cs="Verdana"/>
          <w:color w:val="000000"/>
          <w:sz w:val="20"/>
          <w:szCs w:val="20"/>
          <w:lang w:val="en-US"/>
        </w:rPr>
        <w:lastRenderedPageBreak/>
        <w:t xml:space="preserve">amount must be reimbursed within 90 days of notification of this judgment. </w:t>
      </w:r>
      <w:r w:rsidR="005B3D37" w:rsidRPr="00D869E3">
        <w:rPr>
          <w:rFonts w:ascii="Verdana" w:hAnsi="Verdana" w:cs="Verdana"/>
          <w:sz w:val="20"/>
          <w:szCs w:val="20"/>
          <w:lang w:val="en-US"/>
        </w:rPr>
        <w:t xml:space="preserve"> </w:t>
      </w:r>
    </w:p>
    <w:p w14:paraId="20EE1496" w14:textId="77777777" w:rsidR="00101A57" w:rsidRPr="00D869E3" w:rsidRDefault="00101A57" w:rsidP="00101A57">
      <w:pPr>
        <w:widowControl w:val="0"/>
        <w:tabs>
          <w:tab w:val="center" w:pos="0"/>
        </w:tabs>
        <w:autoSpaceDE w:val="0"/>
        <w:autoSpaceDN w:val="0"/>
        <w:adjustRightInd w:val="0"/>
        <w:contextualSpacing/>
        <w:jc w:val="both"/>
        <w:rPr>
          <w:rFonts w:ascii="Verdana" w:hAnsi="Verdana"/>
          <w:sz w:val="20"/>
          <w:szCs w:val="20"/>
          <w:lang w:val="en-US"/>
        </w:rPr>
      </w:pPr>
    </w:p>
    <w:p w14:paraId="2A8CC263" w14:textId="328B97E5" w:rsidR="009C5D55" w:rsidRPr="00D869E3" w:rsidRDefault="00B44B46" w:rsidP="00E66DD7">
      <w:pPr>
        <w:pStyle w:val="Ttulo2"/>
        <w:numPr>
          <w:ilvl w:val="0"/>
          <w:numId w:val="13"/>
        </w:numPr>
        <w:rPr>
          <w:i/>
          <w:szCs w:val="20"/>
          <w:lang w:val="en-US"/>
        </w:rPr>
      </w:pPr>
      <w:bookmarkStart w:id="75" w:name="_Toc29114162"/>
      <w:r w:rsidRPr="00D869E3">
        <w:rPr>
          <w:i/>
          <w:szCs w:val="20"/>
          <w:lang w:val="en-US"/>
        </w:rPr>
        <w:t>Method of complying with the payments ordered</w:t>
      </w:r>
      <w:bookmarkEnd w:id="75"/>
    </w:p>
    <w:p w14:paraId="750A1D66" w14:textId="77777777" w:rsidR="009C5D55" w:rsidRPr="00D869E3" w:rsidRDefault="009C5D55" w:rsidP="009C5D55">
      <w:pPr>
        <w:rPr>
          <w:rFonts w:ascii="Verdana" w:hAnsi="Verdana"/>
          <w:sz w:val="20"/>
          <w:szCs w:val="20"/>
          <w:lang w:val="en-US"/>
        </w:rPr>
      </w:pPr>
    </w:p>
    <w:p w14:paraId="15883925" w14:textId="428ECC3C" w:rsidR="00101A57" w:rsidRPr="00D869E3" w:rsidRDefault="00447C65" w:rsidP="00616FBB">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The State</w:t>
      </w:r>
      <w:r w:rsidR="009C5D55" w:rsidRPr="00D869E3">
        <w:rPr>
          <w:rFonts w:ascii="Verdana" w:hAnsi="Verdana"/>
          <w:sz w:val="20"/>
          <w:szCs w:val="20"/>
          <w:lang w:val="en-US"/>
        </w:rPr>
        <w:t xml:space="preserve"> </w:t>
      </w:r>
      <w:r w:rsidR="00616FBB" w:rsidRPr="00D869E3">
        <w:rPr>
          <w:rFonts w:ascii="Verdana" w:hAnsi="Verdana"/>
          <w:sz w:val="20"/>
          <w:szCs w:val="20"/>
          <w:lang w:val="en-US"/>
        </w:rPr>
        <w:t>shall</w:t>
      </w:r>
      <w:r w:rsidR="00101A57" w:rsidRPr="00D869E3">
        <w:rPr>
          <w:rFonts w:ascii="Verdana" w:hAnsi="Verdana"/>
          <w:sz w:val="20"/>
          <w:szCs w:val="20"/>
          <w:lang w:val="en-US"/>
        </w:rPr>
        <w:t xml:space="preserve"> make the payments of compensation for pecuniary and non-pecuniary damage and to reimburse costs and expenses established in this judgment directly to the person indicated herein, within one year of notification of this judgment in accordance with the following paragraphs</w:t>
      </w:r>
      <w:r w:rsidR="009F315A" w:rsidRPr="00D869E3">
        <w:rPr>
          <w:rFonts w:ascii="Verdana" w:hAnsi="Verdana"/>
          <w:sz w:val="20"/>
          <w:szCs w:val="20"/>
          <w:lang w:val="en-US"/>
        </w:rPr>
        <w:t>.</w:t>
      </w:r>
    </w:p>
    <w:p w14:paraId="78952A33" w14:textId="77777777" w:rsidR="009F315A" w:rsidRPr="00D869E3" w:rsidRDefault="009F315A" w:rsidP="009F315A">
      <w:pPr>
        <w:widowControl w:val="0"/>
        <w:tabs>
          <w:tab w:val="center" w:pos="567"/>
        </w:tabs>
        <w:autoSpaceDE w:val="0"/>
        <w:autoSpaceDN w:val="0"/>
        <w:adjustRightInd w:val="0"/>
        <w:contextualSpacing/>
        <w:jc w:val="both"/>
        <w:rPr>
          <w:rFonts w:ascii="Verdana" w:hAnsi="Verdana"/>
          <w:sz w:val="20"/>
          <w:szCs w:val="20"/>
          <w:lang w:val="en-US"/>
        </w:rPr>
      </w:pPr>
    </w:p>
    <w:p w14:paraId="4C459860" w14:textId="737BDF3A" w:rsidR="009F315A" w:rsidRPr="00D869E3" w:rsidRDefault="009F315A" w:rsidP="009F315A">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If the beneficiary is deceased or dies before he receives the respective compensation, this shall be delivered directly to his heirs, pursuant to the applicable domestic law.</w:t>
      </w:r>
    </w:p>
    <w:p w14:paraId="3513E15D" w14:textId="77777777" w:rsidR="009C5D55" w:rsidRPr="00D869E3" w:rsidRDefault="009C5D55" w:rsidP="00101A57">
      <w:pPr>
        <w:tabs>
          <w:tab w:val="center" w:pos="720"/>
        </w:tabs>
        <w:contextualSpacing/>
        <w:rPr>
          <w:rFonts w:ascii="Verdana" w:hAnsi="Verdana"/>
          <w:sz w:val="20"/>
          <w:szCs w:val="20"/>
          <w:lang w:val="en-US"/>
        </w:rPr>
      </w:pPr>
    </w:p>
    <w:p w14:paraId="7E932AF5" w14:textId="35EE9A7B" w:rsidR="009F315A" w:rsidRPr="00D869E3" w:rsidRDefault="00447C65" w:rsidP="009F315A">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The State</w:t>
      </w:r>
      <w:r w:rsidR="009C5D55" w:rsidRPr="00D869E3">
        <w:rPr>
          <w:rFonts w:ascii="Verdana" w:hAnsi="Verdana"/>
          <w:sz w:val="20"/>
          <w:szCs w:val="20"/>
          <w:lang w:val="en-US"/>
        </w:rPr>
        <w:t xml:space="preserve"> </w:t>
      </w:r>
      <w:r w:rsidR="00616FBB" w:rsidRPr="00D869E3">
        <w:rPr>
          <w:rFonts w:ascii="Verdana" w:hAnsi="Verdana"/>
          <w:sz w:val="20"/>
          <w:szCs w:val="20"/>
          <w:lang w:val="en-US"/>
        </w:rPr>
        <w:t>shall</w:t>
      </w:r>
      <w:r w:rsidR="009F315A" w:rsidRPr="00D869E3">
        <w:rPr>
          <w:rFonts w:ascii="Verdana" w:hAnsi="Verdana"/>
          <w:sz w:val="20"/>
          <w:szCs w:val="20"/>
          <w:lang w:val="en-US"/>
        </w:rPr>
        <w:t xml:space="preserve"> comply with its monetary obligations by payment in </w:t>
      </w:r>
      <w:r w:rsidR="004926D0" w:rsidRPr="00D869E3">
        <w:rPr>
          <w:rFonts w:ascii="Verdana" w:hAnsi="Verdana"/>
          <w:sz w:val="20"/>
          <w:szCs w:val="20"/>
          <w:lang w:val="en-US"/>
        </w:rPr>
        <w:t>United States dollars</w:t>
      </w:r>
      <w:r w:rsidR="009C5D55" w:rsidRPr="00D869E3">
        <w:rPr>
          <w:rFonts w:ascii="Verdana" w:hAnsi="Verdana"/>
          <w:sz w:val="20"/>
          <w:szCs w:val="20"/>
          <w:lang w:val="en-US"/>
        </w:rPr>
        <w:t xml:space="preserve"> o</w:t>
      </w:r>
      <w:r w:rsidR="009F315A" w:rsidRPr="00D869E3">
        <w:rPr>
          <w:rFonts w:ascii="Verdana" w:hAnsi="Verdana"/>
          <w:sz w:val="20"/>
          <w:szCs w:val="20"/>
          <w:lang w:val="en-US"/>
        </w:rPr>
        <w:t xml:space="preserve">r the equivalent in Peruvian currency, using the </w:t>
      </w:r>
      <w:r w:rsidR="00616FBB" w:rsidRPr="00D869E3">
        <w:rPr>
          <w:rFonts w:ascii="Verdana" w:hAnsi="Verdana"/>
          <w:sz w:val="20"/>
          <w:szCs w:val="20"/>
          <w:lang w:val="en-US"/>
        </w:rPr>
        <w:t>e</w:t>
      </w:r>
      <w:r w:rsidR="009F315A" w:rsidRPr="00D869E3">
        <w:rPr>
          <w:rFonts w:ascii="Verdana" w:hAnsi="Verdana"/>
          <w:sz w:val="20"/>
          <w:szCs w:val="20"/>
          <w:lang w:val="en-US"/>
        </w:rPr>
        <w:t>xchange rate in force on the New York Stock Exchange (United States of America), on the day before payment to make the respective calculation.</w:t>
      </w:r>
    </w:p>
    <w:p w14:paraId="2693D81E" w14:textId="77777777" w:rsidR="009C5D55" w:rsidRPr="00D869E3" w:rsidRDefault="009C5D55" w:rsidP="00101A57">
      <w:pPr>
        <w:tabs>
          <w:tab w:val="center" w:pos="720"/>
        </w:tabs>
        <w:contextualSpacing/>
        <w:rPr>
          <w:rFonts w:ascii="Verdana" w:hAnsi="Verdana"/>
          <w:sz w:val="20"/>
          <w:szCs w:val="20"/>
          <w:lang w:val="en-US"/>
        </w:rPr>
      </w:pPr>
    </w:p>
    <w:p w14:paraId="3838B651" w14:textId="53549EFC" w:rsidR="009F315A" w:rsidRPr="00D869E3" w:rsidRDefault="009F315A" w:rsidP="00101A57">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If, for reasons that can be attributed to the beneficiary of the compensation or his heirs, it is not possible to pay the amounts established within the time frame indicated, the State shall deposit the said amounts in his favor in a deposit account or certificate in a solvent Peruvian financial institution, in United States dollars, and in the most favorable financial conditions permitted by banking law and practice. If the corresponding compensation is not claimed after ten years, the sums shall be returned to the State with the interest accrued.</w:t>
      </w:r>
    </w:p>
    <w:p w14:paraId="49894BA0" w14:textId="77777777" w:rsidR="009F315A" w:rsidRPr="00D869E3" w:rsidRDefault="009F315A" w:rsidP="009F315A">
      <w:pPr>
        <w:pStyle w:val="Prrafodelista"/>
        <w:rPr>
          <w:rFonts w:ascii="Verdana" w:hAnsi="Verdana"/>
          <w:sz w:val="20"/>
          <w:szCs w:val="20"/>
          <w:lang w:val="en-US"/>
        </w:rPr>
      </w:pPr>
    </w:p>
    <w:p w14:paraId="3625EA7A" w14:textId="03209BEE" w:rsidR="009F315A" w:rsidRPr="00D869E3" w:rsidRDefault="009F315A" w:rsidP="009F315A">
      <w:pPr>
        <w:widowControl w:val="0"/>
        <w:numPr>
          <w:ilvl w:val="0"/>
          <w:numId w:val="1"/>
        </w:numPr>
        <w:tabs>
          <w:tab w:val="center" w:pos="720"/>
        </w:tabs>
        <w:autoSpaceDE w:val="0"/>
        <w:autoSpaceDN w:val="0"/>
        <w:adjustRightInd w:val="0"/>
        <w:ind w:left="0" w:firstLine="0"/>
        <w:contextualSpacing/>
        <w:jc w:val="both"/>
        <w:rPr>
          <w:rFonts w:ascii="Verdana" w:hAnsi="Verdana"/>
          <w:sz w:val="20"/>
          <w:szCs w:val="20"/>
          <w:lang w:val="en-US"/>
        </w:rPr>
      </w:pPr>
      <w:r w:rsidRPr="00D869E3">
        <w:rPr>
          <w:rFonts w:ascii="Verdana" w:hAnsi="Verdana"/>
          <w:sz w:val="20"/>
          <w:szCs w:val="20"/>
          <w:lang w:val="en-US"/>
        </w:rPr>
        <w:t xml:space="preserve">The amounts established in this judgment as compensation for non-pecuniary damage and to reimburse costs and expenses shall be delivered to the persons indicated in full, as established in this judgment, without any deductions arising from possible taxes or charges. </w:t>
      </w:r>
    </w:p>
    <w:p w14:paraId="33EC7CEA" w14:textId="77777777" w:rsidR="009C5D55" w:rsidRPr="00D869E3" w:rsidRDefault="009C5D55" w:rsidP="009F315A">
      <w:pPr>
        <w:widowControl w:val="0"/>
        <w:tabs>
          <w:tab w:val="center" w:pos="720"/>
        </w:tabs>
        <w:autoSpaceDE w:val="0"/>
        <w:autoSpaceDN w:val="0"/>
        <w:adjustRightInd w:val="0"/>
        <w:contextualSpacing/>
        <w:jc w:val="both"/>
        <w:rPr>
          <w:rFonts w:ascii="Verdana" w:hAnsi="Verdana"/>
          <w:sz w:val="20"/>
          <w:szCs w:val="20"/>
          <w:lang w:val="en-US"/>
        </w:rPr>
      </w:pPr>
    </w:p>
    <w:p w14:paraId="0CE4DC62" w14:textId="1E2BF7E7" w:rsidR="00C4628D" w:rsidRPr="00D869E3" w:rsidRDefault="009F315A" w:rsidP="009F315A">
      <w:pPr>
        <w:widowControl w:val="0"/>
        <w:numPr>
          <w:ilvl w:val="0"/>
          <w:numId w:val="1"/>
        </w:numPr>
        <w:tabs>
          <w:tab w:val="center" w:pos="720"/>
        </w:tabs>
        <w:autoSpaceDE w:val="0"/>
        <w:autoSpaceDN w:val="0"/>
        <w:adjustRightInd w:val="0"/>
        <w:ind w:left="0" w:firstLine="0"/>
        <w:contextualSpacing/>
        <w:jc w:val="both"/>
        <w:rPr>
          <w:rFonts w:ascii="Verdana" w:hAnsi="Verdana"/>
          <w:lang w:val="en-US"/>
        </w:rPr>
      </w:pPr>
      <w:r w:rsidRPr="00D869E3">
        <w:rPr>
          <w:rFonts w:ascii="Verdana" w:hAnsi="Verdana"/>
          <w:spacing w:val="-2"/>
          <w:sz w:val="20"/>
          <w:szCs w:val="20"/>
          <w:lang w:val="en-US"/>
        </w:rPr>
        <w:t xml:space="preserve">If the State </w:t>
      </w:r>
      <w:r w:rsidR="00C4628D" w:rsidRPr="00D869E3">
        <w:rPr>
          <w:rFonts w:ascii="Verdana" w:hAnsi="Verdana"/>
          <w:sz w:val="20"/>
          <w:szCs w:val="20"/>
          <w:lang w:val="en-US"/>
        </w:rPr>
        <w:t xml:space="preserve">should fall in arrears, including in the </w:t>
      </w:r>
      <w:r w:rsidR="00C4628D" w:rsidRPr="00D869E3">
        <w:rPr>
          <w:rFonts w:ascii="Verdana" w:hAnsi="Verdana" w:cs="Verdana"/>
          <w:sz w:val="20"/>
          <w:szCs w:val="20"/>
          <w:lang w:val="en-US"/>
        </w:rPr>
        <w:t>reimbursement of disbursements to the Victims’ Legal Assistance Fund</w:t>
      </w:r>
      <w:r w:rsidR="00C4628D" w:rsidRPr="00D869E3">
        <w:rPr>
          <w:rFonts w:ascii="Verdana" w:hAnsi="Verdana"/>
          <w:sz w:val="20"/>
          <w:szCs w:val="20"/>
          <w:lang w:val="en-US"/>
        </w:rPr>
        <w:t>, it shall pay interest on the amount ow</w:t>
      </w:r>
      <w:r w:rsidR="00616FBB" w:rsidRPr="00D869E3">
        <w:rPr>
          <w:rFonts w:ascii="Verdana" w:hAnsi="Verdana"/>
          <w:sz w:val="20"/>
          <w:szCs w:val="20"/>
          <w:lang w:val="en-US"/>
        </w:rPr>
        <w:t>ing</w:t>
      </w:r>
      <w:r w:rsidR="00C4628D" w:rsidRPr="00D869E3">
        <w:rPr>
          <w:rFonts w:ascii="Verdana" w:hAnsi="Verdana"/>
          <w:sz w:val="20"/>
          <w:szCs w:val="20"/>
          <w:lang w:val="en-US"/>
        </w:rPr>
        <w:t xml:space="preserve"> corresponding to banking interest on arrears in </w:t>
      </w:r>
      <w:r w:rsidR="00C4628D" w:rsidRPr="00D869E3">
        <w:rPr>
          <w:rFonts w:ascii="Verdana" w:hAnsi="Verdana"/>
          <w:spacing w:val="-2"/>
          <w:sz w:val="20"/>
          <w:szCs w:val="20"/>
          <w:lang w:val="en-US"/>
        </w:rPr>
        <w:t>the Republic of Peru.</w:t>
      </w:r>
    </w:p>
    <w:p w14:paraId="2248DCE9" w14:textId="77777777" w:rsidR="006A2D03" w:rsidRPr="00D869E3" w:rsidRDefault="006A2D03">
      <w:pPr>
        <w:spacing w:after="200" w:line="276" w:lineRule="auto"/>
        <w:rPr>
          <w:rFonts w:ascii="Verdana" w:eastAsia="Times New Roman" w:hAnsi="Verdana" w:cs="Verdana"/>
          <w:b/>
          <w:bCs/>
          <w:caps/>
          <w:snapToGrid w:val="0"/>
          <w:sz w:val="20"/>
          <w:szCs w:val="20"/>
          <w:lang w:val="en-US"/>
        </w:rPr>
      </w:pPr>
    </w:p>
    <w:p w14:paraId="70FC005A" w14:textId="12654A69" w:rsidR="00324758" w:rsidRPr="00D869E3" w:rsidRDefault="00374FC9" w:rsidP="00324758">
      <w:pPr>
        <w:pStyle w:val="Ttulo1"/>
        <w:tabs>
          <w:tab w:val="left" w:pos="851"/>
        </w:tabs>
        <w:spacing w:before="0"/>
        <w:jc w:val="center"/>
        <w:rPr>
          <w:rFonts w:cs="Verdana"/>
          <w:caps/>
          <w:snapToGrid w:val="0"/>
          <w:szCs w:val="20"/>
          <w:lang w:val="en-US"/>
        </w:rPr>
      </w:pPr>
      <w:bookmarkStart w:id="76" w:name="_Toc29114163"/>
      <w:r w:rsidRPr="00D869E3">
        <w:rPr>
          <w:rFonts w:cs="Verdana"/>
          <w:caps/>
          <w:snapToGrid w:val="0"/>
          <w:szCs w:val="20"/>
          <w:lang w:val="en-US"/>
        </w:rPr>
        <w:t>I</w:t>
      </w:r>
      <w:r w:rsidR="00324758" w:rsidRPr="00D869E3">
        <w:rPr>
          <w:rFonts w:cs="Verdana"/>
          <w:caps/>
          <w:snapToGrid w:val="0"/>
          <w:szCs w:val="20"/>
          <w:lang w:val="en-US"/>
        </w:rPr>
        <w:t>X</w:t>
      </w:r>
      <w:r w:rsidR="00324758" w:rsidRPr="00D869E3">
        <w:rPr>
          <w:rFonts w:cs="Verdana"/>
          <w:caps/>
          <w:snapToGrid w:val="0"/>
          <w:szCs w:val="20"/>
          <w:lang w:val="en-US"/>
        </w:rPr>
        <w:br/>
      </w:r>
      <w:r w:rsidR="009D0AA1" w:rsidRPr="00D869E3">
        <w:rPr>
          <w:rFonts w:cs="Verdana"/>
          <w:caps/>
          <w:snapToGrid w:val="0"/>
          <w:szCs w:val="20"/>
          <w:lang w:val="en-US"/>
        </w:rPr>
        <w:t>OPERATIVE PARAGRAPHS</w:t>
      </w:r>
      <w:bookmarkEnd w:id="76"/>
    </w:p>
    <w:p w14:paraId="0EA67230" w14:textId="2962A6F7" w:rsidR="00324758" w:rsidRPr="00D869E3" w:rsidRDefault="009D0AA1" w:rsidP="00324758">
      <w:pPr>
        <w:pStyle w:val="Prrafodelista2"/>
        <w:tabs>
          <w:tab w:val="left" w:pos="0"/>
          <w:tab w:val="num" w:pos="12305"/>
        </w:tabs>
        <w:ind w:left="0" w:right="-90"/>
        <w:jc w:val="both"/>
        <w:rPr>
          <w:lang w:val="en-US"/>
        </w:rPr>
      </w:pPr>
      <w:r w:rsidRPr="00D869E3">
        <w:rPr>
          <w:lang w:val="en-US"/>
        </w:rPr>
        <w:t>Therefore</w:t>
      </w:r>
      <w:r w:rsidR="00324758" w:rsidRPr="00D869E3">
        <w:rPr>
          <w:lang w:val="en-US"/>
        </w:rPr>
        <w:t>,</w:t>
      </w:r>
    </w:p>
    <w:p w14:paraId="227747B9" w14:textId="77777777" w:rsidR="00324758" w:rsidRPr="00D869E3" w:rsidRDefault="00324758" w:rsidP="00541607">
      <w:pPr>
        <w:pStyle w:val="Prrafodelista2"/>
        <w:tabs>
          <w:tab w:val="left" w:pos="720"/>
        </w:tabs>
        <w:ind w:left="0" w:right="-90"/>
        <w:contextualSpacing/>
        <w:rPr>
          <w:lang w:val="en-US"/>
        </w:rPr>
      </w:pPr>
    </w:p>
    <w:p w14:paraId="55074518" w14:textId="48AC0C8D" w:rsidR="00324758" w:rsidRPr="00D869E3" w:rsidRDefault="00447C65" w:rsidP="00324758">
      <w:pPr>
        <w:pStyle w:val="Prrafodelista2"/>
        <w:tabs>
          <w:tab w:val="left" w:pos="720"/>
        </w:tabs>
        <w:ind w:left="0" w:right="-90"/>
        <w:contextualSpacing/>
        <w:rPr>
          <w:lang w:val="en-US"/>
        </w:rPr>
      </w:pPr>
      <w:r w:rsidRPr="00D869E3">
        <w:rPr>
          <w:b/>
          <w:bCs/>
          <w:lang w:val="en-US"/>
        </w:rPr>
        <w:t>THE COURT</w:t>
      </w:r>
    </w:p>
    <w:p w14:paraId="12F28F1A" w14:textId="77777777" w:rsidR="00324758" w:rsidRPr="00D869E3" w:rsidRDefault="00324758" w:rsidP="00324758">
      <w:pPr>
        <w:pStyle w:val="Prrafodelista2"/>
        <w:tabs>
          <w:tab w:val="left" w:pos="720"/>
        </w:tabs>
        <w:ind w:left="0" w:right="-90"/>
        <w:contextualSpacing/>
        <w:rPr>
          <w:lang w:val="en-US"/>
        </w:rPr>
      </w:pPr>
    </w:p>
    <w:p w14:paraId="7E6882B4" w14:textId="2E9B4FE7" w:rsidR="00324758" w:rsidRPr="00D869E3" w:rsidRDefault="00324758" w:rsidP="00324758">
      <w:pPr>
        <w:pStyle w:val="Prrafodelista2"/>
        <w:tabs>
          <w:tab w:val="left" w:pos="720"/>
        </w:tabs>
        <w:ind w:left="0" w:right="-90"/>
        <w:contextualSpacing/>
        <w:rPr>
          <w:b/>
          <w:lang w:val="en-US"/>
        </w:rPr>
      </w:pPr>
      <w:r w:rsidRPr="00D869E3">
        <w:rPr>
          <w:b/>
          <w:lang w:val="en-US"/>
        </w:rPr>
        <w:t>DECIDE</w:t>
      </w:r>
      <w:r w:rsidR="009D0AA1" w:rsidRPr="00D869E3">
        <w:rPr>
          <w:b/>
          <w:lang w:val="en-US"/>
        </w:rPr>
        <w:t>S</w:t>
      </w:r>
      <w:r w:rsidRPr="00D869E3">
        <w:rPr>
          <w:b/>
          <w:lang w:val="en-US"/>
        </w:rPr>
        <w:t>,</w:t>
      </w:r>
    </w:p>
    <w:p w14:paraId="0A6B1E51" w14:textId="77777777" w:rsidR="00324758" w:rsidRPr="00D869E3" w:rsidRDefault="00324758" w:rsidP="00324758">
      <w:pPr>
        <w:pStyle w:val="Prrafodelista2"/>
        <w:tabs>
          <w:tab w:val="left" w:pos="720"/>
        </w:tabs>
        <w:ind w:left="0" w:right="-90"/>
        <w:contextualSpacing/>
        <w:rPr>
          <w:lang w:val="en-US"/>
        </w:rPr>
      </w:pPr>
      <w:r w:rsidRPr="00D869E3">
        <w:rPr>
          <w:lang w:val="en-US"/>
        </w:rPr>
        <w:t xml:space="preserve"> </w:t>
      </w:r>
    </w:p>
    <w:p w14:paraId="4A76C4B2" w14:textId="17552990" w:rsidR="00324758" w:rsidRPr="00D869E3" w:rsidRDefault="009D0AA1" w:rsidP="00324758">
      <w:pPr>
        <w:pStyle w:val="Prrafodelista2"/>
        <w:tabs>
          <w:tab w:val="left" w:pos="720"/>
        </w:tabs>
        <w:ind w:left="0" w:right="-90"/>
        <w:contextualSpacing/>
        <w:rPr>
          <w:lang w:val="en-US"/>
        </w:rPr>
      </w:pPr>
      <w:r w:rsidRPr="00D869E3">
        <w:rPr>
          <w:lang w:val="en-US"/>
        </w:rPr>
        <w:t>Unanimously</w:t>
      </w:r>
      <w:r w:rsidR="002E2250" w:rsidRPr="00D869E3">
        <w:rPr>
          <w:lang w:val="en-US"/>
        </w:rPr>
        <w:t>:</w:t>
      </w:r>
    </w:p>
    <w:p w14:paraId="4964AE24" w14:textId="77777777" w:rsidR="00324758" w:rsidRPr="00D869E3" w:rsidRDefault="00324758" w:rsidP="00B0111A">
      <w:pPr>
        <w:pStyle w:val="Prrafodelista2"/>
        <w:tabs>
          <w:tab w:val="left" w:pos="720"/>
        </w:tabs>
        <w:ind w:left="0" w:right="-90"/>
        <w:contextualSpacing/>
        <w:rPr>
          <w:lang w:val="en-US"/>
        </w:rPr>
      </w:pPr>
    </w:p>
    <w:p w14:paraId="2FC04342" w14:textId="246B4BC0" w:rsidR="00B0111A" w:rsidRPr="00D869E3" w:rsidRDefault="00180CED"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 xml:space="preserve">To reject the objections filed by the State concerning control of legality in relation to the </w:t>
      </w:r>
      <w:r w:rsidR="00687684" w:rsidRPr="00D869E3">
        <w:rPr>
          <w:rFonts w:ascii="Verdana" w:hAnsi="Verdana"/>
          <w:sz w:val="20"/>
          <w:szCs w:val="20"/>
          <w:lang w:val="en-US"/>
        </w:rPr>
        <w:t>Admissibility Report</w:t>
      </w:r>
      <w:r w:rsidR="00175E75" w:rsidRPr="00D869E3">
        <w:rPr>
          <w:rFonts w:ascii="Verdana" w:hAnsi="Verdana"/>
          <w:sz w:val="20"/>
          <w:szCs w:val="20"/>
          <w:lang w:val="en-US"/>
        </w:rPr>
        <w:t xml:space="preserve"> </w:t>
      </w:r>
      <w:r w:rsidRPr="00D869E3">
        <w:rPr>
          <w:rFonts w:ascii="Verdana" w:hAnsi="Verdana"/>
          <w:sz w:val="20"/>
          <w:szCs w:val="20"/>
          <w:lang w:val="en-US"/>
        </w:rPr>
        <w:t>of</w:t>
      </w:r>
      <w:r w:rsidR="00175E75"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D214EC" w:rsidRPr="00D869E3">
        <w:rPr>
          <w:rFonts w:ascii="Verdana" w:hAnsi="Verdana"/>
          <w:sz w:val="20"/>
          <w:szCs w:val="20"/>
          <w:lang w:val="en-US"/>
        </w:rPr>
        <w:t>,</w:t>
      </w:r>
      <w:r w:rsidR="00175E75" w:rsidRPr="00D869E3">
        <w:rPr>
          <w:rFonts w:ascii="Verdana" w:hAnsi="Verdana"/>
          <w:sz w:val="20"/>
          <w:szCs w:val="20"/>
          <w:lang w:val="en-US"/>
        </w:rPr>
        <w:t xml:space="preserve"> </w:t>
      </w:r>
      <w:r w:rsidRPr="00D869E3">
        <w:rPr>
          <w:rFonts w:ascii="Verdana" w:hAnsi="Verdana"/>
          <w:sz w:val="20"/>
          <w:szCs w:val="20"/>
          <w:lang w:val="en-US"/>
        </w:rPr>
        <w:t>the alleged failure to exhaust domestic remedies, and the lack of competence</w:t>
      </w:r>
      <w:r w:rsidR="00447C65" w:rsidRPr="00D869E3">
        <w:rPr>
          <w:rFonts w:ascii="Verdana" w:hAnsi="Verdana"/>
          <w:sz w:val="20"/>
          <w:szCs w:val="20"/>
          <w:lang w:val="en-US"/>
        </w:rPr>
        <w:t xml:space="preserve"> of the Commission</w:t>
      </w:r>
      <w:r w:rsidR="002A08A9" w:rsidRPr="00D869E3">
        <w:rPr>
          <w:rFonts w:ascii="Verdana" w:hAnsi="Verdana"/>
          <w:sz w:val="20"/>
          <w:szCs w:val="20"/>
          <w:lang w:val="en-US"/>
        </w:rPr>
        <w:t>,</w:t>
      </w:r>
      <w:r w:rsidR="00B0111A" w:rsidRPr="00D869E3">
        <w:rPr>
          <w:rFonts w:ascii="Verdana" w:hAnsi="Verdana"/>
          <w:sz w:val="20"/>
          <w:szCs w:val="20"/>
          <w:lang w:val="en-US"/>
        </w:rPr>
        <w:t xml:space="preserve"> </w:t>
      </w:r>
      <w:r w:rsidR="00351902" w:rsidRPr="00D869E3">
        <w:rPr>
          <w:rFonts w:ascii="Verdana" w:hAnsi="Verdana"/>
          <w:sz w:val="20"/>
          <w:szCs w:val="20"/>
          <w:lang w:val="en-US"/>
        </w:rPr>
        <w:t>pursuant to paragraphs</w:t>
      </w:r>
      <w:r w:rsidR="00882FB7" w:rsidRPr="00D869E3">
        <w:rPr>
          <w:rFonts w:ascii="Verdana" w:hAnsi="Verdana"/>
          <w:sz w:val="20"/>
          <w:szCs w:val="20"/>
          <w:lang w:val="en-US"/>
        </w:rPr>
        <w:t xml:space="preserve"> 17</w:t>
      </w:r>
      <w:r w:rsidR="00687684" w:rsidRPr="00D869E3">
        <w:rPr>
          <w:rFonts w:ascii="Verdana" w:hAnsi="Verdana"/>
          <w:sz w:val="20"/>
          <w:szCs w:val="20"/>
          <w:lang w:val="en-US"/>
        </w:rPr>
        <w:t xml:space="preserve"> and </w:t>
      </w:r>
      <w:r w:rsidR="00882FB7" w:rsidRPr="00D869E3">
        <w:rPr>
          <w:rFonts w:ascii="Verdana" w:hAnsi="Verdana"/>
          <w:sz w:val="20"/>
          <w:szCs w:val="20"/>
          <w:lang w:val="en-US"/>
        </w:rPr>
        <w:t>18</w:t>
      </w:r>
      <w:r w:rsidR="00B0111A" w:rsidRPr="00D869E3">
        <w:rPr>
          <w:rFonts w:ascii="Verdana" w:hAnsi="Verdana"/>
          <w:sz w:val="20"/>
          <w:szCs w:val="20"/>
          <w:lang w:val="en-US"/>
        </w:rPr>
        <w:t xml:space="preserve"> </w:t>
      </w:r>
      <w:r w:rsidRPr="00D869E3">
        <w:rPr>
          <w:rFonts w:ascii="Verdana" w:hAnsi="Verdana"/>
          <w:sz w:val="20"/>
          <w:szCs w:val="20"/>
          <w:lang w:val="en-US"/>
        </w:rPr>
        <w:t>of this judgment</w:t>
      </w:r>
      <w:r w:rsidR="00B0111A" w:rsidRPr="00D869E3">
        <w:rPr>
          <w:rFonts w:ascii="Verdana" w:hAnsi="Verdana"/>
          <w:sz w:val="20"/>
          <w:szCs w:val="20"/>
          <w:lang w:val="en-US"/>
        </w:rPr>
        <w:t>.</w:t>
      </w:r>
    </w:p>
    <w:p w14:paraId="791D9F3F" w14:textId="77777777" w:rsidR="00324758" w:rsidRPr="00D869E3" w:rsidRDefault="00324758" w:rsidP="005B3D37">
      <w:pPr>
        <w:pStyle w:val="NormalNumbered"/>
        <w:numPr>
          <w:ilvl w:val="0"/>
          <w:numId w:val="0"/>
        </w:numPr>
        <w:rPr>
          <w:lang w:val="en-US"/>
        </w:rPr>
      </w:pPr>
    </w:p>
    <w:p w14:paraId="0177D8E8" w14:textId="20D5C859" w:rsidR="00CB46A0" w:rsidRPr="00D869E3" w:rsidRDefault="00180CED"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 xml:space="preserve">To reject the objection filed by the State concerning the inclusion </w:t>
      </w:r>
      <w:r w:rsidR="00687684" w:rsidRPr="00D869E3">
        <w:rPr>
          <w:rFonts w:ascii="Verdana" w:hAnsi="Verdana"/>
          <w:sz w:val="20"/>
          <w:szCs w:val="20"/>
          <w:lang w:val="en-US"/>
        </w:rPr>
        <w:t>of Article</w:t>
      </w:r>
      <w:r w:rsidR="00CB46A0" w:rsidRPr="00D869E3">
        <w:rPr>
          <w:rFonts w:ascii="Verdana" w:hAnsi="Verdana"/>
          <w:sz w:val="20"/>
          <w:szCs w:val="20"/>
          <w:lang w:val="en-US"/>
        </w:rPr>
        <w:t xml:space="preserve"> 16</w:t>
      </w:r>
      <w:r w:rsidR="00447C65" w:rsidRPr="00D869E3">
        <w:rPr>
          <w:rFonts w:ascii="Verdana" w:hAnsi="Verdana"/>
          <w:sz w:val="20"/>
          <w:szCs w:val="20"/>
          <w:lang w:val="en-US"/>
        </w:rPr>
        <w:t xml:space="preserve"> of the Convention</w:t>
      </w:r>
      <w:r w:rsidR="00CB46A0" w:rsidRPr="00D869E3">
        <w:rPr>
          <w:rFonts w:ascii="Verdana" w:hAnsi="Verdana"/>
          <w:sz w:val="20"/>
          <w:szCs w:val="20"/>
          <w:lang w:val="en-US"/>
        </w:rPr>
        <w:t xml:space="preserve"> </w:t>
      </w:r>
      <w:r w:rsidRPr="00D869E3">
        <w:rPr>
          <w:rFonts w:ascii="Verdana" w:hAnsi="Verdana"/>
          <w:sz w:val="20"/>
          <w:szCs w:val="20"/>
          <w:lang w:val="en-US"/>
        </w:rPr>
        <w:t>in the</w:t>
      </w:r>
      <w:r w:rsidR="00CB46A0" w:rsidRPr="00D869E3">
        <w:rPr>
          <w:rFonts w:ascii="Verdana" w:hAnsi="Verdana"/>
          <w:sz w:val="20"/>
          <w:szCs w:val="20"/>
          <w:lang w:val="en-US"/>
        </w:rPr>
        <w:t xml:space="preserve"> </w:t>
      </w:r>
      <w:r w:rsidR="00687684" w:rsidRPr="00D869E3">
        <w:rPr>
          <w:rFonts w:ascii="Verdana" w:hAnsi="Verdana"/>
          <w:sz w:val="20"/>
          <w:szCs w:val="20"/>
          <w:lang w:val="en-US"/>
        </w:rPr>
        <w:t>Merits Report</w:t>
      </w:r>
      <w:r w:rsidR="00CB46A0" w:rsidRPr="00D869E3">
        <w:rPr>
          <w:rFonts w:ascii="Verdana" w:hAnsi="Verdana"/>
          <w:sz w:val="20"/>
          <w:szCs w:val="20"/>
          <w:lang w:val="en-US"/>
        </w:rPr>
        <w:t xml:space="preserve">, </w:t>
      </w:r>
      <w:r w:rsidR="00351902" w:rsidRPr="00D869E3">
        <w:rPr>
          <w:rFonts w:ascii="Verdana" w:hAnsi="Verdana"/>
          <w:sz w:val="20"/>
          <w:szCs w:val="20"/>
          <w:lang w:val="en-US"/>
        </w:rPr>
        <w:t>pursuant to paragraphs</w:t>
      </w:r>
      <w:r w:rsidR="00CB46A0" w:rsidRPr="00D869E3">
        <w:rPr>
          <w:rFonts w:ascii="Verdana" w:hAnsi="Verdana"/>
          <w:sz w:val="20"/>
          <w:szCs w:val="20"/>
          <w:lang w:val="en-US"/>
        </w:rPr>
        <w:t xml:space="preserve"> </w:t>
      </w:r>
      <w:r w:rsidR="00882FB7" w:rsidRPr="00D869E3">
        <w:rPr>
          <w:rFonts w:ascii="Verdana" w:hAnsi="Verdana"/>
          <w:sz w:val="20"/>
          <w:szCs w:val="20"/>
          <w:lang w:val="en-US"/>
        </w:rPr>
        <w:t xml:space="preserve">20 </w:t>
      </w:r>
      <w:r w:rsidRPr="00D869E3">
        <w:rPr>
          <w:rFonts w:ascii="Verdana" w:hAnsi="Verdana"/>
          <w:sz w:val="20"/>
          <w:szCs w:val="20"/>
          <w:lang w:val="en-US"/>
        </w:rPr>
        <w:t>to</w:t>
      </w:r>
      <w:r w:rsidR="00882FB7" w:rsidRPr="00D869E3">
        <w:rPr>
          <w:rFonts w:ascii="Verdana" w:hAnsi="Verdana"/>
          <w:sz w:val="20"/>
          <w:szCs w:val="20"/>
          <w:lang w:val="en-US"/>
        </w:rPr>
        <w:t xml:space="preserve"> 23</w:t>
      </w:r>
      <w:r w:rsidR="00CB46A0" w:rsidRPr="00D869E3">
        <w:rPr>
          <w:rFonts w:ascii="Verdana" w:hAnsi="Verdana"/>
          <w:sz w:val="20"/>
          <w:szCs w:val="20"/>
          <w:lang w:val="en-US"/>
        </w:rPr>
        <w:t xml:space="preserve"> </w:t>
      </w:r>
      <w:r w:rsidRPr="00D869E3">
        <w:rPr>
          <w:rFonts w:ascii="Verdana" w:hAnsi="Verdana"/>
          <w:sz w:val="20"/>
          <w:szCs w:val="20"/>
          <w:lang w:val="en-US"/>
        </w:rPr>
        <w:t>of this judgment</w:t>
      </w:r>
      <w:r w:rsidR="00CB46A0" w:rsidRPr="00D869E3">
        <w:rPr>
          <w:rFonts w:ascii="Verdana" w:hAnsi="Verdana"/>
          <w:sz w:val="20"/>
          <w:szCs w:val="20"/>
          <w:lang w:val="en-US"/>
        </w:rPr>
        <w:t xml:space="preserve">. </w:t>
      </w:r>
    </w:p>
    <w:p w14:paraId="72C0D6D9" w14:textId="77777777" w:rsidR="00CB46A0" w:rsidRPr="00D869E3" w:rsidRDefault="00CB46A0"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4A28213D" w14:textId="607790BA" w:rsidR="00CB46A0" w:rsidRPr="00D869E3" w:rsidRDefault="00180CED"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To reject the objections filed by the State concerning the temporal delimitation of the analysis of judicial actions and the factual framework, and</w:t>
      </w:r>
      <w:r w:rsidR="00616FBB" w:rsidRPr="00D869E3">
        <w:rPr>
          <w:rFonts w:ascii="Verdana" w:hAnsi="Verdana"/>
          <w:sz w:val="20"/>
          <w:szCs w:val="20"/>
          <w:lang w:val="en-US"/>
        </w:rPr>
        <w:t xml:space="preserve"> the</w:t>
      </w:r>
      <w:r w:rsidRPr="00D869E3">
        <w:rPr>
          <w:rFonts w:ascii="Verdana" w:hAnsi="Verdana"/>
          <w:sz w:val="20"/>
          <w:szCs w:val="20"/>
          <w:lang w:val="en-US"/>
        </w:rPr>
        <w:t xml:space="preserve"> inclusion of violations that were not included in the </w:t>
      </w:r>
      <w:r w:rsidR="00687684" w:rsidRPr="00D869E3">
        <w:rPr>
          <w:rFonts w:ascii="Verdana" w:hAnsi="Verdana"/>
          <w:sz w:val="20"/>
          <w:szCs w:val="20"/>
          <w:lang w:val="en-US"/>
        </w:rPr>
        <w:t>Merits Report</w:t>
      </w:r>
      <w:r w:rsidR="00CB46A0" w:rsidRPr="00D869E3">
        <w:rPr>
          <w:rFonts w:ascii="Verdana" w:hAnsi="Verdana"/>
          <w:sz w:val="20"/>
          <w:szCs w:val="20"/>
          <w:lang w:val="en-US"/>
        </w:rPr>
        <w:t xml:space="preserve">, </w:t>
      </w:r>
      <w:r w:rsidR="00351902" w:rsidRPr="00D869E3">
        <w:rPr>
          <w:rFonts w:ascii="Verdana" w:hAnsi="Verdana"/>
          <w:sz w:val="20"/>
          <w:szCs w:val="20"/>
          <w:lang w:val="en-US"/>
        </w:rPr>
        <w:t>pursuant to paragraphs</w:t>
      </w:r>
      <w:r w:rsidR="00CB46A0" w:rsidRPr="00D869E3">
        <w:rPr>
          <w:rFonts w:ascii="Verdana" w:hAnsi="Verdana"/>
          <w:sz w:val="20"/>
          <w:szCs w:val="20"/>
          <w:lang w:val="en-US"/>
        </w:rPr>
        <w:t xml:space="preserve"> </w:t>
      </w:r>
      <w:r w:rsidR="00882FB7" w:rsidRPr="00D869E3">
        <w:rPr>
          <w:rFonts w:ascii="Verdana" w:hAnsi="Verdana"/>
          <w:sz w:val="20"/>
          <w:szCs w:val="20"/>
          <w:lang w:val="en-US"/>
        </w:rPr>
        <w:t>24</w:t>
      </w:r>
      <w:r w:rsidR="00687684" w:rsidRPr="00D869E3">
        <w:rPr>
          <w:rFonts w:ascii="Verdana" w:hAnsi="Verdana"/>
          <w:sz w:val="20"/>
          <w:szCs w:val="20"/>
          <w:lang w:val="en-US"/>
        </w:rPr>
        <w:t xml:space="preserve"> and </w:t>
      </w:r>
      <w:r w:rsidR="00882FB7" w:rsidRPr="00D869E3">
        <w:rPr>
          <w:rFonts w:ascii="Verdana" w:hAnsi="Verdana"/>
          <w:sz w:val="20"/>
          <w:szCs w:val="20"/>
          <w:lang w:val="en-US"/>
        </w:rPr>
        <w:t>25</w:t>
      </w:r>
      <w:r w:rsidR="00CB46A0" w:rsidRPr="00D869E3">
        <w:rPr>
          <w:rFonts w:ascii="Verdana" w:hAnsi="Verdana"/>
          <w:sz w:val="20"/>
          <w:szCs w:val="20"/>
          <w:lang w:val="en-US"/>
        </w:rPr>
        <w:t xml:space="preserve"> </w:t>
      </w:r>
      <w:r w:rsidRPr="00D869E3">
        <w:rPr>
          <w:rFonts w:ascii="Verdana" w:hAnsi="Verdana"/>
          <w:sz w:val="20"/>
          <w:szCs w:val="20"/>
          <w:lang w:val="en-US"/>
        </w:rPr>
        <w:t>of this judgment</w:t>
      </w:r>
      <w:r w:rsidR="00CB46A0" w:rsidRPr="00D869E3">
        <w:rPr>
          <w:rFonts w:ascii="Verdana" w:hAnsi="Verdana"/>
          <w:sz w:val="20"/>
          <w:szCs w:val="20"/>
          <w:lang w:val="en-US"/>
        </w:rPr>
        <w:t>.</w:t>
      </w:r>
    </w:p>
    <w:p w14:paraId="5C5AA247" w14:textId="77777777" w:rsidR="00324758" w:rsidRPr="00D869E3" w:rsidRDefault="00324758" w:rsidP="00324758">
      <w:pPr>
        <w:pStyle w:val="Prrafodelista2"/>
        <w:tabs>
          <w:tab w:val="left" w:pos="720"/>
        </w:tabs>
        <w:ind w:left="0" w:right="-90"/>
        <w:contextualSpacing/>
        <w:rPr>
          <w:b/>
          <w:bCs/>
          <w:lang w:val="en-US"/>
        </w:rPr>
      </w:pPr>
    </w:p>
    <w:p w14:paraId="1C107622" w14:textId="6D914EDB" w:rsidR="00324758" w:rsidRPr="00D869E3" w:rsidRDefault="00324758" w:rsidP="00324758">
      <w:pPr>
        <w:pStyle w:val="Prrafodelista2"/>
        <w:tabs>
          <w:tab w:val="left" w:pos="720"/>
        </w:tabs>
        <w:ind w:left="0" w:right="-90"/>
        <w:contextualSpacing/>
        <w:rPr>
          <w:lang w:val="en-US"/>
        </w:rPr>
      </w:pPr>
      <w:r w:rsidRPr="00D869E3">
        <w:rPr>
          <w:b/>
          <w:bCs/>
          <w:lang w:val="en-US"/>
        </w:rPr>
        <w:lastRenderedPageBreak/>
        <w:t>DECLAR</w:t>
      </w:r>
      <w:r w:rsidR="009D0AA1" w:rsidRPr="00D869E3">
        <w:rPr>
          <w:b/>
          <w:bCs/>
          <w:lang w:val="en-US"/>
        </w:rPr>
        <w:t>ES</w:t>
      </w:r>
      <w:r w:rsidRPr="00D869E3">
        <w:rPr>
          <w:b/>
          <w:bCs/>
          <w:lang w:val="en-US"/>
        </w:rPr>
        <w:t xml:space="preserve">: </w:t>
      </w:r>
    </w:p>
    <w:p w14:paraId="3E90AA5A" w14:textId="77777777" w:rsidR="00324758" w:rsidRPr="00D869E3" w:rsidRDefault="00324758" w:rsidP="00324758">
      <w:pPr>
        <w:pStyle w:val="Prrafodelista2"/>
        <w:tabs>
          <w:tab w:val="left" w:pos="720"/>
        </w:tabs>
        <w:ind w:left="0" w:right="-90"/>
        <w:contextualSpacing/>
        <w:rPr>
          <w:lang w:val="en-US"/>
        </w:rPr>
      </w:pPr>
    </w:p>
    <w:p w14:paraId="4EE41AC8" w14:textId="0917DBA3" w:rsidR="00324758" w:rsidRPr="00D869E3" w:rsidRDefault="009D0AA1" w:rsidP="00324758">
      <w:pPr>
        <w:pStyle w:val="Prrafodelista2"/>
        <w:ind w:left="0" w:right="-90"/>
        <w:contextualSpacing/>
        <w:rPr>
          <w:lang w:val="en-US"/>
        </w:rPr>
      </w:pPr>
      <w:r w:rsidRPr="00D869E3">
        <w:rPr>
          <w:lang w:val="en-US"/>
        </w:rPr>
        <w:t>Unanimously, that</w:t>
      </w:r>
      <w:r w:rsidR="00324758" w:rsidRPr="00D869E3">
        <w:rPr>
          <w:lang w:val="en-US"/>
        </w:rPr>
        <w:t>:</w:t>
      </w:r>
    </w:p>
    <w:p w14:paraId="1FE44D90" w14:textId="77777777" w:rsidR="00324758" w:rsidRPr="00D869E3" w:rsidRDefault="00324758" w:rsidP="00324758">
      <w:pPr>
        <w:pStyle w:val="Prrafodelista2"/>
        <w:ind w:left="0" w:right="-90"/>
        <w:contextualSpacing/>
        <w:rPr>
          <w:lang w:val="en-US"/>
        </w:rPr>
      </w:pPr>
    </w:p>
    <w:p w14:paraId="5B278E9C" w14:textId="4A6E9813" w:rsidR="00401656"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BF0FD7" w:rsidRPr="00D869E3">
        <w:rPr>
          <w:rFonts w:ascii="Verdana" w:hAnsi="Verdana"/>
          <w:sz w:val="20"/>
          <w:szCs w:val="20"/>
          <w:lang w:val="en-US"/>
        </w:rPr>
        <w:t xml:space="preserve"> </w:t>
      </w:r>
      <w:r w:rsidR="00180CED" w:rsidRPr="00D869E3">
        <w:rPr>
          <w:rFonts w:ascii="Verdana" w:hAnsi="Verdana"/>
          <w:sz w:val="20"/>
          <w:szCs w:val="20"/>
          <w:lang w:val="en-US"/>
        </w:rPr>
        <w:t>is responsible for</w:t>
      </w:r>
      <w:r w:rsidR="00BF0FD7"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BF0FD7" w:rsidRPr="00D869E3">
        <w:rPr>
          <w:rFonts w:ascii="Verdana" w:hAnsi="Verdana"/>
          <w:sz w:val="20"/>
          <w:szCs w:val="20"/>
          <w:lang w:val="en-US"/>
        </w:rPr>
        <w:t xml:space="preserve"> </w:t>
      </w:r>
      <w:r w:rsidR="00180CED" w:rsidRPr="00D869E3">
        <w:rPr>
          <w:rFonts w:ascii="Verdana" w:hAnsi="Verdana"/>
          <w:sz w:val="20"/>
          <w:szCs w:val="20"/>
          <w:lang w:val="en-US"/>
        </w:rPr>
        <w:t>of the rights to freedom of thought and expression and to judicial guarantees</w:t>
      </w:r>
      <w:r w:rsidR="00401656" w:rsidRPr="00D869E3">
        <w:rPr>
          <w:rFonts w:ascii="Verdana" w:hAnsi="Verdana"/>
          <w:sz w:val="20"/>
          <w:szCs w:val="20"/>
          <w:lang w:val="en-US"/>
        </w:rPr>
        <w:t xml:space="preserve"> </w:t>
      </w:r>
      <w:r w:rsidR="00180CED" w:rsidRPr="00D869E3">
        <w:rPr>
          <w:rFonts w:ascii="Verdana" w:hAnsi="Verdana"/>
          <w:sz w:val="20"/>
          <w:szCs w:val="20"/>
          <w:lang w:val="en-US"/>
        </w:rPr>
        <w:t>recognized in</w:t>
      </w:r>
      <w:r w:rsidR="00401656" w:rsidRPr="00D869E3">
        <w:rPr>
          <w:rFonts w:ascii="Verdana" w:hAnsi="Verdana"/>
          <w:sz w:val="20"/>
          <w:szCs w:val="20"/>
          <w:lang w:val="en-US"/>
        </w:rPr>
        <w:t xml:space="preserve"> </w:t>
      </w:r>
      <w:r w:rsidRPr="00D869E3">
        <w:rPr>
          <w:rFonts w:ascii="Verdana" w:hAnsi="Verdana"/>
          <w:sz w:val="20"/>
          <w:szCs w:val="20"/>
          <w:lang w:val="en-US"/>
        </w:rPr>
        <w:t>Articles</w:t>
      </w:r>
      <w:r w:rsidR="00401656" w:rsidRPr="00D869E3">
        <w:rPr>
          <w:rFonts w:ascii="Verdana" w:hAnsi="Verdana"/>
          <w:sz w:val="20"/>
          <w:szCs w:val="20"/>
          <w:lang w:val="en-US"/>
        </w:rPr>
        <w:t xml:space="preserve"> </w:t>
      </w:r>
      <w:r w:rsidR="00966115" w:rsidRPr="00D869E3">
        <w:rPr>
          <w:rFonts w:ascii="Verdana" w:hAnsi="Verdana"/>
          <w:sz w:val="20"/>
          <w:szCs w:val="20"/>
          <w:lang w:val="en-US"/>
        </w:rPr>
        <w:t>13(2)</w:t>
      </w:r>
      <w:r w:rsidR="00687684" w:rsidRPr="00D869E3">
        <w:rPr>
          <w:rFonts w:ascii="Verdana" w:hAnsi="Verdana"/>
          <w:sz w:val="20"/>
          <w:szCs w:val="20"/>
          <w:lang w:val="en-US"/>
        </w:rPr>
        <w:t xml:space="preserve"> and </w:t>
      </w:r>
      <w:r w:rsidR="00401656" w:rsidRPr="00D869E3">
        <w:rPr>
          <w:rFonts w:ascii="Verdana" w:hAnsi="Verdana"/>
          <w:sz w:val="20"/>
          <w:szCs w:val="20"/>
          <w:lang w:val="en-US"/>
        </w:rPr>
        <w:t>8</w:t>
      </w:r>
      <w:r w:rsidR="00180CED" w:rsidRPr="00D869E3">
        <w:rPr>
          <w:rFonts w:ascii="Verdana" w:hAnsi="Verdana"/>
          <w:sz w:val="20"/>
          <w:szCs w:val="20"/>
          <w:lang w:val="en-US"/>
        </w:rPr>
        <w:t>(</w:t>
      </w:r>
      <w:r w:rsidR="00401656" w:rsidRPr="00D869E3">
        <w:rPr>
          <w:rFonts w:ascii="Verdana" w:hAnsi="Verdana"/>
          <w:sz w:val="20"/>
          <w:szCs w:val="20"/>
          <w:lang w:val="en-US"/>
        </w:rPr>
        <w:t>2</w:t>
      </w:r>
      <w:r w:rsidR="00180CED" w:rsidRPr="00D869E3">
        <w:rPr>
          <w:rFonts w:ascii="Verdana" w:hAnsi="Verdana"/>
          <w:sz w:val="20"/>
          <w:szCs w:val="20"/>
          <w:lang w:val="en-US"/>
        </w:rPr>
        <w:t>)</w:t>
      </w:r>
      <w:r w:rsidRPr="00D869E3">
        <w:rPr>
          <w:rFonts w:ascii="Verdana" w:hAnsi="Verdana"/>
          <w:sz w:val="20"/>
          <w:szCs w:val="20"/>
          <w:lang w:val="en-US"/>
        </w:rPr>
        <w:t xml:space="preserve"> of the American Convention</w:t>
      </w:r>
      <w:r w:rsidR="00401656" w:rsidRPr="00D869E3">
        <w:rPr>
          <w:rFonts w:ascii="Verdana" w:hAnsi="Verdana"/>
          <w:sz w:val="20"/>
          <w:szCs w:val="20"/>
          <w:lang w:val="en-US"/>
        </w:rPr>
        <w:t xml:space="preserve">, </w:t>
      </w:r>
      <w:r w:rsidR="00BB61A6" w:rsidRPr="00D869E3">
        <w:rPr>
          <w:rFonts w:ascii="Verdana" w:hAnsi="Verdana"/>
          <w:sz w:val="20"/>
          <w:lang w:val="en-US"/>
        </w:rPr>
        <w:t>in relation to</w:t>
      </w:r>
      <w:r w:rsidR="00401656" w:rsidRPr="00D869E3">
        <w:rPr>
          <w:rFonts w:ascii="Verdana" w:hAnsi="Verdana"/>
          <w:sz w:val="20"/>
          <w:lang w:val="en-US"/>
        </w:rPr>
        <w:t xml:space="preserve"> </w:t>
      </w:r>
      <w:r w:rsidR="00687684" w:rsidRPr="00D869E3">
        <w:rPr>
          <w:rFonts w:ascii="Verdana" w:hAnsi="Verdana"/>
          <w:sz w:val="20"/>
          <w:lang w:val="en-US"/>
        </w:rPr>
        <w:t>Article 1(1)</w:t>
      </w:r>
      <w:r w:rsidR="00401656" w:rsidRPr="00D869E3">
        <w:rPr>
          <w:rFonts w:ascii="Verdana" w:hAnsi="Verdana"/>
          <w:sz w:val="20"/>
          <w:lang w:val="en-US"/>
        </w:rPr>
        <w:t xml:space="preserve"> </w:t>
      </w:r>
      <w:r w:rsidR="00351902" w:rsidRPr="00D869E3">
        <w:rPr>
          <w:rFonts w:ascii="Verdana" w:hAnsi="Verdana"/>
          <w:sz w:val="20"/>
          <w:lang w:val="en-US"/>
        </w:rPr>
        <w:t>of this instrument</w:t>
      </w:r>
      <w:r w:rsidR="00401656" w:rsidRPr="00D869E3">
        <w:rPr>
          <w:rFonts w:ascii="Verdana" w:hAnsi="Verdana"/>
          <w:sz w:val="20"/>
          <w:lang w:val="en-US"/>
        </w:rPr>
        <w:t xml:space="preserve">, </w:t>
      </w:r>
      <w:r w:rsidR="00180CED" w:rsidRPr="00D869E3">
        <w:rPr>
          <w:rFonts w:ascii="Verdana" w:hAnsi="Verdana"/>
          <w:sz w:val="20"/>
          <w:lang w:val="en-US"/>
        </w:rPr>
        <w:t>to the detriment of</w:t>
      </w:r>
      <w:r w:rsidR="00687684" w:rsidRPr="00D869E3">
        <w:rPr>
          <w:rFonts w:ascii="Verdana" w:hAnsi="Verdana"/>
          <w:sz w:val="20"/>
          <w:lang w:val="en-US"/>
        </w:rPr>
        <w:t xml:space="preserve"> Mr. Lagos</w:t>
      </w:r>
      <w:r w:rsidR="00401656" w:rsidRPr="00D869E3">
        <w:rPr>
          <w:rFonts w:ascii="Verdana" w:hAnsi="Verdana"/>
          <w:sz w:val="20"/>
          <w:lang w:val="en-US"/>
        </w:rPr>
        <w:t xml:space="preserve"> del Campo, </w:t>
      </w:r>
      <w:r w:rsidR="00351902" w:rsidRPr="00D869E3">
        <w:rPr>
          <w:rFonts w:ascii="Verdana" w:hAnsi="Verdana"/>
          <w:sz w:val="20"/>
          <w:szCs w:val="20"/>
          <w:lang w:val="en-US"/>
        </w:rPr>
        <w:t>pursuant to paragraphs</w:t>
      </w:r>
      <w:r w:rsidR="00882FB7" w:rsidRPr="00D869E3">
        <w:rPr>
          <w:rFonts w:ascii="Verdana" w:hAnsi="Verdana"/>
          <w:sz w:val="20"/>
          <w:szCs w:val="20"/>
          <w:lang w:val="en-US"/>
        </w:rPr>
        <w:t xml:space="preserve"> 88 </w:t>
      </w:r>
      <w:r w:rsidR="00180CED" w:rsidRPr="00D869E3">
        <w:rPr>
          <w:rFonts w:ascii="Verdana" w:hAnsi="Verdana"/>
          <w:sz w:val="20"/>
          <w:szCs w:val="20"/>
          <w:lang w:val="en-US"/>
        </w:rPr>
        <w:t>to</w:t>
      </w:r>
      <w:r w:rsidR="00882FB7" w:rsidRPr="00D869E3">
        <w:rPr>
          <w:rFonts w:ascii="Verdana" w:hAnsi="Verdana"/>
          <w:sz w:val="20"/>
          <w:szCs w:val="20"/>
          <w:lang w:val="en-US"/>
        </w:rPr>
        <w:t xml:space="preserve"> 132</w:t>
      </w:r>
      <w:r w:rsidR="00401656"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401656" w:rsidRPr="00D869E3">
        <w:rPr>
          <w:rFonts w:ascii="Verdana" w:hAnsi="Verdana"/>
          <w:sz w:val="20"/>
          <w:szCs w:val="20"/>
          <w:lang w:val="en-US"/>
        </w:rPr>
        <w:t>.</w:t>
      </w:r>
    </w:p>
    <w:p w14:paraId="32E196EB" w14:textId="77777777" w:rsidR="00401656" w:rsidRPr="00D869E3" w:rsidRDefault="00401656" w:rsidP="00B06027">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183C3021" w14:textId="332E5DDF" w:rsidR="000828BB" w:rsidRPr="00D869E3" w:rsidRDefault="00180CED" w:rsidP="000828BB">
      <w:pPr>
        <w:pStyle w:val="Prrafodelista2"/>
        <w:ind w:left="0" w:right="-90"/>
        <w:contextualSpacing/>
        <w:rPr>
          <w:lang w:val="en-US"/>
        </w:rPr>
      </w:pPr>
      <w:r w:rsidRPr="00D869E3">
        <w:rPr>
          <w:lang w:val="en-US"/>
        </w:rPr>
        <w:t>By five votes to two, that:</w:t>
      </w:r>
    </w:p>
    <w:p w14:paraId="0EBB81A4" w14:textId="77777777" w:rsidR="000828BB" w:rsidRPr="00D869E3" w:rsidRDefault="000828BB" w:rsidP="00B06027">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4BD94EDF" w14:textId="3DDC183D" w:rsidR="009212EA" w:rsidRPr="00D869E3" w:rsidRDefault="009212EA" w:rsidP="009212EA">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 xml:space="preserve">The State is responsible for the violation of the right to job security, recognized in Article 26 of the American Convention, in relation to Articles 1(1), 13, 8 and 16 of this instrument, </w:t>
      </w:r>
      <w:r w:rsidR="00180CED" w:rsidRPr="00D869E3">
        <w:rPr>
          <w:rFonts w:ascii="Verdana" w:hAnsi="Verdana"/>
          <w:sz w:val="20"/>
          <w:lang w:val="en-US"/>
        </w:rPr>
        <w:t xml:space="preserve">to the detriment of </w:t>
      </w:r>
      <w:r w:rsidRPr="00D869E3">
        <w:rPr>
          <w:rFonts w:ascii="Verdana" w:hAnsi="Verdana"/>
          <w:sz w:val="20"/>
          <w:szCs w:val="20"/>
          <w:lang w:val="en-US"/>
        </w:rPr>
        <w:t>Mr. Lagos del Campo, pursuant to paragraphs 133 to 154 and 166 of this judgment.”</w:t>
      </w:r>
    </w:p>
    <w:p w14:paraId="44FE7137" w14:textId="77777777" w:rsidR="009212EA" w:rsidRPr="00D869E3" w:rsidRDefault="009212EA" w:rsidP="009212EA">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67ACDB5F" w14:textId="2ED75D91" w:rsidR="009212EA" w:rsidRPr="00D869E3" w:rsidRDefault="009212EA"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 xml:space="preserve">The State is responsible for the violation of the right to freedom of association, recognized in Articles 16 and 26 of the American Convention, in relation to Articles 1(1), 13 and 8 of this instrument, </w:t>
      </w:r>
      <w:r w:rsidR="00180CED" w:rsidRPr="00D869E3">
        <w:rPr>
          <w:rFonts w:ascii="Verdana" w:hAnsi="Verdana"/>
          <w:sz w:val="20"/>
          <w:lang w:val="en-US"/>
        </w:rPr>
        <w:t xml:space="preserve">to the detriment of </w:t>
      </w:r>
      <w:r w:rsidRPr="00D869E3">
        <w:rPr>
          <w:rFonts w:ascii="Verdana" w:hAnsi="Verdana"/>
          <w:sz w:val="20"/>
          <w:szCs w:val="20"/>
          <w:lang w:val="en-US"/>
        </w:rPr>
        <w:t>Mr. Lagos del Campo, pursuant to paragraphs 155 to 163 of this judgment.</w:t>
      </w:r>
    </w:p>
    <w:p w14:paraId="508B3B6B" w14:textId="77777777" w:rsidR="00F830E9" w:rsidRPr="00D869E3" w:rsidRDefault="00F830E9" w:rsidP="00C44F02">
      <w:pPr>
        <w:pStyle w:val="Prrafodelista"/>
        <w:widowControl w:val="0"/>
        <w:tabs>
          <w:tab w:val="center" w:pos="567"/>
          <w:tab w:val="center" w:pos="720"/>
        </w:tabs>
        <w:autoSpaceDE w:val="0"/>
        <w:autoSpaceDN w:val="0"/>
        <w:adjustRightInd w:val="0"/>
        <w:ind w:left="0" w:right="-90"/>
        <w:jc w:val="both"/>
        <w:rPr>
          <w:rFonts w:ascii="Verdana" w:hAnsi="Verdana"/>
          <w:sz w:val="20"/>
          <w:szCs w:val="20"/>
          <w:lang w:val="en-US"/>
        </w:rPr>
      </w:pPr>
    </w:p>
    <w:p w14:paraId="12D783D3" w14:textId="66563240" w:rsidR="002E2250" w:rsidRPr="00D869E3" w:rsidRDefault="009212EA" w:rsidP="00C44F02">
      <w:pPr>
        <w:pStyle w:val="Prrafodelista"/>
        <w:widowControl w:val="0"/>
        <w:tabs>
          <w:tab w:val="center" w:pos="567"/>
          <w:tab w:val="center" w:pos="720"/>
        </w:tabs>
        <w:autoSpaceDE w:val="0"/>
        <w:autoSpaceDN w:val="0"/>
        <w:adjustRightInd w:val="0"/>
        <w:ind w:left="0" w:right="-90"/>
        <w:jc w:val="both"/>
        <w:rPr>
          <w:rFonts w:ascii="Verdana" w:hAnsi="Verdana"/>
          <w:sz w:val="20"/>
          <w:szCs w:val="20"/>
          <w:lang w:val="en-US"/>
        </w:rPr>
      </w:pPr>
      <w:r w:rsidRPr="00D869E3">
        <w:rPr>
          <w:rFonts w:ascii="Verdana" w:hAnsi="Verdana"/>
          <w:sz w:val="20"/>
          <w:szCs w:val="20"/>
          <w:lang w:val="en-US"/>
        </w:rPr>
        <w:t>Dissenting Judges</w:t>
      </w:r>
      <w:r w:rsidR="002E2250" w:rsidRPr="00D869E3">
        <w:rPr>
          <w:rFonts w:ascii="Verdana" w:hAnsi="Verdana"/>
          <w:sz w:val="20"/>
          <w:szCs w:val="20"/>
          <w:lang w:val="en-US"/>
        </w:rPr>
        <w:t xml:space="preserve"> Eduardo Vio Grossi</w:t>
      </w:r>
      <w:r w:rsidR="00687684" w:rsidRPr="00D869E3">
        <w:rPr>
          <w:rFonts w:ascii="Verdana" w:hAnsi="Verdana"/>
          <w:sz w:val="20"/>
          <w:szCs w:val="20"/>
          <w:lang w:val="en-US"/>
        </w:rPr>
        <w:t xml:space="preserve"> and </w:t>
      </w:r>
      <w:r w:rsidR="002E2250" w:rsidRPr="00D869E3">
        <w:rPr>
          <w:rFonts w:ascii="Verdana" w:hAnsi="Verdana"/>
          <w:sz w:val="20"/>
          <w:szCs w:val="20"/>
          <w:lang w:val="en-US"/>
        </w:rPr>
        <w:t>Humberto Antonio Sierra Porto</w:t>
      </w:r>
      <w:r w:rsidR="002F31BD" w:rsidRPr="00D869E3">
        <w:rPr>
          <w:rFonts w:ascii="Verdana" w:hAnsi="Verdana"/>
          <w:sz w:val="20"/>
          <w:szCs w:val="20"/>
          <w:lang w:val="en-US"/>
        </w:rPr>
        <w:t>.</w:t>
      </w:r>
    </w:p>
    <w:p w14:paraId="4DFA470A" w14:textId="77777777" w:rsidR="00B74567" w:rsidRPr="00D869E3" w:rsidRDefault="00B74567" w:rsidP="00C44F02">
      <w:pPr>
        <w:pStyle w:val="Prrafodelista2"/>
        <w:tabs>
          <w:tab w:val="center" w:pos="720"/>
        </w:tabs>
        <w:ind w:left="0" w:right="-90"/>
        <w:contextualSpacing/>
        <w:rPr>
          <w:lang w:val="en-US"/>
        </w:rPr>
      </w:pPr>
    </w:p>
    <w:p w14:paraId="218F1C80" w14:textId="65ACCC5D" w:rsidR="000828BB" w:rsidRPr="00D869E3" w:rsidRDefault="009D0AA1" w:rsidP="00C44F02">
      <w:pPr>
        <w:pStyle w:val="Prrafodelista2"/>
        <w:tabs>
          <w:tab w:val="center" w:pos="720"/>
        </w:tabs>
        <w:ind w:left="0" w:right="-90"/>
        <w:contextualSpacing/>
        <w:rPr>
          <w:lang w:val="en-US"/>
        </w:rPr>
      </w:pPr>
      <w:r w:rsidRPr="00D869E3">
        <w:rPr>
          <w:lang w:val="en-US"/>
        </w:rPr>
        <w:t>Unanimously, that</w:t>
      </w:r>
      <w:r w:rsidR="000828BB" w:rsidRPr="00D869E3">
        <w:rPr>
          <w:lang w:val="en-US"/>
        </w:rPr>
        <w:t>:</w:t>
      </w:r>
    </w:p>
    <w:p w14:paraId="040D59EF" w14:textId="77777777" w:rsidR="000828BB" w:rsidRPr="00D869E3" w:rsidRDefault="000828BB" w:rsidP="00C44F02">
      <w:pPr>
        <w:pStyle w:val="Prrafodelista"/>
        <w:widowControl w:val="0"/>
        <w:tabs>
          <w:tab w:val="center" w:pos="567"/>
          <w:tab w:val="center" w:pos="720"/>
        </w:tabs>
        <w:autoSpaceDE w:val="0"/>
        <w:autoSpaceDN w:val="0"/>
        <w:adjustRightInd w:val="0"/>
        <w:ind w:left="0" w:right="-90"/>
        <w:jc w:val="both"/>
        <w:rPr>
          <w:rFonts w:ascii="Verdana" w:hAnsi="Verdana"/>
          <w:sz w:val="20"/>
          <w:szCs w:val="20"/>
          <w:lang w:val="en-US"/>
        </w:rPr>
      </w:pPr>
    </w:p>
    <w:p w14:paraId="02DB419B" w14:textId="6000A412" w:rsidR="00F830E9"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F830E9" w:rsidRPr="00D869E3">
        <w:rPr>
          <w:rFonts w:ascii="Verdana" w:hAnsi="Verdana"/>
          <w:sz w:val="20"/>
          <w:szCs w:val="20"/>
          <w:lang w:val="en-US"/>
        </w:rPr>
        <w:t xml:space="preserve"> </w:t>
      </w:r>
      <w:r w:rsidR="00180CED" w:rsidRPr="00D869E3">
        <w:rPr>
          <w:rFonts w:ascii="Verdana" w:hAnsi="Verdana"/>
          <w:sz w:val="20"/>
          <w:szCs w:val="20"/>
          <w:lang w:val="en-US"/>
        </w:rPr>
        <w:t>is responsible for</w:t>
      </w:r>
      <w:r w:rsidR="00F830E9"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F830E9" w:rsidRPr="00D869E3">
        <w:rPr>
          <w:rFonts w:ascii="Verdana" w:hAnsi="Verdana"/>
          <w:sz w:val="20"/>
          <w:szCs w:val="20"/>
          <w:lang w:val="en-US"/>
        </w:rPr>
        <w:t xml:space="preserve"> </w:t>
      </w:r>
      <w:r w:rsidR="00180CED" w:rsidRPr="00D869E3">
        <w:rPr>
          <w:rFonts w:ascii="Verdana" w:hAnsi="Verdana"/>
          <w:sz w:val="20"/>
          <w:szCs w:val="20"/>
          <w:lang w:val="en-US"/>
        </w:rPr>
        <w:t>of the right</w:t>
      </w:r>
      <w:r w:rsidR="00616FBB" w:rsidRPr="00D869E3">
        <w:rPr>
          <w:rFonts w:ascii="Verdana" w:hAnsi="Verdana"/>
          <w:sz w:val="20"/>
          <w:szCs w:val="20"/>
          <w:lang w:val="en-US"/>
        </w:rPr>
        <w:t>s</w:t>
      </w:r>
      <w:r w:rsidR="00180CED" w:rsidRPr="00D869E3">
        <w:rPr>
          <w:rFonts w:ascii="Verdana" w:hAnsi="Verdana"/>
          <w:sz w:val="20"/>
          <w:szCs w:val="20"/>
          <w:lang w:val="en-US"/>
        </w:rPr>
        <w:t xml:space="preserve"> to </w:t>
      </w:r>
      <w:r w:rsidR="00901386" w:rsidRPr="00D869E3">
        <w:rPr>
          <w:rFonts w:ascii="Verdana" w:hAnsi="Verdana"/>
          <w:sz w:val="20"/>
          <w:szCs w:val="20"/>
          <w:lang w:val="en-US"/>
        </w:rPr>
        <w:t>judicial protection</w:t>
      </w:r>
      <w:r w:rsidR="00687684" w:rsidRPr="00D869E3">
        <w:rPr>
          <w:rFonts w:ascii="Verdana" w:hAnsi="Verdana"/>
          <w:sz w:val="20"/>
          <w:szCs w:val="20"/>
          <w:lang w:val="en-US"/>
        </w:rPr>
        <w:t xml:space="preserve"> and</w:t>
      </w:r>
      <w:r w:rsidR="00180CED" w:rsidRPr="00D869E3">
        <w:rPr>
          <w:rFonts w:ascii="Verdana" w:hAnsi="Verdana"/>
          <w:sz w:val="20"/>
          <w:szCs w:val="20"/>
          <w:lang w:val="en-US"/>
        </w:rPr>
        <w:t xml:space="preserve"> </w:t>
      </w:r>
      <w:r w:rsidR="00616FBB" w:rsidRPr="00D869E3">
        <w:rPr>
          <w:rFonts w:ascii="Verdana" w:hAnsi="Verdana"/>
          <w:sz w:val="20"/>
          <w:szCs w:val="20"/>
          <w:lang w:val="en-US"/>
        </w:rPr>
        <w:t xml:space="preserve">to </w:t>
      </w:r>
      <w:r w:rsidR="00180CED" w:rsidRPr="00D869E3">
        <w:rPr>
          <w:rFonts w:ascii="Verdana" w:hAnsi="Verdana"/>
          <w:sz w:val="20"/>
          <w:szCs w:val="20"/>
          <w:lang w:val="en-US"/>
        </w:rPr>
        <w:t xml:space="preserve">a fair trial, in accordance with </w:t>
      </w:r>
      <w:r w:rsidRPr="00D869E3">
        <w:rPr>
          <w:rFonts w:ascii="Verdana" w:hAnsi="Verdana"/>
          <w:sz w:val="20"/>
          <w:szCs w:val="20"/>
          <w:lang w:val="en-US"/>
        </w:rPr>
        <w:t>Articles</w:t>
      </w:r>
      <w:r w:rsidR="00D9601C" w:rsidRPr="00D869E3">
        <w:rPr>
          <w:rFonts w:ascii="Verdana" w:hAnsi="Verdana"/>
          <w:sz w:val="20"/>
          <w:szCs w:val="20"/>
          <w:lang w:val="en-US"/>
        </w:rPr>
        <w:t xml:space="preserve"> 8</w:t>
      </w:r>
      <w:r w:rsidR="00687684" w:rsidRPr="00D869E3">
        <w:rPr>
          <w:rFonts w:ascii="Verdana" w:hAnsi="Verdana"/>
          <w:sz w:val="20"/>
          <w:szCs w:val="20"/>
          <w:lang w:val="en-US"/>
        </w:rPr>
        <w:t xml:space="preserve"> and </w:t>
      </w:r>
      <w:r w:rsidR="00D9601C" w:rsidRPr="00D869E3">
        <w:rPr>
          <w:rFonts w:ascii="Verdana" w:hAnsi="Verdana"/>
          <w:sz w:val="20"/>
          <w:szCs w:val="20"/>
          <w:lang w:val="en-US"/>
        </w:rPr>
        <w:t>25</w:t>
      </w:r>
      <w:r w:rsidRPr="00D869E3">
        <w:rPr>
          <w:rFonts w:ascii="Verdana" w:hAnsi="Verdana"/>
          <w:sz w:val="20"/>
          <w:szCs w:val="20"/>
          <w:lang w:val="en-US"/>
        </w:rPr>
        <w:t xml:space="preserve"> of the American Convention</w:t>
      </w:r>
      <w:r w:rsidR="00D9601C" w:rsidRPr="00D869E3">
        <w:rPr>
          <w:rFonts w:ascii="Verdana" w:hAnsi="Verdana"/>
          <w:sz w:val="20"/>
          <w:szCs w:val="20"/>
          <w:lang w:val="en-US"/>
        </w:rPr>
        <w:t xml:space="preserve">, </w:t>
      </w:r>
      <w:r w:rsidR="00BB61A6" w:rsidRPr="00D869E3">
        <w:rPr>
          <w:rFonts w:ascii="Verdana" w:hAnsi="Verdana"/>
          <w:sz w:val="20"/>
          <w:lang w:val="en-US"/>
        </w:rPr>
        <w:t>in relation to</w:t>
      </w:r>
      <w:r w:rsidR="00D9601C" w:rsidRPr="00D869E3">
        <w:rPr>
          <w:rFonts w:ascii="Verdana" w:hAnsi="Verdana"/>
          <w:sz w:val="20"/>
          <w:lang w:val="en-US"/>
        </w:rPr>
        <w:t xml:space="preserve"> </w:t>
      </w:r>
      <w:r w:rsidR="00687684" w:rsidRPr="00D869E3">
        <w:rPr>
          <w:rFonts w:ascii="Verdana" w:hAnsi="Verdana"/>
          <w:sz w:val="20"/>
          <w:lang w:val="en-US"/>
        </w:rPr>
        <w:t>Article 1(1)</w:t>
      </w:r>
      <w:r w:rsidR="00D9601C" w:rsidRPr="00D869E3">
        <w:rPr>
          <w:rFonts w:ascii="Verdana" w:hAnsi="Verdana"/>
          <w:sz w:val="20"/>
          <w:lang w:val="en-US"/>
        </w:rPr>
        <w:t xml:space="preserve"> </w:t>
      </w:r>
      <w:r w:rsidR="00351902" w:rsidRPr="00D869E3">
        <w:rPr>
          <w:rFonts w:ascii="Verdana" w:hAnsi="Verdana"/>
          <w:sz w:val="20"/>
          <w:lang w:val="en-US"/>
        </w:rPr>
        <w:t>of this instrument</w:t>
      </w:r>
      <w:r w:rsidR="00D9601C" w:rsidRPr="00D869E3">
        <w:rPr>
          <w:rFonts w:ascii="Verdana" w:hAnsi="Verdana"/>
          <w:sz w:val="20"/>
          <w:lang w:val="en-US"/>
        </w:rPr>
        <w:t xml:space="preserve">, </w:t>
      </w:r>
      <w:r w:rsidR="00180CED" w:rsidRPr="00D869E3">
        <w:rPr>
          <w:rFonts w:ascii="Verdana" w:hAnsi="Verdana"/>
          <w:sz w:val="20"/>
          <w:lang w:val="en-US"/>
        </w:rPr>
        <w:t xml:space="preserve">to the detriment of </w:t>
      </w:r>
      <w:r w:rsidR="00687684" w:rsidRPr="00D869E3">
        <w:rPr>
          <w:rFonts w:ascii="Verdana" w:hAnsi="Verdana"/>
          <w:sz w:val="20"/>
          <w:lang w:val="en-US"/>
        </w:rPr>
        <w:t>Mr. Lagos</w:t>
      </w:r>
      <w:r w:rsidR="00D9601C" w:rsidRPr="00D869E3">
        <w:rPr>
          <w:rFonts w:ascii="Verdana" w:hAnsi="Verdana"/>
          <w:sz w:val="20"/>
          <w:lang w:val="en-US"/>
        </w:rPr>
        <w:t xml:space="preserve"> del Campo, </w:t>
      </w:r>
      <w:r w:rsidR="00351902" w:rsidRPr="00D869E3">
        <w:rPr>
          <w:rFonts w:ascii="Verdana" w:hAnsi="Verdana"/>
          <w:sz w:val="20"/>
          <w:szCs w:val="20"/>
          <w:lang w:val="en-US"/>
        </w:rPr>
        <w:t>pursuant to paragraphs</w:t>
      </w:r>
      <w:r w:rsidR="00882FB7" w:rsidRPr="00D869E3">
        <w:rPr>
          <w:rFonts w:ascii="Verdana" w:hAnsi="Verdana"/>
          <w:sz w:val="20"/>
          <w:szCs w:val="20"/>
          <w:lang w:val="en-US"/>
        </w:rPr>
        <w:t xml:space="preserve"> 170 </w:t>
      </w:r>
      <w:r w:rsidR="00180CED" w:rsidRPr="00D869E3">
        <w:rPr>
          <w:rFonts w:ascii="Verdana" w:hAnsi="Verdana"/>
          <w:sz w:val="20"/>
          <w:szCs w:val="20"/>
          <w:lang w:val="en-US"/>
        </w:rPr>
        <w:t>to</w:t>
      </w:r>
      <w:r w:rsidR="00882FB7" w:rsidRPr="00D869E3">
        <w:rPr>
          <w:rFonts w:ascii="Verdana" w:hAnsi="Verdana"/>
          <w:sz w:val="20"/>
          <w:szCs w:val="20"/>
          <w:lang w:val="en-US"/>
        </w:rPr>
        <w:t xml:space="preserve"> 191</w:t>
      </w:r>
      <w:r w:rsidR="00D9601C"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D9601C" w:rsidRPr="00D869E3">
        <w:rPr>
          <w:rFonts w:ascii="Verdana" w:hAnsi="Verdana"/>
          <w:sz w:val="20"/>
          <w:szCs w:val="20"/>
          <w:lang w:val="en-US"/>
        </w:rPr>
        <w:t>.</w:t>
      </w:r>
    </w:p>
    <w:p w14:paraId="378EBB57" w14:textId="77777777" w:rsidR="00324758" w:rsidRPr="00D869E3" w:rsidRDefault="00324758"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1E46EF5A" w14:textId="644AB947" w:rsidR="00172797"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487AE7" w:rsidRPr="00D869E3">
        <w:rPr>
          <w:rFonts w:ascii="Verdana" w:hAnsi="Verdana"/>
          <w:sz w:val="20"/>
          <w:szCs w:val="20"/>
          <w:lang w:val="en-US"/>
        </w:rPr>
        <w:t xml:space="preserve"> </w:t>
      </w:r>
      <w:r w:rsidR="00180CED" w:rsidRPr="00D869E3">
        <w:rPr>
          <w:rFonts w:ascii="Verdana" w:hAnsi="Verdana"/>
          <w:sz w:val="20"/>
          <w:szCs w:val="20"/>
          <w:lang w:val="en-US"/>
        </w:rPr>
        <w:t>is not responsible for</w:t>
      </w:r>
      <w:r w:rsidR="00487AE7"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487AE7" w:rsidRPr="00D869E3">
        <w:rPr>
          <w:rFonts w:ascii="Verdana" w:hAnsi="Verdana"/>
          <w:sz w:val="20"/>
          <w:szCs w:val="20"/>
          <w:lang w:val="en-US"/>
        </w:rPr>
        <w:t xml:space="preserve"> </w:t>
      </w:r>
      <w:r w:rsidR="00180CED" w:rsidRPr="00D869E3">
        <w:rPr>
          <w:rFonts w:ascii="Verdana" w:hAnsi="Verdana"/>
          <w:sz w:val="20"/>
          <w:szCs w:val="20"/>
          <w:lang w:val="en-US"/>
        </w:rPr>
        <w:t>of</w:t>
      </w:r>
      <w:r w:rsidR="00487AE7" w:rsidRPr="00D869E3">
        <w:rPr>
          <w:rFonts w:ascii="Verdana" w:hAnsi="Verdana"/>
          <w:sz w:val="20"/>
          <w:szCs w:val="20"/>
          <w:lang w:val="en-US"/>
        </w:rPr>
        <w:t xml:space="preserve"> </w:t>
      </w:r>
      <w:r w:rsidRPr="00D869E3">
        <w:rPr>
          <w:rFonts w:ascii="Verdana" w:hAnsi="Verdana"/>
          <w:sz w:val="20"/>
          <w:szCs w:val="20"/>
          <w:lang w:val="en-US"/>
        </w:rPr>
        <w:t>Article</w:t>
      </w:r>
      <w:r w:rsidR="00487AE7" w:rsidRPr="00D869E3">
        <w:rPr>
          <w:rFonts w:ascii="Verdana" w:hAnsi="Verdana"/>
          <w:sz w:val="20"/>
          <w:szCs w:val="20"/>
          <w:lang w:val="en-US"/>
        </w:rPr>
        <w:t xml:space="preserve"> 2</w:t>
      </w:r>
      <w:r w:rsidRPr="00D869E3">
        <w:rPr>
          <w:rFonts w:ascii="Verdana" w:hAnsi="Verdana"/>
          <w:sz w:val="20"/>
          <w:szCs w:val="20"/>
          <w:lang w:val="en-US"/>
        </w:rPr>
        <w:t xml:space="preserve"> of the Convention</w:t>
      </w:r>
      <w:r w:rsidR="00487AE7" w:rsidRPr="00D869E3">
        <w:rPr>
          <w:rFonts w:ascii="Verdana" w:hAnsi="Verdana"/>
          <w:sz w:val="20"/>
          <w:szCs w:val="20"/>
          <w:lang w:val="en-US"/>
        </w:rPr>
        <w:t xml:space="preserve">, </w:t>
      </w:r>
      <w:r w:rsidR="00180CED" w:rsidRPr="00D869E3">
        <w:rPr>
          <w:rFonts w:ascii="Verdana" w:hAnsi="Verdana"/>
          <w:sz w:val="20"/>
          <w:szCs w:val="20"/>
          <w:lang w:val="en-US"/>
        </w:rPr>
        <w:t>in relation to paragraph (</w:t>
      </w:r>
      <w:r w:rsidR="00487AE7" w:rsidRPr="00D869E3">
        <w:rPr>
          <w:rFonts w:ascii="Verdana" w:hAnsi="Verdana"/>
          <w:sz w:val="20"/>
          <w:szCs w:val="20"/>
          <w:lang w:val="en-US"/>
        </w:rPr>
        <w:t xml:space="preserve">h) </w:t>
      </w:r>
      <w:r w:rsidR="00687684" w:rsidRPr="00D869E3">
        <w:rPr>
          <w:rFonts w:ascii="Verdana" w:hAnsi="Verdana"/>
          <w:sz w:val="20"/>
          <w:szCs w:val="20"/>
          <w:lang w:val="en-US"/>
        </w:rPr>
        <w:t xml:space="preserve">of </w:t>
      </w:r>
      <w:r w:rsidR="00180CED" w:rsidRPr="00D869E3">
        <w:rPr>
          <w:rFonts w:ascii="Verdana" w:hAnsi="Verdana"/>
          <w:sz w:val="20"/>
          <w:szCs w:val="20"/>
          <w:lang w:val="en-US"/>
        </w:rPr>
        <w:t>a</w:t>
      </w:r>
      <w:r w:rsidR="00687684" w:rsidRPr="00D869E3">
        <w:rPr>
          <w:rFonts w:ascii="Verdana" w:hAnsi="Verdana"/>
          <w:sz w:val="20"/>
          <w:szCs w:val="20"/>
          <w:lang w:val="en-US"/>
        </w:rPr>
        <w:t>rticle</w:t>
      </w:r>
      <w:r w:rsidR="00487AE7" w:rsidRPr="00D869E3">
        <w:rPr>
          <w:rFonts w:ascii="Verdana" w:hAnsi="Verdana"/>
          <w:sz w:val="20"/>
          <w:szCs w:val="20"/>
          <w:lang w:val="en-US"/>
        </w:rPr>
        <w:t xml:space="preserve"> 5 </w:t>
      </w:r>
      <w:r w:rsidR="00180CED" w:rsidRPr="00D869E3">
        <w:rPr>
          <w:rFonts w:ascii="Verdana" w:hAnsi="Verdana"/>
          <w:sz w:val="20"/>
          <w:szCs w:val="20"/>
          <w:lang w:val="en-US"/>
        </w:rPr>
        <w:t>of</w:t>
      </w:r>
      <w:r w:rsidR="00487AE7" w:rsidRPr="00D869E3">
        <w:rPr>
          <w:rFonts w:ascii="Verdana" w:hAnsi="Verdana"/>
          <w:sz w:val="20"/>
          <w:szCs w:val="20"/>
          <w:lang w:val="en-US"/>
        </w:rPr>
        <w:t xml:space="preserve"> </w:t>
      </w:r>
      <w:r w:rsidR="00852CCA" w:rsidRPr="00D869E3">
        <w:rPr>
          <w:rFonts w:ascii="Verdana" w:hAnsi="Verdana"/>
          <w:sz w:val="20"/>
          <w:szCs w:val="20"/>
          <w:lang w:val="en-US"/>
        </w:rPr>
        <w:t>Law</w:t>
      </w:r>
      <w:r w:rsidR="00487AE7" w:rsidRPr="00D869E3">
        <w:rPr>
          <w:rFonts w:ascii="Verdana" w:hAnsi="Verdana"/>
          <w:sz w:val="20"/>
          <w:szCs w:val="20"/>
          <w:lang w:val="en-US"/>
        </w:rPr>
        <w:t xml:space="preserve"> 24514</w:t>
      </w:r>
      <w:r w:rsidR="00687684" w:rsidRPr="00D869E3">
        <w:rPr>
          <w:rFonts w:ascii="Verdana" w:hAnsi="Verdana"/>
          <w:sz w:val="20"/>
          <w:szCs w:val="20"/>
          <w:lang w:val="en-US"/>
        </w:rPr>
        <w:t xml:space="preserve"> and </w:t>
      </w:r>
      <w:r w:rsidR="00180CED" w:rsidRPr="00D869E3">
        <w:rPr>
          <w:rFonts w:ascii="Verdana" w:hAnsi="Verdana"/>
          <w:sz w:val="20"/>
          <w:szCs w:val="20"/>
          <w:lang w:val="en-US"/>
        </w:rPr>
        <w:t>a</w:t>
      </w:r>
      <w:r w:rsidRPr="00D869E3">
        <w:rPr>
          <w:rFonts w:ascii="Verdana" w:hAnsi="Verdana"/>
          <w:sz w:val="20"/>
          <w:szCs w:val="20"/>
          <w:lang w:val="en-US"/>
        </w:rPr>
        <w:t>rticle</w:t>
      </w:r>
      <w:r w:rsidR="00487AE7" w:rsidRPr="00D869E3">
        <w:rPr>
          <w:rFonts w:ascii="Verdana" w:hAnsi="Verdana"/>
          <w:sz w:val="20"/>
          <w:szCs w:val="20"/>
          <w:lang w:val="en-US"/>
        </w:rPr>
        <w:t xml:space="preserve"> 25 </w:t>
      </w:r>
      <w:r w:rsidR="00180CED" w:rsidRPr="00D869E3">
        <w:rPr>
          <w:rFonts w:ascii="Verdana" w:hAnsi="Verdana"/>
          <w:sz w:val="20"/>
          <w:szCs w:val="20"/>
          <w:lang w:val="en-US"/>
        </w:rPr>
        <w:t xml:space="preserve">of </w:t>
      </w:r>
      <w:r w:rsidR="008B63E1" w:rsidRPr="00D869E3">
        <w:rPr>
          <w:rFonts w:ascii="Verdana" w:hAnsi="Verdana"/>
          <w:sz w:val="20"/>
          <w:szCs w:val="20"/>
          <w:lang w:val="en-US"/>
        </w:rPr>
        <w:t>Legislative Decree</w:t>
      </w:r>
      <w:r w:rsidR="00487AE7" w:rsidRPr="00D869E3">
        <w:rPr>
          <w:rFonts w:ascii="Verdana" w:hAnsi="Verdana"/>
          <w:sz w:val="20"/>
          <w:szCs w:val="20"/>
          <w:lang w:val="en-US"/>
        </w:rPr>
        <w:t xml:space="preserve"> No. 728, </w:t>
      </w:r>
      <w:r w:rsidR="00351902" w:rsidRPr="00D869E3">
        <w:rPr>
          <w:rFonts w:ascii="Verdana" w:hAnsi="Verdana"/>
          <w:sz w:val="20"/>
          <w:szCs w:val="20"/>
          <w:lang w:val="en-US"/>
        </w:rPr>
        <w:t>pursuant to paragraphs</w:t>
      </w:r>
      <w:r w:rsidR="00882FB7" w:rsidRPr="00D869E3">
        <w:rPr>
          <w:rFonts w:ascii="Verdana" w:hAnsi="Verdana"/>
          <w:sz w:val="20"/>
          <w:szCs w:val="20"/>
          <w:lang w:val="en-US"/>
        </w:rPr>
        <w:t xml:space="preserve"> 164 a</w:t>
      </w:r>
      <w:r w:rsidR="00180CED" w:rsidRPr="00D869E3">
        <w:rPr>
          <w:rFonts w:ascii="Verdana" w:hAnsi="Verdana"/>
          <w:sz w:val="20"/>
          <w:szCs w:val="20"/>
          <w:lang w:val="en-US"/>
        </w:rPr>
        <w:t>nd</w:t>
      </w:r>
      <w:r w:rsidR="00882FB7" w:rsidRPr="00D869E3">
        <w:rPr>
          <w:rFonts w:ascii="Verdana" w:hAnsi="Verdana"/>
          <w:sz w:val="20"/>
          <w:szCs w:val="20"/>
          <w:lang w:val="en-US"/>
        </w:rPr>
        <w:t xml:space="preserve"> 165</w:t>
      </w:r>
      <w:r w:rsidR="00487AE7"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487AE7" w:rsidRPr="00D869E3">
        <w:rPr>
          <w:rFonts w:ascii="Verdana" w:hAnsi="Verdana"/>
          <w:sz w:val="20"/>
          <w:szCs w:val="20"/>
          <w:lang w:val="en-US"/>
        </w:rPr>
        <w:t>.</w:t>
      </w:r>
      <w:r w:rsidR="0015750D" w:rsidRPr="00D869E3">
        <w:rPr>
          <w:rFonts w:ascii="Verdana" w:hAnsi="Verdana"/>
          <w:sz w:val="20"/>
          <w:szCs w:val="20"/>
          <w:lang w:val="en-US"/>
        </w:rPr>
        <w:t xml:space="preserve"> </w:t>
      </w:r>
    </w:p>
    <w:p w14:paraId="164820F7" w14:textId="77777777" w:rsidR="00172797" w:rsidRPr="00D869E3" w:rsidRDefault="00172797"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53D7D436" w14:textId="720BECE4" w:rsidR="00324758" w:rsidRPr="00D869E3" w:rsidRDefault="00180CED" w:rsidP="00324758">
      <w:pPr>
        <w:pStyle w:val="Prrafodelista2"/>
        <w:tabs>
          <w:tab w:val="left" w:pos="720"/>
        </w:tabs>
        <w:ind w:left="0" w:right="-90"/>
        <w:contextualSpacing/>
        <w:jc w:val="both"/>
        <w:rPr>
          <w:b/>
          <w:bCs/>
          <w:lang w:val="en-US"/>
        </w:rPr>
      </w:pPr>
      <w:r w:rsidRPr="00D869E3">
        <w:rPr>
          <w:b/>
          <w:bCs/>
          <w:lang w:val="en-US"/>
        </w:rPr>
        <w:t>AND ESTABLISHES:</w:t>
      </w:r>
    </w:p>
    <w:p w14:paraId="19F501AC" w14:textId="77777777" w:rsidR="00324758" w:rsidRPr="00D869E3" w:rsidRDefault="00324758" w:rsidP="00324758">
      <w:pPr>
        <w:pStyle w:val="Prrafodelista2"/>
        <w:tabs>
          <w:tab w:val="left" w:pos="720"/>
        </w:tabs>
        <w:ind w:left="0" w:right="-90"/>
        <w:contextualSpacing/>
        <w:jc w:val="both"/>
        <w:rPr>
          <w:b/>
          <w:bCs/>
          <w:lang w:val="en-US"/>
        </w:rPr>
      </w:pPr>
    </w:p>
    <w:p w14:paraId="1B7C0778" w14:textId="4E8BD665" w:rsidR="000828BB" w:rsidRPr="00D869E3" w:rsidRDefault="009D0AA1" w:rsidP="000828BB">
      <w:pPr>
        <w:pStyle w:val="Prrafodelista2"/>
        <w:ind w:left="0" w:right="-90"/>
        <w:contextualSpacing/>
        <w:rPr>
          <w:lang w:val="en-US"/>
        </w:rPr>
      </w:pPr>
      <w:r w:rsidRPr="00D869E3">
        <w:rPr>
          <w:lang w:val="en-US"/>
        </w:rPr>
        <w:t>Unanimously, that</w:t>
      </w:r>
      <w:r w:rsidR="000828BB" w:rsidRPr="00D869E3">
        <w:rPr>
          <w:lang w:val="en-US"/>
        </w:rPr>
        <w:t>:</w:t>
      </w:r>
    </w:p>
    <w:p w14:paraId="24A509FA" w14:textId="77777777" w:rsidR="00324758" w:rsidRPr="00D869E3" w:rsidRDefault="00324758"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5C2D69EC" w14:textId="595F86D6" w:rsidR="00324758" w:rsidRPr="00D869E3" w:rsidRDefault="00180CED"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 xml:space="preserve">This judgment constitutes, </w:t>
      </w:r>
      <w:r w:rsidRPr="00D869E3">
        <w:rPr>
          <w:rFonts w:ascii="Verdana" w:hAnsi="Verdana"/>
          <w:i/>
          <w:iCs/>
          <w:sz w:val="20"/>
          <w:szCs w:val="20"/>
          <w:lang w:val="en-US"/>
        </w:rPr>
        <w:t>per se</w:t>
      </w:r>
      <w:r w:rsidRPr="00D869E3">
        <w:rPr>
          <w:rFonts w:ascii="Verdana" w:hAnsi="Verdana"/>
          <w:sz w:val="20"/>
          <w:szCs w:val="20"/>
          <w:lang w:val="en-US"/>
        </w:rPr>
        <w:t>, a form of reparation.</w:t>
      </w:r>
    </w:p>
    <w:p w14:paraId="7CB57BE1" w14:textId="77777777" w:rsidR="00180CED" w:rsidRPr="00D869E3" w:rsidRDefault="00180CED"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5545656A" w14:textId="3BC36199" w:rsidR="00324758"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324758" w:rsidRPr="00D869E3">
        <w:rPr>
          <w:rFonts w:ascii="Verdana" w:hAnsi="Verdana"/>
          <w:sz w:val="20"/>
          <w:szCs w:val="20"/>
          <w:lang w:val="en-US"/>
        </w:rPr>
        <w:t xml:space="preserve"> </w:t>
      </w:r>
      <w:r w:rsidR="00180CED" w:rsidRPr="00D869E3">
        <w:rPr>
          <w:rFonts w:ascii="Verdana" w:hAnsi="Verdana"/>
          <w:sz w:val="20"/>
          <w:szCs w:val="20"/>
          <w:lang w:val="en-US"/>
        </w:rPr>
        <w:t>shall make the p</w:t>
      </w:r>
      <w:r w:rsidR="00B44B46" w:rsidRPr="00D869E3">
        <w:rPr>
          <w:rFonts w:ascii="Verdana" w:hAnsi="Verdana"/>
          <w:sz w:val="20"/>
          <w:szCs w:val="20"/>
          <w:lang w:val="en-US"/>
        </w:rPr>
        <w:t>ublications</w:t>
      </w:r>
      <w:r w:rsidR="00882FB7" w:rsidRPr="00D869E3">
        <w:rPr>
          <w:rFonts w:ascii="Verdana" w:hAnsi="Verdana"/>
          <w:sz w:val="20"/>
          <w:szCs w:val="20"/>
          <w:lang w:val="en-US"/>
        </w:rPr>
        <w:t xml:space="preserve"> </w:t>
      </w:r>
      <w:r w:rsidR="00180CED" w:rsidRPr="00D869E3">
        <w:rPr>
          <w:rFonts w:ascii="Verdana" w:hAnsi="Verdana"/>
          <w:sz w:val="20"/>
          <w:szCs w:val="20"/>
          <w:lang w:val="en-US"/>
        </w:rPr>
        <w:t>indicated in paragraph</w:t>
      </w:r>
      <w:r w:rsidR="00882FB7" w:rsidRPr="00D869E3">
        <w:rPr>
          <w:rFonts w:ascii="Verdana" w:hAnsi="Verdana"/>
          <w:sz w:val="20"/>
          <w:szCs w:val="20"/>
          <w:lang w:val="en-US"/>
        </w:rPr>
        <w:t xml:space="preserve"> 200</w:t>
      </w:r>
      <w:r w:rsidR="00324758" w:rsidRPr="00D869E3">
        <w:rPr>
          <w:rFonts w:ascii="Verdana" w:hAnsi="Verdana"/>
          <w:sz w:val="20"/>
          <w:szCs w:val="20"/>
          <w:lang w:val="en-US"/>
        </w:rPr>
        <w:t xml:space="preserve"> </w:t>
      </w:r>
      <w:r w:rsidR="00180CED" w:rsidRPr="00D869E3">
        <w:rPr>
          <w:rFonts w:ascii="Verdana" w:hAnsi="Verdana"/>
          <w:sz w:val="20"/>
          <w:szCs w:val="20"/>
          <w:lang w:val="en-US"/>
        </w:rPr>
        <w:t xml:space="preserve">and advise </w:t>
      </w:r>
      <w:r w:rsidR="00901386" w:rsidRPr="00D869E3">
        <w:rPr>
          <w:rFonts w:ascii="Verdana" w:hAnsi="Verdana"/>
          <w:sz w:val="20"/>
          <w:szCs w:val="20"/>
          <w:lang w:val="en-US"/>
        </w:rPr>
        <w:t>this Court</w:t>
      </w:r>
      <w:r w:rsidR="00180CED" w:rsidRPr="00D869E3">
        <w:rPr>
          <w:rFonts w:ascii="Verdana" w:hAnsi="Verdana"/>
          <w:sz w:val="20"/>
          <w:szCs w:val="20"/>
          <w:lang w:val="en-US"/>
        </w:rPr>
        <w:t xml:space="preserve"> immediately, as indicated in paragraph</w:t>
      </w:r>
      <w:r w:rsidR="00882FB7" w:rsidRPr="00D869E3">
        <w:rPr>
          <w:rFonts w:ascii="Verdana" w:hAnsi="Verdana"/>
          <w:sz w:val="20"/>
          <w:szCs w:val="20"/>
          <w:lang w:val="en-US"/>
        </w:rPr>
        <w:t xml:space="preserve"> 201</w:t>
      </w:r>
      <w:r w:rsidR="00324758"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324758" w:rsidRPr="00D869E3">
        <w:rPr>
          <w:rFonts w:ascii="Verdana" w:hAnsi="Verdana"/>
          <w:sz w:val="20"/>
          <w:szCs w:val="20"/>
          <w:lang w:val="en-US"/>
        </w:rPr>
        <w:t>.</w:t>
      </w:r>
    </w:p>
    <w:p w14:paraId="625075D0" w14:textId="77777777" w:rsidR="00324758" w:rsidRPr="00D869E3" w:rsidRDefault="00324758"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43C49264" w14:textId="2AD2B408" w:rsidR="00324758"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324758" w:rsidRPr="00D869E3">
        <w:rPr>
          <w:rFonts w:ascii="Verdana" w:hAnsi="Verdana"/>
          <w:sz w:val="20"/>
          <w:szCs w:val="20"/>
          <w:lang w:val="en-US"/>
        </w:rPr>
        <w:t xml:space="preserve"> </w:t>
      </w:r>
      <w:r w:rsidR="00397193" w:rsidRPr="00D869E3">
        <w:rPr>
          <w:rFonts w:ascii="Verdana" w:hAnsi="Verdana"/>
          <w:sz w:val="20"/>
          <w:szCs w:val="20"/>
          <w:lang w:val="en-US"/>
        </w:rPr>
        <w:t>shall</w:t>
      </w:r>
      <w:r w:rsidR="00180CED" w:rsidRPr="00D869E3">
        <w:rPr>
          <w:rFonts w:ascii="Verdana" w:hAnsi="Verdana"/>
          <w:sz w:val="20"/>
          <w:szCs w:val="20"/>
          <w:lang w:val="en-US"/>
        </w:rPr>
        <w:t xml:space="preserve"> pay the amounts established in paragraphs</w:t>
      </w:r>
      <w:r w:rsidR="00324758" w:rsidRPr="00D869E3">
        <w:rPr>
          <w:rFonts w:ascii="Verdana" w:hAnsi="Verdana"/>
          <w:sz w:val="20"/>
          <w:szCs w:val="20"/>
          <w:lang w:val="en-US"/>
        </w:rPr>
        <w:t xml:space="preserve"> </w:t>
      </w:r>
      <w:r w:rsidR="00882FB7" w:rsidRPr="00D869E3">
        <w:rPr>
          <w:rFonts w:ascii="Verdana" w:hAnsi="Verdana"/>
          <w:sz w:val="20"/>
          <w:szCs w:val="20"/>
          <w:lang w:val="en-US"/>
        </w:rPr>
        <w:t>215, 216, 222</w:t>
      </w:r>
      <w:r w:rsidR="00687684" w:rsidRPr="00D869E3">
        <w:rPr>
          <w:rFonts w:ascii="Verdana" w:hAnsi="Verdana"/>
          <w:sz w:val="20"/>
          <w:szCs w:val="20"/>
          <w:lang w:val="en-US"/>
        </w:rPr>
        <w:t xml:space="preserve"> and </w:t>
      </w:r>
      <w:r w:rsidR="00882FB7" w:rsidRPr="00D869E3">
        <w:rPr>
          <w:rFonts w:ascii="Verdana" w:hAnsi="Verdana"/>
          <w:sz w:val="20"/>
          <w:szCs w:val="20"/>
          <w:lang w:val="en-US"/>
        </w:rPr>
        <w:t>227</w:t>
      </w:r>
      <w:r w:rsidR="00324758"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324758" w:rsidRPr="00D869E3">
        <w:rPr>
          <w:rFonts w:ascii="Verdana" w:hAnsi="Verdana"/>
          <w:sz w:val="20"/>
          <w:szCs w:val="20"/>
          <w:lang w:val="en-US"/>
        </w:rPr>
        <w:t xml:space="preserve">, </w:t>
      </w:r>
      <w:r w:rsidR="00180CED" w:rsidRPr="00D869E3">
        <w:rPr>
          <w:rFonts w:ascii="Verdana" w:hAnsi="Verdana"/>
          <w:sz w:val="20"/>
          <w:szCs w:val="20"/>
          <w:lang w:val="en-US"/>
        </w:rPr>
        <w:t xml:space="preserve">as compensation for </w:t>
      </w:r>
      <w:r w:rsidR="00B44B46" w:rsidRPr="00D869E3">
        <w:rPr>
          <w:rFonts w:ascii="Verdana" w:hAnsi="Verdana"/>
          <w:sz w:val="20"/>
          <w:szCs w:val="20"/>
          <w:lang w:val="en-US"/>
        </w:rPr>
        <w:t>pecuniary damage</w:t>
      </w:r>
      <w:r w:rsidR="00FF2083" w:rsidRPr="00D869E3">
        <w:rPr>
          <w:rFonts w:ascii="Verdana" w:hAnsi="Verdana"/>
          <w:sz w:val="20"/>
          <w:szCs w:val="20"/>
          <w:lang w:val="en-US"/>
        </w:rPr>
        <w:t xml:space="preserve"> </w:t>
      </w:r>
      <w:r w:rsidR="00180CED" w:rsidRPr="00D869E3">
        <w:rPr>
          <w:rFonts w:ascii="Verdana" w:hAnsi="Verdana"/>
          <w:sz w:val="20"/>
          <w:szCs w:val="20"/>
          <w:lang w:val="en-US"/>
        </w:rPr>
        <w:t xml:space="preserve">and non-pecuniary damage and to reimburse </w:t>
      </w:r>
      <w:r w:rsidR="00FF2083" w:rsidRPr="00D869E3">
        <w:rPr>
          <w:rFonts w:ascii="Verdana" w:hAnsi="Verdana"/>
          <w:sz w:val="20"/>
          <w:szCs w:val="20"/>
          <w:lang w:val="en-US"/>
        </w:rPr>
        <w:t xml:space="preserve"> </w:t>
      </w:r>
      <w:r w:rsidR="00B44B46" w:rsidRPr="00D869E3">
        <w:rPr>
          <w:rFonts w:ascii="Verdana" w:hAnsi="Verdana"/>
          <w:sz w:val="20"/>
          <w:szCs w:val="20"/>
          <w:lang w:val="en-US"/>
        </w:rPr>
        <w:t xml:space="preserve">costs and </w:t>
      </w:r>
      <w:r w:rsidR="00E56813" w:rsidRPr="00D869E3">
        <w:rPr>
          <w:rFonts w:ascii="Verdana" w:hAnsi="Verdana"/>
          <w:sz w:val="20"/>
          <w:szCs w:val="20"/>
          <w:lang w:val="en-US"/>
        </w:rPr>
        <w:t>expenses</w:t>
      </w:r>
      <w:r w:rsidR="00324758" w:rsidRPr="00D869E3">
        <w:rPr>
          <w:rFonts w:ascii="Verdana" w:hAnsi="Verdana"/>
          <w:sz w:val="20"/>
          <w:szCs w:val="20"/>
          <w:lang w:val="en-US"/>
        </w:rPr>
        <w:t xml:space="preserve">, </w:t>
      </w:r>
      <w:r w:rsidR="00180CED" w:rsidRPr="00D869E3">
        <w:rPr>
          <w:rFonts w:ascii="Verdana" w:hAnsi="Verdana"/>
          <w:sz w:val="20"/>
          <w:szCs w:val="20"/>
          <w:lang w:val="en-US"/>
        </w:rPr>
        <w:t xml:space="preserve">in the terms of those paragraphs and </w:t>
      </w:r>
      <w:r w:rsidR="00397193" w:rsidRPr="00D869E3">
        <w:rPr>
          <w:rFonts w:ascii="Verdana" w:hAnsi="Verdana"/>
          <w:sz w:val="20"/>
          <w:szCs w:val="20"/>
          <w:lang w:val="en-US"/>
        </w:rPr>
        <w:t xml:space="preserve">also of </w:t>
      </w:r>
      <w:r w:rsidR="00180CED" w:rsidRPr="00D869E3">
        <w:rPr>
          <w:rFonts w:ascii="Verdana" w:hAnsi="Verdana"/>
          <w:sz w:val="20"/>
          <w:szCs w:val="20"/>
          <w:lang w:val="en-US"/>
        </w:rPr>
        <w:t>paragraphs</w:t>
      </w:r>
      <w:r w:rsidR="00604459" w:rsidRPr="00D869E3">
        <w:rPr>
          <w:rFonts w:ascii="Verdana" w:hAnsi="Verdana"/>
          <w:sz w:val="20"/>
          <w:szCs w:val="20"/>
          <w:lang w:val="en-US"/>
        </w:rPr>
        <w:t xml:space="preserve"> </w:t>
      </w:r>
      <w:r w:rsidR="00882FB7" w:rsidRPr="00D869E3">
        <w:rPr>
          <w:rFonts w:ascii="Verdana" w:hAnsi="Verdana"/>
          <w:sz w:val="20"/>
          <w:szCs w:val="20"/>
          <w:lang w:val="en-US"/>
        </w:rPr>
        <w:t xml:space="preserve">230 </w:t>
      </w:r>
      <w:r w:rsidR="00397193" w:rsidRPr="00D869E3">
        <w:rPr>
          <w:rFonts w:ascii="Verdana" w:hAnsi="Verdana"/>
          <w:sz w:val="20"/>
          <w:szCs w:val="20"/>
          <w:lang w:val="en-US"/>
        </w:rPr>
        <w:t>to</w:t>
      </w:r>
      <w:r w:rsidR="00882FB7" w:rsidRPr="00D869E3">
        <w:rPr>
          <w:rFonts w:ascii="Verdana" w:hAnsi="Verdana"/>
          <w:sz w:val="20"/>
          <w:szCs w:val="20"/>
          <w:lang w:val="en-US"/>
        </w:rPr>
        <w:t xml:space="preserve"> 235 </w:t>
      </w:r>
      <w:r w:rsidR="00180CED" w:rsidRPr="00D869E3">
        <w:rPr>
          <w:rFonts w:ascii="Verdana" w:hAnsi="Verdana"/>
          <w:sz w:val="20"/>
          <w:szCs w:val="20"/>
          <w:lang w:val="en-US"/>
        </w:rPr>
        <w:t>of this judgment</w:t>
      </w:r>
      <w:r w:rsidR="00324758" w:rsidRPr="00D869E3">
        <w:rPr>
          <w:rFonts w:ascii="Verdana" w:hAnsi="Verdana"/>
          <w:sz w:val="20"/>
          <w:szCs w:val="20"/>
          <w:lang w:val="en-US"/>
        </w:rPr>
        <w:t>.</w:t>
      </w:r>
    </w:p>
    <w:p w14:paraId="6730DA65" w14:textId="77777777" w:rsidR="00324758" w:rsidRPr="00D869E3" w:rsidRDefault="00324758"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58374D40" w14:textId="348D76DE" w:rsidR="00324758"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324758" w:rsidRPr="00D869E3">
        <w:rPr>
          <w:rFonts w:ascii="Verdana" w:hAnsi="Verdana"/>
          <w:sz w:val="20"/>
          <w:szCs w:val="20"/>
          <w:lang w:val="en-US"/>
        </w:rPr>
        <w:t xml:space="preserve"> </w:t>
      </w:r>
      <w:r w:rsidR="00397193" w:rsidRPr="00D869E3">
        <w:rPr>
          <w:rFonts w:ascii="Verdana" w:hAnsi="Verdana"/>
          <w:sz w:val="20"/>
          <w:szCs w:val="20"/>
          <w:lang w:val="en-US"/>
        </w:rPr>
        <w:t>shall reimburse</w:t>
      </w:r>
      <w:r w:rsidR="00C44F02" w:rsidRPr="00D869E3">
        <w:rPr>
          <w:rFonts w:ascii="Verdana" w:hAnsi="Verdana"/>
          <w:sz w:val="20"/>
          <w:szCs w:val="20"/>
          <w:lang w:val="en-US"/>
        </w:rPr>
        <w:t xml:space="preserve"> the</w:t>
      </w:r>
      <w:r w:rsidR="00324758" w:rsidRPr="00D869E3">
        <w:rPr>
          <w:rFonts w:ascii="Verdana" w:hAnsi="Verdana"/>
          <w:sz w:val="20"/>
          <w:szCs w:val="20"/>
          <w:lang w:val="en-US"/>
        </w:rPr>
        <w:t xml:space="preserve"> </w:t>
      </w:r>
      <w:r w:rsidR="00CE3F0D" w:rsidRPr="00D869E3">
        <w:rPr>
          <w:rFonts w:ascii="Verdana" w:hAnsi="Verdana"/>
          <w:sz w:val="20"/>
          <w:szCs w:val="20"/>
          <w:lang w:val="en-US"/>
        </w:rPr>
        <w:t>Victims’ Legal Assistance Fund</w:t>
      </w:r>
      <w:r w:rsidRPr="00D869E3">
        <w:rPr>
          <w:rFonts w:ascii="Verdana" w:hAnsi="Verdana"/>
          <w:sz w:val="20"/>
          <w:szCs w:val="20"/>
          <w:lang w:val="en-US"/>
        </w:rPr>
        <w:t xml:space="preserve"> of the Inter-American Court of Human Rights</w:t>
      </w:r>
      <w:r w:rsidR="00324758" w:rsidRPr="00D869E3">
        <w:rPr>
          <w:rFonts w:ascii="Verdana" w:hAnsi="Verdana"/>
          <w:sz w:val="20"/>
          <w:szCs w:val="20"/>
          <w:lang w:val="en-US"/>
        </w:rPr>
        <w:t xml:space="preserve"> </w:t>
      </w:r>
      <w:r w:rsidR="00397193" w:rsidRPr="00D869E3">
        <w:rPr>
          <w:rFonts w:ascii="Verdana" w:hAnsi="Verdana"/>
          <w:sz w:val="20"/>
          <w:szCs w:val="20"/>
          <w:lang w:val="en-US"/>
        </w:rPr>
        <w:t xml:space="preserve">the amount disbursed during the processing of this case, pursuant to </w:t>
      </w:r>
      <w:r w:rsidR="00180CED" w:rsidRPr="00D869E3">
        <w:rPr>
          <w:rFonts w:ascii="Verdana" w:hAnsi="Verdana"/>
          <w:sz w:val="20"/>
          <w:szCs w:val="20"/>
          <w:lang w:val="en-US"/>
        </w:rPr>
        <w:t>paragraph</w:t>
      </w:r>
      <w:r w:rsidR="00882FB7" w:rsidRPr="00D869E3">
        <w:rPr>
          <w:rFonts w:ascii="Verdana" w:hAnsi="Verdana"/>
          <w:sz w:val="20"/>
          <w:szCs w:val="20"/>
          <w:lang w:val="en-US"/>
        </w:rPr>
        <w:t xml:space="preserve"> 229</w:t>
      </w:r>
      <w:r w:rsidR="00324758"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324758" w:rsidRPr="00D869E3">
        <w:rPr>
          <w:rFonts w:ascii="Verdana" w:hAnsi="Verdana"/>
          <w:sz w:val="20"/>
          <w:szCs w:val="20"/>
          <w:lang w:val="en-US"/>
        </w:rPr>
        <w:t>.</w:t>
      </w:r>
    </w:p>
    <w:p w14:paraId="5C9B740E" w14:textId="77777777" w:rsidR="00324758" w:rsidRPr="00D869E3" w:rsidRDefault="00324758"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52C014D3" w14:textId="7A59DF27" w:rsidR="00324758"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State</w:t>
      </w:r>
      <w:r w:rsidR="00324758" w:rsidRPr="00D869E3">
        <w:rPr>
          <w:rFonts w:ascii="Verdana" w:hAnsi="Verdana"/>
          <w:sz w:val="20"/>
          <w:szCs w:val="20"/>
          <w:lang w:val="en-US"/>
        </w:rPr>
        <w:t xml:space="preserve"> </w:t>
      </w:r>
      <w:r w:rsidR="00397193" w:rsidRPr="00D869E3">
        <w:rPr>
          <w:rFonts w:ascii="Verdana" w:hAnsi="Verdana"/>
          <w:sz w:val="20"/>
          <w:szCs w:val="20"/>
          <w:lang w:val="en-US"/>
        </w:rPr>
        <w:t>shall, within one year of notification</w:t>
      </w:r>
      <w:r w:rsidR="00324758"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324758" w:rsidRPr="00D869E3">
        <w:rPr>
          <w:rFonts w:ascii="Verdana" w:hAnsi="Verdana"/>
          <w:sz w:val="20"/>
          <w:szCs w:val="20"/>
          <w:lang w:val="en-US"/>
        </w:rPr>
        <w:t xml:space="preserve">, </w:t>
      </w:r>
      <w:r w:rsidR="00397193" w:rsidRPr="00D869E3">
        <w:rPr>
          <w:rFonts w:ascii="Verdana" w:hAnsi="Verdana"/>
          <w:sz w:val="20"/>
          <w:szCs w:val="20"/>
          <w:lang w:val="en-US"/>
        </w:rPr>
        <w:t xml:space="preserve">provide the Court with a report on the measures adopted to comply with it, without prejudice to the provisions of </w:t>
      </w:r>
      <w:r w:rsidR="00180CED" w:rsidRPr="00D869E3">
        <w:rPr>
          <w:rFonts w:ascii="Verdana" w:hAnsi="Verdana"/>
          <w:sz w:val="20"/>
          <w:szCs w:val="20"/>
          <w:lang w:val="en-US"/>
        </w:rPr>
        <w:lastRenderedPageBreak/>
        <w:t>paragraph</w:t>
      </w:r>
      <w:r w:rsidR="00882FB7" w:rsidRPr="00D869E3">
        <w:rPr>
          <w:rFonts w:ascii="Verdana" w:hAnsi="Verdana"/>
          <w:sz w:val="20"/>
          <w:szCs w:val="20"/>
          <w:lang w:val="en-US"/>
        </w:rPr>
        <w:t xml:space="preserve"> 201</w:t>
      </w:r>
      <w:r w:rsidR="00324758" w:rsidRPr="00D869E3">
        <w:rPr>
          <w:rFonts w:ascii="Verdana" w:hAnsi="Verdana"/>
          <w:sz w:val="20"/>
          <w:szCs w:val="20"/>
          <w:lang w:val="en-US"/>
        </w:rPr>
        <w:t xml:space="preserve"> </w:t>
      </w:r>
      <w:r w:rsidR="00180CED" w:rsidRPr="00D869E3">
        <w:rPr>
          <w:rFonts w:ascii="Verdana" w:hAnsi="Verdana"/>
          <w:sz w:val="20"/>
          <w:szCs w:val="20"/>
          <w:lang w:val="en-US"/>
        </w:rPr>
        <w:t>of this judgment</w:t>
      </w:r>
      <w:r w:rsidR="00324758" w:rsidRPr="00D869E3">
        <w:rPr>
          <w:rFonts w:ascii="Verdana" w:hAnsi="Verdana"/>
          <w:sz w:val="20"/>
          <w:szCs w:val="20"/>
          <w:lang w:val="en-US"/>
        </w:rPr>
        <w:t>.</w:t>
      </w:r>
    </w:p>
    <w:p w14:paraId="2DEBD764" w14:textId="77777777" w:rsidR="00324758" w:rsidRPr="00D869E3" w:rsidRDefault="00324758" w:rsidP="00C44F02">
      <w:pPr>
        <w:pStyle w:val="Prrafodelista"/>
        <w:widowControl w:val="0"/>
        <w:tabs>
          <w:tab w:val="center" w:pos="720"/>
        </w:tabs>
        <w:autoSpaceDE w:val="0"/>
        <w:autoSpaceDN w:val="0"/>
        <w:adjustRightInd w:val="0"/>
        <w:ind w:left="0" w:right="-90"/>
        <w:jc w:val="both"/>
        <w:rPr>
          <w:rFonts w:ascii="Verdana" w:hAnsi="Verdana"/>
          <w:sz w:val="20"/>
          <w:szCs w:val="20"/>
          <w:lang w:val="en-US"/>
        </w:rPr>
      </w:pPr>
    </w:p>
    <w:p w14:paraId="4BB2F104" w14:textId="07F9783F" w:rsidR="00324758" w:rsidRPr="00D869E3" w:rsidRDefault="00447C65" w:rsidP="00C44F02">
      <w:pPr>
        <w:pStyle w:val="Prrafodelista"/>
        <w:widowControl w:val="0"/>
        <w:numPr>
          <w:ilvl w:val="0"/>
          <w:numId w:val="16"/>
        </w:numPr>
        <w:tabs>
          <w:tab w:val="center" w:pos="720"/>
        </w:tabs>
        <w:autoSpaceDE w:val="0"/>
        <w:autoSpaceDN w:val="0"/>
        <w:adjustRightInd w:val="0"/>
        <w:ind w:left="0" w:right="-90" w:hanging="11"/>
        <w:jc w:val="both"/>
        <w:rPr>
          <w:rFonts w:ascii="Verdana" w:hAnsi="Verdana"/>
          <w:sz w:val="20"/>
          <w:szCs w:val="20"/>
          <w:lang w:val="en-US"/>
        </w:rPr>
      </w:pPr>
      <w:r w:rsidRPr="00D869E3">
        <w:rPr>
          <w:rFonts w:ascii="Verdana" w:hAnsi="Verdana"/>
          <w:sz w:val="20"/>
          <w:szCs w:val="20"/>
          <w:lang w:val="en-US"/>
        </w:rPr>
        <w:t>The Court</w:t>
      </w:r>
      <w:r w:rsidR="00324758" w:rsidRPr="00D869E3">
        <w:rPr>
          <w:rFonts w:ascii="Verdana" w:hAnsi="Verdana"/>
          <w:sz w:val="20"/>
          <w:szCs w:val="20"/>
          <w:lang w:val="en-US"/>
        </w:rPr>
        <w:t xml:space="preserve"> </w:t>
      </w:r>
      <w:r w:rsidR="00397193" w:rsidRPr="00D869E3">
        <w:rPr>
          <w:rFonts w:ascii="Verdana" w:hAnsi="Verdana"/>
          <w:sz w:val="20"/>
          <w:szCs w:val="20"/>
          <w:lang w:val="en-US"/>
        </w:rPr>
        <w:t xml:space="preserve">will monitor full compliance with </w:t>
      </w:r>
      <w:r w:rsidR="00180CED" w:rsidRPr="00D869E3">
        <w:rPr>
          <w:rFonts w:ascii="Verdana" w:hAnsi="Verdana"/>
          <w:sz w:val="20"/>
          <w:szCs w:val="20"/>
          <w:lang w:val="en-US"/>
        </w:rPr>
        <w:t>this judgment</w:t>
      </w:r>
      <w:r w:rsidR="00324758" w:rsidRPr="00D869E3">
        <w:rPr>
          <w:rFonts w:ascii="Verdana" w:hAnsi="Verdana"/>
          <w:sz w:val="20"/>
          <w:szCs w:val="20"/>
          <w:lang w:val="en-US"/>
        </w:rPr>
        <w:t xml:space="preserve">, </w:t>
      </w:r>
      <w:r w:rsidR="00397193" w:rsidRPr="00D869E3">
        <w:rPr>
          <w:rFonts w:ascii="Verdana" w:hAnsi="Verdana"/>
          <w:sz w:val="20"/>
          <w:szCs w:val="20"/>
          <w:lang w:val="en-US"/>
        </w:rPr>
        <w:t>in exercise of its attributes and in fulfillment of its obligations under</w:t>
      </w:r>
      <w:r w:rsidR="00324758" w:rsidRPr="00D869E3">
        <w:rPr>
          <w:rFonts w:ascii="Verdana" w:hAnsi="Verdana"/>
          <w:sz w:val="20"/>
          <w:szCs w:val="20"/>
          <w:lang w:val="en-US"/>
        </w:rPr>
        <w:t xml:space="preserve"> </w:t>
      </w:r>
      <w:r w:rsidRPr="00D869E3">
        <w:rPr>
          <w:rFonts w:ascii="Verdana" w:hAnsi="Verdana"/>
          <w:sz w:val="20"/>
          <w:szCs w:val="20"/>
          <w:lang w:val="en-US"/>
        </w:rPr>
        <w:t>the American Convention on Human Rights</w:t>
      </w:r>
      <w:r w:rsidR="00324758" w:rsidRPr="00D869E3">
        <w:rPr>
          <w:rFonts w:ascii="Verdana" w:hAnsi="Verdana"/>
          <w:sz w:val="20"/>
          <w:szCs w:val="20"/>
          <w:lang w:val="en-US"/>
        </w:rPr>
        <w:t>,</w:t>
      </w:r>
      <w:r w:rsidR="00687684" w:rsidRPr="00D869E3">
        <w:rPr>
          <w:rFonts w:ascii="Verdana" w:hAnsi="Verdana"/>
          <w:sz w:val="20"/>
          <w:szCs w:val="20"/>
          <w:lang w:val="en-US"/>
        </w:rPr>
        <w:t xml:space="preserve"> and </w:t>
      </w:r>
      <w:r w:rsidR="00397193" w:rsidRPr="00D869E3">
        <w:rPr>
          <w:rFonts w:ascii="Verdana" w:hAnsi="Verdana"/>
          <w:sz w:val="20"/>
          <w:szCs w:val="20"/>
          <w:lang w:val="en-US"/>
        </w:rPr>
        <w:t>will close this case when the State has complied fully with its provisions</w:t>
      </w:r>
      <w:r w:rsidR="00324758" w:rsidRPr="00D869E3">
        <w:rPr>
          <w:rFonts w:ascii="Verdana" w:hAnsi="Verdana"/>
          <w:sz w:val="20"/>
          <w:szCs w:val="20"/>
          <w:lang w:val="en-US"/>
        </w:rPr>
        <w:t>.</w:t>
      </w:r>
    </w:p>
    <w:p w14:paraId="05A85B24" w14:textId="77777777" w:rsidR="006A2D03" w:rsidRPr="00D869E3" w:rsidRDefault="006A2D03"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268D88C3" w14:textId="03B22A12" w:rsidR="003F1454" w:rsidRPr="00D869E3" w:rsidRDefault="00971D34"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r w:rsidRPr="00D869E3">
        <w:rPr>
          <w:rFonts w:ascii="Verdana" w:hAnsi="Verdana"/>
          <w:sz w:val="20"/>
          <w:szCs w:val="20"/>
          <w:lang w:val="en-US"/>
        </w:rPr>
        <w:t>Judges</w:t>
      </w:r>
      <w:r w:rsidR="003F1454" w:rsidRPr="00D869E3">
        <w:rPr>
          <w:rFonts w:ascii="Verdana" w:hAnsi="Verdana"/>
          <w:sz w:val="20"/>
          <w:szCs w:val="20"/>
          <w:lang w:val="en-US"/>
        </w:rPr>
        <w:t xml:space="preserve"> Roberto F. Caldas</w:t>
      </w:r>
      <w:r w:rsidR="00687684" w:rsidRPr="00D869E3">
        <w:rPr>
          <w:rFonts w:ascii="Verdana" w:hAnsi="Verdana"/>
          <w:sz w:val="20"/>
          <w:szCs w:val="20"/>
          <w:lang w:val="en-US"/>
        </w:rPr>
        <w:t xml:space="preserve"> and </w:t>
      </w:r>
      <w:r w:rsidR="003F1454" w:rsidRPr="00D869E3">
        <w:rPr>
          <w:rFonts w:ascii="Verdana" w:hAnsi="Verdana"/>
          <w:sz w:val="20"/>
          <w:szCs w:val="20"/>
          <w:lang w:val="en-US"/>
        </w:rPr>
        <w:t>Eduardo Ferrer Mac-Gregor Poisot</w:t>
      </w:r>
      <w:r w:rsidRPr="00D869E3">
        <w:rPr>
          <w:rFonts w:ascii="Verdana" w:hAnsi="Verdana"/>
          <w:sz w:val="20"/>
          <w:szCs w:val="20"/>
          <w:lang w:val="en-US"/>
        </w:rPr>
        <w:t xml:space="preserve"> advised</w:t>
      </w:r>
      <w:r w:rsidR="00730D77" w:rsidRPr="00D869E3">
        <w:rPr>
          <w:rFonts w:ascii="Verdana" w:hAnsi="Verdana"/>
          <w:sz w:val="20"/>
          <w:szCs w:val="20"/>
          <w:lang w:val="en-US"/>
        </w:rPr>
        <w:t xml:space="preserve"> </w:t>
      </w:r>
      <w:r w:rsidR="00447C65" w:rsidRPr="00D869E3">
        <w:rPr>
          <w:rFonts w:ascii="Verdana" w:hAnsi="Verdana"/>
          <w:sz w:val="20"/>
          <w:szCs w:val="20"/>
          <w:lang w:val="en-US"/>
        </w:rPr>
        <w:t>the Court</w:t>
      </w:r>
      <w:r w:rsidR="0044649E" w:rsidRPr="00D869E3">
        <w:rPr>
          <w:rFonts w:ascii="Verdana" w:hAnsi="Verdana"/>
          <w:sz w:val="20"/>
          <w:szCs w:val="20"/>
          <w:lang w:val="en-US"/>
        </w:rPr>
        <w:t xml:space="preserve"> </w:t>
      </w:r>
      <w:r w:rsidRPr="00D869E3">
        <w:rPr>
          <w:rFonts w:ascii="Verdana" w:hAnsi="Verdana"/>
          <w:sz w:val="20"/>
          <w:szCs w:val="20"/>
          <w:lang w:val="en-US"/>
        </w:rPr>
        <w:t xml:space="preserve">of their individual concurring opinions, and Judges </w:t>
      </w:r>
      <w:r w:rsidR="003F1454" w:rsidRPr="00D869E3">
        <w:rPr>
          <w:rFonts w:ascii="Verdana" w:hAnsi="Verdana"/>
          <w:sz w:val="20"/>
          <w:szCs w:val="20"/>
          <w:lang w:val="en-US"/>
        </w:rPr>
        <w:t>Eduardo Vio Grossi</w:t>
      </w:r>
      <w:r w:rsidR="00687684" w:rsidRPr="00D869E3">
        <w:rPr>
          <w:rFonts w:ascii="Verdana" w:hAnsi="Verdana"/>
          <w:sz w:val="20"/>
          <w:szCs w:val="20"/>
          <w:lang w:val="en-US"/>
        </w:rPr>
        <w:t xml:space="preserve"> and </w:t>
      </w:r>
      <w:r w:rsidR="003F1454" w:rsidRPr="00D869E3">
        <w:rPr>
          <w:rFonts w:ascii="Verdana" w:hAnsi="Verdana"/>
          <w:sz w:val="20"/>
          <w:szCs w:val="20"/>
          <w:lang w:val="en-US"/>
        </w:rPr>
        <w:t>Humberto A</w:t>
      </w:r>
      <w:r w:rsidR="0044649E" w:rsidRPr="00D869E3">
        <w:rPr>
          <w:rFonts w:ascii="Verdana" w:hAnsi="Verdana"/>
          <w:sz w:val="20"/>
          <w:szCs w:val="20"/>
          <w:lang w:val="en-US"/>
        </w:rPr>
        <w:t>ntonio</w:t>
      </w:r>
      <w:r w:rsidR="003F1454" w:rsidRPr="00D869E3">
        <w:rPr>
          <w:rFonts w:ascii="Verdana" w:hAnsi="Verdana"/>
          <w:sz w:val="20"/>
          <w:szCs w:val="20"/>
          <w:lang w:val="en-US"/>
        </w:rPr>
        <w:t xml:space="preserve"> Sierra Porto, </w:t>
      </w:r>
      <w:r w:rsidRPr="00D869E3">
        <w:rPr>
          <w:rFonts w:ascii="Verdana" w:hAnsi="Verdana"/>
          <w:sz w:val="20"/>
          <w:szCs w:val="20"/>
          <w:lang w:val="en-US"/>
        </w:rPr>
        <w:t>of their individual partially dissenting opinions, which are attached to this judgment.</w:t>
      </w:r>
    </w:p>
    <w:p w14:paraId="5DFC262F" w14:textId="77777777" w:rsidR="009A3098" w:rsidRPr="00D869E3" w:rsidRDefault="009A3098"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2211D111" w14:textId="717F1945" w:rsidR="00324758" w:rsidRPr="00D869E3" w:rsidRDefault="00971D34"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r w:rsidRPr="00D869E3">
        <w:rPr>
          <w:rFonts w:ascii="Verdana" w:hAnsi="Verdana"/>
          <w:sz w:val="20"/>
          <w:szCs w:val="20"/>
          <w:lang w:val="en-US"/>
        </w:rPr>
        <w:t xml:space="preserve">DONE, at </w:t>
      </w:r>
      <w:r w:rsidR="00324758" w:rsidRPr="00D869E3">
        <w:rPr>
          <w:rFonts w:ascii="Verdana" w:hAnsi="Verdana"/>
          <w:sz w:val="20"/>
          <w:szCs w:val="20"/>
          <w:lang w:val="en-US"/>
        </w:rPr>
        <w:t>San José, Costa Ri</w:t>
      </w:r>
      <w:r w:rsidR="00326D8F" w:rsidRPr="00D869E3">
        <w:rPr>
          <w:rFonts w:ascii="Verdana" w:hAnsi="Verdana"/>
          <w:sz w:val="20"/>
          <w:szCs w:val="20"/>
          <w:lang w:val="en-US"/>
        </w:rPr>
        <w:t xml:space="preserve">ca, </w:t>
      </w:r>
      <w:r w:rsidRPr="00D869E3">
        <w:rPr>
          <w:rFonts w:ascii="Verdana" w:hAnsi="Verdana"/>
          <w:sz w:val="20"/>
          <w:szCs w:val="20"/>
          <w:lang w:val="en-US"/>
        </w:rPr>
        <w:t>on</w:t>
      </w:r>
      <w:r w:rsidR="00431AE6" w:rsidRPr="00D869E3">
        <w:rPr>
          <w:rFonts w:ascii="Verdana" w:hAnsi="Verdana"/>
          <w:sz w:val="20"/>
          <w:szCs w:val="20"/>
          <w:lang w:val="en-US"/>
        </w:rPr>
        <w:t xml:space="preserve"> </w:t>
      </w:r>
      <w:r w:rsidR="00447C65" w:rsidRPr="00D869E3">
        <w:rPr>
          <w:rFonts w:ascii="Verdana" w:hAnsi="Verdana"/>
          <w:sz w:val="20"/>
          <w:szCs w:val="20"/>
          <w:lang w:val="en-US"/>
        </w:rPr>
        <w:t>August 31,</w:t>
      </w:r>
      <w:r w:rsidR="00326D8F" w:rsidRPr="00D869E3">
        <w:rPr>
          <w:rFonts w:ascii="Verdana" w:hAnsi="Verdana"/>
          <w:sz w:val="20"/>
          <w:szCs w:val="20"/>
          <w:lang w:val="en-US"/>
        </w:rPr>
        <w:t xml:space="preserve"> 2017</w:t>
      </w:r>
      <w:r w:rsidRPr="00D869E3">
        <w:rPr>
          <w:rFonts w:ascii="Verdana" w:hAnsi="Verdana"/>
          <w:sz w:val="20"/>
          <w:szCs w:val="20"/>
          <w:lang w:val="en-US"/>
        </w:rPr>
        <w:t>, in the Spanish language.</w:t>
      </w:r>
    </w:p>
    <w:p w14:paraId="208E4801" w14:textId="77777777" w:rsidR="00324758" w:rsidRPr="00D869E3" w:rsidRDefault="00324758"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pPr>
    </w:p>
    <w:p w14:paraId="1036AD72" w14:textId="6ED06507" w:rsidR="0060277E" w:rsidRPr="00D869E3" w:rsidRDefault="0060277E">
      <w:pPr>
        <w:spacing w:after="200" w:line="276" w:lineRule="auto"/>
        <w:rPr>
          <w:rFonts w:ascii="Verdana" w:hAnsi="Verdana"/>
          <w:sz w:val="20"/>
          <w:szCs w:val="20"/>
          <w:lang w:val="en-US"/>
        </w:rPr>
      </w:pPr>
      <w:r w:rsidRPr="00D869E3">
        <w:rPr>
          <w:rFonts w:ascii="Verdana" w:hAnsi="Verdana"/>
          <w:sz w:val="20"/>
          <w:szCs w:val="20"/>
          <w:lang w:val="en-US"/>
        </w:rPr>
        <w:br w:type="page"/>
      </w:r>
    </w:p>
    <w:p w14:paraId="3B814277" w14:textId="332B5248" w:rsidR="0060277E" w:rsidRPr="00D869E3" w:rsidRDefault="00003343" w:rsidP="0060277E">
      <w:pPr>
        <w:jc w:val="both"/>
        <w:rPr>
          <w:rFonts w:ascii="Verdana" w:hAnsi="Verdana"/>
          <w:sz w:val="20"/>
          <w:lang w:val="en-US"/>
        </w:rPr>
      </w:pPr>
      <w:r w:rsidRPr="00D869E3">
        <w:rPr>
          <w:rFonts w:ascii="Verdana" w:hAnsi="Verdana"/>
          <w:sz w:val="20"/>
          <w:lang w:val="en-US"/>
        </w:rPr>
        <w:lastRenderedPageBreak/>
        <w:t>I/A Court HR</w:t>
      </w:r>
      <w:r w:rsidR="0060277E" w:rsidRPr="00D869E3">
        <w:rPr>
          <w:rFonts w:ascii="Verdana" w:hAnsi="Verdana"/>
          <w:sz w:val="20"/>
          <w:lang w:val="en-US"/>
        </w:rPr>
        <w:t xml:space="preserve">. </w:t>
      </w:r>
      <w:r w:rsidR="00447C65" w:rsidRPr="00D869E3">
        <w:rPr>
          <w:rFonts w:ascii="Verdana" w:hAnsi="Verdana"/>
          <w:sz w:val="20"/>
          <w:lang w:val="en-US"/>
        </w:rPr>
        <w:t>Case of</w:t>
      </w:r>
      <w:r w:rsidR="0060277E" w:rsidRPr="00D869E3">
        <w:rPr>
          <w:rFonts w:ascii="Verdana" w:hAnsi="Verdana"/>
          <w:sz w:val="20"/>
          <w:lang w:val="en-US"/>
        </w:rPr>
        <w:t xml:space="preserve"> </w:t>
      </w:r>
      <w:r w:rsidR="0060277E" w:rsidRPr="00D869E3">
        <w:rPr>
          <w:rFonts w:ascii="Verdana" w:hAnsi="Verdana"/>
          <w:i/>
          <w:sz w:val="20"/>
          <w:lang w:val="en-US"/>
        </w:rPr>
        <w:t xml:space="preserve">Lagos del Campo </w:t>
      </w:r>
      <w:r w:rsidR="00447C65" w:rsidRPr="00D869E3">
        <w:rPr>
          <w:rFonts w:ascii="Verdana" w:hAnsi="Verdana"/>
          <w:i/>
          <w:sz w:val="20"/>
          <w:lang w:val="en-US"/>
        </w:rPr>
        <w:t>v.</w:t>
      </w:r>
      <w:r w:rsidR="0060277E" w:rsidRPr="00D869E3">
        <w:rPr>
          <w:rFonts w:ascii="Verdana" w:hAnsi="Verdana"/>
          <w:i/>
          <w:sz w:val="20"/>
          <w:lang w:val="en-US"/>
        </w:rPr>
        <w:t xml:space="preserve"> </w:t>
      </w:r>
      <w:r w:rsidR="00447C65" w:rsidRPr="00D869E3">
        <w:rPr>
          <w:rFonts w:ascii="Verdana" w:hAnsi="Verdana"/>
          <w:i/>
          <w:sz w:val="20"/>
          <w:lang w:val="en-US"/>
        </w:rPr>
        <w:t>Peru</w:t>
      </w:r>
      <w:r w:rsidR="0060277E" w:rsidRPr="00D869E3">
        <w:rPr>
          <w:rFonts w:ascii="Verdana" w:hAnsi="Verdana"/>
          <w:sz w:val="20"/>
          <w:lang w:val="en-US"/>
        </w:rPr>
        <w:t xml:space="preserve">. </w:t>
      </w:r>
      <w:r w:rsidR="00447C65" w:rsidRPr="00D869E3">
        <w:rPr>
          <w:rFonts w:ascii="Verdana" w:hAnsi="Verdana"/>
          <w:sz w:val="20"/>
          <w:lang w:val="en-US"/>
        </w:rPr>
        <w:t>Preliminary objections, merits, reparations and costs</w:t>
      </w:r>
      <w:r w:rsidR="0060277E" w:rsidRPr="00D869E3">
        <w:rPr>
          <w:rFonts w:ascii="Verdana" w:hAnsi="Verdana"/>
          <w:sz w:val="20"/>
          <w:lang w:val="en-US"/>
        </w:rPr>
        <w:t xml:space="preserve">. </w:t>
      </w:r>
      <w:r w:rsidR="00447C65" w:rsidRPr="00D869E3">
        <w:rPr>
          <w:rFonts w:ascii="Verdana" w:hAnsi="Verdana"/>
          <w:sz w:val="20"/>
          <w:lang w:val="en-US"/>
        </w:rPr>
        <w:t>Judgment of</w:t>
      </w:r>
      <w:r w:rsidR="0060277E" w:rsidRPr="00D869E3">
        <w:rPr>
          <w:rFonts w:ascii="Verdana" w:hAnsi="Verdana"/>
          <w:sz w:val="20"/>
          <w:lang w:val="en-US"/>
        </w:rPr>
        <w:t xml:space="preserve"> </w:t>
      </w:r>
      <w:r w:rsidR="00447C65" w:rsidRPr="00D869E3">
        <w:rPr>
          <w:rFonts w:ascii="Verdana" w:hAnsi="Verdana"/>
          <w:sz w:val="20"/>
          <w:lang w:val="en-US"/>
        </w:rPr>
        <w:t>August 31,</w:t>
      </w:r>
      <w:r w:rsidR="0060277E" w:rsidRPr="00D869E3">
        <w:rPr>
          <w:rFonts w:ascii="Verdana" w:hAnsi="Verdana"/>
          <w:sz w:val="20"/>
          <w:lang w:val="en-US"/>
        </w:rPr>
        <w:t xml:space="preserve"> 2017.</w:t>
      </w:r>
    </w:p>
    <w:p w14:paraId="68DFA7F2" w14:textId="77777777" w:rsidR="0060277E" w:rsidRPr="00D869E3" w:rsidRDefault="0060277E" w:rsidP="0060277E">
      <w:pPr>
        <w:rPr>
          <w:rFonts w:ascii="Verdana" w:hAnsi="Verdana"/>
          <w:sz w:val="20"/>
          <w:lang w:val="en-US"/>
        </w:rPr>
      </w:pPr>
    </w:p>
    <w:p w14:paraId="673ACB26" w14:textId="77777777" w:rsidR="0060277E" w:rsidRPr="00D869E3" w:rsidRDefault="0060277E" w:rsidP="0060277E">
      <w:pPr>
        <w:rPr>
          <w:rFonts w:ascii="Verdana" w:hAnsi="Verdana"/>
          <w:sz w:val="20"/>
          <w:lang w:val="en-US"/>
        </w:rPr>
      </w:pPr>
    </w:p>
    <w:p w14:paraId="559061A5" w14:textId="77777777" w:rsidR="0060277E" w:rsidRPr="00D869E3" w:rsidRDefault="0060277E" w:rsidP="0060277E">
      <w:pPr>
        <w:rPr>
          <w:rFonts w:ascii="Verdana" w:hAnsi="Verdana"/>
          <w:sz w:val="20"/>
          <w:lang w:val="en-US"/>
        </w:rPr>
      </w:pPr>
    </w:p>
    <w:p w14:paraId="1EFEE5EA" w14:textId="77777777" w:rsidR="0060277E" w:rsidRPr="00D869E3" w:rsidRDefault="0060277E" w:rsidP="0060277E">
      <w:pPr>
        <w:rPr>
          <w:rFonts w:ascii="Verdana" w:hAnsi="Verdana"/>
          <w:sz w:val="20"/>
          <w:lang w:val="en-US"/>
        </w:rPr>
      </w:pPr>
    </w:p>
    <w:p w14:paraId="33C6F5DC" w14:textId="77777777" w:rsidR="0060277E" w:rsidRPr="00D869E3" w:rsidRDefault="0060277E" w:rsidP="0060277E">
      <w:pPr>
        <w:rPr>
          <w:rFonts w:ascii="Verdana" w:hAnsi="Verdana"/>
          <w:sz w:val="20"/>
          <w:lang w:val="en-US"/>
        </w:rPr>
      </w:pPr>
    </w:p>
    <w:p w14:paraId="72D2C712" w14:textId="77777777" w:rsidR="0060277E" w:rsidRPr="00D869E3" w:rsidRDefault="0060277E" w:rsidP="0060277E">
      <w:pPr>
        <w:jc w:val="center"/>
        <w:rPr>
          <w:rFonts w:ascii="Verdana" w:hAnsi="Verdana"/>
          <w:sz w:val="20"/>
          <w:lang w:val="en-US"/>
        </w:rPr>
      </w:pPr>
      <w:r w:rsidRPr="00D869E3">
        <w:rPr>
          <w:rFonts w:ascii="Verdana" w:hAnsi="Verdana"/>
          <w:sz w:val="20"/>
          <w:lang w:val="en-US"/>
        </w:rPr>
        <w:t>Roberto F. Caldas</w:t>
      </w:r>
    </w:p>
    <w:p w14:paraId="1B2BE8B0" w14:textId="7D435130" w:rsidR="0060277E" w:rsidRPr="00D869E3" w:rsidRDefault="00447C65" w:rsidP="0060277E">
      <w:pPr>
        <w:jc w:val="center"/>
        <w:rPr>
          <w:rFonts w:ascii="Verdana" w:hAnsi="Verdana"/>
          <w:sz w:val="20"/>
          <w:lang w:val="en-US"/>
        </w:rPr>
      </w:pPr>
      <w:r w:rsidRPr="00D869E3">
        <w:rPr>
          <w:rFonts w:ascii="Verdana" w:hAnsi="Verdana"/>
          <w:sz w:val="20"/>
          <w:lang w:val="en-US"/>
        </w:rPr>
        <w:t>President</w:t>
      </w:r>
      <w:r w:rsidR="0060277E" w:rsidRPr="00D869E3">
        <w:rPr>
          <w:rFonts w:ascii="Verdana" w:hAnsi="Verdana"/>
          <w:sz w:val="20"/>
          <w:lang w:val="en-US"/>
        </w:rPr>
        <w:t xml:space="preserve"> </w:t>
      </w:r>
    </w:p>
    <w:p w14:paraId="7E8A7808" w14:textId="77777777" w:rsidR="0060277E" w:rsidRPr="00D869E3" w:rsidRDefault="0060277E" w:rsidP="0060277E">
      <w:pPr>
        <w:jc w:val="both"/>
        <w:rPr>
          <w:rFonts w:ascii="Verdana" w:hAnsi="Verdana"/>
          <w:sz w:val="20"/>
          <w:lang w:val="en-US"/>
        </w:rPr>
      </w:pPr>
    </w:p>
    <w:p w14:paraId="212BD1C8" w14:textId="77777777" w:rsidR="0060277E" w:rsidRPr="00D869E3" w:rsidRDefault="0060277E" w:rsidP="0060277E">
      <w:pPr>
        <w:jc w:val="both"/>
        <w:rPr>
          <w:rFonts w:ascii="Verdana" w:hAnsi="Verdana"/>
          <w:sz w:val="20"/>
          <w:lang w:val="en-US"/>
        </w:rPr>
      </w:pPr>
    </w:p>
    <w:p w14:paraId="291B9756" w14:textId="77777777" w:rsidR="0060277E" w:rsidRPr="00D869E3" w:rsidRDefault="0060277E" w:rsidP="0060277E">
      <w:pPr>
        <w:jc w:val="both"/>
        <w:rPr>
          <w:rFonts w:ascii="Verdana" w:hAnsi="Verdana"/>
          <w:sz w:val="20"/>
          <w:lang w:val="en-US"/>
        </w:rPr>
      </w:pPr>
    </w:p>
    <w:p w14:paraId="22898221" w14:textId="77777777" w:rsidR="0060277E" w:rsidRPr="00D869E3" w:rsidRDefault="0060277E" w:rsidP="0060277E">
      <w:pPr>
        <w:jc w:val="both"/>
        <w:rPr>
          <w:rFonts w:ascii="Verdana" w:hAnsi="Verdana"/>
          <w:sz w:val="20"/>
          <w:lang w:val="en-US"/>
        </w:rPr>
      </w:pPr>
    </w:p>
    <w:p w14:paraId="1051F532" w14:textId="77777777" w:rsidR="0060277E" w:rsidRPr="00D869E3" w:rsidRDefault="0060277E" w:rsidP="0060277E">
      <w:pPr>
        <w:jc w:val="both"/>
        <w:rPr>
          <w:rFonts w:ascii="Verdana" w:hAnsi="Verdana"/>
          <w:sz w:val="20"/>
          <w:lang w:val="en-US"/>
        </w:rPr>
      </w:pPr>
    </w:p>
    <w:p w14:paraId="33384466" w14:textId="77777777" w:rsidR="0060277E" w:rsidRPr="00D869E3" w:rsidRDefault="0060277E" w:rsidP="0060277E">
      <w:pPr>
        <w:jc w:val="both"/>
        <w:rPr>
          <w:rFonts w:ascii="Verdana" w:hAnsi="Verdana"/>
          <w:sz w:val="20"/>
          <w:lang w:val="en-US"/>
        </w:rPr>
      </w:pPr>
      <w:r w:rsidRPr="00D869E3">
        <w:rPr>
          <w:rFonts w:ascii="Verdana" w:hAnsi="Verdana"/>
          <w:sz w:val="20"/>
          <w:lang w:val="en-US"/>
        </w:rPr>
        <w:t>Eduardo Ferrer Mac-Gregor Poisot</w:t>
      </w:r>
      <w:r w:rsidRPr="00D869E3">
        <w:rPr>
          <w:rFonts w:ascii="Verdana" w:hAnsi="Verdana"/>
          <w:sz w:val="20"/>
          <w:lang w:val="en-US"/>
        </w:rPr>
        <w:tab/>
      </w:r>
      <w:r w:rsidRPr="00D869E3">
        <w:rPr>
          <w:rFonts w:ascii="Verdana" w:hAnsi="Verdana"/>
          <w:sz w:val="20"/>
          <w:lang w:val="en-US"/>
        </w:rPr>
        <w:tab/>
      </w:r>
      <w:r w:rsidRPr="00D869E3">
        <w:rPr>
          <w:rFonts w:ascii="Verdana" w:hAnsi="Verdana"/>
          <w:sz w:val="20"/>
          <w:lang w:val="en-US"/>
        </w:rPr>
        <w:tab/>
      </w:r>
      <w:r w:rsidRPr="00D869E3">
        <w:rPr>
          <w:rFonts w:ascii="Verdana" w:hAnsi="Verdana"/>
          <w:sz w:val="20"/>
          <w:lang w:val="en-US"/>
        </w:rPr>
        <w:tab/>
      </w:r>
      <w:r w:rsidRPr="00D869E3">
        <w:rPr>
          <w:rFonts w:ascii="Verdana" w:hAnsi="Verdana"/>
          <w:sz w:val="20"/>
          <w:lang w:val="en-US"/>
        </w:rPr>
        <w:tab/>
      </w:r>
      <w:r w:rsidRPr="00D869E3">
        <w:rPr>
          <w:rFonts w:ascii="Verdana" w:hAnsi="Verdana"/>
          <w:sz w:val="20"/>
          <w:lang w:val="en-US"/>
        </w:rPr>
        <w:tab/>
        <w:t xml:space="preserve">    Eduardo Vio Grossi</w:t>
      </w:r>
    </w:p>
    <w:p w14:paraId="10A4D09A" w14:textId="77777777" w:rsidR="0060277E" w:rsidRPr="00D869E3" w:rsidRDefault="0060277E" w:rsidP="0060277E">
      <w:pPr>
        <w:jc w:val="both"/>
        <w:rPr>
          <w:rFonts w:ascii="Verdana" w:hAnsi="Verdana"/>
          <w:sz w:val="20"/>
          <w:lang w:val="en-US"/>
        </w:rPr>
      </w:pPr>
    </w:p>
    <w:p w14:paraId="1DE36BBB" w14:textId="77777777" w:rsidR="0060277E" w:rsidRPr="00D869E3" w:rsidRDefault="0060277E" w:rsidP="0060277E">
      <w:pPr>
        <w:jc w:val="both"/>
        <w:rPr>
          <w:rFonts w:ascii="Verdana" w:hAnsi="Verdana"/>
          <w:sz w:val="20"/>
          <w:lang w:val="en-US"/>
        </w:rPr>
      </w:pPr>
    </w:p>
    <w:p w14:paraId="38A898DC" w14:textId="77777777" w:rsidR="0060277E" w:rsidRPr="00D869E3" w:rsidRDefault="0060277E" w:rsidP="0060277E">
      <w:pPr>
        <w:jc w:val="both"/>
        <w:rPr>
          <w:rFonts w:ascii="Verdana" w:hAnsi="Verdana"/>
          <w:sz w:val="20"/>
          <w:lang w:val="en-US"/>
        </w:rPr>
      </w:pPr>
    </w:p>
    <w:p w14:paraId="36FD050B" w14:textId="77777777" w:rsidR="0060277E" w:rsidRPr="00D869E3" w:rsidRDefault="0060277E" w:rsidP="0060277E">
      <w:pPr>
        <w:jc w:val="both"/>
        <w:rPr>
          <w:rFonts w:ascii="Verdana" w:hAnsi="Verdana"/>
          <w:sz w:val="20"/>
          <w:lang w:val="en-US"/>
        </w:rPr>
      </w:pPr>
    </w:p>
    <w:p w14:paraId="23B737A9" w14:textId="77777777" w:rsidR="0060277E" w:rsidRPr="00D869E3" w:rsidRDefault="0060277E" w:rsidP="0060277E">
      <w:pPr>
        <w:jc w:val="both"/>
        <w:rPr>
          <w:rFonts w:ascii="Verdana" w:hAnsi="Verdana"/>
          <w:sz w:val="20"/>
          <w:lang w:val="en-US"/>
        </w:rPr>
      </w:pPr>
    </w:p>
    <w:p w14:paraId="46DF1EDE" w14:textId="77777777" w:rsidR="0060277E" w:rsidRPr="00D869E3" w:rsidRDefault="0060277E" w:rsidP="0060277E">
      <w:pPr>
        <w:jc w:val="both"/>
        <w:rPr>
          <w:rFonts w:ascii="Verdana" w:hAnsi="Verdana"/>
          <w:sz w:val="20"/>
          <w:lang w:val="es-CR"/>
        </w:rPr>
      </w:pPr>
      <w:r w:rsidRPr="00D869E3">
        <w:rPr>
          <w:rFonts w:ascii="Verdana" w:hAnsi="Verdana"/>
          <w:sz w:val="20"/>
          <w:lang w:val="es-CR"/>
        </w:rPr>
        <w:t>Humberto A. Sierra Porto</w:t>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t xml:space="preserve"> Elizabeth Odio Benito</w:t>
      </w:r>
    </w:p>
    <w:p w14:paraId="78B007A2" w14:textId="77777777" w:rsidR="0060277E" w:rsidRPr="00D869E3" w:rsidRDefault="0060277E" w:rsidP="0060277E">
      <w:pPr>
        <w:jc w:val="center"/>
        <w:rPr>
          <w:rFonts w:ascii="Verdana" w:hAnsi="Verdana"/>
          <w:sz w:val="20"/>
          <w:lang w:val="es-CR"/>
        </w:rPr>
      </w:pPr>
    </w:p>
    <w:p w14:paraId="1421BBA7" w14:textId="77777777" w:rsidR="0060277E" w:rsidRPr="00D869E3" w:rsidRDefault="0060277E" w:rsidP="0060277E">
      <w:pPr>
        <w:jc w:val="center"/>
        <w:rPr>
          <w:rFonts w:ascii="Verdana" w:hAnsi="Verdana"/>
          <w:sz w:val="20"/>
          <w:lang w:val="es-CR"/>
        </w:rPr>
      </w:pPr>
    </w:p>
    <w:p w14:paraId="6D28BB6C" w14:textId="77777777" w:rsidR="0060277E" w:rsidRPr="00D869E3" w:rsidRDefault="0060277E" w:rsidP="0060277E">
      <w:pPr>
        <w:jc w:val="center"/>
        <w:rPr>
          <w:rFonts w:ascii="Verdana" w:hAnsi="Verdana"/>
          <w:sz w:val="20"/>
          <w:lang w:val="es-CR"/>
        </w:rPr>
      </w:pPr>
    </w:p>
    <w:p w14:paraId="4EAB228F" w14:textId="77777777" w:rsidR="0060277E" w:rsidRPr="00D869E3" w:rsidRDefault="0060277E" w:rsidP="0060277E">
      <w:pPr>
        <w:jc w:val="center"/>
        <w:rPr>
          <w:rFonts w:ascii="Verdana" w:hAnsi="Verdana"/>
          <w:sz w:val="20"/>
          <w:lang w:val="es-CR"/>
        </w:rPr>
      </w:pPr>
    </w:p>
    <w:p w14:paraId="16599940" w14:textId="77777777" w:rsidR="0060277E" w:rsidRPr="00D869E3" w:rsidRDefault="0060277E" w:rsidP="0060277E">
      <w:pPr>
        <w:rPr>
          <w:rFonts w:ascii="Verdana" w:hAnsi="Verdana"/>
          <w:sz w:val="20"/>
          <w:lang w:val="es-CR"/>
        </w:rPr>
      </w:pPr>
      <w:r w:rsidRPr="00D869E3">
        <w:rPr>
          <w:rFonts w:ascii="Verdana" w:hAnsi="Verdana"/>
          <w:sz w:val="20"/>
          <w:lang w:val="es-CR"/>
        </w:rPr>
        <w:tab/>
      </w:r>
      <w:r w:rsidRPr="00D869E3">
        <w:rPr>
          <w:rFonts w:ascii="Verdana" w:hAnsi="Verdana"/>
          <w:sz w:val="20"/>
          <w:lang w:val="es-CR"/>
        </w:rPr>
        <w:tab/>
      </w:r>
    </w:p>
    <w:p w14:paraId="0658E2CD" w14:textId="77777777" w:rsidR="0060277E" w:rsidRPr="00D869E3" w:rsidRDefault="0060277E" w:rsidP="0060277E">
      <w:pPr>
        <w:rPr>
          <w:rFonts w:ascii="Verdana" w:hAnsi="Verdana"/>
          <w:sz w:val="20"/>
          <w:lang w:val="es-CR"/>
        </w:rPr>
      </w:pPr>
      <w:r w:rsidRPr="00D869E3">
        <w:rPr>
          <w:rFonts w:ascii="Verdana" w:hAnsi="Verdana"/>
          <w:sz w:val="20"/>
          <w:lang w:val="es-CR"/>
        </w:rPr>
        <w:t>Eugenio Raúl Zaffaroni</w:t>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t xml:space="preserve">                L. Patricio Pazmiño Freire</w:t>
      </w:r>
    </w:p>
    <w:p w14:paraId="1B018EF1" w14:textId="77777777" w:rsidR="0060277E" w:rsidRPr="00D869E3" w:rsidRDefault="0060277E" w:rsidP="0060277E">
      <w:pPr>
        <w:rPr>
          <w:rFonts w:ascii="Verdana" w:hAnsi="Verdana"/>
          <w:sz w:val="20"/>
          <w:lang w:val="es-CR"/>
        </w:rPr>
      </w:pPr>
      <w:r w:rsidRPr="00D869E3">
        <w:rPr>
          <w:rFonts w:ascii="Verdana" w:hAnsi="Verdana"/>
          <w:sz w:val="20"/>
          <w:lang w:val="es-CR"/>
        </w:rPr>
        <w:tab/>
      </w:r>
      <w:r w:rsidRPr="00D869E3">
        <w:rPr>
          <w:rFonts w:ascii="Verdana" w:hAnsi="Verdana"/>
          <w:sz w:val="20"/>
          <w:lang w:val="es-CR"/>
        </w:rPr>
        <w:tab/>
      </w:r>
      <w:r w:rsidRPr="00D869E3">
        <w:rPr>
          <w:rFonts w:ascii="Verdana" w:hAnsi="Verdana"/>
          <w:sz w:val="20"/>
          <w:lang w:val="es-CR"/>
        </w:rPr>
        <w:tab/>
      </w:r>
    </w:p>
    <w:p w14:paraId="25D57D6F" w14:textId="77777777" w:rsidR="0060277E" w:rsidRPr="00D869E3" w:rsidRDefault="0060277E" w:rsidP="0060277E">
      <w:pPr>
        <w:rPr>
          <w:rFonts w:ascii="Verdana" w:hAnsi="Verdana"/>
          <w:sz w:val="20"/>
          <w:lang w:val="es-CR"/>
        </w:rPr>
      </w:pPr>
    </w:p>
    <w:p w14:paraId="0A39C28D" w14:textId="77777777" w:rsidR="0060277E" w:rsidRPr="00D869E3" w:rsidRDefault="0060277E" w:rsidP="0060277E">
      <w:pPr>
        <w:rPr>
          <w:rFonts w:ascii="Verdana" w:hAnsi="Verdana"/>
          <w:sz w:val="20"/>
          <w:lang w:val="es-CR"/>
        </w:rPr>
      </w:pPr>
    </w:p>
    <w:p w14:paraId="64E949AD" w14:textId="77777777" w:rsidR="0060277E" w:rsidRPr="00D869E3" w:rsidRDefault="0060277E" w:rsidP="0060277E">
      <w:pPr>
        <w:tabs>
          <w:tab w:val="left" w:pos="8460"/>
          <w:tab w:val="left" w:pos="8640"/>
        </w:tabs>
        <w:jc w:val="both"/>
        <w:rPr>
          <w:rFonts w:ascii="Verdana" w:hAnsi="Verdana"/>
          <w:sz w:val="20"/>
          <w:lang w:val="es-CR"/>
        </w:rPr>
      </w:pPr>
    </w:p>
    <w:p w14:paraId="64BC635D" w14:textId="77777777" w:rsidR="0060277E" w:rsidRPr="00D869E3" w:rsidRDefault="0060277E" w:rsidP="0060277E">
      <w:pPr>
        <w:tabs>
          <w:tab w:val="left" w:pos="8460"/>
          <w:tab w:val="left" w:pos="8640"/>
        </w:tabs>
        <w:jc w:val="both"/>
        <w:rPr>
          <w:rFonts w:ascii="Verdana" w:hAnsi="Verdana"/>
          <w:sz w:val="20"/>
          <w:lang w:val="es-CR"/>
        </w:rPr>
      </w:pPr>
    </w:p>
    <w:p w14:paraId="2A3CC7BE" w14:textId="77777777" w:rsidR="0060277E" w:rsidRPr="00D869E3" w:rsidRDefault="0060277E" w:rsidP="0060277E">
      <w:pPr>
        <w:tabs>
          <w:tab w:val="left" w:pos="8460"/>
          <w:tab w:val="left" w:pos="8640"/>
        </w:tabs>
        <w:jc w:val="center"/>
        <w:rPr>
          <w:rFonts w:ascii="Verdana" w:hAnsi="Verdana"/>
          <w:sz w:val="20"/>
          <w:lang w:val="es-CR"/>
        </w:rPr>
      </w:pPr>
      <w:r w:rsidRPr="00D869E3">
        <w:rPr>
          <w:rFonts w:ascii="Verdana" w:hAnsi="Verdana"/>
          <w:sz w:val="20"/>
          <w:lang w:val="es-CR"/>
        </w:rPr>
        <w:t>Pablo Saavedra Alessandri</w:t>
      </w:r>
    </w:p>
    <w:p w14:paraId="78C79F82" w14:textId="19F54DBC" w:rsidR="0060277E" w:rsidRPr="00D869E3" w:rsidRDefault="0060277E" w:rsidP="0060277E">
      <w:pPr>
        <w:tabs>
          <w:tab w:val="left" w:pos="8460"/>
          <w:tab w:val="left" w:pos="8640"/>
        </w:tabs>
        <w:jc w:val="center"/>
        <w:rPr>
          <w:rFonts w:ascii="Verdana" w:hAnsi="Verdana"/>
          <w:sz w:val="20"/>
          <w:lang w:val="es-CR"/>
        </w:rPr>
      </w:pPr>
      <w:proofErr w:type="spellStart"/>
      <w:r w:rsidRPr="00D869E3">
        <w:rPr>
          <w:rFonts w:ascii="Verdana" w:hAnsi="Verdana"/>
          <w:sz w:val="20"/>
          <w:lang w:val="es-CR"/>
        </w:rPr>
        <w:t>Secretar</w:t>
      </w:r>
      <w:r w:rsidR="00003343" w:rsidRPr="00D869E3">
        <w:rPr>
          <w:rFonts w:ascii="Verdana" w:hAnsi="Verdana"/>
          <w:sz w:val="20"/>
          <w:lang w:val="es-CR"/>
        </w:rPr>
        <w:t>y</w:t>
      </w:r>
      <w:proofErr w:type="spellEnd"/>
    </w:p>
    <w:p w14:paraId="1D3F361D" w14:textId="77777777" w:rsidR="0060277E" w:rsidRPr="00D869E3" w:rsidRDefault="0060277E" w:rsidP="0060277E">
      <w:pPr>
        <w:tabs>
          <w:tab w:val="left" w:pos="8460"/>
          <w:tab w:val="left" w:pos="8640"/>
        </w:tabs>
        <w:jc w:val="both"/>
        <w:rPr>
          <w:rFonts w:ascii="Verdana" w:hAnsi="Verdana"/>
          <w:sz w:val="20"/>
          <w:lang w:val="es-CR"/>
        </w:rPr>
      </w:pPr>
    </w:p>
    <w:p w14:paraId="1D0BC1FE" w14:textId="77777777" w:rsidR="0060277E" w:rsidRPr="00D869E3" w:rsidRDefault="0060277E" w:rsidP="0060277E">
      <w:pPr>
        <w:jc w:val="both"/>
        <w:rPr>
          <w:rFonts w:ascii="Verdana" w:hAnsi="Verdana"/>
          <w:sz w:val="20"/>
          <w:lang w:val="es-CR"/>
        </w:rPr>
      </w:pPr>
    </w:p>
    <w:p w14:paraId="671DDD60" w14:textId="27C7E144" w:rsidR="0060277E" w:rsidRPr="00D869E3" w:rsidRDefault="00003343" w:rsidP="0060277E">
      <w:pPr>
        <w:tabs>
          <w:tab w:val="left" w:pos="8460"/>
          <w:tab w:val="left" w:pos="8640"/>
        </w:tabs>
        <w:jc w:val="both"/>
        <w:rPr>
          <w:rFonts w:ascii="Verdana" w:hAnsi="Verdana"/>
          <w:sz w:val="20"/>
          <w:lang w:val="es-CR"/>
        </w:rPr>
      </w:pPr>
      <w:r w:rsidRPr="00D869E3">
        <w:rPr>
          <w:rFonts w:ascii="Verdana" w:hAnsi="Verdana"/>
          <w:sz w:val="20"/>
          <w:lang w:val="es-CR"/>
        </w:rPr>
        <w:t xml:space="preserve">So </w:t>
      </w:r>
      <w:proofErr w:type="spellStart"/>
      <w:r w:rsidRPr="00D869E3">
        <w:rPr>
          <w:rFonts w:ascii="Verdana" w:hAnsi="Verdana"/>
          <w:sz w:val="20"/>
          <w:lang w:val="es-CR"/>
        </w:rPr>
        <w:t>ordered</w:t>
      </w:r>
      <w:proofErr w:type="spellEnd"/>
      <w:r w:rsidR="0060277E" w:rsidRPr="00D869E3">
        <w:rPr>
          <w:rFonts w:ascii="Verdana" w:hAnsi="Verdana"/>
          <w:sz w:val="20"/>
          <w:lang w:val="es-CR"/>
        </w:rPr>
        <w:t>,</w:t>
      </w:r>
    </w:p>
    <w:p w14:paraId="7FC29D3D" w14:textId="77777777" w:rsidR="0060277E" w:rsidRPr="00D869E3" w:rsidRDefault="0060277E" w:rsidP="0060277E">
      <w:pPr>
        <w:tabs>
          <w:tab w:val="left" w:pos="8460"/>
          <w:tab w:val="left" w:pos="8640"/>
        </w:tabs>
        <w:jc w:val="both"/>
        <w:rPr>
          <w:rFonts w:ascii="Verdana" w:hAnsi="Verdana"/>
          <w:sz w:val="20"/>
          <w:lang w:val="es-CR"/>
        </w:rPr>
      </w:pPr>
    </w:p>
    <w:p w14:paraId="6817268B" w14:textId="77777777" w:rsidR="0060277E" w:rsidRPr="00D869E3" w:rsidRDefault="0060277E" w:rsidP="0060277E">
      <w:pPr>
        <w:tabs>
          <w:tab w:val="left" w:pos="8460"/>
          <w:tab w:val="left" w:pos="8640"/>
        </w:tabs>
        <w:jc w:val="both"/>
        <w:rPr>
          <w:rFonts w:ascii="Verdana" w:hAnsi="Verdana"/>
          <w:sz w:val="20"/>
          <w:lang w:val="es-CR"/>
        </w:rPr>
      </w:pPr>
    </w:p>
    <w:p w14:paraId="5B2E8639" w14:textId="77777777" w:rsidR="0060277E" w:rsidRPr="00D869E3" w:rsidRDefault="0060277E" w:rsidP="0060277E">
      <w:pPr>
        <w:tabs>
          <w:tab w:val="left" w:pos="8460"/>
          <w:tab w:val="left" w:pos="8640"/>
        </w:tabs>
        <w:jc w:val="both"/>
        <w:rPr>
          <w:rFonts w:ascii="Verdana" w:hAnsi="Verdana"/>
          <w:sz w:val="20"/>
          <w:lang w:val="es-CR"/>
        </w:rPr>
      </w:pPr>
    </w:p>
    <w:p w14:paraId="22E02FD8" w14:textId="77777777" w:rsidR="0060277E" w:rsidRPr="00D869E3" w:rsidRDefault="0060277E" w:rsidP="0060277E">
      <w:pPr>
        <w:tabs>
          <w:tab w:val="left" w:pos="8460"/>
          <w:tab w:val="left" w:pos="8640"/>
        </w:tabs>
        <w:jc w:val="both"/>
        <w:rPr>
          <w:rFonts w:ascii="Verdana" w:hAnsi="Verdana"/>
          <w:sz w:val="20"/>
          <w:lang w:val="es-CR"/>
        </w:rPr>
      </w:pPr>
    </w:p>
    <w:p w14:paraId="0D9843F8" w14:textId="77777777" w:rsidR="0060277E" w:rsidRPr="00D869E3" w:rsidRDefault="0060277E" w:rsidP="0060277E">
      <w:pPr>
        <w:ind w:firstLine="720"/>
        <w:jc w:val="right"/>
        <w:rPr>
          <w:rFonts w:ascii="Verdana" w:hAnsi="Verdana"/>
          <w:sz w:val="20"/>
          <w:lang w:val="es-CR"/>
        </w:rPr>
      </w:pPr>
      <w:r w:rsidRPr="00D869E3">
        <w:rPr>
          <w:rFonts w:ascii="Verdana" w:hAnsi="Verdana"/>
          <w:sz w:val="20"/>
          <w:lang w:val="es-CR"/>
        </w:rPr>
        <w:t xml:space="preserve">                  Roberto F. Caldas</w:t>
      </w:r>
    </w:p>
    <w:p w14:paraId="2574340C" w14:textId="6D3AA1CF" w:rsidR="0060277E" w:rsidRPr="00D869E3" w:rsidRDefault="00447C65" w:rsidP="0060277E">
      <w:pPr>
        <w:ind w:right="360"/>
        <w:jc w:val="right"/>
        <w:rPr>
          <w:rFonts w:ascii="Verdana" w:hAnsi="Verdana"/>
          <w:sz w:val="20"/>
          <w:lang w:val="es-CR"/>
        </w:rPr>
      </w:pPr>
      <w:proofErr w:type="spellStart"/>
      <w:r w:rsidRPr="00D869E3">
        <w:rPr>
          <w:rFonts w:ascii="Verdana" w:hAnsi="Verdana"/>
          <w:sz w:val="20"/>
          <w:lang w:val="es-CR"/>
        </w:rPr>
        <w:t>President</w:t>
      </w:r>
      <w:proofErr w:type="spellEnd"/>
      <w:r w:rsidR="0060277E" w:rsidRPr="00D869E3">
        <w:rPr>
          <w:rFonts w:ascii="Verdana" w:hAnsi="Verdana"/>
          <w:sz w:val="20"/>
          <w:lang w:val="es-CR"/>
        </w:rPr>
        <w:t xml:space="preserve"> </w:t>
      </w:r>
    </w:p>
    <w:p w14:paraId="75FD779D" w14:textId="77777777" w:rsidR="0060277E" w:rsidRPr="00D869E3" w:rsidRDefault="0060277E" w:rsidP="0060277E">
      <w:pPr>
        <w:tabs>
          <w:tab w:val="left" w:pos="8460"/>
          <w:tab w:val="left" w:pos="8640"/>
        </w:tabs>
        <w:jc w:val="both"/>
        <w:rPr>
          <w:rFonts w:ascii="Verdana" w:hAnsi="Verdana"/>
          <w:sz w:val="20"/>
          <w:lang w:val="es-CR"/>
        </w:rPr>
      </w:pPr>
    </w:p>
    <w:p w14:paraId="17E2B846" w14:textId="77777777" w:rsidR="0060277E" w:rsidRPr="00D869E3" w:rsidRDefault="0060277E" w:rsidP="0060277E">
      <w:pPr>
        <w:tabs>
          <w:tab w:val="left" w:pos="8460"/>
          <w:tab w:val="left" w:pos="8640"/>
        </w:tabs>
        <w:jc w:val="both"/>
        <w:rPr>
          <w:rFonts w:ascii="Verdana" w:hAnsi="Verdana"/>
          <w:sz w:val="20"/>
          <w:lang w:val="es-CR"/>
        </w:rPr>
      </w:pPr>
    </w:p>
    <w:p w14:paraId="6FC42108" w14:textId="77777777" w:rsidR="0060277E" w:rsidRPr="00D869E3" w:rsidRDefault="0060277E" w:rsidP="0060277E">
      <w:pPr>
        <w:tabs>
          <w:tab w:val="left" w:pos="8460"/>
          <w:tab w:val="left" w:pos="8640"/>
        </w:tabs>
        <w:jc w:val="both"/>
        <w:rPr>
          <w:rFonts w:ascii="Verdana" w:hAnsi="Verdana"/>
          <w:sz w:val="20"/>
          <w:lang w:val="es-CR"/>
        </w:rPr>
      </w:pPr>
    </w:p>
    <w:p w14:paraId="5234144F" w14:textId="77777777" w:rsidR="0060277E" w:rsidRPr="00D869E3" w:rsidRDefault="0060277E" w:rsidP="0060277E">
      <w:pPr>
        <w:tabs>
          <w:tab w:val="left" w:pos="8460"/>
          <w:tab w:val="left" w:pos="8640"/>
        </w:tabs>
        <w:jc w:val="both"/>
        <w:rPr>
          <w:rFonts w:ascii="Verdana" w:hAnsi="Verdana"/>
          <w:sz w:val="20"/>
          <w:lang w:val="es-CR"/>
        </w:rPr>
      </w:pPr>
    </w:p>
    <w:p w14:paraId="32FC03D3" w14:textId="77777777" w:rsidR="0060277E" w:rsidRPr="00D869E3" w:rsidRDefault="0060277E" w:rsidP="0060277E">
      <w:pPr>
        <w:tabs>
          <w:tab w:val="left" w:pos="8460"/>
          <w:tab w:val="left" w:pos="8640"/>
        </w:tabs>
        <w:jc w:val="both"/>
        <w:rPr>
          <w:rFonts w:ascii="Verdana" w:hAnsi="Verdana"/>
          <w:sz w:val="20"/>
          <w:lang w:val="es-CR"/>
        </w:rPr>
      </w:pPr>
      <w:r w:rsidRPr="00D869E3">
        <w:rPr>
          <w:rFonts w:ascii="Verdana" w:hAnsi="Verdana"/>
          <w:sz w:val="20"/>
          <w:lang w:val="es-CR"/>
        </w:rPr>
        <w:t>Pablo Saavedra Alessandri</w:t>
      </w:r>
    </w:p>
    <w:p w14:paraId="092B896D" w14:textId="4A207582" w:rsidR="0060277E" w:rsidRPr="00D869E3" w:rsidRDefault="0060277E" w:rsidP="0060277E">
      <w:pPr>
        <w:tabs>
          <w:tab w:val="left" w:pos="8640"/>
        </w:tabs>
        <w:ind w:left="720"/>
        <w:rPr>
          <w:rFonts w:ascii="Verdana" w:hAnsi="Verdana"/>
          <w:sz w:val="20"/>
          <w:lang w:val="es-CR"/>
        </w:rPr>
      </w:pPr>
      <w:r w:rsidRPr="00D869E3">
        <w:rPr>
          <w:rFonts w:ascii="Verdana" w:hAnsi="Verdana"/>
          <w:sz w:val="20"/>
          <w:lang w:val="es-CR"/>
        </w:rPr>
        <w:t xml:space="preserve">  </w:t>
      </w:r>
      <w:proofErr w:type="spellStart"/>
      <w:r w:rsidRPr="00D869E3">
        <w:rPr>
          <w:rFonts w:ascii="Verdana" w:hAnsi="Verdana"/>
          <w:sz w:val="20"/>
          <w:lang w:val="es-CR"/>
        </w:rPr>
        <w:t>Secretar</w:t>
      </w:r>
      <w:r w:rsidR="00003343" w:rsidRPr="00D869E3">
        <w:rPr>
          <w:rFonts w:ascii="Verdana" w:hAnsi="Verdana"/>
          <w:sz w:val="20"/>
          <w:lang w:val="es-CR"/>
        </w:rPr>
        <w:t>y</w:t>
      </w:r>
      <w:proofErr w:type="spellEnd"/>
    </w:p>
    <w:p w14:paraId="6643D0EB" w14:textId="77777777" w:rsidR="0060277E" w:rsidRPr="00D869E3" w:rsidRDefault="0060277E" w:rsidP="0060277E">
      <w:pPr>
        <w:tabs>
          <w:tab w:val="left" w:pos="8640"/>
        </w:tabs>
        <w:ind w:left="720"/>
        <w:rPr>
          <w:rFonts w:ascii="Verdana" w:hAnsi="Verdana"/>
          <w:sz w:val="20"/>
          <w:lang w:val="es-CR"/>
        </w:rPr>
      </w:pPr>
    </w:p>
    <w:p w14:paraId="352D4674" w14:textId="77777777" w:rsidR="00F83E8F" w:rsidRPr="00D869E3" w:rsidRDefault="00F83E8F" w:rsidP="0060277E">
      <w:pPr>
        <w:tabs>
          <w:tab w:val="left" w:pos="8640"/>
        </w:tabs>
        <w:ind w:left="720"/>
        <w:rPr>
          <w:rFonts w:ascii="Verdana" w:hAnsi="Verdana"/>
          <w:sz w:val="20"/>
          <w:lang w:val="es-CR"/>
        </w:rPr>
        <w:sectPr w:rsidR="00F83E8F" w:rsidRPr="00D869E3" w:rsidSect="00957B44">
          <w:headerReference w:type="default" r:id="rId11"/>
          <w:pgSz w:w="12240" w:h="15840" w:code="1"/>
          <w:pgMar w:top="1247" w:right="1247" w:bottom="1247" w:left="1247" w:header="709" w:footer="709" w:gutter="0"/>
          <w:cols w:space="708"/>
          <w:titlePg/>
          <w:docGrid w:linePitch="360"/>
        </w:sectPr>
      </w:pPr>
    </w:p>
    <w:p w14:paraId="54BDDBA4" w14:textId="77777777" w:rsidR="00F83E8F" w:rsidRPr="00D869E3" w:rsidRDefault="00F83E8F" w:rsidP="00F83E8F">
      <w:pPr>
        <w:jc w:val="both"/>
        <w:outlineLvl w:val="0"/>
        <w:rPr>
          <w:rFonts w:ascii="Verdana" w:eastAsia="Verdana" w:hAnsi="Verdana" w:cs="Verdana"/>
          <w:b/>
          <w:bCs/>
          <w:szCs w:val="20"/>
          <w:lang w:val="es-CR"/>
        </w:rPr>
      </w:pPr>
    </w:p>
    <w:p w14:paraId="12A00975" w14:textId="77777777" w:rsidR="00F83E8F" w:rsidRPr="00D869E3" w:rsidRDefault="00F83E8F" w:rsidP="00F83E8F">
      <w:pPr>
        <w:outlineLvl w:val="0"/>
        <w:rPr>
          <w:rFonts w:ascii="Verdana" w:eastAsia="Verdana" w:hAnsi="Verdana" w:cs="Verdana"/>
          <w:b/>
          <w:bCs/>
          <w:szCs w:val="20"/>
          <w:lang w:val="es-CR"/>
        </w:rPr>
      </w:pPr>
    </w:p>
    <w:p w14:paraId="2097900B" w14:textId="62A60731" w:rsidR="00F83E8F" w:rsidRPr="00D869E3" w:rsidRDefault="00715661" w:rsidP="00F83E8F">
      <w:pPr>
        <w:jc w:val="center"/>
        <w:outlineLvl w:val="0"/>
        <w:rPr>
          <w:rFonts w:ascii="Verdana" w:eastAsia="Verdana" w:hAnsi="Verdana" w:cs="Verdana"/>
          <w:b/>
          <w:bCs/>
          <w:lang w:val="es-CR"/>
        </w:rPr>
      </w:pPr>
      <w:bookmarkStart w:id="77" w:name="_Toc29114164"/>
      <w:r w:rsidRPr="00D869E3">
        <w:rPr>
          <w:rFonts w:ascii="Verdana" w:eastAsia="Verdana" w:hAnsi="Verdana" w:cs="Verdana"/>
          <w:b/>
          <w:bCs/>
          <w:lang w:val="es-CR"/>
        </w:rPr>
        <w:t>SEPARATE OPINION OF JUDGE</w:t>
      </w:r>
      <w:r w:rsidR="00F83E8F" w:rsidRPr="00D869E3">
        <w:rPr>
          <w:rFonts w:ascii="Verdana" w:eastAsia="Verdana" w:hAnsi="Verdana" w:cs="Verdana"/>
          <w:b/>
          <w:bCs/>
          <w:lang w:val="es-CR"/>
        </w:rPr>
        <w:t xml:space="preserve"> ROBERTO F. CALDAS</w:t>
      </w:r>
      <w:bookmarkEnd w:id="77"/>
    </w:p>
    <w:p w14:paraId="717DB4DC" w14:textId="77777777" w:rsidR="00F83E8F" w:rsidRPr="00D869E3" w:rsidRDefault="00F83E8F" w:rsidP="00F83E8F">
      <w:pPr>
        <w:jc w:val="center"/>
        <w:outlineLvl w:val="0"/>
        <w:rPr>
          <w:rFonts w:ascii="Verdana" w:hAnsi="Verdana"/>
          <w:lang w:val="es-CR"/>
        </w:rPr>
      </w:pPr>
    </w:p>
    <w:p w14:paraId="7E9044F8" w14:textId="5C1BC0E7" w:rsidR="00F83E8F" w:rsidRPr="00D869E3" w:rsidRDefault="00715661" w:rsidP="00F83E8F">
      <w:pPr>
        <w:jc w:val="center"/>
        <w:outlineLvl w:val="0"/>
        <w:rPr>
          <w:rFonts w:ascii="Verdana" w:eastAsia="Verdana" w:hAnsi="Verdana" w:cs="Verdana"/>
          <w:b/>
          <w:bCs/>
          <w:lang w:val="en-US"/>
        </w:rPr>
      </w:pPr>
      <w:bookmarkStart w:id="78" w:name="_Toc29114165"/>
      <w:r w:rsidRPr="00D869E3">
        <w:rPr>
          <w:rFonts w:ascii="Verdana" w:eastAsia="Verdana" w:hAnsi="Verdana" w:cs="Verdana"/>
          <w:b/>
          <w:bCs/>
          <w:lang w:val="en-US"/>
        </w:rPr>
        <w:t xml:space="preserve">INTER-AMERICAN COURT OF HUMAN </w:t>
      </w:r>
      <w:r w:rsidR="00B443B4" w:rsidRPr="00D869E3">
        <w:rPr>
          <w:rFonts w:ascii="Verdana" w:eastAsia="Verdana" w:hAnsi="Verdana" w:cs="Verdana"/>
          <w:b/>
          <w:bCs/>
          <w:lang w:val="en-US"/>
        </w:rPr>
        <w:t>RIGHTS</w:t>
      </w:r>
      <w:bookmarkEnd w:id="78"/>
    </w:p>
    <w:p w14:paraId="7FB2D141" w14:textId="77777777" w:rsidR="00F83E8F" w:rsidRPr="00D869E3" w:rsidRDefault="00F83E8F" w:rsidP="00F83E8F">
      <w:pPr>
        <w:jc w:val="center"/>
        <w:outlineLvl w:val="0"/>
        <w:rPr>
          <w:rFonts w:ascii="Verdana" w:hAnsi="Verdana"/>
          <w:lang w:val="en-US"/>
        </w:rPr>
      </w:pPr>
    </w:p>
    <w:p w14:paraId="0A12B1DD" w14:textId="49E2B298" w:rsidR="00F83E8F" w:rsidRPr="00D869E3" w:rsidRDefault="00F83E8F" w:rsidP="00F83E8F">
      <w:pPr>
        <w:ind w:hanging="1418"/>
        <w:jc w:val="center"/>
        <w:outlineLvl w:val="0"/>
        <w:rPr>
          <w:rFonts w:ascii="Verdana" w:hAnsi="Verdana"/>
          <w:lang w:val="es-CR"/>
        </w:rPr>
      </w:pPr>
      <w:bookmarkStart w:id="79" w:name="_Toc29114166"/>
      <w:r w:rsidRPr="00D869E3">
        <w:rPr>
          <w:rFonts w:ascii="Verdana" w:hAnsi="Verdana"/>
          <w:b/>
          <w:bCs/>
          <w:lang w:val="es-CR"/>
        </w:rPr>
        <w:t>CAS</w:t>
      </w:r>
      <w:r w:rsidR="00715661" w:rsidRPr="00D869E3">
        <w:rPr>
          <w:rFonts w:ascii="Verdana" w:hAnsi="Verdana"/>
          <w:b/>
          <w:bCs/>
          <w:lang w:val="es-CR"/>
        </w:rPr>
        <w:t>E OF</w:t>
      </w:r>
      <w:r w:rsidRPr="00D869E3">
        <w:rPr>
          <w:rFonts w:ascii="Verdana" w:hAnsi="Verdana"/>
          <w:b/>
          <w:bCs/>
          <w:lang w:val="es-CR"/>
        </w:rPr>
        <w:t xml:space="preserve"> LAGOS DEL CAMPO </w:t>
      </w:r>
      <w:r w:rsidR="00715661" w:rsidRPr="00D869E3">
        <w:rPr>
          <w:rFonts w:ascii="Verdana" w:hAnsi="Verdana"/>
          <w:b/>
          <w:bCs/>
          <w:i/>
          <w:iCs/>
          <w:lang w:val="es-CR"/>
        </w:rPr>
        <w:t>v</w:t>
      </w:r>
      <w:r w:rsidR="00447C65" w:rsidRPr="00D869E3">
        <w:rPr>
          <w:rFonts w:ascii="Verdana" w:hAnsi="Verdana"/>
          <w:b/>
          <w:bCs/>
          <w:i/>
          <w:iCs/>
          <w:lang w:val="es-CR"/>
        </w:rPr>
        <w:t>.</w:t>
      </w:r>
      <w:r w:rsidRPr="00D869E3">
        <w:rPr>
          <w:rFonts w:ascii="Verdana" w:hAnsi="Verdana"/>
          <w:b/>
          <w:bCs/>
          <w:lang w:val="es-CR"/>
        </w:rPr>
        <w:t xml:space="preserve"> PERU</w:t>
      </w:r>
      <w:bookmarkEnd w:id="79"/>
    </w:p>
    <w:p w14:paraId="0A3E1985" w14:textId="77777777" w:rsidR="00F83E8F" w:rsidRPr="00D869E3" w:rsidRDefault="00F83E8F" w:rsidP="00F83E8F">
      <w:pPr>
        <w:tabs>
          <w:tab w:val="left" w:pos="5580"/>
          <w:tab w:val="left" w:pos="6750"/>
        </w:tabs>
        <w:jc w:val="center"/>
        <w:rPr>
          <w:rFonts w:ascii="Verdana" w:hAnsi="Verdana"/>
          <w:b/>
          <w:lang w:val="es-CR"/>
        </w:rPr>
      </w:pPr>
    </w:p>
    <w:p w14:paraId="0B65B991" w14:textId="7145597D" w:rsidR="00F83E8F" w:rsidRPr="00D869E3" w:rsidRDefault="00447C65" w:rsidP="00F83E8F">
      <w:pPr>
        <w:jc w:val="center"/>
        <w:outlineLvl w:val="0"/>
        <w:rPr>
          <w:rFonts w:ascii="Verdana" w:hAnsi="Verdana"/>
          <w:b/>
          <w:lang w:val="en-US"/>
        </w:rPr>
      </w:pPr>
      <w:bookmarkStart w:id="80" w:name="_Toc29114167"/>
      <w:r w:rsidRPr="00D869E3">
        <w:rPr>
          <w:rFonts w:ascii="Verdana" w:hAnsi="Verdana"/>
          <w:b/>
          <w:lang w:val="en-US"/>
        </w:rPr>
        <w:t>JUDGMENT OF</w:t>
      </w:r>
      <w:r w:rsidR="00F83E8F" w:rsidRPr="00D869E3">
        <w:rPr>
          <w:rFonts w:ascii="Verdana" w:hAnsi="Verdana"/>
          <w:b/>
          <w:lang w:val="en-US"/>
        </w:rPr>
        <w:t xml:space="preserve"> </w:t>
      </w:r>
      <w:r w:rsidR="00715661" w:rsidRPr="00D869E3">
        <w:rPr>
          <w:rFonts w:ascii="Verdana" w:hAnsi="Verdana"/>
          <w:b/>
          <w:lang w:val="en-US"/>
        </w:rPr>
        <w:t>AUGUST</w:t>
      </w:r>
      <w:r w:rsidRPr="00D869E3">
        <w:rPr>
          <w:rFonts w:ascii="Verdana" w:hAnsi="Verdana"/>
          <w:b/>
          <w:lang w:val="en-US"/>
        </w:rPr>
        <w:t xml:space="preserve"> 31,</w:t>
      </w:r>
      <w:r w:rsidR="00F83E8F" w:rsidRPr="00D869E3">
        <w:rPr>
          <w:rFonts w:ascii="Verdana" w:hAnsi="Verdana"/>
          <w:b/>
          <w:lang w:val="en-US"/>
        </w:rPr>
        <w:t xml:space="preserve"> 2017</w:t>
      </w:r>
      <w:bookmarkEnd w:id="80"/>
    </w:p>
    <w:p w14:paraId="588CB6A2" w14:textId="648EA034" w:rsidR="00F83E8F" w:rsidRPr="00D869E3" w:rsidRDefault="00F83E8F" w:rsidP="00F83E8F">
      <w:pPr>
        <w:jc w:val="center"/>
        <w:rPr>
          <w:rFonts w:ascii="Verdana" w:hAnsi="Verdana"/>
          <w:b/>
          <w:i/>
          <w:lang w:val="en-US"/>
        </w:rPr>
      </w:pPr>
      <w:r w:rsidRPr="00D869E3">
        <w:rPr>
          <w:rFonts w:ascii="Verdana" w:hAnsi="Verdana"/>
          <w:b/>
          <w:i/>
          <w:lang w:val="en-US"/>
        </w:rPr>
        <w:t>(</w:t>
      </w:r>
      <w:r w:rsidR="00447C65" w:rsidRPr="00D869E3">
        <w:rPr>
          <w:rFonts w:ascii="Verdana" w:hAnsi="Verdana"/>
          <w:b/>
          <w:i/>
          <w:lang w:val="en-US"/>
        </w:rPr>
        <w:t>Preliminary objections, merits, reparations and costs</w:t>
      </w:r>
      <w:r w:rsidRPr="00D869E3">
        <w:rPr>
          <w:rFonts w:ascii="Verdana" w:hAnsi="Verdana"/>
          <w:b/>
          <w:i/>
          <w:lang w:val="en-US"/>
        </w:rPr>
        <w:t>)</w:t>
      </w:r>
    </w:p>
    <w:p w14:paraId="4EA4D045" w14:textId="23D6C614" w:rsidR="00715661" w:rsidRPr="00D869E3" w:rsidRDefault="00715661" w:rsidP="00F83E8F">
      <w:pPr>
        <w:jc w:val="center"/>
        <w:rPr>
          <w:rFonts w:ascii="Verdana" w:hAnsi="Verdana"/>
          <w:b/>
          <w:i/>
          <w:lang w:val="en-US"/>
        </w:rPr>
      </w:pPr>
    </w:p>
    <w:p w14:paraId="0179AD09" w14:textId="77777777" w:rsidR="00715661" w:rsidRPr="00D869E3" w:rsidRDefault="00715661" w:rsidP="00F83E8F">
      <w:pPr>
        <w:jc w:val="center"/>
        <w:rPr>
          <w:rFonts w:ascii="Verdana" w:hAnsi="Verdana"/>
          <w:b/>
          <w:i/>
          <w:lang w:val="en-US"/>
        </w:rPr>
      </w:pPr>
    </w:p>
    <w:p w14:paraId="29473F37" w14:textId="77777777" w:rsidR="00F83E8F" w:rsidRPr="00D869E3" w:rsidRDefault="00F83E8F" w:rsidP="00F83E8F">
      <w:pPr>
        <w:jc w:val="center"/>
        <w:rPr>
          <w:rFonts w:ascii="Verdana" w:hAnsi="Verdana"/>
          <w:b/>
          <w:i/>
          <w:szCs w:val="20"/>
          <w:lang w:val="en-US"/>
        </w:rPr>
      </w:pPr>
    </w:p>
    <w:p w14:paraId="2D50FD12" w14:textId="77777777" w:rsidR="00F83E8F" w:rsidRPr="00D869E3" w:rsidRDefault="00F83E8F" w:rsidP="00F83E8F">
      <w:pPr>
        <w:rPr>
          <w:rFonts w:ascii="Verdana" w:hAnsi="Verdana"/>
          <w:vanish/>
          <w:szCs w:val="20"/>
          <w:lang w:val="en-US"/>
        </w:rPr>
      </w:pPr>
    </w:p>
    <w:p w14:paraId="17095815" w14:textId="2AC27FCC" w:rsidR="00F83E8F" w:rsidRPr="00D869E3" w:rsidRDefault="00F83E8F" w:rsidP="00F83E8F">
      <w:pPr>
        <w:pStyle w:val="Prrafodelista"/>
        <w:numPr>
          <w:ilvl w:val="0"/>
          <w:numId w:val="25"/>
        </w:numPr>
        <w:ind w:left="0"/>
        <w:jc w:val="center"/>
        <w:rPr>
          <w:rFonts w:ascii="Verdana" w:hAnsi="Verdana"/>
          <w:b/>
          <w:sz w:val="20"/>
          <w:szCs w:val="20"/>
          <w:u w:val="single"/>
          <w:lang w:val="en-US"/>
        </w:rPr>
      </w:pPr>
      <w:r w:rsidRPr="00D869E3">
        <w:rPr>
          <w:rFonts w:ascii="Verdana" w:hAnsi="Verdana"/>
          <w:b/>
          <w:sz w:val="20"/>
          <w:szCs w:val="20"/>
          <w:u w:val="single"/>
          <w:lang w:val="en-US"/>
        </w:rPr>
        <w:t>Introduc</w:t>
      </w:r>
      <w:r w:rsidR="00715661" w:rsidRPr="00D869E3">
        <w:rPr>
          <w:rFonts w:ascii="Verdana" w:hAnsi="Verdana"/>
          <w:b/>
          <w:sz w:val="20"/>
          <w:szCs w:val="20"/>
          <w:u w:val="single"/>
          <w:lang w:val="en-US"/>
        </w:rPr>
        <w:t>tion and relevance of the judgment</w:t>
      </w:r>
    </w:p>
    <w:p w14:paraId="5C84EE7A" w14:textId="77777777" w:rsidR="00F83E8F" w:rsidRPr="00D869E3" w:rsidRDefault="00F83E8F" w:rsidP="00F83E8F">
      <w:pPr>
        <w:pStyle w:val="Prrafodelista"/>
        <w:ind w:left="0"/>
        <w:rPr>
          <w:rFonts w:ascii="Verdana" w:hAnsi="Verdana"/>
          <w:b/>
          <w:sz w:val="20"/>
          <w:szCs w:val="20"/>
          <w:u w:val="single"/>
          <w:lang w:val="en-US"/>
        </w:rPr>
      </w:pPr>
    </w:p>
    <w:p w14:paraId="17E83909" w14:textId="7F163A32" w:rsidR="00707ADC" w:rsidRPr="00D869E3" w:rsidRDefault="00715661" w:rsidP="00707ADC">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This is a historic decision that represents an important step forward in case law</w:t>
      </w:r>
      <w:r w:rsidR="00356FC4" w:rsidRPr="00D869E3">
        <w:rPr>
          <w:rFonts w:ascii="Verdana" w:hAnsi="Verdana"/>
          <w:sz w:val="20"/>
          <w:szCs w:val="20"/>
          <w:lang w:val="en-US"/>
        </w:rPr>
        <w:t>.</w:t>
      </w:r>
      <w:r w:rsidR="00707ADC" w:rsidRPr="00D869E3">
        <w:rPr>
          <w:rFonts w:ascii="Verdana" w:hAnsi="Verdana"/>
          <w:sz w:val="20"/>
          <w:szCs w:val="20"/>
          <w:lang w:val="en-US"/>
        </w:rPr>
        <w:t xml:space="preserve"> </w:t>
      </w:r>
      <w:r w:rsidR="00356FC4" w:rsidRPr="00D869E3">
        <w:rPr>
          <w:rFonts w:ascii="Verdana" w:hAnsi="Verdana"/>
          <w:sz w:val="20"/>
          <w:szCs w:val="20"/>
          <w:lang w:val="en-US"/>
        </w:rPr>
        <w:t>E</w:t>
      </w:r>
      <w:r w:rsidR="00707ADC" w:rsidRPr="00D869E3">
        <w:rPr>
          <w:rFonts w:ascii="Verdana" w:hAnsi="Verdana"/>
          <w:sz w:val="20"/>
          <w:szCs w:val="20"/>
          <w:lang w:val="en-US"/>
        </w:rPr>
        <w:t>ven though it has taken time</w:t>
      </w:r>
      <w:r w:rsidR="00356FC4" w:rsidRPr="00D869E3">
        <w:rPr>
          <w:rFonts w:ascii="Verdana" w:hAnsi="Verdana"/>
          <w:sz w:val="20"/>
          <w:szCs w:val="20"/>
          <w:lang w:val="en-US"/>
        </w:rPr>
        <w:t>, it</w:t>
      </w:r>
      <w:r w:rsidR="00707ADC" w:rsidRPr="00D869E3">
        <w:rPr>
          <w:rFonts w:ascii="Verdana" w:hAnsi="Verdana"/>
          <w:sz w:val="20"/>
          <w:szCs w:val="20"/>
          <w:lang w:val="en-US"/>
        </w:rPr>
        <w:t xml:space="preserve"> </w:t>
      </w:r>
      <w:r w:rsidR="00356FC4" w:rsidRPr="00D869E3">
        <w:rPr>
          <w:rFonts w:ascii="Verdana" w:hAnsi="Verdana"/>
          <w:sz w:val="20"/>
          <w:szCs w:val="20"/>
          <w:lang w:val="en-US"/>
        </w:rPr>
        <w:t xml:space="preserve">is a step </w:t>
      </w:r>
      <w:r w:rsidR="00F30F3C" w:rsidRPr="00D869E3">
        <w:rPr>
          <w:rFonts w:ascii="Verdana" w:hAnsi="Verdana"/>
          <w:sz w:val="20"/>
          <w:szCs w:val="20"/>
          <w:lang w:val="en-US"/>
        </w:rPr>
        <w:t>with regard to</w:t>
      </w:r>
      <w:r w:rsidR="00707ADC" w:rsidRPr="00D869E3">
        <w:rPr>
          <w:rFonts w:ascii="Verdana" w:hAnsi="Verdana"/>
          <w:sz w:val="20"/>
          <w:szCs w:val="20"/>
          <w:lang w:val="en-US"/>
        </w:rPr>
        <w:t xml:space="preserve"> the justiciability of the economic, social, cultural and environmental rights (hereinafter “the ESCER”)</w:t>
      </w:r>
      <w:r w:rsidR="00F83E8F" w:rsidRPr="00D869E3">
        <w:rPr>
          <w:rStyle w:val="Refdenotaalpie"/>
          <w:lang w:val="en-US"/>
        </w:rPr>
        <w:footnoteReference w:id="280"/>
      </w:r>
      <w:r w:rsidR="00356FC4" w:rsidRPr="00D869E3">
        <w:rPr>
          <w:rFonts w:ascii="Verdana" w:hAnsi="Verdana"/>
          <w:sz w:val="20"/>
          <w:szCs w:val="20"/>
          <w:lang w:val="en-US"/>
        </w:rPr>
        <w:t xml:space="preserve"> that has been duly studied, reflected on, weighed and worked on over many years</w:t>
      </w:r>
      <w:r w:rsidR="00F83E8F" w:rsidRPr="00D869E3">
        <w:rPr>
          <w:rFonts w:ascii="Verdana" w:hAnsi="Verdana"/>
          <w:sz w:val="20"/>
          <w:szCs w:val="20"/>
          <w:lang w:val="en-US"/>
        </w:rPr>
        <w:t xml:space="preserve"> </w:t>
      </w:r>
      <w:r w:rsidR="00707ADC" w:rsidRPr="00D869E3">
        <w:rPr>
          <w:rFonts w:ascii="Verdana" w:hAnsi="Verdana"/>
          <w:sz w:val="20"/>
          <w:szCs w:val="20"/>
          <w:lang w:val="en-US"/>
        </w:rPr>
        <w:t xml:space="preserve">by diverse panels of judges of this Court </w:t>
      </w:r>
      <w:r w:rsidR="00356FC4" w:rsidRPr="00D869E3">
        <w:rPr>
          <w:rFonts w:ascii="Verdana" w:hAnsi="Verdana"/>
          <w:sz w:val="20"/>
          <w:szCs w:val="20"/>
          <w:lang w:val="en-US"/>
        </w:rPr>
        <w:t>in</w:t>
      </w:r>
      <w:r w:rsidR="00707ADC" w:rsidRPr="00D869E3">
        <w:rPr>
          <w:rFonts w:ascii="Verdana" w:hAnsi="Verdana"/>
          <w:sz w:val="20"/>
          <w:szCs w:val="20"/>
          <w:lang w:val="en-US"/>
        </w:rPr>
        <w:t xml:space="preserve"> San José, </w:t>
      </w:r>
      <w:r w:rsidR="00356FC4" w:rsidRPr="00D869E3">
        <w:rPr>
          <w:rFonts w:ascii="Verdana" w:hAnsi="Verdana"/>
          <w:sz w:val="20"/>
          <w:szCs w:val="20"/>
          <w:lang w:val="en-US"/>
        </w:rPr>
        <w:t>as has</w:t>
      </w:r>
      <w:r w:rsidR="00707ADC" w:rsidRPr="00D869E3">
        <w:rPr>
          <w:rFonts w:ascii="Verdana" w:hAnsi="Verdana"/>
          <w:sz w:val="20"/>
          <w:szCs w:val="20"/>
          <w:lang w:val="en-US"/>
        </w:rPr>
        <w:t xml:space="preserve"> th</w:t>
      </w:r>
      <w:r w:rsidR="00356FC4" w:rsidRPr="00D869E3">
        <w:rPr>
          <w:rFonts w:ascii="Verdana" w:hAnsi="Verdana"/>
          <w:sz w:val="20"/>
          <w:szCs w:val="20"/>
          <w:lang w:val="en-US"/>
        </w:rPr>
        <w:t>is d</w:t>
      </w:r>
      <w:r w:rsidR="00707ADC" w:rsidRPr="00D869E3">
        <w:rPr>
          <w:rFonts w:ascii="Verdana" w:hAnsi="Verdana"/>
          <w:sz w:val="20"/>
          <w:szCs w:val="20"/>
          <w:lang w:val="en-US"/>
        </w:rPr>
        <w:t>ecision to declare, for the first time in</w:t>
      </w:r>
      <w:r w:rsidR="00356FC4" w:rsidRPr="00D869E3">
        <w:rPr>
          <w:rFonts w:ascii="Verdana" w:hAnsi="Verdana"/>
          <w:sz w:val="20"/>
          <w:szCs w:val="20"/>
          <w:lang w:val="en-US"/>
        </w:rPr>
        <w:t xml:space="preserve"> the history of</w:t>
      </w:r>
      <w:r w:rsidR="00707ADC" w:rsidRPr="00D869E3">
        <w:rPr>
          <w:rFonts w:ascii="Verdana" w:hAnsi="Verdana"/>
          <w:sz w:val="20"/>
          <w:szCs w:val="20"/>
          <w:lang w:val="en-US"/>
        </w:rPr>
        <w:t xml:space="preserve"> its case law, the violation of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 on Human Rights</w:t>
      </w:r>
      <w:r w:rsidR="00F83E8F" w:rsidRPr="00D869E3">
        <w:rPr>
          <w:rFonts w:ascii="Verdana" w:hAnsi="Verdana" w:cs="System Font Regular"/>
          <w:sz w:val="20"/>
          <w:szCs w:val="20"/>
          <w:lang w:val="en-US"/>
        </w:rPr>
        <w:t xml:space="preserve"> </w:t>
      </w:r>
      <w:r w:rsidR="00F83E8F" w:rsidRPr="00D869E3">
        <w:rPr>
          <w:rFonts w:ascii="Verdana" w:hAnsi="Verdana"/>
          <w:sz w:val="20"/>
          <w:szCs w:val="20"/>
          <w:lang w:val="en-US"/>
        </w:rPr>
        <w:t>(</w:t>
      </w:r>
      <w:r w:rsidR="00447C65" w:rsidRPr="00D869E3">
        <w:rPr>
          <w:rFonts w:ascii="Verdana" w:hAnsi="Verdana"/>
          <w:sz w:val="20"/>
          <w:szCs w:val="20"/>
          <w:lang w:val="en-US"/>
        </w:rPr>
        <w:t>hereinafter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447C65" w:rsidRPr="00D869E3">
        <w:rPr>
          <w:rFonts w:ascii="Verdana" w:hAnsi="Verdana"/>
          <w:sz w:val="20"/>
          <w:szCs w:val="20"/>
          <w:lang w:val="en-US"/>
        </w:rPr>
        <w:t>the Convention</w:t>
      </w:r>
      <w:r w:rsidR="006436CA" w:rsidRPr="00D869E3">
        <w:rPr>
          <w:rFonts w:ascii="Verdana" w:hAnsi="Verdana"/>
          <w:sz w:val="20"/>
          <w:szCs w:val="20"/>
          <w:lang w:val="en-US"/>
        </w:rPr>
        <w:t>”</w:t>
      </w:r>
      <w:r w:rsidR="00F83E8F" w:rsidRPr="00D869E3">
        <w:rPr>
          <w:rFonts w:ascii="Verdana" w:hAnsi="Verdana"/>
          <w:sz w:val="20"/>
          <w:szCs w:val="20"/>
          <w:lang w:val="en-US"/>
        </w:rPr>
        <w:t xml:space="preserve"> o</w:t>
      </w:r>
      <w:r w:rsidR="00707ADC" w:rsidRPr="00D869E3">
        <w:rPr>
          <w:rFonts w:ascii="Verdana" w:hAnsi="Verdana"/>
          <w:sz w:val="20"/>
          <w:szCs w:val="20"/>
          <w:lang w:val="en-US"/>
        </w:rPr>
        <w:t>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707ADC" w:rsidRPr="00D869E3">
        <w:rPr>
          <w:rFonts w:ascii="Verdana" w:hAnsi="Verdana"/>
          <w:sz w:val="20"/>
          <w:szCs w:val="20"/>
          <w:lang w:val="en-US"/>
        </w:rPr>
        <w:t>the ACHR</w:t>
      </w:r>
      <w:r w:rsidR="006436CA" w:rsidRPr="00D869E3">
        <w:rPr>
          <w:rFonts w:ascii="Verdana" w:hAnsi="Verdana"/>
          <w:sz w:val="20"/>
          <w:szCs w:val="20"/>
          <w:lang w:val="en-US"/>
        </w:rPr>
        <w:t>”</w:t>
      </w:r>
      <w:r w:rsidR="00F83E8F" w:rsidRPr="00D869E3">
        <w:rPr>
          <w:rFonts w:ascii="Verdana" w:hAnsi="Verdana"/>
          <w:sz w:val="20"/>
          <w:szCs w:val="20"/>
          <w:lang w:val="en-US"/>
        </w:rPr>
        <w:t xml:space="preserve">). </w:t>
      </w:r>
      <w:r w:rsidR="00707ADC" w:rsidRPr="00D869E3">
        <w:rPr>
          <w:rFonts w:ascii="Verdana" w:hAnsi="Verdana"/>
          <w:sz w:val="20"/>
          <w:szCs w:val="20"/>
          <w:lang w:val="en-US"/>
        </w:rPr>
        <w:t xml:space="preserve">This decision has been taken in such a mature and deliberate manner that I find it important to reflect on the </w:t>
      </w:r>
      <w:r w:rsidR="00356FC4" w:rsidRPr="00D869E3">
        <w:rPr>
          <w:rFonts w:ascii="Verdana" w:hAnsi="Verdana"/>
          <w:sz w:val="20"/>
          <w:szCs w:val="20"/>
          <w:lang w:val="en-US"/>
        </w:rPr>
        <w:t>combined</w:t>
      </w:r>
      <w:r w:rsidR="00707ADC" w:rsidRPr="00D869E3">
        <w:rPr>
          <w:rFonts w:ascii="Verdana" w:hAnsi="Verdana"/>
          <w:sz w:val="20"/>
          <w:szCs w:val="20"/>
          <w:lang w:val="en-US"/>
        </w:rPr>
        <w:t xml:space="preserve"> </w:t>
      </w:r>
      <w:r w:rsidR="00356FC4" w:rsidRPr="00D869E3">
        <w:rPr>
          <w:rFonts w:ascii="Verdana" w:hAnsi="Verdana"/>
          <w:sz w:val="20"/>
          <w:szCs w:val="20"/>
          <w:lang w:val="en-US"/>
        </w:rPr>
        <w:t>strength</w:t>
      </w:r>
      <w:r w:rsidR="00707ADC" w:rsidRPr="00D869E3">
        <w:rPr>
          <w:rFonts w:ascii="Verdana" w:hAnsi="Verdana"/>
          <w:sz w:val="20"/>
          <w:szCs w:val="20"/>
          <w:lang w:val="en-US"/>
        </w:rPr>
        <w:t xml:space="preserve"> of all the panels of judges that have now reached the same conclusion. </w:t>
      </w:r>
      <w:r w:rsidR="00356FC4" w:rsidRPr="00D869E3">
        <w:rPr>
          <w:rFonts w:ascii="Verdana" w:hAnsi="Verdana"/>
          <w:sz w:val="20"/>
          <w:szCs w:val="20"/>
          <w:lang w:val="en-US"/>
        </w:rPr>
        <w:t>Al</w:t>
      </w:r>
      <w:r w:rsidR="00707ADC" w:rsidRPr="00D869E3">
        <w:rPr>
          <w:rFonts w:ascii="Verdana" w:hAnsi="Verdana"/>
          <w:sz w:val="20"/>
          <w:szCs w:val="20"/>
          <w:lang w:val="en-US"/>
        </w:rPr>
        <w:t>though a significant majority</w:t>
      </w:r>
      <w:r w:rsidR="00356FC4" w:rsidRPr="00D869E3">
        <w:rPr>
          <w:rFonts w:ascii="Verdana" w:hAnsi="Verdana"/>
          <w:sz w:val="20"/>
          <w:szCs w:val="20"/>
          <w:lang w:val="en-US"/>
        </w:rPr>
        <w:t xml:space="preserve"> of the Court</w:t>
      </w:r>
      <w:r w:rsidR="00707ADC" w:rsidRPr="00D869E3">
        <w:rPr>
          <w:rFonts w:ascii="Verdana" w:hAnsi="Verdana"/>
          <w:sz w:val="20"/>
          <w:szCs w:val="20"/>
          <w:lang w:val="en-US"/>
        </w:rPr>
        <w:t xml:space="preserve"> voted in favor (five votes to two), we believe that it will still take some time to achieve the always desirable unanimity owing to the different </w:t>
      </w:r>
      <w:r w:rsidR="00356FC4" w:rsidRPr="00D869E3">
        <w:rPr>
          <w:rFonts w:ascii="Verdana" w:hAnsi="Verdana"/>
          <w:sz w:val="20"/>
          <w:szCs w:val="20"/>
          <w:lang w:val="en-US"/>
        </w:rPr>
        <w:t>backgrounds</w:t>
      </w:r>
      <w:r w:rsidR="00707ADC" w:rsidRPr="00D869E3">
        <w:rPr>
          <w:rFonts w:ascii="Verdana" w:hAnsi="Verdana"/>
          <w:sz w:val="20"/>
          <w:szCs w:val="20"/>
          <w:lang w:val="en-US"/>
        </w:rPr>
        <w:t xml:space="preserve"> or national experiences.  </w:t>
      </w:r>
    </w:p>
    <w:p w14:paraId="6E74CF36" w14:textId="77777777" w:rsidR="00F83E8F" w:rsidRPr="00D869E3" w:rsidRDefault="00F83E8F" w:rsidP="00F83E8F">
      <w:pPr>
        <w:pStyle w:val="Prrafodelista"/>
        <w:ind w:left="0"/>
        <w:jc w:val="both"/>
        <w:rPr>
          <w:rFonts w:ascii="Verdana" w:hAnsi="Verdana"/>
          <w:sz w:val="20"/>
          <w:szCs w:val="20"/>
          <w:lang w:val="en-US"/>
        </w:rPr>
      </w:pPr>
    </w:p>
    <w:p w14:paraId="123E38B1" w14:textId="29D1A604" w:rsidR="00F83E8F" w:rsidRPr="00D869E3" w:rsidRDefault="00707ADC" w:rsidP="00707ADC">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 xml:space="preserve">However, it should be clearly understood that </w:t>
      </w:r>
      <w:r w:rsidR="00447C65" w:rsidRPr="00D869E3">
        <w:rPr>
          <w:rFonts w:ascii="Verdana" w:hAnsi="Verdana"/>
          <w:sz w:val="20"/>
          <w:szCs w:val="20"/>
          <w:lang w:val="en-US"/>
        </w:rPr>
        <w:t>the Inter-American Court</w:t>
      </w:r>
      <w:r w:rsidRPr="00D869E3">
        <w:rPr>
          <w:rFonts w:ascii="Verdana" w:hAnsi="Verdana"/>
          <w:sz w:val="20"/>
          <w:szCs w:val="20"/>
          <w:lang w:val="en-US"/>
        </w:rPr>
        <w:t xml:space="preserve"> has been protecting the ESCER for many years. The Court</w:t>
      </w:r>
      <w:r w:rsidR="00F708AE" w:rsidRPr="00D869E3">
        <w:rPr>
          <w:rFonts w:ascii="Verdana" w:hAnsi="Verdana"/>
          <w:sz w:val="20"/>
          <w:szCs w:val="20"/>
          <w:lang w:val="en-US"/>
        </w:rPr>
        <w:t xml:space="preserve"> has been doing </w:t>
      </w:r>
      <w:r w:rsidR="00F30F3C" w:rsidRPr="00D869E3">
        <w:rPr>
          <w:rFonts w:ascii="Verdana" w:hAnsi="Verdana"/>
          <w:sz w:val="20"/>
          <w:szCs w:val="20"/>
          <w:lang w:val="en-US"/>
        </w:rPr>
        <w:t>so</w:t>
      </w:r>
      <w:r w:rsidR="00F708AE" w:rsidRPr="00D869E3">
        <w:rPr>
          <w:rFonts w:ascii="Verdana" w:hAnsi="Verdana"/>
          <w:sz w:val="20"/>
          <w:szCs w:val="20"/>
          <w:lang w:val="en-US"/>
        </w:rPr>
        <w:t xml:space="preserve"> </w:t>
      </w:r>
      <w:r w:rsidR="00F30F3C" w:rsidRPr="00D869E3">
        <w:rPr>
          <w:rFonts w:ascii="Verdana" w:hAnsi="Verdana"/>
          <w:sz w:val="20"/>
          <w:szCs w:val="20"/>
          <w:lang w:val="en-US"/>
        </w:rPr>
        <w:t>by considering the respective ESCER</w:t>
      </w:r>
      <w:r w:rsidR="00F708AE" w:rsidRPr="00D869E3">
        <w:rPr>
          <w:rFonts w:ascii="Verdana" w:hAnsi="Verdana"/>
          <w:sz w:val="20"/>
          <w:szCs w:val="20"/>
          <w:lang w:val="en-US"/>
        </w:rPr>
        <w:t xml:space="preserve"> a secondary or indirect right of a civil or political right, when in many cases it was really the main right claimed. Thus, to date, many</w:t>
      </w:r>
      <w:r w:rsidR="00F30F3C" w:rsidRPr="00D869E3">
        <w:rPr>
          <w:rFonts w:ascii="Verdana" w:hAnsi="Verdana"/>
          <w:sz w:val="20"/>
          <w:szCs w:val="20"/>
          <w:lang w:val="en-US"/>
        </w:rPr>
        <w:t xml:space="preserve"> people</w:t>
      </w:r>
      <w:r w:rsidR="00F708AE" w:rsidRPr="00D869E3">
        <w:rPr>
          <w:rFonts w:ascii="Verdana" w:hAnsi="Verdana"/>
          <w:sz w:val="20"/>
          <w:szCs w:val="20"/>
          <w:lang w:val="en-US"/>
        </w:rPr>
        <w:t>, including jurists, consider</w:t>
      </w:r>
      <w:r w:rsidR="00F30F3C" w:rsidRPr="00D869E3">
        <w:rPr>
          <w:rFonts w:ascii="Verdana" w:hAnsi="Verdana"/>
          <w:sz w:val="20"/>
          <w:szCs w:val="20"/>
          <w:lang w:val="en-US"/>
        </w:rPr>
        <w:t>ed</w:t>
      </w:r>
      <w:r w:rsidR="00F708AE" w:rsidRPr="00D869E3">
        <w:rPr>
          <w:rFonts w:ascii="Verdana" w:hAnsi="Verdana"/>
          <w:sz w:val="20"/>
          <w:szCs w:val="20"/>
          <w:lang w:val="en-US"/>
        </w:rPr>
        <w:t xml:space="preserve"> that there was no point in submitting a direct petition on the ESCER to </w:t>
      </w:r>
      <w:r w:rsidR="00671B14" w:rsidRPr="00D869E3">
        <w:rPr>
          <w:rFonts w:ascii="Verdana" w:hAnsi="Verdana"/>
          <w:sz w:val="20"/>
          <w:szCs w:val="20"/>
          <w:lang w:val="en-US"/>
        </w:rPr>
        <w:t>the inter-American system</w:t>
      </w:r>
      <w:r w:rsidR="00F83E8F" w:rsidRPr="00D869E3">
        <w:rPr>
          <w:rFonts w:ascii="Verdana" w:hAnsi="Verdana"/>
          <w:sz w:val="20"/>
          <w:szCs w:val="20"/>
          <w:lang w:val="en-US"/>
        </w:rPr>
        <w:t xml:space="preserve">. </w:t>
      </w:r>
    </w:p>
    <w:p w14:paraId="78118B54" w14:textId="77777777" w:rsidR="00F83E8F" w:rsidRPr="00D869E3" w:rsidRDefault="00F83E8F" w:rsidP="00F83E8F">
      <w:pPr>
        <w:pStyle w:val="Prrafodelista"/>
        <w:ind w:left="0"/>
        <w:jc w:val="both"/>
        <w:rPr>
          <w:rFonts w:ascii="Verdana" w:hAnsi="Verdana"/>
          <w:sz w:val="20"/>
          <w:szCs w:val="20"/>
          <w:lang w:val="en-US"/>
        </w:rPr>
      </w:pPr>
    </w:p>
    <w:p w14:paraId="541B1C16" w14:textId="0E7669B3" w:rsidR="00F83E8F" w:rsidRPr="00D869E3" w:rsidRDefault="00F708AE" w:rsidP="00F83E8F">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 xml:space="preserve">By this separate opinion, in which I </w:t>
      </w:r>
      <w:r w:rsidR="00F30F3C" w:rsidRPr="00D869E3">
        <w:rPr>
          <w:rFonts w:ascii="Verdana" w:hAnsi="Verdana"/>
          <w:sz w:val="20"/>
          <w:szCs w:val="20"/>
          <w:lang w:val="en-US"/>
        </w:rPr>
        <w:t xml:space="preserve">fully </w:t>
      </w:r>
      <w:r w:rsidRPr="00D869E3">
        <w:rPr>
          <w:rFonts w:ascii="Verdana" w:hAnsi="Verdana"/>
          <w:sz w:val="20"/>
          <w:szCs w:val="20"/>
          <w:lang w:val="en-US"/>
        </w:rPr>
        <w:t xml:space="preserve">share the conclusions reached by this Inter-American Court of </w:t>
      </w:r>
      <w:r w:rsidR="00B443B4" w:rsidRPr="00D869E3">
        <w:rPr>
          <w:rFonts w:ascii="Verdana" w:hAnsi="Verdana"/>
          <w:sz w:val="20"/>
          <w:szCs w:val="20"/>
          <w:lang w:val="en-US"/>
        </w:rPr>
        <w:t xml:space="preserve">Human </w:t>
      </w:r>
      <w:r w:rsidRPr="00D869E3">
        <w:rPr>
          <w:rFonts w:ascii="Verdana" w:hAnsi="Verdana"/>
          <w:sz w:val="20"/>
          <w:szCs w:val="20"/>
          <w:lang w:val="en-US"/>
        </w:rPr>
        <w:t>R</w:t>
      </w:r>
      <w:r w:rsidR="00B443B4" w:rsidRPr="00D869E3">
        <w:rPr>
          <w:rFonts w:ascii="Verdana" w:hAnsi="Verdana"/>
          <w:sz w:val="20"/>
          <w:szCs w:val="20"/>
          <w:lang w:val="en-US"/>
        </w:rPr>
        <w:t>ights</w:t>
      </w:r>
      <w:r w:rsidR="00F83E8F" w:rsidRPr="00D869E3">
        <w:rPr>
          <w:rFonts w:ascii="Verdana" w:hAnsi="Verdana"/>
          <w:sz w:val="20"/>
          <w:szCs w:val="20"/>
          <w:lang w:val="en-US"/>
        </w:rPr>
        <w:t xml:space="preserve"> (</w:t>
      </w:r>
      <w:r w:rsidR="00447C65" w:rsidRPr="00D869E3">
        <w:rPr>
          <w:rFonts w:ascii="Verdana" w:hAnsi="Verdana"/>
          <w:sz w:val="20"/>
          <w:szCs w:val="20"/>
          <w:lang w:val="en-US"/>
        </w:rPr>
        <w:t>hereinafter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Court</w:t>
      </w:r>
      <w:r w:rsidR="006436CA" w:rsidRPr="00D869E3">
        <w:rPr>
          <w:rFonts w:ascii="Verdana" w:hAnsi="Verdana"/>
          <w:sz w:val="20"/>
          <w:szCs w:val="20"/>
          <w:lang w:val="en-US"/>
        </w:rPr>
        <w:t>”</w:t>
      </w:r>
      <w:r w:rsidR="00F83E8F" w:rsidRPr="00D869E3">
        <w:rPr>
          <w:rFonts w:ascii="Verdana" w:hAnsi="Verdana"/>
          <w:sz w:val="20"/>
          <w:szCs w:val="20"/>
          <w:lang w:val="en-US"/>
        </w:rPr>
        <w:t>)</w:t>
      </w:r>
      <w:r w:rsidR="00687684" w:rsidRPr="00D869E3">
        <w:rPr>
          <w:rFonts w:ascii="Verdana" w:hAnsi="Verdana"/>
          <w:sz w:val="20"/>
          <w:szCs w:val="20"/>
          <w:lang w:val="en-US"/>
        </w:rPr>
        <w:t xml:space="preserve"> and </w:t>
      </w:r>
      <w:r w:rsidRPr="00D869E3">
        <w:rPr>
          <w:rFonts w:ascii="Verdana" w:hAnsi="Verdana"/>
          <w:sz w:val="20"/>
          <w:szCs w:val="20"/>
          <w:lang w:val="en-US"/>
        </w:rPr>
        <w:t xml:space="preserve">the reparations resulting from them, I express my </w:t>
      </w:r>
      <w:r w:rsidR="00F30F3C" w:rsidRPr="00D869E3">
        <w:rPr>
          <w:rFonts w:ascii="Verdana" w:hAnsi="Verdana"/>
          <w:sz w:val="20"/>
          <w:szCs w:val="20"/>
          <w:lang w:val="en-US"/>
        </w:rPr>
        <w:t>support for</w:t>
      </w:r>
      <w:r w:rsidRPr="00D869E3">
        <w:rPr>
          <w:rFonts w:ascii="Verdana" w:hAnsi="Verdana"/>
          <w:sz w:val="20"/>
          <w:szCs w:val="20"/>
          <w:lang w:val="en-US"/>
        </w:rPr>
        <w:t xml:space="preserve"> this judgment, merely differing on the issue of the breadth of a simple – but still important – procedural matter concerning the application of the </w:t>
      </w:r>
      <w:r w:rsidR="00F83E8F" w:rsidRPr="00D869E3">
        <w:rPr>
          <w:rFonts w:ascii="Verdana" w:hAnsi="Verdana"/>
          <w:i/>
          <w:sz w:val="20"/>
          <w:szCs w:val="20"/>
          <w:lang w:val="en-US"/>
        </w:rPr>
        <w:t>iura novit curi</w:t>
      </w:r>
      <w:r w:rsidR="00F83E8F" w:rsidRPr="00D869E3">
        <w:rPr>
          <w:rFonts w:ascii="Verdana" w:hAnsi="Verdana"/>
          <w:sz w:val="20"/>
          <w:szCs w:val="20"/>
          <w:lang w:val="en-US"/>
        </w:rPr>
        <w:t>a</w:t>
      </w:r>
      <w:r w:rsidRPr="00D869E3">
        <w:rPr>
          <w:rFonts w:ascii="Verdana" w:hAnsi="Verdana"/>
          <w:sz w:val="20"/>
          <w:szCs w:val="20"/>
          <w:lang w:val="en-US"/>
        </w:rPr>
        <w:t xml:space="preserve"> principle.</w:t>
      </w:r>
    </w:p>
    <w:p w14:paraId="2F115A86" w14:textId="77777777" w:rsidR="00F83E8F" w:rsidRPr="00D869E3" w:rsidRDefault="00F83E8F" w:rsidP="00F83E8F">
      <w:pPr>
        <w:pStyle w:val="Prrafodelista"/>
        <w:ind w:left="0"/>
        <w:jc w:val="both"/>
        <w:rPr>
          <w:rFonts w:ascii="Verdana" w:hAnsi="Verdana"/>
          <w:sz w:val="20"/>
          <w:szCs w:val="20"/>
          <w:lang w:val="en-US"/>
        </w:rPr>
      </w:pPr>
    </w:p>
    <w:p w14:paraId="47CA9B0C" w14:textId="30B3AB4B" w:rsidR="00F83E8F" w:rsidRPr="00D869E3" w:rsidRDefault="00F708AE" w:rsidP="00F83E8F">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 xml:space="preserve">Notwithstanding other advances </w:t>
      </w:r>
      <w:r w:rsidR="00F30F3C" w:rsidRPr="00D869E3">
        <w:rPr>
          <w:rFonts w:ascii="Verdana" w:hAnsi="Verdana"/>
          <w:sz w:val="20"/>
          <w:szCs w:val="20"/>
          <w:lang w:val="en-US"/>
        </w:rPr>
        <w:t xml:space="preserve">to be described below, </w:t>
      </w:r>
      <w:r w:rsidRPr="00D869E3">
        <w:rPr>
          <w:rFonts w:ascii="Verdana" w:hAnsi="Verdana"/>
          <w:sz w:val="20"/>
          <w:szCs w:val="20"/>
          <w:lang w:val="en-US"/>
        </w:rPr>
        <w:t>I would like to emphasize that, with this milestone judgment, the right to work and, particularly, job security, is reco</w:t>
      </w:r>
      <w:r w:rsidR="00CD528A" w:rsidRPr="00D869E3">
        <w:rPr>
          <w:rFonts w:ascii="Verdana" w:hAnsi="Verdana"/>
          <w:sz w:val="20"/>
          <w:szCs w:val="20"/>
          <w:lang w:val="en-US"/>
        </w:rPr>
        <w:t>g</w:t>
      </w:r>
      <w:r w:rsidRPr="00D869E3">
        <w:rPr>
          <w:rFonts w:ascii="Verdana" w:hAnsi="Verdana"/>
          <w:sz w:val="20"/>
          <w:szCs w:val="20"/>
          <w:lang w:val="en-US"/>
        </w:rPr>
        <w:t>nized as an autonomous righ</w:t>
      </w:r>
      <w:r w:rsidR="00F30F3C" w:rsidRPr="00D869E3">
        <w:rPr>
          <w:rFonts w:ascii="Verdana" w:hAnsi="Verdana"/>
          <w:sz w:val="20"/>
          <w:szCs w:val="20"/>
          <w:lang w:val="en-US"/>
        </w:rPr>
        <w:t>t. Thus,</w:t>
      </w:r>
      <w:r w:rsidRPr="00D869E3">
        <w:rPr>
          <w:rFonts w:ascii="Verdana" w:hAnsi="Verdana"/>
          <w:sz w:val="20"/>
          <w:szCs w:val="20"/>
          <w:lang w:val="en-US"/>
        </w:rPr>
        <w:t xml:space="preserve"> it is the first occasion </w:t>
      </w:r>
      <w:r w:rsidR="00F30F3C" w:rsidRPr="00D869E3">
        <w:rPr>
          <w:rFonts w:ascii="Verdana" w:hAnsi="Verdana"/>
          <w:sz w:val="20"/>
          <w:szCs w:val="20"/>
          <w:lang w:val="en-US"/>
        </w:rPr>
        <w:t>on which</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declar</w:t>
      </w:r>
      <w:r w:rsidR="00CD528A" w:rsidRPr="00D869E3">
        <w:rPr>
          <w:rFonts w:ascii="Verdana" w:hAnsi="Verdana"/>
          <w:sz w:val="20"/>
          <w:szCs w:val="20"/>
          <w:lang w:val="en-US"/>
        </w:rPr>
        <w:t>es</w:t>
      </w:r>
      <w:r w:rsidR="00F83E8F" w:rsidRPr="00D869E3">
        <w:rPr>
          <w:rFonts w:ascii="Verdana" w:hAnsi="Verdana"/>
          <w:sz w:val="20"/>
          <w:szCs w:val="20"/>
          <w:lang w:val="en-US"/>
        </w:rPr>
        <w:t xml:space="preserve"> </w:t>
      </w:r>
      <w:r w:rsidR="00CD528A" w:rsidRPr="00D869E3">
        <w:rPr>
          <w:rFonts w:ascii="Verdana" w:hAnsi="Verdana"/>
          <w:sz w:val="20"/>
          <w:szCs w:val="20"/>
          <w:lang w:val="en-US"/>
        </w:rPr>
        <w:t>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687684" w:rsidRPr="00D869E3">
        <w:rPr>
          <w:rFonts w:ascii="Verdana" w:hAnsi="Verdana" w:cs="System Font Regular"/>
          <w:sz w:val="20"/>
          <w:szCs w:val="20"/>
          <w:lang w:val="en-US"/>
        </w:rPr>
        <w:t xml:space="preserve"> and </w:t>
      </w:r>
      <w:r w:rsidR="00CD528A" w:rsidRPr="00D869E3">
        <w:rPr>
          <w:rFonts w:ascii="Verdana" w:hAnsi="Verdana"/>
          <w:sz w:val="20"/>
          <w:szCs w:val="20"/>
          <w:lang w:val="en-US"/>
        </w:rPr>
        <w:t>the rights derived from it are justiciable.</w:t>
      </w:r>
    </w:p>
    <w:p w14:paraId="42AB096E" w14:textId="77777777" w:rsidR="00F83E8F" w:rsidRPr="00D869E3" w:rsidRDefault="00F83E8F" w:rsidP="00F83E8F">
      <w:pPr>
        <w:pStyle w:val="Prrafodelista"/>
        <w:rPr>
          <w:rFonts w:ascii="Verdana" w:hAnsi="Verdana"/>
          <w:sz w:val="20"/>
          <w:szCs w:val="20"/>
          <w:lang w:val="en-US"/>
        </w:rPr>
      </w:pPr>
    </w:p>
    <w:p w14:paraId="36959448" w14:textId="77777777" w:rsidR="00F83E8F" w:rsidRPr="00D869E3" w:rsidRDefault="00F83E8F" w:rsidP="00F83E8F">
      <w:pPr>
        <w:pStyle w:val="Prrafodelista"/>
        <w:ind w:left="0"/>
        <w:jc w:val="both"/>
        <w:rPr>
          <w:rFonts w:ascii="Verdana" w:hAnsi="Verdana"/>
          <w:sz w:val="20"/>
          <w:szCs w:val="20"/>
          <w:lang w:val="en-US"/>
        </w:rPr>
      </w:pPr>
    </w:p>
    <w:p w14:paraId="23666766" w14:textId="349E2580" w:rsidR="00F83E8F" w:rsidRPr="00D869E3" w:rsidRDefault="001570BC" w:rsidP="001570BC">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 xml:space="preserve">I would also underscore the innovative treatment that this judgment has accorded to the different issues examined, such as the freedoms of expression and association, and access to justice, in order to guarantee </w:t>
      </w:r>
      <w:r w:rsidR="00E373CE" w:rsidRPr="00D869E3">
        <w:rPr>
          <w:rFonts w:ascii="Verdana" w:hAnsi="Verdana"/>
          <w:sz w:val="20"/>
          <w:szCs w:val="20"/>
          <w:lang w:val="en-US"/>
        </w:rPr>
        <w:t>workers’</w:t>
      </w:r>
      <w:r w:rsidRPr="00D869E3">
        <w:rPr>
          <w:rFonts w:ascii="Verdana" w:hAnsi="Verdana"/>
          <w:sz w:val="20"/>
          <w:szCs w:val="20"/>
          <w:lang w:val="en-US"/>
        </w:rPr>
        <w:t xml:space="preserve"> rights</w:t>
      </w:r>
      <w:r w:rsidR="00E373CE" w:rsidRPr="00D869E3">
        <w:rPr>
          <w:rFonts w:ascii="Verdana" w:hAnsi="Verdana"/>
          <w:sz w:val="20"/>
          <w:szCs w:val="20"/>
          <w:lang w:val="en-US"/>
        </w:rPr>
        <w:t xml:space="preserve"> </w:t>
      </w:r>
      <w:r w:rsidRPr="00D869E3">
        <w:rPr>
          <w:rFonts w:ascii="Verdana" w:hAnsi="Verdana"/>
          <w:sz w:val="20"/>
          <w:szCs w:val="20"/>
          <w:lang w:val="en-US"/>
        </w:rPr>
        <w:t>– particularly, in a case originated in the private sector – and thus effective judicial protection for such rights, the lack of which also violated the obligation to ensure the substantive rights analyzed in the judgment</w:t>
      </w:r>
      <w:r w:rsidR="00F83E8F" w:rsidRPr="00D869E3">
        <w:rPr>
          <w:rFonts w:ascii="Verdana" w:hAnsi="Verdana"/>
          <w:sz w:val="20"/>
          <w:szCs w:val="20"/>
          <w:lang w:val="en-US"/>
        </w:rPr>
        <w:t>.</w:t>
      </w:r>
    </w:p>
    <w:p w14:paraId="2A997458" w14:textId="77777777" w:rsidR="00F83E8F" w:rsidRPr="00D869E3" w:rsidRDefault="00F83E8F" w:rsidP="00F83E8F">
      <w:pPr>
        <w:pStyle w:val="Prrafodelista"/>
        <w:ind w:left="0"/>
        <w:jc w:val="both"/>
        <w:rPr>
          <w:rFonts w:ascii="Verdana" w:hAnsi="Verdana"/>
          <w:sz w:val="20"/>
          <w:szCs w:val="20"/>
          <w:lang w:val="en-US"/>
        </w:rPr>
      </w:pPr>
    </w:p>
    <w:p w14:paraId="30B79532" w14:textId="3F7940AD" w:rsidR="0029022D" w:rsidRPr="00D869E3" w:rsidRDefault="001570BC" w:rsidP="0029022D">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But, above all, I consider that it is especially relevant to emphasize the historic decision taken by the Court when declaring the justiciability of the ESCER under Article 26</w:t>
      </w:r>
      <w:r w:rsidR="00813D8D"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813D8D" w:rsidRPr="00D869E3">
        <w:rPr>
          <w:rFonts w:ascii="Verdana" w:hAnsi="Verdana"/>
          <w:sz w:val="20"/>
          <w:szCs w:val="20"/>
          <w:lang w:val="en-US"/>
        </w:rPr>
        <w:t>the obligations contained in</w:t>
      </w:r>
      <w:r w:rsidR="00F83E8F" w:rsidRPr="00D869E3">
        <w:rPr>
          <w:rFonts w:ascii="Verdana" w:hAnsi="Verdana"/>
          <w:sz w:val="20"/>
          <w:szCs w:val="20"/>
          <w:lang w:val="en-US"/>
        </w:rPr>
        <w:t xml:space="preserve"> </w:t>
      </w:r>
      <w:r w:rsidR="00687684" w:rsidRPr="00D869E3">
        <w:rPr>
          <w:rFonts w:ascii="Verdana" w:hAnsi="Verdana"/>
          <w:sz w:val="20"/>
          <w:szCs w:val="20"/>
          <w:lang w:val="en-US"/>
        </w:rPr>
        <w:t xml:space="preserve">Articles 1(1) and </w:t>
      </w:r>
      <w:r w:rsidR="00F83E8F" w:rsidRPr="00D869E3">
        <w:rPr>
          <w:rFonts w:ascii="Verdana" w:hAnsi="Verdana"/>
          <w:sz w:val="20"/>
          <w:szCs w:val="20"/>
          <w:lang w:val="en-US"/>
        </w:rPr>
        <w:t>2</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813D8D" w:rsidRPr="00D869E3">
        <w:rPr>
          <w:rFonts w:ascii="Verdana" w:hAnsi="Verdana"/>
          <w:sz w:val="20"/>
          <w:szCs w:val="20"/>
          <w:lang w:val="en-US"/>
        </w:rPr>
        <w:t xml:space="preserve">As mentioned in </w:t>
      </w:r>
      <w:r w:rsidR="00180CED" w:rsidRPr="00D869E3">
        <w:rPr>
          <w:rFonts w:ascii="Verdana" w:hAnsi="Verdana"/>
          <w:sz w:val="20"/>
          <w:szCs w:val="20"/>
          <w:lang w:val="en-US"/>
        </w:rPr>
        <w:t>paragraph</w:t>
      </w:r>
      <w:r w:rsidR="00F83E8F" w:rsidRPr="00D869E3">
        <w:rPr>
          <w:rFonts w:ascii="Verdana" w:hAnsi="Verdana"/>
          <w:sz w:val="20"/>
          <w:szCs w:val="20"/>
          <w:lang w:val="en-US"/>
        </w:rPr>
        <w:t xml:space="preserve"> 154 </w:t>
      </w:r>
      <w:r w:rsidR="00813D8D" w:rsidRPr="00D869E3">
        <w:rPr>
          <w:rFonts w:ascii="Verdana" w:hAnsi="Verdana"/>
          <w:sz w:val="20"/>
          <w:szCs w:val="20"/>
          <w:lang w:val="en-US"/>
        </w:rPr>
        <w:t>of the judgment</w:t>
      </w:r>
      <w:r w:rsidR="00F83E8F" w:rsidRPr="00D869E3">
        <w:rPr>
          <w:rFonts w:ascii="Verdana" w:hAnsi="Verdana"/>
          <w:sz w:val="20"/>
          <w:szCs w:val="20"/>
          <w:lang w:val="en-US"/>
        </w:rPr>
        <w:t xml:space="preserve">, </w:t>
      </w:r>
      <w:r w:rsidR="0029022D" w:rsidRPr="00D869E3">
        <w:rPr>
          <w:rFonts w:ascii="Verdana" w:hAnsi="Verdana"/>
          <w:sz w:val="20"/>
          <w:szCs w:val="20"/>
          <w:lang w:val="en-US"/>
        </w:rPr>
        <w:t xml:space="preserve">this precedent develops and substantiates the first precedent on this issue and thus opens the way to the interpretation of other rights derived from </w:t>
      </w:r>
      <w:r w:rsidR="00687684"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F83E8F" w:rsidRPr="00D869E3">
        <w:rPr>
          <w:rFonts w:ascii="Verdana" w:hAnsi="Verdana"/>
          <w:sz w:val="20"/>
          <w:szCs w:val="20"/>
          <w:lang w:val="en-US"/>
        </w:rPr>
        <w:t xml:space="preserve">. </w:t>
      </w:r>
      <w:r w:rsidR="0029022D" w:rsidRPr="00D869E3">
        <w:rPr>
          <w:rFonts w:ascii="Verdana" w:hAnsi="Verdana"/>
          <w:sz w:val="20"/>
          <w:szCs w:val="20"/>
          <w:lang w:val="en-US"/>
        </w:rPr>
        <w:t>Although</w:t>
      </w:r>
      <w:r w:rsidR="00F83E8F" w:rsidRPr="00D869E3">
        <w:rPr>
          <w:rFonts w:ascii="Verdana" w:hAnsi="Verdana"/>
          <w:sz w:val="20"/>
          <w:szCs w:val="20"/>
          <w:lang w:val="en-US"/>
        </w:rPr>
        <w:t xml:space="preserve"> </w:t>
      </w:r>
      <w:r w:rsidR="00447C65" w:rsidRPr="00D869E3">
        <w:rPr>
          <w:rFonts w:ascii="Verdana" w:hAnsi="Verdana"/>
          <w:sz w:val="20"/>
          <w:szCs w:val="20"/>
          <w:lang w:val="en-US"/>
        </w:rPr>
        <w:t>the American Convention</w:t>
      </w:r>
      <w:r w:rsidR="00E373CE" w:rsidRPr="00D869E3">
        <w:rPr>
          <w:rFonts w:ascii="Verdana" w:hAnsi="Verdana"/>
          <w:sz w:val="20"/>
          <w:szCs w:val="20"/>
          <w:lang w:val="en-US"/>
        </w:rPr>
        <w:t xml:space="preserve">, which this Court has jurisdiction </w:t>
      </w:r>
      <w:r w:rsidR="0029022D" w:rsidRPr="00D869E3">
        <w:rPr>
          <w:rFonts w:ascii="Verdana" w:hAnsi="Verdana"/>
          <w:sz w:val="20"/>
          <w:szCs w:val="20"/>
          <w:lang w:val="en-US"/>
        </w:rPr>
        <w:t>to interpret</w:t>
      </w:r>
      <w:r w:rsidR="00E373CE" w:rsidRPr="00D869E3">
        <w:rPr>
          <w:rFonts w:ascii="Verdana" w:hAnsi="Verdana"/>
          <w:sz w:val="20"/>
          <w:szCs w:val="20"/>
          <w:lang w:val="en-US"/>
        </w:rPr>
        <w:t>,</w:t>
      </w:r>
      <w:r w:rsidR="0029022D" w:rsidRPr="00D869E3">
        <w:rPr>
          <w:rFonts w:ascii="Verdana" w:hAnsi="Verdana"/>
          <w:sz w:val="20"/>
          <w:szCs w:val="20"/>
          <w:lang w:val="en-US"/>
        </w:rPr>
        <w:t xml:space="preserve"> was adopted in 1969, the possibility contained in its text that it be interpreted </w:t>
      </w:r>
      <w:r w:rsidR="00E373CE" w:rsidRPr="00D869E3">
        <w:rPr>
          <w:rFonts w:ascii="Verdana" w:hAnsi="Verdana"/>
          <w:sz w:val="20"/>
          <w:szCs w:val="20"/>
          <w:lang w:val="en-US"/>
        </w:rPr>
        <w:t xml:space="preserve">in an </w:t>
      </w:r>
      <w:r w:rsidR="0029022D" w:rsidRPr="00D869E3">
        <w:rPr>
          <w:rFonts w:ascii="Verdana" w:hAnsi="Verdana"/>
          <w:sz w:val="20"/>
          <w:szCs w:val="20"/>
          <w:lang w:val="en-US"/>
        </w:rPr>
        <w:t>evolutive</w:t>
      </w:r>
      <w:r w:rsidR="00E373CE" w:rsidRPr="00D869E3">
        <w:rPr>
          <w:rFonts w:ascii="Verdana" w:hAnsi="Verdana"/>
          <w:sz w:val="20"/>
          <w:szCs w:val="20"/>
          <w:lang w:val="en-US"/>
        </w:rPr>
        <w:t xml:space="preserve"> manner</w:t>
      </w:r>
      <w:r w:rsidR="0029022D" w:rsidRPr="00D869E3">
        <w:rPr>
          <w:rFonts w:ascii="Verdana" w:hAnsi="Verdana"/>
          <w:sz w:val="20"/>
          <w:szCs w:val="20"/>
          <w:lang w:val="en-US"/>
        </w:rPr>
        <w:t xml:space="preserve"> with regard to the economic and social norms, and regarding the education</w:t>
      </w:r>
      <w:r w:rsidR="00E373CE" w:rsidRPr="00D869E3">
        <w:rPr>
          <w:rFonts w:ascii="Verdana" w:hAnsi="Verdana"/>
          <w:sz w:val="20"/>
          <w:szCs w:val="20"/>
          <w:lang w:val="en-US"/>
        </w:rPr>
        <w:t>al</w:t>
      </w:r>
      <w:r w:rsidR="0029022D" w:rsidRPr="00D869E3">
        <w:rPr>
          <w:rFonts w:ascii="Verdana" w:hAnsi="Verdana"/>
          <w:sz w:val="20"/>
          <w:szCs w:val="20"/>
          <w:lang w:val="en-US"/>
        </w:rPr>
        <w:t>, scien</w:t>
      </w:r>
      <w:r w:rsidR="00E373CE" w:rsidRPr="00D869E3">
        <w:rPr>
          <w:rFonts w:ascii="Verdana" w:hAnsi="Verdana"/>
          <w:sz w:val="20"/>
          <w:szCs w:val="20"/>
          <w:lang w:val="en-US"/>
        </w:rPr>
        <w:t>tific</w:t>
      </w:r>
      <w:r w:rsidR="0029022D" w:rsidRPr="00D869E3">
        <w:rPr>
          <w:rFonts w:ascii="Verdana" w:hAnsi="Verdana"/>
          <w:sz w:val="20"/>
          <w:szCs w:val="20"/>
          <w:lang w:val="en-US"/>
        </w:rPr>
        <w:t>, cultur</w:t>
      </w:r>
      <w:r w:rsidR="00E373CE" w:rsidRPr="00D869E3">
        <w:rPr>
          <w:rFonts w:ascii="Verdana" w:hAnsi="Verdana"/>
          <w:sz w:val="20"/>
          <w:szCs w:val="20"/>
          <w:lang w:val="en-US"/>
        </w:rPr>
        <w:t>al</w:t>
      </w:r>
      <w:r w:rsidR="0029022D" w:rsidRPr="00D869E3">
        <w:rPr>
          <w:rFonts w:ascii="Verdana" w:hAnsi="Verdana"/>
          <w:sz w:val="20"/>
          <w:szCs w:val="20"/>
          <w:lang w:val="en-US"/>
        </w:rPr>
        <w:t xml:space="preserve"> and environment</w:t>
      </w:r>
      <w:r w:rsidR="00E373CE" w:rsidRPr="00D869E3">
        <w:rPr>
          <w:rFonts w:ascii="Verdana" w:hAnsi="Verdana"/>
          <w:sz w:val="20"/>
          <w:szCs w:val="20"/>
          <w:lang w:val="en-US"/>
        </w:rPr>
        <w:t>al standards</w:t>
      </w:r>
      <w:r w:rsidR="0029022D" w:rsidRPr="00D869E3">
        <w:rPr>
          <w:rFonts w:ascii="Verdana" w:hAnsi="Verdana"/>
          <w:sz w:val="20"/>
          <w:szCs w:val="20"/>
          <w:lang w:val="en-US"/>
        </w:rPr>
        <w:t xml:space="preserve"> </w:t>
      </w:r>
      <w:r w:rsidR="00E373CE" w:rsidRPr="00D869E3">
        <w:rPr>
          <w:rFonts w:ascii="Verdana" w:hAnsi="Verdana"/>
          <w:sz w:val="20"/>
          <w:szCs w:val="20"/>
          <w:lang w:val="en-US"/>
        </w:rPr>
        <w:t>set forth</w:t>
      </w:r>
      <w:r w:rsidR="0029022D" w:rsidRPr="00D869E3">
        <w:rPr>
          <w:rFonts w:ascii="Verdana" w:hAnsi="Verdana"/>
          <w:sz w:val="20"/>
          <w:szCs w:val="20"/>
          <w:lang w:val="en-US"/>
        </w:rPr>
        <w:t xml:space="preserve"> in the OAS Charter in light of </w:t>
      </w:r>
      <w:r w:rsidR="00687684" w:rsidRPr="00D869E3">
        <w:rPr>
          <w:rFonts w:ascii="Verdana" w:hAnsi="Verdana"/>
          <w:sz w:val="20"/>
          <w:szCs w:val="20"/>
          <w:lang w:val="en-US"/>
        </w:rPr>
        <w:t>Article</w:t>
      </w:r>
      <w:r w:rsidR="00F83E8F" w:rsidRPr="00D869E3">
        <w:rPr>
          <w:rFonts w:ascii="Verdana" w:hAnsi="Verdana"/>
          <w:sz w:val="20"/>
          <w:szCs w:val="20"/>
          <w:lang w:val="en-US"/>
        </w:rPr>
        <w:t xml:space="preserve"> 29 </w:t>
      </w:r>
      <w:r w:rsidR="0029022D" w:rsidRPr="00D869E3">
        <w:rPr>
          <w:rFonts w:ascii="Verdana" w:hAnsi="Verdana"/>
          <w:sz w:val="20"/>
          <w:szCs w:val="20"/>
          <w:lang w:val="en-US"/>
        </w:rPr>
        <w:t>of the Convention was of great relevance for the Court, finally, to tak</w:t>
      </w:r>
      <w:r w:rsidR="00E373CE" w:rsidRPr="00D869E3">
        <w:rPr>
          <w:rFonts w:ascii="Verdana" w:hAnsi="Verdana"/>
          <w:sz w:val="20"/>
          <w:szCs w:val="20"/>
          <w:lang w:val="en-US"/>
        </w:rPr>
        <w:t>e</w:t>
      </w:r>
      <w:r w:rsidR="0029022D" w:rsidRPr="00D869E3">
        <w:rPr>
          <w:rFonts w:ascii="Verdana" w:hAnsi="Verdana"/>
          <w:sz w:val="20"/>
          <w:szCs w:val="20"/>
          <w:lang w:val="en-US"/>
        </w:rPr>
        <w:t xml:space="preserve"> this step forward in the consolidation of the interdependence and comprehensiveness of human rights.</w:t>
      </w:r>
    </w:p>
    <w:p w14:paraId="0DE35E2F" w14:textId="77777777" w:rsidR="0029022D" w:rsidRPr="00D869E3" w:rsidRDefault="0029022D" w:rsidP="0029022D">
      <w:pPr>
        <w:pStyle w:val="Prrafodelista"/>
        <w:rPr>
          <w:rFonts w:ascii="Verdana" w:hAnsi="Verdana"/>
          <w:sz w:val="20"/>
          <w:szCs w:val="20"/>
          <w:lang w:val="en-US"/>
        </w:rPr>
      </w:pPr>
    </w:p>
    <w:p w14:paraId="6D2013ED" w14:textId="2D233520" w:rsidR="00F83E8F" w:rsidRPr="00D869E3" w:rsidRDefault="0029022D" w:rsidP="0029022D">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It is essential to stress the importance of this precedent because it goes beyond the inter-American system</w:t>
      </w:r>
      <w:r w:rsidR="00E373CE" w:rsidRPr="00D869E3">
        <w:rPr>
          <w:rFonts w:ascii="Verdana" w:hAnsi="Verdana"/>
          <w:sz w:val="20"/>
          <w:szCs w:val="20"/>
          <w:lang w:val="en-US"/>
        </w:rPr>
        <w:t>.</w:t>
      </w:r>
      <w:r w:rsidRPr="00D869E3">
        <w:rPr>
          <w:rFonts w:ascii="Verdana" w:hAnsi="Verdana"/>
          <w:sz w:val="20"/>
          <w:szCs w:val="20"/>
          <w:lang w:val="en-US"/>
        </w:rPr>
        <w:t xml:space="preserve"> </w:t>
      </w:r>
      <w:r w:rsidR="00E373CE" w:rsidRPr="00D869E3">
        <w:rPr>
          <w:rFonts w:ascii="Verdana" w:hAnsi="Verdana"/>
          <w:sz w:val="20"/>
          <w:szCs w:val="20"/>
          <w:lang w:val="en-US"/>
        </w:rPr>
        <w:t>I</w:t>
      </w:r>
      <w:r w:rsidRPr="00D869E3">
        <w:rPr>
          <w:rFonts w:ascii="Verdana" w:hAnsi="Verdana"/>
          <w:sz w:val="20"/>
          <w:szCs w:val="20"/>
          <w:lang w:val="en-US"/>
        </w:rPr>
        <w:t xml:space="preserve">t provides an excellent example of judicial dialogue </w:t>
      </w:r>
      <w:r w:rsidR="00E373CE" w:rsidRPr="00D869E3">
        <w:rPr>
          <w:rFonts w:ascii="Verdana" w:hAnsi="Verdana"/>
          <w:sz w:val="20"/>
          <w:szCs w:val="20"/>
          <w:lang w:val="en-US"/>
        </w:rPr>
        <w:t xml:space="preserve">in which </w:t>
      </w:r>
      <w:r w:rsidRPr="00D869E3">
        <w:rPr>
          <w:rFonts w:ascii="Verdana" w:hAnsi="Verdana"/>
          <w:sz w:val="20"/>
          <w:szCs w:val="20"/>
          <w:lang w:val="en-US"/>
        </w:rPr>
        <w:t xml:space="preserve">judicial decisions in the domestic sphere </w:t>
      </w:r>
      <w:r w:rsidR="00954C3E" w:rsidRPr="00D869E3">
        <w:rPr>
          <w:rFonts w:ascii="Verdana" w:hAnsi="Verdana"/>
          <w:sz w:val="20"/>
          <w:szCs w:val="20"/>
          <w:lang w:val="en-US"/>
        </w:rPr>
        <w:t>that</w:t>
      </w:r>
      <w:r w:rsidRPr="00D869E3">
        <w:rPr>
          <w:rFonts w:ascii="Verdana" w:hAnsi="Verdana"/>
          <w:sz w:val="20"/>
          <w:szCs w:val="20"/>
          <w:lang w:val="en-US"/>
        </w:rPr>
        <w:t xml:space="preserve"> have already recognized the justiciability of the </w:t>
      </w:r>
      <w:r w:rsidR="00671B14" w:rsidRPr="00D869E3">
        <w:rPr>
          <w:rFonts w:ascii="Verdana" w:hAnsi="Verdana"/>
          <w:sz w:val="20"/>
          <w:szCs w:val="20"/>
          <w:lang w:val="en-US"/>
        </w:rPr>
        <w:t>ESCER</w:t>
      </w:r>
      <w:r w:rsidR="00F83E8F" w:rsidRPr="00D869E3">
        <w:rPr>
          <w:rStyle w:val="Refdenotaalpie"/>
          <w:lang w:val="en-US"/>
        </w:rPr>
        <w:footnoteReference w:id="281"/>
      </w:r>
      <w:r w:rsidR="00F83E8F" w:rsidRPr="00D869E3">
        <w:rPr>
          <w:rFonts w:ascii="Verdana" w:hAnsi="Verdana"/>
          <w:sz w:val="20"/>
          <w:szCs w:val="20"/>
          <w:lang w:val="en-US"/>
        </w:rPr>
        <w:t xml:space="preserve"> </w:t>
      </w:r>
      <w:r w:rsidR="00E373CE" w:rsidRPr="00D869E3">
        <w:rPr>
          <w:rFonts w:ascii="Verdana" w:hAnsi="Verdana"/>
          <w:sz w:val="20"/>
          <w:szCs w:val="20"/>
          <w:lang w:val="en-US"/>
        </w:rPr>
        <w:t xml:space="preserve">add </w:t>
      </w:r>
      <w:r w:rsidRPr="00D869E3">
        <w:rPr>
          <w:rFonts w:ascii="Verdana" w:hAnsi="Verdana"/>
          <w:sz w:val="20"/>
          <w:szCs w:val="20"/>
          <w:lang w:val="en-US"/>
        </w:rPr>
        <w:t xml:space="preserve">to </w:t>
      </w:r>
      <w:r w:rsidR="00E373CE" w:rsidRPr="00D869E3">
        <w:rPr>
          <w:rFonts w:ascii="Verdana" w:hAnsi="Verdana"/>
          <w:sz w:val="20"/>
          <w:szCs w:val="20"/>
          <w:lang w:val="en-US"/>
        </w:rPr>
        <w:t>such</w:t>
      </w:r>
      <w:r w:rsidRPr="00D869E3">
        <w:rPr>
          <w:rFonts w:ascii="Verdana" w:hAnsi="Verdana"/>
          <w:sz w:val="20"/>
          <w:szCs w:val="20"/>
          <w:lang w:val="en-US"/>
        </w:rPr>
        <w:t xml:space="preserve"> decision</w:t>
      </w:r>
      <w:r w:rsidR="00954C3E" w:rsidRPr="00D869E3">
        <w:rPr>
          <w:rFonts w:ascii="Verdana" w:hAnsi="Verdana"/>
          <w:sz w:val="20"/>
          <w:szCs w:val="20"/>
          <w:lang w:val="en-US"/>
        </w:rPr>
        <w:t>s</w:t>
      </w:r>
      <w:r w:rsidRPr="00D869E3">
        <w:rPr>
          <w:rFonts w:ascii="Verdana" w:hAnsi="Verdana"/>
          <w:sz w:val="20"/>
          <w:szCs w:val="20"/>
          <w:lang w:val="en-US"/>
        </w:rPr>
        <w:t xml:space="preserve"> in the international sphere. In </w:t>
      </w:r>
      <w:r w:rsidR="00954C3E" w:rsidRPr="00D869E3">
        <w:rPr>
          <w:rFonts w:ascii="Verdana" w:hAnsi="Verdana"/>
          <w:sz w:val="20"/>
          <w:szCs w:val="20"/>
          <w:lang w:val="en-US"/>
        </w:rPr>
        <w:t>taking this decision</w:t>
      </w:r>
      <w:r w:rsidRPr="00D869E3">
        <w:rPr>
          <w:rFonts w:ascii="Verdana" w:hAnsi="Verdana"/>
          <w:sz w:val="20"/>
          <w:szCs w:val="20"/>
          <w:lang w:val="en-US"/>
        </w:rPr>
        <w:t xml:space="preserve">, </w:t>
      </w:r>
      <w:r w:rsidR="00447C65"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r</w:t>
      </w:r>
      <w:r w:rsidR="00954C3E" w:rsidRPr="00D869E3">
        <w:rPr>
          <w:rFonts w:ascii="Verdana" w:hAnsi="Verdana"/>
          <w:sz w:val="20"/>
          <w:szCs w:val="20"/>
          <w:lang w:val="en-US"/>
        </w:rPr>
        <w:t>e</w:t>
      </w:r>
      <w:r w:rsidRPr="00D869E3">
        <w:rPr>
          <w:rFonts w:ascii="Verdana" w:hAnsi="Verdana"/>
          <w:sz w:val="20"/>
          <w:szCs w:val="20"/>
          <w:lang w:val="en-US"/>
        </w:rPr>
        <w:t xml:space="preserve">veals that it </w:t>
      </w:r>
      <w:r w:rsidR="00954C3E" w:rsidRPr="00D869E3">
        <w:rPr>
          <w:rFonts w:ascii="Verdana" w:hAnsi="Verdana"/>
          <w:sz w:val="20"/>
          <w:szCs w:val="20"/>
          <w:lang w:val="en-US"/>
        </w:rPr>
        <w:t>heeds</w:t>
      </w:r>
      <w:r w:rsidRPr="00D869E3">
        <w:rPr>
          <w:rFonts w:ascii="Verdana" w:hAnsi="Verdana"/>
          <w:sz w:val="20"/>
          <w:szCs w:val="20"/>
          <w:lang w:val="en-US"/>
        </w:rPr>
        <w:t xml:space="preserve"> the domestic and constitutional jurisdictions and raises this necessary recognition to the sphere of international human rights law.</w:t>
      </w:r>
    </w:p>
    <w:p w14:paraId="02A968D5" w14:textId="77777777" w:rsidR="00F83E8F" w:rsidRPr="00D869E3" w:rsidRDefault="00F83E8F" w:rsidP="00F83E8F">
      <w:pPr>
        <w:pStyle w:val="Prrafodelista"/>
        <w:ind w:left="0"/>
        <w:jc w:val="both"/>
        <w:rPr>
          <w:rFonts w:ascii="Verdana" w:hAnsi="Verdana"/>
          <w:sz w:val="20"/>
          <w:szCs w:val="20"/>
          <w:lang w:val="en-US"/>
        </w:rPr>
      </w:pPr>
    </w:p>
    <w:p w14:paraId="38275EEA" w14:textId="1C49799B" w:rsidR="00F83E8F" w:rsidRPr="00D869E3" w:rsidRDefault="0029022D" w:rsidP="00F83E8F">
      <w:pPr>
        <w:pStyle w:val="Prrafodelista"/>
        <w:numPr>
          <w:ilvl w:val="0"/>
          <w:numId w:val="26"/>
        </w:numPr>
        <w:ind w:left="0" w:firstLine="0"/>
        <w:jc w:val="both"/>
        <w:rPr>
          <w:rFonts w:ascii="Verdana" w:hAnsi="Verdana"/>
          <w:sz w:val="20"/>
          <w:szCs w:val="20"/>
          <w:lang w:val="en-US"/>
        </w:rPr>
      </w:pPr>
      <w:r w:rsidRPr="00D869E3">
        <w:rPr>
          <w:rFonts w:ascii="Verdana" w:hAnsi="Verdana"/>
          <w:sz w:val="20"/>
          <w:szCs w:val="20"/>
          <w:lang w:val="en-US"/>
        </w:rPr>
        <w:t>I will no</w:t>
      </w:r>
      <w:r w:rsidR="00954C3E" w:rsidRPr="00D869E3">
        <w:rPr>
          <w:rFonts w:ascii="Verdana" w:hAnsi="Verdana"/>
          <w:sz w:val="20"/>
          <w:szCs w:val="20"/>
          <w:lang w:val="en-US"/>
        </w:rPr>
        <w:t>w</w:t>
      </w:r>
      <w:r w:rsidRPr="00D869E3">
        <w:rPr>
          <w:rFonts w:ascii="Verdana" w:hAnsi="Verdana"/>
          <w:sz w:val="20"/>
          <w:szCs w:val="20"/>
          <w:lang w:val="en-US"/>
        </w:rPr>
        <w:t xml:space="preserve"> develop the following addition</w:t>
      </w:r>
      <w:r w:rsidR="00954C3E" w:rsidRPr="00D869E3">
        <w:rPr>
          <w:rFonts w:ascii="Verdana" w:hAnsi="Verdana"/>
          <w:sz w:val="20"/>
          <w:szCs w:val="20"/>
          <w:lang w:val="en-US"/>
        </w:rPr>
        <w:t>al</w:t>
      </w:r>
      <w:r w:rsidRPr="00D869E3">
        <w:rPr>
          <w:rFonts w:ascii="Verdana" w:hAnsi="Verdana"/>
          <w:sz w:val="20"/>
          <w:szCs w:val="20"/>
          <w:lang w:val="en-US"/>
        </w:rPr>
        <w:t xml:space="preserve"> points to be considered: </w:t>
      </w:r>
      <w:r w:rsidR="00F83E8F" w:rsidRPr="00D869E3">
        <w:rPr>
          <w:rFonts w:ascii="Verdana" w:hAnsi="Verdana"/>
          <w:i/>
          <w:sz w:val="20"/>
          <w:szCs w:val="20"/>
          <w:lang w:val="en-US"/>
        </w:rPr>
        <w:t>Iura novit curia</w:t>
      </w:r>
      <w:r w:rsidR="00687684" w:rsidRPr="00D869E3">
        <w:rPr>
          <w:rFonts w:ascii="Verdana" w:hAnsi="Verdana"/>
          <w:sz w:val="20"/>
          <w:szCs w:val="20"/>
          <w:lang w:val="en-US"/>
        </w:rPr>
        <w:t xml:space="preserve"> and </w:t>
      </w:r>
      <w:r w:rsidRPr="00D869E3">
        <w:rPr>
          <w:rFonts w:ascii="Verdana" w:hAnsi="Verdana"/>
          <w:sz w:val="20"/>
          <w:szCs w:val="20"/>
          <w:lang w:val="en-US"/>
        </w:rPr>
        <w:t>t</w:t>
      </w:r>
      <w:r w:rsidR="000B2E5E" w:rsidRPr="00D869E3">
        <w:rPr>
          <w:rFonts w:ascii="Verdana" w:hAnsi="Verdana"/>
          <w:sz w:val="20"/>
          <w:szCs w:val="20"/>
          <w:lang w:val="en-US"/>
        </w:rPr>
        <w:t xml:space="preserve">he right </w:t>
      </w:r>
      <w:r w:rsidRPr="00D869E3">
        <w:rPr>
          <w:rFonts w:ascii="Verdana" w:hAnsi="Verdana"/>
          <w:sz w:val="20"/>
          <w:szCs w:val="20"/>
          <w:lang w:val="en-US"/>
        </w:rPr>
        <w:t>to work protected by</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26</w:t>
      </w:r>
      <w:r w:rsidR="00687684" w:rsidRPr="00D869E3">
        <w:rPr>
          <w:rFonts w:ascii="Verdana" w:hAnsi="Verdana"/>
          <w:sz w:val="20"/>
          <w:szCs w:val="20"/>
          <w:lang w:val="en-US"/>
        </w:rPr>
        <w:t xml:space="preserve"> and </w:t>
      </w:r>
      <w:r w:rsidR="00F83E8F" w:rsidRPr="00D869E3">
        <w:rPr>
          <w:rFonts w:ascii="Verdana" w:hAnsi="Verdana"/>
          <w:sz w:val="20"/>
          <w:szCs w:val="20"/>
          <w:lang w:val="en-US"/>
        </w:rPr>
        <w:t>25</w:t>
      </w:r>
      <w:r w:rsidR="00447C65" w:rsidRPr="00D869E3">
        <w:rPr>
          <w:rFonts w:ascii="Verdana" w:hAnsi="Verdana"/>
          <w:sz w:val="20"/>
          <w:szCs w:val="20"/>
          <w:lang w:val="en-US"/>
        </w:rPr>
        <w:t xml:space="preserve"> of the Convention</w:t>
      </w:r>
      <w:r w:rsidR="00F83E8F" w:rsidRPr="00D869E3">
        <w:rPr>
          <w:rFonts w:ascii="Verdana" w:hAnsi="Verdana"/>
          <w:sz w:val="20"/>
          <w:szCs w:val="20"/>
          <w:lang w:val="en-US"/>
        </w:rPr>
        <w:t xml:space="preserve">. </w:t>
      </w:r>
    </w:p>
    <w:p w14:paraId="5970FEF1" w14:textId="77777777" w:rsidR="00F83E8F" w:rsidRPr="00D869E3" w:rsidRDefault="00F83E8F" w:rsidP="00F83E8F">
      <w:pPr>
        <w:pStyle w:val="Prrafodelista"/>
        <w:ind w:left="0"/>
        <w:jc w:val="both"/>
        <w:rPr>
          <w:rFonts w:ascii="Verdana" w:hAnsi="Verdana"/>
          <w:sz w:val="20"/>
          <w:szCs w:val="20"/>
          <w:lang w:val="en-US"/>
        </w:rPr>
      </w:pPr>
    </w:p>
    <w:p w14:paraId="5EF13C6A" w14:textId="77777777" w:rsidR="00F83E8F" w:rsidRPr="00D869E3" w:rsidRDefault="00F83E8F" w:rsidP="00F83E8F">
      <w:pPr>
        <w:pStyle w:val="Style1"/>
        <w:spacing w:after="0" w:line="240" w:lineRule="auto"/>
        <w:ind w:left="0"/>
        <w:rPr>
          <w:i/>
          <w:lang w:val="en-US"/>
        </w:rPr>
      </w:pPr>
      <w:r w:rsidRPr="00D869E3">
        <w:rPr>
          <w:i/>
          <w:lang w:val="en-US"/>
        </w:rPr>
        <w:t>Iura novit curia</w:t>
      </w:r>
    </w:p>
    <w:p w14:paraId="67A798AE" w14:textId="77777777" w:rsidR="00F83E8F" w:rsidRPr="00D869E3" w:rsidRDefault="00F83E8F" w:rsidP="00F83E8F">
      <w:pPr>
        <w:pStyle w:val="Style1"/>
        <w:numPr>
          <w:ilvl w:val="0"/>
          <w:numId w:val="0"/>
        </w:numPr>
        <w:spacing w:after="0" w:line="240" w:lineRule="auto"/>
        <w:jc w:val="both"/>
        <w:rPr>
          <w:i/>
          <w:lang w:val="en-US"/>
        </w:rPr>
      </w:pPr>
    </w:p>
    <w:p w14:paraId="47CABF01" w14:textId="48A53FAA" w:rsidR="00D859A4" w:rsidRPr="00D869E3" w:rsidRDefault="00C5557A" w:rsidP="00D859A4">
      <w:pPr>
        <w:pStyle w:val="Style1"/>
        <w:numPr>
          <w:ilvl w:val="0"/>
          <w:numId w:val="26"/>
        </w:numPr>
        <w:spacing w:after="0" w:line="240" w:lineRule="auto"/>
        <w:ind w:left="0" w:firstLine="0"/>
        <w:jc w:val="both"/>
        <w:rPr>
          <w:lang w:val="en-US"/>
        </w:rPr>
      </w:pPr>
      <w:r w:rsidRPr="00D869E3">
        <w:rPr>
          <w:b w:val="0"/>
          <w:u w:val="none"/>
          <w:lang w:val="en-US"/>
        </w:rPr>
        <w:t xml:space="preserve">I would like to emphasize a point that, in my opinion, is crucial as regards the application of the </w:t>
      </w:r>
      <w:r w:rsidR="00F83E8F" w:rsidRPr="00D869E3">
        <w:rPr>
          <w:b w:val="0"/>
          <w:i/>
          <w:u w:val="none"/>
          <w:lang w:val="en-US"/>
        </w:rPr>
        <w:t>iuria novit curia</w:t>
      </w:r>
      <w:r w:rsidR="00F83E8F" w:rsidRPr="00D869E3">
        <w:rPr>
          <w:b w:val="0"/>
          <w:u w:val="none"/>
          <w:lang w:val="en-US"/>
        </w:rPr>
        <w:t xml:space="preserve"> </w:t>
      </w:r>
      <w:r w:rsidRPr="00D869E3">
        <w:rPr>
          <w:b w:val="0"/>
          <w:u w:val="none"/>
          <w:lang w:val="en-US"/>
        </w:rPr>
        <w:t>principle in this specific case</w:t>
      </w:r>
      <w:r w:rsidR="00954C3E" w:rsidRPr="00D869E3">
        <w:rPr>
          <w:b w:val="0"/>
          <w:u w:val="none"/>
          <w:lang w:val="en-US"/>
        </w:rPr>
        <w:t>, regarding</w:t>
      </w:r>
      <w:r w:rsidR="00B708E6" w:rsidRPr="00D869E3">
        <w:rPr>
          <w:b w:val="0"/>
          <w:u w:val="none"/>
          <w:lang w:val="en-US"/>
        </w:rPr>
        <w:t xml:space="preserve"> which I </w:t>
      </w:r>
      <w:r w:rsidR="00D859A4" w:rsidRPr="00D869E3">
        <w:rPr>
          <w:b w:val="0"/>
          <w:u w:val="none"/>
          <w:lang w:val="en-US"/>
        </w:rPr>
        <w:t xml:space="preserve">differ on its need in this case. I have joined the majority of my colleagues who decided to use the </w:t>
      </w:r>
      <w:r w:rsidR="00D859A4" w:rsidRPr="00D869E3">
        <w:rPr>
          <w:b w:val="0"/>
          <w:i/>
          <w:u w:val="none"/>
          <w:lang w:val="en-US"/>
        </w:rPr>
        <w:t>iuria novit curia</w:t>
      </w:r>
      <w:r w:rsidR="00D859A4" w:rsidRPr="00D869E3">
        <w:rPr>
          <w:b w:val="0"/>
          <w:u w:val="none"/>
          <w:lang w:val="en-US"/>
        </w:rPr>
        <w:t xml:space="preserve"> principle to examine the matter. I decided to </w:t>
      </w:r>
      <w:r w:rsidR="00954C3E" w:rsidRPr="00D869E3">
        <w:rPr>
          <w:b w:val="0"/>
          <w:u w:val="none"/>
          <w:lang w:val="en-US"/>
        </w:rPr>
        <w:t>vote with them</w:t>
      </w:r>
      <w:r w:rsidR="00D859A4" w:rsidRPr="00D869E3">
        <w:rPr>
          <w:b w:val="0"/>
          <w:u w:val="none"/>
          <w:lang w:val="en-US"/>
        </w:rPr>
        <w:t xml:space="preserve"> because</w:t>
      </w:r>
      <w:r w:rsidR="00954C3E" w:rsidRPr="00D869E3">
        <w:rPr>
          <w:b w:val="0"/>
          <w:u w:val="none"/>
          <w:lang w:val="en-US"/>
        </w:rPr>
        <w:t xml:space="preserve"> </w:t>
      </w:r>
      <w:r w:rsidR="00D859A4" w:rsidRPr="00D869E3">
        <w:rPr>
          <w:b w:val="0"/>
          <w:u w:val="none"/>
          <w:lang w:val="en-US"/>
        </w:rPr>
        <w:t xml:space="preserve">I </w:t>
      </w:r>
      <w:r w:rsidR="00954C3E" w:rsidRPr="00D869E3">
        <w:rPr>
          <w:b w:val="0"/>
          <w:u w:val="none"/>
          <w:lang w:val="en-US"/>
        </w:rPr>
        <w:t>accepted</w:t>
      </w:r>
      <w:r w:rsidR="00D859A4" w:rsidRPr="00D869E3">
        <w:rPr>
          <w:b w:val="0"/>
          <w:u w:val="none"/>
          <w:lang w:val="en-US"/>
        </w:rPr>
        <w:t xml:space="preserve"> the argument and considered </w:t>
      </w:r>
      <w:r w:rsidR="00954C3E" w:rsidRPr="00D869E3">
        <w:rPr>
          <w:b w:val="0"/>
          <w:u w:val="none"/>
          <w:lang w:val="en-US"/>
        </w:rPr>
        <w:t>that</w:t>
      </w:r>
      <w:r w:rsidR="00D859A4" w:rsidRPr="00D869E3">
        <w:rPr>
          <w:b w:val="0"/>
          <w:u w:val="none"/>
          <w:lang w:val="en-US"/>
        </w:rPr>
        <w:t xml:space="preserve"> labor rights</w:t>
      </w:r>
      <w:r w:rsidR="00954C3E" w:rsidRPr="00D869E3">
        <w:rPr>
          <w:b w:val="0"/>
          <w:u w:val="none"/>
          <w:lang w:val="en-US"/>
        </w:rPr>
        <w:t xml:space="preserve"> had been violated</w:t>
      </w:r>
      <w:r w:rsidR="00D859A4" w:rsidRPr="00D869E3">
        <w:rPr>
          <w:b w:val="0"/>
          <w:u w:val="none"/>
          <w:lang w:val="en-US"/>
        </w:rPr>
        <w:t xml:space="preserve">, </w:t>
      </w:r>
      <w:r w:rsidR="00954C3E" w:rsidRPr="00D869E3">
        <w:rPr>
          <w:b w:val="0"/>
          <w:u w:val="none"/>
          <w:lang w:val="en-US"/>
        </w:rPr>
        <w:t>and even</w:t>
      </w:r>
      <w:r w:rsidR="00D859A4" w:rsidRPr="00D869E3">
        <w:rPr>
          <w:b w:val="0"/>
          <w:u w:val="none"/>
          <w:lang w:val="en-US"/>
        </w:rPr>
        <w:t xml:space="preserve"> because I </w:t>
      </w:r>
      <w:r w:rsidR="00954C3E" w:rsidRPr="00D869E3">
        <w:rPr>
          <w:b w:val="0"/>
          <w:u w:val="none"/>
          <w:lang w:val="en-US"/>
        </w:rPr>
        <w:t>believe</w:t>
      </w:r>
      <w:r w:rsidR="00D859A4" w:rsidRPr="00D869E3">
        <w:rPr>
          <w:b w:val="0"/>
          <w:u w:val="none"/>
          <w:lang w:val="en-US"/>
        </w:rPr>
        <w:t xml:space="preserve"> that it was not even necessary to apply this principle, In th</w:t>
      </w:r>
      <w:r w:rsidR="00954C3E" w:rsidRPr="00D869E3">
        <w:rPr>
          <w:b w:val="0"/>
          <w:u w:val="none"/>
          <w:lang w:val="en-US"/>
        </w:rPr>
        <w:t>e instant</w:t>
      </w:r>
      <w:r w:rsidR="00D859A4" w:rsidRPr="00D869E3">
        <w:rPr>
          <w:b w:val="0"/>
          <w:u w:val="none"/>
          <w:lang w:val="en-US"/>
        </w:rPr>
        <w:t xml:space="preserve"> case, it was not necessary to apply the principle to examine and declare </w:t>
      </w:r>
      <w:r w:rsidR="00954C3E" w:rsidRPr="00D869E3">
        <w:rPr>
          <w:b w:val="0"/>
          <w:u w:val="none"/>
          <w:lang w:val="en-US"/>
        </w:rPr>
        <w:t xml:space="preserve">that </w:t>
      </w:r>
      <w:r w:rsidR="00D859A4" w:rsidRPr="00D869E3">
        <w:rPr>
          <w:b w:val="0"/>
          <w:u w:val="none"/>
          <w:lang w:val="en-US"/>
        </w:rPr>
        <w:t xml:space="preserve">the right to work </w:t>
      </w:r>
      <w:r w:rsidR="00954C3E" w:rsidRPr="00D869E3">
        <w:rPr>
          <w:b w:val="0"/>
          <w:u w:val="none"/>
          <w:lang w:val="en-US"/>
        </w:rPr>
        <w:t xml:space="preserve">had been </w:t>
      </w:r>
      <w:r w:rsidR="00D859A4" w:rsidRPr="00D869E3">
        <w:rPr>
          <w:b w:val="0"/>
          <w:u w:val="none"/>
          <w:lang w:val="en-US"/>
        </w:rPr>
        <w:t xml:space="preserve">violated, because the victim </w:t>
      </w:r>
      <w:r w:rsidR="00954C3E" w:rsidRPr="00D869E3">
        <w:rPr>
          <w:b w:val="0"/>
          <w:u w:val="none"/>
          <w:lang w:val="en-US"/>
        </w:rPr>
        <w:t xml:space="preserve">himself </w:t>
      </w:r>
      <w:r w:rsidR="00D859A4" w:rsidRPr="00D869E3">
        <w:rPr>
          <w:b w:val="0"/>
          <w:u w:val="none"/>
          <w:lang w:val="en-US"/>
        </w:rPr>
        <w:t xml:space="preserve">had already claimed violation of the right to work and to job security without having indicated the specific article </w:t>
      </w:r>
      <w:r w:rsidR="00447C65" w:rsidRPr="00D869E3">
        <w:rPr>
          <w:b w:val="0"/>
          <w:u w:val="none"/>
          <w:lang w:val="en-US"/>
        </w:rPr>
        <w:t>of the American Convention</w:t>
      </w:r>
      <w:r w:rsidR="00D859A4" w:rsidRPr="00D869E3">
        <w:rPr>
          <w:b w:val="0"/>
          <w:u w:val="none"/>
          <w:lang w:val="en-US"/>
        </w:rPr>
        <w:t xml:space="preserve"> that had been violated.</w:t>
      </w:r>
    </w:p>
    <w:p w14:paraId="47657BEB" w14:textId="281EFC88" w:rsidR="00F83E8F" w:rsidRPr="00D869E3" w:rsidRDefault="00D859A4" w:rsidP="00D859A4">
      <w:pPr>
        <w:pStyle w:val="Style1"/>
        <w:numPr>
          <w:ilvl w:val="0"/>
          <w:numId w:val="0"/>
        </w:numPr>
        <w:spacing w:after="0" w:line="240" w:lineRule="auto"/>
        <w:jc w:val="both"/>
        <w:rPr>
          <w:lang w:val="en-US"/>
        </w:rPr>
      </w:pPr>
      <w:r w:rsidRPr="00D869E3">
        <w:rPr>
          <w:lang w:val="en-US"/>
        </w:rPr>
        <w:t xml:space="preserve"> </w:t>
      </w:r>
    </w:p>
    <w:p w14:paraId="1B4FB98B" w14:textId="1A9A0F22" w:rsidR="00F83E8F" w:rsidRPr="00D869E3" w:rsidRDefault="00D859A4" w:rsidP="000C55DD">
      <w:pPr>
        <w:pStyle w:val="Style1"/>
        <w:numPr>
          <w:ilvl w:val="0"/>
          <w:numId w:val="26"/>
        </w:numPr>
        <w:spacing w:after="0" w:line="240" w:lineRule="auto"/>
        <w:ind w:left="0" w:firstLine="0"/>
        <w:jc w:val="both"/>
        <w:rPr>
          <w:u w:val="none"/>
          <w:lang w:val="en-US"/>
        </w:rPr>
      </w:pPr>
      <w:r w:rsidRPr="00D869E3">
        <w:rPr>
          <w:b w:val="0"/>
          <w:iCs/>
          <w:u w:val="none"/>
          <w:lang w:val="en-US"/>
        </w:rPr>
        <w:t xml:space="preserve">The Latin phrase </w:t>
      </w:r>
      <w:r w:rsidR="006436CA" w:rsidRPr="00D869E3">
        <w:rPr>
          <w:b w:val="0"/>
          <w:i/>
          <w:u w:val="none"/>
          <w:lang w:val="en-US"/>
        </w:rPr>
        <w:t>“</w:t>
      </w:r>
      <w:r w:rsidRPr="00D869E3">
        <w:rPr>
          <w:b w:val="0"/>
          <w:i/>
          <w:u w:val="none"/>
          <w:lang w:val="en-US"/>
        </w:rPr>
        <w:t>i</w:t>
      </w:r>
      <w:r w:rsidR="00F83E8F" w:rsidRPr="00D869E3">
        <w:rPr>
          <w:b w:val="0"/>
          <w:i/>
          <w:u w:val="none"/>
          <w:lang w:val="en-US"/>
        </w:rPr>
        <w:t>ura novit curia</w:t>
      </w:r>
      <w:r w:rsidR="006436CA" w:rsidRPr="00D869E3">
        <w:rPr>
          <w:b w:val="0"/>
          <w:i/>
          <w:u w:val="none"/>
          <w:lang w:val="en-US"/>
        </w:rPr>
        <w:t>”</w:t>
      </w:r>
      <w:r w:rsidR="00F83E8F" w:rsidRPr="00D869E3">
        <w:rPr>
          <w:b w:val="0"/>
          <w:u w:val="none"/>
          <w:lang w:val="en-US"/>
        </w:rPr>
        <w:t xml:space="preserve"> </w:t>
      </w:r>
      <w:r w:rsidRPr="00D869E3">
        <w:rPr>
          <w:b w:val="0"/>
          <w:u w:val="none"/>
          <w:lang w:val="en-US"/>
        </w:rPr>
        <w:t xml:space="preserve">signifies </w:t>
      </w:r>
      <w:r w:rsidR="006436CA" w:rsidRPr="00D869E3">
        <w:rPr>
          <w:b w:val="0"/>
          <w:u w:val="none"/>
          <w:lang w:val="en-US"/>
        </w:rPr>
        <w:t>“</w:t>
      </w:r>
      <w:r w:rsidR="00447C65" w:rsidRPr="00D869E3">
        <w:rPr>
          <w:b w:val="0"/>
          <w:u w:val="none"/>
          <w:lang w:val="en-US"/>
        </w:rPr>
        <w:t>the Court</w:t>
      </w:r>
      <w:r w:rsidR="00F83E8F" w:rsidRPr="00D869E3">
        <w:rPr>
          <w:b w:val="0"/>
          <w:u w:val="none"/>
          <w:lang w:val="en-US"/>
        </w:rPr>
        <w:t xml:space="preserve"> </w:t>
      </w:r>
      <w:r w:rsidRPr="00D869E3">
        <w:rPr>
          <w:b w:val="0"/>
          <w:u w:val="none"/>
          <w:lang w:val="en-US"/>
        </w:rPr>
        <w:t>knows the law.</w:t>
      </w:r>
      <w:r w:rsidR="006436CA" w:rsidRPr="00D869E3">
        <w:rPr>
          <w:b w:val="0"/>
          <w:u w:val="none"/>
          <w:lang w:val="en-US"/>
        </w:rPr>
        <w:t>”</w:t>
      </w:r>
      <w:r w:rsidR="00F83E8F" w:rsidRPr="00D869E3">
        <w:rPr>
          <w:b w:val="0"/>
          <w:u w:val="none"/>
          <w:lang w:val="en-US"/>
        </w:rPr>
        <w:t xml:space="preserve"> </w:t>
      </w:r>
      <w:r w:rsidRPr="00D869E3">
        <w:rPr>
          <w:b w:val="0"/>
          <w:u w:val="none"/>
          <w:lang w:val="en-US"/>
        </w:rPr>
        <w:t xml:space="preserve">In other words, the party who resorts to the courts </w:t>
      </w:r>
      <w:r w:rsidR="00FC25FA" w:rsidRPr="00D869E3">
        <w:rPr>
          <w:b w:val="0"/>
          <w:u w:val="none"/>
          <w:lang w:val="en-US"/>
        </w:rPr>
        <w:t>with a petition</w:t>
      </w:r>
      <w:r w:rsidRPr="00D869E3">
        <w:rPr>
          <w:b w:val="0"/>
          <w:u w:val="none"/>
          <w:lang w:val="en-US"/>
        </w:rPr>
        <w:t xml:space="preserve"> and submits the facts</w:t>
      </w:r>
      <w:r w:rsidR="00FC25FA" w:rsidRPr="00D869E3">
        <w:rPr>
          <w:b w:val="0"/>
          <w:u w:val="none"/>
          <w:lang w:val="en-US"/>
        </w:rPr>
        <w:t xml:space="preserve"> – just </w:t>
      </w:r>
      <w:r w:rsidRPr="00D869E3">
        <w:rPr>
          <w:b w:val="0"/>
          <w:u w:val="none"/>
          <w:lang w:val="en-US"/>
        </w:rPr>
        <w:t>the facts</w:t>
      </w:r>
      <w:r w:rsidR="00FC25FA" w:rsidRPr="00D869E3">
        <w:rPr>
          <w:b w:val="0"/>
          <w:u w:val="none"/>
          <w:lang w:val="en-US"/>
        </w:rPr>
        <w:t xml:space="preserve"> – has </w:t>
      </w:r>
      <w:r w:rsidRPr="00D869E3">
        <w:rPr>
          <w:b w:val="0"/>
          <w:u w:val="none"/>
          <w:lang w:val="en-US"/>
        </w:rPr>
        <w:t>the legitimate expectation that the judge or court will examine the matter and apply the law.</w:t>
      </w:r>
      <w:r w:rsidR="000C55DD" w:rsidRPr="00D869E3">
        <w:rPr>
          <w:u w:val="none"/>
          <w:lang w:val="en-US"/>
        </w:rPr>
        <w:t xml:space="preserve"> </w:t>
      </w:r>
      <w:r w:rsidRPr="00D869E3">
        <w:rPr>
          <w:b w:val="0"/>
          <w:u w:val="none"/>
          <w:lang w:val="en-US"/>
        </w:rPr>
        <w:t xml:space="preserve">It </w:t>
      </w:r>
      <w:r w:rsidR="000C55DD" w:rsidRPr="00D869E3">
        <w:rPr>
          <w:b w:val="0"/>
          <w:u w:val="none"/>
          <w:lang w:val="en-US"/>
        </w:rPr>
        <w:t>follows</w:t>
      </w:r>
      <w:r w:rsidRPr="00D869E3">
        <w:rPr>
          <w:b w:val="0"/>
          <w:u w:val="none"/>
          <w:lang w:val="en-US"/>
        </w:rPr>
        <w:t xml:space="preserve"> the same legal logic as another similar principle </w:t>
      </w:r>
      <w:r w:rsidR="006436CA" w:rsidRPr="00D869E3">
        <w:rPr>
          <w:b w:val="0"/>
          <w:u w:val="none"/>
          <w:lang w:val="en-US"/>
        </w:rPr>
        <w:t>“</w:t>
      </w:r>
      <w:r w:rsidR="00F83E8F" w:rsidRPr="00D869E3">
        <w:rPr>
          <w:b w:val="0"/>
          <w:i/>
          <w:u w:val="none"/>
          <w:lang w:val="en-US"/>
        </w:rPr>
        <w:t>mihi factum, dabo tibi ius</w:t>
      </w:r>
      <w:r w:rsidR="006436CA" w:rsidRPr="00D869E3">
        <w:rPr>
          <w:b w:val="0"/>
          <w:u w:val="none"/>
          <w:lang w:val="en-US"/>
        </w:rPr>
        <w:t>”</w:t>
      </w:r>
      <w:r w:rsidR="00F83E8F" w:rsidRPr="00D869E3">
        <w:rPr>
          <w:b w:val="0"/>
          <w:u w:val="none"/>
          <w:lang w:val="en-US"/>
        </w:rPr>
        <w:t xml:space="preserve"> (</w:t>
      </w:r>
      <w:r w:rsidRPr="00D869E3">
        <w:rPr>
          <w:rStyle w:val="st"/>
          <w:b w:val="0"/>
          <w:bCs/>
          <w:u w:val="none"/>
          <w:lang w:val="en-US"/>
        </w:rPr>
        <w:t xml:space="preserve">give me </w:t>
      </w:r>
      <w:r w:rsidRPr="00D869E3">
        <w:rPr>
          <w:rStyle w:val="st"/>
          <w:b w:val="0"/>
          <w:bCs/>
          <w:u w:val="none"/>
          <w:lang w:val="en-US"/>
        </w:rPr>
        <w:lastRenderedPageBreak/>
        <w:t>the facts, I will give you law</w:t>
      </w:r>
      <w:r w:rsidR="00F83E8F" w:rsidRPr="00D869E3">
        <w:rPr>
          <w:b w:val="0"/>
          <w:u w:val="none"/>
          <w:lang w:val="en-US"/>
        </w:rPr>
        <w:t xml:space="preserve">). </w:t>
      </w:r>
      <w:r w:rsidRPr="00D869E3">
        <w:rPr>
          <w:b w:val="0"/>
          <w:u w:val="none"/>
          <w:lang w:val="en-US"/>
        </w:rPr>
        <w:t>These princ</w:t>
      </w:r>
      <w:r w:rsidR="000C55DD" w:rsidRPr="00D869E3">
        <w:rPr>
          <w:b w:val="0"/>
          <w:u w:val="none"/>
          <w:lang w:val="en-US"/>
        </w:rPr>
        <w:t>ip</w:t>
      </w:r>
      <w:r w:rsidRPr="00D869E3">
        <w:rPr>
          <w:b w:val="0"/>
          <w:u w:val="none"/>
          <w:lang w:val="en-US"/>
        </w:rPr>
        <w:t xml:space="preserve">les are coherent with the broad judicial protection that </w:t>
      </w:r>
      <w:r w:rsidR="00FC25FA" w:rsidRPr="00D869E3">
        <w:rPr>
          <w:b w:val="0"/>
          <w:u w:val="none"/>
          <w:lang w:val="en-US"/>
        </w:rPr>
        <w:t xml:space="preserve">is </w:t>
      </w:r>
      <w:r w:rsidRPr="00D869E3">
        <w:rPr>
          <w:b w:val="0"/>
          <w:u w:val="none"/>
          <w:lang w:val="en-US"/>
        </w:rPr>
        <w:t>especially valid and applicable by a human rights court</w:t>
      </w:r>
      <w:r w:rsidR="00F83E8F" w:rsidRPr="00D869E3">
        <w:rPr>
          <w:b w:val="0"/>
          <w:u w:val="none"/>
          <w:lang w:val="en-US"/>
        </w:rPr>
        <w:t>.</w:t>
      </w:r>
    </w:p>
    <w:p w14:paraId="5C8DD4CC" w14:textId="77777777" w:rsidR="00F83E8F" w:rsidRPr="00D869E3" w:rsidRDefault="00F83E8F" w:rsidP="00F83E8F">
      <w:pPr>
        <w:rPr>
          <w:rFonts w:ascii="Verdana" w:hAnsi="Verdana"/>
          <w:szCs w:val="20"/>
          <w:lang w:val="en-US"/>
        </w:rPr>
      </w:pPr>
    </w:p>
    <w:p w14:paraId="48298501" w14:textId="7CDAB4C8" w:rsidR="00F83E8F" w:rsidRPr="00D869E3" w:rsidRDefault="00F83E8F" w:rsidP="00F83E8F">
      <w:pPr>
        <w:pStyle w:val="Style1"/>
        <w:numPr>
          <w:ilvl w:val="0"/>
          <w:numId w:val="0"/>
        </w:numPr>
        <w:spacing w:after="0" w:line="240" w:lineRule="auto"/>
        <w:jc w:val="both"/>
        <w:rPr>
          <w:b w:val="0"/>
          <w:u w:val="none"/>
          <w:lang w:val="en-US"/>
        </w:rPr>
      </w:pPr>
      <w:r w:rsidRPr="00D869E3">
        <w:rPr>
          <w:b w:val="0"/>
          <w:u w:val="none"/>
          <w:lang w:val="en-US"/>
        </w:rPr>
        <w:t>11.</w:t>
      </w:r>
      <w:r w:rsidRPr="00D869E3">
        <w:rPr>
          <w:b w:val="0"/>
          <w:u w:val="none"/>
          <w:lang w:val="en-US"/>
        </w:rPr>
        <w:tab/>
      </w:r>
      <w:r w:rsidR="000C55DD" w:rsidRPr="00D869E3">
        <w:rPr>
          <w:b w:val="0"/>
          <w:u w:val="none"/>
          <w:lang w:val="en-US"/>
        </w:rPr>
        <w:t>In other words, in certain circumstances, the Court must accept that the facts are sufficient to form the basis for a claim without the interested party expressly alleg</w:t>
      </w:r>
      <w:r w:rsidR="00FC25FA" w:rsidRPr="00D869E3">
        <w:rPr>
          <w:b w:val="0"/>
          <w:u w:val="none"/>
          <w:lang w:val="en-US"/>
        </w:rPr>
        <w:t>ing</w:t>
      </w:r>
      <w:r w:rsidR="000C55DD" w:rsidRPr="00D869E3">
        <w:rPr>
          <w:b w:val="0"/>
          <w:u w:val="none"/>
          <w:lang w:val="en-US"/>
        </w:rPr>
        <w:t xml:space="preserve"> </w:t>
      </w:r>
      <w:r w:rsidR="007013E2" w:rsidRPr="00D869E3">
        <w:rPr>
          <w:b w:val="0"/>
          <w:u w:val="none"/>
          <w:lang w:val="en-US"/>
        </w:rPr>
        <w:t>the violation</w:t>
      </w:r>
      <w:r w:rsidRPr="00D869E3">
        <w:rPr>
          <w:b w:val="0"/>
          <w:u w:val="none"/>
          <w:lang w:val="en-US"/>
        </w:rPr>
        <w:t xml:space="preserve"> </w:t>
      </w:r>
      <w:r w:rsidR="000C55DD" w:rsidRPr="00D869E3">
        <w:rPr>
          <w:b w:val="0"/>
          <w:u w:val="none"/>
          <w:lang w:val="en-US"/>
        </w:rPr>
        <w:t>of a specific a</w:t>
      </w:r>
      <w:r w:rsidR="00447C65" w:rsidRPr="00D869E3">
        <w:rPr>
          <w:b w:val="0"/>
          <w:u w:val="none"/>
          <w:lang w:val="en-US"/>
        </w:rPr>
        <w:t>rticle</w:t>
      </w:r>
      <w:r w:rsidRPr="00D869E3">
        <w:rPr>
          <w:b w:val="0"/>
          <w:u w:val="none"/>
          <w:lang w:val="en-US"/>
        </w:rPr>
        <w:t xml:space="preserve"> </w:t>
      </w:r>
      <w:r w:rsidR="000C55DD" w:rsidRPr="00D869E3">
        <w:rPr>
          <w:b w:val="0"/>
          <w:u w:val="none"/>
          <w:lang w:val="en-US"/>
        </w:rPr>
        <w:t>or provision of the law</w:t>
      </w:r>
      <w:r w:rsidRPr="00D869E3">
        <w:rPr>
          <w:b w:val="0"/>
          <w:u w:val="none"/>
          <w:lang w:val="en-US"/>
        </w:rPr>
        <w:t xml:space="preserve">. </w:t>
      </w:r>
      <w:r w:rsidR="00FC25FA" w:rsidRPr="00D869E3">
        <w:rPr>
          <w:b w:val="0"/>
          <w:u w:val="none"/>
          <w:lang w:val="en-US"/>
        </w:rPr>
        <w:t>And especially</w:t>
      </w:r>
      <w:r w:rsidR="000C55DD" w:rsidRPr="00D869E3">
        <w:rPr>
          <w:b w:val="0"/>
          <w:u w:val="none"/>
          <w:lang w:val="en-US"/>
        </w:rPr>
        <w:t xml:space="preserve"> when the other party (in this case, the State) has had the opportunity to </w:t>
      </w:r>
      <w:r w:rsidR="00FC25FA" w:rsidRPr="00D869E3">
        <w:rPr>
          <w:b w:val="0"/>
          <w:u w:val="none"/>
          <w:lang w:val="en-US"/>
        </w:rPr>
        <w:t>contest</w:t>
      </w:r>
      <w:r w:rsidR="000C55DD" w:rsidRPr="00D869E3">
        <w:rPr>
          <w:b w:val="0"/>
          <w:u w:val="none"/>
          <w:lang w:val="en-US"/>
        </w:rPr>
        <w:t xml:space="preserve"> or to </w:t>
      </w:r>
      <w:r w:rsidR="00FC25FA" w:rsidRPr="00D869E3">
        <w:rPr>
          <w:b w:val="0"/>
          <w:u w:val="none"/>
          <w:lang w:val="en-US"/>
        </w:rPr>
        <w:t>respond to</w:t>
      </w:r>
      <w:r w:rsidR="000C55DD" w:rsidRPr="00D869E3">
        <w:rPr>
          <w:b w:val="0"/>
          <w:u w:val="none"/>
          <w:lang w:val="en-US"/>
        </w:rPr>
        <w:t xml:space="preserve"> the allegation, respecting the adversarial principle. </w:t>
      </w:r>
      <w:r w:rsidRPr="00D869E3">
        <w:rPr>
          <w:b w:val="0"/>
          <w:u w:val="none"/>
          <w:lang w:val="en-US"/>
        </w:rPr>
        <w:t xml:space="preserve"> </w:t>
      </w:r>
    </w:p>
    <w:p w14:paraId="7BE04A9B" w14:textId="77777777" w:rsidR="00F83E8F" w:rsidRPr="00D869E3" w:rsidRDefault="00F83E8F" w:rsidP="00F83E8F">
      <w:pPr>
        <w:pStyle w:val="Style1"/>
        <w:numPr>
          <w:ilvl w:val="0"/>
          <w:numId w:val="0"/>
        </w:numPr>
        <w:spacing w:after="0" w:line="240" w:lineRule="auto"/>
        <w:jc w:val="both"/>
        <w:rPr>
          <w:lang w:val="en-US"/>
        </w:rPr>
      </w:pPr>
    </w:p>
    <w:p w14:paraId="669B14F1" w14:textId="4C5BC2A5" w:rsidR="00F83E8F" w:rsidRPr="00D869E3" w:rsidRDefault="000C55DD" w:rsidP="00F83E8F">
      <w:pPr>
        <w:pStyle w:val="Style1"/>
        <w:numPr>
          <w:ilvl w:val="0"/>
          <w:numId w:val="27"/>
        </w:numPr>
        <w:spacing w:after="0" w:line="240" w:lineRule="auto"/>
        <w:ind w:left="0" w:firstLine="0"/>
        <w:jc w:val="both"/>
        <w:rPr>
          <w:lang w:val="en-US"/>
        </w:rPr>
      </w:pPr>
      <w:r w:rsidRPr="00D869E3">
        <w:rPr>
          <w:b w:val="0"/>
          <w:u w:val="none"/>
          <w:lang w:val="en-US"/>
        </w:rPr>
        <w:t>As mentioned in</w:t>
      </w:r>
      <w:r w:rsidR="00F83E8F" w:rsidRPr="00D869E3">
        <w:rPr>
          <w:b w:val="0"/>
          <w:u w:val="none"/>
          <w:lang w:val="en-US"/>
        </w:rPr>
        <w:t xml:space="preserve"> </w:t>
      </w:r>
      <w:r w:rsidR="00180CED" w:rsidRPr="00D869E3">
        <w:rPr>
          <w:b w:val="0"/>
          <w:u w:val="none"/>
          <w:lang w:val="en-US"/>
        </w:rPr>
        <w:t>paragraph</w:t>
      </w:r>
      <w:r w:rsidR="00F83E8F" w:rsidRPr="00D869E3">
        <w:rPr>
          <w:b w:val="0"/>
          <w:u w:val="none"/>
          <w:lang w:val="en-US"/>
        </w:rPr>
        <w:t xml:space="preserve"> 133 </w:t>
      </w:r>
      <w:r w:rsidRPr="00D869E3">
        <w:rPr>
          <w:b w:val="0"/>
          <w:u w:val="none"/>
          <w:lang w:val="en-US"/>
        </w:rPr>
        <w:t>of the judgment</w:t>
      </w:r>
      <w:r w:rsidR="00F83E8F" w:rsidRPr="00D869E3">
        <w:rPr>
          <w:b w:val="0"/>
          <w:u w:val="none"/>
          <w:lang w:val="en-US"/>
        </w:rPr>
        <w:t xml:space="preserve">, </w:t>
      </w:r>
      <w:r w:rsidR="00447C65" w:rsidRPr="00D869E3">
        <w:rPr>
          <w:b w:val="0"/>
          <w:u w:val="none"/>
          <w:lang w:val="en-US"/>
        </w:rPr>
        <w:t>the Court</w:t>
      </w:r>
      <w:r w:rsidR="00F83E8F" w:rsidRPr="00D869E3">
        <w:rPr>
          <w:b w:val="0"/>
          <w:u w:val="none"/>
          <w:lang w:val="en-US"/>
        </w:rPr>
        <w:t xml:space="preserve"> </w:t>
      </w:r>
      <w:r w:rsidR="00FC25FA" w:rsidRPr="00D869E3">
        <w:rPr>
          <w:b w:val="0"/>
          <w:u w:val="none"/>
          <w:lang w:val="en-US"/>
        </w:rPr>
        <w:t>noted</w:t>
      </w:r>
      <w:r w:rsidRPr="00D869E3">
        <w:rPr>
          <w:b w:val="0"/>
          <w:u w:val="none"/>
          <w:lang w:val="en-US"/>
        </w:rPr>
        <w:t xml:space="preserve"> that, in this case, neither </w:t>
      </w:r>
      <w:r w:rsidR="00FC25FA" w:rsidRPr="00D869E3">
        <w:rPr>
          <w:b w:val="0"/>
          <w:u w:val="none"/>
          <w:lang w:val="en-US"/>
        </w:rPr>
        <w:t>the representatives nor the Commission</w:t>
      </w:r>
      <w:r w:rsidRPr="00D869E3">
        <w:rPr>
          <w:b w:val="0"/>
          <w:u w:val="none"/>
          <w:lang w:val="en-US"/>
        </w:rPr>
        <w:t xml:space="preserve"> expressly mentioned </w:t>
      </w:r>
      <w:r w:rsidR="007013E2" w:rsidRPr="00D869E3">
        <w:rPr>
          <w:b w:val="0"/>
          <w:u w:val="none"/>
          <w:lang w:val="en-US"/>
        </w:rPr>
        <w:t>the violation</w:t>
      </w:r>
      <w:r w:rsidR="00F83E8F" w:rsidRPr="00D869E3">
        <w:rPr>
          <w:b w:val="0"/>
          <w:u w:val="none"/>
          <w:lang w:val="en-US"/>
        </w:rPr>
        <w:t xml:space="preserve"> </w:t>
      </w:r>
      <w:r w:rsidRPr="00D869E3">
        <w:rPr>
          <w:b w:val="0"/>
          <w:u w:val="none"/>
          <w:lang w:val="en-US"/>
        </w:rPr>
        <w:t xml:space="preserve">of labor rights </w:t>
      </w:r>
      <w:r w:rsidR="00BB61A6" w:rsidRPr="00D869E3">
        <w:rPr>
          <w:b w:val="0"/>
          <w:u w:val="none"/>
          <w:lang w:val="en-US"/>
        </w:rPr>
        <w:t>in relation to</w:t>
      </w:r>
      <w:r w:rsidR="00F83E8F" w:rsidRPr="00D869E3">
        <w:rPr>
          <w:b w:val="0"/>
          <w:u w:val="none"/>
          <w:lang w:val="en-US"/>
        </w:rPr>
        <w:t xml:space="preserve"> </w:t>
      </w:r>
      <w:r w:rsidRPr="00D869E3">
        <w:rPr>
          <w:b w:val="0"/>
          <w:u w:val="none"/>
          <w:lang w:val="en-US"/>
        </w:rPr>
        <w:t>a</w:t>
      </w:r>
      <w:r w:rsidR="00447C65" w:rsidRPr="00D869E3">
        <w:rPr>
          <w:b w:val="0"/>
          <w:u w:val="none"/>
          <w:lang w:val="en-US"/>
        </w:rPr>
        <w:t>rticles of the Convention</w:t>
      </w:r>
      <w:r w:rsidR="00F83E8F" w:rsidRPr="00D869E3">
        <w:rPr>
          <w:b w:val="0"/>
          <w:u w:val="none"/>
          <w:lang w:val="en-US"/>
        </w:rPr>
        <w:t xml:space="preserve">. </w:t>
      </w:r>
      <w:r w:rsidRPr="00D869E3">
        <w:rPr>
          <w:b w:val="0"/>
          <w:u w:val="none"/>
          <w:lang w:val="en-US"/>
        </w:rPr>
        <w:t>However, it emphasized that the victim had repeatedly alleged before the domestic courts</w:t>
      </w:r>
      <w:r w:rsidR="00687684" w:rsidRPr="00D869E3">
        <w:rPr>
          <w:b w:val="0"/>
          <w:u w:val="none"/>
          <w:lang w:val="en-US"/>
        </w:rPr>
        <w:t xml:space="preserve"> and</w:t>
      </w:r>
      <w:r w:rsidR="00966115" w:rsidRPr="00D869E3">
        <w:rPr>
          <w:b w:val="0"/>
          <w:u w:val="none"/>
          <w:lang w:val="en-US"/>
        </w:rPr>
        <w:t xml:space="preserve"> before the</w:t>
      </w:r>
      <w:r w:rsidR="00447C65" w:rsidRPr="00D869E3">
        <w:rPr>
          <w:b w:val="0"/>
          <w:u w:val="none"/>
          <w:lang w:val="en-US"/>
        </w:rPr>
        <w:t xml:space="preserve"> Inter-American Commission on Human Rights</w:t>
      </w:r>
      <w:r w:rsidR="00F83E8F" w:rsidRPr="00D869E3">
        <w:rPr>
          <w:b w:val="0"/>
          <w:u w:val="none"/>
          <w:lang w:val="en-US"/>
        </w:rPr>
        <w:t xml:space="preserve"> (</w:t>
      </w:r>
      <w:r w:rsidR="00447C65" w:rsidRPr="00D869E3">
        <w:rPr>
          <w:b w:val="0"/>
          <w:u w:val="none"/>
          <w:lang w:val="en-US"/>
        </w:rPr>
        <w:t>hereinafter</w:t>
      </w:r>
      <w:r w:rsidR="00F83E8F" w:rsidRPr="00D869E3">
        <w:rPr>
          <w:b w:val="0"/>
          <w:u w:val="none"/>
          <w:lang w:val="en-US"/>
        </w:rPr>
        <w:t xml:space="preserve"> </w:t>
      </w:r>
      <w:r w:rsidR="006436CA" w:rsidRPr="00D869E3">
        <w:rPr>
          <w:b w:val="0"/>
          <w:u w:val="none"/>
          <w:lang w:val="en-US"/>
        </w:rPr>
        <w:t>“</w:t>
      </w:r>
      <w:r w:rsidRPr="00D869E3">
        <w:rPr>
          <w:b w:val="0"/>
          <w:u w:val="none"/>
          <w:lang w:val="en-US"/>
        </w:rPr>
        <w:t>the Commission</w:t>
      </w:r>
      <w:r w:rsidR="006436CA" w:rsidRPr="00D869E3">
        <w:rPr>
          <w:b w:val="0"/>
          <w:u w:val="none"/>
          <w:lang w:val="en-US"/>
        </w:rPr>
        <w:t>”</w:t>
      </w:r>
      <w:r w:rsidR="00F83E8F" w:rsidRPr="00D869E3">
        <w:rPr>
          <w:b w:val="0"/>
          <w:u w:val="none"/>
          <w:lang w:val="en-US"/>
        </w:rPr>
        <w:t xml:space="preserve"> o</w:t>
      </w:r>
      <w:r w:rsidRPr="00D869E3">
        <w:rPr>
          <w:b w:val="0"/>
          <w:u w:val="none"/>
          <w:lang w:val="en-US"/>
        </w:rPr>
        <w:t>r</w:t>
      </w:r>
      <w:r w:rsidR="00F83E8F" w:rsidRPr="00D869E3">
        <w:rPr>
          <w:b w:val="0"/>
          <w:u w:val="none"/>
          <w:lang w:val="en-US"/>
        </w:rPr>
        <w:t xml:space="preserve"> </w:t>
      </w:r>
      <w:r w:rsidR="006436CA" w:rsidRPr="00D869E3">
        <w:rPr>
          <w:b w:val="0"/>
          <w:u w:val="none"/>
          <w:lang w:val="en-US"/>
        </w:rPr>
        <w:t>“</w:t>
      </w:r>
      <w:r w:rsidRPr="00D869E3">
        <w:rPr>
          <w:b w:val="0"/>
          <w:u w:val="none"/>
          <w:lang w:val="en-US"/>
        </w:rPr>
        <w:t>the IACHR</w:t>
      </w:r>
      <w:r w:rsidR="006436CA" w:rsidRPr="00D869E3">
        <w:rPr>
          <w:b w:val="0"/>
          <w:u w:val="none"/>
          <w:lang w:val="en-US"/>
        </w:rPr>
        <w:t>”</w:t>
      </w:r>
      <w:r w:rsidR="00F83E8F" w:rsidRPr="00D869E3">
        <w:rPr>
          <w:b w:val="0"/>
          <w:u w:val="none"/>
          <w:lang w:val="en-US"/>
        </w:rPr>
        <w:t xml:space="preserve">) </w:t>
      </w:r>
      <w:r w:rsidR="007013E2" w:rsidRPr="00D869E3">
        <w:rPr>
          <w:b w:val="0"/>
          <w:u w:val="none"/>
          <w:lang w:val="en-US"/>
        </w:rPr>
        <w:t>the violation</w:t>
      </w:r>
      <w:r w:rsidR="00F83E8F" w:rsidRPr="00D869E3">
        <w:rPr>
          <w:b w:val="0"/>
          <w:u w:val="none"/>
          <w:lang w:val="en-US"/>
        </w:rPr>
        <w:t xml:space="preserve"> </w:t>
      </w:r>
      <w:r w:rsidRPr="00D869E3">
        <w:rPr>
          <w:b w:val="0"/>
          <w:u w:val="none"/>
          <w:lang w:val="en-US"/>
        </w:rPr>
        <w:t>of his labor rights, particularly to job security, as well as the consequences of the dismissal.</w:t>
      </w:r>
    </w:p>
    <w:p w14:paraId="667F4C52" w14:textId="77777777" w:rsidR="00F83E8F" w:rsidRPr="00D869E3" w:rsidRDefault="00F83E8F" w:rsidP="00F83E8F">
      <w:pPr>
        <w:rPr>
          <w:rFonts w:ascii="Verdana" w:hAnsi="Verdana"/>
          <w:szCs w:val="20"/>
          <w:lang w:val="en-US"/>
        </w:rPr>
      </w:pPr>
    </w:p>
    <w:p w14:paraId="3C9FDFC6" w14:textId="4B0382E9" w:rsidR="00F83E8F" w:rsidRPr="00D869E3" w:rsidRDefault="00075E68" w:rsidP="000C55DD">
      <w:pPr>
        <w:pStyle w:val="Style1"/>
        <w:numPr>
          <w:ilvl w:val="0"/>
          <w:numId w:val="27"/>
        </w:numPr>
        <w:spacing w:after="0" w:line="240" w:lineRule="auto"/>
        <w:ind w:left="0" w:firstLine="0"/>
        <w:jc w:val="both"/>
        <w:rPr>
          <w:lang w:val="en-US"/>
        </w:rPr>
      </w:pPr>
      <w:r w:rsidRPr="00D869E3">
        <w:rPr>
          <w:b w:val="0"/>
          <w:u w:val="none"/>
          <w:lang w:val="en-US"/>
        </w:rPr>
        <w:t>In this regard</w:t>
      </w:r>
      <w:r w:rsidR="00F83E8F" w:rsidRPr="00D869E3">
        <w:rPr>
          <w:b w:val="0"/>
          <w:u w:val="none"/>
          <w:lang w:val="en-US"/>
        </w:rPr>
        <w:t xml:space="preserve">, </w:t>
      </w:r>
      <w:r w:rsidR="000C55DD" w:rsidRPr="00D869E3">
        <w:rPr>
          <w:b w:val="0"/>
          <w:u w:val="none"/>
          <w:lang w:val="en-US"/>
        </w:rPr>
        <w:t xml:space="preserve">the victim mentioned the violation of his right to work and to job security in at least seven briefs in the domestic jurisdiction. </w:t>
      </w:r>
      <w:r w:rsidR="00FC25FA" w:rsidRPr="00D869E3">
        <w:rPr>
          <w:b w:val="0"/>
          <w:u w:val="none"/>
          <w:lang w:val="en-US"/>
        </w:rPr>
        <w:t>Also, o</w:t>
      </w:r>
      <w:r w:rsidR="000C55DD" w:rsidRPr="00D869E3">
        <w:rPr>
          <w:b w:val="0"/>
          <w:u w:val="none"/>
          <w:lang w:val="en-US"/>
        </w:rPr>
        <w:t>n nine different occasions, the briefs submitted to the Commission mention the violation of his rights as a worker</w:t>
      </w:r>
      <w:r w:rsidR="00F83E8F" w:rsidRPr="00D869E3">
        <w:rPr>
          <w:b w:val="0"/>
          <w:u w:val="none"/>
          <w:lang w:val="en-US"/>
        </w:rPr>
        <w:t xml:space="preserve"> (p</w:t>
      </w:r>
      <w:r w:rsidR="000C55DD" w:rsidRPr="00D869E3">
        <w:rPr>
          <w:b w:val="0"/>
          <w:u w:val="none"/>
          <w:lang w:val="en-US"/>
        </w:rPr>
        <w:t>aras.</w:t>
      </w:r>
      <w:r w:rsidR="00F83E8F" w:rsidRPr="00D869E3">
        <w:rPr>
          <w:b w:val="0"/>
          <w:u w:val="none"/>
          <w:lang w:val="en-US"/>
        </w:rPr>
        <w:t xml:space="preserve"> 133 </w:t>
      </w:r>
      <w:r w:rsidR="000C55DD" w:rsidRPr="00D869E3">
        <w:rPr>
          <w:b w:val="0"/>
          <w:u w:val="none"/>
          <w:lang w:val="en-US"/>
        </w:rPr>
        <w:t>to</w:t>
      </w:r>
      <w:r w:rsidR="00F83E8F" w:rsidRPr="00D869E3">
        <w:rPr>
          <w:b w:val="0"/>
          <w:u w:val="none"/>
          <w:lang w:val="en-US"/>
        </w:rPr>
        <w:t xml:space="preserve"> 135 </w:t>
      </w:r>
      <w:r w:rsidR="000C55DD" w:rsidRPr="00D869E3">
        <w:rPr>
          <w:b w:val="0"/>
          <w:u w:val="none"/>
          <w:lang w:val="en-US"/>
        </w:rPr>
        <w:t>of the judgment</w:t>
      </w:r>
      <w:r w:rsidR="00F83E8F" w:rsidRPr="00D869E3">
        <w:rPr>
          <w:b w:val="0"/>
          <w:u w:val="none"/>
          <w:lang w:val="en-US"/>
        </w:rPr>
        <w:t xml:space="preserve">). </w:t>
      </w:r>
      <w:r w:rsidR="000C55DD" w:rsidRPr="00D869E3">
        <w:rPr>
          <w:b w:val="0"/>
          <w:u w:val="none"/>
          <w:lang w:val="en-US"/>
        </w:rPr>
        <w:t>Consequently</w:t>
      </w:r>
      <w:r w:rsidR="00F83E8F" w:rsidRPr="00D869E3">
        <w:rPr>
          <w:b w:val="0"/>
          <w:u w:val="none"/>
          <w:lang w:val="en-US"/>
        </w:rPr>
        <w:t xml:space="preserve">, </w:t>
      </w:r>
      <w:r w:rsidR="00447C65" w:rsidRPr="00D869E3">
        <w:rPr>
          <w:b w:val="0"/>
          <w:u w:val="none"/>
          <w:lang w:val="en-US"/>
        </w:rPr>
        <w:t>the Court</w:t>
      </w:r>
      <w:r w:rsidR="00F83E8F" w:rsidRPr="00D869E3">
        <w:rPr>
          <w:b w:val="0"/>
          <w:u w:val="none"/>
          <w:lang w:val="en-US"/>
        </w:rPr>
        <w:t xml:space="preserve"> consider</w:t>
      </w:r>
      <w:r w:rsidR="000C55DD" w:rsidRPr="00D869E3">
        <w:rPr>
          <w:b w:val="0"/>
          <w:u w:val="none"/>
          <w:lang w:val="en-US"/>
        </w:rPr>
        <w:t xml:space="preserve">ed that the facts </w:t>
      </w:r>
      <w:r w:rsidR="00FC25FA" w:rsidRPr="00D869E3">
        <w:rPr>
          <w:b w:val="0"/>
          <w:u w:val="none"/>
          <w:lang w:val="en-US"/>
        </w:rPr>
        <w:t>surrounding</w:t>
      </w:r>
      <w:r w:rsidR="000C55DD" w:rsidRPr="00D869E3">
        <w:rPr>
          <w:b w:val="0"/>
          <w:u w:val="none"/>
          <w:lang w:val="en-US"/>
        </w:rPr>
        <w:t xml:space="preserve"> the dismissal had always been </w:t>
      </w:r>
      <w:r w:rsidR="009A1856" w:rsidRPr="00D869E3">
        <w:rPr>
          <w:b w:val="0"/>
          <w:u w:val="none"/>
          <w:lang w:val="en-US"/>
        </w:rPr>
        <w:t xml:space="preserve">indicated before the Peruvian courts </w:t>
      </w:r>
      <w:r w:rsidR="00687684" w:rsidRPr="00D869E3">
        <w:rPr>
          <w:b w:val="0"/>
          <w:u w:val="none"/>
          <w:lang w:val="en-US"/>
        </w:rPr>
        <w:t>and</w:t>
      </w:r>
      <w:r w:rsidR="00966115" w:rsidRPr="00D869E3">
        <w:rPr>
          <w:b w:val="0"/>
          <w:u w:val="none"/>
          <w:lang w:val="en-US"/>
        </w:rPr>
        <w:t xml:space="preserve"> before the</w:t>
      </w:r>
      <w:r w:rsidR="00EE0BD4" w:rsidRPr="00D869E3">
        <w:rPr>
          <w:b w:val="0"/>
          <w:u w:val="none"/>
          <w:lang w:val="en-US"/>
        </w:rPr>
        <w:t xml:space="preserve"> IACHR</w:t>
      </w:r>
      <w:r w:rsidR="00F83E8F" w:rsidRPr="00D869E3">
        <w:rPr>
          <w:b w:val="0"/>
          <w:u w:val="none"/>
          <w:lang w:val="en-US"/>
        </w:rPr>
        <w:t xml:space="preserve"> (</w:t>
      </w:r>
      <w:r w:rsidR="0087339F" w:rsidRPr="00D869E3">
        <w:rPr>
          <w:b w:val="0"/>
          <w:u w:val="none"/>
          <w:lang w:val="en-US"/>
        </w:rPr>
        <w:t>para.</w:t>
      </w:r>
      <w:r w:rsidR="00F83E8F" w:rsidRPr="00D869E3">
        <w:rPr>
          <w:b w:val="0"/>
          <w:u w:val="none"/>
          <w:lang w:val="en-US"/>
        </w:rPr>
        <w:t xml:space="preserve"> 137 </w:t>
      </w:r>
      <w:r w:rsidR="000C55DD" w:rsidRPr="00D869E3">
        <w:rPr>
          <w:b w:val="0"/>
          <w:u w:val="none"/>
          <w:lang w:val="en-US"/>
        </w:rPr>
        <w:t>of the judgment</w:t>
      </w:r>
      <w:r w:rsidR="00F83E8F" w:rsidRPr="00D869E3">
        <w:rPr>
          <w:b w:val="0"/>
          <w:u w:val="none"/>
          <w:lang w:val="en-US"/>
        </w:rPr>
        <w:t>).</w:t>
      </w:r>
    </w:p>
    <w:p w14:paraId="5C587DAE" w14:textId="77777777" w:rsidR="00F83E8F" w:rsidRPr="00D869E3" w:rsidRDefault="00F83E8F" w:rsidP="00F83E8F">
      <w:pPr>
        <w:rPr>
          <w:rFonts w:ascii="Verdana" w:hAnsi="Verdana"/>
          <w:szCs w:val="20"/>
          <w:lang w:val="en-US"/>
        </w:rPr>
      </w:pPr>
    </w:p>
    <w:p w14:paraId="7F584F25" w14:textId="2C6DAAF3" w:rsidR="009A1856" w:rsidRPr="00D869E3" w:rsidRDefault="00447C65" w:rsidP="00F83E8F">
      <w:pPr>
        <w:pStyle w:val="Style1"/>
        <w:numPr>
          <w:ilvl w:val="0"/>
          <w:numId w:val="27"/>
        </w:numPr>
        <w:spacing w:after="0" w:line="240" w:lineRule="auto"/>
        <w:ind w:left="0" w:firstLine="0"/>
        <w:jc w:val="both"/>
        <w:rPr>
          <w:b w:val="0"/>
          <w:u w:val="none"/>
          <w:lang w:val="en-US"/>
        </w:rPr>
      </w:pPr>
      <w:r w:rsidRPr="00D869E3">
        <w:rPr>
          <w:b w:val="0"/>
          <w:u w:val="none"/>
          <w:lang w:val="en-US"/>
        </w:rPr>
        <w:t>The Court</w:t>
      </w:r>
      <w:r w:rsidR="00F83E8F" w:rsidRPr="00D869E3">
        <w:rPr>
          <w:b w:val="0"/>
          <w:u w:val="none"/>
          <w:lang w:val="en-US"/>
        </w:rPr>
        <w:t xml:space="preserve"> decid</w:t>
      </w:r>
      <w:r w:rsidR="009A1856" w:rsidRPr="00D869E3">
        <w:rPr>
          <w:b w:val="0"/>
          <w:u w:val="none"/>
          <w:lang w:val="en-US"/>
        </w:rPr>
        <w:t>ed that it should cite the</w:t>
      </w:r>
      <w:r w:rsidR="00F83E8F" w:rsidRPr="00D869E3">
        <w:rPr>
          <w:b w:val="0"/>
          <w:u w:val="none"/>
          <w:lang w:val="en-US"/>
        </w:rPr>
        <w:t xml:space="preserve"> </w:t>
      </w:r>
      <w:r w:rsidR="00F83E8F" w:rsidRPr="00D869E3">
        <w:rPr>
          <w:b w:val="0"/>
          <w:i/>
          <w:iCs/>
          <w:u w:val="none"/>
          <w:lang w:val="en-US"/>
        </w:rPr>
        <w:t>iura novit curia</w:t>
      </w:r>
      <w:r w:rsidR="009A1856" w:rsidRPr="00D869E3">
        <w:rPr>
          <w:b w:val="0"/>
          <w:u w:val="none"/>
          <w:lang w:val="en-US"/>
        </w:rPr>
        <w:t xml:space="preserve"> principle</w:t>
      </w:r>
      <w:r w:rsidR="00F83E8F" w:rsidRPr="00D869E3">
        <w:rPr>
          <w:b w:val="0"/>
          <w:u w:val="none"/>
          <w:lang w:val="en-US"/>
        </w:rPr>
        <w:t xml:space="preserve"> </w:t>
      </w:r>
      <w:r w:rsidR="009A1856" w:rsidRPr="00D869E3">
        <w:rPr>
          <w:b w:val="0"/>
          <w:u w:val="none"/>
          <w:lang w:val="en-US"/>
        </w:rPr>
        <w:t xml:space="preserve">in order to rule on </w:t>
      </w:r>
      <w:r w:rsidR="007013E2" w:rsidRPr="00D869E3">
        <w:rPr>
          <w:b w:val="0"/>
          <w:u w:val="none"/>
          <w:lang w:val="en-US"/>
        </w:rPr>
        <w:t>the violation</w:t>
      </w:r>
      <w:r w:rsidR="00A157F5" w:rsidRPr="00D869E3">
        <w:rPr>
          <w:b w:val="0"/>
          <w:u w:val="none"/>
          <w:lang w:val="en-US"/>
        </w:rPr>
        <w:t xml:space="preserve"> of the </w:t>
      </w:r>
      <w:r w:rsidR="000B2E5E" w:rsidRPr="00D869E3">
        <w:rPr>
          <w:b w:val="0"/>
          <w:u w:val="none"/>
          <w:lang w:val="en-US"/>
        </w:rPr>
        <w:t xml:space="preserve">right </w:t>
      </w:r>
      <w:r w:rsidR="009A1856" w:rsidRPr="00D869E3">
        <w:rPr>
          <w:b w:val="0"/>
          <w:u w:val="none"/>
          <w:lang w:val="en-US"/>
        </w:rPr>
        <w:t>to work</w:t>
      </w:r>
      <w:r w:rsidR="00687684" w:rsidRPr="00D869E3">
        <w:rPr>
          <w:b w:val="0"/>
          <w:u w:val="none"/>
          <w:lang w:val="en-US"/>
        </w:rPr>
        <w:t xml:space="preserve"> and </w:t>
      </w:r>
      <w:r w:rsidR="009A1856" w:rsidRPr="00D869E3">
        <w:rPr>
          <w:b w:val="0"/>
          <w:u w:val="none"/>
          <w:lang w:val="en-US"/>
        </w:rPr>
        <w:t>to job security based on</w:t>
      </w:r>
      <w:r w:rsidR="00F83E8F" w:rsidRPr="00D869E3">
        <w:rPr>
          <w:b w:val="0"/>
          <w:u w:val="none"/>
          <w:lang w:val="en-US"/>
        </w:rPr>
        <w:t xml:space="preserve"> </w:t>
      </w:r>
      <w:r w:rsidRPr="00D869E3">
        <w:rPr>
          <w:b w:val="0"/>
          <w:u w:val="none"/>
          <w:lang w:val="en-US"/>
        </w:rPr>
        <w:t>Article</w:t>
      </w:r>
      <w:r w:rsidR="00F83E8F" w:rsidRPr="00D869E3">
        <w:rPr>
          <w:b w:val="0"/>
          <w:u w:val="none"/>
          <w:lang w:val="en-US"/>
        </w:rPr>
        <w:t xml:space="preserve"> 26</w:t>
      </w:r>
      <w:r w:rsidRPr="00D869E3">
        <w:rPr>
          <w:b w:val="0"/>
          <w:u w:val="none"/>
          <w:lang w:val="en-US"/>
        </w:rPr>
        <w:t xml:space="preserve"> of the Convention</w:t>
      </w:r>
      <w:r w:rsidR="00F83E8F" w:rsidRPr="00D869E3">
        <w:rPr>
          <w:b w:val="0"/>
          <w:u w:val="none"/>
          <w:lang w:val="en-US"/>
        </w:rPr>
        <w:t xml:space="preserve">. </w:t>
      </w:r>
      <w:r w:rsidR="009A1856" w:rsidRPr="00D869E3">
        <w:rPr>
          <w:b w:val="0"/>
          <w:u w:val="none"/>
          <w:lang w:val="en-US"/>
        </w:rPr>
        <w:t xml:space="preserve">However, I disagree with this </w:t>
      </w:r>
      <w:r w:rsidR="00FC25FA" w:rsidRPr="00D869E3">
        <w:rPr>
          <w:b w:val="0"/>
          <w:u w:val="none"/>
          <w:lang w:val="en-US"/>
        </w:rPr>
        <w:t>decision</w:t>
      </w:r>
      <w:r w:rsidR="009A1856" w:rsidRPr="00D869E3">
        <w:rPr>
          <w:b w:val="0"/>
          <w:u w:val="none"/>
          <w:lang w:val="en-US"/>
        </w:rPr>
        <w:t xml:space="preserve"> </w:t>
      </w:r>
      <w:r w:rsidR="00FC25FA" w:rsidRPr="00D869E3">
        <w:rPr>
          <w:b w:val="0"/>
          <w:u w:val="none"/>
          <w:lang w:val="en-US"/>
        </w:rPr>
        <w:t>as</w:t>
      </w:r>
      <w:r w:rsidR="009A1856" w:rsidRPr="00D869E3">
        <w:rPr>
          <w:b w:val="0"/>
          <w:u w:val="none"/>
          <w:lang w:val="en-US"/>
        </w:rPr>
        <w:t xml:space="preserve"> I consider it unnecessary because the </w:t>
      </w:r>
      <w:r w:rsidR="009A1856" w:rsidRPr="00D869E3">
        <w:rPr>
          <w:b w:val="0"/>
          <w:i/>
          <w:iCs/>
          <w:u w:val="none"/>
          <w:lang w:val="en-US"/>
        </w:rPr>
        <w:t>iura novit curia</w:t>
      </w:r>
      <w:r w:rsidR="009A1856" w:rsidRPr="00D869E3">
        <w:rPr>
          <w:b w:val="0"/>
          <w:u w:val="none"/>
          <w:lang w:val="en-US"/>
        </w:rPr>
        <w:t xml:space="preserve"> principle is applicable only when </w:t>
      </w:r>
      <w:r w:rsidR="00FC25FA" w:rsidRPr="00D869E3">
        <w:rPr>
          <w:b w:val="0"/>
          <w:u w:val="none"/>
          <w:lang w:val="en-US"/>
        </w:rPr>
        <w:t>a</w:t>
      </w:r>
      <w:r w:rsidR="009A1856" w:rsidRPr="00D869E3">
        <w:rPr>
          <w:b w:val="0"/>
          <w:u w:val="none"/>
          <w:lang w:val="en-US"/>
        </w:rPr>
        <w:t xml:space="preserve"> fact is alleged without alleging the law</w:t>
      </w:r>
      <w:r w:rsidR="00FC25FA" w:rsidRPr="00D869E3">
        <w:rPr>
          <w:b w:val="0"/>
          <w:u w:val="none"/>
          <w:lang w:val="en-US"/>
        </w:rPr>
        <w:t xml:space="preserve"> while,</w:t>
      </w:r>
      <w:r w:rsidR="009A1856" w:rsidRPr="00D869E3">
        <w:rPr>
          <w:b w:val="0"/>
          <w:u w:val="none"/>
          <w:lang w:val="en-US"/>
        </w:rPr>
        <w:t xml:space="preserve"> in this case, the law was alleged, and therefore the </w:t>
      </w:r>
      <w:r w:rsidR="00FC25FA" w:rsidRPr="00D869E3">
        <w:rPr>
          <w:b w:val="0"/>
          <w:u w:val="none"/>
          <w:lang w:val="en-US"/>
        </w:rPr>
        <w:t xml:space="preserve">claim </w:t>
      </w:r>
      <w:r w:rsidR="009A1856" w:rsidRPr="00D869E3">
        <w:rPr>
          <w:b w:val="0"/>
          <w:u w:val="none"/>
          <w:lang w:val="en-US"/>
        </w:rPr>
        <w:t xml:space="preserve">and its form are absolutely </w:t>
      </w:r>
      <w:r w:rsidR="00263A21" w:rsidRPr="00D869E3">
        <w:rPr>
          <w:b w:val="0"/>
          <w:u w:val="none"/>
          <w:lang w:val="en-US"/>
        </w:rPr>
        <w:t>appropriate</w:t>
      </w:r>
      <w:r w:rsidR="009A1856" w:rsidRPr="00D869E3">
        <w:rPr>
          <w:b w:val="0"/>
          <w:u w:val="none"/>
          <w:lang w:val="en-US"/>
        </w:rPr>
        <w:t>.</w:t>
      </w:r>
    </w:p>
    <w:p w14:paraId="579728BB" w14:textId="77777777" w:rsidR="00F83E8F" w:rsidRPr="00D869E3" w:rsidRDefault="00F83E8F" w:rsidP="00F83E8F">
      <w:pPr>
        <w:rPr>
          <w:rFonts w:ascii="Verdana" w:hAnsi="Verdana"/>
          <w:szCs w:val="20"/>
          <w:lang w:val="en-US"/>
        </w:rPr>
      </w:pPr>
    </w:p>
    <w:p w14:paraId="5D027170" w14:textId="75E8F4BD" w:rsidR="00F83E8F" w:rsidRPr="00D869E3" w:rsidRDefault="009A1856" w:rsidP="009A1856">
      <w:pPr>
        <w:pStyle w:val="Style1"/>
        <w:numPr>
          <w:ilvl w:val="0"/>
          <w:numId w:val="27"/>
        </w:numPr>
        <w:spacing w:after="0" w:line="240" w:lineRule="auto"/>
        <w:ind w:left="0" w:firstLine="0"/>
        <w:jc w:val="both"/>
        <w:rPr>
          <w:lang w:val="en-US"/>
        </w:rPr>
      </w:pPr>
      <w:r w:rsidRPr="00D869E3">
        <w:rPr>
          <w:b w:val="0"/>
          <w:u w:val="none"/>
          <w:lang w:val="en-US"/>
        </w:rPr>
        <w:t>It would be unreasonable to require the parties t</w:t>
      </w:r>
      <w:r w:rsidR="00263A21" w:rsidRPr="00D869E3">
        <w:rPr>
          <w:b w:val="0"/>
          <w:u w:val="none"/>
          <w:lang w:val="en-US"/>
        </w:rPr>
        <w:t>o</w:t>
      </w:r>
      <w:r w:rsidRPr="00D869E3">
        <w:rPr>
          <w:b w:val="0"/>
          <w:u w:val="none"/>
          <w:lang w:val="en-US"/>
        </w:rPr>
        <w:t xml:space="preserve"> allege, concurrently, before a non-judicial or quasi-judicial organs such as the Inter-American Commission the facts, the rights and also specific articles of the law or international norm, </w:t>
      </w:r>
      <w:r w:rsidR="00263A21" w:rsidRPr="00D869E3">
        <w:rPr>
          <w:b w:val="0"/>
          <w:u w:val="none"/>
          <w:lang w:val="en-US"/>
        </w:rPr>
        <w:t>as this</w:t>
      </w:r>
      <w:r w:rsidRPr="00D869E3">
        <w:rPr>
          <w:b w:val="0"/>
          <w:u w:val="none"/>
          <w:lang w:val="en-US"/>
        </w:rPr>
        <w:t xml:space="preserve"> could result in </w:t>
      </w:r>
      <w:r w:rsidR="00263A21" w:rsidRPr="00D869E3">
        <w:rPr>
          <w:b w:val="0"/>
          <w:u w:val="none"/>
          <w:lang w:val="en-US"/>
        </w:rPr>
        <w:t>a violation</w:t>
      </w:r>
      <w:r w:rsidRPr="00D869E3">
        <w:rPr>
          <w:b w:val="0"/>
          <w:u w:val="none"/>
          <w:lang w:val="en-US"/>
        </w:rPr>
        <w:t xml:space="preserve"> of the right to a simple and prompt remedy established in</w:t>
      </w:r>
      <w:r w:rsidRPr="00D869E3">
        <w:rPr>
          <w:b w:val="0"/>
          <w:bCs/>
          <w:u w:val="none"/>
          <w:lang w:val="en-US"/>
        </w:rPr>
        <w:t xml:space="preserve"> </w:t>
      </w:r>
      <w:r w:rsidR="00447C65" w:rsidRPr="00D869E3">
        <w:rPr>
          <w:b w:val="0"/>
          <w:u w:val="none"/>
          <w:lang w:val="en-US"/>
        </w:rPr>
        <w:t>Article</w:t>
      </w:r>
      <w:r w:rsidR="00F83E8F" w:rsidRPr="00D869E3">
        <w:rPr>
          <w:b w:val="0"/>
          <w:u w:val="none"/>
          <w:lang w:val="en-US"/>
        </w:rPr>
        <w:t xml:space="preserve"> 25</w:t>
      </w:r>
      <w:r w:rsidR="00447C65" w:rsidRPr="00D869E3">
        <w:rPr>
          <w:b w:val="0"/>
          <w:u w:val="none"/>
          <w:lang w:val="en-US"/>
        </w:rPr>
        <w:t xml:space="preserve"> of the Convention</w:t>
      </w:r>
      <w:r w:rsidR="00F83E8F" w:rsidRPr="00D869E3">
        <w:rPr>
          <w:b w:val="0"/>
          <w:u w:val="none"/>
          <w:lang w:val="en-US"/>
        </w:rPr>
        <w:t>.</w:t>
      </w:r>
    </w:p>
    <w:p w14:paraId="41C6B7EB" w14:textId="77777777" w:rsidR="00F83E8F" w:rsidRPr="00D869E3" w:rsidRDefault="00F83E8F" w:rsidP="00F83E8F">
      <w:pPr>
        <w:rPr>
          <w:rFonts w:ascii="Verdana" w:hAnsi="Verdana"/>
          <w:szCs w:val="20"/>
          <w:lang w:val="en-US"/>
        </w:rPr>
      </w:pPr>
    </w:p>
    <w:p w14:paraId="210EFCD5" w14:textId="5021FD95" w:rsidR="009A1856" w:rsidRPr="00D869E3" w:rsidRDefault="009A1856" w:rsidP="009A1856">
      <w:pPr>
        <w:pStyle w:val="Style1"/>
        <w:numPr>
          <w:ilvl w:val="0"/>
          <w:numId w:val="27"/>
        </w:numPr>
        <w:spacing w:after="0" w:line="240" w:lineRule="auto"/>
        <w:ind w:left="0" w:firstLine="0"/>
        <w:jc w:val="both"/>
        <w:rPr>
          <w:lang w:val="en-US"/>
        </w:rPr>
      </w:pPr>
      <w:r w:rsidRPr="00D869E3">
        <w:rPr>
          <w:b w:val="0"/>
          <w:u w:val="none"/>
          <w:lang w:val="en-US"/>
        </w:rPr>
        <w:t xml:space="preserve">In this specific case, it was the victim himself who, on repeated occasions, cited these rights (and not </w:t>
      </w:r>
      <w:r w:rsidR="00263A21" w:rsidRPr="00D869E3">
        <w:rPr>
          <w:b w:val="0"/>
          <w:u w:val="none"/>
          <w:lang w:val="en-US"/>
        </w:rPr>
        <w:t>merely</w:t>
      </w:r>
      <w:r w:rsidRPr="00D869E3">
        <w:rPr>
          <w:b w:val="0"/>
          <w:u w:val="none"/>
          <w:lang w:val="en-US"/>
        </w:rPr>
        <w:t xml:space="preserve"> facts), </w:t>
      </w:r>
      <w:r w:rsidR="00263A21" w:rsidRPr="00D869E3">
        <w:rPr>
          <w:b w:val="0"/>
          <w:u w:val="none"/>
          <w:lang w:val="en-US"/>
        </w:rPr>
        <w:t>which</w:t>
      </w:r>
      <w:r w:rsidRPr="00D869E3">
        <w:rPr>
          <w:b w:val="0"/>
          <w:u w:val="none"/>
          <w:lang w:val="en-US"/>
        </w:rPr>
        <w:t xml:space="preserve"> were ignored by</w:t>
      </w:r>
      <w:r w:rsidRPr="00D869E3">
        <w:rPr>
          <w:b w:val="0"/>
          <w:bCs/>
          <w:u w:val="none"/>
          <w:lang w:val="en-US"/>
        </w:rPr>
        <w:t xml:space="preserve"> </w:t>
      </w:r>
      <w:r w:rsidR="00447C65" w:rsidRPr="00D869E3">
        <w:rPr>
          <w:b w:val="0"/>
          <w:u w:val="none"/>
          <w:lang w:val="en-US"/>
        </w:rPr>
        <w:t>the Commission</w:t>
      </w:r>
      <w:r w:rsidRPr="00D869E3">
        <w:rPr>
          <w:b w:val="0"/>
          <w:u w:val="none"/>
          <w:lang w:val="en-US"/>
        </w:rPr>
        <w:t>.</w:t>
      </w:r>
      <w:r w:rsidR="00F83E8F" w:rsidRPr="00D869E3">
        <w:rPr>
          <w:rStyle w:val="Refdenotaalpie"/>
          <w:rFonts w:eastAsiaTheme="majorEastAsia"/>
          <w:b w:val="0"/>
          <w:bCs/>
          <w:u w:val="none"/>
          <w:lang w:val="en-US"/>
        </w:rPr>
        <w:footnoteReference w:id="282"/>
      </w:r>
      <w:r w:rsidR="00F83E8F" w:rsidRPr="00D869E3">
        <w:rPr>
          <w:b w:val="0"/>
          <w:u w:val="none"/>
          <w:lang w:val="en-US"/>
        </w:rPr>
        <w:t xml:space="preserve"> </w:t>
      </w:r>
      <w:r w:rsidRPr="00D869E3">
        <w:rPr>
          <w:b w:val="0"/>
          <w:u w:val="none"/>
          <w:lang w:val="en-US"/>
        </w:rPr>
        <w:t xml:space="preserve">However, pursuant to a systematic interpretation with practical effects of the treaty and its organs of application, the Court </w:t>
      </w:r>
      <w:r w:rsidR="00263A21" w:rsidRPr="00D869E3">
        <w:rPr>
          <w:b w:val="0"/>
          <w:u w:val="none"/>
          <w:lang w:val="en-US"/>
        </w:rPr>
        <w:t>is empowered</w:t>
      </w:r>
      <w:r w:rsidRPr="00D869E3">
        <w:rPr>
          <w:b w:val="0"/>
          <w:u w:val="none"/>
          <w:lang w:val="en-US"/>
        </w:rPr>
        <w:t xml:space="preserve"> to assess and provide a meaning to the initial petition </w:t>
      </w:r>
      <w:r w:rsidR="00263A21" w:rsidRPr="00D869E3">
        <w:rPr>
          <w:b w:val="0"/>
          <w:u w:val="none"/>
          <w:lang w:val="en-US"/>
        </w:rPr>
        <w:t>that contains</w:t>
      </w:r>
      <w:r w:rsidR="00B508DA" w:rsidRPr="00D869E3">
        <w:rPr>
          <w:b w:val="0"/>
          <w:u w:val="none"/>
          <w:lang w:val="en-US"/>
        </w:rPr>
        <w:t xml:space="preserve"> the claim for justice of the victim who has recourse to the inter-American system.</w:t>
      </w:r>
    </w:p>
    <w:p w14:paraId="01F25CA1" w14:textId="77777777" w:rsidR="00F83E8F" w:rsidRPr="00D869E3" w:rsidRDefault="00F83E8F" w:rsidP="00F83E8F">
      <w:pPr>
        <w:rPr>
          <w:rFonts w:ascii="Verdana" w:hAnsi="Verdana"/>
          <w:szCs w:val="20"/>
          <w:lang w:val="en-US"/>
        </w:rPr>
      </w:pPr>
    </w:p>
    <w:p w14:paraId="49D83805" w14:textId="321CD956" w:rsidR="00F83E8F" w:rsidRPr="00D869E3" w:rsidRDefault="00B508DA" w:rsidP="00F83E8F">
      <w:pPr>
        <w:pStyle w:val="Style1"/>
        <w:numPr>
          <w:ilvl w:val="0"/>
          <w:numId w:val="27"/>
        </w:numPr>
        <w:spacing w:after="0" w:line="240" w:lineRule="auto"/>
        <w:ind w:left="0" w:firstLine="0"/>
        <w:jc w:val="both"/>
        <w:rPr>
          <w:lang w:val="en-US"/>
        </w:rPr>
      </w:pPr>
      <w:r w:rsidRPr="00D869E3">
        <w:rPr>
          <w:b w:val="0"/>
          <w:u w:val="none"/>
          <w:lang w:val="en-US"/>
        </w:rPr>
        <w:t>Thus, the rights alleged by the victim must also be assessed by the Court, without this meaning</w:t>
      </w:r>
      <w:r w:rsidR="00263A21" w:rsidRPr="00D869E3">
        <w:rPr>
          <w:b w:val="0"/>
          <w:u w:val="none"/>
          <w:lang w:val="en-US"/>
        </w:rPr>
        <w:t xml:space="preserve"> that it is</w:t>
      </w:r>
      <w:r w:rsidRPr="00D869E3">
        <w:rPr>
          <w:b w:val="0"/>
          <w:u w:val="none"/>
          <w:lang w:val="en-US"/>
        </w:rPr>
        <w:t xml:space="preserve"> exceeding procedural limits. This is because the initial petition is the most immediate </w:t>
      </w:r>
      <w:r w:rsidR="00263A21" w:rsidRPr="00D869E3">
        <w:rPr>
          <w:b w:val="0"/>
          <w:u w:val="none"/>
          <w:lang w:val="en-US"/>
        </w:rPr>
        <w:t>expression</w:t>
      </w:r>
      <w:r w:rsidRPr="00D869E3">
        <w:rPr>
          <w:b w:val="0"/>
          <w:u w:val="none"/>
          <w:lang w:val="en-US"/>
        </w:rPr>
        <w:t xml:space="preserve"> of the petitioner’s voice.</w:t>
      </w:r>
    </w:p>
    <w:p w14:paraId="06EA061E" w14:textId="77777777" w:rsidR="00F83E8F" w:rsidRPr="00D869E3" w:rsidRDefault="00F83E8F" w:rsidP="00F83E8F">
      <w:pPr>
        <w:rPr>
          <w:rFonts w:ascii="Verdana" w:hAnsi="Verdana"/>
          <w:szCs w:val="20"/>
          <w:lang w:val="en-US"/>
        </w:rPr>
      </w:pPr>
    </w:p>
    <w:p w14:paraId="5AF95F66" w14:textId="4DD50C89" w:rsidR="00F83E8F" w:rsidRPr="00D869E3" w:rsidRDefault="00075E68" w:rsidP="00F83E8F">
      <w:pPr>
        <w:pStyle w:val="Style1"/>
        <w:numPr>
          <w:ilvl w:val="0"/>
          <w:numId w:val="27"/>
        </w:numPr>
        <w:spacing w:after="0" w:line="240" w:lineRule="auto"/>
        <w:ind w:left="0" w:firstLine="0"/>
        <w:jc w:val="both"/>
        <w:rPr>
          <w:lang w:val="en-US"/>
        </w:rPr>
      </w:pPr>
      <w:r w:rsidRPr="00D869E3">
        <w:rPr>
          <w:b w:val="0"/>
          <w:u w:val="none"/>
          <w:lang w:val="en-US"/>
        </w:rPr>
        <w:t>In this regard</w:t>
      </w:r>
      <w:r w:rsidR="00F83E8F" w:rsidRPr="00D869E3">
        <w:rPr>
          <w:b w:val="0"/>
          <w:u w:val="none"/>
          <w:lang w:val="en-US"/>
        </w:rPr>
        <w:t>, ot</w:t>
      </w:r>
      <w:r w:rsidR="00B508DA" w:rsidRPr="00D869E3">
        <w:rPr>
          <w:b w:val="0"/>
          <w:u w:val="none"/>
          <w:lang w:val="en-US"/>
        </w:rPr>
        <w:t xml:space="preserve">her international organs have responded to the essential arguments of the victims by expressly qualifying them, even if they have not necessarily cited the specific right and without expressly mentioning the </w:t>
      </w:r>
      <w:r w:rsidR="00F83E8F" w:rsidRPr="00D869E3">
        <w:rPr>
          <w:b w:val="0"/>
          <w:i/>
          <w:u w:val="none"/>
          <w:lang w:val="en-US"/>
        </w:rPr>
        <w:t>iura novit curia</w:t>
      </w:r>
      <w:r w:rsidR="00B508DA" w:rsidRPr="00D869E3">
        <w:rPr>
          <w:b w:val="0"/>
          <w:i/>
          <w:u w:val="none"/>
          <w:lang w:val="en-US"/>
        </w:rPr>
        <w:t xml:space="preserve"> </w:t>
      </w:r>
      <w:r w:rsidR="00B508DA" w:rsidRPr="00D869E3">
        <w:rPr>
          <w:b w:val="0"/>
          <w:iCs/>
          <w:u w:val="none"/>
          <w:lang w:val="en-US"/>
        </w:rPr>
        <w:t>principle.</w:t>
      </w:r>
      <w:r w:rsidR="00F83E8F" w:rsidRPr="00D869E3">
        <w:rPr>
          <w:rStyle w:val="Refdenotaalpie"/>
          <w:rFonts w:eastAsiaTheme="majorEastAsia"/>
          <w:b w:val="0"/>
          <w:bCs/>
          <w:iCs/>
          <w:u w:val="none"/>
          <w:lang w:val="en-US"/>
        </w:rPr>
        <w:footnoteReference w:id="283"/>
      </w:r>
      <w:r w:rsidR="00F83E8F" w:rsidRPr="00D869E3">
        <w:rPr>
          <w:b w:val="0"/>
          <w:bCs/>
          <w:iCs/>
          <w:u w:val="none"/>
          <w:lang w:val="en-US"/>
        </w:rPr>
        <w:t xml:space="preserve"> </w:t>
      </w:r>
    </w:p>
    <w:p w14:paraId="2BCDB63B" w14:textId="77777777" w:rsidR="00F83E8F" w:rsidRPr="00D869E3" w:rsidRDefault="00F83E8F" w:rsidP="00F83E8F">
      <w:pPr>
        <w:pStyle w:val="Style1"/>
        <w:numPr>
          <w:ilvl w:val="0"/>
          <w:numId w:val="0"/>
        </w:numPr>
        <w:spacing w:after="0" w:line="240" w:lineRule="auto"/>
        <w:jc w:val="both"/>
        <w:rPr>
          <w:lang w:val="en-US"/>
        </w:rPr>
      </w:pPr>
    </w:p>
    <w:p w14:paraId="0DD4B7AC" w14:textId="23F06B05" w:rsidR="00F83E8F" w:rsidRPr="00D869E3" w:rsidRDefault="00301DBE" w:rsidP="00F83E8F">
      <w:pPr>
        <w:pStyle w:val="Style1"/>
        <w:numPr>
          <w:ilvl w:val="0"/>
          <w:numId w:val="27"/>
        </w:numPr>
        <w:spacing w:after="0" w:line="240" w:lineRule="auto"/>
        <w:ind w:left="0" w:firstLine="0"/>
        <w:jc w:val="both"/>
        <w:rPr>
          <w:lang w:val="en-US"/>
        </w:rPr>
      </w:pPr>
      <w:r w:rsidRPr="00D869E3">
        <w:rPr>
          <w:b w:val="0"/>
          <w:u w:val="none"/>
          <w:lang w:val="en-US"/>
        </w:rPr>
        <w:t xml:space="preserve">Thus, it is evident that the main purpose of the petitioner, Mr. </w:t>
      </w:r>
      <w:r w:rsidR="00F83E8F" w:rsidRPr="00D869E3">
        <w:rPr>
          <w:b w:val="0"/>
          <w:u w:val="none"/>
          <w:lang w:val="en-US"/>
        </w:rPr>
        <w:t>Lagos del Campo</w:t>
      </w:r>
      <w:r w:rsidRPr="00D869E3">
        <w:rPr>
          <w:b w:val="0"/>
          <w:u w:val="none"/>
          <w:lang w:val="en-US"/>
        </w:rPr>
        <w:t>, was always the protection of his labor rights, seeking re-establishment of those rights.</w:t>
      </w:r>
    </w:p>
    <w:p w14:paraId="34970AD7" w14:textId="77777777" w:rsidR="00F83E8F" w:rsidRPr="00D869E3" w:rsidRDefault="00F83E8F" w:rsidP="00F83E8F">
      <w:pPr>
        <w:rPr>
          <w:rFonts w:ascii="Verdana" w:hAnsi="Verdana"/>
          <w:szCs w:val="20"/>
          <w:lang w:val="en-US"/>
        </w:rPr>
      </w:pPr>
    </w:p>
    <w:p w14:paraId="2187AD47" w14:textId="4A58F231" w:rsidR="00F83E8F" w:rsidRPr="00D869E3" w:rsidRDefault="000B2E5E" w:rsidP="00F83E8F">
      <w:pPr>
        <w:pStyle w:val="Style1"/>
        <w:spacing w:after="0" w:line="240" w:lineRule="auto"/>
        <w:ind w:left="0" w:firstLine="0"/>
        <w:rPr>
          <w:lang w:val="en-US"/>
        </w:rPr>
      </w:pPr>
      <w:r w:rsidRPr="00D869E3">
        <w:rPr>
          <w:lang w:val="en-US"/>
        </w:rPr>
        <w:t xml:space="preserve">The </w:t>
      </w:r>
      <w:r w:rsidR="00301DBE" w:rsidRPr="00D869E3">
        <w:rPr>
          <w:lang w:val="en-US"/>
        </w:rPr>
        <w:t>right to work</w:t>
      </w:r>
      <w:r w:rsidR="00F83E8F" w:rsidRPr="00D869E3">
        <w:rPr>
          <w:lang w:val="en-US"/>
        </w:rPr>
        <w:t xml:space="preserve"> </w:t>
      </w:r>
      <w:r w:rsidR="00301DBE" w:rsidRPr="00D869E3">
        <w:rPr>
          <w:lang w:val="en-US"/>
        </w:rPr>
        <w:t>protected by</w:t>
      </w:r>
      <w:r w:rsidR="00F83E8F" w:rsidRPr="00D869E3">
        <w:rPr>
          <w:lang w:val="en-US"/>
        </w:rPr>
        <w:t xml:space="preserve"> </w:t>
      </w:r>
      <w:r w:rsidR="00447C65" w:rsidRPr="00D869E3">
        <w:rPr>
          <w:lang w:val="en-US"/>
        </w:rPr>
        <w:t>Articles</w:t>
      </w:r>
      <w:r w:rsidR="00F83E8F" w:rsidRPr="00D869E3">
        <w:rPr>
          <w:lang w:val="en-US"/>
        </w:rPr>
        <w:t xml:space="preserve"> 26</w:t>
      </w:r>
      <w:r w:rsidR="00687684" w:rsidRPr="00D869E3">
        <w:rPr>
          <w:lang w:val="en-US"/>
        </w:rPr>
        <w:t xml:space="preserve"> and </w:t>
      </w:r>
      <w:r w:rsidR="00F83E8F" w:rsidRPr="00D869E3">
        <w:rPr>
          <w:lang w:val="en-US"/>
        </w:rPr>
        <w:t>25</w:t>
      </w:r>
      <w:r w:rsidR="00447C65" w:rsidRPr="00D869E3">
        <w:rPr>
          <w:lang w:val="en-US"/>
        </w:rPr>
        <w:t xml:space="preserve"> of the Convention</w:t>
      </w:r>
    </w:p>
    <w:p w14:paraId="6D0F4818" w14:textId="77777777" w:rsidR="00F83E8F" w:rsidRPr="00D869E3" w:rsidRDefault="00F83E8F" w:rsidP="00F83E8F">
      <w:pPr>
        <w:pStyle w:val="Style1"/>
        <w:numPr>
          <w:ilvl w:val="0"/>
          <w:numId w:val="0"/>
        </w:numPr>
        <w:spacing w:after="0" w:line="240" w:lineRule="auto"/>
        <w:ind w:hanging="720"/>
        <w:jc w:val="both"/>
        <w:rPr>
          <w:lang w:val="en-US"/>
        </w:rPr>
      </w:pPr>
    </w:p>
    <w:p w14:paraId="30A8336E" w14:textId="14B6F8C0" w:rsidR="00301DBE" w:rsidRPr="00D869E3" w:rsidRDefault="00301DBE"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I would point out that in the </w:t>
      </w:r>
      <w:r w:rsidR="00447C65" w:rsidRPr="00D869E3">
        <w:rPr>
          <w:rFonts w:ascii="Verdana" w:hAnsi="Verdana"/>
          <w:i/>
          <w:sz w:val="20"/>
          <w:szCs w:val="20"/>
          <w:lang w:val="en-US"/>
        </w:rPr>
        <w:t>Case</w:t>
      </w:r>
      <w:r w:rsidRPr="00D869E3">
        <w:rPr>
          <w:rFonts w:ascii="Verdana" w:hAnsi="Verdana"/>
          <w:i/>
          <w:sz w:val="20"/>
          <w:szCs w:val="20"/>
          <w:lang w:val="en-US"/>
        </w:rPr>
        <w:t>s</w:t>
      </w:r>
      <w:r w:rsidR="00447C65" w:rsidRPr="00D869E3">
        <w:rPr>
          <w:rFonts w:ascii="Verdana" w:hAnsi="Verdana"/>
          <w:i/>
          <w:sz w:val="20"/>
          <w:szCs w:val="20"/>
          <w:lang w:val="en-US"/>
        </w:rPr>
        <w:t xml:space="preserve"> of</w:t>
      </w:r>
      <w:r w:rsidR="00F83E8F" w:rsidRPr="00D869E3">
        <w:rPr>
          <w:rFonts w:ascii="Verdana" w:hAnsi="Verdana"/>
          <w:i/>
          <w:sz w:val="20"/>
          <w:szCs w:val="20"/>
          <w:lang w:val="en-US"/>
        </w:rPr>
        <w:t xml:space="preserve"> Canales Huapaya</w:t>
      </w:r>
      <w:r w:rsidRPr="00D869E3">
        <w:rPr>
          <w:rFonts w:ascii="Verdana" w:hAnsi="Verdana"/>
          <w:i/>
          <w:sz w:val="20"/>
          <w:szCs w:val="20"/>
          <w:lang w:val="en-US"/>
        </w:rPr>
        <w:t xml:space="preserve"> et al.</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00687684" w:rsidRPr="00D869E3">
        <w:rPr>
          <w:rFonts w:ascii="Verdana" w:hAnsi="Verdana"/>
          <w:i/>
          <w:sz w:val="20"/>
          <w:szCs w:val="20"/>
          <w:lang w:val="en-US"/>
        </w:rPr>
        <w:t xml:space="preserve"> </w:t>
      </w:r>
      <w:r w:rsidR="00687684" w:rsidRPr="00D869E3">
        <w:rPr>
          <w:rFonts w:ascii="Verdana" w:hAnsi="Verdana"/>
          <w:iCs/>
          <w:sz w:val="20"/>
          <w:szCs w:val="20"/>
          <w:lang w:val="en-US"/>
        </w:rPr>
        <w:t>and</w:t>
      </w:r>
      <w:r w:rsidR="00687684" w:rsidRPr="00D869E3">
        <w:rPr>
          <w:rFonts w:ascii="Verdana" w:hAnsi="Verdana"/>
          <w:i/>
          <w:sz w:val="20"/>
          <w:szCs w:val="20"/>
          <w:lang w:val="en-US"/>
        </w:rPr>
        <w:t xml:space="preserve"> </w:t>
      </w:r>
      <w:r w:rsidR="00F83E8F" w:rsidRPr="00D869E3">
        <w:rPr>
          <w:rFonts w:ascii="Verdana" w:hAnsi="Verdana"/>
          <w:i/>
          <w:sz w:val="20"/>
          <w:szCs w:val="20"/>
          <w:lang w:val="en-US"/>
        </w:rPr>
        <w:t>Chinchilla Sandoval</w:t>
      </w:r>
      <w:r w:rsidR="00687684" w:rsidRPr="00D869E3">
        <w:rPr>
          <w:rFonts w:ascii="Verdana" w:hAnsi="Verdana"/>
          <w:i/>
          <w:sz w:val="20"/>
          <w:szCs w:val="20"/>
          <w:lang w:val="en-US"/>
        </w:rPr>
        <w:t xml:space="preserve"> </w:t>
      </w:r>
      <w:r w:rsidRPr="00D869E3">
        <w:rPr>
          <w:rFonts w:ascii="Verdana" w:hAnsi="Verdana"/>
          <w:i/>
          <w:sz w:val="20"/>
          <w:szCs w:val="20"/>
          <w:lang w:val="en-US"/>
        </w:rPr>
        <w:t>et al.</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Guatemala,</w:t>
      </w:r>
      <w:r w:rsidR="00F83E8F" w:rsidRPr="00D869E3">
        <w:rPr>
          <w:rFonts w:ascii="Verdana" w:hAnsi="Verdana"/>
          <w:sz w:val="20"/>
          <w:szCs w:val="20"/>
          <w:lang w:val="en-US"/>
        </w:rPr>
        <w:t xml:space="preserve"> </w:t>
      </w:r>
      <w:r w:rsidRPr="00D869E3">
        <w:rPr>
          <w:rFonts w:ascii="Verdana" w:hAnsi="Verdana"/>
          <w:sz w:val="20"/>
          <w:szCs w:val="20"/>
          <w:lang w:val="en-US"/>
        </w:rPr>
        <w:t xml:space="preserve">I expressed my opinion on the justiciability of the rights derived from </w:t>
      </w:r>
      <w:r w:rsidR="00687684"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F83E8F" w:rsidRPr="00D869E3">
        <w:rPr>
          <w:rFonts w:ascii="Verdana" w:hAnsi="Verdana"/>
          <w:sz w:val="20"/>
          <w:szCs w:val="20"/>
          <w:lang w:val="en-US"/>
        </w:rPr>
        <w:t xml:space="preserve">. </w:t>
      </w:r>
      <w:r w:rsidRPr="00D869E3">
        <w:rPr>
          <w:rFonts w:ascii="Verdana" w:hAnsi="Verdana"/>
          <w:sz w:val="20"/>
          <w:szCs w:val="20"/>
          <w:lang w:val="en-US"/>
        </w:rPr>
        <w:t>I</w:t>
      </w:r>
      <w:r w:rsidR="00F83E8F" w:rsidRPr="00D869E3">
        <w:rPr>
          <w:rFonts w:ascii="Verdana" w:hAnsi="Verdana"/>
          <w:sz w:val="20"/>
          <w:szCs w:val="20"/>
          <w:lang w:val="en-US"/>
        </w:rPr>
        <w:t xml:space="preserve">n particular, </w:t>
      </w:r>
      <w:r w:rsidRPr="00D869E3">
        <w:rPr>
          <w:rFonts w:ascii="Verdana" w:hAnsi="Verdana"/>
          <w:sz w:val="20"/>
          <w:szCs w:val="20"/>
          <w:lang w:val="en-US"/>
        </w:rPr>
        <w:t xml:space="preserve">in the dissenting opinion I submitted </w:t>
      </w:r>
      <w:r w:rsidR="00A4750D" w:rsidRPr="00D869E3">
        <w:rPr>
          <w:rFonts w:ascii="Verdana" w:hAnsi="Verdana"/>
          <w:sz w:val="20"/>
          <w:szCs w:val="20"/>
          <w:lang w:val="en-US"/>
        </w:rPr>
        <w:t>together</w:t>
      </w:r>
      <w:r w:rsidRPr="00D869E3">
        <w:rPr>
          <w:rFonts w:ascii="Verdana" w:hAnsi="Verdana"/>
          <w:sz w:val="20"/>
          <w:szCs w:val="20"/>
          <w:lang w:val="en-US"/>
        </w:rPr>
        <w:t xml:space="preserve"> with </w:t>
      </w:r>
      <w:r w:rsidR="00447C65" w:rsidRPr="00D869E3">
        <w:rPr>
          <w:rFonts w:ascii="Verdana" w:hAnsi="Verdana"/>
          <w:sz w:val="20"/>
          <w:szCs w:val="20"/>
          <w:lang w:val="en-US"/>
        </w:rPr>
        <w:t>Judge</w:t>
      </w:r>
      <w:r w:rsidR="00F83E8F" w:rsidRPr="00D869E3">
        <w:rPr>
          <w:rFonts w:ascii="Verdana" w:hAnsi="Verdana"/>
          <w:sz w:val="20"/>
          <w:szCs w:val="20"/>
          <w:lang w:val="en-US"/>
        </w:rPr>
        <w:t xml:space="preserve"> Ferrer Mac-Gregor Poisot </w:t>
      </w:r>
      <w:r w:rsidRPr="00D869E3">
        <w:rPr>
          <w:rFonts w:ascii="Verdana" w:hAnsi="Verdana"/>
          <w:sz w:val="20"/>
          <w:szCs w:val="20"/>
          <w:lang w:val="en-US"/>
        </w:rPr>
        <w:t>in the</w:t>
      </w:r>
      <w:r w:rsidR="00F83E8F" w:rsidRPr="00D869E3">
        <w:rPr>
          <w:rFonts w:ascii="Verdana" w:hAnsi="Verdana"/>
          <w:sz w:val="20"/>
          <w:szCs w:val="20"/>
          <w:lang w:val="en-US"/>
        </w:rPr>
        <w:t xml:space="preserve"> </w:t>
      </w:r>
      <w:r w:rsidR="00447C65" w:rsidRPr="00D869E3">
        <w:rPr>
          <w:rFonts w:ascii="Verdana" w:hAnsi="Verdana"/>
          <w:i/>
          <w:sz w:val="20"/>
          <w:szCs w:val="20"/>
          <w:lang w:val="en-US"/>
        </w:rPr>
        <w:t>Case of</w:t>
      </w:r>
      <w:r w:rsidR="00F83E8F" w:rsidRPr="00D869E3">
        <w:rPr>
          <w:rFonts w:ascii="Verdana" w:hAnsi="Verdana"/>
          <w:i/>
          <w:sz w:val="20"/>
          <w:szCs w:val="20"/>
          <w:lang w:val="en-US"/>
        </w:rPr>
        <w:t xml:space="preserve"> Canales Huapaya</w:t>
      </w:r>
      <w:r w:rsidR="00687684" w:rsidRPr="00D869E3">
        <w:rPr>
          <w:rFonts w:ascii="Verdana" w:hAnsi="Verdana"/>
          <w:i/>
          <w:sz w:val="20"/>
          <w:szCs w:val="20"/>
          <w:lang w:val="en-US"/>
        </w:rPr>
        <w:t xml:space="preserve"> </w:t>
      </w:r>
      <w:r w:rsidRPr="00D869E3">
        <w:rPr>
          <w:rFonts w:ascii="Verdana" w:hAnsi="Verdana"/>
          <w:i/>
          <w:sz w:val="20"/>
          <w:szCs w:val="20"/>
          <w:lang w:val="en-US"/>
        </w:rPr>
        <w:t>et al.</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Pr="00D869E3">
        <w:rPr>
          <w:rFonts w:ascii="Verdana" w:hAnsi="Verdana"/>
          <w:i/>
          <w:sz w:val="20"/>
          <w:szCs w:val="20"/>
          <w:lang w:val="en-US"/>
        </w:rPr>
        <w:t>,</w:t>
      </w:r>
      <w:r w:rsidR="00F83E8F" w:rsidRPr="00D869E3">
        <w:rPr>
          <w:rFonts w:ascii="Verdana" w:hAnsi="Verdana"/>
          <w:sz w:val="20"/>
          <w:szCs w:val="20"/>
          <w:lang w:val="en-US"/>
        </w:rPr>
        <w:t xml:space="preserve"> </w:t>
      </w:r>
      <w:r w:rsidRPr="00D869E3">
        <w:rPr>
          <w:rFonts w:ascii="Verdana" w:hAnsi="Verdana"/>
          <w:sz w:val="20"/>
          <w:szCs w:val="20"/>
          <w:lang w:val="en-US"/>
        </w:rPr>
        <w:t xml:space="preserve">we underlined the need to make an evolutive interpretation of the scope of the rights established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 </w:t>
      </w:r>
      <w:r w:rsidRPr="00D869E3">
        <w:rPr>
          <w:rFonts w:ascii="Verdana" w:hAnsi="Verdana"/>
          <w:sz w:val="20"/>
          <w:szCs w:val="20"/>
          <w:lang w:val="en-US"/>
        </w:rPr>
        <w:t>of the Convention, and to examine the justiciability of the right to work more thoroughly. In addition, we noted that the right to work is regulated in most Constitutions of the member countries of the Organization of American States. Furthermore, we emphasized that the right to work did not involve an absolute right, and thus it could have limits. In that opinion, we considered that Peru had violated the right to work of the victims and we stated that the right to work was an autonomous right under comparative law.</w:t>
      </w:r>
    </w:p>
    <w:p w14:paraId="0556ED49" w14:textId="77777777" w:rsidR="00F83E8F" w:rsidRPr="00D869E3" w:rsidRDefault="00F83E8F" w:rsidP="00F83E8F">
      <w:pPr>
        <w:rPr>
          <w:rFonts w:ascii="Verdana" w:hAnsi="Verdana"/>
          <w:szCs w:val="20"/>
          <w:lang w:val="en-US"/>
        </w:rPr>
      </w:pPr>
    </w:p>
    <w:p w14:paraId="72D9B580" w14:textId="398AA953" w:rsidR="00F83E8F" w:rsidRPr="00D869E3" w:rsidRDefault="00301DBE" w:rsidP="00301DBE">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Meanwhile, in my separate opinion in the case of </w:t>
      </w:r>
      <w:r w:rsidR="00F83E8F" w:rsidRPr="00D869E3">
        <w:rPr>
          <w:rFonts w:ascii="Verdana" w:hAnsi="Verdana"/>
          <w:i/>
          <w:sz w:val="20"/>
          <w:szCs w:val="20"/>
          <w:lang w:val="en-US"/>
        </w:rPr>
        <w:t>Chinchilla Sandoval</w:t>
      </w:r>
      <w:r w:rsidR="00687684" w:rsidRPr="00D869E3">
        <w:rPr>
          <w:rFonts w:ascii="Verdana" w:hAnsi="Verdana"/>
          <w:i/>
          <w:sz w:val="20"/>
          <w:szCs w:val="20"/>
          <w:lang w:val="en-US"/>
        </w:rPr>
        <w:t xml:space="preserve"> </w:t>
      </w:r>
      <w:r w:rsidRPr="00D869E3">
        <w:rPr>
          <w:rFonts w:ascii="Verdana" w:hAnsi="Verdana"/>
          <w:i/>
          <w:sz w:val="20"/>
          <w:szCs w:val="20"/>
          <w:lang w:val="en-US"/>
        </w:rPr>
        <w:t>et al. v.</w:t>
      </w:r>
      <w:r w:rsidR="00F83E8F" w:rsidRPr="00D869E3">
        <w:rPr>
          <w:rFonts w:ascii="Verdana" w:hAnsi="Verdana"/>
          <w:i/>
          <w:sz w:val="20"/>
          <w:szCs w:val="20"/>
          <w:lang w:val="en-US"/>
        </w:rPr>
        <w:t xml:space="preserve"> Guatemala</w:t>
      </w:r>
      <w:r w:rsidR="00F83E8F" w:rsidRPr="00D869E3">
        <w:rPr>
          <w:rFonts w:ascii="Verdana" w:hAnsi="Verdana"/>
          <w:sz w:val="20"/>
          <w:szCs w:val="20"/>
          <w:lang w:val="en-US"/>
        </w:rPr>
        <w:t xml:space="preserve">, </w:t>
      </w:r>
      <w:r w:rsidRPr="00D869E3">
        <w:rPr>
          <w:rFonts w:ascii="Verdana" w:hAnsi="Verdana"/>
          <w:sz w:val="20"/>
          <w:szCs w:val="20"/>
          <w:lang w:val="en-US"/>
        </w:rPr>
        <w:t xml:space="preserve">I indicated that the jurisdictional protection of the right to health should be more explicit and direct than merely reiterating its protection in relation to the rights to life and to personal integrity. In addition, I mentioned that the Court and the American continent were prepared to make the ESCER justiciable and, thus, possible victims could understand that the </w:t>
      </w:r>
      <w:r w:rsidR="00671B14" w:rsidRPr="00D869E3">
        <w:rPr>
          <w:rFonts w:ascii="Verdana" w:hAnsi="Verdana"/>
          <w:sz w:val="20"/>
          <w:szCs w:val="20"/>
          <w:lang w:val="en-US"/>
        </w:rPr>
        <w:t>inter-American system</w:t>
      </w:r>
      <w:r w:rsidR="00F83E8F" w:rsidRPr="00D869E3">
        <w:rPr>
          <w:rFonts w:ascii="Verdana" w:hAnsi="Verdana"/>
          <w:sz w:val="20"/>
          <w:szCs w:val="20"/>
          <w:lang w:val="en-US"/>
        </w:rPr>
        <w:t xml:space="preserve"> </w:t>
      </w:r>
      <w:r w:rsidR="00A4750D" w:rsidRPr="00D869E3">
        <w:rPr>
          <w:rFonts w:ascii="Verdana" w:hAnsi="Verdana"/>
          <w:sz w:val="20"/>
          <w:szCs w:val="20"/>
          <w:lang w:val="en-US"/>
        </w:rPr>
        <w:t>was</w:t>
      </w:r>
      <w:r w:rsidRPr="00D869E3">
        <w:rPr>
          <w:rFonts w:ascii="Verdana" w:hAnsi="Verdana"/>
          <w:sz w:val="20"/>
          <w:szCs w:val="20"/>
          <w:lang w:val="en-US"/>
        </w:rPr>
        <w:t xml:space="preserve"> a channel open to those who need to realize such rights. </w:t>
      </w:r>
    </w:p>
    <w:p w14:paraId="2514E13E" w14:textId="77777777" w:rsidR="00F83E8F" w:rsidRPr="00D869E3" w:rsidRDefault="00F83E8F" w:rsidP="00F83E8F">
      <w:pPr>
        <w:rPr>
          <w:rFonts w:ascii="Verdana" w:hAnsi="Verdana"/>
          <w:szCs w:val="20"/>
          <w:lang w:val="en-US"/>
        </w:rPr>
      </w:pPr>
    </w:p>
    <w:p w14:paraId="2D11D706" w14:textId="5715C0DE" w:rsidR="00F83E8F" w:rsidRPr="00D869E3" w:rsidRDefault="00301DBE"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lastRenderedPageBreak/>
        <w:t xml:space="preserve">Thus, it is very relevant to reiterate that </w:t>
      </w:r>
      <w:r w:rsidR="000B2E5E" w:rsidRPr="00D869E3">
        <w:rPr>
          <w:rFonts w:ascii="Verdana" w:hAnsi="Verdana"/>
          <w:sz w:val="20"/>
          <w:szCs w:val="20"/>
          <w:lang w:val="en-US"/>
        </w:rPr>
        <w:t xml:space="preserve">the </w:t>
      </w:r>
      <w:r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is a right that is regulated by most Constitutions of the OAS member countries, either explicitly, implicitly with other precepts</w:t>
      </w:r>
      <w:r w:rsidR="00A4750D" w:rsidRPr="00D869E3">
        <w:rPr>
          <w:rFonts w:ascii="Verdana" w:hAnsi="Verdana"/>
          <w:sz w:val="20"/>
          <w:szCs w:val="20"/>
          <w:lang w:val="en-US"/>
        </w:rPr>
        <w:t>,</w:t>
      </w:r>
      <w:r w:rsidRPr="00D869E3">
        <w:rPr>
          <w:rFonts w:ascii="Verdana" w:hAnsi="Verdana"/>
          <w:sz w:val="20"/>
          <w:szCs w:val="20"/>
          <w:lang w:val="en-US"/>
        </w:rPr>
        <w:t xml:space="preserve"> or by the incorporation of international treaties. In the case of Peru, </w:t>
      </w:r>
      <w:r w:rsidR="000B2E5E" w:rsidRPr="00D869E3">
        <w:rPr>
          <w:rFonts w:ascii="Verdana" w:hAnsi="Verdana"/>
          <w:sz w:val="20"/>
          <w:szCs w:val="20"/>
          <w:lang w:val="en-US"/>
        </w:rPr>
        <w:t>the righ</w:t>
      </w:r>
      <w:r w:rsidRPr="00D869E3">
        <w:rPr>
          <w:rFonts w:ascii="Verdana" w:hAnsi="Verdana"/>
          <w:sz w:val="20"/>
          <w:szCs w:val="20"/>
          <w:lang w:val="en-US"/>
        </w:rPr>
        <w:t xml:space="preserve">t to job security was regulated in its Constitution at the time of the facts and at the present time </w:t>
      </w:r>
      <w:r w:rsidR="00F83E8F" w:rsidRPr="00D869E3">
        <w:rPr>
          <w:rFonts w:ascii="Verdana" w:hAnsi="Verdana"/>
          <w:sz w:val="20"/>
          <w:szCs w:val="20"/>
          <w:lang w:val="en-US"/>
        </w:rPr>
        <w:t>(</w:t>
      </w:r>
      <w:r w:rsidR="0087339F" w:rsidRPr="00D869E3">
        <w:rPr>
          <w:rFonts w:ascii="Verdana" w:hAnsi="Verdana"/>
          <w:sz w:val="20"/>
          <w:szCs w:val="20"/>
          <w:lang w:val="en-US"/>
        </w:rPr>
        <w:t>para.</w:t>
      </w:r>
      <w:r w:rsidR="00F83E8F" w:rsidRPr="00D869E3">
        <w:rPr>
          <w:rFonts w:ascii="Verdana" w:hAnsi="Verdana"/>
          <w:sz w:val="20"/>
          <w:szCs w:val="20"/>
          <w:lang w:val="en-US"/>
        </w:rPr>
        <w:t xml:space="preserve"> 138 </w:t>
      </w:r>
      <w:r w:rsidR="000C55DD" w:rsidRPr="00D869E3">
        <w:rPr>
          <w:rFonts w:ascii="Verdana" w:hAnsi="Verdana"/>
          <w:sz w:val="20"/>
          <w:szCs w:val="20"/>
          <w:lang w:val="en-US"/>
        </w:rPr>
        <w:t>of the judgment</w:t>
      </w:r>
      <w:r w:rsidR="00F83E8F" w:rsidRPr="00D869E3">
        <w:rPr>
          <w:rFonts w:ascii="Verdana" w:hAnsi="Verdana"/>
          <w:sz w:val="20"/>
          <w:szCs w:val="20"/>
          <w:lang w:val="en-US"/>
        </w:rPr>
        <w:t xml:space="preserve">). </w:t>
      </w:r>
    </w:p>
    <w:p w14:paraId="2072D04E" w14:textId="77777777" w:rsidR="00F83E8F" w:rsidRPr="00D869E3" w:rsidRDefault="00F83E8F" w:rsidP="00F83E8F">
      <w:pPr>
        <w:rPr>
          <w:rFonts w:ascii="Verdana" w:hAnsi="Verdana"/>
          <w:szCs w:val="20"/>
          <w:lang w:val="en-US"/>
        </w:rPr>
      </w:pPr>
    </w:p>
    <w:p w14:paraId="6FAE12FB" w14:textId="7894EDD8" w:rsidR="00F83E8F" w:rsidRPr="00D869E3" w:rsidRDefault="00301DBE" w:rsidP="00301DBE">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Based on the above, it is pertinent to mention that </w:t>
      </w:r>
      <w:r w:rsidR="000B2E5E" w:rsidRPr="00D869E3">
        <w:rPr>
          <w:rFonts w:ascii="Verdana" w:hAnsi="Verdana"/>
          <w:sz w:val="20"/>
          <w:szCs w:val="20"/>
          <w:lang w:val="en-US"/>
        </w:rPr>
        <w:t xml:space="preserve">the </w:t>
      </w:r>
      <w:r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 xml:space="preserve">is not a new or emerging right. To the contrary, it consists in a right that is solidly consolidated and has been recognized for a long time in the countries of the region, as established in </w:t>
      </w:r>
      <w:r w:rsidR="00180CED" w:rsidRPr="00D869E3">
        <w:rPr>
          <w:rFonts w:ascii="Verdana" w:hAnsi="Verdana"/>
          <w:sz w:val="20"/>
          <w:szCs w:val="20"/>
          <w:lang w:val="en-US"/>
        </w:rPr>
        <w:t>paragraph</w:t>
      </w:r>
      <w:r w:rsidR="00F83E8F" w:rsidRPr="00D869E3">
        <w:rPr>
          <w:rFonts w:ascii="Verdana" w:hAnsi="Verdana"/>
          <w:sz w:val="20"/>
          <w:szCs w:val="20"/>
          <w:lang w:val="en-US"/>
        </w:rPr>
        <w:t xml:space="preserve"> 145 </w:t>
      </w:r>
      <w:r w:rsidR="000C55DD" w:rsidRPr="00D869E3">
        <w:rPr>
          <w:rFonts w:ascii="Verdana" w:hAnsi="Verdana"/>
          <w:sz w:val="20"/>
          <w:szCs w:val="20"/>
          <w:lang w:val="en-US"/>
        </w:rPr>
        <w:t>of the judgment</w:t>
      </w:r>
      <w:r w:rsidR="00F83E8F" w:rsidRPr="00D869E3">
        <w:rPr>
          <w:rFonts w:ascii="Verdana" w:hAnsi="Verdana"/>
          <w:sz w:val="20"/>
          <w:szCs w:val="20"/>
          <w:lang w:val="en-US"/>
        </w:rPr>
        <w:t xml:space="preserve">. </w:t>
      </w:r>
      <w:r w:rsidRPr="00D869E3">
        <w:rPr>
          <w:rFonts w:ascii="Verdana" w:hAnsi="Verdana"/>
          <w:sz w:val="20"/>
          <w:szCs w:val="20"/>
          <w:lang w:val="en-US"/>
        </w:rPr>
        <w:t>Similarly, the different States of the Americas have established domestic labor courts to protect the rights of workers and, in many case</w:t>
      </w:r>
      <w:r w:rsidR="00A4750D" w:rsidRPr="00D869E3">
        <w:rPr>
          <w:rFonts w:ascii="Verdana" w:hAnsi="Verdana"/>
          <w:sz w:val="20"/>
          <w:szCs w:val="20"/>
          <w:lang w:val="en-US"/>
        </w:rPr>
        <w:t>s</w:t>
      </w:r>
      <w:r w:rsidRPr="00D869E3">
        <w:rPr>
          <w:rFonts w:ascii="Verdana" w:hAnsi="Verdana"/>
          <w:sz w:val="20"/>
          <w:szCs w:val="20"/>
          <w:lang w:val="en-US"/>
        </w:rPr>
        <w:t>, this may lead to proce</w:t>
      </w:r>
      <w:r w:rsidR="006F6FD2" w:rsidRPr="00D869E3">
        <w:rPr>
          <w:rFonts w:ascii="Verdana" w:hAnsi="Verdana"/>
          <w:sz w:val="20"/>
          <w:szCs w:val="20"/>
          <w:lang w:val="en-US"/>
        </w:rPr>
        <w:t>edings that even reach a country’s highest courts. Consequently, the recognition of the autonomy of the right to work as an autonomous human right protected by the American Convention should not have significant effects in the domestic sphere of the countries that, for decades, have protected this right at the domestic level; rather, it contributes to strengthening the mechanisms to guarantee its effectiveness. This is also evident from the need to guarantee judicial protection</w:t>
      </w:r>
      <w:r w:rsidR="00F83E8F" w:rsidRPr="00D869E3">
        <w:rPr>
          <w:rFonts w:ascii="Verdana" w:hAnsi="Verdana"/>
          <w:sz w:val="20"/>
          <w:szCs w:val="20"/>
          <w:lang w:val="en-US"/>
        </w:rPr>
        <w:t xml:space="preserve"> (</w:t>
      </w:r>
      <w:r w:rsidR="00901386" w:rsidRPr="00D869E3">
        <w:rPr>
          <w:rFonts w:ascii="Verdana" w:hAnsi="Verdana"/>
          <w:sz w:val="20"/>
          <w:szCs w:val="20"/>
          <w:lang w:val="en-US"/>
        </w:rPr>
        <w:t>access to justice</w:t>
      </w:r>
      <w:r w:rsidR="00F83E8F" w:rsidRPr="00D869E3">
        <w:rPr>
          <w:rFonts w:ascii="Verdana" w:hAnsi="Verdana"/>
          <w:sz w:val="20"/>
          <w:szCs w:val="20"/>
          <w:lang w:val="en-US"/>
        </w:rPr>
        <w:t xml:space="preserve">) </w:t>
      </w:r>
      <w:r w:rsidR="006F6FD2" w:rsidRPr="00D869E3">
        <w:rPr>
          <w:rFonts w:ascii="Verdana" w:hAnsi="Verdana"/>
          <w:sz w:val="20"/>
          <w:szCs w:val="20"/>
          <w:lang w:val="en-US"/>
        </w:rPr>
        <w:t xml:space="preserve">to the rights recognized in domestic laws, as established in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25</w:t>
      </w:r>
      <w:r w:rsidR="00687684" w:rsidRPr="00D869E3">
        <w:rPr>
          <w:rFonts w:ascii="Verdana" w:hAnsi="Verdana"/>
          <w:sz w:val="20"/>
          <w:szCs w:val="20"/>
          <w:lang w:val="en-US"/>
        </w:rPr>
        <w:t xml:space="preserve"> and </w:t>
      </w:r>
      <w:r w:rsidR="00F83E8F" w:rsidRPr="00D869E3">
        <w:rPr>
          <w:rFonts w:ascii="Verdana" w:hAnsi="Verdana"/>
          <w:sz w:val="20"/>
          <w:szCs w:val="20"/>
          <w:lang w:val="en-US"/>
        </w:rPr>
        <w:t xml:space="preserve">29 </w:t>
      </w:r>
      <w:r w:rsidR="006F6FD2" w:rsidRPr="00D869E3">
        <w:rPr>
          <w:rFonts w:ascii="Verdana" w:hAnsi="Verdana"/>
          <w:sz w:val="20"/>
          <w:szCs w:val="20"/>
          <w:lang w:val="en-US"/>
        </w:rPr>
        <w:t xml:space="preserve">of the American Convention </w:t>
      </w:r>
      <w:r w:rsidR="00F83E8F" w:rsidRPr="00D869E3">
        <w:rPr>
          <w:rFonts w:ascii="Verdana" w:hAnsi="Verdana"/>
          <w:sz w:val="20"/>
          <w:szCs w:val="20"/>
          <w:lang w:val="en-US"/>
        </w:rPr>
        <w:t>(</w:t>
      </w:r>
      <w:r w:rsidR="0087339F" w:rsidRPr="00D869E3">
        <w:rPr>
          <w:rFonts w:ascii="Verdana" w:hAnsi="Verdana"/>
          <w:sz w:val="20"/>
          <w:szCs w:val="20"/>
          <w:lang w:val="en-US"/>
        </w:rPr>
        <w:t>paras.</w:t>
      </w:r>
      <w:r w:rsidR="00F83E8F" w:rsidRPr="00D869E3">
        <w:rPr>
          <w:rFonts w:ascii="Verdana" w:hAnsi="Verdana"/>
          <w:sz w:val="20"/>
          <w:szCs w:val="20"/>
          <w:lang w:val="en-US"/>
        </w:rPr>
        <w:t xml:space="preserve"> 173 </w:t>
      </w:r>
      <w:r w:rsidR="006F6FD2" w:rsidRPr="00D869E3">
        <w:rPr>
          <w:rFonts w:ascii="Verdana" w:hAnsi="Verdana"/>
          <w:sz w:val="20"/>
          <w:szCs w:val="20"/>
          <w:lang w:val="en-US"/>
        </w:rPr>
        <w:t>to</w:t>
      </w:r>
      <w:r w:rsidR="00F83E8F" w:rsidRPr="00D869E3">
        <w:rPr>
          <w:rFonts w:ascii="Verdana" w:hAnsi="Verdana"/>
          <w:sz w:val="20"/>
          <w:szCs w:val="20"/>
          <w:lang w:val="en-US"/>
        </w:rPr>
        <w:t xml:space="preserve"> 176 </w:t>
      </w:r>
      <w:r w:rsidR="000C55DD" w:rsidRPr="00D869E3">
        <w:rPr>
          <w:rFonts w:ascii="Verdana" w:hAnsi="Verdana"/>
          <w:sz w:val="20"/>
          <w:szCs w:val="20"/>
          <w:lang w:val="en-US"/>
        </w:rPr>
        <w:t>of the judgment</w:t>
      </w:r>
      <w:r w:rsidR="00F83E8F" w:rsidRPr="00D869E3">
        <w:rPr>
          <w:rFonts w:ascii="Verdana" w:hAnsi="Verdana"/>
          <w:sz w:val="20"/>
          <w:szCs w:val="20"/>
          <w:lang w:val="en-US"/>
        </w:rPr>
        <w:t>).</w:t>
      </w:r>
    </w:p>
    <w:p w14:paraId="041B0E70" w14:textId="77777777" w:rsidR="00F83E8F" w:rsidRPr="00D869E3" w:rsidRDefault="00F83E8F" w:rsidP="00F83E8F">
      <w:pPr>
        <w:pStyle w:val="Prrafodelista"/>
        <w:ind w:left="0"/>
        <w:jc w:val="both"/>
        <w:rPr>
          <w:rFonts w:ascii="Verdana" w:hAnsi="Verdana"/>
          <w:sz w:val="20"/>
          <w:szCs w:val="20"/>
          <w:lang w:val="en-US"/>
        </w:rPr>
      </w:pPr>
    </w:p>
    <w:p w14:paraId="1D059DB4" w14:textId="5D0DCA91" w:rsidR="00F83E8F" w:rsidRPr="00D869E3" w:rsidRDefault="00075E68"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In this regard</w:t>
      </w:r>
      <w:r w:rsidR="006F6FD2" w:rsidRPr="00D869E3">
        <w:rPr>
          <w:rFonts w:ascii="Verdana" w:hAnsi="Verdana"/>
          <w:sz w:val="20"/>
          <w:szCs w:val="20"/>
          <w:lang w:val="en-US"/>
        </w:rPr>
        <w:t>,</w:t>
      </w:r>
      <w:r w:rsidR="00F83E8F" w:rsidRPr="00D869E3">
        <w:rPr>
          <w:rFonts w:ascii="Verdana" w:hAnsi="Verdana"/>
          <w:sz w:val="20"/>
          <w:szCs w:val="20"/>
          <w:lang w:val="en-US"/>
        </w:rPr>
        <w:t xml:space="preserve"> </w:t>
      </w:r>
      <w:r w:rsidR="0087339F" w:rsidRPr="00D869E3">
        <w:rPr>
          <w:rFonts w:ascii="Verdana" w:hAnsi="Verdana"/>
          <w:sz w:val="20"/>
          <w:szCs w:val="20"/>
          <w:lang w:val="en-US"/>
        </w:rPr>
        <w:t>the Preamble</w:t>
      </w:r>
      <w:r w:rsidR="00447C65" w:rsidRPr="00D869E3">
        <w:rPr>
          <w:rFonts w:ascii="Verdana" w:hAnsi="Verdana"/>
          <w:sz w:val="20"/>
          <w:szCs w:val="20"/>
          <w:lang w:val="en-US"/>
        </w:rPr>
        <w:t xml:space="preserve"> </w:t>
      </w:r>
      <w:r w:rsidR="006F6FD2" w:rsidRPr="00D869E3">
        <w:rPr>
          <w:rFonts w:ascii="Verdana" w:hAnsi="Verdana"/>
          <w:sz w:val="20"/>
          <w:szCs w:val="20"/>
          <w:lang w:val="en-US"/>
        </w:rPr>
        <w:t>to</w:t>
      </w:r>
      <w:r w:rsidR="00447C65" w:rsidRPr="00D869E3">
        <w:rPr>
          <w:rFonts w:ascii="Verdana" w:hAnsi="Verdana"/>
          <w:sz w:val="20"/>
          <w:szCs w:val="20"/>
          <w:lang w:val="en-US"/>
        </w:rPr>
        <w:t xml:space="preserve"> the American Convention</w:t>
      </w:r>
      <w:r w:rsidR="00F83E8F" w:rsidRPr="00D869E3">
        <w:rPr>
          <w:rFonts w:ascii="Verdana" w:hAnsi="Verdana"/>
          <w:sz w:val="20"/>
          <w:szCs w:val="20"/>
          <w:lang w:val="en-US"/>
        </w:rPr>
        <w:t xml:space="preserve"> (1969) </w:t>
      </w:r>
      <w:r w:rsidR="006F6FD2" w:rsidRPr="00D869E3">
        <w:rPr>
          <w:rFonts w:ascii="Verdana" w:hAnsi="Verdana"/>
          <w:sz w:val="20"/>
          <w:szCs w:val="20"/>
          <w:lang w:val="en-US"/>
        </w:rPr>
        <w:t xml:space="preserve">clearly establishes the inclusiveness and validity </w:t>
      </w:r>
      <w:r w:rsidR="00EA232B" w:rsidRPr="00D869E3">
        <w:rPr>
          <w:rFonts w:ascii="Verdana" w:hAnsi="Verdana"/>
          <w:sz w:val="20"/>
          <w:szCs w:val="20"/>
          <w:lang w:val="en-US"/>
        </w:rPr>
        <w:t xml:space="preserve">of the </w:t>
      </w:r>
      <w:r w:rsidR="00671B14" w:rsidRPr="00D869E3">
        <w:rPr>
          <w:rFonts w:ascii="Verdana" w:hAnsi="Verdana"/>
          <w:sz w:val="20"/>
          <w:szCs w:val="20"/>
          <w:lang w:val="en-US"/>
        </w:rPr>
        <w:t>ESCER</w:t>
      </w:r>
      <w:r w:rsidR="00F83E8F" w:rsidRPr="00D869E3">
        <w:rPr>
          <w:rFonts w:ascii="Verdana" w:hAnsi="Verdana"/>
          <w:sz w:val="20"/>
          <w:szCs w:val="20"/>
          <w:lang w:val="en-US"/>
        </w:rPr>
        <w:t xml:space="preserve">: </w:t>
      </w:r>
    </w:p>
    <w:p w14:paraId="7B7FD303" w14:textId="77777777" w:rsidR="00F83E8F" w:rsidRPr="00D869E3" w:rsidRDefault="00F83E8F" w:rsidP="00F83E8F">
      <w:pPr>
        <w:pStyle w:val="Prrafodelista"/>
        <w:ind w:left="0"/>
        <w:rPr>
          <w:rFonts w:ascii="Verdana" w:hAnsi="Verdana"/>
          <w:sz w:val="20"/>
          <w:szCs w:val="20"/>
          <w:lang w:val="en-US"/>
        </w:rPr>
      </w:pPr>
    </w:p>
    <w:p w14:paraId="5481A93D" w14:textId="5307233E" w:rsidR="006F6FD2" w:rsidRPr="00D869E3" w:rsidRDefault="006436CA" w:rsidP="00F83E8F">
      <w:pPr>
        <w:pStyle w:val="Prrafodelista"/>
        <w:ind w:right="720"/>
        <w:jc w:val="both"/>
        <w:rPr>
          <w:rFonts w:ascii="Verdana" w:hAnsi="Verdana"/>
          <w:spacing w:val="-3"/>
          <w:sz w:val="16"/>
          <w:szCs w:val="16"/>
          <w:lang w:val="en-US"/>
        </w:rPr>
      </w:pPr>
      <w:r w:rsidRPr="00D869E3">
        <w:rPr>
          <w:rFonts w:ascii="Verdana" w:hAnsi="Verdana"/>
          <w:sz w:val="16"/>
          <w:szCs w:val="16"/>
          <w:lang w:val="en-US"/>
        </w:rPr>
        <w:t>“</w:t>
      </w:r>
      <w:r w:rsidR="00F83E8F" w:rsidRPr="00D869E3">
        <w:rPr>
          <w:rFonts w:ascii="Verdana" w:hAnsi="Verdana"/>
          <w:sz w:val="16"/>
          <w:szCs w:val="16"/>
          <w:lang w:val="en-US"/>
        </w:rPr>
        <w:t xml:space="preserve">[…] </w:t>
      </w:r>
      <w:r w:rsidR="006F6FD2" w:rsidRPr="00D869E3">
        <w:rPr>
          <w:rFonts w:ascii="Verdana" w:hAnsi="Verdana"/>
          <w:spacing w:val="-3"/>
          <w:sz w:val="16"/>
          <w:szCs w:val="16"/>
          <w:lang w:val="en-US"/>
        </w:rPr>
        <w:t xml:space="preserve">Reiterating that, in accordance with the Universal Declaration of Human Rights, the ideal of free men enjoying freedom from fear and want can be achieved only if conditions are created whereby everyone may </w:t>
      </w:r>
      <w:r w:rsidR="006F6FD2" w:rsidRPr="00D869E3">
        <w:rPr>
          <w:rFonts w:ascii="Verdana" w:hAnsi="Verdana"/>
          <w:b/>
          <w:bCs/>
          <w:i/>
          <w:iCs/>
          <w:spacing w:val="-3"/>
          <w:sz w:val="16"/>
          <w:szCs w:val="16"/>
          <w:lang w:val="en-US"/>
        </w:rPr>
        <w:t xml:space="preserve">enjoy his economic, social, and cultural rights, as well as his civil and political rights, </w:t>
      </w:r>
      <w:r w:rsidR="006F6FD2" w:rsidRPr="00D869E3">
        <w:rPr>
          <w:rFonts w:ascii="Verdana" w:hAnsi="Verdana"/>
          <w:spacing w:val="-3"/>
          <w:sz w:val="16"/>
          <w:szCs w:val="16"/>
          <w:lang w:val="en-US"/>
        </w:rPr>
        <w:t>and</w:t>
      </w:r>
    </w:p>
    <w:p w14:paraId="63224836" w14:textId="77777777" w:rsidR="006F6FD2" w:rsidRPr="00D869E3" w:rsidRDefault="006F6FD2" w:rsidP="00F83E8F">
      <w:pPr>
        <w:pStyle w:val="Prrafodelista"/>
        <w:ind w:right="720"/>
        <w:jc w:val="both"/>
        <w:rPr>
          <w:rFonts w:ascii="Verdana" w:hAnsi="Verdana"/>
          <w:spacing w:val="-3"/>
          <w:sz w:val="16"/>
          <w:szCs w:val="16"/>
          <w:lang w:val="en-US"/>
        </w:rPr>
      </w:pPr>
    </w:p>
    <w:p w14:paraId="56B3F7C2" w14:textId="1D8B108A" w:rsidR="00F83E8F" w:rsidRPr="00D869E3" w:rsidRDefault="006F6FD2" w:rsidP="00B05098">
      <w:pPr>
        <w:pStyle w:val="Prrafodelista"/>
        <w:ind w:right="656"/>
        <w:jc w:val="both"/>
        <w:rPr>
          <w:rFonts w:ascii="Verdana" w:hAnsi="Verdana"/>
          <w:spacing w:val="-3"/>
          <w:sz w:val="16"/>
          <w:szCs w:val="16"/>
          <w:lang w:val="en-US"/>
        </w:rPr>
      </w:pPr>
      <w:r w:rsidRPr="00D869E3">
        <w:rPr>
          <w:rFonts w:ascii="Verdana" w:hAnsi="Verdana"/>
          <w:spacing w:val="-3"/>
          <w:sz w:val="16"/>
          <w:szCs w:val="16"/>
          <w:lang w:val="en-US"/>
        </w:rPr>
        <w:t>Considering that the Third Special Inter</w:t>
      </w:r>
      <w:r w:rsidRPr="00D869E3">
        <w:rPr>
          <w:rFonts w:ascii="Verdana" w:hAnsi="Verdana"/>
          <w:spacing w:val="-3"/>
          <w:sz w:val="16"/>
          <w:szCs w:val="16"/>
          <w:lang w:val="en-US"/>
        </w:rPr>
        <w:noBreakHyphen/>
        <w:t xml:space="preserve">American Conference (Buenos Aires, 1967) approved the incorporation into the Charter of the Organization itself of </w:t>
      </w:r>
      <w:r w:rsidRPr="00D869E3">
        <w:rPr>
          <w:rFonts w:ascii="Verdana" w:hAnsi="Verdana"/>
          <w:b/>
          <w:bCs/>
          <w:i/>
          <w:iCs/>
          <w:spacing w:val="-3"/>
          <w:sz w:val="16"/>
          <w:szCs w:val="16"/>
          <w:lang w:val="en-US"/>
        </w:rPr>
        <w:t xml:space="preserve">broader standards with respect to economic, social, and educational rights </w:t>
      </w:r>
      <w:r w:rsidRPr="00D869E3">
        <w:rPr>
          <w:rFonts w:ascii="Verdana" w:hAnsi="Verdana"/>
          <w:spacing w:val="-3"/>
          <w:sz w:val="16"/>
          <w:szCs w:val="16"/>
          <w:lang w:val="en-US"/>
        </w:rPr>
        <w:t>and resolved that an inter</w:t>
      </w:r>
      <w:r w:rsidRPr="00D869E3">
        <w:rPr>
          <w:rFonts w:ascii="Verdana" w:hAnsi="Verdana"/>
          <w:spacing w:val="-3"/>
          <w:sz w:val="16"/>
          <w:szCs w:val="16"/>
          <w:lang w:val="en-US"/>
        </w:rPr>
        <w:noBreakHyphen/>
        <w:t>American convention on human rights should determine the structure, competence, and procedure of the organs responsible for these matters</w:t>
      </w:r>
      <w:r w:rsidR="00F83E8F" w:rsidRPr="00D869E3">
        <w:rPr>
          <w:rFonts w:ascii="Verdana" w:hAnsi="Verdana"/>
          <w:sz w:val="16"/>
          <w:szCs w:val="16"/>
          <w:lang w:val="en-US"/>
        </w:rPr>
        <w:t xml:space="preserve"> […]</w:t>
      </w:r>
      <w:r w:rsidRPr="00D869E3">
        <w:rPr>
          <w:rFonts w:ascii="Verdana" w:hAnsi="Verdana"/>
          <w:sz w:val="16"/>
          <w:szCs w:val="16"/>
          <w:lang w:val="en-US"/>
        </w:rPr>
        <w:t>.</w:t>
      </w:r>
      <w:r w:rsidR="006436CA" w:rsidRPr="00D869E3">
        <w:rPr>
          <w:rFonts w:ascii="Verdana" w:hAnsi="Verdana"/>
          <w:sz w:val="16"/>
          <w:szCs w:val="16"/>
          <w:lang w:val="en-US"/>
        </w:rPr>
        <w:t>”</w:t>
      </w:r>
      <w:r w:rsidR="00F83E8F" w:rsidRPr="00D869E3">
        <w:rPr>
          <w:rStyle w:val="Refdenotaalpie"/>
          <w:sz w:val="16"/>
          <w:szCs w:val="16"/>
          <w:lang w:val="en-US"/>
        </w:rPr>
        <w:footnoteReference w:id="284"/>
      </w:r>
    </w:p>
    <w:p w14:paraId="5134A73D" w14:textId="77777777" w:rsidR="00F83E8F" w:rsidRPr="00D869E3" w:rsidRDefault="00F83E8F" w:rsidP="00F83E8F">
      <w:pPr>
        <w:pStyle w:val="Prrafodelista"/>
        <w:ind w:left="0"/>
        <w:jc w:val="both"/>
        <w:rPr>
          <w:rFonts w:ascii="Verdana" w:hAnsi="Verdana"/>
          <w:sz w:val="20"/>
          <w:szCs w:val="20"/>
          <w:lang w:val="en-US"/>
        </w:rPr>
      </w:pPr>
    </w:p>
    <w:p w14:paraId="6C00C039" w14:textId="600D557A" w:rsidR="00F83E8F" w:rsidRPr="00D869E3" w:rsidRDefault="006F6FD2"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In addition, to the provisions of the American Convention, and reaffirming this purpose, in 2012, the States of the Americas adopted, unanimously, </w:t>
      </w:r>
      <w:r w:rsidR="00A25801" w:rsidRPr="00D869E3">
        <w:rPr>
          <w:rFonts w:ascii="Verdana" w:hAnsi="Verdana"/>
          <w:sz w:val="20"/>
          <w:szCs w:val="20"/>
          <w:lang w:val="en-US"/>
        </w:rPr>
        <w:t>the Social Charter of the Americas</w:t>
      </w:r>
      <w:r w:rsidR="00F83E8F" w:rsidRPr="00D869E3">
        <w:rPr>
          <w:rFonts w:ascii="Verdana" w:hAnsi="Verdana"/>
          <w:sz w:val="20"/>
          <w:szCs w:val="20"/>
          <w:lang w:val="en-US"/>
        </w:rPr>
        <w:t xml:space="preserve"> </w:t>
      </w:r>
      <w:r w:rsidRPr="00D869E3">
        <w:rPr>
          <w:rFonts w:ascii="Verdana" w:hAnsi="Verdana"/>
          <w:sz w:val="20"/>
          <w:szCs w:val="20"/>
          <w:lang w:val="en-US"/>
        </w:rPr>
        <w:t>with the clear purpose established in its Preamble</w:t>
      </w:r>
      <w:r w:rsidR="00A4750D" w:rsidRPr="00D869E3">
        <w:rPr>
          <w:rFonts w:ascii="Verdana" w:hAnsi="Verdana"/>
          <w:sz w:val="20"/>
          <w:szCs w:val="20"/>
          <w:lang w:val="en-US"/>
        </w:rPr>
        <w:t>:</w:t>
      </w:r>
    </w:p>
    <w:p w14:paraId="73DB4E94" w14:textId="77777777" w:rsidR="00F83E8F" w:rsidRPr="00D869E3" w:rsidRDefault="00F83E8F" w:rsidP="00F83E8F">
      <w:pPr>
        <w:pStyle w:val="Prrafodelista"/>
        <w:ind w:left="0"/>
        <w:jc w:val="both"/>
        <w:rPr>
          <w:rFonts w:ascii="Verdana" w:hAnsi="Verdana"/>
          <w:sz w:val="20"/>
          <w:szCs w:val="20"/>
          <w:lang w:val="en-US"/>
        </w:rPr>
      </w:pPr>
    </w:p>
    <w:p w14:paraId="3054A6E7" w14:textId="35CD5380" w:rsidR="00B05098" w:rsidRPr="00D869E3" w:rsidRDefault="00B05098" w:rsidP="00B05098">
      <w:pPr>
        <w:ind w:left="720" w:right="656"/>
        <w:jc w:val="both"/>
        <w:rPr>
          <w:rFonts w:ascii="Verdana" w:eastAsia="Times New Roman" w:hAnsi="Verdana"/>
          <w:b/>
          <w:i/>
          <w:iCs/>
          <w:color w:val="000000"/>
          <w:sz w:val="16"/>
          <w:szCs w:val="16"/>
          <w:lang w:val="en-US"/>
        </w:rPr>
      </w:pPr>
      <w:r w:rsidRPr="00D869E3">
        <w:rPr>
          <w:rFonts w:ascii="Verdana" w:hAnsi="Verdana"/>
          <w:b/>
          <w:i/>
          <w:iCs/>
          <w:color w:val="000000"/>
          <w:sz w:val="16"/>
          <w:szCs w:val="16"/>
          <w:lang w:val="en-US"/>
        </w:rPr>
        <w:t>Recognizing the need to strengthen the inter-American system with an instrument to guide action and partnership-for-development activities designed to promote integral development and observance of economic, social, and cultural rights, as well as the elimination of poverty and inequality.</w:t>
      </w:r>
    </w:p>
    <w:p w14:paraId="3FA1A788" w14:textId="77777777" w:rsidR="00F83E8F" w:rsidRPr="00D869E3" w:rsidRDefault="00F83E8F" w:rsidP="00F83E8F">
      <w:pPr>
        <w:rPr>
          <w:rFonts w:ascii="Verdana" w:hAnsi="Verdana"/>
          <w:szCs w:val="20"/>
          <w:lang w:val="en-US"/>
        </w:rPr>
      </w:pPr>
    </w:p>
    <w:p w14:paraId="26CA881E" w14:textId="3D80F5A1" w:rsidR="00B05098" w:rsidRPr="00D869E3" w:rsidRDefault="00B05098"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Therefore, all these social and State efforts addressed at strengthening the implementation of the ESCER would not be reasonable if the Inter-American Court continued to examine these rights only indirectly, even when they were the main issue of the victim’s petition and of the whole proceedings, as in this case.</w:t>
      </w:r>
    </w:p>
    <w:p w14:paraId="4E2FD8E4" w14:textId="77777777" w:rsidR="00F83E8F" w:rsidRPr="00D869E3" w:rsidRDefault="00F83E8F" w:rsidP="00F83E8F">
      <w:pPr>
        <w:rPr>
          <w:rFonts w:ascii="Verdana" w:hAnsi="Verdana"/>
          <w:szCs w:val="20"/>
          <w:lang w:val="en-US"/>
        </w:rPr>
      </w:pPr>
    </w:p>
    <w:p w14:paraId="1CA08955" w14:textId="42ABFF17" w:rsidR="00F83E8F" w:rsidRPr="00D869E3" w:rsidRDefault="00B05098" w:rsidP="00B05098">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Indeed</w:t>
      </w:r>
      <w:r w:rsidR="00F83E8F" w:rsidRPr="00D869E3">
        <w:rPr>
          <w:rFonts w:ascii="Verdana" w:hAnsi="Verdana"/>
          <w:sz w:val="20"/>
          <w:szCs w:val="20"/>
          <w:lang w:val="en-US"/>
        </w:rPr>
        <w:t xml:space="preserve">,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ha</w:t>
      </w:r>
      <w:r w:rsidRPr="00D869E3">
        <w:rPr>
          <w:rFonts w:ascii="Verdana" w:hAnsi="Verdana"/>
          <w:sz w:val="20"/>
          <w:szCs w:val="20"/>
          <w:lang w:val="en-US"/>
        </w:rPr>
        <w:t xml:space="preserve">s been recognized in different international instruments and in contemporary constitutional texts as one of the basic elements for the full realization of human rights, in their two dimensions: that of the so-called civil and political rights, and that </w:t>
      </w:r>
      <w:r w:rsidR="00EA232B" w:rsidRPr="00D869E3">
        <w:rPr>
          <w:rFonts w:ascii="Verdana" w:hAnsi="Verdana"/>
          <w:sz w:val="20"/>
          <w:szCs w:val="20"/>
          <w:lang w:val="en-US"/>
        </w:rPr>
        <w:t xml:space="preserve">of the </w:t>
      </w:r>
      <w:r w:rsidR="00170AA6" w:rsidRPr="00D869E3">
        <w:rPr>
          <w:rFonts w:ascii="Verdana" w:hAnsi="Verdana"/>
          <w:sz w:val="20"/>
          <w:szCs w:val="20"/>
          <w:lang w:val="en-US"/>
        </w:rPr>
        <w:t>social</w:t>
      </w:r>
      <w:r w:rsidRPr="00D869E3">
        <w:rPr>
          <w:rFonts w:ascii="Verdana" w:hAnsi="Verdana"/>
          <w:sz w:val="20"/>
          <w:szCs w:val="20"/>
          <w:lang w:val="en-US"/>
        </w:rPr>
        <w:t>, economic, cultural and environmental</w:t>
      </w:r>
      <w:r w:rsidR="00170AA6" w:rsidRPr="00D869E3">
        <w:rPr>
          <w:rFonts w:ascii="Verdana" w:hAnsi="Verdana"/>
          <w:sz w:val="20"/>
          <w:szCs w:val="20"/>
          <w:lang w:val="en-US"/>
        </w:rPr>
        <w:t xml:space="preserve"> rights</w:t>
      </w:r>
      <w:r w:rsidRPr="00D869E3">
        <w:rPr>
          <w:rFonts w:ascii="Verdana" w:hAnsi="Verdana"/>
          <w:sz w:val="20"/>
          <w:szCs w:val="20"/>
          <w:lang w:val="en-US"/>
        </w:rPr>
        <w:t xml:space="preserve">. As an essential element of social </w:t>
      </w:r>
      <w:r w:rsidRPr="00D869E3">
        <w:rPr>
          <w:rFonts w:ascii="Verdana" w:hAnsi="Verdana"/>
          <w:sz w:val="20"/>
          <w:szCs w:val="20"/>
          <w:lang w:val="en-US"/>
        </w:rPr>
        <w:lastRenderedPageBreak/>
        <w:t xml:space="preserve">integration and a material presumption </w:t>
      </w:r>
      <w:r w:rsidR="00A4750D" w:rsidRPr="00D869E3">
        <w:rPr>
          <w:rFonts w:ascii="Verdana" w:hAnsi="Verdana"/>
          <w:sz w:val="20"/>
          <w:szCs w:val="20"/>
          <w:lang w:val="en-US"/>
        </w:rPr>
        <w:t>on</w:t>
      </w:r>
      <w:r w:rsidRPr="00D869E3">
        <w:rPr>
          <w:rFonts w:ascii="Verdana" w:hAnsi="Verdana"/>
          <w:sz w:val="20"/>
          <w:szCs w:val="20"/>
          <w:lang w:val="en-US"/>
        </w:rPr>
        <w:t xml:space="preserve"> the existence of those rights, work should be, in itself, definitively incorporated into the normative rationale of </w:t>
      </w:r>
      <w:r w:rsidR="00B443B4" w:rsidRPr="00D869E3">
        <w:rPr>
          <w:rFonts w:ascii="Verdana" w:hAnsi="Verdana"/>
          <w:sz w:val="20"/>
          <w:szCs w:val="20"/>
          <w:lang w:val="en-US"/>
        </w:rPr>
        <w:t>human rights</w:t>
      </w:r>
      <w:r w:rsidR="00F83E8F" w:rsidRPr="00D869E3">
        <w:rPr>
          <w:rFonts w:ascii="Verdana" w:hAnsi="Verdana"/>
          <w:sz w:val="20"/>
          <w:szCs w:val="20"/>
          <w:lang w:val="en-US"/>
        </w:rPr>
        <w:t xml:space="preserve">. </w:t>
      </w:r>
    </w:p>
    <w:p w14:paraId="55C147F0" w14:textId="77777777" w:rsidR="00F83E8F" w:rsidRPr="00D869E3" w:rsidRDefault="00F83E8F" w:rsidP="00F83E8F">
      <w:pPr>
        <w:rPr>
          <w:rFonts w:ascii="Verdana" w:hAnsi="Verdana"/>
          <w:szCs w:val="20"/>
          <w:lang w:val="en-US"/>
        </w:rPr>
      </w:pPr>
    </w:p>
    <w:p w14:paraId="72F195A8" w14:textId="22FC3D22" w:rsidR="00F83E8F" w:rsidRPr="00D869E3" w:rsidRDefault="008633AC" w:rsidP="00F83E8F">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Notwithstanding the above, it is appropriate to recall the considerations in our opinion in the </w:t>
      </w:r>
      <w:r w:rsidR="00447C65" w:rsidRPr="00D869E3">
        <w:rPr>
          <w:rFonts w:ascii="Verdana" w:hAnsi="Verdana"/>
          <w:i/>
          <w:sz w:val="20"/>
          <w:szCs w:val="20"/>
          <w:lang w:val="en-US"/>
        </w:rPr>
        <w:t>Case of</w:t>
      </w:r>
      <w:r w:rsidR="00F83E8F" w:rsidRPr="00D869E3">
        <w:rPr>
          <w:rFonts w:ascii="Verdana" w:hAnsi="Verdana"/>
          <w:i/>
          <w:sz w:val="20"/>
          <w:szCs w:val="20"/>
          <w:lang w:val="en-US"/>
        </w:rPr>
        <w:t xml:space="preserve"> Canales Huapaya</w:t>
      </w:r>
      <w:r w:rsidR="00687684" w:rsidRPr="00D869E3">
        <w:rPr>
          <w:rFonts w:ascii="Verdana" w:hAnsi="Verdana"/>
          <w:i/>
          <w:sz w:val="20"/>
          <w:szCs w:val="20"/>
          <w:lang w:val="en-US"/>
        </w:rPr>
        <w:t xml:space="preserve"> </w:t>
      </w:r>
      <w:r w:rsidR="00301DBE" w:rsidRPr="00D869E3">
        <w:rPr>
          <w:rFonts w:ascii="Verdana" w:hAnsi="Verdana"/>
          <w:i/>
          <w:sz w:val="20"/>
          <w:szCs w:val="20"/>
          <w:lang w:val="en-US"/>
        </w:rPr>
        <w:t>et al. 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00F83E8F" w:rsidRPr="00D869E3">
        <w:rPr>
          <w:rFonts w:ascii="Verdana" w:hAnsi="Verdana"/>
          <w:i/>
          <w:sz w:val="20"/>
          <w:szCs w:val="20"/>
          <w:lang w:val="en-US"/>
        </w:rPr>
        <w:t xml:space="preserve"> </w:t>
      </w:r>
      <w:r w:rsidRPr="00D869E3">
        <w:rPr>
          <w:rFonts w:ascii="Verdana" w:hAnsi="Verdana"/>
          <w:sz w:val="20"/>
          <w:szCs w:val="20"/>
          <w:lang w:val="en-US"/>
        </w:rPr>
        <w:t xml:space="preserve">on the scope </w:t>
      </w:r>
      <w:r w:rsidR="00A157F5" w:rsidRPr="00D869E3">
        <w:rPr>
          <w:rFonts w:ascii="Verdana" w:hAnsi="Verdana"/>
          <w:sz w:val="20"/>
          <w:szCs w:val="20"/>
          <w:lang w:val="en-US"/>
        </w:rPr>
        <w:t xml:space="preserve">of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 xml:space="preserve">in light </w:t>
      </w:r>
      <w:r w:rsidR="00447C65" w:rsidRPr="00D869E3">
        <w:rPr>
          <w:rFonts w:ascii="Verdana" w:hAnsi="Verdana"/>
          <w:sz w:val="20"/>
          <w:szCs w:val="20"/>
          <w:lang w:val="en-US"/>
        </w:rPr>
        <w:t>of the Convention</w:t>
      </w:r>
      <w:r w:rsidR="000B1116" w:rsidRPr="00D869E3">
        <w:rPr>
          <w:rFonts w:ascii="Verdana" w:hAnsi="Verdana"/>
          <w:sz w:val="20"/>
          <w:szCs w:val="20"/>
          <w:lang w:val="en-US"/>
        </w:rPr>
        <w:t>, that</w:t>
      </w:r>
      <w:r w:rsidRPr="00D869E3">
        <w:rPr>
          <w:rFonts w:ascii="Verdana" w:hAnsi="Verdana"/>
          <w:sz w:val="20"/>
          <w:szCs w:val="20"/>
          <w:lang w:val="en-US"/>
        </w:rPr>
        <w:t>:</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 xml:space="preserve">this understanding </w:t>
      </w:r>
      <w:r w:rsidR="00A157F5" w:rsidRPr="00D869E3">
        <w:rPr>
          <w:rFonts w:ascii="Verdana" w:hAnsi="Verdana"/>
          <w:sz w:val="20"/>
          <w:szCs w:val="20"/>
          <w:lang w:val="en-US"/>
        </w:rPr>
        <w:t xml:space="preserve">of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as directly fundamental in the States</w:t>
      </w:r>
      <w:r w:rsidR="000B1116" w:rsidRPr="00D869E3">
        <w:rPr>
          <w:rFonts w:ascii="Verdana" w:hAnsi="Verdana"/>
          <w:sz w:val="20"/>
          <w:szCs w:val="20"/>
          <w:lang w:val="en-US"/>
        </w:rPr>
        <w:t>,</w:t>
      </w:r>
      <w:r w:rsidRPr="00D869E3">
        <w:rPr>
          <w:rFonts w:ascii="Verdana" w:hAnsi="Verdana"/>
          <w:sz w:val="20"/>
          <w:szCs w:val="20"/>
          <w:lang w:val="en-US"/>
        </w:rPr>
        <w:t xml:space="preserve"> or of the direct justiciability </w:t>
      </w:r>
      <w:r w:rsidR="00A157F5" w:rsidRPr="00D869E3">
        <w:rPr>
          <w:rFonts w:ascii="Verdana" w:hAnsi="Verdana"/>
          <w:sz w:val="20"/>
          <w:szCs w:val="20"/>
          <w:lang w:val="en-US"/>
        </w:rPr>
        <w:t xml:space="preserve">of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under</w:t>
      </w:r>
      <w:r w:rsidR="00447C65" w:rsidRPr="00D869E3">
        <w:rPr>
          <w:rFonts w:ascii="Verdana" w:hAnsi="Verdana"/>
          <w:sz w:val="20"/>
          <w:szCs w:val="20"/>
          <w:lang w:val="en-US"/>
        </w:rPr>
        <w:t xml:space="preserve">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does not mean understanding </w:t>
      </w:r>
      <w:r w:rsidR="00A157F5"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Pr="00D869E3">
        <w:rPr>
          <w:rFonts w:ascii="Verdana" w:hAnsi="Verdana"/>
          <w:sz w:val="20"/>
          <w:szCs w:val="20"/>
          <w:lang w:val="en-US"/>
        </w:rPr>
        <w:t>as an absolute right, as a right without limits, or that it must be protected every time it is cited.” Also, each time a presumed victim alleges that a right has been violated, the Court analyzes the obligations of the State to guarantee and to ensure rights in each specific case.</w:t>
      </w:r>
    </w:p>
    <w:p w14:paraId="39073535" w14:textId="77777777" w:rsidR="00F83E8F" w:rsidRPr="00D869E3" w:rsidRDefault="00F83E8F" w:rsidP="00F83E8F">
      <w:pPr>
        <w:pStyle w:val="Prrafodelista"/>
        <w:ind w:left="0"/>
        <w:jc w:val="both"/>
        <w:rPr>
          <w:rFonts w:ascii="Verdana" w:hAnsi="Verdana"/>
          <w:sz w:val="20"/>
          <w:szCs w:val="20"/>
          <w:lang w:val="en-US"/>
        </w:rPr>
      </w:pPr>
    </w:p>
    <w:p w14:paraId="649110BD" w14:textId="78257F5C" w:rsidR="00F83E8F" w:rsidRPr="00D869E3" w:rsidRDefault="008633AC" w:rsidP="00F83E8F">
      <w:pPr>
        <w:pStyle w:val="Style1"/>
        <w:spacing w:after="0" w:line="240" w:lineRule="auto"/>
        <w:ind w:left="0"/>
        <w:rPr>
          <w:lang w:val="en-US"/>
        </w:rPr>
      </w:pPr>
      <w:r w:rsidRPr="00D869E3">
        <w:rPr>
          <w:lang w:val="en-US"/>
        </w:rPr>
        <w:t>Final c</w:t>
      </w:r>
      <w:r w:rsidR="001D1B96" w:rsidRPr="00D869E3">
        <w:rPr>
          <w:lang w:val="en-US"/>
        </w:rPr>
        <w:t>onsiderations</w:t>
      </w:r>
    </w:p>
    <w:p w14:paraId="2C3BFE60" w14:textId="77777777" w:rsidR="00F83E8F" w:rsidRPr="00D869E3" w:rsidRDefault="00F83E8F" w:rsidP="00F83E8F">
      <w:pPr>
        <w:pStyle w:val="Style1"/>
        <w:numPr>
          <w:ilvl w:val="0"/>
          <w:numId w:val="0"/>
        </w:numPr>
        <w:spacing w:after="0" w:line="240" w:lineRule="auto"/>
        <w:jc w:val="both"/>
        <w:rPr>
          <w:lang w:val="en-US"/>
        </w:rPr>
      </w:pPr>
    </w:p>
    <w:p w14:paraId="149A68F1" w14:textId="35B157EA" w:rsidR="00F83E8F" w:rsidRPr="00D869E3" w:rsidRDefault="00877BD9" w:rsidP="00877BD9">
      <w:pPr>
        <w:pStyle w:val="Prrafodelista"/>
        <w:numPr>
          <w:ilvl w:val="0"/>
          <w:numId w:val="27"/>
        </w:numPr>
        <w:ind w:left="0" w:firstLine="0"/>
        <w:jc w:val="both"/>
        <w:rPr>
          <w:rFonts w:ascii="Verdana" w:hAnsi="Verdana"/>
          <w:sz w:val="20"/>
          <w:szCs w:val="20"/>
          <w:lang w:val="en-US"/>
        </w:rPr>
      </w:pPr>
      <w:r w:rsidRPr="00D869E3">
        <w:rPr>
          <w:rFonts w:ascii="Verdana" w:hAnsi="Verdana"/>
          <w:sz w:val="20"/>
          <w:szCs w:val="20"/>
          <w:lang w:val="en-US"/>
        </w:rPr>
        <w:t xml:space="preserve">Based on the above, I reaffirm my </w:t>
      </w:r>
      <w:r w:rsidR="000B1116" w:rsidRPr="00D869E3">
        <w:rPr>
          <w:rFonts w:ascii="Verdana" w:hAnsi="Verdana"/>
          <w:sz w:val="20"/>
          <w:szCs w:val="20"/>
          <w:lang w:val="en-US"/>
        </w:rPr>
        <w:t>support for</w:t>
      </w:r>
      <w:r w:rsidRPr="00D869E3">
        <w:rPr>
          <w:rFonts w:ascii="Verdana" w:hAnsi="Verdana"/>
          <w:sz w:val="20"/>
          <w:szCs w:val="20"/>
          <w:lang w:val="en-US"/>
        </w:rPr>
        <w:t xml:space="preserve"> this important judgment, with the simple procedural exception that, in my opinion, in this case it was not necessary to apply the </w:t>
      </w:r>
      <w:r w:rsidRPr="00D869E3">
        <w:rPr>
          <w:rFonts w:ascii="Verdana" w:hAnsi="Verdana"/>
          <w:i/>
          <w:sz w:val="20"/>
          <w:szCs w:val="20"/>
          <w:lang w:val="en-US"/>
        </w:rPr>
        <w:t xml:space="preserve">iura novit curia </w:t>
      </w:r>
      <w:r w:rsidRPr="00D869E3">
        <w:rPr>
          <w:rFonts w:ascii="Verdana" w:hAnsi="Verdana"/>
          <w:sz w:val="20"/>
          <w:szCs w:val="20"/>
          <w:lang w:val="en-US"/>
        </w:rPr>
        <w:t xml:space="preserve">principle to be able to declare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 </w:t>
      </w:r>
      <w:r w:rsidRPr="00D869E3">
        <w:rPr>
          <w:rFonts w:ascii="Verdana" w:hAnsi="Verdana"/>
          <w:sz w:val="20"/>
          <w:szCs w:val="20"/>
          <w:lang w:val="en-US"/>
        </w:rPr>
        <w:t>of the Convention.  This detail does not change the result. I repeat that this Court has take</w:t>
      </w:r>
      <w:r w:rsidR="00F2424F" w:rsidRPr="00D869E3">
        <w:rPr>
          <w:rFonts w:ascii="Verdana" w:hAnsi="Verdana"/>
          <w:sz w:val="20"/>
          <w:szCs w:val="20"/>
          <w:lang w:val="en-US"/>
        </w:rPr>
        <w:t>n</w:t>
      </w:r>
      <w:r w:rsidRPr="00D869E3">
        <w:rPr>
          <w:rFonts w:ascii="Verdana" w:hAnsi="Verdana"/>
          <w:sz w:val="20"/>
          <w:szCs w:val="20"/>
          <w:lang w:val="en-US"/>
        </w:rPr>
        <w:t xml:space="preserve"> a significant and historic step forward by declaring the justic</w:t>
      </w:r>
      <w:r w:rsidR="00F2424F" w:rsidRPr="00D869E3">
        <w:rPr>
          <w:rFonts w:ascii="Verdana" w:hAnsi="Verdana"/>
          <w:sz w:val="20"/>
          <w:szCs w:val="20"/>
          <w:lang w:val="en-US"/>
        </w:rPr>
        <w:t xml:space="preserve">iable nature of the right to work and of job security and, with this, a new era for the </w:t>
      </w:r>
      <w:r w:rsidR="000B1116" w:rsidRPr="00D869E3">
        <w:rPr>
          <w:rFonts w:ascii="Verdana" w:hAnsi="Verdana"/>
          <w:sz w:val="20"/>
          <w:szCs w:val="20"/>
          <w:lang w:val="en-US"/>
        </w:rPr>
        <w:t xml:space="preserve">more comprehensive </w:t>
      </w:r>
      <w:r w:rsidR="00F2424F" w:rsidRPr="00D869E3">
        <w:rPr>
          <w:rFonts w:ascii="Verdana" w:hAnsi="Verdana"/>
          <w:sz w:val="20"/>
          <w:szCs w:val="20"/>
          <w:lang w:val="en-US"/>
        </w:rPr>
        <w:t xml:space="preserve">protection of all </w:t>
      </w:r>
      <w:r w:rsidR="000B1116" w:rsidRPr="00D869E3">
        <w:rPr>
          <w:rFonts w:ascii="Verdana" w:hAnsi="Verdana"/>
          <w:sz w:val="20"/>
          <w:szCs w:val="20"/>
          <w:lang w:val="en-US"/>
        </w:rPr>
        <w:t xml:space="preserve">interdependent and indivisible human rights. </w:t>
      </w:r>
    </w:p>
    <w:p w14:paraId="02B8A4A5" w14:textId="77777777" w:rsidR="00F83E8F" w:rsidRPr="00D869E3" w:rsidRDefault="00F83E8F" w:rsidP="00F83E8F">
      <w:pPr>
        <w:rPr>
          <w:rFonts w:ascii="Verdana" w:hAnsi="Verdana"/>
          <w:sz w:val="20"/>
          <w:szCs w:val="20"/>
          <w:lang w:val="en-US"/>
        </w:rPr>
      </w:pPr>
    </w:p>
    <w:p w14:paraId="0090FF2C" w14:textId="77777777" w:rsidR="00F83E8F" w:rsidRPr="00D869E3" w:rsidRDefault="00F83E8F" w:rsidP="00F83E8F">
      <w:pPr>
        <w:rPr>
          <w:rFonts w:ascii="Verdana" w:hAnsi="Verdana"/>
          <w:sz w:val="20"/>
          <w:szCs w:val="20"/>
          <w:lang w:val="en-US"/>
        </w:rPr>
      </w:pPr>
    </w:p>
    <w:p w14:paraId="5599FB6D" w14:textId="77777777" w:rsidR="00F83E8F" w:rsidRPr="00D869E3" w:rsidRDefault="00F83E8F" w:rsidP="00F83E8F">
      <w:pPr>
        <w:rPr>
          <w:rFonts w:ascii="Verdana" w:hAnsi="Verdana"/>
          <w:sz w:val="20"/>
          <w:szCs w:val="20"/>
          <w:lang w:val="en-US"/>
        </w:rPr>
      </w:pPr>
    </w:p>
    <w:p w14:paraId="0F4F572B" w14:textId="017E7A70" w:rsidR="00F83E8F" w:rsidRPr="00D869E3" w:rsidRDefault="00F83E8F" w:rsidP="00F83E8F">
      <w:pPr>
        <w:rPr>
          <w:rFonts w:ascii="Verdana" w:hAnsi="Verdana"/>
          <w:sz w:val="20"/>
          <w:szCs w:val="20"/>
          <w:lang w:val="en-US"/>
        </w:rPr>
      </w:pPr>
    </w:p>
    <w:p w14:paraId="71CFB36E" w14:textId="77777777" w:rsidR="00F83E8F" w:rsidRPr="00D869E3" w:rsidRDefault="00F83E8F" w:rsidP="00F83E8F">
      <w:pPr>
        <w:pStyle w:val="NormalWeb"/>
        <w:spacing w:before="0" w:beforeAutospacing="0" w:after="0" w:afterAutospacing="0"/>
        <w:ind w:right="720"/>
        <w:jc w:val="right"/>
        <w:rPr>
          <w:rFonts w:ascii="Verdana" w:eastAsia="Calibri" w:hAnsi="Verdana"/>
          <w:sz w:val="20"/>
          <w:szCs w:val="20"/>
          <w:lang w:eastAsia="en-US"/>
        </w:rPr>
      </w:pPr>
      <w:r w:rsidRPr="00D869E3">
        <w:rPr>
          <w:rFonts w:ascii="Verdana" w:eastAsia="Calibri" w:hAnsi="Verdana"/>
          <w:sz w:val="20"/>
          <w:szCs w:val="20"/>
          <w:lang w:eastAsia="en-US"/>
        </w:rPr>
        <w:t>Roberto F. Caldas</w:t>
      </w:r>
    </w:p>
    <w:p w14:paraId="4823869C" w14:textId="29160AA8" w:rsidR="00F83E8F" w:rsidRPr="00D869E3" w:rsidRDefault="00447C65" w:rsidP="00F83E8F">
      <w:pPr>
        <w:pStyle w:val="NormalWeb"/>
        <w:spacing w:before="0" w:beforeAutospacing="0" w:after="0" w:afterAutospacing="0"/>
        <w:ind w:right="990"/>
        <w:jc w:val="right"/>
        <w:rPr>
          <w:rFonts w:ascii="Verdana" w:eastAsia="Calibri" w:hAnsi="Verdana"/>
          <w:sz w:val="20"/>
          <w:szCs w:val="20"/>
          <w:lang w:eastAsia="en-US"/>
        </w:rPr>
      </w:pPr>
      <w:proofErr w:type="spellStart"/>
      <w:r w:rsidRPr="00D869E3">
        <w:rPr>
          <w:rFonts w:ascii="Verdana" w:eastAsia="Calibri" w:hAnsi="Verdana"/>
          <w:sz w:val="20"/>
          <w:szCs w:val="20"/>
          <w:lang w:eastAsia="en-US"/>
        </w:rPr>
        <w:t>President</w:t>
      </w:r>
      <w:proofErr w:type="spellEnd"/>
    </w:p>
    <w:p w14:paraId="15EFEE0F" w14:textId="77777777" w:rsidR="00F83E8F" w:rsidRPr="00D869E3" w:rsidRDefault="00F83E8F" w:rsidP="00F83E8F">
      <w:pPr>
        <w:rPr>
          <w:rFonts w:ascii="Verdana" w:hAnsi="Verdana"/>
          <w:sz w:val="20"/>
          <w:szCs w:val="20"/>
          <w:lang w:val="es-CR"/>
        </w:rPr>
      </w:pPr>
    </w:p>
    <w:p w14:paraId="308C71B1" w14:textId="77777777" w:rsidR="00F83E8F" w:rsidRPr="00D869E3" w:rsidRDefault="00F83E8F" w:rsidP="00F83E8F">
      <w:pPr>
        <w:rPr>
          <w:rFonts w:ascii="Verdana" w:hAnsi="Verdana"/>
          <w:sz w:val="20"/>
          <w:szCs w:val="20"/>
          <w:lang w:val="es-CR"/>
        </w:rPr>
      </w:pPr>
    </w:p>
    <w:p w14:paraId="16F26EA4" w14:textId="77777777" w:rsidR="00F83E8F" w:rsidRPr="00D869E3" w:rsidRDefault="00F83E8F" w:rsidP="00F83E8F">
      <w:pPr>
        <w:rPr>
          <w:rFonts w:ascii="Verdana" w:hAnsi="Verdana"/>
          <w:sz w:val="20"/>
          <w:szCs w:val="20"/>
          <w:lang w:val="es-CR"/>
        </w:rPr>
      </w:pPr>
    </w:p>
    <w:p w14:paraId="6D8B4D29" w14:textId="77777777" w:rsidR="00F83E8F" w:rsidRPr="00D869E3" w:rsidRDefault="00F83E8F" w:rsidP="00F83E8F">
      <w:pPr>
        <w:rPr>
          <w:rFonts w:ascii="Verdana" w:hAnsi="Verdana"/>
          <w:sz w:val="20"/>
          <w:szCs w:val="20"/>
          <w:lang w:val="es-CR"/>
        </w:rPr>
      </w:pPr>
    </w:p>
    <w:p w14:paraId="141C17F5" w14:textId="77777777" w:rsidR="00F83E8F" w:rsidRPr="00D869E3" w:rsidRDefault="00F83E8F" w:rsidP="00F83E8F">
      <w:pPr>
        <w:rPr>
          <w:rFonts w:ascii="Verdana" w:hAnsi="Verdana"/>
          <w:sz w:val="20"/>
          <w:szCs w:val="20"/>
          <w:lang w:val="es-CR"/>
        </w:rPr>
      </w:pPr>
      <w:r w:rsidRPr="00D869E3">
        <w:rPr>
          <w:rFonts w:ascii="Verdana" w:hAnsi="Verdana"/>
          <w:sz w:val="20"/>
          <w:szCs w:val="20"/>
          <w:lang w:val="es-CR"/>
        </w:rPr>
        <w:t>Pablo Saavedra Alessandri</w:t>
      </w:r>
    </w:p>
    <w:p w14:paraId="14CFC170" w14:textId="49738312" w:rsidR="00F83E8F" w:rsidRPr="00D869E3" w:rsidRDefault="00F83E8F" w:rsidP="00F83E8F">
      <w:pPr>
        <w:ind w:firstLine="720"/>
        <w:rPr>
          <w:rFonts w:ascii="Verdana" w:hAnsi="Verdana"/>
          <w:sz w:val="20"/>
          <w:szCs w:val="20"/>
          <w:lang w:val="en-US"/>
        </w:rPr>
      </w:pPr>
      <w:r w:rsidRPr="00D869E3">
        <w:rPr>
          <w:rFonts w:ascii="Verdana" w:hAnsi="Verdana"/>
          <w:sz w:val="20"/>
          <w:szCs w:val="20"/>
          <w:lang w:val="es-CR"/>
        </w:rPr>
        <w:t xml:space="preserve">  </w:t>
      </w:r>
      <w:r w:rsidRPr="00D869E3">
        <w:rPr>
          <w:rFonts w:ascii="Verdana" w:hAnsi="Verdana"/>
          <w:sz w:val="20"/>
          <w:szCs w:val="20"/>
          <w:lang w:val="en-US"/>
        </w:rPr>
        <w:t>Secretar</w:t>
      </w:r>
      <w:r w:rsidR="0072147D" w:rsidRPr="00D869E3">
        <w:rPr>
          <w:rFonts w:ascii="Verdana" w:hAnsi="Verdana"/>
          <w:sz w:val="20"/>
          <w:szCs w:val="20"/>
          <w:lang w:val="en-US"/>
        </w:rPr>
        <w:t>y</w:t>
      </w:r>
    </w:p>
    <w:p w14:paraId="013C9858" w14:textId="77777777" w:rsidR="00F83E8F" w:rsidRPr="00D869E3" w:rsidRDefault="00F83E8F" w:rsidP="00F83E8F">
      <w:pPr>
        <w:ind w:firstLine="720"/>
        <w:rPr>
          <w:rFonts w:ascii="Verdana" w:hAnsi="Verdana"/>
          <w:szCs w:val="20"/>
          <w:lang w:val="en-US"/>
        </w:rPr>
      </w:pPr>
    </w:p>
    <w:p w14:paraId="26F8DFC5" w14:textId="77777777" w:rsidR="00F83E8F" w:rsidRPr="00D869E3" w:rsidRDefault="00F83E8F" w:rsidP="00C16A26">
      <w:pPr>
        <w:rPr>
          <w:rFonts w:ascii="Verdana" w:hAnsi="Verdana" w:cs="Arial"/>
          <w:szCs w:val="20"/>
          <w:lang w:val="en-US"/>
        </w:rPr>
        <w:sectPr w:rsidR="00F83E8F" w:rsidRPr="00D869E3" w:rsidSect="00F83E8F">
          <w:footnotePr>
            <w:numRestart w:val="eachSect"/>
          </w:footnotePr>
          <w:pgSz w:w="12240" w:h="15840" w:code="1"/>
          <w:pgMar w:top="1247" w:right="1247" w:bottom="1247" w:left="1247" w:header="709" w:footer="709" w:gutter="0"/>
          <w:pgNumType w:start="1"/>
          <w:cols w:space="708"/>
          <w:titlePg/>
          <w:docGrid w:linePitch="360"/>
        </w:sectPr>
      </w:pPr>
    </w:p>
    <w:p w14:paraId="1ABDB6EE" w14:textId="24CFB286" w:rsidR="00F83E8F" w:rsidRPr="00D869E3" w:rsidRDefault="00170AA6" w:rsidP="001B0492">
      <w:pPr>
        <w:jc w:val="center"/>
        <w:rPr>
          <w:rFonts w:ascii="Verdana" w:hAnsi="Verdana"/>
          <w:b/>
          <w:caps/>
          <w:sz w:val="20"/>
          <w:szCs w:val="20"/>
          <w:lang w:val="en-US"/>
        </w:rPr>
      </w:pPr>
      <w:r w:rsidRPr="00D869E3">
        <w:rPr>
          <w:rFonts w:ascii="Verdana" w:hAnsi="Verdana"/>
          <w:b/>
          <w:caps/>
          <w:sz w:val="20"/>
          <w:szCs w:val="20"/>
          <w:lang w:val="en-US"/>
        </w:rPr>
        <w:lastRenderedPageBreak/>
        <w:t>CONCURRING OPINION OF</w:t>
      </w:r>
    </w:p>
    <w:p w14:paraId="7B1F88AC" w14:textId="6F7469CE" w:rsidR="00F83E8F" w:rsidRPr="00D869E3" w:rsidRDefault="00F83E8F" w:rsidP="00F83E8F">
      <w:pPr>
        <w:jc w:val="center"/>
        <w:rPr>
          <w:rFonts w:ascii="Verdana" w:hAnsi="Verdana"/>
          <w:b/>
          <w:caps/>
          <w:sz w:val="20"/>
          <w:szCs w:val="20"/>
          <w:lang w:val="en-US"/>
        </w:rPr>
      </w:pPr>
      <w:r w:rsidRPr="00D869E3">
        <w:rPr>
          <w:rFonts w:ascii="Verdana" w:hAnsi="Verdana"/>
          <w:b/>
          <w:caps/>
          <w:sz w:val="20"/>
          <w:szCs w:val="20"/>
          <w:lang w:val="en-US"/>
        </w:rPr>
        <w:t>JU</w:t>
      </w:r>
      <w:r w:rsidR="00170AA6" w:rsidRPr="00D869E3">
        <w:rPr>
          <w:rFonts w:ascii="Verdana" w:hAnsi="Verdana"/>
          <w:b/>
          <w:caps/>
          <w:sz w:val="20"/>
          <w:szCs w:val="20"/>
          <w:lang w:val="en-US"/>
        </w:rPr>
        <w:t>DGE</w:t>
      </w:r>
      <w:r w:rsidRPr="00D869E3">
        <w:rPr>
          <w:rFonts w:ascii="Verdana" w:hAnsi="Verdana"/>
          <w:b/>
          <w:caps/>
          <w:sz w:val="20"/>
          <w:szCs w:val="20"/>
          <w:lang w:val="en-US"/>
        </w:rPr>
        <w:t xml:space="preserve"> EDUARDO FERRER MAC-GREGOR POISOT</w:t>
      </w:r>
    </w:p>
    <w:p w14:paraId="03CB21E1" w14:textId="77777777" w:rsidR="00F83E8F" w:rsidRPr="00D869E3" w:rsidRDefault="00F83E8F" w:rsidP="00F83E8F">
      <w:pPr>
        <w:jc w:val="center"/>
        <w:rPr>
          <w:rFonts w:ascii="Verdana" w:hAnsi="Verdana"/>
          <w:caps/>
          <w:sz w:val="20"/>
          <w:szCs w:val="20"/>
          <w:lang w:val="en-US"/>
        </w:rPr>
      </w:pPr>
    </w:p>
    <w:p w14:paraId="22DF5DBA" w14:textId="69681C75" w:rsidR="00F83E8F" w:rsidRPr="00D869E3" w:rsidRDefault="00F83E8F" w:rsidP="00F83E8F">
      <w:pPr>
        <w:jc w:val="center"/>
        <w:rPr>
          <w:rFonts w:ascii="Verdana" w:hAnsi="Verdana"/>
          <w:b/>
          <w:i/>
          <w:caps/>
          <w:sz w:val="20"/>
          <w:szCs w:val="20"/>
          <w:u w:val="single"/>
          <w:lang w:val="es-CR"/>
        </w:rPr>
      </w:pPr>
      <w:r w:rsidRPr="00D869E3">
        <w:rPr>
          <w:rFonts w:ascii="Verdana" w:hAnsi="Verdana"/>
          <w:b/>
          <w:i/>
          <w:caps/>
          <w:sz w:val="20"/>
          <w:szCs w:val="20"/>
          <w:u w:val="single"/>
          <w:lang w:val="es-CR"/>
        </w:rPr>
        <w:t>cas</w:t>
      </w:r>
      <w:r w:rsidR="00170AA6" w:rsidRPr="00D869E3">
        <w:rPr>
          <w:rFonts w:ascii="Verdana" w:hAnsi="Verdana"/>
          <w:b/>
          <w:i/>
          <w:caps/>
          <w:sz w:val="20"/>
          <w:szCs w:val="20"/>
          <w:u w:val="single"/>
          <w:lang w:val="es-CR"/>
        </w:rPr>
        <w:t>E OF</w:t>
      </w:r>
      <w:r w:rsidRPr="00D869E3">
        <w:rPr>
          <w:rFonts w:ascii="Verdana" w:hAnsi="Verdana"/>
          <w:b/>
          <w:i/>
          <w:caps/>
          <w:sz w:val="20"/>
          <w:szCs w:val="20"/>
          <w:u w:val="single"/>
          <w:lang w:val="es-CR"/>
        </w:rPr>
        <w:t xml:space="preserve"> lagos del cAmpo v. </w:t>
      </w:r>
      <w:r w:rsidR="00447C65" w:rsidRPr="00D869E3">
        <w:rPr>
          <w:rFonts w:ascii="Verdana" w:hAnsi="Verdana"/>
          <w:b/>
          <w:i/>
          <w:caps/>
          <w:sz w:val="20"/>
          <w:szCs w:val="20"/>
          <w:u w:val="single"/>
          <w:lang w:val="es-CR"/>
        </w:rPr>
        <w:t>Peru</w:t>
      </w:r>
      <w:r w:rsidRPr="00D869E3">
        <w:rPr>
          <w:rFonts w:ascii="Verdana" w:hAnsi="Verdana"/>
          <w:b/>
          <w:i/>
          <w:caps/>
          <w:sz w:val="20"/>
          <w:szCs w:val="20"/>
          <w:u w:val="single"/>
          <w:lang w:val="es-CR"/>
        </w:rPr>
        <w:t xml:space="preserve"> </w:t>
      </w:r>
    </w:p>
    <w:p w14:paraId="6E1B69C1" w14:textId="77777777" w:rsidR="00F83E8F" w:rsidRPr="00D869E3" w:rsidRDefault="00F83E8F" w:rsidP="00F83E8F">
      <w:pPr>
        <w:jc w:val="center"/>
        <w:rPr>
          <w:rFonts w:ascii="Verdana" w:hAnsi="Verdana"/>
          <w:b/>
          <w:caps/>
          <w:sz w:val="20"/>
          <w:szCs w:val="20"/>
          <w:lang w:val="es-CR"/>
        </w:rPr>
      </w:pPr>
    </w:p>
    <w:p w14:paraId="2CB5125E" w14:textId="6A710007" w:rsidR="00F83E8F" w:rsidRPr="00D869E3" w:rsidRDefault="00447C65" w:rsidP="00F83E8F">
      <w:pPr>
        <w:jc w:val="center"/>
        <w:rPr>
          <w:rFonts w:ascii="Verdana" w:hAnsi="Verdana"/>
          <w:b/>
          <w:caps/>
          <w:sz w:val="18"/>
          <w:szCs w:val="18"/>
          <w:lang w:val="en-US"/>
        </w:rPr>
      </w:pPr>
      <w:r w:rsidRPr="00D869E3">
        <w:rPr>
          <w:rFonts w:ascii="Verdana" w:hAnsi="Verdana"/>
          <w:b/>
          <w:caps/>
          <w:sz w:val="18"/>
          <w:szCs w:val="18"/>
          <w:lang w:val="en-US"/>
        </w:rPr>
        <w:t>Judgment of</w:t>
      </w:r>
      <w:r w:rsidR="00F83E8F" w:rsidRPr="00D869E3">
        <w:rPr>
          <w:rFonts w:ascii="Verdana" w:hAnsi="Verdana"/>
          <w:b/>
          <w:caps/>
          <w:sz w:val="18"/>
          <w:szCs w:val="18"/>
          <w:lang w:val="en-US"/>
        </w:rPr>
        <w:t xml:space="preserve"> </w:t>
      </w:r>
      <w:r w:rsidRPr="00D869E3">
        <w:rPr>
          <w:rFonts w:ascii="Verdana" w:hAnsi="Verdana"/>
          <w:b/>
          <w:caps/>
          <w:sz w:val="18"/>
          <w:szCs w:val="18"/>
          <w:lang w:val="en-US"/>
        </w:rPr>
        <w:t>August 31,</w:t>
      </w:r>
      <w:r w:rsidR="00F83E8F" w:rsidRPr="00D869E3">
        <w:rPr>
          <w:rFonts w:ascii="Verdana" w:hAnsi="Verdana"/>
          <w:b/>
          <w:caps/>
          <w:sz w:val="18"/>
          <w:szCs w:val="18"/>
          <w:lang w:val="en-US"/>
        </w:rPr>
        <w:t xml:space="preserve"> 2017</w:t>
      </w:r>
    </w:p>
    <w:p w14:paraId="398E605D" w14:textId="555C596F" w:rsidR="00F83E8F" w:rsidRPr="00D869E3" w:rsidRDefault="00F83E8F" w:rsidP="00F83E8F">
      <w:pPr>
        <w:widowControl w:val="0"/>
        <w:autoSpaceDE w:val="0"/>
        <w:autoSpaceDN w:val="0"/>
        <w:adjustRightInd w:val="0"/>
        <w:jc w:val="center"/>
        <w:rPr>
          <w:rFonts w:ascii="Verdana" w:hAnsi="Verdana"/>
          <w:b/>
          <w:i/>
          <w:caps/>
          <w:sz w:val="18"/>
          <w:szCs w:val="18"/>
          <w:lang w:val="en-US"/>
        </w:rPr>
      </w:pPr>
      <w:r w:rsidRPr="00D869E3">
        <w:rPr>
          <w:rFonts w:ascii="Verdana" w:hAnsi="Verdana"/>
          <w:b/>
          <w:i/>
          <w:caps/>
          <w:sz w:val="18"/>
          <w:szCs w:val="18"/>
          <w:lang w:val="en-US"/>
        </w:rPr>
        <w:t>(</w:t>
      </w:r>
      <w:r w:rsidR="00447C65" w:rsidRPr="00D869E3">
        <w:rPr>
          <w:rFonts w:ascii="Verdana" w:hAnsi="Verdana"/>
          <w:b/>
          <w:i/>
          <w:caps/>
          <w:sz w:val="18"/>
          <w:szCs w:val="18"/>
          <w:lang w:val="en-US"/>
        </w:rPr>
        <w:t>Preliminary objections, merits, reparations and costs</w:t>
      </w:r>
      <w:r w:rsidRPr="00D869E3">
        <w:rPr>
          <w:rFonts w:ascii="Verdana" w:hAnsi="Verdana"/>
          <w:b/>
          <w:i/>
          <w:caps/>
          <w:sz w:val="18"/>
          <w:szCs w:val="18"/>
          <w:lang w:val="en-US"/>
        </w:rPr>
        <w:t>)</w:t>
      </w:r>
    </w:p>
    <w:p w14:paraId="26139CD0" w14:textId="058EE89D" w:rsidR="00F83E8F" w:rsidRPr="00D869E3" w:rsidRDefault="00F83E8F" w:rsidP="00F83E8F">
      <w:pPr>
        <w:widowControl w:val="0"/>
        <w:autoSpaceDE w:val="0"/>
        <w:autoSpaceDN w:val="0"/>
        <w:adjustRightInd w:val="0"/>
        <w:rPr>
          <w:rFonts w:ascii="Verdana" w:hAnsi="Verdana"/>
          <w:i/>
          <w:sz w:val="20"/>
          <w:szCs w:val="20"/>
          <w:lang w:val="en-US"/>
        </w:rPr>
      </w:pPr>
    </w:p>
    <w:p w14:paraId="567E8176" w14:textId="77777777" w:rsidR="007E674E" w:rsidRPr="00D869E3" w:rsidRDefault="007E674E" w:rsidP="00F83E8F">
      <w:pPr>
        <w:widowControl w:val="0"/>
        <w:autoSpaceDE w:val="0"/>
        <w:autoSpaceDN w:val="0"/>
        <w:adjustRightInd w:val="0"/>
        <w:rPr>
          <w:rFonts w:ascii="Verdana" w:hAnsi="Verdana"/>
          <w:i/>
          <w:sz w:val="20"/>
          <w:szCs w:val="20"/>
          <w:lang w:val="en-US"/>
        </w:rPr>
      </w:pPr>
    </w:p>
    <w:p w14:paraId="0BFAF90E" w14:textId="62AFA1F2" w:rsidR="00F83E8F" w:rsidRPr="00D869E3" w:rsidRDefault="00170AA6" w:rsidP="00170AA6">
      <w:pPr>
        <w:widowControl w:val="0"/>
        <w:autoSpaceDE w:val="0"/>
        <w:autoSpaceDN w:val="0"/>
        <w:adjustRightInd w:val="0"/>
        <w:jc w:val="center"/>
        <w:rPr>
          <w:rFonts w:ascii="Verdana" w:hAnsi="Verdana"/>
          <w:i/>
          <w:sz w:val="20"/>
          <w:szCs w:val="20"/>
          <w:lang w:val="en-US"/>
        </w:rPr>
      </w:pPr>
      <w:r w:rsidRPr="00D869E3">
        <w:rPr>
          <w:rFonts w:ascii="Verdana" w:hAnsi="Verdana"/>
          <w:i/>
          <w:sz w:val="20"/>
          <w:szCs w:val="20"/>
          <w:lang w:val="en-US"/>
        </w:rPr>
        <w:t>THE DIRECT JUSTICIABILITY OF ECONOMIC, SOCIAL, CULTURAL AND ENVIRONMENTAL RIGHTS: A NEW STAGE IN INTER-AMERICAN CASE LAW</w:t>
      </w:r>
    </w:p>
    <w:p w14:paraId="36314E3A" w14:textId="77777777" w:rsidR="00F83E8F" w:rsidRPr="00D869E3" w:rsidRDefault="00F83E8F" w:rsidP="00F83E8F">
      <w:pPr>
        <w:widowControl w:val="0"/>
        <w:autoSpaceDE w:val="0"/>
        <w:autoSpaceDN w:val="0"/>
        <w:adjustRightInd w:val="0"/>
        <w:jc w:val="center"/>
        <w:rPr>
          <w:rFonts w:ascii="Verdana" w:hAnsi="Verdana"/>
          <w:b/>
          <w:sz w:val="20"/>
          <w:szCs w:val="20"/>
          <w:lang w:val="en-US"/>
        </w:rPr>
      </w:pPr>
    </w:p>
    <w:p w14:paraId="1C92CD21" w14:textId="6A17A5EF" w:rsidR="00F83E8F" w:rsidRPr="00D869E3" w:rsidRDefault="00170AA6" w:rsidP="00E70701">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lang w:val="en-US"/>
        </w:rPr>
        <w:t>The case of</w:t>
      </w:r>
      <w:r w:rsidR="00F83E8F" w:rsidRPr="00D869E3">
        <w:rPr>
          <w:rFonts w:ascii="Verdana" w:hAnsi="Verdana"/>
          <w:sz w:val="20"/>
          <w:szCs w:val="20"/>
          <w:lang w:val="en-US"/>
        </w:rPr>
        <w:t xml:space="preserve"> </w:t>
      </w:r>
      <w:r w:rsidR="00F83E8F" w:rsidRPr="00D869E3">
        <w:rPr>
          <w:rFonts w:ascii="Verdana" w:hAnsi="Verdana"/>
          <w:i/>
          <w:sz w:val="20"/>
          <w:szCs w:val="20"/>
          <w:lang w:val="en-US"/>
        </w:rPr>
        <w:t xml:space="preserve">Lagos del Campos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00F83E8F" w:rsidRPr="00D869E3">
        <w:rPr>
          <w:rFonts w:ascii="Verdana" w:hAnsi="Verdana"/>
          <w:i/>
          <w:sz w:val="20"/>
          <w:szCs w:val="20"/>
          <w:lang w:val="en-US"/>
        </w:rPr>
        <w:t xml:space="preserve"> </w:t>
      </w:r>
      <w:r w:rsidRPr="00D869E3">
        <w:rPr>
          <w:rFonts w:ascii="Verdana" w:hAnsi="Verdana"/>
          <w:sz w:val="20"/>
          <w:szCs w:val="20"/>
          <w:lang w:val="en-US"/>
        </w:rPr>
        <w:t xml:space="preserve">opens a new and promising horizon for </w:t>
      </w:r>
      <w:r w:rsidR="00671B14" w:rsidRPr="00D869E3">
        <w:rPr>
          <w:rFonts w:ascii="Verdana" w:hAnsi="Verdana"/>
          <w:sz w:val="20"/>
          <w:szCs w:val="20"/>
          <w:lang w:val="en-US"/>
        </w:rPr>
        <w:t xml:space="preserve">the inter-American </w:t>
      </w:r>
      <w:r w:rsidRPr="00D869E3">
        <w:rPr>
          <w:rFonts w:ascii="Verdana" w:hAnsi="Verdana"/>
          <w:sz w:val="20"/>
          <w:szCs w:val="20"/>
          <w:lang w:val="en-US"/>
        </w:rPr>
        <w:t xml:space="preserve">human rights </w:t>
      </w:r>
      <w:r w:rsidR="00671B14" w:rsidRPr="00D869E3">
        <w:rPr>
          <w:rFonts w:ascii="Verdana" w:hAnsi="Verdana"/>
          <w:sz w:val="20"/>
          <w:szCs w:val="20"/>
          <w:lang w:val="en-US"/>
        </w:rPr>
        <w:t>system</w:t>
      </w:r>
      <w:r w:rsidR="00F83E8F" w:rsidRPr="00D869E3">
        <w:rPr>
          <w:rFonts w:ascii="Verdana" w:hAnsi="Verdana"/>
          <w:sz w:val="20"/>
          <w:szCs w:val="20"/>
          <w:lang w:val="en-US"/>
        </w:rPr>
        <w:t xml:space="preserve">. </w:t>
      </w:r>
      <w:r w:rsidRPr="00D869E3">
        <w:rPr>
          <w:rFonts w:ascii="Verdana" w:hAnsi="Verdana"/>
          <w:sz w:val="20"/>
          <w:szCs w:val="20"/>
          <w:lang w:val="en-US"/>
        </w:rPr>
        <w:t>This is due to the evolutive interpretation</w:t>
      </w:r>
      <w:r w:rsidR="00F83E8F" w:rsidRPr="00D869E3">
        <w:rPr>
          <w:rStyle w:val="Refdenotaalpie"/>
          <w:szCs w:val="20"/>
          <w:lang w:val="en-US"/>
        </w:rPr>
        <w:footnoteReference w:id="285"/>
      </w:r>
      <w:r w:rsidR="00F83E8F" w:rsidRPr="00D869E3">
        <w:rPr>
          <w:rFonts w:ascii="Verdana" w:hAnsi="Verdana"/>
          <w:sz w:val="20"/>
          <w:szCs w:val="20"/>
          <w:lang w:val="en-US"/>
        </w:rPr>
        <w:t xml:space="preserve"> </w:t>
      </w:r>
      <w:r w:rsidRPr="00D869E3">
        <w:rPr>
          <w:rFonts w:ascii="Verdana" w:hAnsi="Verdana"/>
          <w:sz w:val="20"/>
          <w:szCs w:val="20"/>
          <w:lang w:val="en-US"/>
        </w:rPr>
        <w:t>that</w:t>
      </w:r>
      <w:r w:rsidR="00F83E8F" w:rsidRPr="00D869E3">
        <w:rPr>
          <w:rFonts w:ascii="Verdana" w:hAnsi="Verdana"/>
          <w:sz w:val="20"/>
          <w:szCs w:val="20"/>
          <w:lang w:val="en-US"/>
        </w:rPr>
        <w:t xml:space="preserve"> </w:t>
      </w:r>
      <w:r w:rsidR="00447C65" w:rsidRPr="00D869E3">
        <w:rPr>
          <w:rFonts w:ascii="Verdana" w:hAnsi="Verdana"/>
          <w:sz w:val="20"/>
          <w:szCs w:val="20"/>
          <w:lang w:val="en-US"/>
        </w:rPr>
        <w:t>the Inter-American Court of Human Rights</w:t>
      </w:r>
      <w:r w:rsidR="00F83E8F" w:rsidRPr="00D869E3">
        <w:rPr>
          <w:rFonts w:ascii="Verdana" w:hAnsi="Verdana"/>
          <w:sz w:val="20"/>
          <w:szCs w:val="20"/>
          <w:lang w:val="en-US"/>
        </w:rPr>
        <w:t xml:space="preserve"> (</w:t>
      </w:r>
      <w:r w:rsidR="00447C65" w:rsidRPr="00D869E3">
        <w:rPr>
          <w:rFonts w:ascii="Verdana" w:hAnsi="Verdana"/>
          <w:sz w:val="20"/>
          <w:szCs w:val="20"/>
          <w:lang w:val="en-US"/>
        </w:rPr>
        <w:t>hereinafter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671B14" w:rsidRPr="00D869E3">
        <w:rPr>
          <w:rFonts w:ascii="Verdana" w:hAnsi="Verdana"/>
          <w:sz w:val="20"/>
          <w:szCs w:val="20"/>
          <w:lang w:val="en-US"/>
        </w:rPr>
        <w:t>the Inter-American Court</w:t>
      </w:r>
      <w:r w:rsidR="006436CA" w:rsidRPr="00D869E3">
        <w:rPr>
          <w:rFonts w:ascii="Verdana" w:hAnsi="Verdana"/>
          <w:sz w:val="20"/>
          <w:szCs w:val="20"/>
          <w:lang w:val="en-US"/>
        </w:rPr>
        <w:t>”</w:t>
      </w:r>
      <w:r w:rsidRPr="00D869E3">
        <w:rPr>
          <w:rFonts w:ascii="Verdana" w:hAnsi="Verdana"/>
          <w:sz w:val="20"/>
          <w:szCs w:val="20"/>
          <w:lang w:val="en-US"/>
        </w:rPr>
        <w:t xml:space="preserve"> or </w:t>
      </w:r>
      <w:r w:rsidR="006436CA" w:rsidRPr="00D869E3">
        <w:rPr>
          <w:rFonts w:ascii="Verdana" w:hAnsi="Verdana"/>
          <w:sz w:val="20"/>
          <w:szCs w:val="20"/>
          <w:lang w:val="en-US"/>
        </w:rPr>
        <w:t>“</w:t>
      </w:r>
      <w:r w:rsidRPr="00D869E3">
        <w:rPr>
          <w:rFonts w:ascii="Verdana" w:hAnsi="Verdana"/>
          <w:sz w:val="20"/>
          <w:szCs w:val="20"/>
          <w:lang w:val="en-US"/>
        </w:rPr>
        <w:t>the Court</w:t>
      </w:r>
      <w:r w:rsidR="006436CA" w:rsidRPr="00D869E3">
        <w:rPr>
          <w:rFonts w:ascii="Verdana" w:hAnsi="Verdana"/>
          <w:sz w:val="20"/>
          <w:szCs w:val="20"/>
          <w:lang w:val="en-US"/>
        </w:rPr>
        <w:t>”</w:t>
      </w:r>
      <w:r w:rsidRPr="00D869E3">
        <w:rPr>
          <w:rFonts w:ascii="Verdana" w:hAnsi="Verdana"/>
          <w:sz w:val="20"/>
          <w:szCs w:val="20"/>
          <w:lang w:val="en-US"/>
        </w:rPr>
        <w:t xml:space="preserve">) </w:t>
      </w:r>
      <w:r w:rsidR="001B0492" w:rsidRPr="00D869E3">
        <w:rPr>
          <w:rFonts w:ascii="Verdana" w:hAnsi="Verdana"/>
          <w:sz w:val="20"/>
          <w:szCs w:val="20"/>
          <w:lang w:val="en-US"/>
        </w:rPr>
        <w:t>has made</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 on Human Rights</w:t>
      </w:r>
      <w:r w:rsidR="00F83E8F" w:rsidRPr="00D869E3">
        <w:rPr>
          <w:rFonts w:ascii="Verdana" w:hAnsi="Verdana"/>
          <w:sz w:val="20"/>
          <w:szCs w:val="20"/>
          <w:lang w:val="en-US"/>
        </w:rPr>
        <w:t xml:space="preserve"> (</w:t>
      </w:r>
      <w:r w:rsidR="00447C65" w:rsidRPr="00D869E3">
        <w:rPr>
          <w:rFonts w:ascii="Verdana" w:hAnsi="Verdana"/>
          <w:sz w:val="20"/>
          <w:szCs w:val="20"/>
          <w:lang w:val="en-US"/>
        </w:rPr>
        <w:t>hereinafter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w:t>
      </w:r>
      <w:r w:rsidR="00F83E8F" w:rsidRPr="00D869E3">
        <w:rPr>
          <w:rFonts w:ascii="Verdana" w:hAnsi="Verdana"/>
          <w:sz w:val="20"/>
          <w:szCs w:val="20"/>
          <w:lang w:val="en-US"/>
        </w:rPr>
        <w:t xml:space="preserve"> American</w:t>
      </w:r>
      <w:r w:rsidRPr="00D869E3">
        <w:rPr>
          <w:rFonts w:ascii="Verdana" w:hAnsi="Verdana"/>
          <w:sz w:val="20"/>
          <w:szCs w:val="20"/>
          <w:lang w:val="en-US"/>
        </w:rPr>
        <w:t xml:space="preserve"> Convention</w:t>
      </w:r>
      <w:r w:rsidR="006436CA" w:rsidRPr="00D869E3">
        <w:rPr>
          <w:rFonts w:ascii="Verdana" w:hAnsi="Verdana"/>
          <w:sz w:val="20"/>
          <w:szCs w:val="20"/>
          <w:lang w:val="en-US"/>
        </w:rPr>
        <w:t>”</w:t>
      </w:r>
      <w:r w:rsidR="00F83E8F" w:rsidRPr="00D869E3">
        <w:rPr>
          <w:rFonts w:ascii="Verdana" w:hAnsi="Verdana"/>
          <w:sz w:val="20"/>
          <w:szCs w:val="20"/>
          <w:lang w:val="en-US"/>
        </w:rPr>
        <w:t xml:space="preserve"> o</w:t>
      </w:r>
      <w:r w:rsidRPr="00D869E3">
        <w:rPr>
          <w:rFonts w:ascii="Verdana" w:hAnsi="Verdana"/>
          <w:sz w:val="20"/>
          <w:szCs w:val="20"/>
          <w:lang w:val="en-US"/>
        </w:rPr>
        <w:t>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 xml:space="preserve">the </w:t>
      </w:r>
      <w:r w:rsidR="00671B14" w:rsidRPr="00D869E3">
        <w:rPr>
          <w:rFonts w:ascii="Verdana" w:hAnsi="Verdana"/>
          <w:sz w:val="20"/>
          <w:szCs w:val="20"/>
          <w:lang w:val="en-US"/>
        </w:rPr>
        <w:t>Pact of San José</w:t>
      </w:r>
      <w:r w:rsidR="006436CA" w:rsidRPr="00D869E3">
        <w:rPr>
          <w:rFonts w:ascii="Verdana" w:hAnsi="Verdana"/>
          <w:sz w:val="20"/>
          <w:szCs w:val="20"/>
          <w:lang w:val="en-US"/>
        </w:rPr>
        <w:t>”</w:t>
      </w:r>
      <w:r w:rsidR="00F83E8F" w:rsidRPr="00D869E3">
        <w:rPr>
          <w:rFonts w:ascii="Verdana" w:hAnsi="Verdana"/>
          <w:sz w:val="20"/>
          <w:szCs w:val="20"/>
          <w:lang w:val="en-US"/>
        </w:rPr>
        <w:t xml:space="preserve">). </w:t>
      </w:r>
      <w:r w:rsidRPr="00D869E3">
        <w:rPr>
          <w:rFonts w:ascii="Verdana" w:hAnsi="Verdana"/>
          <w:sz w:val="20"/>
          <w:szCs w:val="20"/>
          <w:lang w:val="en-US"/>
        </w:rPr>
        <w:t>And, particula</w:t>
      </w:r>
      <w:r w:rsidR="007E674E" w:rsidRPr="00D869E3">
        <w:rPr>
          <w:rFonts w:ascii="Verdana" w:hAnsi="Verdana"/>
          <w:sz w:val="20"/>
          <w:szCs w:val="20"/>
          <w:lang w:val="en-US"/>
        </w:rPr>
        <w:t>r</w:t>
      </w:r>
      <w:r w:rsidRPr="00D869E3">
        <w:rPr>
          <w:rFonts w:ascii="Verdana" w:hAnsi="Verdana"/>
          <w:sz w:val="20"/>
          <w:szCs w:val="20"/>
          <w:lang w:val="en-US"/>
        </w:rPr>
        <w:t xml:space="preserve">ly, </w:t>
      </w:r>
      <w:r w:rsidR="001B0492" w:rsidRPr="00D869E3">
        <w:rPr>
          <w:rFonts w:ascii="Verdana" w:hAnsi="Verdana"/>
          <w:sz w:val="20"/>
          <w:szCs w:val="20"/>
          <w:lang w:val="en-US"/>
        </w:rPr>
        <w:t>to</w:t>
      </w:r>
      <w:r w:rsidRPr="00D869E3">
        <w:rPr>
          <w:rFonts w:ascii="Verdana" w:hAnsi="Verdana"/>
          <w:sz w:val="20"/>
          <w:szCs w:val="20"/>
          <w:lang w:val="en-US"/>
        </w:rPr>
        <w:t xml:space="preserve"> the step taken towards the full and direct justiciability of the economic, social, cul</w:t>
      </w:r>
      <w:r w:rsidR="007E674E" w:rsidRPr="00D869E3">
        <w:rPr>
          <w:rFonts w:ascii="Verdana" w:hAnsi="Verdana"/>
          <w:sz w:val="20"/>
          <w:szCs w:val="20"/>
          <w:lang w:val="en-US"/>
        </w:rPr>
        <w:t>tur</w:t>
      </w:r>
      <w:r w:rsidRPr="00D869E3">
        <w:rPr>
          <w:rFonts w:ascii="Verdana" w:hAnsi="Verdana"/>
          <w:sz w:val="20"/>
          <w:szCs w:val="20"/>
          <w:lang w:val="en-US"/>
        </w:rPr>
        <w:t xml:space="preserve">al and environmental rights </w:t>
      </w:r>
      <w:r w:rsidR="00F83E8F" w:rsidRPr="00D869E3">
        <w:rPr>
          <w:rFonts w:ascii="Verdana" w:hAnsi="Verdana"/>
          <w:sz w:val="20"/>
          <w:szCs w:val="20"/>
          <w:lang w:val="en-US"/>
        </w:rPr>
        <w:t>(</w:t>
      </w:r>
      <w:r w:rsidR="00447C65" w:rsidRPr="00D869E3">
        <w:rPr>
          <w:rFonts w:ascii="Verdana" w:hAnsi="Verdana"/>
          <w:sz w:val="20"/>
          <w:szCs w:val="20"/>
          <w:lang w:val="en-US"/>
        </w:rPr>
        <w:t>hereinafter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671B14" w:rsidRPr="00D869E3">
        <w:rPr>
          <w:rFonts w:ascii="Verdana" w:hAnsi="Verdana"/>
          <w:sz w:val="20"/>
          <w:szCs w:val="20"/>
          <w:lang w:val="en-US"/>
        </w:rPr>
        <w:t>the ESCER</w:t>
      </w:r>
      <w:r w:rsidR="006436CA" w:rsidRPr="00D869E3">
        <w:rPr>
          <w:rFonts w:ascii="Verdana" w:hAnsi="Verdana"/>
          <w:sz w:val="20"/>
          <w:szCs w:val="20"/>
          <w:lang w:val="en-US"/>
        </w:rPr>
        <w:t>”</w:t>
      </w:r>
      <w:r w:rsidR="00F83E8F" w:rsidRPr="00D869E3">
        <w:rPr>
          <w:rFonts w:ascii="Verdana" w:hAnsi="Verdana"/>
          <w:sz w:val="20"/>
          <w:szCs w:val="20"/>
          <w:lang w:val="en-US"/>
        </w:rPr>
        <w:t xml:space="preserve"> o</w:t>
      </w:r>
      <w:r w:rsidRPr="00D869E3">
        <w:rPr>
          <w:rFonts w:ascii="Verdana" w:hAnsi="Verdana"/>
          <w:sz w:val="20"/>
          <w:szCs w:val="20"/>
          <w:lang w:val="en-US"/>
        </w:rPr>
        <w:t>r</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the social rights</w:t>
      </w:r>
      <w:r w:rsidR="006436CA" w:rsidRPr="00D869E3">
        <w:rPr>
          <w:rFonts w:ascii="Verdana" w:hAnsi="Verdana"/>
          <w:sz w:val="20"/>
          <w:szCs w:val="20"/>
          <w:lang w:val="en-US"/>
        </w:rPr>
        <w:t>”</w:t>
      </w:r>
      <w:r w:rsidR="00F83E8F" w:rsidRPr="00D869E3">
        <w:rPr>
          <w:rFonts w:ascii="Verdana" w:hAnsi="Verdana"/>
          <w:sz w:val="20"/>
          <w:szCs w:val="20"/>
          <w:lang w:val="en-US"/>
        </w:rPr>
        <w:t xml:space="preserve">). </w:t>
      </w:r>
    </w:p>
    <w:p w14:paraId="46D43E75" w14:textId="77777777" w:rsidR="00F83E8F" w:rsidRPr="00D869E3" w:rsidRDefault="00F83E8F" w:rsidP="00F83E8F">
      <w:pPr>
        <w:pStyle w:val="Prrafodelista"/>
        <w:widowControl w:val="0"/>
        <w:autoSpaceDE w:val="0"/>
        <w:autoSpaceDN w:val="0"/>
        <w:adjustRightInd w:val="0"/>
        <w:ind w:left="0"/>
        <w:jc w:val="both"/>
        <w:rPr>
          <w:rFonts w:ascii="Verdana" w:hAnsi="Verdana"/>
          <w:sz w:val="20"/>
          <w:szCs w:val="20"/>
          <w:lang w:val="en-US"/>
        </w:rPr>
      </w:pPr>
    </w:p>
    <w:p w14:paraId="0A19F2A0" w14:textId="0C10AFEA" w:rsidR="00F83E8F" w:rsidRPr="00D869E3" w:rsidRDefault="007E674E" w:rsidP="00F83E8F">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u w:val="single"/>
          <w:lang w:val="en-US"/>
        </w:rPr>
        <w:t>First</w:t>
      </w:r>
      <w:r w:rsidR="00F83E8F" w:rsidRPr="00D869E3">
        <w:rPr>
          <w:rFonts w:ascii="Verdana" w:hAnsi="Verdana"/>
          <w:sz w:val="20"/>
          <w:szCs w:val="20"/>
          <w:lang w:val="en-US"/>
        </w:rPr>
        <w:t xml:space="preserve">, </w:t>
      </w:r>
      <w:r w:rsidRPr="00D869E3">
        <w:rPr>
          <w:rFonts w:ascii="Verdana" w:hAnsi="Verdana"/>
          <w:sz w:val="20"/>
          <w:szCs w:val="20"/>
          <w:lang w:val="en-US"/>
        </w:rPr>
        <w:t xml:space="preserve">the judgment approaches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005C7DB1" w:rsidRPr="00D869E3">
        <w:rPr>
          <w:rFonts w:ascii="Verdana" w:hAnsi="Verdana"/>
          <w:sz w:val="20"/>
          <w:szCs w:val="20"/>
          <w:lang w:val="en-US"/>
        </w:rPr>
        <w:t>of the</w:t>
      </w:r>
      <w:r w:rsidR="00F83E8F" w:rsidRPr="00D869E3">
        <w:rPr>
          <w:rFonts w:ascii="Verdana" w:hAnsi="Verdana"/>
          <w:sz w:val="20"/>
          <w:szCs w:val="20"/>
          <w:lang w:val="en-US"/>
        </w:rPr>
        <w:t xml:space="preserve"> </w:t>
      </w:r>
      <w:r w:rsidR="00C82C0C" w:rsidRPr="00D869E3">
        <w:rPr>
          <w:rFonts w:ascii="Verdana" w:hAnsi="Verdana"/>
          <w:sz w:val="20"/>
          <w:szCs w:val="20"/>
          <w:lang w:val="en-US"/>
        </w:rPr>
        <w:t>right to freedom</w:t>
      </w:r>
      <w:r w:rsidR="00A62EA8" w:rsidRPr="00D869E3">
        <w:rPr>
          <w:rFonts w:ascii="Verdana" w:hAnsi="Verdana"/>
          <w:sz w:val="20"/>
          <w:szCs w:val="20"/>
          <w:lang w:val="en-US"/>
        </w:rPr>
        <w:t xml:space="preserve"> of </w:t>
      </w:r>
      <w:r w:rsidRPr="00D869E3">
        <w:rPr>
          <w:rFonts w:ascii="Verdana" w:hAnsi="Verdana"/>
          <w:sz w:val="20"/>
          <w:szCs w:val="20"/>
          <w:lang w:val="en-US"/>
        </w:rPr>
        <w:t xml:space="preserve">expression from the </w:t>
      </w:r>
      <w:r w:rsidR="005C7DB1" w:rsidRPr="00D869E3">
        <w:rPr>
          <w:rFonts w:ascii="Verdana" w:hAnsi="Verdana"/>
          <w:sz w:val="20"/>
          <w:szCs w:val="20"/>
          <w:lang w:val="en-US"/>
        </w:rPr>
        <w:t xml:space="preserve">perspective </w:t>
      </w:r>
      <w:r w:rsidRPr="00D869E3">
        <w:rPr>
          <w:rFonts w:ascii="Verdana" w:hAnsi="Verdana"/>
          <w:sz w:val="20"/>
          <w:szCs w:val="20"/>
          <w:lang w:val="en-US"/>
        </w:rPr>
        <w:t>of relations between private individuals in labor contexts – worker/company. The judgment finds that “there was no overriding ne</w:t>
      </w:r>
      <w:r w:rsidR="001B0492" w:rsidRPr="00D869E3">
        <w:rPr>
          <w:rFonts w:ascii="Verdana" w:hAnsi="Verdana"/>
          <w:sz w:val="20"/>
          <w:szCs w:val="20"/>
          <w:lang w:val="en-US"/>
        </w:rPr>
        <w:t>cessity</w:t>
      </w:r>
      <w:r w:rsidRPr="00D869E3">
        <w:rPr>
          <w:rFonts w:ascii="Verdana" w:hAnsi="Verdana"/>
          <w:sz w:val="20"/>
          <w:szCs w:val="20"/>
          <w:lang w:val="en-US"/>
        </w:rPr>
        <w:t xml:space="preserve"> that would have justified the dismissal of </w:t>
      </w:r>
      <w:r w:rsidR="00E6309B" w:rsidRPr="00D869E3">
        <w:rPr>
          <w:rFonts w:ascii="Verdana" w:hAnsi="Verdana"/>
          <w:sz w:val="20"/>
          <w:lang w:val="en-US"/>
        </w:rPr>
        <w:t>Mr.</w:t>
      </w:r>
      <w:r w:rsidR="001E44D3" w:rsidRPr="00D869E3">
        <w:rPr>
          <w:rFonts w:ascii="Verdana" w:hAnsi="Verdana"/>
          <w:sz w:val="20"/>
          <w:lang w:val="en-US"/>
        </w:rPr>
        <w:t xml:space="preserve"> Lagos del Campo</w:t>
      </w:r>
      <w:r w:rsidRPr="00D869E3">
        <w:rPr>
          <w:rFonts w:ascii="Verdana" w:hAnsi="Verdana"/>
          <w:sz w:val="20"/>
          <w:lang w:val="en-US"/>
        </w:rPr>
        <w:t>,</w:t>
      </w:r>
      <w:r w:rsidR="006436CA" w:rsidRPr="00D869E3">
        <w:rPr>
          <w:rFonts w:ascii="Verdana" w:hAnsi="Verdana"/>
          <w:sz w:val="20"/>
          <w:lang w:val="en-US"/>
        </w:rPr>
        <w:t>”</w:t>
      </w:r>
      <w:r w:rsidRPr="00D869E3">
        <w:rPr>
          <w:rFonts w:ascii="Verdana" w:hAnsi="Verdana"/>
          <w:sz w:val="20"/>
          <w:lang w:val="en-US"/>
        </w:rPr>
        <w:t xml:space="preserve"> which occurred owing to his public </w:t>
      </w:r>
      <w:r w:rsidR="004800B8" w:rsidRPr="00D869E3">
        <w:rPr>
          <w:rFonts w:ascii="Verdana" w:hAnsi="Verdana"/>
          <w:sz w:val="20"/>
          <w:lang w:val="en-US"/>
        </w:rPr>
        <w:t>statements</w:t>
      </w:r>
      <w:r w:rsidRPr="00D869E3">
        <w:rPr>
          <w:rFonts w:ascii="Verdana" w:hAnsi="Verdana"/>
          <w:sz w:val="20"/>
          <w:lang w:val="en-US"/>
        </w:rPr>
        <w:t xml:space="preserve"> as a labor leader. </w:t>
      </w:r>
      <w:r w:rsidR="005C7DB1" w:rsidRPr="00D869E3">
        <w:rPr>
          <w:rFonts w:ascii="Verdana" w:hAnsi="Verdana"/>
          <w:sz w:val="20"/>
          <w:lang w:val="en-US"/>
        </w:rPr>
        <w:t>Thus</w:t>
      </w:r>
      <w:r w:rsidRPr="00D869E3">
        <w:rPr>
          <w:rFonts w:ascii="Verdana" w:hAnsi="Verdana"/>
          <w:sz w:val="20"/>
          <w:lang w:val="en-US"/>
        </w:rPr>
        <w:t xml:space="preserve">, his </w:t>
      </w:r>
      <w:r w:rsidR="00A62EA8" w:rsidRPr="00D869E3">
        <w:rPr>
          <w:rFonts w:ascii="Verdana" w:hAnsi="Verdana"/>
          <w:sz w:val="20"/>
          <w:lang w:val="en-US"/>
        </w:rPr>
        <w:t>freedom of expression</w:t>
      </w:r>
      <w:r w:rsidR="00F83E8F" w:rsidRPr="00D869E3">
        <w:rPr>
          <w:rFonts w:ascii="Verdana" w:hAnsi="Verdana"/>
          <w:sz w:val="20"/>
          <w:lang w:val="en-US"/>
        </w:rPr>
        <w:t xml:space="preserve"> </w:t>
      </w:r>
      <w:r w:rsidRPr="00D869E3">
        <w:rPr>
          <w:rFonts w:ascii="Verdana" w:hAnsi="Verdana"/>
          <w:sz w:val="20"/>
          <w:lang w:val="en-US"/>
        </w:rPr>
        <w:t>was restricted without taking into consideration that</w:t>
      </w:r>
      <w:r w:rsidR="001B0492" w:rsidRPr="00D869E3">
        <w:rPr>
          <w:rFonts w:ascii="Verdana" w:hAnsi="Verdana"/>
          <w:sz w:val="20"/>
          <w:lang w:val="en-US"/>
        </w:rPr>
        <w:t>, in essence,</w:t>
      </w:r>
      <w:r w:rsidRPr="00D869E3">
        <w:rPr>
          <w:rFonts w:ascii="Verdana" w:hAnsi="Verdana"/>
          <w:sz w:val="20"/>
          <w:lang w:val="en-US"/>
        </w:rPr>
        <w:t xml:space="preserve"> th</w:t>
      </w:r>
      <w:r w:rsidR="001B0492" w:rsidRPr="00D869E3">
        <w:rPr>
          <w:rFonts w:ascii="Verdana" w:hAnsi="Verdana"/>
          <w:sz w:val="20"/>
          <w:lang w:val="en-US"/>
        </w:rPr>
        <w:t>o</w:t>
      </w:r>
      <w:r w:rsidRPr="00D869E3">
        <w:rPr>
          <w:rFonts w:ascii="Verdana" w:hAnsi="Verdana"/>
          <w:sz w:val="20"/>
          <w:lang w:val="en-US"/>
        </w:rPr>
        <w:t xml:space="preserve">se </w:t>
      </w:r>
      <w:r w:rsidR="004800B8" w:rsidRPr="00D869E3">
        <w:rPr>
          <w:rFonts w:ascii="Verdana" w:hAnsi="Verdana"/>
          <w:sz w:val="20"/>
          <w:lang w:val="en-US"/>
        </w:rPr>
        <w:t>statements</w:t>
      </w:r>
      <w:r w:rsidRPr="00D869E3">
        <w:rPr>
          <w:rFonts w:ascii="Verdana" w:hAnsi="Verdana"/>
          <w:sz w:val="20"/>
          <w:lang w:val="en-US"/>
        </w:rPr>
        <w:t xml:space="preserve"> referred to matter</w:t>
      </w:r>
      <w:r w:rsidR="005C7DB1" w:rsidRPr="00D869E3">
        <w:rPr>
          <w:rFonts w:ascii="Verdana" w:hAnsi="Verdana"/>
          <w:sz w:val="20"/>
          <w:lang w:val="en-US"/>
        </w:rPr>
        <w:t>s</w:t>
      </w:r>
      <w:r w:rsidRPr="00D869E3">
        <w:rPr>
          <w:rFonts w:ascii="Verdana" w:hAnsi="Verdana"/>
          <w:sz w:val="20"/>
          <w:lang w:val="en-US"/>
        </w:rPr>
        <w:t xml:space="preserve"> of general interest </w:t>
      </w:r>
      <w:r w:rsidR="005C7DB1" w:rsidRPr="00D869E3">
        <w:rPr>
          <w:rFonts w:ascii="Verdana" w:hAnsi="Verdana"/>
          <w:sz w:val="20"/>
          <w:lang w:val="en-US"/>
        </w:rPr>
        <w:t>and it was appropriate for</w:t>
      </w:r>
      <w:r w:rsidRPr="00D869E3">
        <w:rPr>
          <w:rFonts w:ascii="Verdana" w:hAnsi="Verdana"/>
          <w:sz w:val="20"/>
          <w:lang w:val="en-US"/>
        </w:rPr>
        <w:t xml:space="preserve"> </w:t>
      </w:r>
      <w:r w:rsidR="00EE0BD4" w:rsidRPr="00D869E3">
        <w:rPr>
          <w:rFonts w:ascii="Verdana" w:hAnsi="Verdana"/>
          <w:sz w:val="20"/>
          <w:lang w:val="en-US"/>
        </w:rPr>
        <w:t>Mr. Lagos</w:t>
      </w:r>
      <w:r w:rsidR="00F83E8F" w:rsidRPr="00D869E3">
        <w:rPr>
          <w:rFonts w:ascii="Verdana" w:hAnsi="Verdana"/>
          <w:sz w:val="20"/>
          <w:lang w:val="en-US"/>
        </w:rPr>
        <w:t xml:space="preserve"> del Campo </w:t>
      </w:r>
      <w:r w:rsidRPr="00D869E3">
        <w:rPr>
          <w:rFonts w:ascii="Verdana" w:hAnsi="Verdana"/>
          <w:sz w:val="20"/>
          <w:lang w:val="en-US"/>
        </w:rPr>
        <w:t>to give</w:t>
      </w:r>
      <w:r w:rsidR="005C7DB1" w:rsidRPr="00D869E3">
        <w:rPr>
          <w:rFonts w:ascii="Verdana" w:hAnsi="Verdana"/>
          <w:sz w:val="20"/>
          <w:lang w:val="en-US"/>
        </w:rPr>
        <w:t xml:space="preserve"> them</w:t>
      </w:r>
      <w:r w:rsidRPr="00D869E3">
        <w:rPr>
          <w:rFonts w:ascii="Verdana" w:hAnsi="Verdana"/>
          <w:sz w:val="20"/>
          <w:lang w:val="en-US"/>
        </w:rPr>
        <w:t xml:space="preserve"> in his capacity as workers’ representative </w:t>
      </w:r>
      <w:r w:rsidR="00687684" w:rsidRPr="00D869E3">
        <w:rPr>
          <w:rFonts w:ascii="Verdana" w:hAnsi="Verdana"/>
          <w:sz w:val="20"/>
          <w:lang w:val="en-US"/>
        </w:rPr>
        <w:t>and</w:t>
      </w:r>
      <w:r w:rsidR="00C66688" w:rsidRPr="00D869E3">
        <w:rPr>
          <w:rFonts w:ascii="Verdana" w:hAnsi="Verdana"/>
          <w:sz w:val="20"/>
          <w:lang w:val="en-US"/>
        </w:rPr>
        <w:t xml:space="preserve"> </w:t>
      </w:r>
      <w:r w:rsidR="001B0492" w:rsidRPr="00D869E3">
        <w:rPr>
          <w:rFonts w:ascii="Verdana" w:hAnsi="Verdana"/>
          <w:sz w:val="20"/>
          <w:lang w:val="en-US"/>
        </w:rPr>
        <w:t>president of the Electoral</w:t>
      </w:r>
      <w:r w:rsidR="00EA232B" w:rsidRPr="00D869E3">
        <w:rPr>
          <w:rFonts w:ascii="Verdana" w:hAnsi="Verdana"/>
          <w:sz w:val="20"/>
          <w:lang w:val="en-US"/>
        </w:rPr>
        <w:t xml:space="preserve"> Committee</w:t>
      </w:r>
      <w:r w:rsidR="00F83E8F" w:rsidRPr="00D869E3">
        <w:rPr>
          <w:rFonts w:ascii="Verdana" w:hAnsi="Verdana"/>
          <w:sz w:val="20"/>
          <w:lang w:val="en-US"/>
        </w:rPr>
        <w:t xml:space="preserve">. </w:t>
      </w:r>
      <w:r w:rsidRPr="00D869E3">
        <w:rPr>
          <w:rFonts w:ascii="Verdana" w:hAnsi="Verdana"/>
          <w:sz w:val="20"/>
          <w:lang w:val="en-US"/>
        </w:rPr>
        <w:t xml:space="preserve">In this regard, the extensive inter-American case law on the right to freedom of thought and expression recognized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13 </w:t>
      </w:r>
      <w:r w:rsidR="00671B14" w:rsidRPr="00D869E3">
        <w:rPr>
          <w:rFonts w:ascii="Verdana" w:hAnsi="Verdana"/>
          <w:sz w:val="20"/>
          <w:szCs w:val="20"/>
          <w:lang w:val="en-US"/>
        </w:rPr>
        <w:t>of the Pact of San José</w:t>
      </w:r>
      <w:r w:rsidR="00F83E8F" w:rsidRPr="00D869E3">
        <w:rPr>
          <w:rStyle w:val="Refdenotaalpie"/>
          <w:rFonts w:cs="Arial"/>
          <w:iCs/>
          <w:szCs w:val="20"/>
          <w:lang w:val="en-US"/>
        </w:rPr>
        <w:footnoteReference w:id="286"/>
      </w:r>
      <w:r w:rsidRPr="00D869E3">
        <w:rPr>
          <w:rFonts w:ascii="Verdana" w:hAnsi="Verdana"/>
          <w:sz w:val="20"/>
          <w:szCs w:val="20"/>
          <w:lang w:val="en-US"/>
        </w:rPr>
        <w:t xml:space="preserve"> was expanded and consolidated</w:t>
      </w:r>
      <w:r w:rsidR="00F83E8F" w:rsidRPr="00D869E3">
        <w:rPr>
          <w:rFonts w:ascii="Verdana" w:hAnsi="Verdana" w:cs="Arial"/>
          <w:sz w:val="20"/>
          <w:szCs w:val="20"/>
          <w:lang w:val="en-US"/>
        </w:rPr>
        <w:t>.</w:t>
      </w:r>
    </w:p>
    <w:p w14:paraId="6C0D8DD9" w14:textId="77777777" w:rsidR="00D379F6" w:rsidRPr="00D869E3" w:rsidRDefault="00D379F6" w:rsidP="00D379F6">
      <w:pPr>
        <w:pStyle w:val="Prrafodelista"/>
        <w:rPr>
          <w:rFonts w:ascii="Verdana" w:hAnsi="Verdana"/>
          <w:sz w:val="20"/>
          <w:szCs w:val="20"/>
          <w:lang w:val="en-US"/>
        </w:rPr>
      </w:pPr>
    </w:p>
    <w:p w14:paraId="0C6A496A" w14:textId="4AA382BF" w:rsidR="00F83E8F" w:rsidRPr="00D869E3" w:rsidRDefault="00DB128C" w:rsidP="00185A57">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u w:val="single"/>
          <w:lang w:val="en-US"/>
        </w:rPr>
        <w:t>Second</w:t>
      </w:r>
      <w:r w:rsidR="00F83E8F" w:rsidRPr="00D869E3">
        <w:rPr>
          <w:rFonts w:ascii="Verdana" w:hAnsi="Verdana"/>
          <w:sz w:val="20"/>
          <w:szCs w:val="20"/>
          <w:lang w:val="en-US"/>
        </w:rPr>
        <w:t xml:space="preserve">, </w:t>
      </w:r>
      <w:r w:rsidR="005C7DB1" w:rsidRPr="00D869E3">
        <w:rPr>
          <w:rFonts w:ascii="Verdana" w:hAnsi="Verdana"/>
          <w:sz w:val="20"/>
          <w:szCs w:val="20"/>
          <w:lang w:val="en-US"/>
        </w:rPr>
        <w:t>in this historic judgment, the Court declared,</w:t>
      </w:r>
      <w:r w:rsidR="00F83E8F" w:rsidRPr="00D869E3">
        <w:rPr>
          <w:rStyle w:val="Refdenotaalpie"/>
          <w:szCs w:val="20"/>
          <w:lang w:val="en-US"/>
        </w:rPr>
        <w:footnoteReference w:id="287"/>
      </w:r>
      <w:r w:rsidR="005C7DB1" w:rsidRPr="00D869E3">
        <w:rPr>
          <w:rFonts w:ascii="Verdana" w:hAnsi="Verdana"/>
          <w:sz w:val="20"/>
          <w:szCs w:val="20"/>
          <w:lang w:val="en-US"/>
        </w:rPr>
        <w:t xml:space="preserve"> for the first time,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687684" w:rsidRPr="00D869E3">
        <w:rPr>
          <w:rFonts w:ascii="Verdana" w:hAnsi="Verdana"/>
          <w:sz w:val="20"/>
          <w:szCs w:val="20"/>
          <w:lang w:val="en-US"/>
        </w:rPr>
        <w:t>Article 1(1)</w:t>
      </w:r>
      <w:r w:rsidR="005C7DB1" w:rsidRPr="00D869E3">
        <w:rPr>
          <w:rFonts w:ascii="Verdana" w:hAnsi="Verdana"/>
          <w:sz w:val="20"/>
          <w:szCs w:val="20"/>
          <w:lang w:val="en-US"/>
        </w:rPr>
        <w:t>,</w:t>
      </w:r>
      <w:r w:rsidR="00F83E8F" w:rsidRPr="00D869E3">
        <w:rPr>
          <w:rStyle w:val="Refdenotaalpie"/>
          <w:szCs w:val="20"/>
          <w:lang w:val="en-US"/>
        </w:rPr>
        <w:footnoteReference w:id="288"/>
      </w:r>
      <w:r w:rsidR="00F83E8F" w:rsidRPr="00D869E3">
        <w:rPr>
          <w:rFonts w:ascii="Verdana" w:hAnsi="Verdana"/>
          <w:sz w:val="20"/>
          <w:szCs w:val="20"/>
          <w:lang w:val="en-US"/>
        </w:rPr>
        <w:t xml:space="preserve"> </w:t>
      </w:r>
      <w:r w:rsidR="005C7DB1" w:rsidRPr="00D869E3">
        <w:rPr>
          <w:rFonts w:ascii="Verdana" w:hAnsi="Verdana"/>
          <w:sz w:val="20"/>
          <w:szCs w:val="20"/>
          <w:lang w:val="en-US"/>
        </w:rPr>
        <w:t xml:space="preserve">owing to the violation of the job security </w:t>
      </w:r>
      <w:r w:rsidR="00E6309B" w:rsidRPr="00D869E3">
        <w:rPr>
          <w:rFonts w:ascii="Verdana" w:hAnsi="Verdana"/>
          <w:sz w:val="20"/>
          <w:szCs w:val="20"/>
          <w:lang w:val="en-US"/>
        </w:rPr>
        <w:t>of Mr.</w:t>
      </w:r>
      <w:r w:rsidR="001E44D3" w:rsidRPr="00D869E3">
        <w:rPr>
          <w:rFonts w:ascii="Verdana" w:hAnsi="Verdana"/>
          <w:sz w:val="20"/>
          <w:szCs w:val="20"/>
          <w:lang w:val="en-US"/>
        </w:rPr>
        <w:t xml:space="preserve"> Lagos del Campo</w:t>
      </w:r>
      <w:r w:rsidR="005C7DB1" w:rsidRPr="00D869E3">
        <w:rPr>
          <w:rFonts w:ascii="Verdana" w:hAnsi="Verdana"/>
          <w:sz w:val="20"/>
          <w:szCs w:val="20"/>
          <w:lang w:val="en-US"/>
        </w:rPr>
        <w:t>.</w:t>
      </w:r>
      <w:r w:rsidR="00F83E8F" w:rsidRPr="00D869E3">
        <w:rPr>
          <w:rStyle w:val="Refdenotaalpie"/>
          <w:szCs w:val="20"/>
          <w:lang w:val="en-US"/>
        </w:rPr>
        <w:footnoteReference w:id="289"/>
      </w:r>
      <w:r w:rsidR="002B7E57" w:rsidRPr="00D869E3">
        <w:rPr>
          <w:rFonts w:ascii="Verdana" w:hAnsi="Verdana"/>
          <w:sz w:val="20"/>
          <w:szCs w:val="20"/>
          <w:lang w:val="en-US"/>
        </w:rPr>
        <w:t xml:space="preserve"> Using an evolutive interpretation and distancing itself from its traditional case law, </w:t>
      </w:r>
      <w:r w:rsidR="00671B14" w:rsidRPr="00D869E3">
        <w:rPr>
          <w:rFonts w:ascii="Verdana" w:hAnsi="Verdana"/>
          <w:bCs/>
          <w:sz w:val="20"/>
          <w:szCs w:val="20"/>
          <w:lang w:val="en-US"/>
        </w:rPr>
        <w:t>the Inter-American Court</w:t>
      </w:r>
      <w:r w:rsidR="00F83E8F" w:rsidRPr="00D869E3">
        <w:rPr>
          <w:rFonts w:ascii="Verdana" w:hAnsi="Verdana"/>
          <w:bCs/>
          <w:sz w:val="20"/>
          <w:szCs w:val="20"/>
          <w:lang w:val="en-US"/>
        </w:rPr>
        <w:t xml:space="preserve"> </w:t>
      </w:r>
      <w:r w:rsidR="00E540A5" w:rsidRPr="00D869E3">
        <w:rPr>
          <w:rFonts w:ascii="Verdana" w:hAnsi="Verdana"/>
          <w:bCs/>
          <w:sz w:val="20"/>
          <w:szCs w:val="20"/>
          <w:lang w:val="en-US"/>
        </w:rPr>
        <w:t>provided</w:t>
      </w:r>
      <w:r w:rsidR="002B7E57" w:rsidRPr="00D869E3">
        <w:rPr>
          <w:rFonts w:ascii="Verdana" w:hAnsi="Verdana"/>
          <w:bCs/>
          <w:sz w:val="20"/>
          <w:szCs w:val="20"/>
          <w:lang w:val="en-US"/>
        </w:rPr>
        <w:t xml:space="preserve"> new normative content to </w:t>
      </w:r>
      <w:r w:rsidR="00447C65" w:rsidRPr="00D869E3">
        <w:rPr>
          <w:rFonts w:ascii="Verdana" w:hAnsi="Verdana"/>
          <w:bCs/>
          <w:sz w:val="20"/>
          <w:szCs w:val="20"/>
          <w:lang w:val="en-US"/>
        </w:rPr>
        <w:t>Article</w:t>
      </w:r>
      <w:r w:rsidR="00F83E8F" w:rsidRPr="00D869E3">
        <w:rPr>
          <w:rFonts w:ascii="Verdana" w:hAnsi="Verdana"/>
          <w:bCs/>
          <w:sz w:val="20"/>
          <w:szCs w:val="20"/>
          <w:lang w:val="en-US"/>
        </w:rPr>
        <w:t xml:space="preserve"> 26 </w:t>
      </w:r>
      <w:r w:rsidR="00671B14" w:rsidRPr="00D869E3">
        <w:rPr>
          <w:rFonts w:ascii="Verdana" w:hAnsi="Verdana"/>
          <w:bCs/>
          <w:sz w:val="20"/>
          <w:szCs w:val="20"/>
          <w:lang w:val="en-US"/>
        </w:rPr>
        <w:t>of the Pact of San José</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read in light of</w:t>
      </w:r>
      <w:r w:rsidR="00687684" w:rsidRPr="00D869E3">
        <w:rPr>
          <w:rFonts w:ascii="Verdana" w:hAnsi="Verdana"/>
          <w:bCs/>
          <w:sz w:val="20"/>
          <w:szCs w:val="20"/>
          <w:lang w:val="en-US"/>
        </w:rPr>
        <w:t xml:space="preserve"> Article</w:t>
      </w:r>
      <w:r w:rsidR="00F83E8F" w:rsidRPr="00D869E3">
        <w:rPr>
          <w:rFonts w:ascii="Verdana" w:hAnsi="Verdana"/>
          <w:bCs/>
          <w:sz w:val="20"/>
          <w:szCs w:val="20"/>
          <w:lang w:val="en-US"/>
        </w:rPr>
        <w:t xml:space="preserve"> 29 </w:t>
      </w:r>
      <w:r w:rsidR="00687684" w:rsidRPr="00D869E3">
        <w:rPr>
          <w:rFonts w:ascii="Verdana" w:hAnsi="Verdana"/>
          <w:bCs/>
          <w:sz w:val="20"/>
          <w:szCs w:val="20"/>
          <w:lang w:val="en-US"/>
        </w:rPr>
        <w:t>of this instrument</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 xml:space="preserve">Thus, the said article is not merely a programmatic </w:t>
      </w:r>
      <w:r w:rsidR="00E540A5" w:rsidRPr="00D869E3">
        <w:rPr>
          <w:rFonts w:ascii="Verdana" w:hAnsi="Verdana"/>
          <w:bCs/>
          <w:sz w:val="20"/>
          <w:szCs w:val="20"/>
          <w:lang w:val="en-US"/>
        </w:rPr>
        <w:t>standard</w:t>
      </w:r>
      <w:r w:rsidR="002B7E57" w:rsidRPr="00D869E3">
        <w:rPr>
          <w:rFonts w:ascii="Verdana" w:hAnsi="Verdana"/>
          <w:bCs/>
          <w:sz w:val="20"/>
          <w:szCs w:val="20"/>
          <w:lang w:val="en-US"/>
        </w:rPr>
        <w:t xml:space="preserve"> for the States Parties to </w:t>
      </w:r>
      <w:r w:rsidR="00447C65" w:rsidRPr="00D869E3">
        <w:rPr>
          <w:rFonts w:ascii="Verdana" w:hAnsi="Verdana"/>
          <w:bCs/>
          <w:sz w:val="20"/>
          <w:szCs w:val="20"/>
          <w:lang w:val="en-US"/>
        </w:rPr>
        <w:t>the American Convention</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 xml:space="preserve">but </w:t>
      </w:r>
      <w:r w:rsidR="00E540A5" w:rsidRPr="00D869E3">
        <w:rPr>
          <w:rFonts w:ascii="Verdana" w:hAnsi="Verdana"/>
          <w:bCs/>
          <w:sz w:val="20"/>
          <w:szCs w:val="20"/>
          <w:lang w:val="en-US"/>
        </w:rPr>
        <w:t>rather</w:t>
      </w:r>
      <w:r w:rsidR="002B7E57" w:rsidRPr="00D869E3">
        <w:rPr>
          <w:rFonts w:ascii="Verdana" w:hAnsi="Verdana"/>
          <w:bCs/>
          <w:sz w:val="20"/>
          <w:szCs w:val="20"/>
          <w:lang w:val="en-US"/>
        </w:rPr>
        <w:t xml:space="preserve"> a provision that imposes on the Inter-American Court the obligation to refer to </w:t>
      </w:r>
      <w:r w:rsidR="00317073" w:rsidRPr="00D869E3">
        <w:rPr>
          <w:rFonts w:ascii="Verdana" w:hAnsi="Verdana"/>
          <w:bCs/>
          <w:sz w:val="20"/>
          <w:szCs w:val="20"/>
          <w:lang w:val="en-US"/>
        </w:rPr>
        <w:t>the Charter of the</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Organization of American States</w:t>
      </w:r>
      <w:r w:rsidR="00F83E8F" w:rsidRPr="00D869E3">
        <w:rPr>
          <w:rFonts w:ascii="Verdana" w:hAnsi="Verdana"/>
          <w:bCs/>
          <w:sz w:val="20"/>
          <w:szCs w:val="20"/>
          <w:lang w:val="en-US"/>
        </w:rPr>
        <w:t xml:space="preserve"> (</w:t>
      </w:r>
      <w:r w:rsidR="00447C65" w:rsidRPr="00D869E3">
        <w:rPr>
          <w:rFonts w:ascii="Verdana" w:hAnsi="Verdana"/>
          <w:bCs/>
          <w:sz w:val="20"/>
          <w:szCs w:val="20"/>
          <w:lang w:val="en-US"/>
        </w:rPr>
        <w:t>hereinafter</w:t>
      </w:r>
      <w:r w:rsidR="00F83E8F" w:rsidRPr="00D869E3">
        <w:rPr>
          <w:rFonts w:ascii="Verdana" w:hAnsi="Verdana"/>
          <w:bCs/>
          <w:sz w:val="20"/>
          <w:szCs w:val="20"/>
          <w:lang w:val="en-US"/>
        </w:rPr>
        <w:t xml:space="preserve"> </w:t>
      </w:r>
      <w:r w:rsidR="006436CA" w:rsidRPr="00D869E3">
        <w:rPr>
          <w:rFonts w:ascii="Verdana" w:hAnsi="Verdana"/>
          <w:bCs/>
          <w:sz w:val="20"/>
          <w:szCs w:val="20"/>
          <w:lang w:val="en-US"/>
        </w:rPr>
        <w:t>“</w:t>
      </w:r>
      <w:r w:rsidR="00197983" w:rsidRPr="00D869E3">
        <w:rPr>
          <w:rFonts w:ascii="Verdana" w:hAnsi="Verdana"/>
          <w:bCs/>
          <w:sz w:val="20"/>
          <w:szCs w:val="20"/>
          <w:lang w:val="en-US"/>
        </w:rPr>
        <w:t>the OAS Charter</w:t>
      </w:r>
      <w:r w:rsidR="006436CA" w:rsidRPr="00D869E3">
        <w:rPr>
          <w:rFonts w:ascii="Verdana" w:hAnsi="Verdana"/>
          <w:bCs/>
          <w:sz w:val="20"/>
          <w:szCs w:val="20"/>
          <w:lang w:val="en-US"/>
        </w:rPr>
        <w:t>”</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to achieve the full effectiveness of the rights derived from the economic, social,</w:t>
      </w:r>
      <w:r w:rsidR="002B7E57" w:rsidRPr="00D869E3">
        <w:rPr>
          <w:rFonts w:ascii="Verdana" w:hAnsi="Verdana"/>
          <w:sz w:val="20"/>
          <w:szCs w:val="20"/>
          <w:lang w:val="en-US"/>
        </w:rPr>
        <w:t xml:space="preserve"> educational, scientific, and cultural standards set forth in that Charter.</w:t>
      </w:r>
      <w:r w:rsidR="00F83E8F" w:rsidRPr="00D869E3">
        <w:rPr>
          <w:rStyle w:val="Refdenotaalpie"/>
          <w:bCs/>
          <w:szCs w:val="20"/>
          <w:lang w:val="en-US"/>
        </w:rPr>
        <w:footnoteReference w:id="290"/>
      </w:r>
      <w:r w:rsidR="002B7E57" w:rsidRPr="00D869E3">
        <w:rPr>
          <w:rFonts w:ascii="Verdana" w:hAnsi="Verdana"/>
          <w:bCs/>
          <w:i/>
          <w:sz w:val="20"/>
          <w:szCs w:val="20"/>
          <w:lang w:val="en-US"/>
        </w:rPr>
        <w:t xml:space="preserve"> </w:t>
      </w:r>
      <w:r w:rsidR="002B7E57" w:rsidRPr="00D869E3">
        <w:rPr>
          <w:rFonts w:ascii="Verdana" w:hAnsi="Verdana"/>
          <w:bCs/>
          <w:sz w:val="20"/>
          <w:szCs w:val="20"/>
          <w:lang w:val="en-US"/>
        </w:rPr>
        <w:t xml:space="preserve">I referred to the possibility of considering the ESCER justiciable via </w:t>
      </w:r>
      <w:r w:rsidR="00447C65" w:rsidRPr="00D869E3">
        <w:rPr>
          <w:rFonts w:ascii="Verdana" w:hAnsi="Verdana"/>
          <w:bCs/>
          <w:sz w:val="20"/>
          <w:szCs w:val="20"/>
          <w:lang w:val="en-US"/>
        </w:rPr>
        <w:t>Article</w:t>
      </w:r>
      <w:r w:rsidR="00F83E8F" w:rsidRPr="00D869E3">
        <w:rPr>
          <w:rFonts w:ascii="Verdana" w:hAnsi="Verdana"/>
          <w:bCs/>
          <w:sz w:val="20"/>
          <w:szCs w:val="20"/>
          <w:lang w:val="en-US"/>
        </w:rPr>
        <w:t xml:space="preserve"> 26</w:t>
      </w:r>
      <w:r w:rsidR="00447C65" w:rsidRPr="00D869E3">
        <w:rPr>
          <w:rFonts w:ascii="Verdana" w:hAnsi="Verdana"/>
          <w:bCs/>
          <w:sz w:val="20"/>
          <w:szCs w:val="20"/>
          <w:lang w:val="en-US"/>
        </w:rPr>
        <w:t xml:space="preserve"> of the American Convention</w:t>
      </w:r>
      <w:r w:rsidR="002B7E57" w:rsidRPr="00D869E3">
        <w:rPr>
          <w:rFonts w:ascii="Verdana" w:hAnsi="Verdana"/>
          <w:bCs/>
          <w:sz w:val="20"/>
          <w:szCs w:val="20"/>
          <w:lang w:val="en-US"/>
        </w:rPr>
        <w:t xml:space="preserve"> in the first case that I heard as a judge </w:t>
      </w:r>
      <w:r w:rsidR="00447C65" w:rsidRPr="00D869E3">
        <w:rPr>
          <w:rFonts w:ascii="Verdana" w:hAnsi="Verdana"/>
          <w:bCs/>
          <w:sz w:val="20"/>
          <w:szCs w:val="20"/>
          <w:lang w:val="en-US"/>
        </w:rPr>
        <w:t xml:space="preserve">of </w:t>
      </w:r>
      <w:r w:rsidR="00671B14" w:rsidRPr="00D869E3">
        <w:rPr>
          <w:rFonts w:ascii="Verdana" w:hAnsi="Verdana"/>
          <w:bCs/>
          <w:sz w:val="20"/>
          <w:szCs w:val="20"/>
          <w:lang w:val="en-US"/>
        </w:rPr>
        <w:t>the Inter-American Court</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i</w:t>
      </w:r>
      <w:r w:rsidR="00F83E8F" w:rsidRPr="00D869E3">
        <w:rPr>
          <w:rFonts w:ascii="Verdana" w:hAnsi="Verdana"/>
          <w:bCs/>
          <w:sz w:val="20"/>
          <w:szCs w:val="20"/>
          <w:lang w:val="en-US"/>
        </w:rPr>
        <w:t>n 2013</w:t>
      </w:r>
      <w:r w:rsidR="002B7E57" w:rsidRPr="00D869E3">
        <w:rPr>
          <w:rFonts w:ascii="Verdana" w:hAnsi="Verdana"/>
          <w:bCs/>
          <w:sz w:val="20"/>
          <w:szCs w:val="20"/>
          <w:lang w:val="en-US"/>
        </w:rPr>
        <w:t>.</w:t>
      </w:r>
      <w:r w:rsidR="00F83E8F" w:rsidRPr="00D869E3">
        <w:rPr>
          <w:rStyle w:val="Refdenotaalpie"/>
          <w:szCs w:val="20"/>
          <w:lang w:val="en-US"/>
        </w:rPr>
        <w:footnoteReference w:id="291"/>
      </w:r>
      <w:r w:rsidR="002B7E57" w:rsidRPr="00D869E3">
        <w:rPr>
          <w:rFonts w:ascii="Verdana" w:hAnsi="Verdana"/>
          <w:bCs/>
          <w:sz w:val="20"/>
          <w:szCs w:val="20"/>
          <w:lang w:val="en-US"/>
        </w:rPr>
        <w:t xml:space="preserve"> And I have repeated this in subsequent cases concerning</w:t>
      </w:r>
      <w:r w:rsidR="00F83E8F" w:rsidRPr="00D869E3">
        <w:rPr>
          <w:rFonts w:ascii="Verdana" w:hAnsi="Verdana"/>
          <w:bCs/>
          <w:sz w:val="20"/>
          <w:szCs w:val="20"/>
          <w:lang w:val="en-US"/>
        </w:rPr>
        <w:t xml:space="preserve"> </w:t>
      </w:r>
      <w:r w:rsidR="000B2E5E" w:rsidRPr="00D869E3">
        <w:rPr>
          <w:rFonts w:ascii="Verdana" w:hAnsi="Verdana"/>
          <w:bCs/>
          <w:sz w:val="20"/>
          <w:szCs w:val="20"/>
          <w:lang w:val="en-US"/>
        </w:rPr>
        <w:t>the right to</w:t>
      </w:r>
      <w:r w:rsidR="00F83E8F" w:rsidRPr="00D869E3">
        <w:rPr>
          <w:rFonts w:ascii="Verdana" w:hAnsi="Verdana"/>
          <w:bCs/>
          <w:sz w:val="20"/>
          <w:szCs w:val="20"/>
          <w:lang w:val="en-US"/>
        </w:rPr>
        <w:t xml:space="preserve"> </w:t>
      </w:r>
      <w:r w:rsidR="002B7E57" w:rsidRPr="00D869E3">
        <w:rPr>
          <w:rFonts w:ascii="Verdana" w:hAnsi="Verdana"/>
          <w:bCs/>
          <w:sz w:val="20"/>
          <w:szCs w:val="20"/>
          <w:lang w:val="en-US"/>
        </w:rPr>
        <w:t>health</w:t>
      </w:r>
      <w:r w:rsidR="00F83E8F" w:rsidRPr="00D869E3">
        <w:rPr>
          <w:rFonts w:ascii="Verdana" w:hAnsi="Verdana"/>
          <w:bCs/>
          <w:sz w:val="20"/>
          <w:szCs w:val="20"/>
          <w:lang w:val="en-US"/>
        </w:rPr>
        <w:t xml:space="preserve"> (2015-2016)</w:t>
      </w:r>
      <w:r w:rsidR="002B7E57" w:rsidRPr="00D869E3">
        <w:rPr>
          <w:rFonts w:ascii="Verdana" w:hAnsi="Verdana"/>
          <w:bCs/>
          <w:sz w:val="20"/>
          <w:szCs w:val="20"/>
          <w:lang w:val="en-US"/>
        </w:rPr>
        <w:t>,</w:t>
      </w:r>
      <w:r w:rsidR="00F83E8F" w:rsidRPr="00D869E3">
        <w:rPr>
          <w:rStyle w:val="Refdenotaalpie"/>
          <w:szCs w:val="20"/>
          <w:lang w:val="en-US"/>
        </w:rPr>
        <w:footnoteReference w:id="292"/>
      </w:r>
      <w:r w:rsidR="00F83E8F" w:rsidRPr="00D869E3">
        <w:rPr>
          <w:rFonts w:ascii="Verdana" w:hAnsi="Verdana"/>
          <w:bCs/>
          <w:sz w:val="20"/>
          <w:szCs w:val="20"/>
          <w:lang w:val="en-US"/>
        </w:rPr>
        <w:t xml:space="preserve"> </w:t>
      </w:r>
      <w:r w:rsidR="000B2E5E" w:rsidRPr="00D869E3">
        <w:rPr>
          <w:rFonts w:ascii="Verdana" w:hAnsi="Verdana"/>
          <w:bCs/>
          <w:sz w:val="20"/>
          <w:szCs w:val="20"/>
          <w:lang w:val="en-US"/>
        </w:rPr>
        <w:t xml:space="preserve">the </w:t>
      </w:r>
      <w:r w:rsidR="00301DBE" w:rsidRPr="00D869E3">
        <w:rPr>
          <w:rFonts w:ascii="Verdana" w:hAnsi="Verdana"/>
          <w:bCs/>
          <w:sz w:val="20"/>
          <w:szCs w:val="20"/>
          <w:lang w:val="en-US"/>
        </w:rPr>
        <w:t>right to work</w:t>
      </w:r>
      <w:r w:rsidR="00F83E8F" w:rsidRPr="00D869E3">
        <w:rPr>
          <w:rFonts w:ascii="Verdana" w:hAnsi="Verdana"/>
          <w:bCs/>
          <w:sz w:val="20"/>
          <w:szCs w:val="20"/>
          <w:lang w:val="en-US"/>
        </w:rPr>
        <w:t xml:space="preserve"> (2015)</w:t>
      </w:r>
      <w:r w:rsidR="002B7E57" w:rsidRPr="00D869E3">
        <w:rPr>
          <w:rFonts w:ascii="Verdana" w:hAnsi="Verdana"/>
          <w:bCs/>
          <w:sz w:val="20"/>
          <w:szCs w:val="20"/>
          <w:lang w:val="en-US"/>
        </w:rPr>
        <w:t>,</w:t>
      </w:r>
      <w:r w:rsidR="00F83E8F" w:rsidRPr="00D869E3">
        <w:rPr>
          <w:rStyle w:val="Refdenotaalpie"/>
          <w:szCs w:val="20"/>
          <w:lang w:val="en-US"/>
        </w:rPr>
        <w:footnoteReference w:id="293"/>
      </w:r>
      <w:r w:rsidR="00687684" w:rsidRPr="00D869E3">
        <w:rPr>
          <w:rFonts w:ascii="Verdana" w:hAnsi="Verdana"/>
          <w:bCs/>
          <w:sz w:val="20"/>
          <w:szCs w:val="20"/>
          <w:lang w:val="en-US"/>
        </w:rPr>
        <w:t xml:space="preserve"> and </w:t>
      </w:r>
      <w:r w:rsidR="000B2E5E" w:rsidRPr="00D869E3">
        <w:rPr>
          <w:rFonts w:ascii="Verdana" w:hAnsi="Verdana"/>
          <w:bCs/>
          <w:sz w:val="20"/>
          <w:szCs w:val="20"/>
          <w:lang w:val="en-US"/>
        </w:rPr>
        <w:t>the right to</w:t>
      </w:r>
      <w:r w:rsidR="002B7E57" w:rsidRPr="00D869E3">
        <w:rPr>
          <w:rFonts w:ascii="Verdana" w:hAnsi="Verdana"/>
          <w:bCs/>
          <w:sz w:val="20"/>
          <w:szCs w:val="20"/>
          <w:lang w:val="en-US"/>
        </w:rPr>
        <w:t xml:space="preserve"> decent housing</w:t>
      </w:r>
      <w:r w:rsidR="00F83E8F" w:rsidRPr="00D869E3">
        <w:rPr>
          <w:rFonts w:ascii="Verdana" w:hAnsi="Verdana"/>
          <w:bCs/>
          <w:sz w:val="20"/>
          <w:szCs w:val="20"/>
          <w:lang w:val="en-US"/>
        </w:rPr>
        <w:t xml:space="preserve"> (2016)</w:t>
      </w:r>
      <w:r w:rsidR="002B7E57" w:rsidRPr="00D869E3">
        <w:rPr>
          <w:rFonts w:ascii="Verdana" w:hAnsi="Verdana"/>
          <w:bCs/>
          <w:sz w:val="20"/>
          <w:szCs w:val="20"/>
          <w:lang w:val="en-US"/>
        </w:rPr>
        <w:t>;</w:t>
      </w:r>
      <w:r w:rsidR="00F83E8F" w:rsidRPr="00D869E3">
        <w:rPr>
          <w:rStyle w:val="Refdenotaalpie"/>
          <w:szCs w:val="20"/>
          <w:lang w:val="en-US"/>
        </w:rPr>
        <w:footnoteReference w:id="294"/>
      </w:r>
      <w:r w:rsidR="002B7E57" w:rsidRPr="00D869E3">
        <w:rPr>
          <w:rFonts w:ascii="Verdana" w:hAnsi="Verdana"/>
          <w:bCs/>
          <w:sz w:val="20"/>
          <w:szCs w:val="20"/>
          <w:lang w:val="en-US"/>
        </w:rPr>
        <w:t xml:space="preserve"> matters on which I have had the opportunity to give my opinion to date.</w:t>
      </w:r>
      <w:r w:rsidR="00F83E8F" w:rsidRPr="00D869E3">
        <w:rPr>
          <w:rFonts w:ascii="Verdana" w:hAnsi="Verdana"/>
          <w:bCs/>
          <w:sz w:val="20"/>
          <w:szCs w:val="20"/>
          <w:lang w:val="en-US"/>
        </w:rPr>
        <w:t xml:space="preserve"> </w:t>
      </w:r>
    </w:p>
    <w:p w14:paraId="3E44B9D0" w14:textId="77777777" w:rsidR="002B7E57" w:rsidRPr="00D869E3" w:rsidRDefault="002B7E57" w:rsidP="002B7E57">
      <w:pPr>
        <w:pStyle w:val="Prrafodelista"/>
        <w:widowControl w:val="0"/>
        <w:autoSpaceDE w:val="0"/>
        <w:autoSpaceDN w:val="0"/>
        <w:adjustRightInd w:val="0"/>
        <w:ind w:left="0"/>
        <w:jc w:val="both"/>
        <w:rPr>
          <w:rFonts w:ascii="Verdana" w:hAnsi="Verdana"/>
          <w:sz w:val="20"/>
          <w:szCs w:val="20"/>
          <w:lang w:val="en-US"/>
        </w:rPr>
      </w:pPr>
    </w:p>
    <w:p w14:paraId="648F2639" w14:textId="18265617" w:rsidR="00F83E8F" w:rsidRPr="00D869E3" w:rsidRDefault="002B7E57" w:rsidP="00E70701">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lang w:val="en-US"/>
        </w:rPr>
        <w:t>In this way</w:t>
      </w:r>
      <w:r w:rsidR="00F83E8F" w:rsidRPr="00D869E3">
        <w:rPr>
          <w:rFonts w:ascii="Verdana" w:hAnsi="Verdana"/>
          <w:sz w:val="20"/>
          <w:szCs w:val="20"/>
          <w:lang w:val="en-US"/>
        </w:rPr>
        <w:t xml:space="preserve">, </w:t>
      </w:r>
      <w:r w:rsidR="00447C65" w:rsidRPr="00D869E3">
        <w:rPr>
          <w:rFonts w:ascii="Verdana" w:hAnsi="Verdana"/>
          <w:sz w:val="20"/>
          <w:szCs w:val="20"/>
          <w:lang w:val="en-US"/>
        </w:rPr>
        <w:t xml:space="preserve">the </w:t>
      </w:r>
      <w:r w:rsidRPr="00D869E3">
        <w:rPr>
          <w:rFonts w:ascii="Verdana" w:hAnsi="Verdana"/>
          <w:sz w:val="20"/>
          <w:szCs w:val="20"/>
          <w:lang w:val="en-US"/>
        </w:rPr>
        <w:t xml:space="preserve">Inter-American </w:t>
      </w:r>
      <w:r w:rsidR="00447C65" w:rsidRPr="00D869E3">
        <w:rPr>
          <w:rFonts w:ascii="Verdana" w:hAnsi="Verdana"/>
          <w:sz w:val="20"/>
          <w:szCs w:val="20"/>
          <w:lang w:val="en-US"/>
        </w:rPr>
        <w:t>Court</w:t>
      </w:r>
      <w:r w:rsidR="00185A57" w:rsidRPr="00D869E3">
        <w:rPr>
          <w:rFonts w:ascii="Verdana" w:hAnsi="Verdana"/>
          <w:sz w:val="20"/>
          <w:szCs w:val="20"/>
          <w:lang w:val="en-US"/>
        </w:rPr>
        <w:t xml:space="preserve"> </w:t>
      </w:r>
      <w:r w:rsidR="00F83E8F" w:rsidRPr="00D869E3">
        <w:rPr>
          <w:rFonts w:ascii="Verdana" w:hAnsi="Verdana"/>
          <w:sz w:val="20"/>
          <w:szCs w:val="20"/>
          <w:lang w:val="en-US"/>
        </w:rPr>
        <w:t>consider</w:t>
      </w:r>
      <w:r w:rsidRPr="00D869E3">
        <w:rPr>
          <w:rFonts w:ascii="Verdana" w:hAnsi="Verdana"/>
          <w:sz w:val="20"/>
          <w:szCs w:val="20"/>
          <w:lang w:val="en-US"/>
        </w:rPr>
        <w:t>ed</w:t>
      </w:r>
      <w:r w:rsidR="00F83E8F" w:rsidRPr="00D869E3">
        <w:rPr>
          <w:rFonts w:ascii="Verdana" w:hAnsi="Verdana"/>
          <w:sz w:val="20"/>
          <w:szCs w:val="20"/>
          <w:lang w:val="en-US"/>
        </w:rPr>
        <w:t xml:space="preserve"> </w:t>
      </w:r>
      <w:r w:rsidR="000B2E5E" w:rsidRPr="00D869E3">
        <w:rPr>
          <w:rFonts w:ascii="Verdana" w:hAnsi="Verdana"/>
          <w:sz w:val="20"/>
          <w:szCs w:val="20"/>
          <w:lang w:val="en-US"/>
        </w:rPr>
        <w:t>the right to</w:t>
      </w:r>
      <w:r w:rsidR="005C7DB1" w:rsidRPr="00D869E3">
        <w:rPr>
          <w:rFonts w:ascii="Verdana" w:hAnsi="Verdana"/>
          <w:sz w:val="20"/>
          <w:szCs w:val="20"/>
          <w:lang w:val="en-US"/>
        </w:rPr>
        <w:t xml:space="preserve"> job security </w:t>
      </w:r>
      <w:r w:rsidRPr="00D869E3">
        <w:rPr>
          <w:rFonts w:ascii="Verdana" w:hAnsi="Verdana"/>
          <w:sz w:val="20"/>
          <w:szCs w:val="20"/>
          <w:lang w:val="en-US"/>
        </w:rPr>
        <w:t xml:space="preserve">as a right protected by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687684" w:rsidRPr="00D869E3">
        <w:rPr>
          <w:rFonts w:ascii="Verdana" w:hAnsi="Verdana"/>
          <w:sz w:val="20"/>
          <w:szCs w:val="20"/>
          <w:lang w:val="en-US"/>
        </w:rPr>
        <w:t xml:space="preserve"> and</w:t>
      </w:r>
      <w:r w:rsidRPr="00D869E3">
        <w:rPr>
          <w:rFonts w:ascii="Verdana" w:hAnsi="Verdana"/>
          <w:sz w:val="20"/>
          <w:szCs w:val="20"/>
          <w:lang w:val="en-US"/>
        </w:rPr>
        <w:t xml:space="preserve">, consequently, declared that the Peruvian State was internationally responsible for failing to adopt adequate measures to protect the violation </w:t>
      </w:r>
      <w:r w:rsidR="00A157F5" w:rsidRPr="00D869E3">
        <w:rPr>
          <w:rFonts w:ascii="Verdana" w:hAnsi="Verdana"/>
          <w:color w:val="000000"/>
          <w:sz w:val="20"/>
          <w:szCs w:val="20"/>
          <w:lang w:val="en-US"/>
        </w:rPr>
        <w:t xml:space="preserve">of the </w:t>
      </w:r>
      <w:r w:rsidR="00301DBE" w:rsidRPr="00D869E3">
        <w:rPr>
          <w:rFonts w:ascii="Verdana" w:hAnsi="Verdana"/>
          <w:color w:val="000000"/>
          <w:sz w:val="20"/>
          <w:szCs w:val="20"/>
          <w:lang w:val="en-US"/>
        </w:rPr>
        <w:t>right to work</w:t>
      </w:r>
      <w:r w:rsidR="00F83E8F" w:rsidRPr="00D869E3">
        <w:rPr>
          <w:rFonts w:ascii="Verdana" w:hAnsi="Verdana"/>
          <w:color w:val="000000"/>
          <w:sz w:val="20"/>
          <w:szCs w:val="20"/>
          <w:lang w:val="en-US"/>
        </w:rPr>
        <w:t xml:space="preserve"> </w:t>
      </w:r>
      <w:r w:rsidR="00185A57" w:rsidRPr="00D869E3">
        <w:rPr>
          <w:rFonts w:ascii="Verdana" w:hAnsi="Verdana"/>
          <w:color w:val="000000"/>
          <w:sz w:val="20"/>
          <w:szCs w:val="20"/>
          <w:lang w:val="en-US"/>
        </w:rPr>
        <w:t>that could be attributed to</w:t>
      </w:r>
      <w:r w:rsidRPr="00D869E3">
        <w:rPr>
          <w:rFonts w:ascii="Verdana" w:hAnsi="Verdana"/>
          <w:color w:val="000000"/>
          <w:sz w:val="20"/>
          <w:szCs w:val="20"/>
          <w:lang w:val="en-US"/>
        </w:rPr>
        <w:t xml:space="preserve"> third parties.</w:t>
      </w:r>
      <w:r w:rsidR="00F83E8F" w:rsidRPr="00D869E3">
        <w:rPr>
          <w:rStyle w:val="Refdenotaalpie"/>
          <w:color w:val="000000"/>
          <w:szCs w:val="20"/>
          <w:lang w:val="en-US"/>
        </w:rPr>
        <w:footnoteReference w:id="295"/>
      </w:r>
      <w:r w:rsidR="00F83E8F" w:rsidRPr="00D869E3">
        <w:rPr>
          <w:rFonts w:ascii="Verdana" w:hAnsi="Verdana"/>
          <w:color w:val="000000"/>
          <w:sz w:val="20"/>
          <w:szCs w:val="20"/>
          <w:lang w:val="en-US"/>
        </w:rPr>
        <w:t xml:space="preserve"> </w:t>
      </w:r>
      <w:r w:rsidRPr="00D869E3">
        <w:rPr>
          <w:rFonts w:ascii="Verdana" w:hAnsi="Verdana"/>
          <w:color w:val="000000"/>
          <w:sz w:val="20"/>
          <w:szCs w:val="20"/>
          <w:lang w:val="en-US"/>
        </w:rPr>
        <w:t>That said, in order to analyze the meaning and scope</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 xml:space="preserve">, </w:t>
      </w:r>
      <w:r w:rsidRPr="00D869E3">
        <w:rPr>
          <w:rFonts w:ascii="Verdana" w:hAnsi="Verdana"/>
          <w:sz w:val="20"/>
          <w:szCs w:val="20"/>
          <w:lang w:val="en-US"/>
        </w:rPr>
        <w:t xml:space="preserve">the Court took into consideration the general rules of interpretation established in </w:t>
      </w:r>
      <w:r w:rsidR="00447C65" w:rsidRPr="00D869E3">
        <w:rPr>
          <w:rFonts w:ascii="Verdana" w:hAnsi="Verdana"/>
          <w:sz w:val="20"/>
          <w:szCs w:val="20"/>
          <w:lang w:val="en-US"/>
        </w:rPr>
        <w:t>Article</w:t>
      </w:r>
      <w:r w:rsidR="00F83E8F" w:rsidRPr="00D869E3">
        <w:rPr>
          <w:rFonts w:ascii="Verdana" w:hAnsi="Verdana" w:cs="Verdana"/>
          <w:sz w:val="20"/>
          <w:szCs w:val="20"/>
          <w:lang w:val="en-US"/>
        </w:rPr>
        <w:t xml:space="preserve"> 29</w:t>
      </w:r>
      <w:r w:rsidRPr="00D869E3">
        <w:rPr>
          <w:rFonts w:ascii="Verdana" w:hAnsi="Verdana" w:cs="Verdana"/>
          <w:sz w:val="20"/>
          <w:szCs w:val="20"/>
          <w:lang w:val="en-US"/>
        </w:rPr>
        <w:t>(</w:t>
      </w:r>
      <w:r w:rsidR="00F83E8F" w:rsidRPr="00D869E3">
        <w:rPr>
          <w:rFonts w:ascii="Verdana" w:hAnsi="Verdana" w:cs="Verdana"/>
          <w:sz w:val="20"/>
          <w:szCs w:val="20"/>
          <w:lang w:val="en-US"/>
        </w:rPr>
        <w:t>b</w:t>
      </w:r>
      <w:r w:rsidRPr="00D869E3">
        <w:rPr>
          <w:rFonts w:ascii="Verdana" w:hAnsi="Verdana" w:cs="Verdana"/>
          <w:sz w:val="20"/>
          <w:szCs w:val="20"/>
          <w:lang w:val="en-US"/>
        </w:rPr>
        <w:t>)</w:t>
      </w:r>
      <w:r w:rsidR="00F83E8F" w:rsidRPr="00D869E3">
        <w:rPr>
          <w:rFonts w:ascii="Verdana" w:hAnsi="Verdana" w:cs="Verdana"/>
          <w:sz w:val="20"/>
          <w:szCs w:val="20"/>
          <w:lang w:val="en-US"/>
        </w:rPr>
        <w:t xml:space="preserve">, </w:t>
      </w:r>
      <w:r w:rsidRPr="00D869E3">
        <w:rPr>
          <w:rFonts w:ascii="Verdana" w:hAnsi="Verdana" w:cs="Verdana"/>
          <w:sz w:val="20"/>
          <w:szCs w:val="20"/>
          <w:lang w:val="en-US"/>
        </w:rPr>
        <w:t>(</w:t>
      </w:r>
      <w:r w:rsidR="00F83E8F" w:rsidRPr="00D869E3">
        <w:rPr>
          <w:rFonts w:ascii="Verdana" w:hAnsi="Verdana" w:cs="Verdana"/>
          <w:sz w:val="20"/>
          <w:szCs w:val="20"/>
          <w:lang w:val="en-US"/>
        </w:rPr>
        <w:t>c</w:t>
      </w:r>
      <w:r w:rsidRPr="00D869E3">
        <w:rPr>
          <w:rFonts w:ascii="Verdana" w:hAnsi="Verdana" w:cs="Verdana"/>
          <w:sz w:val="20"/>
          <w:szCs w:val="20"/>
          <w:lang w:val="en-US"/>
        </w:rPr>
        <w:t>)</w:t>
      </w:r>
      <w:r w:rsidR="00687684" w:rsidRPr="00D869E3">
        <w:rPr>
          <w:rFonts w:ascii="Verdana" w:hAnsi="Verdana" w:cs="Verdana"/>
          <w:sz w:val="20"/>
          <w:szCs w:val="20"/>
          <w:lang w:val="en-US"/>
        </w:rPr>
        <w:t xml:space="preserve"> and </w:t>
      </w:r>
      <w:r w:rsidRPr="00D869E3">
        <w:rPr>
          <w:rFonts w:ascii="Verdana" w:hAnsi="Verdana" w:cs="Verdana"/>
          <w:sz w:val="20"/>
          <w:szCs w:val="20"/>
          <w:lang w:val="en-US"/>
        </w:rPr>
        <w:t>(</w:t>
      </w:r>
      <w:r w:rsidR="00F83E8F" w:rsidRPr="00D869E3">
        <w:rPr>
          <w:rFonts w:ascii="Verdana" w:hAnsi="Verdana" w:cs="Verdana"/>
          <w:sz w:val="20"/>
          <w:szCs w:val="20"/>
          <w:lang w:val="en-US"/>
        </w:rPr>
        <w:t>d</w:t>
      </w:r>
      <w:r w:rsidRPr="00D869E3">
        <w:rPr>
          <w:rFonts w:ascii="Verdana" w:hAnsi="Verdana" w:cs="Verdana"/>
          <w:sz w:val="20"/>
          <w:szCs w:val="20"/>
          <w:lang w:val="en-US"/>
        </w:rPr>
        <w:t xml:space="preserve">) of this treaty and, </w:t>
      </w:r>
      <w:r w:rsidR="00E540A5" w:rsidRPr="00D869E3">
        <w:rPr>
          <w:rFonts w:ascii="Verdana" w:hAnsi="Verdana" w:cs="Verdana"/>
          <w:sz w:val="20"/>
          <w:szCs w:val="20"/>
          <w:lang w:val="en-US"/>
        </w:rPr>
        <w:t>thus</w:t>
      </w:r>
      <w:r w:rsidRPr="00D869E3">
        <w:rPr>
          <w:rFonts w:ascii="Verdana" w:hAnsi="Verdana" w:cs="Verdana"/>
          <w:sz w:val="20"/>
          <w:szCs w:val="20"/>
          <w:lang w:val="en-US"/>
        </w:rPr>
        <w:t xml:space="preserve">, specific labor rights </w:t>
      </w:r>
      <w:r w:rsidR="00E540A5" w:rsidRPr="00D869E3">
        <w:rPr>
          <w:rFonts w:ascii="Verdana" w:hAnsi="Verdana" w:cs="Verdana"/>
          <w:sz w:val="20"/>
          <w:szCs w:val="20"/>
          <w:lang w:val="en-US"/>
        </w:rPr>
        <w:t>were derived from</w:t>
      </w:r>
      <w:r w:rsidRPr="00D869E3">
        <w:rPr>
          <w:rFonts w:ascii="Verdana" w:hAnsi="Verdana" w:cs="Verdana"/>
          <w:sz w:val="20"/>
          <w:szCs w:val="20"/>
          <w:lang w:val="en-US"/>
        </w:rPr>
        <w:t xml:space="preserve"> </w:t>
      </w:r>
      <w:r w:rsidR="00447C65" w:rsidRPr="00D869E3">
        <w:rPr>
          <w:rFonts w:ascii="Verdana" w:hAnsi="Verdana" w:cs="Verdana"/>
          <w:sz w:val="20"/>
          <w:szCs w:val="20"/>
          <w:lang w:val="en-US"/>
        </w:rPr>
        <w:t>Articles</w:t>
      </w:r>
      <w:r w:rsidR="00F83E8F" w:rsidRPr="00D869E3">
        <w:rPr>
          <w:rFonts w:ascii="Verdana" w:hAnsi="Verdana"/>
          <w:color w:val="000000"/>
          <w:sz w:val="20"/>
          <w:szCs w:val="20"/>
          <w:lang w:val="en-US"/>
        </w:rPr>
        <w:t xml:space="preserve"> 34</w:t>
      </w:r>
      <w:r w:rsidRPr="00D869E3">
        <w:rPr>
          <w:rFonts w:ascii="Verdana" w:hAnsi="Verdana"/>
          <w:color w:val="000000"/>
          <w:sz w:val="20"/>
          <w:szCs w:val="20"/>
          <w:lang w:val="en-US"/>
        </w:rPr>
        <w:t>(</w:t>
      </w:r>
      <w:r w:rsidR="00F83E8F" w:rsidRPr="00D869E3">
        <w:rPr>
          <w:rFonts w:ascii="Verdana" w:hAnsi="Verdana"/>
          <w:color w:val="000000"/>
          <w:sz w:val="20"/>
          <w:szCs w:val="20"/>
          <w:lang w:val="en-US"/>
        </w:rPr>
        <w:t>g</w:t>
      </w:r>
      <w:r w:rsidRPr="00D869E3">
        <w:rPr>
          <w:rFonts w:ascii="Verdana" w:hAnsi="Verdana"/>
          <w:color w:val="000000"/>
          <w:sz w:val="20"/>
          <w:szCs w:val="20"/>
          <w:lang w:val="en-US"/>
        </w:rPr>
        <w:t>)</w:t>
      </w:r>
      <w:r w:rsidR="00F83E8F" w:rsidRPr="00D869E3">
        <w:rPr>
          <w:rFonts w:ascii="Verdana" w:hAnsi="Verdana"/>
          <w:color w:val="000000"/>
          <w:sz w:val="20"/>
          <w:szCs w:val="20"/>
          <w:lang w:val="en-US"/>
        </w:rPr>
        <w:t>, 45</w:t>
      </w:r>
      <w:r w:rsidRPr="00D869E3">
        <w:rPr>
          <w:rFonts w:ascii="Verdana" w:hAnsi="Verdana"/>
          <w:color w:val="000000"/>
          <w:sz w:val="20"/>
          <w:szCs w:val="20"/>
          <w:lang w:val="en-US"/>
        </w:rPr>
        <w:t>(</w:t>
      </w:r>
      <w:r w:rsidR="00F83E8F" w:rsidRPr="00D869E3">
        <w:rPr>
          <w:rFonts w:ascii="Verdana" w:hAnsi="Verdana"/>
          <w:color w:val="000000"/>
          <w:sz w:val="20"/>
          <w:szCs w:val="20"/>
          <w:lang w:val="en-US"/>
        </w:rPr>
        <w:t>b</w:t>
      </w:r>
      <w:r w:rsidRPr="00D869E3">
        <w:rPr>
          <w:rFonts w:ascii="Verdana" w:hAnsi="Verdana"/>
          <w:color w:val="000000"/>
          <w:sz w:val="20"/>
          <w:szCs w:val="20"/>
          <w:lang w:val="en-US"/>
        </w:rPr>
        <w:t>)</w:t>
      </w:r>
      <w:r w:rsidR="00687684" w:rsidRPr="00D869E3">
        <w:rPr>
          <w:rFonts w:ascii="Verdana" w:hAnsi="Verdana"/>
          <w:color w:val="000000"/>
          <w:sz w:val="20"/>
          <w:szCs w:val="20"/>
          <w:lang w:val="en-US"/>
        </w:rPr>
        <w:t xml:space="preserve"> and </w:t>
      </w:r>
      <w:r w:rsidRPr="00D869E3">
        <w:rPr>
          <w:rFonts w:ascii="Verdana" w:hAnsi="Verdana"/>
          <w:color w:val="000000"/>
          <w:sz w:val="20"/>
          <w:szCs w:val="20"/>
          <w:lang w:val="en-US"/>
        </w:rPr>
        <w:t>(</w:t>
      </w:r>
      <w:r w:rsidR="00F83E8F" w:rsidRPr="00D869E3">
        <w:rPr>
          <w:rFonts w:ascii="Verdana" w:hAnsi="Verdana"/>
          <w:color w:val="000000"/>
          <w:sz w:val="20"/>
          <w:szCs w:val="20"/>
          <w:lang w:val="en-US"/>
        </w:rPr>
        <w:t>c</w:t>
      </w:r>
      <w:r w:rsidRPr="00D869E3">
        <w:rPr>
          <w:rFonts w:ascii="Verdana" w:hAnsi="Verdana"/>
          <w:color w:val="000000"/>
          <w:sz w:val="20"/>
          <w:szCs w:val="20"/>
          <w:lang w:val="en-US"/>
        </w:rPr>
        <w:t>)</w:t>
      </w:r>
      <w:r w:rsidR="00F83E8F" w:rsidRPr="00D869E3">
        <w:rPr>
          <w:rFonts w:ascii="Verdana" w:hAnsi="Verdana"/>
          <w:color w:val="000000"/>
          <w:sz w:val="20"/>
          <w:szCs w:val="20"/>
          <w:lang w:val="en-US"/>
        </w:rPr>
        <w:t>,</w:t>
      </w:r>
      <w:r w:rsidR="00687684" w:rsidRPr="00D869E3">
        <w:rPr>
          <w:rFonts w:ascii="Verdana" w:hAnsi="Verdana"/>
          <w:color w:val="000000"/>
          <w:sz w:val="20"/>
          <w:szCs w:val="20"/>
          <w:lang w:val="en-US"/>
        </w:rPr>
        <w:t xml:space="preserve"> and </w:t>
      </w:r>
      <w:r w:rsidR="00F83E8F" w:rsidRPr="00D869E3">
        <w:rPr>
          <w:rFonts w:ascii="Verdana" w:hAnsi="Verdana"/>
          <w:color w:val="000000"/>
          <w:sz w:val="20"/>
          <w:szCs w:val="20"/>
          <w:lang w:val="en-US"/>
        </w:rPr>
        <w:t xml:space="preserve">46 </w:t>
      </w:r>
      <w:r w:rsidR="00197983" w:rsidRPr="00D869E3">
        <w:rPr>
          <w:rFonts w:ascii="Verdana" w:hAnsi="Verdana"/>
          <w:color w:val="000000"/>
          <w:sz w:val="20"/>
          <w:szCs w:val="20"/>
          <w:lang w:val="en-US"/>
        </w:rPr>
        <w:t>of the OAS Charter</w:t>
      </w:r>
      <w:r w:rsidRPr="00D869E3">
        <w:rPr>
          <w:rFonts w:ascii="Verdana" w:hAnsi="Verdana"/>
          <w:color w:val="000000"/>
          <w:sz w:val="20"/>
          <w:szCs w:val="20"/>
          <w:lang w:val="en-US"/>
        </w:rPr>
        <w:t>.</w:t>
      </w:r>
      <w:r w:rsidR="00F83E8F" w:rsidRPr="00D869E3">
        <w:rPr>
          <w:rStyle w:val="Refdenotaalpie"/>
          <w:color w:val="000000"/>
          <w:szCs w:val="20"/>
          <w:lang w:val="en-US"/>
        </w:rPr>
        <w:footnoteReference w:id="296"/>
      </w:r>
      <w:r w:rsidR="00F83E8F" w:rsidRPr="00D869E3">
        <w:rPr>
          <w:rFonts w:ascii="Verdana" w:hAnsi="Verdana"/>
          <w:color w:val="000000"/>
          <w:sz w:val="20"/>
          <w:szCs w:val="20"/>
          <w:lang w:val="en-US"/>
        </w:rPr>
        <w:t xml:space="preserve"> </w:t>
      </w:r>
      <w:r w:rsidR="00E540A5" w:rsidRPr="00D869E3">
        <w:rPr>
          <w:rFonts w:ascii="Verdana" w:hAnsi="Verdana"/>
          <w:color w:val="000000"/>
          <w:sz w:val="20"/>
          <w:szCs w:val="20"/>
          <w:lang w:val="en-US"/>
        </w:rPr>
        <w:t>The Court</w:t>
      </w:r>
      <w:r w:rsidR="00185A57" w:rsidRPr="00D869E3">
        <w:rPr>
          <w:rFonts w:ascii="Verdana" w:hAnsi="Verdana"/>
          <w:color w:val="000000"/>
          <w:sz w:val="20"/>
          <w:szCs w:val="20"/>
          <w:lang w:val="en-US"/>
        </w:rPr>
        <w:t xml:space="preserve"> also took into </w:t>
      </w:r>
      <w:r w:rsidR="00E540A5" w:rsidRPr="00D869E3">
        <w:rPr>
          <w:rFonts w:ascii="Verdana" w:hAnsi="Verdana"/>
          <w:color w:val="000000"/>
          <w:sz w:val="20"/>
          <w:szCs w:val="20"/>
          <w:lang w:val="en-US"/>
        </w:rPr>
        <w:t>account</w:t>
      </w:r>
      <w:r w:rsidR="00185A57" w:rsidRPr="00D869E3">
        <w:rPr>
          <w:rFonts w:ascii="Verdana" w:hAnsi="Verdana"/>
          <w:color w:val="000000"/>
          <w:sz w:val="20"/>
          <w:szCs w:val="20"/>
          <w:lang w:val="en-US"/>
        </w:rPr>
        <w:t xml:space="preserve"> the </w:t>
      </w:r>
      <w:r w:rsidR="00360553" w:rsidRPr="00D869E3">
        <w:rPr>
          <w:rFonts w:ascii="Verdana" w:hAnsi="Verdana"/>
          <w:color w:val="000000"/>
          <w:sz w:val="20"/>
          <w:szCs w:val="20"/>
          <w:lang w:val="en-US"/>
        </w:rPr>
        <w:t>American Declaration of the Rights and Duties of Man</w:t>
      </w:r>
      <w:r w:rsidR="00185A57" w:rsidRPr="00D869E3">
        <w:rPr>
          <w:rFonts w:ascii="Verdana" w:hAnsi="Verdana"/>
          <w:color w:val="000000"/>
          <w:sz w:val="20"/>
          <w:szCs w:val="20"/>
          <w:lang w:val="en-US"/>
        </w:rPr>
        <w:t>,</w:t>
      </w:r>
      <w:r w:rsidR="00F83E8F" w:rsidRPr="00D869E3">
        <w:rPr>
          <w:rStyle w:val="Refdenotaalpie"/>
          <w:color w:val="000000"/>
          <w:szCs w:val="20"/>
          <w:lang w:val="en-US"/>
        </w:rPr>
        <w:footnoteReference w:id="297"/>
      </w:r>
      <w:r w:rsidR="00185A57" w:rsidRPr="00D869E3">
        <w:rPr>
          <w:rFonts w:ascii="Verdana" w:hAnsi="Verdana"/>
          <w:color w:val="000000"/>
          <w:sz w:val="20"/>
          <w:szCs w:val="20"/>
          <w:lang w:val="en-US"/>
        </w:rPr>
        <w:t xml:space="preserve"> the explicit acknowledgement of the rights</w:t>
      </w:r>
      <w:r w:rsidR="00E540A5" w:rsidRPr="00D869E3">
        <w:rPr>
          <w:rFonts w:ascii="Verdana" w:hAnsi="Verdana"/>
          <w:color w:val="000000"/>
          <w:sz w:val="20"/>
          <w:szCs w:val="20"/>
          <w:lang w:val="en-US"/>
        </w:rPr>
        <w:t xml:space="preserve"> that were in dispute</w:t>
      </w:r>
      <w:r w:rsidR="00185A57" w:rsidRPr="00D869E3">
        <w:rPr>
          <w:rFonts w:ascii="Verdana" w:hAnsi="Verdana"/>
          <w:color w:val="000000"/>
          <w:sz w:val="20"/>
          <w:szCs w:val="20"/>
          <w:lang w:val="en-US"/>
        </w:rPr>
        <w:t xml:space="preserve"> in the </w:t>
      </w:r>
      <w:r w:rsidR="00185A57" w:rsidRPr="00D869E3">
        <w:rPr>
          <w:rFonts w:ascii="Verdana" w:hAnsi="Verdana"/>
          <w:color w:val="000000"/>
          <w:sz w:val="20"/>
          <w:szCs w:val="20"/>
          <w:lang w:val="en-US"/>
        </w:rPr>
        <w:lastRenderedPageBreak/>
        <w:t>Constitution and laws of Peru (noting regional tendencies), and the vast international</w:t>
      </w:r>
      <w:r w:rsidR="00F83E8F" w:rsidRPr="00D869E3">
        <w:rPr>
          <w:rFonts w:ascii="Verdana" w:hAnsi="Verdana"/>
          <w:color w:val="000000"/>
          <w:sz w:val="20"/>
          <w:szCs w:val="20"/>
          <w:lang w:val="en-US"/>
        </w:rPr>
        <w:t xml:space="preserve"> </w:t>
      </w:r>
      <w:r w:rsidR="00F83E8F" w:rsidRPr="00D869E3">
        <w:rPr>
          <w:rFonts w:ascii="Verdana" w:hAnsi="Verdana"/>
          <w:i/>
          <w:color w:val="000000"/>
          <w:sz w:val="20"/>
          <w:szCs w:val="20"/>
          <w:lang w:val="en-US"/>
        </w:rPr>
        <w:t>corpus iuris</w:t>
      </w:r>
      <w:r w:rsidR="00F83E8F" w:rsidRPr="00D869E3">
        <w:rPr>
          <w:rFonts w:ascii="Verdana" w:hAnsi="Verdana"/>
          <w:color w:val="000000"/>
          <w:sz w:val="20"/>
          <w:szCs w:val="20"/>
          <w:lang w:val="en-US"/>
        </w:rPr>
        <w:t xml:space="preserve"> </w:t>
      </w:r>
      <w:r w:rsidR="00185A57" w:rsidRPr="00D869E3">
        <w:rPr>
          <w:rFonts w:ascii="Verdana" w:hAnsi="Verdana"/>
          <w:color w:val="000000"/>
          <w:sz w:val="20"/>
          <w:szCs w:val="20"/>
          <w:lang w:val="en-US"/>
        </w:rPr>
        <w:t xml:space="preserve">on the matter that has been reflected, for </w:t>
      </w:r>
      <w:r w:rsidR="00075E68" w:rsidRPr="00D869E3">
        <w:rPr>
          <w:rFonts w:ascii="Verdana" w:hAnsi="Verdana"/>
          <w:color w:val="000000"/>
          <w:sz w:val="20"/>
          <w:szCs w:val="20"/>
          <w:lang w:val="en-US"/>
        </w:rPr>
        <w:t>example</w:t>
      </w:r>
      <w:r w:rsidR="00F83E8F" w:rsidRPr="00D869E3">
        <w:rPr>
          <w:rFonts w:ascii="Verdana" w:hAnsi="Verdana"/>
          <w:color w:val="000000"/>
          <w:sz w:val="20"/>
          <w:szCs w:val="20"/>
          <w:lang w:val="en-US"/>
        </w:rPr>
        <w:t xml:space="preserve">, </w:t>
      </w:r>
      <w:r w:rsidR="00185A57" w:rsidRPr="00D869E3">
        <w:rPr>
          <w:rFonts w:ascii="Verdana" w:hAnsi="Verdana"/>
          <w:color w:val="000000"/>
          <w:sz w:val="20"/>
          <w:szCs w:val="20"/>
          <w:lang w:val="en-US"/>
        </w:rPr>
        <w:t>in the United Nations</w:t>
      </w:r>
      <w:r w:rsidR="00F83E8F" w:rsidRPr="00D869E3">
        <w:rPr>
          <w:rFonts w:ascii="Verdana" w:hAnsi="Verdana"/>
          <w:color w:val="000000"/>
          <w:sz w:val="20"/>
          <w:szCs w:val="20"/>
          <w:lang w:val="en-US"/>
        </w:rPr>
        <w:t xml:space="preserve"> 17 </w:t>
      </w:r>
      <w:r w:rsidR="00185A57" w:rsidRPr="00D869E3">
        <w:rPr>
          <w:rFonts w:ascii="Verdana" w:hAnsi="Verdana"/>
          <w:color w:val="000000"/>
          <w:sz w:val="20"/>
          <w:szCs w:val="20"/>
          <w:lang w:val="en-US"/>
        </w:rPr>
        <w:t>Goals for 2030.</w:t>
      </w:r>
      <w:r w:rsidR="00F83E8F" w:rsidRPr="00D869E3">
        <w:rPr>
          <w:rStyle w:val="Refdenotaalpie"/>
          <w:color w:val="000000"/>
          <w:szCs w:val="20"/>
          <w:lang w:val="en-US"/>
        </w:rPr>
        <w:footnoteReference w:id="298"/>
      </w:r>
    </w:p>
    <w:p w14:paraId="62BA33D1" w14:textId="77777777" w:rsidR="00F83E8F" w:rsidRPr="00D869E3" w:rsidRDefault="00F83E8F" w:rsidP="00F83E8F">
      <w:pPr>
        <w:widowControl w:val="0"/>
        <w:autoSpaceDE w:val="0"/>
        <w:autoSpaceDN w:val="0"/>
        <w:adjustRightInd w:val="0"/>
        <w:jc w:val="both"/>
        <w:rPr>
          <w:rFonts w:ascii="Verdana" w:hAnsi="Verdana"/>
          <w:sz w:val="20"/>
          <w:szCs w:val="20"/>
          <w:lang w:val="en-US"/>
        </w:rPr>
      </w:pPr>
    </w:p>
    <w:p w14:paraId="1C62D456" w14:textId="446669D4" w:rsidR="00F83E8F" w:rsidRPr="00D869E3" w:rsidRDefault="00185A57" w:rsidP="00E70701">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u w:val="single"/>
          <w:lang w:val="en-US"/>
        </w:rPr>
        <w:t>Third</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ap</w:t>
      </w:r>
      <w:r w:rsidRPr="00D869E3">
        <w:rPr>
          <w:rFonts w:ascii="Verdana" w:hAnsi="Verdana"/>
          <w:sz w:val="20"/>
          <w:szCs w:val="20"/>
          <w:lang w:val="en-US"/>
        </w:rPr>
        <w:t>plied the protection</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16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 xml:space="preserve">, </w:t>
      </w:r>
      <w:r w:rsidRPr="00D869E3">
        <w:rPr>
          <w:rFonts w:ascii="Verdana" w:hAnsi="Verdana"/>
          <w:sz w:val="20"/>
          <w:szCs w:val="20"/>
          <w:lang w:val="en-US"/>
        </w:rPr>
        <w:t>due to the violation of the right to</w:t>
      </w:r>
      <w:r w:rsidR="00AD340D" w:rsidRPr="00D869E3">
        <w:rPr>
          <w:rFonts w:ascii="Verdana" w:hAnsi="Verdana"/>
          <w:sz w:val="20"/>
          <w:szCs w:val="20"/>
          <w:lang w:val="en-US"/>
        </w:rPr>
        <w:t xml:space="preserve"> </w:t>
      </w:r>
      <w:r w:rsidR="0009733A" w:rsidRPr="00D869E3">
        <w:rPr>
          <w:rFonts w:ascii="Verdana" w:hAnsi="Verdana"/>
          <w:i/>
          <w:iCs/>
          <w:sz w:val="20"/>
          <w:szCs w:val="20"/>
          <w:lang w:val="en-US"/>
        </w:rPr>
        <w:t>the</w:t>
      </w:r>
      <w:r w:rsidRPr="00D869E3">
        <w:rPr>
          <w:rFonts w:ascii="Verdana" w:hAnsi="Verdana"/>
          <w:sz w:val="20"/>
          <w:szCs w:val="20"/>
          <w:lang w:val="en-US"/>
        </w:rPr>
        <w:t xml:space="preserve"> </w:t>
      </w:r>
      <w:r w:rsidRPr="00D869E3">
        <w:rPr>
          <w:rFonts w:ascii="Verdana" w:hAnsi="Verdana"/>
          <w:i/>
          <w:sz w:val="20"/>
          <w:szCs w:val="20"/>
          <w:lang w:val="en-US"/>
        </w:rPr>
        <w:t>freedom of association</w:t>
      </w:r>
      <w:r w:rsidR="0009733A" w:rsidRPr="00D869E3">
        <w:rPr>
          <w:rFonts w:ascii="Verdana" w:hAnsi="Verdana"/>
          <w:i/>
          <w:sz w:val="20"/>
          <w:szCs w:val="20"/>
          <w:lang w:val="en-US"/>
        </w:rPr>
        <w:t xml:space="preserve"> of labor</w:t>
      </w:r>
      <w:r w:rsidR="00F83E8F" w:rsidRPr="00D869E3">
        <w:rPr>
          <w:rFonts w:ascii="Verdana" w:hAnsi="Verdana"/>
          <w:i/>
          <w:sz w:val="20"/>
          <w:szCs w:val="20"/>
          <w:lang w:val="en-US"/>
        </w:rPr>
        <w:t>.</w:t>
      </w:r>
      <w:r w:rsidR="00F83E8F" w:rsidRPr="00D869E3">
        <w:rPr>
          <w:rFonts w:ascii="Verdana" w:hAnsi="Verdana"/>
          <w:sz w:val="20"/>
          <w:szCs w:val="20"/>
          <w:lang w:val="en-US"/>
        </w:rPr>
        <w:t xml:space="preserve"> </w:t>
      </w:r>
      <w:r w:rsidRPr="00D869E3">
        <w:rPr>
          <w:rFonts w:ascii="Verdana" w:hAnsi="Verdana"/>
          <w:sz w:val="20"/>
          <w:szCs w:val="20"/>
          <w:lang w:val="en-US"/>
        </w:rPr>
        <w:t>This is of vital importance, bearing in mind that it also constitutes the first occasion on which 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addresses the protection of </w:t>
      </w:r>
      <w:r w:rsidR="00351902" w:rsidRPr="00D869E3">
        <w:rPr>
          <w:rFonts w:ascii="Verdana" w:hAnsi="Verdana"/>
          <w:sz w:val="20"/>
          <w:szCs w:val="20"/>
          <w:lang w:val="en-US"/>
        </w:rPr>
        <w:t>freedom of association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exclusively with regard to labor matters and not, as in previous cases, only “labor union” matters. Specifically, it is this new aspect of inter-American case law that I </w:t>
      </w:r>
      <w:r w:rsidR="00AD340D" w:rsidRPr="00D869E3">
        <w:rPr>
          <w:rFonts w:ascii="Verdana" w:hAnsi="Verdana"/>
          <w:sz w:val="20"/>
          <w:szCs w:val="20"/>
          <w:lang w:val="en-US"/>
        </w:rPr>
        <w:t>find</w:t>
      </w:r>
      <w:r w:rsidRPr="00D869E3">
        <w:rPr>
          <w:rFonts w:ascii="Verdana" w:hAnsi="Verdana"/>
          <w:sz w:val="20"/>
          <w:szCs w:val="20"/>
          <w:lang w:val="en-US"/>
        </w:rPr>
        <w:t xml:space="preserve"> it pertinent to develop in this opinion.</w:t>
      </w:r>
    </w:p>
    <w:p w14:paraId="1678A0F1" w14:textId="77777777" w:rsidR="00F83E8F" w:rsidRPr="00D869E3" w:rsidRDefault="00F83E8F" w:rsidP="00F83E8F">
      <w:pPr>
        <w:widowControl w:val="0"/>
        <w:autoSpaceDE w:val="0"/>
        <w:autoSpaceDN w:val="0"/>
        <w:adjustRightInd w:val="0"/>
        <w:jc w:val="both"/>
        <w:rPr>
          <w:rFonts w:ascii="Verdana" w:hAnsi="Verdana"/>
          <w:sz w:val="20"/>
          <w:szCs w:val="20"/>
          <w:lang w:val="en-US"/>
        </w:rPr>
      </w:pPr>
    </w:p>
    <w:p w14:paraId="2CC2EBC8" w14:textId="560A062D" w:rsidR="00F83E8F" w:rsidRPr="00D869E3" w:rsidRDefault="00185A57" w:rsidP="00185A57">
      <w:pPr>
        <w:pStyle w:val="Prrafodelista"/>
        <w:widowControl w:val="0"/>
        <w:numPr>
          <w:ilvl w:val="0"/>
          <w:numId w:val="28"/>
        </w:numPr>
        <w:autoSpaceDE w:val="0"/>
        <w:autoSpaceDN w:val="0"/>
        <w:adjustRightInd w:val="0"/>
        <w:ind w:left="0" w:firstLine="0"/>
        <w:jc w:val="both"/>
        <w:rPr>
          <w:rFonts w:ascii="Verdana" w:hAnsi="Verdana"/>
          <w:sz w:val="20"/>
          <w:szCs w:val="20"/>
          <w:lang w:val="en-US"/>
        </w:rPr>
      </w:pPr>
      <w:r w:rsidRPr="00D869E3">
        <w:rPr>
          <w:rFonts w:ascii="Verdana" w:hAnsi="Verdana"/>
          <w:sz w:val="20"/>
          <w:szCs w:val="20"/>
          <w:lang w:val="en-US"/>
        </w:rPr>
        <w:t>In the instant case,</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a</w:t>
      </w:r>
      <w:r w:rsidRPr="00D869E3">
        <w:rPr>
          <w:rFonts w:ascii="Verdana" w:hAnsi="Verdana"/>
          <w:sz w:val="20"/>
          <w:szCs w:val="20"/>
          <w:lang w:val="en-US"/>
        </w:rPr>
        <w:t xml:space="preserve">ddressed the rights that were violated comprehensively and </w:t>
      </w:r>
      <w:r w:rsidR="00290346" w:rsidRPr="00D869E3">
        <w:rPr>
          <w:rFonts w:ascii="Verdana" w:hAnsi="Verdana"/>
          <w:sz w:val="20"/>
          <w:szCs w:val="20"/>
          <w:lang w:val="en-US"/>
        </w:rPr>
        <w:t xml:space="preserve">collectively, declaring the direct violation of Article 26 of the American Convention. And this contrasted with its previous case law that did this by connectivity with the civil and political rights. Consequently, I concur, in essence, with all the violations declared in the judgment. However, owing to the importance of the decision as regard the full justiciability of the ESCER, I consider it opportune to establish some </w:t>
      </w:r>
      <w:r w:rsidR="00AD340D" w:rsidRPr="00D869E3">
        <w:rPr>
          <w:rFonts w:ascii="Verdana" w:hAnsi="Verdana"/>
          <w:sz w:val="20"/>
          <w:szCs w:val="20"/>
          <w:lang w:val="en-US"/>
        </w:rPr>
        <w:t>elements</w:t>
      </w:r>
      <w:r w:rsidR="00290346" w:rsidRPr="00D869E3">
        <w:rPr>
          <w:rFonts w:ascii="Verdana" w:hAnsi="Verdana"/>
          <w:sz w:val="20"/>
          <w:szCs w:val="20"/>
          <w:lang w:val="en-US"/>
        </w:rPr>
        <w:t xml:space="preserve"> of the </w:t>
      </w:r>
      <w:r w:rsidR="00290346" w:rsidRPr="00D869E3">
        <w:rPr>
          <w:rFonts w:ascii="Verdana" w:hAnsi="Verdana"/>
          <w:i/>
          <w:iCs/>
          <w:sz w:val="20"/>
          <w:szCs w:val="20"/>
          <w:lang w:val="en-US"/>
        </w:rPr>
        <w:t xml:space="preserve">right to freedom of association in labor mattes for the defense and promotion of workers’ interests </w:t>
      </w:r>
      <w:r w:rsidR="00290346" w:rsidRPr="00D869E3">
        <w:rPr>
          <w:rFonts w:ascii="Verdana" w:hAnsi="Verdana"/>
          <w:sz w:val="20"/>
          <w:szCs w:val="20"/>
          <w:lang w:val="en-US"/>
        </w:rPr>
        <w:t xml:space="preserve">under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26</w:t>
      </w:r>
      <w:r w:rsidR="00687684" w:rsidRPr="00D869E3">
        <w:rPr>
          <w:rFonts w:ascii="Verdana" w:hAnsi="Verdana"/>
          <w:sz w:val="20"/>
          <w:szCs w:val="20"/>
          <w:lang w:val="en-US"/>
        </w:rPr>
        <w:t xml:space="preserve"> and </w:t>
      </w:r>
      <w:r w:rsidR="00F83E8F" w:rsidRPr="00D869E3">
        <w:rPr>
          <w:rFonts w:ascii="Verdana" w:hAnsi="Verdana"/>
          <w:sz w:val="20"/>
          <w:szCs w:val="20"/>
          <w:lang w:val="en-US"/>
        </w:rPr>
        <w:t>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290346" w:rsidRPr="00D869E3">
        <w:rPr>
          <w:rFonts w:ascii="Verdana" w:hAnsi="Verdana"/>
          <w:sz w:val="20"/>
          <w:szCs w:val="20"/>
          <w:lang w:val="en-US"/>
        </w:rPr>
        <w:t xml:space="preserve">And, I do so to highlight how different international instruments can act in synergy to delimit the scope of the protection of inter-American social rights through </w:t>
      </w:r>
      <w:r w:rsidR="00671B14" w:rsidRPr="00D869E3">
        <w:rPr>
          <w:rFonts w:ascii="Verdana" w:hAnsi="Verdana"/>
          <w:sz w:val="20"/>
          <w:szCs w:val="20"/>
          <w:lang w:val="en-US"/>
        </w:rPr>
        <w:t>the Pact of San José</w:t>
      </w:r>
      <w:r w:rsidR="00F83E8F" w:rsidRPr="00D869E3">
        <w:rPr>
          <w:rFonts w:ascii="Verdana" w:hAnsi="Verdana"/>
          <w:sz w:val="20"/>
          <w:szCs w:val="20"/>
          <w:lang w:val="en-US"/>
        </w:rPr>
        <w:t xml:space="preserve">. </w:t>
      </w:r>
    </w:p>
    <w:p w14:paraId="4CDC3444" w14:textId="77777777" w:rsidR="00F83E8F" w:rsidRPr="00D869E3" w:rsidRDefault="00F83E8F" w:rsidP="00F83E8F">
      <w:pPr>
        <w:widowControl w:val="0"/>
        <w:autoSpaceDE w:val="0"/>
        <w:autoSpaceDN w:val="0"/>
        <w:adjustRightInd w:val="0"/>
        <w:jc w:val="both"/>
        <w:rPr>
          <w:rFonts w:ascii="Verdana" w:hAnsi="Verdana"/>
          <w:sz w:val="20"/>
          <w:szCs w:val="20"/>
          <w:lang w:val="en-US"/>
        </w:rPr>
      </w:pPr>
    </w:p>
    <w:p w14:paraId="36CE0206" w14:textId="35F08CA4" w:rsidR="00F83E8F" w:rsidRPr="00D869E3" w:rsidRDefault="00F83E8F" w:rsidP="00E70701">
      <w:pPr>
        <w:pStyle w:val="Prrafodelista"/>
        <w:widowControl w:val="0"/>
        <w:numPr>
          <w:ilvl w:val="0"/>
          <w:numId w:val="28"/>
        </w:numPr>
        <w:autoSpaceDE w:val="0"/>
        <w:autoSpaceDN w:val="0"/>
        <w:adjustRightInd w:val="0"/>
        <w:ind w:left="0" w:firstLine="0"/>
        <w:jc w:val="both"/>
        <w:rPr>
          <w:rFonts w:ascii="Verdana" w:hAnsi="Verdana"/>
          <w:b/>
          <w:sz w:val="20"/>
          <w:szCs w:val="20"/>
          <w:lang w:val="en-US"/>
        </w:rPr>
      </w:pPr>
      <w:r w:rsidRPr="00D869E3">
        <w:rPr>
          <w:rFonts w:ascii="Verdana" w:hAnsi="Verdana"/>
          <w:sz w:val="20"/>
          <w:szCs w:val="20"/>
          <w:lang w:val="en-US"/>
        </w:rPr>
        <w:t>T</w:t>
      </w:r>
      <w:r w:rsidR="00290346" w:rsidRPr="00D869E3">
        <w:rPr>
          <w:rFonts w:ascii="Verdana" w:hAnsi="Verdana"/>
          <w:sz w:val="20"/>
          <w:szCs w:val="20"/>
          <w:lang w:val="en-US"/>
        </w:rPr>
        <w:t>aking the foregoing into account, I will now elaborate on</w:t>
      </w:r>
      <w:r w:rsidRPr="00D869E3">
        <w:rPr>
          <w:rFonts w:ascii="Verdana" w:hAnsi="Verdana"/>
          <w:sz w:val="20"/>
          <w:szCs w:val="20"/>
          <w:lang w:val="en-US"/>
        </w:rPr>
        <w:t xml:space="preserve">: </w:t>
      </w:r>
      <w:r w:rsidRPr="00D869E3">
        <w:rPr>
          <w:rFonts w:ascii="Verdana" w:hAnsi="Verdana"/>
          <w:b/>
          <w:bCs/>
          <w:iCs/>
          <w:sz w:val="20"/>
          <w:szCs w:val="20"/>
          <w:lang w:val="en-US"/>
        </w:rPr>
        <w:t>I</w:t>
      </w:r>
      <w:r w:rsidRPr="00D869E3">
        <w:rPr>
          <w:rFonts w:ascii="Verdana" w:hAnsi="Verdana"/>
          <w:bCs/>
          <w:iCs/>
          <w:sz w:val="20"/>
          <w:szCs w:val="20"/>
          <w:lang w:val="en-US"/>
        </w:rPr>
        <w:t xml:space="preserve">. </w:t>
      </w:r>
      <w:r w:rsidR="000944EB" w:rsidRPr="00D869E3">
        <w:rPr>
          <w:rFonts w:ascii="Verdana" w:hAnsi="Verdana"/>
          <w:bCs/>
          <w:iCs/>
          <w:sz w:val="20"/>
          <w:szCs w:val="20"/>
          <w:lang w:val="en-US"/>
        </w:rPr>
        <w:t xml:space="preserve">The justiciability </w:t>
      </w:r>
      <w:r w:rsidR="00A157F5" w:rsidRPr="00D869E3">
        <w:rPr>
          <w:rFonts w:ascii="Verdana" w:hAnsi="Verdana"/>
          <w:bCs/>
          <w:iCs/>
          <w:sz w:val="20"/>
          <w:szCs w:val="20"/>
          <w:lang w:val="en-US"/>
        </w:rPr>
        <w:t xml:space="preserve">of the </w:t>
      </w:r>
      <w:r w:rsidR="00301DBE" w:rsidRPr="00D869E3">
        <w:rPr>
          <w:rFonts w:ascii="Verdana" w:hAnsi="Verdana"/>
          <w:bCs/>
          <w:iCs/>
          <w:sz w:val="20"/>
          <w:szCs w:val="20"/>
          <w:lang w:val="en-US"/>
        </w:rPr>
        <w:t>right to work</w:t>
      </w:r>
      <w:r w:rsidRPr="00D869E3">
        <w:rPr>
          <w:rFonts w:ascii="Verdana" w:hAnsi="Verdana"/>
          <w:bCs/>
          <w:iCs/>
          <w:sz w:val="20"/>
          <w:szCs w:val="20"/>
          <w:lang w:val="en-US"/>
        </w:rPr>
        <w:t xml:space="preserve"> </w:t>
      </w:r>
      <w:r w:rsidR="000944EB" w:rsidRPr="00D869E3">
        <w:rPr>
          <w:rFonts w:ascii="Verdana" w:hAnsi="Verdana"/>
          <w:bCs/>
          <w:iCs/>
          <w:sz w:val="20"/>
          <w:szCs w:val="20"/>
          <w:lang w:val="en-US"/>
        </w:rPr>
        <w:t>using</w:t>
      </w:r>
      <w:r w:rsidRPr="00D869E3">
        <w:rPr>
          <w:rFonts w:ascii="Verdana" w:hAnsi="Verdana"/>
          <w:bCs/>
          <w:iCs/>
          <w:sz w:val="20"/>
          <w:szCs w:val="20"/>
          <w:lang w:val="en-US"/>
        </w:rPr>
        <w:t xml:space="preserve"> </w:t>
      </w:r>
      <w:r w:rsidR="00447C65" w:rsidRPr="00D869E3">
        <w:rPr>
          <w:rFonts w:ascii="Verdana" w:hAnsi="Verdana"/>
          <w:bCs/>
          <w:iCs/>
          <w:sz w:val="20"/>
          <w:szCs w:val="20"/>
          <w:lang w:val="en-US"/>
        </w:rPr>
        <w:t>Article</w:t>
      </w:r>
      <w:r w:rsidRPr="00D869E3">
        <w:rPr>
          <w:rFonts w:ascii="Verdana" w:hAnsi="Verdana"/>
          <w:bCs/>
          <w:iCs/>
          <w:sz w:val="20"/>
          <w:szCs w:val="20"/>
          <w:lang w:val="en-US"/>
        </w:rPr>
        <w:t xml:space="preserve"> 26</w:t>
      </w:r>
      <w:r w:rsidR="00447C65" w:rsidRPr="00D869E3">
        <w:rPr>
          <w:rFonts w:ascii="Verdana" w:hAnsi="Verdana"/>
          <w:bCs/>
          <w:iCs/>
          <w:sz w:val="20"/>
          <w:szCs w:val="20"/>
          <w:lang w:val="en-US"/>
        </w:rPr>
        <w:t xml:space="preserve"> of the American Convention</w:t>
      </w:r>
      <w:r w:rsidR="00687684" w:rsidRPr="00D869E3">
        <w:rPr>
          <w:rFonts w:ascii="Verdana" w:hAnsi="Verdana"/>
          <w:bCs/>
          <w:iCs/>
          <w:sz w:val="20"/>
          <w:szCs w:val="20"/>
          <w:lang w:val="en-US"/>
        </w:rPr>
        <w:t xml:space="preserve"> and </w:t>
      </w:r>
      <w:r w:rsidR="000944EB" w:rsidRPr="00D869E3">
        <w:rPr>
          <w:rFonts w:ascii="Verdana" w:hAnsi="Verdana"/>
          <w:bCs/>
          <w:iCs/>
          <w:sz w:val="20"/>
          <w:szCs w:val="20"/>
          <w:lang w:val="en-US"/>
        </w:rPr>
        <w:t xml:space="preserve">the application of the </w:t>
      </w:r>
      <w:r w:rsidRPr="00D869E3">
        <w:rPr>
          <w:rFonts w:ascii="Verdana" w:hAnsi="Verdana"/>
          <w:bCs/>
          <w:i/>
          <w:iCs/>
          <w:sz w:val="20"/>
          <w:szCs w:val="20"/>
          <w:lang w:val="en-US"/>
        </w:rPr>
        <w:t>iura novit curia</w:t>
      </w:r>
      <w:r w:rsidR="000944EB" w:rsidRPr="00D869E3">
        <w:rPr>
          <w:rFonts w:ascii="Verdana" w:hAnsi="Verdana"/>
          <w:bCs/>
          <w:i/>
          <w:iCs/>
          <w:sz w:val="20"/>
          <w:szCs w:val="20"/>
          <w:lang w:val="en-US"/>
        </w:rPr>
        <w:t xml:space="preserve"> </w:t>
      </w:r>
      <w:r w:rsidR="000944EB" w:rsidRPr="00D869E3">
        <w:rPr>
          <w:rFonts w:ascii="Verdana" w:hAnsi="Verdana"/>
          <w:bCs/>
          <w:iCs/>
          <w:sz w:val="20"/>
          <w:szCs w:val="20"/>
          <w:lang w:val="en-US"/>
        </w:rPr>
        <w:t>principle;</w:t>
      </w:r>
      <w:r w:rsidRPr="00D869E3">
        <w:rPr>
          <w:rFonts w:ascii="Verdana" w:hAnsi="Verdana"/>
          <w:bCs/>
          <w:i/>
          <w:iCs/>
          <w:sz w:val="20"/>
          <w:szCs w:val="20"/>
          <w:lang w:val="en-US"/>
        </w:rPr>
        <w:t xml:space="preserve"> </w:t>
      </w:r>
      <w:r w:rsidRPr="00D869E3">
        <w:rPr>
          <w:rFonts w:ascii="Verdana" w:hAnsi="Verdana"/>
          <w:b/>
          <w:sz w:val="20"/>
          <w:szCs w:val="20"/>
          <w:lang w:val="en-US"/>
        </w:rPr>
        <w:t>II</w:t>
      </w:r>
      <w:r w:rsidRPr="00D869E3">
        <w:rPr>
          <w:rFonts w:ascii="Verdana" w:hAnsi="Verdana"/>
          <w:sz w:val="20"/>
          <w:szCs w:val="20"/>
          <w:lang w:val="en-US"/>
        </w:rPr>
        <w:t>.</w:t>
      </w:r>
      <w:r w:rsidRPr="00D869E3">
        <w:rPr>
          <w:rFonts w:ascii="Verdana" w:hAnsi="Verdana"/>
          <w:bCs/>
          <w:iCs/>
          <w:sz w:val="20"/>
          <w:szCs w:val="20"/>
          <w:lang w:val="en-US"/>
        </w:rPr>
        <w:t xml:space="preserve"> </w:t>
      </w:r>
      <w:r w:rsidR="000944EB" w:rsidRPr="00D869E3">
        <w:rPr>
          <w:rFonts w:ascii="Verdana" w:hAnsi="Verdana"/>
          <w:bCs/>
          <w:iCs/>
          <w:sz w:val="20"/>
          <w:szCs w:val="20"/>
          <w:lang w:val="en-US"/>
        </w:rPr>
        <w:t>The right to freedom of association in the case law</w:t>
      </w:r>
      <w:r w:rsidR="00447C65" w:rsidRPr="00D869E3">
        <w:rPr>
          <w:rFonts w:ascii="Verdana" w:hAnsi="Verdana"/>
          <w:bCs/>
          <w:iCs/>
          <w:sz w:val="20"/>
          <w:szCs w:val="20"/>
          <w:lang w:val="en-US"/>
        </w:rPr>
        <w:t xml:space="preserve"> of </w:t>
      </w:r>
      <w:r w:rsidR="00671B14" w:rsidRPr="00D869E3">
        <w:rPr>
          <w:rFonts w:ascii="Verdana" w:hAnsi="Verdana"/>
          <w:bCs/>
          <w:iCs/>
          <w:sz w:val="20"/>
          <w:szCs w:val="20"/>
          <w:lang w:val="en-US"/>
        </w:rPr>
        <w:t>the Inter-American Court</w:t>
      </w:r>
      <w:r w:rsidRPr="00D869E3">
        <w:rPr>
          <w:rFonts w:ascii="Verdana" w:hAnsi="Verdana"/>
          <w:sz w:val="20"/>
          <w:szCs w:val="20"/>
          <w:lang w:val="en-US"/>
        </w:rPr>
        <w:t xml:space="preserve">.; </w:t>
      </w:r>
      <w:r w:rsidRPr="00D869E3">
        <w:rPr>
          <w:rFonts w:ascii="Verdana" w:hAnsi="Verdana"/>
          <w:b/>
          <w:sz w:val="20"/>
          <w:szCs w:val="20"/>
          <w:lang w:val="en-US"/>
        </w:rPr>
        <w:t>III</w:t>
      </w:r>
      <w:r w:rsidRPr="00D869E3">
        <w:rPr>
          <w:rFonts w:ascii="Verdana" w:hAnsi="Verdana"/>
          <w:sz w:val="20"/>
          <w:szCs w:val="20"/>
          <w:lang w:val="en-US"/>
        </w:rPr>
        <w:t>.</w:t>
      </w:r>
      <w:r w:rsidRPr="00D869E3">
        <w:rPr>
          <w:rFonts w:ascii="Verdana" w:hAnsi="Verdana"/>
          <w:bCs/>
          <w:iCs/>
          <w:sz w:val="20"/>
          <w:szCs w:val="20"/>
          <w:lang w:val="en-US"/>
        </w:rPr>
        <w:t xml:space="preserve"> </w:t>
      </w:r>
      <w:r w:rsidR="000944EB" w:rsidRPr="00D869E3">
        <w:rPr>
          <w:rFonts w:ascii="Verdana" w:hAnsi="Verdana"/>
          <w:bCs/>
          <w:iCs/>
          <w:sz w:val="20"/>
          <w:szCs w:val="20"/>
          <w:lang w:val="en-US"/>
        </w:rPr>
        <w:t xml:space="preserve">The right </w:t>
      </w:r>
      <w:r w:rsidR="005E46C9" w:rsidRPr="00D869E3">
        <w:rPr>
          <w:rFonts w:ascii="Verdana" w:hAnsi="Verdana"/>
          <w:bCs/>
          <w:iCs/>
          <w:sz w:val="20"/>
          <w:szCs w:val="20"/>
          <w:lang w:val="en-US"/>
        </w:rPr>
        <w:t>to</w:t>
      </w:r>
      <w:r w:rsidR="000944EB" w:rsidRPr="00D869E3">
        <w:rPr>
          <w:rFonts w:ascii="Verdana" w:hAnsi="Verdana"/>
          <w:bCs/>
          <w:iCs/>
          <w:sz w:val="20"/>
          <w:szCs w:val="20"/>
          <w:lang w:val="en-US"/>
        </w:rPr>
        <w:t xml:space="preserve"> </w:t>
      </w:r>
      <w:r w:rsidR="00A27804" w:rsidRPr="00D869E3">
        <w:rPr>
          <w:rFonts w:ascii="Verdana" w:hAnsi="Verdana"/>
          <w:bCs/>
          <w:iCs/>
          <w:sz w:val="20"/>
          <w:szCs w:val="20"/>
          <w:lang w:val="en-US"/>
        </w:rPr>
        <w:t>the</w:t>
      </w:r>
      <w:r w:rsidR="005E46C9" w:rsidRPr="00D869E3">
        <w:rPr>
          <w:rFonts w:ascii="Verdana" w:hAnsi="Verdana"/>
          <w:bCs/>
          <w:iCs/>
          <w:sz w:val="20"/>
          <w:szCs w:val="20"/>
          <w:lang w:val="en-US"/>
        </w:rPr>
        <w:t xml:space="preserve"> freedom of</w:t>
      </w:r>
      <w:r w:rsidR="000944EB" w:rsidRPr="00D869E3">
        <w:rPr>
          <w:rFonts w:ascii="Verdana" w:hAnsi="Verdana"/>
          <w:bCs/>
          <w:iCs/>
          <w:sz w:val="20"/>
          <w:szCs w:val="20"/>
          <w:lang w:val="en-US"/>
        </w:rPr>
        <w:t xml:space="preserve"> association</w:t>
      </w:r>
      <w:r w:rsidR="00A27804" w:rsidRPr="00D869E3">
        <w:rPr>
          <w:rFonts w:ascii="Verdana" w:hAnsi="Verdana"/>
          <w:bCs/>
          <w:iCs/>
          <w:sz w:val="20"/>
          <w:szCs w:val="20"/>
          <w:lang w:val="en-US"/>
        </w:rPr>
        <w:t xml:space="preserve"> of labor</w:t>
      </w:r>
      <w:r w:rsidR="000944EB" w:rsidRPr="00D869E3">
        <w:rPr>
          <w:rFonts w:ascii="Verdana" w:hAnsi="Verdana"/>
          <w:bCs/>
          <w:iCs/>
          <w:sz w:val="20"/>
          <w:szCs w:val="20"/>
          <w:lang w:val="en-US"/>
        </w:rPr>
        <w:t xml:space="preserve"> for the protection and promotion of workers’ interests as part</w:t>
      </w:r>
      <w:r w:rsidR="00A157F5" w:rsidRPr="00D869E3">
        <w:rPr>
          <w:rFonts w:ascii="Verdana" w:hAnsi="Verdana"/>
          <w:bCs/>
          <w:iCs/>
          <w:sz w:val="20"/>
          <w:szCs w:val="20"/>
          <w:lang w:val="en-US"/>
        </w:rPr>
        <w:t xml:space="preserve"> of the </w:t>
      </w:r>
      <w:r w:rsidR="00301DBE" w:rsidRPr="00D869E3">
        <w:rPr>
          <w:rFonts w:ascii="Verdana" w:hAnsi="Verdana"/>
          <w:bCs/>
          <w:iCs/>
          <w:sz w:val="20"/>
          <w:szCs w:val="20"/>
          <w:lang w:val="en-US"/>
        </w:rPr>
        <w:t>right to work</w:t>
      </w:r>
      <w:r w:rsidRPr="00D869E3">
        <w:rPr>
          <w:rFonts w:ascii="Verdana" w:hAnsi="Verdana"/>
          <w:bCs/>
          <w:iCs/>
          <w:sz w:val="20"/>
          <w:szCs w:val="20"/>
          <w:lang w:val="en-US"/>
        </w:rPr>
        <w:t>,</w:t>
      </w:r>
      <w:r w:rsidR="00687684" w:rsidRPr="00D869E3">
        <w:rPr>
          <w:rFonts w:ascii="Verdana" w:hAnsi="Verdana"/>
          <w:bCs/>
          <w:i/>
          <w:iCs/>
          <w:sz w:val="20"/>
          <w:szCs w:val="20"/>
          <w:lang w:val="en-US"/>
        </w:rPr>
        <w:t xml:space="preserve"> </w:t>
      </w:r>
      <w:r w:rsidR="00687684" w:rsidRPr="00D869E3">
        <w:rPr>
          <w:rFonts w:ascii="Verdana" w:hAnsi="Verdana"/>
          <w:bCs/>
          <w:sz w:val="20"/>
          <w:szCs w:val="20"/>
          <w:lang w:val="en-US"/>
        </w:rPr>
        <w:t>and</w:t>
      </w:r>
      <w:r w:rsidR="00687684" w:rsidRPr="00D869E3">
        <w:rPr>
          <w:rFonts w:ascii="Verdana" w:hAnsi="Verdana"/>
          <w:bCs/>
          <w:i/>
          <w:iCs/>
          <w:sz w:val="20"/>
          <w:szCs w:val="20"/>
          <w:lang w:val="en-US"/>
        </w:rPr>
        <w:t xml:space="preserve"> </w:t>
      </w:r>
      <w:r w:rsidRPr="00D869E3">
        <w:rPr>
          <w:rFonts w:ascii="Verdana" w:hAnsi="Verdana"/>
          <w:b/>
          <w:sz w:val="20"/>
          <w:szCs w:val="20"/>
          <w:lang w:val="en-US"/>
        </w:rPr>
        <w:t>IV</w:t>
      </w:r>
      <w:r w:rsidRPr="00D869E3">
        <w:rPr>
          <w:rFonts w:ascii="Verdana" w:hAnsi="Verdana"/>
          <w:sz w:val="20"/>
          <w:szCs w:val="20"/>
          <w:lang w:val="en-US"/>
        </w:rPr>
        <w:t>.</w:t>
      </w:r>
      <w:r w:rsidRPr="00D869E3">
        <w:rPr>
          <w:rFonts w:ascii="Verdana" w:hAnsi="Verdana"/>
          <w:bCs/>
          <w:i/>
          <w:iCs/>
          <w:sz w:val="20"/>
          <w:szCs w:val="20"/>
          <w:lang w:val="en-US"/>
        </w:rPr>
        <w:t xml:space="preserve"> </w:t>
      </w:r>
      <w:r w:rsidRPr="00D869E3">
        <w:rPr>
          <w:rFonts w:ascii="Verdana" w:hAnsi="Verdana"/>
          <w:bCs/>
          <w:sz w:val="20"/>
          <w:szCs w:val="20"/>
          <w:lang w:val="en-US"/>
        </w:rPr>
        <w:t>Conclusions.</w:t>
      </w:r>
    </w:p>
    <w:p w14:paraId="18307A8C" w14:textId="77777777" w:rsidR="00F83E8F" w:rsidRPr="00D869E3" w:rsidRDefault="00F83E8F" w:rsidP="00F83E8F">
      <w:pPr>
        <w:widowControl w:val="0"/>
        <w:autoSpaceDE w:val="0"/>
        <w:autoSpaceDN w:val="0"/>
        <w:adjustRightInd w:val="0"/>
        <w:rPr>
          <w:rFonts w:ascii="Verdana" w:hAnsi="Verdana"/>
          <w:sz w:val="20"/>
          <w:szCs w:val="20"/>
          <w:lang w:val="en-US"/>
        </w:rPr>
      </w:pPr>
    </w:p>
    <w:p w14:paraId="16DA0296" w14:textId="5E67516A" w:rsidR="00F83E8F" w:rsidRPr="00D869E3" w:rsidRDefault="00F83E8F" w:rsidP="00F83E8F">
      <w:pPr>
        <w:widowControl w:val="0"/>
        <w:autoSpaceDE w:val="0"/>
        <w:autoSpaceDN w:val="0"/>
        <w:adjustRightInd w:val="0"/>
        <w:jc w:val="center"/>
        <w:rPr>
          <w:rFonts w:ascii="Verdana" w:hAnsi="Verdana"/>
          <w:sz w:val="20"/>
          <w:szCs w:val="20"/>
          <w:lang w:val="en-US"/>
        </w:rPr>
      </w:pPr>
      <w:r w:rsidRPr="00D869E3">
        <w:rPr>
          <w:rFonts w:ascii="Verdana" w:hAnsi="Verdana"/>
          <w:sz w:val="20"/>
          <w:szCs w:val="20"/>
          <w:lang w:val="en-US"/>
        </w:rPr>
        <w:t xml:space="preserve">I.  </w:t>
      </w:r>
      <w:r w:rsidR="000944EB" w:rsidRPr="00D869E3">
        <w:rPr>
          <w:rFonts w:ascii="Verdana" w:hAnsi="Verdana"/>
          <w:bCs/>
          <w:iCs/>
          <w:sz w:val="20"/>
          <w:szCs w:val="20"/>
          <w:lang w:val="en-US"/>
        </w:rPr>
        <w:t xml:space="preserve">THE JUSTICIABILITY OF THE RIGHT TO WORK USING ARTICLE 26 OF THE AMERICAN CONVENTION AND THE APPLICATION OF THE </w:t>
      </w:r>
      <w:r w:rsidR="000944EB" w:rsidRPr="00D869E3">
        <w:rPr>
          <w:rFonts w:ascii="Verdana" w:hAnsi="Verdana"/>
          <w:bCs/>
          <w:i/>
          <w:iCs/>
          <w:sz w:val="20"/>
          <w:szCs w:val="20"/>
          <w:lang w:val="en-US"/>
        </w:rPr>
        <w:t xml:space="preserve">IURA NOVIT CURIA </w:t>
      </w:r>
      <w:r w:rsidR="000944EB" w:rsidRPr="00D869E3">
        <w:rPr>
          <w:rFonts w:ascii="Verdana" w:hAnsi="Verdana"/>
          <w:bCs/>
          <w:iCs/>
          <w:sz w:val="20"/>
          <w:szCs w:val="20"/>
          <w:lang w:val="en-US"/>
        </w:rPr>
        <w:t>PRINCIPLE</w:t>
      </w:r>
    </w:p>
    <w:p w14:paraId="44A1F109" w14:textId="77777777" w:rsidR="00F83E8F" w:rsidRPr="00D869E3" w:rsidRDefault="00F83E8F" w:rsidP="00F83E8F">
      <w:pPr>
        <w:widowControl w:val="0"/>
        <w:autoSpaceDE w:val="0"/>
        <w:autoSpaceDN w:val="0"/>
        <w:adjustRightInd w:val="0"/>
        <w:jc w:val="both"/>
        <w:rPr>
          <w:rFonts w:ascii="Verdana" w:hAnsi="Verdana"/>
          <w:sz w:val="20"/>
          <w:szCs w:val="20"/>
          <w:lang w:val="en-US"/>
        </w:rPr>
      </w:pPr>
    </w:p>
    <w:p w14:paraId="13A8B71F" w14:textId="5C54F7EA" w:rsidR="00F83E8F" w:rsidRPr="00D869E3" w:rsidRDefault="000944EB"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As mentioned, in this case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declar</w:t>
      </w:r>
      <w:r w:rsidRPr="00D869E3">
        <w:rPr>
          <w:rFonts w:ascii="Verdana" w:hAnsi="Verdana"/>
          <w:sz w:val="20"/>
          <w:szCs w:val="20"/>
          <w:lang w:val="en-US"/>
        </w:rPr>
        <w:t>ed</w:t>
      </w:r>
      <w:r w:rsidR="00AD340D" w:rsidRPr="00D869E3">
        <w:rPr>
          <w:rFonts w:ascii="Verdana" w:hAnsi="Verdana"/>
          <w:sz w:val="20"/>
          <w:szCs w:val="20"/>
          <w:lang w:val="en-US"/>
        </w:rPr>
        <w:t>,</w:t>
      </w:r>
      <w:r w:rsidRPr="00D869E3">
        <w:rPr>
          <w:rFonts w:ascii="Verdana" w:hAnsi="Verdana"/>
          <w:sz w:val="20"/>
          <w:szCs w:val="20"/>
          <w:lang w:val="en-US"/>
        </w:rPr>
        <w:t xml:space="preserve"> for the first time</w:t>
      </w:r>
      <w:r w:rsidR="00AD340D" w:rsidRPr="00D869E3">
        <w:rPr>
          <w:rFonts w:ascii="Verdana" w:hAnsi="Verdana"/>
          <w:sz w:val="20"/>
          <w:szCs w:val="20"/>
          <w:lang w:val="en-US"/>
        </w:rPr>
        <w:t>,</w:t>
      </w:r>
      <w:r w:rsidRPr="00D869E3">
        <w:rPr>
          <w:rFonts w:ascii="Verdana" w:hAnsi="Verdana"/>
          <w:sz w:val="20"/>
          <w:szCs w:val="20"/>
          <w:lang w:val="en-US"/>
        </w:rPr>
        <w:t xml:space="preserve"> that </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2C5EA9" w:rsidRPr="00D869E3">
        <w:rPr>
          <w:rFonts w:ascii="Verdana" w:hAnsi="Verdana"/>
          <w:sz w:val="20"/>
          <w:szCs w:val="20"/>
          <w:lang w:val="en-US"/>
        </w:rPr>
        <w:t xml:space="preserve"> had been violated</w:t>
      </w:r>
      <w:r w:rsidR="00F83E8F"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0B2E5E" w:rsidRPr="00D869E3">
        <w:rPr>
          <w:rFonts w:ascii="Verdana" w:hAnsi="Verdana"/>
          <w:sz w:val="20"/>
          <w:szCs w:val="20"/>
          <w:lang w:val="en-US"/>
        </w:rPr>
        <w:t>the rig</w:t>
      </w:r>
      <w:r w:rsidR="002C5EA9" w:rsidRPr="00D869E3">
        <w:rPr>
          <w:rFonts w:ascii="Verdana" w:hAnsi="Verdana"/>
          <w:sz w:val="20"/>
          <w:szCs w:val="20"/>
          <w:lang w:val="en-US"/>
        </w:rPr>
        <w:t>ht to job security</w:t>
      </w:r>
      <w:r w:rsidR="00F83E8F" w:rsidRPr="00D869E3">
        <w:rPr>
          <w:rStyle w:val="Refdenotaalpie"/>
          <w:szCs w:val="20"/>
          <w:lang w:val="en-US"/>
        </w:rPr>
        <w:footnoteReference w:id="299"/>
      </w:r>
      <w:r w:rsidR="00687684" w:rsidRPr="00D869E3">
        <w:rPr>
          <w:rFonts w:ascii="Verdana" w:hAnsi="Verdana"/>
          <w:sz w:val="20"/>
          <w:szCs w:val="20"/>
          <w:lang w:val="en-US"/>
        </w:rPr>
        <w:t xml:space="preserve"> and </w:t>
      </w:r>
      <w:r w:rsidR="000B2E5E" w:rsidRPr="00D869E3">
        <w:rPr>
          <w:rFonts w:ascii="Verdana" w:hAnsi="Verdana"/>
          <w:sz w:val="20"/>
          <w:szCs w:val="20"/>
          <w:lang w:val="en-US"/>
        </w:rPr>
        <w:t>the right to</w:t>
      </w:r>
      <w:r w:rsidR="002C5EA9" w:rsidRPr="00D869E3">
        <w:rPr>
          <w:rFonts w:ascii="Verdana" w:hAnsi="Verdana"/>
          <w:sz w:val="20"/>
          <w:szCs w:val="20"/>
          <w:lang w:val="en-US"/>
        </w:rPr>
        <w:t xml:space="preserve"> freedom of association;</w:t>
      </w:r>
      <w:r w:rsidR="00F83E8F" w:rsidRPr="00D869E3">
        <w:rPr>
          <w:rStyle w:val="Refdenotaalpie"/>
          <w:szCs w:val="20"/>
          <w:lang w:val="en-US"/>
        </w:rPr>
        <w:footnoteReference w:id="300"/>
      </w:r>
      <w:r w:rsidR="00F83E8F" w:rsidRPr="00D869E3">
        <w:rPr>
          <w:rFonts w:ascii="Verdana" w:hAnsi="Verdana"/>
          <w:sz w:val="20"/>
          <w:szCs w:val="20"/>
          <w:lang w:val="en-US"/>
        </w:rPr>
        <w:t xml:space="preserve"> </w:t>
      </w:r>
      <w:r w:rsidR="002C5EA9" w:rsidRPr="00D869E3">
        <w:rPr>
          <w:rFonts w:ascii="Verdana" w:hAnsi="Verdana"/>
          <w:sz w:val="20"/>
          <w:szCs w:val="20"/>
          <w:lang w:val="en-US"/>
        </w:rPr>
        <w:t xml:space="preserve">in both cases invoking the </w:t>
      </w:r>
      <w:r w:rsidR="00F83E8F" w:rsidRPr="00D869E3">
        <w:rPr>
          <w:rFonts w:ascii="Verdana" w:hAnsi="Verdana"/>
          <w:i/>
          <w:sz w:val="20"/>
          <w:szCs w:val="20"/>
          <w:lang w:val="en-US"/>
        </w:rPr>
        <w:t>iura novit curia</w:t>
      </w:r>
      <w:r w:rsidR="002C5EA9" w:rsidRPr="00D869E3">
        <w:rPr>
          <w:rFonts w:ascii="Verdana" w:hAnsi="Verdana"/>
          <w:i/>
          <w:sz w:val="20"/>
          <w:szCs w:val="20"/>
          <w:lang w:val="en-US"/>
        </w:rPr>
        <w:t xml:space="preserve"> </w:t>
      </w:r>
      <w:r w:rsidR="002C5EA9" w:rsidRPr="00D869E3">
        <w:rPr>
          <w:rFonts w:ascii="Verdana" w:hAnsi="Verdana"/>
          <w:sz w:val="20"/>
          <w:szCs w:val="20"/>
          <w:lang w:val="en-US"/>
        </w:rPr>
        <w:t>principle</w:t>
      </w:r>
      <w:r w:rsidR="00F83E8F"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2C5EA9" w:rsidRPr="00D869E3">
        <w:rPr>
          <w:rFonts w:ascii="Verdana" w:hAnsi="Verdana"/>
          <w:sz w:val="20"/>
          <w:szCs w:val="20"/>
          <w:lang w:val="en-US"/>
        </w:rPr>
        <w:t xml:space="preserve">has established an important precedent for the justiciability </w:t>
      </w:r>
      <w:r w:rsidR="00EA232B" w:rsidRPr="00D869E3">
        <w:rPr>
          <w:rFonts w:ascii="Verdana" w:hAnsi="Verdana"/>
          <w:sz w:val="20"/>
          <w:szCs w:val="20"/>
          <w:lang w:val="en-US"/>
        </w:rPr>
        <w:t xml:space="preserve">of the </w:t>
      </w:r>
      <w:r w:rsidR="00170AA6" w:rsidRPr="00D869E3">
        <w:rPr>
          <w:rFonts w:ascii="Verdana" w:hAnsi="Verdana"/>
          <w:sz w:val="20"/>
          <w:szCs w:val="20"/>
          <w:lang w:val="en-US"/>
        </w:rPr>
        <w:t>social rights</w:t>
      </w:r>
      <w:r w:rsidR="00F83E8F" w:rsidRPr="00D869E3">
        <w:rPr>
          <w:rFonts w:ascii="Verdana" w:hAnsi="Verdana"/>
          <w:sz w:val="20"/>
          <w:szCs w:val="20"/>
          <w:lang w:val="en-US"/>
        </w:rPr>
        <w:t xml:space="preserve"> </w:t>
      </w:r>
      <w:r w:rsidR="002C5EA9" w:rsidRPr="00D869E3">
        <w:rPr>
          <w:rFonts w:ascii="Verdana" w:hAnsi="Verdana"/>
          <w:sz w:val="20"/>
          <w:szCs w:val="20"/>
          <w:lang w:val="en-US"/>
        </w:rPr>
        <w:t>under</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system</w:t>
      </w:r>
      <w:r w:rsidR="00F83E8F" w:rsidRPr="00D869E3">
        <w:rPr>
          <w:rFonts w:ascii="Verdana" w:hAnsi="Verdana"/>
          <w:sz w:val="20"/>
          <w:szCs w:val="20"/>
          <w:lang w:val="en-US"/>
        </w:rPr>
        <w:t xml:space="preserve">, </w:t>
      </w:r>
      <w:r w:rsidR="002C5EA9" w:rsidRPr="00D869E3">
        <w:rPr>
          <w:rFonts w:ascii="Verdana" w:hAnsi="Verdana"/>
          <w:sz w:val="20"/>
          <w:szCs w:val="20"/>
          <w:lang w:val="en-US"/>
        </w:rPr>
        <w:t xml:space="preserve">by opening up the possibility that rights which were not expressly established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19</w:t>
      </w:r>
      <w:r w:rsidR="002C5EA9" w:rsidRPr="00D869E3">
        <w:rPr>
          <w:rFonts w:ascii="Verdana" w:hAnsi="Verdana"/>
          <w:sz w:val="20"/>
          <w:szCs w:val="20"/>
          <w:lang w:val="en-US"/>
        </w:rPr>
        <w:t>(</w:t>
      </w:r>
      <w:r w:rsidR="00F83E8F" w:rsidRPr="00D869E3">
        <w:rPr>
          <w:rFonts w:ascii="Verdana" w:hAnsi="Verdana"/>
          <w:sz w:val="20"/>
          <w:szCs w:val="20"/>
          <w:lang w:val="en-US"/>
        </w:rPr>
        <w:t>6</w:t>
      </w:r>
      <w:r w:rsidR="002C5EA9"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w:t>
      </w:r>
      <w:r w:rsidR="00F83E8F" w:rsidRPr="00D869E3">
        <w:rPr>
          <w:rStyle w:val="Refdenotaalpie"/>
          <w:szCs w:val="20"/>
          <w:lang w:val="en-US"/>
        </w:rPr>
        <w:footnoteReference w:id="301"/>
      </w:r>
      <w:r w:rsidR="00F83E8F" w:rsidRPr="00D869E3">
        <w:rPr>
          <w:rFonts w:ascii="Verdana" w:hAnsi="Verdana"/>
          <w:sz w:val="20"/>
          <w:szCs w:val="20"/>
          <w:lang w:val="en-US"/>
        </w:rPr>
        <w:t xml:space="preserve"> —</w:t>
      </w:r>
      <w:r w:rsidR="002C5EA9" w:rsidRPr="00D869E3">
        <w:rPr>
          <w:rFonts w:ascii="Verdana" w:hAnsi="Verdana"/>
          <w:sz w:val="20"/>
          <w:szCs w:val="20"/>
          <w:lang w:val="en-US"/>
        </w:rPr>
        <w:t xml:space="preserve"> such as</w:t>
      </w:r>
      <w:r w:rsidR="00F83E8F" w:rsidRPr="00D869E3">
        <w:rPr>
          <w:rFonts w:ascii="Verdana" w:hAnsi="Verdana"/>
          <w:sz w:val="20"/>
          <w:szCs w:val="20"/>
          <w:lang w:val="en-US"/>
        </w:rPr>
        <w:t xml:space="preserve">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687684" w:rsidRPr="00D869E3">
        <w:rPr>
          <w:rFonts w:ascii="Verdana" w:hAnsi="Verdana"/>
          <w:sz w:val="20"/>
          <w:szCs w:val="20"/>
          <w:lang w:val="en-US"/>
        </w:rPr>
        <w:t xml:space="preserve"> and </w:t>
      </w:r>
      <w:r w:rsidR="002C5EA9" w:rsidRPr="00D869E3">
        <w:rPr>
          <w:rFonts w:ascii="Verdana" w:hAnsi="Verdana"/>
          <w:sz w:val="20"/>
          <w:szCs w:val="20"/>
          <w:lang w:val="en-US"/>
        </w:rPr>
        <w:t xml:space="preserve">its different facets – can be protected directly </w:t>
      </w:r>
      <w:r w:rsidR="004443C5" w:rsidRPr="00D869E3">
        <w:rPr>
          <w:rFonts w:ascii="Verdana" w:hAnsi="Verdana"/>
          <w:sz w:val="20"/>
          <w:szCs w:val="20"/>
          <w:lang w:val="en-US"/>
        </w:rPr>
        <w:t>by</w:t>
      </w:r>
      <w:r w:rsidR="002C5EA9" w:rsidRPr="00D869E3">
        <w:rPr>
          <w:rFonts w:ascii="Verdana" w:hAnsi="Verdana"/>
          <w:sz w:val="20"/>
          <w:szCs w:val="20"/>
          <w:lang w:val="en-US"/>
        </w:rPr>
        <w:t xml:space="preserve"> </w:t>
      </w:r>
      <w:r w:rsidR="00447C65" w:rsidRPr="00D869E3">
        <w:rPr>
          <w:rFonts w:ascii="Verdana" w:hAnsi="Verdana"/>
          <w:sz w:val="20"/>
          <w:szCs w:val="20"/>
          <w:lang w:val="en-US"/>
        </w:rPr>
        <w:t>the American Convention</w:t>
      </w:r>
      <w:r w:rsidR="00F83E8F" w:rsidRPr="00D869E3">
        <w:rPr>
          <w:rFonts w:ascii="Verdana" w:hAnsi="Verdana"/>
          <w:sz w:val="20"/>
          <w:szCs w:val="20"/>
          <w:lang w:val="en-US"/>
        </w:rPr>
        <w:t xml:space="preserve">.  </w:t>
      </w:r>
    </w:p>
    <w:p w14:paraId="4A85D35D"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0B0A6BFB" w14:textId="7E5FD116" w:rsidR="00F83E8F" w:rsidRPr="00D869E3" w:rsidRDefault="004443C5" w:rsidP="004443C5">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In the judgment</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reinforces the principles of interdependence </w:t>
      </w:r>
      <w:r w:rsidRPr="00D869E3">
        <w:rPr>
          <w:rFonts w:ascii="Verdana" w:hAnsi="Verdana"/>
          <w:sz w:val="20"/>
          <w:szCs w:val="20"/>
          <w:lang w:val="en-US"/>
        </w:rPr>
        <w:lastRenderedPageBreak/>
        <w:t>and indivisibility between the economic, social, cultural and environmental rights and the civil and political rights. And, it does so based on its belief that human rights should be understood comprehensively and collectively, without any hierarchy, and enforceable in all cases before the competent authority.</w:t>
      </w:r>
      <w:r w:rsidR="00F83E8F" w:rsidRPr="00D869E3">
        <w:rPr>
          <w:rStyle w:val="Refdenotaalpie"/>
          <w:rFonts w:cs="Verdana"/>
          <w:szCs w:val="20"/>
          <w:lang w:val="en-US" w:eastAsia="es-MX"/>
        </w:rPr>
        <w:footnoteReference w:id="302"/>
      </w:r>
      <w:r w:rsidRPr="00D869E3">
        <w:rPr>
          <w:rFonts w:ascii="Verdana" w:hAnsi="Verdana" w:cs="Verdana"/>
          <w:sz w:val="20"/>
          <w:szCs w:val="20"/>
          <w:lang w:val="en-US" w:eastAsia="es-MX"/>
        </w:rPr>
        <w:t xml:space="preserve"> In other words, the judgment recognizes that a reciprocal dependency exists between all human rights, which has been incorporated into the international framework of human rights, without establishing a hierarchy or subsuming some rights in the content of others.</w:t>
      </w:r>
      <w:r w:rsidR="00F83E8F" w:rsidRPr="00D869E3">
        <w:rPr>
          <w:rStyle w:val="Refdenotaalpie"/>
          <w:rFonts w:cs="Verdana"/>
          <w:szCs w:val="20"/>
          <w:lang w:val="en-US" w:eastAsia="es-MX"/>
        </w:rPr>
        <w:footnoteReference w:id="303"/>
      </w:r>
    </w:p>
    <w:p w14:paraId="29DD43D1"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287F7548" w14:textId="23D3E3ED" w:rsidR="00F83E8F" w:rsidRPr="00D869E3" w:rsidRDefault="004443C5" w:rsidP="004443C5">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Thus, to derive job security as part</w:t>
      </w:r>
      <w:r w:rsidR="00A157F5" w:rsidRPr="00D869E3">
        <w:rPr>
          <w:rFonts w:ascii="Verdana" w:hAnsi="Verdana"/>
          <w:sz w:val="20"/>
          <w:szCs w:val="20"/>
          <w:lang w:val="en-US"/>
        </w:rPr>
        <w:t xml:space="preserve"> of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009F33F3" w:rsidRPr="00D869E3">
        <w:rPr>
          <w:rFonts w:ascii="Verdana" w:hAnsi="Verdana"/>
          <w:sz w:val="20"/>
          <w:szCs w:val="20"/>
          <w:lang w:val="en-US"/>
        </w:rPr>
        <w:t>using</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Pr="00D869E3">
        <w:rPr>
          <w:rFonts w:ascii="Verdana" w:hAnsi="Verdana"/>
          <w:sz w:val="20"/>
          <w:szCs w:val="20"/>
          <w:lang w:val="en-US"/>
        </w:rPr>
        <w:t xml:space="preserve">ed four aspects of special relevance. The first, relating to the rights that may be protected by Article 26 of the American Convention, which are those derived or identified from the economic, social, educational, scientific and cultural </w:t>
      </w:r>
      <w:r w:rsidR="009F33F3" w:rsidRPr="00D869E3">
        <w:rPr>
          <w:rFonts w:ascii="Verdana" w:hAnsi="Verdana"/>
          <w:sz w:val="20"/>
          <w:szCs w:val="20"/>
          <w:lang w:val="en-US"/>
        </w:rPr>
        <w:t>standards</w:t>
      </w:r>
      <w:r w:rsidR="00521B85" w:rsidRPr="00D869E3">
        <w:rPr>
          <w:rFonts w:ascii="Verdana" w:hAnsi="Verdana"/>
          <w:sz w:val="20"/>
          <w:szCs w:val="20"/>
          <w:lang w:val="en-US"/>
        </w:rPr>
        <w:t xml:space="preserve"> contained in the OAS Charter. In particular, for the purposes of the case of </w:t>
      </w:r>
      <w:r w:rsidR="00F83E8F" w:rsidRPr="00D869E3">
        <w:rPr>
          <w:rFonts w:ascii="Verdana" w:hAnsi="Verdana"/>
          <w:i/>
          <w:sz w:val="20"/>
          <w:szCs w:val="20"/>
          <w:lang w:val="en-US"/>
        </w:rPr>
        <w:t xml:space="preserve">Lagos del Campos,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521B85" w:rsidRPr="00D869E3">
        <w:rPr>
          <w:rFonts w:ascii="Verdana" w:hAnsi="Verdana"/>
          <w:sz w:val="20"/>
          <w:szCs w:val="20"/>
          <w:lang w:val="en-US"/>
        </w:rPr>
        <w:t>considered 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34</w:t>
      </w:r>
      <w:r w:rsidR="00521B85" w:rsidRPr="00D869E3">
        <w:rPr>
          <w:rFonts w:ascii="Verdana" w:hAnsi="Verdana"/>
          <w:sz w:val="20"/>
          <w:szCs w:val="20"/>
          <w:lang w:val="en-US"/>
        </w:rPr>
        <w:t>(</w:t>
      </w:r>
      <w:r w:rsidR="00F83E8F" w:rsidRPr="00D869E3">
        <w:rPr>
          <w:rFonts w:ascii="Verdana" w:hAnsi="Verdana"/>
          <w:sz w:val="20"/>
          <w:szCs w:val="20"/>
          <w:lang w:val="en-US"/>
        </w:rPr>
        <w:t xml:space="preserve">g),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00521B85" w:rsidRPr="00D869E3">
        <w:rPr>
          <w:rFonts w:ascii="Verdana" w:hAnsi="Verdana"/>
          <w:sz w:val="20"/>
          <w:szCs w:val="20"/>
          <w:lang w:val="en-US"/>
        </w:rPr>
        <w:t>(</w:t>
      </w:r>
      <w:r w:rsidR="00F83E8F" w:rsidRPr="00D869E3">
        <w:rPr>
          <w:rFonts w:ascii="Verdana" w:hAnsi="Verdana"/>
          <w:sz w:val="20"/>
          <w:szCs w:val="20"/>
          <w:lang w:val="en-US"/>
        </w:rPr>
        <w:t>b)</w:t>
      </w:r>
      <w:r w:rsidR="00687684" w:rsidRPr="00D869E3">
        <w:rPr>
          <w:rFonts w:ascii="Verdana" w:hAnsi="Verdana"/>
          <w:sz w:val="20"/>
          <w:szCs w:val="20"/>
          <w:lang w:val="en-US"/>
        </w:rPr>
        <w:t xml:space="preserve"> and </w:t>
      </w:r>
      <w:r w:rsidR="00521B85" w:rsidRPr="00D869E3">
        <w:rPr>
          <w:rFonts w:ascii="Verdana" w:hAnsi="Verdana"/>
          <w:sz w:val="20"/>
          <w:szCs w:val="20"/>
          <w:lang w:val="en-US"/>
        </w:rPr>
        <w:t>(</w:t>
      </w:r>
      <w:r w:rsidR="00F83E8F" w:rsidRPr="00D869E3">
        <w:rPr>
          <w:rFonts w:ascii="Verdana" w:hAnsi="Verdana"/>
          <w:sz w:val="20"/>
          <w:szCs w:val="20"/>
          <w:lang w:val="en-US"/>
        </w:rPr>
        <w:t>c),</w:t>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46 </w:t>
      </w:r>
      <w:r w:rsidR="00197983" w:rsidRPr="00D869E3">
        <w:rPr>
          <w:rFonts w:ascii="Verdana" w:hAnsi="Verdana"/>
          <w:sz w:val="20"/>
          <w:szCs w:val="20"/>
          <w:lang w:val="en-US"/>
        </w:rPr>
        <w:t>of the OAS Charter</w:t>
      </w:r>
      <w:r w:rsidR="00F83E8F" w:rsidRPr="00D869E3">
        <w:rPr>
          <w:rFonts w:ascii="Verdana" w:hAnsi="Verdana"/>
          <w:sz w:val="20"/>
          <w:szCs w:val="20"/>
          <w:lang w:val="en-US"/>
        </w:rPr>
        <w:t xml:space="preserve"> </w:t>
      </w:r>
      <w:r w:rsidR="00521B85" w:rsidRPr="00D869E3">
        <w:rPr>
          <w:rFonts w:ascii="Verdana" w:hAnsi="Verdana"/>
          <w:sz w:val="20"/>
          <w:szCs w:val="20"/>
          <w:lang w:val="en-US"/>
        </w:rPr>
        <w:t xml:space="preserve">establish various aspects </w:t>
      </w:r>
      <w:r w:rsidR="00A157F5" w:rsidRPr="00D869E3">
        <w:rPr>
          <w:rFonts w:ascii="Verdana" w:hAnsi="Verdana"/>
          <w:sz w:val="20"/>
          <w:szCs w:val="20"/>
          <w:lang w:val="en-US"/>
        </w:rPr>
        <w:t xml:space="preserve">of the </w:t>
      </w:r>
      <w:r w:rsidR="00301DBE" w:rsidRPr="00D869E3">
        <w:rPr>
          <w:rFonts w:ascii="Verdana" w:hAnsi="Verdana"/>
          <w:sz w:val="20"/>
          <w:szCs w:val="20"/>
          <w:lang w:val="en-US"/>
        </w:rPr>
        <w:t>right to work</w:t>
      </w:r>
      <w:r w:rsidR="00521B85" w:rsidRPr="00D869E3">
        <w:rPr>
          <w:rFonts w:ascii="Verdana" w:hAnsi="Verdana"/>
          <w:sz w:val="20"/>
          <w:szCs w:val="20"/>
          <w:lang w:val="en-US"/>
        </w:rPr>
        <w:t>.</w:t>
      </w:r>
      <w:r w:rsidR="00F83E8F" w:rsidRPr="00D869E3">
        <w:rPr>
          <w:rStyle w:val="Refdenotaalpie"/>
          <w:szCs w:val="20"/>
          <w:lang w:val="en-US"/>
        </w:rPr>
        <w:footnoteReference w:id="304"/>
      </w:r>
      <w:r w:rsidR="00F83E8F" w:rsidRPr="00D869E3">
        <w:rPr>
          <w:rFonts w:ascii="Verdana" w:hAnsi="Verdana"/>
          <w:sz w:val="20"/>
          <w:szCs w:val="20"/>
          <w:lang w:val="en-US"/>
        </w:rPr>
        <w:t xml:space="preserve"> </w:t>
      </w:r>
      <w:r w:rsidR="00521B85" w:rsidRPr="00D869E3">
        <w:rPr>
          <w:rFonts w:ascii="Verdana" w:hAnsi="Verdana"/>
          <w:sz w:val="20"/>
          <w:szCs w:val="20"/>
          <w:lang w:val="en-US"/>
        </w:rPr>
        <w:t>Thus</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 cont</w:t>
      </w:r>
      <w:r w:rsidR="00521B85" w:rsidRPr="00D869E3">
        <w:rPr>
          <w:rFonts w:ascii="Verdana" w:hAnsi="Verdana"/>
          <w:sz w:val="20"/>
          <w:szCs w:val="20"/>
          <w:lang w:val="en-US"/>
        </w:rPr>
        <w:t xml:space="preserve">ains social rights and is not a mere programmatic norm as some believe. In this regard, I would like to reproduce </w:t>
      </w:r>
      <w:r w:rsidR="009F33F3" w:rsidRPr="00D869E3">
        <w:rPr>
          <w:rFonts w:ascii="Verdana" w:hAnsi="Verdana"/>
          <w:sz w:val="20"/>
          <w:szCs w:val="20"/>
          <w:lang w:val="en-US"/>
        </w:rPr>
        <w:t>part of</w:t>
      </w:r>
      <w:r w:rsidR="00521B85" w:rsidRPr="00D869E3">
        <w:rPr>
          <w:rFonts w:ascii="Verdana" w:hAnsi="Verdana"/>
          <w:sz w:val="20"/>
          <w:szCs w:val="20"/>
          <w:lang w:val="en-US"/>
        </w:rPr>
        <w:t xml:space="preserve"> my Concurring Opinion to the judgment in the </w:t>
      </w:r>
      <w:r w:rsidR="00447C65" w:rsidRPr="00D869E3">
        <w:rPr>
          <w:rFonts w:ascii="Verdana" w:hAnsi="Verdana"/>
          <w:i/>
          <w:sz w:val="20"/>
          <w:szCs w:val="20"/>
          <w:lang w:val="en-US"/>
        </w:rPr>
        <w:t>Case of</w:t>
      </w:r>
      <w:r w:rsidR="00F83E8F" w:rsidRPr="00D869E3">
        <w:rPr>
          <w:rFonts w:ascii="Verdana" w:hAnsi="Verdana"/>
          <w:i/>
          <w:sz w:val="20"/>
          <w:szCs w:val="20"/>
          <w:lang w:val="en-US"/>
        </w:rPr>
        <w:t xml:space="preserve"> Yarce</w:t>
      </w:r>
      <w:r w:rsidR="00687684" w:rsidRPr="00D869E3">
        <w:rPr>
          <w:rFonts w:ascii="Verdana" w:hAnsi="Verdana"/>
          <w:i/>
          <w:sz w:val="20"/>
          <w:szCs w:val="20"/>
          <w:lang w:val="en-US"/>
        </w:rPr>
        <w:t xml:space="preserve"> </w:t>
      </w:r>
      <w:r w:rsidR="00521B85" w:rsidRPr="00D869E3">
        <w:rPr>
          <w:rFonts w:ascii="Verdana" w:hAnsi="Verdana"/>
          <w:i/>
          <w:sz w:val="20"/>
          <w:szCs w:val="20"/>
          <w:lang w:val="en-US"/>
        </w:rPr>
        <w:t>et al.</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Colombia</w:t>
      </w:r>
      <w:r w:rsidR="00521B85" w:rsidRPr="00D869E3">
        <w:rPr>
          <w:rFonts w:ascii="Verdana" w:hAnsi="Verdana"/>
          <w:i/>
          <w:sz w:val="20"/>
          <w:szCs w:val="20"/>
          <w:lang w:val="en-US"/>
        </w:rPr>
        <w:t>:</w:t>
      </w:r>
      <w:r w:rsidR="00F83E8F" w:rsidRPr="00D869E3">
        <w:rPr>
          <w:rStyle w:val="Refdenotaalpie"/>
          <w:szCs w:val="20"/>
          <w:lang w:val="en-US"/>
        </w:rPr>
        <w:footnoteReference w:id="305"/>
      </w:r>
      <w:r w:rsidR="00F83E8F" w:rsidRPr="00D869E3">
        <w:rPr>
          <w:rFonts w:ascii="Verdana" w:hAnsi="Verdana"/>
          <w:sz w:val="20"/>
          <w:szCs w:val="20"/>
          <w:lang w:val="en-US"/>
        </w:rPr>
        <w:t xml:space="preserve"> </w:t>
      </w:r>
    </w:p>
    <w:p w14:paraId="3CC30227"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20367873" w14:textId="11475C69" w:rsidR="00F83E8F" w:rsidRPr="00D869E3" w:rsidRDefault="00F83E8F" w:rsidP="00323675">
      <w:pPr>
        <w:pStyle w:val="Prrafodelista"/>
        <w:ind w:right="738"/>
        <w:contextualSpacing w:val="0"/>
        <w:jc w:val="both"/>
        <w:rPr>
          <w:rFonts w:ascii="Verdana" w:hAnsi="Verdana"/>
          <w:sz w:val="16"/>
          <w:szCs w:val="16"/>
          <w:lang w:val="en-US"/>
        </w:rPr>
      </w:pPr>
      <w:r w:rsidRPr="00D869E3">
        <w:rPr>
          <w:rFonts w:ascii="Verdana" w:hAnsi="Verdana"/>
          <w:sz w:val="16"/>
          <w:szCs w:val="16"/>
          <w:lang w:val="en-US"/>
        </w:rPr>
        <w:t xml:space="preserve">19. </w:t>
      </w:r>
      <w:r w:rsidRPr="00D869E3">
        <w:rPr>
          <w:rFonts w:ascii="Verdana" w:hAnsi="Verdana"/>
          <w:sz w:val="16"/>
          <w:szCs w:val="16"/>
          <w:lang w:val="en-US"/>
        </w:rPr>
        <w:tab/>
      </w:r>
      <w:r w:rsidR="0053101F" w:rsidRPr="00D869E3">
        <w:rPr>
          <w:rFonts w:ascii="Verdana" w:hAnsi="Verdana"/>
          <w:sz w:val="16"/>
          <w:szCs w:val="16"/>
          <w:lang w:val="en-US"/>
        </w:rPr>
        <w:t xml:space="preserve">A recurring argument to try and deny the </w:t>
      </w:r>
      <w:r w:rsidR="00671B14" w:rsidRPr="00D869E3">
        <w:rPr>
          <w:rFonts w:ascii="Verdana" w:hAnsi="Verdana"/>
          <w:sz w:val="16"/>
          <w:szCs w:val="16"/>
          <w:lang w:val="en-US"/>
        </w:rPr>
        <w:t>Inter-American Court</w:t>
      </w:r>
      <w:r w:rsidR="0053101F" w:rsidRPr="00D869E3">
        <w:rPr>
          <w:rFonts w:ascii="Verdana" w:hAnsi="Verdana"/>
          <w:sz w:val="16"/>
          <w:szCs w:val="16"/>
          <w:lang w:val="en-US"/>
        </w:rPr>
        <w:t xml:space="preserve">’s jurisdiction in relation to the “rights” established in </w:t>
      </w:r>
      <w:r w:rsidR="00447C65" w:rsidRPr="00D869E3">
        <w:rPr>
          <w:rFonts w:ascii="Verdana" w:hAnsi="Verdana"/>
          <w:sz w:val="16"/>
          <w:szCs w:val="16"/>
          <w:lang w:val="en-US"/>
        </w:rPr>
        <w:t>Article</w:t>
      </w:r>
      <w:r w:rsidRPr="00D869E3">
        <w:rPr>
          <w:rFonts w:ascii="Verdana" w:hAnsi="Verdana"/>
          <w:sz w:val="16"/>
          <w:szCs w:val="16"/>
          <w:lang w:val="en-US"/>
        </w:rPr>
        <w:t xml:space="preserve"> 26 </w:t>
      </w:r>
      <w:r w:rsidR="0053101F" w:rsidRPr="00D869E3">
        <w:rPr>
          <w:rFonts w:ascii="Verdana" w:hAnsi="Verdana"/>
          <w:sz w:val="16"/>
          <w:szCs w:val="16"/>
          <w:lang w:val="en-US"/>
        </w:rPr>
        <w:t>is based</w:t>
      </w:r>
      <w:r w:rsidR="00323675" w:rsidRPr="00D869E3">
        <w:rPr>
          <w:rFonts w:ascii="Verdana" w:hAnsi="Verdana"/>
          <w:sz w:val="16"/>
          <w:szCs w:val="16"/>
          <w:lang w:val="en-US"/>
        </w:rPr>
        <w:t xml:space="preserve"> </w:t>
      </w:r>
      <w:r w:rsidR="0053101F" w:rsidRPr="00D869E3">
        <w:rPr>
          <w:rFonts w:ascii="Verdana" w:hAnsi="Verdana"/>
          <w:sz w:val="16"/>
          <w:szCs w:val="16"/>
          <w:lang w:val="en-US"/>
        </w:rPr>
        <w:t>on</w:t>
      </w:r>
      <w:r w:rsidR="009F33F3" w:rsidRPr="00D869E3">
        <w:rPr>
          <w:rFonts w:ascii="Verdana" w:hAnsi="Verdana"/>
          <w:sz w:val="16"/>
          <w:szCs w:val="16"/>
          <w:lang w:val="en-US"/>
        </w:rPr>
        <w:t xml:space="preserve"> an</w:t>
      </w:r>
      <w:r w:rsidR="0053101F" w:rsidRPr="00D869E3">
        <w:rPr>
          <w:rFonts w:ascii="Verdana" w:hAnsi="Verdana"/>
          <w:sz w:val="16"/>
          <w:szCs w:val="16"/>
          <w:lang w:val="en-US"/>
        </w:rPr>
        <w:t xml:space="preserve"> understanding that this article does not </w:t>
      </w:r>
      <w:r w:rsidR="00323675" w:rsidRPr="00D869E3">
        <w:rPr>
          <w:rFonts w:ascii="Verdana" w:hAnsi="Verdana"/>
          <w:sz w:val="16"/>
          <w:szCs w:val="16"/>
          <w:lang w:val="en-US"/>
        </w:rPr>
        <w:t xml:space="preserve">truly </w:t>
      </w:r>
      <w:r w:rsidR="0053101F" w:rsidRPr="00D869E3">
        <w:rPr>
          <w:rFonts w:ascii="Verdana" w:hAnsi="Verdana"/>
          <w:sz w:val="16"/>
          <w:szCs w:val="16"/>
          <w:lang w:val="en-US"/>
        </w:rPr>
        <w:t>establish</w:t>
      </w:r>
      <w:r w:rsidR="00323675" w:rsidRPr="00D869E3">
        <w:rPr>
          <w:rFonts w:ascii="Verdana" w:hAnsi="Verdana"/>
          <w:sz w:val="16"/>
          <w:szCs w:val="16"/>
          <w:lang w:val="en-US"/>
        </w:rPr>
        <w:t xml:space="preserve"> “rights,” but merely the commitment to “progressive development”; in other words, a programmatic objective. I consider that this perspective is limited in light of the protection that the </w:t>
      </w:r>
      <w:r w:rsidR="00671B14" w:rsidRPr="00D869E3">
        <w:rPr>
          <w:rFonts w:ascii="Verdana" w:hAnsi="Verdana"/>
          <w:sz w:val="16"/>
          <w:szCs w:val="16"/>
          <w:lang w:val="en-US"/>
        </w:rPr>
        <w:t>inter-American system</w:t>
      </w:r>
      <w:r w:rsidRPr="00D869E3">
        <w:rPr>
          <w:rFonts w:ascii="Verdana" w:hAnsi="Verdana"/>
          <w:sz w:val="16"/>
          <w:szCs w:val="16"/>
          <w:lang w:val="en-US"/>
        </w:rPr>
        <w:t xml:space="preserve"> </w:t>
      </w:r>
      <w:r w:rsidR="00323675" w:rsidRPr="00D869E3">
        <w:rPr>
          <w:rFonts w:ascii="Verdana" w:hAnsi="Verdana"/>
          <w:sz w:val="16"/>
          <w:szCs w:val="16"/>
          <w:lang w:val="en-US"/>
        </w:rPr>
        <w:t>should provide, and therefore do not share this view for different reasons.</w:t>
      </w:r>
    </w:p>
    <w:p w14:paraId="64B784EE" w14:textId="77777777" w:rsidR="00F83E8F" w:rsidRPr="00D869E3" w:rsidRDefault="00F83E8F" w:rsidP="00F83E8F">
      <w:pPr>
        <w:pStyle w:val="Prrafodelista"/>
        <w:ind w:right="738"/>
        <w:contextualSpacing w:val="0"/>
        <w:jc w:val="both"/>
        <w:rPr>
          <w:rFonts w:ascii="Verdana" w:hAnsi="Verdana"/>
          <w:sz w:val="16"/>
          <w:szCs w:val="16"/>
          <w:lang w:val="en-US"/>
        </w:rPr>
      </w:pPr>
    </w:p>
    <w:p w14:paraId="2872567B" w14:textId="59093FFA" w:rsidR="00323675" w:rsidRPr="00D869E3" w:rsidRDefault="00F83E8F" w:rsidP="00F83E8F">
      <w:pPr>
        <w:pStyle w:val="Prrafodelista"/>
        <w:ind w:right="738"/>
        <w:contextualSpacing w:val="0"/>
        <w:jc w:val="both"/>
        <w:rPr>
          <w:rFonts w:ascii="Verdana" w:hAnsi="Verdana"/>
          <w:sz w:val="16"/>
          <w:szCs w:val="16"/>
          <w:lang w:val="en-US"/>
        </w:rPr>
      </w:pPr>
      <w:r w:rsidRPr="00D869E3">
        <w:rPr>
          <w:rFonts w:ascii="Verdana" w:hAnsi="Verdana"/>
          <w:sz w:val="16"/>
          <w:szCs w:val="16"/>
          <w:lang w:val="en-US"/>
        </w:rPr>
        <w:t xml:space="preserve">20. </w:t>
      </w:r>
      <w:r w:rsidRPr="00D869E3">
        <w:rPr>
          <w:rFonts w:ascii="Verdana" w:hAnsi="Verdana"/>
          <w:sz w:val="16"/>
          <w:szCs w:val="16"/>
          <w:lang w:val="en-US"/>
        </w:rPr>
        <w:tab/>
      </w:r>
      <w:r w:rsidR="00323675" w:rsidRPr="00D869E3">
        <w:rPr>
          <w:rFonts w:ascii="Verdana" w:hAnsi="Verdana"/>
          <w:sz w:val="16"/>
          <w:szCs w:val="16"/>
          <w:lang w:val="en-US"/>
        </w:rPr>
        <w:t xml:space="preserve">First, according to the text </w:t>
      </w:r>
      <w:r w:rsidR="00687684" w:rsidRPr="00D869E3">
        <w:rPr>
          <w:rFonts w:ascii="Verdana" w:hAnsi="Verdana"/>
          <w:sz w:val="16"/>
          <w:szCs w:val="16"/>
          <w:lang w:val="en-US"/>
        </w:rPr>
        <w:t>of Article</w:t>
      </w:r>
      <w:r w:rsidRPr="00D869E3">
        <w:rPr>
          <w:rFonts w:ascii="Verdana" w:hAnsi="Verdana"/>
          <w:sz w:val="16"/>
          <w:szCs w:val="16"/>
          <w:lang w:val="en-US"/>
        </w:rPr>
        <w:t xml:space="preserve"> 26, </w:t>
      </w:r>
      <w:r w:rsidR="00323675" w:rsidRPr="00D869E3">
        <w:rPr>
          <w:rFonts w:ascii="Verdana" w:hAnsi="Verdana"/>
          <w:sz w:val="16"/>
          <w:szCs w:val="16"/>
          <w:lang w:val="en-US"/>
        </w:rPr>
        <w:t xml:space="preserve">the commitment to progressive development refers to “rights,” according to the literal meaning of the </w:t>
      </w:r>
      <w:r w:rsidR="009F33F3" w:rsidRPr="00D869E3">
        <w:rPr>
          <w:rFonts w:ascii="Verdana" w:hAnsi="Verdana"/>
          <w:sz w:val="16"/>
          <w:szCs w:val="16"/>
          <w:lang w:val="en-US"/>
        </w:rPr>
        <w:t>article</w:t>
      </w:r>
      <w:r w:rsidR="00323675" w:rsidRPr="00D869E3">
        <w:rPr>
          <w:rFonts w:ascii="Verdana" w:hAnsi="Verdana"/>
          <w:sz w:val="16"/>
          <w:szCs w:val="16"/>
          <w:lang w:val="en-US"/>
        </w:rPr>
        <w:t>; that is, th</w:t>
      </w:r>
      <w:r w:rsidR="009F33F3" w:rsidRPr="00D869E3">
        <w:rPr>
          <w:rFonts w:ascii="Verdana" w:hAnsi="Verdana"/>
          <w:sz w:val="16"/>
          <w:szCs w:val="16"/>
          <w:lang w:val="en-US"/>
        </w:rPr>
        <w:t>e</w:t>
      </w:r>
      <w:r w:rsidR="00323675" w:rsidRPr="00D869E3">
        <w:rPr>
          <w:rFonts w:ascii="Verdana" w:hAnsi="Verdana"/>
          <w:sz w:val="16"/>
          <w:szCs w:val="16"/>
          <w:lang w:val="en-US"/>
        </w:rPr>
        <w:t xml:space="preserve"> obligation could only be established </w:t>
      </w:r>
      <w:r w:rsidR="009F33F3" w:rsidRPr="00D869E3">
        <w:rPr>
          <w:rFonts w:ascii="Verdana" w:hAnsi="Verdana"/>
          <w:sz w:val="16"/>
          <w:szCs w:val="16"/>
          <w:lang w:val="en-US"/>
        </w:rPr>
        <w:t>in</w:t>
      </w:r>
      <w:r w:rsidR="00323675" w:rsidRPr="00D869E3">
        <w:rPr>
          <w:rFonts w:ascii="Verdana" w:hAnsi="Verdana"/>
          <w:sz w:val="16"/>
          <w:szCs w:val="16"/>
          <w:lang w:val="en-US"/>
        </w:rPr>
        <w:t xml:space="preserve"> relation to “rights,” </w:t>
      </w:r>
      <w:r w:rsidR="00881A39" w:rsidRPr="00D869E3">
        <w:rPr>
          <w:rFonts w:ascii="Verdana" w:hAnsi="Verdana"/>
          <w:sz w:val="16"/>
          <w:szCs w:val="16"/>
          <w:lang w:val="en-US"/>
        </w:rPr>
        <w:t xml:space="preserve">so that it is essential to deduce that the </w:t>
      </w:r>
      <w:r w:rsidR="009F33F3" w:rsidRPr="00D869E3">
        <w:rPr>
          <w:rFonts w:ascii="Verdana" w:hAnsi="Verdana"/>
          <w:sz w:val="16"/>
          <w:szCs w:val="16"/>
          <w:lang w:val="en-US"/>
        </w:rPr>
        <w:t>article</w:t>
      </w:r>
      <w:r w:rsidR="00881A39" w:rsidRPr="00D869E3">
        <w:rPr>
          <w:rFonts w:ascii="Verdana" w:hAnsi="Verdana"/>
          <w:sz w:val="16"/>
          <w:szCs w:val="16"/>
          <w:lang w:val="en-US"/>
        </w:rPr>
        <w:t xml:space="preserve"> refers to </w:t>
      </w:r>
      <w:r w:rsidR="00881A39" w:rsidRPr="00D869E3">
        <w:rPr>
          <w:rFonts w:ascii="Verdana" w:hAnsi="Verdana"/>
          <w:sz w:val="16"/>
          <w:szCs w:val="16"/>
          <w:lang w:val="en-US"/>
        </w:rPr>
        <w:br/>
        <w:t>“rights” and not to mere objectives.</w:t>
      </w:r>
    </w:p>
    <w:p w14:paraId="3CC0E94D" w14:textId="77777777" w:rsidR="00F83E8F" w:rsidRPr="00D869E3" w:rsidRDefault="00F83E8F" w:rsidP="00F83E8F">
      <w:pPr>
        <w:pStyle w:val="Prrafodelista"/>
        <w:ind w:right="738"/>
        <w:contextualSpacing w:val="0"/>
        <w:jc w:val="both"/>
        <w:rPr>
          <w:rFonts w:ascii="Verdana" w:hAnsi="Verdana"/>
          <w:sz w:val="16"/>
          <w:szCs w:val="16"/>
          <w:lang w:val="en-US"/>
        </w:rPr>
      </w:pPr>
    </w:p>
    <w:p w14:paraId="4FC2F195" w14:textId="154D8ED9" w:rsidR="00F83E8F" w:rsidRPr="00D869E3" w:rsidRDefault="00F83E8F" w:rsidP="00F83E8F">
      <w:pPr>
        <w:pStyle w:val="Prrafodelista"/>
        <w:ind w:right="738"/>
        <w:contextualSpacing w:val="0"/>
        <w:jc w:val="both"/>
        <w:rPr>
          <w:rFonts w:ascii="Verdana" w:hAnsi="Verdana"/>
          <w:sz w:val="16"/>
          <w:szCs w:val="16"/>
          <w:lang w:val="en-US"/>
        </w:rPr>
      </w:pPr>
      <w:r w:rsidRPr="00D869E3">
        <w:rPr>
          <w:rFonts w:ascii="Verdana" w:hAnsi="Verdana"/>
          <w:sz w:val="16"/>
          <w:szCs w:val="16"/>
          <w:lang w:val="en-US"/>
        </w:rPr>
        <w:t xml:space="preserve">21. </w:t>
      </w:r>
      <w:r w:rsidRPr="00D869E3">
        <w:rPr>
          <w:rFonts w:ascii="Verdana" w:hAnsi="Verdana"/>
          <w:sz w:val="16"/>
          <w:szCs w:val="16"/>
          <w:lang w:val="en-US"/>
        </w:rPr>
        <w:tab/>
      </w:r>
      <w:r w:rsidR="00881A39" w:rsidRPr="00D869E3">
        <w:rPr>
          <w:rFonts w:ascii="Verdana" w:hAnsi="Verdana"/>
          <w:sz w:val="16"/>
          <w:szCs w:val="16"/>
          <w:lang w:val="en-US"/>
        </w:rPr>
        <w:t>This understanding accords with the provisions of</w:t>
      </w:r>
      <w:r w:rsidRPr="00D869E3">
        <w:rPr>
          <w:rFonts w:ascii="Verdana" w:hAnsi="Verdana"/>
          <w:sz w:val="16"/>
          <w:szCs w:val="16"/>
          <w:lang w:val="en-US"/>
        </w:rPr>
        <w:t xml:space="preserve"> </w:t>
      </w:r>
      <w:r w:rsidR="00447C65" w:rsidRPr="00D869E3">
        <w:rPr>
          <w:rFonts w:ascii="Verdana" w:hAnsi="Verdana"/>
          <w:sz w:val="16"/>
          <w:szCs w:val="16"/>
          <w:lang w:val="en-US"/>
        </w:rPr>
        <w:t xml:space="preserve">the </w:t>
      </w:r>
      <w:r w:rsidR="00075E68" w:rsidRPr="00D869E3">
        <w:rPr>
          <w:rFonts w:ascii="Verdana" w:hAnsi="Verdana"/>
          <w:sz w:val="16"/>
          <w:szCs w:val="16"/>
          <w:lang w:val="en-US"/>
        </w:rPr>
        <w:t>Vienna Convention on the Law of Treaties</w:t>
      </w:r>
      <w:r w:rsidRPr="00D869E3">
        <w:rPr>
          <w:rFonts w:ascii="Verdana" w:hAnsi="Verdana"/>
          <w:sz w:val="16"/>
          <w:szCs w:val="16"/>
          <w:lang w:val="en-US"/>
        </w:rPr>
        <w:t>,</w:t>
      </w:r>
      <w:r w:rsidR="00881A39" w:rsidRPr="00D869E3">
        <w:rPr>
          <w:rFonts w:ascii="Verdana" w:hAnsi="Verdana"/>
          <w:sz w:val="16"/>
          <w:szCs w:val="16"/>
          <w:lang w:val="en-US"/>
        </w:rPr>
        <w:t xml:space="preserve"> which requires that a treaty be interpreted “in good faith in accordance with the ordinary meaning to be given to the terms of the treaty in their context and in the light of its object and purpose.</w:t>
      </w:r>
      <w:r w:rsidR="006436CA" w:rsidRPr="00D869E3">
        <w:rPr>
          <w:rFonts w:ascii="Verdana" w:hAnsi="Verdana"/>
          <w:sz w:val="16"/>
          <w:szCs w:val="16"/>
          <w:lang w:val="en-US"/>
        </w:rPr>
        <w:t>”</w:t>
      </w:r>
      <w:r w:rsidRPr="00D869E3">
        <w:rPr>
          <w:rStyle w:val="Refdenotaalpie"/>
          <w:sz w:val="16"/>
          <w:szCs w:val="16"/>
          <w:lang w:val="en-US"/>
        </w:rPr>
        <w:footnoteReference w:id="306"/>
      </w:r>
      <w:r w:rsidRPr="00D869E3">
        <w:rPr>
          <w:rFonts w:ascii="Verdana" w:hAnsi="Verdana"/>
          <w:sz w:val="16"/>
          <w:szCs w:val="16"/>
          <w:lang w:val="en-US"/>
        </w:rPr>
        <w:t xml:space="preserve"> </w:t>
      </w:r>
      <w:r w:rsidR="00881A39" w:rsidRPr="00D869E3">
        <w:rPr>
          <w:rFonts w:ascii="Verdana" w:hAnsi="Verdana"/>
          <w:sz w:val="16"/>
          <w:szCs w:val="16"/>
          <w:lang w:val="en-US"/>
        </w:rPr>
        <w:t>Thus, it is evident that an understanding in good faith of the word</w:t>
      </w:r>
      <w:r w:rsidRPr="00D869E3">
        <w:rPr>
          <w:rFonts w:ascii="Verdana" w:hAnsi="Verdana"/>
          <w:sz w:val="16"/>
          <w:szCs w:val="16"/>
          <w:lang w:val="en-US"/>
        </w:rPr>
        <w:t xml:space="preserve"> </w:t>
      </w:r>
      <w:r w:rsidR="006436CA" w:rsidRPr="00D869E3">
        <w:rPr>
          <w:rFonts w:ascii="Verdana" w:hAnsi="Verdana"/>
          <w:sz w:val="16"/>
          <w:szCs w:val="16"/>
          <w:lang w:val="en-US"/>
        </w:rPr>
        <w:t>“</w:t>
      </w:r>
      <w:r w:rsidR="00881A39" w:rsidRPr="00D869E3">
        <w:rPr>
          <w:rFonts w:ascii="Verdana" w:hAnsi="Verdana"/>
          <w:sz w:val="16"/>
          <w:szCs w:val="16"/>
          <w:lang w:val="en-US"/>
        </w:rPr>
        <w:t>rights</w:t>
      </w:r>
      <w:r w:rsidR="006436CA" w:rsidRPr="00D869E3">
        <w:rPr>
          <w:rFonts w:ascii="Verdana" w:hAnsi="Verdana"/>
          <w:sz w:val="16"/>
          <w:szCs w:val="16"/>
          <w:lang w:val="en-US"/>
        </w:rPr>
        <w:t>”</w:t>
      </w:r>
      <w:r w:rsidRPr="00D869E3">
        <w:rPr>
          <w:rFonts w:ascii="Verdana" w:hAnsi="Verdana"/>
          <w:sz w:val="16"/>
          <w:szCs w:val="16"/>
          <w:lang w:val="en-US"/>
        </w:rPr>
        <w:t xml:space="preserve"> inclu</w:t>
      </w:r>
      <w:r w:rsidR="00881A39" w:rsidRPr="00D869E3">
        <w:rPr>
          <w:rFonts w:ascii="Verdana" w:hAnsi="Verdana"/>
          <w:sz w:val="16"/>
          <w:szCs w:val="16"/>
          <w:lang w:val="en-US"/>
        </w:rPr>
        <w:t xml:space="preserve">ded in the said </w:t>
      </w:r>
      <w:r w:rsidR="00447C65" w:rsidRPr="00D869E3">
        <w:rPr>
          <w:rFonts w:ascii="Verdana" w:hAnsi="Verdana"/>
          <w:sz w:val="16"/>
          <w:szCs w:val="16"/>
          <w:lang w:val="en-US"/>
        </w:rPr>
        <w:t>Article</w:t>
      </w:r>
      <w:r w:rsidRPr="00D869E3">
        <w:rPr>
          <w:rFonts w:ascii="Verdana" w:hAnsi="Verdana"/>
          <w:sz w:val="16"/>
          <w:szCs w:val="16"/>
          <w:lang w:val="en-US"/>
        </w:rPr>
        <w:t xml:space="preserve"> 26, </w:t>
      </w:r>
      <w:r w:rsidR="00881A39" w:rsidRPr="00D869E3">
        <w:rPr>
          <w:rFonts w:ascii="Verdana" w:hAnsi="Verdana"/>
          <w:sz w:val="16"/>
          <w:szCs w:val="16"/>
          <w:lang w:val="en-US"/>
        </w:rPr>
        <w:t>that is</w:t>
      </w:r>
      <w:r w:rsidRPr="00D869E3">
        <w:rPr>
          <w:rFonts w:ascii="Verdana" w:hAnsi="Verdana"/>
          <w:sz w:val="16"/>
          <w:szCs w:val="16"/>
          <w:lang w:val="en-US"/>
        </w:rPr>
        <w:t xml:space="preserve"> </w:t>
      </w:r>
      <w:r w:rsidR="006436CA" w:rsidRPr="00D869E3">
        <w:rPr>
          <w:rFonts w:ascii="Verdana" w:hAnsi="Verdana"/>
          <w:sz w:val="16"/>
          <w:szCs w:val="16"/>
          <w:lang w:val="en-US"/>
        </w:rPr>
        <w:t>“</w:t>
      </w:r>
      <w:r w:rsidR="00881A39" w:rsidRPr="00D869E3">
        <w:rPr>
          <w:rFonts w:ascii="Verdana" w:hAnsi="Verdana"/>
          <w:sz w:val="16"/>
          <w:szCs w:val="16"/>
          <w:lang w:val="en-US"/>
        </w:rPr>
        <w:t>in accordance with the ordinary meaning</w:t>
      </w:r>
      <w:r w:rsidR="006436CA" w:rsidRPr="00D869E3">
        <w:rPr>
          <w:rFonts w:ascii="Verdana" w:hAnsi="Verdana"/>
          <w:sz w:val="16"/>
          <w:szCs w:val="16"/>
          <w:lang w:val="en-US"/>
        </w:rPr>
        <w:t>”</w:t>
      </w:r>
      <w:r w:rsidRPr="00D869E3">
        <w:rPr>
          <w:rFonts w:ascii="Verdana" w:hAnsi="Verdana"/>
          <w:sz w:val="16"/>
          <w:szCs w:val="16"/>
          <w:lang w:val="en-US"/>
        </w:rPr>
        <w:t xml:space="preserve"> </w:t>
      </w:r>
      <w:r w:rsidR="00881A39" w:rsidRPr="00D869E3">
        <w:rPr>
          <w:rFonts w:ascii="Verdana" w:hAnsi="Verdana"/>
          <w:sz w:val="16"/>
          <w:szCs w:val="16"/>
          <w:lang w:val="en-US"/>
        </w:rPr>
        <w:t xml:space="preserve">of the term, indicates that it refers </w:t>
      </w:r>
      <w:r w:rsidR="00881A39" w:rsidRPr="00D869E3">
        <w:rPr>
          <w:rFonts w:ascii="Verdana" w:hAnsi="Verdana"/>
          <w:sz w:val="16"/>
          <w:szCs w:val="16"/>
          <w:lang w:val="en-US"/>
        </w:rPr>
        <w:lastRenderedPageBreak/>
        <w:t>to actual</w:t>
      </w:r>
      <w:r w:rsidRPr="00D869E3">
        <w:rPr>
          <w:rFonts w:ascii="Verdana" w:hAnsi="Verdana"/>
          <w:sz w:val="16"/>
          <w:szCs w:val="16"/>
          <w:lang w:val="en-US"/>
        </w:rPr>
        <w:t xml:space="preserve"> </w:t>
      </w:r>
      <w:r w:rsidR="006436CA" w:rsidRPr="00D869E3">
        <w:rPr>
          <w:rFonts w:ascii="Verdana" w:hAnsi="Verdana"/>
          <w:sz w:val="16"/>
          <w:szCs w:val="16"/>
          <w:lang w:val="en-US"/>
        </w:rPr>
        <w:t>“</w:t>
      </w:r>
      <w:r w:rsidR="00881A39" w:rsidRPr="00D869E3">
        <w:rPr>
          <w:rFonts w:ascii="Verdana" w:hAnsi="Verdana"/>
          <w:sz w:val="16"/>
          <w:szCs w:val="16"/>
          <w:lang w:val="en-US"/>
        </w:rPr>
        <w:t>rights,</w:t>
      </w:r>
      <w:r w:rsidR="006436CA" w:rsidRPr="00D869E3">
        <w:rPr>
          <w:rFonts w:ascii="Verdana" w:hAnsi="Verdana"/>
          <w:sz w:val="16"/>
          <w:szCs w:val="16"/>
          <w:lang w:val="en-US"/>
        </w:rPr>
        <w:t>”</w:t>
      </w:r>
      <w:r w:rsidRPr="00D869E3">
        <w:rPr>
          <w:rFonts w:ascii="Verdana" w:hAnsi="Verdana"/>
          <w:sz w:val="16"/>
          <w:szCs w:val="16"/>
          <w:lang w:val="en-US"/>
        </w:rPr>
        <w:t xml:space="preserve"> </w:t>
      </w:r>
      <w:r w:rsidR="00881A39" w:rsidRPr="00D869E3">
        <w:rPr>
          <w:rFonts w:ascii="Verdana" w:hAnsi="Verdana"/>
          <w:sz w:val="16"/>
          <w:szCs w:val="16"/>
          <w:lang w:val="en-US"/>
        </w:rPr>
        <w:t>of the same nature a</w:t>
      </w:r>
      <w:r w:rsidR="00847D0C" w:rsidRPr="00D869E3">
        <w:rPr>
          <w:rFonts w:ascii="Verdana" w:hAnsi="Verdana"/>
          <w:sz w:val="16"/>
          <w:szCs w:val="16"/>
          <w:lang w:val="en-US"/>
        </w:rPr>
        <w:t>s</w:t>
      </w:r>
      <w:r w:rsidR="00881A39" w:rsidRPr="00D869E3">
        <w:rPr>
          <w:rFonts w:ascii="Verdana" w:hAnsi="Verdana"/>
          <w:sz w:val="16"/>
          <w:szCs w:val="16"/>
          <w:lang w:val="en-US"/>
        </w:rPr>
        <w:t xml:space="preserve"> the </w:t>
      </w:r>
      <w:r w:rsidR="00847D0C" w:rsidRPr="00D869E3">
        <w:rPr>
          <w:rFonts w:ascii="Verdana" w:hAnsi="Verdana"/>
          <w:sz w:val="16"/>
          <w:szCs w:val="16"/>
          <w:lang w:val="en-US"/>
        </w:rPr>
        <w:t>other</w:t>
      </w:r>
      <w:r w:rsidR="00881A39" w:rsidRPr="00D869E3">
        <w:rPr>
          <w:rFonts w:ascii="Verdana" w:hAnsi="Verdana"/>
          <w:sz w:val="16"/>
          <w:szCs w:val="16"/>
          <w:lang w:val="en-US"/>
        </w:rPr>
        <w:t xml:space="preserve"> </w:t>
      </w:r>
      <w:r w:rsidR="006436CA" w:rsidRPr="00D869E3">
        <w:rPr>
          <w:rFonts w:ascii="Verdana" w:hAnsi="Verdana"/>
          <w:sz w:val="16"/>
          <w:szCs w:val="16"/>
          <w:lang w:val="en-US"/>
        </w:rPr>
        <w:t>“</w:t>
      </w:r>
      <w:r w:rsidR="00881A39" w:rsidRPr="00D869E3">
        <w:rPr>
          <w:rFonts w:ascii="Verdana" w:hAnsi="Verdana"/>
          <w:sz w:val="16"/>
          <w:szCs w:val="16"/>
          <w:lang w:val="en-US"/>
        </w:rPr>
        <w:t>rights” mentioned in</w:t>
      </w:r>
      <w:r w:rsidRPr="00D869E3">
        <w:rPr>
          <w:rFonts w:ascii="Verdana" w:hAnsi="Verdana"/>
          <w:sz w:val="16"/>
          <w:szCs w:val="16"/>
          <w:lang w:val="en-US"/>
        </w:rPr>
        <w:t xml:space="preserve"> </w:t>
      </w:r>
      <w:r w:rsidR="00447C65" w:rsidRPr="00D869E3">
        <w:rPr>
          <w:rFonts w:ascii="Verdana" w:hAnsi="Verdana"/>
          <w:sz w:val="16"/>
          <w:szCs w:val="16"/>
          <w:lang w:val="en-US"/>
        </w:rPr>
        <w:t>the American Convention</w:t>
      </w:r>
      <w:r w:rsidRPr="00D869E3">
        <w:rPr>
          <w:rFonts w:ascii="Verdana" w:hAnsi="Verdana"/>
          <w:sz w:val="16"/>
          <w:szCs w:val="16"/>
          <w:lang w:val="en-US"/>
        </w:rPr>
        <w:t xml:space="preserve">. </w:t>
      </w:r>
      <w:r w:rsidR="00881A39" w:rsidRPr="00D869E3">
        <w:rPr>
          <w:rFonts w:ascii="Verdana" w:hAnsi="Verdana"/>
          <w:sz w:val="16"/>
          <w:szCs w:val="16"/>
          <w:lang w:val="en-US"/>
        </w:rPr>
        <w:t xml:space="preserve">This is corroborated when noting that </w:t>
      </w:r>
      <w:r w:rsidR="00447C65" w:rsidRPr="00D869E3">
        <w:rPr>
          <w:rFonts w:ascii="Verdana" w:hAnsi="Verdana"/>
          <w:sz w:val="16"/>
          <w:szCs w:val="16"/>
          <w:lang w:val="en-US"/>
        </w:rPr>
        <w:t>Article</w:t>
      </w:r>
      <w:r w:rsidRPr="00D869E3">
        <w:rPr>
          <w:rFonts w:ascii="Verdana" w:hAnsi="Verdana"/>
          <w:sz w:val="16"/>
          <w:szCs w:val="16"/>
          <w:lang w:val="en-US"/>
        </w:rPr>
        <w:t xml:space="preserve"> 26 </w:t>
      </w:r>
      <w:r w:rsidR="00881A39" w:rsidRPr="00D869E3">
        <w:rPr>
          <w:rFonts w:ascii="Verdana" w:hAnsi="Verdana"/>
          <w:sz w:val="16"/>
          <w:szCs w:val="16"/>
          <w:lang w:val="en-US"/>
        </w:rPr>
        <w:t>is the only</w:t>
      </w:r>
      <w:r w:rsidRPr="00D869E3">
        <w:rPr>
          <w:rFonts w:ascii="Verdana" w:hAnsi="Verdana"/>
          <w:sz w:val="16"/>
          <w:szCs w:val="16"/>
          <w:lang w:val="en-US"/>
        </w:rPr>
        <w:t xml:space="preserve"> </w:t>
      </w:r>
      <w:r w:rsidR="00881A39" w:rsidRPr="00D869E3">
        <w:rPr>
          <w:rFonts w:ascii="Verdana" w:hAnsi="Verdana"/>
          <w:sz w:val="16"/>
          <w:szCs w:val="16"/>
          <w:lang w:val="en-US"/>
        </w:rPr>
        <w:t>a</w:t>
      </w:r>
      <w:r w:rsidR="00447C65" w:rsidRPr="00D869E3">
        <w:rPr>
          <w:rFonts w:ascii="Verdana" w:hAnsi="Verdana"/>
          <w:sz w:val="16"/>
          <w:szCs w:val="16"/>
          <w:lang w:val="en-US"/>
        </w:rPr>
        <w:t>rticle</w:t>
      </w:r>
      <w:r w:rsidR="00881A39" w:rsidRPr="00D869E3">
        <w:rPr>
          <w:rFonts w:ascii="Verdana" w:hAnsi="Verdana"/>
          <w:sz w:val="16"/>
          <w:szCs w:val="16"/>
          <w:lang w:val="en-US"/>
        </w:rPr>
        <w:t xml:space="preserve"> of</w:t>
      </w:r>
      <w:r w:rsidRPr="00D869E3">
        <w:rPr>
          <w:rFonts w:ascii="Verdana" w:hAnsi="Verdana"/>
          <w:sz w:val="16"/>
          <w:szCs w:val="16"/>
          <w:lang w:val="en-US"/>
        </w:rPr>
        <w:t xml:space="preserve"> </w:t>
      </w:r>
      <w:r w:rsidR="00CC766D" w:rsidRPr="00D869E3">
        <w:rPr>
          <w:rFonts w:ascii="Verdana" w:hAnsi="Verdana"/>
          <w:sz w:val="16"/>
          <w:szCs w:val="16"/>
          <w:lang w:val="en-US"/>
        </w:rPr>
        <w:t>Chapter</w:t>
      </w:r>
      <w:r w:rsidRPr="00D869E3">
        <w:rPr>
          <w:rFonts w:ascii="Verdana" w:hAnsi="Verdana"/>
          <w:sz w:val="16"/>
          <w:szCs w:val="16"/>
          <w:lang w:val="en-US"/>
        </w:rPr>
        <w:t xml:space="preserve"> III </w:t>
      </w:r>
      <w:r w:rsidR="00881A39" w:rsidRPr="00D869E3">
        <w:rPr>
          <w:rFonts w:ascii="Verdana" w:hAnsi="Verdana"/>
          <w:sz w:val="16"/>
          <w:szCs w:val="16"/>
          <w:lang w:val="en-US"/>
        </w:rPr>
        <w:t>entitled</w:t>
      </w:r>
      <w:r w:rsidRPr="00D869E3">
        <w:rPr>
          <w:rFonts w:ascii="Verdana" w:hAnsi="Verdana"/>
          <w:sz w:val="16"/>
          <w:szCs w:val="16"/>
          <w:lang w:val="en-US"/>
        </w:rPr>
        <w:t xml:space="preserve"> </w:t>
      </w:r>
      <w:r w:rsidR="006436CA" w:rsidRPr="00D869E3">
        <w:rPr>
          <w:rFonts w:ascii="Verdana" w:hAnsi="Verdana"/>
          <w:sz w:val="16"/>
          <w:szCs w:val="16"/>
          <w:lang w:val="en-US"/>
        </w:rPr>
        <w:t>“</w:t>
      </w:r>
      <w:r w:rsidR="00881A39" w:rsidRPr="00D869E3">
        <w:rPr>
          <w:rFonts w:ascii="Verdana" w:hAnsi="Verdana"/>
          <w:sz w:val="16"/>
          <w:szCs w:val="16"/>
          <w:lang w:val="en-US"/>
        </w:rPr>
        <w:t xml:space="preserve">Economic, Social and Cultural </w:t>
      </w:r>
      <w:r w:rsidR="00881A39" w:rsidRPr="00D869E3">
        <w:rPr>
          <w:rFonts w:ascii="Verdana" w:hAnsi="Verdana"/>
          <w:sz w:val="16"/>
          <w:szCs w:val="16"/>
          <w:u w:val="single"/>
          <w:lang w:val="en-US"/>
        </w:rPr>
        <w:t>Rights</w:t>
      </w:r>
      <w:r w:rsidR="00881A39" w:rsidRPr="00D869E3">
        <w:rPr>
          <w:rFonts w:ascii="Verdana" w:hAnsi="Verdana"/>
          <w:sz w:val="16"/>
          <w:szCs w:val="16"/>
          <w:lang w:val="en-US"/>
        </w:rPr>
        <w:t>.</w:t>
      </w:r>
      <w:r w:rsidR="006436CA" w:rsidRPr="00D869E3">
        <w:rPr>
          <w:rFonts w:ascii="Verdana" w:hAnsi="Verdana"/>
          <w:sz w:val="16"/>
          <w:szCs w:val="16"/>
          <w:lang w:val="en-US"/>
        </w:rPr>
        <w:t>”</w:t>
      </w:r>
      <w:r w:rsidRPr="00D869E3">
        <w:rPr>
          <w:rFonts w:ascii="Verdana" w:hAnsi="Verdana"/>
          <w:sz w:val="16"/>
          <w:szCs w:val="16"/>
          <w:lang w:val="en-US"/>
        </w:rPr>
        <w:t xml:space="preserve"> T</w:t>
      </w:r>
      <w:r w:rsidR="00881A39" w:rsidRPr="00D869E3">
        <w:rPr>
          <w:rFonts w:ascii="Verdana" w:hAnsi="Verdana"/>
          <w:sz w:val="16"/>
          <w:szCs w:val="16"/>
          <w:lang w:val="en-US"/>
        </w:rPr>
        <w:t>his understanding is in keeping with the object and purpose of the treaty, which is the protection of human rights.</w:t>
      </w:r>
    </w:p>
    <w:p w14:paraId="04BACD54" w14:textId="77777777" w:rsidR="00F83E8F" w:rsidRPr="00D869E3" w:rsidRDefault="00F83E8F" w:rsidP="00F83E8F">
      <w:pPr>
        <w:pStyle w:val="Estilo4"/>
        <w:numPr>
          <w:ilvl w:val="0"/>
          <w:numId w:val="0"/>
        </w:numPr>
        <w:spacing w:after="0"/>
        <w:ind w:left="720" w:right="738"/>
        <w:rPr>
          <w:sz w:val="16"/>
          <w:szCs w:val="16"/>
          <w:lang w:val="en-US"/>
        </w:rPr>
      </w:pPr>
    </w:p>
    <w:p w14:paraId="0D63CE16" w14:textId="55E4CDD2" w:rsidR="00F83E8F" w:rsidRPr="00D869E3" w:rsidRDefault="00F83E8F" w:rsidP="00F83E8F">
      <w:pPr>
        <w:pStyle w:val="Estilo4"/>
        <w:numPr>
          <w:ilvl w:val="0"/>
          <w:numId w:val="0"/>
        </w:numPr>
        <w:spacing w:after="0"/>
        <w:ind w:left="720" w:right="738"/>
        <w:rPr>
          <w:sz w:val="16"/>
          <w:szCs w:val="16"/>
          <w:lang w:val="en-US"/>
        </w:rPr>
      </w:pPr>
      <w:r w:rsidRPr="00D869E3">
        <w:rPr>
          <w:sz w:val="16"/>
          <w:szCs w:val="16"/>
          <w:lang w:val="en-US"/>
        </w:rPr>
        <w:t xml:space="preserve">22. </w:t>
      </w:r>
      <w:r w:rsidRPr="00D869E3">
        <w:rPr>
          <w:sz w:val="16"/>
          <w:szCs w:val="16"/>
          <w:lang w:val="en-US"/>
        </w:rPr>
        <w:tab/>
      </w:r>
      <w:r w:rsidR="00881A39" w:rsidRPr="00D869E3">
        <w:rPr>
          <w:sz w:val="16"/>
          <w:szCs w:val="16"/>
          <w:lang w:val="en-US"/>
        </w:rPr>
        <w:t>Thus</w:t>
      </w:r>
      <w:r w:rsidRPr="00D869E3">
        <w:rPr>
          <w:sz w:val="16"/>
          <w:szCs w:val="16"/>
          <w:lang w:val="en-US"/>
        </w:rPr>
        <w:t xml:space="preserve">, </w:t>
      </w:r>
      <w:r w:rsidR="00447C65" w:rsidRPr="00D869E3">
        <w:rPr>
          <w:sz w:val="16"/>
          <w:szCs w:val="16"/>
          <w:lang w:val="en-US"/>
        </w:rPr>
        <w:t>Article</w:t>
      </w:r>
      <w:r w:rsidRPr="00D869E3">
        <w:rPr>
          <w:sz w:val="16"/>
          <w:szCs w:val="16"/>
          <w:lang w:val="en-US"/>
        </w:rPr>
        <w:t xml:space="preserve"> 26 </w:t>
      </w:r>
      <w:r w:rsidR="00881A39" w:rsidRPr="00D869E3">
        <w:rPr>
          <w:sz w:val="16"/>
          <w:szCs w:val="16"/>
          <w:lang w:val="en-US"/>
        </w:rPr>
        <w:t xml:space="preserve">is not merely a programmatic norm for the States Parties to </w:t>
      </w:r>
      <w:r w:rsidR="00447C65" w:rsidRPr="00D869E3">
        <w:rPr>
          <w:sz w:val="16"/>
          <w:szCs w:val="16"/>
          <w:lang w:val="en-US"/>
        </w:rPr>
        <w:t>the American Convention</w:t>
      </w:r>
      <w:r w:rsidR="00881A39" w:rsidRPr="00D869E3">
        <w:rPr>
          <w:sz w:val="16"/>
          <w:szCs w:val="16"/>
          <w:lang w:val="en-US"/>
        </w:rPr>
        <w:t xml:space="preserve">; rather it is a provision that imposes on </w:t>
      </w:r>
      <w:r w:rsidR="00671B14" w:rsidRPr="00D869E3">
        <w:rPr>
          <w:sz w:val="16"/>
          <w:szCs w:val="16"/>
          <w:lang w:val="en-US"/>
        </w:rPr>
        <w:t>the Inter-American</w:t>
      </w:r>
      <w:r w:rsidR="00847D0C" w:rsidRPr="00D869E3">
        <w:rPr>
          <w:sz w:val="16"/>
          <w:szCs w:val="16"/>
          <w:lang w:val="en-US"/>
        </w:rPr>
        <w:t xml:space="preserve"> Court</w:t>
      </w:r>
      <w:r w:rsidR="00881A39" w:rsidRPr="00D869E3">
        <w:rPr>
          <w:sz w:val="16"/>
          <w:szCs w:val="16"/>
          <w:lang w:val="en-US"/>
        </w:rPr>
        <w:t xml:space="preserve"> the duty to derive rights</w:t>
      </w:r>
      <w:r w:rsidRPr="00D869E3">
        <w:rPr>
          <w:sz w:val="16"/>
          <w:szCs w:val="16"/>
          <w:lang w:val="en-US"/>
        </w:rPr>
        <w:t xml:space="preserve"> </w:t>
      </w:r>
      <w:r w:rsidR="00881A39" w:rsidRPr="00D869E3">
        <w:rPr>
          <w:sz w:val="16"/>
          <w:szCs w:val="16"/>
          <w:lang w:val="en-US"/>
        </w:rPr>
        <w:t xml:space="preserve">from the </w:t>
      </w:r>
      <w:r w:rsidR="00847D0C" w:rsidRPr="00D869E3">
        <w:rPr>
          <w:sz w:val="16"/>
          <w:szCs w:val="16"/>
          <w:lang w:val="en-US"/>
        </w:rPr>
        <w:t>articles of</w:t>
      </w:r>
      <w:r w:rsidR="00881A39" w:rsidRPr="00D869E3">
        <w:rPr>
          <w:sz w:val="16"/>
          <w:szCs w:val="16"/>
          <w:lang w:val="en-US"/>
        </w:rPr>
        <w:t xml:space="preserve"> </w:t>
      </w:r>
      <w:r w:rsidR="00197983" w:rsidRPr="00D869E3">
        <w:rPr>
          <w:sz w:val="16"/>
          <w:szCs w:val="16"/>
          <w:lang w:val="en-US"/>
        </w:rPr>
        <w:t>the OAS Charter</w:t>
      </w:r>
      <w:r w:rsidRPr="00D869E3">
        <w:rPr>
          <w:sz w:val="16"/>
          <w:szCs w:val="16"/>
          <w:lang w:val="en-US"/>
        </w:rPr>
        <w:t xml:space="preserve">, </w:t>
      </w:r>
      <w:r w:rsidR="00881A39" w:rsidRPr="00D869E3">
        <w:rPr>
          <w:sz w:val="16"/>
          <w:szCs w:val="16"/>
          <w:lang w:val="en-US"/>
        </w:rPr>
        <w:t>which in this specific case contain rights</w:t>
      </w:r>
      <w:r w:rsidRPr="00D869E3">
        <w:rPr>
          <w:sz w:val="16"/>
          <w:szCs w:val="16"/>
          <w:lang w:val="en-US"/>
        </w:rPr>
        <w:t xml:space="preserve"> </w:t>
      </w:r>
      <w:r w:rsidR="00881A39" w:rsidRPr="00D869E3">
        <w:rPr>
          <w:sz w:val="16"/>
          <w:szCs w:val="16"/>
          <w:lang w:val="en-US"/>
        </w:rPr>
        <w:t>of an economic, social or cultural nature and not mere objectives</w:t>
      </w:r>
      <w:r w:rsidRPr="00D869E3">
        <w:rPr>
          <w:sz w:val="16"/>
          <w:szCs w:val="16"/>
          <w:lang w:val="en-US"/>
        </w:rPr>
        <w:t>. […].</w:t>
      </w:r>
    </w:p>
    <w:p w14:paraId="48E5C8CE" w14:textId="77777777" w:rsidR="00F83E8F" w:rsidRPr="00D869E3" w:rsidRDefault="00F83E8F" w:rsidP="00F83E8F">
      <w:pPr>
        <w:pStyle w:val="Estilo4"/>
        <w:numPr>
          <w:ilvl w:val="0"/>
          <w:numId w:val="0"/>
        </w:numPr>
        <w:spacing w:after="0"/>
        <w:ind w:left="720" w:right="738"/>
        <w:rPr>
          <w:sz w:val="16"/>
          <w:szCs w:val="16"/>
          <w:lang w:val="en-US"/>
        </w:rPr>
      </w:pPr>
    </w:p>
    <w:p w14:paraId="6D1D12EB" w14:textId="199904FF" w:rsidR="00A9671E" w:rsidRPr="00D869E3" w:rsidRDefault="00F83E8F" w:rsidP="00A9671E">
      <w:pPr>
        <w:pStyle w:val="Estilo4"/>
        <w:numPr>
          <w:ilvl w:val="0"/>
          <w:numId w:val="0"/>
        </w:numPr>
        <w:spacing w:after="0"/>
        <w:ind w:left="720" w:right="738"/>
        <w:rPr>
          <w:sz w:val="16"/>
          <w:szCs w:val="16"/>
          <w:lang w:val="en-US"/>
        </w:rPr>
      </w:pPr>
      <w:r w:rsidRPr="00D869E3">
        <w:rPr>
          <w:sz w:val="16"/>
          <w:szCs w:val="16"/>
          <w:lang w:val="en-US"/>
        </w:rPr>
        <w:t xml:space="preserve">23. </w:t>
      </w:r>
      <w:r w:rsidRPr="00D869E3">
        <w:rPr>
          <w:sz w:val="16"/>
          <w:szCs w:val="16"/>
          <w:lang w:val="en-US"/>
        </w:rPr>
        <w:tab/>
      </w:r>
      <w:r w:rsidR="00DB128C" w:rsidRPr="00D869E3">
        <w:rPr>
          <w:sz w:val="16"/>
          <w:szCs w:val="16"/>
          <w:lang w:val="en-US"/>
        </w:rPr>
        <w:t>Second</w:t>
      </w:r>
      <w:r w:rsidRPr="00D869E3">
        <w:rPr>
          <w:sz w:val="16"/>
          <w:szCs w:val="16"/>
          <w:lang w:val="en-US"/>
        </w:rPr>
        <w:t>,</w:t>
      </w:r>
      <w:r w:rsidR="00687684" w:rsidRPr="00D869E3">
        <w:rPr>
          <w:sz w:val="16"/>
          <w:szCs w:val="16"/>
          <w:lang w:val="en-US"/>
        </w:rPr>
        <w:t xml:space="preserve"> and </w:t>
      </w:r>
      <w:r w:rsidR="00881A39" w:rsidRPr="00D869E3">
        <w:rPr>
          <w:sz w:val="16"/>
          <w:szCs w:val="16"/>
          <w:lang w:val="en-US"/>
        </w:rPr>
        <w:t xml:space="preserve">continuing the preceding argument, it cannot be overlooked that </w:t>
      </w:r>
      <w:r w:rsidR="00447C65" w:rsidRPr="00D869E3">
        <w:rPr>
          <w:sz w:val="16"/>
          <w:szCs w:val="16"/>
          <w:lang w:val="en-US"/>
        </w:rPr>
        <w:t>Article</w:t>
      </w:r>
      <w:r w:rsidRPr="00D869E3">
        <w:rPr>
          <w:sz w:val="16"/>
          <w:szCs w:val="16"/>
          <w:lang w:val="en-US"/>
        </w:rPr>
        <w:t xml:space="preserve"> 26</w:t>
      </w:r>
      <w:r w:rsidR="00447C65" w:rsidRPr="00D869E3">
        <w:rPr>
          <w:sz w:val="16"/>
          <w:szCs w:val="16"/>
          <w:lang w:val="en-US"/>
        </w:rPr>
        <w:t xml:space="preserve"> of the American Convention</w:t>
      </w:r>
      <w:r w:rsidRPr="00D869E3">
        <w:rPr>
          <w:sz w:val="16"/>
          <w:szCs w:val="16"/>
          <w:lang w:val="en-US"/>
        </w:rPr>
        <w:t xml:space="preserve"> expres</w:t>
      </w:r>
      <w:r w:rsidR="00881A39" w:rsidRPr="00D869E3">
        <w:rPr>
          <w:sz w:val="16"/>
          <w:szCs w:val="16"/>
          <w:lang w:val="en-US"/>
        </w:rPr>
        <w:t xml:space="preserve">sly indicates that the </w:t>
      </w:r>
      <w:r w:rsidR="00A9671E" w:rsidRPr="00D869E3">
        <w:rPr>
          <w:sz w:val="16"/>
          <w:szCs w:val="16"/>
          <w:lang w:val="en-US"/>
        </w:rPr>
        <w:t xml:space="preserve">rights are derived from the pertinent </w:t>
      </w:r>
      <w:r w:rsidR="00194946" w:rsidRPr="00D869E3">
        <w:rPr>
          <w:sz w:val="16"/>
          <w:szCs w:val="16"/>
          <w:lang w:val="en-US"/>
        </w:rPr>
        <w:t>articles</w:t>
      </w:r>
      <w:r w:rsidR="00A9671E" w:rsidRPr="00D869E3">
        <w:rPr>
          <w:sz w:val="16"/>
          <w:szCs w:val="16"/>
          <w:lang w:val="en-US"/>
        </w:rPr>
        <w:t xml:space="preserve"> </w:t>
      </w:r>
      <w:r w:rsidR="00197983" w:rsidRPr="00D869E3">
        <w:rPr>
          <w:sz w:val="16"/>
          <w:szCs w:val="16"/>
          <w:lang w:val="en-US"/>
        </w:rPr>
        <w:t>of the OAS Charter</w:t>
      </w:r>
      <w:r w:rsidR="00A9671E" w:rsidRPr="00D869E3">
        <w:rPr>
          <w:sz w:val="16"/>
          <w:szCs w:val="16"/>
          <w:lang w:val="en-US"/>
        </w:rPr>
        <w:t>.</w:t>
      </w:r>
      <w:r w:rsidRPr="00D869E3">
        <w:rPr>
          <w:rStyle w:val="Refdenotaalpie"/>
          <w:rFonts w:eastAsiaTheme="majorEastAsia"/>
          <w:sz w:val="16"/>
          <w:szCs w:val="16"/>
          <w:lang w:val="en-US"/>
        </w:rPr>
        <w:footnoteReference w:id="307"/>
      </w:r>
      <w:r w:rsidRPr="00D869E3">
        <w:rPr>
          <w:sz w:val="16"/>
          <w:szCs w:val="16"/>
          <w:lang w:val="en-US"/>
        </w:rPr>
        <w:t xml:space="preserve"> </w:t>
      </w:r>
      <w:r w:rsidR="00A9671E" w:rsidRPr="00D869E3">
        <w:rPr>
          <w:sz w:val="16"/>
          <w:szCs w:val="16"/>
          <w:lang w:val="en-US"/>
        </w:rPr>
        <w:t>The literal meaning is clear:</w:t>
      </w:r>
      <w:r w:rsidRPr="00D869E3">
        <w:rPr>
          <w:rStyle w:val="Refdenotaalpie"/>
          <w:rFonts w:eastAsiaTheme="majorEastAsia"/>
          <w:sz w:val="16"/>
          <w:szCs w:val="16"/>
          <w:lang w:val="en-US"/>
        </w:rPr>
        <w:footnoteReference w:id="308"/>
      </w:r>
      <w:r w:rsidR="00A9671E" w:rsidRPr="00D869E3">
        <w:rPr>
          <w:sz w:val="16"/>
          <w:szCs w:val="16"/>
          <w:lang w:val="en-US"/>
        </w:rPr>
        <w:t xml:space="preserve"> the article does not indicate that, in order to clarify which “rights” Article 26 refers to, it is necessary to identify those rights that are expressly recognized as such in the OAS Charter; to the contrary, this provision indicates – as the main</w:t>
      </w:r>
      <w:r w:rsidR="00283B4A" w:rsidRPr="00D869E3">
        <w:rPr>
          <w:sz w:val="16"/>
          <w:szCs w:val="16"/>
          <w:lang w:val="en-US"/>
        </w:rPr>
        <w:t xml:space="preserve"> provision</w:t>
      </w:r>
      <w:r w:rsidR="00A9671E" w:rsidRPr="00D869E3">
        <w:rPr>
          <w:sz w:val="16"/>
          <w:szCs w:val="16"/>
          <w:lang w:val="en-US"/>
        </w:rPr>
        <w:t xml:space="preserve"> of Article 26 – that there are rights that derive from certain </w:t>
      </w:r>
      <w:r w:rsidR="00194946" w:rsidRPr="00D869E3">
        <w:rPr>
          <w:sz w:val="16"/>
          <w:szCs w:val="16"/>
          <w:lang w:val="en-US"/>
        </w:rPr>
        <w:t>articles</w:t>
      </w:r>
      <w:r w:rsidR="00A9671E" w:rsidRPr="00D869E3">
        <w:rPr>
          <w:sz w:val="16"/>
          <w:szCs w:val="16"/>
          <w:lang w:val="en-US"/>
        </w:rPr>
        <w:t xml:space="preserve"> of the Charter: “</w:t>
      </w:r>
      <w:r w:rsidR="00A9671E" w:rsidRPr="00D869E3">
        <w:rPr>
          <w:spacing w:val="-3"/>
          <w:sz w:val="16"/>
          <w:szCs w:val="16"/>
          <w:lang w:val="en-US"/>
        </w:rPr>
        <w:t xml:space="preserve">the economic, social, educational, scientific, and cultural </w:t>
      </w:r>
      <w:r w:rsidR="00194946" w:rsidRPr="00D869E3">
        <w:rPr>
          <w:spacing w:val="-3"/>
          <w:sz w:val="16"/>
          <w:szCs w:val="16"/>
          <w:lang w:val="en-US"/>
        </w:rPr>
        <w:t>norms</w:t>
      </w:r>
      <w:r w:rsidR="00A9671E" w:rsidRPr="00D869E3">
        <w:rPr>
          <w:spacing w:val="-3"/>
          <w:sz w:val="16"/>
          <w:szCs w:val="16"/>
          <w:lang w:val="en-US"/>
        </w:rPr>
        <w:t xml:space="preserve">.” </w:t>
      </w:r>
    </w:p>
    <w:p w14:paraId="10EED893" w14:textId="77777777" w:rsidR="00F83E8F" w:rsidRPr="00D869E3" w:rsidRDefault="00F83E8F" w:rsidP="00A9671E">
      <w:pPr>
        <w:pStyle w:val="Estilo4"/>
        <w:numPr>
          <w:ilvl w:val="0"/>
          <w:numId w:val="0"/>
        </w:numPr>
        <w:spacing w:after="0"/>
        <w:ind w:right="738"/>
        <w:rPr>
          <w:sz w:val="16"/>
          <w:szCs w:val="16"/>
          <w:lang w:val="en-US"/>
        </w:rPr>
      </w:pPr>
    </w:p>
    <w:p w14:paraId="35F734AD" w14:textId="015F3464" w:rsidR="00F83E8F" w:rsidRPr="00D869E3" w:rsidRDefault="00F83E8F" w:rsidP="00F83E8F">
      <w:pPr>
        <w:pStyle w:val="Estilo4"/>
        <w:numPr>
          <w:ilvl w:val="0"/>
          <w:numId w:val="0"/>
        </w:numPr>
        <w:spacing w:after="0"/>
        <w:ind w:left="720" w:right="738"/>
        <w:rPr>
          <w:sz w:val="16"/>
          <w:szCs w:val="16"/>
          <w:lang w:val="en-US"/>
        </w:rPr>
      </w:pPr>
      <w:r w:rsidRPr="00D869E3">
        <w:rPr>
          <w:sz w:val="16"/>
          <w:szCs w:val="16"/>
        </w:rPr>
        <w:t xml:space="preserve">24. </w:t>
      </w:r>
      <w:r w:rsidRPr="00D869E3">
        <w:rPr>
          <w:sz w:val="16"/>
          <w:szCs w:val="16"/>
        </w:rPr>
        <w:tab/>
      </w:r>
      <w:proofErr w:type="spellStart"/>
      <w:r w:rsidR="00A9671E" w:rsidRPr="00D869E3">
        <w:rPr>
          <w:sz w:val="16"/>
          <w:szCs w:val="16"/>
        </w:rPr>
        <w:t>According</w:t>
      </w:r>
      <w:proofErr w:type="spellEnd"/>
      <w:r w:rsidR="00A9671E" w:rsidRPr="00D869E3">
        <w:rPr>
          <w:sz w:val="16"/>
          <w:szCs w:val="16"/>
        </w:rPr>
        <w:t xml:space="preserve"> </w:t>
      </w:r>
      <w:proofErr w:type="spellStart"/>
      <w:r w:rsidR="00A9671E" w:rsidRPr="00D869E3">
        <w:rPr>
          <w:sz w:val="16"/>
          <w:szCs w:val="16"/>
        </w:rPr>
        <w:t>to</w:t>
      </w:r>
      <w:proofErr w:type="spellEnd"/>
      <w:r w:rsidR="00A9671E" w:rsidRPr="00D869E3">
        <w:rPr>
          <w:sz w:val="16"/>
          <w:szCs w:val="16"/>
        </w:rPr>
        <w:t xml:space="preserve"> </w:t>
      </w:r>
      <w:proofErr w:type="spellStart"/>
      <w:r w:rsidR="00A9671E" w:rsidRPr="00D869E3">
        <w:rPr>
          <w:sz w:val="16"/>
          <w:szCs w:val="16"/>
        </w:rPr>
        <w:t>the</w:t>
      </w:r>
      <w:proofErr w:type="spellEnd"/>
      <w:r w:rsidR="00A9671E" w:rsidRPr="00D869E3">
        <w:rPr>
          <w:sz w:val="16"/>
          <w:szCs w:val="16"/>
        </w:rPr>
        <w:t xml:space="preserve"> </w:t>
      </w:r>
      <w:proofErr w:type="spellStart"/>
      <w:r w:rsidR="00A9671E" w:rsidRPr="00D869E3">
        <w:rPr>
          <w:sz w:val="16"/>
          <w:szCs w:val="16"/>
        </w:rPr>
        <w:t>dictionary</w:t>
      </w:r>
      <w:proofErr w:type="spellEnd"/>
      <w:r w:rsidR="00A9671E" w:rsidRPr="00D869E3">
        <w:rPr>
          <w:sz w:val="16"/>
          <w:szCs w:val="16"/>
        </w:rPr>
        <w:t xml:space="preserve"> of the </w:t>
      </w:r>
      <w:r w:rsidRPr="00D869E3">
        <w:rPr>
          <w:i/>
          <w:iCs/>
          <w:sz w:val="16"/>
          <w:szCs w:val="16"/>
        </w:rPr>
        <w:t>Real Academia Española</w:t>
      </w:r>
      <w:r w:rsidR="00283B4A" w:rsidRPr="00D869E3">
        <w:rPr>
          <w:i/>
          <w:iCs/>
          <w:sz w:val="16"/>
          <w:szCs w:val="16"/>
        </w:rPr>
        <w:t>,</w:t>
      </w:r>
      <w:r w:rsidRPr="00D869E3">
        <w:rPr>
          <w:sz w:val="16"/>
          <w:szCs w:val="16"/>
        </w:rPr>
        <w:t xml:space="preserve"> </w:t>
      </w:r>
      <w:proofErr w:type="spellStart"/>
      <w:r w:rsidR="00283B4A" w:rsidRPr="00D869E3">
        <w:rPr>
          <w:sz w:val="16"/>
          <w:szCs w:val="16"/>
        </w:rPr>
        <w:t>the</w:t>
      </w:r>
      <w:proofErr w:type="spellEnd"/>
      <w:r w:rsidR="00283B4A" w:rsidRPr="00D869E3">
        <w:rPr>
          <w:sz w:val="16"/>
          <w:szCs w:val="16"/>
        </w:rPr>
        <w:t xml:space="preserve"> </w:t>
      </w:r>
      <w:proofErr w:type="spellStart"/>
      <w:r w:rsidR="00283B4A" w:rsidRPr="00D869E3">
        <w:rPr>
          <w:sz w:val="16"/>
          <w:szCs w:val="16"/>
        </w:rPr>
        <w:t>pertinent</w:t>
      </w:r>
      <w:proofErr w:type="spellEnd"/>
      <w:r w:rsidR="00283B4A" w:rsidRPr="00D869E3">
        <w:rPr>
          <w:sz w:val="16"/>
          <w:szCs w:val="16"/>
        </w:rPr>
        <w:t xml:space="preserve"> </w:t>
      </w:r>
      <w:proofErr w:type="spellStart"/>
      <w:r w:rsidR="00283B4A" w:rsidRPr="00D869E3">
        <w:rPr>
          <w:sz w:val="16"/>
          <w:szCs w:val="16"/>
        </w:rPr>
        <w:t>meaning</w:t>
      </w:r>
      <w:proofErr w:type="spellEnd"/>
      <w:r w:rsidR="00283B4A" w:rsidRPr="00D869E3">
        <w:rPr>
          <w:sz w:val="16"/>
          <w:szCs w:val="16"/>
        </w:rPr>
        <w:t xml:space="preserve"> </w:t>
      </w:r>
      <w:proofErr w:type="spellStart"/>
      <w:r w:rsidR="00283B4A" w:rsidRPr="00D869E3">
        <w:rPr>
          <w:sz w:val="16"/>
          <w:szCs w:val="16"/>
        </w:rPr>
        <w:t>of</w:t>
      </w:r>
      <w:proofErr w:type="spellEnd"/>
      <w:r w:rsidR="00283B4A" w:rsidRPr="00D869E3">
        <w:rPr>
          <w:sz w:val="16"/>
          <w:szCs w:val="16"/>
        </w:rPr>
        <w:t xml:space="preserve"> </w:t>
      </w:r>
      <w:r w:rsidR="006436CA" w:rsidRPr="00D869E3">
        <w:rPr>
          <w:sz w:val="16"/>
          <w:szCs w:val="16"/>
        </w:rPr>
        <w:t>“</w:t>
      </w:r>
      <w:r w:rsidRPr="00D869E3">
        <w:rPr>
          <w:i/>
          <w:iCs/>
          <w:sz w:val="16"/>
          <w:szCs w:val="16"/>
        </w:rPr>
        <w:t>deriva</w:t>
      </w:r>
      <w:r w:rsidRPr="00D869E3">
        <w:rPr>
          <w:sz w:val="16"/>
          <w:szCs w:val="16"/>
        </w:rPr>
        <w:t>r</w:t>
      </w:r>
      <w:r w:rsidR="00A9671E" w:rsidRPr="00D869E3">
        <w:rPr>
          <w:sz w:val="16"/>
          <w:szCs w:val="16"/>
        </w:rPr>
        <w:t>,</w:t>
      </w:r>
      <w:r w:rsidR="006436CA" w:rsidRPr="00D869E3">
        <w:rPr>
          <w:sz w:val="16"/>
          <w:szCs w:val="16"/>
        </w:rPr>
        <w:t>”</w:t>
      </w:r>
      <w:r w:rsidRPr="00D869E3">
        <w:rPr>
          <w:sz w:val="16"/>
          <w:szCs w:val="16"/>
        </w:rPr>
        <w:t xml:space="preserve"> </w:t>
      </w:r>
      <w:proofErr w:type="spellStart"/>
      <w:r w:rsidR="00283B4A" w:rsidRPr="00D869E3">
        <w:rPr>
          <w:sz w:val="16"/>
          <w:szCs w:val="16"/>
        </w:rPr>
        <w:t>is</w:t>
      </w:r>
      <w:proofErr w:type="spellEnd"/>
      <w:r w:rsidRPr="00D869E3">
        <w:rPr>
          <w:sz w:val="16"/>
          <w:szCs w:val="16"/>
        </w:rPr>
        <w:t xml:space="preserve">: </w:t>
      </w:r>
      <w:r w:rsidR="006436CA" w:rsidRPr="00D869E3">
        <w:rPr>
          <w:i/>
          <w:iCs/>
          <w:sz w:val="16"/>
          <w:szCs w:val="16"/>
        </w:rPr>
        <w:t>“</w:t>
      </w:r>
      <w:r w:rsidRPr="00D869E3">
        <w:rPr>
          <w:i/>
          <w:iCs/>
          <w:sz w:val="16"/>
          <w:szCs w:val="16"/>
        </w:rPr>
        <w:t>[d]</w:t>
      </w:r>
      <w:r w:rsidRPr="00D869E3">
        <w:rPr>
          <w:rFonts w:eastAsia="Arial Unicode MS" w:cs="Arial Unicode MS"/>
          <w:i/>
          <w:iCs/>
          <w:sz w:val="16"/>
          <w:szCs w:val="16"/>
        </w:rPr>
        <w:t>icho de una cosa: Traer su origen de otra[; d]icho de una palabra: Proceder de cierta base léxica[, y] establecer una relación morfológica o etimológica entre dos voces</w:t>
      </w:r>
      <w:r w:rsidR="00A9671E" w:rsidRPr="00D869E3">
        <w:rPr>
          <w:rFonts w:eastAsia="Arial Unicode MS" w:cs="Arial Unicode MS"/>
          <w:sz w:val="16"/>
          <w:szCs w:val="16"/>
        </w:rPr>
        <w:t>.</w:t>
      </w:r>
      <w:r w:rsidR="006436CA" w:rsidRPr="00D869E3">
        <w:rPr>
          <w:rFonts w:eastAsia="Arial Unicode MS" w:cs="Arial Unicode MS"/>
          <w:sz w:val="16"/>
          <w:szCs w:val="16"/>
        </w:rPr>
        <w:t>”</w:t>
      </w:r>
      <w:r w:rsidRPr="00D869E3">
        <w:rPr>
          <w:rStyle w:val="Refdenotaalpie"/>
          <w:rFonts w:eastAsiaTheme="majorEastAsia"/>
          <w:sz w:val="16"/>
          <w:szCs w:val="16"/>
          <w:lang w:val="en-US"/>
        </w:rPr>
        <w:footnoteReference w:id="309"/>
      </w:r>
      <w:r w:rsidR="00283B4A" w:rsidRPr="00D869E3">
        <w:rPr>
          <w:rFonts w:eastAsia="Arial Unicode MS" w:cs="Arial Unicode MS"/>
          <w:sz w:val="16"/>
          <w:szCs w:val="16"/>
        </w:rPr>
        <w:t xml:space="preserve"> </w:t>
      </w:r>
      <w:r w:rsidR="00283B4A" w:rsidRPr="00D869E3">
        <w:rPr>
          <w:rFonts w:eastAsia="Arial Unicode MS" w:cs="Arial Unicode MS"/>
          <w:sz w:val="16"/>
          <w:szCs w:val="16"/>
          <w:lang w:val="en-US"/>
        </w:rPr>
        <w:t>[</w:t>
      </w:r>
      <w:r w:rsidR="006D67CF" w:rsidRPr="00D869E3">
        <w:rPr>
          <w:rFonts w:eastAsia="Arial Unicode MS" w:cs="Arial Unicode MS"/>
          <w:sz w:val="16"/>
          <w:szCs w:val="16"/>
          <w:lang w:val="en-US"/>
        </w:rPr>
        <w:t>Derive: s</w:t>
      </w:r>
      <w:r w:rsidR="00754CAA" w:rsidRPr="00D869E3">
        <w:rPr>
          <w:rFonts w:eastAsia="Arial Unicode MS" w:cs="Arial Unicode MS"/>
          <w:sz w:val="16"/>
          <w:szCs w:val="16"/>
          <w:lang w:val="en-US"/>
        </w:rPr>
        <w:t>aid o</w:t>
      </w:r>
      <w:r w:rsidR="00283B4A" w:rsidRPr="00D869E3">
        <w:rPr>
          <w:rFonts w:eastAsia="Arial Unicode MS" w:cs="Arial Unicode MS"/>
          <w:sz w:val="16"/>
          <w:szCs w:val="16"/>
          <w:lang w:val="en-US"/>
        </w:rPr>
        <w:t xml:space="preserve">f a thing: originate from something else; </w:t>
      </w:r>
      <w:r w:rsidR="006D67CF" w:rsidRPr="00D869E3">
        <w:rPr>
          <w:rFonts w:eastAsia="Arial Unicode MS" w:cs="Arial Unicode MS"/>
          <w:sz w:val="16"/>
          <w:szCs w:val="16"/>
          <w:lang w:val="en-US"/>
        </w:rPr>
        <w:t xml:space="preserve">said </w:t>
      </w:r>
      <w:r w:rsidR="00283B4A" w:rsidRPr="00D869E3">
        <w:rPr>
          <w:rFonts w:eastAsia="Arial Unicode MS" w:cs="Arial Unicode MS"/>
          <w:sz w:val="16"/>
          <w:szCs w:val="16"/>
          <w:lang w:val="en-US"/>
        </w:rPr>
        <w:t>of a word: proceed from a</w:t>
      </w:r>
      <w:r w:rsidR="006D67CF" w:rsidRPr="00D869E3">
        <w:rPr>
          <w:rFonts w:eastAsia="Arial Unicode MS" w:cs="Arial Unicode MS"/>
          <w:sz w:val="16"/>
          <w:szCs w:val="16"/>
          <w:lang w:val="en-US"/>
        </w:rPr>
        <w:t xml:space="preserve"> specific</w:t>
      </w:r>
      <w:r w:rsidR="00283B4A" w:rsidRPr="00D869E3">
        <w:rPr>
          <w:rFonts w:eastAsia="Arial Unicode MS" w:cs="Arial Unicode MS"/>
          <w:sz w:val="16"/>
          <w:szCs w:val="16"/>
          <w:lang w:val="en-US"/>
        </w:rPr>
        <w:t xml:space="preserve"> lexical basis, and establish a morphological or etymological relationship between two words.]</w:t>
      </w:r>
    </w:p>
    <w:p w14:paraId="67ACB04E" w14:textId="77777777" w:rsidR="00F83E8F" w:rsidRPr="00D869E3" w:rsidRDefault="00F83E8F" w:rsidP="00F83E8F">
      <w:pPr>
        <w:pStyle w:val="Estilo4"/>
        <w:numPr>
          <w:ilvl w:val="0"/>
          <w:numId w:val="0"/>
        </w:numPr>
        <w:spacing w:after="0"/>
        <w:ind w:left="720" w:right="738"/>
        <w:rPr>
          <w:rFonts w:eastAsia="Arial Unicode MS" w:cs="Arial Unicode MS"/>
          <w:sz w:val="16"/>
          <w:szCs w:val="16"/>
          <w:lang w:val="en-US"/>
        </w:rPr>
      </w:pPr>
    </w:p>
    <w:p w14:paraId="66F489E8" w14:textId="3F0B0CC3" w:rsidR="00F83E8F" w:rsidRPr="00D869E3" w:rsidRDefault="00F83E8F" w:rsidP="00ED3FC7">
      <w:pPr>
        <w:pStyle w:val="Estilo4"/>
        <w:numPr>
          <w:ilvl w:val="0"/>
          <w:numId w:val="0"/>
        </w:numPr>
        <w:spacing w:after="0"/>
        <w:ind w:left="720" w:right="738"/>
        <w:rPr>
          <w:rFonts w:eastAsia="Arial Unicode MS" w:cs="Arial Unicode MS"/>
          <w:sz w:val="16"/>
          <w:szCs w:val="16"/>
          <w:lang w:val="en-US"/>
        </w:rPr>
      </w:pPr>
      <w:r w:rsidRPr="00D869E3">
        <w:rPr>
          <w:rFonts w:eastAsia="Arial Unicode MS" w:cs="Arial Unicode MS"/>
          <w:sz w:val="16"/>
          <w:szCs w:val="16"/>
          <w:lang w:val="en-US"/>
        </w:rPr>
        <w:t xml:space="preserve">25. </w:t>
      </w:r>
      <w:r w:rsidRPr="00D869E3">
        <w:rPr>
          <w:rFonts w:eastAsia="Arial Unicode MS" w:cs="Arial Unicode MS"/>
          <w:sz w:val="16"/>
          <w:szCs w:val="16"/>
          <w:lang w:val="en-US"/>
        </w:rPr>
        <w:tab/>
      </w:r>
      <w:r w:rsidR="00283B4A" w:rsidRPr="00D869E3">
        <w:rPr>
          <w:rFonts w:eastAsia="Arial Unicode MS" w:cs="Arial Unicode MS"/>
          <w:sz w:val="16"/>
          <w:szCs w:val="16"/>
          <w:lang w:val="en-US"/>
        </w:rPr>
        <w:t xml:space="preserve">Therefore, the understanding of the rights referred in </w:t>
      </w:r>
      <w:r w:rsidR="00447C65" w:rsidRPr="00D869E3">
        <w:rPr>
          <w:rFonts w:eastAsia="Arial Unicode MS" w:cs="Arial Unicode MS"/>
          <w:sz w:val="16"/>
          <w:szCs w:val="16"/>
          <w:lang w:val="en-US"/>
        </w:rPr>
        <w:t>Article</w:t>
      </w:r>
      <w:r w:rsidRPr="00D869E3">
        <w:rPr>
          <w:rFonts w:eastAsia="Arial Unicode MS" w:cs="Arial Unicode MS"/>
          <w:sz w:val="16"/>
          <w:szCs w:val="16"/>
          <w:lang w:val="en-US"/>
        </w:rPr>
        <w:t xml:space="preserve"> 26</w:t>
      </w:r>
      <w:r w:rsidR="00447C65" w:rsidRPr="00D869E3">
        <w:rPr>
          <w:rFonts w:eastAsia="Arial Unicode MS" w:cs="Arial Unicode MS"/>
          <w:sz w:val="16"/>
          <w:szCs w:val="16"/>
          <w:lang w:val="en-US"/>
        </w:rPr>
        <w:t xml:space="preserve"> of the American Convention</w:t>
      </w:r>
      <w:r w:rsidRPr="00D869E3">
        <w:rPr>
          <w:rFonts w:eastAsia="Arial Unicode MS" w:cs="Arial Unicode MS"/>
          <w:sz w:val="16"/>
          <w:szCs w:val="16"/>
          <w:lang w:val="en-US"/>
        </w:rPr>
        <w:t xml:space="preserve"> s</w:t>
      </w:r>
      <w:r w:rsidR="00283B4A" w:rsidRPr="00D869E3">
        <w:rPr>
          <w:rFonts w:eastAsia="Arial Unicode MS" w:cs="Arial Unicode MS"/>
          <w:sz w:val="16"/>
          <w:szCs w:val="16"/>
          <w:lang w:val="en-US"/>
        </w:rPr>
        <w:t xml:space="preserve">hould not be </w:t>
      </w:r>
      <w:r w:rsidR="006D67CF" w:rsidRPr="00D869E3">
        <w:rPr>
          <w:rFonts w:eastAsia="Arial Unicode MS" w:cs="Arial Unicode MS"/>
          <w:sz w:val="16"/>
          <w:szCs w:val="16"/>
          <w:lang w:val="en-US"/>
        </w:rPr>
        <w:t>restricte</w:t>
      </w:r>
      <w:r w:rsidR="00283B4A" w:rsidRPr="00D869E3">
        <w:rPr>
          <w:rFonts w:eastAsia="Arial Unicode MS" w:cs="Arial Unicode MS"/>
          <w:sz w:val="16"/>
          <w:szCs w:val="16"/>
          <w:lang w:val="en-US"/>
        </w:rPr>
        <w:t xml:space="preserve">d </w:t>
      </w:r>
      <w:r w:rsidR="006D67CF" w:rsidRPr="00D869E3">
        <w:rPr>
          <w:rFonts w:eastAsia="Arial Unicode MS" w:cs="Arial Unicode MS"/>
          <w:sz w:val="16"/>
          <w:szCs w:val="16"/>
          <w:lang w:val="en-US"/>
        </w:rPr>
        <w:t>merely</w:t>
      </w:r>
      <w:r w:rsidR="00283B4A" w:rsidRPr="00D869E3">
        <w:rPr>
          <w:rFonts w:eastAsia="Arial Unicode MS" w:cs="Arial Unicode MS"/>
          <w:sz w:val="16"/>
          <w:szCs w:val="16"/>
          <w:lang w:val="en-US"/>
        </w:rPr>
        <w:t xml:space="preserve"> to those</w:t>
      </w:r>
      <w:r w:rsidR="006D67CF" w:rsidRPr="00D869E3">
        <w:rPr>
          <w:rFonts w:eastAsia="Arial Unicode MS" w:cs="Arial Unicode MS"/>
          <w:sz w:val="16"/>
          <w:szCs w:val="16"/>
          <w:lang w:val="en-US"/>
        </w:rPr>
        <w:t xml:space="preserve"> rights</w:t>
      </w:r>
      <w:r w:rsidR="00283B4A" w:rsidRPr="00D869E3">
        <w:rPr>
          <w:rFonts w:eastAsia="Arial Unicode MS" w:cs="Arial Unicode MS"/>
          <w:sz w:val="16"/>
          <w:szCs w:val="16"/>
          <w:lang w:val="en-US"/>
        </w:rPr>
        <w:t xml:space="preserve"> that can be found literally as such – as </w:t>
      </w:r>
      <w:r w:rsidR="006D67CF" w:rsidRPr="00D869E3">
        <w:rPr>
          <w:rFonts w:eastAsia="Arial Unicode MS" w:cs="Arial Unicode MS"/>
          <w:sz w:val="16"/>
          <w:szCs w:val="16"/>
          <w:lang w:val="en-US"/>
        </w:rPr>
        <w:t xml:space="preserve">the </w:t>
      </w:r>
      <w:r w:rsidR="00283B4A" w:rsidRPr="00D869E3">
        <w:rPr>
          <w:rFonts w:eastAsia="Arial Unicode MS" w:cs="Arial Unicode MS"/>
          <w:sz w:val="16"/>
          <w:szCs w:val="16"/>
          <w:lang w:val="en-US"/>
        </w:rPr>
        <w:t>“right to work” could be understood</w:t>
      </w:r>
      <w:r w:rsidRPr="00D869E3">
        <w:rPr>
          <w:rStyle w:val="Refdenotaalpie"/>
          <w:rFonts w:eastAsia="Arial Unicode MS"/>
          <w:sz w:val="16"/>
          <w:szCs w:val="16"/>
          <w:lang w:val="en-US"/>
        </w:rPr>
        <w:footnoteReference w:id="310"/>
      </w:r>
      <w:r w:rsidRPr="00D869E3">
        <w:rPr>
          <w:rFonts w:eastAsia="Arial Unicode MS" w:cs="Arial Unicode MS"/>
          <w:sz w:val="16"/>
          <w:szCs w:val="16"/>
          <w:lang w:val="en-US"/>
        </w:rPr>
        <w:t xml:space="preserve">— </w:t>
      </w:r>
      <w:r w:rsidR="00283B4A" w:rsidRPr="00D869E3">
        <w:rPr>
          <w:rFonts w:eastAsia="Arial Unicode MS" w:cs="Arial Unicode MS"/>
          <w:sz w:val="16"/>
          <w:szCs w:val="16"/>
          <w:lang w:val="en-US"/>
        </w:rPr>
        <w:t>in the text</w:t>
      </w:r>
      <w:r w:rsidRPr="00D869E3">
        <w:rPr>
          <w:rFonts w:eastAsia="Arial Unicode MS" w:cs="Arial Unicode MS"/>
          <w:sz w:val="16"/>
          <w:szCs w:val="16"/>
          <w:lang w:val="en-US"/>
        </w:rPr>
        <w:t xml:space="preserve"> </w:t>
      </w:r>
      <w:r w:rsidR="00197983" w:rsidRPr="00D869E3">
        <w:rPr>
          <w:rFonts w:eastAsia="Arial Unicode MS" w:cs="Arial Unicode MS"/>
          <w:sz w:val="16"/>
          <w:szCs w:val="16"/>
          <w:lang w:val="en-US"/>
        </w:rPr>
        <w:t>of the OAS Charter</w:t>
      </w:r>
      <w:r w:rsidRPr="00D869E3">
        <w:rPr>
          <w:rFonts w:eastAsia="Arial Unicode MS" w:cs="Arial Unicode MS"/>
          <w:sz w:val="16"/>
          <w:szCs w:val="16"/>
          <w:lang w:val="en-US"/>
        </w:rPr>
        <w:t xml:space="preserve">. </w:t>
      </w:r>
      <w:r w:rsidR="00283B4A" w:rsidRPr="00D869E3">
        <w:rPr>
          <w:rFonts w:eastAsia="Arial Unicode MS" w:cs="Arial Unicode MS"/>
          <w:sz w:val="16"/>
          <w:szCs w:val="16"/>
          <w:lang w:val="en-US"/>
        </w:rPr>
        <w:t xml:space="preserve">To the contrary, a “derivation” should be made from the corresponding </w:t>
      </w:r>
      <w:r w:rsidR="006D67CF" w:rsidRPr="00D869E3">
        <w:rPr>
          <w:rFonts w:eastAsia="Arial Unicode MS" w:cs="Arial Unicode MS"/>
          <w:sz w:val="16"/>
          <w:szCs w:val="16"/>
          <w:lang w:val="en-US"/>
        </w:rPr>
        <w:t>articles mentioned previously</w:t>
      </w:r>
      <w:r w:rsidR="00283B4A" w:rsidRPr="00D869E3">
        <w:rPr>
          <w:rFonts w:eastAsia="Arial Unicode MS" w:cs="Arial Unicode MS"/>
          <w:sz w:val="16"/>
          <w:szCs w:val="16"/>
          <w:lang w:val="en-US"/>
        </w:rPr>
        <w:t xml:space="preserve">: “proceed from a </w:t>
      </w:r>
      <w:r w:rsidR="006D67CF" w:rsidRPr="00D869E3">
        <w:rPr>
          <w:rFonts w:eastAsia="Arial Unicode MS" w:cs="Arial Unicode MS"/>
          <w:sz w:val="16"/>
          <w:szCs w:val="16"/>
          <w:lang w:val="en-US"/>
        </w:rPr>
        <w:t xml:space="preserve">specific </w:t>
      </w:r>
      <w:r w:rsidR="00283B4A" w:rsidRPr="00D869E3">
        <w:rPr>
          <w:rFonts w:eastAsia="Arial Unicode MS" w:cs="Arial Unicode MS"/>
          <w:sz w:val="16"/>
          <w:szCs w:val="16"/>
          <w:lang w:val="en-US"/>
        </w:rPr>
        <w:t xml:space="preserve">lexical basis” to find a right. The text of Article 26, which refers to “rights” derived from </w:t>
      </w:r>
      <w:r w:rsidR="006D67CF" w:rsidRPr="00D869E3">
        <w:rPr>
          <w:rFonts w:eastAsia="Arial Unicode MS" w:cs="Arial Unicode MS"/>
          <w:sz w:val="16"/>
          <w:szCs w:val="16"/>
          <w:lang w:val="en-US"/>
        </w:rPr>
        <w:t>“</w:t>
      </w:r>
      <w:r w:rsidR="00283B4A" w:rsidRPr="00D869E3">
        <w:rPr>
          <w:spacing w:val="-3"/>
          <w:sz w:val="16"/>
          <w:szCs w:val="16"/>
          <w:lang w:val="en-US"/>
        </w:rPr>
        <w:t>the economic, social, educational, scientific, and cultural standards</w:t>
      </w:r>
      <w:r w:rsidR="00ED3FC7" w:rsidRPr="00D869E3">
        <w:rPr>
          <w:spacing w:val="-3"/>
          <w:sz w:val="16"/>
          <w:szCs w:val="16"/>
          <w:lang w:val="en-US"/>
        </w:rPr>
        <w:t xml:space="preserve"> set forth</w:t>
      </w:r>
      <w:r w:rsidR="00283B4A" w:rsidRPr="00D869E3">
        <w:rPr>
          <w:spacing w:val="-3"/>
          <w:sz w:val="16"/>
          <w:szCs w:val="16"/>
          <w:lang w:val="en-US"/>
        </w:rPr>
        <w:t xml:space="preserve"> in the Charter,</w:t>
      </w:r>
      <w:r w:rsidR="00ED3FC7" w:rsidRPr="00D869E3">
        <w:rPr>
          <w:spacing w:val="-3"/>
          <w:sz w:val="16"/>
          <w:szCs w:val="16"/>
          <w:lang w:val="en-US"/>
        </w:rPr>
        <w:t>”</w:t>
      </w:r>
      <w:r w:rsidR="00283B4A" w:rsidRPr="00D869E3">
        <w:rPr>
          <w:spacing w:val="-3"/>
          <w:sz w:val="16"/>
          <w:szCs w:val="16"/>
          <w:lang w:val="en-US"/>
        </w:rPr>
        <w:t xml:space="preserve"> oblig</w:t>
      </w:r>
      <w:r w:rsidR="006D67CF" w:rsidRPr="00D869E3">
        <w:rPr>
          <w:spacing w:val="-3"/>
          <w:sz w:val="16"/>
          <w:szCs w:val="16"/>
          <w:lang w:val="en-US"/>
        </w:rPr>
        <w:t>at</w:t>
      </w:r>
      <w:r w:rsidR="00283B4A" w:rsidRPr="00D869E3">
        <w:rPr>
          <w:spacing w:val="-3"/>
          <w:sz w:val="16"/>
          <w:szCs w:val="16"/>
          <w:lang w:val="en-US"/>
        </w:rPr>
        <w:t>es</w:t>
      </w:r>
      <w:r w:rsidR="00ED3FC7" w:rsidRPr="00D869E3">
        <w:rPr>
          <w:spacing w:val="-3"/>
          <w:sz w:val="16"/>
          <w:szCs w:val="16"/>
          <w:lang w:val="en-US"/>
        </w:rPr>
        <w:t xml:space="preserve"> the interpreter, who cannot disregard the said text and validly maintain that the norms corresponding to </w:t>
      </w:r>
      <w:r w:rsidR="00ED3FC7" w:rsidRPr="00D869E3">
        <w:rPr>
          <w:rFonts w:eastAsia="Arial Unicode MS" w:cs="Arial Unicode MS"/>
          <w:sz w:val="16"/>
          <w:szCs w:val="16"/>
          <w:lang w:val="en-US"/>
        </w:rPr>
        <w:t xml:space="preserve">the OAS Charter do not offer sufficient grounds to “derive” rights, because this is ordered by the text of the Convention. This does not preclude the admissibility of methods of interpretation that </w:t>
      </w:r>
      <w:r w:rsidR="00701B94" w:rsidRPr="00D869E3">
        <w:rPr>
          <w:rFonts w:eastAsia="Arial Unicode MS" w:cs="Arial Unicode MS"/>
          <w:sz w:val="16"/>
          <w:szCs w:val="16"/>
          <w:lang w:val="en-US"/>
        </w:rPr>
        <w:t>entail</w:t>
      </w:r>
      <w:r w:rsidR="00ED3FC7" w:rsidRPr="00D869E3">
        <w:rPr>
          <w:rFonts w:eastAsia="Arial Unicode MS" w:cs="Arial Unicode MS"/>
          <w:sz w:val="16"/>
          <w:szCs w:val="16"/>
          <w:lang w:val="en-US"/>
        </w:rPr>
        <w:t xml:space="preserve"> taking</w:t>
      </w:r>
      <w:r w:rsidR="006D67CF" w:rsidRPr="00D869E3">
        <w:rPr>
          <w:rFonts w:eastAsia="Arial Unicode MS" w:cs="Arial Unicode MS"/>
          <w:sz w:val="16"/>
          <w:szCs w:val="16"/>
          <w:lang w:val="en-US"/>
        </w:rPr>
        <w:t xml:space="preserve"> other norms</w:t>
      </w:r>
      <w:r w:rsidR="00ED3FC7" w:rsidRPr="00D869E3">
        <w:rPr>
          <w:rFonts w:eastAsia="Arial Unicode MS" w:cs="Arial Unicode MS"/>
          <w:sz w:val="16"/>
          <w:szCs w:val="16"/>
          <w:lang w:val="en-US"/>
        </w:rPr>
        <w:t xml:space="preserve"> into consideratio</w:t>
      </w:r>
      <w:r w:rsidR="00701B94" w:rsidRPr="00D869E3">
        <w:rPr>
          <w:rFonts w:eastAsia="Arial Unicode MS" w:cs="Arial Unicode MS"/>
          <w:sz w:val="16"/>
          <w:szCs w:val="16"/>
          <w:lang w:val="en-US"/>
        </w:rPr>
        <w:t>n</w:t>
      </w:r>
      <w:r w:rsidR="00ED3FC7" w:rsidRPr="00D869E3">
        <w:rPr>
          <w:rFonts w:eastAsia="Arial Unicode MS" w:cs="Arial Unicode MS"/>
          <w:sz w:val="16"/>
          <w:szCs w:val="16"/>
          <w:lang w:val="en-US"/>
        </w:rPr>
        <w:t xml:space="preserve">, including the Additional Protocol to </w:t>
      </w:r>
      <w:r w:rsidR="00447C65" w:rsidRPr="00D869E3">
        <w:rPr>
          <w:rFonts w:eastAsia="Arial Unicode MS" w:cs="Arial Unicode MS"/>
          <w:sz w:val="16"/>
          <w:szCs w:val="16"/>
          <w:lang w:val="en-US"/>
        </w:rPr>
        <w:t>the American Convention on Human Rights</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in the Area of Economic, Social and Cultural</w:t>
      </w:r>
      <w:r w:rsidRPr="00D869E3">
        <w:rPr>
          <w:rFonts w:eastAsia="Arial Unicode MS" w:cs="Arial Unicode MS"/>
          <w:sz w:val="16"/>
          <w:szCs w:val="16"/>
          <w:lang w:val="en-US"/>
        </w:rPr>
        <w:t xml:space="preserve"> </w:t>
      </w:r>
      <w:r w:rsidR="00881A39" w:rsidRPr="00D869E3">
        <w:rPr>
          <w:rFonts w:eastAsia="Arial Unicode MS" w:cs="Arial Unicode MS"/>
          <w:sz w:val="16"/>
          <w:szCs w:val="16"/>
          <w:lang w:val="en-US"/>
        </w:rPr>
        <w:t>Rights</w:t>
      </w:r>
      <w:r w:rsidRPr="00D869E3">
        <w:rPr>
          <w:rFonts w:eastAsia="Arial Unicode MS" w:cs="Arial Unicode MS"/>
          <w:sz w:val="16"/>
          <w:szCs w:val="16"/>
          <w:lang w:val="en-US"/>
        </w:rPr>
        <w:t xml:space="preserve"> </w:t>
      </w:r>
      <w:r w:rsidR="006436CA" w:rsidRPr="00D869E3">
        <w:rPr>
          <w:rFonts w:eastAsia="Arial Unicode MS" w:cs="Arial Unicode MS"/>
          <w:sz w:val="16"/>
          <w:szCs w:val="16"/>
          <w:lang w:val="en-US"/>
        </w:rPr>
        <w:t>“</w:t>
      </w:r>
      <w:r w:rsidRPr="00D869E3">
        <w:rPr>
          <w:rFonts w:eastAsia="Arial Unicode MS" w:cs="Arial Unicode MS"/>
          <w:sz w:val="16"/>
          <w:szCs w:val="16"/>
          <w:lang w:val="en-US"/>
        </w:rPr>
        <w:t xml:space="preserve">Protocol </w:t>
      </w:r>
      <w:r w:rsidR="00ED3FC7" w:rsidRPr="00D869E3">
        <w:rPr>
          <w:rFonts w:eastAsia="Arial Unicode MS" w:cs="Arial Unicode MS"/>
          <w:sz w:val="16"/>
          <w:szCs w:val="16"/>
          <w:lang w:val="en-US"/>
        </w:rPr>
        <w:t>of</w:t>
      </w:r>
      <w:r w:rsidRPr="00D869E3">
        <w:rPr>
          <w:rFonts w:eastAsia="Arial Unicode MS" w:cs="Arial Unicode MS"/>
          <w:sz w:val="16"/>
          <w:szCs w:val="16"/>
          <w:lang w:val="en-US"/>
        </w:rPr>
        <w:t xml:space="preserve"> San Salvador</w:t>
      </w:r>
      <w:r w:rsidR="006436CA" w:rsidRPr="00D869E3">
        <w:rPr>
          <w:rFonts w:eastAsia="Arial Unicode MS" w:cs="Arial Unicode MS"/>
          <w:sz w:val="16"/>
          <w:szCs w:val="16"/>
          <w:lang w:val="en-US"/>
        </w:rPr>
        <w:t>”</w:t>
      </w:r>
      <w:r w:rsidR="00ED3FC7" w:rsidRPr="00D869E3">
        <w:rPr>
          <w:rFonts w:eastAsia="Arial Unicode MS" w:cs="Arial Unicode MS"/>
          <w:sz w:val="16"/>
          <w:szCs w:val="16"/>
          <w:lang w:val="en-US"/>
        </w:rPr>
        <w:t>;</w:t>
      </w:r>
      <w:r w:rsidRPr="00D869E3">
        <w:rPr>
          <w:rStyle w:val="Refdenotaalpie"/>
          <w:rFonts w:eastAsia="Arial Unicode MS"/>
          <w:sz w:val="16"/>
          <w:szCs w:val="16"/>
          <w:lang w:val="en-US"/>
        </w:rPr>
        <w:footnoteReference w:id="311"/>
      </w:r>
      <w:r w:rsidR="00ED3FC7" w:rsidRPr="00D869E3">
        <w:rPr>
          <w:rFonts w:eastAsia="Arial Unicode MS" w:cs="Arial Unicode MS"/>
          <w:sz w:val="16"/>
          <w:szCs w:val="16"/>
          <w:lang w:val="en-US"/>
        </w:rPr>
        <w:t xml:space="preserve"> I have referred to this on other occasions.</w:t>
      </w:r>
    </w:p>
    <w:p w14:paraId="4E5B86DC" w14:textId="77777777" w:rsidR="00F83E8F" w:rsidRPr="00D869E3" w:rsidRDefault="00F83E8F" w:rsidP="00F83E8F">
      <w:pPr>
        <w:pStyle w:val="Estilo4"/>
        <w:numPr>
          <w:ilvl w:val="0"/>
          <w:numId w:val="0"/>
        </w:numPr>
        <w:spacing w:after="0"/>
        <w:ind w:left="720" w:right="738"/>
        <w:rPr>
          <w:sz w:val="16"/>
          <w:szCs w:val="16"/>
          <w:lang w:val="en-US"/>
        </w:rPr>
      </w:pPr>
    </w:p>
    <w:p w14:paraId="2851903F" w14:textId="48153623" w:rsidR="00F83E8F" w:rsidRPr="00D869E3" w:rsidRDefault="00F83E8F" w:rsidP="00ED3FC7">
      <w:pPr>
        <w:pStyle w:val="Estilo4"/>
        <w:numPr>
          <w:ilvl w:val="0"/>
          <w:numId w:val="0"/>
        </w:numPr>
        <w:spacing w:after="0"/>
        <w:ind w:left="720" w:right="738"/>
        <w:rPr>
          <w:rFonts w:eastAsia="Arial Unicode MS" w:cs="Arial Unicode MS"/>
          <w:sz w:val="16"/>
          <w:szCs w:val="16"/>
          <w:lang w:val="en-US"/>
        </w:rPr>
      </w:pPr>
      <w:r w:rsidRPr="00D869E3">
        <w:rPr>
          <w:rFonts w:eastAsia="Arial Unicode MS" w:cs="Arial Unicode MS"/>
          <w:sz w:val="16"/>
          <w:szCs w:val="16"/>
          <w:lang w:val="en-US"/>
        </w:rPr>
        <w:t xml:space="preserve">26. </w:t>
      </w:r>
      <w:r w:rsidRPr="00D869E3">
        <w:rPr>
          <w:rFonts w:eastAsia="Arial Unicode MS" w:cs="Arial Unicode MS"/>
          <w:sz w:val="16"/>
          <w:szCs w:val="16"/>
          <w:lang w:val="en-US"/>
        </w:rPr>
        <w:tab/>
      </w:r>
      <w:r w:rsidR="00ED3FC7" w:rsidRPr="00D869E3">
        <w:rPr>
          <w:rFonts w:eastAsia="Arial Unicode MS" w:cs="Arial Unicode MS"/>
          <w:sz w:val="16"/>
          <w:szCs w:val="16"/>
          <w:lang w:val="en-US"/>
        </w:rPr>
        <w:t xml:space="preserve">The foregoing reveals that the Inter-American Court must make an evolutive and dynamic interpretation and that even though evidently interpretive difficulties </w:t>
      </w:r>
      <w:r w:rsidR="00701B94" w:rsidRPr="00D869E3">
        <w:rPr>
          <w:rFonts w:eastAsia="Arial Unicode MS" w:cs="Arial Unicode MS"/>
          <w:sz w:val="16"/>
          <w:szCs w:val="16"/>
          <w:lang w:val="en-US"/>
        </w:rPr>
        <w:t xml:space="preserve">exist </w:t>
      </w:r>
      <w:r w:rsidR="00ED3FC7" w:rsidRPr="00D869E3">
        <w:rPr>
          <w:rFonts w:eastAsia="Arial Unicode MS" w:cs="Arial Unicode MS"/>
          <w:sz w:val="16"/>
          <w:szCs w:val="16"/>
          <w:lang w:val="en-US"/>
        </w:rPr>
        <w:t xml:space="preserve">owing to the way in which </w:t>
      </w:r>
      <w:r w:rsidR="00447C65" w:rsidRPr="00D869E3">
        <w:rPr>
          <w:rFonts w:eastAsia="Arial Unicode MS" w:cs="Arial Unicode MS"/>
          <w:sz w:val="16"/>
          <w:szCs w:val="16"/>
          <w:lang w:val="en-US"/>
        </w:rPr>
        <w:t>the American Convention</w:t>
      </w:r>
      <w:r w:rsidRPr="00D869E3">
        <w:rPr>
          <w:rFonts w:eastAsia="Arial Unicode MS" w:cs="Arial Unicode MS"/>
          <w:sz w:val="16"/>
          <w:szCs w:val="16"/>
          <w:lang w:val="en-US"/>
        </w:rPr>
        <w:t xml:space="preserve"> ha</w:t>
      </w:r>
      <w:r w:rsidR="00ED3FC7" w:rsidRPr="00D869E3">
        <w:rPr>
          <w:rFonts w:eastAsia="Arial Unicode MS" w:cs="Arial Unicode MS"/>
          <w:sz w:val="16"/>
          <w:szCs w:val="16"/>
          <w:lang w:val="en-US"/>
        </w:rPr>
        <w:t>s</w:t>
      </w:r>
      <w:r w:rsidRPr="00D869E3">
        <w:rPr>
          <w:rFonts w:eastAsia="Arial Unicode MS" w:cs="Arial Unicode MS"/>
          <w:sz w:val="16"/>
          <w:szCs w:val="16"/>
          <w:lang w:val="en-US"/>
        </w:rPr>
        <w:t xml:space="preserve"> establ</w:t>
      </w:r>
      <w:r w:rsidR="00ED3FC7" w:rsidRPr="00D869E3">
        <w:rPr>
          <w:rFonts w:eastAsia="Arial Unicode MS" w:cs="Arial Unicode MS"/>
          <w:sz w:val="16"/>
          <w:szCs w:val="16"/>
          <w:lang w:val="en-US"/>
        </w:rPr>
        <w:t>ished</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the</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economic, social and cultural rights</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 xml:space="preserve">that it contains, this is not a difficulty that the interpretive and hermeneutic effort cannot overcome. Precisely, it is the function </w:t>
      </w:r>
      <w:r w:rsidRPr="00D869E3">
        <w:rPr>
          <w:rFonts w:eastAsia="Arial Unicode MS" w:cs="Arial Unicode MS"/>
          <w:sz w:val="16"/>
          <w:szCs w:val="16"/>
          <w:lang w:val="en-US"/>
        </w:rPr>
        <w:t xml:space="preserve"> </w:t>
      </w:r>
      <w:r w:rsidR="00447C65" w:rsidRPr="00D869E3">
        <w:rPr>
          <w:rFonts w:eastAsia="Arial Unicode MS" w:cs="Arial Unicode MS"/>
          <w:sz w:val="16"/>
          <w:szCs w:val="16"/>
          <w:lang w:val="en-US"/>
        </w:rPr>
        <w:t xml:space="preserve">of </w:t>
      </w:r>
      <w:r w:rsidR="00671B14" w:rsidRPr="00D869E3">
        <w:rPr>
          <w:rFonts w:eastAsia="Arial Unicode MS" w:cs="Arial Unicode MS"/>
          <w:sz w:val="16"/>
          <w:szCs w:val="16"/>
          <w:lang w:val="en-US"/>
        </w:rPr>
        <w:t>the Inter-American Court</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to interpret</w:t>
      </w:r>
      <w:r w:rsidR="00447C65" w:rsidRPr="00D869E3">
        <w:rPr>
          <w:rFonts w:eastAsia="Arial Unicode MS" w:cs="Arial Unicode MS"/>
          <w:sz w:val="16"/>
          <w:szCs w:val="16"/>
          <w:lang w:val="en-US"/>
        </w:rPr>
        <w:t xml:space="preserve"> the American Convention</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 xml:space="preserve">without excusing itself based on the obscurity, vagueness or ambiguity of the terms of the treaty, and taking into consideration the </w:t>
      </w:r>
      <w:r w:rsidRPr="00D869E3">
        <w:rPr>
          <w:rFonts w:eastAsia="Arial Unicode MS" w:cs="Arial Unicode MS"/>
          <w:i/>
          <w:sz w:val="16"/>
          <w:szCs w:val="16"/>
          <w:lang w:val="en-US"/>
        </w:rPr>
        <w:t>pro persona</w:t>
      </w:r>
      <w:r w:rsidRPr="00D869E3">
        <w:rPr>
          <w:rFonts w:eastAsia="Arial Unicode MS" w:cs="Arial Unicode MS"/>
          <w:sz w:val="16"/>
          <w:szCs w:val="16"/>
          <w:lang w:val="en-US"/>
        </w:rPr>
        <w:t xml:space="preserve"> </w:t>
      </w:r>
      <w:r w:rsidR="00ED3FC7" w:rsidRPr="00D869E3">
        <w:rPr>
          <w:rFonts w:eastAsia="Arial Unicode MS" w:cs="Arial Unicode MS"/>
          <w:sz w:val="16"/>
          <w:szCs w:val="16"/>
          <w:lang w:val="en-US"/>
        </w:rPr>
        <w:t>principle contained in</w:t>
      </w:r>
      <w:r w:rsidRPr="00D869E3">
        <w:rPr>
          <w:rFonts w:eastAsia="Arial Unicode MS" w:cs="Arial Unicode MS"/>
          <w:sz w:val="16"/>
          <w:szCs w:val="16"/>
          <w:lang w:val="en-US"/>
        </w:rPr>
        <w:t xml:space="preserve"> </w:t>
      </w:r>
      <w:r w:rsidR="00447C65" w:rsidRPr="00D869E3">
        <w:rPr>
          <w:rFonts w:eastAsia="Arial Unicode MS" w:cs="Arial Unicode MS"/>
          <w:sz w:val="16"/>
          <w:szCs w:val="16"/>
          <w:lang w:val="en-US"/>
        </w:rPr>
        <w:t>Article</w:t>
      </w:r>
      <w:r w:rsidRPr="00D869E3">
        <w:rPr>
          <w:rFonts w:eastAsia="Arial Unicode MS" w:cs="Arial Unicode MS"/>
          <w:sz w:val="16"/>
          <w:szCs w:val="16"/>
          <w:lang w:val="en-US"/>
        </w:rPr>
        <w:t xml:space="preserve"> 29 </w:t>
      </w:r>
      <w:r w:rsidR="00ED3FC7" w:rsidRPr="00D869E3">
        <w:rPr>
          <w:rFonts w:eastAsia="Arial Unicode MS" w:cs="Arial Unicode MS"/>
          <w:sz w:val="16"/>
          <w:szCs w:val="16"/>
          <w:lang w:val="en-US"/>
        </w:rPr>
        <w:t>of the</w:t>
      </w:r>
      <w:r w:rsidRPr="00D869E3">
        <w:rPr>
          <w:rFonts w:eastAsia="Arial Unicode MS" w:cs="Arial Unicode MS"/>
          <w:sz w:val="16"/>
          <w:szCs w:val="16"/>
          <w:lang w:val="en-US"/>
        </w:rPr>
        <w:t xml:space="preserve"> </w:t>
      </w:r>
      <w:r w:rsidR="00671B14" w:rsidRPr="00D869E3">
        <w:rPr>
          <w:rFonts w:eastAsia="Arial Unicode MS" w:cs="Arial Unicode MS"/>
          <w:sz w:val="16"/>
          <w:szCs w:val="16"/>
          <w:lang w:val="en-US"/>
        </w:rPr>
        <w:t>Pact of San José</w:t>
      </w:r>
      <w:r w:rsidRPr="00D869E3">
        <w:rPr>
          <w:rFonts w:eastAsia="Arial Unicode MS" w:cs="Arial Unicode MS"/>
          <w:sz w:val="16"/>
          <w:szCs w:val="16"/>
          <w:lang w:val="en-US"/>
        </w:rPr>
        <w:t xml:space="preserve">. </w:t>
      </w:r>
    </w:p>
    <w:p w14:paraId="5C17910F"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0F24D3EE" w14:textId="7B123B72" w:rsidR="00F83E8F" w:rsidRPr="00D869E3" w:rsidRDefault="00ED3FC7"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The</w:t>
      </w:r>
      <w:r w:rsidR="00F83E8F" w:rsidRPr="00D869E3">
        <w:rPr>
          <w:rFonts w:ascii="Verdana" w:hAnsi="Verdana"/>
          <w:sz w:val="20"/>
          <w:szCs w:val="20"/>
          <w:lang w:val="en-US"/>
        </w:rPr>
        <w:t xml:space="preserve"> </w:t>
      </w:r>
      <w:r w:rsidRPr="00D869E3">
        <w:rPr>
          <w:rFonts w:ascii="Verdana" w:hAnsi="Verdana"/>
          <w:sz w:val="20"/>
          <w:szCs w:val="20"/>
          <w:lang w:val="en-US"/>
        </w:rPr>
        <w:t>s</w:t>
      </w:r>
      <w:r w:rsidR="00DB128C" w:rsidRPr="00D869E3">
        <w:rPr>
          <w:rFonts w:ascii="Verdana" w:hAnsi="Verdana"/>
          <w:sz w:val="20"/>
          <w:szCs w:val="20"/>
          <w:lang w:val="en-US"/>
        </w:rPr>
        <w:t>econd</w:t>
      </w:r>
      <w:r w:rsidR="00F83E8F" w:rsidRPr="00D869E3">
        <w:rPr>
          <w:rFonts w:ascii="Verdana" w:hAnsi="Verdana"/>
          <w:sz w:val="20"/>
          <w:szCs w:val="20"/>
          <w:lang w:val="en-US"/>
        </w:rPr>
        <w:t xml:space="preserve"> </w:t>
      </w:r>
      <w:r w:rsidRPr="00D869E3">
        <w:rPr>
          <w:rFonts w:ascii="Verdana" w:hAnsi="Verdana"/>
          <w:sz w:val="20"/>
          <w:szCs w:val="20"/>
          <w:lang w:val="en-US"/>
        </w:rPr>
        <w:t>relevant aspect relat</w:t>
      </w:r>
      <w:r w:rsidR="00701B94" w:rsidRPr="00D869E3">
        <w:rPr>
          <w:rFonts w:ascii="Verdana" w:hAnsi="Verdana"/>
          <w:sz w:val="20"/>
          <w:szCs w:val="20"/>
          <w:lang w:val="en-US"/>
        </w:rPr>
        <w:t>es</w:t>
      </w:r>
      <w:r w:rsidRPr="00D869E3">
        <w:rPr>
          <w:rFonts w:ascii="Verdana" w:hAnsi="Verdana"/>
          <w:sz w:val="20"/>
          <w:szCs w:val="20"/>
          <w:lang w:val="en-US"/>
        </w:rPr>
        <w:t xml:space="preserve"> to </w:t>
      </w:r>
      <w:r w:rsidR="0087339F" w:rsidRPr="00D869E3">
        <w:rPr>
          <w:rFonts w:ascii="Verdana" w:hAnsi="Verdana"/>
          <w:sz w:val="20"/>
          <w:szCs w:val="20"/>
          <w:lang w:val="en-US"/>
        </w:rPr>
        <w:t>Advisory Opinion</w:t>
      </w:r>
      <w:r w:rsidR="00F83E8F" w:rsidRPr="00D869E3">
        <w:rPr>
          <w:rFonts w:ascii="Verdana" w:hAnsi="Verdana"/>
          <w:sz w:val="20"/>
          <w:szCs w:val="20"/>
          <w:lang w:val="en-US"/>
        </w:rPr>
        <w:t xml:space="preserve"> No. 10 —</w:t>
      </w:r>
      <w:r w:rsidRPr="00D869E3">
        <w:rPr>
          <w:rFonts w:ascii="Verdana" w:hAnsi="Verdana"/>
          <w:sz w:val="20"/>
          <w:szCs w:val="20"/>
          <w:lang w:val="en-US"/>
        </w:rPr>
        <w:t xml:space="preserve"> on the interp</w:t>
      </w:r>
      <w:r w:rsidR="000347A6" w:rsidRPr="00D869E3">
        <w:rPr>
          <w:rFonts w:ascii="Verdana" w:hAnsi="Verdana"/>
          <w:sz w:val="20"/>
          <w:szCs w:val="20"/>
          <w:lang w:val="en-US"/>
        </w:rPr>
        <w:t>re</w:t>
      </w:r>
      <w:r w:rsidRPr="00D869E3">
        <w:rPr>
          <w:rFonts w:ascii="Verdana" w:hAnsi="Verdana"/>
          <w:sz w:val="20"/>
          <w:szCs w:val="20"/>
          <w:lang w:val="en-US"/>
        </w:rPr>
        <w:t xml:space="preserve">tation of the </w:t>
      </w:r>
      <w:r w:rsidR="00360553" w:rsidRPr="00D869E3">
        <w:rPr>
          <w:rFonts w:ascii="Verdana" w:hAnsi="Verdana"/>
          <w:sz w:val="20"/>
          <w:szCs w:val="20"/>
          <w:lang w:val="en-US"/>
        </w:rPr>
        <w:t>American Declaration of the Rights and Duties of Man</w:t>
      </w:r>
      <w:r w:rsidR="00F83E8F" w:rsidRPr="00D869E3">
        <w:rPr>
          <w:rFonts w:ascii="Verdana" w:hAnsi="Verdana"/>
          <w:sz w:val="20"/>
          <w:szCs w:val="20"/>
          <w:lang w:val="en-US"/>
        </w:rPr>
        <w:t xml:space="preserve"> </w:t>
      </w:r>
      <w:r w:rsidR="00FE7426" w:rsidRPr="00D869E3">
        <w:rPr>
          <w:rFonts w:ascii="Verdana" w:hAnsi="Verdana"/>
          <w:sz w:val="20"/>
          <w:szCs w:val="20"/>
          <w:lang w:val="en-US"/>
        </w:rPr>
        <w:t>within the framework</w:t>
      </w:r>
      <w:r w:rsidRPr="00D869E3">
        <w:rPr>
          <w:rFonts w:ascii="Verdana" w:hAnsi="Verdana"/>
          <w:sz w:val="20"/>
          <w:szCs w:val="20"/>
          <w:lang w:val="en-US"/>
        </w:rPr>
        <w:t xml:space="preserve"> of</w:t>
      </w:r>
      <w:r w:rsidR="00687684" w:rsidRPr="00D869E3">
        <w:rPr>
          <w:rFonts w:ascii="Verdana" w:hAnsi="Verdana"/>
          <w:sz w:val="20"/>
          <w:szCs w:val="20"/>
          <w:lang w:val="en-US"/>
        </w:rPr>
        <w:t xml:space="preserve"> Article</w:t>
      </w:r>
      <w:r w:rsidR="00F83E8F" w:rsidRPr="00D869E3">
        <w:rPr>
          <w:rFonts w:ascii="Verdana" w:hAnsi="Verdana"/>
          <w:sz w:val="20"/>
          <w:szCs w:val="20"/>
          <w:lang w:val="en-US"/>
        </w:rPr>
        <w:t xml:space="preserve"> 64</w:t>
      </w:r>
      <w:r w:rsidR="00447C65" w:rsidRPr="00D869E3">
        <w:rPr>
          <w:rFonts w:ascii="Verdana" w:hAnsi="Verdana"/>
          <w:sz w:val="20"/>
          <w:szCs w:val="20"/>
          <w:lang w:val="en-US"/>
        </w:rPr>
        <w:t xml:space="preserve"> of the American Convention</w:t>
      </w:r>
      <w:r w:rsidR="00F83E8F" w:rsidRPr="00D869E3">
        <w:rPr>
          <w:rStyle w:val="Refdenotaalpie"/>
          <w:szCs w:val="20"/>
          <w:lang w:val="en-US"/>
        </w:rPr>
        <w:footnoteReference w:id="312"/>
      </w:r>
      <w:r w:rsidRPr="00D869E3">
        <w:rPr>
          <w:rFonts w:ascii="Verdana" w:hAnsi="Verdana"/>
          <w:sz w:val="20"/>
          <w:szCs w:val="20"/>
          <w:lang w:val="en-US"/>
        </w:rPr>
        <w:t xml:space="preserve"> </w:t>
      </w:r>
      <w:r w:rsidR="00F83E8F" w:rsidRPr="00D869E3">
        <w:rPr>
          <w:rFonts w:ascii="Verdana" w:hAnsi="Verdana"/>
          <w:sz w:val="20"/>
          <w:szCs w:val="20"/>
          <w:lang w:val="en-US"/>
        </w:rPr>
        <w:t xml:space="preserve">— </w:t>
      </w:r>
      <w:r w:rsidR="00FE7426" w:rsidRPr="00D869E3">
        <w:rPr>
          <w:rFonts w:ascii="Verdana" w:hAnsi="Verdana"/>
          <w:sz w:val="20"/>
          <w:szCs w:val="20"/>
          <w:lang w:val="en-US"/>
        </w:rPr>
        <w:t>which</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E7426" w:rsidRPr="00D869E3">
        <w:rPr>
          <w:rFonts w:ascii="Verdana" w:hAnsi="Verdana"/>
          <w:sz w:val="20"/>
          <w:szCs w:val="20"/>
          <w:lang w:val="en-US"/>
        </w:rPr>
        <w:t xml:space="preserve"> used when delivering its </w:t>
      </w:r>
      <w:r w:rsidR="00FE7426" w:rsidRPr="00D869E3">
        <w:rPr>
          <w:rFonts w:ascii="Verdana" w:hAnsi="Verdana"/>
          <w:sz w:val="20"/>
          <w:szCs w:val="20"/>
          <w:lang w:val="en-US"/>
        </w:rPr>
        <w:lastRenderedPageBreak/>
        <w:t>judgment.</w:t>
      </w:r>
      <w:r w:rsidR="00F83E8F" w:rsidRPr="00D869E3">
        <w:rPr>
          <w:rFonts w:ascii="Verdana" w:hAnsi="Verdana"/>
          <w:sz w:val="20"/>
          <w:szCs w:val="20"/>
          <w:lang w:val="en-US"/>
        </w:rPr>
        <w:t xml:space="preserve"> </w:t>
      </w:r>
      <w:r w:rsidR="00FE7426" w:rsidRPr="00D869E3">
        <w:rPr>
          <w:rFonts w:ascii="Verdana" w:hAnsi="Verdana"/>
          <w:sz w:val="20"/>
          <w:szCs w:val="20"/>
          <w:lang w:val="en-US"/>
        </w:rPr>
        <w:t xml:space="preserve">This is because, </w:t>
      </w:r>
      <w:r w:rsidR="00701B94" w:rsidRPr="00D869E3">
        <w:rPr>
          <w:rFonts w:ascii="Verdana" w:hAnsi="Verdana"/>
          <w:sz w:val="20"/>
          <w:szCs w:val="20"/>
          <w:lang w:val="en-US"/>
        </w:rPr>
        <w:t>in that opinion</w:t>
      </w:r>
      <w:r w:rsidR="00FE7426" w:rsidRPr="00D869E3">
        <w:rPr>
          <w:rFonts w:ascii="Verdana" w:hAnsi="Verdana"/>
          <w:sz w:val="20"/>
          <w:szCs w:val="20"/>
          <w:lang w:val="en-US"/>
        </w:rPr>
        <w:t xml:space="preserve">,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00FE7426" w:rsidRPr="00D869E3">
        <w:rPr>
          <w:rFonts w:ascii="Verdana" w:hAnsi="Verdana"/>
          <w:sz w:val="20"/>
          <w:szCs w:val="20"/>
          <w:lang w:val="en-US"/>
        </w:rPr>
        <w:t>ed that</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F83E8F" w:rsidRPr="00D869E3">
        <w:rPr>
          <w:rFonts w:ascii="Verdana" w:hAnsi="Verdana"/>
          <w:sz w:val="20"/>
          <w:szCs w:val="20"/>
          <w:lang w:val="en-US"/>
        </w:rPr>
        <w:t>[</w:t>
      </w:r>
      <w:r w:rsidR="00FE7426" w:rsidRPr="00D869E3">
        <w:rPr>
          <w:rFonts w:ascii="Verdana" w:hAnsi="Verdana"/>
          <w:sz w:val="20"/>
          <w:szCs w:val="20"/>
          <w:lang w:val="en-US"/>
        </w:rPr>
        <w:t>t</w:t>
      </w:r>
      <w:r w:rsidR="00F83E8F" w:rsidRPr="00D869E3">
        <w:rPr>
          <w:rFonts w:ascii="Verdana" w:hAnsi="Verdana"/>
          <w:sz w:val="20"/>
          <w:szCs w:val="20"/>
          <w:lang w:val="en-US"/>
        </w:rPr>
        <w:t>]</w:t>
      </w:r>
      <w:r w:rsidR="00FE7426" w:rsidRPr="00D869E3">
        <w:rPr>
          <w:rFonts w:ascii="Verdana" w:hAnsi="Verdana"/>
          <w:sz w:val="20"/>
          <w:szCs w:val="20"/>
          <w:lang w:val="en-US"/>
        </w:rPr>
        <w:t xml:space="preserve">he Member States have understood that the Declaration contains and defines those essential </w:t>
      </w:r>
      <w:r w:rsidR="00B443B4" w:rsidRPr="00D869E3">
        <w:rPr>
          <w:rFonts w:ascii="Verdana" w:eastAsiaTheme="minorHAnsi" w:hAnsi="Verdana" w:cs="Verdana"/>
          <w:sz w:val="20"/>
          <w:szCs w:val="20"/>
          <w:lang w:val="en-US"/>
        </w:rPr>
        <w:t>human rights</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 xml:space="preserve">referred to in the Charter </w:t>
      </w:r>
      <w:r w:rsidR="00F83E8F" w:rsidRPr="00D869E3">
        <w:rPr>
          <w:rFonts w:ascii="Verdana" w:eastAsiaTheme="minorHAnsi" w:hAnsi="Verdana" w:cs="Verdana"/>
          <w:sz w:val="20"/>
          <w:szCs w:val="20"/>
          <w:lang w:val="en-US"/>
        </w:rPr>
        <w:t>[…]</w:t>
      </w:r>
      <w:r w:rsidR="00FE7426" w:rsidRPr="00D869E3">
        <w:rPr>
          <w:rFonts w:ascii="Verdana" w:eastAsiaTheme="minorHAnsi" w:hAnsi="Verdana" w:cs="Verdana"/>
          <w:sz w:val="20"/>
          <w:szCs w:val="20"/>
          <w:lang w:val="en-US"/>
        </w:rPr>
        <w:t>.</w:t>
      </w:r>
      <w:r w:rsidR="006436CA" w:rsidRPr="00D869E3">
        <w:rPr>
          <w:rFonts w:ascii="Verdana" w:eastAsiaTheme="minorHAnsi" w:hAnsi="Verdana" w:cs="Verdana"/>
          <w:sz w:val="20"/>
          <w:szCs w:val="20"/>
          <w:lang w:val="en-US"/>
        </w:rPr>
        <w:t>”</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Thus</w:t>
      </w:r>
      <w:r w:rsidR="00F83E8F" w:rsidRPr="00D869E3">
        <w:rPr>
          <w:rFonts w:ascii="Verdana" w:eastAsiaTheme="minorHAnsi" w:hAnsi="Verdana" w:cs="Verdana"/>
          <w:sz w:val="20"/>
          <w:szCs w:val="20"/>
          <w:lang w:val="en-US"/>
        </w:rPr>
        <w:t xml:space="preserve">, </w:t>
      </w:r>
      <w:r w:rsidR="00671B14" w:rsidRPr="00D869E3">
        <w:rPr>
          <w:rFonts w:ascii="Verdana" w:eastAsiaTheme="minorHAnsi" w:hAnsi="Verdana" w:cs="Verdana"/>
          <w:sz w:val="20"/>
          <w:szCs w:val="20"/>
          <w:lang w:val="en-US"/>
        </w:rPr>
        <w:t>the Inter-American Court</w:t>
      </w:r>
      <w:r w:rsidR="00F83E8F" w:rsidRPr="00D869E3">
        <w:rPr>
          <w:rFonts w:ascii="Verdana" w:eastAsiaTheme="minorHAnsi" w:hAnsi="Verdana" w:cs="Verdana"/>
          <w:sz w:val="20"/>
          <w:szCs w:val="20"/>
          <w:lang w:val="en-US"/>
        </w:rPr>
        <w:t xml:space="preserve"> observ</w:t>
      </w:r>
      <w:r w:rsidR="00FE7426" w:rsidRPr="00D869E3">
        <w:rPr>
          <w:rFonts w:ascii="Verdana" w:eastAsiaTheme="minorHAnsi" w:hAnsi="Verdana" w:cs="Verdana"/>
          <w:sz w:val="20"/>
          <w:szCs w:val="20"/>
          <w:lang w:val="en-US"/>
        </w:rPr>
        <w:t xml:space="preserve">ed that </w:t>
      </w:r>
      <w:r w:rsidR="000B2E5E" w:rsidRPr="00D869E3">
        <w:rPr>
          <w:rFonts w:ascii="Verdana" w:eastAsiaTheme="minorHAnsi" w:hAnsi="Verdana" w:cs="Verdana"/>
          <w:sz w:val="20"/>
          <w:szCs w:val="20"/>
          <w:lang w:val="en-US"/>
        </w:rPr>
        <w:t xml:space="preserve">the </w:t>
      </w:r>
      <w:r w:rsidR="00301DBE" w:rsidRPr="00D869E3">
        <w:rPr>
          <w:rFonts w:ascii="Verdana" w:eastAsiaTheme="minorHAnsi" w:hAnsi="Verdana" w:cs="Verdana"/>
          <w:sz w:val="20"/>
          <w:szCs w:val="20"/>
          <w:lang w:val="en-US"/>
        </w:rPr>
        <w:t>right to work</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is found in</w:t>
      </w:r>
      <w:r w:rsidR="00F83E8F" w:rsidRPr="00D869E3">
        <w:rPr>
          <w:rFonts w:ascii="Verdana" w:eastAsiaTheme="minorHAnsi" w:hAnsi="Verdana" w:cs="Verdana"/>
          <w:sz w:val="20"/>
          <w:szCs w:val="20"/>
          <w:lang w:val="en-US"/>
        </w:rPr>
        <w:t xml:space="preserve"> </w:t>
      </w:r>
      <w:r w:rsidR="00447C65" w:rsidRPr="00D869E3">
        <w:rPr>
          <w:rFonts w:ascii="Verdana" w:eastAsiaTheme="minorHAnsi" w:hAnsi="Verdana" w:cs="Verdana"/>
          <w:sz w:val="20"/>
          <w:szCs w:val="20"/>
          <w:lang w:val="en-US"/>
        </w:rPr>
        <w:t>Article</w:t>
      </w:r>
      <w:r w:rsidR="00F83E8F" w:rsidRPr="00D869E3">
        <w:rPr>
          <w:rFonts w:ascii="Verdana" w:eastAsiaTheme="minorHAnsi" w:hAnsi="Verdana" w:cs="Verdana"/>
          <w:sz w:val="20"/>
          <w:szCs w:val="20"/>
          <w:lang w:val="en-US"/>
        </w:rPr>
        <w:t xml:space="preserve"> XIV</w:t>
      </w:r>
      <w:r w:rsidR="00FE7426" w:rsidRPr="00D869E3">
        <w:rPr>
          <w:rFonts w:ascii="Verdana" w:eastAsiaTheme="minorHAnsi" w:hAnsi="Verdana" w:cs="Verdana"/>
          <w:sz w:val="20"/>
          <w:szCs w:val="20"/>
          <w:lang w:val="en-US"/>
        </w:rPr>
        <w:t xml:space="preserve"> of the American Declaration.</w:t>
      </w:r>
      <w:r w:rsidR="00F83E8F" w:rsidRPr="00D869E3">
        <w:rPr>
          <w:rStyle w:val="Refdenotaalpie"/>
          <w:rFonts w:eastAsiaTheme="minorHAnsi" w:cs="Verdana"/>
          <w:szCs w:val="20"/>
          <w:lang w:val="en-US"/>
        </w:rPr>
        <w:footnoteReference w:id="313"/>
      </w:r>
      <w:r w:rsidR="00FE7426" w:rsidRPr="00D869E3">
        <w:rPr>
          <w:rFonts w:ascii="Verdana" w:eastAsiaTheme="minorHAnsi" w:hAnsi="Verdana" w:cs="Verdana"/>
          <w:sz w:val="20"/>
          <w:szCs w:val="20"/>
          <w:lang w:val="en-US"/>
        </w:rPr>
        <w:t xml:space="preserve"> The third relevant aspect consists in the national and international </w:t>
      </w:r>
      <w:r w:rsidR="00F83E8F" w:rsidRPr="00D869E3">
        <w:rPr>
          <w:rFonts w:ascii="Verdana" w:eastAsiaTheme="minorHAnsi" w:hAnsi="Verdana" w:cs="Verdana"/>
          <w:i/>
          <w:sz w:val="20"/>
          <w:szCs w:val="20"/>
          <w:lang w:val="en-US"/>
        </w:rPr>
        <w:t>corpus iuris</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 xml:space="preserve">that protects </w:t>
      </w:r>
      <w:r w:rsidR="000B2E5E" w:rsidRPr="00D869E3">
        <w:rPr>
          <w:rFonts w:ascii="Verdana" w:eastAsiaTheme="minorHAnsi" w:hAnsi="Verdana" w:cs="Verdana"/>
          <w:sz w:val="20"/>
          <w:szCs w:val="20"/>
          <w:lang w:val="en-US"/>
        </w:rPr>
        <w:t xml:space="preserve">the </w:t>
      </w:r>
      <w:r w:rsidR="00301DBE" w:rsidRPr="00D869E3">
        <w:rPr>
          <w:rFonts w:ascii="Verdana" w:eastAsiaTheme="minorHAnsi" w:hAnsi="Verdana" w:cs="Verdana"/>
          <w:sz w:val="20"/>
          <w:szCs w:val="20"/>
          <w:lang w:val="en-US"/>
        </w:rPr>
        <w:t>right to work</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as an autonomous right,</w:t>
      </w:r>
      <w:r w:rsidR="00F83E8F" w:rsidRPr="00D869E3">
        <w:rPr>
          <w:rStyle w:val="Refdenotaalpie"/>
          <w:rFonts w:eastAsiaTheme="minorHAnsi" w:cs="Verdana"/>
          <w:szCs w:val="20"/>
          <w:lang w:val="en-US"/>
        </w:rPr>
        <w:footnoteReference w:id="314"/>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and</w:t>
      </w:r>
      <w:r w:rsidR="00F83E8F" w:rsidRPr="00D869E3">
        <w:rPr>
          <w:rFonts w:ascii="Verdana" w:eastAsiaTheme="minorHAnsi" w:hAnsi="Verdana" w:cs="Verdana"/>
          <w:sz w:val="20"/>
          <w:szCs w:val="20"/>
          <w:lang w:val="en-US"/>
        </w:rPr>
        <w:t xml:space="preserve"> </w:t>
      </w:r>
      <w:r w:rsidR="00671B14" w:rsidRPr="00D869E3">
        <w:rPr>
          <w:rFonts w:ascii="Verdana" w:eastAsiaTheme="minorHAnsi" w:hAnsi="Verdana" w:cs="Verdana"/>
          <w:sz w:val="20"/>
          <w:szCs w:val="20"/>
          <w:lang w:val="en-US"/>
        </w:rPr>
        <w:t>the Inter-American Court</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 xml:space="preserve">took this into consideration when taking its decision in the instant case. Lastly, the fourth relevant aspect refers to the development of </w:t>
      </w:r>
      <w:r w:rsidR="00A157F5" w:rsidRPr="00D869E3">
        <w:rPr>
          <w:rFonts w:ascii="Verdana" w:eastAsiaTheme="minorHAnsi" w:hAnsi="Verdana" w:cs="Verdana"/>
          <w:sz w:val="20"/>
          <w:szCs w:val="20"/>
          <w:lang w:val="en-US"/>
        </w:rPr>
        <w:t xml:space="preserve">the </w:t>
      </w:r>
      <w:r w:rsidR="000B2E5E" w:rsidRPr="00D869E3">
        <w:rPr>
          <w:rFonts w:ascii="Verdana" w:eastAsiaTheme="minorHAnsi" w:hAnsi="Verdana" w:cs="Verdana"/>
          <w:sz w:val="20"/>
          <w:szCs w:val="20"/>
          <w:lang w:val="en-US"/>
        </w:rPr>
        <w:t xml:space="preserve">right </w:t>
      </w:r>
      <w:r w:rsidR="002C5EA9" w:rsidRPr="00D869E3">
        <w:rPr>
          <w:rFonts w:ascii="Verdana" w:eastAsiaTheme="minorHAnsi" w:hAnsi="Verdana" w:cs="Verdana"/>
          <w:sz w:val="20"/>
          <w:szCs w:val="20"/>
          <w:lang w:val="en-US"/>
        </w:rPr>
        <w:t>to job security</w:t>
      </w:r>
      <w:r w:rsidR="00F83E8F" w:rsidRPr="00D869E3">
        <w:rPr>
          <w:rFonts w:ascii="Verdana" w:eastAsiaTheme="minorHAnsi" w:hAnsi="Verdana" w:cs="Verdana"/>
          <w:sz w:val="20"/>
          <w:szCs w:val="20"/>
          <w:lang w:val="en-US"/>
        </w:rPr>
        <w:t xml:space="preserve"> </w:t>
      </w:r>
      <w:r w:rsidR="00FE7426" w:rsidRPr="00D869E3">
        <w:rPr>
          <w:rFonts w:ascii="Verdana" w:eastAsiaTheme="minorHAnsi" w:hAnsi="Verdana" w:cs="Verdana"/>
          <w:sz w:val="20"/>
          <w:szCs w:val="20"/>
          <w:lang w:val="en-US"/>
        </w:rPr>
        <w:t xml:space="preserve">under the laws of Peru, in the Constitutions </w:t>
      </w:r>
      <w:r w:rsidR="00F83E8F" w:rsidRPr="00D869E3">
        <w:rPr>
          <w:rFonts w:ascii="Verdana" w:eastAsiaTheme="minorHAnsi" w:hAnsi="Verdana" w:cs="Verdana"/>
          <w:sz w:val="20"/>
          <w:szCs w:val="20"/>
          <w:lang w:val="en-US"/>
        </w:rPr>
        <w:t>(</w:t>
      </w:r>
      <w:r w:rsidR="00FE7426" w:rsidRPr="00D869E3">
        <w:rPr>
          <w:rFonts w:ascii="Verdana" w:eastAsiaTheme="minorHAnsi" w:hAnsi="Verdana" w:cs="Verdana"/>
          <w:sz w:val="20"/>
          <w:szCs w:val="20"/>
          <w:lang w:val="en-US"/>
        </w:rPr>
        <w:t>of</w:t>
      </w:r>
      <w:r w:rsidR="00F83E8F" w:rsidRPr="00D869E3">
        <w:rPr>
          <w:rFonts w:ascii="Verdana" w:eastAsiaTheme="minorHAnsi" w:hAnsi="Verdana" w:cs="Verdana"/>
          <w:sz w:val="20"/>
          <w:szCs w:val="20"/>
          <w:lang w:val="en-US"/>
        </w:rPr>
        <w:t xml:space="preserve"> 1979</w:t>
      </w:r>
      <w:r w:rsidR="00687684" w:rsidRPr="00D869E3">
        <w:rPr>
          <w:rFonts w:ascii="Verdana" w:eastAsiaTheme="minorHAnsi" w:hAnsi="Verdana" w:cs="Verdana"/>
          <w:sz w:val="20"/>
          <w:szCs w:val="20"/>
          <w:lang w:val="en-US"/>
        </w:rPr>
        <w:t xml:space="preserve"> and </w:t>
      </w:r>
      <w:r w:rsidR="00F83E8F" w:rsidRPr="00D869E3">
        <w:rPr>
          <w:rFonts w:ascii="Verdana" w:eastAsiaTheme="minorHAnsi" w:hAnsi="Verdana" w:cs="Verdana"/>
          <w:sz w:val="20"/>
          <w:szCs w:val="20"/>
          <w:lang w:val="en-US"/>
        </w:rPr>
        <w:t>1993)</w:t>
      </w:r>
      <w:r w:rsidR="00687684" w:rsidRPr="00D869E3">
        <w:rPr>
          <w:rFonts w:ascii="Verdana" w:eastAsiaTheme="minorHAnsi" w:hAnsi="Verdana" w:cs="Verdana"/>
          <w:sz w:val="20"/>
          <w:szCs w:val="20"/>
          <w:lang w:val="en-US"/>
        </w:rPr>
        <w:t xml:space="preserve"> and </w:t>
      </w:r>
      <w:r w:rsidR="00FE7426" w:rsidRPr="00D869E3">
        <w:rPr>
          <w:rFonts w:ascii="Verdana" w:eastAsiaTheme="minorHAnsi" w:hAnsi="Verdana" w:cs="Verdana"/>
          <w:sz w:val="20"/>
          <w:szCs w:val="20"/>
          <w:lang w:val="en-US"/>
        </w:rPr>
        <w:t>the labor legislation.</w:t>
      </w:r>
      <w:r w:rsidR="00F83E8F" w:rsidRPr="00D869E3">
        <w:rPr>
          <w:rStyle w:val="Refdenotaalpie"/>
          <w:rFonts w:eastAsiaTheme="minorHAnsi" w:cs="Verdana"/>
          <w:szCs w:val="20"/>
          <w:lang w:val="en-US"/>
        </w:rPr>
        <w:footnoteReference w:id="315"/>
      </w:r>
      <w:r w:rsidR="00F83E8F" w:rsidRPr="00D869E3">
        <w:rPr>
          <w:rFonts w:ascii="Verdana" w:eastAsiaTheme="minorHAnsi" w:hAnsi="Verdana" w:cs="Verdana"/>
          <w:sz w:val="20"/>
          <w:szCs w:val="20"/>
          <w:lang w:val="en-US"/>
        </w:rPr>
        <w:t xml:space="preserve">  </w:t>
      </w:r>
    </w:p>
    <w:p w14:paraId="12E2FF05"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728AE6F" w14:textId="55E86C46" w:rsidR="00FE7426" w:rsidRPr="00D869E3" w:rsidRDefault="00FE7426"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eastAsiaTheme="minorHAnsi" w:hAnsi="Verdana" w:cs="Verdana"/>
          <w:sz w:val="20"/>
          <w:szCs w:val="20"/>
          <w:lang w:val="en-US"/>
        </w:rPr>
        <w:t>In addition</w:t>
      </w:r>
      <w:r w:rsidR="00F83E8F" w:rsidRPr="00D869E3">
        <w:rPr>
          <w:rFonts w:ascii="Verdana" w:eastAsiaTheme="minorHAnsi" w:hAnsi="Verdana" w:cs="Verdana"/>
          <w:sz w:val="20"/>
          <w:szCs w:val="20"/>
          <w:lang w:val="en-US"/>
        </w:rPr>
        <w:t>,</w:t>
      </w:r>
      <w:r w:rsidRPr="00D869E3">
        <w:rPr>
          <w:rFonts w:ascii="Verdana" w:eastAsiaTheme="minorHAnsi" w:hAnsi="Verdana" w:cs="Verdana"/>
          <w:sz w:val="20"/>
          <w:szCs w:val="20"/>
          <w:lang w:val="en-US"/>
        </w:rPr>
        <w:t xml:space="preserve"> in the judgment,</w:t>
      </w:r>
      <w:r w:rsidR="00F83E8F" w:rsidRPr="00D869E3">
        <w:rPr>
          <w:rFonts w:ascii="Verdana" w:eastAsiaTheme="minorHAnsi" w:hAnsi="Verdana" w:cs="Verdana"/>
          <w:sz w:val="20"/>
          <w:szCs w:val="20"/>
          <w:lang w:val="en-US"/>
        </w:rPr>
        <w:t xml:space="preserve"> </w:t>
      </w:r>
      <w:r w:rsidR="00185A57" w:rsidRPr="00D869E3">
        <w:rPr>
          <w:rFonts w:ascii="Verdana" w:eastAsiaTheme="minorHAnsi" w:hAnsi="Verdana" w:cs="Verdana"/>
          <w:sz w:val="20"/>
          <w:szCs w:val="20"/>
          <w:lang w:val="en-US"/>
        </w:rPr>
        <w:t>the Inter-American Court</w:t>
      </w:r>
      <w:r w:rsidR="00F83E8F" w:rsidRPr="00D869E3">
        <w:rPr>
          <w:rFonts w:ascii="Verdana" w:eastAsiaTheme="minorHAnsi" w:hAnsi="Verdana" w:cs="Verdana"/>
          <w:sz w:val="20"/>
          <w:szCs w:val="20"/>
          <w:lang w:val="en-US"/>
        </w:rPr>
        <w:t xml:space="preserve"> u</w:t>
      </w:r>
      <w:r w:rsidRPr="00D869E3">
        <w:rPr>
          <w:rFonts w:ascii="Verdana" w:eastAsiaTheme="minorHAnsi" w:hAnsi="Verdana" w:cs="Verdana"/>
          <w:sz w:val="20"/>
          <w:szCs w:val="20"/>
          <w:lang w:val="en-US"/>
        </w:rPr>
        <w:t xml:space="preserve">sed three of the paragraphs of </w:t>
      </w:r>
      <w:r w:rsidR="00687684" w:rsidRPr="00D869E3">
        <w:rPr>
          <w:rFonts w:ascii="Verdana" w:eastAsiaTheme="minorHAnsi" w:hAnsi="Verdana" w:cs="Verdana"/>
          <w:sz w:val="20"/>
          <w:szCs w:val="20"/>
          <w:lang w:val="en-US"/>
        </w:rPr>
        <w:t>Article</w:t>
      </w:r>
      <w:r w:rsidR="00F83E8F" w:rsidRPr="00D869E3">
        <w:rPr>
          <w:rFonts w:ascii="Verdana" w:eastAsiaTheme="minorHAnsi" w:hAnsi="Verdana" w:cs="Verdana"/>
          <w:sz w:val="20"/>
          <w:szCs w:val="20"/>
          <w:lang w:val="en-US"/>
        </w:rPr>
        <w:t xml:space="preserve"> 29 (b, c</w:t>
      </w:r>
      <w:r w:rsidR="00687684" w:rsidRPr="00D869E3">
        <w:rPr>
          <w:rFonts w:ascii="Verdana" w:eastAsiaTheme="minorHAnsi" w:hAnsi="Verdana" w:cs="Verdana"/>
          <w:sz w:val="20"/>
          <w:szCs w:val="20"/>
          <w:lang w:val="en-US"/>
        </w:rPr>
        <w:t xml:space="preserve"> and </w:t>
      </w:r>
      <w:r w:rsidR="00F83E8F" w:rsidRPr="00D869E3">
        <w:rPr>
          <w:rFonts w:ascii="Verdana" w:eastAsiaTheme="minorHAnsi" w:hAnsi="Verdana" w:cs="Verdana"/>
          <w:sz w:val="20"/>
          <w:szCs w:val="20"/>
          <w:lang w:val="en-US"/>
        </w:rPr>
        <w:t>d)</w:t>
      </w:r>
      <w:r w:rsidR="00447C65" w:rsidRPr="00D869E3">
        <w:rPr>
          <w:rFonts w:ascii="Verdana" w:eastAsiaTheme="minorHAnsi" w:hAnsi="Verdana" w:cs="Verdana"/>
          <w:sz w:val="20"/>
          <w:szCs w:val="20"/>
          <w:lang w:val="en-US"/>
        </w:rPr>
        <w:t xml:space="preserve"> of the American Convention</w:t>
      </w:r>
      <w:r w:rsidRPr="00D869E3">
        <w:rPr>
          <w:rFonts w:ascii="Verdana" w:eastAsiaTheme="minorHAnsi" w:hAnsi="Verdana" w:cs="Verdana"/>
          <w:sz w:val="20"/>
          <w:szCs w:val="20"/>
          <w:lang w:val="en-US"/>
        </w:rPr>
        <w:t>.</w:t>
      </w:r>
      <w:r w:rsidR="00F83E8F" w:rsidRPr="00D869E3">
        <w:rPr>
          <w:rStyle w:val="Refdenotaalpie"/>
          <w:rFonts w:eastAsiaTheme="minorHAnsi" w:cs="Verdana"/>
          <w:szCs w:val="20"/>
          <w:lang w:val="en-US"/>
        </w:rPr>
        <w:footnoteReference w:id="316"/>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 xml:space="preserve">In other words, </w:t>
      </w:r>
      <w:r w:rsidR="00671B14" w:rsidRPr="00D869E3">
        <w:rPr>
          <w:rFonts w:ascii="Verdana" w:eastAsiaTheme="minorHAnsi" w:hAnsi="Verdana" w:cs="Verdana"/>
          <w:sz w:val="20"/>
          <w:szCs w:val="20"/>
          <w:lang w:val="en-US"/>
        </w:rPr>
        <w:t>the Inter-American Court</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granted a broader protection derived from the recognition</w:t>
      </w:r>
      <w:r w:rsidR="00A157F5" w:rsidRPr="00D869E3">
        <w:rPr>
          <w:rFonts w:ascii="Verdana" w:eastAsiaTheme="minorHAnsi" w:hAnsi="Verdana" w:cs="Verdana"/>
          <w:sz w:val="20"/>
          <w:szCs w:val="20"/>
          <w:lang w:val="en-US"/>
        </w:rPr>
        <w:t xml:space="preserve"> of the </w:t>
      </w:r>
      <w:r w:rsidR="00301DBE" w:rsidRPr="00D869E3">
        <w:rPr>
          <w:rFonts w:ascii="Verdana" w:eastAsiaTheme="minorHAnsi" w:hAnsi="Verdana" w:cs="Verdana"/>
          <w:sz w:val="20"/>
          <w:szCs w:val="20"/>
          <w:lang w:val="en-US"/>
        </w:rPr>
        <w:t>right to work</w:t>
      </w:r>
      <w:r w:rsidRPr="00D869E3">
        <w:rPr>
          <w:rFonts w:ascii="Verdana" w:eastAsiaTheme="minorHAnsi" w:hAnsi="Verdana" w:cs="Verdana"/>
          <w:sz w:val="20"/>
          <w:szCs w:val="20"/>
          <w:lang w:val="en-US"/>
        </w:rPr>
        <w:t xml:space="preserve"> in both the law and the Constitution of Peru, as well as the rights recognized in any treaty to which the State was a party, and the effects produce by the American Declaration</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o</w:t>
      </w:r>
      <w:r w:rsidR="00701B94" w:rsidRPr="00D869E3">
        <w:rPr>
          <w:rFonts w:ascii="Verdana" w:eastAsiaTheme="minorHAnsi" w:hAnsi="Verdana" w:cs="Verdana"/>
          <w:sz w:val="20"/>
          <w:szCs w:val="20"/>
          <w:lang w:val="en-US"/>
        </w:rPr>
        <w:t>f</w:t>
      </w:r>
      <w:r w:rsidRPr="00D869E3">
        <w:rPr>
          <w:rFonts w:ascii="Verdana" w:eastAsiaTheme="minorHAnsi" w:hAnsi="Verdana" w:cs="Verdana"/>
          <w:sz w:val="20"/>
          <w:szCs w:val="20"/>
          <w:lang w:val="en-US"/>
        </w:rPr>
        <w:t xml:space="preserve"> the Rights and Duties of Man</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 xml:space="preserve">In this case, their effect was to delimit the rights that were expressed in the provisions </w:t>
      </w:r>
      <w:r w:rsidR="00197983" w:rsidRPr="00D869E3">
        <w:rPr>
          <w:rFonts w:ascii="Verdana" w:eastAsiaTheme="minorHAnsi" w:hAnsi="Verdana" w:cs="Verdana"/>
          <w:sz w:val="20"/>
          <w:szCs w:val="20"/>
          <w:lang w:val="en-US"/>
        </w:rPr>
        <w:t>of the OAS Charter</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 xml:space="preserve">It should be stressed that the said three paragraphs do not have, </w:t>
      </w:r>
      <w:r w:rsidR="00F83E8F" w:rsidRPr="00D869E3">
        <w:rPr>
          <w:rFonts w:ascii="Verdana" w:eastAsiaTheme="minorHAnsi" w:hAnsi="Verdana" w:cs="Verdana"/>
          <w:i/>
          <w:sz w:val="20"/>
          <w:szCs w:val="20"/>
          <w:lang w:val="en-US"/>
        </w:rPr>
        <w:t xml:space="preserve">prima facie, </w:t>
      </w:r>
      <w:r w:rsidRPr="00D869E3">
        <w:rPr>
          <w:rFonts w:ascii="Verdana" w:eastAsiaTheme="minorHAnsi" w:hAnsi="Verdana" w:cs="Verdana"/>
          <w:iCs/>
          <w:sz w:val="20"/>
          <w:szCs w:val="20"/>
          <w:lang w:val="en-US"/>
        </w:rPr>
        <w:t>to be concurrent</w:t>
      </w:r>
      <w:r w:rsidRPr="00D869E3">
        <w:rPr>
          <w:rFonts w:ascii="Verdana" w:eastAsiaTheme="minorHAnsi" w:hAnsi="Verdana" w:cs="Verdana"/>
          <w:i/>
          <w:sz w:val="20"/>
          <w:szCs w:val="20"/>
          <w:lang w:val="en-US"/>
        </w:rPr>
        <w:t xml:space="preserve"> </w:t>
      </w:r>
      <w:r w:rsidRPr="00D869E3">
        <w:rPr>
          <w:rFonts w:ascii="Verdana" w:eastAsiaTheme="minorHAnsi" w:hAnsi="Verdana" w:cs="Verdana"/>
          <w:sz w:val="20"/>
          <w:szCs w:val="20"/>
          <w:lang w:val="en-US"/>
        </w:rPr>
        <w:t>to makes</w:t>
      </w:r>
      <w:r w:rsidR="00CC60D4" w:rsidRPr="00D869E3">
        <w:rPr>
          <w:rFonts w:ascii="Verdana" w:eastAsiaTheme="minorHAnsi" w:hAnsi="Verdana" w:cs="Verdana"/>
          <w:sz w:val="20"/>
          <w:szCs w:val="20"/>
          <w:lang w:val="en-US"/>
        </w:rPr>
        <w:t xml:space="preserve"> the social</w:t>
      </w:r>
      <w:r w:rsidRPr="00D869E3">
        <w:rPr>
          <w:rFonts w:ascii="Verdana" w:eastAsiaTheme="minorHAnsi" w:hAnsi="Verdana" w:cs="Verdana"/>
          <w:sz w:val="20"/>
          <w:szCs w:val="20"/>
          <w:lang w:val="en-US"/>
        </w:rPr>
        <w:t xml:space="preserve"> rights justiciable. In other words, perhaps the right is not expressly recognized in domestic law, but it is to be found in an international treaty to which the State is a party. Or, inversely, perhaps the right is not expressly contemplated in the international treaties to which the State is a party, but it is established in domestic law.</w:t>
      </w:r>
    </w:p>
    <w:p w14:paraId="1C0DEFF4"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DBB1445" w14:textId="01352E33" w:rsidR="00F83E8F" w:rsidRPr="00D869E3" w:rsidRDefault="00FE7426"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eastAsiaTheme="minorHAnsi" w:hAnsi="Verdana" w:cs="Verdana"/>
          <w:sz w:val="20"/>
          <w:szCs w:val="20"/>
          <w:lang w:val="en-US"/>
        </w:rPr>
        <w:t>Furthermore, it is necessary to take into consideration the effects of the American Declaration</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o</w:t>
      </w:r>
      <w:r w:rsidR="00701B94" w:rsidRPr="00D869E3">
        <w:rPr>
          <w:rFonts w:ascii="Verdana" w:eastAsiaTheme="minorHAnsi" w:hAnsi="Verdana" w:cs="Verdana"/>
          <w:sz w:val="20"/>
          <w:szCs w:val="20"/>
          <w:lang w:val="en-US"/>
        </w:rPr>
        <w:t>f</w:t>
      </w:r>
      <w:r w:rsidRPr="00D869E3">
        <w:rPr>
          <w:rFonts w:ascii="Verdana" w:eastAsiaTheme="minorHAnsi" w:hAnsi="Verdana" w:cs="Verdana"/>
          <w:sz w:val="20"/>
          <w:szCs w:val="20"/>
          <w:lang w:val="en-US"/>
        </w:rPr>
        <w:t xml:space="preserve"> the Rights and Duties of Man</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 xml:space="preserve">by the derivation of rights via </w:t>
      </w:r>
      <w:r w:rsidR="00447C65" w:rsidRPr="00D869E3">
        <w:rPr>
          <w:rFonts w:ascii="Verdana" w:eastAsiaTheme="minorHAnsi" w:hAnsi="Verdana" w:cs="Verdana"/>
          <w:sz w:val="20"/>
          <w:szCs w:val="20"/>
          <w:lang w:val="en-US"/>
        </w:rPr>
        <w:t>Article</w:t>
      </w:r>
      <w:r w:rsidR="00F83E8F" w:rsidRPr="00D869E3">
        <w:rPr>
          <w:rFonts w:ascii="Verdana" w:eastAsiaTheme="minorHAnsi" w:hAnsi="Verdana" w:cs="Verdana"/>
          <w:sz w:val="20"/>
          <w:szCs w:val="20"/>
          <w:lang w:val="en-US"/>
        </w:rPr>
        <w:t xml:space="preserve"> 26, </w:t>
      </w:r>
      <w:r w:rsidRPr="00D869E3">
        <w:rPr>
          <w:rFonts w:ascii="Verdana" w:eastAsiaTheme="minorHAnsi" w:hAnsi="Verdana" w:cs="Verdana"/>
          <w:sz w:val="20"/>
          <w:szCs w:val="20"/>
          <w:lang w:val="en-US"/>
        </w:rPr>
        <w:t xml:space="preserve">which delimits more clearly the list of rights </w:t>
      </w:r>
      <w:r w:rsidR="00CC60D4" w:rsidRPr="00D869E3">
        <w:rPr>
          <w:rFonts w:ascii="Verdana" w:eastAsiaTheme="minorHAnsi" w:hAnsi="Verdana" w:cs="Verdana"/>
          <w:sz w:val="20"/>
          <w:szCs w:val="20"/>
          <w:lang w:val="en-US"/>
        </w:rPr>
        <w:t xml:space="preserve">that </w:t>
      </w:r>
      <w:r w:rsidRPr="00D869E3">
        <w:rPr>
          <w:rFonts w:ascii="Verdana" w:eastAsiaTheme="minorHAnsi" w:hAnsi="Verdana" w:cs="Verdana"/>
          <w:sz w:val="20"/>
          <w:szCs w:val="20"/>
          <w:lang w:val="en-US"/>
        </w:rPr>
        <w:t xml:space="preserve">are contained in </w:t>
      </w:r>
      <w:r w:rsidR="00197983" w:rsidRPr="00D869E3">
        <w:rPr>
          <w:rFonts w:ascii="Verdana" w:eastAsiaTheme="minorHAnsi" w:hAnsi="Verdana" w:cs="Verdana"/>
          <w:sz w:val="20"/>
          <w:szCs w:val="20"/>
          <w:lang w:val="en-US"/>
        </w:rPr>
        <w:t>the OAS Charter</w:t>
      </w:r>
      <w:r w:rsidR="00F83E8F" w:rsidRPr="00D869E3">
        <w:rPr>
          <w:rFonts w:ascii="Verdana" w:eastAsiaTheme="minorHAnsi" w:hAnsi="Verdana" w:cs="Verdana"/>
          <w:sz w:val="20"/>
          <w:szCs w:val="20"/>
          <w:lang w:val="en-US"/>
        </w:rPr>
        <w:t xml:space="preserve">. </w:t>
      </w:r>
      <w:r w:rsidRPr="00D869E3">
        <w:rPr>
          <w:rFonts w:ascii="Verdana" w:eastAsiaTheme="minorHAnsi" w:hAnsi="Verdana" w:cs="Verdana"/>
          <w:sz w:val="20"/>
          <w:szCs w:val="20"/>
          <w:lang w:val="en-US"/>
        </w:rPr>
        <w:t xml:space="preserve">Thus, depending on the case and the right analyzed, the Inter-America Court must verify the </w:t>
      </w:r>
      <w:r w:rsidR="00CC60D4" w:rsidRPr="00D869E3">
        <w:rPr>
          <w:rFonts w:ascii="Verdana" w:eastAsiaTheme="minorHAnsi" w:hAnsi="Verdana" w:cs="Verdana"/>
          <w:sz w:val="20"/>
          <w:szCs w:val="20"/>
          <w:lang w:val="en-US"/>
        </w:rPr>
        <w:t>rules</w:t>
      </w:r>
      <w:r w:rsidRPr="00D869E3">
        <w:rPr>
          <w:rFonts w:ascii="Verdana" w:eastAsiaTheme="minorHAnsi" w:hAnsi="Verdana" w:cs="Verdana"/>
          <w:sz w:val="20"/>
          <w:szCs w:val="20"/>
          <w:lang w:val="en-US"/>
        </w:rPr>
        <w:t xml:space="preserve"> of interpretation that should be applied to provide greater protection to the victim and to assess whether or not the social rights </w:t>
      </w:r>
      <w:r w:rsidR="00CC60D4" w:rsidRPr="00D869E3">
        <w:rPr>
          <w:rFonts w:ascii="Verdana" w:eastAsiaTheme="minorHAnsi" w:hAnsi="Verdana" w:cs="Verdana"/>
          <w:sz w:val="20"/>
          <w:szCs w:val="20"/>
          <w:lang w:val="en-US"/>
        </w:rPr>
        <w:t xml:space="preserve">that have been </w:t>
      </w:r>
      <w:r w:rsidRPr="00D869E3">
        <w:rPr>
          <w:rFonts w:ascii="Verdana" w:eastAsiaTheme="minorHAnsi" w:hAnsi="Verdana" w:cs="Verdana"/>
          <w:sz w:val="20"/>
          <w:szCs w:val="20"/>
          <w:lang w:val="en-US"/>
        </w:rPr>
        <w:t xml:space="preserve">alleged have been violated. </w:t>
      </w:r>
    </w:p>
    <w:p w14:paraId="6D05707B"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04B92196" w14:textId="12376DA4" w:rsidR="00F83E8F" w:rsidRPr="00D869E3" w:rsidRDefault="00F83E8F"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Complement</w:t>
      </w:r>
      <w:r w:rsidR="00FE7426" w:rsidRPr="00D869E3">
        <w:rPr>
          <w:rFonts w:ascii="Verdana" w:hAnsi="Verdana"/>
          <w:sz w:val="20"/>
          <w:szCs w:val="20"/>
          <w:lang w:val="en-US"/>
        </w:rPr>
        <w:t xml:space="preserve">ing this analysis, </w:t>
      </w:r>
      <w:r w:rsidR="00671B14" w:rsidRPr="00D869E3">
        <w:rPr>
          <w:rFonts w:ascii="Verdana" w:hAnsi="Verdana"/>
          <w:sz w:val="20"/>
          <w:szCs w:val="20"/>
          <w:lang w:val="en-US"/>
        </w:rPr>
        <w:t>the Inter-American Court</w:t>
      </w:r>
      <w:r w:rsidRPr="00D869E3">
        <w:rPr>
          <w:rFonts w:ascii="Verdana" w:hAnsi="Verdana"/>
          <w:sz w:val="20"/>
          <w:szCs w:val="20"/>
          <w:lang w:val="en-US"/>
        </w:rPr>
        <w:t xml:space="preserve"> conclu</w:t>
      </w:r>
      <w:r w:rsidR="00FE7426" w:rsidRPr="00D869E3">
        <w:rPr>
          <w:rFonts w:ascii="Verdana" w:hAnsi="Verdana"/>
          <w:sz w:val="20"/>
          <w:szCs w:val="20"/>
          <w:lang w:val="en-US"/>
        </w:rPr>
        <w:t>ded a series of obligations that, in principle</w:t>
      </w:r>
      <w:r w:rsidR="00CC60D4" w:rsidRPr="00D869E3">
        <w:rPr>
          <w:rFonts w:ascii="Verdana" w:hAnsi="Verdana"/>
          <w:sz w:val="20"/>
          <w:szCs w:val="20"/>
          <w:lang w:val="en-US"/>
        </w:rPr>
        <w:t>, result</w:t>
      </w:r>
      <w:r w:rsidR="00FE7426" w:rsidRPr="00D869E3">
        <w:rPr>
          <w:rFonts w:ascii="Verdana" w:hAnsi="Verdana"/>
          <w:sz w:val="20"/>
          <w:szCs w:val="20"/>
          <w:lang w:val="en-US"/>
        </w:rPr>
        <w:t xml:space="preserve"> </w:t>
      </w:r>
      <w:r w:rsidR="00CC60D4" w:rsidRPr="00D869E3">
        <w:rPr>
          <w:rFonts w:ascii="Verdana" w:hAnsi="Verdana"/>
          <w:sz w:val="20"/>
          <w:szCs w:val="20"/>
          <w:lang w:val="en-US"/>
        </w:rPr>
        <w:t>in</w:t>
      </w:r>
      <w:r w:rsidR="00FE7426" w:rsidRPr="00D869E3">
        <w:rPr>
          <w:rFonts w:ascii="Verdana" w:hAnsi="Verdana"/>
          <w:sz w:val="20"/>
          <w:szCs w:val="20"/>
          <w:lang w:val="en-US"/>
        </w:rPr>
        <w:t xml:space="preserve"> the following duties: “(a) to adopt</w:t>
      </w:r>
      <w:r w:rsidRPr="00D869E3">
        <w:rPr>
          <w:rFonts w:ascii="Verdana" w:hAnsi="Verdana"/>
          <w:sz w:val="20"/>
          <w:szCs w:val="20"/>
          <w:lang w:val="en-US"/>
        </w:rPr>
        <w:t xml:space="preserve"> </w:t>
      </w:r>
      <w:r w:rsidR="008B38F5" w:rsidRPr="00D869E3">
        <w:rPr>
          <w:rFonts w:ascii="Verdana" w:hAnsi="Verdana"/>
          <w:sz w:val="20"/>
          <w:szCs w:val="20"/>
          <w:lang w:val="en-US"/>
        </w:rPr>
        <w:t xml:space="preserve">the appropriate measures for the due regulation and monitoring </w:t>
      </w:r>
      <w:r w:rsidRPr="00D869E3">
        <w:rPr>
          <w:rFonts w:ascii="Verdana" w:hAnsi="Verdana"/>
          <w:sz w:val="20"/>
          <w:szCs w:val="20"/>
          <w:lang w:val="en-US"/>
        </w:rPr>
        <w:t>[</w:t>
      </w:r>
      <w:r w:rsidR="008B38F5" w:rsidRPr="00D869E3">
        <w:rPr>
          <w:rFonts w:ascii="Verdana" w:hAnsi="Verdana"/>
          <w:sz w:val="20"/>
          <w:szCs w:val="20"/>
          <w:lang w:val="en-US"/>
        </w:rPr>
        <w:t xml:space="preserve">of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Pr="00D869E3">
        <w:rPr>
          <w:rFonts w:ascii="Verdana" w:hAnsi="Verdana"/>
          <w:sz w:val="20"/>
          <w:szCs w:val="20"/>
          <w:lang w:val="en-US"/>
        </w:rPr>
        <w:t xml:space="preserve">]; </w:t>
      </w:r>
      <w:r w:rsidR="008B38F5" w:rsidRPr="00D869E3">
        <w:rPr>
          <w:rFonts w:ascii="Verdana" w:hAnsi="Verdana"/>
          <w:sz w:val="20"/>
          <w:szCs w:val="20"/>
          <w:lang w:val="en-US"/>
        </w:rPr>
        <w:t>(</w:t>
      </w:r>
      <w:r w:rsidRPr="00D869E3">
        <w:rPr>
          <w:rFonts w:ascii="Verdana" w:hAnsi="Verdana"/>
          <w:sz w:val="20"/>
          <w:szCs w:val="20"/>
          <w:lang w:val="en-US"/>
        </w:rPr>
        <w:t xml:space="preserve">b) </w:t>
      </w:r>
      <w:r w:rsidR="008B38F5" w:rsidRPr="00D869E3">
        <w:rPr>
          <w:rFonts w:ascii="Verdana" w:hAnsi="Verdana"/>
          <w:sz w:val="20"/>
          <w:szCs w:val="20"/>
          <w:lang w:val="en-US"/>
        </w:rPr>
        <w:t>to protect workers against unjustified dismissal through its competent organs; (</w:t>
      </w:r>
      <w:r w:rsidRPr="00D869E3">
        <w:rPr>
          <w:rFonts w:ascii="Verdana" w:hAnsi="Verdana"/>
          <w:sz w:val="20"/>
          <w:szCs w:val="20"/>
          <w:lang w:val="en-US"/>
        </w:rPr>
        <w:t xml:space="preserve">c) </w:t>
      </w:r>
      <w:r w:rsidR="008B38F5" w:rsidRPr="00D869E3">
        <w:rPr>
          <w:rFonts w:ascii="Verdana" w:hAnsi="Verdana"/>
          <w:sz w:val="20"/>
          <w:szCs w:val="20"/>
          <w:lang w:val="en-US"/>
        </w:rPr>
        <w:t>in case of unjustified dismissal, to rectify the situation (either by reinstatement or, if appropriate, by compensation and other social benefits established in domestic law). Consequently</w:t>
      </w:r>
      <w:r w:rsidRPr="00D869E3">
        <w:rPr>
          <w:rFonts w:ascii="Verdana" w:hAnsi="Verdana"/>
          <w:sz w:val="20"/>
          <w:szCs w:val="20"/>
          <w:lang w:val="en-US"/>
        </w:rPr>
        <w:t xml:space="preserve">, </w:t>
      </w:r>
      <w:r w:rsidR="008B38F5" w:rsidRPr="00D869E3">
        <w:rPr>
          <w:rFonts w:ascii="Verdana" w:hAnsi="Verdana"/>
          <w:sz w:val="20"/>
          <w:szCs w:val="20"/>
          <w:lang w:val="en-US"/>
        </w:rPr>
        <w:t>(d) the State should provide effective grievance mechanisms in cases of unjustified dismissal, to ensure access to justice and the effective judicial protection of such rights</w:t>
      </w:r>
      <w:r w:rsidR="00FE7426" w:rsidRPr="00D869E3">
        <w:rPr>
          <w:rFonts w:ascii="Verdana" w:hAnsi="Verdana"/>
          <w:sz w:val="20"/>
          <w:szCs w:val="20"/>
          <w:lang w:val="en-US"/>
        </w:rPr>
        <w:t>.</w:t>
      </w:r>
      <w:r w:rsidR="006436CA" w:rsidRPr="00D869E3">
        <w:rPr>
          <w:rFonts w:ascii="Verdana" w:hAnsi="Verdana"/>
          <w:sz w:val="20"/>
          <w:szCs w:val="20"/>
          <w:lang w:val="en-US"/>
        </w:rPr>
        <w:t>”</w:t>
      </w:r>
      <w:r w:rsidRPr="00D869E3">
        <w:rPr>
          <w:rStyle w:val="Refdenotaalpie"/>
          <w:szCs w:val="20"/>
          <w:lang w:val="en-US"/>
        </w:rPr>
        <w:footnoteReference w:id="317"/>
      </w:r>
      <w:r w:rsidRPr="00D869E3">
        <w:rPr>
          <w:rFonts w:ascii="Verdana" w:hAnsi="Verdana"/>
          <w:sz w:val="20"/>
          <w:szCs w:val="20"/>
          <w:lang w:val="en-US"/>
        </w:rPr>
        <w:t xml:space="preserve"> </w:t>
      </w:r>
      <w:r w:rsidR="00FE7426" w:rsidRPr="00D869E3">
        <w:rPr>
          <w:rFonts w:ascii="Verdana" w:hAnsi="Verdana"/>
          <w:sz w:val="20"/>
          <w:szCs w:val="20"/>
          <w:lang w:val="en-US"/>
        </w:rPr>
        <w:t xml:space="preserve">In other words, </w:t>
      </w:r>
      <w:r w:rsidR="00671B14" w:rsidRPr="00D869E3">
        <w:rPr>
          <w:rFonts w:ascii="Verdana" w:hAnsi="Verdana"/>
          <w:sz w:val="20"/>
          <w:szCs w:val="20"/>
          <w:lang w:val="en-US"/>
        </w:rPr>
        <w:t>the Inter-American Court</w:t>
      </w:r>
      <w:r w:rsidRPr="00D869E3">
        <w:rPr>
          <w:rFonts w:ascii="Verdana" w:hAnsi="Verdana"/>
          <w:sz w:val="20"/>
          <w:szCs w:val="20"/>
          <w:lang w:val="en-US"/>
        </w:rPr>
        <w:t xml:space="preserve"> identifi</w:t>
      </w:r>
      <w:r w:rsidR="00FE7426" w:rsidRPr="00D869E3">
        <w:rPr>
          <w:rFonts w:ascii="Verdana" w:hAnsi="Verdana"/>
          <w:sz w:val="20"/>
          <w:szCs w:val="20"/>
          <w:lang w:val="en-US"/>
        </w:rPr>
        <w:t xml:space="preserve">ed specific obligations </w:t>
      </w:r>
      <w:r w:rsidR="00BB61A6" w:rsidRPr="00D869E3">
        <w:rPr>
          <w:rFonts w:ascii="Verdana" w:hAnsi="Verdana"/>
          <w:sz w:val="20"/>
          <w:szCs w:val="20"/>
          <w:lang w:val="en-US"/>
        </w:rPr>
        <w:t>in relation to</w:t>
      </w:r>
      <w:r w:rsidRPr="00D869E3">
        <w:rPr>
          <w:rFonts w:ascii="Verdana" w:hAnsi="Verdana"/>
          <w:sz w:val="20"/>
          <w:szCs w:val="20"/>
          <w:lang w:val="en-US"/>
        </w:rPr>
        <w:t xml:space="preserve"> </w:t>
      </w:r>
      <w:r w:rsidR="000B2E5E" w:rsidRPr="00D869E3">
        <w:rPr>
          <w:rFonts w:ascii="Verdana" w:hAnsi="Verdana"/>
          <w:sz w:val="20"/>
          <w:szCs w:val="20"/>
          <w:lang w:val="en-US"/>
        </w:rPr>
        <w:t xml:space="preserve">the </w:t>
      </w:r>
      <w:r w:rsidR="00301DBE" w:rsidRPr="00D869E3">
        <w:rPr>
          <w:rFonts w:ascii="Verdana" w:hAnsi="Verdana"/>
          <w:sz w:val="20"/>
          <w:szCs w:val="20"/>
          <w:lang w:val="en-US"/>
        </w:rPr>
        <w:t xml:space="preserve">right to </w:t>
      </w:r>
      <w:r w:rsidR="00FE7426" w:rsidRPr="00D869E3">
        <w:rPr>
          <w:rFonts w:ascii="Verdana" w:hAnsi="Verdana"/>
          <w:sz w:val="20"/>
          <w:szCs w:val="20"/>
          <w:lang w:val="en-US"/>
        </w:rPr>
        <w:t>work (job security</w:t>
      </w:r>
      <w:r w:rsidRPr="00D869E3">
        <w:rPr>
          <w:rFonts w:ascii="Verdana" w:hAnsi="Verdana"/>
          <w:sz w:val="20"/>
          <w:szCs w:val="20"/>
          <w:lang w:val="en-US"/>
        </w:rPr>
        <w:t xml:space="preserve">). </w:t>
      </w:r>
    </w:p>
    <w:p w14:paraId="4D4A378E"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3342280A" w14:textId="747D77A8" w:rsidR="00F83E8F" w:rsidRPr="00D869E3" w:rsidRDefault="00FE7426"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lastRenderedPageBreak/>
        <w:t>Regarding</w:t>
      </w:r>
      <w:r w:rsidR="00F83E8F" w:rsidRPr="00D869E3">
        <w:rPr>
          <w:rFonts w:ascii="Verdana" w:hAnsi="Verdana"/>
          <w:sz w:val="20"/>
          <w:szCs w:val="20"/>
          <w:lang w:val="en-US"/>
        </w:rPr>
        <w:t xml:space="preserve"> </w:t>
      </w:r>
      <w:r w:rsidR="007013E2" w:rsidRPr="00D869E3">
        <w:rPr>
          <w:rFonts w:ascii="Verdana" w:hAnsi="Verdana"/>
          <w:sz w:val="20"/>
          <w:szCs w:val="20"/>
          <w:lang w:val="en-US"/>
        </w:rPr>
        <w:t>the violation</w:t>
      </w:r>
      <w:r w:rsidR="00A157F5" w:rsidRPr="00D869E3">
        <w:rPr>
          <w:rFonts w:ascii="Verdana" w:hAnsi="Verdana"/>
          <w:sz w:val="20"/>
          <w:szCs w:val="20"/>
          <w:lang w:val="en-US"/>
        </w:rPr>
        <w:t xml:space="preserve"> of the </w:t>
      </w:r>
      <w:r w:rsidR="000B2E5E" w:rsidRPr="00D869E3">
        <w:rPr>
          <w:rFonts w:ascii="Verdana" w:hAnsi="Verdana"/>
          <w:sz w:val="20"/>
          <w:szCs w:val="20"/>
          <w:lang w:val="en-US"/>
        </w:rPr>
        <w:t xml:space="preserve">right </w:t>
      </w:r>
      <w:r w:rsidR="002C5EA9" w:rsidRPr="00D869E3">
        <w:rPr>
          <w:rFonts w:ascii="Verdana" w:hAnsi="Verdana"/>
          <w:sz w:val="20"/>
          <w:szCs w:val="20"/>
          <w:lang w:val="en-US"/>
        </w:rPr>
        <w:t>to job security</w:t>
      </w:r>
      <w:r w:rsidR="00F83E8F" w:rsidRPr="00D869E3">
        <w:rPr>
          <w:rFonts w:ascii="Verdana" w:hAnsi="Verdana"/>
          <w:sz w:val="20"/>
          <w:szCs w:val="20"/>
          <w:lang w:val="en-US"/>
        </w:rPr>
        <w:t xml:space="preserve"> </w:t>
      </w:r>
      <w:r w:rsidRPr="00D869E3">
        <w:rPr>
          <w:rFonts w:ascii="Verdana" w:hAnsi="Verdana"/>
          <w:sz w:val="20"/>
          <w:szCs w:val="20"/>
          <w:lang w:val="en-US"/>
        </w:rPr>
        <w:t>as part</w:t>
      </w:r>
      <w:r w:rsidR="00A157F5" w:rsidRPr="00D869E3">
        <w:rPr>
          <w:rFonts w:ascii="Verdana" w:hAnsi="Verdana"/>
          <w:sz w:val="20"/>
          <w:szCs w:val="20"/>
          <w:lang w:val="en-US"/>
        </w:rPr>
        <w:t xml:space="preserve"> of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conclu</w:t>
      </w:r>
      <w:r w:rsidRPr="00D869E3">
        <w:rPr>
          <w:rFonts w:ascii="Verdana" w:hAnsi="Verdana"/>
          <w:sz w:val="20"/>
          <w:szCs w:val="20"/>
          <w:lang w:val="en-US"/>
        </w:rPr>
        <w:t>ded that</w:t>
      </w:r>
      <w:r w:rsidR="00F83E8F" w:rsidRPr="00D869E3">
        <w:rPr>
          <w:rFonts w:ascii="Verdana" w:hAnsi="Verdana"/>
          <w:sz w:val="20"/>
          <w:szCs w:val="20"/>
          <w:lang w:val="en-US"/>
        </w:rPr>
        <w:t xml:space="preserve">: </w:t>
      </w:r>
    </w:p>
    <w:p w14:paraId="0C06DF3A" w14:textId="77777777" w:rsidR="00F83E8F" w:rsidRPr="00D869E3" w:rsidRDefault="00F83E8F" w:rsidP="00F83E8F">
      <w:pPr>
        <w:pStyle w:val="Prrafodelista"/>
        <w:widowControl w:val="0"/>
        <w:autoSpaceDE w:val="0"/>
        <w:autoSpaceDN w:val="0"/>
        <w:adjustRightInd w:val="0"/>
        <w:ind w:left="0" w:right="855"/>
        <w:jc w:val="both"/>
        <w:rPr>
          <w:rFonts w:ascii="Verdana" w:hAnsi="Verdana"/>
          <w:sz w:val="16"/>
          <w:szCs w:val="16"/>
          <w:lang w:val="en-US"/>
        </w:rPr>
      </w:pPr>
      <w:r w:rsidRPr="00D869E3">
        <w:rPr>
          <w:rFonts w:ascii="Verdana" w:hAnsi="Verdana"/>
          <w:sz w:val="20"/>
          <w:szCs w:val="20"/>
          <w:lang w:val="en-US"/>
        </w:rPr>
        <w:t xml:space="preserve"> </w:t>
      </w:r>
    </w:p>
    <w:p w14:paraId="7EAE7481" w14:textId="7194DABA" w:rsidR="00F83E8F" w:rsidRPr="00D869E3" w:rsidRDefault="008B38F5" w:rsidP="00E70701">
      <w:pPr>
        <w:pStyle w:val="Prrafodelista"/>
        <w:numPr>
          <w:ilvl w:val="0"/>
          <w:numId w:val="30"/>
        </w:numPr>
        <w:ind w:left="709" w:right="738" w:firstLine="0"/>
        <w:jc w:val="both"/>
        <w:rPr>
          <w:rFonts w:ascii="Verdana" w:hAnsi="Verdana"/>
          <w:sz w:val="16"/>
          <w:szCs w:val="16"/>
          <w:lang w:val="en-US"/>
        </w:rPr>
      </w:pPr>
      <w:r w:rsidRPr="00D869E3">
        <w:rPr>
          <w:rFonts w:ascii="Verdana" w:hAnsi="Verdana"/>
          <w:color w:val="000000"/>
          <w:sz w:val="16"/>
          <w:szCs w:val="16"/>
          <w:lang w:val="en-US"/>
        </w:rPr>
        <w:t xml:space="preserve">In this specific case, Mr. Lagos del Campo had been employed by the aforementioned company as a manual worker for approximately 13 years and, at the time of the facts, he was </w:t>
      </w:r>
      <w:r w:rsidR="001B0492" w:rsidRPr="00D869E3">
        <w:rPr>
          <w:rFonts w:ascii="Verdana" w:hAnsi="Verdana"/>
          <w:color w:val="000000"/>
          <w:sz w:val="16"/>
          <w:szCs w:val="16"/>
          <w:lang w:val="en-US"/>
        </w:rPr>
        <w:t>president of the Electoral</w:t>
      </w:r>
      <w:r w:rsidRPr="00D869E3">
        <w:rPr>
          <w:rFonts w:ascii="Verdana" w:hAnsi="Verdana"/>
          <w:color w:val="000000"/>
          <w:sz w:val="16"/>
          <w:szCs w:val="16"/>
          <w:lang w:val="en-US"/>
        </w:rPr>
        <w:t xml:space="preserve"> Committee of the company’s Industrial Community and the delegate to CONACI. Based on statements made during an interview published in “La Razón” in the context of internal elections, Mr. Lagos del Campo was dismissed for having committed a serious verbal offense against his employer. He contested this decision before the competent organs, but it was ratified in second instance, considering that he had been dismissed for a justified reason. He appealed this decision before various domestic instances, without finding protection, particularly for his right to job security, alleging that the reasons for his dismissal were unjustified or unwarranted and that due process had been violated. That is to say, in light of the arbitrary dismissal by the company (</w:t>
      </w:r>
      <w:r w:rsidRPr="00D869E3">
        <w:rPr>
          <w:rFonts w:ascii="Verdana" w:hAnsi="Verdana"/>
          <w:i/>
          <w:color w:val="000000"/>
          <w:sz w:val="16"/>
          <w:szCs w:val="16"/>
          <w:lang w:val="en-US"/>
        </w:rPr>
        <w:t>supra</w:t>
      </w:r>
      <w:r w:rsidRPr="00D869E3">
        <w:rPr>
          <w:rFonts w:ascii="Verdana" w:hAnsi="Verdana"/>
          <w:color w:val="000000"/>
          <w:sz w:val="16"/>
          <w:szCs w:val="16"/>
          <w:lang w:val="en-US"/>
        </w:rPr>
        <w:t>, para. 132) the State failed to adopt adequate measures to protect the violation of the right to work by third parties. Thus, Mr. Lagos del Campo was not reinstated in his job and did not receive any compensation or the corresponding benefits</w:t>
      </w:r>
      <w:r w:rsidR="00F83E8F" w:rsidRPr="00D869E3">
        <w:rPr>
          <w:rFonts w:ascii="Verdana" w:hAnsi="Verdana"/>
          <w:sz w:val="16"/>
          <w:szCs w:val="16"/>
          <w:lang w:val="en-US"/>
        </w:rPr>
        <w:t xml:space="preserve">. </w:t>
      </w:r>
    </w:p>
    <w:p w14:paraId="05B88129" w14:textId="77777777" w:rsidR="00F83E8F" w:rsidRPr="00D869E3" w:rsidRDefault="00F83E8F" w:rsidP="00F83E8F">
      <w:pPr>
        <w:pStyle w:val="Prrafodelista"/>
        <w:ind w:left="709" w:right="738"/>
        <w:jc w:val="both"/>
        <w:rPr>
          <w:rFonts w:ascii="Verdana" w:hAnsi="Verdana"/>
          <w:sz w:val="16"/>
          <w:szCs w:val="16"/>
          <w:lang w:val="en-US"/>
        </w:rPr>
      </w:pPr>
    </w:p>
    <w:p w14:paraId="123FC4F5" w14:textId="3DE27EC9" w:rsidR="00F83E8F" w:rsidRPr="00D869E3" w:rsidRDefault="008B38F5" w:rsidP="00CC60D4">
      <w:pPr>
        <w:pStyle w:val="Prrafodelista"/>
        <w:numPr>
          <w:ilvl w:val="0"/>
          <w:numId w:val="30"/>
        </w:numPr>
        <w:ind w:left="709" w:right="738" w:firstLine="0"/>
        <w:jc w:val="both"/>
        <w:rPr>
          <w:rFonts w:ascii="Verdana" w:hAnsi="Verdana"/>
          <w:sz w:val="16"/>
          <w:szCs w:val="16"/>
          <w:lang w:val="en-US"/>
        </w:rPr>
      </w:pPr>
      <w:r w:rsidRPr="00D869E3">
        <w:rPr>
          <w:rFonts w:ascii="Verdana" w:hAnsi="Verdana"/>
          <w:sz w:val="16"/>
          <w:szCs w:val="16"/>
          <w:lang w:val="en-US"/>
        </w:rPr>
        <w:t>Consequently, Mr. Lagos del Campo lost his job, the possibility of a retirement pension, and also the exercise of his rights as a workers’ representative. This also had an impact on his professional, personal and family life (</w:t>
      </w:r>
      <w:r w:rsidRPr="00D869E3">
        <w:rPr>
          <w:rFonts w:ascii="Verdana" w:hAnsi="Verdana"/>
          <w:i/>
          <w:sz w:val="16"/>
          <w:szCs w:val="16"/>
          <w:lang w:val="en-US"/>
        </w:rPr>
        <w:t>supra,</w:t>
      </w:r>
      <w:r w:rsidRPr="00D869E3">
        <w:rPr>
          <w:rFonts w:ascii="Verdana" w:hAnsi="Verdana"/>
          <w:sz w:val="16"/>
          <w:szCs w:val="16"/>
          <w:lang w:val="en-US"/>
        </w:rPr>
        <w:t xml:space="preserve"> para. 72).</w:t>
      </w:r>
      <w:r w:rsidRPr="00D869E3">
        <w:rPr>
          <w:rFonts w:ascii="Verdana" w:hAnsi="Verdana"/>
          <w:sz w:val="20"/>
          <w:szCs w:val="20"/>
          <w:lang w:val="en-US"/>
        </w:rPr>
        <w:t xml:space="preserve"> </w:t>
      </w:r>
      <w:r w:rsidR="00F83E8F" w:rsidRPr="00D869E3">
        <w:rPr>
          <w:rFonts w:ascii="Verdana" w:hAnsi="Verdana"/>
          <w:sz w:val="16"/>
          <w:szCs w:val="16"/>
          <w:lang w:val="en-US"/>
        </w:rPr>
        <w:t>[…]</w:t>
      </w:r>
    </w:p>
    <w:p w14:paraId="3373B449" w14:textId="77777777" w:rsidR="00F83E8F" w:rsidRPr="00D869E3" w:rsidRDefault="00F83E8F" w:rsidP="00CC60D4">
      <w:pPr>
        <w:ind w:right="738"/>
        <w:jc w:val="both"/>
        <w:rPr>
          <w:rFonts w:ascii="Verdana" w:hAnsi="Verdana"/>
          <w:b/>
          <w:sz w:val="16"/>
          <w:szCs w:val="16"/>
          <w:lang w:val="en-US"/>
        </w:rPr>
      </w:pPr>
    </w:p>
    <w:p w14:paraId="78D820B8" w14:textId="16AA0DCF" w:rsidR="00F83E8F" w:rsidRPr="00D869E3" w:rsidRDefault="008B38F5" w:rsidP="00CC60D4">
      <w:pPr>
        <w:numPr>
          <w:ilvl w:val="0"/>
          <w:numId w:val="30"/>
        </w:numPr>
        <w:ind w:left="720" w:right="738" w:firstLine="0"/>
        <w:contextualSpacing/>
        <w:jc w:val="both"/>
        <w:rPr>
          <w:rFonts w:ascii="Verdana" w:hAnsi="Verdana"/>
          <w:sz w:val="16"/>
          <w:szCs w:val="16"/>
          <w:lang w:val="en-US"/>
        </w:rPr>
      </w:pPr>
      <w:r w:rsidRPr="00D869E3">
        <w:rPr>
          <w:rFonts w:ascii="Verdana" w:hAnsi="Verdana"/>
          <w:color w:val="000000"/>
          <w:sz w:val="16"/>
          <w:szCs w:val="16"/>
          <w:lang w:val="en-US"/>
        </w:rPr>
        <w:t xml:space="preserve">Based on the foregoing, </w:t>
      </w:r>
      <w:r w:rsidRPr="00D869E3">
        <w:rPr>
          <w:rFonts w:ascii="Verdana" w:hAnsi="Verdana"/>
          <w:color w:val="000000"/>
          <w:sz w:val="16"/>
          <w:szCs w:val="16"/>
          <w:u w:val="single"/>
          <w:lang w:val="en-US"/>
        </w:rPr>
        <w:t>the Court concludes that, owing to his arbitrary dismissal, Mr. Lagos del Campo was deprived of his employment and other benefits resulting from social security</w:t>
      </w:r>
      <w:r w:rsidRPr="00D869E3">
        <w:rPr>
          <w:rFonts w:ascii="Verdana" w:hAnsi="Verdana"/>
          <w:color w:val="000000"/>
          <w:sz w:val="16"/>
          <w:szCs w:val="16"/>
          <w:lang w:val="en-US"/>
        </w:rPr>
        <w:t xml:space="preserve">. Therefore, </w:t>
      </w:r>
      <w:r w:rsidRPr="00D869E3">
        <w:rPr>
          <w:rFonts w:ascii="Verdana" w:hAnsi="Verdana"/>
          <w:b/>
          <w:bCs/>
          <w:color w:val="000000"/>
          <w:sz w:val="16"/>
          <w:szCs w:val="16"/>
          <w:lang w:val="en-US"/>
        </w:rPr>
        <w:t>the Peruvian State failed to protect his right to job security, in interpretation of Article 26 of the American Convention, in relation to Articles 1(1), 13, 8 and 16</w:t>
      </w:r>
      <w:r w:rsidRPr="00D869E3">
        <w:rPr>
          <w:rFonts w:ascii="Verdana" w:hAnsi="Verdana"/>
          <w:color w:val="000000"/>
          <w:sz w:val="16"/>
          <w:szCs w:val="16"/>
          <w:lang w:val="en-US"/>
        </w:rPr>
        <w:t xml:space="preserve"> of this instrument, to the detriment of Mr. Lagos del Campo.</w:t>
      </w:r>
      <w:r w:rsidR="00F83E8F" w:rsidRPr="00D869E3">
        <w:rPr>
          <w:rStyle w:val="Refdenotaalpie"/>
          <w:sz w:val="16"/>
          <w:szCs w:val="16"/>
          <w:lang w:val="en-US"/>
        </w:rPr>
        <w:footnoteReference w:id="318"/>
      </w:r>
    </w:p>
    <w:p w14:paraId="166C28A2" w14:textId="77777777" w:rsidR="00F83E8F" w:rsidRPr="00D869E3" w:rsidRDefault="00F83E8F" w:rsidP="00F83E8F">
      <w:pPr>
        <w:jc w:val="both"/>
        <w:rPr>
          <w:rFonts w:ascii="Verdana" w:hAnsi="Verdana"/>
          <w:sz w:val="20"/>
          <w:szCs w:val="20"/>
          <w:lang w:val="en-US"/>
        </w:rPr>
      </w:pPr>
    </w:p>
    <w:p w14:paraId="4E5F9702" w14:textId="5812AC91" w:rsidR="00F83E8F" w:rsidRPr="00D869E3" w:rsidRDefault="00FE7426" w:rsidP="008B38F5">
      <w:pPr>
        <w:pStyle w:val="Prrafodelista"/>
        <w:numPr>
          <w:ilvl w:val="0"/>
          <w:numId w:val="28"/>
        </w:numPr>
        <w:ind w:left="0" w:firstLine="0"/>
        <w:jc w:val="both"/>
        <w:rPr>
          <w:rFonts w:ascii="Verdana" w:hAnsi="Verdana"/>
          <w:b/>
          <w:bCs/>
          <w:sz w:val="20"/>
          <w:szCs w:val="20"/>
          <w:u w:val="single"/>
          <w:lang w:val="en-US"/>
        </w:rPr>
      </w:pPr>
      <w:r w:rsidRPr="00D869E3">
        <w:rPr>
          <w:rFonts w:ascii="Verdana" w:hAnsi="Verdana"/>
          <w:bCs/>
          <w:sz w:val="20"/>
          <w:szCs w:val="20"/>
          <w:lang w:val="en-US"/>
        </w:rPr>
        <w:t xml:space="preserve">As mentioned in the judgment: </w:t>
      </w:r>
      <w:r w:rsidR="006436CA" w:rsidRPr="00D869E3">
        <w:rPr>
          <w:rFonts w:ascii="Verdana" w:hAnsi="Verdana"/>
          <w:bCs/>
          <w:sz w:val="20"/>
          <w:szCs w:val="20"/>
          <w:lang w:val="en-US"/>
        </w:rPr>
        <w:t>“</w:t>
      </w:r>
      <w:r w:rsidR="00F83E8F" w:rsidRPr="00D869E3">
        <w:rPr>
          <w:rFonts w:ascii="Verdana" w:hAnsi="Verdana"/>
          <w:bCs/>
          <w:sz w:val="20"/>
          <w:szCs w:val="20"/>
          <w:lang w:val="en-US"/>
        </w:rPr>
        <w:t xml:space="preserve">[…] </w:t>
      </w:r>
      <w:r w:rsidR="00447C65" w:rsidRPr="00D869E3">
        <w:rPr>
          <w:rFonts w:ascii="Verdana" w:hAnsi="Verdana"/>
          <w:bCs/>
          <w:sz w:val="20"/>
          <w:szCs w:val="20"/>
          <w:lang w:val="en-US"/>
        </w:rPr>
        <w:t>the Court</w:t>
      </w:r>
      <w:r w:rsidR="00F83E8F" w:rsidRPr="00D869E3">
        <w:rPr>
          <w:rFonts w:ascii="Verdana" w:hAnsi="Verdana"/>
          <w:bCs/>
          <w:sz w:val="20"/>
          <w:szCs w:val="20"/>
          <w:lang w:val="en-US"/>
        </w:rPr>
        <w:t xml:space="preserve"> ha</w:t>
      </w:r>
      <w:r w:rsidR="008B38F5" w:rsidRPr="00D869E3">
        <w:rPr>
          <w:rFonts w:ascii="Verdana" w:hAnsi="Verdana"/>
          <w:bCs/>
          <w:sz w:val="20"/>
          <w:szCs w:val="20"/>
          <w:lang w:val="en-US"/>
        </w:rPr>
        <w:t>s established</w:t>
      </w:r>
      <w:r w:rsidR="00F83E8F" w:rsidRPr="00D869E3">
        <w:rPr>
          <w:rFonts w:ascii="Verdana" w:hAnsi="Verdana"/>
          <w:bCs/>
          <w:sz w:val="20"/>
          <w:szCs w:val="20"/>
          <w:lang w:val="en-US"/>
        </w:rPr>
        <w:t xml:space="preserve"> […] </w:t>
      </w:r>
      <w:r w:rsidR="008B38F5" w:rsidRPr="00D869E3">
        <w:rPr>
          <w:rFonts w:ascii="Verdana" w:hAnsi="Verdana"/>
          <w:bCs/>
          <w:sz w:val="20"/>
          <w:szCs w:val="20"/>
          <w:lang w:val="en-US"/>
        </w:rPr>
        <w:t>that it has jurisdiction to examine and decide disputes relating to Article 26 of the American Convention, as an integral part of the rights named in it and, regarding which, Article 1(1) establishes the general obligations of the States to respect and to ensure rights</w:t>
      </w:r>
      <w:r w:rsidR="00F83E8F" w:rsidRPr="00D869E3">
        <w:rPr>
          <w:rFonts w:ascii="Verdana" w:hAnsi="Verdana"/>
          <w:bCs/>
          <w:sz w:val="20"/>
          <w:szCs w:val="20"/>
          <w:lang w:val="en-US"/>
        </w:rPr>
        <w:t xml:space="preserve"> [</w:t>
      </w:r>
      <w:r w:rsidR="00B235CB" w:rsidRPr="00D869E3">
        <w:rPr>
          <w:rFonts w:ascii="Verdana" w:hAnsi="Verdana"/>
          <w:bCs/>
          <w:sz w:val="20"/>
          <w:szCs w:val="20"/>
          <w:lang w:val="en-US"/>
        </w:rPr>
        <w:t xml:space="preserve">in the </w:t>
      </w:r>
      <w:r w:rsidR="00A811E3" w:rsidRPr="00D869E3">
        <w:rPr>
          <w:rFonts w:ascii="Verdana" w:hAnsi="Verdana"/>
          <w:bCs/>
          <w:sz w:val="20"/>
          <w:szCs w:val="20"/>
          <w:lang w:val="en-US"/>
        </w:rPr>
        <w:t>a</w:t>
      </w:r>
      <w:r w:rsidR="00B235CB" w:rsidRPr="00D869E3">
        <w:rPr>
          <w:rFonts w:ascii="Verdana" w:hAnsi="Verdana"/>
          <w:bCs/>
          <w:sz w:val="20"/>
          <w:szCs w:val="20"/>
          <w:lang w:val="en-US"/>
        </w:rPr>
        <w:t>rea of</w:t>
      </w:r>
      <w:r w:rsidR="00A811E3" w:rsidRPr="00D869E3">
        <w:rPr>
          <w:rFonts w:ascii="Verdana" w:hAnsi="Verdana"/>
          <w:bCs/>
          <w:sz w:val="20"/>
          <w:szCs w:val="20"/>
          <w:lang w:val="en-US"/>
        </w:rPr>
        <w:t xml:space="preserve"> economic, social, cultural and environmental</w:t>
      </w:r>
      <w:r w:rsidR="00F83E8F" w:rsidRPr="00D869E3">
        <w:rPr>
          <w:rFonts w:ascii="Verdana" w:hAnsi="Verdana"/>
          <w:bCs/>
          <w:sz w:val="20"/>
          <w:szCs w:val="20"/>
          <w:lang w:val="en-US"/>
        </w:rPr>
        <w:t xml:space="preserve"> </w:t>
      </w:r>
      <w:r w:rsidR="00881A39" w:rsidRPr="00D869E3">
        <w:rPr>
          <w:rFonts w:ascii="Verdana" w:hAnsi="Verdana"/>
          <w:bCs/>
          <w:sz w:val="20"/>
          <w:szCs w:val="20"/>
          <w:lang w:val="en-US"/>
        </w:rPr>
        <w:t>rights</w:t>
      </w:r>
      <w:r w:rsidR="00F83E8F" w:rsidRPr="00D869E3">
        <w:rPr>
          <w:rFonts w:ascii="Verdana" w:hAnsi="Verdana"/>
          <w:bCs/>
          <w:sz w:val="20"/>
          <w:szCs w:val="20"/>
          <w:lang w:val="en-US"/>
        </w:rPr>
        <w:t xml:space="preserve">]. </w:t>
      </w:r>
      <w:r w:rsidR="00A811E3" w:rsidRPr="00D869E3">
        <w:rPr>
          <w:rFonts w:ascii="Verdana" w:hAnsi="Verdana"/>
          <w:bCs/>
          <w:sz w:val="20"/>
          <w:szCs w:val="20"/>
          <w:lang w:val="en-US"/>
        </w:rPr>
        <w:t>The Court has also developed important case law on this matter, in light of different articles of the Convention</w:t>
      </w:r>
      <w:r w:rsidR="00F83E8F" w:rsidRPr="00D869E3">
        <w:rPr>
          <w:rFonts w:ascii="Verdana" w:hAnsi="Verdana"/>
          <w:bCs/>
          <w:sz w:val="20"/>
          <w:szCs w:val="20"/>
          <w:lang w:val="en-US"/>
        </w:rPr>
        <w:t xml:space="preserve"> […]</w:t>
      </w:r>
      <w:r w:rsidR="00A811E3" w:rsidRPr="00D869E3">
        <w:rPr>
          <w:rFonts w:ascii="Verdana" w:hAnsi="Verdana"/>
          <w:bCs/>
          <w:sz w:val="20"/>
          <w:szCs w:val="20"/>
          <w:lang w:val="en-US"/>
        </w:rPr>
        <w:t>.</w:t>
      </w:r>
      <w:r w:rsidR="006436CA" w:rsidRPr="00D869E3">
        <w:rPr>
          <w:rFonts w:ascii="Verdana" w:hAnsi="Verdana"/>
          <w:bCs/>
          <w:sz w:val="20"/>
          <w:szCs w:val="20"/>
          <w:lang w:val="en-US"/>
        </w:rPr>
        <w:t>”</w:t>
      </w:r>
      <w:r w:rsidR="00687684" w:rsidRPr="00D869E3">
        <w:rPr>
          <w:rFonts w:ascii="Verdana" w:hAnsi="Verdana"/>
          <w:bCs/>
          <w:sz w:val="20"/>
          <w:szCs w:val="20"/>
          <w:lang w:val="en-US"/>
        </w:rPr>
        <w:t xml:space="preserve"> </w:t>
      </w:r>
      <w:r w:rsidR="00A811E3" w:rsidRPr="00D869E3">
        <w:rPr>
          <w:rFonts w:ascii="Verdana" w:hAnsi="Verdana"/>
          <w:bCs/>
          <w:sz w:val="20"/>
          <w:szCs w:val="20"/>
          <w:lang w:val="en-US"/>
        </w:rPr>
        <w:t>A</w:t>
      </w:r>
      <w:r w:rsidR="00687684" w:rsidRPr="00D869E3">
        <w:rPr>
          <w:rFonts w:ascii="Verdana" w:hAnsi="Verdana"/>
          <w:bCs/>
          <w:sz w:val="20"/>
          <w:szCs w:val="20"/>
          <w:lang w:val="en-US"/>
        </w:rPr>
        <w:t>nd</w:t>
      </w:r>
      <w:r w:rsidR="00A811E3" w:rsidRPr="00D869E3">
        <w:rPr>
          <w:rFonts w:ascii="Verdana" w:hAnsi="Verdana"/>
          <w:bCs/>
          <w:sz w:val="20"/>
          <w:szCs w:val="20"/>
          <w:lang w:val="en-US"/>
        </w:rPr>
        <w:t>, it</w:t>
      </w:r>
      <w:r w:rsidR="00687684" w:rsidRPr="00D869E3">
        <w:rPr>
          <w:rFonts w:ascii="Verdana" w:hAnsi="Verdana"/>
          <w:bCs/>
          <w:sz w:val="20"/>
          <w:szCs w:val="20"/>
          <w:lang w:val="en-US"/>
        </w:rPr>
        <w:t xml:space="preserve"> </w:t>
      </w:r>
      <w:r w:rsidR="00F83E8F" w:rsidRPr="00D869E3">
        <w:rPr>
          <w:rFonts w:ascii="Verdana" w:hAnsi="Verdana"/>
          <w:bCs/>
          <w:sz w:val="20"/>
          <w:szCs w:val="20"/>
          <w:lang w:val="en-US"/>
        </w:rPr>
        <w:t>a</w:t>
      </w:r>
      <w:r w:rsidRPr="00D869E3">
        <w:rPr>
          <w:rFonts w:ascii="Verdana" w:hAnsi="Verdana"/>
          <w:bCs/>
          <w:sz w:val="20"/>
          <w:szCs w:val="20"/>
          <w:lang w:val="en-US"/>
        </w:rPr>
        <w:t>dded</w:t>
      </w:r>
      <w:r w:rsidR="00F83E8F" w:rsidRPr="00D869E3">
        <w:rPr>
          <w:rFonts w:ascii="Verdana" w:hAnsi="Verdana"/>
          <w:bCs/>
          <w:sz w:val="20"/>
          <w:szCs w:val="20"/>
          <w:lang w:val="en-US"/>
        </w:rPr>
        <w:t xml:space="preserve">: </w:t>
      </w:r>
    </w:p>
    <w:p w14:paraId="4430FE7E" w14:textId="77777777" w:rsidR="00F83E8F" w:rsidRPr="00D869E3" w:rsidRDefault="00F83E8F" w:rsidP="00F83E8F">
      <w:pPr>
        <w:pStyle w:val="Prrafodelista"/>
        <w:ind w:left="0"/>
        <w:jc w:val="both"/>
        <w:rPr>
          <w:rFonts w:ascii="Verdana" w:hAnsi="Verdana"/>
          <w:b/>
          <w:bCs/>
          <w:sz w:val="20"/>
          <w:szCs w:val="20"/>
          <w:u w:val="single"/>
          <w:lang w:val="en-US"/>
        </w:rPr>
      </w:pPr>
      <w:r w:rsidRPr="00D869E3">
        <w:rPr>
          <w:rFonts w:ascii="Verdana" w:hAnsi="Verdana"/>
          <w:bCs/>
          <w:sz w:val="20"/>
          <w:szCs w:val="20"/>
          <w:lang w:val="en-US"/>
        </w:rPr>
        <w:t xml:space="preserve"> </w:t>
      </w:r>
    </w:p>
    <w:p w14:paraId="26A00EA7" w14:textId="7F3EEA35" w:rsidR="00F83E8F" w:rsidRPr="00D869E3" w:rsidRDefault="00F83E8F" w:rsidP="00F83E8F">
      <w:pPr>
        <w:pStyle w:val="Prrafodelista"/>
        <w:ind w:left="708" w:right="738"/>
        <w:jc w:val="both"/>
        <w:rPr>
          <w:rFonts w:ascii="Verdana" w:hAnsi="Verdana"/>
          <w:bCs/>
          <w:sz w:val="16"/>
          <w:szCs w:val="16"/>
          <w:u w:val="single"/>
          <w:lang w:val="en-US"/>
        </w:rPr>
      </w:pPr>
      <w:r w:rsidRPr="00D869E3">
        <w:rPr>
          <w:rFonts w:ascii="Verdana" w:hAnsi="Verdana"/>
          <w:bCs/>
          <w:sz w:val="16"/>
          <w:szCs w:val="16"/>
          <w:lang w:val="en-US"/>
        </w:rPr>
        <w:t>154. […]</w:t>
      </w:r>
      <w:r w:rsidR="00FE7426" w:rsidRPr="00D869E3">
        <w:rPr>
          <w:rFonts w:ascii="Verdana" w:hAnsi="Verdana"/>
          <w:bCs/>
          <w:sz w:val="16"/>
          <w:szCs w:val="16"/>
          <w:lang w:val="en-US"/>
        </w:rPr>
        <w:t xml:space="preserve"> On this basis, </w:t>
      </w:r>
      <w:r w:rsidR="00FE7426" w:rsidRPr="00D869E3">
        <w:rPr>
          <w:rFonts w:ascii="Verdana" w:hAnsi="Verdana"/>
          <w:b/>
          <w:sz w:val="16"/>
          <w:szCs w:val="16"/>
          <w:lang w:val="en-US"/>
        </w:rPr>
        <w:t>th</w:t>
      </w:r>
      <w:r w:rsidR="008B38F5" w:rsidRPr="00D869E3">
        <w:rPr>
          <w:rFonts w:ascii="Verdana" w:hAnsi="Verdana"/>
          <w:b/>
          <w:sz w:val="16"/>
          <w:szCs w:val="16"/>
          <w:lang w:val="en-US"/>
        </w:rPr>
        <w:t>e present</w:t>
      </w:r>
      <w:r w:rsidR="00FE7426" w:rsidRPr="00D869E3">
        <w:rPr>
          <w:rFonts w:ascii="Verdana" w:hAnsi="Verdana"/>
          <w:b/>
          <w:sz w:val="16"/>
          <w:szCs w:val="16"/>
          <w:lang w:val="en-US"/>
        </w:rPr>
        <w:t xml:space="preserve"> judgment develops and substantiates a specific condemnation for the violation of Article 26 of the American Convention on Human Rights</w:t>
      </w:r>
      <w:r w:rsidR="00FE7426" w:rsidRPr="00D869E3">
        <w:rPr>
          <w:rFonts w:ascii="Verdana" w:hAnsi="Verdana"/>
          <w:bCs/>
          <w:sz w:val="16"/>
          <w:szCs w:val="16"/>
          <w:lang w:val="en-US"/>
        </w:rPr>
        <w:t xml:space="preserve">, </w:t>
      </w:r>
      <w:r w:rsidR="00FE7426" w:rsidRPr="00D869E3">
        <w:rPr>
          <w:rFonts w:ascii="Verdana" w:hAnsi="Verdana"/>
          <w:bCs/>
          <w:i/>
          <w:iCs/>
          <w:sz w:val="16"/>
          <w:szCs w:val="16"/>
          <w:lang w:val="en-US"/>
        </w:rPr>
        <w:t>established in Chapter III of this treaty, entitled Economic, Social and Cultural Rights.</w:t>
      </w:r>
      <w:r w:rsidRPr="00D869E3">
        <w:rPr>
          <w:rStyle w:val="Refdenotaalpie"/>
          <w:bCs/>
          <w:i/>
          <w:sz w:val="16"/>
          <w:szCs w:val="16"/>
          <w:lang w:val="en-US"/>
        </w:rPr>
        <w:footnoteReference w:id="319"/>
      </w:r>
    </w:p>
    <w:p w14:paraId="655EDF34"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1DE8A6D1" w14:textId="175648EA" w:rsidR="0051233A" w:rsidRPr="00D869E3" w:rsidRDefault="0051233A"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This initial analysis has allowed us to observe that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d</w:t>
      </w:r>
      <w:r w:rsidRPr="00D869E3">
        <w:rPr>
          <w:rFonts w:ascii="Verdana" w:hAnsi="Verdana"/>
          <w:sz w:val="20"/>
          <w:szCs w:val="20"/>
          <w:lang w:val="en-US"/>
        </w:rPr>
        <w:t xml:space="preserve">eveloped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specifically</w:t>
      </w:r>
      <w:r w:rsidR="00F83E8F" w:rsidRPr="00D869E3">
        <w:rPr>
          <w:rFonts w:ascii="Verdana" w:hAnsi="Verdana"/>
          <w:sz w:val="20"/>
          <w:szCs w:val="20"/>
          <w:lang w:val="en-US"/>
        </w:rPr>
        <w:t xml:space="preserve"> </w:t>
      </w:r>
      <w:r w:rsidR="00BB61A6" w:rsidRPr="00D869E3">
        <w:rPr>
          <w:rFonts w:ascii="Verdana" w:hAnsi="Verdana"/>
          <w:sz w:val="20"/>
          <w:szCs w:val="20"/>
          <w:lang w:val="en-US"/>
        </w:rPr>
        <w:t xml:space="preserve">in relation </w:t>
      </w:r>
      <w:r w:rsidR="002C5EA9" w:rsidRPr="00D869E3">
        <w:rPr>
          <w:rFonts w:ascii="Verdana" w:hAnsi="Verdana"/>
          <w:sz w:val="20"/>
          <w:szCs w:val="20"/>
          <w:lang w:val="en-US"/>
        </w:rPr>
        <w:t>to job security</w:t>
      </w:r>
      <w:r w:rsidRPr="00D869E3">
        <w:rPr>
          <w:rFonts w:ascii="Verdana" w:hAnsi="Verdana"/>
          <w:sz w:val="20"/>
          <w:szCs w:val="20"/>
          <w:lang w:val="en-US"/>
        </w:rPr>
        <w:t xml:space="preserve">. In this regard – and this is the essence of this opinion – the same analysis could have been made regarding the violation of the right to freedom of association for the protection and promotion of workers’ interests. In this way, the Court could have established the differences with previous case law </w:t>
      </w:r>
      <w:r w:rsidR="00DB6347" w:rsidRPr="00D869E3">
        <w:rPr>
          <w:rFonts w:ascii="Verdana" w:hAnsi="Verdana"/>
          <w:sz w:val="20"/>
          <w:szCs w:val="20"/>
          <w:lang w:val="en-US"/>
        </w:rPr>
        <w:t>that related to</w:t>
      </w:r>
      <w:r w:rsidRPr="00D869E3">
        <w:rPr>
          <w:rFonts w:ascii="Verdana" w:hAnsi="Verdana"/>
          <w:sz w:val="20"/>
          <w:szCs w:val="20"/>
          <w:lang w:val="en-US"/>
        </w:rPr>
        <w:t xml:space="preserve"> labor unions.</w:t>
      </w:r>
    </w:p>
    <w:p w14:paraId="06D56EF4"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450E2D14" w14:textId="546579FE" w:rsidR="00F83E8F" w:rsidRPr="00D869E3" w:rsidRDefault="00F83E8F" w:rsidP="00F83E8F">
      <w:pPr>
        <w:pStyle w:val="Prrafodelista"/>
        <w:widowControl w:val="0"/>
        <w:autoSpaceDE w:val="0"/>
        <w:autoSpaceDN w:val="0"/>
        <w:adjustRightInd w:val="0"/>
        <w:ind w:left="0"/>
        <w:jc w:val="center"/>
        <w:rPr>
          <w:rFonts w:ascii="Verdana" w:hAnsi="Verdana"/>
          <w:sz w:val="20"/>
          <w:szCs w:val="20"/>
          <w:lang w:val="en-US"/>
        </w:rPr>
      </w:pPr>
      <w:r w:rsidRPr="00D869E3">
        <w:rPr>
          <w:rFonts w:ascii="Verdana" w:hAnsi="Verdana"/>
          <w:sz w:val="20"/>
          <w:szCs w:val="20"/>
          <w:lang w:val="en-US"/>
        </w:rPr>
        <w:t xml:space="preserve">II.  </w:t>
      </w:r>
      <w:r w:rsidR="000944EB" w:rsidRPr="00D869E3">
        <w:rPr>
          <w:rFonts w:ascii="Verdana" w:hAnsi="Verdana"/>
          <w:sz w:val="20"/>
          <w:szCs w:val="20"/>
          <w:lang w:val="en-US"/>
        </w:rPr>
        <w:t>THE RIGHT TO FREEDOM OF ASSOCIATION IN THE CASE LAW</w:t>
      </w:r>
      <w:r w:rsidRPr="00D869E3">
        <w:rPr>
          <w:rFonts w:ascii="Verdana" w:hAnsi="Verdana"/>
          <w:sz w:val="20"/>
          <w:szCs w:val="20"/>
          <w:lang w:val="en-US"/>
        </w:rPr>
        <w:t xml:space="preserve"> </w:t>
      </w:r>
      <w:r w:rsidR="0051233A" w:rsidRPr="00D869E3">
        <w:rPr>
          <w:rFonts w:ascii="Verdana" w:hAnsi="Verdana"/>
          <w:sz w:val="20"/>
          <w:szCs w:val="20"/>
          <w:lang w:val="en-US"/>
        </w:rPr>
        <w:t>OF THE</w:t>
      </w:r>
      <w:r w:rsidRPr="00D869E3">
        <w:rPr>
          <w:rFonts w:ascii="Verdana" w:hAnsi="Verdana"/>
          <w:sz w:val="20"/>
          <w:szCs w:val="20"/>
          <w:lang w:val="en-US"/>
        </w:rPr>
        <w:t xml:space="preserve"> </w:t>
      </w:r>
    </w:p>
    <w:p w14:paraId="4BE43913" w14:textId="61A1C650" w:rsidR="00F83E8F" w:rsidRPr="00D869E3" w:rsidRDefault="00F83E8F" w:rsidP="00F83E8F">
      <w:pPr>
        <w:pStyle w:val="Prrafodelista"/>
        <w:widowControl w:val="0"/>
        <w:autoSpaceDE w:val="0"/>
        <w:autoSpaceDN w:val="0"/>
        <w:adjustRightInd w:val="0"/>
        <w:ind w:left="0"/>
        <w:jc w:val="center"/>
        <w:rPr>
          <w:rFonts w:ascii="Verdana" w:hAnsi="Verdana"/>
          <w:sz w:val="20"/>
          <w:szCs w:val="20"/>
          <w:lang w:val="en-US"/>
        </w:rPr>
      </w:pPr>
      <w:r w:rsidRPr="00D869E3">
        <w:rPr>
          <w:rFonts w:ascii="Verdana" w:hAnsi="Verdana"/>
          <w:sz w:val="20"/>
          <w:szCs w:val="20"/>
          <w:lang w:val="en-US"/>
        </w:rPr>
        <w:t>INTER</w:t>
      </w:r>
      <w:r w:rsidR="0051233A" w:rsidRPr="00D869E3">
        <w:rPr>
          <w:rFonts w:ascii="Verdana" w:hAnsi="Verdana"/>
          <w:sz w:val="20"/>
          <w:szCs w:val="20"/>
          <w:lang w:val="en-US"/>
        </w:rPr>
        <w:t>-</w:t>
      </w:r>
      <w:r w:rsidRPr="00D869E3">
        <w:rPr>
          <w:rFonts w:ascii="Verdana" w:hAnsi="Verdana"/>
          <w:sz w:val="20"/>
          <w:szCs w:val="20"/>
          <w:lang w:val="en-US"/>
        </w:rPr>
        <w:t>AMERICAN</w:t>
      </w:r>
      <w:r w:rsidR="0051233A" w:rsidRPr="00D869E3">
        <w:rPr>
          <w:rFonts w:ascii="Verdana" w:hAnsi="Verdana"/>
          <w:sz w:val="20"/>
          <w:szCs w:val="20"/>
          <w:lang w:val="en-US"/>
        </w:rPr>
        <w:t xml:space="preserve"> COURT OF </w:t>
      </w:r>
      <w:r w:rsidR="00B443B4" w:rsidRPr="00D869E3">
        <w:rPr>
          <w:rFonts w:ascii="Verdana" w:hAnsi="Verdana"/>
          <w:sz w:val="20"/>
          <w:szCs w:val="20"/>
          <w:lang w:val="en-US"/>
        </w:rPr>
        <w:t>HUMAN RIGHTS</w:t>
      </w:r>
    </w:p>
    <w:p w14:paraId="0D6E5B75" w14:textId="77777777" w:rsidR="00F83E8F" w:rsidRPr="00D869E3" w:rsidRDefault="00F83E8F" w:rsidP="00F83E8F">
      <w:pPr>
        <w:pStyle w:val="Prrafodelista"/>
        <w:widowControl w:val="0"/>
        <w:autoSpaceDE w:val="0"/>
        <w:autoSpaceDN w:val="0"/>
        <w:adjustRightInd w:val="0"/>
        <w:ind w:left="0"/>
        <w:rPr>
          <w:rFonts w:ascii="Verdana" w:hAnsi="Verdana"/>
          <w:sz w:val="20"/>
          <w:szCs w:val="20"/>
          <w:lang w:val="en-US"/>
        </w:rPr>
      </w:pPr>
    </w:p>
    <w:p w14:paraId="5DB74AE7" w14:textId="188CB8C7" w:rsidR="00F83E8F" w:rsidRPr="00D869E3" w:rsidRDefault="00B235CB" w:rsidP="00B235CB">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In the Inter-American Court’s case law, the right to</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 xml:space="preserve">associate freely for labor purpose” has been addressed only in relation to the issue of labor </w:t>
      </w:r>
      <w:r w:rsidR="00DB6347" w:rsidRPr="00D869E3">
        <w:rPr>
          <w:rFonts w:ascii="Verdana" w:hAnsi="Verdana"/>
          <w:sz w:val="20"/>
          <w:szCs w:val="20"/>
          <w:lang w:val="en-US"/>
        </w:rPr>
        <w:t xml:space="preserve">or trade </w:t>
      </w:r>
      <w:r w:rsidRPr="00D869E3">
        <w:rPr>
          <w:rFonts w:ascii="Verdana" w:hAnsi="Verdana"/>
          <w:sz w:val="20"/>
          <w:szCs w:val="20"/>
          <w:lang w:val="en-US"/>
        </w:rPr>
        <w:t xml:space="preserve">unions; that is, the right to </w:t>
      </w:r>
      <w:r w:rsidR="00DB6347" w:rsidRPr="00D869E3">
        <w:rPr>
          <w:rFonts w:ascii="Verdana" w:hAnsi="Verdana"/>
          <w:sz w:val="20"/>
          <w:szCs w:val="20"/>
          <w:lang w:val="en-US"/>
        </w:rPr>
        <w:t>organize and join trade</w:t>
      </w:r>
      <w:r w:rsidRPr="00D869E3">
        <w:rPr>
          <w:rFonts w:ascii="Verdana" w:hAnsi="Verdana"/>
          <w:sz w:val="20"/>
          <w:szCs w:val="20"/>
          <w:lang w:val="en-US"/>
        </w:rPr>
        <w:t xml:space="preserve"> unions. In addition, it is important to point out that even though Article 19(6) of the Additional Protocol to the American Convention in the Area of Economic, Social and Cultural Rights (hereinafter “the Protocol of San Salvador”) includes the right to </w:t>
      </w:r>
      <w:r w:rsidR="00DB6347" w:rsidRPr="00D869E3">
        <w:rPr>
          <w:rFonts w:ascii="Verdana" w:hAnsi="Verdana"/>
          <w:sz w:val="20"/>
          <w:szCs w:val="20"/>
          <w:lang w:val="en-US"/>
        </w:rPr>
        <w:t>organize and join</w:t>
      </w:r>
      <w:r w:rsidRPr="00D869E3">
        <w:rPr>
          <w:rFonts w:ascii="Verdana" w:hAnsi="Verdana"/>
          <w:sz w:val="20"/>
          <w:szCs w:val="20"/>
          <w:lang w:val="en-US"/>
        </w:rPr>
        <w:t xml:space="preserve"> </w:t>
      </w:r>
      <w:r w:rsidR="00DB6347" w:rsidRPr="00D869E3">
        <w:rPr>
          <w:rFonts w:ascii="Verdana" w:hAnsi="Verdana"/>
          <w:sz w:val="20"/>
          <w:szCs w:val="20"/>
          <w:lang w:val="en-US"/>
        </w:rPr>
        <w:t>trade</w:t>
      </w:r>
      <w:r w:rsidRPr="00D869E3">
        <w:rPr>
          <w:rFonts w:ascii="Verdana" w:hAnsi="Verdana"/>
          <w:sz w:val="20"/>
          <w:szCs w:val="20"/>
          <w:lang w:val="en-US"/>
        </w:rPr>
        <w:t xml:space="preserve"> unions</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Pr="00D869E3">
        <w:rPr>
          <w:rFonts w:ascii="Verdana" w:hAnsi="Verdana"/>
          <w:sz w:val="20"/>
          <w:szCs w:val="20"/>
          <w:lang w:val="en-US"/>
        </w:rPr>
        <w:t>as one of the two rights expressly mentioned as enforceable before organs</w:t>
      </w:r>
      <w:r w:rsidR="00EA232B" w:rsidRPr="00D869E3">
        <w:rPr>
          <w:rFonts w:ascii="Verdana" w:hAnsi="Verdana"/>
          <w:sz w:val="20"/>
          <w:szCs w:val="20"/>
          <w:lang w:val="en-US"/>
        </w:rPr>
        <w:t xml:space="preserve"> of the </w:t>
      </w:r>
      <w:r w:rsidR="00671B14" w:rsidRPr="00D869E3">
        <w:rPr>
          <w:rFonts w:ascii="Verdana" w:hAnsi="Verdana"/>
          <w:sz w:val="20"/>
          <w:szCs w:val="20"/>
          <w:lang w:val="en-US"/>
        </w:rPr>
        <w:t>inter-American system</w:t>
      </w:r>
      <w:r w:rsidR="00F83E8F" w:rsidRPr="00D869E3">
        <w:rPr>
          <w:rFonts w:ascii="Verdana" w:hAnsi="Verdana"/>
          <w:sz w:val="20"/>
          <w:szCs w:val="20"/>
          <w:lang w:val="en-US"/>
        </w:rPr>
        <w:t xml:space="preserve">, </w:t>
      </w:r>
      <w:r w:rsidRPr="00D869E3">
        <w:rPr>
          <w:rFonts w:ascii="Verdana" w:hAnsi="Verdana"/>
          <w:sz w:val="20"/>
          <w:szCs w:val="20"/>
          <w:lang w:val="en-US"/>
        </w:rPr>
        <w:t xml:space="preserve">the previous </w:t>
      </w:r>
      <w:r w:rsidRPr="00D869E3">
        <w:rPr>
          <w:rFonts w:ascii="Verdana" w:hAnsi="Verdana"/>
          <w:sz w:val="20"/>
          <w:szCs w:val="20"/>
          <w:lang w:val="en-US"/>
        </w:rPr>
        <w:lastRenderedPageBreak/>
        <w:t xml:space="preserve">case law </w:t>
      </w:r>
      <w:r w:rsidR="00447C65" w:rsidRPr="00D869E3">
        <w:rPr>
          <w:rFonts w:ascii="Verdana" w:hAnsi="Verdana"/>
          <w:sz w:val="20"/>
          <w:szCs w:val="20"/>
          <w:lang w:val="en-US"/>
        </w:rPr>
        <w:t xml:space="preserve">of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subsumed this within the content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Pr="00D869E3">
        <w:rPr>
          <w:rFonts w:ascii="Verdana" w:hAnsi="Verdana"/>
          <w:sz w:val="20"/>
          <w:szCs w:val="20"/>
          <w:lang w:val="en-US"/>
        </w:rPr>
        <w:t>it is illustrative to mention the standards</w:t>
      </w:r>
      <w:r w:rsidR="005201D6" w:rsidRPr="00D869E3">
        <w:rPr>
          <w:rFonts w:ascii="Verdana" w:hAnsi="Verdana"/>
          <w:sz w:val="20"/>
          <w:szCs w:val="20"/>
          <w:lang w:val="en-US"/>
        </w:rPr>
        <w:t xml:space="preserve"> that have been</w:t>
      </w:r>
      <w:r w:rsidRPr="00D869E3">
        <w:rPr>
          <w:rFonts w:ascii="Verdana" w:hAnsi="Verdana"/>
          <w:sz w:val="20"/>
          <w:szCs w:val="20"/>
          <w:lang w:val="en-US"/>
        </w:rPr>
        <w:t xml:space="preserve"> applied to </w:t>
      </w:r>
      <w:r w:rsidR="000F0D48" w:rsidRPr="00D869E3">
        <w:rPr>
          <w:rFonts w:ascii="Verdana" w:hAnsi="Verdana"/>
          <w:sz w:val="20"/>
          <w:szCs w:val="20"/>
          <w:lang w:val="en-US"/>
        </w:rPr>
        <w:t xml:space="preserve">the organization of, and membership in, trade unions </w:t>
      </w:r>
      <w:r w:rsidRPr="00D869E3">
        <w:rPr>
          <w:rFonts w:ascii="Verdana" w:hAnsi="Verdana"/>
          <w:sz w:val="20"/>
          <w:szCs w:val="20"/>
          <w:lang w:val="en-US"/>
        </w:rPr>
        <w:t xml:space="preserve">derived from the </w:t>
      </w:r>
      <w:r w:rsidR="000F0D48" w:rsidRPr="00D869E3">
        <w:rPr>
          <w:rFonts w:ascii="Verdana" w:hAnsi="Verdana"/>
          <w:sz w:val="20"/>
          <w:szCs w:val="20"/>
          <w:lang w:val="en-US"/>
        </w:rPr>
        <w:t>word</w:t>
      </w:r>
      <w:r w:rsidRPr="00D869E3">
        <w:rPr>
          <w:rFonts w:ascii="Verdana" w:hAnsi="Verdana"/>
          <w:sz w:val="20"/>
          <w:szCs w:val="20"/>
          <w:lang w:val="en-US"/>
        </w:rPr>
        <w:t xml:space="preserve"> “labor”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w:t>
      </w:r>
    </w:p>
    <w:p w14:paraId="5BC170FC" w14:textId="77777777" w:rsidR="00F83E8F" w:rsidRPr="00D869E3" w:rsidRDefault="00F83E8F" w:rsidP="00F83E8F">
      <w:pPr>
        <w:pStyle w:val="Prrafodelista"/>
        <w:ind w:left="0"/>
        <w:jc w:val="both"/>
        <w:rPr>
          <w:rFonts w:ascii="Verdana" w:hAnsi="Verdana"/>
          <w:sz w:val="20"/>
          <w:szCs w:val="20"/>
          <w:lang w:val="en-US"/>
        </w:rPr>
      </w:pPr>
    </w:p>
    <w:p w14:paraId="2718510F" w14:textId="126EEF1D" w:rsidR="00F83E8F" w:rsidRPr="00D869E3" w:rsidRDefault="000F0D48" w:rsidP="00B235CB">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In relation to</w:t>
      </w:r>
      <w:r w:rsidR="00B235CB" w:rsidRPr="00D869E3">
        <w:rPr>
          <w:rFonts w:ascii="Verdana" w:hAnsi="Verdana"/>
          <w:sz w:val="20"/>
          <w:szCs w:val="20"/>
          <w:lang w:val="en-US"/>
        </w:rPr>
        <w:t xml:space="preserve"> the Inter-American Court’s contentious function, the matters </w:t>
      </w:r>
      <w:r w:rsidRPr="00D869E3">
        <w:rPr>
          <w:rFonts w:ascii="Verdana" w:hAnsi="Verdana"/>
          <w:sz w:val="20"/>
          <w:szCs w:val="20"/>
          <w:lang w:val="en-US"/>
        </w:rPr>
        <w:t>concerning</w:t>
      </w:r>
      <w:r w:rsidR="00B235CB" w:rsidRPr="00D869E3">
        <w:rPr>
          <w:rFonts w:ascii="Verdana" w:hAnsi="Verdana"/>
          <w:sz w:val="20"/>
          <w:szCs w:val="20"/>
          <w:lang w:val="en-US"/>
        </w:rPr>
        <w:t xml:space="preserve"> labor </w:t>
      </w:r>
      <w:r w:rsidRPr="00D869E3">
        <w:rPr>
          <w:rFonts w:ascii="Verdana" w:hAnsi="Verdana"/>
          <w:sz w:val="20"/>
          <w:szCs w:val="20"/>
          <w:lang w:val="en-US"/>
        </w:rPr>
        <w:t xml:space="preserve">or trade </w:t>
      </w:r>
      <w:r w:rsidR="00B235CB" w:rsidRPr="00D869E3">
        <w:rPr>
          <w:rFonts w:ascii="Verdana" w:hAnsi="Verdana"/>
          <w:sz w:val="20"/>
          <w:szCs w:val="20"/>
          <w:lang w:val="en-US"/>
        </w:rPr>
        <w:t xml:space="preserve">unions and </w:t>
      </w:r>
      <w:r w:rsidRPr="00D869E3">
        <w:rPr>
          <w:rFonts w:ascii="Verdana" w:hAnsi="Verdana"/>
          <w:sz w:val="20"/>
          <w:szCs w:val="20"/>
          <w:lang w:val="en-US"/>
        </w:rPr>
        <w:t xml:space="preserve">freedom of </w:t>
      </w:r>
      <w:r w:rsidR="00B235CB" w:rsidRPr="00D869E3">
        <w:rPr>
          <w:rFonts w:ascii="Verdana" w:hAnsi="Verdana"/>
          <w:sz w:val="20"/>
          <w:szCs w:val="20"/>
          <w:lang w:val="en-US"/>
        </w:rPr>
        <w:t xml:space="preserve">association submitted to its consideration have referred to </w:t>
      </w:r>
      <w:r w:rsidRPr="00D869E3">
        <w:rPr>
          <w:rFonts w:ascii="Verdana" w:hAnsi="Verdana"/>
          <w:sz w:val="20"/>
          <w:szCs w:val="20"/>
          <w:lang w:val="en-US"/>
        </w:rPr>
        <w:t xml:space="preserve">the </w:t>
      </w:r>
      <w:r w:rsidR="00B235CB" w:rsidRPr="00D869E3">
        <w:rPr>
          <w:rFonts w:ascii="Verdana" w:hAnsi="Verdana"/>
          <w:sz w:val="20"/>
          <w:szCs w:val="20"/>
          <w:lang w:val="en-US"/>
        </w:rPr>
        <w:t xml:space="preserve">dismissal of members of </w:t>
      </w:r>
      <w:r w:rsidRPr="00D869E3">
        <w:rPr>
          <w:rFonts w:ascii="Verdana" w:hAnsi="Verdana"/>
          <w:sz w:val="20"/>
          <w:szCs w:val="20"/>
          <w:lang w:val="en-US"/>
        </w:rPr>
        <w:t>labor</w:t>
      </w:r>
      <w:r w:rsidR="00B235CB" w:rsidRPr="00D869E3">
        <w:rPr>
          <w:rFonts w:ascii="Verdana" w:hAnsi="Verdana"/>
          <w:sz w:val="20"/>
          <w:szCs w:val="20"/>
          <w:lang w:val="en-US"/>
        </w:rPr>
        <w:t xml:space="preserve"> unions and the execution of </w:t>
      </w:r>
      <w:r w:rsidRPr="00D869E3">
        <w:rPr>
          <w:rFonts w:ascii="Verdana" w:hAnsi="Verdana"/>
          <w:sz w:val="20"/>
          <w:szCs w:val="20"/>
          <w:lang w:val="en-US"/>
        </w:rPr>
        <w:t xml:space="preserve">labor </w:t>
      </w:r>
      <w:r w:rsidR="00B235CB" w:rsidRPr="00D869E3">
        <w:rPr>
          <w:rFonts w:ascii="Verdana" w:hAnsi="Verdana"/>
          <w:sz w:val="20"/>
          <w:szCs w:val="20"/>
          <w:lang w:val="en-US"/>
        </w:rPr>
        <w:t xml:space="preserve">union leaders. In the cases of </w:t>
      </w:r>
      <w:r w:rsidR="00F83E8F" w:rsidRPr="00D869E3">
        <w:rPr>
          <w:rFonts w:ascii="Verdana" w:hAnsi="Verdana"/>
          <w:i/>
          <w:sz w:val="20"/>
          <w:szCs w:val="20"/>
          <w:lang w:val="en-US"/>
        </w:rPr>
        <w:t xml:space="preserve">Baena Ricardo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B235CB" w:rsidRPr="00D869E3">
        <w:rPr>
          <w:rFonts w:ascii="Verdana" w:hAnsi="Verdana"/>
          <w:i/>
          <w:sz w:val="20"/>
          <w:szCs w:val="20"/>
          <w:lang w:val="en-US"/>
        </w:rPr>
        <w:t>Panama,</w:t>
      </w:r>
      <w:r w:rsidR="00F83E8F" w:rsidRPr="00D869E3">
        <w:rPr>
          <w:rStyle w:val="Refdenotaalpie"/>
          <w:i/>
          <w:szCs w:val="20"/>
          <w:lang w:val="en-US"/>
        </w:rPr>
        <w:footnoteReference w:id="320"/>
      </w:r>
      <w:r w:rsidR="00F83E8F" w:rsidRPr="00D869E3">
        <w:rPr>
          <w:rFonts w:ascii="Verdana" w:hAnsi="Verdana"/>
          <w:sz w:val="20"/>
          <w:szCs w:val="20"/>
          <w:lang w:val="en-US"/>
        </w:rPr>
        <w:t xml:space="preserve"> </w:t>
      </w:r>
      <w:r w:rsidR="00F83E8F" w:rsidRPr="00D869E3">
        <w:rPr>
          <w:rFonts w:ascii="Verdana" w:hAnsi="Verdana"/>
          <w:i/>
          <w:sz w:val="20"/>
          <w:szCs w:val="20"/>
          <w:lang w:val="en-US"/>
        </w:rPr>
        <w:t xml:space="preserve">Huilca Tecse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00F83E8F" w:rsidRPr="00D869E3">
        <w:rPr>
          <w:rStyle w:val="Refdenotaalpie"/>
          <w:i/>
          <w:szCs w:val="20"/>
          <w:lang w:val="en-US"/>
        </w:rPr>
        <w:footnoteReference w:id="321"/>
      </w:r>
      <w:r w:rsidR="00687684" w:rsidRPr="00D869E3">
        <w:rPr>
          <w:rFonts w:ascii="Verdana" w:hAnsi="Verdana"/>
          <w:i/>
          <w:sz w:val="20"/>
          <w:szCs w:val="20"/>
          <w:lang w:val="en-US"/>
        </w:rPr>
        <w:t xml:space="preserve"> </w:t>
      </w:r>
      <w:r w:rsidR="00687684" w:rsidRPr="00D869E3">
        <w:rPr>
          <w:rFonts w:ascii="Verdana" w:hAnsi="Verdana"/>
          <w:iCs/>
          <w:sz w:val="20"/>
          <w:szCs w:val="20"/>
          <w:lang w:val="en-US"/>
        </w:rPr>
        <w:t>and</w:t>
      </w:r>
      <w:r w:rsidR="00687684" w:rsidRPr="00D869E3">
        <w:rPr>
          <w:rFonts w:ascii="Verdana" w:hAnsi="Verdana"/>
          <w:i/>
          <w:sz w:val="20"/>
          <w:szCs w:val="20"/>
          <w:lang w:val="en-US"/>
        </w:rPr>
        <w:t xml:space="preserve"> </w:t>
      </w:r>
      <w:r w:rsidR="00F83E8F" w:rsidRPr="00D869E3">
        <w:rPr>
          <w:rFonts w:ascii="Verdana" w:hAnsi="Verdana"/>
          <w:i/>
          <w:sz w:val="20"/>
          <w:szCs w:val="20"/>
          <w:lang w:val="en-US"/>
        </w:rPr>
        <w:t>Cantoral Huamaní</w:t>
      </w:r>
      <w:r w:rsidR="00687684" w:rsidRPr="00D869E3">
        <w:rPr>
          <w:rFonts w:ascii="Verdana" w:hAnsi="Verdana"/>
          <w:i/>
          <w:sz w:val="20"/>
          <w:szCs w:val="20"/>
          <w:lang w:val="en-US"/>
        </w:rPr>
        <w:t xml:space="preserve"> and </w:t>
      </w:r>
      <w:r w:rsidR="00F83E8F" w:rsidRPr="00D869E3">
        <w:rPr>
          <w:rFonts w:ascii="Verdana" w:hAnsi="Verdana"/>
          <w:i/>
          <w:sz w:val="20"/>
          <w:szCs w:val="20"/>
          <w:lang w:val="en-US"/>
        </w:rPr>
        <w:t xml:space="preserve">García Santa Cruz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w:t>
      </w:r>
      <w:r w:rsidR="00447C65" w:rsidRPr="00D869E3">
        <w:rPr>
          <w:rFonts w:ascii="Verdana" w:hAnsi="Verdana"/>
          <w:i/>
          <w:sz w:val="20"/>
          <w:szCs w:val="20"/>
          <w:lang w:val="en-US"/>
        </w:rPr>
        <w:t>Peru</w:t>
      </w:r>
      <w:r w:rsidR="00B235CB" w:rsidRPr="00D869E3">
        <w:rPr>
          <w:rFonts w:ascii="Verdana" w:hAnsi="Verdana"/>
          <w:i/>
          <w:sz w:val="20"/>
          <w:szCs w:val="20"/>
          <w:lang w:val="en-US"/>
        </w:rPr>
        <w:t>,</w:t>
      </w:r>
      <w:r w:rsidR="00F83E8F" w:rsidRPr="00D869E3">
        <w:rPr>
          <w:rStyle w:val="Refdenotaalpie"/>
          <w:i/>
          <w:szCs w:val="20"/>
          <w:lang w:val="en-US"/>
        </w:rPr>
        <w:footnoteReference w:id="322"/>
      </w:r>
      <w:r w:rsidR="00F83E8F" w:rsidRPr="00D869E3">
        <w:rPr>
          <w:rFonts w:ascii="Verdana" w:hAnsi="Verdana"/>
          <w:i/>
          <w:sz w:val="20"/>
          <w:szCs w:val="20"/>
          <w:lang w:val="en-US"/>
        </w:rPr>
        <w:t xml:space="preserve">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B235CB" w:rsidRPr="00D869E3">
        <w:rPr>
          <w:rFonts w:ascii="Verdana" w:hAnsi="Verdana"/>
          <w:sz w:val="20"/>
          <w:szCs w:val="20"/>
          <w:lang w:val="en-US"/>
        </w:rPr>
        <w:t>developed the content of the right to associate for “labor” purposes established in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B235CB" w:rsidRPr="00D869E3">
        <w:rPr>
          <w:rFonts w:ascii="Verdana" w:hAnsi="Verdana"/>
          <w:sz w:val="20"/>
          <w:szCs w:val="20"/>
          <w:lang w:val="en-US"/>
        </w:rPr>
        <w:t xml:space="preserve"> in relation to violations of </w:t>
      </w:r>
      <w:r w:rsidRPr="00D869E3">
        <w:rPr>
          <w:rFonts w:ascii="Verdana" w:hAnsi="Verdana"/>
          <w:sz w:val="20"/>
          <w:szCs w:val="20"/>
          <w:lang w:val="en-US"/>
        </w:rPr>
        <w:t xml:space="preserve">freedom of association in a trade or labor </w:t>
      </w:r>
      <w:r w:rsidR="00B235CB" w:rsidRPr="00D869E3">
        <w:rPr>
          <w:rFonts w:ascii="Verdana" w:hAnsi="Verdana"/>
          <w:sz w:val="20"/>
          <w:szCs w:val="20"/>
          <w:lang w:val="en-US"/>
        </w:rPr>
        <w:t>union.</w:t>
      </w:r>
    </w:p>
    <w:p w14:paraId="6AEA7A4C" w14:textId="77777777" w:rsidR="00F83E8F" w:rsidRPr="00D869E3" w:rsidRDefault="00F83E8F" w:rsidP="00F83E8F">
      <w:pPr>
        <w:pStyle w:val="Prrafodelista"/>
        <w:ind w:left="0"/>
        <w:jc w:val="both"/>
        <w:rPr>
          <w:rFonts w:ascii="Verdana" w:hAnsi="Verdana"/>
          <w:sz w:val="20"/>
          <w:szCs w:val="20"/>
          <w:lang w:val="en-US"/>
        </w:rPr>
      </w:pPr>
    </w:p>
    <w:p w14:paraId="4062AB3F" w14:textId="1A5F5E0B" w:rsidR="00F83E8F" w:rsidRPr="00D869E3" w:rsidRDefault="00B235CB" w:rsidP="00B235CB">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In the case of</w:t>
      </w:r>
      <w:r w:rsidR="00F83E8F" w:rsidRPr="00D869E3">
        <w:rPr>
          <w:rFonts w:ascii="Verdana" w:hAnsi="Verdana"/>
          <w:sz w:val="20"/>
          <w:szCs w:val="20"/>
          <w:lang w:val="en-US"/>
        </w:rPr>
        <w:t xml:space="preserve"> </w:t>
      </w:r>
      <w:r w:rsidR="00F83E8F" w:rsidRPr="00D869E3">
        <w:rPr>
          <w:rFonts w:ascii="Verdana" w:hAnsi="Verdana"/>
          <w:i/>
          <w:sz w:val="20"/>
          <w:szCs w:val="20"/>
          <w:lang w:val="en-US"/>
        </w:rPr>
        <w:t xml:space="preserve">Baena Ricardo </w:t>
      </w:r>
      <w:r w:rsidR="001268E2" w:rsidRPr="00D869E3">
        <w:rPr>
          <w:rFonts w:ascii="Verdana" w:hAnsi="Verdana"/>
          <w:i/>
          <w:sz w:val="20"/>
          <w:szCs w:val="20"/>
          <w:lang w:val="en-US"/>
        </w:rPr>
        <w:t>v.</w:t>
      </w:r>
      <w:r w:rsidR="00F83E8F" w:rsidRPr="00D869E3">
        <w:rPr>
          <w:rFonts w:ascii="Verdana" w:hAnsi="Verdana"/>
          <w:i/>
          <w:sz w:val="20"/>
          <w:szCs w:val="20"/>
          <w:lang w:val="en-US"/>
        </w:rPr>
        <w:t xml:space="preserve"> </w:t>
      </w:r>
      <w:r w:rsidRPr="00D869E3">
        <w:rPr>
          <w:rFonts w:ascii="Verdana" w:hAnsi="Verdana"/>
          <w:i/>
          <w:sz w:val="20"/>
          <w:szCs w:val="20"/>
          <w:lang w:val="en-US"/>
        </w:rPr>
        <w:t>Panama</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Pr="00D869E3">
        <w:rPr>
          <w:rFonts w:ascii="Verdana" w:hAnsi="Verdana"/>
          <w:sz w:val="20"/>
          <w:szCs w:val="20"/>
          <w:lang w:val="en-US"/>
        </w:rPr>
        <w:t xml:space="preserve">ed that, in order to analyze whether the right to freedom of association had been violated, this should be examined in relation to labor union freedom. Thus, it considered that, in labor unions matters,  freedom of association consisted basically in the ability to constitute labor unions and set in motion their internal structure, activities and program of action, without any intervention by the public authorities that could limit or impair the exercise of the respective right. This freedom also supposed that each person </w:t>
      </w:r>
      <w:r w:rsidR="000F0D48" w:rsidRPr="00D869E3">
        <w:rPr>
          <w:rFonts w:ascii="Verdana" w:hAnsi="Verdana"/>
          <w:sz w:val="20"/>
          <w:szCs w:val="20"/>
          <w:lang w:val="en-US"/>
        </w:rPr>
        <w:t>could</w:t>
      </w:r>
      <w:r w:rsidRPr="00D869E3">
        <w:rPr>
          <w:rFonts w:ascii="Verdana" w:hAnsi="Verdana"/>
          <w:sz w:val="20"/>
          <w:szCs w:val="20"/>
          <w:lang w:val="en-US"/>
        </w:rPr>
        <w:t xml:space="preserve"> determine, without any pressure, whether or not they wish</w:t>
      </w:r>
      <w:r w:rsidR="000F0D48" w:rsidRPr="00D869E3">
        <w:rPr>
          <w:rFonts w:ascii="Verdana" w:hAnsi="Verdana"/>
          <w:sz w:val="20"/>
          <w:szCs w:val="20"/>
          <w:lang w:val="en-US"/>
        </w:rPr>
        <w:t>ed</w:t>
      </w:r>
      <w:r w:rsidRPr="00D869E3">
        <w:rPr>
          <w:rFonts w:ascii="Verdana" w:hAnsi="Verdana"/>
          <w:sz w:val="20"/>
          <w:szCs w:val="20"/>
          <w:lang w:val="en-US"/>
        </w:rPr>
        <w:t xml:space="preserve"> to form part of the association. In other words, this relate</w:t>
      </w:r>
      <w:r w:rsidR="000F0D48" w:rsidRPr="00D869E3">
        <w:rPr>
          <w:rFonts w:ascii="Verdana" w:hAnsi="Verdana"/>
          <w:sz w:val="20"/>
          <w:szCs w:val="20"/>
          <w:lang w:val="en-US"/>
        </w:rPr>
        <w:t>d</w:t>
      </w:r>
      <w:r w:rsidRPr="00D869E3">
        <w:rPr>
          <w:rFonts w:ascii="Verdana" w:hAnsi="Verdana"/>
          <w:sz w:val="20"/>
          <w:szCs w:val="20"/>
          <w:lang w:val="en-US"/>
        </w:rPr>
        <w:t xml:space="preserve"> to the basic right to associate in order to achieve a legitimate purpose without pressure or interference that could alter or denature that purpose.</w:t>
      </w:r>
      <w:r w:rsidR="00F83E8F" w:rsidRPr="00D869E3">
        <w:rPr>
          <w:rStyle w:val="Refdenotaalpie"/>
          <w:szCs w:val="20"/>
          <w:lang w:val="en-US"/>
        </w:rPr>
        <w:footnoteReference w:id="323"/>
      </w:r>
    </w:p>
    <w:p w14:paraId="24507079" w14:textId="77777777" w:rsidR="00F83E8F" w:rsidRPr="00D869E3" w:rsidRDefault="00F83E8F" w:rsidP="00F83E8F">
      <w:pPr>
        <w:jc w:val="both"/>
        <w:rPr>
          <w:rFonts w:ascii="Verdana" w:hAnsi="Verdana"/>
          <w:sz w:val="20"/>
          <w:szCs w:val="20"/>
          <w:lang w:val="en-US"/>
        </w:rPr>
      </w:pPr>
    </w:p>
    <w:p w14:paraId="3CF78A9A" w14:textId="3C72593F" w:rsidR="00F83E8F" w:rsidRPr="00D869E3" w:rsidRDefault="00075E68" w:rsidP="00E70701">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00202DFB" w:rsidRPr="00D869E3">
        <w:rPr>
          <w:rFonts w:ascii="Verdana" w:hAnsi="Verdana"/>
          <w:sz w:val="20"/>
          <w:szCs w:val="20"/>
          <w:lang w:val="en-US"/>
        </w:rPr>
        <w:t>ed</w:t>
      </w:r>
      <w:r w:rsidR="00F83E8F" w:rsidRPr="00D869E3">
        <w:rPr>
          <w:rFonts w:ascii="Verdana" w:hAnsi="Verdana"/>
          <w:sz w:val="20"/>
          <w:szCs w:val="20"/>
          <w:lang w:val="en-US"/>
        </w:rPr>
        <w:t xml:space="preserve"> </w:t>
      </w:r>
      <w:r w:rsidR="00202DFB" w:rsidRPr="00D869E3">
        <w:rPr>
          <w:rFonts w:ascii="Verdana" w:hAnsi="Verdana"/>
          <w:sz w:val="20"/>
          <w:szCs w:val="20"/>
          <w:lang w:val="en-US"/>
        </w:rPr>
        <w:t>that</w:t>
      </w:r>
      <w:r w:rsidR="00F83E8F"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00F83E8F" w:rsidRPr="00D869E3">
        <w:rPr>
          <w:rFonts w:ascii="Verdana" w:hAnsi="Verdana"/>
          <w:sz w:val="20"/>
          <w:szCs w:val="20"/>
          <w:lang w:val="en-US"/>
        </w:rPr>
        <w:t xml:space="preserve">, </w:t>
      </w:r>
      <w:r w:rsidR="00202DFB" w:rsidRPr="00D869E3">
        <w:rPr>
          <w:rFonts w:ascii="Verdana" w:hAnsi="Verdana"/>
          <w:sz w:val="20"/>
          <w:szCs w:val="20"/>
          <w:lang w:val="en-US"/>
        </w:rPr>
        <w:t xml:space="preserve">in relation to labor unions, was of great importance for the defense of the legitimate interests of workers and was part of the </w:t>
      </w:r>
      <w:r w:rsidR="00F83E8F" w:rsidRPr="00D869E3">
        <w:rPr>
          <w:rFonts w:ascii="Verdana" w:hAnsi="Verdana"/>
          <w:i/>
          <w:sz w:val="20"/>
          <w:szCs w:val="20"/>
          <w:lang w:val="en-US"/>
        </w:rPr>
        <w:t>corpus juris</w:t>
      </w:r>
      <w:r w:rsidR="00F83E8F" w:rsidRPr="00D869E3">
        <w:rPr>
          <w:rFonts w:ascii="Verdana" w:hAnsi="Verdana"/>
          <w:sz w:val="20"/>
          <w:szCs w:val="20"/>
          <w:lang w:val="en-US"/>
        </w:rPr>
        <w:t xml:space="preserve"> </w:t>
      </w:r>
      <w:r w:rsidR="00202DFB" w:rsidRPr="00D869E3">
        <w:rPr>
          <w:rFonts w:ascii="Verdana" w:hAnsi="Verdana"/>
          <w:sz w:val="20"/>
          <w:szCs w:val="20"/>
          <w:lang w:val="en-US"/>
        </w:rPr>
        <w:t>of</w:t>
      </w:r>
      <w:r w:rsidR="00F83E8F" w:rsidRPr="00D869E3">
        <w:rPr>
          <w:rFonts w:ascii="Verdana" w:hAnsi="Verdana"/>
          <w:sz w:val="20"/>
          <w:szCs w:val="20"/>
          <w:lang w:val="en-US"/>
        </w:rPr>
        <w:t xml:space="preserve"> </w:t>
      </w:r>
      <w:r w:rsidR="00B443B4" w:rsidRPr="00D869E3">
        <w:rPr>
          <w:rFonts w:ascii="Verdana" w:hAnsi="Verdana"/>
          <w:sz w:val="20"/>
          <w:szCs w:val="20"/>
          <w:lang w:val="en-US"/>
        </w:rPr>
        <w:t>human rights</w:t>
      </w:r>
      <w:r w:rsidR="00202DFB" w:rsidRPr="00D869E3">
        <w:rPr>
          <w:rFonts w:ascii="Verdana" w:hAnsi="Verdana"/>
          <w:sz w:val="20"/>
          <w:szCs w:val="20"/>
          <w:lang w:val="en-US"/>
        </w:rPr>
        <w:t>.</w:t>
      </w:r>
      <w:r w:rsidR="00F83E8F" w:rsidRPr="00D869E3">
        <w:rPr>
          <w:rStyle w:val="Refdenotaalpie"/>
          <w:szCs w:val="20"/>
          <w:lang w:val="en-US"/>
        </w:rPr>
        <w:footnoteReference w:id="324"/>
      </w:r>
      <w:r w:rsidR="00F83E8F" w:rsidRPr="00D869E3">
        <w:rPr>
          <w:rFonts w:ascii="Verdana" w:hAnsi="Verdana"/>
          <w:sz w:val="20"/>
          <w:szCs w:val="20"/>
          <w:lang w:val="en-US"/>
        </w:rPr>
        <w:t xml:space="preserve"> </w:t>
      </w:r>
      <w:r w:rsidR="00202DFB" w:rsidRPr="00D869E3">
        <w:rPr>
          <w:rFonts w:ascii="Verdana" w:hAnsi="Verdana"/>
          <w:sz w:val="20"/>
          <w:szCs w:val="20"/>
          <w:lang w:val="en-US"/>
        </w:rPr>
        <w:t>In labor matters</w:t>
      </w:r>
      <w:r w:rsidR="00F83E8F"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00F83E8F" w:rsidRPr="00D869E3">
        <w:rPr>
          <w:rFonts w:ascii="Verdana" w:hAnsi="Verdana"/>
          <w:sz w:val="20"/>
          <w:szCs w:val="20"/>
          <w:lang w:val="en-US"/>
        </w:rPr>
        <w:t xml:space="preserve">, </w:t>
      </w:r>
      <w:r w:rsidR="00202DFB" w:rsidRPr="00D869E3">
        <w:rPr>
          <w:rFonts w:ascii="Verdana" w:hAnsi="Verdana"/>
          <w:sz w:val="20"/>
          <w:szCs w:val="20"/>
          <w:lang w:val="en-US"/>
        </w:rPr>
        <w:t>according to</w:t>
      </w:r>
      <w:r w:rsidR="00687684" w:rsidRPr="00D869E3">
        <w:rPr>
          <w:rFonts w:ascii="Verdana" w:hAnsi="Verdana"/>
          <w:sz w:val="20"/>
          <w:szCs w:val="20"/>
          <w:lang w:val="en-US"/>
        </w:rPr>
        <w:t xml:space="preserve"> 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202DFB" w:rsidRPr="00D869E3">
        <w:rPr>
          <w:rFonts w:ascii="Verdana" w:hAnsi="Verdana"/>
          <w:sz w:val="20"/>
          <w:szCs w:val="20"/>
          <w:lang w:val="en-US"/>
        </w:rPr>
        <w:t xml:space="preserve">includes a right and a freedom: </w:t>
      </w:r>
      <w:r w:rsidR="00F83E8F" w:rsidRPr="00D869E3">
        <w:rPr>
          <w:rFonts w:ascii="Verdana" w:hAnsi="Verdana"/>
          <w:sz w:val="20"/>
          <w:szCs w:val="20"/>
          <w:lang w:val="en-US"/>
        </w:rPr>
        <w:t xml:space="preserve">(i) </w:t>
      </w:r>
      <w:r w:rsidR="00202DFB" w:rsidRPr="00D869E3">
        <w:rPr>
          <w:rFonts w:ascii="Verdana" w:hAnsi="Verdana"/>
          <w:sz w:val="20"/>
          <w:szCs w:val="20"/>
          <w:lang w:val="en-US"/>
        </w:rPr>
        <w:t xml:space="preserve">the right to form associations, subject only to the restrictions established in paragraphs 2 and 3 of the said Article </w:t>
      </w:r>
      <w:r w:rsidR="00F83E8F" w:rsidRPr="00D869E3">
        <w:rPr>
          <w:rFonts w:ascii="Verdana" w:hAnsi="Verdana"/>
          <w:sz w:val="20"/>
          <w:szCs w:val="20"/>
          <w:lang w:val="en-US"/>
        </w:rPr>
        <w:t>16</w:t>
      </w:r>
      <w:r w:rsidR="00202DFB" w:rsidRPr="00D869E3">
        <w:rPr>
          <w:rFonts w:ascii="Verdana" w:hAnsi="Verdana"/>
          <w:sz w:val="20"/>
          <w:szCs w:val="20"/>
          <w:lang w:val="en-US"/>
        </w:rPr>
        <w:t>,</w:t>
      </w:r>
      <w:r w:rsidR="00F83E8F" w:rsidRPr="00D869E3">
        <w:rPr>
          <w:rStyle w:val="Refdenotaalpie"/>
          <w:szCs w:val="20"/>
          <w:lang w:val="en-US"/>
        </w:rPr>
        <w:footnoteReference w:id="325"/>
      </w:r>
      <w:r w:rsidR="00687684" w:rsidRPr="00D869E3">
        <w:rPr>
          <w:rFonts w:ascii="Verdana" w:hAnsi="Verdana"/>
          <w:sz w:val="20"/>
          <w:szCs w:val="20"/>
          <w:lang w:val="en-US"/>
        </w:rPr>
        <w:t xml:space="preserve"> and </w:t>
      </w:r>
      <w:r w:rsidR="00F83E8F" w:rsidRPr="00D869E3">
        <w:rPr>
          <w:rFonts w:ascii="Verdana" w:hAnsi="Verdana"/>
          <w:sz w:val="20"/>
          <w:szCs w:val="20"/>
          <w:lang w:val="en-US"/>
        </w:rPr>
        <w:t xml:space="preserve">(ii) </w:t>
      </w:r>
      <w:r w:rsidR="00202DFB" w:rsidRPr="00D869E3">
        <w:rPr>
          <w:rFonts w:ascii="Verdana" w:hAnsi="Verdana"/>
          <w:sz w:val="20"/>
          <w:szCs w:val="20"/>
          <w:lang w:val="en-US"/>
        </w:rPr>
        <w:t>the freedom of everyone not to be compelled or obliged to join a labor union.</w:t>
      </w:r>
      <w:r w:rsidR="00F83E8F" w:rsidRPr="00D869E3">
        <w:rPr>
          <w:rStyle w:val="Refdenotaalpie"/>
          <w:szCs w:val="20"/>
          <w:lang w:val="en-US"/>
        </w:rPr>
        <w:footnoteReference w:id="326"/>
      </w:r>
      <w:r w:rsidR="00F83E8F" w:rsidRPr="00D869E3">
        <w:rPr>
          <w:rFonts w:ascii="Verdana" w:hAnsi="Verdana"/>
          <w:sz w:val="20"/>
          <w:szCs w:val="20"/>
          <w:lang w:val="en-US"/>
        </w:rPr>
        <w:t xml:space="preserve"> </w:t>
      </w:r>
    </w:p>
    <w:p w14:paraId="7F8D1C12" w14:textId="77777777" w:rsidR="00F83E8F" w:rsidRPr="00D869E3" w:rsidRDefault="00F83E8F" w:rsidP="00F83E8F">
      <w:pPr>
        <w:jc w:val="both"/>
        <w:rPr>
          <w:rFonts w:ascii="Verdana" w:hAnsi="Verdana"/>
          <w:sz w:val="20"/>
          <w:szCs w:val="20"/>
          <w:lang w:val="en-US"/>
        </w:rPr>
      </w:pPr>
    </w:p>
    <w:p w14:paraId="637ACE7B" w14:textId="7FF7D117" w:rsidR="00F83E8F" w:rsidRPr="00D869E3" w:rsidRDefault="00202DFB" w:rsidP="008B2ED2">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In the case of</w:t>
      </w:r>
      <w:r w:rsidR="00F83E8F" w:rsidRPr="00D869E3">
        <w:rPr>
          <w:rFonts w:ascii="Verdana" w:hAnsi="Verdana"/>
          <w:sz w:val="20"/>
          <w:szCs w:val="20"/>
          <w:lang w:val="en-US"/>
        </w:rPr>
        <w:t xml:space="preserve"> </w:t>
      </w:r>
      <w:r w:rsidR="00F83E8F" w:rsidRPr="00D869E3">
        <w:rPr>
          <w:rFonts w:ascii="Verdana" w:hAnsi="Verdana"/>
          <w:i/>
          <w:sz w:val="20"/>
          <w:szCs w:val="20"/>
          <w:lang w:val="en-US"/>
        </w:rPr>
        <w:t>Huilca Tecse</w:t>
      </w:r>
      <w:r w:rsidR="00F83E8F" w:rsidRPr="00D869E3">
        <w:rPr>
          <w:rFonts w:ascii="Verdana" w:hAnsi="Verdana"/>
          <w:sz w:val="20"/>
          <w:szCs w:val="20"/>
          <w:lang w:val="en-US"/>
        </w:rPr>
        <w:t xml:space="preserve">, </w:t>
      </w:r>
      <w:r w:rsidRPr="00D869E3">
        <w:rPr>
          <w:rFonts w:ascii="Verdana" w:hAnsi="Verdana"/>
          <w:sz w:val="20"/>
          <w:szCs w:val="20"/>
          <w:lang w:val="en-US"/>
        </w:rPr>
        <w:t>following the</w:t>
      </w:r>
      <w:r w:rsidR="000F0D48" w:rsidRPr="00D869E3">
        <w:rPr>
          <w:rFonts w:ascii="Verdana" w:hAnsi="Verdana"/>
          <w:sz w:val="20"/>
          <w:szCs w:val="20"/>
          <w:lang w:val="en-US"/>
        </w:rPr>
        <w:t xml:space="preserve"> Peruvian State’s</w:t>
      </w:r>
      <w:r w:rsidRPr="00D869E3">
        <w:rPr>
          <w:rFonts w:ascii="Verdana" w:hAnsi="Verdana"/>
          <w:sz w:val="20"/>
          <w:szCs w:val="20"/>
          <w:lang w:val="en-US"/>
        </w:rPr>
        <w:t xml:space="preserve"> acknowledgement of international responsibility,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Pr="00D869E3">
        <w:rPr>
          <w:rFonts w:ascii="Verdana" w:hAnsi="Verdana"/>
          <w:sz w:val="20"/>
          <w:szCs w:val="20"/>
          <w:lang w:val="en-US"/>
        </w:rPr>
        <w:t xml:space="preserve">ed that the extrajudicial execution of </w:t>
      </w:r>
      <w:r w:rsidR="00F83E8F" w:rsidRPr="00D869E3">
        <w:rPr>
          <w:rFonts w:ascii="Verdana" w:hAnsi="Verdana"/>
          <w:sz w:val="20"/>
          <w:szCs w:val="20"/>
          <w:lang w:val="en-US"/>
        </w:rPr>
        <w:t xml:space="preserve">Pedro Huilca Tecse </w:t>
      </w:r>
      <w:r w:rsidR="00F83E8F" w:rsidRPr="00D869E3">
        <w:rPr>
          <w:rFonts w:ascii="Verdana" w:hAnsi="Verdana"/>
          <w:i/>
          <w:sz w:val="20"/>
          <w:szCs w:val="20"/>
          <w:u w:val="single"/>
          <w:lang w:val="en-US"/>
        </w:rPr>
        <w:t>ha</w:t>
      </w:r>
      <w:r w:rsidRPr="00D869E3">
        <w:rPr>
          <w:rFonts w:ascii="Verdana" w:hAnsi="Verdana"/>
          <w:i/>
          <w:sz w:val="20"/>
          <w:szCs w:val="20"/>
          <w:u w:val="single"/>
          <w:lang w:val="en-US"/>
        </w:rPr>
        <w:t>d constituted</w:t>
      </w:r>
      <w:r w:rsidR="000F0D48" w:rsidRPr="00D869E3">
        <w:rPr>
          <w:rFonts w:ascii="Verdana" w:hAnsi="Verdana"/>
          <w:i/>
          <w:sz w:val="20"/>
          <w:szCs w:val="20"/>
          <w:u w:val="single"/>
          <w:lang w:val="en-US"/>
        </w:rPr>
        <w:t xml:space="preserve"> </w:t>
      </w:r>
      <w:r w:rsidRPr="00D869E3">
        <w:rPr>
          <w:rFonts w:ascii="Verdana" w:hAnsi="Verdana"/>
          <w:i/>
          <w:sz w:val="20"/>
          <w:szCs w:val="20"/>
          <w:u w:val="single"/>
          <w:lang w:val="en-US"/>
        </w:rPr>
        <w:t xml:space="preserve">a violation of the content </w:t>
      </w:r>
      <w:r w:rsidR="00A157F5" w:rsidRPr="00D869E3">
        <w:rPr>
          <w:rFonts w:ascii="Verdana" w:hAnsi="Verdana"/>
          <w:i/>
          <w:sz w:val="20"/>
          <w:szCs w:val="20"/>
          <w:u w:val="single"/>
          <w:lang w:val="en-US"/>
        </w:rPr>
        <w:t xml:space="preserve">of the </w:t>
      </w:r>
      <w:r w:rsidR="000B2E5E" w:rsidRPr="00D869E3">
        <w:rPr>
          <w:rFonts w:ascii="Verdana" w:hAnsi="Verdana"/>
          <w:i/>
          <w:sz w:val="20"/>
          <w:szCs w:val="20"/>
          <w:u w:val="single"/>
          <w:lang w:val="en-US"/>
        </w:rPr>
        <w:t>right to</w:t>
      </w:r>
      <w:r w:rsidR="00F83E8F" w:rsidRPr="00D869E3">
        <w:rPr>
          <w:rFonts w:ascii="Verdana" w:hAnsi="Verdana"/>
          <w:i/>
          <w:sz w:val="20"/>
          <w:szCs w:val="20"/>
          <w:u w:val="single"/>
          <w:lang w:val="en-US"/>
        </w:rPr>
        <w:t xml:space="preserve"> </w:t>
      </w:r>
      <w:r w:rsidR="00351902" w:rsidRPr="00D869E3">
        <w:rPr>
          <w:rFonts w:ascii="Verdana" w:hAnsi="Verdana"/>
          <w:i/>
          <w:sz w:val="20"/>
          <w:szCs w:val="20"/>
          <w:u w:val="single"/>
          <w:lang w:val="en-US"/>
        </w:rPr>
        <w:t>freedom of association</w:t>
      </w:r>
      <w:r w:rsidR="00F83E8F" w:rsidRPr="00D869E3">
        <w:rPr>
          <w:rFonts w:ascii="Verdana" w:hAnsi="Verdana"/>
          <w:i/>
          <w:sz w:val="20"/>
          <w:szCs w:val="20"/>
          <w:u w:val="single"/>
          <w:lang w:val="en-US"/>
        </w:rPr>
        <w:t xml:space="preserve">, </w:t>
      </w:r>
      <w:r w:rsidR="00BB61A6" w:rsidRPr="00D869E3">
        <w:rPr>
          <w:rFonts w:ascii="Verdana" w:hAnsi="Verdana"/>
          <w:i/>
          <w:sz w:val="20"/>
          <w:szCs w:val="20"/>
          <w:u w:val="single"/>
          <w:lang w:val="en-US"/>
        </w:rPr>
        <w:t>in relation to</w:t>
      </w:r>
      <w:r w:rsidR="00F83E8F" w:rsidRPr="00D869E3">
        <w:rPr>
          <w:rFonts w:ascii="Verdana" w:hAnsi="Verdana"/>
          <w:i/>
          <w:sz w:val="20"/>
          <w:szCs w:val="20"/>
          <w:u w:val="single"/>
          <w:lang w:val="en-US"/>
        </w:rPr>
        <w:t xml:space="preserve"> </w:t>
      </w:r>
      <w:r w:rsidRPr="00D869E3">
        <w:rPr>
          <w:rFonts w:ascii="Verdana" w:hAnsi="Verdana"/>
          <w:i/>
          <w:sz w:val="20"/>
          <w:szCs w:val="20"/>
          <w:u w:val="single"/>
          <w:lang w:val="en-US"/>
        </w:rPr>
        <w:t>freedom to join a labor union.</w:t>
      </w:r>
      <w:r w:rsidR="00F83E8F" w:rsidRPr="00D869E3">
        <w:rPr>
          <w:rStyle w:val="Refdenotaalpie"/>
          <w:szCs w:val="20"/>
          <w:lang w:val="en-US"/>
        </w:rPr>
        <w:footnoteReference w:id="327"/>
      </w:r>
      <w:r w:rsidR="00F83E8F" w:rsidRPr="00D869E3">
        <w:rPr>
          <w:rFonts w:ascii="Verdana" w:hAnsi="Verdana"/>
          <w:i/>
          <w:sz w:val="20"/>
          <w:szCs w:val="20"/>
          <w:lang w:val="en-US"/>
        </w:rPr>
        <w:t xml:space="preserve"> </w:t>
      </w:r>
      <w:r w:rsidRPr="00D869E3">
        <w:rPr>
          <w:rFonts w:ascii="Verdana" w:hAnsi="Verdana"/>
          <w:sz w:val="20"/>
          <w:szCs w:val="20"/>
          <w:lang w:val="en-US"/>
        </w:rPr>
        <w:t>The</w:t>
      </w:r>
      <w:r w:rsidR="00185A57" w:rsidRPr="00D869E3">
        <w:rPr>
          <w:rFonts w:ascii="Verdana" w:hAnsi="Verdana"/>
          <w:sz w:val="20"/>
          <w:szCs w:val="20"/>
          <w:lang w:val="en-US"/>
        </w:rPr>
        <w:t xml:space="preserv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also est</w:t>
      </w:r>
      <w:r w:rsidR="00CC4B1B" w:rsidRPr="00D869E3">
        <w:rPr>
          <w:rFonts w:ascii="Verdana" w:hAnsi="Verdana"/>
          <w:sz w:val="20"/>
          <w:szCs w:val="20"/>
          <w:lang w:val="en-US"/>
        </w:rPr>
        <w:t>a</w:t>
      </w:r>
      <w:r w:rsidRPr="00D869E3">
        <w:rPr>
          <w:rFonts w:ascii="Verdana" w:hAnsi="Verdana"/>
          <w:sz w:val="20"/>
          <w:szCs w:val="20"/>
          <w:lang w:val="en-US"/>
        </w:rPr>
        <w:t xml:space="preserve">blished that the execution of a labor union leader, not only restricted the </w:t>
      </w:r>
      <w:r w:rsidR="00351902" w:rsidRPr="00D869E3">
        <w:rPr>
          <w:rFonts w:ascii="Verdana" w:hAnsi="Verdana"/>
          <w:sz w:val="20"/>
          <w:szCs w:val="20"/>
          <w:lang w:val="en-US"/>
        </w:rPr>
        <w:t>freedom of association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of an individual, but also the </w:t>
      </w:r>
      <w:r w:rsidR="008B2ED2" w:rsidRPr="00D869E3">
        <w:rPr>
          <w:rFonts w:ascii="Verdana" w:hAnsi="Verdana"/>
          <w:sz w:val="20"/>
          <w:szCs w:val="20"/>
          <w:lang w:val="en-US"/>
        </w:rPr>
        <w:t xml:space="preserve">right and the freedom of a specific group to associate </w:t>
      </w:r>
      <w:r w:rsidR="008B2ED2" w:rsidRPr="00D869E3">
        <w:rPr>
          <w:rFonts w:ascii="Verdana" w:hAnsi="Verdana"/>
          <w:sz w:val="20"/>
          <w:szCs w:val="20"/>
          <w:lang w:val="en-US"/>
        </w:rPr>
        <w:lastRenderedPageBreak/>
        <w:t xml:space="preserve">freely, without fear, so that the right protected by Article 16 had a special scope and nature. </w:t>
      </w:r>
      <w:r w:rsidR="008B2ED2" w:rsidRPr="00D869E3">
        <w:rPr>
          <w:rFonts w:ascii="Verdana" w:hAnsi="Verdana"/>
          <w:i/>
          <w:iCs/>
          <w:sz w:val="20"/>
          <w:szCs w:val="20"/>
          <w:u w:val="single"/>
          <w:lang w:val="en-US"/>
        </w:rPr>
        <w:t>This revealed the two dimensions of</w:t>
      </w:r>
      <w:r w:rsidR="008B2ED2" w:rsidRPr="00D869E3">
        <w:rPr>
          <w:rFonts w:ascii="Verdana" w:hAnsi="Verdana"/>
          <w:sz w:val="20"/>
          <w:szCs w:val="20"/>
          <w:lang w:val="en-US"/>
        </w:rPr>
        <w:t xml:space="preserve"> </w:t>
      </w:r>
      <w:r w:rsidR="00351902" w:rsidRPr="00D869E3">
        <w:rPr>
          <w:rFonts w:ascii="Verdana" w:hAnsi="Verdana"/>
          <w:i/>
          <w:sz w:val="20"/>
          <w:szCs w:val="20"/>
          <w:u w:val="single"/>
          <w:lang w:val="en-US"/>
        </w:rPr>
        <w:t>freedom of association</w:t>
      </w:r>
      <w:r w:rsidR="008B2ED2" w:rsidRPr="00D869E3">
        <w:rPr>
          <w:rFonts w:ascii="Verdana" w:hAnsi="Verdana"/>
          <w:i/>
          <w:sz w:val="20"/>
          <w:szCs w:val="20"/>
          <w:u w:val="single"/>
          <w:lang w:val="en-US"/>
        </w:rPr>
        <w:t>.</w:t>
      </w:r>
      <w:r w:rsidR="00F83E8F" w:rsidRPr="00D869E3">
        <w:rPr>
          <w:rStyle w:val="Refdenotaalpie"/>
          <w:szCs w:val="20"/>
          <w:lang w:val="en-US"/>
        </w:rPr>
        <w:footnoteReference w:id="328"/>
      </w:r>
    </w:p>
    <w:p w14:paraId="79502CC1" w14:textId="77777777" w:rsidR="00F83E8F" w:rsidRPr="00D869E3" w:rsidRDefault="00F83E8F" w:rsidP="00F83E8F">
      <w:pPr>
        <w:jc w:val="both"/>
        <w:rPr>
          <w:rFonts w:ascii="Verdana" w:hAnsi="Verdana"/>
          <w:i/>
          <w:sz w:val="20"/>
          <w:szCs w:val="20"/>
          <w:u w:val="single"/>
          <w:lang w:val="en-US"/>
        </w:rPr>
      </w:pPr>
    </w:p>
    <w:p w14:paraId="13D1F3C8" w14:textId="35EEDAAE" w:rsidR="00F83E8F" w:rsidRPr="00D869E3" w:rsidRDefault="008B2ED2" w:rsidP="00E70701">
      <w:pPr>
        <w:pStyle w:val="Prrafodelista"/>
        <w:numPr>
          <w:ilvl w:val="0"/>
          <w:numId w:val="28"/>
        </w:numPr>
        <w:ind w:left="0" w:firstLine="0"/>
        <w:jc w:val="both"/>
        <w:rPr>
          <w:rFonts w:ascii="Verdana" w:hAnsi="Verdana"/>
          <w:i/>
          <w:sz w:val="20"/>
          <w:szCs w:val="20"/>
          <w:u w:val="single"/>
          <w:lang w:val="en-US"/>
        </w:rPr>
      </w:pPr>
      <w:r w:rsidRPr="00D869E3">
        <w:rPr>
          <w:rFonts w:ascii="Verdana" w:hAnsi="Verdana"/>
          <w:sz w:val="20"/>
          <w:szCs w:val="20"/>
          <w:lang w:val="en-US"/>
        </w:rPr>
        <w:t xml:space="preserve">Regarding the two dimensions of the right to freedom of association, the individual and the social,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added that</w:t>
      </w:r>
      <w:r w:rsidR="00F83E8F" w:rsidRPr="00D869E3">
        <w:rPr>
          <w:rFonts w:ascii="Verdana" w:hAnsi="Verdana"/>
          <w:sz w:val="20"/>
          <w:szCs w:val="20"/>
          <w:lang w:val="en-US"/>
        </w:rPr>
        <w:t>:</w:t>
      </w:r>
    </w:p>
    <w:p w14:paraId="7882094F" w14:textId="77777777" w:rsidR="00F83E8F" w:rsidRPr="00D869E3" w:rsidRDefault="00F83E8F" w:rsidP="00F83E8F">
      <w:pPr>
        <w:pStyle w:val="Prrafodelista"/>
        <w:ind w:left="0"/>
        <w:jc w:val="both"/>
        <w:rPr>
          <w:rFonts w:ascii="Verdana" w:hAnsi="Verdana"/>
          <w:i/>
          <w:sz w:val="20"/>
          <w:szCs w:val="20"/>
          <w:u w:val="single"/>
          <w:lang w:val="en-US"/>
        </w:rPr>
      </w:pPr>
    </w:p>
    <w:p w14:paraId="16CCF71D" w14:textId="4079E0C6" w:rsidR="008B2ED2" w:rsidRPr="00D869E3" w:rsidRDefault="00F83E8F" w:rsidP="00DC3959">
      <w:pPr>
        <w:ind w:left="709" w:right="738"/>
        <w:jc w:val="both"/>
        <w:rPr>
          <w:rFonts w:ascii="Verdana" w:hAnsi="Verdana" w:cs="Arial"/>
          <w:sz w:val="16"/>
          <w:szCs w:val="16"/>
          <w:lang w:val="en-US"/>
        </w:rPr>
      </w:pPr>
      <w:r w:rsidRPr="00D869E3">
        <w:rPr>
          <w:rFonts w:ascii="Verdana" w:hAnsi="Verdana"/>
          <w:sz w:val="16"/>
          <w:szCs w:val="16"/>
          <w:lang w:val="en-US"/>
        </w:rPr>
        <w:t xml:space="preserve">70. </w:t>
      </w:r>
      <w:r w:rsidR="008B2ED2" w:rsidRPr="00D869E3">
        <w:rPr>
          <w:rFonts w:ascii="Verdana" w:hAnsi="Verdana" w:cs="Arial"/>
          <w:sz w:val="16"/>
          <w:szCs w:val="16"/>
          <w:lang w:val="en-US"/>
        </w:rPr>
        <w:t xml:space="preserve">In its </w:t>
      </w:r>
      <w:r w:rsidR="008B2ED2" w:rsidRPr="00D869E3">
        <w:rPr>
          <w:rFonts w:ascii="Verdana" w:hAnsi="Verdana" w:cs="Arial"/>
          <w:sz w:val="16"/>
          <w:szCs w:val="16"/>
          <w:u w:val="single"/>
          <w:lang w:val="en-US"/>
        </w:rPr>
        <w:t>individual dimension</w:t>
      </w:r>
      <w:r w:rsidR="008B2ED2" w:rsidRPr="00D869E3">
        <w:rPr>
          <w:rFonts w:ascii="Verdana" w:hAnsi="Verdana" w:cs="Arial"/>
          <w:sz w:val="16"/>
          <w:szCs w:val="16"/>
          <w:lang w:val="en-US"/>
        </w:rPr>
        <w:t>, labor-related freedom of association is not exhausted by the theoretical recognition of the right to form trade unions, but also corresponds, inseparably, to the right to use any appropriate means to exercise this freedom. When the Convention proclaims that freedom of association includes the right to freely associate “for [… any] other purpose,” it is emphasizing that the freedom to associate and to pursue certain collective goals are indivisible, so that a limitation of the possibilities of association represents directly, and to the same extent, a limitation of the right of the collectivity to achieve its proposed purposes. Hence the importance of adapting to the Convention the legal regime applicable to trade unions and the State’s actions, or those that occur with it tolerance, that could render this right inoperative in the practice.</w:t>
      </w:r>
    </w:p>
    <w:p w14:paraId="7624FC34" w14:textId="77777777" w:rsidR="00F83E8F" w:rsidRPr="00D869E3" w:rsidRDefault="00F83E8F" w:rsidP="00DC3959">
      <w:pPr>
        <w:ind w:right="738"/>
        <w:jc w:val="both"/>
        <w:rPr>
          <w:rFonts w:ascii="Verdana" w:hAnsi="Verdana"/>
          <w:sz w:val="16"/>
          <w:szCs w:val="16"/>
          <w:lang w:val="en-US"/>
        </w:rPr>
      </w:pPr>
    </w:p>
    <w:p w14:paraId="03EC4749" w14:textId="34871BCE" w:rsidR="00F83E8F" w:rsidRPr="00D869E3" w:rsidRDefault="00F83E8F" w:rsidP="00DC3959">
      <w:pPr>
        <w:ind w:left="709" w:right="738"/>
        <w:jc w:val="both"/>
        <w:rPr>
          <w:rFonts w:ascii="Verdana" w:hAnsi="Verdana"/>
          <w:sz w:val="16"/>
          <w:szCs w:val="16"/>
          <w:lang w:val="en-US"/>
        </w:rPr>
      </w:pPr>
      <w:r w:rsidRPr="00D869E3">
        <w:rPr>
          <w:rFonts w:ascii="Verdana" w:hAnsi="Verdana"/>
          <w:sz w:val="16"/>
          <w:szCs w:val="16"/>
          <w:lang w:val="en-US"/>
        </w:rPr>
        <w:t xml:space="preserve">71. </w:t>
      </w:r>
      <w:r w:rsidR="008B2ED2" w:rsidRPr="00D869E3">
        <w:rPr>
          <w:rFonts w:ascii="Verdana" w:hAnsi="Verdana" w:cs="Arial"/>
          <w:sz w:val="16"/>
          <w:szCs w:val="16"/>
          <w:lang w:val="en-US"/>
        </w:rPr>
        <w:t xml:space="preserve">In its </w:t>
      </w:r>
      <w:r w:rsidR="008B2ED2" w:rsidRPr="00D869E3">
        <w:rPr>
          <w:rFonts w:ascii="Verdana" w:hAnsi="Verdana" w:cs="Arial"/>
          <w:sz w:val="16"/>
          <w:szCs w:val="16"/>
          <w:u w:val="single"/>
          <w:lang w:val="en-US"/>
        </w:rPr>
        <w:t>social dimension</w:t>
      </w:r>
      <w:r w:rsidR="008B2ED2" w:rsidRPr="00D869E3">
        <w:rPr>
          <w:rFonts w:ascii="Verdana" w:hAnsi="Verdana" w:cs="Arial"/>
          <w:sz w:val="16"/>
          <w:szCs w:val="16"/>
          <w:lang w:val="en-US"/>
        </w:rPr>
        <w:t>, freedom of association is a mechanism that allows the members of a labor collectivity or group to achieve certain objectives together and to obtain benefits for themselves.</w:t>
      </w:r>
    </w:p>
    <w:p w14:paraId="0409A121" w14:textId="77777777" w:rsidR="008B2ED2" w:rsidRPr="00D869E3" w:rsidRDefault="008B2ED2" w:rsidP="00DC3959">
      <w:pPr>
        <w:pStyle w:val="Prrafodelista"/>
        <w:ind w:left="709" w:right="738"/>
        <w:jc w:val="both"/>
        <w:rPr>
          <w:rFonts w:ascii="Verdana" w:hAnsi="Verdana"/>
          <w:sz w:val="16"/>
          <w:szCs w:val="16"/>
          <w:lang w:val="en-US"/>
        </w:rPr>
      </w:pPr>
    </w:p>
    <w:p w14:paraId="1A7780AE" w14:textId="452A5F3F" w:rsidR="00F83E8F" w:rsidRPr="00D869E3" w:rsidRDefault="00F83E8F" w:rsidP="00DC3959">
      <w:pPr>
        <w:pStyle w:val="Prrafodelista"/>
        <w:ind w:left="709" w:right="738"/>
        <w:jc w:val="both"/>
        <w:rPr>
          <w:rFonts w:ascii="Verdana" w:hAnsi="Verdana"/>
          <w:sz w:val="16"/>
          <w:szCs w:val="16"/>
          <w:u w:val="single"/>
          <w:lang w:val="en-US"/>
        </w:rPr>
      </w:pPr>
      <w:r w:rsidRPr="00D869E3">
        <w:rPr>
          <w:rFonts w:ascii="Verdana" w:hAnsi="Verdana"/>
          <w:sz w:val="16"/>
          <w:szCs w:val="16"/>
          <w:lang w:val="en-US"/>
        </w:rPr>
        <w:t xml:space="preserve">72. </w:t>
      </w:r>
      <w:r w:rsidR="008B2ED2" w:rsidRPr="00D869E3">
        <w:rPr>
          <w:rFonts w:ascii="Verdana" w:hAnsi="Verdana"/>
          <w:sz w:val="16"/>
          <w:szCs w:val="16"/>
          <w:u w:val="single"/>
          <w:lang w:val="en-US"/>
        </w:rPr>
        <w:t>T</w:t>
      </w:r>
      <w:r w:rsidR="008B2ED2" w:rsidRPr="00D869E3">
        <w:rPr>
          <w:rFonts w:ascii="Verdana" w:hAnsi="Verdana" w:cs="Arial"/>
          <w:sz w:val="16"/>
          <w:szCs w:val="16"/>
          <w:u w:val="single"/>
          <w:lang w:val="en-US"/>
        </w:rPr>
        <w:t>he two above-mentioned dimensions of freedom of association must be guaranteed simultaneously</w:t>
      </w:r>
      <w:r w:rsidR="008B2ED2" w:rsidRPr="00D869E3">
        <w:rPr>
          <w:rFonts w:ascii="Verdana" w:hAnsi="Verdana" w:cs="Arial"/>
          <w:sz w:val="16"/>
          <w:szCs w:val="16"/>
          <w:lang w:val="en-US"/>
        </w:rPr>
        <w:t>, respecting the restrictions allowed in paragraph 2 of Article 16 of the Convention</w:t>
      </w:r>
      <w:r w:rsidR="008B2ED2" w:rsidRPr="00D869E3">
        <w:rPr>
          <w:rFonts w:ascii="Verdana" w:hAnsi="Verdana"/>
          <w:sz w:val="16"/>
          <w:szCs w:val="16"/>
          <w:lang w:val="en-US"/>
        </w:rPr>
        <w:t>.</w:t>
      </w:r>
      <w:r w:rsidRPr="00D869E3">
        <w:rPr>
          <w:rStyle w:val="Refdenotaalpie"/>
          <w:sz w:val="16"/>
          <w:szCs w:val="16"/>
          <w:lang w:val="en-US"/>
        </w:rPr>
        <w:footnoteReference w:id="329"/>
      </w:r>
    </w:p>
    <w:p w14:paraId="75905FC9" w14:textId="77777777" w:rsidR="00F83E8F" w:rsidRPr="00D869E3" w:rsidRDefault="00F83E8F" w:rsidP="00F83E8F">
      <w:pPr>
        <w:jc w:val="both"/>
        <w:rPr>
          <w:rFonts w:ascii="Verdana" w:hAnsi="Verdana"/>
          <w:sz w:val="20"/>
          <w:szCs w:val="20"/>
          <w:u w:val="single"/>
          <w:lang w:val="en-US"/>
        </w:rPr>
      </w:pPr>
    </w:p>
    <w:p w14:paraId="3EB79449" w14:textId="590524AF" w:rsidR="00F83E8F" w:rsidRPr="00D869E3" w:rsidRDefault="008B2ED2" w:rsidP="00E70701">
      <w:pPr>
        <w:pStyle w:val="Prrafodelista"/>
        <w:numPr>
          <w:ilvl w:val="0"/>
          <w:numId w:val="28"/>
        </w:numPr>
        <w:ind w:left="0" w:firstLine="0"/>
        <w:jc w:val="both"/>
        <w:rPr>
          <w:rFonts w:ascii="Verdana" w:hAnsi="Verdana"/>
          <w:i/>
          <w:sz w:val="20"/>
          <w:szCs w:val="20"/>
          <w:lang w:val="en-US"/>
        </w:rPr>
      </w:pPr>
      <w:r w:rsidRPr="00D869E3">
        <w:rPr>
          <w:rFonts w:ascii="Verdana" w:hAnsi="Verdana"/>
          <w:sz w:val="20"/>
          <w:szCs w:val="20"/>
          <w:lang w:val="en-US"/>
        </w:rPr>
        <w:t>In the same case,</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referred, for the first time, to the </w:t>
      </w:r>
      <w:r w:rsidR="00F83E8F" w:rsidRPr="00D869E3">
        <w:rPr>
          <w:rFonts w:ascii="Verdana" w:hAnsi="Verdana"/>
          <w:sz w:val="20"/>
          <w:szCs w:val="20"/>
          <w:lang w:val="en-US"/>
        </w:rPr>
        <w:t>Protocol</w:t>
      </w:r>
      <w:r w:rsidRPr="00D869E3">
        <w:rPr>
          <w:rFonts w:ascii="Verdana" w:hAnsi="Verdana"/>
          <w:sz w:val="20"/>
          <w:szCs w:val="20"/>
          <w:lang w:val="en-US"/>
        </w:rPr>
        <w:t xml:space="preserve"> of</w:t>
      </w:r>
      <w:r w:rsidR="00F83E8F" w:rsidRPr="00D869E3">
        <w:rPr>
          <w:rFonts w:ascii="Verdana" w:hAnsi="Verdana"/>
          <w:sz w:val="20"/>
          <w:szCs w:val="20"/>
          <w:lang w:val="en-US"/>
        </w:rPr>
        <w:t xml:space="preserve"> San Salvador</w:t>
      </w:r>
      <w:r w:rsidR="00687684" w:rsidRPr="00D869E3">
        <w:rPr>
          <w:rFonts w:ascii="Verdana" w:hAnsi="Verdana"/>
          <w:sz w:val="20"/>
          <w:szCs w:val="20"/>
          <w:lang w:val="en-US"/>
        </w:rPr>
        <w:t xml:space="preserve"> and </w:t>
      </w:r>
      <w:r w:rsidRPr="00D869E3">
        <w:rPr>
          <w:rFonts w:ascii="Verdana" w:hAnsi="Verdana"/>
          <w:sz w:val="20"/>
          <w:szCs w:val="20"/>
          <w:lang w:val="en-US"/>
        </w:rPr>
        <w:t>to</w:t>
      </w:r>
      <w:r w:rsidR="00F83E8F" w:rsidRPr="00D869E3">
        <w:rPr>
          <w:rFonts w:ascii="Verdana" w:hAnsi="Verdana"/>
          <w:sz w:val="20"/>
          <w:szCs w:val="20"/>
          <w:lang w:val="en-US"/>
        </w:rPr>
        <w:t xml:space="preserve"> Conven</w:t>
      </w:r>
      <w:r w:rsidRPr="00D869E3">
        <w:rPr>
          <w:rFonts w:ascii="Verdana" w:hAnsi="Verdana"/>
          <w:sz w:val="20"/>
          <w:szCs w:val="20"/>
          <w:lang w:val="en-US"/>
        </w:rPr>
        <w:t>tion</w:t>
      </w:r>
      <w:r w:rsidR="00F83E8F" w:rsidRPr="00D869E3">
        <w:rPr>
          <w:rFonts w:ascii="Verdana" w:hAnsi="Verdana"/>
          <w:sz w:val="20"/>
          <w:szCs w:val="20"/>
          <w:lang w:val="en-US"/>
        </w:rPr>
        <w:t xml:space="preserve"> No. 87 </w:t>
      </w:r>
      <w:r w:rsidRPr="00D869E3">
        <w:rPr>
          <w:rFonts w:ascii="Verdana" w:hAnsi="Verdana"/>
          <w:sz w:val="20"/>
          <w:szCs w:val="20"/>
          <w:lang w:val="en-US"/>
        </w:rPr>
        <w:t xml:space="preserve">of the International Labour Organization, which in their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s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687684" w:rsidRPr="00D869E3">
        <w:rPr>
          <w:rFonts w:ascii="Verdana" w:hAnsi="Verdana"/>
          <w:sz w:val="20"/>
          <w:szCs w:val="20"/>
          <w:lang w:val="en-US"/>
        </w:rPr>
        <w:t xml:space="preserve"> and </w:t>
      </w:r>
      <w:r w:rsidR="00F83E8F" w:rsidRPr="00D869E3">
        <w:rPr>
          <w:rFonts w:ascii="Verdana" w:hAnsi="Verdana"/>
          <w:sz w:val="20"/>
          <w:szCs w:val="20"/>
          <w:lang w:val="en-US"/>
        </w:rPr>
        <w:t>11, respectiv</w:t>
      </w:r>
      <w:r w:rsidRPr="00D869E3">
        <w:rPr>
          <w:rFonts w:ascii="Verdana" w:hAnsi="Verdana"/>
          <w:sz w:val="20"/>
          <w:szCs w:val="20"/>
          <w:lang w:val="en-US"/>
        </w:rPr>
        <w:t>ely</w:t>
      </w:r>
      <w:r w:rsidR="00F83E8F" w:rsidRPr="00D869E3">
        <w:rPr>
          <w:rFonts w:ascii="Verdana" w:hAnsi="Verdana"/>
          <w:sz w:val="20"/>
          <w:szCs w:val="20"/>
          <w:lang w:val="en-US"/>
        </w:rPr>
        <w:t xml:space="preserve">, </w:t>
      </w:r>
      <w:r w:rsidRPr="00D869E3">
        <w:rPr>
          <w:rFonts w:ascii="Verdana" w:hAnsi="Verdana"/>
          <w:sz w:val="20"/>
          <w:szCs w:val="20"/>
          <w:lang w:val="en-US"/>
        </w:rPr>
        <w:t>include</w:t>
      </w:r>
      <w:r w:rsidR="00F83E8F" w:rsidRPr="00D869E3">
        <w:rPr>
          <w:rFonts w:ascii="Verdana" w:hAnsi="Verdana"/>
          <w:sz w:val="20"/>
          <w:szCs w:val="20"/>
          <w:lang w:val="en-US"/>
        </w:rPr>
        <w:t xml:space="preserve"> </w:t>
      </w:r>
      <w:r w:rsidR="00901386" w:rsidRPr="00D869E3">
        <w:rPr>
          <w:rFonts w:ascii="Verdana" w:hAnsi="Verdana"/>
          <w:sz w:val="20"/>
          <w:szCs w:val="20"/>
          <w:lang w:val="en-US"/>
        </w:rPr>
        <w:t>the obligation</w:t>
      </w:r>
      <w:r w:rsidR="00447C65" w:rsidRPr="00D869E3">
        <w:rPr>
          <w:rFonts w:ascii="Verdana" w:hAnsi="Verdana"/>
          <w:sz w:val="20"/>
          <w:szCs w:val="20"/>
          <w:lang w:val="en-US"/>
        </w:rPr>
        <w:t xml:space="preserve"> of the State</w:t>
      </w:r>
      <w:r w:rsidR="00F83E8F" w:rsidRPr="00D869E3">
        <w:rPr>
          <w:rFonts w:ascii="Verdana" w:hAnsi="Verdana"/>
          <w:sz w:val="20"/>
          <w:szCs w:val="20"/>
          <w:lang w:val="en-US"/>
        </w:rPr>
        <w:t xml:space="preserve"> </w:t>
      </w:r>
      <w:r w:rsidRPr="00D869E3">
        <w:rPr>
          <w:rFonts w:ascii="Verdana" w:hAnsi="Verdana"/>
          <w:sz w:val="20"/>
          <w:szCs w:val="20"/>
          <w:lang w:val="en-US"/>
        </w:rPr>
        <w:t>to allow labor unions, federations and confederations to function freely.</w:t>
      </w:r>
      <w:r w:rsidR="00F83E8F" w:rsidRPr="00D869E3">
        <w:rPr>
          <w:rStyle w:val="Refdenotaalpie"/>
          <w:szCs w:val="20"/>
          <w:lang w:val="en-US"/>
        </w:rPr>
        <w:footnoteReference w:id="330"/>
      </w:r>
      <w:r w:rsidR="00F83E8F" w:rsidRPr="00D869E3">
        <w:rPr>
          <w:rFonts w:ascii="Verdana" w:hAnsi="Verdana"/>
          <w:sz w:val="20"/>
          <w:szCs w:val="20"/>
          <w:lang w:val="en-US"/>
        </w:rPr>
        <w:t xml:space="preserve"> </w:t>
      </w:r>
    </w:p>
    <w:p w14:paraId="23C08E83" w14:textId="77777777" w:rsidR="00F83E8F" w:rsidRPr="00D869E3" w:rsidRDefault="00F83E8F" w:rsidP="00F83E8F">
      <w:pPr>
        <w:pStyle w:val="Prrafodelista"/>
        <w:ind w:left="0"/>
        <w:jc w:val="both"/>
        <w:rPr>
          <w:rFonts w:ascii="Verdana" w:hAnsi="Verdana"/>
          <w:i/>
          <w:sz w:val="20"/>
          <w:szCs w:val="20"/>
          <w:lang w:val="en-US"/>
        </w:rPr>
      </w:pPr>
    </w:p>
    <w:p w14:paraId="2D27F0D6" w14:textId="59DE5398" w:rsidR="00F83E8F" w:rsidRPr="00D869E3" w:rsidRDefault="008B2ED2" w:rsidP="00971A6D">
      <w:pPr>
        <w:pStyle w:val="Prrafodelista"/>
        <w:numPr>
          <w:ilvl w:val="0"/>
          <w:numId w:val="28"/>
        </w:numPr>
        <w:ind w:left="0" w:firstLine="0"/>
        <w:jc w:val="both"/>
        <w:rPr>
          <w:rFonts w:ascii="Verdana" w:hAnsi="Verdana"/>
          <w:i/>
          <w:sz w:val="20"/>
          <w:szCs w:val="20"/>
          <w:lang w:val="en-US"/>
        </w:rPr>
      </w:pPr>
      <w:r w:rsidRPr="00D869E3">
        <w:rPr>
          <w:rFonts w:ascii="Verdana" w:hAnsi="Verdana"/>
          <w:sz w:val="20"/>
          <w:szCs w:val="20"/>
          <w:lang w:val="en-US"/>
        </w:rPr>
        <w:t>In the case of</w:t>
      </w:r>
      <w:r w:rsidR="00F83E8F" w:rsidRPr="00D869E3">
        <w:rPr>
          <w:rFonts w:ascii="Verdana" w:hAnsi="Verdana"/>
          <w:sz w:val="20"/>
          <w:szCs w:val="20"/>
          <w:lang w:val="en-US"/>
        </w:rPr>
        <w:t xml:space="preserve"> </w:t>
      </w:r>
      <w:r w:rsidR="00F83E8F" w:rsidRPr="00D869E3">
        <w:rPr>
          <w:rFonts w:ascii="Verdana" w:hAnsi="Verdana"/>
          <w:i/>
          <w:sz w:val="20"/>
          <w:szCs w:val="20"/>
          <w:lang w:val="en-US"/>
        </w:rPr>
        <w:t>Cantoral Huamaní</w:t>
      </w:r>
      <w:r w:rsidR="00687684" w:rsidRPr="00D869E3">
        <w:rPr>
          <w:rFonts w:ascii="Verdana" w:hAnsi="Verdana"/>
          <w:i/>
          <w:sz w:val="20"/>
          <w:szCs w:val="20"/>
          <w:lang w:val="en-US"/>
        </w:rPr>
        <w:t xml:space="preserve"> and </w:t>
      </w:r>
      <w:r w:rsidR="00F83E8F" w:rsidRPr="00D869E3">
        <w:rPr>
          <w:rFonts w:ascii="Verdana" w:hAnsi="Verdana"/>
          <w:i/>
          <w:sz w:val="20"/>
          <w:szCs w:val="20"/>
          <w:lang w:val="en-US"/>
        </w:rPr>
        <w:t>García Santa Cruz</w:t>
      </w:r>
      <w:r w:rsidR="00F83E8F" w:rsidRPr="00D869E3">
        <w:rPr>
          <w:rFonts w:ascii="Verdana" w:hAnsi="Verdana"/>
          <w:sz w:val="20"/>
          <w:szCs w:val="20"/>
          <w:lang w:val="en-US"/>
        </w:rPr>
        <w:t xml:space="preserve">,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Pr="00D869E3">
        <w:rPr>
          <w:rFonts w:ascii="Verdana" w:hAnsi="Verdana"/>
          <w:sz w:val="20"/>
          <w:szCs w:val="20"/>
          <w:lang w:val="en-US"/>
        </w:rPr>
        <w:t>ed 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 </w:t>
      </w:r>
      <w:r w:rsidR="00671B14" w:rsidRPr="00D869E3">
        <w:rPr>
          <w:rFonts w:ascii="Verdana" w:hAnsi="Verdana"/>
          <w:sz w:val="20"/>
          <w:szCs w:val="20"/>
          <w:lang w:val="en-US"/>
        </w:rPr>
        <w:t>of the Pact of San José</w:t>
      </w:r>
      <w:r w:rsidRPr="00D869E3">
        <w:rPr>
          <w:rFonts w:ascii="Verdana" w:hAnsi="Verdana"/>
          <w:sz w:val="20"/>
          <w:szCs w:val="20"/>
          <w:lang w:val="en-US"/>
        </w:rPr>
        <w:t xml:space="preserve"> had been violated</w:t>
      </w:r>
      <w:r w:rsidR="00971A6D" w:rsidRPr="00D869E3">
        <w:rPr>
          <w:rFonts w:ascii="Verdana" w:hAnsi="Verdana"/>
          <w:sz w:val="20"/>
          <w:szCs w:val="20"/>
          <w:lang w:val="en-US"/>
        </w:rPr>
        <w:t>, because the execution of the victims had an intimidating and frightening effect on the workers members of the Peruvian mining unions. Those executions not only restricted the freedom of a specific group to associate freely without fear, but they affected the freedom of the miners to exercise this right.</w:t>
      </w:r>
      <w:r w:rsidR="00F83E8F" w:rsidRPr="00D869E3">
        <w:rPr>
          <w:rStyle w:val="Refdenotaalpie"/>
          <w:szCs w:val="20"/>
          <w:lang w:val="en-US"/>
        </w:rPr>
        <w:footnoteReference w:id="331"/>
      </w:r>
      <w:r w:rsidR="00F83E8F" w:rsidRPr="00D869E3">
        <w:rPr>
          <w:rFonts w:ascii="Verdana" w:hAnsi="Verdana"/>
          <w:b/>
          <w:sz w:val="20"/>
          <w:szCs w:val="20"/>
          <w:lang w:val="en-US"/>
        </w:rPr>
        <w:t xml:space="preserve"> </w:t>
      </w:r>
      <w:r w:rsidR="00971A6D" w:rsidRPr="00D869E3">
        <w:rPr>
          <w:rFonts w:ascii="Verdana" w:hAnsi="Verdana"/>
          <w:sz w:val="20"/>
          <w:szCs w:val="20"/>
          <w:lang w:val="en-US"/>
        </w:rPr>
        <w:t>I</w:t>
      </w:r>
      <w:r w:rsidR="00F83E8F" w:rsidRPr="00D869E3">
        <w:rPr>
          <w:rFonts w:ascii="Verdana" w:hAnsi="Verdana"/>
          <w:sz w:val="20"/>
          <w:szCs w:val="20"/>
          <w:lang w:val="en-US"/>
        </w:rPr>
        <w:t xml:space="preserve">n </w:t>
      </w:r>
      <w:r w:rsidR="00971A6D" w:rsidRPr="00D869E3">
        <w:rPr>
          <w:rFonts w:ascii="Verdana" w:hAnsi="Verdana"/>
          <w:sz w:val="20"/>
          <w:szCs w:val="20"/>
          <w:lang w:val="en-US"/>
        </w:rPr>
        <w:t>this case,</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971A6D" w:rsidRPr="00D869E3">
        <w:rPr>
          <w:rFonts w:ascii="Verdana" w:hAnsi="Verdana"/>
          <w:sz w:val="20"/>
          <w:szCs w:val="20"/>
          <w:lang w:val="en-US"/>
        </w:rPr>
        <w:t>made a distinction between the two types of obligations (negative and positive) that are present in Article 16, considering that:</w:t>
      </w:r>
    </w:p>
    <w:p w14:paraId="704F12E3" w14:textId="77777777" w:rsidR="00F83E8F" w:rsidRPr="00D869E3" w:rsidRDefault="00F83E8F" w:rsidP="00F83E8F">
      <w:pPr>
        <w:jc w:val="both"/>
        <w:rPr>
          <w:rFonts w:ascii="Verdana" w:hAnsi="Verdana"/>
          <w:i/>
          <w:sz w:val="20"/>
          <w:szCs w:val="20"/>
          <w:lang w:val="en-US"/>
        </w:rPr>
      </w:pPr>
    </w:p>
    <w:p w14:paraId="249483CE" w14:textId="1AEF6E7B" w:rsidR="00F83E8F" w:rsidRPr="00D869E3" w:rsidRDefault="00F83E8F" w:rsidP="00971A6D">
      <w:pPr>
        <w:autoSpaceDE w:val="0"/>
        <w:autoSpaceDN w:val="0"/>
        <w:adjustRightInd w:val="0"/>
        <w:ind w:left="720" w:right="540"/>
        <w:jc w:val="both"/>
        <w:rPr>
          <w:rFonts w:ascii="Verdana" w:eastAsiaTheme="minorHAnsi" w:hAnsi="Verdana" w:cs="Arial"/>
          <w:sz w:val="16"/>
          <w:szCs w:val="16"/>
          <w:lang w:val="en-US"/>
        </w:rPr>
      </w:pPr>
      <w:r w:rsidRPr="00D869E3">
        <w:rPr>
          <w:rFonts w:ascii="Verdana" w:hAnsi="Verdana"/>
          <w:sz w:val="16"/>
          <w:szCs w:val="16"/>
          <w:lang w:val="en-US"/>
        </w:rPr>
        <w:t xml:space="preserve">144.  </w:t>
      </w:r>
      <w:r w:rsidR="00971A6D" w:rsidRPr="00D869E3">
        <w:rPr>
          <w:rFonts w:ascii="Verdana" w:hAnsi="Verdana" w:cs="Arial"/>
          <w:sz w:val="16"/>
          <w:szCs w:val="16"/>
          <w:lang w:val="en-US"/>
        </w:rPr>
        <w:t xml:space="preserve">Article 16(1) of the Convention establishes that those who are subject to the jurisdiction of the States Parties </w:t>
      </w:r>
      <w:r w:rsidR="00971A6D" w:rsidRPr="00D869E3">
        <w:rPr>
          <w:rFonts w:ascii="Verdana" w:hAnsi="Verdana" w:cs="Arial"/>
          <w:sz w:val="16"/>
          <w:szCs w:val="16"/>
          <w:u w:val="single"/>
          <w:lang w:val="en-US"/>
        </w:rPr>
        <w:t xml:space="preserve">have the right to associate freely with other persons, without the intervention of the public authorities limiting or obstructing the exercise of this right. In addition, they have the right and the freedom to associate in order to seek together a lawful purpose, without pressure or interference that can alter or denature this purpose. </w:t>
      </w:r>
      <w:r w:rsidR="00971A6D" w:rsidRPr="00D869E3">
        <w:rPr>
          <w:rFonts w:ascii="Verdana" w:hAnsi="Verdana" w:cs="Arial"/>
          <w:sz w:val="16"/>
          <w:szCs w:val="16"/>
          <w:lang w:val="en-US"/>
        </w:rPr>
        <w:t xml:space="preserve">In addition to these negative obligations, freedom of association </w:t>
      </w:r>
      <w:r w:rsidR="00971A6D" w:rsidRPr="00D869E3">
        <w:rPr>
          <w:rFonts w:ascii="Verdana" w:hAnsi="Verdana" w:cs="Arial"/>
          <w:sz w:val="16"/>
          <w:szCs w:val="16"/>
          <w:u w:val="single"/>
          <w:lang w:val="en-US"/>
        </w:rPr>
        <w:t>also gives rise to positive obligations, such as to prevent attacks on it, to protect those who exercise it, and to investigate violations. These positive obligations must be adopted, even in the sphere of relations between individuals, if the case merits it.</w:t>
      </w:r>
      <w:r w:rsidR="00971A6D" w:rsidRPr="00D869E3">
        <w:rPr>
          <w:rFonts w:ascii="Verdana" w:hAnsi="Verdana" w:cs="Arial"/>
          <w:sz w:val="16"/>
          <w:szCs w:val="16"/>
          <w:lang w:val="en-US"/>
        </w:rPr>
        <w:t xml:space="preserve"> As it has determined in other cases, the Court considers that the sphere of protection of Article 16(1) includes the exercise of the right to organize trade unions.</w:t>
      </w:r>
      <w:r w:rsidRPr="00D869E3">
        <w:rPr>
          <w:rStyle w:val="Refdenotaalpie"/>
          <w:rFonts w:eastAsiaTheme="majorEastAsia"/>
          <w:sz w:val="16"/>
          <w:szCs w:val="16"/>
          <w:lang w:val="en-US"/>
        </w:rPr>
        <w:footnoteReference w:id="332"/>
      </w:r>
      <w:r w:rsidRPr="00D869E3">
        <w:rPr>
          <w:rFonts w:ascii="Verdana" w:hAnsi="Verdana"/>
          <w:sz w:val="16"/>
          <w:szCs w:val="16"/>
          <w:lang w:val="en-US"/>
        </w:rPr>
        <w:t xml:space="preserve"> </w:t>
      </w:r>
    </w:p>
    <w:p w14:paraId="70913A8B" w14:textId="77777777" w:rsidR="00F83E8F" w:rsidRPr="00D869E3" w:rsidRDefault="00F83E8F" w:rsidP="00F83E8F">
      <w:pPr>
        <w:pStyle w:val="NormalWeb"/>
        <w:spacing w:before="0" w:beforeAutospacing="0" w:after="0" w:afterAutospacing="0"/>
        <w:ind w:right="567"/>
        <w:jc w:val="both"/>
        <w:rPr>
          <w:rFonts w:ascii="Verdana" w:hAnsi="Verdana"/>
          <w:sz w:val="16"/>
          <w:szCs w:val="16"/>
          <w:lang w:val="en-US"/>
        </w:rPr>
      </w:pPr>
    </w:p>
    <w:p w14:paraId="0E7FD5FE" w14:textId="63A634AB" w:rsidR="00F83E8F" w:rsidRPr="00D869E3" w:rsidRDefault="00971A6D" w:rsidP="00C25DAC">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Also</w:t>
      </w:r>
      <w:r w:rsidR="00F83E8F" w:rsidRPr="00D869E3">
        <w:rPr>
          <w:rFonts w:ascii="Verdana" w:hAnsi="Verdana"/>
          <w:sz w:val="20"/>
          <w:szCs w:val="20"/>
          <w:lang w:val="en-US"/>
        </w:rPr>
        <w:t xml:space="preserve">, </w:t>
      </w:r>
      <w:r w:rsidRPr="00D869E3">
        <w:rPr>
          <w:rFonts w:ascii="Verdana" w:hAnsi="Verdana"/>
          <w:sz w:val="20"/>
          <w:szCs w:val="20"/>
          <w:lang w:val="en-US"/>
        </w:rPr>
        <w:t>in</w:t>
      </w:r>
      <w:r w:rsidR="00F83E8F" w:rsidRPr="00D869E3">
        <w:rPr>
          <w:rFonts w:ascii="Verdana" w:hAnsi="Verdana"/>
          <w:sz w:val="20"/>
          <w:szCs w:val="20"/>
          <w:lang w:val="en-US"/>
        </w:rPr>
        <w:t xml:space="preserve"> </w:t>
      </w:r>
      <w:r w:rsidR="0087339F" w:rsidRPr="00D869E3">
        <w:rPr>
          <w:rFonts w:ascii="Verdana" w:hAnsi="Verdana"/>
          <w:sz w:val="20"/>
          <w:szCs w:val="20"/>
          <w:lang w:val="en-US"/>
        </w:rPr>
        <w:t>Advisory Opinion</w:t>
      </w:r>
      <w:r w:rsidR="00F83E8F" w:rsidRPr="00D869E3">
        <w:rPr>
          <w:rFonts w:ascii="Verdana" w:hAnsi="Verdana"/>
          <w:sz w:val="20"/>
          <w:szCs w:val="20"/>
          <w:lang w:val="en-US"/>
        </w:rPr>
        <w:t xml:space="preserve"> No. 22 </w:t>
      </w:r>
      <w:r w:rsidRPr="00D869E3">
        <w:rPr>
          <w:rFonts w:ascii="Verdana" w:hAnsi="Verdana"/>
          <w:sz w:val="20"/>
          <w:szCs w:val="20"/>
          <w:lang w:val="en-US"/>
        </w:rPr>
        <w:t>on the</w:t>
      </w:r>
      <w:r w:rsidR="00BC51EE" w:rsidRPr="00D869E3">
        <w:rPr>
          <w:rFonts w:ascii="Verdana" w:hAnsi="Verdana"/>
          <w:sz w:val="20"/>
          <w:szCs w:val="20"/>
          <w:lang w:val="en-US"/>
        </w:rPr>
        <w:t xml:space="preserve"> </w:t>
      </w:r>
      <w:r w:rsidR="00BC51EE" w:rsidRPr="00D869E3">
        <w:rPr>
          <w:rFonts w:ascii="Verdana" w:hAnsi="Verdana"/>
          <w:i/>
          <w:iCs/>
          <w:sz w:val="20"/>
          <w:szCs w:val="20"/>
          <w:lang w:val="en-US"/>
        </w:rPr>
        <w:t xml:space="preserve">Entitlement of Legal Entities to Hold Rights under the Inter-American Human Rights System, </w:t>
      </w:r>
      <w:r w:rsidR="00BC51EE" w:rsidRPr="00D869E3">
        <w:rPr>
          <w:rFonts w:ascii="Verdana" w:hAnsi="Verdana"/>
          <w:sz w:val="20"/>
          <w:szCs w:val="20"/>
          <w:lang w:val="en-US"/>
        </w:rPr>
        <w:t xml:space="preserve">the </w:t>
      </w:r>
      <w:r w:rsidR="00185A57" w:rsidRPr="00D869E3">
        <w:rPr>
          <w:rFonts w:ascii="Verdana" w:hAnsi="Verdana"/>
          <w:sz w:val="20"/>
          <w:szCs w:val="20"/>
          <w:lang w:val="en-US"/>
        </w:rPr>
        <w:t>Inter-American Court</w:t>
      </w:r>
      <w:r w:rsidR="00F83E8F" w:rsidRPr="00D869E3">
        <w:rPr>
          <w:rFonts w:ascii="Verdana" w:hAnsi="Verdana"/>
          <w:sz w:val="20"/>
          <w:szCs w:val="20"/>
          <w:lang w:val="en-US"/>
        </w:rPr>
        <w:t xml:space="preserve"> consider</w:t>
      </w:r>
      <w:r w:rsidRPr="00D869E3">
        <w:rPr>
          <w:rFonts w:ascii="Verdana" w:hAnsi="Verdana"/>
          <w:sz w:val="20"/>
          <w:szCs w:val="20"/>
          <w:lang w:val="en-US"/>
        </w:rPr>
        <w:t>ed that</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when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F83E8F" w:rsidRPr="00D869E3">
        <w:rPr>
          <w:rFonts w:ascii="Verdana" w:hAnsi="Verdana"/>
          <w:sz w:val="20"/>
          <w:szCs w:val="20"/>
          <w:lang w:val="en-US"/>
        </w:rPr>
        <w:t xml:space="preserve"> indica</w:t>
      </w:r>
      <w:r w:rsidRPr="00D869E3">
        <w:rPr>
          <w:rFonts w:ascii="Verdana" w:hAnsi="Verdana"/>
          <w:sz w:val="20"/>
          <w:szCs w:val="20"/>
          <w:lang w:val="en-US"/>
        </w:rPr>
        <w:t>tes that ‘as an extensi</w:t>
      </w:r>
      <w:r w:rsidR="00C25DAC" w:rsidRPr="00D869E3">
        <w:rPr>
          <w:rFonts w:ascii="Verdana" w:hAnsi="Verdana"/>
          <w:sz w:val="20"/>
          <w:szCs w:val="20"/>
          <w:lang w:val="en-US"/>
        </w:rPr>
        <w:t>o</w:t>
      </w:r>
      <w:r w:rsidRPr="00D869E3">
        <w:rPr>
          <w:rFonts w:ascii="Verdana" w:hAnsi="Verdana"/>
          <w:sz w:val="20"/>
          <w:szCs w:val="20"/>
          <w:lang w:val="en-US"/>
        </w:rPr>
        <w:t>n of that right</w:t>
      </w:r>
      <w:r w:rsidR="00C25DAC" w:rsidRPr="00D869E3">
        <w:rPr>
          <w:rFonts w:ascii="Verdana" w:hAnsi="Verdana"/>
          <w:sz w:val="20"/>
          <w:szCs w:val="20"/>
          <w:lang w:val="en-US"/>
        </w:rPr>
        <w:t xml:space="preserve"> [of the workers]</w:t>
      </w:r>
      <w:r w:rsidRPr="00D869E3">
        <w:rPr>
          <w:rFonts w:ascii="Verdana" w:hAnsi="Verdana"/>
          <w:sz w:val="20"/>
          <w:szCs w:val="20"/>
          <w:lang w:val="en-US"/>
        </w:rPr>
        <w:t>, the States Parties shall permit trade uni</w:t>
      </w:r>
      <w:r w:rsidR="00C25DAC" w:rsidRPr="00D869E3">
        <w:rPr>
          <w:rFonts w:ascii="Verdana" w:hAnsi="Verdana"/>
          <w:sz w:val="20"/>
          <w:szCs w:val="20"/>
          <w:lang w:val="en-US"/>
        </w:rPr>
        <w:t>o</w:t>
      </w:r>
      <w:r w:rsidRPr="00D869E3">
        <w:rPr>
          <w:rFonts w:ascii="Verdana" w:hAnsi="Verdana"/>
          <w:sz w:val="20"/>
          <w:szCs w:val="20"/>
          <w:lang w:val="en-US"/>
        </w:rPr>
        <w:t>ns</w:t>
      </w:r>
      <w:r w:rsidR="00C25DAC" w:rsidRPr="00D869E3">
        <w:rPr>
          <w:rFonts w:ascii="Verdana" w:hAnsi="Verdana"/>
          <w:sz w:val="20"/>
          <w:szCs w:val="20"/>
          <w:lang w:val="en-US"/>
        </w:rPr>
        <w:t>,</w:t>
      </w:r>
      <w:r w:rsidRPr="00D869E3">
        <w:rPr>
          <w:rFonts w:ascii="Verdana" w:hAnsi="Verdana"/>
          <w:sz w:val="20"/>
          <w:szCs w:val="20"/>
          <w:lang w:val="en-US"/>
        </w:rPr>
        <w:t xml:space="preserve"> federations </w:t>
      </w:r>
      <w:r w:rsidR="00C25DAC" w:rsidRPr="00D869E3">
        <w:rPr>
          <w:rFonts w:ascii="Verdana" w:hAnsi="Verdana"/>
          <w:sz w:val="20"/>
          <w:szCs w:val="20"/>
          <w:lang w:val="en-US"/>
        </w:rPr>
        <w:t>and</w:t>
      </w:r>
      <w:r w:rsidRPr="00D869E3">
        <w:rPr>
          <w:rFonts w:ascii="Verdana" w:hAnsi="Verdana"/>
          <w:sz w:val="20"/>
          <w:szCs w:val="20"/>
          <w:lang w:val="en-US"/>
        </w:rPr>
        <w:t xml:space="preserve"> confederations</w:t>
      </w:r>
      <w:r w:rsidR="00C25DAC" w:rsidRPr="00D869E3">
        <w:rPr>
          <w:rFonts w:ascii="Verdana" w:hAnsi="Verdana"/>
          <w:sz w:val="20"/>
          <w:szCs w:val="20"/>
          <w:lang w:val="en-US"/>
        </w:rPr>
        <w:t xml:space="preserve"> to function freely, and trade unions to associate and form national federations and confederations and international trade union organizations,’ what the </w:t>
      </w:r>
      <w:r w:rsidR="004860C3" w:rsidRPr="00D869E3">
        <w:rPr>
          <w:rFonts w:ascii="Verdana" w:hAnsi="Verdana"/>
          <w:sz w:val="20"/>
          <w:szCs w:val="20"/>
          <w:lang w:val="en-US"/>
        </w:rPr>
        <w:t>provision</w:t>
      </w:r>
      <w:r w:rsidR="00C25DAC" w:rsidRPr="00D869E3">
        <w:rPr>
          <w:rFonts w:ascii="Verdana" w:hAnsi="Verdana"/>
          <w:sz w:val="20"/>
          <w:szCs w:val="20"/>
          <w:lang w:val="en-US"/>
        </w:rPr>
        <w:t xml:space="preserve"> does is give a broader scope to the right of the workers than the mere fact of being able to organize unions and join the one they choose. The </w:t>
      </w:r>
      <w:r w:rsidR="00C25DAC" w:rsidRPr="00D869E3">
        <w:rPr>
          <w:rFonts w:ascii="Verdana" w:hAnsi="Verdana"/>
          <w:sz w:val="20"/>
          <w:szCs w:val="20"/>
          <w:lang w:val="en-US"/>
        </w:rPr>
        <w:lastRenderedPageBreak/>
        <w:t xml:space="preserve">Inter-American Court achieved this by specifying the minimum means by which the States should guarantee the exercise of this right. Consequently, the right that the provision </w:t>
      </w:r>
      <w:r w:rsidR="004860C3" w:rsidRPr="00D869E3">
        <w:rPr>
          <w:rFonts w:ascii="Verdana" w:hAnsi="Verdana"/>
          <w:sz w:val="20"/>
          <w:szCs w:val="20"/>
          <w:lang w:val="en-US"/>
        </w:rPr>
        <w:t>recognizes</w:t>
      </w:r>
      <w:r w:rsidR="00C25DAC" w:rsidRPr="00D869E3">
        <w:rPr>
          <w:rFonts w:ascii="Verdana" w:hAnsi="Verdana"/>
          <w:sz w:val="20"/>
          <w:szCs w:val="20"/>
          <w:lang w:val="en-US"/>
        </w:rPr>
        <w:t xml:space="preserve"> in favor of the workers establishes a framework </w:t>
      </w:r>
      <w:r w:rsidR="004860C3" w:rsidRPr="00D869E3">
        <w:rPr>
          <w:rFonts w:ascii="Verdana" w:hAnsi="Verdana"/>
          <w:sz w:val="20"/>
          <w:szCs w:val="20"/>
          <w:lang w:val="en-US"/>
        </w:rPr>
        <w:t>under</w:t>
      </w:r>
      <w:r w:rsidR="00C25DAC" w:rsidRPr="00D869E3">
        <w:rPr>
          <w:rFonts w:ascii="Verdana" w:hAnsi="Verdana"/>
          <w:sz w:val="20"/>
          <w:szCs w:val="20"/>
          <w:lang w:val="en-US"/>
        </w:rPr>
        <w:t xml:space="preserve"> which more specific rights are generated for labor or trade unions, federations and confederations as autonomous subjects of rights, the purpose of which is to allow them to be interlocutors for their members</w:t>
      </w:r>
      <w:r w:rsidR="004860C3" w:rsidRPr="00D869E3">
        <w:rPr>
          <w:rFonts w:ascii="Verdana" w:hAnsi="Verdana"/>
          <w:sz w:val="20"/>
          <w:szCs w:val="20"/>
          <w:lang w:val="en-US"/>
        </w:rPr>
        <w:t xml:space="preserve"> and, through this function,</w:t>
      </w:r>
      <w:r w:rsidR="00C25DAC" w:rsidRPr="00D869E3">
        <w:rPr>
          <w:rFonts w:ascii="Verdana" w:hAnsi="Verdana"/>
          <w:sz w:val="20"/>
          <w:szCs w:val="20"/>
          <w:lang w:val="en-US"/>
        </w:rPr>
        <w:t xml:space="preserve"> facilitating a </w:t>
      </w:r>
      <w:r w:rsidR="004860C3" w:rsidRPr="00D869E3">
        <w:rPr>
          <w:rFonts w:ascii="Verdana" w:hAnsi="Verdana"/>
          <w:sz w:val="20"/>
          <w:szCs w:val="20"/>
          <w:lang w:val="en-US"/>
        </w:rPr>
        <w:t>more</w:t>
      </w:r>
      <w:r w:rsidR="00C25DAC" w:rsidRPr="00D869E3">
        <w:rPr>
          <w:rFonts w:ascii="Verdana" w:hAnsi="Verdana"/>
          <w:sz w:val="20"/>
          <w:szCs w:val="20"/>
          <w:lang w:val="en-US"/>
        </w:rPr>
        <w:t xml:space="preserve"> extensive protection and the effective enjoyment of th</w:t>
      </w:r>
      <w:r w:rsidR="004860C3" w:rsidRPr="00D869E3">
        <w:rPr>
          <w:rFonts w:ascii="Verdana" w:hAnsi="Verdana"/>
          <w:sz w:val="20"/>
          <w:szCs w:val="20"/>
          <w:lang w:val="en-US"/>
        </w:rPr>
        <w:t>is</w:t>
      </w:r>
      <w:r w:rsidR="00C25DAC" w:rsidRPr="00D869E3">
        <w:rPr>
          <w:rFonts w:ascii="Verdana" w:hAnsi="Verdana"/>
          <w:sz w:val="20"/>
          <w:szCs w:val="20"/>
          <w:lang w:val="en-US"/>
        </w:rPr>
        <w:t xml:space="preserve"> right of the workers.</w:t>
      </w:r>
      <w:r w:rsidR="006436CA" w:rsidRPr="00D869E3">
        <w:rPr>
          <w:rFonts w:ascii="Verdana" w:hAnsi="Verdana"/>
          <w:sz w:val="20"/>
          <w:szCs w:val="20"/>
          <w:lang w:val="en-US"/>
        </w:rPr>
        <w:t>”</w:t>
      </w:r>
      <w:r w:rsidR="00F83E8F" w:rsidRPr="00D869E3">
        <w:rPr>
          <w:rStyle w:val="Refdenotaalpie"/>
          <w:szCs w:val="20"/>
          <w:lang w:val="en-US"/>
        </w:rPr>
        <w:footnoteReference w:id="333"/>
      </w:r>
      <w:r w:rsidR="00F83E8F" w:rsidRPr="00D869E3">
        <w:rPr>
          <w:rFonts w:ascii="Verdana" w:hAnsi="Verdana"/>
          <w:sz w:val="20"/>
          <w:szCs w:val="20"/>
          <w:lang w:val="en-US"/>
        </w:rPr>
        <w:t xml:space="preserve">  </w:t>
      </w:r>
    </w:p>
    <w:p w14:paraId="59412F8A"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34C998CD" w14:textId="2291EC5C" w:rsidR="00F83E8F" w:rsidRPr="00D869E3" w:rsidRDefault="00C25DAC" w:rsidP="00DB55F5">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In sum, the right to freedom of association </w:t>
      </w:r>
      <w:r w:rsidR="00DB55F5" w:rsidRPr="00D869E3">
        <w:rPr>
          <w:rFonts w:ascii="Verdana" w:hAnsi="Verdana"/>
          <w:sz w:val="20"/>
          <w:szCs w:val="20"/>
          <w:lang w:val="en-US"/>
        </w:rPr>
        <w:t xml:space="preserve">has been protected by connectivity, subsuming it in the right to freedom of association recognized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DB55F5" w:rsidRPr="00D869E3">
        <w:rPr>
          <w:rFonts w:ascii="Verdana" w:hAnsi="Verdana"/>
          <w:sz w:val="20"/>
          <w:szCs w:val="20"/>
          <w:lang w:val="en-US"/>
        </w:rPr>
        <w:t xml:space="preserve">indirect </w:t>
      </w:r>
      <w:r w:rsidR="00F83E8F" w:rsidRPr="00D869E3">
        <w:rPr>
          <w:rFonts w:ascii="Verdana" w:hAnsi="Verdana"/>
          <w:sz w:val="20"/>
          <w:szCs w:val="20"/>
          <w:lang w:val="en-US"/>
        </w:rPr>
        <w:t>justiciabili</w:t>
      </w:r>
      <w:r w:rsidR="00DB55F5" w:rsidRPr="00D869E3">
        <w:rPr>
          <w:rFonts w:ascii="Verdana" w:hAnsi="Verdana"/>
          <w:sz w:val="20"/>
          <w:szCs w:val="20"/>
          <w:lang w:val="en-US"/>
        </w:rPr>
        <w:t xml:space="preserve">ty by connectivity). However, in the instant case, as we shall see in the following section, </w:t>
      </w:r>
      <w:r w:rsidR="00185A57" w:rsidRPr="00D869E3">
        <w:rPr>
          <w:rFonts w:ascii="Verdana" w:hAnsi="Verdana"/>
          <w:sz w:val="20"/>
          <w:szCs w:val="20"/>
          <w:lang w:val="en-US"/>
        </w:rPr>
        <w:t>the Inter-American Court</w:t>
      </w:r>
      <w:r w:rsidR="00DB55F5" w:rsidRPr="00D869E3">
        <w:rPr>
          <w:rFonts w:ascii="Verdana" w:hAnsi="Verdana"/>
          <w:sz w:val="20"/>
          <w:szCs w:val="20"/>
          <w:lang w:val="en-US"/>
        </w:rPr>
        <w:t xml:space="preserve"> extended the protection of labor associations and institutions that are not labor unions and</w:t>
      </w:r>
      <w:r w:rsidR="005E46C9" w:rsidRPr="00D869E3">
        <w:rPr>
          <w:rFonts w:ascii="Verdana" w:hAnsi="Verdana"/>
          <w:sz w:val="20"/>
          <w:szCs w:val="20"/>
          <w:lang w:val="en-US"/>
        </w:rPr>
        <w:t>,</w:t>
      </w:r>
      <w:r w:rsidR="00DB55F5" w:rsidRPr="00D869E3">
        <w:rPr>
          <w:rFonts w:ascii="Verdana" w:hAnsi="Verdana"/>
          <w:sz w:val="20"/>
          <w:szCs w:val="20"/>
          <w:lang w:val="en-US"/>
        </w:rPr>
        <w:t xml:space="preserve"> contrary to the cases referred to above</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a</w:t>
      </w:r>
      <w:r w:rsidR="00DB55F5" w:rsidRPr="00D869E3">
        <w:rPr>
          <w:rFonts w:ascii="Verdana" w:hAnsi="Verdana"/>
          <w:sz w:val="20"/>
          <w:szCs w:val="20"/>
          <w:lang w:val="en-US"/>
        </w:rPr>
        <w:t>ddressed directly the right to</w:t>
      </w:r>
      <w:r w:rsidR="005E46C9" w:rsidRPr="00D869E3">
        <w:rPr>
          <w:rFonts w:ascii="Verdana" w:hAnsi="Verdana"/>
          <w:sz w:val="20"/>
          <w:szCs w:val="20"/>
          <w:lang w:val="en-US"/>
        </w:rPr>
        <w:t xml:space="preserve"> </w:t>
      </w:r>
      <w:r w:rsidR="0009733A" w:rsidRPr="00D869E3">
        <w:rPr>
          <w:rFonts w:ascii="Verdana" w:hAnsi="Verdana"/>
          <w:sz w:val="20"/>
          <w:szCs w:val="20"/>
          <w:lang w:val="en-US"/>
        </w:rPr>
        <w:t>the</w:t>
      </w:r>
      <w:r w:rsidR="00DB55F5" w:rsidRPr="00D869E3">
        <w:rPr>
          <w:rFonts w:ascii="Verdana" w:hAnsi="Verdana"/>
          <w:sz w:val="20"/>
          <w:szCs w:val="20"/>
          <w:lang w:val="en-US"/>
        </w:rPr>
        <w:t xml:space="preserve"> freedom of association</w:t>
      </w:r>
      <w:r w:rsidR="0009733A" w:rsidRPr="00D869E3">
        <w:rPr>
          <w:rFonts w:ascii="Verdana" w:hAnsi="Verdana"/>
          <w:sz w:val="20"/>
          <w:szCs w:val="20"/>
          <w:lang w:val="en-US"/>
        </w:rPr>
        <w:t xml:space="preserve"> of labor</w:t>
      </w:r>
      <w:r w:rsidR="005E46C9" w:rsidRPr="00D869E3">
        <w:rPr>
          <w:rFonts w:ascii="Verdana" w:hAnsi="Verdana"/>
          <w:sz w:val="20"/>
          <w:szCs w:val="20"/>
          <w:lang w:val="en-US"/>
        </w:rPr>
        <w:t xml:space="preserve"> </w:t>
      </w:r>
      <w:r w:rsidR="00DB55F5" w:rsidRPr="00D869E3">
        <w:rPr>
          <w:rFonts w:ascii="Verdana" w:hAnsi="Verdana"/>
          <w:i/>
          <w:iCs/>
          <w:sz w:val="20"/>
          <w:szCs w:val="20"/>
          <w:lang w:val="en-US"/>
        </w:rPr>
        <w:t>from the perspective</w:t>
      </w:r>
      <w:r w:rsidR="00DB55F5" w:rsidRPr="00D869E3">
        <w:rPr>
          <w:rFonts w:ascii="Verdana" w:hAnsi="Verdana"/>
          <w:sz w:val="20"/>
          <w:szCs w:val="20"/>
          <w:lang w:val="en-US"/>
        </w:rPr>
        <w:t xml:space="preserve"> </w:t>
      </w:r>
      <w:r w:rsidR="00687684" w:rsidRPr="00D869E3">
        <w:rPr>
          <w:rFonts w:ascii="Verdana" w:hAnsi="Verdana"/>
          <w:i/>
          <w:sz w:val="20"/>
          <w:szCs w:val="20"/>
          <w:lang w:val="en-US"/>
        </w:rPr>
        <w:t>of Article</w:t>
      </w:r>
      <w:r w:rsidR="00F83E8F" w:rsidRPr="00D869E3">
        <w:rPr>
          <w:rFonts w:ascii="Verdana" w:hAnsi="Verdana"/>
          <w:i/>
          <w:sz w:val="20"/>
          <w:szCs w:val="20"/>
          <w:lang w:val="en-US"/>
        </w:rPr>
        <w:t xml:space="preserve"> 26</w:t>
      </w:r>
      <w:r w:rsidR="00447C65" w:rsidRPr="00D869E3">
        <w:rPr>
          <w:rFonts w:ascii="Verdana" w:hAnsi="Verdana"/>
          <w:i/>
          <w:sz w:val="20"/>
          <w:szCs w:val="20"/>
          <w:lang w:val="en-US"/>
        </w:rPr>
        <w:t xml:space="preserve"> of the American Convention</w:t>
      </w:r>
      <w:r w:rsidR="00F83E8F" w:rsidRPr="00D869E3">
        <w:rPr>
          <w:rFonts w:ascii="Verdana" w:hAnsi="Verdana"/>
          <w:i/>
          <w:sz w:val="20"/>
          <w:szCs w:val="20"/>
          <w:lang w:val="en-US"/>
        </w:rPr>
        <w:t xml:space="preserve">. </w:t>
      </w:r>
      <w:r w:rsidR="00F83E8F" w:rsidRPr="00D869E3">
        <w:rPr>
          <w:rFonts w:ascii="Verdana" w:hAnsi="Verdana"/>
          <w:sz w:val="20"/>
          <w:szCs w:val="20"/>
          <w:lang w:val="en-US"/>
        </w:rPr>
        <w:t xml:space="preserve"> </w:t>
      </w:r>
    </w:p>
    <w:p w14:paraId="34F7B7E1"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1E56108D" w14:textId="063545F4" w:rsidR="00F83E8F" w:rsidRPr="00D869E3" w:rsidRDefault="00F83E8F" w:rsidP="00F83E8F">
      <w:pPr>
        <w:pStyle w:val="Prrafodelista"/>
        <w:widowControl w:val="0"/>
        <w:autoSpaceDE w:val="0"/>
        <w:autoSpaceDN w:val="0"/>
        <w:adjustRightInd w:val="0"/>
        <w:ind w:left="0" w:right="51"/>
        <w:jc w:val="center"/>
        <w:rPr>
          <w:rFonts w:ascii="Verdana" w:hAnsi="Verdana"/>
          <w:b/>
          <w:sz w:val="20"/>
          <w:szCs w:val="20"/>
          <w:lang w:val="en-US"/>
        </w:rPr>
      </w:pPr>
      <w:r w:rsidRPr="00D869E3">
        <w:rPr>
          <w:rFonts w:ascii="Verdana" w:hAnsi="Verdana"/>
          <w:bCs/>
          <w:iCs/>
          <w:sz w:val="20"/>
          <w:szCs w:val="20"/>
          <w:lang w:val="en-US"/>
        </w:rPr>
        <w:t xml:space="preserve">III.  </w:t>
      </w:r>
      <w:r w:rsidR="000944EB" w:rsidRPr="00D869E3">
        <w:rPr>
          <w:rFonts w:ascii="Verdana" w:hAnsi="Verdana"/>
          <w:bCs/>
          <w:iCs/>
          <w:sz w:val="20"/>
          <w:szCs w:val="20"/>
          <w:lang w:val="en-US"/>
        </w:rPr>
        <w:t xml:space="preserve">THE RIGHT </w:t>
      </w:r>
      <w:r w:rsidR="005E46C9" w:rsidRPr="00D869E3">
        <w:rPr>
          <w:rFonts w:ascii="Verdana" w:hAnsi="Verdana"/>
          <w:bCs/>
          <w:iCs/>
          <w:sz w:val="20"/>
          <w:szCs w:val="20"/>
          <w:lang w:val="en-US"/>
        </w:rPr>
        <w:t>TO</w:t>
      </w:r>
      <w:r w:rsidR="000944EB" w:rsidRPr="00D869E3">
        <w:rPr>
          <w:rFonts w:ascii="Verdana" w:hAnsi="Verdana"/>
          <w:bCs/>
          <w:iCs/>
          <w:sz w:val="20"/>
          <w:szCs w:val="20"/>
          <w:lang w:val="en-US"/>
        </w:rPr>
        <w:t xml:space="preserve"> </w:t>
      </w:r>
      <w:r w:rsidR="005E46C9" w:rsidRPr="00D869E3">
        <w:rPr>
          <w:rFonts w:ascii="Verdana" w:hAnsi="Verdana"/>
          <w:bCs/>
          <w:iCs/>
          <w:sz w:val="20"/>
          <w:szCs w:val="20"/>
          <w:lang w:val="en-US"/>
        </w:rPr>
        <w:t xml:space="preserve">THE </w:t>
      </w:r>
      <w:r w:rsidR="002517A8" w:rsidRPr="00D869E3">
        <w:rPr>
          <w:rFonts w:ascii="Verdana" w:hAnsi="Verdana"/>
          <w:bCs/>
          <w:iCs/>
          <w:sz w:val="20"/>
          <w:szCs w:val="20"/>
          <w:lang w:val="en-US"/>
        </w:rPr>
        <w:t xml:space="preserve">FREEDOM OF </w:t>
      </w:r>
      <w:r w:rsidR="000944EB" w:rsidRPr="00D869E3">
        <w:rPr>
          <w:rFonts w:ascii="Verdana" w:hAnsi="Verdana"/>
          <w:bCs/>
          <w:iCs/>
          <w:sz w:val="20"/>
          <w:szCs w:val="20"/>
          <w:lang w:val="en-US"/>
        </w:rPr>
        <w:t xml:space="preserve">ASSOCIATION </w:t>
      </w:r>
      <w:r w:rsidR="005E46C9" w:rsidRPr="00D869E3">
        <w:rPr>
          <w:rFonts w:ascii="Verdana" w:hAnsi="Verdana"/>
          <w:bCs/>
          <w:iCs/>
          <w:sz w:val="20"/>
          <w:szCs w:val="20"/>
          <w:lang w:val="en-US"/>
        </w:rPr>
        <w:t xml:space="preserve">OF LABOR </w:t>
      </w:r>
      <w:r w:rsidR="000944EB" w:rsidRPr="00D869E3">
        <w:rPr>
          <w:rFonts w:ascii="Verdana" w:hAnsi="Verdana"/>
          <w:bCs/>
          <w:iCs/>
          <w:sz w:val="20"/>
          <w:szCs w:val="20"/>
          <w:lang w:val="en-US"/>
        </w:rPr>
        <w:t>FOR THE PROTECTION AND PROMOTION OF WORKERS’ INTERESTS AS PART OF THE RIGHT TO WORK</w:t>
      </w:r>
    </w:p>
    <w:p w14:paraId="66C5B495" w14:textId="77777777" w:rsidR="00F83E8F" w:rsidRPr="00D869E3" w:rsidRDefault="00F83E8F" w:rsidP="00F83E8F">
      <w:pPr>
        <w:pStyle w:val="Prrafodelista"/>
        <w:widowControl w:val="0"/>
        <w:autoSpaceDE w:val="0"/>
        <w:autoSpaceDN w:val="0"/>
        <w:adjustRightInd w:val="0"/>
        <w:ind w:left="0" w:right="51"/>
        <w:rPr>
          <w:rFonts w:ascii="Verdana" w:hAnsi="Verdana"/>
          <w:sz w:val="20"/>
          <w:szCs w:val="20"/>
          <w:lang w:val="en-US"/>
        </w:rPr>
      </w:pPr>
    </w:p>
    <w:p w14:paraId="49AD9D48" w14:textId="2958ABD3" w:rsidR="00F83E8F" w:rsidRPr="00D869E3" w:rsidRDefault="00DB55F5"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In the judgment</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conclu</w:t>
      </w:r>
      <w:r w:rsidR="00804590" w:rsidRPr="00D869E3">
        <w:rPr>
          <w:rFonts w:ascii="Verdana" w:hAnsi="Verdana"/>
          <w:sz w:val="20"/>
          <w:szCs w:val="20"/>
          <w:lang w:val="en-US"/>
        </w:rPr>
        <w:t>ded 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w:t>
      </w:r>
      <w:r w:rsidR="00687684" w:rsidRPr="00D869E3">
        <w:rPr>
          <w:rFonts w:ascii="Verdana" w:hAnsi="Verdana"/>
          <w:sz w:val="20"/>
          <w:szCs w:val="20"/>
          <w:lang w:val="en-US"/>
        </w:rPr>
        <w:t xml:space="preserve">16(1) and </w:t>
      </w:r>
      <w:r w:rsidR="00F83E8F" w:rsidRPr="00D869E3">
        <w:rPr>
          <w:rFonts w:ascii="Verdana" w:hAnsi="Verdana"/>
          <w:sz w:val="20"/>
          <w:szCs w:val="20"/>
          <w:lang w:val="en-US"/>
        </w:rPr>
        <w:t>26</w:t>
      </w:r>
      <w:r w:rsidR="00447C65" w:rsidRPr="00D869E3">
        <w:rPr>
          <w:rFonts w:ascii="Verdana" w:hAnsi="Verdana"/>
          <w:sz w:val="20"/>
          <w:szCs w:val="20"/>
          <w:lang w:val="en-US"/>
        </w:rPr>
        <w:t xml:space="preserve"> of the American Convention</w:t>
      </w:r>
      <w:r w:rsidR="00804590" w:rsidRPr="00D869E3">
        <w:rPr>
          <w:rFonts w:ascii="Verdana" w:hAnsi="Verdana"/>
          <w:sz w:val="20"/>
          <w:szCs w:val="20"/>
          <w:lang w:val="en-US"/>
        </w:rPr>
        <w:t xml:space="preserve"> had been violated</w:t>
      </w:r>
      <w:r w:rsidR="00F83E8F"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8, 11,</w:t>
      </w:r>
      <w:r w:rsidR="00687684" w:rsidRPr="00D869E3">
        <w:rPr>
          <w:rFonts w:ascii="Verdana" w:hAnsi="Verdana"/>
          <w:sz w:val="20"/>
          <w:szCs w:val="20"/>
          <w:lang w:val="en-US"/>
        </w:rPr>
        <w:t xml:space="preserve"> and </w:t>
      </w:r>
      <w:r w:rsidR="00F83E8F" w:rsidRPr="00D869E3">
        <w:rPr>
          <w:rFonts w:ascii="Verdana" w:hAnsi="Verdana"/>
          <w:sz w:val="20"/>
          <w:szCs w:val="20"/>
          <w:lang w:val="en-US"/>
        </w:rPr>
        <w:t xml:space="preserve">13 </w:t>
      </w:r>
      <w:r w:rsidR="00687684" w:rsidRPr="00D869E3">
        <w:rPr>
          <w:rFonts w:ascii="Verdana" w:hAnsi="Verdana"/>
          <w:sz w:val="20"/>
          <w:szCs w:val="20"/>
          <w:lang w:val="en-US"/>
        </w:rPr>
        <w:t>of this instrument</w:t>
      </w:r>
      <w:r w:rsidR="00F83E8F" w:rsidRPr="00D869E3">
        <w:rPr>
          <w:rFonts w:ascii="Verdana" w:hAnsi="Verdana"/>
          <w:sz w:val="20"/>
          <w:szCs w:val="20"/>
          <w:lang w:val="en-US"/>
        </w:rPr>
        <w:t xml:space="preserve">, </w:t>
      </w:r>
      <w:r w:rsidR="00804590" w:rsidRPr="00D869E3">
        <w:rPr>
          <w:rFonts w:ascii="Verdana" w:hAnsi="Verdana"/>
          <w:sz w:val="20"/>
          <w:szCs w:val="20"/>
          <w:lang w:val="en-US"/>
        </w:rPr>
        <w:t xml:space="preserve">to the detriment of </w:t>
      </w:r>
      <w:r w:rsidR="00687684" w:rsidRPr="00D869E3">
        <w:rPr>
          <w:rFonts w:ascii="Verdana" w:hAnsi="Verdana"/>
          <w:sz w:val="20"/>
          <w:szCs w:val="20"/>
          <w:lang w:val="en-US"/>
        </w:rPr>
        <w:t>Mr. Lagos</w:t>
      </w:r>
      <w:r w:rsidR="00F83E8F" w:rsidRPr="00D869E3">
        <w:rPr>
          <w:rFonts w:ascii="Verdana" w:hAnsi="Verdana"/>
          <w:sz w:val="20"/>
          <w:szCs w:val="20"/>
          <w:lang w:val="en-US"/>
        </w:rPr>
        <w:t xml:space="preserve"> del Campos, </w:t>
      </w:r>
      <w:r w:rsidR="00804590" w:rsidRPr="00D869E3">
        <w:rPr>
          <w:rFonts w:ascii="Verdana" w:hAnsi="Verdana"/>
          <w:sz w:val="20"/>
          <w:szCs w:val="20"/>
          <w:lang w:val="en-US"/>
        </w:rPr>
        <w:t>as follows</w:t>
      </w:r>
      <w:r w:rsidR="00F83E8F" w:rsidRPr="00D869E3">
        <w:rPr>
          <w:rFonts w:ascii="Verdana" w:hAnsi="Verdana"/>
          <w:sz w:val="20"/>
          <w:szCs w:val="20"/>
          <w:lang w:val="en-US"/>
        </w:rPr>
        <w:t xml:space="preserve">: </w:t>
      </w:r>
    </w:p>
    <w:p w14:paraId="2477B53D"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1F70B616" w14:textId="1705FFDC" w:rsidR="00F83E8F" w:rsidRPr="00D869E3" w:rsidRDefault="00F83E8F" w:rsidP="00F83E8F">
      <w:pPr>
        <w:ind w:left="720" w:right="738"/>
        <w:contextualSpacing/>
        <w:jc w:val="both"/>
        <w:rPr>
          <w:rFonts w:ascii="Verdana" w:hAnsi="Verdana"/>
          <w:b/>
          <w:sz w:val="16"/>
          <w:szCs w:val="16"/>
          <w:lang w:val="en-US"/>
        </w:rPr>
      </w:pPr>
      <w:r w:rsidRPr="00D869E3">
        <w:rPr>
          <w:rFonts w:ascii="Verdana" w:hAnsi="Verdana"/>
          <w:sz w:val="16"/>
          <w:szCs w:val="16"/>
          <w:lang w:val="en-US"/>
        </w:rPr>
        <w:t xml:space="preserve">162. […] </w:t>
      </w:r>
      <w:r w:rsidR="00447C65" w:rsidRPr="00D869E3">
        <w:rPr>
          <w:rFonts w:ascii="Verdana" w:hAnsi="Verdana"/>
          <w:sz w:val="16"/>
          <w:szCs w:val="16"/>
          <w:lang w:val="en-US"/>
        </w:rPr>
        <w:t xml:space="preserve">the </w:t>
      </w:r>
      <w:r w:rsidR="00804590" w:rsidRPr="00D869E3">
        <w:rPr>
          <w:rFonts w:ascii="Verdana" w:hAnsi="Verdana"/>
          <w:sz w:val="16"/>
          <w:szCs w:val="16"/>
          <w:lang w:val="en-US"/>
        </w:rPr>
        <w:t xml:space="preserve">Court finds that the dismissal of Mr. Lagos del Campo went beyond the violation of his individual right to freedom of association, because it deprived the workers of the Industrial Community of the representation of one of their leaders, especially in the election that should have been held under his supervision as </w:t>
      </w:r>
      <w:r w:rsidR="001B0492" w:rsidRPr="00D869E3">
        <w:rPr>
          <w:rFonts w:ascii="Verdana" w:hAnsi="Verdana"/>
          <w:sz w:val="16"/>
          <w:szCs w:val="16"/>
          <w:lang w:val="en-US"/>
        </w:rPr>
        <w:t>president of the Electoral</w:t>
      </w:r>
      <w:r w:rsidR="00804590" w:rsidRPr="00D869E3">
        <w:rPr>
          <w:rFonts w:ascii="Verdana" w:hAnsi="Verdana"/>
          <w:sz w:val="20"/>
          <w:szCs w:val="20"/>
          <w:lang w:val="en-US"/>
        </w:rPr>
        <w:t xml:space="preserve"> </w:t>
      </w:r>
      <w:r w:rsidR="00EA232B" w:rsidRPr="00D869E3">
        <w:rPr>
          <w:rFonts w:ascii="Verdana" w:hAnsi="Verdana"/>
          <w:sz w:val="16"/>
          <w:szCs w:val="16"/>
          <w:lang w:val="en-US"/>
        </w:rPr>
        <w:t>Committee</w:t>
      </w:r>
      <w:r w:rsidRPr="00D869E3">
        <w:rPr>
          <w:rFonts w:ascii="Verdana" w:hAnsi="Verdana"/>
          <w:i/>
          <w:sz w:val="16"/>
          <w:szCs w:val="16"/>
          <w:lang w:val="en-US"/>
        </w:rPr>
        <w:t>.</w:t>
      </w:r>
      <w:r w:rsidRPr="00D869E3">
        <w:rPr>
          <w:rFonts w:ascii="Verdana" w:hAnsi="Verdana"/>
          <w:sz w:val="16"/>
          <w:szCs w:val="16"/>
          <w:lang w:val="en-US"/>
        </w:rPr>
        <w:t xml:space="preserve"> </w:t>
      </w:r>
      <w:r w:rsidR="00804590" w:rsidRPr="00D869E3">
        <w:rPr>
          <w:rFonts w:ascii="Verdana" w:hAnsi="Verdana"/>
          <w:sz w:val="16"/>
          <w:szCs w:val="16"/>
          <w:lang w:val="en-US"/>
        </w:rPr>
        <w:t xml:space="preserve">The Court also notes that, since Mr. Lagos del Campo’s dismissal was carried out in reprisal for his task of representation, this could have had an intimidating and threatening impact on the other members of the Industrial Community </w:t>
      </w:r>
      <w:r w:rsidRPr="00D869E3">
        <w:rPr>
          <w:rFonts w:ascii="Verdana" w:hAnsi="Verdana"/>
          <w:sz w:val="16"/>
          <w:szCs w:val="16"/>
          <w:lang w:val="en-US"/>
        </w:rPr>
        <w:t>[…]</w:t>
      </w:r>
      <w:r w:rsidR="00804590" w:rsidRPr="00D869E3">
        <w:rPr>
          <w:rFonts w:ascii="Verdana" w:hAnsi="Verdana"/>
          <w:sz w:val="16"/>
          <w:szCs w:val="16"/>
          <w:lang w:val="en-US"/>
        </w:rPr>
        <w:t>.</w:t>
      </w:r>
      <w:r w:rsidRPr="00D869E3">
        <w:rPr>
          <w:rStyle w:val="Refdenotaalpie"/>
          <w:sz w:val="16"/>
          <w:szCs w:val="16"/>
          <w:lang w:val="en-US"/>
        </w:rPr>
        <w:footnoteReference w:id="334"/>
      </w:r>
      <w:r w:rsidRPr="00D869E3">
        <w:rPr>
          <w:rFonts w:ascii="Verdana" w:hAnsi="Verdana"/>
          <w:sz w:val="16"/>
          <w:szCs w:val="16"/>
          <w:lang w:val="en-US"/>
        </w:rPr>
        <w:t xml:space="preserve"> </w:t>
      </w:r>
    </w:p>
    <w:p w14:paraId="42062410"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00A24AE4" w14:textId="36E185CB" w:rsidR="00F83E8F" w:rsidRPr="00D869E3" w:rsidRDefault="00075E68" w:rsidP="00804590">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804590" w:rsidRPr="00D869E3">
        <w:rPr>
          <w:rFonts w:ascii="Verdana" w:hAnsi="Verdana"/>
          <w:sz w:val="20"/>
          <w:szCs w:val="20"/>
          <w:lang w:val="en-US"/>
        </w:rPr>
        <w:t xml:space="preserve">even though I agree with the judgment, I believe it important to make some clarifications in relation to the violation of the right to </w:t>
      </w:r>
      <w:r w:rsidR="0009733A" w:rsidRPr="00D869E3">
        <w:rPr>
          <w:rFonts w:ascii="Verdana" w:hAnsi="Verdana"/>
          <w:sz w:val="20"/>
          <w:szCs w:val="20"/>
          <w:lang w:val="en-US"/>
        </w:rPr>
        <w:t>freedom of association</w:t>
      </w:r>
      <w:r w:rsidR="00804590" w:rsidRPr="00D869E3">
        <w:rPr>
          <w:rFonts w:ascii="Verdana" w:hAnsi="Verdana"/>
          <w:sz w:val="20"/>
          <w:szCs w:val="20"/>
          <w:lang w:val="en-US"/>
        </w:rPr>
        <w:t xml:space="preserve"> and its impact on labor matters. And this is taking into consideration that the judgment does not </w:t>
      </w:r>
      <w:r w:rsidR="0009733A" w:rsidRPr="00D869E3">
        <w:rPr>
          <w:rFonts w:ascii="Verdana" w:hAnsi="Verdana"/>
          <w:sz w:val="20"/>
          <w:szCs w:val="20"/>
          <w:lang w:val="en-US"/>
        </w:rPr>
        <w:t xml:space="preserve">indicate </w:t>
      </w:r>
      <w:r w:rsidR="00804590" w:rsidRPr="00D869E3">
        <w:rPr>
          <w:rFonts w:ascii="Verdana" w:hAnsi="Verdana"/>
          <w:sz w:val="20"/>
          <w:szCs w:val="20"/>
          <w:lang w:val="en-US"/>
        </w:rPr>
        <w:t xml:space="preserve">the reasons why </w:t>
      </w:r>
      <w:r w:rsidR="0009733A" w:rsidRPr="00D869E3">
        <w:rPr>
          <w:rFonts w:ascii="Verdana" w:hAnsi="Verdana"/>
          <w:sz w:val="20"/>
          <w:szCs w:val="20"/>
          <w:lang w:val="en-US"/>
        </w:rPr>
        <w:t xml:space="preserve">it relates </w:t>
      </w:r>
      <w:r w:rsidR="00804590" w:rsidRPr="00D869E3">
        <w:rPr>
          <w:rFonts w:ascii="Verdana" w:hAnsi="Verdana"/>
          <w:sz w:val="20"/>
          <w:szCs w:val="20"/>
          <w:lang w:val="en-US"/>
        </w:rPr>
        <w:t>Article 26 of the Pact of San José to the</w:t>
      </w:r>
      <w:r w:rsidR="0009733A" w:rsidRPr="00D869E3">
        <w:rPr>
          <w:rFonts w:ascii="Verdana" w:hAnsi="Verdana"/>
          <w:sz w:val="20"/>
          <w:szCs w:val="20"/>
          <w:lang w:val="en-US"/>
        </w:rPr>
        <w:t xml:space="preserve"> labor-related</w:t>
      </w:r>
      <w:r w:rsidR="00804590" w:rsidRPr="00D869E3">
        <w:rPr>
          <w:rFonts w:ascii="Verdana" w:hAnsi="Verdana"/>
          <w:sz w:val="20"/>
          <w:szCs w:val="20"/>
          <w:lang w:val="en-US"/>
        </w:rPr>
        <w:t xml:space="preserve"> right to </w:t>
      </w:r>
      <w:r w:rsidR="0009733A" w:rsidRPr="00D869E3">
        <w:rPr>
          <w:rFonts w:ascii="Verdana" w:hAnsi="Verdana"/>
          <w:sz w:val="20"/>
          <w:szCs w:val="20"/>
          <w:lang w:val="en-US"/>
        </w:rPr>
        <w:t>freedom of association</w:t>
      </w:r>
      <w:r w:rsidR="00804590" w:rsidRPr="00D869E3">
        <w:rPr>
          <w:rFonts w:ascii="Verdana" w:hAnsi="Verdana"/>
          <w:sz w:val="20"/>
          <w:szCs w:val="20"/>
          <w:lang w:val="en-US"/>
        </w:rPr>
        <w:t xml:space="preserve"> </w:t>
      </w:r>
      <w:r w:rsidR="0009733A" w:rsidRPr="00D869E3">
        <w:rPr>
          <w:rFonts w:ascii="Verdana" w:hAnsi="Verdana"/>
          <w:sz w:val="20"/>
          <w:szCs w:val="20"/>
          <w:lang w:val="en-US"/>
        </w:rPr>
        <w:t>f</w:t>
      </w:r>
      <w:r w:rsidR="003E1D24" w:rsidRPr="00D869E3">
        <w:rPr>
          <w:rFonts w:ascii="Verdana" w:hAnsi="Verdana"/>
          <w:sz w:val="20"/>
          <w:szCs w:val="20"/>
          <w:lang w:val="en-US"/>
        </w:rPr>
        <w:t xml:space="preserve">or the protection and promotion of the victim’s interests, contained expressly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003E1D24" w:rsidRPr="00D869E3">
        <w:rPr>
          <w:rFonts w:ascii="Verdana" w:hAnsi="Verdana"/>
          <w:sz w:val="20"/>
          <w:szCs w:val="20"/>
          <w:lang w:val="en-US"/>
        </w:rPr>
        <w:t>(c</w:t>
      </w:r>
      <w:r w:rsidR="00F83E8F" w:rsidRPr="00D869E3">
        <w:rPr>
          <w:rFonts w:ascii="Verdana" w:hAnsi="Verdana"/>
          <w:sz w:val="20"/>
          <w:szCs w:val="20"/>
          <w:lang w:val="en-US"/>
        </w:rPr>
        <w:t xml:space="preserve">) </w:t>
      </w:r>
      <w:r w:rsidR="00197983" w:rsidRPr="00D869E3">
        <w:rPr>
          <w:rFonts w:ascii="Verdana" w:hAnsi="Verdana"/>
          <w:sz w:val="20"/>
          <w:szCs w:val="20"/>
          <w:lang w:val="en-US"/>
        </w:rPr>
        <w:t>of the OAS Charter</w:t>
      </w:r>
      <w:r w:rsidR="0009733A" w:rsidRPr="00D869E3">
        <w:rPr>
          <w:rFonts w:ascii="Verdana" w:hAnsi="Verdana"/>
          <w:sz w:val="20"/>
          <w:szCs w:val="20"/>
          <w:lang w:val="en-US"/>
        </w:rPr>
        <w:t>, or</w:t>
      </w:r>
      <w:r w:rsidR="00687684" w:rsidRPr="00D869E3">
        <w:rPr>
          <w:rFonts w:ascii="Verdana" w:hAnsi="Verdana"/>
          <w:sz w:val="20"/>
          <w:szCs w:val="20"/>
          <w:lang w:val="en-US"/>
        </w:rPr>
        <w:t xml:space="preserve"> </w:t>
      </w:r>
      <w:r w:rsidR="003E1D24" w:rsidRPr="00D869E3">
        <w:rPr>
          <w:rFonts w:ascii="Verdana" w:hAnsi="Verdana"/>
          <w:sz w:val="20"/>
          <w:szCs w:val="20"/>
          <w:lang w:val="en-US"/>
        </w:rPr>
        <w:t xml:space="preserve">its relationship to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3E1D24" w:rsidRPr="00D869E3">
        <w:rPr>
          <w:rFonts w:ascii="Verdana" w:hAnsi="Verdana"/>
          <w:sz w:val="20"/>
          <w:szCs w:val="20"/>
          <w:lang w:val="en-US"/>
        </w:rPr>
        <w:t>.</w:t>
      </w:r>
      <w:r w:rsidR="00F83E8F" w:rsidRPr="00D869E3">
        <w:rPr>
          <w:rStyle w:val="Refdenotaalpie"/>
          <w:szCs w:val="20"/>
          <w:lang w:val="en-US"/>
        </w:rPr>
        <w:footnoteReference w:id="335"/>
      </w:r>
      <w:r w:rsidR="00F83E8F" w:rsidRPr="00D869E3">
        <w:rPr>
          <w:rFonts w:ascii="Verdana" w:hAnsi="Verdana"/>
          <w:sz w:val="20"/>
          <w:szCs w:val="20"/>
          <w:lang w:val="en-US"/>
        </w:rPr>
        <w:t xml:space="preserve"> </w:t>
      </w:r>
    </w:p>
    <w:p w14:paraId="6D1FAE78"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737520C9" w14:textId="014AC590" w:rsidR="00F83E8F" w:rsidRPr="00D869E3" w:rsidRDefault="003E1D24"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In the instant case</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reco</w:t>
      </w:r>
      <w:r w:rsidRPr="00D869E3">
        <w:rPr>
          <w:rFonts w:ascii="Verdana" w:hAnsi="Verdana"/>
          <w:sz w:val="20"/>
          <w:szCs w:val="20"/>
          <w:lang w:val="en-US"/>
        </w:rPr>
        <w:t xml:space="preserve">gnized that the issue of freedom of association in relation to labor unions is of particular importance. Moreover,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19</w:t>
      </w:r>
      <w:r w:rsidRPr="00D869E3">
        <w:rPr>
          <w:rFonts w:ascii="Verdana" w:hAnsi="Verdana"/>
          <w:sz w:val="20"/>
          <w:szCs w:val="20"/>
          <w:lang w:val="en-US"/>
        </w:rPr>
        <w:t>(</w:t>
      </w:r>
      <w:r w:rsidR="00F83E8F" w:rsidRPr="00D869E3">
        <w:rPr>
          <w:rFonts w:ascii="Verdana" w:hAnsi="Verdana"/>
          <w:sz w:val="20"/>
          <w:szCs w:val="20"/>
          <w:lang w:val="en-US"/>
        </w:rPr>
        <w:t>6</w:t>
      </w:r>
      <w:r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Pr="00D869E3">
        <w:rPr>
          <w:rFonts w:ascii="Verdana" w:hAnsi="Verdana"/>
          <w:sz w:val="20"/>
          <w:szCs w:val="20"/>
          <w:lang w:val="en-US"/>
        </w:rPr>
        <w:t xml:space="preserve">confers on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the express competence to rule on violations of </w:t>
      </w:r>
      <w:r w:rsidR="00901386" w:rsidRPr="00D869E3">
        <w:rPr>
          <w:rFonts w:ascii="Verdana" w:hAnsi="Verdana"/>
          <w:sz w:val="20"/>
          <w:szCs w:val="20"/>
          <w:lang w:val="en-US"/>
        </w:rPr>
        <w:t xml:space="preserve">the </w:t>
      </w:r>
      <w:r w:rsidRPr="00D869E3">
        <w:rPr>
          <w:rFonts w:ascii="Verdana" w:hAnsi="Verdana"/>
          <w:sz w:val="20"/>
          <w:szCs w:val="20"/>
          <w:lang w:val="en-US"/>
        </w:rPr>
        <w:t xml:space="preserve">State’s </w:t>
      </w:r>
      <w:r w:rsidR="00901386" w:rsidRPr="00D869E3">
        <w:rPr>
          <w:rFonts w:ascii="Verdana" w:hAnsi="Verdana"/>
          <w:sz w:val="20"/>
          <w:szCs w:val="20"/>
          <w:lang w:val="en-US"/>
        </w:rPr>
        <w:t>obligation</w:t>
      </w:r>
      <w:r w:rsidR="00447C65" w:rsidRPr="00D869E3">
        <w:rPr>
          <w:rFonts w:ascii="Verdana" w:hAnsi="Verdana"/>
          <w:sz w:val="20"/>
          <w:szCs w:val="20"/>
          <w:lang w:val="en-US"/>
        </w:rPr>
        <w:t xml:space="preserve"> </w:t>
      </w:r>
      <w:r w:rsidRPr="00D869E3">
        <w:rPr>
          <w:rFonts w:ascii="Verdana" w:hAnsi="Verdana"/>
          <w:sz w:val="20"/>
          <w:szCs w:val="20"/>
          <w:lang w:val="en-US"/>
        </w:rPr>
        <w:t xml:space="preserve">to permit unions, federations and confederations to function freely, as established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F83E8F" w:rsidRPr="00D869E3">
        <w:rPr>
          <w:rStyle w:val="Refdenotaalpie"/>
          <w:szCs w:val="20"/>
          <w:lang w:val="en-US"/>
        </w:rPr>
        <w:footnoteReference w:id="336"/>
      </w:r>
      <w:r w:rsidR="00F83E8F" w:rsidRPr="00D869E3">
        <w:rPr>
          <w:rFonts w:ascii="Verdana" w:hAnsi="Verdana"/>
          <w:sz w:val="20"/>
          <w:szCs w:val="20"/>
          <w:lang w:val="en-US"/>
        </w:rPr>
        <w:t xml:space="preserve"> </w:t>
      </w:r>
      <w:r w:rsidRPr="00D869E3">
        <w:rPr>
          <w:rFonts w:ascii="Verdana" w:hAnsi="Verdana"/>
          <w:sz w:val="20"/>
          <w:szCs w:val="20"/>
          <w:lang w:val="en-US"/>
        </w:rPr>
        <w:t>In addition</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09733A" w:rsidRPr="00D869E3">
        <w:rPr>
          <w:rFonts w:ascii="Verdana" w:hAnsi="Verdana"/>
          <w:sz w:val="20"/>
          <w:szCs w:val="20"/>
          <w:lang w:val="en-US"/>
        </w:rPr>
        <w:t>referred to</w:t>
      </w:r>
      <w:r w:rsidRPr="00D869E3">
        <w:rPr>
          <w:rFonts w:ascii="Verdana" w:hAnsi="Verdana"/>
          <w:sz w:val="20"/>
          <w:szCs w:val="20"/>
          <w:lang w:val="en-US"/>
        </w:rPr>
        <w:t xml:space="preserve"> one aspect of labor union rights when it stated that </w:t>
      </w:r>
      <w:r w:rsidR="006436CA" w:rsidRPr="00D869E3">
        <w:rPr>
          <w:rFonts w:ascii="Verdana" w:hAnsi="Verdana"/>
          <w:sz w:val="20"/>
          <w:szCs w:val="20"/>
          <w:lang w:val="en-US"/>
        </w:rPr>
        <w:t>“</w:t>
      </w:r>
      <w:r w:rsidR="00351902" w:rsidRPr="00D869E3">
        <w:rPr>
          <w:rFonts w:ascii="Verdana" w:hAnsi="Verdana"/>
          <w:sz w:val="20"/>
          <w:szCs w:val="20"/>
          <w:lang w:val="en-US"/>
        </w:rPr>
        <w:t>freedom of association</w:t>
      </w:r>
      <w:r w:rsidRPr="00D869E3">
        <w:rPr>
          <w:rFonts w:ascii="Verdana" w:hAnsi="Verdana"/>
          <w:sz w:val="20"/>
          <w:szCs w:val="20"/>
          <w:lang w:val="en-US"/>
        </w:rPr>
        <w:t xml:space="preserve"> in </w:t>
      </w:r>
      <w:r w:rsidRPr="00D869E3">
        <w:rPr>
          <w:rFonts w:ascii="Verdana" w:hAnsi="Verdana"/>
          <w:sz w:val="20"/>
          <w:szCs w:val="20"/>
          <w:lang w:val="en-US"/>
        </w:rPr>
        <w:lastRenderedPageBreak/>
        <w:t xml:space="preserve">relation to labor unions is of the greatest importance for the defense of the legitimate interests of the </w:t>
      </w:r>
      <w:r w:rsidRPr="00D869E3">
        <w:rPr>
          <w:rFonts w:ascii="Verdana" w:hAnsi="Verdana"/>
          <w:sz w:val="20"/>
          <w:szCs w:val="20"/>
          <w:u w:val="single"/>
          <w:lang w:val="en-US"/>
        </w:rPr>
        <w:t>workers</w:t>
      </w:r>
      <w:r w:rsidRPr="00D869E3">
        <w:rPr>
          <w:rFonts w:ascii="Verdana" w:hAnsi="Verdana"/>
          <w:sz w:val="20"/>
          <w:szCs w:val="20"/>
          <w:lang w:val="en-US"/>
        </w:rPr>
        <w:t xml:space="preserve">, and is established in the </w:t>
      </w:r>
      <w:r w:rsidR="00F83E8F" w:rsidRPr="00D869E3">
        <w:rPr>
          <w:rFonts w:ascii="Verdana" w:hAnsi="Verdana"/>
          <w:i/>
          <w:sz w:val="20"/>
          <w:szCs w:val="20"/>
          <w:lang w:val="en-US"/>
        </w:rPr>
        <w:t xml:space="preserve">corpus juris </w:t>
      </w:r>
      <w:r w:rsidRPr="00D869E3">
        <w:rPr>
          <w:rFonts w:ascii="Verdana" w:hAnsi="Verdana"/>
          <w:sz w:val="20"/>
          <w:szCs w:val="20"/>
          <w:lang w:val="en-US"/>
        </w:rPr>
        <w:t>of</w:t>
      </w:r>
      <w:r w:rsidR="00F83E8F" w:rsidRPr="00D869E3">
        <w:rPr>
          <w:rFonts w:ascii="Verdana" w:hAnsi="Verdana"/>
          <w:sz w:val="20"/>
          <w:szCs w:val="20"/>
          <w:lang w:val="en-US"/>
        </w:rPr>
        <w:t xml:space="preserve"> </w:t>
      </w:r>
      <w:r w:rsidR="00B443B4" w:rsidRPr="00D869E3">
        <w:rPr>
          <w:rFonts w:ascii="Verdana" w:hAnsi="Verdana"/>
          <w:sz w:val="20"/>
          <w:szCs w:val="20"/>
          <w:lang w:val="en-US"/>
        </w:rPr>
        <w:t>human rights</w:t>
      </w:r>
      <w:r w:rsidRPr="00D869E3">
        <w:rPr>
          <w:rFonts w:ascii="Verdana" w:hAnsi="Verdana"/>
          <w:sz w:val="20"/>
          <w:szCs w:val="20"/>
          <w:lang w:val="en-US"/>
        </w:rPr>
        <w:t>.</w:t>
      </w:r>
      <w:r w:rsidR="00F83E8F" w:rsidRPr="00D869E3">
        <w:rPr>
          <w:rFonts w:ascii="Verdana" w:hAnsi="Verdana"/>
          <w:sz w:val="20"/>
          <w:szCs w:val="20"/>
          <w:vertAlign w:val="superscript"/>
          <w:lang w:val="en-US"/>
        </w:rPr>
        <w:footnoteReference w:id="337"/>
      </w:r>
      <w:r w:rsidRPr="00D869E3">
        <w:rPr>
          <w:rFonts w:ascii="Verdana" w:hAnsi="Verdana"/>
          <w:sz w:val="20"/>
          <w:szCs w:val="20"/>
          <w:lang w:val="en-US"/>
        </w:rPr>
        <w:t xml:space="preserve"> However,</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Pr="00D869E3">
        <w:rPr>
          <w:rFonts w:ascii="Verdana" w:hAnsi="Verdana"/>
          <w:sz w:val="20"/>
          <w:szCs w:val="20"/>
          <w:lang w:val="en-US"/>
        </w:rPr>
        <w:t>does not include all the situations in which a violation could be declared when labor union association is affected</w:t>
      </w:r>
      <w:r w:rsidR="00F83E8F" w:rsidRPr="00D869E3">
        <w:rPr>
          <w:rFonts w:ascii="Verdana" w:hAnsi="Verdana"/>
          <w:sz w:val="20"/>
          <w:szCs w:val="20"/>
          <w:lang w:val="en-US"/>
        </w:rPr>
        <w:t xml:space="preserve">. </w:t>
      </w:r>
    </w:p>
    <w:p w14:paraId="6F77B9AD"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5F1B0906" w14:textId="0E9E2A45" w:rsidR="00F83E8F" w:rsidRPr="00D869E3" w:rsidRDefault="00075E68" w:rsidP="006A4744">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For example</w:t>
      </w:r>
      <w:r w:rsidR="00F83E8F" w:rsidRPr="00D869E3">
        <w:rPr>
          <w:rFonts w:ascii="Verdana" w:hAnsi="Verdana"/>
          <w:sz w:val="20"/>
          <w:szCs w:val="20"/>
          <w:lang w:val="en-US"/>
        </w:rPr>
        <w:t xml:space="preserve">, </w:t>
      </w:r>
      <w:r w:rsidR="003E1D24" w:rsidRPr="00D869E3">
        <w:rPr>
          <w:rFonts w:ascii="Verdana" w:hAnsi="Verdana"/>
          <w:sz w:val="20"/>
          <w:szCs w:val="20"/>
          <w:lang w:val="en-US"/>
        </w:rPr>
        <w:t>in</w:t>
      </w:r>
      <w:r w:rsidR="00F83E8F" w:rsidRPr="00D869E3">
        <w:rPr>
          <w:rFonts w:ascii="Verdana" w:hAnsi="Verdana"/>
          <w:sz w:val="20"/>
          <w:szCs w:val="20"/>
          <w:lang w:val="en-US"/>
        </w:rPr>
        <w:t xml:space="preserve"> </w:t>
      </w:r>
      <w:r w:rsidR="0087339F" w:rsidRPr="00D869E3">
        <w:rPr>
          <w:rFonts w:ascii="Verdana" w:hAnsi="Verdana"/>
          <w:sz w:val="20"/>
          <w:szCs w:val="20"/>
          <w:lang w:val="en-US"/>
        </w:rPr>
        <w:t>Advisory Opinion</w:t>
      </w:r>
      <w:r w:rsidR="00F83E8F" w:rsidRPr="00D869E3">
        <w:rPr>
          <w:rFonts w:ascii="Verdana" w:hAnsi="Verdana"/>
          <w:sz w:val="20"/>
          <w:szCs w:val="20"/>
          <w:lang w:val="en-US"/>
        </w:rPr>
        <w:t xml:space="preserve"> No. 22 </w:t>
      </w:r>
      <w:r w:rsidR="003E1D24" w:rsidRPr="00D869E3">
        <w:rPr>
          <w:rFonts w:ascii="Verdana" w:hAnsi="Verdana"/>
          <w:sz w:val="20"/>
          <w:szCs w:val="20"/>
          <w:lang w:val="en-US"/>
        </w:rPr>
        <w:t>on</w:t>
      </w:r>
      <w:r w:rsidR="00F83E8F" w:rsidRPr="00D869E3">
        <w:rPr>
          <w:rFonts w:ascii="Verdana" w:hAnsi="Verdana"/>
          <w:sz w:val="20"/>
          <w:szCs w:val="20"/>
          <w:lang w:val="en-US"/>
        </w:rPr>
        <w:t xml:space="preserve"> </w:t>
      </w:r>
      <w:r w:rsidR="00BC51EE" w:rsidRPr="00D869E3">
        <w:rPr>
          <w:rFonts w:ascii="Verdana" w:hAnsi="Verdana"/>
          <w:i/>
          <w:iCs/>
          <w:sz w:val="20"/>
          <w:szCs w:val="20"/>
          <w:lang w:val="en-US"/>
        </w:rPr>
        <w:t>Entitlement of Legal Entities to Hold Rights under the Inter-American Human Rights System</w:t>
      </w:r>
      <w:r w:rsidR="00F83E8F" w:rsidRPr="00D869E3">
        <w:rPr>
          <w:rFonts w:ascii="Verdana" w:hAnsi="Verdana"/>
          <w:sz w:val="20"/>
          <w:szCs w:val="20"/>
          <w:lang w:val="en-US"/>
        </w:rPr>
        <w:t xml:space="preserve">, </w:t>
      </w:r>
      <w:r w:rsidR="003E1D24" w:rsidRPr="00D869E3">
        <w:rPr>
          <w:rFonts w:ascii="Verdana" w:hAnsi="Verdana"/>
          <w:sz w:val="20"/>
          <w:szCs w:val="20"/>
          <w:lang w:val="en-US"/>
        </w:rPr>
        <w:t xml:space="preserve">when establishing the regime of State obligations with regard to trade or labor unions,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3E1D24" w:rsidRPr="00D869E3">
        <w:rPr>
          <w:rFonts w:ascii="Verdana" w:hAnsi="Verdana"/>
          <w:sz w:val="20"/>
          <w:szCs w:val="20"/>
          <w:lang w:val="en-US"/>
        </w:rPr>
        <w:t xml:space="preserve">did not delimit or establish an exhaustive or </w:t>
      </w:r>
      <w:r w:rsidR="00A54459" w:rsidRPr="00D869E3">
        <w:rPr>
          <w:rFonts w:ascii="Verdana" w:hAnsi="Verdana"/>
          <w:sz w:val="20"/>
          <w:szCs w:val="20"/>
          <w:lang w:val="en-US"/>
        </w:rPr>
        <w:t>restricted</w:t>
      </w:r>
      <w:r w:rsidR="003E1D24" w:rsidRPr="00D869E3">
        <w:rPr>
          <w:rFonts w:ascii="Verdana" w:hAnsi="Verdana"/>
          <w:sz w:val="20"/>
          <w:szCs w:val="20"/>
          <w:lang w:val="en-US"/>
        </w:rPr>
        <w:t xml:space="preserve"> series of rights</w:t>
      </w:r>
      <w:r w:rsidR="00F83E8F" w:rsidRPr="00D869E3">
        <w:rPr>
          <w:rStyle w:val="Refdenotaalpie"/>
          <w:szCs w:val="20"/>
          <w:lang w:val="en-US"/>
        </w:rPr>
        <w:footnoteReference w:id="338"/>
      </w:r>
      <w:r w:rsidR="006A4744" w:rsidRPr="00D869E3">
        <w:rPr>
          <w:rFonts w:ascii="Verdana" w:hAnsi="Verdana"/>
          <w:sz w:val="20"/>
          <w:szCs w:val="20"/>
          <w:lang w:val="en-US"/>
        </w:rPr>
        <w:t xml:space="preserve"> that would be</w:t>
      </w:r>
      <w:r w:rsidR="00F83E8F" w:rsidRPr="00D869E3">
        <w:rPr>
          <w:rFonts w:ascii="Verdana" w:hAnsi="Verdana"/>
          <w:sz w:val="20"/>
          <w:szCs w:val="20"/>
          <w:lang w:val="en-US"/>
        </w:rPr>
        <w:t xml:space="preserve"> </w:t>
      </w:r>
      <w:r w:rsidR="006A4744" w:rsidRPr="00D869E3">
        <w:rPr>
          <w:rFonts w:ascii="Verdana" w:hAnsi="Verdana"/>
          <w:sz w:val="20"/>
          <w:szCs w:val="20"/>
          <w:lang w:val="en-US"/>
        </w:rPr>
        <w:t>contemplated in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006A4744" w:rsidRPr="00D869E3">
        <w:rPr>
          <w:rFonts w:ascii="Verdana" w:hAnsi="Verdana"/>
          <w:sz w:val="20"/>
          <w:szCs w:val="20"/>
          <w:lang w:val="en-US"/>
        </w:rPr>
        <w:t>(</w:t>
      </w:r>
      <w:r w:rsidR="00F83E8F" w:rsidRPr="00D869E3">
        <w:rPr>
          <w:rFonts w:ascii="Verdana" w:hAnsi="Verdana"/>
          <w:sz w:val="20"/>
          <w:szCs w:val="20"/>
          <w:lang w:val="en-US"/>
        </w:rPr>
        <w:t>a</w:t>
      </w:r>
      <w:r w:rsidR="006A4744"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006A4744" w:rsidRPr="00D869E3">
        <w:rPr>
          <w:rFonts w:ascii="Verdana" w:hAnsi="Verdana"/>
          <w:sz w:val="20"/>
          <w:szCs w:val="20"/>
          <w:lang w:val="en-US"/>
        </w:rPr>
        <w:t xml:space="preserve">Rather,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6A4744" w:rsidRPr="00D869E3">
        <w:rPr>
          <w:rFonts w:ascii="Verdana" w:hAnsi="Verdana"/>
          <w:sz w:val="20"/>
          <w:szCs w:val="20"/>
          <w:lang w:val="en-US"/>
        </w:rPr>
        <w:t>merely established and interpreted some “examples” of obligations and that, if th</w:t>
      </w:r>
      <w:r w:rsidR="00A54459" w:rsidRPr="00D869E3">
        <w:rPr>
          <w:rFonts w:ascii="Verdana" w:hAnsi="Verdana"/>
          <w:sz w:val="20"/>
          <w:szCs w:val="20"/>
          <w:lang w:val="en-US"/>
        </w:rPr>
        <w:t>o</w:t>
      </w:r>
      <w:r w:rsidR="006A4744" w:rsidRPr="00D869E3">
        <w:rPr>
          <w:rFonts w:ascii="Verdana" w:hAnsi="Verdana"/>
          <w:sz w:val="20"/>
          <w:szCs w:val="20"/>
          <w:lang w:val="en-US"/>
        </w:rPr>
        <w:t xml:space="preserve">se obligations were not respected and ensured,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006A4744" w:rsidRPr="00D869E3">
        <w:rPr>
          <w:rFonts w:ascii="Verdana" w:hAnsi="Verdana"/>
          <w:sz w:val="20"/>
          <w:szCs w:val="20"/>
          <w:lang w:val="en-US"/>
        </w:rPr>
        <w:t>(</w:t>
      </w:r>
      <w:r w:rsidR="00F83E8F" w:rsidRPr="00D869E3">
        <w:rPr>
          <w:rFonts w:ascii="Verdana" w:hAnsi="Verdana"/>
          <w:sz w:val="20"/>
          <w:szCs w:val="20"/>
          <w:lang w:val="en-US"/>
        </w:rPr>
        <w:t>a</w:t>
      </w:r>
      <w:r w:rsidR="006A4744" w:rsidRPr="00D869E3">
        <w:rPr>
          <w:rFonts w:ascii="Verdana" w:hAnsi="Verdana"/>
          <w:sz w:val="20"/>
          <w:szCs w:val="20"/>
          <w:lang w:val="en-US"/>
        </w:rPr>
        <w:t>)</w:t>
      </w:r>
      <w:r w:rsidR="00F83E8F" w:rsidRPr="00D869E3">
        <w:rPr>
          <w:rFonts w:ascii="Verdana" w:hAnsi="Verdana"/>
          <w:sz w:val="20"/>
          <w:szCs w:val="20"/>
          <w:lang w:val="en-US"/>
        </w:rPr>
        <w:t xml:space="preserve"> </w:t>
      </w:r>
      <w:r w:rsidR="006A4744" w:rsidRPr="00D869E3">
        <w:rPr>
          <w:rFonts w:ascii="Verdana" w:hAnsi="Verdana"/>
          <w:sz w:val="20"/>
          <w:szCs w:val="20"/>
          <w:lang w:val="en-US"/>
        </w:rPr>
        <w:t>of the</w:t>
      </w:r>
      <w:r w:rsidR="00F83E8F" w:rsidRPr="00D869E3">
        <w:rPr>
          <w:rFonts w:ascii="Verdana" w:hAnsi="Verdana"/>
          <w:sz w:val="20"/>
          <w:szCs w:val="20"/>
          <w:lang w:val="en-US"/>
        </w:rPr>
        <w:t xml:space="preserve"> Protocol</w:t>
      </w:r>
      <w:r w:rsidR="006A4744" w:rsidRPr="00D869E3">
        <w:rPr>
          <w:rFonts w:ascii="Verdana" w:hAnsi="Verdana"/>
          <w:sz w:val="20"/>
          <w:szCs w:val="20"/>
          <w:lang w:val="en-US"/>
        </w:rPr>
        <w:t xml:space="preserve"> of</w:t>
      </w:r>
      <w:r w:rsidR="00F83E8F" w:rsidRPr="00D869E3">
        <w:rPr>
          <w:rFonts w:ascii="Verdana" w:hAnsi="Verdana"/>
          <w:sz w:val="20"/>
          <w:szCs w:val="20"/>
          <w:lang w:val="en-US"/>
        </w:rPr>
        <w:t xml:space="preserve"> San Salvador</w:t>
      </w:r>
      <w:r w:rsidR="006A4744" w:rsidRPr="00D869E3">
        <w:rPr>
          <w:rFonts w:ascii="Verdana" w:hAnsi="Verdana"/>
          <w:sz w:val="20"/>
          <w:szCs w:val="20"/>
          <w:lang w:val="en-US"/>
        </w:rPr>
        <w:t xml:space="preserve"> could be violated</w:t>
      </w:r>
      <w:r w:rsidR="00F83E8F" w:rsidRPr="00D869E3">
        <w:rPr>
          <w:rFonts w:ascii="Verdana" w:hAnsi="Verdana"/>
          <w:sz w:val="20"/>
          <w:szCs w:val="20"/>
          <w:lang w:val="en-US"/>
        </w:rPr>
        <w:t xml:space="preserve">. </w:t>
      </w:r>
      <w:r w:rsidR="006A4744" w:rsidRPr="00D869E3">
        <w:rPr>
          <w:rFonts w:ascii="Verdana" w:hAnsi="Verdana"/>
          <w:sz w:val="20"/>
          <w:szCs w:val="20"/>
          <w:lang w:val="en-US"/>
        </w:rPr>
        <w:t xml:space="preserve">Thus,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006A4744" w:rsidRPr="00D869E3">
        <w:rPr>
          <w:rFonts w:ascii="Verdana" w:hAnsi="Verdana"/>
          <w:sz w:val="20"/>
          <w:szCs w:val="20"/>
          <w:lang w:val="en-US"/>
        </w:rPr>
        <w:t>ed that</w:t>
      </w:r>
      <w:r w:rsidR="00F83E8F" w:rsidRPr="00D869E3">
        <w:rPr>
          <w:rFonts w:ascii="Verdana" w:hAnsi="Verdana"/>
          <w:sz w:val="20"/>
          <w:szCs w:val="20"/>
          <w:lang w:val="en-US"/>
        </w:rPr>
        <w:t xml:space="preserve">:  </w:t>
      </w:r>
    </w:p>
    <w:p w14:paraId="2B3609AA" w14:textId="77777777" w:rsidR="00F83E8F" w:rsidRPr="00D869E3" w:rsidRDefault="00F83E8F" w:rsidP="00F83E8F">
      <w:pPr>
        <w:pStyle w:val="Prrafodelista"/>
        <w:rPr>
          <w:rFonts w:ascii="Verdana" w:hAnsi="Verdana"/>
          <w:sz w:val="20"/>
          <w:szCs w:val="20"/>
          <w:lang w:val="en-US"/>
        </w:rPr>
      </w:pPr>
    </w:p>
    <w:p w14:paraId="531D9A78" w14:textId="77777777" w:rsidR="00F83E8F" w:rsidRPr="00D869E3" w:rsidRDefault="00F83E8F"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p>
    <w:p w14:paraId="31BBD406" w14:textId="30101A84" w:rsidR="00F83E8F" w:rsidRPr="00D869E3" w:rsidRDefault="00F83E8F" w:rsidP="00A54459">
      <w:pPr>
        <w:tabs>
          <w:tab w:val="left" w:pos="8222"/>
        </w:tabs>
        <w:ind w:left="708" w:right="746"/>
        <w:jc w:val="both"/>
        <w:rPr>
          <w:rFonts w:ascii="Verdana" w:hAnsi="Verdana"/>
          <w:sz w:val="16"/>
          <w:szCs w:val="16"/>
          <w:lang w:val="en-US"/>
        </w:rPr>
      </w:pPr>
      <w:r w:rsidRPr="00D869E3">
        <w:rPr>
          <w:rFonts w:ascii="Verdana" w:hAnsi="Verdana"/>
          <w:sz w:val="16"/>
          <w:szCs w:val="16"/>
          <w:lang w:val="en-US"/>
        </w:rPr>
        <w:t>101. Ad</w:t>
      </w:r>
      <w:r w:rsidR="006A4744" w:rsidRPr="00D869E3">
        <w:rPr>
          <w:rFonts w:ascii="Verdana" w:hAnsi="Verdana"/>
          <w:sz w:val="16"/>
          <w:szCs w:val="16"/>
          <w:lang w:val="en-US"/>
        </w:rPr>
        <w:t xml:space="preserve">ditionally, </w:t>
      </w:r>
      <w:r w:rsidR="00447C65" w:rsidRPr="00D869E3">
        <w:rPr>
          <w:rFonts w:ascii="Verdana" w:hAnsi="Verdana"/>
          <w:sz w:val="16"/>
          <w:szCs w:val="16"/>
          <w:lang w:val="en-US"/>
        </w:rPr>
        <w:t>the Court</w:t>
      </w:r>
      <w:r w:rsidRPr="00D869E3">
        <w:rPr>
          <w:rFonts w:ascii="Verdana" w:hAnsi="Verdana"/>
          <w:sz w:val="16"/>
          <w:szCs w:val="16"/>
          <w:lang w:val="en-US"/>
        </w:rPr>
        <w:t xml:space="preserve"> consider</w:t>
      </w:r>
      <w:r w:rsidR="006A4744" w:rsidRPr="00D869E3">
        <w:rPr>
          <w:rFonts w:ascii="Verdana" w:hAnsi="Verdana"/>
          <w:sz w:val="16"/>
          <w:szCs w:val="16"/>
          <w:lang w:val="en-US"/>
        </w:rPr>
        <w:t>s</w:t>
      </w:r>
      <w:r w:rsidRPr="00D869E3">
        <w:rPr>
          <w:rFonts w:ascii="Verdana" w:hAnsi="Verdana"/>
          <w:sz w:val="16"/>
          <w:szCs w:val="16"/>
          <w:lang w:val="en-US"/>
        </w:rPr>
        <w:t xml:space="preserve"> </w:t>
      </w:r>
      <w:r w:rsidR="006A4744" w:rsidRPr="00D869E3">
        <w:rPr>
          <w:rFonts w:ascii="Verdana" w:hAnsi="Verdana"/>
          <w:sz w:val="16"/>
          <w:szCs w:val="16"/>
          <w:lang w:val="en-US"/>
        </w:rPr>
        <w:t>that the</w:t>
      </w:r>
      <w:r w:rsidRPr="00D869E3">
        <w:rPr>
          <w:rFonts w:ascii="Verdana" w:hAnsi="Verdana"/>
          <w:sz w:val="16"/>
          <w:szCs w:val="16"/>
          <w:lang w:val="en-US"/>
        </w:rPr>
        <w:t xml:space="preserve"> </w:t>
      </w:r>
      <w:r w:rsidR="006A4744" w:rsidRPr="00D869E3">
        <w:rPr>
          <w:rFonts w:ascii="Verdana" w:hAnsi="Verdana"/>
          <w:b/>
          <w:sz w:val="16"/>
          <w:szCs w:val="16"/>
          <w:lang w:val="en-US"/>
        </w:rPr>
        <w:t>general o</w:t>
      </w:r>
      <w:r w:rsidRPr="00D869E3">
        <w:rPr>
          <w:rFonts w:ascii="Verdana" w:hAnsi="Verdana"/>
          <w:b/>
          <w:sz w:val="16"/>
          <w:szCs w:val="16"/>
          <w:lang w:val="en-US"/>
        </w:rPr>
        <w:t>bliga</w:t>
      </w:r>
      <w:r w:rsidR="006A4744" w:rsidRPr="00D869E3">
        <w:rPr>
          <w:rFonts w:ascii="Verdana" w:hAnsi="Verdana"/>
          <w:b/>
          <w:sz w:val="16"/>
          <w:szCs w:val="16"/>
          <w:lang w:val="en-US"/>
        </w:rPr>
        <w:t xml:space="preserve">tion of States to ensure </w:t>
      </w:r>
      <w:r w:rsidR="006A4744" w:rsidRPr="00D869E3">
        <w:rPr>
          <w:rFonts w:ascii="Verdana" w:hAnsi="Verdana"/>
          <w:sz w:val="16"/>
          <w:szCs w:val="16"/>
          <w:u w:val="single"/>
          <w:lang w:val="en-US"/>
        </w:rPr>
        <w:t xml:space="preserve">trade union </w:t>
      </w:r>
      <w:r w:rsidR="00881A39" w:rsidRPr="00D869E3">
        <w:rPr>
          <w:rFonts w:ascii="Verdana" w:hAnsi="Verdana"/>
          <w:sz w:val="16"/>
          <w:szCs w:val="16"/>
          <w:u w:val="single"/>
          <w:lang w:val="en-US"/>
        </w:rPr>
        <w:t>rights</w:t>
      </w:r>
      <w:r w:rsidRPr="00D869E3">
        <w:rPr>
          <w:rFonts w:ascii="Verdana" w:hAnsi="Verdana"/>
          <w:sz w:val="16"/>
          <w:szCs w:val="16"/>
          <w:u w:val="single"/>
          <w:lang w:val="en-US"/>
        </w:rPr>
        <w:t xml:space="preserve"> </w:t>
      </w:r>
      <w:r w:rsidR="006A4744" w:rsidRPr="00D869E3">
        <w:rPr>
          <w:rFonts w:ascii="Verdana" w:hAnsi="Verdana"/>
          <w:sz w:val="16"/>
          <w:szCs w:val="16"/>
          <w:u w:val="single"/>
          <w:lang w:val="en-US"/>
        </w:rPr>
        <w:t>contained in</w:t>
      </w:r>
      <w:r w:rsidRPr="00D869E3">
        <w:rPr>
          <w:rFonts w:ascii="Verdana" w:hAnsi="Verdana"/>
          <w:sz w:val="16"/>
          <w:szCs w:val="16"/>
          <w:u w:val="single"/>
          <w:lang w:val="en-US"/>
        </w:rPr>
        <w:t xml:space="preserve"> </w:t>
      </w:r>
      <w:r w:rsidR="006A4744" w:rsidRPr="00D869E3">
        <w:rPr>
          <w:rFonts w:ascii="Verdana" w:hAnsi="Verdana"/>
          <w:sz w:val="16"/>
          <w:szCs w:val="16"/>
          <w:u w:val="single"/>
          <w:lang w:val="en-US"/>
        </w:rPr>
        <w:t>Article</w:t>
      </w:r>
      <w:r w:rsidRPr="00D869E3">
        <w:rPr>
          <w:rFonts w:ascii="Verdana" w:hAnsi="Verdana"/>
          <w:sz w:val="16"/>
          <w:szCs w:val="16"/>
          <w:u w:val="single"/>
          <w:lang w:val="en-US"/>
        </w:rPr>
        <w:t xml:space="preserve"> </w:t>
      </w:r>
      <w:r w:rsidR="00687684" w:rsidRPr="00D869E3">
        <w:rPr>
          <w:rFonts w:ascii="Verdana" w:hAnsi="Verdana"/>
          <w:sz w:val="16"/>
          <w:szCs w:val="16"/>
          <w:u w:val="single"/>
          <w:lang w:val="en-US"/>
        </w:rPr>
        <w:t>8(1)</w:t>
      </w:r>
      <w:r w:rsidR="006A4744" w:rsidRPr="00D869E3">
        <w:rPr>
          <w:rFonts w:ascii="Verdana" w:hAnsi="Verdana"/>
          <w:sz w:val="16"/>
          <w:szCs w:val="16"/>
          <w:u w:val="single"/>
          <w:lang w:val="en-US"/>
        </w:rPr>
        <w:t>(</w:t>
      </w:r>
      <w:r w:rsidRPr="00D869E3">
        <w:rPr>
          <w:rFonts w:ascii="Verdana" w:hAnsi="Verdana"/>
          <w:sz w:val="16"/>
          <w:szCs w:val="16"/>
          <w:u w:val="single"/>
          <w:lang w:val="en-US"/>
        </w:rPr>
        <w:t>a</w:t>
      </w:r>
      <w:r w:rsidR="006A4744" w:rsidRPr="00D869E3">
        <w:rPr>
          <w:rFonts w:ascii="Verdana" w:hAnsi="Verdana"/>
          <w:sz w:val="16"/>
          <w:szCs w:val="16"/>
          <w:u w:val="single"/>
          <w:lang w:val="en-US"/>
        </w:rPr>
        <w:t>) of the Protocol translates into the positive obligations to permit and enco</w:t>
      </w:r>
      <w:r w:rsidR="00A54459" w:rsidRPr="00D869E3">
        <w:rPr>
          <w:rFonts w:ascii="Verdana" w:hAnsi="Verdana"/>
          <w:sz w:val="16"/>
          <w:szCs w:val="16"/>
          <w:u w:val="single"/>
          <w:lang w:val="en-US"/>
        </w:rPr>
        <w:t>u</w:t>
      </w:r>
      <w:r w:rsidR="006A4744" w:rsidRPr="00D869E3">
        <w:rPr>
          <w:rFonts w:ascii="Verdana" w:hAnsi="Verdana"/>
          <w:sz w:val="16"/>
          <w:szCs w:val="16"/>
          <w:u w:val="single"/>
          <w:lang w:val="en-US"/>
        </w:rPr>
        <w:t xml:space="preserve">rage the </w:t>
      </w:r>
      <w:r w:rsidR="00A54459" w:rsidRPr="00D869E3">
        <w:rPr>
          <w:rFonts w:ascii="Verdana" w:hAnsi="Verdana"/>
          <w:sz w:val="16"/>
          <w:szCs w:val="16"/>
          <w:u w:val="single"/>
          <w:lang w:val="en-US"/>
        </w:rPr>
        <w:t>creation</w:t>
      </w:r>
      <w:r w:rsidR="006A4744" w:rsidRPr="00D869E3">
        <w:rPr>
          <w:rFonts w:ascii="Verdana" w:hAnsi="Verdana"/>
          <w:sz w:val="16"/>
          <w:szCs w:val="16"/>
          <w:u w:val="single"/>
          <w:lang w:val="en-US"/>
        </w:rPr>
        <w:t xml:space="preserve"> of appropriate conditions </w:t>
      </w:r>
      <w:r w:rsidR="00A54459" w:rsidRPr="00D869E3">
        <w:rPr>
          <w:rFonts w:ascii="Verdana" w:hAnsi="Verdana"/>
          <w:sz w:val="16"/>
          <w:szCs w:val="16"/>
          <w:u w:val="single"/>
          <w:lang w:val="en-US"/>
        </w:rPr>
        <w:t>to ensure that</w:t>
      </w:r>
      <w:r w:rsidR="006A4744" w:rsidRPr="00D869E3">
        <w:rPr>
          <w:rFonts w:ascii="Verdana" w:hAnsi="Verdana"/>
          <w:sz w:val="16"/>
          <w:szCs w:val="16"/>
          <w:u w:val="single"/>
          <w:lang w:val="en-US"/>
        </w:rPr>
        <w:t xml:space="preserve"> such rights can be realized effectively</w:t>
      </w:r>
      <w:r w:rsidRPr="00D869E3">
        <w:rPr>
          <w:rFonts w:ascii="Verdana" w:hAnsi="Verdana"/>
          <w:sz w:val="16"/>
          <w:szCs w:val="16"/>
          <w:lang w:val="en-US"/>
        </w:rPr>
        <w:t xml:space="preserve">. </w:t>
      </w:r>
      <w:r w:rsidR="00075E68" w:rsidRPr="00D869E3">
        <w:rPr>
          <w:rFonts w:ascii="Verdana" w:hAnsi="Verdana"/>
          <w:sz w:val="16"/>
          <w:szCs w:val="16"/>
          <w:lang w:val="en-US"/>
        </w:rPr>
        <w:t>In this regard</w:t>
      </w:r>
      <w:r w:rsidRPr="00D869E3">
        <w:rPr>
          <w:rFonts w:ascii="Verdana" w:hAnsi="Verdana"/>
          <w:sz w:val="16"/>
          <w:szCs w:val="16"/>
          <w:lang w:val="en-US"/>
        </w:rPr>
        <w:t>,</w:t>
      </w:r>
      <w:r w:rsidRPr="00D869E3">
        <w:rPr>
          <w:rFonts w:ascii="Verdana" w:hAnsi="Verdana"/>
          <w:b/>
          <w:sz w:val="16"/>
          <w:szCs w:val="16"/>
          <w:lang w:val="en-US"/>
        </w:rPr>
        <w:t xml:space="preserve"> </w:t>
      </w:r>
      <w:r w:rsidR="00447C65" w:rsidRPr="00D869E3">
        <w:rPr>
          <w:rFonts w:ascii="Verdana" w:hAnsi="Verdana"/>
          <w:b/>
          <w:sz w:val="16"/>
          <w:szCs w:val="16"/>
          <w:lang w:val="en-US"/>
        </w:rPr>
        <w:t>the Court</w:t>
      </w:r>
      <w:r w:rsidRPr="00D869E3">
        <w:rPr>
          <w:rFonts w:ascii="Verdana" w:hAnsi="Verdana"/>
          <w:b/>
          <w:sz w:val="16"/>
          <w:szCs w:val="16"/>
          <w:lang w:val="en-US"/>
        </w:rPr>
        <w:t xml:space="preserve"> </w:t>
      </w:r>
      <w:r w:rsidR="006A4744" w:rsidRPr="00D869E3">
        <w:rPr>
          <w:rFonts w:ascii="Verdana" w:hAnsi="Verdana"/>
          <w:b/>
          <w:sz w:val="16"/>
          <w:szCs w:val="16"/>
          <w:lang w:val="en-US"/>
        </w:rPr>
        <w:t xml:space="preserve">referred to ILO </w:t>
      </w:r>
      <w:r w:rsidRPr="00D869E3">
        <w:rPr>
          <w:rFonts w:ascii="Verdana" w:hAnsi="Verdana"/>
          <w:b/>
          <w:sz w:val="16"/>
          <w:szCs w:val="16"/>
          <w:lang w:val="en-US"/>
        </w:rPr>
        <w:t>Conven</w:t>
      </w:r>
      <w:r w:rsidR="006A4744" w:rsidRPr="00D869E3">
        <w:rPr>
          <w:rFonts w:ascii="Verdana" w:hAnsi="Verdana"/>
          <w:b/>
          <w:sz w:val="16"/>
          <w:szCs w:val="16"/>
          <w:lang w:val="en-US"/>
        </w:rPr>
        <w:t>tion</w:t>
      </w:r>
      <w:r w:rsidRPr="00D869E3">
        <w:rPr>
          <w:rFonts w:ascii="Verdana" w:hAnsi="Verdana"/>
          <w:b/>
          <w:sz w:val="16"/>
          <w:szCs w:val="16"/>
          <w:lang w:val="en-US"/>
        </w:rPr>
        <w:t xml:space="preserve"> 87 </w:t>
      </w:r>
      <w:r w:rsidR="006A4744" w:rsidRPr="00D869E3">
        <w:rPr>
          <w:rFonts w:ascii="Verdana" w:hAnsi="Verdana"/>
          <w:b/>
          <w:sz w:val="16"/>
          <w:szCs w:val="16"/>
          <w:lang w:val="en-US"/>
        </w:rPr>
        <w:t xml:space="preserve">in order to mention examples </w:t>
      </w:r>
      <w:r w:rsidR="006A4744" w:rsidRPr="00D869E3">
        <w:rPr>
          <w:rFonts w:ascii="Verdana" w:hAnsi="Verdana"/>
          <w:sz w:val="16"/>
          <w:szCs w:val="16"/>
          <w:lang w:val="en-US"/>
        </w:rPr>
        <w:t xml:space="preserve">that illustrate the positive obligations that arise from the general obligation to ensure the rights recognized to trade unions, federations and confederations. </w:t>
      </w:r>
      <w:r w:rsidR="00A54459" w:rsidRPr="00D869E3">
        <w:rPr>
          <w:rFonts w:ascii="Verdana" w:hAnsi="Verdana"/>
          <w:sz w:val="16"/>
          <w:szCs w:val="16"/>
          <w:lang w:val="en-US"/>
        </w:rPr>
        <w:t>Thus</w:t>
      </w:r>
      <w:r w:rsidRPr="00D869E3">
        <w:rPr>
          <w:rFonts w:ascii="Verdana" w:hAnsi="Verdana"/>
          <w:sz w:val="16"/>
          <w:szCs w:val="16"/>
          <w:lang w:val="en-US"/>
        </w:rPr>
        <w:t xml:space="preserve">, </w:t>
      </w:r>
      <w:r w:rsidR="00447C65" w:rsidRPr="00D869E3">
        <w:rPr>
          <w:rFonts w:ascii="Verdana" w:hAnsi="Verdana"/>
          <w:sz w:val="16"/>
          <w:szCs w:val="16"/>
          <w:lang w:val="en-US"/>
        </w:rPr>
        <w:t>the Court</w:t>
      </w:r>
      <w:r w:rsidRPr="00D869E3">
        <w:rPr>
          <w:rFonts w:ascii="Verdana" w:hAnsi="Verdana"/>
          <w:sz w:val="16"/>
          <w:szCs w:val="16"/>
          <w:lang w:val="en-US"/>
        </w:rPr>
        <w:t xml:space="preserve"> not</w:t>
      </w:r>
      <w:r w:rsidR="006A4744" w:rsidRPr="00D869E3">
        <w:rPr>
          <w:rFonts w:ascii="Verdana" w:hAnsi="Verdana"/>
          <w:sz w:val="16"/>
          <w:szCs w:val="16"/>
          <w:lang w:val="en-US"/>
        </w:rPr>
        <w:t>es that Article 3(1) of that Convention establishes the right of workers’ organisations “</w:t>
      </w:r>
      <w:r w:rsidR="006A4744" w:rsidRPr="00D869E3">
        <w:rPr>
          <w:rFonts w:ascii="Verdana" w:hAnsi="Verdana"/>
          <w:sz w:val="16"/>
          <w:szCs w:val="16"/>
          <w:u w:val="single"/>
          <w:lang w:val="en-US"/>
        </w:rPr>
        <w:t>to draw up their constitutions and rules, to elect their representatives in full freedom, to organize their administration and activities and to formulate their programmes</w:t>
      </w:r>
      <w:r w:rsidR="006A4744" w:rsidRPr="00D869E3">
        <w:rPr>
          <w:rFonts w:ascii="Verdana" w:hAnsi="Verdana"/>
          <w:sz w:val="16"/>
          <w:szCs w:val="16"/>
          <w:lang w:val="en-US"/>
        </w:rPr>
        <w:t>.”</w:t>
      </w:r>
      <w:r w:rsidRPr="00D869E3">
        <w:rPr>
          <w:rFonts w:ascii="Verdana" w:hAnsi="Verdana"/>
          <w:sz w:val="16"/>
          <w:szCs w:val="16"/>
          <w:lang w:val="en-US"/>
        </w:rPr>
        <w:t xml:space="preserve"> </w:t>
      </w:r>
    </w:p>
    <w:p w14:paraId="0DC1A946" w14:textId="77777777" w:rsidR="00F83E8F" w:rsidRPr="00D869E3" w:rsidRDefault="00F83E8F" w:rsidP="00A54459">
      <w:pPr>
        <w:tabs>
          <w:tab w:val="left" w:pos="8222"/>
        </w:tabs>
        <w:ind w:left="708" w:right="746"/>
        <w:jc w:val="both"/>
        <w:rPr>
          <w:rFonts w:ascii="Verdana" w:hAnsi="Verdana"/>
          <w:sz w:val="16"/>
          <w:szCs w:val="16"/>
          <w:lang w:val="en-US"/>
        </w:rPr>
      </w:pPr>
    </w:p>
    <w:p w14:paraId="598793A8" w14:textId="1D655695" w:rsidR="00F83E8F" w:rsidRPr="00D869E3" w:rsidRDefault="00F83E8F" w:rsidP="00A54459">
      <w:pPr>
        <w:tabs>
          <w:tab w:val="left" w:pos="8222"/>
        </w:tabs>
        <w:ind w:left="708" w:right="746"/>
        <w:jc w:val="both"/>
        <w:rPr>
          <w:rFonts w:ascii="Verdana" w:hAnsi="Verdana"/>
          <w:bCs/>
          <w:sz w:val="16"/>
          <w:szCs w:val="16"/>
          <w:u w:val="single"/>
          <w:lang w:val="en-US"/>
        </w:rPr>
      </w:pPr>
      <w:r w:rsidRPr="00D869E3">
        <w:rPr>
          <w:rFonts w:ascii="Verdana" w:hAnsi="Verdana"/>
          <w:sz w:val="16"/>
          <w:szCs w:val="16"/>
          <w:lang w:val="en-US"/>
        </w:rPr>
        <w:t xml:space="preserve">102. </w:t>
      </w:r>
      <w:r w:rsidR="006A4744" w:rsidRPr="00D869E3">
        <w:rPr>
          <w:rFonts w:ascii="Verdana" w:hAnsi="Verdana"/>
          <w:sz w:val="16"/>
          <w:szCs w:val="16"/>
          <w:lang w:val="en-US"/>
        </w:rPr>
        <w:t xml:space="preserve">In keeping with the foregoing, </w:t>
      </w:r>
      <w:r w:rsidR="006A4744" w:rsidRPr="00D869E3">
        <w:rPr>
          <w:rFonts w:ascii="Verdana" w:hAnsi="Verdana"/>
          <w:b/>
          <w:sz w:val="16"/>
          <w:szCs w:val="16"/>
          <w:lang w:val="en-US"/>
        </w:rPr>
        <w:t>the general obligation of the States to respect</w:t>
      </w:r>
      <w:r w:rsidRPr="00D869E3">
        <w:rPr>
          <w:rFonts w:ascii="Verdana" w:hAnsi="Verdana"/>
          <w:b/>
          <w:sz w:val="16"/>
          <w:szCs w:val="16"/>
          <w:lang w:val="en-US"/>
        </w:rPr>
        <w:t xml:space="preserve"> </w:t>
      </w:r>
      <w:r w:rsidR="00881A39" w:rsidRPr="00D869E3">
        <w:rPr>
          <w:rFonts w:ascii="Verdana" w:hAnsi="Verdana"/>
          <w:sz w:val="16"/>
          <w:szCs w:val="16"/>
          <w:u w:val="single"/>
          <w:lang w:val="en-US"/>
        </w:rPr>
        <w:t>rights</w:t>
      </w:r>
      <w:r w:rsidRPr="00D869E3">
        <w:rPr>
          <w:rFonts w:ascii="Verdana" w:hAnsi="Verdana"/>
          <w:sz w:val="16"/>
          <w:szCs w:val="16"/>
          <w:u w:val="single"/>
          <w:lang w:val="en-US"/>
        </w:rPr>
        <w:t xml:space="preserve"> </w:t>
      </w:r>
      <w:r w:rsidR="006A4744" w:rsidRPr="00D869E3">
        <w:rPr>
          <w:rFonts w:ascii="Verdana" w:hAnsi="Verdana"/>
          <w:sz w:val="16"/>
          <w:szCs w:val="16"/>
          <w:u w:val="single"/>
          <w:lang w:val="en-US"/>
        </w:rPr>
        <w:t>entails negative obligations</w:t>
      </w:r>
      <w:r w:rsidR="0047382F" w:rsidRPr="00D869E3">
        <w:rPr>
          <w:rFonts w:ascii="Verdana" w:hAnsi="Verdana"/>
          <w:sz w:val="16"/>
          <w:szCs w:val="16"/>
          <w:u w:val="single"/>
          <w:lang w:val="en-US"/>
        </w:rPr>
        <w:t xml:space="preserve"> such as</w:t>
      </w:r>
      <w:r w:rsidR="006A4744" w:rsidRPr="00D869E3">
        <w:rPr>
          <w:rFonts w:ascii="Verdana" w:hAnsi="Verdana"/>
          <w:sz w:val="16"/>
          <w:szCs w:val="16"/>
          <w:u w:val="single"/>
          <w:lang w:val="en-US"/>
        </w:rPr>
        <w:t xml:space="preserve"> refrain</w:t>
      </w:r>
      <w:r w:rsidR="0047382F" w:rsidRPr="00D869E3">
        <w:rPr>
          <w:rFonts w:ascii="Verdana" w:hAnsi="Verdana"/>
          <w:sz w:val="16"/>
          <w:szCs w:val="16"/>
          <w:u w:val="single"/>
          <w:lang w:val="en-US"/>
        </w:rPr>
        <w:t>ing</w:t>
      </w:r>
      <w:r w:rsidR="006A4744" w:rsidRPr="00D869E3">
        <w:rPr>
          <w:rFonts w:ascii="Verdana" w:hAnsi="Verdana"/>
          <w:sz w:val="16"/>
          <w:szCs w:val="16"/>
          <w:u w:val="single"/>
          <w:lang w:val="en-US"/>
        </w:rPr>
        <w:t xml:space="preserve"> from creating legal or political barriers</w:t>
      </w:r>
      <w:r w:rsidR="0047382F" w:rsidRPr="00D869E3">
        <w:rPr>
          <w:rFonts w:ascii="Verdana" w:hAnsi="Verdana"/>
          <w:sz w:val="16"/>
          <w:szCs w:val="16"/>
          <w:u w:val="single"/>
          <w:lang w:val="en-US"/>
        </w:rPr>
        <w:t xml:space="preserve"> that could prevent unions, federations and confederations from being able to function</w:t>
      </w:r>
      <w:r w:rsidR="00A54459" w:rsidRPr="00D869E3">
        <w:rPr>
          <w:rFonts w:ascii="Verdana" w:hAnsi="Verdana"/>
          <w:sz w:val="16"/>
          <w:szCs w:val="16"/>
          <w:u w:val="single"/>
          <w:lang w:val="en-US"/>
        </w:rPr>
        <w:t xml:space="preserve"> freely</w:t>
      </w:r>
      <w:r w:rsidR="0047382F" w:rsidRPr="00D869E3">
        <w:rPr>
          <w:rFonts w:ascii="Verdana" w:hAnsi="Verdana"/>
          <w:sz w:val="16"/>
          <w:szCs w:val="16"/>
          <w:u w:val="single"/>
          <w:lang w:val="en-US"/>
        </w:rPr>
        <w:t xml:space="preserve"> and, </w:t>
      </w:r>
      <w:r w:rsidR="00A54459" w:rsidRPr="00D869E3">
        <w:rPr>
          <w:rFonts w:ascii="Verdana" w:hAnsi="Verdana"/>
          <w:sz w:val="16"/>
          <w:szCs w:val="16"/>
          <w:u w:val="single"/>
          <w:lang w:val="en-US"/>
        </w:rPr>
        <w:t xml:space="preserve">in </w:t>
      </w:r>
      <w:r w:rsidR="0047382F" w:rsidRPr="00D869E3">
        <w:rPr>
          <w:rFonts w:ascii="Verdana" w:hAnsi="Verdana"/>
          <w:sz w:val="16"/>
          <w:szCs w:val="16"/>
          <w:u w:val="single"/>
          <w:lang w:val="en-US"/>
        </w:rPr>
        <w:t>addition, trade unions from being able to associate</w:t>
      </w:r>
      <w:r w:rsidR="0047382F" w:rsidRPr="00D869E3">
        <w:rPr>
          <w:rFonts w:ascii="Verdana" w:hAnsi="Verdana"/>
          <w:sz w:val="16"/>
          <w:szCs w:val="16"/>
          <w:lang w:val="en-US"/>
        </w:rPr>
        <w:t xml:space="preserve">. In this regard, </w:t>
      </w:r>
      <w:r w:rsidR="0047382F" w:rsidRPr="00D869E3">
        <w:rPr>
          <w:rFonts w:ascii="Verdana" w:hAnsi="Verdana"/>
          <w:b/>
          <w:sz w:val="16"/>
          <w:szCs w:val="16"/>
          <w:u w:val="single"/>
          <w:lang w:val="en-US"/>
        </w:rPr>
        <w:t xml:space="preserve">the Court notes that the said Article 3.2 of </w:t>
      </w:r>
      <w:r w:rsidR="00D13E32" w:rsidRPr="00D869E3">
        <w:rPr>
          <w:rFonts w:ascii="Verdana" w:hAnsi="Verdana"/>
          <w:b/>
          <w:sz w:val="16"/>
          <w:szCs w:val="16"/>
          <w:u w:val="single"/>
          <w:lang w:val="en-US"/>
        </w:rPr>
        <w:t>Convention</w:t>
      </w:r>
      <w:r w:rsidR="0047382F" w:rsidRPr="00D869E3">
        <w:rPr>
          <w:rFonts w:ascii="Verdana" w:hAnsi="Verdana"/>
          <w:b/>
          <w:sz w:val="16"/>
          <w:szCs w:val="16"/>
          <w:u w:val="single"/>
          <w:lang w:val="en-US"/>
        </w:rPr>
        <w:t xml:space="preserve"> 87 </w:t>
      </w:r>
      <w:r w:rsidR="0047382F" w:rsidRPr="00D869E3">
        <w:rPr>
          <w:rFonts w:ascii="Verdana" w:hAnsi="Verdana"/>
          <w:bCs/>
          <w:sz w:val="16"/>
          <w:szCs w:val="16"/>
          <w:u w:val="single"/>
          <w:lang w:val="en-US"/>
        </w:rPr>
        <w:t>establishes that “[t]</w:t>
      </w:r>
      <w:r w:rsidR="0047382F" w:rsidRPr="00D869E3">
        <w:rPr>
          <w:rFonts w:ascii="Verdana" w:hAnsi="Verdana"/>
          <w:sz w:val="16"/>
          <w:szCs w:val="16"/>
          <w:u w:val="single"/>
          <w:lang w:val="en-US"/>
        </w:rPr>
        <w:t>he public authorities shall refrain from any interference which would restrict [the rights recognized in the preceding paragraph of the article] or impede the lawful exercise thereof</w:t>
      </w:r>
      <w:r w:rsidR="0047382F" w:rsidRPr="00D869E3">
        <w:rPr>
          <w:rFonts w:ascii="Verdana" w:hAnsi="Verdana"/>
          <w:sz w:val="16"/>
          <w:szCs w:val="16"/>
          <w:lang w:val="en-US"/>
        </w:rPr>
        <w:t>.</w:t>
      </w:r>
      <w:r w:rsidR="006436CA" w:rsidRPr="00D869E3">
        <w:rPr>
          <w:rFonts w:ascii="Verdana" w:hAnsi="Verdana"/>
          <w:sz w:val="16"/>
          <w:szCs w:val="16"/>
          <w:lang w:val="en-US"/>
        </w:rPr>
        <w:t>”</w:t>
      </w:r>
      <w:r w:rsidRPr="00D869E3">
        <w:rPr>
          <w:rStyle w:val="Refdenotaalpie"/>
          <w:sz w:val="16"/>
          <w:szCs w:val="16"/>
          <w:lang w:val="en-US"/>
        </w:rPr>
        <w:footnoteReference w:id="339"/>
      </w:r>
      <w:r w:rsidRPr="00D869E3">
        <w:rPr>
          <w:rFonts w:ascii="Verdana" w:hAnsi="Verdana"/>
          <w:sz w:val="20"/>
          <w:szCs w:val="20"/>
          <w:lang w:val="en-US"/>
        </w:rPr>
        <w:t xml:space="preserve"> </w:t>
      </w:r>
    </w:p>
    <w:p w14:paraId="41387AD5" w14:textId="77777777" w:rsidR="00F83E8F" w:rsidRPr="00D869E3" w:rsidRDefault="00F83E8F" w:rsidP="00F83E8F">
      <w:pPr>
        <w:tabs>
          <w:tab w:val="left" w:pos="8222"/>
        </w:tabs>
        <w:ind w:left="708" w:right="758"/>
        <w:jc w:val="both"/>
        <w:rPr>
          <w:rFonts w:ascii="Verdana" w:hAnsi="Verdana"/>
          <w:sz w:val="16"/>
          <w:szCs w:val="16"/>
          <w:lang w:val="en-US"/>
        </w:rPr>
      </w:pPr>
    </w:p>
    <w:p w14:paraId="2ECD1F50" w14:textId="409D9C73" w:rsidR="00F83E8F" w:rsidRPr="00D869E3" w:rsidRDefault="007E23BB" w:rsidP="007E23BB">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This example</w:t>
      </w:r>
      <w:r w:rsidR="00F83E8F" w:rsidRPr="00D869E3">
        <w:rPr>
          <w:rFonts w:ascii="Verdana" w:hAnsi="Verdana"/>
          <w:sz w:val="20"/>
          <w:szCs w:val="20"/>
          <w:lang w:val="en-US"/>
        </w:rPr>
        <w:t xml:space="preserve"> </w:t>
      </w:r>
      <w:r w:rsidRPr="00D869E3">
        <w:rPr>
          <w:rFonts w:ascii="Verdana" w:hAnsi="Verdana"/>
          <w:sz w:val="20"/>
          <w:szCs w:val="20"/>
          <w:lang w:val="en-US"/>
        </w:rPr>
        <w:t xml:space="preserve">in the area of labor union matters is extremely relevant. Indeed, </w:t>
      </w:r>
      <w:r w:rsidR="00A54459" w:rsidRPr="00D869E3">
        <w:rPr>
          <w:rFonts w:ascii="Verdana" w:hAnsi="Verdana"/>
          <w:sz w:val="20"/>
          <w:szCs w:val="20"/>
          <w:lang w:val="en-US"/>
        </w:rPr>
        <w:t xml:space="preserve">by referring to Article 45(c) of the OAS Charter, </w:t>
      </w:r>
      <w:r w:rsidRPr="00D869E3">
        <w:rPr>
          <w:rFonts w:ascii="Verdana" w:hAnsi="Verdana"/>
          <w:sz w:val="20"/>
          <w:szCs w:val="20"/>
          <w:lang w:val="en-US"/>
        </w:rPr>
        <w:t xml:space="preserve">the judgment in the case of </w:t>
      </w:r>
      <w:r w:rsidRPr="00D869E3">
        <w:rPr>
          <w:rFonts w:ascii="Verdana" w:hAnsi="Verdana"/>
          <w:i/>
          <w:sz w:val="20"/>
          <w:szCs w:val="20"/>
          <w:lang w:val="en-US"/>
        </w:rPr>
        <w:t>Lagos del Campo</w:t>
      </w:r>
      <w:r w:rsidRPr="00D869E3">
        <w:rPr>
          <w:rFonts w:ascii="Verdana" w:hAnsi="Verdana"/>
          <w:sz w:val="20"/>
          <w:szCs w:val="20"/>
          <w:lang w:val="en-US"/>
        </w:rPr>
        <w:t xml:space="preserve"> implicitly accepts – although not in relation to the litigation in th</w:t>
      </w:r>
      <w:r w:rsidR="00A54459" w:rsidRPr="00D869E3">
        <w:rPr>
          <w:rFonts w:ascii="Verdana" w:hAnsi="Verdana"/>
          <w:sz w:val="20"/>
          <w:szCs w:val="20"/>
          <w:lang w:val="en-US"/>
        </w:rPr>
        <w:t>is</w:t>
      </w:r>
      <w:r w:rsidRPr="00D869E3">
        <w:rPr>
          <w:rFonts w:ascii="Verdana" w:hAnsi="Verdana"/>
          <w:sz w:val="20"/>
          <w:szCs w:val="20"/>
          <w:lang w:val="en-US"/>
        </w:rPr>
        <w:t xml:space="preserve"> case –</w:t>
      </w:r>
      <w:r w:rsidR="00A54459" w:rsidRPr="00D869E3">
        <w:rPr>
          <w:rFonts w:ascii="Verdana" w:hAnsi="Verdana"/>
          <w:sz w:val="20"/>
          <w:szCs w:val="20"/>
          <w:lang w:val="en-US"/>
        </w:rPr>
        <w:t xml:space="preserve"> </w:t>
      </w:r>
      <w:r w:rsidRPr="00D869E3">
        <w:rPr>
          <w:rFonts w:ascii="Verdana" w:hAnsi="Verdana"/>
          <w:sz w:val="20"/>
          <w:szCs w:val="20"/>
          <w:lang w:val="en-US"/>
        </w:rPr>
        <w:t xml:space="preserve">that even though </w:t>
      </w:r>
      <w:r w:rsidR="00B235CB" w:rsidRPr="00D869E3">
        <w:rPr>
          <w:rFonts w:ascii="Verdana" w:hAnsi="Verdana"/>
          <w:sz w:val="20"/>
          <w:szCs w:val="20"/>
          <w:lang w:val="en-US"/>
        </w:rPr>
        <w:t>the Protocol of San</w:t>
      </w:r>
      <w:r w:rsidR="00F83E8F" w:rsidRPr="00D869E3">
        <w:rPr>
          <w:rFonts w:ascii="Verdana" w:hAnsi="Verdana"/>
          <w:sz w:val="20"/>
          <w:szCs w:val="20"/>
          <w:lang w:val="en-US"/>
        </w:rPr>
        <w:t xml:space="preserve"> Salvador </w:t>
      </w:r>
      <w:r w:rsidRPr="00D869E3">
        <w:rPr>
          <w:rFonts w:ascii="Verdana" w:hAnsi="Verdana"/>
          <w:sz w:val="20"/>
          <w:szCs w:val="20"/>
          <w:lang w:val="en-US"/>
        </w:rPr>
        <w:t>i</w:t>
      </w:r>
      <w:r w:rsidR="00F83E8F" w:rsidRPr="00D869E3">
        <w:rPr>
          <w:rFonts w:ascii="Verdana" w:hAnsi="Verdana"/>
          <w:sz w:val="20"/>
          <w:szCs w:val="20"/>
          <w:lang w:val="en-US"/>
        </w:rPr>
        <w:t>s</w:t>
      </w:r>
      <w:r w:rsidRPr="00D869E3">
        <w:rPr>
          <w:rFonts w:ascii="Verdana" w:hAnsi="Verdana"/>
          <w:sz w:val="20"/>
          <w:szCs w:val="20"/>
          <w:lang w:val="en-US"/>
        </w:rPr>
        <w:t xml:space="preserve"> the main instrument in the area of ESCER </w:t>
      </w:r>
      <w:r w:rsidR="00A54459" w:rsidRPr="00D869E3">
        <w:rPr>
          <w:rFonts w:ascii="Verdana" w:hAnsi="Verdana"/>
          <w:sz w:val="20"/>
          <w:szCs w:val="20"/>
          <w:lang w:val="en-US"/>
        </w:rPr>
        <w:t>under</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system</w:t>
      </w:r>
      <w:r w:rsidR="00F83E8F" w:rsidRPr="00D869E3">
        <w:rPr>
          <w:rFonts w:ascii="Verdana" w:hAnsi="Verdana"/>
          <w:sz w:val="20"/>
          <w:szCs w:val="20"/>
          <w:lang w:val="en-US"/>
        </w:rPr>
        <w:t xml:space="preserve">, </w:t>
      </w:r>
      <w:r w:rsidRPr="00D869E3">
        <w:rPr>
          <w:rFonts w:ascii="Verdana" w:hAnsi="Verdana"/>
          <w:sz w:val="20"/>
          <w:szCs w:val="20"/>
          <w:lang w:val="en-US"/>
        </w:rPr>
        <w:t>when it was drawn up, it did not contemplate exhaustively all the facets and angles of the rights that the said treaty recognized (such as the right of workers to associate freely for the defense and promotion of their interests). Thus, it is the Inter-American Court that, by an evolutive interpretation,</w:t>
      </w:r>
      <w:r w:rsidR="00F83E8F" w:rsidRPr="00D869E3">
        <w:rPr>
          <w:rStyle w:val="Refdenotaalpie"/>
          <w:szCs w:val="20"/>
          <w:lang w:val="en-US"/>
        </w:rPr>
        <w:footnoteReference w:id="340"/>
      </w:r>
      <w:r w:rsidRPr="00D869E3">
        <w:rPr>
          <w:rFonts w:ascii="Verdana" w:hAnsi="Verdana"/>
          <w:sz w:val="20"/>
          <w:szCs w:val="20"/>
          <w:lang w:val="en-US"/>
        </w:rPr>
        <w:t xml:space="preserve"> has</w:t>
      </w:r>
      <w:r w:rsidR="00F83E8F" w:rsidRPr="00D869E3">
        <w:rPr>
          <w:rFonts w:ascii="Verdana" w:hAnsi="Verdana"/>
          <w:sz w:val="20"/>
          <w:szCs w:val="20"/>
          <w:lang w:val="en-US"/>
        </w:rPr>
        <w:t xml:space="preserve"> </w:t>
      </w:r>
      <w:r w:rsidRPr="00D869E3">
        <w:rPr>
          <w:rFonts w:ascii="Verdana" w:hAnsi="Verdana"/>
          <w:sz w:val="20"/>
          <w:szCs w:val="20"/>
          <w:lang w:val="en-US"/>
        </w:rPr>
        <w:t xml:space="preserve">undertaken to determine the </w:t>
      </w:r>
      <w:r w:rsidR="00FC4B86" w:rsidRPr="00D869E3">
        <w:rPr>
          <w:rFonts w:ascii="Verdana" w:hAnsi="Verdana"/>
          <w:sz w:val="20"/>
          <w:szCs w:val="20"/>
          <w:lang w:val="en-US"/>
        </w:rPr>
        <w:t xml:space="preserve">content of the rights and their </w:t>
      </w:r>
      <w:r w:rsidR="00FC4B86" w:rsidRPr="00D869E3">
        <w:rPr>
          <w:rFonts w:ascii="Verdana" w:hAnsi="Verdana"/>
          <w:sz w:val="20"/>
          <w:szCs w:val="20"/>
          <w:lang w:val="en-US"/>
        </w:rPr>
        <w:lastRenderedPageBreak/>
        <w:t>application to specific cases, either economic, social, cultural and environmental</w:t>
      </w:r>
      <w:r w:rsidR="00F83E8F" w:rsidRPr="00D869E3">
        <w:rPr>
          <w:rFonts w:ascii="Verdana" w:hAnsi="Verdana"/>
          <w:sz w:val="20"/>
          <w:szCs w:val="20"/>
          <w:lang w:val="en-US"/>
        </w:rPr>
        <w:t xml:space="preserve"> </w:t>
      </w:r>
      <w:r w:rsidR="00FC4B86" w:rsidRPr="00D869E3">
        <w:rPr>
          <w:rFonts w:ascii="Verdana" w:hAnsi="Verdana"/>
          <w:sz w:val="20"/>
          <w:szCs w:val="20"/>
          <w:lang w:val="en-US"/>
        </w:rPr>
        <w:t xml:space="preserve">rights or civil and political </w:t>
      </w:r>
      <w:r w:rsidR="00881A39" w:rsidRPr="00D869E3">
        <w:rPr>
          <w:rFonts w:ascii="Verdana" w:hAnsi="Verdana"/>
          <w:sz w:val="20"/>
          <w:szCs w:val="20"/>
          <w:lang w:val="en-US"/>
        </w:rPr>
        <w:t>rights</w:t>
      </w:r>
      <w:r w:rsidR="00F83E8F" w:rsidRPr="00D869E3">
        <w:rPr>
          <w:rFonts w:ascii="Verdana" w:hAnsi="Verdana"/>
          <w:sz w:val="20"/>
          <w:szCs w:val="20"/>
          <w:lang w:val="en-US"/>
        </w:rPr>
        <w:t xml:space="preserve"> (determin</w:t>
      </w:r>
      <w:r w:rsidR="00FC4B86" w:rsidRPr="00D869E3">
        <w:rPr>
          <w:rFonts w:ascii="Verdana" w:hAnsi="Verdana"/>
          <w:sz w:val="20"/>
          <w:szCs w:val="20"/>
          <w:lang w:val="en-US"/>
        </w:rPr>
        <w:t xml:space="preserve">ing their content in the </w:t>
      </w:r>
      <w:r w:rsidR="00A54459" w:rsidRPr="00D869E3">
        <w:rPr>
          <w:rFonts w:ascii="Verdana" w:hAnsi="Verdana"/>
          <w:sz w:val="20"/>
          <w:szCs w:val="20"/>
          <w:lang w:val="en-US"/>
        </w:rPr>
        <w:t>particular</w:t>
      </w:r>
      <w:r w:rsidR="00FC4B86" w:rsidRPr="00D869E3">
        <w:rPr>
          <w:rFonts w:ascii="Verdana" w:hAnsi="Verdana"/>
          <w:sz w:val="20"/>
          <w:szCs w:val="20"/>
          <w:lang w:val="en-US"/>
        </w:rPr>
        <w:t xml:space="preserve"> case)</w:t>
      </w:r>
      <w:r w:rsidR="00B753CC" w:rsidRPr="00D869E3">
        <w:rPr>
          <w:rFonts w:ascii="Verdana" w:hAnsi="Verdana"/>
          <w:sz w:val="20"/>
          <w:szCs w:val="20"/>
          <w:lang w:val="en-US"/>
        </w:rPr>
        <w:t>;</w:t>
      </w:r>
      <w:r w:rsidR="00FC4B86" w:rsidRPr="00D869E3">
        <w:rPr>
          <w:rFonts w:ascii="Verdana" w:hAnsi="Verdana"/>
          <w:sz w:val="20"/>
          <w:szCs w:val="20"/>
          <w:lang w:val="en-US"/>
        </w:rPr>
        <w:t xml:space="preserve"> </w:t>
      </w:r>
      <w:r w:rsidR="00B753CC" w:rsidRPr="00D869E3">
        <w:rPr>
          <w:rFonts w:ascii="Verdana" w:hAnsi="Verdana"/>
          <w:sz w:val="20"/>
          <w:szCs w:val="20"/>
          <w:lang w:val="en-US"/>
        </w:rPr>
        <w:t>a</w:t>
      </w:r>
      <w:r w:rsidR="00FC4B86" w:rsidRPr="00D869E3">
        <w:rPr>
          <w:rFonts w:ascii="Verdana" w:hAnsi="Verdana"/>
          <w:sz w:val="20"/>
          <w:szCs w:val="20"/>
          <w:lang w:val="en-US"/>
        </w:rPr>
        <w:t>nd this</w:t>
      </w:r>
      <w:r w:rsidR="00A54459" w:rsidRPr="00D869E3">
        <w:rPr>
          <w:rFonts w:ascii="Verdana" w:hAnsi="Verdana"/>
          <w:sz w:val="20"/>
          <w:szCs w:val="20"/>
          <w:lang w:val="en-US"/>
        </w:rPr>
        <w:t>,</w:t>
      </w:r>
      <w:r w:rsidR="00FC4B86" w:rsidRPr="00D869E3">
        <w:rPr>
          <w:rFonts w:ascii="Verdana" w:hAnsi="Verdana"/>
          <w:sz w:val="20"/>
          <w:szCs w:val="20"/>
          <w:lang w:val="en-US"/>
        </w:rPr>
        <w:t xml:space="preserve"> when any right mentioned above has been violated in relation to the general obligations established in </w:t>
      </w:r>
      <w:r w:rsidR="00447C65" w:rsidRPr="00D869E3">
        <w:rPr>
          <w:rFonts w:ascii="Verdana" w:hAnsi="Verdana"/>
          <w:sz w:val="20"/>
          <w:szCs w:val="20"/>
          <w:lang w:val="en-US"/>
        </w:rPr>
        <w:t>Articles</w:t>
      </w:r>
      <w:r w:rsidR="00F83E8F" w:rsidRPr="00D869E3">
        <w:rPr>
          <w:rFonts w:ascii="Verdana" w:hAnsi="Verdana"/>
          <w:sz w:val="20"/>
          <w:szCs w:val="20"/>
          <w:lang w:val="en-US"/>
        </w:rPr>
        <w:t xml:space="preserve"> 1</w:t>
      </w:r>
      <w:r w:rsidR="00687684" w:rsidRPr="00D869E3">
        <w:rPr>
          <w:rFonts w:ascii="Verdana" w:hAnsi="Verdana"/>
          <w:sz w:val="20"/>
          <w:szCs w:val="20"/>
          <w:lang w:val="en-US"/>
        </w:rPr>
        <w:t xml:space="preserve"> and </w:t>
      </w:r>
      <w:r w:rsidR="00F83E8F" w:rsidRPr="00D869E3">
        <w:rPr>
          <w:rFonts w:ascii="Verdana" w:hAnsi="Verdana"/>
          <w:sz w:val="20"/>
          <w:szCs w:val="20"/>
          <w:lang w:val="en-US"/>
        </w:rPr>
        <w:t>2</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FC4B86" w:rsidRPr="00D869E3">
        <w:rPr>
          <w:rFonts w:ascii="Verdana" w:hAnsi="Verdana"/>
          <w:sz w:val="20"/>
          <w:szCs w:val="20"/>
          <w:lang w:val="en-US"/>
        </w:rPr>
        <w:t xml:space="preserve">as has been its consistent practice by resorting to other international instruments to supplement the provisions of </w:t>
      </w:r>
      <w:r w:rsidR="00671B14" w:rsidRPr="00D869E3">
        <w:rPr>
          <w:rFonts w:ascii="Verdana" w:hAnsi="Verdana"/>
          <w:sz w:val="20"/>
          <w:szCs w:val="20"/>
          <w:lang w:val="en-US"/>
        </w:rPr>
        <w:t>the Pact of San José</w:t>
      </w:r>
      <w:r w:rsidR="00F83E8F" w:rsidRPr="00D869E3">
        <w:rPr>
          <w:rStyle w:val="Refdenotaalpie"/>
          <w:szCs w:val="20"/>
          <w:lang w:val="en-US"/>
        </w:rPr>
        <w:footnoteReference w:id="341"/>
      </w:r>
      <w:r w:rsidR="00F83E8F" w:rsidRPr="00D869E3">
        <w:rPr>
          <w:rFonts w:ascii="Verdana" w:hAnsi="Verdana"/>
          <w:sz w:val="20"/>
          <w:szCs w:val="20"/>
          <w:lang w:val="en-US"/>
        </w:rPr>
        <w:t xml:space="preserve"> </w:t>
      </w:r>
      <w:r w:rsidR="00FC4B86" w:rsidRPr="00D869E3">
        <w:rPr>
          <w:rFonts w:ascii="Verdana" w:hAnsi="Verdana"/>
          <w:sz w:val="20"/>
          <w:szCs w:val="20"/>
          <w:lang w:val="en-US"/>
        </w:rPr>
        <w:t>or</w:t>
      </w:r>
      <w:r w:rsidR="00F83E8F" w:rsidRPr="00D869E3">
        <w:rPr>
          <w:rFonts w:ascii="Verdana" w:hAnsi="Verdana"/>
          <w:sz w:val="20"/>
          <w:szCs w:val="20"/>
          <w:lang w:val="en-US"/>
        </w:rPr>
        <w:t xml:space="preserve"> </w:t>
      </w:r>
      <w:r w:rsidR="00B235CB" w:rsidRPr="00D869E3">
        <w:rPr>
          <w:rFonts w:ascii="Verdana" w:hAnsi="Verdana"/>
          <w:sz w:val="20"/>
          <w:szCs w:val="20"/>
          <w:lang w:val="en-US"/>
        </w:rPr>
        <w:t>the Protocol of San</w:t>
      </w:r>
      <w:r w:rsidR="00F83E8F" w:rsidRPr="00D869E3">
        <w:rPr>
          <w:rFonts w:ascii="Verdana" w:hAnsi="Verdana"/>
          <w:sz w:val="20"/>
          <w:szCs w:val="20"/>
          <w:lang w:val="en-US"/>
        </w:rPr>
        <w:t xml:space="preserve"> Salvador</w:t>
      </w:r>
      <w:r w:rsidR="00FC4B86" w:rsidRPr="00D869E3">
        <w:rPr>
          <w:rFonts w:ascii="Verdana" w:hAnsi="Verdana"/>
          <w:sz w:val="20"/>
          <w:szCs w:val="20"/>
          <w:lang w:val="en-US"/>
        </w:rPr>
        <w:t>.</w:t>
      </w:r>
      <w:r w:rsidR="00F83E8F" w:rsidRPr="00D869E3">
        <w:rPr>
          <w:rStyle w:val="Refdenotaalpie"/>
          <w:szCs w:val="20"/>
          <w:lang w:val="en-US"/>
        </w:rPr>
        <w:footnoteReference w:id="342"/>
      </w:r>
      <w:r w:rsidR="00F83E8F" w:rsidRPr="00D869E3">
        <w:rPr>
          <w:rFonts w:ascii="Verdana" w:hAnsi="Verdana"/>
          <w:sz w:val="20"/>
          <w:szCs w:val="20"/>
          <w:lang w:val="en-US"/>
        </w:rPr>
        <w:t xml:space="preserve"> </w:t>
      </w:r>
    </w:p>
    <w:p w14:paraId="0E37030D"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6F7CCC08" w14:textId="7A6C5F92" w:rsidR="00F83E8F" w:rsidRPr="00D869E3" w:rsidRDefault="00FC4B86" w:rsidP="00FC4B86">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In addition, although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establishes that </w:t>
      </w:r>
      <w:r w:rsidR="006436CA" w:rsidRPr="00D869E3">
        <w:rPr>
          <w:rFonts w:ascii="Verdana" w:hAnsi="Verdana"/>
          <w:sz w:val="20"/>
          <w:szCs w:val="20"/>
          <w:lang w:val="en-US"/>
        </w:rPr>
        <w:t>“</w:t>
      </w:r>
      <w:r w:rsidR="00F83E8F" w:rsidRPr="00D869E3">
        <w:rPr>
          <w:rFonts w:ascii="Verdana" w:hAnsi="Verdana"/>
          <w:sz w:val="20"/>
          <w:szCs w:val="20"/>
          <w:lang w:val="en-US"/>
        </w:rPr>
        <w:t>[</w:t>
      </w:r>
      <w:r w:rsidRPr="00D869E3">
        <w:rPr>
          <w:rFonts w:ascii="Verdana" w:hAnsi="Verdana"/>
          <w:sz w:val="20"/>
          <w:szCs w:val="20"/>
          <w:lang w:val="en-US"/>
        </w:rPr>
        <w:t>e</w:t>
      </w:r>
      <w:r w:rsidR="00F83E8F" w:rsidRPr="00D869E3">
        <w:rPr>
          <w:rFonts w:ascii="Verdana" w:hAnsi="Verdana"/>
          <w:sz w:val="20"/>
          <w:szCs w:val="20"/>
          <w:lang w:val="en-US"/>
        </w:rPr>
        <w:t>]</w:t>
      </w:r>
      <w:r w:rsidRPr="00D869E3">
        <w:rPr>
          <w:rFonts w:ascii="Verdana" w:hAnsi="Verdana"/>
          <w:spacing w:val="-3"/>
          <w:sz w:val="20"/>
          <w:szCs w:val="20"/>
          <w:lang w:val="en-US"/>
        </w:rPr>
        <w:t xml:space="preserve">veryone has the right to </w:t>
      </w:r>
      <w:r w:rsidRPr="00D869E3">
        <w:rPr>
          <w:rFonts w:ascii="Verdana" w:hAnsi="Verdana"/>
          <w:i/>
          <w:iCs/>
          <w:spacing w:val="-3"/>
          <w:sz w:val="20"/>
          <w:szCs w:val="20"/>
          <w:lang w:val="en-US"/>
        </w:rPr>
        <w:t>associate freely for</w:t>
      </w:r>
      <w:r w:rsidRPr="00D869E3">
        <w:rPr>
          <w:rFonts w:ascii="Verdana" w:hAnsi="Verdana"/>
          <w:spacing w:val="-3"/>
          <w:sz w:val="20"/>
          <w:szCs w:val="20"/>
          <w:lang w:val="en-US"/>
        </w:rPr>
        <w:t xml:space="preserve"> […] </w:t>
      </w:r>
      <w:r w:rsidRPr="00D869E3">
        <w:rPr>
          <w:rFonts w:ascii="Verdana" w:hAnsi="Verdana"/>
          <w:i/>
          <w:iCs/>
          <w:spacing w:val="-3"/>
          <w:sz w:val="20"/>
          <w:szCs w:val="20"/>
          <w:lang w:val="en-US"/>
        </w:rPr>
        <w:t>labor</w:t>
      </w:r>
      <w:r w:rsidRPr="00D869E3">
        <w:rPr>
          <w:rFonts w:ascii="Verdana" w:hAnsi="Verdana"/>
          <w:spacing w:val="-3"/>
          <w:sz w:val="20"/>
          <w:szCs w:val="20"/>
          <w:lang w:val="en-US"/>
        </w:rPr>
        <w:t xml:space="preserve"> […] </w:t>
      </w:r>
      <w:r w:rsidRPr="00D869E3">
        <w:rPr>
          <w:rFonts w:ascii="Verdana" w:hAnsi="Verdana"/>
          <w:i/>
          <w:iCs/>
          <w:spacing w:val="-3"/>
          <w:sz w:val="20"/>
          <w:szCs w:val="20"/>
          <w:lang w:val="en-US"/>
        </w:rPr>
        <w:t>purposes,</w:t>
      </w:r>
      <w:r w:rsidRPr="00D869E3">
        <w:rPr>
          <w:rFonts w:ascii="Verdana" w:hAnsi="Verdana"/>
          <w:sz w:val="20"/>
          <w:szCs w:val="20"/>
          <w:lang w:val="en-US"/>
        </w:rPr>
        <w:t xml:space="preserve">” in general, associations are not formed only for labor purposes, but as this article of the Convention itself indicates, there are other types of associations – </w:t>
      </w:r>
      <w:r w:rsidRPr="00D869E3">
        <w:rPr>
          <w:rFonts w:ascii="Verdana" w:hAnsi="Verdana"/>
          <w:spacing w:val="-3"/>
          <w:sz w:val="20"/>
          <w:szCs w:val="20"/>
          <w:lang w:val="en-US"/>
        </w:rPr>
        <w:t xml:space="preserve">ideological, religious, political, economic, social, cultural, sports, or others. I believe that this clarification is of crucial importance, because although, to date, </w:t>
      </w:r>
      <w:r w:rsidRPr="00D869E3">
        <w:rPr>
          <w:rFonts w:ascii="Verdana" w:hAnsi="Verdana"/>
          <w:sz w:val="20"/>
          <w:szCs w:val="20"/>
          <w:lang w:val="en-US"/>
        </w:rPr>
        <w:t>the Inter-American Court</w:t>
      </w:r>
      <w:r w:rsidR="008F1B5B" w:rsidRPr="00D869E3">
        <w:rPr>
          <w:rFonts w:ascii="Verdana" w:hAnsi="Verdana"/>
          <w:sz w:val="20"/>
          <w:szCs w:val="20"/>
          <w:lang w:val="en-US"/>
        </w:rPr>
        <w:t xml:space="preserve"> has declared the violation of the right to freedom of association for “labor” purposes (focused on labor unions), it has never ruled directly on the right to unionize as an autonomous rights under </w:t>
      </w:r>
      <w:r w:rsidR="00B235CB" w:rsidRPr="00D869E3">
        <w:rPr>
          <w:rFonts w:ascii="Verdana" w:hAnsi="Verdana"/>
          <w:sz w:val="20"/>
          <w:szCs w:val="20"/>
          <w:lang w:val="en-US"/>
        </w:rPr>
        <w:t>the Protocol of San</w:t>
      </w:r>
      <w:r w:rsidR="00F83E8F" w:rsidRPr="00D869E3">
        <w:rPr>
          <w:rFonts w:ascii="Verdana" w:hAnsi="Verdana"/>
          <w:sz w:val="20"/>
          <w:szCs w:val="20"/>
          <w:lang w:val="en-US"/>
        </w:rPr>
        <w:t xml:space="preserve"> Salvador,</w:t>
      </w:r>
      <w:r w:rsidR="00687684" w:rsidRPr="00D869E3">
        <w:rPr>
          <w:rFonts w:ascii="Verdana" w:hAnsi="Verdana"/>
          <w:sz w:val="20"/>
          <w:szCs w:val="20"/>
          <w:lang w:val="en-US"/>
        </w:rPr>
        <w:t xml:space="preserve"> and </w:t>
      </w:r>
      <w:r w:rsidR="008F1B5B" w:rsidRPr="00D869E3">
        <w:rPr>
          <w:rFonts w:ascii="Verdana" w:hAnsi="Verdana"/>
          <w:sz w:val="20"/>
          <w:szCs w:val="20"/>
          <w:lang w:val="en-US"/>
        </w:rPr>
        <w:t xml:space="preserve">the different facts that this right encompasses as delineated, to a great extent, in </w:t>
      </w:r>
      <w:r w:rsidR="0087339F" w:rsidRPr="00D869E3">
        <w:rPr>
          <w:rFonts w:ascii="Verdana" w:hAnsi="Verdana"/>
          <w:sz w:val="20"/>
          <w:szCs w:val="20"/>
          <w:lang w:val="en-US"/>
        </w:rPr>
        <w:t>Advisory Opinion</w:t>
      </w:r>
      <w:r w:rsidR="00F83E8F" w:rsidRPr="00D869E3">
        <w:rPr>
          <w:rFonts w:ascii="Verdana" w:hAnsi="Verdana"/>
          <w:sz w:val="20"/>
          <w:szCs w:val="20"/>
          <w:lang w:val="en-US"/>
        </w:rPr>
        <w:t xml:space="preserve"> No. 22. </w:t>
      </w:r>
    </w:p>
    <w:p w14:paraId="21AC4598"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45B44071" w14:textId="0823A732" w:rsidR="008F1B5B" w:rsidRPr="00D869E3" w:rsidRDefault="008F1B5B" w:rsidP="008F1B5B">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When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establishes “association for labor purposes,” the truth is that “the right to freedom of association” – </w:t>
      </w:r>
      <w:r w:rsidRPr="00D869E3">
        <w:rPr>
          <w:rFonts w:ascii="Verdana" w:hAnsi="Verdana"/>
          <w:i/>
          <w:sz w:val="20"/>
          <w:szCs w:val="20"/>
          <w:lang w:val="en-US"/>
        </w:rPr>
        <w:t>lato sensu –</w:t>
      </w:r>
      <w:r w:rsidRPr="00D869E3">
        <w:rPr>
          <w:rFonts w:ascii="Verdana" w:hAnsi="Verdana"/>
          <w:iCs/>
          <w:sz w:val="20"/>
          <w:szCs w:val="20"/>
          <w:lang w:val="en-US"/>
        </w:rPr>
        <w:t xml:space="preserve"> is, in reality, the genus</w:t>
      </w:r>
      <w:r w:rsidR="00B753CC" w:rsidRPr="00D869E3">
        <w:rPr>
          <w:rFonts w:ascii="Verdana" w:hAnsi="Verdana"/>
          <w:iCs/>
          <w:sz w:val="20"/>
          <w:szCs w:val="20"/>
          <w:lang w:val="en-US"/>
        </w:rPr>
        <w:t>,</w:t>
      </w:r>
      <w:r w:rsidRPr="00D869E3">
        <w:rPr>
          <w:rFonts w:ascii="Verdana" w:hAnsi="Verdana"/>
          <w:iCs/>
          <w:sz w:val="20"/>
          <w:szCs w:val="20"/>
          <w:lang w:val="en-US"/>
        </w:rPr>
        <w:t xml:space="preserve"> </w:t>
      </w:r>
      <w:r w:rsidR="007F7FBD" w:rsidRPr="00D869E3">
        <w:rPr>
          <w:rFonts w:ascii="Verdana" w:hAnsi="Verdana"/>
          <w:iCs/>
          <w:sz w:val="20"/>
          <w:szCs w:val="20"/>
          <w:lang w:val="en-US"/>
        </w:rPr>
        <w:t>s</w:t>
      </w:r>
      <w:r w:rsidRPr="00D869E3">
        <w:rPr>
          <w:rFonts w:ascii="Verdana" w:hAnsi="Verdana"/>
          <w:iCs/>
          <w:sz w:val="20"/>
          <w:szCs w:val="20"/>
          <w:lang w:val="en-US"/>
        </w:rPr>
        <w:t>o that it may have different species</w:t>
      </w:r>
      <w:r w:rsidR="00B753CC" w:rsidRPr="00D869E3">
        <w:rPr>
          <w:rFonts w:ascii="Verdana" w:hAnsi="Verdana"/>
          <w:iCs/>
          <w:sz w:val="20"/>
          <w:szCs w:val="20"/>
          <w:lang w:val="en-US"/>
        </w:rPr>
        <w:t xml:space="preserve"> or </w:t>
      </w:r>
      <w:r w:rsidRPr="00D869E3">
        <w:rPr>
          <w:rFonts w:ascii="Verdana" w:hAnsi="Verdana"/>
          <w:iCs/>
          <w:sz w:val="20"/>
          <w:szCs w:val="20"/>
          <w:lang w:val="en-US"/>
        </w:rPr>
        <w:t xml:space="preserve">associations </w:t>
      </w:r>
      <w:r w:rsidR="00F83E8F" w:rsidRPr="00D869E3">
        <w:rPr>
          <w:rFonts w:ascii="Verdana" w:hAnsi="Verdana"/>
          <w:i/>
          <w:sz w:val="20"/>
          <w:szCs w:val="20"/>
          <w:lang w:val="en-US"/>
        </w:rPr>
        <w:t>stricto sensu</w:t>
      </w:r>
      <w:r w:rsidR="00F83E8F" w:rsidRPr="00D869E3">
        <w:rPr>
          <w:rFonts w:ascii="Verdana" w:hAnsi="Verdana"/>
          <w:sz w:val="20"/>
          <w:szCs w:val="20"/>
          <w:lang w:val="en-US"/>
        </w:rPr>
        <w:t xml:space="preserve"> (labor</w:t>
      </w:r>
      <w:r w:rsidRPr="00D869E3">
        <w:rPr>
          <w:rFonts w:ascii="Verdana" w:hAnsi="Verdana"/>
          <w:sz w:val="20"/>
          <w:szCs w:val="20"/>
          <w:lang w:val="en-US"/>
        </w:rPr>
        <w:t>,</w:t>
      </w:r>
      <w:r w:rsidR="00F83E8F" w:rsidRPr="00D869E3">
        <w:rPr>
          <w:rStyle w:val="Refdenotaalpie"/>
          <w:szCs w:val="20"/>
          <w:lang w:val="en-US"/>
        </w:rPr>
        <w:footnoteReference w:id="343"/>
      </w:r>
      <w:r w:rsidR="00F83E8F" w:rsidRPr="00D869E3">
        <w:rPr>
          <w:rFonts w:ascii="Verdana" w:hAnsi="Verdana"/>
          <w:sz w:val="20"/>
          <w:szCs w:val="20"/>
          <w:lang w:val="en-US"/>
        </w:rPr>
        <w:t xml:space="preserve"> </w:t>
      </w:r>
      <w:r w:rsidRPr="00D869E3">
        <w:rPr>
          <w:rFonts w:ascii="Verdana" w:hAnsi="Verdana"/>
          <w:sz w:val="20"/>
          <w:szCs w:val="20"/>
          <w:lang w:val="en-US"/>
        </w:rPr>
        <w:t xml:space="preserve">trade union, </w:t>
      </w:r>
      <w:r w:rsidRPr="00D869E3">
        <w:rPr>
          <w:rFonts w:ascii="Verdana" w:hAnsi="Verdana"/>
          <w:spacing w:val="-3"/>
          <w:sz w:val="20"/>
          <w:szCs w:val="20"/>
          <w:lang w:val="en-US"/>
        </w:rPr>
        <w:t>ideological, religious, political, economic, social, cultural, sports, or others</w:t>
      </w:r>
      <w:r w:rsidRPr="00D869E3">
        <w:rPr>
          <w:rFonts w:ascii="Verdana" w:hAnsi="Verdana"/>
          <w:sz w:val="20"/>
          <w:szCs w:val="20"/>
          <w:lang w:val="en-US"/>
        </w:rPr>
        <w:t xml:space="preserve">). This distinction provides greater specificity to the right that has been violated and the scope of the area of social rights. </w:t>
      </w:r>
      <w:r w:rsidR="00075E68" w:rsidRPr="00D869E3">
        <w:rPr>
          <w:rFonts w:ascii="Verdana" w:hAnsi="Verdana"/>
          <w:sz w:val="20"/>
          <w:szCs w:val="20"/>
          <w:lang w:val="en-US"/>
        </w:rPr>
        <w:t>For example</w:t>
      </w:r>
      <w:r w:rsidR="00F83E8F" w:rsidRPr="00D869E3">
        <w:rPr>
          <w:rFonts w:ascii="Verdana" w:hAnsi="Verdana"/>
          <w:sz w:val="20"/>
          <w:szCs w:val="20"/>
          <w:lang w:val="en-US"/>
        </w:rPr>
        <w:t xml:space="preserve">, </w:t>
      </w:r>
      <w:r w:rsidRPr="00D869E3">
        <w:rPr>
          <w:rFonts w:ascii="Verdana" w:hAnsi="Verdana"/>
          <w:sz w:val="20"/>
          <w:szCs w:val="20"/>
          <w:lang w:val="en-US"/>
        </w:rPr>
        <w:t xml:space="preserve">while labor associations and trade unions may be protected by the content of social rights, religious or ideological associations </w:t>
      </w:r>
      <w:r w:rsidR="007F7FBD" w:rsidRPr="00D869E3">
        <w:rPr>
          <w:rFonts w:ascii="Verdana" w:hAnsi="Verdana"/>
          <w:sz w:val="20"/>
          <w:szCs w:val="20"/>
          <w:lang w:val="en-US"/>
        </w:rPr>
        <w:t>would fall within the sphere of the content of civil and political rights.</w:t>
      </w:r>
    </w:p>
    <w:p w14:paraId="597BCDBE"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7D90DD64" w14:textId="34EB940B" w:rsidR="00F83E8F" w:rsidRPr="00D869E3" w:rsidRDefault="00075E68" w:rsidP="00E70701">
      <w:pPr>
        <w:pStyle w:val="NormalWeb"/>
        <w:numPr>
          <w:ilvl w:val="0"/>
          <w:numId w:val="28"/>
        </w:numPr>
        <w:spacing w:before="0" w:beforeAutospacing="0" w:after="0" w:afterAutospacing="0"/>
        <w:ind w:left="0" w:firstLine="0"/>
        <w:jc w:val="both"/>
        <w:rPr>
          <w:rFonts w:ascii="Verdana" w:hAnsi="Verdana"/>
          <w:sz w:val="20"/>
          <w:szCs w:val="20"/>
          <w:lang w:val="en-US"/>
        </w:rPr>
      </w:pPr>
      <w:r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7F7FBD" w:rsidRPr="00D869E3">
        <w:rPr>
          <w:rFonts w:ascii="Verdana" w:hAnsi="Verdana"/>
          <w:sz w:val="20"/>
          <w:szCs w:val="20"/>
          <w:lang w:val="en-US"/>
        </w:rPr>
        <w:t xml:space="preserve">to illustrate the foregoing, it is important to mentioned the case of </w:t>
      </w:r>
      <w:r w:rsidR="00F83E8F" w:rsidRPr="00D869E3">
        <w:rPr>
          <w:rFonts w:ascii="Verdana" w:hAnsi="Verdana"/>
          <w:i/>
          <w:sz w:val="20"/>
          <w:szCs w:val="20"/>
          <w:lang w:val="en-US"/>
        </w:rPr>
        <w:t xml:space="preserve">Kawas Fernández </w:t>
      </w:r>
      <w:r w:rsidR="00447C65" w:rsidRPr="00D869E3">
        <w:rPr>
          <w:rFonts w:ascii="Verdana" w:hAnsi="Verdana"/>
          <w:i/>
          <w:sz w:val="20"/>
          <w:szCs w:val="20"/>
          <w:lang w:val="en-US"/>
        </w:rPr>
        <w:t>v.</w:t>
      </w:r>
      <w:r w:rsidR="00F83E8F" w:rsidRPr="00D869E3">
        <w:rPr>
          <w:rFonts w:ascii="Verdana" w:hAnsi="Verdana"/>
          <w:i/>
          <w:sz w:val="20"/>
          <w:szCs w:val="20"/>
          <w:lang w:val="en-US"/>
        </w:rPr>
        <w:t xml:space="preserve"> Honduras,</w:t>
      </w:r>
      <w:r w:rsidR="00F83E8F" w:rsidRPr="00D869E3">
        <w:rPr>
          <w:rFonts w:ascii="Verdana" w:hAnsi="Verdana"/>
          <w:sz w:val="20"/>
          <w:szCs w:val="20"/>
          <w:lang w:val="en-US"/>
        </w:rPr>
        <w:t xml:space="preserve"> </w:t>
      </w:r>
      <w:r w:rsidR="007F7FBD" w:rsidRPr="00D869E3">
        <w:rPr>
          <w:rFonts w:ascii="Verdana" w:hAnsi="Verdana"/>
          <w:sz w:val="20"/>
          <w:szCs w:val="20"/>
          <w:lang w:val="en-US"/>
        </w:rPr>
        <w:t xml:space="preserve">where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7F7FBD" w:rsidRPr="00D869E3">
        <w:rPr>
          <w:rFonts w:ascii="Verdana" w:hAnsi="Verdana"/>
          <w:sz w:val="20"/>
          <w:szCs w:val="20"/>
          <w:lang w:val="en-US"/>
        </w:rPr>
        <w:t>declared 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7F7FBD" w:rsidRPr="00D869E3">
        <w:rPr>
          <w:rFonts w:ascii="Verdana" w:hAnsi="Verdana"/>
          <w:sz w:val="20"/>
          <w:szCs w:val="20"/>
          <w:lang w:val="en-US"/>
        </w:rPr>
        <w:t xml:space="preserve">had been violated in a non-trade union context. At the time of the facts, </w:t>
      </w:r>
      <w:r w:rsidR="006436CA" w:rsidRPr="00D869E3">
        <w:rPr>
          <w:rFonts w:ascii="Verdana" w:hAnsi="Verdana"/>
          <w:sz w:val="20"/>
          <w:szCs w:val="20"/>
          <w:lang w:val="en-US"/>
        </w:rPr>
        <w:t>“</w:t>
      </w:r>
      <w:r w:rsidR="00F83E8F" w:rsidRPr="00D869E3">
        <w:rPr>
          <w:rFonts w:ascii="Verdana" w:hAnsi="Verdana"/>
          <w:sz w:val="20"/>
          <w:szCs w:val="20"/>
          <w:lang w:val="en-US"/>
        </w:rPr>
        <w:t>Blanca Jeannette Kawas Fernández</w:t>
      </w:r>
      <w:r w:rsidR="007F7FBD" w:rsidRPr="00D869E3">
        <w:rPr>
          <w:rFonts w:ascii="Verdana" w:hAnsi="Verdana" w:cs="Arial"/>
          <w:sz w:val="20"/>
          <w:szCs w:val="20"/>
          <w:lang w:val="en-US"/>
        </w:rPr>
        <w:t xml:space="preserve"> was president of the PROLANSATE foundation, and in that capacity she promoted the establishment of public policies on environmental protection in the department of Atlántida, Honduras, as well as awareness regarding natural resource preservation through education, and reported environmental degradation in the area</w:t>
      </w:r>
      <w:r w:rsidR="007F7FBD" w:rsidRPr="00D869E3">
        <w:rPr>
          <w:rFonts w:ascii="Verdana" w:hAnsi="Verdana"/>
          <w:sz w:val="20"/>
          <w:szCs w:val="20"/>
          <w:lang w:val="en-US"/>
        </w:rPr>
        <w:t>.</w:t>
      </w:r>
      <w:r w:rsidR="006436CA" w:rsidRPr="00D869E3">
        <w:rPr>
          <w:rFonts w:ascii="Verdana" w:hAnsi="Verdana"/>
          <w:sz w:val="20"/>
          <w:szCs w:val="20"/>
          <w:lang w:val="en-US"/>
        </w:rPr>
        <w:t>”</w:t>
      </w:r>
      <w:r w:rsidR="00F83E8F" w:rsidRPr="00D869E3">
        <w:rPr>
          <w:rStyle w:val="Refdenotaalpie"/>
          <w:rFonts w:eastAsiaTheme="majorEastAsia"/>
          <w:szCs w:val="20"/>
          <w:lang w:val="en-US"/>
        </w:rPr>
        <w:footnoteReference w:id="344"/>
      </w:r>
      <w:r w:rsidR="00F83E8F" w:rsidRPr="00D869E3">
        <w:rPr>
          <w:rFonts w:ascii="Verdana" w:hAnsi="Verdana"/>
          <w:sz w:val="20"/>
          <w:szCs w:val="20"/>
          <w:lang w:val="en-US"/>
        </w:rPr>
        <w:t xml:space="preserve"> </w:t>
      </w:r>
      <w:r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7F7FBD" w:rsidRPr="00D869E3">
        <w:rPr>
          <w:rFonts w:ascii="Verdana" w:hAnsi="Verdana"/>
          <w:sz w:val="20"/>
          <w:szCs w:val="20"/>
          <w:lang w:val="en-US"/>
        </w:rPr>
        <w:t>it specified that</w:t>
      </w:r>
      <w:r w:rsidR="00F83E8F" w:rsidRPr="00D869E3">
        <w:rPr>
          <w:rFonts w:ascii="Verdana" w:hAnsi="Verdana"/>
          <w:sz w:val="20"/>
          <w:szCs w:val="20"/>
          <w:lang w:val="en-US"/>
        </w:rPr>
        <w:t xml:space="preserve"> </w:t>
      </w:r>
      <w:r w:rsidR="006436CA" w:rsidRPr="00D869E3">
        <w:rPr>
          <w:rFonts w:ascii="Verdana" w:hAnsi="Verdana"/>
          <w:sz w:val="20"/>
          <w:szCs w:val="20"/>
          <w:lang w:val="en-US"/>
        </w:rPr>
        <w:t>“</w:t>
      </w:r>
      <w:r w:rsidR="00F83E8F" w:rsidRPr="00D869E3">
        <w:rPr>
          <w:rFonts w:ascii="Verdana" w:hAnsi="Verdana"/>
          <w:sz w:val="20"/>
          <w:szCs w:val="20"/>
          <w:lang w:val="en-US"/>
        </w:rPr>
        <w:t>[</w:t>
      </w:r>
      <w:r w:rsidR="00C86693" w:rsidRPr="00D869E3">
        <w:rPr>
          <w:rFonts w:ascii="Verdana" w:hAnsi="Verdana"/>
          <w:sz w:val="20"/>
          <w:szCs w:val="20"/>
          <w:lang w:val="en-US"/>
        </w:rPr>
        <w:t>t</w:t>
      </w:r>
      <w:r w:rsidR="00F83E8F" w:rsidRPr="00D869E3">
        <w:rPr>
          <w:rFonts w:ascii="Verdana" w:hAnsi="Verdana"/>
          <w:sz w:val="20"/>
          <w:szCs w:val="20"/>
          <w:lang w:val="en-US"/>
        </w:rPr>
        <w:t>]</w:t>
      </w:r>
      <w:r w:rsidR="00C86693" w:rsidRPr="00D869E3">
        <w:rPr>
          <w:rFonts w:ascii="Verdana" w:hAnsi="Verdana" w:cs="Arial"/>
          <w:sz w:val="20"/>
          <w:szCs w:val="20"/>
          <w:lang w:val="en-US"/>
        </w:rPr>
        <w:t>he recognition of work in defense of the environment and its connection to human rights is becoming more prominent across the countries of the region, in which an increasing number of incidents have been reported involving</w:t>
      </w:r>
      <w:r w:rsidR="00B753CC" w:rsidRPr="00D869E3">
        <w:rPr>
          <w:rFonts w:ascii="Verdana" w:hAnsi="Verdana" w:cs="Arial"/>
          <w:sz w:val="20"/>
          <w:szCs w:val="20"/>
          <w:lang w:val="en-US"/>
        </w:rPr>
        <w:t xml:space="preserve"> murders and</w:t>
      </w:r>
      <w:r w:rsidR="00C86693" w:rsidRPr="00D869E3">
        <w:rPr>
          <w:rFonts w:ascii="Verdana" w:hAnsi="Verdana" w:cs="Arial"/>
          <w:sz w:val="20"/>
          <w:szCs w:val="20"/>
          <w:lang w:val="en-US"/>
        </w:rPr>
        <w:t xml:space="preserve"> threats and acts of violence against environmentalists owing to their work</w:t>
      </w:r>
      <w:r w:rsidR="00C86693" w:rsidRPr="00D869E3">
        <w:rPr>
          <w:rFonts w:ascii="Verdana" w:hAnsi="Verdana"/>
          <w:sz w:val="20"/>
          <w:szCs w:val="20"/>
          <w:lang w:val="en-US"/>
        </w:rPr>
        <w:t>.</w:t>
      </w:r>
      <w:r w:rsidR="006436CA" w:rsidRPr="00D869E3">
        <w:rPr>
          <w:rFonts w:ascii="Verdana" w:hAnsi="Verdana"/>
          <w:sz w:val="20"/>
          <w:szCs w:val="20"/>
          <w:lang w:val="en-US"/>
        </w:rPr>
        <w:t>”</w:t>
      </w:r>
      <w:r w:rsidR="00F83E8F" w:rsidRPr="00D869E3">
        <w:rPr>
          <w:rStyle w:val="Refdenotaalpie"/>
          <w:rFonts w:eastAsiaTheme="majorEastAsia"/>
          <w:szCs w:val="20"/>
          <w:lang w:val="en-US"/>
        </w:rPr>
        <w:footnoteReference w:id="345"/>
      </w:r>
      <w:r w:rsidR="00C86693" w:rsidRPr="00D869E3">
        <w:rPr>
          <w:rFonts w:ascii="Verdana" w:hAnsi="Verdana"/>
          <w:sz w:val="20"/>
          <w:szCs w:val="20"/>
          <w:lang w:val="en-US"/>
        </w:rPr>
        <w:t xml:space="preserve"> In that case,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consider</w:t>
      </w:r>
      <w:r w:rsidR="00C86693" w:rsidRPr="00D869E3">
        <w:rPr>
          <w:rFonts w:ascii="Verdana" w:hAnsi="Verdana"/>
          <w:sz w:val="20"/>
          <w:szCs w:val="20"/>
          <w:lang w:val="en-US"/>
        </w:rPr>
        <w:t>ed that “Article</w:t>
      </w:r>
      <w:r w:rsidR="00F83E8F" w:rsidRPr="00D869E3">
        <w:rPr>
          <w:rFonts w:ascii="Verdana" w:hAnsi="Verdana"/>
          <w:sz w:val="20"/>
          <w:szCs w:val="20"/>
          <w:lang w:val="en-US"/>
        </w:rPr>
        <w:t xml:space="preserve"> 16 </w:t>
      </w:r>
      <w:r w:rsidR="00C86693" w:rsidRPr="00D869E3">
        <w:rPr>
          <w:rFonts w:ascii="Verdana" w:hAnsi="Verdana" w:cs="Arial"/>
          <w:sz w:val="20"/>
          <w:szCs w:val="20"/>
          <w:lang w:val="en-US"/>
        </w:rPr>
        <w:t xml:space="preserve">of the American Convention also includes the </w:t>
      </w:r>
      <w:r w:rsidR="00C86693" w:rsidRPr="00D869E3">
        <w:rPr>
          <w:rFonts w:ascii="Verdana" w:hAnsi="Verdana" w:cs="Arial"/>
          <w:sz w:val="20"/>
          <w:szCs w:val="20"/>
          <w:u w:val="single"/>
          <w:lang w:val="en-US"/>
        </w:rPr>
        <w:t xml:space="preserve">right of </w:t>
      </w:r>
      <w:r w:rsidR="00C86693" w:rsidRPr="00D869E3">
        <w:rPr>
          <w:rFonts w:ascii="Verdana" w:hAnsi="Verdana" w:cs="Arial"/>
          <w:sz w:val="20"/>
          <w:szCs w:val="20"/>
          <w:u w:val="single"/>
          <w:lang w:val="en-US"/>
        </w:rPr>
        <w:lastRenderedPageBreak/>
        <w:t>individuals to set up and participate freely in non-governmental organizations, associations or groups involved in human rights monitoring, reporting and promotion</w:t>
      </w:r>
      <w:r w:rsidR="00C86693" w:rsidRPr="00D869E3">
        <w:rPr>
          <w:rFonts w:ascii="Verdana" w:hAnsi="Verdana" w:cs="Arial"/>
          <w:sz w:val="20"/>
          <w:szCs w:val="20"/>
          <w:lang w:val="en-US"/>
        </w:rPr>
        <w:t>.</w:t>
      </w:r>
      <w:r w:rsidR="006436CA" w:rsidRPr="00D869E3">
        <w:rPr>
          <w:rFonts w:ascii="Verdana" w:hAnsi="Verdana"/>
          <w:sz w:val="20"/>
          <w:szCs w:val="20"/>
          <w:lang w:val="en-US"/>
        </w:rPr>
        <w:t>”</w:t>
      </w:r>
      <w:r w:rsidR="00F83E8F" w:rsidRPr="00D869E3">
        <w:rPr>
          <w:rStyle w:val="Refdenotaalpie"/>
          <w:rFonts w:eastAsiaTheme="majorEastAsia"/>
          <w:szCs w:val="20"/>
          <w:lang w:val="en-US"/>
        </w:rPr>
        <w:footnoteReference w:id="346"/>
      </w:r>
    </w:p>
    <w:p w14:paraId="398A50B2" w14:textId="77777777" w:rsidR="00F83E8F" w:rsidRPr="00D869E3" w:rsidRDefault="00F83E8F" w:rsidP="00F83E8F">
      <w:pPr>
        <w:pStyle w:val="NormalWeb"/>
        <w:spacing w:before="0" w:beforeAutospacing="0" w:after="0" w:afterAutospacing="0"/>
        <w:ind w:left="360"/>
        <w:jc w:val="both"/>
        <w:rPr>
          <w:rFonts w:ascii="Verdana" w:hAnsi="Verdana"/>
          <w:lang w:val="en-US"/>
        </w:rPr>
      </w:pPr>
    </w:p>
    <w:p w14:paraId="0A4690D0" w14:textId="6A17BF48" w:rsidR="00F83E8F" w:rsidRPr="00D869E3" w:rsidRDefault="00C86693" w:rsidP="00C86693">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In the instant case, it has been proved that </w:t>
      </w:r>
      <w:r w:rsidR="001E44D3" w:rsidRPr="00D869E3">
        <w:rPr>
          <w:rFonts w:ascii="Verdana" w:hAnsi="Verdana"/>
          <w:sz w:val="20"/>
          <w:szCs w:val="20"/>
          <w:lang w:val="en-US"/>
        </w:rPr>
        <w:t>Mr. Lagos del Campo</w:t>
      </w:r>
      <w:r w:rsidR="00F83E8F" w:rsidRPr="00D869E3">
        <w:rPr>
          <w:rFonts w:ascii="Verdana" w:hAnsi="Verdana"/>
          <w:sz w:val="20"/>
          <w:szCs w:val="20"/>
          <w:lang w:val="en-US"/>
        </w:rPr>
        <w:t xml:space="preserve"> </w:t>
      </w:r>
      <w:r w:rsidRPr="00D869E3">
        <w:rPr>
          <w:rFonts w:ascii="Verdana" w:hAnsi="Verdana"/>
          <w:sz w:val="20"/>
          <w:szCs w:val="20"/>
          <w:lang w:val="en-US"/>
        </w:rPr>
        <w:t xml:space="preserve">was dismissed owing to </w:t>
      </w:r>
      <w:r w:rsidR="004800B8" w:rsidRPr="00D869E3">
        <w:rPr>
          <w:rFonts w:ascii="Verdana" w:hAnsi="Verdana"/>
          <w:sz w:val="20"/>
          <w:szCs w:val="20"/>
          <w:lang w:val="en-US"/>
        </w:rPr>
        <w:t>statement</w:t>
      </w:r>
      <w:r w:rsidRPr="00D869E3">
        <w:rPr>
          <w:rFonts w:ascii="Verdana" w:hAnsi="Verdana"/>
          <w:sz w:val="20"/>
          <w:szCs w:val="20"/>
          <w:lang w:val="en-US"/>
        </w:rPr>
        <w:t xml:space="preserve">s made in the context of an electoral process that he was called on to </w:t>
      </w:r>
      <w:r w:rsidR="008A6FFA" w:rsidRPr="00D869E3">
        <w:rPr>
          <w:rFonts w:ascii="Verdana" w:hAnsi="Verdana"/>
          <w:sz w:val="20"/>
          <w:szCs w:val="20"/>
          <w:lang w:val="en-US"/>
        </w:rPr>
        <w:t>supervise</w:t>
      </w:r>
      <w:r w:rsidRPr="00D869E3">
        <w:rPr>
          <w:rFonts w:ascii="Verdana" w:hAnsi="Verdana"/>
          <w:sz w:val="20"/>
          <w:szCs w:val="20"/>
          <w:lang w:val="en-US"/>
        </w:rPr>
        <w:t xml:space="preserve"> as part of his responsibilities. In addition, as a result of </w:t>
      </w:r>
      <w:r w:rsidR="008A6FFA" w:rsidRPr="00D869E3">
        <w:rPr>
          <w:rFonts w:ascii="Verdana" w:hAnsi="Verdana"/>
          <w:sz w:val="20"/>
          <w:szCs w:val="20"/>
          <w:lang w:val="en-US"/>
        </w:rPr>
        <w:t>his</w:t>
      </w:r>
      <w:r w:rsidRPr="00D869E3">
        <w:rPr>
          <w:rFonts w:ascii="Verdana" w:hAnsi="Verdana"/>
          <w:sz w:val="20"/>
          <w:szCs w:val="20"/>
          <w:lang w:val="en-US"/>
        </w:rPr>
        <w:t xml:space="preserve"> dismissal, the victim could not continue his work of representing the workers on </w:t>
      </w:r>
      <w:r w:rsidR="00EA232B" w:rsidRPr="00D869E3">
        <w:rPr>
          <w:rFonts w:ascii="Verdana" w:hAnsi="Verdana"/>
          <w:sz w:val="20"/>
          <w:szCs w:val="20"/>
          <w:lang w:val="en-US"/>
        </w:rPr>
        <w:t>the Electoral Committee</w:t>
      </w:r>
      <w:r w:rsidR="00F83E8F" w:rsidRPr="00D869E3">
        <w:rPr>
          <w:rFonts w:ascii="Verdana" w:hAnsi="Verdana"/>
          <w:sz w:val="20"/>
          <w:szCs w:val="20"/>
          <w:lang w:val="en-US"/>
        </w:rPr>
        <w:t xml:space="preserve">. </w:t>
      </w:r>
      <w:r w:rsidRPr="00D869E3">
        <w:rPr>
          <w:rFonts w:ascii="Verdana" w:hAnsi="Verdana"/>
          <w:sz w:val="20"/>
          <w:szCs w:val="20"/>
          <w:lang w:val="en-US"/>
        </w:rPr>
        <w:t xml:space="preserve">In addition, he was unable to continue </w:t>
      </w:r>
      <w:r w:rsidR="008A6FFA" w:rsidRPr="00D869E3">
        <w:rPr>
          <w:rFonts w:ascii="Verdana" w:hAnsi="Verdana"/>
          <w:sz w:val="20"/>
          <w:szCs w:val="20"/>
          <w:lang w:val="en-US"/>
        </w:rPr>
        <w:t>his membership in</w:t>
      </w:r>
      <w:r w:rsidRPr="00D869E3">
        <w:rPr>
          <w:rFonts w:ascii="Verdana" w:hAnsi="Verdana"/>
          <w:sz w:val="20"/>
          <w:szCs w:val="20"/>
          <w:lang w:val="en-US"/>
        </w:rPr>
        <w:t xml:space="preserve"> </w:t>
      </w:r>
      <w:r w:rsidR="00EA232B" w:rsidRPr="00D869E3">
        <w:rPr>
          <w:rFonts w:ascii="Verdana" w:hAnsi="Verdana"/>
          <w:sz w:val="20"/>
          <w:szCs w:val="20"/>
          <w:lang w:val="en-US"/>
        </w:rPr>
        <w:t>the Industrial Community</w:t>
      </w:r>
      <w:r w:rsidR="00F83E8F" w:rsidRPr="00D869E3">
        <w:rPr>
          <w:rFonts w:ascii="Verdana" w:hAnsi="Verdana"/>
          <w:sz w:val="20"/>
          <w:szCs w:val="20"/>
          <w:lang w:val="en-US"/>
        </w:rPr>
        <w:t xml:space="preserve">, </w:t>
      </w:r>
      <w:r w:rsidRPr="00D869E3">
        <w:rPr>
          <w:rFonts w:ascii="Verdana" w:hAnsi="Verdana"/>
          <w:sz w:val="20"/>
          <w:szCs w:val="20"/>
          <w:lang w:val="en-US"/>
        </w:rPr>
        <w:t xml:space="preserve">since he </w:t>
      </w:r>
      <w:r w:rsidR="009073D9" w:rsidRPr="00D869E3">
        <w:rPr>
          <w:rFonts w:ascii="Verdana" w:hAnsi="Verdana"/>
          <w:sz w:val="20"/>
          <w:szCs w:val="20"/>
          <w:lang w:val="en-US"/>
        </w:rPr>
        <w:t>no longer worked for the company, because</w:t>
      </w:r>
      <w:r w:rsidR="00F83E8F" w:rsidRPr="00D869E3">
        <w:rPr>
          <w:rFonts w:ascii="Verdana" w:hAnsi="Verdana"/>
          <w:sz w:val="20"/>
          <w:szCs w:val="20"/>
          <w:lang w:val="en-US"/>
        </w:rPr>
        <w:t xml:space="preserve"> </w:t>
      </w:r>
      <w:r w:rsidR="003506CC" w:rsidRPr="00D869E3">
        <w:rPr>
          <w:rFonts w:ascii="Verdana" w:hAnsi="Verdana"/>
          <w:sz w:val="20"/>
          <w:szCs w:val="20"/>
          <w:lang w:val="en-US"/>
        </w:rPr>
        <w:t xml:space="preserve">the </w:t>
      </w:r>
      <w:r w:rsidR="00966115" w:rsidRPr="00D869E3">
        <w:rPr>
          <w:rFonts w:ascii="Verdana" w:hAnsi="Verdana"/>
          <w:sz w:val="20"/>
          <w:szCs w:val="20"/>
          <w:lang w:val="en-US"/>
        </w:rPr>
        <w:t>Second Labor Court</w:t>
      </w:r>
      <w:r w:rsidR="009D37C8" w:rsidRPr="00D869E3">
        <w:rPr>
          <w:rFonts w:ascii="Verdana" w:hAnsi="Verdana"/>
          <w:sz w:val="20"/>
          <w:szCs w:val="20"/>
          <w:lang w:val="en-US"/>
        </w:rPr>
        <w:t xml:space="preserve"> of Lima</w:t>
      </w:r>
      <w:r w:rsidR="00F83E8F" w:rsidRPr="00D869E3">
        <w:rPr>
          <w:rFonts w:ascii="Verdana" w:hAnsi="Verdana"/>
          <w:sz w:val="20"/>
          <w:szCs w:val="20"/>
          <w:lang w:val="en-US"/>
        </w:rPr>
        <w:t xml:space="preserve"> </w:t>
      </w:r>
      <w:r w:rsidR="009073D9" w:rsidRPr="00D869E3">
        <w:rPr>
          <w:rFonts w:ascii="Verdana" w:hAnsi="Verdana"/>
          <w:sz w:val="20"/>
          <w:szCs w:val="20"/>
          <w:lang w:val="en-US"/>
        </w:rPr>
        <w:t xml:space="preserve">determined that the victim’s dismissal was “legal and justified,” endorsing a sanction that had an impact on the possibility of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F83E8F" w:rsidRPr="00D869E3">
        <w:rPr>
          <w:rFonts w:ascii="Verdana" w:hAnsi="Verdana"/>
          <w:sz w:val="20"/>
          <w:szCs w:val="20"/>
          <w:lang w:val="en-US"/>
        </w:rPr>
        <w:t xml:space="preserve"> </w:t>
      </w:r>
      <w:r w:rsidR="009073D9" w:rsidRPr="00D869E3">
        <w:rPr>
          <w:rFonts w:ascii="Verdana" w:hAnsi="Verdana"/>
          <w:sz w:val="20"/>
          <w:szCs w:val="20"/>
          <w:lang w:val="en-US"/>
        </w:rPr>
        <w:t>being able to continue belonging to that company and representing the interest</w:t>
      </w:r>
      <w:r w:rsidR="008A6FFA" w:rsidRPr="00D869E3">
        <w:rPr>
          <w:rFonts w:ascii="Verdana" w:hAnsi="Verdana"/>
          <w:sz w:val="20"/>
          <w:szCs w:val="20"/>
          <w:lang w:val="en-US"/>
        </w:rPr>
        <w:t>s</w:t>
      </w:r>
      <w:r w:rsidR="009073D9" w:rsidRPr="00D869E3">
        <w:rPr>
          <w:rFonts w:ascii="Verdana" w:hAnsi="Verdana"/>
          <w:sz w:val="20"/>
          <w:szCs w:val="20"/>
          <w:lang w:val="en-US"/>
        </w:rPr>
        <w:t xml:space="preserve"> of the other workers.</w:t>
      </w:r>
      <w:r w:rsidR="00F83E8F" w:rsidRPr="00D869E3">
        <w:rPr>
          <w:rStyle w:val="Refdenotaalpie"/>
          <w:szCs w:val="20"/>
          <w:lang w:val="en-US"/>
        </w:rPr>
        <w:footnoteReference w:id="347"/>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009073D9" w:rsidRPr="00D869E3">
        <w:rPr>
          <w:rFonts w:ascii="Verdana" w:hAnsi="Verdana"/>
          <w:sz w:val="20"/>
          <w:szCs w:val="20"/>
          <w:lang w:val="en-US"/>
        </w:rPr>
        <w:t>concluded that</w:t>
      </w:r>
      <w:r w:rsidR="00F83E8F" w:rsidRPr="00D869E3">
        <w:rPr>
          <w:rFonts w:ascii="Verdana" w:hAnsi="Verdana"/>
          <w:sz w:val="20"/>
          <w:szCs w:val="20"/>
          <w:lang w:val="en-US"/>
        </w:rPr>
        <w:t xml:space="preserve">: </w:t>
      </w:r>
    </w:p>
    <w:p w14:paraId="502E2E5D" w14:textId="77777777" w:rsidR="00F83E8F" w:rsidRPr="00D869E3" w:rsidRDefault="00F83E8F" w:rsidP="00F83E8F">
      <w:pPr>
        <w:widowControl w:val="0"/>
        <w:autoSpaceDE w:val="0"/>
        <w:autoSpaceDN w:val="0"/>
        <w:adjustRightInd w:val="0"/>
        <w:ind w:right="18"/>
        <w:jc w:val="both"/>
        <w:rPr>
          <w:rFonts w:ascii="Verdana" w:hAnsi="Verdana"/>
          <w:sz w:val="20"/>
          <w:szCs w:val="20"/>
          <w:lang w:val="en-US"/>
        </w:rPr>
      </w:pPr>
    </w:p>
    <w:p w14:paraId="16B58579" w14:textId="0A7D0266" w:rsidR="00F83E8F" w:rsidRPr="00D869E3" w:rsidRDefault="00F83E8F" w:rsidP="00F83E8F">
      <w:pPr>
        <w:autoSpaceDE w:val="0"/>
        <w:autoSpaceDN w:val="0"/>
        <w:adjustRightInd w:val="0"/>
        <w:ind w:left="709" w:right="738"/>
        <w:jc w:val="both"/>
        <w:rPr>
          <w:rFonts w:ascii="Verdana" w:hAnsi="Verdana"/>
          <w:sz w:val="16"/>
          <w:szCs w:val="16"/>
          <w:lang w:val="en-US"/>
        </w:rPr>
      </w:pPr>
      <w:r w:rsidRPr="00D869E3">
        <w:rPr>
          <w:rFonts w:ascii="Verdana" w:hAnsi="Verdana"/>
          <w:sz w:val="16"/>
          <w:szCs w:val="16"/>
          <w:lang w:val="en-US"/>
        </w:rPr>
        <w:t xml:space="preserve">162. </w:t>
      </w:r>
      <w:r w:rsidR="002517A8" w:rsidRPr="00D869E3">
        <w:rPr>
          <w:rFonts w:ascii="Verdana" w:hAnsi="Verdana"/>
          <w:sz w:val="16"/>
          <w:szCs w:val="16"/>
          <w:lang w:val="en-US"/>
        </w:rPr>
        <w:t>In addition, the Court has established that freedom of association has two dimensions, because it relates both to the right of the individual to associate freely and to use the appropriate means to exercise this freedom, and to the right of the members of a group to achieve certain objectives together and to benefit from them. The Court has also established that the rights derived from representing the interests of a group are twofold, because they relate both to the right of the individual who exercises the mandate or appointment, and the right of the collectivity to be represented, so that the violation of the right of the former (the representative) results in the violation of the right of the latter (the person or collectivity represented).</w:t>
      </w:r>
      <w:r w:rsidR="002517A8" w:rsidRPr="00D869E3">
        <w:rPr>
          <w:rFonts w:ascii="Verdana" w:hAnsi="Verdana"/>
          <w:sz w:val="20"/>
          <w:szCs w:val="20"/>
          <w:lang w:val="en-US"/>
        </w:rPr>
        <w:t xml:space="preserve"> </w:t>
      </w:r>
      <w:r w:rsidRPr="00D869E3">
        <w:rPr>
          <w:rFonts w:ascii="Verdana" w:hAnsi="Verdana"/>
          <w:sz w:val="16"/>
          <w:szCs w:val="16"/>
          <w:lang w:val="en-US"/>
        </w:rPr>
        <w:t>[…]</w:t>
      </w:r>
      <w:r w:rsidRPr="00D869E3">
        <w:rPr>
          <w:rStyle w:val="Refdenotaalpie"/>
          <w:sz w:val="16"/>
          <w:szCs w:val="16"/>
          <w:lang w:val="en-US"/>
        </w:rPr>
        <w:footnoteReference w:id="348"/>
      </w:r>
      <w:r w:rsidRPr="00D869E3">
        <w:rPr>
          <w:rFonts w:ascii="Verdana" w:hAnsi="Verdana"/>
          <w:sz w:val="16"/>
          <w:szCs w:val="16"/>
          <w:lang w:val="en-US"/>
        </w:rPr>
        <w:t xml:space="preserve"> </w:t>
      </w:r>
    </w:p>
    <w:p w14:paraId="4CCE24B5"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DCD0E87" w14:textId="71E2D6C0" w:rsidR="009073D9" w:rsidRPr="00D869E3" w:rsidRDefault="009073D9"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There can be no doubt that the violations experienced by Mr.</w:t>
      </w:r>
      <w:r w:rsidR="00F83E8F" w:rsidRPr="00D869E3">
        <w:rPr>
          <w:rFonts w:ascii="Verdana" w:hAnsi="Verdana"/>
          <w:sz w:val="20"/>
          <w:szCs w:val="20"/>
          <w:lang w:val="en-US"/>
        </w:rPr>
        <w:t xml:space="preserve"> Campos del Lago </w:t>
      </w:r>
      <w:r w:rsidRPr="00D869E3">
        <w:rPr>
          <w:rFonts w:ascii="Verdana" w:hAnsi="Verdana"/>
          <w:sz w:val="20"/>
          <w:szCs w:val="20"/>
          <w:lang w:val="en-US"/>
        </w:rPr>
        <w:t>do not fall within an analysis of the rights of labor unions, union members or union representatives and their correlative rights. To the contrary, this case has a different particularity than the cases that this Inter-American Court has examined in relation to the right to freedom of association, because Mr. Lagos del Campo was a representative of a workers’ association. Thus, I agree fully with the judgment when it indicates that:</w:t>
      </w:r>
    </w:p>
    <w:p w14:paraId="458E298A" w14:textId="77777777" w:rsidR="00F83E8F" w:rsidRPr="00D869E3" w:rsidRDefault="00F83E8F" w:rsidP="00F83E8F">
      <w:pPr>
        <w:pStyle w:val="Prrafodelista"/>
        <w:widowControl w:val="0"/>
        <w:autoSpaceDE w:val="0"/>
        <w:autoSpaceDN w:val="0"/>
        <w:adjustRightInd w:val="0"/>
        <w:ind w:left="0"/>
        <w:jc w:val="both"/>
        <w:rPr>
          <w:rFonts w:ascii="Verdana" w:hAnsi="Verdana"/>
          <w:sz w:val="20"/>
          <w:szCs w:val="20"/>
          <w:lang w:val="en-US"/>
        </w:rPr>
      </w:pPr>
    </w:p>
    <w:p w14:paraId="79DC7F1A" w14:textId="05855684" w:rsidR="00F83E8F" w:rsidRPr="00D869E3" w:rsidRDefault="00F83E8F" w:rsidP="008A6FFA">
      <w:pPr>
        <w:widowControl w:val="0"/>
        <w:autoSpaceDE w:val="0"/>
        <w:autoSpaceDN w:val="0"/>
        <w:adjustRightInd w:val="0"/>
        <w:ind w:left="709" w:right="738"/>
        <w:jc w:val="both"/>
        <w:rPr>
          <w:rFonts w:ascii="Verdana" w:hAnsi="Verdana"/>
          <w:sz w:val="16"/>
          <w:szCs w:val="16"/>
          <w:lang w:val="en-US"/>
        </w:rPr>
      </w:pPr>
      <w:r w:rsidRPr="00D869E3">
        <w:rPr>
          <w:rFonts w:ascii="Verdana" w:hAnsi="Verdana"/>
          <w:sz w:val="16"/>
          <w:szCs w:val="16"/>
          <w:lang w:val="en-US"/>
        </w:rPr>
        <w:t xml:space="preserve">157. </w:t>
      </w:r>
      <w:r w:rsidR="002517A8" w:rsidRPr="00D869E3">
        <w:rPr>
          <w:rFonts w:ascii="Verdana" w:hAnsi="Verdana"/>
          <w:sz w:val="16"/>
          <w:szCs w:val="16"/>
          <w:lang w:val="en-US"/>
        </w:rPr>
        <w:t>In this regard, the Court finds that the protection of the right to labor-related freedom of association i</w:t>
      </w:r>
      <w:r w:rsidR="002517A8" w:rsidRPr="00D869E3">
        <w:rPr>
          <w:rFonts w:ascii="Verdana" w:hAnsi="Verdana"/>
          <w:sz w:val="16"/>
          <w:szCs w:val="16"/>
          <w:u w:val="single"/>
          <w:lang w:val="en-US"/>
        </w:rPr>
        <w:t>s subsumed not only in the protection of labor unions, their members and their representatives</w:t>
      </w:r>
      <w:r w:rsidR="002517A8" w:rsidRPr="00D869E3">
        <w:rPr>
          <w:rFonts w:ascii="Verdana" w:hAnsi="Verdana"/>
          <w:sz w:val="16"/>
          <w:szCs w:val="16"/>
          <w:lang w:val="en-US"/>
        </w:rPr>
        <w:t>.</w:t>
      </w:r>
      <w:r w:rsidR="002517A8" w:rsidRPr="00D869E3">
        <w:rPr>
          <w:rFonts w:ascii="Verdana" w:hAnsi="Verdana"/>
          <w:sz w:val="20"/>
          <w:szCs w:val="20"/>
          <w:lang w:val="en-US"/>
        </w:rPr>
        <w:t xml:space="preserve"> </w:t>
      </w:r>
      <w:r w:rsidRPr="00D869E3">
        <w:rPr>
          <w:rFonts w:ascii="Verdana" w:hAnsi="Verdana"/>
          <w:sz w:val="16"/>
          <w:szCs w:val="16"/>
          <w:lang w:val="en-US"/>
        </w:rPr>
        <w:t>[…]</w:t>
      </w:r>
    </w:p>
    <w:p w14:paraId="1B04FED6" w14:textId="77777777" w:rsidR="00F83E8F" w:rsidRPr="00D869E3" w:rsidRDefault="00F83E8F" w:rsidP="008A6FFA">
      <w:pPr>
        <w:widowControl w:val="0"/>
        <w:autoSpaceDE w:val="0"/>
        <w:autoSpaceDN w:val="0"/>
        <w:adjustRightInd w:val="0"/>
        <w:ind w:left="709" w:right="738"/>
        <w:jc w:val="both"/>
        <w:rPr>
          <w:rFonts w:ascii="Verdana" w:hAnsi="Verdana"/>
          <w:sz w:val="16"/>
          <w:szCs w:val="16"/>
          <w:lang w:val="en-US"/>
        </w:rPr>
      </w:pPr>
    </w:p>
    <w:p w14:paraId="29B10AEB" w14:textId="30341489" w:rsidR="00F83E8F" w:rsidRPr="00D869E3" w:rsidRDefault="00F83E8F" w:rsidP="008A6FFA">
      <w:pPr>
        <w:pStyle w:val="Prrafodelista"/>
        <w:ind w:right="738"/>
        <w:jc w:val="both"/>
        <w:rPr>
          <w:rFonts w:ascii="Verdana" w:hAnsi="Verdana"/>
          <w:b/>
          <w:sz w:val="20"/>
          <w:szCs w:val="20"/>
          <w:lang w:val="en-US"/>
        </w:rPr>
      </w:pPr>
      <w:r w:rsidRPr="00D869E3">
        <w:rPr>
          <w:rFonts w:ascii="Verdana" w:hAnsi="Verdana"/>
          <w:sz w:val="16"/>
          <w:szCs w:val="16"/>
          <w:lang w:val="en-US"/>
        </w:rPr>
        <w:t xml:space="preserve">158. </w:t>
      </w:r>
      <w:r w:rsidR="002517A8" w:rsidRPr="00D869E3">
        <w:rPr>
          <w:rFonts w:ascii="Verdana" w:hAnsi="Verdana"/>
          <w:sz w:val="16"/>
          <w:szCs w:val="16"/>
          <w:lang w:val="en-US"/>
        </w:rPr>
        <w:t xml:space="preserve">However, </w:t>
      </w:r>
      <w:r w:rsidR="002517A8" w:rsidRPr="00D869E3">
        <w:rPr>
          <w:rFonts w:ascii="Verdana" w:hAnsi="Verdana"/>
          <w:sz w:val="16"/>
          <w:szCs w:val="16"/>
          <w:u w:val="single"/>
          <w:lang w:val="en-US"/>
        </w:rPr>
        <w:t xml:space="preserve">the protection recognized to the right to freedom of association in </w:t>
      </w:r>
      <w:r w:rsidR="008A6FFA" w:rsidRPr="00D869E3">
        <w:rPr>
          <w:rFonts w:ascii="Verdana" w:hAnsi="Verdana"/>
          <w:sz w:val="16"/>
          <w:szCs w:val="16"/>
          <w:u w:val="single"/>
          <w:lang w:val="en-US"/>
        </w:rPr>
        <w:t>the context of l</w:t>
      </w:r>
      <w:r w:rsidR="002517A8" w:rsidRPr="00D869E3">
        <w:rPr>
          <w:rFonts w:ascii="Verdana" w:hAnsi="Verdana"/>
          <w:sz w:val="16"/>
          <w:szCs w:val="16"/>
          <w:u w:val="single"/>
          <w:lang w:val="en-US"/>
        </w:rPr>
        <w:t>abor extends to organizations that, even though their nature differs from that of labor unions, seek to represent the legitimate interests of workers</w:t>
      </w:r>
      <w:r w:rsidR="002517A8" w:rsidRPr="00D869E3">
        <w:rPr>
          <w:rFonts w:ascii="Verdana" w:hAnsi="Verdana"/>
          <w:sz w:val="16"/>
          <w:szCs w:val="16"/>
          <w:lang w:val="en-US"/>
        </w:rPr>
        <w:t xml:space="preserve">. This protection is derived from Article 16 of the American Convention, which protects freedom of association for any purpose, as well as from other international instruments </w:t>
      </w:r>
      <w:r w:rsidR="002517A8" w:rsidRPr="00D869E3">
        <w:rPr>
          <w:rFonts w:ascii="Verdana" w:hAnsi="Verdana"/>
          <w:sz w:val="16"/>
          <w:szCs w:val="16"/>
          <w:u w:val="single"/>
          <w:lang w:val="en-US"/>
        </w:rPr>
        <w:t>that recognize special protection to freedom of association to protect the interests of workers, without specifying that this protection is restricted to the labor union sphere</w:t>
      </w:r>
      <w:r w:rsidR="002517A8" w:rsidRPr="00D869E3">
        <w:rPr>
          <w:rFonts w:ascii="Verdana" w:hAnsi="Verdana"/>
          <w:sz w:val="16"/>
          <w:szCs w:val="16"/>
          <w:lang w:val="en-US"/>
        </w:rPr>
        <w:t xml:space="preserve">. </w:t>
      </w:r>
      <w:r w:rsidRPr="00D869E3">
        <w:rPr>
          <w:rFonts w:ascii="Verdana" w:hAnsi="Verdana"/>
          <w:sz w:val="16"/>
          <w:szCs w:val="16"/>
          <w:lang w:val="en-US"/>
        </w:rPr>
        <w:t>[…]</w:t>
      </w:r>
      <w:r w:rsidRPr="00D869E3">
        <w:rPr>
          <w:rStyle w:val="Refdenotaalpie"/>
          <w:sz w:val="16"/>
          <w:szCs w:val="16"/>
          <w:lang w:val="en-US"/>
        </w:rPr>
        <w:footnoteReference w:id="349"/>
      </w:r>
    </w:p>
    <w:p w14:paraId="07FCB589" w14:textId="77777777" w:rsidR="00F83E8F" w:rsidRPr="00D869E3" w:rsidRDefault="00F83E8F" w:rsidP="00F83E8F">
      <w:pPr>
        <w:widowControl w:val="0"/>
        <w:autoSpaceDE w:val="0"/>
        <w:autoSpaceDN w:val="0"/>
        <w:adjustRightInd w:val="0"/>
        <w:ind w:right="758"/>
        <w:jc w:val="both"/>
        <w:rPr>
          <w:rFonts w:ascii="Verdana" w:hAnsi="Verdana"/>
          <w:sz w:val="16"/>
          <w:szCs w:val="16"/>
          <w:lang w:val="en-US"/>
        </w:rPr>
      </w:pPr>
    </w:p>
    <w:p w14:paraId="04CD0C49" w14:textId="49D7D5D9" w:rsidR="00F83E8F" w:rsidRPr="00D869E3" w:rsidRDefault="009073D9"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Moreover,</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a</w:t>
      </w:r>
      <w:r w:rsidRPr="00D869E3">
        <w:rPr>
          <w:rFonts w:ascii="Verdana" w:hAnsi="Verdana"/>
          <w:sz w:val="20"/>
          <w:szCs w:val="20"/>
          <w:lang w:val="en-US"/>
        </w:rPr>
        <w:t xml:space="preserve">dded that: </w:t>
      </w:r>
    </w:p>
    <w:p w14:paraId="495CF2E2"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0DDEA1F2" w14:textId="3A52DA34" w:rsidR="00F83E8F" w:rsidRPr="00D869E3" w:rsidRDefault="00F83E8F" w:rsidP="002517A8">
      <w:pPr>
        <w:pStyle w:val="Prrafodelista"/>
        <w:ind w:left="709" w:right="758"/>
        <w:jc w:val="both"/>
        <w:rPr>
          <w:rFonts w:ascii="Verdana" w:hAnsi="Verdana"/>
          <w:sz w:val="16"/>
          <w:szCs w:val="16"/>
          <w:lang w:val="en-US"/>
        </w:rPr>
      </w:pPr>
      <w:r w:rsidRPr="00D869E3">
        <w:rPr>
          <w:rFonts w:ascii="Verdana" w:hAnsi="Verdana"/>
          <w:sz w:val="16"/>
          <w:szCs w:val="16"/>
          <w:lang w:val="en-US"/>
        </w:rPr>
        <w:t xml:space="preserve">159. </w:t>
      </w:r>
      <w:r w:rsidR="002517A8" w:rsidRPr="00D869E3">
        <w:rPr>
          <w:rFonts w:ascii="Verdana" w:hAnsi="Verdana"/>
          <w:sz w:val="16"/>
          <w:szCs w:val="16"/>
          <w:lang w:val="en-US"/>
        </w:rPr>
        <w:t xml:space="preserve">These principles concur with the protection recognized by the ILO, which has clarified that the expression </w:t>
      </w:r>
      <w:r w:rsidR="002517A8" w:rsidRPr="00D869E3">
        <w:rPr>
          <w:rFonts w:ascii="Verdana" w:hAnsi="Verdana"/>
          <w:b/>
          <w:bCs/>
          <w:sz w:val="16"/>
          <w:szCs w:val="16"/>
          <w:lang w:val="en-US"/>
        </w:rPr>
        <w:t>“</w:t>
      </w:r>
      <w:r w:rsidR="002517A8" w:rsidRPr="00D869E3">
        <w:rPr>
          <w:rFonts w:ascii="Verdana" w:hAnsi="Verdana"/>
          <w:b/>
          <w:bCs/>
          <w:sz w:val="16"/>
          <w:szCs w:val="16"/>
          <w:u w:val="single"/>
          <w:lang w:val="en-US"/>
        </w:rPr>
        <w:t>workers’ representatives</w:t>
      </w:r>
      <w:r w:rsidR="002517A8" w:rsidRPr="00D869E3">
        <w:rPr>
          <w:rFonts w:ascii="Verdana" w:hAnsi="Verdana"/>
          <w:b/>
          <w:bCs/>
          <w:sz w:val="16"/>
          <w:szCs w:val="16"/>
          <w:lang w:val="en-US"/>
        </w:rPr>
        <w:t>” includes those recognized as such under domestic law or practice, whether union representatives or “elected representatives, namely, representatives who are freely elected by the workers of the undertaking in accordance with the provisions of national laws or regulations or of collective agreements and whose functions do not include activities which are recognized as the exclusive prerogative of trade unions in the country concerned</w:t>
      </w:r>
      <w:r w:rsidR="002517A8" w:rsidRPr="00D869E3">
        <w:rPr>
          <w:rFonts w:ascii="Verdana" w:hAnsi="Verdana"/>
          <w:sz w:val="16"/>
          <w:szCs w:val="16"/>
          <w:lang w:val="en-US"/>
        </w:rPr>
        <w:t>.</w:t>
      </w:r>
      <w:r w:rsidR="006436CA" w:rsidRPr="00D869E3">
        <w:rPr>
          <w:rFonts w:ascii="Verdana" w:hAnsi="Verdana"/>
          <w:b/>
          <w:sz w:val="16"/>
          <w:szCs w:val="16"/>
          <w:lang w:val="en-US"/>
        </w:rPr>
        <w:t>”</w:t>
      </w:r>
    </w:p>
    <w:p w14:paraId="30F76C39" w14:textId="77777777" w:rsidR="00F83E8F" w:rsidRPr="00D869E3" w:rsidRDefault="00F83E8F" w:rsidP="00F83E8F">
      <w:pPr>
        <w:pStyle w:val="Prrafodelista"/>
        <w:ind w:left="709" w:right="758"/>
        <w:jc w:val="both"/>
        <w:rPr>
          <w:rFonts w:ascii="Verdana" w:hAnsi="Verdana"/>
          <w:sz w:val="16"/>
          <w:szCs w:val="16"/>
          <w:lang w:val="en-US"/>
        </w:rPr>
      </w:pPr>
    </w:p>
    <w:p w14:paraId="1EFFA019" w14:textId="78330EAB" w:rsidR="00F83E8F" w:rsidRPr="00D869E3" w:rsidRDefault="00F83E8F" w:rsidP="00F83E8F">
      <w:pPr>
        <w:pStyle w:val="Prrafodelista"/>
        <w:ind w:left="709" w:right="758"/>
        <w:jc w:val="both"/>
        <w:rPr>
          <w:rFonts w:ascii="Verdana" w:hAnsi="Verdana"/>
          <w:b/>
          <w:sz w:val="16"/>
          <w:szCs w:val="16"/>
          <w:lang w:val="en-US"/>
        </w:rPr>
      </w:pPr>
      <w:r w:rsidRPr="00D869E3">
        <w:rPr>
          <w:rFonts w:ascii="Verdana" w:hAnsi="Verdana"/>
          <w:sz w:val="16"/>
          <w:szCs w:val="16"/>
          <w:lang w:val="en-US"/>
        </w:rPr>
        <w:t xml:space="preserve">160. </w:t>
      </w:r>
      <w:r w:rsidR="002F2ACD" w:rsidRPr="00D869E3">
        <w:rPr>
          <w:rFonts w:ascii="Verdana" w:hAnsi="Verdana"/>
          <w:sz w:val="16"/>
          <w:szCs w:val="16"/>
          <w:lang w:val="en-US"/>
        </w:rPr>
        <w:t>Similarly, it has been interpreted [by the European Court] that t</w:t>
      </w:r>
      <w:r w:rsidR="002F2ACD" w:rsidRPr="00D869E3">
        <w:rPr>
          <w:rFonts w:ascii="Verdana" w:hAnsi="Verdana"/>
          <w:sz w:val="16"/>
          <w:szCs w:val="16"/>
          <w:u w:val="single"/>
          <w:lang w:val="en-US"/>
        </w:rPr>
        <w:t xml:space="preserve">he representatives of the workers of an undertaking should enjoy effective protection against any act that could prejudice them, including dismissal based on their condition as workers’ representatives, or on their activities </w:t>
      </w:r>
      <w:r w:rsidR="002F2ACD" w:rsidRPr="00D869E3">
        <w:rPr>
          <w:rFonts w:ascii="Verdana" w:hAnsi="Verdana"/>
          <w:sz w:val="16"/>
          <w:szCs w:val="16"/>
          <w:u w:val="single"/>
          <w:lang w:val="en-US"/>
        </w:rPr>
        <w:lastRenderedPageBreak/>
        <w:t>arising from this representation</w:t>
      </w:r>
      <w:r w:rsidR="002F2ACD" w:rsidRPr="00D869E3">
        <w:rPr>
          <w:rFonts w:ascii="Verdana" w:hAnsi="Verdana"/>
          <w:sz w:val="16"/>
          <w:szCs w:val="16"/>
          <w:lang w:val="en-US"/>
        </w:rPr>
        <w:t>. Also, the national authorities must ensure that</w:t>
      </w:r>
      <w:r w:rsidR="002F2ACD" w:rsidRPr="00D869E3">
        <w:rPr>
          <w:rFonts w:ascii="Verdana" w:hAnsi="Verdana"/>
          <w:sz w:val="20"/>
          <w:szCs w:val="20"/>
          <w:lang w:val="en-US"/>
        </w:rPr>
        <w:t xml:space="preserve"> </w:t>
      </w:r>
      <w:r w:rsidR="002F2ACD" w:rsidRPr="00D869E3">
        <w:rPr>
          <w:rFonts w:ascii="Verdana" w:hAnsi="Verdana"/>
          <w:sz w:val="16"/>
          <w:szCs w:val="16"/>
          <w:lang w:val="en-US"/>
        </w:rPr>
        <w:t>disproportionate penalties do not dissuade the representatives from seeking to express and defend the workers’ interests.</w:t>
      </w:r>
      <w:r w:rsidRPr="00D869E3">
        <w:rPr>
          <w:rStyle w:val="Refdenotaalpie"/>
          <w:sz w:val="16"/>
          <w:szCs w:val="16"/>
          <w:lang w:val="en-US"/>
        </w:rPr>
        <w:footnoteReference w:id="350"/>
      </w:r>
      <w:r w:rsidRPr="00D869E3">
        <w:rPr>
          <w:rFonts w:ascii="Verdana" w:hAnsi="Verdana"/>
          <w:sz w:val="16"/>
          <w:szCs w:val="16"/>
          <w:lang w:val="en-US"/>
        </w:rPr>
        <w:t xml:space="preserve"> </w:t>
      </w:r>
    </w:p>
    <w:p w14:paraId="4FADAD4E"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54DE7B73" w14:textId="551059B5" w:rsidR="00F83E8F" w:rsidRPr="00D869E3" w:rsidRDefault="009073D9"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As can be seen, what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refle</w:t>
      </w:r>
      <w:r w:rsidRPr="00D869E3">
        <w:rPr>
          <w:rFonts w:ascii="Verdana" w:hAnsi="Verdana"/>
          <w:sz w:val="20"/>
          <w:szCs w:val="20"/>
          <w:lang w:val="en-US"/>
        </w:rPr>
        <w:t xml:space="preserve">cts with these findings is that both labor unions and their </w:t>
      </w:r>
      <w:r w:rsidR="001E44D3" w:rsidRPr="00D869E3">
        <w:rPr>
          <w:rFonts w:ascii="Verdana" w:hAnsi="Verdana"/>
          <w:sz w:val="20"/>
          <w:szCs w:val="20"/>
          <w:lang w:val="en-US"/>
        </w:rPr>
        <w:t>representatives</w:t>
      </w:r>
      <w:r w:rsidR="00F83E8F" w:rsidRPr="00D869E3">
        <w:rPr>
          <w:rFonts w:ascii="Verdana" w:hAnsi="Verdana"/>
          <w:sz w:val="20"/>
          <w:szCs w:val="20"/>
          <w:lang w:val="en-US"/>
        </w:rPr>
        <w:t xml:space="preserve">, </w:t>
      </w:r>
      <w:r w:rsidR="008A6FFA" w:rsidRPr="00D869E3">
        <w:rPr>
          <w:rFonts w:ascii="Verdana" w:hAnsi="Verdana"/>
          <w:sz w:val="20"/>
          <w:szCs w:val="20"/>
          <w:lang w:val="en-US"/>
        </w:rPr>
        <w:t>and</w:t>
      </w:r>
      <w:r w:rsidRPr="00D869E3">
        <w:rPr>
          <w:rFonts w:ascii="Verdana" w:hAnsi="Verdana"/>
          <w:sz w:val="20"/>
          <w:szCs w:val="20"/>
          <w:lang w:val="en-US"/>
        </w:rPr>
        <w:t xml:space="preserve"> worker</w:t>
      </w:r>
      <w:r w:rsidR="008A6FFA" w:rsidRPr="00D869E3">
        <w:rPr>
          <w:rFonts w:ascii="Verdana" w:hAnsi="Verdana"/>
          <w:sz w:val="20"/>
          <w:szCs w:val="20"/>
          <w:lang w:val="en-US"/>
        </w:rPr>
        <w:t>s’</w:t>
      </w:r>
      <w:r w:rsidRPr="00D869E3">
        <w:rPr>
          <w:rFonts w:ascii="Verdana" w:hAnsi="Verdana"/>
          <w:sz w:val="20"/>
          <w:szCs w:val="20"/>
          <w:lang w:val="en-US"/>
        </w:rPr>
        <w:t xml:space="preserve"> associations and their </w:t>
      </w:r>
      <w:r w:rsidR="001E44D3" w:rsidRPr="00D869E3">
        <w:rPr>
          <w:rFonts w:ascii="Verdana" w:hAnsi="Verdana"/>
          <w:sz w:val="20"/>
          <w:szCs w:val="20"/>
          <w:lang w:val="en-US"/>
        </w:rPr>
        <w:t>representatives</w:t>
      </w:r>
      <w:r w:rsidR="00F83E8F" w:rsidRPr="00D869E3">
        <w:rPr>
          <w:rFonts w:ascii="Verdana" w:hAnsi="Verdana"/>
          <w:sz w:val="20"/>
          <w:szCs w:val="20"/>
          <w:lang w:val="en-US"/>
        </w:rPr>
        <w:t xml:space="preserve">, </w:t>
      </w:r>
      <w:r w:rsidRPr="00D869E3">
        <w:rPr>
          <w:rFonts w:ascii="Verdana" w:hAnsi="Verdana"/>
          <w:i/>
          <w:sz w:val="20"/>
          <w:szCs w:val="20"/>
          <w:lang w:val="en-US"/>
        </w:rPr>
        <w:t xml:space="preserve">enjoy a specific protection </w:t>
      </w:r>
      <w:r w:rsidRPr="00D869E3">
        <w:rPr>
          <w:rFonts w:ascii="Verdana" w:hAnsi="Verdana"/>
          <w:sz w:val="20"/>
          <w:szCs w:val="20"/>
          <w:lang w:val="en-US"/>
        </w:rPr>
        <w:t>for the proper performance of their functions,</w:t>
      </w:r>
      <w:r w:rsidR="00F83E8F" w:rsidRPr="00D869E3">
        <w:rPr>
          <w:rStyle w:val="Refdenotaalpie"/>
          <w:szCs w:val="20"/>
          <w:lang w:val="en-US"/>
        </w:rPr>
        <w:footnoteReference w:id="351"/>
      </w:r>
      <w:r w:rsidRPr="00D869E3">
        <w:rPr>
          <w:rFonts w:ascii="Verdana" w:hAnsi="Verdana"/>
          <w:sz w:val="20"/>
          <w:szCs w:val="20"/>
          <w:lang w:val="en-US"/>
        </w:rPr>
        <w:t xml:space="preserve"> without any distinction between them. </w:t>
      </w:r>
      <w:r w:rsidR="00075E68"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conclu</w:t>
      </w:r>
      <w:r w:rsidRPr="00D869E3">
        <w:rPr>
          <w:rFonts w:ascii="Verdana" w:hAnsi="Verdana"/>
          <w:sz w:val="20"/>
          <w:szCs w:val="20"/>
          <w:lang w:val="en-US"/>
        </w:rPr>
        <w:t>ded that</w:t>
      </w:r>
      <w:r w:rsidR="00F83E8F" w:rsidRPr="00D869E3">
        <w:rPr>
          <w:rFonts w:ascii="Verdana" w:hAnsi="Verdana"/>
          <w:sz w:val="20"/>
          <w:szCs w:val="20"/>
          <w:lang w:val="en-US"/>
        </w:rPr>
        <w:t xml:space="preserve">: </w:t>
      </w:r>
    </w:p>
    <w:p w14:paraId="7632DD1D"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318A9BA" w14:textId="126FAE60" w:rsidR="002F2ACD" w:rsidRPr="00D869E3" w:rsidRDefault="00F83E8F" w:rsidP="00F83E8F">
      <w:pPr>
        <w:pStyle w:val="Prrafodelista"/>
        <w:widowControl w:val="0"/>
        <w:autoSpaceDE w:val="0"/>
        <w:autoSpaceDN w:val="0"/>
        <w:adjustRightInd w:val="0"/>
        <w:ind w:left="708" w:right="758"/>
        <w:jc w:val="both"/>
        <w:rPr>
          <w:rFonts w:ascii="Verdana" w:hAnsi="Verdana"/>
          <w:sz w:val="20"/>
          <w:szCs w:val="20"/>
          <w:lang w:val="en-US"/>
        </w:rPr>
      </w:pPr>
      <w:r w:rsidRPr="00D869E3">
        <w:rPr>
          <w:rFonts w:ascii="Verdana" w:hAnsi="Verdana"/>
          <w:sz w:val="16"/>
          <w:szCs w:val="16"/>
          <w:lang w:val="en-US"/>
        </w:rPr>
        <w:t xml:space="preserve">158. […] </w:t>
      </w:r>
      <w:r w:rsidR="002F2ACD" w:rsidRPr="00D869E3">
        <w:rPr>
          <w:rFonts w:ascii="Verdana" w:hAnsi="Verdana"/>
          <w:sz w:val="16"/>
          <w:szCs w:val="16"/>
          <w:lang w:val="en-US"/>
        </w:rPr>
        <w:t>Thus Article 26 of the American Convention, which relates to the economic, social, educational, scientific and cultural standards set forth in the Charter of the Organization of American States, recognizes the right of employers and workers to associate freely for the defense and promotion of their interests. Additionally, the Preamble to the Inter-American Democratic Charter recognizes that the right of workers to associate themselves freely for the defense and promotion of their interests is fundamental to the achievement of democratic ideals.</w:t>
      </w:r>
    </w:p>
    <w:p w14:paraId="42ACD540" w14:textId="77777777" w:rsidR="00F83E8F" w:rsidRPr="00D869E3" w:rsidRDefault="00F83E8F" w:rsidP="00F83E8F">
      <w:pPr>
        <w:ind w:right="758"/>
        <w:contextualSpacing/>
        <w:jc w:val="both"/>
        <w:rPr>
          <w:rFonts w:ascii="Verdana" w:hAnsi="Verdana"/>
          <w:sz w:val="20"/>
          <w:szCs w:val="20"/>
          <w:lang w:val="en-US"/>
        </w:rPr>
      </w:pPr>
    </w:p>
    <w:p w14:paraId="7B7DD4DC" w14:textId="2E79FA6F" w:rsidR="00F83E8F" w:rsidRPr="00D869E3" w:rsidRDefault="00F83E8F" w:rsidP="00F83E8F">
      <w:pPr>
        <w:ind w:left="708" w:right="758"/>
        <w:contextualSpacing/>
        <w:jc w:val="both"/>
        <w:rPr>
          <w:rFonts w:ascii="Verdana" w:hAnsi="Verdana"/>
          <w:sz w:val="16"/>
          <w:szCs w:val="16"/>
          <w:lang w:val="en-US"/>
        </w:rPr>
      </w:pPr>
      <w:r w:rsidRPr="00D869E3">
        <w:rPr>
          <w:rFonts w:ascii="Verdana" w:hAnsi="Verdana"/>
          <w:sz w:val="16"/>
          <w:szCs w:val="16"/>
          <w:lang w:val="en-US"/>
        </w:rPr>
        <w:t xml:space="preserve">163. </w:t>
      </w:r>
      <w:r w:rsidR="002F2ACD" w:rsidRPr="00D869E3">
        <w:rPr>
          <w:rFonts w:ascii="Verdana" w:hAnsi="Verdana"/>
          <w:sz w:val="16"/>
          <w:szCs w:val="16"/>
          <w:lang w:val="en-US"/>
        </w:rPr>
        <w:t>Based on the above, the Court concludes that the State is responsible for the violation of Articles 16(1) and 26 in relation to Articles 1(1), 13 and 8 of the American Convention, to the detriment of Mr. Lagos del Campo.</w:t>
      </w:r>
      <w:r w:rsidRPr="00D869E3">
        <w:rPr>
          <w:rStyle w:val="Refdenotaalpie"/>
          <w:sz w:val="16"/>
          <w:szCs w:val="16"/>
          <w:lang w:val="en-US"/>
        </w:rPr>
        <w:footnoteReference w:id="352"/>
      </w:r>
    </w:p>
    <w:p w14:paraId="255BE93F"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20FC9F6" w14:textId="46C3A882" w:rsidR="00F83E8F" w:rsidRPr="00D869E3" w:rsidRDefault="00075E68" w:rsidP="008E40D7">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In this regard</w:t>
      </w:r>
      <w:r w:rsidR="00F83E8F" w:rsidRPr="00D869E3">
        <w:rPr>
          <w:rFonts w:ascii="Verdana" w:hAnsi="Verdana"/>
          <w:sz w:val="20"/>
          <w:szCs w:val="20"/>
          <w:lang w:val="en-US"/>
        </w:rPr>
        <w:t xml:space="preserve">, </w:t>
      </w:r>
      <w:r w:rsidR="008E40D7" w:rsidRPr="00D869E3">
        <w:rPr>
          <w:rFonts w:ascii="Verdana" w:hAnsi="Verdana"/>
          <w:sz w:val="20"/>
          <w:szCs w:val="20"/>
          <w:lang w:val="en-US"/>
        </w:rPr>
        <w:t>the intention is not to establish that</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009073D9" w:rsidRPr="00D869E3">
        <w:rPr>
          <w:rFonts w:ascii="Verdana" w:hAnsi="Verdana"/>
          <w:sz w:val="20"/>
          <w:szCs w:val="20"/>
          <w:lang w:val="en-US"/>
        </w:rPr>
        <w:t>(</w:t>
      </w:r>
      <w:r w:rsidR="00F83E8F" w:rsidRPr="00D869E3">
        <w:rPr>
          <w:rFonts w:ascii="Verdana" w:hAnsi="Verdana"/>
          <w:sz w:val="20"/>
          <w:szCs w:val="20"/>
          <w:lang w:val="en-US"/>
        </w:rPr>
        <w:t>a</w:t>
      </w:r>
      <w:r w:rsidR="009073D9"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008E40D7" w:rsidRPr="00D869E3">
        <w:rPr>
          <w:rFonts w:ascii="Verdana" w:hAnsi="Verdana"/>
          <w:sz w:val="20"/>
          <w:szCs w:val="20"/>
          <w:lang w:val="en-US"/>
        </w:rPr>
        <w:t>is applicable</w:t>
      </w:r>
      <w:r w:rsidR="00F83E8F" w:rsidRPr="00D869E3">
        <w:rPr>
          <w:rFonts w:ascii="Verdana" w:hAnsi="Verdana"/>
          <w:sz w:val="20"/>
          <w:szCs w:val="20"/>
          <w:lang w:val="en-US"/>
        </w:rPr>
        <w:t xml:space="preserve">, </w:t>
      </w:r>
      <w:r w:rsidR="008E40D7" w:rsidRPr="00D869E3">
        <w:rPr>
          <w:rFonts w:ascii="Verdana" w:hAnsi="Verdana"/>
          <w:sz w:val="20"/>
          <w:szCs w:val="20"/>
          <w:lang w:val="en-US"/>
        </w:rPr>
        <w:t>through</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19</w:t>
      </w:r>
      <w:r w:rsidR="009073D9" w:rsidRPr="00D869E3">
        <w:rPr>
          <w:rFonts w:ascii="Verdana" w:hAnsi="Verdana"/>
          <w:sz w:val="20"/>
          <w:szCs w:val="20"/>
          <w:lang w:val="en-US"/>
        </w:rPr>
        <w:t>(</w:t>
      </w:r>
      <w:r w:rsidR="00F83E8F" w:rsidRPr="00D869E3">
        <w:rPr>
          <w:rFonts w:ascii="Verdana" w:hAnsi="Verdana"/>
          <w:sz w:val="20"/>
          <w:szCs w:val="20"/>
          <w:lang w:val="en-US"/>
        </w:rPr>
        <w:t>6</w:t>
      </w:r>
      <w:r w:rsidR="009073D9" w:rsidRPr="00D869E3">
        <w:rPr>
          <w:rFonts w:ascii="Verdana" w:hAnsi="Verdana"/>
          <w:sz w:val="20"/>
          <w:szCs w:val="20"/>
          <w:lang w:val="en-US"/>
        </w:rPr>
        <w:t>)</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8E40D7" w:rsidRPr="00D869E3">
        <w:rPr>
          <w:rFonts w:ascii="Verdana" w:hAnsi="Verdana"/>
          <w:sz w:val="20"/>
          <w:szCs w:val="20"/>
          <w:lang w:val="en-US"/>
        </w:rPr>
        <w:t xml:space="preserve">to the situation of </w:t>
      </w:r>
      <w:r w:rsidR="00E6309B" w:rsidRPr="00D869E3">
        <w:rPr>
          <w:rFonts w:ascii="Verdana" w:hAnsi="Verdana"/>
          <w:sz w:val="20"/>
          <w:szCs w:val="20"/>
          <w:lang w:val="en-US"/>
        </w:rPr>
        <w:t>Mr.</w:t>
      </w:r>
      <w:r w:rsidR="001E44D3" w:rsidRPr="00D869E3">
        <w:rPr>
          <w:rFonts w:ascii="Verdana" w:hAnsi="Verdana"/>
          <w:sz w:val="20"/>
          <w:szCs w:val="20"/>
          <w:lang w:val="en-US"/>
        </w:rPr>
        <w:t xml:space="preserve"> Lagos del Campo</w:t>
      </w:r>
      <w:r w:rsidR="00F83E8F" w:rsidRPr="00D869E3">
        <w:rPr>
          <w:rFonts w:ascii="Verdana" w:hAnsi="Verdana"/>
          <w:sz w:val="20"/>
          <w:szCs w:val="20"/>
          <w:lang w:val="en-US"/>
        </w:rPr>
        <w:t xml:space="preserve">s. </w:t>
      </w:r>
      <w:r w:rsidR="008E40D7" w:rsidRPr="00D869E3">
        <w:rPr>
          <w:rFonts w:ascii="Verdana" w:hAnsi="Verdana"/>
          <w:sz w:val="20"/>
          <w:szCs w:val="20"/>
          <w:lang w:val="en-US"/>
        </w:rPr>
        <w:t xml:space="preserve">This is because this is not a case of a labor union representative acting in the legitimate defense of the interests of union members. To the contrary, the situation of Mr. Lagos del Campos falls within the protection that labor associations and their representatives have </w:t>
      </w:r>
      <w:r w:rsidR="008E40D7" w:rsidRPr="00D869E3">
        <w:rPr>
          <w:rFonts w:ascii="Verdana" w:hAnsi="Verdana"/>
          <w:i/>
          <w:iCs/>
          <w:sz w:val="20"/>
          <w:szCs w:val="20"/>
          <w:lang w:val="en-US"/>
        </w:rPr>
        <w:t xml:space="preserve">to associate, </w:t>
      </w:r>
      <w:r w:rsidR="00B813C9" w:rsidRPr="00D869E3">
        <w:rPr>
          <w:rFonts w:ascii="Verdana" w:hAnsi="Verdana"/>
          <w:i/>
          <w:iCs/>
          <w:sz w:val="20"/>
          <w:szCs w:val="20"/>
          <w:lang w:val="en-US"/>
        </w:rPr>
        <w:t xml:space="preserve">and </w:t>
      </w:r>
      <w:r w:rsidR="008E40D7" w:rsidRPr="00D869E3">
        <w:rPr>
          <w:rFonts w:ascii="Verdana" w:hAnsi="Verdana"/>
          <w:i/>
          <w:iCs/>
          <w:sz w:val="20"/>
          <w:szCs w:val="20"/>
          <w:lang w:val="en-US"/>
        </w:rPr>
        <w:t>that even though they are of a different nature to that of labor unions, they pursue legitimate interests and rights of the workers</w:t>
      </w:r>
      <w:r w:rsidR="008E40D7" w:rsidRPr="00D869E3">
        <w:rPr>
          <w:rFonts w:ascii="Verdana" w:hAnsi="Verdana"/>
          <w:sz w:val="20"/>
          <w:szCs w:val="20"/>
          <w:lang w:val="en-US"/>
        </w:rPr>
        <w:t>;</w:t>
      </w:r>
      <w:r w:rsidR="00F83E8F" w:rsidRPr="00D869E3">
        <w:rPr>
          <w:rStyle w:val="Refdenotaalpie"/>
          <w:i/>
          <w:szCs w:val="20"/>
          <w:lang w:val="en-US"/>
        </w:rPr>
        <w:footnoteReference w:id="353"/>
      </w:r>
      <w:r w:rsidR="008E40D7" w:rsidRPr="00D869E3">
        <w:rPr>
          <w:rFonts w:ascii="Verdana" w:hAnsi="Verdana"/>
          <w:sz w:val="20"/>
          <w:szCs w:val="20"/>
          <w:lang w:val="en-US"/>
        </w:rPr>
        <w:t xml:space="preserve"> a</w:t>
      </w:r>
      <w:r w:rsidR="00F83E8F" w:rsidRPr="00D869E3">
        <w:rPr>
          <w:rFonts w:ascii="Verdana" w:hAnsi="Verdana"/>
          <w:sz w:val="20"/>
          <w:szCs w:val="20"/>
          <w:lang w:val="en-US"/>
        </w:rPr>
        <w:t xml:space="preserve"> protec</w:t>
      </w:r>
      <w:r w:rsidR="008E40D7" w:rsidRPr="00D869E3">
        <w:rPr>
          <w:rFonts w:ascii="Verdana" w:hAnsi="Verdana"/>
          <w:sz w:val="20"/>
          <w:szCs w:val="20"/>
          <w:lang w:val="en-US"/>
        </w:rPr>
        <w:t xml:space="preserve">tion that is not to be found in </w:t>
      </w:r>
      <w:r w:rsidR="00B235CB" w:rsidRPr="00D869E3">
        <w:rPr>
          <w:rFonts w:ascii="Verdana" w:hAnsi="Verdana"/>
          <w:sz w:val="20"/>
          <w:szCs w:val="20"/>
          <w:lang w:val="en-US"/>
        </w:rPr>
        <w:t>the Protocol of San</w:t>
      </w:r>
      <w:r w:rsidR="00F83E8F" w:rsidRPr="00D869E3">
        <w:rPr>
          <w:rFonts w:ascii="Verdana" w:hAnsi="Verdana"/>
          <w:sz w:val="20"/>
          <w:szCs w:val="20"/>
          <w:lang w:val="en-US"/>
        </w:rPr>
        <w:t xml:space="preserve"> Salvador </w:t>
      </w:r>
      <w:r w:rsidR="008E40D7" w:rsidRPr="00D869E3">
        <w:rPr>
          <w:rFonts w:ascii="Verdana" w:hAnsi="Verdana"/>
          <w:sz w:val="20"/>
          <w:szCs w:val="20"/>
          <w:lang w:val="en-US"/>
        </w:rPr>
        <w:t xml:space="preserve">in the article on the right to work </w:t>
      </w:r>
      <w:r w:rsidR="00F83E8F" w:rsidRPr="00D869E3">
        <w:rPr>
          <w:rFonts w:ascii="Verdana" w:hAnsi="Verdana"/>
          <w:sz w:val="20"/>
          <w:szCs w:val="20"/>
          <w:lang w:val="en-US"/>
        </w:rPr>
        <w:t>(</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6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w:t>
      </w:r>
      <w:r w:rsidR="008E40D7" w:rsidRPr="00D869E3">
        <w:rPr>
          <w:rFonts w:ascii="Verdana" w:hAnsi="Verdana"/>
          <w:sz w:val="20"/>
          <w:szCs w:val="20"/>
          <w:lang w:val="en-US"/>
        </w:rPr>
        <w:t>,</w:t>
      </w:r>
      <w:r w:rsidR="00F83E8F" w:rsidRPr="00D869E3">
        <w:rPr>
          <w:rStyle w:val="Refdenotaalpie"/>
          <w:szCs w:val="20"/>
          <w:lang w:val="en-US"/>
        </w:rPr>
        <w:footnoteReference w:id="354"/>
      </w:r>
      <w:r w:rsidR="00F83E8F" w:rsidRPr="00D869E3">
        <w:rPr>
          <w:rFonts w:ascii="Verdana" w:hAnsi="Verdana"/>
          <w:sz w:val="20"/>
          <w:szCs w:val="20"/>
          <w:lang w:val="en-US"/>
        </w:rPr>
        <w:t xml:space="preserve"> </w:t>
      </w:r>
      <w:r w:rsidR="008E40D7" w:rsidRPr="00D869E3">
        <w:rPr>
          <w:rFonts w:ascii="Verdana" w:hAnsi="Verdana"/>
          <w:sz w:val="20"/>
          <w:szCs w:val="20"/>
          <w:lang w:val="en-US"/>
        </w:rPr>
        <w:t xml:space="preserve">but is established expressly in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008E40D7" w:rsidRPr="00D869E3">
        <w:rPr>
          <w:rFonts w:ascii="Verdana" w:hAnsi="Verdana"/>
          <w:sz w:val="20"/>
          <w:szCs w:val="20"/>
          <w:lang w:val="en-US"/>
        </w:rPr>
        <w:t>(</w:t>
      </w:r>
      <w:r w:rsidR="00F83E8F" w:rsidRPr="00D869E3">
        <w:rPr>
          <w:rFonts w:ascii="Verdana" w:hAnsi="Verdana"/>
          <w:sz w:val="20"/>
          <w:szCs w:val="20"/>
          <w:lang w:val="en-US"/>
        </w:rPr>
        <w:t xml:space="preserve">c), </w:t>
      </w:r>
      <w:r w:rsidR="008E40D7" w:rsidRPr="00D869E3">
        <w:rPr>
          <w:rFonts w:ascii="Verdana" w:hAnsi="Verdana"/>
          <w:sz w:val="20"/>
          <w:szCs w:val="20"/>
          <w:lang w:val="en-US"/>
        </w:rPr>
        <w:t>of the OAS Charter.</w:t>
      </w:r>
      <w:r w:rsidR="00F83E8F" w:rsidRPr="00D869E3">
        <w:rPr>
          <w:rFonts w:ascii="Verdana" w:hAnsi="Verdana"/>
          <w:sz w:val="20"/>
          <w:szCs w:val="20"/>
          <w:lang w:val="en-US"/>
        </w:rPr>
        <w:t xml:space="preserve"> </w:t>
      </w:r>
    </w:p>
    <w:p w14:paraId="42C3C56C"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55621716" w14:textId="7D776E7F" w:rsidR="00DE2469" w:rsidRPr="00D869E3" w:rsidRDefault="00DE2469" w:rsidP="00F83E8F">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A comparison of</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008E40D7" w:rsidRPr="00D869E3">
        <w:rPr>
          <w:rFonts w:ascii="Verdana" w:hAnsi="Verdana"/>
          <w:sz w:val="20"/>
          <w:szCs w:val="20"/>
          <w:lang w:val="en-US"/>
        </w:rPr>
        <w:t>(</w:t>
      </w:r>
      <w:r w:rsidR="00F83E8F" w:rsidRPr="00D869E3">
        <w:rPr>
          <w:rFonts w:ascii="Verdana" w:hAnsi="Verdana"/>
          <w:sz w:val="20"/>
          <w:szCs w:val="20"/>
          <w:lang w:val="en-US"/>
        </w:rPr>
        <w:t>a</w:t>
      </w:r>
      <w:r w:rsidR="008E40D7"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w:t>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008E40D7" w:rsidRPr="00D869E3">
        <w:rPr>
          <w:rFonts w:ascii="Verdana" w:hAnsi="Verdana"/>
          <w:sz w:val="20"/>
          <w:szCs w:val="20"/>
          <w:lang w:val="en-US"/>
        </w:rPr>
        <w:t>(</w:t>
      </w:r>
      <w:r w:rsidR="00F83E8F" w:rsidRPr="00D869E3">
        <w:rPr>
          <w:rFonts w:ascii="Verdana" w:hAnsi="Verdana"/>
          <w:sz w:val="20"/>
          <w:szCs w:val="20"/>
          <w:lang w:val="en-US"/>
        </w:rPr>
        <w:t xml:space="preserve">c) </w:t>
      </w:r>
      <w:r w:rsidR="00197983" w:rsidRPr="00D869E3">
        <w:rPr>
          <w:rFonts w:ascii="Verdana" w:hAnsi="Verdana"/>
          <w:sz w:val="20"/>
          <w:szCs w:val="20"/>
          <w:lang w:val="en-US"/>
        </w:rPr>
        <w:t>of the OAS Charter</w:t>
      </w:r>
      <w:r w:rsidR="008E40D7" w:rsidRPr="00D869E3">
        <w:rPr>
          <w:rFonts w:ascii="Verdana" w:hAnsi="Verdana"/>
          <w:sz w:val="20"/>
          <w:szCs w:val="20"/>
          <w:lang w:val="en-US"/>
        </w:rPr>
        <w:t xml:space="preserve"> </w:t>
      </w:r>
      <w:r w:rsidRPr="00D869E3">
        <w:rPr>
          <w:rFonts w:ascii="Verdana" w:hAnsi="Verdana"/>
          <w:sz w:val="20"/>
          <w:szCs w:val="20"/>
          <w:lang w:val="en-US"/>
        </w:rPr>
        <w:t>leads to some</w:t>
      </w:r>
      <w:r w:rsidR="008E40D7" w:rsidRPr="00D869E3">
        <w:rPr>
          <w:rFonts w:ascii="Verdana" w:hAnsi="Verdana"/>
          <w:sz w:val="20"/>
          <w:szCs w:val="20"/>
          <w:lang w:val="en-US"/>
        </w:rPr>
        <w:t xml:space="preserve"> conclusions that are essential </w:t>
      </w:r>
      <w:r w:rsidRPr="00D869E3">
        <w:rPr>
          <w:rFonts w:ascii="Verdana" w:hAnsi="Verdana"/>
          <w:sz w:val="20"/>
          <w:szCs w:val="20"/>
          <w:lang w:val="en-US"/>
        </w:rPr>
        <w:t>for</w:t>
      </w:r>
      <w:r w:rsidR="008E40D7" w:rsidRPr="00D869E3">
        <w:rPr>
          <w:rFonts w:ascii="Verdana" w:hAnsi="Verdana"/>
          <w:sz w:val="20"/>
          <w:szCs w:val="20"/>
          <w:lang w:val="en-US"/>
        </w:rPr>
        <w:t xml:space="preserve"> understand</w:t>
      </w:r>
      <w:r w:rsidRPr="00D869E3">
        <w:rPr>
          <w:rFonts w:ascii="Verdana" w:hAnsi="Verdana"/>
          <w:sz w:val="20"/>
          <w:szCs w:val="20"/>
          <w:lang w:val="en-US"/>
        </w:rPr>
        <w:t>ing</w:t>
      </w:r>
      <w:r w:rsidR="008E40D7" w:rsidRPr="00D869E3">
        <w:rPr>
          <w:rFonts w:ascii="Verdana" w:hAnsi="Verdana"/>
          <w:sz w:val="20"/>
          <w:szCs w:val="20"/>
          <w:lang w:val="en-US"/>
        </w:rPr>
        <w:t xml:space="preserve"> the scope of the right to freedom of association for the defense and promotion of </w:t>
      </w:r>
      <w:r w:rsidRPr="00D869E3">
        <w:rPr>
          <w:rFonts w:ascii="Verdana" w:hAnsi="Verdana"/>
          <w:sz w:val="20"/>
          <w:szCs w:val="20"/>
          <w:lang w:val="en-US"/>
        </w:rPr>
        <w:t>workers’</w:t>
      </w:r>
      <w:r w:rsidR="008E40D7" w:rsidRPr="00D869E3">
        <w:rPr>
          <w:rFonts w:ascii="Verdana" w:hAnsi="Verdana"/>
          <w:sz w:val="20"/>
          <w:szCs w:val="20"/>
          <w:lang w:val="en-US"/>
        </w:rPr>
        <w:t xml:space="preserve"> interests in this case:</w:t>
      </w:r>
    </w:p>
    <w:p w14:paraId="76056056" w14:textId="77777777" w:rsidR="00DE2469" w:rsidRPr="00D869E3" w:rsidRDefault="00DE2469" w:rsidP="00F83E8F">
      <w:pPr>
        <w:pStyle w:val="Prrafodelista"/>
        <w:widowControl w:val="0"/>
        <w:autoSpaceDE w:val="0"/>
        <w:autoSpaceDN w:val="0"/>
        <w:adjustRightInd w:val="0"/>
        <w:ind w:left="0" w:right="49"/>
        <w:jc w:val="both"/>
        <w:rPr>
          <w:rFonts w:ascii="Verdana" w:hAnsi="Verdana"/>
          <w:sz w:val="20"/>
          <w:szCs w:val="20"/>
          <w:lang w:val="en-US"/>
        </w:rPr>
      </w:pPr>
    </w:p>
    <w:p w14:paraId="4062D993" w14:textId="3BA7009C" w:rsidR="00F83E8F" w:rsidRPr="00D869E3" w:rsidRDefault="00F83E8F" w:rsidP="00F83E8F">
      <w:pPr>
        <w:pStyle w:val="Prrafodelista"/>
        <w:ind w:left="360" w:right="758"/>
        <w:jc w:val="center"/>
        <w:rPr>
          <w:rFonts w:ascii="Verdana" w:hAnsi="Verdana"/>
          <w:b/>
          <w:sz w:val="16"/>
          <w:szCs w:val="16"/>
          <w:lang w:val="en-US"/>
        </w:rPr>
      </w:pPr>
      <w:r w:rsidRPr="00D869E3">
        <w:rPr>
          <w:rFonts w:ascii="Verdana" w:hAnsi="Verdana"/>
          <w:b/>
          <w:sz w:val="16"/>
          <w:szCs w:val="16"/>
          <w:lang w:val="en-US"/>
        </w:rPr>
        <w:t>45</w:t>
      </w:r>
      <w:r w:rsidR="00274DC1" w:rsidRPr="00D869E3">
        <w:rPr>
          <w:rFonts w:ascii="Verdana" w:hAnsi="Verdana"/>
          <w:b/>
          <w:sz w:val="16"/>
          <w:szCs w:val="16"/>
          <w:lang w:val="en-US"/>
        </w:rPr>
        <w:t>(</w:t>
      </w:r>
      <w:r w:rsidRPr="00D869E3">
        <w:rPr>
          <w:rFonts w:ascii="Verdana" w:hAnsi="Verdana"/>
          <w:b/>
          <w:sz w:val="16"/>
          <w:szCs w:val="16"/>
          <w:lang w:val="en-US"/>
        </w:rPr>
        <w:t xml:space="preserve">c)  </w:t>
      </w:r>
      <w:r w:rsidR="00197983" w:rsidRPr="00D869E3">
        <w:rPr>
          <w:rFonts w:ascii="Verdana" w:hAnsi="Verdana"/>
          <w:b/>
          <w:sz w:val="16"/>
          <w:szCs w:val="16"/>
          <w:lang w:val="en-US"/>
        </w:rPr>
        <w:t>OAS Charter</w:t>
      </w:r>
    </w:p>
    <w:p w14:paraId="2B41C35B" w14:textId="77777777" w:rsidR="00F83E8F" w:rsidRPr="00D869E3" w:rsidRDefault="00F83E8F" w:rsidP="00F83E8F">
      <w:pPr>
        <w:pStyle w:val="Prrafodelista"/>
        <w:ind w:left="360" w:right="758"/>
        <w:jc w:val="both"/>
        <w:rPr>
          <w:rFonts w:ascii="Verdana" w:hAnsi="Verdana"/>
          <w:b/>
          <w:sz w:val="16"/>
          <w:szCs w:val="16"/>
          <w:lang w:val="en-US"/>
        </w:rPr>
      </w:pPr>
    </w:p>
    <w:p w14:paraId="14F04391" w14:textId="2E87E69A" w:rsidR="00F83E8F" w:rsidRPr="00D869E3" w:rsidRDefault="00DE2469" w:rsidP="00DE2469">
      <w:pPr>
        <w:pStyle w:val="Prrafodelista"/>
        <w:tabs>
          <w:tab w:val="left" w:pos="8080"/>
        </w:tabs>
        <w:ind w:left="709" w:right="758"/>
        <w:jc w:val="both"/>
        <w:rPr>
          <w:rFonts w:ascii="Verdana" w:hAnsi="Verdana"/>
          <w:sz w:val="16"/>
          <w:szCs w:val="16"/>
          <w:lang w:val="en-US"/>
        </w:rPr>
      </w:pPr>
      <w:r w:rsidRPr="00D869E3">
        <w:rPr>
          <w:rFonts w:ascii="Verdana" w:hAnsi="Verdana"/>
          <w:b/>
          <w:bCs/>
          <w:sz w:val="16"/>
          <w:szCs w:val="16"/>
          <w:lang w:val="en-US"/>
        </w:rPr>
        <w:t>Employers and workers</w:t>
      </w:r>
      <w:r w:rsidRPr="00D869E3">
        <w:rPr>
          <w:rFonts w:ascii="Verdana" w:hAnsi="Verdana"/>
          <w:sz w:val="16"/>
          <w:szCs w:val="16"/>
          <w:lang w:val="en-US"/>
        </w:rPr>
        <w:t xml:space="preserve">, both rural and urban, </w:t>
      </w:r>
      <w:r w:rsidRPr="00D869E3">
        <w:rPr>
          <w:rFonts w:ascii="Verdana" w:hAnsi="Verdana"/>
          <w:b/>
          <w:bCs/>
          <w:sz w:val="16"/>
          <w:szCs w:val="16"/>
          <w:lang w:val="en-US"/>
        </w:rPr>
        <w:t>have the right to associate themselves freely for the defense and promotion of their interests</w:t>
      </w:r>
      <w:r w:rsidRPr="00D869E3">
        <w:rPr>
          <w:rFonts w:ascii="Verdana" w:hAnsi="Verdana"/>
          <w:sz w:val="16"/>
          <w:szCs w:val="16"/>
          <w:lang w:val="en-US"/>
        </w:rPr>
        <w:t>, including the right to collective bargaining and the workers' right to strike, and recognition of the juridical personality of associations and the protection of their freedom and independence, all in accordance with applicable laws</w:t>
      </w:r>
      <w:r w:rsidR="00F83E8F" w:rsidRPr="00D869E3">
        <w:rPr>
          <w:rFonts w:ascii="Verdana" w:hAnsi="Verdana"/>
          <w:sz w:val="16"/>
          <w:szCs w:val="16"/>
          <w:lang w:val="en-US"/>
        </w:rPr>
        <w:t>.</w:t>
      </w:r>
    </w:p>
    <w:p w14:paraId="605CCC6B" w14:textId="77777777" w:rsidR="00F83E8F" w:rsidRPr="00D869E3" w:rsidRDefault="00F83E8F" w:rsidP="00DE2469">
      <w:pPr>
        <w:widowControl w:val="0"/>
        <w:autoSpaceDE w:val="0"/>
        <w:autoSpaceDN w:val="0"/>
        <w:adjustRightInd w:val="0"/>
        <w:ind w:left="709" w:right="758"/>
        <w:jc w:val="both"/>
        <w:rPr>
          <w:rFonts w:ascii="Verdana" w:hAnsi="Verdana"/>
          <w:sz w:val="16"/>
          <w:szCs w:val="16"/>
          <w:lang w:val="en-US"/>
        </w:rPr>
      </w:pPr>
    </w:p>
    <w:p w14:paraId="631B0E4B" w14:textId="555B0F03" w:rsidR="00F83E8F" w:rsidRPr="00D869E3" w:rsidRDefault="00687684" w:rsidP="00DE2469">
      <w:pPr>
        <w:ind w:left="709" w:right="758" w:firstLine="708"/>
        <w:jc w:val="center"/>
        <w:rPr>
          <w:rFonts w:ascii="Verdana" w:hAnsi="Verdana"/>
          <w:b/>
          <w:sz w:val="16"/>
          <w:szCs w:val="16"/>
          <w:lang w:val="en-US"/>
        </w:rPr>
      </w:pPr>
      <w:r w:rsidRPr="00D869E3">
        <w:rPr>
          <w:rFonts w:ascii="Verdana" w:hAnsi="Verdana"/>
          <w:b/>
          <w:sz w:val="16"/>
          <w:szCs w:val="16"/>
          <w:lang w:val="en-US"/>
        </w:rPr>
        <w:t>8(1)</w:t>
      </w:r>
      <w:r w:rsidR="00274DC1" w:rsidRPr="00D869E3">
        <w:rPr>
          <w:rFonts w:ascii="Verdana" w:hAnsi="Verdana"/>
          <w:b/>
          <w:sz w:val="16"/>
          <w:szCs w:val="16"/>
          <w:lang w:val="en-US"/>
        </w:rPr>
        <w:t>(</w:t>
      </w:r>
      <w:r w:rsidR="00F83E8F" w:rsidRPr="00D869E3">
        <w:rPr>
          <w:rFonts w:ascii="Verdana" w:hAnsi="Verdana"/>
          <w:b/>
          <w:sz w:val="16"/>
          <w:szCs w:val="16"/>
          <w:lang w:val="en-US"/>
        </w:rPr>
        <w:t>a</w:t>
      </w:r>
      <w:r w:rsidR="00274DC1" w:rsidRPr="00D869E3">
        <w:rPr>
          <w:rFonts w:ascii="Verdana" w:hAnsi="Verdana"/>
          <w:b/>
          <w:sz w:val="16"/>
          <w:szCs w:val="16"/>
          <w:lang w:val="en-US"/>
        </w:rPr>
        <w:t>)</w:t>
      </w:r>
      <w:r w:rsidR="00F83E8F" w:rsidRPr="00D869E3">
        <w:rPr>
          <w:rFonts w:ascii="Verdana" w:hAnsi="Verdana"/>
          <w:b/>
          <w:sz w:val="16"/>
          <w:szCs w:val="16"/>
          <w:lang w:val="en-US"/>
        </w:rPr>
        <w:t xml:space="preserve"> </w:t>
      </w:r>
      <w:r w:rsidR="00E85F6A" w:rsidRPr="00D869E3">
        <w:rPr>
          <w:rFonts w:ascii="Verdana" w:hAnsi="Verdana"/>
          <w:b/>
          <w:sz w:val="16"/>
          <w:szCs w:val="16"/>
          <w:lang w:val="en-US"/>
        </w:rPr>
        <w:t>Labor union</w:t>
      </w:r>
      <w:r w:rsidR="00274DC1" w:rsidRPr="00D869E3">
        <w:rPr>
          <w:rFonts w:ascii="Verdana" w:hAnsi="Verdana"/>
          <w:b/>
          <w:sz w:val="16"/>
          <w:szCs w:val="16"/>
          <w:lang w:val="en-US"/>
        </w:rPr>
        <w:t xml:space="preserve"> rights under</w:t>
      </w:r>
      <w:r w:rsidR="00916899" w:rsidRPr="00D869E3">
        <w:rPr>
          <w:rFonts w:ascii="Verdana" w:hAnsi="Verdana"/>
          <w:b/>
          <w:sz w:val="16"/>
          <w:szCs w:val="16"/>
          <w:lang w:val="en-US"/>
        </w:rPr>
        <w:t xml:space="preserve"> the Protocol of</w:t>
      </w:r>
      <w:r w:rsidR="00F83E8F" w:rsidRPr="00D869E3">
        <w:rPr>
          <w:rFonts w:ascii="Verdana" w:hAnsi="Verdana"/>
          <w:b/>
          <w:sz w:val="16"/>
          <w:szCs w:val="16"/>
          <w:lang w:val="en-US"/>
        </w:rPr>
        <w:t xml:space="preserve"> San Salvador</w:t>
      </w:r>
    </w:p>
    <w:p w14:paraId="200042E4" w14:textId="77777777" w:rsidR="00F83E8F" w:rsidRPr="00D869E3" w:rsidRDefault="00F83E8F" w:rsidP="00DE2469">
      <w:pPr>
        <w:ind w:left="709" w:right="758" w:firstLine="708"/>
        <w:jc w:val="center"/>
        <w:rPr>
          <w:rFonts w:ascii="Verdana" w:hAnsi="Verdana"/>
          <w:b/>
          <w:sz w:val="16"/>
          <w:szCs w:val="16"/>
          <w:lang w:val="en-US"/>
        </w:rPr>
      </w:pPr>
    </w:p>
    <w:p w14:paraId="2F84CB10" w14:textId="7A6A02BA" w:rsidR="00DE2469" w:rsidRPr="00D869E3" w:rsidRDefault="00F83E8F" w:rsidP="00DE2469">
      <w:pPr>
        <w:pStyle w:val="NormalWeb"/>
        <w:spacing w:before="0" w:beforeAutospacing="0" w:after="0" w:afterAutospacing="0"/>
        <w:ind w:left="709" w:right="758"/>
        <w:jc w:val="both"/>
        <w:rPr>
          <w:rFonts w:ascii="Verdana" w:hAnsi="Verdana" w:cs="Arial"/>
          <w:sz w:val="16"/>
          <w:szCs w:val="16"/>
          <w:lang w:val="en-US"/>
        </w:rPr>
      </w:pPr>
      <w:r w:rsidRPr="00D869E3">
        <w:rPr>
          <w:rFonts w:ascii="Verdana" w:hAnsi="Verdana"/>
          <w:sz w:val="16"/>
          <w:szCs w:val="16"/>
          <w:lang w:val="en-US"/>
        </w:rPr>
        <w:t xml:space="preserve">1. </w:t>
      </w:r>
      <w:r w:rsidR="00DE2469" w:rsidRPr="00D869E3">
        <w:rPr>
          <w:rFonts w:ascii="Verdana" w:hAnsi="Verdana" w:cs="Tahoma"/>
          <w:sz w:val="16"/>
          <w:szCs w:val="16"/>
          <w:lang w:val="en-US"/>
        </w:rPr>
        <w:t>The States Parties shall ensure: a.</w:t>
      </w:r>
      <w:r w:rsidR="00DE2469" w:rsidRPr="00D869E3">
        <w:rPr>
          <w:rFonts w:ascii="Verdana" w:hAnsi="Verdana" w:cs="Tahoma"/>
          <w:b/>
          <w:bCs/>
          <w:sz w:val="16"/>
          <w:szCs w:val="16"/>
          <w:lang w:val="en-US"/>
        </w:rPr>
        <w:t xml:space="preserve"> The right of workers to organize trade unions and to join the union of their choice for the purpose of protecting and promoting their interests. </w:t>
      </w:r>
      <w:r w:rsidR="00DE2469" w:rsidRPr="00D869E3">
        <w:rPr>
          <w:rFonts w:ascii="Verdana" w:hAnsi="Verdana" w:cs="Tahoma"/>
          <w:sz w:val="16"/>
          <w:szCs w:val="16"/>
          <w:lang w:val="en-US"/>
        </w:rPr>
        <w:t xml:space="preserve">As an extension of that right, the States Parties shall permit trade unions to establish national federations or confederations, or to affiliate with those that already exist, as well as to form international trade </w:t>
      </w:r>
      <w:r w:rsidR="00DE2469" w:rsidRPr="00D869E3">
        <w:rPr>
          <w:rFonts w:ascii="Verdana" w:hAnsi="Verdana" w:cs="Tahoma"/>
          <w:sz w:val="16"/>
          <w:szCs w:val="16"/>
          <w:lang w:val="en-US"/>
        </w:rPr>
        <w:lastRenderedPageBreak/>
        <w:t>union organizations and to affiliate with that of their choice. The States Parties shall also permit trade unions, federations and confederations to function freely.</w:t>
      </w:r>
    </w:p>
    <w:p w14:paraId="02B58F56"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3799F7B1" w14:textId="4DE33F99" w:rsidR="008D1A55" w:rsidRPr="00D869E3" w:rsidRDefault="00DE2469"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A comparison of</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a</w:t>
      </w:r>
      <w:r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w:t>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Pr="00D869E3">
        <w:rPr>
          <w:rFonts w:ascii="Verdana" w:hAnsi="Verdana"/>
          <w:sz w:val="20"/>
          <w:szCs w:val="20"/>
          <w:lang w:val="en-US"/>
        </w:rPr>
        <w:t>(</w:t>
      </w:r>
      <w:r w:rsidR="00F83E8F" w:rsidRPr="00D869E3">
        <w:rPr>
          <w:rFonts w:ascii="Verdana" w:hAnsi="Verdana"/>
          <w:sz w:val="20"/>
          <w:szCs w:val="20"/>
          <w:lang w:val="en-US"/>
        </w:rPr>
        <w:t xml:space="preserve">c) </w:t>
      </w:r>
      <w:r w:rsidR="00197983" w:rsidRPr="00D869E3">
        <w:rPr>
          <w:rFonts w:ascii="Verdana" w:hAnsi="Verdana"/>
          <w:sz w:val="20"/>
          <w:szCs w:val="20"/>
          <w:lang w:val="en-US"/>
        </w:rPr>
        <w:t>of the OAS Charter</w:t>
      </w:r>
      <w:r w:rsidRPr="00D869E3">
        <w:rPr>
          <w:rFonts w:ascii="Verdana" w:hAnsi="Verdana"/>
          <w:sz w:val="20"/>
          <w:szCs w:val="20"/>
          <w:lang w:val="en-US"/>
        </w:rPr>
        <w:t xml:space="preserve"> reveals that the differences</w:t>
      </w:r>
      <w:r w:rsidR="008D1A55" w:rsidRPr="00D869E3">
        <w:rPr>
          <w:rFonts w:ascii="Verdana" w:hAnsi="Verdana"/>
          <w:sz w:val="20"/>
          <w:szCs w:val="20"/>
          <w:lang w:val="en-US"/>
        </w:rPr>
        <w:t xml:space="preserve"> resides in the entity </w:t>
      </w:r>
      <w:r w:rsidR="008D1A55" w:rsidRPr="00D869E3">
        <w:rPr>
          <w:rFonts w:ascii="Verdana" w:hAnsi="Verdana"/>
          <w:i/>
          <w:iCs/>
          <w:sz w:val="20"/>
          <w:szCs w:val="20"/>
          <w:lang w:val="en-US"/>
        </w:rPr>
        <w:t>entitled to the right to associate for the defense/promotion of their interests</w:t>
      </w:r>
      <w:r w:rsidR="008D1A55" w:rsidRPr="00D869E3">
        <w:rPr>
          <w:rFonts w:ascii="Verdana" w:hAnsi="Verdana"/>
          <w:sz w:val="20"/>
          <w:szCs w:val="20"/>
          <w:lang w:val="en-US"/>
        </w:rPr>
        <w:t xml:space="preserve"> </w:t>
      </w:r>
      <w:r w:rsidR="00351902" w:rsidRPr="00D869E3">
        <w:rPr>
          <w:rFonts w:ascii="Verdana" w:hAnsi="Verdana"/>
          <w:sz w:val="20"/>
          <w:szCs w:val="20"/>
          <w:lang w:val="en-US"/>
        </w:rPr>
        <w:t>recognized in</w:t>
      </w:r>
      <w:r w:rsidR="00F83E8F" w:rsidRPr="00D869E3">
        <w:rPr>
          <w:rFonts w:ascii="Verdana" w:hAnsi="Verdana"/>
          <w:sz w:val="20"/>
          <w:szCs w:val="20"/>
          <w:lang w:val="en-US"/>
        </w:rPr>
        <w:t xml:space="preserve"> </w:t>
      </w:r>
      <w:r w:rsidR="008D1A55" w:rsidRPr="00D869E3">
        <w:rPr>
          <w:rFonts w:ascii="Verdana" w:hAnsi="Verdana"/>
          <w:sz w:val="20"/>
          <w:szCs w:val="20"/>
          <w:lang w:val="en-US"/>
        </w:rPr>
        <w:t>the two instruments. That is, while the latter recognizes labor unions (specifically), the former recognizes workers’ associations more generally without conditioning them to consist of labor unions.</w:t>
      </w:r>
    </w:p>
    <w:p w14:paraId="1931C80B"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25D3FF24" w14:textId="2CC8E789" w:rsidR="00F83E8F" w:rsidRPr="00D869E3" w:rsidRDefault="008D1A55" w:rsidP="00287FFD">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Thus</w:t>
      </w:r>
      <w:r w:rsidR="00F83E8F" w:rsidRPr="00D869E3">
        <w:rPr>
          <w:rFonts w:ascii="Verdana" w:hAnsi="Verdana"/>
          <w:sz w:val="20"/>
          <w:szCs w:val="20"/>
          <w:lang w:val="en-US"/>
        </w:rPr>
        <w:t xml:space="preserve">, </w:t>
      </w:r>
      <w:r w:rsidR="00671B14" w:rsidRPr="00D869E3">
        <w:rPr>
          <w:rFonts w:ascii="Verdana" w:hAnsi="Verdana"/>
          <w:sz w:val="20"/>
          <w:szCs w:val="20"/>
          <w:lang w:val="en-US"/>
        </w:rPr>
        <w:t>the Inter-American Court</w:t>
      </w:r>
      <w:r w:rsidRPr="00D869E3">
        <w:rPr>
          <w:rFonts w:ascii="Verdana" w:hAnsi="Verdana"/>
          <w:sz w:val="20"/>
          <w:szCs w:val="20"/>
          <w:lang w:val="en-US"/>
        </w:rPr>
        <w:t>, also, when declaring the violation of</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conclu</w:t>
      </w:r>
      <w:r w:rsidRPr="00D869E3">
        <w:rPr>
          <w:rFonts w:ascii="Verdana" w:hAnsi="Verdana"/>
          <w:sz w:val="20"/>
          <w:szCs w:val="20"/>
          <w:lang w:val="en-US"/>
        </w:rPr>
        <w:t xml:space="preserve">ded that the right </w:t>
      </w:r>
      <w:r w:rsidRPr="00D869E3">
        <w:rPr>
          <w:rFonts w:ascii="Verdana" w:hAnsi="Verdana"/>
          <w:i/>
          <w:iCs/>
          <w:sz w:val="20"/>
          <w:szCs w:val="20"/>
          <w:lang w:val="en-US"/>
        </w:rPr>
        <w:t xml:space="preserve">to defend and promote workers’ interests by an </w:t>
      </w:r>
      <w:r w:rsidRPr="00D869E3">
        <w:rPr>
          <w:rFonts w:ascii="Verdana" w:hAnsi="Verdana"/>
          <w:i/>
          <w:iCs/>
          <w:sz w:val="20"/>
          <w:szCs w:val="20"/>
          <w:u w:val="single"/>
          <w:lang w:val="en-US"/>
        </w:rPr>
        <w:t>association</w:t>
      </w:r>
      <w:r w:rsidRPr="00D869E3">
        <w:rPr>
          <w:rFonts w:ascii="Verdana" w:hAnsi="Verdana"/>
          <w:sz w:val="20"/>
          <w:szCs w:val="20"/>
          <w:lang w:val="en-US"/>
        </w:rPr>
        <w:t xml:space="preserve"> is enforceable (derived from the mandate of the Convention), through </w:t>
      </w:r>
      <w:r w:rsidR="00687684" w:rsidRPr="00D869E3">
        <w:rPr>
          <w:rFonts w:ascii="Verdana" w:hAnsi="Verdana"/>
          <w:sz w:val="20"/>
          <w:szCs w:val="20"/>
          <w:lang w:val="en-US"/>
        </w:rPr>
        <w:t>Article</w:t>
      </w:r>
      <w:r w:rsidR="00F83E8F" w:rsidRPr="00D869E3">
        <w:rPr>
          <w:rFonts w:ascii="Verdana" w:hAnsi="Verdana"/>
          <w:sz w:val="20"/>
          <w:szCs w:val="20"/>
          <w:lang w:val="en-US"/>
        </w:rPr>
        <w:t xml:space="preserve"> 26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 xml:space="preserve">; </w:t>
      </w:r>
      <w:r w:rsidRPr="00D869E3">
        <w:rPr>
          <w:rFonts w:ascii="Verdana" w:hAnsi="Verdana"/>
          <w:sz w:val="20"/>
          <w:szCs w:val="20"/>
          <w:lang w:val="en-US"/>
        </w:rPr>
        <w:t>because, as the judgment indicates, there is no difference between</w:t>
      </w:r>
      <w:r w:rsidR="00570D5E" w:rsidRPr="00D869E3">
        <w:rPr>
          <w:rFonts w:ascii="Verdana" w:hAnsi="Verdana"/>
          <w:sz w:val="20"/>
          <w:szCs w:val="20"/>
          <w:lang w:val="en-US"/>
        </w:rPr>
        <w:t xml:space="preserve"> representatives of</w:t>
      </w:r>
      <w:r w:rsidRPr="00D869E3">
        <w:rPr>
          <w:rFonts w:ascii="Verdana" w:hAnsi="Verdana"/>
          <w:sz w:val="20"/>
          <w:szCs w:val="20"/>
          <w:lang w:val="en-US"/>
        </w:rPr>
        <w:t xml:space="preserve"> labor union</w:t>
      </w:r>
      <w:r w:rsidR="00570D5E" w:rsidRPr="00D869E3">
        <w:rPr>
          <w:rFonts w:ascii="Verdana" w:hAnsi="Verdana"/>
          <w:sz w:val="20"/>
          <w:szCs w:val="20"/>
          <w:lang w:val="en-US"/>
        </w:rPr>
        <w:t xml:space="preserve">s </w:t>
      </w:r>
      <w:r w:rsidRPr="00D869E3">
        <w:rPr>
          <w:rFonts w:ascii="Verdana" w:hAnsi="Verdana"/>
          <w:sz w:val="20"/>
          <w:szCs w:val="20"/>
          <w:lang w:val="en-US"/>
        </w:rPr>
        <w:t xml:space="preserve">and representatives of labor associations. Thus, while association in a labor union for the defense of </w:t>
      </w:r>
      <w:r w:rsidR="00570D5E" w:rsidRPr="00D869E3">
        <w:rPr>
          <w:rFonts w:ascii="Verdana" w:hAnsi="Verdana"/>
          <w:sz w:val="20"/>
          <w:szCs w:val="20"/>
          <w:lang w:val="en-US"/>
        </w:rPr>
        <w:t>such interests</w:t>
      </w:r>
      <w:r w:rsidRPr="00D869E3">
        <w:rPr>
          <w:rFonts w:ascii="Verdana" w:hAnsi="Verdana"/>
          <w:sz w:val="20"/>
          <w:szCs w:val="20"/>
          <w:lang w:val="en-US"/>
        </w:rPr>
        <w:t xml:space="preserve"> may be invoked via the Protocol of </w:t>
      </w:r>
      <w:r w:rsidR="00F83E8F" w:rsidRPr="00D869E3">
        <w:rPr>
          <w:rFonts w:ascii="Verdana" w:hAnsi="Verdana"/>
          <w:sz w:val="20"/>
          <w:szCs w:val="20"/>
          <w:lang w:val="en-US"/>
        </w:rPr>
        <w:t>San Salvador (</w:t>
      </w:r>
      <w:r w:rsidR="00687684" w:rsidRPr="00D869E3">
        <w:rPr>
          <w:rFonts w:ascii="Verdana" w:hAnsi="Verdana"/>
          <w:sz w:val="20"/>
          <w:szCs w:val="20"/>
          <w:lang w:val="en-US"/>
        </w:rPr>
        <w:t>8(1)</w:t>
      </w:r>
      <w:r w:rsidRPr="00D869E3">
        <w:rPr>
          <w:rFonts w:ascii="Verdana" w:hAnsi="Verdana"/>
          <w:sz w:val="20"/>
          <w:szCs w:val="20"/>
          <w:lang w:val="en-US"/>
        </w:rPr>
        <w:t>(</w:t>
      </w:r>
      <w:r w:rsidR="00F83E8F" w:rsidRPr="00D869E3">
        <w:rPr>
          <w:rFonts w:ascii="Verdana" w:hAnsi="Verdana"/>
          <w:sz w:val="20"/>
          <w:szCs w:val="20"/>
          <w:lang w:val="en-US"/>
        </w:rPr>
        <w:t xml:space="preserve">a), </w:t>
      </w:r>
      <w:r w:rsidR="00287FFD" w:rsidRPr="00D869E3">
        <w:rPr>
          <w:rFonts w:ascii="Verdana" w:hAnsi="Verdana"/>
          <w:sz w:val="20"/>
          <w:szCs w:val="20"/>
          <w:lang w:val="en-US"/>
        </w:rPr>
        <w:t xml:space="preserve">if it has not been made </w:t>
      </w:r>
      <w:r w:rsidR="00F83E8F" w:rsidRPr="00D869E3">
        <w:rPr>
          <w:rFonts w:ascii="Verdana" w:hAnsi="Verdana"/>
          <w:sz w:val="20"/>
          <w:szCs w:val="20"/>
          <w:lang w:val="en-US"/>
        </w:rPr>
        <w:t>justiciable v</w:t>
      </w:r>
      <w:r w:rsidR="00287FFD" w:rsidRPr="00D869E3">
        <w:rPr>
          <w:rFonts w:ascii="Verdana" w:hAnsi="Verdana"/>
          <w:sz w:val="20"/>
          <w:szCs w:val="20"/>
          <w:lang w:val="en-US"/>
        </w:rPr>
        <w:t>i</w:t>
      </w:r>
      <w:r w:rsidR="00F83E8F" w:rsidRPr="00D869E3">
        <w:rPr>
          <w:rFonts w:ascii="Verdana" w:hAnsi="Verdana"/>
          <w:sz w:val="20"/>
          <w:szCs w:val="20"/>
          <w:lang w:val="en-US"/>
        </w:rPr>
        <w:t xml:space="preserve">a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00287FFD" w:rsidRPr="00D869E3">
        <w:rPr>
          <w:rFonts w:ascii="Verdana" w:hAnsi="Verdana"/>
          <w:sz w:val="20"/>
          <w:szCs w:val="20"/>
          <w:lang w:val="en-US"/>
        </w:rPr>
        <w:t xml:space="preserve">the right to </w:t>
      </w:r>
      <w:r w:rsidR="006436CA" w:rsidRPr="00D869E3">
        <w:rPr>
          <w:rFonts w:ascii="Verdana" w:hAnsi="Verdana"/>
          <w:sz w:val="20"/>
          <w:szCs w:val="20"/>
          <w:lang w:val="en-US"/>
        </w:rPr>
        <w:t>“</w:t>
      </w:r>
      <w:r w:rsidR="00287FFD" w:rsidRPr="00D869E3">
        <w:rPr>
          <w:rFonts w:ascii="Verdana" w:hAnsi="Verdana"/>
          <w:sz w:val="20"/>
          <w:szCs w:val="20"/>
          <w:lang w:val="en-US"/>
        </w:rPr>
        <w:t>associat</w:t>
      </w:r>
      <w:r w:rsidR="00570D5E" w:rsidRPr="00D869E3">
        <w:rPr>
          <w:rFonts w:ascii="Verdana" w:hAnsi="Verdana"/>
          <w:sz w:val="20"/>
          <w:szCs w:val="20"/>
          <w:lang w:val="en-US"/>
        </w:rPr>
        <w:t>e of labor</w:t>
      </w:r>
      <w:r w:rsidR="00287FFD" w:rsidRPr="00D869E3">
        <w:rPr>
          <w:rFonts w:ascii="Verdana" w:hAnsi="Verdana"/>
          <w:sz w:val="20"/>
          <w:szCs w:val="20"/>
          <w:lang w:val="en-US"/>
        </w:rPr>
        <w:t xml:space="preserve"> for the defense of their interests” would have risked leaving individuals who also merit protection in this regard in labor contexts</w:t>
      </w:r>
      <w:r w:rsidR="00570D5E" w:rsidRPr="00D869E3">
        <w:rPr>
          <w:rFonts w:ascii="Verdana" w:hAnsi="Verdana"/>
          <w:sz w:val="20"/>
          <w:szCs w:val="20"/>
          <w:lang w:val="en-US"/>
        </w:rPr>
        <w:t xml:space="preserve"> without international protection</w:t>
      </w:r>
      <w:r w:rsidR="00287FFD" w:rsidRPr="00D869E3">
        <w:rPr>
          <w:rFonts w:ascii="Verdana" w:hAnsi="Verdana"/>
          <w:sz w:val="20"/>
          <w:szCs w:val="20"/>
          <w:lang w:val="en-US"/>
        </w:rPr>
        <w:t>.</w:t>
      </w:r>
      <w:r w:rsidR="00F83E8F" w:rsidRPr="00D869E3">
        <w:rPr>
          <w:rStyle w:val="Refdenotaalpie"/>
          <w:szCs w:val="20"/>
          <w:lang w:val="en-US"/>
        </w:rPr>
        <w:footnoteReference w:id="355"/>
      </w:r>
      <w:r w:rsidR="00F83E8F" w:rsidRPr="00D869E3">
        <w:rPr>
          <w:rFonts w:ascii="Verdana" w:hAnsi="Verdana"/>
          <w:sz w:val="20"/>
          <w:szCs w:val="20"/>
          <w:lang w:val="en-US"/>
        </w:rPr>
        <w:t xml:space="preserve"> </w:t>
      </w:r>
    </w:p>
    <w:p w14:paraId="50EFD8AA"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1C57C604" w14:textId="353394C9" w:rsidR="00F83E8F" w:rsidRPr="00D869E3" w:rsidRDefault="00287FFD" w:rsidP="00287FFD">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On this point, I consider that the fact that </w:t>
      </w:r>
      <w:r w:rsidR="00671B14"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ruled on the justiciability of rights that were not established in Article 19(6)</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Pr="00D869E3">
        <w:rPr>
          <w:rFonts w:ascii="Verdana" w:hAnsi="Verdana"/>
          <w:sz w:val="20"/>
          <w:szCs w:val="20"/>
          <w:lang w:val="en-US"/>
        </w:rPr>
        <w:t>by means of</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is especially relevant. First, because, as explained, not all social rights</w:t>
      </w:r>
      <w:r w:rsidR="00570D5E" w:rsidRPr="00D869E3">
        <w:rPr>
          <w:rFonts w:ascii="Verdana" w:hAnsi="Verdana"/>
          <w:sz w:val="20"/>
          <w:szCs w:val="20"/>
          <w:lang w:val="en-US"/>
        </w:rPr>
        <w:t>, or all their aspects,</w:t>
      </w:r>
      <w:r w:rsidRPr="00D869E3">
        <w:rPr>
          <w:rFonts w:ascii="Verdana" w:hAnsi="Verdana"/>
          <w:sz w:val="20"/>
          <w:szCs w:val="20"/>
          <w:lang w:val="en-US"/>
        </w:rPr>
        <w:t xml:space="preserve"> were contemplated in </w:t>
      </w:r>
      <w:r w:rsidR="00B235CB" w:rsidRPr="00D869E3">
        <w:rPr>
          <w:rFonts w:ascii="Verdana" w:hAnsi="Verdana"/>
          <w:sz w:val="20"/>
          <w:szCs w:val="20"/>
          <w:lang w:val="en-US"/>
        </w:rPr>
        <w:t>the Protocol of San</w:t>
      </w:r>
      <w:r w:rsidR="00F83E8F" w:rsidRPr="00D869E3">
        <w:rPr>
          <w:rFonts w:ascii="Verdana" w:hAnsi="Verdana"/>
          <w:sz w:val="20"/>
          <w:szCs w:val="20"/>
          <w:lang w:val="en-US"/>
        </w:rPr>
        <w:t xml:space="preserve"> Salvador </w:t>
      </w:r>
      <w:r w:rsidRPr="00D869E3">
        <w:rPr>
          <w:rFonts w:ascii="Verdana" w:hAnsi="Verdana"/>
          <w:sz w:val="20"/>
          <w:szCs w:val="20"/>
          <w:lang w:val="en-US"/>
        </w:rPr>
        <w:t>when it was drafted. Second, because it avoids making distinctions of degrees regarding who</w:t>
      </w:r>
      <w:r w:rsidR="00570D5E" w:rsidRPr="00D869E3">
        <w:rPr>
          <w:rFonts w:ascii="Verdana" w:hAnsi="Verdana"/>
          <w:sz w:val="20"/>
          <w:szCs w:val="20"/>
          <w:lang w:val="en-US"/>
        </w:rPr>
        <w:t xml:space="preserve"> or what</w:t>
      </w:r>
      <w:r w:rsidRPr="00D869E3">
        <w:rPr>
          <w:rFonts w:ascii="Verdana" w:hAnsi="Verdana"/>
          <w:sz w:val="20"/>
          <w:szCs w:val="20"/>
          <w:lang w:val="en-US"/>
        </w:rPr>
        <w:t xml:space="preserve"> may or may not be protected under this right, owing to the restriction made in </w:t>
      </w:r>
      <w:r w:rsidR="00687684" w:rsidRPr="00D869E3">
        <w:rPr>
          <w:rFonts w:ascii="Verdana" w:hAnsi="Verdana"/>
          <w:sz w:val="20"/>
          <w:szCs w:val="20"/>
          <w:lang w:val="en-US"/>
        </w:rPr>
        <w:t>Article</w:t>
      </w:r>
      <w:r w:rsidR="00F83E8F" w:rsidRPr="00D869E3">
        <w:rPr>
          <w:rFonts w:ascii="Verdana" w:hAnsi="Verdana"/>
          <w:sz w:val="20"/>
          <w:szCs w:val="20"/>
          <w:lang w:val="en-US"/>
        </w:rPr>
        <w:t xml:space="preserve"> 19</w:t>
      </w:r>
      <w:r w:rsidRPr="00D869E3">
        <w:rPr>
          <w:rFonts w:ascii="Verdana" w:hAnsi="Verdana"/>
          <w:sz w:val="20"/>
          <w:szCs w:val="20"/>
          <w:lang w:val="en-US"/>
        </w:rPr>
        <w:t>(</w:t>
      </w:r>
      <w:r w:rsidR="00F83E8F" w:rsidRPr="00D869E3">
        <w:rPr>
          <w:rFonts w:ascii="Verdana" w:hAnsi="Verdana"/>
          <w:sz w:val="20"/>
          <w:szCs w:val="20"/>
          <w:lang w:val="en-US"/>
        </w:rPr>
        <w:t>6</w:t>
      </w:r>
      <w:r w:rsidRPr="00D869E3">
        <w:rPr>
          <w:rFonts w:ascii="Verdana" w:hAnsi="Verdana"/>
          <w:sz w:val="20"/>
          <w:szCs w:val="20"/>
          <w:lang w:val="en-US"/>
        </w:rPr>
        <w:t>)</w:t>
      </w:r>
      <w:r w:rsidR="00F83E8F" w:rsidRPr="00D869E3">
        <w:rPr>
          <w:rFonts w:ascii="Verdana" w:hAnsi="Verdana"/>
          <w:sz w:val="20"/>
          <w:szCs w:val="20"/>
          <w:lang w:val="en-US"/>
        </w:rPr>
        <w:t xml:space="preserve"> </w:t>
      </w:r>
      <w:r w:rsidR="00916899" w:rsidRPr="00D869E3">
        <w:rPr>
          <w:rFonts w:ascii="Verdana" w:hAnsi="Verdana"/>
          <w:sz w:val="20"/>
          <w:szCs w:val="20"/>
          <w:lang w:val="en-US"/>
        </w:rPr>
        <w:t>of the Protocol of</w:t>
      </w:r>
      <w:r w:rsidR="00F83E8F" w:rsidRPr="00D869E3">
        <w:rPr>
          <w:rFonts w:ascii="Verdana" w:hAnsi="Verdana"/>
          <w:sz w:val="20"/>
          <w:szCs w:val="20"/>
          <w:lang w:val="en-US"/>
        </w:rPr>
        <w:t xml:space="preserve"> San Salvador (</w:t>
      </w:r>
      <w:r w:rsidRPr="00D869E3">
        <w:rPr>
          <w:rFonts w:ascii="Verdana" w:hAnsi="Verdana"/>
          <w:sz w:val="20"/>
          <w:szCs w:val="20"/>
          <w:lang w:val="en-US"/>
        </w:rPr>
        <w:t>in th</w:t>
      </w:r>
      <w:r w:rsidR="0002779D" w:rsidRPr="00D869E3">
        <w:rPr>
          <w:rFonts w:ascii="Verdana" w:hAnsi="Verdana"/>
          <w:sz w:val="20"/>
          <w:szCs w:val="20"/>
          <w:lang w:val="en-US"/>
        </w:rPr>
        <w:t>at</w:t>
      </w:r>
      <w:r w:rsidRPr="00D869E3">
        <w:rPr>
          <w:rFonts w:ascii="Verdana" w:hAnsi="Verdana"/>
          <w:sz w:val="20"/>
          <w:szCs w:val="20"/>
          <w:lang w:val="en-US"/>
        </w:rPr>
        <w:t xml:space="preserve"> case, </w:t>
      </w:r>
      <w:r w:rsidR="0002779D" w:rsidRPr="00D869E3">
        <w:rPr>
          <w:rFonts w:ascii="Verdana" w:hAnsi="Verdana"/>
          <w:sz w:val="20"/>
          <w:szCs w:val="20"/>
          <w:lang w:val="en-US"/>
        </w:rPr>
        <w:t>only labor or trade unions and their representatives</w:t>
      </w:r>
      <w:r w:rsidR="00F83E8F" w:rsidRPr="00D869E3">
        <w:rPr>
          <w:rFonts w:ascii="Verdana" w:hAnsi="Verdana"/>
          <w:sz w:val="20"/>
          <w:szCs w:val="20"/>
          <w:lang w:val="en-US"/>
        </w:rPr>
        <w:t>).</w:t>
      </w:r>
    </w:p>
    <w:p w14:paraId="6E5457EC" w14:textId="77777777" w:rsidR="00F83E8F" w:rsidRPr="00D869E3" w:rsidRDefault="00F83E8F" w:rsidP="00F83E8F">
      <w:pPr>
        <w:widowControl w:val="0"/>
        <w:autoSpaceDE w:val="0"/>
        <w:autoSpaceDN w:val="0"/>
        <w:adjustRightInd w:val="0"/>
        <w:ind w:right="49"/>
        <w:jc w:val="both"/>
        <w:rPr>
          <w:rFonts w:ascii="Verdana" w:hAnsi="Verdana"/>
          <w:sz w:val="20"/>
          <w:szCs w:val="20"/>
          <w:lang w:val="en-US"/>
        </w:rPr>
      </w:pPr>
    </w:p>
    <w:p w14:paraId="34BDFC16" w14:textId="31B0BCC0" w:rsidR="00F83E8F" w:rsidRPr="00D869E3" w:rsidRDefault="0002779D" w:rsidP="00E70701">
      <w:pPr>
        <w:pStyle w:val="Prrafodelista"/>
        <w:widowControl w:val="0"/>
        <w:numPr>
          <w:ilvl w:val="0"/>
          <w:numId w:val="28"/>
        </w:numPr>
        <w:autoSpaceDE w:val="0"/>
        <w:autoSpaceDN w:val="0"/>
        <w:adjustRightInd w:val="0"/>
        <w:ind w:left="0" w:right="49" w:firstLine="0"/>
        <w:jc w:val="both"/>
        <w:rPr>
          <w:rFonts w:ascii="Verdana" w:hAnsi="Verdana"/>
          <w:sz w:val="20"/>
          <w:szCs w:val="20"/>
          <w:lang w:val="en-US"/>
        </w:rPr>
      </w:pPr>
      <w:r w:rsidRPr="00D869E3">
        <w:rPr>
          <w:rFonts w:ascii="Verdana" w:hAnsi="Verdana"/>
          <w:sz w:val="20"/>
          <w:szCs w:val="20"/>
          <w:lang w:val="en-US"/>
        </w:rPr>
        <w:t xml:space="preserve">Notwithstanding the foregoing, to provide greater clarity to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of the right to freedom of association, </w:t>
      </w:r>
      <w:r w:rsidR="00570D5E" w:rsidRPr="00D869E3">
        <w:rPr>
          <w:rFonts w:ascii="Verdana" w:hAnsi="Verdana"/>
          <w:sz w:val="20"/>
          <w:szCs w:val="20"/>
          <w:lang w:val="en-US"/>
        </w:rPr>
        <w:t xml:space="preserve">I consider that the Inter-American Court could have used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29</w:t>
      </w:r>
      <w:r w:rsidRPr="00D869E3">
        <w:rPr>
          <w:rFonts w:ascii="Verdana" w:hAnsi="Verdana"/>
          <w:sz w:val="20"/>
          <w:szCs w:val="20"/>
          <w:lang w:val="en-US"/>
        </w:rPr>
        <w:t>(</w:t>
      </w:r>
      <w:r w:rsidR="00F83E8F" w:rsidRPr="00D869E3">
        <w:rPr>
          <w:rFonts w:ascii="Verdana" w:hAnsi="Verdana"/>
          <w:sz w:val="20"/>
          <w:szCs w:val="20"/>
          <w:lang w:val="en-US"/>
        </w:rPr>
        <w:t>b)</w:t>
      </w:r>
      <w:r w:rsidR="00687684" w:rsidRPr="00D869E3">
        <w:rPr>
          <w:rFonts w:ascii="Verdana" w:hAnsi="Verdana"/>
          <w:sz w:val="20"/>
          <w:szCs w:val="20"/>
          <w:lang w:val="en-US"/>
        </w:rPr>
        <w:t xml:space="preserve"> and </w:t>
      </w:r>
      <w:r w:rsidRPr="00D869E3">
        <w:rPr>
          <w:rFonts w:ascii="Verdana" w:hAnsi="Verdana"/>
          <w:sz w:val="20"/>
          <w:szCs w:val="20"/>
          <w:lang w:val="en-US"/>
        </w:rPr>
        <w:t>(</w:t>
      </w:r>
      <w:r w:rsidR="00F83E8F" w:rsidRPr="00D869E3">
        <w:rPr>
          <w:rFonts w:ascii="Verdana" w:hAnsi="Verdana"/>
          <w:sz w:val="20"/>
          <w:szCs w:val="20"/>
          <w:lang w:val="en-US"/>
        </w:rPr>
        <w:t>d)</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w:t>
      </w:r>
      <w:r w:rsidRPr="00D869E3">
        <w:rPr>
          <w:rFonts w:ascii="Verdana" w:hAnsi="Verdana"/>
          <w:sz w:val="20"/>
          <w:szCs w:val="20"/>
          <w:lang w:val="en-US"/>
        </w:rPr>
        <w:t xml:space="preserve"> as norms of interpretation</w:t>
      </w:r>
      <w:r w:rsidR="00F83E8F" w:rsidRPr="00D869E3">
        <w:rPr>
          <w:rFonts w:ascii="Verdana" w:hAnsi="Verdana"/>
          <w:sz w:val="20"/>
          <w:szCs w:val="20"/>
          <w:lang w:val="en-US"/>
        </w:rPr>
        <w:t xml:space="preserve"> </w:t>
      </w:r>
      <w:r w:rsidR="00BB61A6" w:rsidRPr="00D869E3">
        <w:rPr>
          <w:rFonts w:ascii="Verdana" w:hAnsi="Verdana"/>
          <w:sz w:val="20"/>
          <w:szCs w:val="20"/>
          <w:lang w:val="en-US"/>
        </w:rPr>
        <w:t>in relation to</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00274DC1" w:rsidRPr="00D869E3">
        <w:rPr>
          <w:rFonts w:ascii="Verdana" w:hAnsi="Verdana"/>
          <w:sz w:val="20"/>
          <w:szCs w:val="20"/>
          <w:lang w:val="en-US"/>
        </w:rPr>
        <w:t>(</w:t>
      </w:r>
      <w:r w:rsidR="00F83E8F" w:rsidRPr="00D869E3">
        <w:rPr>
          <w:rFonts w:ascii="Verdana" w:hAnsi="Verdana"/>
          <w:sz w:val="20"/>
          <w:szCs w:val="20"/>
          <w:lang w:val="en-US"/>
        </w:rPr>
        <w:t xml:space="preserve">c) </w:t>
      </w:r>
      <w:r w:rsidR="00197983" w:rsidRPr="00D869E3">
        <w:rPr>
          <w:rFonts w:ascii="Verdana" w:hAnsi="Verdana"/>
          <w:sz w:val="20"/>
          <w:szCs w:val="20"/>
          <w:lang w:val="en-US"/>
        </w:rPr>
        <w:t>of the OAS Charter</w:t>
      </w:r>
      <w:r w:rsidR="00F83E8F" w:rsidRPr="00D869E3">
        <w:rPr>
          <w:rFonts w:ascii="Verdana" w:hAnsi="Verdana"/>
          <w:sz w:val="20"/>
          <w:szCs w:val="20"/>
          <w:lang w:val="en-US"/>
        </w:rPr>
        <w:t>;</w:t>
      </w:r>
      <w:r w:rsidR="00687684" w:rsidRPr="00D869E3">
        <w:rPr>
          <w:rFonts w:ascii="Verdana" w:hAnsi="Verdana"/>
          <w:sz w:val="20"/>
          <w:szCs w:val="20"/>
          <w:lang w:val="en-US"/>
        </w:rPr>
        <w:t xml:space="preserve"> and </w:t>
      </w:r>
      <w:r w:rsidR="00F83E8F" w:rsidRPr="00D869E3">
        <w:rPr>
          <w:rFonts w:ascii="Verdana" w:hAnsi="Verdana"/>
          <w:sz w:val="20"/>
          <w:szCs w:val="20"/>
          <w:lang w:val="en-US"/>
        </w:rPr>
        <w:t>no</w:t>
      </w:r>
      <w:r w:rsidRPr="00D869E3">
        <w:rPr>
          <w:rFonts w:ascii="Verdana" w:hAnsi="Verdana"/>
          <w:sz w:val="20"/>
          <w:szCs w:val="20"/>
          <w:lang w:val="en-US"/>
        </w:rPr>
        <w:t xml:space="preserve">t only referred to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 xml:space="preserve">. </w:t>
      </w:r>
      <w:r w:rsidRPr="00D869E3">
        <w:rPr>
          <w:rFonts w:ascii="Verdana" w:hAnsi="Verdana"/>
          <w:sz w:val="20"/>
          <w:szCs w:val="20"/>
          <w:lang w:val="en-US"/>
        </w:rPr>
        <w:t xml:space="preserve">This is because there is a risk that the content of the right to freedom of association for the promotion and defense of the interests of workers </w:t>
      </w:r>
      <w:r w:rsidR="00F83E8F" w:rsidRPr="00D869E3">
        <w:rPr>
          <w:rFonts w:ascii="Verdana" w:hAnsi="Verdana"/>
          <w:sz w:val="20"/>
          <w:szCs w:val="20"/>
          <w:lang w:val="en-US"/>
        </w:rPr>
        <w:t>(</w:t>
      </w:r>
      <w:r w:rsidR="00F83E8F" w:rsidRPr="00D869E3">
        <w:rPr>
          <w:rFonts w:ascii="Verdana" w:hAnsi="Verdana"/>
          <w:i/>
          <w:sz w:val="20"/>
          <w:szCs w:val="20"/>
          <w:lang w:val="en-US"/>
        </w:rPr>
        <w:t>stricto sensu</w:t>
      </w:r>
      <w:r w:rsidR="00F83E8F" w:rsidRPr="00D869E3">
        <w:rPr>
          <w:rFonts w:ascii="Verdana" w:hAnsi="Verdana"/>
          <w:sz w:val="20"/>
          <w:szCs w:val="20"/>
          <w:lang w:val="en-US"/>
        </w:rPr>
        <w:t xml:space="preserve">) </w:t>
      </w:r>
      <w:r w:rsidRPr="00D869E3">
        <w:rPr>
          <w:rFonts w:ascii="Verdana" w:hAnsi="Verdana"/>
          <w:sz w:val="20"/>
          <w:szCs w:val="20"/>
          <w:lang w:val="en-US"/>
        </w:rPr>
        <w:t>is dilute</w:t>
      </w:r>
      <w:r w:rsidR="00570D5E" w:rsidRPr="00D869E3">
        <w:rPr>
          <w:rFonts w:ascii="Verdana" w:hAnsi="Verdana"/>
          <w:sz w:val="20"/>
          <w:szCs w:val="20"/>
          <w:lang w:val="en-US"/>
        </w:rPr>
        <w:t>d</w:t>
      </w:r>
      <w:r w:rsidRPr="00D869E3">
        <w:rPr>
          <w:rFonts w:ascii="Verdana" w:hAnsi="Verdana"/>
          <w:sz w:val="20"/>
          <w:szCs w:val="20"/>
          <w:lang w:val="en-US"/>
        </w:rPr>
        <w:t xml:space="preserve"> in the content of the right to associate</w:t>
      </w:r>
      <w:r w:rsidR="00F83E8F" w:rsidRPr="00D869E3">
        <w:rPr>
          <w:rFonts w:ascii="Verdana" w:hAnsi="Verdana"/>
          <w:sz w:val="20"/>
          <w:szCs w:val="20"/>
          <w:lang w:val="en-US"/>
        </w:rPr>
        <w:t xml:space="preserve"> (</w:t>
      </w:r>
      <w:r w:rsidR="00F83E8F" w:rsidRPr="00D869E3">
        <w:rPr>
          <w:rFonts w:ascii="Verdana" w:hAnsi="Verdana"/>
          <w:i/>
          <w:sz w:val="20"/>
          <w:szCs w:val="20"/>
          <w:lang w:val="en-US"/>
        </w:rPr>
        <w:t>lato sensu</w:t>
      </w:r>
      <w:r w:rsidRPr="00D869E3">
        <w:rPr>
          <w:rFonts w:ascii="Verdana" w:hAnsi="Verdana"/>
          <w:i/>
          <w:sz w:val="20"/>
          <w:szCs w:val="20"/>
          <w:lang w:val="en-US"/>
        </w:rPr>
        <w:t>).</w:t>
      </w:r>
      <w:r w:rsidR="00F83E8F" w:rsidRPr="00D869E3">
        <w:rPr>
          <w:rStyle w:val="Refdenotaalpie"/>
          <w:szCs w:val="20"/>
          <w:lang w:val="en-US"/>
        </w:rPr>
        <w:footnoteReference w:id="356"/>
      </w:r>
      <w:r w:rsidR="00F83E8F" w:rsidRPr="00D869E3">
        <w:rPr>
          <w:rFonts w:ascii="Verdana" w:hAnsi="Verdana"/>
          <w:i/>
          <w:sz w:val="20"/>
          <w:szCs w:val="20"/>
          <w:lang w:val="en-US"/>
        </w:rPr>
        <w:t xml:space="preserve"> </w:t>
      </w:r>
    </w:p>
    <w:p w14:paraId="777C9B80" w14:textId="77777777" w:rsidR="00F83E8F" w:rsidRPr="00D869E3" w:rsidRDefault="00F83E8F" w:rsidP="00F83E8F">
      <w:pPr>
        <w:pStyle w:val="Prrafodelista"/>
        <w:widowControl w:val="0"/>
        <w:autoSpaceDE w:val="0"/>
        <w:autoSpaceDN w:val="0"/>
        <w:adjustRightInd w:val="0"/>
        <w:ind w:left="0" w:right="49"/>
        <w:jc w:val="both"/>
        <w:rPr>
          <w:rFonts w:ascii="Verdana" w:hAnsi="Verdana"/>
          <w:sz w:val="20"/>
          <w:szCs w:val="20"/>
          <w:lang w:val="en-US"/>
        </w:rPr>
      </w:pPr>
    </w:p>
    <w:p w14:paraId="02667098" w14:textId="7A996EA6" w:rsidR="00F83E8F" w:rsidRPr="00D869E3" w:rsidRDefault="00F83E8F" w:rsidP="00F83E8F">
      <w:pPr>
        <w:jc w:val="center"/>
        <w:rPr>
          <w:rFonts w:ascii="Verdana" w:hAnsi="Verdana"/>
          <w:sz w:val="20"/>
          <w:szCs w:val="20"/>
          <w:lang w:val="en-US"/>
        </w:rPr>
      </w:pPr>
      <w:r w:rsidRPr="00D869E3">
        <w:rPr>
          <w:rFonts w:ascii="Verdana" w:hAnsi="Verdana"/>
          <w:sz w:val="20"/>
          <w:szCs w:val="20"/>
          <w:lang w:val="en-US"/>
        </w:rPr>
        <w:t xml:space="preserve">IV.  CONCLUSIONS </w:t>
      </w:r>
    </w:p>
    <w:p w14:paraId="2EFA2AB2" w14:textId="77777777" w:rsidR="00F83E8F" w:rsidRPr="00D869E3" w:rsidRDefault="00F83E8F" w:rsidP="00F83E8F">
      <w:pPr>
        <w:rPr>
          <w:rFonts w:ascii="Verdana" w:hAnsi="Verdana"/>
          <w:sz w:val="20"/>
          <w:szCs w:val="20"/>
          <w:lang w:val="en-US"/>
        </w:rPr>
      </w:pPr>
    </w:p>
    <w:p w14:paraId="4E44C056" w14:textId="40EE6D54" w:rsidR="00F83E8F" w:rsidRPr="00D869E3" w:rsidRDefault="0002779D" w:rsidP="00E70701">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The</w:t>
      </w:r>
      <w:r w:rsidR="00671B14" w:rsidRPr="00D869E3">
        <w:rPr>
          <w:rFonts w:ascii="Verdana" w:hAnsi="Verdana"/>
          <w:sz w:val="20"/>
          <w:szCs w:val="20"/>
          <w:lang w:val="en-US"/>
        </w:rPr>
        <w:t xml:space="preserv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has ruled</w:t>
      </w:r>
      <w:r w:rsidR="00570D5E" w:rsidRPr="00D869E3">
        <w:rPr>
          <w:rFonts w:ascii="Verdana" w:hAnsi="Verdana"/>
          <w:sz w:val="20"/>
          <w:szCs w:val="20"/>
          <w:lang w:val="en-US"/>
        </w:rPr>
        <w:t xml:space="preserve"> </w:t>
      </w:r>
      <w:r w:rsidRPr="00D869E3">
        <w:rPr>
          <w:rFonts w:ascii="Verdana" w:hAnsi="Verdana"/>
          <w:sz w:val="20"/>
          <w:szCs w:val="20"/>
          <w:lang w:val="en-US"/>
        </w:rPr>
        <w:t xml:space="preserve">on the content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Pr="00D869E3">
        <w:rPr>
          <w:rFonts w:ascii="Verdana" w:hAnsi="Verdana"/>
          <w:sz w:val="20"/>
          <w:szCs w:val="20"/>
          <w:lang w:val="en-US"/>
        </w:rPr>
        <w:t xml:space="preserve"> in very few cases</w:t>
      </w:r>
      <w:r w:rsidR="00F83E8F" w:rsidRPr="00D869E3">
        <w:rPr>
          <w:rFonts w:ascii="Verdana" w:hAnsi="Verdana"/>
          <w:sz w:val="20"/>
          <w:szCs w:val="20"/>
          <w:lang w:val="en-US"/>
        </w:rPr>
        <w:t xml:space="preserve">. </w:t>
      </w:r>
      <w:r w:rsidR="00570D5E" w:rsidRPr="00D869E3">
        <w:rPr>
          <w:rFonts w:ascii="Verdana" w:hAnsi="Verdana"/>
          <w:sz w:val="20"/>
          <w:szCs w:val="20"/>
          <w:lang w:val="en-US"/>
        </w:rPr>
        <w:t>T</w:t>
      </w:r>
      <w:r w:rsidRPr="00D869E3">
        <w:rPr>
          <w:rFonts w:ascii="Verdana" w:hAnsi="Verdana"/>
          <w:sz w:val="20"/>
          <w:szCs w:val="20"/>
          <w:lang w:val="en-US"/>
        </w:rPr>
        <w:t>he Inter-American Commission ha</w:t>
      </w:r>
      <w:r w:rsidR="00570D5E" w:rsidRPr="00D869E3">
        <w:rPr>
          <w:rFonts w:ascii="Verdana" w:hAnsi="Verdana"/>
          <w:sz w:val="20"/>
          <w:szCs w:val="20"/>
          <w:lang w:val="en-US"/>
        </w:rPr>
        <w:t>s</w:t>
      </w:r>
      <w:r w:rsidRPr="00D869E3">
        <w:rPr>
          <w:rFonts w:ascii="Verdana" w:hAnsi="Verdana"/>
          <w:sz w:val="20"/>
          <w:szCs w:val="20"/>
          <w:lang w:val="en-US"/>
        </w:rPr>
        <w:t xml:space="preserve"> directly alleged that it had been violated</w:t>
      </w:r>
      <w:r w:rsidR="00570D5E" w:rsidRPr="00D869E3">
        <w:rPr>
          <w:rFonts w:ascii="Verdana" w:hAnsi="Verdana"/>
          <w:sz w:val="20"/>
          <w:szCs w:val="20"/>
          <w:lang w:val="en-US"/>
        </w:rPr>
        <w:t xml:space="preserve"> on only two occasions</w:t>
      </w:r>
      <w:r w:rsidRPr="00D869E3">
        <w:rPr>
          <w:rFonts w:ascii="Verdana" w:hAnsi="Verdana"/>
          <w:sz w:val="20"/>
          <w:szCs w:val="20"/>
          <w:lang w:val="en-US"/>
        </w:rPr>
        <w:t>,</w:t>
      </w:r>
      <w:r w:rsidR="00F83E8F" w:rsidRPr="00D869E3">
        <w:rPr>
          <w:rStyle w:val="Refdenotaalpie"/>
          <w:szCs w:val="20"/>
          <w:lang w:val="en-US"/>
        </w:rPr>
        <w:footnoteReference w:id="357"/>
      </w:r>
      <w:r w:rsidR="00687684" w:rsidRPr="00D869E3">
        <w:rPr>
          <w:rFonts w:ascii="Verdana" w:hAnsi="Verdana"/>
          <w:sz w:val="20"/>
          <w:szCs w:val="20"/>
          <w:lang w:val="en-US"/>
        </w:rPr>
        <w:t xml:space="preserve"> and</w:t>
      </w:r>
      <w:r w:rsidRPr="00D869E3">
        <w:rPr>
          <w:rFonts w:ascii="Verdana" w:hAnsi="Verdana"/>
          <w:sz w:val="20"/>
          <w:szCs w:val="20"/>
          <w:lang w:val="en-US"/>
        </w:rPr>
        <w:t xml:space="preserve"> </w:t>
      </w:r>
      <w:r w:rsidR="00687684" w:rsidRPr="00D869E3">
        <w:rPr>
          <w:rFonts w:ascii="Verdana" w:hAnsi="Verdana"/>
          <w:sz w:val="20"/>
          <w:szCs w:val="20"/>
          <w:lang w:val="en-US"/>
        </w:rPr>
        <w:t>the representatives</w:t>
      </w:r>
      <w:r w:rsidRPr="00D869E3">
        <w:rPr>
          <w:rFonts w:ascii="Verdana" w:hAnsi="Verdana"/>
          <w:sz w:val="20"/>
          <w:szCs w:val="20"/>
          <w:lang w:val="en-US"/>
        </w:rPr>
        <w:t xml:space="preserve"> of the victims only six times.</w:t>
      </w:r>
      <w:r w:rsidR="00F83E8F" w:rsidRPr="00D869E3">
        <w:rPr>
          <w:rStyle w:val="Refdenotaalpie"/>
          <w:szCs w:val="20"/>
          <w:lang w:val="en-US"/>
        </w:rPr>
        <w:footnoteReference w:id="358"/>
      </w:r>
      <w:r w:rsidR="00F83E8F" w:rsidRPr="00D869E3">
        <w:rPr>
          <w:rFonts w:ascii="Verdana" w:hAnsi="Verdana"/>
          <w:sz w:val="20"/>
          <w:szCs w:val="20"/>
          <w:lang w:val="en-US"/>
        </w:rPr>
        <w:t xml:space="preserve"> </w:t>
      </w:r>
      <w:r w:rsidRPr="00D869E3">
        <w:rPr>
          <w:rFonts w:ascii="Verdana" w:hAnsi="Verdana"/>
          <w:sz w:val="20"/>
          <w:szCs w:val="20"/>
          <w:lang w:val="en-US"/>
        </w:rPr>
        <w:lastRenderedPageBreak/>
        <w:t xml:space="preserve">Thus, the great significance of this judgment stems from the fact that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for the first time in its almost 40 years of existence, declares </w:t>
      </w:r>
      <w:r w:rsidR="007013E2" w:rsidRPr="00D869E3">
        <w:rPr>
          <w:rFonts w:ascii="Verdana" w:hAnsi="Verdana"/>
          <w:sz w:val="20"/>
          <w:szCs w:val="20"/>
          <w:lang w:val="en-US"/>
        </w:rPr>
        <w:t>the violation</w:t>
      </w:r>
      <w:r w:rsidR="00F83E8F" w:rsidRPr="00D869E3">
        <w:rPr>
          <w:rFonts w:ascii="Verdana" w:hAnsi="Verdana"/>
          <w:sz w:val="20"/>
          <w:szCs w:val="20"/>
          <w:lang w:val="en-US"/>
        </w:rPr>
        <w:t xml:space="preserve"> </w:t>
      </w:r>
      <w:r w:rsidR="00687684" w:rsidRPr="00D869E3">
        <w:rPr>
          <w:rFonts w:ascii="Verdana" w:hAnsi="Verdana"/>
          <w:sz w:val="20"/>
          <w:szCs w:val="20"/>
          <w:lang w:val="en-US"/>
        </w:rPr>
        <w:t>of Article</w:t>
      </w:r>
      <w:r w:rsidR="00F83E8F" w:rsidRPr="00D869E3">
        <w:rPr>
          <w:rFonts w:ascii="Verdana" w:hAnsi="Verdana"/>
          <w:sz w:val="20"/>
          <w:szCs w:val="20"/>
          <w:lang w:val="en-US"/>
        </w:rPr>
        <w:t xml:space="preserve"> 26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w:t>
      </w:r>
    </w:p>
    <w:p w14:paraId="3E9393A3" w14:textId="77777777" w:rsidR="00F83E8F" w:rsidRPr="00D869E3" w:rsidRDefault="00F83E8F" w:rsidP="00F83E8F">
      <w:pPr>
        <w:pStyle w:val="Prrafodelista"/>
        <w:ind w:left="0"/>
        <w:jc w:val="both"/>
        <w:rPr>
          <w:rFonts w:ascii="Verdana" w:hAnsi="Verdana"/>
          <w:sz w:val="20"/>
          <w:szCs w:val="20"/>
          <w:lang w:val="en-US"/>
        </w:rPr>
      </w:pPr>
      <w:r w:rsidRPr="00D869E3">
        <w:rPr>
          <w:rFonts w:ascii="Verdana" w:hAnsi="Verdana"/>
          <w:sz w:val="20"/>
          <w:szCs w:val="20"/>
          <w:lang w:val="en-US"/>
        </w:rPr>
        <w:t xml:space="preserve"> </w:t>
      </w:r>
    </w:p>
    <w:p w14:paraId="3E939960" w14:textId="43296804" w:rsidR="00F83E8F" w:rsidRPr="00D869E3" w:rsidRDefault="0002779D" w:rsidP="00E70701">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 xml:space="preserve">At this historic moment of </w:t>
      </w:r>
      <w:r w:rsidR="00671B14" w:rsidRPr="00D869E3">
        <w:rPr>
          <w:rFonts w:ascii="Verdana" w:hAnsi="Verdana"/>
          <w:sz w:val="20"/>
          <w:szCs w:val="20"/>
          <w:lang w:val="en-US"/>
        </w:rPr>
        <w:t>the Inter-American Court</w:t>
      </w:r>
      <w:r w:rsidRPr="00D869E3">
        <w:rPr>
          <w:rFonts w:ascii="Verdana" w:hAnsi="Verdana"/>
          <w:sz w:val="20"/>
          <w:szCs w:val="20"/>
          <w:lang w:val="en-US"/>
        </w:rPr>
        <w:t>’s case law</w:t>
      </w:r>
      <w:r w:rsidR="00F83E8F" w:rsidRPr="00D869E3">
        <w:rPr>
          <w:rFonts w:ascii="Verdana" w:hAnsi="Verdana"/>
          <w:sz w:val="20"/>
          <w:szCs w:val="20"/>
          <w:lang w:val="en-US"/>
        </w:rPr>
        <w:t>,</w:t>
      </w:r>
      <w:r w:rsidRPr="00D869E3">
        <w:rPr>
          <w:rFonts w:ascii="Verdana" w:hAnsi="Verdana"/>
          <w:sz w:val="20"/>
          <w:szCs w:val="20"/>
          <w:lang w:val="en-US"/>
        </w:rPr>
        <w:t xml:space="preserve"> it is essential that the parties </w:t>
      </w:r>
      <w:r w:rsidR="00687684" w:rsidRPr="00D869E3">
        <w:rPr>
          <w:rFonts w:ascii="Verdana" w:hAnsi="Verdana"/>
          <w:sz w:val="20"/>
          <w:szCs w:val="20"/>
          <w:lang w:val="en-US"/>
        </w:rPr>
        <w:t xml:space="preserve">and </w:t>
      </w:r>
      <w:r w:rsidR="00447C65" w:rsidRPr="00D869E3">
        <w:rPr>
          <w:rFonts w:ascii="Verdana" w:hAnsi="Verdana"/>
          <w:sz w:val="20"/>
          <w:szCs w:val="20"/>
          <w:lang w:val="en-US"/>
        </w:rPr>
        <w:t>the Inter-American Commission</w:t>
      </w:r>
      <w:r w:rsidR="00F83E8F" w:rsidRPr="00D869E3">
        <w:rPr>
          <w:rFonts w:ascii="Verdana" w:hAnsi="Verdana"/>
          <w:sz w:val="20"/>
          <w:szCs w:val="20"/>
          <w:lang w:val="en-US"/>
        </w:rPr>
        <w:t xml:space="preserve"> </w:t>
      </w:r>
      <w:r w:rsidRPr="00D869E3">
        <w:rPr>
          <w:rFonts w:ascii="Verdana" w:hAnsi="Verdana"/>
          <w:sz w:val="20"/>
          <w:szCs w:val="20"/>
          <w:lang w:val="en-US"/>
        </w:rPr>
        <w:t xml:space="preserve">make </w:t>
      </w:r>
      <w:r w:rsidR="00671B14" w:rsidRPr="00D869E3">
        <w:rPr>
          <w:rFonts w:ascii="Verdana" w:hAnsi="Verdana"/>
          <w:sz w:val="20"/>
          <w:szCs w:val="20"/>
          <w:lang w:val="en-US"/>
        </w:rPr>
        <w:t>the ESCER</w:t>
      </w:r>
      <w:r w:rsidRPr="00D869E3">
        <w:rPr>
          <w:rFonts w:ascii="Verdana" w:hAnsi="Verdana"/>
          <w:sz w:val="20"/>
          <w:szCs w:val="20"/>
          <w:lang w:val="en-US"/>
        </w:rPr>
        <w:t xml:space="preserve"> that </w:t>
      </w:r>
      <w:r w:rsidR="00F736F6" w:rsidRPr="00D869E3">
        <w:rPr>
          <w:rFonts w:ascii="Verdana" w:hAnsi="Verdana"/>
          <w:sz w:val="20"/>
          <w:szCs w:val="20"/>
          <w:lang w:val="en-US"/>
        </w:rPr>
        <w:t>can</w:t>
      </w:r>
      <w:r w:rsidRPr="00D869E3">
        <w:rPr>
          <w:rFonts w:ascii="Verdana" w:hAnsi="Verdana"/>
          <w:sz w:val="20"/>
          <w:szCs w:val="20"/>
          <w:lang w:val="en-US"/>
        </w:rPr>
        <w:t xml:space="preserve"> be protected</w:t>
      </w:r>
      <w:r w:rsidR="00F83E8F" w:rsidRPr="00D869E3">
        <w:rPr>
          <w:rFonts w:ascii="Verdana" w:hAnsi="Verdana"/>
          <w:sz w:val="20"/>
          <w:szCs w:val="20"/>
          <w:lang w:val="en-US"/>
        </w:rPr>
        <w:t xml:space="preserve"> </w:t>
      </w:r>
      <w:r w:rsidR="00966115" w:rsidRPr="00D869E3">
        <w:rPr>
          <w:rFonts w:ascii="Verdana" w:hAnsi="Verdana"/>
          <w:sz w:val="20"/>
          <w:szCs w:val="20"/>
          <w:lang w:val="en-US"/>
        </w:rPr>
        <w:t>b</w:t>
      </w:r>
      <w:r w:rsidRPr="00D869E3">
        <w:rPr>
          <w:rFonts w:ascii="Verdana" w:hAnsi="Verdana"/>
          <w:sz w:val="20"/>
          <w:szCs w:val="20"/>
          <w:lang w:val="en-US"/>
        </w:rPr>
        <w:t>y</w:t>
      </w:r>
      <w:r w:rsidR="00966115" w:rsidRPr="00D869E3">
        <w:rPr>
          <w:rFonts w:ascii="Verdana" w:hAnsi="Verdana"/>
          <w:sz w:val="20"/>
          <w:szCs w:val="20"/>
          <w:lang w:val="en-US"/>
        </w:rPr>
        <w:t xml:space="preserve"> the</w:t>
      </w:r>
      <w:r w:rsidR="00671B14" w:rsidRPr="00D869E3">
        <w:rPr>
          <w:rFonts w:ascii="Verdana" w:hAnsi="Verdana"/>
          <w:sz w:val="20"/>
          <w:szCs w:val="20"/>
          <w:lang w:val="en-US"/>
        </w:rPr>
        <w:t xml:space="preserve"> inter-American system</w:t>
      </w:r>
      <w:r w:rsidRPr="00D869E3">
        <w:rPr>
          <w:rFonts w:ascii="Verdana" w:hAnsi="Verdana"/>
          <w:sz w:val="20"/>
          <w:szCs w:val="20"/>
          <w:lang w:val="en-US"/>
        </w:rPr>
        <w:t xml:space="preserve"> more visible</w:t>
      </w:r>
      <w:r w:rsidR="00F83E8F" w:rsidRPr="00D869E3">
        <w:rPr>
          <w:rFonts w:ascii="Verdana" w:hAnsi="Verdana"/>
          <w:sz w:val="20"/>
          <w:szCs w:val="20"/>
          <w:lang w:val="en-US"/>
        </w:rPr>
        <w:t xml:space="preserve">, </w:t>
      </w:r>
      <w:r w:rsidRPr="00D869E3">
        <w:rPr>
          <w:rFonts w:ascii="Verdana" w:hAnsi="Verdana"/>
          <w:sz w:val="20"/>
          <w:szCs w:val="20"/>
          <w:lang w:val="en-US"/>
        </w:rPr>
        <w:t xml:space="preserve">by specific arguments concerning the violation </w:t>
      </w:r>
      <w:r w:rsidR="00EA232B" w:rsidRPr="00D869E3">
        <w:rPr>
          <w:rFonts w:ascii="Verdana" w:hAnsi="Verdana"/>
          <w:sz w:val="20"/>
          <w:szCs w:val="20"/>
          <w:lang w:val="en-US"/>
        </w:rPr>
        <w:t>of the</w:t>
      </w:r>
      <w:r w:rsidRPr="00D869E3">
        <w:rPr>
          <w:rFonts w:ascii="Verdana" w:hAnsi="Verdana"/>
          <w:sz w:val="20"/>
          <w:szCs w:val="20"/>
          <w:lang w:val="en-US"/>
        </w:rPr>
        <w:t xml:space="preserve"> inter-American</w:t>
      </w:r>
      <w:r w:rsidR="00EA232B" w:rsidRPr="00D869E3">
        <w:rPr>
          <w:rFonts w:ascii="Verdana" w:hAnsi="Verdana"/>
          <w:sz w:val="20"/>
          <w:szCs w:val="20"/>
          <w:lang w:val="en-US"/>
        </w:rPr>
        <w:t xml:space="preserve"> </w:t>
      </w:r>
      <w:r w:rsidR="00170AA6" w:rsidRPr="00D869E3">
        <w:rPr>
          <w:rFonts w:ascii="Verdana" w:hAnsi="Verdana"/>
          <w:sz w:val="20"/>
          <w:szCs w:val="20"/>
          <w:lang w:val="en-US"/>
        </w:rPr>
        <w:t>social rights</w:t>
      </w:r>
      <w:r w:rsidR="00F83E8F" w:rsidRPr="00D869E3">
        <w:rPr>
          <w:rFonts w:ascii="Verdana" w:hAnsi="Verdana"/>
          <w:sz w:val="20"/>
          <w:szCs w:val="20"/>
          <w:lang w:val="en-US"/>
        </w:rPr>
        <w:t xml:space="preserve"> </w:t>
      </w:r>
      <w:r w:rsidRPr="00D869E3">
        <w:rPr>
          <w:rFonts w:ascii="Verdana" w:hAnsi="Verdana"/>
          <w:sz w:val="20"/>
          <w:szCs w:val="20"/>
          <w:lang w:val="en-US"/>
        </w:rPr>
        <w:t>contained in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 </w:t>
      </w:r>
      <w:r w:rsidR="00671B14" w:rsidRPr="00D869E3">
        <w:rPr>
          <w:rFonts w:ascii="Verdana" w:hAnsi="Verdana"/>
          <w:sz w:val="20"/>
          <w:szCs w:val="20"/>
          <w:lang w:val="en-US"/>
        </w:rPr>
        <w:t>of the Pact of San José</w:t>
      </w:r>
      <w:r w:rsidR="00F83E8F" w:rsidRPr="00D869E3">
        <w:rPr>
          <w:rFonts w:ascii="Verdana" w:hAnsi="Verdana"/>
          <w:sz w:val="20"/>
          <w:szCs w:val="20"/>
          <w:lang w:val="en-US"/>
        </w:rPr>
        <w:t xml:space="preserve">. </w:t>
      </w:r>
      <w:r w:rsidR="00C45D6A" w:rsidRPr="00D869E3">
        <w:rPr>
          <w:rFonts w:ascii="Verdana" w:hAnsi="Verdana"/>
          <w:sz w:val="20"/>
          <w:szCs w:val="20"/>
          <w:lang w:val="en-US"/>
        </w:rPr>
        <w:t>Nowadays,</w:t>
      </w:r>
      <w:r w:rsidR="00F83E8F" w:rsidRPr="00D869E3">
        <w:rPr>
          <w:rFonts w:ascii="Verdana" w:hAnsi="Verdana"/>
          <w:sz w:val="20"/>
          <w:szCs w:val="20"/>
          <w:lang w:val="en-US"/>
        </w:rPr>
        <w:t xml:space="preserve"> </w:t>
      </w:r>
      <w:r w:rsidR="00170AA6" w:rsidRPr="00D869E3">
        <w:rPr>
          <w:rFonts w:ascii="Verdana" w:hAnsi="Verdana"/>
          <w:sz w:val="20"/>
          <w:szCs w:val="20"/>
          <w:lang w:val="en-US"/>
        </w:rPr>
        <w:t>the social rights</w:t>
      </w:r>
      <w:r w:rsidR="00F83E8F" w:rsidRPr="00D869E3">
        <w:rPr>
          <w:rFonts w:ascii="Verdana" w:hAnsi="Verdana"/>
          <w:sz w:val="20"/>
          <w:szCs w:val="20"/>
          <w:lang w:val="en-US"/>
        </w:rPr>
        <w:t xml:space="preserve"> </w:t>
      </w:r>
      <w:r w:rsidR="00C45D6A" w:rsidRPr="00D869E3">
        <w:rPr>
          <w:rFonts w:ascii="Verdana" w:hAnsi="Verdana"/>
          <w:sz w:val="20"/>
          <w:szCs w:val="20"/>
          <w:lang w:val="en-US"/>
        </w:rPr>
        <w:t>are no longer “good intention” rights established in international instrument, but are enforceable before the competent instances.</w:t>
      </w:r>
      <w:r w:rsidR="00F83E8F" w:rsidRPr="00D869E3">
        <w:rPr>
          <w:rStyle w:val="Refdenotaalpie"/>
          <w:szCs w:val="20"/>
          <w:lang w:val="en-US"/>
        </w:rPr>
        <w:footnoteReference w:id="359"/>
      </w:r>
      <w:r w:rsidR="00C45D6A" w:rsidRPr="00D869E3">
        <w:rPr>
          <w:rFonts w:ascii="Verdana" w:hAnsi="Verdana"/>
          <w:sz w:val="20"/>
          <w:szCs w:val="20"/>
          <w:lang w:val="en-US"/>
        </w:rPr>
        <w:t xml:space="preserve"> This charts a new course for </w:t>
      </w:r>
      <w:r w:rsidR="00671B14" w:rsidRPr="00D869E3">
        <w:rPr>
          <w:rFonts w:ascii="Verdana" w:hAnsi="Verdana"/>
          <w:sz w:val="20"/>
          <w:szCs w:val="20"/>
          <w:lang w:val="en-US"/>
        </w:rPr>
        <w:t>the inter-American system</w:t>
      </w:r>
      <w:r w:rsidR="00C876C4" w:rsidRPr="00D869E3">
        <w:rPr>
          <w:rFonts w:ascii="Verdana" w:hAnsi="Verdana"/>
          <w:sz w:val="20"/>
          <w:szCs w:val="20"/>
          <w:lang w:val="en-US"/>
        </w:rPr>
        <w:t>.</w:t>
      </w:r>
      <w:r w:rsidR="00F83E8F" w:rsidRPr="00D869E3">
        <w:rPr>
          <w:rStyle w:val="Refdenotaalpie"/>
          <w:szCs w:val="20"/>
          <w:lang w:val="en-US"/>
        </w:rPr>
        <w:footnoteReference w:id="360"/>
      </w:r>
      <w:r w:rsidR="00F83E8F" w:rsidRPr="00D869E3">
        <w:rPr>
          <w:rFonts w:ascii="Verdana" w:hAnsi="Verdana"/>
          <w:sz w:val="20"/>
          <w:szCs w:val="20"/>
          <w:lang w:val="en-US"/>
        </w:rPr>
        <w:t xml:space="preserve"> </w:t>
      </w:r>
    </w:p>
    <w:p w14:paraId="3F6FC474" w14:textId="77777777" w:rsidR="00F83E8F" w:rsidRPr="00D869E3" w:rsidRDefault="00F83E8F" w:rsidP="00F83E8F">
      <w:pPr>
        <w:pStyle w:val="Prrafodelista"/>
        <w:ind w:left="0"/>
        <w:jc w:val="both"/>
        <w:rPr>
          <w:rFonts w:ascii="Verdana" w:hAnsi="Verdana"/>
          <w:sz w:val="20"/>
          <w:szCs w:val="20"/>
          <w:lang w:val="en-US"/>
        </w:rPr>
      </w:pPr>
    </w:p>
    <w:p w14:paraId="3DD0620B" w14:textId="52D623BD" w:rsidR="00F83E8F" w:rsidRPr="00D869E3" w:rsidRDefault="00964F4E" w:rsidP="00E70701">
      <w:pPr>
        <w:pStyle w:val="Prrafodelista"/>
        <w:numPr>
          <w:ilvl w:val="0"/>
          <w:numId w:val="28"/>
        </w:numPr>
        <w:ind w:left="0" w:firstLine="0"/>
        <w:jc w:val="both"/>
        <w:rPr>
          <w:rFonts w:ascii="Verdana" w:hAnsi="Verdana" w:cs="Calibri"/>
          <w:sz w:val="32"/>
          <w:szCs w:val="32"/>
          <w:lang w:val="en-US"/>
        </w:rPr>
      </w:pPr>
      <w:r w:rsidRPr="00D869E3">
        <w:rPr>
          <w:rFonts w:ascii="Verdana" w:hAnsi="Verdana"/>
          <w:sz w:val="20"/>
          <w:szCs w:val="20"/>
          <w:lang w:val="en-US"/>
        </w:rPr>
        <w:t>Thus, the intention of this separate opinion is, on the one hand, to stress the important advance that this judgment ma</w:t>
      </w:r>
      <w:r w:rsidR="00F736F6" w:rsidRPr="00D869E3">
        <w:rPr>
          <w:rFonts w:ascii="Verdana" w:hAnsi="Verdana"/>
          <w:sz w:val="20"/>
          <w:szCs w:val="20"/>
          <w:lang w:val="en-US"/>
        </w:rPr>
        <w:t>k</w:t>
      </w:r>
      <w:r w:rsidRPr="00D869E3">
        <w:rPr>
          <w:rFonts w:ascii="Verdana" w:hAnsi="Verdana"/>
          <w:sz w:val="20"/>
          <w:szCs w:val="20"/>
          <w:lang w:val="en-US"/>
        </w:rPr>
        <w:t xml:space="preserve">es in case law within </w:t>
      </w:r>
      <w:r w:rsidR="00EA232B" w:rsidRPr="00D869E3">
        <w:rPr>
          <w:rFonts w:ascii="Verdana" w:hAnsi="Verdana"/>
          <w:sz w:val="20"/>
          <w:szCs w:val="20"/>
          <w:lang w:val="en-US"/>
        </w:rPr>
        <w:t xml:space="preserve">the </w:t>
      </w:r>
      <w:r w:rsidR="00671B14" w:rsidRPr="00D869E3">
        <w:rPr>
          <w:rFonts w:ascii="Verdana" w:hAnsi="Verdana"/>
          <w:sz w:val="20"/>
          <w:szCs w:val="20"/>
          <w:lang w:val="en-US"/>
        </w:rPr>
        <w:t>inter-American system</w:t>
      </w:r>
      <w:r w:rsidRPr="00D869E3">
        <w:rPr>
          <w:rFonts w:ascii="Verdana" w:hAnsi="Verdana"/>
          <w:sz w:val="20"/>
          <w:szCs w:val="20"/>
          <w:lang w:val="en-US"/>
        </w:rPr>
        <w:t xml:space="preserve"> by according direct justiciability to </w:t>
      </w:r>
      <w:r w:rsidR="00671B14" w:rsidRPr="00D869E3">
        <w:rPr>
          <w:rFonts w:ascii="Verdana" w:hAnsi="Verdana"/>
          <w:sz w:val="20"/>
          <w:szCs w:val="20"/>
          <w:lang w:val="en-US"/>
        </w:rPr>
        <w:t>the ESCER</w:t>
      </w:r>
      <w:r w:rsidRPr="00D869E3">
        <w:rPr>
          <w:rFonts w:ascii="Verdana" w:hAnsi="Verdana"/>
          <w:sz w:val="20"/>
          <w:szCs w:val="20"/>
          <w:lang w:val="en-US"/>
        </w:rPr>
        <w:t xml:space="preserve"> and, on the other, to clarify the scope, differences and synergy between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16</w:t>
      </w:r>
      <w:r w:rsidR="00447C65" w:rsidRPr="00D869E3">
        <w:rPr>
          <w:rFonts w:ascii="Verdana" w:hAnsi="Verdana"/>
          <w:sz w:val="20"/>
          <w:szCs w:val="20"/>
          <w:lang w:val="en-US"/>
        </w:rPr>
        <w:t xml:space="preserve"> of the American Convention</w:t>
      </w:r>
      <w:r w:rsidR="00F83E8F" w:rsidRPr="00D869E3">
        <w:rPr>
          <w:rFonts w:ascii="Verdana" w:hAnsi="Verdana"/>
          <w:sz w:val="20"/>
          <w:szCs w:val="20"/>
          <w:lang w:val="en-US"/>
        </w:rPr>
        <w:t xml:space="preserve"> </w:t>
      </w:r>
      <w:r w:rsidRPr="00D869E3">
        <w:rPr>
          <w:rFonts w:ascii="Verdana" w:hAnsi="Verdana"/>
          <w:sz w:val="20"/>
          <w:szCs w:val="20"/>
          <w:lang w:val="en-US"/>
        </w:rPr>
        <w:t xml:space="preserve">which protects freedom of association </w:t>
      </w:r>
      <w:r w:rsidR="00F83E8F" w:rsidRPr="00D869E3">
        <w:rPr>
          <w:rFonts w:ascii="Verdana" w:hAnsi="Verdana"/>
          <w:sz w:val="20"/>
          <w:szCs w:val="20"/>
          <w:lang w:val="en-US"/>
        </w:rPr>
        <w:t>(</w:t>
      </w:r>
      <w:r w:rsidR="00F83E8F" w:rsidRPr="00D869E3">
        <w:rPr>
          <w:rFonts w:ascii="Verdana" w:hAnsi="Verdana"/>
          <w:i/>
          <w:sz w:val="20"/>
          <w:szCs w:val="20"/>
          <w:lang w:val="en-US"/>
        </w:rPr>
        <w:t>lato sensu</w:t>
      </w:r>
      <w:r w:rsidR="00F83E8F" w:rsidRPr="00D869E3">
        <w:rPr>
          <w:rFonts w:ascii="Verdana" w:hAnsi="Verdana"/>
          <w:sz w:val="20"/>
          <w:szCs w:val="20"/>
          <w:lang w:val="en-US"/>
        </w:rPr>
        <w:t>)</w:t>
      </w:r>
      <w:r w:rsidR="00687684" w:rsidRPr="00D869E3">
        <w:rPr>
          <w:rFonts w:ascii="Verdana" w:hAnsi="Verdana"/>
          <w:sz w:val="20"/>
          <w:szCs w:val="20"/>
          <w:lang w:val="en-US"/>
        </w:rPr>
        <w:t xml:space="preserve"> and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26 </w:t>
      </w:r>
      <w:r w:rsidRPr="00D869E3">
        <w:rPr>
          <w:rFonts w:ascii="Verdana" w:hAnsi="Verdana"/>
          <w:sz w:val="20"/>
          <w:szCs w:val="20"/>
          <w:lang w:val="en-US"/>
        </w:rPr>
        <w:t xml:space="preserve">of this instrument as a provision that protects freedom of association for labor purposes </w:t>
      </w:r>
      <w:r w:rsidR="00F83E8F" w:rsidRPr="00D869E3">
        <w:rPr>
          <w:rFonts w:ascii="Verdana" w:hAnsi="Verdana"/>
          <w:sz w:val="20"/>
          <w:szCs w:val="20"/>
          <w:lang w:val="en-US"/>
        </w:rPr>
        <w:t>(</w:t>
      </w:r>
      <w:r w:rsidR="00F83E8F" w:rsidRPr="00D869E3">
        <w:rPr>
          <w:rFonts w:ascii="Verdana" w:hAnsi="Verdana"/>
          <w:i/>
          <w:sz w:val="20"/>
          <w:szCs w:val="20"/>
          <w:lang w:val="en-US"/>
        </w:rPr>
        <w:t>stricto sensu</w:t>
      </w:r>
      <w:r w:rsidR="00F83E8F" w:rsidRPr="00D869E3">
        <w:rPr>
          <w:rFonts w:ascii="Verdana" w:hAnsi="Verdana"/>
          <w:sz w:val="20"/>
          <w:szCs w:val="20"/>
          <w:lang w:val="en-US"/>
        </w:rPr>
        <w:t xml:space="preserve">), </w:t>
      </w:r>
      <w:r w:rsidRPr="00D869E3">
        <w:rPr>
          <w:rFonts w:ascii="Verdana" w:hAnsi="Verdana"/>
          <w:sz w:val="20"/>
          <w:szCs w:val="20"/>
          <w:lang w:val="en-US"/>
        </w:rPr>
        <w:t>based on the provisions established in</w:t>
      </w:r>
      <w:r w:rsidR="00F83E8F" w:rsidRPr="00D869E3">
        <w:rPr>
          <w:rFonts w:ascii="Verdana" w:hAnsi="Verdana"/>
          <w:sz w:val="20"/>
          <w:szCs w:val="20"/>
          <w:lang w:val="en-US"/>
        </w:rPr>
        <w:t xml:space="preserve"> </w:t>
      </w:r>
      <w:r w:rsidR="00447C65" w:rsidRPr="00D869E3">
        <w:rPr>
          <w:rFonts w:ascii="Verdana" w:hAnsi="Verdana"/>
          <w:sz w:val="20"/>
          <w:szCs w:val="20"/>
          <w:lang w:val="en-US"/>
        </w:rPr>
        <w:t>Article</w:t>
      </w:r>
      <w:r w:rsidR="00F83E8F" w:rsidRPr="00D869E3">
        <w:rPr>
          <w:rFonts w:ascii="Verdana" w:hAnsi="Verdana"/>
          <w:sz w:val="20"/>
          <w:szCs w:val="20"/>
          <w:lang w:val="en-US"/>
        </w:rPr>
        <w:t xml:space="preserve"> 45</w:t>
      </w:r>
      <w:r w:rsidRPr="00D869E3">
        <w:rPr>
          <w:rFonts w:ascii="Verdana" w:hAnsi="Verdana"/>
          <w:sz w:val="20"/>
          <w:szCs w:val="20"/>
          <w:lang w:val="en-US"/>
        </w:rPr>
        <w:t>(</w:t>
      </w:r>
      <w:r w:rsidR="00F83E8F" w:rsidRPr="00D869E3">
        <w:rPr>
          <w:rFonts w:ascii="Verdana" w:hAnsi="Verdana"/>
          <w:sz w:val="20"/>
          <w:szCs w:val="20"/>
          <w:lang w:val="en-US"/>
        </w:rPr>
        <w:t xml:space="preserve">c) </w:t>
      </w:r>
      <w:r w:rsidR="00197983" w:rsidRPr="00D869E3">
        <w:rPr>
          <w:rFonts w:ascii="Verdana" w:hAnsi="Verdana"/>
          <w:sz w:val="20"/>
          <w:szCs w:val="20"/>
          <w:lang w:val="en-US"/>
        </w:rPr>
        <w:t>of the OAS Charter</w:t>
      </w:r>
      <w:r w:rsidR="00F83E8F" w:rsidRPr="00D869E3">
        <w:rPr>
          <w:rFonts w:ascii="Verdana" w:hAnsi="Verdana"/>
          <w:sz w:val="20"/>
          <w:szCs w:val="20"/>
          <w:lang w:val="en-US"/>
        </w:rPr>
        <w:t xml:space="preserve">. </w:t>
      </w:r>
    </w:p>
    <w:p w14:paraId="7E4E19E8" w14:textId="77777777" w:rsidR="00F83E8F" w:rsidRPr="00D869E3" w:rsidRDefault="00F83E8F" w:rsidP="00F83E8F">
      <w:pPr>
        <w:pStyle w:val="Prrafodelista"/>
        <w:ind w:left="0"/>
        <w:jc w:val="both"/>
        <w:rPr>
          <w:rFonts w:ascii="Verdana" w:hAnsi="Verdana" w:cs="Calibri"/>
          <w:sz w:val="20"/>
          <w:szCs w:val="20"/>
          <w:lang w:val="en-US"/>
        </w:rPr>
      </w:pPr>
    </w:p>
    <w:p w14:paraId="1544D84A" w14:textId="07741A3A" w:rsidR="00F83E8F" w:rsidRPr="00D869E3" w:rsidRDefault="009A0BC3" w:rsidP="009A0BC3">
      <w:pPr>
        <w:pStyle w:val="Prrafodelista"/>
        <w:numPr>
          <w:ilvl w:val="0"/>
          <w:numId w:val="28"/>
        </w:numPr>
        <w:ind w:left="0" w:firstLine="0"/>
        <w:jc w:val="both"/>
        <w:rPr>
          <w:rFonts w:ascii="Verdana" w:hAnsi="Verdana" w:cs="Calibri"/>
          <w:sz w:val="32"/>
          <w:szCs w:val="32"/>
          <w:lang w:val="en-US"/>
        </w:rPr>
      </w:pPr>
      <w:r w:rsidRPr="00D869E3">
        <w:rPr>
          <w:rFonts w:ascii="Verdana" w:hAnsi="Verdana"/>
          <w:sz w:val="20"/>
          <w:szCs w:val="20"/>
          <w:lang w:val="en-US"/>
        </w:rPr>
        <w:t xml:space="preserve">Thus, the progress made in the case of </w:t>
      </w:r>
      <w:r w:rsidR="00F83E8F" w:rsidRPr="00D869E3">
        <w:rPr>
          <w:rFonts w:ascii="Verdana" w:hAnsi="Verdana"/>
          <w:i/>
          <w:sz w:val="20"/>
          <w:szCs w:val="20"/>
          <w:lang w:val="en-US"/>
        </w:rPr>
        <w:t xml:space="preserve">Lagos del Campo </w:t>
      </w:r>
      <w:r w:rsidRPr="00D869E3">
        <w:rPr>
          <w:rFonts w:ascii="Verdana" w:hAnsi="Verdana"/>
          <w:sz w:val="20"/>
          <w:szCs w:val="20"/>
          <w:lang w:val="en-US"/>
        </w:rPr>
        <w:t>in the area of</w:t>
      </w:r>
      <w:r w:rsidR="00A157F5" w:rsidRPr="00D869E3">
        <w:rPr>
          <w:rFonts w:ascii="Verdana" w:hAnsi="Verdana"/>
          <w:sz w:val="20"/>
          <w:szCs w:val="20"/>
          <w:lang w:val="en-US"/>
        </w:rPr>
        <w:t xml:space="preserve"> the </w:t>
      </w:r>
      <w:r w:rsidR="00301DBE" w:rsidRPr="00D869E3">
        <w:rPr>
          <w:rFonts w:ascii="Verdana" w:hAnsi="Verdana"/>
          <w:sz w:val="20"/>
          <w:szCs w:val="20"/>
          <w:lang w:val="en-US"/>
        </w:rPr>
        <w:t>right to work</w:t>
      </w:r>
      <w:r w:rsidR="00F83E8F" w:rsidRPr="00D869E3">
        <w:rPr>
          <w:rFonts w:ascii="Verdana" w:hAnsi="Verdana"/>
          <w:sz w:val="20"/>
          <w:szCs w:val="20"/>
          <w:lang w:val="en-US"/>
        </w:rPr>
        <w:t xml:space="preserve"> (</w:t>
      </w:r>
      <w:r w:rsidR="00065A47" w:rsidRPr="00D869E3">
        <w:rPr>
          <w:rFonts w:ascii="Verdana" w:hAnsi="Verdana"/>
          <w:sz w:val="20"/>
          <w:szCs w:val="20"/>
          <w:lang w:val="en-US"/>
        </w:rPr>
        <w:t xml:space="preserve">job security </w:t>
      </w:r>
      <w:r w:rsidRPr="00D869E3">
        <w:rPr>
          <w:rFonts w:ascii="Verdana" w:hAnsi="Verdana"/>
          <w:sz w:val="20"/>
          <w:szCs w:val="20"/>
          <w:lang w:val="en-US"/>
        </w:rPr>
        <w:t xml:space="preserve">and freedom of association) </w:t>
      </w:r>
      <w:r w:rsidR="00687684" w:rsidRPr="00D869E3">
        <w:rPr>
          <w:rFonts w:ascii="Verdana" w:hAnsi="Verdana"/>
          <w:sz w:val="20"/>
          <w:szCs w:val="20"/>
          <w:lang w:val="en-US"/>
        </w:rPr>
        <w:t xml:space="preserve">and </w:t>
      </w:r>
      <w:r w:rsidR="00B235CB" w:rsidRPr="00D869E3">
        <w:rPr>
          <w:rFonts w:ascii="Verdana" w:hAnsi="Verdana"/>
          <w:sz w:val="20"/>
          <w:szCs w:val="20"/>
          <w:lang w:val="en-US"/>
        </w:rPr>
        <w:t xml:space="preserve">in the </w:t>
      </w:r>
      <w:r w:rsidRPr="00D869E3">
        <w:rPr>
          <w:rFonts w:ascii="Verdana" w:hAnsi="Verdana"/>
          <w:sz w:val="20"/>
          <w:szCs w:val="20"/>
          <w:lang w:val="en-US"/>
        </w:rPr>
        <w:t>a</w:t>
      </w:r>
      <w:r w:rsidR="00B235CB" w:rsidRPr="00D869E3">
        <w:rPr>
          <w:rFonts w:ascii="Verdana" w:hAnsi="Verdana"/>
          <w:sz w:val="20"/>
          <w:szCs w:val="20"/>
          <w:lang w:val="en-US"/>
        </w:rPr>
        <w:t>rea of</w:t>
      </w:r>
      <w:r w:rsidR="00F83E8F" w:rsidRPr="00D869E3">
        <w:rPr>
          <w:rFonts w:ascii="Verdana" w:hAnsi="Verdana"/>
          <w:sz w:val="20"/>
          <w:szCs w:val="20"/>
          <w:lang w:val="en-US"/>
        </w:rPr>
        <w:t xml:space="preserve"> </w:t>
      </w:r>
      <w:r w:rsidRPr="00D869E3">
        <w:rPr>
          <w:rFonts w:ascii="Verdana" w:hAnsi="Verdana"/>
          <w:sz w:val="20"/>
          <w:szCs w:val="20"/>
          <w:lang w:val="en-US"/>
        </w:rPr>
        <w:t xml:space="preserve">the protection and guarantee </w:t>
      </w:r>
      <w:r w:rsidR="00EA232B" w:rsidRPr="00D869E3">
        <w:rPr>
          <w:rFonts w:ascii="Verdana" w:hAnsi="Verdana"/>
          <w:sz w:val="20"/>
          <w:szCs w:val="20"/>
          <w:lang w:val="en-US"/>
        </w:rPr>
        <w:t xml:space="preserve">of the </w:t>
      </w:r>
      <w:r w:rsidR="00671B14" w:rsidRPr="00D869E3">
        <w:rPr>
          <w:rFonts w:ascii="Verdana" w:hAnsi="Verdana"/>
          <w:sz w:val="20"/>
          <w:szCs w:val="20"/>
          <w:lang w:val="en-US"/>
        </w:rPr>
        <w:lastRenderedPageBreak/>
        <w:t>ESCER</w:t>
      </w:r>
      <w:r w:rsidR="00F83E8F" w:rsidRPr="00D869E3">
        <w:rPr>
          <w:rFonts w:ascii="Verdana" w:hAnsi="Verdana"/>
          <w:sz w:val="20"/>
          <w:szCs w:val="20"/>
          <w:lang w:val="en-US"/>
        </w:rPr>
        <w:t xml:space="preserve"> </w:t>
      </w:r>
      <w:r w:rsidRPr="00D869E3">
        <w:rPr>
          <w:rFonts w:ascii="Verdana" w:hAnsi="Verdana"/>
          <w:sz w:val="20"/>
          <w:szCs w:val="20"/>
          <w:lang w:val="en-US"/>
        </w:rPr>
        <w:t xml:space="preserve">directly and by a comprehensive and collective analysis of the </w:t>
      </w:r>
      <w:r w:rsidR="00881A39" w:rsidRPr="00D869E3">
        <w:rPr>
          <w:rFonts w:ascii="Verdana" w:hAnsi="Verdana"/>
          <w:sz w:val="20"/>
          <w:szCs w:val="20"/>
          <w:lang w:val="en-US"/>
        </w:rPr>
        <w:t>rights</w:t>
      </w:r>
      <w:r w:rsidR="00F83E8F" w:rsidRPr="00D869E3">
        <w:rPr>
          <w:rFonts w:ascii="Verdana" w:hAnsi="Verdana"/>
          <w:sz w:val="20"/>
          <w:szCs w:val="20"/>
          <w:lang w:val="en-US"/>
        </w:rPr>
        <w:t xml:space="preserve"> (</w:t>
      </w:r>
      <w:r w:rsidR="00FC4B86" w:rsidRPr="00D869E3">
        <w:rPr>
          <w:rFonts w:ascii="Verdana" w:hAnsi="Verdana"/>
          <w:sz w:val="20"/>
          <w:szCs w:val="20"/>
          <w:lang w:val="en-US"/>
        </w:rPr>
        <w:t>economic, social, cultural and environmental</w:t>
      </w:r>
      <w:r w:rsidR="00F83E8F" w:rsidRPr="00D869E3">
        <w:rPr>
          <w:rFonts w:ascii="Verdana" w:hAnsi="Verdana"/>
          <w:sz w:val="20"/>
          <w:szCs w:val="20"/>
          <w:lang w:val="en-US"/>
        </w:rPr>
        <w:t xml:space="preserve">, </w:t>
      </w:r>
      <w:r w:rsidRPr="00D869E3">
        <w:rPr>
          <w:rFonts w:ascii="Verdana" w:hAnsi="Verdana"/>
          <w:sz w:val="20"/>
          <w:szCs w:val="20"/>
          <w:lang w:val="en-US"/>
        </w:rPr>
        <w:t>civil and political</w:t>
      </w:r>
      <w:r w:rsidR="00F83E8F" w:rsidRPr="00D869E3">
        <w:rPr>
          <w:rFonts w:ascii="Verdana" w:hAnsi="Verdana"/>
          <w:sz w:val="20"/>
          <w:szCs w:val="20"/>
          <w:lang w:val="en-US"/>
        </w:rPr>
        <w:t xml:space="preserve">), </w:t>
      </w:r>
      <w:r w:rsidRPr="00D869E3">
        <w:rPr>
          <w:rFonts w:ascii="Verdana" w:hAnsi="Verdana"/>
          <w:sz w:val="20"/>
          <w:szCs w:val="20"/>
          <w:lang w:val="en-US"/>
        </w:rPr>
        <w:t>has allowed the Court to take a historic step forward to a new era of inter-American case law. In this regard, the inter-American region is proceeding in the direction agreed by different countries of the United Nation in the 2030 Sustainable Development Agenda</w:t>
      </w:r>
      <w:r w:rsidR="00F83E8F" w:rsidRPr="00D869E3">
        <w:rPr>
          <w:rStyle w:val="Refdenotaalpie"/>
          <w:szCs w:val="20"/>
          <w:lang w:val="en-US"/>
        </w:rPr>
        <w:footnoteReference w:id="361"/>
      </w:r>
      <w:r w:rsidR="00F83E8F" w:rsidRPr="00D869E3">
        <w:rPr>
          <w:rFonts w:ascii="Verdana" w:hAnsi="Verdana"/>
          <w:sz w:val="20"/>
          <w:szCs w:val="20"/>
          <w:lang w:val="en-US"/>
        </w:rPr>
        <w:t xml:space="preserve"> (</w:t>
      </w:r>
      <w:r w:rsidRPr="00D869E3">
        <w:rPr>
          <w:rFonts w:ascii="Verdana" w:hAnsi="Verdana"/>
          <w:sz w:val="20"/>
          <w:szCs w:val="20"/>
          <w:lang w:val="en-US"/>
        </w:rPr>
        <w:t>see</w:t>
      </w:r>
      <w:r w:rsidR="00F83E8F" w:rsidRPr="00D869E3">
        <w:rPr>
          <w:rFonts w:ascii="Verdana" w:hAnsi="Verdana"/>
          <w:sz w:val="20"/>
          <w:szCs w:val="20"/>
          <w:lang w:val="en-US"/>
        </w:rPr>
        <w:t xml:space="preserve"> </w:t>
      </w:r>
      <w:r w:rsidR="00F83E8F" w:rsidRPr="00D869E3">
        <w:rPr>
          <w:rFonts w:ascii="Verdana" w:hAnsi="Verdana"/>
          <w:i/>
          <w:sz w:val="20"/>
          <w:szCs w:val="20"/>
          <w:lang w:val="en-US"/>
        </w:rPr>
        <w:t>supra</w:t>
      </w:r>
      <w:r w:rsidR="00F83E8F" w:rsidRPr="00D869E3">
        <w:rPr>
          <w:rFonts w:ascii="Verdana" w:hAnsi="Verdana"/>
          <w:sz w:val="20"/>
          <w:szCs w:val="20"/>
          <w:lang w:val="en-US"/>
        </w:rPr>
        <w:t>, p</w:t>
      </w:r>
      <w:r w:rsidRPr="00D869E3">
        <w:rPr>
          <w:rFonts w:ascii="Verdana" w:hAnsi="Verdana"/>
          <w:sz w:val="20"/>
          <w:szCs w:val="20"/>
          <w:lang w:val="en-US"/>
        </w:rPr>
        <w:t>ara.</w:t>
      </w:r>
      <w:r w:rsidR="00F83E8F" w:rsidRPr="00D869E3">
        <w:rPr>
          <w:rFonts w:ascii="Verdana" w:hAnsi="Verdana"/>
          <w:sz w:val="20"/>
          <w:szCs w:val="20"/>
          <w:lang w:val="en-US"/>
        </w:rPr>
        <w:t xml:space="preserve"> 4, </w:t>
      </w:r>
      <w:r w:rsidR="00F83E8F" w:rsidRPr="00D869E3">
        <w:rPr>
          <w:rFonts w:ascii="Verdana" w:hAnsi="Verdana"/>
          <w:i/>
          <w:sz w:val="20"/>
          <w:szCs w:val="20"/>
          <w:lang w:val="en-US"/>
        </w:rPr>
        <w:t>in fine</w:t>
      </w:r>
      <w:r w:rsidR="00F83E8F" w:rsidRPr="00D869E3">
        <w:rPr>
          <w:rFonts w:ascii="Verdana" w:hAnsi="Verdana"/>
          <w:sz w:val="20"/>
          <w:szCs w:val="20"/>
          <w:lang w:val="en-US"/>
        </w:rPr>
        <w:t xml:space="preserve">, </w:t>
      </w:r>
      <w:r w:rsidRPr="00D869E3">
        <w:rPr>
          <w:rFonts w:ascii="Verdana" w:hAnsi="Verdana"/>
          <w:sz w:val="20"/>
          <w:szCs w:val="20"/>
          <w:lang w:val="en-US"/>
        </w:rPr>
        <w:t>of this opinion</w:t>
      </w:r>
      <w:r w:rsidR="00F83E8F" w:rsidRPr="00D869E3">
        <w:rPr>
          <w:rFonts w:ascii="Verdana" w:hAnsi="Verdana"/>
          <w:sz w:val="20"/>
          <w:szCs w:val="20"/>
          <w:lang w:val="en-US"/>
        </w:rPr>
        <w:t>)</w:t>
      </w:r>
      <w:r w:rsidRPr="00D869E3">
        <w:rPr>
          <w:rFonts w:ascii="Verdana" w:hAnsi="Verdana"/>
          <w:sz w:val="20"/>
          <w:szCs w:val="20"/>
          <w:lang w:val="en-US"/>
        </w:rPr>
        <w:t>.</w:t>
      </w:r>
      <w:r w:rsidR="00F83E8F" w:rsidRPr="00D869E3">
        <w:rPr>
          <w:rStyle w:val="Refdenotaalpie"/>
          <w:szCs w:val="20"/>
          <w:lang w:val="en-US"/>
        </w:rPr>
        <w:footnoteReference w:id="362"/>
      </w:r>
      <w:r w:rsidRPr="00D869E3">
        <w:rPr>
          <w:rFonts w:ascii="Verdana" w:hAnsi="Verdana"/>
          <w:sz w:val="20"/>
          <w:szCs w:val="20"/>
          <w:lang w:val="en-US"/>
        </w:rPr>
        <w:t xml:space="preserve"> It should not be ignored, as the Economic Commission for Latin America and the Caribbean (ECLAC) has indicated, that currently, in our region, social inequality is an obstacle to sustainable development. And, in this regard – according to ECLAC – “equality of rights is […] the basic a</w:t>
      </w:r>
      <w:r w:rsidR="00F736F6" w:rsidRPr="00D869E3">
        <w:rPr>
          <w:rFonts w:ascii="Verdana" w:hAnsi="Verdana"/>
          <w:sz w:val="20"/>
          <w:szCs w:val="20"/>
          <w:lang w:val="en-US"/>
        </w:rPr>
        <w:t>x</w:t>
      </w:r>
      <w:r w:rsidRPr="00D869E3">
        <w:rPr>
          <w:rFonts w:ascii="Verdana" w:hAnsi="Verdana"/>
          <w:sz w:val="20"/>
          <w:szCs w:val="20"/>
          <w:lang w:val="en-US"/>
        </w:rPr>
        <w:t>is of equality</w:t>
      </w:r>
      <w:r w:rsidR="00F736F6" w:rsidRPr="00D869E3">
        <w:rPr>
          <w:rFonts w:ascii="Verdana" w:hAnsi="Verdana"/>
          <w:sz w:val="20"/>
          <w:szCs w:val="20"/>
          <w:lang w:val="en-US"/>
        </w:rPr>
        <w:t>,</w:t>
      </w:r>
      <w:r w:rsidRPr="00D869E3">
        <w:rPr>
          <w:rFonts w:ascii="Verdana" w:hAnsi="Verdana"/>
          <w:sz w:val="20"/>
          <w:szCs w:val="20"/>
          <w:lang w:val="en-US"/>
        </w:rPr>
        <w:t xml:space="preserve">” </w:t>
      </w:r>
      <w:r w:rsidR="00F736F6" w:rsidRPr="00D869E3">
        <w:rPr>
          <w:rFonts w:ascii="Verdana" w:hAnsi="Verdana"/>
          <w:sz w:val="20"/>
          <w:szCs w:val="20"/>
          <w:lang w:val="en-US"/>
        </w:rPr>
        <w:t>u</w:t>
      </w:r>
      <w:r w:rsidRPr="00D869E3">
        <w:rPr>
          <w:rFonts w:ascii="Verdana" w:hAnsi="Verdana"/>
          <w:sz w:val="20"/>
          <w:szCs w:val="20"/>
          <w:lang w:val="en-US"/>
        </w:rPr>
        <w:t>nderstood as the “full realization” of economic, social cultural and environmental rights.</w:t>
      </w:r>
      <w:r w:rsidR="00F83E8F" w:rsidRPr="00D869E3">
        <w:rPr>
          <w:rStyle w:val="Refdenotaalpie"/>
          <w:szCs w:val="20"/>
          <w:lang w:val="en-US"/>
        </w:rPr>
        <w:footnoteReference w:id="363"/>
      </w:r>
    </w:p>
    <w:p w14:paraId="28941CDB" w14:textId="77777777" w:rsidR="00F83E8F" w:rsidRPr="00D869E3" w:rsidRDefault="00F83E8F" w:rsidP="00F83E8F">
      <w:pPr>
        <w:pStyle w:val="Prrafodelista"/>
        <w:ind w:left="0"/>
        <w:jc w:val="both"/>
        <w:rPr>
          <w:rFonts w:ascii="Verdana" w:hAnsi="Verdana"/>
          <w:sz w:val="20"/>
          <w:szCs w:val="20"/>
          <w:lang w:val="en-US"/>
        </w:rPr>
      </w:pPr>
    </w:p>
    <w:p w14:paraId="12920574" w14:textId="6E8BB35B" w:rsidR="009A0BC3" w:rsidRPr="00D869E3" w:rsidRDefault="009A0BC3" w:rsidP="00F83E8F">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This case reveals how the violation of a right classified as a social right</w:t>
      </w:r>
      <w:r w:rsidR="00F20902" w:rsidRPr="00D869E3">
        <w:rPr>
          <w:rFonts w:ascii="Verdana" w:hAnsi="Verdana"/>
          <w:sz w:val="20"/>
          <w:szCs w:val="20"/>
          <w:lang w:val="en-US"/>
        </w:rPr>
        <w:t xml:space="preserve"> does not necessarily lead to the need to evaluate progressivity or non-retrogressivity, or aspects related to the availability of resources, or legislation</w:t>
      </w:r>
      <w:r w:rsidR="008405CB" w:rsidRPr="00D869E3">
        <w:rPr>
          <w:rFonts w:ascii="Verdana" w:hAnsi="Verdana"/>
          <w:sz w:val="20"/>
          <w:szCs w:val="20"/>
          <w:lang w:val="en-US"/>
        </w:rPr>
        <w:t>,</w:t>
      </w:r>
      <w:r w:rsidR="00F20902" w:rsidRPr="00D869E3">
        <w:rPr>
          <w:rFonts w:ascii="Verdana" w:hAnsi="Verdana"/>
          <w:sz w:val="20"/>
          <w:szCs w:val="20"/>
          <w:lang w:val="en-US"/>
        </w:rPr>
        <w:t xml:space="preserve"> general regulatory frameworks or public policies. Considering that social rights are reduced to this type of analysis is to perpetuate false myths that the ESCER depend </w:t>
      </w:r>
      <w:r w:rsidR="008405CB" w:rsidRPr="00D869E3">
        <w:rPr>
          <w:rFonts w:ascii="Verdana" w:hAnsi="Verdana"/>
          <w:sz w:val="20"/>
          <w:szCs w:val="20"/>
          <w:lang w:val="en-US"/>
        </w:rPr>
        <w:t xml:space="preserve">merely </w:t>
      </w:r>
      <w:r w:rsidR="00F20902" w:rsidRPr="00D869E3">
        <w:rPr>
          <w:rFonts w:ascii="Verdana" w:hAnsi="Verdana"/>
          <w:sz w:val="20"/>
          <w:szCs w:val="20"/>
          <w:lang w:val="en-US"/>
        </w:rPr>
        <w:t>on the passage of time to be guaranteed. This belief does not take into account the existence of State obligations to respect and to ensure rights that are applicable to all human rights, without distinction. The intention is not to judicialize social public policies, but rather to achieve the effective protection of human rights in a specific case.</w:t>
      </w:r>
    </w:p>
    <w:p w14:paraId="06E7E2CD" w14:textId="77777777" w:rsidR="009A0BC3" w:rsidRPr="00D869E3" w:rsidRDefault="009A0BC3" w:rsidP="009A0BC3">
      <w:pPr>
        <w:pStyle w:val="Prrafodelista"/>
        <w:rPr>
          <w:rFonts w:ascii="Verdana" w:hAnsi="Verdana"/>
          <w:sz w:val="20"/>
          <w:szCs w:val="20"/>
          <w:lang w:val="en-US"/>
        </w:rPr>
      </w:pPr>
    </w:p>
    <w:p w14:paraId="3BCD39F7" w14:textId="55ED9B7B" w:rsidR="00F83E8F" w:rsidRPr="00D869E3" w:rsidRDefault="00F20902" w:rsidP="00F83E8F">
      <w:pPr>
        <w:pStyle w:val="Prrafodelista"/>
        <w:numPr>
          <w:ilvl w:val="0"/>
          <w:numId w:val="28"/>
        </w:numPr>
        <w:ind w:left="0" w:firstLine="0"/>
        <w:jc w:val="both"/>
        <w:rPr>
          <w:rFonts w:ascii="Verdana" w:hAnsi="Verdana"/>
          <w:sz w:val="20"/>
          <w:szCs w:val="20"/>
          <w:lang w:val="en-US"/>
        </w:rPr>
      </w:pPr>
      <w:r w:rsidRPr="00D869E3">
        <w:rPr>
          <w:rFonts w:ascii="Verdana" w:hAnsi="Verdana"/>
          <w:sz w:val="20"/>
          <w:szCs w:val="20"/>
          <w:lang w:val="en-US"/>
        </w:rPr>
        <w:t xml:space="preserve">As of this time, </w:t>
      </w:r>
      <w:r w:rsidR="00185A57" w:rsidRPr="00D869E3">
        <w:rPr>
          <w:rFonts w:ascii="Verdana" w:hAnsi="Verdana"/>
          <w:sz w:val="20"/>
          <w:szCs w:val="20"/>
          <w:lang w:val="en-US"/>
        </w:rPr>
        <w:t>the Inter-American Court</w:t>
      </w:r>
      <w:r w:rsidR="00F83E8F" w:rsidRPr="00D869E3">
        <w:rPr>
          <w:rFonts w:ascii="Verdana" w:hAnsi="Verdana"/>
          <w:sz w:val="20"/>
          <w:szCs w:val="20"/>
          <w:lang w:val="en-US"/>
        </w:rPr>
        <w:t xml:space="preserve"> </w:t>
      </w:r>
      <w:r w:rsidRPr="00D869E3">
        <w:rPr>
          <w:rFonts w:ascii="Verdana" w:hAnsi="Verdana"/>
          <w:sz w:val="20"/>
          <w:szCs w:val="20"/>
          <w:lang w:val="en-US"/>
        </w:rPr>
        <w:t xml:space="preserve">can address the different issues that are submitted to it not by connectivity or indirectly, subsuming the content of the ESCER in the civil and political rights; but with a broader social perspective of the violations alleged in future cases. I note that this matter is especially important in the Latin American region which has high rates of inequity, inequality, poverty and social exclusion. I am convinced that this new vision of inter-American social rights will permit a more detailed and comprehensive analysis of the rights and obligations involved in a case, permitting the development of </w:t>
      </w:r>
      <w:r w:rsidR="008405CB" w:rsidRPr="00D869E3">
        <w:rPr>
          <w:rFonts w:ascii="Verdana" w:hAnsi="Verdana"/>
          <w:sz w:val="20"/>
          <w:szCs w:val="20"/>
          <w:lang w:val="en-US"/>
        </w:rPr>
        <w:t>leg</w:t>
      </w:r>
      <w:r w:rsidRPr="00D869E3">
        <w:rPr>
          <w:rFonts w:ascii="Verdana" w:hAnsi="Verdana"/>
          <w:sz w:val="20"/>
          <w:szCs w:val="20"/>
          <w:lang w:val="en-US"/>
        </w:rPr>
        <w:t>al criteria and standards that address matters of significant impact for the realization of human rights in the region in a more appropriate and opportune manner.</w:t>
      </w:r>
    </w:p>
    <w:p w14:paraId="681CA96A" w14:textId="77777777" w:rsidR="00F83E8F" w:rsidRPr="00D869E3" w:rsidRDefault="00F83E8F" w:rsidP="00F83E8F">
      <w:pPr>
        <w:pStyle w:val="Prrafodelista"/>
        <w:ind w:left="0"/>
        <w:jc w:val="both"/>
        <w:rPr>
          <w:rFonts w:ascii="Verdana" w:hAnsi="Verdana"/>
          <w:sz w:val="20"/>
          <w:szCs w:val="20"/>
          <w:lang w:val="en-US"/>
        </w:rPr>
      </w:pPr>
    </w:p>
    <w:p w14:paraId="6F1C8928" w14:textId="77777777" w:rsidR="00F83E8F" w:rsidRPr="00D869E3" w:rsidRDefault="00F83E8F" w:rsidP="00F83E8F">
      <w:pPr>
        <w:pStyle w:val="Prrafodelista"/>
        <w:ind w:left="0"/>
        <w:jc w:val="both"/>
        <w:rPr>
          <w:rFonts w:ascii="Verdana" w:hAnsi="Verdana"/>
          <w:sz w:val="20"/>
          <w:szCs w:val="20"/>
          <w:lang w:val="en-US"/>
        </w:rPr>
      </w:pPr>
    </w:p>
    <w:p w14:paraId="34C6C1DD" w14:textId="77777777" w:rsidR="00F83E8F" w:rsidRPr="00D869E3" w:rsidRDefault="00F83E8F" w:rsidP="00F83E8F">
      <w:pPr>
        <w:pStyle w:val="Prrafodelista"/>
        <w:ind w:left="0"/>
        <w:jc w:val="both"/>
        <w:rPr>
          <w:rFonts w:ascii="Verdana" w:hAnsi="Verdana"/>
          <w:sz w:val="20"/>
          <w:szCs w:val="20"/>
          <w:lang w:val="en-US"/>
        </w:rPr>
      </w:pPr>
    </w:p>
    <w:p w14:paraId="4807F834" w14:textId="77777777" w:rsidR="00F83E8F" w:rsidRPr="00D869E3" w:rsidRDefault="00F83E8F" w:rsidP="00F83E8F">
      <w:pPr>
        <w:pStyle w:val="Prrafodelista"/>
        <w:widowControl w:val="0"/>
        <w:autoSpaceDE w:val="0"/>
        <w:autoSpaceDN w:val="0"/>
        <w:adjustRightInd w:val="0"/>
        <w:ind w:left="0"/>
        <w:contextualSpacing w:val="0"/>
        <w:jc w:val="right"/>
        <w:rPr>
          <w:rFonts w:ascii="Verdana" w:hAnsi="Verdana"/>
          <w:sz w:val="20"/>
          <w:szCs w:val="20"/>
          <w:lang w:val="en-US"/>
        </w:rPr>
      </w:pPr>
      <w:r w:rsidRPr="00D869E3">
        <w:rPr>
          <w:rFonts w:ascii="Verdana" w:hAnsi="Verdana"/>
          <w:sz w:val="20"/>
          <w:szCs w:val="20"/>
          <w:lang w:val="en-US"/>
        </w:rPr>
        <w:t>Eduardo Ferrer Mac-Gregor Poisot</w:t>
      </w:r>
    </w:p>
    <w:p w14:paraId="3FAD3039" w14:textId="6093A320" w:rsidR="00F83E8F" w:rsidRPr="00D869E3" w:rsidRDefault="00447C65" w:rsidP="008405CB">
      <w:pPr>
        <w:pStyle w:val="Prrafodelista"/>
        <w:widowControl w:val="0"/>
        <w:tabs>
          <w:tab w:val="left" w:pos="0"/>
        </w:tabs>
        <w:autoSpaceDE w:val="0"/>
        <w:autoSpaceDN w:val="0"/>
        <w:adjustRightInd w:val="0"/>
        <w:ind w:left="0" w:right="1638"/>
        <w:contextualSpacing w:val="0"/>
        <w:jc w:val="right"/>
        <w:rPr>
          <w:rFonts w:ascii="Verdana" w:hAnsi="Verdana"/>
          <w:sz w:val="20"/>
          <w:szCs w:val="20"/>
          <w:lang w:val="en-US"/>
        </w:rPr>
      </w:pPr>
      <w:r w:rsidRPr="00D869E3">
        <w:rPr>
          <w:rFonts w:ascii="Verdana" w:hAnsi="Verdana"/>
          <w:sz w:val="20"/>
          <w:szCs w:val="20"/>
          <w:lang w:val="en-US"/>
        </w:rPr>
        <w:t>Judge</w:t>
      </w:r>
    </w:p>
    <w:p w14:paraId="721FD092" w14:textId="77777777" w:rsidR="00F83E8F" w:rsidRPr="00D869E3" w:rsidRDefault="00F83E8F" w:rsidP="00F83E8F">
      <w:pPr>
        <w:pStyle w:val="Prrafodelista"/>
        <w:widowControl w:val="0"/>
        <w:tabs>
          <w:tab w:val="left" w:pos="0"/>
        </w:tabs>
        <w:autoSpaceDE w:val="0"/>
        <w:autoSpaceDN w:val="0"/>
        <w:adjustRightInd w:val="0"/>
        <w:ind w:left="0"/>
        <w:contextualSpacing w:val="0"/>
        <w:rPr>
          <w:rFonts w:ascii="Verdana" w:hAnsi="Verdana"/>
          <w:sz w:val="20"/>
          <w:szCs w:val="20"/>
          <w:lang w:val="en-US"/>
        </w:rPr>
      </w:pPr>
    </w:p>
    <w:p w14:paraId="49917763" w14:textId="77777777" w:rsidR="00F83E8F" w:rsidRPr="00D869E3" w:rsidRDefault="00F83E8F" w:rsidP="00F83E8F">
      <w:pPr>
        <w:pStyle w:val="Prrafodelista"/>
        <w:widowControl w:val="0"/>
        <w:tabs>
          <w:tab w:val="left" w:pos="0"/>
        </w:tabs>
        <w:autoSpaceDE w:val="0"/>
        <w:autoSpaceDN w:val="0"/>
        <w:adjustRightInd w:val="0"/>
        <w:ind w:left="0"/>
        <w:contextualSpacing w:val="0"/>
        <w:rPr>
          <w:rFonts w:ascii="Verdana" w:hAnsi="Verdana"/>
          <w:sz w:val="20"/>
          <w:szCs w:val="20"/>
          <w:lang w:val="en-US"/>
        </w:rPr>
      </w:pPr>
    </w:p>
    <w:p w14:paraId="6C9DDEAA" w14:textId="77777777" w:rsidR="00F83E8F" w:rsidRPr="00D869E3" w:rsidRDefault="00F83E8F" w:rsidP="00F83E8F">
      <w:pPr>
        <w:pStyle w:val="Prrafodelista"/>
        <w:widowControl w:val="0"/>
        <w:tabs>
          <w:tab w:val="left" w:pos="0"/>
        </w:tabs>
        <w:autoSpaceDE w:val="0"/>
        <w:autoSpaceDN w:val="0"/>
        <w:adjustRightInd w:val="0"/>
        <w:ind w:left="0"/>
        <w:contextualSpacing w:val="0"/>
        <w:rPr>
          <w:rFonts w:ascii="Verdana" w:hAnsi="Verdana"/>
          <w:sz w:val="20"/>
          <w:szCs w:val="20"/>
          <w:lang w:val="en-US"/>
        </w:rPr>
      </w:pPr>
      <w:r w:rsidRPr="00D869E3">
        <w:rPr>
          <w:rFonts w:ascii="Verdana" w:hAnsi="Verdana"/>
          <w:sz w:val="20"/>
          <w:szCs w:val="20"/>
          <w:lang w:val="en-US"/>
        </w:rPr>
        <w:t>Pablo Saavedra Alessandri</w:t>
      </w:r>
    </w:p>
    <w:p w14:paraId="7F740774" w14:textId="72B19C36" w:rsidR="00F83E8F" w:rsidRPr="00D869E3" w:rsidRDefault="00F83E8F" w:rsidP="00F83E8F">
      <w:pPr>
        <w:jc w:val="both"/>
        <w:rPr>
          <w:rFonts w:ascii="Verdana" w:hAnsi="Verdana"/>
          <w:sz w:val="20"/>
          <w:szCs w:val="20"/>
          <w:lang w:val="en-US"/>
        </w:rPr>
      </w:pPr>
      <w:r w:rsidRPr="00D869E3">
        <w:rPr>
          <w:rFonts w:ascii="Verdana" w:hAnsi="Verdana"/>
          <w:sz w:val="20"/>
          <w:szCs w:val="20"/>
          <w:lang w:val="en-US"/>
        </w:rPr>
        <w:t xml:space="preserve">           Secretar</w:t>
      </w:r>
      <w:r w:rsidR="00003343" w:rsidRPr="00D869E3">
        <w:rPr>
          <w:rFonts w:ascii="Verdana" w:hAnsi="Verdana"/>
          <w:sz w:val="20"/>
          <w:szCs w:val="20"/>
          <w:lang w:val="en-US"/>
        </w:rPr>
        <w:t>y</w:t>
      </w:r>
    </w:p>
    <w:p w14:paraId="3B1652B2" w14:textId="77777777" w:rsidR="00F83E8F" w:rsidRPr="00D869E3" w:rsidRDefault="00F83E8F" w:rsidP="007F5C54">
      <w:pPr>
        <w:tabs>
          <w:tab w:val="left" w:pos="8640"/>
        </w:tabs>
        <w:rPr>
          <w:rFonts w:ascii="Verdana" w:hAnsi="Verdana"/>
          <w:sz w:val="20"/>
          <w:lang w:val="en-US"/>
        </w:rPr>
        <w:sectPr w:rsidR="00F83E8F" w:rsidRPr="00D869E3" w:rsidSect="00F83E8F">
          <w:footnotePr>
            <w:numRestart w:val="eachSect"/>
          </w:footnotePr>
          <w:pgSz w:w="12240" w:h="15840" w:code="1"/>
          <w:pgMar w:top="1247" w:right="1247" w:bottom="1247" w:left="1247" w:header="709" w:footer="709" w:gutter="0"/>
          <w:pgNumType w:start="1"/>
          <w:cols w:space="708"/>
          <w:titlePg/>
          <w:docGrid w:linePitch="360"/>
        </w:sectPr>
      </w:pPr>
    </w:p>
    <w:p w14:paraId="385060DB" w14:textId="77777777" w:rsidR="00E70701" w:rsidRPr="00D869E3" w:rsidRDefault="00E70701" w:rsidP="00C44F79">
      <w:pPr>
        <w:jc w:val="center"/>
        <w:rPr>
          <w:rFonts w:ascii="Verdana" w:hAnsi="Verdana"/>
          <w:b/>
          <w:sz w:val="20"/>
          <w:szCs w:val="20"/>
          <w:lang w:val="en-US"/>
        </w:rPr>
      </w:pPr>
    </w:p>
    <w:p w14:paraId="1269E1AA" w14:textId="77777777" w:rsidR="003C2143" w:rsidRPr="00D869E3" w:rsidRDefault="003C2143" w:rsidP="00AC70B9">
      <w:pPr>
        <w:rPr>
          <w:rFonts w:ascii="Verdana" w:hAnsi="Verdana"/>
          <w:b/>
          <w:sz w:val="20"/>
          <w:szCs w:val="20"/>
          <w:lang w:val="en-US"/>
        </w:rPr>
      </w:pPr>
    </w:p>
    <w:p w14:paraId="0302E79D" w14:textId="77777777" w:rsidR="003C2143" w:rsidRPr="00D869E3" w:rsidRDefault="003C2143" w:rsidP="003C2143">
      <w:pPr>
        <w:jc w:val="center"/>
        <w:rPr>
          <w:rFonts w:ascii="Verdana" w:hAnsi="Verdana"/>
          <w:b/>
          <w:sz w:val="20"/>
          <w:szCs w:val="20"/>
          <w:lang w:val="en-US"/>
        </w:rPr>
      </w:pPr>
    </w:p>
    <w:p w14:paraId="353047D0" w14:textId="0946469B" w:rsidR="003C2143" w:rsidRPr="00D869E3" w:rsidRDefault="00D7137C" w:rsidP="008B4269">
      <w:pPr>
        <w:spacing w:line="360" w:lineRule="auto"/>
        <w:jc w:val="center"/>
        <w:rPr>
          <w:rFonts w:ascii="Verdana" w:hAnsi="Verdana"/>
          <w:b/>
          <w:sz w:val="20"/>
          <w:szCs w:val="20"/>
          <w:lang w:val="en-US"/>
        </w:rPr>
      </w:pPr>
      <w:r w:rsidRPr="00D869E3">
        <w:rPr>
          <w:rFonts w:ascii="Verdana" w:hAnsi="Verdana"/>
          <w:b/>
          <w:sz w:val="20"/>
          <w:szCs w:val="20"/>
          <w:lang w:val="en-US"/>
        </w:rPr>
        <w:t>PARTIALLY DISSENTIN</w:t>
      </w:r>
      <w:r w:rsidR="008B4269" w:rsidRPr="00D869E3">
        <w:rPr>
          <w:rFonts w:ascii="Verdana" w:hAnsi="Verdana"/>
          <w:b/>
          <w:sz w:val="20"/>
          <w:szCs w:val="20"/>
          <w:lang w:val="en-US"/>
        </w:rPr>
        <w:t>G</w:t>
      </w:r>
      <w:r w:rsidRPr="00D869E3">
        <w:rPr>
          <w:rFonts w:ascii="Verdana" w:hAnsi="Verdana"/>
          <w:b/>
          <w:sz w:val="20"/>
          <w:szCs w:val="20"/>
          <w:lang w:val="en-US"/>
        </w:rPr>
        <w:t xml:space="preserve"> OPINION OF JUDGE </w:t>
      </w:r>
      <w:r w:rsidR="003C2143" w:rsidRPr="00D869E3">
        <w:rPr>
          <w:rFonts w:ascii="Verdana" w:hAnsi="Verdana"/>
          <w:b/>
          <w:sz w:val="20"/>
          <w:szCs w:val="20"/>
          <w:lang w:val="en-US"/>
        </w:rPr>
        <w:t>EDUARDO VIO GROSSI,</w:t>
      </w:r>
    </w:p>
    <w:p w14:paraId="183FCEAE" w14:textId="46ED3FC1" w:rsidR="003C2143" w:rsidRPr="00D869E3" w:rsidRDefault="00D7137C" w:rsidP="008B4269">
      <w:pPr>
        <w:spacing w:line="360" w:lineRule="auto"/>
        <w:jc w:val="center"/>
        <w:rPr>
          <w:rFonts w:ascii="Verdana" w:hAnsi="Verdana"/>
          <w:b/>
          <w:sz w:val="20"/>
          <w:szCs w:val="20"/>
          <w:lang w:val="en-US"/>
        </w:rPr>
      </w:pPr>
      <w:r w:rsidRPr="00D869E3">
        <w:rPr>
          <w:rFonts w:ascii="Verdana" w:hAnsi="Verdana"/>
          <w:b/>
          <w:sz w:val="20"/>
          <w:szCs w:val="20"/>
          <w:lang w:val="en-US"/>
        </w:rPr>
        <w:t>INTER-AMERIAN COURT OF HUMAN RIGHTS</w:t>
      </w:r>
    </w:p>
    <w:p w14:paraId="62E8B410" w14:textId="400092BB" w:rsidR="003C2143" w:rsidRPr="00D869E3" w:rsidRDefault="003C2143" w:rsidP="008B4269">
      <w:pPr>
        <w:spacing w:line="360" w:lineRule="auto"/>
        <w:jc w:val="center"/>
        <w:rPr>
          <w:rFonts w:ascii="Verdana" w:hAnsi="Verdana"/>
          <w:b/>
          <w:sz w:val="20"/>
          <w:szCs w:val="20"/>
          <w:lang w:val="es-CR"/>
        </w:rPr>
      </w:pPr>
      <w:r w:rsidRPr="00D869E3">
        <w:rPr>
          <w:rFonts w:ascii="Verdana" w:hAnsi="Verdana"/>
          <w:b/>
          <w:sz w:val="20"/>
          <w:szCs w:val="20"/>
          <w:lang w:val="es-CR"/>
        </w:rPr>
        <w:t>CAS</w:t>
      </w:r>
      <w:r w:rsidR="00D7137C" w:rsidRPr="00D869E3">
        <w:rPr>
          <w:rFonts w:ascii="Verdana" w:hAnsi="Verdana"/>
          <w:b/>
          <w:sz w:val="20"/>
          <w:szCs w:val="20"/>
          <w:lang w:val="es-CR"/>
        </w:rPr>
        <w:t>E OF</w:t>
      </w:r>
      <w:r w:rsidRPr="00D869E3">
        <w:rPr>
          <w:rFonts w:ascii="Verdana" w:hAnsi="Verdana"/>
          <w:b/>
          <w:sz w:val="20"/>
          <w:szCs w:val="20"/>
          <w:lang w:val="es-CR"/>
        </w:rPr>
        <w:t xml:space="preserve"> LAGOS DEL CAMPO </w:t>
      </w:r>
      <w:r w:rsidR="00447C65" w:rsidRPr="00D869E3">
        <w:rPr>
          <w:rFonts w:ascii="Verdana" w:hAnsi="Verdana"/>
          <w:b/>
          <w:i/>
          <w:iCs/>
          <w:sz w:val="20"/>
          <w:szCs w:val="20"/>
          <w:lang w:val="es-CR"/>
        </w:rPr>
        <w:t>v</w:t>
      </w:r>
      <w:r w:rsidR="00447C65" w:rsidRPr="00D869E3">
        <w:rPr>
          <w:rFonts w:ascii="Verdana" w:hAnsi="Verdana"/>
          <w:b/>
          <w:sz w:val="20"/>
          <w:szCs w:val="20"/>
          <w:lang w:val="es-CR"/>
        </w:rPr>
        <w:t>.</w:t>
      </w:r>
      <w:r w:rsidRPr="00D869E3">
        <w:rPr>
          <w:rFonts w:ascii="Verdana" w:hAnsi="Verdana"/>
          <w:b/>
          <w:sz w:val="20"/>
          <w:szCs w:val="20"/>
          <w:lang w:val="es-CR"/>
        </w:rPr>
        <w:t xml:space="preserve"> </w:t>
      </w:r>
      <w:r w:rsidR="00447C65" w:rsidRPr="00D869E3">
        <w:rPr>
          <w:rFonts w:ascii="Verdana" w:hAnsi="Verdana"/>
          <w:b/>
          <w:sz w:val="20"/>
          <w:szCs w:val="20"/>
          <w:lang w:val="es-CR"/>
        </w:rPr>
        <w:t>PERU</w:t>
      </w:r>
      <w:r w:rsidRPr="00D869E3">
        <w:rPr>
          <w:rFonts w:ascii="Verdana" w:hAnsi="Verdana"/>
          <w:b/>
          <w:sz w:val="20"/>
          <w:szCs w:val="20"/>
          <w:lang w:val="es-CR"/>
        </w:rPr>
        <w:t>,</w:t>
      </w:r>
    </w:p>
    <w:p w14:paraId="1450B543" w14:textId="2573D5EE" w:rsidR="003C2143" w:rsidRPr="00D869E3" w:rsidRDefault="00447C65" w:rsidP="008B4269">
      <w:pPr>
        <w:spacing w:line="360" w:lineRule="auto"/>
        <w:jc w:val="center"/>
        <w:rPr>
          <w:rFonts w:ascii="Verdana" w:hAnsi="Verdana"/>
          <w:b/>
          <w:sz w:val="20"/>
          <w:szCs w:val="20"/>
          <w:lang w:val="en-US"/>
        </w:rPr>
      </w:pPr>
      <w:r w:rsidRPr="00D869E3">
        <w:rPr>
          <w:rFonts w:ascii="Verdana" w:hAnsi="Verdana"/>
          <w:b/>
          <w:sz w:val="20"/>
          <w:szCs w:val="20"/>
          <w:lang w:val="en-US"/>
        </w:rPr>
        <w:t>JUDGMENT OF</w:t>
      </w:r>
      <w:r w:rsidR="003C2143" w:rsidRPr="00D869E3">
        <w:rPr>
          <w:rFonts w:ascii="Verdana" w:hAnsi="Verdana"/>
          <w:b/>
          <w:sz w:val="20"/>
          <w:szCs w:val="20"/>
          <w:lang w:val="en-US"/>
        </w:rPr>
        <w:t xml:space="preserve"> </w:t>
      </w:r>
      <w:r w:rsidR="00D7137C" w:rsidRPr="00D869E3">
        <w:rPr>
          <w:rFonts w:ascii="Verdana" w:hAnsi="Verdana"/>
          <w:b/>
          <w:sz w:val="20"/>
          <w:szCs w:val="20"/>
          <w:lang w:val="en-US"/>
        </w:rPr>
        <w:t>AUGUST 31</w:t>
      </w:r>
      <w:r w:rsidRPr="00D869E3">
        <w:rPr>
          <w:rFonts w:ascii="Verdana" w:hAnsi="Verdana"/>
          <w:b/>
          <w:sz w:val="20"/>
          <w:szCs w:val="20"/>
          <w:lang w:val="en-US"/>
        </w:rPr>
        <w:t>,</w:t>
      </w:r>
      <w:r w:rsidR="003C2143" w:rsidRPr="00D869E3">
        <w:rPr>
          <w:rFonts w:ascii="Verdana" w:hAnsi="Verdana"/>
          <w:b/>
          <w:sz w:val="20"/>
          <w:szCs w:val="20"/>
          <w:lang w:val="en-US"/>
        </w:rPr>
        <w:t xml:space="preserve"> 2017,</w:t>
      </w:r>
    </w:p>
    <w:p w14:paraId="774690F2" w14:textId="700BE28E" w:rsidR="003C2143" w:rsidRPr="00D869E3" w:rsidRDefault="003C2143" w:rsidP="008B4269">
      <w:pPr>
        <w:spacing w:line="360" w:lineRule="auto"/>
        <w:jc w:val="center"/>
        <w:rPr>
          <w:rFonts w:ascii="Verdana" w:hAnsi="Verdana"/>
          <w:b/>
          <w:sz w:val="20"/>
          <w:szCs w:val="20"/>
          <w:lang w:val="en-US"/>
        </w:rPr>
      </w:pPr>
      <w:r w:rsidRPr="00D869E3">
        <w:rPr>
          <w:rFonts w:ascii="Verdana" w:hAnsi="Verdana"/>
          <w:b/>
          <w:sz w:val="20"/>
          <w:szCs w:val="20"/>
          <w:lang w:val="en-US"/>
        </w:rPr>
        <w:t>(</w:t>
      </w:r>
      <w:r w:rsidR="00447C65" w:rsidRPr="00D869E3">
        <w:rPr>
          <w:rFonts w:ascii="Verdana" w:hAnsi="Verdana"/>
          <w:b/>
          <w:sz w:val="20"/>
          <w:szCs w:val="20"/>
          <w:lang w:val="en-US"/>
        </w:rPr>
        <w:t>Preliminary objections, merits, reparations and costs</w:t>
      </w:r>
      <w:r w:rsidRPr="00D869E3">
        <w:rPr>
          <w:rFonts w:ascii="Verdana" w:hAnsi="Verdana"/>
          <w:b/>
          <w:sz w:val="20"/>
          <w:szCs w:val="20"/>
          <w:lang w:val="en-US"/>
        </w:rPr>
        <w:t>)</w:t>
      </w:r>
    </w:p>
    <w:p w14:paraId="69338A4C" w14:textId="77777777" w:rsidR="003C2143" w:rsidRPr="00D869E3" w:rsidRDefault="003C2143" w:rsidP="003C2143">
      <w:pPr>
        <w:jc w:val="both"/>
        <w:rPr>
          <w:rFonts w:ascii="Verdana" w:hAnsi="Verdana"/>
          <w:b/>
          <w:sz w:val="20"/>
          <w:szCs w:val="20"/>
          <w:lang w:val="en-US"/>
        </w:rPr>
      </w:pPr>
    </w:p>
    <w:p w14:paraId="794D8582" w14:textId="77777777" w:rsidR="003C2143" w:rsidRPr="00D869E3" w:rsidRDefault="003C2143" w:rsidP="003C2143">
      <w:pPr>
        <w:jc w:val="both"/>
        <w:rPr>
          <w:rFonts w:ascii="Verdana" w:hAnsi="Verdana"/>
          <w:b/>
          <w:sz w:val="20"/>
          <w:szCs w:val="20"/>
          <w:lang w:val="en-US"/>
        </w:rPr>
      </w:pPr>
    </w:p>
    <w:p w14:paraId="2E07CEC1" w14:textId="7BD331A5" w:rsidR="003C2143" w:rsidRPr="00D869E3" w:rsidRDefault="003C2143" w:rsidP="003C2143">
      <w:pPr>
        <w:jc w:val="both"/>
        <w:rPr>
          <w:rFonts w:ascii="Verdana" w:hAnsi="Verdana"/>
          <w:b/>
          <w:sz w:val="20"/>
          <w:szCs w:val="20"/>
          <w:lang w:val="en-US"/>
        </w:rPr>
      </w:pPr>
      <w:r w:rsidRPr="00D869E3">
        <w:rPr>
          <w:rFonts w:ascii="Verdana" w:hAnsi="Verdana"/>
          <w:b/>
          <w:sz w:val="20"/>
          <w:szCs w:val="20"/>
          <w:lang w:val="en-US"/>
        </w:rPr>
        <w:t>INTRODUC</w:t>
      </w:r>
      <w:r w:rsidR="00D7137C" w:rsidRPr="00D869E3">
        <w:rPr>
          <w:rFonts w:ascii="Verdana" w:hAnsi="Verdana"/>
          <w:b/>
          <w:sz w:val="20"/>
          <w:szCs w:val="20"/>
          <w:lang w:val="en-US"/>
        </w:rPr>
        <w:t>TION</w:t>
      </w:r>
    </w:p>
    <w:p w14:paraId="7C93859F" w14:textId="77777777" w:rsidR="003C2143" w:rsidRPr="00D869E3" w:rsidRDefault="003C2143" w:rsidP="003C2143">
      <w:pPr>
        <w:jc w:val="both"/>
        <w:rPr>
          <w:rFonts w:ascii="Verdana" w:hAnsi="Verdana"/>
          <w:sz w:val="20"/>
          <w:szCs w:val="20"/>
          <w:lang w:val="en-US"/>
        </w:rPr>
      </w:pPr>
    </w:p>
    <w:p w14:paraId="427A17DA" w14:textId="4EEF2DFE" w:rsidR="003C2143" w:rsidRPr="00D869E3" w:rsidRDefault="00351902" w:rsidP="003C2143">
      <w:pPr>
        <w:jc w:val="both"/>
        <w:rPr>
          <w:rFonts w:ascii="Verdana" w:hAnsi="Verdana"/>
          <w:sz w:val="20"/>
          <w:szCs w:val="20"/>
          <w:lang w:val="en-US"/>
        </w:rPr>
      </w:pPr>
      <w:r w:rsidRPr="00D869E3">
        <w:rPr>
          <w:rFonts w:ascii="Verdana" w:hAnsi="Verdana"/>
          <w:sz w:val="20"/>
          <w:szCs w:val="20"/>
          <w:lang w:val="en-US"/>
        </w:rPr>
        <w:t>This partially dissenting opinion is issued</w:t>
      </w:r>
      <w:r w:rsidR="003C2143" w:rsidRPr="00D869E3">
        <w:rPr>
          <w:rStyle w:val="Refdenotaalpie"/>
          <w:szCs w:val="20"/>
          <w:lang w:val="en-US"/>
        </w:rPr>
        <w:footnoteReference w:id="364"/>
      </w:r>
      <w:r w:rsidR="003C2143" w:rsidRPr="00D869E3">
        <w:rPr>
          <w:rFonts w:ascii="Verdana" w:hAnsi="Verdana"/>
          <w:sz w:val="20"/>
          <w:szCs w:val="20"/>
          <w:lang w:val="en-US"/>
        </w:rPr>
        <w:t xml:space="preserve"> </w:t>
      </w:r>
      <w:r w:rsidRPr="00D869E3">
        <w:rPr>
          <w:rFonts w:ascii="Verdana" w:hAnsi="Verdana"/>
          <w:sz w:val="20"/>
          <w:szCs w:val="20"/>
          <w:lang w:val="en-US"/>
        </w:rPr>
        <w:t>with regard to the above-mentioned</w:t>
      </w:r>
      <w:r w:rsidR="003C2143" w:rsidRPr="00D869E3">
        <w:rPr>
          <w:rFonts w:ascii="Verdana" w:hAnsi="Verdana"/>
          <w:sz w:val="20"/>
          <w:szCs w:val="20"/>
          <w:lang w:val="en-US"/>
        </w:rPr>
        <w:t xml:space="preserve"> </w:t>
      </w:r>
      <w:r w:rsidRPr="00D869E3">
        <w:rPr>
          <w:rFonts w:ascii="Verdana" w:hAnsi="Verdana"/>
          <w:sz w:val="20"/>
          <w:szCs w:val="20"/>
          <w:lang w:val="en-US"/>
        </w:rPr>
        <w:t>j</w:t>
      </w:r>
      <w:r w:rsidR="00447C65" w:rsidRPr="00D869E3">
        <w:rPr>
          <w:rFonts w:ascii="Verdana" w:hAnsi="Verdana"/>
          <w:sz w:val="20"/>
          <w:szCs w:val="20"/>
          <w:lang w:val="en-US"/>
        </w:rPr>
        <w:t>udgment</w:t>
      </w:r>
      <w:r w:rsidRPr="00D869E3">
        <w:rPr>
          <w:rFonts w:ascii="Verdana" w:hAnsi="Verdana"/>
          <w:sz w:val="20"/>
          <w:szCs w:val="20"/>
          <w:lang w:val="en-US"/>
        </w:rPr>
        <w:t>,</w:t>
      </w:r>
      <w:r w:rsidR="003C2143" w:rsidRPr="00D869E3">
        <w:rPr>
          <w:rStyle w:val="Refdenotaalpie"/>
          <w:szCs w:val="20"/>
          <w:lang w:val="en-US"/>
        </w:rPr>
        <w:footnoteReference w:id="365"/>
      </w:r>
      <w:r w:rsidRPr="00D869E3">
        <w:rPr>
          <w:rFonts w:ascii="Verdana" w:hAnsi="Verdana"/>
          <w:sz w:val="20"/>
          <w:szCs w:val="20"/>
          <w:lang w:val="en-US"/>
        </w:rPr>
        <w:t xml:space="preserve"> because the author disagrees with the reference it makes to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3C2143" w:rsidRPr="00D869E3">
        <w:rPr>
          <w:rStyle w:val="Refdenotaalpie"/>
          <w:szCs w:val="20"/>
          <w:lang w:val="en-US"/>
        </w:rPr>
        <w:footnoteReference w:id="366"/>
      </w:r>
      <w:r w:rsidR="00447C65" w:rsidRPr="00D869E3">
        <w:rPr>
          <w:rFonts w:ascii="Verdana" w:hAnsi="Verdana"/>
          <w:sz w:val="20"/>
          <w:szCs w:val="20"/>
          <w:lang w:val="en-US"/>
        </w:rPr>
        <w:t xml:space="preserve"> of the American Convention on Human Rights</w:t>
      </w:r>
      <w:r w:rsidR="003C2143" w:rsidRPr="00D869E3">
        <w:rPr>
          <w:rStyle w:val="Refdenotaalpie"/>
          <w:szCs w:val="20"/>
          <w:lang w:val="en-US"/>
        </w:rPr>
        <w:footnoteReference w:id="367"/>
      </w:r>
      <w:r w:rsidR="003C2143" w:rsidRPr="00D869E3">
        <w:rPr>
          <w:rFonts w:ascii="Verdana" w:hAnsi="Verdana"/>
          <w:sz w:val="20"/>
          <w:szCs w:val="20"/>
          <w:lang w:val="en-US"/>
        </w:rPr>
        <w:t xml:space="preserve"> </w:t>
      </w:r>
      <w:r w:rsidRPr="00D869E3">
        <w:rPr>
          <w:rFonts w:ascii="Verdana" w:hAnsi="Verdana"/>
          <w:sz w:val="20"/>
          <w:szCs w:val="20"/>
          <w:lang w:val="en-US"/>
        </w:rPr>
        <w:t>as grounds for the fifth</w:t>
      </w:r>
      <w:r w:rsidR="003C2143" w:rsidRPr="00D869E3">
        <w:rPr>
          <w:rStyle w:val="Refdenotaalpie"/>
          <w:szCs w:val="20"/>
          <w:lang w:val="en-US"/>
        </w:rPr>
        <w:footnoteReference w:id="368"/>
      </w:r>
      <w:r w:rsidR="00687684" w:rsidRPr="00D869E3">
        <w:rPr>
          <w:rFonts w:ascii="Verdana" w:hAnsi="Verdana"/>
          <w:sz w:val="20"/>
          <w:szCs w:val="20"/>
          <w:lang w:val="en-US"/>
        </w:rPr>
        <w:t xml:space="preserve"> and </w:t>
      </w:r>
      <w:r w:rsidRPr="00D869E3">
        <w:rPr>
          <w:rFonts w:ascii="Verdana" w:hAnsi="Verdana"/>
          <w:sz w:val="20"/>
          <w:szCs w:val="20"/>
          <w:lang w:val="en-US"/>
        </w:rPr>
        <w:t>sixth operative paragraphs,</w:t>
      </w:r>
      <w:r w:rsidR="003C2143" w:rsidRPr="00D869E3">
        <w:rPr>
          <w:rStyle w:val="Refdenotaalpie"/>
          <w:szCs w:val="20"/>
          <w:lang w:val="en-US"/>
        </w:rPr>
        <w:footnoteReference w:id="369"/>
      </w:r>
      <w:r w:rsidRPr="00D869E3">
        <w:rPr>
          <w:rFonts w:ascii="Verdana" w:hAnsi="Verdana"/>
          <w:sz w:val="20"/>
          <w:szCs w:val="20"/>
          <w:lang w:val="en-US"/>
        </w:rPr>
        <w:t xml:space="preserve"> in which it declares that </w:t>
      </w:r>
      <w:r w:rsidR="006436CA" w:rsidRPr="00D869E3">
        <w:rPr>
          <w:rFonts w:ascii="Verdana" w:hAnsi="Verdana"/>
          <w:sz w:val="20"/>
          <w:szCs w:val="20"/>
          <w:lang w:val="en-US"/>
        </w:rPr>
        <w:t>“</w:t>
      </w:r>
      <w:r w:rsidRPr="00D869E3">
        <w:rPr>
          <w:rFonts w:ascii="Verdana" w:hAnsi="Verdana"/>
          <w:sz w:val="20"/>
          <w:szCs w:val="20"/>
          <w:lang w:val="en-US"/>
        </w:rPr>
        <w:t>[</w:t>
      </w:r>
      <w:r w:rsidRPr="00D869E3">
        <w:rPr>
          <w:rFonts w:ascii="Verdana" w:hAnsi="Verdana"/>
          <w:i/>
          <w:iCs/>
          <w:sz w:val="20"/>
          <w:szCs w:val="20"/>
          <w:lang w:val="en-US"/>
        </w:rPr>
        <w:t>t]he State is responsible for the violation of the right to</w:t>
      </w:r>
      <w:r w:rsidR="003C2143" w:rsidRPr="00D869E3">
        <w:rPr>
          <w:rFonts w:ascii="Verdana" w:hAnsi="Verdana"/>
          <w:i/>
          <w:sz w:val="20"/>
          <w:szCs w:val="20"/>
          <w:lang w:val="en-US"/>
        </w:rPr>
        <w:t xml:space="preserve"> </w:t>
      </w:r>
      <w:r w:rsidR="00D92CBF" w:rsidRPr="00D869E3">
        <w:rPr>
          <w:rFonts w:ascii="Verdana" w:hAnsi="Verdana"/>
          <w:i/>
          <w:sz w:val="20"/>
          <w:szCs w:val="20"/>
          <w:lang w:val="en-US"/>
        </w:rPr>
        <w:t xml:space="preserve">job </w:t>
      </w:r>
      <w:r w:rsidRPr="00D869E3">
        <w:rPr>
          <w:rFonts w:ascii="Verdana" w:hAnsi="Verdana"/>
          <w:i/>
          <w:sz w:val="20"/>
          <w:szCs w:val="20"/>
          <w:lang w:val="en-US"/>
        </w:rPr>
        <w:t>securit</w:t>
      </w:r>
      <w:r w:rsidR="00D92CBF" w:rsidRPr="00D869E3">
        <w:rPr>
          <w:rFonts w:ascii="Verdana" w:hAnsi="Verdana"/>
          <w:i/>
          <w:sz w:val="20"/>
          <w:szCs w:val="20"/>
          <w:lang w:val="en-US"/>
        </w:rPr>
        <w:t>y</w:t>
      </w:r>
      <w:r w:rsidR="006436CA" w:rsidRPr="00D869E3">
        <w:rPr>
          <w:rFonts w:ascii="Verdana" w:hAnsi="Verdana"/>
          <w:i/>
          <w:sz w:val="20"/>
          <w:szCs w:val="20"/>
          <w:lang w:val="en-US"/>
        </w:rPr>
        <w:t>”</w:t>
      </w:r>
      <w:r w:rsidRPr="00D869E3">
        <w:rPr>
          <w:rFonts w:ascii="Verdana" w:hAnsi="Verdana"/>
          <w:i/>
          <w:sz w:val="20"/>
          <w:szCs w:val="20"/>
          <w:lang w:val="en-US"/>
        </w:rPr>
        <w:t xml:space="preserve"> </w:t>
      </w:r>
      <w:r w:rsidR="00687684" w:rsidRPr="00D869E3">
        <w:rPr>
          <w:rFonts w:ascii="Verdana" w:hAnsi="Verdana"/>
          <w:sz w:val="20"/>
          <w:szCs w:val="20"/>
          <w:lang w:val="en-US"/>
        </w:rPr>
        <w:t xml:space="preserve">and </w:t>
      </w:r>
      <w:r w:rsidR="006436CA" w:rsidRPr="00D869E3">
        <w:rPr>
          <w:rFonts w:ascii="Verdana" w:hAnsi="Verdana"/>
          <w:sz w:val="20"/>
          <w:szCs w:val="20"/>
          <w:lang w:val="en-US"/>
        </w:rPr>
        <w:t>“</w:t>
      </w:r>
      <w:r w:rsidRPr="00D869E3">
        <w:rPr>
          <w:rFonts w:ascii="Verdana" w:hAnsi="Verdana"/>
          <w:i/>
          <w:sz w:val="20"/>
          <w:szCs w:val="20"/>
          <w:lang w:val="en-US"/>
        </w:rPr>
        <w:t>the right to freedom of association.</w:t>
      </w:r>
      <w:r w:rsidR="006436CA" w:rsidRPr="00D869E3">
        <w:rPr>
          <w:rFonts w:ascii="Verdana" w:hAnsi="Verdana"/>
          <w:i/>
          <w:sz w:val="20"/>
          <w:szCs w:val="20"/>
          <w:lang w:val="en-US"/>
        </w:rPr>
        <w:t>”</w:t>
      </w:r>
    </w:p>
    <w:p w14:paraId="3A263920" w14:textId="77777777" w:rsidR="003C2143" w:rsidRPr="00D869E3" w:rsidRDefault="003C2143" w:rsidP="003C2143">
      <w:pPr>
        <w:jc w:val="both"/>
        <w:rPr>
          <w:rFonts w:ascii="Verdana" w:hAnsi="Verdana"/>
          <w:sz w:val="20"/>
          <w:szCs w:val="20"/>
          <w:lang w:val="en-US"/>
        </w:rPr>
      </w:pPr>
    </w:p>
    <w:p w14:paraId="676A5524" w14:textId="0B9C22DB" w:rsidR="003C2143" w:rsidRPr="00D869E3" w:rsidRDefault="00FC626C" w:rsidP="003C2143">
      <w:pPr>
        <w:pStyle w:val="Prrafodelista"/>
        <w:numPr>
          <w:ilvl w:val="0"/>
          <w:numId w:val="33"/>
        </w:numPr>
        <w:jc w:val="both"/>
        <w:rPr>
          <w:rFonts w:ascii="Verdana" w:hAnsi="Verdana"/>
          <w:b/>
          <w:sz w:val="20"/>
          <w:szCs w:val="20"/>
          <w:lang w:val="en-US"/>
        </w:rPr>
      </w:pPr>
      <w:r w:rsidRPr="00D869E3">
        <w:rPr>
          <w:rFonts w:ascii="Verdana" w:hAnsi="Verdana"/>
          <w:b/>
          <w:sz w:val="20"/>
          <w:szCs w:val="20"/>
          <w:lang w:val="en-US"/>
        </w:rPr>
        <w:t>Preliminary observations</w:t>
      </w:r>
    </w:p>
    <w:p w14:paraId="75514215" w14:textId="77777777" w:rsidR="003C2143" w:rsidRPr="00D869E3" w:rsidRDefault="003C2143" w:rsidP="003C2143">
      <w:pPr>
        <w:jc w:val="both"/>
        <w:rPr>
          <w:rFonts w:ascii="Verdana" w:hAnsi="Verdana"/>
          <w:b/>
          <w:sz w:val="20"/>
          <w:szCs w:val="20"/>
          <w:lang w:val="en-US"/>
        </w:rPr>
      </w:pPr>
    </w:p>
    <w:p w14:paraId="49611112" w14:textId="7E3B0F28" w:rsidR="003C2143" w:rsidRPr="00D869E3" w:rsidRDefault="00304025" w:rsidP="003C2143">
      <w:pPr>
        <w:jc w:val="both"/>
        <w:rPr>
          <w:rFonts w:ascii="Verdana" w:hAnsi="Verdana"/>
          <w:sz w:val="20"/>
          <w:szCs w:val="20"/>
          <w:lang w:val="en-US"/>
        </w:rPr>
      </w:pPr>
      <w:r w:rsidRPr="00D869E3">
        <w:rPr>
          <w:rFonts w:ascii="Verdana" w:hAnsi="Verdana"/>
          <w:sz w:val="20"/>
          <w:szCs w:val="20"/>
          <w:lang w:val="en-US"/>
        </w:rPr>
        <w:t xml:space="preserve">This opinion is evidently provided with full and absolute respect for the decision taken in this case by </w:t>
      </w:r>
      <w:r w:rsidR="00447C65" w:rsidRPr="00D869E3">
        <w:rPr>
          <w:rFonts w:ascii="Verdana" w:hAnsi="Verdana"/>
          <w:sz w:val="20"/>
          <w:szCs w:val="20"/>
          <w:lang w:val="en-US"/>
        </w:rPr>
        <w:t>the Inter-American Court of Human Rights</w:t>
      </w:r>
      <w:r w:rsidRPr="00D869E3">
        <w:rPr>
          <w:rFonts w:ascii="Verdana" w:hAnsi="Verdana"/>
          <w:sz w:val="20"/>
          <w:szCs w:val="20"/>
          <w:lang w:val="en-US"/>
        </w:rPr>
        <w:t>,</w:t>
      </w:r>
      <w:r w:rsidR="003C2143" w:rsidRPr="00D869E3">
        <w:rPr>
          <w:rStyle w:val="Refdenotaalpie"/>
          <w:szCs w:val="20"/>
          <w:lang w:val="en-US"/>
        </w:rPr>
        <w:footnoteReference w:id="370"/>
      </w:r>
      <w:r w:rsidR="00687684" w:rsidRPr="00D869E3">
        <w:rPr>
          <w:rFonts w:ascii="Verdana" w:hAnsi="Verdana"/>
          <w:sz w:val="20"/>
          <w:szCs w:val="20"/>
          <w:lang w:val="en-US"/>
        </w:rPr>
        <w:t xml:space="preserve"> </w:t>
      </w:r>
      <w:r w:rsidRPr="00D869E3">
        <w:rPr>
          <w:rFonts w:ascii="Verdana" w:hAnsi="Verdana"/>
          <w:sz w:val="20"/>
          <w:szCs w:val="20"/>
          <w:lang w:val="en-US"/>
        </w:rPr>
        <w:t>which must therefore be complied with. Consequently, this text should in no way be interpreted as detracting from the legitimacy of the decision taken in this case</w:t>
      </w:r>
      <w:r w:rsidR="003C2143" w:rsidRPr="00D869E3">
        <w:rPr>
          <w:rFonts w:ascii="Verdana" w:hAnsi="Verdana"/>
          <w:sz w:val="20"/>
          <w:szCs w:val="20"/>
          <w:lang w:val="en-US"/>
        </w:rPr>
        <w:t>.</w:t>
      </w:r>
      <w:r w:rsidR="00687684" w:rsidRPr="00D869E3">
        <w:rPr>
          <w:rFonts w:ascii="Verdana" w:hAnsi="Verdana"/>
          <w:sz w:val="20"/>
          <w:szCs w:val="20"/>
          <w:lang w:val="en-US"/>
        </w:rPr>
        <w:t xml:space="preserve"> </w:t>
      </w:r>
      <w:r w:rsidRPr="00D869E3">
        <w:rPr>
          <w:rFonts w:ascii="Verdana" w:hAnsi="Verdana"/>
          <w:sz w:val="20"/>
          <w:szCs w:val="20"/>
          <w:lang w:val="en-US"/>
        </w:rPr>
        <w:t>However, this opinion is issued not only in the exercise of a right, but also to meet an obligation, which is to contribute to a better understanding of the function assigned to the Court.</w:t>
      </w:r>
      <w:r w:rsidR="003C2143" w:rsidRPr="00D869E3">
        <w:rPr>
          <w:rFonts w:ascii="Verdana" w:hAnsi="Verdana"/>
          <w:sz w:val="20"/>
          <w:szCs w:val="20"/>
          <w:lang w:val="en-US"/>
        </w:rPr>
        <w:t xml:space="preserve"> </w:t>
      </w:r>
    </w:p>
    <w:p w14:paraId="2BD8B988" w14:textId="77777777" w:rsidR="003C2143" w:rsidRPr="00D869E3" w:rsidRDefault="003C2143" w:rsidP="003C2143">
      <w:pPr>
        <w:jc w:val="both"/>
        <w:rPr>
          <w:rFonts w:ascii="Verdana" w:hAnsi="Verdana"/>
          <w:sz w:val="20"/>
          <w:szCs w:val="20"/>
          <w:lang w:val="en-US"/>
        </w:rPr>
      </w:pPr>
    </w:p>
    <w:p w14:paraId="34524FA7" w14:textId="2DA061F1" w:rsidR="003C2143" w:rsidRPr="00D869E3" w:rsidRDefault="00A43856" w:rsidP="003C2143">
      <w:pPr>
        <w:jc w:val="both"/>
        <w:rPr>
          <w:rFonts w:ascii="Verdana" w:hAnsi="Verdana"/>
          <w:sz w:val="20"/>
          <w:szCs w:val="20"/>
          <w:lang w:val="en-US"/>
        </w:rPr>
      </w:pPr>
      <w:r w:rsidRPr="00D869E3">
        <w:rPr>
          <w:rFonts w:ascii="Verdana" w:hAnsi="Verdana"/>
          <w:sz w:val="20"/>
          <w:szCs w:val="20"/>
          <w:lang w:val="en-US"/>
        </w:rPr>
        <w:t xml:space="preserve">From that perspective, it should be pointed out that this opinion, such as others issued by the judges in this and other cases, </w:t>
      </w:r>
      <w:r w:rsidR="00D92CBF" w:rsidRPr="00D869E3">
        <w:rPr>
          <w:rFonts w:ascii="Verdana" w:hAnsi="Verdana"/>
          <w:sz w:val="20"/>
          <w:szCs w:val="20"/>
          <w:lang w:val="en-US"/>
        </w:rPr>
        <w:t>is</w:t>
      </w:r>
      <w:r w:rsidRPr="00D869E3">
        <w:rPr>
          <w:rFonts w:ascii="Verdana" w:hAnsi="Verdana"/>
          <w:sz w:val="20"/>
          <w:szCs w:val="20"/>
          <w:lang w:val="en-US"/>
        </w:rPr>
        <w:t xml:space="preserve"> a clear demonstration of the dialogue and the diversity of opinions that exist in the Court, as well as the deference shown to its members, all of which evidently enhances the delicate and transcendental task with which they are entrusted</w:t>
      </w:r>
      <w:r w:rsidR="003C2143" w:rsidRPr="00D869E3">
        <w:rPr>
          <w:rFonts w:ascii="Verdana" w:hAnsi="Verdana"/>
          <w:sz w:val="20"/>
          <w:szCs w:val="20"/>
          <w:lang w:val="en-US"/>
        </w:rPr>
        <w:t>.</w:t>
      </w:r>
    </w:p>
    <w:p w14:paraId="54C68AD0" w14:textId="77777777" w:rsidR="003C2143" w:rsidRPr="00D869E3" w:rsidRDefault="003C2143" w:rsidP="003C2143">
      <w:pPr>
        <w:jc w:val="both"/>
        <w:rPr>
          <w:rFonts w:ascii="Verdana" w:hAnsi="Verdana"/>
          <w:sz w:val="20"/>
          <w:szCs w:val="20"/>
          <w:lang w:val="en-US"/>
        </w:rPr>
      </w:pPr>
    </w:p>
    <w:p w14:paraId="5FC842E6" w14:textId="3902B0ED" w:rsidR="003C2143" w:rsidRPr="00D869E3" w:rsidRDefault="00A43856" w:rsidP="003C2143">
      <w:pPr>
        <w:jc w:val="both"/>
        <w:rPr>
          <w:rFonts w:ascii="Verdana" w:hAnsi="Verdana"/>
          <w:sz w:val="20"/>
          <w:szCs w:val="20"/>
          <w:lang w:val="en-US"/>
        </w:rPr>
      </w:pPr>
      <w:r w:rsidRPr="00D869E3">
        <w:rPr>
          <w:rFonts w:ascii="Verdana" w:hAnsi="Verdana"/>
          <w:sz w:val="20"/>
          <w:szCs w:val="20"/>
          <w:lang w:val="en-US"/>
        </w:rPr>
        <w:t xml:space="preserve">Furthermore, it should be noted that this text is based on the conviction that the work of the Court is to interpret and to apply </w:t>
      </w:r>
      <w:r w:rsidR="00447C65" w:rsidRPr="00D869E3">
        <w:rPr>
          <w:rFonts w:ascii="Verdana" w:hAnsi="Verdana"/>
          <w:sz w:val="20"/>
          <w:szCs w:val="20"/>
          <w:lang w:val="en-US"/>
        </w:rPr>
        <w:t>the Convention</w:t>
      </w:r>
      <w:r w:rsidRPr="00D869E3">
        <w:rPr>
          <w:rFonts w:ascii="Verdana" w:hAnsi="Verdana"/>
          <w:sz w:val="20"/>
          <w:szCs w:val="20"/>
          <w:lang w:val="en-US"/>
        </w:rPr>
        <w:t>;</w:t>
      </w:r>
      <w:r w:rsidR="003C2143" w:rsidRPr="00D869E3">
        <w:rPr>
          <w:rStyle w:val="Refdenotaalpie"/>
          <w:szCs w:val="20"/>
          <w:lang w:val="en-US"/>
        </w:rPr>
        <w:footnoteReference w:id="371"/>
      </w:r>
      <w:r w:rsidRPr="00D869E3">
        <w:rPr>
          <w:rFonts w:ascii="Verdana" w:hAnsi="Verdana"/>
          <w:sz w:val="20"/>
          <w:szCs w:val="20"/>
          <w:lang w:val="en-US"/>
        </w:rPr>
        <w:t xml:space="preserve"> that is, to indicate the meaning and scope of its provisions, which </w:t>
      </w:r>
      <w:r w:rsidR="00D92CBF" w:rsidRPr="00D869E3">
        <w:rPr>
          <w:rFonts w:ascii="Verdana" w:hAnsi="Verdana"/>
          <w:sz w:val="20"/>
          <w:szCs w:val="20"/>
          <w:lang w:val="en-US"/>
        </w:rPr>
        <w:t>may be applied in</w:t>
      </w:r>
      <w:r w:rsidRPr="00D869E3">
        <w:rPr>
          <w:rFonts w:ascii="Verdana" w:hAnsi="Verdana"/>
          <w:sz w:val="20"/>
          <w:szCs w:val="20"/>
          <w:lang w:val="en-US"/>
        </w:rPr>
        <w:t xml:space="preserve"> different </w:t>
      </w:r>
      <w:r w:rsidR="00D92CBF" w:rsidRPr="00D869E3">
        <w:rPr>
          <w:rFonts w:ascii="Verdana" w:hAnsi="Verdana"/>
          <w:sz w:val="20"/>
          <w:szCs w:val="20"/>
          <w:lang w:val="en-US"/>
        </w:rPr>
        <w:t>ways</w:t>
      </w:r>
      <w:r w:rsidR="0015166D" w:rsidRPr="00D869E3">
        <w:rPr>
          <w:rFonts w:ascii="Verdana" w:hAnsi="Verdana"/>
          <w:sz w:val="20"/>
          <w:szCs w:val="20"/>
          <w:lang w:val="en-US"/>
        </w:rPr>
        <w:t xml:space="preserve"> </w:t>
      </w:r>
      <w:r w:rsidRPr="00D869E3">
        <w:rPr>
          <w:rFonts w:ascii="Verdana" w:hAnsi="Verdana"/>
          <w:sz w:val="20"/>
          <w:szCs w:val="20"/>
          <w:lang w:val="en-US"/>
        </w:rPr>
        <w:t>since</w:t>
      </w:r>
      <w:r w:rsidR="00D92CBF" w:rsidRPr="00D869E3">
        <w:rPr>
          <w:rFonts w:ascii="Verdana" w:hAnsi="Verdana"/>
          <w:sz w:val="20"/>
          <w:szCs w:val="20"/>
          <w:lang w:val="en-US"/>
        </w:rPr>
        <w:t>,</w:t>
      </w:r>
      <w:r w:rsidRPr="00D869E3">
        <w:rPr>
          <w:rFonts w:ascii="Verdana" w:hAnsi="Verdana"/>
          <w:sz w:val="20"/>
          <w:szCs w:val="20"/>
          <w:lang w:val="en-US"/>
        </w:rPr>
        <w:t xml:space="preserve"> to some extent</w:t>
      </w:r>
      <w:r w:rsidR="00D92CBF" w:rsidRPr="00D869E3">
        <w:rPr>
          <w:rFonts w:ascii="Verdana" w:hAnsi="Verdana"/>
          <w:sz w:val="20"/>
          <w:szCs w:val="20"/>
          <w:lang w:val="en-US"/>
        </w:rPr>
        <w:t>, they are</w:t>
      </w:r>
      <w:r w:rsidRPr="00D869E3">
        <w:rPr>
          <w:rFonts w:ascii="Verdana" w:hAnsi="Verdana"/>
          <w:sz w:val="20"/>
          <w:szCs w:val="20"/>
          <w:lang w:val="en-US"/>
        </w:rPr>
        <w:t xml:space="preserve"> perceived to be obscure or debatable</w:t>
      </w:r>
      <w:r w:rsidR="0015166D" w:rsidRPr="00D869E3">
        <w:rPr>
          <w:rFonts w:ascii="Verdana" w:hAnsi="Verdana"/>
          <w:sz w:val="20"/>
          <w:szCs w:val="20"/>
          <w:lang w:val="en-US"/>
        </w:rPr>
        <w:t>. In this regard, it is not for the Court to amend the Convention, but merely to indicate what it really establishe</w:t>
      </w:r>
      <w:r w:rsidR="00D92CBF" w:rsidRPr="00D869E3">
        <w:rPr>
          <w:rFonts w:ascii="Verdana" w:hAnsi="Verdana"/>
          <w:sz w:val="20"/>
          <w:szCs w:val="20"/>
          <w:lang w:val="en-US"/>
        </w:rPr>
        <w:t>s</w:t>
      </w:r>
      <w:r w:rsidR="0015166D" w:rsidRPr="00D869E3">
        <w:rPr>
          <w:rFonts w:ascii="Verdana" w:hAnsi="Verdana"/>
          <w:sz w:val="20"/>
          <w:szCs w:val="20"/>
          <w:lang w:val="en-US"/>
        </w:rPr>
        <w:t xml:space="preserve"> and not what </w:t>
      </w:r>
      <w:r w:rsidR="00D92CBF" w:rsidRPr="00D869E3">
        <w:rPr>
          <w:rFonts w:ascii="Verdana" w:hAnsi="Verdana"/>
          <w:sz w:val="20"/>
          <w:szCs w:val="20"/>
          <w:lang w:val="en-US"/>
        </w:rPr>
        <w:t>the Court</w:t>
      </w:r>
      <w:r w:rsidR="0015166D" w:rsidRPr="00D869E3">
        <w:rPr>
          <w:rFonts w:ascii="Verdana" w:hAnsi="Verdana"/>
          <w:sz w:val="20"/>
          <w:szCs w:val="20"/>
          <w:lang w:val="en-US"/>
        </w:rPr>
        <w:t xml:space="preserve"> would like it to establish. Thus, </w:t>
      </w:r>
      <w:r w:rsidR="00D92CBF" w:rsidRPr="00D869E3">
        <w:rPr>
          <w:rFonts w:ascii="Verdana" w:hAnsi="Verdana"/>
          <w:sz w:val="20"/>
          <w:szCs w:val="20"/>
          <w:lang w:val="en-US"/>
        </w:rPr>
        <w:t>the Court’s</w:t>
      </w:r>
      <w:r w:rsidR="0015166D" w:rsidRPr="00D869E3">
        <w:rPr>
          <w:rFonts w:ascii="Verdana" w:hAnsi="Verdana"/>
          <w:sz w:val="20"/>
          <w:szCs w:val="20"/>
          <w:lang w:val="en-US"/>
        </w:rPr>
        <w:t xml:space="preserve"> function is to clarify the intention that the States Parties to the Convention had when signing it and, eventually, how it should be understood in relation to new situations. And, it is in order to determine that </w:t>
      </w:r>
      <w:r w:rsidR="00D92CBF" w:rsidRPr="00D869E3">
        <w:rPr>
          <w:rFonts w:ascii="Verdana" w:hAnsi="Verdana"/>
          <w:sz w:val="20"/>
          <w:szCs w:val="20"/>
          <w:lang w:val="en-US"/>
        </w:rPr>
        <w:t xml:space="preserve">intention </w:t>
      </w:r>
      <w:r w:rsidR="0015166D" w:rsidRPr="00D869E3">
        <w:rPr>
          <w:rFonts w:ascii="Verdana" w:hAnsi="Verdana"/>
          <w:sz w:val="20"/>
          <w:szCs w:val="20"/>
          <w:lang w:val="en-US"/>
        </w:rPr>
        <w:t xml:space="preserve">that it should abide by the rules for the interpretation of treaties contained in </w:t>
      </w:r>
      <w:r w:rsidR="00447C65" w:rsidRPr="00D869E3">
        <w:rPr>
          <w:rFonts w:ascii="Verdana" w:hAnsi="Verdana"/>
          <w:sz w:val="20"/>
          <w:szCs w:val="20"/>
          <w:lang w:val="en-US"/>
        </w:rPr>
        <w:t xml:space="preserve">the </w:t>
      </w:r>
      <w:r w:rsidR="00075E68" w:rsidRPr="00D869E3">
        <w:rPr>
          <w:rFonts w:ascii="Verdana" w:hAnsi="Verdana"/>
          <w:sz w:val="20"/>
          <w:szCs w:val="20"/>
          <w:lang w:val="en-US"/>
        </w:rPr>
        <w:t>Vienna Convention on the Law of Treaties</w:t>
      </w:r>
      <w:r w:rsidR="003C2143" w:rsidRPr="00D869E3">
        <w:rPr>
          <w:rFonts w:ascii="Verdana" w:hAnsi="Verdana"/>
          <w:sz w:val="20"/>
          <w:szCs w:val="20"/>
          <w:lang w:val="en-US"/>
        </w:rPr>
        <w:t xml:space="preserve"> </w:t>
      </w:r>
      <w:r w:rsidR="0015166D" w:rsidRPr="00D869E3">
        <w:rPr>
          <w:rFonts w:ascii="Verdana" w:hAnsi="Verdana"/>
          <w:sz w:val="20"/>
          <w:szCs w:val="20"/>
          <w:lang w:val="en-US"/>
        </w:rPr>
        <w:t>and, in particular, those established in its</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31</w:t>
      </w:r>
      <w:r w:rsidR="0015166D" w:rsidRPr="00D869E3">
        <w:rPr>
          <w:rFonts w:ascii="Verdana" w:hAnsi="Verdana"/>
          <w:sz w:val="20"/>
          <w:szCs w:val="20"/>
          <w:lang w:val="en-US"/>
        </w:rPr>
        <w:t>,</w:t>
      </w:r>
      <w:r w:rsidR="003C2143" w:rsidRPr="00D869E3">
        <w:rPr>
          <w:rStyle w:val="Refdenotaalpie"/>
          <w:szCs w:val="20"/>
          <w:lang w:val="en-US"/>
        </w:rPr>
        <w:footnoteReference w:id="372"/>
      </w:r>
      <w:r w:rsidR="0015166D" w:rsidRPr="00D869E3">
        <w:rPr>
          <w:rFonts w:ascii="Verdana" w:hAnsi="Verdana"/>
          <w:sz w:val="20"/>
          <w:szCs w:val="20"/>
          <w:lang w:val="en-US"/>
        </w:rPr>
        <w:t xml:space="preserve"> understanding that the four elements set out in it should be applied simultaneously and harmoniously.</w:t>
      </w:r>
    </w:p>
    <w:p w14:paraId="20BB5CA1" w14:textId="77777777" w:rsidR="003C2143" w:rsidRPr="00D869E3" w:rsidRDefault="003C2143" w:rsidP="003C2143">
      <w:pPr>
        <w:jc w:val="both"/>
        <w:rPr>
          <w:rFonts w:ascii="Verdana" w:hAnsi="Verdana"/>
          <w:sz w:val="20"/>
          <w:szCs w:val="20"/>
          <w:lang w:val="en-US"/>
        </w:rPr>
      </w:pPr>
    </w:p>
    <w:p w14:paraId="4EDD559E" w14:textId="79BD330E" w:rsidR="003C2143" w:rsidRPr="00D869E3" w:rsidRDefault="0015166D" w:rsidP="003C2143">
      <w:pPr>
        <w:jc w:val="both"/>
        <w:rPr>
          <w:rFonts w:ascii="Verdana" w:hAnsi="Verdana"/>
          <w:sz w:val="20"/>
          <w:szCs w:val="20"/>
          <w:lang w:val="en-US"/>
        </w:rPr>
      </w:pPr>
      <w:r w:rsidRPr="00D869E3">
        <w:rPr>
          <w:rFonts w:ascii="Verdana" w:hAnsi="Verdana"/>
          <w:sz w:val="20"/>
          <w:szCs w:val="20"/>
          <w:lang w:val="en-US"/>
        </w:rPr>
        <w:t>It is worth adding, in this regard, that the Court’s mandate is to impart justice us</w:t>
      </w:r>
      <w:r w:rsidR="00A15CDE" w:rsidRPr="00D869E3">
        <w:rPr>
          <w:rFonts w:ascii="Verdana" w:hAnsi="Verdana"/>
          <w:sz w:val="20"/>
          <w:szCs w:val="20"/>
          <w:lang w:val="en-US"/>
        </w:rPr>
        <w:t>ing the</w:t>
      </w:r>
      <w:r w:rsidRPr="00D869E3">
        <w:rPr>
          <w:rFonts w:ascii="Verdana" w:hAnsi="Verdana"/>
          <w:sz w:val="20"/>
          <w:szCs w:val="20"/>
          <w:lang w:val="en-US"/>
        </w:rPr>
        <w:t xml:space="preserve"> law.</w:t>
      </w:r>
      <w:r w:rsidR="003C2143" w:rsidRPr="00D869E3">
        <w:rPr>
          <w:rStyle w:val="Refdenotaalpie"/>
          <w:szCs w:val="20"/>
          <w:lang w:val="en-US"/>
        </w:rPr>
        <w:footnoteReference w:id="373"/>
      </w:r>
      <w:r w:rsidRPr="00D869E3">
        <w:rPr>
          <w:rFonts w:ascii="Verdana" w:hAnsi="Verdana"/>
          <w:sz w:val="20"/>
          <w:szCs w:val="20"/>
          <w:lang w:val="en-US"/>
        </w:rPr>
        <w:t xml:space="preserve"> It is not incumbent on the Court to promote human rights</w:t>
      </w:r>
      <w:r w:rsidR="003C2143" w:rsidRPr="00D869E3">
        <w:rPr>
          <w:rFonts w:ascii="Verdana" w:hAnsi="Verdana"/>
          <w:sz w:val="20"/>
          <w:szCs w:val="20"/>
          <w:lang w:val="en-US"/>
        </w:rPr>
        <w:t>,</w:t>
      </w:r>
      <w:r w:rsidRPr="00D869E3">
        <w:rPr>
          <w:rFonts w:ascii="Verdana" w:hAnsi="Verdana"/>
          <w:sz w:val="20"/>
          <w:szCs w:val="20"/>
          <w:lang w:val="en-US"/>
        </w:rPr>
        <w:t xml:space="preserve"> which is the function </w:t>
      </w:r>
      <w:r w:rsidR="00A15CDE" w:rsidRPr="00D869E3">
        <w:rPr>
          <w:rFonts w:ascii="Verdana" w:hAnsi="Verdana"/>
          <w:sz w:val="20"/>
          <w:szCs w:val="20"/>
          <w:lang w:val="en-US"/>
        </w:rPr>
        <w:t xml:space="preserve">that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r w:rsidR="00A15CDE" w:rsidRPr="00D869E3">
        <w:rPr>
          <w:rFonts w:ascii="Verdana" w:hAnsi="Verdana"/>
          <w:sz w:val="20"/>
          <w:szCs w:val="20"/>
          <w:lang w:val="en-US"/>
        </w:rPr>
        <w:t xml:space="preserve">assigns </w:t>
      </w:r>
      <w:r w:rsidR="00304025" w:rsidRPr="00D869E3">
        <w:rPr>
          <w:rFonts w:ascii="Verdana" w:hAnsi="Verdana"/>
          <w:sz w:val="20"/>
          <w:szCs w:val="20"/>
          <w:lang w:val="en-US"/>
        </w:rPr>
        <w:t>to</w:t>
      </w:r>
      <w:r w:rsidR="003C2143" w:rsidRPr="00D869E3">
        <w:rPr>
          <w:rFonts w:ascii="Verdana" w:hAnsi="Verdana"/>
          <w:sz w:val="20"/>
          <w:szCs w:val="20"/>
          <w:lang w:val="en-US"/>
        </w:rPr>
        <w:t xml:space="preserve"> </w:t>
      </w:r>
      <w:r w:rsidR="00447C65" w:rsidRPr="00D869E3">
        <w:rPr>
          <w:rFonts w:ascii="Verdana" w:hAnsi="Verdana"/>
          <w:sz w:val="20"/>
          <w:szCs w:val="20"/>
          <w:lang w:val="en-US"/>
        </w:rPr>
        <w:t>the Inter-American Commission on Human Rights</w:t>
      </w:r>
      <w:r w:rsidRPr="00D869E3">
        <w:rPr>
          <w:rFonts w:ascii="Verdana" w:hAnsi="Verdana"/>
          <w:sz w:val="20"/>
          <w:szCs w:val="20"/>
          <w:lang w:val="en-US"/>
        </w:rPr>
        <w:t>.</w:t>
      </w:r>
      <w:r w:rsidR="003C2143" w:rsidRPr="00D869E3">
        <w:rPr>
          <w:rStyle w:val="Refdenotaalpie"/>
          <w:szCs w:val="20"/>
          <w:lang w:val="en-US"/>
        </w:rPr>
        <w:footnoteReference w:id="374"/>
      </w:r>
      <w:r w:rsidR="003C2143" w:rsidRPr="00D869E3">
        <w:rPr>
          <w:rFonts w:ascii="Verdana" w:hAnsi="Verdana"/>
          <w:sz w:val="20"/>
          <w:szCs w:val="20"/>
          <w:lang w:val="en-US"/>
        </w:rPr>
        <w:t xml:space="preserve"> Conse</w:t>
      </w:r>
      <w:r w:rsidRPr="00D869E3">
        <w:rPr>
          <w:rFonts w:ascii="Verdana" w:hAnsi="Verdana"/>
          <w:sz w:val="20"/>
          <w:szCs w:val="20"/>
          <w:lang w:val="en-US"/>
        </w:rPr>
        <w:t>quently, as a judicial organ, the Court does not have the authority to rule outside or disregarding</w:t>
      </w:r>
      <w:r w:rsidR="00A15CDE" w:rsidRPr="00D869E3">
        <w:rPr>
          <w:rFonts w:ascii="Verdana" w:hAnsi="Verdana"/>
          <w:sz w:val="20"/>
          <w:szCs w:val="20"/>
          <w:lang w:val="en-US"/>
        </w:rPr>
        <w:t xml:space="preserve"> the</w:t>
      </w:r>
      <w:r w:rsidRPr="00D869E3">
        <w:rPr>
          <w:rFonts w:ascii="Verdana" w:hAnsi="Verdana"/>
          <w:sz w:val="20"/>
          <w:szCs w:val="20"/>
          <w:lang w:val="en-US"/>
        </w:rPr>
        <w:t xml:space="preserve"> legal provisions e</w:t>
      </w:r>
      <w:r w:rsidR="00A15CDE" w:rsidRPr="00D869E3">
        <w:rPr>
          <w:rFonts w:ascii="Verdana" w:hAnsi="Verdana"/>
          <w:sz w:val="20"/>
          <w:szCs w:val="20"/>
          <w:lang w:val="en-US"/>
        </w:rPr>
        <w:t>stablish</w:t>
      </w:r>
      <w:r w:rsidRPr="00D869E3">
        <w:rPr>
          <w:rFonts w:ascii="Verdana" w:hAnsi="Verdana"/>
          <w:sz w:val="20"/>
          <w:szCs w:val="20"/>
          <w:lang w:val="en-US"/>
        </w:rPr>
        <w:t xml:space="preserve">ed, for the purposes of the Court, in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p>
    <w:p w14:paraId="195A9301" w14:textId="77777777" w:rsidR="00C21EDC" w:rsidRPr="00D869E3" w:rsidRDefault="00C21EDC" w:rsidP="003C2143">
      <w:pPr>
        <w:jc w:val="both"/>
        <w:rPr>
          <w:rFonts w:ascii="Verdana" w:hAnsi="Verdana"/>
          <w:sz w:val="20"/>
          <w:szCs w:val="20"/>
          <w:lang w:val="en-US"/>
        </w:rPr>
      </w:pPr>
    </w:p>
    <w:p w14:paraId="238BAB36" w14:textId="51F322F6" w:rsidR="003C2143" w:rsidRPr="00D869E3" w:rsidRDefault="0015166D" w:rsidP="003C2143">
      <w:pPr>
        <w:jc w:val="both"/>
        <w:rPr>
          <w:rFonts w:ascii="Verdana" w:hAnsi="Verdana"/>
          <w:sz w:val="20"/>
          <w:szCs w:val="20"/>
          <w:lang w:val="en-US"/>
        </w:rPr>
      </w:pPr>
      <w:bookmarkStart w:id="81" w:name="_Hlk27220866"/>
      <w:r w:rsidRPr="00D869E3">
        <w:rPr>
          <w:rFonts w:ascii="Verdana" w:hAnsi="Verdana"/>
          <w:sz w:val="20"/>
          <w:szCs w:val="20"/>
          <w:lang w:val="en-US"/>
        </w:rPr>
        <w:t>This dissent is</w:t>
      </w:r>
      <w:r w:rsidR="00CF0B80" w:rsidRPr="00D869E3">
        <w:rPr>
          <w:rFonts w:ascii="Verdana" w:hAnsi="Verdana"/>
          <w:sz w:val="20"/>
          <w:szCs w:val="20"/>
          <w:lang w:val="en-US"/>
        </w:rPr>
        <w:t xml:space="preserve"> manifested</w:t>
      </w:r>
      <w:r w:rsidR="00C21EDC" w:rsidRPr="00D869E3">
        <w:rPr>
          <w:rFonts w:ascii="Verdana" w:hAnsi="Verdana"/>
          <w:sz w:val="20"/>
          <w:szCs w:val="20"/>
          <w:lang w:val="en-US"/>
        </w:rPr>
        <w:t xml:space="preserve">, therefore, with the hope that, in future, it will be adopted either by the Court’s case law or by a new provision of international law. Regarding the former, </w:t>
      </w:r>
      <w:r w:rsidR="00EF4F73" w:rsidRPr="00D869E3">
        <w:rPr>
          <w:rFonts w:ascii="Verdana" w:hAnsi="Verdana"/>
          <w:sz w:val="20"/>
          <w:szCs w:val="20"/>
          <w:lang w:val="en-US"/>
        </w:rPr>
        <w:t>because</w:t>
      </w:r>
      <w:r w:rsidR="00C21EDC" w:rsidRPr="00D869E3">
        <w:rPr>
          <w:rFonts w:ascii="Verdana" w:hAnsi="Verdana"/>
          <w:sz w:val="20"/>
          <w:szCs w:val="20"/>
          <w:lang w:val="en-US"/>
        </w:rPr>
        <w:t xml:space="preserve"> the Court’s judgment is only binding for the State that is a party to the case in which it is delivered,</w:t>
      </w:r>
      <w:r w:rsidR="003C2143" w:rsidRPr="00D869E3">
        <w:rPr>
          <w:rStyle w:val="Refdenotaalpie"/>
          <w:szCs w:val="20"/>
          <w:lang w:val="en-US"/>
        </w:rPr>
        <w:footnoteReference w:id="375"/>
      </w:r>
      <w:r w:rsidR="00C21EDC" w:rsidRPr="00D869E3">
        <w:rPr>
          <w:rFonts w:ascii="Verdana" w:hAnsi="Verdana"/>
          <w:sz w:val="20"/>
          <w:szCs w:val="20"/>
          <w:lang w:val="en-US"/>
        </w:rPr>
        <w:t xml:space="preserve"> </w:t>
      </w:r>
      <w:r w:rsidR="001A17CF" w:rsidRPr="00D869E3">
        <w:rPr>
          <w:rFonts w:ascii="Verdana" w:hAnsi="Verdana"/>
          <w:sz w:val="20"/>
          <w:szCs w:val="20"/>
          <w:lang w:val="en-US"/>
        </w:rPr>
        <w:t xml:space="preserve">and thus, </w:t>
      </w:r>
      <w:r w:rsidR="00EF4F73" w:rsidRPr="00D869E3">
        <w:rPr>
          <w:rFonts w:ascii="Verdana" w:hAnsi="Verdana"/>
          <w:sz w:val="20"/>
          <w:szCs w:val="20"/>
          <w:lang w:val="en-US"/>
        </w:rPr>
        <w:t xml:space="preserve">the Court’s case law, as an ancillary source of international law and, </w:t>
      </w:r>
      <w:r w:rsidR="00EF4F73" w:rsidRPr="00D869E3">
        <w:rPr>
          <w:rFonts w:ascii="Verdana" w:hAnsi="Verdana"/>
          <w:sz w:val="20"/>
          <w:szCs w:val="20"/>
          <w:lang w:val="en-US"/>
        </w:rPr>
        <w:lastRenderedPageBreak/>
        <w:t xml:space="preserve">consequently, a means of </w:t>
      </w:r>
      <w:r w:rsidR="006436CA" w:rsidRPr="00D869E3">
        <w:rPr>
          <w:rFonts w:ascii="Verdana" w:hAnsi="Verdana"/>
          <w:sz w:val="20"/>
          <w:szCs w:val="20"/>
          <w:lang w:val="en-US"/>
        </w:rPr>
        <w:t>“</w:t>
      </w:r>
      <w:r w:rsidR="00EF4F73" w:rsidRPr="00D869E3">
        <w:rPr>
          <w:rFonts w:ascii="Verdana" w:hAnsi="Verdana"/>
          <w:sz w:val="20"/>
          <w:szCs w:val="20"/>
          <w:lang w:val="en-US"/>
        </w:rPr>
        <w:t>determining the rules of law</w:t>
      </w:r>
      <w:r w:rsidR="006436CA" w:rsidRPr="00D869E3">
        <w:rPr>
          <w:rFonts w:ascii="Verdana" w:hAnsi="Verdana"/>
          <w:sz w:val="20"/>
          <w:szCs w:val="20"/>
          <w:lang w:val="en-US"/>
        </w:rPr>
        <w:t>”</w:t>
      </w:r>
      <w:r w:rsidR="00EF4F73" w:rsidRPr="00D869E3">
        <w:rPr>
          <w:rFonts w:ascii="Verdana" w:hAnsi="Verdana"/>
          <w:sz w:val="20"/>
          <w:szCs w:val="20"/>
          <w:lang w:val="en-US"/>
        </w:rPr>
        <w:t xml:space="preserve"> established by an autonomous source of international law – in other words, treaty, custom, general principle of</w:t>
      </w:r>
      <w:r w:rsidR="00C21EDC" w:rsidRPr="00D869E3">
        <w:rPr>
          <w:rFonts w:ascii="Verdana" w:hAnsi="Verdana"/>
          <w:sz w:val="20"/>
          <w:szCs w:val="20"/>
          <w:lang w:val="en-US"/>
        </w:rPr>
        <w:t xml:space="preserve"> law or unilateral legal act</w:t>
      </w:r>
      <w:r w:rsidR="003C2143" w:rsidRPr="00D869E3">
        <w:rPr>
          <w:rFonts w:ascii="Verdana" w:hAnsi="Verdana"/>
          <w:sz w:val="20"/>
          <w:szCs w:val="20"/>
          <w:lang w:val="en-US"/>
        </w:rPr>
        <w:t>,</w:t>
      </w:r>
      <w:r w:rsidR="003C2143" w:rsidRPr="00D869E3">
        <w:rPr>
          <w:rStyle w:val="Refdenotaalpie"/>
          <w:szCs w:val="20"/>
          <w:lang w:val="en-US"/>
        </w:rPr>
        <w:footnoteReference w:id="376"/>
      </w:r>
      <w:r w:rsidR="003C2143" w:rsidRPr="00D869E3">
        <w:rPr>
          <w:rFonts w:ascii="Verdana" w:hAnsi="Verdana"/>
          <w:sz w:val="20"/>
          <w:szCs w:val="20"/>
          <w:lang w:val="en-US"/>
        </w:rPr>
        <w:t xml:space="preserve"> </w:t>
      </w:r>
      <w:r w:rsidR="00C21EDC" w:rsidRPr="00D869E3">
        <w:rPr>
          <w:rFonts w:ascii="Verdana" w:hAnsi="Verdana"/>
          <w:sz w:val="20"/>
          <w:szCs w:val="20"/>
          <w:lang w:val="en-US"/>
        </w:rPr>
        <w:t>may, in future change when judgment</w:t>
      </w:r>
      <w:r w:rsidR="00EF4F73" w:rsidRPr="00D869E3">
        <w:rPr>
          <w:rFonts w:ascii="Verdana" w:hAnsi="Verdana"/>
          <w:sz w:val="20"/>
          <w:szCs w:val="20"/>
          <w:lang w:val="en-US"/>
        </w:rPr>
        <w:t xml:space="preserve"> is handed down</w:t>
      </w:r>
      <w:r w:rsidR="00C21EDC" w:rsidRPr="00D869E3">
        <w:rPr>
          <w:rFonts w:ascii="Verdana" w:hAnsi="Verdana"/>
          <w:sz w:val="20"/>
          <w:szCs w:val="20"/>
          <w:lang w:val="en-US"/>
        </w:rPr>
        <w:t xml:space="preserve"> in another case. And, regarding the latter, </w:t>
      </w:r>
      <w:r w:rsidR="00EF4F73" w:rsidRPr="00D869E3">
        <w:rPr>
          <w:rFonts w:ascii="Verdana" w:hAnsi="Verdana"/>
          <w:sz w:val="20"/>
          <w:szCs w:val="20"/>
          <w:lang w:val="en-US"/>
        </w:rPr>
        <w:t>because</w:t>
      </w:r>
      <w:r w:rsidR="00C21EDC" w:rsidRPr="00D869E3">
        <w:rPr>
          <w:rFonts w:ascii="Verdana" w:hAnsi="Verdana"/>
          <w:sz w:val="20"/>
          <w:szCs w:val="20"/>
          <w:lang w:val="en-US"/>
        </w:rPr>
        <w:t xml:space="preserve"> the</w:t>
      </w:r>
      <w:r w:rsidR="00CF0B80" w:rsidRPr="00D869E3">
        <w:rPr>
          <w:rFonts w:ascii="Verdana" w:hAnsi="Verdana"/>
          <w:sz w:val="20"/>
          <w:szCs w:val="20"/>
          <w:lang w:val="en-US"/>
        </w:rPr>
        <w:t xml:space="preserve"> function of developing</w:t>
      </w:r>
      <w:r w:rsidR="00C21EDC" w:rsidRPr="00D869E3">
        <w:rPr>
          <w:rFonts w:ascii="Verdana" w:hAnsi="Verdana"/>
          <w:sz w:val="20"/>
          <w:szCs w:val="20"/>
          <w:lang w:val="en-US"/>
        </w:rPr>
        <w:t xml:space="preserve"> international </w:t>
      </w:r>
      <w:r w:rsidR="00A15CDE" w:rsidRPr="00D869E3">
        <w:rPr>
          <w:rFonts w:ascii="Verdana" w:hAnsi="Verdana"/>
          <w:sz w:val="20"/>
          <w:szCs w:val="20"/>
          <w:lang w:val="en-US"/>
        </w:rPr>
        <w:t>standards</w:t>
      </w:r>
      <w:r w:rsidR="00CF0B80" w:rsidRPr="00D869E3">
        <w:rPr>
          <w:rFonts w:ascii="Verdana" w:hAnsi="Verdana"/>
          <w:sz w:val="20"/>
          <w:szCs w:val="20"/>
          <w:lang w:val="en-US"/>
        </w:rPr>
        <w:t xml:space="preserve"> is </w:t>
      </w:r>
      <w:r w:rsidR="00EF4F73" w:rsidRPr="00D869E3">
        <w:rPr>
          <w:rFonts w:ascii="Verdana" w:hAnsi="Verdana"/>
          <w:sz w:val="20"/>
          <w:szCs w:val="20"/>
          <w:lang w:val="en-US"/>
        </w:rPr>
        <w:t xml:space="preserve">a </w:t>
      </w:r>
      <w:r w:rsidR="00CF0B80" w:rsidRPr="00D869E3">
        <w:rPr>
          <w:rFonts w:ascii="Verdana" w:hAnsi="Verdana"/>
          <w:sz w:val="20"/>
          <w:szCs w:val="20"/>
          <w:lang w:val="en-US"/>
        </w:rPr>
        <w:t>matter for</w:t>
      </w:r>
      <w:r w:rsidR="00C21EDC" w:rsidRPr="00D869E3">
        <w:rPr>
          <w:rFonts w:ascii="Verdana" w:hAnsi="Verdana"/>
          <w:sz w:val="20"/>
          <w:szCs w:val="20"/>
          <w:lang w:val="en-US"/>
        </w:rPr>
        <w:t xml:space="preserve"> the States and, in the case of the Convention, its States Parties, </w:t>
      </w:r>
      <w:r w:rsidR="00A15CDE" w:rsidRPr="00D869E3">
        <w:rPr>
          <w:rFonts w:ascii="Verdana" w:hAnsi="Verdana"/>
          <w:sz w:val="20"/>
          <w:szCs w:val="20"/>
          <w:lang w:val="en-US"/>
        </w:rPr>
        <w:t>by</w:t>
      </w:r>
      <w:r w:rsidR="00C21EDC" w:rsidRPr="00D869E3">
        <w:rPr>
          <w:rFonts w:ascii="Verdana" w:hAnsi="Verdana"/>
          <w:sz w:val="20"/>
          <w:szCs w:val="20"/>
          <w:lang w:val="en-US"/>
        </w:rPr>
        <w:t xml:space="preserve"> amendments to the Convention</w:t>
      </w:r>
      <w:bookmarkEnd w:id="81"/>
      <w:r w:rsidR="00C21EDC" w:rsidRPr="00D869E3">
        <w:rPr>
          <w:rFonts w:ascii="Verdana" w:hAnsi="Verdana"/>
          <w:sz w:val="20"/>
          <w:szCs w:val="20"/>
          <w:lang w:val="en-US"/>
        </w:rPr>
        <w:t>.</w:t>
      </w:r>
      <w:r w:rsidR="003C2143" w:rsidRPr="00D869E3">
        <w:rPr>
          <w:rStyle w:val="Refdenotaalpie"/>
          <w:szCs w:val="20"/>
          <w:lang w:val="en-US"/>
        </w:rPr>
        <w:footnoteReference w:id="377"/>
      </w:r>
    </w:p>
    <w:p w14:paraId="4033FE06" w14:textId="77777777" w:rsidR="003C2143" w:rsidRPr="00D869E3" w:rsidRDefault="003C2143" w:rsidP="003C2143">
      <w:pPr>
        <w:jc w:val="both"/>
        <w:rPr>
          <w:rFonts w:ascii="Verdana" w:hAnsi="Verdana"/>
          <w:sz w:val="20"/>
          <w:szCs w:val="20"/>
          <w:lang w:val="en-US"/>
        </w:rPr>
      </w:pPr>
    </w:p>
    <w:p w14:paraId="1EC42A0E" w14:textId="4385D8EC" w:rsidR="001A17CF" w:rsidRPr="00D869E3" w:rsidRDefault="001A17CF" w:rsidP="003C2143">
      <w:pPr>
        <w:jc w:val="both"/>
        <w:rPr>
          <w:rFonts w:ascii="Verdana" w:hAnsi="Verdana"/>
          <w:sz w:val="20"/>
          <w:szCs w:val="20"/>
          <w:lang w:val="en-US"/>
        </w:rPr>
      </w:pPr>
      <w:r w:rsidRPr="00D869E3">
        <w:rPr>
          <w:rFonts w:ascii="Verdana" w:hAnsi="Verdana"/>
          <w:sz w:val="20"/>
          <w:szCs w:val="20"/>
          <w:lang w:val="en-US"/>
        </w:rPr>
        <w:t xml:space="preserve">Therefore, </w:t>
      </w:r>
      <w:r w:rsidR="00A15CDE" w:rsidRPr="00D869E3">
        <w:rPr>
          <w:rFonts w:ascii="Verdana" w:hAnsi="Verdana"/>
          <w:sz w:val="20"/>
          <w:szCs w:val="20"/>
          <w:lang w:val="en-US"/>
        </w:rPr>
        <w:t>I</w:t>
      </w:r>
      <w:r w:rsidRPr="00D869E3">
        <w:rPr>
          <w:rFonts w:ascii="Verdana" w:hAnsi="Verdana"/>
          <w:sz w:val="20"/>
          <w:szCs w:val="20"/>
          <w:lang w:val="en-US"/>
        </w:rPr>
        <w:t xml:space="preserve"> </w:t>
      </w:r>
      <w:r w:rsidR="00DD42B2" w:rsidRPr="00D869E3">
        <w:rPr>
          <w:rFonts w:ascii="Verdana" w:hAnsi="Verdana"/>
          <w:sz w:val="20"/>
          <w:szCs w:val="20"/>
          <w:lang w:val="en-US"/>
        </w:rPr>
        <w:t>wish to</w:t>
      </w:r>
      <w:r w:rsidRPr="00D869E3">
        <w:rPr>
          <w:rFonts w:ascii="Verdana" w:hAnsi="Verdana"/>
          <w:sz w:val="20"/>
          <w:szCs w:val="20"/>
          <w:lang w:val="en-US"/>
        </w:rPr>
        <w:t xml:space="preserve"> put on record that, the considerations se</w:t>
      </w:r>
      <w:r w:rsidR="00A15CDE" w:rsidRPr="00D869E3">
        <w:rPr>
          <w:rFonts w:ascii="Verdana" w:hAnsi="Verdana"/>
          <w:sz w:val="20"/>
          <w:szCs w:val="20"/>
          <w:lang w:val="en-US"/>
        </w:rPr>
        <w:t>t</w:t>
      </w:r>
      <w:r w:rsidRPr="00D869E3">
        <w:rPr>
          <w:rFonts w:ascii="Verdana" w:hAnsi="Verdana"/>
          <w:sz w:val="20"/>
          <w:szCs w:val="20"/>
          <w:lang w:val="en-US"/>
        </w:rPr>
        <w:t xml:space="preserve"> forth in this opinion do not seek, under any circumstance, to weaken or restrict the effectiveness of human rights, but rather, precisely the contrary. Indeed, </w:t>
      </w:r>
      <w:r w:rsidR="00A15CDE" w:rsidRPr="00D869E3">
        <w:rPr>
          <w:rFonts w:ascii="Verdana" w:hAnsi="Verdana"/>
          <w:sz w:val="20"/>
          <w:szCs w:val="20"/>
          <w:lang w:val="en-US"/>
        </w:rPr>
        <w:t>the following considerations</w:t>
      </w:r>
      <w:r w:rsidRPr="00D869E3">
        <w:rPr>
          <w:rFonts w:ascii="Verdana" w:hAnsi="Verdana"/>
          <w:sz w:val="20"/>
          <w:szCs w:val="20"/>
          <w:lang w:val="en-US"/>
        </w:rPr>
        <w:t xml:space="preserve"> respond to the certainty that real respect </w:t>
      </w:r>
      <w:r w:rsidR="00A15CDE" w:rsidRPr="00D869E3">
        <w:rPr>
          <w:rFonts w:ascii="Verdana" w:hAnsi="Verdana"/>
          <w:sz w:val="20"/>
          <w:szCs w:val="20"/>
          <w:lang w:val="en-US"/>
        </w:rPr>
        <w:t>for</w:t>
      </w:r>
      <w:r w:rsidRPr="00D869E3">
        <w:rPr>
          <w:rFonts w:ascii="Verdana" w:hAnsi="Verdana"/>
          <w:sz w:val="20"/>
          <w:szCs w:val="20"/>
          <w:lang w:val="en-US"/>
        </w:rPr>
        <w:t xml:space="preserve"> human rights is achieved if the States Parties to the Convention are required to comply with what they freely and sovereignly </w:t>
      </w:r>
      <w:r w:rsidR="00A15CDE" w:rsidRPr="00D869E3">
        <w:rPr>
          <w:rFonts w:ascii="Verdana" w:hAnsi="Verdana"/>
          <w:sz w:val="20"/>
          <w:szCs w:val="20"/>
          <w:lang w:val="en-US"/>
        </w:rPr>
        <w:t>accepted</w:t>
      </w:r>
      <w:r w:rsidRPr="00D869E3">
        <w:rPr>
          <w:rFonts w:ascii="Verdana" w:hAnsi="Verdana"/>
          <w:sz w:val="20"/>
          <w:szCs w:val="20"/>
          <w:lang w:val="en-US"/>
        </w:rPr>
        <w:t>. In this regard, legal certainty plays a fundamental role and, consequently, cannot be understood as a limitation or restriction to the development of human rights, but rather as the instrument that can best ensure real respect for them or their prompt re-establishment, if they have been violated.</w:t>
      </w:r>
    </w:p>
    <w:p w14:paraId="477D18A2" w14:textId="725BFB4B" w:rsidR="003C2143" w:rsidRPr="00D869E3" w:rsidRDefault="003C2143" w:rsidP="003C2143">
      <w:pPr>
        <w:jc w:val="both"/>
        <w:rPr>
          <w:rFonts w:ascii="Verdana" w:hAnsi="Verdana"/>
          <w:sz w:val="20"/>
          <w:szCs w:val="20"/>
          <w:lang w:val="en-US"/>
        </w:rPr>
      </w:pPr>
    </w:p>
    <w:p w14:paraId="2526E402" w14:textId="2F7F5711" w:rsidR="003C2143" w:rsidRPr="00D869E3" w:rsidRDefault="00D72EAC" w:rsidP="003C2143">
      <w:pPr>
        <w:jc w:val="both"/>
        <w:rPr>
          <w:rFonts w:ascii="Verdana" w:hAnsi="Verdana"/>
          <w:sz w:val="20"/>
          <w:szCs w:val="20"/>
          <w:lang w:val="en-US"/>
        </w:rPr>
      </w:pPr>
      <w:r w:rsidRPr="00D869E3">
        <w:rPr>
          <w:rFonts w:ascii="Verdana" w:hAnsi="Verdana"/>
          <w:sz w:val="20"/>
          <w:szCs w:val="20"/>
          <w:lang w:val="en-US"/>
        </w:rPr>
        <w:t xml:space="preserve">What underlies this text is, therefore, </w:t>
      </w:r>
      <w:r w:rsidR="00A15CDE" w:rsidRPr="00D869E3">
        <w:rPr>
          <w:rFonts w:ascii="Verdana" w:hAnsi="Verdana"/>
          <w:sz w:val="20"/>
          <w:szCs w:val="20"/>
          <w:lang w:val="en-US"/>
        </w:rPr>
        <w:t xml:space="preserve">the fact </w:t>
      </w:r>
      <w:r w:rsidRPr="00D869E3">
        <w:rPr>
          <w:rFonts w:ascii="Verdana" w:hAnsi="Verdana"/>
          <w:sz w:val="20"/>
          <w:szCs w:val="20"/>
          <w:lang w:val="en-US"/>
        </w:rPr>
        <w:t>that law is the means to achie</w:t>
      </w:r>
      <w:r w:rsidR="00A15CDE" w:rsidRPr="00D869E3">
        <w:rPr>
          <w:rFonts w:ascii="Verdana" w:hAnsi="Verdana"/>
          <w:sz w:val="20"/>
          <w:szCs w:val="20"/>
          <w:lang w:val="en-US"/>
        </w:rPr>
        <w:t>ve</w:t>
      </w:r>
      <w:r w:rsidRPr="00D869E3">
        <w:rPr>
          <w:rFonts w:ascii="Verdana" w:hAnsi="Verdana"/>
          <w:sz w:val="20"/>
          <w:szCs w:val="20"/>
          <w:lang w:val="en-US"/>
        </w:rPr>
        <w:t xml:space="preserve"> justice, and justice to achieve peace and, consequently, given that international human rights law forms part of general international law, the interpretation and application of the former should be carried out in harmony with the provisions of the latter.</w:t>
      </w:r>
      <w:r w:rsidR="003C2143" w:rsidRPr="00D869E3">
        <w:rPr>
          <w:rStyle w:val="Refdenotaalpie"/>
          <w:szCs w:val="20"/>
          <w:lang w:val="en-US"/>
        </w:rPr>
        <w:footnoteReference w:id="378"/>
      </w:r>
      <w:r w:rsidR="003C2143" w:rsidRPr="00D869E3">
        <w:rPr>
          <w:rFonts w:ascii="Verdana" w:hAnsi="Verdana"/>
          <w:sz w:val="20"/>
          <w:szCs w:val="20"/>
          <w:lang w:val="en-US"/>
        </w:rPr>
        <w:t xml:space="preserve"> </w:t>
      </w:r>
    </w:p>
    <w:p w14:paraId="6005DC71" w14:textId="77777777" w:rsidR="003C2143" w:rsidRPr="00D869E3" w:rsidRDefault="003C2143" w:rsidP="003C2143">
      <w:pPr>
        <w:jc w:val="both"/>
        <w:rPr>
          <w:rFonts w:ascii="Verdana" w:hAnsi="Verdana"/>
          <w:sz w:val="20"/>
          <w:szCs w:val="20"/>
          <w:lang w:val="en-US"/>
        </w:rPr>
      </w:pPr>
    </w:p>
    <w:p w14:paraId="7CC75678" w14:textId="7B24784C" w:rsidR="006D23CE" w:rsidRPr="00D869E3" w:rsidRDefault="00D72EAC" w:rsidP="003C2143">
      <w:pPr>
        <w:jc w:val="both"/>
        <w:rPr>
          <w:rFonts w:ascii="Verdana" w:hAnsi="Verdana"/>
          <w:sz w:val="20"/>
          <w:szCs w:val="20"/>
          <w:lang w:val="en-US"/>
        </w:rPr>
      </w:pPr>
      <w:r w:rsidRPr="00D869E3">
        <w:rPr>
          <w:rFonts w:ascii="Verdana" w:hAnsi="Verdana"/>
          <w:sz w:val="20"/>
          <w:szCs w:val="20"/>
          <w:lang w:val="en-US"/>
        </w:rPr>
        <w:t xml:space="preserve">In addition, it is relevant to indicate that this text also responds to the circumstance that the Court, as a judicial organ, enjoys the broadest autonomy in is task, </w:t>
      </w:r>
      <w:r w:rsidR="006D23CE" w:rsidRPr="00D869E3">
        <w:rPr>
          <w:rFonts w:ascii="Verdana" w:hAnsi="Verdana"/>
          <w:sz w:val="20"/>
          <w:szCs w:val="20"/>
          <w:lang w:val="en-US"/>
        </w:rPr>
        <w:t>since</w:t>
      </w:r>
      <w:r w:rsidRPr="00D869E3">
        <w:rPr>
          <w:rFonts w:ascii="Verdana" w:hAnsi="Verdana"/>
          <w:sz w:val="20"/>
          <w:szCs w:val="20"/>
          <w:lang w:val="en-US"/>
        </w:rPr>
        <w:t xml:space="preserve"> there is no higher authority that can control its conduct, a characteristic that means that it is essential </w:t>
      </w:r>
      <w:r w:rsidR="006D23CE" w:rsidRPr="00D869E3">
        <w:rPr>
          <w:rFonts w:ascii="Verdana" w:hAnsi="Verdana"/>
          <w:sz w:val="20"/>
          <w:szCs w:val="20"/>
          <w:lang w:val="en-US"/>
        </w:rPr>
        <w:t>for</w:t>
      </w:r>
      <w:r w:rsidRPr="00D869E3">
        <w:rPr>
          <w:rFonts w:ascii="Verdana" w:hAnsi="Verdana"/>
          <w:sz w:val="20"/>
          <w:szCs w:val="20"/>
          <w:lang w:val="en-US"/>
        </w:rPr>
        <w:t xml:space="preserve"> the Court </w:t>
      </w:r>
      <w:r w:rsidR="006D23CE" w:rsidRPr="00D869E3">
        <w:rPr>
          <w:rFonts w:ascii="Verdana" w:hAnsi="Verdana"/>
          <w:sz w:val="20"/>
          <w:szCs w:val="20"/>
          <w:lang w:val="en-US"/>
        </w:rPr>
        <w:t>to be</w:t>
      </w:r>
      <w:r w:rsidRPr="00D869E3">
        <w:rPr>
          <w:rFonts w:ascii="Verdana" w:hAnsi="Verdana"/>
          <w:sz w:val="20"/>
          <w:szCs w:val="20"/>
          <w:lang w:val="en-US"/>
        </w:rPr>
        <w:t xml:space="preserve"> extremely rigorous in the exercise of it</w:t>
      </w:r>
      <w:r w:rsidR="006D23CE" w:rsidRPr="00D869E3">
        <w:rPr>
          <w:rFonts w:ascii="Verdana" w:hAnsi="Verdana"/>
          <w:sz w:val="20"/>
          <w:szCs w:val="20"/>
          <w:lang w:val="en-US"/>
        </w:rPr>
        <w:t>s</w:t>
      </w:r>
      <w:r w:rsidRPr="00D869E3">
        <w:rPr>
          <w:rFonts w:ascii="Verdana" w:hAnsi="Verdana"/>
          <w:sz w:val="20"/>
          <w:szCs w:val="20"/>
          <w:lang w:val="en-US"/>
        </w:rPr>
        <w:t xml:space="preserve"> jurisdiction, in order not to </w:t>
      </w:r>
      <w:r w:rsidR="00DD42B2" w:rsidRPr="00D869E3">
        <w:rPr>
          <w:rFonts w:ascii="Verdana" w:hAnsi="Verdana"/>
          <w:sz w:val="20"/>
          <w:szCs w:val="20"/>
          <w:lang w:val="en-US"/>
        </w:rPr>
        <w:t>distort</w:t>
      </w:r>
      <w:r w:rsidRPr="00D869E3">
        <w:rPr>
          <w:rFonts w:ascii="Verdana" w:hAnsi="Verdana"/>
          <w:sz w:val="20"/>
          <w:szCs w:val="20"/>
          <w:lang w:val="en-US"/>
        </w:rPr>
        <w:t xml:space="preserve"> </w:t>
      </w:r>
      <w:r w:rsidR="00DD42B2" w:rsidRPr="00D869E3">
        <w:rPr>
          <w:rFonts w:ascii="Verdana" w:hAnsi="Verdana"/>
          <w:sz w:val="20"/>
          <w:szCs w:val="20"/>
          <w:lang w:val="en-US"/>
        </w:rPr>
        <w:t>this</w:t>
      </w:r>
      <w:r w:rsidRPr="00D869E3">
        <w:rPr>
          <w:rFonts w:ascii="Verdana" w:hAnsi="Verdana"/>
          <w:sz w:val="20"/>
          <w:szCs w:val="20"/>
          <w:lang w:val="en-US"/>
        </w:rPr>
        <w:t xml:space="preserve"> and, consequently, weaken the inter-American system for the protection of human rights. In this regard, the following </w:t>
      </w:r>
      <w:r w:rsidR="006D23CE" w:rsidRPr="00D869E3">
        <w:rPr>
          <w:rFonts w:ascii="Verdana" w:hAnsi="Verdana"/>
          <w:sz w:val="20"/>
          <w:szCs w:val="20"/>
          <w:lang w:val="en-US"/>
        </w:rPr>
        <w:t>opinion</w:t>
      </w:r>
      <w:r w:rsidRPr="00D869E3">
        <w:rPr>
          <w:rFonts w:ascii="Verdana" w:hAnsi="Verdana"/>
          <w:sz w:val="20"/>
          <w:szCs w:val="20"/>
          <w:lang w:val="en-US"/>
        </w:rPr>
        <w:t xml:space="preserve"> seek</w:t>
      </w:r>
      <w:r w:rsidR="006D23CE" w:rsidRPr="00D869E3">
        <w:rPr>
          <w:rFonts w:ascii="Verdana" w:hAnsi="Verdana"/>
          <w:sz w:val="20"/>
          <w:szCs w:val="20"/>
          <w:lang w:val="en-US"/>
        </w:rPr>
        <w:t>s</w:t>
      </w:r>
      <w:r w:rsidRPr="00D869E3">
        <w:rPr>
          <w:rFonts w:ascii="Verdana" w:hAnsi="Verdana"/>
          <w:sz w:val="20"/>
          <w:szCs w:val="20"/>
          <w:lang w:val="en-US"/>
        </w:rPr>
        <w:t xml:space="preserve"> to ensure the broadest po</w:t>
      </w:r>
      <w:r w:rsidR="006D23CE" w:rsidRPr="00D869E3">
        <w:rPr>
          <w:rFonts w:ascii="Verdana" w:hAnsi="Verdana"/>
          <w:sz w:val="20"/>
          <w:szCs w:val="20"/>
          <w:lang w:val="en-US"/>
        </w:rPr>
        <w:t>s</w:t>
      </w:r>
      <w:r w:rsidRPr="00D869E3">
        <w:rPr>
          <w:rFonts w:ascii="Verdana" w:hAnsi="Verdana"/>
          <w:sz w:val="20"/>
          <w:szCs w:val="20"/>
          <w:lang w:val="en-US"/>
        </w:rPr>
        <w:t xml:space="preserve">sible recognition of the Court by all those who appear before it and, thus, to strengthen its capacity as a judicial organ and, consequently, as the most </w:t>
      </w:r>
      <w:r w:rsidR="006D23CE" w:rsidRPr="00D869E3">
        <w:rPr>
          <w:rFonts w:ascii="Verdana" w:hAnsi="Verdana"/>
          <w:sz w:val="20"/>
          <w:szCs w:val="20"/>
          <w:lang w:val="en-US"/>
        </w:rPr>
        <w:t>proficient</w:t>
      </w:r>
      <w:r w:rsidRPr="00D869E3">
        <w:rPr>
          <w:rFonts w:ascii="Verdana" w:hAnsi="Verdana"/>
          <w:sz w:val="20"/>
          <w:szCs w:val="20"/>
          <w:lang w:val="en-US"/>
        </w:rPr>
        <w:t xml:space="preserve"> entity of hemispheric scope </w:t>
      </w:r>
      <w:r w:rsidR="006D23CE" w:rsidRPr="00D869E3">
        <w:rPr>
          <w:rFonts w:ascii="Verdana" w:hAnsi="Verdana"/>
          <w:sz w:val="20"/>
          <w:szCs w:val="20"/>
          <w:lang w:val="en-US"/>
        </w:rPr>
        <w:t xml:space="preserve">that has been created to </w:t>
      </w:r>
      <w:r w:rsidR="006D23CE" w:rsidRPr="00D869E3">
        <w:rPr>
          <w:rFonts w:ascii="Verdana" w:hAnsi="Verdana"/>
          <w:sz w:val="20"/>
          <w:szCs w:val="20"/>
          <w:lang w:val="en-US"/>
        </w:rPr>
        <w:lastRenderedPageBreak/>
        <w:t xml:space="preserve">safeguard human rights. Thus, it is necessary to persist in improving and consolidating it, without subjecting it to risks that could affect this effort adversely. </w:t>
      </w:r>
    </w:p>
    <w:p w14:paraId="41200DAD" w14:textId="77777777" w:rsidR="003C2143" w:rsidRPr="00D869E3" w:rsidRDefault="003C2143" w:rsidP="003C2143">
      <w:pPr>
        <w:jc w:val="both"/>
        <w:rPr>
          <w:rFonts w:ascii="Verdana" w:hAnsi="Verdana"/>
          <w:sz w:val="20"/>
          <w:szCs w:val="20"/>
          <w:lang w:val="en-US"/>
        </w:rPr>
      </w:pPr>
    </w:p>
    <w:p w14:paraId="05B976ED" w14:textId="5C2647B1" w:rsidR="003C2143" w:rsidRPr="00D869E3" w:rsidRDefault="00A31B5D" w:rsidP="003C2143">
      <w:pPr>
        <w:pStyle w:val="Prrafodelista"/>
        <w:numPr>
          <w:ilvl w:val="0"/>
          <w:numId w:val="33"/>
        </w:numPr>
        <w:jc w:val="both"/>
        <w:rPr>
          <w:rFonts w:ascii="Verdana" w:hAnsi="Verdana"/>
          <w:b/>
          <w:sz w:val="20"/>
          <w:szCs w:val="20"/>
          <w:lang w:val="en-US"/>
        </w:rPr>
      </w:pPr>
      <w:r w:rsidRPr="00D869E3">
        <w:rPr>
          <w:rFonts w:ascii="Verdana" w:hAnsi="Verdana"/>
          <w:b/>
          <w:sz w:val="20"/>
          <w:szCs w:val="20"/>
          <w:lang w:val="en-US"/>
        </w:rPr>
        <w:t>The dissent</w:t>
      </w:r>
    </w:p>
    <w:p w14:paraId="371403BE" w14:textId="77777777" w:rsidR="003C2143" w:rsidRPr="00D869E3" w:rsidRDefault="003C2143" w:rsidP="003C2143">
      <w:pPr>
        <w:jc w:val="both"/>
        <w:rPr>
          <w:rFonts w:ascii="Verdana" w:hAnsi="Verdana"/>
          <w:b/>
          <w:sz w:val="20"/>
          <w:szCs w:val="20"/>
          <w:lang w:val="en-US"/>
        </w:rPr>
      </w:pPr>
    </w:p>
    <w:p w14:paraId="15E058DB" w14:textId="3934B32D" w:rsidR="003C2143" w:rsidRPr="00D869E3" w:rsidRDefault="00A31B5D" w:rsidP="003C2143">
      <w:pPr>
        <w:jc w:val="both"/>
        <w:rPr>
          <w:rFonts w:ascii="Verdana" w:hAnsi="Verdana"/>
          <w:sz w:val="20"/>
          <w:szCs w:val="20"/>
          <w:lang w:val="en-US"/>
        </w:rPr>
      </w:pPr>
      <w:r w:rsidRPr="00D869E3">
        <w:rPr>
          <w:rFonts w:ascii="Verdana" w:hAnsi="Verdana"/>
          <w:sz w:val="20"/>
          <w:szCs w:val="20"/>
          <w:lang w:val="en-US"/>
        </w:rPr>
        <w:t xml:space="preserve">The partial dissent indicated in this opinion refers, as indicated, to the violation of two rights, the right to </w:t>
      </w:r>
      <w:r w:rsidR="00DD42B2" w:rsidRPr="00D869E3">
        <w:rPr>
          <w:rFonts w:ascii="Verdana" w:hAnsi="Verdana"/>
          <w:sz w:val="20"/>
          <w:szCs w:val="20"/>
          <w:lang w:val="en-US"/>
        </w:rPr>
        <w:t xml:space="preserve">job </w:t>
      </w:r>
      <w:r w:rsidRPr="00D869E3">
        <w:rPr>
          <w:rFonts w:ascii="Verdana" w:hAnsi="Verdana"/>
          <w:sz w:val="20"/>
          <w:szCs w:val="20"/>
          <w:lang w:val="en-US"/>
        </w:rPr>
        <w:t>security and the right to freedom of association.</w:t>
      </w:r>
    </w:p>
    <w:p w14:paraId="5ABD9250" w14:textId="77777777" w:rsidR="003C2143" w:rsidRPr="00D869E3" w:rsidRDefault="003C2143" w:rsidP="003C2143">
      <w:pPr>
        <w:jc w:val="both"/>
        <w:rPr>
          <w:rFonts w:ascii="Verdana" w:hAnsi="Verdana"/>
          <w:sz w:val="20"/>
          <w:szCs w:val="20"/>
          <w:lang w:val="en-US"/>
        </w:rPr>
      </w:pPr>
    </w:p>
    <w:p w14:paraId="35A2EF37" w14:textId="25F87116" w:rsidR="003C2143" w:rsidRPr="00D869E3" w:rsidRDefault="008107B9" w:rsidP="003C2143">
      <w:pPr>
        <w:pStyle w:val="Prrafodelista"/>
        <w:numPr>
          <w:ilvl w:val="0"/>
          <w:numId w:val="34"/>
        </w:numPr>
        <w:jc w:val="both"/>
        <w:rPr>
          <w:rFonts w:ascii="Verdana" w:hAnsi="Verdana"/>
          <w:b/>
          <w:bCs/>
          <w:sz w:val="20"/>
          <w:szCs w:val="20"/>
          <w:lang w:val="en-US"/>
        </w:rPr>
      </w:pPr>
      <w:r w:rsidRPr="00D869E3">
        <w:rPr>
          <w:rFonts w:ascii="Verdana" w:hAnsi="Verdana"/>
          <w:b/>
          <w:bCs/>
          <w:sz w:val="20"/>
          <w:szCs w:val="20"/>
          <w:lang w:val="en-US"/>
        </w:rPr>
        <w:t xml:space="preserve">Right to </w:t>
      </w:r>
      <w:r w:rsidR="00DD42B2" w:rsidRPr="00D869E3">
        <w:rPr>
          <w:rFonts w:ascii="Verdana" w:hAnsi="Verdana"/>
          <w:b/>
          <w:bCs/>
          <w:sz w:val="20"/>
          <w:szCs w:val="20"/>
          <w:lang w:val="en-US"/>
        </w:rPr>
        <w:t xml:space="preserve">job </w:t>
      </w:r>
      <w:r w:rsidRPr="00D869E3">
        <w:rPr>
          <w:rFonts w:ascii="Verdana" w:hAnsi="Verdana"/>
          <w:b/>
          <w:bCs/>
          <w:sz w:val="20"/>
          <w:szCs w:val="20"/>
          <w:lang w:val="en-US"/>
        </w:rPr>
        <w:t>security</w:t>
      </w:r>
    </w:p>
    <w:p w14:paraId="46BFD6E3" w14:textId="77777777" w:rsidR="003C2143" w:rsidRPr="00D869E3" w:rsidRDefault="003C2143" w:rsidP="003C2143">
      <w:pPr>
        <w:pStyle w:val="Prrafodelista"/>
        <w:ind w:left="0"/>
        <w:jc w:val="both"/>
        <w:rPr>
          <w:rFonts w:ascii="Verdana" w:hAnsi="Verdana"/>
          <w:sz w:val="20"/>
          <w:szCs w:val="20"/>
          <w:lang w:val="en-US"/>
        </w:rPr>
      </w:pPr>
    </w:p>
    <w:p w14:paraId="48A3AE5D" w14:textId="6A545F57" w:rsidR="003C2143" w:rsidRPr="00D869E3" w:rsidRDefault="006D23CE" w:rsidP="003C2143">
      <w:pPr>
        <w:jc w:val="both"/>
        <w:rPr>
          <w:rFonts w:ascii="Verdana" w:hAnsi="Verdana"/>
          <w:sz w:val="20"/>
          <w:szCs w:val="20"/>
          <w:lang w:val="en-US"/>
        </w:rPr>
      </w:pPr>
      <w:r w:rsidRPr="00D869E3">
        <w:rPr>
          <w:rFonts w:ascii="Verdana" w:hAnsi="Verdana"/>
          <w:sz w:val="20"/>
          <w:szCs w:val="20"/>
          <w:lang w:val="en-US"/>
        </w:rPr>
        <w:t xml:space="preserve">Regarding the right to </w:t>
      </w:r>
      <w:r w:rsidR="00817AA4" w:rsidRPr="00D869E3">
        <w:rPr>
          <w:rFonts w:ascii="Verdana" w:hAnsi="Verdana"/>
          <w:sz w:val="20"/>
          <w:szCs w:val="20"/>
          <w:lang w:val="en-US"/>
        </w:rPr>
        <w:t xml:space="preserve">job </w:t>
      </w:r>
      <w:r w:rsidR="003811C4" w:rsidRPr="00D869E3">
        <w:rPr>
          <w:rFonts w:ascii="Verdana" w:hAnsi="Verdana"/>
          <w:sz w:val="20"/>
          <w:szCs w:val="20"/>
          <w:lang w:val="en-US"/>
        </w:rPr>
        <w:t>security</w:t>
      </w:r>
      <w:r w:rsidR="003C2143" w:rsidRPr="00D869E3">
        <w:rPr>
          <w:rFonts w:ascii="Verdana" w:hAnsi="Verdana"/>
          <w:sz w:val="20"/>
          <w:szCs w:val="20"/>
          <w:lang w:val="en-US"/>
        </w:rPr>
        <w:t xml:space="preserve">, </w:t>
      </w:r>
      <w:r w:rsidRPr="00D869E3">
        <w:rPr>
          <w:rFonts w:ascii="Verdana" w:hAnsi="Verdana"/>
          <w:sz w:val="20"/>
          <w:szCs w:val="20"/>
          <w:lang w:val="en-US"/>
        </w:rPr>
        <w:t xml:space="preserve">it must be indicated that my dissent in this matter does not refer to the existence of this right, or to that of the other economic, social and cultural rights. There is no doubt about this, because it is evident that they are embodied in the international law applicable </w:t>
      </w:r>
      <w:r w:rsidR="00817AA4" w:rsidRPr="00D869E3">
        <w:rPr>
          <w:rFonts w:ascii="Verdana" w:hAnsi="Verdana"/>
          <w:sz w:val="20"/>
          <w:szCs w:val="20"/>
          <w:lang w:val="en-US"/>
        </w:rPr>
        <w:t>in</w:t>
      </w:r>
      <w:r w:rsidRPr="00D869E3">
        <w:rPr>
          <w:rFonts w:ascii="Verdana" w:hAnsi="Verdana"/>
          <w:sz w:val="20"/>
          <w:szCs w:val="20"/>
          <w:lang w:val="en-US"/>
        </w:rPr>
        <w:t xml:space="preserve"> the States of the Americas and, particularly with regard to the right to work, in the Additional Protocol to </w:t>
      </w:r>
      <w:r w:rsidR="00447C65" w:rsidRPr="00D869E3">
        <w:rPr>
          <w:rFonts w:ascii="Verdana" w:hAnsi="Verdana"/>
          <w:iCs/>
          <w:sz w:val="20"/>
          <w:szCs w:val="20"/>
          <w:lang w:val="en-US"/>
        </w:rPr>
        <w:t>the American Convention on Human Rights</w:t>
      </w:r>
      <w:r w:rsidR="003C2143" w:rsidRPr="00D869E3">
        <w:rPr>
          <w:rFonts w:ascii="Verdana" w:hAnsi="Verdana"/>
          <w:iCs/>
          <w:sz w:val="20"/>
          <w:szCs w:val="20"/>
          <w:lang w:val="en-US"/>
        </w:rPr>
        <w:t xml:space="preserve"> </w:t>
      </w:r>
      <w:r w:rsidRPr="00D869E3">
        <w:rPr>
          <w:rFonts w:ascii="Verdana" w:hAnsi="Verdana"/>
          <w:iCs/>
          <w:sz w:val="20"/>
          <w:szCs w:val="20"/>
          <w:lang w:val="en-US"/>
        </w:rPr>
        <w:t xml:space="preserve">in the Area of Economic, Social and Cultural Rights, </w:t>
      </w:r>
      <w:r w:rsidR="003C2143" w:rsidRPr="00D869E3">
        <w:rPr>
          <w:rFonts w:ascii="Verdana" w:hAnsi="Verdana"/>
          <w:iCs/>
          <w:sz w:val="20"/>
          <w:szCs w:val="20"/>
          <w:lang w:val="en-US"/>
        </w:rPr>
        <w:t xml:space="preserve">Protocol </w:t>
      </w:r>
      <w:r w:rsidRPr="00D869E3">
        <w:rPr>
          <w:rFonts w:ascii="Verdana" w:hAnsi="Verdana"/>
          <w:iCs/>
          <w:sz w:val="20"/>
          <w:szCs w:val="20"/>
          <w:lang w:val="en-US"/>
        </w:rPr>
        <w:t xml:space="preserve">of </w:t>
      </w:r>
      <w:r w:rsidR="003C2143" w:rsidRPr="00D869E3">
        <w:rPr>
          <w:rFonts w:ascii="Verdana" w:hAnsi="Verdana"/>
          <w:iCs/>
          <w:sz w:val="20"/>
          <w:szCs w:val="20"/>
          <w:lang w:val="en-US"/>
        </w:rPr>
        <w:t>San Salvador</w:t>
      </w:r>
      <w:r w:rsidRPr="00D869E3">
        <w:rPr>
          <w:rFonts w:ascii="Verdana" w:hAnsi="Verdana"/>
          <w:i/>
          <w:sz w:val="20"/>
          <w:szCs w:val="20"/>
          <w:lang w:val="en-US"/>
        </w:rPr>
        <w:t>.</w:t>
      </w:r>
    </w:p>
    <w:p w14:paraId="4A64EED7" w14:textId="77777777" w:rsidR="003C2143" w:rsidRPr="00D869E3" w:rsidRDefault="003C2143" w:rsidP="003C2143">
      <w:pPr>
        <w:jc w:val="both"/>
        <w:rPr>
          <w:rFonts w:ascii="Verdana" w:hAnsi="Verdana"/>
          <w:sz w:val="20"/>
          <w:szCs w:val="20"/>
          <w:lang w:val="en-US"/>
        </w:rPr>
      </w:pPr>
    </w:p>
    <w:p w14:paraId="3643C109" w14:textId="36FA850E" w:rsidR="00414B6B" w:rsidRPr="00D869E3" w:rsidRDefault="00414B6B" w:rsidP="003C2143">
      <w:pPr>
        <w:jc w:val="both"/>
        <w:rPr>
          <w:rFonts w:ascii="Verdana" w:hAnsi="Verdana"/>
          <w:sz w:val="20"/>
          <w:szCs w:val="20"/>
          <w:lang w:val="en-US"/>
        </w:rPr>
      </w:pPr>
      <w:r w:rsidRPr="00D869E3">
        <w:rPr>
          <w:rFonts w:ascii="Verdana" w:hAnsi="Verdana"/>
          <w:sz w:val="20"/>
          <w:szCs w:val="20"/>
          <w:lang w:val="en-US"/>
        </w:rPr>
        <w:t xml:space="preserve">Rather, this </w:t>
      </w:r>
      <w:r w:rsidR="00817AA4" w:rsidRPr="00D869E3">
        <w:rPr>
          <w:rFonts w:ascii="Verdana" w:hAnsi="Verdana"/>
          <w:sz w:val="20"/>
          <w:szCs w:val="20"/>
          <w:lang w:val="en-US"/>
        </w:rPr>
        <w:t>opinion</w:t>
      </w:r>
      <w:r w:rsidRPr="00D869E3">
        <w:rPr>
          <w:rFonts w:ascii="Verdana" w:hAnsi="Verdana"/>
          <w:sz w:val="20"/>
          <w:szCs w:val="20"/>
          <w:lang w:val="en-US"/>
        </w:rPr>
        <w:t xml:space="preserve"> </w:t>
      </w:r>
      <w:r w:rsidR="00817AA4" w:rsidRPr="00D869E3">
        <w:rPr>
          <w:rFonts w:ascii="Verdana" w:hAnsi="Verdana"/>
          <w:sz w:val="20"/>
          <w:szCs w:val="20"/>
          <w:lang w:val="en-US"/>
        </w:rPr>
        <w:t>relates to</w:t>
      </w:r>
      <w:r w:rsidRPr="00D869E3">
        <w:rPr>
          <w:rFonts w:ascii="Verdana" w:hAnsi="Verdana"/>
          <w:sz w:val="20"/>
          <w:szCs w:val="20"/>
          <w:lang w:val="en-US"/>
        </w:rPr>
        <w:t xml:space="preserve"> the fact that</w:t>
      </w:r>
      <w:r w:rsidR="00817AA4" w:rsidRPr="00D869E3">
        <w:rPr>
          <w:rFonts w:ascii="Verdana" w:hAnsi="Verdana"/>
          <w:sz w:val="20"/>
          <w:szCs w:val="20"/>
          <w:lang w:val="en-US"/>
        </w:rPr>
        <w:t>,</w:t>
      </w:r>
      <w:r w:rsidRPr="00D869E3">
        <w:rPr>
          <w:rFonts w:ascii="Verdana" w:hAnsi="Verdana"/>
          <w:sz w:val="20"/>
          <w:szCs w:val="20"/>
          <w:lang w:val="en-US"/>
        </w:rPr>
        <w:t xml:space="preserve"> in the instant case, it was not a matter of determining the existence of the right to </w:t>
      </w:r>
      <w:r w:rsidR="00817AA4" w:rsidRPr="00D869E3">
        <w:rPr>
          <w:rFonts w:ascii="Verdana" w:hAnsi="Verdana"/>
          <w:sz w:val="20"/>
          <w:szCs w:val="20"/>
          <w:lang w:val="en-US"/>
        </w:rPr>
        <w:t xml:space="preserve">job </w:t>
      </w:r>
      <w:r w:rsidRPr="00D869E3">
        <w:rPr>
          <w:rFonts w:ascii="Verdana" w:hAnsi="Verdana"/>
          <w:sz w:val="20"/>
          <w:szCs w:val="20"/>
          <w:lang w:val="en-US"/>
        </w:rPr>
        <w:t>security as the judgment does,</w:t>
      </w:r>
      <w:r w:rsidR="003C2143" w:rsidRPr="00D869E3">
        <w:rPr>
          <w:rStyle w:val="Refdenotaalpie"/>
          <w:szCs w:val="20"/>
          <w:lang w:val="en-US"/>
        </w:rPr>
        <w:footnoteReference w:id="379"/>
      </w:r>
      <w:r w:rsidRPr="00D869E3">
        <w:rPr>
          <w:rFonts w:ascii="Verdana" w:hAnsi="Verdana"/>
          <w:sz w:val="20"/>
          <w:szCs w:val="20"/>
          <w:lang w:val="en-US"/>
        </w:rPr>
        <w:t xml:space="preserve"> but whether its possible violation by the State could be submitted to the consideration and decision of the Court. The disputed issue related, therefore, to whether the right to </w:t>
      </w:r>
      <w:r w:rsidR="00817AA4" w:rsidRPr="00D869E3">
        <w:rPr>
          <w:rFonts w:ascii="Verdana" w:hAnsi="Verdana"/>
          <w:sz w:val="20"/>
          <w:szCs w:val="20"/>
          <w:lang w:val="en-US"/>
        </w:rPr>
        <w:t xml:space="preserve">job </w:t>
      </w:r>
      <w:r w:rsidRPr="00D869E3">
        <w:rPr>
          <w:rFonts w:ascii="Verdana" w:hAnsi="Verdana"/>
          <w:sz w:val="20"/>
          <w:szCs w:val="20"/>
          <w:lang w:val="en-US"/>
        </w:rPr>
        <w:t>security could be heard by the Court; in other words, whether the Court ha</w:t>
      </w:r>
      <w:r w:rsidR="00817AA4" w:rsidRPr="00D869E3">
        <w:rPr>
          <w:rFonts w:ascii="Verdana" w:hAnsi="Verdana"/>
          <w:sz w:val="20"/>
          <w:szCs w:val="20"/>
          <w:lang w:val="en-US"/>
        </w:rPr>
        <w:t>d</w:t>
      </w:r>
      <w:r w:rsidRPr="00D869E3">
        <w:rPr>
          <w:rFonts w:ascii="Verdana" w:hAnsi="Verdana"/>
          <w:sz w:val="20"/>
          <w:szCs w:val="20"/>
          <w:lang w:val="en-US"/>
        </w:rPr>
        <w:t xml:space="preserve"> competence, under the provisions of Article 26 of the Convention, to rule on the possible violation of this right.</w:t>
      </w:r>
    </w:p>
    <w:p w14:paraId="2A9DB9FE" w14:textId="77777777" w:rsidR="003C2143" w:rsidRPr="00D869E3" w:rsidRDefault="003C2143" w:rsidP="003C2143">
      <w:pPr>
        <w:jc w:val="both"/>
        <w:rPr>
          <w:rFonts w:ascii="Verdana" w:hAnsi="Verdana"/>
          <w:sz w:val="20"/>
          <w:szCs w:val="20"/>
          <w:lang w:val="en-US"/>
        </w:rPr>
      </w:pPr>
    </w:p>
    <w:p w14:paraId="0E1153BB" w14:textId="69C4909B" w:rsidR="00414B6B" w:rsidRPr="00D869E3" w:rsidRDefault="00414B6B" w:rsidP="003C2143">
      <w:pPr>
        <w:jc w:val="both"/>
        <w:rPr>
          <w:rFonts w:ascii="Verdana" w:hAnsi="Verdana"/>
          <w:sz w:val="20"/>
          <w:szCs w:val="20"/>
          <w:lang w:val="en-US"/>
        </w:rPr>
      </w:pPr>
      <w:r w:rsidRPr="00D869E3">
        <w:rPr>
          <w:rFonts w:ascii="Verdana" w:hAnsi="Verdana"/>
          <w:sz w:val="20"/>
          <w:szCs w:val="20"/>
          <w:lang w:val="en-US"/>
        </w:rPr>
        <w:t xml:space="preserve">The thesis supported by this text is based on the fact that the Court lacks this competence; that is, it asserts, contrary to the judgment, that the right to </w:t>
      </w:r>
      <w:r w:rsidR="00817AA4" w:rsidRPr="00D869E3">
        <w:rPr>
          <w:rFonts w:ascii="Verdana" w:hAnsi="Verdana"/>
          <w:sz w:val="20"/>
          <w:szCs w:val="20"/>
          <w:lang w:val="en-US"/>
        </w:rPr>
        <w:t xml:space="preserve">job </w:t>
      </w:r>
      <w:r w:rsidRPr="00D869E3">
        <w:rPr>
          <w:rFonts w:ascii="Verdana" w:hAnsi="Verdana"/>
          <w:sz w:val="20"/>
          <w:szCs w:val="20"/>
          <w:lang w:val="en-US"/>
        </w:rPr>
        <w:t>security cannot be tried internationally before the Court</w:t>
      </w:r>
      <w:r w:rsidR="0067754F" w:rsidRPr="00D869E3">
        <w:rPr>
          <w:rFonts w:ascii="Verdana" w:hAnsi="Verdana"/>
          <w:sz w:val="20"/>
          <w:szCs w:val="20"/>
          <w:lang w:val="en-US"/>
        </w:rPr>
        <w:t>. And t</w:t>
      </w:r>
      <w:r w:rsidRPr="00D869E3">
        <w:rPr>
          <w:rFonts w:ascii="Verdana" w:hAnsi="Verdana"/>
          <w:sz w:val="20"/>
          <w:szCs w:val="20"/>
          <w:lang w:val="en-US"/>
        </w:rPr>
        <w:t>his</w:t>
      </w:r>
      <w:r w:rsidR="0067754F" w:rsidRPr="00D869E3">
        <w:rPr>
          <w:rFonts w:ascii="Verdana" w:hAnsi="Verdana"/>
          <w:sz w:val="20"/>
          <w:szCs w:val="20"/>
          <w:lang w:val="en-US"/>
        </w:rPr>
        <w:t>,</w:t>
      </w:r>
      <w:r w:rsidRPr="00D869E3">
        <w:rPr>
          <w:rFonts w:ascii="Verdana" w:hAnsi="Verdana"/>
          <w:sz w:val="20"/>
          <w:szCs w:val="20"/>
          <w:lang w:val="en-US"/>
        </w:rPr>
        <w:t xml:space="preserve"> based on reasons that will be set forth below, grouped around the provisions of the Convention</w:t>
      </w:r>
      <w:r w:rsidR="0067754F" w:rsidRPr="00D869E3">
        <w:rPr>
          <w:rFonts w:ascii="Verdana" w:hAnsi="Verdana"/>
          <w:sz w:val="20"/>
          <w:szCs w:val="20"/>
          <w:lang w:val="en-US"/>
        </w:rPr>
        <w:t xml:space="preserve">; </w:t>
      </w:r>
      <w:r w:rsidRPr="00D869E3">
        <w:rPr>
          <w:rFonts w:ascii="Verdana" w:hAnsi="Verdana"/>
          <w:sz w:val="20"/>
          <w:szCs w:val="20"/>
          <w:lang w:val="en-US"/>
        </w:rPr>
        <w:t>the provisions of its Article 26</w:t>
      </w:r>
      <w:r w:rsidR="0067754F" w:rsidRPr="00D869E3">
        <w:rPr>
          <w:rFonts w:ascii="Verdana" w:hAnsi="Verdana"/>
          <w:sz w:val="20"/>
          <w:szCs w:val="20"/>
          <w:lang w:val="en-US"/>
        </w:rPr>
        <w:t xml:space="preserve"> in particular</w:t>
      </w:r>
      <w:r w:rsidRPr="00D869E3">
        <w:rPr>
          <w:rFonts w:ascii="Verdana" w:hAnsi="Verdana"/>
          <w:sz w:val="20"/>
          <w:szCs w:val="20"/>
          <w:lang w:val="en-US"/>
        </w:rPr>
        <w:t xml:space="preserve"> and, finally, some other considerations </w:t>
      </w:r>
      <w:r w:rsidR="0067754F" w:rsidRPr="00D869E3">
        <w:rPr>
          <w:rFonts w:ascii="Verdana" w:hAnsi="Verdana"/>
          <w:sz w:val="20"/>
          <w:szCs w:val="20"/>
          <w:lang w:val="en-US"/>
        </w:rPr>
        <w:t>with regard to</w:t>
      </w:r>
      <w:r w:rsidRPr="00D869E3">
        <w:rPr>
          <w:rFonts w:ascii="Verdana" w:hAnsi="Verdana"/>
          <w:sz w:val="20"/>
          <w:szCs w:val="20"/>
          <w:lang w:val="en-US"/>
        </w:rPr>
        <w:t xml:space="preserve"> the judgment.</w:t>
      </w:r>
    </w:p>
    <w:p w14:paraId="76E5EDAA" w14:textId="77777777" w:rsidR="003C2143" w:rsidRPr="00D869E3" w:rsidRDefault="003C2143" w:rsidP="003C2143">
      <w:pPr>
        <w:jc w:val="both"/>
        <w:rPr>
          <w:rFonts w:ascii="Verdana" w:hAnsi="Verdana"/>
          <w:sz w:val="20"/>
          <w:szCs w:val="20"/>
          <w:lang w:val="en-US"/>
        </w:rPr>
      </w:pPr>
    </w:p>
    <w:p w14:paraId="6DDB9129" w14:textId="1FB24263" w:rsidR="003C2143" w:rsidRPr="00D869E3" w:rsidRDefault="008107B9" w:rsidP="003C2143">
      <w:pPr>
        <w:pStyle w:val="Prrafodelista"/>
        <w:numPr>
          <w:ilvl w:val="0"/>
          <w:numId w:val="34"/>
        </w:numPr>
        <w:jc w:val="both"/>
        <w:rPr>
          <w:rFonts w:ascii="Verdana" w:hAnsi="Verdana"/>
          <w:b/>
          <w:sz w:val="20"/>
          <w:szCs w:val="20"/>
          <w:lang w:val="en-US"/>
        </w:rPr>
      </w:pPr>
      <w:r w:rsidRPr="00D869E3">
        <w:rPr>
          <w:rFonts w:ascii="Verdana" w:hAnsi="Verdana"/>
          <w:b/>
          <w:sz w:val="20"/>
          <w:szCs w:val="20"/>
          <w:lang w:val="en-US"/>
        </w:rPr>
        <w:t>Right to</w:t>
      </w:r>
      <w:r w:rsidR="003C2143" w:rsidRPr="00D869E3">
        <w:rPr>
          <w:rFonts w:ascii="Verdana" w:hAnsi="Verdana"/>
          <w:b/>
          <w:sz w:val="20"/>
          <w:szCs w:val="20"/>
          <w:lang w:val="en-US"/>
        </w:rPr>
        <w:t xml:space="preserve"> </w:t>
      </w:r>
      <w:r w:rsidR="00351902" w:rsidRPr="00D869E3">
        <w:rPr>
          <w:rFonts w:ascii="Verdana" w:hAnsi="Verdana"/>
          <w:b/>
          <w:sz w:val="20"/>
          <w:szCs w:val="20"/>
          <w:lang w:val="en-US"/>
        </w:rPr>
        <w:t>freedom of association</w:t>
      </w:r>
    </w:p>
    <w:p w14:paraId="1B5CBC38" w14:textId="77777777" w:rsidR="003C2143" w:rsidRPr="00D869E3" w:rsidRDefault="003C2143" w:rsidP="003C2143">
      <w:pPr>
        <w:pStyle w:val="Prrafodelista"/>
        <w:ind w:left="0"/>
        <w:jc w:val="both"/>
        <w:rPr>
          <w:rFonts w:ascii="Verdana" w:hAnsi="Verdana"/>
          <w:b/>
          <w:sz w:val="20"/>
          <w:szCs w:val="20"/>
          <w:lang w:val="en-US"/>
        </w:rPr>
      </w:pPr>
    </w:p>
    <w:p w14:paraId="4FAD8097" w14:textId="766860D3" w:rsidR="003C2143" w:rsidRPr="00D869E3" w:rsidRDefault="00414B6B" w:rsidP="003C2143">
      <w:pPr>
        <w:jc w:val="both"/>
        <w:rPr>
          <w:rFonts w:ascii="Verdana" w:hAnsi="Verdana"/>
          <w:sz w:val="20"/>
          <w:szCs w:val="20"/>
          <w:lang w:val="en-US"/>
        </w:rPr>
      </w:pPr>
      <w:r w:rsidRPr="00D869E3">
        <w:rPr>
          <w:rFonts w:ascii="Verdana" w:hAnsi="Verdana"/>
          <w:sz w:val="20"/>
          <w:szCs w:val="20"/>
          <w:lang w:val="en-US"/>
        </w:rPr>
        <w:t>Regarding</w:t>
      </w:r>
      <w:r w:rsidR="003C2143" w:rsidRPr="00D869E3">
        <w:rPr>
          <w:rFonts w:ascii="Verdana" w:hAnsi="Verdana"/>
          <w:sz w:val="20"/>
          <w:szCs w:val="20"/>
          <w:lang w:val="en-US"/>
        </w:rPr>
        <w:t xml:space="preserve"> </w:t>
      </w:r>
      <w:r w:rsidRPr="00D869E3">
        <w:rPr>
          <w:rFonts w:ascii="Verdana" w:hAnsi="Verdana"/>
          <w:sz w:val="20"/>
          <w:szCs w:val="20"/>
          <w:lang w:val="en-US"/>
        </w:rPr>
        <w:t>the right to</w:t>
      </w:r>
      <w:r w:rsidR="003C2143"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003C2143" w:rsidRPr="00D869E3">
        <w:rPr>
          <w:rFonts w:ascii="Verdana" w:hAnsi="Verdana"/>
          <w:sz w:val="20"/>
          <w:szCs w:val="20"/>
          <w:lang w:val="en-US"/>
        </w:rPr>
        <w:t xml:space="preserve">, </w:t>
      </w:r>
      <w:r w:rsidRPr="00D869E3">
        <w:rPr>
          <w:rFonts w:ascii="Verdana" w:hAnsi="Verdana"/>
          <w:sz w:val="20"/>
          <w:szCs w:val="20"/>
          <w:lang w:val="en-US"/>
        </w:rPr>
        <w:t>it is sufficient to indicate that the mention made in the judgment to Article 26 of the Convention in this regard seems unnecessary because</w:t>
      </w:r>
      <w:r w:rsidR="0067754F" w:rsidRPr="00D869E3">
        <w:rPr>
          <w:rFonts w:ascii="Verdana" w:hAnsi="Verdana"/>
          <w:sz w:val="20"/>
          <w:szCs w:val="20"/>
          <w:lang w:val="en-US"/>
        </w:rPr>
        <w:t>, on the one hand,</w:t>
      </w:r>
      <w:r w:rsidRPr="00D869E3">
        <w:rPr>
          <w:rFonts w:ascii="Verdana" w:hAnsi="Verdana"/>
          <w:sz w:val="20"/>
          <w:szCs w:val="20"/>
          <w:lang w:val="en-US"/>
        </w:rPr>
        <w:t xml:space="preserve"> the said right is expressly established in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w:t>
      </w:r>
      <w:r w:rsidR="00687684" w:rsidRPr="00D869E3">
        <w:rPr>
          <w:rFonts w:ascii="Verdana" w:hAnsi="Verdana"/>
          <w:sz w:val="20"/>
          <w:szCs w:val="20"/>
          <w:lang w:val="en-US"/>
        </w:rPr>
        <w:t>16(1)</w:t>
      </w:r>
      <w:r w:rsidR="00447C65" w:rsidRPr="00D869E3">
        <w:rPr>
          <w:rFonts w:ascii="Verdana" w:hAnsi="Verdana"/>
          <w:sz w:val="20"/>
          <w:szCs w:val="20"/>
          <w:lang w:val="en-US"/>
        </w:rPr>
        <w:t xml:space="preserve"> of the Convention</w:t>
      </w:r>
      <w:r w:rsidR="003C2143" w:rsidRPr="00D869E3">
        <w:rPr>
          <w:rStyle w:val="Refdenotaalpie"/>
          <w:szCs w:val="20"/>
          <w:lang w:val="en-US"/>
        </w:rPr>
        <w:footnoteReference w:id="380"/>
      </w:r>
      <w:r w:rsidR="00687684" w:rsidRPr="00D869E3">
        <w:rPr>
          <w:rFonts w:ascii="Verdana" w:hAnsi="Verdana"/>
          <w:sz w:val="20"/>
          <w:szCs w:val="20"/>
          <w:lang w:val="en-US"/>
        </w:rPr>
        <w:t xml:space="preserve"> and</w:t>
      </w:r>
      <w:r w:rsidRPr="00D869E3">
        <w:rPr>
          <w:rFonts w:ascii="Verdana" w:hAnsi="Verdana"/>
          <w:sz w:val="20"/>
          <w:szCs w:val="20"/>
          <w:lang w:val="en-US"/>
        </w:rPr>
        <w:t>, on the other, its meaning and scope is repeated abundantly in the judgment.</w:t>
      </w:r>
      <w:r w:rsidR="003C2143" w:rsidRPr="00D869E3">
        <w:rPr>
          <w:rStyle w:val="Refdenotaalpie"/>
          <w:szCs w:val="20"/>
          <w:lang w:val="en-US"/>
        </w:rPr>
        <w:footnoteReference w:id="381"/>
      </w:r>
      <w:r w:rsidRPr="00D869E3">
        <w:rPr>
          <w:rFonts w:ascii="Verdana" w:hAnsi="Verdana"/>
          <w:sz w:val="20"/>
          <w:szCs w:val="20"/>
          <w:lang w:val="en-US"/>
        </w:rPr>
        <w:t xml:space="preserve"> </w:t>
      </w:r>
      <w:r w:rsidR="003C2143" w:rsidRPr="00D869E3">
        <w:rPr>
          <w:rFonts w:ascii="Verdana" w:hAnsi="Verdana"/>
          <w:sz w:val="20"/>
          <w:szCs w:val="20"/>
          <w:lang w:val="en-US"/>
        </w:rPr>
        <w:t xml:space="preserve"> </w:t>
      </w:r>
      <w:r w:rsidRPr="00D869E3">
        <w:rPr>
          <w:rFonts w:ascii="Verdana" w:hAnsi="Verdana"/>
          <w:sz w:val="20"/>
          <w:szCs w:val="20"/>
          <w:lang w:val="en-US"/>
        </w:rPr>
        <w:t>Accordingly, it can be deduced that this right can be judicialized before the Court on th</w:t>
      </w:r>
      <w:r w:rsidR="0067754F" w:rsidRPr="00D869E3">
        <w:rPr>
          <w:rFonts w:ascii="Verdana" w:hAnsi="Verdana"/>
          <w:sz w:val="20"/>
          <w:szCs w:val="20"/>
          <w:lang w:val="en-US"/>
        </w:rPr>
        <w:t>o</w:t>
      </w:r>
      <w:r w:rsidRPr="00D869E3">
        <w:rPr>
          <w:rFonts w:ascii="Verdana" w:hAnsi="Verdana"/>
          <w:sz w:val="20"/>
          <w:szCs w:val="20"/>
          <w:lang w:val="en-US"/>
        </w:rPr>
        <w:t>se grounds and not on the basis of the provisions of the said Article 26</w:t>
      </w:r>
      <w:r w:rsidR="0067754F" w:rsidRPr="00D869E3">
        <w:rPr>
          <w:rFonts w:ascii="Verdana" w:hAnsi="Verdana"/>
          <w:sz w:val="20"/>
          <w:szCs w:val="20"/>
          <w:lang w:val="en-US"/>
        </w:rPr>
        <w:t>, which, incidentally, is</w:t>
      </w:r>
      <w:r w:rsidRPr="00D869E3">
        <w:rPr>
          <w:rFonts w:ascii="Verdana" w:hAnsi="Verdana"/>
          <w:sz w:val="20"/>
          <w:szCs w:val="20"/>
          <w:lang w:val="en-US"/>
        </w:rPr>
        <w:t xml:space="preserve"> alluded to very tangentially or marginally in the judgment in relation to freedom of association, </w:t>
      </w:r>
      <w:r w:rsidR="0067754F" w:rsidRPr="00D869E3">
        <w:rPr>
          <w:rFonts w:ascii="Verdana" w:hAnsi="Verdana"/>
          <w:sz w:val="20"/>
          <w:szCs w:val="20"/>
          <w:lang w:val="en-US"/>
        </w:rPr>
        <w:t>on a level with</w:t>
      </w:r>
      <w:r w:rsidRPr="00D869E3">
        <w:rPr>
          <w:rFonts w:ascii="Verdana" w:hAnsi="Verdana"/>
          <w:sz w:val="20"/>
          <w:szCs w:val="20"/>
          <w:lang w:val="en-US"/>
        </w:rPr>
        <w:t xml:space="preserve"> </w:t>
      </w:r>
      <w:r w:rsidR="00D75CD1" w:rsidRPr="00D869E3">
        <w:rPr>
          <w:rFonts w:ascii="Verdana" w:hAnsi="Verdana"/>
          <w:sz w:val="20"/>
          <w:szCs w:val="20"/>
          <w:lang w:val="en-US"/>
        </w:rPr>
        <w:t>the Inter-American Democratic Charter</w:t>
      </w:r>
      <w:r w:rsidR="003C2143" w:rsidRPr="00D869E3">
        <w:rPr>
          <w:rStyle w:val="Refdenotaalpie"/>
          <w:szCs w:val="20"/>
          <w:lang w:val="en-US"/>
        </w:rPr>
        <w:footnoteReference w:id="382"/>
      </w:r>
      <w:r w:rsidR="00687684" w:rsidRPr="00D869E3">
        <w:rPr>
          <w:rFonts w:ascii="Verdana" w:hAnsi="Verdana"/>
          <w:sz w:val="20"/>
          <w:szCs w:val="20"/>
          <w:lang w:val="en-US"/>
        </w:rPr>
        <w:t xml:space="preserve"> and</w:t>
      </w:r>
      <w:r w:rsidRPr="00D869E3">
        <w:rPr>
          <w:rFonts w:ascii="Verdana" w:hAnsi="Verdana"/>
          <w:sz w:val="20"/>
          <w:szCs w:val="20"/>
          <w:lang w:val="en-US"/>
        </w:rPr>
        <w:t xml:space="preserve"> the ILO Convention on </w:t>
      </w:r>
      <w:r w:rsidR="00952F8B" w:rsidRPr="00D869E3">
        <w:rPr>
          <w:rFonts w:ascii="Verdana" w:hAnsi="Verdana"/>
          <w:sz w:val="20"/>
          <w:szCs w:val="20"/>
          <w:lang w:val="en-US"/>
        </w:rPr>
        <w:t>W</w:t>
      </w:r>
      <w:r w:rsidRPr="00D869E3">
        <w:rPr>
          <w:rFonts w:ascii="Verdana" w:hAnsi="Verdana"/>
          <w:sz w:val="20"/>
          <w:szCs w:val="20"/>
          <w:lang w:val="en-US"/>
        </w:rPr>
        <w:t>orkers’</w:t>
      </w:r>
      <w:r w:rsidR="00687684" w:rsidRPr="00D869E3">
        <w:rPr>
          <w:rFonts w:ascii="Verdana" w:hAnsi="Verdana"/>
          <w:sz w:val="20"/>
          <w:szCs w:val="20"/>
          <w:lang w:val="en-US"/>
        </w:rPr>
        <w:t xml:space="preserve"> </w:t>
      </w:r>
      <w:r w:rsidR="00952F8B" w:rsidRPr="00D869E3">
        <w:rPr>
          <w:rFonts w:ascii="Verdana" w:hAnsi="Verdana"/>
          <w:sz w:val="20"/>
          <w:szCs w:val="20"/>
          <w:lang w:val="en-US"/>
        </w:rPr>
        <w:t>R</w:t>
      </w:r>
      <w:r w:rsidR="00687684" w:rsidRPr="00D869E3">
        <w:rPr>
          <w:rFonts w:ascii="Verdana" w:hAnsi="Verdana"/>
          <w:sz w:val="20"/>
          <w:szCs w:val="20"/>
          <w:lang w:val="en-US"/>
        </w:rPr>
        <w:t>epresentatives</w:t>
      </w:r>
      <w:r w:rsidR="0067754F" w:rsidRPr="00D869E3">
        <w:rPr>
          <w:rFonts w:ascii="Verdana" w:hAnsi="Verdana"/>
          <w:sz w:val="20"/>
          <w:szCs w:val="20"/>
          <w:lang w:val="en-US"/>
        </w:rPr>
        <w:t>.</w:t>
      </w:r>
      <w:r w:rsidR="003C2143" w:rsidRPr="00D869E3">
        <w:rPr>
          <w:rStyle w:val="Refdenotaalpie"/>
          <w:szCs w:val="20"/>
          <w:lang w:val="en-US"/>
        </w:rPr>
        <w:footnoteReference w:id="383"/>
      </w:r>
      <w:r w:rsidR="003C2143" w:rsidRPr="00D869E3">
        <w:rPr>
          <w:rFonts w:ascii="Verdana" w:hAnsi="Verdana"/>
          <w:sz w:val="20"/>
          <w:szCs w:val="20"/>
          <w:lang w:val="en-US"/>
        </w:rPr>
        <w:t xml:space="preserve"> </w:t>
      </w:r>
      <w:r w:rsidR="0067754F" w:rsidRPr="00D869E3">
        <w:rPr>
          <w:rFonts w:ascii="Verdana" w:hAnsi="Verdana"/>
          <w:sz w:val="20"/>
          <w:szCs w:val="20"/>
          <w:lang w:val="en-US"/>
        </w:rPr>
        <w:t>In other words,</w:t>
      </w:r>
      <w:r w:rsidRPr="00D869E3">
        <w:rPr>
          <w:rFonts w:ascii="Verdana" w:hAnsi="Verdana"/>
          <w:sz w:val="20"/>
          <w:szCs w:val="20"/>
          <w:lang w:val="en-US"/>
        </w:rPr>
        <w:t xml:space="preserve"> it is addressed more appropriately as a means of interpreting its provisions, together with the context of the wording </w:t>
      </w:r>
      <w:r w:rsidR="00447C65" w:rsidRPr="00D869E3">
        <w:rPr>
          <w:rFonts w:ascii="Verdana" w:hAnsi="Verdana"/>
          <w:sz w:val="20"/>
          <w:szCs w:val="20"/>
          <w:lang w:val="en-US"/>
        </w:rPr>
        <w:t>of the Convention</w:t>
      </w:r>
      <w:r w:rsidRPr="00D869E3">
        <w:rPr>
          <w:rFonts w:ascii="Verdana" w:hAnsi="Verdana"/>
          <w:sz w:val="20"/>
          <w:szCs w:val="20"/>
          <w:lang w:val="en-US"/>
        </w:rPr>
        <w:t>,</w:t>
      </w:r>
      <w:r w:rsidR="003C2143" w:rsidRPr="00D869E3">
        <w:rPr>
          <w:rStyle w:val="Refdenotaalpie"/>
          <w:szCs w:val="20"/>
          <w:lang w:val="en-US"/>
        </w:rPr>
        <w:footnoteReference w:id="384"/>
      </w:r>
      <w:r w:rsidRPr="00D869E3">
        <w:rPr>
          <w:rFonts w:ascii="Verdana" w:hAnsi="Verdana"/>
          <w:sz w:val="20"/>
          <w:szCs w:val="20"/>
          <w:lang w:val="en-US"/>
        </w:rPr>
        <w:t xml:space="preserve"> as regards the existence of the right to </w:t>
      </w:r>
      <w:r w:rsidR="00351902" w:rsidRPr="00D869E3">
        <w:rPr>
          <w:rFonts w:ascii="Verdana" w:hAnsi="Verdana"/>
          <w:sz w:val="20"/>
          <w:szCs w:val="20"/>
          <w:lang w:val="en-US"/>
        </w:rPr>
        <w:t>freedom of association</w:t>
      </w:r>
      <w:r w:rsidR="003C2143" w:rsidRPr="00D869E3">
        <w:rPr>
          <w:rFonts w:ascii="Verdana" w:hAnsi="Verdana"/>
          <w:sz w:val="20"/>
          <w:szCs w:val="20"/>
          <w:lang w:val="en-US"/>
        </w:rPr>
        <w:t xml:space="preserve">, </w:t>
      </w:r>
      <w:r w:rsidRPr="00D869E3">
        <w:rPr>
          <w:rFonts w:ascii="Verdana" w:hAnsi="Verdana"/>
          <w:sz w:val="20"/>
          <w:szCs w:val="20"/>
          <w:lang w:val="en-US"/>
        </w:rPr>
        <w:t>but not to substantiate the Court’s competence to rule in that re</w:t>
      </w:r>
      <w:r w:rsidR="003E678C" w:rsidRPr="00D869E3">
        <w:rPr>
          <w:rFonts w:ascii="Verdana" w:hAnsi="Verdana"/>
          <w:sz w:val="20"/>
          <w:szCs w:val="20"/>
          <w:lang w:val="en-US"/>
        </w:rPr>
        <w:t>gard</w:t>
      </w:r>
      <w:r w:rsidRPr="00D869E3">
        <w:rPr>
          <w:rFonts w:ascii="Verdana" w:hAnsi="Verdana"/>
          <w:sz w:val="20"/>
          <w:szCs w:val="20"/>
          <w:lang w:val="en-US"/>
        </w:rPr>
        <w:t>.</w:t>
      </w:r>
    </w:p>
    <w:p w14:paraId="4E2B0F4D" w14:textId="77777777" w:rsidR="003C2143" w:rsidRPr="00D869E3" w:rsidRDefault="003C2143" w:rsidP="003C2143">
      <w:pPr>
        <w:jc w:val="both"/>
        <w:rPr>
          <w:rFonts w:ascii="Verdana" w:hAnsi="Verdana"/>
          <w:sz w:val="20"/>
          <w:szCs w:val="20"/>
          <w:lang w:val="en-US"/>
        </w:rPr>
      </w:pPr>
    </w:p>
    <w:p w14:paraId="64F6CCC5" w14:textId="736D4F2A" w:rsidR="003C2143" w:rsidRPr="00D869E3" w:rsidRDefault="004533E1" w:rsidP="003C2143">
      <w:pPr>
        <w:pStyle w:val="Prrafodelista"/>
        <w:numPr>
          <w:ilvl w:val="0"/>
          <w:numId w:val="33"/>
        </w:numPr>
        <w:jc w:val="both"/>
        <w:rPr>
          <w:rFonts w:ascii="Verdana" w:hAnsi="Verdana"/>
          <w:b/>
          <w:sz w:val="20"/>
          <w:szCs w:val="20"/>
          <w:lang w:val="en-US"/>
        </w:rPr>
      </w:pPr>
      <w:r w:rsidRPr="00D869E3">
        <w:rPr>
          <w:rFonts w:ascii="Verdana" w:hAnsi="Verdana"/>
          <w:b/>
          <w:sz w:val="20"/>
          <w:szCs w:val="20"/>
          <w:lang w:val="en-US"/>
        </w:rPr>
        <w:t>Scope of this text</w:t>
      </w:r>
    </w:p>
    <w:p w14:paraId="6B1A8C90" w14:textId="77777777" w:rsidR="003C2143" w:rsidRPr="00D869E3" w:rsidRDefault="003C2143" w:rsidP="003C2143">
      <w:pPr>
        <w:ind w:left="360"/>
        <w:jc w:val="both"/>
        <w:rPr>
          <w:rFonts w:ascii="Verdana" w:hAnsi="Verdana"/>
          <w:sz w:val="20"/>
          <w:szCs w:val="20"/>
          <w:lang w:val="en-US"/>
        </w:rPr>
      </w:pPr>
    </w:p>
    <w:p w14:paraId="748F58D6" w14:textId="0F89E0F7" w:rsidR="003C2143" w:rsidRPr="00D869E3" w:rsidRDefault="003E678C" w:rsidP="00414B6B">
      <w:pPr>
        <w:jc w:val="both"/>
        <w:rPr>
          <w:rFonts w:ascii="Verdana" w:hAnsi="Verdana"/>
          <w:sz w:val="20"/>
          <w:szCs w:val="20"/>
          <w:lang w:val="en-US"/>
        </w:rPr>
      </w:pPr>
      <w:r w:rsidRPr="00D869E3">
        <w:rPr>
          <w:rFonts w:ascii="Verdana" w:hAnsi="Verdana"/>
          <w:sz w:val="20"/>
          <w:szCs w:val="20"/>
          <w:lang w:val="en-US"/>
        </w:rPr>
        <w:t>Therefore</w:t>
      </w:r>
      <w:r w:rsidR="00414B6B" w:rsidRPr="00D869E3">
        <w:rPr>
          <w:rFonts w:ascii="Verdana" w:hAnsi="Verdana"/>
          <w:sz w:val="20"/>
          <w:szCs w:val="20"/>
          <w:lang w:val="en-US"/>
        </w:rPr>
        <w:t>, the views expressed in this opinion are restricted to the right to</w:t>
      </w:r>
      <w:r w:rsidR="003C2143" w:rsidRPr="00D869E3">
        <w:rPr>
          <w:rFonts w:ascii="Verdana" w:hAnsi="Verdana"/>
          <w:sz w:val="20"/>
          <w:szCs w:val="20"/>
          <w:lang w:val="en-US"/>
        </w:rPr>
        <w:t xml:space="preserve"> </w:t>
      </w:r>
      <w:r w:rsidRPr="00D869E3">
        <w:rPr>
          <w:rFonts w:ascii="Verdana" w:hAnsi="Verdana"/>
          <w:sz w:val="20"/>
          <w:szCs w:val="20"/>
          <w:lang w:val="en-US"/>
        </w:rPr>
        <w:t xml:space="preserve">job </w:t>
      </w:r>
      <w:r w:rsidR="00414B6B" w:rsidRPr="00D869E3">
        <w:rPr>
          <w:rFonts w:ascii="Verdana" w:hAnsi="Verdana"/>
          <w:sz w:val="20"/>
          <w:szCs w:val="20"/>
          <w:lang w:val="en-US"/>
        </w:rPr>
        <w:t xml:space="preserve">security, even though </w:t>
      </w:r>
      <w:r w:rsidRPr="00D869E3">
        <w:rPr>
          <w:rFonts w:ascii="Verdana" w:hAnsi="Verdana"/>
          <w:sz w:val="20"/>
          <w:szCs w:val="20"/>
          <w:lang w:val="en-US"/>
        </w:rPr>
        <w:t>they</w:t>
      </w:r>
      <w:r w:rsidR="000B2E5E" w:rsidRPr="00D869E3">
        <w:rPr>
          <w:rFonts w:ascii="Verdana" w:hAnsi="Verdana"/>
          <w:sz w:val="20"/>
          <w:szCs w:val="20"/>
          <w:lang w:val="en-US"/>
        </w:rPr>
        <w:t xml:space="preserve"> could also be considered appropriate as regards the relationship made by the judgment between </w:t>
      </w:r>
      <w:r w:rsidR="00687684" w:rsidRPr="00D869E3">
        <w:rPr>
          <w:rFonts w:ascii="Verdana" w:hAnsi="Verdana"/>
          <w:sz w:val="20"/>
          <w:szCs w:val="20"/>
          <w:lang w:val="en-US"/>
        </w:rPr>
        <w:t>Article</w:t>
      </w:r>
      <w:r w:rsidR="003C2143"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3C2143" w:rsidRPr="00D869E3">
        <w:rPr>
          <w:rFonts w:ascii="Verdana" w:hAnsi="Verdana"/>
          <w:sz w:val="20"/>
          <w:szCs w:val="20"/>
          <w:lang w:val="en-US"/>
        </w:rPr>
        <w:t xml:space="preserve"> </w:t>
      </w:r>
      <w:r w:rsidR="000B2E5E" w:rsidRPr="00D869E3">
        <w:rPr>
          <w:rFonts w:ascii="Verdana" w:hAnsi="Verdana"/>
          <w:sz w:val="20"/>
          <w:szCs w:val="20"/>
          <w:lang w:val="en-US"/>
        </w:rPr>
        <w:t>and</w:t>
      </w:r>
      <w:r w:rsidR="003C2143" w:rsidRPr="00D869E3">
        <w:rPr>
          <w:rFonts w:ascii="Verdana" w:hAnsi="Verdana"/>
          <w:sz w:val="20"/>
          <w:szCs w:val="20"/>
          <w:lang w:val="en-US"/>
        </w:rPr>
        <w:t xml:space="preserve">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00351902" w:rsidRPr="00D869E3">
        <w:rPr>
          <w:rFonts w:ascii="Verdana" w:hAnsi="Verdana"/>
          <w:sz w:val="20"/>
          <w:szCs w:val="20"/>
          <w:lang w:val="en-US"/>
        </w:rPr>
        <w:t>freedom of association</w:t>
      </w:r>
      <w:r w:rsidR="003C2143" w:rsidRPr="00D869E3">
        <w:rPr>
          <w:rFonts w:ascii="Verdana" w:hAnsi="Verdana"/>
          <w:sz w:val="20"/>
          <w:szCs w:val="20"/>
          <w:lang w:val="en-US"/>
        </w:rPr>
        <w:t xml:space="preserve">.  </w:t>
      </w:r>
    </w:p>
    <w:p w14:paraId="3A4FF291" w14:textId="77777777" w:rsidR="003C2143" w:rsidRPr="00D869E3" w:rsidRDefault="003C2143" w:rsidP="003C2143">
      <w:pPr>
        <w:jc w:val="both"/>
        <w:rPr>
          <w:rFonts w:ascii="Verdana" w:hAnsi="Verdana"/>
          <w:sz w:val="20"/>
          <w:szCs w:val="20"/>
          <w:lang w:val="en-US"/>
        </w:rPr>
      </w:pPr>
    </w:p>
    <w:p w14:paraId="28198303" w14:textId="1855896E" w:rsidR="003C2143" w:rsidRPr="00D869E3" w:rsidRDefault="004533E1" w:rsidP="003C2143">
      <w:pPr>
        <w:pStyle w:val="Prrafodelista"/>
        <w:numPr>
          <w:ilvl w:val="0"/>
          <w:numId w:val="35"/>
        </w:numPr>
        <w:jc w:val="both"/>
        <w:rPr>
          <w:rFonts w:ascii="Verdana" w:hAnsi="Verdana"/>
          <w:b/>
          <w:sz w:val="20"/>
          <w:szCs w:val="20"/>
          <w:lang w:val="en-US"/>
        </w:rPr>
      </w:pPr>
      <w:r w:rsidRPr="00D869E3">
        <w:rPr>
          <w:rFonts w:ascii="Verdana" w:hAnsi="Verdana"/>
          <w:b/>
          <w:sz w:val="20"/>
          <w:szCs w:val="20"/>
          <w:lang w:val="en-US"/>
        </w:rPr>
        <w:t>THE PROVISIONS OF</w:t>
      </w:r>
      <w:r w:rsidR="003C2143" w:rsidRPr="00D869E3">
        <w:rPr>
          <w:rFonts w:ascii="Verdana" w:hAnsi="Verdana"/>
          <w:b/>
          <w:sz w:val="20"/>
          <w:szCs w:val="20"/>
          <w:lang w:val="en-US"/>
        </w:rPr>
        <w:t xml:space="preserve"> </w:t>
      </w:r>
      <w:r w:rsidR="00447C65" w:rsidRPr="00D869E3">
        <w:rPr>
          <w:rFonts w:ascii="Verdana" w:hAnsi="Verdana"/>
          <w:b/>
          <w:sz w:val="20"/>
          <w:szCs w:val="20"/>
          <w:lang w:val="en-US"/>
        </w:rPr>
        <w:t>THE CONVENTION</w:t>
      </w:r>
    </w:p>
    <w:p w14:paraId="75C3D7DD" w14:textId="77777777" w:rsidR="003C2143" w:rsidRPr="00D869E3" w:rsidRDefault="003C2143" w:rsidP="003C2143">
      <w:pPr>
        <w:jc w:val="both"/>
        <w:rPr>
          <w:rFonts w:ascii="Verdana" w:hAnsi="Verdana"/>
          <w:b/>
          <w:sz w:val="20"/>
          <w:szCs w:val="20"/>
          <w:lang w:val="en-US"/>
        </w:rPr>
      </w:pPr>
    </w:p>
    <w:p w14:paraId="753D27F4" w14:textId="064B0ECA" w:rsidR="003C2143" w:rsidRPr="00D869E3" w:rsidRDefault="000B2E5E" w:rsidP="003C2143">
      <w:pPr>
        <w:jc w:val="both"/>
        <w:rPr>
          <w:rFonts w:ascii="Verdana" w:hAnsi="Verdana"/>
          <w:sz w:val="20"/>
          <w:szCs w:val="20"/>
          <w:lang w:val="en-US"/>
        </w:rPr>
      </w:pPr>
      <w:r w:rsidRPr="00D869E3">
        <w:rPr>
          <w:rFonts w:ascii="Verdana" w:hAnsi="Verdana"/>
          <w:sz w:val="20"/>
          <w:szCs w:val="20"/>
          <w:lang w:val="en-US"/>
        </w:rPr>
        <w:t xml:space="preserve">Regarding </w:t>
      </w:r>
      <w:r w:rsidR="003E678C" w:rsidRPr="00D869E3">
        <w:rPr>
          <w:rFonts w:ascii="Verdana" w:hAnsi="Verdana"/>
          <w:sz w:val="20"/>
          <w:szCs w:val="20"/>
          <w:lang w:val="en-US"/>
        </w:rPr>
        <w:t>my</w:t>
      </w:r>
      <w:r w:rsidRPr="00D869E3">
        <w:rPr>
          <w:rFonts w:ascii="Verdana" w:hAnsi="Verdana"/>
          <w:sz w:val="20"/>
          <w:szCs w:val="20"/>
          <w:lang w:val="en-US"/>
        </w:rPr>
        <w:t xml:space="preserve"> dis</w:t>
      </w:r>
      <w:r w:rsidR="003E678C" w:rsidRPr="00D869E3">
        <w:rPr>
          <w:rFonts w:ascii="Verdana" w:hAnsi="Verdana"/>
          <w:sz w:val="20"/>
          <w:szCs w:val="20"/>
          <w:lang w:val="en-US"/>
        </w:rPr>
        <w:t>crepancy</w:t>
      </w:r>
      <w:r w:rsidRPr="00D869E3">
        <w:rPr>
          <w:rFonts w:ascii="Verdana" w:hAnsi="Verdana"/>
          <w:sz w:val="20"/>
          <w:szCs w:val="20"/>
          <w:lang w:val="en-US"/>
        </w:rPr>
        <w:t xml:space="preserve"> with the judgment, I will set forth five considerations. One, with regard to the rights </w:t>
      </w:r>
      <w:r w:rsidR="006436CA" w:rsidRPr="00D869E3">
        <w:rPr>
          <w:rFonts w:ascii="Verdana" w:hAnsi="Verdana"/>
          <w:sz w:val="20"/>
          <w:szCs w:val="20"/>
          <w:lang w:val="en-US"/>
        </w:rPr>
        <w:t>“</w:t>
      </w:r>
      <w:r w:rsidRPr="00D869E3">
        <w:rPr>
          <w:rFonts w:ascii="Verdana" w:hAnsi="Verdana"/>
          <w:i/>
          <w:iCs/>
          <w:sz w:val="20"/>
          <w:szCs w:val="20"/>
          <w:lang w:val="en-US"/>
        </w:rPr>
        <w:t>recognized</w:t>
      </w:r>
      <w:r w:rsidR="006436CA" w:rsidRPr="00D869E3">
        <w:rPr>
          <w:rFonts w:ascii="Verdana" w:hAnsi="Verdana"/>
          <w:sz w:val="20"/>
          <w:szCs w:val="20"/>
          <w:lang w:val="en-US"/>
        </w:rPr>
        <w:t>”</w:t>
      </w:r>
      <w:r w:rsidRPr="00D869E3">
        <w:rPr>
          <w:rFonts w:ascii="Verdana" w:hAnsi="Verdana"/>
          <w:sz w:val="20"/>
          <w:szCs w:val="20"/>
          <w:lang w:val="en-US"/>
        </w:rPr>
        <w:t xml:space="preserve"> in the Convention. Another, regarding the existence of other rights. The third, on the protection system embodied in the Convention. The fourth, on the extension of this to other rights. And, lastly, on </w:t>
      </w:r>
      <w:r w:rsidR="00916899" w:rsidRPr="00D869E3">
        <w:rPr>
          <w:rFonts w:ascii="Verdana" w:hAnsi="Verdana"/>
          <w:sz w:val="20"/>
          <w:szCs w:val="20"/>
          <w:lang w:val="en-US"/>
        </w:rPr>
        <w:t>the Protocol of</w:t>
      </w:r>
      <w:r w:rsidR="003C2143" w:rsidRPr="00D869E3">
        <w:rPr>
          <w:rFonts w:ascii="Verdana" w:hAnsi="Verdana"/>
          <w:sz w:val="20"/>
          <w:szCs w:val="20"/>
          <w:lang w:val="en-US"/>
        </w:rPr>
        <w:t xml:space="preserve"> San Salvador.</w:t>
      </w:r>
    </w:p>
    <w:p w14:paraId="4632A06B" w14:textId="77777777" w:rsidR="003C2143" w:rsidRPr="00D869E3" w:rsidRDefault="003C2143" w:rsidP="003C2143">
      <w:pPr>
        <w:jc w:val="both"/>
        <w:rPr>
          <w:rFonts w:ascii="Verdana" w:hAnsi="Verdana"/>
          <w:b/>
          <w:sz w:val="20"/>
          <w:szCs w:val="20"/>
          <w:lang w:val="en-US"/>
        </w:rPr>
      </w:pPr>
    </w:p>
    <w:p w14:paraId="1F410E8D" w14:textId="13B6063E" w:rsidR="003C2143" w:rsidRPr="00D869E3" w:rsidRDefault="004533E1" w:rsidP="003C2143">
      <w:pPr>
        <w:pStyle w:val="Prrafodelista"/>
        <w:numPr>
          <w:ilvl w:val="0"/>
          <w:numId w:val="32"/>
        </w:numPr>
        <w:jc w:val="both"/>
        <w:rPr>
          <w:rFonts w:ascii="Verdana" w:hAnsi="Verdana"/>
          <w:b/>
          <w:sz w:val="20"/>
          <w:szCs w:val="20"/>
          <w:lang w:val="en-US"/>
        </w:rPr>
      </w:pPr>
      <w:r w:rsidRPr="00D869E3">
        <w:rPr>
          <w:rFonts w:ascii="Verdana" w:hAnsi="Verdana"/>
          <w:b/>
          <w:sz w:val="20"/>
          <w:szCs w:val="20"/>
          <w:lang w:val="en-US"/>
        </w:rPr>
        <w:t>Rights</w:t>
      </w:r>
      <w:r w:rsidR="003C2143" w:rsidRPr="00D869E3">
        <w:rPr>
          <w:rFonts w:ascii="Verdana" w:hAnsi="Verdana"/>
          <w:b/>
          <w:sz w:val="20"/>
          <w:szCs w:val="20"/>
          <w:lang w:val="en-US"/>
        </w:rPr>
        <w:t xml:space="preserve"> </w:t>
      </w:r>
      <w:r w:rsidR="006436CA" w:rsidRPr="00D869E3">
        <w:rPr>
          <w:rFonts w:ascii="Verdana" w:hAnsi="Verdana"/>
          <w:b/>
          <w:sz w:val="20"/>
          <w:szCs w:val="20"/>
          <w:lang w:val="en-US"/>
        </w:rPr>
        <w:t>“</w:t>
      </w:r>
      <w:r w:rsidR="003C2143" w:rsidRPr="00D869E3">
        <w:rPr>
          <w:rFonts w:ascii="Verdana" w:hAnsi="Verdana"/>
          <w:b/>
          <w:sz w:val="20"/>
          <w:szCs w:val="20"/>
          <w:lang w:val="en-US"/>
        </w:rPr>
        <w:t>reco</w:t>
      </w:r>
      <w:r w:rsidRPr="00D869E3">
        <w:rPr>
          <w:rFonts w:ascii="Verdana" w:hAnsi="Verdana"/>
          <w:b/>
          <w:sz w:val="20"/>
          <w:szCs w:val="20"/>
          <w:lang w:val="en-US"/>
        </w:rPr>
        <w:t>gnized</w:t>
      </w:r>
      <w:r w:rsidR="006436CA" w:rsidRPr="00D869E3">
        <w:rPr>
          <w:rFonts w:ascii="Verdana" w:hAnsi="Verdana"/>
          <w:b/>
          <w:sz w:val="20"/>
          <w:szCs w:val="20"/>
          <w:lang w:val="en-US"/>
        </w:rPr>
        <w:t>”</w:t>
      </w:r>
      <w:r w:rsidR="003C2143" w:rsidRPr="00D869E3">
        <w:rPr>
          <w:rFonts w:ascii="Verdana" w:hAnsi="Verdana"/>
          <w:b/>
          <w:sz w:val="20"/>
          <w:szCs w:val="20"/>
          <w:lang w:val="en-US"/>
        </w:rPr>
        <w:t xml:space="preserve"> </w:t>
      </w:r>
      <w:r w:rsidRPr="00D869E3">
        <w:rPr>
          <w:rFonts w:ascii="Verdana" w:hAnsi="Verdana"/>
          <w:b/>
          <w:sz w:val="20"/>
          <w:szCs w:val="20"/>
          <w:lang w:val="en-US"/>
        </w:rPr>
        <w:t>i</w:t>
      </w:r>
      <w:r w:rsidR="003C2143" w:rsidRPr="00D869E3">
        <w:rPr>
          <w:rFonts w:ascii="Verdana" w:hAnsi="Verdana"/>
          <w:b/>
          <w:sz w:val="20"/>
          <w:szCs w:val="20"/>
          <w:lang w:val="en-US"/>
        </w:rPr>
        <w:t xml:space="preserve">n </w:t>
      </w:r>
      <w:r w:rsidR="00447C65" w:rsidRPr="00D869E3">
        <w:rPr>
          <w:rFonts w:ascii="Verdana" w:hAnsi="Verdana"/>
          <w:b/>
          <w:sz w:val="20"/>
          <w:szCs w:val="20"/>
          <w:lang w:val="en-US"/>
        </w:rPr>
        <w:t>the Convention</w:t>
      </w:r>
      <w:r w:rsidR="003C2143" w:rsidRPr="00D869E3">
        <w:rPr>
          <w:rFonts w:ascii="Verdana" w:hAnsi="Verdana"/>
          <w:b/>
          <w:sz w:val="20"/>
          <w:szCs w:val="20"/>
          <w:lang w:val="en-US"/>
        </w:rPr>
        <w:t>.</w:t>
      </w:r>
    </w:p>
    <w:p w14:paraId="1DD7FD5C" w14:textId="77777777" w:rsidR="003C2143" w:rsidRPr="00D869E3" w:rsidRDefault="003C2143" w:rsidP="003C2143">
      <w:pPr>
        <w:jc w:val="both"/>
        <w:rPr>
          <w:rFonts w:ascii="Verdana" w:hAnsi="Verdana"/>
          <w:sz w:val="20"/>
          <w:szCs w:val="20"/>
          <w:lang w:val="en-US"/>
        </w:rPr>
      </w:pPr>
    </w:p>
    <w:p w14:paraId="0A7DB01C" w14:textId="77777777" w:rsidR="005A1C14" w:rsidRDefault="00687684" w:rsidP="003C2143">
      <w:pPr>
        <w:jc w:val="both"/>
        <w:rPr>
          <w:rFonts w:ascii="Verdana" w:hAnsi="Verdana"/>
          <w:sz w:val="20"/>
          <w:szCs w:val="20"/>
          <w:lang w:val="en-US"/>
        </w:rPr>
      </w:pPr>
      <w:r w:rsidRPr="00D869E3">
        <w:rPr>
          <w:rFonts w:ascii="Verdana" w:hAnsi="Verdana"/>
          <w:sz w:val="20"/>
          <w:szCs w:val="20"/>
          <w:lang w:val="en-US"/>
        </w:rPr>
        <w:t xml:space="preserve">Article 1(1) </w:t>
      </w:r>
      <w:r w:rsidR="00447C65" w:rsidRPr="00D869E3">
        <w:rPr>
          <w:rFonts w:ascii="Verdana" w:hAnsi="Verdana"/>
          <w:sz w:val="20"/>
          <w:szCs w:val="20"/>
          <w:lang w:val="en-US"/>
        </w:rPr>
        <w:t>of the Convention</w:t>
      </w:r>
      <w:r w:rsidR="003C2143" w:rsidRPr="00D869E3">
        <w:rPr>
          <w:rFonts w:ascii="Verdana" w:hAnsi="Verdana"/>
          <w:sz w:val="20"/>
          <w:szCs w:val="20"/>
          <w:lang w:val="en-US"/>
        </w:rPr>
        <w:t xml:space="preserve"> </w:t>
      </w:r>
      <w:r w:rsidR="000B2E5E" w:rsidRPr="00D869E3">
        <w:rPr>
          <w:rFonts w:ascii="Verdana" w:hAnsi="Verdana"/>
          <w:sz w:val="20"/>
          <w:szCs w:val="20"/>
          <w:lang w:val="en-US"/>
        </w:rPr>
        <w:t>establishes that the States Parties undertake to respect and to ensure</w:t>
      </w:r>
      <w:r w:rsidR="003C2143" w:rsidRPr="00D869E3">
        <w:rPr>
          <w:rFonts w:ascii="Verdana" w:hAnsi="Verdana"/>
          <w:sz w:val="20"/>
          <w:szCs w:val="20"/>
          <w:lang w:val="en-US"/>
        </w:rPr>
        <w:t xml:space="preserve"> </w:t>
      </w:r>
      <w:r w:rsidR="000B2E5E" w:rsidRPr="00D869E3">
        <w:rPr>
          <w:rFonts w:ascii="Verdana" w:hAnsi="Verdana"/>
          <w:sz w:val="20"/>
          <w:szCs w:val="20"/>
          <w:lang w:val="en-US"/>
        </w:rPr>
        <w:t xml:space="preserve"> the enjoyment and exercise of the rights </w:t>
      </w:r>
      <w:r w:rsidR="006436CA" w:rsidRPr="00D869E3">
        <w:rPr>
          <w:rFonts w:ascii="Verdana" w:hAnsi="Verdana"/>
          <w:sz w:val="20"/>
          <w:szCs w:val="20"/>
          <w:lang w:val="en-US"/>
        </w:rPr>
        <w:t>“</w:t>
      </w:r>
      <w:r w:rsidR="000B2E5E" w:rsidRPr="00D869E3">
        <w:rPr>
          <w:rFonts w:ascii="Verdana" w:hAnsi="Verdana"/>
          <w:sz w:val="20"/>
          <w:szCs w:val="20"/>
          <w:lang w:val="en-US"/>
        </w:rPr>
        <w:t>recognized herein.</w:t>
      </w:r>
      <w:r w:rsidR="006436CA" w:rsidRPr="00D869E3">
        <w:rPr>
          <w:rFonts w:ascii="Verdana" w:hAnsi="Verdana"/>
          <w:sz w:val="20"/>
          <w:szCs w:val="20"/>
          <w:lang w:val="en-US"/>
        </w:rPr>
        <w:t>”</w:t>
      </w:r>
      <w:r w:rsidR="003C2143" w:rsidRPr="00D869E3">
        <w:rPr>
          <w:rStyle w:val="Refdenotaalpie"/>
          <w:szCs w:val="20"/>
          <w:lang w:val="en-US"/>
        </w:rPr>
        <w:footnoteReference w:id="385"/>
      </w:r>
      <w:r w:rsidR="000B2E5E" w:rsidRPr="00D869E3">
        <w:rPr>
          <w:rFonts w:ascii="Verdana" w:hAnsi="Verdana"/>
          <w:sz w:val="20"/>
          <w:szCs w:val="20"/>
          <w:lang w:val="en-US"/>
        </w:rPr>
        <w:t xml:space="preserve"> Meanwhile, </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29</w:t>
      </w:r>
      <w:r w:rsidR="000B2E5E" w:rsidRPr="00D869E3">
        <w:rPr>
          <w:rFonts w:ascii="Verdana" w:hAnsi="Verdana"/>
          <w:sz w:val="20"/>
          <w:szCs w:val="20"/>
          <w:lang w:val="en-US"/>
        </w:rPr>
        <w:t>(</w:t>
      </w:r>
      <w:r w:rsidR="003C2143" w:rsidRPr="00D869E3">
        <w:rPr>
          <w:rFonts w:ascii="Verdana" w:hAnsi="Verdana"/>
          <w:sz w:val="20"/>
          <w:szCs w:val="20"/>
          <w:lang w:val="en-US"/>
        </w:rPr>
        <w:t>a)</w:t>
      </w:r>
      <w:r w:rsidR="000B2E5E" w:rsidRPr="00D869E3">
        <w:rPr>
          <w:rFonts w:ascii="Verdana" w:hAnsi="Verdana"/>
          <w:sz w:val="20"/>
          <w:szCs w:val="20"/>
          <w:lang w:val="en-US"/>
        </w:rPr>
        <w:t xml:space="preserve"> of the Convention, on the </w:t>
      </w:r>
      <w:r w:rsidR="003C2143" w:rsidRPr="00D869E3">
        <w:rPr>
          <w:rFonts w:ascii="Verdana" w:hAnsi="Verdana"/>
          <w:i/>
          <w:sz w:val="20"/>
          <w:szCs w:val="20"/>
          <w:lang w:val="en-US"/>
        </w:rPr>
        <w:t>pro personae</w:t>
      </w:r>
      <w:r w:rsidR="000B2E5E" w:rsidRPr="00D869E3">
        <w:rPr>
          <w:rFonts w:ascii="Verdana" w:hAnsi="Verdana"/>
          <w:sz w:val="20"/>
          <w:szCs w:val="20"/>
          <w:lang w:val="en-US"/>
        </w:rPr>
        <w:t xml:space="preserve"> principle includes the same wording</w:t>
      </w:r>
      <w:r w:rsidR="003C2143" w:rsidRPr="00D869E3">
        <w:rPr>
          <w:rFonts w:ascii="Verdana" w:hAnsi="Verdana"/>
          <w:sz w:val="20"/>
          <w:szCs w:val="20"/>
          <w:lang w:val="en-US"/>
        </w:rPr>
        <w:t>.</w:t>
      </w:r>
      <w:r w:rsidR="003C2143" w:rsidRPr="00D869E3">
        <w:rPr>
          <w:rStyle w:val="Refdenotaalpie"/>
          <w:szCs w:val="20"/>
          <w:lang w:val="en-US"/>
        </w:rPr>
        <w:footnoteReference w:id="386"/>
      </w:r>
      <w:r w:rsidR="003C2143" w:rsidRPr="00D869E3">
        <w:rPr>
          <w:rFonts w:ascii="Verdana" w:hAnsi="Verdana"/>
          <w:sz w:val="20"/>
          <w:szCs w:val="20"/>
          <w:lang w:val="en-US"/>
        </w:rPr>
        <w:t xml:space="preserve"> </w:t>
      </w:r>
    </w:p>
    <w:p w14:paraId="48C97FC8" w14:textId="77777777" w:rsidR="005A1C14" w:rsidRDefault="005A1C14" w:rsidP="003C2143">
      <w:pPr>
        <w:jc w:val="both"/>
        <w:rPr>
          <w:rFonts w:ascii="Verdana" w:hAnsi="Verdana"/>
          <w:sz w:val="20"/>
          <w:szCs w:val="20"/>
          <w:lang w:val="en-US"/>
        </w:rPr>
      </w:pPr>
    </w:p>
    <w:p w14:paraId="2583AB97" w14:textId="12D9CE3C" w:rsidR="003C2143" w:rsidRPr="00D869E3" w:rsidRDefault="000B2E5E" w:rsidP="003C2143">
      <w:pPr>
        <w:jc w:val="both"/>
        <w:rPr>
          <w:rFonts w:ascii="Verdana" w:hAnsi="Verdana"/>
          <w:sz w:val="20"/>
          <w:szCs w:val="20"/>
          <w:lang w:val="en-US"/>
        </w:rPr>
      </w:pPr>
      <w:r w:rsidRPr="00D869E3">
        <w:rPr>
          <w:rFonts w:ascii="Verdana" w:hAnsi="Verdana"/>
          <w:sz w:val="20"/>
          <w:szCs w:val="20"/>
          <w:lang w:val="en-US"/>
        </w:rPr>
        <w:t xml:space="preserve">It should be indicated also that, in other provisions, the Convention refers to </w:t>
      </w:r>
      <w:r w:rsidR="006436CA" w:rsidRPr="00D869E3">
        <w:rPr>
          <w:rFonts w:ascii="Verdana" w:hAnsi="Verdana"/>
          <w:sz w:val="20"/>
          <w:szCs w:val="20"/>
          <w:lang w:val="en-US"/>
        </w:rPr>
        <w:t>“</w:t>
      </w:r>
      <w:r w:rsidRPr="00D869E3">
        <w:rPr>
          <w:rFonts w:ascii="Verdana" w:hAnsi="Verdana"/>
          <w:i/>
          <w:iCs/>
          <w:sz w:val="20"/>
          <w:szCs w:val="20"/>
          <w:lang w:val="en-US"/>
        </w:rPr>
        <w:t xml:space="preserve">the rights </w:t>
      </w:r>
      <w:r w:rsidR="00CC766D" w:rsidRPr="00D869E3">
        <w:rPr>
          <w:rFonts w:ascii="Verdana" w:hAnsi="Verdana"/>
          <w:i/>
          <w:iCs/>
          <w:sz w:val="20"/>
          <w:szCs w:val="20"/>
          <w:lang w:val="en-US"/>
        </w:rPr>
        <w:t>set forth</w:t>
      </w:r>
      <w:r w:rsidRPr="00D869E3">
        <w:rPr>
          <w:rFonts w:ascii="Verdana" w:hAnsi="Verdana"/>
          <w:sz w:val="20"/>
          <w:szCs w:val="20"/>
          <w:lang w:val="en-US"/>
        </w:rPr>
        <w:t>,</w:t>
      </w:r>
      <w:r w:rsidR="006436CA" w:rsidRPr="00D869E3">
        <w:rPr>
          <w:rFonts w:ascii="Verdana" w:hAnsi="Verdana"/>
          <w:sz w:val="20"/>
          <w:szCs w:val="20"/>
          <w:lang w:val="en-US"/>
        </w:rPr>
        <w:t>”</w:t>
      </w:r>
      <w:r w:rsidR="003C2143" w:rsidRPr="00D869E3">
        <w:rPr>
          <w:rStyle w:val="Refdenotaalpie"/>
          <w:szCs w:val="20"/>
          <w:lang w:val="en-US"/>
        </w:rPr>
        <w:footnoteReference w:id="387"/>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C2143" w:rsidRPr="00D869E3">
        <w:rPr>
          <w:rFonts w:ascii="Verdana" w:hAnsi="Verdana"/>
          <w:i/>
          <w:sz w:val="20"/>
          <w:szCs w:val="20"/>
          <w:lang w:val="en-US"/>
        </w:rPr>
        <w:t>g</w:t>
      </w:r>
      <w:r w:rsidRPr="00D869E3">
        <w:rPr>
          <w:rFonts w:ascii="Verdana" w:hAnsi="Verdana"/>
          <w:i/>
          <w:sz w:val="20"/>
          <w:szCs w:val="20"/>
          <w:lang w:val="en-US"/>
        </w:rPr>
        <w:t>uaranteed,</w:t>
      </w:r>
      <w:r w:rsidR="006436CA" w:rsidRPr="00D869E3">
        <w:rPr>
          <w:rFonts w:ascii="Verdana" w:hAnsi="Verdana"/>
          <w:sz w:val="20"/>
          <w:szCs w:val="20"/>
          <w:lang w:val="en-US"/>
        </w:rPr>
        <w:t>”</w:t>
      </w:r>
      <w:r w:rsidR="003C2143" w:rsidRPr="00D869E3">
        <w:rPr>
          <w:rStyle w:val="Refdenotaalpie"/>
          <w:szCs w:val="20"/>
          <w:lang w:val="en-US"/>
        </w:rPr>
        <w:footnoteReference w:id="388"/>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CC766D" w:rsidRPr="00D869E3">
        <w:rPr>
          <w:rFonts w:ascii="Verdana" w:hAnsi="Verdana"/>
          <w:i/>
          <w:sz w:val="20"/>
          <w:szCs w:val="20"/>
          <w:lang w:val="en-US"/>
        </w:rPr>
        <w:t>protected</w:t>
      </w:r>
      <w:r w:rsidRPr="00D869E3">
        <w:rPr>
          <w:rFonts w:ascii="Verdana" w:hAnsi="Verdana"/>
          <w:i/>
          <w:sz w:val="20"/>
          <w:szCs w:val="20"/>
          <w:lang w:val="en-US"/>
        </w:rPr>
        <w:t>,</w:t>
      </w:r>
      <w:r w:rsidR="006436CA" w:rsidRPr="00D869E3">
        <w:rPr>
          <w:rFonts w:ascii="Verdana" w:hAnsi="Verdana"/>
          <w:sz w:val="20"/>
          <w:szCs w:val="20"/>
          <w:lang w:val="en-US"/>
        </w:rPr>
        <w:t>”</w:t>
      </w:r>
      <w:r w:rsidR="003E678C" w:rsidRPr="00D869E3">
        <w:rPr>
          <w:rStyle w:val="Refdenotaalpie"/>
          <w:szCs w:val="20"/>
          <w:lang w:val="en-US"/>
        </w:rPr>
        <w:footnoteReference w:id="389"/>
      </w:r>
      <w:r w:rsidR="00CC766D" w:rsidRPr="00D869E3">
        <w:rPr>
          <w:rFonts w:ascii="Verdana" w:hAnsi="Verdana"/>
          <w:sz w:val="20"/>
          <w:szCs w:val="20"/>
          <w:lang w:val="en-US"/>
        </w:rPr>
        <w:t xml:space="preserve"> [</w:t>
      </w:r>
      <w:r w:rsidR="003E678C" w:rsidRPr="00D869E3">
        <w:rPr>
          <w:rFonts w:ascii="Verdana" w:hAnsi="Verdana"/>
          <w:sz w:val="20"/>
          <w:szCs w:val="20"/>
          <w:lang w:val="en-US"/>
        </w:rPr>
        <w:t>Translator’s n</w:t>
      </w:r>
      <w:r w:rsidR="00CC766D" w:rsidRPr="00D869E3">
        <w:rPr>
          <w:rFonts w:ascii="Verdana" w:hAnsi="Verdana"/>
          <w:sz w:val="20"/>
          <w:szCs w:val="20"/>
          <w:lang w:val="en-US"/>
        </w:rPr>
        <w:t xml:space="preserve">ote: </w:t>
      </w:r>
      <w:r w:rsidR="006436CA" w:rsidRPr="00D869E3">
        <w:rPr>
          <w:rFonts w:ascii="Verdana" w:hAnsi="Verdana"/>
          <w:sz w:val="20"/>
          <w:szCs w:val="20"/>
          <w:lang w:val="en-US"/>
        </w:rPr>
        <w:t>“</w:t>
      </w:r>
      <w:r w:rsidR="00CC766D" w:rsidRPr="00D869E3">
        <w:rPr>
          <w:rFonts w:ascii="Verdana" w:hAnsi="Verdana"/>
          <w:i/>
          <w:iCs/>
          <w:sz w:val="20"/>
          <w:szCs w:val="20"/>
          <w:lang w:val="en-US"/>
        </w:rPr>
        <w:t>consagrado</w:t>
      </w:r>
      <w:r w:rsidR="006436CA" w:rsidRPr="00D869E3">
        <w:rPr>
          <w:rFonts w:ascii="Verdana" w:hAnsi="Verdana"/>
          <w:sz w:val="20"/>
          <w:szCs w:val="20"/>
          <w:lang w:val="en-US"/>
        </w:rPr>
        <w:t>”</w:t>
      </w:r>
      <w:r w:rsidR="00CC766D" w:rsidRPr="00D869E3">
        <w:rPr>
          <w:rFonts w:ascii="Verdana" w:hAnsi="Verdana"/>
          <w:sz w:val="20"/>
          <w:szCs w:val="20"/>
          <w:lang w:val="en-US"/>
        </w:rPr>
        <w:t xml:space="preserve"> in Spanish]</w:t>
      </w:r>
      <w:r w:rsidR="003C2143" w:rsidRPr="00D869E3">
        <w:rPr>
          <w:rFonts w:ascii="Verdana" w:hAnsi="Verdana"/>
          <w:sz w:val="20"/>
          <w:szCs w:val="20"/>
          <w:lang w:val="en-US"/>
        </w:rPr>
        <w:t xml:space="preserve"> o</w:t>
      </w:r>
      <w:r w:rsidRPr="00D869E3">
        <w:rPr>
          <w:rFonts w:ascii="Verdana" w:hAnsi="Verdana"/>
          <w:sz w:val="20"/>
          <w:szCs w:val="20"/>
          <w:lang w:val="en-US"/>
        </w:rPr>
        <w:t>r</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C2143" w:rsidRPr="00D869E3">
        <w:rPr>
          <w:rFonts w:ascii="Verdana" w:hAnsi="Verdana"/>
          <w:i/>
          <w:sz w:val="20"/>
          <w:szCs w:val="20"/>
          <w:lang w:val="en-US"/>
        </w:rPr>
        <w:t>prote</w:t>
      </w:r>
      <w:r w:rsidRPr="00D869E3">
        <w:rPr>
          <w:rFonts w:ascii="Verdana" w:hAnsi="Verdana"/>
          <w:i/>
          <w:sz w:val="20"/>
          <w:szCs w:val="20"/>
          <w:lang w:val="en-US"/>
        </w:rPr>
        <w:t>cted</w:t>
      </w:r>
      <w:r w:rsidR="006436CA" w:rsidRPr="00D869E3">
        <w:rPr>
          <w:rFonts w:ascii="Verdana" w:hAnsi="Verdana"/>
          <w:sz w:val="20"/>
          <w:szCs w:val="20"/>
          <w:lang w:val="en-US"/>
        </w:rPr>
        <w:t>”</w:t>
      </w:r>
      <w:r w:rsidR="003C2143" w:rsidRPr="00D869E3">
        <w:rPr>
          <w:rStyle w:val="Refdenotaalpie"/>
          <w:szCs w:val="20"/>
          <w:lang w:val="en-US"/>
        </w:rPr>
        <w:footnoteReference w:id="390"/>
      </w:r>
      <w:r w:rsidR="003C2143" w:rsidRPr="00D869E3">
        <w:rPr>
          <w:rFonts w:ascii="Verdana" w:hAnsi="Verdana"/>
          <w:sz w:val="20"/>
          <w:szCs w:val="20"/>
          <w:lang w:val="en-US"/>
        </w:rPr>
        <w:t xml:space="preserve"> </w:t>
      </w:r>
      <w:r w:rsidR="003E678C" w:rsidRPr="00D869E3">
        <w:rPr>
          <w:rFonts w:ascii="Verdana" w:hAnsi="Verdana"/>
          <w:sz w:val="20"/>
          <w:szCs w:val="20"/>
          <w:lang w:val="en-US"/>
        </w:rPr>
        <w:t>[“</w:t>
      </w:r>
      <w:r w:rsidR="003E678C" w:rsidRPr="00D869E3">
        <w:rPr>
          <w:rFonts w:ascii="Verdana" w:hAnsi="Verdana"/>
          <w:i/>
          <w:iCs/>
          <w:sz w:val="20"/>
          <w:szCs w:val="20"/>
          <w:lang w:val="en-US"/>
        </w:rPr>
        <w:t>protegido”]</w:t>
      </w:r>
      <w:r w:rsidR="003E678C" w:rsidRPr="00D869E3">
        <w:rPr>
          <w:rFonts w:ascii="Verdana" w:hAnsi="Verdana"/>
          <w:sz w:val="20"/>
          <w:szCs w:val="20"/>
          <w:lang w:val="en-US"/>
        </w:rPr>
        <w:t xml:space="preserve"> </w:t>
      </w:r>
      <w:r w:rsidRPr="00D869E3">
        <w:rPr>
          <w:rFonts w:ascii="Verdana" w:hAnsi="Verdana"/>
          <w:sz w:val="20"/>
          <w:szCs w:val="20"/>
          <w:lang w:val="en-US"/>
        </w:rPr>
        <w:t>therein</w:t>
      </w:r>
      <w:r w:rsidR="00CC766D" w:rsidRPr="00D869E3">
        <w:rPr>
          <w:rFonts w:ascii="Verdana" w:hAnsi="Verdana"/>
          <w:sz w:val="20"/>
          <w:szCs w:val="20"/>
          <w:lang w:val="en-US"/>
        </w:rPr>
        <w:t xml:space="preserve">; so that, logically, it should be understood that these are rights that have been </w:t>
      </w:r>
      <w:r w:rsidR="006436CA" w:rsidRPr="00D869E3">
        <w:rPr>
          <w:rFonts w:ascii="Verdana" w:hAnsi="Verdana"/>
          <w:sz w:val="20"/>
          <w:szCs w:val="20"/>
          <w:lang w:val="en-US"/>
        </w:rPr>
        <w:t>“</w:t>
      </w:r>
      <w:r w:rsidR="00CC766D" w:rsidRPr="00D869E3">
        <w:rPr>
          <w:rFonts w:ascii="Verdana" w:hAnsi="Verdana"/>
          <w:sz w:val="20"/>
          <w:szCs w:val="20"/>
          <w:lang w:val="en-US"/>
        </w:rPr>
        <w:t>recognized</w:t>
      </w:r>
      <w:r w:rsidR="006436CA" w:rsidRPr="00D869E3">
        <w:rPr>
          <w:rFonts w:ascii="Verdana" w:hAnsi="Verdana"/>
          <w:sz w:val="20"/>
          <w:szCs w:val="20"/>
          <w:lang w:val="en-US"/>
        </w:rPr>
        <w:t>”</w:t>
      </w:r>
      <w:r w:rsidR="00CC766D" w:rsidRPr="00D869E3">
        <w:rPr>
          <w:rFonts w:ascii="Verdana" w:hAnsi="Verdana"/>
          <w:sz w:val="20"/>
          <w:szCs w:val="20"/>
          <w:lang w:val="en-US"/>
        </w:rPr>
        <w:t xml:space="preserve"> in this treaty.</w:t>
      </w:r>
      <w:r w:rsidR="003C2143" w:rsidRPr="00D869E3">
        <w:rPr>
          <w:rStyle w:val="Refdenotaalpie"/>
          <w:szCs w:val="20"/>
          <w:lang w:val="en-US"/>
        </w:rPr>
        <w:footnoteReference w:id="391"/>
      </w:r>
    </w:p>
    <w:p w14:paraId="475A81B5" w14:textId="77777777" w:rsidR="003C2143" w:rsidRPr="00D869E3" w:rsidRDefault="003C2143" w:rsidP="003C2143">
      <w:pPr>
        <w:jc w:val="both"/>
        <w:rPr>
          <w:rFonts w:ascii="Verdana" w:hAnsi="Verdana"/>
          <w:sz w:val="20"/>
          <w:szCs w:val="20"/>
          <w:lang w:val="en-US"/>
        </w:rPr>
      </w:pPr>
    </w:p>
    <w:p w14:paraId="762EE0BE" w14:textId="7AA02EA5" w:rsidR="003C2143" w:rsidRPr="00D869E3" w:rsidRDefault="00CC766D" w:rsidP="003C2143">
      <w:pPr>
        <w:jc w:val="both"/>
        <w:rPr>
          <w:rFonts w:ascii="Verdana" w:hAnsi="Verdana"/>
          <w:sz w:val="20"/>
          <w:szCs w:val="20"/>
          <w:lang w:val="en-US"/>
        </w:rPr>
      </w:pPr>
      <w:r w:rsidRPr="00D869E3">
        <w:rPr>
          <w:rFonts w:ascii="Verdana" w:hAnsi="Verdana"/>
          <w:sz w:val="20"/>
          <w:szCs w:val="20"/>
          <w:lang w:val="en-US"/>
        </w:rPr>
        <w:t xml:space="preserve">That said, the rights </w:t>
      </w:r>
      <w:r w:rsidR="006436CA" w:rsidRPr="00D869E3">
        <w:rPr>
          <w:rFonts w:ascii="Verdana" w:hAnsi="Verdana"/>
          <w:sz w:val="20"/>
          <w:szCs w:val="20"/>
          <w:lang w:val="en-US"/>
        </w:rPr>
        <w:t>“</w:t>
      </w:r>
      <w:r w:rsidRPr="00D869E3">
        <w:rPr>
          <w:rFonts w:ascii="Verdana" w:hAnsi="Verdana"/>
          <w:sz w:val="20"/>
          <w:szCs w:val="20"/>
          <w:lang w:val="en-US"/>
        </w:rPr>
        <w:t>recognized</w:t>
      </w:r>
      <w:r w:rsidR="006436CA" w:rsidRPr="00D869E3">
        <w:rPr>
          <w:rFonts w:ascii="Verdana" w:hAnsi="Verdana"/>
          <w:sz w:val="20"/>
          <w:szCs w:val="20"/>
          <w:lang w:val="en-US"/>
        </w:rPr>
        <w:t>”</w:t>
      </w:r>
      <w:r w:rsidRPr="00D869E3">
        <w:rPr>
          <w:rFonts w:ascii="Verdana" w:hAnsi="Verdana"/>
          <w:sz w:val="20"/>
          <w:szCs w:val="20"/>
          <w:lang w:val="en-US"/>
        </w:rPr>
        <w:t xml:space="preserve"> in the Convention are the </w:t>
      </w:r>
      <w:r w:rsidR="006436CA" w:rsidRPr="00D869E3">
        <w:rPr>
          <w:rFonts w:ascii="Verdana" w:hAnsi="Verdana"/>
          <w:sz w:val="20"/>
          <w:szCs w:val="20"/>
          <w:lang w:val="en-US"/>
        </w:rPr>
        <w:t>“</w:t>
      </w:r>
      <w:r w:rsidRPr="00D869E3">
        <w:rPr>
          <w:rFonts w:ascii="Verdana" w:hAnsi="Verdana"/>
          <w:sz w:val="20"/>
          <w:szCs w:val="20"/>
          <w:lang w:val="en-US"/>
        </w:rPr>
        <w:t>Civil and Political Rights</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Pr="00D869E3">
        <w:rPr>
          <w:rFonts w:ascii="Verdana" w:hAnsi="Verdana"/>
          <w:sz w:val="20"/>
          <w:szCs w:val="20"/>
          <w:lang w:val="en-US"/>
        </w:rPr>
        <w:t>Chapter</w:t>
      </w:r>
      <w:r w:rsidR="003C2143" w:rsidRPr="00D869E3">
        <w:rPr>
          <w:rFonts w:ascii="Verdana" w:hAnsi="Verdana"/>
          <w:sz w:val="20"/>
          <w:szCs w:val="20"/>
          <w:lang w:val="en-US"/>
        </w:rPr>
        <w:t xml:space="preserve"> II)</w:t>
      </w:r>
      <w:r w:rsidRPr="00D869E3">
        <w:rPr>
          <w:rFonts w:ascii="Verdana" w:hAnsi="Verdana"/>
          <w:sz w:val="20"/>
          <w:szCs w:val="20"/>
          <w:lang w:val="en-US"/>
        </w:rPr>
        <w:t>; that is, the right to recognition of juridical personality</w:t>
      </w:r>
      <w:r w:rsidR="003C2143" w:rsidRPr="00D869E3">
        <w:rPr>
          <w:rFonts w:ascii="Verdana" w:hAnsi="Verdana"/>
          <w:sz w:val="20"/>
          <w:szCs w:val="20"/>
          <w:lang w:val="en-US"/>
        </w:rPr>
        <w:t xml:space="preserve"> (</w:t>
      </w:r>
      <w:r w:rsidRPr="00D869E3">
        <w:rPr>
          <w:rFonts w:ascii="Verdana" w:hAnsi="Verdana"/>
          <w:sz w:val="20"/>
          <w:szCs w:val="20"/>
          <w:lang w:val="en-US"/>
        </w:rPr>
        <w:t>Ar</w:t>
      </w:r>
      <w:r w:rsidR="003C2143" w:rsidRPr="00D869E3">
        <w:rPr>
          <w:rFonts w:ascii="Verdana" w:hAnsi="Verdana"/>
          <w:sz w:val="20"/>
          <w:szCs w:val="20"/>
          <w:lang w:val="en-US"/>
        </w:rPr>
        <w:t>t.</w:t>
      </w:r>
      <w:r w:rsidRPr="00D869E3">
        <w:rPr>
          <w:rFonts w:ascii="Verdana" w:hAnsi="Verdana"/>
          <w:sz w:val="20"/>
          <w:szCs w:val="20"/>
          <w:lang w:val="en-US"/>
        </w:rPr>
        <w:t xml:space="preserve"> </w:t>
      </w:r>
      <w:r w:rsidR="003C2143" w:rsidRPr="00D869E3">
        <w:rPr>
          <w:rFonts w:ascii="Verdana" w:hAnsi="Verdana"/>
          <w:sz w:val="20"/>
          <w:szCs w:val="20"/>
          <w:lang w:val="en-US"/>
        </w:rPr>
        <w:t xml:space="preserve">3), </w:t>
      </w:r>
      <w:r w:rsidRPr="00D869E3">
        <w:rPr>
          <w:rFonts w:ascii="Verdana" w:hAnsi="Verdana"/>
          <w:sz w:val="20"/>
          <w:szCs w:val="20"/>
          <w:lang w:val="en-US"/>
        </w:rPr>
        <w:t>right to life,</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4), </w:t>
      </w:r>
      <w:r w:rsidRPr="00D869E3">
        <w:rPr>
          <w:rFonts w:ascii="Verdana" w:hAnsi="Verdana"/>
          <w:sz w:val="20"/>
          <w:szCs w:val="20"/>
          <w:lang w:val="en-US"/>
        </w:rPr>
        <w:t>right to</w:t>
      </w:r>
      <w:r w:rsidR="003C2143" w:rsidRPr="00D869E3">
        <w:rPr>
          <w:rFonts w:ascii="Verdana" w:hAnsi="Verdana"/>
          <w:sz w:val="20"/>
          <w:szCs w:val="20"/>
          <w:lang w:val="en-US"/>
        </w:rPr>
        <w:t xml:space="preserve"> personal</w:t>
      </w:r>
      <w:r w:rsidRPr="00D869E3">
        <w:rPr>
          <w:rFonts w:ascii="Verdana" w:hAnsi="Verdana"/>
          <w:sz w:val="20"/>
          <w:szCs w:val="20"/>
          <w:lang w:val="en-US"/>
        </w:rPr>
        <w:t xml:space="preserve"> integrity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5)</w:t>
      </w:r>
      <w:r w:rsidRPr="00D869E3">
        <w:rPr>
          <w:rFonts w:ascii="Verdana" w:hAnsi="Verdana"/>
          <w:sz w:val="20"/>
          <w:szCs w:val="20"/>
          <w:lang w:val="en-US"/>
        </w:rPr>
        <w:t>,</w:t>
      </w:r>
      <w:r w:rsidR="003C2143" w:rsidRPr="00D869E3">
        <w:rPr>
          <w:rFonts w:ascii="Verdana" w:hAnsi="Verdana"/>
          <w:sz w:val="20"/>
          <w:szCs w:val="20"/>
          <w:lang w:val="en-US"/>
        </w:rPr>
        <w:t xml:space="preserve"> </w:t>
      </w:r>
      <w:r w:rsidRPr="00D869E3">
        <w:rPr>
          <w:rFonts w:ascii="Verdana" w:hAnsi="Verdana"/>
          <w:sz w:val="20"/>
          <w:szCs w:val="20"/>
          <w:lang w:val="en-US"/>
        </w:rPr>
        <w:t>freedom from slavery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6)</w:t>
      </w:r>
      <w:r w:rsidRPr="00D869E3">
        <w:rPr>
          <w:rFonts w:ascii="Verdana" w:hAnsi="Verdana"/>
          <w:sz w:val="20"/>
          <w:szCs w:val="20"/>
          <w:lang w:val="en-US"/>
        </w:rPr>
        <w:t>,</w:t>
      </w:r>
      <w:r w:rsidR="003C2143" w:rsidRPr="00D869E3">
        <w:rPr>
          <w:rFonts w:ascii="Verdana" w:hAnsi="Verdana"/>
          <w:sz w:val="20"/>
          <w:szCs w:val="20"/>
          <w:lang w:val="en-US"/>
        </w:rPr>
        <w:t xml:space="preserve"> </w:t>
      </w:r>
      <w:r w:rsidRPr="00D869E3">
        <w:rPr>
          <w:rFonts w:ascii="Verdana" w:hAnsi="Verdana"/>
          <w:sz w:val="20"/>
          <w:szCs w:val="20"/>
          <w:lang w:val="en-US"/>
        </w:rPr>
        <w:t>right to</w:t>
      </w:r>
      <w:r w:rsidR="003C2143" w:rsidRPr="00D869E3">
        <w:rPr>
          <w:rFonts w:ascii="Verdana" w:hAnsi="Verdana"/>
          <w:sz w:val="20"/>
          <w:szCs w:val="20"/>
          <w:lang w:val="en-US"/>
        </w:rPr>
        <w:t xml:space="preserve"> personal</w:t>
      </w:r>
      <w:r w:rsidRPr="00D869E3">
        <w:rPr>
          <w:rFonts w:ascii="Verdana" w:hAnsi="Verdana"/>
          <w:sz w:val="20"/>
          <w:szCs w:val="20"/>
          <w:lang w:val="en-US"/>
        </w:rPr>
        <w:t xml:space="preserve"> liberty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7), </w:t>
      </w:r>
      <w:r w:rsidRPr="00D869E3">
        <w:rPr>
          <w:rFonts w:ascii="Verdana" w:hAnsi="Verdana"/>
          <w:sz w:val="20"/>
          <w:szCs w:val="20"/>
          <w:lang w:val="en-US"/>
        </w:rPr>
        <w:t>right to a fair trial</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8), </w:t>
      </w:r>
      <w:r w:rsidRPr="00D869E3">
        <w:rPr>
          <w:rFonts w:ascii="Verdana" w:hAnsi="Verdana"/>
          <w:sz w:val="20"/>
          <w:szCs w:val="20"/>
          <w:lang w:val="en-US"/>
        </w:rPr>
        <w:t xml:space="preserve">freedom from </w:t>
      </w:r>
      <w:r w:rsidRPr="00D869E3">
        <w:rPr>
          <w:rFonts w:ascii="Verdana" w:hAnsi="Verdana"/>
          <w:i/>
          <w:iCs/>
          <w:sz w:val="20"/>
          <w:szCs w:val="20"/>
          <w:lang w:val="en-US"/>
        </w:rPr>
        <w:t>ex-post facto</w:t>
      </w:r>
      <w:r w:rsidRPr="00D869E3">
        <w:rPr>
          <w:rFonts w:ascii="Verdana" w:hAnsi="Verdana"/>
          <w:sz w:val="20"/>
          <w:szCs w:val="20"/>
          <w:lang w:val="en-US"/>
        </w:rPr>
        <w:t xml:space="preserve"> laws</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9), </w:t>
      </w:r>
      <w:r w:rsidRPr="00D869E3">
        <w:rPr>
          <w:rFonts w:ascii="Verdana" w:hAnsi="Verdana"/>
          <w:sz w:val="20"/>
          <w:szCs w:val="20"/>
          <w:lang w:val="en-US"/>
        </w:rPr>
        <w:t>right to compensation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10), </w:t>
      </w:r>
      <w:r w:rsidRPr="00D869E3">
        <w:rPr>
          <w:rFonts w:ascii="Verdana" w:hAnsi="Verdana"/>
          <w:sz w:val="20"/>
          <w:szCs w:val="20"/>
          <w:lang w:val="en-US"/>
        </w:rPr>
        <w:t>right to privacy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11), </w:t>
      </w:r>
      <w:r w:rsidRPr="00D869E3">
        <w:rPr>
          <w:rFonts w:ascii="Verdana" w:hAnsi="Verdana"/>
          <w:sz w:val="20"/>
          <w:szCs w:val="20"/>
          <w:lang w:val="en-US"/>
        </w:rPr>
        <w:t>freedom of conscience and religion</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12), </w:t>
      </w:r>
      <w:r w:rsidRPr="00D869E3">
        <w:rPr>
          <w:rFonts w:ascii="Verdana" w:hAnsi="Verdana"/>
          <w:sz w:val="20"/>
          <w:szCs w:val="20"/>
          <w:lang w:val="en-US"/>
        </w:rPr>
        <w:t>freedom of thought and expression</w:t>
      </w:r>
      <w:r w:rsidR="00687684" w:rsidRPr="00D869E3">
        <w:rPr>
          <w:rFonts w:ascii="Verdana" w:hAnsi="Verdana"/>
          <w:sz w:val="20"/>
          <w:szCs w:val="20"/>
          <w:lang w:val="en-US"/>
        </w:rPr>
        <w:t xml:space="preserve"> </w:t>
      </w:r>
      <w:r w:rsidR="003C2143" w:rsidRPr="00D869E3">
        <w:rPr>
          <w:rFonts w:ascii="Verdana" w:hAnsi="Verdana"/>
          <w:sz w:val="20"/>
          <w:szCs w:val="20"/>
          <w:lang w:val="en-US"/>
        </w:rPr>
        <w:t>(</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13), </w:t>
      </w:r>
      <w:r w:rsidRPr="00D869E3">
        <w:rPr>
          <w:rFonts w:ascii="Verdana" w:hAnsi="Verdana"/>
          <w:sz w:val="20"/>
          <w:szCs w:val="20"/>
          <w:lang w:val="en-US"/>
        </w:rPr>
        <w:t>right of reply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14), </w:t>
      </w:r>
      <w:r w:rsidRPr="00D869E3">
        <w:rPr>
          <w:rFonts w:ascii="Verdana" w:hAnsi="Verdana"/>
          <w:sz w:val="20"/>
          <w:szCs w:val="20"/>
          <w:lang w:val="en-US"/>
        </w:rPr>
        <w:t>right of assembly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15), </w:t>
      </w:r>
      <w:r w:rsidR="00ED2632" w:rsidRPr="00D869E3">
        <w:rPr>
          <w:rFonts w:ascii="Verdana" w:hAnsi="Verdana"/>
          <w:sz w:val="20"/>
          <w:szCs w:val="20"/>
          <w:lang w:val="en-US"/>
        </w:rPr>
        <w:t>freedom of association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16), </w:t>
      </w:r>
      <w:r w:rsidR="00ED2632" w:rsidRPr="00D869E3">
        <w:rPr>
          <w:rFonts w:ascii="Verdana" w:hAnsi="Verdana"/>
          <w:sz w:val="20"/>
          <w:szCs w:val="20"/>
          <w:lang w:val="en-US"/>
        </w:rPr>
        <w:t>rights of the family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17), </w:t>
      </w:r>
      <w:r w:rsidR="00ED2632" w:rsidRPr="00D869E3">
        <w:rPr>
          <w:rFonts w:ascii="Verdana" w:hAnsi="Verdana"/>
          <w:sz w:val="20"/>
          <w:szCs w:val="20"/>
          <w:lang w:val="en-US"/>
        </w:rPr>
        <w:t>right to a name</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18), </w:t>
      </w:r>
      <w:r w:rsidR="00ED2632" w:rsidRPr="00D869E3">
        <w:rPr>
          <w:rFonts w:ascii="Verdana" w:hAnsi="Verdana"/>
          <w:sz w:val="20"/>
          <w:szCs w:val="20"/>
          <w:lang w:val="en-US"/>
        </w:rPr>
        <w:t>rights of the child</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19), </w:t>
      </w:r>
      <w:r w:rsidRPr="00D869E3">
        <w:rPr>
          <w:rFonts w:ascii="Verdana" w:hAnsi="Verdana"/>
          <w:sz w:val="20"/>
          <w:szCs w:val="20"/>
          <w:lang w:val="en-US"/>
        </w:rPr>
        <w:t>right to</w:t>
      </w:r>
      <w:r w:rsidR="003C2143" w:rsidRPr="00D869E3">
        <w:rPr>
          <w:rFonts w:ascii="Verdana" w:hAnsi="Verdana"/>
          <w:sz w:val="20"/>
          <w:szCs w:val="20"/>
          <w:lang w:val="en-US"/>
        </w:rPr>
        <w:t xml:space="preserve"> na</w:t>
      </w:r>
      <w:r w:rsidR="00ED2632" w:rsidRPr="00D869E3">
        <w:rPr>
          <w:rFonts w:ascii="Verdana" w:hAnsi="Verdana"/>
          <w:sz w:val="20"/>
          <w:szCs w:val="20"/>
          <w:lang w:val="en-US"/>
        </w:rPr>
        <w:t>tionality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20), </w:t>
      </w:r>
      <w:r w:rsidRPr="00D869E3">
        <w:rPr>
          <w:rFonts w:ascii="Verdana" w:hAnsi="Verdana"/>
          <w:sz w:val="20"/>
          <w:szCs w:val="20"/>
          <w:lang w:val="en-US"/>
        </w:rPr>
        <w:t>right to</w:t>
      </w:r>
      <w:r w:rsidR="003C2143" w:rsidRPr="00D869E3">
        <w:rPr>
          <w:rFonts w:ascii="Verdana" w:hAnsi="Verdana"/>
          <w:sz w:val="20"/>
          <w:szCs w:val="20"/>
          <w:lang w:val="en-US"/>
        </w:rPr>
        <w:t xml:space="preserve"> </w:t>
      </w:r>
      <w:r w:rsidR="00ED2632" w:rsidRPr="00D869E3">
        <w:rPr>
          <w:rFonts w:ascii="Verdana" w:hAnsi="Verdana"/>
          <w:sz w:val="20"/>
          <w:szCs w:val="20"/>
          <w:lang w:val="en-US"/>
        </w:rPr>
        <w:t>property</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 xml:space="preserve">21), </w:t>
      </w:r>
      <w:r w:rsidR="00ED2632" w:rsidRPr="00D869E3">
        <w:rPr>
          <w:rFonts w:ascii="Verdana" w:hAnsi="Verdana"/>
          <w:sz w:val="20"/>
          <w:szCs w:val="20"/>
          <w:lang w:val="en-US"/>
        </w:rPr>
        <w:t xml:space="preserve">freedom of movement and residence </w:t>
      </w:r>
      <w:r w:rsidR="003C2143" w:rsidRPr="00D869E3">
        <w:rPr>
          <w:rFonts w:ascii="Verdana" w:hAnsi="Verdana"/>
          <w:sz w:val="20"/>
          <w:szCs w:val="20"/>
          <w:lang w:val="en-US"/>
        </w:rPr>
        <w:lastRenderedPageBreak/>
        <w:t>(</w:t>
      </w:r>
      <w:r w:rsidRPr="00D869E3">
        <w:rPr>
          <w:rFonts w:ascii="Verdana" w:hAnsi="Verdana"/>
          <w:sz w:val="20"/>
          <w:szCs w:val="20"/>
          <w:lang w:val="en-US"/>
        </w:rPr>
        <w:t xml:space="preserve">Art. </w:t>
      </w:r>
      <w:r w:rsidR="003C2143" w:rsidRPr="00D869E3">
        <w:rPr>
          <w:rFonts w:ascii="Verdana" w:hAnsi="Verdana"/>
          <w:sz w:val="20"/>
          <w:szCs w:val="20"/>
          <w:lang w:val="en-US"/>
        </w:rPr>
        <w:t xml:space="preserve">22), </w:t>
      </w:r>
      <w:r w:rsidR="00ED2632" w:rsidRPr="00D869E3">
        <w:rPr>
          <w:rFonts w:ascii="Verdana" w:hAnsi="Verdana"/>
          <w:sz w:val="20"/>
          <w:szCs w:val="20"/>
          <w:lang w:val="en-US"/>
        </w:rPr>
        <w:t xml:space="preserve">right to participate in government </w:t>
      </w:r>
      <w:r w:rsidR="003C2143" w:rsidRPr="00D869E3">
        <w:rPr>
          <w:rFonts w:ascii="Verdana" w:hAnsi="Verdana"/>
          <w:sz w:val="20"/>
          <w:szCs w:val="20"/>
          <w:lang w:val="en-US"/>
        </w:rPr>
        <w:t>(</w:t>
      </w:r>
      <w:r w:rsidRPr="00D869E3">
        <w:rPr>
          <w:rFonts w:ascii="Verdana" w:hAnsi="Verdana"/>
          <w:sz w:val="20"/>
          <w:szCs w:val="20"/>
          <w:lang w:val="en-US"/>
        </w:rPr>
        <w:t xml:space="preserve">Art. </w:t>
      </w:r>
      <w:r w:rsidR="003C2143" w:rsidRPr="00D869E3">
        <w:rPr>
          <w:rFonts w:ascii="Verdana" w:hAnsi="Verdana"/>
          <w:sz w:val="20"/>
          <w:szCs w:val="20"/>
          <w:lang w:val="en-US"/>
        </w:rPr>
        <w:t xml:space="preserve">23), </w:t>
      </w:r>
      <w:r w:rsidR="00ED2632" w:rsidRPr="00D869E3">
        <w:rPr>
          <w:rFonts w:ascii="Verdana" w:hAnsi="Verdana"/>
          <w:sz w:val="20"/>
          <w:szCs w:val="20"/>
          <w:lang w:val="en-US"/>
        </w:rPr>
        <w:t>right to equal protection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24)</w:t>
      </w:r>
      <w:r w:rsidR="00687684" w:rsidRPr="00D869E3">
        <w:rPr>
          <w:rFonts w:ascii="Verdana" w:hAnsi="Verdana"/>
          <w:sz w:val="20"/>
          <w:szCs w:val="20"/>
          <w:lang w:val="en-US"/>
        </w:rPr>
        <w:t xml:space="preserve"> and </w:t>
      </w:r>
      <w:r w:rsidR="00ED2632" w:rsidRPr="00D869E3">
        <w:rPr>
          <w:rFonts w:ascii="Verdana" w:hAnsi="Verdana"/>
          <w:sz w:val="20"/>
          <w:szCs w:val="20"/>
          <w:lang w:val="en-US"/>
        </w:rPr>
        <w:t>right to</w:t>
      </w:r>
      <w:r w:rsidR="003C2143" w:rsidRPr="00D869E3">
        <w:rPr>
          <w:rFonts w:ascii="Verdana" w:hAnsi="Verdana"/>
          <w:sz w:val="20"/>
          <w:szCs w:val="20"/>
          <w:lang w:val="en-US"/>
        </w:rPr>
        <w:t xml:space="preserve"> judicial</w:t>
      </w:r>
      <w:r w:rsidR="00ED2632" w:rsidRPr="00D869E3">
        <w:rPr>
          <w:rFonts w:ascii="Verdana" w:hAnsi="Verdana"/>
          <w:sz w:val="20"/>
          <w:szCs w:val="20"/>
          <w:lang w:val="en-US"/>
        </w:rPr>
        <w:t xml:space="preserve"> protection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Art. </w:t>
      </w:r>
      <w:r w:rsidR="003C2143" w:rsidRPr="00D869E3">
        <w:rPr>
          <w:rFonts w:ascii="Verdana" w:hAnsi="Verdana"/>
          <w:sz w:val="20"/>
          <w:szCs w:val="20"/>
          <w:lang w:val="en-US"/>
        </w:rPr>
        <w:t>25).</w:t>
      </w:r>
    </w:p>
    <w:p w14:paraId="7F70D567" w14:textId="77777777" w:rsidR="003C2143" w:rsidRPr="00D869E3" w:rsidRDefault="003C2143" w:rsidP="003C2143">
      <w:pPr>
        <w:jc w:val="both"/>
        <w:rPr>
          <w:rFonts w:ascii="Verdana" w:hAnsi="Verdana"/>
          <w:sz w:val="20"/>
          <w:szCs w:val="20"/>
          <w:lang w:val="en-US"/>
        </w:rPr>
      </w:pPr>
    </w:p>
    <w:p w14:paraId="26B7BE57" w14:textId="7684EDBF" w:rsidR="003C2143" w:rsidRPr="00D869E3" w:rsidRDefault="00ED2632" w:rsidP="003C2143">
      <w:pPr>
        <w:jc w:val="both"/>
        <w:rPr>
          <w:rFonts w:ascii="Verdana" w:hAnsi="Verdana"/>
          <w:iCs/>
          <w:sz w:val="20"/>
          <w:szCs w:val="20"/>
          <w:lang w:val="en-US"/>
        </w:rPr>
      </w:pPr>
      <w:r w:rsidRPr="00D869E3">
        <w:rPr>
          <w:rFonts w:ascii="Verdana" w:hAnsi="Verdana"/>
          <w:sz w:val="20"/>
          <w:szCs w:val="20"/>
          <w:lang w:val="en-US"/>
        </w:rPr>
        <w:t xml:space="preserve">In accordance with these provisions, the rights that are the purpose of the Convention and that, consequently, its States Parties </w:t>
      </w:r>
      <w:r w:rsidR="006436CA" w:rsidRPr="00D869E3">
        <w:rPr>
          <w:rFonts w:ascii="Verdana" w:hAnsi="Verdana"/>
          <w:sz w:val="20"/>
          <w:szCs w:val="20"/>
          <w:lang w:val="en-US"/>
        </w:rPr>
        <w:t>“</w:t>
      </w:r>
      <w:r w:rsidRPr="00D869E3">
        <w:rPr>
          <w:rFonts w:ascii="Verdana" w:hAnsi="Verdana"/>
          <w:i/>
          <w:iCs/>
          <w:spacing w:val="-3"/>
          <w:sz w:val="20"/>
          <w:szCs w:val="20"/>
          <w:lang w:val="en-US"/>
        </w:rPr>
        <w:t xml:space="preserve">undertake to respect </w:t>
      </w:r>
      <w:r w:rsidR="003E678C" w:rsidRPr="00D869E3">
        <w:rPr>
          <w:rFonts w:ascii="Verdana" w:hAnsi="Verdana"/>
          <w:i/>
          <w:iCs/>
          <w:spacing w:val="-3"/>
          <w:sz w:val="20"/>
          <w:szCs w:val="20"/>
          <w:lang w:val="en-US"/>
        </w:rPr>
        <w:t xml:space="preserve">[…] </w:t>
      </w:r>
      <w:r w:rsidRPr="00D869E3">
        <w:rPr>
          <w:rFonts w:ascii="Verdana" w:hAnsi="Verdana"/>
          <w:i/>
          <w:iCs/>
          <w:spacing w:val="-3"/>
          <w:sz w:val="20"/>
          <w:szCs w:val="20"/>
          <w:lang w:val="en-US"/>
        </w:rPr>
        <w:t>and to ensure to all persons subject to their jurisdiction the</w:t>
      </w:r>
      <w:r w:rsidR="003E678C" w:rsidRPr="00D869E3">
        <w:rPr>
          <w:rFonts w:ascii="Verdana" w:hAnsi="Verdana"/>
          <w:i/>
          <w:iCs/>
          <w:spacing w:val="-3"/>
          <w:sz w:val="20"/>
          <w:szCs w:val="20"/>
          <w:lang w:val="en-US"/>
        </w:rPr>
        <w:t>[ir]</w:t>
      </w:r>
      <w:r w:rsidRPr="00D869E3">
        <w:rPr>
          <w:rFonts w:ascii="Verdana" w:hAnsi="Verdana"/>
          <w:i/>
          <w:iCs/>
          <w:spacing w:val="-3"/>
          <w:sz w:val="20"/>
          <w:szCs w:val="20"/>
          <w:lang w:val="en-US"/>
        </w:rPr>
        <w:t xml:space="preserve"> free and full exercise</w:t>
      </w:r>
      <w:r w:rsidRPr="00D869E3">
        <w:rPr>
          <w:rFonts w:ascii="Verdana" w:hAnsi="Verdana"/>
          <w:spacing w:val="-3"/>
          <w:sz w:val="20"/>
          <w:szCs w:val="20"/>
          <w:lang w:val="en-US"/>
        </w:rPr>
        <w:t>,</w:t>
      </w:r>
      <w:r w:rsidR="006436CA" w:rsidRPr="00D869E3">
        <w:rPr>
          <w:rFonts w:ascii="Verdana" w:hAnsi="Verdana"/>
          <w:spacing w:val="-3"/>
          <w:sz w:val="20"/>
          <w:szCs w:val="20"/>
          <w:lang w:val="en-US"/>
        </w:rPr>
        <w:t>”</w:t>
      </w:r>
      <w:r w:rsidRPr="00D869E3">
        <w:rPr>
          <w:rFonts w:ascii="Verdana" w:hAnsi="Verdana"/>
          <w:spacing w:val="-3"/>
          <w:sz w:val="20"/>
          <w:szCs w:val="20"/>
          <w:lang w:val="en-US"/>
        </w:rPr>
        <w:t xml:space="preserve"> and to interpre</w:t>
      </w:r>
      <w:r w:rsidR="00752DAA" w:rsidRPr="00D869E3">
        <w:rPr>
          <w:rFonts w:ascii="Verdana" w:hAnsi="Verdana"/>
          <w:spacing w:val="-3"/>
          <w:sz w:val="20"/>
          <w:szCs w:val="20"/>
          <w:lang w:val="en-US"/>
        </w:rPr>
        <w:t>t</w:t>
      </w:r>
      <w:r w:rsidRPr="00D869E3">
        <w:rPr>
          <w:rFonts w:ascii="Verdana" w:hAnsi="Verdana"/>
          <w:spacing w:val="-3"/>
          <w:sz w:val="20"/>
          <w:szCs w:val="20"/>
          <w:lang w:val="en-US"/>
        </w:rPr>
        <w:t xml:space="preserve"> pursuant to the </w:t>
      </w:r>
      <w:r w:rsidRPr="00D869E3">
        <w:rPr>
          <w:rFonts w:ascii="Verdana" w:hAnsi="Verdana"/>
          <w:i/>
          <w:sz w:val="20"/>
          <w:szCs w:val="20"/>
          <w:lang w:val="en-US"/>
        </w:rPr>
        <w:t>pro personae</w:t>
      </w:r>
      <w:r w:rsidRPr="00D869E3">
        <w:rPr>
          <w:rFonts w:ascii="Verdana" w:hAnsi="Verdana"/>
          <w:iCs/>
          <w:sz w:val="20"/>
          <w:szCs w:val="20"/>
          <w:lang w:val="en-US"/>
        </w:rPr>
        <w:t xml:space="preserve"> principle, are, therefore, only those mentioned, and do not include the </w:t>
      </w:r>
      <w:r w:rsidR="000B2E5E" w:rsidRPr="00D869E3">
        <w:rPr>
          <w:rFonts w:ascii="Verdana" w:hAnsi="Verdana"/>
          <w:sz w:val="20"/>
          <w:szCs w:val="20"/>
          <w:lang w:val="en-US"/>
        </w:rPr>
        <w:t>right to</w:t>
      </w:r>
      <w:r w:rsidRPr="00D869E3">
        <w:rPr>
          <w:rFonts w:ascii="Verdana" w:hAnsi="Verdana"/>
          <w:sz w:val="20"/>
          <w:szCs w:val="20"/>
          <w:lang w:val="en-US"/>
        </w:rPr>
        <w:t xml:space="preserve"> work or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00817AA4" w:rsidRPr="00D869E3">
        <w:rPr>
          <w:rFonts w:ascii="Verdana" w:hAnsi="Verdana"/>
          <w:sz w:val="20"/>
          <w:szCs w:val="20"/>
          <w:lang w:val="en-US"/>
        </w:rPr>
        <w:t xml:space="preserve">job </w:t>
      </w:r>
      <w:r w:rsidR="003811C4" w:rsidRPr="00D869E3">
        <w:rPr>
          <w:rFonts w:ascii="Verdana" w:hAnsi="Verdana"/>
          <w:sz w:val="20"/>
          <w:szCs w:val="20"/>
          <w:lang w:val="en-US"/>
        </w:rPr>
        <w:t>security</w:t>
      </w:r>
      <w:r w:rsidR="003C2143" w:rsidRPr="00D869E3">
        <w:rPr>
          <w:rFonts w:ascii="Verdana" w:hAnsi="Verdana"/>
          <w:sz w:val="20"/>
          <w:szCs w:val="20"/>
          <w:lang w:val="en-US"/>
        </w:rPr>
        <w:t>.</w:t>
      </w:r>
    </w:p>
    <w:p w14:paraId="720DD510" w14:textId="77777777" w:rsidR="003C2143" w:rsidRPr="00D869E3" w:rsidRDefault="003C2143" w:rsidP="003C2143">
      <w:pPr>
        <w:jc w:val="both"/>
        <w:rPr>
          <w:rFonts w:ascii="Verdana" w:hAnsi="Verdana"/>
          <w:sz w:val="20"/>
          <w:szCs w:val="20"/>
          <w:lang w:val="en-US"/>
        </w:rPr>
      </w:pPr>
    </w:p>
    <w:p w14:paraId="17B3AF44" w14:textId="18519B70" w:rsidR="003C2143" w:rsidRPr="00D869E3" w:rsidRDefault="00B443B4" w:rsidP="003C2143">
      <w:pPr>
        <w:pStyle w:val="Prrafodelista"/>
        <w:numPr>
          <w:ilvl w:val="0"/>
          <w:numId w:val="32"/>
        </w:numPr>
        <w:jc w:val="both"/>
        <w:rPr>
          <w:rFonts w:ascii="Verdana" w:hAnsi="Verdana"/>
          <w:b/>
          <w:sz w:val="20"/>
          <w:szCs w:val="20"/>
          <w:lang w:val="en-US"/>
        </w:rPr>
      </w:pPr>
      <w:r w:rsidRPr="00D869E3">
        <w:rPr>
          <w:rFonts w:ascii="Verdana" w:hAnsi="Verdana"/>
          <w:b/>
          <w:sz w:val="20"/>
          <w:szCs w:val="20"/>
          <w:lang w:val="en-US"/>
        </w:rPr>
        <w:t>The existence of other human rights</w:t>
      </w:r>
    </w:p>
    <w:p w14:paraId="63577F1F" w14:textId="77777777" w:rsidR="003C2143" w:rsidRPr="00D869E3" w:rsidRDefault="003C2143" w:rsidP="003C2143">
      <w:pPr>
        <w:jc w:val="both"/>
        <w:rPr>
          <w:rFonts w:ascii="Verdana" w:hAnsi="Verdana"/>
          <w:b/>
          <w:sz w:val="20"/>
          <w:szCs w:val="20"/>
          <w:lang w:val="en-US"/>
        </w:rPr>
      </w:pPr>
    </w:p>
    <w:p w14:paraId="2EB4A3AD" w14:textId="38EA800E" w:rsidR="003C2143" w:rsidRPr="00D869E3" w:rsidRDefault="00B443B4" w:rsidP="003C2143">
      <w:pPr>
        <w:jc w:val="both"/>
        <w:rPr>
          <w:rFonts w:ascii="Verdana" w:hAnsi="Verdana"/>
          <w:sz w:val="20"/>
          <w:szCs w:val="20"/>
          <w:lang w:val="en-US"/>
        </w:rPr>
      </w:pPr>
      <w:r w:rsidRPr="00D869E3">
        <w:rPr>
          <w:rFonts w:ascii="Verdana" w:hAnsi="Verdana"/>
          <w:sz w:val="20"/>
          <w:szCs w:val="20"/>
          <w:lang w:val="en-US"/>
        </w:rPr>
        <w:t>Nevertheless, this does not mean that there are no other human rights</w:t>
      </w:r>
      <w:r w:rsidR="003C2143" w:rsidRPr="00D869E3">
        <w:rPr>
          <w:rFonts w:ascii="Verdana" w:hAnsi="Verdana"/>
          <w:sz w:val="20"/>
          <w:szCs w:val="20"/>
          <w:lang w:val="en-US"/>
        </w:rPr>
        <w:t xml:space="preserve">. </w:t>
      </w:r>
      <w:r w:rsidRPr="00D869E3">
        <w:rPr>
          <w:rFonts w:ascii="Verdana" w:hAnsi="Verdana"/>
          <w:sz w:val="20"/>
          <w:szCs w:val="20"/>
          <w:lang w:val="en-US"/>
        </w:rPr>
        <w:t>To the contrary, the Convention itself alludes to other rights and to different types of categories of</w:t>
      </w:r>
      <w:r w:rsidR="003C2143" w:rsidRPr="00D869E3">
        <w:rPr>
          <w:rFonts w:ascii="Verdana" w:hAnsi="Verdana"/>
          <w:sz w:val="20"/>
          <w:szCs w:val="20"/>
          <w:lang w:val="en-US"/>
        </w:rPr>
        <w:t xml:space="preserve"> </w:t>
      </w:r>
      <w:r w:rsidRPr="00D869E3">
        <w:rPr>
          <w:rFonts w:ascii="Verdana" w:hAnsi="Verdana"/>
          <w:sz w:val="20"/>
          <w:szCs w:val="20"/>
          <w:lang w:val="en-US"/>
        </w:rPr>
        <w:t>human rights</w:t>
      </w:r>
      <w:r w:rsidR="003C2143" w:rsidRPr="00D869E3">
        <w:rPr>
          <w:rFonts w:ascii="Verdana" w:hAnsi="Verdana"/>
          <w:sz w:val="20"/>
          <w:szCs w:val="20"/>
          <w:lang w:val="en-US"/>
        </w:rPr>
        <w:t xml:space="preserve"> </w:t>
      </w:r>
      <w:r w:rsidRPr="00D869E3">
        <w:rPr>
          <w:rFonts w:ascii="Verdana" w:hAnsi="Verdana"/>
          <w:sz w:val="20"/>
          <w:szCs w:val="20"/>
          <w:lang w:val="en-US"/>
        </w:rPr>
        <w:t>that have sources other than international law.</w:t>
      </w:r>
      <w:r w:rsidR="003C2143" w:rsidRPr="00D869E3">
        <w:rPr>
          <w:rStyle w:val="Refdenotaalpie"/>
          <w:szCs w:val="20"/>
          <w:lang w:val="en-US"/>
        </w:rPr>
        <w:footnoteReference w:id="392"/>
      </w:r>
      <w:r w:rsidR="003C2143" w:rsidRPr="00D869E3">
        <w:rPr>
          <w:rFonts w:ascii="Verdana" w:hAnsi="Verdana"/>
          <w:sz w:val="20"/>
          <w:szCs w:val="20"/>
          <w:lang w:val="en-US"/>
        </w:rPr>
        <w:t xml:space="preserve"> </w:t>
      </w:r>
      <w:r w:rsidR="003811C4" w:rsidRPr="00D869E3">
        <w:rPr>
          <w:rFonts w:ascii="Verdana" w:hAnsi="Verdana"/>
          <w:sz w:val="20"/>
          <w:szCs w:val="20"/>
          <w:lang w:val="en-US"/>
        </w:rPr>
        <w:t xml:space="preserve">Thus, in addition to those </w:t>
      </w:r>
      <w:r w:rsidR="006436CA" w:rsidRPr="00D869E3">
        <w:rPr>
          <w:rFonts w:ascii="Verdana" w:hAnsi="Verdana"/>
          <w:sz w:val="20"/>
          <w:szCs w:val="20"/>
          <w:lang w:val="en-US"/>
        </w:rPr>
        <w:t>“</w:t>
      </w:r>
      <w:r w:rsidR="003811C4" w:rsidRPr="00D869E3">
        <w:rPr>
          <w:rFonts w:ascii="Verdana" w:hAnsi="Verdana"/>
          <w:i/>
          <w:iCs/>
          <w:sz w:val="20"/>
          <w:szCs w:val="20"/>
          <w:lang w:val="en-US"/>
        </w:rPr>
        <w:t>recognized</w:t>
      </w:r>
      <w:r w:rsidR="006436CA" w:rsidRPr="00D869E3">
        <w:rPr>
          <w:rFonts w:ascii="Verdana" w:hAnsi="Verdana"/>
          <w:sz w:val="20"/>
          <w:szCs w:val="20"/>
          <w:lang w:val="en-US"/>
        </w:rPr>
        <w:t>”</w:t>
      </w:r>
      <w:r w:rsidR="003811C4" w:rsidRPr="00D869E3">
        <w:rPr>
          <w:rFonts w:ascii="Verdana" w:hAnsi="Verdana"/>
          <w:sz w:val="20"/>
          <w:szCs w:val="20"/>
          <w:lang w:val="en-US"/>
        </w:rPr>
        <w:t xml:space="preserve"> in the Convention, it also mentions </w:t>
      </w:r>
      <w:r w:rsidR="006436CA" w:rsidRPr="00D869E3">
        <w:rPr>
          <w:rFonts w:ascii="Verdana" w:hAnsi="Verdana"/>
          <w:sz w:val="20"/>
          <w:szCs w:val="20"/>
          <w:lang w:val="en-US"/>
        </w:rPr>
        <w:t>“</w:t>
      </w:r>
      <w:r w:rsidR="003811C4" w:rsidRPr="00D869E3">
        <w:rPr>
          <w:rFonts w:ascii="Verdana" w:hAnsi="Verdana"/>
          <w:sz w:val="20"/>
          <w:szCs w:val="20"/>
          <w:lang w:val="en-US"/>
        </w:rPr>
        <w:t>economic, social and cultural rights</w:t>
      </w:r>
      <w:r w:rsidR="006436CA" w:rsidRPr="00D869E3">
        <w:rPr>
          <w:rFonts w:ascii="Verdana" w:hAnsi="Verdana"/>
          <w:sz w:val="20"/>
          <w:szCs w:val="20"/>
          <w:lang w:val="en-US"/>
        </w:rPr>
        <w:t>”</w:t>
      </w:r>
      <w:r w:rsidR="003811C4" w:rsidRPr="00D869E3">
        <w:rPr>
          <w:rFonts w:ascii="Verdana" w:hAnsi="Verdana"/>
          <w:sz w:val="20"/>
          <w:szCs w:val="20"/>
          <w:lang w:val="en-US"/>
        </w:rPr>
        <w:t>;</w:t>
      </w:r>
      <w:r w:rsidR="003C2143" w:rsidRPr="00D869E3">
        <w:rPr>
          <w:rStyle w:val="Refdenotaalpie"/>
          <w:szCs w:val="20"/>
          <w:lang w:val="en-US"/>
        </w:rPr>
        <w:footnoteReference w:id="393"/>
      </w:r>
      <w:r w:rsidR="003811C4" w:rsidRPr="00D869E3">
        <w:rPr>
          <w:rFonts w:ascii="Verdana" w:hAnsi="Verdana"/>
          <w:sz w:val="20"/>
          <w:szCs w:val="20"/>
          <w:lang w:val="en-US"/>
        </w:rPr>
        <w:t xml:space="preserve"> those </w:t>
      </w:r>
      <w:r w:rsidR="006436CA" w:rsidRPr="00D869E3">
        <w:rPr>
          <w:rFonts w:ascii="Verdana" w:hAnsi="Verdana"/>
          <w:sz w:val="20"/>
          <w:szCs w:val="20"/>
          <w:lang w:val="en-US"/>
        </w:rPr>
        <w:t>“</w:t>
      </w:r>
      <w:r w:rsidR="003811C4" w:rsidRPr="00D869E3">
        <w:rPr>
          <w:rFonts w:ascii="Verdana" w:hAnsi="Verdana"/>
          <w:i/>
          <w:iCs/>
          <w:sz w:val="20"/>
          <w:szCs w:val="20"/>
          <w:lang w:val="en-US"/>
        </w:rPr>
        <w:t>derived</w:t>
      </w:r>
      <w:r w:rsidR="006436CA" w:rsidRPr="00D869E3">
        <w:rPr>
          <w:rFonts w:ascii="Verdana" w:hAnsi="Verdana"/>
          <w:sz w:val="20"/>
          <w:szCs w:val="20"/>
          <w:lang w:val="en-US"/>
        </w:rPr>
        <w:t>”</w:t>
      </w:r>
      <w:r w:rsidR="003811C4" w:rsidRPr="00D869E3">
        <w:rPr>
          <w:rFonts w:ascii="Verdana" w:hAnsi="Verdana"/>
          <w:sz w:val="20"/>
          <w:szCs w:val="20"/>
          <w:lang w:val="en-US"/>
        </w:rPr>
        <w:t xml:space="preserve"> from the provisions of </w:t>
      </w:r>
      <w:r w:rsidR="00317073" w:rsidRPr="00D869E3">
        <w:rPr>
          <w:rFonts w:ascii="Verdana" w:hAnsi="Verdana"/>
          <w:sz w:val="20"/>
          <w:szCs w:val="20"/>
          <w:lang w:val="en-US"/>
        </w:rPr>
        <w:t>the Charter of the</w:t>
      </w:r>
      <w:r w:rsidR="003C2143" w:rsidRPr="00D869E3">
        <w:rPr>
          <w:rFonts w:ascii="Verdana" w:hAnsi="Verdana"/>
          <w:sz w:val="20"/>
          <w:szCs w:val="20"/>
          <w:lang w:val="en-US"/>
        </w:rPr>
        <w:t xml:space="preserve"> </w:t>
      </w:r>
      <w:r w:rsidR="00075E68" w:rsidRPr="00D869E3">
        <w:rPr>
          <w:rFonts w:ascii="Verdana" w:hAnsi="Verdana"/>
          <w:sz w:val="20"/>
          <w:szCs w:val="20"/>
          <w:lang w:val="en-US"/>
        </w:rPr>
        <w:t>Organization of American States</w:t>
      </w:r>
      <w:r w:rsidR="003811C4" w:rsidRPr="00D869E3">
        <w:rPr>
          <w:rFonts w:ascii="Verdana" w:hAnsi="Verdana"/>
          <w:sz w:val="20"/>
          <w:szCs w:val="20"/>
          <w:lang w:val="en-US"/>
        </w:rPr>
        <w:t>;</w:t>
      </w:r>
      <w:r w:rsidR="003C2143" w:rsidRPr="00D869E3">
        <w:rPr>
          <w:rStyle w:val="Refdenotaalpie"/>
          <w:szCs w:val="20"/>
          <w:lang w:val="en-US"/>
        </w:rPr>
        <w:footnoteReference w:id="394"/>
      </w:r>
      <w:r w:rsidR="003811C4" w:rsidRPr="00D869E3">
        <w:rPr>
          <w:rFonts w:ascii="Verdana" w:hAnsi="Verdana"/>
          <w:sz w:val="20"/>
          <w:szCs w:val="20"/>
          <w:lang w:val="en-US"/>
        </w:rPr>
        <w:t xml:space="preserve"> those </w:t>
      </w:r>
      <w:r w:rsidR="006436CA" w:rsidRPr="00D869E3">
        <w:rPr>
          <w:rFonts w:ascii="Verdana" w:hAnsi="Verdana"/>
          <w:sz w:val="20"/>
          <w:szCs w:val="20"/>
          <w:lang w:val="en-US"/>
        </w:rPr>
        <w:t>“</w:t>
      </w:r>
      <w:r w:rsidR="003C2143" w:rsidRPr="00D869E3">
        <w:rPr>
          <w:rFonts w:ascii="Verdana" w:hAnsi="Verdana"/>
          <w:i/>
          <w:sz w:val="20"/>
          <w:szCs w:val="20"/>
          <w:lang w:val="en-US"/>
        </w:rPr>
        <w:t>re</w:t>
      </w:r>
      <w:r w:rsidR="003811C4" w:rsidRPr="00D869E3">
        <w:rPr>
          <w:rFonts w:ascii="Verdana" w:hAnsi="Verdana"/>
          <w:i/>
          <w:sz w:val="20"/>
          <w:szCs w:val="20"/>
          <w:lang w:val="en-US"/>
        </w:rPr>
        <w:t>cognized</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003811C4" w:rsidRPr="00D869E3">
        <w:rPr>
          <w:rFonts w:ascii="Verdana" w:hAnsi="Verdana"/>
          <w:sz w:val="20"/>
          <w:szCs w:val="20"/>
          <w:lang w:val="en-US"/>
        </w:rPr>
        <w:t>by the laws of the States or in other convention,</w:t>
      </w:r>
      <w:r w:rsidR="003C2143" w:rsidRPr="00D869E3">
        <w:rPr>
          <w:rStyle w:val="Refdenotaalpie"/>
          <w:szCs w:val="20"/>
          <w:lang w:val="en-US"/>
        </w:rPr>
        <w:footnoteReference w:id="395"/>
      </w:r>
      <w:r w:rsidR="00687684" w:rsidRPr="00D869E3">
        <w:rPr>
          <w:rFonts w:ascii="Verdana" w:hAnsi="Verdana"/>
          <w:sz w:val="20"/>
          <w:szCs w:val="20"/>
          <w:lang w:val="en-US"/>
        </w:rPr>
        <w:t xml:space="preserve"> and </w:t>
      </w:r>
      <w:r w:rsidR="003811C4" w:rsidRPr="00D869E3">
        <w:rPr>
          <w:rFonts w:ascii="Verdana" w:hAnsi="Verdana"/>
          <w:sz w:val="20"/>
          <w:szCs w:val="20"/>
          <w:lang w:val="en-US"/>
        </w:rPr>
        <w:t>those</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811C4" w:rsidRPr="00D869E3">
        <w:rPr>
          <w:rFonts w:ascii="Verdana" w:hAnsi="Verdana"/>
          <w:i/>
          <w:iCs/>
          <w:sz w:val="20"/>
          <w:szCs w:val="20"/>
          <w:lang w:val="en-US"/>
        </w:rPr>
        <w:t>inherent in the human personality or derived from representative democracy as a form of government</w:t>
      </w:r>
      <w:r w:rsidR="003811C4" w:rsidRPr="00D869E3">
        <w:rPr>
          <w:rFonts w:ascii="Verdana" w:hAnsi="Verdana"/>
          <w:i/>
          <w:sz w:val="20"/>
          <w:szCs w:val="20"/>
          <w:lang w:val="en-US"/>
        </w:rPr>
        <w:t>.</w:t>
      </w:r>
      <w:r w:rsidR="006436CA" w:rsidRPr="00D869E3">
        <w:rPr>
          <w:rFonts w:ascii="Verdana" w:hAnsi="Verdana"/>
          <w:sz w:val="20"/>
          <w:szCs w:val="20"/>
          <w:lang w:val="en-US"/>
        </w:rPr>
        <w:t>”</w:t>
      </w:r>
      <w:r w:rsidR="003C2143" w:rsidRPr="00D869E3">
        <w:rPr>
          <w:rStyle w:val="Refdenotaalpie"/>
          <w:szCs w:val="20"/>
          <w:lang w:val="en-US"/>
        </w:rPr>
        <w:footnoteReference w:id="396"/>
      </w:r>
    </w:p>
    <w:p w14:paraId="62F7EE66" w14:textId="77777777" w:rsidR="003C2143" w:rsidRPr="00D869E3" w:rsidRDefault="003C2143" w:rsidP="003C2143">
      <w:pPr>
        <w:jc w:val="both"/>
        <w:rPr>
          <w:rFonts w:ascii="Verdana" w:hAnsi="Verdana"/>
          <w:sz w:val="20"/>
          <w:szCs w:val="20"/>
          <w:lang w:val="en-US"/>
        </w:rPr>
      </w:pPr>
    </w:p>
    <w:p w14:paraId="5C81B4FE" w14:textId="7D88D678" w:rsidR="003C2143" w:rsidRPr="00D869E3" w:rsidRDefault="003811C4" w:rsidP="003C2143">
      <w:pPr>
        <w:jc w:val="both"/>
        <w:rPr>
          <w:rFonts w:ascii="Verdana" w:hAnsi="Verdana"/>
          <w:sz w:val="20"/>
          <w:szCs w:val="20"/>
          <w:lang w:val="en-US"/>
        </w:rPr>
      </w:pPr>
      <w:r w:rsidRPr="00D869E3">
        <w:rPr>
          <w:rFonts w:ascii="Verdana" w:hAnsi="Verdana"/>
          <w:sz w:val="20"/>
          <w:szCs w:val="20"/>
          <w:lang w:val="en-US"/>
        </w:rPr>
        <w:t xml:space="preserve">It is clear, therefore, and as the judgment itself affirms when citing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to declare the violation of the right to </w:t>
      </w:r>
      <w:r w:rsidR="00752DAA" w:rsidRPr="00D869E3">
        <w:rPr>
          <w:rFonts w:ascii="Verdana" w:hAnsi="Verdana"/>
          <w:sz w:val="20"/>
          <w:szCs w:val="20"/>
          <w:lang w:val="en-US"/>
        </w:rPr>
        <w:t xml:space="preserve">job </w:t>
      </w:r>
      <w:r w:rsidRPr="00D869E3">
        <w:rPr>
          <w:rFonts w:ascii="Verdana" w:hAnsi="Verdana"/>
          <w:sz w:val="20"/>
          <w:szCs w:val="20"/>
          <w:lang w:val="en-US"/>
        </w:rPr>
        <w:t xml:space="preserve">security, that this is part of the group of </w:t>
      </w:r>
      <w:r w:rsidR="006436CA" w:rsidRPr="00D869E3">
        <w:rPr>
          <w:rFonts w:ascii="Verdana" w:hAnsi="Verdana"/>
          <w:sz w:val="20"/>
          <w:szCs w:val="20"/>
          <w:lang w:val="en-US"/>
        </w:rPr>
        <w:t>“</w:t>
      </w:r>
      <w:r w:rsidRPr="00D869E3">
        <w:rPr>
          <w:rFonts w:ascii="Verdana" w:hAnsi="Verdana"/>
          <w:i/>
          <w:sz w:val="20"/>
          <w:szCs w:val="20"/>
          <w:lang w:val="en-US"/>
        </w:rPr>
        <w:t>economic, social and cultural rights.</w:t>
      </w:r>
      <w:r w:rsidR="006436CA" w:rsidRPr="00D869E3">
        <w:rPr>
          <w:rFonts w:ascii="Verdana" w:hAnsi="Verdana"/>
          <w:i/>
          <w:sz w:val="20"/>
          <w:szCs w:val="20"/>
          <w:lang w:val="en-US"/>
        </w:rPr>
        <w:t>”</w:t>
      </w:r>
      <w:r w:rsidR="003C2143" w:rsidRPr="00D869E3">
        <w:rPr>
          <w:rStyle w:val="Refdenotaalpie"/>
          <w:i/>
          <w:szCs w:val="20"/>
          <w:lang w:val="en-US"/>
        </w:rPr>
        <w:footnoteReference w:id="397"/>
      </w:r>
      <w:r w:rsidR="003C2143" w:rsidRPr="00D869E3">
        <w:rPr>
          <w:rFonts w:ascii="Verdana" w:hAnsi="Verdana"/>
          <w:sz w:val="20"/>
          <w:szCs w:val="20"/>
          <w:lang w:val="en-US"/>
        </w:rPr>
        <w:t xml:space="preserve"> </w:t>
      </w:r>
      <w:r w:rsidRPr="00D869E3">
        <w:rPr>
          <w:rFonts w:ascii="Verdana" w:hAnsi="Verdana"/>
          <w:sz w:val="20"/>
          <w:szCs w:val="20"/>
          <w:lang w:val="en-US"/>
        </w:rPr>
        <w:t xml:space="preserve">This also reveals that, since these rights derive from provisions </w:t>
      </w:r>
      <w:r w:rsidR="00197983" w:rsidRPr="00D869E3">
        <w:rPr>
          <w:rFonts w:ascii="Verdana" w:hAnsi="Verdana"/>
          <w:sz w:val="20"/>
          <w:szCs w:val="20"/>
          <w:lang w:val="en-US"/>
        </w:rPr>
        <w:t>of the OAS Charter</w:t>
      </w:r>
      <w:r w:rsidR="003C2143" w:rsidRPr="00D869E3">
        <w:rPr>
          <w:rFonts w:ascii="Verdana" w:hAnsi="Verdana"/>
          <w:sz w:val="20"/>
          <w:szCs w:val="20"/>
          <w:lang w:val="en-US"/>
        </w:rPr>
        <w:t xml:space="preserve">, </w:t>
      </w:r>
      <w:r w:rsidRPr="00D869E3">
        <w:rPr>
          <w:rFonts w:ascii="Verdana" w:hAnsi="Verdana"/>
          <w:sz w:val="20"/>
          <w:szCs w:val="20"/>
          <w:lang w:val="en-US"/>
        </w:rPr>
        <w:t xml:space="preserve">the said right does not form part of the rights </w:t>
      </w:r>
      <w:r w:rsidR="006436CA" w:rsidRPr="00D869E3">
        <w:rPr>
          <w:rFonts w:ascii="Verdana" w:hAnsi="Verdana"/>
          <w:sz w:val="20"/>
          <w:szCs w:val="20"/>
          <w:lang w:val="en-US"/>
        </w:rPr>
        <w:t>“</w:t>
      </w:r>
      <w:r w:rsidRPr="00D869E3">
        <w:rPr>
          <w:rFonts w:ascii="Verdana" w:hAnsi="Verdana"/>
          <w:i/>
          <w:iCs/>
          <w:sz w:val="20"/>
          <w:szCs w:val="20"/>
          <w:lang w:val="en-US"/>
        </w:rPr>
        <w:t>recognized</w:t>
      </w:r>
      <w:r w:rsidR="006436CA" w:rsidRPr="00D869E3">
        <w:rPr>
          <w:rFonts w:ascii="Verdana" w:hAnsi="Verdana"/>
          <w:sz w:val="20"/>
          <w:szCs w:val="20"/>
          <w:lang w:val="en-US"/>
        </w:rPr>
        <w:t>”</w:t>
      </w:r>
      <w:r w:rsidRPr="00D869E3">
        <w:rPr>
          <w:rFonts w:ascii="Verdana" w:hAnsi="Verdana"/>
          <w:sz w:val="20"/>
          <w:szCs w:val="20"/>
          <w:lang w:val="en-US"/>
        </w:rPr>
        <w:t xml:space="preserve"> in the</w:t>
      </w:r>
      <w:r w:rsidR="00447C65" w:rsidRPr="00D869E3">
        <w:rPr>
          <w:rFonts w:ascii="Verdana" w:hAnsi="Verdana"/>
          <w:sz w:val="20"/>
          <w:szCs w:val="20"/>
          <w:lang w:val="en-US"/>
        </w:rPr>
        <w:t xml:space="preserve"> Convention</w:t>
      </w:r>
      <w:r w:rsidR="003C2143" w:rsidRPr="00D869E3">
        <w:rPr>
          <w:rFonts w:ascii="Verdana" w:hAnsi="Verdana"/>
          <w:sz w:val="20"/>
          <w:szCs w:val="20"/>
          <w:lang w:val="en-US"/>
        </w:rPr>
        <w:t>.</w:t>
      </w:r>
    </w:p>
    <w:p w14:paraId="77094A5D" w14:textId="77777777" w:rsidR="003C2143" w:rsidRPr="00D869E3" w:rsidRDefault="003C2143" w:rsidP="003C2143">
      <w:pPr>
        <w:jc w:val="both"/>
        <w:rPr>
          <w:rFonts w:ascii="Verdana" w:hAnsi="Verdana"/>
          <w:sz w:val="20"/>
          <w:szCs w:val="20"/>
          <w:lang w:val="en-US"/>
        </w:rPr>
      </w:pPr>
    </w:p>
    <w:p w14:paraId="3A76C6AD" w14:textId="200C1063" w:rsidR="003C2143" w:rsidRPr="00D869E3" w:rsidRDefault="00B443B4" w:rsidP="003C2143">
      <w:pPr>
        <w:pStyle w:val="Prrafodelista"/>
        <w:numPr>
          <w:ilvl w:val="0"/>
          <w:numId w:val="32"/>
        </w:numPr>
        <w:jc w:val="both"/>
        <w:rPr>
          <w:rFonts w:ascii="Verdana" w:hAnsi="Verdana"/>
          <w:b/>
          <w:sz w:val="20"/>
          <w:szCs w:val="20"/>
          <w:lang w:val="en-US"/>
        </w:rPr>
      </w:pPr>
      <w:r w:rsidRPr="00D869E3">
        <w:rPr>
          <w:rFonts w:ascii="Verdana" w:hAnsi="Verdana"/>
          <w:b/>
          <w:sz w:val="20"/>
          <w:szCs w:val="20"/>
          <w:lang w:val="en-US"/>
        </w:rPr>
        <w:t>The Convention’s protection system</w:t>
      </w:r>
    </w:p>
    <w:p w14:paraId="79B09C1B" w14:textId="77777777" w:rsidR="003C2143" w:rsidRPr="00D869E3" w:rsidRDefault="003C2143" w:rsidP="003C2143">
      <w:pPr>
        <w:jc w:val="both"/>
        <w:rPr>
          <w:rFonts w:ascii="Verdana" w:hAnsi="Verdana"/>
          <w:b/>
          <w:sz w:val="20"/>
          <w:szCs w:val="20"/>
          <w:lang w:val="en-US"/>
        </w:rPr>
      </w:pPr>
    </w:p>
    <w:p w14:paraId="0761C008" w14:textId="1454EAF5" w:rsidR="003C2143" w:rsidRPr="00D869E3" w:rsidRDefault="0041024B" w:rsidP="003C2143">
      <w:pPr>
        <w:jc w:val="both"/>
        <w:rPr>
          <w:rFonts w:ascii="Verdana" w:hAnsi="Verdana"/>
          <w:sz w:val="20"/>
          <w:szCs w:val="20"/>
          <w:lang w:val="en-US"/>
        </w:rPr>
      </w:pPr>
      <w:r w:rsidRPr="00D869E3">
        <w:rPr>
          <w:rFonts w:ascii="Verdana" w:hAnsi="Verdana"/>
          <w:sz w:val="20"/>
          <w:szCs w:val="20"/>
          <w:lang w:val="en-US"/>
        </w:rPr>
        <w:t xml:space="preserve">Considering the foregoing, it is now necessary to refer to the protection system established in Part II of </w:t>
      </w:r>
      <w:r w:rsidR="00447C65" w:rsidRPr="00D869E3">
        <w:rPr>
          <w:rFonts w:ascii="Verdana" w:hAnsi="Verdana"/>
          <w:sz w:val="20"/>
          <w:szCs w:val="20"/>
          <w:lang w:val="en-US"/>
        </w:rPr>
        <w:t>the Convention</w:t>
      </w:r>
      <w:r w:rsidRPr="00D869E3">
        <w:rPr>
          <w:rFonts w:ascii="Verdana" w:hAnsi="Verdana"/>
          <w:sz w:val="20"/>
          <w:szCs w:val="20"/>
          <w:lang w:val="en-US"/>
        </w:rPr>
        <w:t xml:space="preserve"> entitled </w:t>
      </w:r>
      <w:r w:rsidR="006436CA" w:rsidRPr="00D869E3">
        <w:rPr>
          <w:rFonts w:ascii="Verdana" w:hAnsi="Verdana"/>
          <w:sz w:val="20"/>
          <w:szCs w:val="20"/>
          <w:lang w:val="en-US"/>
        </w:rPr>
        <w:t>“</w:t>
      </w:r>
      <w:r w:rsidR="00CC691E" w:rsidRPr="00D869E3">
        <w:rPr>
          <w:rFonts w:ascii="Verdana" w:hAnsi="Verdana"/>
          <w:i/>
          <w:sz w:val="20"/>
          <w:szCs w:val="20"/>
          <w:lang w:val="en-US"/>
        </w:rPr>
        <w:t>Means of Protection</w:t>
      </w:r>
      <w:r w:rsidR="006436CA" w:rsidRPr="00D869E3">
        <w:rPr>
          <w:rFonts w:ascii="Verdana" w:hAnsi="Verdana"/>
          <w:sz w:val="20"/>
          <w:szCs w:val="20"/>
          <w:lang w:val="en-US"/>
        </w:rPr>
        <w:t>”</w:t>
      </w:r>
      <w:r w:rsidR="00687684" w:rsidRPr="00D869E3">
        <w:rPr>
          <w:rFonts w:ascii="Verdana" w:hAnsi="Verdana"/>
          <w:sz w:val="20"/>
          <w:szCs w:val="20"/>
          <w:lang w:val="en-US"/>
        </w:rPr>
        <w:t xml:space="preserve"> and </w:t>
      </w:r>
      <w:r w:rsidR="00CC691E" w:rsidRPr="00D869E3">
        <w:rPr>
          <w:rFonts w:ascii="Verdana" w:hAnsi="Verdana"/>
          <w:sz w:val="20"/>
          <w:szCs w:val="20"/>
          <w:lang w:val="en-US"/>
        </w:rPr>
        <w:t xml:space="preserve">this </w:t>
      </w:r>
      <w:r w:rsidR="00752DAA" w:rsidRPr="00D869E3">
        <w:rPr>
          <w:rFonts w:ascii="Verdana" w:hAnsi="Verdana"/>
          <w:sz w:val="20"/>
          <w:szCs w:val="20"/>
          <w:lang w:val="en-US"/>
        </w:rPr>
        <w:t>consists</w:t>
      </w:r>
      <w:r w:rsidR="00CC691E" w:rsidRPr="00D869E3">
        <w:rPr>
          <w:rFonts w:ascii="Verdana" w:hAnsi="Verdana"/>
          <w:sz w:val="20"/>
          <w:szCs w:val="20"/>
          <w:lang w:val="en-US"/>
        </w:rPr>
        <w:t xml:space="preserve"> of two organs: namely, </w:t>
      </w:r>
      <w:r w:rsidR="00447C65" w:rsidRPr="00D869E3">
        <w:rPr>
          <w:rFonts w:ascii="Verdana" w:hAnsi="Verdana"/>
          <w:sz w:val="20"/>
          <w:szCs w:val="20"/>
          <w:lang w:val="en-US"/>
        </w:rPr>
        <w:t>the Commission</w:t>
      </w:r>
      <w:r w:rsidR="00687684" w:rsidRPr="00D869E3">
        <w:rPr>
          <w:rFonts w:ascii="Verdana" w:hAnsi="Verdana"/>
          <w:sz w:val="20"/>
          <w:szCs w:val="20"/>
          <w:lang w:val="en-US"/>
        </w:rPr>
        <w:t xml:space="preserve"> and </w:t>
      </w:r>
      <w:r w:rsidR="00447C65" w:rsidRPr="00D869E3">
        <w:rPr>
          <w:rFonts w:ascii="Verdana" w:hAnsi="Verdana"/>
          <w:sz w:val="20"/>
          <w:szCs w:val="20"/>
          <w:lang w:val="en-US"/>
        </w:rPr>
        <w:t>the Court</w:t>
      </w:r>
      <w:r w:rsidR="00CC691E" w:rsidRPr="00D869E3">
        <w:rPr>
          <w:rFonts w:ascii="Verdana" w:hAnsi="Verdana"/>
          <w:sz w:val="20"/>
          <w:szCs w:val="20"/>
          <w:lang w:val="en-US"/>
        </w:rPr>
        <w:t>.</w:t>
      </w:r>
      <w:r w:rsidR="003C2143" w:rsidRPr="00D869E3">
        <w:rPr>
          <w:rStyle w:val="Refdenotaalpie"/>
          <w:szCs w:val="20"/>
          <w:lang w:val="en-US"/>
        </w:rPr>
        <w:footnoteReference w:id="398"/>
      </w:r>
      <w:r w:rsidR="003C2143" w:rsidRPr="00D869E3">
        <w:rPr>
          <w:rFonts w:ascii="Verdana" w:hAnsi="Verdana"/>
          <w:sz w:val="20"/>
          <w:szCs w:val="20"/>
          <w:lang w:val="en-US"/>
        </w:rPr>
        <w:t xml:space="preserve"> </w:t>
      </w:r>
      <w:r w:rsidR="00CC691E" w:rsidRPr="00D869E3">
        <w:rPr>
          <w:rFonts w:ascii="Verdana" w:hAnsi="Verdana"/>
          <w:sz w:val="20"/>
          <w:szCs w:val="20"/>
          <w:lang w:val="en-US"/>
        </w:rPr>
        <w:t>Regarding</w:t>
      </w:r>
      <w:r w:rsidR="003C2143" w:rsidRPr="00D869E3">
        <w:rPr>
          <w:rFonts w:ascii="Verdana" w:hAnsi="Verdana"/>
          <w:sz w:val="20"/>
          <w:szCs w:val="20"/>
          <w:lang w:val="en-US"/>
        </w:rPr>
        <w:t xml:space="preserve"> </w:t>
      </w:r>
      <w:r w:rsidR="00447C65" w:rsidRPr="00D869E3">
        <w:rPr>
          <w:rFonts w:ascii="Verdana" w:hAnsi="Verdana"/>
          <w:sz w:val="20"/>
          <w:szCs w:val="20"/>
          <w:lang w:val="en-US"/>
        </w:rPr>
        <w:t>the Court</w:t>
      </w:r>
      <w:r w:rsidR="003C2143" w:rsidRPr="00D869E3">
        <w:rPr>
          <w:rFonts w:ascii="Verdana" w:hAnsi="Verdana"/>
          <w:sz w:val="20"/>
          <w:szCs w:val="20"/>
          <w:lang w:val="en-US"/>
        </w:rPr>
        <w:t xml:space="preserve">, </w:t>
      </w:r>
      <w:r w:rsidR="00CC691E" w:rsidRPr="00D869E3">
        <w:rPr>
          <w:rFonts w:ascii="Verdana" w:hAnsi="Verdana"/>
          <w:sz w:val="20"/>
          <w:szCs w:val="20"/>
          <w:lang w:val="en-US"/>
        </w:rPr>
        <w:t xml:space="preserve">the harmonious interpretation of </w:t>
      </w:r>
      <w:r w:rsidR="00447C65" w:rsidRPr="00D869E3">
        <w:rPr>
          <w:rFonts w:ascii="Verdana" w:hAnsi="Verdana"/>
          <w:sz w:val="20"/>
          <w:szCs w:val="20"/>
          <w:lang w:val="en-US"/>
        </w:rPr>
        <w:t>Article</w:t>
      </w:r>
      <w:r w:rsidR="003C2143" w:rsidRPr="00D869E3">
        <w:rPr>
          <w:rFonts w:ascii="Verdana" w:hAnsi="Verdana"/>
          <w:sz w:val="20"/>
          <w:szCs w:val="20"/>
          <w:lang w:val="en-US"/>
        </w:rPr>
        <w:t>s 1, 29</w:t>
      </w:r>
      <w:r w:rsidR="00CC691E" w:rsidRPr="00D869E3">
        <w:rPr>
          <w:rFonts w:ascii="Verdana" w:hAnsi="Verdana"/>
          <w:sz w:val="20"/>
          <w:szCs w:val="20"/>
          <w:lang w:val="en-US"/>
        </w:rPr>
        <w:t>(</w:t>
      </w:r>
      <w:r w:rsidR="003C2143" w:rsidRPr="00D869E3">
        <w:rPr>
          <w:rFonts w:ascii="Verdana" w:hAnsi="Verdana"/>
          <w:sz w:val="20"/>
          <w:szCs w:val="20"/>
          <w:lang w:val="en-US"/>
        </w:rPr>
        <w:t>a), 33, 45</w:t>
      </w:r>
      <w:r w:rsidR="00CC691E" w:rsidRPr="00D869E3">
        <w:rPr>
          <w:rFonts w:ascii="Verdana" w:hAnsi="Verdana"/>
          <w:sz w:val="20"/>
          <w:szCs w:val="20"/>
          <w:lang w:val="en-US"/>
        </w:rPr>
        <w:t>(</w:t>
      </w:r>
      <w:r w:rsidR="003C2143" w:rsidRPr="00D869E3">
        <w:rPr>
          <w:rFonts w:ascii="Verdana" w:hAnsi="Verdana"/>
          <w:sz w:val="20"/>
          <w:szCs w:val="20"/>
          <w:lang w:val="en-US"/>
        </w:rPr>
        <w:t>1</w:t>
      </w:r>
      <w:r w:rsidR="00CC691E" w:rsidRPr="00D869E3">
        <w:rPr>
          <w:rFonts w:ascii="Verdana" w:hAnsi="Verdana"/>
          <w:sz w:val="20"/>
          <w:szCs w:val="20"/>
          <w:lang w:val="en-US"/>
        </w:rPr>
        <w:t>)</w:t>
      </w:r>
      <w:r w:rsidR="003C2143" w:rsidRPr="00D869E3">
        <w:rPr>
          <w:rFonts w:ascii="Verdana" w:hAnsi="Verdana"/>
          <w:sz w:val="20"/>
          <w:szCs w:val="20"/>
          <w:lang w:val="en-US"/>
        </w:rPr>
        <w:t>, 47</w:t>
      </w:r>
      <w:r w:rsidR="00CC691E" w:rsidRPr="00D869E3">
        <w:rPr>
          <w:rFonts w:ascii="Verdana" w:hAnsi="Verdana"/>
          <w:sz w:val="20"/>
          <w:szCs w:val="20"/>
          <w:lang w:val="en-US"/>
        </w:rPr>
        <w:t>(</w:t>
      </w:r>
      <w:r w:rsidR="003C2143" w:rsidRPr="00D869E3">
        <w:rPr>
          <w:rFonts w:ascii="Verdana" w:hAnsi="Verdana"/>
          <w:sz w:val="20"/>
          <w:szCs w:val="20"/>
          <w:lang w:val="en-US"/>
        </w:rPr>
        <w:t>b), 4</w:t>
      </w:r>
      <w:r w:rsidR="00687684" w:rsidRPr="00D869E3">
        <w:rPr>
          <w:rFonts w:ascii="Verdana" w:hAnsi="Verdana"/>
          <w:sz w:val="20"/>
          <w:szCs w:val="20"/>
          <w:lang w:val="en-US"/>
        </w:rPr>
        <w:t>8(1)</w:t>
      </w:r>
      <w:r w:rsidR="003C2143" w:rsidRPr="00D869E3">
        <w:rPr>
          <w:rFonts w:ascii="Verdana" w:hAnsi="Verdana"/>
          <w:sz w:val="20"/>
          <w:szCs w:val="20"/>
          <w:lang w:val="en-US"/>
        </w:rPr>
        <w:t xml:space="preserve">, </w:t>
      </w:r>
      <w:r w:rsidR="00447C65" w:rsidRPr="00D869E3">
        <w:rPr>
          <w:rFonts w:ascii="Verdana" w:hAnsi="Verdana"/>
          <w:sz w:val="20"/>
          <w:szCs w:val="20"/>
          <w:lang w:val="en-US"/>
        </w:rPr>
        <w:t>62(3)</w:t>
      </w:r>
      <w:r w:rsidR="003C2143" w:rsidRPr="00D869E3">
        <w:rPr>
          <w:rFonts w:ascii="Verdana" w:hAnsi="Verdana"/>
          <w:sz w:val="20"/>
          <w:szCs w:val="20"/>
          <w:lang w:val="en-US"/>
        </w:rPr>
        <w:t>,</w:t>
      </w:r>
      <w:r w:rsidR="00687684" w:rsidRPr="00D869E3">
        <w:rPr>
          <w:rFonts w:ascii="Verdana" w:hAnsi="Verdana"/>
          <w:sz w:val="20"/>
          <w:szCs w:val="20"/>
          <w:lang w:val="en-US"/>
        </w:rPr>
        <w:t xml:space="preserve"> and </w:t>
      </w:r>
      <w:r w:rsidR="00447C65" w:rsidRPr="00D869E3">
        <w:rPr>
          <w:rFonts w:ascii="Verdana" w:hAnsi="Verdana"/>
          <w:sz w:val="20"/>
          <w:szCs w:val="20"/>
          <w:lang w:val="en-US"/>
        </w:rPr>
        <w:t>63(1)</w:t>
      </w:r>
      <w:r w:rsidR="003C2143" w:rsidRPr="00D869E3">
        <w:rPr>
          <w:rFonts w:ascii="Verdana" w:hAnsi="Verdana"/>
          <w:sz w:val="20"/>
          <w:szCs w:val="20"/>
          <w:lang w:val="en-US"/>
        </w:rPr>
        <w:t>,</w:t>
      </w:r>
      <w:r w:rsidR="00CC691E" w:rsidRPr="00D869E3">
        <w:rPr>
          <w:rFonts w:ascii="Verdana" w:hAnsi="Verdana"/>
          <w:sz w:val="20"/>
          <w:szCs w:val="20"/>
          <w:lang w:val="en-US"/>
        </w:rPr>
        <w:t xml:space="preserve"> leads to the conclusion that the rights that can be invoked before the Court for it to rule on their alleged violation are those </w:t>
      </w:r>
      <w:r w:rsidR="006436CA" w:rsidRPr="00D869E3">
        <w:rPr>
          <w:rFonts w:ascii="Verdana" w:hAnsi="Verdana"/>
          <w:sz w:val="20"/>
          <w:szCs w:val="20"/>
          <w:lang w:val="en-US"/>
        </w:rPr>
        <w:t>“</w:t>
      </w:r>
      <w:r w:rsidR="00CC691E" w:rsidRPr="00D869E3">
        <w:rPr>
          <w:rFonts w:ascii="Verdana" w:hAnsi="Verdana"/>
          <w:sz w:val="20"/>
          <w:szCs w:val="20"/>
          <w:lang w:val="en-US"/>
        </w:rPr>
        <w:t>recognized,</w:t>
      </w:r>
      <w:r w:rsidR="006436CA" w:rsidRPr="00D869E3">
        <w:rPr>
          <w:rFonts w:ascii="Verdana" w:hAnsi="Verdana"/>
          <w:sz w:val="20"/>
          <w:szCs w:val="20"/>
          <w:lang w:val="en-US"/>
        </w:rPr>
        <w:t>”</w:t>
      </w:r>
      <w:r w:rsidR="00CC691E" w:rsidRPr="00D869E3">
        <w:rPr>
          <w:rFonts w:ascii="Verdana" w:hAnsi="Verdana"/>
          <w:sz w:val="20"/>
          <w:szCs w:val="20"/>
          <w:lang w:val="en-US"/>
        </w:rPr>
        <w:t xml:space="preserve"> </w:t>
      </w:r>
      <w:r w:rsidR="006436CA" w:rsidRPr="00D869E3">
        <w:rPr>
          <w:rFonts w:ascii="Verdana" w:hAnsi="Verdana"/>
          <w:sz w:val="20"/>
          <w:szCs w:val="20"/>
          <w:lang w:val="en-US"/>
        </w:rPr>
        <w:t>“</w:t>
      </w:r>
      <w:r w:rsidR="00CC691E" w:rsidRPr="00D869E3">
        <w:rPr>
          <w:rFonts w:ascii="Verdana" w:hAnsi="Verdana"/>
          <w:i/>
          <w:iCs/>
          <w:sz w:val="20"/>
          <w:szCs w:val="20"/>
          <w:lang w:val="en-US"/>
        </w:rPr>
        <w:t>set forth</w:t>
      </w:r>
      <w:r w:rsidR="00CC691E" w:rsidRPr="00D869E3">
        <w:rPr>
          <w:rFonts w:ascii="Verdana" w:hAnsi="Verdana"/>
          <w:sz w:val="20"/>
          <w:szCs w:val="20"/>
          <w:lang w:val="en-US"/>
        </w:rPr>
        <w:t>,</w:t>
      </w:r>
      <w:r w:rsidR="006436CA" w:rsidRPr="00D869E3">
        <w:rPr>
          <w:rFonts w:ascii="Verdana" w:hAnsi="Verdana"/>
          <w:sz w:val="20"/>
          <w:szCs w:val="20"/>
          <w:lang w:val="en-US"/>
        </w:rPr>
        <w:t>”</w:t>
      </w:r>
      <w:r w:rsidR="00CC691E" w:rsidRPr="00D869E3">
        <w:rPr>
          <w:rFonts w:ascii="Verdana" w:hAnsi="Verdana"/>
          <w:sz w:val="20"/>
          <w:szCs w:val="20"/>
          <w:lang w:val="en-US"/>
        </w:rPr>
        <w:t xml:space="preserve"> </w:t>
      </w:r>
      <w:r w:rsidR="006436CA" w:rsidRPr="00D869E3">
        <w:rPr>
          <w:rFonts w:ascii="Verdana" w:hAnsi="Verdana"/>
          <w:sz w:val="20"/>
          <w:szCs w:val="20"/>
          <w:lang w:val="en-US"/>
        </w:rPr>
        <w:t>“</w:t>
      </w:r>
      <w:r w:rsidR="00CC691E" w:rsidRPr="00D869E3">
        <w:rPr>
          <w:rFonts w:ascii="Verdana" w:hAnsi="Verdana"/>
          <w:i/>
          <w:sz w:val="20"/>
          <w:szCs w:val="20"/>
          <w:lang w:val="en-US"/>
        </w:rPr>
        <w:t>guaranteed</w:t>
      </w:r>
      <w:r w:rsidR="006436CA" w:rsidRPr="00D869E3">
        <w:rPr>
          <w:rFonts w:ascii="Verdana" w:hAnsi="Verdana"/>
          <w:sz w:val="20"/>
          <w:szCs w:val="20"/>
          <w:lang w:val="en-US"/>
        </w:rPr>
        <w:t>”</w:t>
      </w:r>
      <w:r w:rsidR="00CC691E" w:rsidRPr="00D869E3">
        <w:rPr>
          <w:rFonts w:ascii="Verdana" w:hAnsi="Verdana"/>
          <w:sz w:val="20"/>
          <w:szCs w:val="20"/>
          <w:lang w:val="en-US"/>
        </w:rPr>
        <w:t xml:space="preserve"> or </w:t>
      </w:r>
      <w:r w:rsidR="006436CA" w:rsidRPr="00D869E3">
        <w:rPr>
          <w:rFonts w:ascii="Verdana" w:hAnsi="Verdana"/>
          <w:sz w:val="20"/>
          <w:szCs w:val="20"/>
          <w:lang w:val="en-US"/>
        </w:rPr>
        <w:t>“</w:t>
      </w:r>
      <w:r w:rsidR="00CC691E" w:rsidRPr="00D869E3">
        <w:rPr>
          <w:rFonts w:ascii="Verdana" w:hAnsi="Verdana"/>
          <w:i/>
          <w:sz w:val="20"/>
          <w:szCs w:val="20"/>
          <w:lang w:val="en-US"/>
        </w:rPr>
        <w:t>protected,</w:t>
      </w:r>
      <w:r w:rsidR="006436CA" w:rsidRPr="00D869E3">
        <w:rPr>
          <w:rFonts w:ascii="Verdana" w:hAnsi="Verdana"/>
          <w:sz w:val="20"/>
          <w:szCs w:val="20"/>
          <w:lang w:val="en-US"/>
        </w:rPr>
        <w:t>”</w:t>
      </w:r>
      <w:r w:rsidR="00CC691E" w:rsidRPr="00D869E3">
        <w:rPr>
          <w:rFonts w:ascii="Verdana" w:hAnsi="Verdana"/>
          <w:sz w:val="20"/>
          <w:szCs w:val="20"/>
          <w:lang w:val="en-US"/>
        </w:rPr>
        <w:t xml:space="preserve"> in the Convention; that is, the </w:t>
      </w:r>
      <w:r w:rsidR="006436CA" w:rsidRPr="00D869E3">
        <w:rPr>
          <w:rFonts w:ascii="Verdana" w:hAnsi="Verdana"/>
          <w:i/>
          <w:iCs/>
          <w:sz w:val="20"/>
          <w:szCs w:val="20"/>
          <w:lang w:val="en-US"/>
        </w:rPr>
        <w:t>“</w:t>
      </w:r>
      <w:r w:rsidR="00CC691E" w:rsidRPr="00D869E3">
        <w:rPr>
          <w:rFonts w:ascii="Verdana" w:hAnsi="Verdana"/>
          <w:i/>
          <w:iCs/>
          <w:sz w:val="20"/>
          <w:szCs w:val="20"/>
          <w:lang w:val="en-US"/>
        </w:rPr>
        <w:t>Civil and Political Rights</w:t>
      </w:r>
      <w:r w:rsidR="00752DAA" w:rsidRPr="00D869E3">
        <w:rPr>
          <w:rFonts w:ascii="Verdana" w:hAnsi="Verdana"/>
          <w:i/>
          <w:iCs/>
          <w:sz w:val="20"/>
          <w:szCs w:val="20"/>
          <w:lang w:val="en-US"/>
        </w:rPr>
        <w:t>.</w:t>
      </w:r>
      <w:r w:rsidR="006436CA" w:rsidRPr="00D869E3">
        <w:rPr>
          <w:rFonts w:ascii="Verdana" w:hAnsi="Verdana"/>
          <w:sz w:val="20"/>
          <w:szCs w:val="20"/>
          <w:lang w:val="en-US"/>
        </w:rPr>
        <w:t>”</w:t>
      </w:r>
      <w:r w:rsidR="00CC691E" w:rsidRPr="00D869E3">
        <w:rPr>
          <w:rFonts w:ascii="Verdana" w:hAnsi="Verdana"/>
          <w:sz w:val="20"/>
          <w:szCs w:val="20"/>
          <w:lang w:val="en-US"/>
        </w:rPr>
        <w:t xml:space="preserve"> </w:t>
      </w:r>
      <w:r w:rsidR="00752DAA" w:rsidRPr="00D869E3">
        <w:rPr>
          <w:rFonts w:ascii="Verdana" w:hAnsi="Verdana"/>
          <w:sz w:val="20"/>
          <w:szCs w:val="20"/>
          <w:lang w:val="en-US"/>
        </w:rPr>
        <w:t>T</w:t>
      </w:r>
      <w:r w:rsidR="00CC691E" w:rsidRPr="00D869E3">
        <w:rPr>
          <w:rFonts w:ascii="Verdana" w:hAnsi="Verdana"/>
          <w:sz w:val="20"/>
          <w:szCs w:val="20"/>
          <w:lang w:val="en-US"/>
        </w:rPr>
        <w:t xml:space="preserve">hus, the </w:t>
      </w:r>
      <w:r w:rsidR="006436CA" w:rsidRPr="00D869E3">
        <w:rPr>
          <w:rFonts w:ascii="Verdana" w:hAnsi="Verdana"/>
          <w:sz w:val="20"/>
          <w:szCs w:val="20"/>
          <w:lang w:val="en-US"/>
        </w:rPr>
        <w:t>“</w:t>
      </w:r>
      <w:r w:rsidR="00CC691E" w:rsidRPr="00D869E3">
        <w:rPr>
          <w:rFonts w:ascii="Verdana" w:hAnsi="Verdana"/>
          <w:i/>
          <w:sz w:val="20"/>
          <w:szCs w:val="20"/>
          <w:lang w:val="en-US"/>
        </w:rPr>
        <w:t>economic, social and cultural rights</w:t>
      </w:r>
      <w:r w:rsidR="006436CA" w:rsidRPr="00D869E3">
        <w:rPr>
          <w:rFonts w:ascii="Verdana" w:hAnsi="Verdana"/>
          <w:i/>
          <w:sz w:val="20"/>
          <w:szCs w:val="20"/>
          <w:lang w:val="en-US"/>
        </w:rPr>
        <w:t>”</w:t>
      </w:r>
      <w:r w:rsidR="00CC691E" w:rsidRPr="00D869E3">
        <w:rPr>
          <w:rFonts w:ascii="Verdana" w:hAnsi="Verdana"/>
          <w:i/>
          <w:sz w:val="20"/>
          <w:szCs w:val="20"/>
          <w:lang w:val="en-US"/>
        </w:rPr>
        <w:t xml:space="preserve"> </w:t>
      </w:r>
      <w:r w:rsidR="00CC691E" w:rsidRPr="00D869E3">
        <w:rPr>
          <w:rFonts w:ascii="Verdana" w:hAnsi="Verdana"/>
          <w:iCs/>
          <w:sz w:val="20"/>
          <w:szCs w:val="20"/>
          <w:lang w:val="en-US"/>
        </w:rPr>
        <w:t xml:space="preserve">derived from the </w:t>
      </w:r>
      <w:r w:rsidR="00CC691E" w:rsidRPr="00D869E3">
        <w:rPr>
          <w:rFonts w:ascii="Verdana" w:hAnsi="Verdana"/>
          <w:sz w:val="20"/>
          <w:szCs w:val="20"/>
          <w:lang w:val="en-US"/>
        </w:rPr>
        <w:t xml:space="preserve">Charter of the </w:t>
      </w:r>
      <w:r w:rsidR="00CC691E" w:rsidRPr="00D869E3">
        <w:rPr>
          <w:rFonts w:ascii="Verdana" w:hAnsi="Verdana"/>
          <w:sz w:val="20"/>
          <w:szCs w:val="20"/>
          <w:lang w:val="en-US"/>
        </w:rPr>
        <w:lastRenderedPageBreak/>
        <w:t xml:space="preserve">Organization of American States, those </w:t>
      </w:r>
      <w:r w:rsidR="006436CA" w:rsidRPr="00D869E3">
        <w:rPr>
          <w:rFonts w:ascii="Verdana" w:hAnsi="Verdana"/>
          <w:sz w:val="20"/>
          <w:szCs w:val="20"/>
          <w:lang w:val="en-US"/>
        </w:rPr>
        <w:t>“</w:t>
      </w:r>
      <w:r w:rsidR="00CC691E" w:rsidRPr="00D869E3">
        <w:rPr>
          <w:rFonts w:ascii="Verdana" w:hAnsi="Verdana"/>
          <w:i/>
          <w:iCs/>
          <w:sz w:val="20"/>
          <w:szCs w:val="20"/>
          <w:lang w:val="en-US"/>
        </w:rPr>
        <w:t>recognized</w:t>
      </w:r>
      <w:r w:rsidR="006436CA" w:rsidRPr="00D869E3">
        <w:rPr>
          <w:rFonts w:ascii="Verdana" w:hAnsi="Verdana"/>
          <w:sz w:val="20"/>
          <w:szCs w:val="20"/>
          <w:lang w:val="en-US"/>
        </w:rPr>
        <w:t>”</w:t>
      </w:r>
      <w:r w:rsidR="00CC691E" w:rsidRPr="00D869E3">
        <w:rPr>
          <w:rFonts w:ascii="Verdana" w:hAnsi="Verdana"/>
          <w:sz w:val="20"/>
          <w:szCs w:val="20"/>
          <w:lang w:val="en-US"/>
        </w:rPr>
        <w:t xml:space="preserve"> by State laws or other conventions and others </w:t>
      </w:r>
      <w:r w:rsidR="006436CA" w:rsidRPr="00D869E3">
        <w:rPr>
          <w:rFonts w:ascii="Verdana" w:hAnsi="Verdana"/>
          <w:sz w:val="20"/>
          <w:szCs w:val="20"/>
          <w:lang w:val="en-US"/>
        </w:rPr>
        <w:t>“</w:t>
      </w:r>
      <w:r w:rsidR="00CC691E" w:rsidRPr="00D869E3">
        <w:rPr>
          <w:rFonts w:ascii="Verdana" w:hAnsi="Verdana"/>
          <w:i/>
          <w:iCs/>
          <w:sz w:val="20"/>
          <w:szCs w:val="20"/>
          <w:lang w:val="en-US"/>
        </w:rPr>
        <w:t>inherent to the human being or derived from representative democratic government</w:t>
      </w:r>
      <w:r w:rsidR="006436CA" w:rsidRPr="00D869E3">
        <w:rPr>
          <w:rFonts w:ascii="Verdana" w:hAnsi="Verdana"/>
          <w:i/>
          <w:iCs/>
          <w:sz w:val="20"/>
          <w:szCs w:val="20"/>
          <w:lang w:val="en-US"/>
        </w:rPr>
        <w:t>”</w:t>
      </w:r>
      <w:r w:rsidR="00CC691E" w:rsidRPr="00D869E3">
        <w:rPr>
          <w:rFonts w:ascii="Verdana" w:hAnsi="Verdana"/>
          <w:i/>
          <w:sz w:val="20"/>
          <w:szCs w:val="20"/>
          <w:lang w:val="en-US"/>
        </w:rPr>
        <w:t xml:space="preserve"> </w:t>
      </w:r>
      <w:r w:rsidR="00CC691E" w:rsidRPr="00D869E3">
        <w:rPr>
          <w:rFonts w:ascii="Verdana" w:hAnsi="Verdana"/>
          <w:iCs/>
          <w:sz w:val="20"/>
          <w:szCs w:val="20"/>
          <w:lang w:val="en-US"/>
        </w:rPr>
        <w:t>should be excluded from this judicialization.</w:t>
      </w:r>
      <w:r w:rsidR="003F682B" w:rsidRPr="00D869E3">
        <w:rPr>
          <w:rFonts w:ascii="Verdana" w:hAnsi="Verdana"/>
          <w:sz w:val="20"/>
          <w:szCs w:val="20"/>
          <w:lang w:val="en-US"/>
        </w:rPr>
        <w:t xml:space="preserve"> Evidently, th</w:t>
      </w:r>
      <w:r w:rsidR="00752DAA" w:rsidRPr="00D869E3">
        <w:rPr>
          <w:rFonts w:ascii="Verdana" w:hAnsi="Verdana"/>
          <w:sz w:val="20"/>
          <w:szCs w:val="20"/>
          <w:lang w:val="en-US"/>
        </w:rPr>
        <w:t>o</w:t>
      </w:r>
      <w:r w:rsidR="003F682B" w:rsidRPr="00D869E3">
        <w:rPr>
          <w:rFonts w:ascii="Verdana" w:hAnsi="Verdana"/>
          <w:sz w:val="20"/>
          <w:szCs w:val="20"/>
          <w:lang w:val="en-US"/>
        </w:rPr>
        <w:t xml:space="preserve">se rights cannot be judicialized before the Court because their source is a treaty or source of international law other than the Convention. Since they </w:t>
      </w:r>
      <w:r w:rsidR="00752DAA" w:rsidRPr="00D869E3">
        <w:rPr>
          <w:rFonts w:ascii="Verdana" w:hAnsi="Verdana"/>
          <w:sz w:val="20"/>
          <w:szCs w:val="20"/>
          <w:lang w:val="en-US"/>
        </w:rPr>
        <w:t>are not</w:t>
      </w:r>
      <w:r w:rsidR="003F682B" w:rsidRPr="00D869E3">
        <w:rPr>
          <w:rFonts w:ascii="Verdana" w:hAnsi="Verdana"/>
          <w:sz w:val="20"/>
          <w:szCs w:val="20"/>
          <w:lang w:val="en-US"/>
        </w:rPr>
        <w:t xml:space="preserve"> part of the category of rights </w:t>
      </w:r>
      <w:r w:rsidR="006436CA" w:rsidRPr="00D869E3">
        <w:rPr>
          <w:rFonts w:ascii="Verdana" w:hAnsi="Verdana"/>
          <w:sz w:val="20"/>
          <w:szCs w:val="20"/>
          <w:lang w:val="en-US"/>
        </w:rPr>
        <w:t>“</w:t>
      </w:r>
      <w:r w:rsidR="003F682B" w:rsidRPr="00D869E3">
        <w:rPr>
          <w:rFonts w:ascii="Verdana" w:hAnsi="Verdana"/>
          <w:i/>
          <w:iCs/>
          <w:sz w:val="20"/>
          <w:szCs w:val="20"/>
          <w:lang w:val="en-US"/>
        </w:rPr>
        <w:t>recognized</w:t>
      </w:r>
      <w:r w:rsidR="006436CA" w:rsidRPr="00D869E3">
        <w:rPr>
          <w:rFonts w:ascii="Verdana" w:hAnsi="Verdana"/>
          <w:sz w:val="20"/>
          <w:szCs w:val="20"/>
          <w:lang w:val="en-US"/>
        </w:rPr>
        <w:t>”</w:t>
      </w:r>
      <w:r w:rsidR="003F682B" w:rsidRPr="00D869E3">
        <w:rPr>
          <w:rFonts w:ascii="Verdana" w:hAnsi="Verdana"/>
          <w:sz w:val="20"/>
          <w:szCs w:val="20"/>
          <w:lang w:val="en-US"/>
        </w:rPr>
        <w:t xml:space="preserve"> in the Convention, the right to work and the right to </w:t>
      </w:r>
      <w:r w:rsidR="00817AA4" w:rsidRPr="00D869E3">
        <w:rPr>
          <w:rFonts w:ascii="Verdana" w:hAnsi="Verdana"/>
          <w:sz w:val="20"/>
          <w:szCs w:val="20"/>
          <w:lang w:val="en-US"/>
        </w:rPr>
        <w:t xml:space="preserve">job </w:t>
      </w:r>
      <w:r w:rsidR="003F682B" w:rsidRPr="00D869E3">
        <w:rPr>
          <w:rFonts w:ascii="Verdana" w:hAnsi="Verdana"/>
          <w:sz w:val="20"/>
          <w:szCs w:val="20"/>
          <w:lang w:val="en-US"/>
        </w:rPr>
        <w:t xml:space="preserve">security cannot be judicialized before the Court, with the exception, as regards the former, but only in relation to the specific matters established in the Protocol of </w:t>
      </w:r>
      <w:r w:rsidR="003C2143" w:rsidRPr="00D869E3">
        <w:rPr>
          <w:rFonts w:ascii="Verdana" w:hAnsi="Verdana"/>
          <w:sz w:val="20"/>
          <w:szCs w:val="20"/>
          <w:lang w:val="en-US"/>
        </w:rPr>
        <w:t>San Salvador.</w:t>
      </w:r>
    </w:p>
    <w:p w14:paraId="4C10AEEC" w14:textId="77777777" w:rsidR="003C2143" w:rsidRPr="00D869E3" w:rsidRDefault="003C2143" w:rsidP="003C2143">
      <w:pPr>
        <w:jc w:val="both"/>
        <w:rPr>
          <w:rFonts w:ascii="Verdana" w:hAnsi="Verdana"/>
          <w:sz w:val="20"/>
          <w:szCs w:val="20"/>
          <w:lang w:val="en-US"/>
        </w:rPr>
      </w:pPr>
    </w:p>
    <w:p w14:paraId="37138088" w14:textId="05A15079" w:rsidR="003C2143" w:rsidRPr="00D869E3" w:rsidRDefault="003F682B" w:rsidP="003C2143">
      <w:pPr>
        <w:pStyle w:val="Prrafodelista"/>
        <w:numPr>
          <w:ilvl w:val="0"/>
          <w:numId w:val="32"/>
        </w:numPr>
        <w:jc w:val="both"/>
        <w:rPr>
          <w:rFonts w:ascii="Verdana" w:hAnsi="Verdana"/>
          <w:sz w:val="20"/>
          <w:szCs w:val="20"/>
          <w:lang w:val="en-US"/>
        </w:rPr>
      </w:pPr>
      <w:r w:rsidRPr="00D869E3">
        <w:rPr>
          <w:rFonts w:ascii="Verdana" w:hAnsi="Verdana"/>
          <w:b/>
          <w:sz w:val="20"/>
          <w:szCs w:val="20"/>
          <w:lang w:val="en-US"/>
        </w:rPr>
        <w:t>Extension of the protection system to other rights</w:t>
      </w:r>
    </w:p>
    <w:p w14:paraId="0236B15C" w14:textId="77777777" w:rsidR="003C2143" w:rsidRPr="00D869E3" w:rsidRDefault="003C2143" w:rsidP="003C2143">
      <w:pPr>
        <w:jc w:val="both"/>
        <w:rPr>
          <w:rFonts w:ascii="Verdana" w:hAnsi="Verdana"/>
          <w:sz w:val="20"/>
          <w:szCs w:val="20"/>
          <w:lang w:val="en-US"/>
        </w:rPr>
      </w:pPr>
    </w:p>
    <w:p w14:paraId="073EC2A2" w14:textId="1E9AA58F" w:rsidR="003C2143" w:rsidRPr="00D869E3" w:rsidRDefault="00611E9F" w:rsidP="003C2143">
      <w:pPr>
        <w:jc w:val="both"/>
        <w:rPr>
          <w:rFonts w:ascii="Verdana" w:hAnsi="Verdana"/>
          <w:sz w:val="20"/>
          <w:szCs w:val="20"/>
          <w:lang w:val="en-US"/>
        </w:rPr>
      </w:pPr>
      <w:r w:rsidRPr="00D869E3">
        <w:rPr>
          <w:rFonts w:ascii="Verdana" w:hAnsi="Verdana"/>
          <w:sz w:val="20"/>
          <w:szCs w:val="20"/>
          <w:lang w:val="en-US"/>
        </w:rPr>
        <w:t xml:space="preserve">However, the fact that a right is not </w:t>
      </w:r>
      <w:r w:rsidR="006436CA" w:rsidRPr="00D869E3">
        <w:rPr>
          <w:rFonts w:ascii="Verdana" w:hAnsi="Verdana"/>
          <w:sz w:val="20"/>
          <w:szCs w:val="20"/>
          <w:lang w:val="en-US"/>
        </w:rPr>
        <w:t>“</w:t>
      </w:r>
      <w:r w:rsidR="003C2143" w:rsidRPr="00D869E3">
        <w:rPr>
          <w:rFonts w:ascii="Verdana" w:hAnsi="Verdana"/>
          <w:i/>
          <w:sz w:val="20"/>
          <w:szCs w:val="20"/>
          <w:lang w:val="en-US"/>
        </w:rPr>
        <w:t>reco</w:t>
      </w:r>
      <w:r w:rsidRPr="00D869E3">
        <w:rPr>
          <w:rFonts w:ascii="Verdana" w:hAnsi="Verdana"/>
          <w:i/>
          <w:sz w:val="20"/>
          <w:szCs w:val="20"/>
          <w:lang w:val="en-US"/>
        </w:rPr>
        <w:t>gnized</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Pr="00D869E3">
        <w:rPr>
          <w:rFonts w:ascii="Verdana" w:hAnsi="Verdana"/>
          <w:sz w:val="20"/>
          <w:szCs w:val="20"/>
          <w:lang w:val="en-US"/>
        </w:rPr>
        <w:t>i</w:t>
      </w:r>
      <w:r w:rsidR="003C2143" w:rsidRPr="00D869E3">
        <w:rPr>
          <w:rFonts w:ascii="Verdana" w:hAnsi="Verdana"/>
          <w:sz w:val="20"/>
          <w:szCs w:val="20"/>
          <w:lang w:val="en-US"/>
        </w:rPr>
        <w:t xml:space="preserve">n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r w:rsidRPr="00D869E3">
        <w:rPr>
          <w:rFonts w:ascii="Verdana" w:hAnsi="Verdana"/>
          <w:sz w:val="20"/>
          <w:szCs w:val="20"/>
          <w:lang w:val="en-US"/>
        </w:rPr>
        <w:t>does not prevent it from bein</w:t>
      </w:r>
      <w:r w:rsidR="00752DAA" w:rsidRPr="00D869E3">
        <w:rPr>
          <w:rFonts w:ascii="Verdana" w:hAnsi="Verdana"/>
          <w:sz w:val="20"/>
          <w:szCs w:val="20"/>
          <w:lang w:val="en-US"/>
        </w:rPr>
        <w:t>g</w:t>
      </w:r>
      <w:r w:rsidRPr="00D869E3">
        <w:rPr>
          <w:rFonts w:ascii="Verdana" w:hAnsi="Verdana"/>
          <w:sz w:val="20"/>
          <w:szCs w:val="20"/>
          <w:lang w:val="en-US"/>
        </w:rPr>
        <w:t xml:space="preserve"> included among the rights that may be invoked before the Court. To this end, it would be necessary to adopt a protocol that establishe</w:t>
      </w:r>
      <w:r w:rsidR="00752DAA" w:rsidRPr="00D869E3">
        <w:rPr>
          <w:rFonts w:ascii="Verdana" w:hAnsi="Verdana"/>
          <w:sz w:val="20"/>
          <w:szCs w:val="20"/>
          <w:lang w:val="en-US"/>
        </w:rPr>
        <w:t>d</w:t>
      </w:r>
      <w:r w:rsidRPr="00D869E3">
        <w:rPr>
          <w:rFonts w:ascii="Verdana" w:hAnsi="Verdana"/>
          <w:sz w:val="20"/>
          <w:szCs w:val="20"/>
          <w:lang w:val="en-US"/>
        </w:rPr>
        <w:t xml:space="preserve"> this.</w:t>
      </w:r>
      <w:r w:rsidR="003C2143" w:rsidRPr="00D869E3">
        <w:rPr>
          <w:rStyle w:val="Refdenotaalpie"/>
          <w:szCs w:val="20"/>
          <w:lang w:val="en-US"/>
        </w:rPr>
        <w:footnoteReference w:id="399"/>
      </w:r>
    </w:p>
    <w:p w14:paraId="0DBD7AC7" w14:textId="77777777" w:rsidR="003C2143" w:rsidRPr="00D869E3" w:rsidRDefault="003C2143" w:rsidP="003C2143">
      <w:pPr>
        <w:jc w:val="both"/>
        <w:rPr>
          <w:rFonts w:ascii="Verdana" w:hAnsi="Verdana"/>
          <w:sz w:val="20"/>
          <w:szCs w:val="20"/>
          <w:lang w:val="en-US"/>
        </w:rPr>
      </w:pPr>
    </w:p>
    <w:p w14:paraId="391BD80F" w14:textId="501EA443" w:rsidR="003C2143" w:rsidRPr="00D869E3" w:rsidRDefault="00611E9F" w:rsidP="003C2143">
      <w:pPr>
        <w:jc w:val="both"/>
        <w:rPr>
          <w:rFonts w:ascii="Verdana" w:hAnsi="Verdana"/>
          <w:sz w:val="20"/>
          <w:szCs w:val="20"/>
          <w:lang w:val="en-US"/>
        </w:rPr>
      </w:pPr>
      <w:r w:rsidRPr="00D869E3">
        <w:rPr>
          <w:rFonts w:ascii="Verdana" w:hAnsi="Verdana"/>
          <w:sz w:val="20"/>
          <w:szCs w:val="20"/>
          <w:lang w:val="en-US"/>
        </w:rPr>
        <w:t>Indeed</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31</w:t>
      </w:r>
      <w:r w:rsidR="00447C65" w:rsidRPr="00D869E3">
        <w:rPr>
          <w:rFonts w:ascii="Verdana" w:hAnsi="Verdana"/>
          <w:sz w:val="20"/>
          <w:szCs w:val="20"/>
          <w:lang w:val="en-US"/>
        </w:rPr>
        <w:t xml:space="preserve"> of the Convention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in connection with </w:t>
      </w:r>
      <w:r w:rsidR="00447C65" w:rsidRPr="00D869E3">
        <w:rPr>
          <w:rFonts w:ascii="Verdana" w:hAnsi="Verdana"/>
          <w:sz w:val="20"/>
          <w:szCs w:val="20"/>
          <w:lang w:val="en-US"/>
        </w:rPr>
        <w:t>Articles</w:t>
      </w:r>
      <w:r w:rsidR="003C2143" w:rsidRPr="00D869E3">
        <w:rPr>
          <w:rFonts w:ascii="Verdana" w:hAnsi="Verdana"/>
          <w:sz w:val="20"/>
          <w:szCs w:val="20"/>
          <w:lang w:val="en-US"/>
        </w:rPr>
        <w:t xml:space="preserve"> 76</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687684" w:rsidRPr="00D869E3">
        <w:rPr>
          <w:rFonts w:ascii="Verdana" w:hAnsi="Verdana"/>
          <w:sz w:val="20"/>
          <w:szCs w:val="20"/>
          <w:lang w:val="en-US"/>
        </w:rPr>
        <w:t xml:space="preserve"> and </w:t>
      </w:r>
      <w:r w:rsidR="003C2143" w:rsidRPr="00D869E3">
        <w:rPr>
          <w:rFonts w:ascii="Verdana" w:hAnsi="Verdana"/>
          <w:sz w:val="20"/>
          <w:szCs w:val="20"/>
          <w:lang w:val="en-US"/>
        </w:rPr>
        <w:t>77</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3C2143" w:rsidRPr="00D869E3">
        <w:rPr>
          <w:rStyle w:val="Refdenotaalpie"/>
          <w:szCs w:val="20"/>
          <w:lang w:val="en-US"/>
        </w:rPr>
        <w:footnoteReference w:id="400"/>
      </w:r>
      <w:r w:rsidR="003C2143" w:rsidRPr="00D869E3">
        <w:rPr>
          <w:rFonts w:ascii="Verdana" w:hAnsi="Verdana"/>
          <w:sz w:val="20"/>
          <w:szCs w:val="20"/>
          <w:lang w:val="en-US"/>
        </w:rPr>
        <w:t xml:space="preserve"> </w:t>
      </w:r>
      <w:r w:rsidR="00351902" w:rsidRPr="00D869E3">
        <w:rPr>
          <w:rFonts w:ascii="Verdana" w:hAnsi="Verdana"/>
          <w:sz w:val="20"/>
          <w:szCs w:val="20"/>
          <w:lang w:val="en-US"/>
        </w:rPr>
        <w:t>of this instrument</w:t>
      </w:r>
      <w:r w:rsidR="003C2143" w:rsidRPr="00D869E3">
        <w:rPr>
          <w:rFonts w:ascii="Verdana" w:hAnsi="Verdana"/>
          <w:sz w:val="20"/>
          <w:szCs w:val="20"/>
          <w:lang w:val="en-US"/>
        </w:rPr>
        <w:t>, expres</w:t>
      </w:r>
      <w:r w:rsidRPr="00D869E3">
        <w:rPr>
          <w:rFonts w:ascii="Verdana" w:hAnsi="Verdana"/>
          <w:sz w:val="20"/>
          <w:szCs w:val="20"/>
          <w:lang w:val="en-US"/>
        </w:rPr>
        <w:t xml:space="preserve">sly establishes that </w:t>
      </w:r>
      <w:r w:rsidR="006436CA" w:rsidRPr="00D869E3">
        <w:rPr>
          <w:rFonts w:ascii="Verdana" w:hAnsi="Verdana"/>
          <w:sz w:val="20"/>
          <w:szCs w:val="20"/>
          <w:lang w:val="en-US"/>
        </w:rPr>
        <w:t>“</w:t>
      </w:r>
      <w:r w:rsidR="008352BB" w:rsidRPr="00D869E3">
        <w:rPr>
          <w:rFonts w:ascii="Verdana" w:hAnsi="Verdana"/>
          <w:i/>
          <w:iCs/>
          <w:spacing w:val="-3"/>
          <w:sz w:val="20"/>
          <w:szCs w:val="20"/>
          <w:lang w:val="en-US"/>
        </w:rPr>
        <w:t>other rights and freedoms may be included in the system of protection of this Convention</w:t>
      </w:r>
      <w:r w:rsidR="006436CA" w:rsidRPr="00D869E3">
        <w:rPr>
          <w:rFonts w:ascii="Verdana" w:hAnsi="Verdana"/>
          <w:i/>
          <w:iCs/>
          <w:spacing w:val="-3"/>
          <w:sz w:val="20"/>
          <w:szCs w:val="20"/>
          <w:lang w:val="en-US"/>
        </w:rPr>
        <w:t>”</w:t>
      </w:r>
      <w:r w:rsidR="008352BB" w:rsidRPr="00D869E3">
        <w:rPr>
          <w:rFonts w:ascii="Verdana" w:hAnsi="Verdana"/>
          <w:i/>
          <w:iCs/>
          <w:spacing w:val="-3"/>
          <w:sz w:val="20"/>
          <w:szCs w:val="20"/>
          <w:lang w:val="en-US"/>
        </w:rPr>
        <w:t xml:space="preserve"> </w:t>
      </w:r>
      <w:r w:rsidR="008352BB" w:rsidRPr="00D869E3">
        <w:rPr>
          <w:rFonts w:ascii="Verdana" w:hAnsi="Verdana"/>
          <w:spacing w:val="-3"/>
          <w:sz w:val="20"/>
          <w:szCs w:val="20"/>
          <w:lang w:val="en-US"/>
        </w:rPr>
        <w:t xml:space="preserve">based on the normative function </w:t>
      </w:r>
      <w:r w:rsidR="00752DAA" w:rsidRPr="00D869E3">
        <w:rPr>
          <w:rFonts w:ascii="Verdana" w:hAnsi="Verdana"/>
          <w:spacing w:val="-3"/>
          <w:sz w:val="20"/>
          <w:szCs w:val="20"/>
          <w:lang w:val="en-US"/>
        </w:rPr>
        <w:t>with regard to</w:t>
      </w:r>
      <w:r w:rsidR="008352BB" w:rsidRPr="00D869E3">
        <w:rPr>
          <w:rFonts w:ascii="Verdana" w:hAnsi="Verdana"/>
          <w:spacing w:val="-3"/>
          <w:sz w:val="20"/>
          <w:szCs w:val="20"/>
          <w:lang w:val="en-US"/>
        </w:rPr>
        <w:t xml:space="preserve"> the Convention which is exercised by its States Parties</w:t>
      </w:r>
      <w:r w:rsidR="00752DAA" w:rsidRPr="00D869E3">
        <w:rPr>
          <w:rFonts w:ascii="Verdana" w:hAnsi="Verdana"/>
          <w:spacing w:val="-3"/>
          <w:sz w:val="20"/>
          <w:szCs w:val="20"/>
          <w:lang w:val="en-US"/>
        </w:rPr>
        <w:t>. Accordingly,</w:t>
      </w:r>
      <w:r w:rsidR="008352BB" w:rsidRPr="00D869E3">
        <w:rPr>
          <w:rFonts w:ascii="Verdana" w:hAnsi="Verdana"/>
          <w:spacing w:val="-3"/>
          <w:sz w:val="20"/>
          <w:szCs w:val="20"/>
          <w:lang w:val="en-US"/>
        </w:rPr>
        <w:t xml:space="preserve"> that area is implicitly prohibited to the Court, which therefore cannot include </w:t>
      </w:r>
      <w:r w:rsidR="008352BB" w:rsidRPr="00D869E3">
        <w:rPr>
          <w:rFonts w:ascii="Verdana" w:hAnsi="Verdana"/>
          <w:sz w:val="20"/>
          <w:szCs w:val="20"/>
          <w:lang w:val="en-US"/>
        </w:rPr>
        <w:t>the right to</w:t>
      </w:r>
      <w:r w:rsidR="00817AA4" w:rsidRPr="00D869E3">
        <w:rPr>
          <w:rFonts w:ascii="Verdana" w:hAnsi="Verdana"/>
          <w:sz w:val="20"/>
          <w:szCs w:val="20"/>
          <w:lang w:val="en-US"/>
        </w:rPr>
        <w:t xml:space="preserve"> job</w:t>
      </w:r>
      <w:r w:rsidR="008352BB" w:rsidRPr="00D869E3">
        <w:rPr>
          <w:rFonts w:ascii="Verdana" w:hAnsi="Verdana"/>
          <w:sz w:val="20"/>
          <w:szCs w:val="20"/>
          <w:lang w:val="en-US"/>
        </w:rPr>
        <w:t xml:space="preserve"> security among the rights that may be judicialized before it. If it does so, it is evidently exceeding its powers. Indeed, and contrary to what may be deduced from the judgment,</w:t>
      </w:r>
      <w:r w:rsidR="003C2143" w:rsidRPr="00D869E3">
        <w:rPr>
          <w:rStyle w:val="Refdenotaalpie"/>
          <w:szCs w:val="20"/>
          <w:lang w:val="en-US"/>
        </w:rPr>
        <w:footnoteReference w:id="401"/>
      </w:r>
      <w:r w:rsidR="008352BB" w:rsidRPr="00D869E3">
        <w:rPr>
          <w:rFonts w:ascii="Verdana" w:hAnsi="Verdana"/>
          <w:sz w:val="20"/>
          <w:szCs w:val="20"/>
          <w:lang w:val="en-US"/>
        </w:rPr>
        <w:t xml:space="preserve"> the authority to determine its own competence, pursuant to the principle of </w:t>
      </w:r>
      <w:r w:rsidR="006436CA" w:rsidRPr="00D869E3">
        <w:rPr>
          <w:rFonts w:ascii="Verdana" w:hAnsi="Verdana"/>
          <w:sz w:val="20"/>
          <w:szCs w:val="20"/>
          <w:lang w:val="en-US"/>
        </w:rPr>
        <w:t>“</w:t>
      </w:r>
      <w:r w:rsidR="003C2143" w:rsidRPr="00D869E3">
        <w:rPr>
          <w:rFonts w:ascii="Verdana" w:hAnsi="Verdana"/>
          <w:i/>
          <w:sz w:val="20"/>
          <w:szCs w:val="20"/>
          <w:lang w:val="en-US"/>
        </w:rPr>
        <w:t>kompetenz-kompetenz</w:t>
      </w:r>
      <w:r w:rsidR="008352BB" w:rsidRPr="00D869E3">
        <w:rPr>
          <w:rFonts w:ascii="Verdana" w:hAnsi="Verdana"/>
          <w:i/>
          <w:sz w:val="20"/>
          <w:szCs w:val="20"/>
          <w:lang w:val="en-US"/>
        </w:rPr>
        <w:t>,</w:t>
      </w:r>
      <w:r w:rsidR="006436CA" w:rsidRPr="00D869E3">
        <w:rPr>
          <w:rFonts w:ascii="Verdana" w:hAnsi="Verdana"/>
          <w:sz w:val="20"/>
          <w:szCs w:val="20"/>
          <w:lang w:val="en-US"/>
        </w:rPr>
        <w:t>”</w:t>
      </w:r>
      <w:r w:rsidR="008352BB" w:rsidRPr="00D869E3">
        <w:rPr>
          <w:rFonts w:ascii="Verdana" w:hAnsi="Verdana"/>
          <w:sz w:val="20"/>
          <w:szCs w:val="20"/>
          <w:lang w:val="en-US"/>
        </w:rPr>
        <w:t xml:space="preserve"> does not authorize </w:t>
      </w:r>
      <w:r w:rsidR="00254C79" w:rsidRPr="00D869E3">
        <w:rPr>
          <w:rFonts w:ascii="Verdana" w:hAnsi="Verdana"/>
          <w:sz w:val="20"/>
          <w:szCs w:val="20"/>
          <w:lang w:val="en-US"/>
        </w:rPr>
        <w:t>the Court</w:t>
      </w:r>
      <w:r w:rsidR="008352BB" w:rsidRPr="00D869E3">
        <w:rPr>
          <w:rFonts w:ascii="Verdana" w:hAnsi="Verdana"/>
          <w:sz w:val="20"/>
          <w:szCs w:val="20"/>
          <w:lang w:val="en-US"/>
        </w:rPr>
        <w:t xml:space="preserve"> to violate the principle of public law that it is only possible to do what the law permits or stipulates.</w:t>
      </w:r>
    </w:p>
    <w:p w14:paraId="7C3C95BE" w14:textId="77777777" w:rsidR="003C2143" w:rsidRPr="00D869E3" w:rsidRDefault="003C2143" w:rsidP="003C2143">
      <w:pPr>
        <w:jc w:val="both"/>
        <w:rPr>
          <w:rFonts w:ascii="Verdana" w:hAnsi="Verdana"/>
          <w:sz w:val="20"/>
          <w:szCs w:val="20"/>
          <w:lang w:val="en-US"/>
        </w:rPr>
      </w:pPr>
    </w:p>
    <w:p w14:paraId="3B499DE6" w14:textId="22375286" w:rsidR="003C2143" w:rsidRPr="00D869E3" w:rsidRDefault="00E0339A" w:rsidP="003C2143">
      <w:pPr>
        <w:pStyle w:val="Prrafodelista"/>
        <w:numPr>
          <w:ilvl w:val="0"/>
          <w:numId w:val="32"/>
        </w:numPr>
        <w:jc w:val="both"/>
        <w:rPr>
          <w:rFonts w:ascii="Verdana" w:hAnsi="Verdana"/>
          <w:b/>
          <w:sz w:val="20"/>
          <w:szCs w:val="20"/>
          <w:lang w:val="en-US"/>
        </w:rPr>
      </w:pPr>
      <w:r w:rsidRPr="00D869E3">
        <w:rPr>
          <w:rFonts w:ascii="Verdana" w:hAnsi="Verdana"/>
          <w:b/>
          <w:sz w:val="20"/>
          <w:szCs w:val="20"/>
          <w:lang w:val="en-US"/>
        </w:rPr>
        <w:t xml:space="preserve">The </w:t>
      </w:r>
      <w:r w:rsidR="003C2143" w:rsidRPr="00D869E3">
        <w:rPr>
          <w:rFonts w:ascii="Verdana" w:hAnsi="Verdana"/>
          <w:b/>
          <w:sz w:val="20"/>
          <w:szCs w:val="20"/>
          <w:lang w:val="en-US"/>
        </w:rPr>
        <w:t>Protocol</w:t>
      </w:r>
      <w:r w:rsidRPr="00D869E3">
        <w:rPr>
          <w:rFonts w:ascii="Verdana" w:hAnsi="Verdana"/>
          <w:b/>
          <w:sz w:val="20"/>
          <w:szCs w:val="20"/>
          <w:lang w:val="en-US"/>
        </w:rPr>
        <w:t xml:space="preserve"> of</w:t>
      </w:r>
      <w:r w:rsidR="003C2143" w:rsidRPr="00D869E3">
        <w:rPr>
          <w:rFonts w:ascii="Verdana" w:hAnsi="Verdana"/>
          <w:b/>
          <w:sz w:val="20"/>
          <w:szCs w:val="20"/>
          <w:lang w:val="en-US"/>
        </w:rPr>
        <w:t xml:space="preserve"> San Salvador</w:t>
      </w:r>
    </w:p>
    <w:p w14:paraId="123B4E69" w14:textId="77777777" w:rsidR="003C2143" w:rsidRPr="00D869E3" w:rsidRDefault="003C2143" w:rsidP="003C2143">
      <w:pPr>
        <w:jc w:val="both"/>
        <w:rPr>
          <w:rFonts w:ascii="Verdana" w:hAnsi="Verdana"/>
          <w:b/>
          <w:sz w:val="20"/>
          <w:szCs w:val="20"/>
          <w:lang w:val="en-US"/>
        </w:rPr>
      </w:pPr>
    </w:p>
    <w:p w14:paraId="083BBB0F" w14:textId="61017296" w:rsidR="003C2143" w:rsidRPr="00D869E3" w:rsidRDefault="00952F8B" w:rsidP="003C2143">
      <w:pPr>
        <w:jc w:val="both"/>
        <w:rPr>
          <w:rFonts w:ascii="Verdana" w:hAnsi="Verdana"/>
          <w:sz w:val="20"/>
          <w:szCs w:val="20"/>
          <w:lang w:val="en-US"/>
        </w:rPr>
      </w:pPr>
      <w:r w:rsidRPr="00D869E3">
        <w:rPr>
          <w:rFonts w:ascii="Verdana" w:hAnsi="Verdana"/>
          <w:sz w:val="20"/>
          <w:szCs w:val="20"/>
          <w:lang w:val="en-US"/>
        </w:rPr>
        <w:t>As already</w:t>
      </w:r>
      <w:r w:rsidR="003C2143" w:rsidRPr="00D869E3">
        <w:rPr>
          <w:rFonts w:ascii="Verdana" w:hAnsi="Verdana"/>
          <w:sz w:val="20"/>
          <w:szCs w:val="20"/>
          <w:lang w:val="en-US"/>
        </w:rPr>
        <w:t xml:space="preserve"> </w:t>
      </w:r>
      <w:r w:rsidRPr="00D869E3">
        <w:rPr>
          <w:rFonts w:ascii="Verdana" w:hAnsi="Verdana"/>
          <w:sz w:val="20"/>
          <w:szCs w:val="20"/>
          <w:lang w:val="en-US"/>
        </w:rPr>
        <w:t xml:space="preserve">noted, the judicialization, even though partial, </w:t>
      </w:r>
      <w:r w:rsidR="00A157F5" w:rsidRPr="00D869E3">
        <w:rPr>
          <w:rFonts w:ascii="Verdana" w:hAnsi="Verdana"/>
          <w:sz w:val="20"/>
          <w:szCs w:val="20"/>
          <w:lang w:val="en-US"/>
        </w:rPr>
        <w:t xml:space="preserve">of the </w:t>
      </w:r>
      <w:r w:rsidR="00301DBE" w:rsidRPr="00D869E3">
        <w:rPr>
          <w:rFonts w:ascii="Verdana" w:hAnsi="Verdana"/>
          <w:sz w:val="20"/>
          <w:szCs w:val="20"/>
          <w:lang w:val="en-US"/>
        </w:rPr>
        <w:t>right to work</w:t>
      </w:r>
      <w:r w:rsidR="003C2143" w:rsidRPr="00D869E3">
        <w:rPr>
          <w:rFonts w:ascii="Verdana" w:hAnsi="Verdana"/>
          <w:sz w:val="20"/>
          <w:szCs w:val="20"/>
          <w:lang w:val="en-US"/>
        </w:rPr>
        <w:t xml:space="preserve"> </w:t>
      </w:r>
      <w:r w:rsidR="00254C79" w:rsidRPr="00D869E3">
        <w:rPr>
          <w:rFonts w:ascii="Verdana" w:hAnsi="Verdana"/>
          <w:sz w:val="20"/>
          <w:szCs w:val="20"/>
          <w:lang w:val="en-US"/>
        </w:rPr>
        <w:t>occurred</w:t>
      </w:r>
      <w:r w:rsidR="003C2143" w:rsidRPr="00D869E3">
        <w:rPr>
          <w:rFonts w:ascii="Verdana" w:hAnsi="Verdana"/>
          <w:sz w:val="20"/>
          <w:szCs w:val="20"/>
          <w:lang w:val="en-US"/>
        </w:rPr>
        <w:t>, precis</w:t>
      </w:r>
      <w:r w:rsidRPr="00D869E3">
        <w:rPr>
          <w:rFonts w:ascii="Verdana" w:hAnsi="Verdana"/>
          <w:sz w:val="20"/>
          <w:szCs w:val="20"/>
          <w:lang w:val="en-US"/>
        </w:rPr>
        <w:t xml:space="preserve">ely, with the 1988 </w:t>
      </w:r>
      <w:r w:rsidR="006436CA" w:rsidRPr="00D869E3">
        <w:rPr>
          <w:rFonts w:ascii="Verdana" w:hAnsi="Verdana"/>
          <w:sz w:val="20"/>
          <w:szCs w:val="20"/>
          <w:lang w:val="en-US"/>
        </w:rPr>
        <w:t>“</w:t>
      </w:r>
      <w:r w:rsidR="00B235CB" w:rsidRPr="00D869E3">
        <w:rPr>
          <w:rFonts w:ascii="Verdana" w:hAnsi="Verdana"/>
          <w:i/>
          <w:sz w:val="20"/>
          <w:szCs w:val="20"/>
          <w:lang w:val="en-US"/>
        </w:rPr>
        <w:t>Additional Protocol to</w:t>
      </w:r>
      <w:r w:rsidR="003C2143" w:rsidRPr="00D869E3">
        <w:rPr>
          <w:rFonts w:ascii="Verdana" w:hAnsi="Verdana"/>
          <w:i/>
          <w:sz w:val="20"/>
          <w:szCs w:val="20"/>
          <w:lang w:val="en-US"/>
        </w:rPr>
        <w:t xml:space="preserve"> </w:t>
      </w:r>
      <w:r w:rsidR="00447C65" w:rsidRPr="00D869E3">
        <w:rPr>
          <w:rFonts w:ascii="Verdana" w:hAnsi="Verdana"/>
          <w:i/>
          <w:sz w:val="20"/>
          <w:szCs w:val="20"/>
          <w:lang w:val="en-US"/>
        </w:rPr>
        <w:t>the American Convention on Human Rights</w:t>
      </w:r>
      <w:r w:rsidR="003C2143" w:rsidRPr="00D869E3">
        <w:rPr>
          <w:rFonts w:ascii="Verdana" w:hAnsi="Verdana"/>
          <w:i/>
          <w:sz w:val="20"/>
          <w:szCs w:val="20"/>
          <w:lang w:val="en-US"/>
        </w:rPr>
        <w:t xml:space="preserve"> </w:t>
      </w:r>
      <w:r w:rsidR="00B235CB" w:rsidRPr="00D869E3">
        <w:rPr>
          <w:rFonts w:ascii="Verdana" w:hAnsi="Verdana"/>
          <w:i/>
          <w:sz w:val="20"/>
          <w:szCs w:val="20"/>
          <w:lang w:val="en-US"/>
        </w:rPr>
        <w:t>in the Area of</w:t>
      </w:r>
      <w:r w:rsidR="003C2143" w:rsidRPr="00D869E3">
        <w:rPr>
          <w:rFonts w:ascii="Verdana" w:hAnsi="Verdana"/>
          <w:i/>
          <w:sz w:val="20"/>
          <w:szCs w:val="20"/>
          <w:lang w:val="en-US"/>
        </w:rPr>
        <w:t xml:space="preserve"> </w:t>
      </w:r>
      <w:r w:rsidR="00ED3FC7" w:rsidRPr="00D869E3">
        <w:rPr>
          <w:rFonts w:ascii="Verdana" w:hAnsi="Verdana"/>
          <w:i/>
          <w:sz w:val="20"/>
          <w:szCs w:val="20"/>
          <w:lang w:val="en-US"/>
        </w:rPr>
        <w:t xml:space="preserve">Economic, </w:t>
      </w:r>
      <w:r w:rsidRPr="00D869E3">
        <w:rPr>
          <w:rFonts w:ascii="Verdana" w:hAnsi="Verdana"/>
          <w:i/>
          <w:sz w:val="20"/>
          <w:szCs w:val="20"/>
          <w:lang w:val="en-US"/>
        </w:rPr>
        <w:t>Social and Cultural Rights</w:t>
      </w:r>
      <w:r w:rsidR="003C2143" w:rsidRPr="00D869E3">
        <w:rPr>
          <w:rFonts w:ascii="Verdana" w:hAnsi="Verdana"/>
          <w:i/>
          <w:sz w:val="20"/>
          <w:szCs w:val="20"/>
          <w:lang w:val="en-US"/>
        </w:rPr>
        <w:t>, Protocol</w:t>
      </w:r>
      <w:r w:rsidRPr="00D869E3">
        <w:rPr>
          <w:rFonts w:ascii="Verdana" w:hAnsi="Verdana"/>
          <w:i/>
          <w:sz w:val="20"/>
          <w:szCs w:val="20"/>
          <w:lang w:val="en-US"/>
        </w:rPr>
        <w:t xml:space="preserve"> of</w:t>
      </w:r>
      <w:r w:rsidR="003C2143" w:rsidRPr="00D869E3">
        <w:rPr>
          <w:rFonts w:ascii="Verdana" w:hAnsi="Verdana"/>
          <w:i/>
          <w:sz w:val="20"/>
          <w:szCs w:val="20"/>
          <w:lang w:val="en-US"/>
        </w:rPr>
        <w:t xml:space="preserve"> San Salvador</w:t>
      </w:r>
      <w:r w:rsidRPr="00D869E3">
        <w:rPr>
          <w:rFonts w:ascii="Verdana" w:hAnsi="Verdana"/>
          <w:i/>
          <w:sz w:val="20"/>
          <w:szCs w:val="20"/>
          <w:lang w:val="en-US"/>
        </w:rPr>
        <w:t>,</w:t>
      </w:r>
      <w:r w:rsidR="006436CA" w:rsidRPr="00D869E3">
        <w:rPr>
          <w:rFonts w:ascii="Verdana" w:hAnsi="Verdana"/>
          <w:sz w:val="20"/>
          <w:szCs w:val="20"/>
          <w:lang w:val="en-US"/>
        </w:rPr>
        <w:t>”</w:t>
      </w:r>
      <w:r w:rsidRPr="00D869E3">
        <w:rPr>
          <w:rFonts w:ascii="Verdana" w:hAnsi="Verdana"/>
          <w:sz w:val="20"/>
          <w:szCs w:val="20"/>
          <w:lang w:val="en-US"/>
        </w:rPr>
        <w:t xml:space="preserve"> which was adopted under the provisions of </w:t>
      </w:r>
      <w:r w:rsidR="00447C65" w:rsidRPr="00D869E3">
        <w:rPr>
          <w:rFonts w:ascii="Verdana" w:hAnsi="Verdana"/>
          <w:sz w:val="20"/>
          <w:szCs w:val="20"/>
          <w:lang w:val="en-US"/>
        </w:rPr>
        <w:t>Articles</w:t>
      </w:r>
      <w:r w:rsidR="003C2143" w:rsidRPr="00D869E3">
        <w:rPr>
          <w:rFonts w:ascii="Verdana" w:hAnsi="Verdana"/>
          <w:sz w:val="20"/>
          <w:szCs w:val="20"/>
          <w:lang w:val="en-US"/>
        </w:rPr>
        <w:t xml:space="preserve"> 76</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687684" w:rsidRPr="00D869E3">
        <w:rPr>
          <w:rFonts w:ascii="Verdana" w:hAnsi="Verdana"/>
          <w:sz w:val="20"/>
          <w:szCs w:val="20"/>
          <w:lang w:val="en-US"/>
        </w:rPr>
        <w:t xml:space="preserve"> and </w:t>
      </w:r>
      <w:r w:rsidR="003C2143" w:rsidRPr="00D869E3">
        <w:rPr>
          <w:rFonts w:ascii="Verdana" w:hAnsi="Verdana"/>
          <w:sz w:val="20"/>
          <w:szCs w:val="20"/>
          <w:lang w:val="en-US"/>
        </w:rPr>
        <w:t>77</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447C65" w:rsidRPr="00D869E3">
        <w:rPr>
          <w:rFonts w:ascii="Verdana" w:hAnsi="Verdana"/>
          <w:sz w:val="20"/>
          <w:szCs w:val="20"/>
          <w:lang w:val="en-US"/>
        </w:rPr>
        <w:t xml:space="preserve"> of the Convention</w:t>
      </w:r>
      <w:r w:rsidRPr="00D869E3">
        <w:rPr>
          <w:rFonts w:ascii="Verdana" w:hAnsi="Verdana"/>
          <w:sz w:val="20"/>
          <w:szCs w:val="20"/>
          <w:lang w:val="en-US"/>
        </w:rPr>
        <w:t>; that is,</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cs="Tahoma"/>
          <w:sz w:val="20"/>
          <w:szCs w:val="20"/>
          <w:lang w:val="en-US"/>
        </w:rPr>
        <w:t>for the purpose of gradually incorporating other rights and freedoms into the protective system thereof,</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000B13C9" w:rsidRPr="00D869E3">
        <w:rPr>
          <w:rFonts w:ascii="Verdana" w:hAnsi="Verdana"/>
          <w:sz w:val="20"/>
          <w:szCs w:val="20"/>
          <w:lang w:val="en-US"/>
        </w:rPr>
        <w:t>as expressly indicated in its Preamble</w:t>
      </w:r>
      <w:r w:rsidR="003C2143" w:rsidRPr="00D869E3">
        <w:rPr>
          <w:rFonts w:ascii="Verdana" w:hAnsi="Verdana"/>
          <w:sz w:val="20"/>
          <w:szCs w:val="20"/>
          <w:lang w:val="en-US"/>
        </w:rPr>
        <w:t>.</w:t>
      </w:r>
      <w:r w:rsidR="003C2143" w:rsidRPr="00D869E3">
        <w:rPr>
          <w:rStyle w:val="Refdenotaalpie"/>
          <w:szCs w:val="20"/>
          <w:lang w:val="en-US"/>
        </w:rPr>
        <w:footnoteReference w:id="402"/>
      </w:r>
    </w:p>
    <w:p w14:paraId="7683E8AA" w14:textId="77777777" w:rsidR="003C2143" w:rsidRPr="00D869E3" w:rsidRDefault="003C2143" w:rsidP="003C2143">
      <w:pPr>
        <w:jc w:val="both"/>
        <w:rPr>
          <w:rFonts w:ascii="Verdana" w:hAnsi="Verdana"/>
          <w:sz w:val="20"/>
          <w:szCs w:val="20"/>
          <w:lang w:val="en-US"/>
        </w:rPr>
      </w:pPr>
    </w:p>
    <w:p w14:paraId="3D81C721" w14:textId="3CD1290B" w:rsidR="003C2143" w:rsidRPr="00D869E3" w:rsidRDefault="000F0B45" w:rsidP="003C2143">
      <w:pPr>
        <w:jc w:val="both"/>
        <w:rPr>
          <w:rFonts w:ascii="Verdana" w:hAnsi="Verdana"/>
          <w:sz w:val="20"/>
          <w:szCs w:val="20"/>
          <w:lang w:val="en-US"/>
        </w:rPr>
      </w:pPr>
      <w:r w:rsidRPr="00D869E3">
        <w:rPr>
          <w:rFonts w:ascii="Verdana" w:hAnsi="Verdana"/>
          <w:sz w:val="20"/>
          <w:szCs w:val="20"/>
          <w:lang w:val="en-US"/>
        </w:rPr>
        <w:t>This</w:t>
      </w:r>
      <w:r w:rsidR="003C2143" w:rsidRPr="00D869E3">
        <w:rPr>
          <w:rFonts w:ascii="Verdana" w:hAnsi="Verdana"/>
          <w:sz w:val="20"/>
          <w:szCs w:val="20"/>
          <w:lang w:val="en-US"/>
        </w:rPr>
        <w:t xml:space="preserve"> </w:t>
      </w:r>
      <w:r w:rsidRPr="00D869E3">
        <w:rPr>
          <w:rFonts w:ascii="Verdana" w:hAnsi="Verdana"/>
          <w:sz w:val="20"/>
          <w:szCs w:val="20"/>
          <w:lang w:val="en-US"/>
        </w:rPr>
        <w:t>Protocol</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C2143" w:rsidRPr="00D869E3">
        <w:rPr>
          <w:rFonts w:ascii="Verdana" w:hAnsi="Verdana"/>
          <w:i/>
          <w:sz w:val="20"/>
          <w:szCs w:val="20"/>
          <w:lang w:val="en-US"/>
        </w:rPr>
        <w:t>reco</w:t>
      </w:r>
      <w:r w:rsidRPr="00D869E3">
        <w:rPr>
          <w:rFonts w:ascii="Verdana" w:hAnsi="Verdana"/>
          <w:i/>
          <w:sz w:val="20"/>
          <w:szCs w:val="20"/>
          <w:lang w:val="en-US"/>
        </w:rPr>
        <w:t>gnizes</w:t>
      </w:r>
      <w:r w:rsidR="006436CA" w:rsidRPr="00D869E3">
        <w:rPr>
          <w:rFonts w:ascii="Verdana" w:hAnsi="Verdana"/>
          <w:sz w:val="20"/>
          <w:szCs w:val="20"/>
          <w:lang w:val="en-US"/>
        </w:rPr>
        <w:t>”</w:t>
      </w:r>
      <w:r w:rsidR="003C2143" w:rsidRPr="00D869E3">
        <w:rPr>
          <w:rStyle w:val="Refdenotaalpie"/>
          <w:szCs w:val="20"/>
          <w:lang w:val="en-US"/>
        </w:rPr>
        <w:footnoteReference w:id="403"/>
      </w:r>
      <w:r w:rsidR="003C2143" w:rsidRPr="00D869E3">
        <w:rPr>
          <w:rFonts w:ascii="Verdana" w:hAnsi="Verdana"/>
          <w:sz w:val="20"/>
          <w:szCs w:val="20"/>
          <w:lang w:val="en-US"/>
        </w:rPr>
        <w:t xml:space="preserve">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6),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cs="Tahoma"/>
          <w:sz w:val="20"/>
          <w:szCs w:val="20"/>
          <w:lang w:val="en-US"/>
        </w:rPr>
        <w:t>just, equitable, and satisfactory conditions of work</w:t>
      </w:r>
      <w:r w:rsidRPr="00D869E3">
        <w:rPr>
          <w:rFonts w:ascii="Verdana" w:hAnsi="Verdana"/>
          <w:sz w:val="20"/>
          <w:szCs w:val="20"/>
          <w:lang w:val="en-US"/>
        </w:rPr>
        <w:t xml:space="preserve">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7), </w:t>
      </w:r>
      <w:r w:rsidRPr="00D869E3">
        <w:rPr>
          <w:rFonts w:ascii="Verdana" w:hAnsi="Verdana"/>
          <w:sz w:val="20"/>
          <w:szCs w:val="20"/>
          <w:lang w:val="en-US"/>
        </w:rPr>
        <w:t>trade union rights</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8),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 xml:space="preserve">social security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9),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health</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10),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a healthy environment</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11),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food</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12),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 xml:space="preserve">education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13),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 xml:space="preserve">the benefits of culture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 14), </w:t>
      </w:r>
      <w:r w:rsidR="000B2E5E" w:rsidRPr="00D869E3">
        <w:rPr>
          <w:rFonts w:ascii="Verdana" w:hAnsi="Verdana"/>
          <w:sz w:val="20"/>
          <w:szCs w:val="20"/>
          <w:lang w:val="en-US"/>
        </w:rPr>
        <w:t xml:space="preserve">the </w:t>
      </w:r>
      <w:r w:rsidR="000B2E5E" w:rsidRPr="00D869E3">
        <w:rPr>
          <w:rFonts w:ascii="Verdana" w:hAnsi="Verdana"/>
          <w:sz w:val="20"/>
          <w:szCs w:val="20"/>
          <w:lang w:val="en-US"/>
        </w:rPr>
        <w:lastRenderedPageBreak/>
        <w:t>right to</w:t>
      </w:r>
      <w:r w:rsidRPr="00D869E3">
        <w:rPr>
          <w:rFonts w:ascii="Verdana" w:hAnsi="Verdana"/>
          <w:sz w:val="20"/>
          <w:szCs w:val="20"/>
          <w:lang w:val="en-US"/>
        </w:rPr>
        <w:t xml:space="preserve"> the formation and the protection of families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15), </w:t>
      </w:r>
      <w:r w:rsidRPr="00D869E3">
        <w:rPr>
          <w:rFonts w:ascii="Verdana" w:hAnsi="Verdana"/>
          <w:sz w:val="20"/>
          <w:szCs w:val="20"/>
          <w:lang w:val="en-US"/>
        </w:rPr>
        <w:t>the rights of children</w:t>
      </w:r>
      <w:r w:rsidR="003C2143" w:rsidRPr="00D869E3">
        <w:rPr>
          <w:rFonts w:ascii="Verdana" w:hAnsi="Verdana"/>
          <w:sz w:val="20"/>
          <w:szCs w:val="20"/>
          <w:lang w:val="en-US"/>
        </w:rPr>
        <w:t xml:space="preserve"> (</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16), </w:t>
      </w:r>
      <w:r w:rsidRPr="00D869E3">
        <w:rPr>
          <w:rFonts w:ascii="Verdana" w:hAnsi="Verdana"/>
          <w:sz w:val="20"/>
          <w:szCs w:val="20"/>
          <w:lang w:val="en-US"/>
        </w:rPr>
        <w:t xml:space="preserve">the protection of the elderly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17)</w:t>
      </w:r>
      <w:r w:rsidR="00687684" w:rsidRPr="00D869E3">
        <w:rPr>
          <w:rFonts w:ascii="Verdana" w:hAnsi="Verdana"/>
          <w:sz w:val="20"/>
          <w:szCs w:val="20"/>
          <w:lang w:val="en-US"/>
        </w:rPr>
        <w:t xml:space="preserve"> and</w:t>
      </w:r>
      <w:r w:rsidRPr="00D869E3">
        <w:rPr>
          <w:rFonts w:ascii="Verdana" w:hAnsi="Verdana"/>
          <w:sz w:val="20"/>
          <w:szCs w:val="20"/>
          <w:lang w:val="en-US"/>
        </w:rPr>
        <w:t xml:space="preserve"> the protection of the handicapped </w:t>
      </w:r>
      <w:r w:rsidR="003C2143" w:rsidRPr="00D869E3">
        <w:rPr>
          <w:rFonts w:ascii="Verdana" w:hAnsi="Verdana"/>
          <w:sz w:val="20"/>
          <w:szCs w:val="20"/>
          <w:lang w:val="en-US"/>
        </w:rPr>
        <w:t>(</w:t>
      </w:r>
      <w:r w:rsidR="00CC766D" w:rsidRPr="00D869E3">
        <w:rPr>
          <w:rFonts w:ascii="Verdana" w:hAnsi="Verdana"/>
          <w:sz w:val="20"/>
          <w:szCs w:val="20"/>
          <w:lang w:val="en-US"/>
        </w:rPr>
        <w:t xml:space="preserve">Art. </w:t>
      </w:r>
      <w:r w:rsidR="003C2143" w:rsidRPr="00D869E3">
        <w:rPr>
          <w:rFonts w:ascii="Verdana" w:hAnsi="Verdana"/>
          <w:sz w:val="20"/>
          <w:szCs w:val="20"/>
          <w:lang w:val="en-US"/>
        </w:rPr>
        <w:t xml:space="preserve"> 18).</w:t>
      </w:r>
    </w:p>
    <w:p w14:paraId="36C1231E" w14:textId="77777777" w:rsidR="003C2143" w:rsidRPr="00D869E3" w:rsidRDefault="003C2143" w:rsidP="003C2143">
      <w:pPr>
        <w:jc w:val="both"/>
        <w:rPr>
          <w:rFonts w:ascii="Verdana" w:hAnsi="Verdana"/>
          <w:sz w:val="20"/>
          <w:szCs w:val="20"/>
          <w:lang w:val="en-US"/>
        </w:rPr>
      </w:pPr>
    </w:p>
    <w:p w14:paraId="43ADB6C7" w14:textId="0D304219" w:rsidR="000F0B45" w:rsidRPr="00D869E3" w:rsidRDefault="000F0B45" w:rsidP="003C2143">
      <w:pPr>
        <w:jc w:val="both"/>
        <w:rPr>
          <w:rFonts w:ascii="Verdana" w:hAnsi="Verdana"/>
          <w:sz w:val="20"/>
          <w:szCs w:val="20"/>
          <w:lang w:val="en-US"/>
        </w:rPr>
      </w:pPr>
      <w:r w:rsidRPr="00D869E3">
        <w:rPr>
          <w:rFonts w:ascii="Verdana" w:hAnsi="Verdana"/>
          <w:sz w:val="20"/>
          <w:szCs w:val="20"/>
          <w:lang w:val="en-US"/>
        </w:rPr>
        <w:t>Nevertheless, this Protocol</w:t>
      </w:r>
      <w:r w:rsidR="003C2143" w:rsidRPr="00D869E3">
        <w:rPr>
          <w:rFonts w:ascii="Verdana" w:hAnsi="Verdana"/>
          <w:sz w:val="20"/>
          <w:szCs w:val="20"/>
          <w:lang w:val="en-US"/>
        </w:rPr>
        <w:t xml:space="preserve"> </w:t>
      </w:r>
      <w:r w:rsidRPr="00D869E3">
        <w:rPr>
          <w:rFonts w:ascii="Verdana" w:hAnsi="Verdana"/>
          <w:sz w:val="20"/>
          <w:szCs w:val="20"/>
          <w:lang w:val="en-US"/>
        </w:rPr>
        <w:t xml:space="preserve">established that </w:t>
      </w:r>
      <w:r w:rsidR="007013E2" w:rsidRPr="00D869E3">
        <w:rPr>
          <w:rFonts w:ascii="Verdana" w:hAnsi="Verdana"/>
          <w:sz w:val="20"/>
          <w:szCs w:val="20"/>
          <w:lang w:val="en-US"/>
        </w:rPr>
        <w:t>the violation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of </w:t>
      </w:r>
      <w:r w:rsidR="00254C79" w:rsidRPr="00D869E3">
        <w:rPr>
          <w:rFonts w:ascii="Verdana" w:hAnsi="Verdana"/>
          <w:sz w:val="20"/>
          <w:szCs w:val="20"/>
          <w:lang w:val="en-US"/>
        </w:rPr>
        <w:t xml:space="preserve">only </w:t>
      </w:r>
      <w:r w:rsidRPr="00D869E3">
        <w:rPr>
          <w:rFonts w:ascii="Verdana" w:hAnsi="Verdana"/>
          <w:sz w:val="20"/>
          <w:szCs w:val="20"/>
          <w:lang w:val="en-US"/>
        </w:rPr>
        <w:t xml:space="preserve">some of those </w:t>
      </w:r>
      <w:r w:rsidR="00881A39" w:rsidRPr="00D869E3">
        <w:rPr>
          <w:rFonts w:ascii="Verdana" w:hAnsi="Verdana"/>
          <w:sz w:val="20"/>
          <w:szCs w:val="20"/>
          <w:lang w:val="en-US"/>
        </w:rPr>
        <w:t>rights</w:t>
      </w:r>
      <w:r w:rsidR="003C2143" w:rsidRPr="00D869E3">
        <w:rPr>
          <w:rFonts w:ascii="Verdana" w:hAnsi="Verdana"/>
          <w:sz w:val="20"/>
          <w:szCs w:val="20"/>
          <w:lang w:val="en-US"/>
        </w:rPr>
        <w:t xml:space="preserve"> </w:t>
      </w:r>
      <w:r w:rsidRPr="00D869E3">
        <w:rPr>
          <w:rFonts w:ascii="Verdana" w:hAnsi="Verdana"/>
          <w:sz w:val="20"/>
          <w:szCs w:val="20"/>
          <w:lang w:val="en-US"/>
        </w:rPr>
        <w:t xml:space="preserve">may be submitted to </w:t>
      </w:r>
      <w:r w:rsidR="00966115" w:rsidRPr="00D869E3">
        <w:rPr>
          <w:rFonts w:ascii="Verdana" w:hAnsi="Verdana"/>
          <w:sz w:val="20"/>
          <w:szCs w:val="20"/>
          <w:lang w:val="en-US"/>
        </w:rPr>
        <w:t>the</w:t>
      </w:r>
      <w:r w:rsidR="00447C65" w:rsidRPr="00D869E3">
        <w:rPr>
          <w:rFonts w:ascii="Verdana" w:hAnsi="Verdana"/>
          <w:sz w:val="20"/>
          <w:szCs w:val="20"/>
          <w:lang w:val="en-US"/>
        </w:rPr>
        <w:t xml:space="preserve"> Court</w:t>
      </w:r>
      <w:r w:rsidR="003C2143" w:rsidRPr="00D869E3">
        <w:rPr>
          <w:rStyle w:val="Refdenotaalpie"/>
          <w:szCs w:val="20"/>
          <w:lang w:val="en-US"/>
        </w:rPr>
        <w:footnoteReference w:id="404"/>
      </w:r>
      <w:r w:rsidR="00687684" w:rsidRPr="00D869E3">
        <w:rPr>
          <w:rFonts w:ascii="Verdana" w:hAnsi="Verdana"/>
          <w:sz w:val="20"/>
          <w:szCs w:val="20"/>
          <w:lang w:val="en-US"/>
        </w:rPr>
        <w:t xml:space="preserve"> and </w:t>
      </w:r>
      <w:r w:rsidRPr="00D869E3">
        <w:rPr>
          <w:rFonts w:ascii="Verdana" w:hAnsi="Verdana"/>
          <w:sz w:val="20"/>
          <w:szCs w:val="20"/>
          <w:lang w:val="en-US"/>
        </w:rPr>
        <w:t>these relate to the right to organize trade unions and join them</w:t>
      </w:r>
      <w:r w:rsidR="003C2143" w:rsidRPr="00D869E3">
        <w:rPr>
          <w:rStyle w:val="Refdenotaalpie"/>
          <w:szCs w:val="20"/>
          <w:lang w:val="en-US"/>
        </w:rPr>
        <w:footnoteReference w:id="405"/>
      </w:r>
      <w:r w:rsidR="00687684" w:rsidRPr="00D869E3">
        <w:rPr>
          <w:rFonts w:ascii="Verdana" w:hAnsi="Verdana"/>
          <w:sz w:val="20"/>
          <w:szCs w:val="20"/>
          <w:lang w:val="en-US"/>
        </w:rPr>
        <w:t xml:space="preserve"> and </w:t>
      </w:r>
      <w:r w:rsidR="000B2E5E" w:rsidRPr="00D869E3">
        <w:rPr>
          <w:rFonts w:ascii="Verdana" w:hAnsi="Verdana"/>
          <w:sz w:val="20"/>
          <w:szCs w:val="20"/>
          <w:lang w:val="en-US"/>
        </w:rPr>
        <w:t>the right to</w:t>
      </w:r>
      <w:r w:rsidR="003C2143" w:rsidRPr="00D869E3">
        <w:rPr>
          <w:rFonts w:ascii="Verdana" w:hAnsi="Verdana"/>
          <w:sz w:val="20"/>
          <w:szCs w:val="20"/>
          <w:lang w:val="en-US"/>
        </w:rPr>
        <w:t xml:space="preserve"> </w:t>
      </w:r>
      <w:r w:rsidRPr="00D869E3">
        <w:rPr>
          <w:rFonts w:ascii="Verdana" w:hAnsi="Verdana"/>
          <w:sz w:val="20"/>
          <w:szCs w:val="20"/>
          <w:lang w:val="en-US"/>
        </w:rPr>
        <w:t>education.</w:t>
      </w:r>
      <w:r w:rsidR="003C2143" w:rsidRPr="00D869E3">
        <w:rPr>
          <w:rStyle w:val="Refdenotaalpie"/>
          <w:szCs w:val="20"/>
          <w:lang w:val="en-US"/>
        </w:rPr>
        <w:footnoteReference w:id="406"/>
      </w:r>
      <w:r w:rsidR="003C2143" w:rsidRPr="00D869E3">
        <w:rPr>
          <w:rFonts w:ascii="Verdana" w:hAnsi="Verdana"/>
          <w:sz w:val="20"/>
          <w:szCs w:val="20"/>
          <w:lang w:val="en-US"/>
        </w:rPr>
        <w:t xml:space="preserve"> </w:t>
      </w:r>
      <w:r w:rsidRPr="00D869E3">
        <w:rPr>
          <w:rFonts w:ascii="Verdana" w:hAnsi="Verdana"/>
          <w:sz w:val="20"/>
          <w:szCs w:val="20"/>
          <w:lang w:val="en-US"/>
        </w:rPr>
        <w:t>Regarding</w:t>
      </w:r>
      <w:r w:rsidR="003C2143" w:rsidRPr="00D869E3">
        <w:rPr>
          <w:rFonts w:ascii="Verdana" w:hAnsi="Verdana"/>
          <w:sz w:val="20"/>
          <w:szCs w:val="20"/>
          <w:lang w:val="en-US"/>
        </w:rPr>
        <w:t xml:space="preserve"> </w:t>
      </w:r>
      <w:r w:rsidR="00414B6B"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3C2143" w:rsidRPr="00D869E3">
        <w:rPr>
          <w:rFonts w:ascii="Verdana" w:hAnsi="Verdana"/>
          <w:sz w:val="20"/>
          <w:szCs w:val="20"/>
          <w:lang w:val="en-US"/>
        </w:rPr>
        <w:t xml:space="preserve">, </w:t>
      </w:r>
      <w:r w:rsidRPr="00D869E3">
        <w:rPr>
          <w:rFonts w:ascii="Verdana" w:hAnsi="Verdana"/>
          <w:sz w:val="20"/>
          <w:szCs w:val="20"/>
          <w:lang w:val="en-US"/>
        </w:rPr>
        <w:t>although</w:t>
      </w:r>
      <w:r w:rsidR="00254C79" w:rsidRPr="00D869E3">
        <w:rPr>
          <w:rFonts w:ascii="Verdana" w:hAnsi="Verdana"/>
          <w:sz w:val="20"/>
          <w:szCs w:val="20"/>
          <w:lang w:val="en-US"/>
        </w:rPr>
        <w:t xml:space="preserve"> </w:t>
      </w:r>
      <w:r w:rsidRPr="00D869E3">
        <w:rPr>
          <w:rFonts w:ascii="Verdana" w:hAnsi="Verdana"/>
          <w:sz w:val="20"/>
          <w:szCs w:val="20"/>
          <w:lang w:val="en-US"/>
        </w:rPr>
        <w:t xml:space="preserve">it has been recognized and even judicialized, this has only been done partially; that is, as regards the right to organize trade unions and to joint them. Nothing else. The other issues involved, including the possible violation of the right to job security, which is not mentioned in the said Protocol, are consequently excluded from being submitted to the Court’s consideration and </w:t>
      </w:r>
      <w:r w:rsidR="00254C79" w:rsidRPr="00D869E3">
        <w:rPr>
          <w:rFonts w:ascii="Verdana" w:hAnsi="Verdana"/>
          <w:sz w:val="20"/>
          <w:szCs w:val="20"/>
          <w:lang w:val="en-US"/>
        </w:rPr>
        <w:t>decision</w:t>
      </w:r>
      <w:r w:rsidRPr="00D869E3">
        <w:rPr>
          <w:rFonts w:ascii="Verdana" w:hAnsi="Verdana"/>
          <w:sz w:val="20"/>
          <w:szCs w:val="20"/>
          <w:lang w:val="en-US"/>
        </w:rPr>
        <w:t xml:space="preserve">. If </w:t>
      </w:r>
      <w:r w:rsidR="00587255" w:rsidRPr="00D869E3">
        <w:rPr>
          <w:rFonts w:ascii="Verdana" w:hAnsi="Verdana"/>
          <w:sz w:val="20"/>
          <w:szCs w:val="20"/>
          <w:lang w:val="en-US"/>
        </w:rPr>
        <w:t>the</w:t>
      </w:r>
      <w:r w:rsidR="00254C79" w:rsidRPr="00D869E3">
        <w:rPr>
          <w:rFonts w:ascii="Verdana" w:hAnsi="Verdana"/>
          <w:sz w:val="20"/>
          <w:szCs w:val="20"/>
          <w:lang w:val="en-US"/>
        </w:rPr>
        <w:t>re was a</w:t>
      </w:r>
      <w:r w:rsidR="00587255" w:rsidRPr="00D869E3">
        <w:rPr>
          <w:rFonts w:ascii="Verdana" w:hAnsi="Verdana"/>
          <w:sz w:val="20"/>
          <w:szCs w:val="20"/>
          <w:lang w:val="en-US"/>
        </w:rPr>
        <w:t xml:space="preserve"> possibility that violations of the right to work and the right to job security could be submitted to, examined and decided by the Court under Article 26 of the Convention, the provisions of the Protocol of San Salvador would be pointless.</w:t>
      </w:r>
    </w:p>
    <w:p w14:paraId="3291D366" w14:textId="77777777" w:rsidR="003C2143" w:rsidRPr="00D869E3" w:rsidRDefault="003C2143" w:rsidP="003C2143">
      <w:pPr>
        <w:jc w:val="both"/>
        <w:rPr>
          <w:rFonts w:ascii="Verdana" w:hAnsi="Verdana"/>
          <w:sz w:val="20"/>
          <w:szCs w:val="20"/>
          <w:lang w:val="en-US"/>
        </w:rPr>
      </w:pPr>
    </w:p>
    <w:p w14:paraId="1F67AEFF" w14:textId="02909D89" w:rsidR="003C2143" w:rsidRPr="00D869E3" w:rsidRDefault="003C2143" w:rsidP="003C2143">
      <w:pPr>
        <w:jc w:val="both"/>
        <w:rPr>
          <w:rFonts w:ascii="Verdana" w:hAnsi="Verdana"/>
          <w:b/>
          <w:sz w:val="20"/>
          <w:szCs w:val="20"/>
          <w:lang w:val="en-US"/>
        </w:rPr>
      </w:pPr>
      <w:r w:rsidRPr="00D869E3">
        <w:rPr>
          <w:rFonts w:ascii="Verdana" w:hAnsi="Verdana"/>
          <w:b/>
          <w:sz w:val="20"/>
          <w:szCs w:val="20"/>
          <w:lang w:val="en-US"/>
        </w:rPr>
        <w:t xml:space="preserve">II. </w:t>
      </w:r>
      <w:r w:rsidR="00214130" w:rsidRPr="00D869E3">
        <w:rPr>
          <w:rFonts w:ascii="Verdana" w:hAnsi="Verdana"/>
          <w:b/>
          <w:sz w:val="20"/>
          <w:szCs w:val="20"/>
          <w:lang w:val="en-US"/>
        </w:rPr>
        <w:t xml:space="preserve">THE INTERPRETATION OF ARTICLE </w:t>
      </w:r>
      <w:r w:rsidRPr="00D869E3">
        <w:rPr>
          <w:rFonts w:ascii="Verdana" w:hAnsi="Verdana"/>
          <w:b/>
          <w:sz w:val="20"/>
          <w:szCs w:val="20"/>
          <w:lang w:val="en-US"/>
        </w:rPr>
        <w:t>26</w:t>
      </w:r>
    </w:p>
    <w:p w14:paraId="67B1364A" w14:textId="77777777" w:rsidR="003C2143" w:rsidRPr="00D869E3" w:rsidRDefault="003C2143" w:rsidP="003C2143">
      <w:pPr>
        <w:jc w:val="both"/>
        <w:rPr>
          <w:rFonts w:ascii="Verdana" w:hAnsi="Verdana"/>
          <w:b/>
          <w:sz w:val="20"/>
          <w:szCs w:val="20"/>
          <w:lang w:val="en-US"/>
        </w:rPr>
      </w:pPr>
    </w:p>
    <w:p w14:paraId="147CA3EE" w14:textId="78FA4818" w:rsidR="003C2143" w:rsidRPr="00D869E3" w:rsidRDefault="00587255" w:rsidP="003C2143">
      <w:pPr>
        <w:jc w:val="both"/>
        <w:rPr>
          <w:rFonts w:ascii="Verdana" w:hAnsi="Verdana"/>
          <w:sz w:val="20"/>
          <w:szCs w:val="20"/>
          <w:lang w:val="en-US"/>
        </w:rPr>
      </w:pPr>
      <w:r w:rsidRPr="00D869E3">
        <w:rPr>
          <w:rFonts w:ascii="Verdana" w:hAnsi="Verdana"/>
          <w:sz w:val="20"/>
          <w:szCs w:val="20"/>
          <w:lang w:val="en-US"/>
        </w:rPr>
        <w:t>Based on the foregoing and considering that the judgment founds its decision in the fifth operative paragraph</w:t>
      </w:r>
      <w:r w:rsidR="003C2143" w:rsidRPr="00D869E3">
        <w:rPr>
          <w:rStyle w:val="Refdenotaalpie"/>
          <w:szCs w:val="20"/>
          <w:lang w:val="en-US"/>
        </w:rPr>
        <w:footnoteReference w:id="407"/>
      </w:r>
      <w:r w:rsidR="003C2143" w:rsidRPr="00D869E3">
        <w:rPr>
          <w:rFonts w:ascii="Verdana" w:hAnsi="Verdana"/>
          <w:sz w:val="20"/>
          <w:szCs w:val="20"/>
          <w:lang w:val="en-US"/>
        </w:rPr>
        <w:t xml:space="preserve"> </w:t>
      </w:r>
      <w:r w:rsidRPr="00D869E3">
        <w:rPr>
          <w:rFonts w:ascii="Verdana" w:hAnsi="Verdana"/>
          <w:sz w:val="20"/>
          <w:szCs w:val="20"/>
          <w:lang w:val="en-US"/>
        </w:rPr>
        <w:t>o</w:t>
      </w:r>
      <w:r w:rsidR="003C2143" w:rsidRPr="00D869E3">
        <w:rPr>
          <w:rFonts w:ascii="Verdana" w:hAnsi="Verdana"/>
          <w:sz w:val="20"/>
          <w:szCs w:val="20"/>
          <w:lang w:val="en-US"/>
        </w:rPr>
        <w:t xml:space="preserve">n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Pr="00D869E3">
        <w:rPr>
          <w:rFonts w:ascii="Verdana" w:hAnsi="Verdana"/>
          <w:sz w:val="20"/>
          <w:szCs w:val="20"/>
          <w:lang w:val="en-US"/>
        </w:rPr>
        <w:t>,</w:t>
      </w:r>
      <w:r w:rsidR="003C2143" w:rsidRPr="00D869E3">
        <w:rPr>
          <w:rStyle w:val="Refdenotaalpie"/>
          <w:szCs w:val="20"/>
          <w:lang w:val="en-US"/>
        </w:rPr>
        <w:footnoteReference w:id="408"/>
      </w:r>
      <w:r w:rsidRPr="00D869E3">
        <w:rPr>
          <w:rFonts w:ascii="Verdana" w:hAnsi="Verdana"/>
          <w:sz w:val="20"/>
          <w:szCs w:val="20"/>
          <w:lang w:val="en-US"/>
        </w:rPr>
        <w:t xml:space="preserve"> it is necessary to interpret this article, refer to the preparatory work, analyze the rights referred to, and derive the consequences</w:t>
      </w:r>
      <w:r w:rsidR="00254C79" w:rsidRPr="00D869E3">
        <w:rPr>
          <w:rFonts w:ascii="Verdana" w:hAnsi="Verdana"/>
          <w:sz w:val="20"/>
          <w:szCs w:val="20"/>
          <w:lang w:val="en-US"/>
        </w:rPr>
        <w:t xml:space="preserve"> of the decision taken </w:t>
      </w:r>
      <w:r w:rsidRPr="00D869E3">
        <w:rPr>
          <w:rFonts w:ascii="Verdana" w:hAnsi="Verdana"/>
          <w:sz w:val="20"/>
          <w:szCs w:val="20"/>
          <w:lang w:val="en-US"/>
        </w:rPr>
        <w:t>in this regard in the judgment</w:t>
      </w:r>
      <w:r w:rsidR="003C2143" w:rsidRPr="00D869E3">
        <w:rPr>
          <w:rFonts w:ascii="Verdana" w:hAnsi="Verdana"/>
          <w:sz w:val="20"/>
          <w:szCs w:val="20"/>
          <w:lang w:val="en-US"/>
        </w:rPr>
        <w:t>.</w:t>
      </w:r>
    </w:p>
    <w:p w14:paraId="0CA99C48" w14:textId="4C89CAD0" w:rsidR="003C2143" w:rsidRPr="00D869E3" w:rsidRDefault="00BE48D3" w:rsidP="00BE48D3">
      <w:pPr>
        <w:tabs>
          <w:tab w:val="left" w:pos="2499"/>
        </w:tabs>
        <w:jc w:val="both"/>
        <w:rPr>
          <w:rFonts w:ascii="Verdana" w:hAnsi="Verdana"/>
          <w:sz w:val="20"/>
          <w:szCs w:val="20"/>
          <w:lang w:val="en-US"/>
        </w:rPr>
      </w:pPr>
      <w:r w:rsidRPr="00D869E3">
        <w:rPr>
          <w:rFonts w:ascii="Verdana" w:hAnsi="Verdana"/>
          <w:sz w:val="20"/>
          <w:szCs w:val="20"/>
          <w:lang w:val="en-US"/>
        </w:rPr>
        <w:tab/>
      </w:r>
    </w:p>
    <w:p w14:paraId="61DD402F" w14:textId="3C844B8C" w:rsidR="003C2143" w:rsidRPr="00D869E3" w:rsidRDefault="00587255" w:rsidP="003C2143">
      <w:pPr>
        <w:pStyle w:val="Prrafodelista"/>
        <w:numPr>
          <w:ilvl w:val="0"/>
          <w:numId w:val="31"/>
        </w:numPr>
        <w:jc w:val="both"/>
        <w:rPr>
          <w:rFonts w:ascii="Verdana" w:hAnsi="Verdana"/>
          <w:b/>
          <w:sz w:val="20"/>
          <w:szCs w:val="20"/>
          <w:lang w:val="en-US"/>
        </w:rPr>
      </w:pPr>
      <w:r w:rsidRPr="00D869E3">
        <w:rPr>
          <w:rFonts w:ascii="Verdana" w:hAnsi="Verdana"/>
          <w:b/>
          <w:sz w:val="20"/>
          <w:szCs w:val="20"/>
          <w:lang w:val="en-US"/>
        </w:rPr>
        <w:t>The article</w:t>
      </w:r>
    </w:p>
    <w:p w14:paraId="7FF43698" w14:textId="77777777" w:rsidR="003C2143" w:rsidRPr="00D869E3" w:rsidRDefault="003C2143" w:rsidP="003C2143">
      <w:pPr>
        <w:jc w:val="both"/>
        <w:rPr>
          <w:rFonts w:ascii="Verdana" w:hAnsi="Verdana"/>
          <w:sz w:val="20"/>
          <w:szCs w:val="20"/>
          <w:lang w:val="en-US"/>
        </w:rPr>
      </w:pPr>
    </w:p>
    <w:p w14:paraId="56DF5828" w14:textId="2E7352DA" w:rsidR="003C2143" w:rsidRPr="00D869E3" w:rsidRDefault="00587255" w:rsidP="003C2143">
      <w:pPr>
        <w:jc w:val="both"/>
        <w:rPr>
          <w:rFonts w:ascii="Verdana" w:hAnsi="Verdana"/>
          <w:sz w:val="20"/>
          <w:szCs w:val="20"/>
          <w:lang w:val="en-US"/>
        </w:rPr>
      </w:pPr>
      <w:r w:rsidRPr="00D869E3">
        <w:rPr>
          <w:rFonts w:ascii="Verdana" w:hAnsi="Verdana"/>
          <w:sz w:val="20"/>
          <w:szCs w:val="20"/>
          <w:lang w:val="en-US"/>
        </w:rPr>
        <w:t>A</w:t>
      </w:r>
      <w:r w:rsidR="00214130" w:rsidRPr="00D869E3">
        <w:rPr>
          <w:rFonts w:ascii="Verdana" w:hAnsi="Verdana"/>
          <w:sz w:val="20"/>
          <w:szCs w:val="20"/>
          <w:lang w:val="en-US"/>
        </w:rPr>
        <w:t>s indicated,</w:t>
      </w:r>
      <w:r w:rsidR="003C2143" w:rsidRPr="00D869E3">
        <w:rPr>
          <w:rStyle w:val="Refdenotaalpie"/>
          <w:szCs w:val="20"/>
          <w:lang w:val="en-US"/>
        </w:rPr>
        <w:footnoteReference w:id="409"/>
      </w:r>
      <w:r w:rsidR="003C2143" w:rsidRPr="00D869E3">
        <w:rPr>
          <w:rFonts w:ascii="Verdana" w:hAnsi="Verdana"/>
          <w:sz w:val="20"/>
          <w:szCs w:val="20"/>
          <w:lang w:val="en-US"/>
        </w:rPr>
        <w:t xml:space="preserve"> </w:t>
      </w:r>
      <w:r w:rsidRPr="00D869E3">
        <w:rPr>
          <w:rFonts w:ascii="Verdana" w:hAnsi="Verdana"/>
          <w:sz w:val="20"/>
          <w:szCs w:val="20"/>
          <w:lang w:val="en-US"/>
        </w:rPr>
        <w:t xml:space="preserve">the said article </w:t>
      </w:r>
      <w:r w:rsidR="003C2143" w:rsidRPr="00D869E3">
        <w:rPr>
          <w:rFonts w:ascii="Verdana" w:hAnsi="Verdana"/>
          <w:sz w:val="20"/>
          <w:szCs w:val="20"/>
          <w:lang w:val="en-US"/>
        </w:rPr>
        <w:t>establ</w:t>
      </w:r>
      <w:r w:rsidR="00214130" w:rsidRPr="00D869E3">
        <w:rPr>
          <w:rFonts w:ascii="Verdana" w:hAnsi="Verdana"/>
          <w:sz w:val="20"/>
          <w:szCs w:val="20"/>
          <w:lang w:val="en-US"/>
        </w:rPr>
        <w:t>ishes</w:t>
      </w:r>
      <w:r w:rsidR="003C2143" w:rsidRPr="00D869E3">
        <w:rPr>
          <w:rFonts w:ascii="Verdana" w:hAnsi="Verdana"/>
          <w:sz w:val="20"/>
          <w:szCs w:val="20"/>
          <w:lang w:val="en-US"/>
        </w:rPr>
        <w:t>:</w:t>
      </w:r>
    </w:p>
    <w:p w14:paraId="5145E8CC" w14:textId="77777777" w:rsidR="003C2143" w:rsidRPr="00D869E3" w:rsidRDefault="003C2143" w:rsidP="003C2143">
      <w:pPr>
        <w:jc w:val="both"/>
        <w:rPr>
          <w:rFonts w:ascii="Verdana" w:hAnsi="Verdana"/>
          <w:sz w:val="20"/>
          <w:szCs w:val="20"/>
          <w:lang w:val="en-US"/>
        </w:rPr>
      </w:pPr>
    </w:p>
    <w:p w14:paraId="0200B407" w14:textId="48C49F60" w:rsidR="003C2143" w:rsidRPr="00D869E3" w:rsidRDefault="006436CA" w:rsidP="003C2143">
      <w:pPr>
        <w:ind w:left="720" w:right="738"/>
        <w:jc w:val="both"/>
        <w:rPr>
          <w:rFonts w:ascii="Verdana" w:hAnsi="Verdana"/>
          <w:sz w:val="18"/>
          <w:szCs w:val="18"/>
          <w:lang w:val="en-US"/>
        </w:rPr>
      </w:pPr>
      <w:r w:rsidRPr="00D869E3">
        <w:rPr>
          <w:rFonts w:ascii="Verdana" w:hAnsi="Verdana"/>
          <w:sz w:val="18"/>
          <w:szCs w:val="18"/>
          <w:lang w:val="en-US"/>
        </w:rPr>
        <w:lastRenderedPageBreak/>
        <w:t>“</w:t>
      </w:r>
      <w:r w:rsidR="00214130" w:rsidRPr="00D869E3">
        <w:rPr>
          <w:rFonts w:ascii="Verdana" w:hAnsi="Verdana"/>
          <w:sz w:val="18"/>
          <w:szCs w:val="18"/>
          <w:lang w:val="en-US"/>
        </w:rPr>
        <w:t>Progressive Development</w:t>
      </w:r>
      <w:r w:rsidR="003C2143" w:rsidRPr="00D869E3">
        <w:rPr>
          <w:rFonts w:ascii="Verdana" w:hAnsi="Verdana"/>
          <w:sz w:val="18"/>
          <w:szCs w:val="18"/>
          <w:lang w:val="en-US"/>
        </w:rPr>
        <w:t xml:space="preserve">. </w:t>
      </w:r>
      <w:r w:rsidR="00214130" w:rsidRPr="00D869E3">
        <w:rPr>
          <w:rFonts w:ascii="Verdana" w:hAnsi="Verdana"/>
          <w:spacing w:val="-3"/>
          <w:sz w:val="18"/>
          <w:szCs w:val="18"/>
          <w:lang w:val="en-US"/>
        </w:rPr>
        <w:t>The States Parties undertake to adopt measures, both internally and through international cooperation, especially those of an economic and technical nature, with a view to achieving progressively, by legislation or other appropriate means</w:t>
      </w:r>
      <w:r w:rsidR="00022E44" w:rsidRPr="00D869E3">
        <w:rPr>
          <w:rFonts w:ascii="Verdana" w:hAnsi="Verdana"/>
          <w:spacing w:val="-3"/>
          <w:sz w:val="18"/>
          <w:szCs w:val="18"/>
          <w:lang w:val="en-US"/>
        </w:rPr>
        <w:t xml:space="preserve"> and subject to available resources</w:t>
      </w:r>
      <w:r w:rsidR="00214130" w:rsidRPr="00D869E3">
        <w:rPr>
          <w:rFonts w:ascii="Verdana" w:hAnsi="Verdana"/>
          <w:spacing w:val="-3"/>
          <w:sz w:val="18"/>
          <w:szCs w:val="18"/>
          <w:lang w:val="en-US"/>
        </w:rPr>
        <w:t xml:space="preserve">, the full realization of the rights </w:t>
      </w:r>
      <w:r w:rsidR="00022E44" w:rsidRPr="00D869E3">
        <w:rPr>
          <w:rFonts w:ascii="Verdana" w:hAnsi="Verdana"/>
          <w:spacing w:val="-3"/>
          <w:sz w:val="18"/>
          <w:szCs w:val="18"/>
          <w:lang w:val="en-US"/>
        </w:rPr>
        <w:t>derived from</w:t>
      </w:r>
      <w:r w:rsidR="00214130" w:rsidRPr="00D869E3">
        <w:rPr>
          <w:rFonts w:ascii="Verdana" w:hAnsi="Verdana"/>
          <w:spacing w:val="-3"/>
          <w:sz w:val="18"/>
          <w:szCs w:val="18"/>
          <w:lang w:val="en-US"/>
        </w:rPr>
        <w:t xml:space="preserve"> the economic, social, educational, scientific, and cultural standards set forth in the Charter of the Organization of American States as amended by the Protocol of Buenos Aires.</w:t>
      </w:r>
      <w:r w:rsidRPr="00D869E3">
        <w:rPr>
          <w:rFonts w:ascii="Verdana" w:hAnsi="Verdana"/>
          <w:sz w:val="18"/>
          <w:szCs w:val="18"/>
          <w:lang w:val="en-US"/>
        </w:rPr>
        <w:t>”</w:t>
      </w:r>
    </w:p>
    <w:p w14:paraId="700722D1" w14:textId="77777777" w:rsidR="003C2143" w:rsidRPr="00D869E3" w:rsidRDefault="003C2143" w:rsidP="003C2143">
      <w:pPr>
        <w:ind w:left="567"/>
        <w:jc w:val="both"/>
        <w:rPr>
          <w:rFonts w:ascii="Verdana" w:hAnsi="Verdana"/>
          <w:i/>
          <w:sz w:val="20"/>
          <w:szCs w:val="20"/>
          <w:lang w:val="en-US"/>
        </w:rPr>
      </w:pPr>
    </w:p>
    <w:p w14:paraId="5CCFA78F" w14:textId="227C0C96" w:rsidR="003C2143" w:rsidRPr="00D869E3" w:rsidRDefault="00587255" w:rsidP="003C2143">
      <w:pPr>
        <w:jc w:val="both"/>
        <w:rPr>
          <w:rFonts w:ascii="Verdana" w:hAnsi="Verdana"/>
          <w:sz w:val="20"/>
          <w:szCs w:val="20"/>
          <w:lang w:val="en-US"/>
        </w:rPr>
      </w:pPr>
      <w:r w:rsidRPr="00D869E3">
        <w:rPr>
          <w:rFonts w:ascii="Verdana" w:hAnsi="Verdana"/>
          <w:sz w:val="20"/>
          <w:szCs w:val="20"/>
          <w:lang w:val="en-US"/>
        </w:rPr>
        <w:t>In this regard, attention should be drawn to the fact that:</w:t>
      </w:r>
    </w:p>
    <w:p w14:paraId="255BFE7B" w14:textId="77777777" w:rsidR="003C2143" w:rsidRPr="00D869E3" w:rsidRDefault="003C2143" w:rsidP="003C2143">
      <w:pPr>
        <w:jc w:val="both"/>
        <w:rPr>
          <w:rFonts w:ascii="Verdana" w:hAnsi="Verdana"/>
          <w:sz w:val="20"/>
          <w:szCs w:val="20"/>
          <w:lang w:val="en-US"/>
        </w:rPr>
      </w:pPr>
    </w:p>
    <w:p w14:paraId="0DA1230E" w14:textId="75D57837" w:rsidR="00587255" w:rsidRPr="00D869E3" w:rsidRDefault="003C2143" w:rsidP="003C2143">
      <w:pPr>
        <w:jc w:val="both"/>
        <w:rPr>
          <w:rFonts w:ascii="Verdana" w:hAnsi="Verdana"/>
          <w:sz w:val="20"/>
          <w:szCs w:val="20"/>
          <w:lang w:val="en-US"/>
        </w:rPr>
      </w:pPr>
      <w:r w:rsidRPr="00D869E3">
        <w:rPr>
          <w:rFonts w:ascii="Verdana" w:hAnsi="Verdana"/>
          <w:sz w:val="20"/>
          <w:szCs w:val="20"/>
          <w:lang w:val="en-US"/>
        </w:rPr>
        <w:t>a</w:t>
      </w:r>
      <w:r w:rsidR="00022E44" w:rsidRPr="00D869E3">
        <w:rPr>
          <w:rFonts w:ascii="Verdana" w:hAnsi="Verdana"/>
          <w:sz w:val="20"/>
          <w:szCs w:val="20"/>
          <w:lang w:val="en-US"/>
        </w:rPr>
        <w:t>)</w:t>
      </w:r>
      <w:r w:rsidRPr="00D869E3">
        <w:rPr>
          <w:rFonts w:ascii="Verdana" w:hAnsi="Verdana"/>
          <w:sz w:val="20"/>
          <w:szCs w:val="20"/>
          <w:lang w:val="en-US"/>
        </w:rPr>
        <w:t xml:space="preserve"> </w:t>
      </w:r>
      <w:r w:rsidR="00587255" w:rsidRPr="00D869E3">
        <w:rPr>
          <w:rFonts w:ascii="Verdana" w:hAnsi="Verdana"/>
          <w:sz w:val="20"/>
          <w:szCs w:val="20"/>
          <w:lang w:val="en-US"/>
        </w:rPr>
        <w:t>First, this provision establishes a State obligation of action, and not of result, which is “</w:t>
      </w:r>
      <w:r w:rsidR="00587255" w:rsidRPr="00D869E3">
        <w:rPr>
          <w:rFonts w:ascii="Verdana" w:hAnsi="Verdana"/>
          <w:i/>
          <w:iCs/>
          <w:spacing w:val="-3"/>
          <w:sz w:val="20"/>
          <w:szCs w:val="20"/>
          <w:lang w:val="en-US"/>
        </w:rPr>
        <w:t>to adopt measures, both internally and through international cooperation, especially those of an economic and technical nature, with a view to achieving progressively, by legislation or other appropriate means, the full realization of the rights</w:t>
      </w:r>
      <w:r w:rsidR="001029CB" w:rsidRPr="00D869E3">
        <w:rPr>
          <w:rFonts w:ascii="Verdana" w:hAnsi="Verdana"/>
          <w:spacing w:val="-3"/>
          <w:sz w:val="20"/>
          <w:szCs w:val="20"/>
          <w:lang w:val="en-US"/>
        </w:rPr>
        <w:t>” mentioned. Thus, it does not “</w:t>
      </w:r>
      <w:r w:rsidR="001029CB" w:rsidRPr="00D869E3">
        <w:rPr>
          <w:rFonts w:ascii="Verdana" w:hAnsi="Verdana"/>
          <w:i/>
          <w:iCs/>
          <w:spacing w:val="-3"/>
          <w:sz w:val="20"/>
          <w:szCs w:val="20"/>
          <w:lang w:val="en-US"/>
        </w:rPr>
        <w:t>recognize</w:t>
      </w:r>
      <w:r w:rsidR="001029CB" w:rsidRPr="00D869E3">
        <w:rPr>
          <w:rFonts w:ascii="Verdana" w:hAnsi="Verdana"/>
          <w:spacing w:val="-3"/>
          <w:sz w:val="20"/>
          <w:szCs w:val="20"/>
          <w:lang w:val="en-US"/>
        </w:rPr>
        <w:t>” rights; rather it establishes the obligation of the States to achieve certain rights progressively, precisely because they are not fully effective.</w:t>
      </w:r>
    </w:p>
    <w:p w14:paraId="56E3D66B" w14:textId="77777777" w:rsidR="003C2143" w:rsidRPr="00D869E3" w:rsidRDefault="003C2143" w:rsidP="003C2143">
      <w:pPr>
        <w:jc w:val="both"/>
        <w:rPr>
          <w:rFonts w:ascii="Verdana" w:hAnsi="Verdana"/>
          <w:sz w:val="20"/>
          <w:szCs w:val="20"/>
          <w:lang w:val="en-US"/>
        </w:rPr>
      </w:pPr>
    </w:p>
    <w:p w14:paraId="7DA5A92C" w14:textId="5584F929"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b</w:t>
      </w:r>
      <w:r w:rsidR="00022E44" w:rsidRPr="00D869E3">
        <w:rPr>
          <w:rFonts w:ascii="Verdana" w:hAnsi="Verdana"/>
          <w:sz w:val="20"/>
          <w:szCs w:val="20"/>
          <w:lang w:val="en-US"/>
        </w:rPr>
        <w:t>)</w:t>
      </w:r>
      <w:r w:rsidRPr="00D869E3">
        <w:rPr>
          <w:rFonts w:ascii="Verdana" w:hAnsi="Verdana"/>
          <w:sz w:val="20"/>
          <w:szCs w:val="20"/>
          <w:lang w:val="en-US"/>
        </w:rPr>
        <w:t xml:space="preserve"> </w:t>
      </w:r>
      <w:r w:rsidR="001029CB" w:rsidRPr="00D869E3">
        <w:rPr>
          <w:rFonts w:ascii="Verdana" w:hAnsi="Verdana"/>
          <w:sz w:val="20"/>
          <w:szCs w:val="20"/>
          <w:lang w:val="en-US"/>
        </w:rPr>
        <w:t>Second, this provision refers to “</w:t>
      </w:r>
      <w:r w:rsidR="001029CB" w:rsidRPr="00D869E3">
        <w:rPr>
          <w:rFonts w:ascii="Verdana" w:hAnsi="Verdana"/>
          <w:i/>
          <w:iCs/>
          <w:spacing w:val="-3"/>
          <w:sz w:val="20"/>
          <w:szCs w:val="20"/>
          <w:lang w:val="en-US"/>
        </w:rPr>
        <w:t xml:space="preserve">rights </w:t>
      </w:r>
      <w:r w:rsidR="00022E44" w:rsidRPr="00D869E3">
        <w:rPr>
          <w:rFonts w:ascii="Verdana" w:hAnsi="Verdana"/>
          <w:i/>
          <w:iCs/>
          <w:spacing w:val="-3"/>
          <w:sz w:val="20"/>
          <w:szCs w:val="20"/>
          <w:lang w:val="en-US"/>
        </w:rPr>
        <w:t>derived from</w:t>
      </w:r>
      <w:r w:rsidR="00022E44" w:rsidRPr="00D869E3">
        <w:rPr>
          <w:rFonts w:ascii="Verdana" w:hAnsi="Verdana"/>
          <w:spacing w:val="-3"/>
          <w:sz w:val="18"/>
          <w:szCs w:val="18"/>
          <w:lang w:val="en-US"/>
        </w:rPr>
        <w:t xml:space="preserve"> </w:t>
      </w:r>
      <w:r w:rsidR="001029CB" w:rsidRPr="00D869E3">
        <w:rPr>
          <w:rFonts w:ascii="Verdana" w:hAnsi="Verdana"/>
          <w:i/>
          <w:iCs/>
          <w:spacing w:val="-3"/>
          <w:sz w:val="20"/>
          <w:szCs w:val="20"/>
          <w:lang w:val="en-US"/>
        </w:rPr>
        <w:t>the economic, social, educational, scientific, and cultural standards set forth in the Charter of the Organization of American States</w:t>
      </w:r>
      <w:r w:rsidR="001029CB" w:rsidRPr="00D869E3">
        <w:rPr>
          <w:rFonts w:ascii="Verdana" w:hAnsi="Verdana"/>
          <w:sz w:val="20"/>
          <w:szCs w:val="20"/>
          <w:lang w:val="en-US"/>
        </w:rPr>
        <w:t>”; in other words, rights that emanate from or can be inferred from the provisions of the latter and not that it establishes or recognizes.</w:t>
      </w:r>
    </w:p>
    <w:p w14:paraId="5758092D" w14:textId="77777777" w:rsidR="003C2143" w:rsidRPr="00D869E3" w:rsidRDefault="003C2143" w:rsidP="003C2143">
      <w:pPr>
        <w:jc w:val="both"/>
        <w:rPr>
          <w:rFonts w:ascii="Verdana" w:hAnsi="Verdana"/>
          <w:sz w:val="20"/>
          <w:szCs w:val="20"/>
          <w:lang w:val="en-US"/>
        </w:rPr>
      </w:pPr>
    </w:p>
    <w:p w14:paraId="6764D77D" w14:textId="505A4B86"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c</w:t>
      </w:r>
      <w:r w:rsidR="00022E44" w:rsidRPr="00D869E3">
        <w:rPr>
          <w:rFonts w:ascii="Verdana" w:hAnsi="Verdana"/>
          <w:sz w:val="20"/>
          <w:szCs w:val="20"/>
          <w:lang w:val="en-US"/>
        </w:rPr>
        <w:t>)</w:t>
      </w:r>
      <w:r w:rsidRPr="00D869E3">
        <w:rPr>
          <w:rFonts w:ascii="Verdana" w:hAnsi="Verdana"/>
          <w:sz w:val="20"/>
          <w:szCs w:val="20"/>
          <w:lang w:val="en-US"/>
        </w:rPr>
        <w:t xml:space="preserve"> </w:t>
      </w:r>
      <w:r w:rsidR="001029CB" w:rsidRPr="00D869E3">
        <w:rPr>
          <w:rFonts w:ascii="Verdana" w:hAnsi="Verdana"/>
          <w:sz w:val="20"/>
          <w:szCs w:val="20"/>
          <w:lang w:val="en-US"/>
        </w:rPr>
        <w:t>Third, the said provision makes compliance with this obligation of action “</w:t>
      </w:r>
      <w:r w:rsidR="001029CB" w:rsidRPr="00D869E3">
        <w:rPr>
          <w:rFonts w:ascii="Verdana" w:hAnsi="Verdana"/>
          <w:i/>
          <w:iCs/>
          <w:spacing w:val="-3"/>
          <w:sz w:val="20"/>
          <w:szCs w:val="20"/>
          <w:lang w:val="en-US"/>
        </w:rPr>
        <w:t>subject to available resources</w:t>
      </w:r>
      <w:r w:rsidR="001029CB" w:rsidRPr="00D869E3">
        <w:rPr>
          <w:rFonts w:ascii="Verdana" w:hAnsi="Verdana"/>
          <w:i/>
          <w:iCs/>
          <w:spacing w:val="-3"/>
          <w:sz w:val="18"/>
          <w:szCs w:val="18"/>
          <w:lang w:val="en-US"/>
        </w:rPr>
        <w:t xml:space="preserve">,” </w:t>
      </w:r>
      <w:r w:rsidR="001029CB" w:rsidRPr="00D869E3">
        <w:rPr>
          <w:rFonts w:ascii="Verdana" w:hAnsi="Verdana"/>
          <w:sz w:val="20"/>
          <w:szCs w:val="20"/>
          <w:lang w:val="en-US"/>
        </w:rPr>
        <w:t>which reinforces the idea that this is not an obligation of result</w:t>
      </w:r>
      <w:r w:rsidRPr="00D869E3">
        <w:rPr>
          <w:rFonts w:ascii="Verdana" w:hAnsi="Verdana"/>
          <w:sz w:val="20"/>
          <w:szCs w:val="20"/>
          <w:lang w:val="en-US"/>
        </w:rPr>
        <w:t xml:space="preserve">. </w:t>
      </w:r>
    </w:p>
    <w:p w14:paraId="22ABD5F1" w14:textId="77777777" w:rsidR="003C2143" w:rsidRPr="00D869E3" w:rsidRDefault="003C2143" w:rsidP="003C2143">
      <w:pPr>
        <w:jc w:val="both"/>
        <w:rPr>
          <w:rFonts w:ascii="Verdana" w:hAnsi="Verdana"/>
          <w:sz w:val="20"/>
          <w:szCs w:val="20"/>
          <w:lang w:val="en-US"/>
        </w:rPr>
      </w:pPr>
    </w:p>
    <w:p w14:paraId="353B37DF" w14:textId="75AFECA6"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d</w:t>
      </w:r>
      <w:r w:rsidR="00022E44" w:rsidRPr="00D869E3">
        <w:rPr>
          <w:rFonts w:ascii="Verdana" w:hAnsi="Verdana"/>
          <w:sz w:val="20"/>
          <w:szCs w:val="20"/>
          <w:lang w:val="en-US"/>
        </w:rPr>
        <w:t>)</w:t>
      </w:r>
      <w:r w:rsidRPr="00D869E3">
        <w:rPr>
          <w:rFonts w:ascii="Verdana" w:hAnsi="Verdana"/>
          <w:sz w:val="20"/>
          <w:szCs w:val="20"/>
          <w:lang w:val="en-US"/>
        </w:rPr>
        <w:t xml:space="preserve"> </w:t>
      </w:r>
      <w:r w:rsidR="001029CB" w:rsidRPr="00D869E3">
        <w:rPr>
          <w:rFonts w:ascii="Verdana" w:hAnsi="Verdana"/>
          <w:sz w:val="20"/>
          <w:szCs w:val="20"/>
          <w:lang w:val="en-US"/>
        </w:rPr>
        <w:t xml:space="preserve">And, lastly, the said </w:t>
      </w:r>
      <w:r w:rsidR="00447C65" w:rsidRPr="00D869E3">
        <w:rPr>
          <w:rFonts w:ascii="Verdana" w:hAnsi="Verdana"/>
          <w:sz w:val="20"/>
          <w:szCs w:val="20"/>
          <w:lang w:val="en-US"/>
        </w:rPr>
        <w:t>Article</w:t>
      </w:r>
      <w:r w:rsidRPr="00D869E3">
        <w:rPr>
          <w:rFonts w:ascii="Verdana" w:hAnsi="Verdana"/>
          <w:sz w:val="20"/>
          <w:szCs w:val="20"/>
          <w:lang w:val="en-US"/>
        </w:rPr>
        <w:t xml:space="preserve"> 26 indica</w:t>
      </w:r>
      <w:r w:rsidR="001029CB" w:rsidRPr="00D869E3">
        <w:rPr>
          <w:rFonts w:ascii="Verdana" w:hAnsi="Verdana"/>
          <w:sz w:val="20"/>
          <w:szCs w:val="20"/>
          <w:lang w:val="en-US"/>
        </w:rPr>
        <w:t xml:space="preserve">tes the means to comply with the obligation of action that it establishes: namely </w:t>
      </w:r>
      <w:r w:rsidR="001029CB" w:rsidRPr="00D869E3">
        <w:rPr>
          <w:rFonts w:ascii="Verdana" w:hAnsi="Verdana"/>
          <w:i/>
          <w:iCs/>
          <w:sz w:val="20"/>
          <w:szCs w:val="20"/>
          <w:lang w:val="en-US"/>
        </w:rPr>
        <w:t>“</w:t>
      </w:r>
      <w:r w:rsidR="001029CB" w:rsidRPr="00D869E3">
        <w:rPr>
          <w:rFonts w:ascii="Verdana" w:hAnsi="Verdana"/>
          <w:i/>
          <w:iCs/>
          <w:spacing w:val="-3"/>
          <w:sz w:val="20"/>
          <w:szCs w:val="20"/>
          <w:lang w:val="en-US"/>
        </w:rPr>
        <w:t>by legislation or other appropriate means</w:t>
      </w:r>
      <w:r w:rsidR="001029CB" w:rsidRPr="00D869E3">
        <w:rPr>
          <w:rFonts w:ascii="Verdana" w:hAnsi="Verdana"/>
          <w:spacing w:val="-3"/>
          <w:sz w:val="18"/>
          <w:szCs w:val="18"/>
          <w:lang w:val="en-US"/>
        </w:rPr>
        <w:t xml:space="preserve">.” </w:t>
      </w:r>
      <w:r w:rsidR="001029CB" w:rsidRPr="00D869E3">
        <w:rPr>
          <w:rFonts w:ascii="Verdana" w:hAnsi="Verdana"/>
          <w:sz w:val="20"/>
          <w:szCs w:val="20"/>
          <w:lang w:val="en-US"/>
        </w:rPr>
        <w:t xml:space="preserve">Thus </w:t>
      </w:r>
      <w:r w:rsidR="00022E44" w:rsidRPr="00D869E3">
        <w:rPr>
          <w:rFonts w:ascii="Verdana" w:hAnsi="Verdana"/>
          <w:sz w:val="20"/>
          <w:szCs w:val="20"/>
          <w:lang w:val="en-US"/>
        </w:rPr>
        <w:t xml:space="preserve">– </w:t>
      </w:r>
      <w:r w:rsidR="001029CB" w:rsidRPr="00D869E3">
        <w:rPr>
          <w:rFonts w:ascii="Verdana" w:hAnsi="Verdana"/>
          <w:sz w:val="20"/>
          <w:szCs w:val="20"/>
          <w:lang w:val="en-US"/>
        </w:rPr>
        <w:t>and as it</w:t>
      </w:r>
      <w:r w:rsidR="00022E44" w:rsidRPr="00D869E3">
        <w:rPr>
          <w:rFonts w:ascii="Verdana" w:hAnsi="Verdana"/>
          <w:sz w:val="20"/>
          <w:szCs w:val="20"/>
          <w:lang w:val="en-US"/>
        </w:rPr>
        <w:t>s</w:t>
      </w:r>
      <w:r w:rsidR="001029CB" w:rsidRPr="00D869E3">
        <w:rPr>
          <w:rFonts w:ascii="Verdana" w:hAnsi="Verdana"/>
          <w:sz w:val="20"/>
          <w:szCs w:val="20"/>
          <w:lang w:val="en-US"/>
        </w:rPr>
        <w:t xml:space="preserve"> title indicates – the article refers to the “</w:t>
      </w:r>
      <w:r w:rsidR="001029CB" w:rsidRPr="00D869E3">
        <w:rPr>
          <w:rFonts w:ascii="Verdana" w:hAnsi="Verdana"/>
          <w:i/>
          <w:iCs/>
          <w:sz w:val="20"/>
          <w:szCs w:val="20"/>
          <w:lang w:val="en-US"/>
        </w:rPr>
        <w:t>Progressive Development</w:t>
      </w:r>
      <w:r w:rsidR="001029CB" w:rsidRPr="00D869E3">
        <w:rPr>
          <w:rFonts w:ascii="Verdana" w:hAnsi="Verdana"/>
          <w:sz w:val="20"/>
          <w:szCs w:val="20"/>
          <w:lang w:val="en-US"/>
        </w:rPr>
        <w:t>” of the said rights which</w:t>
      </w:r>
      <w:r w:rsidR="00022E44" w:rsidRPr="00D869E3">
        <w:rPr>
          <w:rFonts w:ascii="Verdana" w:hAnsi="Verdana"/>
          <w:sz w:val="20"/>
          <w:szCs w:val="20"/>
          <w:lang w:val="en-US"/>
        </w:rPr>
        <w:t>,</w:t>
      </w:r>
      <w:r w:rsidR="001029CB" w:rsidRPr="00D869E3">
        <w:rPr>
          <w:rFonts w:ascii="Verdana" w:hAnsi="Verdana"/>
          <w:sz w:val="20"/>
          <w:szCs w:val="20"/>
          <w:lang w:val="en-US"/>
        </w:rPr>
        <w:t xml:space="preserve"> </w:t>
      </w:r>
      <w:r w:rsidR="00CF7C9C" w:rsidRPr="00D869E3">
        <w:rPr>
          <w:rFonts w:ascii="Verdana" w:hAnsi="Verdana"/>
          <w:sz w:val="20"/>
          <w:szCs w:val="20"/>
          <w:lang w:val="en-US"/>
        </w:rPr>
        <w:t xml:space="preserve">although it concurs with the obligation established in </w:t>
      </w:r>
      <w:r w:rsidR="00447C65" w:rsidRPr="00D869E3">
        <w:rPr>
          <w:rFonts w:ascii="Verdana" w:hAnsi="Verdana"/>
          <w:sz w:val="20"/>
          <w:szCs w:val="20"/>
          <w:lang w:val="en-US"/>
        </w:rPr>
        <w:t>Article</w:t>
      </w:r>
      <w:r w:rsidRPr="00D869E3">
        <w:rPr>
          <w:rFonts w:ascii="Verdana" w:hAnsi="Verdana"/>
          <w:sz w:val="20"/>
          <w:szCs w:val="20"/>
          <w:lang w:val="en-US"/>
        </w:rPr>
        <w:t xml:space="preserve"> 2</w:t>
      </w:r>
      <w:r w:rsidR="00447C65" w:rsidRPr="00D869E3">
        <w:rPr>
          <w:rFonts w:ascii="Verdana" w:hAnsi="Verdana"/>
          <w:sz w:val="20"/>
          <w:szCs w:val="20"/>
          <w:lang w:val="en-US"/>
        </w:rPr>
        <w:t xml:space="preserve"> of the Convention</w:t>
      </w:r>
      <w:r w:rsidR="00CF7C9C" w:rsidRPr="00D869E3">
        <w:rPr>
          <w:rFonts w:ascii="Verdana" w:hAnsi="Verdana"/>
          <w:sz w:val="20"/>
          <w:szCs w:val="20"/>
          <w:lang w:val="en-US"/>
        </w:rPr>
        <w:t>,</w:t>
      </w:r>
      <w:r w:rsidRPr="00D869E3">
        <w:rPr>
          <w:rStyle w:val="Refdenotaalpie"/>
          <w:szCs w:val="20"/>
          <w:lang w:val="en-US"/>
        </w:rPr>
        <w:footnoteReference w:id="410"/>
      </w:r>
      <w:r w:rsidR="00CF7C9C" w:rsidRPr="00D869E3">
        <w:rPr>
          <w:rFonts w:ascii="Verdana" w:hAnsi="Verdana"/>
          <w:sz w:val="20"/>
          <w:szCs w:val="20"/>
          <w:lang w:val="en-US"/>
        </w:rPr>
        <w:t xml:space="preserve"> </w:t>
      </w:r>
      <w:r w:rsidR="00022E44" w:rsidRPr="00D869E3">
        <w:rPr>
          <w:rFonts w:ascii="Verdana" w:hAnsi="Verdana"/>
          <w:sz w:val="20"/>
          <w:szCs w:val="20"/>
          <w:lang w:val="en-US"/>
        </w:rPr>
        <w:t xml:space="preserve">evidently </w:t>
      </w:r>
      <w:r w:rsidR="00CF7C9C" w:rsidRPr="00D869E3">
        <w:rPr>
          <w:rFonts w:ascii="Verdana" w:hAnsi="Verdana"/>
          <w:sz w:val="20"/>
          <w:szCs w:val="20"/>
          <w:lang w:val="en-US"/>
        </w:rPr>
        <w:t>does not constitute, in any way, grounds for asserting that it is possible to submit a case to the Court that involves the presumed violation of any of the rights to which the article refers.</w:t>
      </w:r>
    </w:p>
    <w:p w14:paraId="3BDB3E21" w14:textId="77777777" w:rsidR="003C2143" w:rsidRPr="00D869E3" w:rsidRDefault="003C2143" w:rsidP="003C2143">
      <w:pPr>
        <w:jc w:val="both"/>
        <w:rPr>
          <w:rFonts w:ascii="Verdana" w:hAnsi="Verdana"/>
          <w:sz w:val="20"/>
          <w:szCs w:val="20"/>
          <w:lang w:val="en-US"/>
        </w:rPr>
      </w:pPr>
    </w:p>
    <w:p w14:paraId="64EB42D7" w14:textId="242B34EA" w:rsidR="003C2143" w:rsidRPr="00D869E3" w:rsidRDefault="00CF7C9C" w:rsidP="003C2143">
      <w:pPr>
        <w:jc w:val="both"/>
        <w:rPr>
          <w:rFonts w:ascii="Verdana" w:hAnsi="Verdana"/>
          <w:sz w:val="20"/>
          <w:szCs w:val="20"/>
          <w:lang w:val="en-US"/>
        </w:rPr>
      </w:pPr>
      <w:r w:rsidRPr="00D869E3">
        <w:rPr>
          <w:rFonts w:ascii="Verdana" w:hAnsi="Verdana"/>
          <w:sz w:val="20"/>
          <w:szCs w:val="20"/>
          <w:lang w:val="en-US"/>
        </w:rPr>
        <w:t xml:space="preserve">Consequently, it is </w:t>
      </w:r>
      <w:r w:rsidR="00022E44" w:rsidRPr="00D869E3">
        <w:rPr>
          <w:rFonts w:ascii="Verdana" w:hAnsi="Verdana"/>
          <w:sz w:val="20"/>
          <w:szCs w:val="20"/>
          <w:lang w:val="en-US"/>
        </w:rPr>
        <w:t>plain</w:t>
      </w:r>
      <w:r w:rsidRPr="00D869E3">
        <w:rPr>
          <w:rFonts w:ascii="Verdana" w:hAnsi="Verdana"/>
          <w:sz w:val="20"/>
          <w:szCs w:val="20"/>
          <w:lang w:val="en-US"/>
        </w:rPr>
        <w:t xml:space="preserve"> that the said rights are different from those regulated by the Convention in its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s 3 </w:t>
      </w:r>
      <w:r w:rsidRPr="00D869E3">
        <w:rPr>
          <w:rFonts w:ascii="Verdana" w:hAnsi="Verdana"/>
          <w:sz w:val="20"/>
          <w:szCs w:val="20"/>
          <w:lang w:val="en-US"/>
        </w:rPr>
        <w:t>to</w:t>
      </w:r>
      <w:r w:rsidR="003C2143" w:rsidRPr="00D869E3">
        <w:rPr>
          <w:rFonts w:ascii="Verdana" w:hAnsi="Verdana"/>
          <w:sz w:val="20"/>
          <w:szCs w:val="20"/>
          <w:lang w:val="en-US"/>
        </w:rPr>
        <w:t xml:space="preserve"> 25 </w:t>
      </w:r>
      <w:r w:rsidRPr="00D869E3">
        <w:rPr>
          <w:rFonts w:ascii="Verdana" w:hAnsi="Verdana"/>
          <w:sz w:val="20"/>
          <w:szCs w:val="20"/>
          <w:lang w:val="en-US"/>
        </w:rPr>
        <w:t xml:space="preserve">cited above – that is the </w:t>
      </w:r>
      <w:r w:rsidR="006436CA" w:rsidRPr="00D869E3">
        <w:rPr>
          <w:rFonts w:ascii="Verdana" w:hAnsi="Verdana"/>
          <w:sz w:val="20"/>
          <w:szCs w:val="20"/>
          <w:lang w:val="en-US"/>
        </w:rPr>
        <w:t>“</w:t>
      </w:r>
      <w:r w:rsidRPr="00D869E3">
        <w:rPr>
          <w:rFonts w:ascii="Verdana" w:hAnsi="Verdana"/>
          <w:i/>
          <w:sz w:val="20"/>
          <w:szCs w:val="20"/>
          <w:lang w:val="en-US"/>
        </w:rPr>
        <w:t>c</w:t>
      </w:r>
      <w:r w:rsidR="003C2143" w:rsidRPr="00D869E3">
        <w:rPr>
          <w:rFonts w:ascii="Verdana" w:hAnsi="Verdana"/>
          <w:i/>
          <w:sz w:val="20"/>
          <w:szCs w:val="20"/>
          <w:lang w:val="en-US"/>
        </w:rPr>
        <w:t>ivil</w:t>
      </w:r>
      <w:r w:rsidRPr="00D869E3">
        <w:rPr>
          <w:rFonts w:ascii="Verdana" w:hAnsi="Verdana"/>
          <w:i/>
          <w:sz w:val="20"/>
          <w:szCs w:val="20"/>
          <w:lang w:val="en-US"/>
        </w:rPr>
        <w:t xml:space="preserve"> and political rights” </w:t>
      </w:r>
      <w:r w:rsidRPr="00D869E3">
        <w:rPr>
          <w:rFonts w:ascii="Verdana" w:hAnsi="Verdana"/>
          <w:sz w:val="20"/>
          <w:szCs w:val="20"/>
          <w:lang w:val="en-US"/>
        </w:rPr>
        <w:t>– and are therefore subject to a different protection regime.</w:t>
      </w:r>
    </w:p>
    <w:p w14:paraId="30701D8E" w14:textId="77777777" w:rsidR="003C2143" w:rsidRPr="00D869E3" w:rsidRDefault="003C2143" w:rsidP="003C2143">
      <w:pPr>
        <w:jc w:val="both"/>
        <w:rPr>
          <w:rFonts w:ascii="Verdana" w:hAnsi="Verdana"/>
          <w:sz w:val="20"/>
          <w:szCs w:val="20"/>
          <w:lang w:val="en-US"/>
        </w:rPr>
      </w:pPr>
    </w:p>
    <w:p w14:paraId="582A9631" w14:textId="7F3A50FF" w:rsidR="003C2143" w:rsidRPr="00D869E3" w:rsidRDefault="00197983" w:rsidP="003C2143">
      <w:pPr>
        <w:pStyle w:val="Prrafodelista"/>
        <w:numPr>
          <w:ilvl w:val="0"/>
          <w:numId w:val="31"/>
        </w:numPr>
        <w:jc w:val="both"/>
        <w:rPr>
          <w:rFonts w:ascii="Verdana" w:hAnsi="Verdana"/>
          <w:b/>
          <w:sz w:val="20"/>
          <w:szCs w:val="20"/>
          <w:lang w:val="en-US"/>
        </w:rPr>
      </w:pPr>
      <w:r w:rsidRPr="00D869E3">
        <w:rPr>
          <w:rFonts w:ascii="Verdana" w:hAnsi="Verdana"/>
          <w:b/>
          <w:sz w:val="20"/>
          <w:szCs w:val="20"/>
          <w:lang w:val="en-US"/>
        </w:rPr>
        <w:t>Preparatory work</w:t>
      </w:r>
      <w:r w:rsidR="003C2143" w:rsidRPr="00D869E3">
        <w:rPr>
          <w:rStyle w:val="Refdenotaalpie"/>
          <w:b/>
          <w:szCs w:val="20"/>
          <w:lang w:val="en-US"/>
        </w:rPr>
        <w:footnoteReference w:id="411"/>
      </w:r>
    </w:p>
    <w:p w14:paraId="74D0CC2F" w14:textId="77777777" w:rsidR="003C2143" w:rsidRPr="00D869E3" w:rsidRDefault="003C2143" w:rsidP="003C2143">
      <w:pPr>
        <w:jc w:val="both"/>
        <w:rPr>
          <w:rFonts w:ascii="Verdana" w:hAnsi="Verdana"/>
          <w:b/>
          <w:sz w:val="20"/>
          <w:szCs w:val="20"/>
          <w:lang w:val="en-US"/>
        </w:rPr>
      </w:pPr>
    </w:p>
    <w:p w14:paraId="6A053284" w14:textId="10290063" w:rsidR="009F10B0" w:rsidRPr="00D869E3" w:rsidRDefault="009F10B0" w:rsidP="003C2143">
      <w:pPr>
        <w:jc w:val="both"/>
        <w:rPr>
          <w:rFonts w:ascii="Verdana" w:hAnsi="Verdana"/>
          <w:i/>
          <w:sz w:val="20"/>
          <w:szCs w:val="20"/>
          <w:lang w:val="en-US"/>
        </w:rPr>
      </w:pPr>
      <w:r w:rsidRPr="00D869E3">
        <w:rPr>
          <w:rFonts w:ascii="Verdana" w:hAnsi="Verdana"/>
          <w:sz w:val="20"/>
          <w:szCs w:val="20"/>
          <w:lang w:val="en-US"/>
        </w:rPr>
        <w:t xml:space="preserve">It should be noted that </w:t>
      </w:r>
      <w:r w:rsidR="00022E44" w:rsidRPr="00D869E3">
        <w:rPr>
          <w:rFonts w:ascii="Verdana" w:hAnsi="Verdana"/>
          <w:sz w:val="20"/>
          <w:szCs w:val="20"/>
          <w:lang w:val="en-US"/>
        </w:rPr>
        <w:t xml:space="preserve">during </w:t>
      </w:r>
      <w:r w:rsidRPr="00D869E3">
        <w:rPr>
          <w:rFonts w:ascii="Verdana" w:hAnsi="Verdana"/>
          <w:sz w:val="20"/>
          <w:szCs w:val="20"/>
          <w:lang w:val="en-US"/>
        </w:rPr>
        <w:t>the Specialized Inter-American Conference on Human Rights at which the final text of the Convention was adopted, “</w:t>
      </w:r>
      <w:r w:rsidRPr="00D869E3">
        <w:rPr>
          <w:rFonts w:ascii="Verdana" w:hAnsi="Verdana"/>
          <w:i/>
          <w:iCs/>
          <w:sz w:val="20"/>
          <w:szCs w:val="20"/>
          <w:lang w:val="en-US"/>
        </w:rPr>
        <w:t xml:space="preserve">[f]ollowing some discussions in which some of the previous positions were reiterated without reaching a consensus and, in none of </w:t>
      </w:r>
      <w:r w:rsidR="00022E44" w:rsidRPr="00D869E3">
        <w:rPr>
          <w:rFonts w:ascii="Verdana" w:hAnsi="Verdana"/>
          <w:i/>
          <w:iCs/>
          <w:sz w:val="20"/>
          <w:szCs w:val="20"/>
          <w:lang w:val="en-US"/>
        </w:rPr>
        <w:t>which</w:t>
      </w:r>
      <w:r w:rsidRPr="00D869E3">
        <w:rPr>
          <w:rFonts w:ascii="Verdana" w:hAnsi="Verdana"/>
          <w:i/>
          <w:iCs/>
          <w:sz w:val="20"/>
          <w:szCs w:val="20"/>
          <w:lang w:val="en-US"/>
        </w:rPr>
        <w:t>, it was proposed to include the</w:t>
      </w:r>
      <w:r w:rsidRPr="00D869E3">
        <w:rPr>
          <w:rFonts w:ascii="Verdana" w:hAnsi="Verdana"/>
          <w:sz w:val="20"/>
          <w:szCs w:val="20"/>
          <w:lang w:val="en-US"/>
        </w:rPr>
        <w:t xml:space="preserve"> </w:t>
      </w:r>
      <w:r w:rsidR="00ED3FC7" w:rsidRPr="00D869E3">
        <w:rPr>
          <w:rFonts w:ascii="Verdana" w:hAnsi="Verdana"/>
          <w:i/>
          <w:sz w:val="20"/>
          <w:szCs w:val="20"/>
          <w:lang w:val="en-US"/>
        </w:rPr>
        <w:t>economic, social and cultural rights</w:t>
      </w:r>
      <w:r w:rsidR="003C2143" w:rsidRPr="00D869E3">
        <w:rPr>
          <w:rFonts w:ascii="Verdana" w:hAnsi="Verdana"/>
          <w:i/>
          <w:sz w:val="20"/>
          <w:szCs w:val="20"/>
          <w:lang w:val="en-US"/>
        </w:rPr>
        <w:t xml:space="preserve"> </w:t>
      </w:r>
      <w:r w:rsidRPr="00D869E3">
        <w:rPr>
          <w:rFonts w:ascii="Verdana" w:hAnsi="Verdana"/>
          <w:i/>
          <w:sz w:val="20"/>
          <w:szCs w:val="20"/>
          <w:lang w:val="en-US"/>
        </w:rPr>
        <w:t>in the protection regime established for the civil and political rights, a chapter was drafted with two articles.</w:t>
      </w:r>
      <w:r w:rsidR="006436CA" w:rsidRPr="00D869E3">
        <w:rPr>
          <w:rFonts w:ascii="Verdana" w:hAnsi="Verdana"/>
          <w:sz w:val="20"/>
          <w:szCs w:val="20"/>
          <w:lang w:val="en-US"/>
        </w:rPr>
        <w:t>”</w:t>
      </w:r>
      <w:r w:rsidR="003C2143" w:rsidRPr="00D869E3">
        <w:rPr>
          <w:rStyle w:val="Refdenotaalpie"/>
          <w:szCs w:val="20"/>
          <w:lang w:val="en-US"/>
        </w:rPr>
        <w:footnoteReference w:id="412"/>
      </w:r>
      <w:r w:rsidRPr="00D869E3">
        <w:rPr>
          <w:rFonts w:ascii="Verdana" w:hAnsi="Verdana"/>
          <w:sz w:val="20"/>
          <w:szCs w:val="20"/>
          <w:lang w:val="en-US"/>
        </w:rPr>
        <w:t xml:space="preserve"> </w:t>
      </w:r>
      <w:r w:rsidR="0078053A" w:rsidRPr="00D869E3">
        <w:rPr>
          <w:rFonts w:ascii="Verdana" w:hAnsi="Verdana"/>
          <w:sz w:val="20"/>
          <w:szCs w:val="20"/>
          <w:lang w:val="en-US"/>
        </w:rPr>
        <w:t xml:space="preserve">As </w:t>
      </w:r>
      <w:r w:rsidR="0078053A" w:rsidRPr="00D869E3">
        <w:rPr>
          <w:rFonts w:ascii="Verdana" w:hAnsi="Verdana"/>
          <w:sz w:val="20"/>
          <w:szCs w:val="20"/>
          <w:lang w:val="en-US"/>
        </w:rPr>
        <w:lastRenderedPageBreak/>
        <w:t>a result of</w:t>
      </w:r>
      <w:r w:rsidRPr="00D869E3">
        <w:rPr>
          <w:rFonts w:ascii="Verdana" w:hAnsi="Verdana"/>
          <w:sz w:val="20"/>
          <w:szCs w:val="20"/>
          <w:lang w:val="en-US"/>
        </w:rPr>
        <w:t xml:space="preserve"> the </w:t>
      </w:r>
      <w:r w:rsidR="006B7F68" w:rsidRPr="00D869E3">
        <w:rPr>
          <w:rFonts w:ascii="Verdana" w:hAnsi="Verdana"/>
          <w:sz w:val="20"/>
          <w:szCs w:val="20"/>
          <w:lang w:val="en-US"/>
        </w:rPr>
        <w:t>respective</w:t>
      </w:r>
      <w:r w:rsidRPr="00D869E3">
        <w:rPr>
          <w:rFonts w:ascii="Verdana" w:hAnsi="Verdana"/>
          <w:sz w:val="20"/>
          <w:szCs w:val="20"/>
          <w:lang w:val="en-US"/>
        </w:rPr>
        <w:t xml:space="preserve"> vote, the first was included in the final text </w:t>
      </w:r>
      <w:r w:rsidR="00447C65" w:rsidRPr="00D869E3">
        <w:rPr>
          <w:rFonts w:ascii="Verdana" w:hAnsi="Verdana"/>
          <w:sz w:val="20"/>
          <w:szCs w:val="20"/>
          <w:lang w:val="en-US"/>
        </w:rPr>
        <w:t>of the Convention</w:t>
      </w:r>
      <w:r w:rsidR="003C2143" w:rsidRPr="00D869E3">
        <w:rPr>
          <w:rFonts w:ascii="Verdana" w:hAnsi="Verdana"/>
          <w:sz w:val="20"/>
          <w:szCs w:val="20"/>
          <w:lang w:val="en-US"/>
        </w:rPr>
        <w:t xml:space="preserve">, </w:t>
      </w:r>
      <w:r w:rsidRPr="00D869E3">
        <w:rPr>
          <w:rFonts w:ascii="Verdana" w:hAnsi="Verdana"/>
          <w:sz w:val="20"/>
          <w:szCs w:val="20"/>
          <w:lang w:val="en-US"/>
        </w:rPr>
        <w:t>as</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Pr="00D869E3">
        <w:rPr>
          <w:rFonts w:ascii="Verdana" w:hAnsi="Verdana"/>
          <w:sz w:val="20"/>
          <w:szCs w:val="20"/>
          <w:lang w:val="en-US"/>
        </w:rPr>
        <w:t xml:space="preserve"> The</w:t>
      </w:r>
      <w:r w:rsidR="003C2143" w:rsidRPr="00D869E3">
        <w:rPr>
          <w:rFonts w:ascii="Verdana" w:hAnsi="Verdana"/>
          <w:sz w:val="20"/>
          <w:szCs w:val="20"/>
          <w:lang w:val="en-US"/>
        </w:rPr>
        <w:t xml:space="preserve"> </w:t>
      </w:r>
      <w:r w:rsidRPr="00D869E3">
        <w:rPr>
          <w:rFonts w:ascii="Verdana" w:hAnsi="Verdana"/>
          <w:sz w:val="20"/>
          <w:szCs w:val="20"/>
          <w:lang w:val="en-US"/>
        </w:rPr>
        <w:t>s</w:t>
      </w:r>
      <w:r w:rsidR="00DB128C" w:rsidRPr="00D869E3">
        <w:rPr>
          <w:rFonts w:ascii="Verdana" w:hAnsi="Verdana"/>
          <w:sz w:val="20"/>
          <w:szCs w:val="20"/>
          <w:lang w:val="en-US"/>
        </w:rPr>
        <w:t>econd</w:t>
      </w:r>
      <w:r w:rsidR="003C2143" w:rsidRPr="00D869E3">
        <w:rPr>
          <w:rFonts w:ascii="Verdana" w:hAnsi="Verdana"/>
          <w:sz w:val="20"/>
          <w:szCs w:val="20"/>
          <w:lang w:val="en-US"/>
        </w:rPr>
        <w:t xml:space="preserve">, </w:t>
      </w:r>
      <w:r w:rsidRPr="00D869E3">
        <w:rPr>
          <w:rFonts w:ascii="Verdana" w:hAnsi="Verdana"/>
          <w:sz w:val="20"/>
          <w:szCs w:val="20"/>
          <w:lang w:val="en-US"/>
        </w:rPr>
        <w:t>which would have been</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27, establ</w:t>
      </w:r>
      <w:r w:rsidRPr="00D869E3">
        <w:rPr>
          <w:rFonts w:ascii="Verdana" w:hAnsi="Verdana"/>
          <w:sz w:val="20"/>
          <w:szCs w:val="20"/>
          <w:lang w:val="en-US"/>
        </w:rPr>
        <w:t>ished</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C2143" w:rsidRPr="00D869E3">
        <w:rPr>
          <w:rFonts w:ascii="Verdana" w:hAnsi="Verdana"/>
          <w:i/>
          <w:sz w:val="20"/>
          <w:szCs w:val="20"/>
          <w:lang w:val="en-US"/>
        </w:rPr>
        <w:t>Control</w:t>
      </w:r>
      <w:r w:rsidRPr="00D869E3">
        <w:rPr>
          <w:rFonts w:ascii="Verdana" w:hAnsi="Verdana"/>
          <w:i/>
          <w:sz w:val="20"/>
          <w:szCs w:val="20"/>
          <w:lang w:val="en-US"/>
        </w:rPr>
        <w:t xml:space="preserve"> of Compliance with Obligations. </w:t>
      </w:r>
      <w:r w:rsidR="003C2143" w:rsidRPr="00D869E3">
        <w:rPr>
          <w:rFonts w:ascii="Verdana" w:hAnsi="Verdana"/>
          <w:i/>
          <w:sz w:val="20"/>
          <w:szCs w:val="20"/>
          <w:lang w:val="en-US"/>
        </w:rPr>
        <w:t xml:space="preserve"> </w:t>
      </w:r>
      <w:r w:rsidRPr="00D869E3">
        <w:rPr>
          <w:rFonts w:ascii="Verdana" w:hAnsi="Verdana"/>
          <w:i/>
          <w:sz w:val="20"/>
          <w:szCs w:val="20"/>
          <w:lang w:val="en-US"/>
        </w:rPr>
        <w:t>The</w:t>
      </w:r>
      <w:r w:rsidR="003C2143" w:rsidRPr="00D869E3">
        <w:rPr>
          <w:rFonts w:ascii="Verdana" w:hAnsi="Verdana"/>
          <w:i/>
          <w:sz w:val="20"/>
          <w:szCs w:val="20"/>
          <w:lang w:val="en-US"/>
        </w:rPr>
        <w:t xml:space="preserve"> </w:t>
      </w:r>
      <w:r w:rsidR="00B443B4" w:rsidRPr="00D869E3">
        <w:rPr>
          <w:rFonts w:ascii="Verdana" w:hAnsi="Verdana"/>
          <w:i/>
          <w:sz w:val="20"/>
          <w:szCs w:val="20"/>
          <w:lang w:val="en-US"/>
        </w:rPr>
        <w:t>States Parties</w:t>
      </w:r>
      <w:r w:rsidR="003C2143" w:rsidRPr="00D869E3">
        <w:rPr>
          <w:rFonts w:ascii="Verdana" w:hAnsi="Verdana"/>
          <w:i/>
          <w:sz w:val="20"/>
          <w:szCs w:val="20"/>
          <w:lang w:val="en-US"/>
        </w:rPr>
        <w:t xml:space="preserve"> </w:t>
      </w:r>
      <w:r w:rsidRPr="00D869E3">
        <w:rPr>
          <w:rFonts w:ascii="Verdana" w:hAnsi="Verdana"/>
          <w:i/>
          <w:sz w:val="20"/>
          <w:szCs w:val="20"/>
          <w:lang w:val="en-US"/>
        </w:rPr>
        <w:t xml:space="preserve">shall forward </w:t>
      </w:r>
      <w:r w:rsidR="00447C65" w:rsidRPr="00D869E3">
        <w:rPr>
          <w:rFonts w:ascii="Verdana" w:hAnsi="Verdana"/>
          <w:i/>
          <w:sz w:val="20"/>
          <w:szCs w:val="20"/>
          <w:lang w:val="en-US"/>
        </w:rPr>
        <w:t>the Inter-American Commission on Human Rights</w:t>
      </w:r>
      <w:r w:rsidR="003C2143" w:rsidRPr="00D869E3">
        <w:rPr>
          <w:rFonts w:ascii="Verdana" w:hAnsi="Verdana"/>
          <w:i/>
          <w:sz w:val="20"/>
          <w:szCs w:val="20"/>
          <w:lang w:val="en-US"/>
        </w:rPr>
        <w:t xml:space="preserve"> </w:t>
      </w:r>
      <w:r w:rsidRPr="00D869E3">
        <w:rPr>
          <w:rFonts w:ascii="Verdana" w:hAnsi="Verdana"/>
          <w:i/>
          <w:sz w:val="20"/>
          <w:szCs w:val="20"/>
          <w:lang w:val="en-US"/>
        </w:rPr>
        <w:t xml:space="preserve">a copy of the reports that, in their respective areas, the Executive Committees of the Inter-American Economic and Social Council and the Inter-American Council for Education, Science and Culture submit each year so that the Commission may verify compliance with the preceding obligations, that are essential for the exercise of the other rights established in this Convention.” </w:t>
      </w:r>
    </w:p>
    <w:p w14:paraId="7D82210E" w14:textId="77777777" w:rsidR="003C2143" w:rsidRPr="00D869E3" w:rsidRDefault="003C2143" w:rsidP="003C2143">
      <w:pPr>
        <w:jc w:val="both"/>
        <w:rPr>
          <w:rFonts w:ascii="Verdana" w:hAnsi="Verdana"/>
          <w:sz w:val="20"/>
          <w:szCs w:val="20"/>
          <w:lang w:val="en-US"/>
        </w:rPr>
      </w:pPr>
    </w:p>
    <w:p w14:paraId="043B06EF" w14:textId="773C1D0D" w:rsidR="003C2143" w:rsidRPr="00D869E3" w:rsidRDefault="009F10B0" w:rsidP="003C2143">
      <w:pPr>
        <w:jc w:val="both"/>
        <w:rPr>
          <w:rFonts w:ascii="Verdana" w:hAnsi="Verdana"/>
          <w:sz w:val="20"/>
          <w:szCs w:val="20"/>
          <w:lang w:val="en-US"/>
        </w:rPr>
      </w:pPr>
      <w:r w:rsidRPr="00D869E3">
        <w:rPr>
          <w:rFonts w:ascii="Verdana" w:hAnsi="Verdana"/>
          <w:sz w:val="20"/>
          <w:szCs w:val="20"/>
          <w:lang w:val="en-US"/>
        </w:rPr>
        <w:t xml:space="preserve">It should be noted that the proposal </w:t>
      </w:r>
      <w:r w:rsidR="006C4F05" w:rsidRPr="00D869E3">
        <w:rPr>
          <w:rFonts w:ascii="Verdana" w:hAnsi="Verdana"/>
          <w:sz w:val="20"/>
          <w:szCs w:val="20"/>
          <w:lang w:val="en-US"/>
        </w:rPr>
        <w:t xml:space="preserve">for </w:t>
      </w:r>
      <w:r w:rsidRPr="00D869E3">
        <w:rPr>
          <w:rFonts w:ascii="Verdana" w:hAnsi="Verdana"/>
          <w:sz w:val="20"/>
          <w:szCs w:val="20"/>
          <w:lang w:val="en-US"/>
        </w:rPr>
        <w:t xml:space="preserve">the </w:t>
      </w:r>
      <w:r w:rsidR="006C4F05" w:rsidRPr="00D869E3">
        <w:rPr>
          <w:rFonts w:ascii="Verdana" w:hAnsi="Verdana"/>
          <w:sz w:val="20"/>
          <w:szCs w:val="20"/>
          <w:lang w:val="en-US"/>
        </w:rPr>
        <w:t xml:space="preserve">said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27 disting</w:t>
      </w:r>
      <w:r w:rsidR="006C4F05" w:rsidRPr="00D869E3">
        <w:rPr>
          <w:rFonts w:ascii="Verdana" w:hAnsi="Verdana"/>
          <w:sz w:val="20"/>
          <w:szCs w:val="20"/>
          <w:lang w:val="en-US"/>
        </w:rPr>
        <w:t>uished between “</w:t>
      </w:r>
      <w:r w:rsidR="006C4F05" w:rsidRPr="00D869E3">
        <w:rPr>
          <w:rFonts w:ascii="Verdana" w:hAnsi="Verdana"/>
          <w:i/>
          <w:iCs/>
          <w:sz w:val="20"/>
          <w:szCs w:val="20"/>
          <w:lang w:val="en-US"/>
        </w:rPr>
        <w:t>the preceding obligations,</w:t>
      </w:r>
      <w:r w:rsidR="006436CA" w:rsidRPr="00D869E3">
        <w:rPr>
          <w:rFonts w:ascii="Verdana" w:hAnsi="Verdana"/>
          <w:i/>
          <w:iCs/>
          <w:sz w:val="20"/>
          <w:szCs w:val="20"/>
          <w:lang w:val="en-US"/>
        </w:rPr>
        <w:t>”</w:t>
      </w:r>
      <w:r w:rsidR="003C2143" w:rsidRPr="00D869E3">
        <w:rPr>
          <w:rFonts w:ascii="Verdana" w:hAnsi="Verdana"/>
          <w:sz w:val="20"/>
          <w:szCs w:val="20"/>
          <w:lang w:val="en-US"/>
        </w:rPr>
        <w:t xml:space="preserve"> obvi</w:t>
      </w:r>
      <w:r w:rsidR="006C4F05" w:rsidRPr="00D869E3">
        <w:rPr>
          <w:rFonts w:ascii="Verdana" w:hAnsi="Verdana"/>
          <w:sz w:val="20"/>
          <w:szCs w:val="20"/>
          <w:lang w:val="en-US"/>
        </w:rPr>
        <w:t>ously in</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687684" w:rsidRPr="00D869E3">
        <w:rPr>
          <w:rFonts w:ascii="Verdana" w:hAnsi="Verdana"/>
          <w:sz w:val="20"/>
          <w:szCs w:val="20"/>
          <w:lang w:val="en-US"/>
        </w:rPr>
        <w:t xml:space="preserve"> and </w:t>
      </w:r>
      <w:r w:rsidR="006436CA" w:rsidRPr="00D869E3">
        <w:rPr>
          <w:rFonts w:ascii="Verdana" w:hAnsi="Verdana"/>
          <w:sz w:val="20"/>
          <w:szCs w:val="20"/>
          <w:lang w:val="en-US"/>
        </w:rPr>
        <w:t>“</w:t>
      </w:r>
      <w:r w:rsidR="006C4F05" w:rsidRPr="00D869E3">
        <w:rPr>
          <w:rFonts w:ascii="Verdana" w:hAnsi="Verdana"/>
          <w:i/>
          <w:sz w:val="20"/>
          <w:szCs w:val="20"/>
          <w:lang w:val="en-US"/>
        </w:rPr>
        <w:t>the other rights established in this Convention.</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006C4F05" w:rsidRPr="00D869E3">
        <w:rPr>
          <w:rFonts w:ascii="Verdana" w:hAnsi="Verdana"/>
          <w:sz w:val="20"/>
          <w:szCs w:val="20"/>
          <w:lang w:val="en-US"/>
        </w:rPr>
        <w:t xml:space="preserve">It should also be recalled that the said article was, however, eliminated; from which it can be concluded that, at no time, were the economic, social and cultural </w:t>
      </w:r>
      <w:r w:rsidR="006B7F68" w:rsidRPr="00D869E3">
        <w:rPr>
          <w:rFonts w:ascii="Verdana" w:hAnsi="Verdana"/>
          <w:sz w:val="20"/>
          <w:szCs w:val="20"/>
          <w:lang w:val="en-US"/>
        </w:rPr>
        <w:t>r</w:t>
      </w:r>
      <w:r w:rsidR="006C4F05" w:rsidRPr="00D869E3">
        <w:rPr>
          <w:rFonts w:ascii="Verdana" w:hAnsi="Verdana"/>
          <w:sz w:val="20"/>
          <w:szCs w:val="20"/>
          <w:lang w:val="en-US"/>
        </w:rPr>
        <w:t>ights that “derive” from the provisions of the OAS Charter, including the right to job security, included under the protection regime for the civil and political rights</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3C2143" w:rsidRPr="00D869E3">
        <w:rPr>
          <w:rFonts w:ascii="Verdana" w:hAnsi="Verdana"/>
          <w:i/>
          <w:sz w:val="20"/>
          <w:szCs w:val="20"/>
          <w:lang w:val="en-US"/>
        </w:rPr>
        <w:t>reco</w:t>
      </w:r>
      <w:r w:rsidR="006C4F05" w:rsidRPr="00D869E3">
        <w:rPr>
          <w:rFonts w:ascii="Verdana" w:hAnsi="Verdana"/>
          <w:i/>
          <w:sz w:val="20"/>
          <w:szCs w:val="20"/>
          <w:lang w:val="en-US"/>
        </w:rPr>
        <w:t>gnized</w:t>
      </w:r>
      <w:r w:rsidR="006436CA" w:rsidRPr="00D869E3">
        <w:rPr>
          <w:rFonts w:ascii="Verdana" w:hAnsi="Verdana"/>
          <w:i/>
          <w:sz w:val="20"/>
          <w:szCs w:val="20"/>
          <w:lang w:val="en-US"/>
        </w:rPr>
        <w:t>”</w:t>
      </w:r>
      <w:r w:rsidR="003C2143" w:rsidRPr="00D869E3">
        <w:rPr>
          <w:rFonts w:ascii="Verdana" w:hAnsi="Verdana"/>
          <w:i/>
          <w:sz w:val="20"/>
          <w:szCs w:val="20"/>
          <w:lang w:val="en-US"/>
        </w:rPr>
        <w:t xml:space="preserve"> </w:t>
      </w:r>
      <w:r w:rsidR="006C4F05" w:rsidRPr="00D869E3">
        <w:rPr>
          <w:rFonts w:ascii="Verdana" w:hAnsi="Verdana"/>
          <w:sz w:val="20"/>
          <w:szCs w:val="20"/>
          <w:lang w:val="en-US"/>
        </w:rPr>
        <w:t>i</w:t>
      </w:r>
      <w:r w:rsidR="003C2143" w:rsidRPr="00D869E3">
        <w:rPr>
          <w:rFonts w:ascii="Verdana" w:hAnsi="Verdana"/>
          <w:sz w:val="20"/>
          <w:szCs w:val="20"/>
          <w:lang w:val="en-US"/>
        </w:rPr>
        <w:t xml:space="preserve">n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p>
    <w:p w14:paraId="6785A110" w14:textId="77777777" w:rsidR="003C2143" w:rsidRPr="00D869E3" w:rsidRDefault="003C2143" w:rsidP="003C2143">
      <w:pPr>
        <w:jc w:val="both"/>
        <w:rPr>
          <w:rFonts w:ascii="Verdana" w:hAnsi="Verdana"/>
          <w:sz w:val="20"/>
          <w:szCs w:val="20"/>
          <w:lang w:val="en-US"/>
        </w:rPr>
      </w:pPr>
    </w:p>
    <w:p w14:paraId="0C80E365" w14:textId="55588A27" w:rsidR="003C2143" w:rsidRPr="00D869E3" w:rsidRDefault="006C4F05" w:rsidP="003C2143">
      <w:pPr>
        <w:pStyle w:val="Prrafodelista"/>
        <w:numPr>
          <w:ilvl w:val="0"/>
          <w:numId w:val="31"/>
        </w:numPr>
        <w:jc w:val="both"/>
        <w:rPr>
          <w:rFonts w:ascii="Verdana" w:hAnsi="Verdana"/>
          <w:b/>
          <w:sz w:val="20"/>
          <w:szCs w:val="20"/>
          <w:lang w:val="en-US"/>
        </w:rPr>
      </w:pPr>
      <w:r w:rsidRPr="00D869E3">
        <w:rPr>
          <w:rFonts w:ascii="Verdana" w:hAnsi="Verdana"/>
          <w:b/>
          <w:sz w:val="20"/>
          <w:szCs w:val="20"/>
          <w:lang w:val="en-US"/>
        </w:rPr>
        <w:t>The</w:t>
      </w:r>
      <w:r w:rsidR="003C2143" w:rsidRPr="00D869E3">
        <w:rPr>
          <w:rFonts w:ascii="Verdana" w:hAnsi="Verdana"/>
          <w:b/>
          <w:sz w:val="20"/>
          <w:szCs w:val="20"/>
          <w:lang w:val="en-US"/>
        </w:rPr>
        <w:t xml:space="preserve"> </w:t>
      </w:r>
      <w:r w:rsidR="00881A39" w:rsidRPr="00D869E3">
        <w:rPr>
          <w:rFonts w:ascii="Verdana" w:hAnsi="Verdana"/>
          <w:b/>
          <w:sz w:val="20"/>
          <w:szCs w:val="20"/>
          <w:lang w:val="en-US"/>
        </w:rPr>
        <w:t>rights</w:t>
      </w:r>
      <w:r w:rsidR="003C2143" w:rsidRPr="00D869E3">
        <w:rPr>
          <w:rFonts w:ascii="Verdana" w:hAnsi="Verdana"/>
          <w:b/>
          <w:sz w:val="20"/>
          <w:szCs w:val="20"/>
          <w:lang w:val="en-US"/>
        </w:rPr>
        <w:t xml:space="preserve"> </w:t>
      </w:r>
      <w:r w:rsidRPr="00D869E3">
        <w:rPr>
          <w:rFonts w:ascii="Verdana" w:hAnsi="Verdana"/>
          <w:b/>
          <w:sz w:val="20"/>
          <w:szCs w:val="20"/>
          <w:lang w:val="en-US"/>
        </w:rPr>
        <w:t xml:space="preserve">derived from the economic, social, educational, scientific and cultural provisions contained in </w:t>
      </w:r>
      <w:r w:rsidR="00197983" w:rsidRPr="00D869E3">
        <w:rPr>
          <w:rFonts w:ascii="Verdana" w:hAnsi="Verdana"/>
          <w:b/>
          <w:sz w:val="20"/>
          <w:szCs w:val="20"/>
          <w:lang w:val="en-US"/>
        </w:rPr>
        <w:t>the OAS Charter</w:t>
      </w:r>
    </w:p>
    <w:p w14:paraId="47A0417A" w14:textId="77777777" w:rsidR="003C2143" w:rsidRPr="00D869E3" w:rsidRDefault="003C2143" w:rsidP="003C2143">
      <w:pPr>
        <w:jc w:val="both"/>
        <w:rPr>
          <w:rFonts w:ascii="Verdana" w:hAnsi="Verdana"/>
          <w:b/>
          <w:sz w:val="20"/>
          <w:szCs w:val="20"/>
          <w:lang w:val="en-US"/>
        </w:rPr>
      </w:pPr>
    </w:p>
    <w:p w14:paraId="69FCD077" w14:textId="1CF12F85" w:rsidR="003C2143" w:rsidRPr="00D869E3" w:rsidRDefault="006C4F05" w:rsidP="003C2143">
      <w:pPr>
        <w:jc w:val="both"/>
        <w:rPr>
          <w:rFonts w:ascii="Verdana" w:hAnsi="Verdana"/>
          <w:b/>
          <w:bCs/>
          <w:sz w:val="20"/>
          <w:szCs w:val="20"/>
          <w:lang w:val="en-US"/>
        </w:rPr>
      </w:pPr>
      <w:r w:rsidRPr="00D869E3">
        <w:rPr>
          <w:rFonts w:ascii="Verdana" w:hAnsi="Verdana"/>
          <w:sz w:val="20"/>
          <w:szCs w:val="20"/>
          <w:lang w:val="en-US"/>
        </w:rPr>
        <w:t>The judgment cited</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Articles</w:t>
      </w:r>
      <w:r w:rsidR="003C2143" w:rsidRPr="00D869E3">
        <w:rPr>
          <w:rFonts w:ascii="Verdana" w:hAnsi="Verdana"/>
          <w:sz w:val="20"/>
          <w:szCs w:val="20"/>
          <w:lang w:val="en-US"/>
        </w:rPr>
        <w:t xml:space="preserve"> 45</w:t>
      </w:r>
      <w:r w:rsidR="00331C63" w:rsidRPr="00D869E3">
        <w:rPr>
          <w:rFonts w:ascii="Verdana" w:hAnsi="Verdana"/>
          <w:sz w:val="20"/>
          <w:szCs w:val="20"/>
          <w:lang w:val="en-US"/>
        </w:rPr>
        <w:t>(</w:t>
      </w:r>
      <w:r w:rsidR="003C2143" w:rsidRPr="00D869E3">
        <w:rPr>
          <w:rFonts w:ascii="Verdana" w:hAnsi="Verdana"/>
          <w:sz w:val="20"/>
          <w:szCs w:val="20"/>
          <w:lang w:val="en-US"/>
        </w:rPr>
        <w:t>b</w:t>
      </w:r>
      <w:r w:rsidR="00331C63" w:rsidRPr="00D869E3">
        <w:rPr>
          <w:rFonts w:ascii="Verdana" w:hAnsi="Verdana"/>
          <w:sz w:val="20"/>
          <w:szCs w:val="20"/>
          <w:lang w:val="en-US"/>
        </w:rPr>
        <w:t>)</w:t>
      </w:r>
      <w:r w:rsidR="00687684" w:rsidRPr="00D869E3">
        <w:rPr>
          <w:rFonts w:ascii="Verdana" w:hAnsi="Verdana"/>
          <w:sz w:val="20"/>
          <w:szCs w:val="20"/>
          <w:lang w:val="en-US"/>
        </w:rPr>
        <w:t xml:space="preserve"> and </w:t>
      </w:r>
      <w:r w:rsidR="00331C63" w:rsidRPr="00D869E3">
        <w:rPr>
          <w:rFonts w:ascii="Verdana" w:hAnsi="Verdana"/>
          <w:sz w:val="20"/>
          <w:szCs w:val="20"/>
          <w:lang w:val="en-US"/>
        </w:rPr>
        <w:t>(</w:t>
      </w:r>
      <w:r w:rsidR="003C2143" w:rsidRPr="00D869E3">
        <w:rPr>
          <w:rFonts w:ascii="Verdana" w:hAnsi="Verdana"/>
          <w:sz w:val="20"/>
          <w:szCs w:val="20"/>
          <w:lang w:val="en-US"/>
        </w:rPr>
        <w:t>c</w:t>
      </w:r>
      <w:r w:rsidR="00331C63" w:rsidRPr="00D869E3">
        <w:rPr>
          <w:rFonts w:ascii="Verdana" w:hAnsi="Verdana"/>
          <w:sz w:val="20"/>
          <w:szCs w:val="20"/>
          <w:lang w:val="en-US"/>
        </w:rPr>
        <w:t>)</w:t>
      </w:r>
      <w:r w:rsidR="00197983" w:rsidRPr="00D869E3">
        <w:rPr>
          <w:rFonts w:ascii="Verdana" w:hAnsi="Verdana"/>
          <w:sz w:val="20"/>
          <w:szCs w:val="20"/>
          <w:lang w:val="en-US"/>
        </w:rPr>
        <w:t>,</w:t>
      </w:r>
      <w:r w:rsidR="003C2143" w:rsidRPr="00D869E3">
        <w:rPr>
          <w:rStyle w:val="Refdenotaalpie"/>
          <w:szCs w:val="20"/>
          <w:lang w:val="en-US"/>
        </w:rPr>
        <w:footnoteReference w:id="413"/>
      </w:r>
      <w:r w:rsidR="003C2143" w:rsidRPr="00D869E3">
        <w:rPr>
          <w:rFonts w:ascii="Verdana" w:hAnsi="Verdana"/>
          <w:sz w:val="20"/>
          <w:szCs w:val="20"/>
          <w:lang w:val="en-US"/>
        </w:rPr>
        <w:t xml:space="preserve"> 46</w:t>
      </w:r>
      <w:r w:rsidR="003C2143" w:rsidRPr="00D869E3">
        <w:rPr>
          <w:rStyle w:val="Refdenotaalpie"/>
          <w:szCs w:val="20"/>
          <w:lang w:val="en-US"/>
        </w:rPr>
        <w:footnoteReference w:id="414"/>
      </w:r>
      <w:r w:rsidR="00687684" w:rsidRPr="00D869E3">
        <w:rPr>
          <w:rFonts w:ascii="Verdana" w:hAnsi="Verdana"/>
          <w:sz w:val="20"/>
          <w:szCs w:val="20"/>
          <w:lang w:val="en-US"/>
        </w:rPr>
        <w:t xml:space="preserve"> and </w:t>
      </w:r>
      <w:r w:rsidR="003C2143" w:rsidRPr="00D869E3">
        <w:rPr>
          <w:rFonts w:ascii="Verdana" w:hAnsi="Verdana"/>
          <w:sz w:val="20"/>
          <w:szCs w:val="20"/>
          <w:lang w:val="en-US"/>
        </w:rPr>
        <w:t>34</w:t>
      </w:r>
      <w:r w:rsidR="00197983" w:rsidRPr="00D869E3">
        <w:rPr>
          <w:rFonts w:ascii="Verdana" w:hAnsi="Verdana"/>
          <w:sz w:val="20"/>
          <w:szCs w:val="20"/>
          <w:lang w:val="en-US"/>
        </w:rPr>
        <w:t>(</w:t>
      </w:r>
      <w:r w:rsidR="003C2143" w:rsidRPr="00D869E3">
        <w:rPr>
          <w:rFonts w:ascii="Verdana" w:hAnsi="Verdana"/>
          <w:sz w:val="20"/>
          <w:szCs w:val="20"/>
          <w:lang w:val="en-US"/>
        </w:rPr>
        <w:t>g</w:t>
      </w:r>
      <w:r w:rsidR="00197983" w:rsidRPr="00D869E3">
        <w:rPr>
          <w:rFonts w:ascii="Verdana" w:hAnsi="Verdana"/>
          <w:sz w:val="20"/>
          <w:szCs w:val="20"/>
          <w:lang w:val="en-US"/>
        </w:rPr>
        <w:t>)</w:t>
      </w:r>
      <w:r w:rsidR="003C2143" w:rsidRPr="00D869E3">
        <w:rPr>
          <w:rStyle w:val="Refdenotaalpie"/>
          <w:szCs w:val="20"/>
          <w:lang w:val="en-US"/>
        </w:rPr>
        <w:footnoteReference w:id="415"/>
      </w:r>
      <w:r w:rsidRPr="00D869E3">
        <w:rPr>
          <w:rFonts w:ascii="Verdana" w:hAnsi="Verdana"/>
          <w:sz w:val="20"/>
          <w:szCs w:val="20"/>
          <w:lang w:val="en-US"/>
        </w:rPr>
        <w:t xml:space="preserve"> </w:t>
      </w:r>
      <w:r w:rsidR="00197983" w:rsidRPr="00D869E3">
        <w:rPr>
          <w:rFonts w:ascii="Verdana" w:hAnsi="Verdana"/>
          <w:sz w:val="20"/>
          <w:szCs w:val="20"/>
          <w:lang w:val="en-US"/>
        </w:rPr>
        <w:t>of the OAS Charter</w:t>
      </w:r>
      <w:r w:rsidRPr="00D869E3">
        <w:rPr>
          <w:rFonts w:ascii="Verdana" w:hAnsi="Verdana"/>
          <w:sz w:val="20"/>
          <w:szCs w:val="20"/>
          <w:lang w:val="en-US"/>
        </w:rPr>
        <w:t xml:space="preserve"> to rule on the right to work and, more specifically, on the right to job security. However, these provisions establish either “</w:t>
      </w:r>
      <w:r w:rsidRPr="00D869E3">
        <w:rPr>
          <w:rFonts w:ascii="Verdana" w:hAnsi="Verdana"/>
          <w:i/>
          <w:iCs/>
          <w:sz w:val="20"/>
          <w:szCs w:val="20"/>
          <w:lang w:val="en-US"/>
        </w:rPr>
        <w:t>principles and mechanisms”</w:t>
      </w:r>
      <w:r w:rsidRPr="00D869E3">
        <w:rPr>
          <w:rFonts w:ascii="Verdana" w:hAnsi="Verdana"/>
          <w:sz w:val="20"/>
          <w:szCs w:val="20"/>
          <w:lang w:val="en-US"/>
        </w:rPr>
        <w:t xml:space="preserve"> to “</w:t>
      </w:r>
      <w:r w:rsidRPr="00D869E3">
        <w:rPr>
          <w:rFonts w:ascii="Verdana" w:hAnsi="Verdana"/>
          <w:i/>
          <w:iCs/>
          <w:sz w:val="20"/>
          <w:szCs w:val="20"/>
          <w:lang w:val="en-US"/>
        </w:rPr>
        <w:t xml:space="preserve">achieve the full realization of </w:t>
      </w:r>
      <w:r w:rsidR="006B7F68" w:rsidRPr="00D869E3">
        <w:rPr>
          <w:rFonts w:ascii="Verdana" w:hAnsi="Verdana"/>
          <w:i/>
          <w:iCs/>
          <w:sz w:val="20"/>
          <w:szCs w:val="20"/>
          <w:lang w:val="en-US"/>
        </w:rPr>
        <w:t xml:space="preserve">[man’s] </w:t>
      </w:r>
      <w:r w:rsidRPr="00D869E3">
        <w:rPr>
          <w:rFonts w:ascii="Verdana" w:hAnsi="Verdana"/>
          <w:i/>
          <w:iCs/>
          <w:sz w:val="20"/>
          <w:szCs w:val="20"/>
          <w:lang w:val="en-US"/>
        </w:rPr>
        <w:t>aspirations within a just social order, along with economic development and true peace</w:t>
      </w:r>
      <w:r w:rsidRPr="00D869E3">
        <w:rPr>
          <w:rFonts w:ascii="Verdana" w:hAnsi="Verdana"/>
          <w:sz w:val="20"/>
          <w:szCs w:val="20"/>
          <w:lang w:val="en-US"/>
        </w:rPr>
        <w:t>,” or a “</w:t>
      </w:r>
      <w:r w:rsidR="005848A5" w:rsidRPr="00D869E3">
        <w:rPr>
          <w:rFonts w:ascii="Verdana" w:hAnsi="Verdana"/>
          <w:i/>
          <w:iCs/>
          <w:sz w:val="20"/>
          <w:szCs w:val="20"/>
          <w:lang w:val="en-US"/>
        </w:rPr>
        <w:t>goal</w:t>
      </w:r>
      <w:r w:rsidRPr="00D869E3">
        <w:rPr>
          <w:rFonts w:ascii="Verdana" w:hAnsi="Verdana"/>
          <w:sz w:val="20"/>
          <w:szCs w:val="20"/>
          <w:lang w:val="en-US"/>
        </w:rPr>
        <w:t xml:space="preserve">” </w:t>
      </w:r>
      <w:r w:rsidRPr="00D869E3">
        <w:rPr>
          <w:rFonts w:ascii="Verdana" w:eastAsia="Times New Roman" w:hAnsi="Verdana"/>
          <w:sz w:val="20"/>
          <w:szCs w:val="20"/>
          <w:lang w:val="en-US"/>
        </w:rPr>
        <w:t>“</w:t>
      </w:r>
      <w:r w:rsidRPr="00D869E3">
        <w:rPr>
          <w:rFonts w:ascii="Verdana" w:eastAsia="Times New Roman" w:hAnsi="Verdana"/>
          <w:i/>
          <w:iCs/>
          <w:sz w:val="20"/>
          <w:szCs w:val="20"/>
          <w:lang w:val="en-US"/>
        </w:rPr>
        <w:t>to facilitate the process of Latin American regional integration</w:t>
      </w:r>
      <w:r w:rsidRPr="00D869E3">
        <w:rPr>
          <w:rFonts w:ascii="Verdana" w:eastAsia="Times New Roman" w:hAnsi="Verdana"/>
          <w:sz w:val="20"/>
          <w:szCs w:val="20"/>
          <w:lang w:val="en-US"/>
        </w:rPr>
        <w:t>,” or</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5848A5" w:rsidRPr="00D869E3">
        <w:rPr>
          <w:rFonts w:ascii="Verdana" w:hAnsi="Verdana"/>
          <w:i/>
          <w:sz w:val="20"/>
          <w:szCs w:val="20"/>
          <w:lang w:val="en-US"/>
        </w:rPr>
        <w:t>basic goals</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005848A5" w:rsidRPr="00D869E3">
        <w:rPr>
          <w:rFonts w:ascii="Verdana" w:hAnsi="Verdana"/>
          <w:sz w:val="20"/>
          <w:szCs w:val="20"/>
          <w:lang w:val="en-US"/>
        </w:rPr>
        <w:t>to achieve</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5848A5" w:rsidRPr="00D869E3">
        <w:rPr>
          <w:rFonts w:ascii="Verdana" w:hAnsi="Verdana"/>
          <w:i/>
          <w:iCs/>
          <w:sz w:val="20"/>
          <w:szCs w:val="20"/>
          <w:lang w:val="en-US"/>
        </w:rPr>
        <w:t>basic objectives of integral development</w:t>
      </w:r>
      <w:r w:rsidR="006436CA" w:rsidRPr="00D869E3">
        <w:rPr>
          <w:rFonts w:ascii="Verdana" w:hAnsi="Verdana"/>
          <w:sz w:val="20"/>
          <w:szCs w:val="20"/>
          <w:lang w:val="en-US"/>
        </w:rPr>
        <w:t>”</w:t>
      </w:r>
      <w:r w:rsidR="005848A5" w:rsidRPr="00D869E3">
        <w:rPr>
          <w:rFonts w:ascii="Verdana" w:hAnsi="Verdana"/>
          <w:sz w:val="20"/>
          <w:szCs w:val="20"/>
          <w:lang w:val="en-US"/>
        </w:rPr>
        <w:t xml:space="preserve">; and, in all these hypotheses, they established an obligation of conduct that is expressed in devoting </w:t>
      </w:r>
      <w:r w:rsidR="006B7F68" w:rsidRPr="00D869E3">
        <w:rPr>
          <w:rFonts w:ascii="Verdana" w:hAnsi="Verdana"/>
          <w:sz w:val="20"/>
          <w:szCs w:val="20"/>
          <w:lang w:val="en-US"/>
        </w:rPr>
        <w:t>the</w:t>
      </w:r>
      <w:r w:rsidR="005848A5" w:rsidRPr="00D869E3">
        <w:rPr>
          <w:rFonts w:ascii="Verdana" w:hAnsi="Verdana"/>
          <w:sz w:val="20"/>
          <w:szCs w:val="20"/>
          <w:lang w:val="en-US"/>
        </w:rPr>
        <w:t xml:space="preserve"> “</w:t>
      </w:r>
      <w:r w:rsidR="005848A5" w:rsidRPr="00D869E3">
        <w:rPr>
          <w:rFonts w:ascii="Verdana" w:hAnsi="Verdana"/>
          <w:i/>
          <w:iCs/>
          <w:sz w:val="20"/>
          <w:szCs w:val="20"/>
          <w:lang w:val="en-US"/>
        </w:rPr>
        <w:t>utmost efforts</w:t>
      </w:r>
      <w:r w:rsidR="005848A5" w:rsidRPr="00D869E3">
        <w:rPr>
          <w:rFonts w:ascii="Verdana" w:hAnsi="Verdana"/>
          <w:sz w:val="20"/>
          <w:szCs w:val="20"/>
          <w:lang w:val="en-US"/>
        </w:rPr>
        <w:t>” to achieve th</w:t>
      </w:r>
      <w:r w:rsidR="00A71614" w:rsidRPr="00D869E3">
        <w:rPr>
          <w:rFonts w:ascii="Verdana" w:hAnsi="Verdana"/>
          <w:sz w:val="20"/>
          <w:szCs w:val="20"/>
          <w:lang w:val="en-US"/>
        </w:rPr>
        <w:t>e said</w:t>
      </w:r>
      <w:r w:rsidR="005848A5" w:rsidRPr="00D869E3">
        <w:rPr>
          <w:rFonts w:ascii="Verdana" w:hAnsi="Verdana"/>
          <w:sz w:val="20"/>
          <w:szCs w:val="20"/>
          <w:lang w:val="en-US"/>
        </w:rPr>
        <w:t xml:space="preserve"> goals</w:t>
      </w:r>
      <w:r w:rsidR="003C2143" w:rsidRPr="00D869E3">
        <w:rPr>
          <w:rFonts w:ascii="Verdana" w:hAnsi="Verdana"/>
          <w:sz w:val="20"/>
          <w:szCs w:val="20"/>
          <w:lang w:val="en-US"/>
        </w:rPr>
        <w:t>.</w:t>
      </w:r>
    </w:p>
    <w:p w14:paraId="22D65BB2" w14:textId="77777777" w:rsidR="003C2143" w:rsidRPr="00D869E3" w:rsidRDefault="003C2143" w:rsidP="003C2143">
      <w:pPr>
        <w:jc w:val="both"/>
        <w:rPr>
          <w:rFonts w:ascii="Verdana" w:hAnsi="Verdana"/>
          <w:sz w:val="20"/>
          <w:szCs w:val="20"/>
          <w:lang w:val="en-US"/>
        </w:rPr>
      </w:pPr>
    </w:p>
    <w:p w14:paraId="131F5D63" w14:textId="1A4A2791" w:rsidR="00A71614" w:rsidRPr="00D869E3" w:rsidRDefault="00A71614" w:rsidP="003C2143">
      <w:pPr>
        <w:jc w:val="both"/>
        <w:rPr>
          <w:rFonts w:ascii="Verdana" w:hAnsi="Verdana"/>
          <w:sz w:val="20"/>
          <w:szCs w:val="20"/>
          <w:lang w:val="en-US"/>
        </w:rPr>
      </w:pPr>
      <w:r w:rsidRPr="00D869E3">
        <w:rPr>
          <w:rFonts w:ascii="Verdana" w:hAnsi="Verdana"/>
          <w:sz w:val="20"/>
          <w:szCs w:val="20"/>
          <w:lang w:val="en-US"/>
        </w:rPr>
        <w:t>In other words, strictly speaking, these provisions do not establish rights, but rather the obligation of the respective State to devote its “</w:t>
      </w:r>
      <w:r w:rsidRPr="00D869E3">
        <w:rPr>
          <w:rFonts w:ascii="Verdana" w:hAnsi="Verdana"/>
          <w:i/>
          <w:iCs/>
          <w:sz w:val="20"/>
          <w:szCs w:val="20"/>
          <w:lang w:val="en-US"/>
        </w:rPr>
        <w:t>utmost efforts</w:t>
      </w:r>
      <w:r w:rsidRPr="00D869E3">
        <w:rPr>
          <w:rFonts w:ascii="Verdana" w:hAnsi="Verdana"/>
          <w:sz w:val="20"/>
          <w:szCs w:val="20"/>
          <w:lang w:val="en-US"/>
        </w:rPr>
        <w:t>” to achieve the goal of economic development and peace, Latin American integration or comprehensive development, as appropriate. Consequently, and also based on the general wording used in the OAS Charter to refer to the matters addressed in the said provisions, it can be concluded that they are considered to be “</w:t>
      </w:r>
      <w:r w:rsidRPr="00D869E3">
        <w:rPr>
          <w:rFonts w:ascii="Verdana" w:hAnsi="Verdana"/>
          <w:i/>
          <w:iCs/>
          <w:sz w:val="20"/>
          <w:szCs w:val="20"/>
          <w:lang w:val="en-US"/>
        </w:rPr>
        <w:t xml:space="preserve">goals” </w:t>
      </w:r>
      <w:r w:rsidRPr="00D869E3">
        <w:rPr>
          <w:rFonts w:ascii="Verdana" w:hAnsi="Verdana"/>
          <w:sz w:val="20"/>
          <w:szCs w:val="20"/>
          <w:lang w:val="en-US"/>
        </w:rPr>
        <w:t>or</w:t>
      </w:r>
      <w:r w:rsidRPr="00D869E3">
        <w:rPr>
          <w:rFonts w:ascii="Verdana" w:hAnsi="Verdana"/>
          <w:i/>
          <w:iCs/>
          <w:sz w:val="20"/>
          <w:szCs w:val="20"/>
          <w:lang w:val="en-US"/>
        </w:rPr>
        <w:t xml:space="preserve"> “objectives</w:t>
      </w:r>
      <w:r w:rsidRPr="00D869E3">
        <w:rPr>
          <w:rFonts w:ascii="Verdana" w:hAnsi="Verdana"/>
          <w:sz w:val="20"/>
          <w:szCs w:val="20"/>
          <w:lang w:val="en-US"/>
        </w:rPr>
        <w:t>” to achieve or as “</w:t>
      </w:r>
      <w:r w:rsidRPr="00D869E3">
        <w:rPr>
          <w:rFonts w:ascii="Verdana" w:hAnsi="Verdana"/>
          <w:i/>
          <w:iCs/>
          <w:sz w:val="20"/>
          <w:szCs w:val="20"/>
          <w:lang w:val="en-US"/>
        </w:rPr>
        <w:t>principles and mechanisms</w:t>
      </w:r>
      <w:r w:rsidR="00F556E1" w:rsidRPr="00D869E3">
        <w:rPr>
          <w:rFonts w:ascii="Verdana" w:hAnsi="Verdana"/>
          <w:sz w:val="20"/>
          <w:szCs w:val="20"/>
          <w:lang w:val="en-US"/>
        </w:rPr>
        <w:t xml:space="preserve">” to be followed, rather than rights that </w:t>
      </w:r>
      <w:r w:rsidR="006B7F68" w:rsidRPr="00D869E3">
        <w:rPr>
          <w:rFonts w:ascii="Verdana" w:hAnsi="Verdana"/>
          <w:sz w:val="20"/>
          <w:szCs w:val="20"/>
          <w:lang w:val="en-US"/>
        </w:rPr>
        <w:t xml:space="preserve">the individual </w:t>
      </w:r>
      <w:r w:rsidR="00F556E1" w:rsidRPr="00D869E3">
        <w:rPr>
          <w:rFonts w:ascii="Verdana" w:hAnsi="Verdana"/>
          <w:sz w:val="20"/>
          <w:szCs w:val="20"/>
          <w:lang w:val="en-US"/>
        </w:rPr>
        <w:t>can judicialize internationally.</w:t>
      </w:r>
    </w:p>
    <w:p w14:paraId="521C5E3D" w14:textId="77777777" w:rsidR="003C2143" w:rsidRPr="00D869E3" w:rsidRDefault="003C2143" w:rsidP="003C2143">
      <w:pPr>
        <w:jc w:val="both"/>
        <w:rPr>
          <w:rFonts w:ascii="Verdana" w:hAnsi="Verdana"/>
          <w:i/>
          <w:sz w:val="20"/>
          <w:szCs w:val="20"/>
          <w:lang w:val="en-US"/>
        </w:rPr>
      </w:pPr>
    </w:p>
    <w:p w14:paraId="753A1D85" w14:textId="72A9799F" w:rsidR="00F556E1" w:rsidRPr="00D869E3" w:rsidRDefault="00F556E1" w:rsidP="00F556E1">
      <w:pPr>
        <w:jc w:val="both"/>
        <w:rPr>
          <w:rFonts w:ascii="Verdana" w:hAnsi="Verdana"/>
          <w:sz w:val="20"/>
          <w:szCs w:val="20"/>
          <w:lang w:val="en-US"/>
        </w:rPr>
      </w:pPr>
      <w:r w:rsidRPr="00D869E3">
        <w:rPr>
          <w:rFonts w:ascii="Verdana" w:hAnsi="Verdana"/>
          <w:sz w:val="20"/>
          <w:szCs w:val="20"/>
          <w:lang w:val="en-US"/>
        </w:rPr>
        <w:t xml:space="preserve">Furthermore, it should be pointed out that the provisions of the OAS Charter cited in the judgment are </w:t>
      </w:r>
      <w:r w:rsidR="0078053A" w:rsidRPr="00D869E3">
        <w:rPr>
          <w:rFonts w:ascii="Verdana" w:hAnsi="Verdana"/>
          <w:sz w:val="20"/>
          <w:szCs w:val="20"/>
          <w:lang w:val="en-US"/>
        </w:rPr>
        <w:t>placed</w:t>
      </w:r>
      <w:r w:rsidRPr="00D869E3">
        <w:rPr>
          <w:rFonts w:ascii="Verdana" w:hAnsi="Verdana"/>
          <w:sz w:val="20"/>
          <w:szCs w:val="20"/>
          <w:lang w:val="en-US"/>
        </w:rPr>
        <w:t xml:space="preserve"> in Chapter VII of this international legal instrument, which is entitled “</w:t>
      </w:r>
      <w:r w:rsidRPr="00D869E3">
        <w:rPr>
          <w:rFonts w:ascii="Verdana" w:hAnsi="Verdana"/>
          <w:i/>
          <w:iCs/>
          <w:sz w:val="20"/>
          <w:szCs w:val="20"/>
          <w:lang w:val="en-US"/>
        </w:rPr>
        <w:t>Integral Development</w:t>
      </w:r>
      <w:r w:rsidRPr="00D869E3">
        <w:rPr>
          <w:rFonts w:ascii="Verdana" w:hAnsi="Verdana"/>
          <w:sz w:val="20"/>
          <w:szCs w:val="20"/>
          <w:lang w:val="en-US"/>
        </w:rPr>
        <w:t xml:space="preserve">,” and that the first article in this chapter,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30</w:t>
      </w:r>
      <w:r w:rsidRPr="00D869E3">
        <w:rPr>
          <w:rFonts w:ascii="Verdana" w:hAnsi="Verdana"/>
          <w:sz w:val="20"/>
          <w:szCs w:val="20"/>
          <w:lang w:val="en-US"/>
        </w:rPr>
        <w:t>,</w:t>
      </w:r>
      <w:r w:rsidR="003C2143" w:rsidRPr="00D869E3">
        <w:rPr>
          <w:rStyle w:val="Refdenotaalpie"/>
          <w:szCs w:val="20"/>
          <w:lang w:val="en-US"/>
        </w:rPr>
        <w:footnoteReference w:id="416"/>
      </w:r>
      <w:r w:rsidRPr="00D869E3">
        <w:rPr>
          <w:rFonts w:ascii="Verdana" w:hAnsi="Verdana"/>
          <w:sz w:val="20"/>
          <w:szCs w:val="20"/>
          <w:lang w:val="en-US"/>
        </w:rPr>
        <w:t xml:space="preserve"> considers this development as an objective to achieve through compliance with the </w:t>
      </w:r>
      <w:r w:rsidR="006B7F68" w:rsidRPr="00D869E3">
        <w:rPr>
          <w:rFonts w:ascii="Verdana" w:hAnsi="Verdana"/>
          <w:sz w:val="20"/>
          <w:szCs w:val="20"/>
          <w:lang w:val="en-US"/>
        </w:rPr>
        <w:t>provision</w:t>
      </w:r>
      <w:r w:rsidRPr="00D869E3">
        <w:rPr>
          <w:rFonts w:ascii="Verdana" w:hAnsi="Verdana"/>
          <w:sz w:val="20"/>
          <w:szCs w:val="20"/>
          <w:lang w:val="en-US"/>
        </w:rPr>
        <w:t>s that follow. It should also be noted that the other articles in this chapter reaffirm the concept that these are “</w:t>
      </w:r>
      <w:r w:rsidRPr="00D869E3">
        <w:rPr>
          <w:rFonts w:ascii="Verdana" w:hAnsi="Verdana"/>
          <w:i/>
          <w:iCs/>
          <w:sz w:val="20"/>
          <w:szCs w:val="20"/>
          <w:lang w:val="en-US"/>
        </w:rPr>
        <w:t>goals</w:t>
      </w:r>
      <w:r w:rsidRPr="00D869E3">
        <w:rPr>
          <w:rFonts w:ascii="Verdana" w:hAnsi="Verdana"/>
          <w:sz w:val="20"/>
          <w:szCs w:val="20"/>
          <w:lang w:val="en-US"/>
        </w:rPr>
        <w:t>” that the States undertake to achieve and not rights that may be judicialized internationally.</w:t>
      </w:r>
    </w:p>
    <w:p w14:paraId="43DF6959" w14:textId="77777777" w:rsidR="003C2143" w:rsidRPr="00D869E3" w:rsidRDefault="003C2143" w:rsidP="003C2143">
      <w:pPr>
        <w:jc w:val="both"/>
        <w:rPr>
          <w:rFonts w:ascii="Verdana" w:hAnsi="Verdana"/>
          <w:sz w:val="20"/>
          <w:szCs w:val="20"/>
          <w:lang w:val="en-US"/>
        </w:rPr>
      </w:pPr>
    </w:p>
    <w:p w14:paraId="4C6C10E0" w14:textId="4C13EC9A" w:rsidR="009C3C86" w:rsidRPr="00D869E3" w:rsidRDefault="00F556E1" w:rsidP="003C2143">
      <w:pPr>
        <w:jc w:val="both"/>
        <w:rPr>
          <w:rFonts w:ascii="Verdana" w:hAnsi="Verdana"/>
          <w:sz w:val="20"/>
          <w:szCs w:val="20"/>
          <w:lang w:val="en-US"/>
        </w:rPr>
      </w:pPr>
      <w:r w:rsidRPr="00D869E3">
        <w:rPr>
          <w:rFonts w:ascii="Verdana" w:hAnsi="Verdana"/>
          <w:sz w:val="20"/>
          <w:szCs w:val="20"/>
          <w:lang w:val="en-US"/>
        </w:rPr>
        <w:t xml:space="preserve">In other words, it is </w:t>
      </w:r>
      <w:r w:rsidR="006B7F68" w:rsidRPr="00D869E3">
        <w:rPr>
          <w:rFonts w:ascii="Verdana" w:hAnsi="Verdana"/>
          <w:sz w:val="20"/>
          <w:szCs w:val="20"/>
          <w:lang w:val="en-US"/>
        </w:rPr>
        <w:t>plain</w:t>
      </w:r>
      <w:r w:rsidRPr="00D869E3">
        <w:rPr>
          <w:rFonts w:ascii="Verdana" w:hAnsi="Verdana"/>
          <w:sz w:val="20"/>
          <w:szCs w:val="20"/>
          <w:lang w:val="en-US"/>
        </w:rPr>
        <w:t xml:space="preserve"> that, applying the rule of harmonious interpretation established in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31</w:t>
      </w:r>
      <w:r w:rsidR="00447C65" w:rsidRPr="00D869E3">
        <w:rPr>
          <w:rFonts w:ascii="Verdana" w:hAnsi="Verdana"/>
          <w:sz w:val="20"/>
          <w:szCs w:val="20"/>
          <w:lang w:val="en-US"/>
        </w:rPr>
        <w:t xml:space="preserve"> of the </w:t>
      </w:r>
      <w:r w:rsidR="00075E68" w:rsidRPr="00D869E3">
        <w:rPr>
          <w:rFonts w:ascii="Verdana" w:hAnsi="Verdana"/>
          <w:sz w:val="20"/>
          <w:szCs w:val="20"/>
          <w:lang w:val="en-US"/>
        </w:rPr>
        <w:t>Vienna Convention on the Law of Treaties</w:t>
      </w:r>
      <w:r w:rsidRPr="00D869E3">
        <w:rPr>
          <w:rFonts w:ascii="Verdana" w:hAnsi="Verdana"/>
          <w:sz w:val="20"/>
          <w:szCs w:val="20"/>
          <w:lang w:val="en-US"/>
        </w:rPr>
        <w:t>,</w:t>
      </w:r>
      <w:r w:rsidR="003C2143" w:rsidRPr="00D869E3">
        <w:rPr>
          <w:rStyle w:val="Refdenotaalpie"/>
          <w:szCs w:val="20"/>
          <w:lang w:val="en-US"/>
        </w:rPr>
        <w:footnoteReference w:id="417"/>
      </w:r>
      <w:r w:rsidRPr="00D869E3">
        <w:rPr>
          <w:rFonts w:ascii="Verdana" w:hAnsi="Verdana"/>
          <w:sz w:val="20"/>
          <w:szCs w:val="20"/>
          <w:lang w:val="en-US"/>
        </w:rPr>
        <w:t xml:space="preserve"> it is not pos</w:t>
      </w:r>
      <w:r w:rsidR="009C3C86" w:rsidRPr="00D869E3">
        <w:rPr>
          <w:rFonts w:ascii="Verdana" w:hAnsi="Verdana"/>
          <w:sz w:val="20"/>
          <w:szCs w:val="20"/>
          <w:lang w:val="en-US"/>
        </w:rPr>
        <w:t>s</w:t>
      </w:r>
      <w:r w:rsidRPr="00D869E3">
        <w:rPr>
          <w:rFonts w:ascii="Verdana" w:hAnsi="Verdana"/>
          <w:sz w:val="20"/>
          <w:szCs w:val="20"/>
          <w:lang w:val="en-US"/>
        </w:rPr>
        <w:t xml:space="preserve">ible to infer that it was agreed that the standards established in the said </w:t>
      </w:r>
      <w:r w:rsidR="00CC766D" w:rsidRPr="00D869E3">
        <w:rPr>
          <w:rFonts w:ascii="Verdana" w:hAnsi="Verdana"/>
          <w:sz w:val="20"/>
          <w:szCs w:val="20"/>
          <w:lang w:val="en-US"/>
        </w:rPr>
        <w:t>Chapter</w:t>
      </w:r>
      <w:r w:rsidR="003C2143" w:rsidRPr="00D869E3">
        <w:rPr>
          <w:rFonts w:ascii="Verdana" w:hAnsi="Verdana"/>
          <w:sz w:val="20"/>
          <w:szCs w:val="20"/>
          <w:lang w:val="en-US"/>
        </w:rPr>
        <w:t xml:space="preserve"> VII</w:t>
      </w:r>
      <w:r w:rsidRPr="00D869E3">
        <w:rPr>
          <w:rFonts w:ascii="Verdana" w:hAnsi="Verdana"/>
          <w:sz w:val="20"/>
          <w:szCs w:val="20"/>
          <w:lang w:val="en-US"/>
        </w:rPr>
        <w:t xml:space="preserve"> established rights for the individual; rather they are </w:t>
      </w:r>
      <w:r w:rsidR="006B7F68" w:rsidRPr="00D869E3">
        <w:rPr>
          <w:rFonts w:ascii="Verdana" w:hAnsi="Verdana"/>
          <w:sz w:val="20"/>
          <w:szCs w:val="20"/>
          <w:lang w:val="en-US"/>
        </w:rPr>
        <w:t xml:space="preserve">State </w:t>
      </w:r>
      <w:r w:rsidRPr="00D869E3">
        <w:rPr>
          <w:rFonts w:ascii="Verdana" w:hAnsi="Verdana"/>
          <w:sz w:val="20"/>
          <w:szCs w:val="20"/>
          <w:lang w:val="en-US"/>
        </w:rPr>
        <w:t xml:space="preserve">obligations </w:t>
      </w:r>
      <w:r w:rsidR="006B7F68" w:rsidRPr="00D869E3">
        <w:rPr>
          <w:rFonts w:ascii="Verdana" w:hAnsi="Verdana"/>
          <w:sz w:val="20"/>
          <w:szCs w:val="20"/>
          <w:lang w:val="en-US"/>
        </w:rPr>
        <w:t>when</w:t>
      </w:r>
      <w:r w:rsidR="009C3C86" w:rsidRPr="00D869E3">
        <w:rPr>
          <w:rFonts w:ascii="Verdana" w:hAnsi="Verdana"/>
          <w:sz w:val="20"/>
          <w:szCs w:val="20"/>
          <w:lang w:val="en-US"/>
        </w:rPr>
        <w:t xml:space="preserve"> elaborati</w:t>
      </w:r>
      <w:r w:rsidR="006B7F68" w:rsidRPr="00D869E3">
        <w:rPr>
          <w:rFonts w:ascii="Verdana" w:hAnsi="Verdana"/>
          <w:sz w:val="20"/>
          <w:szCs w:val="20"/>
          <w:lang w:val="en-US"/>
        </w:rPr>
        <w:t>ng</w:t>
      </w:r>
      <w:r w:rsidR="009C3C86" w:rsidRPr="00D869E3">
        <w:rPr>
          <w:rFonts w:ascii="Verdana" w:hAnsi="Verdana"/>
          <w:sz w:val="20"/>
          <w:szCs w:val="20"/>
          <w:lang w:val="en-US"/>
        </w:rPr>
        <w:t xml:space="preserve"> and appl</w:t>
      </w:r>
      <w:r w:rsidR="006B7F68" w:rsidRPr="00D869E3">
        <w:rPr>
          <w:rFonts w:ascii="Verdana" w:hAnsi="Verdana"/>
          <w:sz w:val="20"/>
          <w:szCs w:val="20"/>
          <w:lang w:val="en-US"/>
        </w:rPr>
        <w:t>ying</w:t>
      </w:r>
      <w:r w:rsidR="009C3C86" w:rsidRPr="00D869E3">
        <w:rPr>
          <w:rFonts w:ascii="Verdana" w:hAnsi="Verdana"/>
          <w:sz w:val="20"/>
          <w:szCs w:val="20"/>
          <w:lang w:val="en-US"/>
        </w:rPr>
        <w:t xml:space="preserve"> their corresponding public policies for the benefit of those who are subject to their respective jurisdictions. Thus, the object and purpose of such standards is not related to human rights, but to the integral development of the nations.</w:t>
      </w:r>
    </w:p>
    <w:p w14:paraId="6B4E8C01" w14:textId="77777777" w:rsidR="003C2143" w:rsidRPr="00D869E3" w:rsidRDefault="003C2143" w:rsidP="003C2143">
      <w:pPr>
        <w:jc w:val="both"/>
        <w:rPr>
          <w:rFonts w:ascii="Verdana" w:hAnsi="Verdana"/>
          <w:b/>
          <w:sz w:val="20"/>
          <w:szCs w:val="20"/>
          <w:lang w:val="en-US"/>
        </w:rPr>
      </w:pPr>
    </w:p>
    <w:p w14:paraId="11E36577" w14:textId="668B5D8C" w:rsidR="003C2143" w:rsidRPr="00D869E3" w:rsidRDefault="003C2143" w:rsidP="00BF692B">
      <w:pPr>
        <w:pStyle w:val="Prrafodelista"/>
        <w:numPr>
          <w:ilvl w:val="0"/>
          <w:numId w:val="31"/>
        </w:numPr>
        <w:jc w:val="both"/>
        <w:rPr>
          <w:rFonts w:ascii="Verdana" w:hAnsi="Verdana"/>
          <w:b/>
          <w:sz w:val="20"/>
          <w:szCs w:val="20"/>
          <w:lang w:val="en-US"/>
        </w:rPr>
      </w:pPr>
      <w:r w:rsidRPr="00D869E3">
        <w:rPr>
          <w:rFonts w:ascii="Verdana" w:hAnsi="Verdana"/>
          <w:b/>
          <w:sz w:val="20"/>
          <w:szCs w:val="20"/>
          <w:lang w:val="en-US"/>
        </w:rPr>
        <w:t>Conse</w:t>
      </w:r>
      <w:r w:rsidR="00331C63" w:rsidRPr="00D869E3">
        <w:rPr>
          <w:rFonts w:ascii="Verdana" w:hAnsi="Verdana"/>
          <w:b/>
          <w:sz w:val="20"/>
          <w:szCs w:val="20"/>
          <w:lang w:val="en-US"/>
        </w:rPr>
        <w:t>quences</w:t>
      </w:r>
    </w:p>
    <w:p w14:paraId="0B90AF9C" w14:textId="77777777" w:rsidR="00331C63" w:rsidRPr="00D869E3" w:rsidRDefault="00331C63" w:rsidP="00331C63">
      <w:pPr>
        <w:pStyle w:val="Prrafodelista"/>
        <w:jc w:val="both"/>
        <w:rPr>
          <w:rFonts w:ascii="Verdana" w:hAnsi="Verdana"/>
          <w:b/>
          <w:sz w:val="20"/>
          <w:szCs w:val="20"/>
          <w:lang w:val="en-US"/>
        </w:rPr>
      </w:pPr>
    </w:p>
    <w:p w14:paraId="5BB837D5" w14:textId="5CB6FB8D" w:rsidR="003C2143" w:rsidRPr="00D869E3" w:rsidRDefault="009C3C86" w:rsidP="003C2143">
      <w:pPr>
        <w:jc w:val="both"/>
        <w:rPr>
          <w:rFonts w:ascii="Verdana" w:hAnsi="Verdana"/>
          <w:sz w:val="20"/>
          <w:szCs w:val="20"/>
          <w:lang w:val="en-US"/>
        </w:rPr>
      </w:pPr>
      <w:r w:rsidRPr="00D869E3">
        <w:rPr>
          <w:rFonts w:ascii="Verdana" w:hAnsi="Verdana"/>
          <w:sz w:val="20"/>
          <w:szCs w:val="20"/>
          <w:lang w:val="en-US"/>
        </w:rPr>
        <w:t xml:space="preserve">Regarding the interpretation made in the judgment </w:t>
      </w:r>
      <w:r w:rsidR="00837E52" w:rsidRPr="00D869E3">
        <w:rPr>
          <w:rFonts w:ascii="Verdana" w:hAnsi="Verdana"/>
          <w:sz w:val="20"/>
          <w:szCs w:val="20"/>
          <w:lang w:val="en-US"/>
        </w:rPr>
        <w:t>that</w:t>
      </w:r>
      <w:r w:rsidRPr="00D869E3">
        <w:rPr>
          <w:rFonts w:ascii="Verdana" w:hAnsi="Verdana"/>
          <w:sz w:val="20"/>
          <w:szCs w:val="20"/>
          <w:lang w:val="en-US"/>
        </w:rPr>
        <w:t xml:space="preserve"> the rights referred to in</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Pr="00D869E3">
        <w:rPr>
          <w:rFonts w:ascii="Verdana" w:hAnsi="Verdana"/>
          <w:sz w:val="20"/>
          <w:szCs w:val="20"/>
          <w:lang w:val="en-US"/>
        </w:rPr>
        <w:t xml:space="preserve"> would also be</w:t>
      </w:r>
      <w:r w:rsidR="003C2143" w:rsidRPr="00D869E3">
        <w:rPr>
          <w:rFonts w:ascii="Verdana" w:hAnsi="Verdana"/>
          <w:sz w:val="20"/>
          <w:szCs w:val="20"/>
          <w:lang w:val="en-US"/>
        </w:rPr>
        <w:t xml:space="preserve"> </w:t>
      </w:r>
      <w:r w:rsidR="006436CA" w:rsidRPr="00D869E3">
        <w:rPr>
          <w:rFonts w:ascii="Verdana" w:hAnsi="Verdana"/>
          <w:sz w:val="20"/>
          <w:szCs w:val="20"/>
          <w:lang w:val="en-US"/>
        </w:rPr>
        <w:t>“</w:t>
      </w:r>
      <w:r w:rsidR="00837E52" w:rsidRPr="00D869E3">
        <w:rPr>
          <w:rFonts w:ascii="Verdana" w:hAnsi="Verdana"/>
          <w:i/>
          <w:iCs/>
          <w:sz w:val="20"/>
          <w:szCs w:val="20"/>
          <w:lang w:val="en-US"/>
        </w:rPr>
        <w:t>enforceable in all cases before the competent authorities</w:t>
      </w:r>
      <w:r w:rsidRPr="00D869E3">
        <w:rPr>
          <w:rFonts w:ascii="Verdana" w:hAnsi="Verdana"/>
          <w:i/>
          <w:sz w:val="20"/>
          <w:szCs w:val="20"/>
          <w:lang w:val="en-US"/>
        </w:rPr>
        <w:t>,</w:t>
      </w:r>
      <w:r w:rsidR="006436CA" w:rsidRPr="00D869E3">
        <w:rPr>
          <w:rFonts w:ascii="Verdana" w:hAnsi="Verdana"/>
          <w:sz w:val="20"/>
          <w:szCs w:val="20"/>
          <w:lang w:val="en-US"/>
        </w:rPr>
        <w:t>”</w:t>
      </w:r>
      <w:r w:rsidR="003C2143" w:rsidRPr="00D869E3">
        <w:rPr>
          <w:rStyle w:val="Refdenotaalpie"/>
          <w:szCs w:val="20"/>
          <w:lang w:val="en-US"/>
        </w:rPr>
        <w:footnoteReference w:id="418"/>
      </w:r>
      <w:r w:rsidR="003C2143" w:rsidRPr="00D869E3">
        <w:rPr>
          <w:rFonts w:ascii="Verdana" w:hAnsi="Verdana"/>
          <w:sz w:val="20"/>
          <w:szCs w:val="20"/>
          <w:lang w:val="en-US"/>
        </w:rPr>
        <w:t xml:space="preserve"> </w:t>
      </w:r>
      <w:r w:rsidR="00837E52" w:rsidRPr="00D869E3">
        <w:rPr>
          <w:rFonts w:ascii="Verdana" w:hAnsi="Verdana"/>
          <w:sz w:val="20"/>
          <w:szCs w:val="20"/>
          <w:lang w:val="en-US"/>
        </w:rPr>
        <w:t xml:space="preserve">this begs the question of </w:t>
      </w:r>
      <w:r w:rsidRPr="00D869E3">
        <w:rPr>
          <w:rFonts w:ascii="Verdana" w:hAnsi="Verdana"/>
          <w:sz w:val="20"/>
          <w:szCs w:val="20"/>
          <w:lang w:val="en-US"/>
        </w:rPr>
        <w:t>why the said rights were not directly included in the articles of the Convention, as</w:t>
      </w:r>
      <w:r w:rsidR="00837E52" w:rsidRPr="00D869E3">
        <w:rPr>
          <w:rFonts w:ascii="Verdana" w:hAnsi="Verdana"/>
          <w:sz w:val="20"/>
          <w:szCs w:val="20"/>
          <w:lang w:val="en-US"/>
        </w:rPr>
        <w:t xml:space="preserve"> </w:t>
      </w:r>
      <w:r w:rsidRPr="00D869E3">
        <w:rPr>
          <w:rFonts w:ascii="Verdana" w:hAnsi="Verdana"/>
          <w:sz w:val="20"/>
          <w:szCs w:val="20"/>
          <w:lang w:val="en-US"/>
        </w:rPr>
        <w:t xml:space="preserve">the </w:t>
      </w:r>
      <w:r w:rsidRPr="00D869E3">
        <w:rPr>
          <w:rFonts w:ascii="Verdana" w:hAnsi="Verdana"/>
          <w:i/>
          <w:iCs/>
          <w:sz w:val="20"/>
          <w:szCs w:val="20"/>
          <w:lang w:val="en-US"/>
        </w:rPr>
        <w:t>Civil and Political Rights</w:t>
      </w:r>
      <w:r w:rsidRPr="00D869E3">
        <w:rPr>
          <w:rFonts w:ascii="Verdana" w:hAnsi="Verdana"/>
          <w:sz w:val="20"/>
          <w:szCs w:val="20"/>
          <w:lang w:val="en-US"/>
        </w:rPr>
        <w:t xml:space="preserve"> </w:t>
      </w:r>
      <w:r w:rsidR="00837E52" w:rsidRPr="00D869E3">
        <w:rPr>
          <w:rFonts w:ascii="Verdana" w:hAnsi="Verdana"/>
          <w:sz w:val="20"/>
          <w:szCs w:val="20"/>
          <w:lang w:val="en-US"/>
        </w:rPr>
        <w:t xml:space="preserve">expressly </w:t>
      </w:r>
      <w:r w:rsidR="008A2576" w:rsidRPr="00D869E3">
        <w:rPr>
          <w:rFonts w:ascii="Verdana" w:hAnsi="Verdana"/>
          <w:sz w:val="20"/>
          <w:szCs w:val="20"/>
          <w:lang w:val="en-US"/>
        </w:rPr>
        <w:t xml:space="preserve">were </w:t>
      </w:r>
      <w:r w:rsidRPr="00D869E3">
        <w:rPr>
          <w:rFonts w:ascii="Verdana" w:hAnsi="Verdana"/>
          <w:sz w:val="20"/>
          <w:szCs w:val="20"/>
          <w:lang w:val="en-US"/>
        </w:rPr>
        <w:t xml:space="preserve">and, to the contrary, it was chosen to make a general statement in the said </w:t>
      </w:r>
      <w:r w:rsidR="00837E52" w:rsidRPr="00D869E3">
        <w:rPr>
          <w:rFonts w:ascii="Verdana" w:hAnsi="Verdana"/>
          <w:sz w:val="20"/>
          <w:szCs w:val="20"/>
          <w:lang w:val="en-US"/>
        </w:rPr>
        <w:t>article</w:t>
      </w:r>
      <w:r w:rsidRPr="00D869E3">
        <w:rPr>
          <w:rFonts w:ascii="Verdana" w:hAnsi="Verdana"/>
          <w:sz w:val="20"/>
          <w:szCs w:val="20"/>
          <w:lang w:val="en-US"/>
        </w:rPr>
        <w:t xml:space="preserve">, situated in a special chapter, Chapter III of Part I, entitled </w:t>
      </w:r>
      <w:r w:rsidRPr="00D869E3">
        <w:rPr>
          <w:rFonts w:ascii="Verdana" w:hAnsi="Verdana"/>
          <w:i/>
          <w:sz w:val="20"/>
          <w:szCs w:val="20"/>
          <w:lang w:val="en-US"/>
        </w:rPr>
        <w:t>Economic, Social and Cultural Rights</w:t>
      </w:r>
      <w:r w:rsidRPr="00D869E3">
        <w:rPr>
          <w:rFonts w:ascii="Verdana" w:hAnsi="Verdana"/>
          <w:sz w:val="20"/>
          <w:szCs w:val="20"/>
          <w:lang w:val="en-US"/>
        </w:rPr>
        <w:t xml:space="preserve">. Thus, the issue is to determine the reason for the existence of the said provision and, consequently, for the regulation of the latter rights. The answer would seem evident; namely, that the </w:t>
      </w:r>
      <w:r w:rsidR="00837E52" w:rsidRPr="00D869E3">
        <w:rPr>
          <w:rFonts w:ascii="Verdana" w:hAnsi="Verdana"/>
          <w:i/>
          <w:sz w:val="20"/>
          <w:szCs w:val="20"/>
          <w:lang w:val="en-US"/>
        </w:rPr>
        <w:t xml:space="preserve">economic, social and cultural rights </w:t>
      </w:r>
      <w:r w:rsidRPr="00D869E3">
        <w:rPr>
          <w:rFonts w:ascii="Verdana" w:hAnsi="Verdana"/>
          <w:sz w:val="20"/>
          <w:szCs w:val="20"/>
          <w:lang w:val="en-US"/>
        </w:rPr>
        <w:t>are not subject to the same protection regime as the</w:t>
      </w:r>
      <w:r w:rsidR="003C2143" w:rsidRPr="00D869E3">
        <w:rPr>
          <w:rFonts w:ascii="Verdana" w:hAnsi="Verdana"/>
          <w:sz w:val="20"/>
          <w:szCs w:val="20"/>
          <w:lang w:val="en-US"/>
        </w:rPr>
        <w:t xml:space="preserve"> </w:t>
      </w:r>
      <w:r w:rsidR="00837E52" w:rsidRPr="00D869E3">
        <w:rPr>
          <w:rFonts w:ascii="Verdana" w:hAnsi="Verdana"/>
          <w:i/>
          <w:sz w:val="20"/>
          <w:szCs w:val="20"/>
          <w:lang w:val="en-US"/>
        </w:rPr>
        <w:t>civil and political rights</w:t>
      </w:r>
      <w:r w:rsidRPr="00D869E3">
        <w:rPr>
          <w:rFonts w:ascii="Verdana" w:hAnsi="Verdana"/>
          <w:i/>
          <w:sz w:val="20"/>
          <w:szCs w:val="20"/>
          <w:lang w:val="en-US"/>
        </w:rPr>
        <w:t xml:space="preserve">, </w:t>
      </w:r>
      <w:r w:rsidRPr="00D869E3">
        <w:rPr>
          <w:rFonts w:ascii="Verdana" w:hAnsi="Verdana"/>
          <w:sz w:val="20"/>
          <w:szCs w:val="20"/>
          <w:lang w:val="en-US"/>
        </w:rPr>
        <w:t>described in</w:t>
      </w:r>
      <w:r w:rsidR="003C2143" w:rsidRPr="00D869E3">
        <w:rPr>
          <w:rFonts w:ascii="Verdana" w:hAnsi="Verdana"/>
          <w:sz w:val="20"/>
          <w:szCs w:val="20"/>
          <w:lang w:val="en-US"/>
        </w:rPr>
        <w:t xml:space="preserve"> </w:t>
      </w:r>
      <w:r w:rsidR="00CC766D" w:rsidRPr="00D869E3">
        <w:rPr>
          <w:rFonts w:ascii="Verdana" w:hAnsi="Verdana"/>
          <w:sz w:val="20"/>
          <w:szCs w:val="20"/>
          <w:lang w:val="en-US"/>
        </w:rPr>
        <w:t>Chapter</w:t>
      </w:r>
      <w:r w:rsidR="003C2143" w:rsidRPr="00D869E3">
        <w:rPr>
          <w:rFonts w:ascii="Verdana" w:hAnsi="Verdana"/>
          <w:sz w:val="20"/>
          <w:szCs w:val="20"/>
          <w:lang w:val="en-US"/>
        </w:rPr>
        <w:t xml:space="preserve"> II.</w:t>
      </w:r>
      <w:r w:rsidR="003C2143" w:rsidRPr="00D869E3">
        <w:rPr>
          <w:rFonts w:ascii="Verdana" w:hAnsi="Verdana"/>
          <w:lang w:val="en-US"/>
        </w:rPr>
        <w:t xml:space="preserve"> </w:t>
      </w:r>
      <w:r w:rsidR="00711B21" w:rsidRPr="00D869E3">
        <w:rPr>
          <w:rFonts w:ascii="Verdana" w:hAnsi="Verdana"/>
          <w:sz w:val="20"/>
          <w:szCs w:val="20"/>
          <w:lang w:val="en-US"/>
        </w:rPr>
        <w:t>Thus</w:t>
      </w:r>
      <w:r w:rsidRPr="00D869E3">
        <w:rPr>
          <w:rFonts w:ascii="Verdana" w:hAnsi="Verdana"/>
          <w:sz w:val="20"/>
          <w:szCs w:val="20"/>
          <w:lang w:val="en-US"/>
        </w:rPr>
        <w:t xml:space="preserve">, although it is true that there is a close connection between both types of rights, it is also true that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r w:rsidR="00FD2A94" w:rsidRPr="00D869E3">
        <w:rPr>
          <w:rFonts w:ascii="Verdana" w:hAnsi="Verdana"/>
          <w:sz w:val="20"/>
          <w:szCs w:val="20"/>
          <w:lang w:val="en-US"/>
        </w:rPr>
        <w:t xml:space="preserve">gives them a differentiated treatment, which is indicated precisely in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p>
    <w:p w14:paraId="4542C9A9" w14:textId="77777777" w:rsidR="003C2143" w:rsidRPr="00D869E3" w:rsidRDefault="003C2143" w:rsidP="003C2143">
      <w:pPr>
        <w:jc w:val="both"/>
        <w:rPr>
          <w:rFonts w:ascii="Verdana" w:hAnsi="Verdana"/>
          <w:sz w:val="20"/>
          <w:szCs w:val="20"/>
          <w:lang w:val="en-US"/>
        </w:rPr>
      </w:pPr>
    </w:p>
    <w:p w14:paraId="2E3F25B9" w14:textId="79DEE1B1" w:rsidR="003C2143" w:rsidRPr="00D869E3" w:rsidRDefault="00711B21" w:rsidP="003C2143">
      <w:pPr>
        <w:jc w:val="both"/>
        <w:rPr>
          <w:rFonts w:ascii="Verdana" w:hAnsi="Verdana"/>
          <w:sz w:val="20"/>
          <w:szCs w:val="20"/>
          <w:lang w:val="en-US"/>
        </w:rPr>
      </w:pPr>
      <w:r w:rsidRPr="00D869E3">
        <w:rPr>
          <w:rFonts w:ascii="Verdana" w:hAnsi="Verdana"/>
          <w:sz w:val="20"/>
          <w:szCs w:val="20"/>
          <w:lang w:val="en-US"/>
        </w:rPr>
        <w:t>Furthermore</w:t>
      </w:r>
      <w:r w:rsidR="003C2143" w:rsidRPr="00D869E3">
        <w:rPr>
          <w:rFonts w:ascii="Verdana" w:hAnsi="Verdana"/>
          <w:sz w:val="20"/>
          <w:szCs w:val="20"/>
          <w:lang w:val="en-US"/>
        </w:rPr>
        <w:t xml:space="preserve">, </w:t>
      </w:r>
      <w:r w:rsidRPr="00D869E3">
        <w:rPr>
          <w:rFonts w:ascii="Verdana" w:hAnsi="Verdana"/>
          <w:sz w:val="20"/>
          <w:szCs w:val="20"/>
          <w:lang w:val="en-US"/>
        </w:rPr>
        <w:t>if we accept what the judgment indicates in relation to the said</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 </w:t>
      </w:r>
      <w:r w:rsidRPr="00D869E3">
        <w:rPr>
          <w:rFonts w:ascii="Verdana" w:hAnsi="Verdana"/>
          <w:sz w:val="20"/>
          <w:szCs w:val="20"/>
          <w:lang w:val="en-US"/>
        </w:rPr>
        <w:t xml:space="preserve">this would make the provisions of </w:t>
      </w:r>
      <w:r w:rsidR="00447C65" w:rsidRPr="00D869E3">
        <w:rPr>
          <w:rFonts w:ascii="Verdana" w:hAnsi="Verdana"/>
          <w:sz w:val="20"/>
          <w:szCs w:val="20"/>
          <w:lang w:val="en-US"/>
        </w:rPr>
        <w:t>Articles</w:t>
      </w:r>
      <w:r w:rsidR="003C2143" w:rsidRPr="00D869E3">
        <w:rPr>
          <w:rFonts w:ascii="Verdana" w:hAnsi="Verdana"/>
          <w:sz w:val="20"/>
          <w:szCs w:val="20"/>
          <w:lang w:val="en-US"/>
        </w:rPr>
        <w:t xml:space="preserve"> 31, 76</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687684" w:rsidRPr="00D869E3">
        <w:rPr>
          <w:rFonts w:ascii="Verdana" w:hAnsi="Verdana"/>
          <w:sz w:val="20"/>
          <w:szCs w:val="20"/>
          <w:lang w:val="en-US"/>
        </w:rPr>
        <w:t xml:space="preserve"> and </w:t>
      </w:r>
      <w:r w:rsidR="003C2143" w:rsidRPr="00D869E3">
        <w:rPr>
          <w:rFonts w:ascii="Verdana" w:hAnsi="Verdana"/>
          <w:sz w:val="20"/>
          <w:szCs w:val="20"/>
          <w:lang w:val="en-US"/>
        </w:rPr>
        <w:t>77</w:t>
      </w:r>
      <w:r w:rsidRPr="00D869E3">
        <w:rPr>
          <w:rFonts w:ascii="Verdana" w:hAnsi="Verdana"/>
          <w:sz w:val="20"/>
          <w:szCs w:val="20"/>
          <w:lang w:val="en-US"/>
        </w:rPr>
        <w:t>(</w:t>
      </w:r>
      <w:r w:rsidR="003C2143" w:rsidRPr="00D869E3">
        <w:rPr>
          <w:rFonts w:ascii="Verdana" w:hAnsi="Verdana"/>
          <w:sz w:val="20"/>
          <w:szCs w:val="20"/>
          <w:lang w:val="en-US"/>
        </w:rPr>
        <w:t>1</w:t>
      </w:r>
      <w:r w:rsidRPr="00D869E3">
        <w:rPr>
          <w:rFonts w:ascii="Verdana" w:hAnsi="Verdana"/>
          <w:sz w:val="20"/>
          <w:szCs w:val="20"/>
          <w:lang w:val="en-US"/>
        </w:rPr>
        <w:t>)</w:t>
      </w:r>
      <w:r w:rsidR="003C2143" w:rsidRPr="00D869E3">
        <w:rPr>
          <w:rStyle w:val="Refdenotaalpie"/>
          <w:szCs w:val="20"/>
          <w:lang w:val="en-US"/>
        </w:rPr>
        <w:footnoteReference w:id="419"/>
      </w:r>
      <w:r w:rsidR="00447C65" w:rsidRPr="00D869E3">
        <w:rPr>
          <w:rFonts w:ascii="Verdana" w:hAnsi="Verdana"/>
          <w:sz w:val="20"/>
          <w:szCs w:val="20"/>
          <w:lang w:val="en-US"/>
        </w:rPr>
        <w:t xml:space="preserve"> of the Convention</w:t>
      </w:r>
      <w:r w:rsidRPr="00D869E3">
        <w:rPr>
          <w:rFonts w:ascii="Verdana" w:hAnsi="Verdana"/>
          <w:sz w:val="20"/>
          <w:szCs w:val="20"/>
          <w:lang w:val="en-US"/>
        </w:rPr>
        <w:t xml:space="preserve"> unnecessary and useless; </w:t>
      </w:r>
      <w:r w:rsidR="008A2576" w:rsidRPr="00D869E3">
        <w:rPr>
          <w:rFonts w:ascii="Verdana" w:hAnsi="Verdana"/>
          <w:sz w:val="20"/>
          <w:szCs w:val="20"/>
          <w:lang w:val="en-US"/>
        </w:rPr>
        <w:t>in other words,</w:t>
      </w:r>
      <w:r w:rsidRPr="00D869E3">
        <w:rPr>
          <w:rFonts w:ascii="Verdana" w:hAnsi="Verdana"/>
          <w:sz w:val="20"/>
          <w:szCs w:val="20"/>
          <w:lang w:val="en-US"/>
        </w:rPr>
        <w:t xml:space="preserve"> the signature of additional protocols in order to recognize rights other than those already in </w:t>
      </w:r>
      <w:r w:rsidR="00447C65" w:rsidRPr="00D869E3">
        <w:rPr>
          <w:rFonts w:ascii="Verdana" w:hAnsi="Verdana"/>
          <w:sz w:val="20"/>
          <w:szCs w:val="20"/>
          <w:lang w:val="en-US"/>
        </w:rPr>
        <w:t>the Convention</w:t>
      </w:r>
      <w:r w:rsidR="003C2143" w:rsidRPr="00D869E3">
        <w:rPr>
          <w:rFonts w:ascii="Verdana" w:hAnsi="Verdana"/>
          <w:sz w:val="20"/>
          <w:szCs w:val="20"/>
          <w:lang w:val="en-US"/>
        </w:rPr>
        <w:t xml:space="preserve"> </w:t>
      </w:r>
      <w:r w:rsidRPr="00D869E3">
        <w:rPr>
          <w:rFonts w:ascii="Verdana" w:hAnsi="Verdana"/>
          <w:sz w:val="20"/>
          <w:szCs w:val="20"/>
          <w:lang w:val="en-US"/>
        </w:rPr>
        <w:t>and to include them in the protection regime that it establishes, because it would be sufficient to apply the first of the said articles to achieve this</w:t>
      </w:r>
      <w:r w:rsidR="003C2143" w:rsidRPr="00D869E3">
        <w:rPr>
          <w:rFonts w:ascii="Verdana" w:hAnsi="Verdana"/>
          <w:sz w:val="20"/>
          <w:szCs w:val="20"/>
          <w:lang w:val="en-US"/>
        </w:rPr>
        <w:t xml:space="preserve">. </w:t>
      </w:r>
      <w:r w:rsidR="00075E68" w:rsidRPr="00D869E3">
        <w:rPr>
          <w:rFonts w:ascii="Verdana" w:hAnsi="Verdana"/>
          <w:sz w:val="20"/>
          <w:szCs w:val="20"/>
          <w:lang w:val="en-US"/>
        </w:rPr>
        <w:t>In this regard</w:t>
      </w:r>
      <w:r w:rsidR="003C2143" w:rsidRPr="00D869E3">
        <w:rPr>
          <w:rFonts w:ascii="Verdana" w:hAnsi="Verdana"/>
          <w:sz w:val="20"/>
          <w:szCs w:val="20"/>
          <w:lang w:val="en-US"/>
        </w:rPr>
        <w:t xml:space="preserve">, </w:t>
      </w:r>
      <w:r w:rsidRPr="00D869E3">
        <w:rPr>
          <w:rFonts w:ascii="Verdana" w:hAnsi="Verdana"/>
          <w:sz w:val="20"/>
          <w:szCs w:val="20"/>
          <w:lang w:val="en-US"/>
        </w:rPr>
        <w:t xml:space="preserve">even, as already indicated, the </w:t>
      </w:r>
      <w:r w:rsidR="006436CA" w:rsidRPr="00D869E3">
        <w:rPr>
          <w:rFonts w:ascii="Verdana" w:hAnsi="Verdana"/>
          <w:sz w:val="20"/>
          <w:szCs w:val="20"/>
          <w:lang w:val="en-US"/>
        </w:rPr>
        <w:t>“</w:t>
      </w:r>
      <w:r w:rsidR="000F0B45" w:rsidRPr="00D869E3">
        <w:rPr>
          <w:rFonts w:ascii="Verdana" w:hAnsi="Verdana"/>
          <w:i/>
          <w:sz w:val="20"/>
          <w:szCs w:val="20"/>
          <w:lang w:val="en-US"/>
        </w:rPr>
        <w:t>Protocol</w:t>
      </w:r>
      <w:r w:rsidR="003C2143" w:rsidRPr="00D869E3">
        <w:rPr>
          <w:rFonts w:ascii="Verdana" w:hAnsi="Verdana"/>
          <w:i/>
          <w:sz w:val="20"/>
          <w:szCs w:val="20"/>
          <w:lang w:val="en-US"/>
        </w:rPr>
        <w:t xml:space="preserve"> </w:t>
      </w:r>
      <w:r w:rsidRPr="00D869E3">
        <w:rPr>
          <w:rFonts w:ascii="Verdana" w:hAnsi="Verdana"/>
          <w:i/>
          <w:sz w:val="20"/>
          <w:szCs w:val="20"/>
          <w:lang w:val="en-US"/>
        </w:rPr>
        <w:t>of</w:t>
      </w:r>
      <w:r w:rsidR="003C2143" w:rsidRPr="00D869E3">
        <w:rPr>
          <w:rFonts w:ascii="Verdana" w:hAnsi="Verdana"/>
          <w:i/>
          <w:sz w:val="20"/>
          <w:szCs w:val="20"/>
          <w:lang w:val="en-US"/>
        </w:rPr>
        <w:t xml:space="preserve"> San Salvador</w:t>
      </w:r>
      <w:r w:rsidR="006436CA" w:rsidRPr="00D869E3">
        <w:rPr>
          <w:rFonts w:ascii="Verdana" w:hAnsi="Verdana"/>
          <w:sz w:val="20"/>
          <w:szCs w:val="20"/>
          <w:lang w:val="en-US"/>
        </w:rPr>
        <w:t>”</w:t>
      </w:r>
      <w:r w:rsidR="003C2143" w:rsidRPr="00D869E3">
        <w:rPr>
          <w:rFonts w:ascii="Verdana" w:hAnsi="Verdana"/>
          <w:sz w:val="20"/>
          <w:szCs w:val="20"/>
          <w:lang w:val="en-US"/>
        </w:rPr>
        <w:t xml:space="preserve"> </w:t>
      </w:r>
      <w:r w:rsidRPr="00D869E3">
        <w:rPr>
          <w:rFonts w:ascii="Verdana" w:hAnsi="Verdana"/>
          <w:sz w:val="20"/>
          <w:szCs w:val="20"/>
          <w:lang w:val="en-US"/>
        </w:rPr>
        <w:t>and, especially, its articles on the right to organize and join trade unions, and the right to education,</w:t>
      </w:r>
      <w:r w:rsidR="003C2143" w:rsidRPr="00D869E3">
        <w:rPr>
          <w:rStyle w:val="Refdenotaalpie"/>
          <w:szCs w:val="20"/>
          <w:lang w:val="en-US"/>
        </w:rPr>
        <w:footnoteReference w:id="420"/>
      </w:r>
      <w:r w:rsidRPr="00D869E3">
        <w:rPr>
          <w:rFonts w:ascii="Verdana" w:hAnsi="Verdana"/>
          <w:sz w:val="20"/>
          <w:szCs w:val="20"/>
          <w:lang w:val="en-US"/>
        </w:rPr>
        <w:t xml:space="preserve"> would not be necessary to claim the violation of those </w:t>
      </w:r>
      <w:r w:rsidR="00881A39" w:rsidRPr="00D869E3">
        <w:rPr>
          <w:rFonts w:ascii="Verdana" w:hAnsi="Verdana"/>
          <w:sz w:val="20"/>
          <w:szCs w:val="20"/>
          <w:lang w:val="en-US"/>
        </w:rPr>
        <w:t>rights</w:t>
      </w:r>
      <w:r w:rsidR="00966115" w:rsidRPr="00D869E3">
        <w:rPr>
          <w:rFonts w:ascii="Verdana" w:hAnsi="Verdana"/>
          <w:sz w:val="20"/>
          <w:szCs w:val="20"/>
          <w:lang w:val="en-US"/>
        </w:rPr>
        <w:t xml:space="preserve"> before the</w:t>
      </w:r>
      <w:r w:rsidR="00447C65" w:rsidRPr="00D869E3">
        <w:rPr>
          <w:rFonts w:ascii="Verdana" w:hAnsi="Verdana"/>
          <w:sz w:val="20"/>
          <w:szCs w:val="20"/>
          <w:lang w:val="en-US"/>
        </w:rPr>
        <w:t xml:space="preserve"> Court</w:t>
      </w:r>
      <w:r w:rsidR="003C2143" w:rsidRPr="00D869E3">
        <w:rPr>
          <w:rFonts w:ascii="Verdana" w:hAnsi="Verdana"/>
          <w:sz w:val="20"/>
          <w:szCs w:val="20"/>
          <w:lang w:val="en-US"/>
        </w:rPr>
        <w:t xml:space="preserve">, </w:t>
      </w:r>
      <w:r w:rsidRPr="00D869E3">
        <w:rPr>
          <w:rFonts w:ascii="Verdana" w:hAnsi="Verdana"/>
          <w:sz w:val="20"/>
          <w:szCs w:val="20"/>
          <w:lang w:val="en-US"/>
        </w:rPr>
        <w:t>because the said Article 26 alone would be sufficient.</w:t>
      </w:r>
    </w:p>
    <w:p w14:paraId="4796EF11" w14:textId="77777777" w:rsidR="003C2143" w:rsidRPr="00D869E3" w:rsidRDefault="003C2143" w:rsidP="003C2143">
      <w:pPr>
        <w:jc w:val="both"/>
        <w:rPr>
          <w:rFonts w:ascii="Verdana" w:hAnsi="Verdana"/>
          <w:sz w:val="20"/>
          <w:szCs w:val="20"/>
          <w:lang w:val="en-US"/>
        </w:rPr>
      </w:pPr>
    </w:p>
    <w:p w14:paraId="045E363F" w14:textId="1100E693" w:rsidR="003C2143" w:rsidRPr="00D869E3" w:rsidRDefault="00711B21" w:rsidP="003C2143">
      <w:pPr>
        <w:jc w:val="both"/>
        <w:rPr>
          <w:rFonts w:ascii="Verdana" w:hAnsi="Verdana"/>
          <w:sz w:val="20"/>
          <w:szCs w:val="20"/>
          <w:lang w:val="en-US"/>
        </w:rPr>
      </w:pPr>
      <w:r w:rsidRPr="00D869E3">
        <w:rPr>
          <w:rFonts w:ascii="Verdana" w:hAnsi="Verdana"/>
          <w:sz w:val="20"/>
          <w:szCs w:val="20"/>
          <w:lang w:val="en-US"/>
        </w:rPr>
        <w:t xml:space="preserve">In other words, based on the principle that </w:t>
      </w:r>
      <w:r w:rsidR="006436CA" w:rsidRPr="00D869E3">
        <w:rPr>
          <w:rFonts w:ascii="Verdana" w:hAnsi="Verdana"/>
          <w:sz w:val="20"/>
          <w:szCs w:val="20"/>
          <w:lang w:val="en-US"/>
        </w:rPr>
        <w:t>“</w:t>
      </w:r>
      <w:r w:rsidR="00955A32" w:rsidRPr="00D869E3">
        <w:rPr>
          <w:rFonts w:ascii="Verdana" w:hAnsi="Verdana"/>
          <w:i/>
          <w:iCs/>
          <w:sz w:val="20"/>
          <w:szCs w:val="20"/>
          <w:lang w:val="en-US"/>
        </w:rPr>
        <w:t xml:space="preserve">Ubi eadem est ratio, eadem est o debet esse juris dispositivo” </w:t>
      </w:r>
      <w:r w:rsidR="00955A32" w:rsidRPr="00D869E3">
        <w:rPr>
          <w:rFonts w:ascii="Verdana" w:hAnsi="Verdana"/>
          <w:iCs/>
          <w:sz w:val="20"/>
          <w:szCs w:val="20"/>
          <w:lang w:val="en-US"/>
        </w:rPr>
        <w:t>[</w:t>
      </w:r>
      <w:r w:rsidR="00955A32" w:rsidRPr="00D869E3">
        <w:rPr>
          <w:rStyle w:val="e24kjd"/>
          <w:rFonts w:ascii="Verdana" w:hAnsi="Verdana"/>
          <w:sz w:val="20"/>
          <w:szCs w:val="20"/>
          <w:lang w:val="en-US"/>
        </w:rPr>
        <w:t>for the same reason, the same legal provision]</w:t>
      </w:r>
      <w:r w:rsidR="00955A32" w:rsidRPr="00D869E3">
        <w:rPr>
          <w:rFonts w:ascii="Verdana" w:hAnsi="Verdana"/>
          <w:i/>
          <w:sz w:val="20"/>
          <w:szCs w:val="20"/>
          <w:lang w:val="en-US"/>
        </w:rPr>
        <w:t>,</w:t>
      </w:r>
      <w:r w:rsidR="003C2143" w:rsidRPr="00D869E3">
        <w:rPr>
          <w:rFonts w:ascii="Verdana" w:hAnsi="Verdana"/>
          <w:sz w:val="20"/>
          <w:szCs w:val="20"/>
          <w:lang w:val="en-US"/>
        </w:rPr>
        <w:t xml:space="preserve"> </w:t>
      </w:r>
      <w:r w:rsidR="00955A32" w:rsidRPr="00D869E3">
        <w:rPr>
          <w:rFonts w:ascii="Verdana" w:hAnsi="Verdana"/>
          <w:sz w:val="20"/>
          <w:szCs w:val="20"/>
          <w:lang w:val="en-US"/>
        </w:rPr>
        <w:t xml:space="preserve">if the criteria adopted in the </w:t>
      </w:r>
      <w:r w:rsidR="00955A32" w:rsidRPr="00D869E3">
        <w:rPr>
          <w:rFonts w:ascii="Verdana" w:hAnsi="Verdana"/>
          <w:sz w:val="20"/>
          <w:szCs w:val="20"/>
          <w:lang w:val="en-US"/>
        </w:rPr>
        <w:lastRenderedPageBreak/>
        <w:t>judgment is followed and taken to its extreme, there would seem to be no reason why the presumed violations of all the human rights that the provisions of Chapter VII of the OAS</w:t>
      </w:r>
      <w:r w:rsidR="008A2576" w:rsidRPr="00D869E3">
        <w:rPr>
          <w:rFonts w:ascii="Verdana" w:hAnsi="Verdana"/>
          <w:sz w:val="20"/>
          <w:szCs w:val="20"/>
          <w:lang w:val="en-US"/>
        </w:rPr>
        <w:t xml:space="preserve"> Charter</w:t>
      </w:r>
      <w:r w:rsidR="00955A32" w:rsidRPr="00D869E3">
        <w:rPr>
          <w:rFonts w:ascii="Verdana" w:hAnsi="Verdana"/>
          <w:sz w:val="20"/>
          <w:szCs w:val="20"/>
          <w:lang w:val="en-US"/>
        </w:rPr>
        <w:t xml:space="preserve"> would imply could not also be invoked before the Court.</w:t>
      </w:r>
      <w:r w:rsidR="003C2143" w:rsidRPr="00D869E3">
        <w:rPr>
          <w:rStyle w:val="Refdenotaalpie"/>
          <w:szCs w:val="20"/>
          <w:lang w:val="en-US"/>
        </w:rPr>
        <w:footnoteReference w:id="421"/>
      </w:r>
      <w:r w:rsidR="003C2143" w:rsidRPr="00D869E3">
        <w:rPr>
          <w:rFonts w:ascii="Verdana" w:hAnsi="Verdana"/>
          <w:sz w:val="20"/>
          <w:szCs w:val="20"/>
          <w:lang w:val="en-US"/>
        </w:rPr>
        <w:t xml:space="preserve"> </w:t>
      </w:r>
    </w:p>
    <w:p w14:paraId="2D53C4E9" w14:textId="1FC8D5BD" w:rsidR="003C2143" w:rsidRPr="00D869E3" w:rsidRDefault="003C2143" w:rsidP="003C2143">
      <w:pPr>
        <w:jc w:val="both"/>
        <w:rPr>
          <w:rFonts w:ascii="Verdana" w:hAnsi="Verdana"/>
          <w:sz w:val="20"/>
          <w:szCs w:val="20"/>
          <w:lang w:val="en-US"/>
        </w:rPr>
      </w:pPr>
    </w:p>
    <w:p w14:paraId="7144F90C" w14:textId="34EB5DF9" w:rsidR="00557A07" w:rsidRPr="00D869E3" w:rsidRDefault="00557A07" w:rsidP="003C2143">
      <w:pPr>
        <w:jc w:val="both"/>
        <w:rPr>
          <w:rFonts w:ascii="Verdana" w:hAnsi="Verdana"/>
          <w:sz w:val="20"/>
          <w:szCs w:val="20"/>
          <w:lang w:val="en-US"/>
        </w:rPr>
      </w:pPr>
      <w:r w:rsidRPr="00D869E3">
        <w:rPr>
          <w:rFonts w:ascii="Verdana" w:hAnsi="Verdana"/>
          <w:sz w:val="20"/>
          <w:szCs w:val="20"/>
          <w:lang w:val="en-US"/>
        </w:rPr>
        <w:t xml:space="preserve">Nevertheless, </w:t>
      </w:r>
      <w:r w:rsidR="008A2576" w:rsidRPr="00D869E3">
        <w:rPr>
          <w:rFonts w:ascii="Verdana" w:hAnsi="Verdana"/>
          <w:sz w:val="20"/>
          <w:szCs w:val="20"/>
          <w:lang w:val="en-US"/>
        </w:rPr>
        <w:t>i</w:t>
      </w:r>
      <w:r w:rsidRPr="00D869E3">
        <w:rPr>
          <w:rFonts w:ascii="Verdana" w:hAnsi="Verdana"/>
          <w:sz w:val="20"/>
          <w:szCs w:val="20"/>
          <w:lang w:val="en-US"/>
        </w:rPr>
        <w:t>f this extreme conclusion was reached</w:t>
      </w:r>
      <w:r w:rsidR="008A2576" w:rsidRPr="00D869E3">
        <w:rPr>
          <w:rFonts w:ascii="Verdana" w:hAnsi="Verdana"/>
          <w:sz w:val="20"/>
          <w:szCs w:val="20"/>
          <w:lang w:val="en-US"/>
        </w:rPr>
        <w:t>,</w:t>
      </w:r>
      <w:r w:rsidRPr="00D869E3">
        <w:rPr>
          <w:rFonts w:ascii="Verdana" w:hAnsi="Verdana"/>
          <w:sz w:val="20"/>
          <w:szCs w:val="20"/>
          <w:lang w:val="en-US"/>
        </w:rPr>
        <w:t xml:space="preserve"> all the States Parties to the Convention that have accepted the Court’s jurisdiction could eventually be taken before the Court because they were underdeveloped or developing countries – in other words, because they had not fully achieved integral development or any of its facets, which </w:t>
      </w:r>
      <w:r w:rsidR="008A2576" w:rsidRPr="00D869E3">
        <w:rPr>
          <w:rFonts w:ascii="Verdana" w:hAnsi="Verdana"/>
          <w:sz w:val="20"/>
          <w:szCs w:val="20"/>
          <w:lang w:val="en-US"/>
        </w:rPr>
        <w:t xml:space="preserve">is </w:t>
      </w:r>
      <w:r w:rsidRPr="00D869E3">
        <w:rPr>
          <w:rFonts w:ascii="Verdana" w:hAnsi="Verdana"/>
          <w:sz w:val="20"/>
          <w:szCs w:val="20"/>
          <w:lang w:val="en-US"/>
        </w:rPr>
        <w:t>plainly very far from what the</w:t>
      </w:r>
      <w:r w:rsidR="008A2576" w:rsidRPr="00D869E3">
        <w:rPr>
          <w:rFonts w:ascii="Verdana" w:hAnsi="Verdana"/>
          <w:sz w:val="20"/>
          <w:szCs w:val="20"/>
          <w:lang w:val="en-US"/>
        </w:rPr>
        <w:t xml:space="preserve"> States Parties</w:t>
      </w:r>
      <w:r w:rsidRPr="00D869E3">
        <w:rPr>
          <w:rFonts w:ascii="Verdana" w:hAnsi="Verdana"/>
          <w:sz w:val="20"/>
          <w:szCs w:val="20"/>
          <w:lang w:val="en-US"/>
        </w:rPr>
        <w:t xml:space="preserve"> were intending when they signed the Convention or, at least, from the logic implicit in this instrument, especially owing to the way in which the said Chapter VII was drafted.</w:t>
      </w:r>
    </w:p>
    <w:p w14:paraId="3CD3E12D" w14:textId="77777777" w:rsidR="003C2143" w:rsidRPr="00D869E3" w:rsidRDefault="003C2143" w:rsidP="003C2143">
      <w:pPr>
        <w:jc w:val="both"/>
        <w:rPr>
          <w:rFonts w:ascii="Verdana" w:hAnsi="Verdana"/>
          <w:sz w:val="20"/>
          <w:szCs w:val="20"/>
          <w:lang w:val="en-US"/>
        </w:rPr>
      </w:pPr>
    </w:p>
    <w:p w14:paraId="27725651" w14:textId="265EEBCE" w:rsidR="003C2143" w:rsidRPr="00D869E3" w:rsidRDefault="00557A07" w:rsidP="003C2143">
      <w:pPr>
        <w:jc w:val="both"/>
        <w:rPr>
          <w:rFonts w:ascii="Verdana" w:hAnsi="Verdana"/>
          <w:sz w:val="20"/>
          <w:szCs w:val="20"/>
          <w:lang w:val="en-US"/>
        </w:rPr>
      </w:pPr>
      <w:r w:rsidRPr="00D869E3">
        <w:rPr>
          <w:rFonts w:ascii="Verdana" w:hAnsi="Verdana"/>
          <w:sz w:val="20"/>
          <w:szCs w:val="20"/>
          <w:lang w:val="en-US"/>
        </w:rPr>
        <w:t xml:space="preserve">Lastly, as a supplementary comment to the thesis upheld in this opinion, it should be recalled that, in other judgments of the Court, a similar result to the one sought in this case was achieved applying only the provisions of the Convention concerning rights that it recognizes, such as those that protect the right to personal integrity, to property or to judicial guarantees </w:t>
      </w:r>
      <w:r w:rsidR="00687684" w:rsidRPr="00D869E3">
        <w:rPr>
          <w:rFonts w:ascii="Verdana" w:hAnsi="Verdana"/>
          <w:sz w:val="20"/>
          <w:szCs w:val="20"/>
          <w:lang w:val="en-US"/>
        </w:rPr>
        <w:t xml:space="preserve">and </w:t>
      </w:r>
      <w:r w:rsidR="00901386" w:rsidRPr="00D869E3">
        <w:rPr>
          <w:rFonts w:ascii="Verdana" w:hAnsi="Verdana"/>
          <w:sz w:val="20"/>
          <w:szCs w:val="20"/>
          <w:lang w:val="en-US"/>
        </w:rPr>
        <w:t>judicial protection</w:t>
      </w:r>
      <w:r w:rsidR="003C2143" w:rsidRPr="00D869E3">
        <w:rPr>
          <w:rFonts w:ascii="Verdana" w:hAnsi="Verdana"/>
          <w:sz w:val="20"/>
          <w:szCs w:val="20"/>
          <w:lang w:val="en-US"/>
        </w:rPr>
        <w:t xml:space="preserve">, </w:t>
      </w:r>
      <w:r w:rsidRPr="00D869E3">
        <w:rPr>
          <w:rFonts w:ascii="Verdana" w:hAnsi="Verdana"/>
          <w:sz w:val="20"/>
          <w:szCs w:val="20"/>
          <w:lang w:val="en-US"/>
        </w:rPr>
        <w:t xml:space="preserve">without needing to resort to the said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Pr="00D869E3">
        <w:rPr>
          <w:rFonts w:ascii="Verdana" w:hAnsi="Verdana"/>
          <w:sz w:val="20"/>
          <w:szCs w:val="20"/>
          <w:lang w:val="en-US"/>
        </w:rPr>
        <w:t>.</w:t>
      </w:r>
      <w:r w:rsidR="003C2143" w:rsidRPr="00D869E3">
        <w:rPr>
          <w:rStyle w:val="Refdenotaalpie"/>
          <w:szCs w:val="20"/>
          <w:lang w:val="en-US"/>
        </w:rPr>
        <w:footnoteReference w:id="422"/>
      </w:r>
    </w:p>
    <w:p w14:paraId="6866192C" w14:textId="77777777" w:rsidR="003C2143" w:rsidRPr="00D869E3" w:rsidRDefault="003C2143" w:rsidP="003C2143">
      <w:pPr>
        <w:jc w:val="both"/>
        <w:rPr>
          <w:rFonts w:ascii="Verdana" w:hAnsi="Verdana"/>
          <w:sz w:val="20"/>
          <w:szCs w:val="20"/>
          <w:lang w:val="en-US"/>
        </w:rPr>
      </w:pPr>
    </w:p>
    <w:p w14:paraId="2FE08C38" w14:textId="5B170AB8" w:rsidR="003C2143" w:rsidRPr="00D869E3" w:rsidRDefault="003C2143" w:rsidP="003C2143">
      <w:pPr>
        <w:jc w:val="both"/>
        <w:rPr>
          <w:rFonts w:ascii="Verdana" w:hAnsi="Verdana"/>
          <w:sz w:val="20"/>
          <w:szCs w:val="20"/>
          <w:lang w:val="en-US"/>
        </w:rPr>
      </w:pPr>
      <w:r w:rsidRPr="00D869E3">
        <w:rPr>
          <w:rFonts w:ascii="Verdana" w:hAnsi="Verdana"/>
          <w:b/>
          <w:sz w:val="20"/>
          <w:szCs w:val="20"/>
          <w:lang w:val="en-US"/>
        </w:rPr>
        <w:t>III. OT</w:t>
      </w:r>
      <w:r w:rsidR="00914018" w:rsidRPr="00D869E3">
        <w:rPr>
          <w:rFonts w:ascii="Verdana" w:hAnsi="Verdana"/>
          <w:b/>
          <w:sz w:val="20"/>
          <w:szCs w:val="20"/>
          <w:lang w:val="en-US"/>
        </w:rPr>
        <w:t>HER ARGUMENTS INCLUDED IN THE JUDGMENT</w:t>
      </w:r>
      <w:r w:rsidRPr="00D869E3">
        <w:rPr>
          <w:rFonts w:ascii="Verdana" w:hAnsi="Verdana"/>
          <w:sz w:val="20"/>
          <w:szCs w:val="20"/>
          <w:lang w:val="en-US"/>
        </w:rPr>
        <w:t xml:space="preserve"> </w:t>
      </w:r>
    </w:p>
    <w:p w14:paraId="54701503" w14:textId="77777777" w:rsidR="003C2143" w:rsidRPr="00D869E3" w:rsidRDefault="003C2143" w:rsidP="003C2143">
      <w:pPr>
        <w:jc w:val="both"/>
        <w:rPr>
          <w:rFonts w:ascii="Verdana" w:hAnsi="Verdana"/>
          <w:sz w:val="20"/>
          <w:szCs w:val="20"/>
          <w:lang w:val="en-US"/>
        </w:rPr>
      </w:pPr>
    </w:p>
    <w:p w14:paraId="6AE2F7AB" w14:textId="57CE137B" w:rsidR="003C2143" w:rsidRPr="00D869E3" w:rsidRDefault="00914018" w:rsidP="003C2143">
      <w:pPr>
        <w:jc w:val="both"/>
        <w:rPr>
          <w:rFonts w:ascii="Verdana" w:hAnsi="Verdana"/>
          <w:sz w:val="20"/>
          <w:szCs w:val="20"/>
          <w:lang w:val="en-US"/>
        </w:rPr>
      </w:pPr>
      <w:r w:rsidRPr="00D869E3">
        <w:rPr>
          <w:rFonts w:ascii="Verdana" w:hAnsi="Verdana"/>
          <w:sz w:val="20"/>
          <w:szCs w:val="20"/>
          <w:lang w:val="en-US"/>
        </w:rPr>
        <w:t xml:space="preserve">To reinforce the thesis set out in this text, it would appear useful to refer, although in a supplementary manner, to certain assertions in </w:t>
      </w:r>
      <w:r w:rsidR="000C55DD" w:rsidRPr="00D869E3">
        <w:rPr>
          <w:rFonts w:ascii="Verdana" w:hAnsi="Verdana"/>
          <w:sz w:val="20"/>
          <w:szCs w:val="20"/>
          <w:lang w:val="en-US"/>
        </w:rPr>
        <w:t>the judgment</w:t>
      </w:r>
      <w:r w:rsidR="003C2143" w:rsidRPr="00D869E3">
        <w:rPr>
          <w:rFonts w:ascii="Verdana" w:hAnsi="Verdana"/>
          <w:sz w:val="20"/>
          <w:szCs w:val="20"/>
          <w:lang w:val="en-US"/>
        </w:rPr>
        <w:t xml:space="preserve">, </w:t>
      </w:r>
      <w:r w:rsidRPr="00D869E3">
        <w:rPr>
          <w:rFonts w:ascii="Verdana" w:hAnsi="Verdana"/>
          <w:sz w:val="20"/>
          <w:szCs w:val="20"/>
          <w:lang w:val="en-US"/>
        </w:rPr>
        <w:t>and I will now do this</w:t>
      </w:r>
      <w:r w:rsidR="003C2143" w:rsidRPr="00D869E3">
        <w:rPr>
          <w:rFonts w:ascii="Verdana" w:hAnsi="Verdana"/>
          <w:sz w:val="20"/>
          <w:szCs w:val="20"/>
          <w:lang w:val="en-US"/>
        </w:rPr>
        <w:t>.</w:t>
      </w:r>
    </w:p>
    <w:p w14:paraId="20444453" w14:textId="77777777" w:rsidR="003C2143" w:rsidRPr="00D869E3" w:rsidRDefault="003C2143" w:rsidP="003C2143">
      <w:pPr>
        <w:jc w:val="both"/>
        <w:rPr>
          <w:rFonts w:ascii="Verdana" w:hAnsi="Verdana"/>
          <w:sz w:val="20"/>
          <w:szCs w:val="20"/>
          <w:lang w:val="en-US"/>
        </w:rPr>
      </w:pPr>
    </w:p>
    <w:p w14:paraId="75FDD886" w14:textId="6A689431"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1.  </w:t>
      </w:r>
      <w:r w:rsidR="00914018" w:rsidRPr="00D869E3">
        <w:rPr>
          <w:rFonts w:ascii="Verdana" w:hAnsi="Verdana"/>
          <w:sz w:val="20"/>
          <w:szCs w:val="20"/>
          <w:lang w:val="en-US"/>
        </w:rPr>
        <w:t>The assertion concerning</w:t>
      </w:r>
      <w:r w:rsidRPr="00D869E3">
        <w:rPr>
          <w:rFonts w:ascii="Verdana" w:hAnsi="Verdana"/>
          <w:sz w:val="20"/>
          <w:szCs w:val="20"/>
          <w:lang w:val="en-US"/>
        </w:rPr>
        <w:t xml:space="preserve"> </w:t>
      </w:r>
      <w:r w:rsidR="006436CA" w:rsidRPr="00D869E3">
        <w:rPr>
          <w:rFonts w:ascii="Verdana" w:hAnsi="Verdana"/>
          <w:sz w:val="20"/>
          <w:szCs w:val="20"/>
          <w:lang w:val="en-US"/>
        </w:rPr>
        <w:t>“</w:t>
      </w:r>
      <w:r w:rsidR="00F062CF" w:rsidRPr="00D869E3">
        <w:rPr>
          <w:rFonts w:ascii="Verdana" w:hAnsi="Verdana"/>
          <w:i/>
          <w:iCs/>
          <w:sz w:val="20"/>
          <w:szCs w:val="20"/>
          <w:lang w:val="en-US"/>
        </w:rPr>
        <w:t>the interdependence and indivisibility of civil and political rights and economic, social and cultural rights</w:t>
      </w:r>
      <w:r w:rsidR="00F062CF" w:rsidRPr="00D869E3">
        <w:rPr>
          <w:rFonts w:ascii="Verdana" w:hAnsi="Verdana"/>
          <w:sz w:val="20"/>
          <w:szCs w:val="20"/>
          <w:lang w:val="en-US"/>
        </w:rPr>
        <w:t>,</w:t>
      </w:r>
      <w:r w:rsidR="006436CA" w:rsidRPr="00D869E3">
        <w:rPr>
          <w:rFonts w:ascii="Verdana" w:hAnsi="Verdana"/>
          <w:sz w:val="20"/>
          <w:szCs w:val="20"/>
          <w:lang w:val="en-US"/>
        </w:rPr>
        <w:t>”</w:t>
      </w:r>
      <w:r w:rsidRPr="00D869E3">
        <w:rPr>
          <w:rFonts w:ascii="Verdana" w:hAnsi="Verdana"/>
          <w:sz w:val="20"/>
          <w:szCs w:val="20"/>
          <w:lang w:val="en-US"/>
        </w:rPr>
        <w:t xml:space="preserve"> </w:t>
      </w:r>
      <w:r w:rsidR="00914018" w:rsidRPr="00D869E3">
        <w:rPr>
          <w:rFonts w:ascii="Verdana" w:hAnsi="Verdana"/>
          <w:sz w:val="20"/>
          <w:szCs w:val="20"/>
          <w:lang w:val="en-US"/>
        </w:rPr>
        <w:t>so that</w:t>
      </w:r>
      <w:r w:rsidRPr="00D869E3">
        <w:rPr>
          <w:rFonts w:ascii="Verdana" w:hAnsi="Verdana"/>
          <w:sz w:val="20"/>
          <w:szCs w:val="20"/>
          <w:lang w:val="en-US"/>
        </w:rPr>
        <w:t xml:space="preserve"> </w:t>
      </w:r>
      <w:r w:rsidR="00F062CF" w:rsidRPr="00D869E3">
        <w:rPr>
          <w:rFonts w:ascii="Verdana" w:hAnsi="Verdana"/>
          <w:sz w:val="20"/>
          <w:szCs w:val="20"/>
          <w:lang w:val="en-US"/>
        </w:rPr>
        <w:t>“</w:t>
      </w:r>
      <w:r w:rsidR="00F062CF" w:rsidRPr="00D869E3">
        <w:rPr>
          <w:rFonts w:ascii="Verdana" w:hAnsi="Verdana"/>
          <w:i/>
          <w:iCs/>
          <w:sz w:val="20"/>
          <w:szCs w:val="20"/>
          <w:lang w:val="en-US"/>
        </w:rPr>
        <w:t>they should all be understood integrally as human rights, without any specific hierarchy, and be enforceable in all cases before the competent authorities,</w:t>
      </w:r>
      <w:r w:rsidR="006436CA" w:rsidRPr="00D869E3">
        <w:rPr>
          <w:rFonts w:ascii="Verdana" w:hAnsi="Verdana"/>
          <w:i/>
          <w:sz w:val="20"/>
          <w:szCs w:val="20"/>
          <w:lang w:val="en-US"/>
        </w:rPr>
        <w:t>”</w:t>
      </w:r>
      <w:r w:rsidRPr="00D869E3">
        <w:rPr>
          <w:rStyle w:val="Refdenotaalpie"/>
          <w:szCs w:val="20"/>
          <w:lang w:val="en-US"/>
        </w:rPr>
        <w:footnoteReference w:id="423"/>
      </w:r>
      <w:r w:rsidRPr="00D869E3">
        <w:rPr>
          <w:rFonts w:ascii="Verdana" w:hAnsi="Verdana"/>
          <w:sz w:val="20"/>
          <w:szCs w:val="20"/>
          <w:lang w:val="en-US"/>
        </w:rPr>
        <w:t xml:space="preserve"> </w:t>
      </w:r>
      <w:r w:rsidR="00914018" w:rsidRPr="00D869E3">
        <w:rPr>
          <w:rFonts w:ascii="Verdana" w:hAnsi="Verdana"/>
          <w:sz w:val="20"/>
          <w:szCs w:val="20"/>
          <w:lang w:val="en-US"/>
        </w:rPr>
        <w:t xml:space="preserve">does not </w:t>
      </w:r>
      <w:r w:rsidRPr="00D869E3">
        <w:rPr>
          <w:rFonts w:ascii="Verdana" w:hAnsi="Verdana"/>
          <w:sz w:val="20"/>
          <w:szCs w:val="20"/>
          <w:lang w:val="en-US"/>
        </w:rPr>
        <w:t xml:space="preserve"> </w:t>
      </w:r>
      <w:r w:rsidR="00914018" w:rsidRPr="00D869E3">
        <w:rPr>
          <w:rFonts w:ascii="Verdana" w:hAnsi="Verdana"/>
          <w:sz w:val="20"/>
          <w:szCs w:val="20"/>
          <w:lang w:val="en-US"/>
        </w:rPr>
        <w:t xml:space="preserve">mean that </w:t>
      </w:r>
      <w:r w:rsidR="007013E2" w:rsidRPr="00D869E3">
        <w:rPr>
          <w:rFonts w:ascii="Verdana" w:hAnsi="Verdana"/>
          <w:sz w:val="20"/>
          <w:szCs w:val="20"/>
          <w:lang w:val="en-US"/>
        </w:rPr>
        <w:t>the violation</w:t>
      </w:r>
      <w:r w:rsidRPr="00D869E3">
        <w:rPr>
          <w:rFonts w:ascii="Verdana" w:hAnsi="Verdana"/>
          <w:sz w:val="20"/>
          <w:szCs w:val="20"/>
          <w:lang w:val="en-US"/>
        </w:rPr>
        <w:t xml:space="preserve"> </w:t>
      </w:r>
      <w:r w:rsidR="00914018" w:rsidRPr="00D869E3">
        <w:rPr>
          <w:rFonts w:ascii="Verdana" w:hAnsi="Verdana"/>
          <w:sz w:val="20"/>
          <w:szCs w:val="20"/>
          <w:lang w:val="en-US"/>
        </w:rPr>
        <w:t xml:space="preserve">of both types of </w:t>
      </w:r>
      <w:r w:rsidR="00881A39" w:rsidRPr="00D869E3">
        <w:rPr>
          <w:rFonts w:ascii="Verdana" w:hAnsi="Verdana"/>
          <w:sz w:val="20"/>
          <w:szCs w:val="20"/>
          <w:lang w:val="en-US"/>
        </w:rPr>
        <w:t>rights</w:t>
      </w:r>
      <w:r w:rsidRPr="00D869E3">
        <w:rPr>
          <w:rFonts w:ascii="Verdana" w:hAnsi="Verdana"/>
          <w:sz w:val="20"/>
          <w:szCs w:val="20"/>
          <w:lang w:val="en-US"/>
        </w:rPr>
        <w:t xml:space="preserve"> </w:t>
      </w:r>
      <w:r w:rsidR="00914018" w:rsidRPr="00D869E3">
        <w:rPr>
          <w:rFonts w:ascii="Verdana" w:hAnsi="Verdana"/>
          <w:sz w:val="20"/>
          <w:szCs w:val="20"/>
          <w:lang w:val="en-US"/>
        </w:rPr>
        <w:t>can be invoked</w:t>
      </w:r>
      <w:r w:rsidR="00966115" w:rsidRPr="00D869E3">
        <w:rPr>
          <w:rFonts w:ascii="Verdana" w:hAnsi="Verdana"/>
          <w:sz w:val="20"/>
          <w:szCs w:val="20"/>
          <w:lang w:val="en-US"/>
        </w:rPr>
        <w:t xml:space="preserve"> before the</w:t>
      </w:r>
      <w:r w:rsidR="00447C65" w:rsidRPr="00D869E3">
        <w:rPr>
          <w:rFonts w:ascii="Verdana" w:hAnsi="Verdana"/>
          <w:sz w:val="20"/>
          <w:szCs w:val="20"/>
          <w:lang w:val="en-US"/>
        </w:rPr>
        <w:t xml:space="preserve"> Court</w:t>
      </w:r>
      <w:r w:rsidRPr="00D869E3">
        <w:rPr>
          <w:rFonts w:ascii="Verdana" w:hAnsi="Verdana"/>
          <w:sz w:val="20"/>
          <w:szCs w:val="20"/>
          <w:lang w:val="en-US"/>
        </w:rPr>
        <w:t xml:space="preserve">. </w:t>
      </w:r>
      <w:r w:rsidR="00914018" w:rsidRPr="00D869E3">
        <w:rPr>
          <w:rFonts w:ascii="Verdana" w:hAnsi="Verdana"/>
          <w:sz w:val="20"/>
          <w:szCs w:val="20"/>
          <w:lang w:val="en-US"/>
        </w:rPr>
        <w:t>I could agree with what is indicated in the judgment to the extent that it is understood that, although the enjoyment of all human rights, including the economic, social and cultural rights should be respected and that, consequently, they are all enforceable before the competent authorities, this does not signify that the latter, always and in every circumstance, can be claimed before the domestic courts and, eventually, before the Court. Indeed, and as indicated, I am not disputing that the presumed violations of any human right can and even should be claimed before the competent domestic courts</w:t>
      </w:r>
      <w:r w:rsidR="008A2576" w:rsidRPr="00D869E3">
        <w:rPr>
          <w:rFonts w:ascii="Verdana" w:hAnsi="Verdana"/>
          <w:sz w:val="20"/>
          <w:szCs w:val="20"/>
          <w:lang w:val="en-US"/>
        </w:rPr>
        <w:t>.</w:t>
      </w:r>
      <w:r w:rsidRPr="00D869E3">
        <w:rPr>
          <w:rStyle w:val="Refdenotaalpie"/>
          <w:szCs w:val="20"/>
          <w:lang w:val="en-US"/>
        </w:rPr>
        <w:footnoteReference w:id="424"/>
      </w:r>
      <w:r w:rsidR="00914018" w:rsidRPr="00D869E3">
        <w:rPr>
          <w:rFonts w:ascii="Verdana" w:hAnsi="Verdana"/>
          <w:sz w:val="20"/>
          <w:szCs w:val="20"/>
          <w:lang w:val="en-US"/>
        </w:rPr>
        <w:t xml:space="preserve"> </w:t>
      </w:r>
      <w:r w:rsidR="008A2576" w:rsidRPr="00D869E3">
        <w:rPr>
          <w:rFonts w:ascii="Verdana" w:hAnsi="Verdana"/>
          <w:sz w:val="20"/>
          <w:szCs w:val="20"/>
          <w:lang w:val="en-US"/>
        </w:rPr>
        <w:t>H</w:t>
      </w:r>
      <w:r w:rsidR="00914018" w:rsidRPr="00D869E3">
        <w:rPr>
          <w:rFonts w:ascii="Verdana" w:hAnsi="Verdana"/>
          <w:sz w:val="20"/>
          <w:szCs w:val="20"/>
          <w:lang w:val="en-US"/>
        </w:rPr>
        <w:t xml:space="preserve">owever, what this </w:t>
      </w:r>
      <w:r w:rsidR="00914018" w:rsidRPr="00D869E3">
        <w:rPr>
          <w:rFonts w:ascii="Verdana" w:hAnsi="Verdana"/>
          <w:sz w:val="20"/>
          <w:szCs w:val="20"/>
          <w:lang w:val="en-US"/>
        </w:rPr>
        <w:lastRenderedPageBreak/>
        <w:t>opinion asserts is that only some of the violations of the</w:t>
      </w:r>
      <w:r w:rsidRPr="00D869E3">
        <w:rPr>
          <w:rFonts w:ascii="Verdana" w:hAnsi="Verdana"/>
          <w:sz w:val="20"/>
          <w:szCs w:val="20"/>
          <w:lang w:val="en-US"/>
        </w:rPr>
        <w:t xml:space="preserve"> </w:t>
      </w:r>
      <w:r w:rsidR="00ED3FC7" w:rsidRPr="00D869E3">
        <w:rPr>
          <w:rFonts w:ascii="Verdana" w:hAnsi="Verdana"/>
          <w:sz w:val="20"/>
          <w:szCs w:val="20"/>
          <w:lang w:val="en-US"/>
        </w:rPr>
        <w:t>economic, social and cultural rights</w:t>
      </w:r>
      <w:r w:rsidRPr="00D869E3">
        <w:rPr>
          <w:rFonts w:ascii="Verdana" w:hAnsi="Verdana"/>
          <w:sz w:val="20"/>
          <w:szCs w:val="20"/>
          <w:lang w:val="en-US"/>
        </w:rPr>
        <w:t xml:space="preserve">, </w:t>
      </w:r>
      <w:r w:rsidR="00914018" w:rsidRPr="00D869E3">
        <w:rPr>
          <w:rFonts w:ascii="Verdana" w:hAnsi="Verdana"/>
          <w:sz w:val="20"/>
          <w:szCs w:val="20"/>
          <w:lang w:val="en-US"/>
        </w:rPr>
        <w:t xml:space="preserve">specifically those established in </w:t>
      </w:r>
      <w:r w:rsidR="00B235CB" w:rsidRPr="00D869E3">
        <w:rPr>
          <w:rFonts w:ascii="Verdana" w:hAnsi="Verdana"/>
          <w:sz w:val="20"/>
          <w:szCs w:val="20"/>
          <w:lang w:val="en-US"/>
        </w:rPr>
        <w:t>the Protocol of San</w:t>
      </w:r>
      <w:r w:rsidRPr="00D869E3">
        <w:rPr>
          <w:rFonts w:ascii="Verdana" w:hAnsi="Verdana"/>
          <w:sz w:val="20"/>
          <w:szCs w:val="20"/>
          <w:lang w:val="en-US"/>
        </w:rPr>
        <w:t xml:space="preserve"> Salvador, </w:t>
      </w:r>
      <w:r w:rsidR="00914018" w:rsidRPr="00D869E3">
        <w:rPr>
          <w:rFonts w:ascii="Verdana" w:hAnsi="Verdana"/>
          <w:sz w:val="20"/>
          <w:szCs w:val="20"/>
          <w:lang w:val="en-US"/>
        </w:rPr>
        <w:t xml:space="preserve">can be submitted to the consideration and </w:t>
      </w:r>
      <w:r w:rsidR="004D6730" w:rsidRPr="00D869E3">
        <w:rPr>
          <w:rFonts w:ascii="Verdana" w:hAnsi="Verdana"/>
          <w:sz w:val="20"/>
          <w:szCs w:val="20"/>
          <w:lang w:val="en-US"/>
        </w:rPr>
        <w:t xml:space="preserve">decision </w:t>
      </w:r>
      <w:r w:rsidR="00447C65" w:rsidRPr="00D869E3">
        <w:rPr>
          <w:rFonts w:ascii="Verdana" w:hAnsi="Verdana"/>
          <w:sz w:val="20"/>
          <w:szCs w:val="20"/>
          <w:lang w:val="en-US"/>
        </w:rPr>
        <w:t>of the Court</w:t>
      </w:r>
      <w:r w:rsidRPr="00D869E3">
        <w:rPr>
          <w:rFonts w:ascii="Verdana" w:hAnsi="Verdana"/>
          <w:sz w:val="20"/>
          <w:szCs w:val="20"/>
          <w:lang w:val="en-US"/>
        </w:rPr>
        <w:t xml:space="preserve">.  </w:t>
      </w:r>
    </w:p>
    <w:p w14:paraId="26688B9C" w14:textId="77777777" w:rsidR="003C2143" w:rsidRPr="00D869E3" w:rsidRDefault="003C2143" w:rsidP="003C2143">
      <w:pPr>
        <w:jc w:val="both"/>
        <w:rPr>
          <w:rFonts w:ascii="Verdana" w:hAnsi="Verdana"/>
          <w:sz w:val="20"/>
          <w:szCs w:val="20"/>
          <w:lang w:val="en-US"/>
        </w:rPr>
      </w:pPr>
    </w:p>
    <w:p w14:paraId="13C0ADFA" w14:textId="3EA85CCC" w:rsidR="003C2143" w:rsidRPr="00D869E3" w:rsidRDefault="003C2143" w:rsidP="004D6730">
      <w:pPr>
        <w:autoSpaceDE w:val="0"/>
        <w:autoSpaceDN w:val="0"/>
        <w:adjustRightInd w:val="0"/>
        <w:ind w:right="26"/>
        <w:jc w:val="both"/>
        <w:rPr>
          <w:rFonts w:ascii="Verdana" w:eastAsiaTheme="minorHAnsi" w:hAnsi="Verdana" w:cs="Arial"/>
          <w:i/>
          <w:iCs/>
          <w:sz w:val="16"/>
          <w:szCs w:val="16"/>
          <w:lang w:val="en-US"/>
        </w:rPr>
      </w:pPr>
      <w:r w:rsidRPr="00D869E3">
        <w:rPr>
          <w:rFonts w:ascii="Verdana" w:hAnsi="Verdana"/>
          <w:sz w:val="20"/>
          <w:szCs w:val="20"/>
          <w:lang w:val="en-US"/>
        </w:rPr>
        <w:t>2.</w:t>
      </w:r>
      <w:r w:rsidR="004D6730" w:rsidRPr="00D869E3">
        <w:rPr>
          <w:rFonts w:ascii="Verdana" w:hAnsi="Verdana"/>
          <w:sz w:val="20"/>
          <w:szCs w:val="20"/>
          <w:lang w:val="en-US"/>
        </w:rPr>
        <w:t xml:space="preserve"> </w:t>
      </w:r>
      <w:r w:rsidRPr="00D869E3">
        <w:rPr>
          <w:rFonts w:ascii="Verdana" w:hAnsi="Verdana"/>
          <w:sz w:val="20"/>
          <w:szCs w:val="20"/>
          <w:lang w:val="en-US"/>
        </w:rPr>
        <w:t xml:space="preserve"> </w:t>
      </w:r>
      <w:r w:rsidR="004D6730" w:rsidRPr="00D869E3">
        <w:rPr>
          <w:rFonts w:ascii="Verdana" w:hAnsi="Verdana"/>
          <w:sz w:val="20"/>
          <w:szCs w:val="20"/>
          <w:lang w:val="en-US"/>
        </w:rPr>
        <w:t xml:space="preserve">Similarly, the statement that </w:t>
      </w:r>
      <w:r w:rsidR="006436CA" w:rsidRPr="00D869E3">
        <w:rPr>
          <w:rFonts w:ascii="Verdana" w:hAnsi="Verdana"/>
          <w:sz w:val="20"/>
          <w:szCs w:val="20"/>
          <w:lang w:val="en-US"/>
        </w:rPr>
        <w:t>“</w:t>
      </w:r>
      <w:r w:rsidR="00447C65" w:rsidRPr="00D869E3">
        <w:rPr>
          <w:rFonts w:ascii="Verdana" w:hAnsi="Verdana"/>
          <w:i/>
          <w:sz w:val="20"/>
          <w:szCs w:val="20"/>
          <w:lang w:val="en-US"/>
        </w:rPr>
        <w:t>Article</w:t>
      </w:r>
      <w:r w:rsidRPr="00D869E3">
        <w:rPr>
          <w:rFonts w:ascii="Verdana" w:hAnsi="Verdana"/>
          <w:i/>
          <w:sz w:val="20"/>
          <w:szCs w:val="20"/>
          <w:lang w:val="en-US"/>
        </w:rPr>
        <w:t xml:space="preserve"> 26 [...] </w:t>
      </w:r>
      <w:r w:rsidR="004D6730" w:rsidRPr="00D869E3">
        <w:rPr>
          <w:rFonts w:ascii="Verdana" w:hAnsi="Verdana"/>
          <w:i/>
          <w:iCs/>
          <w:sz w:val="20"/>
          <w:szCs w:val="20"/>
          <w:lang w:val="en-US"/>
        </w:rPr>
        <w:t>it is subject to the general obligations contained in Articles 1(1) and 2 in Chapter I (entitled “General Obligations”), as  also are  Articles 3 to 25 that appear in Chapter II (entitled “Civil and Political Rights”),</w:t>
      </w:r>
      <w:r w:rsidRPr="00D869E3">
        <w:rPr>
          <w:rStyle w:val="Refdenotaalpie"/>
          <w:szCs w:val="20"/>
          <w:lang w:val="en-US"/>
        </w:rPr>
        <w:footnoteReference w:id="425"/>
      </w:r>
      <w:r w:rsidRPr="00D869E3">
        <w:rPr>
          <w:rFonts w:ascii="Verdana" w:hAnsi="Verdana"/>
          <w:sz w:val="20"/>
          <w:szCs w:val="20"/>
          <w:lang w:val="en-US"/>
        </w:rPr>
        <w:t xml:space="preserve"> </w:t>
      </w:r>
      <w:r w:rsidR="004D6730" w:rsidRPr="00D869E3">
        <w:rPr>
          <w:rFonts w:ascii="Verdana" w:hAnsi="Verdana"/>
          <w:sz w:val="20"/>
          <w:szCs w:val="20"/>
          <w:lang w:val="en-US"/>
        </w:rPr>
        <w:t xml:space="preserve">does not mean that the rights derived from </w:t>
      </w:r>
      <w:r w:rsidR="00197983" w:rsidRPr="00D869E3">
        <w:rPr>
          <w:rFonts w:ascii="Verdana" w:hAnsi="Verdana"/>
          <w:sz w:val="20"/>
          <w:szCs w:val="20"/>
          <w:lang w:val="en-US"/>
        </w:rPr>
        <w:t>the OAS Charter</w:t>
      </w:r>
      <w:r w:rsidR="004D6730" w:rsidRPr="00D869E3">
        <w:rPr>
          <w:rFonts w:ascii="Verdana" w:hAnsi="Verdana"/>
          <w:sz w:val="20"/>
          <w:szCs w:val="20"/>
          <w:lang w:val="en-US"/>
        </w:rPr>
        <w:t xml:space="preserve"> may be judicialized</w:t>
      </w:r>
      <w:r w:rsidR="00966115" w:rsidRPr="00D869E3">
        <w:rPr>
          <w:rFonts w:ascii="Verdana" w:hAnsi="Verdana"/>
          <w:sz w:val="20"/>
          <w:szCs w:val="20"/>
          <w:lang w:val="en-US"/>
        </w:rPr>
        <w:t xml:space="preserve"> before the</w:t>
      </w:r>
      <w:r w:rsidR="00447C65" w:rsidRPr="00D869E3">
        <w:rPr>
          <w:rFonts w:ascii="Verdana" w:hAnsi="Verdana"/>
          <w:sz w:val="20"/>
          <w:szCs w:val="20"/>
          <w:lang w:val="en-US"/>
        </w:rPr>
        <w:t xml:space="preserve"> Court</w:t>
      </w:r>
      <w:r w:rsidRPr="00D869E3">
        <w:rPr>
          <w:rFonts w:ascii="Verdana" w:hAnsi="Verdana"/>
          <w:sz w:val="20"/>
          <w:szCs w:val="20"/>
          <w:lang w:val="en-US"/>
        </w:rPr>
        <w:t xml:space="preserve">. </w:t>
      </w:r>
      <w:r w:rsidR="004D6730" w:rsidRPr="00D869E3">
        <w:rPr>
          <w:rFonts w:ascii="Verdana" w:hAnsi="Verdana"/>
          <w:sz w:val="20"/>
          <w:szCs w:val="20"/>
          <w:lang w:val="en-US"/>
        </w:rPr>
        <w:t>It merely signifies, as stated previously, that all</w:t>
      </w:r>
      <w:r w:rsidRPr="00D869E3">
        <w:rPr>
          <w:rFonts w:ascii="Verdana" w:hAnsi="Verdana"/>
          <w:sz w:val="20"/>
          <w:szCs w:val="20"/>
          <w:lang w:val="en-US"/>
        </w:rPr>
        <w:t xml:space="preserve"> </w:t>
      </w:r>
      <w:r w:rsidR="00B443B4" w:rsidRPr="00D869E3">
        <w:rPr>
          <w:rFonts w:ascii="Verdana" w:hAnsi="Verdana"/>
          <w:sz w:val="20"/>
          <w:szCs w:val="20"/>
          <w:lang w:val="en-US"/>
        </w:rPr>
        <w:t>human rights</w:t>
      </w:r>
      <w:r w:rsidRPr="00D869E3">
        <w:rPr>
          <w:rFonts w:ascii="Verdana" w:hAnsi="Verdana"/>
          <w:sz w:val="20"/>
          <w:szCs w:val="20"/>
          <w:lang w:val="en-US"/>
        </w:rPr>
        <w:t>, incl</w:t>
      </w:r>
      <w:r w:rsidR="004D6730" w:rsidRPr="00D869E3">
        <w:rPr>
          <w:rFonts w:ascii="Verdana" w:hAnsi="Verdana"/>
          <w:sz w:val="20"/>
          <w:szCs w:val="20"/>
          <w:lang w:val="en-US"/>
        </w:rPr>
        <w:t>uding the</w:t>
      </w:r>
      <w:r w:rsidRPr="00D869E3">
        <w:rPr>
          <w:rFonts w:ascii="Verdana" w:hAnsi="Verdana"/>
          <w:sz w:val="20"/>
          <w:szCs w:val="20"/>
          <w:lang w:val="en-US"/>
        </w:rPr>
        <w:t xml:space="preserve"> </w:t>
      </w:r>
      <w:r w:rsidR="00ED3FC7" w:rsidRPr="00D869E3">
        <w:rPr>
          <w:rFonts w:ascii="Verdana" w:hAnsi="Verdana"/>
          <w:sz w:val="20"/>
          <w:szCs w:val="20"/>
          <w:lang w:val="en-US"/>
        </w:rPr>
        <w:t>economic, social and cultural rights</w:t>
      </w:r>
      <w:r w:rsidRPr="00D869E3">
        <w:rPr>
          <w:rFonts w:ascii="Verdana" w:hAnsi="Verdana"/>
          <w:sz w:val="20"/>
          <w:szCs w:val="20"/>
          <w:lang w:val="en-US"/>
        </w:rPr>
        <w:t xml:space="preserve"> </w:t>
      </w:r>
      <w:r w:rsidR="004D6730" w:rsidRPr="00D869E3">
        <w:rPr>
          <w:rFonts w:ascii="Verdana" w:hAnsi="Verdana"/>
          <w:sz w:val="20"/>
          <w:szCs w:val="20"/>
          <w:lang w:val="en-US"/>
        </w:rPr>
        <w:t>to which</w:t>
      </w:r>
      <w:r w:rsidRPr="00D869E3">
        <w:rPr>
          <w:rFonts w:ascii="Verdana" w:hAnsi="Verdana"/>
          <w:sz w:val="20"/>
          <w:szCs w:val="20"/>
          <w:lang w:val="en-US"/>
        </w:rPr>
        <w:t xml:space="preserve"> </w:t>
      </w:r>
      <w:r w:rsidR="00CC766D" w:rsidRPr="00D869E3">
        <w:rPr>
          <w:rFonts w:ascii="Verdana" w:hAnsi="Verdana"/>
          <w:sz w:val="20"/>
          <w:szCs w:val="20"/>
          <w:lang w:val="en-US"/>
        </w:rPr>
        <w:t>Chapter</w:t>
      </w:r>
      <w:r w:rsidRPr="00D869E3">
        <w:rPr>
          <w:rFonts w:ascii="Verdana" w:hAnsi="Verdana"/>
          <w:sz w:val="20"/>
          <w:szCs w:val="20"/>
          <w:lang w:val="en-US"/>
        </w:rPr>
        <w:t xml:space="preserve"> III</w:t>
      </w:r>
      <w:r w:rsidR="00447C65" w:rsidRPr="00D869E3">
        <w:rPr>
          <w:rFonts w:ascii="Verdana" w:hAnsi="Verdana"/>
          <w:sz w:val="20"/>
          <w:szCs w:val="20"/>
          <w:lang w:val="en-US"/>
        </w:rPr>
        <w:t xml:space="preserve"> of the Convention</w:t>
      </w:r>
      <w:r w:rsidR="004D6730" w:rsidRPr="00D869E3">
        <w:rPr>
          <w:rFonts w:ascii="Verdana" w:hAnsi="Verdana"/>
          <w:sz w:val="20"/>
          <w:szCs w:val="20"/>
          <w:lang w:val="en-US"/>
        </w:rPr>
        <w:t xml:space="preserve"> alludes</w:t>
      </w:r>
      <w:r w:rsidRPr="00D869E3">
        <w:rPr>
          <w:rFonts w:ascii="Verdana" w:hAnsi="Verdana"/>
          <w:sz w:val="20"/>
          <w:szCs w:val="20"/>
          <w:lang w:val="en-US"/>
        </w:rPr>
        <w:t xml:space="preserve">, </w:t>
      </w:r>
      <w:r w:rsidR="004D6730" w:rsidRPr="00D869E3">
        <w:rPr>
          <w:rFonts w:ascii="Verdana" w:hAnsi="Verdana"/>
          <w:sz w:val="20"/>
          <w:szCs w:val="20"/>
          <w:lang w:val="en-US"/>
        </w:rPr>
        <w:t>should be respected and ensured, because this is required by the said Articles</w:t>
      </w:r>
      <w:r w:rsidRPr="00D869E3">
        <w:rPr>
          <w:rFonts w:ascii="Verdana" w:hAnsi="Verdana"/>
          <w:sz w:val="20"/>
          <w:szCs w:val="20"/>
          <w:lang w:val="en-US"/>
        </w:rPr>
        <w:t xml:space="preserve"> 1</w:t>
      </w:r>
      <w:r w:rsidR="00687684" w:rsidRPr="00D869E3">
        <w:rPr>
          <w:rFonts w:ascii="Verdana" w:hAnsi="Verdana"/>
          <w:sz w:val="20"/>
          <w:szCs w:val="20"/>
          <w:lang w:val="en-US"/>
        </w:rPr>
        <w:t xml:space="preserve"> and </w:t>
      </w:r>
      <w:r w:rsidRPr="00D869E3">
        <w:rPr>
          <w:rFonts w:ascii="Verdana" w:hAnsi="Verdana"/>
          <w:sz w:val="20"/>
          <w:szCs w:val="20"/>
          <w:lang w:val="en-US"/>
        </w:rPr>
        <w:t>2.</w:t>
      </w:r>
    </w:p>
    <w:p w14:paraId="61DEFC2D" w14:textId="77777777" w:rsidR="003C2143" w:rsidRPr="00D869E3" w:rsidRDefault="003C2143" w:rsidP="003C2143">
      <w:pPr>
        <w:pStyle w:val="Prrafodelista"/>
        <w:ind w:left="0"/>
        <w:jc w:val="both"/>
        <w:rPr>
          <w:rFonts w:ascii="Verdana" w:hAnsi="Verdana"/>
          <w:sz w:val="20"/>
          <w:szCs w:val="20"/>
          <w:lang w:val="en-US"/>
        </w:rPr>
      </w:pPr>
    </w:p>
    <w:p w14:paraId="427D3891" w14:textId="40B6240D"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3.</w:t>
      </w:r>
      <w:r w:rsidR="004D6730" w:rsidRPr="00D869E3">
        <w:rPr>
          <w:rFonts w:ascii="Verdana" w:hAnsi="Verdana"/>
          <w:sz w:val="20"/>
          <w:szCs w:val="20"/>
          <w:lang w:val="en-US"/>
        </w:rPr>
        <w:t xml:space="preserve"> </w:t>
      </w:r>
      <w:r w:rsidRPr="00D869E3">
        <w:rPr>
          <w:rFonts w:ascii="Verdana" w:hAnsi="Verdana"/>
          <w:sz w:val="20"/>
          <w:szCs w:val="20"/>
          <w:lang w:val="en-US"/>
        </w:rPr>
        <w:t xml:space="preserve"> </w:t>
      </w:r>
      <w:r w:rsidR="00EB4865" w:rsidRPr="00D869E3">
        <w:rPr>
          <w:rFonts w:ascii="Verdana" w:hAnsi="Verdana"/>
          <w:sz w:val="20"/>
          <w:szCs w:val="20"/>
          <w:lang w:val="en-US"/>
        </w:rPr>
        <w:t>Furthermore, t</w:t>
      </w:r>
      <w:r w:rsidR="004D6730" w:rsidRPr="00D869E3">
        <w:rPr>
          <w:rFonts w:ascii="Verdana" w:hAnsi="Verdana"/>
          <w:sz w:val="20"/>
          <w:szCs w:val="20"/>
          <w:lang w:val="en-US"/>
        </w:rPr>
        <w:t>he allusion to</w:t>
      </w:r>
      <w:r w:rsidRPr="00D869E3">
        <w:rPr>
          <w:rFonts w:ascii="Verdana" w:hAnsi="Verdana"/>
          <w:sz w:val="20"/>
          <w:szCs w:val="20"/>
          <w:lang w:val="en-US"/>
        </w:rPr>
        <w:t xml:space="preserve"> </w:t>
      </w:r>
      <w:r w:rsidR="00447C65" w:rsidRPr="00D869E3">
        <w:rPr>
          <w:rFonts w:ascii="Verdana" w:hAnsi="Verdana"/>
          <w:sz w:val="20"/>
          <w:szCs w:val="20"/>
          <w:lang w:val="en-US"/>
        </w:rPr>
        <w:t>Articles</w:t>
      </w:r>
      <w:r w:rsidRPr="00D869E3">
        <w:rPr>
          <w:rFonts w:ascii="Verdana" w:hAnsi="Verdana"/>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 xml:space="preserve">6 </w:t>
      </w:r>
      <w:r w:rsidR="004D6730" w:rsidRPr="00D869E3">
        <w:rPr>
          <w:rFonts w:ascii="Verdana" w:hAnsi="Verdana"/>
          <w:i/>
          <w:iCs/>
          <w:sz w:val="20"/>
          <w:szCs w:val="20"/>
          <w:lang w:val="en-US"/>
        </w:rPr>
        <w:t>of the International Covenant on Economic, Social and Cultural Rights</w:t>
      </w:r>
      <w:r w:rsidR="00EB4865" w:rsidRPr="00D869E3">
        <w:rPr>
          <w:rFonts w:ascii="Verdana" w:hAnsi="Verdana"/>
          <w:sz w:val="20"/>
          <w:szCs w:val="20"/>
          <w:lang w:val="en-US"/>
        </w:rPr>
        <w:t>,”</w:t>
      </w:r>
      <w:r w:rsidRPr="00D869E3">
        <w:rPr>
          <w:rFonts w:ascii="Verdana" w:hAnsi="Verdana"/>
          <w:i/>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 xml:space="preserve">23 </w:t>
      </w:r>
      <w:r w:rsidR="004D6730" w:rsidRPr="00D869E3">
        <w:rPr>
          <w:rFonts w:ascii="Verdana" w:hAnsi="Verdana"/>
          <w:i/>
          <w:iCs/>
          <w:sz w:val="20"/>
          <w:szCs w:val="20"/>
          <w:lang w:val="en-US"/>
        </w:rPr>
        <w:t>of the Universal Declaration of Human Rights,</w:t>
      </w:r>
      <w:r w:rsidR="006436CA" w:rsidRPr="00D869E3">
        <w:rPr>
          <w:rFonts w:ascii="Verdana" w:hAnsi="Verdana"/>
          <w:i/>
          <w:iCs/>
          <w:sz w:val="20"/>
          <w:szCs w:val="20"/>
          <w:lang w:val="en-US"/>
        </w:rPr>
        <w:t>”</w:t>
      </w:r>
      <w:r w:rsidRPr="00D869E3">
        <w:rPr>
          <w:rFonts w:ascii="Verdana" w:hAnsi="Verdana"/>
          <w:i/>
          <w:iCs/>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7</w:t>
      </w:r>
      <w:r w:rsidR="00687684" w:rsidRPr="00D869E3">
        <w:rPr>
          <w:rFonts w:ascii="Verdana" w:hAnsi="Verdana"/>
          <w:i/>
          <w:sz w:val="20"/>
          <w:szCs w:val="20"/>
          <w:lang w:val="en-US"/>
        </w:rPr>
        <w:t xml:space="preserve"> and </w:t>
      </w:r>
      <w:r w:rsidRPr="00D869E3">
        <w:rPr>
          <w:rFonts w:ascii="Verdana" w:hAnsi="Verdana"/>
          <w:i/>
          <w:sz w:val="20"/>
          <w:szCs w:val="20"/>
          <w:lang w:val="en-US"/>
        </w:rPr>
        <w:t>8</w:t>
      </w:r>
      <w:r w:rsidR="00FE7426" w:rsidRPr="00D869E3">
        <w:rPr>
          <w:rFonts w:ascii="Verdana" w:hAnsi="Verdana"/>
          <w:i/>
          <w:sz w:val="20"/>
          <w:szCs w:val="20"/>
          <w:lang w:val="en-US"/>
        </w:rPr>
        <w:t xml:space="preserve"> of the </w:t>
      </w:r>
      <w:r w:rsidR="00A25801" w:rsidRPr="00D869E3">
        <w:rPr>
          <w:rFonts w:ascii="Verdana" w:hAnsi="Verdana"/>
          <w:i/>
          <w:sz w:val="20"/>
          <w:szCs w:val="20"/>
          <w:lang w:val="en-US"/>
        </w:rPr>
        <w:t>Social Charter of the Americas</w:t>
      </w:r>
      <w:r w:rsidR="009B31A2" w:rsidRPr="00D869E3">
        <w:rPr>
          <w:rFonts w:ascii="Verdana" w:hAnsi="Verdana"/>
          <w:i/>
          <w:sz w:val="20"/>
          <w:szCs w:val="20"/>
          <w:lang w:val="en-US"/>
        </w:rPr>
        <w:t>,</w:t>
      </w:r>
      <w:r w:rsidR="006436CA" w:rsidRPr="00D869E3">
        <w:rPr>
          <w:rFonts w:ascii="Verdana" w:hAnsi="Verdana"/>
          <w:i/>
          <w:sz w:val="20"/>
          <w:szCs w:val="20"/>
          <w:lang w:val="en-US"/>
        </w:rPr>
        <w:t>”</w:t>
      </w:r>
      <w:r w:rsidRPr="00D869E3">
        <w:rPr>
          <w:rFonts w:ascii="Verdana" w:hAnsi="Verdana"/>
          <w:i/>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6</w:t>
      </w:r>
      <w:r w:rsidR="00687684" w:rsidRPr="00D869E3">
        <w:rPr>
          <w:rFonts w:ascii="Verdana" w:hAnsi="Verdana"/>
          <w:i/>
          <w:sz w:val="20"/>
          <w:szCs w:val="20"/>
          <w:lang w:val="en-US"/>
        </w:rPr>
        <w:t xml:space="preserve"> and </w:t>
      </w:r>
      <w:r w:rsidRPr="00D869E3">
        <w:rPr>
          <w:rFonts w:ascii="Verdana" w:hAnsi="Verdana"/>
          <w:i/>
          <w:sz w:val="20"/>
          <w:szCs w:val="20"/>
          <w:lang w:val="en-US"/>
        </w:rPr>
        <w:t xml:space="preserve">7 </w:t>
      </w:r>
      <w:r w:rsidR="00B235CB" w:rsidRPr="00D869E3">
        <w:rPr>
          <w:rFonts w:ascii="Verdana" w:hAnsi="Verdana"/>
          <w:i/>
          <w:sz w:val="20"/>
          <w:szCs w:val="20"/>
          <w:lang w:val="en-US"/>
        </w:rPr>
        <w:t>of the Additional Protocol to</w:t>
      </w:r>
      <w:r w:rsidRPr="00D869E3">
        <w:rPr>
          <w:rFonts w:ascii="Verdana" w:hAnsi="Verdana"/>
          <w:i/>
          <w:sz w:val="20"/>
          <w:szCs w:val="20"/>
          <w:lang w:val="en-US"/>
        </w:rPr>
        <w:t xml:space="preserve"> </w:t>
      </w:r>
      <w:r w:rsidR="00447C65" w:rsidRPr="00D869E3">
        <w:rPr>
          <w:rFonts w:ascii="Verdana" w:hAnsi="Verdana"/>
          <w:i/>
          <w:sz w:val="20"/>
          <w:szCs w:val="20"/>
          <w:lang w:val="en-US"/>
        </w:rPr>
        <w:t xml:space="preserve">the American </w:t>
      </w:r>
      <w:r w:rsidR="00A25801" w:rsidRPr="00D869E3">
        <w:rPr>
          <w:rFonts w:ascii="Verdana" w:hAnsi="Verdana"/>
          <w:i/>
          <w:sz w:val="20"/>
          <w:szCs w:val="20"/>
          <w:lang w:val="en-US"/>
        </w:rPr>
        <w:t>Convention in the Area of Economic, Social and Cultural Rights</w:t>
      </w:r>
      <w:r w:rsidR="009B31A2" w:rsidRPr="00D869E3">
        <w:rPr>
          <w:rFonts w:ascii="Verdana" w:hAnsi="Verdana"/>
          <w:i/>
          <w:sz w:val="20"/>
          <w:szCs w:val="20"/>
          <w:lang w:val="en-US"/>
        </w:rPr>
        <w:t>,</w:t>
      </w:r>
      <w:r w:rsidR="006436CA" w:rsidRPr="00D869E3">
        <w:rPr>
          <w:rFonts w:ascii="Verdana" w:hAnsi="Verdana"/>
          <w:i/>
          <w:sz w:val="20"/>
          <w:szCs w:val="20"/>
          <w:lang w:val="en-US"/>
        </w:rPr>
        <w:t>”</w:t>
      </w:r>
      <w:r w:rsidRPr="00D869E3">
        <w:rPr>
          <w:rFonts w:ascii="Verdana" w:hAnsi="Verdana"/>
          <w:i/>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11</w:t>
      </w:r>
      <w:r w:rsidR="00447C65" w:rsidRPr="00D869E3">
        <w:rPr>
          <w:rFonts w:ascii="Verdana" w:hAnsi="Verdana"/>
          <w:i/>
          <w:sz w:val="20"/>
          <w:szCs w:val="20"/>
          <w:lang w:val="en-US"/>
        </w:rPr>
        <w:t xml:space="preserve"> of the Convention</w:t>
      </w:r>
      <w:r w:rsidRPr="00D869E3">
        <w:rPr>
          <w:rFonts w:ascii="Verdana" w:hAnsi="Verdana"/>
          <w:i/>
          <w:sz w:val="20"/>
          <w:szCs w:val="20"/>
          <w:lang w:val="en-US"/>
        </w:rPr>
        <w:t xml:space="preserve"> </w:t>
      </w:r>
      <w:r w:rsidR="00A25801" w:rsidRPr="00D869E3">
        <w:rPr>
          <w:rFonts w:ascii="Verdana" w:hAnsi="Verdana"/>
          <w:i/>
          <w:sz w:val="20"/>
          <w:szCs w:val="20"/>
          <w:lang w:val="en-US"/>
        </w:rPr>
        <w:t>on the Elimination of All Forms of Discrimination against Women</w:t>
      </w:r>
      <w:r w:rsidR="009B31A2" w:rsidRPr="00D869E3">
        <w:rPr>
          <w:rFonts w:ascii="Verdana" w:hAnsi="Verdana"/>
          <w:i/>
          <w:sz w:val="20"/>
          <w:szCs w:val="20"/>
          <w:lang w:val="en-US"/>
        </w:rPr>
        <w:t>,</w:t>
      </w:r>
      <w:r w:rsidR="006436CA" w:rsidRPr="00D869E3">
        <w:rPr>
          <w:rFonts w:ascii="Verdana" w:hAnsi="Verdana"/>
          <w:i/>
          <w:sz w:val="20"/>
          <w:szCs w:val="20"/>
          <w:lang w:val="en-US"/>
        </w:rPr>
        <w:t>”</w:t>
      </w:r>
      <w:r w:rsidRPr="00D869E3">
        <w:rPr>
          <w:rFonts w:ascii="Verdana" w:hAnsi="Verdana"/>
          <w:i/>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32.1</w:t>
      </w:r>
      <w:r w:rsidR="00447C65" w:rsidRPr="00D869E3">
        <w:rPr>
          <w:rFonts w:ascii="Verdana" w:hAnsi="Verdana"/>
          <w:i/>
          <w:sz w:val="20"/>
          <w:szCs w:val="20"/>
          <w:lang w:val="en-US"/>
        </w:rPr>
        <w:t xml:space="preserve"> of the Convention</w:t>
      </w:r>
      <w:r w:rsidRPr="00D869E3">
        <w:rPr>
          <w:rFonts w:ascii="Verdana" w:hAnsi="Verdana"/>
          <w:i/>
          <w:sz w:val="20"/>
          <w:szCs w:val="20"/>
          <w:lang w:val="en-US"/>
        </w:rPr>
        <w:t xml:space="preserve"> </w:t>
      </w:r>
      <w:r w:rsidR="00A25801" w:rsidRPr="00D869E3">
        <w:rPr>
          <w:rFonts w:ascii="Verdana" w:hAnsi="Verdana"/>
          <w:i/>
          <w:sz w:val="20"/>
          <w:szCs w:val="20"/>
          <w:lang w:val="en-US"/>
        </w:rPr>
        <w:t>on the Rights of the Child</w:t>
      </w:r>
      <w:r w:rsidR="009B31A2" w:rsidRPr="00D869E3">
        <w:rPr>
          <w:rFonts w:ascii="Verdana" w:hAnsi="Verdana"/>
          <w:i/>
          <w:sz w:val="20"/>
          <w:szCs w:val="20"/>
          <w:lang w:val="en-US"/>
        </w:rPr>
        <w:t>,</w:t>
      </w:r>
      <w:r w:rsidR="006436CA" w:rsidRPr="00D869E3">
        <w:rPr>
          <w:rFonts w:ascii="Verdana" w:hAnsi="Verdana"/>
          <w:i/>
          <w:sz w:val="20"/>
          <w:szCs w:val="20"/>
          <w:lang w:val="en-US"/>
        </w:rPr>
        <w:t>”</w:t>
      </w:r>
      <w:r w:rsidRPr="00D869E3">
        <w:rPr>
          <w:rFonts w:ascii="Verdana" w:hAnsi="Verdana"/>
          <w:i/>
          <w:sz w:val="20"/>
          <w:szCs w:val="20"/>
          <w:lang w:val="en-US"/>
        </w:rPr>
        <w:t xml:space="preserve"> </w:t>
      </w:r>
      <w:r w:rsidR="006436CA" w:rsidRPr="00D869E3">
        <w:rPr>
          <w:rFonts w:ascii="Verdana" w:hAnsi="Verdana"/>
          <w:i/>
          <w:sz w:val="20"/>
          <w:szCs w:val="20"/>
          <w:lang w:val="en-US"/>
        </w:rPr>
        <w:t>“</w:t>
      </w:r>
      <w:r w:rsidRPr="00D869E3">
        <w:rPr>
          <w:rFonts w:ascii="Verdana" w:hAnsi="Verdana"/>
          <w:i/>
          <w:sz w:val="20"/>
          <w:szCs w:val="20"/>
          <w:lang w:val="en-US"/>
        </w:rPr>
        <w:t xml:space="preserve">1 </w:t>
      </w:r>
      <w:r w:rsidR="009B31A2" w:rsidRPr="00D869E3">
        <w:rPr>
          <w:rFonts w:ascii="Verdana" w:hAnsi="Verdana"/>
          <w:i/>
          <w:sz w:val="20"/>
          <w:szCs w:val="20"/>
          <w:lang w:val="en-US"/>
        </w:rPr>
        <w:t>of the</w:t>
      </w:r>
      <w:r w:rsidRPr="00D869E3">
        <w:rPr>
          <w:rFonts w:ascii="Verdana" w:hAnsi="Verdana"/>
          <w:i/>
          <w:sz w:val="20"/>
          <w:szCs w:val="20"/>
          <w:lang w:val="en-US"/>
        </w:rPr>
        <w:t xml:space="preserve"> </w:t>
      </w:r>
      <w:r w:rsidR="00A25801" w:rsidRPr="00D869E3">
        <w:rPr>
          <w:rFonts w:ascii="Verdana" w:hAnsi="Verdana"/>
          <w:i/>
          <w:sz w:val="20"/>
          <w:szCs w:val="20"/>
          <w:lang w:val="en-US"/>
        </w:rPr>
        <w:t>European Social Charter</w:t>
      </w:r>
      <w:r w:rsidR="006436CA" w:rsidRPr="00D869E3">
        <w:rPr>
          <w:rFonts w:ascii="Verdana" w:hAnsi="Verdana"/>
          <w:i/>
          <w:sz w:val="20"/>
          <w:szCs w:val="20"/>
          <w:lang w:val="en-US"/>
        </w:rPr>
        <w:t>”</w:t>
      </w:r>
      <w:r w:rsidR="00687684" w:rsidRPr="00D869E3">
        <w:rPr>
          <w:rFonts w:ascii="Verdana" w:hAnsi="Verdana"/>
          <w:i/>
          <w:sz w:val="20"/>
          <w:szCs w:val="20"/>
          <w:lang w:val="en-US"/>
        </w:rPr>
        <w:t xml:space="preserve"> and </w:t>
      </w:r>
      <w:r w:rsidR="006436CA" w:rsidRPr="00D869E3">
        <w:rPr>
          <w:rFonts w:ascii="Verdana" w:hAnsi="Verdana"/>
          <w:i/>
          <w:sz w:val="20"/>
          <w:szCs w:val="20"/>
          <w:lang w:val="en-US"/>
        </w:rPr>
        <w:t>“</w:t>
      </w:r>
      <w:r w:rsidRPr="00D869E3">
        <w:rPr>
          <w:rFonts w:ascii="Verdana" w:hAnsi="Verdana"/>
          <w:i/>
          <w:sz w:val="20"/>
          <w:szCs w:val="20"/>
          <w:lang w:val="en-US"/>
        </w:rPr>
        <w:t xml:space="preserve">15 </w:t>
      </w:r>
      <w:r w:rsidR="009B31A2" w:rsidRPr="00D869E3">
        <w:rPr>
          <w:rFonts w:ascii="Verdana" w:hAnsi="Verdana"/>
          <w:i/>
          <w:sz w:val="20"/>
          <w:szCs w:val="20"/>
          <w:lang w:val="en-US"/>
        </w:rPr>
        <w:t xml:space="preserve">of the </w:t>
      </w:r>
      <w:r w:rsidR="00A25801" w:rsidRPr="00D869E3">
        <w:rPr>
          <w:rFonts w:ascii="Verdana" w:hAnsi="Verdana"/>
          <w:i/>
          <w:sz w:val="20"/>
          <w:szCs w:val="20"/>
          <w:lang w:val="en-US"/>
        </w:rPr>
        <w:t>African Charter on Human and Peoples’ Rights</w:t>
      </w:r>
      <w:r w:rsidR="00EB4865" w:rsidRPr="00D869E3">
        <w:rPr>
          <w:rFonts w:ascii="Verdana" w:hAnsi="Verdana"/>
          <w:i/>
          <w:sz w:val="20"/>
          <w:szCs w:val="20"/>
          <w:lang w:val="en-US"/>
        </w:rPr>
        <w:t>,</w:t>
      </w:r>
      <w:r w:rsidR="006436CA" w:rsidRPr="00D869E3">
        <w:rPr>
          <w:rFonts w:ascii="Verdana" w:hAnsi="Verdana"/>
          <w:i/>
          <w:sz w:val="20"/>
          <w:szCs w:val="20"/>
          <w:lang w:val="en-US"/>
        </w:rPr>
        <w:t>”</w:t>
      </w:r>
      <w:r w:rsidRPr="00D869E3">
        <w:rPr>
          <w:rStyle w:val="Refdenotaalpie"/>
          <w:i/>
          <w:szCs w:val="20"/>
          <w:lang w:val="en-US"/>
        </w:rPr>
        <w:footnoteReference w:id="426"/>
      </w:r>
      <w:r w:rsidRPr="00D869E3">
        <w:rPr>
          <w:rFonts w:ascii="Verdana" w:hAnsi="Verdana"/>
          <w:sz w:val="20"/>
          <w:szCs w:val="20"/>
          <w:lang w:val="en-US"/>
        </w:rPr>
        <w:t xml:space="preserve"> </w:t>
      </w:r>
      <w:r w:rsidR="00EB4865" w:rsidRPr="00D869E3">
        <w:rPr>
          <w:rFonts w:ascii="Verdana" w:hAnsi="Verdana"/>
          <w:sz w:val="20"/>
          <w:szCs w:val="20"/>
          <w:lang w:val="en-US"/>
        </w:rPr>
        <w:t xml:space="preserve">does not provide grounds to affirm that </w:t>
      </w:r>
      <w:r w:rsidR="007013E2" w:rsidRPr="00D869E3">
        <w:rPr>
          <w:rFonts w:ascii="Verdana" w:hAnsi="Verdana"/>
          <w:sz w:val="20"/>
          <w:szCs w:val="20"/>
          <w:lang w:val="en-US"/>
        </w:rPr>
        <w:t>the violation</w:t>
      </w:r>
      <w:r w:rsidR="00A157F5" w:rsidRPr="00D869E3">
        <w:rPr>
          <w:rFonts w:ascii="Verdana" w:hAnsi="Verdana"/>
          <w:sz w:val="20"/>
          <w:szCs w:val="20"/>
          <w:lang w:val="en-US"/>
        </w:rPr>
        <w:t xml:space="preserve"> of the </w:t>
      </w:r>
      <w:r w:rsidR="00301DBE" w:rsidRPr="00D869E3">
        <w:rPr>
          <w:rFonts w:ascii="Verdana" w:hAnsi="Verdana"/>
          <w:sz w:val="20"/>
          <w:szCs w:val="20"/>
          <w:lang w:val="en-US"/>
        </w:rPr>
        <w:t>right to work</w:t>
      </w:r>
      <w:r w:rsidR="00687684" w:rsidRPr="00D869E3">
        <w:rPr>
          <w:rFonts w:ascii="Verdana" w:hAnsi="Verdana"/>
          <w:sz w:val="20"/>
          <w:szCs w:val="20"/>
          <w:lang w:val="en-US"/>
        </w:rPr>
        <w:t xml:space="preserve"> and </w:t>
      </w:r>
      <w:r w:rsidRPr="00D869E3">
        <w:rPr>
          <w:rFonts w:ascii="Verdana" w:hAnsi="Verdana"/>
          <w:sz w:val="20"/>
          <w:szCs w:val="20"/>
          <w:lang w:val="en-US"/>
        </w:rPr>
        <w:t>m</w:t>
      </w:r>
      <w:r w:rsidR="00EB4865" w:rsidRPr="00D869E3">
        <w:rPr>
          <w:rFonts w:ascii="Verdana" w:hAnsi="Verdana"/>
          <w:sz w:val="20"/>
          <w:szCs w:val="20"/>
          <w:lang w:val="en-US"/>
        </w:rPr>
        <w:t xml:space="preserve">ore specifically, </w:t>
      </w:r>
      <w:r w:rsidR="00A157F5" w:rsidRPr="00D869E3">
        <w:rPr>
          <w:rFonts w:ascii="Verdana" w:hAnsi="Verdana"/>
          <w:sz w:val="20"/>
          <w:szCs w:val="20"/>
          <w:lang w:val="en-US"/>
        </w:rPr>
        <w:t xml:space="preserve">of the </w:t>
      </w:r>
      <w:r w:rsidR="000B2E5E" w:rsidRPr="00D869E3">
        <w:rPr>
          <w:rFonts w:ascii="Verdana" w:hAnsi="Verdana"/>
          <w:sz w:val="20"/>
          <w:szCs w:val="20"/>
          <w:lang w:val="en-US"/>
        </w:rPr>
        <w:t xml:space="preserve">right </w:t>
      </w:r>
      <w:r w:rsidR="002C5EA9" w:rsidRPr="00D869E3">
        <w:rPr>
          <w:rFonts w:ascii="Verdana" w:hAnsi="Verdana"/>
          <w:sz w:val="20"/>
          <w:szCs w:val="20"/>
          <w:lang w:val="en-US"/>
        </w:rPr>
        <w:t>to job security</w:t>
      </w:r>
      <w:r w:rsidRPr="00D869E3">
        <w:rPr>
          <w:rFonts w:ascii="Verdana" w:hAnsi="Verdana"/>
          <w:sz w:val="20"/>
          <w:szCs w:val="20"/>
          <w:lang w:val="en-US"/>
        </w:rPr>
        <w:t xml:space="preserve">, </w:t>
      </w:r>
      <w:r w:rsidR="00EB4865" w:rsidRPr="00D869E3">
        <w:rPr>
          <w:rFonts w:ascii="Verdana" w:hAnsi="Verdana"/>
          <w:sz w:val="20"/>
          <w:szCs w:val="20"/>
          <w:lang w:val="en-US"/>
        </w:rPr>
        <w:t xml:space="preserve">can be examined and decided by the Court pursuant to </w:t>
      </w:r>
      <w:r w:rsidR="00447C65" w:rsidRPr="00D869E3">
        <w:rPr>
          <w:rFonts w:ascii="Verdana" w:hAnsi="Verdana"/>
          <w:sz w:val="20"/>
          <w:szCs w:val="20"/>
          <w:lang w:val="en-US"/>
        </w:rPr>
        <w:t>Article</w:t>
      </w:r>
      <w:r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Pr="00D869E3">
        <w:rPr>
          <w:rFonts w:ascii="Verdana" w:hAnsi="Verdana"/>
          <w:sz w:val="20"/>
          <w:szCs w:val="20"/>
          <w:lang w:val="en-US"/>
        </w:rPr>
        <w:t>.</w:t>
      </w:r>
    </w:p>
    <w:p w14:paraId="58EFF3EE" w14:textId="77777777" w:rsidR="003C2143" w:rsidRPr="00D869E3" w:rsidRDefault="003C2143" w:rsidP="003C2143">
      <w:pPr>
        <w:jc w:val="both"/>
        <w:rPr>
          <w:rFonts w:ascii="Verdana" w:hAnsi="Verdana"/>
          <w:sz w:val="20"/>
          <w:szCs w:val="20"/>
          <w:lang w:val="en-US"/>
        </w:rPr>
      </w:pPr>
    </w:p>
    <w:p w14:paraId="41643E60" w14:textId="070ABE54" w:rsidR="004854A5" w:rsidRPr="00D869E3" w:rsidRDefault="003C2143" w:rsidP="003C2143">
      <w:pPr>
        <w:jc w:val="both"/>
        <w:rPr>
          <w:rFonts w:ascii="Verdana" w:hAnsi="Verdana"/>
          <w:sz w:val="20"/>
          <w:szCs w:val="20"/>
          <w:lang w:val="en-US"/>
        </w:rPr>
      </w:pPr>
      <w:r w:rsidRPr="00D869E3">
        <w:rPr>
          <w:rFonts w:ascii="Verdana" w:hAnsi="Verdana"/>
          <w:sz w:val="20"/>
          <w:szCs w:val="20"/>
          <w:lang w:val="en-US"/>
        </w:rPr>
        <w:t>4.</w:t>
      </w:r>
      <w:r w:rsidR="00EB4865" w:rsidRPr="00D869E3">
        <w:rPr>
          <w:rFonts w:ascii="Verdana" w:hAnsi="Verdana"/>
          <w:sz w:val="20"/>
          <w:szCs w:val="20"/>
          <w:lang w:val="en-US"/>
        </w:rPr>
        <w:t xml:space="preserve"> </w:t>
      </w:r>
      <w:r w:rsidRPr="00D869E3">
        <w:rPr>
          <w:rFonts w:ascii="Verdana" w:hAnsi="Verdana"/>
          <w:sz w:val="20"/>
          <w:szCs w:val="20"/>
          <w:lang w:val="en-US"/>
        </w:rPr>
        <w:t xml:space="preserve"> </w:t>
      </w:r>
      <w:r w:rsidR="00EB4865" w:rsidRPr="00D869E3">
        <w:rPr>
          <w:rFonts w:ascii="Verdana" w:hAnsi="Verdana"/>
          <w:sz w:val="20"/>
          <w:szCs w:val="20"/>
          <w:lang w:val="en-US"/>
        </w:rPr>
        <w:t>The same i</w:t>
      </w:r>
      <w:r w:rsidR="008A2576" w:rsidRPr="00D869E3">
        <w:rPr>
          <w:rFonts w:ascii="Verdana" w:hAnsi="Verdana"/>
          <w:sz w:val="20"/>
          <w:szCs w:val="20"/>
          <w:lang w:val="en-US"/>
        </w:rPr>
        <w:t>s</w:t>
      </w:r>
      <w:r w:rsidR="00EB4865" w:rsidRPr="00D869E3">
        <w:rPr>
          <w:rFonts w:ascii="Verdana" w:hAnsi="Verdana"/>
          <w:sz w:val="20"/>
          <w:szCs w:val="20"/>
          <w:lang w:val="en-US"/>
        </w:rPr>
        <w:t xml:space="preserve"> true </w:t>
      </w:r>
      <w:r w:rsidR="004854A5" w:rsidRPr="00D869E3">
        <w:rPr>
          <w:rFonts w:ascii="Verdana" w:hAnsi="Verdana"/>
          <w:sz w:val="20"/>
          <w:szCs w:val="20"/>
          <w:lang w:val="en-US"/>
        </w:rPr>
        <w:t>in the case of</w:t>
      </w:r>
      <w:r w:rsidR="00EB4865" w:rsidRPr="00D869E3">
        <w:rPr>
          <w:rFonts w:ascii="Verdana" w:hAnsi="Verdana"/>
          <w:sz w:val="20"/>
          <w:szCs w:val="20"/>
          <w:lang w:val="en-US"/>
        </w:rPr>
        <w:t xml:space="preserve"> the references to the </w:t>
      </w:r>
      <w:r w:rsidR="007013E2" w:rsidRPr="00D869E3">
        <w:rPr>
          <w:rFonts w:ascii="Verdana" w:hAnsi="Verdana"/>
          <w:sz w:val="20"/>
          <w:szCs w:val="20"/>
          <w:lang w:val="en-US"/>
        </w:rPr>
        <w:t>Committee on Economic, Social and Cultural Rights</w:t>
      </w:r>
      <w:r w:rsidRPr="00D869E3">
        <w:rPr>
          <w:rFonts w:ascii="Verdana" w:hAnsi="Verdana"/>
          <w:sz w:val="20"/>
          <w:szCs w:val="20"/>
          <w:lang w:val="en-US"/>
        </w:rPr>
        <w:t xml:space="preserve">, </w:t>
      </w:r>
      <w:r w:rsidR="00EB4865" w:rsidRPr="00D869E3">
        <w:rPr>
          <w:rFonts w:ascii="Verdana" w:hAnsi="Verdana"/>
          <w:sz w:val="20"/>
          <w:szCs w:val="20"/>
          <w:lang w:val="en-US"/>
        </w:rPr>
        <w:t>in its General Comment</w:t>
      </w:r>
      <w:r w:rsidRPr="00D869E3">
        <w:rPr>
          <w:rFonts w:ascii="Verdana" w:hAnsi="Verdana"/>
          <w:sz w:val="20"/>
          <w:szCs w:val="20"/>
          <w:lang w:val="en-US"/>
        </w:rPr>
        <w:t xml:space="preserve"> No. 18 </w:t>
      </w:r>
      <w:r w:rsidR="00EB4865" w:rsidRPr="00D869E3">
        <w:rPr>
          <w:rFonts w:ascii="Verdana" w:hAnsi="Verdana"/>
          <w:sz w:val="20"/>
          <w:szCs w:val="20"/>
          <w:lang w:val="en-US"/>
        </w:rPr>
        <w:t>on</w:t>
      </w:r>
      <w:r w:rsidRPr="00D869E3">
        <w:rPr>
          <w:rFonts w:ascii="Verdana" w:hAnsi="Verdana"/>
          <w:sz w:val="20"/>
          <w:szCs w:val="20"/>
          <w:lang w:val="en-US"/>
        </w:rPr>
        <w:t xml:space="preserve">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EB4865" w:rsidRPr="00D869E3">
        <w:rPr>
          <w:rFonts w:ascii="Verdana" w:hAnsi="Verdana"/>
          <w:sz w:val="20"/>
          <w:szCs w:val="20"/>
          <w:lang w:val="en-US"/>
        </w:rPr>
        <w:t>,</w:t>
      </w:r>
      <w:r w:rsidRPr="00D869E3">
        <w:rPr>
          <w:rStyle w:val="Refdenotaalpie"/>
          <w:szCs w:val="20"/>
          <w:lang w:val="en-US"/>
        </w:rPr>
        <w:footnoteReference w:id="427"/>
      </w:r>
      <w:r w:rsidR="00687684" w:rsidRPr="00D869E3">
        <w:rPr>
          <w:rFonts w:ascii="Verdana" w:hAnsi="Verdana"/>
          <w:sz w:val="20"/>
          <w:szCs w:val="20"/>
          <w:lang w:val="en-US"/>
        </w:rPr>
        <w:t xml:space="preserve"> and </w:t>
      </w:r>
      <w:r w:rsidR="00EB4865" w:rsidRPr="00D869E3">
        <w:rPr>
          <w:rFonts w:ascii="Verdana" w:hAnsi="Verdana"/>
          <w:sz w:val="20"/>
          <w:szCs w:val="20"/>
          <w:lang w:val="en-US"/>
        </w:rPr>
        <w:t>to</w:t>
      </w:r>
      <w:r w:rsidRPr="00D869E3">
        <w:rPr>
          <w:rFonts w:ascii="Verdana" w:hAnsi="Verdana"/>
          <w:sz w:val="20"/>
          <w:szCs w:val="20"/>
          <w:lang w:val="en-US"/>
        </w:rPr>
        <w:t xml:space="preserve"> Conven</w:t>
      </w:r>
      <w:r w:rsidR="00EB4865" w:rsidRPr="00D869E3">
        <w:rPr>
          <w:rFonts w:ascii="Verdana" w:hAnsi="Verdana"/>
          <w:sz w:val="20"/>
          <w:szCs w:val="20"/>
          <w:lang w:val="en-US"/>
        </w:rPr>
        <w:t>t</w:t>
      </w:r>
      <w:r w:rsidRPr="00D869E3">
        <w:rPr>
          <w:rFonts w:ascii="Verdana" w:hAnsi="Verdana"/>
          <w:sz w:val="20"/>
          <w:szCs w:val="20"/>
          <w:lang w:val="en-US"/>
        </w:rPr>
        <w:t>io</w:t>
      </w:r>
      <w:r w:rsidR="00EB4865" w:rsidRPr="00D869E3">
        <w:rPr>
          <w:rFonts w:ascii="Verdana" w:hAnsi="Verdana"/>
          <w:sz w:val="20"/>
          <w:szCs w:val="20"/>
          <w:lang w:val="en-US"/>
        </w:rPr>
        <w:t>n</w:t>
      </w:r>
      <w:r w:rsidRPr="00D869E3">
        <w:rPr>
          <w:rFonts w:ascii="Verdana" w:hAnsi="Verdana"/>
          <w:sz w:val="20"/>
          <w:szCs w:val="20"/>
          <w:lang w:val="en-US"/>
        </w:rPr>
        <w:t xml:space="preserve"> 158 </w:t>
      </w:r>
      <w:r w:rsidR="00EB4865" w:rsidRPr="00D869E3">
        <w:rPr>
          <w:rFonts w:ascii="Verdana" w:hAnsi="Verdana"/>
          <w:sz w:val="20"/>
          <w:szCs w:val="20"/>
          <w:lang w:val="en-US"/>
        </w:rPr>
        <w:t>of the International Labour Org</w:t>
      </w:r>
      <w:r w:rsidR="004854A5" w:rsidRPr="00D869E3">
        <w:rPr>
          <w:rFonts w:ascii="Verdana" w:hAnsi="Verdana"/>
          <w:sz w:val="20"/>
          <w:szCs w:val="20"/>
          <w:lang w:val="en-US"/>
        </w:rPr>
        <w:t>a</w:t>
      </w:r>
      <w:r w:rsidR="00EB4865" w:rsidRPr="00D869E3">
        <w:rPr>
          <w:rFonts w:ascii="Verdana" w:hAnsi="Verdana"/>
          <w:sz w:val="20"/>
          <w:szCs w:val="20"/>
          <w:lang w:val="en-US"/>
        </w:rPr>
        <w:t>nization</w:t>
      </w:r>
      <w:r w:rsidR="004854A5" w:rsidRPr="00D869E3">
        <w:rPr>
          <w:rFonts w:ascii="Verdana" w:hAnsi="Verdana"/>
          <w:sz w:val="20"/>
          <w:szCs w:val="20"/>
          <w:lang w:val="en-US"/>
        </w:rPr>
        <w:t xml:space="preserve"> on termination of employment</w:t>
      </w:r>
      <w:r w:rsidR="00EB4865" w:rsidRPr="00D869E3">
        <w:rPr>
          <w:rFonts w:ascii="Verdana" w:hAnsi="Verdana"/>
          <w:sz w:val="20"/>
          <w:szCs w:val="20"/>
          <w:lang w:val="en-US"/>
        </w:rPr>
        <w:t xml:space="preserve"> </w:t>
      </w:r>
      <w:r w:rsidRPr="00D869E3">
        <w:rPr>
          <w:rFonts w:ascii="Verdana" w:hAnsi="Verdana"/>
          <w:sz w:val="20"/>
          <w:szCs w:val="20"/>
          <w:lang w:val="en-US"/>
        </w:rPr>
        <w:t>(1982)</w:t>
      </w:r>
      <w:r w:rsidR="004854A5" w:rsidRPr="00D869E3">
        <w:rPr>
          <w:rFonts w:ascii="Verdana" w:hAnsi="Verdana"/>
          <w:sz w:val="20"/>
          <w:szCs w:val="20"/>
          <w:lang w:val="en-US"/>
        </w:rPr>
        <w:t>.</w:t>
      </w:r>
      <w:r w:rsidRPr="00D869E3">
        <w:rPr>
          <w:rStyle w:val="Refdenotaalpie"/>
          <w:szCs w:val="20"/>
          <w:lang w:val="en-US"/>
        </w:rPr>
        <w:footnoteReference w:id="428"/>
      </w:r>
      <w:r w:rsidRPr="00D869E3">
        <w:rPr>
          <w:rFonts w:ascii="Verdana" w:hAnsi="Verdana"/>
          <w:sz w:val="20"/>
          <w:szCs w:val="20"/>
          <w:lang w:val="en-US"/>
        </w:rPr>
        <w:t xml:space="preserve"> </w:t>
      </w:r>
      <w:r w:rsidR="004854A5" w:rsidRPr="00D869E3">
        <w:rPr>
          <w:rFonts w:ascii="Verdana" w:hAnsi="Verdana"/>
          <w:sz w:val="20"/>
          <w:szCs w:val="20"/>
          <w:lang w:val="en-US"/>
        </w:rPr>
        <w:t xml:space="preserve">The said provisions </w:t>
      </w:r>
      <w:r w:rsidR="008A2576" w:rsidRPr="00D869E3">
        <w:rPr>
          <w:rFonts w:ascii="Verdana" w:hAnsi="Verdana"/>
          <w:sz w:val="20"/>
          <w:szCs w:val="20"/>
          <w:lang w:val="en-US"/>
        </w:rPr>
        <w:t>d</w:t>
      </w:r>
      <w:r w:rsidR="004854A5" w:rsidRPr="00D869E3">
        <w:rPr>
          <w:rFonts w:ascii="Verdana" w:hAnsi="Verdana"/>
          <w:sz w:val="20"/>
          <w:szCs w:val="20"/>
          <w:lang w:val="en-US"/>
        </w:rPr>
        <w:t xml:space="preserve">o not refer to this and it is not in their remit, either because they are treaties that have no relationship to the possibility of judicializing the </w:t>
      </w:r>
      <w:r w:rsidR="00ED3FC7" w:rsidRPr="00D869E3">
        <w:rPr>
          <w:rFonts w:ascii="Verdana" w:hAnsi="Verdana"/>
          <w:sz w:val="20"/>
          <w:szCs w:val="20"/>
          <w:lang w:val="en-US"/>
        </w:rPr>
        <w:t>economic, social and cultural rights</w:t>
      </w:r>
      <w:r w:rsidRPr="00D869E3">
        <w:rPr>
          <w:rFonts w:ascii="Verdana" w:hAnsi="Verdana"/>
          <w:sz w:val="20"/>
          <w:szCs w:val="20"/>
          <w:lang w:val="en-US"/>
        </w:rPr>
        <w:t xml:space="preserve">, </w:t>
      </w:r>
      <w:r w:rsidR="004854A5" w:rsidRPr="00D869E3">
        <w:rPr>
          <w:rFonts w:ascii="Verdana" w:hAnsi="Verdana"/>
          <w:sz w:val="20"/>
          <w:szCs w:val="20"/>
          <w:lang w:val="en-US"/>
        </w:rPr>
        <w:t>or because they are resolutions of international organizations that are not binding for the States; that is, they are merely resolutions that either reflect political aspirations</w:t>
      </w:r>
      <w:r w:rsidR="0005040F" w:rsidRPr="00D869E3">
        <w:rPr>
          <w:rFonts w:ascii="Verdana" w:hAnsi="Verdana"/>
          <w:sz w:val="20"/>
          <w:szCs w:val="20"/>
          <w:lang w:val="en-US"/>
        </w:rPr>
        <w:t xml:space="preserve"> that they be incorporated into law</w:t>
      </w:r>
      <w:r w:rsidR="004854A5" w:rsidRPr="00D869E3">
        <w:rPr>
          <w:rFonts w:ascii="Verdana" w:hAnsi="Verdana"/>
          <w:sz w:val="20"/>
          <w:szCs w:val="20"/>
          <w:lang w:val="en-US"/>
        </w:rPr>
        <w:t>, which may be very legitimate, or they do not interpret a treaty of any kind.</w:t>
      </w:r>
    </w:p>
    <w:p w14:paraId="7B89A7B0" w14:textId="77777777" w:rsidR="003C2143" w:rsidRPr="00D869E3" w:rsidRDefault="003C2143" w:rsidP="003C2143">
      <w:pPr>
        <w:jc w:val="both"/>
        <w:rPr>
          <w:rFonts w:ascii="Verdana" w:hAnsi="Verdana"/>
          <w:sz w:val="20"/>
          <w:szCs w:val="20"/>
          <w:lang w:val="en-US"/>
        </w:rPr>
      </w:pPr>
    </w:p>
    <w:p w14:paraId="08FEA5D1" w14:textId="64913600" w:rsidR="00887221" w:rsidRPr="00D869E3" w:rsidRDefault="003C2143" w:rsidP="003C2143">
      <w:pPr>
        <w:jc w:val="both"/>
        <w:rPr>
          <w:rFonts w:ascii="Verdana" w:hAnsi="Verdana"/>
          <w:sz w:val="20"/>
          <w:szCs w:val="20"/>
          <w:lang w:val="en-US"/>
        </w:rPr>
      </w:pPr>
      <w:r w:rsidRPr="00D869E3">
        <w:rPr>
          <w:rFonts w:ascii="Verdana" w:hAnsi="Verdana"/>
          <w:sz w:val="20"/>
          <w:szCs w:val="20"/>
          <w:lang w:val="en-US"/>
        </w:rPr>
        <w:t>5.</w:t>
      </w:r>
      <w:r w:rsidR="004854A5" w:rsidRPr="00D869E3">
        <w:rPr>
          <w:rFonts w:ascii="Verdana" w:hAnsi="Verdana"/>
          <w:sz w:val="20"/>
          <w:szCs w:val="20"/>
          <w:lang w:val="en-US"/>
        </w:rPr>
        <w:t xml:space="preserve"> </w:t>
      </w:r>
      <w:r w:rsidRPr="00D869E3">
        <w:rPr>
          <w:rFonts w:ascii="Verdana" w:hAnsi="Verdana"/>
          <w:sz w:val="20"/>
          <w:szCs w:val="20"/>
          <w:lang w:val="en-US"/>
        </w:rPr>
        <w:t xml:space="preserve"> </w:t>
      </w:r>
      <w:r w:rsidR="004854A5" w:rsidRPr="00D869E3">
        <w:rPr>
          <w:rFonts w:ascii="Verdana" w:hAnsi="Verdana"/>
          <w:sz w:val="20"/>
          <w:szCs w:val="20"/>
          <w:lang w:val="en-US"/>
        </w:rPr>
        <w:t>The statement that</w:t>
      </w:r>
      <w:r w:rsidRPr="00D869E3">
        <w:rPr>
          <w:rFonts w:ascii="Verdana" w:hAnsi="Verdana"/>
          <w:sz w:val="20"/>
          <w:szCs w:val="20"/>
          <w:lang w:val="en-US"/>
        </w:rPr>
        <w:t xml:space="preserve"> </w:t>
      </w:r>
      <w:r w:rsidR="006436CA" w:rsidRPr="00D869E3">
        <w:rPr>
          <w:rFonts w:ascii="Verdana" w:hAnsi="Verdana"/>
          <w:sz w:val="20"/>
          <w:szCs w:val="20"/>
          <w:lang w:val="en-US"/>
        </w:rPr>
        <w:t>“</w:t>
      </w:r>
      <w:r w:rsidR="00FE7426" w:rsidRPr="00D869E3">
        <w:rPr>
          <w:rFonts w:ascii="Verdana" w:hAnsi="Verdana"/>
          <w:i/>
          <w:sz w:val="20"/>
          <w:szCs w:val="20"/>
          <w:lang w:val="en-US"/>
        </w:rPr>
        <w:t>the American Declaration</w:t>
      </w:r>
      <w:r w:rsidR="004854A5" w:rsidRPr="00D869E3">
        <w:rPr>
          <w:rFonts w:ascii="Verdana" w:hAnsi="Verdana"/>
          <w:i/>
          <w:sz w:val="20"/>
          <w:szCs w:val="20"/>
          <w:lang w:val="en-US"/>
        </w:rPr>
        <w:t xml:space="preserve"> </w:t>
      </w:r>
      <w:r w:rsidR="004854A5" w:rsidRPr="00D869E3">
        <w:rPr>
          <w:rFonts w:ascii="Verdana" w:hAnsi="Verdana"/>
          <w:i/>
          <w:iCs/>
          <w:sz w:val="20"/>
          <w:szCs w:val="20"/>
          <w:lang w:val="en-US"/>
        </w:rPr>
        <w:t>constitutes, as applicable and in relation to the OAS Charter, a source of international obligations</w:t>
      </w:r>
      <w:r w:rsidR="006436CA" w:rsidRPr="00D869E3">
        <w:rPr>
          <w:rFonts w:ascii="Verdana" w:hAnsi="Verdana"/>
          <w:sz w:val="20"/>
          <w:szCs w:val="20"/>
          <w:lang w:val="en-US"/>
        </w:rPr>
        <w:t>”</w:t>
      </w:r>
      <w:r w:rsidRPr="00D869E3">
        <w:rPr>
          <w:rStyle w:val="Refdenotaalpie"/>
          <w:szCs w:val="20"/>
          <w:lang w:val="en-US"/>
        </w:rPr>
        <w:footnoteReference w:id="429"/>
      </w:r>
      <w:r w:rsidR="00687684" w:rsidRPr="00D869E3">
        <w:rPr>
          <w:rFonts w:ascii="Verdana" w:hAnsi="Verdana"/>
          <w:sz w:val="20"/>
          <w:szCs w:val="20"/>
          <w:lang w:val="en-US"/>
        </w:rPr>
        <w:t xml:space="preserve"> and </w:t>
      </w:r>
      <w:r w:rsidR="00887221" w:rsidRPr="00D869E3">
        <w:rPr>
          <w:rFonts w:ascii="Verdana" w:hAnsi="Verdana"/>
          <w:sz w:val="20"/>
          <w:szCs w:val="20"/>
          <w:lang w:val="en-US"/>
        </w:rPr>
        <w:t>the reference to the provisions of</w:t>
      </w:r>
      <w:r w:rsidRPr="00D869E3">
        <w:rPr>
          <w:rFonts w:ascii="Verdana" w:hAnsi="Verdana"/>
          <w:sz w:val="20"/>
          <w:szCs w:val="20"/>
          <w:lang w:val="en-US"/>
        </w:rPr>
        <w:t xml:space="preserve"> </w:t>
      </w:r>
      <w:r w:rsidR="00447C65" w:rsidRPr="00D869E3">
        <w:rPr>
          <w:rFonts w:ascii="Verdana" w:hAnsi="Verdana"/>
          <w:sz w:val="20"/>
          <w:szCs w:val="20"/>
          <w:lang w:val="en-US"/>
        </w:rPr>
        <w:t>Article</w:t>
      </w:r>
      <w:r w:rsidRPr="00D869E3">
        <w:rPr>
          <w:rFonts w:ascii="Verdana" w:hAnsi="Verdana"/>
          <w:sz w:val="20"/>
          <w:szCs w:val="20"/>
          <w:lang w:val="en-US"/>
        </w:rPr>
        <w:t xml:space="preserve"> 29</w:t>
      </w:r>
      <w:r w:rsidR="004A47FF" w:rsidRPr="00D869E3">
        <w:rPr>
          <w:rFonts w:ascii="Verdana" w:hAnsi="Verdana"/>
          <w:sz w:val="20"/>
          <w:szCs w:val="20"/>
          <w:lang w:val="en-US"/>
        </w:rPr>
        <w:t>(</w:t>
      </w:r>
      <w:r w:rsidRPr="00D869E3">
        <w:rPr>
          <w:rFonts w:ascii="Verdana" w:hAnsi="Verdana"/>
          <w:sz w:val="20"/>
          <w:szCs w:val="20"/>
          <w:lang w:val="en-US"/>
        </w:rPr>
        <w:t>d)</w:t>
      </w:r>
      <w:r w:rsidR="00447C65" w:rsidRPr="00D869E3">
        <w:rPr>
          <w:rFonts w:ascii="Verdana" w:hAnsi="Verdana"/>
          <w:sz w:val="20"/>
          <w:szCs w:val="20"/>
          <w:lang w:val="en-US"/>
        </w:rPr>
        <w:t xml:space="preserve"> of the Convention</w:t>
      </w:r>
      <w:r w:rsidR="00887221" w:rsidRPr="00D869E3">
        <w:rPr>
          <w:rFonts w:ascii="Verdana" w:hAnsi="Verdana"/>
          <w:sz w:val="20"/>
          <w:szCs w:val="20"/>
          <w:lang w:val="en-US"/>
        </w:rPr>
        <w:t>,</w:t>
      </w:r>
      <w:r w:rsidRPr="00D869E3">
        <w:rPr>
          <w:rStyle w:val="Refdenotaalpie"/>
          <w:szCs w:val="20"/>
          <w:lang w:val="en-US"/>
        </w:rPr>
        <w:footnoteReference w:id="430"/>
      </w:r>
      <w:r w:rsidR="00887221" w:rsidRPr="00D869E3">
        <w:rPr>
          <w:rFonts w:ascii="Verdana" w:hAnsi="Verdana"/>
          <w:sz w:val="20"/>
          <w:szCs w:val="20"/>
          <w:lang w:val="en-US"/>
        </w:rPr>
        <w:t xml:space="preserve"> </w:t>
      </w:r>
      <w:r w:rsidR="00045D80" w:rsidRPr="00D869E3">
        <w:rPr>
          <w:rFonts w:ascii="Verdana" w:hAnsi="Verdana"/>
          <w:sz w:val="20"/>
          <w:szCs w:val="20"/>
          <w:lang w:val="en-US"/>
        </w:rPr>
        <w:t>do not contradict</w:t>
      </w:r>
      <w:r w:rsidR="0078053A" w:rsidRPr="00D869E3">
        <w:rPr>
          <w:rFonts w:ascii="Verdana" w:hAnsi="Verdana"/>
          <w:sz w:val="20"/>
          <w:szCs w:val="20"/>
          <w:lang w:val="en-US"/>
        </w:rPr>
        <w:t xml:space="preserve"> the indisputable fact</w:t>
      </w:r>
      <w:r w:rsidR="00887221" w:rsidRPr="00D869E3">
        <w:rPr>
          <w:rFonts w:ascii="Verdana" w:hAnsi="Verdana"/>
          <w:sz w:val="20"/>
          <w:szCs w:val="20"/>
          <w:lang w:val="en-US"/>
        </w:rPr>
        <w:t xml:space="preserve"> in international law that th</w:t>
      </w:r>
      <w:r w:rsidR="00DC4012" w:rsidRPr="00D869E3">
        <w:rPr>
          <w:rFonts w:ascii="Verdana" w:hAnsi="Verdana"/>
          <w:sz w:val="20"/>
          <w:szCs w:val="20"/>
          <w:lang w:val="en-US"/>
        </w:rPr>
        <w:t xml:space="preserve">e </w:t>
      </w:r>
      <w:r w:rsidR="00045D80" w:rsidRPr="00D869E3">
        <w:rPr>
          <w:rFonts w:ascii="Verdana" w:hAnsi="Verdana"/>
          <w:sz w:val="20"/>
          <w:szCs w:val="20"/>
          <w:lang w:val="en-US"/>
        </w:rPr>
        <w:t>American Declaration</w:t>
      </w:r>
      <w:r w:rsidR="00887221" w:rsidRPr="00D869E3">
        <w:rPr>
          <w:rFonts w:ascii="Verdana" w:hAnsi="Verdana"/>
          <w:sz w:val="20"/>
          <w:szCs w:val="20"/>
          <w:lang w:val="en-US"/>
        </w:rPr>
        <w:t xml:space="preserve"> is a declarative </w:t>
      </w:r>
      <w:r w:rsidR="00045D80" w:rsidRPr="00D869E3">
        <w:rPr>
          <w:rFonts w:ascii="Verdana" w:hAnsi="Verdana"/>
          <w:sz w:val="20"/>
          <w:szCs w:val="20"/>
          <w:lang w:val="en-US"/>
        </w:rPr>
        <w:t>legal decision</w:t>
      </w:r>
      <w:r w:rsidR="00887221" w:rsidRPr="00D869E3">
        <w:rPr>
          <w:rFonts w:ascii="Verdana" w:hAnsi="Verdana"/>
          <w:sz w:val="20"/>
          <w:szCs w:val="20"/>
          <w:lang w:val="en-US"/>
        </w:rPr>
        <w:t xml:space="preserve"> of an international organization or institution</w:t>
      </w:r>
      <w:r w:rsidR="00BD75EB" w:rsidRPr="00D869E3">
        <w:rPr>
          <w:rFonts w:ascii="Verdana" w:hAnsi="Verdana"/>
          <w:sz w:val="20"/>
          <w:szCs w:val="20"/>
          <w:lang w:val="en-US"/>
        </w:rPr>
        <w:t xml:space="preserve"> and, c</w:t>
      </w:r>
      <w:r w:rsidR="00887221" w:rsidRPr="00D869E3">
        <w:rPr>
          <w:rFonts w:ascii="Verdana" w:hAnsi="Verdana"/>
          <w:sz w:val="20"/>
          <w:szCs w:val="20"/>
          <w:lang w:val="en-US"/>
        </w:rPr>
        <w:t xml:space="preserve">onsequently, </w:t>
      </w:r>
      <w:r w:rsidR="00045D80" w:rsidRPr="00D869E3">
        <w:rPr>
          <w:rFonts w:ascii="Verdana" w:hAnsi="Verdana"/>
          <w:sz w:val="20"/>
          <w:szCs w:val="20"/>
          <w:lang w:val="en-US"/>
        </w:rPr>
        <w:t>even though it is not</w:t>
      </w:r>
      <w:r w:rsidR="00887221" w:rsidRPr="00D869E3">
        <w:rPr>
          <w:rFonts w:ascii="Verdana" w:hAnsi="Verdana"/>
          <w:sz w:val="20"/>
          <w:szCs w:val="20"/>
          <w:lang w:val="en-US"/>
        </w:rPr>
        <w:t xml:space="preserve"> established </w:t>
      </w:r>
      <w:r w:rsidR="00045D80" w:rsidRPr="00D869E3">
        <w:rPr>
          <w:rFonts w:ascii="Verdana" w:hAnsi="Verdana"/>
          <w:sz w:val="20"/>
          <w:szCs w:val="20"/>
          <w:lang w:val="en-US"/>
        </w:rPr>
        <w:t>among</w:t>
      </w:r>
      <w:r w:rsidR="00887221" w:rsidRPr="00D869E3">
        <w:rPr>
          <w:rFonts w:ascii="Verdana" w:hAnsi="Verdana"/>
          <w:sz w:val="20"/>
          <w:szCs w:val="20"/>
          <w:lang w:val="en-US"/>
        </w:rPr>
        <w:t xml:space="preserve"> the sources of </w:t>
      </w:r>
      <w:r w:rsidR="00887221" w:rsidRPr="00D869E3">
        <w:rPr>
          <w:rFonts w:ascii="Verdana" w:hAnsi="Verdana"/>
          <w:sz w:val="20"/>
          <w:szCs w:val="20"/>
          <w:lang w:val="en-US"/>
        </w:rPr>
        <w:lastRenderedPageBreak/>
        <w:t xml:space="preserve">international law </w:t>
      </w:r>
      <w:r w:rsidR="00DC4012" w:rsidRPr="00D869E3">
        <w:rPr>
          <w:rFonts w:ascii="Verdana" w:hAnsi="Verdana"/>
          <w:sz w:val="20"/>
          <w:szCs w:val="20"/>
          <w:lang w:val="en-US"/>
        </w:rPr>
        <w:t xml:space="preserve">stipulated </w:t>
      </w:r>
      <w:r w:rsidR="00887221" w:rsidRPr="00D869E3">
        <w:rPr>
          <w:rFonts w:ascii="Verdana" w:hAnsi="Verdana"/>
          <w:sz w:val="20"/>
          <w:szCs w:val="20"/>
          <w:lang w:val="en-US"/>
        </w:rPr>
        <w:t>in Article 38 of the Statute of the International Court of Justice</w:t>
      </w:r>
      <w:r w:rsidR="00887221" w:rsidRPr="00D869E3">
        <w:rPr>
          <w:rStyle w:val="Refdenotaalpie"/>
          <w:szCs w:val="20"/>
          <w:lang w:val="en-US"/>
        </w:rPr>
        <w:footnoteReference w:id="431"/>
      </w:r>
      <w:r w:rsidR="0078053A" w:rsidRPr="00D869E3">
        <w:rPr>
          <w:rFonts w:ascii="Verdana" w:hAnsi="Verdana"/>
          <w:sz w:val="20"/>
          <w:szCs w:val="20"/>
          <w:lang w:val="en-US"/>
        </w:rPr>
        <w:t xml:space="preserve"> –</w:t>
      </w:r>
      <w:r w:rsidR="00887221" w:rsidRPr="00D869E3">
        <w:rPr>
          <w:rFonts w:ascii="Verdana" w:hAnsi="Verdana"/>
          <w:sz w:val="20"/>
          <w:szCs w:val="20"/>
          <w:lang w:val="en-US"/>
        </w:rPr>
        <w:t xml:space="preserve"> the only provision that </w:t>
      </w:r>
      <w:r w:rsidR="00BD75EB" w:rsidRPr="00D869E3">
        <w:rPr>
          <w:rFonts w:ascii="Verdana" w:hAnsi="Verdana"/>
          <w:sz w:val="20"/>
          <w:szCs w:val="20"/>
          <w:lang w:val="en-US"/>
        </w:rPr>
        <w:t>does this</w:t>
      </w:r>
      <w:r w:rsidR="0078053A" w:rsidRPr="00D869E3">
        <w:rPr>
          <w:rFonts w:ascii="Verdana" w:hAnsi="Verdana"/>
          <w:sz w:val="20"/>
          <w:szCs w:val="20"/>
          <w:lang w:val="en-US"/>
        </w:rPr>
        <w:t xml:space="preserve"> – </w:t>
      </w:r>
      <w:r w:rsidR="00DC4012" w:rsidRPr="00D869E3">
        <w:rPr>
          <w:rFonts w:ascii="Verdana" w:hAnsi="Verdana"/>
          <w:sz w:val="20"/>
          <w:szCs w:val="20"/>
          <w:lang w:val="en-US"/>
        </w:rPr>
        <w:t>it is a</w:t>
      </w:r>
      <w:r w:rsidR="00887221" w:rsidRPr="00D869E3">
        <w:rPr>
          <w:rFonts w:ascii="Verdana" w:hAnsi="Verdana"/>
          <w:sz w:val="20"/>
          <w:szCs w:val="20"/>
          <w:lang w:val="en-US"/>
        </w:rPr>
        <w:t xml:space="preserve"> subsidiary </w:t>
      </w:r>
      <w:r w:rsidR="00BD75EB" w:rsidRPr="00D869E3">
        <w:rPr>
          <w:rFonts w:ascii="Verdana" w:hAnsi="Verdana"/>
          <w:sz w:val="20"/>
          <w:szCs w:val="20"/>
          <w:lang w:val="en-US"/>
        </w:rPr>
        <w:t>means</w:t>
      </w:r>
      <w:r w:rsidR="00887221" w:rsidRPr="00D869E3">
        <w:rPr>
          <w:rFonts w:ascii="Verdana" w:hAnsi="Verdana"/>
          <w:sz w:val="20"/>
          <w:szCs w:val="20"/>
          <w:lang w:val="en-US"/>
        </w:rPr>
        <w:t xml:space="preserve"> of international law; that is, </w:t>
      </w:r>
      <w:r w:rsidR="00DC4012" w:rsidRPr="00D869E3">
        <w:rPr>
          <w:rFonts w:ascii="Verdana" w:hAnsi="Verdana"/>
          <w:sz w:val="20"/>
          <w:szCs w:val="20"/>
          <w:lang w:val="en-US"/>
        </w:rPr>
        <w:t xml:space="preserve">it </w:t>
      </w:r>
      <w:r w:rsidR="00887221" w:rsidRPr="00D869E3">
        <w:rPr>
          <w:rFonts w:ascii="Verdana" w:hAnsi="Verdana"/>
          <w:sz w:val="20"/>
          <w:szCs w:val="20"/>
          <w:lang w:val="en-US"/>
        </w:rPr>
        <w:t>serve</w:t>
      </w:r>
      <w:r w:rsidR="00DC4012" w:rsidRPr="00D869E3">
        <w:rPr>
          <w:rFonts w:ascii="Verdana" w:hAnsi="Verdana"/>
          <w:sz w:val="20"/>
          <w:szCs w:val="20"/>
          <w:lang w:val="en-US"/>
        </w:rPr>
        <w:t>s</w:t>
      </w:r>
      <w:r w:rsidR="00887221" w:rsidRPr="00D869E3">
        <w:rPr>
          <w:rFonts w:ascii="Verdana" w:hAnsi="Verdana"/>
          <w:sz w:val="20"/>
          <w:szCs w:val="20"/>
          <w:lang w:val="en-US"/>
        </w:rPr>
        <w:t xml:space="preserve"> “</w:t>
      </w:r>
      <w:r w:rsidR="00887221" w:rsidRPr="00D869E3">
        <w:rPr>
          <w:rFonts w:ascii="Verdana" w:hAnsi="Verdana"/>
          <w:i/>
          <w:iCs/>
          <w:sz w:val="20"/>
          <w:szCs w:val="20"/>
          <w:lang w:val="en-US"/>
        </w:rPr>
        <w:t>for the determination of rules of law</w:t>
      </w:r>
      <w:r w:rsidR="00887221" w:rsidRPr="00D869E3">
        <w:rPr>
          <w:rFonts w:ascii="Verdana" w:hAnsi="Verdana"/>
          <w:sz w:val="20"/>
          <w:szCs w:val="20"/>
          <w:lang w:val="en-US"/>
        </w:rPr>
        <w:t>” established by an autonomous source of international law.</w:t>
      </w:r>
      <w:r w:rsidR="00DC4012" w:rsidRPr="00D869E3">
        <w:rPr>
          <w:rFonts w:ascii="Verdana" w:hAnsi="Verdana"/>
          <w:sz w:val="20"/>
          <w:szCs w:val="20"/>
          <w:lang w:val="en-US"/>
        </w:rPr>
        <w:t xml:space="preserve"> Thus, the said </w:t>
      </w:r>
      <w:r w:rsidR="00045D80" w:rsidRPr="00D869E3">
        <w:rPr>
          <w:rFonts w:ascii="Verdana" w:hAnsi="Verdana"/>
          <w:sz w:val="20"/>
          <w:szCs w:val="20"/>
          <w:lang w:val="en-US"/>
        </w:rPr>
        <w:t>D</w:t>
      </w:r>
      <w:r w:rsidR="00DC4012" w:rsidRPr="00D869E3">
        <w:rPr>
          <w:rFonts w:ascii="Verdana" w:hAnsi="Verdana"/>
          <w:sz w:val="20"/>
          <w:szCs w:val="20"/>
          <w:lang w:val="en-US"/>
        </w:rPr>
        <w:t>eclaration is a “</w:t>
      </w:r>
      <w:r w:rsidR="00DC4012" w:rsidRPr="00D869E3">
        <w:rPr>
          <w:rFonts w:ascii="Verdana" w:hAnsi="Verdana"/>
          <w:i/>
          <w:iCs/>
          <w:sz w:val="20"/>
          <w:szCs w:val="20"/>
          <w:lang w:val="en-US"/>
        </w:rPr>
        <w:t>source of international obligations</w:t>
      </w:r>
      <w:r w:rsidR="00DC4012" w:rsidRPr="00D869E3">
        <w:rPr>
          <w:rFonts w:ascii="Verdana" w:hAnsi="Verdana"/>
          <w:sz w:val="20"/>
          <w:szCs w:val="20"/>
          <w:lang w:val="en-US"/>
        </w:rPr>
        <w:t>” to the extent that it interprets rights or obligations established in any autonomous source of international law.</w:t>
      </w:r>
    </w:p>
    <w:p w14:paraId="0710CC13" w14:textId="77777777" w:rsidR="003C2143" w:rsidRPr="00D869E3" w:rsidRDefault="003C2143" w:rsidP="003C2143">
      <w:pPr>
        <w:jc w:val="both"/>
        <w:rPr>
          <w:rFonts w:ascii="Verdana" w:hAnsi="Verdana"/>
          <w:sz w:val="20"/>
          <w:szCs w:val="20"/>
          <w:lang w:val="en-US"/>
        </w:rPr>
      </w:pPr>
    </w:p>
    <w:p w14:paraId="2A719AE5" w14:textId="40540EAB"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6. </w:t>
      </w:r>
      <w:r w:rsidR="00DC4012" w:rsidRPr="00D869E3">
        <w:rPr>
          <w:rFonts w:ascii="Verdana" w:hAnsi="Verdana"/>
          <w:sz w:val="20"/>
          <w:szCs w:val="20"/>
          <w:lang w:val="en-US"/>
        </w:rPr>
        <w:t xml:space="preserve"> The</w:t>
      </w:r>
      <w:r w:rsidR="00BD75EB" w:rsidRPr="00D869E3">
        <w:rPr>
          <w:rFonts w:ascii="Verdana" w:hAnsi="Verdana"/>
          <w:sz w:val="20"/>
          <w:szCs w:val="20"/>
          <w:lang w:val="en-US"/>
        </w:rPr>
        <w:t xml:space="preserve"> basic reason for the</w:t>
      </w:r>
      <w:r w:rsidR="00DC4012" w:rsidRPr="00D869E3">
        <w:rPr>
          <w:rFonts w:ascii="Verdana" w:hAnsi="Verdana"/>
          <w:sz w:val="20"/>
          <w:szCs w:val="20"/>
          <w:lang w:val="en-US"/>
        </w:rPr>
        <w:t xml:space="preserve"> reference to all the documents cited above</w:t>
      </w:r>
      <w:r w:rsidRPr="00D869E3">
        <w:rPr>
          <w:rStyle w:val="Refdenotaalpie"/>
          <w:szCs w:val="20"/>
          <w:lang w:val="en-US"/>
        </w:rPr>
        <w:footnoteReference w:id="432"/>
      </w:r>
      <w:r w:rsidRPr="00D869E3">
        <w:rPr>
          <w:rFonts w:ascii="Verdana" w:hAnsi="Verdana"/>
          <w:sz w:val="20"/>
          <w:szCs w:val="20"/>
          <w:lang w:val="en-US"/>
        </w:rPr>
        <w:t xml:space="preserve"> </w:t>
      </w:r>
      <w:r w:rsidR="00DC4012" w:rsidRPr="00D869E3">
        <w:rPr>
          <w:rFonts w:ascii="Verdana" w:hAnsi="Verdana"/>
          <w:sz w:val="20"/>
          <w:szCs w:val="20"/>
          <w:lang w:val="en-US"/>
        </w:rPr>
        <w:t>seem</w:t>
      </w:r>
      <w:r w:rsidR="00BD75EB" w:rsidRPr="00D869E3">
        <w:rPr>
          <w:rFonts w:ascii="Verdana" w:hAnsi="Verdana"/>
          <w:sz w:val="20"/>
          <w:szCs w:val="20"/>
          <w:lang w:val="en-US"/>
        </w:rPr>
        <w:t>s</w:t>
      </w:r>
      <w:r w:rsidR="00DC4012" w:rsidRPr="00D869E3">
        <w:rPr>
          <w:rFonts w:ascii="Verdana" w:hAnsi="Verdana"/>
          <w:sz w:val="20"/>
          <w:szCs w:val="20"/>
          <w:lang w:val="en-US"/>
        </w:rPr>
        <w:t xml:space="preserve"> to have been to supp</w:t>
      </w:r>
      <w:r w:rsidR="00BD75EB" w:rsidRPr="00D869E3">
        <w:rPr>
          <w:rFonts w:ascii="Verdana" w:hAnsi="Verdana"/>
          <w:sz w:val="20"/>
          <w:szCs w:val="20"/>
          <w:lang w:val="en-US"/>
        </w:rPr>
        <w:t>ort</w:t>
      </w:r>
      <w:r w:rsidR="00DC4012" w:rsidRPr="00D869E3">
        <w:rPr>
          <w:rFonts w:ascii="Verdana" w:hAnsi="Verdana"/>
          <w:sz w:val="20"/>
          <w:szCs w:val="20"/>
          <w:lang w:val="en-US"/>
        </w:rPr>
        <w:t xml:space="preserve"> the interpretation as regards the existence of the right to work and the right to job security, which, we repeat, is not contradicted or </w:t>
      </w:r>
      <w:r w:rsidR="00BD75EB" w:rsidRPr="00D869E3">
        <w:rPr>
          <w:rFonts w:ascii="Verdana" w:hAnsi="Verdana"/>
          <w:sz w:val="20"/>
          <w:szCs w:val="20"/>
          <w:lang w:val="en-US"/>
        </w:rPr>
        <w:t>opposed</w:t>
      </w:r>
      <w:r w:rsidR="00DC4012" w:rsidRPr="00D869E3">
        <w:rPr>
          <w:rFonts w:ascii="Verdana" w:hAnsi="Verdana"/>
          <w:sz w:val="20"/>
          <w:szCs w:val="20"/>
          <w:lang w:val="en-US"/>
        </w:rPr>
        <w:t xml:space="preserve"> in this opinion</w:t>
      </w:r>
      <w:r w:rsidR="00BD75EB" w:rsidRPr="00D869E3">
        <w:rPr>
          <w:rFonts w:ascii="Verdana" w:hAnsi="Verdana"/>
          <w:sz w:val="20"/>
          <w:szCs w:val="20"/>
          <w:lang w:val="en-US"/>
        </w:rPr>
        <w:t>. However,</w:t>
      </w:r>
      <w:r w:rsidR="00DC4012" w:rsidRPr="00D869E3">
        <w:rPr>
          <w:rFonts w:ascii="Verdana" w:hAnsi="Verdana"/>
          <w:sz w:val="20"/>
          <w:szCs w:val="20"/>
          <w:lang w:val="en-US"/>
        </w:rPr>
        <w:t xml:space="preserve"> this does not mean that the said texts establish that the violation of </w:t>
      </w:r>
      <w:r w:rsidR="00BD75EB" w:rsidRPr="00D869E3">
        <w:rPr>
          <w:rFonts w:ascii="Verdana" w:hAnsi="Verdana"/>
          <w:sz w:val="20"/>
          <w:szCs w:val="20"/>
          <w:lang w:val="en-US"/>
        </w:rPr>
        <w:t>those</w:t>
      </w:r>
      <w:r w:rsidR="00DC4012" w:rsidRPr="00D869E3">
        <w:rPr>
          <w:rFonts w:ascii="Verdana" w:hAnsi="Verdana"/>
          <w:sz w:val="20"/>
          <w:szCs w:val="20"/>
          <w:lang w:val="en-US"/>
        </w:rPr>
        <w:t xml:space="preserve"> rights can be submitted to the consideration and decision of the Court pursuant to the </w:t>
      </w:r>
      <w:r w:rsidR="00BD75EB" w:rsidRPr="00D869E3">
        <w:rPr>
          <w:rFonts w:ascii="Verdana" w:hAnsi="Verdana"/>
          <w:sz w:val="20"/>
          <w:szCs w:val="20"/>
          <w:lang w:val="en-US"/>
        </w:rPr>
        <w:t>oft</w:t>
      </w:r>
      <w:r w:rsidR="00DC4012" w:rsidRPr="00D869E3">
        <w:rPr>
          <w:rFonts w:ascii="Verdana" w:hAnsi="Verdana"/>
          <w:sz w:val="20"/>
          <w:szCs w:val="20"/>
          <w:lang w:val="en-US"/>
        </w:rPr>
        <w:t xml:space="preserve"> cited </w:t>
      </w:r>
      <w:r w:rsidR="00447C65" w:rsidRPr="00D869E3">
        <w:rPr>
          <w:rFonts w:ascii="Verdana" w:hAnsi="Verdana"/>
          <w:sz w:val="20"/>
          <w:szCs w:val="20"/>
          <w:lang w:val="en-US"/>
        </w:rPr>
        <w:t>Article</w:t>
      </w:r>
      <w:r w:rsidRPr="00D869E3">
        <w:rPr>
          <w:rFonts w:ascii="Verdana" w:hAnsi="Verdana"/>
          <w:sz w:val="20"/>
          <w:szCs w:val="20"/>
          <w:lang w:val="en-US"/>
        </w:rPr>
        <w:t xml:space="preserve"> 26.</w:t>
      </w:r>
    </w:p>
    <w:p w14:paraId="634FFA30" w14:textId="77777777" w:rsidR="003C2143" w:rsidRPr="00D869E3" w:rsidRDefault="003C2143" w:rsidP="003C2143">
      <w:pPr>
        <w:jc w:val="both"/>
        <w:rPr>
          <w:rFonts w:ascii="Verdana" w:hAnsi="Verdana"/>
          <w:sz w:val="20"/>
          <w:szCs w:val="20"/>
          <w:lang w:val="en-US"/>
        </w:rPr>
      </w:pPr>
    </w:p>
    <w:p w14:paraId="0E3DE9B8" w14:textId="08E61A03"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7. </w:t>
      </w:r>
      <w:r w:rsidR="00DC4012" w:rsidRPr="00D869E3">
        <w:rPr>
          <w:rFonts w:ascii="Verdana" w:hAnsi="Verdana"/>
          <w:sz w:val="20"/>
          <w:szCs w:val="20"/>
          <w:lang w:val="en-US"/>
        </w:rPr>
        <w:t xml:space="preserve"> The phrase that </w:t>
      </w:r>
      <w:r w:rsidR="006436CA" w:rsidRPr="00D869E3">
        <w:rPr>
          <w:rFonts w:ascii="Verdana" w:hAnsi="Verdana"/>
          <w:sz w:val="20"/>
          <w:szCs w:val="20"/>
          <w:lang w:val="en-US"/>
        </w:rPr>
        <w:t>“</w:t>
      </w:r>
      <w:r w:rsidR="00447C65" w:rsidRPr="00D869E3">
        <w:rPr>
          <w:rFonts w:ascii="Verdana" w:hAnsi="Verdana"/>
          <w:i/>
          <w:sz w:val="20"/>
          <w:szCs w:val="20"/>
          <w:lang w:val="en-US"/>
        </w:rPr>
        <w:t>the Court</w:t>
      </w:r>
      <w:r w:rsidRPr="00D869E3">
        <w:rPr>
          <w:rFonts w:ascii="Verdana" w:hAnsi="Verdana"/>
          <w:i/>
          <w:sz w:val="20"/>
          <w:szCs w:val="20"/>
          <w:lang w:val="en-US"/>
        </w:rPr>
        <w:t xml:space="preserve"> </w:t>
      </w:r>
      <w:r w:rsidR="00F062CF" w:rsidRPr="00D869E3">
        <w:rPr>
          <w:rFonts w:ascii="Verdana" w:hAnsi="Verdana"/>
          <w:i/>
          <w:sz w:val="20"/>
          <w:szCs w:val="20"/>
          <w:lang w:val="en-US"/>
        </w:rPr>
        <w:t>exercises full jurisdiction over all its articles and provisions</w:t>
      </w:r>
      <w:r w:rsidR="006436CA" w:rsidRPr="00D869E3">
        <w:rPr>
          <w:rFonts w:ascii="Verdana" w:hAnsi="Verdana"/>
          <w:i/>
          <w:sz w:val="20"/>
          <w:szCs w:val="20"/>
          <w:lang w:val="en-US"/>
        </w:rPr>
        <w:t>”</w:t>
      </w:r>
      <w:r w:rsidR="00DC4012" w:rsidRPr="00D869E3">
        <w:rPr>
          <w:rFonts w:ascii="Verdana" w:hAnsi="Verdana"/>
          <w:i/>
          <w:sz w:val="20"/>
          <w:szCs w:val="20"/>
          <w:lang w:val="en-US"/>
        </w:rPr>
        <w:t>;</w:t>
      </w:r>
      <w:r w:rsidRPr="00D869E3">
        <w:rPr>
          <w:rStyle w:val="Refdenotaalpie"/>
          <w:i/>
          <w:szCs w:val="20"/>
          <w:lang w:val="en-US"/>
        </w:rPr>
        <w:footnoteReference w:id="433"/>
      </w:r>
      <w:r w:rsidRPr="00D869E3">
        <w:rPr>
          <w:rFonts w:ascii="Verdana" w:hAnsi="Verdana"/>
          <w:sz w:val="20"/>
          <w:szCs w:val="20"/>
          <w:lang w:val="en-US"/>
        </w:rPr>
        <w:t xml:space="preserve"> </w:t>
      </w:r>
      <w:r w:rsidR="00DC4012" w:rsidRPr="00D869E3">
        <w:rPr>
          <w:rFonts w:ascii="Verdana" w:hAnsi="Verdana"/>
          <w:sz w:val="20"/>
          <w:szCs w:val="20"/>
          <w:lang w:val="en-US"/>
        </w:rPr>
        <w:t xml:space="preserve">similarly, </w:t>
      </w:r>
      <w:r w:rsidR="00546532" w:rsidRPr="00D869E3">
        <w:rPr>
          <w:rFonts w:ascii="Verdana" w:hAnsi="Verdana"/>
          <w:sz w:val="20"/>
          <w:szCs w:val="20"/>
          <w:lang w:val="en-US"/>
        </w:rPr>
        <w:t>no matter that</w:t>
      </w:r>
      <w:r w:rsidR="00DC4012" w:rsidRPr="00D869E3">
        <w:rPr>
          <w:rFonts w:ascii="Verdana" w:hAnsi="Verdana"/>
          <w:sz w:val="20"/>
          <w:szCs w:val="20"/>
          <w:lang w:val="en-US"/>
        </w:rPr>
        <w:t xml:space="preserve"> </w:t>
      </w:r>
      <w:r w:rsidR="00447C65" w:rsidRPr="00D869E3">
        <w:rPr>
          <w:rFonts w:ascii="Verdana" w:hAnsi="Verdana"/>
          <w:sz w:val="20"/>
          <w:szCs w:val="20"/>
          <w:lang w:val="en-US"/>
        </w:rPr>
        <w:t>Article</w:t>
      </w:r>
      <w:r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Pr="00D869E3">
        <w:rPr>
          <w:rFonts w:ascii="Verdana" w:hAnsi="Verdana"/>
          <w:sz w:val="20"/>
          <w:szCs w:val="20"/>
          <w:lang w:val="en-US"/>
        </w:rPr>
        <w:t xml:space="preserve"> </w:t>
      </w:r>
      <w:r w:rsidR="00DC4012" w:rsidRPr="00D869E3">
        <w:rPr>
          <w:rFonts w:ascii="Verdana" w:hAnsi="Verdana"/>
          <w:sz w:val="20"/>
          <w:szCs w:val="20"/>
          <w:lang w:val="en-US"/>
        </w:rPr>
        <w:t>includes</w:t>
      </w:r>
      <w:r w:rsidRPr="00D869E3">
        <w:rPr>
          <w:rFonts w:ascii="Verdana" w:hAnsi="Verdana"/>
          <w:sz w:val="20"/>
          <w:szCs w:val="20"/>
          <w:lang w:val="en-US"/>
        </w:rPr>
        <w:t xml:space="preserve"> </w:t>
      </w:r>
      <w:r w:rsidR="00881A39" w:rsidRPr="00D869E3">
        <w:rPr>
          <w:rFonts w:ascii="Verdana" w:hAnsi="Verdana"/>
          <w:sz w:val="20"/>
          <w:szCs w:val="20"/>
          <w:lang w:val="en-US"/>
        </w:rPr>
        <w:t>rights</w:t>
      </w:r>
      <w:r w:rsidRPr="00D869E3">
        <w:rPr>
          <w:rFonts w:ascii="Verdana" w:hAnsi="Verdana"/>
          <w:sz w:val="20"/>
          <w:szCs w:val="20"/>
          <w:lang w:val="en-US"/>
        </w:rPr>
        <w:t xml:space="preserve"> </w:t>
      </w:r>
      <w:r w:rsidR="00DC4012" w:rsidRPr="00D869E3">
        <w:rPr>
          <w:rFonts w:ascii="Verdana" w:hAnsi="Verdana"/>
          <w:sz w:val="20"/>
          <w:szCs w:val="20"/>
          <w:lang w:val="en-US"/>
        </w:rPr>
        <w:t xml:space="preserve">whose violation can be </w:t>
      </w:r>
      <w:r w:rsidR="00953D17" w:rsidRPr="00D869E3">
        <w:rPr>
          <w:rFonts w:ascii="Verdana" w:hAnsi="Verdana"/>
          <w:sz w:val="20"/>
          <w:szCs w:val="20"/>
          <w:lang w:val="en-US"/>
        </w:rPr>
        <w:t xml:space="preserve">submitted to the consideration of the Court for a decision, </w:t>
      </w:r>
      <w:r w:rsidR="00546532" w:rsidRPr="00D869E3">
        <w:rPr>
          <w:rFonts w:ascii="Verdana" w:hAnsi="Verdana"/>
          <w:sz w:val="20"/>
          <w:szCs w:val="20"/>
          <w:lang w:val="en-US"/>
        </w:rPr>
        <w:t xml:space="preserve">it </w:t>
      </w:r>
      <w:r w:rsidR="00953D17" w:rsidRPr="00D869E3">
        <w:rPr>
          <w:rFonts w:ascii="Verdana" w:hAnsi="Verdana"/>
          <w:sz w:val="20"/>
          <w:szCs w:val="20"/>
          <w:lang w:val="en-US"/>
        </w:rPr>
        <w:t xml:space="preserve">also indicates that the Court should </w:t>
      </w:r>
      <w:r w:rsidR="00546532" w:rsidRPr="00D869E3">
        <w:rPr>
          <w:rFonts w:ascii="Verdana" w:hAnsi="Verdana"/>
          <w:sz w:val="20"/>
          <w:szCs w:val="20"/>
          <w:lang w:val="en-US"/>
        </w:rPr>
        <w:t>rule</w:t>
      </w:r>
      <w:r w:rsidR="00953D17" w:rsidRPr="00D869E3">
        <w:rPr>
          <w:rFonts w:ascii="Verdana" w:hAnsi="Verdana"/>
          <w:sz w:val="20"/>
          <w:szCs w:val="20"/>
          <w:lang w:val="en-US"/>
        </w:rPr>
        <w:t xml:space="preserve"> applying and interpreting the provisions of the Convention,</w:t>
      </w:r>
      <w:r w:rsidRPr="00D869E3">
        <w:rPr>
          <w:rStyle w:val="Refdenotaalpie"/>
          <w:szCs w:val="20"/>
          <w:lang w:val="en-US"/>
        </w:rPr>
        <w:footnoteReference w:id="434"/>
      </w:r>
      <w:r w:rsidR="00953D17" w:rsidRPr="00D869E3">
        <w:rPr>
          <w:rFonts w:ascii="Verdana" w:hAnsi="Verdana"/>
          <w:sz w:val="20"/>
          <w:szCs w:val="20"/>
          <w:lang w:val="en-US"/>
        </w:rPr>
        <w:t xml:space="preserve"> which it should do – as stated previously – respecting the public law principle that only what the </w:t>
      </w:r>
      <w:r w:rsidR="00546532" w:rsidRPr="00D869E3">
        <w:rPr>
          <w:rFonts w:ascii="Verdana" w:hAnsi="Verdana"/>
          <w:sz w:val="20"/>
          <w:szCs w:val="20"/>
          <w:lang w:val="en-US"/>
        </w:rPr>
        <w:t>law</w:t>
      </w:r>
      <w:r w:rsidR="00953D17" w:rsidRPr="00D869E3">
        <w:rPr>
          <w:rFonts w:ascii="Verdana" w:hAnsi="Verdana"/>
          <w:sz w:val="20"/>
          <w:szCs w:val="20"/>
          <w:lang w:val="en-US"/>
        </w:rPr>
        <w:t xml:space="preserve"> allows</w:t>
      </w:r>
      <w:r w:rsidR="00546532" w:rsidRPr="00D869E3">
        <w:rPr>
          <w:rFonts w:ascii="Verdana" w:hAnsi="Verdana"/>
          <w:sz w:val="20"/>
          <w:szCs w:val="20"/>
          <w:lang w:val="en-US"/>
        </w:rPr>
        <w:t xml:space="preserve"> or prescribes</w:t>
      </w:r>
      <w:r w:rsidR="00953D17" w:rsidRPr="00D869E3">
        <w:rPr>
          <w:rFonts w:ascii="Verdana" w:hAnsi="Verdana"/>
          <w:sz w:val="20"/>
          <w:szCs w:val="20"/>
          <w:lang w:val="en-US"/>
        </w:rPr>
        <w:t xml:space="preserve"> is admissible</w:t>
      </w:r>
      <w:r w:rsidRPr="00D869E3">
        <w:rPr>
          <w:rFonts w:ascii="Verdana" w:hAnsi="Verdana"/>
          <w:sz w:val="20"/>
          <w:szCs w:val="20"/>
          <w:lang w:val="en-US"/>
        </w:rPr>
        <w:t>.</w:t>
      </w:r>
    </w:p>
    <w:p w14:paraId="783BE8FE" w14:textId="77777777" w:rsidR="003C2143" w:rsidRPr="00D869E3" w:rsidRDefault="003C2143" w:rsidP="003C2143">
      <w:pPr>
        <w:jc w:val="both"/>
        <w:rPr>
          <w:rFonts w:ascii="Verdana" w:hAnsi="Verdana"/>
          <w:sz w:val="20"/>
          <w:szCs w:val="20"/>
          <w:lang w:val="en-US"/>
        </w:rPr>
      </w:pPr>
    </w:p>
    <w:p w14:paraId="2D665E79" w14:textId="381ECA30"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8. </w:t>
      </w:r>
      <w:r w:rsidR="00953D17" w:rsidRPr="00D869E3">
        <w:rPr>
          <w:rFonts w:ascii="Verdana" w:hAnsi="Verdana"/>
          <w:sz w:val="20"/>
          <w:szCs w:val="20"/>
          <w:lang w:val="en-US"/>
        </w:rPr>
        <w:t xml:space="preserve"> Regarding the phrase that </w:t>
      </w:r>
      <w:r w:rsidR="00F062CF" w:rsidRPr="00D869E3">
        <w:rPr>
          <w:rFonts w:ascii="Verdana" w:hAnsi="Verdana"/>
          <w:sz w:val="20"/>
          <w:szCs w:val="20"/>
          <w:lang w:val="en-US"/>
        </w:rPr>
        <w:t>“</w:t>
      </w:r>
      <w:r w:rsidR="00447C65" w:rsidRPr="00D869E3">
        <w:rPr>
          <w:rFonts w:ascii="Verdana" w:hAnsi="Verdana"/>
          <w:i/>
          <w:iCs/>
          <w:sz w:val="20"/>
          <w:szCs w:val="20"/>
          <w:lang w:val="en-US"/>
        </w:rPr>
        <w:t>the Court</w:t>
      </w:r>
      <w:r w:rsidRPr="00D869E3">
        <w:rPr>
          <w:rFonts w:ascii="Verdana" w:hAnsi="Verdana"/>
          <w:i/>
          <w:iCs/>
          <w:sz w:val="20"/>
          <w:szCs w:val="20"/>
          <w:lang w:val="en-US"/>
        </w:rPr>
        <w:t xml:space="preserve"> </w:t>
      </w:r>
      <w:r w:rsidR="00F062CF" w:rsidRPr="00D869E3">
        <w:rPr>
          <w:rFonts w:ascii="Verdana" w:hAnsi="Verdana"/>
          <w:i/>
          <w:iCs/>
          <w:sz w:val="20"/>
          <w:szCs w:val="20"/>
          <w:lang w:val="en-US"/>
        </w:rPr>
        <w:t>has the authority to decide any dispute concerning its jurisdiction</w:t>
      </w:r>
      <w:r w:rsidR="00953D17" w:rsidRPr="00D869E3">
        <w:rPr>
          <w:rFonts w:ascii="Verdana" w:hAnsi="Verdana"/>
          <w:i/>
          <w:iCs/>
          <w:sz w:val="20"/>
          <w:szCs w:val="20"/>
          <w:lang w:val="en-US"/>
        </w:rPr>
        <w:t>,</w:t>
      </w:r>
      <w:r w:rsidR="006436CA" w:rsidRPr="00D869E3">
        <w:rPr>
          <w:rFonts w:ascii="Verdana" w:hAnsi="Verdana"/>
          <w:i/>
          <w:iCs/>
          <w:sz w:val="20"/>
          <w:szCs w:val="20"/>
          <w:lang w:val="en-US"/>
        </w:rPr>
        <w:t>”</w:t>
      </w:r>
      <w:r w:rsidRPr="00D869E3">
        <w:rPr>
          <w:rStyle w:val="Refdenotaalpie"/>
          <w:i/>
          <w:iCs/>
          <w:szCs w:val="20"/>
          <w:lang w:val="en-US"/>
        </w:rPr>
        <w:footnoteReference w:id="435"/>
      </w:r>
      <w:r w:rsidRPr="00D869E3">
        <w:rPr>
          <w:rFonts w:ascii="Verdana" w:hAnsi="Verdana"/>
          <w:sz w:val="20"/>
          <w:szCs w:val="20"/>
          <w:lang w:val="en-US"/>
        </w:rPr>
        <w:t xml:space="preserve"> </w:t>
      </w:r>
      <w:r w:rsidR="00953D17" w:rsidRPr="00D869E3">
        <w:rPr>
          <w:rFonts w:ascii="Verdana" w:hAnsi="Verdana"/>
          <w:sz w:val="20"/>
          <w:szCs w:val="20"/>
          <w:lang w:val="en-US"/>
        </w:rPr>
        <w:t>it should be recalled that the instant case did not refer to the presumed violation of labor rights in light of the Convention.</w:t>
      </w:r>
      <w:r w:rsidR="00546532" w:rsidRPr="00D869E3">
        <w:rPr>
          <w:rFonts w:ascii="Verdana" w:hAnsi="Verdana"/>
          <w:sz w:val="20"/>
          <w:szCs w:val="20"/>
          <w:lang w:val="en-US"/>
        </w:rPr>
        <w:t xml:space="preserve"> It was o</w:t>
      </w:r>
      <w:r w:rsidR="00953D17" w:rsidRPr="00D869E3">
        <w:rPr>
          <w:rFonts w:ascii="Verdana" w:hAnsi="Verdana"/>
          <w:sz w:val="20"/>
          <w:szCs w:val="20"/>
          <w:lang w:val="en-US"/>
        </w:rPr>
        <w:t xml:space="preserve">nly the petitioner </w:t>
      </w:r>
      <w:r w:rsidR="00546532" w:rsidRPr="00D869E3">
        <w:rPr>
          <w:rFonts w:ascii="Verdana" w:hAnsi="Verdana"/>
          <w:sz w:val="20"/>
          <w:szCs w:val="20"/>
          <w:lang w:val="en-US"/>
        </w:rPr>
        <w:t xml:space="preserve">who </w:t>
      </w:r>
      <w:r w:rsidR="00953D17" w:rsidRPr="00D869E3">
        <w:rPr>
          <w:rFonts w:ascii="Verdana" w:hAnsi="Verdana"/>
          <w:sz w:val="20"/>
          <w:szCs w:val="20"/>
          <w:lang w:val="en-US"/>
        </w:rPr>
        <w:t>did this</w:t>
      </w:r>
      <w:r w:rsidR="00546532" w:rsidRPr="00D869E3">
        <w:rPr>
          <w:rFonts w:ascii="Verdana" w:hAnsi="Verdana"/>
          <w:sz w:val="20"/>
          <w:szCs w:val="20"/>
          <w:lang w:val="en-US"/>
        </w:rPr>
        <w:t>,</w:t>
      </w:r>
      <w:r w:rsidR="00953D17" w:rsidRPr="00D869E3">
        <w:rPr>
          <w:rFonts w:ascii="Verdana" w:hAnsi="Verdana"/>
          <w:sz w:val="20"/>
          <w:szCs w:val="20"/>
          <w:lang w:val="en-US"/>
        </w:rPr>
        <w:t xml:space="preserve"> and only </w:t>
      </w:r>
      <w:r w:rsidR="00966115" w:rsidRPr="00D869E3">
        <w:rPr>
          <w:rFonts w:ascii="Verdana" w:hAnsi="Verdana"/>
          <w:sz w:val="20"/>
          <w:szCs w:val="20"/>
          <w:lang w:val="en-US"/>
        </w:rPr>
        <w:t>before the</w:t>
      </w:r>
      <w:r w:rsidR="00447C65" w:rsidRPr="00D869E3">
        <w:rPr>
          <w:rFonts w:ascii="Verdana" w:hAnsi="Verdana"/>
          <w:sz w:val="20"/>
          <w:szCs w:val="20"/>
          <w:lang w:val="en-US"/>
        </w:rPr>
        <w:t xml:space="preserve"> Commission</w:t>
      </w:r>
      <w:r w:rsidR="00546532" w:rsidRPr="00D869E3">
        <w:rPr>
          <w:rFonts w:ascii="Verdana" w:hAnsi="Verdana"/>
          <w:sz w:val="20"/>
          <w:szCs w:val="20"/>
          <w:lang w:val="en-US"/>
        </w:rPr>
        <w:t>;</w:t>
      </w:r>
      <w:r w:rsidRPr="00D869E3">
        <w:rPr>
          <w:rStyle w:val="Refdenotaalpie"/>
          <w:szCs w:val="20"/>
          <w:lang w:val="en-US"/>
        </w:rPr>
        <w:footnoteReference w:id="436"/>
      </w:r>
      <w:r w:rsidR="00953D17" w:rsidRPr="00D869E3">
        <w:rPr>
          <w:rFonts w:ascii="Verdana" w:hAnsi="Verdana"/>
          <w:sz w:val="20"/>
          <w:szCs w:val="20"/>
          <w:lang w:val="en-US"/>
        </w:rPr>
        <w:t xml:space="preserve"> moreover, without</w:t>
      </w:r>
      <w:r w:rsidRPr="00D869E3">
        <w:rPr>
          <w:rFonts w:ascii="Verdana" w:hAnsi="Verdana"/>
          <w:sz w:val="20"/>
          <w:szCs w:val="20"/>
          <w:lang w:val="en-US"/>
        </w:rPr>
        <w:t xml:space="preserve"> </w:t>
      </w:r>
      <w:r w:rsidR="00953D17" w:rsidRPr="00D869E3">
        <w:rPr>
          <w:rFonts w:ascii="Verdana" w:hAnsi="Verdana"/>
          <w:sz w:val="20"/>
          <w:szCs w:val="20"/>
          <w:lang w:val="en-US"/>
        </w:rPr>
        <w:t xml:space="preserve">invoking the application </w:t>
      </w:r>
      <w:r w:rsidR="00687684" w:rsidRPr="00D869E3">
        <w:rPr>
          <w:rFonts w:ascii="Verdana" w:hAnsi="Verdana"/>
          <w:sz w:val="20"/>
          <w:szCs w:val="20"/>
          <w:lang w:val="en-US"/>
        </w:rPr>
        <w:t>of Article</w:t>
      </w:r>
      <w:r w:rsidRPr="00D869E3">
        <w:rPr>
          <w:rFonts w:ascii="Verdana" w:hAnsi="Verdana"/>
          <w:sz w:val="20"/>
          <w:szCs w:val="20"/>
          <w:lang w:val="en-US"/>
        </w:rPr>
        <w:t xml:space="preserve"> 26. </w:t>
      </w:r>
      <w:r w:rsidR="00953D17" w:rsidRPr="00D869E3">
        <w:rPr>
          <w:rFonts w:ascii="Verdana" w:hAnsi="Verdana"/>
          <w:sz w:val="20"/>
          <w:szCs w:val="20"/>
          <w:lang w:val="en-US"/>
        </w:rPr>
        <w:t>Thus, strictly speaking there was no dispute in this regard.</w:t>
      </w:r>
    </w:p>
    <w:p w14:paraId="4B4307B8" w14:textId="77777777" w:rsidR="003C2143" w:rsidRPr="00D869E3" w:rsidRDefault="003C2143" w:rsidP="003C2143">
      <w:pPr>
        <w:jc w:val="both"/>
        <w:rPr>
          <w:rFonts w:ascii="Verdana" w:hAnsi="Verdana"/>
          <w:sz w:val="20"/>
          <w:szCs w:val="20"/>
          <w:lang w:val="en-US"/>
        </w:rPr>
      </w:pPr>
    </w:p>
    <w:p w14:paraId="23A67F82" w14:textId="5858E033" w:rsidR="00953D17"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9. </w:t>
      </w:r>
      <w:r w:rsidR="00953D17" w:rsidRPr="00D869E3">
        <w:rPr>
          <w:rFonts w:ascii="Verdana" w:hAnsi="Verdana"/>
          <w:sz w:val="20"/>
          <w:szCs w:val="20"/>
          <w:lang w:val="en-US"/>
        </w:rPr>
        <w:t xml:space="preserve"> The mention of</w:t>
      </w:r>
      <w:r w:rsidRPr="00D869E3">
        <w:rPr>
          <w:rFonts w:ascii="Verdana" w:hAnsi="Verdana"/>
          <w:sz w:val="20"/>
          <w:szCs w:val="20"/>
          <w:lang w:val="en-US"/>
        </w:rPr>
        <w:t xml:space="preserve"> </w:t>
      </w:r>
      <w:r w:rsidR="006436CA" w:rsidRPr="00D869E3">
        <w:rPr>
          <w:rFonts w:ascii="Verdana" w:hAnsi="Verdana"/>
          <w:sz w:val="20"/>
          <w:szCs w:val="20"/>
          <w:lang w:val="en-US"/>
        </w:rPr>
        <w:t>“</w:t>
      </w:r>
      <w:r w:rsidR="00546532" w:rsidRPr="00D869E3">
        <w:rPr>
          <w:rFonts w:ascii="Verdana" w:hAnsi="Verdana"/>
          <w:bCs/>
          <w:i/>
          <w:iCs/>
          <w:sz w:val="20"/>
          <w:szCs w:val="20"/>
          <w:lang w:val="en-US"/>
        </w:rPr>
        <w:t>important case law on this matter, in light of different articles of the Convention</w:t>
      </w:r>
      <w:r w:rsidR="006436CA" w:rsidRPr="00D869E3">
        <w:rPr>
          <w:rFonts w:ascii="Verdana" w:hAnsi="Verdana"/>
          <w:sz w:val="20"/>
          <w:szCs w:val="20"/>
          <w:lang w:val="en-US"/>
        </w:rPr>
        <w:t>”</w:t>
      </w:r>
      <w:r w:rsidRPr="00D869E3">
        <w:rPr>
          <w:rStyle w:val="Refdenotaalpie"/>
          <w:szCs w:val="20"/>
          <w:lang w:val="en-US"/>
        </w:rPr>
        <w:footnoteReference w:id="437"/>
      </w:r>
      <w:r w:rsidRPr="00D869E3">
        <w:rPr>
          <w:rFonts w:ascii="Verdana" w:hAnsi="Verdana"/>
          <w:sz w:val="20"/>
          <w:szCs w:val="20"/>
          <w:lang w:val="en-US"/>
        </w:rPr>
        <w:t xml:space="preserve"> </w:t>
      </w:r>
      <w:r w:rsidR="00953D17" w:rsidRPr="00D869E3">
        <w:rPr>
          <w:rFonts w:ascii="Verdana" w:hAnsi="Verdana"/>
          <w:sz w:val="20"/>
          <w:szCs w:val="20"/>
          <w:lang w:val="en-US"/>
        </w:rPr>
        <w:t>should also be understood as the use of the Court’s own case law as a supplementary source of international law and not as</w:t>
      </w:r>
      <w:r w:rsidR="00AE1BF5" w:rsidRPr="00D869E3">
        <w:rPr>
          <w:rFonts w:ascii="Verdana" w:hAnsi="Verdana"/>
          <w:sz w:val="20"/>
          <w:szCs w:val="20"/>
          <w:lang w:val="en-US"/>
        </w:rPr>
        <w:t xml:space="preserve"> the</w:t>
      </w:r>
      <w:r w:rsidR="00953D17" w:rsidRPr="00D869E3">
        <w:rPr>
          <w:rFonts w:ascii="Verdana" w:hAnsi="Verdana"/>
          <w:sz w:val="20"/>
          <w:szCs w:val="20"/>
          <w:lang w:val="en-US"/>
        </w:rPr>
        <w:t xml:space="preserve"> creati</w:t>
      </w:r>
      <w:r w:rsidR="00AE1BF5" w:rsidRPr="00D869E3">
        <w:rPr>
          <w:rFonts w:ascii="Verdana" w:hAnsi="Verdana"/>
          <w:sz w:val="20"/>
          <w:szCs w:val="20"/>
          <w:lang w:val="en-US"/>
        </w:rPr>
        <w:t>on</w:t>
      </w:r>
      <w:r w:rsidR="00953D17" w:rsidRPr="00D869E3">
        <w:rPr>
          <w:rFonts w:ascii="Verdana" w:hAnsi="Verdana"/>
          <w:sz w:val="20"/>
          <w:szCs w:val="20"/>
          <w:lang w:val="en-US"/>
        </w:rPr>
        <w:t xml:space="preserve">, </w:t>
      </w:r>
      <w:r w:rsidR="00953D17" w:rsidRPr="00D869E3">
        <w:rPr>
          <w:rFonts w:ascii="Verdana" w:hAnsi="Verdana"/>
          <w:i/>
          <w:iCs/>
          <w:sz w:val="20"/>
          <w:szCs w:val="20"/>
          <w:lang w:val="en-US"/>
        </w:rPr>
        <w:t>per se</w:t>
      </w:r>
      <w:r w:rsidR="00953D17" w:rsidRPr="00D869E3">
        <w:rPr>
          <w:rFonts w:ascii="Verdana" w:hAnsi="Verdana"/>
          <w:sz w:val="20"/>
          <w:szCs w:val="20"/>
          <w:lang w:val="en-US"/>
        </w:rPr>
        <w:t xml:space="preserve">, </w:t>
      </w:r>
      <w:r w:rsidR="00AE1BF5" w:rsidRPr="00D869E3">
        <w:rPr>
          <w:rFonts w:ascii="Verdana" w:hAnsi="Verdana"/>
          <w:sz w:val="20"/>
          <w:szCs w:val="20"/>
          <w:lang w:val="en-US"/>
        </w:rPr>
        <w:t xml:space="preserve">of </w:t>
      </w:r>
      <w:r w:rsidR="00953D17" w:rsidRPr="00D869E3">
        <w:rPr>
          <w:rFonts w:ascii="Verdana" w:hAnsi="Verdana"/>
          <w:sz w:val="20"/>
          <w:szCs w:val="20"/>
          <w:lang w:val="en-US"/>
        </w:rPr>
        <w:t>international obligations or rights.</w:t>
      </w:r>
    </w:p>
    <w:p w14:paraId="48F9C018" w14:textId="77777777" w:rsidR="003C2143" w:rsidRPr="00D869E3" w:rsidRDefault="003C2143" w:rsidP="003C2143">
      <w:pPr>
        <w:jc w:val="both"/>
        <w:rPr>
          <w:rFonts w:ascii="Verdana" w:hAnsi="Verdana"/>
          <w:sz w:val="20"/>
          <w:szCs w:val="20"/>
          <w:lang w:val="en-US"/>
        </w:rPr>
      </w:pPr>
    </w:p>
    <w:p w14:paraId="304B3E06" w14:textId="541D2EBA" w:rsidR="003C2143" w:rsidRPr="00D869E3" w:rsidRDefault="003C2143" w:rsidP="003C2143">
      <w:pPr>
        <w:jc w:val="both"/>
        <w:rPr>
          <w:rFonts w:ascii="Verdana" w:hAnsi="Verdana"/>
          <w:sz w:val="20"/>
          <w:szCs w:val="20"/>
          <w:lang w:val="en-US"/>
        </w:rPr>
      </w:pPr>
      <w:r w:rsidRPr="00D869E3">
        <w:rPr>
          <w:rFonts w:ascii="Verdana" w:hAnsi="Verdana"/>
          <w:sz w:val="20"/>
          <w:szCs w:val="20"/>
          <w:lang w:val="en-US"/>
        </w:rPr>
        <w:t xml:space="preserve">10. </w:t>
      </w:r>
      <w:r w:rsidR="00953D17" w:rsidRPr="00D869E3">
        <w:rPr>
          <w:rFonts w:ascii="Verdana" w:hAnsi="Verdana"/>
          <w:sz w:val="20"/>
          <w:szCs w:val="20"/>
          <w:lang w:val="en-US"/>
        </w:rPr>
        <w:t xml:space="preserve"> Lastly, the statement that </w:t>
      </w:r>
      <w:r w:rsidR="006436CA" w:rsidRPr="00D869E3">
        <w:rPr>
          <w:rFonts w:ascii="Verdana" w:hAnsi="Verdana"/>
          <w:sz w:val="20"/>
          <w:szCs w:val="20"/>
          <w:lang w:val="en-US"/>
        </w:rPr>
        <w:t>“</w:t>
      </w:r>
      <w:r w:rsidR="000B2E5E" w:rsidRPr="00D869E3">
        <w:rPr>
          <w:rFonts w:ascii="Verdana" w:hAnsi="Verdana"/>
          <w:i/>
          <w:sz w:val="20"/>
          <w:szCs w:val="20"/>
          <w:lang w:val="en-US"/>
        </w:rPr>
        <w:t xml:space="preserve">the </w:t>
      </w:r>
      <w:r w:rsidR="00301DBE" w:rsidRPr="00D869E3">
        <w:rPr>
          <w:rFonts w:ascii="Verdana" w:hAnsi="Verdana"/>
          <w:i/>
          <w:sz w:val="20"/>
          <w:szCs w:val="20"/>
          <w:lang w:val="en-US"/>
        </w:rPr>
        <w:t>right to work</w:t>
      </w:r>
      <w:r w:rsidRPr="00D869E3">
        <w:rPr>
          <w:rFonts w:ascii="Verdana" w:hAnsi="Verdana"/>
          <w:i/>
          <w:sz w:val="20"/>
          <w:szCs w:val="20"/>
          <w:lang w:val="en-US"/>
        </w:rPr>
        <w:t xml:space="preserve"> </w:t>
      </w:r>
      <w:r w:rsidR="00953D17" w:rsidRPr="00D869E3">
        <w:rPr>
          <w:rFonts w:ascii="Verdana" w:hAnsi="Verdana"/>
          <w:i/>
          <w:sz w:val="20"/>
          <w:szCs w:val="20"/>
          <w:lang w:val="en-US"/>
        </w:rPr>
        <w:t xml:space="preserve">is explicitly recognized in </w:t>
      </w:r>
      <w:r w:rsidR="00F062CF" w:rsidRPr="00D869E3">
        <w:rPr>
          <w:rFonts w:ascii="Verdana" w:hAnsi="Verdana"/>
          <w:i/>
          <w:sz w:val="20"/>
          <w:szCs w:val="20"/>
          <w:lang w:val="en-US"/>
        </w:rPr>
        <w:t>different</w:t>
      </w:r>
      <w:r w:rsidR="00E403E9" w:rsidRPr="00D869E3">
        <w:rPr>
          <w:rFonts w:ascii="Verdana" w:hAnsi="Verdana"/>
          <w:i/>
          <w:sz w:val="20"/>
          <w:szCs w:val="20"/>
          <w:lang w:val="en-US"/>
        </w:rPr>
        <w:t xml:space="preserve"> domestic laws of the States </w:t>
      </w:r>
      <w:r w:rsidR="00F062CF" w:rsidRPr="00D869E3">
        <w:rPr>
          <w:rFonts w:ascii="Verdana" w:hAnsi="Verdana"/>
          <w:i/>
          <w:sz w:val="20"/>
          <w:szCs w:val="20"/>
          <w:lang w:val="en-US"/>
        </w:rPr>
        <w:t>in</w:t>
      </w:r>
      <w:r w:rsidR="00E403E9" w:rsidRPr="00D869E3">
        <w:rPr>
          <w:rFonts w:ascii="Verdana" w:hAnsi="Verdana"/>
          <w:i/>
          <w:sz w:val="20"/>
          <w:szCs w:val="20"/>
          <w:lang w:val="en-US"/>
        </w:rPr>
        <w:t xml:space="preserve"> the </w:t>
      </w:r>
      <w:r w:rsidR="00AE1BF5" w:rsidRPr="00D869E3">
        <w:rPr>
          <w:rFonts w:ascii="Verdana" w:hAnsi="Verdana"/>
          <w:i/>
          <w:sz w:val="20"/>
          <w:szCs w:val="20"/>
          <w:lang w:val="en-US"/>
        </w:rPr>
        <w:t>r</w:t>
      </w:r>
      <w:r w:rsidR="00E403E9" w:rsidRPr="00D869E3">
        <w:rPr>
          <w:rFonts w:ascii="Verdana" w:hAnsi="Verdana"/>
          <w:i/>
          <w:sz w:val="20"/>
          <w:szCs w:val="20"/>
          <w:lang w:val="en-US"/>
        </w:rPr>
        <w:t>egion</w:t>
      </w:r>
      <w:r w:rsidR="006436CA" w:rsidRPr="00D869E3">
        <w:rPr>
          <w:rFonts w:ascii="Verdana" w:hAnsi="Verdana"/>
          <w:sz w:val="20"/>
          <w:szCs w:val="20"/>
          <w:lang w:val="en-US"/>
        </w:rPr>
        <w:t>”</w:t>
      </w:r>
      <w:r w:rsidRPr="00D869E3">
        <w:rPr>
          <w:rStyle w:val="Refdenotaalpie"/>
          <w:szCs w:val="20"/>
          <w:lang w:val="en-US"/>
        </w:rPr>
        <w:footnoteReference w:id="438"/>
      </w:r>
      <w:r w:rsidRPr="00D869E3">
        <w:rPr>
          <w:rFonts w:ascii="Verdana" w:hAnsi="Verdana"/>
          <w:sz w:val="20"/>
          <w:szCs w:val="20"/>
          <w:lang w:val="en-US"/>
        </w:rPr>
        <w:t xml:space="preserve"> </w:t>
      </w:r>
      <w:r w:rsidR="00E403E9" w:rsidRPr="00D869E3">
        <w:rPr>
          <w:rFonts w:ascii="Verdana" w:hAnsi="Verdana"/>
          <w:sz w:val="20"/>
          <w:szCs w:val="20"/>
          <w:lang w:val="en-US"/>
        </w:rPr>
        <w:t xml:space="preserve">only supposes that there is no doubt that in the domestic sphere or at the national level, the presumed violation </w:t>
      </w:r>
      <w:r w:rsidRPr="00D869E3">
        <w:rPr>
          <w:rFonts w:ascii="Verdana" w:hAnsi="Verdana"/>
          <w:sz w:val="20"/>
          <w:szCs w:val="20"/>
          <w:lang w:val="en-US"/>
        </w:rPr>
        <w:t>o</w:t>
      </w:r>
      <w:r w:rsidR="00E403E9" w:rsidRPr="00D869E3">
        <w:rPr>
          <w:rFonts w:ascii="Verdana" w:hAnsi="Verdana"/>
          <w:sz w:val="20"/>
          <w:szCs w:val="20"/>
          <w:lang w:val="en-US"/>
        </w:rPr>
        <w:t xml:space="preserve">f </w:t>
      </w:r>
      <w:r w:rsidR="00414B6B"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Pr="00D869E3">
        <w:rPr>
          <w:rFonts w:ascii="Verdana" w:hAnsi="Verdana"/>
          <w:sz w:val="20"/>
          <w:szCs w:val="20"/>
          <w:lang w:val="en-US"/>
        </w:rPr>
        <w:t xml:space="preserve"> </w:t>
      </w:r>
      <w:r w:rsidR="00E403E9" w:rsidRPr="00D869E3">
        <w:rPr>
          <w:rFonts w:ascii="Verdana" w:hAnsi="Verdana"/>
          <w:sz w:val="20"/>
          <w:szCs w:val="20"/>
          <w:lang w:val="en-US"/>
        </w:rPr>
        <w:t>can and should be invoked before the competent domestic courts</w:t>
      </w:r>
      <w:r w:rsidR="00AE1BF5" w:rsidRPr="00D869E3">
        <w:rPr>
          <w:rFonts w:ascii="Verdana" w:hAnsi="Verdana"/>
          <w:sz w:val="20"/>
          <w:szCs w:val="20"/>
          <w:lang w:val="en-US"/>
        </w:rPr>
        <w:t>,</w:t>
      </w:r>
      <w:r w:rsidR="00E403E9" w:rsidRPr="00D869E3">
        <w:rPr>
          <w:rFonts w:ascii="Verdana" w:hAnsi="Verdana"/>
          <w:sz w:val="20"/>
          <w:szCs w:val="20"/>
          <w:lang w:val="en-US"/>
        </w:rPr>
        <w:t xml:space="preserve"> and not that there is a right to claim the violation of that right </w:t>
      </w:r>
      <w:r w:rsidR="00966115" w:rsidRPr="00D869E3">
        <w:rPr>
          <w:rFonts w:ascii="Verdana" w:hAnsi="Verdana"/>
          <w:sz w:val="20"/>
          <w:szCs w:val="20"/>
          <w:lang w:val="en-US"/>
        </w:rPr>
        <w:t>before the</w:t>
      </w:r>
      <w:r w:rsidR="00447C65" w:rsidRPr="00D869E3">
        <w:rPr>
          <w:rFonts w:ascii="Verdana" w:hAnsi="Verdana"/>
          <w:sz w:val="20"/>
          <w:szCs w:val="20"/>
          <w:lang w:val="en-US"/>
        </w:rPr>
        <w:t xml:space="preserve"> </w:t>
      </w:r>
      <w:r w:rsidR="00E403E9" w:rsidRPr="00D869E3">
        <w:rPr>
          <w:rFonts w:ascii="Verdana" w:hAnsi="Verdana"/>
          <w:sz w:val="20"/>
          <w:szCs w:val="20"/>
          <w:lang w:val="en-US"/>
        </w:rPr>
        <w:t xml:space="preserve">Inter-American </w:t>
      </w:r>
      <w:r w:rsidR="00447C65" w:rsidRPr="00D869E3">
        <w:rPr>
          <w:rFonts w:ascii="Verdana" w:hAnsi="Verdana"/>
          <w:sz w:val="20"/>
          <w:szCs w:val="20"/>
          <w:lang w:val="en-US"/>
        </w:rPr>
        <w:t>Court</w:t>
      </w:r>
      <w:r w:rsidRPr="00D869E3">
        <w:rPr>
          <w:rFonts w:ascii="Verdana" w:hAnsi="Verdana"/>
          <w:sz w:val="20"/>
          <w:szCs w:val="20"/>
          <w:lang w:val="en-US"/>
        </w:rPr>
        <w:t xml:space="preserve"> </w:t>
      </w:r>
      <w:r w:rsidR="00E403E9" w:rsidRPr="00D869E3">
        <w:rPr>
          <w:rFonts w:ascii="Verdana" w:hAnsi="Verdana"/>
          <w:sz w:val="20"/>
          <w:szCs w:val="20"/>
          <w:lang w:val="en-US"/>
        </w:rPr>
        <w:t>pursuant to</w:t>
      </w:r>
      <w:r w:rsidRPr="00D869E3">
        <w:rPr>
          <w:rFonts w:ascii="Verdana" w:hAnsi="Verdana"/>
          <w:sz w:val="20"/>
          <w:szCs w:val="20"/>
          <w:lang w:val="en-US"/>
        </w:rPr>
        <w:t xml:space="preserve"> </w:t>
      </w:r>
      <w:r w:rsidR="00447C65" w:rsidRPr="00D869E3">
        <w:rPr>
          <w:rFonts w:ascii="Verdana" w:hAnsi="Verdana"/>
          <w:sz w:val="20"/>
          <w:szCs w:val="20"/>
          <w:lang w:val="en-US"/>
        </w:rPr>
        <w:t>Article</w:t>
      </w:r>
      <w:r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Pr="00D869E3">
        <w:rPr>
          <w:rFonts w:ascii="Verdana" w:hAnsi="Verdana"/>
          <w:sz w:val="20"/>
          <w:szCs w:val="20"/>
          <w:lang w:val="en-US"/>
        </w:rPr>
        <w:t>.</w:t>
      </w:r>
    </w:p>
    <w:p w14:paraId="519735D5" w14:textId="77777777" w:rsidR="003C2143" w:rsidRPr="00D869E3" w:rsidRDefault="003C2143" w:rsidP="003C2143">
      <w:pPr>
        <w:jc w:val="both"/>
        <w:rPr>
          <w:rFonts w:ascii="Verdana" w:hAnsi="Verdana"/>
          <w:sz w:val="20"/>
          <w:szCs w:val="20"/>
          <w:lang w:val="en-US"/>
        </w:rPr>
      </w:pPr>
    </w:p>
    <w:p w14:paraId="30F91B6D" w14:textId="5D737EB3" w:rsidR="003C2143" w:rsidRPr="00D869E3" w:rsidRDefault="003C2143" w:rsidP="003C2143">
      <w:pPr>
        <w:jc w:val="both"/>
        <w:rPr>
          <w:rFonts w:ascii="Verdana" w:hAnsi="Verdana"/>
          <w:b/>
          <w:sz w:val="20"/>
          <w:szCs w:val="20"/>
          <w:lang w:val="en-US"/>
        </w:rPr>
      </w:pPr>
      <w:r w:rsidRPr="00D869E3">
        <w:rPr>
          <w:rFonts w:ascii="Verdana" w:hAnsi="Verdana"/>
          <w:b/>
          <w:sz w:val="20"/>
          <w:szCs w:val="20"/>
          <w:lang w:val="en-US"/>
        </w:rPr>
        <w:t>CONCLUSI</w:t>
      </w:r>
      <w:r w:rsidR="004A47FF" w:rsidRPr="00D869E3">
        <w:rPr>
          <w:rFonts w:ascii="Verdana" w:hAnsi="Verdana"/>
          <w:b/>
          <w:sz w:val="20"/>
          <w:szCs w:val="20"/>
          <w:lang w:val="en-US"/>
        </w:rPr>
        <w:t>O</w:t>
      </w:r>
      <w:r w:rsidRPr="00D869E3">
        <w:rPr>
          <w:rFonts w:ascii="Verdana" w:hAnsi="Verdana"/>
          <w:b/>
          <w:sz w:val="20"/>
          <w:szCs w:val="20"/>
          <w:lang w:val="en-US"/>
        </w:rPr>
        <w:t>N</w:t>
      </w:r>
    </w:p>
    <w:p w14:paraId="5F9DDF6A" w14:textId="77777777" w:rsidR="003C2143" w:rsidRPr="00D869E3" w:rsidRDefault="003C2143" w:rsidP="003C2143">
      <w:pPr>
        <w:jc w:val="both"/>
        <w:rPr>
          <w:rFonts w:ascii="Verdana" w:hAnsi="Verdana"/>
          <w:b/>
          <w:sz w:val="20"/>
          <w:szCs w:val="20"/>
          <w:lang w:val="en-US"/>
        </w:rPr>
      </w:pPr>
    </w:p>
    <w:p w14:paraId="4690D5E6" w14:textId="231BFA97" w:rsidR="003C2143" w:rsidRPr="00D869E3" w:rsidRDefault="00E403E9" w:rsidP="003C2143">
      <w:pPr>
        <w:jc w:val="both"/>
        <w:rPr>
          <w:rFonts w:ascii="Verdana" w:hAnsi="Verdana"/>
          <w:sz w:val="20"/>
          <w:szCs w:val="20"/>
          <w:lang w:val="en-US"/>
        </w:rPr>
      </w:pPr>
      <w:r w:rsidRPr="00D869E3">
        <w:rPr>
          <w:rFonts w:ascii="Verdana" w:hAnsi="Verdana"/>
          <w:sz w:val="20"/>
          <w:szCs w:val="20"/>
          <w:lang w:val="en-US"/>
        </w:rPr>
        <w:lastRenderedPageBreak/>
        <w:t xml:space="preserve">In sum, I disagree with the </w:t>
      </w:r>
      <w:r w:rsidR="00230981" w:rsidRPr="00D869E3">
        <w:rPr>
          <w:rFonts w:ascii="Verdana" w:hAnsi="Verdana"/>
          <w:sz w:val="20"/>
          <w:szCs w:val="20"/>
          <w:lang w:val="en-US"/>
        </w:rPr>
        <w:t xml:space="preserve">decision in the judgment because, since the Convention makes a clear distinction between political and civil rights and economic, social and cultural rights, the right to work, including the right to job security, as part of the latter rights is not a right “recognized” in the Convention and, consequently, is not safeguarded by the system of protection </w:t>
      </w:r>
      <w:r w:rsidR="00AE1BF5" w:rsidRPr="00D869E3">
        <w:rPr>
          <w:rFonts w:ascii="Verdana" w:hAnsi="Verdana"/>
          <w:sz w:val="20"/>
          <w:szCs w:val="20"/>
          <w:lang w:val="en-US"/>
        </w:rPr>
        <w:t xml:space="preserve">that is </w:t>
      </w:r>
      <w:r w:rsidR="00230981" w:rsidRPr="00D869E3">
        <w:rPr>
          <w:rFonts w:ascii="Verdana" w:hAnsi="Verdana"/>
          <w:sz w:val="20"/>
          <w:szCs w:val="20"/>
          <w:lang w:val="en-US"/>
        </w:rPr>
        <w:t xml:space="preserve">established therein only for the political and civil rights. For the economic, social and cultural rights to be judicialized before the Court, </w:t>
      </w:r>
      <w:r w:rsidR="00AE1BF5" w:rsidRPr="00D869E3">
        <w:rPr>
          <w:rFonts w:ascii="Verdana" w:hAnsi="Verdana"/>
          <w:sz w:val="20"/>
          <w:szCs w:val="20"/>
          <w:lang w:val="en-US"/>
        </w:rPr>
        <w:t xml:space="preserve">the </w:t>
      </w:r>
      <w:r w:rsidR="00230981" w:rsidRPr="00D869E3">
        <w:rPr>
          <w:rFonts w:ascii="Verdana" w:hAnsi="Verdana"/>
          <w:sz w:val="20"/>
          <w:szCs w:val="20"/>
          <w:lang w:val="en-US"/>
        </w:rPr>
        <w:t xml:space="preserve">signature of an additional protocol would be necessary, </w:t>
      </w:r>
      <w:r w:rsidR="00AE1BF5" w:rsidRPr="00D869E3">
        <w:rPr>
          <w:rFonts w:ascii="Verdana" w:hAnsi="Verdana"/>
          <w:sz w:val="20"/>
          <w:szCs w:val="20"/>
          <w:lang w:val="en-US"/>
        </w:rPr>
        <w:t>and this</w:t>
      </w:r>
      <w:r w:rsidR="00230981" w:rsidRPr="00D869E3">
        <w:rPr>
          <w:rFonts w:ascii="Verdana" w:hAnsi="Verdana"/>
          <w:sz w:val="20"/>
          <w:szCs w:val="20"/>
          <w:lang w:val="en-US"/>
        </w:rPr>
        <w:t xml:space="preserve"> has not happened, except partially with </w:t>
      </w:r>
      <w:r w:rsidR="00B235CB" w:rsidRPr="00D869E3">
        <w:rPr>
          <w:rFonts w:ascii="Verdana" w:hAnsi="Verdana"/>
          <w:sz w:val="20"/>
          <w:szCs w:val="20"/>
          <w:lang w:val="en-US"/>
        </w:rPr>
        <w:t>the Protocol of San</w:t>
      </w:r>
      <w:r w:rsidR="003C2143" w:rsidRPr="00D869E3">
        <w:rPr>
          <w:rFonts w:ascii="Verdana" w:hAnsi="Verdana"/>
          <w:sz w:val="20"/>
          <w:szCs w:val="20"/>
          <w:lang w:val="en-US"/>
        </w:rPr>
        <w:t xml:space="preserve"> Salvador, </w:t>
      </w:r>
      <w:r w:rsidR="00230981" w:rsidRPr="00D869E3">
        <w:rPr>
          <w:rFonts w:ascii="Verdana" w:hAnsi="Verdana"/>
          <w:sz w:val="20"/>
          <w:szCs w:val="20"/>
          <w:lang w:val="en-US"/>
        </w:rPr>
        <w:t xml:space="preserve">but for matters other than those in the instant case. </w:t>
      </w:r>
      <w:r w:rsidR="00AE1BF5" w:rsidRPr="00D869E3">
        <w:rPr>
          <w:rFonts w:ascii="Verdana" w:hAnsi="Verdana"/>
          <w:sz w:val="20"/>
          <w:szCs w:val="20"/>
          <w:lang w:val="en-US"/>
        </w:rPr>
        <w:t xml:space="preserve"> </w:t>
      </w:r>
    </w:p>
    <w:p w14:paraId="3D6AC414" w14:textId="77777777" w:rsidR="003C2143" w:rsidRPr="00D869E3" w:rsidRDefault="003C2143" w:rsidP="003C2143">
      <w:pPr>
        <w:jc w:val="both"/>
        <w:rPr>
          <w:rFonts w:ascii="Verdana" w:hAnsi="Verdana"/>
          <w:sz w:val="20"/>
          <w:szCs w:val="20"/>
          <w:lang w:val="en-US"/>
        </w:rPr>
      </w:pPr>
    </w:p>
    <w:p w14:paraId="638DCA9E" w14:textId="403B7B47" w:rsidR="00230981" w:rsidRPr="00D869E3" w:rsidRDefault="00230981" w:rsidP="003C2143">
      <w:pPr>
        <w:jc w:val="both"/>
        <w:rPr>
          <w:rFonts w:ascii="Verdana" w:hAnsi="Verdana"/>
          <w:sz w:val="20"/>
          <w:szCs w:val="20"/>
          <w:lang w:val="en-US"/>
        </w:rPr>
      </w:pPr>
      <w:r w:rsidRPr="00D869E3">
        <w:rPr>
          <w:rFonts w:ascii="Verdana" w:hAnsi="Verdana"/>
          <w:sz w:val="20"/>
          <w:szCs w:val="20"/>
          <w:lang w:val="en-US"/>
        </w:rPr>
        <w:t xml:space="preserve">I also dissent because Article 26 of the Convention establishes obligations of conduct for the States, and not a recognition of human rights. Moreover, this provisions </w:t>
      </w:r>
      <w:r w:rsidR="00AE1BF5" w:rsidRPr="00D869E3">
        <w:rPr>
          <w:rFonts w:ascii="Verdana" w:hAnsi="Verdana"/>
          <w:sz w:val="20"/>
          <w:szCs w:val="20"/>
          <w:lang w:val="en-US"/>
        </w:rPr>
        <w:t>cites</w:t>
      </w:r>
      <w:r w:rsidRPr="00D869E3">
        <w:rPr>
          <w:rFonts w:ascii="Verdana" w:hAnsi="Verdana"/>
          <w:sz w:val="20"/>
          <w:szCs w:val="20"/>
          <w:lang w:val="en-US"/>
        </w:rPr>
        <w:t xml:space="preserve"> the OAS Charter, which, in turn, </w:t>
      </w:r>
      <w:r w:rsidR="001E300B" w:rsidRPr="00D869E3">
        <w:rPr>
          <w:rFonts w:ascii="Verdana" w:hAnsi="Verdana"/>
          <w:sz w:val="20"/>
          <w:szCs w:val="20"/>
          <w:lang w:val="en-US"/>
        </w:rPr>
        <w:t>does not recognize human rights, but rather stipulates “</w:t>
      </w:r>
      <w:r w:rsidR="001E300B" w:rsidRPr="00D869E3">
        <w:rPr>
          <w:rFonts w:ascii="Verdana" w:hAnsi="Verdana"/>
          <w:i/>
          <w:iCs/>
          <w:sz w:val="20"/>
          <w:szCs w:val="20"/>
          <w:lang w:val="en-US"/>
        </w:rPr>
        <w:t xml:space="preserve">goals” </w:t>
      </w:r>
      <w:r w:rsidR="001E300B" w:rsidRPr="00D869E3">
        <w:rPr>
          <w:rFonts w:ascii="Verdana" w:hAnsi="Verdana"/>
          <w:sz w:val="20"/>
          <w:szCs w:val="20"/>
          <w:lang w:val="en-US"/>
        </w:rPr>
        <w:t xml:space="preserve">or </w:t>
      </w:r>
      <w:r w:rsidR="001E300B" w:rsidRPr="00D869E3">
        <w:rPr>
          <w:rFonts w:ascii="Verdana" w:hAnsi="Verdana"/>
          <w:i/>
          <w:iCs/>
          <w:sz w:val="20"/>
          <w:szCs w:val="20"/>
          <w:lang w:val="en-US"/>
        </w:rPr>
        <w:t>“principles and mechanisms</w:t>
      </w:r>
      <w:r w:rsidR="001E300B" w:rsidRPr="00D869E3">
        <w:rPr>
          <w:rFonts w:ascii="Verdana" w:hAnsi="Verdana"/>
          <w:sz w:val="20"/>
          <w:szCs w:val="20"/>
          <w:lang w:val="en-US"/>
        </w:rPr>
        <w:t>” that the States undertake to achieve or to implement, as applicable. In addition, I do not share the decision</w:t>
      </w:r>
      <w:r w:rsidR="00AE1BF5" w:rsidRPr="00D869E3">
        <w:rPr>
          <w:rFonts w:ascii="Verdana" w:hAnsi="Verdana"/>
          <w:sz w:val="20"/>
          <w:szCs w:val="20"/>
          <w:lang w:val="en-US"/>
        </w:rPr>
        <w:t>s taken</w:t>
      </w:r>
      <w:r w:rsidR="001E300B" w:rsidRPr="00D869E3">
        <w:rPr>
          <w:rFonts w:ascii="Verdana" w:hAnsi="Verdana"/>
          <w:sz w:val="20"/>
          <w:szCs w:val="20"/>
          <w:lang w:val="en-US"/>
        </w:rPr>
        <w:t xml:space="preserve"> because </w:t>
      </w:r>
      <w:r w:rsidR="00AE1BF5" w:rsidRPr="00D869E3">
        <w:rPr>
          <w:rFonts w:ascii="Verdana" w:hAnsi="Verdana"/>
          <w:sz w:val="20"/>
          <w:szCs w:val="20"/>
          <w:lang w:val="en-US"/>
        </w:rPr>
        <w:t>permitting</w:t>
      </w:r>
      <w:r w:rsidR="001E300B" w:rsidRPr="00D869E3">
        <w:rPr>
          <w:rFonts w:ascii="Verdana" w:hAnsi="Verdana"/>
          <w:sz w:val="20"/>
          <w:szCs w:val="20"/>
          <w:lang w:val="en-US"/>
        </w:rPr>
        <w:t xml:space="preserve"> the provisions of the said Article 26 </w:t>
      </w:r>
      <w:r w:rsidR="00AE1BF5" w:rsidRPr="00D869E3">
        <w:rPr>
          <w:rFonts w:ascii="Verdana" w:hAnsi="Verdana"/>
          <w:sz w:val="20"/>
          <w:szCs w:val="20"/>
          <w:lang w:val="en-US"/>
        </w:rPr>
        <w:t>to</w:t>
      </w:r>
      <w:r w:rsidR="001E300B" w:rsidRPr="00D869E3">
        <w:rPr>
          <w:rFonts w:ascii="Verdana" w:hAnsi="Verdana"/>
          <w:sz w:val="20"/>
          <w:szCs w:val="20"/>
          <w:lang w:val="en-US"/>
        </w:rPr>
        <w:t xml:space="preserve"> be judicialized before the Court not only renders meaningless the provisions of Articles 31, 76(1) and 77(1) of the Convention and of the Protocol of San Salvador, but would </w:t>
      </w:r>
      <w:r w:rsidR="00AE1BF5" w:rsidRPr="00D869E3">
        <w:rPr>
          <w:rFonts w:ascii="Verdana" w:hAnsi="Verdana"/>
          <w:sz w:val="20"/>
          <w:szCs w:val="20"/>
          <w:lang w:val="en-US"/>
        </w:rPr>
        <w:t xml:space="preserve">also </w:t>
      </w:r>
      <w:r w:rsidR="001E300B" w:rsidRPr="00D869E3">
        <w:rPr>
          <w:rFonts w:ascii="Verdana" w:hAnsi="Verdana"/>
          <w:sz w:val="20"/>
          <w:szCs w:val="20"/>
          <w:lang w:val="en-US"/>
        </w:rPr>
        <w:t xml:space="preserve">allow </w:t>
      </w:r>
      <w:r w:rsidR="00AE1BF5" w:rsidRPr="00D869E3">
        <w:rPr>
          <w:rFonts w:ascii="Verdana" w:hAnsi="Verdana"/>
          <w:sz w:val="20"/>
          <w:szCs w:val="20"/>
          <w:lang w:val="en-US"/>
        </w:rPr>
        <w:t>this</w:t>
      </w:r>
      <w:r w:rsidR="001E300B" w:rsidRPr="00D869E3">
        <w:rPr>
          <w:rFonts w:ascii="Verdana" w:hAnsi="Verdana"/>
          <w:sz w:val="20"/>
          <w:szCs w:val="20"/>
          <w:lang w:val="en-US"/>
        </w:rPr>
        <w:t xml:space="preserve"> for all the rights derived from the OAS Charter, an eventuality that is evidently totally alien to what was intended.</w:t>
      </w:r>
    </w:p>
    <w:p w14:paraId="0F93CD60" w14:textId="77777777" w:rsidR="003C2143" w:rsidRPr="00D869E3" w:rsidRDefault="003C2143" w:rsidP="003C2143">
      <w:pPr>
        <w:jc w:val="both"/>
        <w:rPr>
          <w:rFonts w:ascii="Verdana" w:hAnsi="Verdana"/>
          <w:sz w:val="20"/>
          <w:szCs w:val="20"/>
          <w:lang w:val="en-US"/>
        </w:rPr>
      </w:pPr>
    </w:p>
    <w:p w14:paraId="343A8F6D" w14:textId="12E2FEB9" w:rsidR="003C2143" w:rsidRPr="00D869E3" w:rsidRDefault="00D13204" w:rsidP="003C2143">
      <w:pPr>
        <w:jc w:val="both"/>
        <w:rPr>
          <w:rFonts w:ascii="Verdana" w:hAnsi="Verdana"/>
          <w:sz w:val="20"/>
          <w:szCs w:val="20"/>
          <w:lang w:val="en-US"/>
        </w:rPr>
      </w:pPr>
      <w:r w:rsidRPr="00D869E3">
        <w:rPr>
          <w:rFonts w:ascii="Verdana" w:hAnsi="Verdana"/>
          <w:sz w:val="20"/>
          <w:szCs w:val="20"/>
          <w:lang w:val="en-US"/>
        </w:rPr>
        <w:t>Based on the foregoing</w:t>
      </w:r>
      <w:r w:rsidR="001E300B" w:rsidRPr="00D869E3">
        <w:rPr>
          <w:rFonts w:ascii="Verdana" w:hAnsi="Verdana"/>
          <w:sz w:val="20"/>
          <w:szCs w:val="20"/>
          <w:lang w:val="en-US"/>
        </w:rPr>
        <w:t xml:space="preserve">, I reiterate that I am not denying the existence of </w:t>
      </w:r>
      <w:r w:rsidR="00A157F5" w:rsidRPr="00D869E3">
        <w:rPr>
          <w:rFonts w:ascii="Verdana" w:hAnsi="Verdana"/>
          <w:sz w:val="20"/>
          <w:szCs w:val="20"/>
          <w:lang w:val="en-US"/>
        </w:rPr>
        <w:t xml:space="preserve">the </w:t>
      </w:r>
      <w:r w:rsidR="000B2E5E" w:rsidRPr="00D869E3">
        <w:rPr>
          <w:rFonts w:ascii="Verdana" w:hAnsi="Verdana"/>
          <w:sz w:val="20"/>
          <w:szCs w:val="20"/>
          <w:lang w:val="en-US"/>
        </w:rPr>
        <w:t xml:space="preserve">right </w:t>
      </w:r>
      <w:r w:rsidR="002C5EA9" w:rsidRPr="00D869E3">
        <w:rPr>
          <w:rFonts w:ascii="Verdana" w:hAnsi="Verdana"/>
          <w:sz w:val="20"/>
          <w:szCs w:val="20"/>
          <w:lang w:val="en-US"/>
        </w:rPr>
        <w:t>to job security</w:t>
      </w:r>
      <w:r w:rsidR="003C2143" w:rsidRPr="00D869E3">
        <w:rPr>
          <w:rFonts w:ascii="Verdana" w:hAnsi="Verdana"/>
          <w:sz w:val="20"/>
          <w:szCs w:val="20"/>
          <w:lang w:val="en-US"/>
        </w:rPr>
        <w:t xml:space="preserve"> </w:t>
      </w:r>
      <w:r w:rsidR="001E300B" w:rsidRPr="00D869E3">
        <w:rPr>
          <w:rFonts w:ascii="Verdana" w:hAnsi="Verdana"/>
          <w:sz w:val="20"/>
          <w:szCs w:val="20"/>
          <w:lang w:val="en-US"/>
        </w:rPr>
        <w:t>which</w:t>
      </w:r>
      <w:r w:rsidRPr="00D869E3">
        <w:rPr>
          <w:rFonts w:ascii="Verdana" w:hAnsi="Verdana"/>
          <w:sz w:val="20"/>
          <w:szCs w:val="20"/>
          <w:lang w:val="en-US"/>
        </w:rPr>
        <w:t>, incidentally,</w:t>
      </w:r>
      <w:r w:rsidR="001E300B" w:rsidRPr="00D869E3">
        <w:rPr>
          <w:rFonts w:ascii="Verdana" w:hAnsi="Verdana"/>
          <w:sz w:val="20"/>
          <w:szCs w:val="20"/>
          <w:lang w:val="en-US"/>
        </w:rPr>
        <w:t xml:space="preserve"> does not appear as such in the OAS </w:t>
      </w:r>
      <w:r w:rsidR="00197983" w:rsidRPr="00D869E3">
        <w:rPr>
          <w:rFonts w:ascii="Verdana" w:hAnsi="Verdana"/>
          <w:sz w:val="20"/>
          <w:szCs w:val="20"/>
          <w:lang w:val="en-US"/>
        </w:rPr>
        <w:t>Charter</w:t>
      </w:r>
      <w:r w:rsidR="003C2143" w:rsidRPr="00D869E3">
        <w:rPr>
          <w:rFonts w:ascii="Verdana" w:hAnsi="Verdana"/>
          <w:sz w:val="20"/>
          <w:szCs w:val="20"/>
          <w:lang w:val="en-US"/>
        </w:rPr>
        <w:t xml:space="preserve"> </w:t>
      </w:r>
      <w:r w:rsidR="001E300B" w:rsidRPr="00D869E3">
        <w:rPr>
          <w:rFonts w:ascii="Verdana" w:hAnsi="Verdana"/>
          <w:sz w:val="20"/>
          <w:szCs w:val="20"/>
          <w:lang w:val="en-US"/>
        </w:rPr>
        <w:t>from the provisions of which</w:t>
      </w:r>
      <w:r w:rsidRPr="00D869E3">
        <w:rPr>
          <w:rFonts w:ascii="Verdana" w:hAnsi="Verdana"/>
          <w:sz w:val="20"/>
          <w:szCs w:val="20"/>
          <w:lang w:val="en-US"/>
        </w:rPr>
        <w:t xml:space="preserve"> it would derive</w:t>
      </w:r>
      <w:r w:rsidR="001E300B" w:rsidRPr="00D869E3">
        <w:rPr>
          <w:rFonts w:ascii="Verdana" w:hAnsi="Verdana"/>
          <w:sz w:val="20"/>
          <w:szCs w:val="20"/>
          <w:lang w:val="en-US"/>
        </w:rPr>
        <w:t xml:space="preserve"> according to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1E300B" w:rsidRPr="00D869E3">
        <w:rPr>
          <w:rFonts w:ascii="Verdana" w:hAnsi="Verdana"/>
          <w:sz w:val="20"/>
          <w:szCs w:val="20"/>
          <w:lang w:val="en-US"/>
        </w:rPr>
        <w:t>. I merely indicate that i</w:t>
      </w:r>
      <w:r w:rsidRPr="00D869E3">
        <w:rPr>
          <w:rFonts w:ascii="Verdana" w:hAnsi="Verdana"/>
          <w:sz w:val="20"/>
          <w:szCs w:val="20"/>
          <w:lang w:val="en-US"/>
        </w:rPr>
        <w:t>t</w:t>
      </w:r>
      <w:r w:rsidR="001E300B" w:rsidRPr="00D869E3">
        <w:rPr>
          <w:rFonts w:ascii="Verdana" w:hAnsi="Verdana"/>
          <w:sz w:val="20"/>
          <w:szCs w:val="20"/>
          <w:lang w:val="en-US"/>
        </w:rPr>
        <w:t xml:space="preserve">s eventual violation cannot be submitted to the consideration and decision </w:t>
      </w:r>
      <w:r w:rsidR="00447C65" w:rsidRPr="00D869E3">
        <w:rPr>
          <w:rFonts w:ascii="Verdana" w:hAnsi="Verdana"/>
          <w:sz w:val="20"/>
          <w:szCs w:val="20"/>
          <w:lang w:val="en-US"/>
        </w:rPr>
        <w:t>of the Court</w:t>
      </w:r>
      <w:r w:rsidR="001E300B" w:rsidRPr="00D869E3">
        <w:rPr>
          <w:rFonts w:ascii="Verdana" w:hAnsi="Verdana"/>
          <w:sz w:val="20"/>
          <w:szCs w:val="20"/>
          <w:lang w:val="en-US"/>
        </w:rPr>
        <w:t>.</w:t>
      </w:r>
    </w:p>
    <w:p w14:paraId="459D213D" w14:textId="77777777" w:rsidR="003C2143" w:rsidRPr="00D869E3" w:rsidRDefault="003C2143" w:rsidP="003C2143">
      <w:pPr>
        <w:jc w:val="both"/>
        <w:rPr>
          <w:rFonts w:ascii="Verdana" w:hAnsi="Verdana"/>
          <w:sz w:val="20"/>
          <w:szCs w:val="20"/>
          <w:lang w:val="en-US"/>
        </w:rPr>
      </w:pPr>
    </w:p>
    <w:p w14:paraId="44BC7D6B" w14:textId="23739AAB" w:rsidR="00D606DA" w:rsidRPr="00D869E3" w:rsidRDefault="00D13204" w:rsidP="003C2143">
      <w:pPr>
        <w:jc w:val="both"/>
        <w:rPr>
          <w:rFonts w:ascii="Verdana" w:hAnsi="Verdana"/>
          <w:sz w:val="20"/>
          <w:szCs w:val="20"/>
          <w:lang w:val="en-US"/>
        </w:rPr>
      </w:pPr>
      <w:r w:rsidRPr="00D869E3">
        <w:rPr>
          <w:rFonts w:ascii="Verdana" w:hAnsi="Verdana"/>
          <w:sz w:val="20"/>
          <w:szCs w:val="20"/>
          <w:lang w:val="en-US"/>
        </w:rPr>
        <w:t>Furthermore</w:t>
      </w:r>
      <w:r w:rsidR="001E300B" w:rsidRPr="00D869E3">
        <w:rPr>
          <w:rFonts w:ascii="Verdana" w:hAnsi="Verdana"/>
          <w:sz w:val="20"/>
          <w:szCs w:val="20"/>
          <w:lang w:val="en-US"/>
        </w:rPr>
        <w:t xml:space="preserve">, this opinion should not be understood to signify that I would not be in favor of </w:t>
      </w:r>
      <w:r w:rsidRPr="00D869E3">
        <w:rPr>
          <w:rFonts w:ascii="Verdana" w:hAnsi="Verdana"/>
          <w:sz w:val="20"/>
          <w:szCs w:val="20"/>
          <w:lang w:val="en-US"/>
        </w:rPr>
        <w:t xml:space="preserve">the </w:t>
      </w:r>
      <w:r w:rsidR="001E300B" w:rsidRPr="00D869E3">
        <w:rPr>
          <w:rFonts w:ascii="Verdana" w:hAnsi="Verdana"/>
          <w:sz w:val="20"/>
          <w:szCs w:val="20"/>
          <w:lang w:val="en-US"/>
        </w:rPr>
        <w:t>eventual judicializ</w:t>
      </w:r>
      <w:r w:rsidRPr="00D869E3">
        <w:rPr>
          <w:rFonts w:ascii="Verdana" w:hAnsi="Verdana"/>
          <w:sz w:val="20"/>
          <w:szCs w:val="20"/>
          <w:lang w:val="en-US"/>
        </w:rPr>
        <w:t>ation of</w:t>
      </w:r>
      <w:r w:rsidR="001E300B" w:rsidRPr="00D869E3">
        <w:rPr>
          <w:rFonts w:ascii="Verdana" w:hAnsi="Verdana"/>
          <w:sz w:val="20"/>
          <w:szCs w:val="20"/>
          <w:lang w:val="en-US"/>
        </w:rPr>
        <w:t xml:space="preserve"> the economic, social and cultural rights. </w:t>
      </w:r>
      <w:r w:rsidR="00D606DA" w:rsidRPr="00D869E3">
        <w:rPr>
          <w:rFonts w:ascii="Verdana" w:hAnsi="Verdana"/>
          <w:sz w:val="20"/>
          <w:szCs w:val="20"/>
          <w:lang w:val="en-US"/>
        </w:rPr>
        <w:t xml:space="preserve">I merely consider that, if this </w:t>
      </w:r>
      <w:r w:rsidRPr="00D869E3">
        <w:rPr>
          <w:rFonts w:ascii="Verdana" w:hAnsi="Verdana"/>
          <w:sz w:val="20"/>
          <w:szCs w:val="20"/>
          <w:lang w:val="en-US"/>
        </w:rPr>
        <w:t>occurs</w:t>
      </w:r>
      <w:r w:rsidR="00D606DA" w:rsidRPr="00D869E3">
        <w:rPr>
          <w:rFonts w:ascii="Verdana" w:hAnsi="Verdana"/>
          <w:sz w:val="20"/>
          <w:szCs w:val="20"/>
          <w:lang w:val="en-US"/>
        </w:rPr>
        <w:t xml:space="preserve">, it should be </w:t>
      </w:r>
      <w:r w:rsidRPr="00D869E3">
        <w:rPr>
          <w:rFonts w:ascii="Verdana" w:hAnsi="Verdana"/>
          <w:sz w:val="20"/>
          <w:szCs w:val="20"/>
          <w:lang w:val="en-US"/>
        </w:rPr>
        <w:t xml:space="preserve">accomplished </w:t>
      </w:r>
      <w:r w:rsidR="00D606DA" w:rsidRPr="00D869E3">
        <w:rPr>
          <w:rFonts w:ascii="Verdana" w:hAnsi="Verdana"/>
          <w:sz w:val="20"/>
          <w:szCs w:val="20"/>
          <w:lang w:val="en-US"/>
        </w:rPr>
        <w:t>by the entit</w:t>
      </w:r>
      <w:r w:rsidRPr="00D869E3">
        <w:rPr>
          <w:rFonts w:ascii="Verdana" w:hAnsi="Verdana"/>
          <w:sz w:val="20"/>
          <w:szCs w:val="20"/>
          <w:lang w:val="en-US"/>
        </w:rPr>
        <w:t xml:space="preserve">y </w:t>
      </w:r>
      <w:r w:rsidR="00D606DA" w:rsidRPr="00D869E3">
        <w:rPr>
          <w:rFonts w:ascii="Verdana" w:hAnsi="Verdana"/>
          <w:sz w:val="20"/>
          <w:szCs w:val="20"/>
          <w:lang w:val="en-US"/>
        </w:rPr>
        <w:t xml:space="preserve">responsible for setting international legal standards; </w:t>
      </w:r>
      <w:r w:rsidRPr="00D869E3">
        <w:rPr>
          <w:rFonts w:ascii="Verdana" w:hAnsi="Verdana"/>
          <w:sz w:val="20"/>
          <w:szCs w:val="20"/>
          <w:lang w:val="en-US"/>
        </w:rPr>
        <w:t>namely</w:t>
      </w:r>
      <w:r w:rsidR="00D606DA" w:rsidRPr="00D869E3">
        <w:rPr>
          <w:rFonts w:ascii="Verdana" w:hAnsi="Verdana"/>
          <w:sz w:val="20"/>
          <w:szCs w:val="20"/>
          <w:lang w:val="en-US"/>
        </w:rPr>
        <w:t xml:space="preserve">, the States, through treaties, international custom, general principles of law, or unilateral </w:t>
      </w:r>
      <w:r w:rsidRPr="00D869E3">
        <w:rPr>
          <w:rFonts w:ascii="Verdana" w:hAnsi="Verdana"/>
          <w:sz w:val="20"/>
          <w:szCs w:val="20"/>
          <w:lang w:val="en-US"/>
        </w:rPr>
        <w:t>leg</w:t>
      </w:r>
      <w:r w:rsidR="00D606DA" w:rsidRPr="00D869E3">
        <w:rPr>
          <w:rFonts w:ascii="Verdana" w:hAnsi="Verdana"/>
          <w:sz w:val="20"/>
          <w:szCs w:val="20"/>
          <w:lang w:val="en-US"/>
        </w:rPr>
        <w:t xml:space="preserve">al acts. It does not appear desirable that the organ responsible for the inter-American judicial function should assume the role of setting international standards, particularly when </w:t>
      </w:r>
      <w:r w:rsidR="00304025" w:rsidRPr="00D869E3">
        <w:rPr>
          <w:rFonts w:ascii="Verdana" w:hAnsi="Verdana"/>
          <w:sz w:val="20"/>
          <w:szCs w:val="20"/>
          <w:lang w:val="en-US"/>
        </w:rPr>
        <w:t>the States Parties to</w:t>
      </w:r>
      <w:r w:rsidR="00447C65" w:rsidRPr="00D869E3">
        <w:rPr>
          <w:rFonts w:ascii="Verdana" w:hAnsi="Verdana"/>
          <w:sz w:val="20"/>
          <w:szCs w:val="20"/>
          <w:lang w:val="en-US"/>
        </w:rPr>
        <w:t xml:space="preserve"> the Convention</w:t>
      </w:r>
      <w:r w:rsidR="00D606DA" w:rsidRPr="00D869E3">
        <w:rPr>
          <w:rFonts w:ascii="Verdana" w:hAnsi="Verdana"/>
          <w:sz w:val="20"/>
          <w:szCs w:val="20"/>
          <w:lang w:val="en-US"/>
        </w:rPr>
        <w:t xml:space="preserve"> are democratic and, in this regard, governed by </w:t>
      </w:r>
      <w:r w:rsidR="00D75CD1" w:rsidRPr="00D869E3">
        <w:rPr>
          <w:rFonts w:ascii="Verdana" w:hAnsi="Verdana"/>
          <w:sz w:val="20"/>
          <w:szCs w:val="20"/>
          <w:lang w:val="en-US"/>
        </w:rPr>
        <w:t>the Inter-American Democratic Charter</w:t>
      </w:r>
      <w:r w:rsidR="003C2143" w:rsidRPr="00D869E3">
        <w:rPr>
          <w:rFonts w:ascii="Verdana" w:hAnsi="Verdana"/>
          <w:sz w:val="20"/>
          <w:szCs w:val="20"/>
          <w:lang w:val="en-US"/>
        </w:rPr>
        <w:t xml:space="preserve"> </w:t>
      </w:r>
      <w:r w:rsidRPr="00D869E3">
        <w:rPr>
          <w:rFonts w:ascii="Verdana" w:hAnsi="Verdana"/>
          <w:sz w:val="20"/>
          <w:szCs w:val="20"/>
          <w:lang w:val="en-US"/>
        </w:rPr>
        <w:t>that</w:t>
      </w:r>
      <w:r w:rsidR="00D606DA" w:rsidRPr="00D869E3">
        <w:rPr>
          <w:rFonts w:ascii="Verdana" w:hAnsi="Verdana"/>
          <w:sz w:val="20"/>
          <w:szCs w:val="20"/>
          <w:lang w:val="en-US"/>
        </w:rPr>
        <w:t xml:space="preserve"> establishes the separation of powers and civic participation in public affairs,</w:t>
      </w:r>
      <w:r w:rsidR="003C2143" w:rsidRPr="00D869E3">
        <w:rPr>
          <w:rStyle w:val="Refdenotaalpie"/>
          <w:szCs w:val="20"/>
          <w:lang w:val="en-US"/>
        </w:rPr>
        <w:footnoteReference w:id="439"/>
      </w:r>
      <w:r w:rsidR="00D606DA" w:rsidRPr="00D869E3">
        <w:rPr>
          <w:rFonts w:ascii="Verdana" w:hAnsi="Verdana"/>
          <w:sz w:val="20"/>
          <w:szCs w:val="20"/>
          <w:lang w:val="en-US"/>
        </w:rPr>
        <w:t xml:space="preserve"> which should also be reflected in matters relating to the role of setting international legal standards, particularly those standards that concern the</w:t>
      </w:r>
      <w:r w:rsidRPr="00D869E3">
        <w:rPr>
          <w:rFonts w:ascii="Verdana" w:hAnsi="Verdana"/>
          <w:sz w:val="20"/>
          <w:szCs w:val="20"/>
          <w:lang w:val="en-US"/>
        </w:rPr>
        <w:t>m</w:t>
      </w:r>
      <w:r w:rsidR="00D606DA" w:rsidRPr="00D869E3">
        <w:rPr>
          <w:rFonts w:ascii="Verdana" w:hAnsi="Verdana"/>
          <w:sz w:val="20"/>
          <w:szCs w:val="20"/>
          <w:lang w:val="en-US"/>
        </w:rPr>
        <w:t xml:space="preserve"> mo</w:t>
      </w:r>
      <w:r w:rsidRPr="00D869E3">
        <w:rPr>
          <w:rFonts w:ascii="Verdana" w:hAnsi="Verdana"/>
          <w:sz w:val="20"/>
          <w:szCs w:val="20"/>
          <w:lang w:val="en-US"/>
        </w:rPr>
        <w:t>st</w:t>
      </w:r>
      <w:r w:rsidR="00D606DA" w:rsidRPr="00D869E3">
        <w:rPr>
          <w:rFonts w:ascii="Verdana" w:hAnsi="Verdana"/>
          <w:sz w:val="20"/>
          <w:szCs w:val="20"/>
          <w:lang w:val="en-US"/>
        </w:rPr>
        <w:t xml:space="preserve"> directly.</w:t>
      </w:r>
    </w:p>
    <w:p w14:paraId="7DCAA88F" w14:textId="77777777" w:rsidR="003C2143" w:rsidRPr="00D869E3" w:rsidRDefault="003C2143" w:rsidP="003C2143">
      <w:pPr>
        <w:jc w:val="both"/>
        <w:rPr>
          <w:rFonts w:ascii="Verdana" w:hAnsi="Verdana"/>
          <w:sz w:val="20"/>
          <w:szCs w:val="20"/>
          <w:lang w:val="en-US"/>
        </w:rPr>
      </w:pPr>
    </w:p>
    <w:p w14:paraId="62B1648B" w14:textId="080FA0EC" w:rsidR="003C2143" w:rsidRPr="00D869E3" w:rsidRDefault="00D606DA" w:rsidP="003C2143">
      <w:pPr>
        <w:jc w:val="both"/>
        <w:rPr>
          <w:rFonts w:ascii="Verdana" w:hAnsi="Verdana"/>
          <w:sz w:val="20"/>
          <w:szCs w:val="20"/>
          <w:lang w:val="en-US"/>
        </w:rPr>
      </w:pPr>
      <w:r w:rsidRPr="00D869E3">
        <w:rPr>
          <w:rFonts w:ascii="Verdana" w:hAnsi="Verdana"/>
          <w:sz w:val="20"/>
          <w:szCs w:val="20"/>
          <w:lang w:val="en-US"/>
        </w:rPr>
        <w:t>Finally, this opinion records my dis</w:t>
      </w:r>
      <w:r w:rsidR="00D13204" w:rsidRPr="00D869E3">
        <w:rPr>
          <w:rFonts w:ascii="Verdana" w:hAnsi="Verdana"/>
          <w:sz w:val="20"/>
          <w:szCs w:val="20"/>
          <w:lang w:val="en-US"/>
        </w:rPr>
        <w:t>crepancy with the fact</w:t>
      </w:r>
      <w:r w:rsidRPr="00D869E3">
        <w:rPr>
          <w:rFonts w:ascii="Verdana" w:hAnsi="Verdana"/>
          <w:sz w:val="20"/>
          <w:szCs w:val="20"/>
          <w:lang w:val="en-US"/>
        </w:rPr>
        <w:t xml:space="preserve"> that the judgment develops and </w:t>
      </w:r>
      <w:r w:rsidR="00D13204" w:rsidRPr="00D869E3">
        <w:rPr>
          <w:rFonts w:ascii="Verdana" w:hAnsi="Verdana"/>
          <w:sz w:val="20"/>
          <w:szCs w:val="20"/>
          <w:lang w:val="en-US"/>
        </w:rPr>
        <w:t>expresses</w:t>
      </w:r>
      <w:r w:rsidRPr="00D869E3">
        <w:rPr>
          <w:rFonts w:ascii="Verdana" w:hAnsi="Verdana"/>
          <w:sz w:val="20"/>
          <w:szCs w:val="20"/>
          <w:lang w:val="en-US"/>
        </w:rPr>
        <w:t xml:space="preserve">, for the first time, </w:t>
      </w:r>
      <w:r w:rsidR="006436CA" w:rsidRPr="00D869E3">
        <w:rPr>
          <w:rFonts w:ascii="Verdana" w:hAnsi="Verdana"/>
          <w:sz w:val="20"/>
          <w:szCs w:val="20"/>
          <w:lang w:val="en-US"/>
        </w:rPr>
        <w:t>“</w:t>
      </w:r>
      <w:r w:rsidR="00F062CF" w:rsidRPr="00D869E3">
        <w:rPr>
          <w:rFonts w:ascii="Verdana" w:hAnsi="Verdana"/>
          <w:i/>
          <w:sz w:val="20"/>
          <w:szCs w:val="20"/>
          <w:lang w:val="en-US"/>
        </w:rPr>
        <w:t>a specific condemnation</w:t>
      </w:r>
      <w:r w:rsidR="003C2143" w:rsidRPr="00D869E3">
        <w:rPr>
          <w:rFonts w:ascii="Verdana" w:hAnsi="Verdana"/>
          <w:i/>
          <w:sz w:val="20"/>
          <w:szCs w:val="20"/>
          <w:lang w:val="en-US"/>
        </w:rPr>
        <w:t xml:space="preserve"> </w:t>
      </w:r>
      <w:r w:rsidR="004A47FF" w:rsidRPr="00D869E3">
        <w:rPr>
          <w:rFonts w:ascii="Verdana" w:hAnsi="Verdana"/>
          <w:i/>
          <w:sz w:val="20"/>
          <w:szCs w:val="20"/>
          <w:lang w:val="en-US"/>
        </w:rPr>
        <w:t>for the violation</w:t>
      </w:r>
      <w:r w:rsidR="003C2143" w:rsidRPr="00D869E3">
        <w:rPr>
          <w:rFonts w:ascii="Verdana" w:hAnsi="Verdana"/>
          <w:i/>
          <w:sz w:val="20"/>
          <w:szCs w:val="20"/>
          <w:lang w:val="en-US"/>
        </w:rPr>
        <w:t xml:space="preserve"> </w:t>
      </w:r>
      <w:r w:rsidR="00687684" w:rsidRPr="00D869E3">
        <w:rPr>
          <w:rFonts w:ascii="Verdana" w:hAnsi="Verdana"/>
          <w:i/>
          <w:sz w:val="20"/>
          <w:szCs w:val="20"/>
          <w:lang w:val="en-US"/>
        </w:rPr>
        <w:t>of Article</w:t>
      </w:r>
      <w:r w:rsidR="003C2143" w:rsidRPr="00D869E3">
        <w:rPr>
          <w:rFonts w:ascii="Verdana" w:hAnsi="Verdana"/>
          <w:i/>
          <w:sz w:val="20"/>
          <w:szCs w:val="20"/>
          <w:lang w:val="en-US"/>
        </w:rPr>
        <w:t xml:space="preserve"> 26</w:t>
      </w:r>
      <w:r w:rsidR="00447C65" w:rsidRPr="00D869E3">
        <w:rPr>
          <w:rFonts w:ascii="Verdana" w:hAnsi="Verdana"/>
          <w:i/>
          <w:sz w:val="20"/>
          <w:szCs w:val="20"/>
          <w:lang w:val="en-US"/>
        </w:rPr>
        <w:t xml:space="preserve"> of the </w:t>
      </w:r>
      <w:r w:rsidR="00F062CF" w:rsidRPr="00D869E3">
        <w:rPr>
          <w:rFonts w:ascii="Verdana" w:hAnsi="Verdana"/>
          <w:i/>
          <w:sz w:val="20"/>
          <w:szCs w:val="20"/>
          <w:lang w:val="en-US"/>
        </w:rPr>
        <w:t xml:space="preserve">American </w:t>
      </w:r>
      <w:r w:rsidR="00447C65" w:rsidRPr="00D869E3">
        <w:rPr>
          <w:rFonts w:ascii="Verdana" w:hAnsi="Verdana"/>
          <w:i/>
          <w:sz w:val="20"/>
          <w:szCs w:val="20"/>
          <w:lang w:val="en-US"/>
        </w:rPr>
        <w:t>Convention</w:t>
      </w:r>
      <w:r w:rsidR="00F062CF" w:rsidRPr="00D869E3">
        <w:rPr>
          <w:rFonts w:ascii="Verdana" w:hAnsi="Verdana"/>
          <w:i/>
          <w:sz w:val="20"/>
          <w:szCs w:val="20"/>
          <w:lang w:val="en-US"/>
        </w:rPr>
        <w:t xml:space="preserve"> on Human Rights</w:t>
      </w:r>
      <w:r w:rsidR="003C2143" w:rsidRPr="00D869E3">
        <w:rPr>
          <w:rFonts w:ascii="Verdana" w:hAnsi="Verdana"/>
          <w:i/>
          <w:sz w:val="20"/>
          <w:szCs w:val="20"/>
          <w:lang w:val="en-US"/>
        </w:rPr>
        <w:t xml:space="preserve">, </w:t>
      </w:r>
      <w:r w:rsidR="00F062CF" w:rsidRPr="00D869E3">
        <w:rPr>
          <w:rFonts w:ascii="Verdana" w:hAnsi="Verdana"/>
          <w:i/>
          <w:sz w:val="20"/>
          <w:szCs w:val="20"/>
          <w:lang w:val="en-US"/>
        </w:rPr>
        <w:t>established in</w:t>
      </w:r>
      <w:r w:rsidR="003C2143" w:rsidRPr="00D869E3">
        <w:rPr>
          <w:rFonts w:ascii="Verdana" w:hAnsi="Verdana"/>
          <w:i/>
          <w:sz w:val="20"/>
          <w:szCs w:val="20"/>
          <w:lang w:val="en-US"/>
        </w:rPr>
        <w:t xml:space="preserve"> C</w:t>
      </w:r>
      <w:r w:rsidR="004A47FF" w:rsidRPr="00D869E3">
        <w:rPr>
          <w:rFonts w:ascii="Verdana" w:hAnsi="Verdana"/>
          <w:i/>
          <w:sz w:val="20"/>
          <w:szCs w:val="20"/>
          <w:lang w:val="en-US"/>
        </w:rPr>
        <w:t>hapter</w:t>
      </w:r>
      <w:r w:rsidR="003C2143" w:rsidRPr="00D869E3">
        <w:rPr>
          <w:rFonts w:ascii="Verdana" w:hAnsi="Verdana"/>
          <w:i/>
          <w:sz w:val="20"/>
          <w:szCs w:val="20"/>
          <w:lang w:val="en-US"/>
        </w:rPr>
        <w:t xml:space="preserve"> III </w:t>
      </w:r>
      <w:r w:rsidR="00F062CF" w:rsidRPr="00D869E3">
        <w:rPr>
          <w:rFonts w:ascii="Verdana" w:hAnsi="Verdana"/>
          <w:i/>
          <w:sz w:val="20"/>
          <w:szCs w:val="20"/>
          <w:lang w:val="en-US"/>
        </w:rPr>
        <w:t xml:space="preserve">of this treaty, </w:t>
      </w:r>
      <w:r w:rsidR="004A47FF" w:rsidRPr="00D869E3">
        <w:rPr>
          <w:rFonts w:ascii="Verdana" w:hAnsi="Verdana"/>
          <w:i/>
          <w:sz w:val="20"/>
          <w:szCs w:val="20"/>
          <w:lang w:val="en-US"/>
        </w:rPr>
        <w:t>entitled Economic, Social and Cultural Rights.</w:t>
      </w:r>
      <w:r w:rsidR="006436CA" w:rsidRPr="00D869E3">
        <w:rPr>
          <w:rFonts w:ascii="Verdana" w:hAnsi="Verdana"/>
          <w:sz w:val="20"/>
          <w:szCs w:val="20"/>
          <w:lang w:val="en-US"/>
        </w:rPr>
        <w:t>”</w:t>
      </w:r>
      <w:r w:rsidR="003C2143" w:rsidRPr="00D869E3">
        <w:rPr>
          <w:rStyle w:val="Refdenotaalpie"/>
          <w:szCs w:val="20"/>
          <w:lang w:val="en-US"/>
        </w:rPr>
        <w:footnoteReference w:id="440"/>
      </w:r>
      <w:r w:rsidR="003C2143" w:rsidRPr="00D869E3">
        <w:rPr>
          <w:rFonts w:ascii="Verdana" w:hAnsi="Verdana"/>
          <w:sz w:val="20"/>
          <w:szCs w:val="20"/>
          <w:lang w:val="en-US"/>
        </w:rPr>
        <w:t xml:space="preserve"> </w:t>
      </w:r>
    </w:p>
    <w:p w14:paraId="4A6B063B" w14:textId="77777777" w:rsidR="003C2143" w:rsidRPr="00D869E3" w:rsidRDefault="003C2143" w:rsidP="003C2143">
      <w:pPr>
        <w:jc w:val="both"/>
        <w:rPr>
          <w:rFonts w:ascii="Verdana" w:hAnsi="Verdana"/>
          <w:sz w:val="20"/>
          <w:szCs w:val="20"/>
          <w:lang w:val="en-US"/>
        </w:rPr>
      </w:pPr>
    </w:p>
    <w:p w14:paraId="06DAE831" w14:textId="5F215481" w:rsidR="003C2143" w:rsidRPr="00D869E3" w:rsidRDefault="00D606DA" w:rsidP="003C2143">
      <w:pPr>
        <w:jc w:val="both"/>
        <w:rPr>
          <w:rFonts w:ascii="Verdana" w:hAnsi="Verdana"/>
          <w:sz w:val="20"/>
          <w:szCs w:val="20"/>
          <w:lang w:val="en-US"/>
        </w:rPr>
      </w:pPr>
      <w:r w:rsidRPr="00D869E3">
        <w:rPr>
          <w:rFonts w:ascii="Verdana" w:hAnsi="Verdana"/>
          <w:sz w:val="20"/>
          <w:szCs w:val="20"/>
          <w:lang w:val="en-US"/>
        </w:rPr>
        <w:t>And this is so, also, based</w:t>
      </w:r>
      <w:r w:rsidR="00D13204" w:rsidRPr="00D869E3">
        <w:rPr>
          <w:rFonts w:ascii="Verdana" w:hAnsi="Verdana"/>
          <w:sz w:val="20"/>
          <w:szCs w:val="20"/>
          <w:lang w:val="en-US"/>
        </w:rPr>
        <w:t xml:space="preserve"> not only</w:t>
      </w:r>
      <w:r w:rsidRPr="00D869E3">
        <w:rPr>
          <w:rFonts w:ascii="Verdana" w:hAnsi="Verdana"/>
          <w:sz w:val="20"/>
          <w:szCs w:val="20"/>
          <w:lang w:val="en-US"/>
        </w:rPr>
        <w:t xml:space="preserve"> on the negative consequences that this decision could have, but also because it appears </w:t>
      </w:r>
      <w:r w:rsidR="006C70C5" w:rsidRPr="00D869E3">
        <w:rPr>
          <w:rFonts w:ascii="Verdana" w:hAnsi="Verdana"/>
          <w:sz w:val="20"/>
          <w:szCs w:val="20"/>
          <w:lang w:val="en-US"/>
        </w:rPr>
        <w:t xml:space="preserve">that it does </w:t>
      </w:r>
      <w:r w:rsidRPr="00D869E3">
        <w:rPr>
          <w:rFonts w:ascii="Verdana" w:hAnsi="Verdana"/>
          <w:sz w:val="20"/>
          <w:szCs w:val="20"/>
          <w:lang w:val="en-US"/>
        </w:rPr>
        <w:t xml:space="preserve">not to take into consideration the circumstance that the </w:t>
      </w:r>
      <w:r w:rsidRPr="00D869E3">
        <w:rPr>
          <w:rFonts w:ascii="Verdana" w:hAnsi="Verdana"/>
          <w:sz w:val="20"/>
          <w:szCs w:val="20"/>
          <w:lang w:val="en-US"/>
        </w:rPr>
        <w:lastRenderedPageBreak/>
        <w:t>sphere of the domestic jurisdiction, or the jurisdiction that is exclusive to the State</w:t>
      </w:r>
      <w:r w:rsidRPr="00D869E3">
        <w:rPr>
          <w:rStyle w:val="Refdenotaalpie"/>
          <w:szCs w:val="20"/>
          <w:lang w:val="en-US"/>
        </w:rPr>
        <w:footnoteReference w:id="441"/>
      </w:r>
      <w:r w:rsidRPr="00D869E3">
        <w:rPr>
          <w:rFonts w:ascii="Verdana" w:hAnsi="Verdana"/>
          <w:sz w:val="20"/>
          <w:szCs w:val="20"/>
          <w:lang w:val="en-US"/>
        </w:rPr>
        <w:t xml:space="preserve"> - also known as the margin of discretion</w:t>
      </w:r>
      <w:r w:rsidR="00D1793F" w:rsidRPr="00D869E3">
        <w:rPr>
          <w:rStyle w:val="Refdenotaalpie"/>
          <w:szCs w:val="20"/>
          <w:lang w:val="en-US"/>
        </w:rPr>
        <w:footnoteReference w:id="442"/>
      </w:r>
      <w:r w:rsidRPr="00D869E3">
        <w:rPr>
          <w:rFonts w:ascii="Verdana" w:hAnsi="Verdana"/>
          <w:sz w:val="20"/>
          <w:szCs w:val="20"/>
          <w:lang w:val="en-US"/>
        </w:rPr>
        <w:t xml:space="preserve"> </w:t>
      </w:r>
      <w:r w:rsidR="00D1793F" w:rsidRPr="00D869E3">
        <w:rPr>
          <w:rFonts w:ascii="Verdana" w:hAnsi="Verdana"/>
          <w:sz w:val="20"/>
          <w:szCs w:val="20"/>
          <w:lang w:val="en-US"/>
        </w:rPr>
        <w:t>–</w:t>
      </w:r>
      <w:r w:rsidRPr="00D869E3">
        <w:rPr>
          <w:rFonts w:ascii="Verdana" w:hAnsi="Verdana"/>
          <w:sz w:val="20"/>
          <w:szCs w:val="20"/>
          <w:lang w:val="en-US"/>
        </w:rPr>
        <w:t xml:space="preserve"> </w:t>
      </w:r>
      <w:r w:rsidR="00D1793F" w:rsidRPr="00D869E3">
        <w:rPr>
          <w:rFonts w:ascii="Verdana" w:hAnsi="Verdana"/>
          <w:sz w:val="20"/>
          <w:szCs w:val="20"/>
          <w:lang w:val="en-US"/>
        </w:rPr>
        <w:t>still exists, although to a lesser extent tha</w:t>
      </w:r>
      <w:r w:rsidR="006C70C5" w:rsidRPr="00D869E3">
        <w:rPr>
          <w:rFonts w:ascii="Verdana" w:hAnsi="Verdana"/>
          <w:sz w:val="20"/>
          <w:szCs w:val="20"/>
          <w:lang w:val="en-US"/>
        </w:rPr>
        <w:t>n</w:t>
      </w:r>
      <w:r w:rsidR="00D1793F" w:rsidRPr="00D869E3">
        <w:rPr>
          <w:rFonts w:ascii="Verdana" w:hAnsi="Verdana"/>
          <w:sz w:val="20"/>
          <w:szCs w:val="20"/>
          <w:lang w:val="en-US"/>
        </w:rPr>
        <w:t xml:space="preserve"> in the past</w:t>
      </w:r>
      <w:r w:rsidR="00A049AE" w:rsidRPr="00D869E3">
        <w:rPr>
          <w:rFonts w:ascii="Verdana" w:hAnsi="Verdana"/>
          <w:sz w:val="20"/>
          <w:szCs w:val="20"/>
          <w:lang w:val="en-US"/>
        </w:rPr>
        <w:t>.</w:t>
      </w:r>
      <w:r w:rsidR="006C70C5" w:rsidRPr="00D869E3">
        <w:rPr>
          <w:rFonts w:ascii="Verdana" w:hAnsi="Verdana"/>
          <w:sz w:val="20"/>
          <w:szCs w:val="20"/>
          <w:lang w:val="en-US"/>
        </w:rPr>
        <w:t xml:space="preserve"> </w:t>
      </w:r>
      <w:r w:rsidR="00A049AE" w:rsidRPr="00D869E3">
        <w:rPr>
          <w:rFonts w:ascii="Verdana" w:hAnsi="Verdana"/>
          <w:sz w:val="20"/>
          <w:szCs w:val="20"/>
          <w:lang w:val="en-US"/>
        </w:rPr>
        <w:t>And this</w:t>
      </w:r>
      <w:r w:rsidR="006C70C5" w:rsidRPr="00D869E3">
        <w:rPr>
          <w:rFonts w:ascii="Verdana" w:hAnsi="Verdana"/>
          <w:sz w:val="20"/>
          <w:szCs w:val="20"/>
          <w:lang w:val="en-US"/>
        </w:rPr>
        <w:t xml:space="preserve"> </w:t>
      </w:r>
      <w:r w:rsidR="00A049AE" w:rsidRPr="00D869E3">
        <w:rPr>
          <w:rFonts w:ascii="Verdana" w:hAnsi="Verdana"/>
          <w:sz w:val="20"/>
          <w:szCs w:val="20"/>
          <w:lang w:val="en-US"/>
        </w:rPr>
        <w:t>shows</w:t>
      </w:r>
      <w:r w:rsidR="00D1793F" w:rsidRPr="00D869E3">
        <w:rPr>
          <w:rFonts w:ascii="Verdana" w:hAnsi="Verdana"/>
          <w:sz w:val="20"/>
          <w:szCs w:val="20"/>
          <w:lang w:val="en-US"/>
        </w:rPr>
        <w:t xml:space="preserve"> that not everything is re</w:t>
      </w:r>
      <w:r w:rsidR="006C70C5" w:rsidRPr="00D869E3">
        <w:rPr>
          <w:rFonts w:ascii="Verdana" w:hAnsi="Verdana"/>
          <w:sz w:val="20"/>
          <w:szCs w:val="20"/>
          <w:lang w:val="en-US"/>
        </w:rPr>
        <w:t>gulated</w:t>
      </w:r>
      <w:r w:rsidR="00D1793F" w:rsidRPr="00D869E3">
        <w:rPr>
          <w:rFonts w:ascii="Verdana" w:hAnsi="Verdana"/>
          <w:sz w:val="20"/>
          <w:szCs w:val="20"/>
          <w:lang w:val="en-US"/>
        </w:rPr>
        <w:t xml:space="preserve"> by international law</w:t>
      </w:r>
      <w:r w:rsidR="00A049AE" w:rsidRPr="00D869E3">
        <w:rPr>
          <w:rFonts w:ascii="Verdana" w:hAnsi="Verdana"/>
          <w:sz w:val="20"/>
          <w:szCs w:val="20"/>
          <w:lang w:val="en-US"/>
        </w:rPr>
        <w:t>, a</w:t>
      </w:r>
      <w:r w:rsidR="00D1793F" w:rsidRPr="00D869E3">
        <w:rPr>
          <w:rFonts w:ascii="Verdana" w:hAnsi="Verdana"/>
          <w:sz w:val="20"/>
          <w:szCs w:val="20"/>
          <w:lang w:val="en-US"/>
        </w:rPr>
        <w:t xml:space="preserve">nd </w:t>
      </w:r>
      <w:r w:rsidR="006C70C5" w:rsidRPr="00D869E3">
        <w:rPr>
          <w:rFonts w:ascii="Verdana" w:hAnsi="Verdana"/>
          <w:sz w:val="20"/>
          <w:szCs w:val="20"/>
          <w:lang w:val="en-US"/>
        </w:rPr>
        <w:t>in the case of</w:t>
      </w:r>
      <w:r w:rsidR="00D1793F" w:rsidRPr="00D869E3">
        <w:rPr>
          <w:rFonts w:ascii="Verdana" w:hAnsi="Verdana"/>
          <w:sz w:val="20"/>
          <w:szCs w:val="20"/>
          <w:lang w:val="en-US"/>
        </w:rPr>
        <w:t xml:space="preserve"> the Convention,</w:t>
      </w:r>
      <w:r w:rsidR="00A049AE" w:rsidRPr="00D869E3">
        <w:rPr>
          <w:rFonts w:ascii="Verdana" w:hAnsi="Verdana"/>
          <w:sz w:val="20"/>
          <w:szCs w:val="20"/>
          <w:lang w:val="en-US"/>
        </w:rPr>
        <w:t xml:space="preserve"> it</w:t>
      </w:r>
      <w:r w:rsidR="006C70C5" w:rsidRPr="00D869E3">
        <w:rPr>
          <w:rFonts w:ascii="Verdana" w:hAnsi="Verdana"/>
          <w:sz w:val="20"/>
          <w:szCs w:val="20"/>
          <w:lang w:val="en-US"/>
        </w:rPr>
        <w:t xml:space="preserve"> </w:t>
      </w:r>
      <w:r w:rsidR="00D1793F" w:rsidRPr="00D869E3">
        <w:rPr>
          <w:rFonts w:ascii="Verdana" w:hAnsi="Verdana"/>
          <w:sz w:val="20"/>
          <w:szCs w:val="20"/>
          <w:lang w:val="en-US"/>
        </w:rPr>
        <w:t>is express</w:t>
      </w:r>
      <w:r w:rsidR="006C70C5" w:rsidRPr="00D869E3">
        <w:rPr>
          <w:rFonts w:ascii="Verdana" w:hAnsi="Verdana"/>
          <w:sz w:val="20"/>
          <w:szCs w:val="20"/>
          <w:lang w:val="en-US"/>
        </w:rPr>
        <w:t>ed</w:t>
      </w:r>
      <w:r w:rsidR="00D1793F" w:rsidRPr="00D869E3">
        <w:rPr>
          <w:rFonts w:ascii="Verdana" w:hAnsi="Verdana"/>
          <w:sz w:val="20"/>
          <w:szCs w:val="20"/>
          <w:lang w:val="en-US"/>
        </w:rPr>
        <w:t>,</w:t>
      </w:r>
      <w:r w:rsidR="00A049AE" w:rsidRPr="00D869E3">
        <w:rPr>
          <w:rFonts w:ascii="Verdana" w:hAnsi="Verdana"/>
          <w:sz w:val="20"/>
          <w:szCs w:val="20"/>
          <w:lang w:val="en-US"/>
        </w:rPr>
        <w:t xml:space="preserve"> </w:t>
      </w:r>
      <w:r w:rsidR="00A049AE" w:rsidRPr="00D869E3">
        <w:rPr>
          <w:rFonts w:ascii="Verdana" w:hAnsi="Verdana"/>
          <w:i/>
          <w:iCs/>
          <w:sz w:val="20"/>
          <w:szCs w:val="20"/>
          <w:lang w:val="en-US"/>
        </w:rPr>
        <w:t>inter alia</w:t>
      </w:r>
      <w:r w:rsidR="00A049AE" w:rsidRPr="00D869E3">
        <w:rPr>
          <w:rFonts w:ascii="Verdana" w:hAnsi="Verdana"/>
          <w:sz w:val="20"/>
          <w:szCs w:val="20"/>
          <w:lang w:val="en-US"/>
        </w:rPr>
        <w:t>,</w:t>
      </w:r>
      <w:r w:rsidR="00D1793F" w:rsidRPr="00D869E3">
        <w:rPr>
          <w:rFonts w:ascii="Verdana" w:hAnsi="Verdana"/>
          <w:sz w:val="20"/>
          <w:szCs w:val="20"/>
          <w:lang w:val="en-US"/>
        </w:rPr>
        <w:t xml:space="preserve"> both in the </w:t>
      </w:r>
      <w:r w:rsidR="006C70C5" w:rsidRPr="00D869E3">
        <w:rPr>
          <w:rFonts w:ascii="Verdana" w:hAnsi="Verdana"/>
          <w:sz w:val="20"/>
          <w:szCs w:val="20"/>
          <w:lang w:val="en-US"/>
        </w:rPr>
        <w:t>provision</w:t>
      </w:r>
      <w:r w:rsidR="00D1793F" w:rsidRPr="00D869E3">
        <w:rPr>
          <w:rFonts w:ascii="Verdana" w:hAnsi="Verdana"/>
          <w:sz w:val="20"/>
          <w:szCs w:val="20"/>
          <w:lang w:val="en-US"/>
        </w:rPr>
        <w:t xml:space="preserve"> that establishes that it is the State Party in the respective case that must </w:t>
      </w:r>
      <w:r w:rsidR="00A049AE" w:rsidRPr="00D869E3">
        <w:rPr>
          <w:rFonts w:ascii="Verdana" w:hAnsi="Verdana"/>
          <w:sz w:val="20"/>
          <w:szCs w:val="20"/>
          <w:lang w:val="en-US"/>
        </w:rPr>
        <w:t>comply with</w:t>
      </w:r>
      <w:r w:rsidR="00D1793F" w:rsidRPr="00D869E3">
        <w:rPr>
          <w:rFonts w:ascii="Verdana" w:hAnsi="Verdana"/>
          <w:sz w:val="20"/>
          <w:szCs w:val="20"/>
          <w:lang w:val="en-US"/>
        </w:rPr>
        <w:t xml:space="preserve"> the corresponding judgment</w:t>
      </w:r>
      <w:r w:rsidR="00A049AE" w:rsidRPr="00D869E3">
        <w:rPr>
          <w:rFonts w:ascii="Verdana" w:hAnsi="Verdana"/>
          <w:sz w:val="20"/>
          <w:szCs w:val="20"/>
          <w:lang w:val="en-US"/>
        </w:rPr>
        <w:t>,</w:t>
      </w:r>
      <w:r w:rsidR="003C2143" w:rsidRPr="00D869E3">
        <w:rPr>
          <w:rStyle w:val="Refdenotaalpie"/>
          <w:szCs w:val="20"/>
          <w:lang w:val="en-US"/>
        </w:rPr>
        <w:footnoteReference w:id="443"/>
      </w:r>
      <w:r w:rsidR="00D1793F" w:rsidRPr="00D869E3">
        <w:rPr>
          <w:rFonts w:ascii="Verdana" w:hAnsi="Verdana"/>
          <w:sz w:val="20"/>
          <w:szCs w:val="20"/>
          <w:lang w:val="en-US"/>
        </w:rPr>
        <w:t xml:space="preserve"> and in its</w:t>
      </w:r>
      <w:r w:rsidR="003C2143" w:rsidRPr="00D869E3">
        <w:rPr>
          <w:rFonts w:ascii="Verdana" w:hAnsi="Verdana"/>
          <w:sz w:val="20"/>
          <w:szCs w:val="20"/>
          <w:lang w:val="en-US"/>
        </w:rPr>
        <w:t xml:space="preserve"> </w:t>
      </w:r>
      <w:r w:rsidR="00447C65" w:rsidRPr="00D869E3">
        <w:rPr>
          <w:rFonts w:ascii="Verdana" w:hAnsi="Verdana"/>
          <w:sz w:val="20"/>
          <w:szCs w:val="20"/>
          <w:lang w:val="en-US"/>
        </w:rPr>
        <w:t>Article</w:t>
      </w:r>
      <w:r w:rsidR="003C2143" w:rsidRPr="00D869E3">
        <w:rPr>
          <w:rFonts w:ascii="Verdana" w:hAnsi="Verdana"/>
          <w:sz w:val="20"/>
          <w:szCs w:val="20"/>
          <w:lang w:val="en-US"/>
        </w:rPr>
        <w:t xml:space="preserve"> 26, </w:t>
      </w:r>
      <w:r w:rsidR="00D1793F" w:rsidRPr="00D869E3">
        <w:rPr>
          <w:rFonts w:ascii="Verdana" w:hAnsi="Verdana"/>
          <w:sz w:val="20"/>
          <w:szCs w:val="20"/>
          <w:lang w:val="en-US"/>
        </w:rPr>
        <w:t>which leaves the prosecution of violations of the</w:t>
      </w:r>
      <w:r w:rsidR="003C2143" w:rsidRPr="00D869E3">
        <w:rPr>
          <w:rFonts w:ascii="Verdana" w:hAnsi="Verdana"/>
          <w:sz w:val="20"/>
          <w:szCs w:val="20"/>
          <w:lang w:val="en-US"/>
        </w:rPr>
        <w:t xml:space="preserve"> </w:t>
      </w:r>
      <w:r w:rsidR="00ED3FC7" w:rsidRPr="00D869E3">
        <w:rPr>
          <w:rFonts w:ascii="Verdana" w:hAnsi="Verdana"/>
          <w:sz w:val="20"/>
          <w:szCs w:val="20"/>
          <w:lang w:val="en-US"/>
        </w:rPr>
        <w:t>economic, social and cultural rights</w:t>
      </w:r>
      <w:r w:rsidR="006C70C5" w:rsidRPr="00D869E3">
        <w:rPr>
          <w:rFonts w:ascii="Verdana" w:hAnsi="Verdana"/>
          <w:sz w:val="20"/>
          <w:szCs w:val="20"/>
          <w:lang w:val="en-US"/>
        </w:rPr>
        <w:t xml:space="preserve"> to the said sphere</w:t>
      </w:r>
      <w:r w:rsidR="003C2143" w:rsidRPr="00D869E3">
        <w:rPr>
          <w:rFonts w:ascii="Verdana" w:hAnsi="Verdana"/>
          <w:sz w:val="20"/>
          <w:szCs w:val="20"/>
          <w:lang w:val="en-US"/>
        </w:rPr>
        <w:t>.</w:t>
      </w:r>
    </w:p>
    <w:p w14:paraId="170A62B7" w14:textId="77777777" w:rsidR="003C2143" w:rsidRPr="00D869E3" w:rsidRDefault="003C2143" w:rsidP="003C2143">
      <w:pPr>
        <w:jc w:val="both"/>
        <w:rPr>
          <w:rFonts w:ascii="Verdana" w:hAnsi="Verdana"/>
          <w:sz w:val="20"/>
          <w:szCs w:val="20"/>
          <w:lang w:val="en-US"/>
        </w:rPr>
      </w:pPr>
    </w:p>
    <w:p w14:paraId="0479C1D4" w14:textId="77777777" w:rsidR="003C2143" w:rsidRPr="00D869E3" w:rsidRDefault="003C2143" w:rsidP="003C2143">
      <w:pPr>
        <w:jc w:val="right"/>
        <w:rPr>
          <w:rFonts w:ascii="Verdana" w:hAnsi="Verdana"/>
          <w:sz w:val="20"/>
          <w:szCs w:val="20"/>
          <w:lang w:val="en-US"/>
        </w:rPr>
      </w:pPr>
    </w:p>
    <w:p w14:paraId="321759DF" w14:textId="77777777" w:rsidR="003C2143" w:rsidRPr="00D869E3" w:rsidRDefault="003C2143" w:rsidP="00390E29">
      <w:pPr>
        <w:rPr>
          <w:rFonts w:ascii="Verdana" w:hAnsi="Verdana"/>
          <w:sz w:val="20"/>
          <w:szCs w:val="20"/>
          <w:lang w:val="en-US"/>
        </w:rPr>
      </w:pPr>
    </w:p>
    <w:p w14:paraId="44DF7B48" w14:textId="77777777" w:rsidR="003C2143" w:rsidRPr="00D869E3" w:rsidRDefault="003C2143" w:rsidP="003C2143">
      <w:pPr>
        <w:rPr>
          <w:rFonts w:ascii="Verdana" w:hAnsi="Verdana"/>
          <w:sz w:val="20"/>
          <w:szCs w:val="20"/>
          <w:lang w:val="en-US"/>
        </w:rPr>
      </w:pPr>
    </w:p>
    <w:p w14:paraId="4C8946A2" w14:textId="77777777" w:rsidR="003C2143" w:rsidRPr="00D869E3" w:rsidRDefault="003C2143" w:rsidP="003C2143">
      <w:pPr>
        <w:ind w:right="18"/>
        <w:jc w:val="right"/>
        <w:rPr>
          <w:rFonts w:ascii="Verdana" w:hAnsi="Verdana"/>
          <w:sz w:val="20"/>
          <w:szCs w:val="20"/>
          <w:lang w:val="es-CR"/>
        </w:rPr>
      </w:pPr>
      <w:r w:rsidRPr="00D869E3">
        <w:rPr>
          <w:rFonts w:ascii="Verdana" w:hAnsi="Verdana"/>
          <w:sz w:val="20"/>
          <w:szCs w:val="20"/>
          <w:lang w:val="es-CR"/>
        </w:rPr>
        <w:t>Eduardo Vio Grossi</w:t>
      </w:r>
    </w:p>
    <w:p w14:paraId="496787A6" w14:textId="469543C8" w:rsidR="003C2143" w:rsidRPr="00D869E3" w:rsidRDefault="00447C65" w:rsidP="003C2143">
      <w:pPr>
        <w:ind w:right="738"/>
        <w:jc w:val="right"/>
        <w:rPr>
          <w:rFonts w:ascii="Verdana" w:hAnsi="Verdana"/>
          <w:sz w:val="20"/>
          <w:szCs w:val="20"/>
          <w:lang w:val="es-CR"/>
        </w:rPr>
      </w:pPr>
      <w:proofErr w:type="spellStart"/>
      <w:r w:rsidRPr="00D869E3">
        <w:rPr>
          <w:rFonts w:ascii="Verdana" w:hAnsi="Verdana"/>
          <w:sz w:val="20"/>
          <w:szCs w:val="20"/>
          <w:lang w:val="es-CR"/>
        </w:rPr>
        <w:t>Judge</w:t>
      </w:r>
      <w:proofErr w:type="spellEnd"/>
    </w:p>
    <w:p w14:paraId="23CBBA22" w14:textId="77777777" w:rsidR="003C2143" w:rsidRPr="00D869E3" w:rsidRDefault="003C2143" w:rsidP="003C2143">
      <w:pPr>
        <w:jc w:val="right"/>
        <w:rPr>
          <w:rFonts w:ascii="Verdana" w:hAnsi="Verdana"/>
          <w:sz w:val="20"/>
          <w:szCs w:val="20"/>
          <w:lang w:val="es-CR"/>
        </w:rPr>
      </w:pPr>
    </w:p>
    <w:p w14:paraId="10FD78BF" w14:textId="77777777" w:rsidR="003C2143" w:rsidRPr="00D869E3" w:rsidRDefault="003C2143" w:rsidP="003C2143">
      <w:pPr>
        <w:rPr>
          <w:rFonts w:ascii="Verdana" w:hAnsi="Verdana"/>
          <w:b/>
          <w:sz w:val="20"/>
          <w:szCs w:val="20"/>
          <w:lang w:val="es-CR"/>
        </w:rPr>
      </w:pPr>
    </w:p>
    <w:p w14:paraId="670E047C" w14:textId="77777777" w:rsidR="003C2143" w:rsidRPr="00D869E3" w:rsidRDefault="003C2143" w:rsidP="003C2143">
      <w:pPr>
        <w:rPr>
          <w:rFonts w:ascii="Verdana" w:hAnsi="Verdana"/>
          <w:b/>
          <w:sz w:val="20"/>
          <w:szCs w:val="20"/>
          <w:lang w:val="es-CR"/>
        </w:rPr>
      </w:pPr>
    </w:p>
    <w:p w14:paraId="1FCF05BB" w14:textId="77777777" w:rsidR="003C2143" w:rsidRPr="00D869E3" w:rsidRDefault="003C2143" w:rsidP="003C2143">
      <w:pPr>
        <w:rPr>
          <w:rFonts w:ascii="Verdana" w:hAnsi="Verdana"/>
          <w:sz w:val="20"/>
          <w:szCs w:val="20"/>
          <w:lang w:val="es-CR"/>
        </w:rPr>
      </w:pPr>
      <w:r w:rsidRPr="00D869E3">
        <w:rPr>
          <w:rFonts w:ascii="Verdana" w:hAnsi="Verdana"/>
          <w:sz w:val="20"/>
          <w:szCs w:val="20"/>
          <w:lang w:val="es-CR"/>
        </w:rPr>
        <w:t>Pablo Saavedra Alessandri</w:t>
      </w:r>
    </w:p>
    <w:p w14:paraId="641B9400" w14:textId="2DDBE422" w:rsidR="003C2143" w:rsidRPr="00D869E3" w:rsidRDefault="003C2143" w:rsidP="003C2143">
      <w:pPr>
        <w:ind w:firstLine="720"/>
        <w:rPr>
          <w:rFonts w:ascii="Verdana" w:hAnsi="Verdana"/>
          <w:sz w:val="20"/>
          <w:szCs w:val="20"/>
          <w:lang w:val="en-US"/>
        </w:rPr>
      </w:pPr>
      <w:r w:rsidRPr="00D869E3">
        <w:rPr>
          <w:rFonts w:ascii="Verdana" w:hAnsi="Verdana"/>
          <w:sz w:val="20"/>
          <w:szCs w:val="20"/>
          <w:lang w:val="es-CR"/>
        </w:rPr>
        <w:t xml:space="preserve">  </w:t>
      </w:r>
      <w:r w:rsidRPr="00D869E3">
        <w:rPr>
          <w:rFonts w:ascii="Verdana" w:hAnsi="Verdana"/>
          <w:sz w:val="20"/>
          <w:szCs w:val="20"/>
          <w:lang w:val="en-US"/>
        </w:rPr>
        <w:t>Secretar</w:t>
      </w:r>
      <w:r w:rsidR="00003343" w:rsidRPr="00D869E3">
        <w:rPr>
          <w:rFonts w:ascii="Verdana" w:hAnsi="Verdana"/>
          <w:sz w:val="20"/>
          <w:szCs w:val="20"/>
          <w:lang w:val="en-US"/>
        </w:rPr>
        <w:t>y</w:t>
      </w:r>
    </w:p>
    <w:p w14:paraId="11099F44" w14:textId="77777777" w:rsidR="003C2143" w:rsidRPr="00D869E3" w:rsidRDefault="003C2143" w:rsidP="003C2143">
      <w:pPr>
        <w:rPr>
          <w:rFonts w:ascii="Verdana" w:hAnsi="Verdana"/>
          <w:sz w:val="20"/>
          <w:szCs w:val="20"/>
          <w:lang w:val="en-US"/>
        </w:rPr>
      </w:pPr>
    </w:p>
    <w:p w14:paraId="41B8A820" w14:textId="77777777" w:rsidR="00E70701" w:rsidRPr="00D869E3" w:rsidRDefault="00E70701" w:rsidP="00324758">
      <w:pPr>
        <w:pStyle w:val="Prrafodelista"/>
        <w:widowControl w:val="0"/>
        <w:tabs>
          <w:tab w:val="center" w:pos="567"/>
        </w:tabs>
        <w:autoSpaceDE w:val="0"/>
        <w:autoSpaceDN w:val="0"/>
        <w:adjustRightInd w:val="0"/>
        <w:ind w:left="0" w:right="-90"/>
        <w:jc w:val="both"/>
        <w:rPr>
          <w:rFonts w:ascii="Verdana" w:hAnsi="Verdana"/>
          <w:sz w:val="20"/>
          <w:szCs w:val="20"/>
          <w:lang w:val="en-US"/>
        </w:rPr>
        <w:sectPr w:rsidR="00E70701" w:rsidRPr="00D869E3" w:rsidSect="00F83E8F">
          <w:footnotePr>
            <w:numRestart w:val="eachSect"/>
          </w:footnotePr>
          <w:pgSz w:w="12240" w:h="15840" w:code="1"/>
          <w:pgMar w:top="1247" w:right="1247" w:bottom="1247" w:left="1247" w:header="709" w:footer="709" w:gutter="0"/>
          <w:pgNumType w:start="1"/>
          <w:cols w:space="708"/>
          <w:titlePg/>
          <w:docGrid w:linePitch="360"/>
        </w:sectPr>
      </w:pPr>
    </w:p>
    <w:p w14:paraId="73C0FB23" w14:textId="77777777" w:rsidR="00E70701" w:rsidRPr="00D869E3" w:rsidRDefault="00E70701" w:rsidP="00C44F79">
      <w:pPr>
        <w:tabs>
          <w:tab w:val="left" w:pos="709"/>
        </w:tabs>
        <w:jc w:val="center"/>
        <w:rPr>
          <w:rFonts w:ascii="Verdana" w:hAnsi="Verdana"/>
          <w:b/>
          <w:sz w:val="20"/>
          <w:szCs w:val="20"/>
          <w:lang w:val="en-US"/>
        </w:rPr>
      </w:pPr>
    </w:p>
    <w:p w14:paraId="4D6F6F91" w14:textId="419854DB" w:rsidR="00E70701" w:rsidRPr="00D869E3" w:rsidRDefault="00075E68" w:rsidP="00075E68">
      <w:pPr>
        <w:tabs>
          <w:tab w:val="left" w:pos="709"/>
        </w:tabs>
        <w:jc w:val="center"/>
        <w:rPr>
          <w:rFonts w:ascii="Verdana" w:hAnsi="Verdana"/>
          <w:b/>
          <w:sz w:val="20"/>
          <w:szCs w:val="20"/>
          <w:lang w:val="en-US"/>
        </w:rPr>
      </w:pPr>
      <w:r w:rsidRPr="00D869E3">
        <w:rPr>
          <w:rFonts w:ascii="Verdana" w:hAnsi="Verdana"/>
          <w:b/>
          <w:sz w:val="20"/>
          <w:szCs w:val="20"/>
          <w:lang w:val="en-US"/>
        </w:rPr>
        <w:t>PARTIALLY DISSENTING OPINION OF</w:t>
      </w:r>
    </w:p>
    <w:p w14:paraId="4717DF46" w14:textId="16041D7F" w:rsidR="00E70701" w:rsidRPr="00D869E3" w:rsidRDefault="00E70701" w:rsidP="00C44F79">
      <w:pPr>
        <w:tabs>
          <w:tab w:val="left" w:pos="709"/>
        </w:tabs>
        <w:jc w:val="center"/>
        <w:rPr>
          <w:rFonts w:ascii="Verdana" w:hAnsi="Verdana"/>
          <w:b/>
          <w:sz w:val="20"/>
          <w:szCs w:val="20"/>
          <w:lang w:val="en-US"/>
        </w:rPr>
      </w:pPr>
      <w:r w:rsidRPr="00D869E3">
        <w:rPr>
          <w:rFonts w:ascii="Verdana" w:hAnsi="Verdana"/>
          <w:b/>
          <w:sz w:val="20"/>
          <w:szCs w:val="20"/>
          <w:lang w:val="en-US"/>
        </w:rPr>
        <w:t>JU</w:t>
      </w:r>
      <w:r w:rsidR="00075E68" w:rsidRPr="00D869E3">
        <w:rPr>
          <w:rFonts w:ascii="Verdana" w:hAnsi="Verdana"/>
          <w:b/>
          <w:sz w:val="20"/>
          <w:szCs w:val="20"/>
          <w:lang w:val="en-US"/>
        </w:rPr>
        <w:t>DGE</w:t>
      </w:r>
      <w:r w:rsidRPr="00D869E3">
        <w:rPr>
          <w:rFonts w:ascii="Verdana" w:hAnsi="Verdana"/>
          <w:b/>
          <w:sz w:val="20"/>
          <w:szCs w:val="20"/>
          <w:lang w:val="en-US"/>
        </w:rPr>
        <w:t xml:space="preserve"> HUMBERTO ANTONIO SIERRA PORTO</w:t>
      </w:r>
    </w:p>
    <w:p w14:paraId="79DD52D9" w14:textId="77777777" w:rsidR="00E70701" w:rsidRPr="00D869E3" w:rsidRDefault="00E70701" w:rsidP="00C44F79">
      <w:pPr>
        <w:tabs>
          <w:tab w:val="left" w:pos="709"/>
        </w:tabs>
        <w:jc w:val="center"/>
        <w:rPr>
          <w:rFonts w:ascii="Verdana" w:hAnsi="Verdana"/>
          <w:b/>
          <w:sz w:val="20"/>
          <w:szCs w:val="20"/>
          <w:lang w:val="en-US"/>
        </w:rPr>
      </w:pPr>
    </w:p>
    <w:p w14:paraId="3AC0478B" w14:textId="54E317EC" w:rsidR="00E70701" w:rsidRPr="00D869E3" w:rsidRDefault="00447C65" w:rsidP="00C44F79">
      <w:pPr>
        <w:tabs>
          <w:tab w:val="left" w:pos="709"/>
        </w:tabs>
        <w:jc w:val="center"/>
        <w:rPr>
          <w:rFonts w:ascii="Verdana" w:hAnsi="Verdana"/>
          <w:b/>
          <w:sz w:val="20"/>
          <w:szCs w:val="20"/>
          <w:lang w:val="en-US"/>
        </w:rPr>
      </w:pPr>
      <w:r w:rsidRPr="00D869E3">
        <w:rPr>
          <w:rFonts w:ascii="Verdana" w:hAnsi="Verdana"/>
          <w:b/>
          <w:sz w:val="20"/>
          <w:szCs w:val="20"/>
          <w:lang w:val="en-US"/>
        </w:rPr>
        <w:t>JUDGMENT OF</w:t>
      </w:r>
      <w:r w:rsidR="00E70701" w:rsidRPr="00D869E3">
        <w:rPr>
          <w:rFonts w:ascii="Verdana" w:hAnsi="Verdana"/>
          <w:b/>
          <w:sz w:val="20"/>
          <w:szCs w:val="20"/>
          <w:lang w:val="en-US"/>
        </w:rPr>
        <w:t xml:space="preserve"> </w:t>
      </w:r>
      <w:r w:rsidRPr="00D869E3">
        <w:rPr>
          <w:rFonts w:ascii="Verdana" w:hAnsi="Verdana"/>
          <w:b/>
          <w:sz w:val="20"/>
          <w:szCs w:val="20"/>
          <w:lang w:val="en-US"/>
        </w:rPr>
        <w:t>THE INTER-AMERICAN COURT OF HUMAN RIGHTS</w:t>
      </w:r>
    </w:p>
    <w:p w14:paraId="7D856AF2" w14:textId="77777777" w:rsidR="00E70701" w:rsidRPr="00D869E3" w:rsidRDefault="00E70701" w:rsidP="00C44F79">
      <w:pPr>
        <w:tabs>
          <w:tab w:val="left" w:pos="709"/>
        </w:tabs>
        <w:jc w:val="center"/>
        <w:rPr>
          <w:rFonts w:ascii="Verdana" w:hAnsi="Verdana"/>
          <w:b/>
          <w:sz w:val="20"/>
          <w:szCs w:val="20"/>
          <w:lang w:val="en-US"/>
        </w:rPr>
      </w:pPr>
    </w:p>
    <w:p w14:paraId="0264C2C0" w14:textId="1F783A75" w:rsidR="00E70701" w:rsidRPr="00D869E3" w:rsidRDefault="00E70701" w:rsidP="00C44F79">
      <w:pPr>
        <w:tabs>
          <w:tab w:val="left" w:pos="709"/>
        </w:tabs>
        <w:jc w:val="center"/>
        <w:rPr>
          <w:rFonts w:ascii="Verdana" w:hAnsi="Verdana" w:cs="Verdana Bold"/>
          <w:b/>
          <w:bCs/>
          <w:caps/>
          <w:sz w:val="20"/>
          <w:szCs w:val="20"/>
          <w:lang w:val="es-CR"/>
        </w:rPr>
      </w:pPr>
      <w:r w:rsidRPr="00D869E3">
        <w:rPr>
          <w:rFonts w:ascii="Verdana" w:eastAsia="MS Mincho" w:hAnsi="Verdana"/>
          <w:b/>
          <w:sz w:val="20"/>
          <w:szCs w:val="20"/>
          <w:lang w:val="es-CR"/>
        </w:rPr>
        <w:t>CAS</w:t>
      </w:r>
      <w:r w:rsidR="00075E68" w:rsidRPr="00D869E3">
        <w:rPr>
          <w:rFonts w:ascii="Verdana" w:eastAsia="MS Mincho" w:hAnsi="Verdana"/>
          <w:b/>
          <w:sz w:val="20"/>
          <w:szCs w:val="20"/>
          <w:lang w:val="es-CR"/>
        </w:rPr>
        <w:t>E OF</w:t>
      </w:r>
      <w:r w:rsidRPr="00D869E3">
        <w:rPr>
          <w:rFonts w:ascii="Verdana" w:eastAsia="MS Mincho" w:hAnsi="Verdana"/>
          <w:b/>
          <w:sz w:val="20"/>
          <w:szCs w:val="20"/>
          <w:lang w:val="es-CR"/>
        </w:rPr>
        <w:t xml:space="preserve"> LAGOS DEL CAMPO </w:t>
      </w:r>
      <w:r w:rsidR="00447C65" w:rsidRPr="00D869E3">
        <w:rPr>
          <w:rFonts w:ascii="Verdana" w:eastAsia="MS Mincho" w:hAnsi="Verdana"/>
          <w:b/>
          <w:i/>
          <w:sz w:val="20"/>
          <w:szCs w:val="20"/>
          <w:lang w:val="es-CR"/>
        </w:rPr>
        <w:t>v.</w:t>
      </w:r>
      <w:r w:rsidRPr="00D869E3">
        <w:rPr>
          <w:rFonts w:ascii="Verdana" w:eastAsia="MS Mincho" w:hAnsi="Verdana"/>
          <w:b/>
          <w:sz w:val="20"/>
          <w:szCs w:val="20"/>
          <w:lang w:val="es-CR"/>
        </w:rPr>
        <w:t xml:space="preserve"> </w:t>
      </w:r>
      <w:r w:rsidR="00447C65" w:rsidRPr="00D869E3">
        <w:rPr>
          <w:rFonts w:ascii="Verdana" w:eastAsia="MS Mincho" w:hAnsi="Verdana"/>
          <w:b/>
          <w:sz w:val="20"/>
          <w:szCs w:val="20"/>
          <w:lang w:val="es-CR"/>
        </w:rPr>
        <w:t>PERU</w:t>
      </w:r>
    </w:p>
    <w:p w14:paraId="6E8FE463" w14:textId="77777777" w:rsidR="00E70701" w:rsidRPr="00D869E3" w:rsidRDefault="00E70701" w:rsidP="00C44F79">
      <w:pPr>
        <w:tabs>
          <w:tab w:val="left" w:pos="709"/>
        </w:tabs>
        <w:jc w:val="center"/>
        <w:rPr>
          <w:rFonts w:ascii="Verdana" w:hAnsi="Verdana"/>
          <w:b/>
          <w:sz w:val="20"/>
          <w:szCs w:val="20"/>
          <w:lang w:val="es-CR"/>
        </w:rPr>
      </w:pPr>
    </w:p>
    <w:p w14:paraId="2139A35A" w14:textId="796F8FDC" w:rsidR="00E70701" w:rsidRPr="00D869E3" w:rsidRDefault="00447C65" w:rsidP="00C44F79">
      <w:pPr>
        <w:tabs>
          <w:tab w:val="left" w:pos="709"/>
        </w:tabs>
        <w:jc w:val="center"/>
        <w:rPr>
          <w:rFonts w:ascii="Verdana" w:hAnsi="Verdana"/>
          <w:b/>
          <w:sz w:val="20"/>
          <w:szCs w:val="20"/>
          <w:lang w:val="en-US"/>
        </w:rPr>
      </w:pPr>
      <w:r w:rsidRPr="00D869E3">
        <w:rPr>
          <w:rFonts w:ascii="Verdana" w:hAnsi="Verdana"/>
          <w:b/>
          <w:sz w:val="20"/>
          <w:szCs w:val="20"/>
          <w:lang w:val="en-US"/>
        </w:rPr>
        <w:t>JUDGMENT OF</w:t>
      </w:r>
      <w:r w:rsidR="00E70701" w:rsidRPr="00D869E3">
        <w:rPr>
          <w:rFonts w:ascii="Verdana" w:hAnsi="Verdana"/>
          <w:b/>
          <w:sz w:val="20"/>
          <w:szCs w:val="20"/>
          <w:lang w:val="en-US"/>
        </w:rPr>
        <w:t xml:space="preserve"> </w:t>
      </w:r>
      <w:r w:rsidR="00075E68" w:rsidRPr="00D869E3">
        <w:rPr>
          <w:rFonts w:ascii="Verdana" w:hAnsi="Verdana"/>
          <w:b/>
          <w:sz w:val="20"/>
          <w:szCs w:val="20"/>
          <w:lang w:val="en-US"/>
        </w:rPr>
        <w:t xml:space="preserve">AUGUST 31, </w:t>
      </w:r>
      <w:r w:rsidR="00E70701" w:rsidRPr="00D869E3">
        <w:rPr>
          <w:rFonts w:ascii="Verdana" w:hAnsi="Verdana"/>
          <w:b/>
          <w:sz w:val="20"/>
          <w:szCs w:val="20"/>
          <w:lang w:val="en-US"/>
        </w:rPr>
        <w:t>2017</w:t>
      </w:r>
    </w:p>
    <w:p w14:paraId="3B3C87FE" w14:textId="77777777" w:rsidR="00E70701" w:rsidRPr="00D869E3" w:rsidRDefault="00E70701" w:rsidP="00C44F79">
      <w:pPr>
        <w:tabs>
          <w:tab w:val="left" w:pos="709"/>
        </w:tabs>
        <w:jc w:val="center"/>
        <w:rPr>
          <w:rFonts w:ascii="Verdana" w:hAnsi="Verdana"/>
          <w:b/>
          <w:sz w:val="20"/>
          <w:szCs w:val="20"/>
          <w:lang w:val="en-US"/>
        </w:rPr>
      </w:pPr>
    </w:p>
    <w:p w14:paraId="1C39DC04" w14:textId="6990FD20" w:rsidR="00E70701" w:rsidRPr="00D869E3" w:rsidRDefault="00E70701" w:rsidP="00C44F79">
      <w:pPr>
        <w:tabs>
          <w:tab w:val="left" w:pos="709"/>
        </w:tabs>
        <w:jc w:val="center"/>
        <w:rPr>
          <w:rFonts w:ascii="Verdana" w:hAnsi="Verdana"/>
          <w:b/>
          <w:i/>
          <w:sz w:val="20"/>
          <w:szCs w:val="20"/>
          <w:lang w:val="en-US"/>
        </w:rPr>
      </w:pPr>
      <w:r w:rsidRPr="00D869E3">
        <w:rPr>
          <w:rFonts w:ascii="Verdana" w:hAnsi="Verdana"/>
          <w:b/>
          <w:i/>
          <w:sz w:val="20"/>
          <w:szCs w:val="20"/>
          <w:lang w:val="en-US"/>
        </w:rPr>
        <w:t>(</w:t>
      </w:r>
      <w:r w:rsidR="00447C65" w:rsidRPr="00D869E3">
        <w:rPr>
          <w:rFonts w:ascii="Verdana" w:hAnsi="Verdana"/>
          <w:b/>
          <w:i/>
          <w:sz w:val="20"/>
          <w:szCs w:val="20"/>
          <w:lang w:val="en-US"/>
        </w:rPr>
        <w:t>Preliminary objections, merits, reparations and costs</w:t>
      </w:r>
      <w:r w:rsidRPr="00D869E3">
        <w:rPr>
          <w:rFonts w:ascii="Verdana" w:hAnsi="Verdana"/>
          <w:b/>
          <w:i/>
          <w:sz w:val="20"/>
          <w:szCs w:val="20"/>
          <w:lang w:val="en-US"/>
        </w:rPr>
        <w:t>)</w:t>
      </w:r>
    </w:p>
    <w:p w14:paraId="72BA3687" w14:textId="77777777" w:rsidR="00E70701" w:rsidRPr="00D869E3" w:rsidRDefault="00E70701" w:rsidP="00C44F79">
      <w:pPr>
        <w:jc w:val="both"/>
        <w:rPr>
          <w:rFonts w:ascii="Verdana" w:hAnsi="Verdana" w:cs="Arial"/>
          <w:sz w:val="20"/>
          <w:szCs w:val="20"/>
          <w:lang w:val="en-US"/>
        </w:rPr>
      </w:pPr>
    </w:p>
    <w:p w14:paraId="0DC26C3C" w14:textId="77777777" w:rsidR="00075E68" w:rsidRPr="00D869E3" w:rsidRDefault="00075E68" w:rsidP="00C44F79">
      <w:pPr>
        <w:jc w:val="both"/>
        <w:rPr>
          <w:rFonts w:ascii="Verdana" w:hAnsi="Verdana" w:cs="Arial"/>
          <w:sz w:val="20"/>
          <w:szCs w:val="20"/>
          <w:lang w:val="en-US"/>
        </w:rPr>
      </w:pPr>
    </w:p>
    <w:p w14:paraId="6CCAD845" w14:textId="72479575" w:rsidR="00E70701" w:rsidRPr="00D869E3" w:rsidRDefault="00E231DF" w:rsidP="00C44F79">
      <w:pPr>
        <w:jc w:val="both"/>
        <w:rPr>
          <w:rFonts w:ascii="Verdana" w:hAnsi="Verdana" w:cs="Arial"/>
          <w:sz w:val="20"/>
          <w:szCs w:val="20"/>
          <w:lang w:val="en-US"/>
        </w:rPr>
      </w:pPr>
      <w:r w:rsidRPr="00D869E3">
        <w:rPr>
          <w:rFonts w:ascii="Verdana" w:hAnsi="Verdana" w:cs="Arial"/>
          <w:sz w:val="20"/>
          <w:szCs w:val="20"/>
          <w:lang w:val="en-US"/>
        </w:rPr>
        <w:t>With the usual respect for the decision of the Court, allow me to submit the following partially dissenting opinion in the above case, which will be presented in the following order:</w:t>
      </w:r>
    </w:p>
    <w:p w14:paraId="3CD7B93E" w14:textId="77777777" w:rsidR="00E70701" w:rsidRPr="00D869E3" w:rsidRDefault="00E70701" w:rsidP="00C44F79">
      <w:pPr>
        <w:jc w:val="both"/>
        <w:rPr>
          <w:rFonts w:ascii="Verdana" w:hAnsi="Verdana" w:cs="Arial"/>
          <w:sz w:val="20"/>
          <w:szCs w:val="20"/>
          <w:lang w:val="en-US"/>
        </w:rPr>
      </w:pPr>
    </w:p>
    <w:p w14:paraId="3AEA41D6" w14:textId="33DACA7B" w:rsidR="00E70701" w:rsidRPr="00D869E3" w:rsidRDefault="00E70701" w:rsidP="00E70701">
      <w:pPr>
        <w:pStyle w:val="Prrafodelista"/>
        <w:numPr>
          <w:ilvl w:val="0"/>
          <w:numId w:val="36"/>
        </w:numPr>
        <w:jc w:val="both"/>
        <w:rPr>
          <w:rFonts w:ascii="Verdana" w:hAnsi="Verdana" w:cs="Arial"/>
          <w:b/>
          <w:sz w:val="20"/>
          <w:szCs w:val="20"/>
          <w:lang w:val="en-US"/>
        </w:rPr>
      </w:pPr>
      <w:r w:rsidRPr="00D869E3">
        <w:rPr>
          <w:rFonts w:ascii="Verdana" w:hAnsi="Verdana" w:cs="Arial"/>
          <w:b/>
          <w:sz w:val="20"/>
          <w:szCs w:val="20"/>
          <w:lang w:val="en-US"/>
        </w:rPr>
        <w:t>INTRODUC</w:t>
      </w:r>
      <w:r w:rsidR="00075E68" w:rsidRPr="00D869E3">
        <w:rPr>
          <w:rFonts w:ascii="Verdana" w:hAnsi="Verdana" w:cs="Arial"/>
          <w:b/>
          <w:sz w:val="20"/>
          <w:szCs w:val="20"/>
          <w:lang w:val="en-US"/>
        </w:rPr>
        <w:t>TIO</w:t>
      </w:r>
      <w:r w:rsidRPr="00D869E3">
        <w:rPr>
          <w:rFonts w:ascii="Verdana" w:hAnsi="Verdana" w:cs="Arial"/>
          <w:b/>
          <w:sz w:val="20"/>
          <w:szCs w:val="20"/>
          <w:lang w:val="en-US"/>
        </w:rPr>
        <w:t>N</w:t>
      </w:r>
    </w:p>
    <w:p w14:paraId="47EC7F11" w14:textId="77777777" w:rsidR="00E70701" w:rsidRPr="00D869E3" w:rsidRDefault="00E70701" w:rsidP="00C44F79">
      <w:pPr>
        <w:jc w:val="both"/>
        <w:rPr>
          <w:rFonts w:ascii="Verdana" w:hAnsi="Verdana" w:cs="Arial"/>
          <w:sz w:val="20"/>
          <w:szCs w:val="20"/>
          <w:lang w:val="en-US"/>
        </w:rPr>
      </w:pPr>
    </w:p>
    <w:p w14:paraId="56D37E39" w14:textId="6BDC79FD" w:rsidR="00E70701" w:rsidRPr="00D869E3" w:rsidRDefault="00E231DF" w:rsidP="00E35927">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The intention of this partially dissenting opinion is to present</w:t>
      </w:r>
      <w:r w:rsidR="00E35927" w:rsidRPr="00D869E3">
        <w:rPr>
          <w:rFonts w:ascii="Verdana" w:hAnsi="Verdana" w:cs="Arial"/>
          <w:sz w:val="20"/>
          <w:szCs w:val="20"/>
          <w:lang w:val="en-US"/>
        </w:rPr>
        <w:t>, in detail, the reasons why I voted against the fifth operative paragraph of the j</w:t>
      </w:r>
      <w:r w:rsidR="00447C65" w:rsidRPr="00D869E3">
        <w:rPr>
          <w:rFonts w:ascii="Verdana" w:hAnsi="Verdana" w:cs="Arial"/>
          <w:sz w:val="20"/>
          <w:szCs w:val="20"/>
          <w:lang w:val="en-US"/>
        </w:rPr>
        <w:t xml:space="preserve">udgment </w:t>
      </w:r>
      <w:r w:rsidR="00E35927" w:rsidRPr="00D869E3">
        <w:rPr>
          <w:rFonts w:ascii="Verdana" w:hAnsi="Verdana" w:cs="Arial"/>
          <w:sz w:val="20"/>
          <w:szCs w:val="20"/>
          <w:lang w:val="en-US"/>
        </w:rPr>
        <w:t>in the</w:t>
      </w:r>
      <w:r w:rsidR="00E70701" w:rsidRPr="00D869E3">
        <w:rPr>
          <w:rFonts w:ascii="Verdana" w:hAnsi="Verdana" w:cs="Arial"/>
          <w:sz w:val="20"/>
          <w:szCs w:val="20"/>
          <w:lang w:val="en-US"/>
        </w:rPr>
        <w:t xml:space="preserve"> </w:t>
      </w:r>
      <w:r w:rsidR="00447C65" w:rsidRPr="00D869E3">
        <w:rPr>
          <w:rFonts w:ascii="Verdana" w:hAnsi="Verdana" w:cs="Arial"/>
          <w:i/>
          <w:sz w:val="20"/>
          <w:szCs w:val="20"/>
          <w:lang w:val="en-US"/>
        </w:rPr>
        <w:t>Case of</w:t>
      </w:r>
      <w:r w:rsidR="00E70701" w:rsidRPr="00D869E3">
        <w:rPr>
          <w:rFonts w:ascii="Verdana" w:hAnsi="Verdana" w:cs="Arial"/>
          <w:i/>
          <w:sz w:val="20"/>
          <w:szCs w:val="20"/>
          <w:lang w:val="en-US"/>
        </w:rPr>
        <w:t xml:space="preserve"> Lagos del Campo </w:t>
      </w:r>
      <w:r w:rsidR="00447C65" w:rsidRPr="00D869E3">
        <w:rPr>
          <w:rFonts w:ascii="Verdana" w:hAnsi="Verdana" w:cs="Arial"/>
          <w:i/>
          <w:sz w:val="20"/>
          <w:szCs w:val="20"/>
          <w:lang w:val="en-US"/>
        </w:rPr>
        <w:t>v.</w:t>
      </w:r>
      <w:r w:rsidR="00E70701" w:rsidRPr="00D869E3">
        <w:rPr>
          <w:rFonts w:ascii="Verdana" w:hAnsi="Verdana" w:cs="Arial"/>
          <w:i/>
          <w:sz w:val="20"/>
          <w:szCs w:val="20"/>
          <w:lang w:val="en-US"/>
        </w:rPr>
        <w:t xml:space="preserve"> </w:t>
      </w:r>
      <w:r w:rsidR="00447C65" w:rsidRPr="00D869E3">
        <w:rPr>
          <w:rFonts w:ascii="Verdana" w:hAnsi="Verdana" w:cs="Arial"/>
          <w:i/>
          <w:sz w:val="20"/>
          <w:szCs w:val="20"/>
          <w:lang w:val="en-US"/>
        </w:rPr>
        <w:t>Peru</w:t>
      </w:r>
      <w:r w:rsidR="00E70701" w:rsidRPr="00D869E3">
        <w:rPr>
          <w:rFonts w:ascii="Verdana" w:hAnsi="Verdana" w:cs="Arial"/>
          <w:sz w:val="20"/>
          <w:szCs w:val="20"/>
          <w:lang w:val="en-US"/>
        </w:rPr>
        <w:t xml:space="preserve">. </w:t>
      </w:r>
      <w:r w:rsidR="00E35927" w:rsidRPr="00D869E3">
        <w:rPr>
          <w:rFonts w:ascii="Verdana" w:hAnsi="Verdana" w:cs="Arial"/>
          <w:sz w:val="20"/>
          <w:szCs w:val="20"/>
          <w:lang w:val="en-US"/>
        </w:rPr>
        <w:t xml:space="preserve">My position with regard to making the so-called </w:t>
      </w:r>
      <w:r w:rsidR="00ED3FC7" w:rsidRPr="00D869E3">
        <w:rPr>
          <w:rFonts w:ascii="Verdana" w:hAnsi="Verdana" w:cs="Arial"/>
          <w:sz w:val="20"/>
          <w:szCs w:val="20"/>
          <w:lang w:val="en-US"/>
        </w:rPr>
        <w:t>economic, social and cultural rights</w:t>
      </w:r>
      <w:r w:rsidR="00E70701" w:rsidRPr="00D869E3">
        <w:rPr>
          <w:rFonts w:ascii="Verdana" w:hAnsi="Verdana" w:cs="Arial"/>
          <w:sz w:val="20"/>
          <w:szCs w:val="20"/>
          <w:lang w:val="en-US"/>
        </w:rPr>
        <w:t xml:space="preserve"> (</w:t>
      </w:r>
      <w:r w:rsidR="00E35927" w:rsidRPr="00D869E3">
        <w:rPr>
          <w:rFonts w:ascii="Verdana" w:hAnsi="Verdana" w:cs="Arial"/>
          <w:sz w:val="20"/>
          <w:szCs w:val="20"/>
          <w:lang w:val="en-US"/>
        </w:rPr>
        <w:t>ESCR</w:t>
      </w:r>
      <w:r w:rsidR="00E70701" w:rsidRPr="00D869E3">
        <w:rPr>
          <w:rFonts w:ascii="Verdana" w:hAnsi="Verdana" w:cs="Arial"/>
          <w:sz w:val="20"/>
          <w:szCs w:val="20"/>
          <w:lang w:val="en-US"/>
        </w:rPr>
        <w:t xml:space="preserve">) </w:t>
      </w:r>
      <w:r w:rsidR="00E35927" w:rsidRPr="00D869E3">
        <w:rPr>
          <w:rFonts w:ascii="Verdana" w:hAnsi="Verdana" w:cs="Arial"/>
          <w:sz w:val="20"/>
          <w:szCs w:val="20"/>
          <w:lang w:val="en-US"/>
        </w:rPr>
        <w:t xml:space="preserve">justiciable by a direct application </w:t>
      </w:r>
      <w:r w:rsidR="00687684" w:rsidRPr="00D869E3">
        <w:rPr>
          <w:rFonts w:ascii="Verdana" w:hAnsi="Verdana" w:cs="Arial"/>
          <w:sz w:val="20"/>
          <w:szCs w:val="20"/>
          <w:lang w:val="en-US"/>
        </w:rPr>
        <w:t>of Article</w:t>
      </w:r>
      <w:r w:rsidR="00E70701" w:rsidRPr="00D869E3">
        <w:rPr>
          <w:rFonts w:ascii="Verdana" w:hAnsi="Verdana" w:cs="Arial"/>
          <w:sz w:val="20"/>
          <w:szCs w:val="20"/>
          <w:lang w:val="en-US"/>
        </w:rPr>
        <w:t xml:space="preserve"> 26</w:t>
      </w:r>
      <w:r w:rsidR="00447C65" w:rsidRPr="00D869E3">
        <w:rPr>
          <w:rFonts w:ascii="Verdana" w:hAnsi="Verdana" w:cs="Arial"/>
          <w:sz w:val="20"/>
          <w:szCs w:val="20"/>
          <w:lang w:val="en-US"/>
        </w:rPr>
        <w:t xml:space="preserve"> of the American Convention on Human Rights</w:t>
      </w:r>
      <w:r w:rsidR="00E70701" w:rsidRPr="00D869E3">
        <w:rPr>
          <w:rFonts w:ascii="Verdana" w:hAnsi="Verdana" w:cs="Arial"/>
          <w:sz w:val="20"/>
          <w:szCs w:val="20"/>
          <w:lang w:val="en-US"/>
        </w:rPr>
        <w:t xml:space="preserve"> (</w:t>
      </w:r>
      <w:r w:rsidR="00E35927" w:rsidRPr="00D869E3">
        <w:rPr>
          <w:rFonts w:ascii="Verdana" w:hAnsi="Verdana" w:cs="Arial"/>
          <w:sz w:val="20"/>
          <w:szCs w:val="20"/>
          <w:lang w:val="en-US"/>
        </w:rPr>
        <w:t>ACHR</w:t>
      </w:r>
      <w:r w:rsidR="00E70701" w:rsidRPr="00D869E3">
        <w:rPr>
          <w:rFonts w:ascii="Verdana" w:hAnsi="Verdana" w:cs="Arial"/>
          <w:sz w:val="20"/>
          <w:szCs w:val="20"/>
          <w:lang w:val="en-US"/>
        </w:rPr>
        <w:t>)</w:t>
      </w:r>
      <w:r w:rsidR="00E35927" w:rsidRPr="00D869E3">
        <w:rPr>
          <w:rFonts w:ascii="Verdana" w:hAnsi="Verdana" w:cs="Arial"/>
          <w:sz w:val="20"/>
          <w:szCs w:val="20"/>
          <w:lang w:val="en-US"/>
        </w:rPr>
        <w:t xml:space="preserve"> is already known, in </w:t>
      </w:r>
      <w:r w:rsidR="0034768C" w:rsidRPr="00D869E3">
        <w:rPr>
          <w:rFonts w:ascii="Verdana" w:hAnsi="Verdana" w:cs="Arial"/>
          <w:sz w:val="20"/>
          <w:szCs w:val="20"/>
          <w:lang w:val="en-US"/>
        </w:rPr>
        <w:t>light</w:t>
      </w:r>
      <w:r w:rsidR="00E35927" w:rsidRPr="00D869E3">
        <w:rPr>
          <w:rFonts w:ascii="Verdana" w:hAnsi="Verdana" w:cs="Arial"/>
          <w:sz w:val="20"/>
          <w:szCs w:val="20"/>
          <w:lang w:val="en-US"/>
        </w:rPr>
        <w:t xml:space="preserve"> of the fact that two years ago I submitted a concurring opinion on this matter in the </w:t>
      </w:r>
      <w:r w:rsidR="00447C65" w:rsidRPr="00D869E3">
        <w:rPr>
          <w:rFonts w:ascii="Verdana" w:hAnsi="Verdana" w:cs="Arial"/>
          <w:i/>
          <w:sz w:val="20"/>
          <w:szCs w:val="20"/>
          <w:lang w:val="en-US"/>
        </w:rPr>
        <w:t>Case of</w:t>
      </w:r>
      <w:r w:rsidR="00E70701" w:rsidRPr="00D869E3">
        <w:rPr>
          <w:rFonts w:ascii="Verdana" w:hAnsi="Verdana" w:cs="Arial"/>
          <w:i/>
          <w:sz w:val="20"/>
          <w:szCs w:val="20"/>
          <w:lang w:val="en-US"/>
        </w:rPr>
        <w:t xml:space="preserve"> González Lluy</w:t>
      </w:r>
      <w:r w:rsidR="00687684" w:rsidRPr="00D869E3">
        <w:rPr>
          <w:rFonts w:ascii="Verdana" w:hAnsi="Verdana" w:cs="Arial"/>
          <w:i/>
          <w:sz w:val="20"/>
          <w:szCs w:val="20"/>
          <w:lang w:val="en-US"/>
        </w:rPr>
        <w:t xml:space="preserve"> </w:t>
      </w:r>
      <w:r w:rsidR="00301DBE" w:rsidRPr="00D869E3">
        <w:rPr>
          <w:rFonts w:ascii="Verdana" w:hAnsi="Verdana" w:cs="Arial"/>
          <w:i/>
          <w:sz w:val="20"/>
          <w:szCs w:val="20"/>
          <w:lang w:val="en-US"/>
        </w:rPr>
        <w:t>et al. v.</w:t>
      </w:r>
      <w:r w:rsidR="00E70701" w:rsidRPr="00D869E3">
        <w:rPr>
          <w:rFonts w:ascii="Verdana" w:hAnsi="Verdana" w:cs="Arial"/>
          <w:i/>
          <w:sz w:val="20"/>
          <w:szCs w:val="20"/>
          <w:lang w:val="en-US"/>
        </w:rPr>
        <w:t xml:space="preserve"> Ecuador</w:t>
      </w:r>
      <w:r w:rsidR="00E70701" w:rsidRPr="00D869E3">
        <w:rPr>
          <w:rFonts w:ascii="Verdana" w:hAnsi="Verdana" w:cs="Arial"/>
          <w:sz w:val="20"/>
          <w:szCs w:val="20"/>
          <w:lang w:val="en-US"/>
        </w:rPr>
        <w:t xml:space="preserve">. </w:t>
      </w:r>
      <w:r w:rsidR="00E35927" w:rsidRPr="00D869E3">
        <w:rPr>
          <w:rFonts w:ascii="Verdana" w:hAnsi="Verdana" w:cs="Arial"/>
          <w:sz w:val="20"/>
          <w:szCs w:val="20"/>
          <w:lang w:val="en-US"/>
        </w:rPr>
        <w:t>On that occasion, I indicated the legal arguments that substantiate</w:t>
      </w:r>
      <w:r w:rsidR="0034768C" w:rsidRPr="00D869E3">
        <w:rPr>
          <w:rFonts w:ascii="Verdana" w:hAnsi="Verdana" w:cs="Arial"/>
          <w:sz w:val="20"/>
          <w:szCs w:val="20"/>
          <w:lang w:val="en-US"/>
        </w:rPr>
        <w:t>d</w:t>
      </w:r>
      <w:r w:rsidR="00E35927" w:rsidRPr="00D869E3">
        <w:rPr>
          <w:rFonts w:ascii="Verdana" w:hAnsi="Verdana" w:cs="Arial"/>
          <w:sz w:val="20"/>
          <w:szCs w:val="20"/>
          <w:lang w:val="en-US"/>
        </w:rPr>
        <w:t xml:space="preserve"> my position in the hope that they would become part of the internal and external debate on the applicability of the said article of the Convention, but also in order to dissuade those who advocated for the step that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 xml:space="preserve"> ha</w:t>
      </w:r>
      <w:r w:rsidR="00E35927" w:rsidRPr="00D869E3">
        <w:rPr>
          <w:rFonts w:ascii="Verdana" w:hAnsi="Verdana" w:cs="Arial"/>
          <w:sz w:val="20"/>
          <w:szCs w:val="20"/>
          <w:lang w:val="en-US"/>
        </w:rPr>
        <w:t>s taken in this judgment.</w:t>
      </w:r>
    </w:p>
    <w:p w14:paraId="0A9E42C0" w14:textId="77777777" w:rsidR="00E70701" w:rsidRPr="00D869E3" w:rsidRDefault="00E70701" w:rsidP="00C44F79">
      <w:pPr>
        <w:pStyle w:val="Prrafodelista"/>
        <w:ind w:left="0"/>
        <w:jc w:val="both"/>
        <w:rPr>
          <w:rFonts w:ascii="Verdana" w:hAnsi="Verdana" w:cs="Arial"/>
          <w:sz w:val="20"/>
          <w:szCs w:val="20"/>
          <w:lang w:val="en-US"/>
        </w:rPr>
      </w:pPr>
    </w:p>
    <w:p w14:paraId="4D895F4B" w14:textId="4A907A57" w:rsidR="00F42CF0" w:rsidRPr="00D869E3" w:rsidRDefault="00F42CF0"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This does not mean that, in general, I am contrary to the thesis that the ESCR</w:t>
      </w:r>
      <w:r w:rsidR="00E70701" w:rsidRPr="00D869E3">
        <w:rPr>
          <w:rFonts w:ascii="Verdana" w:hAnsi="Verdana" w:cs="Arial"/>
          <w:sz w:val="20"/>
          <w:szCs w:val="20"/>
          <w:lang w:val="en-US"/>
        </w:rPr>
        <w:t xml:space="preserve"> </w:t>
      </w:r>
      <w:r w:rsidRPr="00D869E3">
        <w:rPr>
          <w:rFonts w:ascii="Verdana" w:hAnsi="Verdana" w:cs="Arial"/>
          <w:sz w:val="20"/>
          <w:szCs w:val="20"/>
          <w:lang w:val="en-US"/>
        </w:rPr>
        <w:t>are justiciable</w:t>
      </w:r>
      <w:r w:rsidR="00E70701" w:rsidRPr="00D869E3">
        <w:rPr>
          <w:rFonts w:ascii="Verdana" w:hAnsi="Verdana" w:cs="Arial"/>
          <w:sz w:val="20"/>
          <w:szCs w:val="20"/>
          <w:lang w:val="en-US"/>
        </w:rPr>
        <w:t xml:space="preserve"> </w:t>
      </w:r>
      <w:r w:rsidR="00881A39" w:rsidRPr="00D869E3">
        <w:rPr>
          <w:rFonts w:ascii="Verdana" w:hAnsi="Verdana" w:cs="Arial"/>
          <w:sz w:val="20"/>
          <w:szCs w:val="20"/>
          <w:lang w:val="en-US"/>
        </w:rPr>
        <w:t>rights</w:t>
      </w:r>
      <w:r w:rsidRPr="00D869E3">
        <w:rPr>
          <w:rFonts w:ascii="Verdana" w:hAnsi="Verdana" w:cs="Arial"/>
          <w:sz w:val="20"/>
          <w:szCs w:val="20"/>
          <w:lang w:val="en-US"/>
        </w:rPr>
        <w:t>. To the contrary, during my time as a member of</w:t>
      </w:r>
      <w:r w:rsidR="00E70701" w:rsidRPr="00D869E3">
        <w:rPr>
          <w:rFonts w:ascii="Verdana" w:hAnsi="Verdana" w:cs="Arial"/>
          <w:sz w:val="20"/>
          <w:szCs w:val="20"/>
          <w:lang w:val="en-US"/>
        </w:rPr>
        <w:t xml:space="preserve"> </w:t>
      </w:r>
      <w:r w:rsidR="00447C65" w:rsidRPr="00D869E3">
        <w:rPr>
          <w:rFonts w:ascii="Verdana" w:hAnsi="Verdana" w:cs="Arial"/>
          <w:sz w:val="20"/>
          <w:szCs w:val="20"/>
          <w:lang w:val="en-US"/>
        </w:rPr>
        <w:t xml:space="preserve">the </w:t>
      </w:r>
      <w:r w:rsidRPr="00D869E3">
        <w:rPr>
          <w:rFonts w:ascii="Verdana" w:hAnsi="Verdana" w:cs="Arial"/>
          <w:sz w:val="20"/>
          <w:szCs w:val="20"/>
          <w:lang w:val="en-US"/>
        </w:rPr>
        <w:t xml:space="preserve">Colombian </w:t>
      </w:r>
      <w:r w:rsidR="00674572" w:rsidRPr="00D869E3">
        <w:rPr>
          <w:rFonts w:ascii="Verdana" w:hAnsi="Verdana" w:cs="Arial"/>
          <w:sz w:val="20"/>
          <w:szCs w:val="20"/>
          <w:lang w:val="en-US"/>
        </w:rPr>
        <w:t>Constitutional Court</w:t>
      </w:r>
      <w:r w:rsidR="00E70701" w:rsidRPr="00D869E3">
        <w:rPr>
          <w:rFonts w:ascii="Verdana" w:hAnsi="Verdana" w:cs="Arial"/>
          <w:sz w:val="20"/>
          <w:szCs w:val="20"/>
          <w:lang w:val="en-US"/>
        </w:rPr>
        <w:t xml:space="preserve"> </w:t>
      </w:r>
      <w:r w:rsidRPr="00D869E3">
        <w:rPr>
          <w:rFonts w:ascii="Verdana" w:hAnsi="Verdana" w:cs="Arial"/>
          <w:sz w:val="20"/>
          <w:szCs w:val="20"/>
          <w:lang w:val="en-US"/>
        </w:rPr>
        <w:t>I had occasion to contribute to the development of case law on the nature of fundamental rights and, therefore, the</w:t>
      </w:r>
      <w:r w:rsidR="0034768C" w:rsidRPr="00D869E3">
        <w:rPr>
          <w:rFonts w:ascii="Verdana" w:hAnsi="Verdana" w:cs="Arial"/>
          <w:sz w:val="20"/>
          <w:szCs w:val="20"/>
          <w:lang w:val="en-US"/>
        </w:rPr>
        <w:t>ir</w:t>
      </w:r>
      <w:r w:rsidRPr="00D869E3">
        <w:rPr>
          <w:rFonts w:ascii="Verdana" w:hAnsi="Verdana" w:cs="Arial"/>
          <w:sz w:val="20"/>
          <w:szCs w:val="20"/>
          <w:lang w:val="en-US"/>
        </w:rPr>
        <w:t xml:space="preserve"> enforceability by</w:t>
      </w:r>
      <w:r w:rsidR="0034768C" w:rsidRPr="00D869E3">
        <w:rPr>
          <w:rFonts w:ascii="Verdana" w:hAnsi="Verdana" w:cs="Arial"/>
          <w:sz w:val="20"/>
          <w:szCs w:val="20"/>
          <w:lang w:val="en-US"/>
        </w:rPr>
        <w:t xml:space="preserve"> means of</w:t>
      </w:r>
      <w:r w:rsidRPr="00D869E3">
        <w:rPr>
          <w:rFonts w:ascii="Verdana" w:hAnsi="Verdana" w:cs="Arial"/>
          <w:sz w:val="20"/>
          <w:szCs w:val="20"/>
          <w:lang w:val="en-US"/>
        </w:rPr>
        <w:t xml:space="preserve"> the action </w:t>
      </w:r>
      <w:r w:rsidR="0034768C" w:rsidRPr="00D869E3">
        <w:rPr>
          <w:rFonts w:ascii="Verdana" w:hAnsi="Verdana" w:cs="Arial"/>
          <w:sz w:val="20"/>
          <w:szCs w:val="20"/>
          <w:lang w:val="en-US"/>
        </w:rPr>
        <w:t>for the</w:t>
      </w:r>
      <w:r w:rsidRPr="00D869E3">
        <w:rPr>
          <w:rFonts w:ascii="Verdana" w:hAnsi="Verdana" w:cs="Arial"/>
          <w:sz w:val="20"/>
          <w:szCs w:val="20"/>
          <w:lang w:val="en-US"/>
        </w:rPr>
        <w:t xml:space="preserve"> protect</w:t>
      </w:r>
      <w:r w:rsidR="0034768C" w:rsidRPr="00D869E3">
        <w:rPr>
          <w:rFonts w:ascii="Verdana" w:hAnsi="Verdana" w:cs="Arial"/>
          <w:sz w:val="20"/>
          <w:szCs w:val="20"/>
          <w:lang w:val="en-US"/>
        </w:rPr>
        <w:t>ion of</w:t>
      </w:r>
      <w:r w:rsidRPr="00D869E3">
        <w:rPr>
          <w:rFonts w:ascii="Verdana" w:hAnsi="Verdana" w:cs="Arial"/>
          <w:sz w:val="20"/>
          <w:szCs w:val="20"/>
          <w:lang w:val="en-US"/>
        </w:rPr>
        <w:t xml:space="preserve"> the right to health, the right to decent housing, the right to potable water, and the right to social security, among others. However, I consider that there are substantial differences between</w:t>
      </w:r>
      <w:r w:rsidR="0034768C" w:rsidRPr="00D869E3">
        <w:rPr>
          <w:rFonts w:ascii="Verdana" w:hAnsi="Verdana" w:cs="Arial"/>
          <w:sz w:val="20"/>
          <w:szCs w:val="20"/>
          <w:lang w:val="en-US"/>
        </w:rPr>
        <w:t>, on the one hand,</w:t>
      </w:r>
      <w:r w:rsidRPr="00D869E3">
        <w:rPr>
          <w:rFonts w:ascii="Verdana" w:hAnsi="Verdana" w:cs="Arial"/>
          <w:sz w:val="20"/>
          <w:szCs w:val="20"/>
          <w:lang w:val="en-US"/>
        </w:rPr>
        <w:t xml:space="preserve"> the Colombian Constitution and the American Convention</w:t>
      </w:r>
      <w:r w:rsidR="0034768C" w:rsidRPr="00D869E3">
        <w:rPr>
          <w:rFonts w:ascii="Verdana" w:hAnsi="Verdana" w:cs="Arial"/>
          <w:sz w:val="20"/>
          <w:szCs w:val="20"/>
          <w:lang w:val="en-US"/>
        </w:rPr>
        <w:t xml:space="preserve"> </w:t>
      </w:r>
      <w:r w:rsidRPr="00D869E3">
        <w:rPr>
          <w:rFonts w:ascii="Verdana" w:hAnsi="Verdana" w:cs="Arial"/>
          <w:sz w:val="20"/>
          <w:szCs w:val="20"/>
          <w:lang w:val="en-US"/>
        </w:rPr>
        <w:t>and</w:t>
      </w:r>
      <w:r w:rsidR="0034768C" w:rsidRPr="00D869E3">
        <w:rPr>
          <w:rFonts w:ascii="Verdana" w:hAnsi="Verdana" w:cs="Arial"/>
          <w:sz w:val="20"/>
          <w:szCs w:val="20"/>
          <w:lang w:val="en-US"/>
        </w:rPr>
        <w:t>, on the other,</w:t>
      </w:r>
      <w:r w:rsidRPr="00D869E3">
        <w:rPr>
          <w:rFonts w:ascii="Verdana" w:hAnsi="Verdana" w:cs="Arial"/>
          <w:sz w:val="20"/>
          <w:szCs w:val="20"/>
          <w:lang w:val="en-US"/>
        </w:rPr>
        <w:t xml:space="preserve"> between the role of a judge of a constitutional court and the role of a judge who is a member of an international human rights court.</w:t>
      </w:r>
    </w:p>
    <w:p w14:paraId="0EB8EB7C" w14:textId="77777777" w:rsidR="00E70701" w:rsidRPr="00D869E3" w:rsidRDefault="00E70701" w:rsidP="00F42CF0">
      <w:pPr>
        <w:rPr>
          <w:rFonts w:ascii="Verdana" w:hAnsi="Verdana" w:cs="Arial"/>
          <w:sz w:val="20"/>
          <w:szCs w:val="20"/>
          <w:lang w:val="en-US"/>
        </w:rPr>
      </w:pPr>
    </w:p>
    <w:p w14:paraId="09BB6508" w14:textId="192B02DB" w:rsidR="00F42CF0" w:rsidRPr="00D869E3" w:rsidRDefault="00F42CF0" w:rsidP="00C44F79">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In addition, my experience as a judge of a national court whose track record in the direct justiciability of the ESCR is widely known </w:t>
      </w:r>
      <w:r w:rsidR="0034768C" w:rsidRPr="00D869E3">
        <w:rPr>
          <w:rFonts w:ascii="Verdana" w:hAnsi="Verdana" w:cs="Arial"/>
          <w:sz w:val="20"/>
          <w:szCs w:val="20"/>
          <w:lang w:val="en-US"/>
        </w:rPr>
        <w:t>has</w:t>
      </w:r>
      <w:r w:rsidRPr="00D869E3">
        <w:rPr>
          <w:rFonts w:ascii="Verdana" w:hAnsi="Verdana" w:cs="Arial"/>
          <w:sz w:val="20"/>
          <w:szCs w:val="20"/>
          <w:lang w:val="en-US"/>
        </w:rPr>
        <w:t xml:space="preserve"> left </w:t>
      </w:r>
      <w:r w:rsidR="0034768C" w:rsidRPr="00D869E3">
        <w:rPr>
          <w:rFonts w:ascii="Verdana" w:hAnsi="Verdana" w:cs="Arial"/>
          <w:sz w:val="20"/>
          <w:szCs w:val="20"/>
          <w:lang w:val="en-US"/>
        </w:rPr>
        <w:t xml:space="preserve">me </w:t>
      </w:r>
      <w:r w:rsidRPr="00D869E3">
        <w:rPr>
          <w:rFonts w:ascii="Verdana" w:hAnsi="Verdana" w:cs="Arial"/>
          <w:sz w:val="20"/>
          <w:szCs w:val="20"/>
          <w:lang w:val="en-US"/>
        </w:rPr>
        <w:t xml:space="preserve">with the clear perception of the difficulties faced by a judicial organ that assumes </w:t>
      </w:r>
      <w:r w:rsidR="0034768C" w:rsidRPr="00D869E3">
        <w:rPr>
          <w:rFonts w:ascii="Verdana" w:hAnsi="Verdana" w:cs="Arial"/>
          <w:sz w:val="20"/>
          <w:szCs w:val="20"/>
          <w:lang w:val="en-US"/>
        </w:rPr>
        <w:t>jurisdiction</w:t>
      </w:r>
      <w:r w:rsidRPr="00D869E3">
        <w:rPr>
          <w:rFonts w:ascii="Verdana" w:hAnsi="Verdana" w:cs="Arial"/>
          <w:sz w:val="20"/>
          <w:szCs w:val="20"/>
          <w:lang w:val="en-US"/>
        </w:rPr>
        <w:t xml:space="preserve"> in this area. This is because, even though the protection of the</w:t>
      </w:r>
      <w:r w:rsidR="0034768C" w:rsidRPr="00D869E3">
        <w:rPr>
          <w:rFonts w:ascii="Verdana" w:hAnsi="Verdana" w:cs="Arial"/>
          <w:sz w:val="20"/>
          <w:szCs w:val="20"/>
          <w:lang w:val="en-US"/>
        </w:rPr>
        <w:t>se</w:t>
      </w:r>
      <w:r w:rsidRPr="00D869E3">
        <w:rPr>
          <w:rFonts w:ascii="Verdana" w:hAnsi="Verdana" w:cs="Arial"/>
          <w:sz w:val="20"/>
          <w:szCs w:val="20"/>
          <w:lang w:val="en-US"/>
        </w:rPr>
        <w:t xml:space="preserve"> rights does not always involve the adoption of public policies or decision-making </w:t>
      </w:r>
      <w:r w:rsidR="0034768C" w:rsidRPr="00D869E3">
        <w:rPr>
          <w:rFonts w:ascii="Verdana" w:hAnsi="Verdana" w:cs="Arial"/>
          <w:sz w:val="20"/>
          <w:szCs w:val="20"/>
          <w:lang w:val="en-US"/>
        </w:rPr>
        <w:t>in relation to</w:t>
      </w:r>
      <w:r w:rsidRPr="00D869E3">
        <w:rPr>
          <w:rFonts w:ascii="Verdana" w:hAnsi="Verdana" w:cs="Arial"/>
          <w:sz w:val="20"/>
          <w:szCs w:val="20"/>
          <w:lang w:val="en-US"/>
        </w:rPr>
        <w:t xml:space="preserve"> scarce resources or merit goods, in numerous cases submitted to the consideration of a judicial authority</w:t>
      </w:r>
      <w:r w:rsidR="0034768C" w:rsidRPr="00D869E3">
        <w:rPr>
          <w:rFonts w:ascii="Verdana" w:hAnsi="Verdana" w:cs="Arial"/>
          <w:sz w:val="20"/>
          <w:szCs w:val="20"/>
          <w:lang w:val="en-US"/>
        </w:rPr>
        <w:t>,</w:t>
      </w:r>
      <w:r w:rsidRPr="00D869E3">
        <w:rPr>
          <w:rFonts w:ascii="Verdana" w:hAnsi="Verdana" w:cs="Arial"/>
          <w:sz w:val="20"/>
          <w:szCs w:val="20"/>
          <w:lang w:val="en-US"/>
        </w:rPr>
        <w:t xml:space="preserve"> that is what is required and this inevitably leads to discussion </w:t>
      </w:r>
      <w:r w:rsidR="0034768C" w:rsidRPr="00D869E3">
        <w:rPr>
          <w:rFonts w:ascii="Verdana" w:hAnsi="Verdana" w:cs="Arial"/>
          <w:sz w:val="20"/>
          <w:szCs w:val="20"/>
          <w:lang w:val="en-US"/>
        </w:rPr>
        <w:t>on</w:t>
      </w:r>
      <w:r w:rsidRPr="00D869E3">
        <w:rPr>
          <w:rFonts w:ascii="Verdana" w:hAnsi="Verdana" w:cs="Arial"/>
          <w:sz w:val="20"/>
          <w:szCs w:val="20"/>
          <w:lang w:val="en-US"/>
        </w:rPr>
        <w:t xml:space="preserve"> the role of judges under a social rule of law and the legitimate organ for the adoption of such decisions under a democratic system.</w:t>
      </w:r>
    </w:p>
    <w:p w14:paraId="2C64351A" w14:textId="77777777" w:rsidR="00E70701" w:rsidRPr="00D869E3" w:rsidRDefault="00E70701" w:rsidP="00C44F79">
      <w:pPr>
        <w:pStyle w:val="Prrafodelista"/>
        <w:rPr>
          <w:rFonts w:ascii="Verdana" w:hAnsi="Verdana" w:cs="Arial"/>
          <w:sz w:val="20"/>
          <w:szCs w:val="20"/>
          <w:lang w:val="en-US"/>
        </w:rPr>
      </w:pPr>
    </w:p>
    <w:p w14:paraId="1B55FD5D" w14:textId="54A2D7CB" w:rsidR="00E70701" w:rsidRPr="00D869E3" w:rsidRDefault="00075E68" w:rsidP="005D1BDE">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In this regard</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 xml:space="preserve">I remain convinced that, within the framework </w:t>
      </w:r>
      <w:r w:rsidR="00EA232B" w:rsidRPr="00D869E3">
        <w:rPr>
          <w:rFonts w:ascii="Verdana" w:hAnsi="Verdana" w:cs="Arial"/>
          <w:sz w:val="20"/>
          <w:szCs w:val="20"/>
          <w:lang w:val="en-US"/>
        </w:rPr>
        <w:t xml:space="preserve">of the </w:t>
      </w:r>
      <w:r w:rsidR="00671B14" w:rsidRPr="00D869E3">
        <w:rPr>
          <w:rFonts w:ascii="Verdana" w:hAnsi="Verdana" w:cs="Arial"/>
          <w:sz w:val="20"/>
          <w:szCs w:val="20"/>
          <w:lang w:val="en-US"/>
        </w:rPr>
        <w:t>inter-American system</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 xml:space="preserve">for the protection of </w:t>
      </w:r>
      <w:r w:rsidR="00B443B4" w:rsidRPr="00D869E3">
        <w:rPr>
          <w:rFonts w:ascii="Verdana" w:hAnsi="Verdana" w:cs="Arial"/>
          <w:sz w:val="20"/>
          <w:szCs w:val="20"/>
          <w:lang w:val="en-US"/>
        </w:rPr>
        <w:t>human rights</w:t>
      </w:r>
      <w:r w:rsidR="00F42CF0" w:rsidRPr="00D869E3">
        <w:rPr>
          <w:rFonts w:ascii="Verdana" w:hAnsi="Verdana" w:cs="Arial"/>
          <w:sz w:val="20"/>
          <w:szCs w:val="20"/>
          <w:lang w:val="en-US"/>
        </w:rPr>
        <w:t>, the justiciability of the ESCR</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 xml:space="preserve">should not be implemented by the direct application </w:t>
      </w:r>
      <w:r w:rsidR="00687684" w:rsidRPr="00D869E3">
        <w:rPr>
          <w:rFonts w:ascii="Verdana" w:hAnsi="Verdana" w:cs="Arial"/>
          <w:sz w:val="20"/>
          <w:szCs w:val="20"/>
          <w:lang w:val="en-US"/>
        </w:rPr>
        <w:t>of Article</w:t>
      </w:r>
      <w:r w:rsidR="00E70701" w:rsidRPr="00D869E3">
        <w:rPr>
          <w:rFonts w:ascii="Verdana" w:hAnsi="Verdana" w:cs="Arial"/>
          <w:sz w:val="20"/>
          <w:szCs w:val="20"/>
          <w:lang w:val="en-US"/>
        </w:rPr>
        <w:t xml:space="preserve"> 26 </w:t>
      </w:r>
      <w:r w:rsidR="00F42CF0" w:rsidRPr="00D869E3">
        <w:rPr>
          <w:rFonts w:ascii="Verdana" w:hAnsi="Verdana" w:cs="Arial"/>
          <w:sz w:val="20"/>
          <w:szCs w:val="20"/>
          <w:lang w:val="en-US"/>
        </w:rPr>
        <w:t>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ACHR</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 xml:space="preserve">as in this case and I will </w:t>
      </w:r>
      <w:r w:rsidR="0034768C" w:rsidRPr="00D869E3">
        <w:rPr>
          <w:rFonts w:ascii="Verdana" w:hAnsi="Verdana" w:cs="Arial"/>
          <w:sz w:val="20"/>
          <w:szCs w:val="20"/>
          <w:lang w:val="en-US"/>
        </w:rPr>
        <w:t>indicate</w:t>
      </w:r>
      <w:r w:rsidR="00F42CF0" w:rsidRPr="00D869E3">
        <w:rPr>
          <w:rFonts w:ascii="Verdana" w:hAnsi="Verdana" w:cs="Arial"/>
          <w:sz w:val="20"/>
          <w:szCs w:val="20"/>
          <w:lang w:val="en-US"/>
        </w:rPr>
        <w:t xml:space="preserve"> the grounds for my position below. </w:t>
      </w:r>
      <w:r w:rsidR="0034768C" w:rsidRPr="00D869E3">
        <w:rPr>
          <w:rFonts w:ascii="Verdana" w:hAnsi="Verdana" w:cs="Arial"/>
          <w:sz w:val="20"/>
          <w:szCs w:val="20"/>
          <w:lang w:val="en-US"/>
        </w:rPr>
        <w:t>Thus</w:t>
      </w:r>
      <w:r w:rsidR="00F42CF0" w:rsidRPr="00D869E3">
        <w:rPr>
          <w:rFonts w:ascii="Verdana" w:hAnsi="Verdana" w:cs="Arial"/>
          <w:sz w:val="20"/>
          <w:szCs w:val="20"/>
          <w:lang w:val="en-US"/>
        </w:rPr>
        <w:t>, in this opinion: (</w:t>
      </w:r>
      <w:r w:rsidR="00E70701" w:rsidRPr="00D869E3">
        <w:rPr>
          <w:rFonts w:ascii="Verdana" w:hAnsi="Verdana" w:cs="Arial"/>
          <w:sz w:val="20"/>
          <w:szCs w:val="20"/>
          <w:lang w:val="en-US"/>
        </w:rPr>
        <w:t xml:space="preserve">i) </w:t>
      </w:r>
      <w:r w:rsidR="00F42CF0" w:rsidRPr="00D869E3">
        <w:rPr>
          <w:rFonts w:ascii="Verdana" w:hAnsi="Verdana" w:cs="Arial"/>
          <w:sz w:val="20"/>
          <w:szCs w:val="20"/>
          <w:lang w:val="en-US"/>
        </w:rPr>
        <w:t>I will reiterate the general reasons why I do not agree with</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the justiciability 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ESCR</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based on</w:t>
      </w:r>
      <w:r w:rsidR="00687684" w:rsidRPr="00D869E3">
        <w:rPr>
          <w:rFonts w:ascii="Verdana" w:hAnsi="Verdana" w:cs="Arial"/>
          <w:sz w:val="20"/>
          <w:szCs w:val="20"/>
          <w:lang w:val="en-US"/>
        </w:rPr>
        <w:t xml:space="preserve"> Article</w:t>
      </w:r>
      <w:r w:rsidR="00E70701" w:rsidRPr="00D869E3">
        <w:rPr>
          <w:rFonts w:ascii="Verdana" w:hAnsi="Verdana" w:cs="Arial"/>
          <w:sz w:val="20"/>
          <w:szCs w:val="20"/>
          <w:lang w:val="en-US"/>
        </w:rPr>
        <w:t xml:space="preserve"> 26</w:t>
      </w:r>
      <w:r w:rsidR="005D1BDE" w:rsidRPr="00D869E3">
        <w:rPr>
          <w:rFonts w:ascii="Verdana" w:hAnsi="Verdana" w:cs="Arial"/>
          <w:sz w:val="20"/>
          <w:szCs w:val="20"/>
          <w:lang w:val="en-US"/>
        </w:rPr>
        <w:t xml:space="preserve"> described in </w:t>
      </w:r>
      <w:r w:rsidR="00DA5B38" w:rsidRPr="00D869E3">
        <w:rPr>
          <w:rFonts w:ascii="Verdana" w:hAnsi="Verdana" w:cs="Arial"/>
          <w:sz w:val="20"/>
          <w:szCs w:val="20"/>
          <w:lang w:val="en-US"/>
        </w:rPr>
        <w:t>my previous</w:t>
      </w:r>
      <w:r w:rsidR="005D1BDE" w:rsidRPr="00D869E3">
        <w:rPr>
          <w:rFonts w:ascii="Verdana" w:hAnsi="Verdana" w:cs="Arial"/>
          <w:sz w:val="20"/>
          <w:szCs w:val="20"/>
          <w:lang w:val="en-US"/>
        </w:rPr>
        <w:t xml:space="preserve"> concurring opinion, and I will add the concerns that this judgment has caused me </w:t>
      </w:r>
      <w:r w:rsidR="005D1BDE" w:rsidRPr="00D869E3">
        <w:rPr>
          <w:rFonts w:ascii="Verdana" w:hAnsi="Verdana" w:cs="Arial"/>
          <w:sz w:val="20"/>
          <w:szCs w:val="20"/>
          <w:lang w:val="en-US"/>
        </w:rPr>
        <w:lastRenderedPageBreak/>
        <w:t xml:space="preserve">in this regard; (ii) I will indicated why, in my opinion, in this case in particular it was not pertinent to arrive at a declaration of the violation </w:t>
      </w:r>
      <w:r w:rsidR="00687684" w:rsidRPr="00D869E3">
        <w:rPr>
          <w:rFonts w:ascii="Verdana" w:hAnsi="Verdana" w:cs="Arial"/>
          <w:sz w:val="20"/>
          <w:szCs w:val="20"/>
          <w:lang w:val="en-US"/>
        </w:rPr>
        <w:t>of Article</w:t>
      </w:r>
      <w:r w:rsidR="00E70701" w:rsidRPr="00D869E3">
        <w:rPr>
          <w:rFonts w:ascii="Verdana" w:hAnsi="Verdana" w:cs="Arial"/>
          <w:sz w:val="20"/>
          <w:szCs w:val="20"/>
          <w:lang w:val="en-US"/>
        </w:rPr>
        <w:t xml:space="preserve"> 26 </w:t>
      </w:r>
      <w:r w:rsidR="00F42CF0" w:rsidRPr="00D869E3">
        <w:rPr>
          <w:rFonts w:ascii="Verdana" w:hAnsi="Verdana" w:cs="Arial"/>
          <w:sz w:val="20"/>
          <w:szCs w:val="20"/>
          <w:lang w:val="en-US"/>
        </w:rPr>
        <w:t>of the ACHR</w:t>
      </w:r>
      <w:r w:rsidR="00687684" w:rsidRPr="00D869E3">
        <w:rPr>
          <w:rFonts w:ascii="Verdana" w:hAnsi="Verdana" w:cs="Arial"/>
          <w:sz w:val="20"/>
          <w:szCs w:val="20"/>
          <w:lang w:val="en-US"/>
        </w:rPr>
        <w:t xml:space="preserve"> and </w:t>
      </w:r>
      <w:r w:rsidR="005D1BDE" w:rsidRPr="00D869E3">
        <w:rPr>
          <w:rFonts w:ascii="Verdana" w:hAnsi="Verdana" w:cs="Arial"/>
          <w:sz w:val="20"/>
          <w:szCs w:val="20"/>
          <w:lang w:val="en-US"/>
        </w:rPr>
        <w:t xml:space="preserve">not even to embark on that discussion, and (iii) I will indicate the </w:t>
      </w:r>
      <w:r w:rsidR="00794206" w:rsidRPr="00D869E3">
        <w:rPr>
          <w:rFonts w:ascii="Verdana" w:hAnsi="Verdana" w:cs="Arial"/>
          <w:sz w:val="20"/>
          <w:szCs w:val="20"/>
          <w:lang w:val="en-US"/>
        </w:rPr>
        <w:t>flaws</w:t>
      </w:r>
      <w:r w:rsidR="005D1BDE" w:rsidRPr="00D869E3">
        <w:rPr>
          <w:rFonts w:ascii="Verdana" w:hAnsi="Verdana" w:cs="Arial"/>
          <w:sz w:val="20"/>
          <w:szCs w:val="20"/>
          <w:lang w:val="en-US"/>
        </w:rPr>
        <w:t xml:space="preserve"> in the arguments in </w:t>
      </w:r>
      <w:r w:rsidR="000C55DD" w:rsidRPr="00D869E3">
        <w:rPr>
          <w:rFonts w:ascii="Verdana" w:hAnsi="Verdana" w:cs="Arial"/>
          <w:sz w:val="20"/>
          <w:szCs w:val="20"/>
          <w:lang w:val="en-US"/>
        </w:rPr>
        <w:t>the judgment</w:t>
      </w:r>
      <w:r w:rsidR="00E70701" w:rsidRPr="00D869E3">
        <w:rPr>
          <w:rFonts w:ascii="Verdana" w:hAnsi="Verdana" w:cs="Arial"/>
          <w:sz w:val="20"/>
          <w:szCs w:val="20"/>
          <w:lang w:val="en-US"/>
        </w:rPr>
        <w:t xml:space="preserve"> </w:t>
      </w:r>
      <w:r w:rsidR="005D1BDE" w:rsidRPr="00D869E3">
        <w:rPr>
          <w:rFonts w:ascii="Verdana" w:hAnsi="Verdana" w:cs="Arial"/>
          <w:sz w:val="20"/>
          <w:szCs w:val="20"/>
          <w:lang w:val="en-US"/>
        </w:rPr>
        <w:t xml:space="preserve">that make this a very sensitive precedent in the case law </w:t>
      </w:r>
      <w:r w:rsidR="00447C65" w:rsidRPr="00D869E3">
        <w:rPr>
          <w:rFonts w:ascii="Verdana" w:hAnsi="Verdana" w:cs="Arial"/>
          <w:sz w:val="20"/>
          <w:szCs w:val="20"/>
          <w:lang w:val="en-US"/>
        </w:rPr>
        <w:t xml:space="preserve">of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w:t>
      </w:r>
    </w:p>
    <w:p w14:paraId="4CE5A73C" w14:textId="77777777" w:rsidR="00E70701" w:rsidRPr="00D869E3" w:rsidRDefault="00E70701" w:rsidP="00C44F79">
      <w:pPr>
        <w:jc w:val="both"/>
        <w:rPr>
          <w:rFonts w:ascii="Verdana" w:hAnsi="Verdana" w:cs="Arial"/>
          <w:sz w:val="20"/>
          <w:szCs w:val="20"/>
          <w:lang w:val="en-US"/>
        </w:rPr>
      </w:pPr>
    </w:p>
    <w:p w14:paraId="214D8975" w14:textId="21A47E0A" w:rsidR="00E70701" w:rsidRPr="00D869E3" w:rsidRDefault="00075E68" w:rsidP="00E70701">
      <w:pPr>
        <w:pStyle w:val="Prrafodelista"/>
        <w:numPr>
          <w:ilvl w:val="0"/>
          <w:numId w:val="36"/>
        </w:numPr>
        <w:jc w:val="both"/>
        <w:rPr>
          <w:rFonts w:ascii="Verdana" w:hAnsi="Verdana" w:cs="Arial"/>
          <w:b/>
          <w:sz w:val="20"/>
          <w:szCs w:val="20"/>
          <w:lang w:val="en-US"/>
        </w:rPr>
      </w:pPr>
      <w:r w:rsidRPr="00D869E3">
        <w:rPr>
          <w:rFonts w:ascii="Verdana" w:hAnsi="Verdana" w:cs="Arial"/>
          <w:b/>
          <w:sz w:val="20"/>
          <w:szCs w:val="20"/>
          <w:lang w:val="en-US"/>
        </w:rPr>
        <w:t>MAIN ARGUMENTS AGAINST THE DIRECT JUSTICIABILITY OF THE ESC</w:t>
      </w:r>
      <w:r w:rsidR="00294239" w:rsidRPr="00D869E3">
        <w:rPr>
          <w:rFonts w:ascii="Verdana" w:hAnsi="Verdana" w:cs="Arial"/>
          <w:b/>
          <w:sz w:val="20"/>
          <w:szCs w:val="20"/>
          <w:lang w:val="en-US"/>
        </w:rPr>
        <w:t>R</w:t>
      </w:r>
      <w:r w:rsidRPr="00D869E3">
        <w:rPr>
          <w:rFonts w:ascii="Verdana" w:hAnsi="Verdana" w:cs="Arial"/>
          <w:b/>
          <w:sz w:val="20"/>
          <w:szCs w:val="20"/>
          <w:lang w:val="en-US"/>
        </w:rPr>
        <w:t xml:space="preserve"> BASED ON ARTICLE 26 OF THE AMERICAN CONVENTION</w:t>
      </w:r>
    </w:p>
    <w:p w14:paraId="369F0D1E" w14:textId="77777777" w:rsidR="00E70701" w:rsidRPr="00D869E3" w:rsidRDefault="00E70701" w:rsidP="00C44F79">
      <w:pPr>
        <w:pStyle w:val="Prrafodelista"/>
        <w:jc w:val="both"/>
        <w:rPr>
          <w:rFonts w:ascii="Verdana" w:hAnsi="Verdana" w:cs="Arial"/>
          <w:b/>
          <w:sz w:val="20"/>
          <w:szCs w:val="20"/>
          <w:lang w:val="en-US"/>
        </w:rPr>
      </w:pPr>
    </w:p>
    <w:p w14:paraId="0EC719E8" w14:textId="0D1755BE" w:rsidR="00E70701" w:rsidRPr="00D869E3" w:rsidRDefault="005D1BDE"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Given that, in the said concurring opinion, I gave a wide-ranging explanation of each argument that substantiates my position, I consider th</w:t>
      </w:r>
      <w:r w:rsidR="00DA5B38" w:rsidRPr="00D869E3">
        <w:rPr>
          <w:rFonts w:ascii="Verdana" w:hAnsi="Verdana" w:cs="Arial"/>
          <w:sz w:val="20"/>
          <w:szCs w:val="20"/>
          <w:lang w:val="en-US"/>
        </w:rPr>
        <w:t>a</w:t>
      </w:r>
      <w:r w:rsidRPr="00D869E3">
        <w:rPr>
          <w:rFonts w:ascii="Verdana" w:hAnsi="Verdana" w:cs="Arial"/>
          <w:sz w:val="20"/>
          <w:szCs w:val="20"/>
          <w:lang w:val="en-US"/>
        </w:rPr>
        <w:t>t it is not pertinent to reproduce these extensively, and will therefore focus on the more relevant reflections and conclusions of that text.</w:t>
      </w:r>
    </w:p>
    <w:p w14:paraId="0739A33D" w14:textId="77777777" w:rsidR="00E70701" w:rsidRPr="00D869E3" w:rsidRDefault="00E70701" w:rsidP="00C44F79">
      <w:pPr>
        <w:pStyle w:val="Prrafodelista"/>
        <w:ind w:left="0"/>
        <w:jc w:val="both"/>
        <w:rPr>
          <w:rFonts w:ascii="Verdana" w:hAnsi="Verdana" w:cs="Arial"/>
          <w:sz w:val="20"/>
          <w:szCs w:val="20"/>
          <w:lang w:val="en-US"/>
        </w:rPr>
      </w:pPr>
    </w:p>
    <w:p w14:paraId="4938195A" w14:textId="7B23E1E3" w:rsidR="00E70701" w:rsidRPr="00D869E3" w:rsidRDefault="00CA23D8" w:rsidP="00CA23D8">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However, and on a preliminary basis, I wish to repeat that my position on the Inter-American Court</w:t>
      </w:r>
      <w:r w:rsidR="00DA5B38" w:rsidRPr="00D869E3">
        <w:rPr>
          <w:rFonts w:ascii="Verdana" w:hAnsi="Verdana" w:cs="Arial"/>
          <w:sz w:val="20"/>
          <w:szCs w:val="20"/>
          <w:lang w:val="en-US"/>
        </w:rPr>
        <w:t>’s jurisdiction</w:t>
      </w:r>
      <w:r w:rsidRPr="00D869E3">
        <w:rPr>
          <w:rFonts w:ascii="Verdana" w:hAnsi="Verdana" w:cs="Arial"/>
          <w:sz w:val="20"/>
          <w:szCs w:val="20"/>
          <w:lang w:val="en-US"/>
        </w:rPr>
        <w:t xml:space="preserve"> should not be understood as denying the importance and the need to make the ESCR justiciable, because the</w:t>
      </w:r>
      <w:r w:rsidR="00DA5B38" w:rsidRPr="00D869E3">
        <w:rPr>
          <w:rFonts w:ascii="Verdana" w:hAnsi="Verdana" w:cs="Arial"/>
          <w:sz w:val="20"/>
          <w:szCs w:val="20"/>
          <w:lang w:val="en-US"/>
        </w:rPr>
        <w:t>se</w:t>
      </w:r>
      <w:r w:rsidRPr="00D869E3">
        <w:rPr>
          <w:rFonts w:ascii="Verdana" w:hAnsi="Verdana" w:cs="Arial"/>
          <w:sz w:val="20"/>
          <w:szCs w:val="20"/>
          <w:lang w:val="en-US"/>
        </w:rPr>
        <w:t xml:space="preserve"> are two distinct issues. Indeed, the abundant case law on the matter that I helped to develop while a justice of the Colombian </w:t>
      </w:r>
      <w:r w:rsidR="00674572" w:rsidRPr="00D869E3">
        <w:rPr>
          <w:rFonts w:ascii="Verdana" w:hAnsi="Verdana" w:cs="Arial"/>
          <w:sz w:val="20"/>
          <w:szCs w:val="20"/>
          <w:lang w:val="en-US"/>
        </w:rPr>
        <w:t>Constitutional Court</w:t>
      </w:r>
      <w:r w:rsidR="00E70701" w:rsidRPr="00D869E3">
        <w:rPr>
          <w:rStyle w:val="Refdenotaalpie"/>
          <w:rFonts w:cs="Arial"/>
          <w:szCs w:val="20"/>
          <w:lang w:val="en-US"/>
        </w:rPr>
        <w:footnoteReference w:id="444"/>
      </w:r>
      <w:r w:rsidR="00E70701" w:rsidRPr="00D869E3">
        <w:rPr>
          <w:rFonts w:ascii="Verdana" w:hAnsi="Verdana" w:cs="Arial"/>
          <w:sz w:val="20"/>
          <w:szCs w:val="20"/>
          <w:lang w:val="en-US"/>
        </w:rPr>
        <w:t xml:space="preserve"> </w:t>
      </w:r>
      <w:r w:rsidRPr="00D869E3">
        <w:rPr>
          <w:rFonts w:ascii="Verdana" w:hAnsi="Verdana" w:cs="Arial"/>
          <w:sz w:val="20"/>
          <w:szCs w:val="20"/>
          <w:lang w:val="en-US"/>
        </w:rPr>
        <w:t>proves that my position is in favor of ensuring those rights directly when the</w:t>
      </w:r>
      <w:r w:rsidR="00DA5B38" w:rsidRPr="00D869E3">
        <w:rPr>
          <w:rFonts w:ascii="Verdana" w:hAnsi="Verdana" w:cs="Arial"/>
          <w:sz w:val="20"/>
          <w:szCs w:val="20"/>
          <w:lang w:val="en-US"/>
        </w:rPr>
        <w:t xml:space="preserve"> jurisdictional circumstances are </w:t>
      </w:r>
      <w:r w:rsidRPr="00D869E3">
        <w:rPr>
          <w:rFonts w:ascii="Verdana" w:hAnsi="Verdana" w:cs="Arial"/>
          <w:sz w:val="20"/>
          <w:szCs w:val="20"/>
          <w:lang w:val="en-US"/>
        </w:rPr>
        <w:t>appropriate</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Thus, my discussion does not focus on whether the ESCR are human rights that should be respected and ensured by the State, but rather on the way in which this justiciability is achieved under the inter-American system in particular. That said, I will proceed to recall why the direct application </w:t>
      </w:r>
      <w:r w:rsidR="00687684" w:rsidRPr="00D869E3">
        <w:rPr>
          <w:rFonts w:ascii="Verdana" w:hAnsi="Verdana" w:cs="Arial"/>
          <w:sz w:val="20"/>
          <w:szCs w:val="20"/>
          <w:lang w:val="en-US"/>
        </w:rPr>
        <w:t>of Article</w:t>
      </w:r>
      <w:r w:rsidR="00E70701" w:rsidRPr="00D869E3">
        <w:rPr>
          <w:rFonts w:ascii="Verdana" w:hAnsi="Verdana" w:cs="Arial"/>
          <w:sz w:val="20"/>
          <w:szCs w:val="20"/>
          <w:lang w:val="en-US"/>
        </w:rPr>
        <w:t xml:space="preserve"> 26</w:t>
      </w:r>
      <w:r w:rsidR="00447C65" w:rsidRPr="00D869E3">
        <w:rPr>
          <w:rFonts w:ascii="Verdana" w:hAnsi="Verdana" w:cs="Arial"/>
          <w:sz w:val="20"/>
          <w:szCs w:val="20"/>
          <w:lang w:val="en-US"/>
        </w:rPr>
        <w:t xml:space="preserve"> of the American Convention</w:t>
      </w:r>
      <w:r w:rsidR="00E70701" w:rsidRPr="00D869E3">
        <w:rPr>
          <w:rFonts w:ascii="Verdana" w:hAnsi="Verdana" w:cs="Arial"/>
          <w:sz w:val="20"/>
          <w:szCs w:val="20"/>
          <w:lang w:val="en-US"/>
        </w:rPr>
        <w:t xml:space="preserve"> </w:t>
      </w:r>
      <w:r w:rsidRPr="00D869E3">
        <w:rPr>
          <w:rFonts w:ascii="Verdana" w:hAnsi="Verdana" w:cs="Arial"/>
          <w:sz w:val="20"/>
          <w:szCs w:val="20"/>
          <w:lang w:val="en-US"/>
        </w:rPr>
        <w:t>is so conflictive</w:t>
      </w:r>
      <w:r w:rsidR="00E70701" w:rsidRPr="00D869E3">
        <w:rPr>
          <w:rFonts w:ascii="Verdana" w:hAnsi="Verdana" w:cs="Arial"/>
          <w:sz w:val="20"/>
          <w:szCs w:val="20"/>
          <w:lang w:val="en-US"/>
        </w:rPr>
        <w:t xml:space="preserve">. </w:t>
      </w:r>
    </w:p>
    <w:p w14:paraId="08316266" w14:textId="77777777" w:rsidR="00E70701" w:rsidRPr="00D869E3" w:rsidRDefault="00E70701" w:rsidP="00C44F79">
      <w:pPr>
        <w:tabs>
          <w:tab w:val="left" w:pos="709"/>
        </w:tabs>
        <w:rPr>
          <w:rFonts w:ascii="Verdana" w:hAnsi="Verdana" w:cs="Arial"/>
          <w:sz w:val="20"/>
          <w:szCs w:val="20"/>
          <w:lang w:val="en-US"/>
        </w:rPr>
      </w:pPr>
    </w:p>
    <w:p w14:paraId="69988838" w14:textId="1E8C410E" w:rsidR="00E70701" w:rsidRPr="00D869E3" w:rsidRDefault="00075E68" w:rsidP="00E70701">
      <w:pPr>
        <w:pStyle w:val="Prrafodelista"/>
        <w:numPr>
          <w:ilvl w:val="0"/>
          <w:numId w:val="38"/>
        </w:numPr>
        <w:tabs>
          <w:tab w:val="left" w:pos="709"/>
        </w:tabs>
        <w:rPr>
          <w:rFonts w:ascii="Verdana" w:hAnsi="Verdana"/>
          <w:b/>
          <w:sz w:val="20"/>
          <w:szCs w:val="20"/>
          <w:lang w:val="en-US"/>
        </w:rPr>
      </w:pPr>
      <w:r w:rsidRPr="00D869E3">
        <w:rPr>
          <w:rFonts w:ascii="Verdana" w:hAnsi="Verdana"/>
          <w:b/>
          <w:sz w:val="20"/>
          <w:szCs w:val="20"/>
          <w:lang w:val="en-US"/>
        </w:rPr>
        <w:t>Scope</w:t>
      </w:r>
      <w:r w:rsidR="00E70701" w:rsidRPr="00D869E3">
        <w:rPr>
          <w:rFonts w:ascii="Verdana" w:hAnsi="Verdana"/>
          <w:b/>
          <w:sz w:val="20"/>
          <w:szCs w:val="20"/>
          <w:lang w:val="en-US"/>
        </w:rPr>
        <w:t xml:space="preserve"> </w:t>
      </w:r>
      <w:r w:rsidR="00687684" w:rsidRPr="00D869E3">
        <w:rPr>
          <w:rFonts w:ascii="Verdana" w:hAnsi="Verdana"/>
          <w:b/>
          <w:sz w:val="20"/>
          <w:szCs w:val="20"/>
          <w:lang w:val="en-US"/>
        </w:rPr>
        <w:t>of Article</w:t>
      </w:r>
      <w:r w:rsidR="00E70701" w:rsidRPr="00D869E3">
        <w:rPr>
          <w:rFonts w:ascii="Verdana" w:hAnsi="Verdana"/>
          <w:b/>
          <w:sz w:val="20"/>
          <w:szCs w:val="20"/>
          <w:lang w:val="en-US"/>
        </w:rPr>
        <w:t xml:space="preserve"> 26</w:t>
      </w:r>
      <w:r w:rsidR="00447C65" w:rsidRPr="00D869E3">
        <w:rPr>
          <w:rFonts w:ascii="Verdana" w:hAnsi="Verdana"/>
          <w:b/>
          <w:sz w:val="20"/>
          <w:szCs w:val="20"/>
          <w:lang w:val="en-US"/>
        </w:rPr>
        <w:t xml:space="preserve"> of the American Convention</w:t>
      </w:r>
    </w:p>
    <w:p w14:paraId="1BAEA9C8" w14:textId="77777777" w:rsidR="00E70701" w:rsidRPr="00D869E3" w:rsidRDefault="00E70701" w:rsidP="00C44F79">
      <w:pPr>
        <w:jc w:val="both"/>
        <w:rPr>
          <w:rFonts w:ascii="Verdana" w:hAnsi="Verdana" w:cs="Arial"/>
          <w:sz w:val="20"/>
          <w:szCs w:val="20"/>
          <w:lang w:val="en-US"/>
        </w:rPr>
      </w:pPr>
    </w:p>
    <w:p w14:paraId="16B4248B" w14:textId="5F3EE385" w:rsidR="00E70701" w:rsidRPr="00D869E3" w:rsidRDefault="00CA23D8"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The scope of this</w:t>
      </w:r>
      <w:r w:rsidR="00E70701" w:rsidRPr="00D869E3">
        <w:rPr>
          <w:rFonts w:ascii="Verdana" w:hAnsi="Verdana" w:cs="Arial"/>
          <w:sz w:val="20"/>
          <w:szCs w:val="20"/>
          <w:lang w:val="en-US"/>
        </w:rPr>
        <w:t xml:space="preserve"> </w:t>
      </w:r>
      <w:r w:rsidRPr="00D869E3">
        <w:rPr>
          <w:rFonts w:ascii="Verdana" w:hAnsi="Verdana" w:cs="Arial"/>
          <w:sz w:val="20"/>
          <w:szCs w:val="20"/>
          <w:lang w:val="en-US"/>
        </w:rPr>
        <w:t>a</w:t>
      </w:r>
      <w:r w:rsidR="00447C65" w:rsidRPr="00D869E3">
        <w:rPr>
          <w:rFonts w:ascii="Verdana" w:hAnsi="Verdana" w:cs="Arial"/>
          <w:sz w:val="20"/>
          <w:szCs w:val="20"/>
          <w:lang w:val="en-US"/>
        </w:rPr>
        <w:t>rticle</w:t>
      </w:r>
      <w:r w:rsidR="00E70701" w:rsidRPr="00D869E3">
        <w:rPr>
          <w:rFonts w:ascii="Verdana" w:hAnsi="Verdana" w:cs="Arial"/>
          <w:sz w:val="20"/>
          <w:szCs w:val="20"/>
          <w:lang w:val="en-US"/>
        </w:rPr>
        <w:t xml:space="preserve"> ha</w:t>
      </w:r>
      <w:r w:rsidRPr="00D869E3">
        <w:rPr>
          <w:rFonts w:ascii="Verdana" w:hAnsi="Verdana" w:cs="Arial"/>
          <w:sz w:val="20"/>
          <w:szCs w:val="20"/>
          <w:lang w:val="en-US"/>
        </w:rPr>
        <w:t>s been discussed profusely by academics</w:t>
      </w:r>
      <w:r w:rsidR="00E70701" w:rsidRPr="00D869E3">
        <w:rPr>
          <w:rStyle w:val="Refdenotaalpie"/>
          <w:rFonts w:cs="Arial"/>
          <w:szCs w:val="20"/>
          <w:lang w:val="en-US"/>
        </w:rPr>
        <w:footnoteReference w:id="445"/>
      </w:r>
      <w:r w:rsidR="00687684" w:rsidRPr="00D869E3">
        <w:rPr>
          <w:rFonts w:ascii="Verdana" w:hAnsi="Verdana" w:cs="Arial"/>
          <w:sz w:val="20"/>
          <w:szCs w:val="20"/>
          <w:lang w:val="en-US"/>
        </w:rPr>
        <w:t xml:space="preserve"> and </w:t>
      </w:r>
      <w:r w:rsidRPr="00D869E3">
        <w:rPr>
          <w:rFonts w:ascii="Verdana" w:hAnsi="Verdana" w:cs="Arial"/>
          <w:sz w:val="20"/>
          <w:szCs w:val="20"/>
          <w:lang w:val="en-US"/>
        </w:rPr>
        <w:t>within</w:t>
      </w:r>
      <w:r w:rsidR="00447C65" w:rsidRPr="00D869E3">
        <w:rPr>
          <w:rFonts w:ascii="Verdana" w:hAnsi="Verdana" w:cs="Arial"/>
          <w:sz w:val="20"/>
          <w:szCs w:val="20"/>
          <w:lang w:val="en-US"/>
        </w:rPr>
        <w:t xml:space="preserve"> </w:t>
      </w:r>
      <w:r w:rsidR="00671B14" w:rsidRPr="00D869E3">
        <w:rPr>
          <w:rFonts w:ascii="Verdana" w:hAnsi="Verdana" w:cs="Arial"/>
          <w:sz w:val="20"/>
          <w:szCs w:val="20"/>
          <w:lang w:val="en-US"/>
        </w:rPr>
        <w:t>the Inter-American Court</w:t>
      </w:r>
      <w:r w:rsidRPr="00D869E3">
        <w:rPr>
          <w:rFonts w:ascii="Verdana" w:hAnsi="Verdana" w:cs="Arial"/>
          <w:sz w:val="20"/>
          <w:szCs w:val="20"/>
          <w:lang w:val="en-US"/>
        </w:rPr>
        <w:t>,</w:t>
      </w:r>
      <w:r w:rsidR="00E70701" w:rsidRPr="00D869E3">
        <w:rPr>
          <w:rStyle w:val="Refdenotaalpie"/>
          <w:rFonts w:cs="Arial"/>
          <w:szCs w:val="20"/>
          <w:lang w:val="en-US"/>
        </w:rPr>
        <w:footnoteReference w:id="446"/>
      </w:r>
      <w:r w:rsidR="00260A24" w:rsidRPr="00D869E3">
        <w:rPr>
          <w:rFonts w:ascii="Verdana" w:hAnsi="Verdana" w:cs="Arial"/>
          <w:sz w:val="20"/>
          <w:szCs w:val="20"/>
          <w:lang w:val="en-US"/>
        </w:rPr>
        <w:t xml:space="preserve"> </w:t>
      </w:r>
      <w:r w:rsidR="00DA5B38" w:rsidRPr="00D869E3">
        <w:rPr>
          <w:rFonts w:ascii="Verdana" w:hAnsi="Verdana" w:cs="Arial"/>
          <w:sz w:val="20"/>
          <w:szCs w:val="20"/>
          <w:lang w:val="en-US"/>
        </w:rPr>
        <w:t>and</w:t>
      </w:r>
      <w:r w:rsidR="00260A24" w:rsidRPr="00D869E3">
        <w:rPr>
          <w:rFonts w:ascii="Verdana" w:hAnsi="Verdana" w:cs="Arial"/>
          <w:sz w:val="20"/>
          <w:szCs w:val="20"/>
          <w:lang w:val="en-US"/>
        </w:rPr>
        <w:t xml:space="preserve"> efforts have been made to expand the debate to issues such as the benefit-related nature 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ESCR</w:t>
      </w:r>
      <w:r w:rsidR="00E70701" w:rsidRPr="00D869E3">
        <w:rPr>
          <w:rFonts w:ascii="Verdana" w:hAnsi="Verdana" w:cs="Arial"/>
          <w:sz w:val="20"/>
          <w:szCs w:val="20"/>
          <w:lang w:val="en-US"/>
        </w:rPr>
        <w:t xml:space="preserve"> o</w:t>
      </w:r>
      <w:r w:rsidR="00260A24" w:rsidRPr="00D869E3">
        <w:rPr>
          <w:rFonts w:ascii="Verdana" w:hAnsi="Verdana" w:cs="Arial"/>
          <w:sz w:val="20"/>
          <w:szCs w:val="20"/>
          <w:lang w:val="en-US"/>
        </w:rPr>
        <w:t xml:space="preserve">r their indivisibility, when the central question that should be asked to understand the scope of these rights is: does </w:t>
      </w:r>
      <w:r w:rsidR="00447C65" w:rsidRPr="00D869E3">
        <w:rPr>
          <w:rFonts w:ascii="Verdana" w:hAnsi="Verdana" w:cs="Arial"/>
          <w:sz w:val="20"/>
          <w:szCs w:val="20"/>
          <w:lang w:val="en-US"/>
        </w:rPr>
        <w:t>Article</w:t>
      </w:r>
      <w:r w:rsidR="00E70701" w:rsidRPr="00D869E3">
        <w:rPr>
          <w:rFonts w:ascii="Verdana" w:hAnsi="Verdana" w:cs="Arial"/>
          <w:sz w:val="20"/>
          <w:szCs w:val="20"/>
          <w:lang w:val="en-US"/>
        </w:rPr>
        <w:t xml:space="preserve"> 26 </w:t>
      </w:r>
      <w:r w:rsidR="00F42CF0" w:rsidRPr="00D869E3">
        <w:rPr>
          <w:rFonts w:ascii="Verdana" w:hAnsi="Verdana" w:cs="Arial"/>
          <w:sz w:val="20"/>
          <w:szCs w:val="20"/>
          <w:lang w:val="en-US"/>
        </w:rPr>
        <w:t>of the ACHR</w:t>
      </w:r>
      <w:r w:rsidR="00E70701" w:rsidRPr="00D869E3">
        <w:rPr>
          <w:rFonts w:ascii="Verdana" w:hAnsi="Verdana" w:cs="Arial"/>
          <w:sz w:val="20"/>
          <w:szCs w:val="20"/>
          <w:lang w:val="en-US"/>
        </w:rPr>
        <w:t xml:space="preserve"> </w:t>
      </w:r>
      <w:r w:rsidR="00260A24" w:rsidRPr="00D869E3">
        <w:rPr>
          <w:rFonts w:ascii="Verdana" w:hAnsi="Verdana" w:cs="Arial"/>
          <w:sz w:val="20"/>
          <w:szCs w:val="20"/>
          <w:lang w:val="en-US"/>
        </w:rPr>
        <w:t xml:space="preserve">contain subjective </w:t>
      </w:r>
      <w:r w:rsidR="00881A39" w:rsidRPr="00D869E3">
        <w:rPr>
          <w:rFonts w:ascii="Verdana" w:hAnsi="Verdana" w:cs="Arial"/>
          <w:sz w:val="20"/>
          <w:szCs w:val="20"/>
          <w:lang w:val="en-US"/>
        </w:rPr>
        <w:t>rights</w:t>
      </w:r>
      <w:r w:rsidR="00E70701" w:rsidRPr="00D869E3">
        <w:rPr>
          <w:rFonts w:ascii="Verdana" w:hAnsi="Verdana" w:cs="Arial"/>
          <w:sz w:val="20"/>
          <w:szCs w:val="20"/>
          <w:lang w:val="en-US"/>
        </w:rPr>
        <w:t xml:space="preserve">? </w:t>
      </w:r>
    </w:p>
    <w:p w14:paraId="17EA9588" w14:textId="77777777" w:rsidR="00E70701" w:rsidRPr="00D869E3" w:rsidRDefault="00E70701" w:rsidP="00C44F79">
      <w:pPr>
        <w:pStyle w:val="Prrafodelista"/>
        <w:ind w:left="0"/>
        <w:jc w:val="both"/>
        <w:rPr>
          <w:rFonts w:ascii="Verdana" w:hAnsi="Verdana" w:cs="Arial"/>
          <w:sz w:val="20"/>
          <w:szCs w:val="20"/>
          <w:lang w:val="en-US"/>
        </w:rPr>
      </w:pPr>
    </w:p>
    <w:p w14:paraId="1D773C41" w14:textId="39ACE41D" w:rsidR="00E70701" w:rsidRPr="00D869E3" w:rsidRDefault="00075E68"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In this regard</w:t>
      </w:r>
      <w:r w:rsidR="00E70701" w:rsidRPr="00D869E3">
        <w:rPr>
          <w:rFonts w:ascii="Verdana" w:hAnsi="Verdana"/>
          <w:sz w:val="20"/>
          <w:szCs w:val="20"/>
          <w:lang w:val="en-US"/>
        </w:rPr>
        <w:t xml:space="preserve">, </w:t>
      </w:r>
      <w:r w:rsidR="00260A24" w:rsidRPr="00D869E3">
        <w:rPr>
          <w:rFonts w:ascii="Verdana" w:hAnsi="Verdana"/>
          <w:sz w:val="20"/>
          <w:szCs w:val="20"/>
          <w:lang w:val="en-US"/>
        </w:rPr>
        <w:t>I have indicated on previous occasions</w:t>
      </w:r>
      <w:r w:rsidR="00E70701" w:rsidRPr="00D869E3">
        <w:rPr>
          <w:rStyle w:val="Refdenotaalpie"/>
          <w:szCs w:val="20"/>
          <w:lang w:val="en-US"/>
        </w:rPr>
        <w:footnoteReference w:id="447"/>
      </w:r>
      <w:r w:rsidR="00E70701" w:rsidRPr="00D869E3">
        <w:rPr>
          <w:rFonts w:ascii="Verdana" w:hAnsi="Verdana"/>
          <w:sz w:val="20"/>
          <w:szCs w:val="20"/>
          <w:lang w:val="en-US"/>
        </w:rPr>
        <w:t xml:space="preserve"> </w:t>
      </w:r>
      <w:r w:rsidR="00260A24" w:rsidRPr="00D869E3">
        <w:rPr>
          <w:rFonts w:ascii="Verdana" w:hAnsi="Verdana"/>
          <w:sz w:val="20"/>
          <w:szCs w:val="20"/>
          <w:lang w:val="en-US"/>
        </w:rPr>
        <w:t>that</w:t>
      </w:r>
      <w:r w:rsidR="00E70701" w:rsidRPr="00D869E3">
        <w:rPr>
          <w:rFonts w:ascii="Verdana" w:hAnsi="Verdana"/>
          <w:sz w:val="20"/>
          <w:szCs w:val="20"/>
          <w:lang w:val="en-US"/>
        </w:rPr>
        <w:t xml:space="preserve">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26</w:t>
      </w:r>
      <w:r w:rsidR="00E70701" w:rsidRPr="00D869E3">
        <w:rPr>
          <w:rStyle w:val="Refdenotaalpie"/>
          <w:szCs w:val="20"/>
          <w:lang w:val="en-US"/>
        </w:rPr>
        <w:footnoteReference w:id="448"/>
      </w:r>
      <w:r w:rsidR="00E70701" w:rsidRPr="00D869E3">
        <w:rPr>
          <w:rFonts w:ascii="Verdana" w:hAnsi="Verdana"/>
          <w:sz w:val="20"/>
          <w:szCs w:val="20"/>
          <w:lang w:val="en-US"/>
        </w:rPr>
        <w:t xml:space="preserve"> </w:t>
      </w:r>
      <w:r w:rsidR="00F42CF0" w:rsidRPr="00D869E3">
        <w:rPr>
          <w:rFonts w:ascii="Verdana" w:hAnsi="Verdana"/>
          <w:sz w:val="20"/>
          <w:szCs w:val="20"/>
          <w:lang w:val="en-US"/>
        </w:rPr>
        <w:t>of the ACHR</w:t>
      </w:r>
      <w:r w:rsidR="00E70701" w:rsidRPr="00D869E3">
        <w:rPr>
          <w:rFonts w:ascii="Verdana" w:hAnsi="Verdana"/>
          <w:sz w:val="20"/>
          <w:szCs w:val="20"/>
          <w:lang w:val="en-US"/>
        </w:rPr>
        <w:t xml:space="preserve"> </w:t>
      </w:r>
      <w:r w:rsidR="00260A24" w:rsidRPr="00D869E3">
        <w:rPr>
          <w:rFonts w:ascii="Verdana" w:hAnsi="Verdana"/>
          <w:sz w:val="20"/>
          <w:szCs w:val="20"/>
          <w:lang w:val="en-US"/>
        </w:rPr>
        <w:t xml:space="preserve">does not establish a list of </w:t>
      </w:r>
      <w:r w:rsidR="00881A39" w:rsidRPr="00D869E3">
        <w:rPr>
          <w:rFonts w:ascii="Verdana" w:hAnsi="Verdana"/>
          <w:sz w:val="20"/>
          <w:szCs w:val="20"/>
          <w:lang w:val="en-US"/>
        </w:rPr>
        <w:t>rights</w:t>
      </w:r>
      <w:r w:rsidR="00260A24" w:rsidRPr="00D869E3">
        <w:rPr>
          <w:rFonts w:ascii="Verdana" w:hAnsi="Verdana"/>
          <w:sz w:val="20"/>
          <w:szCs w:val="20"/>
          <w:lang w:val="en-US"/>
        </w:rPr>
        <w:t xml:space="preserve">; rather the obligation </w:t>
      </w:r>
      <w:r w:rsidR="00133C67" w:rsidRPr="00D869E3">
        <w:rPr>
          <w:rFonts w:ascii="Verdana" w:hAnsi="Verdana"/>
          <w:sz w:val="20"/>
          <w:szCs w:val="20"/>
          <w:lang w:val="en-US"/>
        </w:rPr>
        <w:t>entailed by</w:t>
      </w:r>
      <w:r w:rsidR="00260A24" w:rsidRPr="00D869E3">
        <w:rPr>
          <w:rFonts w:ascii="Verdana" w:hAnsi="Verdana"/>
          <w:sz w:val="20"/>
          <w:szCs w:val="20"/>
          <w:lang w:val="en-US"/>
        </w:rPr>
        <w:t xml:space="preserve"> this article</w:t>
      </w:r>
      <w:r w:rsidR="00133C67" w:rsidRPr="00D869E3">
        <w:rPr>
          <w:rFonts w:ascii="Verdana" w:hAnsi="Verdana"/>
          <w:sz w:val="20"/>
          <w:szCs w:val="20"/>
          <w:lang w:val="en-US"/>
        </w:rPr>
        <w:t xml:space="preserve">, which </w:t>
      </w:r>
      <w:r w:rsidR="00260A24" w:rsidRPr="00D869E3">
        <w:rPr>
          <w:rFonts w:ascii="Verdana" w:hAnsi="Verdana"/>
          <w:sz w:val="20"/>
          <w:szCs w:val="20"/>
          <w:lang w:val="en-US"/>
        </w:rPr>
        <w:t>the Court is able to monitor directly</w:t>
      </w:r>
      <w:r w:rsidR="00133C67" w:rsidRPr="00D869E3">
        <w:rPr>
          <w:rFonts w:ascii="Verdana" w:hAnsi="Verdana"/>
          <w:sz w:val="20"/>
          <w:szCs w:val="20"/>
          <w:lang w:val="en-US"/>
        </w:rPr>
        <w:t>,</w:t>
      </w:r>
      <w:r w:rsidR="00260A24" w:rsidRPr="00D869E3">
        <w:rPr>
          <w:rFonts w:ascii="Verdana" w:hAnsi="Verdana"/>
          <w:sz w:val="20"/>
          <w:szCs w:val="20"/>
          <w:lang w:val="en-US"/>
        </w:rPr>
        <w:t xml:space="preserve"> is compliance with the obligation of progressive development – and the consequent obligation of non-retrogressivity – of the rights that may be derived from </w:t>
      </w:r>
      <w:r w:rsidR="00EA232B" w:rsidRPr="00D869E3">
        <w:rPr>
          <w:rFonts w:ascii="Verdana" w:hAnsi="Verdana"/>
          <w:sz w:val="20"/>
          <w:szCs w:val="20"/>
          <w:lang w:val="en-US"/>
        </w:rPr>
        <w:t xml:space="preserve">the </w:t>
      </w:r>
      <w:r w:rsidR="00317073" w:rsidRPr="00D869E3">
        <w:rPr>
          <w:rFonts w:ascii="Verdana" w:hAnsi="Verdana"/>
          <w:sz w:val="20"/>
          <w:szCs w:val="20"/>
          <w:lang w:val="en-US"/>
        </w:rPr>
        <w:t>Charter of the</w:t>
      </w:r>
      <w:r w:rsidR="00E70701" w:rsidRPr="00D869E3">
        <w:rPr>
          <w:rFonts w:ascii="Verdana" w:hAnsi="Verdana"/>
          <w:sz w:val="20"/>
          <w:szCs w:val="20"/>
          <w:lang w:val="en-US"/>
        </w:rPr>
        <w:t xml:space="preserve"> </w:t>
      </w:r>
      <w:r w:rsidR="00260A24" w:rsidRPr="00D869E3">
        <w:rPr>
          <w:rFonts w:ascii="Verdana" w:hAnsi="Verdana"/>
          <w:sz w:val="20"/>
          <w:szCs w:val="20"/>
          <w:lang w:val="en-US"/>
        </w:rPr>
        <w:t>Organization of American States</w:t>
      </w:r>
      <w:r w:rsidR="00E70701" w:rsidRPr="00D869E3">
        <w:rPr>
          <w:rFonts w:ascii="Verdana" w:hAnsi="Verdana"/>
          <w:sz w:val="20"/>
          <w:szCs w:val="20"/>
          <w:lang w:val="en-US"/>
        </w:rPr>
        <w:t xml:space="preserve"> (</w:t>
      </w:r>
      <w:r w:rsidR="00447C65" w:rsidRPr="00D869E3">
        <w:rPr>
          <w:rFonts w:ascii="Verdana" w:hAnsi="Verdana"/>
          <w:sz w:val="20"/>
          <w:szCs w:val="20"/>
          <w:lang w:val="en-US"/>
        </w:rPr>
        <w:t>hereinafter</w:t>
      </w:r>
      <w:r w:rsidR="00E70701" w:rsidRPr="00D869E3">
        <w:rPr>
          <w:rFonts w:ascii="Verdana" w:hAnsi="Verdana"/>
          <w:sz w:val="20"/>
          <w:szCs w:val="20"/>
          <w:lang w:val="en-US"/>
        </w:rPr>
        <w:t xml:space="preserve"> </w:t>
      </w:r>
      <w:r w:rsidR="006436CA" w:rsidRPr="00D869E3">
        <w:rPr>
          <w:rFonts w:ascii="Verdana" w:hAnsi="Verdana"/>
          <w:sz w:val="20"/>
          <w:szCs w:val="20"/>
          <w:lang w:val="en-US"/>
        </w:rPr>
        <w:t>“</w:t>
      </w:r>
      <w:r w:rsidR="00260A24" w:rsidRPr="00D869E3">
        <w:rPr>
          <w:rFonts w:ascii="Verdana" w:hAnsi="Verdana"/>
          <w:sz w:val="20"/>
          <w:szCs w:val="20"/>
          <w:lang w:val="en-US"/>
        </w:rPr>
        <w:t>the Charter</w:t>
      </w:r>
      <w:r w:rsidR="006436CA" w:rsidRPr="00D869E3">
        <w:rPr>
          <w:rFonts w:ascii="Verdana" w:hAnsi="Verdana"/>
          <w:sz w:val="20"/>
          <w:szCs w:val="20"/>
          <w:lang w:val="en-US"/>
        </w:rPr>
        <w:t>”</w:t>
      </w:r>
      <w:r w:rsidR="00E70701" w:rsidRPr="00D869E3">
        <w:rPr>
          <w:rFonts w:ascii="Verdana" w:hAnsi="Verdana"/>
          <w:sz w:val="20"/>
          <w:szCs w:val="20"/>
          <w:lang w:val="en-US"/>
        </w:rPr>
        <w:t>).</w:t>
      </w:r>
    </w:p>
    <w:p w14:paraId="024F45C9" w14:textId="77777777" w:rsidR="00E70701" w:rsidRPr="00D869E3" w:rsidRDefault="00E70701" w:rsidP="00C44F79">
      <w:pPr>
        <w:jc w:val="both"/>
        <w:rPr>
          <w:rFonts w:ascii="Verdana" w:hAnsi="Verdana"/>
          <w:sz w:val="20"/>
          <w:szCs w:val="20"/>
          <w:lang w:val="en-US"/>
        </w:rPr>
      </w:pPr>
    </w:p>
    <w:p w14:paraId="7A483F3C" w14:textId="4A9E8FFA" w:rsidR="001D52F2" w:rsidRPr="00D869E3" w:rsidRDefault="001D52F2"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 xml:space="preserve">This is because the said article </w:t>
      </w:r>
      <w:r w:rsidR="007F6AF9" w:rsidRPr="00D869E3">
        <w:rPr>
          <w:rFonts w:ascii="Verdana" w:hAnsi="Verdana"/>
          <w:sz w:val="20"/>
          <w:szCs w:val="20"/>
          <w:lang w:val="en-US"/>
        </w:rPr>
        <w:t>refers</w:t>
      </w:r>
      <w:r w:rsidRPr="00D869E3">
        <w:rPr>
          <w:rFonts w:ascii="Verdana" w:hAnsi="Verdana"/>
          <w:sz w:val="20"/>
          <w:szCs w:val="20"/>
          <w:lang w:val="en-US"/>
        </w:rPr>
        <w:t xml:space="preserve"> direct</w:t>
      </w:r>
      <w:r w:rsidR="007F6AF9" w:rsidRPr="00D869E3">
        <w:rPr>
          <w:rFonts w:ascii="Verdana" w:hAnsi="Verdana"/>
          <w:sz w:val="20"/>
          <w:szCs w:val="20"/>
          <w:lang w:val="en-US"/>
        </w:rPr>
        <w:t xml:space="preserve">ly back </w:t>
      </w:r>
      <w:r w:rsidRPr="00D869E3">
        <w:rPr>
          <w:rFonts w:ascii="Verdana" w:hAnsi="Verdana"/>
          <w:sz w:val="20"/>
          <w:szCs w:val="20"/>
          <w:lang w:val="en-US"/>
        </w:rPr>
        <w:t xml:space="preserve">to </w:t>
      </w:r>
      <w:r w:rsidR="00317073" w:rsidRPr="00D869E3">
        <w:rPr>
          <w:rFonts w:ascii="Verdana" w:hAnsi="Verdana"/>
          <w:sz w:val="20"/>
          <w:szCs w:val="20"/>
          <w:lang w:val="en-US"/>
        </w:rPr>
        <w:t>the Charter of the</w:t>
      </w:r>
      <w:r w:rsidR="00E70701" w:rsidRPr="00D869E3">
        <w:rPr>
          <w:rFonts w:ascii="Verdana" w:hAnsi="Verdana"/>
          <w:sz w:val="20"/>
          <w:szCs w:val="20"/>
          <w:lang w:val="en-US"/>
        </w:rPr>
        <w:t xml:space="preserve"> </w:t>
      </w:r>
      <w:r w:rsidR="00260A24" w:rsidRPr="00D869E3">
        <w:rPr>
          <w:rFonts w:ascii="Verdana" w:hAnsi="Verdana"/>
          <w:sz w:val="20"/>
          <w:szCs w:val="20"/>
          <w:lang w:val="en-US"/>
        </w:rPr>
        <w:t>Organization of American States</w:t>
      </w:r>
      <w:r w:rsidR="00E70701" w:rsidRPr="00D869E3">
        <w:rPr>
          <w:rFonts w:ascii="Verdana" w:hAnsi="Verdana"/>
          <w:sz w:val="20"/>
          <w:szCs w:val="20"/>
          <w:lang w:val="en-US"/>
        </w:rPr>
        <w:t xml:space="preserve">. </w:t>
      </w:r>
      <w:r w:rsidRPr="00D869E3">
        <w:rPr>
          <w:rFonts w:ascii="Verdana" w:hAnsi="Verdana"/>
          <w:sz w:val="20"/>
          <w:szCs w:val="20"/>
          <w:lang w:val="en-US"/>
        </w:rPr>
        <w:t xml:space="preserve">However, from </w:t>
      </w:r>
      <w:r w:rsidR="007F6AF9" w:rsidRPr="00D869E3">
        <w:rPr>
          <w:rFonts w:ascii="Verdana" w:hAnsi="Verdana"/>
          <w:sz w:val="20"/>
          <w:szCs w:val="20"/>
          <w:lang w:val="en-US"/>
        </w:rPr>
        <w:t>r</w:t>
      </w:r>
      <w:r w:rsidRPr="00D869E3">
        <w:rPr>
          <w:rFonts w:ascii="Verdana" w:hAnsi="Verdana"/>
          <w:sz w:val="20"/>
          <w:szCs w:val="20"/>
          <w:lang w:val="en-US"/>
        </w:rPr>
        <w:t xml:space="preserve">eading the Charter it may be concluded that </w:t>
      </w:r>
      <w:r w:rsidR="007F6AF9" w:rsidRPr="00D869E3">
        <w:rPr>
          <w:rFonts w:ascii="Verdana" w:hAnsi="Verdana"/>
          <w:sz w:val="20"/>
          <w:szCs w:val="20"/>
          <w:lang w:val="en-US"/>
        </w:rPr>
        <w:t xml:space="preserve">neither does this text </w:t>
      </w:r>
      <w:r w:rsidRPr="00D869E3">
        <w:rPr>
          <w:rFonts w:ascii="Verdana" w:hAnsi="Verdana"/>
          <w:sz w:val="20"/>
          <w:szCs w:val="20"/>
          <w:lang w:val="en-US"/>
        </w:rPr>
        <w:t xml:space="preserve">contain a list of clear and precise subjective rights; rather, to the contrary, it contains a list of goals and expectations that the States of the region pursue, which makes it difficult to understand which </w:t>
      </w:r>
      <w:r w:rsidR="007F6AF9" w:rsidRPr="00D869E3">
        <w:rPr>
          <w:rFonts w:ascii="Verdana" w:hAnsi="Verdana"/>
          <w:sz w:val="20"/>
          <w:szCs w:val="20"/>
          <w:lang w:val="en-US"/>
        </w:rPr>
        <w:t xml:space="preserve">are the </w:t>
      </w:r>
      <w:r w:rsidRPr="00D869E3">
        <w:rPr>
          <w:rFonts w:ascii="Verdana" w:hAnsi="Verdana"/>
          <w:sz w:val="20"/>
          <w:szCs w:val="20"/>
          <w:lang w:val="en-US"/>
        </w:rPr>
        <w:t xml:space="preserve">rights </w:t>
      </w:r>
      <w:r w:rsidR="007F6AF9" w:rsidRPr="00D869E3">
        <w:rPr>
          <w:rFonts w:ascii="Verdana" w:hAnsi="Verdana"/>
          <w:sz w:val="20"/>
          <w:szCs w:val="20"/>
          <w:lang w:val="en-US"/>
        </w:rPr>
        <w:t xml:space="preserve">that </w:t>
      </w:r>
      <w:r w:rsidRPr="00D869E3">
        <w:rPr>
          <w:rFonts w:ascii="Verdana" w:hAnsi="Verdana"/>
          <w:sz w:val="20"/>
          <w:szCs w:val="20"/>
          <w:lang w:val="en-US"/>
        </w:rPr>
        <w:t xml:space="preserve">the </w:t>
      </w:r>
      <w:r w:rsidR="007F6AF9" w:rsidRPr="00D869E3">
        <w:rPr>
          <w:rFonts w:ascii="Verdana" w:hAnsi="Verdana"/>
          <w:sz w:val="20"/>
          <w:szCs w:val="20"/>
          <w:lang w:val="en-US"/>
        </w:rPr>
        <w:t>said A</w:t>
      </w:r>
      <w:r w:rsidRPr="00D869E3">
        <w:rPr>
          <w:rFonts w:ascii="Verdana" w:hAnsi="Verdana"/>
          <w:sz w:val="20"/>
          <w:szCs w:val="20"/>
          <w:lang w:val="en-US"/>
        </w:rPr>
        <w:t xml:space="preserve">rticle </w:t>
      </w:r>
      <w:r w:rsidR="007F6AF9" w:rsidRPr="00D869E3">
        <w:rPr>
          <w:rFonts w:ascii="Verdana" w:hAnsi="Verdana"/>
          <w:sz w:val="20"/>
          <w:szCs w:val="20"/>
          <w:lang w:val="en-US"/>
        </w:rPr>
        <w:t xml:space="preserve">26 </w:t>
      </w:r>
      <w:r w:rsidRPr="00D869E3">
        <w:rPr>
          <w:rFonts w:ascii="Verdana" w:hAnsi="Verdana"/>
          <w:sz w:val="20"/>
          <w:szCs w:val="20"/>
          <w:lang w:val="en-US"/>
        </w:rPr>
        <w:t>mentions. In particular, there are few express references to the ESCR and, it is necessary to make a fairly extensive interpretive effort in order to affirm that they are really established in the Charter.</w:t>
      </w:r>
    </w:p>
    <w:p w14:paraId="25367A41" w14:textId="77777777" w:rsidR="00E70701" w:rsidRPr="00D869E3" w:rsidRDefault="00E70701" w:rsidP="00C44F79">
      <w:pPr>
        <w:jc w:val="both"/>
        <w:rPr>
          <w:rFonts w:ascii="Verdana" w:hAnsi="Verdana"/>
          <w:sz w:val="20"/>
          <w:szCs w:val="20"/>
          <w:lang w:val="en-US"/>
        </w:rPr>
      </w:pPr>
    </w:p>
    <w:p w14:paraId="35FCD393" w14:textId="3A66E2C3" w:rsidR="00E70701" w:rsidRPr="00D869E3" w:rsidRDefault="001D52F2" w:rsidP="001D52F2">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 xml:space="preserve">Even if it would have been desirable that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26 </w:t>
      </w:r>
      <w:r w:rsidRPr="00D869E3">
        <w:rPr>
          <w:rFonts w:ascii="Verdana" w:hAnsi="Verdana"/>
          <w:sz w:val="20"/>
          <w:szCs w:val="20"/>
          <w:lang w:val="en-US"/>
        </w:rPr>
        <w:t xml:space="preserve">used a less problematic legislative technique, the reality is that it </w:t>
      </w:r>
      <w:r w:rsidR="00B35C33" w:rsidRPr="00D869E3">
        <w:rPr>
          <w:rFonts w:ascii="Verdana" w:hAnsi="Verdana"/>
          <w:sz w:val="20"/>
          <w:szCs w:val="20"/>
          <w:lang w:val="en-US"/>
        </w:rPr>
        <w:t>cites</w:t>
      </w:r>
      <w:r w:rsidR="00E70701" w:rsidRPr="00D869E3">
        <w:rPr>
          <w:rFonts w:ascii="Verdana" w:hAnsi="Verdana"/>
          <w:sz w:val="20"/>
          <w:szCs w:val="20"/>
          <w:lang w:val="en-US"/>
        </w:rPr>
        <w:t xml:space="preserve"> </w:t>
      </w:r>
      <w:r w:rsidR="00197983" w:rsidRPr="00D869E3">
        <w:rPr>
          <w:rFonts w:ascii="Verdana" w:hAnsi="Verdana"/>
          <w:sz w:val="20"/>
          <w:szCs w:val="20"/>
          <w:lang w:val="en-US"/>
        </w:rPr>
        <w:t>the OAS Charter</w:t>
      </w:r>
      <w:r w:rsidR="00687684" w:rsidRPr="00D869E3">
        <w:rPr>
          <w:rFonts w:ascii="Verdana" w:hAnsi="Verdana"/>
          <w:sz w:val="20"/>
          <w:szCs w:val="20"/>
          <w:lang w:val="en-US"/>
        </w:rPr>
        <w:t xml:space="preserve"> and </w:t>
      </w:r>
      <w:r w:rsidR="00E70701" w:rsidRPr="00D869E3">
        <w:rPr>
          <w:rFonts w:ascii="Verdana" w:hAnsi="Verdana"/>
          <w:sz w:val="20"/>
          <w:szCs w:val="20"/>
          <w:lang w:val="en-US"/>
        </w:rPr>
        <w:t>no</w:t>
      </w:r>
      <w:r w:rsidRPr="00D869E3">
        <w:rPr>
          <w:rFonts w:ascii="Verdana" w:hAnsi="Verdana"/>
          <w:sz w:val="20"/>
          <w:szCs w:val="20"/>
          <w:lang w:val="en-US"/>
        </w:rPr>
        <w:t xml:space="preserve">t </w:t>
      </w:r>
      <w:r w:rsidR="00E70701" w:rsidRPr="00D869E3">
        <w:rPr>
          <w:rFonts w:ascii="Verdana" w:hAnsi="Verdana"/>
          <w:sz w:val="20"/>
          <w:szCs w:val="20"/>
          <w:lang w:val="en-US"/>
        </w:rPr>
        <w:t xml:space="preserve"> </w:t>
      </w:r>
      <w:r w:rsidR="00FE7426" w:rsidRPr="00D869E3">
        <w:rPr>
          <w:rFonts w:ascii="Verdana" w:hAnsi="Verdana"/>
          <w:sz w:val="20"/>
          <w:szCs w:val="20"/>
          <w:lang w:val="en-US"/>
        </w:rPr>
        <w:t>the American Declaration</w:t>
      </w:r>
      <w:r w:rsidR="00E70701" w:rsidRPr="00D869E3">
        <w:rPr>
          <w:rFonts w:ascii="Verdana" w:hAnsi="Verdana"/>
          <w:sz w:val="20"/>
          <w:szCs w:val="20"/>
          <w:lang w:val="en-US"/>
        </w:rPr>
        <w:t xml:space="preserve">, </w:t>
      </w:r>
      <w:r w:rsidRPr="00D869E3">
        <w:rPr>
          <w:rFonts w:ascii="Verdana" w:hAnsi="Verdana"/>
          <w:sz w:val="20"/>
          <w:szCs w:val="20"/>
          <w:lang w:val="en-US"/>
        </w:rPr>
        <w:t xml:space="preserve">which could have led to a different interpretation, because the Declaration does refer more clearly to the </w:t>
      </w:r>
      <w:r w:rsidR="00F42CF0" w:rsidRPr="00D869E3">
        <w:rPr>
          <w:rFonts w:ascii="Verdana" w:hAnsi="Verdana"/>
          <w:sz w:val="20"/>
          <w:szCs w:val="20"/>
          <w:lang w:val="en-US"/>
        </w:rPr>
        <w:t>ESCR</w:t>
      </w:r>
      <w:r w:rsidRPr="00D869E3">
        <w:rPr>
          <w:rFonts w:ascii="Verdana" w:hAnsi="Verdana"/>
          <w:sz w:val="20"/>
          <w:szCs w:val="20"/>
          <w:lang w:val="en-US"/>
        </w:rPr>
        <w:t>.</w:t>
      </w:r>
      <w:r w:rsidR="00E70701" w:rsidRPr="00D869E3">
        <w:rPr>
          <w:rStyle w:val="Refdenotaalpie"/>
          <w:szCs w:val="20"/>
          <w:lang w:val="en-US"/>
        </w:rPr>
        <w:footnoteReference w:id="449"/>
      </w:r>
      <w:r w:rsidRPr="00D869E3">
        <w:rPr>
          <w:rFonts w:ascii="Verdana" w:hAnsi="Verdana"/>
          <w:sz w:val="20"/>
          <w:szCs w:val="20"/>
          <w:lang w:val="en-US"/>
        </w:rPr>
        <w:t xml:space="preserve"> Unfortunately, this is not the case.</w:t>
      </w:r>
      <w:r w:rsidR="00E70701" w:rsidRPr="00D869E3">
        <w:rPr>
          <w:rStyle w:val="Refdenotaalpie"/>
          <w:szCs w:val="20"/>
          <w:lang w:val="en-US"/>
        </w:rPr>
        <w:footnoteReference w:id="450"/>
      </w:r>
      <w:r w:rsidR="00E70701" w:rsidRPr="00D869E3">
        <w:rPr>
          <w:rFonts w:ascii="Verdana" w:hAnsi="Verdana"/>
          <w:sz w:val="20"/>
          <w:szCs w:val="20"/>
          <w:lang w:val="en-US"/>
        </w:rPr>
        <w:t xml:space="preserve"> </w:t>
      </w:r>
      <w:r w:rsidRPr="00D869E3">
        <w:rPr>
          <w:rFonts w:ascii="Verdana" w:hAnsi="Verdana"/>
          <w:sz w:val="20"/>
          <w:szCs w:val="20"/>
          <w:lang w:val="en-US"/>
        </w:rPr>
        <w:t xml:space="preserve">Thus, the use of </w:t>
      </w:r>
      <w:r w:rsidR="00FE7426" w:rsidRPr="00D869E3">
        <w:rPr>
          <w:rFonts w:ascii="Verdana" w:hAnsi="Verdana"/>
          <w:sz w:val="20"/>
          <w:szCs w:val="20"/>
          <w:lang w:val="en-US"/>
        </w:rPr>
        <w:t>the American Declaration</w:t>
      </w:r>
      <w:r w:rsidR="00E70701" w:rsidRPr="00D869E3">
        <w:rPr>
          <w:rFonts w:ascii="Verdana" w:hAnsi="Verdana"/>
          <w:sz w:val="20"/>
          <w:szCs w:val="20"/>
          <w:lang w:val="en-US"/>
        </w:rPr>
        <w:t xml:space="preserve"> </w:t>
      </w:r>
      <w:r w:rsidRPr="00D869E3">
        <w:rPr>
          <w:rFonts w:ascii="Verdana" w:hAnsi="Verdana"/>
          <w:sz w:val="20"/>
          <w:szCs w:val="20"/>
          <w:lang w:val="en-US"/>
        </w:rPr>
        <w:t>in this judgment is</w:t>
      </w:r>
      <w:r w:rsidR="00E70701" w:rsidRPr="00D869E3">
        <w:rPr>
          <w:rFonts w:ascii="Verdana" w:hAnsi="Verdana"/>
          <w:sz w:val="20"/>
          <w:szCs w:val="20"/>
          <w:lang w:val="en-US"/>
        </w:rPr>
        <w:t xml:space="preserve"> </w:t>
      </w:r>
      <w:r w:rsidR="006436CA" w:rsidRPr="00D869E3">
        <w:rPr>
          <w:rFonts w:ascii="Verdana" w:hAnsi="Verdana"/>
          <w:sz w:val="20"/>
          <w:szCs w:val="20"/>
          <w:lang w:val="en-US"/>
        </w:rPr>
        <w:t>“</w:t>
      </w:r>
      <w:r w:rsidRPr="00D869E3">
        <w:rPr>
          <w:rFonts w:ascii="Verdana" w:hAnsi="Verdana"/>
          <w:sz w:val="20"/>
          <w:szCs w:val="20"/>
          <w:lang w:val="en-US"/>
        </w:rPr>
        <w:t>a shortcut,</w:t>
      </w:r>
      <w:r w:rsidR="006436CA" w:rsidRPr="00D869E3">
        <w:rPr>
          <w:rFonts w:ascii="Verdana" w:hAnsi="Verdana"/>
          <w:sz w:val="20"/>
          <w:szCs w:val="20"/>
          <w:lang w:val="en-US"/>
        </w:rPr>
        <w:t>”</w:t>
      </w:r>
      <w:r w:rsidRPr="00D869E3">
        <w:rPr>
          <w:rFonts w:ascii="Verdana" w:hAnsi="Verdana"/>
          <w:sz w:val="20"/>
          <w:szCs w:val="20"/>
          <w:lang w:val="en-US"/>
        </w:rPr>
        <w:t xml:space="preserve"> </w:t>
      </w:r>
      <w:r w:rsidR="00B35C33" w:rsidRPr="00D869E3">
        <w:rPr>
          <w:rFonts w:ascii="Verdana" w:hAnsi="Verdana"/>
          <w:sz w:val="20"/>
          <w:szCs w:val="20"/>
          <w:lang w:val="en-US"/>
        </w:rPr>
        <w:t>which is only substantiated by</w:t>
      </w:r>
      <w:r w:rsidRPr="00D869E3">
        <w:rPr>
          <w:rFonts w:ascii="Verdana" w:hAnsi="Verdana"/>
          <w:sz w:val="20"/>
          <w:szCs w:val="20"/>
          <w:lang w:val="en-US"/>
        </w:rPr>
        <w:t xml:space="preserve"> a reference to a 1989 </w:t>
      </w:r>
      <w:r w:rsidR="0087339F" w:rsidRPr="00D869E3">
        <w:rPr>
          <w:rFonts w:ascii="Verdana" w:hAnsi="Verdana"/>
          <w:sz w:val="20"/>
          <w:szCs w:val="20"/>
          <w:lang w:val="en-US"/>
        </w:rPr>
        <w:t>Advisory Opinion</w:t>
      </w:r>
      <w:r w:rsidR="00E70701" w:rsidRPr="00D869E3">
        <w:rPr>
          <w:rFonts w:ascii="Verdana" w:hAnsi="Verdana"/>
          <w:sz w:val="20"/>
          <w:szCs w:val="20"/>
          <w:lang w:val="en-US"/>
        </w:rPr>
        <w:t>.</w:t>
      </w:r>
    </w:p>
    <w:p w14:paraId="3F4D7E93" w14:textId="77777777" w:rsidR="00E70701" w:rsidRPr="00D869E3" w:rsidRDefault="00E70701" w:rsidP="00C44F79">
      <w:pPr>
        <w:jc w:val="both"/>
        <w:rPr>
          <w:rFonts w:ascii="Verdana" w:hAnsi="Verdana"/>
          <w:sz w:val="20"/>
          <w:szCs w:val="20"/>
          <w:lang w:val="en-US"/>
        </w:rPr>
      </w:pPr>
    </w:p>
    <w:p w14:paraId="1C426C35" w14:textId="1816147B" w:rsidR="00671FCE" w:rsidRPr="00D869E3" w:rsidRDefault="001D52F2"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 xml:space="preserve">That said,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E70701" w:rsidRPr="00D869E3">
        <w:rPr>
          <w:rFonts w:ascii="Verdana" w:hAnsi="Verdana"/>
          <w:sz w:val="20"/>
          <w:szCs w:val="20"/>
          <w:lang w:val="en-US"/>
        </w:rPr>
        <w:t xml:space="preserve"> </w:t>
      </w:r>
      <w:r w:rsidRPr="00D869E3">
        <w:rPr>
          <w:rFonts w:ascii="Verdana" w:hAnsi="Verdana"/>
          <w:sz w:val="20"/>
          <w:szCs w:val="20"/>
          <w:lang w:val="en-US"/>
        </w:rPr>
        <w:t>is one of those</w:t>
      </w:r>
      <w:r w:rsidR="00E70701" w:rsidRPr="00D869E3">
        <w:rPr>
          <w:rFonts w:ascii="Verdana" w:hAnsi="Verdana"/>
          <w:sz w:val="20"/>
          <w:szCs w:val="20"/>
          <w:lang w:val="en-US"/>
        </w:rPr>
        <w:t xml:space="preserve"> </w:t>
      </w:r>
      <w:r w:rsidR="00881A39" w:rsidRPr="00D869E3">
        <w:rPr>
          <w:rFonts w:ascii="Verdana" w:hAnsi="Verdana"/>
          <w:sz w:val="20"/>
          <w:szCs w:val="20"/>
          <w:lang w:val="en-US"/>
        </w:rPr>
        <w:t>rights</w:t>
      </w:r>
      <w:r w:rsidR="00E70701" w:rsidRPr="00D869E3">
        <w:rPr>
          <w:rFonts w:ascii="Verdana" w:hAnsi="Verdana"/>
          <w:sz w:val="20"/>
          <w:szCs w:val="20"/>
          <w:lang w:val="en-US"/>
        </w:rPr>
        <w:t xml:space="preserve"> </w:t>
      </w:r>
      <w:r w:rsidRPr="00D869E3">
        <w:rPr>
          <w:rFonts w:ascii="Verdana" w:hAnsi="Verdana"/>
          <w:sz w:val="20"/>
          <w:szCs w:val="20"/>
          <w:lang w:val="en-US"/>
        </w:rPr>
        <w:t xml:space="preserve">that could be derived from the Charter, </w:t>
      </w:r>
      <w:r w:rsidR="00671FCE" w:rsidRPr="00D869E3">
        <w:rPr>
          <w:rFonts w:ascii="Verdana" w:hAnsi="Verdana"/>
          <w:sz w:val="20"/>
          <w:szCs w:val="20"/>
          <w:lang w:val="en-US"/>
        </w:rPr>
        <w:t>above and beyond the simple reference to the name,</w:t>
      </w:r>
      <w:r w:rsidR="00E70701" w:rsidRPr="00D869E3">
        <w:rPr>
          <w:rStyle w:val="Refdenotaalpie"/>
          <w:szCs w:val="20"/>
          <w:lang w:val="en-US"/>
        </w:rPr>
        <w:footnoteReference w:id="451"/>
      </w:r>
      <w:r w:rsidR="00671FCE" w:rsidRPr="00D869E3">
        <w:rPr>
          <w:rFonts w:ascii="Verdana" w:hAnsi="Verdana"/>
          <w:sz w:val="20"/>
          <w:szCs w:val="20"/>
          <w:lang w:val="en-US"/>
        </w:rPr>
        <w:t xml:space="preserve"> because that instrument mentions it expressly. However, </w:t>
      </w:r>
      <w:r w:rsidR="000B2E5E" w:rsidRPr="00D869E3">
        <w:rPr>
          <w:rFonts w:ascii="Verdana" w:hAnsi="Verdana"/>
          <w:sz w:val="20"/>
          <w:szCs w:val="20"/>
          <w:lang w:val="en-US"/>
        </w:rPr>
        <w:t xml:space="preserve">the </w:t>
      </w:r>
      <w:r w:rsidR="00301DBE" w:rsidRPr="00D869E3">
        <w:rPr>
          <w:rFonts w:ascii="Verdana" w:hAnsi="Verdana"/>
          <w:sz w:val="20"/>
          <w:szCs w:val="20"/>
          <w:lang w:val="en-US"/>
        </w:rPr>
        <w:t>right to work</w:t>
      </w:r>
      <w:r w:rsidR="00671FCE" w:rsidRPr="00D869E3">
        <w:rPr>
          <w:rFonts w:ascii="Verdana" w:hAnsi="Verdana"/>
          <w:sz w:val="20"/>
          <w:szCs w:val="20"/>
          <w:lang w:val="en-US"/>
        </w:rPr>
        <w:t xml:space="preserve"> is one thing</w:t>
      </w:r>
      <w:r w:rsidR="00687684" w:rsidRPr="00D869E3">
        <w:rPr>
          <w:rFonts w:ascii="Verdana" w:hAnsi="Verdana"/>
          <w:sz w:val="20"/>
          <w:szCs w:val="20"/>
          <w:lang w:val="en-US"/>
        </w:rPr>
        <w:t xml:space="preserve"> and </w:t>
      </w:r>
      <w:r w:rsidR="00671FCE" w:rsidRPr="00D869E3">
        <w:rPr>
          <w:rFonts w:ascii="Verdana" w:hAnsi="Verdana"/>
          <w:sz w:val="20"/>
          <w:szCs w:val="20"/>
          <w:lang w:val="en-US"/>
        </w:rPr>
        <w:t>job security is quite another, and this reveals the dilemma that arises when the list of rights and their scope are not well defined. In addition, it should not be forgotten that the general obligation of Article 26 of the ACHR permits the Court to monitor compliance with the obligation of progressive development and its consequent obligation of non-retrogressivity, an analysis that was not made in this judgment.</w:t>
      </w:r>
    </w:p>
    <w:p w14:paraId="1210EFA9" w14:textId="77777777" w:rsidR="00E70701" w:rsidRPr="00D869E3" w:rsidRDefault="00E70701" w:rsidP="00C44F79">
      <w:pPr>
        <w:jc w:val="both"/>
        <w:rPr>
          <w:rFonts w:ascii="Verdana" w:hAnsi="Verdana"/>
          <w:sz w:val="20"/>
          <w:szCs w:val="20"/>
          <w:lang w:val="en-US"/>
        </w:rPr>
      </w:pPr>
    </w:p>
    <w:p w14:paraId="2EC6EAA8" w14:textId="37347CCF" w:rsidR="00E70701" w:rsidRPr="00D869E3" w:rsidRDefault="00671FCE" w:rsidP="00671FCE">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 xml:space="preserve">In addition, I insist in clarifying that the referral is to the Charter and not to other declarations, treaties or documents of </w:t>
      </w:r>
      <w:r w:rsidR="00E70701" w:rsidRPr="00D869E3">
        <w:rPr>
          <w:rFonts w:ascii="Verdana" w:hAnsi="Verdana"/>
          <w:iCs/>
          <w:sz w:val="20"/>
          <w:szCs w:val="20"/>
          <w:lang w:val="en-US"/>
        </w:rPr>
        <w:t>soft law</w:t>
      </w:r>
      <w:r w:rsidRPr="00D869E3">
        <w:rPr>
          <w:rFonts w:ascii="Verdana" w:hAnsi="Verdana"/>
          <w:iCs/>
          <w:sz w:val="20"/>
          <w:szCs w:val="20"/>
          <w:lang w:val="en-US"/>
        </w:rPr>
        <w:t>,</w:t>
      </w:r>
      <w:r w:rsidR="00E70701" w:rsidRPr="00D869E3">
        <w:rPr>
          <w:rStyle w:val="Refdenotaalpie"/>
          <w:szCs w:val="20"/>
          <w:lang w:val="en-US"/>
        </w:rPr>
        <w:footnoteReference w:id="452"/>
      </w:r>
      <w:r w:rsidR="00E70701" w:rsidRPr="00D869E3">
        <w:rPr>
          <w:rFonts w:ascii="Verdana" w:hAnsi="Verdana"/>
          <w:sz w:val="20"/>
          <w:szCs w:val="20"/>
          <w:lang w:val="en-US"/>
        </w:rPr>
        <w:t xml:space="preserve"> </w:t>
      </w:r>
      <w:r w:rsidRPr="00D869E3">
        <w:rPr>
          <w:rFonts w:ascii="Verdana" w:hAnsi="Verdana"/>
          <w:sz w:val="20"/>
          <w:szCs w:val="20"/>
          <w:lang w:val="en-US"/>
        </w:rPr>
        <w:t>because mentioning them does not rectify or change what is expressly indicated in</w:t>
      </w:r>
      <w:r w:rsidR="00E70701" w:rsidRPr="00D869E3">
        <w:rPr>
          <w:rFonts w:ascii="Verdana" w:hAnsi="Verdana"/>
          <w:sz w:val="20"/>
          <w:szCs w:val="20"/>
          <w:lang w:val="en-US"/>
        </w:rPr>
        <w:t xml:space="preserve">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26 </w:t>
      </w:r>
      <w:r w:rsidR="00F42CF0" w:rsidRPr="00D869E3">
        <w:rPr>
          <w:rFonts w:ascii="Verdana" w:hAnsi="Verdana"/>
          <w:sz w:val="20"/>
          <w:szCs w:val="20"/>
          <w:lang w:val="en-US"/>
        </w:rPr>
        <w:t>of the ACHR</w:t>
      </w:r>
      <w:r w:rsidRPr="00D869E3">
        <w:rPr>
          <w:rFonts w:ascii="Verdana" w:hAnsi="Verdana"/>
          <w:sz w:val="20"/>
          <w:szCs w:val="20"/>
          <w:lang w:val="en-US"/>
        </w:rPr>
        <w:t xml:space="preserve">, In other words, referring to “a vast </w:t>
      </w:r>
      <w:r w:rsidR="00E70701" w:rsidRPr="00D869E3">
        <w:rPr>
          <w:rFonts w:ascii="Verdana" w:hAnsi="Verdana"/>
          <w:i/>
          <w:sz w:val="20"/>
          <w:szCs w:val="20"/>
          <w:lang w:val="en-US"/>
        </w:rPr>
        <w:t>corpus iuris</w:t>
      </w:r>
      <w:r w:rsidRPr="00D869E3">
        <w:rPr>
          <w:rFonts w:ascii="Verdana" w:hAnsi="Verdana"/>
          <w:i/>
          <w:sz w:val="20"/>
          <w:szCs w:val="20"/>
          <w:lang w:val="en-US"/>
        </w:rPr>
        <w:t>,</w:t>
      </w:r>
      <w:r w:rsidR="006436CA" w:rsidRPr="00D869E3">
        <w:rPr>
          <w:rFonts w:ascii="Verdana" w:hAnsi="Verdana"/>
          <w:sz w:val="20"/>
          <w:szCs w:val="20"/>
          <w:lang w:val="en-US"/>
        </w:rPr>
        <w:t>”</w:t>
      </w:r>
      <w:r w:rsidR="00E70701" w:rsidRPr="00D869E3">
        <w:rPr>
          <w:rStyle w:val="Refdenotaalpie"/>
          <w:szCs w:val="20"/>
          <w:lang w:val="en-US"/>
        </w:rPr>
        <w:footnoteReference w:id="453"/>
      </w:r>
      <w:r w:rsidR="00E70701" w:rsidRPr="00D869E3">
        <w:rPr>
          <w:rFonts w:ascii="Verdana" w:hAnsi="Verdana"/>
          <w:sz w:val="20"/>
          <w:szCs w:val="20"/>
          <w:lang w:val="en-US"/>
        </w:rPr>
        <w:t xml:space="preserve"> </w:t>
      </w:r>
      <w:r w:rsidRPr="00D869E3">
        <w:rPr>
          <w:rFonts w:ascii="Verdana" w:hAnsi="Verdana"/>
          <w:sz w:val="20"/>
          <w:szCs w:val="20"/>
          <w:lang w:val="en-US"/>
        </w:rPr>
        <w:t>mentioning treaties of the universal system and regional systems other than the inter-American system, does not change the fact that the referral in Article 26 is to the Charter and to no other instrument, treaty o</w:t>
      </w:r>
      <w:r w:rsidR="00B35C33" w:rsidRPr="00D869E3">
        <w:rPr>
          <w:rFonts w:ascii="Verdana" w:hAnsi="Verdana"/>
          <w:sz w:val="20"/>
          <w:szCs w:val="20"/>
          <w:lang w:val="en-US"/>
        </w:rPr>
        <w:t>r</w:t>
      </w:r>
      <w:r w:rsidRPr="00D869E3">
        <w:rPr>
          <w:rFonts w:ascii="Verdana" w:hAnsi="Verdana"/>
          <w:sz w:val="20"/>
          <w:szCs w:val="20"/>
          <w:lang w:val="en-US"/>
        </w:rPr>
        <w:t xml:space="preserve"> document of international law</w:t>
      </w:r>
      <w:r w:rsidR="00E70701" w:rsidRPr="00D869E3">
        <w:rPr>
          <w:rFonts w:ascii="Verdana" w:hAnsi="Verdana"/>
          <w:sz w:val="20"/>
          <w:szCs w:val="20"/>
          <w:lang w:val="en-US"/>
        </w:rPr>
        <w:t xml:space="preserve">. </w:t>
      </w:r>
    </w:p>
    <w:p w14:paraId="2024F4B8" w14:textId="77777777" w:rsidR="00E70701" w:rsidRPr="00D869E3" w:rsidRDefault="00E70701" w:rsidP="00C44F79">
      <w:pPr>
        <w:jc w:val="both"/>
        <w:rPr>
          <w:rFonts w:ascii="Verdana" w:hAnsi="Verdana"/>
          <w:sz w:val="20"/>
          <w:szCs w:val="20"/>
          <w:lang w:val="en-US"/>
        </w:rPr>
      </w:pPr>
    </w:p>
    <w:p w14:paraId="44CCE779" w14:textId="19D84FA7" w:rsidR="00E70701" w:rsidRPr="00D869E3" w:rsidRDefault="00BC2734"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If</w:t>
      </w:r>
      <w:r w:rsidR="00671FCE" w:rsidRPr="00D869E3">
        <w:rPr>
          <w:rFonts w:ascii="Verdana" w:hAnsi="Verdana"/>
          <w:sz w:val="20"/>
          <w:szCs w:val="20"/>
          <w:lang w:val="en-US"/>
        </w:rPr>
        <w:t xml:space="preserve"> trying to construct a list of </w:t>
      </w:r>
      <w:r w:rsidR="00F42CF0" w:rsidRPr="00D869E3">
        <w:rPr>
          <w:rFonts w:ascii="Verdana" w:hAnsi="Verdana"/>
          <w:sz w:val="20"/>
          <w:szCs w:val="20"/>
          <w:lang w:val="en-US"/>
        </w:rPr>
        <w:t>ESCR</w:t>
      </w:r>
      <w:r w:rsidR="00E70701" w:rsidRPr="00D869E3">
        <w:rPr>
          <w:rFonts w:ascii="Verdana" w:hAnsi="Verdana"/>
          <w:sz w:val="20"/>
          <w:szCs w:val="20"/>
          <w:lang w:val="en-US"/>
        </w:rPr>
        <w:t xml:space="preserve"> </w:t>
      </w:r>
      <w:r w:rsidR="00671FCE" w:rsidRPr="00D869E3">
        <w:rPr>
          <w:rFonts w:ascii="Verdana" w:hAnsi="Verdana"/>
          <w:sz w:val="20"/>
          <w:szCs w:val="20"/>
          <w:lang w:val="en-US"/>
        </w:rPr>
        <w:t xml:space="preserve">based on </w:t>
      </w:r>
      <w:r w:rsidR="00B35C33" w:rsidRPr="00D869E3">
        <w:rPr>
          <w:rFonts w:ascii="Verdana" w:hAnsi="Verdana"/>
          <w:sz w:val="20"/>
          <w:szCs w:val="20"/>
          <w:lang w:val="en-US"/>
        </w:rPr>
        <w:t xml:space="preserve">the </w:t>
      </w:r>
      <w:r w:rsidR="00671FCE" w:rsidRPr="00D869E3">
        <w:rPr>
          <w:rFonts w:ascii="Verdana" w:hAnsi="Verdana"/>
          <w:sz w:val="20"/>
          <w:szCs w:val="20"/>
          <w:lang w:val="en-US"/>
        </w:rPr>
        <w:t>Charter is a complex interpretive task</w:t>
      </w:r>
      <w:r w:rsidRPr="00D869E3">
        <w:rPr>
          <w:rFonts w:ascii="Verdana" w:hAnsi="Verdana"/>
          <w:sz w:val="20"/>
          <w:szCs w:val="20"/>
          <w:lang w:val="en-US"/>
        </w:rPr>
        <w:t xml:space="preserve">, using </w:t>
      </w:r>
      <w:r w:rsidR="00B35C33" w:rsidRPr="00D869E3">
        <w:rPr>
          <w:rFonts w:ascii="Verdana" w:hAnsi="Verdana"/>
          <w:sz w:val="20"/>
          <w:szCs w:val="20"/>
          <w:lang w:val="en-US"/>
        </w:rPr>
        <w:t>every</w:t>
      </w:r>
      <w:r w:rsidRPr="00D869E3">
        <w:rPr>
          <w:rFonts w:ascii="Verdana" w:hAnsi="Verdana"/>
          <w:sz w:val="20"/>
          <w:szCs w:val="20"/>
          <w:lang w:val="en-US"/>
        </w:rPr>
        <w:t xml:space="preserve"> existing human rights treaties to give content to</w:t>
      </w:r>
      <w:r w:rsidR="00E70701" w:rsidRPr="00D869E3">
        <w:rPr>
          <w:rFonts w:ascii="Verdana" w:hAnsi="Verdana"/>
          <w:sz w:val="20"/>
          <w:szCs w:val="20"/>
          <w:lang w:val="en-US"/>
        </w:rPr>
        <w:t xml:space="preserve">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26 </w:t>
      </w:r>
      <w:r w:rsidR="00F42CF0" w:rsidRPr="00D869E3">
        <w:rPr>
          <w:rFonts w:ascii="Verdana" w:hAnsi="Verdana"/>
          <w:sz w:val="20"/>
          <w:szCs w:val="20"/>
          <w:lang w:val="en-US"/>
        </w:rPr>
        <w:t>of the ACHR</w:t>
      </w:r>
      <w:r w:rsidR="00B35C33" w:rsidRPr="00D869E3">
        <w:rPr>
          <w:rFonts w:ascii="Verdana" w:hAnsi="Verdana"/>
          <w:sz w:val="20"/>
          <w:szCs w:val="20"/>
          <w:lang w:val="en-US"/>
        </w:rPr>
        <w:t xml:space="preserve"> </w:t>
      </w:r>
      <w:r w:rsidRPr="00D869E3">
        <w:rPr>
          <w:rFonts w:ascii="Verdana" w:hAnsi="Verdana"/>
          <w:sz w:val="20"/>
          <w:szCs w:val="20"/>
          <w:lang w:val="en-US"/>
        </w:rPr>
        <w:t xml:space="preserve">can </w:t>
      </w:r>
      <w:r w:rsidR="00B35C33" w:rsidRPr="00D869E3">
        <w:rPr>
          <w:rFonts w:ascii="Verdana" w:hAnsi="Verdana"/>
          <w:sz w:val="20"/>
          <w:szCs w:val="20"/>
          <w:lang w:val="en-US"/>
        </w:rPr>
        <w:t xml:space="preserve">only </w:t>
      </w:r>
      <w:r w:rsidR="002F123A" w:rsidRPr="00D869E3">
        <w:rPr>
          <w:rFonts w:ascii="Verdana" w:hAnsi="Verdana"/>
          <w:sz w:val="20"/>
          <w:szCs w:val="20"/>
          <w:lang w:val="en-US"/>
        </w:rPr>
        <w:t>create</w:t>
      </w:r>
      <w:r w:rsidRPr="00D869E3">
        <w:rPr>
          <w:rFonts w:ascii="Verdana" w:hAnsi="Verdana"/>
          <w:sz w:val="20"/>
          <w:szCs w:val="20"/>
          <w:lang w:val="en-US"/>
        </w:rPr>
        <w:t xml:space="preserve"> a dynamic of </w:t>
      </w:r>
      <w:r w:rsidR="006436CA" w:rsidRPr="00D869E3">
        <w:rPr>
          <w:rFonts w:ascii="Verdana" w:hAnsi="Verdana" w:cs="Arial"/>
          <w:sz w:val="20"/>
          <w:szCs w:val="20"/>
          <w:lang w:val="en-US"/>
        </w:rPr>
        <w:t>“</w:t>
      </w:r>
      <w:r w:rsidR="00E70701" w:rsidRPr="00D869E3">
        <w:rPr>
          <w:rFonts w:ascii="Verdana" w:hAnsi="Verdana" w:cs="Arial"/>
          <w:i/>
          <w:sz w:val="20"/>
          <w:szCs w:val="20"/>
          <w:lang w:val="en-US"/>
        </w:rPr>
        <w:t>vis expansiva</w:t>
      </w:r>
      <w:r w:rsidR="006436CA" w:rsidRPr="00D869E3">
        <w:rPr>
          <w:rFonts w:ascii="Verdana" w:hAnsi="Verdana" w:cs="Arial"/>
          <w:sz w:val="20"/>
          <w:szCs w:val="20"/>
          <w:lang w:val="en-US"/>
        </w:rPr>
        <w:t>”</w:t>
      </w:r>
      <w:r w:rsidR="00E70701" w:rsidRPr="00D869E3">
        <w:rPr>
          <w:rFonts w:ascii="Verdana" w:hAnsi="Verdana" w:cs="Arial"/>
          <w:sz w:val="20"/>
          <w:szCs w:val="20"/>
          <w:lang w:val="en-US"/>
        </w:rPr>
        <w:t xml:space="preserve"> </w:t>
      </w:r>
      <w:r w:rsidR="00B35C33" w:rsidRPr="00D869E3">
        <w:rPr>
          <w:rFonts w:ascii="Verdana" w:hAnsi="Verdana" w:cs="Arial"/>
          <w:sz w:val="20"/>
          <w:szCs w:val="20"/>
          <w:lang w:val="en-US"/>
        </w:rPr>
        <w:t>[</w:t>
      </w:r>
      <w:r w:rsidR="002F123A" w:rsidRPr="00D869E3">
        <w:rPr>
          <w:rFonts w:ascii="Verdana" w:hAnsi="Verdana" w:cs="Arial"/>
          <w:sz w:val="20"/>
          <w:szCs w:val="20"/>
          <w:lang w:val="en-US"/>
        </w:rPr>
        <w:t>“</w:t>
      </w:r>
      <w:r w:rsidR="00B35C33" w:rsidRPr="00D869E3">
        <w:rPr>
          <w:rFonts w:ascii="Verdana" w:hAnsi="Verdana" w:cs="Arial"/>
          <w:sz w:val="20"/>
          <w:szCs w:val="20"/>
          <w:lang w:val="en-US"/>
        </w:rPr>
        <w:t xml:space="preserve">expansive force”] </w:t>
      </w:r>
      <w:r w:rsidR="002F123A" w:rsidRPr="00D869E3">
        <w:rPr>
          <w:rFonts w:ascii="Verdana" w:hAnsi="Verdana" w:cs="Arial"/>
          <w:sz w:val="20"/>
          <w:szCs w:val="20"/>
          <w:lang w:val="en-US"/>
        </w:rPr>
        <w:t>of</w:t>
      </w:r>
      <w:r w:rsidRPr="00D869E3">
        <w:rPr>
          <w:rFonts w:ascii="Verdana" w:hAnsi="Verdana" w:cs="Arial"/>
          <w:sz w:val="20"/>
          <w:szCs w:val="20"/>
          <w:lang w:val="en-US"/>
        </w:rPr>
        <w:t xml:space="preserve"> the international responsibility of the States. In other words, since there is no definitive list of the ESCR the violation of which generates </w:t>
      </w:r>
      <w:r w:rsidR="002F123A" w:rsidRPr="00D869E3">
        <w:rPr>
          <w:rFonts w:ascii="Verdana" w:hAnsi="Verdana" w:cs="Arial"/>
          <w:sz w:val="20"/>
          <w:szCs w:val="20"/>
          <w:lang w:val="en-US"/>
        </w:rPr>
        <w:t xml:space="preserve">State </w:t>
      </w:r>
      <w:r w:rsidRPr="00D869E3">
        <w:rPr>
          <w:rFonts w:ascii="Verdana" w:hAnsi="Verdana" w:cs="Arial"/>
          <w:sz w:val="20"/>
          <w:szCs w:val="20"/>
          <w:lang w:val="en-US"/>
        </w:rPr>
        <w:t>responsibility</w:t>
      </w:r>
      <w:r w:rsidR="002F123A" w:rsidRPr="00D869E3">
        <w:rPr>
          <w:rFonts w:ascii="Verdana" w:hAnsi="Verdana" w:cs="Arial"/>
          <w:sz w:val="20"/>
          <w:szCs w:val="20"/>
          <w:lang w:val="en-US"/>
        </w:rPr>
        <w:t xml:space="preserve">, the </w:t>
      </w:r>
      <w:r w:rsidRPr="00D869E3">
        <w:rPr>
          <w:rFonts w:ascii="Verdana" w:hAnsi="Verdana" w:cs="Arial"/>
          <w:sz w:val="20"/>
          <w:szCs w:val="20"/>
          <w:lang w:val="en-US"/>
        </w:rPr>
        <w:t xml:space="preserve">States are unable to prevent or redress such violations in the </w:t>
      </w:r>
      <w:r w:rsidRPr="00D869E3">
        <w:rPr>
          <w:rFonts w:ascii="Verdana" w:hAnsi="Verdana" w:cs="Arial"/>
          <w:sz w:val="20"/>
          <w:szCs w:val="20"/>
          <w:lang w:val="en-US"/>
        </w:rPr>
        <w:lastRenderedPageBreak/>
        <w:t xml:space="preserve">domestic sphere because, </w:t>
      </w:r>
      <w:r w:rsidR="002F123A" w:rsidRPr="00D869E3">
        <w:rPr>
          <w:rFonts w:ascii="Verdana" w:hAnsi="Verdana" w:cs="Arial"/>
          <w:sz w:val="20"/>
          <w:szCs w:val="20"/>
          <w:lang w:val="en-US"/>
        </w:rPr>
        <w:t>simply put</w:t>
      </w:r>
      <w:r w:rsidRPr="00D869E3">
        <w:rPr>
          <w:rFonts w:ascii="Verdana" w:hAnsi="Verdana" w:cs="Arial"/>
          <w:sz w:val="20"/>
          <w:szCs w:val="20"/>
          <w:lang w:val="en-US"/>
        </w:rPr>
        <w:t xml:space="preserve">,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 xml:space="preserve"> </w:t>
      </w:r>
      <w:r w:rsidRPr="00D869E3">
        <w:rPr>
          <w:rFonts w:ascii="Verdana" w:hAnsi="Verdana" w:cs="Arial"/>
          <w:sz w:val="20"/>
          <w:szCs w:val="20"/>
          <w:lang w:val="en-US"/>
        </w:rPr>
        <w:t>may amend the list of rights depending on the case.</w:t>
      </w:r>
    </w:p>
    <w:p w14:paraId="03D8E261" w14:textId="77777777" w:rsidR="00E70701" w:rsidRPr="00D869E3" w:rsidRDefault="00E70701" w:rsidP="00C44F79">
      <w:pPr>
        <w:jc w:val="both"/>
        <w:rPr>
          <w:rFonts w:ascii="Verdana" w:hAnsi="Verdana" w:cs="Arial"/>
          <w:sz w:val="20"/>
          <w:szCs w:val="20"/>
          <w:lang w:val="en-US"/>
        </w:rPr>
      </w:pPr>
    </w:p>
    <w:p w14:paraId="3271596A" w14:textId="07293F00" w:rsidR="00E70701" w:rsidRPr="00D869E3" w:rsidRDefault="00075E68" w:rsidP="008E5890">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In this regard</w:t>
      </w:r>
      <w:r w:rsidR="00E70701" w:rsidRPr="00D869E3">
        <w:rPr>
          <w:rFonts w:ascii="Verdana" w:hAnsi="Verdana" w:cs="Arial"/>
          <w:sz w:val="20"/>
          <w:szCs w:val="20"/>
          <w:lang w:val="en-US"/>
        </w:rPr>
        <w:t xml:space="preserve">, </w:t>
      </w:r>
      <w:r w:rsidR="00BC2734" w:rsidRPr="00D869E3">
        <w:rPr>
          <w:rFonts w:ascii="Verdana" w:hAnsi="Verdana" w:cs="Arial"/>
          <w:sz w:val="20"/>
          <w:szCs w:val="20"/>
          <w:lang w:val="en-US"/>
        </w:rPr>
        <w:t xml:space="preserve">the judgment examined </w:t>
      </w:r>
      <w:r w:rsidR="002F123A" w:rsidRPr="00D869E3">
        <w:rPr>
          <w:rFonts w:ascii="Verdana" w:hAnsi="Verdana" w:cs="Arial"/>
          <w:sz w:val="20"/>
          <w:szCs w:val="20"/>
          <w:lang w:val="en-US"/>
        </w:rPr>
        <w:t xml:space="preserve">causes </w:t>
      </w:r>
      <w:r w:rsidR="00BC2734" w:rsidRPr="00D869E3">
        <w:rPr>
          <w:rFonts w:ascii="Verdana" w:hAnsi="Verdana" w:cs="Arial"/>
          <w:sz w:val="20"/>
          <w:szCs w:val="20"/>
          <w:lang w:val="en-US"/>
        </w:rPr>
        <w:t>concern because it inaugurates a</w:t>
      </w:r>
      <w:r w:rsidR="002F123A" w:rsidRPr="00D869E3">
        <w:rPr>
          <w:rFonts w:ascii="Verdana" w:hAnsi="Verdana" w:cs="Arial"/>
          <w:sz w:val="20"/>
          <w:szCs w:val="20"/>
          <w:lang w:val="en-US"/>
        </w:rPr>
        <w:t>n</w:t>
      </w:r>
      <w:r w:rsidR="00BC2734" w:rsidRPr="00D869E3">
        <w:rPr>
          <w:rFonts w:ascii="Verdana" w:hAnsi="Verdana" w:cs="Arial"/>
          <w:sz w:val="20"/>
          <w:szCs w:val="20"/>
          <w:lang w:val="en-US"/>
        </w:rPr>
        <w:t xml:space="preserve"> </w:t>
      </w:r>
      <w:r w:rsidR="008E5890" w:rsidRPr="00D869E3">
        <w:rPr>
          <w:rFonts w:ascii="Verdana" w:hAnsi="Verdana" w:cs="Arial"/>
          <w:sz w:val="20"/>
          <w:szCs w:val="20"/>
          <w:lang w:val="en-US"/>
        </w:rPr>
        <w:t>operating</w:t>
      </w:r>
      <w:r w:rsidR="00BC2734" w:rsidRPr="00D869E3">
        <w:rPr>
          <w:rFonts w:ascii="Verdana" w:hAnsi="Verdana" w:cs="Arial"/>
          <w:sz w:val="20"/>
          <w:szCs w:val="20"/>
          <w:lang w:val="en-US"/>
        </w:rPr>
        <w:t xml:space="preserve"> logic for inter-American </w:t>
      </w:r>
      <w:r w:rsidR="008E5890" w:rsidRPr="00D869E3">
        <w:rPr>
          <w:rFonts w:ascii="Verdana" w:hAnsi="Verdana" w:cs="Arial"/>
          <w:sz w:val="20"/>
          <w:szCs w:val="20"/>
          <w:lang w:val="en-US"/>
        </w:rPr>
        <w:t xml:space="preserve">justice that affects not only the system of competencies of </w:t>
      </w:r>
      <w:r w:rsidR="00447C65" w:rsidRPr="00D869E3">
        <w:rPr>
          <w:rFonts w:ascii="Verdana" w:hAnsi="Verdana" w:cs="Arial"/>
          <w:sz w:val="20"/>
          <w:szCs w:val="20"/>
          <w:lang w:val="en-US"/>
        </w:rPr>
        <w:t>the Commission</w:t>
      </w:r>
      <w:r w:rsidR="00687684" w:rsidRPr="00D869E3">
        <w:rPr>
          <w:rFonts w:ascii="Verdana" w:hAnsi="Verdana" w:cs="Arial"/>
          <w:sz w:val="20"/>
          <w:szCs w:val="20"/>
          <w:lang w:val="en-US"/>
        </w:rPr>
        <w:t xml:space="preserve"> and </w:t>
      </w:r>
      <w:r w:rsidR="00447C65" w:rsidRPr="00D869E3">
        <w:rPr>
          <w:rFonts w:ascii="Verdana" w:hAnsi="Verdana" w:cs="Arial"/>
          <w:sz w:val="20"/>
          <w:szCs w:val="20"/>
          <w:lang w:val="en-US"/>
        </w:rPr>
        <w:t>the Court</w:t>
      </w:r>
      <w:r w:rsidR="00E70701" w:rsidRPr="00D869E3">
        <w:rPr>
          <w:rFonts w:ascii="Verdana" w:hAnsi="Verdana" w:cs="Arial"/>
          <w:sz w:val="20"/>
          <w:szCs w:val="20"/>
          <w:lang w:val="en-US"/>
        </w:rPr>
        <w:t xml:space="preserve">, </w:t>
      </w:r>
      <w:r w:rsidR="008E5890" w:rsidRPr="00D869E3">
        <w:rPr>
          <w:rFonts w:ascii="Verdana" w:hAnsi="Verdana" w:cs="Arial"/>
          <w:sz w:val="20"/>
          <w:szCs w:val="20"/>
          <w:lang w:val="en-US"/>
        </w:rPr>
        <w:t xml:space="preserve">but also begins to amend and add a list of new rights protected by </w:t>
      </w:r>
      <w:r w:rsidR="00447C65" w:rsidRPr="00D869E3">
        <w:rPr>
          <w:rFonts w:ascii="Verdana" w:hAnsi="Verdana" w:cs="Arial"/>
          <w:sz w:val="20"/>
          <w:szCs w:val="20"/>
          <w:lang w:val="en-US"/>
        </w:rPr>
        <w:t>the American Convention</w:t>
      </w:r>
      <w:r w:rsidR="00E70701" w:rsidRPr="00D869E3">
        <w:rPr>
          <w:rFonts w:ascii="Verdana" w:hAnsi="Verdana" w:cs="Arial"/>
          <w:sz w:val="20"/>
          <w:szCs w:val="20"/>
          <w:lang w:val="en-US"/>
        </w:rPr>
        <w:t>.</w:t>
      </w:r>
    </w:p>
    <w:p w14:paraId="417FF77F" w14:textId="77777777" w:rsidR="00E70701" w:rsidRPr="00D869E3" w:rsidRDefault="00E70701" w:rsidP="00C44F79">
      <w:pPr>
        <w:jc w:val="both"/>
        <w:rPr>
          <w:rFonts w:ascii="Verdana" w:hAnsi="Verdana" w:cs="Arial"/>
          <w:b/>
          <w:sz w:val="20"/>
          <w:szCs w:val="20"/>
          <w:lang w:val="en-US"/>
        </w:rPr>
      </w:pPr>
    </w:p>
    <w:p w14:paraId="6546A19F" w14:textId="52FBCB85" w:rsidR="00E70701" w:rsidRPr="00D869E3" w:rsidRDefault="00294239" w:rsidP="00E70701">
      <w:pPr>
        <w:pStyle w:val="Prrafodelista"/>
        <w:numPr>
          <w:ilvl w:val="0"/>
          <w:numId w:val="38"/>
        </w:numPr>
        <w:tabs>
          <w:tab w:val="left" w:pos="426"/>
          <w:tab w:val="left" w:pos="709"/>
        </w:tabs>
        <w:jc w:val="both"/>
        <w:rPr>
          <w:rFonts w:ascii="Verdana" w:hAnsi="Verdana"/>
          <w:b/>
          <w:sz w:val="20"/>
          <w:szCs w:val="20"/>
          <w:lang w:val="en-US"/>
        </w:rPr>
      </w:pPr>
      <w:r w:rsidRPr="00D869E3">
        <w:rPr>
          <w:rFonts w:ascii="Verdana" w:hAnsi="Verdana"/>
          <w:b/>
          <w:sz w:val="20"/>
          <w:szCs w:val="20"/>
          <w:lang w:val="en-US"/>
        </w:rPr>
        <w:t>The</w:t>
      </w:r>
      <w:r w:rsidR="00E70701" w:rsidRPr="00D869E3">
        <w:rPr>
          <w:rFonts w:ascii="Verdana" w:hAnsi="Verdana"/>
          <w:b/>
          <w:sz w:val="20"/>
          <w:szCs w:val="20"/>
          <w:lang w:val="en-US"/>
        </w:rPr>
        <w:t xml:space="preserve"> Protocol</w:t>
      </w:r>
      <w:r w:rsidRPr="00D869E3">
        <w:rPr>
          <w:rFonts w:ascii="Verdana" w:hAnsi="Verdana"/>
          <w:b/>
          <w:sz w:val="20"/>
          <w:szCs w:val="20"/>
          <w:lang w:val="en-US"/>
        </w:rPr>
        <w:t xml:space="preserve"> of</w:t>
      </w:r>
      <w:r w:rsidR="00E70701" w:rsidRPr="00D869E3">
        <w:rPr>
          <w:rFonts w:ascii="Verdana" w:hAnsi="Verdana"/>
          <w:b/>
          <w:sz w:val="20"/>
          <w:szCs w:val="20"/>
          <w:lang w:val="en-US"/>
        </w:rPr>
        <w:t xml:space="preserve"> San Salvador</w:t>
      </w:r>
    </w:p>
    <w:p w14:paraId="61B32C79" w14:textId="77777777" w:rsidR="00E70701" w:rsidRPr="00D869E3" w:rsidRDefault="00E70701" w:rsidP="00C44F79">
      <w:pPr>
        <w:jc w:val="both"/>
        <w:rPr>
          <w:rFonts w:ascii="Verdana" w:hAnsi="Verdana" w:cs="Arial"/>
          <w:b/>
          <w:sz w:val="20"/>
          <w:szCs w:val="20"/>
          <w:lang w:val="en-US"/>
        </w:rPr>
      </w:pPr>
    </w:p>
    <w:p w14:paraId="31BE0463" w14:textId="18A1FF27" w:rsidR="00E70701" w:rsidRPr="00D869E3" w:rsidRDefault="00D52907" w:rsidP="00E70701">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As indicated previously,</w:t>
      </w:r>
      <w:r w:rsidR="00E70701" w:rsidRPr="00D869E3">
        <w:rPr>
          <w:rStyle w:val="Refdenotaalpie"/>
          <w:szCs w:val="20"/>
          <w:lang w:val="en-US"/>
        </w:rPr>
        <w:footnoteReference w:id="454"/>
      </w:r>
      <w:r w:rsidR="00E70701" w:rsidRPr="00D869E3">
        <w:rPr>
          <w:rFonts w:ascii="Verdana" w:hAnsi="Verdana"/>
          <w:sz w:val="20"/>
          <w:szCs w:val="20"/>
          <w:lang w:val="en-US"/>
        </w:rPr>
        <w:t xml:space="preserve"> </w:t>
      </w:r>
      <w:r w:rsidRPr="00D869E3">
        <w:rPr>
          <w:rFonts w:ascii="Verdana" w:hAnsi="Verdana"/>
          <w:sz w:val="20"/>
          <w:szCs w:val="20"/>
          <w:lang w:val="en-US"/>
        </w:rPr>
        <w:t xml:space="preserve">it is not possible to address the debate on </w:t>
      </w:r>
      <w:r w:rsidR="00447C65" w:rsidRPr="00D869E3">
        <w:rPr>
          <w:rFonts w:ascii="Verdana" w:hAnsi="Verdana"/>
          <w:sz w:val="20"/>
          <w:szCs w:val="20"/>
          <w:lang w:val="en-US"/>
        </w:rPr>
        <w:t>the Inter-American Court</w:t>
      </w:r>
      <w:r w:rsidR="002F123A" w:rsidRPr="00D869E3">
        <w:rPr>
          <w:rFonts w:ascii="Verdana" w:hAnsi="Verdana"/>
          <w:sz w:val="20"/>
          <w:szCs w:val="20"/>
          <w:lang w:val="en-US"/>
        </w:rPr>
        <w:t>’s jurisdiction</w:t>
      </w:r>
      <w:r w:rsidR="00E70701" w:rsidRPr="00D869E3">
        <w:rPr>
          <w:rFonts w:ascii="Verdana" w:hAnsi="Verdana"/>
          <w:sz w:val="20"/>
          <w:szCs w:val="20"/>
          <w:lang w:val="en-US"/>
        </w:rPr>
        <w:t xml:space="preserve"> </w:t>
      </w:r>
      <w:r w:rsidR="00B235CB" w:rsidRPr="00D869E3">
        <w:rPr>
          <w:rFonts w:ascii="Verdana" w:hAnsi="Verdana"/>
          <w:sz w:val="20"/>
          <w:szCs w:val="20"/>
          <w:lang w:val="en-US"/>
        </w:rPr>
        <w:t xml:space="preserve">in the </w:t>
      </w:r>
      <w:r w:rsidRPr="00D869E3">
        <w:rPr>
          <w:rFonts w:ascii="Verdana" w:hAnsi="Verdana"/>
          <w:sz w:val="20"/>
          <w:szCs w:val="20"/>
          <w:lang w:val="en-US"/>
        </w:rPr>
        <w:t>a</w:t>
      </w:r>
      <w:r w:rsidR="00B235CB" w:rsidRPr="00D869E3">
        <w:rPr>
          <w:rFonts w:ascii="Verdana" w:hAnsi="Verdana"/>
          <w:sz w:val="20"/>
          <w:szCs w:val="20"/>
          <w:lang w:val="en-US"/>
        </w:rPr>
        <w:t>rea of</w:t>
      </w:r>
      <w:r w:rsidR="00E70701" w:rsidRPr="00D869E3">
        <w:rPr>
          <w:rFonts w:ascii="Verdana" w:hAnsi="Verdana"/>
          <w:sz w:val="20"/>
          <w:szCs w:val="20"/>
          <w:lang w:val="en-US"/>
        </w:rPr>
        <w:t xml:space="preserve"> </w:t>
      </w:r>
      <w:r w:rsidR="00F42CF0" w:rsidRPr="00D869E3">
        <w:rPr>
          <w:rFonts w:ascii="Verdana" w:hAnsi="Verdana"/>
          <w:sz w:val="20"/>
          <w:szCs w:val="20"/>
          <w:lang w:val="en-US"/>
        </w:rPr>
        <w:t>ESCR</w:t>
      </w:r>
      <w:r w:rsidR="00E70701" w:rsidRPr="00D869E3">
        <w:rPr>
          <w:rFonts w:ascii="Verdana" w:hAnsi="Verdana"/>
          <w:sz w:val="20"/>
          <w:szCs w:val="20"/>
          <w:lang w:val="en-US"/>
        </w:rPr>
        <w:t xml:space="preserve"> </w:t>
      </w:r>
      <w:r w:rsidRPr="00D869E3">
        <w:rPr>
          <w:rFonts w:ascii="Verdana" w:hAnsi="Verdana"/>
          <w:sz w:val="20"/>
          <w:szCs w:val="20"/>
          <w:lang w:val="en-US"/>
        </w:rPr>
        <w:t xml:space="preserve">without taking into account the </w:t>
      </w:r>
      <w:r w:rsidR="000F0B45" w:rsidRPr="00D869E3">
        <w:rPr>
          <w:rFonts w:ascii="Verdana" w:hAnsi="Verdana"/>
          <w:sz w:val="20"/>
          <w:szCs w:val="20"/>
          <w:lang w:val="en-US"/>
        </w:rPr>
        <w:t>Protocol</w:t>
      </w:r>
      <w:r w:rsidR="00E70701" w:rsidRPr="00D869E3">
        <w:rPr>
          <w:rFonts w:ascii="Verdana" w:hAnsi="Verdana"/>
          <w:sz w:val="20"/>
          <w:szCs w:val="20"/>
          <w:lang w:val="en-US"/>
        </w:rPr>
        <w:t xml:space="preserve"> </w:t>
      </w:r>
      <w:r w:rsidR="004E7ECD">
        <w:rPr>
          <w:rFonts w:ascii="Verdana" w:hAnsi="Verdana"/>
          <w:sz w:val="20"/>
          <w:szCs w:val="20"/>
          <w:lang w:val="en-US"/>
        </w:rPr>
        <w:t>of</w:t>
      </w:r>
      <w:r w:rsidR="00E70701" w:rsidRPr="00D869E3">
        <w:rPr>
          <w:rFonts w:ascii="Verdana" w:hAnsi="Verdana"/>
          <w:sz w:val="20"/>
          <w:szCs w:val="20"/>
          <w:lang w:val="en-US"/>
        </w:rPr>
        <w:t xml:space="preserve"> San Salvador. </w:t>
      </w:r>
      <w:r w:rsidRPr="00D869E3">
        <w:rPr>
          <w:rFonts w:ascii="Verdana" w:hAnsi="Verdana"/>
          <w:sz w:val="20"/>
          <w:szCs w:val="20"/>
          <w:lang w:val="en-US"/>
        </w:rPr>
        <w:t>The</w:t>
      </w:r>
      <w:r w:rsidR="00E70701" w:rsidRPr="00D869E3">
        <w:rPr>
          <w:rFonts w:ascii="Verdana" w:hAnsi="Verdana"/>
          <w:sz w:val="20"/>
          <w:szCs w:val="20"/>
          <w:lang w:val="en-US"/>
        </w:rPr>
        <w:t xml:space="preserve"> </w:t>
      </w:r>
      <w:r w:rsidR="000F0B45" w:rsidRPr="00D869E3">
        <w:rPr>
          <w:rFonts w:ascii="Verdana" w:hAnsi="Verdana"/>
          <w:sz w:val="20"/>
          <w:szCs w:val="20"/>
          <w:lang w:val="en-US"/>
        </w:rPr>
        <w:t>Protocol</w:t>
      </w:r>
      <w:r w:rsidRPr="00D869E3">
        <w:rPr>
          <w:rFonts w:ascii="Verdana" w:hAnsi="Verdana"/>
          <w:sz w:val="20"/>
          <w:szCs w:val="20"/>
          <w:lang w:val="en-US"/>
        </w:rPr>
        <w:t xml:space="preserve">’s relevance stems from the fact that it is through this treaty that the States of the region took the decision to define which ESCR they are obliged to comply with. Also, they established clearly and precisely the content of the said </w:t>
      </w:r>
      <w:r w:rsidR="00881A39" w:rsidRPr="00D869E3">
        <w:rPr>
          <w:rFonts w:ascii="Verdana" w:hAnsi="Verdana"/>
          <w:sz w:val="20"/>
          <w:szCs w:val="20"/>
          <w:lang w:val="en-US"/>
        </w:rPr>
        <w:t>rights</w:t>
      </w:r>
      <w:r w:rsidR="00E70701" w:rsidRPr="00D869E3">
        <w:rPr>
          <w:rFonts w:ascii="Verdana" w:hAnsi="Verdana"/>
          <w:sz w:val="20"/>
          <w:szCs w:val="20"/>
          <w:lang w:val="en-US"/>
        </w:rPr>
        <w:t>.</w:t>
      </w:r>
    </w:p>
    <w:p w14:paraId="61BB090E" w14:textId="77777777" w:rsidR="00E70701" w:rsidRPr="00D869E3" w:rsidRDefault="00E70701" w:rsidP="00C44F79">
      <w:pPr>
        <w:pStyle w:val="Prrafodelista"/>
        <w:ind w:left="0"/>
        <w:jc w:val="both"/>
        <w:rPr>
          <w:rFonts w:ascii="Verdana" w:hAnsi="Verdana"/>
          <w:sz w:val="20"/>
          <w:szCs w:val="20"/>
          <w:lang w:val="en-US"/>
        </w:rPr>
      </w:pPr>
    </w:p>
    <w:p w14:paraId="5F5735AD" w14:textId="595397BB" w:rsidR="00E70701" w:rsidRPr="00D869E3" w:rsidRDefault="000D2262" w:rsidP="00D52907">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Despite this</w:t>
      </w:r>
      <w:r w:rsidR="00D52907" w:rsidRPr="00D869E3">
        <w:rPr>
          <w:rFonts w:ascii="Verdana" w:hAnsi="Verdana"/>
          <w:sz w:val="20"/>
          <w:szCs w:val="20"/>
          <w:lang w:val="en-US"/>
        </w:rPr>
        <w:t xml:space="preserve">, the States took the sovereign decision to restrict which ESCR established in the Protocol could be monitored by the mechanism of individual petitions when establishing in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19</w:t>
      </w:r>
      <w:r w:rsidR="00D52907" w:rsidRPr="00D869E3">
        <w:rPr>
          <w:rFonts w:ascii="Verdana" w:hAnsi="Verdana"/>
          <w:sz w:val="20"/>
          <w:szCs w:val="20"/>
          <w:lang w:val="en-US"/>
        </w:rPr>
        <w:t>(</w:t>
      </w:r>
      <w:r w:rsidR="00E70701" w:rsidRPr="00D869E3">
        <w:rPr>
          <w:rFonts w:ascii="Verdana" w:hAnsi="Verdana"/>
          <w:sz w:val="20"/>
          <w:szCs w:val="20"/>
          <w:lang w:val="en-US"/>
        </w:rPr>
        <w:t>6</w:t>
      </w:r>
      <w:r w:rsidR="00D52907" w:rsidRPr="00D869E3">
        <w:rPr>
          <w:rFonts w:ascii="Verdana" w:hAnsi="Verdana"/>
          <w:sz w:val="20"/>
          <w:szCs w:val="20"/>
          <w:lang w:val="en-US"/>
        </w:rPr>
        <w:t>)</w:t>
      </w:r>
      <w:r w:rsidR="00E70701" w:rsidRPr="00D869E3">
        <w:rPr>
          <w:rFonts w:ascii="Verdana" w:hAnsi="Verdana"/>
          <w:sz w:val="20"/>
          <w:szCs w:val="20"/>
          <w:lang w:val="en-US"/>
        </w:rPr>
        <w:t xml:space="preserve"> </w:t>
      </w:r>
      <w:r w:rsidR="00D52907" w:rsidRPr="00D869E3">
        <w:rPr>
          <w:rFonts w:ascii="Verdana" w:hAnsi="Verdana"/>
          <w:sz w:val="20"/>
          <w:szCs w:val="20"/>
          <w:lang w:val="en-US"/>
        </w:rPr>
        <w:t>that</w:t>
      </w:r>
      <w:r w:rsidR="00E70701" w:rsidRPr="00D869E3">
        <w:rPr>
          <w:rFonts w:ascii="Verdana" w:hAnsi="Verdana"/>
          <w:sz w:val="20"/>
          <w:szCs w:val="20"/>
          <w:lang w:val="en-US"/>
        </w:rPr>
        <w:t>:</w:t>
      </w:r>
    </w:p>
    <w:p w14:paraId="2FB314A7" w14:textId="77777777" w:rsidR="00E70701" w:rsidRPr="00D869E3" w:rsidRDefault="00E70701" w:rsidP="00C44F79">
      <w:pPr>
        <w:pStyle w:val="Prrafodelista"/>
        <w:tabs>
          <w:tab w:val="left" w:pos="426"/>
          <w:tab w:val="left" w:pos="709"/>
        </w:tabs>
        <w:ind w:left="0"/>
        <w:jc w:val="both"/>
        <w:rPr>
          <w:rFonts w:ascii="Verdana" w:hAnsi="Verdana"/>
          <w:sz w:val="20"/>
          <w:szCs w:val="20"/>
          <w:lang w:val="en-US"/>
        </w:rPr>
      </w:pPr>
    </w:p>
    <w:p w14:paraId="5F9B31DE" w14:textId="31072F75" w:rsidR="00D52907" w:rsidRPr="00D869E3" w:rsidRDefault="00E70701" w:rsidP="000D2262">
      <w:pPr>
        <w:ind w:left="450" w:right="566"/>
        <w:jc w:val="both"/>
        <w:rPr>
          <w:rFonts w:ascii="Verdana" w:hAnsi="Verdana"/>
          <w:sz w:val="16"/>
          <w:szCs w:val="16"/>
          <w:lang w:val="en-US"/>
        </w:rPr>
      </w:pPr>
      <w:r w:rsidRPr="00D869E3">
        <w:rPr>
          <w:rFonts w:ascii="Verdana" w:hAnsi="Verdana" w:cs="Tahoma"/>
          <w:color w:val="000000"/>
          <w:sz w:val="16"/>
          <w:szCs w:val="16"/>
          <w:shd w:val="clear" w:color="auto" w:fill="FFFFFF"/>
          <w:lang w:val="en-US"/>
        </w:rPr>
        <w:t xml:space="preserve">6. </w:t>
      </w:r>
      <w:r w:rsidR="00D52907" w:rsidRPr="00D869E3">
        <w:rPr>
          <w:rFonts w:ascii="Verdana" w:hAnsi="Verdana" w:cs="Tahoma"/>
          <w:sz w:val="16"/>
          <w:szCs w:val="16"/>
          <w:u w:val="single"/>
          <w:lang w:val="en-US"/>
        </w:rPr>
        <w:t>Any instance in which the rights established in paragraph a) of Article 8 and in Article 13 are violated by action directly attributable to a State Party</w:t>
      </w:r>
      <w:r w:rsidR="00D52907" w:rsidRPr="00D869E3">
        <w:rPr>
          <w:rFonts w:ascii="Verdana" w:hAnsi="Verdana" w:cs="Tahoma"/>
          <w:sz w:val="16"/>
          <w:szCs w:val="16"/>
          <w:lang w:val="en-US"/>
        </w:rPr>
        <w:t xml:space="preserve"> to this Protocol may give rise, through participation of the Inter-American Commission on Human Rights and, when applicable, of the Inter-American Court of Human Rights, </w:t>
      </w:r>
      <w:r w:rsidR="00D52907" w:rsidRPr="00D869E3">
        <w:rPr>
          <w:rFonts w:ascii="Verdana" w:hAnsi="Verdana" w:cs="Tahoma"/>
          <w:sz w:val="16"/>
          <w:szCs w:val="16"/>
          <w:u w:val="single"/>
          <w:lang w:val="en-US"/>
        </w:rPr>
        <w:t>to application of the system of individual petitions</w:t>
      </w:r>
      <w:r w:rsidR="00D52907" w:rsidRPr="00D869E3">
        <w:rPr>
          <w:rFonts w:ascii="Verdana" w:hAnsi="Verdana" w:cs="Tahoma"/>
          <w:sz w:val="16"/>
          <w:szCs w:val="16"/>
          <w:lang w:val="en-US"/>
        </w:rPr>
        <w:t xml:space="preserve"> governed by Article 44 through 51 and 61 through 69 of the American Convention on Human Rights (underlining added).</w:t>
      </w:r>
    </w:p>
    <w:p w14:paraId="27F81526" w14:textId="77777777" w:rsidR="00E70701" w:rsidRPr="00D869E3" w:rsidRDefault="00E70701" w:rsidP="00C44F79">
      <w:pPr>
        <w:pStyle w:val="Prrafodelista"/>
        <w:tabs>
          <w:tab w:val="left" w:pos="426"/>
          <w:tab w:val="left" w:pos="709"/>
        </w:tabs>
        <w:ind w:left="0"/>
        <w:jc w:val="both"/>
        <w:rPr>
          <w:rFonts w:ascii="Verdana" w:hAnsi="Verdana"/>
          <w:sz w:val="20"/>
          <w:szCs w:val="20"/>
          <w:lang w:val="en-US"/>
        </w:rPr>
      </w:pPr>
    </w:p>
    <w:p w14:paraId="7350151D" w14:textId="30C0727C" w:rsidR="00E70701" w:rsidRPr="00D869E3" w:rsidRDefault="00D52907" w:rsidP="00E70701">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Thus, by this provision, the States decided to limit the competence </w:t>
      </w:r>
      <w:r w:rsidR="00447C65" w:rsidRPr="00D869E3">
        <w:rPr>
          <w:rFonts w:ascii="Verdana" w:hAnsi="Verdana"/>
          <w:sz w:val="20"/>
          <w:szCs w:val="20"/>
          <w:lang w:val="en-US"/>
        </w:rPr>
        <w:t>of the Commission</w:t>
      </w:r>
      <w:r w:rsidR="00687684" w:rsidRPr="00D869E3">
        <w:rPr>
          <w:rFonts w:ascii="Verdana" w:hAnsi="Verdana"/>
          <w:sz w:val="20"/>
          <w:szCs w:val="20"/>
          <w:lang w:val="en-US"/>
        </w:rPr>
        <w:t xml:space="preserve"> and </w:t>
      </w:r>
      <w:r w:rsidR="00447C65" w:rsidRPr="00D869E3">
        <w:rPr>
          <w:rFonts w:ascii="Verdana" w:hAnsi="Verdana"/>
          <w:sz w:val="20"/>
          <w:szCs w:val="20"/>
          <w:lang w:val="en-US"/>
        </w:rPr>
        <w:t>of the Court</w:t>
      </w:r>
      <w:r w:rsidR="00E70701" w:rsidRPr="00D869E3">
        <w:rPr>
          <w:rFonts w:ascii="Verdana" w:hAnsi="Verdana"/>
          <w:sz w:val="20"/>
          <w:szCs w:val="20"/>
          <w:lang w:val="en-US"/>
        </w:rPr>
        <w:t xml:space="preserve"> </w:t>
      </w:r>
      <w:r w:rsidRPr="00D869E3">
        <w:rPr>
          <w:rFonts w:ascii="Verdana" w:hAnsi="Verdana"/>
          <w:sz w:val="20"/>
          <w:szCs w:val="20"/>
          <w:lang w:val="en-US"/>
        </w:rPr>
        <w:t xml:space="preserve">to examine contentious cases unless they related to trade union rights and to </w:t>
      </w:r>
      <w:r w:rsidR="000B2E5E" w:rsidRPr="00D869E3">
        <w:rPr>
          <w:rFonts w:ascii="Verdana" w:hAnsi="Verdana"/>
          <w:sz w:val="20"/>
          <w:szCs w:val="20"/>
          <w:lang w:val="en-US"/>
        </w:rPr>
        <w:t>the right to</w:t>
      </w:r>
      <w:r w:rsidR="00E70701" w:rsidRPr="00D869E3">
        <w:rPr>
          <w:rFonts w:ascii="Verdana" w:hAnsi="Verdana"/>
          <w:sz w:val="20"/>
          <w:szCs w:val="20"/>
          <w:lang w:val="en-US"/>
        </w:rPr>
        <w:t xml:space="preserve"> </w:t>
      </w:r>
      <w:r w:rsidRPr="00D869E3">
        <w:rPr>
          <w:rFonts w:ascii="Verdana" w:hAnsi="Verdana"/>
          <w:sz w:val="20"/>
          <w:szCs w:val="20"/>
          <w:lang w:val="en-US"/>
        </w:rPr>
        <w:t>education</w:t>
      </w:r>
      <w:r w:rsidR="00E70701" w:rsidRPr="00D869E3">
        <w:rPr>
          <w:rFonts w:ascii="Verdana" w:hAnsi="Verdana"/>
          <w:sz w:val="20"/>
          <w:szCs w:val="20"/>
          <w:lang w:val="en-US"/>
        </w:rPr>
        <w:t>.</w:t>
      </w:r>
    </w:p>
    <w:p w14:paraId="6246F038" w14:textId="77777777" w:rsidR="00E70701" w:rsidRPr="00D869E3" w:rsidRDefault="00E70701" w:rsidP="00C44F79">
      <w:pPr>
        <w:pStyle w:val="Prrafodelista"/>
        <w:ind w:left="0"/>
        <w:jc w:val="both"/>
        <w:rPr>
          <w:rFonts w:ascii="Verdana" w:hAnsi="Verdana"/>
          <w:sz w:val="20"/>
          <w:szCs w:val="20"/>
          <w:lang w:val="en-US"/>
        </w:rPr>
      </w:pPr>
    </w:p>
    <w:p w14:paraId="567A89C1" w14:textId="3CE86716" w:rsidR="00E70701" w:rsidRPr="00D869E3" w:rsidRDefault="00704FF2" w:rsidP="00704FF2">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That said, this limitation of </w:t>
      </w:r>
      <w:r w:rsidR="000D2262" w:rsidRPr="00D869E3">
        <w:rPr>
          <w:rFonts w:ascii="Verdana" w:hAnsi="Verdana"/>
          <w:sz w:val="20"/>
          <w:szCs w:val="20"/>
          <w:lang w:val="en-US"/>
        </w:rPr>
        <w:t>competence</w:t>
      </w:r>
      <w:r w:rsidRPr="00D869E3">
        <w:rPr>
          <w:rFonts w:ascii="Verdana" w:hAnsi="Verdana"/>
          <w:sz w:val="20"/>
          <w:szCs w:val="20"/>
          <w:lang w:val="en-US"/>
        </w:rPr>
        <w:t xml:space="preserve"> should not be understood as contradicting the provisions of Article 26 of the American Convention, if it is taken into account that </w:t>
      </w:r>
      <w:r w:rsidR="00EB5C78" w:rsidRPr="00D869E3">
        <w:rPr>
          <w:rFonts w:ascii="Verdana" w:hAnsi="Verdana"/>
          <w:sz w:val="20"/>
          <w:szCs w:val="20"/>
          <w:lang w:val="en-US"/>
        </w:rPr>
        <w:t xml:space="preserve">the said </w:t>
      </w:r>
      <w:r w:rsidR="000D2262" w:rsidRPr="00D869E3">
        <w:rPr>
          <w:rFonts w:ascii="Verdana" w:hAnsi="Verdana"/>
          <w:sz w:val="20"/>
          <w:szCs w:val="20"/>
          <w:lang w:val="en-US"/>
        </w:rPr>
        <w:t>article</w:t>
      </w:r>
      <w:r w:rsidR="00EB5C78" w:rsidRPr="00D869E3">
        <w:rPr>
          <w:rFonts w:ascii="Verdana" w:hAnsi="Verdana"/>
          <w:sz w:val="20"/>
          <w:szCs w:val="20"/>
          <w:lang w:val="en-US"/>
        </w:rPr>
        <w:t xml:space="preserve"> expresses the subsequent and more specific intention of the States </w:t>
      </w:r>
      <w:r w:rsidR="000D2262" w:rsidRPr="00D869E3">
        <w:rPr>
          <w:rFonts w:ascii="Verdana" w:hAnsi="Verdana"/>
          <w:sz w:val="20"/>
          <w:szCs w:val="20"/>
          <w:lang w:val="en-US"/>
        </w:rPr>
        <w:t>regarding</w:t>
      </w:r>
      <w:r w:rsidR="00EB5C78" w:rsidRPr="00D869E3">
        <w:rPr>
          <w:rFonts w:ascii="Verdana" w:hAnsi="Verdana"/>
          <w:sz w:val="20"/>
          <w:szCs w:val="20"/>
          <w:lang w:val="en-US"/>
        </w:rPr>
        <w:t xml:space="preserve"> the Inter-American Court</w:t>
      </w:r>
      <w:r w:rsidR="000D2262" w:rsidRPr="00D869E3">
        <w:rPr>
          <w:rFonts w:ascii="Verdana" w:hAnsi="Verdana"/>
          <w:sz w:val="20"/>
          <w:szCs w:val="20"/>
          <w:lang w:val="en-US"/>
        </w:rPr>
        <w:t>’s competence in relation to</w:t>
      </w:r>
      <w:r w:rsidR="00EB5C78" w:rsidRPr="00D869E3">
        <w:rPr>
          <w:rFonts w:ascii="Verdana" w:hAnsi="Verdana"/>
          <w:sz w:val="20"/>
          <w:szCs w:val="20"/>
          <w:lang w:val="en-US"/>
        </w:rPr>
        <w:t xml:space="preserve"> the ESCR. Furthermore, the American Convention should not be read in isolation without taking its Protocol into account, because the</w:t>
      </w:r>
      <w:r w:rsidR="000D2262" w:rsidRPr="00D869E3">
        <w:rPr>
          <w:rFonts w:ascii="Verdana" w:hAnsi="Verdana"/>
          <w:sz w:val="20"/>
          <w:szCs w:val="20"/>
          <w:lang w:val="en-US"/>
        </w:rPr>
        <w:t>se</w:t>
      </w:r>
      <w:r w:rsidR="00EB5C78" w:rsidRPr="00D869E3">
        <w:rPr>
          <w:rFonts w:ascii="Verdana" w:hAnsi="Verdana"/>
          <w:sz w:val="20"/>
          <w:szCs w:val="20"/>
          <w:lang w:val="en-US"/>
        </w:rPr>
        <w:t xml:space="preserve"> are complementary treaties that should be read and interpreted jointly. </w:t>
      </w:r>
      <w:r w:rsidR="00075E68" w:rsidRPr="00D869E3">
        <w:rPr>
          <w:rFonts w:ascii="Verdana" w:hAnsi="Verdana"/>
          <w:sz w:val="20"/>
          <w:szCs w:val="20"/>
          <w:lang w:val="en-US"/>
        </w:rPr>
        <w:t>In this regard</w:t>
      </w:r>
      <w:r w:rsidR="00E70701" w:rsidRPr="00D869E3">
        <w:rPr>
          <w:rFonts w:ascii="Verdana" w:hAnsi="Verdana"/>
          <w:sz w:val="20"/>
          <w:szCs w:val="20"/>
          <w:lang w:val="en-US"/>
        </w:rPr>
        <w:t xml:space="preserve">, </w:t>
      </w:r>
      <w:r w:rsidR="00EB5C78" w:rsidRPr="00D869E3">
        <w:rPr>
          <w:rFonts w:ascii="Verdana" w:hAnsi="Verdana" w:cs="Arial"/>
          <w:sz w:val="20"/>
          <w:szCs w:val="20"/>
          <w:lang w:val="en-US"/>
        </w:rPr>
        <w:t>the different proposals for the reform of the inter-American human rights system that sought to include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the justiciability</w:t>
      </w:r>
      <w:r w:rsidR="00E70701" w:rsidRPr="00D869E3">
        <w:rPr>
          <w:rFonts w:ascii="Verdana" w:hAnsi="Verdana" w:cs="Arial"/>
          <w:sz w:val="20"/>
          <w:szCs w:val="20"/>
          <w:lang w:val="en-US"/>
        </w:rPr>
        <w:t xml:space="preserve"> </w:t>
      </w:r>
      <w:r w:rsidR="00EB5C78" w:rsidRPr="00D869E3">
        <w:rPr>
          <w:rFonts w:ascii="Verdana" w:hAnsi="Verdana" w:cs="Arial"/>
          <w:sz w:val="20"/>
          <w:szCs w:val="20"/>
          <w:lang w:val="en-US"/>
        </w:rPr>
        <w:t>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ESCR</w:t>
      </w:r>
      <w:r w:rsidR="00E70701" w:rsidRPr="00D869E3">
        <w:rPr>
          <w:rFonts w:ascii="Verdana" w:hAnsi="Verdana" w:cs="Arial"/>
          <w:sz w:val="20"/>
          <w:szCs w:val="20"/>
          <w:lang w:val="en-US"/>
        </w:rPr>
        <w:t xml:space="preserve"> </w:t>
      </w:r>
      <w:r w:rsidR="00EB5C78" w:rsidRPr="00D869E3">
        <w:rPr>
          <w:rFonts w:ascii="Verdana" w:hAnsi="Verdana" w:cs="Arial"/>
          <w:sz w:val="20"/>
          <w:szCs w:val="20"/>
          <w:lang w:val="en-US"/>
        </w:rPr>
        <w:t xml:space="preserve">reveal that </w:t>
      </w:r>
      <w:r w:rsidR="000D2262" w:rsidRPr="00D869E3">
        <w:rPr>
          <w:rFonts w:ascii="Verdana" w:hAnsi="Verdana" w:cs="Arial"/>
          <w:sz w:val="20"/>
          <w:szCs w:val="20"/>
          <w:lang w:val="en-US"/>
        </w:rPr>
        <w:t>this involved an</w:t>
      </w:r>
      <w:r w:rsidR="00EB5C78" w:rsidRPr="00D869E3">
        <w:rPr>
          <w:rFonts w:ascii="Verdana" w:hAnsi="Verdana" w:cs="Arial"/>
          <w:sz w:val="20"/>
          <w:szCs w:val="20"/>
          <w:lang w:val="en-US"/>
        </w:rPr>
        <w:t xml:space="preserve"> understanding </w:t>
      </w:r>
      <w:r w:rsidR="00447C65" w:rsidRPr="00D869E3">
        <w:rPr>
          <w:rFonts w:ascii="Verdana" w:hAnsi="Verdana" w:cs="Arial"/>
          <w:sz w:val="20"/>
          <w:szCs w:val="20"/>
          <w:lang w:val="en-US"/>
        </w:rPr>
        <w:t>of the Convention</w:t>
      </w:r>
      <w:r w:rsidR="00E70701" w:rsidRPr="00D869E3">
        <w:rPr>
          <w:rFonts w:ascii="Verdana" w:hAnsi="Verdana" w:cs="Arial"/>
          <w:sz w:val="20"/>
          <w:szCs w:val="20"/>
          <w:lang w:val="en-US"/>
        </w:rPr>
        <w:t xml:space="preserve"> </w:t>
      </w:r>
      <w:r w:rsidR="00EB5C78" w:rsidRPr="00D869E3">
        <w:rPr>
          <w:rFonts w:ascii="Verdana" w:hAnsi="Verdana" w:cs="Arial"/>
          <w:sz w:val="20"/>
          <w:szCs w:val="20"/>
          <w:lang w:val="en-US"/>
        </w:rPr>
        <w:t xml:space="preserve">that </w:t>
      </w:r>
      <w:r w:rsidR="000D2262" w:rsidRPr="00D869E3">
        <w:rPr>
          <w:rFonts w:ascii="Verdana" w:hAnsi="Verdana" w:cs="Arial"/>
          <w:sz w:val="20"/>
          <w:szCs w:val="20"/>
          <w:lang w:val="en-US"/>
        </w:rPr>
        <w:t>wa</w:t>
      </w:r>
      <w:r w:rsidR="00EB5C78" w:rsidRPr="00D869E3">
        <w:rPr>
          <w:rFonts w:ascii="Verdana" w:hAnsi="Verdana" w:cs="Arial"/>
          <w:sz w:val="20"/>
          <w:szCs w:val="20"/>
          <w:lang w:val="en-US"/>
        </w:rPr>
        <w:t>s contrary to the intention of the States</w:t>
      </w:r>
      <w:r w:rsidR="000D2262" w:rsidRPr="00D869E3">
        <w:rPr>
          <w:rFonts w:ascii="Verdana" w:hAnsi="Verdana" w:cs="Arial"/>
          <w:sz w:val="20"/>
          <w:szCs w:val="20"/>
          <w:lang w:val="en-US"/>
        </w:rPr>
        <w:t xml:space="preserve">; to </w:t>
      </w:r>
      <w:r w:rsidR="00EB5C78" w:rsidRPr="00D869E3">
        <w:rPr>
          <w:rFonts w:ascii="Verdana" w:hAnsi="Verdana" w:cs="Arial"/>
          <w:sz w:val="20"/>
          <w:szCs w:val="20"/>
          <w:lang w:val="en-US"/>
        </w:rPr>
        <w:t>the</w:t>
      </w:r>
      <w:r w:rsidR="000D2262" w:rsidRPr="00D869E3">
        <w:rPr>
          <w:rFonts w:ascii="Verdana" w:hAnsi="Verdana" w:cs="Arial"/>
          <w:sz w:val="20"/>
          <w:szCs w:val="20"/>
          <w:lang w:val="en-US"/>
        </w:rPr>
        <w:t>ir</w:t>
      </w:r>
      <w:r w:rsidR="00EB5C78" w:rsidRPr="00D869E3">
        <w:rPr>
          <w:rFonts w:ascii="Verdana" w:hAnsi="Verdana" w:cs="Arial"/>
          <w:sz w:val="20"/>
          <w:szCs w:val="20"/>
          <w:lang w:val="en-US"/>
        </w:rPr>
        <w:t xml:space="preserve"> exp</w:t>
      </w:r>
      <w:r w:rsidR="000D2262" w:rsidRPr="00D869E3">
        <w:rPr>
          <w:rFonts w:ascii="Verdana" w:hAnsi="Verdana" w:cs="Arial"/>
          <w:sz w:val="20"/>
          <w:szCs w:val="20"/>
          <w:lang w:val="en-US"/>
        </w:rPr>
        <w:t>licit</w:t>
      </w:r>
      <w:r w:rsidR="00EB5C78" w:rsidRPr="00D869E3">
        <w:rPr>
          <w:rFonts w:ascii="Verdana" w:hAnsi="Verdana" w:cs="Arial"/>
          <w:sz w:val="20"/>
          <w:szCs w:val="20"/>
          <w:lang w:val="en-US"/>
        </w:rPr>
        <w:t xml:space="preserve"> intention not to make the ESCR </w:t>
      </w:r>
      <w:r w:rsidR="00E70701" w:rsidRPr="00D869E3">
        <w:rPr>
          <w:rFonts w:ascii="Verdana" w:hAnsi="Verdana" w:cs="Arial"/>
          <w:sz w:val="20"/>
          <w:szCs w:val="20"/>
          <w:lang w:val="en-US"/>
        </w:rPr>
        <w:t>justiciables</w:t>
      </w:r>
      <w:r w:rsidR="00EB5C78" w:rsidRPr="00D869E3">
        <w:rPr>
          <w:rFonts w:ascii="Verdana" w:hAnsi="Verdana" w:cs="Arial"/>
          <w:sz w:val="20"/>
          <w:szCs w:val="20"/>
          <w:lang w:val="en-US"/>
        </w:rPr>
        <w:t xml:space="preserve">, </w:t>
      </w:r>
      <w:r w:rsidR="000D2262" w:rsidRPr="00D869E3">
        <w:rPr>
          <w:rFonts w:ascii="Verdana" w:hAnsi="Verdana" w:cs="Arial"/>
          <w:sz w:val="20"/>
          <w:szCs w:val="20"/>
          <w:lang w:val="en-US"/>
        </w:rPr>
        <w:t xml:space="preserve">with the exception of </w:t>
      </w:r>
      <w:r w:rsidR="00EB5C78" w:rsidRPr="00D869E3">
        <w:rPr>
          <w:rFonts w:ascii="Verdana" w:hAnsi="Verdana" w:cs="Arial"/>
          <w:sz w:val="20"/>
          <w:szCs w:val="20"/>
          <w:lang w:val="en-US"/>
        </w:rPr>
        <w:t xml:space="preserve">those expressly indicated in </w:t>
      </w:r>
      <w:r w:rsidR="00447C65" w:rsidRPr="00D869E3">
        <w:rPr>
          <w:rFonts w:ascii="Verdana" w:hAnsi="Verdana" w:cs="Arial"/>
          <w:sz w:val="20"/>
          <w:szCs w:val="20"/>
          <w:lang w:val="en-US"/>
        </w:rPr>
        <w:t>Article</w:t>
      </w:r>
      <w:r w:rsidR="00E70701" w:rsidRPr="00D869E3">
        <w:rPr>
          <w:rFonts w:ascii="Verdana" w:hAnsi="Verdana" w:cs="Arial"/>
          <w:sz w:val="20"/>
          <w:szCs w:val="20"/>
          <w:lang w:val="en-US"/>
        </w:rPr>
        <w:t xml:space="preserve"> 19</w:t>
      </w:r>
      <w:r w:rsidR="00EB5C78" w:rsidRPr="00D869E3">
        <w:rPr>
          <w:rFonts w:ascii="Verdana" w:hAnsi="Verdana" w:cs="Arial"/>
          <w:sz w:val="20"/>
          <w:szCs w:val="20"/>
          <w:lang w:val="en-US"/>
        </w:rPr>
        <w:t>(</w:t>
      </w:r>
      <w:r w:rsidR="00E70701" w:rsidRPr="00D869E3">
        <w:rPr>
          <w:rFonts w:ascii="Verdana" w:hAnsi="Verdana" w:cs="Arial"/>
          <w:sz w:val="20"/>
          <w:szCs w:val="20"/>
          <w:lang w:val="en-US"/>
        </w:rPr>
        <w:t>6</w:t>
      </w:r>
      <w:r w:rsidR="00EB5C78" w:rsidRPr="00D869E3">
        <w:rPr>
          <w:rFonts w:ascii="Verdana" w:hAnsi="Verdana" w:cs="Arial"/>
          <w:sz w:val="20"/>
          <w:szCs w:val="20"/>
          <w:lang w:val="en-US"/>
        </w:rPr>
        <w:t>)</w:t>
      </w:r>
      <w:r w:rsidR="00E70701" w:rsidRPr="00D869E3">
        <w:rPr>
          <w:rFonts w:ascii="Verdana" w:hAnsi="Verdana" w:cs="Arial"/>
          <w:sz w:val="20"/>
          <w:szCs w:val="20"/>
          <w:lang w:val="en-US"/>
        </w:rPr>
        <w:t xml:space="preserve"> </w:t>
      </w:r>
      <w:r w:rsidR="00EB5C78" w:rsidRPr="00D869E3">
        <w:rPr>
          <w:rFonts w:ascii="Verdana" w:hAnsi="Verdana" w:cs="Arial"/>
          <w:sz w:val="20"/>
          <w:szCs w:val="20"/>
          <w:lang w:val="en-US"/>
        </w:rPr>
        <w:t>of the</w:t>
      </w:r>
      <w:r w:rsidR="00E70701" w:rsidRPr="00D869E3">
        <w:rPr>
          <w:rFonts w:ascii="Verdana" w:hAnsi="Verdana" w:cs="Arial"/>
          <w:sz w:val="20"/>
          <w:szCs w:val="20"/>
          <w:lang w:val="en-US"/>
        </w:rPr>
        <w:t xml:space="preserve"> </w:t>
      </w:r>
      <w:r w:rsidR="000F0B45" w:rsidRPr="00D869E3">
        <w:rPr>
          <w:rFonts w:ascii="Verdana" w:hAnsi="Verdana" w:cs="Arial"/>
          <w:sz w:val="20"/>
          <w:szCs w:val="20"/>
          <w:lang w:val="en-US"/>
        </w:rPr>
        <w:t>Protocol</w:t>
      </w:r>
      <w:r w:rsidR="00E70701" w:rsidRPr="00D869E3">
        <w:rPr>
          <w:rFonts w:ascii="Verdana" w:hAnsi="Verdana" w:cs="Arial"/>
          <w:sz w:val="20"/>
          <w:szCs w:val="20"/>
          <w:lang w:val="en-US"/>
        </w:rPr>
        <w:t>.</w:t>
      </w:r>
    </w:p>
    <w:p w14:paraId="3603A328" w14:textId="77777777" w:rsidR="00E70701" w:rsidRPr="00D869E3" w:rsidRDefault="00E70701" w:rsidP="00C44F79">
      <w:pPr>
        <w:jc w:val="both"/>
        <w:rPr>
          <w:rFonts w:ascii="Verdana" w:hAnsi="Verdana"/>
          <w:sz w:val="20"/>
          <w:szCs w:val="20"/>
          <w:lang w:val="en-US"/>
        </w:rPr>
      </w:pPr>
    </w:p>
    <w:p w14:paraId="4496FA8A" w14:textId="312591BF" w:rsidR="00E70701" w:rsidRPr="00D869E3" w:rsidRDefault="00EB5C78" w:rsidP="00EB5C78">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Furthermore, it is relevant to point out that the State obligations arising from the Protocol are independent of the fact that the Court has jurisdiction to declare violations in the context of its contentious function. </w:t>
      </w:r>
      <w:r w:rsidR="000D2262" w:rsidRPr="00D869E3">
        <w:rPr>
          <w:rFonts w:ascii="Verdana" w:hAnsi="Verdana"/>
          <w:sz w:val="20"/>
          <w:szCs w:val="20"/>
          <w:lang w:val="en-US"/>
        </w:rPr>
        <w:t>T</w:t>
      </w:r>
      <w:r w:rsidRPr="00D869E3">
        <w:rPr>
          <w:rFonts w:ascii="Verdana" w:hAnsi="Verdana"/>
          <w:sz w:val="20"/>
          <w:szCs w:val="20"/>
          <w:lang w:val="en-US"/>
        </w:rPr>
        <w:t>he State established other mechanisms</w:t>
      </w:r>
      <w:r w:rsidR="000D2262" w:rsidRPr="00D869E3">
        <w:rPr>
          <w:rFonts w:ascii="Verdana" w:hAnsi="Verdana"/>
          <w:sz w:val="20"/>
          <w:szCs w:val="20"/>
          <w:lang w:val="en-US"/>
        </w:rPr>
        <w:t xml:space="preserve"> for simply monitoring compliance with those rights,</w:t>
      </w:r>
      <w:r w:rsidRPr="00D869E3">
        <w:rPr>
          <w:rFonts w:ascii="Verdana" w:hAnsi="Verdana"/>
          <w:sz w:val="20"/>
          <w:szCs w:val="20"/>
          <w:lang w:val="en-US"/>
        </w:rPr>
        <w:t xml:space="preserve"> such as those established in the other paragraphs of </w:t>
      </w:r>
      <w:r w:rsidR="00687684" w:rsidRPr="00D869E3">
        <w:rPr>
          <w:rFonts w:ascii="Verdana" w:hAnsi="Verdana"/>
          <w:sz w:val="20"/>
          <w:szCs w:val="20"/>
          <w:lang w:val="en-US"/>
        </w:rPr>
        <w:t>Article</w:t>
      </w:r>
      <w:r w:rsidR="00E70701" w:rsidRPr="00D869E3">
        <w:rPr>
          <w:rFonts w:ascii="Verdana" w:hAnsi="Verdana"/>
          <w:sz w:val="20"/>
          <w:szCs w:val="20"/>
          <w:lang w:val="en-US"/>
        </w:rPr>
        <w:t xml:space="preserve"> 19 </w:t>
      </w:r>
      <w:r w:rsidRPr="00D869E3">
        <w:rPr>
          <w:rFonts w:ascii="Verdana" w:hAnsi="Verdana"/>
          <w:sz w:val="20"/>
          <w:szCs w:val="20"/>
          <w:lang w:val="en-US"/>
        </w:rPr>
        <w:t>of the</w:t>
      </w:r>
      <w:r w:rsidR="00E70701" w:rsidRPr="00D869E3">
        <w:rPr>
          <w:rFonts w:ascii="Verdana" w:hAnsi="Verdana"/>
          <w:sz w:val="20"/>
          <w:szCs w:val="20"/>
          <w:lang w:val="en-US"/>
        </w:rPr>
        <w:t xml:space="preserve"> </w:t>
      </w:r>
      <w:r w:rsidR="000F0B45" w:rsidRPr="00D869E3">
        <w:rPr>
          <w:rFonts w:ascii="Verdana" w:hAnsi="Verdana"/>
          <w:sz w:val="20"/>
          <w:szCs w:val="20"/>
          <w:lang w:val="en-US"/>
        </w:rPr>
        <w:t>Protocol</w:t>
      </w:r>
      <w:r w:rsidR="00E70701" w:rsidRPr="00D869E3">
        <w:rPr>
          <w:rFonts w:ascii="Verdana" w:hAnsi="Verdana"/>
          <w:sz w:val="20"/>
          <w:szCs w:val="20"/>
          <w:lang w:val="en-US"/>
        </w:rPr>
        <w:t xml:space="preserve">, </w:t>
      </w:r>
      <w:r w:rsidRPr="00D869E3">
        <w:rPr>
          <w:rFonts w:ascii="Verdana" w:hAnsi="Verdana"/>
          <w:sz w:val="20"/>
          <w:szCs w:val="20"/>
          <w:lang w:val="en-US"/>
        </w:rPr>
        <w:t xml:space="preserve">such as the possibility of formulating observations and recommendations concerning the status of the </w:t>
      </w:r>
      <w:r w:rsidR="00F42CF0" w:rsidRPr="00D869E3">
        <w:rPr>
          <w:rFonts w:ascii="Verdana" w:hAnsi="Verdana"/>
          <w:sz w:val="20"/>
          <w:szCs w:val="20"/>
          <w:lang w:val="en-US"/>
        </w:rPr>
        <w:t>ESCR</w:t>
      </w:r>
      <w:r w:rsidR="00E70701" w:rsidRPr="00D869E3">
        <w:rPr>
          <w:rFonts w:ascii="Verdana" w:hAnsi="Verdana"/>
          <w:sz w:val="20"/>
          <w:szCs w:val="20"/>
          <w:lang w:val="en-US"/>
        </w:rPr>
        <w:t xml:space="preserve"> </w:t>
      </w:r>
      <w:r w:rsidRPr="00D869E3">
        <w:rPr>
          <w:rFonts w:ascii="Verdana" w:hAnsi="Verdana"/>
          <w:sz w:val="20"/>
          <w:szCs w:val="20"/>
          <w:lang w:val="en-US"/>
        </w:rPr>
        <w:t>in the Annual Report</w:t>
      </w:r>
      <w:r w:rsidR="00447C65" w:rsidRPr="00D869E3">
        <w:rPr>
          <w:rFonts w:ascii="Verdana" w:hAnsi="Verdana"/>
          <w:sz w:val="20"/>
          <w:szCs w:val="20"/>
          <w:lang w:val="en-US"/>
        </w:rPr>
        <w:t xml:space="preserve"> of the Inter-American Commission</w:t>
      </w:r>
      <w:r w:rsidR="00E70701" w:rsidRPr="00D869E3">
        <w:rPr>
          <w:rFonts w:ascii="Verdana" w:hAnsi="Verdana"/>
          <w:sz w:val="20"/>
          <w:szCs w:val="20"/>
          <w:lang w:val="en-US"/>
        </w:rPr>
        <w:t>.</w:t>
      </w:r>
    </w:p>
    <w:p w14:paraId="6F166522" w14:textId="77777777" w:rsidR="00E70701" w:rsidRPr="00D869E3" w:rsidRDefault="00E70701" w:rsidP="00C44F79">
      <w:pPr>
        <w:jc w:val="both"/>
        <w:rPr>
          <w:rFonts w:ascii="Verdana" w:hAnsi="Verdana"/>
          <w:sz w:val="20"/>
          <w:szCs w:val="20"/>
          <w:lang w:val="en-US"/>
        </w:rPr>
      </w:pPr>
    </w:p>
    <w:p w14:paraId="4932C3DC" w14:textId="72CF3291" w:rsidR="00E70701" w:rsidRPr="00D869E3" w:rsidRDefault="00EB5C78" w:rsidP="00BF667C">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Bearing in mind the foregoing, I consider </w:t>
      </w:r>
      <w:r w:rsidR="00BF667C" w:rsidRPr="00D869E3">
        <w:rPr>
          <w:rFonts w:ascii="Verdana" w:hAnsi="Verdana"/>
          <w:sz w:val="20"/>
          <w:szCs w:val="20"/>
          <w:lang w:val="en-US"/>
        </w:rPr>
        <w:t>it</w:t>
      </w:r>
      <w:r w:rsidRPr="00D869E3">
        <w:rPr>
          <w:rFonts w:ascii="Verdana" w:hAnsi="Verdana"/>
          <w:sz w:val="20"/>
          <w:szCs w:val="20"/>
          <w:lang w:val="en-US"/>
        </w:rPr>
        <w:t xml:space="preserve"> inconceivable that a jud</w:t>
      </w:r>
      <w:r w:rsidR="00BF667C" w:rsidRPr="00D869E3">
        <w:rPr>
          <w:rFonts w:ascii="Verdana" w:hAnsi="Verdana"/>
          <w:sz w:val="20"/>
          <w:szCs w:val="20"/>
          <w:lang w:val="en-US"/>
        </w:rPr>
        <w:t>g</w:t>
      </w:r>
      <w:r w:rsidRPr="00D869E3">
        <w:rPr>
          <w:rFonts w:ascii="Verdana" w:hAnsi="Verdana"/>
          <w:sz w:val="20"/>
          <w:szCs w:val="20"/>
          <w:lang w:val="en-US"/>
        </w:rPr>
        <w:t>ment declar</w:t>
      </w:r>
      <w:r w:rsidR="00BF667C" w:rsidRPr="00D869E3">
        <w:rPr>
          <w:rFonts w:ascii="Verdana" w:hAnsi="Verdana"/>
          <w:sz w:val="20"/>
          <w:szCs w:val="20"/>
          <w:lang w:val="en-US"/>
        </w:rPr>
        <w:t>ing</w:t>
      </w:r>
      <w:r w:rsidRPr="00D869E3">
        <w:rPr>
          <w:rFonts w:ascii="Verdana" w:hAnsi="Verdana"/>
          <w:sz w:val="20"/>
          <w:szCs w:val="20"/>
          <w:lang w:val="en-US"/>
        </w:rPr>
        <w:t xml:space="preserve"> the violation of an</w:t>
      </w:r>
      <w:r w:rsidR="00E70701" w:rsidRPr="00D869E3">
        <w:rPr>
          <w:rFonts w:ascii="Verdana" w:hAnsi="Verdana"/>
          <w:sz w:val="20"/>
          <w:szCs w:val="20"/>
          <w:lang w:val="en-US"/>
        </w:rPr>
        <w:t xml:space="preserve"> </w:t>
      </w:r>
      <w:r w:rsidR="00F42CF0" w:rsidRPr="00D869E3">
        <w:rPr>
          <w:rFonts w:ascii="Verdana" w:hAnsi="Verdana"/>
          <w:sz w:val="20"/>
          <w:szCs w:val="20"/>
          <w:lang w:val="en-US"/>
        </w:rPr>
        <w:t>ESCR</w:t>
      </w:r>
      <w:r w:rsidR="00E70701" w:rsidRPr="00D869E3">
        <w:rPr>
          <w:rFonts w:ascii="Verdana" w:hAnsi="Verdana"/>
          <w:sz w:val="20"/>
          <w:szCs w:val="20"/>
          <w:lang w:val="en-US"/>
        </w:rPr>
        <w:t xml:space="preserve"> </w:t>
      </w:r>
      <w:r w:rsidRPr="00D869E3">
        <w:rPr>
          <w:rFonts w:ascii="Verdana" w:hAnsi="Verdana"/>
          <w:sz w:val="20"/>
          <w:szCs w:val="20"/>
          <w:lang w:val="en-US"/>
        </w:rPr>
        <w:t>under</w:t>
      </w:r>
      <w:r w:rsidR="00E70701" w:rsidRPr="00D869E3">
        <w:rPr>
          <w:rFonts w:ascii="Verdana" w:hAnsi="Verdana"/>
          <w:sz w:val="20"/>
          <w:szCs w:val="20"/>
          <w:lang w:val="en-US"/>
        </w:rPr>
        <w:t xml:space="preserve"> </w:t>
      </w:r>
      <w:r w:rsidR="00671B14" w:rsidRPr="00D869E3">
        <w:rPr>
          <w:rFonts w:ascii="Verdana" w:hAnsi="Verdana"/>
          <w:sz w:val="20"/>
          <w:szCs w:val="20"/>
          <w:lang w:val="en-US"/>
        </w:rPr>
        <w:t>the inter-American system</w:t>
      </w:r>
      <w:r w:rsidR="00BF667C" w:rsidRPr="00D869E3">
        <w:rPr>
          <w:rFonts w:ascii="Verdana" w:hAnsi="Verdana"/>
          <w:sz w:val="20"/>
          <w:szCs w:val="20"/>
          <w:lang w:val="en-US"/>
        </w:rPr>
        <w:t xml:space="preserve"> </w:t>
      </w:r>
      <w:r w:rsidR="000D2262" w:rsidRPr="00D869E3">
        <w:rPr>
          <w:rFonts w:ascii="Verdana" w:hAnsi="Verdana"/>
          <w:sz w:val="20"/>
          <w:szCs w:val="20"/>
          <w:lang w:val="en-US"/>
        </w:rPr>
        <w:t>makes no</w:t>
      </w:r>
      <w:r w:rsidR="00BF667C" w:rsidRPr="00D869E3">
        <w:rPr>
          <w:rFonts w:ascii="Verdana" w:hAnsi="Verdana"/>
          <w:sz w:val="20"/>
          <w:szCs w:val="20"/>
          <w:lang w:val="en-US"/>
        </w:rPr>
        <w:t xml:space="preserve"> reference whatsoever to the Protocol and its scope. Below</w:t>
      </w:r>
      <w:r w:rsidR="000D2262" w:rsidRPr="00D869E3">
        <w:rPr>
          <w:rFonts w:ascii="Verdana" w:hAnsi="Verdana"/>
          <w:sz w:val="20"/>
          <w:szCs w:val="20"/>
          <w:lang w:val="en-US"/>
        </w:rPr>
        <w:t>,</w:t>
      </w:r>
      <w:r w:rsidR="00BF667C" w:rsidRPr="00D869E3">
        <w:rPr>
          <w:rFonts w:ascii="Verdana" w:hAnsi="Verdana"/>
          <w:sz w:val="20"/>
          <w:szCs w:val="20"/>
          <w:lang w:val="en-US"/>
        </w:rPr>
        <w:t xml:space="preserve"> I will show how this represents an important </w:t>
      </w:r>
      <w:r w:rsidR="000D2262" w:rsidRPr="00D869E3">
        <w:rPr>
          <w:rFonts w:ascii="Verdana" w:hAnsi="Verdana"/>
          <w:sz w:val="20"/>
          <w:szCs w:val="20"/>
          <w:lang w:val="en-US"/>
        </w:rPr>
        <w:t xml:space="preserve">shortcoming in the </w:t>
      </w:r>
      <w:r w:rsidR="000D2262" w:rsidRPr="00D869E3">
        <w:rPr>
          <w:rFonts w:ascii="Verdana" w:hAnsi="Verdana"/>
          <w:sz w:val="20"/>
          <w:szCs w:val="20"/>
          <w:lang w:val="en-US"/>
        </w:rPr>
        <w:lastRenderedPageBreak/>
        <w:t>arguments</w:t>
      </w:r>
      <w:r w:rsidR="00BF667C" w:rsidRPr="00D869E3">
        <w:rPr>
          <w:rFonts w:ascii="Verdana" w:hAnsi="Verdana"/>
          <w:sz w:val="20"/>
          <w:szCs w:val="20"/>
          <w:lang w:val="en-US"/>
        </w:rPr>
        <w:t xml:space="preserve"> but, above and beyond the </w:t>
      </w:r>
      <w:r w:rsidR="000D2262" w:rsidRPr="00D869E3">
        <w:rPr>
          <w:rFonts w:ascii="Verdana" w:hAnsi="Verdana"/>
          <w:sz w:val="20"/>
          <w:szCs w:val="20"/>
          <w:lang w:val="en-US"/>
        </w:rPr>
        <w:t>leg</w:t>
      </w:r>
      <w:r w:rsidR="00BF667C" w:rsidRPr="00D869E3">
        <w:rPr>
          <w:rFonts w:ascii="Verdana" w:hAnsi="Verdana"/>
          <w:sz w:val="20"/>
          <w:szCs w:val="20"/>
          <w:lang w:val="en-US"/>
        </w:rPr>
        <w:t xml:space="preserve">al technique that is required of </w:t>
      </w:r>
      <w:r w:rsidR="000D2262" w:rsidRPr="00D869E3">
        <w:rPr>
          <w:rFonts w:ascii="Verdana" w:hAnsi="Verdana"/>
          <w:sz w:val="20"/>
          <w:szCs w:val="20"/>
          <w:lang w:val="en-US"/>
        </w:rPr>
        <w:t xml:space="preserve">a </w:t>
      </w:r>
      <w:r w:rsidR="00BF667C" w:rsidRPr="00D869E3">
        <w:rPr>
          <w:rFonts w:ascii="Verdana" w:hAnsi="Verdana"/>
          <w:sz w:val="20"/>
          <w:szCs w:val="20"/>
          <w:lang w:val="en-US"/>
        </w:rPr>
        <w:t xml:space="preserve">court of the </w:t>
      </w:r>
      <w:r w:rsidR="00836E6F" w:rsidRPr="00D869E3">
        <w:rPr>
          <w:rFonts w:ascii="Verdana" w:hAnsi="Verdana"/>
          <w:sz w:val="20"/>
          <w:szCs w:val="20"/>
          <w:lang w:val="en-US"/>
        </w:rPr>
        <w:t>import</w:t>
      </w:r>
      <w:r w:rsidR="00BF667C" w:rsidRPr="00D869E3">
        <w:rPr>
          <w:rFonts w:ascii="Verdana" w:hAnsi="Verdana"/>
          <w:sz w:val="20"/>
          <w:szCs w:val="20"/>
          <w:lang w:val="en-US"/>
        </w:rPr>
        <w:t>ance of the Inter-American Court, the failure to refer to the Protocol reveals the express intention not to want to address the problems of jurisdiction and justiciability that arise. In other words, it would appear that</w:t>
      </w:r>
      <w:r w:rsidR="00836E6F" w:rsidRPr="00D869E3">
        <w:rPr>
          <w:rFonts w:ascii="Verdana" w:hAnsi="Verdana"/>
          <w:sz w:val="20"/>
          <w:szCs w:val="20"/>
          <w:lang w:val="en-US"/>
        </w:rPr>
        <w:t xml:space="preserve">, </w:t>
      </w:r>
      <w:r w:rsidR="00BF667C" w:rsidRPr="00D869E3">
        <w:rPr>
          <w:rFonts w:ascii="Verdana" w:hAnsi="Verdana"/>
          <w:sz w:val="20"/>
          <w:szCs w:val="20"/>
          <w:lang w:val="en-US"/>
        </w:rPr>
        <w:t>by making no reference to the Protocol</w:t>
      </w:r>
      <w:r w:rsidR="00836E6F" w:rsidRPr="00D869E3">
        <w:rPr>
          <w:rFonts w:ascii="Verdana" w:hAnsi="Verdana"/>
          <w:sz w:val="20"/>
          <w:szCs w:val="20"/>
          <w:lang w:val="en-US"/>
        </w:rPr>
        <w:t>, it is sought</w:t>
      </w:r>
      <w:r w:rsidR="00BF667C" w:rsidRPr="00D869E3">
        <w:rPr>
          <w:rFonts w:ascii="Verdana" w:hAnsi="Verdana"/>
          <w:sz w:val="20"/>
          <w:szCs w:val="20"/>
          <w:lang w:val="en-US"/>
        </w:rPr>
        <w:t xml:space="preserve"> to d</w:t>
      </w:r>
      <w:r w:rsidR="00836E6F" w:rsidRPr="00D869E3">
        <w:rPr>
          <w:rFonts w:ascii="Verdana" w:hAnsi="Verdana"/>
          <w:sz w:val="20"/>
          <w:szCs w:val="20"/>
          <w:lang w:val="en-US"/>
        </w:rPr>
        <w:t>isavow</w:t>
      </w:r>
      <w:r w:rsidR="00BF667C" w:rsidRPr="00D869E3">
        <w:rPr>
          <w:rFonts w:ascii="Verdana" w:hAnsi="Verdana"/>
          <w:sz w:val="20"/>
          <w:szCs w:val="20"/>
          <w:lang w:val="en-US"/>
        </w:rPr>
        <w:t xml:space="preserve"> its existence as a supplementary treaty to </w:t>
      </w:r>
      <w:r w:rsidR="00447C65" w:rsidRPr="00D869E3">
        <w:rPr>
          <w:rFonts w:ascii="Verdana" w:hAnsi="Verdana"/>
          <w:sz w:val="20"/>
          <w:szCs w:val="20"/>
          <w:lang w:val="en-US"/>
        </w:rPr>
        <w:t>the American Convention</w:t>
      </w:r>
      <w:r w:rsidR="00E70701" w:rsidRPr="00D869E3">
        <w:rPr>
          <w:rFonts w:ascii="Verdana" w:hAnsi="Verdana"/>
          <w:sz w:val="20"/>
          <w:szCs w:val="20"/>
          <w:lang w:val="en-US"/>
        </w:rPr>
        <w:t xml:space="preserve">, </w:t>
      </w:r>
      <w:r w:rsidR="00BF667C" w:rsidRPr="00D869E3">
        <w:rPr>
          <w:rFonts w:ascii="Verdana" w:hAnsi="Verdana"/>
          <w:sz w:val="20"/>
          <w:szCs w:val="20"/>
          <w:lang w:val="en-US"/>
        </w:rPr>
        <w:t>the intention of the States that it expresses, and the debates that have arisen based on its provisions. Despite that intention, it is clear that the validity and obligatory nature of a norm cannot depend on whether it is mentioned in any specific judgment</w:t>
      </w:r>
      <w:r w:rsidR="00836E6F" w:rsidRPr="00D869E3">
        <w:rPr>
          <w:rFonts w:ascii="Verdana" w:hAnsi="Verdana"/>
          <w:sz w:val="20"/>
          <w:szCs w:val="20"/>
          <w:lang w:val="en-US"/>
        </w:rPr>
        <w:t>.</w:t>
      </w:r>
      <w:r w:rsidR="00BF667C" w:rsidRPr="00D869E3">
        <w:rPr>
          <w:rFonts w:ascii="Verdana" w:hAnsi="Verdana"/>
          <w:sz w:val="20"/>
          <w:szCs w:val="20"/>
          <w:lang w:val="en-US"/>
        </w:rPr>
        <w:t xml:space="preserve"> </w:t>
      </w:r>
      <w:r w:rsidR="00836E6F" w:rsidRPr="00D869E3">
        <w:rPr>
          <w:rFonts w:ascii="Verdana" w:hAnsi="Verdana"/>
          <w:sz w:val="20"/>
          <w:szCs w:val="20"/>
          <w:lang w:val="en-US"/>
        </w:rPr>
        <w:t>I</w:t>
      </w:r>
      <w:r w:rsidR="00BF667C" w:rsidRPr="00D869E3">
        <w:rPr>
          <w:rFonts w:ascii="Verdana" w:hAnsi="Verdana"/>
          <w:sz w:val="20"/>
          <w:szCs w:val="20"/>
          <w:lang w:val="en-US"/>
        </w:rPr>
        <w:t xml:space="preserve">n other words, even if </w:t>
      </w:r>
      <w:r w:rsidR="00836E6F" w:rsidRPr="00D869E3">
        <w:rPr>
          <w:rFonts w:ascii="Verdana" w:hAnsi="Verdana"/>
          <w:sz w:val="20"/>
          <w:szCs w:val="20"/>
          <w:lang w:val="en-US"/>
        </w:rPr>
        <w:t>the intention is to</w:t>
      </w:r>
      <w:r w:rsidR="00BF667C" w:rsidRPr="00D869E3">
        <w:rPr>
          <w:rFonts w:ascii="Verdana" w:hAnsi="Verdana"/>
          <w:sz w:val="20"/>
          <w:szCs w:val="20"/>
          <w:lang w:val="en-US"/>
        </w:rPr>
        <w:t xml:space="preserve"> omit it, this does not in the least affect its existence or binding nature</w:t>
      </w:r>
      <w:r w:rsidR="00E70701" w:rsidRPr="00D869E3">
        <w:rPr>
          <w:rFonts w:ascii="Verdana" w:hAnsi="Verdana"/>
          <w:sz w:val="20"/>
          <w:szCs w:val="20"/>
          <w:lang w:val="en-US"/>
        </w:rPr>
        <w:t>.</w:t>
      </w:r>
    </w:p>
    <w:p w14:paraId="3B90A829" w14:textId="77777777" w:rsidR="00E70701" w:rsidRPr="00D869E3" w:rsidRDefault="00E70701" w:rsidP="00C44F79">
      <w:pPr>
        <w:jc w:val="both"/>
        <w:rPr>
          <w:rFonts w:ascii="Verdana" w:hAnsi="Verdana" w:cs="Arial"/>
          <w:b/>
          <w:sz w:val="20"/>
          <w:szCs w:val="20"/>
          <w:lang w:val="en-US"/>
        </w:rPr>
      </w:pPr>
    </w:p>
    <w:p w14:paraId="3790138C" w14:textId="7B588119" w:rsidR="00E70701" w:rsidRPr="00D869E3" w:rsidRDefault="001268E2" w:rsidP="00E70701">
      <w:pPr>
        <w:pStyle w:val="Prrafodelista"/>
        <w:numPr>
          <w:ilvl w:val="0"/>
          <w:numId w:val="38"/>
        </w:numPr>
        <w:tabs>
          <w:tab w:val="left" w:pos="426"/>
          <w:tab w:val="left" w:pos="709"/>
        </w:tabs>
        <w:jc w:val="both"/>
        <w:rPr>
          <w:rFonts w:ascii="Verdana" w:hAnsi="Verdana"/>
          <w:b/>
          <w:sz w:val="20"/>
          <w:szCs w:val="20"/>
          <w:lang w:val="en-US"/>
        </w:rPr>
      </w:pPr>
      <w:r w:rsidRPr="00D869E3">
        <w:rPr>
          <w:rFonts w:ascii="Verdana" w:hAnsi="Verdana"/>
          <w:b/>
          <w:sz w:val="20"/>
          <w:szCs w:val="20"/>
          <w:lang w:val="en-US"/>
        </w:rPr>
        <w:t>E</w:t>
      </w:r>
      <w:r w:rsidR="00E70701" w:rsidRPr="00D869E3">
        <w:rPr>
          <w:rFonts w:ascii="Verdana" w:hAnsi="Verdana"/>
          <w:b/>
          <w:sz w:val="20"/>
          <w:szCs w:val="20"/>
          <w:lang w:val="en-US"/>
        </w:rPr>
        <w:t>volutiv</w:t>
      </w:r>
      <w:r w:rsidRPr="00D869E3">
        <w:rPr>
          <w:rFonts w:ascii="Verdana" w:hAnsi="Verdana"/>
          <w:b/>
          <w:sz w:val="20"/>
          <w:szCs w:val="20"/>
          <w:lang w:val="en-US"/>
        </w:rPr>
        <w:t>e interpretation and</w:t>
      </w:r>
      <w:r w:rsidR="00687684" w:rsidRPr="00D869E3">
        <w:rPr>
          <w:rFonts w:ascii="Verdana" w:hAnsi="Verdana"/>
          <w:b/>
          <w:sz w:val="20"/>
          <w:szCs w:val="20"/>
          <w:lang w:val="en-US"/>
        </w:rPr>
        <w:t xml:space="preserve"> </w:t>
      </w:r>
      <w:r w:rsidR="00E70701" w:rsidRPr="00D869E3">
        <w:rPr>
          <w:rFonts w:ascii="Verdana" w:hAnsi="Verdana"/>
          <w:b/>
          <w:i/>
          <w:sz w:val="20"/>
          <w:szCs w:val="20"/>
          <w:lang w:val="en-US"/>
        </w:rPr>
        <w:t>pro persona</w:t>
      </w:r>
      <w:r w:rsidRPr="00D869E3">
        <w:rPr>
          <w:rFonts w:ascii="Verdana" w:hAnsi="Verdana"/>
          <w:b/>
          <w:i/>
          <w:sz w:val="20"/>
          <w:szCs w:val="20"/>
          <w:lang w:val="en-US"/>
        </w:rPr>
        <w:t xml:space="preserve"> </w:t>
      </w:r>
      <w:r w:rsidRPr="00D869E3">
        <w:rPr>
          <w:rFonts w:ascii="Verdana" w:hAnsi="Verdana"/>
          <w:b/>
          <w:sz w:val="20"/>
          <w:szCs w:val="20"/>
          <w:lang w:val="en-US"/>
        </w:rPr>
        <w:t>principle</w:t>
      </w:r>
    </w:p>
    <w:p w14:paraId="2D4AB5DB" w14:textId="77777777" w:rsidR="00E70701" w:rsidRPr="00D869E3" w:rsidRDefault="00E70701" w:rsidP="00C44F79">
      <w:pPr>
        <w:jc w:val="both"/>
        <w:rPr>
          <w:rFonts w:ascii="Verdana" w:hAnsi="Verdana" w:cs="Arial"/>
          <w:b/>
          <w:sz w:val="20"/>
          <w:szCs w:val="20"/>
          <w:lang w:val="en-US"/>
        </w:rPr>
      </w:pPr>
    </w:p>
    <w:p w14:paraId="1EBBC4C2" w14:textId="20F8B954" w:rsidR="00072C85" w:rsidRPr="00D869E3" w:rsidRDefault="00072C85" w:rsidP="00E70701">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The</w:t>
      </w:r>
      <w:r w:rsidR="00E70701" w:rsidRPr="00D869E3">
        <w:rPr>
          <w:rFonts w:ascii="Verdana" w:hAnsi="Verdana"/>
          <w:sz w:val="20"/>
          <w:szCs w:val="20"/>
          <w:lang w:val="en-US"/>
        </w:rPr>
        <w:t xml:space="preserve"> idea </w:t>
      </w:r>
      <w:r w:rsidRPr="00D869E3">
        <w:rPr>
          <w:rFonts w:ascii="Verdana" w:hAnsi="Verdana"/>
          <w:sz w:val="20"/>
          <w:szCs w:val="20"/>
          <w:lang w:val="en-US"/>
        </w:rPr>
        <w:t>of overcoming the problems of</w:t>
      </w:r>
      <w:r w:rsidR="003E0A5B" w:rsidRPr="00D869E3">
        <w:rPr>
          <w:rFonts w:ascii="Verdana" w:hAnsi="Verdana"/>
          <w:sz w:val="20"/>
          <w:szCs w:val="20"/>
          <w:lang w:val="en-US"/>
        </w:rPr>
        <w:t xml:space="preserve"> the</w:t>
      </w:r>
      <w:r w:rsidRPr="00D869E3">
        <w:rPr>
          <w:rFonts w:ascii="Verdana" w:hAnsi="Verdana"/>
          <w:sz w:val="20"/>
          <w:szCs w:val="20"/>
          <w:lang w:val="en-US"/>
        </w:rPr>
        <w:t xml:space="preserve"> justiciability of the ESCR based on an evolutive and supposedly “</w:t>
      </w:r>
      <w:r w:rsidRPr="00D869E3">
        <w:rPr>
          <w:rFonts w:ascii="Verdana" w:hAnsi="Verdana"/>
          <w:i/>
          <w:sz w:val="20"/>
          <w:szCs w:val="20"/>
          <w:lang w:val="en-US"/>
        </w:rPr>
        <w:t>pro persona</w:t>
      </w:r>
      <w:r w:rsidRPr="00D869E3">
        <w:rPr>
          <w:rFonts w:ascii="Verdana" w:hAnsi="Verdana"/>
          <w:sz w:val="20"/>
          <w:szCs w:val="20"/>
          <w:lang w:val="en-US"/>
        </w:rPr>
        <w:t xml:space="preserve">” interpretation of Article 26 of the ACHR has been a constant for those who support this thesis. However, this </w:t>
      </w:r>
      <w:r w:rsidR="003E0A5B" w:rsidRPr="00D869E3">
        <w:rPr>
          <w:rFonts w:ascii="Verdana" w:hAnsi="Verdana"/>
          <w:sz w:val="20"/>
          <w:szCs w:val="20"/>
          <w:lang w:val="en-US"/>
        </w:rPr>
        <w:t xml:space="preserve">claim </w:t>
      </w:r>
      <w:r w:rsidRPr="00D869E3">
        <w:rPr>
          <w:rFonts w:ascii="Verdana" w:hAnsi="Verdana"/>
          <w:sz w:val="20"/>
          <w:szCs w:val="20"/>
          <w:lang w:val="en-US"/>
        </w:rPr>
        <w:t>entails a basic problem, because it fails to take into account that, to interpret a treaty</w:t>
      </w:r>
      <w:r w:rsidR="003E0A5B" w:rsidRPr="00D869E3">
        <w:rPr>
          <w:rFonts w:ascii="Verdana" w:hAnsi="Verdana"/>
          <w:sz w:val="20"/>
          <w:szCs w:val="20"/>
          <w:lang w:val="en-US"/>
        </w:rPr>
        <w:t xml:space="preserve"> correctly</w:t>
      </w:r>
      <w:r w:rsidRPr="00D869E3">
        <w:rPr>
          <w:rFonts w:ascii="Verdana" w:hAnsi="Verdana"/>
          <w:sz w:val="20"/>
          <w:szCs w:val="20"/>
          <w:lang w:val="en-US"/>
        </w:rPr>
        <w:t>, it is necessary to have recourse to other methods of interpretation that exist in international law, because the evolutive method is not the only one that should be taken into consideration.</w:t>
      </w:r>
    </w:p>
    <w:p w14:paraId="022DCFF3" w14:textId="77777777" w:rsidR="00E70701" w:rsidRPr="00D869E3" w:rsidRDefault="00E70701" w:rsidP="00C44F79">
      <w:pPr>
        <w:pStyle w:val="Prrafodelista"/>
        <w:ind w:left="0"/>
        <w:jc w:val="both"/>
        <w:rPr>
          <w:rFonts w:ascii="Verdana" w:hAnsi="Verdana"/>
          <w:sz w:val="20"/>
          <w:szCs w:val="20"/>
          <w:lang w:val="en-US"/>
        </w:rPr>
      </w:pPr>
    </w:p>
    <w:p w14:paraId="328F4E48" w14:textId="3A9A1274" w:rsidR="00E70701" w:rsidRPr="00D869E3" w:rsidRDefault="00072C85" w:rsidP="00E70701">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Regarding methods of interpretation that should be taken in account, </w:t>
      </w:r>
      <w:r w:rsidR="00447C65" w:rsidRPr="00D869E3">
        <w:rPr>
          <w:rFonts w:ascii="Verdana" w:hAnsi="Verdana"/>
          <w:sz w:val="20"/>
          <w:szCs w:val="20"/>
          <w:lang w:val="en-US"/>
        </w:rPr>
        <w:t>Articles</w:t>
      </w:r>
      <w:r w:rsidR="00E70701" w:rsidRPr="00D869E3">
        <w:rPr>
          <w:rFonts w:ascii="Verdana" w:hAnsi="Verdana"/>
          <w:sz w:val="20"/>
          <w:szCs w:val="20"/>
          <w:lang w:val="en-US"/>
        </w:rPr>
        <w:t xml:space="preserve"> 31</w:t>
      </w:r>
      <w:r w:rsidR="00687684" w:rsidRPr="00D869E3">
        <w:rPr>
          <w:rFonts w:ascii="Verdana" w:hAnsi="Verdana"/>
          <w:sz w:val="20"/>
          <w:szCs w:val="20"/>
          <w:lang w:val="en-US"/>
        </w:rPr>
        <w:t xml:space="preserve"> and </w:t>
      </w:r>
      <w:r w:rsidR="00E70701" w:rsidRPr="00D869E3">
        <w:rPr>
          <w:rFonts w:ascii="Verdana" w:hAnsi="Verdana"/>
          <w:sz w:val="20"/>
          <w:szCs w:val="20"/>
          <w:lang w:val="en-US"/>
        </w:rPr>
        <w:t>32</w:t>
      </w:r>
      <w:r w:rsidR="00447C65" w:rsidRPr="00D869E3">
        <w:rPr>
          <w:rFonts w:ascii="Verdana" w:hAnsi="Verdana"/>
          <w:sz w:val="20"/>
          <w:szCs w:val="20"/>
          <w:lang w:val="en-US"/>
        </w:rPr>
        <w:t xml:space="preserve"> of the </w:t>
      </w:r>
      <w:r w:rsidR="00075E68" w:rsidRPr="00D869E3">
        <w:rPr>
          <w:rFonts w:ascii="Verdana" w:hAnsi="Verdana"/>
          <w:sz w:val="20"/>
          <w:szCs w:val="20"/>
          <w:lang w:val="en-US"/>
        </w:rPr>
        <w:t>Vienna Convention on the Law of Treaties</w:t>
      </w:r>
      <w:r w:rsidR="00E70701" w:rsidRPr="00D869E3">
        <w:rPr>
          <w:rFonts w:ascii="Verdana" w:hAnsi="Verdana"/>
          <w:sz w:val="20"/>
          <w:szCs w:val="20"/>
          <w:lang w:val="en-US"/>
        </w:rPr>
        <w:t xml:space="preserve"> establ</w:t>
      </w:r>
      <w:r w:rsidRPr="00D869E3">
        <w:rPr>
          <w:rFonts w:ascii="Verdana" w:hAnsi="Verdana"/>
          <w:sz w:val="20"/>
          <w:szCs w:val="20"/>
          <w:lang w:val="en-US"/>
        </w:rPr>
        <w:t xml:space="preserve">ish the main methods. The </w:t>
      </w:r>
      <w:r w:rsidR="00447C65" w:rsidRPr="00D869E3">
        <w:rPr>
          <w:rFonts w:ascii="Verdana" w:hAnsi="Verdana"/>
          <w:sz w:val="20"/>
          <w:szCs w:val="20"/>
          <w:lang w:val="en-US"/>
        </w:rPr>
        <w:t>Inter-American Court</w:t>
      </w:r>
      <w:r w:rsidR="00E70701" w:rsidRPr="00D869E3">
        <w:rPr>
          <w:rFonts w:ascii="Verdana" w:hAnsi="Verdana"/>
          <w:sz w:val="20"/>
          <w:szCs w:val="20"/>
          <w:lang w:val="en-US"/>
        </w:rPr>
        <w:t xml:space="preserve"> </w:t>
      </w:r>
      <w:r w:rsidRPr="00D869E3">
        <w:rPr>
          <w:rFonts w:ascii="Verdana" w:hAnsi="Verdana"/>
          <w:sz w:val="20"/>
          <w:szCs w:val="20"/>
          <w:lang w:val="en-US"/>
        </w:rPr>
        <w:t>has incorporated these into its case law;</w:t>
      </w:r>
      <w:r w:rsidR="00E70701" w:rsidRPr="00D869E3">
        <w:rPr>
          <w:rStyle w:val="Refdenotaalpie"/>
          <w:szCs w:val="20"/>
          <w:lang w:val="en-US"/>
        </w:rPr>
        <w:footnoteReference w:id="455"/>
      </w:r>
      <w:r w:rsidR="00E70701" w:rsidRPr="00D869E3">
        <w:rPr>
          <w:rFonts w:ascii="Verdana" w:hAnsi="Verdana"/>
          <w:sz w:val="20"/>
          <w:szCs w:val="20"/>
          <w:lang w:val="en-US"/>
        </w:rPr>
        <w:t xml:space="preserve"> </w:t>
      </w:r>
      <w:r w:rsidRPr="00D869E3">
        <w:rPr>
          <w:rFonts w:ascii="Verdana" w:hAnsi="Verdana"/>
          <w:sz w:val="20"/>
          <w:szCs w:val="20"/>
          <w:lang w:val="en-US"/>
        </w:rPr>
        <w:t>thus, in addition to the evolutive method, it has used other interpretation criteria such as literal interpretation, systematic interpretation, and teleological interpretation</w:t>
      </w:r>
      <w:r w:rsidR="00E70701" w:rsidRPr="00D869E3">
        <w:rPr>
          <w:rFonts w:ascii="Verdana" w:hAnsi="Verdana"/>
          <w:sz w:val="20"/>
          <w:szCs w:val="20"/>
          <w:lang w:val="en-US"/>
        </w:rPr>
        <w:t>.</w:t>
      </w:r>
    </w:p>
    <w:p w14:paraId="3EBAF20E" w14:textId="77777777" w:rsidR="00E70701" w:rsidRPr="00D869E3" w:rsidRDefault="00E70701" w:rsidP="00C44F79">
      <w:pPr>
        <w:jc w:val="both"/>
        <w:rPr>
          <w:rFonts w:ascii="Verdana" w:hAnsi="Verdana"/>
          <w:sz w:val="20"/>
          <w:szCs w:val="20"/>
          <w:lang w:val="en-US"/>
        </w:rPr>
      </w:pPr>
    </w:p>
    <w:p w14:paraId="24E4E206" w14:textId="41526676" w:rsidR="00E70701" w:rsidRPr="00D869E3" w:rsidRDefault="00075E68" w:rsidP="005D6D94">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In this regard</w:t>
      </w:r>
      <w:r w:rsidR="00E70701" w:rsidRPr="00D869E3">
        <w:rPr>
          <w:rFonts w:ascii="Verdana" w:hAnsi="Verdana"/>
          <w:sz w:val="20"/>
          <w:szCs w:val="20"/>
          <w:lang w:val="en-US"/>
        </w:rPr>
        <w:t xml:space="preserve">, </w:t>
      </w:r>
      <w:r w:rsidR="00072C85" w:rsidRPr="00D869E3">
        <w:rPr>
          <w:rFonts w:ascii="Verdana" w:hAnsi="Verdana"/>
          <w:sz w:val="20"/>
          <w:szCs w:val="20"/>
          <w:lang w:val="en-US"/>
        </w:rPr>
        <w:t>it should be pointed out that</w:t>
      </w:r>
      <w:r w:rsidR="003E0A5B" w:rsidRPr="00D869E3">
        <w:rPr>
          <w:rFonts w:ascii="Verdana" w:hAnsi="Verdana"/>
          <w:sz w:val="20"/>
          <w:szCs w:val="20"/>
          <w:lang w:val="en-US"/>
        </w:rPr>
        <w:t xml:space="preserve">, </w:t>
      </w:r>
      <w:r w:rsidR="00072C85" w:rsidRPr="00D869E3">
        <w:rPr>
          <w:rFonts w:ascii="Verdana" w:hAnsi="Verdana"/>
          <w:sz w:val="20"/>
          <w:szCs w:val="20"/>
          <w:lang w:val="en-US"/>
        </w:rPr>
        <w:t>to interpret a norm, it is not sufficient to use just one of the different methods of interpretation that exist, because th</w:t>
      </w:r>
      <w:r w:rsidR="003E0A5B" w:rsidRPr="00D869E3">
        <w:rPr>
          <w:rFonts w:ascii="Verdana" w:hAnsi="Verdana"/>
          <w:sz w:val="20"/>
          <w:szCs w:val="20"/>
          <w:lang w:val="en-US"/>
        </w:rPr>
        <w:t>ese methods</w:t>
      </w:r>
      <w:r w:rsidR="00072C85" w:rsidRPr="00D869E3">
        <w:rPr>
          <w:rFonts w:ascii="Verdana" w:hAnsi="Verdana"/>
          <w:sz w:val="20"/>
          <w:szCs w:val="20"/>
          <w:lang w:val="en-US"/>
        </w:rPr>
        <w:t xml:space="preserve"> are complementary and all of equal rank. Indeed, in the aforementioned concurring opinion, I analyzed</w:t>
      </w:r>
      <w:r w:rsidR="00E70701" w:rsidRPr="00D869E3">
        <w:rPr>
          <w:rStyle w:val="Refdenotaalpie"/>
          <w:rFonts w:cs="Arial"/>
          <w:szCs w:val="20"/>
          <w:lang w:val="en-US"/>
        </w:rPr>
        <w:footnoteReference w:id="456"/>
      </w:r>
      <w:r w:rsidR="00E70701" w:rsidRPr="00D869E3">
        <w:rPr>
          <w:rFonts w:ascii="Verdana" w:hAnsi="Verdana" w:cs="Arial"/>
          <w:sz w:val="20"/>
          <w:szCs w:val="20"/>
          <w:lang w:val="en-US"/>
        </w:rPr>
        <w:t xml:space="preserve"> </w:t>
      </w:r>
      <w:r w:rsidR="00687684" w:rsidRPr="00D869E3">
        <w:rPr>
          <w:rFonts w:ascii="Verdana" w:hAnsi="Verdana" w:cs="Arial"/>
          <w:sz w:val="20"/>
          <w:szCs w:val="20"/>
          <w:lang w:val="en-US"/>
        </w:rPr>
        <w:t>Article</w:t>
      </w:r>
      <w:r w:rsidR="00E70701" w:rsidRPr="00D869E3">
        <w:rPr>
          <w:rFonts w:ascii="Verdana" w:hAnsi="Verdana" w:cs="Arial"/>
          <w:sz w:val="20"/>
          <w:szCs w:val="20"/>
          <w:lang w:val="en-US"/>
        </w:rPr>
        <w:t xml:space="preserve"> 26 </w:t>
      </w:r>
      <w:r w:rsidR="00072C85" w:rsidRPr="00D869E3">
        <w:rPr>
          <w:rFonts w:ascii="Verdana" w:hAnsi="Verdana" w:cs="Arial"/>
          <w:sz w:val="20"/>
          <w:szCs w:val="20"/>
          <w:lang w:val="en-US"/>
        </w:rPr>
        <w:t xml:space="preserve">of the </w:t>
      </w:r>
      <w:r w:rsidR="00F42CF0" w:rsidRPr="00D869E3">
        <w:rPr>
          <w:rFonts w:ascii="Verdana" w:hAnsi="Verdana" w:cs="Arial"/>
          <w:sz w:val="20"/>
          <w:szCs w:val="20"/>
          <w:lang w:val="en-US"/>
        </w:rPr>
        <w:t>ACHR</w:t>
      </w:r>
      <w:r w:rsidR="00E70701" w:rsidRPr="00D869E3">
        <w:rPr>
          <w:rFonts w:ascii="Verdana" w:hAnsi="Verdana" w:cs="Arial"/>
          <w:sz w:val="20"/>
          <w:szCs w:val="20"/>
          <w:lang w:val="en-US"/>
        </w:rPr>
        <w:t xml:space="preserve"> </w:t>
      </w:r>
      <w:r w:rsidR="00072C85" w:rsidRPr="00D869E3">
        <w:rPr>
          <w:rFonts w:ascii="Verdana" w:hAnsi="Verdana" w:cs="Arial"/>
          <w:sz w:val="20"/>
          <w:szCs w:val="20"/>
          <w:lang w:val="en-US"/>
        </w:rPr>
        <w:t>based on all the methods of interpretation, and this revealed that it does not permit a direct justiciability of the ESCR, because the jurisdiction of the Inter-American Court</w:t>
      </w:r>
      <w:r w:rsidR="005D6D94" w:rsidRPr="00D869E3">
        <w:rPr>
          <w:rFonts w:ascii="Verdana" w:hAnsi="Verdana" w:cs="Arial"/>
          <w:sz w:val="20"/>
          <w:szCs w:val="20"/>
          <w:lang w:val="en-US"/>
        </w:rPr>
        <w:t xml:space="preserve"> in this regard is regulated by</w:t>
      </w:r>
      <w:r w:rsidR="005D6D94" w:rsidRPr="00D869E3">
        <w:rPr>
          <w:rFonts w:ascii="Verdana" w:hAnsi="Verdana"/>
          <w:sz w:val="20"/>
          <w:szCs w:val="20"/>
          <w:lang w:val="en-US"/>
        </w:rPr>
        <w:t xml:space="preserve"> </w:t>
      </w:r>
      <w:r w:rsidR="00447C65" w:rsidRPr="00D869E3">
        <w:rPr>
          <w:rFonts w:ascii="Verdana" w:hAnsi="Verdana" w:cs="Arial"/>
          <w:sz w:val="20"/>
          <w:szCs w:val="20"/>
          <w:lang w:val="en-US"/>
        </w:rPr>
        <w:t>Article</w:t>
      </w:r>
      <w:r w:rsidR="00E70701" w:rsidRPr="00D869E3">
        <w:rPr>
          <w:rFonts w:ascii="Verdana" w:hAnsi="Verdana" w:cs="Arial"/>
          <w:sz w:val="20"/>
          <w:szCs w:val="20"/>
          <w:lang w:val="en-US"/>
        </w:rPr>
        <w:t xml:space="preserve"> </w:t>
      </w:r>
      <w:r w:rsidR="00E70701" w:rsidRPr="00D869E3">
        <w:rPr>
          <w:rFonts w:ascii="Verdana" w:hAnsi="Verdana"/>
          <w:sz w:val="20"/>
          <w:szCs w:val="20"/>
          <w:lang w:val="en-US"/>
        </w:rPr>
        <w:t>19</w:t>
      </w:r>
      <w:r w:rsidR="005D6D94" w:rsidRPr="00D869E3">
        <w:rPr>
          <w:rFonts w:ascii="Verdana" w:hAnsi="Verdana"/>
          <w:sz w:val="20"/>
          <w:szCs w:val="20"/>
          <w:lang w:val="en-US"/>
        </w:rPr>
        <w:t>(</w:t>
      </w:r>
      <w:r w:rsidR="00E70701" w:rsidRPr="00D869E3">
        <w:rPr>
          <w:rFonts w:ascii="Verdana" w:hAnsi="Verdana"/>
          <w:sz w:val="20"/>
          <w:szCs w:val="20"/>
          <w:lang w:val="en-US"/>
        </w:rPr>
        <w:t>6</w:t>
      </w:r>
      <w:r w:rsidR="005D6D94" w:rsidRPr="00D869E3">
        <w:rPr>
          <w:rFonts w:ascii="Verdana" w:hAnsi="Verdana"/>
          <w:sz w:val="20"/>
          <w:szCs w:val="20"/>
          <w:lang w:val="en-US"/>
        </w:rPr>
        <w:t>)</w:t>
      </w:r>
      <w:r w:rsidR="00E70701" w:rsidRPr="00D869E3">
        <w:rPr>
          <w:rFonts w:ascii="Verdana" w:hAnsi="Verdana"/>
          <w:sz w:val="20"/>
          <w:szCs w:val="20"/>
          <w:lang w:val="en-US"/>
        </w:rPr>
        <w:t xml:space="preserve"> </w:t>
      </w:r>
      <w:r w:rsidR="005D6D94" w:rsidRPr="00D869E3">
        <w:rPr>
          <w:rFonts w:ascii="Verdana" w:hAnsi="Verdana"/>
          <w:sz w:val="20"/>
          <w:szCs w:val="20"/>
          <w:lang w:val="en-US"/>
        </w:rPr>
        <w:t>of the</w:t>
      </w:r>
      <w:r w:rsidR="00E70701" w:rsidRPr="00D869E3">
        <w:rPr>
          <w:rFonts w:ascii="Verdana" w:hAnsi="Verdana"/>
          <w:sz w:val="20"/>
          <w:szCs w:val="20"/>
          <w:lang w:val="en-US"/>
        </w:rPr>
        <w:t xml:space="preserve"> </w:t>
      </w:r>
      <w:r w:rsidR="000F0B45" w:rsidRPr="00D869E3">
        <w:rPr>
          <w:rFonts w:ascii="Verdana" w:hAnsi="Verdana"/>
          <w:sz w:val="20"/>
          <w:szCs w:val="20"/>
          <w:lang w:val="en-US"/>
        </w:rPr>
        <w:t>Protocol</w:t>
      </w:r>
      <w:r w:rsidR="00E70701" w:rsidRPr="00D869E3">
        <w:rPr>
          <w:rFonts w:ascii="Verdana" w:hAnsi="Verdana"/>
          <w:sz w:val="20"/>
          <w:szCs w:val="20"/>
          <w:lang w:val="en-US"/>
        </w:rPr>
        <w:t>.</w:t>
      </w:r>
    </w:p>
    <w:p w14:paraId="7BBFB8F9" w14:textId="77777777" w:rsidR="00E70701" w:rsidRPr="00D869E3" w:rsidRDefault="00E70701" w:rsidP="00C44F79">
      <w:pPr>
        <w:jc w:val="both"/>
        <w:rPr>
          <w:rFonts w:ascii="Verdana" w:hAnsi="Verdana"/>
          <w:sz w:val="20"/>
          <w:szCs w:val="20"/>
          <w:lang w:val="en-US"/>
        </w:rPr>
      </w:pPr>
    </w:p>
    <w:p w14:paraId="05281C86" w14:textId="514503BA" w:rsidR="00E70701" w:rsidRPr="00D869E3" w:rsidRDefault="005D6D94" w:rsidP="005D6D94">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Consequently, this point is also fairly controversial in th</w:t>
      </w:r>
      <w:r w:rsidR="003E0A5B" w:rsidRPr="00D869E3">
        <w:rPr>
          <w:rFonts w:ascii="Verdana" w:hAnsi="Verdana"/>
          <w:sz w:val="20"/>
          <w:szCs w:val="20"/>
          <w:lang w:val="en-US"/>
        </w:rPr>
        <w:t>e instant</w:t>
      </w:r>
      <w:r w:rsidRPr="00D869E3">
        <w:rPr>
          <w:rFonts w:ascii="Verdana" w:hAnsi="Verdana"/>
          <w:sz w:val="20"/>
          <w:szCs w:val="20"/>
          <w:lang w:val="en-US"/>
        </w:rPr>
        <w:t xml:space="preserve"> judgment because it merely uses </w:t>
      </w:r>
      <w:r w:rsidR="003E0A5B" w:rsidRPr="00D869E3">
        <w:rPr>
          <w:rFonts w:ascii="Verdana" w:hAnsi="Verdana"/>
          <w:sz w:val="20"/>
          <w:szCs w:val="20"/>
          <w:lang w:val="en-US"/>
        </w:rPr>
        <w:t>one</w:t>
      </w:r>
      <w:r w:rsidRPr="00D869E3">
        <w:rPr>
          <w:rFonts w:ascii="Verdana" w:hAnsi="Verdana"/>
          <w:sz w:val="20"/>
          <w:szCs w:val="20"/>
          <w:lang w:val="en-US"/>
        </w:rPr>
        <w:t xml:space="preserve"> method of interpretation, disregarding one of the most basic rules of public international law, which is the Vienna Convention on the Law of Treaties. In addition, it does not explain or argue why it seeks to make an interpretation of the treaty using a single methodology. </w:t>
      </w:r>
      <w:r w:rsidR="003E0A5B" w:rsidRPr="00D869E3">
        <w:rPr>
          <w:rFonts w:ascii="Verdana" w:hAnsi="Verdana"/>
          <w:sz w:val="20"/>
          <w:szCs w:val="20"/>
          <w:lang w:val="en-US"/>
        </w:rPr>
        <w:t>Moreover</w:t>
      </w:r>
      <w:r w:rsidRPr="00D869E3">
        <w:rPr>
          <w:rFonts w:ascii="Verdana" w:hAnsi="Verdana"/>
          <w:sz w:val="20"/>
          <w:szCs w:val="20"/>
          <w:lang w:val="en-US"/>
        </w:rPr>
        <w:t xml:space="preserve">, this is </w:t>
      </w:r>
      <w:r w:rsidR="003E0A5B" w:rsidRPr="00D869E3">
        <w:rPr>
          <w:rFonts w:ascii="Verdana" w:hAnsi="Verdana"/>
          <w:sz w:val="20"/>
          <w:szCs w:val="20"/>
          <w:lang w:val="en-US"/>
        </w:rPr>
        <w:t>un</w:t>
      </w:r>
      <w:r w:rsidRPr="00D869E3">
        <w:rPr>
          <w:rFonts w:ascii="Verdana" w:hAnsi="Verdana"/>
          <w:sz w:val="20"/>
          <w:szCs w:val="20"/>
          <w:lang w:val="en-US"/>
        </w:rPr>
        <w:t xml:space="preserve">usual for </w:t>
      </w:r>
      <w:r w:rsidR="00671B14" w:rsidRPr="00D869E3">
        <w:rPr>
          <w:rFonts w:ascii="Verdana" w:hAnsi="Verdana"/>
          <w:sz w:val="20"/>
          <w:szCs w:val="20"/>
          <w:lang w:val="en-US"/>
        </w:rPr>
        <w:t>the Inter-American Court</w:t>
      </w:r>
      <w:r w:rsidRPr="00D869E3">
        <w:rPr>
          <w:rFonts w:ascii="Verdana" w:hAnsi="Verdana"/>
          <w:sz w:val="20"/>
          <w:szCs w:val="20"/>
          <w:lang w:val="en-US"/>
        </w:rPr>
        <w:t xml:space="preserve"> which</w:t>
      </w:r>
      <w:r w:rsidR="003E0A5B" w:rsidRPr="00D869E3">
        <w:rPr>
          <w:rFonts w:ascii="Verdana" w:hAnsi="Verdana"/>
          <w:sz w:val="20"/>
          <w:szCs w:val="20"/>
          <w:lang w:val="en-US"/>
        </w:rPr>
        <w:t>,</w:t>
      </w:r>
      <w:r w:rsidRPr="00D869E3">
        <w:rPr>
          <w:rFonts w:ascii="Verdana" w:hAnsi="Verdana"/>
          <w:sz w:val="20"/>
          <w:szCs w:val="20"/>
          <w:lang w:val="en-US"/>
        </w:rPr>
        <w:t xml:space="preserve"> on different occasions</w:t>
      </w:r>
      <w:r w:rsidR="003E0A5B" w:rsidRPr="00D869E3">
        <w:rPr>
          <w:rFonts w:ascii="Verdana" w:hAnsi="Verdana"/>
          <w:sz w:val="20"/>
          <w:szCs w:val="20"/>
          <w:lang w:val="en-US"/>
        </w:rPr>
        <w:t>,</w:t>
      </w:r>
      <w:r w:rsidRPr="00D869E3">
        <w:rPr>
          <w:rFonts w:ascii="Verdana" w:hAnsi="Verdana"/>
          <w:sz w:val="20"/>
          <w:szCs w:val="20"/>
          <w:lang w:val="en-US"/>
        </w:rPr>
        <w:t xml:space="preserve"> has made interpretations based on all the methods established.</w:t>
      </w:r>
    </w:p>
    <w:p w14:paraId="6EDB0217" w14:textId="77777777" w:rsidR="00E70701" w:rsidRPr="00D869E3" w:rsidRDefault="00E70701" w:rsidP="00C44F79">
      <w:pPr>
        <w:jc w:val="both"/>
        <w:rPr>
          <w:rFonts w:ascii="Verdana" w:hAnsi="Verdana"/>
          <w:sz w:val="20"/>
          <w:szCs w:val="20"/>
          <w:lang w:val="en-US"/>
        </w:rPr>
      </w:pPr>
    </w:p>
    <w:p w14:paraId="62EC1C26" w14:textId="69C29E5F" w:rsidR="00E70701" w:rsidRPr="00D869E3" w:rsidRDefault="005D6D94" w:rsidP="005D6D94">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Lastly, I stress that this case does not </w:t>
      </w:r>
      <w:r w:rsidR="003E0A5B" w:rsidRPr="00D869E3">
        <w:rPr>
          <w:rFonts w:ascii="Verdana" w:hAnsi="Verdana"/>
          <w:sz w:val="20"/>
          <w:szCs w:val="20"/>
          <w:lang w:val="en-US"/>
        </w:rPr>
        <w:t>include</w:t>
      </w:r>
      <w:r w:rsidRPr="00D869E3">
        <w:rPr>
          <w:rFonts w:ascii="Verdana" w:hAnsi="Verdana"/>
          <w:sz w:val="20"/>
          <w:szCs w:val="20"/>
          <w:lang w:val="en-US"/>
        </w:rPr>
        <w:t xml:space="preserve"> an interpretation that provides the most protection </w:t>
      </w:r>
      <w:r w:rsidR="003E0A5B" w:rsidRPr="00D869E3">
        <w:rPr>
          <w:rFonts w:ascii="Verdana" w:hAnsi="Verdana"/>
          <w:sz w:val="20"/>
          <w:szCs w:val="20"/>
          <w:lang w:val="en-US"/>
        </w:rPr>
        <w:t>for</w:t>
      </w:r>
      <w:r w:rsidRPr="00D869E3">
        <w:rPr>
          <w:rFonts w:ascii="Verdana" w:hAnsi="Verdana"/>
          <w:sz w:val="20"/>
          <w:szCs w:val="20"/>
          <w:lang w:val="en-US"/>
        </w:rPr>
        <w:t xml:space="preserve"> the norm that permits the application of the </w:t>
      </w:r>
      <w:r w:rsidRPr="00D869E3">
        <w:rPr>
          <w:rFonts w:ascii="Verdana" w:hAnsi="Verdana"/>
          <w:i/>
          <w:sz w:val="20"/>
          <w:szCs w:val="20"/>
          <w:lang w:val="en-US"/>
        </w:rPr>
        <w:t>pro persona</w:t>
      </w:r>
      <w:r w:rsidRPr="00D869E3">
        <w:rPr>
          <w:rFonts w:ascii="Verdana" w:hAnsi="Verdana"/>
          <w:sz w:val="20"/>
          <w:szCs w:val="20"/>
          <w:lang w:val="en-US"/>
        </w:rPr>
        <w:t xml:space="preserve"> principle. This is because the </w:t>
      </w:r>
      <w:r w:rsidRPr="00D869E3">
        <w:rPr>
          <w:rFonts w:ascii="Verdana" w:hAnsi="Verdana"/>
          <w:i/>
          <w:sz w:val="20"/>
          <w:szCs w:val="20"/>
          <w:lang w:val="en-US"/>
        </w:rPr>
        <w:t>pro persona</w:t>
      </w:r>
      <w:r w:rsidRPr="00D869E3">
        <w:rPr>
          <w:rFonts w:ascii="Verdana" w:hAnsi="Verdana"/>
          <w:sz w:val="20"/>
          <w:szCs w:val="20"/>
          <w:lang w:val="en-US"/>
        </w:rPr>
        <w:t xml:space="preserve"> principle should be applied when the Court is faced with two possible interpretations that are both valid and correct. Specifically what I have demonstrated is that the direct </w:t>
      </w:r>
      <w:r w:rsidR="00F42CF0" w:rsidRPr="00D869E3">
        <w:rPr>
          <w:rFonts w:ascii="Verdana" w:hAnsi="Verdana"/>
          <w:sz w:val="20"/>
          <w:szCs w:val="20"/>
          <w:lang w:val="en-US"/>
        </w:rPr>
        <w:t>justiciability</w:t>
      </w:r>
      <w:r w:rsidR="00E70701" w:rsidRPr="00D869E3">
        <w:rPr>
          <w:rFonts w:ascii="Verdana" w:hAnsi="Verdana"/>
          <w:sz w:val="20"/>
          <w:szCs w:val="20"/>
          <w:lang w:val="en-US"/>
        </w:rPr>
        <w:t xml:space="preserve"> </w:t>
      </w:r>
      <w:r w:rsidRPr="00D869E3">
        <w:rPr>
          <w:rFonts w:ascii="Verdana" w:hAnsi="Verdana"/>
          <w:sz w:val="20"/>
          <w:szCs w:val="20"/>
          <w:lang w:val="en-US"/>
        </w:rPr>
        <w:t>of the</w:t>
      </w:r>
      <w:r w:rsidR="00E70701" w:rsidRPr="00D869E3">
        <w:rPr>
          <w:rFonts w:ascii="Verdana" w:hAnsi="Verdana"/>
          <w:sz w:val="20"/>
          <w:szCs w:val="20"/>
          <w:lang w:val="en-US"/>
        </w:rPr>
        <w:t xml:space="preserve"> </w:t>
      </w:r>
      <w:r w:rsidR="00F42CF0" w:rsidRPr="00D869E3">
        <w:rPr>
          <w:rFonts w:ascii="Verdana" w:hAnsi="Verdana"/>
          <w:sz w:val="20"/>
          <w:szCs w:val="20"/>
          <w:lang w:val="en-US"/>
        </w:rPr>
        <w:t>ESCR</w:t>
      </w:r>
      <w:r w:rsidR="00E70701" w:rsidRPr="00D869E3">
        <w:rPr>
          <w:rFonts w:ascii="Verdana" w:hAnsi="Verdana"/>
          <w:sz w:val="20"/>
          <w:szCs w:val="20"/>
          <w:lang w:val="en-US"/>
        </w:rPr>
        <w:t xml:space="preserve"> </w:t>
      </w:r>
      <w:r w:rsidRPr="00D869E3">
        <w:rPr>
          <w:rFonts w:ascii="Verdana" w:hAnsi="Verdana"/>
          <w:sz w:val="20"/>
          <w:szCs w:val="20"/>
          <w:lang w:val="en-US"/>
        </w:rPr>
        <w:t>using</w:t>
      </w:r>
      <w:r w:rsidR="00687684" w:rsidRPr="00D869E3">
        <w:rPr>
          <w:rFonts w:ascii="Verdana" w:hAnsi="Verdana"/>
          <w:sz w:val="20"/>
          <w:szCs w:val="20"/>
          <w:lang w:val="en-US"/>
        </w:rPr>
        <w:t xml:space="preserve"> Article</w:t>
      </w:r>
      <w:r w:rsidR="00E70701" w:rsidRPr="00D869E3">
        <w:rPr>
          <w:rFonts w:ascii="Verdana" w:hAnsi="Verdana"/>
          <w:sz w:val="20"/>
          <w:szCs w:val="20"/>
          <w:lang w:val="en-US"/>
        </w:rPr>
        <w:t xml:space="preserve"> 26</w:t>
      </w:r>
      <w:r w:rsidR="00447C65" w:rsidRPr="00D869E3">
        <w:rPr>
          <w:rFonts w:ascii="Verdana" w:hAnsi="Verdana"/>
          <w:sz w:val="20"/>
          <w:szCs w:val="20"/>
          <w:lang w:val="en-US"/>
        </w:rPr>
        <w:t xml:space="preserve"> of the Convention</w:t>
      </w:r>
      <w:r w:rsidR="00E70701" w:rsidRPr="00D869E3">
        <w:rPr>
          <w:rFonts w:ascii="Verdana" w:hAnsi="Verdana"/>
          <w:sz w:val="20"/>
          <w:szCs w:val="20"/>
          <w:lang w:val="en-US"/>
        </w:rPr>
        <w:t xml:space="preserve"> </w:t>
      </w:r>
      <w:r w:rsidRPr="00D869E3">
        <w:rPr>
          <w:rFonts w:ascii="Verdana" w:hAnsi="Verdana"/>
          <w:sz w:val="20"/>
          <w:szCs w:val="20"/>
          <w:lang w:val="en-US"/>
        </w:rPr>
        <w:t xml:space="preserve">is not a valid interpretation because the intention is to derive a normative </w:t>
      </w:r>
      <w:r w:rsidR="002F6229" w:rsidRPr="00D869E3">
        <w:rPr>
          <w:rFonts w:ascii="Verdana" w:hAnsi="Verdana"/>
          <w:sz w:val="20"/>
          <w:szCs w:val="20"/>
          <w:lang w:val="en-US"/>
        </w:rPr>
        <w:t>principle that does not correspond to the norm.</w:t>
      </w:r>
      <w:r w:rsidR="00E70701" w:rsidRPr="00D869E3">
        <w:rPr>
          <w:rStyle w:val="Refdenotaalpie"/>
          <w:szCs w:val="20"/>
          <w:lang w:val="en-US"/>
        </w:rPr>
        <w:footnoteReference w:id="457"/>
      </w:r>
      <w:r w:rsidR="00E70701" w:rsidRPr="00D869E3">
        <w:rPr>
          <w:rFonts w:ascii="Verdana" w:hAnsi="Verdana"/>
          <w:sz w:val="20"/>
          <w:szCs w:val="20"/>
          <w:lang w:val="en-US"/>
        </w:rPr>
        <w:t xml:space="preserve"> </w:t>
      </w:r>
      <w:r w:rsidR="002F6229" w:rsidRPr="00D869E3">
        <w:rPr>
          <w:rFonts w:ascii="Verdana" w:hAnsi="Verdana"/>
          <w:sz w:val="20"/>
          <w:szCs w:val="20"/>
          <w:lang w:val="en-US"/>
        </w:rPr>
        <w:t xml:space="preserve">In other words, the </w:t>
      </w:r>
      <w:r w:rsidR="002F6229" w:rsidRPr="00D869E3">
        <w:rPr>
          <w:rFonts w:ascii="Verdana" w:hAnsi="Verdana"/>
          <w:i/>
          <w:sz w:val="20"/>
          <w:szCs w:val="20"/>
          <w:lang w:val="en-US"/>
        </w:rPr>
        <w:t>pro persona</w:t>
      </w:r>
      <w:r w:rsidR="002F6229" w:rsidRPr="00D869E3">
        <w:rPr>
          <w:rFonts w:ascii="Verdana" w:hAnsi="Verdana"/>
          <w:sz w:val="20"/>
          <w:szCs w:val="20"/>
          <w:lang w:val="en-US"/>
        </w:rPr>
        <w:t xml:space="preserve"> principle cannot be used to validate an interpretive option that does not emanate from the norm and that, to the contrary, entails </w:t>
      </w:r>
      <w:r w:rsidR="000736F9" w:rsidRPr="00D869E3">
        <w:rPr>
          <w:rFonts w:ascii="Verdana" w:hAnsi="Verdana"/>
          <w:sz w:val="20"/>
          <w:szCs w:val="20"/>
          <w:lang w:val="en-US"/>
        </w:rPr>
        <w:t>its</w:t>
      </w:r>
      <w:r w:rsidR="002F6229" w:rsidRPr="00D869E3">
        <w:rPr>
          <w:rFonts w:ascii="Verdana" w:hAnsi="Verdana"/>
          <w:sz w:val="20"/>
          <w:szCs w:val="20"/>
          <w:lang w:val="en-US"/>
        </w:rPr>
        <w:t xml:space="preserve"> modification</w:t>
      </w:r>
      <w:r w:rsidR="00E70701" w:rsidRPr="00D869E3">
        <w:rPr>
          <w:rFonts w:ascii="Verdana" w:hAnsi="Verdana"/>
          <w:sz w:val="20"/>
          <w:szCs w:val="20"/>
          <w:lang w:val="en-US"/>
        </w:rPr>
        <w:t>.</w:t>
      </w:r>
    </w:p>
    <w:p w14:paraId="1700B7F2" w14:textId="77777777" w:rsidR="00E70701" w:rsidRPr="00D869E3" w:rsidRDefault="00E70701" w:rsidP="00C44F79">
      <w:pPr>
        <w:jc w:val="both"/>
        <w:rPr>
          <w:rFonts w:ascii="Verdana" w:hAnsi="Verdana" w:cs="Arial"/>
          <w:sz w:val="20"/>
          <w:szCs w:val="20"/>
          <w:lang w:val="en-US"/>
        </w:rPr>
      </w:pPr>
    </w:p>
    <w:p w14:paraId="119D8619" w14:textId="6A429D2B" w:rsidR="00E70701" w:rsidRPr="00D869E3" w:rsidRDefault="002F6229" w:rsidP="00E70701">
      <w:pPr>
        <w:pStyle w:val="Prrafodelista"/>
        <w:numPr>
          <w:ilvl w:val="0"/>
          <w:numId w:val="36"/>
        </w:numPr>
        <w:jc w:val="both"/>
        <w:rPr>
          <w:rFonts w:ascii="Verdana" w:hAnsi="Verdana" w:cs="Arial"/>
          <w:b/>
          <w:sz w:val="20"/>
          <w:szCs w:val="20"/>
          <w:lang w:val="en-US"/>
        </w:rPr>
      </w:pPr>
      <w:r w:rsidRPr="00D869E3">
        <w:rPr>
          <w:rFonts w:ascii="Verdana" w:hAnsi="Verdana" w:cs="Arial"/>
          <w:b/>
          <w:sz w:val="20"/>
          <w:szCs w:val="20"/>
          <w:lang w:val="en-US"/>
        </w:rPr>
        <w:t>LACK OF PERTINENCE OF THE SPECIFIC CASE</w:t>
      </w:r>
    </w:p>
    <w:p w14:paraId="632E35FC" w14:textId="77777777" w:rsidR="00E70701" w:rsidRPr="00D869E3" w:rsidRDefault="00E70701" w:rsidP="00C44F79">
      <w:pPr>
        <w:jc w:val="both"/>
        <w:rPr>
          <w:rFonts w:ascii="Verdana" w:hAnsi="Verdana"/>
          <w:sz w:val="20"/>
          <w:szCs w:val="20"/>
          <w:lang w:val="en-US"/>
        </w:rPr>
      </w:pPr>
    </w:p>
    <w:p w14:paraId="7ED9FAA1" w14:textId="27C8D639" w:rsidR="00E70701" w:rsidRPr="00D869E3" w:rsidRDefault="002F6229" w:rsidP="002F6229">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Having described my general arguments in this matter, I will now present the reasons why I considered that this case, in particular, </w:t>
      </w:r>
      <w:r w:rsidR="000736F9" w:rsidRPr="00D869E3">
        <w:rPr>
          <w:rFonts w:ascii="Verdana" w:hAnsi="Verdana"/>
          <w:sz w:val="20"/>
          <w:szCs w:val="20"/>
          <w:lang w:val="en-US"/>
        </w:rPr>
        <w:t>possessed</w:t>
      </w:r>
      <w:r w:rsidRPr="00D869E3">
        <w:rPr>
          <w:rFonts w:ascii="Verdana" w:hAnsi="Verdana"/>
          <w:sz w:val="20"/>
          <w:szCs w:val="20"/>
          <w:lang w:val="en-US"/>
        </w:rPr>
        <w:t xml:space="preserve"> various complex features that meant that it did not allow this debate to be undertaken and, in particular, to arrive at the conclusion reached by the majority </w:t>
      </w:r>
      <w:r w:rsidR="00447C65" w:rsidRPr="00D869E3">
        <w:rPr>
          <w:rFonts w:ascii="Verdana" w:hAnsi="Verdana"/>
          <w:sz w:val="20"/>
          <w:szCs w:val="20"/>
          <w:lang w:val="en-US"/>
        </w:rPr>
        <w:t xml:space="preserve">of </w:t>
      </w:r>
      <w:r w:rsidR="00671B14" w:rsidRPr="00D869E3">
        <w:rPr>
          <w:rFonts w:ascii="Verdana" w:hAnsi="Verdana"/>
          <w:sz w:val="20"/>
          <w:szCs w:val="20"/>
          <w:lang w:val="en-US"/>
        </w:rPr>
        <w:t>the Inter-American Court</w:t>
      </w:r>
      <w:r w:rsidR="00E70701" w:rsidRPr="00D869E3">
        <w:rPr>
          <w:rFonts w:ascii="Verdana" w:hAnsi="Verdana"/>
          <w:sz w:val="20"/>
          <w:szCs w:val="20"/>
          <w:lang w:val="en-US"/>
        </w:rPr>
        <w:t>.</w:t>
      </w:r>
    </w:p>
    <w:p w14:paraId="0B70FCE2" w14:textId="77777777" w:rsidR="00E70701" w:rsidRPr="00D869E3" w:rsidRDefault="00E70701" w:rsidP="00C44F79">
      <w:pPr>
        <w:pStyle w:val="Prrafodelista"/>
        <w:ind w:left="0"/>
        <w:jc w:val="both"/>
        <w:rPr>
          <w:rFonts w:ascii="Verdana" w:hAnsi="Verdana"/>
          <w:sz w:val="20"/>
          <w:szCs w:val="20"/>
          <w:lang w:val="en-US"/>
        </w:rPr>
      </w:pPr>
    </w:p>
    <w:p w14:paraId="08A23077" w14:textId="15A01D1F" w:rsidR="00E70701" w:rsidRPr="00D869E3" w:rsidRDefault="002F6229" w:rsidP="002F6229">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First, I consider it extremely rash to use the </w:t>
      </w:r>
      <w:r w:rsidRPr="00D869E3">
        <w:rPr>
          <w:rFonts w:ascii="Verdana" w:hAnsi="Verdana"/>
          <w:i/>
          <w:sz w:val="20"/>
          <w:szCs w:val="20"/>
          <w:lang w:val="en-US"/>
        </w:rPr>
        <w:t>iura novit curia</w:t>
      </w:r>
      <w:r w:rsidRPr="00D869E3">
        <w:rPr>
          <w:rFonts w:ascii="Verdana" w:hAnsi="Verdana"/>
          <w:sz w:val="20"/>
          <w:szCs w:val="20"/>
          <w:lang w:val="en-US"/>
        </w:rPr>
        <w:t xml:space="preserve"> principle in this case. As is well known, the Inter-American Court has used this principle since its very first judgments,</w:t>
      </w:r>
      <w:r w:rsidRPr="00D869E3">
        <w:rPr>
          <w:rStyle w:val="Refdenotaalpie"/>
          <w:szCs w:val="20"/>
          <w:lang w:val="en-US"/>
        </w:rPr>
        <w:footnoteReference w:id="458"/>
      </w:r>
      <w:r w:rsidRPr="00D869E3">
        <w:rPr>
          <w:rFonts w:ascii="Verdana" w:hAnsi="Verdana"/>
          <w:sz w:val="20"/>
          <w:szCs w:val="20"/>
          <w:lang w:val="en-US"/>
        </w:rPr>
        <w:t xml:space="preserve"> and has defined it as “the authority and even the duty [of the judge] to apply the pertinent legal provisions in a case, even when the parties do not expressly invoke them.</w:t>
      </w:r>
      <w:r w:rsidR="006436CA" w:rsidRPr="00D869E3">
        <w:rPr>
          <w:rFonts w:ascii="Verdana" w:eastAsia="Times New Roman" w:hAnsi="Verdana"/>
          <w:sz w:val="20"/>
          <w:szCs w:val="20"/>
          <w:lang w:val="en-US" w:eastAsia="es-ES_tradnl"/>
        </w:rPr>
        <w:t>”</w:t>
      </w:r>
      <w:r w:rsidR="00E70701" w:rsidRPr="00D869E3">
        <w:rPr>
          <w:rStyle w:val="Refdenotaalpie"/>
          <w:rFonts w:eastAsia="Times New Roman"/>
          <w:szCs w:val="20"/>
          <w:lang w:val="en-US" w:eastAsia="es-ES_tradnl"/>
        </w:rPr>
        <w:footnoteReference w:id="459"/>
      </w:r>
      <w:r w:rsidRPr="00D869E3">
        <w:rPr>
          <w:rFonts w:ascii="Verdana" w:eastAsia="Times New Roman" w:hAnsi="Verdana"/>
          <w:sz w:val="20"/>
          <w:szCs w:val="20"/>
          <w:lang w:val="en-US" w:eastAsia="es-ES_tradnl"/>
        </w:rPr>
        <w:t xml:space="preserve"> Thus, this principle means, as its name indicates, that the inter-America judge can apply a norm that has not been alleged by the Commission or the parties, because</w:t>
      </w:r>
      <w:r w:rsidR="001A575D" w:rsidRPr="00D869E3">
        <w:rPr>
          <w:rFonts w:ascii="Verdana" w:eastAsia="Times New Roman" w:hAnsi="Verdana"/>
          <w:sz w:val="20"/>
          <w:szCs w:val="20"/>
          <w:lang w:val="en-US" w:eastAsia="es-ES_tradnl"/>
        </w:rPr>
        <w:t xml:space="preserve"> it is better positioned to determine which right is applicable to the case. In other words, </w:t>
      </w:r>
      <w:r w:rsidR="00671B14" w:rsidRPr="00D869E3">
        <w:rPr>
          <w:rFonts w:ascii="Verdana" w:eastAsia="Times New Roman" w:hAnsi="Verdana"/>
          <w:sz w:val="20"/>
          <w:szCs w:val="20"/>
          <w:lang w:val="en-US" w:eastAsia="es-ES_tradnl"/>
        </w:rPr>
        <w:t>the inter-American system</w:t>
      </w:r>
      <w:r w:rsidR="00E70701" w:rsidRPr="00D869E3">
        <w:rPr>
          <w:rFonts w:ascii="Verdana" w:eastAsia="Times New Roman" w:hAnsi="Verdana"/>
          <w:sz w:val="20"/>
          <w:szCs w:val="20"/>
          <w:lang w:val="en-US" w:eastAsia="es-ES_tradnl"/>
        </w:rPr>
        <w:t xml:space="preserve"> </w:t>
      </w:r>
      <w:r w:rsidR="001A575D" w:rsidRPr="00D869E3">
        <w:rPr>
          <w:rFonts w:ascii="Verdana" w:eastAsia="Times New Roman" w:hAnsi="Verdana"/>
          <w:sz w:val="20"/>
          <w:szCs w:val="20"/>
          <w:lang w:val="en-US" w:eastAsia="es-ES_tradnl"/>
        </w:rPr>
        <w:t>is not justice based on the content of the petition (</w:t>
      </w:r>
      <w:r w:rsidR="00E70701" w:rsidRPr="00D869E3">
        <w:rPr>
          <w:rFonts w:ascii="Verdana" w:eastAsia="Times New Roman" w:hAnsi="Verdana"/>
          <w:i/>
          <w:iCs/>
          <w:sz w:val="20"/>
          <w:szCs w:val="20"/>
          <w:lang w:val="en-US" w:eastAsia="es-ES_tradnl"/>
        </w:rPr>
        <w:t>justicia rogada</w:t>
      </w:r>
      <w:r w:rsidR="001A575D" w:rsidRPr="00D869E3">
        <w:rPr>
          <w:rFonts w:ascii="Verdana" w:eastAsia="Times New Roman" w:hAnsi="Verdana"/>
          <w:sz w:val="20"/>
          <w:szCs w:val="20"/>
          <w:lang w:val="en-US" w:eastAsia="es-ES_tradnl"/>
        </w:rPr>
        <w:t>)</w:t>
      </w:r>
      <w:r w:rsidR="00E70701" w:rsidRPr="00D869E3">
        <w:rPr>
          <w:rFonts w:ascii="Verdana" w:eastAsia="Times New Roman" w:hAnsi="Verdana"/>
          <w:sz w:val="20"/>
          <w:szCs w:val="20"/>
          <w:lang w:val="en-US" w:eastAsia="es-ES_tradnl"/>
        </w:rPr>
        <w:t xml:space="preserve">, </w:t>
      </w:r>
      <w:r w:rsidR="001A575D" w:rsidRPr="00D869E3">
        <w:rPr>
          <w:rFonts w:ascii="Verdana" w:eastAsia="Times New Roman" w:hAnsi="Verdana"/>
          <w:sz w:val="20"/>
          <w:szCs w:val="20"/>
          <w:lang w:val="en-US" w:eastAsia="es-ES_tradnl"/>
        </w:rPr>
        <w:t>in the sense that the litigation is not undertaken based on the norms alleged by the Commission or the parties.</w:t>
      </w:r>
    </w:p>
    <w:p w14:paraId="5129E7D9" w14:textId="77777777" w:rsidR="00E70701" w:rsidRPr="00D869E3" w:rsidRDefault="00E70701" w:rsidP="00C44F79">
      <w:pPr>
        <w:jc w:val="both"/>
        <w:rPr>
          <w:rFonts w:ascii="Verdana" w:hAnsi="Verdana"/>
          <w:sz w:val="20"/>
          <w:szCs w:val="20"/>
          <w:lang w:val="en-US"/>
        </w:rPr>
      </w:pPr>
    </w:p>
    <w:p w14:paraId="280EEFBE" w14:textId="5B26B900" w:rsidR="001A575D" w:rsidRPr="00D869E3" w:rsidRDefault="001A575D" w:rsidP="001A575D">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Therefore, I consider that</w:t>
      </w:r>
      <w:r w:rsidR="000736F9" w:rsidRPr="00D869E3">
        <w:rPr>
          <w:rFonts w:ascii="Verdana" w:hAnsi="Verdana"/>
          <w:sz w:val="20"/>
          <w:szCs w:val="20"/>
          <w:lang w:val="en-US"/>
        </w:rPr>
        <w:t>,</w:t>
      </w:r>
      <w:r w:rsidRPr="00D869E3">
        <w:rPr>
          <w:rFonts w:ascii="Verdana" w:hAnsi="Verdana"/>
          <w:sz w:val="20"/>
          <w:szCs w:val="20"/>
          <w:lang w:val="en-US"/>
        </w:rPr>
        <w:t xml:space="preserve"> even though this is an acknowledged faculty </w:t>
      </w:r>
      <w:r w:rsidR="000736F9" w:rsidRPr="00D869E3">
        <w:rPr>
          <w:rFonts w:ascii="Verdana" w:hAnsi="Verdana"/>
          <w:sz w:val="20"/>
          <w:szCs w:val="20"/>
          <w:lang w:val="en-US"/>
        </w:rPr>
        <w:t>of</w:t>
      </w:r>
      <w:r w:rsidRPr="00D869E3">
        <w:rPr>
          <w:rFonts w:ascii="Verdana" w:hAnsi="Verdana"/>
          <w:sz w:val="20"/>
          <w:szCs w:val="20"/>
          <w:lang w:val="en-US"/>
        </w:rPr>
        <w:t xml:space="preserve"> inter-American judges, it cannot be used under any circumstance and with</w:t>
      </w:r>
      <w:r w:rsidR="000736F9" w:rsidRPr="00D869E3">
        <w:rPr>
          <w:rFonts w:ascii="Verdana" w:hAnsi="Verdana"/>
          <w:sz w:val="20"/>
          <w:szCs w:val="20"/>
          <w:lang w:val="en-US"/>
        </w:rPr>
        <w:t>out</w:t>
      </w:r>
      <w:r w:rsidRPr="00D869E3">
        <w:rPr>
          <w:rFonts w:ascii="Verdana" w:hAnsi="Verdana"/>
          <w:sz w:val="20"/>
          <w:szCs w:val="20"/>
          <w:lang w:val="en-US"/>
        </w:rPr>
        <w:t xml:space="preserve"> having recourse to certain criteria of reasonableness and pertinence. Indeed, I consider that the said principle may be used when </w:t>
      </w:r>
      <w:r w:rsidR="000736F9" w:rsidRPr="00D869E3">
        <w:rPr>
          <w:rFonts w:ascii="Verdana" w:hAnsi="Verdana"/>
          <w:sz w:val="20"/>
          <w:szCs w:val="20"/>
          <w:lang w:val="en-US"/>
        </w:rPr>
        <w:t>a</w:t>
      </w:r>
      <w:r w:rsidRPr="00D869E3">
        <w:rPr>
          <w:rFonts w:ascii="Verdana" w:hAnsi="Verdana"/>
          <w:sz w:val="20"/>
          <w:szCs w:val="20"/>
          <w:lang w:val="en-US"/>
        </w:rPr>
        <w:t xml:space="preserve"> human rights violation is evident or when the </w:t>
      </w:r>
      <w:r w:rsidR="00687684" w:rsidRPr="00D869E3">
        <w:rPr>
          <w:rFonts w:ascii="Verdana" w:hAnsi="Verdana"/>
          <w:sz w:val="20"/>
          <w:szCs w:val="20"/>
          <w:lang w:val="en-US"/>
        </w:rPr>
        <w:t>representatives</w:t>
      </w:r>
      <w:r w:rsidR="00E70701" w:rsidRPr="00D869E3">
        <w:rPr>
          <w:rFonts w:ascii="Verdana" w:hAnsi="Verdana"/>
          <w:sz w:val="20"/>
          <w:szCs w:val="20"/>
          <w:lang w:val="en-US"/>
        </w:rPr>
        <w:t xml:space="preserve"> o</w:t>
      </w:r>
      <w:r w:rsidRPr="00D869E3">
        <w:rPr>
          <w:rFonts w:ascii="Verdana" w:hAnsi="Verdana"/>
          <w:sz w:val="20"/>
          <w:szCs w:val="20"/>
          <w:lang w:val="en-US"/>
        </w:rPr>
        <w:t>r</w:t>
      </w:r>
      <w:r w:rsidR="00E70701" w:rsidRPr="00D869E3">
        <w:rPr>
          <w:rFonts w:ascii="Verdana" w:hAnsi="Verdana"/>
          <w:sz w:val="20"/>
          <w:szCs w:val="20"/>
          <w:lang w:val="en-US"/>
        </w:rPr>
        <w:t xml:space="preserve"> </w:t>
      </w:r>
      <w:r w:rsidR="00447C65" w:rsidRPr="00D869E3">
        <w:rPr>
          <w:rFonts w:ascii="Verdana" w:hAnsi="Verdana"/>
          <w:sz w:val="20"/>
          <w:szCs w:val="20"/>
          <w:lang w:val="en-US"/>
        </w:rPr>
        <w:t>the Commission</w:t>
      </w:r>
      <w:r w:rsidR="00E70701" w:rsidRPr="00D869E3">
        <w:rPr>
          <w:rFonts w:ascii="Verdana" w:hAnsi="Verdana"/>
          <w:sz w:val="20"/>
          <w:szCs w:val="20"/>
          <w:lang w:val="en-US"/>
        </w:rPr>
        <w:t xml:space="preserve"> h</w:t>
      </w:r>
      <w:r w:rsidRPr="00D869E3">
        <w:rPr>
          <w:rFonts w:ascii="Verdana" w:hAnsi="Verdana"/>
          <w:sz w:val="20"/>
          <w:szCs w:val="20"/>
          <w:lang w:val="en-US"/>
        </w:rPr>
        <w:t>ave committed a serious omission or error, so that the Court rectifies a possible injustice, but this principle should not be used to surprise a State with a violation that it had no way of anticipating and that it was unable to contest, not even</w:t>
      </w:r>
      <w:r w:rsidR="000736F9" w:rsidRPr="00D869E3">
        <w:rPr>
          <w:rFonts w:ascii="Verdana" w:hAnsi="Verdana"/>
          <w:sz w:val="20"/>
          <w:szCs w:val="20"/>
          <w:lang w:val="en-US"/>
        </w:rPr>
        <w:t xml:space="preserve"> at the time of</w:t>
      </w:r>
      <w:r w:rsidRPr="00D869E3">
        <w:rPr>
          <w:rFonts w:ascii="Verdana" w:hAnsi="Verdana"/>
          <w:sz w:val="20"/>
          <w:szCs w:val="20"/>
          <w:lang w:val="en-US"/>
        </w:rPr>
        <w:t xml:space="preserve"> the facts.</w:t>
      </w:r>
    </w:p>
    <w:p w14:paraId="388E6297" w14:textId="77777777" w:rsidR="00E70701" w:rsidRPr="00D869E3" w:rsidRDefault="00E70701" w:rsidP="00C44F79">
      <w:pPr>
        <w:jc w:val="both"/>
        <w:rPr>
          <w:rFonts w:ascii="Verdana" w:hAnsi="Verdana"/>
          <w:sz w:val="20"/>
          <w:szCs w:val="20"/>
          <w:lang w:val="en-US"/>
        </w:rPr>
      </w:pPr>
    </w:p>
    <w:p w14:paraId="49690183" w14:textId="078F6629" w:rsidR="00E70701" w:rsidRPr="00D869E3" w:rsidRDefault="001A575D" w:rsidP="002C3F2B">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 xml:space="preserve">In this case, </w:t>
      </w:r>
      <w:r w:rsidR="002C3F2B" w:rsidRPr="00D869E3">
        <w:rPr>
          <w:rFonts w:ascii="Verdana" w:hAnsi="Verdana"/>
          <w:sz w:val="20"/>
          <w:szCs w:val="20"/>
          <w:lang w:val="en-US"/>
        </w:rPr>
        <w:t>the judgment</w:t>
      </w:r>
      <w:r w:rsidR="000736F9" w:rsidRPr="00D869E3">
        <w:rPr>
          <w:rFonts w:ascii="Verdana" w:hAnsi="Verdana"/>
          <w:sz w:val="20"/>
          <w:szCs w:val="20"/>
          <w:lang w:val="en-US"/>
        </w:rPr>
        <w:t xml:space="preserve"> indicates</w:t>
      </w:r>
      <w:r w:rsidR="002C3F2B" w:rsidRPr="00D869E3">
        <w:rPr>
          <w:rFonts w:ascii="Verdana" w:hAnsi="Verdana"/>
          <w:sz w:val="20"/>
          <w:szCs w:val="20"/>
          <w:lang w:val="en-US"/>
        </w:rPr>
        <w:t xml:space="preserve"> that, during the first stage of the process before the Inter-American Commission, the petitioner argued the presumed violation of the right to work.</w:t>
      </w:r>
      <w:r w:rsidR="002C3F2B" w:rsidRPr="00D869E3">
        <w:rPr>
          <w:rStyle w:val="Refdenotaalpie"/>
          <w:szCs w:val="20"/>
          <w:lang w:val="en-US"/>
        </w:rPr>
        <w:footnoteReference w:id="460"/>
      </w:r>
      <w:r w:rsidR="002C3F2B" w:rsidRPr="00D869E3">
        <w:rPr>
          <w:rFonts w:ascii="Verdana" w:hAnsi="Verdana"/>
          <w:sz w:val="20"/>
          <w:szCs w:val="20"/>
          <w:lang w:val="en-US"/>
        </w:rPr>
        <w:t xml:space="preserve"> This was taken as grounds to conclude that the State had been aware of the facts from the start</w:t>
      </w:r>
      <w:r w:rsidR="002C3F2B" w:rsidRPr="00D869E3">
        <w:rPr>
          <w:rStyle w:val="Refdenotaalpie"/>
          <w:szCs w:val="20"/>
          <w:lang w:val="en-US"/>
        </w:rPr>
        <w:footnoteReference w:id="461"/>
      </w:r>
      <w:r w:rsidR="002C3F2B" w:rsidRPr="00D869E3">
        <w:rPr>
          <w:rFonts w:ascii="Verdana" w:hAnsi="Verdana"/>
          <w:sz w:val="20"/>
          <w:szCs w:val="20"/>
          <w:lang w:val="en-US"/>
        </w:rPr>
        <w:t xml:space="preserve"> and that “the parties </w:t>
      </w:r>
      <w:r w:rsidR="000736F9" w:rsidRPr="00D869E3">
        <w:rPr>
          <w:rFonts w:ascii="Verdana" w:hAnsi="Verdana"/>
          <w:sz w:val="20"/>
          <w:szCs w:val="20"/>
          <w:lang w:val="en-US"/>
        </w:rPr>
        <w:t xml:space="preserve">[…] </w:t>
      </w:r>
      <w:r w:rsidR="002C3F2B" w:rsidRPr="00D869E3">
        <w:rPr>
          <w:rFonts w:ascii="Verdana" w:hAnsi="Verdana"/>
          <w:sz w:val="20"/>
          <w:szCs w:val="20"/>
          <w:lang w:val="en-US"/>
        </w:rPr>
        <w:t xml:space="preserve">had abundant possibilities </w:t>
      </w:r>
      <w:r w:rsidR="000736F9" w:rsidRPr="00D869E3">
        <w:rPr>
          <w:rFonts w:ascii="Verdana" w:hAnsi="Verdana"/>
          <w:sz w:val="20"/>
          <w:szCs w:val="20"/>
          <w:lang w:val="en-US"/>
        </w:rPr>
        <w:t>of referring</w:t>
      </w:r>
      <w:r w:rsidR="002C3F2B" w:rsidRPr="00D869E3">
        <w:rPr>
          <w:rFonts w:ascii="Verdana" w:hAnsi="Verdana"/>
          <w:sz w:val="20"/>
          <w:szCs w:val="20"/>
          <w:lang w:val="en-US"/>
        </w:rPr>
        <w:t xml:space="preserve"> to the scope of the rights involved in the facts analyzed.</w:t>
      </w:r>
      <w:r w:rsidR="006436CA" w:rsidRPr="00D869E3">
        <w:rPr>
          <w:rFonts w:ascii="Verdana" w:hAnsi="Verdana"/>
          <w:sz w:val="20"/>
          <w:szCs w:val="20"/>
          <w:lang w:val="en-US"/>
        </w:rPr>
        <w:t>”</w:t>
      </w:r>
      <w:r w:rsidR="00E70701" w:rsidRPr="00D869E3">
        <w:rPr>
          <w:rStyle w:val="Refdenotaalpie"/>
          <w:szCs w:val="20"/>
          <w:lang w:val="en-US"/>
        </w:rPr>
        <w:footnoteReference w:id="462"/>
      </w:r>
    </w:p>
    <w:p w14:paraId="5C6BE371" w14:textId="77777777" w:rsidR="00E70701" w:rsidRPr="00D869E3" w:rsidRDefault="00E70701" w:rsidP="00C44F79">
      <w:pPr>
        <w:jc w:val="both"/>
        <w:rPr>
          <w:rFonts w:ascii="Verdana" w:hAnsi="Verdana"/>
          <w:sz w:val="20"/>
          <w:szCs w:val="20"/>
          <w:lang w:val="en-US"/>
        </w:rPr>
      </w:pPr>
    </w:p>
    <w:p w14:paraId="320152A0" w14:textId="522021C8" w:rsidR="00E70701" w:rsidRPr="00D869E3" w:rsidRDefault="000736F9" w:rsidP="002C3F2B">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It</w:t>
      </w:r>
      <w:r w:rsidR="002C3F2B" w:rsidRPr="00D869E3">
        <w:rPr>
          <w:rFonts w:ascii="Verdana" w:hAnsi="Verdana"/>
          <w:sz w:val="20"/>
          <w:szCs w:val="20"/>
          <w:lang w:val="en-US"/>
        </w:rPr>
        <w:t xml:space="preserve"> may be considered that the Court reached its conclusion in a perfunctory and over hasty manner, because indicating that the State had abundant possibility to defend itself </w:t>
      </w:r>
      <w:r w:rsidRPr="00D869E3">
        <w:rPr>
          <w:rFonts w:ascii="Verdana" w:hAnsi="Verdana"/>
          <w:sz w:val="20"/>
          <w:szCs w:val="20"/>
          <w:lang w:val="en-US"/>
        </w:rPr>
        <w:t xml:space="preserve">based on </w:t>
      </w:r>
      <w:r w:rsidR="002C3F2B" w:rsidRPr="00D869E3">
        <w:rPr>
          <w:rFonts w:ascii="Verdana" w:hAnsi="Verdana"/>
          <w:sz w:val="20"/>
          <w:szCs w:val="20"/>
          <w:lang w:val="en-US"/>
        </w:rPr>
        <w:t xml:space="preserve">the violation of </w:t>
      </w:r>
      <w:r w:rsidR="00687684" w:rsidRPr="00D869E3">
        <w:rPr>
          <w:rFonts w:ascii="Verdana" w:hAnsi="Verdana"/>
          <w:sz w:val="20"/>
          <w:szCs w:val="20"/>
          <w:lang w:val="en-US"/>
        </w:rPr>
        <w:t>Article</w:t>
      </w:r>
      <w:r w:rsidR="00E70701" w:rsidRPr="00D869E3">
        <w:rPr>
          <w:rFonts w:ascii="Verdana" w:hAnsi="Verdana"/>
          <w:sz w:val="20"/>
          <w:szCs w:val="20"/>
          <w:lang w:val="en-US"/>
        </w:rPr>
        <w:t xml:space="preserve"> 26</w:t>
      </w:r>
      <w:r w:rsidR="00447C65" w:rsidRPr="00D869E3">
        <w:rPr>
          <w:rFonts w:ascii="Verdana" w:hAnsi="Verdana"/>
          <w:sz w:val="20"/>
          <w:szCs w:val="20"/>
          <w:lang w:val="en-US"/>
        </w:rPr>
        <w:t xml:space="preserve"> of the American Convention</w:t>
      </w:r>
      <w:r w:rsidR="00E70701" w:rsidRPr="00D869E3">
        <w:rPr>
          <w:rFonts w:ascii="Verdana" w:hAnsi="Verdana"/>
          <w:sz w:val="20"/>
          <w:szCs w:val="20"/>
          <w:lang w:val="en-US"/>
        </w:rPr>
        <w:t xml:space="preserve">, </w:t>
      </w:r>
      <w:r w:rsidR="002C3F2B" w:rsidRPr="00D869E3">
        <w:rPr>
          <w:rFonts w:ascii="Verdana" w:hAnsi="Verdana"/>
          <w:sz w:val="20"/>
          <w:szCs w:val="20"/>
          <w:lang w:val="en-US"/>
        </w:rPr>
        <w:t xml:space="preserve">does not take into account the strenuous debate </w:t>
      </w:r>
      <w:r w:rsidRPr="00D869E3">
        <w:rPr>
          <w:rFonts w:ascii="Verdana" w:hAnsi="Verdana"/>
          <w:sz w:val="20"/>
          <w:szCs w:val="20"/>
          <w:lang w:val="en-US"/>
        </w:rPr>
        <w:t xml:space="preserve">on this article </w:t>
      </w:r>
      <w:r w:rsidR="002C3F2B" w:rsidRPr="00D869E3">
        <w:rPr>
          <w:rFonts w:ascii="Verdana" w:hAnsi="Verdana"/>
          <w:sz w:val="20"/>
          <w:szCs w:val="20"/>
          <w:lang w:val="en-US"/>
        </w:rPr>
        <w:t xml:space="preserve">that has taken place within </w:t>
      </w:r>
      <w:r w:rsidR="00447C65" w:rsidRPr="00D869E3">
        <w:rPr>
          <w:rFonts w:ascii="Verdana" w:hAnsi="Verdana"/>
          <w:sz w:val="20"/>
          <w:szCs w:val="20"/>
          <w:lang w:val="en-US"/>
        </w:rPr>
        <w:t>the Inter-American Court</w:t>
      </w:r>
      <w:r w:rsidR="00E70701" w:rsidRPr="00D869E3">
        <w:rPr>
          <w:rFonts w:ascii="Verdana" w:hAnsi="Verdana"/>
          <w:sz w:val="20"/>
          <w:szCs w:val="20"/>
          <w:lang w:val="en-US"/>
        </w:rPr>
        <w:t>.</w:t>
      </w:r>
      <w:r w:rsidR="002C3F2B" w:rsidRPr="00D869E3">
        <w:rPr>
          <w:rFonts w:ascii="Verdana" w:hAnsi="Verdana"/>
          <w:sz w:val="20"/>
          <w:szCs w:val="20"/>
          <w:lang w:val="en-US"/>
        </w:rPr>
        <w:t xml:space="preserve"> Indeed, by declaring the violation </w:t>
      </w:r>
      <w:r w:rsidR="00687684" w:rsidRPr="00D869E3">
        <w:rPr>
          <w:rFonts w:ascii="Verdana" w:hAnsi="Verdana"/>
          <w:sz w:val="20"/>
          <w:szCs w:val="20"/>
          <w:lang w:val="en-US"/>
        </w:rPr>
        <w:t>of Article</w:t>
      </w:r>
      <w:r w:rsidR="00E70701" w:rsidRPr="00D869E3">
        <w:rPr>
          <w:rFonts w:ascii="Verdana" w:hAnsi="Verdana"/>
          <w:sz w:val="20"/>
          <w:szCs w:val="20"/>
          <w:lang w:val="en-US"/>
        </w:rPr>
        <w:t xml:space="preserve"> 26 </w:t>
      </w:r>
      <w:r w:rsidR="00F42CF0" w:rsidRPr="00D869E3">
        <w:rPr>
          <w:rFonts w:ascii="Verdana" w:hAnsi="Verdana"/>
          <w:sz w:val="20"/>
          <w:szCs w:val="20"/>
          <w:lang w:val="en-US"/>
        </w:rPr>
        <w:t>of the ACHR</w:t>
      </w:r>
      <w:r w:rsidR="00E70701" w:rsidRPr="00D869E3">
        <w:rPr>
          <w:rFonts w:ascii="Verdana" w:hAnsi="Verdana"/>
          <w:sz w:val="20"/>
          <w:szCs w:val="20"/>
          <w:lang w:val="en-US"/>
        </w:rPr>
        <w:t xml:space="preserve"> </w:t>
      </w:r>
      <w:r w:rsidR="002C3F2B" w:rsidRPr="00D869E3">
        <w:rPr>
          <w:rFonts w:ascii="Verdana" w:hAnsi="Verdana"/>
          <w:sz w:val="20"/>
          <w:szCs w:val="20"/>
          <w:lang w:val="en-US"/>
        </w:rPr>
        <w:t xml:space="preserve">in this case, the Court was not simply </w:t>
      </w:r>
      <w:r w:rsidR="002A6179" w:rsidRPr="00D869E3">
        <w:rPr>
          <w:rFonts w:ascii="Verdana" w:hAnsi="Verdana"/>
          <w:sz w:val="20"/>
          <w:szCs w:val="20"/>
          <w:lang w:val="en-US"/>
        </w:rPr>
        <w:t>considering</w:t>
      </w:r>
      <w:r w:rsidR="002C3F2B" w:rsidRPr="00D869E3">
        <w:rPr>
          <w:rFonts w:ascii="Verdana" w:hAnsi="Verdana"/>
          <w:sz w:val="20"/>
          <w:szCs w:val="20"/>
          <w:lang w:val="en-US"/>
        </w:rPr>
        <w:t xml:space="preserve"> whether or not the dismissal of Mr. Lagos was justified; rather, behind this, there have been long discussions on the scope of an article</w:t>
      </w:r>
      <w:r w:rsidR="002A6179" w:rsidRPr="00D869E3">
        <w:rPr>
          <w:rFonts w:ascii="Verdana" w:hAnsi="Verdana"/>
          <w:sz w:val="20"/>
          <w:szCs w:val="20"/>
          <w:lang w:val="en-US"/>
        </w:rPr>
        <w:t>, which</w:t>
      </w:r>
      <w:r w:rsidR="002C3F2B" w:rsidRPr="00D869E3">
        <w:rPr>
          <w:rFonts w:ascii="Verdana" w:hAnsi="Verdana"/>
          <w:sz w:val="20"/>
          <w:szCs w:val="20"/>
          <w:lang w:val="en-US"/>
        </w:rPr>
        <w:t xml:space="preserve"> </w:t>
      </w:r>
      <w:r w:rsidR="005F3326" w:rsidRPr="00D869E3">
        <w:rPr>
          <w:rFonts w:ascii="Verdana" w:hAnsi="Verdana"/>
          <w:sz w:val="20"/>
          <w:szCs w:val="20"/>
          <w:lang w:val="en-US"/>
        </w:rPr>
        <w:t xml:space="preserve">have not always been </w:t>
      </w:r>
      <w:r w:rsidR="002A6179" w:rsidRPr="00D869E3">
        <w:rPr>
          <w:rFonts w:ascii="Verdana" w:hAnsi="Verdana"/>
          <w:sz w:val="20"/>
          <w:szCs w:val="20"/>
          <w:lang w:val="en-US"/>
        </w:rPr>
        <w:t>calm</w:t>
      </w:r>
      <w:r w:rsidR="005F3326" w:rsidRPr="00D869E3">
        <w:rPr>
          <w:rFonts w:ascii="Verdana" w:hAnsi="Verdana"/>
          <w:sz w:val="20"/>
          <w:szCs w:val="20"/>
          <w:lang w:val="en-US"/>
        </w:rPr>
        <w:t xml:space="preserve"> and </w:t>
      </w:r>
      <w:r w:rsidR="002A6179" w:rsidRPr="00D869E3">
        <w:rPr>
          <w:rFonts w:ascii="Verdana" w:hAnsi="Verdana"/>
          <w:sz w:val="20"/>
          <w:szCs w:val="20"/>
          <w:lang w:val="en-US"/>
        </w:rPr>
        <w:t xml:space="preserve">which </w:t>
      </w:r>
      <w:r w:rsidR="005F3326" w:rsidRPr="00D869E3">
        <w:rPr>
          <w:rFonts w:ascii="Verdana" w:hAnsi="Verdana"/>
          <w:sz w:val="20"/>
          <w:szCs w:val="20"/>
          <w:lang w:val="en-US"/>
        </w:rPr>
        <w:t xml:space="preserve">the States have been emphatic in rejecting. Thus, it is not sufficient to say that a mention in the allegations presented </w:t>
      </w:r>
      <w:r w:rsidR="002A6179" w:rsidRPr="00D869E3">
        <w:rPr>
          <w:rFonts w:ascii="Verdana" w:hAnsi="Verdana"/>
          <w:sz w:val="20"/>
          <w:szCs w:val="20"/>
          <w:lang w:val="en-US"/>
        </w:rPr>
        <w:t>prior to</w:t>
      </w:r>
      <w:r w:rsidR="005F3326" w:rsidRPr="00D869E3">
        <w:rPr>
          <w:rFonts w:ascii="Verdana" w:hAnsi="Verdana"/>
          <w:sz w:val="20"/>
          <w:szCs w:val="20"/>
          <w:lang w:val="en-US"/>
        </w:rPr>
        <w:t xml:space="preserve"> the Commission’s </w:t>
      </w:r>
      <w:r w:rsidR="00687684" w:rsidRPr="00D869E3">
        <w:rPr>
          <w:rFonts w:ascii="Verdana" w:hAnsi="Verdana"/>
          <w:sz w:val="20"/>
          <w:szCs w:val="20"/>
          <w:lang w:val="en-US"/>
        </w:rPr>
        <w:t>Admissibility Report</w:t>
      </w:r>
      <w:r w:rsidR="00447C65" w:rsidRPr="00D869E3">
        <w:rPr>
          <w:rFonts w:ascii="Verdana" w:hAnsi="Verdana"/>
          <w:sz w:val="20"/>
          <w:szCs w:val="20"/>
          <w:lang w:val="en-US"/>
        </w:rPr>
        <w:t xml:space="preserve"> </w:t>
      </w:r>
      <w:r w:rsidR="005F3326" w:rsidRPr="00D869E3">
        <w:rPr>
          <w:rFonts w:ascii="Verdana" w:hAnsi="Verdana"/>
          <w:sz w:val="20"/>
          <w:szCs w:val="20"/>
          <w:lang w:val="en-US"/>
        </w:rPr>
        <w:t xml:space="preserve">could allow the State of Peru to anticipate that it was possible that </w:t>
      </w:r>
      <w:r w:rsidR="00447C65" w:rsidRPr="00D869E3">
        <w:rPr>
          <w:rFonts w:ascii="Verdana" w:hAnsi="Verdana"/>
          <w:sz w:val="20"/>
          <w:szCs w:val="20"/>
          <w:lang w:val="en-US"/>
        </w:rPr>
        <w:t>the Inter-American Court</w:t>
      </w:r>
      <w:r w:rsidR="00E70701" w:rsidRPr="00D869E3">
        <w:rPr>
          <w:rFonts w:ascii="Verdana" w:hAnsi="Verdana"/>
          <w:sz w:val="20"/>
          <w:szCs w:val="20"/>
          <w:lang w:val="en-US"/>
        </w:rPr>
        <w:t xml:space="preserve"> </w:t>
      </w:r>
      <w:r w:rsidR="005F3326" w:rsidRPr="00D869E3">
        <w:rPr>
          <w:rFonts w:ascii="Verdana" w:hAnsi="Verdana"/>
          <w:sz w:val="20"/>
          <w:szCs w:val="20"/>
          <w:lang w:val="en-US"/>
        </w:rPr>
        <w:t xml:space="preserve">would declare the violation of </w:t>
      </w:r>
      <w:r w:rsidR="002A6179" w:rsidRPr="00D869E3">
        <w:rPr>
          <w:rFonts w:ascii="Verdana" w:hAnsi="Verdana"/>
          <w:sz w:val="20"/>
          <w:szCs w:val="20"/>
          <w:lang w:val="en-US"/>
        </w:rPr>
        <w:t>t</w:t>
      </w:r>
      <w:r w:rsidR="005F3326" w:rsidRPr="00D869E3">
        <w:rPr>
          <w:rFonts w:ascii="Verdana" w:hAnsi="Verdana"/>
          <w:sz w:val="20"/>
          <w:szCs w:val="20"/>
          <w:lang w:val="en-US"/>
        </w:rPr>
        <w:t xml:space="preserve">his right in a case that was </w:t>
      </w:r>
      <w:r w:rsidR="002A6179" w:rsidRPr="00D869E3">
        <w:rPr>
          <w:rFonts w:ascii="Verdana" w:hAnsi="Verdana"/>
          <w:sz w:val="20"/>
          <w:szCs w:val="20"/>
          <w:lang w:val="en-US"/>
        </w:rPr>
        <w:t>submitted</w:t>
      </w:r>
      <w:r w:rsidR="005F3326" w:rsidRPr="00D869E3">
        <w:rPr>
          <w:rFonts w:ascii="Verdana" w:hAnsi="Verdana"/>
          <w:sz w:val="20"/>
          <w:szCs w:val="20"/>
          <w:lang w:val="en-US"/>
        </w:rPr>
        <w:t xml:space="preserve"> as a presumed violation of </w:t>
      </w:r>
      <w:r w:rsidR="00447C65" w:rsidRPr="00D869E3">
        <w:rPr>
          <w:rFonts w:ascii="Verdana" w:hAnsi="Verdana"/>
          <w:sz w:val="20"/>
          <w:szCs w:val="20"/>
          <w:lang w:val="en-US"/>
        </w:rPr>
        <w:t>Articles</w:t>
      </w:r>
      <w:r w:rsidR="00E70701" w:rsidRPr="00D869E3">
        <w:rPr>
          <w:rFonts w:ascii="Verdana" w:hAnsi="Verdana"/>
          <w:sz w:val="20"/>
          <w:szCs w:val="20"/>
          <w:lang w:val="en-US"/>
        </w:rPr>
        <w:t xml:space="preserve"> 8</w:t>
      </w:r>
      <w:r w:rsidR="00687684" w:rsidRPr="00D869E3">
        <w:rPr>
          <w:rFonts w:ascii="Verdana" w:hAnsi="Verdana"/>
          <w:sz w:val="20"/>
          <w:szCs w:val="20"/>
          <w:lang w:val="en-US"/>
        </w:rPr>
        <w:t xml:space="preserve"> and </w:t>
      </w:r>
      <w:r w:rsidR="00E70701" w:rsidRPr="00D869E3">
        <w:rPr>
          <w:rFonts w:ascii="Verdana" w:hAnsi="Verdana"/>
          <w:sz w:val="20"/>
          <w:szCs w:val="20"/>
          <w:lang w:val="en-US"/>
        </w:rPr>
        <w:t xml:space="preserve">13 </w:t>
      </w:r>
      <w:r w:rsidR="00F42CF0" w:rsidRPr="00D869E3">
        <w:rPr>
          <w:rFonts w:ascii="Verdana" w:hAnsi="Verdana"/>
          <w:sz w:val="20"/>
          <w:szCs w:val="20"/>
          <w:lang w:val="en-US"/>
        </w:rPr>
        <w:t>of the ACHR</w:t>
      </w:r>
      <w:r w:rsidR="00E70701" w:rsidRPr="00D869E3">
        <w:rPr>
          <w:rFonts w:ascii="Verdana" w:hAnsi="Verdana"/>
          <w:sz w:val="20"/>
          <w:szCs w:val="20"/>
          <w:lang w:val="en-US"/>
        </w:rPr>
        <w:t>.</w:t>
      </w:r>
    </w:p>
    <w:p w14:paraId="77CB7F2A" w14:textId="77777777" w:rsidR="00E70701" w:rsidRPr="00D869E3" w:rsidRDefault="00E70701" w:rsidP="00C44F79">
      <w:pPr>
        <w:jc w:val="both"/>
        <w:rPr>
          <w:rFonts w:ascii="Verdana" w:hAnsi="Verdana"/>
          <w:sz w:val="20"/>
          <w:szCs w:val="20"/>
          <w:lang w:val="en-US"/>
        </w:rPr>
      </w:pPr>
    </w:p>
    <w:p w14:paraId="114EC089" w14:textId="51DF96AD" w:rsidR="00442B7E" w:rsidRPr="00D869E3" w:rsidRDefault="00075E68" w:rsidP="00E70701">
      <w:pPr>
        <w:pStyle w:val="Prrafodelista"/>
        <w:numPr>
          <w:ilvl w:val="0"/>
          <w:numId w:val="37"/>
        </w:numPr>
        <w:ind w:left="0" w:firstLine="0"/>
        <w:jc w:val="both"/>
        <w:rPr>
          <w:rFonts w:ascii="Verdana" w:hAnsi="Verdana"/>
          <w:sz w:val="20"/>
          <w:szCs w:val="20"/>
          <w:lang w:val="en-US"/>
        </w:rPr>
      </w:pPr>
      <w:r w:rsidRPr="00D869E3">
        <w:rPr>
          <w:rFonts w:ascii="Verdana" w:hAnsi="Verdana"/>
          <w:sz w:val="20"/>
          <w:szCs w:val="20"/>
          <w:lang w:val="en-US"/>
        </w:rPr>
        <w:t>In this regard</w:t>
      </w:r>
      <w:r w:rsidR="00E70701" w:rsidRPr="00D869E3">
        <w:rPr>
          <w:rFonts w:ascii="Verdana" w:hAnsi="Verdana"/>
          <w:sz w:val="20"/>
          <w:szCs w:val="20"/>
          <w:lang w:val="en-US"/>
        </w:rPr>
        <w:t xml:space="preserve">, </w:t>
      </w:r>
      <w:r w:rsidR="00442B7E" w:rsidRPr="00D869E3">
        <w:rPr>
          <w:rFonts w:ascii="Verdana" w:hAnsi="Verdana"/>
          <w:sz w:val="20"/>
          <w:szCs w:val="20"/>
          <w:lang w:val="en-US"/>
        </w:rPr>
        <w:t xml:space="preserve">I </w:t>
      </w:r>
      <w:r w:rsidR="00E70701" w:rsidRPr="00D869E3">
        <w:rPr>
          <w:rFonts w:ascii="Verdana" w:hAnsi="Verdana"/>
          <w:sz w:val="20"/>
          <w:szCs w:val="20"/>
          <w:lang w:val="en-US"/>
        </w:rPr>
        <w:t>consider</w:t>
      </w:r>
      <w:r w:rsidR="00442B7E" w:rsidRPr="00D869E3">
        <w:rPr>
          <w:rFonts w:ascii="Verdana" w:hAnsi="Verdana"/>
          <w:sz w:val="20"/>
          <w:szCs w:val="20"/>
          <w:lang w:val="en-US"/>
        </w:rPr>
        <w:t xml:space="preserve"> that in light of the complexities of the debate on </w:t>
      </w:r>
      <w:r w:rsidR="00687684" w:rsidRPr="00D869E3">
        <w:rPr>
          <w:rFonts w:ascii="Verdana" w:hAnsi="Verdana"/>
          <w:sz w:val="20"/>
          <w:szCs w:val="20"/>
          <w:lang w:val="en-US"/>
        </w:rPr>
        <w:t>Article</w:t>
      </w:r>
      <w:r w:rsidR="00E70701" w:rsidRPr="00D869E3">
        <w:rPr>
          <w:rFonts w:ascii="Verdana" w:hAnsi="Verdana"/>
          <w:sz w:val="20"/>
          <w:szCs w:val="20"/>
          <w:lang w:val="en-US"/>
        </w:rPr>
        <w:t xml:space="preserve"> 26 </w:t>
      </w:r>
      <w:r w:rsidR="00F42CF0" w:rsidRPr="00D869E3">
        <w:rPr>
          <w:rFonts w:ascii="Verdana" w:hAnsi="Verdana"/>
          <w:sz w:val="20"/>
          <w:szCs w:val="20"/>
          <w:lang w:val="en-US"/>
        </w:rPr>
        <w:t>of the ACHR</w:t>
      </w:r>
      <w:r w:rsidR="00687684" w:rsidRPr="00D869E3">
        <w:rPr>
          <w:rFonts w:ascii="Verdana" w:hAnsi="Verdana"/>
          <w:sz w:val="20"/>
          <w:szCs w:val="20"/>
          <w:lang w:val="en-US"/>
        </w:rPr>
        <w:t xml:space="preserve"> and </w:t>
      </w:r>
      <w:r w:rsidR="00442B7E" w:rsidRPr="00D869E3">
        <w:rPr>
          <w:rFonts w:ascii="Verdana" w:hAnsi="Verdana"/>
          <w:sz w:val="20"/>
          <w:szCs w:val="20"/>
          <w:lang w:val="en-US"/>
        </w:rPr>
        <w:t xml:space="preserve">the implications that this can </w:t>
      </w:r>
      <w:r w:rsidR="00456458" w:rsidRPr="00D869E3">
        <w:rPr>
          <w:rFonts w:ascii="Verdana" w:hAnsi="Verdana"/>
          <w:sz w:val="20"/>
          <w:szCs w:val="20"/>
          <w:lang w:val="en-US"/>
        </w:rPr>
        <w:t>have</w:t>
      </w:r>
      <w:r w:rsidR="00442B7E" w:rsidRPr="00D869E3">
        <w:rPr>
          <w:rFonts w:ascii="Verdana" w:hAnsi="Verdana"/>
          <w:sz w:val="20"/>
          <w:szCs w:val="20"/>
          <w:lang w:val="en-US"/>
        </w:rPr>
        <w:t xml:space="preserve"> not only on this case in particular, but also as a future precedent for the Inter-American Court, the least that could be asked is that an open and public debate should be allowed on the possible interpretations and scope being discussed. Indeed, if this conclusion had been reached in a case such as </w:t>
      </w:r>
      <w:r w:rsidR="00442B7E" w:rsidRPr="00D869E3">
        <w:rPr>
          <w:rFonts w:ascii="Verdana" w:hAnsi="Verdana"/>
          <w:i/>
          <w:sz w:val="20"/>
          <w:szCs w:val="20"/>
          <w:lang w:val="en-US"/>
        </w:rPr>
        <w:t>Gonzalez Lluy v. Ecuador</w:t>
      </w:r>
      <w:r w:rsidR="00442B7E" w:rsidRPr="00D869E3">
        <w:rPr>
          <w:rFonts w:ascii="Verdana" w:hAnsi="Verdana"/>
          <w:sz w:val="20"/>
          <w:szCs w:val="20"/>
          <w:lang w:val="en-US"/>
        </w:rPr>
        <w:t xml:space="preserve">, in which the debate took place between the representatives and the State during the public hearing and in the main briefs, I would not have found the declaration so lacking in pertinence (from a procedural standpoint), because the State had the opportunity to present its position on the issue. However, arriving at the conclusion reached in this judgment without the due debate between the parties could be seen by the States as an over-hasty and arbitrary decision of the Court, which endangers its legitimacy. </w:t>
      </w:r>
    </w:p>
    <w:p w14:paraId="5B8FEDD2" w14:textId="77777777" w:rsidR="00E70701" w:rsidRPr="00D869E3" w:rsidRDefault="00E70701" w:rsidP="00C44F79">
      <w:pPr>
        <w:pStyle w:val="Prrafodelista"/>
        <w:rPr>
          <w:rFonts w:ascii="Verdana" w:hAnsi="Verdana"/>
          <w:sz w:val="20"/>
          <w:szCs w:val="20"/>
          <w:lang w:val="en-US"/>
        </w:rPr>
      </w:pPr>
    </w:p>
    <w:p w14:paraId="143B7E1D" w14:textId="518AF280" w:rsidR="00442B7E" w:rsidRPr="00D869E3" w:rsidRDefault="00442B7E"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Due respect for and compliance with the Court’s decisions is essential to ensure that the judgments convicting the States for disregarding human rights become not only a mechanism of reparation for the victims, but also serve as a positive cataly</w:t>
      </w:r>
      <w:r w:rsidR="00456458" w:rsidRPr="00D869E3">
        <w:rPr>
          <w:rFonts w:ascii="Verdana" w:hAnsi="Verdana" w:cs="Arial"/>
          <w:sz w:val="20"/>
          <w:szCs w:val="20"/>
          <w:lang w:val="en-US"/>
        </w:rPr>
        <w:t>st</w:t>
      </w:r>
      <w:r w:rsidRPr="00D869E3">
        <w:rPr>
          <w:rFonts w:ascii="Verdana" w:hAnsi="Verdana" w:cs="Arial"/>
          <w:sz w:val="20"/>
          <w:szCs w:val="20"/>
          <w:lang w:val="en-US"/>
        </w:rPr>
        <w:t xml:space="preserve"> </w:t>
      </w:r>
      <w:r w:rsidR="00456458" w:rsidRPr="00D869E3">
        <w:rPr>
          <w:rFonts w:ascii="Verdana" w:hAnsi="Verdana" w:cs="Arial"/>
          <w:sz w:val="20"/>
          <w:szCs w:val="20"/>
          <w:lang w:val="en-US"/>
        </w:rPr>
        <w:t>of</w:t>
      </w:r>
      <w:r w:rsidRPr="00D869E3">
        <w:rPr>
          <w:rFonts w:ascii="Verdana" w:hAnsi="Verdana" w:cs="Arial"/>
          <w:sz w:val="20"/>
          <w:szCs w:val="20"/>
          <w:lang w:val="en-US"/>
        </w:rPr>
        <w:t xml:space="preserve"> structural changes in society and in the State apparatus. Judicial rulings by an international court on the adequate use and distribution of economic resources, which are scarce by definition, </w:t>
      </w:r>
      <w:r w:rsidR="00456458" w:rsidRPr="00D869E3">
        <w:rPr>
          <w:rFonts w:ascii="Verdana" w:hAnsi="Verdana" w:cs="Arial"/>
          <w:sz w:val="20"/>
          <w:szCs w:val="20"/>
          <w:lang w:val="en-US"/>
        </w:rPr>
        <w:t>signify</w:t>
      </w:r>
      <w:r w:rsidRPr="00D869E3">
        <w:rPr>
          <w:rFonts w:ascii="Verdana" w:hAnsi="Verdana" w:cs="Arial"/>
          <w:sz w:val="20"/>
          <w:szCs w:val="20"/>
          <w:lang w:val="en-US"/>
        </w:rPr>
        <w:t xml:space="preserve"> a particularly </w:t>
      </w:r>
      <w:r w:rsidR="00456458" w:rsidRPr="00D869E3">
        <w:rPr>
          <w:rFonts w:ascii="Verdana" w:hAnsi="Verdana" w:cs="Arial"/>
          <w:sz w:val="20"/>
          <w:szCs w:val="20"/>
          <w:lang w:val="en-US"/>
        </w:rPr>
        <w:t>profound</w:t>
      </w:r>
      <w:r w:rsidRPr="00D869E3">
        <w:rPr>
          <w:rFonts w:ascii="Verdana" w:hAnsi="Verdana" w:cs="Arial"/>
          <w:sz w:val="20"/>
          <w:szCs w:val="20"/>
          <w:lang w:val="en-US"/>
        </w:rPr>
        <w:t xml:space="preserve"> intervention in internal affairs and, therefore, require a legitimacy that can only be derived from an explicit</w:t>
      </w:r>
      <w:r w:rsidR="006A0B40" w:rsidRPr="00D869E3">
        <w:rPr>
          <w:rFonts w:ascii="Verdana" w:hAnsi="Verdana" w:cs="Arial"/>
          <w:sz w:val="20"/>
          <w:szCs w:val="20"/>
          <w:lang w:val="en-US"/>
        </w:rPr>
        <w:t xml:space="preserve"> </w:t>
      </w:r>
      <w:r w:rsidR="00456458" w:rsidRPr="00D869E3">
        <w:rPr>
          <w:rFonts w:ascii="Verdana" w:hAnsi="Verdana" w:cs="Arial"/>
          <w:sz w:val="20"/>
          <w:szCs w:val="20"/>
          <w:lang w:val="en-US"/>
        </w:rPr>
        <w:t>manifestation</w:t>
      </w:r>
      <w:r w:rsidRPr="00D869E3">
        <w:rPr>
          <w:rFonts w:ascii="Verdana" w:hAnsi="Verdana" w:cs="Arial"/>
          <w:sz w:val="20"/>
          <w:szCs w:val="20"/>
          <w:lang w:val="en-US"/>
        </w:rPr>
        <w:t>.</w:t>
      </w:r>
    </w:p>
    <w:p w14:paraId="068B4B96" w14:textId="77777777" w:rsidR="00E70701" w:rsidRPr="00D869E3" w:rsidRDefault="00E70701" w:rsidP="006A0B40">
      <w:pPr>
        <w:rPr>
          <w:rFonts w:ascii="Verdana" w:hAnsi="Verdana" w:cs="Arial"/>
          <w:sz w:val="20"/>
          <w:szCs w:val="20"/>
          <w:lang w:val="en-US"/>
        </w:rPr>
      </w:pPr>
    </w:p>
    <w:p w14:paraId="1814B153" w14:textId="78039D26" w:rsidR="006A0B40" w:rsidRPr="00D869E3" w:rsidRDefault="006A0B40" w:rsidP="00E70701">
      <w:pPr>
        <w:pStyle w:val="Prrafodelista"/>
        <w:numPr>
          <w:ilvl w:val="0"/>
          <w:numId w:val="37"/>
        </w:numPr>
        <w:ind w:left="0" w:firstLine="0"/>
        <w:jc w:val="both"/>
        <w:rPr>
          <w:rFonts w:ascii="Verdana" w:hAnsi="Verdana"/>
          <w:sz w:val="20"/>
          <w:szCs w:val="20"/>
          <w:lang w:val="en-US"/>
        </w:rPr>
      </w:pPr>
      <w:r w:rsidRPr="00D869E3">
        <w:rPr>
          <w:rFonts w:ascii="Verdana" w:hAnsi="Verdana" w:cs="Arial"/>
          <w:sz w:val="20"/>
          <w:szCs w:val="20"/>
          <w:lang w:val="en-US"/>
        </w:rPr>
        <w:t>When declaring a violation of</w:t>
      </w:r>
      <w:r w:rsidR="00E70701" w:rsidRPr="00D869E3">
        <w:rPr>
          <w:rFonts w:ascii="Verdana" w:hAnsi="Verdana" w:cs="Arial"/>
          <w:sz w:val="20"/>
          <w:szCs w:val="20"/>
          <w:lang w:val="en-US"/>
        </w:rPr>
        <w:t xml:space="preserve"> </w:t>
      </w:r>
      <w:r w:rsidR="00447C65" w:rsidRPr="00D869E3">
        <w:rPr>
          <w:rFonts w:ascii="Verdana" w:hAnsi="Verdana" w:cs="Arial"/>
          <w:sz w:val="20"/>
          <w:szCs w:val="20"/>
          <w:lang w:val="en-US"/>
        </w:rPr>
        <w:t>Article</w:t>
      </w:r>
      <w:r w:rsidR="00E70701" w:rsidRPr="00D869E3">
        <w:rPr>
          <w:rFonts w:ascii="Verdana" w:hAnsi="Verdana" w:cs="Arial"/>
          <w:sz w:val="20"/>
          <w:szCs w:val="20"/>
          <w:lang w:val="en-US"/>
        </w:rPr>
        <w:t xml:space="preserve"> 26</w:t>
      </w:r>
      <w:r w:rsidRPr="00D869E3">
        <w:rPr>
          <w:rFonts w:ascii="Verdana" w:hAnsi="Verdana" w:cs="Arial"/>
          <w:sz w:val="20"/>
          <w:szCs w:val="20"/>
          <w:lang w:val="en-US"/>
        </w:rPr>
        <w:t>, judgment</w:t>
      </w:r>
      <w:r w:rsidR="00456458" w:rsidRPr="00D869E3">
        <w:rPr>
          <w:rFonts w:ascii="Verdana" w:hAnsi="Verdana" w:cs="Arial"/>
          <w:sz w:val="20"/>
          <w:szCs w:val="20"/>
          <w:lang w:val="en-US"/>
        </w:rPr>
        <w:t>s</w:t>
      </w:r>
      <w:r w:rsidRPr="00D869E3">
        <w:rPr>
          <w:rFonts w:ascii="Verdana" w:hAnsi="Verdana" w:cs="Arial"/>
          <w:sz w:val="20"/>
          <w:szCs w:val="20"/>
          <w:lang w:val="en-US"/>
        </w:rPr>
        <w:t xml:space="preserve"> could, and at times should, establish reparations that would have a more pronounced impact in the area of public policies than those that have been handed down by the Court to date. Consequently, it will be necessary that, in contexts of </w:t>
      </w:r>
      <w:r w:rsidR="00456458" w:rsidRPr="00D869E3">
        <w:rPr>
          <w:rFonts w:ascii="Verdana" w:hAnsi="Verdana" w:cs="Arial"/>
          <w:sz w:val="20"/>
          <w:szCs w:val="20"/>
          <w:lang w:val="en-US"/>
        </w:rPr>
        <w:t>instability</w:t>
      </w:r>
      <w:r w:rsidRPr="00D869E3">
        <w:rPr>
          <w:rFonts w:ascii="Verdana" w:hAnsi="Verdana" w:cs="Arial"/>
          <w:sz w:val="20"/>
          <w:szCs w:val="20"/>
          <w:lang w:val="en-US"/>
        </w:rPr>
        <w:t xml:space="preserve"> and restricted budgets, characteristic of most of the States of our region, </w:t>
      </w:r>
      <w:r w:rsidR="00F60FA3" w:rsidRPr="00D869E3">
        <w:rPr>
          <w:rFonts w:ascii="Verdana" w:hAnsi="Verdana" w:cs="Arial"/>
          <w:sz w:val="20"/>
          <w:szCs w:val="20"/>
          <w:lang w:val="en-US"/>
        </w:rPr>
        <w:t>inventories</w:t>
      </w:r>
      <w:r w:rsidRPr="00D869E3">
        <w:rPr>
          <w:rFonts w:ascii="Verdana" w:hAnsi="Verdana" w:cs="Arial"/>
          <w:sz w:val="20"/>
          <w:szCs w:val="20"/>
          <w:lang w:val="en-US"/>
        </w:rPr>
        <w:t xml:space="preserve"> of economic availability are established </w:t>
      </w:r>
      <w:r w:rsidR="00D3572D" w:rsidRPr="00D869E3">
        <w:rPr>
          <w:rFonts w:ascii="Verdana" w:hAnsi="Verdana" w:cs="Arial"/>
          <w:sz w:val="20"/>
          <w:szCs w:val="20"/>
          <w:lang w:val="en-US"/>
        </w:rPr>
        <w:t xml:space="preserve">that allow priorities for the investment of scarce resources to be reoriented. In this regard, the way in which the jurisdiction of the Inter-American Court is </w:t>
      </w:r>
      <w:r w:rsidR="00F60FA3" w:rsidRPr="00D869E3">
        <w:rPr>
          <w:rFonts w:ascii="Verdana" w:hAnsi="Verdana" w:cs="Arial"/>
          <w:sz w:val="20"/>
          <w:szCs w:val="20"/>
          <w:lang w:val="en-US"/>
        </w:rPr>
        <w:t xml:space="preserve">substantiated </w:t>
      </w:r>
      <w:r w:rsidR="00D3572D" w:rsidRPr="00D869E3">
        <w:rPr>
          <w:rFonts w:ascii="Verdana" w:hAnsi="Verdana" w:cs="Arial"/>
          <w:sz w:val="20"/>
          <w:szCs w:val="20"/>
          <w:lang w:val="en-US"/>
        </w:rPr>
        <w:t>and legitimized is not irrelevant.</w:t>
      </w:r>
    </w:p>
    <w:p w14:paraId="20B17D42" w14:textId="77777777" w:rsidR="00E70701" w:rsidRPr="00D869E3" w:rsidRDefault="00E70701" w:rsidP="00C44F79">
      <w:pPr>
        <w:jc w:val="both"/>
        <w:rPr>
          <w:rFonts w:ascii="Verdana" w:hAnsi="Verdana" w:cs="Arial"/>
          <w:sz w:val="20"/>
          <w:szCs w:val="20"/>
          <w:lang w:val="en-US"/>
        </w:rPr>
      </w:pPr>
    </w:p>
    <w:p w14:paraId="541EFF2D" w14:textId="1DFB5C72" w:rsidR="00E70701" w:rsidRPr="00D869E3" w:rsidRDefault="00794206" w:rsidP="00E70701">
      <w:pPr>
        <w:pStyle w:val="Prrafodelista"/>
        <w:numPr>
          <w:ilvl w:val="0"/>
          <w:numId w:val="36"/>
        </w:numPr>
        <w:jc w:val="both"/>
        <w:rPr>
          <w:rFonts w:ascii="Verdana" w:hAnsi="Verdana" w:cs="Arial"/>
          <w:b/>
          <w:sz w:val="20"/>
          <w:szCs w:val="20"/>
          <w:lang w:val="en-US"/>
        </w:rPr>
      </w:pPr>
      <w:r w:rsidRPr="00D869E3">
        <w:rPr>
          <w:rFonts w:ascii="Verdana" w:hAnsi="Verdana" w:cs="Arial"/>
          <w:b/>
          <w:sz w:val="20"/>
          <w:szCs w:val="20"/>
          <w:lang w:val="en-US"/>
        </w:rPr>
        <w:t>FLAWS</w:t>
      </w:r>
      <w:r w:rsidR="00D3572D" w:rsidRPr="00D869E3">
        <w:rPr>
          <w:rFonts w:ascii="Verdana" w:hAnsi="Verdana" w:cs="Arial"/>
          <w:b/>
          <w:sz w:val="20"/>
          <w:szCs w:val="20"/>
          <w:lang w:val="en-US"/>
        </w:rPr>
        <w:t xml:space="preserve"> IN THE ARGUMENTS</w:t>
      </w:r>
      <w:r w:rsidR="00E70701" w:rsidRPr="00D869E3">
        <w:rPr>
          <w:rFonts w:ascii="Verdana" w:hAnsi="Verdana" w:cs="Arial"/>
          <w:b/>
          <w:sz w:val="20"/>
          <w:szCs w:val="20"/>
          <w:lang w:val="en-US"/>
        </w:rPr>
        <w:t xml:space="preserve"> </w:t>
      </w:r>
      <w:r w:rsidR="000C55DD" w:rsidRPr="00D869E3">
        <w:rPr>
          <w:rFonts w:ascii="Verdana" w:hAnsi="Verdana" w:cs="Arial"/>
          <w:b/>
          <w:sz w:val="20"/>
          <w:szCs w:val="20"/>
          <w:lang w:val="en-US"/>
        </w:rPr>
        <w:t>OF THE JUDGMENT</w:t>
      </w:r>
      <w:r w:rsidR="00E70701" w:rsidRPr="00D869E3">
        <w:rPr>
          <w:rFonts w:ascii="Verdana" w:hAnsi="Verdana" w:cs="Arial"/>
          <w:b/>
          <w:sz w:val="20"/>
          <w:szCs w:val="20"/>
          <w:lang w:val="en-US"/>
        </w:rPr>
        <w:t xml:space="preserve"> </w:t>
      </w:r>
    </w:p>
    <w:p w14:paraId="44305603" w14:textId="77777777" w:rsidR="00E70701" w:rsidRPr="00D869E3" w:rsidRDefault="00E70701" w:rsidP="00C44F79">
      <w:pPr>
        <w:jc w:val="both"/>
        <w:rPr>
          <w:rFonts w:ascii="Verdana" w:hAnsi="Verdana"/>
          <w:sz w:val="20"/>
          <w:szCs w:val="20"/>
          <w:lang w:val="en-US"/>
        </w:rPr>
      </w:pPr>
    </w:p>
    <w:p w14:paraId="0D6083D0" w14:textId="73B68BD7" w:rsidR="00E70701" w:rsidRPr="00D869E3" w:rsidRDefault="00D3572D" w:rsidP="00D3572D">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In addition to the reasons set forth above, I consider it necessary to demonstrate the </w:t>
      </w:r>
      <w:r w:rsidR="00794206" w:rsidRPr="00D869E3">
        <w:rPr>
          <w:rFonts w:ascii="Verdana" w:hAnsi="Verdana" w:cs="Arial"/>
          <w:sz w:val="20"/>
          <w:szCs w:val="20"/>
          <w:lang w:val="en-US"/>
        </w:rPr>
        <w:t>flaw</w:t>
      </w:r>
      <w:r w:rsidRPr="00D869E3">
        <w:rPr>
          <w:rFonts w:ascii="Verdana" w:hAnsi="Verdana" w:cs="Arial"/>
          <w:sz w:val="20"/>
          <w:szCs w:val="20"/>
          <w:lang w:val="en-US"/>
        </w:rPr>
        <w:t>s in the</w:t>
      </w:r>
      <w:r w:rsidR="00F60FA3" w:rsidRPr="00D869E3">
        <w:rPr>
          <w:rFonts w:ascii="Verdana" w:hAnsi="Verdana" w:cs="Arial"/>
          <w:sz w:val="20"/>
          <w:szCs w:val="20"/>
          <w:lang w:val="en-US"/>
        </w:rPr>
        <w:t xml:space="preserve"> judgment’s</w:t>
      </w:r>
      <w:r w:rsidRPr="00D869E3">
        <w:rPr>
          <w:rFonts w:ascii="Verdana" w:hAnsi="Verdana" w:cs="Arial"/>
          <w:sz w:val="20"/>
          <w:szCs w:val="20"/>
          <w:lang w:val="en-US"/>
        </w:rPr>
        <w:t xml:space="preserve"> arguments, because th</w:t>
      </w:r>
      <w:r w:rsidR="00F60FA3" w:rsidRPr="00D869E3">
        <w:rPr>
          <w:rFonts w:ascii="Verdana" w:hAnsi="Verdana" w:cs="Arial"/>
          <w:sz w:val="20"/>
          <w:szCs w:val="20"/>
          <w:lang w:val="en-US"/>
        </w:rPr>
        <w:t>ey</w:t>
      </w:r>
      <w:r w:rsidRPr="00D869E3">
        <w:rPr>
          <w:rFonts w:ascii="Verdana" w:hAnsi="Verdana" w:cs="Arial"/>
          <w:sz w:val="20"/>
          <w:szCs w:val="20"/>
          <w:lang w:val="en-US"/>
        </w:rPr>
        <w:t xml:space="preserve"> reveal that the decision concerning the violation of Article 26 </w:t>
      </w:r>
      <w:r w:rsidR="00F60FA3" w:rsidRPr="00D869E3">
        <w:rPr>
          <w:rFonts w:ascii="Verdana" w:hAnsi="Verdana" w:cs="Arial"/>
          <w:sz w:val="20"/>
          <w:szCs w:val="20"/>
          <w:lang w:val="en-US"/>
        </w:rPr>
        <w:t>was not</w:t>
      </w:r>
      <w:r w:rsidRPr="00D869E3">
        <w:rPr>
          <w:rFonts w:ascii="Verdana" w:hAnsi="Verdana" w:cs="Arial"/>
          <w:sz w:val="20"/>
          <w:szCs w:val="20"/>
          <w:lang w:val="en-US"/>
        </w:rPr>
        <w:t xml:space="preserve"> subject to the exhaustive analysis required. To this end, I will refer to three main problems, which are: (i) </w:t>
      </w:r>
      <w:r w:rsidR="00CE350F" w:rsidRPr="00D869E3">
        <w:rPr>
          <w:rFonts w:ascii="Verdana" w:hAnsi="Verdana" w:cs="Arial"/>
          <w:sz w:val="20"/>
          <w:szCs w:val="20"/>
          <w:lang w:val="en-US"/>
        </w:rPr>
        <w:t>failure to provide</w:t>
      </w:r>
      <w:r w:rsidRPr="00D869E3">
        <w:rPr>
          <w:rFonts w:ascii="Verdana" w:hAnsi="Verdana" w:cs="Arial"/>
          <w:sz w:val="20"/>
          <w:szCs w:val="20"/>
          <w:lang w:val="en-US"/>
        </w:rPr>
        <w:t xml:space="preserve"> exp</w:t>
      </w:r>
      <w:r w:rsidR="00CE350F" w:rsidRPr="00D869E3">
        <w:rPr>
          <w:rFonts w:ascii="Verdana" w:hAnsi="Verdana" w:cs="Arial"/>
          <w:sz w:val="20"/>
          <w:szCs w:val="20"/>
          <w:lang w:val="en-US"/>
        </w:rPr>
        <w:t>licit</w:t>
      </w:r>
      <w:r w:rsidRPr="00D869E3">
        <w:rPr>
          <w:rFonts w:ascii="Verdana" w:hAnsi="Verdana" w:cs="Arial"/>
          <w:sz w:val="20"/>
          <w:szCs w:val="20"/>
          <w:lang w:val="en-US"/>
        </w:rPr>
        <w:t xml:space="preserve"> </w:t>
      </w:r>
      <w:r w:rsidR="00CE350F" w:rsidRPr="00D869E3">
        <w:rPr>
          <w:rFonts w:ascii="Verdana" w:hAnsi="Verdana" w:cs="Arial"/>
          <w:sz w:val="20"/>
          <w:szCs w:val="20"/>
          <w:lang w:val="en-US"/>
        </w:rPr>
        <w:t xml:space="preserve">grounds </w:t>
      </w:r>
      <w:r w:rsidRPr="00D869E3">
        <w:rPr>
          <w:rFonts w:ascii="Verdana" w:hAnsi="Verdana" w:cs="Arial"/>
          <w:sz w:val="20"/>
          <w:szCs w:val="20"/>
          <w:lang w:val="en-US"/>
        </w:rPr>
        <w:t xml:space="preserve">to </w:t>
      </w:r>
      <w:r w:rsidR="00CE350F" w:rsidRPr="00D869E3">
        <w:rPr>
          <w:rFonts w:ascii="Verdana" w:hAnsi="Verdana" w:cs="Arial"/>
          <w:sz w:val="20"/>
          <w:szCs w:val="20"/>
          <w:lang w:val="en-US"/>
        </w:rPr>
        <w:t>justify</w:t>
      </w:r>
      <w:r w:rsidRPr="00D869E3">
        <w:rPr>
          <w:rFonts w:ascii="Verdana" w:hAnsi="Verdana" w:cs="Arial"/>
          <w:sz w:val="20"/>
          <w:szCs w:val="20"/>
          <w:lang w:val="en-US"/>
        </w:rPr>
        <w:t xml:space="preserve"> the change in case law; (ii) use of a single interpretation method to reach the decision, and (iii) confusion between the existence of the right and the </w:t>
      </w:r>
      <w:r w:rsidR="00671B14" w:rsidRPr="00D869E3">
        <w:rPr>
          <w:rFonts w:ascii="Verdana" w:hAnsi="Verdana" w:cs="Arial"/>
          <w:sz w:val="20"/>
          <w:szCs w:val="20"/>
          <w:lang w:val="en-US"/>
        </w:rPr>
        <w:t>Inter-American Court</w:t>
      </w:r>
      <w:r w:rsidRPr="00D869E3">
        <w:rPr>
          <w:rFonts w:ascii="Verdana" w:hAnsi="Verdana" w:cs="Arial"/>
          <w:sz w:val="20"/>
          <w:szCs w:val="20"/>
          <w:lang w:val="en-US"/>
        </w:rPr>
        <w:t>’s jurisdiction</w:t>
      </w:r>
      <w:r w:rsidR="00E70701" w:rsidRPr="00D869E3">
        <w:rPr>
          <w:rFonts w:ascii="Verdana" w:hAnsi="Verdana" w:cs="Arial"/>
          <w:sz w:val="20"/>
          <w:szCs w:val="20"/>
          <w:lang w:val="en-US"/>
        </w:rPr>
        <w:t>.</w:t>
      </w:r>
    </w:p>
    <w:p w14:paraId="4AAD8A6B" w14:textId="77777777" w:rsidR="00E70701" w:rsidRPr="00D869E3" w:rsidRDefault="00E70701" w:rsidP="00C44F79">
      <w:pPr>
        <w:pStyle w:val="Prrafodelista"/>
        <w:ind w:left="0"/>
        <w:jc w:val="both"/>
        <w:rPr>
          <w:rFonts w:ascii="Verdana" w:hAnsi="Verdana" w:cs="Arial"/>
          <w:sz w:val="20"/>
          <w:szCs w:val="20"/>
          <w:lang w:val="en-US"/>
        </w:rPr>
      </w:pPr>
    </w:p>
    <w:p w14:paraId="7EA40C20" w14:textId="75721E7F" w:rsidR="00E70701" w:rsidRPr="00D869E3" w:rsidRDefault="00CE350F" w:rsidP="00E70701">
      <w:pPr>
        <w:pStyle w:val="Prrafodelista"/>
        <w:numPr>
          <w:ilvl w:val="0"/>
          <w:numId w:val="39"/>
        </w:numPr>
        <w:jc w:val="both"/>
        <w:rPr>
          <w:rFonts w:ascii="Verdana" w:hAnsi="Verdana" w:cs="Arial"/>
          <w:b/>
          <w:sz w:val="20"/>
          <w:szCs w:val="20"/>
          <w:lang w:val="en-US"/>
        </w:rPr>
      </w:pPr>
      <w:r w:rsidRPr="00D869E3">
        <w:rPr>
          <w:rFonts w:ascii="Verdana" w:hAnsi="Verdana" w:cs="Arial"/>
          <w:b/>
          <w:sz w:val="20"/>
          <w:szCs w:val="20"/>
          <w:lang w:val="en-US"/>
        </w:rPr>
        <w:t>Failure to provide explicit grounds to justify t</w:t>
      </w:r>
      <w:r w:rsidR="001268E2" w:rsidRPr="00D869E3">
        <w:rPr>
          <w:rFonts w:ascii="Verdana" w:hAnsi="Verdana" w:cs="Arial"/>
          <w:b/>
          <w:sz w:val="20"/>
          <w:szCs w:val="20"/>
          <w:lang w:val="en-US"/>
        </w:rPr>
        <w:t>he change</w:t>
      </w:r>
      <w:r w:rsidR="00D3572D" w:rsidRPr="00D869E3">
        <w:rPr>
          <w:rFonts w:ascii="Verdana" w:hAnsi="Verdana" w:cs="Arial"/>
          <w:b/>
          <w:sz w:val="20"/>
          <w:szCs w:val="20"/>
          <w:lang w:val="en-US"/>
        </w:rPr>
        <w:t xml:space="preserve"> in case law </w:t>
      </w:r>
    </w:p>
    <w:p w14:paraId="76721EFC" w14:textId="77777777" w:rsidR="00E70701" w:rsidRPr="00D869E3" w:rsidRDefault="00E70701" w:rsidP="00C44F79">
      <w:pPr>
        <w:pStyle w:val="Prrafodelista"/>
        <w:jc w:val="both"/>
        <w:rPr>
          <w:rFonts w:ascii="Verdana" w:hAnsi="Verdana" w:cs="Arial"/>
          <w:b/>
          <w:sz w:val="20"/>
          <w:szCs w:val="20"/>
          <w:lang w:val="en-US"/>
        </w:rPr>
      </w:pPr>
    </w:p>
    <w:p w14:paraId="582D5385" w14:textId="0B148445" w:rsidR="00D3572D" w:rsidRPr="00D869E3" w:rsidRDefault="00D3572D"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First, I should indicate that the judgment completely fails to explain </w:t>
      </w:r>
      <w:r w:rsidR="00CE350F" w:rsidRPr="00D869E3">
        <w:rPr>
          <w:rFonts w:ascii="Verdana" w:hAnsi="Verdana" w:cs="Arial"/>
          <w:sz w:val="20"/>
          <w:szCs w:val="20"/>
          <w:lang w:val="en-US"/>
        </w:rPr>
        <w:t xml:space="preserve">why it made a </w:t>
      </w:r>
      <w:r w:rsidRPr="00D869E3">
        <w:rPr>
          <w:rFonts w:ascii="Verdana" w:hAnsi="Verdana" w:cs="Arial"/>
          <w:sz w:val="20"/>
          <w:szCs w:val="20"/>
          <w:lang w:val="en-US"/>
        </w:rPr>
        <w:t xml:space="preserve">change </w:t>
      </w:r>
      <w:r w:rsidR="00CE350F" w:rsidRPr="00D869E3">
        <w:rPr>
          <w:rFonts w:ascii="Verdana" w:hAnsi="Verdana" w:cs="Arial"/>
          <w:sz w:val="20"/>
          <w:szCs w:val="20"/>
          <w:lang w:val="en-US"/>
        </w:rPr>
        <w:t>in</w:t>
      </w:r>
      <w:r w:rsidRPr="00D869E3">
        <w:rPr>
          <w:rFonts w:ascii="Verdana" w:hAnsi="Verdana" w:cs="Arial"/>
          <w:sz w:val="20"/>
          <w:szCs w:val="20"/>
          <w:lang w:val="en-US"/>
        </w:rPr>
        <w:t xml:space="preserve"> precedent, because it </w:t>
      </w:r>
      <w:r w:rsidR="00CE350F" w:rsidRPr="00D869E3">
        <w:rPr>
          <w:rFonts w:ascii="Verdana" w:hAnsi="Verdana" w:cs="Arial"/>
          <w:sz w:val="20"/>
          <w:szCs w:val="20"/>
          <w:lang w:val="en-US"/>
        </w:rPr>
        <w:t>proceeded</w:t>
      </w:r>
      <w:r w:rsidRPr="00D869E3">
        <w:rPr>
          <w:rFonts w:ascii="Verdana" w:hAnsi="Verdana" w:cs="Arial"/>
          <w:sz w:val="20"/>
          <w:szCs w:val="20"/>
          <w:lang w:val="en-US"/>
        </w:rPr>
        <w:t xml:space="preserve"> as if it w</w:t>
      </w:r>
      <w:r w:rsidR="00CE350F" w:rsidRPr="00D869E3">
        <w:rPr>
          <w:rFonts w:ascii="Verdana" w:hAnsi="Verdana" w:cs="Arial"/>
          <w:sz w:val="20"/>
          <w:szCs w:val="20"/>
          <w:lang w:val="en-US"/>
        </w:rPr>
        <w:t>ere</w:t>
      </w:r>
      <w:r w:rsidRPr="00D869E3">
        <w:rPr>
          <w:rFonts w:ascii="Verdana" w:hAnsi="Verdana" w:cs="Arial"/>
          <w:sz w:val="20"/>
          <w:szCs w:val="20"/>
          <w:lang w:val="en-US"/>
        </w:rPr>
        <w:t xml:space="preserve"> reiterating case law, which is absolutely false. This </w:t>
      </w:r>
      <w:r w:rsidR="00CE350F" w:rsidRPr="00D869E3">
        <w:rPr>
          <w:rFonts w:ascii="Verdana" w:hAnsi="Verdana" w:cs="Arial"/>
          <w:sz w:val="20"/>
          <w:szCs w:val="20"/>
          <w:lang w:val="en-US"/>
        </w:rPr>
        <w:t>resulted in</w:t>
      </w:r>
      <w:r w:rsidRPr="00D869E3">
        <w:rPr>
          <w:rFonts w:ascii="Verdana" w:hAnsi="Verdana" w:cs="Arial"/>
          <w:sz w:val="20"/>
          <w:szCs w:val="20"/>
          <w:lang w:val="en-US"/>
        </w:rPr>
        <w:t xml:space="preserve"> two different </w:t>
      </w:r>
      <w:r w:rsidR="00CE350F" w:rsidRPr="00D869E3">
        <w:rPr>
          <w:rFonts w:ascii="Verdana" w:hAnsi="Verdana" w:cs="Arial"/>
          <w:sz w:val="20"/>
          <w:szCs w:val="20"/>
          <w:lang w:val="en-US"/>
        </w:rPr>
        <w:t>flaws</w:t>
      </w:r>
      <w:r w:rsidRPr="00D869E3">
        <w:rPr>
          <w:rFonts w:ascii="Verdana" w:hAnsi="Verdana" w:cs="Arial"/>
          <w:sz w:val="20"/>
          <w:szCs w:val="20"/>
          <w:lang w:val="en-US"/>
        </w:rPr>
        <w:t xml:space="preserve"> in the arguments. The first is the omission of arguments that </w:t>
      </w:r>
      <w:r w:rsidR="00794206" w:rsidRPr="00D869E3">
        <w:rPr>
          <w:rFonts w:ascii="Verdana" w:hAnsi="Verdana" w:cs="Arial"/>
          <w:sz w:val="20"/>
          <w:szCs w:val="20"/>
          <w:lang w:val="en-US"/>
        </w:rPr>
        <w:t>reveal</w:t>
      </w:r>
      <w:r w:rsidRPr="00D869E3">
        <w:rPr>
          <w:rFonts w:ascii="Verdana" w:hAnsi="Verdana" w:cs="Arial"/>
          <w:sz w:val="20"/>
          <w:szCs w:val="20"/>
          <w:lang w:val="en-US"/>
        </w:rPr>
        <w:t xml:space="preserve"> the reasons why the Inter-American Court decided to make a change </w:t>
      </w:r>
      <w:r w:rsidR="00794206" w:rsidRPr="00D869E3">
        <w:rPr>
          <w:rFonts w:ascii="Verdana" w:hAnsi="Verdana" w:cs="Arial"/>
          <w:sz w:val="20"/>
          <w:szCs w:val="20"/>
          <w:lang w:val="en-US"/>
        </w:rPr>
        <w:t>in</w:t>
      </w:r>
      <w:r w:rsidRPr="00D869E3">
        <w:rPr>
          <w:rFonts w:ascii="Verdana" w:hAnsi="Verdana" w:cs="Arial"/>
          <w:sz w:val="20"/>
          <w:szCs w:val="20"/>
          <w:lang w:val="en-US"/>
        </w:rPr>
        <w:t xml:space="preserve"> precedent. The second is giving a specific judicial ruling the value of precedent, in order to conceal </w:t>
      </w:r>
      <w:r w:rsidR="00C01A96" w:rsidRPr="00D869E3">
        <w:rPr>
          <w:rFonts w:ascii="Verdana" w:hAnsi="Verdana" w:cs="Arial"/>
          <w:sz w:val="20"/>
          <w:szCs w:val="20"/>
          <w:lang w:val="en-US"/>
        </w:rPr>
        <w:t xml:space="preserve">that, in </w:t>
      </w:r>
      <w:r w:rsidR="00794206" w:rsidRPr="00D869E3">
        <w:rPr>
          <w:rFonts w:ascii="Verdana" w:hAnsi="Verdana" w:cs="Arial"/>
          <w:sz w:val="20"/>
          <w:szCs w:val="20"/>
          <w:lang w:val="en-US"/>
        </w:rPr>
        <w:t>reality</w:t>
      </w:r>
      <w:r w:rsidR="00C01A96" w:rsidRPr="00D869E3">
        <w:rPr>
          <w:rFonts w:ascii="Verdana" w:hAnsi="Verdana" w:cs="Arial"/>
          <w:sz w:val="20"/>
          <w:szCs w:val="20"/>
          <w:lang w:val="en-US"/>
        </w:rPr>
        <w:t xml:space="preserve">, a new judicial position has been </w:t>
      </w:r>
      <w:r w:rsidR="00794206" w:rsidRPr="00D869E3">
        <w:rPr>
          <w:rFonts w:ascii="Verdana" w:hAnsi="Verdana" w:cs="Arial"/>
          <w:sz w:val="20"/>
          <w:szCs w:val="20"/>
          <w:lang w:val="en-US"/>
        </w:rPr>
        <w:t>adopted</w:t>
      </w:r>
      <w:r w:rsidR="00C01A96" w:rsidRPr="00D869E3">
        <w:rPr>
          <w:rFonts w:ascii="Verdana" w:hAnsi="Verdana" w:cs="Arial"/>
          <w:sz w:val="20"/>
          <w:szCs w:val="20"/>
          <w:lang w:val="en-US"/>
        </w:rPr>
        <w:t>.</w:t>
      </w:r>
    </w:p>
    <w:p w14:paraId="2397672D" w14:textId="6F52311A" w:rsidR="00E70701" w:rsidRPr="00D869E3" w:rsidRDefault="00E70701" w:rsidP="00C44F79">
      <w:pPr>
        <w:jc w:val="both"/>
        <w:rPr>
          <w:rFonts w:ascii="Verdana" w:hAnsi="Verdana" w:cs="Arial"/>
          <w:sz w:val="20"/>
          <w:szCs w:val="20"/>
          <w:lang w:val="en-US"/>
        </w:rPr>
      </w:pPr>
    </w:p>
    <w:p w14:paraId="025DF494" w14:textId="08D50D0F" w:rsidR="00E70701" w:rsidRPr="00D869E3" w:rsidRDefault="00C01A96"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Regarding the first point, it is </w:t>
      </w:r>
      <w:r w:rsidR="00794206" w:rsidRPr="00D869E3">
        <w:rPr>
          <w:rFonts w:ascii="Verdana" w:hAnsi="Verdana" w:cs="Arial"/>
          <w:sz w:val="20"/>
          <w:szCs w:val="20"/>
          <w:lang w:val="en-US"/>
        </w:rPr>
        <w:t>evident</w:t>
      </w:r>
      <w:r w:rsidRPr="00D869E3">
        <w:rPr>
          <w:rFonts w:ascii="Verdana" w:hAnsi="Verdana" w:cs="Arial"/>
          <w:sz w:val="20"/>
          <w:szCs w:val="20"/>
          <w:lang w:val="en-US"/>
        </w:rPr>
        <w:t xml:space="preserve"> that courts must be consistent with their previous decisions</w:t>
      </w:r>
      <w:r w:rsidR="00794206" w:rsidRPr="00D869E3">
        <w:rPr>
          <w:rFonts w:ascii="Verdana" w:hAnsi="Verdana" w:cs="Arial"/>
          <w:sz w:val="20"/>
          <w:szCs w:val="20"/>
          <w:lang w:val="en-US"/>
        </w:rPr>
        <w:t>.</w:t>
      </w:r>
      <w:r w:rsidRPr="00D869E3">
        <w:rPr>
          <w:rFonts w:ascii="Verdana" w:hAnsi="Verdana" w:cs="Arial"/>
          <w:sz w:val="20"/>
          <w:szCs w:val="20"/>
          <w:lang w:val="en-US"/>
        </w:rPr>
        <w:t xml:space="preserve"> </w:t>
      </w:r>
      <w:r w:rsidR="00794206" w:rsidRPr="00D869E3">
        <w:rPr>
          <w:rFonts w:ascii="Verdana" w:hAnsi="Verdana" w:cs="Arial"/>
          <w:sz w:val="20"/>
          <w:szCs w:val="20"/>
          <w:lang w:val="en-US"/>
        </w:rPr>
        <w:t>T</w:t>
      </w:r>
      <w:r w:rsidRPr="00D869E3">
        <w:rPr>
          <w:rFonts w:ascii="Verdana" w:hAnsi="Verdana" w:cs="Arial"/>
          <w:sz w:val="20"/>
          <w:szCs w:val="20"/>
          <w:lang w:val="en-US"/>
        </w:rPr>
        <w:t xml:space="preserve">his is </w:t>
      </w:r>
      <w:r w:rsidR="00794206" w:rsidRPr="00D869E3">
        <w:rPr>
          <w:rFonts w:ascii="Verdana" w:hAnsi="Verdana" w:cs="Arial"/>
          <w:sz w:val="20"/>
          <w:szCs w:val="20"/>
          <w:lang w:val="en-US"/>
        </w:rPr>
        <w:t>a</w:t>
      </w:r>
      <w:r w:rsidRPr="00D869E3">
        <w:rPr>
          <w:rFonts w:ascii="Verdana" w:hAnsi="Verdana" w:cs="Arial"/>
          <w:sz w:val="20"/>
          <w:szCs w:val="20"/>
          <w:lang w:val="en-US"/>
        </w:rPr>
        <w:t xml:space="preserve"> basic requirement</w:t>
      </w:r>
      <w:r w:rsidR="00794206" w:rsidRPr="00D869E3">
        <w:rPr>
          <w:rFonts w:ascii="Verdana" w:hAnsi="Verdana" w:cs="Arial"/>
          <w:sz w:val="20"/>
          <w:szCs w:val="20"/>
          <w:lang w:val="en-US"/>
        </w:rPr>
        <w:t>,</w:t>
      </w:r>
      <w:r w:rsidRPr="00D869E3">
        <w:rPr>
          <w:rFonts w:ascii="Verdana" w:hAnsi="Verdana" w:cs="Arial"/>
          <w:sz w:val="20"/>
          <w:szCs w:val="20"/>
          <w:lang w:val="en-US"/>
        </w:rPr>
        <w:t xml:space="preserve"> not only from the perspective of the theory of legal arguments</w:t>
      </w:r>
      <w:r w:rsidR="00E70701" w:rsidRPr="00D869E3">
        <w:rPr>
          <w:rFonts w:ascii="Verdana" w:hAnsi="Verdana" w:cs="Arial"/>
          <w:sz w:val="20"/>
          <w:szCs w:val="20"/>
          <w:lang w:val="en-US"/>
        </w:rPr>
        <w:t>,</w:t>
      </w:r>
      <w:r w:rsidRPr="00D869E3">
        <w:rPr>
          <w:rFonts w:ascii="Verdana" w:hAnsi="Verdana" w:cs="Arial"/>
          <w:sz w:val="20"/>
          <w:szCs w:val="20"/>
          <w:lang w:val="en-US"/>
        </w:rPr>
        <w:t xml:space="preserve"> </w:t>
      </w:r>
      <w:r w:rsidR="00794206" w:rsidRPr="00D869E3">
        <w:rPr>
          <w:rFonts w:ascii="Verdana" w:hAnsi="Verdana" w:cs="Arial"/>
          <w:sz w:val="20"/>
          <w:szCs w:val="20"/>
          <w:lang w:val="en-US"/>
        </w:rPr>
        <w:t>but it is</w:t>
      </w:r>
      <w:r w:rsidRPr="00D869E3">
        <w:rPr>
          <w:rFonts w:ascii="Verdana" w:hAnsi="Verdana" w:cs="Arial"/>
          <w:sz w:val="20"/>
          <w:szCs w:val="20"/>
          <w:lang w:val="en-US"/>
        </w:rPr>
        <w:t xml:space="preserve"> also an essential element to ensure legal certainty and the effective application of the principle of equality between the</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recipients of </w:t>
      </w:r>
      <w:r w:rsidR="00794206" w:rsidRPr="00D869E3">
        <w:rPr>
          <w:rFonts w:ascii="Verdana" w:hAnsi="Verdana" w:cs="Arial"/>
          <w:sz w:val="20"/>
          <w:szCs w:val="20"/>
          <w:lang w:val="en-US"/>
        </w:rPr>
        <w:t>their</w:t>
      </w:r>
      <w:r w:rsidRPr="00D869E3">
        <w:rPr>
          <w:rFonts w:ascii="Verdana" w:hAnsi="Verdana" w:cs="Arial"/>
          <w:sz w:val="20"/>
          <w:szCs w:val="20"/>
          <w:lang w:val="en-US"/>
        </w:rPr>
        <w:t xml:space="preserve"> decisions</w:t>
      </w:r>
      <w:r w:rsidR="00E70701" w:rsidRPr="00D869E3">
        <w:rPr>
          <w:rFonts w:ascii="Verdana" w:hAnsi="Verdana" w:cs="Arial"/>
          <w:sz w:val="20"/>
          <w:szCs w:val="20"/>
          <w:lang w:val="en-US"/>
        </w:rPr>
        <w:t>.</w:t>
      </w:r>
      <w:r w:rsidRPr="00D869E3">
        <w:rPr>
          <w:rFonts w:ascii="Verdana" w:hAnsi="Verdana" w:cs="Arial"/>
          <w:sz w:val="20"/>
          <w:szCs w:val="20"/>
          <w:lang w:val="en-US"/>
        </w:rPr>
        <w:t xml:space="preserve"> Sudden and unjustified changes in case law are arbitrary and undermine the legitimacy of judicial organs.</w:t>
      </w:r>
    </w:p>
    <w:p w14:paraId="697C9353" w14:textId="77777777" w:rsidR="00E70701" w:rsidRPr="00D869E3" w:rsidRDefault="00E70701" w:rsidP="00C44F79">
      <w:pPr>
        <w:pStyle w:val="Prrafodelista"/>
        <w:ind w:left="0"/>
        <w:jc w:val="both"/>
        <w:rPr>
          <w:rFonts w:ascii="Verdana" w:hAnsi="Verdana" w:cs="Arial"/>
          <w:sz w:val="20"/>
          <w:szCs w:val="20"/>
          <w:lang w:val="en-US"/>
        </w:rPr>
      </w:pPr>
    </w:p>
    <w:p w14:paraId="08432D1B" w14:textId="26BBDFEE" w:rsidR="00C01A96" w:rsidRPr="00D869E3" w:rsidRDefault="00C01A96"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lastRenderedPageBreak/>
        <w:t xml:space="preserve">This means that, in this judgment, it was crucial to recognize that a change in case law was being made that moved away from the position </w:t>
      </w:r>
      <w:r w:rsidR="00794206" w:rsidRPr="00D869E3">
        <w:rPr>
          <w:rFonts w:ascii="Verdana" w:hAnsi="Verdana" w:cs="Arial"/>
          <w:sz w:val="20"/>
          <w:szCs w:val="20"/>
          <w:lang w:val="en-US"/>
        </w:rPr>
        <w:t>adopted</w:t>
      </w:r>
      <w:r w:rsidRPr="00D869E3">
        <w:rPr>
          <w:rFonts w:ascii="Verdana" w:hAnsi="Verdana" w:cs="Arial"/>
          <w:sz w:val="20"/>
          <w:szCs w:val="20"/>
          <w:lang w:val="en-US"/>
        </w:rPr>
        <w:t xml:space="preserve"> by the Inter-American Court in previous decisions in this regard, and also to explain with much more </w:t>
      </w:r>
      <w:r w:rsidR="00794206" w:rsidRPr="00D869E3">
        <w:rPr>
          <w:rFonts w:ascii="Verdana" w:hAnsi="Verdana" w:cs="Arial"/>
          <w:sz w:val="20"/>
          <w:szCs w:val="20"/>
          <w:lang w:val="en-US"/>
        </w:rPr>
        <w:t>substantial</w:t>
      </w:r>
      <w:r w:rsidRPr="00D869E3">
        <w:rPr>
          <w:rFonts w:ascii="Verdana" w:hAnsi="Verdana" w:cs="Arial"/>
          <w:sz w:val="20"/>
          <w:szCs w:val="20"/>
          <w:lang w:val="en-US"/>
        </w:rPr>
        <w:t xml:space="preserve"> grounds </w:t>
      </w:r>
      <w:r w:rsidR="00794206" w:rsidRPr="00D869E3">
        <w:rPr>
          <w:rFonts w:ascii="Verdana" w:hAnsi="Verdana" w:cs="Arial"/>
          <w:sz w:val="20"/>
          <w:szCs w:val="20"/>
          <w:lang w:val="en-US"/>
        </w:rPr>
        <w:t>t</w:t>
      </w:r>
      <w:r w:rsidRPr="00D869E3">
        <w:rPr>
          <w:rFonts w:ascii="Verdana" w:hAnsi="Verdana" w:cs="Arial"/>
          <w:sz w:val="20"/>
          <w:szCs w:val="20"/>
          <w:lang w:val="en-US"/>
        </w:rPr>
        <w:t xml:space="preserve">he reasons why it found it necessary to make this change. The values in play </w:t>
      </w:r>
      <w:r w:rsidR="00B029EC" w:rsidRPr="00D869E3">
        <w:rPr>
          <w:rFonts w:ascii="Verdana" w:hAnsi="Verdana" w:cs="Arial"/>
          <w:sz w:val="20"/>
          <w:szCs w:val="20"/>
          <w:lang w:val="en-US"/>
        </w:rPr>
        <w:t>a</w:t>
      </w:r>
      <w:r w:rsidRPr="00D869E3">
        <w:rPr>
          <w:rFonts w:ascii="Verdana" w:hAnsi="Verdana" w:cs="Arial"/>
          <w:sz w:val="20"/>
          <w:szCs w:val="20"/>
          <w:lang w:val="en-US"/>
        </w:rPr>
        <w:t>re legal certainty and the right to equality</w:t>
      </w:r>
      <w:r w:rsidR="00B029EC" w:rsidRPr="00D869E3">
        <w:rPr>
          <w:rFonts w:ascii="Verdana" w:hAnsi="Verdana" w:cs="Arial"/>
          <w:sz w:val="20"/>
          <w:szCs w:val="20"/>
          <w:lang w:val="en-US"/>
        </w:rPr>
        <w:t>; therefore,</w:t>
      </w:r>
      <w:r w:rsidRPr="00D869E3">
        <w:rPr>
          <w:rFonts w:ascii="Verdana" w:hAnsi="Verdana" w:cs="Arial"/>
          <w:sz w:val="20"/>
          <w:szCs w:val="20"/>
          <w:lang w:val="en-US"/>
        </w:rPr>
        <w:t xml:space="preserve"> the States and </w:t>
      </w:r>
      <w:r w:rsidR="00794206" w:rsidRPr="00D869E3">
        <w:rPr>
          <w:rFonts w:ascii="Verdana" w:hAnsi="Verdana" w:cs="Arial"/>
          <w:sz w:val="20"/>
          <w:szCs w:val="20"/>
          <w:lang w:val="en-US"/>
        </w:rPr>
        <w:t>everyone</w:t>
      </w:r>
      <w:r w:rsidRPr="00D869E3">
        <w:rPr>
          <w:rFonts w:ascii="Verdana" w:hAnsi="Verdana" w:cs="Arial"/>
          <w:sz w:val="20"/>
          <w:szCs w:val="20"/>
          <w:lang w:val="en-US"/>
        </w:rPr>
        <w:t xml:space="preserve"> subject to the jurisdiction of the American Convention </w:t>
      </w:r>
      <w:r w:rsidR="00794206" w:rsidRPr="00D869E3">
        <w:rPr>
          <w:rFonts w:ascii="Verdana" w:hAnsi="Verdana" w:cs="Arial"/>
          <w:sz w:val="20"/>
          <w:szCs w:val="20"/>
          <w:lang w:val="en-US"/>
        </w:rPr>
        <w:t>need to</w:t>
      </w:r>
      <w:r w:rsidRPr="00D869E3">
        <w:rPr>
          <w:rFonts w:ascii="Verdana" w:hAnsi="Verdana" w:cs="Arial"/>
          <w:sz w:val="20"/>
          <w:szCs w:val="20"/>
          <w:lang w:val="en-US"/>
        </w:rPr>
        <w:t xml:space="preserve"> understand the </w:t>
      </w:r>
      <w:r w:rsidR="00794206" w:rsidRPr="00D869E3">
        <w:rPr>
          <w:rFonts w:ascii="Verdana" w:hAnsi="Verdana" w:cs="Arial"/>
          <w:sz w:val="20"/>
          <w:szCs w:val="20"/>
          <w:lang w:val="en-US"/>
        </w:rPr>
        <w:t xml:space="preserve">compelling </w:t>
      </w:r>
      <w:r w:rsidRPr="00D869E3">
        <w:rPr>
          <w:rFonts w:ascii="Verdana" w:hAnsi="Verdana" w:cs="Arial"/>
          <w:sz w:val="20"/>
          <w:szCs w:val="20"/>
          <w:lang w:val="en-US"/>
        </w:rPr>
        <w:t xml:space="preserve">reasons that the Court had to change its precedent. </w:t>
      </w:r>
      <w:r w:rsidR="00B029EC" w:rsidRPr="00D869E3">
        <w:rPr>
          <w:rFonts w:ascii="Verdana" w:hAnsi="Verdana" w:cs="Arial"/>
          <w:sz w:val="20"/>
          <w:szCs w:val="20"/>
          <w:lang w:val="en-US"/>
        </w:rPr>
        <w:t xml:space="preserve">And this is especially relevant, </w:t>
      </w:r>
      <w:r w:rsidRPr="00D869E3">
        <w:rPr>
          <w:rFonts w:ascii="Verdana" w:hAnsi="Verdana" w:cs="Arial"/>
          <w:sz w:val="20"/>
          <w:szCs w:val="20"/>
          <w:lang w:val="en-US"/>
        </w:rPr>
        <w:t>if we consider that this is not just a simple change in case law because</w:t>
      </w:r>
      <w:r w:rsidR="00196CB2" w:rsidRPr="00D869E3">
        <w:rPr>
          <w:rFonts w:ascii="Verdana" w:hAnsi="Verdana" w:cs="Arial"/>
          <w:sz w:val="20"/>
          <w:szCs w:val="20"/>
          <w:lang w:val="en-US"/>
        </w:rPr>
        <w:t xml:space="preserve">, basically, </w:t>
      </w:r>
      <w:r w:rsidR="00B029EC" w:rsidRPr="00D869E3">
        <w:rPr>
          <w:rFonts w:ascii="Verdana" w:hAnsi="Verdana" w:cs="Arial"/>
          <w:sz w:val="20"/>
          <w:szCs w:val="20"/>
          <w:lang w:val="en-US"/>
        </w:rPr>
        <w:t xml:space="preserve">what </w:t>
      </w:r>
      <w:r w:rsidR="00196CB2" w:rsidRPr="00D869E3">
        <w:rPr>
          <w:rFonts w:ascii="Verdana" w:hAnsi="Verdana" w:cs="Arial"/>
          <w:sz w:val="20"/>
          <w:szCs w:val="20"/>
          <w:lang w:val="en-US"/>
        </w:rPr>
        <w:t xml:space="preserve">this judgment </w:t>
      </w:r>
      <w:r w:rsidR="00B029EC" w:rsidRPr="00D869E3">
        <w:rPr>
          <w:rFonts w:ascii="Verdana" w:hAnsi="Verdana" w:cs="Arial"/>
          <w:sz w:val="20"/>
          <w:szCs w:val="20"/>
          <w:lang w:val="en-US"/>
        </w:rPr>
        <w:t>does is modify</w:t>
      </w:r>
      <w:r w:rsidR="00196CB2" w:rsidRPr="00D869E3">
        <w:rPr>
          <w:rFonts w:ascii="Verdana" w:hAnsi="Verdana" w:cs="Arial"/>
          <w:sz w:val="20"/>
          <w:szCs w:val="20"/>
          <w:lang w:val="en-US"/>
        </w:rPr>
        <w:t xml:space="preserve"> the American Convention and, thereby,</w:t>
      </w:r>
      <w:r w:rsidR="00B029EC" w:rsidRPr="00D869E3">
        <w:rPr>
          <w:rFonts w:ascii="Verdana" w:hAnsi="Verdana" w:cs="Arial"/>
          <w:sz w:val="20"/>
          <w:szCs w:val="20"/>
          <w:lang w:val="en-US"/>
        </w:rPr>
        <w:t xml:space="preserve"> </w:t>
      </w:r>
      <w:r w:rsidR="00C22610" w:rsidRPr="00D869E3">
        <w:rPr>
          <w:rFonts w:ascii="Verdana" w:hAnsi="Verdana" w:cs="Arial"/>
          <w:sz w:val="20"/>
          <w:szCs w:val="20"/>
          <w:lang w:val="en-US"/>
        </w:rPr>
        <w:t>fundamentally</w:t>
      </w:r>
      <w:r w:rsidR="00196CB2" w:rsidRPr="00D869E3">
        <w:rPr>
          <w:rFonts w:ascii="Verdana" w:hAnsi="Verdana" w:cs="Arial"/>
          <w:sz w:val="20"/>
          <w:szCs w:val="20"/>
          <w:lang w:val="en-US"/>
        </w:rPr>
        <w:t xml:space="preserve"> transform</w:t>
      </w:r>
      <w:r w:rsidR="00C22610" w:rsidRPr="00D869E3">
        <w:rPr>
          <w:rFonts w:ascii="Verdana" w:hAnsi="Verdana" w:cs="Arial"/>
          <w:sz w:val="20"/>
          <w:szCs w:val="20"/>
          <w:lang w:val="en-US"/>
        </w:rPr>
        <w:t>s</w:t>
      </w:r>
      <w:r w:rsidR="00196CB2" w:rsidRPr="00D869E3">
        <w:rPr>
          <w:rFonts w:ascii="Verdana" w:hAnsi="Verdana" w:cs="Arial"/>
          <w:sz w:val="20"/>
          <w:szCs w:val="20"/>
          <w:lang w:val="en-US"/>
        </w:rPr>
        <w:t xml:space="preserve"> the system </w:t>
      </w:r>
      <w:r w:rsidR="00C22610" w:rsidRPr="00D869E3">
        <w:rPr>
          <w:rFonts w:ascii="Verdana" w:hAnsi="Verdana" w:cs="Arial"/>
          <w:sz w:val="20"/>
          <w:szCs w:val="20"/>
          <w:lang w:val="en-US"/>
        </w:rPr>
        <w:t>of</w:t>
      </w:r>
      <w:r w:rsidR="00196CB2" w:rsidRPr="00D869E3">
        <w:rPr>
          <w:rFonts w:ascii="Verdana" w:hAnsi="Verdana" w:cs="Arial"/>
          <w:sz w:val="20"/>
          <w:szCs w:val="20"/>
          <w:lang w:val="en-US"/>
        </w:rPr>
        <w:t xml:space="preserve"> inter-American justice.</w:t>
      </w:r>
    </w:p>
    <w:p w14:paraId="31EFCB01" w14:textId="6AB4C55F" w:rsidR="00E70701" w:rsidRPr="00D869E3" w:rsidRDefault="00E70701" w:rsidP="00C44F79">
      <w:pPr>
        <w:pStyle w:val="Prrafodelista"/>
        <w:jc w:val="both"/>
        <w:rPr>
          <w:rFonts w:ascii="Verdana" w:hAnsi="Verdana" w:cs="Arial"/>
          <w:b/>
          <w:sz w:val="20"/>
          <w:szCs w:val="20"/>
          <w:lang w:val="en-US"/>
        </w:rPr>
      </w:pPr>
    </w:p>
    <w:p w14:paraId="66A5367F" w14:textId="794B0691" w:rsidR="00196CB2" w:rsidRPr="00D869E3" w:rsidRDefault="00C22610" w:rsidP="00196CB2">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In relation to</w:t>
      </w:r>
      <w:r w:rsidR="00196CB2" w:rsidRPr="00D869E3">
        <w:rPr>
          <w:rFonts w:ascii="Verdana" w:hAnsi="Verdana" w:cs="Arial"/>
          <w:sz w:val="20"/>
          <w:szCs w:val="20"/>
          <w:lang w:val="en-US"/>
        </w:rPr>
        <w:t xml:space="preserve"> the second point, the judgment not only</w:t>
      </w:r>
      <w:r w:rsidRPr="00D869E3">
        <w:rPr>
          <w:rFonts w:ascii="Verdana" w:hAnsi="Verdana" w:cs="Arial"/>
          <w:sz w:val="20"/>
          <w:szCs w:val="20"/>
          <w:lang w:val="en-US"/>
        </w:rPr>
        <w:t xml:space="preserve"> </w:t>
      </w:r>
      <w:r w:rsidR="004204B2">
        <w:rPr>
          <w:rFonts w:ascii="Verdana" w:hAnsi="Verdana" w:cs="Arial"/>
          <w:sz w:val="20"/>
          <w:szCs w:val="20"/>
          <w:lang w:val="en-US"/>
        </w:rPr>
        <w:t xml:space="preserve">fails to recognize that it was </w:t>
      </w:r>
      <w:r w:rsidR="00196CB2" w:rsidRPr="00D869E3">
        <w:rPr>
          <w:rFonts w:ascii="Verdana" w:hAnsi="Verdana" w:cs="Arial"/>
          <w:sz w:val="20"/>
          <w:szCs w:val="20"/>
          <w:lang w:val="en-US"/>
        </w:rPr>
        <w:t>mak</w:t>
      </w:r>
      <w:r w:rsidR="004204B2">
        <w:rPr>
          <w:rFonts w:ascii="Verdana" w:hAnsi="Verdana" w:cs="Arial"/>
          <w:sz w:val="20"/>
          <w:szCs w:val="20"/>
          <w:lang w:val="en-US"/>
        </w:rPr>
        <w:t>ing</w:t>
      </w:r>
      <w:r w:rsidR="00196CB2" w:rsidRPr="00D869E3">
        <w:rPr>
          <w:rFonts w:ascii="Verdana" w:hAnsi="Verdana" w:cs="Arial"/>
          <w:sz w:val="20"/>
          <w:szCs w:val="20"/>
          <w:lang w:val="en-US"/>
        </w:rPr>
        <w:t xml:space="preserve"> a change in case law, but also seeks to make the reader believe that what it is doing is a repetition of </w:t>
      </w:r>
      <w:r w:rsidR="00CF146F" w:rsidRPr="00D869E3">
        <w:rPr>
          <w:rFonts w:ascii="Verdana" w:hAnsi="Verdana" w:cs="Arial"/>
          <w:sz w:val="20"/>
          <w:szCs w:val="20"/>
          <w:lang w:val="en-US"/>
        </w:rPr>
        <w:t xml:space="preserve">its </w:t>
      </w:r>
      <w:r w:rsidR="00196CB2" w:rsidRPr="00D869E3">
        <w:rPr>
          <w:rFonts w:ascii="Verdana" w:hAnsi="Verdana" w:cs="Arial"/>
          <w:sz w:val="20"/>
          <w:szCs w:val="20"/>
          <w:lang w:val="en-US"/>
        </w:rPr>
        <w:t xml:space="preserve">case law. In this regard, </w:t>
      </w:r>
      <w:r w:rsidRPr="00D869E3">
        <w:rPr>
          <w:rFonts w:ascii="Verdana" w:hAnsi="Verdana" w:cs="Arial"/>
          <w:sz w:val="20"/>
          <w:szCs w:val="20"/>
          <w:lang w:val="en-US"/>
        </w:rPr>
        <w:t>starting in</w:t>
      </w:r>
      <w:r w:rsidR="00196CB2" w:rsidRPr="00D869E3">
        <w:rPr>
          <w:rFonts w:ascii="Verdana" w:hAnsi="Verdana" w:cs="Arial"/>
          <w:sz w:val="20"/>
          <w:szCs w:val="20"/>
          <w:lang w:val="en-US"/>
        </w:rPr>
        <w:t xml:space="preserve"> paragraph 141 of the judgment, the Court begins to affirm that it is reiterating its case law in cases such as </w:t>
      </w:r>
      <w:r w:rsidR="00E70701" w:rsidRPr="00D869E3">
        <w:rPr>
          <w:rFonts w:ascii="Verdana" w:hAnsi="Verdana" w:cs="Arial"/>
          <w:sz w:val="20"/>
          <w:szCs w:val="20"/>
          <w:lang w:val="en-US"/>
        </w:rPr>
        <w:t xml:space="preserve">Acevedo Buendía, </w:t>
      </w:r>
      <w:r w:rsidR="00196CB2" w:rsidRPr="00D869E3">
        <w:rPr>
          <w:rFonts w:ascii="Verdana" w:hAnsi="Verdana" w:cs="Arial"/>
          <w:sz w:val="20"/>
          <w:szCs w:val="20"/>
          <w:lang w:val="en-US"/>
        </w:rPr>
        <w:t>which, as is well-known, is not a case in which the Court reached the conclusion that Article 26 of the ACHR had been violated.</w:t>
      </w:r>
    </w:p>
    <w:p w14:paraId="0BE82E20" w14:textId="77777777" w:rsidR="00E70701" w:rsidRPr="00D869E3" w:rsidRDefault="00E70701" w:rsidP="00C44F79">
      <w:pPr>
        <w:jc w:val="both"/>
        <w:rPr>
          <w:rFonts w:ascii="Verdana" w:hAnsi="Verdana"/>
          <w:sz w:val="20"/>
          <w:szCs w:val="20"/>
          <w:lang w:val="en-US"/>
        </w:rPr>
      </w:pPr>
    </w:p>
    <w:p w14:paraId="653E2810" w14:textId="2C35CFE8" w:rsidR="00E70701" w:rsidRPr="00D869E3" w:rsidRDefault="00196CB2" w:rsidP="00196CB2">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rPr>
        <w:t>Regarding the case of</w:t>
      </w:r>
      <w:r w:rsidR="00E70701" w:rsidRPr="00D869E3">
        <w:rPr>
          <w:rFonts w:ascii="Verdana" w:hAnsi="Verdana"/>
          <w:sz w:val="20"/>
          <w:szCs w:val="20"/>
          <w:lang w:val="en-US"/>
        </w:rPr>
        <w:t xml:space="preserve"> </w:t>
      </w:r>
      <w:r w:rsidR="00E70701" w:rsidRPr="00D869E3">
        <w:rPr>
          <w:rFonts w:ascii="Verdana" w:hAnsi="Verdana"/>
          <w:i/>
          <w:sz w:val="20"/>
          <w:szCs w:val="20"/>
          <w:lang w:val="en-US"/>
        </w:rPr>
        <w:t>Acevedo Buendía</w:t>
      </w:r>
      <w:r w:rsidR="00687684" w:rsidRPr="00D869E3">
        <w:rPr>
          <w:rFonts w:ascii="Verdana" w:hAnsi="Verdana"/>
          <w:i/>
          <w:sz w:val="20"/>
          <w:szCs w:val="20"/>
          <w:lang w:val="en-US"/>
        </w:rPr>
        <w:t xml:space="preserve"> </w:t>
      </w:r>
      <w:r w:rsidR="00301DBE" w:rsidRPr="00D869E3">
        <w:rPr>
          <w:rFonts w:ascii="Verdana" w:hAnsi="Verdana"/>
          <w:i/>
          <w:sz w:val="20"/>
          <w:szCs w:val="20"/>
          <w:lang w:val="en-US"/>
        </w:rPr>
        <w:t>et al. v.</w:t>
      </w:r>
      <w:r w:rsidR="00E70701" w:rsidRPr="00D869E3">
        <w:rPr>
          <w:rFonts w:ascii="Verdana" w:hAnsi="Verdana"/>
          <w:i/>
          <w:sz w:val="20"/>
          <w:szCs w:val="20"/>
          <w:lang w:val="en-US"/>
        </w:rPr>
        <w:t xml:space="preserve"> </w:t>
      </w:r>
      <w:r w:rsidR="00447C65" w:rsidRPr="00D869E3">
        <w:rPr>
          <w:rFonts w:ascii="Verdana" w:hAnsi="Verdana"/>
          <w:i/>
          <w:sz w:val="20"/>
          <w:szCs w:val="20"/>
          <w:lang w:val="en-US"/>
        </w:rPr>
        <w:t>Peru</w:t>
      </w:r>
      <w:r w:rsidRPr="00D869E3">
        <w:rPr>
          <w:rFonts w:ascii="Verdana" w:hAnsi="Verdana"/>
          <w:i/>
          <w:sz w:val="20"/>
          <w:szCs w:val="20"/>
          <w:lang w:val="en-US"/>
        </w:rPr>
        <w:t>,</w:t>
      </w:r>
      <w:r w:rsidR="00E70701" w:rsidRPr="00D869E3">
        <w:rPr>
          <w:rFonts w:ascii="Verdana" w:hAnsi="Verdana"/>
          <w:sz w:val="20"/>
          <w:szCs w:val="20"/>
          <w:lang w:val="en-US"/>
        </w:rPr>
        <w:t xml:space="preserve"> </w:t>
      </w:r>
      <w:r w:rsidRPr="00D869E3">
        <w:rPr>
          <w:rFonts w:ascii="Verdana" w:hAnsi="Verdana"/>
          <w:sz w:val="20"/>
          <w:szCs w:val="20"/>
          <w:lang w:val="en-US"/>
        </w:rPr>
        <w:t xml:space="preserve">I repeat that, in my opinion, the scope that the Court has tried to give to this judgment is excessive. First, in that judgment, the Court did not declare the violation of Article 26 and the </w:t>
      </w:r>
      <w:r w:rsidR="00ED1CBD" w:rsidRPr="00D869E3">
        <w:rPr>
          <w:rFonts w:ascii="Verdana" w:hAnsi="Verdana"/>
          <w:sz w:val="20"/>
          <w:szCs w:val="20"/>
          <w:lang w:val="en-US"/>
        </w:rPr>
        <w:t>analysis</w:t>
      </w:r>
      <w:r w:rsidRPr="00D869E3">
        <w:rPr>
          <w:rFonts w:ascii="Verdana" w:hAnsi="Verdana"/>
          <w:sz w:val="20"/>
          <w:szCs w:val="20"/>
          <w:lang w:val="en-US"/>
        </w:rPr>
        <w:t xml:space="preserve"> made was precisely </w:t>
      </w:r>
      <w:r w:rsidR="00ED1CBD" w:rsidRPr="00D869E3">
        <w:rPr>
          <w:rFonts w:ascii="Verdana" w:hAnsi="Verdana"/>
          <w:sz w:val="20"/>
          <w:szCs w:val="20"/>
          <w:lang w:val="en-US"/>
        </w:rPr>
        <w:t>with regard to</w:t>
      </w:r>
      <w:r w:rsidRPr="00D869E3">
        <w:rPr>
          <w:rFonts w:ascii="Verdana" w:hAnsi="Verdana"/>
          <w:sz w:val="20"/>
          <w:szCs w:val="20"/>
          <w:lang w:val="en-US"/>
        </w:rPr>
        <w:t xml:space="preserve"> the obligation of progressive development, and not the direct enforceability of any right in particular. Second, that judgment did not define or clarify which ESCR it was protecting, or its scope or minimum content. Third, even if the Court wishe</w:t>
      </w:r>
      <w:r w:rsidR="00002AEC" w:rsidRPr="00D869E3">
        <w:rPr>
          <w:rFonts w:ascii="Verdana" w:hAnsi="Verdana"/>
          <w:sz w:val="20"/>
          <w:szCs w:val="20"/>
          <w:lang w:val="en-US"/>
        </w:rPr>
        <w:t>d</w:t>
      </w:r>
      <w:r w:rsidRPr="00D869E3">
        <w:rPr>
          <w:rFonts w:ascii="Verdana" w:hAnsi="Verdana"/>
          <w:sz w:val="20"/>
          <w:szCs w:val="20"/>
          <w:lang w:val="en-US"/>
        </w:rPr>
        <w:t xml:space="preserve"> to derive some type of direct justiciability from the assertion that the obligations to respect and to ensure rights are applicable to Article 26 of the Convention, it should be stressed that such assertions </w:t>
      </w:r>
      <w:r w:rsidR="00002AEC" w:rsidRPr="00D869E3">
        <w:rPr>
          <w:rFonts w:ascii="Verdana" w:hAnsi="Verdana"/>
          <w:sz w:val="20"/>
          <w:szCs w:val="20"/>
          <w:lang w:val="en-US"/>
        </w:rPr>
        <w:t>we</w:t>
      </w:r>
      <w:r w:rsidRPr="00D869E3">
        <w:rPr>
          <w:rFonts w:ascii="Verdana" w:hAnsi="Verdana"/>
          <w:sz w:val="20"/>
          <w:szCs w:val="20"/>
          <w:lang w:val="en-US"/>
        </w:rPr>
        <w:t xml:space="preserve">re an </w:t>
      </w:r>
      <w:r w:rsidRPr="00D869E3">
        <w:rPr>
          <w:rFonts w:ascii="Verdana" w:hAnsi="Verdana"/>
          <w:i/>
          <w:sz w:val="20"/>
          <w:szCs w:val="20"/>
          <w:lang w:val="en-US"/>
        </w:rPr>
        <w:t>obiter dictum</w:t>
      </w:r>
      <w:r w:rsidRPr="00D869E3">
        <w:rPr>
          <w:rFonts w:ascii="Verdana" w:hAnsi="Verdana"/>
          <w:sz w:val="20"/>
          <w:szCs w:val="20"/>
          <w:lang w:val="en-US"/>
        </w:rPr>
        <w:t xml:space="preserve"> of th</w:t>
      </w:r>
      <w:r w:rsidR="00002AEC" w:rsidRPr="00D869E3">
        <w:rPr>
          <w:rFonts w:ascii="Verdana" w:hAnsi="Verdana"/>
          <w:sz w:val="20"/>
          <w:szCs w:val="20"/>
          <w:lang w:val="en-US"/>
        </w:rPr>
        <w:t>at</w:t>
      </w:r>
      <w:r w:rsidRPr="00D869E3">
        <w:rPr>
          <w:rFonts w:ascii="Verdana" w:hAnsi="Verdana"/>
          <w:sz w:val="20"/>
          <w:szCs w:val="20"/>
          <w:lang w:val="en-US"/>
        </w:rPr>
        <w:t xml:space="preserve"> judgment, because they ha</w:t>
      </w:r>
      <w:r w:rsidR="00002AEC" w:rsidRPr="00D869E3">
        <w:rPr>
          <w:rFonts w:ascii="Verdana" w:hAnsi="Verdana"/>
          <w:sz w:val="20"/>
          <w:szCs w:val="20"/>
          <w:lang w:val="en-US"/>
        </w:rPr>
        <w:t>d</w:t>
      </w:r>
      <w:r w:rsidRPr="00D869E3">
        <w:rPr>
          <w:rFonts w:ascii="Verdana" w:hAnsi="Verdana"/>
          <w:sz w:val="20"/>
          <w:szCs w:val="20"/>
          <w:lang w:val="en-US"/>
        </w:rPr>
        <w:t xml:space="preserve"> no direct relationship to the final decision which was not to declare a violation of</w:t>
      </w:r>
      <w:r w:rsidRPr="00D869E3">
        <w:rPr>
          <w:rFonts w:ascii="Verdana" w:hAnsi="Verdana" w:cs="Arial"/>
          <w:sz w:val="20"/>
          <w:szCs w:val="20"/>
          <w:lang w:val="en-US"/>
        </w:rPr>
        <w:t xml:space="preserve"> </w:t>
      </w:r>
      <w:r w:rsidR="00447C65" w:rsidRPr="00D869E3">
        <w:rPr>
          <w:rFonts w:ascii="Verdana" w:hAnsi="Verdana"/>
          <w:sz w:val="20"/>
          <w:szCs w:val="20"/>
          <w:lang w:val="en-US"/>
        </w:rPr>
        <w:t>Article</w:t>
      </w:r>
      <w:r w:rsidR="00E70701" w:rsidRPr="00D869E3">
        <w:rPr>
          <w:rFonts w:ascii="Verdana" w:hAnsi="Verdana"/>
          <w:sz w:val="20"/>
          <w:szCs w:val="20"/>
          <w:lang w:val="en-US"/>
        </w:rPr>
        <w:t xml:space="preserve"> 26</w:t>
      </w:r>
      <w:r w:rsidR="00002AEC" w:rsidRPr="00D869E3">
        <w:rPr>
          <w:rFonts w:ascii="Verdana" w:hAnsi="Verdana"/>
          <w:sz w:val="20"/>
          <w:szCs w:val="20"/>
          <w:lang w:val="en-US"/>
        </w:rPr>
        <w:t>.</w:t>
      </w:r>
      <w:r w:rsidR="00E70701" w:rsidRPr="00D869E3">
        <w:rPr>
          <w:rStyle w:val="Refdenotaalpie"/>
          <w:szCs w:val="20"/>
          <w:lang w:val="en-US"/>
        </w:rPr>
        <w:footnoteReference w:id="463"/>
      </w:r>
      <w:r w:rsidR="00002AEC" w:rsidRPr="00D869E3">
        <w:rPr>
          <w:rFonts w:ascii="Verdana" w:hAnsi="Verdana"/>
          <w:sz w:val="20"/>
          <w:szCs w:val="20"/>
          <w:lang w:val="en-US"/>
        </w:rPr>
        <w:t xml:space="preserve"> In addition, this element</w:t>
      </w:r>
      <w:r w:rsidR="00E70701" w:rsidRPr="00D869E3">
        <w:rPr>
          <w:rFonts w:ascii="Verdana" w:hAnsi="Verdana"/>
          <w:sz w:val="20"/>
          <w:szCs w:val="20"/>
          <w:lang w:val="en-US"/>
        </w:rPr>
        <w:t xml:space="preserve"> </w:t>
      </w:r>
      <w:r w:rsidR="000C55DD" w:rsidRPr="00D869E3">
        <w:rPr>
          <w:rFonts w:ascii="Verdana" w:hAnsi="Verdana"/>
          <w:sz w:val="20"/>
          <w:szCs w:val="20"/>
          <w:lang w:val="en-US"/>
        </w:rPr>
        <w:t>of the judgment</w:t>
      </w:r>
      <w:r w:rsidR="00E70701" w:rsidRPr="00D869E3">
        <w:rPr>
          <w:rFonts w:ascii="Verdana" w:hAnsi="Verdana"/>
          <w:sz w:val="20"/>
          <w:szCs w:val="20"/>
          <w:lang w:val="en-US"/>
        </w:rPr>
        <w:t xml:space="preserve"> </w:t>
      </w:r>
      <w:r w:rsidR="00002AEC" w:rsidRPr="00D869E3">
        <w:rPr>
          <w:rFonts w:ascii="Verdana" w:hAnsi="Verdana"/>
          <w:sz w:val="20"/>
          <w:szCs w:val="20"/>
          <w:lang w:val="en-US"/>
        </w:rPr>
        <w:t>has not been reiterated in the Court’s subsequent case law up until this case, so that it could not be considered a reiterated precedent.</w:t>
      </w:r>
    </w:p>
    <w:p w14:paraId="1C93CE9F" w14:textId="77777777" w:rsidR="00E70701" w:rsidRPr="00D869E3" w:rsidRDefault="00E70701" w:rsidP="00C44F79">
      <w:pPr>
        <w:pStyle w:val="Prrafodelista"/>
        <w:ind w:left="0"/>
        <w:jc w:val="both"/>
        <w:rPr>
          <w:rFonts w:ascii="Verdana" w:hAnsi="Verdana" w:cs="Arial"/>
          <w:sz w:val="20"/>
          <w:szCs w:val="20"/>
          <w:lang w:val="en-US"/>
        </w:rPr>
      </w:pPr>
    </w:p>
    <w:p w14:paraId="6D6A774F" w14:textId="08A21657" w:rsidR="00E70701" w:rsidRPr="00D869E3" w:rsidRDefault="001268E2" w:rsidP="00E70701">
      <w:pPr>
        <w:pStyle w:val="Prrafodelista"/>
        <w:numPr>
          <w:ilvl w:val="0"/>
          <w:numId w:val="39"/>
        </w:numPr>
        <w:jc w:val="both"/>
        <w:rPr>
          <w:rFonts w:ascii="Verdana" w:hAnsi="Verdana" w:cs="Arial"/>
          <w:b/>
          <w:sz w:val="20"/>
          <w:szCs w:val="20"/>
          <w:lang w:val="en-US"/>
        </w:rPr>
      </w:pPr>
      <w:r w:rsidRPr="00D869E3">
        <w:rPr>
          <w:rFonts w:ascii="Verdana" w:hAnsi="Verdana" w:cs="Arial"/>
          <w:b/>
          <w:sz w:val="20"/>
          <w:szCs w:val="20"/>
          <w:lang w:val="en-US"/>
        </w:rPr>
        <w:t>Use of a single method of interpretation to reach the decision</w:t>
      </w:r>
    </w:p>
    <w:p w14:paraId="287011D4" w14:textId="77777777" w:rsidR="00E70701" w:rsidRPr="00D869E3" w:rsidRDefault="00E70701" w:rsidP="00C44F79">
      <w:pPr>
        <w:pStyle w:val="Prrafodelista"/>
        <w:ind w:left="0"/>
        <w:jc w:val="both"/>
        <w:rPr>
          <w:rFonts w:ascii="Verdana" w:hAnsi="Verdana" w:cs="Arial"/>
          <w:sz w:val="20"/>
          <w:szCs w:val="20"/>
          <w:lang w:val="en-US"/>
        </w:rPr>
      </w:pPr>
    </w:p>
    <w:p w14:paraId="791DE7B7" w14:textId="7B317697" w:rsidR="009D5358" w:rsidRPr="00D869E3" w:rsidRDefault="009D5358"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That said, the second </w:t>
      </w:r>
      <w:r w:rsidR="00ED1CBD" w:rsidRPr="00D869E3">
        <w:rPr>
          <w:rFonts w:ascii="Verdana" w:hAnsi="Verdana" w:cs="Arial"/>
          <w:sz w:val="20"/>
          <w:szCs w:val="20"/>
          <w:lang w:val="en-US"/>
        </w:rPr>
        <w:t>flaw</w:t>
      </w:r>
      <w:r w:rsidRPr="00D869E3">
        <w:rPr>
          <w:rFonts w:ascii="Verdana" w:hAnsi="Verdana" w:cs="Arial"/>
          <w:sz w:val="20"/>
          <w:szCs w:val="20"/>
          <w:lang w:val="en-US"/>
        </w:rPr>
        <w:t xml:space="preserve"> in the arguments centers upon the use of a single interpretation method to interpret the treaty. As mentioned previously in this opinion, the exclusive use of “evolutive interpretation” disregards the fact that to make an interpretation that is in keeping with the treaty and that is not arbitrary, all the methods of interpretation described in Articles 31 and 32 of the Vienna Convention should be applied simultaneously. Thus, this simple omission, that moves away from the type of analysis that the Inter-American Court usually makes when it is faced with the need to interpret the American Convention is, in itself, an inexcusable error.</w:t>
      </w:r>
    </w:p>
    <w:p w14:paraId="431CBC5B" w14:textId="77777777" w:rsidR="00E70701" w:rsidRPr="00D869E3" w:rsidRDefault="00E70701" w:rsidP="00C44F79">
      <w:pPr>
        <w:pStyle w:val="Prrafodelista"/>
        <w:ind w:left="0"/>
        <w:jc w:val="both"/>
        <w:rPr>
          <w:rFonts w:ascii="Verdana" w:hAnsi="Verdana" w:cs="Arial"/>
          <w:sz w:val="20"/>
          <w:szCs w:val="20"/>
          <w:lang w:val="en-US"/>
        </w:rPr>
      </w:pPr>
    </w:p>
    <w:p w14:paraId="75110699" w14:textId="141E5D30" w:rsidR="009D5358" w:rsidRPr="00D869E3" w:rsidRDefault="009D5358"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sz w:val="20"/>
          <w:szCs w:val="20"/>
          <w:lang w:val="en-US" w:eastAsia="de-DE"/>
        </w:rPr>
        <w:t xml:space="preserve">In addition, and with regard to the definition of evolutive interpretation, </w:t>
      </w:r>
      <w:r w:rsidR="00447C65" w:rsidRPr="00D869E3">
        <w:rPr>
          <w:rFonts w:ascii="Verdana" w:hAnsi="Verdana"/>
          <w:sz w:val="20"/>
          <w:szCs w:val="20"/>
          <w:lang w:val="en-US" w:eastAsia="de-DE"/>
        </w:rPr>
        <w:t>the Inter-American Court</w:t>
      </w:r>
      <w:r w:rsidR="00E70701" w:rsidRPr="00D869E3">
        <w:rPr>
          <w:rFonts w:ascii="Verdana" w:hAnsi="Verdana"/>
          <w:sz w:val="20"/>
          <w:szCs w:val="20"/>
          <w:lang w:val="en-US" w:eastAsia="de-DE"/>
        </w:rPr>
        <w:t xml:space="preserve"> ha</w:t>
      </w:r>
      <w:r w:rsidRPr="00D869E3">
        <w:rPr>
          <w:rFonts w:ascii="Verdana" w:hAnsi="Verdana"/>
          <w:sz w:val="20"/>
          <w:szCs w:val="20"/>
          <w:lang w:val="en-US" w:eastAsia="de-DE"/>
        </w:rPr>
        <w:t>s indicated on various occasions</w:t>
      </w:r>
      <w:r w:rsidR="00E70701" w:rsidRPr="00D869E3">
        <w:rPr>
          <w:rFonts w:ascii="Verdana" w:hAnsi="Verdana"/>
          <w:sz w:val="20"/>
          <w:szCs w:val="20"/>
          <w:vertAlign w:val="superscript"/>
          <w:lang w:val="en-US" w:eastAsia="de-DE"/>
        </w:rPr>
        <w:footnoteReference w:id="464"/>
      </w:r>
      <w:r w:rsidRPr="00D869E3">
        <w:rPr>
          <w:rFonts w:ascii="Verdana" w:hAnsi="Verdana"/>
          <w:sz w:val="20"/>
          <w:szCs w:val="20"/>
          <w:lang w:val="en-US" w:eastAsia="de-DE"/>
        </w:rPr>
        <w:t xml:space="preserve"> that human rights treaties are living </w:t>
      </w:r>
      <w:r w:rsidRPr="00D869E3">
        <w:rPr>
          <w:rFonts w:ascii="Verdana" w:hAnsi="Verdana"/>
          <w:sz w:val="20"/>
          <w:szCs w:val="20"/>
          <w:lang w:val="en-US" w:eastAsia="de-DE"/>
        </w:rPr>
        <w:lastRenderedPageBreak/>
        <w:t>instruments the interpretation of which must evolve with the passage of time and contemporary conditions.</w:t>
      </w:r>
      <w:r w:rsidR="00E70701" w:rsidRPr="00D869E3">
        <w:rPr>
          <w:rFonts w:ascii="Verdana" w:hAnsi="Verdana"/>
          <w:sz w:val="20"/>
          <w:szCs w:val="20"/>
          <w:lang w:val="en-US" w:eastAsia="de-DE"/>
        </w:rPr>
        <w:t xml:space="preserve"> </w:t>
      </w:r>
      <w:r w:rsidRPr="00D869E3">
        <w:rPr>
          <w:rFonts w:ascii="Verdana" w:hAnsi="Verdana"/>
          <w:sz w:val="20"/>
          <w:szCs w:val="20"/>
          <w:lang w:val="en-US" w:eastAsia="de-DE"/>
        </w:rPr>
        <w:t>It has also asserted that this evolutive interpretation is consequent with the general rules of interpretation established in Article 29 of the American Convention, and in the Vienna Convention on the Law of Treaties.</w:t>
      </w:r>
      <w:r w:rsidRPr="00D869E3">
        <w:rPr>
          <w:rFonts w:ascii="Verdana" w:hAnsi="Verdana"/>
          <w:sz w:val="20"/>
          <w:szCs w:val="20"/>
          <w:vertAlign w:val="superscript"/>
          <w:lang w:val="en-US" w:eastAsia="de-DE"/>
        </w:rPr>
        <w:footnoteReference w:id="465"/>
      </w:r>
      <w:r w:rsidRPr="00D869E3">
        <w:rPr>
          <w:rFonts w:ascii="Verdana" w:hAnsi="Verdana"/>
          <w:sz w:val="20"/>
          <w:szCs w:val="20"/>
          <w:lang w:val="en-US" w:eastAsia="de-DE"/>
        </w:rPr>
        <w:t xml:space="preserve"> In this regard, “evolutive interpretation” may be understood as the determination and construction of the meaning of the norms derived from treaty-based precepts that, originally, were not in the intention of the countries that took part in drafting them, but which, </w:t>
      </w:r>
      <w:r w:rsidR="00121DDF" w:rsidRPr="00D869E3">
        <w:rPr>
          <w:rFonts w:ascii="Verdana" w:hAnsi="Verdana"/>
          <w:sz w:val="20"/>
          <w:szCs w:val="20"/>
          <w:lang w:val="en-US" w:eastAsia="de-DE"/>
        </w:rPr>
        <w:t xml:space="preserve">today, owing to changes in </w:t>
      </w:r>
      <w:r w:rsidR="00ED1CBD" w:rsidRPr="00D869E3">
        <w:rPr>
          <w:rFonts w:ascii="Verdana" w:hAnsi="Verdana"/>
          <w:sz w:val="20"/>
          <w:szCs w:val="20"/>
          <w:lang w:val="en-US" w:eastAsia="de-DE"/>
        </w:rPr>
        <w:t xml:space="preserve">the </w:t>
      </w:r>
      <w:r w:rsidR="00121DDF" w:rsidRPr="00D869E3">
        <w:rPr>
          <w:rFonts w:ascii="Verdana" w:hAnsi="Verdana"/>
          <w:sz w:val="20"/>
          <w:szCs w:val="20"/>
          <w:lang w:val="en-US" w:eastAsia="de-DE"/>
        </w:rPr>
        <w:t>social and political reality, have become very relevant. The original text of treaties w</w:t>
      </w:r>
      <w:r w:rsidR="00ED1CBD" w:rsidRPr="00D869E3">
        <w:rPr>
          <w:rFonts w:ascii="Verdana" w:hAnsi="Verdana"/>
          <w:sz w:val="20"/>
          <w:szCs w:val="20"/>
          <w:lang w:val="en-US" w:eastAsia="de-DE"/>
        </w:rPr>
        <w:t>as</w:t>
      </w:r>
      <w:r w:rsidR="00121DDF" w:rsidRPr="00D869E3">
        <w:rPr>
          <w:rFonts w:ascii="Verdana" w:hAnsi="Verdana"/>
          <w:sz w:val="20"/>
          <w:szCs w:val="20"/>
          <w:lang w:val="en-US" w:eastAsia="de-DE"/>
        </w:rPr>
        <w:t xml:space="preserve"> not </w:t>
      </w:r>
      <w:r w:rsidR="00ED1CBD" w:rsidRPr="00D869E3">
        <w:rPr>
          <w:rFonts w:ascii="Verdana" w:hAnsi="Verdana"/>
          <w:sz w:val="20"/>
          <w:szCs w:val="20"/>
          <w:lang w:val="en-US" w:eastAsia="de-DE"/>
        </w:rPr>
        <w:t>drafted</w:t>
      </w:r>
      <w:r w:rsidR="00121DDF" w:rsidRPr="00D869E3">
        <w:rPr>
          <w:rFonts w:ascii="Verdana" w:hAnsi="Verdana"/>
          <w:sz w:val="20"/>
          <w:szCs w:val="20"/>
          <w:lang w:val="en-US" w:eastAsia="de-DE"/>
        </w:rPr>
        <w:t xml:space="preserve"> taking into account facts and circumstances that, nowadays, fall within treaty-based circumstances. </w:t>
      </w:r>
    </w:p>
    <w:p w14:paraId="0CC605EC" w14:textId="77777777" w:rsidR="00E70701" w:rsidRPr="00D869E3" w:rsidRDefault="00E70701" w:rsidP="00C44F79">
      <w:pPr>
        <w:jc w:val="both"/>
        <w:rPr>
          <w:rFonts w:ascii="Verdana" w:hAnsi="Verdana" w:cs="Arial"/>
          <w:sz w:val="20"/>
          <w:szCs w:val="20"/>
          <w:lang w:val="en-US"/>
        </w:rPr>
      </w:pPr>
    </w:p>
    <w:p w14:paraId="23DDE8F5" w14:textId="3DE21DB2" w:rsidR="00E70701" w:rsidRPr="00D869E3" w:rsidRDefault="00121DDF" w:rsidP="00121DDF">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Accordingly, this method of interpretation plays an important role</w:t>
      </w:r>
      <w:r w:rsidR="00ED1CBD" w:rsidRPr="00D869E3">
        <w:rPr>
          <w:rFonts w:ascii="Verdana" w:hAnsi="Verdana" w:cs="Arial"/>
          <w:sz w:val="20"/>
          <w:szCs w:val="20"/>
          <w:lang w:val="en-US"/>
        </w:rPr>
        <w:t xml:space="preserve">, which </w:t>
      </w:r>
      <w:r w:rsidRPr="00D869E3">
        <w:rPr>
          <w:rFonts w:ascii="Verdana" w:hAnsi="Verdana" w:cs="Arial"/>
          <w:sz w:val="20"/>
          <w:szCs w:val="20"/>
          <w:lang w:val="en-US"/>
        </w:rPr>
        <w:t xml:space="preserve">is to update the treaty-based standards to the needs of the new times. Despite this, another of the </w:t>
      </w:r>
      <w:r w:rsidR="00ED1CBD" w:rsidRPr="00D869E3">
        <w:rPr>
          <w:rFonts w:ascii="Verdana" w:hAnsi="Verdana" w:cs="Arial"/>
          <w:sz w:val="20"/>
          <w:szCs w:val="20"/>
          <w:lang w:val="en-US"/>
        </w:rPr>
        <w:t xml:space="preserve">flaws </w:t>
      </w:r>
      <w:r w:rsidRPr="00D869E3">
        <w:rPr>
          <w:rFonts w:ascii="Verdana" w:hAnsi="Verdana" w:cs="Arial"/>
          <w:sz w:val="20"/>
          <w:szCs w:val="20"/>
          <w:lang w:val="en-US"/>
        </w:rPr>
        <w:t xml:space="preserve">in the judgment lies in the use of “evolutive interpretation” to camouflage a “treaty </w:t>
      </w:r>
      <w:r w:rsidR="003C06FD" w:rsidRPr="00D869E3">
        <w:rPr>
          <w:rFonts w:ascii="Verdana" w:hAnsi="Verdana" w:cs="Arial"/>
          <w:sz w:val="20"/>
          <w:szCs w:val="20"/>
          <w:lang w:val="en-US"/>
        </w:rPr>
        <w:t>modificatio</w:t>
      </w:r>
      <w:r w:rsidRPr="00D869E3">
        <w:rPr>
          <w:rFonts w:ascii="Verdana" w:hAnsi="Verdana" w:cs="Arial"/>
          <w:sz w:val="20"/>
          <w:szCs w:val="20"/>
          <w:lang w:val="en-US"/>
        </w:rPr>
        <w:t xml:space="preserve">n.” This type of modification </w:t>
      </w:r>
      <w:r w:rsidR="00ED1CBD" w:rsidRPr="00D869E3">
        <w:rPr>
          <w:rFonts w:ascii="Verdana" w:hAnsi="Verdana" w:cs="Arial"/>
          <w:sz w:val="20"/>
          <w:szCs w:val="20"/>
          <w:lang w:val="en-US"/>
        </w:rPr>
        <w:t>involves</w:t>
      </w:r>
      <w:r w:rsidRPr="00D869E3">
        <w:rPr>
          <w:rFonts w:ascii="Verdana" w:hAnsi="Verdana" w:cs="Arial"/>
          <w:sz w:val="20"/>
          <w:szCs w:val="20"/>
          <w:lang w:val="en-US"/>
        </w:rPr>
        <w:t xml:space="preserve"> a substantial change in the text of the American Convention, by “interpretations” that are contrary to the wording of the Convention’s text. Thus, with the pr</w:t>
      </w:r>
      <w:r w:rsidR="003C06FD" w:rsidRPr="00D869E3">
        <w:rPr>
          <w:rFonts w:ascii="Verdana" w:hAnsi="Verdana" w:cs="Arial"/>
          <w:sz w:val="20"/>
          <w:szCs w:val="20"/>
          <w:lang w:val="en-US"/>
        </w:rPr>
        <w:t>e</w:t>
      </w:r>
      <w:r w:rsidRPr="00D869E3">
        <w:rPr>
          <w:rFonts w:ascii="Verdana" w:hAnsi="Verdana" w:cs="Arial"/>
          <w:sz w:val="20"/>
          <w:szCs w:val="20"/>
          <w:lang w:val="en-US"/>
        </w:rPr>
        <w:t xml:space="preserve">text of interpreting the Convention, </w:t>
      </w:r>
      <w:r w:rsidR="00ED1CBD" w:rsidRPr="00D869E3">
        <w:rPr>
          <w:rFonts w:ascii="Verdana" w:hAnsi="Verdana" w:cs="Arial"/>
          <w:sz w:val="20"/>
          <w:szCs w:val="20"/>
          <w:lang w:val="en-US"/>
        </w:rPr>
        <w:t>a situation is created</w:t>
      </w:r>
      <w:r w:rsidRPr="00D869E3">
        <w:rPr>
          <w:rFonts w:ascii="Verdana" w:hAnsi="Verdana" w:cs="Arial"/>
          <w:sz w:val="20"/>
          <w:szCs w:val="20"/>
          <w:lang w:val="en-US"/>
        </w:rPr>
        <w:t xml:space="preserve"> that </w:t>
      </w:r>
      <w:r w:rsidR="00ED1CBD" w:rsidRPr="00D869E3">
        <w:rPr>
          <w:rFonts w:ascii="Verdana" w:hAnsi="Verdana" w:cs="Arial"/>
          <w:sz w:val="20"/>
          <w:szCs w:val="20"/>
          <w:lang w:val="en-US"/>
        </w:rPr>
        <w:t>is</w:t>
      </w:r>
      <w:r w:rsidRPr="00D869E3">
        <w:rPr>
          <w:rFonts w:ascii="Verdana" w:hAnsi="Verdana" w:cs="Arial"/>
          <w:sz w:val="20"/>
          <w:szCs w:val="20"/>
          <w:lang w:val="en-US"/>
        </w:rPr>
        <w:t xml:space="preserve"> contrary to the text or to </w:t>
      </w:r>
      <w:r w:rsidR="003C06FD" w:rsidRPr="00D869E3">
        <w:rPr>
          <w:rFonts w:ascii="Verdana" w:hAnsi="Verdana" w:cs="Arial"/>
          <w:sz w:val="20"/>
          <w:szCs w:val="20"/>
          <w:lang w:val="en-US"/>
        </w:rPr>
        <w:t>an</w:t>
      </w:r>
      <w:r w:rsidRPr="00D869E3">
        <w:rPr>
          <w:rFonts w:ascii="Verdana" w:hAnsi="Verdana" w:cs="Arial"/>
          <w:sz w:val="20"/>
          <w:szCs w:val="20"/>
          <w:lang w:val="en-US"/>
        </w:rPr>
        <w:t xml:space="preserve"> interpretation in keeping with this instrument.</w:t>
      </w:r>
      <w:r w:rsidR="003C06FD" w:rsidRPr="00D869E3">
        <w:rPr>
          <w:rFonts w:ascii="Verdana" w:hAnsi="Verdana" w:cs="Arial"/>
          <w:sz w:val="20"/>
          <w:szCs w:val="20"/>
          <w:lang w:val="en-US"/>
        </w:rPr>
        <w:t xml:space="preserve"> </w:t>
      </w:r>
      <w:r w:rsidR="00B10EA1" w:rsidRPr="00D869E3">
        <w:rPr>
          <w:rFonts w:ascii="Verdana" w:hAnsi="Verdana" w:cs="Arial"/>
          <w:sz w:val="20"/>
          <w:szCs w:val="20"/>
          <w:lang w:val="en-US"/>
        </w:rPr>
        <w:t>Treaty</w:t>
      </w:r>
      <w:r w:rsidR="003C06FD" w:rsidRPr="00D869E3">
        <w:rPr>
          <w:rFonts w:ascii="Verdana" w:hAnsi="Verdana" w:cs="Arial"/>
          <w:sz w:val="20"/>
          <w:szCs w:val="20"/>
          <w:lang w:val="en-US"/>
        </w:rPr>
        <w:t xml:space="preserve"> modification</w:t>
      </w:r>
      <w:r w:rsidR="00B10EA1" w:rsidRPr="00D869E3">
        <w:rPr>
          <w:rFonts w:ascii="Verdana" w:hAnsi="Verdana" w:cs="Arial"/>
          <w:sz w:val="20"/>
          <w:szCs w:val="20"/>
          <w:lang w:val="en-US"/>
        </w:rPr>
        <w:t xml:space="preserve"> </w:t>
      </w:r>
      <w:r w:rsidR="003C06FD" w:rsidRPr="00D869E3">
        <w:rPr>
          <w:rFonts w:ascii="Verdana" w:hAnsi="Verdana" w:cs="Arial"/>
          <w:sz w:val="20"/>
          <w:szCs w:val="20"/>
          <w:lang w:val="en-US"/>
        </w:rPr>
        <w:t>obeys the same logic as the mechanism that constitutional doctrine calls constitutional</w:t>
      </w:r>
      <w:r w:rsidR="00ED1CBD" w:rsidRPr="00D869E3">
        <w:rPr>
          <w:rFonts w:ascii="Verdana" w:hAnsi="Verdana" w:cs="Arial"/>
          <w:sz w:val="20"/>
          <w:szCs w:val="20"/>
          <w:lang w:val="en-US"/>
        </w:rPr>
        <w:t xml:space="preserve"> </w:t>
      </w:r>
      <w:r w:rsidR="003C06FD" w:rsidRPr="00D869E3">
        <w:rPr>
          <w:rFonts w:ascii="Verdana" w:hAnsi="Verdana" w:cs="Arial"/>
          <w:sz w:val="20"/>
          <w:szCs w:val="20"/>
          <w:lang w:val="en-US"/>
        </w:rPr>
        <w:t>mutation.</w:t>
      </w:r>
      <w:r w:rsidR="00E70701" w:rsidRPr="00D869E3">
        <w:rPr>
          <w:rStyle w:val="Refdenotaalpie"/>
          <w:rFonts w:cs="Arial"/>
          <w:szCs w:val="20"/>
          <w:lang w:val="en-US"/>
        </w:rPr>
        <w:footnoteReference w:id="466"/>
      </w:r>
    </w:p>
    <w:p w14:paraId="133EB7A7" w14:textId="77777777" w:rsidR="00E70701" w:rsidRPr="00D869E3" w:rsidRDefault="00E70701" w:rsidP="00C44F79">
      <w:pPr>
        <w:jc w:val="both"/>
        <w:rPr>
          <w:rFonts w:ascii="Verdana" w:hAnsi="Verdana" w:cs="Arial"/>
          <w:sz w:val="20"/>
          <w:szCs w:val="20"/>
          <w:lang w:val="en-US"/>
        </w:rPr>
      </w:pPr>
    </w:p>
    <w:p w14:paraId="0705C72D" w14:textId="5957E33B" w:rsidR="003C06FD" w:rsidRPr="00D869E3" w:rsidRDefault="00075E68" w:rsidP="003C06FD">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In this regard</w:t>
      </w:r>
      <w:r w:rsidR="00E70701" w:rsidRPr="00D869E3">
        <w:rPr>
          <w:rFonts w:ascii="Verdana" w:hAnsi="Verdana" w:cs="Arial"/>
          <w:sz w:val="20"/>
          <w:szCs w:val="20"/>
          <w:lang w:val="en-US"/>
        </w:rPr>
        <w:t xml:space="preserve">, </w:t>
      </w:r>
      <w:r w:rsidR="00B10EA1" w:rsidRPr="00D869E3">
        <w:rPr>
          <w:rFonts w:ascii="Verdana" w:hAnsi="Verdana" w:cs="Arial"/>
          <w:sz w:val="20"/>
          <w:szCs w:val="20"/>
          <w:lang w:val="en-US"/>
        </w:rPr>
        <w:t>it has</w:t>
      </w:r>
      <w:r w:rsidR="003C06FD" w:rsidRPr="00D869E3">
        <w:rPr>
          <w:rFonts w:ascii="Verdana" w:hAnsi="Verdana" w:cs="Arial"/>
          <w:sz w:val="20"/>
          <w:szCs w:val="20"/>
          <w:lang w:val="en-US"/>
        </w:rPr>
        <w:t xml:space="preserve"> already </w:t>
      </w:r>
      <w:r w:rsidR="00B10EA1" w:rsidRPr="00D869E3">
        <w:rPr>
          <w:rFonts w:ascii="Verdana" w:hAnsi="Verdana" w:cs="Arial"/>
          <w:sz w:val="20"/>
          <w:szCs w:val="20"/>
          <w:lang w:val="en-US"/>
        </w:rPr>
        <w:t xml:space="preserve">been </w:t>
      </w:r>
      <w:r w:rsidR="003C06FD" w:rsidRPr="00D869E3">
        <w:rPr>
          <w:rFonts w:ascii="Verdana" w:hAnsi="Verdana" w:cs="Arial"/>
          <w:sz w:val="20"/>
          <w:szCs w:val="20"/>
          <w:lang w:val="en-US"/>
        </w:rPr>
        <w:t>established that when all interpretation methods are used, the conclusion is reached that an extensive interpretation of Article 26 of the American Convention cannot derogate what the State</w:t>
      </w:r>
      <w:r w:rsidR="00B10EA1" w:rsidRPr="00D869E3">
        <w:rPr>
          <w:rFonts w:ascii="Verdana" w:hAnsi="Verdana" w:cs="Arial"/>
          <w:sz w:val="20"/>
          <w:szCs w:val="20"/>
          <w:lang w:val="en-US"/>
        </w:rPr>
        <w:t>s</w:t>
      </w:r>
      <w:r w:rsidR="003C06FD" w:rsidRPr="00D869E3">
        <w:rPr>
          <w:rFonts w:ascii="Verdana" w:hAnsi="Verdana" w:cs="Arial"/>
          <w:sz w:val="20"/>
          <w:szCs w:val="20"/>
          <w:lang w:val="en-US"/>
        </w:rPr>
        <w:t xml:space="preserve"> sovereignly decided when they signed and ratified </w:t>
      </w:r>
      <w:r w:rsidR="00B235CB" w:rsidRPr="00D869E3">
        <w:rPr>
          <w:rFonts w:ascii="Verdana" w:hAnsi="Verdana" w:cs="Arial"/>
          <w:sz w:val="20"/>
          <w:szCs w:val="20"/>
          <w:lang w:val="en-US"/>
        </w:rPr>
        <w:t>the Protocol of San</w:t>
      </w:r>
      <w:r w:rsidR="00E70701" w:rsidRPr="00D869E3">
        <w:rPr>
          <w:rFonts w:ascii="Verdana" w:hAnsi="Verdana" w:cs="Arial"/>
          <w:sz w:val="20"/>
          <w:szCs w:val="20"/>
          <w:lang w:val="en-US"/>
        </w:rPr>
        <w:t xml:space="preserve"> Salvador. </w:t>
      </w:r>
      <w:r w:rsidR="003C06FD" w:rsidRPr="00D869E3">
        <w:rPr>
          <w:rFonts w:ascii="Verdana" w:hAnsi="Verdana" w:cs="Arial"/>
          <w:sz w:val="20"/>
          <w:szCs w:val="20"/>
          <w:lang w:val="en-US"/>
        </w:rPr>
        <w:t xml:space="preserve">Thus, I can affirm without fear of contradiction that, in this judgment, the Court did not make an evolutive interpretation, because evolution cannot </w:t>
      </w:r>
      <w:r w:rsidR="00B10EA1" w:rsidRPr="00D869E3">
        <w:rPr>
          <w:rFonts w:ascii="Verdana" w:hAnsi="Verdana" w:cs="Arial"/>
          <w:sz w:val="20"/>
          <w:szCs w:val="20"/>
          <w:lang w:val="en-US"/>
        </w:rPr>
        <w:t>lead the Court to</w:t>
      </w:r>
      <w:r w:rsidR="003C06FD" w:rsidRPr="00D869E3">
        <w:rPr>
          <w:rFonts w:ascii="Verdana" w:hAnsi="Verdana" w:cs="Arial"/>
          <w:sz w:val="20"/>
          <w:szCs w:val="20"/>
          <w:lang w:val="en-US"/>
        </w:rPr>
        <w:t xml:space="preserve"> </w:t>
      </w:r>
      <w:r w:rsidR="00B10EA1" w:rsidRPr="00D869E3">
        <w:rPr>
          <w:rFonts w:ascii="Verdana" w:hAnsi="Verdana" w:cs="Arial"/>
          <w:sz w:val="20"/>
          <w:szCs w:val="20"/>
          <w:lang w:val="en-US"/>
        </w:rPr>
        <w:t xml:space="preserve">contravene </w:t>
      </w:r>
      <w:r w:rsidR="003C06FD" w:rsidRPr="00D869E3">
        <w:rPr>
          <w:rFonts w:ascii="Verdana" w:hAnsi="Verdana" w:cs="Arial"/>
          <w:sz w:val="20"/>
          <w:szCs w:val="20"/>
          <w:lang w:val="en-US"/>
        </w:rPr>
        <w:t xml:space="preserve">the Convention. </w:t>
      </w:r>
      <w:r w:rsidR="003D0046" w:rsidRPr="00D869E3">
        <w:rPr>
          <w:rFonts w:ascii="Verdana" w:hAnsi="Verdana" w:cs="Arial"/>
          <w:sz w:val="20"/>
          <w:szCs w:val="20"/>
          <w:lang w:val="en-US"/>
        </w:rPr>
        <w:t>It is one thing to decide innovative matters that were not anticipated by the creators of the norm, and quite another to change the</w:t>
      </w:r>
      <w:r w:rsidR="00B10EA1" w:rsidRPr="00D869E3">
        <w:rPr>
          <w:rFonts w:ascii="Verdana" w:hAnsi="Verdana" w:cs="Arial"/>
          <w:sz w:val="20"/>
          <w:szCs w:val="20"/>
          <w:lang w:val="en-US"/>
        </w:rPr>
        <w:t xml:space="preserve"> norm</w:t>
      </w:r>
      <w:r w:rsidR="003D0046" w:rsidRPr="00D869E3">
        <w:rPr>
          <w:rFonts w:ascii="Verdana" w:hAnsi="Verdana" w:cs="Arial"/>
          <w:sz w:val="20"/>
          <w:szCs w:val="20"/>
          <w:lang w:val="en-US"/>
        </w:rPr>
        <w:t>.</w:t>
      </w:r>
    </w:p>
    <w:p w14:paraId="059308E8" w14:textId="77777777" w:rsidR="00E70701" w:rsidRPr="00D869E3" w:rsidRDefault="00E70701" w:rsidP="00C44F79">
      <w:pPr>
        <w:jc w:val="both"/>
        <w:rPr>
          <w:rFonts w:ascii="Verdana" w:hAnsi="Verdana" w:cs="Arial"/>
          <w:sz w:val="20"/>
          <w:szCs w:val="20"/>
          <w:lang w:val="en-US"/>
        </w:rPr>
      </w:pPr>
    </w:p>
    <w:p w14:paraId="74C96DFE" w14:textId="6648FFD2" w:rsidR="00E70701" w:rsidRPr="00D869E3" w:rsidRDefault="00FC5579" w:rsidP="00E70701">
      <w:pPr>
        <w:pStyle w:val="Prrafodelista"/>
        <w:numPr>
          <w:ilvl w:val="0"/>
          <w:numId w:val="39"/>
        </w:numPr>
        <w:jc w:val="both"/>
        <w:rPr>
          <w:rFonts w:ascii="Verdana" w:hAnsi="Verdana" w:cs="Arial"/>
          <w:b/>
          <w:sz w:val="20"/>
          <w:szCs w:val="20"/>
          <w:lang w:val="en-US"/>
        </w:rPr>
      </w:pPr>
      <w:r w:rsidRPr="00D869E3">
        <w:rPr>
          <w:rFonts w:ascii="Verdana" w:hAnsi="Verdana" w:cs="Arial"/>
          <w:b/>
          <w:sz w:val="20"/>
          <w:szCs w:val="20"/>
          <w:lang w:val="en-US"/>
        </w:rPr>
        <w:t>C</w:t>
      </w:r>
      <w:r w:rsidR="00E70701" w:rsidRPr="00D869E3">
        <w:rPr>
          <w:rFonts w:ascii="Verdana" w:hAnsi="Verdana" w:cs="Arial"/>
          <w:b/>
          <w:sz w:val="20"/>
          <w:szCs w:val="20"/>
          <w:lang w:val="en-US"/>
        </w:rPr>
        <w:t>onfusi</w:t>
      </w:r>
      <w:r w:rsidRPr="00D869E3">
        <w:rPr>
          <w:rFonts w:ascii="Verdana" w:hAnsi="Verdana" w:cs="Arial"/>
          <w:b/>
          <w:sz w:val="20"/>
          <w:szCs w:val="20"/>
          <w:lang w:val="en-US"/>
        </w:rPr>
        <w:t>o</w:t>
      </w:r>
      <w:r w:rsidR="00E70701" w:rsidRPr="00D869E3">
        <w:rPr>
          <w:rFonts w:ascii="Verdana" w:hAnsi="Verdana" w:cs="Arial"/>
          <w:b/>
          <w:sz w:val="20"/>
          <w:szCs w:val="20"/>
          <w:lang w:val="en-US"/>
        </w:rPr>
        <w:t>n</w:t>
      </w:r>
      <w:r w:rsidRPr="00D869E3">
        <w:rPr>
          <w:rFonts w:ascii="Verdana" w:hAnsi="Verdana" w:cs="Arial"/>
          <w:b/>
          <w:sz w:val="20"/>
          <w:szCs w:val="20"/>
          <w:lang w:val="en-US"/>
        </w:rPr>
        <w:t xml:space="preserve"> between the existence of the right and </w:t>
      </w:r>
      <w:r w:rsidR="00671B14" w:rsidRPr="00D869E3">
        <w:rPr>
          <w:rFonts w:ascii="Verdana" w:hAnsi="Verdana" w:cs="Arial"/>
          <w:b/>
          <w:sz w:val="20"/>
          <w:szCs w:val="20"/>
          <w:lang w:val="en-US"/>
        </w:rPr>
        <w:t>the Inter-American Court</w:t>
      </w:r>
      <w:r w:rsidR="003D0046" w:rsidRPr="00D869E3">
        <w:rPr>
          <w:rFonts w:ascii="Verdana" w:hAnsi="Verdana" w:cs="Arial"/>
          <w:b/>
          <w:sz w:val="20"/>
          <w:szCs w:val="20"/>
          <w:lang w:val="en-US"/>
        </w:rPr>
        <w:t>’s jurisdiction</w:t>
      </w:r>
    </w:p>
    <w:p w14:paraId="6E8D8E93" w14:textId="77777777" w:rsidR="00E70701" w:rsidRPr="00D869E3" w:rsidRDefault="00E70701" w:rsidP="00C44F79">
      <w:pPr>
        <w:pStyle w:val="Prrafodelista"/>
        <w:jc w:val="both"/>
        <w:rPr>
          <w:rFonts w:ascii="Verdana" w:hAnsi="Verdana" w:cs="Arial"/>
          <w:b/>
          <w:sz w:val="20"/>
          <w:szCs w:val="20"/>
          <w:lang w:val="en-US"/>
        </w:rPr>
      </w:pPr>
    </w:p>
    <w:p w14:paraId="1DB9E3EA" w14:textId="5E9D2550" w:rsidR="003D0046" w:rsidRPr="00D869E3" w:rsidRDefault="003D0046"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Third, the judgment does not address the problem of jurisdiction, because it focuses its arguments on proving the existence of the right to work or to job security, but makes no mention of Article 19 of the Protocol of San Salvador. The only mention of jurisdiction is made at the end of the analysis of the arguments in paragraph 154 of the judgment in which</w:t>
      </w:r>
      <w:r w:rsidR="00CF146F" w:rsidRPr="00D869E3">
        <w:rPr>
          <w:rFonts w:ascii="Verdana" w:hAnsi="Verdana" w:cs="Arial"/>
          <w:sz w:val="20"/>
          <w:szCs w:val="20"/>
          <w:lang w:val="en-US"/>
        </w:rPr>
        <w:t>,</w:t>
      </w:r>
      <w:r w:rsidRPr="00D869E3">
        <w:rPr>
          <w:rFonts w:ascii="Verdana" w:hAnsi="Verdana" w:cs="Arial"/>
          <w:sz w:val="20"/>
          <w:szCs w:val="20"/>
          <w:lang w:val="en-US"/>
        </w:rPr>
        <w:t xml:space="preserve"> once again</w:t>
      </w:r>
      <w:r w:rsidR="00CF146F" w:rsidRPr="00D869E3">
        <w:rPr>
          <w:rFonts w:ascii="Verdana" w:hAnsi="Verdana" w:cs="Arial"/>
          <w:sz w:val="20"/>
          <w:szCs w:val="20"/>
          <w:lang w:val="en-US"/>
        </w:rPr>
        <w:t>,</w:t>
      </w:r>
      <w:r w:rsidRPr="00D869E3">
        <w:rPr>
          <w:rFonts w:ascii="Verdana" w:hAnsi="Verdana" w:cs="Arial"/>
          <w:sz w:val="20"/>
          <w:szCs w:val="20"/>
          <w:lang w:val="en-US"/>
        </w:rPr>
        <w:t xml:space="preserve"> the Court tries to say that the discussion concerning the </w:t>
      </w:r>
      <w:r w:rsidR="00CF146F" w:rsidRPr="00D869E3">
        <w:rPr>
          <w:rFonts w:ascii="Verdana" w:hAnsi="Verdana" w:cs="Arial"/>
          <w:sz w:val="20"/>
          <w:szCs w:val="20"/>
          <w:lang w:val="en-US"/>
        </w:rPr>
        <w:t xml:space="preserve">its </w:t>
      </w:r>
      <w:r w:rsidRPr="00D869E3">
        <w:rPr>
          <w:rFonts w:ascii="Verdana" w:hAnsi="Verdana" w:cs="Arial"/>
          <w:sz w:val="20"/>
          <w:szCs w:val="20"/>
          <w:lang w:val="en-US"/>
        </w:rPr>
        <w:t xml:space="preserve">jurisdiction had already been settled in the case of </w:t>
      </w:r>
      <w:r w:rsidRPr="00D869E3">
        <w:rPr>
          <w:rFonts w:ascii="Verdana" w:hAnsi="Verdana" w:cs="Arial"/>
          <w:i/>
          <w:sz w:val="20"/>
          <w:szCs w:val="20"/>
          <w:lang w:val="en-US"/>
        </w:rPr>
        <w:t xml:space="preserve">Acevedo Buendía </w:t>
      </w:r>
      <w:r w:rsidRPr="00D869E3">
        <w:rPr>
          <w:rFonts w:ascii="Verdana" w:hAnsi="Verdana" w:cs="Arial"/>
          <w:iCs/>
          <w:sz w:val="20"/>
          <w:szCs w:val="20"/>
          <w:lang w:val="en-US"/>
        </w:rPr>
        <w:t>when, as explained above, this assertion is not true.</w:t>
      </w:r>
    </w:p>
    <w:p w14:paraId="687530FD" w14:textId="77777777" w:rsidR="00E70701" w:rsidRPr="00D869E3" w:rsidRDefault="00E70701" w:rsidP="00C44F79">
      <w:pPr>
        <w:pStyle w:val="Prrafodelista"/>
        <w:ind w:left="0"/>
        <w:jc w:val="both"/>
        <w:rPr>
          <w:rFonts w:ascii="Verdana" w:hAnsi="Verdana" w:cs="Arial"/>
          <w:sz w:val="20"/>
          <w:szCs w:val="20"/>
          <w:lang w:val="en-US"/>
        </w:rPr>
      </w:pPr>
    </w:p>
    <w:p w14:paraId="72E5420F" w14:textId="7CC6C182" w:rsidR="00E70701" w:rsidRPr="00D869E3" w:rsidRDefault="003D0046" w:rsidP="003D0046">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w:t>
      </w:r>
      <w:r w:rsidR="00E70701" w:rsidRPr="00D869E3">
        <w:rPr>
          <w:rFonts w:ascii="Verdana" w:hAnsi="Verdana" w:cs="Arial"/>
          <w:sz w:val="20"/>
          <w:szCs w:val="20"/>
          <w:lang w:val="en-US"/>
        </w:rPr>
        <w:t>n m</w:t>
      </w:r>
      <w:r w:rsidRPr="00D869E3">
        <w:rPr>
          <w:rFonts w:ascii="Verdana" w:hAnsi="Verdana" w:cs="Arial"/>
          <w:sz w:val="20"/>
          <w:szCs w:val="20"/>
          <w:lang w:val="en-US"/>
        </w:rPr>
        <w:t>y</w:t>
      </w:r>
      <w:r w:rsidR="00E70701" w:rsidRPr="00D869E3">
        <w:rPr>
          <w:rFonts w:ascii="Verdana" w:hAnsi="Verdana" w:cs="Arial"/>
          <w:sz w:val="20"/>
          <w:szCs w:val="20"/>
          <w:lang w:val="en-US"/>
        </w:rPr>
        <w:t xml:space="preserve"> opini</w:t>
      </w:r>
      <w:r w:rsidRPr="00D869E3">
        <w:rPr>
          <w:rFonts w:ascii="Verdana" w:hAnsi="Verdana" w:cs="Arial"/>
          <w:sz w:val="20"/>
          <w:szCs w:val="20"/>
          <w:lang w:val="en-US"/>
        </w:rPr>
        <w:t>o</w:t>
      </w:r>
      <w:r w:rsidR="00E70701" w:rsidRPr="00D869E3">
        <w:rPr>
          <w:rFonts w:ascii="Verdana" w:hAnsi="Verdana" w:cs="Arial"/>
          <w:sz w:val="20"/>
          <w:szCs w:val="20"/>
          <w:lang w:val="en-US"/>
        </w:rPr>
        <w:t xml:space="preserve">n, </w:t>
      </w:r>
      <w:r w:rsidRPr="00D869E3">
        <w:rPr>
          <w:rFonts w:ascii="Verdana" w:hAnsi="Verdana" w:cs="Arial"/>
          <w:sz w:val="20"/>
          <w:szCs w:val="20"/>
          <w:lang w:val="en-US"/>
        </w:rPr>
        <w:t xml:space="preserve">this confusion is based on the clear desire to rectify, at any cost, what “some” consider an error in </w:t>
      </w:r>
      <w:r w:rsidR="00916899" w:rsidRPr="00D869E3">
        <w:rPr>
          <w:rFonts w:ascii="Verdana" w:hAnsi="Verdana" w:cs="Arial"/>
          <w:sz w:val="20"/>
          <w:szCs w:val="20"/>
          <w:lang w:val="en-US"/>
        </w:rPr>
        <w:t>the Protocol of</w:t>
      </w:r>
      <w:r w:rsidR="00E70701" w:rsidRPr="00D869E3">
        <w:rPr>
          <w:rFonts w:ascii="Verdana" w:hAnsi="Verdana" w:cs="Arial"/>
          <w:sz w:val="20"/>
          <w:szCs w:val="20"/>
          <w:lang w:val="en-US"/>
        </w:rPr>
        <w:t xml:space="preserve"> San Salvador </w:t>
      </w:r>
      <w:r w:rsidRPr="00D869E3">
        <w:rPr>
          <w:rFonts w:ascii="Verdana" w:hAnsi="Verdana" w:cs="Arial"/>
          <w:sz w:val="20"/>
          <w:szCs w:val="20"/>
          <w:lang w:val="en-US"/>
        </w:rPr>
        <w:t>when it limits</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the justiciability 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ESCR</w:t>
      </w:r>
      <w:r w:rsidR="00E70701" w:rsidRPr="00D869E3">
        <w:rPr>
          <w:rFonts w:ascii="Verdana" w:hAnsi="Verdana" w:cs="Arial"/>
          <w:sz w:val="20"/>
          <w:szCs w:val="20"/>
          <w:lang w:val="en-US"/>
        </w:rPr>
        <w:t xml:space="preserve"> </w:t>
      </w:r>
      <w:r w:rsidRPr="00D869E3">
        <w:rPr>
          <w:rFonts w:ascii="Verdana" w:hAnsi="Verdana" w:cs="Arial"/>
          <w:sz w:val="20"/>
          <w:szCs w:val="20"/>
          <w:lang w:val="en-US"/>
        </w:rPr>
        <w:t>established therein</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In this understanding, I consider that it is necessary to make a distinction between the advantages derived from the </w:t>
      </w:r>
      <w:r w:rsidR="00F42CF0" w:rsidRPr="00D869E3">
        <w:rPr>
          <w:rFonts w:ascii="Verdana" w:hAnsi="Verdana" w:cs="Arial"/>
          <w:sz w:val="20"/>
          <w:szCs w:val="20"/>
          <w:lang w:val="en-US"/>
        </w:rPr>
        <w:t>justiciability of the</w:t>
      </w:r>
      <w:r w:rsidR="00E70701" w:rsidRPr="00D869E3">
        <w:rPr>
          <w:rFonts w:ascii="Verdana" w:hAnsi="Verdana" w:cs="Arial"/>
          <w:sz w:val="20"/>
          <w:szCs w:val="20"/>
          <w:lang w:val="en-US"/>
        </w:rPr>
        <w:t xml:space="preserve"> </w:t>
      </w:r>
      <w:r w:rsidR="00F42CF0" w:rsidRPr="00D869E3">
        <w:rPr>
          <w:rFonts w:ascii="Verdana" w:hAnsi="Verdana" w:cs="Arial"/>
          <w:sz w:val="20"/>
          <w:szCs w:val="20"/>
          <w:lang w:val="en-US"/>
        </w:rPr>
        <w:t>ESCR</w:t>
      </w:r>
      <w:r w:rsidR="00687684" w:rsidRPr="00D869E3">
        <w:rPr>
          <w:rFonts w:ascii="Verdana" w:hAnsi="Verdana" w:cs="Arial"/>
          <w:sz w:val="20"/>
          <w:szCs w:val="20"/>
          <w:lang w:val="en-US"/>
        </w:rPr>
        <w:t xml:space="preserve"> and </w:t>
      </w:r>
      <w:r w:rsidRPr="00D869E3">
        <w:rPr>
          <w:rFonts w:ascii="Verdana" w:hAnsi="Verdana" w:cs="Arial"/>
          <w:sz w:val="20"/>
          <w:szCs w:val="20"/>
          <w:lang w:val="en-US"/>
        </w:rPr>
        <w:t>the legal determination of the Court’s jurisdiction in this area.</w:t>
      </w:r>
    </w:p>
    <w:p w14:paraId="602425B8" w14:textId="77777777" w:rsidR="00E70701" w:rsidRPr="00D869E3" w:rsidRDefault="00E70701" w:rsidP="00C44F79">
      <w:pPr>
        <w:jc w:val="both"/>
        <w:rPr>
          <w:rFonts w:ascii="Verdana" w:hAnsi="Verdana" w:cs="Arial"/>
          <w:sz w:val="20"/>
          <w:szCs w:val="20"/>
          <w:lang w:val="en-US"/>
        </w:rPr>
      </w:pPr>
    </w:p>
    <w:p w14:paraId="4247F4F3" w14:textId="5E6E14CE" w:rsidR="00E70701" w:rsidRPr="00D869E3" w:rsidRDefault="003D0046" w:rsidP="0043442C">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As I have stated on other occasions,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has already </w:t>
      </w:r>
      <w:r w:rsidR="004252BA" w:rsidRPr="00D869E3">
        <w:rPr>
          <w:rFonts w:ascii="Verdana" w:hAnsi="Verdana" w:cs="Arial"/>
          <w:sz w:val="20"/>
          <w:szCs w:val="20"/>
          <w:lang w:val="en-US"/>
        </w:rPr>
        <w:t xml:space="preserve">taken indirect decisions with regard to </w:t>
      </w:r>
      <w:r w:rsidR="00F42CF0" w:rsidRPr="00D869E3">
        <w:rPr>
          <w:rFonts w:ascii="Verdana" w:hAnsi="Verdana" w:cs="Arial"/>
          <w:sz w:val="20"/>
          <w:szCs w:val="20"/>
          <w:lang w:val="en-US"/>
        </w:rPr>
        <w:t>ESCR</w:t>
      </w:r>
      <w:r w:rsidR="00E70701" w:rsidRPr="00D869E3">
        <w:rPr>
          <w:rFonts w:ascii="Verdana" w:hAnsi="Verdana" w:cs="Arial"/>
          <w:sz w:val="20"/>
          <w:szCs w:val="20"/>
          <w:lang w:val="en-US"/>
        </w:rPr>
        <w:t>, general</w:t>
      </w:r>
      <w:r w:rsidR="004252BA" w:rsidRPr="00D869E3">
        <w:rPr>
          <w:rFonts w:ascii="Verdana" w:hAnsi="Verdana" w:cs="Arial"/>
          <w:sz w:val="20"/>
          <w:szCs w:val="20"/>
          <w:lang w:val="en-US"/>
        </w:rPr>
        <w:t>ly by using connectivity, which is a less polemic methodology and, above all, more respectful of the intention of the States expressed i</w:t>
      </w:r>
      <w:r w:rsidR="00E70701" w:rsidRPr="00D869E3">
        <w:rPr>
          <w:rFonts w:ascii="Verdana" w:hAnsi="Verdana" w:cs="Arial"/>
          <w:sz w:val="20"/>
          <w:szCs w:val="20"/>
          <w:lang w:val="en-US"/>
        </w:rPr>
        <w:t xml:space="preserve">n </w:t>
      </w:r>
      <w:r w:rsidR="00447C65" w:rsidRPr="00D869E3">
        <w:rPr>
          <w:rFonts w:ascii="Verdana" w:hAnsi="Verdana" w:cs="Arial"/>
          <w:sz w:val="20"/>
          <w:szCs w:val="20"/>
          <w:lang w:val="en-US"/>
        </w:rPr>
        <w:t>the American Convention</w:t>
      </w:r>
      <w:r w:rsidR="00687684" w:rsidRPr="00D869E3">
        <w:rPr>
          <w:rFonts w:ascii="Verdana" w:hAnsi="Verdana" w:cs="Arial"/>
          <w:sz w:val="20"/>
          <w:szCs w:val="20"/>
          <w:lang w:val="en-US"/>
        </w:rPr>
        <w:t xml:space="preserve"> and </w:t>
      </w:r>
      <w:r w:rsidR="004252BA" w:rsidRPr="00D869E3">
        <w:rPr>
          <w:rFonts w:ascii="Verdana" w:hAnsi="Verdana" w:cs="Arial"/>
          <w:sz w:val="20"/>
          <w:szCs w:val="20"/>
          <w:lang w:val="en-US"/>
        </w:rPr>
        <w:t>in its</w:t>
      </w:r>
      <w:r w:rsidR="00E70701" w:rsidRPr="00D869E3">
        <w:rPr>
          <w:rFonts w:ascii="Verdana" w:hAnsi="Verdana" w:cs="Arial"/>
          <w:sz w:val="20"/>
          <w:szCs w:val="20"/>
          <w:lang w:val="en-US"/>
        </w:rPr>
        <w:t xml:space="preserve"> </w:t>
      </w:r>
      <w:r w:rsidR="000F0B45" w:rsidRPr="00D869E3">
        <w:rPr>
          <w:rFonts w:ascii="Verdana" w:hAnsi="Verdana" w:cs="Arial"/>
          <w:sz w:val="20"/>
          <w:szCs w:val="20"/>
          <w:lang w:val="en-US"/>
        </w:rPr>
        <w:t>Protocol</w:t>
      </w:r>
      <w:r w:rsidR="00E70701" w:rsidRPr="00D869E3">
        <w:rPr>
          <w:rFonts w:ascii="Verdana" w:hAnsi="Verdana" w:cs="Arial"/>
          <w:sz w:val="20"/>
          <w:szCs w:val="20"/>
          <w:lang w:val="en-US"/>
        </w:rPr>
        <w:t xml:space="preserve">. </w:t>
      </w:r>
      <w:r w:rsidR="004252BA" w:rsidRPr="00D869E3">
        <w:rPr>
          <w:rFonts w:ascii="Verdana" w:hAnsi="Verdana" w:cs="Arial"/>
          <w:sz w:val="20"/>
          <w:szCs w:val="20"/>
          <w:lang w:val="en-US"/>
        </w:rPr>
        <w:t xml:space="preserve">It should not be overlooked that any action above and beyond </w:t>
      </w:r>
      <w:r w:rsidR="00447C65" w:rsidRPr="00D869E3">
        <w:rPr>
          <w:rFonts w:ascii="Verdana" w:hAnsi="Verdana" w:cs="Arial"/>
          <w:sz w:val="20"/>
          <w:szCs w:val="20"/>
          <w:lang w:val="en-US"/>
        </w:rPr>
        <w:t>the American Convention</w:t>
      </w:r>
      <w:r w:rsidR="00E70701" w:rsidRPr="00D869E3">
        <w:rPr>
          <w:rFonts w:ascii="Verdana" w:hAnsi="Verdana" w:cs="Arial"/>
          <w:sz w:val="20"/>
          <w:szCs w:val="20"/>
          <w:lang w:val="en-US"/>
        </w:rPr>
        <w:t xml:space="preserve"> </w:t>
      </w:r>
      <w:r w:rsidR="004252BA" w:rsidRPr="00D869E3">
        <w:rPr>
          <w:rFonts w:ascii="Verdana" w:hAnsi="Verdana" w:cs="Arial"/>
          <w:sz w:val="20"/>
          <w:szCs w:val="20"/>
          <w:lang w:val="en-US"/>
        </w:rPr>
        <w:t xml:space="preserve">will be arbitrary even when it is based on good intentions. </w:t>
      </w:r>
    </w:p>
    <w:p w14:paraId="5064DA90" w14:textId="77777777" w:rsidR="004252BA" w:rsidRPr="00D869E3" w:rsidRDefault="004252BA" w:rsidP="004252BA">
      <w:pPr>
        <w:pStyle w:val="Prrafodelista"/>
        <w:ind w:left="0"/>
        <w:jc w:val="both"/>
        <w:rPr>
          <w:rFonts w:ascii="Verdana" w:hAnsi="Verdana" w:cs="Arial"/>
          <w:sz w:val="20"/>
          <w:szCs w:val="20"/>
          <w:lang w:val="en-US"/>
        </w:rPr>
      </w:pPr>
    </w:p>
    <w:p w14:paraId="5D8CE7D1" w14:textId="47DC3E05" w:rsidR="00E70701" w:rsidRPr="00D869E3" w:rsidRDefault="00E70701" w:rsidP="00E70701">
      <w:pPr>
        <w:pStyle w:val="Prrafodelista"/>
        <w:numPr>
          <w:ilvl w:val="0"/>
          <w:numId w:val="36"/>
        </w:numPr>
        <w:jc w:val="both"/>
        <w:rPr>
          <w:rFonts w:ascii="Verdana" w:hAnsi="Verdana" w:cs="Arial"/>
          <w:b/>
          <w:sz w:val="20"/>
          <w:szCs w:val="20"/>
          <w:lang w:val="en-US"/>
        </w:rPr>
      </w:pPr>
      <w:r w:rsidRPr="00D869E3">
        <w:rPr>
          <w:rFonts w:ascii="Verdana" w:hAnsi="Verdana" w:cs="Arial"/>
          <w:b/>
          <w:sz w:val="20"/>
          <w:szCs w:val="20"/>
          <w:lang w:val="en-US"/>
        </w:rPr>
        <w:t>GENERAL</w:t>
      </w:r>
      <w:r w:rsidR="00FC5579" w:rsidRPr="00D869E3">
        <w:rPr>
          <w:rFonts w:ascii="Verdana" w:hAnsi="Verdana" w:cs="Arial"/>
          <w:b/>
          <w:sz w:val="20"/>
          <w:szCs w:val="20"/>
          <w:lang w:val="en-US"/>
        </w:rPr>
        <w:t xml:space="preserve"> CONCLUSION</w:t>
      </w:r>
    </w:p>
    <w:p w14:paraId="01A61917" w14:textId="77777777" w:rsidR="00E70701" w:rsidRPr="00D869E3" w:rsidRDefault="00E70701" w:rsidP="00C44F79">
      <w:pPr>
        <w:jc w:val="both"/>
        <w:rPr>
          <w:rFonts w:ascii="Verdana" w:hAnsi="Verdana" w:cs="Arial"/>
          <w:sz w:val="20"/>
          <w:szCs w:val="20"/>
          <w:lang w:val="en-US"/>
        </w:rPr>
      </w:pPr>
    </w:p>
    <w:p w14:paraId="5C1D4ADD" w14:textId="3D4A7299" w:rsidR="00E70701" w:rsidRPr="00D869E3" w:rsidRDefault="004252BA" w:rsidP="004252BA">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In general, I consider that a judgment that declares the international responsibility of a State cannot </w:t>
      </w:r>
      <w:r w:rsidR="00B8078C" w:rsidRPr="00D869E3">
        <w:rPr>
          <w:rFonts w:ascii="Verdana" w:hAnsi="Verdana" w:cs="Arial"/>
          <w:sz w:val="20"/>
          <w:szCs w:val="20"/>
          <w:lang w:val="en-US"/>
        </w:rPr>
        <w:t>include</w:t>
      </w:r>
      <w:r w:rsidRPr="00D869E3">
        <w:rPr>
          <w:rFonts w:ascii="Verdana" w:hAnsi="Verdana" w:cs="Arial"/>
          <w:sz w:val="20"/>
          <w:szCs w:val="20"/>
          <w:lang w:val="en-US"/>
        </w:rPr>
        <w:t xml:space="preserve"> </w:t>
      </w:r>
      <w:r w:rsidR="00794206" w:rsidRPr="00D869E3">
        <w:rPr>
          <w:rFonts w:ascii="Verdana" w:hAnsi="Verdana" w:cs="Arial"/>
          <w:sz w:val="20"/>
          <w:szCs w:val="20"/>
          <w:lang w:val="en-US"/>
        </w:rPr>
        <w:t>flaws</w:t>
      </w:r>
      <w:r w:rsidRPr="00D869E3">
        <w:rPr>
          <w:rFonts w:ascii="Verdana" w:hAnsi="Verdana" w:cs="Arial"/>
          <w:sz w:val="20"/>
          <w:szCs w:val="20"/>
          <w:lang w:val="en-US"/>
        </w:rPr>
        <w:t xml:space="preserve"> in its arguments of the magnitude described above. If the Court wishes to </w:t>
      </w:r>
      <w:r w:rsidR="00A43B46" w:rsidRPr="00D869E3">
        <w:rPr>
          <w:rFonts w:ascii="Verdana" w:hAnsi="Verdana" w:cs="Arial"/>
          <w:sz w:val="20"/>
          <w:szCs w:val="20"/>
          <w:lang w:val="en-US"/>
        </w:rPr>
        <w:t xml:space="preserve">hold the domestic courts to </w:t>
      </w:r>
      <w:r w:rsidRPr="00D869E3">
        <w:rPr>
          <w:rFonts w:ascii="Verdana" w:hAnsi="Verdana" w:cs="Arial"/>
          <w:sz w:val="20"/>
          <w:szCs w:val="20"/>
          <w:lang w:val="en-US"/>
        </w:rPr>
        <w:t>such a high standard</w:t>
      </w:r>
      <w:r w:rsidR="00A43B46" w:rsidRPr="00D869E3">
        <w:rPr>
          <w:rFonts w:ascii="Verdana" w:hAnsi="Verdana" w:cs="Arial"/>
          <w:sz w:val="20"/>
          <w:szCs w:val="20"/>
          <w:lang w:val="en-US"/>
        </w:rPr>
        <w:t xml:space="preserve"> as that established in this judgment</w:t>
      </w:r>
      <w:r w:rsidRPr="00D869E3">
        <w:rPr>
          <w:rFonts w:ascii="Verdana" w:hAnsi="Verdana" w:cs="Arial"/>
          <w:sz w:val="20"/>
          <w:szCs w:val="20"/>
          <w:lang w:val="en-US"/>
        </w:rPr>
        <w:t xml:space="preserve"> </w:t>
      </w:r>
      <w:r w:rsidR="00A43B46" w:rsidRPr="00D869E3">
        <w:rPr>
          <w:rFonts w:ascii="Verdana" w:hAnsi="Verdana" w:cs="Arial"/>
          <w:sz w:val="20"/>
          <w:szCs w:val="20"/>
          <w:lang w:val="en-US"/>
        </w:rPr>
        <w:t>with regard to providing the reasons for their decisions,</w:t>
      </w:r>
      <w:r w:rsidRPr="00D869E3">
        <w:rPr>
          <w:rFonts w:ascii="Verdana" w:hAnsi="Verdana" w:cs="Arial"/>
          <w:sz w:val="20"/>
          <w:szCs w:val="20"/>
          <w:lang w:val="en-US"/>
        </w:rPr>
        <w:t xml:space="preserve"> the minimum that can be required is that it use the same </w:t>
      </w:r>
      <w:r w:rsidR="00A43B46" w:rsidRPr="00D869E3">
        <w:rPr>
          <w:rFonts w:ascii="Verdana" w:hAnsi="Verdana" w:cs="Arial"/>
          <w:sz w:val="20"/>
          <w:szCs w:val="20"/>
          <w:lang w:val="en-US"/>
        </w:rPr>
        <w:t>yardstick</w:t>
      </w:r>
      <w:r w:rsidRPr="00D869E3">
        <w:rPr>
          <w:rFonts w:ascii="Verdana" w:hAnsi="Verdana" w:cs="Arial"/>
          <w:sz w:val="20"/>
          <w:szCs w:val="20"/>
          <w:lang w:val="en-US"/>
        </w:rPr>
        <w:t xml:space="preserve"> for its own decision because, to the contrary, it runs the risk of adversely affecting the legitimacy </w:t>
      </w:r>
      <w:r w:rsidR="00447C65" w:rsidRPr="00D869E3">
        <w:rPr>
          <w:rFonts w:ascii="Verdana" w:hAnsi="Verdana" w:cs="Arial"/>
          <w:sz w:val="20"/>
          <w:szCs w:val="20"/>
          <w:lang w:val="en-US"/>
        </w:rPr>
        <w:t xml:space="preserve">of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 xml:space="preserve"> </w:t>
      </w:r>
      <w:hyperlink r:id="rId12" w:history="1">
        <w:r w:rsidRPr="00D869E3">
          <w:rPr>
            <w:rStyle w:val="Hipervnculo"/>
            <w:rFonts w:ascii="Verdana" w:hAnsi="Verdana"/>
            <w:color w:val="auto"/>
            <w:sz w:val="20"/>
            <w:szCs w:val="20"/>
            <w:u w:val="none"/>
            <w:lang w:val="en-US"/>
          </w:rPr>
          <w:t>vis-à-vis</w:t>
        </w:r>
      </w:hyperlink>
      <w:r w:rsidRPr="00D869E3">
        <w:rPr>
          <w:rFonts w:ascii="Verdana" w:hAnsi="Verdana" w:cs="Arial"/>
          <w:sz w:val="20"/>
          <w:szCs w:val="20"/>
          <w:lang w:val="en-US"/>
        </w:rPr>
        <w:t xml:space="preserve"> our colleagues in </w:t>
      </w:r>
      <w:r w:rsidR="00ED5EF9" w:rsidRPr="00D869E3">
        <w:rPr>
          <w:rFonts w:ascii="Verdana" w:hAnsi="Verdana" w:cs="Arial"/>
          <w:sz w:val="20"/>
          <w:szCs w:val="20"/>
          <w:lang w:val="en-US"/>
        </w:rPr>
        <w:t>the jurisdictional task.</w:t>
      </w:r>
    </w:p>
    <w:p w14:paraId="6ACDF360" w14:textId="77777777" w:rsidR="00E70701" w:rsidRPr="00D869E3" w:rsidRDefault="00E70701" w:rsidP="00C44F79">
      <w:pPr>
        <w:pStyle w:val="Prrafodelista"/>
        <w:ind w:left="0"/>
        <w:jc w:val="both"/>
        <w:rPr>
          <w:rFonts w:ascii="Verdana" w:hAnsi="Verdana" w:cs="Arial"/>
          <w:sz w:val="20"/>
          <w:szCs w:val="20"/>
          <w:lang w:val="en-US"/>
        </w:rPr>
      </w:pPr>
    </w:p>
    <w:p w14:paraId="2DB79745" w14:textId="0BBA80AE" w:rsidR="00ED5EF9" w:rsidRPr="00D869E3" w:rsidRDefault="00ED5EF9" w:rsidP="00ED5EF9">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In point of fact, the legitimacy</w:t>
      </w:r>
      <w:r w:rsidR="00447C65" w:rsidRPr="00D869E3">
        <w:rPr>
          <w:rFonts w:ascii="Verdana" w:hAnsi="Verdana" w:cs="Arial"/>
          <w:sz w:val="20"/>
          <w:szCs w:val="20"/>
          <w:lang w:val="en-US"/>
        </w:rPr>
        <w:t xml:space="preserve"> of the Inter-American Court</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derives from the rigor of its arguments and legal constructs, as well as from the justice achieved through its decisions. Consequently, the </w:t>
      </w:r>
      <w:r w:rsidR="00A43B46" w:rsidRPr="00D869E3">
        <w:rPr>
          <w:rFonts w:ascii="Verdana" w:hAnsi="Verdana" w:cs="Arial"/>
          <w:sz w:val="20"/>
          <w:szCs w:val="20"/>
          <w:lang w:val="en-US"/>
        </w:rPr>
        <w:t>intention of trying</w:t>
      </w:r>
      <w:r w:rsidRPr="00D869E3">
        <w:rPr>
          <w:rFonts w:ascii="Verdana" w:hAnsi="Verdana" w:cs="Arial"/>
          <w:sz w:val="20"/>
          <w:szCs w:val="20"/>
          <w:lang w:val="en-US"/>
        </w:rPr>
        <w:t xml:space="preserve"> to get it right is not enough</w:t>
      </w:r>
      <w:r w:rsidR="00A43B46" w:rsidRPr="00D869E3">
        <w:rPr>
          <w:rFonts w:ascii="Verdana" w:hAnsi="Verdana" w:cs="Arial"/>
          <w:sz w:val="20"/>
          <w:szCs w:val="20"/>
          <w:lang w:val="en-US"/>
        </w:rPr>
        <w:t xml:space="preserve"> – is</w:t>
      </w:r>
      <w:r w:rsidRPr="00D869E3">
        <w:rPr>
          <w:rFonts w:ascii="Verdana" w:hAnsi="Verdana" w:cs="Arial"/>
          <w:sz w:val="20"/>
          <w:szCs w:val="20"/>
          <w:lang w:val="en-US"/>
        </w:rPr>
        <w:t xml:space="preserve"> insufficient</w:t>
      </w:r>
      <w:r w:rsidR="00A43B46" w:rsidRPr="00D869E3">
        <w:rPr>
          <w:rFonts w:ascii="Verdana" w:hAnsi="Verdana" w:cs="Arial"/>
          <w:sz w:val="20"/>
          <w:szCs w:val="20"/>
          <w:lang w:val="en-US"/>
        </w:rPr>
        <w:t xml:space="preserve"> – b</w:t>
      </w:r>
      <w:r w:rsidRPr="00D869E3">
        <w:rPr>
          <w:rFonts w:ascii="Verdana" w:hAnsi="Verdana" w:cs="Arial"/>
          <w:sz w:val="20"/>
          <w:szCs w:val="20"/>
          <w:lang w:val="en-US"/>
        </w:rPr>
        <w:t xml:space="preserve">ecause what </w:t>
      </w:r>
      <w:r w:rsidR="00A43B46" w:rsidRPr="00D869E3">
        <w:rPr>
          <w:rFonts w:ascii="Verdana" w:hAnsi="Verdana" w:cs="Arial"/>
          <w:sz w:val="20"/>
          <w:szCs w:val="20"/>
          <w:lang w:val="en-US"/>
        </w:rPr>
        <w:t>this</w:t>
      </w:r>
      <w:r w:rsidRPr="00D869E3">
        <w:rPr>
          <w:rFonts w:ascii="Verdana" w:hAnsi="Verdana" w:cs="Arial"/>
          <w:sz w:val="20"/>
          <w:szCs w:val="20"/>
          <w:lang w:val="en-US"/>
        </w:rPr>
        <w:t xml:space="preserve"> may generate is an important factor for the delegitimization of the Court. Indeed, ultimately, decisions such as this one create a vision, </w:t>
      </w:r>
      <w:r w:rsidR="00A43B46" w:rsidRPr="00D869E3">
        <w:rPr>
          <w:rFonts w:ascii="Verdana" w:hAnsi="Verdana" w:cs="Arial"/>
          <w:sz w:val="20"/>
          <w:szCs w:val="20"/>
          <w:lang w:val="en-US"/>
        </w:rPr>
        <w:t>a</w:t>
      </w:r>
      <w:r w:rsidRPr="00D869E3">
        <w:rPr>
          <w:rFonts w:ascii="Verdana" w:hAnsi="Verdana" w:cs="Arial"/>
          <w:sz w:val="20"/>
          <w:szCs w:val="20"/>
          <w:lang w:val="en-US"/>
        </w:rPr>
        <w:t xml:space="preserve"> project of integration and transformations arising </w:t>
      </w:r>
      <w:r w:rsidR="00A43B46" w:rsidRPr="00D869E3">
        <w:rPr>
          <w:rFonts w:ascii="Verdana" w:hAnsi="Verdana" w:cs="Arial"/>
          <w:sz w:val="20"/>
          <w:szCs w:val="20"/>
          <w:lang w:val="en-US"/>
        </w:rPr>
        <w:t xml:space="preserve">autonomously </w:t>
      </w:r>
      <w:r w:rsidRPr="00D869E3">
        <w:rPr>
          <w:rFonts w:ascii="Verdana" w:hAnsi="Verdana" w:cs="Arial"/>
          <w:sz w:val="20"/>
          <w:szCs w:val="20"/>
          <w:lang w:val="en-US"/>
        </w:rPr>
        <w:t xml:space="preserve">from the organs of the inter-American human rights system, moving away from the main function </w:t>
      </w:r>
      <w:r w:rsidR="00447C65" w:rsidRPr="00D869E3">
        <w:rPr>
          <w:rFonts w:ascii="Verdana" w:hAnsi="Verdana" w:cs="Arial"/>
          <w:sz w:val="20"/>
          <w:szCs w:val="20"/>
          <w:lang w:val="en-US"/>
        </w:rPr>
        <w:t xml:space="preserve">of </w:t>
      </w:r>
      <w:r w:rsidR="00671B14" w:rsidRPr="00D869E3">
        <w:rPr>
          <w:rFonts w:ascii="Verdana" w:hAnsi="Verdana" w:cs="Arial"/>
          <w:sz w:val="20"/>
          <w:szCs w:val="20"/>
          <w:lang w:val="en-US"/>
        </w:rPr>
        <w:t>the Inter-American Court</w:t>
      </w:r>
      <w:r w:rsidR="00E70701" w:rsidRPr="00D869E3">
        <w:rPr>
          <w:rFonts w:ascii="Verdana" w:hAnsi="Verdana" w:cs="Arial"/>
          <w:sz w:val="20"/>
          <w:szCs w:val="20"/>
          <w:lang w:val="en-US"/>
        </w:rPr>
        <w:t xml:space="preserve">, </w:t>
      </w:r>
      <w:r w:rsidRPr="00D869E3">
        <w:rPr>
          <w:rFonts w:ascii="Verdana" w:hAnsi="Verdana" w:cs="Arial"/>
          <w:sz w:val="20"/>
          <w:szCs w:val="20"/>
          <w:lang w:val="en-US"/>
        </w:rPr>
        <w:t xml:space="preserve">which is to administer justice, ensuring the protection of human rights while strictly respecting its jurisdiction. </w:t>
      </w:r>
      <w:r w:rsidR="00A43B46" w:rsidRPr="00D869E3">
        <w:rPr>
          <w:rFonts w:ascii="Verdana" w:hAnsi="Verdana" w:cs="Arial"/>
          <w:sz w:val="20"/>
          <w:szCs w:val="20"/>
          <w:lang w:val="en-US"/>
        </w:rPr>
        <w:t>Indeed</w:t>
      </w:r>
      <w:r w:rsidRPr="00D869E3">
        <w:rPr>
          <w:rFonts w:ascii="Verdana" w:hAnsi="Verdana" w:cs="Arial"/>
          <w:sz w:val="20"/>
          <w:szCs w:val="20"/>
          <w:lang w:val="en-US"/>
        </w:rPr>
        <w:t xml:space="preserve">, </w:t>
      </w:r>
      <w:r w:rsidR="00D93271" w:rsidRPr="00D869E3">
        <w:rPr>
          <w:rFonts w:ascii="Verdana" w:hAnsi="Verdana" w:cs="Arial"/>
          <w:sz w:val="20"/>
          <w:szCs w:val="20"/>
          <w:lang w:val="en-US"/>
        </w:rPr>
        <w:t>it is not possible to create transformational law that runs counter to the law in force.</w:t>
      </w:r>
    </w:p>
    <w:p w14:paraId="35C7A15E" w14:textId="77777777" w:rsidR="00E70701" w:rsidRPr="00D869E3" w:rsidRDefault="00E70701" w:rsidP="00C44F79">
      <w:pPr>
        <w:jc w:val="both"/>
        <w:rPr>
          <w:rFonts w:ascii="Verdana" w:hAnsi="Verdana" w:cs="Arial"/>
          <w:sz w:val="20"/>
          <w:szCs w:val="20"/>
          <w:lang w:val="en-US"/>
        </w:rPr>
      </w:pPr>
    </w:p>
    <w:p w14:paraId="0AC30356" w14:textId="6A9886A4" w:rsidR="00D93271" w:rsidRPr="00D869E3" w:rsidRDefault="00D93271" w:rsidP="00E70701">
      <w:pPr>
        <w:pStyle w:val="Prrafodelista"/>
        <w:numPr>
          <w:ilvl w:val="0"/>
          <w:numId w:val="37"/>
        </w:numPr>
        <w:ind w:left="0" w:firstLine="0"/>
        <w:jc w:val="both"/>
        <w:rPr>
          <w:rFonts w:ascii="Verdana" w:hAnsi="Verdana" w:cs="Arial"/>
          <w:sz w:val="20"/>
          <w:szCs w:val="20"/>
          <w:lang w:val="en-US"/>
        </w:rPr>
      </w:pPr>
      <w:r w:rsidRPr="00D869E3">
        <w:rPr>
          <w:rFonts w:ascii="Verdana" w:hAnsi="Verdana" w:cs="Arial"/>
          <w:sz w:val="20"/>
          <w:szCs w:val="20"/>
          <w:lang w:val="en-US"/>
        </w:rPr>
        <w:t xml:space="preserve">Finally, I hope that this opinion makes a contribution to understanding the </w:t>
      </w:r>
      <w:r w:rsidR="00A43B46" w:rsidRPr="00D869E3">
        <w:rPr>
          <w:rFonts w:ascii="Verdana" w:hAnsi="Verdana" w:cs="Arial"/>
          <w:sz w:val="20"/>
          <w:szCs w:val="20"/>
          <w:lang w:val="en-US"/>
        </w:rPr>
        <w:t>magnitude</w:t>
      </w:r>
      <w:r w:rsidRPr="00D869E3">
        <w:rPr>
          <w:rFonts w:ascii="Verdana" w:hAnsi="Verdana" w:cs="Arial"/>
          <w:sz w:val="20"/>
          <w:szCs w:val="20"/>
          <w:lang w:val="en-US"/>
        </w:rPr>
        <w:t xml:space="preserve"> of the decision that the majority of the Inter-American Court adopted in this case, and reveal</w:t>
      </w:r>
      <w:r w:rsidR="00A43B46" w:rsidRPr="00D869E3">
        <w:rPr>
          <w:rFonts w:ascii="Verdana" w:hAnsi="Verdana" w:cs="Arial"/>
          <w:sz w:val="20"/>
          <w:szCs w:val="20"/>
          <w:lang w:val="en-US"/>
        </w:rPr>
        <w:t>s</w:t>
      </w:r>
      <w:r w:rsidRPr="00D869E3">
        <w:rPr>
          <w:rFonts w:ascii="Verdana" w:hAnsi="Verdana" w:cs="Arial"/>
          <w:sz w:val="20"/>
          <w:szCs w:val="20"/>
          <w:lang w:val="en-US"/>
        </w:rPr>
        <w:t xml:space="preserve"> the main problems arising from the judgment. Only sincere criticism and open and public debate can help mitigate, up to a certain point, the risk</w:t>
      </w:r>
      <w:r w:rsidR="00A43B46" w:rsidRPr="00D869E3">
        <w:rPr>
          <w:rFonts w:ascii="Verdana" w:hAnsi="Verdana" w:cs="Arial"/>
          <w:sz w:val="20"/>
          <w:szCs w:val="20"/>
          <w:lang w:val="en-US"/>
        </w:rPr>
        <w:t>s</w:t>
      </w:r>
      <w:r w:rsidRPr="00D869E3">
        <w:rPr>
          <w:rFonts w:ascii="Verdana" w:hAnsi="Verdana" w:cs="Arial"/>
          <w:sz w:val="20"/>
          <w:szCs w:val="20"/>
          <w:lang w:val="en-US"/>
        </w:rPr>
        <w:t xml:space="preserve"> </w:t>
      </w:r>
      <w:r w:rsidR="00A43B46" w:rsidRPr="00D869E3">
        <w:rPr>
          <w:rFonts w:ascii="Verdana" w:hAnsi="Verdana" w:cs="Arial"/>
          <w:sz w:val="20"/>
          <w:szCs w:val="20"/>
          <w:lang w:val="en-US"/>
        </w:rPr>
        <w:t>to</w:t>
      </w:r>
      <w:r w:rsidRPr="00D869E3">
        <w:rPr>
          <w:rFonts w:ascii="Verdana" w:hAnsi="Verdana" w:cs="Arial"/>
          <w:sz w:val="20"/>
          <w:szCs w:val="20"/>
          <w:lang w:val="en-US"/>
        </w:rPr>
        <w:t xml:space="preserve"> legitimacy and legal certainty that may arise from this judgment.</w:t>
      </w:r>
    </w:p>
    <w:p w14:paraId="7663AD6A" w14:textId="77777777" w:rsidR="00D93271" w:rsidRPr="00D869E3" w:rsidRDefault="00D93271" w:rsidP="00D93271">
      <w:pPr>
        <w:pStyle w:val="Prrafodelista"/>
        <w:rPr>
          <w:rFonts w:ascii="Verdana" w:hAnsi="Verdana" w:cs="Arial"/>
          <w:sz w:val="20"/>
          <w:szCs w:val="20"/>
          <w:lang w:val="en-US"/>
        </w:rPr>
      </w:pPr>
    </w:p>
    <w:p w14:paraId="2B809512" w14:textId="77777777" w:rsidR="00E70701" w:rsidRPr="00D869E3" w:rsidRDefault="00E70701" w:rsidP="00C44F79">
      <w:pPr>
        <w:pStyle w:val="NormalWeb"/>
        <w:spacing w:before="0" w:beforeAutospacing="0" w:after="0" w:afterAutospacing="0"/>
        <w:ind w:left="3600" w:right="96" w:firstLine="720"/>
        <w:jc w:val="center"/>
        <w:rPr>
          <w:rFonts w:ascii="Verdana" w:eastAsia="Calibri" w:hAnsi="Verdana"/>
          <w:sz w:val="20"/>
          <w:szCs w:val="20"/>
          <w:lang w:val="en-US" w:eastAsia="en-US"/>
        </w:rPr>
      </w:pPr>
    </w:p>
    <w:p w14:paraId="7EE39972" w14:textId="77777777" w:rsidR="00E70701" w:rsidRPr="00D869E3" w:rsidRDefault="00E70701" w:rsidP="00C44F79">
      <w:pPr>
        <w:pStyle w:val="NormalWeb"/>
        <w:spacing w:before="0" w:beforeAutospacing="0" w:after="0" w:afterAutospacing="0"/>
        <w:ind w:left="3600" w:right="96" w:firstLine="720"/>
        <w:jc w:val="center"/>
        <w:rPr>
          <w:rFonts w:ascii="Verdana" w:eastAsia="Calibri" w:hAnsi="Verdana"/>
          <w:sz w:val="20"/>
          <w:szCs w:val="20"/>
          <w:lang w:val="en-US" w:eastAsia="en-US"/>
        </w:rPr>
      </w:pPr>
    </w:p>
    <w:p w14:paraId="7C82964F" w14:textId="77777777" w:rsidR="00E70701" w:rsidRPr="00D869E3" w:rsidRDefault="00E70701" w:rsidP="00C44F79">
      <w:pPr>
        <w:pStyle w:val="NormalWeb"/>
        <w:spacing w:before="0" w:beforeAutospacing="0" w:after="0" w:afterAutospacing="0"/>
        <w:ind w:left="3600" w:right="96" w:firstLine="720"/>
        <w:jc w:val="center"/>
        <w:rPr>
          <w:rFonts w:ascii="Verdana" w:eastAsia="Calibri" w:hAnsi="Verdana"/>
          <w:sz w:val="20"/>
          <w:szCs w:val="20"/>
          <w:lang w:val="en-US" w:eastAsia="en-US"/>
        </w:rPr>
      </w:pPr>
    </w:p>
    <w:p w14:paraId="38CD441E" w14:textId="77777777" w:rsidR="00E70701" w:rsidRPr="00D869E3" w:rsidRDefault="00E70701" w:rsidP="00C44F79">
      <w:pPr>
        <w:pStyle w:val="NormalWeb"/>
        <w:spacing w:before="0" w:beforeAutospacing="0" w:after="0" w:afterAutospacing="0"/>
        <w:ind w:left="3600" w:right="96" w:firstLine="720"/>
        <w:rPr>
          <w:rFonts w:ascii="Verdana" w:eastAsia="Calibri" w:hAnsi="Verdana"/>
          <w:sz w:val="20"/>
          <w:szCs w:val="20"/>
          <w:lang w:val="en-US" w:eastAsia="en-US"/>
        </w:rPr>
      </w:pPr>
    </w:p>
    <w:p w14:paraId="35BB10A2" w14:textId="77777777" w:rsidR="00E70701" w:rsidRPr="00D869E3" w:rsidRDefault="00E70701" w:rsidP="00C44F79">
      <w:pPr>
        <w:pStyle w:val="NormalWeb"/>
        <w:spacing w:before="0" w:beforeAutospacing="0" w:after="0" w:afterAutospacing="0"/>
        <w:ind w:left="2124" w:right="96" w:firstLine="708"/>
        <w:jc w:val="right"/>
        <w:rPr>
          <w:rFonts w:ascii="Verdana" w:eastAsia="Calibri" w:hAnsi="Verdana"/>
          <w:sz w:val="20"/>
          <w:szCs w:val="20"/>
          <w:lang w:eastAsia="en-US"/>
        </w:rPr>
      </w:pPr>
      <w:r w:rsidRPr="00D869E3">
        <w:rPr>
          <w:rFonts w:ascii="Verdana" w:eastAsia="Calibri" w:hAnsi="Verdana"/>
          <w:sz w:val="20"/>
          <w:szCs w:val="20"/>
          <w:lang w:eastAsia="en-US"/>
        </w:rPr>
        <w:t>Humberto A. Sierra Porto</w:t>
      </w:r>
    </w:p>
    <w:p w14:paraId="6479F99B" w14:textId="6D6C16DC" w:rsidR="00E70701" w:rsidRPr="00D869E3" w:rsidRDefault="00447C65" w:rsidP="00C44F79">
      <w:pPr>
        <w:pStyle w:val="NormalWeb"/>
        <w:spacing w:before="0" w:beforeAutospacing="0" w:after="0" w:afterAutospacing="0"/>
        <w:ind w:left="3540" w:right="1548" w:firstLine="708"/>
        <w:jc w:val="right"/>
        <w:rPr>
          <w:rFonts w:ascii="Verdana" w:eastAsia="Calibri" w:hAnsi="Verdana"/>
          <w:sz w:val="20"/>
          <w:szCs w:val="20"/>
          <w:lang w:eastAsia="en-US"/>
        </w:rPr>
      </w:pPr>
      <w:proofErr w:type="spellStart"/>
      <w:r w:rsidRPr="00D869E3">
        <w:rPr>
          <w:rFonts w:ascii="Verdana" w:eastAsia="Calibri" w:hAnsi="Verdana"/>
          <w:sz w:val="20"/>
          <w:szCs w:val="20"/>
          <w:lang w:eastAsia="en-US"/>
        </w:rPr>
        <w:t>Judge</w:t>
      </w:r>
      <w:proofErr w:type="spellEnd"/>
    </w:p>
    <w:p w14:paraId="36699895" w14:textId="77777777" w:rsidR="00E70701" w:rsidRPr="00D869E3" w:rsidRDefault="00E70701" w:rsidP="00C44F79">
      <w:pPr>
        <w:rPr>
          <w:rFonts w:ascii="Verdana" w:hAnsi="Verdana"/>
          <w:sz w:val="20"/>
          <w:szCs w:val="20"/>
          <w:lang w:val="es-CR"/>
        </w:rPr>
      </w:pPr>
    </w:p>
    <w:p w14:paraId="0C0F6DD7" w14:textId="77777777" w:rsidR="00E70701" w:rsidRPr="00D869E3" w:rsidRDefault="00E70701" w:rsidP="00C44F79">
      <w:pPr>
        <w:rPr>
          <w:rFonts w:ascii="Verdana" w:hAnsi="Verdana"/>
          <w:sz w:val="20"/>
          <w:szCs w:val="20"/>
          <w:lang w:val="es-CR"/>
        </w:rPr>
      </w:pPr>
    </w:p>
    <w:p w14:paraId="46F57F30" w14:textId="77777777" w:rsidR="00E70701" w:rsidRPr="00D869E3" w:rsidRDefault="00E70701" w:rsidP="00C44F79">
      <w:pPr>
        <w:rPr>
          <w:rFonts w:ascii="Verdana" w:hAnsi="Verdana"/>
          <w:sz w:val="20"/>
          <w:szCs w:val="20"/>
          <w:lang w:val="es-CR"/>
        </w:rPr>
      </w:pPr>
      <w:r w:rsidRPr="00D869E3">
        <w:rPr>
          <w:rFonts w:ascii="Verdana" w:hAnsi="Verdana"/>
          <w:sz w:val="20"/>
          <w:szCs w:val="20"/>
          <w:lang w:val="es-CR"/>
        </w:rPr>
        <w:t>Pablo Saavedra Alessandri</w:t>
      </w:r>
    </w:p>
    <w:p w14:paraId="0D6D0524" w14:textId="5B3DD2B7" w:rsidR="00324758" w:rsidRPr="00D13E32" w:rsidRDefault="00E70701" w:rsidP="00705592">
      <w:pPr>
        <w:rPr>
          <w:rFonts w:ascii="Verdana" w:hAnsi="Verdana"/>
          <w:sz w:val="20"/>
          <w:szCs w:val="20"/>
          <w:lang w:val="en-US"/>
        </w:rPr>
      </w:pPr>
      <w:r w:rsidRPr="00D869E3">
        <w:rPr>
          <w:rFonts w:ascii="Verdana" w:hAnsi="Verdana"/>
          <w:sz w:val="20"/>
          <w:szCs w:val="20"/>
          <w:lang w:val="es-CR"/>
        </w:rPr>
        <w:tab/>
        <w:t xml:space="preserve">  </w:t>
      </w:r>
      <w:r w:rsidRPr="00D869E3">
        <w:rPr>
          <w:rFonts w:ascii="Verdana" w:hAnsi="Verdana"/>
          <w:sz w:val="20"/>
          <w:szCs w:val="20"/>
          <w:lang w:val="en-US"/>
        </w:rPr>
        <w:t>Secretar</w:t>
      </w:r>
      <w:r w:rsidR="00187515" w:rsidRPr="00D869E3">
        <w:rPr>
          <w:rFonts w:ascii="Verdana" w:hAnsi="Verdana"/>
          <w:sz w:val="20"/>
          <w:szCs w:val="20"/>
          <w:lang w:val="en-US"/>
        </w:rPr>
        <w:t>y</w:t>
      </w:r>
    </w:p>
    <w:sectPr w:rsidR="00324758" w:rsidRPr="00D13E32" w:rsidSect="00C44F79">
      <w:footerReference w:type="even" r:id="rId13"/>
      <w:footerReference w:type="default" r:id="rId14"/>
      <w:footerReference w:type="first" r:id="rId15"/>
      <w:footnotePr>
        <w:numRestart w:val="eachSect"/>
      </w:footnotePr>
      <w:pgSz w:w="12240" w:h="15840" w:code="1"/>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40CD" w14:textId="77777777" w:rsidR="0068647C" w:rsidRDefault="0068647C" w:rsidP="009E58AE">
      <w:r>
        <w:separator/>
      </w:r>
    </w:p>
  </w:endnote>
  <w:endnote w:type="continuationSeparator" w:id="0">
    <w:p w14:paraId="6E294C85" w14:textId="77777777" w:rsidR="0068647C" w:rsidRDefault="0068647C" w:rsidP="009E58AE">
      <w:r>
        <w:continuationSeparator/>
      </w:r>
    </w:p>
  </w:endnote>
  <w:endnote w:type="continuationNotice" w:id="1">
    <w:p w14:paraId="05A3E825" w14:textId="77777777" w:rsidR="0068647C" w:rsidRDefault="0068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tempelSchneidler-Light">
    <w:panose1 w:val="00000000000000000000"/>
    <w:charset w:val="00"/>
    <w:family w:val="auto"/>
    <w:notTrueType/>
    <w:pitch w:val="default"/>
    <w:sig w:usb0="00000003" w:usb1="00000000" w:usb2="00000000" w:usb3="00000000" w:csb0="00000001" w:csb1="00000000"/>
  </w:font>
  <w:font w:name="System Font Regular">
    <w:charset w:val="00"/>
    <w:family w:val="auto"/>
    <w:pitch w:val="variable"/>
    <w:sig w:usb0="2000028F"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auto"/>
    <w:pitch w:val="variable"/>
    <w:sig w:usb0="00000001" w:usb1="4000205B" w:usb2="00000010" w:usb3="00000000" w:csb0="0000019F" w:csb1="00000000"/>
  </w:font>
  <w:font w:name="Minion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BE2A" w14:textId="77777777" w:rsidR="0068647C" w:rsidRDefault="0068647C" w:rsidP="00C44F7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DB3E93" w14:textId="77777777" w:rsidR="0068647C" w:rsidRDefault="0068647C" w:rsidP="00C44F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6413" w14:textId="28506253" w:rsidR="0068647C" w:rsidRPr="00404559" w:rsidRDefault="0068647C">
    <w:pPr>
      <w:pStyle w:val="Piedepgina"/>
      <w:jc w:val="center"/>
      <w:rPr>
        <w:rFonts w:ascii="Verdana" w:hAnsi="Verdana"/>
        <w:sz w:val="20"/>
        <w:szCs w:val="20"/>
      </w:rPr>
    </w:pPr>
  </w:p>
  <w:p w14:paraId="683D0FE1" w14:textId="77777777" w:rsidR="0068647C" w:rsidRDefault="0068647C" w:rsidP="00C44F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94B8" w14:textId="77777777" w:rsidR="0068647C" w:rsidRDefault="0068647C" w:rsidP="00C44F79">
    <w:pPr>
      <w:pStyle w:val="Piedepgina"/>
    </w:pPr>
  </w:p>
  <w:p w14:paraId="159B060D" w14:textId="77777777" w:rsidR="0068647C" w:rsidRDefault="006864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7B6A" w14:textId="77777777" w:rsidR="0068647C" w:rsidRDefault="0068647C" w:rsidP="009E58AE">
      <w:r>
        <w:separator/>
      </w:r>
    </w:p>
  </w:footnote>
  <w:footnote w:type="continuationSeparator" w:id="0">
    <w:p w14:paraId="7CFDD51D" w14:textId="77777777" w:rsidR="0068647C" w:rsidRDefault="0068647C" w:rsidP="009E58AE">
      <w:r>
        <w:continuationSeparator/>
      </w:r>
    </w:p>
  </w:footnote>
  <w:footnote w:type="continuationNotice" w:id="1">
    <w:p w14:paraId="7755A1F0" w14:textId="77777777" w:rsidR="0068647C" w:rsidRDefault="0068647C"/>
  </w:footnote>
  <w:footnote w:id="2">
    <w:p w14:paraId="70AC371A" w14:textId="5C191444" w:rsidR="0068647C" w:rsidRPr="000E696E" w:rsidRDefault="0068647C" w:rsidP="00D61BD2">
      <w:pPr>
        <w:pStyle w:val="Textonotapie"/>
        <w:rPr>
          <w:i/>
        </w:rPr>
      </w:pPr>
      <w:r w:rsidRPr="000E696E">
        <w:rPr>
          <w:rStyle w:val="Refdenotaalpie"/>
          <w:sz w:val="16"/>
        </w:rPr>
        <w:footnoteRef/>
      </w:r>
      <w:r w:rsidRPr="000E696E">
        <w:t xml:space="preserve"> </w:t>
      </w:r>
      <w:r w:rsidRPr="000E696E">
        <w:tab/>
        <w:t>The Commission appointed Commissioner James Cavallaro, the Special Rapporteur for Freedom of Expression, Edison Lanza, and the Executive Secretary, Emilio Álvarez Icaza L. as its delegates, and Elizabeth Abi-Mershed, Deputy Executive Secretary, and Ona Flores and Silvia Serrano Guzmán, lawyers of the Commission’s Executive Secretariat, as legal advisers.</w:t>
      </w:r>
    </w:p>
  </w:footnote>
  <w:footnote w:id="3">
    <w:p w14:paraId="19CADBC8" w14:textId="153DDE63" w:rsidR="0068647C" w:rsidRPr="000E696E" w:rsidRDefault="0068647C" w:rsidP="00D61BD2">
      <w:pPr>
        <w:pStyle w:val="Textonotapie"/>
        <w:rPr>
          <w:i/>
        </w:rPr>
      </w:pPr>
      <w:r w:rsidRPr="000E696E">
        <w:rPr>
          <w:rStyle w:val="Refdenotaalpie"/>
          <w:sz w:val="16"/>
        </w:rPr>
        <w:footnoteRef/>
      </w:r>
      <w:r w:rsidRPr="000E696E">
        <w:t xml:space="preserve"> </w:t>
      </w:r>
      <w:r w:rsidRPr="000E696E">
        <w:tab/>
        <w:t>In a communication of March 11, 2016, the State advised that it had appointed Luis Alberto Huerta Guerrero as its Agent before the Court and the Supranational Deputy Attorney General, Iván Arturo Bazán Chacón, Sofía Janett Donaires Vega and Silvana Lucia Gómez Salazar, as deputy agents (merits file, f. 97).</w:t>
      </w:r>
      <w:r w:rsidRPr="000E696E" w:rsidDel="00960A82">
        <w:t xml:space="preserve"> </w:t>
      </w:r>
    </w:p>
  </w:footnote>
  <w:footnote w:id="4">
    <w:p w14:paraId="26016A0E" w14:textId="2938A0A4" w:rsidR="0068647C" w:rsidRPr="000E696E" w:rsidRDefault="0068647C" w:rsidP="00D61BD2">
      <w:pPr>
        <w:pStyle w:val="Textonotapie"/>
        <w:rPr>
          <w:i/>
        </w:rPr>
      </w:pPr>
      <w:r w:rsidRPr="000E696E">
        <w:rPr>
          <w:rStyle w:val="Refdenotaalpie"/>
          <w:sz w:val="16"/>
        </w:rPr>
        <w:footnoteRef/>
      </w:r>
      <w:r w:rsidRPr="004204B2">
        <w:rPr>
          <w:lang w:val="es-CR"/>
        </w:rPr>
        <w:t xml:space="preserve"> </w:t>
      </w:r>
      <w:r w:rsidRPr="004204B2">
        <w:rPr>
          <w:lang w:val="es-CR"/>
        </w:rPr>
        <w:tab/>
      </w:r>
      <w:r w:rsidRPr="004204B2">
        <w:rPr>
          <w:i/>
          <w:lang w:val="es-CR"/>
        </w:rPr>
        <w:t xml:space="preserve">Caso Lagos del Campo v. </w:t>
      </w:r>
      <w:r w:rsidRPr="004204B2">
        <w:rPr>
          <w:i/>
          <w:lang w:val="es-CR"/>
        </w:rPr>
        <w:t>Peru</w:t>
      </w:r>
      <w:r w:rsidRPr="004204B2">
        <w:rPr>
          <w:lang w:val="es-CR"/>
        </w:rPr>
        <w:t xml:space="preserve">. </w:t>
      </w:r>
      <w:r w:rsidRPr="000E696E">
        <w:t xml:space="preserve">Order of the President of the Court of July 14, 2016. Available at: </w:t>
      </w:r>
      <w:hyperlink r:id="rId1" w:history="1">
        <w:r w:rsidRPr="000E696E">
          <w:rPr>
            <w:rStyle w:val="Hipervnculo"/>
          </w:rPr>
          <w:t>http://www.corteidh.or.cr/docs/asuntos/lagos_fv_16.pdf</w:t>
        </w:r>
      </w:hyperlink>
      <w:r w:rsidRPr="000E696E">
        <w:t xml:space="preserve">. </w:t>
      </w:r>
    </w:p>
  </w:footnote>
  <w:footnote w:id="5">
    <w:p w14:paraId="165E3A63" w14:textId="4CC5AD48"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lang w:val="es-CR"/>
        </w:rPr>
        <w:t xml:space="preserve">Case of Lagos del Campo v. </w:t>
      </w:r>
      <w:r w:rsidRPr="004204B2">
        <w:rPr>
          <w:i/>
          <w:lang w:val="es-CR"/>
        </w:rPr>
        <w:t>Peru.</w:t>
      </w:r>
      <w:r w:rsidRPr="004204B2">
        <w:rPr>
          <w:lang w:val="es-CR"/>
        </w:rPr>
        <w:t xml:space="preserve"> </w:t>
      </w:r>
      <w:r w:rsidRPr="000E696E">
        <w:t>Call to a public hearing. Order of the President of the Court of November 21, 2016. Available at:</w:t>
      </w:r>
      <w:r w:rsidRPr="000E696E">
        <w:rPr>
          <w:rStyle w:val="Textoennegrita"/>
          <w:color w:val="000000"/>
          <w:shd w:val="clear" w:color="auto" w:fill="FFFFFF"/>
        </w:rPr>
        <w:t xml:space="preserve"> </w:t>
      </w:r>
      <w:hyperlink r:id="rId2" w:history="1">
        <w:r w:rsidRPr="000E696E">
          <w:rPr>
            <w:rStyle w:val="Hipervnculo"/>
          </w:rPr>
          <w:t>http://www.corteidh.or.cr/docs/asuntos/ lagos_21_11_16.pdf</w:t>
        </w:r>
      </w:hyperlink>
      <w:r w:rsidRPr="000E696E">
        <w:t xml:space="preserve">  </w:t>
      </w:r>
    </w:p>
  </w:footnote>
  <w:footnote w:id="6">
    <w:p w14:paraId="37F29A51" w14:textId="0E90A35E" w:rsidR="0068647C" w:rsidRPr="000E696E" w:rsidRDefault="0068647C" w:rsidP="00D61BD2">
      <w:pPr>
        <w:pStyle w:val="Textonotapie"/>
      </w:pPr>
      <w:r w:rsidRPr="000E696E">
        <w:rPr>
          <w:rStyle w:val="Refdenotaalpie"/>
          <w:sz w:val="16"/>
        </w:rPr>
        <w:footnoteRef/>
      </w:r>
      <w:r w:rsidRPr="000E696E">
        <w:t xml:space="preserve"> </w:t>
      </w:r>
      <w:r w:rsidRPr="000E696E">
        <w:tab/>
        <w:t>Due to scheduling problems, in a Secretariat note of December 8, 2016, the public hearing in this case was re-scheduled for February 7, 2017, at 9 a.m. Also, the meeting prior to the hearing was re-scheduled for February 6 at the seat of the Court. Consequently, the Court established the date of March 8, 2017, as the deadline for presentation of the final written arguments and final written observations.</w:t>
      </w:r>
    </w:p>
  </w:footnote>
  <w:footnote w:id="7">
    <w:p w14:paraId="7116F1A9" w14:textId="548D63A4" w:rsidR="0068647C" w:rsidRPr="000E696E" w:rsidRDefault="0068647C" w:rsidP="00D61BD2">
      <w:pPr>
        <w:pStyle w:val="Textonotapie"/>
      </w:pPr>
      <w:r w:rsidRPr="000E696E">
        <w:rPr>
          <w:rStyle w:val="Refdenotaalpie"/>
          <w:sz w:val="16"/>
        </w:rPr>
        <w:footnoteRef/>
      </w:r>
      <w:r w:rsidRPr="000E696E">
        <w:t xml:space="preserve"> </w:t>
      </w:r>
      <w:r w:rsidRPr="000E696E">
        <w:tab/>
        <w:t>In a communication of January 30, 2017, the State withdrew its offer of the expert opinion of Omar Sar Suárez.</w:t>
      </w:r>
    </w:p>
  </w:footnote>
  <w:footnote w:id="8">
    <w:p w14:paraId="1841D13D" w14:textId="612881EA" w:rsidR="0068647C" w:rsidRPr="000E696E" w:rsidRDefault="0068647C" w:rsidP="00D61BD2">
      <w:pPr>
        <w:pStyle w:val="Textonotapie"/>
      </w:pPr>
      <w:r w:rsidRPr="000E696E">
        <w:rPr>
          <w:rStyle w:val="Refdenotaalpie"/>
          <w:sz w:val="16"/>
        </w:rPr>
        <w:footnoteRef/>
      </w:r>
      <w:r w:rsidRPr="000E696E">
        <w:t xml:space="preserve"> </w:t>
      </w:r>
      <w:r w:rsidRPr="000E696E">
        <w:tab/>
        <w:t>The affidavit of Carlos Alberto Jibaja Zárate was received on January 30, 2017.</w:t>
      </w:r>
    </w:p>
  </w:footnote>
  <w:footnote w:id="9">
    <w:p w14:paraId="3004D9C4" w14:textId="45C091D5" w:rsidR="0068647C" w:rsidRPr="000E696E" w:rsidRDefault="0068647C" w:rsidP="00D61BD2">
      <w:pPr>
        <w:pStyle w:val="Textonotapie"/>
        <w:rPr>
          <w:i/>
        </w:rPr>
      </w:pPr>
      <w:r w:rsidRPr="000E696E">
        <w:rPr>
          <w:rStyle w:val="Refdenotaalpie"/>
          <w:sz w:val="16"/>
        </w:rPr>
        <w:footnoteRef/>
      </w:r>
      <w:r w:rsidRPr="000E696E">
        <w:t xml:space="preserve"> </w:t>
      </w:r>
      <w:r w:rsidRPr="000E696E">
        <w:tab/>
        <w:t xml:space="preserve">The President of the Court declared access to the Victims’ Legal Assistance Fund of the Inter-American Court admissible and determined that financial assistance would be provided to cover the necessary transportation and accommodation expenses for the presumed victim, Mr. Lagos del Campo, to appear before the Court to give his statement during the public hearing, and also for the reasonable expenses required for the preparation and mailing of the affidavit of expert witness Carlos Alberto Jibaja Zárate offered by the representatives. </w:t>
      </w:r>
    </w:p>
  </w:footnote>
  <w:footnote w:id="10">
    <w:p w14:paraId="45230E6B" w14:textId="6D2A3E4A" w:rsidR="0068647C" w:rsidRPr="000E696E" w:rsidRDefault="0068647C" w:rsidP="00D61BD2">
      <w:pPr>
        <w:widowControl w:val="0"/>
        <w:suppressLineNumbers/>
        <w:tabs>
          <w:tab w:val="left" w:pos="720"/>
        </w:tabs>
        <w:suppressAutoHyphens/>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There appeared at this hearing: (a) for the Inter-American Commission: Edison Lanza, Special Rapporteur for Freedom of Expression, Silvia Serrano Guzmán, Adviser, and Ona Flores, Adviser; (b) for the representatives of the presumed victim: Christian Henry Huaylinos Camacuari and Caroline Dufour, and (c) for the State: Iván Arturo Bazán Chacón, Sofía Janett Donaires Vega and Silvana Lucía Gómez Salazar. </w:t>
      </w:r>
    </w:p>
  </w:footnote>
  <w:footnote w:id="11">
    <w:p w14:paraId="0C490557" w14:textId="7B8A4C07" w:rsidR="0068647C" w:rsidRPr="000E696E" w:rsidRDefault="0068647C" w:rsidP="00AA1EBF">
      <w:pPr>
        <w:spacing w:after="60"/>
        <w:jc w:val="both"/>
        <w:rPr>
          <w:rFonts w:ascii="Verdana" w:hAnsi="Verdana"/>
          <w:sz w:val="16"/>
          <w:szCs w:val="16"/>
          <w:lang w:val="en-US"/>
        </w:rPr>
      </w:pPr>
      <w:r w:rsidRPr="000E696E">
        <w:rPr>
          <w:rFonts w:ascii="Verdana" w:hAnsi="Verdana"/>
          <w:spacing w:val="-12"/>
          <w:sz w:val="16"/>
          <w:szCs w:val="16"/>
          <w:vertAlign w:val="superscript"/>
          <w:lang w:val="en-US"/>
        </w:rPr>
        <w:footnoteRef/>
      </w:r>
      <w:r w:rsidRPr="004204B2">
        <w:rPr>
          <w:rFonts w:ascii="Verdana" w:hAnsi="Verdana"/>
          <w:spacing w:val="-12"/>
          <w:sz w:val="16"/>
          <w:szCs w:val="16"/>
          <w:lang w:val="es-CR"/>
        </w:rPr>
        <w:t xml:space="preserve"> </w:t>
      </w:r>
      <w:r w:rsidRPr="004204B2">
        <w:rPr>
          <w:rFonts w:ascii="Verdana" w:hAnsi="Verdana"/>
          <w:spacing w:val="-12"/>
          <w:sz w:val="16"/>
          <w:szCs w:val="16"/>
          <w:lang w:val="es-CR"/>
        </w:rPr>
        <w:tab/>
      </w:r>
      <w:r w:rsidRPr="004204B2">
        <w:rPr>
          <w:rFonts w:ascii="Verdana" w:hAnsi="Verdana"/>
          <w:i/>
          <w:sz w:val="16"/>
          <w:szCs w:val="16"/>
          <w:lang w:val="es-CR"/>
        </w:rPr>
        <w:t xml:space="preserve">Cf. Case of Las Palmeras v. Colombia. </w:t>
      </w:r>
      <w:r w:rsidRPr="000E696E">
        <w:rPr>
          <w:rFonts w:ascii="Verdana" w:hAnsi="Verdana"/>
          <w:i/>
          <w:sz w:val="16"/>
          <w:szCs w:val="16"/>
          <w:lang w:val="en-US"/>
        </w:rPr>
        <w:t xml:space="preserve">Preliminary objections. </w:t>
      </w:r>
      <w:r w:rsidRPr="000E696E">
        <w:rPr>
          <w:rFonts w:ascii="Verdana" w:hAnsi="Verdana"/>
          <w:sz w:val="16"/>
          <w:szCs w:val="16"/>
          <w:lang w:val="en-US"/>
        </w:rPr>
        <w:t xml:space="preserve">Judgment of February 4, 2000. </w:t>
      </w:r>
      <w:r w:rsidRPr="004204B2">
        <w:rPr>
          <w:rFonts w:ascii="Verdana" w:hAnsi="Verdana"/>
          <w:sz w:val="16"/>
          <w:szCs w:val="16"/>
          <w:lang w:val="es-CR"/>
        </w:rPr>
        <w:t xml:space="preserve">Series C No. 67, para. 34, </w:t>
      </w:r>
      <w:r w:rsidRPr="004204B2">
        <w:rPr>
          <w:rFonts w:ascii="Verdana" w:hAnsi="Verdana"/>
          <w:i/>
          <w:sz w:val="16"/>
          <w:szCs w:val="16"/>
          <w:lang w:val="es-CR"/>
        </w:rPr>
        <w:t xml:space="preserve">Case of Zegarra Marín v. </w:t>
      </w:r>
      <w:r w:rsidRPr="004204B2">
        <w:rPr>
          <w:rFonts w:ascii="Verdana" w:hAnsi="Verdana"/>
          <w:i/>
          <w:sz w:val="16"/>
          <w:szCs w:val="16"/>
          <w:lang w:val="es-CR"/>
        </w:rPr>
        <w:t xml:space="preserve">Peru.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Judgment of February 15, 2017. Series C No. 331, para. 16</w:t>
      </w:r>
      <w:r w:rsidRPr="000E696E">
        <w:rPr>
          <w:rFonts w:ascii="Verdana" w:hAnsi="Verdana"/>
          <w:i/>
          <w:sz w:val="16"/>
          <w:szCs w:val="16"/>
          <w:lang w:val="en-US"/>
        </w:rPr>
        <w:t>.</w:t>
      </w:r>
    </w:p>
  </w:footnote>
  <w:footnote w:id="12">
    <w:p w14:paraId="685E8443" w14:textId="50CF0F60"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vertAlign w:val="superscript"/>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Case of Castañeda Gutman v. Mexico. Preliminary objections, merits, reparations and costs. </w:t>
      </w:r>
      <w:r w:rsidRPr="000E696E">
        <w:rPr>
          <w:rFonts w:ascii="Verdana" w:hAnsi="Verdana"/>
          <w:sz w:val="16"/>
          <w:szCs w:val="16"/>
          <w:lang w:val="en-US"/>
        </w:rPr>
        <w:t xml:space="preserve">Judgment of August 6, 2008. Series C No. 184, para. 39, and </w:t>
      </w:r>
      <w:r w:rsidRPr="000E696E">
        <w:rPr>
          <w:rFonts w:ascii="Verdana" w:hAnsi="Verdana"/>
          <w:i/>
          <w:sz w:val="16"/>
          <w:szCs w:val="16"/>
          <w:lang w:val="en-US"/>
        </w:rPr>
        <w:t xml:space="preserve">Case of Acosta et al. v. Nicaragua, Preliminary objections, merits, reparations and costs. </w:t>
      </w:r>
      <w:r w:rsidRPr="000E696E">
        <w:rPr>
          <w:rFonts w:ascii="Verdana" w:hAnsi="Verdana"/>
          <w:sz w:val="16"/>
          <w:szCs w:val="16"/>
          <w:lang w:val="en-US"/>
        </w:rPr>
        <w:t>Judgment of March 25, 2017. Series C No. 334,</w:t>
      </w:r>
      <w:r w:rsidRPr="000E696E">
        <w:rPr>
          <w:rFonts w:ascii="Verdana" w:hAnsi="Verdana"/>
          <w:i/>
          <w:sz w:val="16"/>
          <w:szCs w:val="16"/>
          <w:lang w:val="en-US"/>
        </w:rPr>
        <w:t xml:space="preserve"> </w:t>
      </w:r>
      <w:r w:rsidRPr="000E696E">
        <w:rPr>
          <w:rFonts w:ascii="Verdana" w:hAnsi="Verdana"/>
          <w:sz w:val="16"/>
          <w:szCs w:val="16"/>
          <w:lang w:val="en-US"/>
        </w:rPr>
        <w:t xml:space="preserve">para. 18. </w:t>
      </w:r>
    </w:p>
  </w:footnote>
  <w:footnote w:id="13">
    <w:p w14:paraId="6BA82C2F" w14:textId="04524659"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rStyle w:val="Textoennegrita"/>
          <w:b w:val="0"/>
          <w:i/>
          <w:color w:val="000000"/>
          <w:shd w:val="clear" w:color="auto" w:fill="FFFFFF"/>
        </w:rPr>
        <w:t>Case of Velásquez Rodríguez v. Honduras.</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Preliminary objections</w:t>
      </w:r>
      <w:r w:rsidRPr="000E696E">
        <w:rPr>
          <w:rStyle w:val="Textoennegrita"/>
          <w:b w:val="0"/>
          <w:color w:val="000000"/>
          <w:shd w:val="clear" w:color="auto" w:fill="FFFFFF"/>
        </w:rPr>
        <w:t xml:space="preserve">. Judgment of June 26, 1987. Series C No. 1, para. 88, and </w:t>
      </w:r>
      <w:r w:rsidRPr="000E696E">
        <w:rPr>
          <w:rStyle w:val="Textoennegrita"/>
          <w:b w:val="0"/>
          <w:i/>
          <w:color w:val="000000"/>
          <w:shd w:val="clear" w:color="auto" w:fill="FFFFFF"/>
        </w:rPr>
        <w:t>Case of Tenorio Roca et al. v. Peru. Preliminary objections, merits, reparations and costs</w:t>
      </w:r>
      <w:r w:rsidRPr="000E696E">
        <w:rPr>
          <w:rStyle w:val="Textoennegrita"/>
          <w:b w:val="0"/>
          <w:color w:val="000000"/>
          <w:shd w:val="clear" w:color="auto" w:fill="FFFFFF"/>
        </w:rPr>
        <w:t>. Judgment of June 22, 2016. Series C No. 314, para. 21.</w:t>
      </w:r>
    </w:p>
  </w:footnote>
  <w:footnote w:id="14">
    <w:p w14:paraId="139A6CB0" w14:textId="38639A94" w:rsidR="0068647C" w:rsidRPr="000E696E" w:rsidRDefault="0068647C" w:rsidP="00AA1EBF">
      <w:pPr>
        <w:spacing w:after="60"/>
        <w:jc w:val="both"/>
        <w:rPr>
          <w:rFonts w:ascii="Verdana" w:hAnsi="Verdana"/>
          <w:b/>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w:t>
      </w:r>
      <w:r w:rsidRPr="000E696E">
        <w:rPr>
          <w:rStyle w:val="Textoennegrita"/>
          <w:rFonts w:ascii="Verdana" w:hAnsi="Verdana"/>
          <w:b w:val="0"/>
          <w:i/>
          <w:color w:val="000000"/>
          <w:sz w:val="16"/>
          <w:szCs w:val="16"/>
          <w:shd w:val="clear" w:color="auto" w:fill="FFFFFF"/>
          <w:lang w:val="en-US"/>
        </w:rPr>
        <w:t>Case of Furlan and family v. Argentina. Preliminary objections, merits, reparations and costs.</w:t>
      </w:r>
      <w:r w:rsidRPr="000E696E">
        <w:rPr>
          <w:rStyle w:val="Textoennegrita"/>
          <w:rFonts w:ascii="Verdana" w:hAnsi="Verdana"/>
          <w:b w:val="0"/>
          <w:color w:val="000000"/>
          <w:sz w:val="16"/>
          <w:szCs w:val="16"/>
          <w:shd w:val="clear" w:color="auto" w:fill="FFFFFF"/>
          <w:lang w:val="en-US"/>
        </w:rPr>
        <w:t xml:space="preserve"> Judgment of August 31, 2012. Series C No. 246, para. 52.</w:t>
      </w:r>
    </w:p>
  </w:footnote>
  <w:footnote w:id="15">
    <w:p w14:paraId="26485F73" w14:textId="4CEB0BBF" w:rsidR="0068647C" w:rsidRPr="000E696E" w:rsidRDefault="0068647C" w:rsidP="00AA1EBF">
      <w:pPr>
        <w:pStyle w:val="NormalWeb"/>
        <w:spacing w:before="0" w:beforeAutospacing="0" w:after="60" w:afterAutospacing="0"/>
        <w:jc w:val="both"/>
        <w:rPr>
          <w:rFonts w:ascii="Verdana" w:hAnsi="Verdana"/>
          <w:sz w:val="16"/>
          <w:szCs w:val="16"/>
          <w:lang w:val="en-US"/>
        </w:rPr>
      </w:pPr>
      <w:r w:rsidRPr="000E696E">
        <w:rPr>
          <w:rStyle w:val="Refdenotaalpie"/>
          <w:rFonts w:eastAsiaTheme="majorEastAsia"/>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46 of the Convention establishes that: “</w:t>
      </w:r>
      <w:r w:rsidRPr="000E696E">
        <w:rPr>
          <w:rFonts w:ascii="Verdana" w:hAnsi="Verdana" w:cs="Tahoma"/>
          <w:sz w:val="16"/>
          <w:szCs w:val="16"/>
          <w:lang w:val="en-US"/>
        </w:rPr>
        <w:t xml:space="preserve">1. </w:t>
      </w:r>
      <w:r w:rsidRPr="000E696E">
        <w:rPr>
          <w:rFonts w:ascii="Verdana" w:hAnsi="Verdana"/>
          <w:spacing w:val="-3"/>
          <w:sz w:val="16"/>
          <w:szCs w:val="16"/>
          <w:lang w:val="en-US"/>
        </w:rPr>
        <w:t>Admission by the Commission of a petition or communication lodged in accordance with Articles 44 or 45 shall be subject to the following requirements: (a) that the remedies under domestic law have been pursued and exhausted in accordance with generally recognized principles of international law; (b) that the petition or communication is lodged within a period of six months from the date on which the party alleging violation of his rights was notified of the final judgment; (c) that the subject of the petition or communication is not pending in another international proceeding for settlement, and (d) that, in the case of Article 44, the petition contains the name, nationality, profession, domicile, and signature of the person or persons or of the legal representative of the entity lodging the petition. 2. The provisions of paragraphs 1.a and 1.b of this article shall not be applicable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r w:rsidRPr="000E696E">
        <w:rPr>
          <w:rFonts w:ascii="Verdana" w:hAnsi="Verdana" w:cs="Tahoma"/>
          <w:sz w:val="16"/>
          <w:szCs w:val="16"/>
          <w:lang w:val="en-US"/>
        </w:rPr>
        <w:t>”</w:t>
      </w:r>
    </w:p>
  </w:footnote>
  <w:footnote w:id="16">
    <w:p w14:paraId="41828B81" w14:textId="7E0B72BD"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Style w:val="Refdenotaalpie"/>
          <w:rFonts w:eastAsiaTheme="majorEastAsia"/>
          <w:sz w:val="16"/>
          <w:szCs w:val="16"/>
          <w:lang w:val="en-US"/>
        </w:rPr>
        <w:footnoteRef/>
      </w:r>
      <w:r w:rsidRPr="000E696E">
        <w:rPr>
          <w:rFonts w:ascii="Verdana" w:hAnsi="Verdana"/>
          <w:sz w:val="16"/>
          <w:szCs w:val="16"/>
          <w:lang w:val="en-US"/>
        </w:rPr>
        <w:t xml:space="preserve"> Article 47 of the Convention establishes that: “</w:t>
      </w:r>
      <w:r w:rsidRPr="000E696E">
        <w:rPr>
          <w:rFonts w:ascii="Verdana" w:hAnsi="Verdana"/>
          <w:spacing w:val="-3"/>
          <w:sz w:val="16"/>
          <w:szCs w:val="16"/>
          <w:lang w:val="en-US"/>
        </w:rPr>
        <w:t>The Commission shall consider inadmissible any petition or communication submitted under Articles 44 or 45 if: (a) any of the requirements indicated in Article 46 has not been met; (b) the petition or communication does not state facts that tend to establish a violation of the rights guaranteed by this Convention; (c) the statements of the petitioner or of the state indicate that the petition or communication is manifestly groundless or obviously out of order, or (d) the petition or communication is substantially the same as one previously studied by the Commission or by another international organization.</w:t>
      </w:r>
      <w:r w:rsidRPr="000E696E">
        <w:rPr>
          <w:rFonts w:ascii="Verdana" w:hAnsi="Verdana" w:cs="Tahoma"/>
          <w:sz w:val="16"/>
          <w:szCs w:val="16"/>
          <w:lang w:val="en-US"/>
        </w:rPr>
        <w:t>”</w:t>
      </w:r>
    </w:p>
  </w:footnote>
  <w:footnote w:id="17">
    <w:p w14:paraId="482EADB4" w14:textId="392C8775" w:rsidR="0068647C" w:rsidRPr="000E696E" w:rsidRDefault="0068647C" w:rsidP="00AA1EBF">
      <w:pPr>
        <w:spacing w:after="60"/>
        <w:jc w:val="both"/>
        <w:rPr>
          <w:rFonts w:ascii="Verdana" w:hAnsi="Verdana"/>
          <w:b/>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w:t>
      </w:r>
      <w:r w:rsidRPr="000E696E">
        <w:rPr>
          <w:rStyle w:val="Textoennegrita"/>
          <w:rFonts w:ascii="Verdana" w:hAnsi="Verdana"/>
          <w:b w:val="0"/>
          <w:i/>
          <w:color w:val="000000"/>
          <w:sz w:val="16"/>
          <w:szCs w:val="16"/>
          <w:shd w:val="clear" w:color="auto" w:fill="FFFFFF"/>
          <w:lang w:val="en-US"/>
        </w:rPr>
        <w:t xml:space="preserve">Case of Furlan and family v. Argentina, supra, </w:t>
      </w:r>
      <w:r w:rsidRPr="000E696E">
        <w:rPr>
          <w:rStyle w:val="Textoennegrita"/>
          <w:rFonts w:ascii="Verdana" w:hAnsi="Verdana"/>
          <w:b w:val="0"/>
          <w:color w:val="000000"/>
          <w:sz w:val="16"/>
          <w:szCs w:val="16"/>
          <w:shd w:val="clear" w:color="auto" w:fill="FFFFFF"/>
          <w:lang w:val="en-US"/>
        </w:rPr>
        <w:t>para. 52.</w:t>
      </w:r>
    </w:p>
  </w:footnote>
  <w:footnote w:id="18">
    <w:p w14:paraId="41CAA410" w14:textId="709085D5"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w:t>
      </w:r>
      <w:r w:rsidRPr="000E696E">
        <w:rPr>
          <w:rFonts w:ascii="Verdana" w:hAnsi="Verdana"/>
          <w:sz w:val="16"/>
          <w:szCs w:val="16"/>
          <w:lang w:val="en-US"/>
        </w:rPr>
        <w:t>Brief of October 13, 1993 (evidence file, annexes to the Merits Report, f. 588).</w:t>
      </w:r>
    </w:p>
  </w:footnote>
  <w:footnote w:id="19">
    <w:p w14:paraId="1604D334" w14:textId="733C7AAB"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Observations of the IACHR on the preliminary objections filed by the State (evidence file, annexes to the Merits Report f. 361, para. 33)</w:t>
      </w:r>
    </w:p>
  </w:footnote>
  <w:footnote w:id="20">
    <w:p w14:paraId="5227401D" w14:textId="576CCE8F"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Brief of October 13, 1993 (evidence file, annexes to the Merits Report, f. 588).</w:t>
      </w:r>
    </w:p>
  </w:footnote>
  <w:footnote w:id="21">
    <w:p w14:paraId="13090587" w14:textId="377322A4"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Complaint of July 26, 1989 (evidence file, annexes to the Merits Report, ff. 231 and 232).</w:t>
      </w:r>
    </w:p>
  </w:footnote>
  <w:footnote w:id="22">
    <w:p w14:paraId="347DBA31" w14:textId="6E2C5C7D" w:rsidR="0068647C" w:rsidRPr="000E696E" w:rsidRDefault="0068647C" w:rsidP="00D61BD2">
      <w:pPr>
        <w:pStyle w:val="Textonotapie"/>
      </w:pPr>
      <w:r w:rsidRPr="000E696E">
        <w:rPr>
          <w:rStyle w:val="Refdenotaalpie"/>
          <w:rFonts w:eastAsia="Calibri"/>
          <w:sz w:val="16"/>
          <w:lang w:eastAsia="en-US"/>
        </w:rPr>
        <w:footnoteRef/>
      </w:r>
      <w:r w:rsidRPr="000E696E">
        <w:rPr>
          <w:rStyle w:val="Refdenotaalpie"/>
          <w:rFonts w:eastAsia="Calibri"/>
          <w:sz w:val="16"/>
          <w:lang w:eastAsia="en-US"/>
        </w:rPr>
        <w:t xml:space="preserve"> </w:t>
      </w:r>
      <w:r w:rsidRPr="000E696E">
        <w:rPr>
          <w:rFonts w:eastAsia="Calibri"/>
          <w:lang w:eastAsia="en-US"/>
        </w:rPr>
        <w:t xml:space="preserve"> </w:t>
      </w:r>
      <w:r w:rsidRPr="000E696E">
        <w:rPr>
          <w:rFonts w:eastAsia="Calibri"/>
          <w:lang w:eastAsia="en-US"/>
        </w:rPr>
        <w:tab/>
      </w:r>
      <w:r w:rsidRPr="000E696E">
        <w:rPr>
          <w:i/>
        </w:rPr>
        <w:t>Cf.</w:t>
      </w:r>
      <w:r w:rsidRPr="000E696E">
        <w:t xml:space="preserve"> </w:t>
      </w:r>
      <w:r w:rsidRPr="000E696E">
        <w:rPr>
          <w:rStyle w:val="Textoennegrita"/>
          <w:b w:val="0"/>
          <w:i/>
          <w:color w:val="000000"/>
          <w:shd w:val="clear" w:color="auto" w:fill="FFFFFF"/>
        </w:rPr>
        <w:t>Case of Veliz Franco et al. v. Guatemala.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Preliminary objections, merits, reparations and costs.</w:t>
      </w:r>
      <w:r w:rsidRPr="000E696E">
        <w:rPr>
          <w:rStyle w:val="Textoennegrita"/>
          <w:b w:val="0"/>
          <w:color w:val="000000"/>
          <w:shd w:val="clear" w:color="auto" w:fill="FFFFFF"/>
        </w:rPr>
        <w:t xml:space="preserve"> Judgment of May 19, 2014. Series C No. 277, para. 25, and </w:t>
      </w:r>
      <w:r w:rsidRPr="000E696E">
        <w:rPr>
          <w:rStyle w:val="Textoennegrita"/>
          <w:b w:val="0"/>
          <w:i/>
          <w:color w:val="000000"/>
          <w:shd w:val="clear" w:color="auto" w:fill="FFFFFF"/>
        </w:rPr>
        <w:t>Case of I.V. v. Bolivia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Preliminary objections, merits, reparations and costs.</w:t>
      </w:r>
      <w:r w:rsidRPr="000E696E">
        <w:rPr>
          <w:rStyle w:val="Textoennegrita"/>
          <w:b w:val="0"/>
          <w:color w:val="000000"/>
          <w:shd w:val="clear" w:color="auto" w:fill="FFFFFF"/>
        </w:rPr>
        <w:t xml:space="preserve"> Judgment of November 30, 2016. Series C No. 329, para. 45.</w:t>
      </w:r>
    </w:p>
  </w:footnote>
  <w:footnote w:id="23">
    <w:p w14:paraId="2143C715" w14:textId="2F7329AC"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Case of Lagos del Campo v. Peru</w:t>
      </w:r>
      <w:r w:rsidRPr="000E696E">
        <w:t>. Call to a hearing, supra, para. 9.</w:t>
      </w:r>
    </w:p>
  </w:footnote>
  <w:footnote w:id="24">
    <w:p w14:paraId="403923A8" w14:textId="0D1FA6F6" w:rsidR="0068647C" w:rsidRPr="000E696E" w:rsidRDefault="0068647C" w:rsidP="00D61BD2">
      <w:pPr>
        <w:pStyle w:val="Textonotapie"/>
      </w:pPr>
      <w:r w:rsidRPr="000E696E">
        <w:rPr>
          <w:rStyle w:val="Refdenotaalpie"/>
          <w:sz w:val="16"/>
        </w:rPr>
        <w:footnoteRef/>
      </w:r>
      <w:r w:rsidRPr="00B06D8F">
        <w:rPr>
          <w:lang w:val="es-CR"/>
        </w:rPr>
        <w:t xml:space="preserve"> </w:t>
      </w:r>
      <w:r w:rsidRPr="00B06D8F">
        <w:rPr>
          <w:lang w:val="es-CR"/>
        </w:rPr>
        <w:tab/>
      </w:r>
      <w:r w:rsidRPr="00B06D8F">
        <w:rPr>
          <w:i/>
          <w:lang w:val="es-CR"/>
        </w:rPr>
        <w:t>Cf.</w:t>
      </w:r>
      <w:r w:rsidRPr="00B06D8F">
        <w:rPr>
          <w:lang w:val="es-CR"/>
        </w:rPr>
        <w:t xml:space="preserve"> </w:t>
      </w:r>
      <w:r w:rsidRPr="00B06D8F">
        <w:rPr>
          <w:i/>
          <w:iCs/>
          <w:lang w:val="es-CR"/>
        </w:rPr>
        <w:t xml:space="preserve">Case of Velásquez Rodríguez v. Honduras. </w:t>
      </w:r>
      <w:r w:rsidRPr="00B06D8F">
        <w:rPr>
          <w:i/>
          <w:iCs/>
        </w:rPr>
        <w:t>Merits.</w:t>
      </w:r>
      <w:r w:rsidRPr="000E696E">
        <w:t xml:space="preserve"> Judgment of July 29, 1988. </w:t>
      </w:r>
      <w:r w:rsidRPr="00B06D8F">
        <w:t xml:space="preserve">Series 04, para. </w:t>
      </w:r>
      <w:r w:rsidRPr="004204B2">
        <w:rPr>
          <w:lang w:val="es-CR"/>
        </w:rPr>
        <w:t xml:space="preserve">140; </w:t>
      </w:r>
      <w:r w:rsidRPr="00B06D8F">
        <w:rPr>
          <w:i/>
          <w:iCs/>
          <w:lang w:val="es-CR"/>
        </w:rPr>
        <w:t xml:space="preserve">Case of Tenorio Roca et al. v. </w:t>
      </w:r>
      <w:r w:rsidRPr="00B06D8F">
        <w:rPr>
          <w:i/>
          <w:iCs/>
          <w:lang w:val="es-CR"/>
        </w:rPr>
        <w:t>Peru, supra</w:t>
      </w:r>
      <w:r w:rsidRPr="004204B2">
        <w:rPr>
          <w:lang w:val="es-CR"/>
        </w:rPr>
        <w:t xml:space="preserve">, para. </w:t>
      </w:r>
      <w:r w:rsidRPr="000E696E">
        <w:t>36,</w:t>
      </w:r>
      <w:r w:rsidRPr="000E696E">
        <w:rPr>
          <w:rStyle w:val="apple-converted-space"/>
        </w:rPr>
        <w:t xml:space="preserve"> and </w:t>
      </w:r>
      <w:r w:rsidRPr="000E696E">
        <w:rPr>
          <w:rStyle w:val="apple-converted-space"/>
          <w:i/>
        </w:rPr>
        <w:t>Case of Zegarra Marín v. Peru</w:t>
      </w:r>
      <w:r w:rsidRPr="000E696E">
        <w:rPr>
          <w:rStyle w:val="apple-converted-space"/>
        </w:rPr>
        <w:t>,</w:t>
      </w:r>
      <w:r w:rsidRPr="000E696E">
        <w:rPr>
          <w:rStyle w:val="apple-converted-space"/>
          <w:i/>
        </w:rPr>
        <w:t xml:space="preserve"> </w:t>
      </w:r>
      <w:r w:rsidRPr="000E696E">
        <w:rPr>
          <w:iCs/>
        </w:rPr>
        <w:t>supra</w:t>
      </w:r>
      <w:r w:rsidRPr="000E696E">
        <w:t>, para. 58.</w:t>
      </w:r>
    </w:p>
  </w:footnote>
  <w:footnote w:id="25">
    <w:p w14:paraId="53D859BA" w14:textId="5F31DC6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 xml:space="preserve">Cf. Case of Reverón Trujillo v. Venezuela. </w:t>
      </w:r>
      <w:r w:rsidRPr="000E696E">
        <w:t>Call to a public hearing.</w:t>
      </w:r>
      <w:r w:rsidRPr="000E696E">
        <w:rPr>
          <w:i/>
        </w:rPr>
        <w:t xml:space="preserve"> </w:t>
      </w:r>
      <w:r w:rsidRPr="000E696E">
        <w:t xml:space="preserve">Order of the President of the Court of September 24, 2008, </w:t>
      </w:r>
      <w:r w:rsidRPr="000E696E">
        <w:rPr>
          <w:i/>
          <w:iCs/>
        </w:rPr>
        <w:t>considerandum</w:t>
      </w:r>
      <w:r w:rsidRPr="000E696E">
        <w:t xml:space="preserve"> 18, </w:t>
      </w:r>
      <w:r w:rsidRPr="000E696E">
        <w:rPr>
          <w:iCs/>
        </w:rPr>
        <w:t xml:space="preserve">and </w:t>
      </w:r>
      <w:r w:rsidRPr="000E696E">
        <w:rPr>
          <w:bCs/>
          <w:i/>
        </w:rPr>
        <w:t xml:space="preserve">Case of Castillo González et al. v. Venezuela. Merits. </w:t>
      </w:r>
      <w:r w:rsidRPr="000E696E">
        <w:rPr>
          <w:bCs/>
        </w:rPr>
        <w:t>Judgment of November 27, 2012. Series C No. 256, para. 33</w:t>
      </w:r>
      <w:r w:rsidRPr="000E696E">
        <w:rPr>
          <w:bCs/>
          <w:i/>
        </w:rPr>
        <w:t>.</w:t>
      </w:r>
      <w:r w:rsidRPr="000E696E">
        <w:rPr>
          <w:bCs/>
        </w:rPr>
        <w:t xml:space="preserve"> </w:t>
      </w:r>
    </w:p>
  </w:footnote>
  <w:footnote w:id="26">
    <w:p w14:paraId="2DF726FD" w14:textId="5C48AE2B" w:rsidR="0068647C" w:rsidRPr="000E696E" w:rsidRDefault="0068647C" w:rsidP="00D61BD2">
      <w:pPr>
        <w:widowControl w:val="0"/>
        <w:suppressLineNumbers/>
        <w:tabs>
          <w:tab w:val="left" w:pos="709"/>
        </w:tabs>
        <w:suppressAutoHyphens/>
        <w:spacing w:after="60"/>
        <w:jc w:val="both"/>
        <w:rPr>
          <w:rFonts w:ascii="Verdana" w:hAnsi="Verdana"/>
          <w:i/>
          <w:sz w:val="16"/>
          <w:szCs w:val="16"/>
          <w:lang w:val="en-US"/>
        </w:rPr>
      </w:pPr>
      <w:r w:rsidRPr="000E696E">
        <w:rPr>
          <w:rStyle w:val="Refdenotaalpie"/>
          <w:sz w:val="16"/>
          <w:szCs w:val="16"/>
          <w:lang w:val="en-US"/>
        </w:rPr>
        <w:footnoteRef/>
      </w:r>
      <w:r w:rsidRPr="000E696E">
        <w:rPr>
          <w:rFonts w:ascii="Verdana" w:hAnsi="Verdana"/>
          <w:sz w:val="16"/>
          <w:szCs w:val="16"/>
          <w:vertAlign w:val="superscript"/>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i/>
          <w:sz w:val="16"/>
          <w:szCs w:val="16"/>
          <w:lang w:val="en-US"/>
        </w:rPr>
        <w:t xml:space="preserve">Case of the “White Van” (Paniagua Morales et al.) v. Guatemala. Merits. </w:t>
      </w:r>
      <w:r w:rsidRPr="000E696E">
        <w:rPr>
          <w:rFonts w:ascii="Verdana" w:hAnsi="Verdana"/>
          <w:sz w:val="16"/>
          <w:szCs w:val="16"/>
          <w:lang w:val="en-US"/>
        </w:rPr>
        <w:t xml:space="preserve">Judgment of March 8, 1998. Series C No. 37, para. 76, and </w:t>
      </w:r>
      <w:r w:rsidRPr="000E696E">
        <w:rPr>
          <w:rStyle w:val="apple-converted-space"/>
          <w:rFonts w:ascii="Verdana" w:hAnsi="Verdana"/>
          <w:i/>
          <w:sz w:val="16"/>
          <w:szCs w:val="16"/>
          <w:lang w:val="en-US"/>
        </w:rPr>
        <w:t xml:space="preserve">Case of Tenorio Roca et al. v. Peru, supra </w:t>
      </w:r>
      <w:r w:rsidRPr="000E696E">
        <w:rPr>
          <w:rStyle w:val="apple-converted-space"/>
          <w:rFonts w:ascii="Verdana" w:hAnsi="Verdana"/>
          <w:sz w:val="16"/>
          <w:szCs w:val="16"/>
          <w:lang w:val="en-US"/>
        </w:rPr>
        <w:t>para. 45.</w:t>
      </w:r>
    </w:p>
  </w:footnote>
  <w:footnote w:id="27">
    <w:p w14:paraId="7D9F7965" w14:textId="3FE2E55B" w:rsidR="0068647C" w:rsidRPr="000E696E" w:rsidRDefault="0068647C" w:rsidP="00D61BD2">
      <w:pPr>
        <w:widowControl w:val="0"/>
        <w:suppressLineNumbers/>
        <w:tabs>
          <w:tab w:val="left" w:pos="709"/>
        </w:tabs>
        <w:suppressAutoHyphens/>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Case of Loayza Tamayo v. Peru. Merits. </w:t>
      </w:r>
      <w:r w:rsidRPr="000E696E">
        <w:rPr>
          <w:rFonts w:ascii="Verdana" w:hAnsi="Verdana"/>
          <w:sz w:val="16"/>
          <w:szCs w:val="16"/>
          <w:lang w:val="en-US"/>
        </w:rPr>
        <w:t xml:space="preserve">Judgment of September 17, 1997. Series C No. 33, para. 43, and </w:t>
      </w:r>
      <w:r w:rsidRPr="000E696E">
        <w:rPr>
          <w:rFonts w:ascii="Verdana" w:hAnsi="Verdana"/>
          <w:i/>
          <w:sz w:val="16"/>
          <w:szCs w:val="16"/>
          <w:lang w:val="en-US"/>
        </w:rPr>
        <w:t>Case of Favela Nova Brasilia v. Brazil.</w:t>
      </w:r>
      <w:r w:rsidRPr="000E696E">
        <w:rPr>
          <w:rFonts w:ascii="Verdana" w:hAnsi="Verdana"/>
          <w:sz w:val="16"/>
          <w:szCs w:val="16"/>
          <w:lang w:val="en-US"/>
        </w:rPr>
        <w:t xml:space="preserve"> </w:t>
      </w:r>
      <w:r w:rsidRPr="000E696E">
        <w:rPr>
          <w:rFonts w:ascii="Verdana" w:hAnsi="Verdana"/>
          <w:i/>
          <w:sz w:val="16"/>
          <w:szCs w:val="16"/>
          <w:lang w:val="en-US"/>
        </w:rPr>
        <w:t xml:space="preserve">Preliminary objections, merits, reparations and costs. </w:t>
      </w:r>
      <w:r w:rsidRPr="000E696E">
        <w:rPr>
          <w:rFonts w:ascii="Verdana" w:hAnsi="Verdana"/>
          <w:sz w:val="16"/>
          <w:szCs w:val="16"/>
          <w:lang w:val="en-US"/>
        </w:rPr>
        <w:t>Judgment of February 16, 2017. Series C No. 333, para. 98.</w:t>
      </w:r>
    </w:p>
  </w:footnote>
  <w:footnote w:id="28">
    <w:p w14:paraId="5C7C1BB8" w14:textId="7B024F14"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President of the Republic of Peru. Decree-Law 18350 General Industries Act. July 7, 1970. May be consulted at:  </w:t>
      </w:r>
      <w:hyperlink r:id="rId3" w:history="1">
        <w:r w:rsidRPr="000E696E">
          <w:rPr>
            <w:rStyle w:val="Hipervnculo"/>
            <w:rFonts w:ascii="Verdana" w:hAnsi="Verdana"/>
            <w:sz w:val="16"/>
            <w:szCs w:val="16"/>
            <w:lang w:val="en-US"/>
          </w:rPr>
          <w:t>http://peru.justia.com/federales/decretos-leyes/18350-jul-27-1970/gdoc/</w:t>
        </w:r>
      </w:hyperlink>
      <w:r w:rsidRPr="000E696E">
        <w:rPr>
          <w:rFonts w:ascii="Verdana" w:hAnsi="Verdana"/>
          <w:sz w:val="16"/>
          <w:szCs w:val="16"/>
          <w:lang w:val="en-US"/>
        </w:rPr>
        <w:t xml:space="preserve"> </w:t>
      </w:r>
    </w:p>
  </w:footnote>
  <w:footnote w:id="29">
    <w:p w14:paraId="26E80C5C" w14:textId="0992F436" w:rsidR="0068647C" w:rsidRPr="000E696E" w:rsidRDefault="0068647C" w:rsidP="00D61BD2">
      <w:pPr>
        <w:pStyle w:val="Textonotapie"/>
      </w:pPr>
      <w:r w:rsidRPr="000E696E">
        <w:rPr>
          <w:rStyle w:val="Refdenotaalpie"/>
          <w:sz w:val="16"/>
        </w:rPr>
        <w:footnoteRef/>
      </w:r>
      <w:r w:rsidRPr="000E696E">
        <w:t xml:space="preserve"> </w:t>
      </w:r>
      <w:r w:rsidRPr="000E696E">
        <w:tab/>
        <w:t xml:space="preserve">Purposes: (a) strengthening the industrial company by worker participation in management, productive process, ownership and reinvestment; (b) incorporation of the workers into the management of the industrial company to protect their rights and interests; (c) administration of acquired rights to the benefit of the workers, and (d) promotion of the social, cultural, professional and technical development of the workers. President of the Republic of Peru. Decree-Law 18384 General Industries Act. September 1, 1970. Art. 3. May be consulted at: </w:t>
      </w:r>
      <w:hyperlink r:id="rId4" w:history="1">
        <w:r w:rsidRPr="000E696E">
          <w:rPr>
            <w:rStyle w:val="Hipervnculo"/>
          </w:rPr>
          <w:t>http://docs.peru.justia.com/federales/decretos-leyes/18384-sep-1-1970.pdf</w:t>
        </w:r>
      </w:hyperlink>
    </w:p>
  </w:footnote>
  <w:footnote w:id="30">
    <w:p w14:paraId="5F77499E" w14:textId="68DD68B1"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President of the Republic of Peru. Decree-Law 21789. Industrial Community Act. February 1, 1977. May be consulted at: http: //www4.Congress.gob.pe/ntley/imagenes/Lawes/21789.pdf (evidence file, annex 1 to the Merits Report, ff. 5 bis to 14 bis).</w:t>
      </w:r>
    </w:p>
  </w:footnote>
  <w:footnote w:id="31">
    <w:p w14:paraId="7E502329" w14:textId="492794D2"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1</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establishes: “Article 1. </w:t>
      </w:r>
      <w:r w:rsidRPr="000E696E">
        <w:rPr>
          <w:rFonts w:ascii="Verdana" w:hAnsi="Verdana"/>
          <w:color w:val="000000"/>
          <w:sz w:val="16"/>
          <w:szCs w:val="16"/>
          <w:lang w:val="en-US"/>
        </w:rPr>
        <w:t>The Industrial Community of an industrial company of the reformed private sector is composed of all its permanent workers, who participate in its ownership, management and profits. The Industrial Community is a private legal entity and is governed by the provisions of this Act and any others that may be applicable.”</w:t>
      </w:r>
    </w:p>
  </w:footnote>
  <w:footnote w:id="32">
    <w:p w14:paraId="6361EA42" w14:textId="6043164F" w:rsidR="0068647C" w:rsidRPr="000E696E" w:rsidRDefault="0068647C" w:rsidP="00AA1EBF">
      <w:pPr>
        <w:spacing w:after="60"/>
        <w:contextualSpacing/>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The law established that, every year, the industrial company would deduct 15% of its net income, tax-free, to constitute the patrimony of its workers and to provide resources for the Industrial Community until this attained a sum equivalent to 50% of the company’s social capital. “</w:t>
      </w:r>
      <w:r w:rsidRPr="000E696E">
        <w:rPr>
          <w:rFonts w:ascii="Verdana" w:hAnsi="Verdana"/>
          <w:color w:val="000000"/>
          <w:sz w:val="16"/>
          <w:szCs w:val="16"/>
          <w:lang w:val="en-US"/>
        </w:rPr>
        <w:t>Article 38</w:t>
      </w:r>
      <w:r w:rsidRPr="000E696E">
        <w:rPr>
          <w:rStyle w:val="st1"/>
          <w:rFonts w:ascii="Verdana" w:hAnsi="Verdana" w:cs="Arial"/>
          <w:color w:val="000000"/>
          <w:sz w:val="16"/>
          <w:szCs w:val="16"/>
          <w:lang w:val="en-US"/>
        </w:rPr>
        <w:t>.</w:t>
      </w:r>
      <w:r w:rsidRPr="000E696E">
        <w:rPr>
          <w:rFonts w:ascii="Verdana" w:hAnsi="Verdana"/>
          <w:color w:val="000000"/>
          <w:sz w:val="16"/>
          <w:szCs w:val="16"/>
          <w:lang w:val="en-US"/>
        </w:rPr>
        <w:t xml:space="preserve"> The industrial company shall deduct 15% per year of its net income, tax-free, </w:t>
      </w:r>
      <w:r w:rsidRPr="000E696E">
        <w:rPr>
          <w:rFonts w:ascii="Verdana" w:hAnsi="Verdana"/>
          <w:sz w:val="16"/>
          <w:szCs w:val="16"/>
          <w:lang w:val="en-US"/>
        </w:rPr>
        <w:t>to constitute the patrimony of its workers and to provide resources to the Industrial Community as follows: (a) 13.5% of the net income to constitute and to increase the patrimony of the workers pursuant to the investment options set forth in Article 40 of this Act, until this attains a sum equivalent to 50% of the company’s social capital. The provisions of this paragraph shall be complied with pursuant to the regulatory provisions corresponding to each investment option; (b) 1.5% of the net income to constitute and to reinforce the patrimony</w:t>
      </w:r>
      <w:r w:rsidRPr="000E696E">
        <w:rPr>
          <w:rFonts w:ascii="Verdana" w:hAnsi="Verdana"/>
          <w:color w:val="000000"/>
          <w:sz w:val="16"/>
          <w:szCs w:val="16"/>
          <w:lang w:val="en-US"/>
        </w:rPr>
        <w:t xml:space="preserve"> of the Industrial Community, which shall be delivered within 30 days of the presentation of the annual balance sheet to the tax authorities. Article 39. When the amount of the Workers Patrimonial Participation Account, the composition of which is established in the following article, attains a sum equivalent to 50% of the company’s social capital, except in the case of Article 53, only 1.5% of the net income referred to in paragraph (b) of the preceding article shall be deducted. When there is an increase in the social capital not included in the following paragraph or when, due to redemption of the different values that constitute the Workers Patrimonial Participation Account, this amounts to less than 50% of the social capital, the company shall again deduct part of or the whole percentage referred to in paragraph (a) of Article 38 until the amount in this account again attains a sum equivalent to 50% of the social capital. When the social capital increases owing to revaluation of the patrimony or capitalization of reserves, the company shall issue Workers Shares for a sum proportionate to the degree of ownership that the workers possess in relation to the company’s patrimony at the time of the increase in capital, distributing these shares among the workers in the appropriate proportion.</w:t>
      </w:r>
      <w:r w:rsidRPr="000E696E">
        <w:rPr>
          <w:rFonts w:ascii="Verdana" w:eastAsia="Times New Roman" w:hAnsi="Verdana" w:cs="Arial"/>
          <w:iCs/>
          <w:color w:val="000000"/>
          <w:sz w:val="16"/>
          <w:szCs w:val="16"/>
          <w:lang w:val="en-US" w:eastAsia="es-CR"/>
        </w:rPr>
        <w:t>”</w:t>
      </w:r>
      <w:r w:rsidRPr="000E696E">
        <w:rPr>
          <w:rFonts w:ascii="Verdana" w:hAnsi="Verdana"/>
          <w:color w:val="000000"/>
          <w:sz w:val="16"/>
          <w:szCs w:val="16"/>
          <w:lang w:val="en-US"/>
        </w:rPr>
        <w:t xml:space="preserve"> </w:t>
      </w:r>
    </w:p>
    <w:p w14:paraId="1DD3B050" w14:textId="77777777" w:rsidR="0068647C" w:rsidRPr="000E696E" w:rsidRDefault="0068647C" w:rsidP="00AA1EBF">
      <w:pPr>
        <w:spacing w:after="60"/>
        <w:contextualSpacing/>
        <w:jc w:val="both"/>
        <w:rPr>
          <w:rFonts w:ascii="Verdana" w:hAnsi="Verdana"/>
          <w:color w:val="000000"/>
          <w:sz w:val="6"/>
          <w:szCs w:val="6"/>
          <w:lang w:val="en-US"/>
        </w:rPr>
      </w:pPr>
    </w:p>
  </w:footnote>
  <w:footnote w:id="33">
    <w:p w14:paraId="3E64C450" w14:textId="00136DA3" w:rsidR="0068647C" w:rsidRPr="000E696E" w:rsidRDefault="0068647C" w:rsidP="00AA1EBF">
      <w:pPr>
        <w:autoSpaceDE w:val="0"/>
        <w:autoSpaceDN w:val="0"/>
        <w:adjustRightInd w:val="0"/>
        <w:spacing w:after="60"/>
        <w:jc w:val="both"/>
        <w:rPr>
          <w:rFonts w:ascii="Verdana" w:hAnsi="Verdana"/>
          <w:strike/>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3</w:t>
      </w:r>
      <w:r w:rsidRPr="000E696E">
        <w:rPr>
          <w:rFonts w:ascii="Verdana" w:hAnsi="Verdana"/>
          <w:color w:val="000000"/>
          <w:sz w:val="16"/>
          <w:szCs w:val="16"/>
          <w:lang w:val="en-US"/>
        </w:rPr>
        <w:t xml:space="preserve"> </w:t>
      </w:r>
      <w:r w:rsidRPr="000E696E">
        <w:rPr>
          <w:rFonts w:ascii="Verdana" w:hAnsi="Verdana"/>
          <w:sz w:val="16"/>
          <w:szCs w:val="16"/>
          <w:lang w:val="en-US"/>
        </w:rPr>
        <w:t>of the Decree-Law in force at the time of the facts.</w:t>
      </w:r>
    </w:p>
  </w:footnote>
  <w:footnote w:id="34">
    <w:p w14:paraId="3EFC4669" w14:textId="344B8AE8" w:rsidR="0068647C" w:rsidRPr="000E696E" w:rsidRDefault="0068647C" w:rsidP="00AA1EBF">
      <w:pPr>
        <w:autoSpaceDE w:val="0"/>
        <w:autoSpaceDN w:val="0"/>
        <w:adjustRightInd w:val="0"/>
        <w:spacing w:after="60"/>
        <w:jc w:val="both"/>
        <w:rPr>
          <w:rFonts w:ascii="Verdana" w:hAnsi="Verdana"/>
          <w:strike/>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2</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35">
    <w:p w14:paraId="6F260ED8" w14:textId="54DC07B6" w:rsidR="0068647C" w:rsidRPr="000E696E" w:rsidRDefault="0068647C" w:rsidP="00AA1EBF">
      <w:pPr>
        <w:autoSpaceDE w:val="0"/>
        <w:autoSpaceDN w:val="0"/>
        <w:adjustRightInd w:val="0"/>
        <w:spacing w:after="60"/>
        <w:jc w:val="both"/>
        <w:rPr>
          <w:rFonts w:ascii="Verdana" w:hAnsi="Verdana"/>
          <w:strike/>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20</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36">
    <w:p w14:paraId="22147978" w14:textId="5C95E2A9"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29</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37">
    <w:p w14:paraId="0684B3F5" w14:textId="78AEFACF" w:rsidR="0068647C" w:rsidRPr="000E696E" w:rsidRDefault="0068647C" w:rsidP="00AA1EBF">
      <w:pPr>
        <w:autoSpaceDE w:val="0"/>
        <w:autoSpaceDN w:val="0"/>
        <w:adjustRightInd w:val="0"/>
        <w:spacing w:after="60"/>
        <w:jc w:val="both"/>
        <w:rPr>
          <w:rFonts w:ascii="Verdana" w:eastAsia="Times New Roman" w:hAnsi="Verdana" w:cs="Arial"/>
          <w:iCs/>
          <w:strike/>
          <w:color w:val="000000"/>
          <w:sz w:val="16"/>
          <w:szCs w:val="16"/>
          <w:lang w:val="en-US" w:eastAsia="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33</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38">
    <w:p w14:paraId="2BF87CCC" w14:textId="6BD8CB30" w:rsidR="0068647C" w:rsidRPr="000E696E" w:rsidRDefault="0068647C" w:rsidP="00AA1EBF">
      <w:pPr>
        <w:autoSpaceDE w:val="0"/>
        <w:autoSpaceDN w:val="0"/>
        <w:adjustRightInd w:val="0"/>
        <w:spacing w:after="60"/>
        <w:jc w:val="both"/>
        <w:rPr>
          <w:rFonts w:ascii="Verdana" w:eastAsia="Times New Roman" w:hAnsi="Verdana" w:cs="Arial"/>
          <w:iCs/>
          <w:strike/>
          <w:color w:val="000000"/>
          <w:sz w:val="16"/>
          <w:szCs w:val="16"/>
          <w:lang w:val="en-US" w:eastAsia="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67</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39">
    <w:p w14:paraId="76D859D3" w14:textId="76F7D12B" w:rsidR="0068647C" w:rsidRPr="000E696E" w:rsidRDefault="0068647C" w:rsidP="00AA1EBF">
      <w:pPr>
        <w:autoSpaceDE w:val="0"/>
        <w:autoSpaceDN w:val="0"/>
        <w:adjustRightInd w:val="0"/>
        <w:spacing w:after="60"/>
        <w:jc w:val="both"/>
        <w:rPr>
          <w:rFonts w:ascii="Verdana" w:eastAsia="Times New Roman" w:hAnsi="Verdana" w:cs="Arial"/>
          <w:iCs/>
          <w:color w:val="000000"/>
          <w:sz w:val="16"/>
          <w:szCs w:val="16"/>
          <w:lang w:val="en-US" w:eastAsia="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61</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40">
    <w:p w14:paraId="64FAEAF0" w14:textId="1C204BA5" w:rsidR="0068647C" w:rsidRPr="000E696E" w:rsidRDefault="0068647C" w:rsidP="00AA1EBF">
      <w:pPr>
        <w:autoSpaceDE w:val="0"/>
        <w:autoSpaceDN w:val="0"/>
        <w:adjustRightInd w:val="0"/>
        <w:spacing w:after="60"/>
        <w:jc w:val="both"/>
        <w:rPr>
          <w:rFonts w:ascii="Verdana" w:eastAsia="Times New Roman" w:hAnsi="Verdana" w:cs="Arial"/>
          <w:iCs/>
          <w:color w:val="000000"/>
          <w:sz w:val="16"/>
          <w:szCs w:val="16"/>
          <w:lang w:val="en-US" w:eastAsia="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16</w:t>
      </w:r>
      <w:r w:rsidRPr="000E696E">
        <w:rPr>
          <w:rFonts w:ascii="Verdana" w:hAnsi="Verdana"/>
          <w:color w:val="000000"/>
          <w:sz w:val="16"/>
          <w:szCs w:val="16"/>
          <w:lang w:val="en-US"/>
        </w:rPr>
        <w:t xml:space="preserve"> </w:t>
      </w:r>
      <w:r w:rsidRPr="000E696E">
        <w:rPr>
          <w:rFonts w:ascii="Verdana" w:hAnsi="Verdana"/>
          <w:sz w:val="16"/>
          <w:szCs w:val="16"/>
          <w:lang w:val="en-US"/>
        </w:rPr>
        <w:t xml:space="preserve">of the Decree-Law in force at the time of the facts. </w:t>
      </w:r>
    </w:p>
  </w:footnote>
  <w:footnote w:id="41">
    <w:p w14:paraId="0913D9A0" w14:textId="4F7B3498" w:rsidR="0068647C" w:rsidRPr="000E696E" w:rsidRDefault="0068647C" w:rsidP="00AA1EBF">
      <w:pPr>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26</w:t>
      </w:r>
      <w:r w:rsidRPr="000E696E">
        <w:rPr>
          <w:rFonts w:ascii="Verdana" w:hAnsi="Verdana"/>
          <w:color w:val="000000"/>
          <w:sz w:val="16"/>
          <w:szCs w:val="16"/>
          <w:lang w:val="en-US"/>
        </w:rPr>
        <w:t xml:space="preserve"> </w:t>
      </w:r>
      <w:r w:rsidRPr="000E696E">
        <w:rPr>
          <w:rFonts w:ascii="Verdana" w:hAnsi="Verdana"/>
          <w:sz w:val="16"/>
          <w:szCs w:val="16"/>
          <w:lang w:val="en-US"/>
        </w:rPr>
        <w:t>of the Decree-Law in force at the time of the facts established:</w:t>
      </w:r>
      <w:r w:rsidRPr="000E696E">
        <w:rPr>
          <w:rFonts w:ascii="Verdana" w:hAnsi="Verdana"/>
          <w:color w:val="000000"/>
          <w:sz w:val="16"/>
          <w:szCs w:val="16"/>
          <w:lang w:val="en-US"/>
        </w:rPr>
        <w:t xml:space="preserve"> </w:t>
      </w:r>
      <w:r w:rsidRPr="000E696E">
        <w:rPr>
          <w:rFonts w:ascii="Verdana" w:hAnsi="Verdana"/>
          <w:sz w:val="16"/>
          <w:szCs w:val="16"/>
          <w:lang w:val="en-US"/>
        </w:rPr>
        <w:t>“</w:t>
      </w:r>
      <w:r w:rsidRPr="000E696E">
        <w:rPr>
          <w:rFonts w:ascii="Verdana" w:hAnsi="Verdana"/>
          <w:color w:val="000000"/>
          <w:sz w:val="16"/>
          <w:szCs w:val="16"/>
          <w:lang w:val="en-US"/>
        </w:rPr>
        <w:t>Article 26</w:t>
      </w:r>
      <w:r w:rsidRPr="000E696E">
        <w:rPr>
          <w:rStyle w:val="st1"/>
          <w:rFonts w:ascii="Verdana" w:hAnsi="Verdana" w:cs="Arial"/>
          <w:color w:val="000000"/>
          <w:sz w:val="16"/>
          <w:szCs w:val="16"/>
          <w:lang w:val="en-US"/>
        </w:rPr>
        <w:t>.</w:t>
      </w:r>
      <w:r w:rsidRPr="000E696E">
        <w:rPr>
          <w:rFonts w:ascii="Verdana" w:hAnsi="Verdana"/>
          <w:color w:val="000000"/>
          <w:sz w:val="16"/>
          <w:szCs w:val="16"/>
          <w:lang w:val="en-US"/>
        </w:rPr>
        <w:t xml:space="preserve">  Each year the General Assembly shall appoint an electoral committee, which shall be responsible for holding elections for the members of the Community Council and the representatives on the company’s Board, for each term, as well as those elections that are necessary to elect replacements for any of them in cases of resignation, vacancy or removal pursuant to the law and the Statutes, for the time remaining to complete the corresponding term.”</w:t>
      </w:r>
    </w:p>
  </w:footnote>
  <w:footnote w:id="42">
    <w:p w14:paraId="599079D5" w14:textId="3C7538A4" w:rsidR="0068647C" w:rsidRPr="000E696E" w:rsidRDefault="0068647C" w:rsidP="00AA1EBF">
      <w:pPr>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23</w:t>
      </w:r>
      <w:r w:rsidRPr="000E696E">
        <w:rPr>
          <w:rFonts w:ascii="Verdana" w:hAnsi="Verdana"/>
          <w:color w:val="000000"/>
          <w:sz w:val="16"/>
          <w:szCs w:val="16"/>
          <w:lang w:val="en-US"/>
        </w:rPr>
        <w:t xml:space="preserve"> </w:t>
      </w:r>
      <w:r w:rsidRPr="000E696E">
        <w:rPr>
          <w:rFonts w:ascii="Verdana" w:hAnsi="Verdana"/>
          <w:sz w:val="16"/>
          <w:szCs w:val="16"/>
          <w:lang w:val="en-US"/>
        </w:rPr>
        <w:t>of the Decree-Law in force at the time of the facts established:</w:t>
      </w:r>
      <w:r w:rsidRPr="000E696E">
        <w:rPr>
          <w:rFonts w:ascii="Verdana" w:hAnsi="Verdana"/>
          <w:color w:val="000000"/>
          <w:sz w:val="16"/>
          <w:szCs w:val="16"/>
          <w:lang w:val="en-US"/>
        </w:rPr>
        <w:t xml:space="preserve"> </w:t>
      </w:r>
      <w:r w:rsidRPr="000E696E">
        <w:rPr>
          <w:rFonts w:ascii="Verdana" w:hAnsi="Verdana"/>
          <w:sz w:val="16"/>
          <w:szCs w:val="16"/>
          <w:lang w:val="en-US"/>
        </w:rPr>
        <w:t>“</w:t>
      </w:r>
      <w:r w:rsidRPr="000E696E">
        <w:rPr>
          <w:rFonts w:ascii="Verdana" w:hAnsi="Verdana"/>
          <w:color w:val="000000"/>
          <w:sz w:val="16"/>
          <w:szCs w:val="16"/>
          <w:lang w:val="en-US"/>
        </w:rPr>
        <w:t>Article 23</w:t>
      </w:r>
      <w:r w:rsidRPr="000E696E">
        <w:rPr>
          <w:rStyle w:val="st1"/>
          <w:rFonts w:ascii="Verdana" w:hAnsi="Verdana" w:cs="Arial"/>
          <w:color w:val="000000"/>
          <w:sz w:val="16"/>
          <w:szCs w:val="16"/>
          <w:lang w:val="en-US"/>
        </w:rPr>
        <w:t>.</w:t>
      </w:r>
      <w:r w:rsidRPr="000E696E">
        <w:rPr>
          <w:rFonts w:ascii="Verdana" w:hAnsi="Verdana"/>
          <w:color w:val="000000"/>
          <w:sz w:val="16"/>
          <w:szCs w:val="16"/>
          <w:lang w:val="en-US"/>
        </w:rPr>
        <w:t xml:space="preserve"> It is the responsibility of the General Assembly of the Industrial Community : (a) To rule on the management, accounts and financial statements of the Community; (b) To adopt the Community’s Statute and amend it when necessary; (c) To request the competent authority to investigate the actions of the Community Council; (d) To order audits of the Community’s patrimony; (e) To appoint the Electoral Committee for the election of the members of the Community Council and the representatives on the Board; (f) To remove the President and other members of the Community Council; (g) To remove the workers’ representatives on the Board; (h) To revoke the Community Council’s agreements or decision when these are contrary to the law or the Community’s Statute; (i) To appoint the Community’s Liquidation Committee in case of liquidation; (j) To take decisions in cases in which the law or the statute so establishes, or in any other important matter related to the Community, and (k) To adopt the annual investment plan for the patrimonial participation of the Industrial Community.</w:t>
      </w:r>
      <w:r w:rsidRPr="000E696E">
        <w:rPr>
          <w:rFonts w:ascii="Verdana" w:eastAsia="Times New Roman" w:hAnsi="Verdana" w:cs="Arial"/>
          <w:iCs/>
          <w:color w:val="000000"/>
          <w:sz w:val="16"/>
          <w:szCs w:val="16"/>
          <w:lang w:val="en-US" w:eastAsia="es-CR"/>
        </w:rPr>
        <w:t>”</w:t>
      </w:r>
    </w:p>
  </w:footnote>
  <w:footnote w:id="43">
    <w:p w14:paraId="169ECEC0" w14:textId="47ED5F3F" w:rsidR="0068647C" w:rsidRPr="000E696E" w:rsidRDefault="0068647C" w:rsidP="00AA1EBF">
      <w:pPr>
        <w:autoSpaceDE w:val="0"/>
        <w:autoSpaceDN w:val="0"/>
        <w:adjustRightInd w:val="0"/>
        <w:spacing w:after="60"/>
        <w:jc w:val="both"/>
        <w:rPr>
          <w:rFonts w:ascii="Verdana" w:eastAsia="Times New Roman" w:hAnsi="Verdana" w:cs="Arial"/>
          <w:iCs/>
          <w:color w:val="000000"/>
          <w:sz w:val="16"/>
          <w:szCs w:val="16"/>
          <w:lang w:val="en-US" w:eastAsia="es-CR"/>
        </w:rPr>
      </w:pPr>
      <w:r w:rsidRPr="000E696E">
        <w:rPr>
          <w:rStyle w:val="Refdenotaalpie"/>
          <w:sz w:val="16"/>
          <w:szCs w:val="16"/>
          <w:lang w:val="en-US"/>
        </w:rPr>
        <w:footnoteRef/>
      </w:r>
      <w:r w:rsidRPr="000E696E">
        <w:rPr>
          <w:rStyle w:val="Refdenotaalpie"/>
          <w:sz w:val="16"/>
          <w:szCs w:val="16"/>
          <w:lang w:val="en-US"/>
        </w:rPr>
        <w:t xml:space="preserve"> </w:t>
      </w:r>
      <w:r w:rsidRPr="000E696E">
        <w:rPr>
          <w:rFonts w:ascii="Verdana" w:hAnsi="Verdana"/>
          <w:sz w:val="16"/>
          <w:szCs w:val="16"/>
          <w:lang w:val="en-US"/>
        </w:rPr>
        <w:tab/>
        <w:t>Article 28</w:t>
      </w:r>
      <w:r w:rsidRPr="000E696E">
        <w:rPr>
          <w:rFonts w:ascii="Verdana" w:hAnsi="Verdana"/>
          <w:color w:val="000000"/>
          <w:sz w:val="16"/>
          <w:szCs w:val="16"/>
          <w:lang w:val="en-US"/>
        </w:rPr>
        <w:t xml:space="preserve"> </w:t>
      </w:r>
      <w:r w:rsidRPr="000E696E">
        <w:rPr>
          <w:rFonts w:ascii="Verdana" w:hAnsi="Verdana"/>
          <w:sz w:val="16"/>
          <w:szCs w:val="16"/>
          <w:lang w:val="en-US"/>
        </w:rPr>
        <w:t>of the Decree-Law in force at the time of the facts established:</w:t>
      </w:r>
      <w:r w:rsidRPr="000E696E">
        <w:rPr>
          <w:rFonts w:ascii="Verdana" w:hAnsi="Verdana"/>
          <w:color w:val="000000"/>
          <w:sz w:val="16"/>
          <w:szCs w:val="16"/>
          <w:lang w:val="en-US"/>
        </w:rPr>
        <w:t xml:space="preserve"> </w:t>
      </w:r>
      <w:r w:rsidRPr="000E696E">
        <w:rPr>
          <w:rFonts w:ascii="Verdana" w:hAnsi="Verdana"/>
          <w:sz w:val="16"/>
          <w:szCs w:val="16"/>
          <w:lang w:val="en-US"/>
        </w:rPr>
        <w:t>“</w:t>
      </w:r>
      <w:r w:rsidRPr="000E696E">
        <w:rPr>
          <w:rFonts w:ascii="Verdana" w:hAnsi="Verdana"/>
          <w:color w:val="000000"/>
          <w:sz w:val="16"/>
          <w:szCs w:val="16"/>
          <w:lang w:val="en-US"/>
        </w:rPr>
        <w:t>Article 28</w:t>
      </w:r>
      <w:r w:rsidRPr="000E696E">
        <w:rPr>
          <w:rStyle w:val="st1"/>
          <w:rFonts w:ascii="Verdana" w:hAnsi="Verdana" w:cs="Arial"/>
          <w:color w:val="000000"/>
          <w:sz w:val="16"/>
          <w:szCs w:val="16"/>
          <w:lang w:val="en-US"/>
        </w:rPr>
        <w:t>. The number of members of the Electoral Committee shall be indicated in the Community’s Statute, and it shall be composed of employees and manual workers in proportion to their total number in the company. At least one (1) of the members must be an employee.”</w:t>
      </w:r>
    </w:p>
  </w:footnote>
  <w:footnote w:id="44">
    <w:p w14:paraId="656E6494" w14:textId="493C2A94"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President: Alfredo Lagos del Campo (Manual Worker), Secretary: Yolanda Ismodes Ramíres (Employee), First Member: Mercedes Mera Jiménez (Employee), Second Member: Teodomiro Vizcarra Salinas (Manual Worker), Third Member: Aristedes Quispe Altamirano (Manual Worker) (evidence file, annex 4 to the Merits Report, f. 11.).</w:t>
      </w:r>
    </w:p>
  </w:footnote>
  <w:footnote w:id="45">
    <w:p w14:paraId="571570E2" w14:textId="364FA6F4" w:rsidR="0068647C" w:rsidRPr="000E696E" w:rsidRDefault="0068647C" w:rsidP="00601138">
      <w:pPr>
        <w:pStyle w:val="Estilo4"/>
        <w:numPr>
          <w:ilvl w:val="0"/>
          <w:numId w:val="0"/>
        </w:numPr>
        <w:rPr>
          <w:sz w:val="16"/>
          <w:szCs w:val="16"/>
          <w:lang w:val="en-US"/>
        </w:rPr>
      </w:pPr>
      <w:r w:rsidRPr="000E696E">
        <w:rPr>
          <w:rStyle w:val="Refdenotaalpie"/>
          <w:sz w:val="16"/>
          <w:szCs w:val="16"/>
          <w:lang w:val="en-US"/>
        </w:rPr>
        <w:footnoteRef/>
      </w:r>
      <w:r w:rsidRPr="000E696E">
        <w:rPr>
          <w:sz w:val="16"/>
          <w:szCs w:val="16"/>
          <w:lang w:val="en-US"/>
        </w:rPr>
        <w:t xml:space="preserve"> </w:t>
      </w:r>
      <w:r w:rsidRPr="000E696E">
        <w:rPr>
          <w:sz w:val="16"/>
          <w:szCs w:val="16"/>
          <w:lang w:val="en-US"/>
        </w:rPr>
        <w:tab/>
      </w:r>
      <w:r w:rsidRPr="000E696E">
        <w:rPr>
          <w:i/>
          <w:sz w:val="16"/>
          <w:szCs w:val="16"/>
          <w:lang w:val="en-US"/>
        </w:rPr>
        <w:t>Cf.</w:t>
      </w:r>
      <w:r w:rsidRPr="000E696E">
        <w:rPr>
          <w:sz w:val="16"/>
          <w:szCs w:val="16"/>
          <w:lang w:val="en-US"/>
        </w:rPr>
        <w:t xml:space="preserve"> Ministry of Industry. Communication No. 1526 ICTI/OGP-38. Inscription of the Electoral Committee. August 9, 1988. Annexes to the communication of the petitioners dated July 23, 1998 (evidence file, annex 4 to the Merits Report, f. 11).</w:t>
      </w:r>
    </w:p>
  </w:footnote>
  <w:footnote w:id="46">
    <w:p w14:paraId="6C987640" w14:textId="2E0459C3" w:rsidR="0068647C" w:rsidRPr="000E696E" w:rsidRDefault="0068647C" w:rsidP="00D61BD2">
      <w:pPr>
        <w:pStyle w:val="Textonotapie"/>
      </w:pPr>
      <w:r w:rsidRPr="000E696E">
        <w:rPr>
          <w:rStyle w:val="Refdenotaalpie"/>
          <w:sz w:val="16"/>
        </w:rPr>
        <w:footnoteRef/>
      </w:r>
      <w:r w:rsidRPr="000E696E">
        <w:t xml:space="preserve"> </w:t>
      </w:r>
      <w:r w:rsidRPr="000E696E">
        <w:tab/>
        <w:t>Decree-Law 21789. Article 27. “The Elections shall be held on just one day and without affecting working hours, following the procedure indicated in the specific regime adopted by the competent body. The vote shall be individual, secret, universal and compulsory.”</w:t>
      </w:r>
    </w:p>
  </w:footnote>
  <w:footnote w:id="47">
    <w:p w14:paraId="21F92BD0" w14:textId="705BD8D6" w:rsidR="0068647C" w:rsidRPr="000E696E" w:rsidRDefault="0068647C" w:rsidP="006021AA">
      <w:pPr>
        <w:spacing w:after="60"/>
        <w:jc w:val="both"/>
        <w:rPr>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3 of Decree-Law 21789 in force at the time of the facts establishes: </w:t>
      </w:r>
      <w:bookmarkStart w:id="20" w:name="_Hlk28689803"/>
      <w:r w:rsidRPr="000E696E">
        <w:rPr>
          <w:rStyle w:val="st1"/>
          <w:rFonts w:ascii="Verdana" w:hAnsi="Verdana" w:cs="Arial"/>
          <w:color w:val="000000"/>
          <w:sz w:val="16"/>
          <w:szCs w:val="16"/>
          <w:lang w:val="en-US"/>
        </w:rPr>
        <w:t xml:space="preserve">“The purposes of </w:t>
      </w:r>
      <w:r w:rsidRPr="000E696E">
        <w:rPr>
          <w:rFonts w:ascii="Verdana" w:hAnsi="Verdana"/>
          <w:sz w:val="16"/>
          <w:szCs w:val="16"/>
          <w:lang w:val="en-US"/>
        </w:rPr>
        <w:t xml:space="preserve">the Industrial Community are: </w:t>
      </w:r>
      <w:bookmarkEnd w:id="20"/>
      <w:r w:rsidRPr="000E696E">
        <w:rPr>
          <w:rStyle w:val="st1"/>
          <w:rFonts w:ascii="Verdana" w:hAnsi="Verdana" w:cs="Arial"/>
          <w:color w:val="000000"/>
          <w:sz w:val="16"/>
          <w:szCs w:val="16"/>
          <w:lang w:val="en-US"/>
        </w:rPr>
        <w:t>(</w:t>
      </w:r>
      <w:r w:rsidRPr="000E696E">
        <w:rPr>
          <w:rFonts w:ascii="Verdana" w:hAnsi="Verdana"/>
          <w:sz w:val="16"/>
          <w:szCs w:val="16"/>
          <w:lang w:val="en-US"/>
        </w:rPr>
        <w:t>a) To contribute to the establishment of constructive forms of interrelationship in the industrial company; (b) to strengthen the company by the united action of its members in the management and productive process, and their participation in the ownership of the company’s patrimony; (c) to establish an appropriate and rational distribution of the benefits among the investors and permanent workers of an industrial company, and (d) to promote permanent training and stimulate the creativity of the company’s workers.”</w:t>
      </w:r>
    </w:p>
  </w:footnote>
  <w:footnote w:id="48">
    <w:p w14:paraId="6F1294F7" w14:textId="21664CA2"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8 of Law 25593 on Collective Labor Relations establishes that: “The purposes and functions of labor unions are: (a) To represent the entire workforce that falls within their ambit in conflicts, disputes, or claims of a collective nature; (b) To negotiate collective working agreements, require compliance with them, and implement the rights and actions that arise from such agreements; (c) To represent or defend their members in individual disputes or claims, unless the worker files a direct action, voluntarily or as the law requires, in which case the labor union may act in an advisory capacity; (d) To promote the creation and encourage the development of cooperatives, credit unions, and funds and, in general, entities for the social promotion and assistance of their members; (e) To promote the cultural, educational, technical and union-related development of their members, and (f) In general, any others that are not contrary to their essential purposes or the law.” </w:t>
      </w:r>
    </w:p>
  </w:footnote>
  <w:footnote w:id="49">
    <w:p w14:paraId="36E9AFBB" w14:textId="102A85CE" w:rsidR="0068647C" w:rsidRPr="000E696E" w:rsidRDefault="0068647C" w:rsidP="00D61BD2">
      <w:pPr>
        <w:pStyle w:val="Textonotapie"/>
      </w:pPr>
      <w:r w:rsidRPr="000E696E">
        <w:rPr>
          <w:rStyle w:val="Refdenotaalpie"/>
          <w:sz w:val="16"/>
        </w:rPr>
        <w:footnoteRef/>
      </w:r>
      <w:r w:rsidRPr="000E696E">
        <w:t xml:space="preserve"> </w:t>
      </w:r>
      <w:r w:rsidRPr="000E696E">
        <w:tab/>
        <w:t xml:space="preserve">Expert opinion of Omar Sar Suárez. “In this section, it has been established that there are differences between labor unions and industrial communities, but it should be noted that, in both cases, the workers’ representatives stand for the sectoral interests of the group vis-à-vis the employer.” “[…] regarding the right to freedom of expression, these differences, inherent to the nature of the said entities, do not affect their content </w:t>
      </w:r>
      <w:r w:rsidRPr="000E696E">
        <w:rPr>
          <w:i/>
          <w:iCs/>
        </w:rPr>
        <w:t>prima facie</w:t>
      </w:r>
      <w:r w:rsidRPr="000E696E">
        <w:t xml:space="preserve"> because, in both cases,  their function is to represent the workers” (merits file, ff. 524 to 525). Meanwhile, in the opinion he gave before the Court during the public hearing on February 7, 2017, expert witness César González Hunt explained that, even though there are various differences between the entities, both industrial communities and labor unions “are entities that represent the workers before the employer” (transcript of the hearing on February 7, 2017, p. 73).</w:t>
      </w:r>
    </w:p>
  </w:footnote>
  <w:footnote w:id="50">
    <w:p w14:paraId="0D52A931" w14:textId="33E8357C"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National Identification and Civil Registry. </w:t>
      </w:r>
      <w:r w:rsidRPr="004204B2">
        <w:rPr>
          <w:rFonts w:ascii="Verdana" w:hAnsi="Verdana"/>
          <w:sz w:val="16"/>
          <w:szCs w:val="16"/>
          <w:lang w:val="es-CR" w:eastAsia="es-MX"/>
        </w:rPr>
        <w:t xml:space="preserve">DNI of Alfredo Lagos del Campo. </w:t>
      </w:r>
      <w:r w:rsidRPr="000E696E">
        <w:rPr>
          <w:rFonts w:ascii="Verdana" w:hAnsi="Verdana"/>
          <w:sz w:val="16"/>
          <w:szCs w:val="16"/>
          <w:lang w:val="en-US"/>
        </w:rPr>
        <w:t>(evidence file, annex 30 to the Merits Report, f. 102).</w:t>
      </w:r>
    </w:p>
  </w:footnote>
  <w:footnote w:id="51">
    <w:p w14:paraId="373184A8" w14:textId="1F2DC99D"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CEPER-PIRELLI. </w:t>
      </w:r>
      <w:r w:rsidRPr="004204B2">
        <w:rPr>
          <w:rFonts w:ascii="Verdana" w:hAnsi="Verdana"/>
          <w:sz w:val="16"/>
          <w:szCs w:val="16"/>
          <w:lang w:val="es-CR" w:eastAsia="es-MX"/>
        </w:rPr>
        <w:t xml:space="preserve">Pay slip of Alfredo Lagos del Campo. </w:t>
      </w:r>
      <w:r w:rsidRPr="000E696E">
        <w:rPr>
          <w:rFonts w:ascii="Verdana" w:hAnsi="Verdana"/>
          <w:sz w:val="16"/>
          <w:szCs w:val="16"/>
          <w:lang w:val="en-US" w:eastAsia="es-MX"/>
        </w:rPr>
        <w:t xml:space="preserve">Week of June 26 to July 2, 1989 (evidence file, annex 2 to the Merits Report, f. 5), and Judgment 225-91 handed down on March 5, 1991 </w:t>
      </w:r>
      <w:r w:rsidRPr="000E696E">
        <w:rPr>
          <w:rFonts w:ascii="Verdana" w:hAnsi="Verdana"/>
          <w:sz w:val="16"/>
          <w:szCs w:val="16"/>
          <w:lang w:val="en-US"/>
        </w:rPr>
        <w:t>(</w:t>
      </w:r>
      <w:r w:rsidRPr="000E696E">
        <w:rPr>
          <w:rFonts w:ascii="Verdana" w:hAnsi="Verdana"/>
          <w:sz w:val="16"/>
          <w:szCs w:val="16"/>
          <w:lang w:val="en-US" w:eastAsia="es-MX"/>
        </w:rPr>
        <w:t xml:space="preserve">evidence file, </w:t>
      </w:r>
      <w:r w:rsidRPr="000E696E">
        <w:rPr>
          <w:rFonts w:ascii="Verdana" w:hAnsi="Verdana"/>
          <w:sz w:val="16"/>
          <w:szCs w:val="16"/>
          <w:lang w:val="en-US"/>
        </w:rPr>
        <w:t>annex 8 to the Merits Report, f. 29).</w:t>
      </w:r>
    </w:p>
  </w:footnote>
  <w:footnote w:id="52">
    <w:p w14:paraId="336CB8DC" w14:textId="1B81A51F"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Note entitled “List of leaders with their respective positions. Period 1982–1983,” undated; “CEPER” Labor union. Note addressed to the Head of the Labor Union Registration Division, June 1983; “CEPER’ Labor union. Note addressed to the Head of the Labor Union Registration Division, June 1985. Annexes to the communication of the petitioners of March 16, 2011 </w:t>
      </w:r>
      <w:r w:rsidRPr="000E696E">
        <w:rPr>
          <w:rFonts w:ascii="Verdana" w:hAnsi="Verdana"/>
          <w:sz w:val="16"/>
          <w:szCs w:val="16"/>
          <w:lang w:val="en-US"/>
        </w:rPr>
        <w:t>(evidence file, annex 3 to the Merits Report, ff. 7 to 9).</w:t>
      </w:r>
    </w:p>
  </w:footnote>
  <w:footnote w:id="53">
    <w:p w14:paraId="6CFCA0D8" w14:textId="6F18DE35"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Ministry of Industry. Participation Directorate. Communication No. 1526 ICTI/OGP-38. Registration of the Electoral Committee. August 9, 1988 </w:t>
      </w:r>
      <w:r w:rsidRPr="000E696E">
        <w:rPr>
          <w:rFonts w:ascii="Verdana" w:hAnsi="Verdana"/>
          <w:sz w:val="16"/>
          <w:szCs w:val="16"/>
          <w:lang w:val="en-US"/>
        </w:rPr>
        <w:t>(evidence file, annex 4 to the Merits Report, f. 11).</w:t>
      </w:r>
    </w:p>
  </w:footnote>
  <w:footnote w:id="54">
    <w:p w14:paraId="32B35EE7" w14:textId="7C42B20E" w:rsidR="0068647C" w:rsidRPr="000E696E" w:rsidRDefault="0068647C" w:rsidP="00D61BD2">
      <w:pPr>
        <w:pStyle w:val="Textonotapie"/>
      </w:pPr>
      <w:r w:rsidRPr="000E696E">
        <w:rPr>
          <w:rStyle w:val="Refdenotaalpie"/>
          <w:sz w:val="16"/>
        </w:rPr>
        <w:footnoteRef/>
      </w:r>
      <w:r w:rsidRPr="000E696E">
        <w:t xml:space="preserve"> </w:t>
      </w:r>
      <w:r w:rsidRPr="000E696E">
        <w:tab/>
        <w:t>Secretary: Yolanda Ismodes Ramíres (Employee), First Member: Mercedes Mera Jiménez (Employee), Second Member: Teodomiro Vizcarra Salinas (Manual Worker), Third Member: Aristedes Quispe Altamirano (Manual Worker).</w:t>
      </w:r>
    </w:p>
  </w:footnote>
  <w:footnote w:id="55">
    <w:p w14:paraId="264C9511" w14:textId="38D71FD5" w:rsidR="0068647C" w:rsidRPr="000E696E" w:rsidRDefault="0068647C" w:rsidP="00D61BD2">
      <w:pPr>
        <w:pStyle w:val="Textonotapie"/>
      </w:pPr>
      <w:r w:rsidRPr="000E696E">
        <w:rPr>
          <w:rStyle w:val="Refdenotaalpie"/>
          <w:sz w:val="16"/>
        </w:rPr>
        <w:footnoteRef/>
      </w:r>
      <w:r w:rsidRPr="000E696E">
        <w:t xml:space="preserve"> </w:t>
      </w:r>
      <w:r w:rsidRPr="000E696E">
        <w:tab/>
        <w:t xml:space="preserve">Letter of April 28,1989, addressed to the Participation Directorate of the Ministry of Industry, attaching the letter presented to the company denouncing three members of this Committee for contravening the rules of procedures by seeking to ignore the President of the Committee; for holding informal meetings, and for giving the impression that they were acting under external constraints in order to impose an electoral process that would favor a specific list of candidates promoted by the employer (evidence file of the Commission, annexes to the answering brief, f. 1450). </w:t>
      </w:r>
    </w:p>
  </w:footnote>
  <w:footnote w:id="56">
    <w:p w14:paraId="00213C1C" w14:textId="361EC25C" w:rsidR="0068647C" w:rsidRPr="000E696E" w:rsidRDefault="0068647C" w:rsidP="00D61BD2">
      <w:pPr>
        <w:pStyle w:val="Textonotapie"/>
      </w:pPr>
      <w:r w:rsidRPr="000E696E">
        <w:rPr>
          <w:rStyle w:val="Refdenotaalpie"/>
          <w:sz w:val="16"/>
        </w:rPr>
        <w:footnoteRef/>
      </w:r>
      <w:r w:rsidRPr="000E696E">
        <w:t xml:space="preserve"> </w:t>
      </w:r>
      <w:r w:rsidRPr="000E696E">
        <w:tab/>
        <w:t xml:space="preserve">Signed by José Vargas Purizaga, Leonidas Valdivia Mendoza, Alberto Sánchez Maravi and other members of the Ceper-Pirelli Industrial Community (evidence file, annex 3 to the State’s answering brief, f.1455). </w:t>
      </w:r>
    </w:p>
  </w:footnote>
  <w:footnote w:id="57">
    <w:p w14:paraId="7E4AA8E0" w14:textId="447C45CE" w:rsidR="0068647C" w:rsidRPr="000E696E" w:rsidRDefault="0068647C" w:rsidP="00AA1EBF">
      <w:pPr>
        <w:autoSpaceDE w:val="0"/>
        <w:autoSpaceDN w:val="0"/>
        <w:adjustRightInd w:val="0"/>
        <w:spacing w:after="60"/>
        <w:jc w:val="both"/>
        <w:rPr>
          <w:rFonts w:ascii="Verdana" w:hAnsi="Verdana" w:cs="Arial"/>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Arial"/>
          <w:i/>
          <w:color w:val="000000"/>
          <w:sz w:val="16"/>
          <w:szCs w:val="16"/>
          <w:lang w:val="en-US"/>
        </w:rPr>
        <w:t>Cf.</w:t>
      </w:r>
      <w:r w:rsidRPr="000E696E">
        <w:rPr>
          <w:rFonts w:ascii="Verdana" w:hAnsi="Verdana" w:cs="Arial"/>
          <w:color w:val="000000"/>
          <w:sz w:val="16"/>
          <w:szCs w:val="16"/>
          <w:lang w:val="en-US"/>
        </w:rPr>
        <w:t xml:space="preserve"> Participation Directorate of the Ministry of Industry. Directorate Resolution No. 23-ICTI/OGP/89 of June 9, 1989 </w:t>
      </w:r>
      <w:r w:rsidRPr="000E696E">
        <w:rPr>
          <w:rFonts w:ascii="Verdana" w:hAnsi="Verdana"/>
          <w:sz w:val="16"/>
          <w:szCs w:val="16"/>
          <w:lang w:val="en-US"/>
        </w:rPr>
        <w:t xml:space="preserve">(evidence file Annex 3 to the State’s answering brief, f.1455). In the resolution, the </w:t>
      </w:r>
      <w:r w:rsidRPr="000E696E">
        <w:rPr>
          <w:rFonts w:ascii="Verdana" w:hAnsi="Verdana" w:cs="Arial"/>
          <w:color w:val="000000"/>
          <w:sz w:val="16"/>
          <w:szCs w:val="16"/>
          <w:lang w:val="en-US"/>
        </w:rPr>
        <w:t>Participation Directorate determined that everything related to the electoral process held on April 28, 1989, had been done pursuant to the election rules; however, it declared that the appeal was well-founded and ordered that a new electoral process be held.</w:t>
      </w:r>
    </w:p>
  </w:footnote>
  <w:footnote w:id="58">
    <w:p w14:paraId="113D88DF" w14:textId="660E610D" w:rsidR="0068647C" w:rsidRPr="000E696E" w:rsidRDefault="0068647C" w:rsidP="00D61BD2">
      <w:pPr>
        <w:pStyle w:val="Textonotapie"/>
      </w:pPr>
      <w:r w:rsidRPr="000E696E">
        <w:rPr>
          <w:rStyle w:val="Refdenotaalpie"/>
          <w:sz w:val="16"/>
        </w:rPr>
        <w:footnoteRef/>
      </w:r>
      <w:r w:rsidRPr="000E696E">
        <w:t xml:space="preserve"> </w:t>
      </w:r>
      <w:r w:rsidRPr="000E696E">
        <w:tab/>
        <w:t xml:space="preserve">Summons to a meeting of the Electoral Committee dated June 22, 1989, attached to an explanatory letter dated June 28, 1989. </w:t>
      </w:r>
    </w:p>
  </w:footnote>
  <w:footnote w:id="59">
    <w:p w14:paraId="00B89148" w14:textId="7665E8D2" w:rsidR="0068647C" w:rsidRPr="000E696E" w:rsidRDefault="0068647C" w:rsidP="004108F1">
      <w:pPr>
        <w:spacing w:after="60"/>
        <w:contextualSpacing/>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i/>
          <w:iCs/>
          <w:sz w:val="16"/>
          <w:szCs w:val="16"/>
          <w:lang w:val="en-US" w:eastAsia="es-MX"/>
        </w:rPr>
        <w:t>La Razón</w:t>
      </w:r>
      <w:r w:rsidRPr="000E696E">
        <w:rPr>
          <w:rFonts w:ascii="Verdana" w:hAnsi="Verdana"/>
          <w:sz w:val="16"/>
          <w:szCs w:val="16"/>
          <w:lang w:val="en-US" w:eastAsia="es-MX"/>
        </w:rPr>
        <w:t xml:space="preserve">. June 1989. </w:t>
      </w:r>
      <w:r w:rsidRPr="000E696E">
        <w:rPr>
          <w:rFonts w:ascii="Verdana" w:hAnsi="Verdana"/>
          <w:i/>
          <w:iCs/>
          <w:sz w:val="16"/>
          <w:szCs w:val="16"/>
          <w:lang w:val="en-US" w:eastAsia="es-MX"/>
        </w:rPr>
        <w:t xml:space="preserve">CEPER. Patronal y Amarillos pretenden liquidar CI. </w:t>
      </w:r>
      <w:r w:rsidRPr="000E696E">
        <w:rPr>
          <w:rFonts w:ascii="Verdana" w:hAnsi="Verdana"/>
          <w:sz w:val="16"/>
          <w:szCs w:val="16"/>
          <w:lang w:val="en-US" w:eastAsia="es-MX"/>
        </w:rPr>
        <w:t xml:space="preserve">p. 10 </w:t>
      </w:r>
      <w:r w:rsidRPr="000E696E">
        <w:rPr>
          <w:rFonts w:ascii="Verdana" w:hAnsi="Verdana"/>
          <w:sz w:val="16"/>
          <w:szCs w:val="16"/>
          <w:lang w:val="en-US"/>
        </w:rPr>
        <w:t>(evidence file, annex 5 to the Merits Report, f. 13).</w:t>
      </w:r>
    </w:p>
  </w:footnote>
  <w:footnote w:id="60">
    <w:p w14:paraId="12CDACB5" w14:textId="5AE75B9C"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Ibid.</w:t>
      </w:r>
    </w:p>
  </w:footnote>
  <w:footnote w:id="61">
    <w:p w14:paraId="7767572B" w14:textId="6D6FB917"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color w:val="000000"/>
          <w:sz w:val="16"/>
          <w:szCs w:val="16"/>
          <w:lang w:val="en-US"/>
        </w:rPr>
        <w:footnoteRef/>
      </w:r>
      <w:r w:rsidRPr="000E696E">
        <w:rPr>
          <w:rFonts w:ascii="Verdana" w:hAnsi="Verdana"/>
          <w:i/>
          <w:color w:val="000000"/>
          <w:sz w:val="16"/>
          <w:szCs w:val="16"/>
          <w:lang w:val="en-US" w:eastAsia="es-MX"/>
        </w:rPr>
        <w:t xml:space="preserve"> </w:t>
      </w:r>
      <w:r w:rsidRPr="000E696E">
        <w:rPr>
          <w:rFonts w:ascii="Verdana" w:hAnsi="Verdana"/>
          <w:i/>
          <w:color w:val="000000"/>
          <w:sz w:val="16"/>
          <w:szCs w:val="16"/>
          <w:lang w:val="en-US" w:eastAsia="es-MX"/>
        </w:rPr>
        <w:tab/>
        <w:t>Cf.</w:t>
      </w:r>
      <w:r w:rsidRPr="000E696E">
        <w:rPr>
          <w:rFonts w:ascii="Verdana" w:hAnsi="Verdana"/>
          <w:color w:val="000000"/>
          <w:sz w:val="16"/>
          <w:szCs w:val="16"/>
          <w:lang w:val="en-US" w:eastAsia="es-MX"/>
        </w:rPr>
        <w:t xml:space="preserve"> </w:t>
      </w:r>
      <w:r w:rsidRPr="000E696E">
        <w:rPr>
          <w:rFonts w:ascii="Verdana" w:hAnsi="Verdana"/>
          <w:i/>
          <w:color w:val="000000"/>
          <w:sz w:val="16"/>
          <w:szCs w:val="16"/>
          <w:lang w:val="en-US" w:eastAsia="es-MX"/>
        </w:rPr>
        <w:t>Ibid.</w:t>
      </w:r>
    </w:p>
  </w:footnote>
  <w:footnote w:id="62">
    <w:p w14:paraId="52880E65" w14:textId="4148CC56" w:rsidR="0068647C" w:rsidRPr="000E696E" w:rsidRDefault="0068647C" w:rsidP="00AA1EBF">
      <w:pPr>
        <w:spacing w:after="60"/>
        <w:jc w:val="both"/>
        <w:rPr>
          <w:rFonts w:ascii="Verdana" w:hAnsi="Verdana"/>
          <w:b/>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notarized letter was delivered to him in accordance with article 6 of Law No. 24514 and article 11 of Supreme Decree No. 03-88-TR </w:t>
      </w:r>
      <w:r w:rsidRPr="000E696E">
        <w:rPr>
          <w:rFonts w:ascii="Verdana" w:hAnsi="Verdana"/>
          <w:color w:val="000000"/>
          <w:sz w:val="16"/>
          <w:szCs w:val="16"/>
          <w:lang w:val="en-US"/>
        </w:rPr>
        <w:t>(evidence file annex 34 to the State’s answering brief, f. 1457)</w:t>
      </w:r>
      <w:r w:rsidRPr="000E696E">
        <w:rPr>
          <w:rFonts w:ascii="Verdana" w:hAnsi="Verdana"/>
          <w:sz w:val="16"/>
          <w:szCs w:val="16"/>
          <w:lang w:val="en-US"/>
        </w:rPr>
        <w:t xml:space="preserve">. </w:t>
      </w:r>
    </w:p>
  </w:footnote>
  <w:footnote w:id="63">
    <w:p w14:paraId="489D299C" w14:textId="50EA63F8"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lang w:eastAsia="es-MX"/>
        </w:rPr>
        <w:t>CEPER-PIRELLI. Notarized letter of</w:t>
      </w:r>
      <w:r w:rsidRPr="000E696E">
        <w:t xml:space="preserve"> June 26, 1989 (evidence file, annex 4 to the State’s answering brief, ff. 1457 and 1458).</w:t>
      </w:r>
    </w:p>
  </w:footnote>
  <w:footnote w:id="64">
    <w:p w14:paraId="5052153F" w14:textId="5C4ACDB2"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color w:val="000000"/>
          <w:sz w:val="16"/>
          <w:szCs w:val="16"/>
          <w:lang w:val="en-US"/>
        </w:rPr>
        <w:footnoteRef/>
      </w:r>
      <w:r w:rsidRPr="000E696E">
        <w:rPr>
          <w:rFonts w:ascii="Verdana" w:hAnsi="Verdana"/>
          <w:i/>
          <w:color w:val="000000"/>
          <w:sz w:val="16"/>
          <w:szCs w:val="16"/>
          <w:lang w:val="en-US"/>
        </w:rPr>
        <w:t xml:space="preserve"> </w:t>
      </w:r>
      <w:r w:rsidRPr="000E696E">
        <w:rPr>
          <w:rFonts w:ascii="Verdana" w:hAnsi="Verdana"/>
          <w:i/>
          <w:color w:val="000000"/>
          <w:sz w:val="16"/>
          <w:szCs w:val="16"/>
          <w:lang w:val="en-US"/>
        </w:rPr>
        <w:tab/>
        <w:t>Cf.</w:t>
      </w:r>
      <w:r w:rsidRPr="000E696E">
        <w:rPr>
          <w:rFonts w:ascii="Verdana" w:hAnsi="Verdana"/>
          <w:color w:val="000000"/>
          <w:sz w:val="16"/>
          <w:szCs w:val="16"/>
          <w:lang w:val="en-US"/>
        </w:rPr>
        <w:t xml:space="preserve"> </w:t>
      </w:r>
      <w:r w:rsidRPr="000E696E">
        <w:rPr>
          <w:rFonts w:ascii="Verdana" w:hAnsi="Verdana"/>
          <w:color w:val="000000"/>
          <w:sz w:val="16"/>
          <w:szCs w:val="16"/>
          <w:lang w:val="en-US" w:eastAsia="es-MX"/>
        </w:rPr>
        <w:t xml:space="preserve">CEPER-PIRELLI. </w:t>
      </w:r>
      <w:r w:rsidRPr="000E696E">
        <w:rPr>
          <w:rFonts w:ascii="Verdana" w:hAnsi="Verdana"/>
          <w:sz w:val="16"/>
          <w:szCs w:val="16"/>
          <w:lang w:val="en-US" w:eastAsia="es-MX"/>
        </w:rPr>
        <w:t>Notarized letter of</w:t>
      </w:r>
      <w:r w:rsidRPr="000E696E">
        <w:rPr>
          <w:rFonts w:ascii="Verdana" w:hAnsi="Verdana"/>
          <w:sz w:val="16"/>
          <w:szCs w:val="16"/>
          <w:lang w:val="en-US"/>
        </w:rPr>
        <w:t xml:space="preserve"> </w:t>
      </w:r>
      <w:r w:rsidRPr="000E696E">
        <w:rPr>
          <w:rFonts w:ascii="Verdana" w:hAnsi="Verdana"/>
          <w:color w:val="000000"/>
          <w:sz w:val="16"/>
          <w:szCs w:val="16"/>
          <w:lang w:val="en-US"/>
        </w:rPr>
        <w:t>June 26, 1989 (evidence file, annex 4 to the State’s answering brief, ff. 1457 and 1458).</w:t>
      </w:r>
    </w:p>
  </w:footnote>
  <w:footnote w:id="65">
    <w:p w14:paraId="7805E7FA" w14:textId="7DD4D718"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Exculpatory communication presented to the company by Mr. Lagos del Campo on June 30, 1989. (evidence file, annex 5, f.1460).</w:t>
      </w:r>
    </w:p>
  </w:footnote>
  <w:footnote w:id="66">
    <w:p w14:paraId="15A156B6" w14:textId="3F293046"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CEPER-PIRELLI. Notarized letter of July 1, 1989, with receipt stamp of notary Javier Aspauza Gamarra, of July 3, 1989 </w:t>
      </w:r>
      <w:r w:rsidRPr="000E696E">
        <w:rPr>
          <w:rFonts w:ascii="Verdana" w:hAnsi="Verdana"/>
          <w:sz w:val="16"/>
          <w:szCs w:val="16"/>
          <w:lang w:val="en-US"/>
        </w:rPr>
        <w:t xml:space="preserve">(evidence file, annex 6 to the Merits Report, ff.15 and 16). </w:t>
      </w:r>
    </w:p>
  </w:footnote>
  <w:footnote w:id="67">
    <w:p w14:paraId="69884561" w14:textId="3D1E7CBB" w:rsidR="0068647C" w:rsidRPr="000E696E" w:rsidRDefault="0068647C" w:rsidP="00D61BD2">
      <w:pPr>
        <w:pStyle w:val="Textonotapie"/>
      </w:pPr>
      <w:r w:rsidRPr="000E696E">
        <w:rPr>
          <w:rStyle w:val="Refdenotaalpie"/>
          <w:sz w:val="16"/>
        </w:rPr>
        <w:footnoteRef/>
      </w:r>
      <w:r w:rsidRPr="000E696E">
        <w:t xml:space="preserve"> </w:t>
      </w:r>
      <w:r w:rsidRPr="000E696E">
        <w:tab/>
        <w:t>Law 24514 established four causes for justified dismissal.</w:t>
      </w:r>
    </w:p>
  </w:footnote>
  <w:footnote w:id="68">
    <w:p w14:paraId="2266B6E1" w14:textId="395692D5"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Congress of the Republic of Peru. Law 24514. Law on the right to job security. June 4, 1986. Article 4.a. May be consulted at: http://www4.Congress.gob.pe/ntley/imagenes/Lawes/24514.pdf </w:t>
      </w:r>
      <w:r w:rsidRPr="000E696E">
        <w:rPr>
          <w:rFonts w:ascii="Verdana" w:hAnsi="Verdana"/>
          <w:sz w:val="16"/>
          <w:szCs w:val="16"/>
          <w:lang w:val="en-US"/>
        </w:rPr>
        <w:t>(evidence file, annex 9 to the Merits Report, ff. 33bis to 38bis).</w:t>
      </w:r>
    </w:p>
  </w:footnote>
  <w:footnote w:id="69">
    <w:p w14:paraId="5982A5AF" w14:textId="4C3CF126" w:rsidR="0068647C" w:rsidRPr="000E696E" w:rsidRDefault="0068647C" w:rsidP="00AA1EBF">
      <w:pPr>
        <w:autoSpaceDE w:val="0"/>
        <w:autoSpaceDN w:val="0"/>
        <w:adjustRightInd w:val="0"/>
        <w:spacing w:after="60"/>
        <w:jc w:val="both"/>
        <w:rPr>
          <w:rFonts w:ascii="Verdana" w:eastAsia="Times New Roman" w:hAnsi="Verdana" w:cs="Arial"/>
          <w:iCs/>
          <w:color w:val="000000"/>
          <w:sz w:val="16"/>
          <w:szCs w:val="16"/>
          <w:lang w:val="en-US" w:eastAsia="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3</w:t>
      </w:r>
      <w:r w:rsidRPr="000E696E">
        <w:rPr>
          <w:rFonts w:ascii="Verdana" w:hAnsi="Verdana"/>
          <w:color w:val="000000"/>
          <w:sz w:val="16"/>
          <w:szCs w:val="16"/>
          <w:lang w:val="en-US"/>
        </w:rPr>
        <w:t xml:space="preserve"> </w:t>
      </w:r>
      <w:r w:rsidRPr="000E696E">
        <w:rPr>
          <w:rFonts w:ascii="Verdana" w:hAnsi="Verdana"/>
          <w:sz w:val="16"/>
          <w:szCs w:val="16"/>
          <w:lang w:val="en-US"/>
        </w:rPr>
        <w:t>of the Decree-Law in force at the time of the facts established:</w:t>
      </w:r>
      <w:r w:rsidRPr="000E696E">
        <w:rPr>
          <w:rFonts w:ascii="Verdana" w:hAnsi="Verdana"/>
          <w:color w:val="000000"/>
          <w:sz w:val="16"/>
          <w:szCs w:val="16"/>
          <w:lang w:val="en-US"/>
        </w:rPr>
        <w:t xml:space="preserve"> </w:t>
      </w:r>
      <w:r w:rsidRPr="000E696E">
        <w:rPr>
          <w:rFonts w:ascii="Verdana" w:hAnsi="Verdana"/>
          <w:sz w:val="16"/>
          <w:szCs w:val="16"/>
          <w:lang w:val="en-US"/>
        </w:rPr>
        <w:t>“</w:t>
      </w:r>
      <w:r w:rsidRPr="000E696E">
        <w:rPr>
          <w:rFonts w:ascii="Verdana" w:hAnsi="Verdana"/>
          <w:color w:val="000000"/>
          <w:sz w:val="16"/>
          <w:szCs w:val="16"/>
          <w:lang w:val="en-US"/>
        </w:rPr>
        <w:t>Article 3</w:t>
      </w:r>
      <w:r w:rsidRPr="000E696E">
        <w:rPr>
          <w:rStyle w:val="st1"/>
          <w:rFonts w:ascii="Verdana" w:hAnsi="Verdana" w:cs="Arial"/>
          <w:color w:val="000000"/>
          <w:sz w:val="16"/>
          <w:szCs w:val="16"/>
          <w:lang w:val="en-US"/>
        </w:rPr>
        <w:t>.</w:t>
      </w:r>
      <w:r w:rsidRPr="000E696E">
        <w:rPr>
          <w:rFonts w:ascii="Verdana" w:hAnsi="Verdana"/>
          <w:color w:val="000000"/>
          <w:sz w:val="16"/>
          <w:szCs w:val="16"/>
          <w:lang w:val="en-US"/>
        </w:rPr>
        <w:t xml:space="preserve"> The workers referred to in  Article 2</w:t>
      </w:r>
      <w:r w:rsidRPr="000E696E">
        <w:rPr>
          <w:rStyle w:val="st1"/>
          <w:rFonts w:ascii="Verdana" w:hAnsi="Verdana" w:cs="Arial"/>
          <w:color w:val="000000"/>
          <w:sz w:val="16"/>
          <w:szCs w:val="16"/>
          <w:lang w:val="en-US"/>
        </w:rPr>
        <w:t xml:space="preserve"> can only be dismissed for good cause indicated in this law and duly verified.</w:t>
      </w:r>
      <w:r w:rsidRPr="000E696E">
        <w:rPr>
          <w:rFonts w:ascii="Verdana" w:hAnsi="Verdana"/>
          <w:color w:val="000000"/>
          <w:sz w:val="16"/>
          <w:szCs w:val="16"/>
          <w:lang w:val="en-US"/>
        </w:rPr>
        <w:t>”</w:t>
      </w:r>
    </w:p>
  </w:footnote>
  <w:footnote w:id="70">
    <w:p w14:paraId="041B2383" w14:textId="7DB5395D"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Congress of the Republic of Peru. Law 24514. Law on the right to job security. June 4, 1986. Article 5. May be consulted at: http://www4.Congress.gob.pe/ntley/imagenes/Lawes/24514.pdf  (evidence file, annex 9 to the Merits Report, ff. 33bis to 38bis).</w:t>
      </w:r>
    </w:p>
  </w:footnote>
  <w:footnote w:id="71">
    <w:p w14:paraId="2F460F71" w14:textId="78C5F060" w:rsidR="0068647C" w:rsidRPr="000E696E" w:rsidRDefault="0068647C" w:rsidP="00695B39">
      <w:pPr>
        <w:tabs>
          <w:tab w:val="left" w:pos="720"/>
        </w:tabs>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i/>
          <w:sz w:val="16"/>
          <w:szCs w:val="16"/>
          <w:lang w:val="en-US"/>
        </w:rPr>
        <w:t xml:space="preserve"> </w:t>
      </w:r>
      <w:r w:rsidRPr="000E696E">
        <w:rPr>
          <w:rFonts w:ascii="Verdana" w:hAnsi="Verdana"/>
          <w:i/>
          <w:sz w:val="16"/>
          <w:szCs w:val="16"/>
          <w:lang w:val="en-US"/>
        </w:rPr>
        <w:tab/>
        <w:t>Cf.</w:t>
      </w:r>
      <w:r w:rsidRPr="000E696E">
        <w:rPr>
          <w:rFonts w:ascii="Verdana" w:hAnsi="Verdana"/>
          <w:sz w:val="16"/>
          <w:szCs w:val="16"/>
          <w:lang w:val="en-US"/>
        </w:rPr>
        <w:t xml:space="preserve"> Congress of the Republic of Peru. Law 24514. Law on the right to job security. June 4, 1986. Article 6</w:t>
      </w:r>
      <w:r w:rsidRPr="000E696E">
        <w:rPr>
          <w:rFonts w:ascii="Verdana" w:hAnsi="Verdana"/>
          <w:color w:val="000000"/>
          <w:sz w:val="16"/>
          <w:szCs w:val="16"/>
          <w:lang w:val="en-US"/>
        </w:rPr>
        <w:t>. “Immediately on becoming aware of or investigating the offense that gives rise to the dismissal, the employer shall communicate this situation to the worker concerned in writing. The employment relationship with a worker shall not be terminated without having previously offered him the possibility of defending himself against the charges against him unless the facts are so serious that the employer cannot be reasonable asked to grant him that possibility. In the exercise of the right of defense, the worker may be assisted by a labor union representative or by a lawyers, as he prefers.”</w:t>
      </w:r>
    </w:p>
  </w:footnote>
  <w:footnote w:id="72">
    <w:p w14:paraId="2DCB29C2" w14:textId="09AA5F76"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lang w:eastAsia="es-MX"/>
        </w:rPr>
        <w:t>Congress of the Republic of Peru. Law 24514. Law on the right to job security. June 4, 1986.</w:t>
      </w:r>
      <w:r w:rsidRPr="000E696E" w:rsidDel="00712E9F">
        <w:t xml:space="preserve"> </w:t>
      </w:r>
      <w:r w:rsidRPr="000E696E">
        <w:t>Article 7. “When the previous procedure has ended, as established in the preceding article, without the worker having disproved that facts that constitute the serious offense, the employer shall notify him of his dismissal through a justice of the peace, if there is no notary, indicating precisely the cause of the dismissal and the date of termination. This dismissal shall be communicated to the Administrative Labor Authority at the same time.</w:t>
      </w:r>
      <w:r w:rsidRPr="000E696E">
        <w:rPr>
          <w:rFonts w:cs="Arial"/>
          <w:iCs/>
          <w:lang w:eastAsia="es-CR"/>
        </w:rPr>
        <w:t>”</w:t>
      </w:r>
    </w:p>
  </w:footnote>
  <w:footnote w:id="73">
    <w:p w14:paraId="660DCACB" w14:textId="3A51B337" w:rsidR="0068647C" w:rsidRPr="000E696E" w:rsidRDefault="0068647C" w:rsidP="00E91FDA">
      <w:pPr>
        <w:tabs>
          <w:tab w:val="left" w:pos="720"/>
        </w:tabs>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Congress of the Republic of Peru. Law 24514. Law on the right to job security. June 4, 1986.</w:t>
      </w:r>
      <w:r w:rsidRPr="000E696E" w:rsidDel="00CF3233">
        <w:rPr>
          <w:rFonts w:ascii="Verdana" w:hAnsi="Verdana"/>
          <w:sz w:val="16"/>
          <w:szCs w:val="16"/>
          <w:lang w:val="en-US"/>
        </w:rPr>
        <w:t xml:space="preserve"> </w:t>
      </w:r>
      <w:r w:rsidRPr="000E696E">
        <w:rPr>
          <w:rFonts w:ascii="Verdana" w:hAnsi="Verdana"/>
          <w:color w:val="000000"/>
          <w:sz w:val="16"/>
          <w:szCs w:val="16"/>
          <w:lang w:val="en-US"/>
        </w:rPr>
        <w:t>Article 8. “The worker who considers that the dismissal was not justified or did not comply with the formal requirements of this law, may have recourse to the Labor Communities and Employment Jurisdiction requesting that it be declared unjustified and unfair. At the request of the worker concerned, during the hearing or following this procedure, without interrupting the effects of the proceedings, the judge may preventively order that the dismissal be suspended and the worker reinstated in his usual job when, based on the conduct of the worker and the characteristics of the act of which he is accused, there is a reasonable presumption that he has not committed a serious offense, or when the dismissal has not complied with the formalities indicated in this law.”</w:t>
      </w:r>
    </w:p>
  </w:footnote>
  <w:footnote w:id="74">
    <w:p w14:paraId="3A29CD5A" w14:textId="3AE29797" w:rsidR="0068647C" w:rsidRPr="000E696E" w:rsidRDefault="0068647C" w:rsidP="00AA1EBF">
      <w:pPr>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Congress of the Republic of Peru. Law 24514. Law on the right to job security. June 4, 1986. </w:t>
      </w:r>
      <w:r w:rsidRPr="000E696E">
        <w:rPr>
          <w:rFonts w:ascii="Verdana" w:hAnsi="Verdana"/>
          <w:color w:val="000000"/>
          <w:sz w:val="16"/>
          <w:szCs w:val="16"/>
          <w:lang w:val="en-US"/>
        </w:rPr>
        <w:t>Article 11. “The action referred to in the previous articles shall, in general, abide by the procedure that governs actions on labor matters, that are processed before the Labor Communities and Employment Jurisdiction, with the characteristics established in this law. The Labor Communities and Employment Jurisdiction shall decide these proceedings within no more than four months. The burden of proof concerning the dismissal, in all cases, corresponds to the employer.”</w:t>
      </w:r>
    </w:p>
  </w:footnote>
  <w:footnote w:id="75">
    <w:p w14:paraId="70B7B5FB" w14:textId="6B6D499B" w:rsidR="0068647C" w:rsidRPr="000E696E" w:rsidRDefault="0068647C" w:rsidP="00AA1EBF">
      <w:pPr>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Congress of the Republic of Peru. Law 24514. Law on the right to job security. June 4, 1986.</w:t>
      </w:r>
      <w:r w:rsidRPr="000E696E" w:rsidDel="00CF3233">
        <w:rPr>
          <w:rFonts w:ascii="Verdana" w:hAnsi="Verdana"/>
          <w:sz w:val="16"/>
          <w:szCs w:val="16"/>
          <w:lang w:val="en-US"/>
        </w:rPr>
        <w:t xml:space="preserve"> </w:t>
      </w:r>
      <w:r w:rsidRPr="000E696E">
        <w:rPr>
          <w:rFonts w:ascii="Verdana" w:hAnsi="Verdana"/>
          <w:color w:val="000000"/>
          <w:sz w:val="16"/>
          <w:szCs w:val="16"/>
          <w:lang w:val="en-US"/>
        </w:rPr>
        <w:t>Article 12. “When the decision declaring the dismissal unjustified or unfair has been delivered or an order given for this to be executed immediately, the worker, in execution of the decision and within eight days following its notification, may opt for either immediate reinstatement or the termination or his work contract. If he chooses the latter option, he shall request payment of the special compensation referred to in article 14, and the severance package corresponding to his length of service and other social benefits.”</w:t>
      </w:r>
    </w:p>
  </w:footnote>
  <w:footnote w:id="76">
    <w:p w14:paraId="77F9D011" w14:textId="56429A37" w:rsidR="0068647C" w:rsidRPr="000E696E" w:rsidRDefault="0068647C" w:rsidP="00AA1EBF">
      <w:pPr>
        <w:autoSpaceDE w:val="0"/>
        <w:autoSpaceDN w:val="0"/>
        <w:adjustRightInd w:val="0"/>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color w:val="000000"/>
          <w:sz w:val="16"/>
          <w:szCs w:val="16"/>
          <w:lang w:val="en-US"/>
        </w:rPr>
        <w:t>Cf.</w:t>
      </w:r>
      <w:r w:rsidRPr="000E696E">
        <w:rPr>
          <w:rFonts w:ascii="Verdana" w:hAnsi="Verdana"/>
          <w:color w:val="000000"/>
          <w:sz w:val="16"/>
          <w:szCs w:val="16"/>
          <w:lang w:val="en-US"/>
        </w:rPr>
        <w:t xml:space="preserve"> </w:t>
      </w:r>
      <w:r w:rsidRPr="000E696E">
        <w:rPr>
          <w:rFonts w:ascii="Verdana" w:hAnsi="Verdana"/>
          <w:color w:val="000000"/>
          <w:sz w:val="16"/>
          <w:szCs w:val="16"/>
          <w:lang w:val="en-US" w:eastAsia="es-MX"/>
        </w:rPr>
        <w:t xml:space="preserve">Action filed by Mr. Lagos del Campo before the Lima Labor Court for unjustified dismissal on July 26, 1989 </w:t>
      </w:r>
      <w:r w:rsidRPr="000E696E">
        <w:rPr>
          <w:rFonts w:ascii="Verdana" w:hAnsi="Verdana"/>
          <w:color w:val="000000"/>
          <w:sz w:val="16"/>
          <w:szCs w:val="16"/>
          <w:lang w:val="en-US"/>
        </w:rPr>
        <w:t>(evidence file, annex 7 to the Merits Report, ff. 18 to 27).</w:t>
      </w:r>
    </w:p>
  </w:footnote>
  <w:footnote w:id="77">
    <w:p w14:paraId="420186F1" w14:textId="617E54F7"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iCs/>
          <w:sz w:val="16"/>
          <w:szCs w:val="16"/>
          <w:lang w:val="en-US" w:eastAsia="es-MX"/>
        </w:rPr>
        <w:t>Fifteenth Judge</w:t>
      </w:r>
      <w:r w:rsidRPr="000E696E">
        <w:rPr>
          <w:rFonts w:ascii="Verdana" w:hAnsi="Verdana"/>
          <w:sz w:val="16"/>
          <w:szCs w:val="16"/>
          <w:lang w:val="en-US" w:eastAsia="es-MX"/>
        </w:rPr>
        <w:t xml:space="preserve"> del Labor Court of Lima. Judgment 25-91 of March 5, 1991. </w:t>
      </w:r>
      <w:r w:rsidRPr="000E696E">
        <w:rPr>
          <w:rFonts w:ascii="Verdana" w:hAnsi="Verdana"/>
          <w:sz w:val="16"/>
          <w:szCs w:val="16"/>
          <w:lang w:val="en-US"/>
        </w:rPr>
        <w:t>(evidence file, annex 8 to the Merits Report, ff. 29 to 31).</w:t>
      </w:r>
    </w:p>
  </w:footnote>
  <w:footnote w:id="78">
    <w:p w14:paraId="0BA371B7" w14:textId="61897575"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Brief answering the company’s appeal submitted by Mr. Lagos del Campo to the Second Labor Court of Lima, on August 1, 1991, File No. 839-91. </w:t>
      </w:r>
      <w:r w:rsidRPr="000E696E">
        <w:rPr>
          <w:rFonts w:ascii="Verdana" w:hAnsi="Verdana"/>
          <w:sz w:val="16"/>
          <w:szCs w:val="16"/>
          <w:lang w:val="en-US"/>
        </w:rPr>
        <w:t xml:space="preserve">(evidence file annex 11 to the Merits Report, ff. 43 to 45).  </w:t>
      </w:r>
    </w:p>
  </w:footnote>
  <w:footnote w:id="79">
    <w:p w14:paraId="184E2817" w14:textId="5408CC9D"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Second Labor Court of Lima. Judgment 08-0891 of August 8, 1991 </w:t>
      </w:r>
      <w:r w:rsidRPr="000E696E">
        <w:rPr>
          <w:rFonts w:ascii="Verdana" w:hAnsi="Verdana"/>
          <w:sz w:val="16"/>
          <w:szCs w:val="16"/>
          <w:lang w:val="en-US"/>
        </w:rPr>
        <w:t xml:space="preserve">(evidence file, annex 12 to the Merits Report, ff. 47 and 48).  </w:t>
      </w:r>
    </w:p>
  </w:footnote>
  <w:footnote w:id="80">
    <w:p w14:paraId="0964AD16" w14:textId="0B296F0D"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rFonts w:eastAsia="MS Mincho"/>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Second Labor Court of Lima. Judgment 08-0891 of August 8, 1991 </w:t>
      </w:r>
      <w:r w:rsidRPr="000E696E">
        <w:rPr>
          <w:rFonts w:ascii="Verdana" w:hAnsi="Verdana"/>
          <w:sz w:val="16"/>
          <w:szCs w:val="16"/>
          <w:lang w:val="en-US"/>
        </w:rPr>
        <w:t xml:space="preserve">(evidence file, annex 11 to the Merits Report, ff. 47 and 48).  </w:t>
      </w:r>
    </w:p>
  </w:footnote>
  <w:footnote w:id="81">
    <w:p w14:paraId="30D21FB1" w14:textId="477A6BB7" w:rsidR="0068647C" w:rsidRPr="000E696E" w:rsidRDefault="0068647C" w:rsidP="00AA1EBF">
      <w:pPr>
        <w:autoSpaceDE w:val="0"/>
        <w:autoSpaceDN w:val="0"/>
        <w:adjustRightInd w:val="0"/>
        <w:spacing w:after="60"/>
        <w:contextualSpacing/>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iCs/>
          <w:sz w:val="16"/>
          <w:szCs w:val="16"/>
          <w:lang w:val="en-US" w:eastAsia="es-MX"/>
        </w:rPr>
        <w:t>Cf.</w:t>
      </w:r>
      <w:r w:rsidRPr="000E696E">
        <w:rPr>
          <w:rFonts w:ascii="Verdana" w:hAnsi="Verdana"/>
          <w:iCs/>
          <w:sz w:val="16"/>
          <w:szCs w:val="16"/>
          <w:lang w:val="en-US" w:eastAsia="es-MX"/>
        </w:rPr>
        <w:t xml:space="preserve"> </w:t>
      </w:r>
      <w:r w:rsidRPr="000E696E">
        <w:rPr>
          <w:rFonts w:ascii="Verdana" w:hAnsi="Verdana"/>
          <w:sz w:val="16"/>
          <w:szCs w:val="16"/>
          <w:lang w:val="en-US" w:eastAsia="es-MX"/>
        </w:rPr>
        <w:t xml:space="preserve">Motion for review and reconsideration filed by Mr. Lagos del Campo before the Second Labor Court of Lima. File No. 839-91 of August 26, 1991, and Ruling made by the Second Labor Court of Lima. File No. 839-91. August 21, 1991 </w:t>
      </w:r>
      <w:r w:rsidRPr="000E696E">
        <w:rPr>
          <w:rFonts w:ascii="Verdana" w:hAnsi="Verdana"/>
          <w:sz w:val="16"/>
          <w:szCs w:val="16"/>
          <w:lang w:val="en-US"/>
        </w:rPr>
        <w:t xml:space="preserve">(evidence file, annex 11 to the Merits Report, ff. 50 and 51). In this </w:t>
      </w:r>
      <w:r w:rsidRPr="000E696E">
        <w:rPr>
          <w:rFonts w:ascii="Verdana" w:hAnsi="Verdana"/>
          <w:sz w:val="16"/>
          <w:szCs w:val="16"/>
          <w:lang w:val="en-US" w:eastAsia="es-MX"/>
        </w:rPr>
        <w:t xml:space="preserve">appeal for review and reconsideration, Mr. Lagos argued, “pursuant to </w:t>
      </w:r>
      <w:r w:rsidRPr="000E696E">
        <w:rPr>
          <w:rFonts w:ascii="Verdana" w:hAnsi="Verdana"/>
          <w:sz w:val="16"/>
          <w:szCs w:val="16"/>
          <w:lang w:val="en-US"/>
        </w:rPr>
        <w:t>articles 1, 2, 4, 15 and 18 of the Constitution,” his discrepancy with the ruling issued on  August 8, 1991, considering that it violated his rights, interests and benefits as a worker, because the ruling failed to take into consideration the provisions of the domestic laws of Peru for the proper administration of justice. In this regard, the Second Labor Court concluded: “The appeal for review and reconsideration filed was inadmissible and ordered that the case be returned to the original court.”</w:t>
      </w:r>
    </w:p>
    <w:p w14:paraId="305B6B8E" w14:textId="77777777" w:rsidR="0068647C" w:rsidRPr="000E696E" w:rsidRDefault="0068647C" w:rsidP="00AA1EBF">
      <w:pPr>
        <w:autoSpaceDE w:val="0"/>
        <w:autoSpaceDN w:val="0"/>
        <w:adjustRightInd w:val="0"/>
        <w:spacing w:after="60"/>
        <w:contextualSpacing/>
        <w:jc w:val="both"/>
        <w:rPr>
          <w:rFonts w:ascii="Verdana" w:hAnsi="Verdana"/>
          <w:sz w:val="6"/>
          <w:szCs w:val="6"/>
          <w:lang w:val="en-US"/>
        </w:rPr>
      </w:pPr>
    </w:p>
  </w:footnote>
  <w:footnote w:id="82">
    <w:p w14:paraId="264A1B45" w14:textId="4AA2B0C9"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Appeal for annulment filed by </w:t>
      </w:r>
      <w:r w:rsidRPr="000E696E">
        <w:rPr>
          <w:rFonts w:ascii="Verdana" w:hAnsi="Verdana"/>
          <w:sz w:val="16"/>
          <w:szCs w:val="16"/>
          <w:lang w:val="en-US" w:eastAsia="es-MX"/>
        </w:rPr>
        <w:t xml:space="preserve">Mr. Lagos del Campo before the Second Labor Court of Lima. File No. 839-91. September 2, 1991, and Decision issued by the Second Labor Court of Lima. File No. 839-91. September 3, 1991 </w:t>
      </w:r>
      <w:r w:rsidRPr="000E696E">
        <w:rPr>
          <w:rFonts w:ascii="Verdana" w:hAnsi="Verdana"/>
          <w:sz w:val="16"/>
          <w:szCs w:val="16"/>
          <w:lang w:val="en-US"/>
        </w:rPr>
        <w:t xml:space="preserve">(evidence file annex 14 to the Merits Report, ff. 53 to 56). The motion was filed based on articles 59, 60 and 61 of Supreme Decree 03-80, requesting the annulment of the ruling of August 8, 1991, following the denial of his motion for review and reconsideration by the same court. </w:t>
      </w:r>
    </w:p>
  </w:footnote>
  <w:footnote w:id="83">
    <w:p w14:paraId="305B3ED5" w14:textId="60461198" w:rsidR="0068647C" w:rsidRPr="000E696E" w:rsidRDefault="0068647C" w:rsidP="00D61BD2">
      <w:pPr>
        <w:pStyle w:val="Textonotapie"/>
        <w:rPr>
          <w:i/>
        </w:rPr>
      </w:pPr>
      <w:r w:rsidRPr="000E696E">
        <w:rPr>
          <w:rStyle w:val="Refdenotaalpie"/>
          <w:sz w:val="16"/>
        </w:rPr>
        <w:footnoteRef/>
      </w:r>
      <w:r w:rsidRPr="000E696E">
        <w:t xml:space="preserve"> </w:t>
      </w:r>
      <w:r w:rsidRPr="000E696E">
        <w:tab/>
      </w:r>
      <w:r w:rsidRPr="000E696E">
        <w:rPr>
          <w:i/>
        </w:rPr>
        <w:t>Cf.</w:t>
      </w:r>
      <w:r w:rsidRPr="000E696E">
        <w:t xml:space="preserve"> Congress of the Republic of Peru. Code of Civil Procedure, Decree-Law 12760 of August 6, 1975. Article 1085. Nullity of decisions: (9) The order or judgment in the part deciding on a point that is not disputed or claimed; (10) The judgment that fails to decide any of the disputed points, except as provided for in the last part of Article 1086.  Article 250. I. The remedy of cassation or nullity shall be admitted to invalidate a final judgment or decision in the cases expressly indicated by law. This may relate to the merits or the form. II. These remedies may be filed simultaneously.</w:t>
      </w:r>
    </w:p>
  </w:footnote>
  <w:footnote w:id="84">
    <w:p w14:paraId="736BB951" w14:textId="4165A7E6"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Application for amparo filed by Mr. Lagos del Campo before the Civil Chamber of the Superior Court of Lima. File. No. 2615-91. October 21, 1991 </w:t>
      </w:r>
      <w:r w:rsidRPr="000E696E">
        <w:rPr>
          <w:rFonts w:ascii="Verdana" w:hAnsi="Verdana"/>
          <w:sz w:val="16"/>
          <w:szCs w:val="16"/>
          <w:lang w:val="en-US"/>
        </w:rPr>
        <w:t>(evidence file, annex 15 to the Merits Report, ff. 58 to 61). Under article 295 of the Constitution, Mr. Lagos requested that his action be admitted and the Second Labor Court of Lima be ordered to annul its judgment and issue a new ruling against the judgment of Second Labor Court of August 8, 1991, that decided the appeal in the proceedings that classified his dismissal. Among other matters, he argued violations of his right to job security and due process of law established in articles 48 and 233 of the Constitution.</w:t>
      </w:r>
    </w:p>
  </w:footnote>
  <w:footnote w:id="85">
    <w:p w14:paraId="535FF509" w14:textId="7D5118AC" w:rsidR="0068647C" w:rsidRPr="000E696E" w:rsidRDefault="0068647C" w:rsidP="00AA1EBF">
      <w:pPr>
        <w:autoSpaceDE w:val="0"/>
        <w:autoSpaceDN w:val="0"/>
        <w:adjustRightInd w:val="0"/>
        <w:spacing w:after="60"/>
        <w:jc w:val="both"/>
        <w:rPr>
          <w:rFonts w:ascii="Verdana" w:hAnsi="Verdana" w:cs="Arial"/>
          <w:sz w:val="16"/>
          <w:szCs w:val="16"/>
          <w:lang w:val="en-US"/>
        </w:rPr>
      </w:pPr>
      <w:r w:rsidRPr="000E696E">
        <w:rPr>
          <w:rStyle w:val="Refdenotaalpie"/>
          <w:rFonts w:eastAsia="MS Mincho"/>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cs="Verdana"/>
          <w:bCs/>
          <w:i/>
          <w:sz w:val="16"/>
          <w:szCs w:val="16"/>
          <w:lang w:val="en-US" w:eastAsia="es-MX"/>
        </w:rPr>
        <w:t xml:space="preserve">Case of the Dismissed Congressional Employees (Aguado Alfaro et al.) </w:t>
      </w:r>
      <w:r w:rsidRPr="000E696E">
        <w:rPr>
          <w:rFonts w:ascii="Verdana" w:hAnsi="Verdana" w:cs="Verdana"/>
          <w:bCs/>
          <w:i/>
          <w:iCs/>
          <w:sz w:val="16"/>
          <w:szCs w:val="16"/>
          <w:lang w:val="en-US" w:eastAsia="es-MX"/>
        </w:rPr>
        <w:t>v.</w:t>
      </w:r>
      <w:r w:rsidRPr="000E696E">
        <w:rPr>
          <w:rFonts w:ascii="Verdana" w:hAnsi="Verdana" w:cs="Verdana"/>
          <w:bCs/>
          <w:i/>
          <w:sz w:val="16"/>
          <w:szCs w:val="16"/>
          <w:lang w:val="en-US" w:eastAsia="es-MX"/>
        </w:rPr>
        <w:t xml:space="preserve"> Peru. </w:t>
      </w:r>
      <w:r w:rsidRPr="000E696E">
        <w:rPr>
          <w:rFonts w:ascii="Verdana" w:hAnsi="Verdana" w:cs="Verdana"/>
          <w:bCs/>
          <w:i/>
          <w:iCs/>
          <w:sz w:val="16"/>
          <w:szCs w:val="16"/>
          <w:lang w:val="en-US" w:eastAsia="es-MX"/>
        </w:rPr>
        <w:t>Preliminary objections, merits, reparations and costs</w:t>
      </w:r>
      <w:r w:rsidRPr="000E696E">
        <w:rPr>
          <w:rFonts w:ascii="Verdana" w:hAnsi="Verdana" w:cs="Verdana"/>
          <w:bCs/>
          <w:iCs/>
          <w:sz w:val="16"/>
          <w:szCs w:val="16"/>
          <w:lang w:val="en-US" w:eastAsia="es-MX"/>
        </w:rPr>
        <w:t>.</w:t>
      </w:r>
      <w:r w:rsidRPr="000E696E">
        <w:rPr>
          <w:rFonts w:ascii="Verdana" w:hAnsi="Verdana" w:cs="Verdana"/>
          <w:bCs/>
          <w:sz w:val="16"/>
          <w:szCs w:val="16"/>
          <w:lang w:val="en-US" w:eastAsia="es-MX"/>
        </w:rPr>
        <w:t xml:space="preserve"> Judgment of November 24, 2006. Para. 89.2 </w:t>
      </w:r>
      <w:r w:rsidRPr="000E696E">
        <w:rPr>
          <w:rStyle w:val="st1"/>
          <w:rFonts w:ascii="Verdana" w:hAnsi="Verdana" w:cs="Arial"/>
          <w:color w:val="000000"/>
          <w:sz w:val="16"/>
          <w:szCs w:val="16"/>
          <w:lang w:val="en-US"/>
        </w:rPr>
        <w:t>“</w:t>
      </w:r>
      <w:r w:rsidRPr="000E696E">
        <w:rPr>
          <w:rFonts w:ascii="Verdana" w:hAnsi="Verdana" w:cs="Verdana"/>
          <w:sz w:val="16"/>
          <w:szCs w:val="16"/>
          <w:lang w:val="en-US" w:eastAsia="es-MX"/>
        </w:rPr>
        <w:t xml:space="preserve">On April 5, 1992, President Fujimori </w:t>
      </w:r>
      <w:r w:rsidRPr="000E696E">
        <w:rPr>
          <w:rFonts w:ascii="Verdana" w:hAnsi="Verdana" w:cs="Arial"/>
          <w:sz w:val="16"/>
          <w:szCs w:val="16"/>
          <w:lang w:val="en-US"/>
        </w:rPr>
        <w:t xml:space="preserve">broadcast the “Manifesto to the Nation” in which he stated, </w:t>
      </w:r>
      <w:r w:rsidRPr="000E696E">
        <w:rPr>
          <w:rFonts w:ascii="Verdana" w:hAnsi="Verdana" w:cs="Arial"/>
          <w:i/>
          <w:iCs/>
          <w:sz w:val="16"/>
          <w:szCs w:val="16"/>
          <w:lang w:val="en-US"/>
        </w:rPr>
        <w:t>inter alia,</w:t>
      </w:r>
      <w:r w:rsidRPr="000E696E">
        <w:rPr>
          <w:rFonts w:ascii="Verdana" w:hAnsi="Verdana" w:cs="Arial"/>
          <w:sz w:val="16"/>
          <w:szCs w:val="16"/>
          <w:lang w:val="en-US"/>
        </w:rPr>
        <w:t xml:space="preserve"> that he considered that he had “the responsibility to assume an exceptional approach to try and accelerate the process of […] national reconstruction and ha[d] therefore, […] decide[d] […] to temporarily dissolve the Congress of the Republic[, …] to modernize the public administration, and to reorganize the Judiciary completely.” </w:t>
      </w:r>
      <w:r w:rsidRPr="000E696E">
        <w:rPr>
          <w:rFonts w:ascii="Verdana" w:hAnsi="Verdana" w:cs="Verdana"/>
          <w:sz w:val="16"/>
          <w:szCs w:val="16"/>
          <w:lang w:val="en-US" w:eastAsia="es-MX"/>
        </w:rPr>
        <w:t xml:space="preserve">  </w:t>
      </w:r>
    </w:p>
  </w:footnote>
  <w:footnote w:id="86">
    <w:p w14:paraId="23484126" w14:textId="6618EB44" w:rsidR="0068647C" w:rsidRPr="000E696E" w:rsidRDefault="0068647C" w:rsidP="00AA1EBF">
      <w:pPr>
        <w:autoSpaceDE w:val="0"/>
        <w:autoSpaceDN w:val="0"/>
        <w:adjustRightInd w:val="0"/>
        <w:spacing w:after="60"/>
        <w:jc w:val="both"/>
        <w:rPr>
          <w:rFonts w:ascii="Verdana" w:hAnsi="Verdana"/>
          <w:sz w:val="16"/>
          <w:szCs w:val="16"/>
          <w:lang w:val="en-US" w:eastAsia="es-MX"/>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Fifth Civil Chamber of the Superior Court of Lima. Decision of August 3, 1992. File. 2615-9 </w:t>
      </w:r>
      <w:r w:rsidRPr="000E696E">
        <w:rPr>
          <w:rFonts w:ascii="Verdana" w:hAnsi="Verdana"/>
          <w:sz w:val="16"/>
          <w:szCs w:val="16"/>
          <w:lang w:val="en-US"/>
        </w:rPr>
        <w:t xml:space="preserve">(evidence file, annex 16 to the Merits Report, ff. 63 and 64). The </w:t>
      </w:r>
      <w:r w:rsidRPr="000E696E">
        <w:rPr>
          <w:rFonts w:ascii="Verdana" w:hAnsi="Verdana"/>
          <w:sz w:val="16"/>
          <w:szCs w:val="16"/>
          <w:lang w:val="en-US" w:eastAsia="es-MX"/>
        </w:rPr>
        <w:t>Fifth Civil Chamber of the Superior Court of Lima stated that the grounds for the application before the court referred to the ineffectiveness of the judicial decision; also, that the brief mentioned by Mr. Lagos, which had been processed after the judgment, corresponded only to arguments, rather than to evidentiary elements; that, consequently, it did find that his right to due process – which could be remedied by means of the amparo – had been violated and concluded that the application for amparo was inadmissible.</w:t>
      </w:r>
    </w:p>
  </w:footnote>
  <w:footnote w:id="87">
    <w:p w14:paraId="0965CD67" w14:textId="46F9B265"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Appeal for annulment filed by Mr. Lagos del Campo before the </w:t>
      </w:r>
      <w:r w:rsidRPr="000E696E">
        <w:rPr>
          <w:lang w:eastAsia="es-MX"/>
        </w:rPr>
        <w:t xml:space="preserve">Fifth Civil Chamber of the Superior Court of </w:t>
      </w:r>
      <w:r w:rsidRPr="000E696E">
        <w:t xml:space="preserve">Lima. File. No. 2615-91. August 26, 1992 (evidence file, annex 17 to the Merits Report, f. 66). In this motion, Mr. Lagos del Campo requested that the court admit his application for annulment and order that the case be raised to the Supreme Court. </w:t>
      </w:r>
    </w:p>
  </w:footnote>
  <w:footnote w:id="88">
    <w:p w14:paraId="05E1D464" w14:textId="7B306C53" w:rsidR="0068647C" w:rsidRPr="000E696E" w:rsidRDefault="0068647C" w:rsidP="00AA1EBF">
      <w:pPr>
        <w:pStyle w:val="Default"/>
        <w:spacing w:after="60"/>
        <w:jc w:val="both"/>
        <w:rPr>
          <w:rFonts w:ascii="Verdana" w:hAnsi="Verdana"/>
          <w:sz w:val="16"/>
          <w:szCs w:val="16"/>
        </w:rPr>
      </w:pPr>
      <w:r w:rsidRPr="000E696E">
        <w:rPr>
          <w:rStyle w:val="Refdenotaalpie"/>
          <w:sz w:val="16"/>
          <w:szCs w:val="16"/>
        </w:rPr>
        <w:footnoteRef/>
      </w:r>
      <w:r w:rsidRPr="000E696E">
        <w:rPr>
          <w:rFonts w:ascii="Verdana" w:hAnsi="Verdana"/>
          <w:sz w:val="16"/>
          <w:szCs w:val="16"/>
        </w:rPr>
        <w:t xml:space="preserve"> </w:t>
      </w:r>
      <w:r w:rsidRPr="000E696E">
        <w:rPr>
          <w:rFonts w:ascii="Verdana" w:hAnsi="Verdana"/>
          <w:b/>
          <w:sz w:val="16"/>
          <w:szCs w:val="16"/>
        </w:rPr>
        <w:tab/>
      </w:r>
      <w:r w:rsidRPr="000E696E">
        <w:rPr>
          <w:rFonts w:ascii="Verdana" w:hAnsi="Verdana"/>
          <w:i/>
          <w:sz w:val="16"/>
          <w:szCs w:val="16"/>
        </w:rPr>
        <w:t>Cf.</w:t>
      </w:r>
      <w:r w:rsidRPr="000E696E">
        <w:rPr>
          <w:rFonts w:ascii="Verdana" w:hAnsi="Verdana"/>
          <w:color w:val="auto"/>
          <w:sz w:val="16"/>
          <w:szCs w:val="16"/>
        </w:rPr>
        <w:t xml:space="preserve"> </w:t>
      </w:r>
      <w:r w:rsidRPr="000E696E">
        <w:rPr>
          <w:rFonts w:ascii="Verdana" w:hAnsi="Verdana"/>
          <w:sz w:val="16"/>
          <w:szCs w:val="16"/>
        </w:rPr>
        <w:t xml:space="preserve">Appeal for annulment </w:t>
      </w:r>
      <w:r w:rsidRPr="000E696E">
        <w:rPr>
          <w:rFonts w:ascii="Verdana" w:hAnsi="Verdana"/>
          <w:color w:val="auto"/>
          <w:sz w:val="16"/>
          <w:szCs w:val="16"/>
        </w:rPr>
        <w:t>and order of the Supreme Court of Justice of the Republic. File 1811-92. March 15, 1993</w:t>
      </w:r>
      <w:r w:rsidRPr="000E696E">
        <w:rPr>
          <w:rFonts w:ascii="Verdana" w:hAnsi="Verdana"/>
          <w:color w:val="FF0000"/>
          <w:sz w:val="16"/>
          <w:szCs w:val="16"/>
        </w:rPr>
        <w:t xml:space="preserve"> </w:t>
      </w:r>
      <w:r w:rsidRPr="000E696E">
        <w:rPr>
          <w:rFonts w:ascii="Verdana" w:hAnsi="Verdana"/>
          <w:color w:val="auto"/>
          <w:sz w:val="16"/>
          <w:szCs w:val="16"/>
        </w:rPr>
        <w:t>(</w:t>
      </w:r>
      <w:r w:rsidRPr="000E696E">
        <w:rPr>
          <w:rFonts w:ascii="Verdana" w:hAnsi="Verdana"/>
          <w:sz w:val="16"/>
          <w:szCs w:val="16"/>
        </w:rPr>
        <w:t>evidence file annex 18 to the Merits Report, f. 67). In this motion, Mr. Lagos argued that his constitutional right to legitimate defense and due process had been violated because the brief he had filed before the Second Labor Court, which had been received on August 1, 1991, had not been processed promptly.</w:t>
      </w:r>
    </w:p>
  </w:footnote>
  <w:footnote w:id="89">
    <w:p w14:paraId="38BE1BD6" w14:textId="48A75A90" w:rsidR="0068647C" w:rsidRPr="000E696E" w:rsidRDefault="0068647C" w:rsidP="00D61BD2">
      <w:pPr>
        <w:pStyle w:val="Textonotapie"/>
      </w:pPr>
      <w:r w:rsidRPr="000E696E">
        <w:rPr>
          <w:rStyle w:val="Refdenotaalpie"/>
          <w:sz w:val="16"/>
        </w:rPr>
        <w:footnoteRef/>
      </w:r>
      <w:r w:rsidRPr="000E696E">
        <w:t xml:space="preserve"> </w:t>
      </w:r>
      <w:r w:rsidRPr="000E696E">
        <w:tab/>
        <w:t xml:space="preserve">Ruling of the Supreme Court of Justice. File No 1811-92; the Chamber indicated “that, based on the decision of the [Supreme Administrative Contentious] Prosecutor; [taking into account] the grounds he had outlined, it declare[d] that nullity was not admissible.” The said decision of the Prosecutor indicated that “judicial decisions of the Labor and Labor Communities Jurisdiction that have been determined and are enforceable have the authority of </w:t>
      </w:r>
      <w:r w:rsidRPr="000E696E">
        <w:rPr>
          <w:i/>
          <w:iCs/>
        </w:rPr>
        <w:t>res judicata</w:t>
      </w:r>
      <w:r w:rsidRPr="000E696E">
        <w:t xml:space="preserve">”; therefore, to review such a decision would entail reviving a defunct proceeding and, consequently, an infringement of </w:t>
      </w:r>
      <w:r w:rsidRPr="000E696E">
        <w:rPr>
          <w:i/>
          <w:iCs/>
        </w:rPr>
        <w:t>res judicata</w:t>
      </w:r>
      <w:r w:rsidRPr="000E696E">
        <w:t>. He added that “when this decision has been adopted or is enforceable, it shall be published in the Official Gazette, “</w:t>
      </w:r>
      <w:r w:rsidRPr="000E696E">
        <w:rPr>
          <w:i/>
          <w:iCs/>
        </w:rPr>
        <w:t>El Peruano</w:t>
      </w:r>
      <w:r w:rsidRPr="000E696E">
        <w:t xml:space="preserve">,” within the time frame established in article 42 of Law 23506.” Cited from the decision. </w:t>
      </w:r>
      <w:r w:rsidRPr="000E696E">
        <w:rPr>
          <w:i/>
        </w:rPr>
        <w:t>Cf.</w:t>
      </w:r>
      <w:r w:rsidRPr="000E696E">
        <w:t xml:space="preserve"> Congress of the Republic of Peru. Habeas Corpus and Amparo Act. Law 23506. Article 42. It shall be compulsory to publish all final decisions on applications for habeas corpus and amparo that have been adopted and are enforceable in the Official Gazette, “</w:t>
      </w:r>
      <w:r w:rsidRPr="000E696E">
        <w:rPr>
          <w:i/>
          <w:iCs/>
        </w:rPr>
        <w:t>El Peruano</w:t>
      </w:r>
      <w:r w:rsidRPr="000E696E">
        <w:t xml:space="preserve">.” </w:t>
      </w:r>
    </w:p>
  </w:footnote>
  <w:footnote w:id="90">
    <w:p w14:paraId="529BF006" w14:textId="4FFCFE25" w:rsidR="0068647C" w:rsidRPr="000E696E" w:rsidRDefault="0068647C" w:rsidP="00363C3C">
      <w:pPr>
        <w:pStyle w:val="Default"/>
        <w:spacing w:after="60"/>
        <w:jc w:val="both"/>
        <w:rPr>
          <w:rFonts w:ascii="Verdana" w:hAnsi="Verdana"/>
          <w:color w:val="auto"/>
          <w:sz w:val="16"/>
          <w:szCs w:val="16"/>
        </w:rPr>
      </w:pPr>
      <w:r w:rsidRPr="000E696E">
        <w:rPr>
          <w:rStyle w:val="Refdenotaalpie"/>
          <w:sz w:val="16"/>
          <w:szCs w:val="16"/>
        </w:rPr>
        <w:footnoteRef/>
      </w:r>
      <w:r w:rsidRPr="000E696E">
        <w:rPr>
          <w:rFonts w:ascii="Verdana" w:hAnsi="Verdana"/>
          <w:color w:val="0000FF"/>
          <w:sz w:val="16"/>
          <w:szCs w:val="16"/>
        </w:rPr>
        <w:t xml:space="preserve"> </w:t>
      </w:r>
      <w:r w:rsidRPr="000E696E">
        <w:rPr>
          <w:rFonts w:ascii="Verdana" w:hAnsi="Verdana"/>
          <w:color w:val="0000FF"/>
          <w:sz w:val="16"/>
          <w:szCs w:val="16"/>
        </w:rPr>
        <w:tab/>
      </w:r>
      <w:r w:rsidRPr="000E696E">
        <w:rPr>
          <w:rFonts w:ascii="Verdana" w:hAnsi="Verdana"/>
          <w:i/>
          <w:color w:val="auto"/>
          <w:sz w:val="16"/>
          <w:szCs w:val="16"/>
        </w:rPr>
        <w:t>Cf.</w:t>
      </w:r>
      <w:r w:rsidRPr="000E696E">
        <w:rPr>
          <w:rFonts w:ascii="Verdana" w:hAnsi="Verdana"/>
          <w:color w:val="auto"/>
          <w:sz w:val="16"/>
          <w:szCs w:val="16"/>
        </w:rPr>
        <w:t xml:space="preserve"> Motion addressed to the </w:t>
      </w:r>
      <w:r w:rsidRPr="000E696E">
        <w:rPr>
          <w:rFonts w:ascii="Verdana" w:hAnsi="Verdana"/>
          <w:sz w:val="16"/>
          <w:szCs w:val="16"/>
        </w:rPr>
        <w:t xml:space="preserve">Social and Constitutional Law Chamber of the </w:t>
      </w:r>
      <w:r w:rsidRPr="000E696E">
        <w:rPr>
          <w:rFonts w:ascii="Verdana" w:hAnsi="Verdana"/>
          <w:color w:val="auto"/>
          <w:sz w:val="16"/>
          <w:szCs w:val="16"/>
        </w:rPr>
        <w:t>Supreme Court of Justice. File No. 1811-92. April 28, 1993. Annexes to the communication of the petitioners dated July 23, 1998 (evidence file, annex 20 to the Merits Report, f. 75).</w:t>
      </w:r>
    </w:p>
  </w:footnote>
  <w:footnote w:id="91">
    <w:p w14:paraId="0616D731" w14:textId="42162487" w:rsidR="0068647C" w:rsidRPr="000E696E" w:rsidRDefault="0068647C" w:rsidP="00AA1EBF">
      <w:pPr>
        <w:autoSpaceDE w:val="0"/>
        <w:autoSpaceDN w:val="0"/>
        <w:adjustRightInd w:val="0"/>
        <w:spacing w:after="60"/>
        <w:jc w:val="both"/>
        <w:rPr>
          <w:rFonts w:ascii="Verdana" w:hAnsi="Verdana"/>
          <w:sz w:val="16"/>
          <w:szCs w:val="16"/>
          <w:lang w:val="en-US" w:eastAsia="es-MX"/>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Request addressed to the Fifth Civil Chamber of the Superior Court of Lima. File No. 2615-91. July 26, 1996 (evidence file, annex 21 to the Merits Report, f. 77). To substantiate his request, Mr. Lagos cited articles 2.2 and 202.2 of the Constitution which establish:</w:t>
      </w:r>
      <w:r w:rsidRPr="000E696E">
        <w:rPr>
          <w:rFonts w:ascii="Verdana" w:hAnsi="Verdana"/>
          <w:i/>
          <w:sz w:val="16"/>
          <w:szCs w:val="16"/>
          <w:lang w:val="en-US" w:eastAsia="es-MX"/>
        </w:rPr>
        <w:t xml:space="preserve"> </w:t>
      </w:r>
      <w:r w:rsidRPr="000E696E">
        <w:rPr>
          <w:rFonts w:ascii="Verdana" w:hAnsi="Verdana"/>
          <w:sz w:val="16"/>
          <w:szCs w:val="16"/>
          <w:lang w:val="en-US" w:eastAsia="es-MX"/>
        </w:rPr>
        <w:t xml:space="preserve">Article 2. Fundamental human rights. Everyone has a right to: 2. Equality before the law. No one may be discriminated against for reasons of origin, race, sex, language, religion, opinion, economic status, or any other condition. Article 202. Attributes of the Constitutional Court. It corresponds to the Constitutional Court: 2. To hear, in final instance, the decisions denying habeas corpus, amparo, habeas data, and mandamus </w:t>
      </w:r>
      <w:r w:rsidRPr="000E696E">
        <w:rPr>
          <w:rFonts w:ascii="Verdana" w:hAnsi="Verdana"/>
          <w:sz w:val="16"/>
          <w:szCs w:val="16"/>
          <w:lang w:val="en-US"/>
        </w:rPr>
        <w:t>(evidence file, annex 21 to the Merits Report, ff. 77 and 78).</w:t>
      </w:r>
    </w:p>
  </w:footnote>
  <w:footnote w:id="92">
    <w:p w14:paraId="354A259A" w14:textId="776354CC"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Request addressed to the Fifth Civil Chamber of the Superior Court of Lima. File No. 2615-91. January 13, 1997 (evidence file, annex 21 to the Merits Report, ff. 79 and 80).</w:t>
      </w:r>
    </w:p>
  </w:footnote>
  <w:footnote w:id="93">
    <w:p w14:paraId="74BF5523" w14:textId="2CD3CCAE" w:rsidR="0068647C" w:rsidRPr="000E696E" w:rsidRDefault="0068647C" w:rsidP="00D61BD2">
      <w:pPr>
        <w:pStyle w:val="Textonotapie"/>
        <w:rPr>
          <w:i/>
        </w:rPr>
      </w:pPr>
      <w:r w:rsidRPr="000E696E">
        <w:rPr>
          <w:rStyle w:val="Refdenotaalpie"/>
          <w:sz w:val="16"/>
        </w:rPr>
        <w:footnoteRef/>
      </w:r>
      <w:r w:rsidRPr="000E696E">
        <w:t xml:space="preserve"> </w:t>
      </w:r>
      <w:r w:rsidRPr="000E696E">
        <w:tab/>
      </w:r>
      <w:r w:rsidRPr="000E696E">
        <w:rPr>
          <w:i/>
        </w:rPr>
        <w:t>Cf.</w:t>
      </w:r>
      <w:r w:rsidRPr="000E696E">
        <w:t xml:space="preserve"> Congress of the Republic of Peru. Constitution of Peru, July 12, 1979. Article 298. The Court of Constitutional Guarantees has jurisdiction throughout the territory of the Republic. It has jurisdiction:</w:t>
      </w:r>
      <w:r w:rsidRPr="000E696E">
        <w:rPr>
          <w:i/>
        </w:rPr>
        <w:t xml:space="preserve"> </w:t>
      </w:r>
      <w:r w:rsidRPr="000E696E">
        <w:t xml:space="preserve">1. To declare, at the request of a party, the partial or total unconstitutionality of laws, legislative decrees, general regional laws and municipal by-laws that violate the Constitution in form or in content, and 2. To hear in cassation decisions rejecting applications for habeas corpus and amparo that have exhausted the court system. </w:t>
      </w:r>
      <w:r w:rsidRPr="000E696E">
        <w:rPr>
          <w:bCs/>
          <w:color w:val="000000"/>
        </w:rPr>
        <w:t>Article 295.</w:t>
      </w:r>
      <w:r w:rsidRPr="000E696E">
        <w:rPr>
          <w:bCs/>
          <w:color w:val="000000"/>
        </w:rPr>
        <w:softHyphen/>
      </w:r>
      <w:r w:rsidRPr="000E696E">
        <w:rPr>
          <w:color w:val="000000"/>
        </w:rPr>
        <w:t xml:space="preserve"> The application for amparo protects rights recognized in the Constitution that may have been violated or threatened by any authority, official or individual. The application for amparo follows the same procedure as the application for habeas corpus in cases in which it is applicable.</w:t>
      </w:r>
    </w:p>
  </w:footnote>
  <w:footnote w:id="94">
    <w:p w14:paraId="789164A0" w14:textId="0087C915" w:rsidR="0068647C" w:rsidRPr="000E696E" w:rsidRDefault="0068647C" w:rsidP="00AA1EBF">
      <w:pPr>
        <w:autoSpaceDE w:val="0"/>
        <w:autoSpaceDN w:val="0"/>
        <w:adjustRightInd w:val="0"/>
        <w:spacing w:after="60"/>
        <w:contextualSpacing/>
        <w:jc w:val="both"/>
        <w:rPr>
          <w:rFonts w:ascii="Verdana" w:hAnsi="Verdana"/>
          <w:sz w:val="16"/>
          <w:szCs w:val="16"/>
          <w:lang w:val="en-US"/>
        </w:rPr>
      </w:pPr>
      <w:r w:rsidRPr="000E696E">
        <w:rPr>
          <w:rStyle w:val="Refdenotaalpie"/>
          <w:sz w:val="16"/>
          <w:szCs w:val="16"/>
          <w:lang w:val="en-US"/>
        </w:rPr>
        <w:footnoteRef/>
      </w:r>
      <w:r w:rsidRPr="000E696E">
        <w:rPr>
          <w:rFonts w:ascii="Verdana" w:hAnsi="Verdana"/>
          <w:i/>
          <w:sz w:val="16"/>
          <w:szCs w:val="16"/>
          <w:lang w:val="en-US"/>
        </w:rPr>
        <w:t xml:space="preserve"> </w:t>
      </w:r>
      <w:r w:rsidRPr="000E696E">
        <w:rPr>
          <w:rFonts w:ascii="Verdana" w:hAnsi="Verdana"/>
          <w:i/>
          <w:sz w:val="16"/>
          <w:szCs w:val="16"/>
          <w:lang w:val="en-US"/>
        </w:rPr>
        <w:tab/>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Third Specialized Civil Chamber of the Superior Court of Justice of Lima. File. No. 2625-91. Decision of June 24, 1997. </w:t>
      </w:r>
      <w:r w:rsidRPr="000E696E">
        <w:rPr>
          <w:rFonts w:ascii="Verdana" w:hAnsi="Verdana"/>
          <w:sz w:val="16"/>
          <w:szCs w:val="16"/>
          <w:lang w:val="en-US"/>
        </w:rPr>
        <w:t>(evidence file, annex 23 to the Merits Report, f. 82).</w:t>
      </w:r>
    </w:p>
  </w:footnote>
  <w:footnote w:id="95">
    <w:p w14:paraId="7CCE4C9A" w14:textId="6CCDCF2D"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Appeal filed by Mr. Lagos del Campo before the Third Specialized Civil Chamber of the Superior Court of Lima. A.A.2615-91, July 18, 1997 (evidence file, annex 24 to the Merits Report, ff. 85 and 86). </w:t>
      </w:r>
    </w:p>
  </w:footnote>
  <w:footnote w:id="96">
    <w:p w14:paraId="115DA12A" w14:textId="2C9F65FE" w:rsidR="0068647C" w:rsidRPr="000E696E" w:rsidRDefault="0068647C" w:rsidP="00D61BD2">
      <w:pPr>
        <w:pStyle w:val="Textonotapie"/>
      </w:pPr>
      <w:r w:rsidRPr="000E696E">
        <w:rPr>
          <w:rStyle w:val="Refdenotaalpie"/>
          <w:sz w:val="16"/>
        </w:rPr>
        <w:footnoteRef/>
      </w:r>
      <w:r w:rsidRPr="000E696E">
        <w:tab/>
      </w:r>
      <w:r w:rsidRPr="000E696E">
        <w:rPr>
          <w:i/>
        </w:rPr>
        <w:t>Cf.</w:t>
      </w:r>
      <w:r w:rsidRPr="000E696E">
        <w:t xml:space="preserve"> Third Specialized Civil Chamber of the Superior Court of Justice of Lima. File. No. 839-97. Ruling of July 25, 1997. (evidence file, annex 25 to the Merits Report, f. 88).</w:t>
      </w:r>
    </w:p>
  </w:footnote>
  <w:footnote w:id="97">
    <w:p w14:paraId="4FFC8D6A" w14:textId="176C3B01" w:rsidR="0068647C" w:rsidRPr="000E696E" w:rsidRDefault="0068647C" w:rsidP="00E91CF4">
      <w:pPr>
        <w:tabs>
          <w:tab w:val="left" w:pos="720"/>
        </w:tabs>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403 of the New Code of Civil Procedure in force at the time of the facts established the following: “The complaint shall be filed before the court that is superior to the one that denied the appeal or granted it with an effect other than that requested, or before the court of cassation in the corresponding case.” </w:t>
      </w:r>
    </w:p>
  </w:footnote>
  <w:footnote w:id="98">
    <w:p w14:paraId="26CA0E73" w14:textId="1B9669A2" w:rsidR="0068647C" w:rsidRPr="000E696E" w:rsidRDefault="0068647C" w:rsidP="007B50A5">
      <w:pPr>
        <w:tabs>
          <w:tab w:val="left" w:pos="720"/>
        </w:tabs>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Social and Constitutional Law Chamber </w:t>
      </w:r>
      <w:r w:rsidRPr="000E696E">
        <w:rPr>
          <w:rFonts w:ascii="Verdana" w:hAnsi="Verdana"/>
          <w:sz w:val="16"/>
          <w:szCs w:val="16"/>
          <w:lang w:val="en-US" w:eastAsia="es-MX"/>
        </w:rPr>
        <w:t xml:space="preserve">of the Supreme Court of Justice. Complaint 447-97 </w:t>
      </w:r>
      <w:r w:rsidRPr="000E696E">
        <w:rPr>
          <w:rFonts w:ascii="Verdana" w:hAnsi="Verdana"/>
          <w:sz w:val="16"/>
          <w:szCs w:val="16"/>
          <w:lang w:val="en-US"/>
        </w:rPr>
        <w:t>(evidence file annex 28 to the Merits Report, f. 97).</w:t>
      </w:r>
    </w:p>
  </w:footnote>
  <w:footnote w:id="99">
    <w:p w14:paraId="30991DAE" w14:textId="03E5014A" w:rsidR="0068647C" w:rsidRPr="000E696E" w:rsidRDefault="0068647C" w:rsidP="007B50A5">
      <w:pPr>
        <w:tabs>
          <w:tab w:val="left" w:pos="720"/>
        </w:tabs>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i/>
          <w:iCs/>
          <w:sz w:val="16"/>
          <w:szCs w:val="16"/>
          <w:lang w:val="en-US" w:eastAsia="es-MX"/>
        </w:rPr>
        <w:t xml:space="preserve"> </w:t>
      </w:r>
      <w:r w:rsidRPr="000E696E">
        <w:rPr>
          <w:rFonts w:ascii="Verdana" w:hAnsi="Verdana"/>
          <w:i/>
          <w:iCs/>
          <w:sz w:val="16"/>
          <w:szCs w:val="16"/>
          <w:lang w:val="en-US" w:eastAsia="es-MX"/>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Complaint filed before the Social and Constitutional Law Chamber of the Supreme Court of Justice. File No 839-97. A.A. 2615-91 </w:t>
      </w:r>
      <w:r w:rsidRPr="000E696E">
        <w:rPr>
          <w:rFonts w:ascii="Verdana" w:hAnsi="Verdana"/>
          <w:sz w:val="16"/>
          <w:szCs w:val="16"/>
          <w:lang w:val="en-US"/>
        </w:rPr>
        <w:t>(evidence file annex 29 to the Merits Report, ff. 99 to 101).</w:t>
      </w:r>
    </w:p>
  </w:footnote>
  <w:footnote w:id="100">
    <w:p w14:paraId="4F2D6A7C" w14:textId="5617875F"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reference to retirement relates to the “Law implementing the recommendations derived from the committees created by Laws No. 27452 and No. 27586 responsible for reviewing the collective dismissals from State companies subject to processes to promote private investment and from entities in the public sector and local governments.” Mr. Lagos also mentioned the following law: “I am owed all my social benefits and other rights that correspond to me under the law since 1976 in order to protect my right to retirement under Law No. 19990” (file of the procedure before the Commission, f. 151). </w:t>
      </w:r>
    </w:p>
  </w:footnote>
  <w:footnote w:id="101">
    <w:p w14:paraId="20BD2EAE" w14:textId="5B59B9AD" w:rsidR="0068647C" w:rsidRPr="000E696E" w:rsidRDefault="0068647C" w:rsidP="007B50A5">
      <w:pPr>
        <w:tabs>
          <w:tab w:val="left" w:pos="720"/>
        </w:tabs>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i/>
          <w:iCs/>
          <w:sz w:val="16"/>
          <w:szCs w:val="16"/>
          <w:lang w:val="en-US" w:eastAsia="es-MX"/>
        </w:rPr>
        <w:t xml:space="preserve"> </w:t>
      </w:r>
      <w:r w:rsidRPr="000E696E">
        <w:rPr>
          <w:rFonts w:ascii="Verdana" w:hAnsi="Verdana"/>
          <w:sz w:val="16"/>
          <w:szCs w:val="16"/>
          <w:lang w:val="en-US" w:eastAsia="es-MX"/>
        </w:rPr>
        <w:t xml:space="preserve">Certification of Poverty issued by the Blessed Sacrament Parish of the Archdiocese of Lima on September 10, 2003. Attachment to the petitioners’ brief of May 28, 2004; Letter requesting social assistance addressed by Mr. Lagos del Campo to the Ministry for Women and Social Development on April 21, 2005. Attachment to Mr. Lagos del Campo’s communication of June 2, 2005 </w:t>
      </w:r>
      <w:r w:rsidRPr="000E696E">
        <w:rPr>
          <w:rFonts w:ascii="Verdana" w:hAnsi="Verdana"/>
          <w:sz w:val="16"/>
          <w:szCs w:val="16"/>
          <w:lang w:val="en-US"/>
        </w:rPr>
        <w:t>(evidence file, annex 31 to the Merits Report, ff. 106 and 107).</w:t>
      </w:r>
    </w:p>
  </w:footnote>
  <w:footnote w:id="102">
    <w:p w14:paraId="47738BDD" w14:textId="68E36342" w:rsidR="0068647C" w:rsidRPr="000E696E" w:rsidRDefault="0068647C" w:rsidP="00D61BD2">
      <w:pPr>
        <w:pStyle w:val="Textonotapie"/>
      </w:pPr>
      <w:r w:rsidRPr="000E696E">
        <w:rPr>
          <w:rStyle w:val="Refdenotaalpie"/>
          <w:sz w:val="16"/>
        </w:rPr>
        <w:footnoteRef/>
      </w:r>
      <w:r w:rsidRPr="000E696E">
        <w:t xml:space="preserve"> </w:t>
      </w:r>
      <w:r w:rsidRPr="000E696E">
        <w:tab/>
        <w:t>In September 2014, Mr. Lagos del Campo had a hemorrhagic stroke that required him to be hospitalized for 20 days and left him with various aftereffects.</w:t>
      </w:r>
    </w:p>
  </w:footnote>
  <w:footnote w:id="103">
    <w:p w14:paraId="4D4EDF3A" w14:textId="326E5755" w:rsidR="0068647C" w:rsidRPr="000E696E" w:rsidRDefault="0068647C" w:rsidP="00D61BD2">
      <w:pPr>
        <w:tabs>
          <w:tab w:val="left" w:pos="720"/>
          <w:tab w:val="left" w:pos="1080"/>
          <w:tab w:val="left" w:pos="1680"/>
          <w:tab w:val="left" w:pos="5400"/>
        </w:tabs>
        <w:suppressAutoHyphens/>
        <w:spacing w:after="60"/>
        <w:jc w:val="both"/>
        <w:rPr>
          <w:rFonts w:ascii="Verdana" w:hAnsi="Verdana"/>
          <w:spacing w:val="-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13. Freedom of Thought and Expression. 1. </w:t>
      </w:r>
      <w:r w:rsidRPr="000E696E">
        <w:rPr>
          <w:rFonts w:ascii="Verdana" w:hAnsi="Verdana"/>
          <w:spacing w:val="-3"/>
          <w:sz w:val="16"/>
          <w:szCs w:val="16"/>
          <w:lang w:val="en-U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14:paraId="65D68A50" w14:textId="4E191E50"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2. The exercise of the right provided for in the foregoing paragraph shall not be subject to prior censorship but shall be subject to subsequent imposition of liability, which shall be expressly established by law to the extent necessary to ensure:</w:t>
      </w:r>
    </w:p>
    <w:p w14:paraId="72B22310" w14:textId="610A4EE5"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a) respect for the rights or reputations of others; or</w:t>
      </w:r>
    </w:p>
    <w:p w14:paraId="63116727" w14:textId="34FD67E5"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 the protection of national security, public order, or public health or morals.</w:t>
      </w:r>
    </w:p>
    <w:p w14:paraId="34CFE6AE" w14:textId="34ACB303"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14:paraId="7CF335C7" w14:textId="6AAE8447"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4. Notwithstanding the provisions of paragraph 2 above, public entertainments may be subject by law to prior censorship for the sole purpose of regulating access to them for the moral protection of childhood and adolescence.</w:t>
      </w:r>
    </w:p>
    <w:p w14:paraId="0B3CA919" w14:textId="184F4FB3" w:rsidR="0068647C" w:rsidRPr="000E696E" w:rsidRDefault="0068647C" w:rsidP="00DF1382">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5.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footnote>
  <w:footnote w:id="104">
    <w:p w14:paraId="0AA5F6A4" w14:textId="4005D052" w:rsidR="0068647C" w:rsidRPr="000E696E" w:rsidRDefault="0068647C" w:rsidP="00D61BD2">
      <w:pPr>
        <w:pStyle w:val="Footnotes"/>
        <w:rPr>
          <w:i/>
        </w:rPr>
      </w:pPr>
      <w:r w:rsidRPr="000E696E">
        <w:rPr>
          <w:rStyle w:val="Refdenotaalpie"/>
          <w:sz w:val="16"/>
        </w:rPr>
        <w:footnoteRef/>
      </w:r>
      <w:r w:rsidRPr="000E696E">
        <w:t xml:space="preserve"> </w:t>
      </w:r>
      <w:r w:rsidRPr="000E696E">
        <w:tab/>
      </w:r>
      <w:r w:rsidRPr="000E696E">
        <w:rPr>
          <w:bCs/>
        </w:rPr>
        <w:t>Article 8. Right to a Fair Trial</w:t>
      </w:r>
      <w:r w:rsidRPr="000E696E">
        <w:t>.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05">
    <w:p w14:paraId="78B1488D" w14:textId="3347FB36" w:rsidR="0068647C" w:rsidRPr="000E696E" w:rsidRDefault="0068647C" w:rsidP="00D61BD2">
      <w:pPr>
        <w:pStyle w:val="Textonotapie"/>
        <w:rPr>
          <w:i/>
        </w:rPr>
      </w:pPr>
      <w:r w:rsidRPr="000E696E">
        <w:rPr>
          <w:rStyle w:val="Refdenotaalpie"/>
          <w:sz w:val="16"/>
        </w:rPr>
        <w:footnoteRef/>
      </w:r>
      <w:r w:rsidRPr="000E696E">
        <w:t xml:space="preserve"> </w:t>
      </w:r>
      <w:r w:rsidRPr="000E696E">
        <w:tab/>
      </w:r>
      <w:r w:rsidRPr="000E696E">
        <w:rPr>
          <w:bCs/>
        </w:rPr>
        <w:t>Article 16. Freedom of Association.</w:t>
      </w:r>
      <w:r w:rsidRPr="000E696E">
        <w:t xml:space="preserve"> 1. Everyone has the right to associate freely for ideological, religious, political, economic, labor, social, cultural, sports, or other purposes.</w:t>
      </w:r>
    </w:p>
  </w:footnote>
  <w:footnote w:id="106">
    <w:p w14:paraId="3BE6C987" w14:textId="69D0F297" w:rsidR="0068647C" w:rsidRPr="000E696E" w:rsidRDefault="0068647C" w:rsidP="00D61BD2">
      <w:pPr>
        <w:pStyle w:val="Textonotapie"/>
      </w:pPr>
      <w:r w:rsidRPr="000E696E">
        <w:rPr>
          <w:rStyle w:val="Refdenotaalpie"/>
          <w:sz w:val="16"/>
        </w:rPr>
        <w:footnoteRef/>
      </w:r>
      <w:r w:rsidRPr="000E696E">
        <w:t xml:space="preserve"> </w:t>
      </w:r>
      <w:r w:rsidRPr="000E696E">
        <w:tab/>
        <w:t>Article 26. Progressive Development. The States Parties undertake to adopt measures, both internally and through international cooperation, especially those of an economic and technical nature, with a view to achieving progressively, subject to available resources, by legislation or other appropriate means, the full realization of the rights derived from the economic, social, educational, scientific, and cultural standards set forth in the Charter of the Organization of American States as amended by the Protocol of Buenos Aires.</w:t>
      </w:r>
    </w:p>
  </w:footnote>
  <w:footnote w:id="107">
    <w:p w14:paraId="4AE02642" w14:textId="01453F77" w:rsidR="0068647C" w:rsidRPr="000E696E" w:rsidRDefault="0068647C" w:rsidP="00D61BD2">
      <w:pPr>
        <w:pStyle w:val="Textonotapie"/>
      </w:pPr>
      <w:r w:rsidRPr="000E696E">
        <w:rPr>
          <w:rStyle w:val="Refdenotaalpie"/>
          <w:sz w:val="16"/>
        </w:rPr>
        <w:footnoteRef/>
      </w:r>
      <w:r w:rsidRPr="000E696E">
        <w:t xml:space="preserve"> </w:t>
      </w:r>
      <w:r w:rsidRPr="000E696E">
        <w:tab/>
        <w:t>Article 1(1) of the Convention establishes that: “The States […] undertake to respect the rights and freedoms recognized herein and to ensure to all persons subject to their jurisdiction the free and full exercise of those rights and freedoms […].”</w:t>
      </w:r>
    </w:p>
  </w:footnote>
  <w:footnote w:id="108">
    <w:p w14:paraId="6BCB981F" w14:textId="253E2E74" w:rsidR="0068647C" w:rsidRPr="000E696E" w:rsidRDefault="0068647C" w:rsidP="00D61BD2">
      <w:pPr>
        <w:pStyle w:val="Textonotapie"/>
      </w:pPr>
      <w:r w:rsidRPr="000E696E">
        <w:rPr>
          <w:rStyle w:val="Refdenotaalpie"/>
          <w:sz w:val="16"/>
        </w:rPr>
        <w:footnoteRef/>
      </w:r>
      <w:r w:rsidRPr="000E696E">
        <w:t xml:space="preserve"> </w:t>
      </w:r>
      <w:r w:rsidRPr="000E696E">
        <w:tab/>
        <w:t>Article 2. Domestic Legal Effects.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109">
    <w:p w14:paraId="0BC3EEF6" w14:textId="736515AF" w:rsidR="0068647C" w:rsidRPr="000E696E" w:rsidRDefault="0068647C" w:rsidP="00DF1382">
      <w:pPr>
        <w:tabs>
          <w:tab w:val="left" w:pos="720"/>
          <w:tab w:val="left" w:pos="1080"/>
          <w:tab w:val="left" w:pos="1680"/>
          <w:tab w:val="left" w:pos="5400"/>
        </w:tabs>
        <w:suppressAutoHyphens/>
        <w:jc w:val="both"/>
        <w:rPr>
          <w:rFonts w:ascii="Verdana" w:hAnsi="Verdana"/>
          <w:spacing w:val="-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25. Judicial Protection. 1. </w:t>
      </w:r>
      <w:r w:rsidRPr="000E696E">
        <w:rPr>
          <w:rFonts w:ascii="Verdana" w:hAnsi="Verdana"/>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0E696E">
        <w:rPr>
          <w:rFonts w:ascii="Verdana" w:hAnsi="Verdana"/>
          <w:sz w:val="16"/>
          <w:szCs w:val="16"/>
          <w:lang w:val="en-US"/>
        </w:rPr>
        <w:t xml:space="preserve">. 2. </w:t>
      </w:r>
      <w:r w:rsidRPr="000E696E">
        <w:rPr>
          <w:rFonts w:ascii="Verdana" w:hAnsi="Verdana"/>
          <w:spacing w:val="-3"/>
          <w:sz w:val="16"/>
          <w:szCs w:val="16"/>
          <w:lang w:val="en-US"/>
        </w:rPr>
        <w:t>The States Parties undertake: a) to ensure that any person claiming such remedy shall have his rights determined by the competent authority provided for by the legal system of the state; b) to develop the possibilities of judicial remedy; and c) to ensure that the competent authorities shall enforce such remedies when granted.</w:t>
      </w:r>
      <w:r w:rsidRPr="000E696E">
        <w:rPr>
          <w:rFonts w:ascii="Verdana" w:hAnsi="Verdana"/>
          <w:sz w:val="16"/>
          <w:szCs w:val="16"/>
          <w:lang w:val="en-US"/>
        </w:rPr>
        <w:t>”</w:t>
      </w:r>
    </w:p>
  </w:footnote>
  <w:footnote w:id="110">
    <w:p w14:paraId="3A763409" w14:textId="16AC5114" w:rsidR="0068647C" w:rsidRPr="000E696E" w:rsidRDefault="0068647C" w:rsidP="00AA1EBF">
      <w:pPr>
        <w:pStyle w:val="Prrafodelista"/>
        <w:autoSpaceDE w:val="0"/>
        <w:autoSpaceDN w:val="0"/>
        <w:adjustRightInd w:val="0"/>
        <w:spacing w:after="60"/>
        <w:ind w:left="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Above all, the Commission took into account the position held by Mr. Lagos del Campo, the context in which the statements were made, and the nature and severity of the measure, based on the relationship between the freedom of expression of workers’ representatives and the assertion of rights in this area. Also, since the dismissal was such a severe penalty for both</w:t>
      </w:r>
      <w:r w:rsidRPr="000E696E">
        <w:rPr>
          <w:rFonts w:ascii="Verdana" w:hAnsi="Verdana"/>
          <w:sz w:val="16"/>
          <w:szCs w:val="16"/>
          <w:lang w:val="en-US" w:eastAsia="es-ES"/>
        </w:rPr>
        <w:t xml:space="preserve"> the presumed victim and for the workers and their right to information, it could not be justified by the severity of the harm caused, especially when it is considered that this was not proved in court.</w:t>
      </w:r>
    </w:p>
  </w:footnote>
  <w:footnote w:id="111">
    <w:p w14:paraId="2B37AA7A" w14:textId="3B8AF3DD" w:rsidR="0068647C" w:rsidRPr="000E696E" w:rsidRDefault="0068647C" w:rsidP="00186103">
      <w:pPr>
        <w:tabs>
          <w:tab w:val="left" w:pos="720"/>
        </w:tabs>
        <w:spacing w:after="60"/>
        <w:jc w:val="both"/>
        <w:rPr>
          <w:rFonts w:ascii="Verdana" w:hAnsi="Verdana"/>
          <w:i/>
          <w:spacing w:val="-4"/>
          <w:sz w:val="16"/>
          <w:szCs w:val="16"/>
          <w:lang w:val="en-US"/>
        </w:rPr>
      </w:pPr>
      <w:r w:rsidRPr="000E696E">
        <w:rPr>
          <w:rStyle w:val="Refdenotaalpie"/>
          <w:spacing w:val="-4"/>
          <w:sz w:val="16"/>
          <w:szCs w:val="16"/>
          <w:lang w:val="en-US"/>
        </w:rPr>
        <w:footnoteRef/>
      </w:r>
      <w:r w:rsidRPr="000E696E">
        <w:rPr>
          <w:rFonts w:ascii="Verdana" w:hAnsi="Verdana"/>
          <w:i/>
          <w:spacing w:val="-4"/>
          <w:sz w:val="16"/>
          <w:szCs w:val="16"/>
          <w:lang w:val="en-US"/>
        </w:rPr>
        <w:t xml:space="preserve"> </w:t>
      </w:r>
      <w:r w:rsidRPr="000E696E">
        <w:rPr>
          <w:rFonts w:ascii="Verdana" w:hAnsi="Verdana"/>
          <w:i/>
          <w:spacing w:val="-4"/>
          <w:sz w:val="16"/>
          <w:szCs w:val="16"/>
          <w:lang w:val="en-US"/>
        </w:rPr>
        <w:tab/>
        <w:t xml:space="preserve">Cf. Compulsory Membership of an Association Prescribed by Law for the Practice of Journalism (Arts. 13 and 29 American Convention on Human Rights). </w:t>
      </w:r>
      <w:r w:rsidRPr="000E696E">
        <w:rPr>
          <w:rFonts w:ascii="Verdana" w:hAnsi="Verdana"/>
          <w:iCs/>
          <w:spacing w:val="-4"/>
          <w:sz w:val="16"/>
          <w:szCs w:val="16"/>
          <w:lang w:val="en-US"/>
        </w:rPr>
        <w:t>Advisory Opinion OC-5/85, of November 13, 1985. Series A No. 5,</w:t>
      </w:r>
      <w:r w:rsidRPr="000E696E">
        <w:rPr>
          <w:rFonts w:ascii="Verdana" w:hAnsi="Verdana"/>
          <w:i/>
          <w:spacing w:val="-4"/>
          <w:sz w:val="16"/>
          <w:szCs w:val="16"/>
          <w:lang w:val="en-US"/>
        </w:rPr>
        <w:t xml:space="preserve"> </w:t>
      </w:r>
      <w:r w:rsidRPr="000E696E">
        <w:rPr>
          <w:rFonts w:ascii="Verdana" w:hAnsi="Verdana"/>
          <w:spacing w:val="-4"/>
          <w:sz w:val="16"/>
          <w:szCs w:val="16"/>
          <w:lang w:val="en-US"/>
        </w:rPr>
        <w:t xml:space="preserve">para. 30, and </w:t>
      </w:r>
      <w:r w:rsidRPr="000E696E">
        <w:rPr>
          <w:rStyle w:val="Textoennegrita"/>
          <w:rFonts w:ascii="Verdana" w:hAnsi="Verdana"/>
          <w:b w:val="0"/>
          <w:i/>
          <w:sz w:val="16"/>
          <w:szCs w:val="16"/>
          <w:shd w:val="clear" w:color="auto" w:fill="FFFFFF"/>
          <w:lang w:val="en-US"/>
        </w:rPr>
        <w:t>Case of López Lone et al. v. Honduras</w:t>
      </w:r>
      <w:r w:rsidRPr="000E696E">
        <w:rPr>
          <w:rStyle w:val="Textoennegrita"/>
          <w:rFonts w:ascii="Verdana" w:hAnsi="Verdana"/>
          <w:b w:val="0"/>
          <w:sz w:val="16"/>
          <w:szCs w:val="16"/>
          <w:shd w:val="clear" w:color="auto" w:fill="FFFFFF"/>
          <w:lang w:val="en-US"/>
        </w:rPr>
        <w:t xml:space="preserve">. </w:t>
      </w:r>
      <w:r w:rsidRPr="000E696E">
        <w:rPr>
          <w:rStyle w:val="Textoennegrita"/>
          <w:rFonts w:ascii="Verdana" w:hAnsi="Verdana"/>
          <w:b w:val="0"/>
          <w:i/>
          <w:sz w:val="16"/>
          <w:szCs w:val="16"/>
          <w:shd w:val="clear" w:color="auto" w:fill="FFFFFF"/>
          <w:lang w:val="en-US"/>
        </w:rPr>
        <w:t>Preliminary objections, merits, reparations and costs</w:t>
      </w:r>
      <w:r w:rsidRPr="000E696E">
        <w:rPr>
          <w:rStyle w:val="Textoennegrita"/>
          <w:rFonts w:ascii="Verdana" w:hAnsi="Verdana"/>
          <w:b w:val="0"/>
          <w:sz w:val="16"/>
          <w:szCs w:val="16"/>
          <w:shd w:val="clear" w:color="auto" w:fill="FFFFFF"/>
          <w:lang w:val="en-US"/>
        </w:rPr>
        <w:t>. Judgment October 5, 2015. Series 302, para. 166.</w:t>
      </w:r>
    </w:p>
  </w:footnote>
  <w:footnote w:id="112">
    <w:p w14:paraId="1193D660" w14:textId="6F0C0C31" w:rsidR="0068647C" w:rsidRPr="000E696E" w:rsidRDefault="0068647C" w:rsidP="00186103">
      <w:pPr>
        <w:tabs>
          <w:tab w:val="left" w:pos="720"/>
        </w:tabs>
        <w:spacing w:after="60"/>
        <w:jc w:val="both"/>
        <w:rPr>
          <w:rFonts w:ascii="Verdana" w:hAnsi="Verdana"/>
          <w:spacing w:val="-4"/>
          <w:sz w:val="16"/>
          <w:szCs w:val="16"/>
          <w:lang w:val="en-US"/>
        </w:rPr>
      </w:pPr>
      <w:r w:rsidRPr="000E696E">
        <w:rPr>
          <w:rStyle w:val="Refdenotaalpie"/>
          <w:spacing w:val="-4"/>
          <w:sz w:val="16"/>
          <w:szCs w:val="16"/>
          <w:lang w:val="en-US"/>
        </w:rPr>
        <w:footnoteRef/>
      </w:r>
      <w:r w:rsidRPr="000E696E">
        <w:rPr>
          <w:rFonts w:ascii="Verdana" w:hAnsi="Verdana"/>
          <w:spacing w:val="-4"/>
          <w:sz w:val="16"/>
          <w:szCs w:val="16"/>
          <w:lang w:val="en-US"/>
        </w:rPr>
        <w:t xml:space="preserve"> </w:t>
      </w:r>
      <w:r w:rsidRPr="000E696E">
        <w:rPr>
          <w:rFonts w:ascii="Verdana" w:hAnsi="Verdana"/>
          <w:spacing w:val="-4"/>
          <w:sz w:val="16"/>
          <w:szCs w:val="16"/>
          <w:lang w:val="en-US"/>
        </w:rPr>
        <w:tab/>
      </w:r>
      <w:r w:rsidRPr="000E696E">
        <w:rPr>
          <w:rFonts w:ascii="Verdana" w:hAnsi="Verdana"/>
          <w:i/>
          <w:spacing w:val="-4"/>
          <w:sz w:val="16"/>
          <w:szCs w:val="16"/>
          <w:lang w:val="en-US"/>
        </w:rPr>
        <w:t>Cf. Compulsory Membership of an Association Prescribed by Law for the Practice of Journalism OC-5/85, supra</w:t>
      </w:r>
      <w:r w:rsidRPr="000E696E">
        <w:rPr>
          <w:rFonts w:ascii="Verdana" w:hAnsi="Verdana"/>
          <w:spacing w:val="-4"/>
          <w:sz w:val="16"/>
          <w:szCs w:val="16"/>
          <w:lang w:val="en-US"/>
        </w:rPr>
        <w:t xml:space="preserve">, paras. 31 and 32, and </w:t>
      </w:r>
      <w:r w:rsidRPr="000E696E">
        <w:rPr>
          <w:rStyle w:val="Textoennegrita"/>
          <w:rFonts w:ascii="Verdana" w:hAnsi="Verdana"/>
          <w:b w:val="0"/>
          <w:i/>
          <w:sz w:val="16"/>
          <w:szCs w:val="16"/>
          <w:shd w:val="clear" w:color="auto" w:fill="FFFFFF"/>
          <w:lang w:val="en-US"/>
        </w:rPr>
        <w:t>Case of López Lone v. Honduras</w:t>
      </w:r>
      <w:r w:rsidRPr="000E696E">
        <w:rPr>
          <w:rStyle w:val="Textoennegrita"/>
          <w:rFonts w:ascii="Verdana" w:hAnsi="Verdana"/>
          <w:b w:val="0"/>
          <w:sz w:val="16"/>
          <w:szCs w:val="16"/>
          <w:shd w:val="clear" w:color="auto" w:fill="FFFFFF"/>
          <w:lang w:val="en-US"/>
        </w:rPr>
        <w:t xml:space="preserve">, </w:t>
      </w:r>
      <w:r w:rsidRPr="000E696E">
        <w:rPr>
          <w:rStyle w:val="Textoennegrita"/>
          <w:rFonts w:ascii="Verdana" w:hAnsi="Verdana"/>
          <w:b w:val="0"/>
          <w:i/>
          <w:sz w:val="16"/>
          <w:szCs w:val="16"/>
          <w:shd w:val="clear" w:color="auto" w:fill="FFFFFF"/>
          <w:lang w:val="en-US"/>
        </w:rPr>
        <w:t>supra</w:t>
      </w:r>
      <w:r w:rsidRPr="000E696E">
        <w:rPr>
          <w:rStyle w:val="Textoennegrita"/>
          <w:rFonts w:ascii="Verdana" w:hAnsi="Verdana"/>
          <w:b w:val="0"/>
          <w:sz w:val="16"/>
          <w:szCs w:val="16"/>
          <w:shd w:val="clear" w:color="auto" w:fill="FFFFFF"/>
          <w:lang w:val="en-US"/>
        </w:rPr>
        <w:t>, para. 166.</w:t>
      </w:r>
    </w:p>
  </w:footnote>
  <w:footnote w:id="113">
    <w:p w14:paraId="6F93E25C" w14:textId="7F14A4A4" w:rsidR="0068647C" w:rsidRPr="000E696E" w:rsidRDefault="0068647C" w:rsidP="00186103">
      <w:pPr>
        <w:tabs>
          <w:tab w:val="left" w:pos="720"/>
        </w:tabs>
        <w:spacing w:after="60"/>
        <w:jc w:val="both"/>
        <w:rPr>
          <w:rFonts w:ascii="Verdana" w:hAnsi="Verdana"/>
          <w:i/>
          <w:spacing w:val="-4"/>
          <w:sz w:val="16"/>
          <w:szCs w:val="16"/>
          <w:lang w:val="en-US"/>
        </w:rPr>
      </w:pPr>
      <w:r w:rsidRPr="000E696E">
        <w:rPr>
          <w:rStyle w:val="Refdenotaalpie"/>
          <w:spacing w:val="-4"/>
          <w:sz w:val="16"/>
          <w:szCs w:val="16"/>
          <w:lang w:val="en-US"/>
        </w:rPr>
        <w:footnoteRef/>
      </w:r>
      <w:r w:rsidRPr="000E696E">
        <w:rPr>
          <w:rFonts w:ascii="Verdana" w:hAnsi="Verdana"/>
          <w:spacing w:val="-4"/>
          <w:sz w:val="16"/>
          <w:szCs w:val="16"/>
          <w:lang w:val="en-US"/>
        </w:rPr>
        <w:t xml:space="preserve"> </w:t>
      </w:r>
      <w:r w:rsidRPr="000E696E">
        <w:rPr>
          <w:rFonts w:ascii="Verdana" w:hAnsi="Verdana"/>
          <w:spacing w:val="-4"/>
          <w:sz w:val="16"/>
          <w:szCs w:val="16"/>
          <w:lang w:val="en-US"/>
        </w:rPr>
        <w:tab/>
      </w:r>
      <w:r w:rsidRPr="000E696E">
        <w:rPr>
          <w:rFonts w:ascii="Verdana" w:hAnsi="Verdana"/>
          <w:i/>
          <w:spacing w:val="-4"/>
          <w:sz w:val="16"/>
          <w:szCs w:val="16"/>
          <w:lang w:val="en-US"/>
        </w:rPr>
        <w:t>Cf.</w:t>
      </w:r>
      <w:r w:rsidRPr="000E696E">
        <w:rPr>
          <w:rFonts w:ascii="Verdana" w:hAnsi="Verdana"/>
          <w:spacing w:val="-4"/>
          <w:sz w:val="16"/>
          <w:szCs w:val="16"/>
          <w:lang w:val="en-US"/>
        </w:rPr>
        <w:t xml:space="preserve"> </w:t>
      </w:r>
      <w:r w:rsidRPr="000E696E">
        <w:rPr>
          <w:rFonts w:ascii="Verdana" w:hAnsi="Verdana"/>
          <w:i/>
          <w:spacing w:val="-4"/>
          <w:sz w:val="16"/>
          <w:szCs w:val="16"/>
          <w:lang w:val="en-US"/>
        </w:rPr>
        <w:t xml:space="preserve">Case of “The Last Temptation of Christ” (Olmedo Bustos et al.) v. Chile. Merits, reparations and costs. </w:t>
      </w:r>
      <w:r w:rsidRPr="000E696E">
        <w:rPr>
          <w:rFonts w:ascii="Verdana" w:hAnsi="Verdana"/>
          <w:spacing w:val="-4"/>
          <w:sz w:val="16"/>
          <w:szCs w:val="16"/>
          <w:lang w:val="en-US"/>
        </w:rPr>
        <w:t xml:space="preserve">Judgment of February 5, 2001. Series C No. 73 </w:t>
      </w:r>
      <w:r w:rsidRPr="000E696E">
        <w:rPr>
          <w:rFonts w:ascii="Verdana" w:hAnsi="Verdana"/>
          <w:i/>
          <w:sz w:val="16"/>
          <w:szCs w:val="16"/>
          <w:lang w:val="en-US"/>
        </w:rPr>
        <w:t>supra</w:t>
      </w:r>
      <w:r w:rsidRPr="000E696E">
        <w:rPr>
          <w:rFonts w:ascii="Verdana" w:hAnsi="Verdana"/>
          <w:sz w:val="16"/>
          <w:szCs w:val="16"/>
          <w:lang w:val="en-US"/>
        </w:rPr>
        <w:t xml:space="preserve">, para. 67, and </w:t>
      </w:r>
      <w:r w:rsidRPr="000E696E">
        <w:rPr>
          <w:rStyle w:val="Textoennegrita"/>
          <w:rFonts w:ascii="Verdana" w:hAnsi="Verdana"/>
          <w:b w:val="0"/>
          <w:i/>
          <w:sz w:val="16"/>
          <w:szCs w:val="16"/>
          <w:shd w:val="clear" w:color="auto" w:fill="FFFFFF"/>
          <w:lang w:val="en-US"/>
        </w:rPr>
        <w:t>Case of López Lone v. Honduras</w:t>
      </w:r>
      <w:r w:rsidRPr="000E696E">
        <w:rPr>
          <w:rStyle w:val="Textoennegrita"/>
          <w:rFonts w:ascii="Verdana" w:hAnsi="Verdana"/>
          <w:b w:val="0"/>
          <w:sz w:val="16"/>
          <w:szCs w:val="16"/>
          <w:shd w:val="clear" w:color="auto" w:fill="FFFFFF"/>
          <w:lang w:val="en-US"/>
        </w:rPr>
        <w:t xml:space="preserve">, </w:t>
      </w:r>
      <w:r w:rsidRPr="000E696E">
        <w:rPr>
          <w:rStyle w:val="Textoennegrita"/>
          <w:rFonts w:ascii="Verdana" w:hAnsi="Verdana"/>
          <w:b w:val="0"/>
          <w:i/>
          <w:sz w:val="16"/>
          <w:szCs w:val="16"/>
          <w:shd w:val="clear" w:color="auto" w:fill="FFFFFF"/>
          <w:lang w:val="en-US"/>
        </w:rPr>
        <w:t>supra</w:t>
      </w:r>
      <w:r w:rsidRPr="000E696E">
        <w:rPr>
          <w:rStyle w:val="Textoennegrita"/>
          <w:rFonts w:ascii="Verdana" w:hAnsi="Verdana"/>
          <w:b w:val="0"/>
          <w:sz w:val="16"/>
          <w:szCs w:val="16"/>
          <w:shd w:val="clear" w:color="auto" w:fill="FFFFFF"/>
          <w:lang w:val="en-US"/>
        </w:rPr>
        <w:t>, para.166</w:t>
      </w:r>
    </w:p>
  </w:footnote>
  <w:footnote w:id="114">
    <w:p w14:paraId="175FDA30" w14:textId="6D6A4420" w:rsidR="0068647C" w:rsidRPr="000E696E" w:rsidRDefault="0068647C" w:rsidP="00D61BD2">
      <w:pPr>
        <w:pStyle w:val="Textonotapie"/>
        <w:rPr>
          <w:spacing w:val="-4"/>
        </w:rPr>
      </w:pPr>
      <w:r w:rsidRPr="000E696E">
        <w:rPr>
          <w:rStyle w:val="Refdenotaalpie"/>
          <w:spacing w:val="-4"/>
          <w:sz w:val="16"/>
        </w:rPr>
        <w:footnoteRef/>
      </w:r>
      <w:r w:rsidRPr="000E696E">
        <w:rPr>
          <w:spacing w:val="-4"/>
        </w:rPr>
        <w:t xml:space="preserve"> </w:t>
      </w:r>
      <w:r w:rsidRPr="000E696E">
        <w:rPr>
          <w:spacing w:val="-4"/>
        </w:rPr>
        <w:tab/>
      </w:r>
      <w:r w:rsidRPr="000E696E">
        <w:rPr>
          <w:i/>
          <w:spacing w:val="-4"/>
        </w:rPr>
        <w:t>Cf.</w:t>
      </w:r>
      <w:r w:rsidRPr="000E696E">
        <w:rPr>
          <w:spacing w:val="-4"/>
        </w:rPr>
        <w:t xml:space="preserve"> </w:t>
      </w:r>
      <w:r w:rsidRPr="000E696E">
        <w:t>Case of “The Last Temptation of Christ” v. Chile, supra, para. 66, and Case of López Lone v. Honduras, supra, para. 166.</w:t>
      </w:r>
    </w:p>
  </w:footnote>
  <w:footnote w:id="115">
    <w:p w14:paraId="5342132A" w14:textId="2BB0EDA0" w:rsidR="0068647C" w:rsidRPr="000E696E" w:rsidRDefault="0068647C" w:rsidP="00D61BD2">
      <w:pPr>
        <w:pStyle w:val="Textonotapie"/>
      </w:pPr>
      <w:r w:rsidRPr="000E696E">
        <w:rPr>
          <w:rStyle w:val="Refdenotaalpie"/>
          <w:rFonts w:eastAsiaTheme="majorEastAsia"/>
          <w:spacing w:val="-4"/>
          <w:sz w:val="16"/>
        </w:rPr>
        <w:footnoteRef/>
      </w:r>
      <w:r w:rsidRPr="000E696E">
        <w:t xml:space="preserve"> </w:t>
      </w:r>
      <w:r w:rsidRPr="000E696E">
        <w:tab/>
      </w:r>
      <w:r w:rsidRPr="000E696E">
        <w:rPr>
          <w:i/>
          <w:iCs/>
        </w:rPr>
        <w:t xml:space="preserve">Cf. Compulsory Membership of an Association Prescribed by Law for the Practice of Journalism, </w:t>
      </w:r>
      <w:r w:rsidRPr="000E696E">
        <w:rPr>
          <w:spacing w:val="-4"/>
        </w:rPr>
        <w:t>OC-5/85,</w:t>
      </w:r>
      <w:r w:rsidRPr="000E696E">
        <w:t xml:space="preserve"> supra, para. 30, and </w:t>
      </w:r>
      <w:r w:rsidRPr="000E696E">
        <w:rPr>
          <w:i/>
          <w:iCs/>
        </w:rPr>
        <w:t>Case of López Lone v. Honduras, supra,</w:t>
      </w:r>
      <w:r w:rsidRPr="000E696E">
        <w:t xml:space="preserve"> para. 166.</w:t>
      </w:r>
    </w:p>
  </w:footnote>
  <w:footnote w:id="116">
    <w:p w14:paraId="28E62726" w14:textId="06EFD244"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Case of Tristán Donoso v. Panama. Preliminary objections, merits, reparations and costs. </w:t>
      </w:r>
      <w:r w:rsidRPr="000E696E">
        <w:t xml:space="preserve">Judgment of January 27, 2009. Series C No. 193, para. 114, and </w:t>
      </w:r>
      <w:r w:rsidRPr="000E696E">
        <w:rPr>
          <w:i/>
          <w:iCs/>
        </w:rPr>
        <w:t>Case of López Lone v, Honduras, supra,</w:t>
      </w:r>
      <w:r w:rsidRPr="000E696E">
        <w:t xml:space="preserve"> para. 169. </w:t>
      </w:r>
    </w:p>
  </w:footnote>
  <w:footnote w:id="117">
    <w:p w14:paraId="202DA394" w14:textId="7F61AE5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Compulsory Membership of an Association Prescribed by Law for the Practice of Journalism, OC-5/85, supra, </w:t>
      </w:r>
      <w:r w:rsidRPr="000E696E">
        <w:t>para. 70, and</w:t>
      </w:r>
      <w:r w:rsidRPr="000E696E">
        <w:rPr>
          <w:i/>
          <w:iCs/>
        </w:rPr>
        <w:t xml:space="preserve"> Cf. Case of Granier et al. (Radio Caracas Televisión) v. Venezuela. Preliminary objections, merits, reparations and costs</w:t>
      </w:r>
      <w:r w:rsidRPr="000E696E">
        <w:t xml:space="preserve">. Judgment of June 22, 2015. Series C No. 293, para. 22. Also, Articles 3 and 4 of the Inter-American Democratic Charter emphasize that “[e]ssential elements of representative democracy include […] respect for social rights, and freedom of expression and of the press.” </w:t>
      </w:r>
      <w:r w:rsidRPr="004204B2">
        <w:rPr>
          <w:i/>
          <w:iCs/>
          <w:lang w:val="es-CR"/>
        </w:rPr>
        <w:t xml:space="preserve">Cf. Case of López </w:t>
      </w:r>
      <w:r w:rsidRPr="004204B2">
        <w:rPr>
          <w:i/>
          <w:iCs/>
          <w:lang w:val="es-CR"/>
        </w:rPr>
        <w:t>Lone et al. v. Honduras, supra</w:t>
      </w:r>
      <w:r w:rsidRPr="004204B2">
        <w:rPr>
          <w:lang w:val="es-CR"/>
        </w:rPr>
        <w:t xml:space="preserve">, para. </w:t>
      </w:r>
      <w:r w:rsidRPr="000E696E">
        <w:t>164.</w:t>
      </w:r>
    </w:p>
  </w:footnote>
  <w:footnote w:id="118">
    <w:p w14:paraId="2757194A" w14:textId="1A1136A4" w:rsidR="0068647C" w:rsidRPr="000E696E" w:rsidRDefault="0068647C" w:rsidP="00AA1EBF">
      <w:pPr>
        <w:autoSpaceDE w:val="0"/>
        <w:autoSpaceDN w:val="0"/>
        <w:adjustRightInd w:val="0"/>
        <w:spacing w:after="60"/>
        <w:jc w:val="both"/>
        <w:rPr>
          <w:rFonts w:ascii="Verdana" w:hAnsi="Verdana" w:cs="Cambri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European Court of Human Rights has recognized in its case law that the </w:t>
      </w:r>
      <w:r w:rsidRPr="000E696E">
        <w:rPr>
          <w:rFonts w:ascii="Verdana" w:hAnsi="Verdana" w:cs="Cambria"/>
          <w:sz w:val="16"/>
          <w:szCs w:val="16"/>
          <w:lang w:val="en-US"/>
        </w:rPr>
        <w:t>right to freedom of expression protects the right of “members of a trade union […] to express their demands by which they seek to improve the situation of workers in their company.” According to the European Court, the freedom of expression of labor unions and their leaders is an essential means of action, without which they would lose their effectiveness and purpose. ECHR</w:t>
      </w:r>
      <w:r w:rsidRPr="000E696E">
        <w:rPr>
          <w:rFonts w:ascii="Verdana" w:hAnsi="Verdana" w:cs="Cambria"/>
          <w:i/>
          <w:sz w:val="16"/>
          <w:szCs w:val="16"/>
          <w:lang w:val="en-US"/>
        </w:rPr>
        <w:t>,</w:t>
      </w:r>
      <w:r w:rsidRPr="000E696E">
        <w:rPr>
          <w:rFonts w:ascii="Verdana" w:hAnsi="Verdana" w:cs="Cambria"/>
          <w:sz w:val="16"/>
          <w:szCs w:val="16"/>
          <w:lang w:val="en-US"/>
        </w:rPr>
        <w:t xml:space="preserve"> </w:t>
      </w:r>
      <w:r w:rsidRPr="000E696E">
        <w:rPr>
          <w:rFonts w:ascii="Verdana" w:hAnsi="Verdana"/>
          <w:i/>
          <w:sz w:val="16"/>
          <w:szCs w:val="16"/>
          <w:lang w:val="en-US"/>
        </w:rPr>
        <w:t>Case of Vereinigung Demokratischer Soldaten Österreichs and Berthold Gubi v. Austria</w:t>
      </w:r>
      <w:r w:rsidRPr="000E696E">
        <w:rPr>
          <w:rFonts w:ascii="Verdana" w:hAnsi="Verdana"/>
          <w:sz w:val="16"/>
          <w:szCs w:val="16"/>
          <w:lang w:val="en-US"/>
        </w:rPr>
        <w:t>, No. 15153/89. Judgment of December 19, 1994 and ECHR,</w:t>
      </w:r>
      <w:r w:rsidRPr="000E696E">
        <w:rPr>
          <w:rFonts w:ascii="Verdana" w:hAnsi="Verdana"/>
          <w:i/>
          <w:sz w:val="16"/>
          <w:szCs w:val="16"/>
          <w:lang w:val="en-US"/>
        </w:rPr>
        <w:t xml:space="preserve"> Case of Palomo Sánchez and Others v. Spain,</w:t>
      </w:r>
      <w:r w:rsidRPr="000E696E">
        <w:rPr>
          <w:rFonts w:ascii="Verdana" w:hAnsi="Verdana"/>
          <w:sz w:val="16"/>
          <w:szCs w:val="16"/>
          <w:lang w:val="en-US"/>
        </w:rPr>
        <w:t xml:space="preserve"> </w:t>
      </w:r>
      <w:r w:rsidRPr="000E696E">
        <w:rPr>
          <w:rFonts w:ascii="Verdana" w:hAnsi="Verdana"/>
          <w:i/>
          <w:sz w:val="16"/>
          <w:szCs w:val="16"/>
          <w:lang w:val="en-US"/>
        </w:rPr>
        <w:t>[GS]</w:t>
      </w:r>
      <w:r w:rsidRPr="000E696E">
        <w:rPr>
          <w:rFonts w:ascii="Verdana" w:hAnsi="Verdana"/>
          <w:sz w:val="16"/>
          <w:szCs w:val="16"/>
          <w:lang w:val="en-US"/>
        </w:rPr>
        <w:t xml:space="preserve"> No. 28955/06, 28957/06, 28959/06 and 28964/06. Judgment of September 12, 2011, para. 56.</w:t>
      </w:r>
    </w:p>
  </w:footnote>
  <w:footnote w:id="119">
    <w:p w14:paraId="50B97950" w14:textId="254C3D06" w:rsidR="0068647C" w:rsidRPr="000E696E" w:rsidRDefault="0068647C" w:rsidP="00D61BD2">
      <w:pPr>
        <w:pStyle w:val="Textonotapie"/>
      </w:pPr>
      <w:r w:rsidRPr="000E696E">
        <w:rPr>
          <w:rStyle w:val="Refdenotaalpie"/>
          <w:rFonts w:eastAsia="MS Gothic"/>
          <w:sz w:val="16"/>
        </w:rPr>
        <w:footnoteRef/>
      </w:r>
      <w:r w:rsidRPr="000E696E">
        <w:t xml:space="preserve"> </w:t>
      </w:r>
      <w:r w:rsidRPr="000E696E">
        <w:tab/>
      </w:r>
      <w:r w:rsidRPr="000E696E">
        <w:rPr>
          <w:i/>
          <w:iCs/>
        </w:rPr>
        <w:t xml:space="preserve">Cf. Case of Velásquez Rodríguez v. Honduras. Merits, supra, </w:t>
      </w:r>
      <w:r w:rsidRPr="000E696E">
        <w:t>para. 166, and</w:t>
      </w:r>
      <w:r w:rsidRPr="000E696E">
        <w:rPr>
          <w:i/>
          <w:iCs/>
        </w:rPr>
        <w:t xml:space="preserve"> Case of Vásquez Durand et al. v. Ecuador. Preliminary objections, merits, reparations and costs</w:t>
      </w:r>
      <w:r w:rsidRPr="000E696E">
        <w:t>. Judgment of February 15, 2017. Series C. No. 332, para. 141.</w:t>
      </w:r>
    </w:p>
  </w:footnote>
  <w:footnote w:id="120">
    <w:p w14:paraId="1751CC30" w14:textId="09FC09D6"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Compulsory Membership of an Association Prescribed by Law for the Practice of Journalism, OC-5/85, supra, </w:t>
      </w:r>
      <w:r w:rsidRPr="000E696E">
        <w:t>para. 56, and</w:t>
      </w:r>
      <w:r w:rsidRPr="000E696E">
        <w:rPr>
          <w:i/>
          <w:iCs/>
        </w:rPr>
        <w:t xml:space="preserve"> Cf. Case of Granier et al. v. Venezuela, supra</w:t>
      </w:r>
      <w:r w:rsidRPr="000E696E">
        <w:t>, para. 143.</w:t>
      </w:r>
    </w:p>
  </w:footnote>
  <w:footnote w:id="121">
    <w:p w14:paraId="11E919D1" w14:textId="3E08301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Cf. Case of Ríos et al. v. Venezuela. Preliminary objections, merits, reparations and costs. </w:t>
      </w:r>
      <w:r w:rsidRPr="000E696E">
        <w:t xml:space="preserve">Judgment of January 28, 2009. Series C No. 194, para. 107; </w:t>
      </w:r>
      <w:r w:rsidRPr="000E696E">
        <w:rPr>
          <w:i/>
          <w:iCs/>
        </w:rPr>
        <w:t>Case of Perozo et al. v. Venezuela. Preliminary objections, merits, reparations</w:t>
      </w:r>
      <w:r w:rsidRPr="000E696E">
        <w:t xml:space="preserve"> </w:t>
      </w:r>
      <w:r w:rsidRPr="000E696E">
        <w:rPr>
          <w:i/>
          <w:iCs/>
        </w:rPr>
        <w:t>and costs.</w:t>
      </w:r>
      <w:r w:rsidRPr="000E696E">
        <w:t xml:space="preserve"> Judgment of January 28, 2009. Series C No. 195, para. 118;</w:t>
      </w:r>
      <w:r w:rsidRPr="000E696E">
        <w:rPr>
          <w:i/>
          <w:iCs/>
        </w:rPr>
        <w:t xml:space="preserve"> Case of Manuel Cepeda Vargas v. Colombia. Preliminary objections, merits, reparations and costs.</w:t>
      </w:r>
      <w:r w:rsidRPr="000E696E">
        <w:t xml:space="preserve"> Judgment of May 26, 2010, para. 172. Similarly, ECHR, </w:t>
      </w:r>
      <w:r w:rsidRPr="000E696E">
        <w:rPr>
          <w:i/>
          <w:iCs/>
        </w:rPr>
        <w:t xml:space="preserve">Case of Palomo Sánchez and Others v. Spain [GS], supra, </w:t>
      </w:r>
      <w:r w:rsidRPr="000E696E">
        <w:t xml:space="preserve">para. 59; </w:t>
      </w:r>
      <w:r w:rsidRPr="000E696E">
        <w:rPr>
          <w:i/>
          <w:iCs/>
        </w:rPr>
        <w:t>Case of Fuentes Bobo  v. Spain,</w:t>
      </w:r>
      <w:r w:rsidRPr="000E696E">
        <w:t xml:space="preserve"> No. 39293/98. Judgment of February 29, 2000, para. 38; </w:t>
      </w:r>
      <w:r w:rsidRPr="000E696E">
        <w:rPr>
          <w:i/>
          <w:iCs/>
        </w:rPr>
        <w:t>Case of Özgür Gündem v. Turkey,</w:t>
      </w:r>
      <w:r w:rsidRPr="000E696E">
        <w:t xml:space="preserve"> No. 23144/1993. Judgment of March 16, 2000, paras. 43 to 50, and </w:t>
      </w:r>
      <w:r w:rsidRPr="000E696E">
        <w:rPr>
          <w:i/>
          <w:iCs/>
        </w:rPr>
        <w:t>Case of Dink et al. v. Turkey,</w:t>
      </w:r>
      <w:r w:rsidRPr="000E696E">
        <w:t xml:space="preserve"> No. 2668/2007, 6102/2008, 30079/2008, 7072/2009 and 7124/2009. Judgment of September 14, 2010, para. 106.</w:t>
      </w:r>
    </w:p>
  </w:footnote>
  <w:footnote w:id="122">
    <w:p w14:paraId="7365D22F" w14:textId="4E38E8FB" w:rsidR="0068647C" w:rsidRPr="000E696E" w:rsidRDefault="0068647C" w:rsidP="00D61BD2">
      <w:pPr>
        <w:pStyle w:val="Textonotapie"/>
        <w:rPr>
          <w:shd w:val="clear" w:color="auto" w:fill="FFFFFF"/>
        </w:rPr>
      </w:pPr>
      <w:r w:rsidRPr="000E696E">
        <w:rPr>
          <w:rStyle w:val="Refdenotaalpie"/>
          <w:sz w:val="16"/>
        </w:rPr>
        <w:footnoteRef/>
      </w:r>
      <w:r w:rsidRPr="000E696E">
        <w:t xml:space="preserve"> </w:t>
      </w:r>
      <w:r w:rsidRPr="000E696E">
        <w:tab/>
      </w:r>
      <w:r w:rsidRPr="000E696E">
        <w:rPr>
          <w:i/>
          <w:iCs/>
        </w:rPr>
        <w:t xml:space="preserve">Cf. ECHR, Case of Fuentes Bobo v. Spain, supra, </w:t>
      </w:r>
      <w:r w:rsidRPr="000E696E">
        <w:t>para. 38,</w:t>
      </w:r>
      <w:r w:rsidRPr="000E696E">
        <w:rPr>
          <w:i/>
          <w:iCs/>
        </w:rPr>
        <w:t xml:space="preserve"> </w:t>
      </w:r>
      <w:r w:rsidRPr="000E696E">
        <w:rPr>
          <w:i/>
          <w:iCs/>
          <w:shd w:val="clear" w:color="auto" w:fill="FFFFFF"/>
        </w:rPr>
        <w:t xml:space="preserve">mutatis mutandis, Case of Schmidt and Dahlström v. Sweden, </w:t>
      </w:r>
      <w:r w:rsidRPr="000E696E">
        <w:rPr>
          <w:shd w:val="clear" w:color="auto" w:fill="FFFFFF"/>
        </w:rPr>
        <w:t>No. 5589/72, Judgment of February 6, 1976, para. 33.</w:t>
      </w:r>
    </w:p>
  </w:footnote>
  <w:footnote w:id="123">
    <w:p w14:paraId="58F7B4F2" w14:textId="7E53EE3F"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ECHR, </w:t>
      </w:r>
      <w:r w:rsidRPr="000E696E">
        <w:rPr>
          <w:i/>
        </w:rPr>
        <w:t>Case of Khurshid Mustafa and Tarzibachi v. Sweden</w:t>
      </w:r>
      <w:r w:rsidRPr="000E696E">
        <w:t xml:space="preserve">, No. 23883/06. Judgment of December 16, 2008, para. 34, and </w:t>
      </w:r>
      <w:r w:rsidRPr="000E696E">
        <w:rPr>
          <w:i/>
        </w:rPr>
        <w:t>Case of Remuszko v. Poland</w:t>
      </w:r>
      <w:r w:rsidRPr="000E696E">
        <w:t>, No. 1562/10. Judgment of July 16, 2013, para. 83.</w:t>
      </w:r>
    </w:p>
  </w:footnote>
  <w:footnote w:id="124">
    <w:p w14:paraId="7C849B43" w14:textId="002EA862" w:rsidR="0068647C" w:rsidRPr="000E696E" w:rsidRDefault="0068647C" w:rsidP="00622991">
      <w:pPr>
        <w:pStyle w:val="Prrafodelista"/>
        <w:shd w:val="clear" w:color="auto" w:fill="FFFFFF"/>
        <w:autoSpaceDE w:val="0"/>
        <w:autoSpaceDN w:val="0"/>
        <w:adjustRightInd w:val="0"/>
        <w:spacing w:after="60"/>
        <w:ind w:left="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ECHR, </w:t>
      </w:r>
      <w:r w:rsidRPr="000E696E">
        <w:rPr>
          <w:rFonts w:ascii="Verdana" w:hAnsi="Verdana"/>
          <w:i/>
          <w:sz w:val="16"/>
          <w:szCs w:val="16"/>
          <w:lang w:val="en-US"/>
        </w:rPr>
        <w:t>Case of Csánics v. Hungary</w:t>
      </w:r>
      <w:r w:rsidRPr="000E696E">
        <w:rPr>
          <w:rFonts w:ascii="Verdana" w:hAnsi="Verdana"/>
          <w:sz w:val="16"/>
          <w:szCs w:val="16"/>
          <w:lang w:val="en-US"/>
        </w:rPr>
        <w:t>, No. 12188/06. Judgment of January 20, 2009, para. 441.</w:t>
      </w:r>
    </w:p>
  </w:footnote>
  <w:footnote w:id="125">
    <w:p w14:paraId="164E6726" w14:textId="70FD4B5A"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ECHR, </w:t>
      </w:r>
      <w:r w:rsidRPr="000E696E">
        <w:rPr>
          <w:i/>
          <w:iCs/>
        </w:rPr>
        <w:t>Case of Palomo Sánchez and Others v. Spain [GS], supra</w:t>
      </w:r>
      <w:r w:rsidRPr="000E696E">
        <w:t xml:space="preserve">, para. 61. </w:t>
      </w:r>
    </w:p>
  </w:footnote>
  <w:footnote w:id="126">
    <w:p w14:paraId="37FAF7E9" w14:textId="0F3DB73A"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Cf. Case of Herrera Ulloa v. Costa Rica. Preliminary objections, merits, reparations and costs. </w:t>
      </w:r>
      <w:r w:rsidRPr="000E696E">
        <w:t>Judgment of July 2, 2004. Series C No. 107, para. 120, and Case</w:t>
      </w:r>
      <w:r w:rsidRPr="000E696E">
        <w:rPr>
          <w:i/>
          <w:iCs/>
        </w:rPr>
        <w:t xml:space="preserve"> of Tristán Donoso v. Panama, supra</w:t>
      </w:r>
      <w:r w:rsidRPr="000E696E">
        <w:t>, para. 110.</w:t>
      </w:r>
    </w:p>
  </w:footnote>
  <w:footnote w:id="127">
    <w:p w14:paraId="32056BA1" w14:textId="7E535B4D" w:rsidR="0068647C" w:rsidRPr="000E696E" w:rsidRDefault="0068647C" w:rsidP="00D61BD2">
      <w:pPr>
        <w:pStyle w:val="Textonotapie"/>
      </w:pPr>
      <w:r w:rsidRPr="000E696E">
        <w:rPr>
          <w:rStyle w:val="Refdenotaalpie"/>
          <w:i/>
          <w:iCs/>
          <w:sz w:val="16"/>
        </w:rPr>
        <w:footnoteRef/>
      </w:r>
      <w:r w:rsidRPr="000E696E">
        <w:t xml:space="preserve"> </w:t>
      </w:r>
      <w:r w:rsidRPr="000E696E">
        <w:tab/>
      </w:r>
      <w:r w:rsidRPr="000E696E">
        <w:rPr>
          <w:i/>
          <w:iCs/>
        </w:rPr>
        <w:t>Case of Mémoli v. Argentina. Preliminary objections, merits, reparations and costs.</w:t>
      </w:r>
      <w:r w:rsidRPr="000E696E">
        <w:t xml:space="preserve"> Judgment of August 22, 2013. Series C No. 265, para. 123. </w:t>
      </w:r>
    </w:p>
  </w:footnote>
  <w:footnote w:id="128">
    <w:p w14:paraId="14FECBFE" w14:textId="3AA7A047" w:rsidR="0068647C" w:rsidRPr="000E696E" w:rsidRDefault="0068647C" w:rsidP="00D61BD2">
      <w:pPr>
        <w:pStyle w:val="Textonotapie"/>
      </w:pPr>
      <w:r w:rsidRPr="000E696E">
        <w:rPr>
          <w:rStyle w:val="Refdenotaalpie"/>
          <w:i/>
          <w:iCs/>
          <w:spacing w:val="-2"/>
          <w:sz w:val="16"/>
        </w:rPr>
        <w:footnoteRef/>
      </w:r>
      <w:r w:rsidRPr="000E696E">
        <w:t xml:space="preserve"> </w:t>
      </w:r>
      <w:r w:rsidRPr="000E696E">
        <w:tab/>
      </w:r>
      <w:r w:rsidRPr="000E696E">
        <w:rPr>
          <w:i/>
          <w:iCs/>
        </w:rPr>
        <w:t>Case of Tristán Donoso v. Panama, supra,</w:t>
      </w:r>
      <w:r w:rsidRPr="000E696E">
        <w:t xml:space="preserve"> para. 57, and</w:t>
      </w:r>
      <w:r w:rsidRPr="000E696E">
        <w:rPr>
          <w:i/>
          <w:iCs/>
        </w:rPr>
        <w:t xml:space="preserve"> Case of the Santo Domingo Massacres v. Colombia, supra,</w:t>
      </w:r>
      <w:r w:rsidRPr="000E696E">
        <w:t xml:space="preserve"> para. 286.</w:t>
      </w:r>
    </w:p>
  </w:footnote>
  <w:footnote w:id="129">
    <w:p w14:paraId="0DE49436" w14:textId="326B0BB6" w:rsidR="0068647C" w:rsidRPr="000E696E" w:rsidRDefault="0068647C" w:rsidP="00D61BD2">
      <w:pPr>
        <w:pStyle w:val="Textonotapie"/>
      </w:pPr>
      <w:r w:rsidRPr="000E696E">
        <w:rPr>
          <w:rStyle w:val="Refdenotaalpie"/>
          <w:i/>
          <w:iCs/>
          <w:spacing w:val="-2"/>
          <w:sz w:val="16"/>
        </w:rPr>
        <w:footnoteRef/>
      </w:r>
      <w:r w:rsidRPr="000E696E">
        <w:t xml:space="preserve">  </w:t>
      </w:r>
      <w:r w:rsidRPr="000E696E">
        <w:tab/>
      </w:r>
      <w:r w:rsidRPr="000E696E">
        <w:rPr>
          <w:i/>
          <w:iCs/>
        </w:rPr>
        <w:t xml:space="preserve">Cf. Case of Kimel v. Argentina. Merits, reparations and costs. </w:t>
      </w:r>
      <w:r w:rsidRPr="000E696E">
        <w:t>Judgment of May 2, 2008. Series C No. 177 para. 51, and</w:t>
      </w:r>
      <w:r w:rsidRPr="000E696E">
        <w:rPr>
          <w:i/>
          <w:iCs/>
        </w:rPr>
        <w:t xml:space="preserve"> Case of Mémoli v. Argentina, supra,</w:t>
      </w:r>
      <w:r w:rsidRPr="000E696E">
        <w:t xml:space="preserve"> para. 127.</w:t>
      </w:r>
    </w:p>
  </w:footnote>
  <w:footnote w:id="130">
    <w:p w14:paraId="1516934B" w14:textId="3B1FC180" w:rsidR="0068647C" w:rsidRPr="000E696E" w:rsidRDefault="0068647C" w:rsidP="00D61BD2">
      <w:pPr>
        <w:pStyle w:val="Textonotapie"/>
      </w:pPr>
      <w:r w:rsidRPr="000E696E">
        <w:rPr>
          <w:rStyle w:val="Refdenotaalpie"/>
          <w:i/>
          <w:iCs/>
          <w:sz w:val="16"/>
        </w:rPr>
        <w:footnoteRef/>
      </w:r>
      <w:r w:rsidRPr="000E696E">
        <w:t xml:space="preserve"> </w:t>
      </w:r>
      <w:r w:rsidRPr="000E696E">
        <w:tab/>
      </w:r>
      <w:r w:rsidRPr="000E696E">
        <w:rPr>
          <w:i/>
          <w:iCs/>
        </w:rPr>
        <w:t xml:space="preserve">Cf. Case of Kimel v. Argentina, supra, </w:t>
      </w:r>
      <w:r w:rsidRPr="000E696E">
        <w:t>para. 75, and</w:t>
      </w:r>
      <w:r w:rsidRPr="000E696E">
        <w:rPr>
          <w:i/>
          <w:iCs/>
        </w:rPr>
        <w:t xml:space="preserve"> Case of Mémoli v. Argentina, supra</w:t>
      </w:r>
      <w:r w:rsidRPr="000E696E">
        <w:t xml:space="preserve">, para. 127. </w:t>
      </w:r>
    </w:p>
  </w:footnote>
  <w:footnote w:id="131">
    <w:p w14:paraId="1E1D5627" w14:textId="14861EB3" w:rsidR="0068647C" w:rsidRPr="000E696E" w:rsidRDefault="0068647C" w:rsidP="00D61BD2">
      <w:pPr>
        <w:pStyle w:val="Textonotapie"/>
      </w:pPr>
      <w:r w:rsidRPr="000E696E">
        <w:rPr>
          <w:rStyle w:val="Refdenotaalpie"/>
          <w:i/>
          <w:iCs/>
          <w:spacing w:val="-2"/>
          <w:sz w:val="16"/>
        </w:rPr>
        <w:footnoteRef/>
      </w:r>
      <w:r w:rsidRPr="000E696E">
        <w:t xml:space="preserve"> </w:t>
      </w:r>
      <w:r w:rsidRPr="000E696E">
        <w:tab/>
      </w:r>
      <w:r w:rsidRPr="000E696E">
        <w:rPr>
          <w:i/>
          <w:iCs/>
        </w:rPr>
        <w:t xml:space="preserve">Cf. Case of Kimel v. Argentina, supra, </w:t>
      </w:r>
      <w:r w:rsidRPr="000E696E">
        <w:t>para. 51, and</w:t>
      </w:r>
      <w:r w:rsidRPr="000E696E">
        <w:rPr>
          <w:i/>
          <w:iCs/>
        </w:rPr>
        <w:t xml:space="preserve"> Case of Granier et al. v. Venezuela, supra</w:t>
      </w:r>
      <w:r w:rsidRPr="000E696E">
        <w:t>, para. 144.</w:t>
      </w:r>
    </w:p>
  </w:footnote>
  <w:footnote w:id="132">
    <w:p w14:paraId="667EC898" w14:textId="5DE6D397" w:rsidR="0068647C" w:rsidRPr="000E696E" w:rsidRDefault="0068647C" w:rsidP="00D61BD2">
      <w:pPr>
        <w:pStyle w:val="Textonotapie"/>
      </w:pPr>
      <w:r w:rsidRPr="000E696E">
        <w:rPr>
          <w:rStyle w:val="Refdenotaalpie"/>
          <w:spacing w:val="-2"/>
          <w:sz w:val="16"/>
        </w:rPr>
        <w:footnoteRef/>
      </w:r>
      <w:r w:rsidRPr="000E696E">
        <w:t xml:space="preserve"> </w:t>
      </w:r>
      <w:r w:rsidRPr="000E696E">
        <w:tab/>
      </w:r>
      <w:r w:rsidRPr="000E696E">
        <w:rPr>
          <w:i/>
          <w:iCs/>
        </w:rPr>
        <w:t>Cf. The Word “Law” in Article 30 of the American Convention on Human Rights.</w:t>
      </w:r>
      <w:r w:rsidRPr="000E696E">
        <w:t xml:space="preserve"> Advisory Opinion OC-6/86 of May 9, 1986. Series A No. 6, paras. 35 and 37.</w:t>
      </w:r>
    </w:p>
  </w:footnote>
  <w:footnote w:id="133">
    <w:p w14:paraId="28E2526D" w14:textId="4C23BB98" w:rsidR="0068647C" w:rsidRPr="000E696E" w:rsidRDefault="0068647C" w:rsidP="00D61BD2">
      <w:pPr>
        <w:pStyle w:val="Textonotapie"/>
      </w:pPr>
      <w:r w:rsidRPr="000E696E">
        <w:rPr>
          <w:rStyle w:val="Refdenotaalpie"/>
          <w:spacing w:val="-2"/>
          <w:sz w:val="16"/>
        </w:rPr>
        <w:footnoteRef/>
      </w:r>
      <w:r w:rsidRPr="004204B2">
        <w:rPr>
          <w:lang w:val="es-CR"/>
        </w:rPr>
        <w:t xml:space="preserve"> </w:t>
      </w:r>
      <w:r w:rsidRPr="004204B2">
        <w:rPr>
          <w:lang w:val="es-CR"/>
        </w:rPr>
        <w:tab/>
      </w:r>
      <w:r w:rsidRPr="004204B2">
        <w:rPr>
          <w:i/>
          <w:iCs/>
          <w:lang w:val="es-CR"/>
        </w:rPr>
        <w:t xml:space="preserve">Cf. Case of Tristán Donoso v. </w:t>
      </w:r>
      <w:r w:rsidRPr="004204B2">
        <w:rPr>
          <w:i/>
          <w:iCs/>
          <w:lang w:val="es-CR"/>
        </w:rPr>
        <w:t>Panama, supra,</w:t>
      </w:r>
      <w:r w:rsidRPr="004204B2">
        <w:rPr>
          <w:lang w:val="es-CR"/>
        </w:rPr>
        <w:t xml:space="preserve"> para. </w:t>
      </w:r>
      <w:r w:rsidRPr="000E696E">
        <w:t>56</w:t>
      </w:r>
      <w:r w:rsidRPr="000E696E">
        <w:rPr>
          <w:color w:val="000000"/>
        </w:rPr>
        <w:t xml:space="preserve"> and </w:t>
      </w:r>
      <w:r w:rsidRPr="000E696E">
        <w:rPr>
          <w:rStyle w:val="Textoennegrita"/>
          <w:b w:val="0"/>
          <w:i/>
          <w:shd w:val="clear" w:color="auto" w:fill="FFFFFF"/>
        </w:rPr>
        <w:t>Case of López Lone v. Honduras</w:t>
      </w:r>
      <w:r w:rsidRPr="000E696E">
        <w:rPr>
          <w:rStyle w:val="Textoennegrita"/>
          <w:b w:val="0"/>
          <w:shd w:val="clear" w:color="auto" w:fill="FFFFFF"/>
        </w:rPr>
        <w:t xml:space="preserve">, </w:t>
      </w:r>
      <w:r w:rsidRPr="000E696E">
        <w:rPr>
          <w:rStyle w:val="Textoennegrita"/>
          <w:b w:val="0"/>
          <w:i/>
          <w:shd w:val="clear" w:color="auto" w:fill="FFFFFF"/>
        </w:rPr>
        <w:t>supra</w:t>
      </w:r>
      <w:r w:rsidRPr="000E696E">
        <w:rPr>
          <w:rStyle w:val="Textoennegrita"/>
          <w:b w:val="0"/>
          <w:shd w:val="clear" w:color="auto" w:fill="FFFFFF"/>
        </w:rPr>
        <w:t>, para. 168.</w:t>
      </w:r>
      <w:r w:rsidRPr="000E696E" w:rsidDel="004E3685">
        <w:t xml:space="preserve"> </w:t>
      </w:r>
    </w:p>
  </w:footnote>
  <w:footnote w:id="134">
    <w:p w14:paraId="3DC6BC1A" w14:textId="702E53AB"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 Case of Kimel v. Argentina, supra,</w:t>
      </w:r>
      <w:r w:rsidRPr="000E696E">
        <w:t xml:space="preserve"> para. 51, and </w:t>
      </w:r>
      <w:r w:rsidRPr="000E696E">
        <w:rPr>
          <w:i/>
          <w:iCs/>
        </w:rPr>
        <w:t>Case of Mémoli v. Argentina, supra</w:t>
      </w:r>
      <w:r w:rsidRPr="000E696E">
        <w:t xml:space="preserve">, para. 127. </w:t>
      </w:r>
    </w:p>
  </w:footnote>
  <w:footnote w:id="135">
    <w:p w14:paraId="5837F231" w14:textId="650FEF0D" w:rsidR="0068647C" w:rsidRPr="000E696E" w:rsidRDefault="0068647C" w:rsidP="00D61BD2">
      <w:pPr>
        <w:pStyle w:val="Textonotapie"/>
        <w:rPr>
          <w:i/>
        </w:rPr>
      </w:pPr>
      <w:r w:rsidRPr="000E696E">
        <w:rPr>
          <w:rStyle w:val="Refdenotaalpie"/>
          <w:sz w:val="16"/>
        </w:rPr>
        <w:footnoteRef/>
      </w:r>
      <w:r w:rsidRPr="000E696E">
        <w:t xml:space="preserve"> </w:t>
      </w:r>
      <w:r w:rsidRPr="000E696E">
        <w:tab/>
        <w:t xml:space="preserve">Article 30 of the American Convention (on the scope of restrictions), indicates that the permitted restrictions “may not be applied except in accordance with laws enacted for reasons of general interest and in accordance with the purpose for which such restrictions have been established.” </w:t>
      </w:r>
      <w:r w:rsidRPr="000E696E">
        <w:rPr>
          <w:i/>
        </w:rPr>
        <w:t xml:space="preserve">Cf. The Word “Laws” in Article 30 of the American Convention on Human Rights OC-6/86, supra, </w:t>
      </w:r>
      <w:r w:rsidRPr="000E696E">
        <w:t xml:space="preserve">para. 38. Also, Article 32 of this instrument establishes the relationship between duties and rights, indicating that the rights of each person are limited by the rights of others […]. </w:t>
      </w:r>
      <w:r w:rsidRPr="000E696E">
        <w:rPr>
          <w:i/>
        </w:rPr>
        <w:t>Cf. Compulsory Membership of an Association Prescribed by Law for the Practice of Journalism OC-5/85, supra,</w:t>
      </w:r>
      <w:r w:rsidRPr="000E696E">
        <w:t xml:space="preserve"> para. 65. </w:t>
      </w:r>
    </w:p>
  </w:footnote>
  <w:footnote w:id="136">
    <w:p w14:paraId="734C8A3C" w14:textId="114FB703"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 Case of Mémoli v. Argentina, supra,</w:t>
      </w:r>
      <w:r w:rsidRPr="000E696E">
        <w:t xml:space="preserve"> para. 130.</w:t>
      </w:r>
    </w:p>
  </w:footnote>
  <w:footnote w:id="137">
    <w:p w14:paraId="67BA070C" w14:textId="72735981" w:rsidR="0068647C" w:rsidRPr="000E696E" w:rsidRDefault="0068647C" w:rsidP="00D61BD2">
      <w:pPr>
        <w:pStyle w:val="Textonotapie"/>
      </w:pPr>
      <w:r w:rsidRPr="000E696E">
        <w:rPr>
          <w:rStyle w:val="Refdenotaalpie"/>
          <w:sz w:val="16"/>
        </w:rPr>
        <w:footnoteRef/>
      </w:r>
      <w:r w:rsidRPr="000E696E">
        <w:t xml:space="preserve"> </w:t>
      </w:r>
      <w:r w:rsidRPr="000E696E">
        <w:tab/>
        <w:t>Letter of Mr. Lagos del Campo of June 28, 1989, addressed to Miguel Balbi, Industrial Relations Manager, Conductores Eléctricos Peruanos S.A. CEPER–PIRELLI, with the company received stamp dated June 30, 1989. (evidence file annex 5 to the State’s answering brief, ff. 1460 to 1463).</w:t>
      </w:r>
    </w:p>
  </w:footnote>
  <w:footnote w:id="138">
    <w:p w14:paraId="7DB7A0D8" w14:textId="5D926598"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President of the Republic of Peru. Decree Law 21789. Law of the Industrial Community of February 1, 1977, Arts. 14, 20 and 26 (evidence file, annex 1 of the motions and pleadings brief, ff. 1390 to 1399).</w:t>
      </w:r>
    </w:p>
  </w:footnote>
  <w:footnote w:id="139">
    <w:p w14:paraId="08A28797" w14:textId="2D6DC150"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 xml:space="preserve">Cf. </w:t>
      </w:r>
      <w:r w:rsidRPr="000E696E">
        <w:t>Expert opinion of César José González Hunt (evidence file, annex 1 final written arguments, f. 1486) and Opinion of Omar Sar Suárez (merits file f. 519).</w:t>
      </w:r>
    </w:p>
  </w:footnote>
  <w:footnote w:id="140">
    <w:p w14:paraId="5E386EC4" w14:textId="1D3C20FF" w:rsidR="0068647C" w:rsidRPr="000E696E" w:rsidRDefault="0068647C" w:rsidP="00D61BD2">
      <w:pPr>
        <w:pStyle w:val="Textonotapie"/>
      </w:pPr>
      <w:r w:rsidRPr="000E696E">
        <w:rPr>
          <w:rStyle w:val="Refdenotaalpie"/>
          <w:sz w:val="16"/>
        </w:rPr>
        <w:footnoteRef/>
      </w:r>
      <w:r w:rsidRPr="000E696E">
        <w:t xml:space="preserve"> </w:t>
      </w:r>
      <w:r w:rsidRPr="000E696E">
        <w:tab/>
        <w:t>Written opinion of expert witness Cesar Gonzáles Hunt before the Inter-American Court. In it, he referred to the fact that “according to the jurisdictional organs,” “[t]he industrial community and the labor union are institutions designed to protect the actions of workers to achieve social and economic benefits and they each have their own characteristics that constitute their independence. The purposes of the industrial community and the labor union are different, which does not mean that they are antagonistic; they must act in a coordinated manner in their respective area of action to the benefit of the workers (File No. 56-56 – Iquitos Court).” Similarly, he noted that “[t]he industrial community and the labor union are institutions designed to protect the actions of workers to achieve social and economic benefits and they each have their own characteristics that constitute their independence. The purposes of the industrial community and the labor union are different, which does not mean that these are antagonistic, and they must act in a coordinated manner in their respective area of action to the benefit of the workers (</w:t>
      </w:r>
      <w:r w:rsidRPr="000E696E">
        <w:rPr>
          <w:i/>
          <w:iCs/>
        </w:rPr>
        <w:t>Actualidad Laboral</w:t>
      </w:r>
      <w:r w:rsidRPr="000E696E">
        <w:t>, August T1976)” (evidence file, annexes to the final arguments, f. 1416).</w:t>
      </w:r>
    </w:p>
  </w:footnote>
  <w:footnote w:id="141">
    <w:p w14:paraId="35FE36E9" w14:textId="40DDA96A" w:rsidR="0068647C" w:rsidRPr="000E696E" w:rsidRDefault="0068647C" w:rsidP="004C40E2">
      <w:pPr>
        <w:spacing w:after="60"/>
        <w:ind w:right="26"/>
        <w:jc w:val="both"/>
        <w:rPr>
          <w:rFonts w:ascii="Verdana" w:hAnsi="Verdana"/>
          <w:b/>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question asked by </w:t>
      </w:r>
      <w:r w:rsidRPr="000E696E">
        <w:rPr>
          <w:rFonts w:ascii="Verdana" w:hAnsi="Verdana"/>
          <w:i/>
          <w:iCs/>
          <w:sz w:val="16"/>
          <w:szCs w:val="16"/>
          <w:lang w:val="en-US"/>
        </w:rPr>
        <w:t>La Razón</w:t>
      </w:r>
      <w:r w:rsidRPr="000E696E">
        <w:rPr>
          <w:rFonts w:ascii="Verdana" w:hAnsi="Verdana"/>
          <w:sz w:val="16"/>
          <w:szCs w:val="16"/>
          <w:lang w:val="en-US"/>
        </w:rPr>
        <w:t xml:space="preserve"> was “</w:t>
      </w:r>
      <w:r w:rsidRPr="000E696E">
        <w:rPr>
          <w:rFonts w:ascii="Verdana" w:hAnsi="Verdana"/>
          <w:bCs/>
          <w:sz w:val="16"/>
          <w:szCs w:val="16"/>
          <w:lang w:val="en-US"/>
        </w:rPr>
        <w:t>In light of these abuses by the employers’ association, what measures have you taken as president of the Electoral Committee?</w:t>
      </w:r>
      <w:r w:rsidRPr="000E696E">
        <w:rPr>
          <w:rFonts w:ascii="Verdana" w:hAnsi="Verdana"/>
          <w:b/>
          <w:sz w:val="16"/>
          <w:szCs w:val="16"/>
          <w:lang w:val="en-US"/>
        </w:rPr>
        <w:t xml:space="preserve">  </w:t>
      </w:r>
    </w:p>
  </w:footnote>
  <w:footnote w:id="142">
    <w:p w14:paraId="54C70B42" w14:textId="5477988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ILO, Recommendation on Workers’ Representatives, 1971 (No. 143), Recommendation on protection and facilities that should be afforded to workers’ representatives. Fifty-sixth Session of the ILO General Conference; date adopted, June 23, 1971. </w:t>
      </w:r>
      <w:r w:rsidRPr="000E696E">
        <w:tab/>
      </w:r>
    </w:p>
  </w:footnote>
  <w:footnote w:id="143">
    <w:p w14:paraId="34D2DF80" w14:textId="67BBC411"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w:t>
      </w:r>
      <w:r w:rsidRPr="004204B2">
        <w:rPr>
          <w:i/>
          <w:iCs/>
          <w:lang w:val="es-CR"/>
        </w:rPr>
        <w:t>Memolí v. Argentina, supra,</w:t>
      </w:r>
      <w:r w:rsidRPr="004204B2">
        <w:rPr>
          <w:lang w:val="es-CR"/>
        </w:rPr>
        <w:t xml:space="preserve"> para. 145.</w:t>
      </w:r>
    </w:p>
  </w:footnote>
  <w:footnote w:id="144">
    <w:p w14:paraId="18D4F0D1" w14:textId="0CB87A44" w:rsidR="0068647C" w:rsidRPr="000E696E" w:rsidRDefault="0068647C" w:rsidP="00AA1EBF">
      <w:pPr>
        <w:tabs>
          <w:tab w:val="left" w:pos="567"/>
        </w:tabs>
        <w:spacing w:after="60"/>
        <w:jc w:val="both"/>
        <w:rPr>
          <w:rFonts w:ascii="Verdana" w:hAnsi="Verdana"/>
          <w:spacing w:val="-2"/>
          <w:sz w:val="16"/>
          <w:szCs w:val="16"/>
          <w:lang w:val="en-US"/>
        </w:rPr>
      </w:pPr>
      <w:r w:rsidRPr="000E696E">
        <w:rPr>
          <w:rStyle w:val="Refdenotaalpie"/>
          <w:spacing w:val="-2"/>
          <w:sz w:val="16"/>
          <w:szCs w:val="16"/>
          <w:lang w:val="en-US"/>
        </w:rPr>
        <w:footnoteRef/>
      </w:r>
      <w:r w:rsidRPr="004204B2">
        <w:rPr>
          <w:rStyle w:val="Refdenotaalpie"/>
          <w:spacing w:val="-2"/>
          <w:sz w:val="16"/>
          <w:szCs w:val="16"/>
          <w:lang w:val="es-CR"/>
        </w:rPr>
        <w:t xml:space="preserve"> </w:t>
      </w:r>
      <w:r w:rsidRPr="004204B2">
        <w:rPr>
          <w:rFonts w:ascii="Verdana" w:hAnsi="Verdana"/>
          <w:spacing w:val="-2"/>
          <w:sz w:val="16"/>
          <w:szCs w:val="16"/>
          <w:lang w:val="es-CR"/>
        </w:rPr>
        <w:tab/>
      </w:r>
      <w:r w:rsidRPr="004204B2">
        <w:rPr>
          <w:rFonts w:ascii="Verdana" w:hAnsi="Verdana"/>
          <w:spacing w:val="-2"/>
          <w:sz w:val="16"/>
          <w:szCs w:val="16"/>
          <w:lang w:val="es-CR"/>
        </w:rPr>
        <w:tab/>
      </w:r>
      <w:r w:rsidRPr="004204B2">
        <w:rPr>
          <w:rFonts w:ascii="Verdana" w:hAnsi="Verdana"/>
          <w:i/>
          <w:spacing w:val="-2"/>
          <w:sz w:val="16"/>
          <w:szCs w:val="16"/>
          <w:lang w:val="es-CR"/>
        </w:rPr>
        <w:t>Cf.</w:t>
      </w:r>
      <w:r w:rsidRPr="004204B2">
        <w:rPr>
          <w:rFonts w:ascii="Verdana" w:hAnsi="Verdana"/>
          <w:spacing w:val="-2"/>
          <w:sz w:val="16"/>
          <w:szCs w:val="16"/>
          <w:lang w:val="es-CR"/>
        </w:rPr>
        <w:t xml:space="preserve"> </w:t>
      </w:r>
      <w:r w:rsidRPr="004204B2">
        <w:rPr>
          <w:rFonts w:ascii="Verdana" w:hAnsi="Verdana"/>
          <w:i/>
          <w:spacing w:val="-2"/>
          <w:sz w:val="16"/>
          <w:szCs w:val="16"/>
          <w:lang w:val="es-CR"/>
        </w:rPr>
        <w:t xml:space="preserve">Case of Tristán Donoso v. </w:t>
      </w:r>
      <w:r w:rsidRPr="004204B2">
        <w:rPr>
          <w:rFonts w:ascii="Verdana" w:hAnsi="Verdana"/>
          <w:i/>
          <w:spacing w:val="-2"/>
          <w:sz w:val="16"/>
          <w:szCs w:val="16"/>
          <w:lang w:val="es-CR"/>
        </w:rPr>
        <w:t>Panama, supra</w:t>
      </w:r>
      <w:r w:rsidRPr="004204B2">
        <w:rPr>
          <w:rFonts w:ascii="Verdana" w:hAnsi="Verdana"/>
          <w:i/>
          <w:iCs/>
          <w:spacing w:val="-2"/>
          <w:sz w:val="16"/>
          <w:szCs w:val="16"/>
          <w:lang w:val="es-CR"/>
        </w:rPr>
        <w:t xml:space="preserve">, </w:t>
      </w:r>
      <w:r w:rsidRPr="004204B2">
        <w:rPr>
          <w:rFonts w:ascii="Verdana" w:hAnsi="Verdana"/>
          <w:iCs/>
          <w:spacing w:val="-2"/>
          <w:sz w:val="16"/>
          <w:szCs w:val="16"/>
          <w:lang w:val="es-CR"/>
        </w:rPr>
        <w:t xml:space="preserve">para. </w:t>
      </w:r>
      <w:r w:rsidRPr="000E696E">
        <w:rPr>
          <w:rFonts w:ascii="Verdana" w:hAnsi="Verdana"/>
          <w:iCs/>
          <w:spacing w:val="-2"/>
          <w:sz w:val="16"/>
          <w:szCs w:val="16"/>
          <w:lang w:val="en-US"/>
        </w:rPr>
        <w:t>51,</w:t>
      </w:r>
      <w:r w:rsidRPr="000E696E">
        <w:rPr>
          <w:rFonts w:ascii="Verdana" w:hAnsi="Verdana"/>
          <w:i/>
          <w:iCs/>
          <w:spacing w:val="-2"/>
          <w:sz w:val="16"/>
          <w:szCs w:val="16"/>
          <w:lang w:val="en-US"/>
        </w:rPr>
        <w:t xml:space="preserve"> and Case of Fontevecchia and D’Amico v. Argentina, supra</w:t>
      </w:r>
      <w:r w:rsidRPr="000E696E">
        <w:rPr>
          <w:rFonts w:ascii="Verdana" w:hAnsi="Verdana"/>
          <w:spacing w:val="-2"/>
          <w:sz w:val="16"/>
          <w:szCs w:val="16"/>
          <w:lang w:val="en-US"/>
        </w:rPr>
        <w:t xml:space="preserve">, para. 61, and </w:t>
      </w:r>
      <w:r w:rsidRPr="000E696E">
        <w:rPr>
          <w:rFonts w:ascii="Verdana" w:hAnsi="Verdana"/>
          <w:i/>
          <w:spacing w:val="-2"/>
          <w:sz w:val="16"/>
          <w:szCs w:val="16"/>
          <w:lang w:val="en-US"/>
        </w:rPr>
        <w:t>Case of Memolí v. Argentina</w:t>
      </w:r>
      <w:r w:rsidRPr="000E696E">
        <w:rPr>
          <w:rFonts w:ascii="Verdana" w:hAnsi="Verdana"/>
          <w:spacing w:val="-2"/>
          <w:sz w:val="16"/>
          <w:szCs w:val="16"/>
          <w:lang w:val="en-US"/>
        </w:rPr>
        <w:t xml:space="preserve">, </w:t>
      </w:r>
      <w:r w:rsidRPr="000E696E">
        <w:rPr>
          <w:rFonts w:ascii="Verdana" w:hAnsi="Verdana"/>
          <w:i/>
          <w:spacing w:val="-2"/>
          <w:sz w:val="16"/>
          <w:szCs w:val="16"/>
          <w:lang w:val="en-US"/>
        </w:rPr>
        <w:t>supra,</w:t>
      </w:r>
      <w:r w:rsidRPr="000E696E">
        <w:rPr>
          <w:rFonts w:ascii="Verdana" w:hAnsi="Verdana"/>
          <w:spacing w:val="-2"/>
          <w:sz w:val="16"/>
          <w:szCs w:val="16"/>
          <w:lang w:val="en-US"/>
        </w:rPr>
        <w:t xml:space="preserve"> paras. 145 and 146.</w:t>
      </w:r>
    </w:p>
  </w:footnote>
  <w:footnote w:id="145">
    <w:p w14:paraId="3C27480F" w14:textId="0FBE5683" w:rsidR="0068647C" w:rsidRPr="000E696E" w:rsidRDefault="0068647C" w:rsidP="00270810">
      <w:pPr>
        <w:pStyle w:val="Default"/>
        <w:spacing w:after="60"/>
        <w:jc w:val="both"/>
        <w:rPr>
          <w:rFonts w:ascii="Verdana" w:hAnsi="Verdana"/>
          <w:sz w:val="16"/>
          <w:szCs w:val="16"/>
        </w:rPr>
      </w:pPr>
      <w:r w:rsidRPr="000E696E">
        <w:rPr>
          <w:rStyle w:val="Refdenotaalpie"/>
          <w:sz w:val="16"/>
          <w:szCs w:val="16"/>
        </w:rPr>
        <w:footnoteRef/>
      </w:r>
      <w:r w:rsidRPr="000E696E">
        <w:rPr>
          <w:rFonts w:ascii="Verdana" w:hAnsi="Verdana"/>
          <w:sz w:val="16"/>
          <w:szCs w:val="16"/>
        </w:rPr>
        <w:t xml:space="preserve"> </w:t>
      </w:r>
      <w:r w:rsidRPr="000E696E">
        <w:rPr>
          <w:rFonts w:ascii="Verdana" w:hAnsi="Verdana"/>
          <w:sz w:val="16"/>
          <w:szCs w:val="16"/>
        </w:rPr>
        <w:tab/>
      </w:r>
      <w:r w:rsidRPr="000E696E">
        <w:rPr>
          <w:rFonts w:ascii="Verdana" w:hAnsi="Verdana"/>
          <w:i/>
          <w:sz w:val="16"/>
          <w:szCs w:val="16"/>
        </w:rPr>
        <w:t xml:space="preserve">Cf. </w:t>
      </w:r>
      <w:r w:rsidRPr="000E696E">
        <w:rPr>
          <w:rFonts w:ascii="Verdana" w:hAnsi="Verdana"/>
          <w:sz w:val="16"/>
          <w:szCs w:val="16"/>
        </w:rPr>
        <w:t>ECHR</w:t>
      </w:r>
      <w:r w:rsidRPr="000E696E">
        <w:rPr>
          <w:rFonts w:ascii="Verdana" w:hAnsi="Verdana"/>
          <w:i/>
          <w:sz w:val="16"/>
          <w:szCs w:val="16"/>
        </w:rPr>
        <w:t xml:space="preserve"> Case of Palomo Sánchez and Others v. Spain</w:t>
      </w:r>
      <w:r w:rsidRPr="000E696E">
        <w:rPr>
          <w:rFonts w:ascii="Verdana" w:hAnsi="Verdana"/>
          <w:sz w:val="16"/>
          <w:szCs w:val="16"/>
        </w:rPr>
        <w:t xml:space="preserve"> [GS], No. 28955/06, No. 28957, No. 28959/06; No. 28964/06. Judgment of September 12, 2011, para. 72. In this case, the European Court indicated that “it did not share the Government’s view that the content of the impugned articles did not concern any matter of general interest. The publication at issue took place in the context of a labour dispute inside the company to which the applicants had presented certain demands. The primary role of publications of this type ‘should be to deal with matters essentially relating to the defence and furtherance of the interests of the unions’ members in particular and with labour questions in general’ (see paragraph 24 above, in particular point 170 of the International Labour Office Digest cited therein). The debate was therefore not a purely private one; it was at least a matter of general interest for the workers of the company P. (see, </w:t>
      </w:r>
      <w:r w:rsidRPr="000E696E">
        <w:rPr>
          <w:rFonts w:ascii="Verdana" w:hAnsi="Verdana"/>
          <w:i/>
          <w:iCs/>
          <w:sz w:val="16"/>
          <w:szCs w:val="16"/>
        </w:rPr>
        <w:t>mutatis mutandis</w:t>
      </w:r>
      <w:r w:rsidRPr="000E696E">
        <w:rPr>
          <w:rFonts w:ascii="Verdana" w:hAnsi="Verdana"/>
          <w:sz w:val="16"/>
          <w:szCs w:val="16"/>
        </w:rPr>
        <w:t xml:space="preserve">, </w:t>
      </w:r>
      <w:r w:rsidRPr="000E696E">
        <w:rPr>
          <w:rFonts w:ascii="Verdana" w:hAnsi="Verdana"/>
          <w:i/>
          <w:iCs/>
          <w:sz w:val="16"/>
          <w:szCs w:val="16"/>
        </w:rPr>
        <w:t xml:space="preserve">Fressoz and Roire v. France </w:t>
      </w:r>
      <w:r w:rsidRPr="000E696E">
        <w:rPr>
          <w:rFonts w:ascii="Verdana" w:hAnsi="Verdana"/>
          <w:sz w:val="16"/>
          <w:szCs w:val="16"/>
        </w:rPr>
        <w:t xml:space="preserve">[GC], No. 29183/95, § 50, ECHR 1999-I, and </w:t>
      </w:r>
      <w:r w:rsidRPr="000E696E">
        <w:rPr>
          <w:rFonts w:ascii="Verdana" w:hAnsi="Verdana"/>
          <w:i/>
          <w:iCs/>
          <w:sz w:val="16"/>
          <w:szCs w:val="16"/>
        </w:rPr>
        <w:t>Boldea v. Romania</w:t>
      </w:r>
      <w:r w:rsidRPr="000E696E">
        <w:rPr>
          <w:rFonts w:ascii="Verdana" w:hAnsi="Verdana"/>
          <w:sz w:val="16"/>
          <w:szCs w:val="16"/>
        </w:rPr>
        <w:t xml:space="preserve">, No. 19997/02, § 57, 15 February 2007). 73. That being said, the existence of such a matter cannot justify the use of offensive cartoons or expressions, even in the context of labour relations (see paragraph 24 above, point 154 of the </w:t>
      </w:r>
      <w:r w:rsidRPr="000E696E">
        <w:rPr>
          <w:rFonts w:ascii="Verdana" w:hAnsi="Verdana"/>
          <w:i/>
          <w:iCs/>
          <w:sz w:val="16"/>
          <w:szCs w:val="16"/>
        </w:rPr>
        <w:t xml:space="preserve">Digest </w:t>
      </w:r>
      <w:r w:rsidRPr="000E696E">
        <w:rPr>
          <w:rFonts w:ascii="Verdana" w:hAnsi="Verdana"/>
          <w:sz w:val="16"/>
          <w:szCs w:val="16"/>
        </w:rPr>
        <w:t xml:space="preserve">cited therein). Moreover, the remarks did not constitute an instantaneous and ill-considered reaction, in the context of a rapid and spontaneous oral exchange, as is the case with verbal exaggeration. On the contrary, they were written assertions, published in a quite lucid manner and displayed publicly on the premises of the company P. (compare </w:t>
      </w:r>
      <w:r w:rsidRPr="000E696E">
        <w:rPr>
          <w:rFonts w:ascii="Verdana" w:hAnsi="Verdana"/>
          <w:i/>
          <w:iCs/>
          <w:sz w:val="16"/>
          <w:szCs w:val="16"/>
        </w:rPr>
        <w:t>De Diego Nafría</w:t>
      </w:r>
      <w:r w:rsidRPr="000E696E">
        <w:rPr>
          <w:rFonts w:ascii="Verdana" w:hAnsi="Verdana"/>
          <w:sz w:val="16"/>
          <w:szCs w:val="16"/>
        </w:rPr>
        <w:t>, cited above, § 41). ECHR</w:t>
      </w:r>
      <w:r w:rsidRPr="000E696E">
        <w:rPr>
          <w:rFonts w:ascii="Verdana" w:hAnsi="Verdana"/>
          <w:i/>
          <w:sz w:val="16"/>
          <w:szCs w:val="16"/>
        </w:rPr>
        <w:t>, Case of Boldea v. Romania,</w:t>
      </w:r>
      <w:r w:rsidRPr="000E696E">
        <w:rPr>
          <w:rFonts w:ascii="Verdana" w:hAnsi="Verdana"/>
          <w:sz w:val="16"/>
          <w:szCs w:val="16"/>
        </w:rPr>
        <w:t xml:space="preserve"> No. 19997/62. Judgment of February 15, 2007).</w:t>
      </w:r>
    </w:p>
  </w:footnote>
  <w:footnote w:id="146">
    <w:p w14:paraId="4A0441E3" w14:textId="4F5B9956"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 Case of Baena Ricardo et al. v. Panama</w:t>
      </w:r>
      <w:r w:rsidRPr="000E696E">
        <w:t xml:space="preserve">. Merits, reparations and costs. Judgment of February 2, 2001. Series C No. 72, para. 166; </w:t>
      </w:r>
      <w:r w:rsidRPr="000E696E">
        <w:rPr>
          <w:spacing w:val="-2"/>
        </w:rPr>
        <w:t>Article</w:t>
      </w:r>
      <w:r w:rsidRPr="000E696E">
        <w:t xml:space="preserve">s 3 and 4 of the Inter-American Democratic Charter, </w:t>
      </w:r>
      <w:r w:rsidRPr="000E696E">
        <w:rPr>
          <w:i/>
        </w:rPr>
        <w:t>supra</w:t>
      </w:r>
      <w:r w:rsidRPr="000E696E">
        <w:t>.</w:t>
      </w:r>
    </w:p>
  </w:footnote>
  <w:footnote w:id="147">
    <w:p w14:paraId="30C796ED" w14:textId="5DCD44FA"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 xml:space="preserve">Cf. </w:t>
      </w:r>
      <w:r w:rsidRPr="000E696E">
        <w:t>ECHR</w:t>
      </w:r>
      <w:r w:rsidRPr="000E696E">
        <w:rPr>
          <w:i/>
        </w:rPr>
        <w:t xml:space="preserve">. Case of Palomo Sánchez and Others v. Spain </w:t>
      </w:r>
      <w:r w:rsidRPr="000E696E">
        <w:t xml:space="preserve">[GS], </w:t>
      </w:r>
      <w:r w:rsidRPr="000E696E">
        <w:rPr>
          <w:i/>
        </w:rPr>
        <w:t>supra</w:t>
      </w:r>
      <w:r w:rsidRPr="000E696E">
        <w:t xml:space="preserve">, paras. 56 and 61. In </w:t>
      </w:r>
      <w:r w:rsidRPr="000E696E">
        <w:rPr>
          <w:i/>
        </w:rPr>
        <w:t xml:space="preserve">Palomo Sánchez and Others v. Spain, </w:t>
      </w:r>
      <w:r w:rsidRPr="000E696E">
        <w:t xml:space="preserve"> the European Court determined that the personal opinions of the members of the Executive Committee of a trade union are protected by the right to freedom of association, so that “the members of a trade union must be able to express to their employer the demands by which they seek to improve the situation of workers in their company.”</w:t>
      </w:r>
    </w:p>
  </w:footnote>
  <w:footnote w:id="148">
    <w:p w14:paraId="779A129C" w14:textId="3024B006" w:rsidR="0068647C" w:rsidRPr="000E696E" w:rsidRDefault="0068647C" w:rsidP="00D61BD2">
      <w:pPr>
        <w:pStyle w:val="Textonotapie"/>
      </w:pPr>
      <w:r w:rsidRPr="000E696E">
        <w:rPr>
          <w:rStyle w:val="Refdenotaalpie"/>
          <w:sz w:val="16"/>
        </w:rPr>
        <w:footnoteRef/>
      </w:r>
      <w:r w:rsidRPr="000E696E">
        <w:t xml:space="preserve"> </w:t>
      </w:r>
      <w:r w:rsidRPr="000E696E">
        <w:tab/>
        <w:t xml:space="preserve">ECHR. </w:t>
      </w:r>
      <w:r w:rsidRPr="000E696E">
        <w:rPr>
          <w:i/>
          <w:iCs/>
        </w:rPr>
        <w:t>Case of Palomo Sánchez and Others v. Spain; Case of Fuentes Bobo v. Spain,</w:t>
      </w:r>
      <w:r w:rsidRPr="000E696E">
        <w:t xml:space="preserve"> No. 39293/98. Judgment of February 29, 2000. </w:t>
      </w:r>
    </w:p>
  </w:footnote>
  <w:footnote w:id="149">
    <w:p w14:paraId="7DA4D3AA" w14:textId="4DB7A7F1" w:rsidR="0068647C" w:rsidRPr="000E696E" w:rsidRDefault="0068647C" w:rsidP="00D61BD2">
      <w:pPr>
        <w:pStyle w:val="Textonotapie"/>
      </w:pPr>
      <w:r w:rsidRPr="000E696E">
        <w:rPr>
          <w:rStyle w:val="Refdenotaalpie"/>
          <w:sz w:val="16"/>
        </w:rPr>
        <w:footnoteRef/>
      </w:r>
      <w:r w:rsidRPr="000E696E">
        <w:t xml:space="preserve"> </w:t>
      </w:r>
      <w:r w:rsidRPr="000E696E">
        <w:tab/>
        <w:t>ECHR</w:t>
      </w:r>
      <w:r w:rsidRPr="000E696E">
        <w:rPr>
          <w:i/>
        </w:rPr>
        <w:t>. Case of Palomo Sánchez and Others v. Spain [GS], supra,</w:t>
      </w:r>
      <w:r w:rsidRPr="000E696E">
        <w:t xml:space="preserve"> para. 72, and ECHR, </w:t>
      </w:r>
      <w:r w:rsidRPr="000E696E">
        <w:rPr>
          <w:i/>
        </w:rPr>
        <w:t xml:space="preserve">Case of Fuentes Bobo v. Spain, supra, </w:t>
      </w:r>
      <w:r w:rsidRPr="000E696E">
        <w:t>para. 40. In this regard: the Court, while acknowledging that the expressions used were offensive, concluded that they were included in a context of a long public discussions that concerned matters of general interest concerning the administration of public television.</w:t>
      </w:r>
    </w:p>
  </w:footnote>
  <w:footnote w:id="150">
    <w:p w14:paraId="70BCD5D6" w14:textId="6454DA6A" w:rsidR="0068647C" w:rsidRPr="000E696E" w:rsidRDefault="0068647C" w:rsidP="00D61BD2">
      <w:pPr>
        <w:pStyle w:val="Textonotapie"/>
      </w:pPr>
      <w:r w:rsidRPr="000E696E">
        <w:rPr>
          <w:rStyle w:val="Refdenotaalpie"/>
          <w:spacing w:val="-4"/>
          <w:sz w:val="16"/>
        </w:rPr>
        <w:footnoteRef/>
      </w:r>
      <w:r w:rsidRPr="000E696E">
        <w:t xml:space="preserve"> </w:t>
      </w:r>
      <w:r w:rsidRPr="000E696E">
        <w:tab/>
      </w:r>
      <w:r w:rsidRPr="000E696E">
        <w:rPr>
          <w:i/>
          <w:iCs/>
        </w:rPr>
        <w:t>Cf. Compulsory Membership of an Association Prescribed by Law for the Practice of Journalism.</w:t>
      </w:r>
      <w:r w:rsidRPr="000E696E">
        <w:rPr>
          <w:iCs/>
        </w:rPr>
        <w:t xml:space="preserve"> </w:t>
      </w:r>
      <w:r w:rsidRPr="004204B2">
        <w:rPr>
          <w:iCs/>
          <w:lang w:val="es-CR"/>
        </w:rPr>
        <w:t>OC-5/85,</w:t>
      </w:r>
      <w:r w:rsidRPr="004204B2">
        <w:rPr>
          <w:lang w:val="es-CR"/>
        </w:rPr>
        <w:t xml:space="preserve"> </w:t>
      </w:r>
      <w:r w:rsidRPr="004204B2">
        <w:rPr>
          <w:rStyle w:val="Textoennegrita"/>
          <w:b w:val="0"/>
          <w:i/>
          <w:color w:val="000000"/>
          <w:shd w:val="clear" w:color="auto" w:fill="FFFFFF"/>
          <w:lang w:val="es-CR"/>
        </w:rPr>
        <w:t>supra</w:t>
      </w:r>
      <w:r w:rsidRPr="004204B2">
        <w:rPr>
          <w:rStyle w:val="Textoennegrita"/>
          <w:b w:val="0"/>
          <w:color w:val="000000"/>
          <w:shd w:val="clear" w:color="auto" w:fill="FFFFFF"/>
          <w:lang w:val="es-CR"/>
        </w:rPr>
        <w:t>, para. 70</w:t>
      </w:r>
      <w:r w:rsidRPr="004204B2">
        <w:rPr>
          <w:lang w:val="es-CR"/>
        </w:rPr>
        <w:t xml:space="preserve">, and </w:t>
      </w:r>
      <w:r w:rsidRPr="004204B2">
        <w:rPr>
          <w:rStyle w:val="Textoennegrita"/>
          <w:b w:val="0"/>
          <w:i/>
          <w:color w:val="000000"/>
          <w:shd w:val="clear" w:color="auto" w:fill="FFFFFF"/>
          <w:lang w:val="es-CR"/>
        </w:rPr>
        <w:t>Case of Granier et al. (Radio Caracas Televisión) v. Venezuela. supra</w:t>
      </w:r>
      <w:r w:rsidRPr="004204B2">
        <w:rPr>
          <w:rStyle w:val="Textoennegrita"/>
          <w:b w:val="0"/>
          <w:color w:val="000000"/>
          <w:shd w:val="clear" w:color="auto" w:fill="FFFFFF"/>
          <w:lang w:val="es-CR"/>
        </w:rPr>
        <w:t xml:space="preserve">, para. </w:t>
      </w:r>
      <w:r w:rsidRPr="000E696E">
        <w:rPr>
          <w:rStyle w:val="Textoennegrita"/>
          <w:b w:val="0"/>
          <w:color w:val="000000"/>
          <w:shd w:val="clear" w:color="auto" w:fill="FFFFFF"/>
        </w:rPr>
        <w:t>140.</w:t>
      </w:r>
    </w:p>
  </w:footnote>
  <w:footnote w:id="151">
    <w:p w14:paraId="77DF45B5" w14:textId="4D0E9AF5" w:rsidR="0068647C" w:rsidRPr="000E696E" w:rsidRDefault="0068647C" w:rsidP="00D61BD2">
      <w:pPr>
        <w:pStyle w:val="Textonotapie"/>
        <w:rPr>
          <w:spacing w:val="-4"/>
        </w:rPr>
      </w:pPr>
      <w:r w:rsidRPr="000E696E">
        <w:rPr>
          <w:rStyle w:val="Refdenotaalpie"/>
          <w:spacing w:val="-4"/>
          <w:sz w:val="16"/>
        </w:rPr>
        <w:footnoteRef/>
      </w:r>
      <w:r w:rsidRPr="000E696E">
        <w:rPr>
          <w:spacing w:val="-4"/>
        </w:rPr>
        <w:t xml:space="preserve"> </w:t>
      </w:r>
      <w:r w:rsidRPr="000E696E">
        <w:rPr>
          <w:spacing w:val="-4"/>
        </w:rPr>
        <w:tab/>
      </w:r>
      <w:r w:rsidRPr="000E696E">
        <w:rPr>
          <w:i/>
          <w:iCs/>
          <w:spacing w:val="-4"/>
        </w:rPr>
        <w:t xml:space="preserve">Cf. Case of “The Last Temptation of Christ” v. Chile. </w:t>
      </w:r>
      <w:r w:rsidRPr="000E696E">
        <w:rPr>
          <w:rStyle w:val="Textoennegrita"/>
          <w:b w:val="0"/>
          <w:i/>
          <w:iCs/>
          <w:color w:val="000000"/>
          <w:shd w:val="clear" w:color="auto" w:fill="FFFFFF"/>
        </w:rPr>
        <w:t>supra,</w:t>
      </w:r>
      <w:r w:rsidRPr="000E696E">
        <w:rPr>
          <w:rStyle w:val="Textoennegrita"/>
          <w:b w:val="0"/>
          <w:color w:val="000000"/>
          <w:shd w:val="clear" w:color="auto" w:fill="FFFFFF"/>
        </w:rPr>
        <w:t xml:space="preserve"> </w:t>
      </w:r>
      <w:r w:rsidRPr="000E696E">
        <w:rPr>
          <w:spacing w:val="-4"/>
        </w:rPr>
        <w:t xml:space="preserve">para. </w:t>
      </w:r>
      <w:r w:rsidRPr="004204B2">
        <w:rPr>
          <w:spacing w:val="-4"/>
          <w:lang w:val="es-CR"/>
        </w:rPr>
        <w:t xml:space="preserve">69, and </w:t>
      </w:r>
      <w:r w:rsidRPr="004204B2">
        <w:rPr>
          <w:rStyle w:val="Textoennegrita"/>
          <w:b w:val="0"/>
          <w:i/>
          <w:color w:val="000000"/>
          <w:shd w:val="clear" w:color="auto" w:fill="FFFFFF"/>
          <w:lang w:val="es-CR"/>
        </w:rPr>
        <w:t>Case of Granier et al. (Radio Caracas Televisión) v. Venezuela</w:t>
      </w:r>
      <w:r w:rsidRPr="004204B2">
        <w:rPr>
          <w:rStyle w:val="Textoennegrita"/>
          <w:b w:val="0"/>
          <w:color w:val="000000"/>
          <w:shd w:val="clear" w:color="auto" w:fill="FFFFFF"/>
          <w:lang w:val="es-CR"/>
        </w:rPr>
        <w:t xml:space="preserve">, </w:t>
      </w:r>
      <w:r w:rsidRPr="004204B2">
        <w:rPr>
          <w:rStyle w:val="Textoennegrita"/>
          <w:b w:val="0"/>
          <w:i/>
          <w:color w:val="000000"/>
          <w:shd w:val="clear" w:color="auto" w:fill="FFFFFF"/>
          <w:lang w:val="es-CR"/>
        </w:rPr>
        <w:t>supra</w:t>
      </w:r>
      <w:r w:rsidRPr="004204B2">
        <w:rPr>
          <w:rStyle w:val="Textoennegrita"/>
          <w:b w:val="0"/>
          <w:color w:val="000000"/>
          <w:shd w:val="clear" w:color="auto" w:fill="FFFFFF"/>
          <w:lang w:val="es-CR"/>
        </w:rPr>
        <w:t xml:space="preserve">, para. </w:t>
      </w:r>
      <w:r w:rsidRPr="000E696E">
        <w:rPr>
          <w:rStyle w:val="Textoennegrita"/>
          <w:b w:val="0"/>
          <w:color w:val="000000"/>
          <w:shd w:val="clear" w:color="auto" w:fill="FFFFFF"/>
        </w:rPr>
        <w:t>140.</w:t>
      </w:r>
    </w:p>
  </w:footnote>
  <w:footnote w:id="152">
    <w:p w14:paraId="02332FC1" w14:textId="0502524B" w:rsidR="0068647C" w:rsidRPr="000E696E" w:rsidRDefault="0068647C" w:rsidP="00D52E01">
      <w:pPr>
        <w:tabs>
          <w:tab w:val="left" w:pos="720"/>
        </w:tabs>
        <w:spacing w:after="60"/>
        <w:jc w:val="both"/>
        <w:rPr>
          <w:rFonts w:ascii="Verdana" w:hAnsi="Verdana"/>
          <w:i/>
          <w:sz w:val="16"/>
          <w:szCs w:val="16"/>
          <w:lang w:val="en-US"/>
        </w:rPr>
      </w:pPr>
      <w:r w:rsidRPr="000E696E">
        <w:rPr>
          <w:rStyle w:val="Refdenotaalpie"/>
          <w:rFonts w:cs="Arial"/>
          <w:sz w:val="16"/>
          <w:szCs w:val="16"/>
          <w:lang w:val="en-US"/>
        </w:rPr>
        <w:footnoteRef/>
      </w:r>
      <w:r w:rsidRPr="000E696E">
        <w:rPr>
          <w:rFonts w:ascii="Verdana" w:hAnsi="Verdana" w:cs="Arial"/>
          <w:sz w:val="16"/>
          <w:szCs w:val="16"/>
          <w:lang w:val="en-US"/>
        </w:rPr>
        <w:t xml:space="preserve"> </w:t>
      </w:r>
      <w:r w:rsidRPr="000E696E">
        <w:rPr>
          <w:rFonts w:ascii="Verdana" w:hAnsi="Verdana" w:cs="Arial"/>
          <w:sz w:val="16"/>
          <w:szCs w:val="16"/>
          <w:lang w:val="en-US"/>
        </w:rPr>
        <w:tab/>
      </w:r>
      <w:r w:rsidRPr="000E696E">
        <w:rPr>
          <w:rFonts w:ascii="Verdana" w:hAnsi="Verdana" w:cs="Arial"/>
          <w:i/>
          <w:sz w:val="16"/>
          <w:szCs w:val="16"/>
          <w:lang w:val="en-US"/>
        </w:rPr>
        <w:t>Cf. Case of “</w:t>
      </w:r>
      <w:r w:rsidRPr="000E696E">
        <w:rPr>
          <w:rFonts w:ascii="Verdana" w:hAnsi="Verdana"/>
          <w:i/>
          <w:iCs/>
          <w:spacing w:val="-4"/>
          <w:sz w:val="16"/>
          <w:szCs w:val="16"/>
          <w:lang w:val="en-US"/>
        </w:rPr>
        <w:t>The Last Temptation of Christ”</w:t>
      </w:r>
      <w:r w:rsidRPr="000E696E">
        <w:rPr>
          <w:i/>
          <w:iCs/>
          <w:spacing w:val="-4"/>
          <w:lang w:val="en-US"/>
        </w:rPr>
        <w:t xml:space="preserve"> </w:t>
      </w:r>
      <w:r w:rsidRPr="000E696E">
        <w:rPr>
          <w:rFonts w:ascii="Verdana" w:hAnsi="Verdana" w:cs="Arial"/>
          <w:i/>
          <w:sz w:val="16"/>
          <w:szCs w:val="16"/>
          <w:lang w:val="en-US"/>
        </w:rPr>
        <w:t xml:space="preserve">v. Chile, supra, </w:t>
      </w:r>
      <w:r w:rsidRPr="000E696E">
        <w:rPr>
          <w:rFonts w:ascii="Verdana" w:hAnsi="Verdana"/>
          <w:sz w:val="16"/>
          <w:szCs w:val="16"/>
          <w:lang w:val="en-US"/>
        </w:rPr>
        <w:t>para.</w:t>
      </w:r>
      <w:r w:rsidRPr="000E696E">
        <w:rPr>
          <w:rFonts w:ascii="Verdana" w:hAnsi="Verdana" w:cs="Arial"/>
          <w:sz w:val="16"/>
          <w:szCs w:val="16"/>
          <w:lang w:val="en-US"/>
        </w:rPr>
        <w:t xml:space="preserve"> 69, and </w:t>
      </w:r>
      <w:r w:rsidRPr="000E696E">
        <w:rPr>
          <w:rFonts w:ascii="Verdana" w:hAnsi="Verdana" w:cs="Arial"/>
          <w:i/>
          <w:sz w:val="16"/>
          <w:szCs w:val="16"/>
          <w:lang w:val="en-US"/>
        </w:rPr>
        <w:t>Case of Kimel v. Argentina</w:t>
      </w:r>
      <w:r w:rsidRPr="000E696E">
        <w:rPr>
          <w:rFonts w:ascii="Verdana" w:hAnsi="Verdana" w:cs="Arial"/>
          <w:sz w:val="16"/>
          <w:szCs w:val="16"/>
          <w:lang w:val="en-US"/>
        </w:rPr>
        <w:t xml:space="preserve">, </w:t>
      </w:r>
      <w:r w:rsidRPr="000E696E">
        <w:rPr>
          <w:rFonts w:ascii="Verdana" w:hAnsi="Verdana" w:cs="Arial"/>
          <w:i/>
          <w:sz w:val="16"/>
          <w:szCs w:val="16"/>
          <w:lang w:val="en-US"/>
        </w:rPr>
        <w:t>supra</w:t>
      </w:r>
      <w:r w:rsidRPr="000E696E">
        <w:rPr>
          <w:rFonts w:ascii="Verdana" w:hAnsi="Verdana" w:cs="Arial"/>
          <w:sz w:val="16"/>
          <w:szCs w:val="16"/>
          <w:lang w:val="en-US"/>
        </w:rPr>
        <w:t xml:space="preserve">, para. 88; </w:t>
      </w:r>
      <w:r w:rsidRPr="000E696E">
        <w:rPr>
          <w:rFonts w:ascii="Verdana" w:hAnsi="Verdana"/>
          <w:sz w:val="16"/>
          <w:szCs w:val="16"/>
          <w:lang w:val="en-US"/>
        </w:rPr>
        <w:t>ECHR</w:t>
      </w:r>
      <w:r w:rsidRPr="000E696E">
        <w:rPr>
          <w:rFonts w:ascii="Verdana" w:hAnsi="Verdana"/>
          <w:i/>
          <w:sz w:val="16"/>
          <w:szCs w:val="16"/>
          <w:lang w:val="en-US"/>
        </w:rPr>
        <w:t>, Case of Palomo Sánchez and Others v. Spain</w:t>
      </w:r>
      <w:r w:rsidRPr="000E696E">
        <w:rPr>
          <w:rFonts w:ascii="Verdana" w:hAnsi="Verdana"/>
          <w:sz w:val="16"/>
          <w:szCs w:val="16"/>
          <w:lang w:val="en-US"/>
        </w:rPr>
        <w:t xml:space="preserve"> [GS], </w:t>
      </w:r>
      <w:r w:rsidRPr="000E696E">
        <w:rPr>
          <w:rFonts w:ascii="Verdana" w:hAnsi="Verdana"/>
          <w:i/>
          <w:sz w:val="16"/>
          <w:szCs w:val="16"/>
          <w:lang w:val="en-US"/>
        </w:rPr>
        <w:t>supra</w:t>
      </w:r>
      <w:r w:rsidRPr="000E696E">
        <w:rPr>
          <w:rFonts w:ascii="Verdana" w:hAnsi="Verdana"/>
          <w:sz w:val="16"/>
          <w:szCs w:val="16"/>
          <w:lang w:val="en-US"/>
        </w:rPr>
        <w:t xml:space="preserve">, para. 53 to 62. </w:t>
      </w:r>
    </w:p>
  </w:footnote>
  <w:footnote w:id="153">
    <w:p w14:paraId="00BBC28E" w14:textId="1596A069"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Case of Kimel v. Argentina, supra,</w:t>
      </w:r>
      <w:r w:rsidRPr="000E696E">
        <w:t xml:space="preserve"> para. 88. </w:t>
      </w:r>
    </w:p>
  </w:footnote>
  <w:footnote w:id="154">
    <w:p w14:paraId="3E2360FC" w14:textId="380E56E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Case of Palomo Sánchez and Others v. Spain [GS], supra,</w:t>
      </w:r>
      <w:r w:rsidRPr="000E696E">
        <w:t xml:space="preserve"> para. 42. and ECHR. </w:t>
      </w:r>
      <w:r w:rsidRPr="000E696E">
        <w:rPr>
          <w:i/>
          <w:iCs/>
        </w:rPr>
        <w:t>Case of Nikula v. Finland</w:t>
      </w:r>
      <w:r w:rsidRPr="000E696E">
        <w:t xml:space="preserve">, No. 31611/96. Judgment of March 21, 2002. para. 48 </w:t>
      </w:r>
    </w:p>
  </w:footnote>
  <w:footnote w:id="155">
    <w:p w14:paraId="3E734E46" w14:textId="2C77B0DE"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Mutatis mutandi</w:t>
      </w:r>
      <w:r>
        <w:rPr>
          <w:i/>
        </w:rPr>
        <w:t>s</w:t>
      </w:r>
      <w:r w:rsidRPr="000E696E">
        <w:t xml:space="preserve">: ILO Convention 98: Right to Organize and Collective Bargaining, 1949 (Entry into force: July 18, 1951). Adopted: Geneva, Thirty-second meeting of the ILO General Conference (July 1, 1949). </w:t>
      </w:r>
      <w:r w:rsidRPr="000E696E">
        <w:rPr>
          <w:rFonts w:eastAsia="Times New Roman"/>
        </w:rPr>
        <w:t xml:space="preserve">2.1 Workers' and employers' organisations shall enjoy adequate protection against any acts of interference by each other or each other's agents or members in their establishment, functioning or administration. </w:t>
      </w:r>
      <w:bookmarkStart w:id="46" w:name="A2P2"/>
      <w:bookmarkEnd w:id="46"/>
      <w:r w:rsidRPr="000E696E">
        <w:rPr>
          <w:rFonts w:eastAsia="Times New Roman"/>
        </w:rPr>
        <w:t>2.2 In particular, acts which are designed to promote the establishment of workers' organisations under the domination of employers or employers' organisations, or to support workers' organisations by financial or other means, with the object of placing such organisations under the control of employers or employers' organisations, shall be deemed to constitute acts of interference within the meaning of this Article.</w:t>
      </w:r>
    </w:p>
  </w:footnote>
  <w:footnote w:id="156">
    <w:p w14:paraId="7204C280" w14:textId="06C8FA30" w:rsidR="0068647C" w:rsidRPr="000E696E" w:rsidRDefault="0068647C" w:rsidP="00D61BD2">
      <w:pPr>
        <w:pStyle w:val="Textonotapie"/>
      </w:pPr>
      <w:r w:rsidRPr="000E696E">
        <w:rPr>
          <w:rStyle w:val="Refdenotaalpie"/>
          <w:sz w:val="16"/>
        </w:rPr>
        <w:footnoteRef/>
      </w:r>
      <w:r w:rsidRPr="000E696E">
        <w:t xml:space="preserve"> </w:t>
      </w:r>
      <w:r w:rsidRPr="000E696E">
        <w:tab/>
        <w:t>ECHR</w:t>
      </w:r>
      <w:r w:rsidRPr="000E696E">
        <w:rPr>
          <w:i/>
        </w:rPr>
        <w:t xml:space="preserve">. Case of Fuentes Bobo v. Spain. No. 39293/98. </w:t>
      </w:r>
      <w:r w:rsidRPr="000E696E">
        <w:rPr>
          <w:iCs/>
        </w:rPr>
        <w:t>Judgment of February 29, 2009</w:t>
      </w:r>
      <w:r w:rsidRPr="000E696E">
        <w:rPr>
          <w:i/>
        </w:rPr>
        <w:t xml:space="preserve">. </w:t>
      </w:r>
      <w:r w:rsidRPr="000E696E">
        <w:t>para. 40.</w:t>
      </w:r>
      <w:r w:rsidRPr="000E696E">
        <w:rPr>
          <w:i/>
        </w:rPr>
        <w:t xml:space="preserve"> </w:t>
      </w:r>
      <w:r w:rsidRPr="000E696E">
        <w:t xml:space="preserve">The Court, while acknowledging that the phrases used were offensive, concluded that they occurred in a context of a “prolonged public debate concerning matters of general interest relating to the management of public television.” </w:t>
      </w:r>
      <w:r w:rsidRPr="000E696E">
        <w:rPr>
          <w:i/>
        </w:rPr>
        <w:t>Cf.</w:t>
      </w:r>
      <w:r w:rsidRPr="000E696E">
        <w:t xml:space="preserve"> ILO, Recommendation on Workers’ Representatives, 1971 (No. 143), Recommendation on protection and facilities that should be afforded to workers’ representatives. Fifty-sixth Session of the ILO General Conference; date adopted June 23, 1971. See also. </w:t>
      </w:r>
      <w:r w:rsidRPr="000E696E">
        <w:rPr>
          <w:i/>
        </w:rPr>
        <w:t>Mutatis mutandi</w:t>
      </w:r>
      <w:r>
        <w:rPr>
          <w:i/>
        </w:rPr>
        <w:t>s</w:t>
      </w:r>
      <w:r w:rsidRPr="000E696E">
        <w:t>: ILO, Freedom of Association and Collective Bargaining” para. 212, p. 96.</w:t>
      </w:r>
    </w:p>
  </w:footnote>
  <w:footnote w:id="157">
    <w:p w14:paraId="5A8F5CEC" w14:textId="4FD03FDE"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 The Word “Laws” in Article 30 of the American Convention on Human Rights. OC-6/86, supra,</w:t>
      </w:r>
      <w:r w:rsidRPr="000E696E">
        <w:t xml:space="preserve"> paras. 35 and 37; </w:t>
      </w:r>
      <w:r w:rsidRPr="000E696E">
        <w:rPr>
          <w:rStyle w:val="Textoennegrita"/>
          <w:b w:val="0"/>
          <w:i/>
          <w:color w:val="000000"/>
          <w:shd w:val="clear" w:color="auto" w:fill="FFFFFF"/>
        </w:rPr>
        <w:t>Case of Mémoli v. Argentina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supra</w:t>
      </w:r>
      <w:r w:rsidRPr="000E696E">
        <w:rPr>
          <w:rStyle w:val="Textoennegrita"/>
          <w:b w:val="0"/>
          <w:color w:val="000000"/>
          <w:shd w:val="clear" w:color="auto" w:fill="FFFFFF"/>
        </w:rPr>
        <w:t xml:space="preserve">, para. 130, and </w:t>
      </w:r>
      <w:r w:rsidRPr="000E696E">
        <w:rPr>
          <w:rStyle w:val="Textoennegrita"/>
          <w:b w:val="0"/>
          <w:i/>
          <w:color w:val="000000"/>
          <w:shd w:val="clear" w:color="auto" w:fill="FFFFFF"/>
        </w:rPr>
        <w:t xml:space="preserve">Case of Granier et al. v. Venezuela, supra, </w:t>
      </w:r>
      <w:r w:rsidRPr="000E696E">
        <w:rPr>
          <w:rStyle w:val="Textoennegrita"/>
          <w:b w:val="0"/>
          <w:color w:val="000000"/>
          <w:shd w:val="clear" w:color="auto" w:fill="FFFFFF"/>
        </w:rPr>
        <w:t>para. 119.</w:t>
      </w:r>
    </w:p>
  </w:footnote>
  <w:footnote w:id="158">
    <w:p w14:paraId="48ECA5E5" w14:textId="3DF702F8"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rStyle w:val="Textoennegrita"/>
          <w:b w:val="0"/>
          <w:i/>
          <w:color w:val="000000"/>
          <w:shd w:val="clear" w:color="auto" w:fill="FFFFFF"/>
        </w:rPr>
        <w:t>Case of Castillo Petruzzi et al. v. Peru. Merits, reparations and costs</w:t>
      </w:r>
      <w:r w:rsidRPr="000E696E">
        <w:rPr>
          <w:rStyle w:val="Textoennegrita"/>
          <w:b w:val="0"/>
          <w:color w:val="000000"/>
          <w:shd w:val="clear" w:color="auto" w:fill="FFFFFF"/>
        </w:rPr>
        <w:t>. Judgment of May 30, 1999. Series C No. 52. para. 121</w:t>
      </w:r>
      <w:r w:rsidRPr="000E696E">
        <w:rPr>
          <w:rStyle w:val="Textoennegrita"/>
          <w:b w:val="0"/>
          <w:i/>
          <w:color w:val="000000"/>
          <w:shd w:val="clear" w:color="auto" w:fill="FFFFFF"/>
        </w:rPr>
        <w:t>; Case of Kimel v. Argentina,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supra</w:t>
      </w:r>
      <w:r w:rsidRPr="000E696E">
        <w:rPr>
          <w:rStyle w:val="Textoennegrita"/>
          <w:b w:val="0"/>
          <w:color w:val="000000"/>
          <w:shd w:val="clear" w:color="auto" w:fill="FFFFFF"/>
        </w:rPr>
        <w:t xml:space="preserve">, para. 63, and </w:t>
      </w:r>
      <w:r w:rsidRPr="000E696E">
        <w:rPr>
          <w:rStyle w:val="Textoennegrita"/>
          <w:b w:val="0"/>
          <w:i/>
          <w:color w:val="000000"/>
          <w:shd w:val="clear" w:color="auto" w:fill="FFFFFF"/>
        </w:rPr>
        <w:t xml:space="preserve">Case of Memolí v. Argentina, supra, </w:t>
      </w:r>
      <w:r w:rsidRPr="000E696E">
        <w:rPr>
          <w:rStyle w:val="Textoennegrita"/>
          <w:b w:val="0"/>
          <w:color w:val="000000"/>
          <w:shd w:val="clear" w:color="auto" w:fill="FFFFFF"/>
        </w:rPr>
        <w:t>para. 154</w:t>
      </w:r>
    </w:p>
  </w:footnote>
  <w:footnote w:id="159">
    <w:p w14:paraId="39A52C11" w14:textId="6AAE3D3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w:t>
      </w:r>
      <w:r w:rsidRPr="000E696E">
        <w:t xml:space="preserve"> </w:t>
      </w:r>
      <w:r w:rsidRPr="000E696E">
        <w:rPr>
          <w:rStyle w:val="Textoennegrita"/>
          <w:b w:val="0"/>
          <w:i/>
          <w:color w:val="000000"/>
          <w:shd w:val="clear" w:color="auto" w:fill="FFFFFF"/>
        </w:rPr>
        <w:t>Case of Fontevecchia and D’Amico v. Argentina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supra</w:t>
      </w:r>
      <w:r w:rsidRPr="000E696E">
        <w:rPr>
          <w:rStyle w:val="Textoennegrita"/>
          <w:b w:val="0"/>
          <w:color w:val="000000"/>
          <w:shd w:val="clear" w:color="auto" w:fill="FFFFFF"/>
        </w:rPr>
        <w:t>, para. 89.</w:t>
      </w:r>
    </w:p>
  </w:footnote>
  <w:footnote w:id="160">
    <w:p w14:paraId="109854E8" w14:textId="1612000C"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r>
      <w:r w:rsidRPr="000E696E">
        <w:rPr>
          <w:rStyle w:val="Textoennegrita"/>
          <w:b w:val="0"/>
          <w:i/>
          <w:color w:val="000000"/>
          <w:shd w:val="clear" w:color="auto" w:fill="FFFFFF"/>
        </w:rPr>
        <w:t>Case of Fontevecchia and D’Amico v. Argentina,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supra</w:t>
      </w:r>
      <w:r w:rsidRPr="000E696E">
        <w:rPr>
          <w:rStyle w:val="Textoennegrita"/>
          <w:b w:val="0"/>
          <w:color w:val="000000"/>
          <w:shd w:val="clear" w:color="auto" w:fill="FFFFFF"/>
        </w:rPr>
        <w:t xml:space="preserve">, para. </w:t>
      </w:r>
      <w:r w:rsidRPr="004204B2">
        <w:rPr>
          <w:rStyle w:val="Textoennegrita"/>
          <w:b w:val="0"/>
          <w:color w:val="000000"/>
          <w:shd w:val="clear" w:color="auto" w:fill="FFFFFF"/>
          <w:lang w:val="es-CR"/>
        </w:rPr>
        <w:t>90.</w:t>
      </w:r>
    </w:p>
  </w:footnote>
  <w:footnote w:id="161">
    <w:p w14:paraId="0287525A" w14:textId="61577E03" w:rsidR="0068647C" w:rsidRPr="000E696E" w:rsidRDefault="0068647C" w:rsidP="00D61BD2">
      <w:pPr>
        <w:pStyle w:val="Textonotapie"/>
        <w:rPr>
          <w:shd w:val="clear" w:color="auto" w:fill="FFFFFF"/>
        </w:rPr>
      </w:pPr>
      <w:r w:rsidRPr="000E696E">
        <w:rPr>
          <w:rStyle w:val="Refdenotaalpie"/>
          <w:sz w:val="16"/>
        </w:rPr>
        <w:footnoteRef/>
      </w:r>
      <w:r w:rsidRPr="004204B2">
        <w:rPr>
          <w:lang w:val="es-CR"/>
        </w:rPr>
        <w:t xml:space="preserve"> </w:t>
      </w:r>
      <w:r w:rsidRPr="004204B2">
        <w:rPr>
          <w:lang w:val="es-CR"/>
        </w:rPr>
        <w:tab/>
      </w:r>
      <w:r w:rsidRPr="004204B2">
        <w:rPr>
          <w:i/>
          <w:iCs/>
          <w:lang w:val="es-CR"/>
        </w:rPr>
        <w:t xml:space="preserve">Cf. </w:t>
      </w:r>
      <w:r w:rsidRPr="004204B2">
        <w:rPr>
          <w:i/>
          <w:iCs/>
          <w:shd w:val="clear" w:color="auto" w:fill="FFFFFF"/>
          <w:lang w:val="es-CR"/>
        </w:rPr>
        <w:t xml:space="preserve">Case of Castillo </w:t>
      </w:r>
      <w:r w:rsidRPr="004204B2">
        <w:rPr>
          <w:i/>
          <w:iCs/>
          <w:shd w:val="clear" w:color="auto" w:fill="FFFFFF"/>
          <w:lang w:val="es-CR"/>
        </w:rPr>
        <w:t xml:space="preserve">Petruzzi et al. v. Peru, supra, </w:t>
      </w:r>
      <w:r w:rsidRPr="004204B2">
        <w:rPr>
          <w:shd w:val="clear" w:color="auto" w:fill="FFFFFF"/>
          <w:lang w:val="es-CR"/>
        </w:rPr>
        <w:t xml:space="preserve">para. </w:t>
      </w:r>
      <w:r w:rsidRPr="000E696E">
        <w:rPr>
          <w:shd w:val="clear" w:color="auto" w:fill="FFFFFF"/>
        </w:rPr>
        <w:t>207, and</w:t>
      </w:r>
      <w:r w:rsidRPr="000E696E">
        <w:rPr>
          <w:i/>
          <w:iCs/>
          <w:shd w:val="clear" w:color="auto" w:fill="FFFFFF"/>
        </w:rPr>
        <w:t xml:space="preserve"> Case of Lopez Lone et al. v. Honduras, supra,</w:t>
      </w:r>
      <w:r w:rsidRPr="000E696E">
        <w:rPr>
          <w:shd w:val="clear" w:color="auto" w:fill="FFFFFF"/>
        </w:rPr>
        <w:t xml:space="preserve"> para. 214.</w:t>
      </w:r>
    </w:p>
  </w:footnote>
  <w:footnote w:id="162">
    <w:p w14:paraId="06EE5368" w14:textId="75014CB6" w:rsidR="0068647C" w:rsidRPr="000E696E" w:rsidRDefault="0068647C" w:rsidP="00AA1EBF">
      <w:pPr>
        <w:spacing w:after="60"/>
        <w:jc w:val="both"/>
        <w:rPr>
          <w:rFonts w:ascii="Verdana" w:hAnsi="Verdana" w:cs="Arial"/>
          <w:sz w:val="16"/>
          <w:szCs w:val="16"/>
          <w:lang w:val="en-US"/>
        </w:rPr>
      </w:pPr>
      <w:r w:rsidRPr="000E696E">
        <w:rPr>
          <w:rStyle w:val="Refdenotaalpie"/>
          <w:rFonts w:cs="Times"/>
          <w:sz w:val="16"/>
          <w:szCs w:val="16"/>
          <w:lang w:val="en-US"/>
        </w:rPr>
        <w:footnoteRef/>
      </w:r>
      <w:r w:rsidRPr="000E696E">
        <w:rPr>
          <w:rStyle w:val="Refdenotaalpie"/>
          <w:rFonts w:cs="Times"/>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Compulsory Membership of an Association Prescribed by Law for the Practice of Journalism OC-5/85, supra </w:t>
      </w:r>
      <w:r w:rsidRPr="000E696E">
        <w:rPr>
          <w:rFonts w:ascii="Verdana" w:hAnsi="Verdana"/>
          <w:sz w:val="16"/>
          <w:szCs w:val="16"/>
          <w:lang w:val="en-US"/>
        </w:rPr>
        <w:t>footnote 36, paras. 41 to 46. In the latter paragraph, the Court indicated: “[i]</w:t>
      </w:r>
      <w:r w:rsidRPr="000E696E">
        <w:rPr>
          <w:rFonts w:ascii="Verdana" w:hAnsi="Verdana" w:cs="Arial"/>
          <w:sz w:val="16"/>
          <w:szCs w:val="16"/>
          <w:lang w:val="en-US"/>
        </w:rPr>
        <w:t>t is important to note that the European Court of Human Rights, in interpreting Article 10 of the European Convention, concluded that ‘necessary,’ while not synonymous with ‘indispensable,’ implied ‘the existence of a 'pressing social need' and that for a restriction to be ‘necessary,’ it is not enough to show that it is ‘useful,’ ‘reasonable’ or ‘desirable.’</w:t>
      </w:r>
      <w:r w:rsidRPr="000E696E">
        <w:rPr>
          <w:rFonts w:ascii="Verdana" w:hAnsi="Verdana"/>
          <w:sz w:val="16"/>
          <w:szCs w:val="16"/>
          <w:lang w:val="en-US"/>
        </w:rPr>
        <w:t xml:space="preserve"> […]. </w:t>
      </w:r>
      <w:r w:rsidRPr="000E696E">
        <w:rPr>
          <w:rFonts w:ascii="Verdana" w:hAnsi="Verdana" w:cs="Arial"/>
          <w:sz w:val="16"/>
          <w:szCs w:val="16"/>
          <w:lang w:val="en-US"/>
        </w:rPr>
        <w:t>This conclusion, which is equally applicable to the American Convention, suggests that the ‘necessity’ and, hence, the legality of restrictions imposed under Article 13(2) on freedom of expression, depend upon showing that the restrictions are required by a compelling public interest.</w:t>
      </w:r>
      <w:r w:rsidRPr="000E696E">
        <w:rPr>
          <w:rFonts w:ascii="Verdana" w:hAnsi="Verdana"/>
          <w:sz w:val="16"/>
          <w:szCs w:val="16"/>
          <w:lang w:val="en-US"/>
        </w:rPr>
        <w:t xml:space="preserve">” Also, </w:t>
      </w:r>
      <w:r w:rsidRPr="000E696E">
        <w:rPr>
          <w:rFonts w:ascii="Verdana" w:hAnsi="Verdana"/>
          <w:i/>
          <w:sz w:val="16"/>
          <w:szCs w:val="16"/>
          <w:lang w:val="en-US"/>
        </w:rPr>
        <w:t>Cf.</w:t>
      </w:r>
      <w:r w:rsidRPr="000E696E">
        <w:rPr>
          <w:rFonts w:ascii="Verdana" w:hAnsi="Verdana"/>
          <w:sz w:val="16"/>
          <w:szCs w:val="16"/>
          <w:lang w:val="en-US"/>
        </w:rPr>
        <w:t xml:space="preserve"> ECHR, </w:t>
      </w:r>
      <w:r w:rsidRPr="000E696E">
        <w:rPr>
          <w:rFonts w:ascii="Verdana" w:hAnsi="Verdana"/>
          <w:i/>
          <w:sz w:val="16"/>
          <w:szCs w:val="16"/>
          <w:lang w:val="en-US"/>
        </w:rPr>
        <w:t>Case of Editions Plon v. France</w:t>
      </w:r>
      <w:r w:rsidRPr="000E696E">
        <w:rPr>
          <w:rFonts w:ascii="Verdana" w:hAnsi="Verdana"/>
          <w:sz w:val="16"/>
          <w:szCs w:val="16"/>
          <w:lang w:val="en-US"/>
        </w:rPr>
        <w:t xml:space="preserve">, Judgment of May 18, 2004, para. 42, and ECHR. </w:t>
      </w:r>
      <w:r w:rsidRPr="000E696E">
        <w:rPr>
          <w:rFonts w:ascii="Verdana" w:hAnsi="Verdana"/>
          <w:i/>
          <w:sz w:val="16"/>
          <w:szCs w:val="16"/>
          <w:lang w:val="en-US"/>
        </w:rPr>
        <w:t xml:space="preserve">Case of MGN Limited v. The United Kingdom. </w:t>
      </w:r>
      <w:r w:rsidRPr="000E696E">
        <w:rPr>
          <w:rFonts w:ascii="Verdana" w:hAnsi="Verdana"/>
          <w:iCs/>
          <w:sz w:val="16"/>
          <w:szCs w:val="16"/>
          <w:lang w:val="en-US"/>
        </w:rPr>
        <w:t>No. 39401/04. Judgment of January 18, 2011. para. 139.</w:t>
      </w:r>
    </w:p>
  </w:footnote>
  <w:footnote w:id="163">
    <w:p w14:paraId="1AE07A99" w14:textId="7634641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shd w:val="clear" w:color="auto" w:fill="FFFFFF"/>
        </w:rPr>
        <w:t xml:space="preserve">Cf. Case of “The Last Temptation of Christ” (Olmedo Bustos et al.) v. Chile, supra, </w:t>
      </w:r>
      <w:r w:rsidRPr="000E696E">
        <w:rPr>
          <w:shd w:val="clear" w:color="auto" w:fill="FFFFFF"/>
        </w:rPr>
        <w:t>para. 69 and</w:t>
      </w:r>
      <w:r w:rsidRPr="000E696E">
        <w:rPr>
          <w:i/>
          <w:iCs/>
          <w:shd w:val="clear" w:color="auto" w:fill="FFFFFF"/>
        </w:rPr>
        <w:t xml:space="preserve"> Case of López Lone et al. v. Honduras, supra,</w:t>
      </w:r>
      <w:r w:rsidRPr="000E696E">
        <w:rPr>
          <w:shd w:val="clear" w:color="auto" w:fill="FFFFFF"/>
        </w:rPr>
        <w:t xml:space="preserve"> para. 168.</w:t>
      </w:r>
    </w:p>
  </w:footnote>
  <w:footnote w:id="164">
    <w:p w14:paraId="30CC0BB6" w14:textId="7915583E"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 xml:space="preserve">Cf. </w:t>
      </w:r>
      <w:r w:rsidRPr="000E696E">
        <w:t>ECHR,</w:t>
      </w:r>
      <w:r w:rsidRPr="000E696E">
        <w:rPr>
          <w:i/>
          <w:iCs/>
        </w:rPr>
        <w:t xml:space="preserve"> Case of Fuentes Bobo v. Spain</w:t>
      </w:r>
      <w:r w:rsidRPr="000E696E">
        <w:t>, Judgment of February 29, 2000,</w:t>
      </w:r>
      <w:r w:rsidRPr="000E696E">
        <w:rPr>
          <w:i/>
          <w:iCs/>
        </w:rPr>
        <w:t xml:space="preserve"> supra</w:t>
      </w:r>
      <w:r w:rsidRPr="000E696E">
        <w:t xml:space="preserve">, para. 42 and ECHR. </w:t>
      </w:r>
      <w:r w:rsidRPr="000E696E">
        <w:rPr>
          <w:i/>
          <w:iCs/>
        </w:rPr>
        <w:t xml:space="preserve">Case of Palomo Sánchez and Others v. Spain </w:t>
      </w:r>
      <w:r w:rsidRPr="000E696E">
        <w:t>[GS], supra, para. 63.</w:t>
      </w:r>
    </w:p>
  </w:footnote>
  <w:footnote w:id="165">
    <w:p w14:paraId="66ACFA9A" w14:textId="3D4547E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ECHR</w:t>
      </w:r>
      <w:r w:rsidRPr="000E696E">
        <w:rPr>
          <w:i/>
        </w:rPr>
        <w:t>. Case of Heinisch v. Germany.</w:t>
      </w:r>
      <w:r w:rsidRPr="000E696E">
        <w:t xml:space="preserve"> No. 28274/08. Judgment of July 21, 2011, para. 91, and ECHR</w:t>
      </w:r>
      <w:r w:rsidRPr="000E696E">
        <w:rPr>
          <w:i/>
        </w:rPr>
        <w:t>. Case of Palomo Sánchez v. Spain [GS]</w:t>
      </w:r>
      <w:r w:rsidRPr="000E696E">
        <w:t xml:space="preserve">, </w:t>
      </w:r>
      <w:r w:rsidRPr="000E696E">
        <w:rPr>
          <w:i/>
        </w:rPr>
        <w:t>supra</w:t>
      </w:r>
      <w:r w:rsidRPr="000E696E">
        <w:t>, paras. 75 and 76; and Expert opinion of Damián Loreti (hearing transcript pp. 43 and 44).</w:t>
      </w:r>
    </w:p>
  </w:footnote>
  <w:footnote w:id="166">
    <w:p w14:paraId="7307B911" w14:textId="5293BDE9" w:rsidR="0068647C" w:rsidRPr="000E696E" w:rsidRDefault="0068647C" w:rsidP="00D61BD2">
      <w:pPr>
        <w:pStyle w:val="Textonotapie"/>
      </w:pPr>
      <w:r w:rsidRPr="000E696E">
        <w:rPr>
          <w:rStyle w:val="Refdenotaalpie"/>
          <w:sz w:val="16"/>
        </w:rPr>
        <w:footnoteRef/>
      </w:r>
      <w:r w:rsidRPr="000E696E">
        <w:t xml:space="preserve"> </w:t>
      </w:r>
      <w:r w:rsidRPr="000E696E">
        <w:tab/>
        <w:t xml:space="preserve">UN. ECOSOC. General Comment 18 affirms the obligation of States to assure individuals their right to work, including the right not to be deprived of work unfairly. See also: Committee on Economic, Social and Cultural Rights, General Comment 18, “The right to work,” E/C.12/GC/18. </w:t>
      </w:r>
    </w:p>
  </w:footnote>
  <w:footnote w:id="167">
    <w:p w14:paraId="28128DCD" w14:textId="3DBA227D"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ILO, Recommendation on Workers’ Representatives, 1971 (No. 143), Recommendation on protection and facilities that should be afforded to workers’ representatives. Fifty-sixth Session of the ILO General Conference; date adopted, June 23, 1971.</w:t>
      </w:r>
    </w:p>
    <w:p w14:paraId="6AD6B8A7" w14:textId="5ACEB0D7" w:rsidR="0068647C" w:rsidRPr="000E696E" w:rsidRDefault="0068647C" w:rsidP="00220883">
      <w:pPr>
        <w:spacing w:after="60"/>
        <w:jc w:val="both"/>
        <w:rPr>
          <w:rFonts w:eastAsia="Times New Roman"/>
          <w:lang w:val="en-US"/>
        </w:rPr>
      </w:pPr>
      <w:r w:rsidRPr="000E696E">
        <w:rPr>
          <w:rFonts w:ascii="Verdana" w:eastAsia="Times New Roman" w:hAnsi="Verdana"/>
          <w:sz w:val="16"/>
          <w:szCs w:val="16"/>
          <w:lang w:val="en-US"/>
        </w:rPr>
        <w:t>Paragraph 6. Where there are not sufficient relevant protective measures applicable to workers in general, specific measures should be taken in which a detailed and precise definition is given of the reasons justifying termination of employment; also, a consultation with, an advisory opinion from, or agreement of an independent body, public or private, or a joint body, before the dismissal of a worker becomes final; and a special recourse procedure open to workers' representatives who consider that their employment has been unjustifiably terminated.</w:t>
      </w:r>
    </w:p>
  </w:footnote>
  <w:footnote w:id="168">
    <w:p w14:paraId="79FDCBC1" w14:textId="4B784989"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sz w:val="16"/>
          <w:szCs w:val="16"/>
          <w:lang w:val="en-US" w:eastAsia="es-MX"/>
        </w:rPr>
        <w:t xml:space="preserve">Second Labor Court of Lima. Judgment 08-0891 of August 8, 1991 </w:t>
      </w:r>
      <w:r w:rsidRPr="000E696E">
        <w:rPr>
          <w:rFonts w:ascii="Verdana" w:hAnsi="Verdana"/>
          <w:sz w:val="16"/>
          <w:szCs w:val="16"/>
          <w:lang w:val="en-US"/>
        </w:rPr>
        <w:t xml:space="preserve">(evidence file, annex 12 to the Merits Report, ff. 47 and 48).  </w:t>
      </w:r>
    </w:p>
  </w:footnote>
  <w:footnote w:id="169">
    <w:p w14:paraId="3A5E1CDC" w14:textId="3C50C9E6"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According to Article 233 of the 1979 Peruvian Constitution, to ensure the proper administration of justice, it was required that, “in all the instances, a decision shall include a statement of reasons that expressly mentions the applicable law and the grounds for that decision.” Regarding the obligation to state the reasons, the Court has indicated that “it is one of the ‘due guarantees’ included in Article 8(1) to safeguard the right to due process.” “[…] It is a guarantee linked to the proper administration of justice […] that protects the right […] to be tried based on legal grounds in a democratic society.” “The decisions taken by domestic organs that may affect human rights must be duly substantiated because, to the contrary, they would be arbitrary decisions.” Nevertheless, it should be recalled that the obligation to state reasons does not require a detailed answer to every argument of the parties, but it may vary according to the nature of the decision, and must be determined in light of the circumstances of the case, so that “in each case, it is necessary to analyze whether this guarantee has been complied with.” </w:t>
      </w:r>
      <w:r w:rsidRPr="000E696E">
        <w:rPr>
          <w:i/>
        </w:rPr>
        <w:t>Cf.</w:t>
      </w:r>
      <w:r w:rsidRPr="000E696E">
        <w:t xml:space="preserve"> </w:t>
      </w:r>
      <w:r w:rsidRPr="000E696E">
        <w:rPr>
          <w:i/>
        </w:rPr>
        <w:t>Case of Apitz Barbera et al. (“First Court of Administrative Disputes”) v. Venezuela</w:t>
      </w:r>
      <w:r w:rsidRPr="000E696E">
        <w:t xml:space="preserve">. Preliminary objections, merits, reparations and costs. Judgment of August 5, 2008. </w:t>
      </w:r>
      <w:hyperlink r:id="rId5" w:tgtFrame="_blank" w:history="1">
        <w:r w:rsidRPr="000E696E">
          <w:t>Series C No. 182</w:t>
        </w:r>
      </w:hyperlink>
      <w:r w:rsidRPr="000E696E">
        <w:t xml:space="preserve">, para. 90; </w:t>
      </w:r>
      <w:r w:rsidRPr="000E696E">
        <w:rPr>
          <w:rStyle w:val="apple-converted-space"/>
          <w:i/>
        </w:rPr>
        <w:t>Case of Zegarra Marín v. Peru</w:t>
      </w:r>
      <w:r w:rsidRPr="000E696E">
        <w:rPr>
          <w:rStyle w:val="apple-converted-space"/>
        </w:rPr>
        <w:t>,</w:t>
      </w:r>
      <w:r w:rsidRPr="000E696E">
        <w:rPr>
          <w:rStyle w:val="apple-converted-space"/>
          <w:i/>
        </w:rPr>
        <w:t xml:space="preserve"> </w:t>
      </w:r>
      <w:r w:rsidRPr="000E696E">
        <w:rPr>
          <w:i/>
        </w:rPr>
        <w:t>supra,</w:t>
      </w:r>
      <w:r w:rsidRPr="000E696E">
        <w:t xml:space="preserve"> para. 178. </w:t>
      </w:r>
      <w:r w:rsidRPr="000E696E">
        <w:rPr>
          <w:i/>
        </w:rPr>
        <w:t xml:space="preserve">Cf. </w:t>
      </w:r>
      <w:r w:rsidRPr="000E696E">
        <w:t>ECHR</w:t>
      </w:r>
      <w:r w:rsidRPr="000E696E">
        <w:rPr>
          <w:i/>
        </w:rPr>
        <w:t xml:space="preserve"> Case of Hiro </w:t>
      </w:r>
      <w:r w:rsidRPr="000E696E">
        <w:rPr>
          <w:i/>
          <w:iCs/>
        </w:rPr>
        <w:t>Balani</w:t>
      </w:r>
      <w:r w:rsidRPr="000E696E">
        <w:rPr>
          <w:i/>
        </w:rPr>
        <w:t xml:space="preserve"> v. Spain. </w:t>
      </w:r>
      <w:r w:rsidRPr="000E696E">
        <w:t xml:space="preserve">No. 18064/91. Judgment of December 9, 1994. Para. 27; </w:t>
      </w:r>
      <w:r w:rsidRPr="000E696E">
        <w:rPr>
          <w:i/>
        </w:rPr>
        <w:t xml:space="preserve">Case of Ruiz Torija v. Spain. No. 18390/91. </w:t>
      </w:r>
      <w:r w:rsidRPr="000E696E">
        <w:t xml:space="preserve">Judgment of December 9, 1994, para. 29; </w:t>
      </w:r>
      <w:r w:rsidRPr="000E696E">
        <w:rPr>
          <w:i/>
        </w:rPr>
        <w:t>Case of Suominen v. Finland.</w:t>
      </w:r>
      <w:r w:rsidRPr="000E696E">
        <w:t xml:space="preserve"> No. 49684/99. Judgment of September 27, 2011, and </w:t>
      </w:r>
      <w:r w:rsidRPr="000E696E">
        <w:rPr>
          <w:i/>
        </w:rPr>
        <w:t>Case of Hirvisaari v. Finland No</w:t>
      </w:r>
      <w:r w:rsidRPr="000E696E">
        <w:t>. 49684/99. Judgment of September 27, 2011, para. 30.</w:t>
      </w:r>
    </w:p>
  </w:footnote>
  <w:footnote w:id="170">
    <w:p w14:paraId="0853A4B3" w14:textId="73A04FD6" w:rsidR="0068647C" w:rsidRPr="000E696E" w:rsidRDefault="0068647C" w:rsidP="00D61BD2">
      <w:pPr>
        <w:pStyle w:val="Textonotapie"/>
      </w:pPr>
      <w:r w:rsidRPr="000E696E">
        <w:rPr>
          <w:rStyle w:val="Refdenotaalpie"/>
          <w:sz w:val="16"/>
        </w:rPr>
        <w:footnoteRef/>
      </w:r>
      <w:r w:rsidRPr="000E696E">
        <w:t xml:space="preserve"> </w:t>
      </w:r>
      <w:r w:rsidRPr="000E696E">
        <w:tab/>
        <w:t>The italics and bold letters have been added.</w:t>
      </w:r>
    </w:p>
  </w:footnote>
  <w:footnote w:id="171">
    <w:p w14:paraId="428D96F2" w14:textId="1F966254" w:rsidR="0068647C" w:rsidRPr="000E696E" w:rsidRDefault="0068647C" w:rsidP="00D61BD2">
      <w:pPr>
        <w:pStyle w:val="Textonotapie"/>
      </w:pPr>
      <w:r w:rsidRPr="000E696E">
        <w:rPr>
          <w:rStyle w:val="Refdenotaalpie"/>
          <w:sz w:val="16"/>
        </w:rPr>
        <w:footnoteRef/>
      </w:r>
      <w:r w:rsidRPr="000E696E">
        <w:t xml:space="preserve"> </w:t>
      </w:r>
      <w:r w:rsidRPr="000E696E">
        <w:tab/>
        <w:t>Initial petition before the IACHR (evidence file, procedure before the IACHR, ff. 271, 436, 439, 510 and 558 to 561).</w:t>
      </w:r>
    </w:p>
  </w:footnote>
  <w:footnote w:id="172">
    <w:p w14:paraId="4DF8E2F6" w14:textId="04C4E2F9"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Brief of September 30, 1994, presented to the OAS Office in Peru (evidence file, procedure before the IACHR, ff. 516 and 594).</w:t>
      </w:r>
    </w:p>
  </w:footnote>
  <w:footnote w:id="173">
    <w:p w14:paraId="6027C597" w14:textId="47312356" w:rsidR="0068647C" w:rsidRPr="000E696E" w:rsidRDefault="0068647C" w:rsidP="00D61BD2">
      <w:pPr>
        <w:pStyle w:val="Textonotapie"/>
      </w:pPr>
      <w:r w:rsidRPr="000E696E">
        <w:rPr>
          <w:rStyle w:val="Refdenotaalpie"/>
          <w:sz w:val="16"/>
        </w:rPr>
        <w:footnoteRef/>
      </w:r>
      <w:r w:rsidRPr="000E696E">
        <w:t xml:space="preserve"> </w:t>
      </w:r>
      <w:r w:rsidRPr="000E696E">
        <w:tab/>
        <w:t>Brief of the FETIMP dated June 4, 1997 (evidence file, procedure before the IACHR, f. 525).</w:t>
      </w:r>
    </w:p>
  </w:footnote>
  <w:footnote w:id="174">
    <w:p w14:paraId="70D423F8" w14:textId="0122D4A7" w:rsidR="0068647C" w:rsidRPr="000E696E" w:rsidRDefault="0068647C" w:rsidP="00D61BD2">
      <w:pPr>
        <w:pStyle w:val="Textonotapie"/>
      </w:pPr>
      <w:r w:rsidRPr="000E696E">
        <w:rPr>
          <w:rStyle w:val="Refdenotaalpie"/>
          <w:sz w:val="16"/>
        </w:rPr>
        <w:footnoteRef/>
      </w:r>
      <w:r w:rsidRPr="000E696E">
        <w:t xml:space="preserve"> </w:t>
      </w:r>
      <w:r w:rsidRPr="000E696E">
        <w:tab/>
        <w:t>Petition lodged before the IACHR (evidence file, procedure before the IACHR, ff. 371 and 377).</w:t>
      </w:r>
    </w:p>
  </w:footnote>
  <w:footnote w:id="175">
    <w:p w14:paraId="1574D370" w14:textId="2B24FEF8" w:rsidR="0068647C" w:rsidRPr="000E696E" w:rsidRDefault="0068647C" w:rsidP="00D61BD2">
      <w:pPr>
        <w:pStyle w:val="Textonotapie"/>
      </w:pPr>
      <w:r w:rsidRPr="000E696E">
        <w:rPr>
          <w:rStyle w:val="Refdenotaalpie"/>
          <w:sz w:val="16"/>
        </w:rPr>
        <w:footnoteRef/>
      </w:r>
      <w:r w:rsidRPr="000E696E">
        <w:t xml:space="preserve"> </w:t>
      </w:r>
      <w:r w:rsidRPr="000E696E">
        <w:tab/>
        <w:t>IACHR brief of September 2, 1997 (evidence file, procedure before the IACHR, f. 182).</w:t>
      </w:r>
    </w:p>
  </w:footnote>
  <w:footnote w:id="176">
    <w:p w14:paraId="3DE02A35" w14:textId="14574514" w:rsidR="0068647C" w:rsidRPr="000E696E" w:rsidRDefault="0068647C" w:rsidP="00D61BD2">
      <w:pPr>
        <w:pStyle w:val="Textonotapie"/>
      </w:pPr>
      <w:r w:rsidRPr="000E696E">
        <w:rPr>
          <w:rStyle w:val="Refdenotaalpie"/>
          <w:sz w:val="16"/>
        </w:rPr>
        <w:footnoteRef/>
      </w:r>
      <w:r w:rsidRPr="000E696E">
        <w:t xml:space="preserve"> </w:t>
      </w:r>
      <w:r w:rsidRPr="000E696E">
        <w:tab/>
        <w:t>Petition updated and formalized addressed to the Inter-American Commission on July 22, 1998 (evidence file, procedure before the IACHR, ff. 186, 192, 426, 432, 451 and 457).</w:t>
      </w:r>
    </w:p>
  </w:footnote>
  <w:footnote w:id="177">
    <w:p w14:paraId="5BC007C6" w14:textId="71A7EB84" w:rsidR="0068647C" w:rsidRPr="000E696E" w:rsidRDefault="0068647C" w:rsidP="00D61BD2">
      <w:pPr>
        <w:pStyle w:val="Textonotapie"/>
      </w:pPr>
      <w:r w:rsidRPr="000E696E">
        <w:rPr>
          <w:rStyle w:val="Refdenotaalpie"/>
          <w:sz w:val="16"/>
        </w:rPr>
        <w:footnoteRef/>
      </w:r>
      <w:r w:rsidRPr="000E696E">
        <w:t xml:space="preserve"> </w:t>
      </w:r>
      <w:r w:rsidRPr="000E696E">
        <w:tab/>
        <w:t>Brief submitted to the IACHR of January 21, 2002 (evidence file, procedure before the IACHR, f. 380).</w:t>
      </w:r>
    </w:p>
  </w:footnote>
  <w:footnote w:id="178">
    <w:p w14:paraId="70F70C92" w14:textId="5ADFFF49" w:rsidR="0068647C" w:rsidRPr="000E696E" w:rsidRDefault="0068647C" w:rsidP="00D61BD2">
      <w:pPr>
        <w:pStyle w:val="Textonotapie"/>
      </w:pPr>
      <w:r w:rsidRPr="000E696E">
        <w:rPr>
          <w:rStyle w:val="Refdenotaalpie"/>
          <w:sz w:val="16"/>
        </w:rPr>
        <w:footnoteRef/>
      </w:r>
      <w:r w:rsidRPr="000E696E">
        <w:t xml:space="preserve"> </w:t>
      </w:r>
      <w:r w:rsidRPr="000E696E">
        <w:tab/>
        <w:t xml:space="preserve">Brief submitted to the IACHR of February 20, 2003 (evidence file, procedure before the IACHR, ff. 272 and 296). </w:t>
      </w:r>
    </w:p>
  </w:footnote>
  <w:footnote w:id="179">
    <w:p w14:paraId="50AA2E7B" w14:textId="65937D79" w:rsidR="0068647C" w:rsidRPr="000E696E" w:rsidRDefault="0068647C" w:rsidP="00D61BD2">
      <w:pPr>
        <w:pStyle w:val="Textonotapie"/>
      </w:pPr>
      <w:r w:rsidRPr="000E696E">
        <w:rPr>
          <w:rStyle w:val="Refdenotaalpie"/>
          <w:rFonts w:eastAsia="Calibri"/>
          <w:sz w:val="16"/>
        </w:rPr>
        <w:footnoteRef/>
      </w:r>
      <w:r w:rsidRPr="000E696E">
        <w:t xml:space="preserve"> </w:t>
      </w:r>
      <w:r w:rsidRPr="000E696E">
        <w:tab/>
        <w:t xml:space="preserve">Report No. </w:t>
      </w:r>
      <w:r w:rsidRPr="000E696E">
        <w:rPr>
          <w:bCs/>
        </w:rPr>
        <w:t xml:space="preserve">21-2003-JUS/CNDH-SE of the Executive Secretariat of the National Human Rights Council of </w:t>
      </w:r>
      <w:r w:rsidRPr="000E696E">
        <w:t>Peru of March 7, 2003 (evidence file, procedure before the IACHR, f. 224) and Report No. 57-2007-JUS/CNDH/SE/CESAPI of the Special Committee for Monitoring International Proceedings of May 15, 2007 (evidence file, procedure before the IACHR, f. 947).</w:t>
      </w:r>
    </w:p>
  </w:footnote>
  <w:footnote w:id="180">
    <w:p w14:paraId="2BC5FEAD" w14:textId="4E8CE4E7" w:rsidR="0068647C" w:rsidRPr="000E696E" w:rsidRDefault="0068647C" w:rsidP="00D61BD2">
      <w:pPr>
        <w:pStyle w:val="Textonotapie"/>
      </w:pPr>
      <w:r w:rsidRPr="000E696E">
        <w:rPr>
          <w:rStyle w:val="Refdenotaalpie"/>
          <w:sz w:val="16"/>
        </w:rPr>
        <w:footnoteRef/>
      </w:r>
      <w:r w:rsidRPr="000E696E">
        <w:t xml:space="preserve"> </w:t>
      </w:r>
      <w:r w:rsidRPr="000E696E">
        <w:tab/>
        <w:t>Communication of the IACHR of November 12, 2010 (evidence file, procedure before the IACHR, f. 773).</w:t>
      </w:r>
    </w:p>
  </w:footnote>
  <w:footnote w:id="181">
    <w:p w14:paraId="65C7EC17" w14:textId="7A82A96A" w:rsidR="0068647C" w:rsidRPr="000E696E" w:rsidRDefault="0068647C" w:rsidP="00D61BD2">
      <w:pPr>
        <w:pStyle w:val="Textonotapie"/>
      </w:pPr>
      <w:r w:rsidRPr="000E696E">
        <w:rPr>
          <w:rStyle w:val="Refdenotaalpie"/>
          <w:sz w:val="16"/>
        </w:rPr>
        <w:footnoteRef/>
      </w:r>
      <w:r w:rsidRPr="000E696E">
        <w:t xml:space="preserve"> </w:t>
      </w:r>
      <w:r w:rsidRPr="000E696E">
        <w:tab/>
        <w:t>Admissibility Report No. 152/10 adopted on November 1, 2010 (evidence file, procedure before the IACHR, ff. 776 and 784).</w:t>
      </w:r>
    </w:p>
  </w:footnote>
  <w:footnote w:id="182">
    <w:p w14:paraId="41B925DE" w14:textId="0BEE70A7" w:rsidR="0068647C" w:rsidRPr="000E696E" w:rsidRDefault="0068647C" w:rsidP="00D61BD2">
      <w:pPr>
        <w:pStyle w:val="Textonotapie"/>
      </w:pPr>
      <w:r w:rsidRPr="000E696E">
        <w:rPr>
          <w:rStyle w:val="Refdenotaalpie"/>
          <w:sz w:val="16"/>
        </w:rPr>
        <w:footnoteRef/>
      </w:r>
      <w:r w:rsidRPr="000E696E">
        <w:t xml:space="preserve"> </w:t>
      </w:r>
      <w:r w:rsidRPr="000E696E">
        <w:tab/>
        <w:t>Brief of APRODEH on behalf of Mr. Lagos del Campo of March 16, 2011 (evidence file, procedure before the IACHR, f. 703).</w:t>
      </w:r>
    </w:p>
  </w:footnote>
  <w:footnote w:id="183">
    <w:p w14:paraId="76EE849F" w14:textId="6D3FA7C1" w:rsidR="0068647C" w:rsidRPr="000E696E" w:rsidRDefault="0068647C" w:rsidP="00D61BD2">
      <w:pPr>
        <w:pStyle w:val="Textonotapie"/>
      </w:pPr>
      <w:r w:rsidRPr="000E696E">
        <w:rPr>
          <w:rStyle w:val="Refdenotaalpie"/>
          <w:sz w:val="16"/>
        </w:rPr>
        <w:footnoteRef/>
      </w:r>
      <w:r w:rsidRPr="000E696E">
        <w:t xml:space="preserve"> </w:t>
      </w:r>
      <w:r w:rsidRPr="000E696E">
        <w:tab/>
        <w:t>His complaint before the Labor Court reveals the labor dispute. In his petition, he indicated that “since the unfair and unjustified nature of the dismissal is well-known […], [he] ask[ed] the court […] to order the suspension of the dismissal and [his] reinstatement in [his] usual job” (evidence file, procedure before the IACHR, f. 27).</w:t>
      </w:r>
    </w:p>
  </w:footnote>
  <w:footnote w:id="184">
    <w:p w14:paraId="3762B2D6" w14:textId="1EF9D70E" w:rsidR="0068647C" w:rsidRPr="000E696E" w:rsidRDefault="0068647C" w:rsidP="00D61BD2">
      <w:pPr>
        <w:pStyle w:val="Textonotapie"/>
      </w:pPr>
      <w:r w:rsidRPr="000E696E">
        <w:rPr>
          <w:rStyle w:val="Refdenotaalpie"/>
          <w:sz w:val="16"/>
        </w:rPr>
        <w:footnoteRef/>
      </w:r>
      <w:r w:rsidRPr="000E696E">
        <w:t xml:space="preserve"> </w:t>
      </w:r>
      <w:r w:rsidRPr="000E696E">
        <w:tab/>
        <w:t>In particular, the Court underlines that, in his first communication addressed to the Inter-American Commission on October 13, 1993, the petitioner stated, among other matters, that his “right to job security indicated in article 48 of the Constitution and articles 27 and 26 of the proposed new constitution” had been violated. Initial petition lodged before the IACHR (evidence file, procedure before the IACHR, f. 439).</w:t>
      </w:r>
    </w:p>
  </w:footnote>
  <w:footnote w:id="185">
    <w:p w14:paraId="607384F2" w14:textId="750EB5ED" w:rsidR="0068647C" w:rsidRPr="000E696E" w:rsidRDefault="0068647C" w:rsidP="00D61BD2">
      <w:pPr>
        <w:pStyle w:val="Textonotapie"/>
      </w:pPr>
      <w:r w:rsidRPr="000E696E">
        <w:rPr>
          <w:rStyle w:val="Refdenotaalpie"/>
          <w:color w:val="000000"/>
          <w:sz w:val="16"/>
        </w:rPr>
        <w:footnoteRef/>
      </w:r>
      <w:r w:rsidRPr="000E696E">
        <w:tab/>
      </w:r>
      <w:r w:rsidRPr="000E696E">
        <w:rPr>
          <w:i/>
          <w:iCs/>
        </w:rPr>
        <w:t xml:space="preserve">Cf. </w:t>
      </w:r>
      <w:r w:rsidRPr="000E696E">
        <w:rPr>
          <w:bCs/>
          <w:i/>
          <w:iCs/>
        </w:rPr>
        <w:t>Case of Godínez Cruz v. Honduras.</w:t>
      </w:r>
      <w:r w:rsidRPr="000E696E">
        <w:rPr>
          <w:b/>
          <w:bCs/>
          <w:i/>
          <w:iCs/>
        </w:rPr>
        <w:t xml:space="preserve"> </w:t>
      </w:r>
      <w:r w:rsidRPr="000E696E">
        <w:rPr>
          <w:i/>
          <w:iCs/>
        </w:rPr>
        <w:t>Merits.</w:t>
      </w:r>
      <w:r w:rsidRPr="000E696E">
        <w:rPr>
          <w:u w:val="single"/>
        </w:rPr>
        <w:t xml:space="preserve"> </w:t>
      </w:r>
      <w:r w:rsidRPr="000E696E">
        <w:t xml:space="preserve">Judgment of January 20, 1989. Series C No. 5, para. 172, and </w:t>
      </w:r>
      <w:r w:rsidRPr="000E696E">
        <w:rPr>
          <w:bCs/>
          <w:i/>
          <w:iCs/>
        </w:rPr>
        <w:t xml:space="preserve">Case of the Sawhoyamaxa </w:t>
      </w:r>
      <w:r w:rsidRPr="000E696E">
        <w:rPr>
          <w:i/>
          <w:iCs/>
        </w:rPr>
        <w:t>Indigenous Community</w:t>
      </w:r>
      <w:r w:rsidRPr="000E696E">
        <w:rPr>
          <w:bCs/>
          <w:i/>
          <w:iCs/>
        </w:rPr>
        <w:t xml:space="preserve"> v. Paraguay. </w:t>
      </w:r>
      <w:r w:rsidRPr="000E696E">
        <w:rPr>
          <w:i/>
          <w:iCs/>
        </w:rPr>
        <w:t>Merits, reparations and costs.</w:t>
      </w:r>
      <w:r w:rsidRPr="000E696E">
        <w:t xml:space="preserve"> Judgment of March 29, 2006. Series C No. 146, para. 186.</w:t>
      </w:r>
    </w:p>
  </w:footnote>
  <w:footnote w:id="186">
    <w:p w14:paraId="4AC02383" w14:textId="55D4F652" w:rsidR="0068647C" w:rsidRPr="000E696E" w:rsidRDefault="0068647C" w:rsidP="00595D0B">
      <w:pPr>
        <w:widowControl w:val="0"/>
        <w:tabs>
          <w:tab w:val="left" w:pos="720"/>
        </w:tabs>
        <w:autoSpaceDE w:val="0"/>
        <w:autoSpaceDN w:val="0"/>
        <w:adjustRightInd w:val="0"/>
        <w:spacing w:after="60"/>
        <w:ind w:right="4"/>
        <w:jc w:val="both"/>
        <w:rPr>
          <w:rFonts w:ascii="Verdana" w:hAnsi="Verdana" w:cs="Times"/>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Congress of the Republic of Peru. Constitution of Peru of July 12, 1979. </w:t>
      </w:r>
      <w:r w:rsidRPr="000E696E">
        <w:rPr>
          <w:rFonts w:ascii="Verdana" w:hAnsi="Verdana"/>
          <w:bCs/>
          <w:sz w:val="16"/>
          <w:szCs w:val="16"/>
          <w:shd w:val="clear" w:color="auto" w:fill="FFFFFF"/>
          <w:lang w:val="en-US"/>
        </w:rPr>
        <w:t xml:space="preserve">Article 48: </w:t>
      </w:r>
      <w:r w:rsidRPr="000E696E">
        <w:rPr>
          <w:rFonts w:ascii="Verdana" w:hAnsi="Verdana"/>
          <w:bCs/>
          <w:color w:val="191970"/>
          <w:sz w:val="16"/>
          <w:szCs w:val="16"/>
          <w:shd w:val="clear" w:color="auto" w:fill="FFFFFF"/>
          <w:lang w:val="en-US"/>
        </w:rPr>
        <w:t>“</w:t>
      </w:r>
      <w:r w:rsidRPr="000E696E">
        <w:rPr>
          <w:rFonts w:ascii="Verdana" w:hAnsi="Verdana"/>
          <w:bCs/>
          <w:color w:val="191970"/>
          <w:sz w:val="16"/>
          <w:szCs w:val="16"/>
          <w:shd w:val="clear" w:color="auto" w:fill="FFFFFF"/>
          <w:lang w:val="en-US"/>
        </w:rPr>
        <w:softHyphen/>
      </w:r>
      <w:r w:rsidRPr="000E696E">
        <w:rPr>
          <w:rFonts w:ascii="Verdana" w:hAnsi="Verdana"/>
          <w:color w:val="000000"/>
          <w:sz w:val="16"/>
          <w:szCs w:val="16"/>
          <w:shd w:val="clear" w:color="auto" w:fill="FFFFFF"/>
          <w:lang w:val="en-US"/>
        </w:rPr>
        <w:t>The State recognizes the right to job security. […]”;</w:t>
      </w:r>
      <w:r w:rsidRPr="000E696E">
        <w:rPr>
          <w:rFonts w:ascii="Verdana" w:hAnsi="Verdana" w:cs="Times"/>
          <w:sz w:val="16"/>
          <w:szCs w:val="16"/>
          <w:lang w:val="en-US"/>
        </w:rPr>
        <w:t xml:space="preserve"> </w:t>
      </w:r>
      <w:r w:rsidRPr="000E696E">
        <w:rPr>
          <w:rFonts w:ascii="Verdana" w:hAnsi="Verdana"/>
          <w:sz w:val="16"/>
          <w:szCs w:val="16"/>
          <w:lang w:val="en-US" w:eastAsia="es-MX"/>
        </w:rPr>
        <w:t xml:space="preserve">Congress of the Republic of Peru. Constitution of Peru of December 29, 1993. </w:t>
      </w:r>
      <w:r w:rsidRPr="000E696E">
        <w:rPr>
          <w:rFonts w:ascii="Verdana" w:hAnsi="Verdana" w:cs="Arial"/>
          <w:bCs/>
          <w:color w:val="000000"/>
          <w:sz w:val="16"/>
          <w:szCs w:val="16"/>
          <w:lang w:val="en-US"/>
        </w:rPr>
        <w:t>Article 22</w:t>
      </w:r>
      <w:r w:rsidRPr="000E696E">
        <w:rPr>
          <w:rFonts w:ascii="Verdana" w:hAnsi="Verdana" w:cs="Arial"/>
          <w:color w:val="000000"/>
          <w:sz w:val="16"/>
          <w:szCs w:val="16"/>
          <w:lang w:val="en-US"/>
        </w:rPr>
        <w:t>: “Work is a duty and a right. It is the basis of social well-being and a means for self-realization” and in article</w:t>
      </w:r>
      <w:r w:rsidRPr="000E696E">
        <w:rPr>
          <w:rFonts w:ascii="Verdana" w:hAnsi="Verdana" w:cs="Arial"/>
          <w:bCs/>
          <w:sz w:val="16"/>
          <w:szCs w:val="16"/>
          <w:lang w:val="en-US"/>
        </w:rPr>
        <w:t xml:space="preserve"> 27</w:t>
      </w:r>
      <w:r w:rsidRPr="000E696E">
        <w:rPr>
          <w:rFonts w:ascii="Verdana" w:hAnsi="Verdana" w:cs="Arial"/>
          <w:sz w:val="16"/>
          <w:szCs w:val="16"/>
          <w:lang w:val="en-US"/>
        </w:rPr>
        <w:t xml:space="preserve">: “[t]he law accords the worker adequate protection against arbitrary dismissal,” and </w:t>
      </w:r>
      <w:r w:rsidRPr="000E696E">
        <w:rPr>
          <w:rFonts w:ascii="Verdana" w:hAnsi="Verdana"/>
          <w:sz w:val="16"/>
          <w:szCs w:val="16"/>
          <w:lang w:val="en-US" w:eastAsia="es-MX"/>
        </w:rPr>
        <w:t>Congress of the Republic of Peru</w:t>
      </w:r>
      <w:r w:rsidRPr="000E696E">
        <w:rPr>
          <w:rFonts w:ascii="Verdana" w:hAnsi="Verdana" w:cs="Arial Narrow"/>
          <w:sz w:val="16"/>
          <w:szCs w:val="16"/>
          <w:lang w:val="en-US" w:eastAsia="es-MX"/>
        </w:rPr>
        <w:t>. Law No. 24514. Article 2: “This law protects workers in the private sector or in public companies subject to the private sector regime […].”</w:t>
      </w:r>
    </w:p>
  </w:footnote>
  <w:footnote w:id="187">
    <w:p w14:paraId="42F7B620" w14:textId="1AA7A390"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r>
      <w:r w:rsidRPr="000E696E">
        <w:rPr>
          <w:i/>
        </w:rPr>
        <w:t>Cf.</w:t>
      </w:r>
      <w:r w:rsidRPr="000E696E">
        <w:t xml:space="preserve"> PCIJ, </w:t>
      </w:r>
      <w:r w:rsidRPr="000E696E">
        <w:rPr>
          <w:i/>
          <w:iCs/>
        </w:rPr>
        <w:t>Case of the S.S. Lotus (France v. Turkey).</w:t>
      </w:r>
      <w:r w:rsidRPr="000E696E">
        <w:t xml:space="preserve"> Judgment No. 9, September 7, 1927. Series A; PCIJ,</w:t>
      </w:r>
      <w:r w:rsidRPr="000E696E">
        <w:rPr>
          <w:i/>
          <w:iCs/>
        </w:rPr>
        <w:t xml:space="preserve"> Case relating to the Territorial Jurisdiction of the International Commission of the River Oder (United Kingdom, Czechoslovakia, Denmark, France, Germany, Sweden v. Poland).</w:t>
      </w:r>
      <w:r w:rsidRPr="000E696E">
        <w:t xml:space="preserve"> Judgment No. 23, September 10, 1929. Series A; PCIJ, </w:t>
      </w:r>
      <w:r w:rsidRPr="000E696E">
        <w:rPr>
          <w:i/>
          <w:iCs/>
        </w:rPr>
        <w:t>Case of the Free Zones of Upper Savor and the District of Gex (France v. Switzerland).</w:t>
      </w:r>
      <w:r w:rsidRPr="000E696E">
        <w:t xml:space="preserve"> Judgment No. 46, June 7, 1932. Series A/B; ECHR, </w:t>
      </w:r>
      <w:r w:rsidRPr="000E696E">
        <w:rPr>
          <w:i/>
          <w:iCs/>
        </w:rPr>
        <w:t>Case of Guerra and Others v. Italy.</w:t>
      </w:r>
      <w:r w:rsidRPr="000E696E">
        <w:rPr>
          <w:bCs/>
        </w:rPr>
        <w:t xml:space="preserve"> No. 14967/89. Judgment of February 19, 1998, para. 45. See also: ECHR, </w:t>
      </w:r>
      <w:r w:rsidRPr="000E696E">
        <w:rPr>
          <w:i/>
          <w:iCs/>
        </w:rPr>
        <w:t>Case of Handyside v. The United Kingdom</w:t>
      </w:r>
      <w:r w:rsidRPr="000E696E">
        <w:rPr>
          <w:bCs/>
          <w:i/>
          <w:iCs/>
        </w:rPr>
        <w:t>.</w:t>
      </w:r>
      <w:r w:rsidRPr="000E696E">
        <w:rPr>
          <w:bCs/>
        </w:rPr>
        <w:t xml:space="preserve"> No. 5493/72. Judgment of December 7, 1976, para. 41, and </w:t>
      </w:r>
      <w:r w:rsidRPr="000E696E">
        <w:t xml:space="preserve">ECHR, </w:t>
      </w:r>
      <w:r w:rsidRPr="000E696E">
        <w:rPr>
          <w:i/>
          <w:iCs/>
        </w:rPr>
        <w:t>Case of Philis v. Greece</w:t>
      </w:r>
      <w:r w:rsidRPr="000E696E">
        <w:t>.</w:t>
      </w:r>
      <w:r w:rsidRPr="000E696E">
        <w:rPr>
          <w:bCs/>
        </w:rPr>
        <w:t xml:space="preserve"> </w:t>
      </w:r>
      <w:r w:rsidRPr="004204B2">
        <w:rPr>
          <w:bCs/>
          <w:lang w:val="es-CR"/>
        </w:rPr>
        <w:t xml:space="preserve">Nos. </w:t>
      </w:r>
      <w:r w:rsidRPr="004204B2">
        <w:rPr>
          <w:lang w:val="es-CR"/>
        </w:rPr>
        <w:t>12750/87, 13780/88 and 14003/88</w:t>
      </w:r>
      <w:r w:rsidRPr="004204B2">
        <w:rPr>
          <w:bCs/>
          <w:lang w:val="es-CR"/>
        </w:rPr>
        <w:t xml:space="preserve">. </w:t>
      </w:r>
      <w:r w:rsidRPr="004204B2">
        <w:rPr>
          <w:bCs/>
          <w:lang w:val="es-CR"/>
        </w:rPr>
        <w:t>Judgment of August 27, 1991, para. 56.</w:t>
      </w:r>
    </w:p>
  </w:footnote>
  <w:footnote w:id="188">
    <w:p w14:paraId="3005B222" w14:textId="5F82CA7D" w:rsidR="0068647C" w:rsidRPr="000E696E" w:rsidRDefault="0068647C" w:rsidP="00D61BD2">
      <w:pPr>
        <w:pStyle w:val="Textonotapie"/>
      </w:pPr>
      <w:r w:rsidRPr="000E696E">
        <w:rPr>
          <w:rStyle w:val="Refdenotaalpie"/>
          <w:color w:val="000000"/>
          <w:sz w:val="16"/>
        </w:rPr>
        <w:footnoteRef/>
      </w:r>
      <w:r w:rsidRPr="004204B2">
        <w:rPr>
          <w:lang w:val="es-CR"/>
        </w:rPr>
        <w:tab/>
      </w:r>
      <w:r w:rsidRPr="004204B2">
        <w:rPr>
          <w:i/>
          <w:iCs/>
          <w:lang w:val="es-CR"/>
        </w:rPr>
        <w:t xml:space="preserve">Cf. Inter </w:t>
      </w:r>
      <w:r w:rsidRPr="004204B2">
        <w:rPr>
          <w:i/>
          <w:iCs/>
          <w:lang w:val="es-CR"/>
        </w:rPr>
        <w:t>alia, Case of Velásquez Rodríguez v. Honduras. Merits, supra, para. 163, and Case of Acosta et al. v. Nicaragua, supra,</w:t>
      </w:r>
      <w:r w:rsidRPr="004204B2">
        <w:rPr>
          <w:lang w:val="es-CR"/>
        </w:rPr>
        <w:t xml:space="preserve"> para. </w:t>
      </w:r>
      <w:r w:rsidRPr="000E696E">
        <w:t>189.</w:t>
      </w:r>
    </w:p>
  </w:footnote>
  <w:footnote w:id="189">
    <w:p w14:paraId="0A53B611" w14:textId="501BDE6E" w:rsidR="0068647C" w:rsidRPr="000E696E" w:rsidRDefault="0068647C" w:rsidP="00850750">
      <w:pPr>
        <w:tabs>
          <w:tab w:val="left" w:pos="540"/>
        </w:tabs>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In this regard, Article 29(b) and (d) of the Convention establish that: “[n]</w:t>
      </w:r>
      <w:r w:rsidRPr="000E696E">
        <w:rPr>
          <w:rFonts w:ascii="Verdana" w:hAnsi="Verdana"/>
          <w:spacing w:val="-3"/>
          <w:sz w:val="16"/>
          <w:szCs w:val="16"/>
          <w:lang w:val="en-US"/>
        </w:rPr>
        <w:t>o provision of this Convention shall be interpreted as</w:t>
      </w:r>
      <w:r w:rsidRPr="000E696E">
        <w:rPr>
          <w:rFonts w:ascii="Verdana" w:hAnsi="Verdana"/>
          <w:sz w:val="16"/>
          <w:szCs w:val="16"/>
          <w:lang w:val="en-US"/>
        </w:rPr>
        <w:t xml:space="preserve">: […] b) </w:t>
      </w:r>
      <w:r w:rsidRPr="000E696E">
        <w:rPr>
          <w:rFonts w:ascii="Verdana" w:hAnsi="Verdana"/>
          <w:spacing w:val="-3"/>
          <w:sz w:val="16"/>
          <w:szCs w:val="16"/>
          <w:lang w:val="en-US"/>
        </w:rPr>
        <w:t>restricting the enjoyment or exercise of any right or freedom recognized by virtue of the laws of any State Party or by virtue of another convention to which one of the said states is a party</w:t>
      </w:r>
      <w:r w:rsidRPr="000E696E">
        <w:rPr>
          <w:rFonts w:ascii="Verdana" w:hAnsi="Verdana"/>
          <w:sz w:val="16"/>
          <w:szCs w:val="16"/>
          <w:lang w:val="en-US"/>
        </w:rPr>
        <w:t xml:space="preserve">; […] d) </w:t>
      </w:r>
      <w:r w:rsidRPr="000E696E">
        <w:rPr>
          <w:rFonts w:ascii="Verdana" w:hAnsi="Verdana"/>
          <w:spacing w:val="-3"/>
          <w:sz w:val="16"/>
          <w:szCs w:val="16"/>
          <w:lang w:val="en-US"/>
        </w:rPr>
        <w:t>excluding or limiting the effect that the American Declaration of the Rights and Duties of Man and other international acts of the same nature may have.</w:t>
      </w:r>
      <w:r w:rsidRPr="000E696E">
        <w:rPr>
          <w:rFonts w:ascii="Verdana" w:hAnsi="Verdana"/>
          <w:sz w:val="16"/>
          <w:szCs w:val="16"/>
          <w:lang w:val="en-US"/>
        </w:rPr>
        <w:t>” Thus, pursuant to the said Article 29, labor rights, such as the right to job security recognized in the 1979 and 1993 Constitutions of Peru, should incorporate, for the purposes of this case, the interpretation and scope of the right protected in Article 26 of the American Convention.</w:t>
      </w:r>
      <w:r w:rsidRPr="000E696E">
        <w:rPr>
          <w:rFonts w:ascii="Verdana" w:hAnsi="Verdana"/>
          <w:i/>
          <w:sz w:val="16"/>
          <w:szCs w:val="16"/>
          <w:lang w:val="en-US"/>
        </w:rPr>
        <w:t xml:space="preserve"> Cf.</w:t>
      </w:r>
      <w:r w:rsidRPr="000E696E">
        <w:rPr>
          <w:rFonts w:ascii="Verdana" w:hAnsi="Verdana"/>
          <w:sz w:val="16"/>
          <w:szCs w:val="16"/>
          <w:lang w:val="en-US"/>
        </w:rPr>
        <w:t xml:space="preserve"> </w:t>
      </w:r>
      <w:r w:rsidRPr="000E696E">
        <w:rPr>
          <w:rFonts w:ascii="Verdana" w:hAnsi="Verdana"/>
          <w:i/>
          <w:iCs/>
          <w:sz w:val="16"/>
          <w:szCs w:val="16"/>
          <w:lang w:val="en-US"/>
        </w:rPr>
        <w:t>Compulsory Membership of an Association Prescribed by Law for the Practice of Journalism. Advisory Opinion OC-5/85 of November 13, 1985</w:t>
      </w:r>
      <w:r w:rsidRPr="000E696E">
        <w:rPr>
          <w:rFonts w:ascii="Verdana" w:hAnsi="Verdana"/>
          <w:sz w:val="16"/>
          <w:szCs w:val="16"/>
          <w:lang w:val="en-US"/>
        </w:rPr>
        <w:t>, Series A No. 5, para. 44.</w:t>
      </w:r>
    </w:p>
  </w:footnote>
  <w:footnote w:id="190">
    <w:p w14:paraId="7D0C1CB3" w14:textId="4AD97B58" w:rsidR="0068647C" w:rsidRPr="000E696E" w:rsidRDefault="0068647C" w:rsidP="00D61BD2">
      <w:pPr>
        <w:pStyle w:val="Textonotapie"/>
      </w:pPr>
      <w:r w:rsidRPr="000E696E">
        <w:rPr>
          <w:rStyle w:val="Refdenotaalpie"/>
          <w:color w:val="000000"/>
          <w:sz w:val="16"/>
        </w:rPr>
        <w:footnoteRef/>
      </w:r>
      <w:r w:rsidRPr="000E696E">
        <w:t xml:space="preserve"> </w:t>
      </w:r>
      <w:r w:rsidRPr="000E696E">
        <w:tab/>
      </w:r>
      <w:r w:rsidRPr="000E696E">
        <w:rPr>
          <w:i/>
          <w:iCs/>
        </w:rPr>
        <w:t>Cf. Case of Acevedo Buendía et al. (“Discharged and Retired Employees of the Office of the Comptroller”) v. Peru. Preliminary objections, merits, reparations and costs.</w:t>
      </w:r>
      <w:r w:rsidRPr="000E696E">
        <w:t xml:space="preserve"> Judgment of July 1, 2009 Series C No. 198, para. 101; Case of Suárez Peralta v. Ecuador. Preliminary objections, merits, reparations and costs. Judgment of May 21, 2013. Series C No. 261, para. 131, and </w:t>
      </w:r>
      <w:r w:rsidRPr="000E696E">
        <w:rPr>
          <w:i/>
          <w:iCs/>
        </w:rPr>
        <w:t>Case of Gonzales Lluy et al. v. Ecuador. Preliminary objections, merits, reparations and costs.</w:t>
      </w:r>
      <w:r w:rsidRPr="000E696E">
        <w:t xml:space="preserve"> Judgment of September 1, 2015. Series C No. 298, para. 172, and Preamble to the American Convention. Similarly: </w:t>
      </w:r>
      <w:r w:rsidRPr="000E696E">
        <w:rPr>
          <w:i/>
        </w:rPr>
        <w:t>Cf.</w:t>
      </w:r>
      <w:r w:rsidRPr="000E696E">
        <w:t xml:space="preserve"> UN. Committee on Economic, Social and Cultural Rights, General Comment No. 9, E/C.12/1998/24, December 3, 1998, para. 10. See also: ECHR, </w:t>
      </w:r>
      <w:r w:rsidRPr="000E696E">
        <w:rPr>
          <w:i/>
          <w:iCs/>
        </w:rPr>
        <w:t>Case of Airey v. Ireland,</w:t>
      </w:r>
      <w:r w:rsidRPr="000E696E">
        <w:t xml:space="preserve"> No. 6289/73. Judgment of October 9, 1979, para. 26, and </w:t>
      </w:r>
      <w:r w:rsidRPr="000E696E">
        <w:rPr>
          <w:i/>
          <w:iCs/>
        </w:rPr>
        <w:t xml:space="preserve">Case of Sidabras and Dziautas v. Lithuania, </w:t>
      </w:r>
      <w:r w:rsidRPr="000E696E">
        <w:t xml:space="preserve">Nos. 55480/00 and 59330/00. Judgment of July 27, 2004, para. 47. In the </w:t>
      </w:r>
      <w:r w:rsidRPr="000E696E">
        <w:rPr>
          <w:i/>
          <w:iCs/>
        </w:rPr>
        <w:t>Case of Airey v. Ireland</w:t>
      </w:r>
      <w:r w:rsidRPr="000E696E">
        <w:t>, the European Court indicated that “[w]</w:t>
      </w:r>
      <w:r w:rsidRPr="000E696E">
        <w:rPr>
          <w:rStyle w:val="sb8d990e2"/>
        </w:rPr>
        <w:t>hilst the Convention sets forth what are essentially civil and political rights, many of them have implications of a social or economic nature. The Court therefore considers, like the Commission, that the mere fact that an interpretation of the Convention may extend into the sphere of social and economic rights should not be a decisive factor against such an interpretation; there is no water-tight division separating that sphere from the field covered by the Convention.</w:t>
      </w:r>
      <w:r w:rsidRPr="000E696E">
        <w:t xml:space="preserve">”  </w:t>
      </w:r>
    </w:p>
  </w:footnote>
  <w:footnote w:id="191">
    <w:p w14:paraId="54B5F530" w14:textId="6AD54B61" w:rsidR="0068647C" w:rsidRPr="000E696E" w:rsidRDefault="0068647C" w:rsidP="00D61BD2">
      <w:pPr>
        <w:pStyle w:val="Textonotapie"/>
        <w:rPr>
          <w:color w:val="000000"/>
        </w:rPr>
      </w:pPr>
      <w:r w:rsidRPr="000E696E">
        <w:rPr>
          <w:rStyle w:val="Refdenotaalpie"/>
          <w:color w:val="000000"/>
          <w:sz w:val="16"/>
        </w:rPr>
        <w:footnoteRef/>
      </w:r>
      <w:r w:rsidRPr="000E696E">
        <w:rPr>
          <w:color w:val="000000"/>
        </w:rPr>
        <w:t xml:space="preserve"> </w:t>
      </w:r>
      <w:r w:rsidRPr="000E696E">
        <w:rPr>
          <w:color w:val="000000"/>
        </w:rPr>
        <w:tab/>
      </w:r>
      <w:r w:rsidRPr="000E696E">
        <w:rPr>
          <w:i/>
          <w:iCs/>
          <w:color w:val="000000"/>
        </w:rPr>
        <w:t xml:space="preserve">Cf. </w:t>
      </w:r>
      <w:r w:rsidRPr="000E696E">
        <w:rPr>
          <w:i/>
          <w:iCs/>
        </w:rPr>
        <w:t>Case of Acevedo Buendía et al. (“Discharged and Retired Employees of the Office of the Comptroller”) v. Peru, supra,</w:t>
      </w:r>
      <w:r w:rsidRPr="000E696E">
        <w:t xml:space="preserve"> </w:t>
      </w:r>
      <w:r w:rsidRPr="000E696E">
        <w:rPr>
          <w:color w:val="000000"/>
        </w:rPr>
        <w:t>paras. 16, 17 and 100.</w:t>
      </w:r>
    </w:p>
  </w:footnote>
  <w:footnote w:id="192">
    <w:p w14:paraId="638C1D82" w14:textId="540D051E" w:rsidR="0068647C" w:rsidRPr="004204B2" w:rsidRDefault="0068647C" w:rsidP="00AA1EBF">
      <w:pPr>
        <w:tabs>
          <w:tab w:val="left" w:pos="540"/>
        </w:tabs>
        <w:autoSpaceDE w:val="0"/>
        <w:autoSpaceDN w:val="0"/>
        <w:adjustRightInd w:val="0"/>
        <w:spacing w:after="60"/>
        <w:contextualSpacing/>
        <w:jc w:val="both"/>
        <w:rPr>
          <w:rFonts w:ascii="Verdana" w:hAnsi="Verdana" w:cs="Verdana"/>
          <w:color w:val="000000"/>
          <w:sz w:val="16"/>
          <w:szCs w:val="16"/>
          <w:lang w:val="es-CR" w:eastAsia="es-MX"/>
        </w:rPr>
      </w:pPr>
      <w:r w:rsidRPr="000E696E">
        <w:rPr>
          <w:rStyle w:val="Refdenotaalpie"/>
          <w:color w:val="000000"/>
          <w:sz w:val="16"/>
          <w:szCs w:val="16"/>
          <w:lang w:val="en-US"/>
        </w:rPr>
        <w:footnoteRef/>
      </w:r>
      <w:r w:rsidRPr="000E696E">
        <w:rPr>
          <w:rFonts w:ascii="Verdana" w:hAnsi="Verdana"/>
          <w:color w:val="000000"/>
          <w:sz w:val="16"/>
          <w:szCs w:val="16"/>
          <w:lang w:val="en-US"/>
        </w:rPr>
        <w:t xml:space="preserve"> </w:t>
      </w:r>
      <w:r w:rsidRPr="000E696E">
        <w:rPr>
          <w:rFonts w:ascii="Verdana" w:hAnsi="Verdana"/>
          <w:color w:val="000000"/>
          <w:sz w:val="16"/>
          <w:szCs w:val="16"/>
          <w:lang w:val="en-US"/>
        </w:rPr>
        <w:tab/>
      </w:r>
      <w:r w:rsidRPr="000E696E">
        <w:rPr>
          <w:rFonts w:ascii="Verdana" w:hAnsi="Verdana"/>
          <w:color w:val="000000"/>
          <w:sz w:val="16"/>
          <w:szCs w:val="16"/>
          <w:lang w:val="en-US"/>
        </w:rPr>
        <w:tab/>
      </w:r>
      <w:r w:rsidRPr="000E696E">
        <w:rPr>
          <w:rFonts w:ascii="Verdana" w:hAnsi="Verdana" w:cs="Verdana"/>
          <w:i/>
          <w:iCs/>
          <w:color w:val="000000"/>
          <w:sz w:val="16"/>
          <w:szCs w:val="16"/>
          <w:lang w:val="en-US" w:eastAsia="es-MX"/>
        </w:rPr>
        <w:t>Cf.</w:t>
      </w:r>
      <w:r w:rsidRPr="000E696E">
        <w:rPr>
          <w:rFonts w:ascii="Verdana" w:hAnsi="Verdana" w:cs="Verdana"/>
          <w:color w:val="000000"/>
          <w:sz w:val="16"/>
          <w:szCs w:val="16"/>
          <w:lang w:val="en-US" w:eastAsia="es-MX"/>
        </w:rPr>
        <w:t xml:space="preserve"> </w:t>
      </w:r>
      <w:r w:rsidRPr="000E696E">
        <w:rPr>
          <w:rFonts w:ascii="Verdana" w:hAnsi="Verdana" w:cs="Verdana"/>
          <w:i/>
          <w:iCs/>
          <w:color w:val="000000"/>
          <w:sz w:val="16"/>
          <w:szCs w:val="16"/>
          <w:lang w:val="en-US" w:eastAsia="es-MX"/>
        </w:rPr>
        <w:t xml:space="preserve">Case of Ivcher Bronstein v. Peru. Jurisdiction. </w:t>
      </w:r>
      <w:r w:rsidRPr="000E696E">
        <w:rPr>
          <w:rFonts w:ascii="Verdana" w:hAnsi="Verdana" w:cs="Verdana"/>
          <w:color w:val="000000"/>
          <w:sz w:val="16"/>
          <w:szCs w:val="16"/>
          <w:lang w:val="en-US" w:eastAsia="es-MX"/>
        </w:rPr>
        <w:t xml:space="preserve">Judgment of September 24, 1999. Series C No. 54, paras. 32 and 34, and </w:t>
      </w:r>
      <w:r w:rsidRPr="000E696E">
        <w:rPr>
          <w:rFonts w:ascii="Verdana" w:hAnsi="Verdana" w:cs="Verdana"/>
          <w:i/>
          <w:color w:val="000000"/>
          <w:sz w:val="16"/>
          <w:szCs w:val="16"/>
          <w:lang w:val="en-US" w:eastAsia="es-MX"/>
        </w:rPr>
        <w:t>Case of Espinoza Gonzáles v. Peru. Preliminary objections, merits, reparations and costs.</w:t>
      </w:r>
      <w:r w:rsidRPr="000E696E">
        <w:rPr>
          <w:rFonts w:ascii="Verdana" w:hAnsi="Verdana" w:cs="Verdana"/>
          <w:color w:val="000000"/>
          <w:sz w:val="16"/>
          <w:szCs w:val="16"/>
          <w:lang w:val="en-US" w:eastAsia="es-MX"/>
        </w:rPr>
        <w:t xml:space="preserve"> Judgment of November 20, 2014. Series C No. 289, para. </w:t>
      </w:r>
      <w:r w:rsidRPr="004204B2">
        <w:rPr>
          <w:rFonts w:ascii="Verdana" w:hAnsi="Verdana" w:cs="Verdana"/>
          <w:color w:val="000000"/>
          <w:sz w:val="16"/>
          <w:szCs w:val="16"/>
          <w:lang w:val="es-CR" w:eastAsia="es-MX"/>
        </w:rPr>
        <w:t>27.</w:t>
      </w:r>
    </w:p>
    <w:p w14:paraId="5F64C6DB" w14:textId="77777777" w:rsidR="0068647C" w:rsidRPr="004204B2" w:rsidRDefault="0068647C" w:rsidP="00AA1EBF">
      <w:pPr>
        <w:tabs>
          <w:tab w:val="left" w:pos="540"/>
        </w:tabs>
        <w:autoSpaceDE w:val="0"/>
        <w:autoSpaceDN w:val="0"/>
        <w:adjustRightInd w:val="0"/>
        <w:spacing w:after="60"/>
        <w:contextualSpacing/>
        <w:jc w:val="both"/>
        <w:rPr>
          <w:rFonts w:ascii="Verdana" w:hAnsi="Verdana" w:cs="Verdana"/>
          <w:color w:val="000000"/>
          <w:sz w:val="6"/>
          <w:szCs w:val="6"/>
          <w:lang w:val="es-CR" w:eastAsia="es-MX"/>
        </w:rPr>
      </w:pPr>
    </w:p>
  </w:footnote>
  <w:footnote w:id="193">
    <w:p w14:paraId="1154F3B9" w14:textId="5A531F1D" w:rsidR="0068647C" w:rsidRPr="000E696E" w:rsidRDefault="0068647C" w:rsidP="00AA1EBF">
      <w:pPr>
        <w:tabs>
          <w:tab w:val="left" w:pos="540"/>
        </w:tabs>
        <w:autoSpaceDE w:val="0"/>
        <w:autoSpaceDN w:val="0"/>
        <w:adjustRightInd w:val="0"/>
        <w:spacing w:after="60"/>
        <w:contextualSpacing/>
        <w:jc w:val="both"/>
        <w:rPr>
          <w:rFonts w:ascii="Verdana" w:hAnsi="Verdana" w:cs="Verdana"/>
          <w:color w:val="000000"/>
          <w:sz w:val="16"/>
          <w:szCs w:val="16"/>
          <w:lang w:val="en-US" w:eastAsia="es-MX"/>
        </w:rPr>
      </w:pPr>
      <w:r w:rsidRPr="000E696E">
        <w:rPr>
          <w:rStyle w:val="Refdenotaalpie"/>
          <w:color w:val="000000"/>
          <w:sz w:val="16"/>
          <w:szCs w:val="16"/>
          <w:lang w:val="en-US"/>
        </w:rPr>
        <w:footnoteRef/>
      </w:r>
      <w:r w:rsidRPr="004204B2">
        <w:rPr>
          <w:rFonts w:ascii="Verdana" w:hAnsi="Verdana"/>
          <w:color w:val="000000"/>
          <w:sz w:val="16"/>
          <w:szCs w:val="16"/>
          <w:lang w:val="es-CR"/>
        </w:rPr>
        <w:t xml:space="preserve"> </w:t>
      </w:r>
      <w:r w:rsidRPr="004204B2">
        <w:rPr>
          <w:rFonts w:ascii="Verdana" w:hAnsi="Verdana"/>
          <w:color w:val="000000"/>
          <w:sz w:val="16"/>
          <w:szCs w:val="16"/>
          <w:lang w:val="es-CR"/>
        </w:rPr>
        <w:tab/>
      </w:r>
      <w:r w:rsidRPr="004204B2">
        <w:rPr>
          <w:rFonts w:ascii="Verdana" w:hAnsi="Verdana"/>
          <w:color w:val="000000"/>
          <w:sz w:val="16"/>
          <w:szCs w:val="16"/>
          <w:lang w:val="es-CR"/>
        </w:rPr>
        <w:tab/>
      </w:r>
      <w:r w:rsidRPr="004204B2">
        <w:rPr>
          <w:rFonts w:ascii="Verdana" w:hAnsi="Verdana" w:cs="Verdana"/>
          <w:i/>
          <w:iCs/>
          <w:color w:val="000000"/>
          <w:sz w:val="16"/>
          <w:szCs w:val="16"/>
          <w:lang w:val="es-CR" w:eastAsia="es-MX"/>
        </w:rPr>
        <w:t>Cf.</w:t>
      </w:r>
      <w:r w:rsidRPr="004204B2">
        <w:rPr>
          <w:rFonts w:ascii="Verdana" w:hAnsi="Verdana" w:cs="Verdana"/>
          <w:color w:val="000000"/>
          <w:sz w:val="16"/>
          <w:szCs w:val="16"/>
          <w:lang w:val="es-CR" w:eastAsia="es-MX"/>
        </w:rPr>
        <w:t xml:space="preserve"> </w:t>
      </w:r>
      <w:r w:rsidRPr="004204B2">
        <w:rPr>
          <w:rFonts w:ascii="Verdana" w:hAnsi="Verdana" w:cs="Verdana"/>
          <w:i/>
          <w:iCs/>
          <w:color w:val="000000"/>
          <w:sz w:val="16"/>
          <w:szCs w:val="16"/>
          <w:lang w:val="es-CR" w:eastAsia="es-MX"/>
        </w:rPr>
        <w:t xml:space="preserve">Case of Velásquez Rodríguez v. Honduras. </w:t>
      </w:r>
      <w:r w:rsidRPr="004204B2">
        <w:rPr>
          <w:rFonts w:ascii="Verdana" w:hAnsi="Verdana" w:cs="Verdana"/>
          <w:i/>
          <w:iCs/>
          <w:color w:val="000000"/>
          <w:sz w:val="16"/>
          <w:szCs w:val="16"/>
          <w:lang w:val="es-CR" w:eastAsia="es-MX"/>
        </w:rPr>
        <w:t xml:space="preserve">Preliminary objections, supra, </w:t>
      </w:r>
      <w:r w:rsidRPr="004204B2">
        <w:rPr>
          <w:rFonts w:ascii="Verdana" w:hAnsi="Verdana" w:cs="Verdana"/>
          <w:color w:val="000000"/>
          <w:sz w:val="16"/>
          <w:szCs w:val="16"/>
          <w:lang w:val="es-CR" w:eastAsia="es-MX"/>
        </w:rPr>
        <w:t xml:space="preserve">para. </w:t>
      </w:r>
      <w:r w:rsidRPr="000E696E">
        <w:rPr>
          <w:rFonts w:ascii="Verdana" w:hAnsi="Verdana" w:cs="Verdana"/>
          <w:color w:val="000000"/>
          <w:sz w:val="16"/>
          <w:szCs w:val="16"/>
          <w:lang w:val="en-US" w:eastAsia="es-MX"/>
        </w:rPr>
        <w:t xml:space="preserve">29, and </w:t>
      </w:r>
      <w:r w:rsidRPr="000E696E">
        <w:rPr>
          <w:rFonts w:ascii="Verdana" w:hAnsi="Verdana" w:cs="Verdana"/>
          <w:i/>
          <w:iCs/>
          <w:color w:val="000000"/>
          <w:sz w:val="16"/>
          <w:szCs w:val="16"/>
          <w:lang w:val="en-US" w:eastAsia="es-MX"/>
        </w:rPr>
        <w:t xml:space="preserve">Case of Garibaldi v. Brazil. Preliminary objections, merits, reparations and costs. </w:t>
      </w:r>
      <w:r w:rsidRPr="000E696E">
        <w:rPr>
          <w:rFonts w:ascii="Verdana" w:hAnsi="Verdana" w:cs="Verdana"/>
          <w:color w:val="000000"/>
          <w:sz w:val="16"/>
          <w:szCs w:val="16"/>
          <w:lang w:val="en-US" w:eastAsia="es-MX"/>
        </w:rPr>
        <w:t>Judgment of September 23, 2009. Series C No. 203, para. 41.</w:t>
      </w:r>
    </w:p>
  </w:footnote>
  <w:footnote w:id="194">
    <w:p w14:paraId="44FD3B8E" w14:textId="30F00ABD" w:rsidR="0068647C" w:rsidRPr="000E696E" w:rsidRDefault="0068647C" w:rsidP="00D61BD2">
      <w:pPr>
        <w:pStyle w:val="Textonotapie"/>
        <w:rPr>
          <w:b/>
          <w:color w:val="000000"/>
        </w:rPr>
      </w:pPr>
      <w:r w:rsidRPr="000E696E">
        <w:rPr>
          <w:rStyle w:val="Refdenotaalpie"/>
          <w:color w:val="000000"/>
          <w:sz w:val="16"/>
        </w:rPr>
        <w:footnoteRef/>
      </w:r>
      <w:r w:rsidRPr="000E696E">
        <w:rPr>
          <w:color w:val="000000"/>
        </w:rPr>
        <w:t xml:space="preserve"> </w:t>
      </w:r>
      <w:r w:rsidRPr="000E696E">
        <w:rPr>
          <w:color w:val="000000"/>
        </w:rPr>
        <w:tab/>
      </w:r>
      <w:r w:rsidRPr="000E696E">
        <w:rPr>
          <w:i/>
          <w:iCs/>
          <w:color w:val="000000"/>
        </w:rPr>
        <w:t xml:space="preserve">Cf. </w:t>
      </w:r>
      <w:r w:rsidRPr="000E696E">
        <w:rPr>
          <w:i/>
          <w:iCs/>
        </w:rPr>
        <w:t xml:space="preserve">Case of Acevedo Buendía et al. (“Discharged and Retired Employees of the Office of the Comptroller”) v. Peru, supra, </w:t>
      </w:r>
      <w:r w:rsidRPr="000E696E">
        <w:t xml:space="preserve">paras. 99 and 100. </w:t>
      </w:r>
      <w:r w:rsidRPr="000E696E">
        <w:rPr>
          <w:i/>
        </w:rPr>
        <w:t>Cf.</w:t>
      </w:r>
      <w:r w:rsidRPr="000E696E">
        <w:t xml:space="preserve"> UN. Committee on Economic, Social and Cultural Rights. General Comment No. 18, E/GC.18/2005, November 24, 2005, paras. 48 to 50.</w:t>
      </w:r>
    </w:p>
  </w:footnote>
  <w:footnote w:id="195">
    <w:p w14:paraId="1A95FFA0" w14:textId="522B1CFC" w:rsidR="0068647C" w:rsidRPr="000E696E" w:rsidRDefault="0068647C" w:rsidP="00AA1EBF">
      <w:pPr>
        <w:pStyle w:val="style11"/>
        <w:shd w:val="clear" w:color="auto" w:fill="FFFFFF"/>
        <w:spacing w:before="0" w:after="60"/>
        <w:ind w:left="0"/>
        <w:contextualSpacing/>
        <w:rPr>
          <w:rFonts w:ascii="Verdana" w:hAnsi="Verdana" w:cs="Tahoma"/>
          <w:color w:val="000000"/>
          <w:sz w:val="16"/>
          <w:szCs w:val="16"/>
          <w:lang w:val="en-US"/>
        </w:rPr>
      </w:pPr>
      <w:r w:rsidRPr="000E696E">
        <w:rPr>
          <w:rStyle w:val="Refdenotaalpie"/>
          <w:color w:val="000000"/>
          <w:sz w:val="16"/>
          <w:szCs w:val="16"/>
          <w:lang w:val="en-US"/>
        </w:rPr>
        <w:footnoteRef/>
      </w:r>
      <w:r w:rsidRPr="000E696E">
        <w:rPr>
          <w:rFonts w:ascii="Verdana" w:hAnsi="Verdana"/>
          <w:color w:val="000000"/>
          <w:sz w:val="16"/>
          <w:szCs w:val="16"/>
          <w:lang w:val="en-US"/>
        </w:rPr>
        <w:t xml:space="preserve"> </w:t>
      </w:r>
      <w:r w:rsidRPr="000E696E">
        <w:rPr>
          <w:rFonts w:ascii="Verdana" w:hAnsi="Verdana"/>
          <w:color w:val="000000"/>
          <w:sz w:val="16"/>
          <w:szCs w:val="16"/>
          <w:lang w:val="en-US"/>
        </w:rPr>
        <w:tab/>
      </w:r>
      <w:r w:rsidRPr="000E696E">
        <w:rPr>
          <w:rFonts w:ascii="Verdana" w:hAnsi="Verdana" w:cs="Tahoma"/>
          <w:color w:val="000000"/>
          <w:sz w:val="16"/>
          <w:szCs w:val="16"/>
          <w:lang w:val="en-US"/>
        </w:rPr>
        <w:t>Article 45 of the OAS Charter. “</w:t>
      </w:r>
      <w:r w:rsidRPr="000E696E">
        <w:rPr>
          <w:rFonts w:ascii="Verdana" w:hAnsi="Verdana"/>
          <w:sz w:val="16"/>
          <w:szCs w:val="16"/>
          <w:lang w:val="en-US"/>
        </w:rPr>
        <w:t>Member States, convinced that man can only achieve the full realization of his aspirations within a just social order, along with economic development and true peace, agree to dedicate every effort to the application of the following principles and mechanisms: (a) All human beings, without distinction as to race, sex, nationality, creed, or social condition, have a right to material well-being and to their spiritual development, under circumstances of liberty, dignity, equality of opportunity, and economic security; (b)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 (c) Employers and workers, both rural and urban, have the right to associate themselves freely for the defense and promotion of their interests, including the right to collective bargaining and the workers' right to strike, and recognition of the juridical personality of associations and the protection of their freedom and independence, all in accordance with applicable laws.</w:t>
      </w:r>
      <w:r w:rsidRPr="000E696E">
        <w:rPr>
          <w:rFonts w:ascii="Verdana" w:hAnsi="Verdana" w:cs="Tahoma"/>
          <w:sz w:val="16"/>
          <w:szCs w:val="16"/>
          <w:lang w:val="en-US"/>
        </w:rPr>
        <w:t xml:space="preserve"> […].”</w:t>
      </w:r>
    </w:p>
  </w:footnote>
  <w:footnote w:id="196">
    <w:p w14:paraId="077C648A" w14:textId="20D1B0CB" w:rsidR="0068647C" w:rsidRPr="000E696E" w:rsidRDefault="0068647C" w:rsidP="00FC5579">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46 of the OAS Charter. “The Member States recognize that, in order 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 achieve this goal.”</w:t>
      </w:r>
    </w:p>
  </w:footnote>
  <w:footnote w:id="197">
    <w:p w14:paraId="4A29AA38" w14:textId="190721F9" w:rsidR="0068647C" w:rsidRPr="000E696E" w:rsidRDefault="0068647C" w:rsidP="00FC5579">
      <w:pPr>
        <w:spacing w:after="60"/>
        <w:jc w:val="both"/>
        <w:rPr>
          <w:rFonts w:ascii="Verdana" w:hAnsi="Verdana"/>
          <w:sz w:val="16"/>
          <w:szCs w:val="16"/>
          <w:lang w:val="en-US"/>
        </w:rPr>
      </w:pPr>
      <w:r w:rsidRPr="000E696E">
        <w:rPr>
          <w:rStyle w:val="Refdenotaalpie"/>
          <w:color w:val="000000"/>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 34.g of the OAS Charter.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g) </w:t>
      </w:r>
      <w:r w:rsidRPr="000E696E">
        <w:rPr>
          <w:rFonts w:ascii="Verdana" w:eastAsia="Times New Roman" w:hAnsi="Verdana"/>
          <w:sz w:val="16"/>
          <w:szCs w:val="16"/>
          <w:lang w:val="en-US"/>
        </w:rPr>
        <w:t>Fair wages, employment opportunities, and acceptable working conditions for all.”</w:t>
      </w:r>
    </w:p>
  </w:footnote>
  <w:footnote w:id="198">
    <w:p w14:paraId="3B740700" w14:textId="59CA4908" w:rsidR="0068647C" w:rsidRPr="000E696E" w:rsidRDefault="0068647C" w:rsidP="00D61BD2">
      <w:pPr>
        <w:pStyle w:val="Textonotapie"/>
      </w:pPr>
      <w:r w:rsidRPr="000E696E">
        <w:rPr>
          <w:rStyle w:val="Refdenotaalpie"/>
          <w:sz w:val="16"/>
        </w:rPr>
        <w:footnoteRef/>
      </w:r>
      <w:r w:rsidRPr="000E696E">
        <w:t xml:space="preserve"> </w:t>
      </w:r>
      <w:r w:rsidRPr="000E696E">
        <w:tab/>
        <w:t>Interpretation of the American Declaration of the Rights and Duties of Man within the framework of Article 64 of the American Convention on Human Rights. Advisory Opinion OC-10/89 of July14, 1989. Series A No. 10, para. 43.</w:t>
      </w:r>
    </w:p>
  </w:footnote>
  <w:footnote w:id="199">
    <w:p w14:paraId="6D3D70FA" w14:textId="2C0A1D9E" w:rsidR="0068647C" w:rsidRPr="000E696E" w:rsidRDefault="0068647C" w:rsidP="00D61BD2">
      <w:pPr>
        <w:pStyle w:val="Textonotapie"/>
        <w:rPr>
          <w:color w:val="000000"/>
        </w:rPr>
      </w:pPr>
      <w:r w:rsidRPr="000E696E">
        <w:rPr>
          <w:rStyle w:val="Refdenotaalpie"/>
          <w:color w:val="000000"/>
          <w:sz w:val="16"/>
        </w:rPr>
        <w:footnoteRef/>
      </w:r>
      <w:r w:rsidRPr="000E696E">
        <w:rPr>
          <w:color w:val="000000"/>
        </w:rPr>
        <w:t xml:space="preserve"> </w:t>
      </w:r>
      <w:r w:rsidRPr="000E696E">
        <w:rPr>
          <w:color w:val="000000"/>
        </w:rPr>
        <w:tab/>
      </w:r>
      <w:r w:rsidRPr="000E696E">
        <w:rPr>
          <w:i/>
        </w:rPr>
        <w:t>Cf.</w:t>
      </w:r>
      <w:r w:rsidRPr="000E696E">
        <w:t xml:space="preserve"> </w:t>
      </w:r>
      <w:r w:rsidRPr="000E696E">
        <w:rPr>
          <w:i/>
        </w:rPr>
        <w:t>OC-10/89, supra</w:t>
      </w:r>
      <w:r w:rsidRPr="000E696E">
        <w:t>, paras. 43 and 45.</w:t>
      </w:r>
    </w:p>
  </w:footnote>
  <w:footnote w:id="200">
    <w:p w14:paraId="692408D3" w14:textId="420A323A" w:rsidR="0068647C" w:rsidRPr="000E696E" w:rsidRDefault="0068647C" w:rsidP="00D61BD2">
      <w:pPr>
        <w:pStyle w:val="Textonotapie"/>
      </w:pPr>
      <w:r w:rsidRPr="000E696E">
        <w:rPr>
          <w:rStyle w:val="Refdenotaalpie"/>
          <w:sz w:val="16"/>
        </w:rPr>
        <w:footnoteRef/>
      </w:r>
      <w:r w:rsidRPr="000E696E">
        <w:t xml:space="preserve"> </w:t>
      </w:r>
      <w:r w:rsidRPr="000E696E">
        <w:tab/>
        <w:t>The constitutional articles of the States Parties to the American Convention that refer to some form of protection of the right to work are: Argentina (art. 14 bis), Bolivia (arts. 46 and 48), Brazil (art. 6), Colombia (art. 25), Costa Rica (art. 56), Chile (art. 19), Dominican Republic (art. 62), Ecuador (art. 33), El Salvador (arts. 37 and 38), Guatemala (art. 101), Haiti (art. 35), Honduras (arts. 127 and 129), Mexico (art. 123), Nicaragua (arts. 57 and 80), Panama (art. 64), Paraguay (art.  86), Peru (art. 2), Suriname (art. 4), and Uruguay (art. 36), and Venezuela (art. 87).</w:t>
      </w:r>
    </w:p>
  </w:footnote>
  <w:footnote w:id="201">
    <w:p w14:paraId="267376F9" w14:textId="0F916712" w:rsidR="0068647C" w:rsidRPr="000E696E" w:rsidRDefault="0068647C" w:rsidP="00412DA2">
      <w:pPr>
        <w:tabs>
          <w:tab w:val="left" w:pos="567"/>
        </w:tabs>
        <w:spacing w:after="60"/>
        <w:contextualSpacing/>
        <w:jc w:val="both"/>
        <w:rPr>
          <w:rFonts w:ascii="Verdana" w:hAnsi="Verdana"/>
          <w:color w:val="000000"/>
          <w:sz w:val="16"/>
          <w:szCs w:val="16"/>
          <w:lang w:val="en-US"/>
        </w:rPr>
      </w:pPr>
      <w:r w:rsidRPr="000E696E">
        <w:rPr>
          <w:rStyle w:val="Refdenotaalpie"/>
          <w:color w:val="000000"/>
          <w:sz w:val="16"/>
          <w:szCs w:val="16"/>
          <w:lang w:val="en-US"/>
        </w:rPr>
        <w:footnoteRef/>
      </w:r>
      <w:r w:rsidRPr="000E696E">
        <w:rPr>
          <w:rFonts w:ascii="Verdana" w:hAnsi="Verdana"/>
          <w:color w:val="000000"/>
          <w:sz w:val="16"/>
          <w:szCs w:val="16"/>
          <w:lang w:val="en-US"/>
        </w:rPr>
        <w:t xml:space="preserve"> </w:t>
      </w:r>
      <w:r w:rsidRPr="000E696E">
        <w:rPr>
          <w:rFonts w:ascii="Verdana" w:hAnsi="Verdana" w:cs="Arial"/>
          <w:color w:val="000000"/>
          <w:sz w:val="16"/>
          <w:szCs w:val="16"/>
          <w:lang w:val="en-US"/>
        </w:rPr>
        <w:tab/>
      </w:r>
      <w:r w:rsidRPr="000E696E">
        <w:rPr>
          <w:rFonts w:ascii="Verdana" w:hAnsi="Verdana" w:cs="Arial"/>
          <w:color w:val="000000"/>
          <w:sz w:val="16"/>
          <w:szCs w:val="16"/>
          <w:lang w:val="en-US"/>
        </w:rPr>
        <w:tab/>
        <w:t xml:space="preserve">Article 6(1). </w:t>
      </w:r>
      <w:r w:rsidRPr="000E696E">
        <w:rPr>
          <w:rFonts w:ascii="Verdana" w:hAnsi="Verdana"/>
          <w:sz w:val="16"/>
          <w:szCs w:val="16"/>
          <w:lang w:val="en-US"/>
        </w:rPr>
        <w:t>The States Parties to the present Covenant recognize the right to work, which includes the right of everyone to the opportunity to gain his living by work which he freely chooses or accepts, and will take appropriate steps to safeguard this right.</w:t>
      </w:r>
      <w:r w:rsidRPr="000E696E">
        <w:rPr>
          <w:sz w:val="16"/>
          <w:szCs w:val="16"/>
          <w:lang w:val="en-US"/>
        </w:rPr>
        <w:t xml:space="preserve"> </w:t>
      </w:r>
      <w:r w:rsidRPr="000E696E">
        <w:rPr>
          <w:rFonts w:ascii="Verdana" w:hAnsi="Verdana" w:cs="Arial"/>
          <w:color w:val="000000"/>
          <w:sz w:val="16"/>
          <w:szCs w:val="16"/>
          <w:lang w:val="en-US"/>
        </w:rPr>
        <w:t>[…].</w:t>
      </w:r>
    </w:p>
  </w:footnote>
  <w:footnote w:id="202">
    <w:p w14:paraId="36A7ECA6" w14:textId="6DEBD3A5" w:rsidR="0068647C" w:rsidRPr="000E696E" w:rsidRDefault="0068647C" w:rsidP="00412DA2">
      <w:pPr>
        <w:tabs>
          <w:tab w:val="left" w:pos="720"/>
        </w:tabs>
        <w:spacing w:after="6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cs="Arial"/>
          <w:sz w:val="16"/>
          <w:szCs w:val="16"/>
          <w:lang w:val="en-US"/>
        </w:rPr>
        <w:t xml:space="preserve"> </w:t>
      </w:r>
      <w:r w:rsidRPr="000E696E">
        <w:rPr>
          <w:rFonts w:ascii="Verdana" w:hAnsi="Verdana" w:cs="Arial"/>
          <w:sz w:val="16"/>
          <w:szCs w:val="16"/>
          <w:lang w:val="en-US"/>
        </w:rPr>
        <w:tab/>
      </w:r>
      <w:r w:rsidRPr="000E696E">
        <w:rPr>
          <w:rFonts w:ascii="Verdana" w:hAnsi="Verdana"/>
          <w:bCs/>
          <w:color w:val="000000"/>
          <w:sz w:val="16"/>
          <w:szCs w:val="16"/>
          <w:lang w:val="en-US"/>
        </w:rPr>
        <w:t>Article 23</w:t>
      </w:r>
      <w:r w:rsidRPr="000E696E">
        <w:rPr>
          <w:rFonts w:ascii="Verdana" w:hAnsi="Verdana" w:cs="Tahoma"/>
          <w:color w:val="000000"/>
          <w:sz w:val="16"/>
          <w:szCs w:val="16"/>
          <w:lang w:val="en-US"/>
        </w:rPr>
        <w:t>.</w:t>
      </w:r>
      <w:r w:rsidRPr="000E696E">
        <w:rPr>
          <w:rFonts w:ascii="Verdana" w:hAnsi="Verdana" w:cs="Arial"/>
          <w:sz w:val="16"/>
          <w:szCs w:val="16"/>
          <w:lang w:val="en-US"/>
        </w:rPr>
        <w:t xml:space="preserve"> Everyone has the right to work, to free choice of employment, to just and favourable conditions of work and to protection against unemployment. 2. Everyone, without any discrimination, has the right to equal pay for equal work. 3. Everyone who works has the right to just and favourable remuneration ensuring for himself and his family an existence worthy of human dignity, and supplemented, if necessary, by other means of social protection. 4. Everyone has the right to form and to join trade unions for the protection of his interests.</w:t>
      </w:r>
      <w:r w:rsidRPr="000E696E">
        <w:rPr>
          <w:rFonts w:ascii="Verdana" w:hAnsi="Verdana"/>
          <w:color w:val="000000"/>
          <w:sz w:val="16"/>
          <w:szCs w:val="16"/>
          <w:lang w:val="en-US"/>
        </w:rPr>
        <w:t xml:space="preserve"> </w:t>
      </w:r>
    </w:p>
  </w:footnote>
  <w:footnote w:id="203">
    <w:p w14:paraId="632E6D00" w14:textId="4CD4AE8C" w:rsidR="0068647C" w:rsidRPr="000E696E" w:rsidRDefault="0068647C" w:rsidP="00412DA2">
      <w:pPr>
        <w:spacing w:after="60"/>
        <w:jc w:val="both"/>
        <w:rPr>
          <w:rFonts w:ascii="Verdana" w:eastAsia="Times New Roman"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bCs/>
          <w:sz w:val="16"/>
          <w:szCs w:val="16"/>
          <w:lang w:val="en-US"/>
        </w:rPr>
        <w:t xml:space="preserve">Article 8. </w:t>
      </w:r>
      <w:r w:rsidRPr="000E696E">
        <w:rPr>
          <w:rFonts w:ascii="Verdana" w:hAnsi="Verdana"/>
          <w:sz w:val="16"/>
          <w:szCs w:val="16"/>
          <w:lang w:val="en-US"/>
        </w:rPr>
        <w:t>The promotion of decent work, the fight against unemployment and underemployment, as well as addressing the challenges of informal labor are essential elements for achieving economic development with equity. Respect</w:t>
      </w:r>
      <w:r w:rsidRPr="000E696E">
        <w:rPr>
          <w:rFonts w:ascii="Verdana" w:hAnsi="Verdana"/>
          <w:iCs/>
          <w:sz w:val="16"/>
          <w:szCs w:val="16"/>
          <w:lang w:val="en-US"/>
        </w:rPr>
        <w:t xml:space="preserve"> for workers’ rights, equal employment opportunities, and improved working conditions are essential to attaining prosperity. Cooperation and social dialogue among government representatives, workers, employers, and other stakeholders promote good governance and a stable economy.</w:t>
      </w:r>
      <w:r w:rsidRPr="000E696E">
        <w:rPr>
          <w:sz w:val="16"/>
          <w:szCs w:val="16"/>
          <w:lang w:val="en-US"/>
        </w:rPr>
        <w:t xml:space="preserve"> </w:t>
      </w:r>
    </w:p>
  </w:footnote>
  <w:footnote w:id="204">
    <w:p w14:paraId="07188AE5" w14:textId="06347391" w:rsidR="0068647C" w:rsidRPr="000E696E" w:rsidRDefault="0068647C" w:rsidP="00412DA2">
      <w:pPr>
        <w:tabs>
          <w:tab w:val="left" w:pos="720"/>
          <w:tab w:val="left" w:pos="2196"/>
        </w:tabs>
        <w:spacing w:after="60"/>
        <w:jc w:val="both"/>
        <w:rPr>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Arial"/>
          <w:sz w:val="16"/>
          <w:szCs w:val="16"/>
          <w:lang w:val="en-US"/>
        </w:rPr>
        <w:t xml:space="preserve">Article 6. </w:t>
      </w:r>
      <w:r w:rsidRPr="000E696E">
        <w:rPr>
          <w:rFonts w:ascii="Verdana" w:hAnsi="Verdana"/>
          <w:sz w:val="16"/>
          <w:szCs w:val="16"/>
          <w:lang w:val="en-US"/>
        </w:rPr>
        <w:t>Everyone has the right to work, which includes the opportunity to secure the means for living a dignified and decent existence by performing a freely elected or accepted lawful activity. The State Parties undertake to adopt measures that will make the right to work fully effective, especially with regard to the achievement of full employment, vocational guidance, and the development of technical and vocational training projects, in particular those directed to the disabled. […]</w:t>
      </w:r>
    </w:p>
    <w:p w14:paraId="53952A43" w14:textId="4DF407A4" w:rsidR="0068647C" w:rsidRPr="000E696E" w:rsidRDefault="0068647C" w:rsidP="00D61BD2">
      <w:pPr>
        <w:pStyle w:val="Textonotapie"/>
      </w:pPr>
      <w:r w:rsidRPr="000E696E">
        <w:t>Article 7. Just, Equitable, and Satisfactory Conditions of Work. The States Parties to this Protocol recognize that the right to work to which the foregoing article refers presupposes that everyone shall enjoy that right under just, equitable, and satisfactory conditions, which the States Parties undertake to guarantee in their internal legislation, particularly with respect to: c. the right of every worker to promotion or upward mobility in his employment, for which purpose account shall be taken of his qualifications, competence, integrity and seniority; d. Stability of employment, subject to the nature of each industry and occupation and the causes for just separation. In cases of unjustified dismissal, the worker shall have the right to indemnity or to reinstatement on the job or any other benefits provided by domestic legislation […].</w:t>
      </w:r>
    </w:p>
  </w:footnote>
  <w:footnote w:id="205">
    <w:p w14:paraId="1C833996" w14:textId="434DBB80" w:rsidR="0068647C" w:rsidRPr="000E696E" w:rsidRDefault="0068647C" w:rsidP="00A25801">
      <w:pPr>
        <w:tabs>
          <w:tab w:val="left" w:pos="720"/>
        </w:tabs>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bCs/>
          <w:color w:val="000000"/>
          <w:sz w:val="16"/>
          <w:szCs w:val="16"/>
          <w:lang w:val="en-US"/>
        </w:rPr>
        <w:t>Article 11(</w:t>
      </w:r>
      <w:r w:rsidRPr="000E696E">
        <w:rPr>
          <w:rFonts w:ascii="Verdana" w:hAnsi="Verdana"/>
          <w:color w:val="000000"/>
          <w:sz w:val="16"/>
          <w:szCs w:val="16"/>
          <w:lang w:val="en-US"/>
        </w:rPr>
        <w:t xml:space="preserve">1). </w:t>
      </w:r>
      <w:r w:rsidRPr="000E696E">
        <w:rPr>
          <w:rFonts w:ascii="Verdana" w:hAnsi="Verdana" w:cs="Arial"/>
          <w:sz w:val="16"/>
          <w:szCs w:val="16"/>
          <w:lang w:val="en-US"/>
        </w:rPr>
        <w:t xml:space="preserve">States Parties shall take all appropriate measures to eliminate discrimination against women in the field of employment in order to ensure, on a basis of equality of men and women, the same rights </w:t>
      </w:r>
      <w:r w:rsidRPr="000E696E">
        <w:rPr>
          <w:rFonts w:ascii="Verdana" w:hAnsi="Verdana"/>
          <w:color w:val="000000"/>
          <w:sz w:val="16"/>
          <w:szCs w:val="16"/>
          <w:lang w:val="en-US"/>
        </w:rPr>
        <w:t>[…]</w:t>
      </w:r>
      <w:r w:rsidRPr="000E696E">
        <w:rPr>
          <w:rFonts w:ascii="Verdana" w:hAnsi="Verdana"/>
          <w:sz w:val="16"/>
          <w:szCs w:val="16"/>
          <w:lang w:val="en-US"/>
        </w:rPr>
        <w:t>.</w:t>
      </w:r>
    </w:p>
  </w:footnote>
  <w:footnote w:id="206">
    <w:p w14:paraId="714502E2" w14:textId="37B52376" w:rsidR="0068647C" w:rsidRPr="000E696E" w:rsidRDefault="0068647C" w:rsidP="002168E2">
      <w:pPr>
        <w:pStyle w:val="NormalWeb"/>
        <w:spacing w:before="0" w:beforeAutospacing="0" w:after="60" w:afterAutospacing="0"/>
        <w:jc w:val="both"/>
        <w:rPr>
          <w:lang w:val="en-US" w:eastAsia="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Article 32. […] 2. States Parties shall take legislative, administrative, social and educational measures to ensure the implementation of the present article. To this end, and having regard to the relevant provisions of other international instruments, States Parties shall in particular: a) </w:t>
      </w:r>
      <w:r w:rsidRPr="000E696E">
        <w:rPr>
          <w:rFonts w:ascii="Verdana" w:hAnsi="Verdana"/>
          <w:sz w:val="16"/>
          <w:szCs w:val="16"/>
          <w:lang w:val="en-US" w:eastAsia="en-US"/>
        </w:rPr>
        <w:t xml:space="preserve">(a) Provide for a minimum age or minimum ages for admission to employment; </w:t>
      </w:r>
      <w:r w:rsidRPr="000E696E">
        <w:rPr>
          <w:rFonts w:ascii="Verdana" w:hAnsi="Verdana"/>
          <w:sz w:val="16"/>
          <w:szCs w:val="16"/>
          <w:lang w:val="en-US"/>
        </w:rPr>
        <w:t xml:space="preserve">(b) Provide for appropriate regulation of the hours and conditions of employment; (c) Provide for appropriate penalties or other sanctions to ensure the effective enforcement of the present article. </w:t>
      </w:r>
    </w:p>
  </w:footnote>
  <w:footnote w:id="207">
    <w:p w14:paraId="7F8C9EAB" w14:textId="323F2F3A" w:rsidR="0068647C" w:rsidRPr="000E696E" w:rsidRDefault="0068647C" w:rsidP="00EF28DD">
      <w:pPr>
        <w:jc w:val="both"/>
        <w:rPr>
          <w:rFonts w:ascii="Verdana" w:hAnsi="Verdana" w:cs="Arial"/>
          <w:sz w:val="16"/>
          <w:szCs w:val="16"/>
          <w:lang w:val="en-US"/>
        </w:rPr>
      </w:pPr>
      <w:r w:rsidRPr="000E696E">
        <w:rPr>
          <w:rStyle w:val="Refdenotaalpie"/>
          <w:sz w:val="16"/>
          <w:lang w:val="en-US"/>
        </w:rPr>
        <w:footnoteRef/>
      </w:r>
      <w:r w:rsidRPr="000E696E">
        <w:rPr>
          <w:lang w:val="en-US"/>
        </w:rPr>
        <w:t xml:space="preserve"> </w:t>
      </w:r>
      <w:r w:rsidRPr="000E696E">
        <w:rPr>
          <w:rFonts w:ascii="Verdana" w:hAnsi="Verdana"/>
          <w:sz w:val="16"/>
          <w:szCs w:val="16"/>
          <w:lang w:val="en-US"/>
        </w:rPr>
        <w:tab/>
        <w:t xml:space="preserve">Article 1. The right to work. </w:t>
      </w:r>
      <w:r w:rsidRPr="000E696E">
        <w:rPr>
          <w:rFonts w:ascii="Verdana" w:hAnsi="Verdana" w:cs="Arial"/>
          <w:sz w:val="16"/>
          <w:szCs w:val="16"/>
          <w:lang w:val="en-US"/>
        </w:rPr>
        <w:t>With a view to ensuring the effective exercise of the right to work, the Contracting Parties undertake: 1. To accept as one of their primary aims and responsibilities the achievement and maintenance of as high and stable a level of employment as possible, with a view to the attainment of full employment; 2. To protect effectively the right of the worker to earn his living in an occupation freely entered upon; 3. To establish or maintain free employment services for all workers; 4. To provide or promote appropriate vocational guidance, training and rehabilitation.</w:t>
      </w:r>
    </w:p>
    <w:p w14:paraId="3D0382DC" w14:textId="77777777" w:rsidR="0068647C" w:rsidRPr="000E696E" w:rsidRDefault="0068647C" w:rsidP="00EF28DD">
      <w:pPr>
        <w:jc w:val="both"/>
        <w:rPr>
          <w:rFonts w:ascii="Verdana" w:eastAsia="Times New Roman" w:hAnsi="Verdana"/>
          <w:sz w:val="6"/>
          <w:szCs w:val="6"/>
          <w:lang w:val="en-US"/>
        </w:rPr>
      </w:pPr>
    </w:p>
  </w:footnote>
  <w:footnote w:id="208">
    <w:p w14:paraId="50B00F04" w14:textId="4FBD052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Article 15. Every individual shall have the right to work under equitable and satisfactory conditions, and shall receive equal pay for equal work. </w:t>
      </w:r>
    </w:p>
  </w:footnote>
  <w:footnote w:id="209">
    <w:p w14:paraId="3683937A" w14:textId="1051B642" w:rsidR="0068647C" w:rsidRPr="000E696E" w:rsidRDefault="0068647C" w:rsidP="008221EB">
      <w:pPr>
        <w:widowControl w:val="0"/>
        <w:autoSpaceDE w:val="0"/>
        <w:autoSpaceDN w:val="0"/>
        <w:adjustRightInd w:val="0"/>
        <w:spacing w:after="60"/>
        <w:contextualSpacing/>
        <w:jc w:val="both"/>
        <w:rPr>
          <w:rFonts w:ascii="Verdana" w:hAnsi="Verdana" w:cs="Times"/>
          <w:color w:val="1A1718"/>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Times"/>
          <w:i/>
          <w:color w:val="1A1718"/>
          <w:sz w:val="16"/>
          <w:szCs w:val="16"/>
          <w:lang w:val="en-US"/>
        </w:rPr>
        <w:t xml:space="preserve">Cf. Compulsory Membership of an Association Prescribed by Law for the Practice of Journalism (arts. 13 and 29 American Convention on Human Rights), OC-5/85, supra, </w:t>
      </w:r>
      <w:r w:rsidRPr="000E696E">
        <w:rPr>
          <w:rFonts w:ascii="Verdana" w:hAnsi="Verdana" w:cs="Times"/>
          <w:color w:val="1A1718"/>
          <w:sz w:val="16"/>
          <w:szCs w:val="16"/>
          <w:lang w:val="en-US"/>
        </w:rPr>
        <w:t xml:space="preserve">paras. 51 and 52; </w:t>
      </w:r>
      <w:r w:rsidRPr="000E696E">
        <w:rPr>
          <w:rFonts w:ascii="Verdana" w:hAnsi="Verdana" w:cs="Times"/>
          <w:i/>
          <w:color w:val="1A1718"/>
          <w:sz w:val="16"/>
          <w:szCs w:val="16"/>
          <w:lang w:val="en-US"/>
        </w:rPr>
        <w:t>Juridical Status and Rights of Undocumented Migrants</w:t>
      </w:r>
      <w:r w:rsidRPr="000E696E">
        <w:rPr>
          <w:rFonts w:ascii="Verdana" w:hAnsi="Verdana" w:cs="Times"/>
          <w:color w:val="1A1718"/>
          <w:sz w:val="16"/>
          <w:szCs w:val="16"/>
          <w:lang w:val="en-US"/>
        </w:rPr>
        <w:t xml:space="preserve">, </w:t>
      </w:r>
      <w:r w:rsidRPr="000E696E">
        <w:rPr>
          <w:rFonts w:ascii="Verdana" w:hAnsi="Verdana"/>
          <w:i/>
          <w:color w:val="1A1718"/>
          <w:sz w:val="16"/>
          <w:szCs w:val="16"/>
          <w:lang w:val="en-US"/>
        </w:rPr>
        <w:t>OC-18/2003</w:t>
      </w:r>
      <w:r w:rsidRPr="000E696E">
        <w:rPr>
          <w:rFonts w:ascii="Verdana" w:hAnsi="Verdana" w:cs="Times"/>
          <w:color w:val="1A1718"/>
          <w:sz w:val="16"/>
          <w:szCs w:val="16"/>
          <w:lang w:val="en-US"/>
        </w:rPr>
        <w:t xml:space="preserve"> of September 17, 2003. Series A No. 18, para. 156. Regarding the scope of labor rights, in order to identify a group of rights that have a crucial importance for migrant workers, the Court applied the </w:t>
      </w:r>
      <w:r w:rsidRPr="000E696E">
        <w:rPr>
          <w:rFonts w:ascii="Verdana" w:hAnsi="Verdana" w:cs="Times"/>
          <w:i/>
          <w:iCs/>
          <w:color w:val="1A1718"/>
          <w:sz w:val="16"/>
          <w:szCs w:val="16"/>
          <w:lang w:val="en-US"/>
        </w:rPr>
        <w:t>pro persona</w:t>
      </w:r>
      <w:r w:rsidRPr="000E696E">
        <w:rPr>
          <w:rFonts w:ascii="Verdana" w:hAnsi="Verdana" w:cs="Times"/>
          <w:color w:val="1A1718"/>
          <w:sz w:val="16"/>
          <w:szCs w:val="16"/>
          <w:lang w:val="en-US"/>
        </w:rPr>
        <w:t xml:space="preserve"> principle, indicating that if there are several instruments that regulate the same situation, the domestic or international instrument that best protects the worker must be preferred.</w:t>
      </w:r>
    </w:p>
  </w:footnote>
  <w:footnote w:id="210">
    <w:p w14:paraId="53B30037" w14:textId="3DE36B0A"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 Case of Baena Ricardo et al. v. Panama. Merits, reparations and costs</w:t>
      </w:r>
      <w:r w:rsidRPr="000E696E">
        <w:t>. Judgment of February 2, 2001. Series C No. 72, para. 134.</w:t>
      </w:r>
    </w:p>
  </w:footnote>
  <w:footnote w:id="211">
    <w:p w14:paraId="75D1F4A1" w14:textId="06A0B350" w:rsidR="0068647C" w:rsidRPr="000E696E" w:rsidRDefault="0068647C" w:rsidP="00D61BD2">
      <w:pPr>
        <w:pStyle w:val="Textonotapie"/>
      </w:pPr>
      <w:r w:rsidRPr="000E696E">
        <w:rPr>
          <w:rStyle w:val="Refdenotaalpie"/>
          <w:color w:val="000000"/>
          <w:sz w:val="16"/>
        </w:rPr>
        <w:footnoteRef/>
      </w:r>
      <w:r w:rsidRPr="000E696E">
        <w:t xml:space="preserve"> </w:t>
      </w:r>
      <w:r w:rsidRPr="000E696E">
        <w:tab/>
        <w:t xml:space="preserve">UN. Committee on Economic, Social and Cultural Rights, </w:t>
      </w:r>
      <w:r w:rsidRPr="000E696E">
        <w:rPr>
          <w:i/>
        </w:rPr>
        <w:t>General Comment No.</w:t>
      </w:r>
      <w:r w:rsidRPr="000E696E">
        <w:rPr>
          <w:i/>
          <w:vertAlign w:val="superscript"/>
        </w:rPr>
        <w:t xml:space="preserve"> </w:t>
      </w:r>
      <w:r w:rsidRPr="000E696E">
        <w:rPr>
          <w:i/>
        </w:rPr>
        <w:t>18: The right to work</w:t>
      </w:r>
      <w:r w:rsidRPr="000E696E">
        <w:t>, UN Doc. E/C.12/GC/18, November 24, 2005.</w:t>
      </w:r>
    </w:p>
  </w:footnote>
  <w:footnote w:id="212">
    <w:p w14:paraId="12A2C48B" w14:textId="373434DF" w:rsidR="0068647C" w:rsidRPr="000E696E" w:rsidRDefault="0068647C" w:rsidP="00D61BD2">
      <w:pPr>
        <w:pStyle w:val="Textonotapie"/>
      </w:pPr>
      <w:r w:rsidRPr="000E696E">
        <w:rPr>
          <w:rStyle w:val="Refdenotaalpie"/>
          <w:color w:val="000000"/>
          <w:sz w:val="16"/>
        </w:rPr>
        <w:footnoteRef/>
      </w:r>
      <w:r w:rsidRPr="000E696E">
        <w:t xml:space="preserve"> </w:t>
      </w:r>
      <w:r w:rsidRPr="000E696E">
        <w:tab/>
        <w:t xml:space="preserve">UN. Committee on Economic, Social and Cultural Rights, </w:t>
      </w:r>
      <w:r w:rsidRPr="000E696E">
        <w:rPr>
          <w:i/>
        </w:rPr>
        <w:t>General Comment No.18: The right to work, supra.</w:t>
      </w:r>
    </w:p>
  </w:footnote>
  <w:footnote w:id="213">
    <w:p w14:paraId="095ACC4F" w14:textId="0E993E04" w:rsidR="0068647C" w:rsidRPr="000E696E" w:rsidRDefault="0068647C" w:rsidP="00D61BD2">
      <w:pPr>
        <w:pStyle w:val="Textonotapie"/>
        <w:rPr>
          <w:i/>
        </w:rPr>
      </w:pPr>
      <w:r w:rsidRPr="000E696E">
        <w:rPr>
          <w:rStyle w:val="Refdenotaalpie"/>
          <w:color w:val="000000"/>
          <w:sz w:val="16"/>
        </w:rPr>
        <w:footnoteRef/>
      </w:r>
      <w:r w:rsidRPr="000E696E">
        <w:t xml:space="preserve"> </w:t>
      </w:r>
      <w:r w:rsidRPr="000E696E">
        <w:tab/>
        <w:t xml:space="preserve">ILO. </w:t>
      </w:r>
      <w:r w:rsidRPr="000E696E">
        <w:rPr>
          <w:i/>
          <w:iCs/>
        </w:rPr>
        <w:t>Convention No. 158 on termination of employment</w:t>
      </w:r>
      <w:r w:rsidRPr="000E696E">
        <w:t>, November 23, 1985. It should be pointed out that, as the Peruvian State indicate, Convention No. 158 has not been ratified by Peru.</w:t>
      </w:r>
    </w:p>
  </w:footnote>
  <w:footnote w:id="214">
    <w:p w14:paraId="05BC8CB7" w14:textId="2E291DCB" w:rsidR="0068647C" w:rsidRPr="000E696E" w:rsidRDefault="0068647C" w:rsidP="005F0B9D">
      <w:pPr>
        <w:shd w:val="clear" w:color="auto" w:fill="FFFFFF"/>
        <w:spacing w:after="60"/>
        <w:contextualSpacing/>
        <w:jc w:val="both"/>
        <w:rPr>
          <w:rFonts w:ascii="Verdana" w:eastAsia="Times New Roman" w:hAnsi="Verdana" w:cs="Arial"/>
          <w:color w:val="000000"/>
          <w:sz w:val="16"/>
          <w:szCs w:val="16"/>
          <w:lang w:val="en-US" w:eastAsia="es-MX"/>
        </w:rPr>
      </w:pPr>
      <w:r w:rsidRPr="000E696E">
        <w:rPr>
          <w:rStyle w:val="Refdenotaalpie"/>
          <w:color w:val="000000"/>
          <w:sz w:val="16"/>
          <w:szCs w:val="16"/>
          <w:lang w:val="en-US"/>
        </w:rPr>
        <w:footnoteRef/>
      </w:r>
      <w:r w:rsidRPr="000E696E">
        <w:rPr>
          <w:rFonts w:ascii="Verdana" w:hAnsi="Verdana"/>
          <w:color w:val="000000"/>
          <w:sz w:val="16"/>
          <w:szCs w:val="16"/>
          <w:lang w:val="en-US"/>
        </w:rPr>
        <w:t xml:space="preserve"> </w:t>
      </w:r>
      <w:r w:rsidRPr="000E696E">
        <w:rPr>
          <w:rFonts w:ascii="Verdana" w:hAnsi="Verdana"/>
          <w:color w:val="000000"/>
          <w:sz w:val="16"/>
          <w:szCs w:val="16"/>
          <w:lang w:val="en-US"/>
        </w:rPr>
        <w:tab/>
      </w:r>
      <w:r w:rsidRPr="000E696E">
        <w:rPr>
          <w:rFonts w:ascii="Verdana" w:eastAsia="Times New Roman" w:hAnsi="Verdana" w:cs="Arial"/>
          <w:color w:val="000000"/>
          <w:sz w:val="16"/>
          <w:szCs w:val="16"/>
          <w:lang w:val="en-US" w:eastAsia="es-MX"/>
        </w:rPr>
        <w:t xml:space="preserve">Article 4 of Convention No. 158. </w:t>
      </w:r>
      <w:r w:rsidRPr="000E696E">
        <w:rPr>
          <w:rFonts w:ascii="Verdana" w:hAnsi="Verdana"/>
          <w:sz w:val="16"/>
          <w:szCs w:val="16"/>
          <w:lang w:val="en-US"/>
        </w:rPr>
        <w:t>The employment of a worker shall not be terminated unless there is a valid reason for such termination connected with the capacity or conduct of the worker or based on the operational requirements of the undertaking, establishment or service.</w:t>
      </w:r>
    </w:p>
  </w:footnote>
  <w:footnote w:id="215">
    <w:p w14:paraId="68A59092" w14:textId="52CF33C3" w:rsidR="0068647C" w:rsidRPr="000E696E" w:rsidRDefault="0068647C" w:rsidP="005F0B9D">
      <w:pPr>
        <w:spacing w:after="60"/>
        <w:jc w:val="both"/>
        <w:rPr>
          <w:rFonts w:ascii="Verdana" w:eastAsia="Times New Roman" w:hAnsi="Verdana"/>
          <w:sz w:val="16"/>
          <w:szCs w:val="16"/>
          <w:lang w:val="en-US"/>
        </w:rPr>
      </w:pPr>
      <w:r w:rsidRPr="000E696E">
        <w:rPr>
          <w:rStyle w:val="Refdenotaalpie"/>
          <w:color w:val="000000"/>
          <w:sz w:val="16"/>
          <w:szCs w:val="16"/>
          <w:lang w:val="en-US"/>
        </w:rPr>
        <w:footnoteRef/>
      </w:r>
      <w:r w:rsidRPr="000E696E">
        <w:rPr>
          <w:rFonts w:ascii="Verdana" w:hAnsi="Verdana"/>
          <w:color w:val="000000"/>
          <w:sz w:val="16"/>
          <w:szCs w:val="16"/>
          <w:lang w:val="en-US"/>
        </w:rPr>
        <w:t xml:space="preserve"> </w:t>
      </w:r>
      <w:r w:rsidRPr="000E696E">
        <w:rPr>
          <w:rFonts w:ascii="Verdana" w:hAnsi="Verdana"/>
          <w:color w:val="000000"/>
          <w:sz w:val="16"/>
          <w:szCs w:val="16"/>
          <w:lang w:val="en-US"/>
        </w:rPr>
        <w:tab/>
      </w:r>
      <w:r w:rsidRPr="000E696E">
        <w:rPr>
          <w:rFonts w:ascii="Verdana" w:eastAsia="Times New Roman" w:hAnsi="Verdana" w:cs="Arial"/>
          <w:color w:val="000000"/>
          <w:sz w:val="16"/>
          <w:szCs w:val="16"/>
          <w:lang w:val="en-US" w:eastAsia="es-MX"/>
        </w:rPr>
        <w:t xml:space="preserve">Article 5 of Convention No. 158. </w:t>
      </w:r>
      <w:r w:rsidRPr="000E696E">
        <w:rPr>
          <w:rFonts w:ascii="Verdana" w:eastAsia="Times New Roman" w:hAnsi="Verdana"/>
          <w:sz w:val="16"/>
          <w:szCs w:val="16"/>
          <w:lang w:val="en-US"/>
        </w:rPr>
        <w:t>The following, inter alia, shall not constitute valid reasons for termination: (a) union membership or participation in union activities outside working hours or, with the consent of the employer, within working hours; (b) seeking office as, or acting or having acted in the capacity of, a workers' representative; (c) the filing of a complaint or the participation in proceedings against an employer involving alleged violation of laws or regulations or recourse to competent administrative authorities;[…].</w:t>
      </w:r>
    </w:p>
  </w:footnote>
  <w:footnote w:id="216">
    <w:p w14:paraId="3D4B9962" w14:textId="64C5985B"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 xml:space="preserve">Cf. </w:t>
      </w:r>
      <w:r w:rsidRPr="000E696E">
        <w:t>ILO, Recommendation on Workers’ Representatives, 1971 (No. 143), Recommendation on protection and facilities that should be afforded to workers’ representatives. Fifty-sixth Session of the ILO General Conference; date adopted June 23, 1971. Paragraph 5: Workers' representatives in the undertaking should enjoy effective protection against any act prejudicial to them, including dismissal, based on their status or activities as a workers' representative or on union membership or participation in union activities, in so far as they act in conformity with existing laws or collective agreements or other jointly agreed arrangements. Paragraph 6: (1) Where there are not sufficient relevant protective measures applicable to workers in general, specific measures should be taken to ensure effective protection of workers' representatives. (2) These might include such measures as the following: (a) detailed and precise definition of the reasons justifying termination of employment of workers' representatives; (b) a requirement of consultation with, an advisory opinion from, or agreement of an independent body, public or private, or a joint body, before the dismissal of a workers' representative becomes final; (c) a special recourse procedure open to workers' representatives who consider that their employment has been unjustifiably terminated, or that they have been subjected to an unfavourable change in their conditions of employment or to unfair treatment; (d) in respect of the unjustified termination of employment of workers' representatives, provision for an effective remedy which, unless this is contrary to basic principles of the law of the country concerned, should include the reinstatement of such representatives in their job, with payment of unpaid wages and with maintenance of their acquired rights; (e) provision for laying upon the employer, in the case of any alleged discriminatory dismissal or unfavourable change in the conditions of employment of a workers' representative, the burden of proving that such action was justified; (f) recognition of a priority to be given to workers' representatives with regard to their retention in employment in case of reduction of the workforce.</w:t>
      </w:r>
    </w:p>
  </w:footnote>
  <w:footnote w:id="217">
    <w:p w14:paraId="563D2A39" w14:textId="143CE129"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Also, the United Nations General Assembly adopted Agenda 2030, which includes 17 Sustainable Development Goals and 169 targets to benefit people, the planet and prosperity. In particular, Goal 8 promotes sustained, inclusive and sustainable economic growth, full and productive employment and decent work for all. Targets 8.5 and 8.8 are addressed at protecting workers’ rights and promoting a safe and secure working environment. </w:t>
      </w:r>
    </w:p>
  </w:footnote>
  <w:footnote w:id="218">
    <w:p w14:paraId="3EE29563" w14:textId="6732A621"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Mutatis mutandi</w:t>
      </w:r>
      <w:r>
        <w:rPr>
          <w:i/>
          <w:iCs/>
        </w:rPr>
        <w:t>s</w:t>
      </w:r>
      <w:r w:rsidRPr="000E696E">
        <w:rPr>
          <w:i/>
          <w:iCs/>
        </w:rPr>
        <w:t xml:space="preserve">, Case of Ximenes Lopes v. Brazil. </w:t>
      </w:r>
      <w:r w:rsidRPr="000E696E">
        <w:t xml:space="preserve">Judgment of July 4, 2006. </w:t>
      </w:r>
      <w:r w:rsidRPr="00B06D8F">
        <w:rPr>
          <w:lang w:val="es-CR"/>
        </w:rPr>
        <w:t>Serie C No. 149, para. 99;</w:t>
      </w:r>
      <w:r w:rsidRPr="00B06D8F">
        <w:rPr>
          <w:i/>
          <w:iCs/>
          <w:lang w:val="es-CR"/>
        </w:rPr>
        <w:t xml:space="preserve"> Case of Suárez Peralta v. Ecuador, supra, </w:t>
      </w:r>
      <w:r w:rsidRPr="00B06D8F">
        <w:rPr>
          <w:lang w:val="es-CR"/>
        </w:rPr>
        <w:t xml:space="preserve">para. </w:t>
      </w:r>
      <w:r w:rsidRPr="000E696E">
        <w:t>133, and</w:t>
      </w:r>
      <w:r w:rsidRPr="000E696E">
        <w:rPr>
          <w:i/>
          <w:iCs/>
        </w:rPr>
        <w:t xml:space="preserve"> Case of the Kaliña and Lokono Peoples v. Suriname. Merits, reparations and costs.</w:t>
      </w:r>
      <w:r w:rsidRPr="000E696E">
        <w:t xml:space="preserve"> Judgment of November 25, 2015, Serie C No. 309, para. 216.</w:t>
      </w:r>
    </w:p>
  </w:footnote>
  <w:footnote w:id="219">
    <w:p w14:paraId="487C6B70" w14:textId="50388C2D"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w:t>
      </w:r>
      <w:r w:rsidRPr="000E696E">
        <w:t xml:space="preserve"> </w:t>
      </w:r>
      <w:r w:rsidRPr="000E696E">
        <w:rPr>
          <w:rStyle w:val="Textoennegrita"/>
          <w:b w:val="0"/>
          <w:i/>
          <w:color w:val="000000"/>
          <w:shd w:val="clear" w:color="auto" w:fill="FFFFFF"/>
        </w:rPr>
        <w:t>Case of Escher et al. v. Brazil. Preliminary objections, merits, reparations and costs.</w:t>
      </w:r>
      <w:r w:rsidRPr="000E696E">
        <w:rPr>
          <w:rStyle w:val="Textoennegrita"/>
          <w:b w:val="0"/>
          <w:color w:val="000000"/>
          <w:shd w:val="clear" w:color="auto" w:fill="FFFFFF"/>
        </w:rPr>
        <w:t xml:space="preserve"> Judgment of July 6, 2009. Series C No. 200, para. 169.</w:t>
      </w:r>
    </w:p>
  </w:footnote>
  <w:footnote w:id="220">
    <w:p w14:paraId="2FE182D0" w14:textId="09420A16" w:rsidR="0068647C" w:rsidRPr="000E696E" w:rsidRDefault="0068647C" w:rsidP="00D61BD2">
      <w:pPr>
        <w:pStyle w:val="Textonotapie"/>
      </w:pPr>
      <w:r w:rsidRPr="000E696E">
        <w:rPr>
          <w:rStyle w:val="Refdenotaalpie"/>
          <w:sz w:val="16"/>
        </w:rPr>
        <w:footnoteRef/>
      </w:r>
      <w:r w:rsidRPr="000E696E">
        <w:t xml:space="preserve"> </w:t>
      </w:r>
      <w:r w:rsidRPr="000E696E">
        <w:rPr>
          <w:rStyle w:val="apple-converted-space"/>
          <w:bCs/>
          <w:color w:val="000000"/>
          <w:shd w:val="clear" w:color="auto" w:fill="FFFFFF"/>
        </w:rPr>
        <w:tab/>
      </w:r>
      <w:r w:rsidRPr="000E696E">
        <w:rPr>
          <w:rStyle w:val="apple-converted-space"/>
          <w:bCs/>
          <w:i/>
          <w:color w:val="000000"/>
          <w:shd w:val="clear" w:color="auto" w:fill="FFFFFF"/>
        </w:rPr>
        <w:t xml:space="preserve">Cf. </w:t>
      </w:r>
      <w:r w:rsidRPr="000E696E">
        <w:rPr>
          <w:rStyle w:val="Textoennegrita"/>
          <w:b w:val="0"/>
          <w:i/>
          <w:color w:val="000000"/>
          <w:shd w:val="clear" w:color="auto" w:fill="FFFFFF"/>
        </w:rPr>
        <w:t>Case of Baena Ricardo et al. v. Panama. Merits, reparations and costs, supra,</w:t>
      </w:r>
      <w:r w:rsidRPr="000E696E">
        <w:rPr>
          <w:rStyle w:val="Textoennegrita"/>
          <w:b w:val="0"/>
          <w:color w:val="000000"/>
          <w:shd w:val="clear" w:color="auto" w:fill="FFFFFF"/>
        </w:rPr>
        <w:t xml:space="preserve"> para. 156, and </w:t>
      </w:r>
      <w:r w:rsidRPr="000E696E">
        <w:rPr>
          <w:rStyle w:val="Textoennegrita"/>
          <w:b w:val="0"/>
          <w:i/>
          <w:color w:val="000000"/>
          <w:shd w:val="clear" w:color="auto" w:fill="FFFFFF"/>
        </w:rPr>
        <w:t>Case of the Members of the Village of Chichupac and neighboring communities of the Municipality of Rabinal v. Guatemala.</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Preliminary objections, merits, reparations and costs.</w:t>
      </w:r>
      <w:r w:rsidRPr="000E696E">
        <w:rPr>
          <w:rStyle w:val="Textoennegrita"/>
          <w:b w:val="0"/>
          <w:color w:val="000000"/>
          <w:shd w:val="clear" w:color="auto" w:fill="FFFFFF"/>
        </w:rPr>
        <w:t xml:space="preserve"> Judgment of November 30, 2016. Series C No. 328, para. 205.</w:t>
      </w:r>
    </w:p>
  </w:footnote>
  <w:footnote w:id="221">
    <w:p w14:paraId="796435BC" w14:textId="4EA7CBE0"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rStyle w:val="Textoennegrita"/>
          <w:b w:val="0"/>
          <w:i/>
          <w:color w:val="000000"/>
          <w:shd w:val="clear" w:color="auto" w:fill="FFFFFF"/>
        </w:rPr>
        <w:t>Case of Huilca Tecse v. Peru. Merits, reparations and costs.</w:t>
      </w:r>
      <w:r w:rsidRPr="000E696E">
        <w:rPr>
          <w:rStyle w:val="Textoennegrita"/>
          <w:b w:val="0"/>
          <w:color w:val="000000"/>
          <w:shd w:val="clear" w:color="auto" w:fill="FFFFFF"/>
        </w:rPr>
        <w:t xml:space="preserve"> Judgment of March 3, 2005. Series C No. 121, para. 121, and </w:t>
      </w:r>
      <w:r w:rsidRPr="000E696E">
        <w:rPr>
          <w:rStyle w:val="Textoennegrita"/>
          <w:b w:val="0"/>
          <w:i/>
          <w:color w:val="000000"/>
          <w:shd w:val="clear" w:color="auto" w:fill="FFFFFF"/>
        </w:rPr>
        <w:t>Case of Yarce et al. v. Colombia, supra</w:t>
      </w:r>
      <w:r w:rsidRPr="000E696E">
        <w:rPr>
          <w:rStyle w:val="Textoennegrita"/>
          <w:b w:val="0"/>
          <w:color w:val="000000"/>
          <w:shd w:val="clear" w:color="auto" w:fill="FFFFFF"/>
        </w:rPr>
        <w:t>, para. 271.</w:t>
      </w:r>
    </w:p>
  </w:footnote>
  <w:footnote w:id="222">
    <w:p w14:paraId="146E54C7" w14:textId="74F8C297" w:rsidR="0068647C" w:rsidRPr="000E696E" w:rsidRDefault="0068647C" w:rsidP="00D61BD2">
      <w:pPr>
        <w:pStyle w:val="Textonotapie"/>
        <w:rPr>
          <w:b/>
        </w:rPr>
      </w:pPr>
      <w:r w:rsidRPr="000E696E">
        <w:rPr>
          <w:rStyle w:val="Refdenotaalpie"/>
          <w:sz w:val="16"/>
        </w:rPr>
        <w:footnoteRef/>
      </w:r>
      <w:r w:rsidRPr="000E696E">
        <w:t xml:space="preserve"> </w:t>
      </w:r>
      <w:r w:rsidRPr="000E696E">
        <w:tab/>
      </w:r>
      <w:r w:rsidRPr="000E696E">
        <w:rPr>
          <w:rStyle w:val="apple-converted-space"/>
          <w:bCs/>
          <w:i/>
          <w:color w:val="000000"/>
          <w:shd w:val="clear" w:color="auto" w:fill="FFFFFF"/>
        </w:rPr>
        <w:t>Cf.</w:t>
      </w:r>
      <w:r w:rsidRPr="000E696E">
        <w:rPr>
          <w:rStyle w:val="apple-converted-space"/>
          <w:b/>
          <w:bCs/>
          <w:i/>
          <w:color w:val="000000"/>
          <w:shd w:val="clear" w:color="auto" w:fill="FFFFFF"/>
        </w:rPr>
        <w:t xml:space="preserve"> </w:t>
      </w:r>
      <w:r w:rsidRPr="000E696E">
        <w:rPr>
          <w:rStyle w:val="Textoennegrita"/>
          <w:b w:val="0"/>
          <w:i/>
          <w:color w:val="000000"/>
          <w:shd w:val="clear" w:color="auto" w:fill="FFFFFF"/>
        </w:rPr>
        <w:t>Case of Baena Ricardo et al. v. Panama. Merits, reparations and costs, supra,</w:t>
      </w:r>
      <w:r w:rsidRPr="000E696E">
        <w:rPr>
          <w:rStyle w:val="Textoennegrita"/>
          <w:b w:val="0"/>
          <w:color w:val="000000"/>
          <w:shd w:val="clear" w:color="auto" w:fill="FFFFFF"/>
        </w:rPr>
        <w:t xml:space="preserve"> para. 156.</w:t>
      </w:r>
    </w:p>
  </w:footnote>
  <w:footnote w:id="223">
    <w:p w14:paraId="67B703EC" w14:textId="7DC9FC4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rStyle w:val="apple-converted-space"/>
          <w:bCs/>
          <w:i/>
          <w:color w:val="000000"/>
          <w:shd w:val="clear" w:color="auto" w:fill="FFFFFF"/>
        </w:rPr>
        <w:t>Cf.</w:t>
      </w:r>
      <w:r w:rsidRPr="000E696E">
        <w:rPr>
          <w:rStyle w:val="apple-converted-space"/>
          <w:b/>
          <w:bCs/>
          <w:i/>
          <w:color w:val="000000"/>
          <w:shd w:val="clear" w:color="auto" w:fill="FFFFFF"/>
        </w:rPr>
        <w:t xml:space="preserve"> </w:t>
      </w:r>
      <w:r w:rsidRPr="000E696E">
        <w:rPr>
          <w:rStyle w:val="Textoennegrita"/>
          <w:b w:val="0"/>
          <w:i/>
          <w:color w:val="000000"/>
          <w:shd w:val="clear" w:color="auto" w:fill="FFFFFF"/>
        </w:rPr>
        <w:t>Case of Baena Ricardo et al. v. Panama. Merits, reparations and costs, supra</w:t>
      </w:r>
      <w:r w:rsidRPr="000E696E">
        <w:rPr>
          <w:rStyle w:val="Textoennegrita"/>
          <w:b w:val="0"/>
          <w:color w:val="000000"/>
          <w:shd w:val="clear" w:color="auto" w:fill="FFFFFF"/>
        </w:rPr>
        <w:t>, para. 158.</w:t>
      </w:r>
    </w:p>
  </w:footnote>
  <w:footnote w:id="224">
    <w:p w14:paraId="731E6653" w14:textId="3EFF051C"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r>
      <w:r w:rsidRPr="000E696E">
        <w:rPr>
          <w:i/>
        </w:rPr>
        <w:t>Cf.</w:t>
      </w:r>
      <w:r w:rsidRPr="000E696E">
        <w:t xml:space="preserve"> </w:t>
      </w:r>
      <w:r w:rsidRPr="000E696E">
        <w:rPr>
          <w:rStyle w:val="Textoennegrita"/>
          <w:b w:val="0"/>
          <w:i/>
          <w:color w:val="000000"/>
          <w:shd w:val="clear" w:color="auto" w:fill="FFFFFF"/>
        </w:rPr>
        <w:t>Case of Huilca Tecse v. Peru, supra,</w:t>
      </w:r>
      <w:r w:rsidRPr="000E696E">
        <w:rPr>
          <w:rStyle w:val="Textoennegrita"/>
          <w:b w:val="0"/>
          <w:color w:val="000000"/>
          <w:shd w:val="clear" w:color="auto" w:fill="FFFFFF"/>
        </w:rPr>
        <w:t xml:space="preserve"> para. 77, and </w:t>
      </w:r>
      <w:r w:rsidRPr="000E696E">
        <w:rPr>
          <w:rStyle w:val="Textoennegrita"/>
          <w:b w:val="0"/>
          <w:i/>
          <w:color w:val="000000"/>
          <w:shd w:val="clear" w:color="auto" w:fill="FFFFFF"/>
        </w:rPr>
        <w:t>Case of Cantoral Huamaní and García Santa Cruz v. Peru. Preliminary objections, merits, reparations and costs.</w:t>
      </w:r>
      <w:r w:rsidRPr="000E696E">
        <w:rPr>
          <w:rStyle w:val="Textoennegrita"/>
          <w:b w:val="0"/>
          <w:color w:val="000000"/>
          <w:shd w:val="clear" w:color="auto" w:fill="FFFFFF"/>
        </w:rPr>
        <w:t xml:space="preserve"> Judgment of July 10, 2007. Series C No. 167, para. </w:t>
      </w:r>
      <w:r w:rsidRPr="004204B2">
        <w:rPr>
          <w:rStyle w:val="Textoennegrita"/>
          <w:b w:val="0"/>
          <w:color w:val="000000"/>
          <w:shd w:val="clear" w:color="auto" w:fill="FFFFFF"/>
          <w:lang w:val="es-CR"/>
        </w:rPr>
        <w:t>146.</w:t>
      </w:r>
    </w:p>
  </w:footnote>
  <w:footnote w:id="225">
    <w:p w14:paraId="70486613" w14:textId="70ECA282"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iCs/>
          <w:lang w:val="es-CR"/>
        </w:rPr>
        <w:t>Cf.</w:t>
      </w:r>
      <w:r w:rsidRPr="004204B2">
        <w:rPr>
          <w:lang w:val="es-CR"/>
        </w:rPr>
        <w:t xml:space="preserve"> </w:t>
      </w:r>
      <w:r w:rsidRPr="004204B2">
        <w:rPr>
          <w:rStyle w:val="Textoennegrita"/>
          <w:b w:val="0"/>
          <w:i/>
          <w:color w:val="000000"/>
          <w:shd w:val="clear" w:color="auto" w:fill="FFFFFF"/>
          <w:lang w:val="es-CR"/>
        </w:rPr>
        <w:t xml:space="preserve">Case of Huilca </w:t>
      </w:r>
      <w:r w:rsidRPr="004204B2">
        <w:rPr>
          <w:rStyle w:val="Textoennegrita"/>
          <w:b w:val="0"/>
          <w:i/>
          <w:color w:val="000000"/>
          <w:shd w:val="clear" w:color="auto" w:fill="FFFFFF"/>
          <w:lang w:val="es-CR"/>
        </w:rPr>
        <w:t>Tecse v. Peru, supra,</w:t>
      </w:r>
      <w:r w:rsidRPr="004204B2">
        <w:rPr>
          <w:rStyle w:val="Textoennegrita"/>
          <w:b w:val="0"/>
          <w:color w:val="000000"/>
          <w:shd w:val="clear" w:color="auto" w:fill="FFFFFF"/>
          <w:lang w:val="es-CR"/>
        </w:rPr>
        <w:t xml:space="preserve"> para. 70.</w:t>
      </w:r>
    </w:p>
  </w:footnote>
  <w:footnote w:id="226">
    <w:p w14:paraId="2480E4B5" w14:textId="29B9CDBF"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rStyle w:val="apple-converted-space"/>
          <w:bCs/>
          <w:i/>
          <w:shd w:val="clear" w:color="auto" w:fill="FFFFFF"/>
          <w:lang w:val="es-CR"/>
        </w:rPr>
        <w:t xml:space="preserve">Cf. </w:t>
      </w:r>
      <w:r w:rsidRPr="004204B2">
        <w:rPr>
          <w:rStyle w:val="Textoennegrita"/>
          <w:b w:val="0"/>
          <w:i/>
          <w:shd w:val="clear" w:color="auto" w:fill="FFFFFF"/>
          <w:lang w:val="es-CR"/>
        </w:rPr>
        <w:t xml:space="preserve">Case of Baena Ricardo et al. v. </w:t>
      </w:r>
      <w:r w:rsidRPr="004204B2">
        <w:rPr>
          <w:rStyle w:val="Textoennegrita"/>
          <w:b w:val="0"/>
          <w:i/>
          <w:shd w:val="clear" w:color="auto" w:fill="FFFFFF"/>
          <w:lang w:val="es-CR"/>
        </w:rPr>
        <w:t>Panama</w:t>
      </w:r>
      <w:r w:rsidRPr="004204B2">
        <w:rPr>
          <w:rStyle w:val="Textoennegrita"/>
          <w:b w:val="0"/>
          <w:shd w:val="clear" w:color="auto" w:fill="FFFFFF"/>
          <w:lang w:val="es-CR"/>
        </w:rPr>
        <w:t xml:space="preserve">. </w:t>
      </w:r>
      <w:r w:rsidRPr="004204B2">
        <w:rPr>
          <w:rStyle w:val="Textoennegrita"/>
          <w:b w:val="0"/>
          <w:i/>
          <w:color w:val="000000"/>
          <w:shd w:val="clear" w:color="auto" w:fill="FFFFFF"/>
          <w:lang w:val="es-CR"/>
        </w:rPr>
        <w:t xml:space="preserve">Merits, </w:t>
      </w:r>
      <w:r w:rsidRPr="004204B2">
        <w:rPr>
          <w:rStyle w:val="Textoennegrita"/>
          <w:b w:val="0"/>
          <w:i/>
          <w:shd w:val="clear" w:color="auto" w:fill="FFFFFF"/>
          <w:lang w:val="es-CR"/>
        </w:rPr>
        <w:t>supra</w:t>
      </w:r>
      <w:r w:rsidRPr="004204B2">
        <w:rPr>
          <w:rStyle w:val="Textoennegrita"/>
          <w:b w:val="0"/>
          <w:shd w:val="clear" w:color="auto" w:fill="FFFFFF"/>
          <w:lang w:val="es-CR"/>
        </w:rPr>
        <w:t xml:space="preserve">, para. </w:t>
      </w:r>
      <w:r w:rsidRPr="000E696E">
        <w:rPr>
          <w:rStyle w:val="Textoennegrita"/>
          <w:b w:val="0"/>
          <w:shd w:val="clear" w:color="auto" w:fill="FFFFFF"/>
        </w:rPr>
        <w:t>156</w:t>
      </w:r>
      <w:r w:rsidRPr="000E696E">
        <w:t>, and Case of Cantoral Huamaní and García Santa Cruz v. Peru, supra, paras. 144 to 146.</w:t>
      </w:r>
    </w:p>
  </w:footnote>
  <w:footnote w:id="227">
    <w:p w14:paraId="7FD2CCB1" w14:textId="7F04BE8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ILO. Convention No. 87 Freedom of Association and Protection of the Right to Organize, of June 17, 1948 and Convention No. 98 Right to Organize and Collective Bargaining, of June 8, 1949.</w:t>
      </w:r>
    </w:p>
  </w:footnote>
  <w:footnote w:id="228">
    <w:p w14:paraId="55039371" w14:textId="63E6A8AB" w:rsidR="0068647C" w:rsidRPr="000E696E" w:rsidRDefault="0068647C" w:rsidP="00D61BD2">
      <w:pPr>
        <w:pStyle w:val="Textonotapie"/>
        <w:rPr>
          <w:rFonts w:eastAsia="Calibri"/>
          <w:shd w:val="clear" w:color="auto" w:fill="FFFFFF"/>
          <w:lang w:eastAsia="en-US"/>
        </w:rPr>
      </w:pPr>
      <w:r w:rsidRPr="000E696E">
        <w:rPr>
          <w:rStyle w:val="Refdenotaalpie"/>
          <w:sz w:val="16"/>
        </w:rPr>
        <w:footnoteRef/>
      </w:r>
      <w:r w:rsidRPr="004204B2">
        <w:rPr>
          <w:lang w:val="es-CR"/>
        </w:rPr>
        <w:t xml:space="preserve"> </w:t>
      </w:r>
      <w:r w:rsidRPr="004204B2">
        <w:rPr>
          <w:lang w:val="es-CR"/>
        </w:rPr>
        <w:tab/>
      </w:r>
      <w:r w:rsidRPr="004204B2">
        <w:rPr>
          <w:rStyle w:val="apple-converted-space"/>
          <w:bCs/>
          <w:i/>
          <w:color w:val="000000"/>
          <w:shd w:val="clear" w:color="auto" w:fill="FFFFFF"/>
          <w:lang w:val="es-CR"/>
        </w:rPr>
        <w:t>Cf.</w:t>
      </w:r>
      <w:r w:rsidRPr="004204B2">
        <w:rPr>
          <w:rStyle w:val="apple-converted-space"/>
          <w:b/>
          <w:bCs/>
          <w:i/>
          <w:color w:val="000000"/>
          <w:shd w:val="clear" w:color="auto" w:fill="FFFFFF"/>
          <w:lang w:val="es-CR"/>
        </w:rPr>
        <w:t xml:space="preserve"> </w:t>
      </w:r>
      <w:r w:rsidRPr="004204B2">
        <w:rPr>
          <w:rStyle w:val="Textoennegrita"/>
          <w:b w:val="0"/>
          <w:i/>
          <w:color w:val="000000"/>
          <w:shd w:val="clear" w:color="auto" w:fill="FFFFFF"/>
          <w:lang w:val="es-CR"/>
        </w:rPr>
        <w:t xml:space="preserve">Case of Baena Ricardo et al. v. </w:t>
      </w:r>
      <w:r w:rsidRPr="004204B2">
        <w:rPr>
          <w:rStyle w:val="Textoennegrita"/>
          <w:b w:val="0"/>
          <w:i/>
          <w:color w:val="000000"/>
          <w:shd w:val="clear" w:color="auto" w:fill="FFFFFF"/>
          <w:lang w:val="es-CR"/>
        </w:rPr>
        <w:t>Panama</w:t>
      </w:r>
      <w:r w:rsidRPr="004204B2">
        <w:rPr>
          <w:rStyle w:val="Textoennegrita"/>
          <w:b w:val="0"/>
          <w:color w:val="000000"/>
          <w:shd w:val="clear" w:color="auto" w:fill="FFFFFF"/>
          <w:lang w:val="es-CR"/>
        </w:rPr>
        <w:t xml:space="preserve">. </w:t>
      </w:r>
      <w:r w:rsidRPr="004204B2">
        <w:rPr>
          <w:rStyle w:val="Textoennegrita"/>
          <w:b w:val="0"/>
          <w:i/>
          <w:color w:val="000000"/>
          <w:shd w:val="clear" w:color="auto" w:fill="FFFFFF"/>
          <w:lang w:val="es-CR"/>
        </w:rPr>
        <w:t>Merits, supra,</w:t>
      </w:r>
      <w:r w:rsidRPr="004204B2">
        <w:rPr>
          <w:rStyle w:val="Textoennegrita"/>
          <w:b w:val="0"/>
          <w:color w:val="000000"/>
          <w:shd w:val="clear" w:color="auto" w:fill="FFFFFF"/>
          <w:lang w:val="es-CR"/>
        </w:rPr>
        <w:t xml:space="preserve"> para. </w:t>
      </w:r>
      <w:r w:rsidRPr="000E696E">
        <w:rPr>
          <w:rStyle w:val="Textoennegrita"/>
          <w:b w:val="0"/>
          <w:color w:val="000000"/>
          <w:shd w:val="clear" w:color="auto" w:fill="FFFFFF"/>
        </w:rPr>
        <w:t>158</w:t>
      </w:r>
      <w:r w:rsidRPr="000E696E">
        <w:rPr>
          <w:rFonts w:cs="StempelSchneidler-Light"/>
        </w:rPr>
        <w:t>.</w:t>
      </w:r>
    </w:p>
  </w:footnote>
  <w:footnote w:id="229">
    <w:p w14:paraId="053C3A89" w14:textId="602E0272"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Protocol of San Salvador, Article 19(6); </w:t>
      </w:r>
      <w:r w:rsidRPr="000E696E">
        <w:rPr>
          <w:rStyle w:val="Textoennegrita"/>
          <w:b w:val="0"/>
          <w:i/>
          <w:color w:val="000000"/>
          <w:shd w:val="clear" w:color="auto" w:fill="FFFFFF"/>
        </w:rPr>
        <w:t>Entitlement of Legal Entities to Hold Rights under the Inter-American Human Rights System (Interpretation and scope of Article 1.2, in relation to Articles 1(1) , 8, 11(2), 13, 16, 21, 24, 25, 29, 30, 44, 46, and 62(3) of the American Convention on Human Rights, and of Article 8(1) A and B of the Protocol of San Salvador).</w:t>
      </w:r>
      <w:r w:rsidRPr="000E696E">
        <w:rPr>
          <w:rStyle w:val="Textoennegrita"/>
          <w:b w:val="0"/>
          <w:color w:val="000000"/>
          <w:shd w:val="clear" w:color="auto" w:fill="FFFFFF"/>
        </w:rPr>
        <w:t xml:space="preserve"> </w:t>
      </w:r>
      <w:r w:rsidRPr="000E696E">
        <w:rPr>
          <w:rStyle w:val="Textoennegrita"/>
          <w:b w:val="0"/>
          <w:i/>
          <w:color w:val="000000"/>
          <w:shd w:val="clear" w:color="auto" w:fill="FFFFFF"/>
        </w:rPr>
        <w:t>Advisory Opinion OC-22/16</w:t>
      </w:r>
      <w:r w:rsidRPr="000E696E">
        <w:rPr>
          <w:rStyle w:val="Textoennegrita"/>
          <w:b w:val="0"/>
          <w:color w:val="000000"/>
          <w:shd w:val="clear" w:color="auto" w:fill="FFFFFF"/>
        </w:rPr>
        <w:t xml:space="preserve"> of February 26, 2016. Series A No. 22, para. 87, and </w:t>
      </w:r>
      <w:r w:rsidRPr="000E696E">
        <w:rPr>
          <w:iCs/>
        </w:rPr>
        <w:t xml:space="preserve">Case of Huilca Tecse v. Peru, supra, </w:t>
      </w:r>
      <w:r w:rsidRPr="000E696E">
        <w:t>para. 74</w:t>
      </w:r>
      <w:r w:rsidRPr="000E696E">
        <w:rPr>
          <w:rStyle w:val="Textoennegrita"/>
          <w:b w:val="0"/>
          <w:color w:val="000000"/>
          <w:shd w:val="clear" w:color="auto" w:fill="FFFFFF"/>
        </w:rPr>
        <w:t>.</w:t>
      </w:r>
    </w:p>
  </w:footnote>
  <w:footnote w:id="230">
    <w:p w14:paraId="729E3D22" w14:textId="304B32F9"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American Declaration of the Rights and Duties of Man, Article XXII; Charter of the Organization of American States, Article 45(c); Inter-American Democratic Charter, Preamble, and ILO Convention on workers’ representatives,  </w:t>
      </w:r>
      <w:r w:rsidRPr="000E696E">
        <w:rPr>
          <w:i/>
        </w:rPr>
        <w:t>supra</w:t>
      </w:r>
      <w:r w:rsidRPr="000E696E">
        <w:t xml:space="preserve">, Article 3(b). </w:t>
      </w:r>
    </w:p>
  </w:footnote>
  <w:footnote w:id="231">
    <w:p w14:paraId="3B9C375D" w14:textId="7F18AB8B" w:rsidR="0068647C" w:rsidRPr="000E696E" w:rsidRDefault="0068647C" w:rsidP="00D61BD2">
      <w:pPr>
        <w:pStyle w:val="Textonotapie"/>
      </w:pPr>
      <w:r w:rsidRPr="000E696E">
        <w:rPr>
          <w:rStyle w:val="Refdenotaalpie"/>
          <w:sz w:val="16"/>
        </w:rPr>
        <w:footnoteRef/>
      </w:r>
      <w:r w:rsidRPr="000E696E">
        <w:t xml:space="preserve"> </w:t>
      </w:r>
      <w:r w:rsidRPr="000E696E">
        <w:tab/>
        <w:t xml:space="preserve">Convention on Worker’s Representatives, </w:t>
      </w:r>
      <w:r w:rsidRPr="000E696E">
        <w:rPr>
          <w:i/>
        </w:rPr>
        <w:t>supra</w:t>
      </w:r>
      <w:r w:rsidRPr="000E696E">
        <w:t>, Article 3(b).</w:t>
      </w:r>
    </w:p>
  </w:footnote>
  <w:footnote w:id="232">
    <w:p w14:paraId="7304C7EB" w14:textId="1D1C1DA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ILO, Recommendation on Workers’ Representatives, 1971 (No. 143), </w:t>
      </w:r>
      <w:r w:rsidRPr="000E696E">
        <w:rPr>
          <w:i/>
        </w:rPr>
        <w:t xml:space="preserve">supra, </w:t>
      </w:r>
      <w:r w:rsidRPr="000E696E">
        <w:t xml:space="preserve">paragraph 5, and </w:t>
      </w:r>
      <w:r w:rsidRPr="000E696E">
        <w:rPr>
          <w:i/>
        </w:rPr>
        <w:t>mutatis mutandi</w:t>
      </w:r>
      <w:r>
        <w:rPr>
          <w:i/>
        </w:rPr>
        <w:t>s</w:t>
      </w:r>
      <w:r w:rsidRPr="000E696E">
        <w:t xml:space="preserve">, ECHR, </w:t>
      </w:r>
      <w:r w:rsidRPr="000E696E">
        <w:rPr>
          <w:i/>
        </w:rPr>
        <w:t>Case of Csánics v. Hungary</w:t>
      </w:r>
      <w:r w:rsidRPr="000E696E">
        <w:t xml:space="preserve">, No. 12188/06. Judgment of January 20, 2009; ECHR, </w:t>
      </w:r>
      <w:r w:rsidRPr="000E696E">
        <w:rPr>
          <w:i/>
        </w:rPr>
        <w:t>Case of Szima v. Hungary,</w:t>
      </w:r>
      <w:r w:rsidRPr="000E696E">
        <w:t xml:space="preserve"> No. 29723/11. Judgment of October 9, 2012, and ECHR, </w:t>
      </w:r>
      <w:r w:rsidRPr="000E696E">
        <w:rPr>
          <w:i/>
        </w:rPr>
        <w:t>Case of Heinisch v. Germany</w:t>
      </w:r>
      <w:r w:rsidRPr="000E696E">
        <w:t>, No. 28274/08. Judgment of July 21, 2011.</w:t>
      </w:r>
    </w:p>
  </w:footnote>
  <w:footnote w:id="233">
    <w:p w14:paraId="19767A1C" w14:textId="3F027F51" w:rsidR="0068647C" w:rsidRPr="000E696E" w:rsidRDefault="0068647C" w:rsidP="00D61BD2">
      <w:pPr>
        <w:pStyle w:val="Textonotapie"/>
      </w:pPr>
      <w:r w:rsidRPr="000E696E">
        <w:rPr>
          <w:rStyle w:val="Refdenotaalpie"/>
          <w:sz w:val="16"/>
        </w:rPr>
        <w:footnoteRef/>
      </w:r>
      <w:r w:rsidRPr="000E696E">
        <w:t xml:space="preserve"> </w:t>
      </w:r>
      <w:r w:rsidRPr="000E696E">
        <w:tab/>
        <w:t xml:space="preserve">ECHR. </w:t>
      </w:r>
      <w:r w:rsidRPr="00D65783">
        <w:rPr>
          <w:i/>
          <w:iCs/>
        </w:rPr>
        <w:t>Case of Palomo Sánchez and Others v. Spain [GS], supra</w:t>
      </w:r>
      <w:r w:rsidRPr="000E696E">
        <w:t>, para. 56.</w:t>
      </w:r>
    </w:p>
  </w:footnote>
  <w:footnote w:id="234">
    <w:p w14:paraId="713741AF" w14:textId="29CEA583"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w:t>
      </w:r>
      <w:r w:rsidRPr="000E696E">
        <w:t xml:space="preserve"> </w:t>
      </w:r>
      <w:r w:rsidRPr="000E696E">
        <w:rPr>
          <w:rStyle w:val="Textoennegrita"/>
          <w:b w:val="0"/>
          <w:i/>
          <w:color w:val="000000"/>
          <w:shd w:val="clear" w:color="auto" w:fill="FFFFFF"/>
        </w:rPr>
        <w:t xml:space="preserve">Case of Huilca Tecse v. Peru, supra, </w:t>
      </w:r>
      <w:r w:rsidRPr="000E696E">
        <w:rPr>
          <w:rStyle w:val="Textoennegrita"/>
          <w:b w:val="0"/>
          <w:color w:val="000000"/>
          <w:shd w:val="clear" w:color="auto" w:fill="FFFFFF"/>
        </w:rPr>
        <w:t xml:space="preserve">paras. 70 to 72, and </w:t>
      </w:r>
      <w:r w:rsidRPr="000E696E">
        <w:rPr>
          <w:rStyle w:val="Textoennegrita"/>
          <w:b w:val="0"/>
          <w:i/>
          <w:color w:val="000000"/>
          <w:shd w:val="clear" w:color="auto" w:fill="FFFFFF"/>
        </w:rPr>
        <w:t>Case of Cantoral Huamaní and García Santa Cruz v. Peru, supra,</w:t>
      </w:r>
      <w:r w:rsidRPr="000E696E">
        <w:rPr>
          <w:rStyle w:val="Textoennegrita"/>
          <w:b w:val="0"/>
          <w:color w:val="000000"/>
          <w:shd w:val="clear" w:color="auto" w:fill="FFFFFF"/>
        </w:rPr>
        <w:t xml:space="preserve"> para. 148.</w:t>
      </w:r>
    </w:p>
  </w:footnote>
  <w:footnote w:id="235">
    <w:p w14:paraId="6FDFDBA5" w14:textId="5AAA4517" w:rsidR="0068647C" w:rsidRPr="000E696E" w:rsidRDefault="0068647C" w:rsidP="00D61BD2">
      <w:pPr>
        <w:pStyle w:val="Textonotapie"/>
      </w:pPr>
      <w:r w:rsidRPr="000E696E">
        <w:rPr>
          <w:rStyle w:val="Refdenotaalpie"/>
          <w:sz w:val="16"/>
        </w:rPr>
        <w:footnoteRef/>
      </w:r>
      <w:r w:rsidRPr="000E696E">
        <w:t xml:space="preserve"> </w:t>
      </w:r>
      <w:r w:rsidRPr="000E696E">
        <w:tab/>
      </w:r>
      <w:r w:rsidRPr="00D65783">
        <w:rPr>
          <w:i/>
          <w:iCs/>
        </w:rPr>
        <w:t>Mutatis mutandi</w:t>
      </w:r>
      <w:r>
        <w:rPr>
          <w:i/>
          <w:iCs/>
        </w:rPr>
        <w:t>s</w:t>
      </w:r>
      <w:r w:rsidRPr="00D65783">
        <w:rPr>
          <w:i/>
          <w:iCs/>
        </w:rPr>
        <w:t>,</w:t>
      </w:r>
      <w:r w:rsidRPr="000E696E">
        <w:rPr>
          <w:iCs/>
        </w:rPr>
        <w:t xml:space="preserve"> </w:t>
      </w:r>
      <w:r w:rsidRPr="000E696E">
        <w:rPr>
          <w:rStyle w:val="Textoennegrita"/>
          <w:b w:val="0"/>
          <w:i/>
          <w:iCs/>
          <w:color w:val="000000"/>
          <w:shd w:val="clear" w:color="auto" w:fill="FFFFFF"/>
        </w:rPr>
        <w:t xml:space="preserve">Case of </w:t>
      </w:r>
      <w:r w:rsidRPr="000E696E">
        <w:rPr>
          <w:rStyle w:val="Textoennegrita"/>
          <w:b w:val="0"/>
          <w:i/>
          <w:iCs/>
          <w:color w:val="000000"/>
          <w:shd w:val="clear" w:color="auto" w:fill="FFFFFF"/>
        </w:rPr>
        <w:t>Chitay Nech et al. v. Guatemala</w:t>
      </w:r>
      <w:r w:rsidRPr="000E696E">
        <w:rPr>
          <w:rStyle w:val="Textoennegrita"/>
          <w:b w:val="0"/>
          <w:i/>
          <w:color w:val="000000"/>
          <w:shd w:val="clear" w:color="auto" w:fill="FFFFFF"/>
        </w:rPr>
        <w:t>. Preliminary objections, merits, reparations and costs.</w:t>
      </w:r>
      <w:r w:rsidRPr="000E696E">
        <w:rPr>
          <w:rStyle w:val="Textoennegrita"/>
          <w:color w:val="000000"/>
          <w:shd w:val="clear" w:color="auto" w:fill="FFFFFF"/>
        </w:rPr>
        <w:t xml:space="preserve"> </w:t>
      </w:r>
      <w:r w:rsidRPr="000E696E">
        <w:rPr>
          <w:rStyle w:val="Textoennegrita"/>
          <w:b w:val="0"/>
          <w:color w:val="000000"/>
          <w:shd w:val="clear" w:color="auto" w:fill="FFFFFF"/>
        </w:rPr>
        <w:t>Judgment of May 25, 2010. Series C No. 212,</w:t>
      </w:r>
      <w:r w:rsidRPr="000E696E">
        <w:rPr>
          <w:rStyle w:val="Textoennegrita"/>
          <w:color w:val="000000"/>
          <w:shd w:val="clear" w:color="auto" w:fill="FFFFFF"/>
        </w:rPr>
        <w:t xml:space="preserve"> </w:t>
      </w:r>
      <w:r w:rsidRPr="000E696E">
        <w:rPr>
          <w:rStyle w:val="Textoennegrita"/>
          <w:b w:val="0"/>
          <w:color w:val="000000"/>
          <w:shd w:val="clear" w:color="auto" w:fill="FFFFFF"/>
        </w:rPr>
        <w:t>para. 115.</w:t>
      </w:r>
    </w:p>
  </w:footnote>
  <w:footnote w:id="236">
    <w:p w14:paraId="6DC7EB71" w14:textId="41294417"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Case of Genie Lacayo v. Nicaragua.</w:t>
      </w:r>
      <w:r w:rsidRPr="000E696E">
        <w:t xml:space="preserve"> Preliminary objections. Judgment of January 27, 1995. Series C No. 21, para. 50, and </w:t>
      </w:r>
      <w:r w:rsidRPr="000E696E">
        <w:rPr>
          <w:i/>
          <w:iCs/>
        </w:rPr>
        <w:t>Case of J. v. Peru, supra,</w:t>
      </w:r>
      <w:r w:rsidRPr="000E696E">
        <w:t xml:space="preserve"> para. 213.</w:t>
      </w:r>
    </w:p>
  </w:footnote>
  <w:footnote w:id="237">
    <w:p w14:paraId="3916C15E" w14:textId="1AC8D5BA" w:rsidR="0068647C" w:rsidRPr="000E696E" w:rsidRDefault="0068647C" w:rsidP="00D61BD2">
      <w:pPr>
        <w:pStyle w:val="Textonotapie"/>
      </w:pPr>
      <w:r w:rsidRPr="000E696E">
        <w:rPr>
          <w:rStyle w:val="Refdenotaalpie"/>
          <w:sz w:val="16"/>
        </w:rPr>
        <w:footnoteRef/>
      </w:r>
      <w:r w:rsidRPr="000E696E">
        <w:t xml:space="preserve"> </w:t>
      </w:r>
      <w:r w:rsidRPr="000E696E">
        <w:tab/>
        <w:t>It should be noted that, before the Commission, they alleged violations of Articles 8 and 25 of the Convention; However, in the Admissibility Report, the IACHR declared Article 25 inadmissible, considering that “it d[id] not have enough evidence to infer an alleged characterization of violations of Articles 24 and 25 of the Convention.”</w:t>
      </w:r>
    </w:p>
  </w:footnote>
  <w:footnote w:id="238">
    <w:p w14:paraId="39050BA4" w14:textId="07F313CB" w:rsidR="0068647C" w:rsidRPr="000E696E" w:rsidRDefault="0068647C" w:rsidP="00D61BD2">
      <w:pPr>
        <w:pStyle w:val="Textonotapie"/>
      </w:pPr>
      <w:r w:rsidRPr="000E696E">
        <w:rPr>
          <w:rStyle w:val="Refdenotaalpie"/>
          <w:sz w:val="16"/>
        </w:rPr>
        <w:footnoteRef/>
      </w:r>
      <w:r w:rsidRPr="000E696E">
        <w:t xml:space="preserve"> </w:t>
      </w:r>
      <w:r w:rsidRPr="000E696E">
        <w:tab/>
        <w:t>The labor dispute is evident from the complaint he filed before the Labor Court. In his compliant, he indicated that “since the unfair and unjustified nature of the dismissal is well-known […], [he] ask[ed] the court […] to order the suspension of the dismissal and [his] reinstatement in [his] usual job.”</w:t>
      </w:r>
    </w:p>
  </w:footnote>
  <w:footnote w:id="239">
    <w:p w14:paraId="6832898B" w14:textId="784015CC" w:rsidR="0068647C" w:rsidRPr="000E696E" w:rsidRDefault="0068647C" w:rsidP="00D61BD2">
      <w:pPr>
        <w:pStyle w:val="Textonotapie"/>
      </w:pPr>
      <w:r w:rsidRPr="000E696E">
        <w:rPr>
          <w:rStyle w:val="Refdenotaalpie"/>
          <w:sz w:val="16"/>
        </w:rPr>
        <w:footnoteRef/>
      </w:r>
      <w:r w:rsidRPr="000E696E">
        <w:t xml:space="preserve"> </w:t>
      </w:r>
      <w:r w:rsidRPr="000E696E">
        <w:tab/>
        <w:t xml:space="preserve">In particular, the Court underlines that, in the first communication he addressed to the Inter-American Commission of October 13, 1993, the petitioner stated, among other matters, that his “right to job security indicated in article 48 of the Constitution and articles 27 and 26 of the proposed new constitution” had been violated. Initial petition lodged before the IACHR (File </w:t>
      </w:r>
      <w:r>
        <w:t>of</w:t>
      </w:r>
      <w:r w:rsidRPr="000E696E">
        <w:t xml:space="preserve"> procedure before the IACHR, f. 439).</w:t>
      </w:r>
    </w:p>
  </w:footnote>
  <w:footnote w:id="240">
    <w:p w14:paraId="3632167D" w14:textId="6B3DC1FB" w:rsidR="0068647C" w:rsidRPr="000E696E" w:rsidRDefault="0068647C" w:rsidP="00AA1EBF">
      <w:pPr>
        <w:autoSpaceDE w:val="0"/>
        <w:autoSpaceDN w:val="0"/>
        <w:adjustRightInd w:val="0"/>
        <w:spacing w:after="60"/>
        <w:jc w:val="both"/>
        <w:rPr>
          <w:rFonts w:ascii="Verdana" w:hAnsi="Verdana"/>
          <w:i/>
          <w:iCs/>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iCs/>
          <w:sz w:val="16"/>
          <w:szCs w:val="16"/>
          <w:lang w:val="en-US"/>
        </w:rPr>
        <w:t>Case of Castillo Páez v. Peru</w:t>
      </w:r>
      <w:r w:rsidRPr="000E696E">
        <w:rPr>
          <w:rFonts w:ascii="Verdana" w:hAnsi="Verdana"/>
          <w:i/>
          <w:sz w:val="16"/>
          <w:szCs w:val="16"/>
          <w:lang w:val="en-US"/>
        </w:rPr>
        <w:t>. Merits.</w:t>
      </w:r>
      <w:r w:rsidRPr="000E696E">
        <w:rPr>
          <w:rFonts w:ascii="Verdana" w:hAnsi="Verdana"/>
          <w:sz w:val="16"/>
          <w:szCs w:val="16"/>
          <w:lang w:val="en-US"/>
        </w:rPr>
        <w:t xml:space="preserve"> Judgment of November 3, 1997. Series C No. 34, para. 82, and </w:t>
      </w:r>
      <w:r w:rsidRPr="000E696E">
        <w:rPr>
          <w:rFonts w:ascii="Verdana" w:hAnsi="Verdana"/>
          <w:i/>
          <w:iCs/>
          <w:sz w:val="16"/>
          <w:szCs w:val="16"/>
          <w:lang w:val="en-US"/>
        </w:rPr>
        <w:t xml:space="preserve">Case of Mohamed v. Argentina.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xml:space="preserve"> Judgment of November 23, 2012. Series C No. 255, para. 82.</w:t>
      </w:r>
    </w:p>
  </w:footnote>
  <w:footnote w:id="241">
    <w:p w14:paraId="3A9580E4" w14:textId="6FEBDA41" w:rsidR="0068647C" w:rsidRPr="004204B2" w:rsidRDefault="0068647C" w:rsidP="00AA1EBF">
      <w:pPr>
        <w:autoSpaceDE w:val="0"/>
        <w:autoSpaceDN w:val="0"/>
        <w:adjustRightInd w:val="0"/>
        <w:spacing w:after="60"/>
        <w:jc w:val="both"/>
        <w:rPr>
          <w:rFonts w:ascii="Verdana" w:hAnsi="Verdana"/>
          <w:sz w:val="16"/>
          <w:szCs w:val="16"/>
          <w:lang w:val="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iCs/>
          <w:sz w:val="16"/>
          <w:szCs w:val="16"/>
          <w:lang w:val="en-US"/>
        </w:rPr>
        <w:t>Case of Goiburú et al. v. Paraguay</w:t>
      </w:r>
      <w:r w:rsidRPr="000E696E">
        <w:rPr>
          <w:rFonts w:ascii="Verdana" w:hAnsi="Verdana"/>
          <w:sz w:val="16"/>
          <w:szCs w:val="16"/>
          <w:lang w:val="en-US"/>
        </w:rPr>
        <w:t xml:space="preserve">. </w:t>
      </w:r>
      <w:r w:rsidRPr="000E696E">
        <w:rPr>
          <w:rFonts w:ascii="Verdana" w:hAnsi="Verdana"/>
          <w:i/>
          <w:sz w:val="16"/>
          <w:szCs w:val="16"/>
          <w:lang w:val="en-US"/>
        </w:rPr>
        <w:t>Merits, reparations and costs.</w:t>
      </w:r>
      <w:r w:rsidRPr="000E696E">
        <w:rPr>
          <w:rFonts w:ascii="Verdana" w:hAnsi="Verdana"/>
          <w:sz w:val="16"/>
          <w:szCs w:val="16"/>
          <w:lang w:val="en-US"/>
        </w:rPr>
        <w:t xml:space="preserve"> Judgment of September 22, 2006. </w:t>
      </w:r>
      <w:r w:rsidRPr="004204B2">
        <w:rPr>
          <w:rFonts w:ascii="Verdana" w:hAnsi="Verdana"/>
          <w:sz w:val="16"/>
          <w:szCs w:val="16"/>
          <w:lang w:val="es-CR"/>
        </w:rPr>
        <w:t>Series C No. 153, para. 131.</w:t>
      </w:r>
    </w:p>
  </w:footnote>
  <w:footnote w:id="242">
    <w:p w14:paraId="147E8F9C" w14:textId="3147D9B5" w:rsidR="0068647C" w:rsidRPr="004204B2" w:rsidRDefault="0068647C" w:rsidP="00AA1EBF">
      <w:pPr>
        <w:autoSpaceDE w:val="0"/>
        <w:autoSpaceDN w:val="0"/>
        <w:adjustRightInd w:val="0"/>
        <w:spacing w:after="60"/>
        <w:jc w:val="both"/>
        <w:rPr>
          <w:rFonts w:ascii="Verdana" w:hAnsi="Verdana"/>
          <w:sz w:val="16"/>
          <w:szCs w:val="16"/>
          <w:lang w:val="es-CR"/>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sz w:val="16"/>
          <w:szCs w:val="16"/>
          <w:lang w:val="es-CR"/>
        </w:rPr>
        <w:tab/>
      </w:r>
      <w:r w:rsidRPr="004204B2">
        <w:rPr>
          <w:rFonts w:ascii="Verdana" w:hAnsi="Verdana"/>
          <w:i/>
          <w:sz w:val="16"/>
          <w:szCs w:val="16"/>
          <w:lang w:val="es-CR"/>
        </w:rPr>
        <w:t>Mutatis mutandi</w:t>
      </w:r>
      <w:r>
        <w:rPr>
          <w:rFonts w:ascii="Verdana" w:hAnsi="Verdana"/>
          <w:i/>
          <w:sz w:val="16"/>
          <w:szCs w:val="16"/>
          <w:lang w:val="es-CR"/>
        </w:rPr>
        <w:t>s</w:t>
      </w:r>
      <w:r w:rsidRPr="004204B2">
        <w:rPr>
          <w:rFonts w:ascii="Verdana" w:hAnsi="Verdana"/>
          <w:i/>
          <w:sz w:val="16"/>
          <w:szCs w:val="16"/>
          <w:lang w:val="es-CR"/>
        </w:rPr>
        <w:t>,</w:t>
      </w:r>
      <w:r w:rsidRPr="004204B2">
        <w:rPr>
          <w:rFonts w:ascii="Verdana" w:hAnsi="Verdana"/>
          <w:sz w:val="16"/>
          <w:szCs w:val="16"/>
          <w:lang w:val="es-CR"/>
        </w:rPr>
        <w:t xml:space="preserve"> </w:t>
      </w:r>
      <w:r w:rsidRPr="004204B2">
        <w:rPr>
          <w:rFonts w:ascii="Verdana" w:hAnsi="Verdana"/>
          <w:i/>
          <w:iCs/>
          <w:sz w:val="16"/>
          <w:szCs w:val="16"/>
          <w:lang w:val="es-CR"/>
        </w:rPr>
        <w:t>Case of Mejía Idrovo v. Ecuador</w:t>
      </w:r>
      <w:r w:rsidRPr="004204B2">
        <w:rPr>
          <w:rFonts w:ascii="Verdana" w:hAnsi="Verdana"/>
          <w:sz w:val="16"/>
          <w:szCs w:val="16"/>
          <w:lang w:val="es-CR"/>
        </w:rPr>
        <w:t xml:space="preserve">.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xml:space="preserve">. Judgment of July 5, 2011. Series </w:t>
      </w:r>
      <w:r w:rsidRPr="000E696E">
        <w:rPr>
          <w:rFonts w:ascii="Verdana" w:hAnsi="Verdana"/>
          <w:iCs/>
          <w:sz w:val="16"/>
          <w:szCs w:val="16"/>
          <w:lang w:val="en-US"/>
        </w:rPr>
        <w:t>C No. 228</w:t>
      </w:r>
      <w:r w:rsidRPr="000E696E">
        <w:rPr>
          <w:rFonts w:ascii="Verdana" w:hAnsi="Verdana"/>
          <w:i/>
          <w:iCs/>
          <w:sz w:val="16"/>
          <w:szCs w:val="16"/>
          <w:lang w:val="en-US"/>
        </w:rPr>
        <w:t xml:space="preserve">, </w:t>
      </w:r>
      <w:r w:rsidRPr="000E696E">
        <w:rPr>
          <w:rFonts w:ascii="Verdana" w:hAnsi="Verdana"/>
          <w:sz w:val="16"/>
          <w:szCs w:val="16"/>
          <w:lang w:val="en-US"/>
        </w:rPr>
        <w:t xml:space="preserve">para. 106, and </w:t>
      </w:r>
      <w:r w:rsidRPr="000E696E">
        <w:rPr>
          <w:rFonts w:ascii="Verdana" w:hAnsi="Verdana"/>
          <w:bCs/>
          <w:i/>
          <w:sz w:val="16"/>
          <w:szCs w:val="16"/>
          <w:lang w:val="en-US"/>
        </w:rPr>
        <w:t>Case of Furlan and family v. Argentina. Preliminary objections, merits, reparations and costs.</w:t>
      </w:r>
      <w:r w:rsidRPr="000E696E">
        <w:rPr>
          <w:rFonts w:ascii="Verdana" w:hAnsi="Verdana"/>
          <w:bCs/>
          <w:sz w:val="16"/>
          <w:szCs w:val="16"/>
          <w:lang w:val="en-US"/>
        </w:rPr>
        <w:t xml:space="preserve"> Judgment of August 31, 2012. Series C No. 246, para. </w:t>
      </w:r>
      <w:r w:rsidRPr="004204B2">
        <w:rPr>
          <w:rFonts w:ascii="Verdana" w:hAnsi="Verdana"/>
          <w:bCs/>
          <w:sz w:val="16"/>
          <w:szCs w:val="16"/>
          <w:lang w:val="es-CR"/>
        </w:rPr>
        <w:t>211.</w:t>
      </w:r>
    </w:p>
  </w:footnote>
  <w:footnote w:id="243">
    <w:p w14:paraId="4F322191" w14:textId="35476DD7"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sz w:val="16"/>
          <w:szCs w:val="16"/>
          <w:lang w:val="es-CR"/>
        </w:rPr>
        <w:tab/>
      </w:r>
      <w:r w:rsidRPr="004204B2">
        <w:rPr>
          <w:rFonts w:ascii="Verdana" w:hAnsi="Verdana"/>
          <w:i/>
          <w:sz w:val="16"/>
          <w:szCs w:val="16"/>
          <w:lang w:val="es-CR"/>
        </w:rPr>
        <w:t xml:space="preserve">Cf. </w:t>
      </w:r>
      <w:r w:rsidRPr="004204B2">
        <w:rPr>
          <w:rFonts w:ascii="Verdana" w:hAnsi="Verdana"/>
          <w:bCs/>
          <w:i/>
          <w:sz w:val="16"/>
          <w:szCs w:val="16"/>
          <w:lang w:val="es-CR"/>
        </w:rPr>
        <w:t xml:space="preserve">Case of Velásquez Rodríguez v. Honduras, supra, </w:t>
      </w:r>
      <w:r w:rsidRPr="004204B2">
        <w:rPr>
          <w:rFonts w:ascii="Verdana" w:hAnsi="Verdana"/>
          <w:bCs/>
          <w:iCs/>
          <w:sz w:val="16"/>
          <w:szCs w:val="16"/>
          <w:lang w:val="es-CR"/>
        </w:rPr>
        <w:t>footnote 23</w:t>
      </w:r>
      <w:r w:rsidRPr="004204B2">
        <w:rPr>
          <w:rFonts w:ascii="Verdana" w:hAnsi="Verdana"/>
          <w:bCs/>
          <w:i/>
          <w:sz w:val="16"/>
          <w:szCs w:val="16"/>
          <w:lang w:val="es-CR"/>
        </w:rPr>
        <w:t>,</w:t>
      </w:r>
      <w:r w:rsidRPr="004204B2">
        <w:rPr>
          <w:rFonts w:ascii="Verdana" w:hAnsi="Verdana"/>
          <w:bCs/>
          <w:sz w:val="16"/>
          <w:szCs w:val="16"/>
          <w:lang w:val="es-CR"/>
        </w:rPr>
        <w:t xml:space="preserve"> para. </w:t>
      </w:r>
      <w:r w:rsidRPr="000E696E">
        <w:rPr>
          <w:rFonts w:ascii="Verdana" w:hAnsi="Verdana"/>
          <w:bCs/>
          <w:sz w:val="16"/>
          <w:szCs w:val="16"/>
          <w:lang w:val="en-US"/>
        </w:rPr>
        <w:t xml:space="preserve">219, and </w:t>
      </w:r>
      <w:r w:rsidRPr="000E696E">
        <w:rPr>
          <w:rFonts w:ascii="Verdana" w:hAnsi="Verdana" w:cs="Helvetica"/>
          <w:i/>
          <w:sz w:val="16"/>
          <w:szCs w:val="16"/>
          <w:lang w:val="en-US"/>
        </w:rPr>
        <w:t xml:space="preserve">Case of Duque v. Colombia.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Judgment of February 26, 2016. Series C No. 310</w:t>
      </w:r>
      <w:r w:rsidRPr="000E696E">
        <w:rPr>
          <w:rFonts w:ascii="Verdana" w:hAnsi="Verdana" w:cs="Helvetica"/>
          <w:sz w:val="16"/>
          <w:szCs w:val="16"/>
          <w:lang w:val="en-US"/>
        </w:rPr>
        <w:t>, para. 148.</w:t>
      </w:r>
    </w:p>
  </w:footnote>
  <w:footnote w:id="244">
    <w:p w14:paraId="0BDA5A2D" w14:textId="0E1F9D8A" w:rsidR="0068647C" w:rsidRPr="000E696E" w:rsidRDefault="0068647C" w:rsidP="00AA1EBF">
      <w:pPr>
        <w:spacing w:after="60"/>
        <w:contextualSpacing/>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i/>
          <w:sz w:val="16"/>
          <w:szCs w:val="16"/>
          <w:lang w:val="en-US"/>
        </w:rPr>
        <w:t>Case of Baena Ricardo et al. v. Panama. Jurisdiction.</w:t>
      </w:r>
      <w:r w:rsidRPr="000E696E">
        <w:rPr>
          <w:rFonts w:ascii="Verdana" w:hAnsi="Verdana"/>
          <w:sz w:val="16"/>
          <w:szCs w:val="16"/>
          <w:lang w:val="en-US"/>
        </w:rPr>
        <w:t xml:space="preserve"> Judgment of November 28, 2003. Series C No 104. para. 73, and </w:t>
      </w:r>
      <w:r w:rsidRPr="000E696E">
        <w:rPr>
          <w:rFonts w:ascii="Verdana" w:hAnsi="Verdana"/>
          <w:i/>
          <w:sz w:val="16"/>
          <w:szCs w:val="16"/>
          <w:lang w:val="en-US"/>
        </w:rPr>
        <w:t>Case of Acevedo Buendía et al. (“Discharged and Retired Employees of the Office of the Comptroller”) v. Perú́,</w:t>
      </w:r>
      <w:r w:rsidRPr="000E696E">
        <w:rPr>
          <w:rFonts w:ascii="Verdana" w:hAnsi="Verdana"/>
          <w:sz w:val="16"/>
          <w:szCs w:val="16"/>
          <w:lang w:val="en-US"/>
        </w:rPr>
        <w:t xml:space="preserve"> </w:t>
      </w:r>
      <w:r w:rsidRPr="000E696E">
        <w:rPr>
          <w:rFonts w:ascii="Verdana" w:hAnsi="Verdana"/>
          <w:i/>
          <w:sz w:val="16"/>
          <w:szCs w:val="16"/>
          <w:lang w:val="en-US"/>
        </w:rPr>
        <w:t>supra</w:t>
      </w:r>
      <w:r w:rsidRPr="000E696E">
        <w:rPr>
          <w:rFonts w:ascii="Verdana" w:hAnsi="Verdana"/>
          <w:sz w:val="16"/>
          <w:szCs w:val="16"/>
          <w:lang w:val="en-US"/>
        </w:rPr>
        <w:t xml:space="preserve">, para. 69. </w:t>
      </w:r>
    </w:p>
    <w:p w14:paraId="205DECB3" w14:textId="77777777" w:rsidR="0068647C" w:rsidRPr="000E696E" w:rsidRDefault="0068647C" w:rsidP="00AA1EBF">
      <w:pPr>
        <w:spacing w:after="60"/>
        <w:contextualSpacing/>
        <w:jc w:val="both"/>
        <w:rPr>
          <w:rFonts w:ascii="Verdana" w:hAnsi="Verdana"/>
          <w:sz w:val="6"/>
          <w:szCs w:val="6"/>
          <w:lang w:val="en-US"/>
        </w:rPr>
      </w:pPr>
    </w:p>
  </w:footnote>
  <w:footnote w:id="245">
    <w:p w14:paraId="52C2288B" w14:textId="79F76884" w:rsidR="0068647C" w:rsidRPr="000E696E" w:rsidRDefault="0068647C" w:rsidP="00AA1EBF">
      <w:pPr>
        <w:widowControl w:val="0"/>
        <w:autoSpaceDE w:val="0"/>
        <w:autoSpaceDN w:val="0"/>
        <w:adjustRightInd w:val="0"/>
        <w:spacing w:after="60"/>
        <w:ind w:right="4"/>
        <w:jc w:val="both"/>
        <w:rPr>
          <w:rFonts w:ascii="Verdana" w:hAnsi="Verdana" w:cs="Arial Narrow"/>
          <w:sz w:val="16"/>
          <w:szCs w:val="16"/>
          <w:lang w:val="en-US" w:eastAsia="es-MX"/>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Congress of the Republic of Peru. Constitution of Peru July 12, 1979. </w:t>
      </w:r>
      <w:r w:rsidRPr="000E696E">
        <w:rPr>
          <w:rFonts w:ascii="Verdana" w:hAnsi="Verdana"/>
          <w:bCs/>
          <w:sz w:val="16"/>
          <w:szCs w:val="16"/>
          <w:shd w:val="clear" w:color="auto" w:fill="FFFFFF"/>
          <w:lang w:val="en-US"/>
        </w:rPr>
        <w:t>Article 48 “</w:t>
      </w:r>
      <w:r w:rsidRPr="000E696E">
        <w:rPr>
          <w:rFonts w:ascii="Verdana" w:hAnsi="Verdana" w:cs="Arial Narrow"/>
          <w:color w:val="000000"/>
          <w:sz w:val="16"/>
          <w:szCs w:val="16"/>
          <w:lang w:val="en-US" w:eastAsia="es-MX"/>
        </w:rPr>
        <w:t>The State recognizes the right to job security. The employee may only be dismissed for just cause, indicated by law and duly proven.</w:t>
      </w:r>
      <w:r w:rsidRPr="000E696E">
        <w:rPr>
          <w:rFonts w:ascii="Verdana" w:hAnsi="Verdana"/>
          <w:color w:val="000000"/>
          <w:sz w:val="16"/>
          <w:szCs w:val="16"/>
          <w:shd w:val="clear" w:color="auto" w:fill="FFFFFF"/>
          <w:lang w:val="en-US"/>
        </w:rPr>
        <w:t>”</w:t>
      </w:r>
      <w:r w:rsidRPr="000E696E">
        <w:rPr>
          <w:rFonts w:ascii="Verdana" w:hAnsi="Verdana" w:cs="Times"/>
          <w:sz w:val="16"/>
          <w:szCs w:val="16"/>
          <w:lang w:val="en-US"/>
        </w:rPr>
        <w:t xml:space="preserve"> </w:t>
      </w:r>
      <w:r w:rsidRPr="000E696E">
        <w:rPr>
          <w:rFonts w:ascii="Verdana" w:hAnsi="Verdana"/>
          <w:sz w:val="16"/>
          <w:szCs w:val="16"/>
          <w:lang w:val="en-US" w:eastAsia="es-MX"/>
        </w:rPr>
        <w:t xml:space="preserve">Congress of the Republic of Peru. Constitution of Peru, December 29, 1993 </w:t>
      </w:r>
      <w:r w:rsidRPr="000E696E">
        <w:rPr>
          <w:rFonts w:ascii="Verdana" w:hAnsi="Verdana" w:cs="Arial"/>
          <w:bCs/>
          <w:color w:val="000000"/>
          <w:sz w:val="16"/>
          <w:szCs w:val="16"/>
          <w:lang w:val="en-US"/>
        </w:rPr>
        <w:t>Article 22</w:t>
      </w:r>
      <w:r w:rsidRPr="000E696E">
        <w:rPr>
          <w:rFonts w:ascii="Verdana" w:hAnsi="Verdana" w:cs="Arial"/>
          <w:color w:val="000000"/>
          <w:sz w:val="16"/>
          <w:szCs w:val="16"/>
          <w:lang w:val="en-US"/>
        </w:rPr>
        <w:t>. Work is a duty and a right. It is the basis of social well-being and a means for self-realization” and in article</w:t>
      </w:r>
      <w:r w:rsidRPr="000E696E">
        <w:rPr>
          <w:rFonts w:ascii="Verdana" w:hAnsi="Verdana" w:cs="Arial"/>
          <w:bCs/>
          <w:sz w:val="16"/>
          <w:szCs w:val="16"/>
          <w:lang w:val="en-US"/>
        </w:rPr>
        <w:t xml:space="preserve"> 27</w:t>
      </w:r>
      <w:r w:rsidRPr="000E696E">
        <w:rPr>
          <w:rFonts w:ascii="Verdana" w:hAnsi="Verdana" w:cs="Arial"/>
          <w:sz w:val="16"/>
          <w:szCs w:val="16"/>
          <w:lang w:val="en-US"/>
        </w:rPr>
        <w:t xml:space="preserve">: “[t]he law accords the worker adequate protection against arbitrary dismissal.” </w:t>
      </w:r>
      <w:r w:rsidRPr="000E696E">
        <w:rPr>
          <w:rFonts w:ascii="Verdana" w:hAnsi="Verdana"/>
          <w:sz w:val="16"/>
          <w:szCs w:val="16"/>
          <w:lang w:val="en-US" w:eastAsia="es-MX"/>
        </w:rPr>
        <w:t>Congress of the Republic of Peru</w:t>
      </w:r>
      <w:r w:rsidRPr="000E696E" w:rsidDel="0065052F">
        <w:rPr>
          <w:rFonts w:ascii="Verdana" w:hAnsi="Verdana" w:cs="Arial Narrow"/>
          <w:sz w:val="16"/>
          <w:szCs w:val="16"/>
          <w:lang w:val="en-US" w:eastAsia="es-MX"/>
        </w:rPr>
        <w:t xml:space="preserve"> </w:t>
      </w:r>
      <w:r w:rsidRPr="000E696E">
        <w:rPr>
          <w:rFonts w:ascii="Verdana" w:hAnsi="Verdana" w:cs="Arial Narrow"/>
          <w:sz w:val="16"/>
          <w:szCs w:val="16"/>
          <w:lang w:val="en-US" w:eastAsia="es-MX"/>
        </w:rPr>
        <w:t xml:space="preserve"> Law No.24514. Article 2. This law protects workers in the private sector or in public companies subject to the private sector regime […].”</w:t>
      </w:r>
    </w:p>
  </w:footnote>
  <w:footnote w:id="246">
    <w:p w14:paraId="7D9A3F2C" w14:textId="1EEEA92B"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r>
      <w:r w:rsidRPr="000E696E">
        <w:rPr>
          <w:i/>
        </w:rPr>
        <w:t>Cf. Case of the “Street Children” (Villagrán Morales et al.) v. Guatemala. Merits.</w:t>
      </w:r>
      <w:r w:rsidRPr="000E696E">
        <w:t xml:space="preserve"> Judgment of November 19, 1999. Series C No. 63, para. 237, </w:t>
      </w:r>
      <w:r w:rsidRPr="000E696E">
        <w:rPr>
          <w:i/>
        </w:rPr>
        <w:t xml:space="preserve">Case of </w:t>
      </w:r>
      <w:r w:rsidRPr="000E696E">
        <w:rPr>
          <w:bCs/>
          <w:i/>
        </w:rPr>
        <w:t>Duque v. Colombia, supra</w:t>
      </w:r>
      <w:r w:rsidRPr="000E696E">
        <w:rPr>
          <w:bCs/>
        </w:rPr>
        <w:t xml:space="preserve">, para. 177, and </w:t>
      </w:r>
      <w:r w:rsidRPr="000E696E">
        <w:t xml:space="preserve">Inter-American Commission on Human Rights. Access to Justice as a Guarantee of Economic, Social and Cultural Rights. A review of the standards adopted by the inter-American system of human rights, para. </w:t>
      </w:r>
      <w:r w:rsidRPr="004204B2">
        <w:rPr>
          <w:color w:val="000000"/>
          <w:lang w:val="es-CR"/>
        </w:rPr>
        <w:t>17.</w:t>
      </w:r>
    </w:p>
  </w:footnote>
  <w:footnote w:id="247">
    <w:p w14:paraId="217683A8" w14:textId="5B1DD917"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b/>
          <w:lang w:val="es-CR"/>
        </w:rPr>
        <w:tab/>
      </w:r>
      <w:r w:rsidRPr="004204B2">
        <w:rPr>
          <w:i/>
          <w:lang w:val="es-CR"/>
        </w:rPr>
        <w:t>Cf.</w:t>
      </w:r>
      <w:r w:rsidRPr="004204B2">
        <w:rPr>
          <w:lang w:val="es-CR"/>
        </w:rPr>
        <w:t xml:space="preserve"> </w:t>
      </w:r>
      <w:r w:rsidRPr="00D65783">
        <w:rPr>
          <w:i/>
          <w:iCs/>
          <w:lang w:val="es-CR"/>
        </w:rPr>
        <w:t>Case of Velásquez Rodríguez v. Honduras, supra</w:t>
      </w:r>
      <w:r w:rsidRPr="004204B2">
        <w:rPr>
          <w:lang w:val="es-CR"/>
        </w:rPr>
        <w:t xml:space="preserve">, footnote 12, para. </w:t>
      </w:r>
      <w:r w:rsidRPr="000E696E">
        <w:t xml:space="preserve">91, and </w:t>
      </w:r>
      <w:r w:rsidRPr="00D65783">
        <w:rPr>
          <w:bCs/>
          <w:i/>
          <w:iCs/>
        </w:rPr>
        <w:t>Case of Favela Nova Brasília v. Brazil, supra</w:t>
      </w:r>
      <w:r w:rsidRPr="000E696E">
        <w:rPr>
          <w:bCs/>
        </w:rPr>
        <w:t>, para. 183.</w:t>
      </w:r>
    </w:p>
  </w:footnote>
  <w:footnote w:id="248">
    <w:p w14:paraId="5AA5837F" w14:textId="575F1C27" w:rsidR="0068647C" w:rsidRPr="000E696E" w:rsidRDefault="0068647C" w:rsidP="00AA1EBF">
      <w:pPr>
        <w:widowControl w:val="0"/>
        <w:autoSpaceDE w:val="0"/>
        <w:autoSpaceDN w:val="0"/>
        <w:adjustRightInd w:val="0"/>
        <w:spacing w:after="60"/>
        <w:jc w:val="both"/>
        <w:rPr>
          <w:rFonts w:ascii="Verdana" w:hAnsi="Verdana" w:cs="Helvetic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Times"/>
          <w:i/>
          <w:sz w:val="16"/>
          <w:szCs w:val="16"/>
          <w:lang w:val="en-US"/>
        </w:rPr>
        <w:t>Cf.</w:t>
      </w:r>
      <w:r w:rsidRPr="000E696E">
        <w:rPr>
          <w:rFonts w:ascii="Verdana" w:hAnsi="Verdana" w:cs="Times"/>
          <w:sz w:val="16"/>
          <w:szCs w:val="16"/>
          <w:lang w:val="en-US"/>
        </w:rPr>
        <w:t xml:space="preserve"> </w:t>
      </w:r>
      <w:r w:rsidRPr="000E696E">
        <w:rPr>
          <w:rFonts w:ascii="Verdana" w:hAnsi="Verdana" w:cs="Times"/>
          <w:i/>
          <w:sz w:val="16"/>
          <w:szCs w:val="16"/>
          <w:lang w:val="en-US"/>
        </w:rPr>
        <w:t>Case of López Álvarez v. Honduras.</w:t>
      </w:r>
      <w:r w:rsidRPr="000E696E">
        <w:rPr>
          <w:rFonts w:ascii="Verdana" w:hAnsi="Verdana" w:cs="Times"/>
          <w:sz w:val="16"/>
          <w:szCs w:val="16"/>
          <w:lang w:val="en-US"/>
        </w:rPr>
        <w:t xml:space="preserve"> </w:t>
      </w:r>
      <w:r w:rsidRPr="000E696E">
        <w:rPr>
          <w:rFonts w:ascii="Verdana" w:hAnsi="Verdana" w:cs="Times"/>
          <w:i/>
          <w:sz w:val="16"/>
          <w:szCs w:val="16"/>
          <w:lang w:val="en-US"/>
        </w:rPr>
        <w:t>Merits, reparations and costs</w:t>
      </w:r>
      <w:r w:rsidRPr="000E696E">
        <w:rPr>
          <w:rFonts w:ascii="Verdana" w:hAnsi="Verdana" w:cs="Helvetica"/>
          <w:i/>
          <w:sz w:val="16"/>
          <w:szCs w:val="16"/>
          <w:lang w:val="en-US"/>
        </w:rPr>
        <w:t>.</w:t>
      </w:r>
      <w:r w:rsidRPr="000E696E">
        <w:rPr>
          <w:rFonts w:ascii="Verdana" w:hAnsi="Verdana" w:cs="Helvetica"/>
          <w:sz w:val="16"/>
          <w:szCs w:val="16"/>
          <w:lang w:val="en-US"/>
        </w:rPr>
        <w:t xml:space="preserve"> Judgment of February 1, 2006. Series C No. 141, para. 96, and </w:t>
      </w:r>
      <w:r w:rsidRPr="000E696E">
        <w:rPr>
          <w:rFonts w:ascii="Verdana" w:hAnsi="Verdana" w:cs="Helvetica"/>
          <w:bCs/>
          <w:i/>
          <w:sz w:val="16"/>
          <w:szCs w:val="16"/>
          <w:lang w:val="en-US"/>
        </w:rPr>
        <w:t>Case of Zegarra Marín v. Peru</w:t>
      </w:r>
      <w:r w:rsidRPr="000E696E">
        <w:rPr>
          <w:rFonts w:ascii="Verdana" w:hAnsi="Verdana" w:cs="Helvetica"/>
          <w:bCs/>
          <w:sz w:val="16"/>
          <w:szCs w:val="16"/>
          <w:lang w:val="en-US"/>
        </w:rPr>
        <w:t xml:space="preserve">, </w:t>
      </w:r>
      <w:r w:rsidRPr="000E696E">
        <w:rPr>
          <w:rFonts w:ascii="Verdana" w:hAnsi="Verdana" w:cs="Helvetica"/>
          <w:bCs/>
          <w:i/>
          <w:sz w:val="16"/>
          <w:szCs w:val="16"/>
          <w:lang w:val="en-US"/>
        </w:rPr>
        <w:t>supra</w:t>
      </w:r>
      <w:r w:rsidRPr="000E696E">
        <w:rPr>
          <w:rFonts w:ascii="Verdana" w:hAnsi="Verdana" w:cs="Helvetica"/>
          <w:bCs/>
          <w:sz w:val="16"/>
          <w:szCs w:val="16"/>
          <w:lang w:val="en-US"/>
        </w:rPr>
        <w:t xml:space="preserve">, para. 179. </w:t>
      </w:r>
    </w:p>
  </w:footnote>
  <w:footnote w:id="249">
    <w:p w14:paraId="1AB27335" w14:textId="64FEB0F5" w:rsidR="0068647C" w:rsidRPr="000E696E" w:rsidRDefault="0068647C" w:rsidP="00D61BD2">
      <w:pPr>
        <w:pStyle w:val="Textonotapie"/>
      </w:pPr>
      <w:r w:rsidRPr="000E696E">
        <w:rPr>
          <w:rStyle w:val="Refdenotaalpie"/>
          <w:sz w:val="16"/>
        </w:rPr>
        <w:footnoteRef/>
      </w:r>
      <w:r w:rsidRPr="000E696E">
        <w:t xml:space="preserve"> </w:t>
      </w:r>
      <w:r w:rsidRPr="000E696E">
        <w:tab/>
        <w:t>The company argued that the statements included in “</w:t>
      </w:r>
      <w:r w:rsidRPr="000E696E">
        <w:rPr>
          <w:i/>
          <w:iCs/>
        </w:rPr>
        <w:t>La Razón</w:t>
      </w:r>
      <w:r w:rsidRPr="000E696E">
        <w:t>” corresponded to Mr. Lagos del Campo, because he had not attributed those words to the interviewer when answering the company’s letter outlining the charges; he had merely argued that they had been made in the exercise of his constitutional right to freedom of expression and in his capacity as president of the Electoral Committee (evidence file, annexes to the Merits Report 9 and 10, folios 33 to 41).</w:t>
      </w:r>
    </w:p>
  </w:footnote>
  <w:footnote w:id="250">
    <w:p w14:paraId="089E4196" w14:textId="6D5D5BBB" w:rsidR="0068647C" w:rsidRPr="000E696E" w:rsidRDefault="0068647C" w:rsidP="00AA1EBF">
      <w:pPr>
        <w:autoSpaceDE w:val="0"/>
        <w:autoSpaceDN w:val="0"/>
        <w:adjustRightInd w:val="0"/>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sz w:val="16"/>
          <w:szCs w:val="16"/>
          <w:lang w:val="en-US" w:eastAsia="es-MX"/>
        </w:rPr>
        <w:t xml:space="preserve">Brief in answer to the appeal addressed by Mr. Lagos del Campo to the Second Labor Court of Lima. August 1, 1991, File No. 839-91. Annexes to the communication of the petitioners dated July 23, 1998 </w:t>
      </w:r>
      <w:r w:rsidRPr="000E696E">
        <w:rPr>
          <w:rFonts w:ascii="Verdana" w:hAnsi="Verdana"/>
          <w:sz w:val="16"/>
          <w:szCs w:val="16"/>
          <w:lang w:val="en-US"/>
        </w:rPr>
        <w:t>(evidence file, ff. 43 to 45).  In this brief, he indicated that, in both the exculpatory letter and in the brief of the complaint, he had stated that he was not the author of the interview; consequently, the responsibility for the publication of the interview corresponded to the journalist and Director of “</w:t>
      </w:r>
      <w:r w:rsidRPr="000E696E">
        <w:rPr>
          <w:rFonts w:ascii="Verdana" w:hAnsi="Verdana"/>
          <w:i/>
          <w:iCs/>
          <w:sz w:val="16"/>
          <w:szCs w:val="16"/>
          <w:lang w:val="en-US"/>
        </w:rPr>
        <w:t>La Razón</w:t>
      </w:r>
      <w:r w:rsidRPr="000E696E">
        <w:rPr>
          <w:rFonts w:ascii="Verdana" w:hAnsi="Verdana"/>
          <w:sz w:val="16"/>
          <w:szCs w:val="16"/>
          <w:lang w:val="en-US"/>
        </w:rPr>
        <w:t>.” Regarding the brief filed by the company on June 25, 1991, Mr. Lagos del Campo mentioned that the company had attributed to him the authorship of words that had not been published in the interview in “</w:t>
      </w:r>
      <w:r w:rsidRPr="000E696E">
        <w:rPr>
          <w:rFonts w:ascii="Verdana" w:hAnsi="Verdana"/>
          <w:i/>
          <w:iCs/>
          <w:sz w:val="16"/>
          <w:szCs w:val="16"/>
          <w:lang w:val="en-US"/>
        </w:rPr>
        <w:t>La Razón</w:t>
      </w:r>
      <w:r w:rsidRPr="000E696E">
        <w:rPr>
          <w:rFonts w:ascii="Verdana" w:hAnsi="Verdana"/>
          <w:sz w:val="16"/>
          <w:szCs w:val="16"/>
          <w:lang w:val="en-US"/>
        </w:rPr>
        <w:t>.”</w:t>
      </w:r>
    </w:p>
  </w:footnote>
  <w:footnote w:id="251">
    <w:p w14:paraId="12976CA8" w14:textId="3E27FF2C"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lang w:eastAsia="es-MX"/>
        </w:rPr>
        <w:t>Constitution of Peru July 12, 1979. “</w:t>
      </w:r>
      <w:r w:rsidRPr="000E696E">
        <w:t xml:space="preserve">Article 233. Proper administration of justice: (4) The statement of the reasons for the decisions, in all instances, that expressly mentions the applicable law and the grounds that substantiate them.” </w:t>
      </w:r>
      <w:r w:rsidRPr="000E696E">
        <w:rPr>
          <w:lang w:eastAsia="es-MX"/>
        </w:rPr>
        <w:t xml:space="preserve">Congress of the Republic of Peru. Law 24514. Law on the right to job security. June 4, 1986 </w:t>
      </w:r>
      <w:r w:rsidRPr="000E696E">
        <w:t>(evidence file, ff. 33bis to 38bis</w:t>
      </w:r>
      <w:r w:rsidRPr="000E696E">
        <w:rPr>
          <w:i/>
        </w:rPr>
        <w:t>.</w:t>
      </w:r>
      <w:r w:rsidRPr="000E696E">
        <w:t>) “Article 3. The workers referred to in art. 2 may only be dismissed for just cause indicated in this law, duly stating the reasons.”</w:t>
      </w:r>
    </w:p>
  </w:footnote>
  <w:footnote w:id="252">
    <w:p w14:paraId="56302CC4" w14:textId="25ECD743" w:rsidR="0068647C" w:rsidRPr="000E696E" w:rsidRDefault="0068647C" w:rsidP="00D61BD2">
      <w:pPr>
        <w:pStyle w:val="Textonotapie"/>
      </w:pPr>
      <w:r w:rsidRPr="000E696E">
        <w:rPr>
          <w:rStyle w:val="Refdenotaalpie"/>
          <w:rFonts w:eastAsia="Calibri"/>
          <w:sz w:val="16"/>
        </w:rPr>
        <w:footnoteRef/>
      </w:r>
      <w:r w:rsidRPr="000E696E">
        <w:t xml:space="preserve"> </w:t>
      </w:r>
      <w:r w:rsidRPr="000E696E">
        <w:tab/>
        <w:t>Namely: (a) action requesting classification of the dismissal on July 26, 1989; (b) appeal for “review and reconsideration” on August 26, 1991; (c) appeal for annulment on September 2, 1991; (d) application for amparo on November 8, 1991; (e) appeal for annulment on August 26, 1992; (f) communication before the President of the Social and Constitutional Law Chamber of the Supreme Court of Justice on March 30, 1993; (g) appeal for review and request that the matter be heard by the Full Chamber of the Supreme Court of Justice on April 28 and May 4, 1993; (h) appeal on July 18, 1997; (i) remedy of complaint filed on August 19, 1997; (j) remedy of complaint filed before the President of the Constitutional Court, on October 2, 1997.</w:t>
      </w:r>
    </w:p>
  </w:footnote>
  <w:footnote w:id="253">
    <w:p w14:paraId="33999A7E" w14:textId="5E43D828" w:rsidR="0068647C" w:rsidRPr="000E696E" w:rsidRDefault="0068647C" w:rsidP="00D61BD2">
      <w:pPr>
        <w:pStyle w:val="Textonotapie"/>
      </w:pPr>
      <w:r w:rsidRPr="000E696E">
        <w:rPr>
          <w:rStyle w:val="Refdenotaalpie"/>
          <w:sz w:val="16"/>
        </w:rPr>
        <w:footnoteRef/>
      </w:r>
      <w:r w:rsidRPr="000E696E">
        <w:t xml:space="preserve"> </w:t>
      </w:r>
      <w:r w:rsidRPr="000E696E">
        <w:tab/>
        <w:t>Supreme Decree 03-80-TR. “Action in the labor and Labor Communities jurisdiction. Art. 9. The briefs that the parties submit to third parties shall be processed within 48 hours of their reception, under penalty of incurring responsibility” (evidence file, annex 2 del procedure before the IACHR, folio 720).</w:t>
      </w:r>
    </w:p>
  </w:footnote>
  <w:footnote w:id="254">
    <w:p w14:paraId="4F54AB38" w14:textId="672031AE" w:rsidR="0068647C" w:rsidRPr="000E696E" w:rsidRDefault="0068647C" w:rsidP="00AA1EBF">
      <w:pPr>
        <w:pStyle w:val="NormalWeb"/>
        <w:spacing w:before="0" w:beforeAutospacing="0" w:after="60" w:afterAutospacing="0"/>
        <w:jc w:val="both"/>
        <w:rPr>
          <w:rFonts w:ascii="Verdana" w:hAnsi="Verdan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Congress of the Republic of Peru. Constitution of Peru July 12, 1979. </w:t>
      </w:r>
      <w:r w:rsidRPr="000E696E">
        <w:rPr>
          <w:rFonts w:ascii="Verdana" w:hAnsi="Verdana"/>
          <w:bCs/>
          <w:color w:val="000000"/>
          <w:sz w:val="16"/>
          <w:szCs w:val="16"/>
          <w:lang w:val="en-US"/>
        </w:rPr>
        <w:t>Article 295.</w:t>
      </w:r>
      <w:r w:rsidRPr="000E696E">
        <w:rPr>
          <w:rFonts w:ascii="Verdana" w:hAnsi="Verdana"/>
          <w:bCs/>
          <w:color w:val="000000"/>
          <w:sz w:val="16"/>
          <w:szCs w:val="16"/>
          <w:lang w:val="en-US"/>
        </w:rPr>
        <w:softHyphen/>
      </w:r>
      <w:r w:rsidRPr="000E696E">
        <w:rPr>
          <w:rFonts w:ascii="Verdana" w:hAnsi="Verdana"/>
          <w:color w:val="000000"/>
          <w:sz w:val="16"/>
          <w:szCs w:val="16"/>
          <w:lang w:val="en-US"/>
        </w:rPr>
        <w:t xml:space="preserve"> The application for amparo protects the rights recognized by the Constitution that have been violated or threatened by any authority, official or individual. The application for amparo follows the same procedure as the application for habeas corpus in the cases in which it is appropriate.</w:t>
      </w:r>
    </w:p>
  </w:footnote>
  <w:footnote w:id="255">
    <w:p w14:paraId="7E395623" w14:textId="0CF95DB2" w:rsidR="0068647C" w:rsidRPr="004204B2" w:rsidRDefault="0068647C" w:rsidP="00AA1EBF">
      <w:pPr>
        <w:spacing w:after="60"/>
        <w:contextualSpacing/>
        <w:jc w:val="both"/>
        <w:rPr>
          <w:rFonts w:ascii="Verdana" w:hAnsi="Verdana"/>
          <w:sz w:val="16"/>
          <w:szCs w:val="16"/>
          <w:lang w:val="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Court has stressed that the obligation of Article 25 supposes that the remedy is “adequate,” which means that it function within the system of domestic law should be “appropriate” to protect the legal situation violated. </w:t>
      </w:r>
      <w:r w:rsidRPr="004204B2">
        <w:rPr>
          <w:rFonts w:ascii="Verdana" w:hAnsi="Verdana"/>
          <w:i/>
          <w:sz w:val="16"/>
          <w:szCs w:val="16"/>
          <w:lang w:val="es-CR"/>
        </w:rPr>
        <w:t xml:space="preserve">Cf. </w:t>
      </w:r>
      <w:r w:rsidRPr="004204B2">
        <w:rPr>
          <w:rFonts w:ascii="Verdana" w:hAnsi="Verdana"/>
          <w:i/>
          <w:iCs/>
          <w:sz w:val="16"/>
          <w:szCs w:val="16"/>
          <w:lang w:val="es-CR"/>
        </w:rPr>
        <w:t>Case of Velásquez Rodríguez v. Honduras</w:t>
      </w:r>
      <w:r w:rsidRPr="004204B2">
        <w:rPr>
          <w:rFonts w:ascii="Verdana" w:hAnsi="Verdana"/>
          <w:i/>
          <w:sz w:val="16"/>
          <w:szCs w:val="16"/>
          <w:lang w:val="es-CR"/>
        </w:rPr>
        <w:t>, supra,</w:t>
      </w:r>
      <w:r w:rsidRPr="004204B2">
        <w:rPr>
          <w:rFonts w:ascii="Verdana" w:hAnsi="Verdana"/>
          <w:i/>
          <w:iCs/>
          <w:sz w:val="16"/>
          <w:szCs w:val="16"/>
          <w:lang w:val="es-CR"/>
        </w:rPr>
        <w:t xml:space="preserve"> </w:t>
      </w:r>
      <w:r w:rsidRPr="004204B2">
        <w:rPr>
          <w:rFonts w:ascii="Verdana" w:hAnsi="Verdana"/>
          <w:sz w:val="16"/>
          <w:szCs w:val="16"/>
          <w:lang w:val="es-CR"/>
        </w:rPr>
        <w:t xml:space="preserve">para. 64, and </w:t>
      </w:r>
      <w:r w:rsidRPr="004204B2">
        <w:rPr>
          <w:rFonts w:ascii="Verdana" w:hAnsi="Verdana"/>
          <w:bCs/>
          <w:i/>
          <w:iCs/>
          <w:sz w:val="16"/>
          <w:szCs w:val="16"/>
          <w:lang w:val="es-CR"/>
        </w:rPr>
        <w:t xml:space="preserve">Case of Maldonado Ordóñez v. Guatemala. </w:t>
      </w:r>
      <w:r w:rsidRPr="000E696E">
        <w:rPr>
          <w:rFonts w:ascii="Verdana" w:hAnsi="Verdana"/>
          <w:bCs/>
          <w:i/>
          <w:iCs/>
          <w:sz w:val="16"/>
          <w:szCs w:val="16"/>
          <w:lang w:val="en-US"/>
        </w:rPr>
        <w:t>Preliminary objections, merits, reparations and costs.</w:t>
      </w:r>
      <w:r w:rsidRPr="000E696E">
        <w:rPr>
          <w:rFonts w:ascii="Verdana" w:hAnsi="Verdana"/>
          <w:bCs/>
          <w:iCs/>
          <w:sz w:val="16"/>
          <w:szCs w:val="16"/>
          <w:lang w:val="en-US"/>
        </w:rPr>
        <w:t xml:space="preserve"> Judgment of May 3, 2016. Series C No. 311, para. </w:t>
      </w:r>
      <w:r w:rsidRPr="004204B2">
        <w:rPr>
          <w:rFonts w:ascii="Verdana" w:hAnsi="Verdana"/>
          <w:bCs/>
          <w:iCs/>
          <w:sz w:val="16"/>
          <w:szCs w:val="16"/>
          <w:lang w:val="es-CR"/>
        </w:rPr>
        <w:t>109.</w:t>
      </w:r>
    </w:p>
  </w:footnote>
  <w:footnote w:id="256">
    <w:p w14:paraId="78AA71E6" w14:textId="1378FBBB"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Case of Duque v. Colombia. supra,</w:t>
      </w:r>
      <w:r w:rsidRPr="004204B2">
        <w:rPr>
          <w:lang w:val="es-CR"/>
        </w:rPr>
        <w:t xml:space="preserve"> para. 96, and </w:t>
      </w:r>
      <w:r w:rsidRPr="004204B2">
        <w:rPr>
          <w:bCs/>
          <w:i/>
          <w:iCs/>
          <w:lang w:val="es-CR"/>
        </w:rPr>
        <w:t xml:space="preserve">Case of Favela Nova </w:t>
      </w:r>
      <w:r w:rsidRPr="004204B2">
        <w:rPr>
          <w:bCs/>
          <w:i/>
          <w:iCs/>
          <w:lang w:val="es-CR"/>
        </w:rPr>
        <w:t>Brasília v. Brazil, supra,</w:t>
      </w:r>
      <w:r w:rsidRPr="004204B2">
        <w:rPr>
          <w:bCs/>
          <w:lang w:val="es-CR"/>
        </w:rPr>
        <w:t xml:space="preserve"> para. </w:t>
      </w:r>
      <w:r w:rsidRPr="000E696E">
        <w:rPr>
          <w:bCs/>
        </w:rPr>
        <w:t>233.</w:t>
      </w:r>
    </w:p>
  </w:footnote>
  <w:footnote w:id="257">
    <w:p w14:paraId="3DE0880E" w14:textId="271E041A" w:rsidR="0068647C" w:rsidRPr="000E696E" w:rsidRDefault="0068647C" w:rsidP="00AA1EBF">
      <w:pPr>
        <w:autoSpaceDE w:val="0"/>
        <w:autoSpaceDN w:val="0"/>
        <w:adjustRightInd w:val="0"/>
        <w:spacing w:after="60"/>
        <w:jc w:val="both"/>
        <w:rPr>
          <w:rFonts w:ascii="Verdana" w:hAnsi="Verdana" w:cs="Arial"/>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See, for example, </w:t>
      </w:r>
      <w:r w:rsidRPr="000E696E">
        <w:rPr>
          <w:rFonts w:ascii="Verdana" w:hAnsi="Verdana" w:cs="Verdana"/>
          <w:bCs/>
          <w:i/>
          <w:sz w:val="16"/>
          <w:szCs w:val="16"/>
          <w:lang w:val="en-US" w:eastAsia="es-MX"/>
        </w:rPr>
        <w:t xml:space="preserve">Case of the Dismissed Congressional Employees (Aguado Alfaro et al.) </w:t>
      </w:r>
      <w:r w:rsidRPr="000E696E">
        <w:rPr>
          <w:rFonts w:ascii="Verdana" w:hAnsi="Verdana" w:cs="Verdana"/>
          <w:bCs/>
          <w:i/>
          <w:iCs/>
          <w:sz w:val="16"/>
          <w:szCs w:val="16"/>
          <w:lang w:val="en-US" w:eastAsia="es-MX"/>
        </w:rPr>
        <w:t>v.</w:t>
      </w:r>
      <w:r w:rsidRPr="000E696E">
        <w:rPr>
          <w:rFonts w:ascii="Verdana" w:hAnsi="Verdana" w:cs="Verdana"/>
          <w:bCs/>
          <w:i/>
          <w:sz w:val="16"/>
          <w:szCs w:val="16"/>
          <w:lang w:val="en-US" w:eastAsia="es-MX"/>
        </w:rPr>
        <w:t xml:space="preserve"> Peru, </w:t>
      </w:r>
      <w:r w:rsidRPr="000E696E">
        <w:rPr>
          <w:rFonts w:ascii="Verdana" w:hAnsi="Verdana" w:cs="Verdana"/>
          <w:bCs/>
          <w:i/>
          <w:iCs/>
          <w:sz w:val="16"/>
          <w:szCs w:val="16"/>
          <w:lang w:val="en-US" w:eastAsia="es-MX"/>
        </w:rPr>
        <w:t>supra,</w:t>
      </w:r>
      <w:r w:rsidRPr="000E696E">
        <w:rPr>
          <w:rFonts w:ascii="Verdana" w:hAnsi="Verdana" w:cs="Verdana"/>
          <w:bCs/>
          <w:sz w:val="16"/>
          <w:szCs w:val="16"/>
          <w:lang w:val="en-US" w:eastAsia="es-MX"/>
        </w:rPr>
        <w:t xml:space="preserve"> para. 89.2. </w:t>
      </w:r>
      <w:r w:rsidRPr="000E696E">
        <w:rPr>
          <w:rStyle w:val="st1"/>
          <w:rFonts w:ascii="Verdana" w:hAnsi="Verdana" w:cs="Arial"/>
          <w:color w:val="000000"/>
          <w:sz w:val="16"/>
          <w:szCs w:val="16"/>
          <w:lang w:val="en-US"/>
        </w:rPr>
        <w:t>“</w:t>
      </w:r>
      <w:r w:rsidRPr="000E696E">
        <w:rPr>
          <w:rFonts w:ascii="Verdana" w:hAnsi="Verdana" w:cs="Verdana"/>
          <w:sz w:val="16"/>
          <w:szCs w:val="16"/>
          <w:lang w:val="en-US" w:eastAsia="es-MX"/>
        </w:rPr>
        <w:t xml:space="preserve">On April 5, 1992, President Fujimori </w:t>
      </w:r>
      <w:r w:rsidRPr="000E696E">
        <w:rPr>
          <w:rFonts w:ascii="Verdana" w:hAnsi="Verdana" w:cs="Arial"/>
          <w:sz w:val="16"/>
          <w:szCs w:val="16"/>
          <w:lang w:val="en-US"/>
        </w:rPr>
        <w:t xml:space="preserve">broadcast the “Manifesto to the Nation” in which he stated, </w:t>
      </w:r>
      <w:r w:rsidRPr="000E696E">
        <w:rPr>
          <w:rFonts w:ascii="Verdana" w:hAnsi="Verdana" w:cs="Arial"/>
          <w:i/>
          <w:iCs/>
          <w:sz w:val="16"/>
          <w:szCs w:val="16"/>
          <w:lang w:val="en-US"/>
        </w:rPr>
        <w:t>inter alia,</w:t>
      </w:r>
      <w:r w:rsidRPr="000E696E">
        <w:rPr>
          <w:rFonts w:ascii="Verdana" w:hAnsi="Verdana" w:cs="Arial"/>
          <w:sz w:val="16"/>
          <w:szCs w:val="16"/>
          <w:lang w:val="en-US"/>
        </w:rPr>
        <w:t xml:space="preserve"> that he considered that he had “the responsibility to assume an exceptional approach to try and accelerate the process of […] national reconstruction and ha[d] therefore, […] decide[d] […] to temporarily dissolve the Congress of the Republic[, …] to modernize the public administration, and to reorganize the Judiciary completely.” </w:t>
      </w:r>
      <w:r w:rsidRPr="000E696E">
        <w:rPr>
          <w:rFonts w:ascii="Verdana" w:hAnsi="Verdana" w:cs="Verdana"/>
          <w:sz w:val="16"/>
          <w:szCs w:val="16"/>
          <w:lang w:val="en-US" w:eastAsia="es-MX"/>
        </w:rPr>
        <w:t xml:space="preserve">  </w:t>
      </w:r>
    </w:p>
  </w:footnote>
  <w:footnote w:id="258">
    <w:p w14:paraId="69D05288" w14:textId="4A179DD9" w:rsidR="0068647C" w:rsidRPr="000E696E" w:rsidRDefault="0068647C" w:rsidP="00D61BD2">
      <w:pPr>
        <w:pStyle w:val="Textonotapie"/>
      </w:pPr>
      <w:r w:rsidRPr="000E696E">
        <w:rPr>
          <w:rStyle w:val="Refdenotaalpie"/>
          <w:sz w:val="16"/>
        </w:rPr>
        <w:footnoteRef/>
      </w:r>
      <w:r w:rsidRPr="000E696E">
        <w:t xml:space="preserve"> </w:t>
      </w:r>
      <w:r w:rsidRPr="000E696E">
        <w:tab/>
        <w:t>Article 46(2). The provisions of paragraphs 1.a and 1.b of this article shall not be applicable when:</w:t>
      </w:r>
    </w:p>
    <w:p w14:paraId="6219CC0B" w14:textId="1B69916C" w:rsidR="0068647C" w:rsidRPr="000E696E" w:rsidRDefault="0068647C" w:rsidP="00162D2F">
      <w:pPr>
        <w:tabs>
          <w:tab w:val="left" w:pos="360"/>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z w:val="16"/>
          <w:szCs w:val="16"/>
          <w:lang w:val="en-US"/>
        </w:rPr>
        <w:t xml:space="preserve">a) </w:t>
      </w:r>
      <w:r w:rsidRPr="000E696E">
        <w:rPr>
          <w:rFonts w:ascii="Verdana" w:hAnsi="Verdana"/>
          <w:spacing w:val="-3"/>
          <w:sz w:val="16"/>
          <w:szCs w:val="16"/>
          <w:lang w:val="en-US"/>
        </w:rPr>
        <w:t>the domestic legislation of the state concerned does not afford due process of law for the protection of the right or rights that have allegedly been violated;</w:t>
      </w:r>
    </w:p>
    <w:p w14:paraId="12B5A73A" w14:textId="512534DB" w:rsidR="0068647C" w:rsidRPr="000E696E" w:rsidRDefault="0068647C" w:rsidP="00162D2F">
      <w:pPr>
        <w:tabs>
          <w:tab w:val="left" w:pos="360"/>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 the party alleging violation of his rights has been denied access to the remedies under domestic law or has been prevented from exhausting them; or</w:t>
      </w:r>
    </w:p>
    <w:p w14:paraId="4A3C1398" w14:textId="0E25A7DF" w:rsidR="0068647C" w:rsidRPr="000E696E" w:rsidRDefault="0068647C" w:rsidP="00162D2F">
      <w:pPr>
        <w:tabs>
          <w:tab w:val="left" w:pos="480"/>
          <w:tab w:val="left" w:pos="1080"/>
          <w:tab w:val="left" w:pos="1680"/>
          <w:tab w:val="left" w:pos="5400"/>
        </w:tabs>
        <w:suppressAutoHyphens/>
        <w:spacing w:after="60"/>
        <w:ind w:left="1080" w:hanging="1080"/>
        <w:jc w:val="both"/>
        <w:rPr>
          <w:rFonts w:ascii="Verdana" w:hAnsi="Verdana"/>
          <w:spacing w:val="-3"/>
          <w:sz w:val="16"/>
          <w:szCs w:val="16"/>
          <w:lang w:val="en-US"/>
        </w:rPr>
      </w:pPr>
      <w:r w:rsidRPr="000E696E">
        <w:rPr>
          <w:rFonts w:ascii="Verdana" w:hAnsi="Verdana"/>
          <w:sz w:val="16"/>
          <w:szCs w:val="16"/>
          <w:lang w:val="en-US"/>
        </w:rPr>
        <w:t xml:space="preserve">c) </w:t>
      </w:r>
      <w:r w:rsidRPr="000E696E">
        <w:rPr>
          <w:rFonts w:ascii="Verdana" w:hAnsi="Verdana"/>
          <w:spacing w:val="-3"/>
          <w:sz w:val="16"/>
          <w:szCs w:val="16"/>
          <w:lang w:val="en-US"/>
        </w:rPr>
        <w:t>there has been unwarranted delay in rendering a final judgment under the aforementioned remedies.</w:t>
      </w:r>
    </w:p>
  </w:footnote>
  <w:footnote w:id="259">
    <w:p w14:paraId="7DC88BCD" w14:textId="23AE3890" w:rsidR="0068647C" w:rsidRPr="000E696E" w:rsidRDefault="0068647C" w:rsidP="00AA1EBF">
      <w:pPr>
        <w:widowControl w:val="0"/>
        <w:autoSpaceDE w:val="0"/>
        <w:autoSpaceDN w:val="0"/>
        <w:adjustRightInd w:val="0"/>
        <w:spacing w:after="60"/>
        <w:contextualSpacing/>
        <w:jc w:val="both"/>
        <w:rPr>
          <w:rFonts w:ascii="Verdana" w:hAnsi="Verdana" w:cs="Times"/>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Verdana"/>
          <w:i/>
          <w:iCs/>
          <w:sz w:val="16"/>
          <w:szCs w:val="16"/>
          <w:lang w:val="en-US"/>
        </w:rPr>
        <w:t xml:space="preserve">Cf. Case of the Constitutional Court, supra </w:t>
      </w:r>
      <w:r w:rsidRPr="000E696E">
        <w:rPr>
          <w:rFonts w:ascii="Verdana" w:hAnsi="Verdana" w:cs="Verdana"/>
          <w:sz w:val="16"/>
          <w:szCs w:val="16"/>
          <w:lang w:val="en-US"/>
        </w:rPr>
        <w:t xml:space="preserve">para. 89, and </w:t>
      </w:r>
      <w:r w:rsidRPr="000E696E">
        <w:rPr>
          <w:rFonts w:ascii="Verdana" w:hAnsi="Verdana" w:cs="Verdana"/>
          <w:bCs/>
          <w:i/>
          <w:sz w:val="16"/>
          <w:szCs w:val="16"/>
          <w:lang w:val="en-US"/>
        </w:rPr>
        <w:t xml:space="preserve">Case of Favela Nova Brasília v. Brazil. supra, </w:t>
      </w:r>
      <w:r w:rsidRPr="000E696E">
        <w:rPr>
          <w:rFonts w:ascii="Verdana" w:hAnsi="Verdana" w:cs="Verdana"/>
          <w:bCs/>
          <w:sz w:val="16"/>
          <w:szCs w:val="16"/>
          <w:lang w:val="en-US"/>
        </w:rPr>
        <w:t>para. 233</w:t>
      </w:r>
      <w:r w:rsidRPr="000E696E">
        <w:rPr>
          <w:rFonts w:ascii="Verdana" w:hAnsi="Verdana" w:cs="Verdana"/>
          <w:sz w:val="16"/>
          <w:szCs w:val="16"/>
          <w:lang w:val="en-US"/>
        </w:rPr>
        <w:t xml:space="preserve">; and </w:t>
      </w:r>
      <w:r w:rsidRPr="000E696E">
        <w:rPr>
          <w:rFonts w:ascii="Verdana" w:hAnsi="Verdana" w:cs="Verdana"/>
          <w:i/>
          <w:iCs/>
          <w:sz w:val="16"/>
          <w:szCs w:val="16"/>
          <w:lang w:val="en-US"/>
        </w:rPr>
        <w:t xml:space="preserve">Judicial Guarantees in States of Emergency </w:t>
      </w:r>
      <w:r w:rsidRPr="000E696E">
        <w:rPr>
          <w:rFonts w:ascii="Verdana" w:hAnsi="Verdana" w:cs="Verdana"/>
          <w:i/>
          <w:sz w:val="16"/>
          <w:szCs w:val="16"/>
          <w:lang w:val="en-US"/>
        </w:rPr>
        <w:t xml:space="preserve">(Arts. 27.2, 25 and 8 American Convention on Human Rights), OC-9/87, </w:t>
      </w:r>
      <w:r w:rsidRPr="000E696E">
        <w:rPr>
          <w:rFonts w:ascii="Verdana" w:hAnsi="Verdana" w:cs="Verdana"/>
          <w:i/>
          <w:iCs/>
          <w:sz w:val="16"/>
          <w:szCs w:val="16"/>
          <w:lang w:val="en-US"/>
        </w:rPr>
        <w:t>supra</w:t>
      </w:r>
      <w:r w:rsidRPr="000E696E">
        <w:rPr>
          <w:rFonts w:ascii="Verdana" w:hAnsi="Verdana" w:cs="Verdana"/>
          <w:sz w:val="16"/>
          <w:szCs w:val="16"/>
          <w:lang w:val="en-US"/>
        </w:rPr>
        <w:t>, paras. 23 and 24.</w:t>
      </w:r>
    </w:p>
  </w:footnote>
  <w:footnote w:id="260">
    <w:p w14:paraId="47626979" w14:textId="1121D83C" w:rsidR="0068647C" w:rsidRPr="000E696E" w:rsidRDefault="0068647C" w:rsidP="00D61BD2">
      <w:pPr>
        <w:pStyle w:val="2Footnotes"/>
      </w:pPr>
      <w:r w:rsidRPr="000E696E">
        <w:rPr>
          <w:rStyle w:val="Refdenotaalpie"/>
          <w:rFonts w:eastAsia="Batang"/>
          <w:sz w:val="16"/>
          <w:szCs w:val="16"/>
        </w:rPr>
        <w:footnoteRef/>
      </w:r>
      <w:r w:rsidRPr="000E696E">
        <w:t xml:space="preserve"> </w:t>
      </w:r>
      <w:r w:rsidRPr="000E696E">
        <w:tab/>
        <w:t>Article 63(1) of the American Convention establishes: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261">
    <w:p w14:paraId="16CBE290" w14:textId="1D9E4B92" w:rsidR="0068647C" w:rsidRPr="000E696E" w:rsidRDefault="0068647C" w:rsidP="00D61BD2">
      <w:pPr>
        <w:pStyle w:val="2Footnotes"/>
        <w:rPr>
          <w:lang w:bidi="en-US"/>
        </w:rPr>
      </w:pPr>
      <w:r w:rsidRPr="000E696E">
        <w:rPr>
          <w:rStyle w:val="Refdenotaalpie"/>
          <w:rFonts w:eastAsia="Batang"/>
          <w:sz w:val="16"/>
          <w:szCs w:val="16"/>
        </w:rPr>
        <w:footnoteRef/>
      </w:r>
      <w:r w:rsidRPr="004204B2">
        <w:rPr>
          <w:lang w:val="es-CR"/>
        </w:rPr>
        <w:tab/>
      </w:r>
      <w:r w:rsidRPr="004204B2">
        <w:rPr>
          <w:i/>
          <w:lang w:val="es-CR" w:bidi="en-US"/>
        </w:rPr>
        <w:t>Cf.</w:t>
      </w:r>
      <w:r w:rsidRPr="004204B2">
        <w:rPr>
          <w:lang w:val="es-CR" w:bidi="en-US"/>
        </w:rPr>
        <w:t xml:space="preserve"> </w:t>
      </w:r>
      <w:r w:rsidRPr="004204B2">
        <w:rPr>
          <w:i/>
          <w:iCs w:val="0"/>
          <w:lang w:val="es-CR" w:bidi="en-US"/>
        </w:rPr>
        <w:t xml:space="preserve">Case of Velásquez Rodríguez v. Honduras. </w:t>
      </w:r>
      <w:r w:rsidRPr="000E696E">
        <w:rPr>
          <w:i/>
          <w:iCs w:val="0"/>
          <w:lang w:bidi="en-US"/>
        </w:rPr>
        <w:t>Reparations and costs.</w:t>
      </w:r>
      <w:r w:rsidRPr="000E696E">
        <w:rPr>
          <w:lang w:bidi="en-US"/>
        </w:rPr>
        <w:t xml:space="preserve"> Judgment of July 21, 1989. </w:t>
      </w:r>
      <w:r w:rsidRPr="004204B2">
        <w:rPr>
          <w:lang w:val="es-CR" w:bidi="en-US"/>
        </w:rPr>
        <w:t xml:space="preserve">Series C No. 7, para. 25, and </w:t>
      </w:r>
      <w:r w:rsidRPr="004204B2">
        <w:rPr>
          <w:i/>
          <w:iCs w:val="0"/>
          <w:lang w:val="es-CR"/>
        </w:rPr>
        <w:t>Case of Acosta et al. v. Nicaragua, supra</w:t>
      </w:r>
      <w:r w:rsidRPr="004204B2">
        <w:rPr>
          <w:lang w:val="es-CR"/>
        </w:rPr>
        <w:t xml:space="preserve">, para. </w:t>
      </w:r>
      <w:r w:rsidRPr="000E696E">
        <w:t>209.</w:t>
      </w:r>
    </w:p>
  </w:footnote>
  <w:footnote w:id="262">
    <w:p w14:paraId="26BF7712" w14:textId="2C252291" w:rsidR="0068647C" w:rsidRPr="000E696E" w:rsidRDefault="0068647C" w:rsidP="00D61BD2">
      <w:pPr>
        <w:pStyle w:val="2Footnotes"/>
        <w:rPr>
          <w:rFonts w:cs="Verdana"/>
          <w:lang w:bidi="en-US"/>
        </w:rPr>
      </w:pPr>
      <w:r w:rsidRPr="000E696E">
        <w:rPr>
          <w:rStyle w:val="Refdenotaalpie"/>
          <w:rFonts w:eastAsia="Batang"/>
          <w:sz w:val="16"/>
          <w:szCs w:val="16"/>
        </w:rPr>
        <w:footnoteRef/>
      </w:r>
      <w:r w:rsidRPr="000E696E">
        <w:tab/>
      </w:r>
      <w:r w:rsidRPr="000E696E">
        <w:rPr>
          <w:i/>
        </w:rPr>
        <w:t>Cf.</w:t>
      </w:r>
      <w:r w:rsidRPr="000E696E">
        <w:t xml:space="preserve"> </w:t>
      </w:r>
      <w:r w:rsidRPr="000E696E">
        <w:rPr>
          <w:i/>
          <w:iCs w:val="0"/>
        </w:rPr>
        <w:t>Case of Ticona Estrada et al. v. Bolivia. Merits, reparations and costs.</w:t>
      </w:r>
      <w:r w:rsidRPr="000E696E">
        <w:t xml:space="preserve"> Judgment of November 27, 2008. Series C No. 191, para. 110, and</w:t>
      </w:r>
      <w:r w:rsidRPr="000E696E">
        <w:rPr>
          <w:i/>
          <w:iCs w:val="0"/>
        </w:rPr>
        <w:t xml:space="preserve"> Case of Acosta et al. v. Nicaragua, supra,</w:t>
      </w:r>
      <w:r w:rsidRPr="000E696E">
        <w:t xml:space="preserve"> para. 210.</w:t>
      </w:r>
    </w:p>
  </w:footnote>
  <w:footnote w:id="263">
    <w:p w14:paraId="1A47AF54" w14:textId="079CCA24" w:rsidR="0068647C" w:rsidRPr="004204B2" w:rsidRDefault="0068647C" w:rsidP="00D61BD2">
      <w:pPr>
        <w:pStyle w:val="2Footnotes"/>
        <w:rPr>
          <w:bCs/>
          <w:lang w:val="es-CR" w:bidi="en-US"/>
        </w:rPr>
      </w:pPr>
      <w:r w:rsidRPr="000E696E">
        <w:rPr>
          <w:rStyle w:val="Refdenotaalpie"/>
          <w:rFonts w:eastAsia="MS Mincho"/>
          <w:sz w:val="16"/>
          <w:szCs w:val="16"/>
        </w:rPr>
        <w:footnoteRef/>
      </w:r>
      <w:r w:rsidRPr="000E696E">
        <w:t xml:space="preserve"> </w:t>
      </w:r>
      <w:r w:rsidRPr="000E696E">
        <w:tab/>
      </w:r>
      <w:r w:rsidRPr="000E696E">
        <w:rPr>
          <w:i/>
        </w:rPr>
        <w:t>Cf.</w:t>
      </w:r>
      <w:r w:rsidRPr="000E696E">
        <w:t xml:space="preserve"> </w:t>
      </w:r>
      <w:r w:rsidRPr="000E696E">
        <w:rPr>
          <w:i/>
          <w:iCs w:val="0"/>
          <w:lang w:bidi="en-US"/>
        </w:rPr>
        <w:t xml:space="preserve">Case of Velásquez Rodríguez v. Honduras. </w:t>
      </w:r>
      <w:r w:rsidRPr="004204B2">
        <w:rPr>
          <w:i/>
          <w:iCs w:val="0"/>
          <w:lang w:val="es-CR"/>
        </w:rPr>
        <w:t xml:space="preserve">Reparations, </w:t>
      </w:r>
      <w:r w:rsidRPr="004204B2">
        <w:rPr>
          <w:i/>
          <w:iCs w:val="0"/>
          <w:lang w:val="es-CR" w:bidi="en-US"/>
        </w:rPr>
        <w:t xml:space="preserve">supra, </w:t>
      </w:r>
      <w:r w:rsidRPr="004204B2">
        <w:rPr>
          <w:lang w:val="es-CR" w:bidi="en-US"/>
        </w:rPr>
        <w:t>para. 26, and</w:t>
      </w:r>
      <w:r w:rsidRPr="004204B2">
        <w:rPr>
          <w:i/>
          <w:iCs w:val="0"/>
          <w:lang w:val="es-CR" w:bidi="en-US"/>
        </w:rPr>
        <w:t xml:space="preserve"> </w:t>
      </w:r>
      <w:r w:rsidRPr="004204B2">
        <w:rPr>
          <w:i/>
          <w:iCs w:val="0"/>
          <w:lang w:val="es-CR"/>
        </w:rPr>
        <w:t>Case of Acosta et al. v. Nicaragua, supra</w:t>
      </w:r>
      <w:r w:rsidRPr="004204B2">
        <w:rPr>
          <w:lang w:val="es-CR"/>
        </w:rPr>
        <w:t>, para. 210.</w:t>
      </w:r>
    </w:p>
  </w:footnote>
  <w:footnote w:id="264">
    <w:p w14:paraId="5676EE21" w14:textId="118FCA9D" w:rsidR="0068647C" w:rsidRPr="000E696E" w:rsidRDefault="0068647C" w:rsidP="00D61BD2">
      <w:pPr>
        <w:pStyle w:val="2Footnotes"/>
        <w:rPr>
          <w:lang w:bidi="en-US"/>
        </w:rPr>
      </w:pPr>
      <w:r w:rsidRPr="000E696E">
        <w:rPr>
          <w:rStyle w:val="Refdenotaalpie"/>
          <w:sz w:val="16"/>
          <w:szCs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val="0"/>
          <w:lang w:val="es-CR"/>
        </w:rPr>
        <w:t xml:space="preserve">Case of Velásquez Rodríguez. Reparations, supra, </w:t>
      </w:r>
      <w:r w:rsidRPr="004204B2">
        <w:rPr>
          <w:lang w:val="es-CR" w:bidi="en-US"/>
        </w:rPr>
        <w:t>para. 189, and</w:t>
      </w:r>
      <w:r w:rsidRPr="004204B2">
        <w:rPr>
          <w:i/>
          <w:iCs w:val="0"/>
          <w:lang w:val="es-CR" w:bidi="en-US"/>
        </w:rPr>
        <w:t xml:space="preserve"> </w:t>
      </w:r>
      <w:r w:rsidRPr="004204B2">
        <w:rPr>
          <w:i/>
          <w:iCs w:val="0"/>
          <w:lang w:val="es-CR"/>
        </w:rPr>
        <w:t>Case of Acosta et al. v. Nicaragua, supra,</w:t>
      </w:r>
      <w:r w:rsidRPr="004204B2">
        <w:rPr>
          <w:lang w:val="es-CR"/>
        </w:rPr>
        <w:t xml:space="preserve"> para. </w:t>
      </w:r>
      <w:r w:rsidRPr="000E696E">
        <w:t>211.</w:t>
      </w:r>
    </w:p>
  </w:footnote>
  <w:footnote w:id="265">
    <w:p w14:paraId="44EEE0D7" w14:textId="02852164"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Cf.</w:t>
      </w:r>
      <w:r w:rsidRPr="000E696E">
        <w:t xml:space="preserve"> </w:t>
      </w:r>
      <w:r w:rsidRPr="000E696E">
        <w:rPr>
          <w:rStyle w:val="Textoennegrita"/>
          <w:b w:val="0"/>
          <w:i/>
          <w:color w:val="000000"/>
          <w:shd w:val="clear" w:color="auto" w:fill="FFFFFF"/>
        </w:rPr>
        <w:t xml:space="preserve">Case of Chitay Nech et al. v. Guatemala, supra, </w:t>
      </w:r>
      <w:r w:rsidRPr="000E696E">
        <w:rPr>
          <w:rStyle w:val="Textoennegrita"/>
          <w:b w:val="0"/>
          <w:color w:val="000000"/>
          <w:shd w:val="clear" w:color="auto" w:fill="FFFFFF"/>
        </w:rPr>
        <w:t xml:space="preserve">para. 244, and </w:t>
      </w:r>
      <w:r w:rsidRPr="000E696E">
        <w:rPr>
          <w:i/>
        </w:rPr>
        <w:t>Case of Zegarra Marín v. Peru, supra,</w:t>
      </w:r>
      <w:r w:rsidRPr="000E696E">
        <w:t xml:space="preserve"> para. 205.</w:t>
      </w:r>
    </w:p>
  </w:footnote>
  <w:footnote w:id="266">
    <w:p w14:paraId="6D75B009" w14:textId="57024458" w:rsidR="0068647C" w:rsidRPr="000E696E" w:rsidRDefault="0068647C" w:rsidP="00D61BD2">
      <w:pPr>
        <w:pStyle w:val="Textonotapie"/>
      </w:pPr>
      <w:r w:rsidRPr="000E696E">
        <w:rPr>
          <w:rStyle w:val="Refdenotaalpie"/>
          <w:color w:val="000000"/>
          <w:sz w:val="16"/>
        </w:rPr>
        <w:footnoteRef/>
      </w:r>
      <w:r w:rsidRPr="000E696E">
        <w:tab/>
        <w:t xml:space="preserve">The Court has established that pecuniary damage supposes “the loss or detriment to the victims’ income, the expenses incurred as a result of the facts, and the consequences of a pecuniary nature that have a causal nexus to the facts of the case.” </w:t>
      </w:r>
      <w:r w:rsidRPr="000E696E">
        <w:rPr>
          <w:i/>
        </w:rPr>
        <w:t>Case of Bámaca Velásquez v. Guatemala.</w:t>
      </w:r>
      <w:r w:rsidRPr="000E696E">
        <w:t xml:space="preserve"> </w:t>
      </w:r>
      <w:r w:rsidRPr="000E696E">
        <w:rPr>
          <w:i/>
        </w:rPr>
        <w:t>Reparations and costs.</w:t>
      </w:r>
      <w:r w:rsidRPr="000E696E">
        <w:t xml:space="preserve"> Judgment of February 22, 2002. </w:t>
      </w:r>
      <w:r w:rsidRPr="004204B2">
        <w:rPr>
          <w:lang w:val="es-CR"/>
        </w:rPr>
        <w:t xml:space="preserve">Series C No. 91, para. 43, and </w:t>
      </w:r>
      <w:r w:rsidRPr="004204B2">
        <w:rPr>
          <w:i/>
          <w:lang w:val="es-CR"/>
        </w:rPr>
        <w:t>Case of Acosta et al. v. Nicaragua,</w:t>
      </w:r>
      <w:r w:rsidRPr="004204B2">
        <w:rPr>
          <w:lang w:val="es-CR"/>
        </w:rPr>
        <w:t xml:space="preserve"> </w:t>
      </w:r>
      <w:r w:rsidRPr="004204B2">
        <w:rPr>
          <w:i/>
          <w:lang w:val="es-CR"/>
        </w:rPr>
        <w:t>supra</w:t>
      </w:r>
      <w:r w:rsidRPr="004204B2">
        <w:rPr>
          <w:lang w:val="es-CR"/>
        </w:rPr>
        <w:t xml:space="preserve">, para. </w:t>
      </w:r>
      <w:r w:rsidRPr="000E696E">
        <w:t>233.</w:t>
      </w:r>
    </w:p>
  </w:footnote>
  <w:footnote w:id="267">
    <w:p w14:paraId="56EF3970" w14:textId="07A9D2CF" w:rsidR="0068647C" w:rsidRPr="000E696E" w:rsidRDefault="0068647C" w:rsidP="00D61BD2">
      <w:pPr>
        <w:pStyle w:val="Textonotapie"/>
      </w:pPr>
      <w:r w:rsidRPr="000E696E">
        <w:rPr>
          <w:rStyle w:val="Refdenotaalpie"/>
          <w:color w:val="000000"/>
          <w:sz w:val="16"/>
        </w:rPr>
        <w:footnoteRef/>
      </w:r>
      <w:r w:rsidRPr="000E696E">
        <w:tab/>
        <w:t xml:space="preserve">The Court has established that non-pecuniary damage “may include both the suffering and affliction caused to the direct victim and his family, the impairment of values that are of great significance for the individual, and also any changes, of a non-pecuniary nature, in the living conditions of the victim or his family.” </w:t>
      </w:r>
      <w:r w:rsidRPr="000E696E">
        <w:rPr>
          <w:i/>
        </w:rPr>
        <w:t>Case of the “Street Children” (Villagrán Morales et al.) v. Guatemala</w:t>
      </w:r>
      <w:r w:rsidRPr="000E696E">
        <w:t xml:space="preserve">. </w:t>
      </w:r>
      <w:r w:rsidRPr="000E696E">
        <w:rPr>
          <w:i/>
        </w:rPr>
        <w:t>Reparations and costs</w:t>
      </w:r>
      <w:r w:rsidRPr="000E696E">
        <w:t xml:space="preserve">. Judgment of May 26, 2001. Series C No. 77, para. </w:t>
      </w:r>
      <w:r w:rsidRPr="004204B2">
        <w:rPr>
          <w:lang w:val="es-CR"/>
        </w:rPr>
        <w:t xml:space="preserve">84, and </w:t>
      </w:r>
      <w:r w:rsidRPr="004204B2">
        <w:rPr>
          <w:bCs/>
          <w:i/>
          <w:iCs/>
          <w:lang w:val="es-CR"/>
        </w:rPr>
        <w:t>Case of Vásquez Durand et al. v. Ecuador, supra</w:t>
      </w:r>
      <w:r w:rsidRPr="004204B2">
        <w:rPr>
          <w:bCs/>
          <w:iCs/>
          <w:lang w:val="es-CR"/>
        </w:rPr>
        <w:t xml:space="preserve">, para. </w:t>
      </w:r>
      <w:r w:rsidRPr="000E696E">
        <w:rPr>
          <w:bCs/>
          <w:iCs/>
        </w:rPr>
        <w:t>332.</w:t>
      </w:r>
    </w:p>
  </w:footnote>
  <w:footnote w:id="268">
    <w:p w14:paraId="25A6E61A" w14:textId="741800FF"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Case of Bámaca Velásquez v. Guatemala. Reparations, supra, para. 43, and Case of Vásquez Durand v. Ecuador, supra, para. 227.</w:t>
      </w:r>
    </w:p>
  </w:footnote>
  <w:footnote w:id="269">
    <w:p w14:paraId="52D99776" w14:textId="75CBE60A"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Cs/>
        </w:rPr>
        <w:t>Fifteenth Judge</w:t>
      </w:r>
      <w:r w:rsidRPr="000E696E">
        <w:t xml:space="preserve"> of the Labor Court of Lima. Judgment 25-91 of March 5, 1991. Annexes to the petitioners’ communication of July 23, 1998 (evidence file, annex 8 to the Merits Report, f. 29); CEPER-PIRELLI. Pay slip of Alfredo Lagos del Campo. Week of June 26 to July 2, 1989. Annexes to the petitioners’ communication of July 23, 1998. Annex 2 to the Merits Report 27/15 (19,258.53 Intis = approximately US$6.41).</w:t>
      </w:r>
    </w:p>
  </w:footnote>
  <w:footnote w:id="270">
    <w:p w14:paraId="327B5461" w14:textId="34451288" w:rsidR="0068647C" w:rsidRPr="000E696E" w:rsidRDefault="0068647C" w:rsidP="00D61BD2">
      <w:pPr>
        <w:pStyle w:val="Textonotapie"/>
        <w:rPr>
          <w:bCs/>
        </w:rPr>
      </w:pPr>
      <w:r w:rsidRPr="000E696E">
        <w:rPr>
          <w:rStyle w:val="Refdenotaalpie"/>
          <w:sz w:val="16"/>
        </w:rPr>
        <w:footnoteRef/>
      </w:r>
      <w:r w:rsidRPr="000E696E">
        <w:rPr>
          <w:rStyle w:val="Refdenotaalpie"/>
          <w:sz w:val="16"/>
        </w:rPr>
        <w:t xml:space="preserve"> </w:t>
      </w:r>
      <w:r w:rsidRPr="000E696E">
        <w:tab/>
      </w:r>
      <w:r w:rsidRPr="000E696E">
        <w:rPr>
          <w:i/>
        </w:rPr>
        <w:t>Cf.</w:t>
      </w:r>
      <w:r w:rsidRPr="000E696E">
        <w:t xml:space="preserve"> </w:t>
      </w:r>
      <w:r w:rsidRPr="000E696E">
        <w:rPr>
          <w:i/>
          <w:iCs/>
        </w:rPr>
        <w:t xml:space="preserve">Case of the “Street Children” (Villagrán Morales et al.) v. Guatemala, Reparations, supra, </w:t>
      </w:r>
      <w:r w:rsidRPr="000E696E">
        <w:t xml:space="preserve">para. </w:t>
      </w:r>
      <w:r w:rsidRPr="004204B2">
        <w:rPr>
          <w:lang w:val="es-CR"/>
        </w:rPr>
        <w:t xml:space="preserve">84, and </w:t>
      </w:r>
      <w:r w:rsidRPr="004204B2">
        <w:rPr>
          <w:bCs/>
          <w:i/>
          <w:iCs/>
          <w:lang w:val="es-CR"/>
        </w:rPr>
        <w:t>Case of Acosta et al. v. Nicaragua, supra</w:t>
      </w:r>
      <w:r w:rsidRPr="004204B2">
        <w:rPr>
          <w:bCs/>
          <w:lang w:val="es-CR"/>
        </w:rPr>
        <w:t xml:space="preserve">, para. </w:t>
      </w:r>
      <w:r w:rsidRPr="000E696E">
        <w:rPr>
          <w:bCs/>
        </w:rPr>
        <w:t>236.</w:t>
      </w:r>
    </w:p>
  </w:footnote>
  <w:footnote w:id="271">
    <w:p w14:paraId="4060ED26" w14:textId="269815CD" w:rsidR="0068647C" w:rsidRPr="000E696E" w:rsidRDefault="0068647C" w:rsidP="00D61BD2">
      <w:pPr>
        <w:pStyle w:val="Textonotapie"/>
      </w:pPr>
      <w:r w:rsidRPr="000E696E">
        <w:rPr>
          <w:rStyle w:val="Refdenotaalpie"/>
          <w:sz w:val="16"/>
        </w:rPr>
        <w:footnoteRef/>
      </w:r>
      <w:r w:rsidRPr="000E696E">
        <w:t xml:space="preserve"> </w:t>
      </w:r>
      <w:r w:rsidRPr="000E696E">
        <w:tab/>
        <w:t>Expert opinion of Carlos Jibaja Zárate (merits file, f. 463).</w:t>
      </w:r>
    </w:p>
  </w:footnote>
  <w:footnote w:id="272">
    <w:p w14:paraId="68355CFB" w14:textId="440E652D" w:rsidR="0068647C" w:rsidRPr="000E696E" w:rsidRDefault="0068647C" w:rsidP="00D61BD2">
      <w:pPr>
        <w:pStyle w:val="Textonotapie"/>
        <w:rPr>
          <w:i/>
          <w:strike/>
        </w:rPr>
      </w:pPr>
      <w:r w:rsidRPr="000E696E">
        <w:rPr>
          <w:rStyle w:val="Refdenotaalpie"/>
          <w:sz w:val="16"/>
        </w:rPr>
        <w:footnoteRef/>
      </w:r>
      <w:r w:rsidRPr="000E696E">
        <w:t xml:space="preserve"> </w:t>
      </w:r>
      <w:r w:rsidRPr="000E696E">
        <w:tab/>
        <w:t>For future expenses they merely submitted the voucher for the air fare of Christian Huaylinos Camacuari for US$450.11 (merits file, ff. 444.3 to 444.5).</w:t>
      </w:r>
    </w:p>
  </w:footnote>
  <w:footnote w:id="273">
    <w:p w14:paraId="61769176" w14:textId="57BE1E1B" w:rsidR="0068647C" w:rsidRPr="000E696E" w:rsidRDefault="0068647C" w:rsidP="00D61BD2">
      <w:pPr>
        <w:pStyle w:val="Textonotapie"/>
        <w:rPr>
          <w:bCs/>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Velásquez Rodríguez v. Honduras. </w:t>
      </w:r>
      <w:r w:rsidRPr="004204B2">
        <w:rPr>
          <w:i/>
          <w:iCs/>
          <w:lang w:val="es-CR"/>
        </w:rPr>
        <w:t xml:space="preserve">Reparations, supra, </w:t>
      </w:r>
      <w:r w:rsidRPr="004204B2">
        <w:rPr>
          <w:lang w:val="es-CR"/>
        </w:rPr>
        <w:t>para. 42, and</w:t>
      </w:r>
      <w:r w:rsidRPr="004204B2">
        <w:rPr>
          <w:i/>
          <w:iCs/>
          <w:lang w:val="es-CR"/>
        </w:rPr>
        <w:t xml:space="preserve"> </w:t>
      </w:r>
      <w:r w:rsidRPr="004204B2">
        <w:rPr>
          <w:bCs/>
          <w:i/>
          <w:iCs/>
          <w:lang w:val="es-CR"/>
        </w:rPr>
        <w:t>Case of Zegarra Marín v. Peru, supra</w:t>
      </w:r>
      <w:r w:rsidRPr="004204B2">
        <w:rPr>
          <w:bCs/>
          <w:lang w:val="es-CR"/>
        </w:rPr>
        <w:t xml:space="preserve">, para. </w:t>
      </w:r>
      <w:r w:rsidRPr="000E696E">
        <w:rPr>
          <w:bCs/>
        </w:rPr>
        <w:t>229.</w:t>
      </w:r>
    </w:p>
  </w:footnote>
  <w:footnote w:id="274">
    <w:p w14:paraId="1CB740B9" w14:textId="16983B20" w:rsidR="0068647C" w:rsidRPr="000E696E" w:rsidRDefault="0068647C" w:rsidP="00D61BD2">
      <w:pPr>
        <w:pStyle w:val="Textonotapie"/>
        <w:rPr>
          <w:bCs/>
        </w:rPr>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 xml:space="preserve">Case of Garrido and Baigorria v. Argentina. Reparations and costs. </w:t>
      </w:r>
      <w:r w:rsidRPr="000E696E">
        <w:t>Judgment of August 27, 1998. Series C No. 39, para. 82,</w:t>
      </w:r>
      <w:r w:rsidRPr="000E696E">
        <w:rPr>
          <w:i/>
          <w:iCs/>
        </w:rPr>
        <w:t xml:space="preserve"> </w:t>
      </w:r>
      <w:r w:rsidRPr="000E696E">
        <w:t>and</w:t>
      </w:r>
      <w:r w:rsidRPr="000E696E">
        <w:rPr>
          <w:i/>
          <w:iCs/>
        </w:rPr>
        <w:t xml:space="preserve"> </w:t>
      </w:r>
      <w:r w:rsidRPr="000E696E">
        <w:rPr>
          <w:bCs/>
          <w:i/>
          <w:iCs/>
        </w:rPr>
        <w:t>Case of Zegarra Marín v. Peru, supra</w:t>
      </w:r>
      <w:r w:rsidRPr="000E696E">
        <w:rPr>
          <w:bCs/>
        </w:rPr>
        <w:t>, para. 229</w:t>
      </w:r>
      <w:r w:rsidRPr="000E696E">
        <w:rPr>
          <w:bCs/>
          <w:color w:val="000000"/>
          <w:shd w:val="clear" w:color="auto" w:fill="FFFFFF"/>
        </w:rPr>
        <w:t>.</w:t>
      </w:r>
    </w:p>
  </w:footnote>
  <w:footnote w:id="275">
    <w:p w14:paraId="3D3ABF6A" w14:textId="2E66D81C" w:rsidR="0068647C" w:rsidRPr="000E696E" w:rsidRDefault="0068647C" w:rsidP="00D61BD2">
      <w:pPr>
        <w:pStyle w:val="Textonotapie"/>
        <w:rPr>
          <w:bCs/>
        </w:rPr>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Case of Garrido and Baigorria v. Argentina. Reparations, supra</w:t>
      </w:r>
      <w:r w:rsidRPr="000E696E">
        <w:t>, para.</w:t>
      </w:r>
      <w:r w:rsidRPr="000E696E">
        <w:rPr>
          <w:spacing w:val="-1"/>
        </w:rPr>
        <w:t>7</w:t>
      </w:r>
      <w:r w:rsidRPr="000E696E">
        <w:rPr>
          <w:spacing w:val="1"/>
        </w:rPr>
        <w:t>9, and</w:t>
      </w:r>
      <w:r w:rsidRPr="000E696E">
        <w:t xml:space="preserve"> </w:t>
      </w:r>
      <w:r w:rsidRPr="000E696E">
        <w:rPr>
          <w:bCs/>
          <w:i/>
          <w:iCs/>
        </w:rPr>
        <w:t xml:space="preserve">Case of Zegarra Marín v. Peru, supra, </w:t>
      </w:r>
      <w:r w:rsidRPr="000E696E">
        <w:rPr>
          <w:bCs/>
        </w:rPr>
        <w:t>para. 230.</w:t>
      </w:r>
    </w:p>
  </w:footnote>
  <w:footnote w:id="276">
    <w:p w14:paraId="11CE26EB" w14:textId="7CED90DF" w:rsidR="0068647C" w:rsidRPr="000E696E" w:rsidRDefault="0068647C" w:rsidP="00D61BD2">
      <w:pPr>
        <w:pStyle w:val="Textonotapie"/>
        <w:rPr>
          <w:bCs/>
        </w:rPr>
      </w:pPr>
      <w:r w:rsidRPr="000E696E">
        <w:rPr>
          <w:rStyle w:val="Refdenotaalpie"/>
          <w:sz w:val="16"/>
        </w:rPr>
        <w:footnoteRef/>
      </w:r>
      <w:r w:rsidRPr="000E696E">
        <w:t xml:space="preserve"> </w:t>
      </w:r>
      <w:r w:rsidRPr="000E696E">
        <w:tab/>
      </w:r>
      <w:r w:rsidRPr="000E696E">
        <w:rPr>
          <w:i/>
        </w:rPr>
        <w:t>Cf.</w:t>
      </w:r>
      <w:r w:rsidRPr="000E696E">
        <w:rPr>
          <w:i/>
          <w:iCs/>
          <w:spacing w:val="15"/>
        </w:rPr>
        <w:t xml:space="preserve"> </w:t>
      </w:r>
      <w:r w:rsidRPr="000E696E">
        <w:rPr>
          <w:i/>
          <w:iCs/>
        </w:rPr>
        <w:t>Case of</w:t>
      </w:r>
      <w:r w:rsidRPr="000E696E">
        <w:rPr>
          <w:i/>
          <w:iCs/>
          <w:spacing w:val="16"/>
        </w:rPr>
        <w:t xml:space="preserve"> </w:t>
      </w:r>
      <w:r w:rsidRPr="000E696E">
        <w:rPr>
          <w:i/>
          <w:iCs/>
        </w:rPr>
        <w:t>C</w:t>
      </w:r>
      <w:r w:rsidRPr="000E696E">
        <w:rPr>
          <w:i/>
          <w:iCs/>
          <w:spacing w:val="-1"/>
        </w:rPr>
        <w:t>h</w:t>
      </w:r>
      <w:r w:rsidRPr="000E696E">
        <w:rPr>
          <w:i/>
          <w:iCs/>
          <w:spacing w:val="-3"/>
        </w:rPr>
        <w:t>a</w:t>
      </w:r>
      <w:r w:rsidRPr="000E696E">
        <w:rPr>
          <w:i/>
          <w:iCs/>
        </w:rPr>
        <w:t>p</w:t>
      </w:r>
      <w:r w:rsidRPr="000E696E">
        <w:rPr>
          <w:i/>
          <w:iCs/>
          <w:spacing w:val="-1"/>
        </w:rPr>
        <w:t>ar</w:t>
      </w:r>
      <w:r w:rsidRPr="000E696E">
        <w:rPr>
          <w:i/>
          <w:iCs/>
        </w:rPr>
        <w:t>ro</w:t>
      </w:r>
      <w:r w:rsidRPr="000E696E">
        <w:rPr>
          <w:i/>
          <w:iCs/>
          <w:spacing w:val="14"/>
        </w:rPr>
        <w:t xml:space="preserve"> </w:t>
      </w:r>
      <w:r w:rsidRPr="000E696E">
        <w:rPr>
          <w:i/>
          <w:iCs/>
        </w:rPr>
        <w:t>Á</w:t>
      </w:r>
      <w:r w:rsidRPr="000E696E">
        <w:rPr>
          <w:i/>
          <w:iCs/>
          <w:spacing w:val="-1"/>
        </w:rPr>
        <w:t>l</w:t>
      </w:r>
      <w:r w:rsidRPr="000E696E">
        <w:rPr>
          <w:i/>
          <w:iCs/>
        </w:rPr>
        <w:t>v</w:t>
      </w:r>
      <w:r w:rsidRPr="000E696E">
        <w:rPr>
          <w:i/>
          <w:iCs/>
          <w:spacing w:val="-3"/>
        </w:rPr>
        <w:t>a</w:t>
      </w:r>
      <w:r w:rsidRPr="000E696E">
        <w:rPr>
          <w:i/>
          <w:iCs/>
        </w:rPr>
        <w:t>rez</w:t>
      </w:r>
      <w:r w:rsidRPr="000E696E">
        <w:rPr>
          <w:i/>
          <w:iCs/>
          <w:spacing w:val="13"/>
        </w:rPr>
        <w:t xml:space="preserve"> and </w:t>
      </w:r>
      <w:r w:rsidRPr="000E696E">
        <w:rPr>
          <w:i/>
          <w:iCs/>
          <w:spacing w:val="-1"/>
        </w:rPr>
        <w:t>La</w:t>
      </w:r>
      <w:r w:rsidRPr="000E696E">
        <w:rPr>
          <w:i/>
          <w:iCs/>
        </w:rPr>
        <w:t>po</w:t>
      </w:r>
      <w:r w:rsidRPr="000E696E">
        <w:rPr>
          <w:i/>
          <w:iCs/>
          <w:spacing w:val="16"/>
        </w:rPr>
        <w:t xml:space="preserve"> </w:t>
      </w:r>
      <w:r w:rsidRPr="000E696E">
        <w:rPr>
          <w:i/>
          <w:iCs/>
        </w:rPr>
        <w:t>Í</w:t>
      </w:r>
      <w:r w:rsidRPr="000E696E">
        <w:rPr>
          <w:i/>
          <w:iCs/>
          <w:spacing w:val="-1"/>
        </w:rPr>
        <w:t>ñi</w:t>
      </w:r>
      <w:r w:rsidRPr="000E696E">
        <w:rPr>
          <w:i/>
          <w:iCs/>
        </w:rPr>
        <w:t>g</w:t>
      </w:r>
      <w:r w:rsidRPr="000E696E">
        <w:rPr>
          <w:i/>
          <w:iCs/>
          <w:spacing w:val="-1"/>
        </w:rPr>
        <w:t>u</w:t>
      </w:r>
      <w:r w:rsidRPr="000E696E">
        <w:rPr>
          <w:i/>
          <w:iCs/>
        </w:rPr>
        <w:t>ez</w:t>
      </w:r>
      <w:r w:rsidRPr="000E696E">
        <w:rPr>
          <w:i/>
          <w:iCs/>
          <w:spacing w:val="13"/>
        </w:rPr>
        <w:t xml:space="preserve"> </w:t>
      </w:r>
      <w:r w:rsidRPr="000E696E">
        <w:rPr>
          <w:i/>
          <w:iCs/>
        </w:rPr>
        <w:t>v.</w:t>
      </w:r>
      <w:r w:rsidRPr="000E696E">
        <w:rPr>
          <w:i/>
          <w:iCs/>
          <w:spacing w:val="15"/>
        </w:rPr>
        <w:t xml:space="preserve"> </w:t>
      </w:r>
      <w:r w:rsidRPr="000E696E">
        <w:rPr>
          <w:i/>
          <w:iCs/>
          <w:spacing w:val="-1"/>
        </w:rPr>
        <w:t>E</w:t>
      </w:r>
      <w:r w:rsidRPr="000E696E">
        <w:rPr>
          <w:i/>
          <w:iCs/>
        </w:rPr>
        <w:t>c</w:t>
      </w:r>
      <w:r w:rsidRPr="000E696E">
        <w:rPr>
          <w:i/>
          <w:iCs/>
          <w:spacing w:val="-1"/>
        </w:rPr>
        <w:t>u</w:t>
      </w:r>
      <w:r w:rsidRPr="000E696E">
        <w:rPr>
          <w:i/>
          <w:iCs/>
          <w:spacing w:val="-3"/>
        </w:rPr>
        <w:t>a</w:t>
      </w:r>
      <w:r w:rsidRPr="000E696E">
        <w:rPr>
          <w:i/>
          <w:iCs/>
        </w:rPr>
        <w:t>d</w:t>
      </w:r>
      <w:r w:rsidRPr="000E696E">
        <w:rPr>
          <w:i/>
          <w:iCs/>
          <w:spacing w:val="-2"/>
        </w:rPr>
        <w:t>o</w:t>
      </w:r>
      <w:r w:rsidRPr="000E696E">
        <w:rPr>
          <w:i/>
          <w:iCs/>
        </w:rPr>
        <w:t xml:space="preserve">r. Preliminary objections, merits, reparations and costs. </w:t>
      </w:r>
      <w:r w:rsidRPr="000E696E">
        <w:t xml:space="preserve">Judgment of November 21, 2007. Series C No. 170, </w:t>
      </w:r>
      <w:r w:rsidRPr="000E696E">
        <w:rPr>
          <w:spacing w:val="-2"/>
        </w:rPr>
        <w:t xml:space="preserve">para. </w:t>
      </w:r>
      <w:r w:rsidRPr="000E696E">
        <w:rPr>
          <w:spacing w:val="-1"/>
        </w:rPr>
        <w:t>2</w:t>
      </w:r>
      <w:r w:rsidRPr="000E696E">
        <w:t xml:space="preserve">77, and </w:t>
      </w:r>
      <w:r w:rsidRPr="000E696E">
        <w:rPr>
          <w:bCs/>
        </w:rPr>
        <w:t>Case of Zegarra Marín v. Peru, supra, para. 230.</w:t>
      </w:r>
    </w:p>
  </w:footnote>
  <w:footnote w:id="277">
    <w:p w14:paraId="1FFEA5B6" w14:textId="30DEF801" w:rsidR="0068647C" w:rsidRPr="004204B2" w:rsidRDefault="0068647C" w:rsidP="00D61BD2">
      <w:pPr>
        <w:pStyle w:val="Textonotapie"/>
        <w:rPr>
          <w:lang w:val="es-CR"/>
        </w:rPr>
      </w:pPr>
      <w:r w:rsidRPr="000E696E">
        <w:rPr>
          <w:rStyle w:val="Refdenotaalpie"/>
          <w:sz w:val="16"/>
        </w:rPr>
        <w:footnoteRef/>
      </w:r>
      <w:r w:rsidRPr="005A1C14">
        <w:rPr>
          <w:lang w:val="es-CR"/>
        </w:rPr>
        <w:t xml:space="preserve"> </w:t>
      </w:r>
      <w:r w:rsidRPr="005A1C14">
        <w:rPr>
          <w:lang w:val="es-CR"/>
        </w:rPr>
        <w:tab/>
      </w:r>
      <w:r w:rsidRPr="005A1C14">
        <w:rPr>
          <w:i/>
          <w:lang w:val="es-CR"/>
        </w:rPr>
        <w:t>Case of Lagos del Campo v. Peru.</w:t>
      </w:r>
      <w:r w:rsidRPr="005A1C14">
        <w:rPr>
          <w:lang w:val="es-CR"/>
        </w:rPr>
        <w:t xml:space="preserve"> </w:t>
      </w:r>
      <w:r w:rsidRPr="000E696E">
        <w:t xml:space="preserve">Victims’ Legal Assistance Fund. Order of the President of the Inter-American Court of Human Rights of July 14, 2016, first operative paragraph. </w:t>
      </w:r>
      <w:r w:rsidRPr="004204B2">
        <w:rPr>
          <w:lang w:val="es-CR"/>
        </w:rPr>
        <w:t>Available at:</w:t>
      </w:r>
      <w:r w:rsidRPr="004204B2">
        <w:rPr>
          <w:rStyle w:val="Textoennegrita"/>
          <w:color w:val="000000"/>
          <w:shd w:val="clear" w:color="auto" w:fill="FFFFFF"/>
          <w:lang w:val="es-CR"/>
        </w:rPr>
        <w:t xml:space="preserve"> </w:t>
      </w:r>
      <w:hyperlink r:id="rId6" w:history="1">
        <w:r w:rsidRPr="004204B2">
          <w:rPr>
            <w:rStyle w:val="Hipervnculo"/>
            <w:lang w:val="es-CR"/>
          </w:rPr>
          <w:t>http://www.corteidh.or.cr/docs/ asuntos/lagos_fv_16.pdf</w:t>
        </w:r>
      </w:hyperlink>
    </w:p>
  </w:footnote>
  <w:footnote w:id="278">
    <w:p w14:paraId="072804D2" w14:textId="79EBC5AF"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amount requested corresponds to: (i) air fare: US$457.81 (four hundred and fifty-seven United States dollars and 81 cents); (ii) per diem: US$636.00 (six hundred and thirty-six United States dollars); (iii) miscellaneous transportation costs: US$100.00 (one hundred United States dollars), and (iv) </w:t>
      </w:r>
      <w:r w:rsidRPr="000E696E">
        <w:rPr>
          <w:iCs/>
        </w:rPr>
        <w:t>affidavit</w:t>
      </w:r>
      <w:r w:rsidRPr="000E696E">
        <w:t>: US$143.00 (one hundred and forty-three United States dollars) (merits file, f. 759).</w:t>
      </w:r>
    </w:p>
  </w:footnote>
  <w:footnote w:id="279">
    <w:p w14:paraId="7BAA06AD" w14:textId="3F5406DB" w:rsidR="0068647C" w:rsidRPr="000E696E" w:rsidRDefault="0068647C" w:rsidP="00D61BD2">
      <w:pPr>
        <w:pStyle w:val="Textonotapie"/>
      </w:pPr>
      <w:r w:rsidRPr="000E696E">
        <w:rPr>
          <w:rStyle w:val="Refdenotaalpie"/>
          <w:sz w:val="16"/>
        </w:rPr>
        <w:footnoteRef/>
      </w:r>
      <w:r w:rsidRPr="000E696E">
        <w:t xml:space="preserve"> </w:t>
      </w:r>
      <w:r w:rsidRPr="000E696E">
        <w:tab/>
        <w:t>The State presented its observations on April 17, 2017. Peru argued that the amount disbursed for the per diem of $636,00 (six hundred and thirty-six United States dollars) equaled $212 (two hundred and twelve United States dollars) a day, without any explanation as to how that amount was allocated. In addition, there was no indication why the Court had chosen the category “PS” with the per diem of $212; the State therefore asked the Court to explain the criteria used to choose a category and, in this specific case, why it had chosen the category “PS.” Also, as it had no information on what the item of miscellaneous transportation expenses referred to, the State asked the Court to explain how it calculated this item, and how it had applied its calculation in this specific case. In a communication of May 2, 2017 (CIDH-322-17 of April 27, 2017), the Court’s Secretariat responded to the State’s observations (merits file, ff. 795-798).</w:t>
      </w:r>
    </w:p>
  </w:footnote>
  <w:footnote w:id="280">
    <w:p w14:paraId="0CA031E4" w14:textId="5CA5ED2D" w:rsidR="0068647C" w:rsidRPr="000E696E" w:rsidRDefault="0068647C" w:rsidP="00D61BD2">
      <w:pPr>
        <w:pStyle w:val="Textonotapie"/>
      </w:pPr>
      <w:r w:rsidRPr="000E696E">
        <w:rPr>
          <w:rStyle w:val="Refdenotaalpie"/>
          <w:sz w:val="16"/>
        </w:rPr>
        <w:footnoteRef/>
      </w:r>
      <w:r w:rsidRPr="000E696E">
        <w:t xml:space="preserve"> </w:t>
      </w:r>
      <w:r w:rsidRPr="000E696E">
        <w:tab/>
        <w:t>The expression “economic, social and cultural rights (ESCR)” has recently been expanded by the word “environmental,” thus, this is now “economic, social, cultural and environmental rights (ESCER)” in light of the emergence of the focus on and protection of environmental rights as a human right. Some legal doctrine and some parts of civil society had been claiming this for some time. It also makes a great deal of sense in view of the fluid dialogue that the Court is developing with the Inter-American Commission, which has created a new Rapporteurship on the issue: Special Rapporteurship on economic, social, cultural and environmental rights (REESCRA). I am therefore using the expanded name, in the understanding that environmental rights are a fundamental and interdependent part of social rights.</w:t>
      </w:r>
    </w:p>
  </w:footnote>
  <w:footnote w:id="281">
    <w:p w14:paraId="78A69E1D" w14:textId="69A53075" w:rsidR="0068647C" w:rsidRPr="000E696E" w:rsidRDefault="0068647C" w:rsidP="00D61BD2">
      <w:pPr>
        <w:pStyle w:val="Textonotapie"/>
      </w:pPr>
      <w:r w:rsidRPr="000E696E">
        <w:rPr>
          <w:rStyle w:val="Refdenotaalpie"/>
          <w:sz w:val="16"/>
        </w:rPr>
        <w:footnoteRef/>
      </w:r>
      <w:r w:rsidRPr="000E696E">
        <w:t xml:space="preserve"> </w:t>
      </w:r>
      <w:r w:rsidRPr="000E696E">
        <w:tab/>
        <w:t xml:space="preserve">For example, in the 1980s,  the Supreme Court of India was a pioneer in interpreting the right to life broadly to include a series of economic and social rights. The South African Constitutional Court, in the paradigmatic 2000 case of </w:t>
      </w:r>
      <w:r w:rsidRPr="000E696E">
        <w:rPr>
          <w:i/>
        </w:rPr>
        <w:t>Grootboom</w:t>
      </w:r>
      <w:r w:rsidRPr="000E696E">
        <w:t>, examined the situation of a group of individuals who, evicted from informal housing, went to live in tents in a sporting stadium. The court considered that their right to adequate housing had been violated and required various government bodies to take effective measures in their favor. In our hemisphere, the Constitutional Court of Colombia has developed the doctrine of the unconstitutional situation to respond to violations of economic and social rights.</w:t>
      </w:r>
    </w:p>
  </w:footnote>
  <w:footnote w:id="282">
    <w:p w14:paraId="2B0CB7C5" w14:textId="39D69099" w:rsidR="0068647C" w:rsidRPr="000E696E" w:rsidRDefault="0068647C" w:rsidP="00D61BD2">
      <w:pPr>
        <w:pStyle w:val="Textonotapie"/>
      </w:pPr>
      <w:r w:rsidRPr="000E696E">
        <w:rPr>
          <w:rStyle w:val="Refdenotaalpie"/>
          <w:sz w:val="16"/>
        </w:rPr>
        <w:footnoteRef/>
      </w:r>
      <w:r w:rsidRPr="000E696E">
        <w:t xml:space="preserve"> </w:t>
      </w:r>
      <w:r w:rsidRPr="000E696E">
        <w:tab/>
        <w:t>This omission should not be interpreted as having a negative connotation for the Commission because, at the time, the Court’s case law had not recognized labor rights as such, or other social rights.</w:t>
      </w:r>
    </w:p>
  </w:footnote>
  <w:footnote w:id="283">
    <w:p w14:paraId="21F2D65D" w14:textId="178EA9D3" w:rsidR="0068647C" w:rsidRPr="000E696E" w:rsidRDefault="0068647C" w:rsidP="00D61BD2">
      <w:pPr>
        <w:pStyle w:val="Textonotapie"/>
      </w:pPr>
      <w:r w:rsidRPr="000E696E">
        <w:rPr>
          <w:rStyle w:val="Refdenotaalpie"/>
          <w:sz w:val="16"/>
        </w:rPr>
        <w:footnoteRef/>
      </w:r>
      <w:r w:rsidRPr="000E696E">
        <w:t xml:space="preserve"> </w:t>
      </w:r>
      <w:r w:rsidRPr="000E696E">
        <w:tab/>
        <w:t>For example</w:t>
      </w:r>
      <w:r w:rsidRPr="000E696E">
        <w:rPr>
          <w:i/>
        </w:rPr>
        <w:t xml:space="preserve">: </w:t>
      </w:r>
      <w:r w:rsidRPr="000E696E">
        <w:t xml:space="preserve">in the </w:t>
      </w:r>
      <w:r w:rsidRPr="000E696E">
        <w:rPr>
          <w:i/>
        </w:rPr>
        <w:t>Case of</w:t>
      </w:r>
      <w:r w:rsidRPr="000E696E">
        <w:t xml:space="preserve"> </w:t>
      </w:r>
      <w:r w:rsidRPr="000E696E">
        <w:rPr>
          <w:i/>
        </w:rPr>
        <w:t>Antoine Bissangou v. The Republic of Congo</w:t>
      </w:r>
      <w:r w:rsidRPr="000E696E">
        <w:t>, the African Commission found violations of Articles 3, 7 and 14 of the African Charter of Human and Peoples’ Rights, when the petition had alleged violations of Articles 2, 3 and 21(2). African Commission on Human and Peoples’ Rights, Communication No. 253/2002. Judgment of November 2006, paras. 5, 73 to 76.</w:t>
      </w:r>
      <w:r w:rsidRPr="000E696E">
        <w:rPr>
          <w:i/>
        </w:rPr>
        <w:t xml:space="preserve"> See also, </w:t>
      </w:r>
      <w:r w:rsidRPr="000E696E">
        <w:rPr>
          <w:iCs/>
        </w:rPr>
        <w:t>cases of the UN Human Rights Committee</w:t>
      </w:r>
      <w:r w:rsidRPr="000E696E">
        <w:rPr>
          <w:i/>
        </w:rPr>
        <w:t>: Case of Olimzhon Eshonov v. Uzbekistan</w:t>
      </w:r>
      <w:r w:rsidRPr="000E696E">
        <w:t xml:space="preserve">: “The State party contested the admissibility of the communication, arguing that the author has failed to substantiate his claims under article 2 and article 7 of the Covenant. The Committee considers, however, that the arguments advanced by the State party are closely linked to the merits of the communication and should be taken up when the merits of the communication are examined. The Committee considers that the author has sufficiently substantiated his claims, for purposes of admissibility, in that they appear to raise issues under article 2, article 6, paragraph 1, and article 7 of the Covenant, and declares them admissible.” </w:t>
      </w:r>
      <w:r w:rsidRPr="000E696E">
        <w:rPr>
          <w:iCs/>
        </w:rPr>
        <w:t>Human Rights Committee</w:t>
      </w:r>
      <w:r w:rsidRPr="000E696E">
        <w:t xml:space="preserve">, Communication No. 1225/2003, U.N. Doc. CCPR/C/99/D/1225/2003 of August 18, 2010, paras. 1.1 3.3, 8.3, 9.7, 9.9 and 10; </w:t>
      </w:r>
      <w:r w:rsidRPr="000E696E">
        <w:rPr>
          <w:i/>
          <w:iCs/>
        </w:rPr>
        <w:t>Case of Mariano Pimentel and Others v. The Philippines</w:t>
      </w:r>
      <w:r w:rsidRPr="000E696E">
        <w:t xml:space="preserve">: “The authors claim that their proceedings in the Philippines on the enforcement of the US judgement have been unreasonably prolonged and that the exorbitant filing fee amounts to a </w:t>
      </w:r>
      <w:r w:rsidRPr="000E696E">
        <w:rPr>
          <w:i/>
          <w:iCs/>
        </w:rPr>
        <w:t>de facto</w:t>
      </w:r>
      <w:r w:rsidRPr="000E696E">
        <w:t xml:space="preserve"> denial of their right to an effective remedy to obtain compensation for their injuries, under Article 2 of the Covenant. They argue that they are not required to exhaust domestic remedies, as the proceedings before the Philippine courts have been unreasonably prolonged. The communication also appears to raise issues under Article 14, paragraph 1, of the Covenant. […] The Committee observes that since the authors brought their action before the Regional Trial Court in 1997, the same Court and the Supreme Court considered the issue of the required filing fee arising from the authors claim on three subsequent occasions (9 September 1998, 28 July 1999 and 15 April 2005) and over a period of eight years before reaching a conclusion in favour of the authors. The Committee considers that the length of time taken to resolve this issue raises an admissible issue under article 14, paragraph 1, as well as article 2, paragraph 3, and should be considered on the merits.” </w:t>
      </w:r>
      <w:r w:rsidRPr="000E696E">
        <w:rPr>
          <w:iCs/>
        </w:rPr>
        <w:t>Human Rights Committee</w:t>
      </w:r>
      <w:r w:rsidRPr="000E696E">
        <w:t xml:space="preserve">, Communication No. 1320/2004, U.N. Doc. CCPR/C/89/D/1320/2004 of April 3, 2007, paras. 1, 3, 8.3, 9.2 and 10; </w:t>
      </w:r>
      <w:r w:rsidRPr="000E696E">
        <w:rPr>
          <w:i/>
        </w:rPr>
        <w:t>Case of Davlatbibi Shukurova v. Tajikistan</w:t>
      </w:r>
      <w:r w:rsidRPr="000E696E">
        <w:t xml:space="preserve">: “The author claims that the facts set out above amount to a violation of the rights of Sherali and Dovud Nazriev under articles 6, 7, 9 and 14, paragraphs 1, 3 (b), (d), (e), (f), (g), and 5 of the Covenant. Although the author does not specifically invoke article 7 in her own respect, the communication also appears to raise issues under this provision.” </w:t>
      </w:r>
      <w:r w:rsidRPr="000E696E">
        <w:rPr>
          <w:iCs/>
        </w:rPr>
        <w:t>Human Rights Committee</w:t>
      </w:r>
      <w:r w:rsidRPr="000E696E">
        <w:t xml:space="preserve">, Communication No. 1044/2002, U.N. Doc. CCPR/C/86/D/1044/2002, of March 2006, paras.1.1, 3, 8.2, 8.7 and 9. </w:t>
      </w:r>
      <w:r w:rsidRPr="000E696E">
        <w:rPr>
          <w:i/>
        </w:rPr>
        <w:t>Cf.</w:t>
      </w:r>
      <w:r w:rsidRPr="000E696E">
        <w:t xml:space="preserve"> </w:t>
      </w:r>
      <w:r w:rsidRPr="000E696E">
        <w:rPr>
          <w:i/>
        </w:rPr>
        <w:t>Case of</w:t>
      </w:r>
      <w:r w:rsidRPr="000E696E">
        <w:t xml:space="preserve"> </w:t>
      </w:r>
      <w:r w:rsidRPr="000E696E">
        <w:rPr>
          <w:i/>
        </w:rPr>
        <w:t>Weerawansa v. Sri Lanka</w:t>
      </w:r>
      <w:r w:rsidRPr="000E696E">
        <w:t xml:space="preserve">, </w:t>
      </w:r>
      <w:r w:rsidRPr="000E696E">
        <w:rPr>
          <w:iCs/>
        </w:rPr>
        <w:t>Human Rights Committee</w:t>
      </w:r>
      <w:r w:rsidRPr="000E696E">
        <w:t xml:space="preserve">, Communication No. 1406/2005, U.N. Doc CCPR/C/95/D/1406/2005 of May 14, 2009, paras. 1, 3.3, 7.4 and 8; </w:t>
      </w:r>
      <w:r w:rsidRPr="000E696E">
        <w:rPr>
          <w:i/>
        </w:rPr>
        <w:t>Case of Boudjemai v. Algeria</w:t>
      </w:r>
      <w:r w:rsidRPr="000E696E">
        <w:t xml:space="preserve">, </w:t>
      </w:r>
      <w:r w:rsidRPr="000E696E">
        <w:rPr>
          <w:iCs/>
        </w:rPr>
        <w:t>Human Rights Committee</w:t>
      </w:r>
      <w:r w:rsidRPr="000E696E">
        <w:t xml:space="preserve">, Communication No. 1791/2008, U.N. Doc CCPR/C/107/D/1791/2008 of June 5, 2013, para. 8.1 and 9. </w:t>
      </w:r>
      <w:r w:rsidRPr="000E696E">
        <w:rPr>
          <w:i/>
        </w:rPr>
        <w:t>Case of</w:t>
      </w:r>
      <w:r w:rsidRPr="000E696E">
        <w:t xml:space="preserve"> </w:t>
      </w:r>
      <w:r w:rsidRPr="000E696E">
        <w:rPr>
          <w:i/>
        </w:rPr>
        <w:t>Benaziza v. Algeria</w:t>
      </w:r>
      <w:r w:rsidRPr="000E696E">
        <w:t xml:space="preserve">, </w:t>
      </w:r>
      <w:r w:rsidRPr="000E696E">
        <w:rPr>
          <w:iCs/>
        </w:rPr>
        <w:t>Human Rights Committee</w:t>
      </w:r>
      <w:r w:rsidRPr="000E696E">
        <w:t xml:space="preserve">, Communication No. 1588/2007 CCPR/C/99/D/1588/2007 of September 16, 2010, paras. 9.9 and 10; </w:t>
      </w:r>
      <w:r w:rsidRPr="000E696E">
        <w:rPr>
          <w:i/>
        </w:rPr>
        <w:t>Cf.</w:t>
      </w:r>
      <w:r w:rsidRPr="000E696E">
        <w:t xml:space="preserve"> UN Doc. CCPR/C/107/D/1917, 1918, 1925/2009 &amp; 1953/2010 (2013), Independent opinion of Fabián Omar Salvioli, Committee member. </w:t>
      </w:r>
    </w:p>
  </w:footnote>
  <w:footnote w:id="284">
    <w:p w14:paraId="7C16606F" w14:textId="45B79EC0" w:rsidR="0068647C" w:rsidRPr="000E696E" w:rsidRDefault="0068647C" w:rsidP="00D61BD2">
      <w:pPr>
        <w:pStyle w:val="Textonotapie"/>
      </w:pPr>
      <w:r w:rsidRPr="000E696E">
        <w:rPr>
          <w:rStyle w:val="Refdenotaalpie"/>
          <w:sz w:val="16"/>
        </w:rPr>
        <w:footnoteRef/>
      </w:r>
      <w:r w:rsidRPr="000E696E">
        <w:t xml:space="preserve"> </w:t>
      </w:r>
      <w:r w:rsidRPr="000E696E">
        <w:tab/>
        <w:t>See also Articles 112 and 150 of the Protocol of Amendment to the Charter of the Organization of American States (B-31) “Protocol of Buenos Aires,” signed at the Third Special Inter-American Conference. Buenos Aires, February 27, 1967.</w:t>
      </w:r>
    </w:p>
  </w:footnote>
  <w:footnote w:id="285">
    <w:p w14:paraId="6E3300D9" w14:textId="4E76D1B3"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Inter-American Court has indicated that human rights treaties are living instrument and their interpretation has to evolve with the times and current conditions. This evolutive interpretation is consequent with the general rules of interpretation established in Article 29 of the American Convention, and also those established by the Vienna Convention on the Law of Treaties. </w:t>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i/>
          <w:sz w:val="16"/>
          <w:szCs w:val="16"/>
          <w:lang w:val="en-US"/>
        </w:rPr>
        <w:t xml:space="preserve">The Right to Information on Consular Assistance within the Framework of the Guarantees of Due Process of Law. </w:t>
      </w:r>
      <w:r w:rsidRPr="000E696E">
        <w:rPr>
          <w:rFonts w:ascii="Verdana" w:hAnsi="Verdana"/>
          <w:sz w:val="16"/>
          <w:szCs w:val="16"/>
          <w:lang w:val="en-US"/>
        </w:rPr>
        <w:t xml:space="preserve">Advisory Opinion OC-16/99 of October 1, 1999. Series A No. 16, para. 114; and </w:t>
      </w:r>
      <w:r w:rsidRPr="000E696E">
        <w:rPr>
          <w:rFonts w:ascii="Verdana" w:eastAsia="Times New Roman" w:hAnsi="Verdana"/>
          <w:bCs/>
          <w:i/>
          <w:color w:val="000000"/>
          <w:sz w:val="16"/>
          <w:szCs w:val="16"/>
          <w:lang w:val="en-US"/>
        </w:rPr>
        <w:t>Case of the Hacienda Brasil Verde Workers v. Brazil. Preliminary objections, merits, reparations and costs.</w:t>
      </w:r>
      <w:r w:rsidRPr="000E696E">
        <w:rPr>
          <w:rFonts w:ascii="Verdana" w:eastAsia="Times New Roman" w:hAnsi="Verdana"/>
          <w:bCs/>
          <w:color w:val="000000"/>
          <w:sz w:val="16"/>
          <w:szCs w:val="16"/>
          <w:lang w:val="en-US"/>
        </w:rPr>
        <w:t xml:space="preserve"> Judgment of October 20, 2016. Series C No. 318, para. 245. </w:t>
      </w:r>
    </w:p>
  </w:footnote>
  <w:footnote w:id="286">
    <w:p w14:paraId="5B370D8B" w14:textId="305C1FD2"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ab/>
      </w:r>
      <w:r w:rsidRPr="000E696E">
        <w:rPr>
          <w:rFonts w:ascii="Verdana" w:hAnsi="Verdana"/>
          <w:i/>
          <w:iCs/>
          <w:sz w:val="16"/>
          <w:szCs w:val="16"/>
          <w:lang w:val="en-US"/>
        </w:rPr>
        <w:t xml:space="preserve">Compulsory Membership of an Association Prescribed by Law for the Practice of Journalism (Arts. 13 and 29 American Convention on Human Rights) Advisory Opinion OC- 5/85, </w:t>
      </w:r>
      <w:r w:rsidRPr="000E696E">
        <w:rPr>
          <w:rFonts w:ascii="Verdana" w:hAnsi="Verdana"/>
          <w:iCs/>
          <w:sz w:val="16"/>
          <w:szCs w:val="16"/>
          <w:lang w:val="en-US"/>
        </w:rPr>
        <w:t>of November 13, 1985. Series No. 5</w:t>
      </w:r>
      <w:r w:rsidRPr="000E696E">
        <w:rPr>
          <w:rFonts w:ascii="Verdana" w:hAnsi="Verdana"/>
          <w:sz w:val="16"/>
          <w:szCs w:val="16"/>
          <w:lang w:val="en-US"/>
        </w:rPr>
        <w:t xml:space="preserve">; </w:t>
      </w:r>
      <w:r w:rsidRPr="000E696E">
        <w:rPr>
          <w:rFonts w:ascii="Verdana" w:hAnsi="Verdana"/>
          <w:i/>
          <w:iCs/>
          <w:sz w:val="16"/>
          <w:szCs w:val="16"/>
          <w:lang w:val="en-US"/>
        </w:rPr>
        <w:t xml:space="preserve">Case of “The Last Temptation of Christ” (Olmedo Bustos et al.) v. Chile. Merits, reparations and costs. </w:t>
      </w:r>
      <w:r w:rsidRPr="000E696E">
        <w:rPr>
          <w:rFonts w:ascii="Verdana" w:hAnsi="Verdana"/>
          <w:iCs/>
          <w:sz w:val="16"/>
          <w:szCs w:val="16"/>
          <w:lang w:val="en-US"/>
        </w:rPr>
        <w:t>Judgment of February 5, 2011. Series C No. 73</w:t>
      </w:r>
      <w:r w:rsidRPr="000E696E">
        <w:rPr>
          <w:rFonts w:ascii="Verdana" w:hAnsi="Verdana"/>
          <w:i/>
          <w:sz w:val="16"/>
          <w:szCs w:val="16"/>
          <w:lang w:val="en-US"/>
        </w:rPr>
        <w:t>;</w:t>
      </w:r>
      <w:r w:rsidRPr="000E696E">
        <w:rPr>
          <w:rFonts w:ascii="Verdana" w:hAnsi="Verdana"/>
          <w:sz w:val="16"/>
          <w:szCs w:val="16"/>
          <w:lang w:val="en-US"/>
        </w:rPr>
        <w:t xml:space="preserve"> </w:t>
      </w:r>
      <w:r w:rsidRPr="000E696E">
        <w:rPr>
          <w:rFonts w:ascii="Verdana" w:eastAsia="Times New Roman" w:hAnsi="Verdana"/>
          <w:bCs/>
          <w:color w:val="000000"/>
          <w:sz w:val="16"/>
          <w:szCs w:val="16"/>
          <w:lang w:val="en-US"/>
        </w:rPr>
        <w:t>Case of</w:t>
      </w:r>
      <w:r w:rsidRPr="000E696E">
        <w:rPr>
          <w:rFonts w:ascii="Verdana" w:eastAsia="Times New Roman" w:hAnsi="Verdana"/>
          <w:bCs/>
          <w:i/>
          <w:color w:val="000000"/>
          <w:sz w:val="16"/>
          <w:szCs w:val="16"/>
          <w:lang w:val="en-US"/>
        </w:rPr>
        <w:t xml:space="preserve"> Ivcher Bronstein v. Peru. Reparations and costs</w:t>
      </w:r>
      <w:r w:rsidRPr="000E696E">
        <w:rPr>
          <w:rFonts w:ascii="Verdana" w:eastAsia="Times New Roman" w:hAnsi="Verdana"/>
          <w:bCs/>
          <w:color w:val="000000"/>
          <w:sz w:val="16"/>
          <w:szCs w:val="16"/>
          <w:lang w:val="en-US"/>
        </w:rPr>
        <w:t>. Judgment of February 6, 2001. Series C No. 74</w:t>
      </w:r>
      <w:r w:rsidRPr="000E696E">
        <w:rPr>
          <w:rFonts w:ascii="Verdana" w:hAnsi="Verdana"/>
          <w:sz w:val="16"/>
          <w:szCs w:val="16"/>
          <w:lang w:val="en-US"/>
        </w:rPr>
        <w:t xml:space="preserve">; </w:t>
      </w:r>
      <w:r w:rsidRPr="000E696E">
        <w:rPr>
          <w:rFonts w:ascii="Verdana" w:hAnsi="Verdana"/>
          <w:i/>
          <w:iCs/>
          <w:sz w:val="16"/>
          <w:szCs w:val="16"/>
          <w:lang w:val="en-US"/>
        </w:rPr>
        <w:t>Case of Herrera Ulloa v. Costa Rica</w:t>
      </w:r>
      <w:r w:rsidRPr="000E696E">
        <w:rPr>
          <w:rFonts w:ascii="Verdana" w:hAnsi="Verdana"/>
          <w:sz w:val="16"/>
          <w:szCs w:val="16"/>
          <w:lang w:val="en-US"/>
        </w:rPr>
        <w:t xml:space="preserve">. Preliminary objections, merits, reparations and costs. Judgment of July 2, 2004. Series C No. 107; </w:t>
      </w:r>
      <w:r w:rsidRPr="000E696E">
        <w:rPr>
          <w:rFonts w:ascii="Verdana" w:hAnsi="Verdana"/>
          <w:i/>
          <w:iCs/>
          <w:sz w:val="16"/>
          <w:szCs w:val="16"/>
          <w:lang w:val="en-US"/>
        </w:rPr>
        <w:t>Case of Ricardo Canese v. Paraguay</w:t>
      </w:r>
      <w:r w:rsidRPr="000E696E">
        <w:rPr>
          <w:rFonts w:ascii="Verdana" w:hAnsi="Verdana"/>
          <w:sz w:val="16"/>
          <w:szCs w:val="16"/>
          <w:lang w:val="en-US"/>
        </w:rPr>
        <w:t xml:space="preserve">. </w:t>
      </w:r>
      <w:r w:rsidRPr="000E696E">
        <w:rPr>
          <w:rFonts w:ascii="Verdana" w:hAnsi="Verdana"/>
          <w:i/>
          <w:sz w:val="16"/>
          <w:szCs w:val="16"/>
          <w:lang w:val="en-US"/>
        </w:rPr>
        <w:t>Merits, reparations and costs</w:t>
      </w:r>
      <w:r w:rsidRPr="000E696E">
        <w:rPr>
          <w:rFonts w:ascii="Verdana" w:hAnsi="Verdana"/>
          <w:sz w:val="16"/>
          <w:szCs w:val="16"/>
          <w:lang w:val="en-US"/>
        </w:rPr>
        <w:t xml:space="preserve">. Judgment of August 31, 2004. Series C No. 111; </w:t>
      </w:r>
      <w:r w:rsidRPr="000E696E">
        <w:rPr>
          <w:rFonts w:ascii="Verdana" w:hAnsi="Verdana"/>
          <w:i/>
          <w:iCs/>
          <w:sz w:val="16"/>
          <w:szCs w:val="16"/>
          <w:lang w:val="en-US"/>
        </w:rPr>
        <w:t>Case of Palamara Iribarne v. Chile</w:t>
      </w:r>
      <w:r w:rsidRPr="000E696E">
        <w:rPr>
          <w:rFonts w:ascii="Verdana" w:hAnsi="Verdana"/>
          <w:sz w:val="16"/>
          <w:szCs w:val="16"/>
          <w:lang w:val="en-US"/>
        </w:rPr>
        <w:t xml:space="preserve">. </w:t>
      </w:r>
      <w:r w:rsidRPr="000E696E">
        <w:rPr>
          <w:rFonts w:ascii="Verdana" w:hAnsi="Verdana"/>
          <w:i/>
          <w:sz w:val="16"/>
          <w:szCs w:val="16"/>
          <w:lang w:val="en-US"/>
        </w:rPr>
        <w:t>Merits, reparations and costs.</w:t>
      </w:r>
      <w:r w:rsidRPr="000E696E">
        <w:rPr>
          <w:rFonts w:ascii="Verdana" w:hAnsi="Verdana"/>
          <w:sz w:val="16"/>
          <w:szCs w:val="16"/>
          <w:lang w:val="en-US"/>
        </w:rPr>
        <w:t xml:space="preserve"> Judgment of November 22, 2005. Series C No. 135; </w:t>
      </w:r>
      <w:r w:rsidRPr="000E696E">
        <w:rPr>
          <w:rFonts w:ascii="Verdana" w:hAnsi="Verdana"/>
          <w:i/>
          <w:iCs/>
          <w:sz w:val="16"/>
          <w:szCs w:val="16"/>
          <w:lang w:val="en-US"/>
        </w:rPr>
        <w:t>Case of Claude Reyes et al. v. Chile</w:t>
      </w:r>
      <w:r w:rsidRPr="000E696E">
        <w:rPr>
          <w:rFonts w:ascii="Verdana" w:hAnsi="Verdana"/>
          <w:i/>
          <w:sz w:val="16"/>
          <w:szCs w:val="16"/>
          <w:lang w:val="en-US"/>
        </w:rPr>
        <w:t>. Merits, reparations and costs</w:t>
      </w:r>
      <w:r w:rsidRPr="000E696E">
        <w:rPr>
          <w:rFonts w:ascii="Verdana" w:hAnsi="Verdana"/>
          <w:sz w:val="16"/>
          <w:szCs w:val="16"/>
          <w:lang w:val="en-US"/>
        </w:rPr>
        <w:t xml:space="preserve">. Judgment of September 19, 2006. Series C No. 151; </w:t>
      </w:r>
      <w:r w:rsidRPr="000E696E">
        <w:rPr>
          <w:rFonts w:ascii="Verdana" w:hAnsi="Verdana"/>
          <w:i/>
          <w:iCs/>
          <w:sz w:val="16"/>
          <w:szCs w:val="16"/>
          <w:lang w:val="en-US"/>
        </w:rPr>
        <w:t>Case of Kimel v. Argentina</w:t>
      </w:r>
      <w:r w:rsidRPr="000E696E">
        <w:rPr>
          <w:rFonts w:ascii="Verdana" w:hAnsi="Verdana"/>
          <w:i/>
          <w:sz w:val="16"/>
          <w:szCs w:val="16"/>
          <w:lang w:val="en-US"/>
        </w:rPr>
        <w:t>. Merits, reparations and costs</w:t>
      </w:r>
      <w:r w:rsidRPr="000E696E">
        <w:rPr>
          <w:rFonts w:ascii="Verdana" w:hAnsi="Verdana"/>
          <w:sz w:val="16"/>
          <w:szCs w:val="16"/>
          <w:lang w:val="en-US"/>
        </w:rPr>
        <w:t xml:space="preserve">. Judgment of May 2, 2008. Series C No. 177; </w:t>
      </w:r>
      <w:r w:rsidRPr="000E696E">
        <w:rPr>
          <w:rFonts w:ascii="Verdana" w:hAnsi="Verdana"/>
          <w:i/>
          <w:iCs/>
          <w:sz w:val="16"/>
          <w:szCs w:val="16"/>
          <w:lang w:val="en-US"/>
        </w:rPr>
        <w:t>Case of Tristán Donoso v. Panama</w:t>
      </w:r>
      <w:r w:rsidRPr="000E696E">
        <w:rPr>
          <w:rFonts w:ascii="Verdana" w:hAnsi="Verdana"/>
          <w:sz w:val="16"/>
          <w:szCs w:val="16"/>
          <w:lang w:val="en-US"/>
        </w:rPr>
        <w:t xml:space="preserve">. </w:t>
      </w:r>
      <w:r w:rsidRPr="000E696E">
        <w:rPr>
          <w:rFonts w:ascii="Verdana" w:hAnsi="Verdana"/>
          <w:i/>
          <w:sz w:val="16"/>
          <w:szCs w:val="16"/>
          <w:lang w:val="en-US"/>
        </w:rPr>
        <w:t>Preliminary objection, merits, reparations and costs</w:t>
      </w:r>
      <w:r w:rsidRPr="000E696E">
        <w:rPr>
          <w:rFonts w:ascii="Verdana" w:hAnsi="Verdana"/>
          <w:sz w:val="16"/>
          <w:szCs w:val="16"/>
          <w:lang w:val="en-US"/>
        </w:rPr>
        <w:t xml:space="preserve">. Judgment of January 27,  2009. Series C No. 193; </w:t>
      </w:r>
      <w:r w:rsidRPr="000E696E">
        <w:rPr>
          <w:rFonts w:ascii="Verdana" w:hAnsi="Verdana"/>
          <w:i/>
          <w:iCs/>
          <w:sz w:val="16"/>
          <w:szCs w:val="16"/>
          <w:lang w:val="en-US"/>
        </w:rPr>
        <w:t>Case of Ríos et al. v. Venezuela</w:t>
      </w:r>
      <w:r w:rsidRPr="000E696E">
        <w:rPr>
          <w:rFonts w:ascii="Verdana" w:hAnsi="Verdana"/>
          <w:sz w:val="16"/>
          <w:szCs w:val="16"/>
          <w:lang w:val="en-US"/>
        </w:rPr>
        <w:t xml:space="preserve">. </w:t>
      </w:r>
      <w:r w:rsidRPr="000E696E">
        <w:rPr>
          <w:rFonts w:ascii="Verdana" w:hAnsi="Verdana"/>
          <w:i/>
          <w:sz w:val="16"/>
          <w:szCs w:val="16"/>
          <w:lang w:val="en-US"/>
        </w:rPr>
        <w:t xml:space="preserve">Preliminary objections, merits, reparations and costs. </w:t>
      </w:r>
      <w:r w:rsidRPr="000E696E">
        <w:rPr>
          <w:rFonts w:ascii="Verdana" w:hAnsi="Verdana"/>
          <w:sz w:val="16"/>
          <w:szCs w:val="16"/>
          <w:lang w:val="en-US"/>
        </w:rPr>
        <w:t xml:space="preserve">Judgment of January 28, 2009. Series C No. 194; </w:t>
      </w:r>
      <w:r w:rsidRPr="000E696E">
        <w:rPr>
          <w:rFonts w:ascii="Verdana" w:hAnsi="Verdana"/>
          <w:i/>
          <w:iCs/>
          <w:sz w:val="16"/>
          <w:szCs w:val="16"/>
          <w:lang w:val="en-US"/>
        </w:rPr>
        <w:t>Case of Perozo et al. v. Venezuela</w:t>
      </w:r>
      <w:r w:rsidRPr="000E696E">
        <w:rPr>
          <w:rFonts w:ascii="Verdana" w:hAnsi="Verdana"/>
          <w:sz w:val="16"/>
          <w:szCs w:val="16"/>
          <w:lang w:val="en-US"/>
        </w:rPr>
        <w:t xml:space="preserve">.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xml:space="preserve">. Judgment of January 28, 2009. Series C No. 195; </w:t>
      </w:r>
      <w:r w:rsidRPr="000E696E">
        <w:rPr>
          <w:rFonts w:ascii="Verdana" w:hAnsi="Verdana"/>
          <w:i/>
          <w:iCs/>
          <w:sz w:val="16"/>
          <w:szCs w:val="16"/>
          <w:lang w:val="en-US"/>
        </w:rPr>
        <w:t>Case of Usón Ramírez v. Venezuela</w:t>
      </w:r>
      <w:r w:rsidRPr="000E696E">
        <w:rPr>
          <w:rFonts w:ascii="Verdana" w:hAnsi="Verdana"/>
          <w:sz w:val="16"/>
          <w:szCs w:val="16"/>
          <w:lang w:val="en-US"/>
        </w:rPr>
        <w:t xml:space="preserve">.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xml:space="preserve">. Judgment of November 20, 2009. Series C No. 207; </w:t>
      </w:r>
      <w:r w:rsidRPr="000E696E">
        <w:rPr>
          <w:rFonts w:ascii="Verdana" w:hAnsi="Verdana"/>
          <w:i/>
          <w:iCs/>
          <w:sz w:val="16"/>
          <w:szCs w:val="16"/>
          <w:lang w:val="en-US"/>
        </w:rPr>
        <w:t>Case of Gomes Lund et al. (Guerrilha do Araguaia) v. Brazil.</w:t>
      </w:r>
      <w:r w:rsidRPr="000E696E">
        <w:rPr>
          <w:rFonts w:ascii="Verdana" w:hAnsi="Verdana"/>
          <w:sz w:val="16"/>
          <w:szCs w:val="16"/>
          <w:lang w:val="en-US"/>
        </w:rPr>
        <w:t xml:space="preserve"> </w:t>
      </w:r>
      <w:r w:rsidRPr="000E696E">
        <w:rPr>
          <w:rFonts w:ascii="Verdana" w:hAnsi="Verdana"/>
          <w:i/>
          <w:sz w:val="16"/>
          <w:szCs w:val="16"/>
          <w:lang w:val="en-US"/>
        </w:rPr>
        <w:t>Preliminary objections, merits, reparations and costs.</w:t>
      </w:r>
      <w:r w:rsidRPr="000E696E">
        <w:rPr>
          <w:rFonts w:ascii="Verdana" w:hAnsi="Verdana"/>
          <w:sz w:val="16"/>
          <w:szCs w:val="16"/>
          <w:lang w:val="en-US"/>
        </w:rPr>
        <w:t xml:space="preserve"> Judgment of November 24, 2010. Series C No. 219</w:t>
      </w:r>
      <w:r w:rsidRPr="000E696E">
        <w:rPr>
          <w:rFonts w:ascii="Verdana" w:hAnsi="Verdana"/>
          <w:i/>
          <w:iCs/>
          <w:sz w:val="16"/>
          <w:szCs w:val="16"/>
          <w:lang w:val="en-US"/>
        </w:rPr>
        <w:t>;  Case of Fontevecchia and D’Amico v. Argentina</w:t>
      </w:r>
      <w:r w:rsidRPr="000E696E">
        <w:rPr>
          <w:rFonts w:ascii="Verdana" w:hAnsi="Verdana"/>
          <w:sz w:val="16"/>
          <w:szCs w:val="16"/>
          <w:lang w:val="en-US"/>
        </w:rPr>
        <w:t xml:space="preserve">. </w:t>
      </w:r>
      <w:r w:rsidRPr="000E696E">
        <w:rPr>
          <w:rFonts w:ascii="Verdana" w:hAnsi="Verdana"/>
          <w:i/>
          <w:sz w:val="16"/>
          <w:szCs w:val="16"/>
          <w:lang w:val="en-US"/>
        </w:rPr>
        <w:t xml:space="preserve">Merits, reparations and costs. </w:t>
      </w:r>
      <w:r w:rsidRPr="000E696E">
        <w:rPr>
          <w:rFonts w:ascii="Verdana" w:hAnsi="Verdana"/>
          <w:sz w:val="16"/>
          <w:szCs w:val="16"/>
          <w:lang w:val="en-US"/>
        </w:rPr>
        <w:t xml:space="preserve">Judgment of November 29, 2011. Series C No. 238; </w:t>
      </w:r>
      <w:r w:rsidRPr="000E696E">
        <w:rPr>
          <w:rFonts w:ascii="Verdana" w:hAnsi="Verdana" w:cs="Verdana"/>
          <w:bCs/>
          <w:i/>
          <w:sz w:val="16"/>
          <w:szCs w:val="16"/>
          <w:lang w:val="en-US"/>
        </w:rPr>
        <w:t xml:space="preserve">Case of Mémoli v. Argentina. Preliminary objections, merits, reparations and costs. </w:t>
      </w:r>
      <w:r w:rsidRPr="000E696E">
        <w:rPr>
          <w:rFonts w:ascii="Verdana" w:hAnsi="Verdana" w:cs="Verdana"/>
          <w:bCs/>
          <w:sz w:val="16"/>
          <w:szCs w:val="16"/>
          <w:lang w:val="en-US"/>
        </w:rPr>
        <w:t xml:space="preserve">Judgment of August 22, 2013. Series C No. 265; </w:t>
      </w:r>
      <w:r w:rsidRPr="000E696E">
        <w:rPr>
          <w:rFonts w:ascii="Verdana" w:hAnsi="Verdana" w:cs="Verdana"/>
          <w:bCs/>
          <w:i/>
          <w:sz w:val="16"/>
          <w:szCs w:val="16"/>
          <w:lang w:val="en-US"/>
        </w:rPr>
        <w:t>Case of Norín Catrimán et al. (Leaders, members and activity of the Mapuche Indigenous People) v. Chile. Merits, reparations and costs</w:t>
      </w:r>
      <w:r w:rsidRPr="000E696E">
        <w:rPr>
          <w:rFonts w:ascii="Verdana" w:hAnsi="Verdana" w:cs="Verdana"/>
          <w:bCs/>
          <w:sz w:val="16"/>
          <w:szCs w:val="16"/>
          <w:lang w:val="en-US"/>
        </w:rPr>
        <w:t xml:space="preserve">. Judgment of May 29, 2014. Series C No. 279; and </w:t>
      </w:r>
      <w:r w:rsidRPr="000E696E">
        <w:rPr>
          <w:rFonts w:ascii="Verdana" w:eastAsia="Times New Roman" w:hAnsi="Verdana"/>
          <w:b/>
          <w:bCs/>
          <w:color w:val="000000"/>
          <w:sz w:val="16"/>
          <w:szCs w:val="16"/>
          <w:lang w:val="en-US"/>
        </w:rPr>
        <w:t> </w:t>
      </w:r>
      <w:r w:rsidRPr="000E696E">
        <w:rPr>
          <w:rFonts w:ascii="Verdana" w:eastAsia="Times New Roman" w:hAnsi="Verdana"/>
          <w:bCs/>
          <w:i/>
          <w:color w:val="000000"/>
          <w:sz w:val="16"/>
          <w:szCs w:val="16"/>
          <w:lang w:val="en-US"/>
        </w:rPr>
        <w:t>Case of Granier et al. (Radio Caracas Televisión) v. Venezuela. Preliminary objections, merits, reparations and costs</w:t>
      </w:r>
      <w:r w:rsidRPr="000E696E">
        <w:rPr>
          <w:rFonts w:ascii="Verdana" w:eastAsia="Times New Roman" w:hAnsi="Verdana"/>
          <w:bCs/>
          <w:color w:val="000000"/>
          <w:sz w:val="16"/>
          <w:szCs w:val="16"/>
          <w:lang w:val="en-US"/>
        </w:rPr>
        <w:t xml:space="preserve">. Judgment of June 22, 2015. Series C No. 293. </w:t>
      </w:r>
    </w:p>
  </w:footnote>
  <w:footnote w:id="287">
    <w:p w14:paraId="6A0F6C21" w14:textId="1EB3CB74"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rPr>
        <w:t>Case of Lagos del Campo v. Peru. Preliminary objections, merits, reparations and costs</w:t>
      </w:r>
      <w:r w:rsidRPr="000E696E">
        <w:t xml:space="preserve">. Judgment of August 31,  2017, Series C No. 340, paras. 153, 154 and 166, also fifth operative paragraph. This is the first time in its almost 40 years of existence and 30 years of contentious jurisdiction that the Inter-American Court has declared the violation of this precept of the Convention. </w:t>
      </w:r>
    </w:p>
  </w:footnote>
  <w:footnote w:id="288">
    <w:p w14:paraId="53FBA666" w14:textId="39C65CBC"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Court also declared that the rights established in Articles 8, 13 and 16 had been violated in relation to job security. </w:t>
      </w:r>
      <w:r w:rsidRPr="004204B2">
        <w:rPr>
          <w:i/>
          <w:lang w:val="es-CR"/>
        </w:rPr>
        <w:t xml:space="preserve">Cf. Case of Lagos del Campo v. </w:t>
      </w:r>
      <w:r w:rsidRPr="004204B2">
        <w:rPr>
          <w:i/>
          <w:lang w:val="es-CR"/>
        </w:rPr>
        <w:t>Peru, supra</w:t>
      </w:r>
      <w:r w:rsidRPr="004204B2">
        <w:rPr>
          <w:lang w:val="es-CR"/>
        </w:rPr>
        <w:t xml:space="preserve">, para. </w:t>
      </w:r>
      <w:r w:rsidRPr="000E696E">
        <w:t>153.</w:t>
      </w:r>
    </w:p>
  </w:footnote>
  <w:footnote w:id="289">
    <w:p w14:paraId="3773FD65" w14:textId="00F50C7F"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t xml:space="preserve">In the judgment, in relation to Article 1(1), it was considered that “[…] in light of the arbitrary dismissal by the company […] </w:t>
      </w:r>
      <w:r w:rsidRPr="000E696E">
        <w:rPr>
          <w:u w:val="single"/>
        </w:rPr>
        <w:t>the State failed to adopt adequate measures to protect the violation of the right to work by third parties</w:t>
      </w:r>
      <w:r w:rsidRPr="000E696E">
        <w:t>”.</w:t>
      </w:r>
      <w:r w:rsidRPr="000E696E">
        <w:rPr>
          <w:i/>
        </w:rPr>
        <w:t xml:space="preserve"> </w:t>
      </w:r>
      <w:r w:rsidRPr="004204B2">
        <w:rPr>
          <w:i/>
          <w:lang w:val="es-CR"/>
        </w:rPr>
        <w:t xml:space="preserve">Cf. Case of Lagos del Campo v. </w:t>
      </w:r>
      <w:r w:rsidRPr="004204B2">
        <w:rPr>
          <w:i/>
          <w:lang w:val="es-CR"/>
        </w:rPr>
        <w:t>Peru, supra</w:t>
      </w:r>
      <w:r w:rsidRPr="004204B2">
        <w:rPr>
          <w:lang w:val="es-CR"/>
        </w:rPr>
        <w:t xml:space="preserve">, para. 151. </w:t>
      </w:r>
    </w:p>
  </w:footnote>
  <w:footnote w:id="290">
    <w:p w14:paraId="77CCEB86" w14:textId="49D7F1E6"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sz w:val="16"/>
          <w:szCs w:val="16"/>
          <w:lang w:val="es-CR"/>
        </w:rPr>
        <w:tab/>
        <w:t xml:space="preserve"> </w:t>
      </w:r>
      <w:r w:rsidRPr="004204B2">
        <w:rPr>
          <w:rFonts w:ascii="Verdana" w:hAnsi="Verdana"/>
          <w:i/>
          <w:sz w:val="16"/>
          <w:szCs w:val="16"/>
          <w:lang w:val="es-CR"/>
        </w:rPr>
        <w:t xml:space="preserve">Cf. Case of Lagos del Campo v. </w:t>
      </w:r>
      <w:r w:rsidRPr="004204B2">
        <w:rPr>
          <w:rFonts w:ascii="Verdana" w:hAnsi="Verdana"/>
          <w:i/>
          <w:sz w:val="16"/>
          <w:szCs w:val="16"/>
          <w:lang w:val="es-CR"/>
        </w:rPr>
        <w:t>Peru, supra</w:t>
      </w:r>
      <w:r w:rsidRPr="004204B2">
        <w:rPr>
          <w:rFonts w:ascii="Verdana" w:hAnsi="Verdana"/>
          <w:sz w:val="16"/>
          <w:szCs w:val="16"/>
          <w:lang w:val="es-CR"/>
        </w:rPr>
        <w:t xml:space="preserve">, para. </w:t>
      </w:r>
      <w:r w:rsidRPr="000E696E">
        <w:rPr>
          <w:rFonts w:ascii="Verdana" w:hAnsi="Verdana"/>
          <w:sz w:val="16"/>
          <w:szCs w:val="16"/>
          <w:lang w:val="en-US"/>
        </w:rPr>
        <w:t xml:space="preserve">141 to 154.  Also, see my concurring opinion in the </w:t>
      </w:r>
      <w:r w:rsidRPr="000E696E">
        <w:rPr>
          <w:rFonts w:ascii="Verdana" w:eastAsia="Times New Roman" w:hAnsi="Verdana"/>
          <w:bCs/>
          <w:i/>
          <w:color w:val="000000"/>
          <w:sz w:val="16"/>
          <w:szCs w:val="16"/>
          <w:lang w:val="en-US"/>
        </w:rPr>
        <w:t>Case of Yarce et al. v. Colombia. Preliminary objections, merits, reparations and costs</w:t>
      </w:r>
      <w:r w:rsidRPr="000E696E">
        <w:rPr>
          <w:rFonts w:ascii="Verdana" w:eastAsia="Times New Roman" w:hAnsi="Verdana"/>
          <w:bCs/>
          <w:color w:val="000000"/>
          <w:sz w:val="16"/>
          <w:szCs w:val="16"/>
          <w:lang w:val="en-US"/>
        </w:rPr>
        <w:t>. Judgment of November 22, 2016. Series C No. 325</w:t>
      </w:r>
      <w:r w:rsidRPr="000E696E">
        <w:rPr>
          <w:rFonts w:ascii="Verdana" w:eastAsia="Times New Roman" w:hAnsi="Verdana"/>
          <w:b/>
          <w:bCs/>
          <w:color w:val="000000"/>
          <w:sz w:val="16"/>
          <w:szCs w:val="16"/>
          <w:lang w:val="en-US"/>
        </w:rPr>
        <w:t xml:space="preserve">, </w:t>
      </w:r>
      <w:r w:rsidRPr="000E696E">
        <w:rPr>
          <w:rFonts w:ascii="Verdana" w:eastAsia="Times New Roman" w:hAnsi="Verdana"/>
          <w:bCs/>
          <w:color w:val="000000"/>
          <w:sz w:val="16"/>
          <w:szCs w:val="16"/>
          <w:lang w:val="en-US"/>
        </w:rPr>
        <w:t xml:space="preserve">paras. 22 to 26.  </w:t>
      </w:r>
    </w:p>
  </w:footnote>
  <w:footnote w:id="291">
    <w:p w14:paraId="0B7459BC" w14:textId="368C88B8" w:rsidR="0068647C" w:rsidRPr="000E696E" w:rsidRDefault="0068647C" w:rsidP="00AA1EBF">
      <w:pPr>
        <w:spacing w:after="60"/>
        <w:jc w:val="both"/>
        <w:rPr>
          <w:rFonts w:ascii="Verdana" w:eastAsia="Times New Roman" w:hAnsi="Verdana"/>
          <w:bCs/>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Concurring opinion in the </w:t>
      </w:r>
      <w:r w:rsidRPr="000E696E">
        <w:rPr>
          <w:rFonts w:ascii="Verdana" w:eastAsia="Times New Roman" w:hAnsi="Verdana"/>
          <w:bCs/>
          <w:i/>
          <w:color w:val="000000"/>
          <w:sz w:val="16"/>
          <w:szCs w:val="16"/>
          <w:lang w:val="en-US"/>
        </w:rPr>
        <w:t>Case of Suárez Peralta v. Ecuador. Preliminary objections, merits, reparations and costs</w:t>
      </w:r>
      <w:r w:rsidRPr="000E696E">
        <w:rPr>
          <w:rFonts w:ascii="Verdana" w:eastAsia="Times New Roman" w:hAnsi="Verdana"/>
          <w:bCs/>
          <w:color w:val="000000"/>
          <w:sz w:val="16"/>
          <w:szCs w:val="16"/>
          <w:lang w:val="en-US"/>
        </w:rPr>
        <w:t xml:space="preserve">. Judgment of May 21, 2013. Series C No. 261. </w:t>
      </w:r>
    </w:p>
  </w:footnote>
  <w:footnote w:id="292">
    <w:p w14:paraId="09A343E9" w14:textId="2C15EC67" w:rsidR="0068647C" w:rsidRPr="000E696E" w:rsidRDefault="0068647C" w:rsidP="00AA1EBF">
      <w:pPr>
        <w:spacing w:after="60"/>
        <w:jc w:val="both"/>
        <w:rPr>
          <w:rFonts w:ascii="Verdana" w:eastAsia="Times New Roman"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Concurring opinions:</w:t>
      </w:r>
      <w:r w:rsidRPr="000E696E">
        <w:rPr>
          <w:rFonts w:ascii="Verdana" w:eastAsia="Times New Roman" w:hAnsi="Verdana"/>
          <w:bCs/>
          <w:i/>
          <w:color w:val="000000"/>
          <w:sz w:val="16"/>
          <w:szCs w:val="16"/>
          <w:lang w:val="en-US"/>
        </w:rPr>
        <w:t xml:space="preserve"> Case of Gonzales Lluy et al. v. Ecuador. Preliminary objections, merits, reparations and costs</w:t>
      </w:r>
      <w:r w:rsidRPr="000E696E">
        <w:rPr>
          <w:rFonts w:ascii="Verdana" w:eastAsia="Times New Roman" w:hAnsi="Verdana"/>
          <w:bCs/>
          <w:color w:val="000000"/>
          <w:sz w:val="16"/>
          <w:szCs w:val="16"/>
          <w:lang w:val="en-US"/>
        </w:rPr>
        <w:t xml:space="preserve">. Judgment of September 1, 2015. Series C No. 298 (endorsed by Judges Roberto Caldas and Manuel Ventura Robles); </w:t>
      </w:r>
      <w:r w:rsidRPr="000E696E">
        <w:rPr>
          <w:rFonts w:ascii="Verdana" w:eastAsia="Times New Roman" w:hAnsi="Verdana"/>
          <w:bCs/>
          <w:i/>
          <w:color w:val="000000"/>
          <w:sz w:val="16"/>
          <w:szCs w:val="16"/>
          <w:lang w:val="en-US"/>
        </w:rPr>
        <w:t>Case of Chinchilla Sandoval et al. v. Guatemala. Preliminary objections, merits, reparations and costs.</w:t>
      </w:r>
      <w:r w:rsidRPr="000E696E">
        <w:rPr>
          <w:rFonts w:ascii="Verdana" w:eastAsia="Times New Roman" w:hAnsi="Verdana"/>
          <w:bCs/>
          <w:color w:val="000000"/>
          <w:sz w:val="16"/>
          <w:szCs w:val="16"/>
          <w:lang w:val="en-US"/>
        </w:rPr>
        <w:t xml:space="preserve"> Judgment of February 29, 2016. Series C No. 312, and </w:t>
      </w:r>
      <w:r w:rsidRPr="000E696E">
        <w:rPr>
          <w:rFonts w:ascii="Verdana" w:eastAsia="Times New Roman" w:hAnsi="Verdana"/>
          <w:bCs/>
          <w:i/>
          <w:color w:val="000000"/>
          <w:sz w:val="16"/>
          <w:szCs w:val="16"/>
          <w:lang w:val="en-US"/>
        </w:rPr>
        <w:t>Case of I.V. v. Bolivia. Preliminary objections, merits, reparations and costs</w:t>
      </w:r>
      <w:r w:rsidRPr="000E696E">
        <w:rPr>
          <w:rFonts w:ascii="Verdana" w:eastAsia="Times New Roman" w:hAnsi="Verdana"/>
          <w:bCs/>
          <w:color w:val="000000"/>
          <w:sz w:val="16"/>
          <w:szCs w:val="16"/>
          <w:lang w:val="en-US"/>
        </w:rPr>
        <w:t>. Judgment of November 30, 2016. Series C No. 329</w:t>
      </w:r>
      <w:r w:rsidRPr="000E696E">
        <w:rPr>
          <w:rFonts w:ascii="Verdana" w:eastAsia="Times New Roman" w:hAnsi="Verdana"/>
          <w:b/>
          <w:bCs/>
          <w:color w:val="000000"/>
          <w:sz w:val="16"/>
          <w:szCs w:val="16"/>
          <w:lang w:val="en-US"/>
        </w:rPr>
        <w:t>.</w:t>
      </w:r>
    </w:p>
  </w:footnote>
  <w:footnote w:id="293">
    <w:p w14:paraId="5771077A" w14:textId="4C88D27C" w:rsidR="0068647C" w:rsidRPr="000E696E" w:rsidRDefault="0068647C" w:rsidP="00AA1EBF">
      <w:pPr>
        <w:spacing w:after="60"/>
        <w:jc w:val="both"/>
        <w:rPr>
          <w:rFonts w:ascii="Verdana" w:eastAsia="Times New Roman"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See the concurring opinion that I developed with Judge Roberto Caldas in the </w:t>
      </w:r>
      <w:r w:rsidRPr="000E696E">
        <w:rPr>
          <w:rFonts w:ascii="Verdana" w:eastAsia="Times New Roman" w:hAnsi="Verdana"/>
          <w:bCs/>
          <w:i/>
          <w:color w:val="000000"/>
          <w:sz w:val="16"/>
          <w:szCs w:val="16"/>
          <w:lang w:val="en-US"/>
        </w:rPr>
        <w:t>Case of Canales Huapaya et al. v. Peru. Preliminary objections, merits, reparations and costs</w:t>
      </w:r>
      <w:r w:rsidRPr="000E696E">
        <w:rPr>
          <w:rFonts w:ascii="Verdana" w:eastAsia="Times New Roman" w:hAnsi="Verdana"/>
          <w:bCs/>
          <w:color w:val="000000"/>
          <w:sz w:val="16"/>
          <w:szCs w:val="16"/>
          <w:lang w:val="en-US"/>
        </w:rPr>
        <w:t>. Judgment of June 24, 2015. Series C No. 296.</w:t>
      </w:r>
    </w:p>
  </w:footnote>
  <w:footnote w:id="294">
    <w:p w14:paraId="2638B840" w14:textId="1C99694C" w:rsidR="0068647C" w:rsidRPr="000E696E" w:rsidRDefault="0068647C" w:rsidP="00AA1EBF">
      <w:pPr>
        <w:spacing w:after="60"/>
        <w:jc w:val="both"/>
        <w:rPr>
          <w:rFonts w:ascii="Verdana" w:eastAsia="Times New Roman" w:hAnsi="Verdana"/>
          <w:bCs/>
          <w:i/>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See the concurring opinion in the </w:t>
      </w:r>
      <w:r w:rsidRPr="000E696E">
        <w:rPr>
          <w:rFonts w:ascii="Verdana" w:eastAsia="Times New Roman" w:hAnsi="Verdana"/>
          <w:bCs/>
          <w:i/>
          <w:color w:val="000000"/>
          <w:sz w:val="16"/>
          <w:szCs w:val="16"/>
          <w:lang w:val="en-US"/>
        </w:rPr>
        <w:t>Case of Yarce et al. v. Colombia, supra</w:t>
      </w:r>
      <w:r w:rsidRPr="000E696E">
        <w:rPr>
          <w:rFonts w:ascii="Verdana" w:eastAsia="Times New Roman" w:hAnsi="Verdana"/>
          <w:bCs/>
          <w:color w:val="000000"/>
          <w:sz w:val="16"/>
          <w:szCs w:val="16"/>
          <w:lang w:val="en-US"/>
        </w:rPr>
        <w:t>.</w:t>
      </w:r>
    </w:p>
  </w:footnote>
  <w:footnote w:id="295">
    <w:p w14:paraId="69013C6D" w14:textId="3D725219"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 para</w:t>
      </w:r>
      <w:r w:rsidRPr="004204B2">
        <w:rPr>
          <w:lang w:val="es-CR"/>
        </w:rPr>
        <w:t xml:space="preserve">. </w:t>
      </w:r>
      <w:r w:rsidRPr="000E696E">
        <w:t>151.</w:t>
      </w:r>
    </w:p>
  </w:footnote>
  <w:footnote w:id="296">
    <w:p w14:paraId="697A0368" w14:textId="0F605DF9" w:rsidR="0068647C" w:rsidRPr="000E696E" w:rsidRDefault="0068647C" w:rsidP="00D61BD2">
      <w:pPr>
        <w:pStyle w:val="Textonotapie"/>
      </w:pPr>
      <w:r w:rsidRPr="000E696E">
        <w:rPr>
          <w:rStyle w:val="Refdenotaalpie"/>
          <w:sz w:val="16"/>
        </w:rPr>
        <w:footnoteRef/>
      </w:r>
      <w:r w:rsidRPr="000E696E">
        <w:t xml:space="preserve"> </w:t>
      </w:r>
      <w:r w:rsidRPr="000E696E">
        <w:tab/>
        <w:t>In para. 143 of the judgment, the Inter-American Court explained that: “[w]ork is a right and a social duty,” and that this should be performed with “fair wages, employment opportunities, and acceptable working conditions for all.” They [the articles of the OAS Charter] also establish the right of workers to “associate themselves freely for the defense and promotion of their interests.” In addition, they indicate that State must “harmonize the social</w:t>
      </w:r>
      <w:r w:rsidRPr="000E696E">
        <w:rPr>
          <w:sz w:val="20"/>
          <w:szCs w:val="20"/>
        </w:rPr>
        <w:t xml:space="preserve"> </w:t>
      </w:r>
      <w:r w:rsidRPr="000E696E">
        <w:t>legislation” for</w:t>
      </w:r>
      <w:r w:rsidRPr="000E696E">
        <w:rPr>
          <w:sz w:val="20"/>
          <w:szCs w:val="20"/>
        </w:rPr>
        <w:t xml:space="preserve"> </w:t>
      </w:r>
      <w:r w:rsidRPr="000E696E">
        <w:t xml:space="preserve">the protection of such rights.” </w:t>
      </w:r>
      <w:r w:rsidRPr="004204B2">
        <w:rPr>
          <w:i/>
          <w:lang w:val="es-CR"/>
        </w:rPr>
        <w:t xml:space="preserve">Cf. Case of Lagos del Campo v. </w:t>
      </w:r>
      <w:r w:rsidRPr="004204B2">
        <w:rPr>
          <w:i/>
          <w:lang w:val="es-CR"/>
        </w:rPr>
        <w:t>Peru, supra</w:t>
      </w:r>
      <w:r w:rsidRPr="004204B2">
        <w:rPr>
          <w:lang w:val="es-CR"/>
        </w:rPr>
        <w:t xml:space="preserve">, para. </w:t>
      </w:r>
      <w:r w:rsidRPr="000E696E">
        <w:t xml:space="preserve">143.  </w:t>
      </w:r>
    </w:p>
  </w:footnote>
  <w:footnote w:id="297">
    <w:p w14:paraId="54FB0E1D" w14:textId="571417E8"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1948 American Declaration of the Rights and Duties of Man expressly indicates in its Article XIV: </w:t>
      </w:r>
      <w:r w:rsidRPr="000E696E">
        <w:rPr>
          <w:color w:val="000000"/>
        </w:rPr>
        <w:t>“</w:t>
      </w:r>
      <w:r w:rsidRPr="000E696E">
        <w:rPr>
          <w:spacing w:val="-3"/>
        </w:rPr>
        <w:t xml:space="preserve">Every person has the right to work, under proper conditions, and to follow his vocation freely </w:t>
      </w:r>
      <w:r w:rsidRPr="000E696E">
        <w:rPr>
          <w:rFonts w:cs="Arial"/>
          <w:color w:val="000000"/>
        </w:rPr>
        <w:t>[…].”</w:t>
      </w:r>
    </w:p>
  </w:footnote>
  <w:footnote w:id="298">
    <w:p w14:paraId="3E59581C" w14:textId="1724BE5D" w:rsidR="0068647C" w:rsidRPr="000E696E" w:rsidRDefault="0068647C" w:rsidP="00D61BD2">
      <w:pPr>
        <w:pStyle w:val="Textonotapie"/>
      </w:pPr>
      <w:r w:rsidRPr="000E696E">
        <w:rPr>
          <w:rStyle w:val="Refdenotaalpie"/>
          <w:sz w:val="16"/>
        </w:rPr>
        <w:footnoteRef/>
      </w:r>
      <w:r w:rsidRPr="000E696E">
        <w:t xml:space="preserve">  </w:t>
      </w:r>
      <w:r w:rsidRPr="000E696E">
        <w:tab/>
        <w:t xml:space="preserve">Particularly, in the judgment, the Inter-American Court also considered that “[…], the United Nations General Assembly adopted Agenda 2030, which includes 17 Sustainable Development Goals and 169 targets to benefit people, the planet and prosperity. In particular, Goal 8 promotes sustained, inclusive and sustainable economic growth, full and productive employment and decent work for all. Targets 8.5 and 8.8 are addressed at protecting workers’ rights and promoting a safe and secure working environment,” </w:t>
      </w:r>
      <w:r w:rsidRPr="000E696E">
        <w:rPr>
          <w:i/>
        </w:rPr>
        <w:t>Case of Lagos del Campo v. Peru, supra</w:t>
      </w:r>
      <w:r w:rsidRPr="000E696E">
        <w:t xml:space="preserve">, footnote 216. </w:t>
      </w:r>
    </w:p>
  </w:footnote>
  <w:footnote w:id="299">
    <w:p w14:paraId="04960164" w14:textId="16D0316B"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8947E3">
        <w:rPr>
          <w:i/>
          <w:iCs/>
          <w:lang w:val="es-CR"/>
        </w:rPr>
        <w:t xml:space="preserve">Case of Lagos del Campo v. </w:t>
      </w:r>
      <w:r w:rsidRPr="008947E3">
        <w:rPr>
          <w:i/>
          <w:iCs/>
          <w:lang w:val="es-CR"/>
        </w:rPr>
        <w:t>Peru, supra,</w:t>
      </w:r>
      <w:r w:rsidRPr="004204B2">
        <w:rPr>
          <w:lang w:val="es-CR"/>
        </w:rPr>
        <w:t xml:space="preserve"> paras. 133 to 154. </w:t>
      </w:r>
    </w:p>
  </w:footnote>
  <w:footnote w:id="300">
    <w:p w14:paraId="09C01D4B" w14:textId="683DA8A9"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8947E3">
        <w:rPr>
          <w:i/>
          <w:iCs/>
          <w:lang w:val="es-CR"/>
        </w:rPr>
        <w:t xml:space="preserve">Case of Lagos del Campo v. </w:t>
      </w:r>
      <w:r w:rsidRPr="008947E3">
        <w:rPr>
          <w:i/>
          <w:iCs/>
          <w:lang w:val="es-CR"/>
        </w:rPr>
        <w:t>Peru, supra,</w:t>
      </w:r>
      <w:r w:rsidRPr="004204B2">
        <w:rPr>
          <w:lang w:val="es-CR"/>
        </w:rPr>
        <w:t xml:space="preserve"> paras. </w:t>
      </w:r>
      <w:r w:rsidRPr="000E696E">
        <w:t xml:space="preserve">155 to 163. </w:t>
      </w:r>
    </w:p>
  </w:footnote>
  <w:footnote w:id="301">
    <w:p w14:paraId="1F47B090" w14:textId="1E02DA1A" w:rsidR="0068647C" w:rsidRPr="000E696E" w:rsidRDefault="0068647C" w:rsidP="00AA1EBF">
      <w:pPr>
        <w:spacing w:after="60"/>
        <w:jc w:val="both"/>
        <w:rPr>
          <w:rFonts w:ascii="Verdana" w:hAnsi="Verdana" w:cs="Tahoma"/>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cs="Tahoma"/>
          <w:bCs/>
          <w:color w:val="000000"/>
          <w:sz w:val="16"/>
          <w:szCs w:val="16"/>
          <w:lang w:val="en-US"/>
        </w:rPr>
        <w:t xml:space="preserve">Article 19. Means of Protection […] </w:t>
      </w:r>
      <w:r w:rsidRPr="000E696E">
        <w:rPr>
          <w:rFonts w:ascii="Verdana" w:eastAsia="Times New Roman" w:hAnsi="Verdana" w:cs="Tahoma"/>
          <w:color w:val="000000"/>
          <w:sz w:val="16"/>
          <w:szCs w:val="16"/>
          <w:lang w:val="en-US"/>
        </w:rPr>
        <w:t xml:space="preserve">6. </w:t>
      </w:r>
      <w:r w:rsidRPr="000E696E">
        <w:rPr>
          <w:rFonts w:ascii="Verdana" w:hAnsi="Verdana" w:cs="Tahoma"/>
          <w:sz w:val="16"/>
          <w:szCs w:val="16"/>
          <w:lang w:val="en-US"/>
        </w:rPr>
        <w:t>Any instance in which the rights established in paragraph (a) of Article 8 and in Article 13 are violated by action directly attributable to a State Party to this Protocol may give rise, through participation of the Inter-American Commission on Human Rights and, when applicable,</w:t>
      </w:r>
      <w:r w:rsidRPr="000E696E">
        <w:rPr>
          <w:rFonts w:ascii="Tahoma" w:hAnsi="Tahoma" w:cs="Tahoma"/>
          <w:b/>
          <w:bCs/>
          <w:sz w:val="18"/>
          <w:szCs w:val="18"/>
          <w:lang w:val="en-US"/>
        </w:rPr>
        <w:t xml:space="preserve"> </w:t>
      </w:r>
      <w:r w:rsidRPr="000E696E">
        <w:rPr>
          <w:rFonts w:ascii="Verdana" w:hAnsi="Verdana" w:cs="Tahoma"/>
          <w:sz w:val="16"/>
          <w:szCs w:val="16"/>
          <w:lang w:val="en-US"/>
        </w:rPr>
        <w:t>of the Inter-American Court of Human Rights, to application of the system of individual petitions governed by Article 44 through 51 and 61 through</w:t>
      </w:r>
      <w:r w:rsidRPr="000E696E">
        <w:rPr>
          <w:rFonts w:ascii="Verdana" w:eastAsia="Times New Roman" w:hAnsi="Verdana" w:cs="Tahoma"/>
          <w:color w:val="000000"/>
          <w:sz w:val="16"/>
          <w:szCs w:val="16"/>
          <w:lang w:val="en-US"/>
        </w:rPr>
        <w:t xml:space="preserve"> 69 of the American Convention on Human Rights.</w:t>
      </w:r>
    </w:p>
  </w:footnote>
  <w:footnote w:id="302">
    <w:p w14:paraId="1C4D583C" w14:textId="5CB07B50" w:rsidR="0068647C" w:rsidRPr="000E696E" w:rsidRDefault="0068647C" w:rsidP="00D61BD2">
      <w:pPr>
        <w:pStyle w:val="Textonotapie"/>
      </w:pPr>
      <w:r w:rsidRPr="000E696E">
        <w:rPr>
          <w:rStyle w:val="Refdenotaalpie"/>
          <w:sz w:val="16"/>
        </w:rPr>
        <w:footnoteRef/>
      </w:r>
      <w:r w:rsidRPr="004204B2">
        <w:rPr>
          <w:vertAlign w:val="superscript"/>
          <w:lang w:val="es-CR"/>
        </w:rPr>
        <w:t xml:space="preserve"> </w:t>
      </w:r>
      <w:r w:rsidRPr="004204B2">
        <w:rPr>
          <w:lang w:val="es-CR"/>
        </w:rPr>
        <w:tab/>
      </w:r>
      <w:r w:rsidRPr="004204B2">
        <w:rPr>
          <w:i/>
          <w:lang w:val="es-CR"/>
        </w:rPr>
        <w:t>Cf.</w:t>
      </w:r>
      <w:r w:rsidRPr="004204B2">
        <w:rPr>
          <w:lang w:val="es-CR"/>
        </w:rPr>
        <w:t xml:space="preserve"> </w:t>
      </w:r>
      <w:r w:rsidRPr="004E7ECD">
        <w:rPr>
          <w:i/>
          <w:iCs/>
          <w:lang w:val="es-CR"/>
        </w:rPr>
        <w:t xml:space="preserve">Case of Lagos del Campo v. </w:t>
      </w:r>
      <w:r w:rsidRPr="004E7ECD">
        <w:rPr>
          <w:i/>
          <w:iCs/>
          <w:lang w:val="es-CR"/>
        </w:rPr>
        <w:t>Peru, supra</w:t>
      </w:r>
      <w:r w:rsidRPr="004204B2">
        <w:rPr>
          <w:lang w:val="es-CR"/>
        </w:rPr>
        <w:t xml:space="preserve">, para. </w:t>
      </w:r>
      <w:r w:rsidRPr="000E696E">
        <w:t xml:space="preserve">141.  </w:t>
      </w:r>
    </w:p>
  </w:footnote>
  <w:footnote w:id="303">
    <w:p w14:paraId="5E3EBA0E" w14:textId="37D39152" w:rsidR="0068647C" w:rsidRPr="000E696E" w:rsidRDefault="0068647C" w:rsidP="00D61BD2">
      <w:pPr>
        <w:pStyle w:val="Textonotapie"/>
      </w:pPr>
      <w:r w:rsidRPr="000E696E">
        <w:rPr>
          <w:rStyle w:val="Refdenotaalpie"/>
          <w:sz w:val="16"/>
        </w:rPr>
        <w:footnoteRef/>
      </w:r>
      <w:r w:rsidRPr="000E696E">
        <w:rPr>
          <w:vertAlign w:val="superscript"/>
        </w:rPr>
        <w:t xml:space="preserve"> </w:t>
      </w:r>
      <w:r w:rsidRPr="000E696E">
        <w:tab/>
        <w:t xml:space="preserve">I have been referring to “interdependence and indivisibility” as an inseparable duo in my separate opinions in previous cases. </w:t>
      </w:r>
      <w:r w:rsidRPr="000E696E">
        <w:rPr>
          <w:i/>
        </w:rPr>
        <w:t xml:space="preserve">Cf. </w:t>
      </w:r>
      <w:r w:rsidRPr="000E696E">
        <w:t xml:space="preserve">Concurring opinion in the </w:t>
      </w:r>
      <w:r w:rsidRPr="000E696E">
        <w:rPr>
          <w:bCs/>
          <w:i/>
          <w:color w:val="000000"/>
        </w:rPr>
        <w:t xml:space="preserve">Case of Yarce et al. v. Colombia, supra, </w:t>
      </w:r>
      <w:r w:rsidRPr="000E696E">
        <w:rPr>
          <w:bCs/>
          <w:color w:val="000000"/>
        </w:rPr>
        <w:t>paras. 13 to 15; Concurring opinion</w:t>
      </w:r>
      <w:r w:rsidRPr="000E696E">
        <w:t xml:space="preserve"> in the</w:t>
      </w:r>
      <w:r w:rsidRPr="000E696E">
        <w:rPr>
          <w:rFonts w:cs="Verdana"/>
          <w:bCs/>
        </w:rPr>
        <w:t xml:space="preserve"> </w:t>
      </w:r>
      <w:r w:rsidRPr="000E696E">
        <w:rPr>
          <w:rFonts w:cs="Verdana"/>
          <w:bCs/>
          <w:i/>
        </w:rPr>
        <w:t xml:space="preserve">Suárez Peralta v. Ecuador, supra, </w:t>
      </w:r>
      <w:r w:rsidRPr="000E696E">
        <w:rPr>
          <w:rFonts w:cs="Verdana"/>
          <w:bCs/>
        </w:rPr>
        <w:t xml:space="preserve">para. 24. Also, see </w:t>
      </w:r>
      <w:r w:rsidRPr="000E696E">
        <w:t>Resolution 32/130 of the United Nations General Assembly of September 16, 1977, paragraph 1(a); Declaration on the Right to Development, General Assembly Resolution 41/128, of December 4, 1986, para. 10 of the Preamble and Art.  6; Limburg Principles, 1986, especially No. 3, and the Maastricht Guidelines on Violations of Economic, Social and Cultural Rights, 1997, particularly, No. 3.</w:t>
      </w:r>
    </w:p>
  </w:footnote>
  <w:footnote w:id="304">
    <w:p w14:paraId="27749722" w14:textId="4F13D2AC"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iCs/>
          <w:lang w:val="es-CR"/>
        </w:rPr>
        <w:t xml:space="preserve">Case of Lagos del Campo v. </w:t>
      </w:r>
      <w:r w:rsidRPr="004204B2">
        <w:rPr>
          <w:i/>
          <w:iCs/>
          <w:lang w:val="es-CR"/>
        </w:rPr>
        <w:t>Peru, supra,</w:t>
      </w:r>
      <w:r w:rsidRPr="004204B2">
        <w:rPr>
          <w:lang w:val="es-CR"/>
        </w:rPr>
        <w:t xml:space="preserve"> para. </w:t>
      </w:r>
      <w:r w:rsidRPr="000E696E">
        <w:t xml:space="preserve">143. </w:t>
      </w:r>
    </w:p>
  </w:footnote>
  <w:footnote w:id="305">
    <w:p w14:paraId="3ED6CA58" w14:textId="7F8E0B0C" w:rsidR="0068647C" w:rsidRPr="000E696E" w:rsidRDefault="0068647C" w:rsidP="00D61BD2">
      <w:pPr>
        <w:pStyle w:val="Textonotapie"/>
      </w:pPr>
      <w:r w:rsidRPr="000E696E">
        <w:rPr>
          <w:rStyle w:val="Refdenotaalpie"/>
          <w:sz w:val="16"/>
        </w:rPr>
        <w:footnoteRef/>
      </w:r>
      <w:r w:rsidRPr="000E696E">
        <w:t xml:space="preserve"> </w:t>
      </w:r>
      <w:r w:rsidRPr="000E696E">
        <w:tab/>
        <w:t xml:space="preserve">Concurring opinion with regard to the </w:t>
      </w:r>
      <w:r w:rsidRPr="000E696E">
        <w:rPr>
          <w:i/>
        </w:rPr>
        <w:t>Case of Yarce et al. v. Colombia, supra</w:t>
      </w:r>
      <w:r w:rsidRPr="000E696E">
        <w:t>,</w:t>
      </w:r>
      <w:r w:rsidRPr="000E696E">
        <w:rPr>
          <w:b/>
        </w:rPr>
        <w:t xml:space="preserve"> </w:t>
      </w:r>
      <w:r w:rsidRPr="000E696E">
        <w:t xml:space="preserve">paras. 19 to 26.  </w:t>
      </w:r>
    </w:p>
  </w:footnote>
  <w:footnote w:id="306">
    <w:p w14:paraId="70141D80" w14:textId="73A73FCB" w:rsidR="0068647C" w:rsidRPr="000E696E" w:rsidRDefault="0068647C" w:rsidP="00283B4A">
      <w:pPr>
        <w:pStyle w:val="NormalWeb"/>
        <w:spacing w:before="0" w:beforeAutospacing="0" w:after="60" w:afterAutospacing="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Articles 31 and 32, on the interpretation of treaties, establish: Article 31: “General rule of interpretation. 1. A treaty shall be interpreted in good faith in accordance with the ordinary meaning to be 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w:t>
      </w:r>
      <w:r w:rsidRPr="000E696E">
        <w:rPr>
          <w:lang w:val="en-US"/>
        </w:rPr>
        <w:t xml:space="preserve"> </w:t>
      </w:r>
      <w:r w:rsidRPr="000E696E">
        <w:rPr>
          <w:rFonts w:ascii="Verdana" w:hAnsi="Verdana"/>
          <w:sz w:val="16"/>
          <w:szCs w:val="16"/>
          <w:lang w:val="en-US"/>
        </w:rPr>
        <w:t>Article 32:</w:t>
      </w:r>
      <w:r w:rsidRPr="000E696E">
        <w:rPr>
          <w:lang w:val="en-US"/>
        </w:rPr>
        <w:t xml:space="preserve"> </w:t>
      </w:r>
      <w:r w:rsidRPr="000E696E">
        <w:rPr>
          <w:rFonts w:ascii="Verdana" w:hAnsi="Verdana"/>
          <w:sz w:val="16"/>
          <w:szCs w:val="16"/>
          <w:lang w:val="en-US"/>
        </w:rPr>
        <w:t>Supplementary means of interpretation: 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or unreasonable.”</w:t>
      </w:r>
    </w:p>
  </w:footnote>
  <w:footnote w:id="307">
    <w:p w14:paraId="350092AE" w14:textId="49A4501B" w:rsidR="0068647C" w:rsidRPr="000E696E" w:rsidRDefault="0068647C" w:rsidP="00D61BD2">
      <w:pPr>
        <w:pStyle w:val="Textonotapie"/>
      </w:pPr>
      <w:r w:rsidRPr="000E696E">
        <w:rPr>
          <w:rStyle w:val="Refdenotaalpie"/>
          <w:sz w:val="16"/>
        </w:rPr>
        <w:footnoteRef/>
      </w:r>
      <w:r w:rsidRPr="000E696E">
        <w:t xml:space="preserve"> </w:t>
      </w:r>
      <w:r w:rsidRPr="000E696E">
        <w:tab/>
        <w:t>Adopted on April 30, 1948. Entered into force, December 13, 1951. Amended by the Protocol of Amendment to the Charter of the Organization of American States “Protocol of Buenos Aires”, signed on February 27, 1967, at the Third Special Inter-American Conference; by the Protocol of Amendment to the Charter of the Organization of American States “Protocol of Cartagena de Indias”, adopted on December 5, 1985, at the Fourteenth Special Session of the General Assembly; by the Protocol of Amendment to the Charter of the Organization of American States “Protocol of Washington”, adopted on December 14, 1992, at the Sixteenth Special Session of the General Assembly, and by the Protocol of Amendment to the Charter of the Organization of American States “Protocol of Managua”, adopted on June 10, 1993, at the Nineteenth Special Session of the General Assembly.</w:t>
      </w:r>
    </w:p>
  </w:footnote>
  <w:footnote w:id="308">
    <w:p w14:paraId="36E55C2A" w14:textId="46734248"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Taking into account Article 31 of the Vienna Convention on the Law of Treaties (transcribed above), it is valid to have recourse to the ordinary meaning of the words that, in addition, in this case, correspond to the understanding that best accords with the object and purpose of the Convention, that is the protection of human rights. </w:t>
      </w:r>
    </w:p>
  </w:footnote>
  <w:footnote w:id="309">
    <w:p w14:paraId="5784EBCB" w14:textId="29927CC5" w:rsidR="0068647C" w:rsidRPr="000E696E" w:rsidRDefault="0068647C" w:rsidP="00D61BD2">
      <w:pPr>
        <w:pStyle w:val="Textonotapie"/>
      </w:pPr>
      <w:r w:rsidRPr="000E696E">
        <w:rPr>
          <w:rStyle w:val="Refdenotaalpie"/>
          <w:sz w:val="16"/>
        </w:rPr>
        <w:footnoteRef/>
      </w:r>
      <w:r w:rsidRPr="000E696E">
        <w:t xml:space="preserve"> </w:t>
      </w:r>
      <w:r w:rsidRPr="000E696E">
        <w:tab/>
        <w:t xml:space="preserve">Consulted on website: </w:t>
      </w:r>
      <w:hyperlink r:id="rId7" w:history="1">
        <w:r w:rsidRPr="000E696E">
          <w:rPr>
            <w:rStyle w:val="Hipervnculo"/>
          </w:rPr>
          <w:t>http://dle.rae.es</w:t>
        </w:r>
      </w:hyperlink>
      <w:r w:rsidRPr="000E696E">
        <w:t>.</w:t>
      </w:r>
    </w:p>
  </w:footnote>
  <w:footnote w:id="310">
    <w:p w14:paraId="154810E8" w14:textId="650BA830" w:rsidR="0068647C" w:rsidRPr="000E696E" w:rsidRDefault="0068647C" w:rsidP="00D61BD2">
      <w:pPr>
        <w:pStyle w:val="Textonotapie"/>
        <w:rPr>
          <w:rFonts w:cs="Tahoma"/>
          <w:color w:val="000000"/>
        </w:rPr>
      </w:pPr>
      <w:r w:rsidRPr="000E696E">
        <w:rPr>
          <w:rStyle w:val="Refdenotaalpie"/>
          <w:sz w:val="16"/>
        </w:rPr>
        <w:footnoteRef/>
      </w:r>
      <w:r w:rsidRPr="000E696E">
        <w:t xml:space="preserve"> </w:t>
      </w:r>
      <w:r w:rsidRPr="000E696E">
        <w:tab/>
        <w:t xml:space="preserve">Article 45(b) of the Charter of the Organization of American States establishes that “[w]ork is a right and a social duty </w:t>
      </w:r>
      <w:r w:rsidRPr="000E696E">
        <w:rPr>
          <w:rFonts w:cs="Tahoma"/>
          <w:color w:val="000000"/>
        </w:rPr>
        <w:t xml:space="preserve">[…].” </w:t>
      </w:r>
    </w:p>
  </w:footnote>
  <w:footnote w:id="311">
    <w:p w14:paraId="62429A74" w14:textId="64566C96"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Adopted on November 17, 1988. Entered into force on November 16, 1999. </w:t>
      </w:r>
    </w:p>
  </w:footnote>
  <w:footnote w:id="312">
    <w:p w14:paraId="302C4CB4" w14:textId="6B4AB825"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Interpretation of the American Declaration of the Rights and Duties of Man within the framework of Article</w:t>
      </w:r>
      <w:r w:rsidRPr="000E696E">
        <w:t xml:space="preserve"> </w:t>
      </w:r>
      <w:r w:rsidRPr="000E696E">
        <w:rPr>
          <w:i/>
          <w:iCs/>
        </w:rPr>
        <w:t>64 of the American Convention on Human Rights,</w:t>
      </w:r>
      <w:r w:rsidRPr="000E696E">
        <w:t xml:space="preserve"> Advisory Opinion OC-10/89 of July 14, 1989, paras. </w:t>
      </w:r>
      <w:r w:rsidRPr="004204B2">
        <w:rPr>
          <w:lang w:val="es-CR"/>
        </w:rPr>
        <w:t>43 and 45.</w:t>
      </w:r>
    </w:p>
  </w:footnote>
  <w:footnote w:id="313">
    <w:p w14:paraId="18818D1F" w14:textId="0F7AAF88"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sz w:val="16"/>
          <w:szCs w:val="16"/>
          <w:lang w:val="es-CR"/>
        </w:rPr>
        <w:tab/>
      </w:r>
      <w:r w:rsidRPr="004204B2">
        <w:rPr>
          <w:rFonts w:ascii="Verdana" w:hAnsi="Verdana"/>
          <w:i/>
          <w:sz w:val="16"/>
          <w:szCs w:val="16"/>
          <w:lang w:val="es-CR"/>
        </w:rPr>
        <w:t xml:space="preserve">Case of Lagos del Campo v. </w:t>
      </w:r>
      <w:r w:rsidRPr="004204B2">
        <w:rPr>
          <w:rFonts w:ascii="Verdana" w:hAnsi="Verdana"/>
          <w:i/>
          <w:sz w:val="16"/>
          <w:szCs w:val="16"/>
          <w:lang w:val="es-CR"/>
        </w:rPr>
        <w:t xml:space="preserve">Peru, supra, </w:t>
      </w:r>
      <w:r w:rsidRPr="004204B2">
        <w:rPr>
          <w:rFonts w:ascii="Verdana" w:hAnsi="Verdana"/>
          <w:sz w:val="16"/>
          <w:szCs w:val="16"/>
          <w:lang w:val="es-CR"/>
        </w:rPr>
        <w:t xml:space="preserve">para. </w:t>
      </w:r>
      <w:r w:rsidRPr="000E696E">
        <w:rPr>
          <w:rFonts w:ascii="Verdana" w:hAnsi="Verdana"/>
          <w:sz w:val="16"/>
          <w:szCs w:val="16"/>
          <w:lang w:val="en-US"/>
        </w:rPr>
        <w:t>144. In addition, it is worth underlining the fourth paragraph of the Preamble to the American Convention which states: “</w:t>
      </w:r>
      <w:r w:rsidRPr="000E696E">
        <w:rPr>
          <w:rFonts w:ascii="Verdana" w:hAnsi="Verdana"/>
          <w:spacing w:val="-3"/>
          <w:sz w:val="16"/>
          <w:szCs w:val="16"/>
          <w:lang w:val="en-US"/>
        </w:rPr>
        <w:t>Considering that these principles [rights] have been set forth in the Charter of the Organization of American States, in the American Declaration of the Rights and Duties of Man, and in the Universal Declaration of Human Rights, and that they have been reaffirmed and refined in other international instruments, worldwide as well as regional in scope.</w:t>
      </w:r>
      <w:r w:rsidRPr="000E696E">
        <w:rPr>
          <w:rFonts w:ascii="Verdana" w:eastAsia="Times New Roman" w:hAnsi="Verdana" w:cs="Tahoma"/>
          <w:color w:val="000000"/>
          <w:sz w:val="16"/>
          <w:szCs w:val="16"/>
          <w:lang w:val="en-US"/>
        </w:rPr>
        <w:t xml:space="preserve">” </w:t>
      </w:r>
    </w:p>
  </w:footnote>
  <w:footnote w:id="314">
    <w:p w14:paraId="3D0FACA3" w14:textId="45F9E65F"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iCs/>
          <w:lang w:val="es-CR"/>
        </w:rPr>
        <w:t xml:space="preserve">Case of Lagos del Campo v. </w:t>
      </w:r>
      <w:r w:rsidRPr="004204B2">
        <w:rPr>
          <w:i/>
          <w:iCs/>
          <w:lang w:val="es-CR"/>
        </w:rPr>
        <w:t>Peru, supra,</w:t>
      </w:r>
      <w:r w:rsidRPr="004204B2">
        <w:rPr>
          <w:lang w:val="es-CR"/>
        </w:rPr>
        <w:t xml:space="preserve"> para. 145. </w:t>
      </w:r>
    </w:p>
  </w:footnote>
  <w:footnote w:id="315">
    <w:p w14:paraId="1D5EC2E8" w14:textId="061E8101"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iCs/>
          <w:lang w:val="es-CR"/>
        </w:rPr>
        <w:t xml:space="preserve">Case of Lagos del Campo v. </w:t>
      </w:r>
      <w:r w:rsidRPr="004204B2">
        <w:rPr>
          <w:i/>
          <w:iCs/>
          <w:lang w:val="es-CR"/>
        </w:rPr>
        <w:t>Peru, supra,</w:t>
      </w:r>
      <w:r w:rsidRPr="004204B2">
        <w:rPr>
          <w:lang w:val="es-CR"/>
        </w:rPr>
        <w:t xml:space="preserve"> para. </w:t>
      </w:r>
      <w:r w:rsidRPr="000E696E">
        <w:t xml:space="preserve">138. </w:t>
      </w:r>
    </w:p>
  </w:footnote>
  <w:footnote w:id="316">
    <w:p w14:paraId="57680204" w14:textId="1A3CFA89" w:rsidR="0068647C" w:rsidRPr="000E696E" w:rsidRDefault="0068647C" w:rsidP="00AA1EBF">
      <w:pPr>
        <w:suppressAutoHyphens/>
        <w:spacing w:after="60"/>
        <w:jc w:val="both"/>
        <w:rPr>
          <w:rFonts w:ascii="Verdana" w:hAnsi="Verdana"/>
          <w:spacing w:val="-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w:t>
      </w:r>
      <w:r w:rsidRPr="000E696E">
        <w:rPr>
          <w:rFonts w:ascii="Verdana" w:eastAsia="Times New Roman" w:hAnsi="Verdana" w:cs="Tahoma"/>
          <w:bCs/>
          <w:color w:val="000000"/>
          <w:sz w:val="16"/>
          <w:szCs w:val="16"/>
          <w:lang w:val="en-US"/>
        </w:rPr>
        <w:t>Article 29.  Restrictions regarding Interpretation</w:t>
      </w:r>
      <w:r w:rsidRPr="000E696E">
        <w:rPr>
          <w:rFonts w:ascii="Verdana" w:hAnsi="Verdana"/>
          <w:sz w:val="16"/>
          <w:szCs w:val="16"/>
          <w:lang w:val="en-US"/>
        </w:rPr>
        <w:t xml:space="preserve">. </w:t>
      </w:r>
      <w:r w:rsidRPr="000E696E">
        <w:rPr>
          <w:rFonts w:ascii="Verdana" w:hAnsi="Verdana"/>
          <w:spacing w:val="-3"/>
          <w:sz w:val="16"/>
          <w:szCs w:val="16"/>
          <w:lang w:val="en-US"/>
        </w:rPr>
        <w:t>No provision of this Convention shall be interpreted as: “[…]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r w:rsidRPr="000E696E">
        <w:rPr>
          <w:rFonts w:ascii="Verdana" w:hAnsi="Verdana" w:cs="Tahoma"/>
          <w:color w:val="000000"/>
          <w:sz w:val="16"/>
          <w:szCs w:val="16"/>
          <w:lang w:val="en-US"/>
        </w:rPr>
        <w:t>.”</w:t>
      </w:r>
    </w:p>
  </w:footnote>
  <w:footnote w:id="317">
    <w:p w14:paraId="4C223516" w14:textId="6AD095AB"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iCs/>
          <w:lang w:val="es-CR"/>
        </w:rPr>
        <w:t xml:space="preserve">Case of Lagos del Campo v. </w:t>
      </w:r>
      <w:r w:rsidRPr="004204B2">
        <w:rPr>
          <w:i/>
          <w:iCs/>
          <w:lang w:val="es-CR"/>
        </w:rPr>
        <w:t>Peru, supra</w:t>
      </w:r>
      <w:r w:rsidRPr="004204B2">
        <w:rPr>
          <w:lang w:val="es-CR"/>
        </w:rPr>
        <w:t xml:space="preserve">, para. 149. </w:t>
      </w:r>
    </w:p>
  </w:footnote>
  <w:footnote w:id="318">
    <w:p w14:paraId="66AA8063" w14:textId="064B68D2" w:rsidR="0068647C" w:rsidRPr="004204B2" w:rsidRDefault="0068647C" w:rsidP="00D61BD2">
      <w:pPr>
        <w:pStyle w:val="Textonotapie"/>
        <w:rPr>
          <w:i/>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 xml:space="preserve">Cf. Case of Lagos del Campo v. </w:t>
      </w:r>
      <w:r w:rsidRPr="004204B2">
        <w:rPr>
          <w:i/>
          <w:lang w:val="es-CR"/>
        </w:rPr>
        <w:t xml:space="preserve">Peru, supra, </w:t>
      </w:r>
      <w:r w:rsidRPr="004204B2">
        <w:rPr>
          <w:iCs/>
          <w:lang w:val="es-CR"/>
        </w:rPr>
        <w:t>paras. 151, 152 and 153.</w:t>
      </w:r>
      <w:r w:rsidRPr="004204B2">
        <w:rPr>
          <w:i/>
          <w:lang w:val="es-CR"/>
        </w:rPr>
        <w:t xml:space="preserve"> </w:t>
      </w:r>
    </w:p>
  </w:footnote>
  <w:footnote w:id="319">
    <w:p w14:paraId="10ABF44F" w14:textId="3DDC54A4" w:rsidR="0068647C" w:rsidRPr="004204B2" w:rsidRDefault="0068647C" w:rsidP="00D61BD2">
      <w:pPr>
        <w:pStyle w:val="Textonotapie"/>
        <w:rPr>
          <w:lang w:val="es-CR"/>
        </w:rPr>
      </w:pPr>
      <w:r w:rsidRPr="000E696E">
        <w:rPr>
          <w:rStyle w:val="Refdenotaalpie"/>
          <w:i/>
          <w:sz w:val="16"/>
        </w:rPr>
        <w:footnoteRef/>
      </w:r>
      <w:r w:rsidRPr="004204B2">
        <w:rPr>
          <w:i/>
          <w:lang w:val="es-CR"/>
        </w:rPr>
        <w:t xml:space="preserve"> </w:t>
      </w:r>
      <w:r w:rsidRPr="004204B2">
        <w:rPr>
          <w:i/>
          <w:lang w:val="es-CR"/>
        </w:rPr>
        <w:tab/>
        <w:t xml:space="preserve">Cf. Case of Lagos del Campo v. </w:t>
      </w:r>
      <w:r w:rsidRPr="004204B2">
        <w:rPr>
          <w:i/>
          <w:lang w:val="es-CR"/>
        </w:rPr>
        <w:t>Peru, supra,</w:t>
      </w:r>
      <w:r w:rsidRPr="004204B2">
        <w:rPr>
          <w:lang w:val="es-CR"/>
        </w:rPr>
        <w:t xml:space="preserve"> para. 154. </w:t>
      </w:r>
    </w:p>
  </w:footnote>
  <w:footnote w:id="320">
    <w:p w14:paraId="2C5B74A3" w14:textId="0B9AF8F3" w:rsidR="0068647C" w:rsidRPr="000E696E" w:rsidRDefault="0068647C" w:rsidP="00AA1EBF">
      <w:pPr>
        <w:spacing w:after="60"/>
        <w:jc w:val="both"/>
        <w:rPr>
          <w:rFonts w:ascii="Verdana" w:hAnsi="Verdana"/>
          <w:bCs/>
          <w:color w:val="000000"/>
          <w:sz w:val="16"/>
          <w:szCs w:val="16"/>
          <w:lang w:val="en-US"/>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sz w:val="16"/>
          <w:szCs w:val="16"/>
          <w:lang w:val="es-CR"/>
        </w:rPr>
        <w:tab/>
      </w:r>
      <w:r w:rsidRPr="004204B2">
        <w:rPr>
          <w:rFonts w:ascii="Verdana" w:eastAsia="Times New Roman" w:hAnsi="Verdana"/>
          <w:bCs/>
          <w:i/>
          <w:color w:val="000000"/>
          <w:sz w:val="16"/>
          <w:szCs w:val="16"/>
          <w:lang w:val="es-CR"/>
        </w:rPr>
        <w:t xml:space="preserve">Case of Baena Ricardo et al. v. </w:t>
      </w:r>
      <w:r w:rsidRPr="004204B2">
        <w:rPr>
          <w:rFonts w:ascii="Verdana" w:eastAsia="Times New Roman" w:hAnsi="Verdana"/>
          <w:bCs/>
          <w:i/>
          <w:color w:val="000000"/>
          <w:sz w:val="16"/>
          <w:szCs w:val="16"/>
          <w:lang w:val="es-CR"/>
        </w:rPr>
        <w:t xml:space="preserve">Panama. </w:t>
      </w:r>
      <w:r w:rsidRPr="000E696E">
        <w:rPr>
          <w:rFonts w:ascii="Verdana" w:eastAsia="Times New Roman" w:hAnsi="Verdana"/>
          <w:bCs/>
          <w:i/>
          <w:color w:val="000000"/>
          <w:sz w:val="16"/>
          <w:szCs w:val="16"/>
          <w:lang w:val="en-US"/>
        </w:rPr>
        <w:t>Merits, reparations and costs</w:t>
      </w:r>
      <w:r w:rsidRPr="000E696E">
        <w:rPr>
          <w:rFonts w:ascii="Verdana" w:eastAsia="Times New Roman" w:hAnsi="Verdana"/>
          <w:bCs/>
          <w:color w:val="000000"/>
          <w:sz w:val="16"/>
          <w:szCs w:val="16"/>
          <w:lang w:val="en-US"/>
        </w:rPr>
        <w:t>. Judgment of February 2, 2001. Series C No. 72.</w:t>
      </w:r>
    </w:p>
  </w:footnote>
  <w:footnote w:id="321">
    <w:p w14:paraId="5F90E391" w14:textId="29C43B71" w:rsidR="0068647C" w:rsidRPr="000E696E" w:rsidRDefault="0068647C" w:rsidP="00AA1EBF">
      <w:pPr>
        <w:spacing w:after="60"/>
        <w:jc w:val="both"/>
        <w:rPr>
          <w:rFonts w:ascii="Verdana" w:hAnsi="Verdana"/>
          <w:bCs/>
          <w:color w:val="000000"/>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bCs/>
          <w:i/>
          <w:color w:val="000000"/>
          <w:sz w:val="16"/>
          <w:szCs w:val="16"/>
          <w:lang w:val="en-US"/>
        </w:rPr>
        <w:t>Case of Huilca Tecse v. Peru. Merits, reparations and costs</w:t>
      </w:r>
      <w:r w:rsidRPr="000E696E">
        <w:rPr>
          <w:rFonts w:ascii="Verdana" w:eastAsia="Times New Roman" w:hAnsi="Verdana"/>
          <w:bCs/>
          <w:color w:val="000000"/>
          <w:sz w:val="16"/>
          <w:szCs w:val="16"/>
          <w:lang w:val="en-US"/>
        </w:rPr>
        <w:t>. Judgment of March 3, 2005. Series C No. 121.</w:t>
      </w:r>
    </w:p>
  </w:footnote>
  <w:footnote w:id="322">
    <w:p w14:paraId="760A383C" w14:textId="7529283E" w:rsidR="0068647C" w:rsidRPr="004204B2" w:rsidRDefault="0068647C" w:rsidP="00AA1EBF">
      <w:pPr>
        <w:spacing w:after="60"/>
        <w:jc w:val="both"/>
        <w:rPr>
          <w:rFonts w:ascii="Verdana" w:hAnsi="Verdana"/>
          <w:bCs/>
          <w:color w:val="000000"/>
          <w:sz w:val="16"/>
          <w:szCs w:val="16"/>
          <w:lang w:val="es-CR"/>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bCs/>
          <w:i/>
          <w:color w:val="000000"/>
          <w:sz w:val="16"/>
          <w:szCs w:val="16"/>
          <w:lang w:val="en-US"/>
        </w:rPr>
        <w:t>Case of Cantoral Huamaní and García Santa Cruz v. Peru. Preliminary objections, merits, reparations and costs</w:t>
      </w:r>
      <w:r w:rsidRPr="000E696E">
        <w:rPr>
          <w:rFonts w:ascii="Verdana" w:eastAsia="Times New Roman" w:hAnsi="Verdana"/>
          <w:bCs/>
          <w:color w:val="000000"/>
          <w:sz w:val="16"/>
          <w:szCs w:val="16"/>
          <w:lang w:val="en-US"/>
        </w:rPr>
        <w:t xml:space="preserve">. </w:t>
      </w:r>
      <w:r w:rsidRPr="004204B2">
        <w:rPr>
          <w:rFonts w:ascii="Verdana" w:eastAsia="Times New Roman" w:hAnsi="Verdana"/>
          <w:bCs/>
          <w:color w:val="000000"/>
          <w:sz w:val="16"/>
          <w:szCs w:val="16"/>
          <w:lang w:val="es-CR"/>
        </w:rPr>
        <w:t>Judgment of July 10, 2007. Series C No. 167.</w:t>
      </w:r>
    </w:p>
  </w:footnote>
  <w:footnote w:id="323">
    <w:p w14:paraId="011C4931" w14:textId="3998FE8C" w:rsidR="0068647C" w:rsidRPr="004204B2" w:rsidRDefault="0068647C" w:rsidP="00D61BD2">
      <w:pPr>
        <w:pStyle w:val="Textonotapie"/>
        <w:rPr>
          <w:i/>
          <w:iCs/>
          <w:lang w:val="es-CR"/>
        </w:rPr>
      </w:pPr>
      <w:r w:rsidRPr="000E696E">
        <w:rPr>
          <w:rStyle w:val="Refdenotaalpie"/>
          <w:sz w:val="16"/>
        </w:rPr>
        <w:footnoteRef/>
      </w:r>
      <w:r w:rsidRPr="004204B2">
        <w:rPr>
          <w:vertAlign w:val="superscript"/>
          <w:lang w:val="es-CR"/>
        </w:rPr>
        <w:t xml:space="preserve"> </w:t>
      </w:r>
      <w:r w:rsidRPr="004204B2">
        <w:rPr>
          <w:lang w:val="es-CR"/>
        </w:rPr>
        <w:tab/>
      </w:r>
      <w:r w:rsidRPr="004204B2">
        <w:rPr>
          <w:i/>
          <w:iCs/>
          <w:lang w:val="es-CR"/>
        </w:rPr>
        <w:t xml:space="preserve">Case of Baena Ricardo et al. v. </w:t>
      </w:r>
      <w:r w:rsidRPr="004204B2">
        <w:rPr>
          <w:i/>
          <w:iCs/>
          <w:lang w:val="es-CR"/>
        </w:rPr>
        <w:t>Panama, supra</w:t>
      </w:r>
      <w:r w:rsidRPr="004204B2">
        <w:rPr>
          <w:lang w:val="es-CR"/>
        </w:rPr>
        <w:t>, para. 156.</w:t>
      </w:r>
      <w:r w:rsidRPr="004204B2">
        <w:rPr>
          <w:i/>
          <w:iCs/>
          <w:lang w:val="es-CR"/>
        </w:rPr>
        <w:t xml:space="preserve"> </w:t>
      </w:r>
    </w:p>
  </w:footnote>
  <w:footnote w:id="324">
    <w:p w14:paraId="353085CA" w14:textId="285E8FEB" w:rsidR="0068647C" w:rsidRPr="000E696E" w:rsidRDefault="0068647C" w:rsidP="00D61BD2">
      <w:pPr>
        <w:pStyle w:val="Textonotapie"/>
      </w:pPr>
      <w:r w:rsidRPr="000E696E">
        <w:rPr>
          <w:rStyle w:val="Refdenotaalpie"/>
          <w:i/>
          <w:iCs/>
          <w:sz w:val="16"/>
        </w:rPr>
        <w:footnoteRef/>
      </w:r>
      <w:r w:rsidRPr="004204B2">
        <w:rPr>
          <w:i/>
          <w:iCs/>
          <w:vertAlign w:val="superscript"/>
          <w:lang w:val="es-CR"/>
        </w:rPr>
        <w:t xml:space="preserve"> </w:t>
      </w:r>
      <w:r w:rsidRPr="004204B2">
        <w:rPr>
          <w:i/>
          <w:iCs/>
          <w:lang w:val="es-CR"/>
        </w:rPr>
        <w:tab/>
        <w:t xml:space="preserve">Case of Baena Ricardo et al. v. </w:t>
      </w:r>
      <w:r w:rsidRPr="004204B2">
        <w:rPr>
          <w:i/>
          <w:iCs/>
          <w:lang w:val="es-CR"/>
        </w:rPr>
        <w:t xml:space="preserve">Panama, supra, </w:t>
      </w:r>
      <w:r w:rsidRPr="004204B2">
        <w:rPr>
          <w:lang w:val="es-CR"/>
        </w:rPr>
        <w:t xml:space="preserve">para. </w:t>
      </w:r>
      <w:r w:rsidRPr="000E696E">
        <w:t>157 and</w:t>
      </w:r>
      <w:r w:rsidRPr="000E696E">
        <w:rPr>
          <w:i/>
          <w:iCs/>
        </w:rPr>
        <w:t xml:space="preserve"> Case of Huilca Tecse v. Peru, supra</w:t>
      </w:r>
      <w:r w:rsidRPr="000E696E">
        <w:t>, para. 73.</w:t>
      </w:r>
    </w:p>
  </w:footnote>
  <w:footnote w:id="325">
    <w:p w14:paraId="21895793" w14:textId="0AA49656" w:rsidR="0068647C" w:rsidRPr="004204B2" w:rsidRDefault="0068647C" w:rsidP="00D61BD2">
      <w:pPr>
        <w:pStyle w:val="Textonotapie"/>
        <w:rPr>
          <w:spacing w:val="-3"/>
          <w:lang w:val="es-CR"/>
        </w:rPr>
      </w:pPr>
      <w:r w:rsidRPr="000E696E">
        <w:rPr>
          <w:rStyle w:val="Refdenotaalpie"/>
          <w:sz w:val="16"/>
        </w:rPr>
        <w:footnoteRef/>
      </w:r>
      <w:r w:rsidRPr="000E696E">
        <w:rPr>
          <w:vertAlign w:val="superscript"/>
        </w:rPr>
        <w:t xml:space="preserve"> </w:t>
      </w:r>
      <w:r w:rsidRPr="000E696E">
        <w:tab/>
        <w:t xml:space="preserve">In the same case, the Court also considered that the American Convention was very clear when it pointed out, in Article 16, that freedom of association “shall </w:t>
      </w:r>
      <w:r w:rsidRPr="000E696E">
        <w:rPr>
          <w:spacing w:val="-3"/>
        </w:rPr>
        <w:t>be subject only to such restrictions established by law as may be necessary in a democratic society, in the interest of national security, public safety or public order, or to protect public health or morals or the rights and freedoms of others.”</w:t>
      </w:r>
      <w:r w:rsidRPr="000E696E">
        <w:t xml:space="preserve"> </w:t>
      </w:r>
      <w:r w:rsidRPr="004204B2">
        <w:rPr>
          <w:rFonts w:eastAsiaTheme="minorEastAsia"/>
          <w:bCs/>
          <w:i/>
          <w:lang w:val="es-CR" w:eastAsia="ja-JP"/>
        </w:rPr>
        <w:t xml:space="preserve">Case of Baena Ricardo et al. v. </w:t>
      </w:r>
      <w:r w:rsidRPr="004204B2">
        <w:rPr>
          <w:rFonts w:eastAsiaTheme="minorEastAsia"/>
          <w:bCs/>
          <w:i/>
          <w:lang w:val="es-CR" w:eastAsia="ja-JP"/>
        </w:rPr>
        <w:t>Panama, supra</w:t>
      </w:r>
      <w:r w:rsidRPr="004204B2">
        <w:rPr>
          <w:rFonts w:eastAsiaTheme="minorEastAsia"/>
          <w:bCs/>
          <w:lang w:val="es-CR" w:eastAsia="ja-JP"/>
        </w:rPr>
        <w:t xml:space="preserve">, para. 168. </w:t>
      </w:r>
    </w:p>
  </w:footnote>
  <w:footnote w:id="326">
    <w:p w14:paraId="2CF1626E" w14:textId="07648F25" w:rsidR="0068647C" w:rsidRPr="004204B2" w:rsidRDefault="0068647C" w:rsidP="00D61BD2">
      <w:pPr>
        <w:pStyle w:val="Textonotapie"/>
        <w:rPr>
          <w:i/>
          <w:iCs/>
          <w:lang w:val="es-CR"/>
        </w:rPr>
      </w:pPr>
      <w:r w:rsidRPr="000E696E">
        <w:rPr>
          <w:rStyle w:val="Refdenotaalpie"/>
          <w:sz w:val="16"/>
        </w:rPr>
        <w:footnoteRef/>
      </w:r>
      <w:r w:rsidRPr="004204B2">
        <w:rPr>
          <w:vertAlign w:val="superscript"/>
          <w:lang w:val="es-CR"/>
        </w:rPr>
        <w:t xml:space="preserve"> </w:t>
      </w:r>
      <w:r w:rsidRPr="004204B2">
        <w:rPr>
          <w:lang w:val="es-CR"/>
        </w:rPr>
        <w:tab/>
      </w:r>
      <w:r w:rsidRPr="004204B2">
        <w:rPr>
          <w:i/>
          <w:iCs/>
          <w:lang w:val="es-CR"/>
        </w:rPr>
        <w:t xml:space="preserve">Case of Baena Ricardo et al. v. </w:t>
      </w:r>
      <w:r w:rsidRPr="004204B2">
        <w:rPr>
          <w:i/>
          <w:iCs/>
          <w:lang w:val="es-CR"/>
        </w:rPr>
        <w:t xml:space="preserve">Panama, supra, </w:t>
      </w:r>
      <w:r w:rsidRPr="004204B2">
        <w:rPr>
          <w:lang w:val="es-CR"/>
        </w:rPr>
        <w:t>para. 159.</w:t>
      </w:r>
    </w:p>
  </w:footnote>
  <w:footnote w:id="327">
    <w:p w14:paraId="4359E4C0" w14:textId="2737493C" w:rsidR="0068647C" w:rsidRPr="004204B2" w:rsidRDefault="0068647C" w:rsidP="00D61BD2">
      <w:pPr>
        <w:pStyle w:val="Textonotapie"/>
        <w:rPr>
          <w:lang w:val="es-CR"/>
        </w:rPr>
      </w:pPr>
      <w:r w:rsidRPr="000E696E">
        <w:rPr>
          <w:rStyle w:val="Refdenotaalpie"/>
          <w:i/>
          <w:iCs/>
          <w:sz w:val="16"/>
        </w:rPr>
        <w:footnoteRef/>
      </w:r>
      <w:r w:rsidRPr="004204B2">
        <w:rPr>
          <w:i/>
          <w:iCs/>
          <w:vertAlign w:val="superscript"/>
          <w:lang w:val="es-CR"/>
        </w:rPr>
        <w:t xml:space="preserve"> </w:t>
      </w:r>
      <w:r w:rsidRPr="004204B2">
        <w:rPr>
          <w:i/>
          <w:iCs/>
          <w:lang w:val="es-CR"/>
        </w:rPr>
        <w:tab/>
        <w:t xml:space="preserve">Case of Huilca </w:t>
      </w:r>
      <w:r w:rsidRPr="004204B2">
        <w:rPr>
          <w:i/>
          <w:iCs/>
          <w:lang w:val="es-CR"/>
        </w:rPr>
        <w:t>Tecse v. Peru, supra</w:t>
      </w:r>
      <w:r w:rsidRPr="004204B2">
        <w:rPr>
          <w:lang w:val="es-CR"/>
        </w:rPr>
        <w:t xml:space="preserve">, para. 67. </w:t>
      </w:r>
    </w:p>
  </w:footnote>
  <w:footnote w:id="328">
    <w:p w14:paraId="6AA96038" w14:textId="3A55AC8C" w:rsidR="0068647C" w:rsidRPr="004204B2" w:rsidRDefault="0068647C" w:rsidP="00AA1EBF">
      <w:pPr>
        <w:pStyle w:val="NormalWeb"/>
        <w:spacing w:before="0" w:beforeAutospacing="0" w:after="60" w:afterAutospacing="0"/>
        <w:jc w:val="both"/>
        <w:rPr>
          <w:rFonts w:ascii="Verdana" w:hAnsi="Verdana"/>
          <w:sz w:val="16"/>
          <w:szCs w:val="16"/>
        </w:rPr>
      </w:pPr>
      <w:r w:rsidRPr="000E696E">
        <w:rPr>
          <w:rStyle w:val="Refdenotaalpie"/>
          <w:rFonts w:eastAsia="Batang"/>
          <w:sz w:val="16"/>
          <w:szCs w:val="16"/>
          <w:lang w:val="en-US" w:eastAsia="es-ES"/>
        </w:rPr>
        <w:footnoteRef/>
      </w:r>
      <w:r w:rsidRPr="004204B2">
        <w:rPr>
          <w:rStyle w:val="Refdenotaalpie"/>
          <w:rFonts w:eastAsia="Batang"/>
          <w:sz w:val="16"/>
          <w:szCs w:val="16"/>
          <w:lang w:eastAsia="es-ES"/>
        </w:rPr>
        <w:t xml:space="preserve"> </w:t>
      </w:r>
      <w:r w:rsidRPr="004204B2">
        <w:rPr>
          <w:rFonts w:ascii="Verdana" w:hAnsi="Verdana"/>
          <w:sz w:val="16"/>
          <w:szCs w:val="16"/>
          <w:vertAlign w:val="superscript"/>
        </w:rPr>
        <w:t xml:space="preserve"> </w:t>
      </w:r>
      <w:r w:rsidRPr="004204B2">
        <w:rPr>
          <w:rFonts w:ascii="Verdana" w:hAnsi="Verdana"/>
          <w:bCs/>
          <w:i/>
          <w:sz w:val="16"/>
          <w:szCs w:val="16"/>
          <w:lang w:eastAsia="ja-JP"/>
        </w:rPr>
        <w:tab/>
        <w:t xml:space="preserve">Case of Huilca </w:t>
      </w:r>
      <w:r w:rsidRPr="004204B2">
        <w:rPr>
          <w:rFonts w:ascii="Verdana" w:hAnsi="Verdana"/>
          <w:bCs/>
          <w:i/>
          <w:sz w:val="16"/>
          <w:szCs w:val="16"/>
          <w:lang w:eastAsia="ja-JP"/>
        </w:rPr>
        <w:t xml:space="preserve">Tecse v. Peru, supra, </w:t>
      </w:r>
      <w:r w:rsidRPr="004204B2">
        <w:rPr>
          <w:rFonts w:ascii="Verdana" w:hAnsi="Verdana"/>
          <w:bCs/>
          <w:sz w:val="16"/>
          <w:szCs w:val="16"/>
          <w:lang w:eastAsia="ja-JP"/>
        </w:rPr>
        <w:t xml:space="preserve">para. 69. </w:t>
      </w:r>
    </w:p>
  </w:footnote>
  <w:footnote w:id="329">
    <w:p w14:paraId="7EDD2AFE" w14:textId="5762F5C1" w:rsidR="0068647C" w:rsidRPr="000E696E" w:rsidRDefault="0068647C" w:rsidP="00D61BD2">
      <w:pPr>
        <w:pStyle w:val="Textonotapie"/>
      </w:pPr>
      <w:r w:rsidRPr="000E696E">
        <w:rPr>
          <w:rStyle w:val="Refdenotaalpie"/>
          <w:sz w:val="16"/>
        </w:rPr>
        <w:footnoteRef/>
      </w:r>
      <w:r w:rsidRPr="004204B2">
        <w:rPr>
          <w:vertAlign w:val="superscript"/>
          <w:lang w:val="es-CR"/>
        </w:rPr>
        <w:t xml:space="preserve"> </w:t>
      </w:r>
      <w:r w:rsidRPr="004204B2">
        <w:rPr>
          <w:lang w:val="es-CR"/>
        </w:rPr>
        <w:tab/>
      </w:r>
      <w:r w:rsidRPr="004204B2">
        <w:rPr>
          <w:i/>
          <w:iCs/>
          <w:lang w:val="es-CR"/>
        </w:rPr>
        <w:t xml:space="preserve">Case of Huilca </w:t>
      </w:r>
      <w:r w:rsidRPr="004204B2">
        <w:rPr>
          <w:i/>
          <w:iCs/>
          <w:lang w:val="es-CR"/>
        </w:rPr>
        <w:t>Tecse v. Peru, supra,</w:t>
      </w:r>
      <w:r w:rsidRPr="004204B2">
        <w:rPr>
          <w:lang w:val="es-CR"/>
        </w:rPr>
        <w:t xml:space="preserve"> paras. </w:t>
      </w:r>
      <w:r w:rsidRPr="000E696E">
        <w:t>70, 71 and 72.</w:t>
      </w:r>
    </w:p>
  </w:footnote>
  <w:footnote w:id="330">
    <w:p w14:paraId="05C74CA3" w14:textId="32EEEC68" w:rsidR="0068647C" w:rsidRPr="000E696E" w:rsidRDefault="0068647C" w:rsidP="00D61BD2">
      <w:pPr>
        <w:pStyle w:val="Textonotapie"/>
      </w:pPr>
      <w:r w:rsidRPr="000E696E">
        <w:rPr>
          <w:rStyle w:val="Refdenotaalpie"/>
          <w:sz w:val="16"/>
        </w:rPr>
        <w:footnoteRef/>
      </w:r>
      <w:r w:rsidRPr="000E696E">
        <w:rPr>
          <w:vertAlign w:val="superscript"/>
        </w:rPr>
        <w:t xml:space="preserve"> </w:t>
      </w:r>
      <w:r w:rsidRPr="000E696E">
        <w:tab/>
      </w:r>
      <w:r w:rsidRPr="000E696E">
        <w:rPr>
          <w:i/>
          <w:iCs/>
        </w:rPr>
        <w:t>Case of Huilca Tecse v. Peru, supra,</w:t>
      </w:r>
      <w:r w:rsidRPr="000E696E">
        <w:t xml:space="preserve"> para.74. </w:t>
      </w:r>
    </w:p>
  </w:footnote>
  <w:footnote w:id="331">
    <w:p w14:paraId="49D3AE27" w14:textId="214515C4" w:rsidR="0068647C" w:rsidRPr="004204B2" w:rsidRDefault="0068647C" w:rsidP="00D61BD2">
      <w:pPr>
        <w:pStyle w:val="Textonotapie"/>
        <w:rPr>
          <w:lang w:val="es-CR"/>
        </w:rPr>
      </w:pPr>
      <w:r w:rsidRPr="000E696E">
        <w:rPr>
          <w:rStyle w:val="Refdenotaalpie"/>
          <w:sz w:val="16"/>
        </w:rPr>
        <w:footnoteRef/>
      </w:r>
      <w:r w:rsidRPr="004204B2">
        <w:rPr>
          <w:vertAlign w:val="superscript"/>
          <w:lang w:val="es-CR"/>
        </w:rPr>
        <w:t xml:space="preserve"> </w:t>
      </w:r>
      <w:r w:rsidRPr="004204B2">
        <w:rPr>
          <w:lang w:val="es-CR"/>
        </w:rPr>
        <w:tab/>
      </w:r>
      <w:r w:rsidRPr="004204B2">
        <w:rPr>
          <w:i/>
          <w:iCs/>
          <w:lang w:val="es-CR"/>
        </w:rPr>
        <w:t xml:space="preserve">Case of Cantoral Huamaní and García Santa Cruz v. </w:t>
      </w:r>
      <w:r w:rsidRPr="004204B2">
        <w:rPr>
          <w:i/>
          <w:iCs/>
          <w:lang w:val="es-CR"/>
        </w:rPr>
        <w:t>Peru, supra,</w:t>
      </w:r>
      <w:r w:rsidRPr="004204B2">
        <w:rPr>
          <w:lang w:val="es-CR"/>
        </w:rPr>
        <w:t xml:space="preserve"> para. 148. </w:t>
      </w:r>
    </w:p>
  </w:footnote>
  <w:footnote w:id="332">
    <w:p w14:paraId="58CCFD10" w14:textId="050D528A" w:rsidR="0068647C" w:rsidRPr="000E696E" w:rsidRDefault="0068647C" w:rsidP="00D61BD2">
      <w:pPr>
        <w:pStyle w:val="Textonotapie"/>
      </w:pPr>
      <w:r w:rsidRPr="000E696E">
        <w:rPr>
          <w:rStyle w:val="Refdenotaalpie"/>
          <w:sz w:val="16"/>
        </w:rPr>
        <w:footnoteRef/>
      </w:r>
      <w:r w:rsidRPr="004204B2">
        <w:rPr>
          <w:vertAlign w:val="superscript"/>
          <w:lang w:val="es-CR"/>
        </w:rPr>
        <w:t xml:space="preserve"> </w:t>
      </w:r>
      <w:r w:rsidRPr="004204B2">
        <w:rPr>
          <w:lang w:val="es-CR"/>
        </w:rPr>
        <w:tab/>
      </w:r>
      <w:r w:rsidRPr="004204B2">
        <w:rPr>
          <w:i/>
          <w:iCs/>
          <w:lang w:val="es-CR"/>
        </w:rPr>
        <w:t xml:space="preserve">Case of Cantoral Huamaní and García Santa Cruz v. </w:t>
      </w:r>
      <w:r w:rsidRPr="004204B2">
        <w:rPr>
          <w:i/>
          <w:iCs/>
          <w:lang w:val="es-CR"/>
        </w:rPr>
        <w:t>Peru, supra,</w:t>
      </w:r>
      <w:r w:rsidRPr="004204B2">
        <w:rPr>
          <w:lang w:val="es-CR"/>
        </w:rPr>
        <w:t xml:space="preserve"> para. </w:t>
      </w:r>
      <w:r w:rsidRPr="000E696E">
        <w:t xml:space="preserve">144. </w:t>
      </w:r>
    </w:p>
  </w:footnote>
  <w:footnote w:id="333">
    <w:p w14:paraId="4B15220F" w14:textId="4ED79B57" w:rsidR="0068647C" w:rsidRPr="000E696E" w:rsidRDefault="0068647C" w:rsidP="00D61BD2">
      <w:pPr>
        <w:pStyle w:val="Textonotapie"/>
      </w:pPr>
      <w:r w:rsidRPr="000E696E">
        <w:rPr>
          <w:rStyle w:val="Refdenotaalpie"/>
          <w:sz w:val="16"/>
        </w:rPr>
        <w:footnoteRef/>
      </w:r>
      <w:r w:rsidRPr="000E696E">
        <w:rPr>
          <w:vertAlign w:val="superscript"/>
        </w:rPr>
        <w:t xml:space="preserve"> </w:t>
      </w:r>
      <w:r w:rsidRPr="000E696E">
        <w:tab/>
      </w:r>
      <w:r w:rsidRPr="000E696E">
        <w:rPr>
          <w:i/>
          <w:iCs/>
        </w:rPr>
        <w:t>Entitlement of Legal Entities to Hold Rights under the Inter-American Human Rights System (Interpretation and scope of Article 1(2), in relation to Articles 1(1), 8, 11(2), 13, 16, 21, 24, 25, 29, 30, 44, 46, and 62(3) of the American Convention on Human Rights, as well as of Article 8(1) A and B of the Protocol of San Salvador).</w:t>
      </w:r>
      <w:r w:rsidRPr="000E696E">
        <w:t xml:space="preserve"> Advisory Opinion OC-22/16 of February 26, 2016. Series A No. 22, para. 92. </w:t>
      </w:r>
    </w:p>
  </w:footnote>
  <w:footnote w:id="334">
    <w:p w14:paraId="17D95C9F" w14:textId="6FA2F37F"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Case of Lagos del Campo v. Peru, supra,</w:t>
      </w:r>
      <w:r w:rsidRPr="000E696E">
        <w:t xml:space="preserve"> para. 162.</w:t>
      </w:r>
    </w:p>
  </w:footnote>
  <w:footnote w:id="335">
    <w:p w14:paraId="08C2ED06" w14:textId="2F378DE1"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t xml:space="preserve">In this regard, it should be noted that the judgment itself recognizes, in a synergetic manner, the relationship that exists between the American Declaration of the Rights and Duties of Man, the OAS Charter, the Inter-American Democratic Charter and the 1971 Convention on Workers’ Representatives, which also protects the right of workers to associate to defend their interests. </w:t>
      </w:r>
      <w:r w:rsidRPr="004204B2">
        <w:rPr>
          <w:i/>
          <w:lang w:val="es-CR"/>
        </w:rPr>
        <w:t xml:space="preserve">Cf. Case of Lagos del Campo v. </w:t>
      </w:r>
      <w:r w:rsidRPr="004204B2">
        <w:rPr>
          <w:i/>
          <w:lang w:val="es-CR"/>
        </w:rPr>
        <w:t>Peru, supra</w:t>
      </w:r>
      <w:r w:rsidRPr="004204B2">
        <w:rPr>
          <w:lang w:val="es-CR"/>
        </w:rPr>
        <w:t xml:space="preserve">, para. 158 and footnote 230. </w:t>
      </w:r>
    </w:p>
  </w:footnote>
  <w:footnote w:id="336">
    <w:p w14:paraId="390BA791" w14:textId="0DC58BB7"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 157. </w:t>
      </w:r>
    </w:p>
  </w:footnote>
  <w:footnote w:id="337">
    <w:p w14:paraId="0F283BD9" w14:textId="68F84A4A" w:rsidR="0068647C" w:rsidRPr="000E696E" w:rsidRDefault="0068647C" w:rsidP="00D61BD2">
      <w:pPr>
        <w:pStyle w:val="Textonotapie"/>
      </w:pPr>
      <w:r w:rsidRPr="000E696E">
        <w:rPr>
          <w:rStyle w:val="Refdenotaalpie"/>
          <w:sz w:val="16"/>
        </w:rPr>
        <w:footnoteRef/>
      </w:r>
      <w:r w:rsidRPr="004204B2">
        <w:rPr>
          <w:vertAlign w:val="superscript"/>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 157; </w:t>
      </w:r>
      <w:r w:rsidRPr="004204B2">
        <w:rPr>
          <w:rStyle w:val="Textoennegrita"/>
          <w:b w:val="0"/>
          <w:i/>
          <w:color w:val="000000"/>
          <w:shd w:val="clear" w:color="auto" w:fill="FFFFFF"/>
          <w:lang w:val="es-CR"/>
        </w:rPr>
        <w:t xml:space="preserve">Case of Baena Ricardo et al. v. Panama, supra, </w:t>
      </w:r>
      <w:r w:rsidRPr="004204B2">
        <w:rPr>
          <w:rStyle w:val="Textoennegrita"/>
          <w:b w:val="0"/>
          <w:color w:val="000000"/>
          <w:shd w:val="clear" w:color="auto" w:fill="FFFFFF"/>
          <w:lang w:val="es-CR"/>
        </w:rPr>
        <w:t>paras. 156 and 158</w:t>
      </w:r>
      <w:r w:rsidRPr="004204B2">
        <w:rPr>
          <w:bCs/>
          <w:lang w:val="es-CR"/>
        </w:rPr>
        <w:t xml:space="preserve">; </w:t>
      </w:r>
      <w:r w:rsidRPr="004204B2">
        <w:rPr>
          <w:i/>
          <w:lang w:val="es-CR"/>
        </w:rPr>
        <w:t>Case of Huilca Tecse v. Peru, supra,</w:t>
      </w:r>
      <w:r w:rsidRPr="004204B2">
        <w:rPr>
          <w:lang w:val="es-CR"/>
        </w:rPr>
        <w:t xml:space="preserve"> paras. 67, 69, 70, 73, 75, 77, and </w:t>
      </w:r>
      <w:r w:rsidRPr="004204B2">
        <w:rPr>
          <w:i/>
          <w:lang w:val="es-CR"/>
        </w:rPr>
        <w:t xml:space="preserve">Case of Cantoral Huamaní and García Santa Cruz v. Peru, supra, </w:t>
      </w:r>
      <w:r w:rsidRPr="004204B2">
        <w:rPr>
          <w:iCs/>
          <w:lang w:val="es-CR"/>
        </w:rPr>
        <w:t>paras.</w:t>
      </w:r>
      <w:r w:rsidRPr="004204B2">
        <w:rPr>
          <w:lang w:val="es-CR"/>
        </w:rPr>
        <w:t xml:space="preserve"> </w:t>
      </w:r>
      <w:r w:rsidRPr="000E696E">
        <w:t xml:space="preserve">144, 145, 146 and </w:t>
      </w:r>
      <w:r w:rsidRPr="000E696E">
        <w:rPr>
          <w:i/>
          <w:iCs/>
        </w:rPr>
        <w:t>Cf.</w:t>
      </w:r>
      <w:r w:rsidRPr="000E696E">
        <w:t xml:space="preserve"> ILO. Convention No. 87 on </w:t>
      </w:r>
      <w:r w:rsidRPr="000E696E">
        <w:rPr>
          <w:iCs/>
        </w:rPr>
        <w:t>Freedom of Association and Protection of the Right to Organize</w:t>
      </w:r>
      <w:r w:rsidRPr="000E696E">
        <w:t xml:space="preserve">, of June 17, 1948, and Convention No. 98 on </w:t>
      </w:r>
      <w:r w:rsidRPr="000E696E">
        <w:rPr>
          <w:iCs/>
        </w:rPr>
        <w:t>Right to Organize and Collective Bargaining,</w:t>
      </w:r>
      <w:r w:rsidRPr="000E696E">
        <w:t xml:space="preserve"> of June 8, 1949.</w:t>
      </w:r>
    </w:p>
  </w:footnote>
  <w:footnote w:id="338">
    <w:p w14:paraId="158CA2F7" w14:textId="2F937C7E" w:rsidR="0068647C" w:rsidRPr="000E696E" w:rsidRDefault="0068647C" w:rsidP="00AA1EBF">
      <w:pPr>
        <w:pStyle w:val="NormalWeb"/>
        <w:spacing w:before="0" w:beforeAutospacing="0" w:after="60" w:afterAutospacing="0"/>
        <w:jc w:val="both"/>
        <w:rPr>
          <w:rFonts w:ascii="Verdana" w:hAnsi="Verdana"/>
          <w:sz w:val="16"/>
          <w:szCs w:val="16"/>
          <w:lang w:val="en-US"/>
        </w:rPr>
      </w:pPr>
      <w:r w:rsidRPr="000E696E">
        <w:rPr>
          <w:rStyle w:val="Refdenotaalpie"/>
          <w:rFonts w:eastAsia="Batang"/>
          <w:sz w:val="16"/>
          <w:szCs w:val="16"/>
          <w:lang w:val="en-US" w:eastAsia="es-ES"/>
        </w:rPr>
        <w:footnoteRef/>
      </w:r>
      <w:r w:rsidRPr="000E696E">
        <w:rPr>
          <w:rStyle w:val="Refdenotaalpie"/>
          <w:rFonts w:eastAsia="Batang"/>
          <w:sz w:val="16"/>
          <w:szCs w:val="16"/>
          <w:lang w:val="en-US" w:eastAsia="es-ES"/>
        </w:rPr>
        <w:t xml:space="preserve"> </w:t>
      </w:r>
      <w:r w:rsidRPr="000E696E">
        <w:rPr>
          <w:rFonts w:ascii="Verdana" w:hAnsi="Verdana"/>
          <w:sz w:val="16"/>
          <w:szCs w:val="16"/>
          <w:lang w:val="en-US"/>
        </w:rPr>
        <w:tab/>
        <w:t xml:space="preserve">Consequently, the Court considered that the most favorable interpretation </w:t>
      </w:r>
      <w:r w:rsidRPr="000E696E">
        <w:rPr>
          <w:rFonts w:ascii="Verdana" w:hAnsi="Verdana"/>
          <w:sz w:val="16"/>
          <w:szCs w:val="16"/>
          <w:u w:val="single"/>
          <w:lang w:val="en-US"/>
        </w:rPr>
        <w:t xml:space="preserve">of Article 8(1)(a) entailed understanding that it </w:t>
      </w:r>
      <w:r w:rsidRPr="000E696E">
        <w:rPr>
          <w:rFonts w:ascii="Verdana" w:hAnsi="Verdana"/>
          <w:b/>
          <w:sz w:val="16"/>
          <w:szCs w:val="16"/>
          <w:u w:val="single"/>
          <w:lang w:val="en-US"/>
        </w:rPr>
        <w:t>establishes rights</w:t>
      </w:r>
      <w:r w:rsidRPr="000E696E">
        <w:rPr>
          <w:rFonts w:ascii="Verdana" w:hAnsi="Verdana"/>
          <w:sz w:val="16"/>
          <w:szCs w:val="16"/>
          <w:u w:val="single"/>
          <w:lang w:val="en-US"/>
        </w:rPr>
        <w:t xml:space="preserve"> in favor of trade unions, federations and confederations,</w:t>
      </w:r>
      <w:r w:rsidRPr="000E696E">
        <w:rPr>
          <w:rFonts w:ascii="Verdana" w:hAnsi="Verdana"/>
          <w:sz w:val="16"/>
          <w:szCs w:val="16"/>
          <w:lang w:val="en-US"/>
        </w:rPr>
        <w:t xml:space="preserve"> because they are interlocutors of their members and seek to safeguard and ensure their rights and interests. Reaching any other conclusion would mean excluding the effects of the OAS Charter and, consequently, prejudicing the effective enjoyment of the rights it recognizes. </w:t>
      </w:r>
      <w:r w:rsidRPr="000E696E">
        <w:rPr>
          <w:rFonts w:ascii="Verdana" w:hAnsi="Verdana"/>
          <w:i/>
          <w:iCs/>
          <w:sz w:val="16"/>
          <w:szCs w:val="16"/>
          <w:lang w:val="en-US"/>
        </w:rPr>
        <w:t>Entitlement of Legal Entities to Hold Rights under the Inter-American Human Rights System (Interpretation and scope of Article 1(2), in relation to Articles 1(1), 8, 11(2), 13, 16, 21, 24, 25, 29, 30, 44, 46, and 62(3) of the American Convention on Human Rights, as well as of Article 8(1) A and B of the Protocol of San Salvador).</w:t>
      </w:r>
      <w:r w:rsidRPr="000E696E">
        <w:rPr>
          <w:rFonts w:ascii="Verdana" w:hAnsi="Verdana"/>
          <w:sz w:val="16"/>
          <w:szCs w:val="16"/>
          <w:lang w:val="en-US"/>
        </w:rPr>
        <w:t xml:space="preserve"> </w:t>
      </w:r>
      <w:r w:rsidRPr="000E696E">
        <w:rPr>
          <w:rFonts w:ascii="Verdana" w:hAnsi="Verdana" w:cs="Verdana"/>
          <w:bCs/>
          <w:i/>
          <w:sz w:val="16"/>
          <w:szCs w:val="16"/>
          <w:lang w:val="en-US"/>
        </w:rPr>
        <w:t>OC-22/16, supra</w:t>
      </w:r>
      <w:r w:rsidRPr="000E696E">
        <w:rPr>
          <w:rFonts w:ascii="Verdana" w:hAnsi="Verdana" w:cs="Verdana"/>
          <w:bCs/>
          <w:sz w:val="16"/>
          <w:szCs w:val="16"/>
          <w:lang w:val="en-US"/>
        </w:rPr>
        <w:t xml:space="preserve">, para. </w:t>
      </w:r>
      <w:r w:rsidRPr="000E696E">
        <w:rPr>
          <w:rFonts w:ascii="Verdana" w:hAnsi="Verdana"/>
          <w:sz w:val="16"/>
          <w:szCs w:val="16"/>
          <w:lang w:val="en-US"/>
        </w:rPr>
        <w:t>97.</w:t>
      </w:r>
    </w:p>
  </w:footnote>
  <w:footnote w:id="339">
    <w:p w14:paraId="4F549ADF" w14:textId="2D0907FE" w:rsidR="0068647C" w:rsidRPr="000E696E" w:rsidRDefault="0068647C" w:rsidP="00D61BD2">
      <w:pPr>
        <w:pStyle w:val="Textonotapie"/>
      </w:pPr>
      <w:r w:rsidRPr="000E696E">
        <w:rPr>
          <w:rStyle w:val="Refdenotaalpie"/>
          <w:sz w:val="16"/>
        </w:rPr>
        <w:footnoteRef/>
      </w:r>
      <w:r w:rsidRPr="000E696E">
        <w:t xml:space="preserve"> </w:t>
      </w:r>
      <w:r w:rsidRPr="000E696E">
        <w:tab/>
      </w:r>
      <w:r w:rsidRPr="000E696E">
        <w:rPr>
          <w:i/>
          <w:iCs/>
        </w:rPr>
        <w:t>Entitlement of Legal Entities to Hold Rights under the Inter-American Human Rights System (Interpretation and scope of Article 1(2), in relation to Articles 1(1), 8, 11(2), 13, 16, 21, 24, 25, 29, 30, 44, 46, and 62(3) of the American Convention on Human Rights, as well as of Article 8(1) A and B of the Protocol of San Salvador).</w:t>
      </w:r>
      <w:r w:rsidRPr="000E696E">
        <w:t xml:space="preserve"> OC-22/16, supra, para. 101 and 102. </w:t>
      </w:r>
    </w:p>
  </w:footnote>
  <w:footnote w:id="340">
    <w:p w14:paraId="7BC63F3D" w14:textId="1B7EAD0C" w:rsidR="0068647C" w:rsidRPr="000E696E" w:rsidRDefault="0068647C" w:rsidP="00D61BD2">
      <w:pPr>
        <w:pStyle w:val="Textonotapie"/>
        <w:rPr>
          <w:b/>
        </w:rPr>
      </w:pPr>
      <w:r w:rsidRPr="000E696E">
        <w:rPr>
          <w:rStyle w:val="Refdenotaalpie"/>
          <w:sz w:val="16"/>
        </w:rPr>
        <w:footnoteRef/>
      </w:r>
      <w:r w:rsidRPr="000E696E">
        <w:t xml:space="preserve"> </w:t>
      </w:r>
      <w:r w:rsidRPr="000E696E">
        <w:tab/>
      </w:r>
      <w:r w:rsidRPr="000E696E">
        <w:rPr>
          <w:i/>
        </w:rPr>
        <w:t>Cf.</w:t>
      </w:r>
      <w:r w:rsidRPr="000E696E">
        <w:t xml:space="preserve"> </w:t>
      </w:r>
      <w:r w:rsidRPr="000E696E">
        <w:rPr>
          <w:i/>
          <w:iCs/>
        </w:rPr>
        <w:t>The Right to Information on Consular Assistance within the Framework of the Guarantees of Due Process of Law.</w:t>
      </w:r>
      <w:r w:rsidRPr="000E696E">
        <w:t xml:space="preserve">  Advisory Opinion OC-16/99 of October 1, 1999. Series A No. 16, para. 114.</w:t>
      </w:r>
      <w:r w:rsidRPr="000E696E">
        <w:rPr>
          <w:b/>
        </w:rPr>
        <w:t xml:space="preserve"> </w:t>
      </w:r>
    </w:p>
  </w:footnote>
  <w:footnote w:id="341">
    <w:p w14:paraId="7F750C61" w14:textId="062D8030" w:rsidR="0068647C" w:rsidRPr="000E696E" w:rsidRDefault="0068647C" w:rsidP="00D61BD2">
      <w:pPr>
        <w:pStyle w:val="Textonotapie"/>
        <w:rPr>
          <w:rFonts w:cs="Verdana"/>
          <w:bCs/>
        </w:rPr>
      </w:pPr>
      <w:r w:rsidRPr="000E696E">
        <w:rPr>
          <w:rStyle w:val="Refdenotaalpie"/>
          <w:sz w:val="16"/>
        </w:rPr>
        <w:footnoteRef/>
      </w:r>
      <w:r w:rsidRPr="000E696E">
        <w:t xml:space="preserve"> </w:t>
      </w:r>
      <w:r w:rsidRPr="000E696E">
        <w:tab/>
        <w:t xml:space="preserve">For example, this has been reflected in case law on indigenous matters in relation to Article 21 of the American Convention, </w:t>
      </w:r>
      <w:r w:rsidRPr="000E696E">
        <w:rPr>
          <w:i/>
        </w:rPr>
        <w:t xml:space="preserve">Cf. </w:t>
      </w:r>
      <w:r w:rsidRPr="000E696E">
        <w:rPr>
          <w:rFonts w:cs="Verdana"/>
          <w:bCs/>
          <w:i/>
        </w:rPr>
        <w:t>Case of the Mayagna (Sumo) Awas Tingni Community v. Nicaragua. Merits, reparations and costs.</w:t>
      </w:r>
      <w:r w:rsidRPr="000E696E">
        <w:rPr>
          <w:rFonts w:cs="Verdana"/>
          <w:bCs/>
        </w:rPr>
        <w:t xml:space="preserve"> Judgment of August 31, 2001. Series C No. 79 and </w:t>
      </w:r>
      <w:r w:rsidRPr="000E696E">
        <w:rPr>
          <w:rFonts w:cs="Verdana"/>
          <w:bCs/>
          <w:i/>
        </w:rPr>
        <w:t>Case of the Kaliña and Lokono Peoples v. Suriname. Merits, reparations and costs.</w:t>
      </w:r>
      <w:r w:rsidRPr="000E696E">
        <w:rPr>
          <w:rFonts w:cs="Verdana"/>
          <w:bCs/>
        </w:rPr>
        <w:t xml:space="preserve"> Judgment of November 25, 2015. Series C No. 309.</w:t>
      </w:r>
    </w:p>
  </w:footnote>
  <w:footnote w:id="342">
    <w:p w14:paraId="4868E3CB" w14:textId="0E1E8263" w:rsidR="0068647C" w:rsidRPr="000E696E" w:rsidRDefault="0068647C" w:rsidP="00D61BD2">
      <w:pPr>
        <w:pStyle w:val="Textonotapie"/>
      </w:pPr>
      <w:r w:rsidRPr="000E696E">
        <w:rPr>
          <w:rStyle w:val="Refdenotaalpie"/>
          <w:sz w:val="16"/>
        </w:rPr>
        <w:footnoteRef/>
      </w:r>
      <w:r w:rsidRPr="000E696E">
        <w:t xml:space="preserve"> </w:t>
      </w:r>
      <w:r w:rsidRPr="000E696E">
        <w:tab/>
        <w:t xml:space="preserve">See particularly the construct developed by the Inter-American Court in the case of Gonzales Lluy with regard to the right to education. </w:t>
      </w:r>
      <w:r w:rsidRPr="004204B2">
        <w:rPr>
          <w:rFonts w:cs="Verdana"/>
          <w:bCs/>
          <w:i/>
          <w:lang w:val="es-CR"/>
        </w:rPr>
        <w:t xml:space="preserve">Case of Gonzales </w:t>
      </w:r>
      <w:r w:rsidRPr="004204B2">
        <w:rPr>
          <w:rFonts w:cs="Verdana"/>
          <w:bCs/>
          <w:i/>
          <w:lang w:val="es-CR"/>
        </w:rPr>
        <w:t xml:space="preserve">Lluy et al. v. Ecuador, supra, </w:t>
      </w:r>
      <w:r w:rsidRPr="004204B2">
        <w:rPr>
          <w:rFonts w:cs="Verdana"/>
          <w:bCs/>
          <w:lang w:val="es-CR"/>
        </w:rPr>
        <w:t xml:space="preserve">paras. </w:t>
      </w:r>
      <w:r w:rsidRPr="000E696E">
        <w:rPr>
          <w:rFonts w:cs="Verdana"/>
          <w:bCs/>
        </w:rPr>
        <w:t>233 to 291.</w:t>
      </w:r>
      <w:r w:rsidRPr="000E696E">
        <w:rPr>
          <w:rFonts w:cs="Verdana"/>
          <w:b/>
          <w:bCs/>
        </w:rPr>
        <w:t xml:space="preserve">   </w:t>
      </w:r>
      <w:r w:rsidRPr="000E696E">
        <w:t xml:space="preserve"> </w:t>
      </w:r>
    </w:p>
  </w:footnote>
  <w:footnote w:id="343">
    <w:p w14:paraId="0BD9E5E0" w14:textId="74EBDFB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There are nuances even in the area of labor matters: for example, there may be people who work in an organization or association who are prevented from performing their work, which would mean that their work-related right to freedom of association had been infringed. However, in the case of Lagos del Campos, </w:t>
      </w:r>
      <w:r w:rsidRPr="000E696E">
        <w:rPr>
          <w:u w:val="single"/>
        </w:rPr>
        <w:t>the purpose was the defense and promotion of his labor-related interests, which made even more specific the right to labor-related freedom of association for labor-related contexts of non-trade union labor associations.</w:t>
      </w:r>
    </w:p>
  </w:footnote>
  <w:footnote w:id="344">
    <w:p w14:paraId="6261E509" w14:textId="269AEC11" w:rsidR="0068647C" w:rsidRPr="004204B2" w:rsidRDefault="0068647C" w:rsidP="00AA1EBF">
      <w:pPr>
        <w:pStyle w:val="NormalWeb"/>
        <w:spacing w:before="0" w:beforeAutospacing="0" w:after="60" w:afterAutospacing="0"/>
        <w:jc w:val="both"/>
        <w:rPr>
          <w:rFonts w:ascii="Verdana" w:hAnsi="Verdana"/>
          <w:sz w:val="16"/>
          <w:szCs w:val="16"/>
        </w:rPr>
      </w:pPr>
      <w:r w:rsidRPr="000E696E">
        <w:rPr>
          <w:rStyle w:val="Refdenotaalpie"/>
          <w:rFonts w:eastAsiaTheme="majorEastAsia"/>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hAnsi="Verdana"/>
          <w:bCs/>
          <w:i/>
          <w:sz w:val="16"/>
          <w:szCs w:val="16"/>
          <w:lang w:val="en-US"/>
        </w:rPr>
        <w:t>Case of Kawas Fernández v. Honduras. Merits, reparations and costs</w:t>
      </w:r>
      <w:r w:rsidRPr="000E696E">
        <w:rPr>
          <w:rFonts w:ascii="Verdana" w:hAnsi="Verdana"/>
          <w:bCs/>
          <w:sz w:val="16"/>
          <w:szCs w:val="16"/>
          <w:lang w:val="en-US"/>
        </w:rPr>
        <w:t xml:space="preserve">. Judgment of April 3, 2009. </w:t>
      </w:r>
      <w:r w:rsidRPr="004204B2">
        <w:rPr>
          <w:rFonts w:ascii="Verdana" w:hAnsi="Verdana"/>
          <w:bCs/>
          <w:sz w:val="16"/>
          <w:szCs w:val="16"/>
        </w:rPr>
        <w:t>Series C No. 196, para. 151.</w:t>
      </w:r>
      <w:r w:rsidRPr="004204B2">
        <w:rPr>
          <w:rFonts w:ascii="Verdana" w:hAnsi="Verdana"/>
          <w:sz w:val="16"/>
          <w:szCs w:val="16"/>
        </w:rPr>
        <w:t xml:space="preserve"> </w:t>
      </w:r>
    </w:p>
  </w:footnote>
  <w:footnote w:id="345">
    <w:p w14:paraId="6CCFFFC9" w14:textId="6F8F84F6"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Cs/>
          <w:lang w:val="es-CR"/>
        </w:rPr>
        <w:t xml:space="preserve">Cf. </w:t>
      </w:r>
      <w:r w:rsidRPr="004204B2">
        <w:rPr>
          <w:i/>
          <w:lang w:val="es-CR"/>
        </w:rPr>
        <w:t xml:space="preserve">Case of </w:t>
      </w:r>
      <w:r w:rsidRPr="004204B2">
        <w:rPr>
          <w:i/>
          <w:lang w:val="es-CR"/>
        </w:rPr>
        <w:t>Kawas Fernández v. Honduras, supra</w:t>
      </w:r>
      <w:r w:rsidRPr="004204B2">
        <w:rPr>
          <w:lang w:val="es-CR"/>
        </w:rPr>
        <w:t>, para. 149.</w:t>
      </w:r>
    </w:p>
  </w:footnote>
  <w:footnote w:id="346">
    <w:p w14:paraId="1FF755F0" w14:textId="686AAB31" w:rsidR="0068647C" w:rsidRPr="004204B2" w:rsidRDefault="0068647C" w:rsidP="00C86693">
      <w:pPr>
        <w:tabs>
          <w:tab w:val="left" w:pos="720"/>
        </w:tabs>
        <w:spacing w:after="60"/>
        <w:rPr>
          <w:rFonts w:ascii="Verdana" w:eastAsia="Times New Roman" w:hAnsi="Verdana"/>
          <w:i/>
          <w:iCs/>
          <w:sz w:val="16"/>
          <w:szCs w:val="16"/>
          <w:lang w:val="es-CR"/>
        </w:rPr>
      </w:pPr>
      <w:r w:rsidRPr="000E696E">
        <w:rPr>
          <w:rStyle w:val="Refdenotaalpie"/>
          <w:sz w:val="16"/>
          <w:szCs w:val="16"/>
          <w:lang w:val="en-US"/>
        </w:rPr>
        <w:footnoteRef/>
      </w:r>
      <w:r w:rsidRPr="004204B2">
        <w:rPr>
          <w:rFonts w:ascii="Verdana" w:hAnsi="Verdana"/>
          <w:sz w:val="16"/>
          <w:szCs w:val="16"/>
          <w:lang w:val="es-CR"/>
        </w:rPr>
        <w:t xml:space="preserve"> </w:t>
      </w:r>
      <w:r w:rsidRPr="004204B2">
        <w:rPr>
          <w:rFonts w:ascii="Verdana" w:hAnsi="Verdana"/>
          <w:i/>
          <w:iCs/>
          <w:sz w:val="16"/>
          <w:szCs w:val="16"/>
          <w:lang w:val="es-CR"/>
        </w:rPr>
        <w:tab/>
        <w:t xml:space="preserve">Cf. </w:t>
      </w:r>
      <w:r w:rsidRPr="004204B2">
        <w:rPr>
          <w:rFonts w:ascii="Verdana" w:eastAsia="Times New Roman" w:hAnsi="Verdana"/>
          <w:bCs/>
          <w:i/>
          <w:iCs/>
          <w:sz w:val="16"/>
          <w:szCs w:val="16"/>
          <w:lang w:val="es-CR"/>
        </w:rPr>
        <w:t xml:space="preserve">Case of </w:t>
      </w:r>
      <w:r w:rsidRPr="004204B2">
        <w:rPr>
          <w:rFonts w:ascii="Verdana" w:eastAsia="Times New Roman" w:hAnsi="Verdana"/>
          <w:bCs/>
          <w:i/>
          <w:iCs/>
          <w:sz w:val="16"/>
          <w:szCs w:val="16"/>
          <w:lang w:val="es-CR"/>
        </w:rPr>
        <w:t xml:space="preserve">Kawas Fernández v. Honduras, supra, </w:t>
      </w:r>
      <w:r w:rsidRPr="004204B2">
        <w:rPr>
          <w:rFonts w:ascii="Verdana" w:eastAsia="Times New Roman" w:hAnsi="Verdana"/>
          <w:bCs/>
          <w:sz w:val="16"/>
          <w:szCs w:val="16"/>
          <w:lang w:val="es-CR"/>
        </w:rPr>
        <w:t>para. 146</w:t>
      </w:r>
      <w:r w:rsidRPr="004204B2">
        <w:rPr>
          <w:rFonts w:ascii="Verdana" w:eastAsia="Times New Roman" w:hAnsi="Verdana"/>
          <w:bCs/>
          <w:i/>
          <w:iCs/>
          <w:sz w:val="16"/>
          <w:szCs w:val="16"/>
          <w:lang w:val="es-CR"/>
        </w:rPr>
        <w:t xml:space="preserve">. </w:t>
      </w:r>
    </w:p>
  </w:footnote>
  <w:footnote w:id="347">
    <w:p w14:paraId="6EA8A810" w14:textId="449A9467"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 xml:space="preserve">Peru, supra, </w:t>
      </w:r>
      <w:r w:rsidRPr="004204B2">
        <w:rPr>
          <w:lang w:val="es-CR"/>
        </w:rPr>
        <w:t>para. 161.</w:t>
      </w:r>
    </w:p>
  </w:footnote>
  <w:footnote w:id="348">
    <w:p w14:paraId="5744506B" w14:textId="0E20824F"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 162.</w:t>
      </w:r>
    </w:p>
  </w:footnote>
  <w:footnote w:id="349">
    <w:p w14:paraId="72CDF435" w14:textId="2ED12ED0"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paras. 157 and 158. </w:t>
      </w:r>
    </w:p>
  </w:footnote>
  <w:footnote w:id="350">
    <w:p w14:paraId="621E7F33" w14:textId="026D99BD"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paras. 159 and 160.</w:t>
      </w:r>
    </w:p>
  </w:footnote>
  <w:footnote w:id="351">
    <w:p w14:paraId="4702C196" w14:textId="44D9A04E"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 157. </w:t>
      </w:r>
    </w:p>
  </w:footnote>
  <w:footnote w:id="352">
    <w:p w14:paraId="7D6F82A9" w14:textId="47D2025C"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paras. 158 and 163. </w:t>
      </w:r>
    </w:p>
  </w:footnote>
  <w:footnote w:id="353">
    <w:p w14:paraId="39F489A0" w14:textId="1F9C3CB7"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i/>
          <w:lang w:val="es-CR"/>
        </w:rPr>
        <w:t>Cf.</w:t>
      </w:r>
      <w:r w:rsidRPr="004204B2">
        <w:rPr>
          <w:lang w:val="es-CR"/>
        </w:rPr>
        <w:t xml:space="preserve"> </w:t>
      </w:r>
      <w:r w:rsidRPr="004204B2">
        <w:rPr>
          <w:i/>
          <w:iCs/>
          <w:lang w:val="es-CR"/>
        </w:rPr>
        <w:t xml:space="preserve">Case of Lagos del Campo v. </w:t>
      </w:r>
      <w:r w:rsidRPr="004204B2">
        <w:rPr>
          <w:i/>
          <w:iCs/>
          <w:lang w:val="es-CR"/>
        </w:rPr>
        <w:t>Peru, supra</w:t>
      </w:r>
      <w:r w:rsidRPr="004204B2">
        <w:rPr>
          <w:lang w:val="es-CR"/>
        </w:rPr>
        <w:t xml:space="preserve">, para. </w:t>
      </w:r>
      <w:r w:rsidRPr="000E696E">
        <w:t xml:space="preserve">158. </w:t>
      </w:r>
    </w:p>
  </w:footnote>
  <w:footnote w:id="354">
    <w:p w14:paraId="75509F1B" w14:textId="34DE756D" w:rsidR="0068647C" w:rsidRPr="000E696E" w:rsidRDefault="0068647C" w:rsidP="008E40D7">
      <w:pPr>
        <w:pStyle w:val="NormalWeb"/>
        <w:spacing w:before="0" w:beforeAutospacing="0" w:after="0" w:afterAutospacing="0"/>
        <w:jc w:val="both"/>
        <w:rPr>
          <w:rFonts w:ascii="Verdana" w:hAnsi="Verdana" w:cs="Arial"/>
          <w:bCs/>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The Protocol </w:t>
      </w:r>
      <w:r>
        <w:rPr>
          <w:rFonts w:ascii="Verdana" w:hAnsi="Verdana"/>
          <w:sz w:val="16"/>
          <w:szCs w:val="16"/>
          <w:lang w:val="en-US"/>
        </w:rPr>
        <w:t>of</w:t>
      </w:r>
      <w:r w:rsidRPr="000E696E">
        <w:rPr>
          <w:rFonts w:ascii="Verdana" w:hAnsi="Verdana"/>
          <w:sz w:val="16"/>
          <w:szCs w:val="16"/>
          <w:lang w:val="en-US"/>
        </w:rPr>
        <w:t xml:space="preserve"> San Salvador establishes: “Art. 6. </w:t>
      </w:r>
      <w:r w:rsidRPr="000E696E">
        <w:rPr>
          <w:rFonts w:ascii="Verdana" w:hAnsi="Verdana"/>
          <w:bCs/>
          <w:sz w:val="16"/>
          <w:szCs w:val="16"/>
          <w:lang w:val="en-US"/>
        </w:rPr>
        <w:t xml:space="preserve">Right to Work. 1. </w:t>
      </w:r>
      <w:r w:rsidRPr="000E696E">
        <w:rPr>
          <w:rFonts w:ascii="Verdana" w:hAnsi="Verdana" w:cs="Tahoma"/>
          <w:bCs/>
          <w:sz w:val="16"/>
          <w:szCs w:val="16"/>
          <w:lang w:val="en-US"/>
        </w:rPr>
        <w:t>Everyone has the right to work, which includes the opportunity to secure the means for living a dignified and decent existence by performing a freely elected or accepted lawful activity.</w:t>
      </w:r>
      <w:r w:rsidRPr="000E696E">
        <w:rPr>
          <w:rFonts w:ascii="Verdana" w:hAnsi="Verdana" w:cs="Arial"/>
          <w:bCs/>
          <w:sz w:val="16"/>
          <w:szCs w:val="16"/>
          <w:lang w:val="en-US"/>
        </w:rPr>
        <w:t xml:space="preserve"> </w:t>
      </w:r>
      <w:r w:rsidRPr="000E696E">
        <w:rPr>
          <w:rFonts w:ascii="Verdana" w:hAnsi="Verdana" w:cs="Tahoma"/>
          <w:bCs/>
          <w:sz w:val="16"/>
          <w:szCs w:val="16"/>
          <w:lang w:val="en-US"/>
        </w:rPr>
        <w:t>2. The State Parties undertake to adopt measures that will make the right to work fully effective, especially with regard to the achievement of full employment, vocational guidance, and the development of technical and vocational training projects, in particular those directed to the disabled. The States Parties also undertake to implement and strengthen programs that help to ensure suitable family care, so that women may enjoy a real opportunity to exercise the right to work.</w:t>
      </w:r>
      <w:r w:rsidRPr="000E696E">
        <w:rPr>
          <w:rFonts w:ascii="Verdana" w:hAnsi="Verdana"/>
          <w:sz w:val="16"/>
          <w:szCs w:val="16"/>
          <w:lang w:val="en-US"/>
        </w:rPr>
        <w:t>”</w:t>
      </w:r>
    </w:p>
  </w:footnote>
  <w:footnote w:id="355">
    <w:p w14:paraId="38E1ECD8" w14:textId="1B6C595F" w:rsidR="0068647C" w:rsidRPr="000E696E" w:rsidRDefault="0068647C" w:rsidP="00AA1EBF">
      <w:pPr>
        <w:pStyle w:val="Prrafodelista"/>
        <w:widowControl w:val="0"/>
        <w:autoSpaceDE w:val="0"/>
        <w:autoSpaceDN w:val="0"/>
        <w:adjustRightInd w:val="0"/>
        <w:spacing w:after="60"/>
        <w:ind w:left="0" w:right="49"/>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Although, the Inter-American Court examined the violation of Article 16 of the American Convention in the case of</w:t>
      </w:r>
      <w:r w:rsidRPr="000E696E">
        <w:rPr>
          <w:rFonts w:ascii="Verdana" w:hAnsi="Verdana"/>
          <w:i/>
          <w:sz w:val="16"/>
          <w:szCs w:val="16"/>
          <w:lang w:val="en-US"/>
        </w:rPr>
        <w:t xml:space="preserve"> Kawas Fernández,</w:t>
      </w:r>
      <w:r w:rsidRPr="000E696E">
        <w:rPr>
          <w:rFonts w:ascii="Verdana" w:hAnsi="Verdana"/>
          <w:sz w:val="16"/>
          <w:szCs w:val="16"/>
          <w:lang w:val="en-US"/>
        </w:rPr>
        <w:t xml:space="preserve"> this referred to work as a human rights defender (of the environment; in other words, for </w:t>
      </w:r>
      <w:r w:rsidRPr="000E696E">
        <w:rPr>
          <w:rFonts w:ascii="Verdana" w:hAnsi="Verdana"/>
          <w:sz w:val="16"/>
          <w:szCs w:val="16"/>
          <w:u w:val="single"/>
          <w:lang w:val="en-US"/>
        </w:rPr>
        <w:t>being a member of and taking part freely in organizations, associations, or non-governmental groups working in the area of monitoring, denouncing and promoting human rights, and not for being a member of a labor union.</w:t>
      </w:r>
      <w:r w:rsidRPr="000E696E">
        <w:rPr>
          <w:rFonts w:ascii="Verdana" w:hAnsi="Verdana"/>
          <w:sz w:val="16"/>
          <w:szCs w:val="16"/>
          <w:lang w:val="en-US"/>
        </w:rPr>
        <w:t xml:space="preserve"> </w:t>
      </w:r>
      <w:r w:rsidRPr="000E696E">
        <w:rPr>
          <w:rFonts w:ascii="Verdana" w:hAnsi="Verdana"/>
          <w:i/>
          <w:sz w:val="16"/>
          <w:szCs w:val="16"/>
          <w:lang w:val="en-US"/>
        </w:rPr>
        <w:t>Cf.</w:t>
      </w:r>
      <w:r w:rsidRPr="000E696E">
        <w:rPr>
          <w:rFonts w:ascii="Verdana" w:hAnsi="Verdana"/>
          <w:sz w:val="16"/>
          <w:szCs w:val="16"/>
          <w:lang w:val="en-US"/>
        </w:rPr>
        <w:t xml:space="preserve"> </w:t>
      </w:r>
      <w:r w:rsidRPr="000E696E">
        <w:rPr>
          <w:rFonts w:ascii="Verdana" w:eastAsia="Times New Roman" w:hAnsi="Verdana"/>
          <w:bCs/>
          <w:i/>
          <w:sz w:val="16"/>
          <w:szCs w:val="16"/>
          <w:lang w:val="en-US"/>
        </w:rPr>
        <w:t>Case of Kawas Fernández v. Honduras. Merits, reparations and costs</w:t>
      </w:r>
      <w:r w:rsidRPr="000E696E">
        <w:rPr>
          <w:rFonts w:ascii="Verdana" w:eastAsia="Times New Roman" w:hAnsi="Verdana"/>
          <w:bCs/>
          <w:sz w:val="16"/>
          <w:szCs w:val="16"/>
          <w:lang w:val="en-US"/>
        </w:rPr>
        <w:t>. Judgment of April 3, 2009. Series C No. 196, para. 146.</w:t>
      </w:r>
    </w:p>
  </w:footnote>
  <w:footnote w:id="356">
    <w:p w14:paraId="36918D9C" w14:textId="6DE8E612" w:rsidR="0068647C" w:rsidRPr="000E696E" w:rsidRDefault="0068647C" w:rsidP="00D61BD2">
      <w:pPr>
        <w:pStyle w:val="Textonotapie"/>
        <w:rPr>
          <w:rStyle w:val="Refdenotaalpie"/>
          <w:sz w:val="16"/>
          <w:vertAlign w:val="baseline"/>
        </w:rPr>
      </w:pPr>
      <w:r w:rsidRPr="000E696E">
        <w:rPr>
          <w:rStyle w:val="Refdenotaalpie"/>
          <w:sz w:val="16"/>
        </w:rPr>
        <w:footnoteRef/>
      </w:r>
      <w:r w:rsidRPr="000E696E">
        <w:t xml:space="preserve"> </w:t>
      </w:r>
      <w:r w:rsidRPr="000E696E">
        <w:tab/>
        <w:t>The situation of Mr. Lagos del Campo is a specific type of labor relationship (</w:t>
      </w:r>
      <w:r w:rsidRPr="000E696E">
        <w:rPr>
          <w:rFonts w:cs="Tahoma"/>
          <w:shd w:val="clear" w:color="auto" w:fill="FFFFFF"/>
        </w:rPr>
        <w:t xml:space="preserve">for the defense and promotion of workers’ interests). </w:t>
      </w:r>
    </w:p>
  </w:footnote>
  <w:footnote w:id="357">
    <w:p w14:paraId="5BAAAD04" w14:textId="0D1840D3" w:rsidR="0068647C" w:rsidRPr="000E696E" w:rsidRDefault="0068647C" w:rsidP="00AA1EBF">
      <w:pPr>
        <w:spacing w:after="60"/>
        <w:jc w:val="both"/>
        <w:rPr>
          <w:rFonts w:ascii="Arial" w:hAnsi="Arial" w:cs="Arial"/>
          <w:sz w:val="25"/>
          <w:szCs w:val="25"/>
          <w:lang w:val="en-US"/>
        </w:rPr>
      </w:pPr>
      <w:r w:rsidRPr="000E696E">
        <w:rPr>
          <w:rStyle w:val="Refdenotaalpie"/>
          <w:sz w:val="16"/>
          <w:szCs w:val="16"/>
          <w:lang w:val="en-US"/>
        </w:rPr>
        <w:footnoteRef/>
      </w:r>
      <w:r w:rsidRPr="000E696E">
        <w:rPr>
          <w:rFonts w:ascii="Verdana" w:hAnsi="Verdana"/>
          <w:i/>
          <w:sz w:val="16"/>
          <w:szCs w:val="16"/>
          <w:lang w:val="en-US"/>
        </w:rPr>
        <w:t xml:space="preserve"> </w:t>
      </w:r>
      <w:r w:rsidRPr="000E696E">
        <w:rPr>
          <w:rFonts w:ascii="Verdana" w:hAnsi="Verdana"/>
          <w:i/>
          <w:sz w:val="16"/>
          <w:szCs w:val="16"/>
          <w:lang w:val="en-US"/>
        </w:rPr>
        <w:tab/>
        <w:t>Cf.</w:t>
      </w:r>
      <w:r w:rsidRPr="000E696E">
        <w:rPr>
          <w:rFonts w:ascii="Verdana" w:hAnsi="Verdana"/>
          <w:sz w:val="16"/>
          <w:szCs w:val="16"/>
          <w:lang w:val="en-US"/>
        </w:rPr>
        <w:t xml:space="preserve"> </w:t>
      </w:r>
      <w:r w:rsidRPr="000E696E">
        <w:rPr>
          <w:rFonts w:ascii="Verdana" w:eastAsia="Times New Roman" w:hAnsi="Verdana"/>
          <w:bCs/>
          <w:i/>
          <w:color w:val="000000"/>
          <w:sz w:val="16"/>
          <w:szCs w:val="16"/>
          <w:lang w:val="en-US"/>
        </w:rPr>
        <w:t>Case of the “Five Pensioners” v. Peru. Merits, reparations and costs</w:t>
      </w:r>
      <w:r w:rsidRPr="000E696E">
        <w:rPr>
          <w:rFonts w:ascii="Verdana" w:eastAsia="Times New Roman" w:hAnsi="Verdana"/>
          <w:bCs/>
          <w:color w:val="000000"/>
          <w:sz w:val="16"/>
          <w:szCs w:val="16"/>
          <w:lang w:val="en-US"/>
        </w:rPr>
        <w:t xml:space="preserve">. Judgment of February 28, 2003. Series C No. 98, para. 142. In the </w:t>
      </w:r>
      <w:r w:rsidRPr="000E696E">
        <w:rPr>
          <w:rFonts w:ascii="Verdana" w:eastAsia="Times New Roman" w:hAnsi="Verdana"/>
          <w:bCs/>
          <w:i/>
          <w:color w:val="000000"/>
          <w:sz w:val="16"/>
          <w:szCs w:val="16"/>
          <w:lang w:val="en-US"/>
        </w:rPr>
        <w:t>Case of Yakye Axa v. Paraguay</w:t>
      </w:r>
      <w:r w:rsidRPr="000E696E">
        <w:rPr>
          <w:rFonts w:ascii="Verdana" w:eastAsia="Times New Roman" w:hAnsi="Verdana"/>
          <w:bCs/>
          <w:color w:val="000000"/>
          <w:sz w:val="16"/>
          <w:szCs w:val="16"/>
          <w:lang w:val="en-US"/>
        </w:rPr>
        <w:t xml:space="preserve"> (2005), the Inter-American Commission made a connection between Article 26 of the American Convention and the violation of Article 4. In this regard it indicated that: “ 157. […] (</w:t>
      </w:r>
      <w:r w:rsidRPr="000E696E">
        <w:rPr>
          <w:rFonts w:ascii="Verdana" w:hAnsi="Verdana"/>
          <w:sz w:val="16"/>
          <w:szCs w:val="16"/>
          <w:lang w:val="en-US"/>
        </w:rPr>
        <w:t>e) t</w:t>
      </w:r>
      <w:r w:rsidRPr="000E696E">
        <w:rPr>
          <w:rFonts w:ascii="Verdana" w:hAnsi="Verdana" w:cs="Arial"/>
          <w:sz w:val="16"/>
          <w:szCs w:val="16"/>
          <w:lang w:val="en-US"/>
        </w:rPr>
        <w:t>he situation of risk or vulnerability of the Yakye Axa Indigenous Community has been created by State negligence, a fact that has not been challenged; quite the contrary, the State itself declared a “state of emergency in the Community” in 1999. This negligence took place in a context in which Paraguay had the obligation to ensure the conditions required to achieve a decent life, an obligation that was underlined by the commitment reflected in Article 26 of the American Convention to take appropriate steps for complete realization of social rights. Nevertheless, by omission in its public health policies, the State diminished the enjoyment of basic public health, nutritional and housing conditions by the members of the Yakye Axa Community</w:t>
      </w:r>
      <w:r w:rsidRPr="000E696E">
        <w:rPr>
          <w:rFonts w:ascii="Verdana" w:hAnsi="Verdana"/>
          <w:sz w:val="16"/>
          <w:szCs w:val="16"/>
          <w:lang w:val="en-US"/>
        </w:rPr>
        <w:t xml:space="preserve"> […].” </w:t>
      </w:r>
      <w:r w:rsidRPr="000E696E">
        <w:rPr>
          <w:rFonts w:ascii="Verdana" w:eastAsia="Times New Roman" w:hAnsi="Verdana"/>
          <w:bCs/>
          <w:i/>
          <w:color w:val="000000"/>
          <w:sz w:val="16"/>
          <w:szCs w:val="16"/>
          <w:lang w:val="en-US"/>
        </w:rPr>
        <w:t>Case of the Yakye Axa Indigenous Community v. Paraguay. Merits, reparations and costs</w:t>
      </w:r>
      <w:r w:rsidRPr="000E696E">
        <w:rPr>
          <w:rFonts w:ascii="Verdana" w:eastAsia="Times New Roman" w:hAnsi="Verdana"/>
          <w:bCs/>
          <w:color w:val="000000"/>
          <w:sz w:val="16"/>
          <w:szCs w:val="16"/>
          <w:lang w:val="en-US"/>
        </w:rPr>
        <w:t xml:space="preserve">. Judgment of June 17, 2005. Series C No. 125, para. 157. </w:t>
      </w:r>
    </w:p>
  </w:footnote>
  <w:footnote w:id="358">
    <w:p w14:paraId="55F33508" w14:textId="4DB6EEC1" w:rsidR="0068647C" w:rsidRPr="000E696E" w:rsidRDefault="0068647C" w:rsidP="00AA1EBF">
      <w:pPr>
        <w:spacing w:after="60"/>
        <w:jc w:val="both"/>
        <w:rPr>
          <w:rFonts w:ascii="Verdana" w:eastAsia="Times New Roman" w:hAnsi="Verdana"/>
          <w:bCs/>
          <w:color w:val="000000"/>
          <w:sz w:val="16"/>
          <w:szCs w:val="16"/>
          <w:lang w:val="en-US"/>
        </w:rPr>
      </w:pPr>
      <w:r w:rsidRPr="000E696E">
        <w:rPr>
          <w:rStyle w:val="Refdenotaalpie"/>
          <w:sz w:val="16"/>
          <w:szCs w:val="16"/>
          <w:lang w:val="en-US"/>
        </w:rPr>
        <w:footnoteRef/>
      </w:r>
      <w:r w:rsidRPr="000E696E">
        <w:rPr>
          <w:rFonts w:ascii="Verdana" w:hAnsi="Verdana"/>
          <w:i/>
          <w:sz w:val="16"/>
          <w:szCs w:val="16"/>
          <w:lang w:val="en-US"/>
        </w:rPr>
        <w:t xml:space="preserve"> </w:t>
      </w:r>
      <w:r w:rsidRPr="000E696E">
        <w:rPr>
          <w:rFonts w:ascii="Verdana" w:hAnsi="Verdana"/>
          <w:i/>
          <w:sz w:val="16"/>
          <w:szCs w:val="16"/>
          <w:lang w:val="en-US"/>
        </w:rPr>
        <w:tab/>
        <w:t>Cf.</w:t>
      </w:r>
      <w:r w:rsidRPr="000E696E">
        <w:rPr>
          <w:rFonts w:ascii="Verdana" w:hAnsi="Verdana"/>
          <w:sz w:val="16"/>
          <w:szCs w:val="16"/>
          <w:lang w:val="en-US"/>
        </w:rPr>
        <w:t xml:space="preserve"> </w:t>
      </w:r>
      <w:r w:rsidRPr="000E696E">
        <w:rPr>
          <w:rFonts w:ascii="Verdana" w:eastAsia="Times New Roman" w:hAnsi="Verdana"/>
          <w:bCs/>
          <w:i/>
          <w:color w:val="000000"/>
          <w:sz w:val="16"/>
          <w:szCs w:val="16"/>
          <w:lang w:val="en-US"/>
        </w:rPr>
        <w:t>Case of the “Juvenile Re-education Institute” v. Paraguay. Preliminary objections, merits, reparations and costs.</w:t>
      </w:r>
      <w:r w:rsidRPr="000E696E">
        <w:rPr>
          <w:rFonts w:ascii="Verdana" w:eastAsia="Times New Roman" w:hAnsi="Verdana"/>
          <w:bCs/>
          <w:color w:val="000000"/>
          <w:sz w:val="16"/>
          <w:szCs w:val="16"/>
          <w:lang w:val="en-US"/>
        </w:rPr>
        <w:t xml:space="preserve"> Judgment of September 2, 2004. Series C No. 112, para. 253; </w:t>
      </w:r>
      <w:r w:rsidRPr="000E696E">
        <w:rPr>
          <w:rFonts w:ascii="Verdana" w:eastAsia="Times New Roman" w:hAnsi="Verdana"/>
          <w:bCs/>
          <w:i/>
          <w:color w:val="000000"/>
          <w:sz w:val="16"/>
          <w:szCs w:val="16"/>
          <w:lang w:val="en-US"/>
        </w:rPr>
        <w:t>Case of the Yean and Bosico Girls v. Dominican Republic</w:t>
      </w:r>
      <w:r w:rsidRPr="000E696E">
        <w:rPr>
          <w:rFonts w:ascii="Verdana" w:eastAsia="Times New Roman" w:hAnsi="Verdana"/>
          <w:bCs/>
          <w:color w:val="000000"/>
          <w:sz w:val="16"/>
          <w:szCs w:val="16"/>
          <w:lang w:val="en-US"/>
        </w:rPr>
        <w:t xml:space="preserve">. Judgment of September 8, 2005. Series C No. 130, para. 115.B (in this case the representatives argued that the right to education was a right protected by Article 26 of the American Convention in the context of the violation of Article 19 of the American Convention); </w:t>
      </w:r>
      <w:r w:rsidRPr="000E696E">
        <w:rPr>
          <w:rFonts w:ascii="Verdana" w:eastAsia="Times New Roman" w:hAnsi="Verdana"/>
          <w:bCs/>
          <w:i/>
          <w:color w:val="000000"/>
          <w:sz w:val="16"/>
          <w:szCs w:val="16"/>
          <w:lang w:val="en-US"/>
        </w:rPr>
        <w:t>Case of the Dismissed Congressional Employees (Aguado Alfaro et al.) v. Peru. Preliminary objections, merits, reparations and costs</w:t>
      </w:r>
      <w:r w:rsidRPr="000E696E">
        <w:rPr>
          <w:rFonts w:ascii="Verdana" w:eastAsia="Times New Roman" w:hAnsi="Verdana"/>
          <w:bCs/>
          <w:color w:val="000000"/>
          <w:sz w:val="16"/>
          <w:szCs w:val="16"/>
          <w:lang w:val="en-US"/>
        </w:rPr>
        <w:t xml:space="preserve">. Judgment of November 24, 2006. Series C No. 158, para. 134; </w:t>
      </w:r>
      <w:r w:rsidRPr="000E696E">
        <w:rPr>
          <w:rFonts w:ascii="Verdana" w:eastAsia="Times New Roman" w:hAnsi="Verdana"/>
          <w:bCs/>
          <w:i/>
          <w:color w:val="000000"/>
          <w:sz w:val="16"/>
          <w:szCs w:val="16"/>
          <w:lang w:val="en-US"/>
        </w:rPr>
        <w:t>Case of Acevedo Buendía et al. (“Discharged and Retired Employees of the Office of the Comptroller”) v. Peru. Preliminary objections, merits, reparations and costs</w:t>
      </w:r>
      <w:r w:rsidRPr="000E696E">
        <w:rPr>
          <w:rFonts w:ascii="Verdana" w:eastAsia="Times New Roman" w:hAnsi="Verdana"/>
          <w:bCs/>
          <w:color w:val="000000"/>
          <w:sz w:val="16"/>
          <w:szCs w:val="16"/>
          <w:lang w:val="en-US"/>
        </w:rPr>
        <w:t xml:space="preserve">. Judgment of July 1, 2009. Series C No. 198, para. 4; </w:t>
      </w:r>
      <w:r w:rsidRPr="000E696E">
        <w:rPr>
          <w:rFonts w:ascii="Verdana" w:eastAsia="Times New Roman" w:hAnsi="Verdana"/>
          <w:bCs/>
          <w:i/>
          <w:color w:val="000000"/>
          <w:sz w:val="16"/>
          <w:szCs w:val="16"/>
          <w:lang w:val="en-US"/>
        </w:rPr>
        <w:t>Case of the Kichwa Indigenous Community of Sarayaku v. Ecuador. Merits and reparations</w:t>
      </w:r>
      <w:r w:rsidRPr="000E696E">
        <w:rPr>
          <w:rFonts w:ascii="Verdana" w:eastAsia="Times New Roman" w:hAnsi="Verdana"/>
          <w:bCs/>
          <w:color w:val="000000"/>
          <w:sz w:val="16"/>
          <w:szCs w:val="16"/>
          <w:lang w:val="en-US"/>
        </w:rPr>
        <w:t xml:space="preserve">. Judgment of June 27, 2012. Series C No. 245, para. 137 to 139 and </w:t>
      </w:r>
      <w:r w:rsidRPr="000E696E">
        <w:rPr>
          <w:rFonts w:ascii="Verdana" w:eastAsia="Times New Roman" w:hAnsi="Verdana"/>
          <w:bCs/>
          <w:i/>
          <w:color w:val="000000"/>
          <w:sz w:val="16"/>
          <w:szCs w:val="16"/>
          <w:lang w:val="en-US"/>
        </w:rPr>
        <w:t xml:space="preserve">Case of Gonzales Lluy et al. v. Ecuador, supra, </w:t>
      </w:r>
      <w:r w:rsidRPr="000E696E">
        <w:rPr>
          <w:rFonts w:ascii="Verdana" w:eastAsia="Times New Roman" w:hAnsi="Verdana"/>
          <w:bCs/>
          <w:color w:val="000000"/>
          <w:sz w:val="16"/>
          <w:szCs w:val="16"/>
          <w:lang w:val="en-US"/>
        </w:rPr>
        <w:t xml:space="preserve">para. 159. </w:t>
      </w:r>
    </w:p>
  </w:footnote>
  <w:footnote w:id="359">
    <w:p w14:paraId="1B6BFB30" w14:textId="71D19643" w:rsidR="0068647C" w:rsidRPr="000E696E" w:rsidRDefault="0068647C" w:rsidP="00AA1EBF">
      <w:pPr>
        <w:spacing w:after="60"/>
        <w:jc w:val="both"/>
        <w:textAlignment w:val="baseline"/>
        <w:rPr>
          <w:rFonts w:ascii="Verdana" w:eastAsia="Times New Roman" w:hAnsi="Verdana"/>
          <w:color w:val="33333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In this regard, it is important to point out that this tendency has been put in practice within the United Nations with the entry into force (in 2013) of the Optional Protocol to the International Covenant on Economic, Social and Cultural Rights (OP-ICESCR), adopted in 2008. With the entry into force of the OP-ICESCR, the Committee on Economic, Social and Cultural Rights has been able to hear individual communications based on which it has declared violations of the provisions of the ICESCR. In this regard, see: CESCR, </w:t>
      </w:r>
      <w:r w:rsidRPr="000E696E">
        <w:rPr>
          <w:rFonts w:ascii="Verdana" w:hAnsi="Verdana"/>
          <w:i/>
          <w:sz w:val="16"/>
          <w:szCs w:val="16"/>
          <w:lang w:val="en-US"/>
        </w:rPr>
        <w:t>Case of I.D.G v. Spain</w:t>
      </w:r>
      <w:r w:rsidRPr="000E696E">
        <w:rPr>
          <w:rFonts w:ascii="Verdana" w:hAnsi="Verdana"/>
          <w:sz w:val="16"/>
          <w:szCs w:val="16"/>
          <w:lang w:val="en-US"/>
        </w:rPr>
        <w:t xml:space="preserve">, </w:t>
      </w:r>
      <w:r w:rsidRPr="000E696E">
        <w:rPr>
          <w:rFonts w:ascii="Verdana" w:eastAsia="Times New Roman" w:hAnsi="Verdana"/>
          <w:color w:val="333333"/>
          <w:sz w:val="16"/>
          <w:szCs w:val="16"/>
          <w:lang w:val="en-US"/>
        </w:rPr>
        <w:t xml:space="preserve">E/C.12/55/D/2/2014, June 17, 2015 and </w:t>
      </w:r>
      <w:r w:rsidRPr="000E696E">
        <w:rPr>
          <w:rFonts w:ascii="Verdana" w:eastAsia="Times New Roman" w:hAnsi="Verdana"/>
          <w:i/>
          <w:color w:val="333333"/>
          <w:sz w:val="16"/>
          <w:szCs w:val="16"/>
          <w:lang w:val="en-US"/>
        </w:rPr>
        <w:t>Case of López Rodriguez v. Spain,</w:t>
      </w:r>
      <w:r w:rsidRPr="000E696E">
        <w:rPr>
          <w:rFonts w:ascii="Verdana" w:eastAsia="Times New Roman" w:hAnsi="Verdana"/>
          <w:color w:val="333333"/>
          <w:sz w:val="16"/>
          <w:szCs w:val="16"/>
          <w:lang w:val="en-US"/>
        </w:rPr>
        <w:t xml:space="preserve"> E/C.12/57/D/1/2013, March 4, 2016. </w:t>
      </w:r>
    </w:p>
  </w:footnote>
  <w:footnote w:id="360">
    <w:p w14:paraId="6E01DF84" w14:textId="62C5B3C3"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It is especially significant that the direct justiciability of the ESCER occurs on the centenary of the 1917 Constitution of Querétaro, the first constitution to establish social rights, and particularly labor rights. Social constitutionalism originates from the original text of the current Constitution of the United Mexican States, promulgated on Monday, February 5, 1917, in the city of Querétaro, entered into force on May 1, that same year. In addition to establishing the right to education (Art.  3) and the right to land (Art.  27), it established specific labor rights (Art.  123). Indeed, Chapter Six, entitled “Work and Social Security” establishes, in the 30 paragraphs of Article 123, labor rights for manual workers, day laborers, employees, domestic employees, and artisans: maximum duration of the working day; prohibition to hire children under 12 years of age; prohibition for women and children under 16 years of age to perform unhealthy or hazardous work or any work after 10 p.m.; the right to a rest period; rights for women who are pregnant or breast-feeding; the right to a remunerative minimum wage and the prohibition to embargo, compensate or deduct from this; the right of the worker to participate in the company’s profits; the right to the payment of overtime; the obligation of agricultural, industrial or mining employers to provide workers with rent-restricted comfortable and hygienic accommodation and to establish other necessary services in the community (schools, clinics, etc.); the obligation of the State to encourage individual savings (by saving banks and insurance schemes, etc.); the right to compensation for work accidents and professional ailments; the right of the workers to associate, to strike, and the right of workers to re-instatement or compensation for unjustified dismissal.</w:t>
      </w:r>
    </w:p>
  </w:footnote>
  <w:footnote w:id="361">
    <w:p w14:paraId="58E8C9F5" w14:textId="4FC231A6" w:rsidR="0068647C" w:rsidRPr="000E696E" w:rsidRDefault="0068647C" w:rsidP="00AA1EBF">
      <w:pPr>
        <w:spacing w:after="60"/>
        <w:jc w:val="both"/>
        <w:rPr>
          <w:rFonts w:ascii="Verdana" w:eastAsia="Times New Roman" w:hAnsi="Verdana" w:cs="Arial"/>
          <w:sz w:val="16"/>
          <w:szCs w:val="16"/>
          <w:shd w:val="clear" w:color="auto" w:fill="FFFFFF"/>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cs="Arial"/>
          <w:sz w:val="16"/>
          <w:szCs w:val="16"/>
          <w:shd w:val="clear" w:color="auto" w:fill="FFFFFF"/>
          <w:lang w:val="en-US"/>
        </w:rPr>
        <w:t>On September 25, 2015, world leaders adopted a series of global goals to end poverty, protect the planet and improve the prospects of everyone as part of a new Sustainable Development Agenda. Each goal has specific targets that must be achieved in the next 15 years. Among the most important goals are: No poverty</w:t>
      </w:r>
      <w:r w:rsidRPr="000E696E">
        <w:rPr>
          <w:rFonts w:ascii="Verdana" w:hAnsi="Verdana"/>
          <w:sz w:val="16"/>
          <w:szCs w:val="16"/>
          <w:lang w:val="en-US"/>
        </w:rPr>
        <w:t xml:space="preserve"> (Goal No. 1), Zero hunger (Goal No. 2), Good health and well-being (Goal No.3), Quality education (Goal No. 4), Clean water and sanitation (Goal No. 6), Decent work and economic growth (Goal No. 8), Reduced inequalities (Goal No. 10), and Climate action, Life below water and Life on land (Goals No. 13, 14 and 15). These Goals clearly related to the economic, social, cultural and environmental rights. </w:t>
      </w:r>
    </w:p>
  </w:footnote>
  <w:footnote w:id="362">
    <w:p w14:paraId="75989158" w14:textId="1941CAE1"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See footnote 216 of the judgment.</w:t>
      </w:r>
    </w:p>
  </w:footnote>
  <w:footnote w:id="363">
    <w:p w14:paraId="7CE9DA06" w14:textId="4EFC172F" w:rsidR="0068647C" w:rsidRPr="000E696E" w:rsidRDefault="0068647C" w:rsidP="009A0BC3">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See </w:t>
      </w:r>
      <w:r w:rsidRPr="000E696E">
        <w:rPr>
          <w:rFonts w:ascii="Verdana" w:hAnsi="Verdana"/>
          <w:i/>
          <w:sz w:val="16"/>
          <w:szCs w:val="16"/>
          <w:lang w:val="en-US"/>
        </w:rPr>
        <w:t>Social Panorama of Latin America 2016</w:t>
      </w:r>
      <w:r w:rsidRPr="000E696E">
        <w:rPr>
          <w:rFonts w:ascii="Verdana" w:hAnsi="Verdana"/>
          <w:sz w:val="16"/>
          <w:szCs w:val="16"/>
          <w:lang w:val="en-US"/>
        </w:rPr>
        <w:t>, Economic Commission for Latin America and the Caribbean, United Nations, 2017, p. 11. In addition, ECLAC indicates that “</w:t>
      </w:r>
      <w:r w:rsidRPr="000E696E">
        <w:rPr>
          <w:rFonts w:ascii="Verdana" w:hAnsi="Verdana" w:cs="Arial"/>
          <w:sz w:val="16"/>
          <w:szCs w:val="16"/>
          <w:lang w:val="en-US"/>
        </w:rPr>
        <w:t xml:space="preserve">inequality means that not all individuals can fully exercise their </w:t>
      </w:r>
      <w:r w:rsidRPr="000E696E">
        <w:rPr>
          <w:rStyle w:val="highlight"/>
          <w:rFonts w:ascii="Verdana" w:hAnsi="Verdana" w:cs="Arial"/>
          <w:sz w:val="16"/>
          <w:szCs w:val="16"/>
          <w:lang w:val="en-US"/>
        </w:rPr>
        <w:t>civil, political</w:t>
      </w:r>
      <w:r w:rsidRPr="000E696E">
        <w:rPr>
          <w:rFonts w:ascii="Verdana" w:hAnsi="Verdana" w:cs="Arial"/>
          <w:sz w:val="16"/>
          <w:szCs w:val="16"/>
          <w:lang w:val="en-US"/>
        </w:rPr>
        <w:t xml:space="preserve">, economic, social and environmental rights and, consequently, that the principle of universality is violated.” Meanwhile, paragraph five of </w:t>
      </w:r>
      <w:r w:rsidRPr="000E696E">
        <w:rPr>
          <w:rFonts w:ascii="Verdana" w:hAnsi="Verdana"/>
          <w:sz w:val="16"/>
          <w:szCs w:val="16"/>
          <w:lang w:val="en-US"/>
        </w:rPr>
        <w:t>the Preamble of the American Convention stipulates that: “</w:t>
      </w:r>
      <w:r w:rsidRPr="000E696E">
        <w:rPr>
          <w:rFonts w:ascii="Verdana" w:hAnsi="Verdana"/>
          <w:spacing w:val="-3"/>
          <w:sz w:val="16"/>
          <w:szCs w:val="16"/>
          <w:lang w:val="en-US"/>
        </w:rPr>
        <w:t xml:space="preserve">Reiterating that, in accordance with the Universal Declaration of Human Rights, the ideal of free men enjoying freedom from fear and want </w:t>
      </w:r>
      <w:r w:rsidRPr="000E696E">
        <w:rPr>
          <w:rFonts w:ascii="Verdana" w:hAnsi="Verdana"/>
          <w:spacing w:val="-3"/>
          <w:sz w:val="16"/>
          <w:szCs w:val="16"/>
          <w:u w:val="single"/>
          <w:lang w:val="en-US"/>
        </w:rPr>
        <w:t>can be achieved only if conditions are created whereby everyone may enjoy his economic, social, and cultural rights, as well as his civil and political rights</w:t>
      </w:r>
      <w:r w:rsidRPr="000E696E">
        <w:rPr>
          <w:rFonts w:ascii="Verdana" w:hAnsi="Verdana"/>
          <w:spacing w:val="-3"/>
          <w:sz w:val="16"/>
          <w:szCs w:val="16"/>
          <w:lang w:val="en-US"/>
        </w:rPr>
        <w:t>.”</w:t>
      </w:r>
    </w:p>
    <w:p w14:paraId="325E1CBB" w14:textId="77777777" w:rsidR="0068647C" w:rsidRPr="000E696E" w:rsidRDefault="0068647C" w:rsidP="00D61BD2">
      <w:pPr>
        <w:pStyle w:val="Textonotapie"/>
      </w:pPr>
    </w:p>
  </w:footnote>
  <w:footnote w:id="364">
    <w:p w14:paraId="392FB052" w14:textId="03D08B3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Art. 66(2) of the Convention: “If the judgment does not represent in whole or in part the unanimous opinion of the judges, any judge shall be entitled to have his dissenting or separate opinion attached to the judgment.” </w:t>
      </w:r>
    </w:p>
    <w:p w14:paraId="758C119A" w14:textId="008D8BE6" w:rsidR="0068647C" w:rsidRPr="000E696E" w:rsidRDefault="0068647C" w:rsidP="00D61BD2">
      <w:pPr>
        <w:pStyle w:val="Textonotapie"/>
      </w:pPr>
      <w:r w:rsidRPr="000E696E">
        <w:t>Art. 24(3) of the Statutes of the Court: “The 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14:paraId="198C3CA8" w14:textId="2EAE67B9" w:rsidR="0068647C" w:rsidRPr="000E696E" w:rsidRDefault="0068647C" w:rsidP="00D61BD2">
      <w:pPr>
        <w:pStyle w:val="Textonotapie"/>
      </w:pPr>
      <w:r w:rsidRPr="000E696E">
        <w:t>Art. 65(2) of the Court’s Rules of Procedure: “Any Judge who has taken part in the consideration of a case is entitled to append a separate reasoned opinion to the judgment, concurring or dissenting. These opinions shall be submitted within a time limit to be fixed by the President so that the other Judges may take cognizance thereof before notice of the judgment is served. Said opinions shall only refer to the issues covered in the judgment.”</w:t>
      </w:r>
    </w:p>
    <w:p w14:paraId="71E8D023" w14:textId="2828FCAE" w:rsidR="0068647C" w:rsidRPr="000E696E" w:rsidRDefault="0068647C" w:rsidP="00D61BD2">
      <w:pPr>
        <w:pStyle w:val="Textonotapie"/>
      </w:pPr>
      <w:r w:rsidRPr="000E696E">
        <w:t>Hereafter, each time that a provision is cited without indicating to which legal instrument it corresponds, it shall be understood that it is from the American Convention on Human Rights.</w:t>
      </w:r>
    </w:p>
  </w:footnote>
  <w:footnote w:id="365">
    <w:p w14:paraId="27659EDC" w14:textId="2AC51AB2" w:rsidR="0068647C" w:rsidRPr="000E696E" w:rsidRDefault="0068647C" w:rsidP="00D61BD2">
      <w:pPr>
        <w:pStyle w:val="Textonotapie"/>
      </w:pPr>
      <w:r w:rsidRPr="000E696E">
        <w:rPr>
          <w:rStyle w:val="Refdenotaalpie"/>
          <w:sz w:val="16"/>
        </w:rPr>
        <w:footnoteRef/>
      </w:r>
      <w:r w:rsidRPr="000E696E">
        <w:t xml:space="preserve"> </w:t>
      </w:r>
      <w:r w:rsidRPr="000E696E">
        <w:tab/>
        <w:t>Hereinafter, la Judgment.</w:t>
      </w:r>
    </w:p>
  </w:footnote>
  <w:footnote w:id="366">
    <w:p w14:paraId="008C360B" w14:textId="45B36BE0" w:rsidR="0068647C" w:rsidRPr="000E696E" w:rsidRDefault="0068647C" w:rsidP="00D61BD2">
      <w:pPr>
        <w:pStyle w:val="Textonotapie"/>
      </w:pPr>
      <w:r w:rsidRPr="000E696E">
        <w:rPr>
          <w:rStyle w:val="Refdenotaalpie"/>
          <w:sz w:val="16"/>
        </w:rPr>
        <w:footnoteRef/>
      </w:r>
      <w:r w:rsidRPr="000E696E">
        <w:t xml:space="preserve"> </w:t>
      </w:r>
      <w:r w:rsidRPr="000E696E">
        <w:tab/>
        <w:t xml:space="preserve">“Progressive Development. The States Parties undertake to adopt measures, both internally and through international cooperation, especially those of an economic and technical nature, with a view to achieving progressively, subject to available resources, by legislation or other appropriate means, the full realization of the rights derived from the economic, social, educational, scientific, and cultural standards set forth in the Charter of the Organization of American States as amended by the Protocol of Buenos Aires.” </w:t>
      </w:r>
    </w:p>
    <w:p w14:paraId="4A40C87F" w14:textId="2C398920" w:rsidR="0068647C" w:rsidRPr="000E696E" w:rsidRDefault="0068647C" w:rsidP="00D61BD2">
      <w:pPr>
        <w:pStyle w:val="Textonotapie"/>
      </w:pPr>
      <w:r w:rsidRPr="000E696E">
        <w:t>Hereinafter, the Organization of American States will be referred to as the OAS.</w:t>
      </w:r>
    </w:p>
  </w:footnote>
  <w:footnote w:id="367">
    <w:p w14:paraId="08632C9A" w14:textId="7EB34420" w:rsidR="0068647C" w:rsidRPr="000E696E" w:rsidRDefault="0068647C" w:rsidP="00D61BD2">
      <w:pPr>
        <w:pStyle w:val="Textonotapie"/>
      </w:pPr>
      <w:r w:rsidRPr="000E696E">
        <w:rPr>
          <w:rStyle w:val="Refdenotaalpie"/>
          <w:sz w:val="16"/>
        </w:rPr>
        <w:footnoteRef/>
      </w:r>
      <w:r w:rsidRPr="000E696E">
        <w:t xml:space="preserve"> </w:t>
      </w:r>
      <w:r w:rsidRPr="000E696E">
        <w:tab/>
        <w:t xml:space="preserve">Hereinafter, the Convention. </w:t>
      </w:r>
    </w:p>
  </w:footnote>
  <w:footnote w:id="368">
    <w:p w14:paraId="65A9F2CE" w14:textId="5495D544" w:rsidR="0068647C" w:rsidRPr="000E696E" w:rsidRDefault="0068647C" w:rsidP="00D61BD2">
      <w:pPr>
        <w:pStyle w:val="Textonotapie"/>
      </w:pPr>
      <w:r w:rsidRPr="000E696E">
        <w:rPr>
          <w:rStyle w:val="Refdenotaalpie"/>
          <w:sz w:val="16"/>
        </w:rPr>
        <w:footnoteRef/>
      </w:r>
      <w:r w:rsidRPr="000E696E">
        <w:t xml:space="preserve"> </w:t>
      </w:r>
      <w:r w:rsidRPr="000E696E">
        <w:tab/>
        <w:t>“The State is responsible for the violation of the right to job security, recognized in Article 26 of the American Convention, in relation to Articles 1(1), 13, 8 and 16 of this instrument, to the detriment of del Campo, pursuant to paragraphs 133 to 154 and 166 of this judgment.”</w:t>
      </w:r>
    </w:p>
  </w:footnote>
  <w:footnote w:id="369">
    <w:p w14:paraId="515A4289" w14:textId="47A60EF0" w:rsidR="0068647C" w:rsidRPr="000E696E" w:rsidRDefault="0068647C" w:rsidP="00D61BD2">
      <w:pPr>
        <w:pStyle w:val="Textonotapie"/>
      </w:pPr>
      <w:r w:rsidRPr="000E696E">
        <w:rPr>
          <w:rStyle w:val="Refdenotaalpie"/>
          <w:sz w:val="16"/>
        </w:rPr>
        <w:footnoteRef/>
      </w:r>
      <w:r w:rsidRPr="000E696E">
        <w:t xml:space="preserve"> </w:t>
      </w:r>
      <w:r w:rsidRPr="000E696E">
        <w:tab/>
        <w:t>“The State is responsible for the violation of the right to freedom of association, recognized in Articles 16 and 26 of the American Convention, in relation to Articles 1(1), 13 and 8 of this instrument, to the detriment of del Campo, pursuant to paragraphs 155 to 163 of this judgment.”</w:t>
      </w:r>
    </w:p>
  </w:footnote>
  <w:footnote w:id="370">
    <w:p w14:paraId="29AFD373" w14:textId="5EDB39AB" w:rsidR="0068647C" w:rsidRPr="000E696E" w:rsidRDefault="0068647C" w:rsidP="00D61BD2">
      <w:pPr>
        <w:pStyle w:val="Textonotapie"/>
      </w:pPr>
      <w:r w:rsidRPr="000E696E">
        <w:rPr>
          <w:rStyle w:val="Refdenotaalpie"/>
          <w:sz w:val="16"/>
        </w:rPr>
        <w:footnoteRef/>
      </w:r>
      <w:r w:rsidRPr="000E696E">
        <w:t xml:space="preserve"> </w:t>
      </w:r>
      <w:r w:rsidRPr="000E696E">
        <w:tab/>
        <w:t>Hereinafter, the Court.</w:t>
      </w:r>
    </w:p>
  </w:footnote>
  <w:footnote w:id="371">
    <w:p w14:paraId="632C0942" w14:textId="4D980231" w:rsidR="0068647C" w:rsidRPr="000E696E" w:rsidRDefault="0068647C" w:rsidP="00D61BD2">
      <w:pPr>
        <w:pStyle w:val="Textonotapie"/>
      </w:pPr>
      <w:r w:rsidRPr="000E696E">
        <w:rPr>
          <w:rStyle w:val="Refdenotaalpie"/>
          <w:sz w:val="16"/>
        </w:rPr>
        <w:footnoteRef/>
      </w:r>
      <w:r w:rsidRPr="000E696E">
        <w:t xml:space="preserve"> </w:t>
      </w:r>
      <w:r w:rsidRPr="000E696E">
        <w:tab/>
        <w:t>Art. 62(3): “The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p>
  </w:footnote>
  <w:footnote w:id="372">
    <w:p w14:paraId="6C7DBD86" w14:textId="3A8B29A3"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 treaty shall be interpreted in good faith in accordance with the ordinary meaning to be given to the terms of the treaty in their context and in the light of its object and purpose.”  </w:t>
      </w:r>
    </w:p>
  </w:footnote>
  <w:footnote w:id="373">
    <w:p w14:paraId="61AD440B" w14:textId="57D7D0AC" w:rsidR="0068647C" w:rsidRPr="000E696E" w:rsidRDefault="0068647C" w:rsidP="00D61BD2">
      <w:pPr>
        <w:pStyle w:val="Textonotapie"/>
      </w:pPr>
      <w:r w:rsidRPr="000E696E">
        <w:rPr>
          <w:rStyle w:val="Refdenotaalpie"/>
          <w:sz w:val="16"/>
        </w:rPr>
        <w:footnoteRef/>
      </w:r>
      <w:r w:rsidRPr="000E696E">
        <w:t xml:space="preserve"> </w:t>
      </w:r>
      <w:r w:rsidRPr="000E696E">
        <w:tab/>
        <w:t>Footnote 8.</w:t>
      </w:r>
    </w:p>
  </w:footnote>
  <w:footnote w:id="374">
    <w:p w14:paraId="4F1835B5" w14:textId="067FD50A" w:rsidR="0068647C" w:rsidRPr="000E696E" w:rsidRDefault="0068647C" w:rsidP="00D61BD2">
      <w:pPr>
        <w:pStyle w:val="Textonotapie"/>
      </w:pPr>
      <w:r w:rsidRPr="000E696E">
        <w:rPr>
          <w:rStyle w:val="Refdenotaalpie"/>
          <w:sz w:val="16"/>
        </w:rPr>
        <w:footnoteRef/>
      </w:r>
      <w:r w:rsidRPr="000E696E">
        <w:t xml:space="preserve"> </w:t>
      </w:r>
      <w:r w:rsidRPr="000E696E">
        <w:tab/>
        <w:t>Hereinafter the Commission.</w:t>
      </w:r>
    </w:p>
    <w:p w14:paraId="6ED1472E" w14:textId="4C7ADD72"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z w:val="16"/>
          <w:szCs w:val="16"/>
          <w:lang w:val="en-US"/>
        </w:rPr>
        <w:t>Art. 41: “</w:t>
      </w:r>
      <w:r w:rsidRPr="000E696E">
        <w:rPr>
          <w:rFonts w:ascii="Verdana" w:hAnsi="Verdana"/>
          <w:spacing w:val="-3"/>
          <w:sz w:val="16"/>
          <w:szCs w:val="16"/>
          <w:lang w:val="en-US"/>
        </w:rPr>
        <w:t>The main function of the Commission shall be to promote respect for and defense of human rights.  In the exercise of its mandate, it shall have the following functions and powers:</w:t>
      </w:r>
    </w:p>
    <w:p w14:paraId="23D14188"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a) to develop an awareness of human rights among the peoples of America;</w:t>
      </w:r>
    </w:p>
    <w:p w14:paraId="2DCBC1B1"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 to make recommendations to the governments of the member states, when it considers such action advisable, for the adoption of progressive measures in favor of human rights within the framework of their domestic law and constitutional provisions as well as appropriate measures to further the observance of those rights;</w:t>
      </w:r>
    </w:p>
    <w:p w14:paraId="7CD2817B"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c) to prepare such studies or reports as it considers advisable in the performance of its duties;</w:t>
      </w:r>
    </w:p>
    <w:p w14:paraId="32BE5840"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d) to request the governments of the member states to supply it with information on the measures adopted by them in matters of human rights;</w:t>
      </w:r>
    </w:p>
    <w:p w14:paraId="4B4C5FCC"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e) to respond, through the General Secretariat of the Organization of American States, to inquiries made by the member states on matters related to human rights and, within the limits of its possibilities, to provide those states with the advisory services they request;</w:t>
      </w:r>
    </w:p>
    <w:p w14:paraId="4C03F910" w14:textId="77777777"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f) to take action on petitions and other communications pursuant to its authority under the provisions of Articles 44 through 51 of this Convention; and</w:t>
      </w:r>
    </w:p>
    <w:p w14:paraId="376DD621" w14:textId="580B40BD" w:rsidR="0068647C" w:rsidRPr="000E696E" w:rsidRDefault="0068647C" w:rsidP="00AA1EBF">
      <w:pPr>
        <w:tabs>
          <w:tab w:val="left" w:pos="4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g) to submit an annual report to the General Assembly of the Organization of American States.</w:t>
      </w:r>
    </w:p>
  </w:footnote>
  <w:footnote w:id="375">
    <w:p w14:paraId="0BBC8BEE" w14:textId="2B3AD73B" w:rsidR="0068647C" w:rsidRPr="000E696E" w:rsidRDefault="0068647C" w:rsidP="00D61BD2">
      <w:pPr>
        <w:pStyle w:val="Textonotapie"/>
      </w:pPr>
      <w:r w:rsidRPr="000E696E">
        <w:rPr>
          <w:rStyle w:val="Refdenotaalpie"/>
          <w:sz w:val="16"/>
        </w:rPr>
        <w:footnoteRef/>
      </w:r>
      <w:r w:rsidRPr="000E696E">
        <w:t xml:space="preserve"> </w:t>
      </w:r>
      <w:r w:rsidRPr="000E696E">
        <w:tab/>
        <w:t>Art.68(1): “The States Parties to the Convention undertake to comply with the judgment of the Court in any case to which they are parties.”</w:t>
      </w:r>
      <w:r w:rsidRPr="000E696E">
        <w:rPr>
          <w:rFonts w:cs="Arial"/>
        </w:rPr>
        <w:t xml:space="preserve"> </w:t>
      </w:r>
    </w:p>
    <w:p w14:paraId="5B50D811" w14:textId="106CA9D2" w:rsidR="0068647C" w:rsidRPr="000E696E" w:rsidRDefault="0068647C" w:rsidP="00D61BD2">
      <w:pPr>
        <w:pStyle w:val="Textonotapie"/>
      </w:pPr>
      <w:r w:rsidRPr="000E696E">
        <w:t>Art. 46(1) of the European Convention on Human Rights: “ The High Contracting Parties undertake to abide by the final judgment of the Court in any case to which they are parties</w:t>
      </w:r>
      <w:r w:rsidRPr="000E696E">
        <w:rPr>
          <w:rFonts w:ascii="Arial" w:hAnsi="Arial"/>
          <w:sz w:val="20"/>
          <w:szCs w:val="20"/>
        </w:rPr>
        <w:t>.”</w:t>
      </w:r>
    </w:p>
    <w:p w14:paraId="477DDD44" w14:textId="1454AA91" w:rsidR="0068647C" w:rsidRPr="000E696E" w:rsidRDefault="0068647C" w:rsidP="00D61BD2">
      <w:pPr>
        <w:pStyle w:val="Textonotapie"/>
      </w:pPr>
      <w:r w:rsidRPr="000E696E">
        <w:t>Art. 46. and 3 of the Statute of the African Court of Justice and Human Rights: “Binding Force and Execution of Judgments. 1. The decision of the Court shall be binding on the parties. … 3. The parties shall comply with the judgment made by the Court in any dispute to which they are parties within the time stipulated by the Court and shall guarantee its execution.”</w:t>
      </w:r>
    </w:p>
    <w:p w14:paraId="4ECCAF1B" w14:textId="36875355" w:rsidR="0068647C" w:rsidRPr="000E696E" w:rsidRDefault="0068647C" w:rsidP="00D61BD2">
      <w:pPr>
        <w:pStyle w:val="Textonotapie"/>
      </w:pPr>
      <w:r w:rsidRPr="000E696E">
        <w:t>Art. 59 of the Statute of the International Court of Justice: “The decision of the Court has no binding force except between the parties and in respect of that particular case.”</w:t>
      </w:r>
    </w:p>
  </w:footnote>
  <w:footnote w:id="376">
    <w:p w14:paraId="4AD6C480" w14:textId="617938F8"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Art. 38 of the Statute of the International Court of Justice: “1. The Court, whose function is to decide in accordance with international law such disputes as are submitted to it, shall apply: </w:t>
      </w:r>
    </w:p>
    <w:p w14:paraId="45041E7C" w14:textId="77777777" w:rsidR="0068647C" w:rsidRPr="000E696E" w:rsidRDefault="0068647C" w:rsidP="00D61BD2">
      <w:pPr>
        <w:pStyle w:val="Textonotapie"/>
      </w:pPr>
      <w:r w:rsidRPr="000E696E">
        <w:t xml:space="preserve">(a) international conventions, whether general or particular, establishing rules expressly recognized by the contesting states; </w:t>
      </w:r>
    </w:p>
    <w:p w14:paraId="3A7DAF17" w14:textId="77777777" w:rsidR="0068647C" w:rsidRPr="000E696E" w:rsidRDefault="0068647C" w:rsidP="00D61BD2">
      <w:pPr>
        <w:pStyle w:val="Textonotapie"/>
      </w:pPr>
      <w:r w:rsidRPr="000E696E">
        <w:t xml:space="preserve">(b) international custom, as evidence of a general practice accepted as law; </w:t>
      </w:r>
    </w:p>
    <w:p w14:paraId="1FA87B30" w14:textId="77777777" w:rsidR="0068647C" w:rsidRPr="000E696E" w:rsidRDefault="0068647C" w:rsidP="00D61BD2">
      <w:pPr>
        <w:pStyle w:val="Textonotapie"/>
      </w:pPr>
      <w:r w:rsidRPr="000E696E">
        <w:t xml:space="preserve">(c) the general principles of law recognized by civilized nations; </w:t>
      </w:r>
    </w:p>
    <w:p w14:paraId="6B3EFF50" w14:textId="77777777" w:rsidR="0068647C" w:rsidRPr="000E696E" w:rsidRDefault="0068647C" w:rsidP="00D61BD2">
      <w:pPr>
        <w:pStyle w:val="Textonotapie"/>
      </w:pPr>
      <w:r w:rsidRPr="000E696E">
        <w:t xml:space="preserve">(d) subject to the provisions of Article 59, judicial decisions and the teachings of the most highly qualified publicists of the various nations, as subsidiary means for the determination of rules of law. </w:t>
      </w:r>
    </w:p>
    <w:p w14:paraId="1B6D1C50" w14:textId="37CB7787" w:rsidR="0068647C" w:rsidRPr="000E696E" w:rsidRDefault="0068647C" w:rsidP="00D61BD2">
      <w:pPr>
        <w:pStyle w:val="Textonotapie"/>
      </w:pPr>
      <w:r w:rsidRPr="000E696E">
        <w:t xml:space="preserve">2. This provision shall not prejudice the power of the Court to decide a case </w:t>
      </w:r>
      <w:r w:rsidRPr="000E696E">
        <w:rPr>
          <w:i/>
          <w:iCs/>
        </w:rPr>
        <w:t>ex aequo</w:t>
      </w:r>
      <w:r w:rsidRPr="000E696E">
        <w:t xml:space="preserve"> if the parties agree thereto.”</w:t>
      </w:r>
    </w:p>
  </w:footnote>
  <w:footnote w:id="377">
    <w:p w14:paraId="43E3DAAA" w14:textId="50AE433A" w:rsidR="0068647C" w:rsidRPr="000E696E" w:rsidRDefault="0068647C" w:rsidP="00D61BD2">
      <w:pPr>
        <w:pStyle w:val="Textonotapie"/>
      </w:pPr>
      <w:r w:rsidRPr="000E696E">
        <w:rPr>
          <w:rStyle w:val="Refdenotaalpie"/>
          <w:sz w:val="16"/>
        </w:rPr>
        <w:footnoteRef/>
      </w:r>
      <w:r w:rsidRPr="000E696E">
        <w:t xml:space="preserve"> </w:t>
      </w:r>
      <w:r w:rsidRPr="000E696E">
        <w:tab/>
        <w:t>Art. 31: “Recognition of Other Rights. Other rights and freedoms recognized in accordance with the procedures established in Articles 76 and 77 may be included in the system of protection of this Convention.”</w:t>
      </w:r>
    </w:p>
    <w:p w14:paraId="17488F0A" w14:textId="53BC72D4" w:rsidR="0068647C" w:rsidRPr="000E696E" w:rsidRDefault="0068647C" w:rsidP="00D61BD2">
      <w:pPr>
        <w:pStyle w:val="Textonotapie"/>
      </w:pPr>
      <w:r w:rsidRPr="000E696E">
        <w:t>Art. 76(1): “Proposals to amend this Convention may be submitted to the General Assembly for the action it deems appropriate by any State Party directly, and by the Commission or the Court through the Secretary General.”</w:t>
      </w:r>
    </w:p>
    <w:p w14:paraId="55A43FF5" w14:textId="44EF461B"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z w:val="16"/>
          <w:szCs w:val="16"/>
          <w:lang w:val="en-US"/>
        </w:rPr>
        <w:t>Art. 77(1): “</w:t>
      </w:r>
      <w:r w:rsidRPr="000E696E">
        <w:rPr>
          <w:rFonts w:ascii="Verdana" w:hAnsi="Verdana"/>
          <w:spacing w:val="-3"/>
          <w:sz w:val="16"/>
          <w:szCs w:val="16"/>
          <w:lang w:val="en-US"/>
        </w:rPr>
        <w:t>In accordance with Article 31, any State Party and the Commission may submit proposed protocols to this Convention for consideration by the States Parties at the General Assembly with a view to gradually including other rights and freedoms within its system of protection</w:t>
      </w:r>
      <w:r w:rsidRPr="000E696E">
        <w:rPr>
          <w:rFonts w:ascii="Verdana" w:hAnsi="Verdana"/>
          <w:sz w:val="16"/>
          <w:szCs w:val="16"/>
          <w:lang w:val="en-US"/>
        </w:rPr>
        <w:t>.”</w:t>
      </w:r>
    </w:p>
  </w:footnote>
  <w:footnote w:id="378">
    <w:p w14:paraId="5BA1D923" w14:textId="14430290" w:rsidR="0068647C" w:rsidRPr="000E696E" w:rsidRDefault="0068647C" w:rsidP="00D61BD2">
      <w:pPr>
        <w:pStyle w:val="Textonotapie"/>
      </w:pPr>
      <w:r w:rsidRPr="000E696E">
        <w:rPr>
          <w:rStyle w:val="Refdenotaalpie"/>
          <w:sz w:val="16"/>
        </w:rPr>
        <w:footnoteRef/>
      </w:r>
      <w:r w:rsidRPr="000E696E">
        <w:t xml:space="preserve"> </w:t>
      </w:r>
      <w:r w:rsidRPr="000E696E">
        <w:tab/>
        <w:t>Art. 31.3.c) of the Vienna Convention on the Law of Treaties: ““General rule of interpretation.... There shall be taken into account, together with the context: … (c) any relevant rules of international law applicable in the relations between the parties.”</w:t>
      </w:r>
    </w:p>
  </w:footnote>
  <w:footnote w:id="379">
    <w:p w14:paraId="76EEEDDC" w14:textId="376E2483" w:rsidR="0068647C" w:rsidRPr="000E696E" w:rsidRDefault="0068647C" w:rsidP="00D61BD2">
      <w:pPr>
        <w:pStyle w:val="Textonotapie"/>
      </w:pPr>
      <w:r w:rsidRPr="000E696E">
        <w:rPr>
          <w:rStyle w:val="Refdenotaalpie"/>
          <w:sz w:val="16"/>
        </w:rPr>
        <w:footnoteRef/>
      </w:r>
      <w:r w:rsidRPr="000E696E">
        <w:t xml:space="preserve"> </w:t>
      </w:r>
      <w:r w:rsidRPr="000E696E">
        <w:tab/>
        <w:t>Paras. Nos. 141 to 150. Hereafter, each time a paragraph is cited, it will be indicated as “para.” or “paras” if plural, and it shall be understood to correspond to the judgment.</w:t>
      </w:r>
    </w:p>
  </w:footnote>
  <w:footnote w:id="380">
    <w:p w14:paraId="63547657" w14:textId="65931C6F" w:rsidR="0068647C" w:rsidRPr="000E696E" w:rsidRDefault="0068647C" w:rsidP="00D61BD2">
      <w:pPr>
        <w:pStyle w:val="Textonotapie"/>
      </w:pPr>
      <w:r w:rsidRPr="000E696E">
        <w:rPr>
          <w:rStyle w:val="Refdenotaalpie"/>
          <w:sz w:val="16"/>
        </w:rPr>
        <w:footnoteRef/>
      </w:r>
      <w:r w:rsidRPr="000E696E">
        <w:t xml:space="preserve"> </w:t>
      </w:r>
      <w:r w:rsidRPr="000E696E">
        <w:tab/>
        <w:t>“Freedom of Association. Everyone has the right to associate freely for ideological, religious, political, economic, labor, social, cultural, sports, or other purposes.”</w:t>
      </w:r>
    </w:p>
  </w:footnote>
  <w:footnote w:id="381">
    <w:p w14:paraId="31A2762D" w14:textId="48703CCD" w:rsidR="0068647C" w:rsidRPr="000E696E" w:rsidRDefault="0068647C" w:rsidP="00D61BD2">
      <w:pPr>
        <w:pStyle w:val="Textonotapie"/>
      </w:pPr>
      <w:r w:rsidRPr="000E696E">
        <w:rPr>
          <w:rStyle w:val="Refdenotaalpie"/>
          <w:sz w:val="16"/>
        </w:rPr>
        <w:footnoteRef/>
      </w:r>
      <w:r w:rsidRPr="000E696E">
        <w:t xml:space="preserve"> </w:t>
      </w:r>
      <w:r w:rsidRPr="000E696E">
        <w:tab/>
        <w:t>Paras 155 to 160.</w:t>
      </w:r>
    </w:p>
  </w:footnote>
  <w:footnote w:id="382">
    <w:p w14:paraId="4C974ACF" w14:textId="44E2F653" w:rsidR="0068647C" w:rsidRPr="000E696E" w:rsidRDefault="0068647C" w:rsidP="00D61BD2">
      <w:pPr>
        <w:pStyle w:val="Textonotapie"/>
      </w:pPr>
      <w:r w:rsidRPr="000E696E">
        <w:rPr>
          <w:rStyle w:val="Refdenotaalpie"/>
          <w:sz w:val="16"/>
        </w:rPr>
        <w:footnoteRef/>
      </w:r>
      <w:r w:rsidRPr="000E696E">
        <w:t xml:space="preserve"> </w:t>
      </w:r>
      <w:r w:rsidRPr="000E696E">
        <w:tab/>
        <w:t>Para. 158.</w:t>
      </w:r>
    </w:p>
  </w:footnote>
  <w:footnote w:id="383">
    <w:p w14:paraId="07C58B55" w14:textId="7FA7011F" w:rsidR="0068647C" w:rsidRPr="000E696E" w:rsidRDefault="0068647C" w:rsidP="00D61BD2">
      <w:pPr>
        <w:pStyle w:val="Textonotapie"/>
      </w:pPr>
      <w:r w:rsidRPr="000E696E">
        <w:rPr>
          <w:rStyle w:val="Refdenotaalpie"/>
          <w:sz w:val="16"/>
        </w:rPr>
        <w:footnoteRef/>
      </w:r>
      <w:r w:rsidRPr="000E696E">
        <w:t xml:space="preserve"> </w:t>
      </w:r>
      <w:r w:rsidRPr="000E696E">
        <w:tab/>
        <w:t>Para. 159.</w:t>
      </w:r>
    </w:p>
  </w:footnote>
  <w:footnote w:id="384">
    <w:p w14:paraId="63AB0575" w14:textId="37642991" w:rsidR="0068647C" w:rsidRPr="000E696E" w:rsidRDefault="0068647C" w:rsidP="00AA1EBF">
      <w:pPr>
        <w:pStyle w:val="NormalWeb"/>
        <w:spacing w:before="0" w:beforeAutospacing="0" w:after="60" w:afterAutospacing="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 31.3.c) of the Vienna Convention on the Law of Treaties: “General rule of interpretation.... There shall be taken into account, together with the context: … (c) any relevant rules of international law applicable in the relations between the parties.”</w:t>
      </w:r>
    </w:p>
  </w:footnote>
  <w:footnote w:id="385">
    <w:p w14:paraId="39A7061C" w14:textId="34B245A1" w:rsidR="0068647C" w:rsidRPr="000E696E" w:rsidRDefault="0068647C" w:rsidP="00D61BD2">
      <w:pPr>
        <w:pStyle w:val="Textonotapie"/>
      </w:pPr>
      <w:r w:rsidRPr="000E696E">
        <w:rPr>
          <w:rStyle w:val="Refdenotaalpie"/>
          <w:sz w:val="16"/>
        </w:rPr>
        <w:footnoteRef/>
      </w:r>
      <w:r w:rsidRPr="000E696E">
        <w:t xml:space="preserve"> </w:t>
      </w:r>
      <w:r w:rsidRPr="000E696E">
        <w:tab/>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386">
    <w:p w14:paraId="075BA276" w14:textId="307C80E3"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Style w:val="Refdenotaalpie"/>
          <w:sz w:val="16"/>
          <w:lang w:val="en-US"/>
        </w:rPr>
        <w:footnoteRef/>
      </w:r>
      <w:r w:rsidRPr="000E696E">
        <w:rPr>
          <w:lang w:val="en-US"/>
        </w:rPr>
        <w:t xml:space="preserve"> </w:t>
      </w:r>
      <w:r w:rsidRPr="000E696E">
        <w:rPr>
          <w:lang w:val="en-US"/>
        </w:rPr>
        <w:tab/>
      </w:r>
      <w:r w:rsidRPr="000E696E">
        <w:rPr>
          <w:rFonts w:ascii="Verdana" w:hAnsi="Verdana"/>
          <w:sz w:val="16"/>
          <w:szCs w:val="16"/>
          <w:lang w:val="en-US"/>
        </w:rPr>
        <w:t xml:space="preserve">“Restrictions Regarding Interpretation. </w:t>
      </w:r>
      <w:r w:rsidRPr="000E696E">
        <w:rPr>
          <w:rFonts w:ascii="Verdana" w:hAnsi="Verdana"/>
          <w:spacing w:val="-3"/>
          <w:sz w:val="16"/>
          <w:szCs w:val="16"/>
          <w:lang w:val="en-US"/>
        </w:rPr>
        <w:t>No provision of this Convention shall be interpreted as: a. permitting any State Party, group, or person to suppress the enjoyment or exercise of the rights and freedoms recognized in this Convention or to restrict them to a greater extent than is provided for herein</w:t>
      </w:r>
      <w:r w:rsidRPr="000E696E">
        <w:rPr>
          <w:rFonts w:ascii="Verdana" w:hAnsi="Verdana"/>
          <w:sz w:val="16"/>
          <w:szCs w:val="16"/>
          <w:lang w:val="en-US"/>
        </w:rPr>
        <w:t>.”</w:t>
      </w:r>
    </w:p>
  </w:footnote>
  <w:footnote w:id="387">
    <w:p w14:paraId="43F0E57E" w14:textId="5AFABFE6" w:rsidR="0068647C" w:rsidRPr="000E696E" w:rsidRDefault="0068647C" w:rsidP="00D61BD2">
      <w:pPr>
        <w:pStyle w:val="Textonotapie"/>
      </w:pPr>
      <w:r w:rsidRPr="000E696E">
        <w:rPr>
          <w:rStyle w:val="Refdenotaalpie"/>
          <w:sz w:val="16"/>
        </w:rPr>
        <w:footnoteRef/>
      </w:r>
      <w:r w:rsidRPr="000E696E">
        <w:t xml:space="preserve"> </w:t>
      </w:r>
      <w:r w:rsidRPr="000E696E">
        <w:tab/>
        <w:t>Art. 45(1): “Any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p>
  </w:footnote>
  <w:footnote w:id="388">
    <w:p w14:paraId="38E6E618" w14:textId="338A89F6" w:rsidR="0068647C" w:rsidRPr="000E696E" w:rsidRDefault="0068647C" w:rsidP="00D61BD2">
      <w:pPr>
        <w:pStyle w:val="Textonotapie"/>
      </w:pPr>
      <w:r w:rsidRPr="000E696E">
        <w:rPr>
          <w:rStyle w:val="Refdenotaalpie"/>
          <w:sz w:val="16"/>
        </w:rPr>
        <w:footnoteRef/>
      </w:r>
      <w:r w:rsidRPr="000E696E">
        <w:t xml:space="preserve"> </w:t>
      </w:r>
      <w:r w:rsidRPr="000E696E">
        <w:tab/>
        <w:t>Art. 47(b) “The Commission shall consider inadmissible any petition or communication submitted under Articles 44 or 45 if: ... the petition or communication does not state facts that tend to establish a violation of the rights guaranteed by this Convention.”</w:t>
      </w:r>
    </w:p>
  </w:footnote>
  <w:footnote w:id="389">
    <w:p w14:paraId="2EBCC275" w14:textId="77777777" w:rsidR="0068647C" w:rsidRPr="000E696E" w:rsidRDefault="0068647C" w:rsidP="003E678C">
      <w:pPr>
        <w:pStyle w:val="Textonotapie"/>
      </w:pPr>
      <w:r w:rsidRPr="000E696E">
        <w:rPr>
          <w:rStyle w:val="Refdenotaalpie"/>
          <w:sz w:val="16"/>
        </w:rPr>
        <w:footnoteRef/>
      </w:r>
      <w:r w:rsidRPr="000E696E">
        <w:t xml:space="preserve"> </w:t>
      </w:r>
      <w:r w:rsidRPr="000E696E">
        <w:tab/>
        <w:t>Art.48(1): “When the Commission receives a petition or communication alleging violation of any of the rights protected by this Convention, it shall proceed as follows: ...”</w:t>
      </w:r>
    </w:p>
  </w:footnote>
  <w:footnote w:id="390">
    <w:p w14:paraId="73F3D6C7" w14:textId="16675F86" w:rsidR="0068647C" w:rsidRPr="000E696E" w:rsidRDefault="0068647C" w:rsidP="00D61BD2">
      <w:pPr>
        <w:pStyle w:val="Textonotapie"/>
      </w:pPr>
      <w:r w:rsidRPr="000E696E">
        <w:rPr>
          <w:rStyle w:val="Refdenotaalpie"/>
          <w:sz w:val="16"/>
        </w:rPr>
        <w:footnoteRef/>
      </w:r>
      <w:r w:rsidRPr="000E696E">
        <w:t xml:space="preserve"> </w:t>
      </w:r>
      <w:r w:rsidRPr="000E696E">
        <w:tab/>
        <w:t>Art. 63(1):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391">
    <w:p w14:paraId="6C838507" w14:textId="258C1D26" w:rsidR="0068647C" w:rsidRPr="000E696E" w:rsidRDefault="0068647C" w:rsidP="00D61BD2">
      <w:pPr>
        <w:pStyle w:val="Textonotapie"/>
      </w:pPr>
      <w:r w:rsidRPr="000E696E">
        <w:rPr>
          <w:rStyle w:val="Refdenotaalpie"/>
          <w:sz w:val="16"/>
        </w:rPr>
        <w:footnoteRef/>
      </w:r>
      <w:r w:rsidRPr="000E696E">
        <w:t xml:space="preserve"> </w:t>
      </w:r>
      <w:r w:rsidRPr="000E696E">
        <w:tab/>
        <w:t>Hereafter, each time the rights “recognized” in the Convention are referred to, it shall be understood that this also includes those that are “established,” “</w:t>
      </w:r>
      <w:r w:rsidRPr="000E696E">
        <w:rPr>
          <w:i/>
        </w:rPr>
        <w:t>guaranteed,</w:t>
      </w:r>
      <w:r w:rsidRPr="000E696E">
        <w:t>”  “</w:t>
      </w:r>
      <w:r w:rsidRPr="000E696E">
        <w:rPr>
          <w:i/>
        </w:rPr>
        <w:t>embodied</w:t>
      </w:r>
      <w:r w:rsidRPr="000E696E">
        <w:t>”  or “</w:t>
      </w:r>
      <w:r w:rsidRPr="000E696E">
        <w:rPr>
          <w:i/>
        </w:rPr>
        <w:t>protected.”</w:t>
      </w:r>
      <w:r w:rsidRPr="000E696E">
        <w:t xml:space="preserve"> </w:t>
      </w:r>
    </w:p>
  </w:footnote>
  <w:footnote w:id="392">
    <w:p w14:paraId="0C7A7A65" w14:textId="0B196E8A" w:rsidR="0068647C" w:rsidRPr="000E696E" w:rsidRDefault="0068647C" w:rsidP="00D61BD2">
      <w:pPr>
        <w:pStyle w:val="Textonotapie"/>
      </w:pPr>
      <w:r w:rsidRPr="000E696E">
        <w:rPr>
          <w:rStyle w:val="Refdenotaalpie"/>
          <w:sz w:val="16"/>
        </w:rPr>
        <w:footnoteRef/>
      </w:r>
      <w:r w:rsidRPr="000E696E">
        <w:t xml:space="preserve"> </w:t>
      </w:r>
      <w:r w:rsidRPr="000E696E">
        <w:tab/>
        <w:t>It should be pointed out that the Convention also mentioned “principles,” referring to “a system of personal liberty and social justice based on respect for the essential rights of man,” because these “are not derived from one's being a national of a certain state, but are based upon attributes of the human personality,” and that they “have been set forth in the Charter of the Organization of American States, in the American Declaration of the Rights and Duties of Man, and in the Universal Declaration of Human Rights and […] have been reaffirmed and refined in other international instruments, worldwide as well as regional in scope.” Paras.1, 2 and 3 of the Preamble.</w:t>
      </w:r>
    </w:p>
  </w:footnote>
  <w:footnote w:id="393">
    <w:p w14:paraId="566611D1" w14:textId="47BC714C" w:rsidR="0068647C" w:rsidRPr="000E696E" w:rsidRDefault="0068647C" w:rsidP="00D61BD2">
      <w:pPr>
        <w:pStyle w:val="Textonotapie"/>
      </w:pPr>
      <w:r w:rsidRPr="000E696E">
        <w:rPr>
          <w:rStyle w:val="Refdenotaalpie"/>
          <w:sz w:val="16"/>
        </w:rPr>
        <w:footnoteRef/>
      </w:r>
      <w:r w:rsidRPr="000E696E">
        <w:t xml:space="preserve"> </w:t>
      </w:r>
      <w:r w:rsidRPr="000E696E">
        <w:tab/>
        <w:t>Paragraph 4 of the Preamble: “Reiterating that, in accordance with the Universal Declaration of Human Rights, the ideal of free men enjoying freedom from fear and want can be achieved only if conditions are created whereby everyone may enjoy his economic, social, and cultural rights, as well as his civil and political rights.”</w:t>
      </w:r>
    </w:p>
  </w:footnote>
  <w:footnote w:id="394">
    <w:p w14:paraId="67485462" w14:textId="03307AC5" w:rsidR="0068647C" w:rsidRPr="000E696E" w:rsidRDefault="0068647C" w:rsidP="00D61BD2">
      <w:pPr>
        <w:pStyle w:val="Textonotapie"/>
        <w:rPr>
          <w:i/>
        </w:rPr>
      </w:pPr>
      <w:r w:rsidRPr="000E696E">
        <w:rPr>
          <w:rStyle w:val="Refdenotaalpie"/>
          <w:sz w:val="16"/>
        </w:rPr>
        <w:footnoteRef/>
      </w:r>
      <w:r w:rsidRPr="000E696E">
        <w:t xml:space="preserve"> </w:t>
      </w:r>
      <w:r w:rsidRPr="000E696E">
        <w:tab/>
        <w:t xml:space="preserve">Art.2, </w:t>
      </w:r>
      <w:r w:rsidRPr="000E696E">
        <w:rPr>
          <w:i/>
        </w:rPr>
        <w:t xml:space="preserve">cit. </w:t>
      </w:r>
      <w:r w:rsidRPr="000E696E">
        <w:t>in Footnote 3.</w:t>
      </w:r>
    </w:p>
  </w:footnote>
  <w:footnote w:id="395">
    <w:p w14:paraId="376A3562" w14:textId="5835EA9B" w:rsidR="0068647C" w:rsidRPr="000E696E" w:rsidRDefault="0068647C" w:rsidP="00AA1EBF">
      <w:pPr>
        <w:tabs>
          <w:tab w:val="left" w:pos="720"/>
          <w:tab w:val="left" w:pos="1680"/>
          <w:tab w:val="left" w:pos="5400"/>
        </w:tabs>
        <w:suppressAutoHyphens/>
        <w:spacing w:after="60"/>
        <w:jc w:val="both"/>
        <w:rPr>
          <w:rFonts w:ascii="Verdana" w:hAnsi="Verdana"/>
          <w:spacing w:val="-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 29(b): “Restrictions Regarding Interpretation. </w:t>
      </w:r>
      <w:r w:rsidRPr="000E696E">
        <w:rPr>
          <w:rFonts w:ascii="Verdana" w:hAnsi="Verdana"/>
          <w:spacing w:val="-3"/>
          <w:sz w:val="16"/>
          <w:szCs w:val="16"/>
          <w:lang w:val="en-US"/>
        </w:rPr>
        <w:t>No provision of this Convention shall be interpreted as</w:t>
      </w:r>
      <w:r w:rsidRPr="000E696E">
        <w:rPr>
          <w:rFonts w:ascii="Verdana" w:hAnsi="Verdana"/>
          <w:sz w:val="16"/>
          <w:szCs w:val="16"/>
          <w:lang w:val="en-US"/>
        </w:rPr>
        <w:t xml:space="preserve">:... </w:t>
      </w:r>
      <w:r w:rsidRPr="000E696E">
        <w:rPr>
          <w:rFonts w:ascii="Verdana" w:hAnsi="Verdana"/>
          <w:spacing w:val="-3"/>
          <w:sz w:val="16"/>
          <w:szCs w:val="16"/>
          <w:lang w:val="en-US"/>
        </w:rPr>
        <w:t>restricting the enjoyment or exercise of any right or freedom recognized by virtue of the laws of any State Party or by virtue of another convention to which one of the said states is a party.</w:t>
      </w:r>
    </w:p>
  </w:footnote>
  <w:footnote w:id="396">
    <w:p w14:paraId="7FD6CFC8" w14:textId="4DB06F92" w:rsidR="0068647C" w:rsidRPr="000E696E" w:rsidRDefault="0068647C" w:rsidP="00D61BD2">
      <w:pPr>
        <w:pStyle w:val="Textonotapie"/>
      </w:pPr>
      <w:r w:rsidRPr="000E696E">
        <w:rPr>
          <w:rStyle w:val="Refdenotaalpie"/>
          <w:sz w:val="16"/>
        </w:rPr>
        <w:footnoteRef/>
      </w:r>
      <w:r w:rsidRPr="000E696E">
        <w:t xml:space="preserve"> </w:t>
      </w:r>
      <w:r w:rsidRPr="000E696E">
        <w:tab/>
        <w:t>Art. 29(c): “Restrictions Regarding Interpretation. No provision of this Convention shall be interpreted as:... precluding other rights or guarantees that are inherent in the human personality or derived from representative democracy as a form of government [...].”</w:t>
      </w:r>
    </w:p>
  </w:footnote>
  <w:footnote w:id="397">
    <w:p w14:paraId="4126DEDE" w14:textId="027D8066" w:rsidR="0068647C" w:rsidRPr="000E696E" w:rsidRDefault="0068647C" w:rsidP="00D61BD2">
      <w:pPr>
        <w:pStyle w:val="Textonotapie"/>
      </w:pPr>
      <w:r w:rsidRPr="000E696E">
        <w:rPr>
          <w:rStyle w:val="Refdenotaalpie"/>
          <w:sz w:val="16"/>
        </w:rPr>
        <w:footnoteRef/>
      </w:r>
      <w:r w:rsidRPr="000E696E">
        <w:t xml:space="preserve"> </w:t>
      </w:r>
      <w:r w:rsidRPr="000E696E">
        <w:tab/>
        <w:t>Paras. 142 and 154.</w:t>
      </w:r>
    </w:p>
  </w:footnote>
  <w:footnote w:id="398">
    <w:p w14:paraId="7BD86C1F" w14:textId="2F24B675" w:rsidR="0068647C" w:rsidRPr="000E696E" w:rsidRDefault="0068647C" w:rsidP="00AA1EBF">
      <w:pPr>
        <w:tabs>
          <w:tab w:val="left" w:pos="720"/>
          <w:tab w:val="left" w:pos="1080"/>
          <w:tab w:val="left" w:pos="1680"/>
          <w:tab w:val="left" w:pos="5400"/>
        </w:tabs>
        <w:suppressAutoHyphens/>
        <w:spacing w:after="60"/>
        <w:jc w:val="both"/>
        <w:rPr>
          <w:rFonts w:ascii="Verdana" w:hAnsi="Verdana"/>
          <w:spacing w:val="-3"/>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 33: “</w:t>
      </w:r>
      <w:r w:rsidRPr="000E696E">
        <w:rPr>
          <w:rFonts w:ascii="Verdana" w:hAnsi="Verdana"/>
          <w:spacing w:val="-3"/>
          <w:sz w:val="16"/>
          <w:szCs w:val="16"/>
          <w:lang w:val="en-US"/>
        </w:rPr>
        <w:t>The following organs shall have competence with respect to matters relating to the fulfillment of the commitments made by the States Parties to this Convention:</w:t>
      </w:r>
    </w:p>
    <w:p w14:paraId="38B8EBA8" w14:textId="692E87CE"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a.</w:t>
      </w:r>
      <w:r w:rsidRPr="000E696E">
        <w:rPr>
          <w:rFonts w:ascii="Verdana" w:hAnsi="Verdana"/>
          <w:spacing w:val="-3"/>
          <w:sz w:val="16"/>
          <w:szCs w:val="16"/>
          <w:lang w:val="en-US"/>
        </w:rPr>
        <w:tab/>
        <w:t>the Inter</w:t>
      </w:r>
      <w:r w:rsidRPr="000E696E">
        <w:rPr>
          <w:rFonts w:ascii="Verdana" w:hAnsi="Verdana"/>
          <w:spacing w:val="-3"/>
          <w:sz w:val="16"/>
          <w:szCs w:val="16"/>
          <w:lang w:val="en-US"/>
        </w:rPr>
        <w:noBreakHyphen/>
        <w:t>American Commission on Human Rights, referred to as “The Commission;” and</w:t>
      </w:r>
    </w:p>
    <w:p w14:paraId="4A6EDADF" w14:textId="5F19E5D9" w:rsidR="0068647C" w:rsidRPr="000E696E" w:rsidRDefault="0068647C" w:rsidP="00AA1EBF">
      <w:pPr>
        <w:tabs>
          <w:tab w:val="left" w:pos="480"/>
          <w:tab w:val="left" w:pos="1080"/>
          <w:tab w:val="left" w:pos="1680"/>
          <w:tab w:val="left" w:pos="540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w:t>
      </w:r>
      <w:r w:rsidRPr="000E696E">
        <w:rPr>
          <w:rFonts w:ascii="Verdana" w:hAnsi="Verdana"/>
          <w:spacing w:val="-3"/>
          <w:sz w:val="16"/>
          <w:szCs w:val="16"/>
          <w:lang w:val="en-US"/>
        </w:rPr>
        <w:tab/>
        <w:t>the Inter</w:t>
      </w:r>
      <w:r w:rsidRPr="000E696E">
        <w:rPr>
          <w:rFonts w:ascii="Verdana" w:hAnsi="Verdana"/>
          <w:spacing w:val="-3"/>
          <w:sz w:val="16"/>
          <w:szCs w:val="16"/>
          <w:lang w:val="en-US"/>
        </w:rPr>
        <w:noBreakHyphen/>
        <w:t>American Court of Human Rights, referred to as “The Court.”</w:t>
      </w:r>
    </w:p>
  </w:footnote>
  <w:footnote w:id="399">
    <w:p w14:paraId="46B63EE0" w14:textId="54CA7451" w:rsidR="0068647C" w:rsidRPr="000E696E" w:rsidRDefault="0068647C" w:rsidP="00D61BD2">
      <w:pPr>
        <w:pStyle w:val="Textonotapie"/>
        <w:rPr>
          <w:i/>
        </w:rPr>
      </w:pPr>
      <w:r w:rsidRPr="000E696E">
        <w:rPr>
          <w:rStyle w:val="Refdenotaalpie"/>
          <w:sz w:val="16"/>
        </w:rPr>
        <w:footnoteRef/>
      </w:r>
      <w:r w:rsidRPr="000E696E">
        <w:t xml:space="preserve"> </w:t>
      </w:r>
      <w:r w:rsidRPr="000E696E">
        <w:tab/>
        <w:t>The possibility also exists that protocols are signed that do not involve the incorporation of rights into the protection system. Thus, for example, the 1990 Protocol to the American Convention on Human Rights to Abolish the Death Penalty, was adopted because, according to its sixth preambular paragraph “</w:t>
      </w:r>
      <w:r w:rsidRPr="000E696E">
        <w:rPr>
          <w:rFonts w:cs="Tahoma"/>
          <w:i/>
          <w:iCs/>
        </w:rPr>
        <w:t>an international agreement must be arrived at that will entail a progressive development of the American Convention on Human Rights</w:t>
      </w:r>
      <w:r w:rsidRPr="000E696E">
        <w:rPr>
          <w:rFonts w:cs="Tahoma"/>
        </w:rPr>
        <w:t>.”</w:t>
      </w:r>
    </w:p>
  </w:footnote>
  <w:footnote w:id="400">
    <w:p w14:paraId="33852793" w14:textId="3731E268" w:rsidR="0068647C" w:rsidRPr="000E696E" w:rsidRDefault="0068647C" w:rsidP="00D61BD2">
      <w:pPr>
        <w:pStyle w:val="Textonotapie"/>
      </w:pPr>
      <w:r w:rsidRPr="000E696E">
        <w:rPr>
          <w:rStyle w:val="Refdenotaalpie"/>
          <w:sz w:val="16"/>
        </w:rPr>
        <w:footnoteRef/>
      </w:r>
      <w:r w:rsidRPr="000E696E">
        <w:t xml:space="preserve"> </w:t>
      </w:r>
      <w:r w:rsidRPr="000E696E">
        <w:tab/>
        <w:t xml:space="preserve">Footnote 14. </w:t>
      </w:r>
    </w:p>
  </w:footnote>
  <w:footnote w:id="401">
    <w:p w14:paraId="7B7EFAB9" w14:textId="0FC78DE5" w:rsidR="0068647C" w:rsidRPr="000E696E" w:rsidRDefault="0068647C" w:rsidP="00D61BD2">
      <w:pPr>
        <w:pStyle w:val="Textonotapie"/>
      </w:pPr>
      <w:r w:rsidRPr="000E696E">
        <w:rPr>
          <w:rStyle w:val="Refdenotaalpie"/>
          <w:sz w:val="16"/>
        </w:rPr>
        <w:footnoteRef/>
      </w:r>
      <w:r w:rsidRPr="000E696E">
        <w:t xml:space="preserve"> </w:t>
      </w:r>
      <w:r w:rsidRPr="000E696E">
        <w:tab/>
        <w:t xml:space="preserve">Para. 142. </w:t>
      </w:r>
    </w:p>
  </w:footnote>
  <w:footnote w:id="402">
    <w:p w14:paraId="3DBC42AC" w14:textId="71F2E474"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Preambular paragraph 7: “</w:t>
      </w:r>
      <w:r w:rsidRPr="000E696E">
        <w:rPr>
          <w:rFonts w:ascii="Verdana" w:hAnsi="Verdana" w:cs="Tahoma"/>
          <w:sz w:val="16"/>
          <w:szCs w:val="16"/>
          <w:lang w:val="en-US"/>
        </w:rPr>
        <w:t>Considering that the American Convention on Human Rights provides that draft additional protocols to that Convention may be submitted for consideration to the States Parties, meeting together on the occasion of the General Assembly of the Organization of American States, for the purpose of gradually incorporating other rights and freedoms into the protective system thereof, Have agreed upon the following Additional Protocol to the American Convention on Human Rights “Protocol of San Salvador.”</w:t>
      </w:r>
    </w:p>
  </w:footnote>
  <w:footnote w:id="403">
    <w:p w14:paraId="683D0A62" w14:textId="23F0BFC1" w:rsidR="0068647C" w:rsidRPr="000E696E" w:rsidRDefault="0068647C" w:rsidP="00AA1EBF">
      <w:pPr>
        <w:spacing w:after="60"/>
        <w:jc w:val="both"/>
        <w:rPr>
          <w:rFonts w:ascii="Verdana" w:eastAsia="Times New Roman" w:hAnsi="Verdana" w:cs="Arial"/>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 1 of the Protocol of San Salvador: “Obligation to Adopt Measures. </w:t>
      </w:r>
      <w:r w:rsidRPr="000E696E">
        <w:rPr>
          <w:rFonts w:ascii="Verdana" w:eastAsia="Times New Roman" w:hAnsi="Verdana" w:cs="Tahoma"/>
          <w:sz w:val="16"/>
          <w:szCs w:val="16"/>
          <w:lang w:val="en-US"/>
        </w:rPr>
        <w:t>The States Parties to this Additional Protocol to the American Convention on Human Rights undertake to adopt the necessary measures, both domestically and through international cooperation, especially economic and technical, to the extent allowed by their available resources, and taking into account their degree of development, for the purpose of achieving progressively and pursuant to their internal legislations, the full observance of the rights recognized in this Protocol</w:t>
      </w:r>
      <w:r w:rsidRPr="000E696E">
        <w:rPr>
          <w:rFonts w:ascii="Verdana" w:hAnsi="Verdana"/>
          <w:sz w:val="16"/>
          <w:szCs w:val="16"/>
          <w:lang w:val="en-US"/>
        </w:rPr>
        <w:t>.”</w:t>
      </w:r>
    </w:p>
  </w:footnote>
  <w:footnote w:id="404">
    <w:p w14:paraId="699DD5E4" w14:textId="21E732DA" w:rsidR="0068647C" w:rsidRPr="000E696E" w:rsidRDefault="0068647C" w:rsidP="00D61BD2">
      <w:pPr>
        <w:pStyle w:val="Textonotapie"/>
      </w:pPr>
      <w:r w:rsidRPr="000E696E">
        <w:rPr>
          <w:rStyle w:val="Refdenotaalpie"/>
          <w:sz w:val="16"/>
        </w:rPr>
        <w:footnoteRef/>
      </w:r>
      <w:r w:rsidRPr="000E696E">
        <w:t xml:space="preserve"> </w:t>
      </w:r>
      <w:r w:rsidRPr="000E696E">
        <w:tab/>
        <w:t>Art. 19(6) of this Protocol: “Any instance in which the rights established in paragraph a) of Article 8 and in Article 13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w:t>
      </w:r>
    </w:p>
  </w:footnote>
  <w:footnote w:id="405">
    <w:p w14:paraId="58BD2C37" w14:textId="49644D42" w:rsidR="0068647C" w:rsidRPr="000E696E" w:rsidRDefault="0068647C" w:rsidP="00AA1EBF">
      <w:pPr>
        <w:pStyle w:val="NormalWeb"/>
        <w:spacing w:before="0" w:beforeAutospacing="0" w:after="60" w:afterAutospacing="0"/>
        <w:jc w:val="both"/>
        <w:rPr>
          <w:rFonts w:ascii="Verdana" w:hAnsi="Verdana" w:cs="Arial"/>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Art. 8(a) of this Protocol: “</w:t>
      </w:r>
      <w:r w:rsidRPr="000E696E">
        <w:rPr>
          <w:rFonts w:ascii="Verdana" w:hAnsi="Verdana" w:cs="Tahoma"/>
          <w:sz w:val="16"/>
          <w:szCs w:val="16"/>
          <w:lang w:val="en-US"/>
        </w:rPr>
        <w:t>The States Parties shall ensure: (a) The right of workers to organize labor unions and to join the union of their choice for the purpose of protecting and promoting their interests. As an extension of that right, the States Parties shall permit labor unions to establish national federations or confederations, or to affiliate with those that already exist, as well as to form international labor union organizations and to affiliate with that of their choice. The States Parties shall also permit labor unions, federations and confederations to function freely</w:t>
      </w:r>
      <w:r w:rsidRPr="000E696E">
        <w:rPr>
          <w:rFonts w:ascii="Verdana" w:hAnsi="Verdana"/>
          <w:sz w:val="16"/>
          <w:szCs w:val="16"/>
          <w:lang w:val="en-US"/>
        </w:rPr>
        <w:t>.”</w:t>
      </w:r>
    </w:p>
  </w:footnote>
  <w:footnote w:id="406">
    <w:p w14:paraId="41090582" w14:textId="5F395F47" w:rsidR="0068647C" w:rsidRPr="000E696E" w:rsidRDefault="0068647C" w:rsidP="00587255">
      <w:pPr>
        <w:spacing w:after="60"/>
        <w:jc w:val="both"/>
        <w:rPr>
          <w:rFonts w:ascii="Verdana" w:eastAsia="Times New Roman" w:hAnsi="Verdana" w:cs="Arial"/>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Art.13 of this Protocol: “Right to Education. 1. </w:t>
      </w:r>
      <w:r w:rsidRPr="000E696E">
        <w:rPr>
          <w:rFonts w:ascii="Verdana" w:eastAsia="Times New Roman" w:hAnsi="Verdana" w:cs="Tahoma"/>
          <w:sz w:val="16"/>
          <w:szCs w:val="16"/>
          <w:lang w:val="en-US"/>
        </w:rPr>
        <w:t>1. Everyone has the right to education.</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2. 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3. The States Parties to this Protocol recognize that in order to achieve the full exercise of the right to education:</w:t>
      </w:r>
      <w:r w:rsidRPr="000E696E">
        <w:rPr>
          <w:rFonts w:ascii="Verdana" w:eastAsia="Times New Roman" w:hAnsi="Verdana" w:cs="Arial"/>
          <w:sz w:val="16"/>
          <w:szCs w:val="16"/>
          <w:lang w:val="en-US"/>
        </w:rPr>
        <w:t xml:space="preserve"> a.</w:t>
      </w:r>
      <w:r w:rsidRPr="000E696E">
        <w:rPr>
          <w:rFonts w:ascii="Verdana" w:eastAsia="Times New Roman" w:hAnsi="Verdana" w:cs="Tahoma"/>
          <w:sz w:val="16"/>
          <w:szCs w:val="16"/>
          <w:lang w:val="en-US"/>
        </w:rPr>
        <w:t xml:space="preserve"> Primary education should be compulsory and accessible to all without cost;</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b. Secondary education in its different forms, including technical and vocational secondary education, should be made generally available and accessible to all by every appropriate means, and in particular, by the progressive introduction of free education;</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c. Higher education should be made equally accessible to all, on the basis of individual capacity, by every appropriate means, and in particular, by the progressive introduction of free education;</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d. Basic education should be encouraged or intensified as far as possible for those persons who have not received or completed the whole cycle of primary instruction;</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e. Programs of special education should be established for the handicapped, so as to provide special instruction and training to persons with physical disabilities or mental deficiencies.</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4. In conformity with the domestic legislation of the States Parties, parents should have the right to select the type of education to be given to their children, provided that it conforms to the principles set forth above.</w:t>
      </w:r>
      <w:r w:rsidRPr="000E696E">
        <w:rPr>
          <w:rFonts w:ascii="Verdana" w:eastAsia="Times New Roman" w:hAnsi="Verdana" w:cs="Arial"/>
          <w:sz w:val="16"/>
          <w:szCs w:val="16"/>
          <w:lang w:val="en-US"/>
        </w:rPr>
        <w:t xml:space="preserve"> </w:t>
      </w:r>
      <w:r w:rsidRPr="000E696E">
        <w:rPr>
          <w:rFonts w:ascii="Verdana" w:eastAsia="Times New Roman" w:hAnsi="Verdana" w:cs="Tahoma"/>
          <w:sz w:val="16"/>
          <w:szCs w:val="16"/>
          <w:lang w:val="en-US"/>
        </w:rPr>
        <w:t>5. Nothing in this Protocol shall be interpreted as a restriction of the freedom of individuals and entities to establish and direct educational institutions in accordance with the domestic legislation of the States Parties</w:t>
      </w:r>
      <w:r w:rsidRPr="000E696E">
        <w:rPr>
          <w:rFonts w:ascii="Verdana" w:hAnsi="Verdana"/>
          <w:sz w:val="16"/>
          <w:szCs w:val="16"/>
          <w:lang w:val="en-US"/>
        </w:rPr>
        <w:t>.”</w:t>
      </w:r>
    </w:p>
  </w:footnote>
  <w:footnote w:id="407">
    <w:p w14:paraId="3596F2D5" w14:textId="35C345BF" w:rsidR="0068647C" w:rsidRPr="000E696E" w:rsidRDefault="0068647C" w:rsidP="00D61BD2">
      <w:pPr>
        <w:pStyle w:val="Textonotapie"/>
      </w:pPr>
      <w:r w:rsidRPr="000E696E">
        <w:rPr>
          <w:rStyle w:val="Refdenotaalpie"/>
          <w:sz w:val="16"/>
        </w:rPr>
        <w:footnoteRef/>
      </w:r>
      <w:r w:rsidRPr="000E696E">
        <w:t xml:space="preserve"> </w:t>
      </w:r>
      <w:r w:rsidRPr="000E696E">
        <w:tab/>
        <w:t>Footnote 5.</w:t>
      </w:r>
    </w:p>
  </w:footnote>
  <w:footnote w:id="408">
    <w:p w14:paraId="308E56FC" w14:textId="1F577FF6" w:rsidR="0068647C" w:rsidRPr="000E696E" w:rsidRDefault="0068647C" w:rsidP="00D61BD2">
      <w:pPr>
        <w:pStyle w:val="Textonotapie"/>
        <w:rPr>
          <w:i/>
        </w:rPr>
      </w:pPr>
      <w:r w:rsidRPr="000E696E">
        <w:rPr>
          <w:rStyle w:val="Refdenotaalpie"/>
          <w:sz w:val="16"/>
        </w:rPr>
        <w:footnoteRef/>
      </w:r>
      <w:r w:rsidRPr="000E696E">
        <w:t xml:space="preserve"> </w:t>
      </w:r>
      <w:r w:rsidRPr="000E696E">
        <w:tab/>
        <w:t>Footnote 3.</w:t>
      </w:r>
    </w:p>
  </w:footnote>
  <w:footnote w:id="409">
    <w:p w14:paraId="5CB091CB" w14:textId="7AD4D675" w:rsidR="0068647C" w:rsidRPr="000E696E" w:rsidRDefault="0068647C" w:rsidP="00D61BD2">
      <w:pPr>
        <w:pStyle w:val="Textonotapie"/>
      </w:pPr>
      <w:r w:rsidRPr="000E696E">
        <w:rPr>
          <w:rStyle w:val="Refdenotaalpie"/>
          <w:sz w:val="16"/>
        </w:rPr>
        <w:footnoteRef/>
      </w:r>
      <w:r w:rsidRPr="000E696E">
        <w:t xml:space="preserve"> </w:t>
      </w:r>
      <w:r w:rsidRPr="000E696E">
        <w:tab/>
        <w:t>Idem.</w:t>
      </w:r>
    </w:p>
  </w:footnote>
  <w:footnote w:id="410">
    <w:p w14:paraId="39ED11F4" w14:textId="52343B64" w:rsidR="0068647C" w:rsidRPr="000E696E" w:rsidRDefault="0068647C" w:rsidP="00D61BD2">
      <w:pPr>
        <w:pStyle w:val="Textonotapie"/>
      </w:pPr>
      <w:r w:rsidRPr="000E696E">
        <w:rPr>
          <w:rStyle w:val="Refdenotaalpie"/>
          <w:sz w:val="16"/>
        </w:rPr>
        <w:footnoteRef/>
      </w:r>
      <w:r w:rsidRPr="000E696E">
        <w:t xml:space="preserve"> </w:t>
      </w:r>
      <w:r w:rsidRPr="000E696E">
        <w:tab/>
        <w:t>“Domestic Legal Effects.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411">
    <w:p w14:paraId="781BAE58" w14:textId="36F53CE7" w:rsidR="0068647C" w:rsidRPr="000E696E" w:rsidRDefault="0068647C" w:rsidP="00CF7C9C">
      <w:pPr>
        <w:pStyle w:val="NormalWeb"/>
        <w:spacing w:before="0" w:beforeAutospacing="0" w:after="60" w:afterAutospacing="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lang w:val="en-US"/>
        </w:rPr>
        <w:tab/>
      </w:r>
      <w:r w:rsidRPr="000E696E">
        <w:rPr>
          <w:rFonts w:ascii="Verdana" w:hAnsi="Verdana"/>
          <w:sz w:val="16"/>
          <w:szCs w:val="16"/>
          <w:lang w:val="en-US"/>
        </w:rPr>
        <w:t>Art.</w:t>
      </w:r>
      <w:r w:rsidRPr="000E696E">
        <w:rPr>
          <w:lang w:val="en-US"/>
        </w:rPr>
        <w:t xml:space="preserve"> </w:t>
      </w:r>
      <w:r w:rsidRPr="000E696E">
        <w:rPr>
          <w:rFonts w:ascii="Verdana" w:hAnsi="Verdana"/>
          <w:sz w:val="16"/>
          <w:szCs w:val="16"/>
          <w:lang w:val="en-US"/>
        </w:rPr>
        <w:t>32 of the Vienna Convention on the Law of Treaties: “Supplementary means of interpretation. 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58FC5084" w14:textId="77777777" w:rsidR="0068647C" w:rsidRPr="000E696E" w:rsidRDefault="0068647C" w:rsidP="00AA1EBF">
      <w:pPr>
        <w:pStyle w:val="NormalWeb"/>
        <w:spacing w:before="0" w:beforeAutospacing="0" w:after="60" w:afterAutospacing="0"/>
        <w:rPr>
          <w:rFonts w:ascii="Verdana" w:hAnsi="Verdana"/>
          <w:sz w:val="16"/>
          <w:szCs w:val="16"/>
          <w:lang w:val="en-US"/>
        </w:rPr>
      </w:pPr>
      <w:r w:rsidRPr="000E696E">
        <w:rPr>
          <w:rFonts w:ascii="Verdana" w:hAnsi="Verdana"/>
          <w:sz w:val="16"/>
          <w:szCs w:val="16"/>
          <w:lang w:val="en-US"/>
        </w:rPr>
        <w:t>(a) leaves the meaning ambiguous or obscure; or</w:t>
      </w:r>
    </w:p>
    <w:p w14:paraId="6071CFA4" w14:textId="7B44052D"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(b) leads to a result which is manifestly absurd or unreasonable.”</w:t>
      </w:r>
    </w:p>
  </w:footnote>
  <w:footnote w:id="412">
    <w:p w14:paraId="3A40BA68" w14:textId="22012E1A" w:rsidR="0068647C" w:rsidRPr="000E696E" w:rsidRDefault="0068647C" w:rsidP="00D61BD2">
      <w:pPr>
        <w:pStyle w:val="Textonotapie"/>
      </w:pPr>
      <w:r w:rsidRPr="000E696E">
        <w:rPr>
          <w:rStyle w:val="Refdenotaalpie"/>
          <w:sz w:val="16"/>
        </w:rPr>
        <w:footnoteRef/>
      </w:r>
      <w:r w:rsidRPr="000E696E">
        <w:t xml:space="preserve"> </w:t>
      </w:r>
      <w:r w:rsidRPr="000E696E">
        <w:tab/>
        <w:t xml:space="preserve">Concurring opinion of Judge Alberto Pérez Pérez, </w:t>
      </w:r>
      <w:r w:rsidRPr="000E696E">
        <w:rPr>
          <w:i/>
        </w:rPr>
        <w:t>Case of Gonzales Lluy et al. v. Ecuador,</w:t>
      </w:r>
      <w:r w:rsidRPr="000E696E">
        <w:t xml:space="preserve"> Judgment of September 1, 2015 (Preliminary objections, merits, reparations and costs).</w:t>
      </w:r>
    </w:p>
  </w:footnote>
  <w:footnote w:id="413">
    <w:p w14:paraId="07480017" w14:textId="1A0B2C70" w:rsidR="0068647C" w:rsidRPr="000E696E" w:rsidRDefault="0068647C" w:rsidP="00D61BD2">
      <w:pPr>
        <w:pStyle w:val="Textonotapie"/>
      </w:pPr>
      <w:r w:rsidRPr="000E696E">
        <w:rPr>
          <w:rStyle w:val="Refdenotaalpie"/>
          <w:sz w:val="16"/>
        </w:rPr>
        <w:footnoteRef/>
      </w:r>
      <w:r w:rsidRPr="000E696E">
        <w:t xml:space="preserve"> </w:t>
      </w:r>
      <w:r w:rsidRPr="000E696E">
        <w:tab/>
        <w:t>“The Member States, convinced that man can only achieve the full realization of his aspirations within a just social order, along with economic development and true peace, agree to dedicate every effort to the application of the following principles and mechanisms:</w:t>
      </w:r>
    </w:p>
    <w:p w14:paraId="2CF7F65E" w14:textId="69635001" w:rsidR="0068647C" w:rsidRPr="000E696E" w:rsidRDefault="0068647C" w:rsidP="00D61BD2">
      <w:pPr>
        <w:pStyle w:val="Textonotapie"/>
      </w:pPr>
      <w:r w:rsidRPr="000E696E">
        <w:t>[…] b)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p>
    <w:p w14:paraId="39D8DC1B" w14:textId="1CCCEB7A"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c) Employers and workers, both rural and urban, have the right to associate themselves freely for the defense and promotion of their interests, including the right to collective bargaining and the workers' right to strike, and recognition of the juridical personality of associations and the protection of their freedom and independence, all in accordance with applicable laws; </w:t>
      </w:r>
    </w:p>
  </w:footnote>
  <w:footnote w:id="414">
    <w:p w14:paraId="1C145DB0" w14:textId="0C117CCB" w:rsidR="0068647C" w:rsidRPr="000E696E" w:rsidRDefault="0068647C" w:rsidP="00AA1EBF">
      <w:pPr>
        <w:spacing w:after="60"/>
        <w:jc w:val="both"/>
        <w:rPr>
          <w:rFonts w:ascii="Verdana" w:eastAsia="Times New Roman"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w:t>
      </w:r>
      <w:bookmarkStart w:id="82" w:name="_Hlk27136582"/>
      <w:r w:rsidRPr="000E696E">
        <w:rPr>
          <w:rFonts w:ascii="Verdana" w:eastAsia="Times New Roman" w:hAnsi="Verdana"/>
          <w:sz w:val="16"/>
          <w:szCs w:val="16"/>
          <w:lang w:val="en-US"/>
        </w:rPr>
        <w:t>The Member States recognize that, in order 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 achieve this goal.”</w:t>
      </w:r>
      <w:bookmarkEnd w:id="82"/>
    </w:p>
  </w:footnote>
  <w:footnote w:id="415">
    <w:p w14:paraId="3C4825DF" w14:textId="18D8C77A"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g) Fair wages, employment opportunities, and acceptable working conditions for all.”</w:t>
      </w:r>
    </w:p>
  </w:footnote>
  <w:footnote w:id="416">
    <w:p w14:paraId="0A6690C1" w14:textId="420E32E5" w:rsidR="0068647C" w:rsidRPr="000E696E" w:rsidRDefault="0068647C" w:rsidP="00AA1EBF">
      <w:pPr>
        <w:spacing w:after="60"/>
        <w:jc w:val="both"/>
        <w:rPr>
          <w:rFonts w:ascii="Verdana" w:hAnsi="Verdana"/>
          <w:sz w:val="16"/>
          <w:szCs w:val="16"/>
          <w:lang w:val="en-US"/>
        </w:rPr>
      </w:pPr>
      <w:r w:rsidRPr="000E696E">
        <w:rPr>
          <w:rStyle w:val="Refdenotaalpie"/>
          <w:i/>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“The Member States, inspired by the principles of inter-American solidarity and cooperation, pledge themselves to a united effort to ensure international social justice in their relations and integral development for their peoples, as conditions essential to peace and security. Integral development encompasses the economic, social, educational, cultural, scientific, and technological fields through which the goals that each country sets for accomplishing it should be achieved.”</w:t>
      </w:r>
    </w:p>
  </w:footnote>
  <w:footnote w:id="417">
    <w:p w14:paraId="77D05B40" w14:textId="2FF8E5CF" w:rsidR="0068647C" w:rsidRPr="000E696E" w:rsidRDefault="0068647C" w:rsidP="00D61BD2">
      <w:pPr>
        <w:pStyle w:val="Textonotapie"/>
      </w:pPr>
      <w:r w:rsidRPr="000E696E">
        <w:rPr>
          <w:rStyle w:val="Refdenotaalpie"/>
          <w:sz w:val="16"/>
        </w:rPr>
        <w:footnoteRef/>
      </w:r>
      <w:r w:rsidRPr="000E696E">
        <w:t xml:space="preserve"> </w:t>
      </w:r>
      <w:r w:rsidRPr="000E696E">
        <w:tab/>
        <w:t>Footnote 9.</w:t>
      </w:r>
    </w:p>
  </w:footnote>
  <w:footnote w:id="418">
    <w:p w14:paraId="17B73F90" w14:textId="3CAA48BB" w:rsidR="0068647C" w:rsidRPr="000E696E" w:rsidRDefault="0068647C" w:rsidP="00D61BD2">
      <w:pPr>
        <w:pStyle w:val="Textonotapie"/>
      </w:pPr>
      <w:r w:rsidRPr="000E696E">
        <w:rPr>
          <w:rStyle w:val="Refdenotaalpie"/>
          <w:sz w:val="16"/>
        </w:rPr>
        <w:footnoteRef/>
      </w:r>
      <w:r w:rsidRPr="000E696E">
        <w:t xml:space="preserve"> </w:t>
      </w:r>
      <w:r w:rsidRPr="000E696E">
        <w:tab/>
        <w:t>Para. 141.</w:t>
      </w:r>
    </w:p>
  </w:footnote>
  <w:footnote w:id="419">
    <w:p w14:paraId="77E82967" w14:textId="3DD3DCBD" w:rsidR="0068647C" w:rsidRPr="000E696E" w:rsidRDefault="0068647C" w:rsidP="00D61BD2">
      <w:pPr>
        <w:pStyle w:val="Textonotapie"/>
      </w:pPr>
      <w:r w:rsidRPr="000E696E">
        <w:rPr>
          <w:rStyle w:val="Refdenotaalpie"/>
          <w:sz w:val="16"/>
        </w:rPr>
        <w:footnoteRef/>
      </w:r>
      <w:r w:rsidRPr="000E696E">
        <w:t xml:space="preserve"> </w:t>
      </w:r>
      <w:r w:rsidRPr="000E696E">
        <w:tab/>
        <w:t>Footnote 14.</w:t>
      </w:r>
    </w:p>
  </w:footnote>
  <w:footnote w:id="420">
    <w:p w14:paraId="4F74AA06" w14:textId="03C82325" w:rsidR="0068647C" w:rsidRPr="000E696E" w:rsidRDefault="0068647C" w:rsidP="00D61BD2">
      <w:pPr>
        <w:pStyle w:val="Textonotapie"/>
      </w:pPr>
      <w:r w:rsidRPr="000E696E">
        <w:rPr>
          <w:rStyle w:val="Refdenotaalpie"/>
          <w:sz w:val="16"/>
        </w:rPr>
        <w:footnoteRef/>
      </w:r>
      <w:r w:rsidRPr="000E696E">
        <w:t xml:space="preserve"> </w:t>
      </w:r>
      <w:r w:rsidRPr="000E696E">
        <w:tab/>
        <w:t>Footnote 42.</w:t>
      </w:r>
    </w:p>
  </w:footnote>
  <w:footnote w:id="421">
    <w:p w14:paraId="19500E5C" w14:textId="1545C40C" w:rsidR="0068647C" w:rsidRPr="000E696E" w:rsidRDefault="0068647C" w:rsidP="00D61BD2">
      <w:pPr>
        <w:pStyle w:val="Textonotapie"/>
      </w:pPr>
      <w:r w:rsidRPr="000E696E">
        <w:rPr>
          <w:rStyle w:val="Refdenotaalpie"/>
          <w:sz w:val="16"/>
        </w:rPr>
        <w:footnoteRef/>
      </w:r>
      <w:r w:rsidRPr="000E696E">
        <w:t xml:space="preserve"> </w:t>
      </w:r>
      <w:r w:rsidRPr="000E696E">
        <w:tab/>
        <w:t>Thus, for example, according to this criteria and restricting the reference only to the articles of the OAS Charter cited in the judgments – that is Articles 34, 45 and 46 – the rights that “derive” from the “basic goals” “principles and mechanisms” or “goal,” as applicable, could be judicialized before the Court, and they establish:</w:t>
      </w:r>
    </w:p>
    <w:p w14:paraId="51B14D50" w14:textId="3FC952FD"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Art. 34: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w:t>
      </w:r>
    </w:p>
    <w:p w14:paraId="19EFE269"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a) Substantial and self-sustained increase of per capita national product; </w:t>
      </w:r>
    </w:p>
    <w:p w14:paraId="22CDA2A6"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b) Equitable distribution of national income; </w:t>
      </w:r>
    </w:p>
    <w:p w14:paraId="45E57F3D"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c) Adequate and equitable systems of taxation; </w:t>
      </w:r>
    </w:p>
    <w:p w14:paraId="104F2533"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d) Modernization of rural life and reforms leading to equitable and efficient land-tenure systems, increased agricultural productivity, expanded use of land, diversification of production and improved processing and marketing systems for agricultural products; and the strengthening and expansion of the means to attain these ends; </w:t>
      </w:r>
    </w:p>
    <w:p w14:paraId="4752C76E"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e) Accelerated and diversified industrialization, especially of capital and intermediate goods.</w:t>
      </w:r>
    </w:p>
    <w:p w14:paraId="4DB99FC0"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f) Stability of domestic price levels, compatible with sustained economic development and the attainment of social justice; </w:t>
      </w:r>
    </w:p>
    <w:p w14:paraId="65326BF4"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g) Fair wages, employment opportunities, and acceptable working conditions for all; </w:t>
      </w:r>
    </w:p>
    <w:p w14:paraId="5A645C5C"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h) Rapid eradication of illiteracy and expansion of educational opportunities for all; </w:t>
      </w:r>
    </w:p>
    <w:p w14:paraId="573824C4"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i) Protection of man's potential through the extension and application of modern medical science; </w:t>
      </w:r>
    </w:p>
    <w:p w14:paraId="1FE749E6"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j) Proper nutrition, especially through the acceleration of national efforts to increase the production and availability of food; </w:t>
      </w:r>
    </w:p>
    <w:p w14:paraId="070AB61A"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k) Adequate housing for all sectors of the population; </w:t>
      </w:r>
    </w:p>
    <w:p w14:paraId="40F8CA1A"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l) Urban conditions that offer the opportunity for a healthful, productive, and full life; </w:t>
      </w:r>
    </w:p>
    <w:p w14:paraId="236E2C4D"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m) Promotion of private initiative and investment in harmony with action in the public sector; and </w:t>
      </w:r>
    </w:p>
    <w:p w14:paraId="54A64C2E" w14:textId="52E97C24"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n) Expansion and diversification of exports.”</w:t>
      </w:r>
    </w:p>
    <w:p w14:paraId="10069885" w14:textId="675930C0"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Art.45: “The Member States, convinced that man can only achieve the full realization of his aspirations within a just social order, along with economic development and true peace, agree to dedicate every effort to the application of the following principles and mechanisms: </w:t>
      </w:r>
    </w:p>
    <w:p w14:paraId="6815EF12"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 xml:space="preserve">a) All human beings, without distinction as to race, sex, nationality, creed, or social condition, have a right to material well-being and to their spiritual development, under circumstances of liberty, dignity, equality of opportunity, and economic security; </w:t>
      </w:r>
    </w:p>
    <w:p w14:paraId="2C816DB1" w14:textId="77777777" w:rsidR="0068647C" w:rsidRPr="000E696E" w:rsidRDefault="0068647C" w:rsidP="00AA1EBF">
      <w:pPr>
        <w:spacing w:after="60"/>
        <w:jc w:val="both"/>
        <w:rPr>
          <w:rFonts w:ascii="Verdana" w:hAnsi="Verdana"/>
          <w:sz w:val="16"/>
          <w:szCs w:val="16"/>
          <w:lang w:val="en-US"/>
        </w:rPr>
      </w:pPr>
      <w:r w:rsidRPr="000E696E">
        <w:rPr>
          <w:rFonts w:ascii="Verdana" w:hAnsi="Verdana"/>
          <w:sz w:val="16"/>
          <w:szCs w:val="16"/>
          <w:lang w:val="en-US"/>
        </w:rPr>
        <w:t>b)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p>
    <w:p w14:paraId="7C59E535"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c) Employers and workers, both rural and urban, have the right to associate themselves freely for the defense and promotion of their interests, including the right to collective bargaining and the workers' right to strike, and recognition of the juridical personality of associations and the protection of their freedom and independence, all in accordance with applicable laws; </w:t>
      </w:r>
    </w:p>
    <w:p w14:paraId="1FBB0E27"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d) Fair and efficient systems and procedures for consultation and collaboration among the sectors of production, with due regard for safeguarding the interests of the entire society; </w:t>
      </w:r>
    </w:p>
    <w:p w14:paraId="661AB739"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e) The operation of systems of public administration, banking and credit, enterprise, and distribution and sales, in such a way, in harmony with the private sector, as to meet the requirements and interests of the community; </w:t>
      </w:r>
    </w:p>
    <w:p w14:paraId="29F3E35E"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f) The incorporation and increasing participation of the marginal sectors of the population, in both rural and urban areas, in the economic, social, civic, cultural, and political life of the nation, in order to achieve the full integration of the national community, acceleration of the process of social mobility, and the consolidation of the democratic system. The encouragement of all efforts of popular promotion and cooperation that have as their purpose the development and progress of the community; </w:t>
      </w:r>
    </w:p>
    <w:p w14:paraId="0C6668F0"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g) Recognition of the importance of the contribution of organizations such as labor unions, cooperatives, and cultural, professional, business, neighborhood, and community associations to the life of the society and to the development process; </w:t>
      </w:r>
    </w:p>
    <w:p w14:paraId="4FD48638" w14:textId="77777777"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 xml:space="preserve">h) Development of an efficient social security policy; and </w:t>
      </w:r>
    </w:p>
    <w:p w14:paraId="28EA0BD1" w14:textId="1C6BC154" w:rsidR="0068647C" w:rsidRPr="000E696E" w:rsidRDefault="0068647C" w:rsidP="00AA1EBF">
      <w:pPr>
        <w:spacing w:after="60"/>
        <w:jc w:val="both"/>
        <w:rPr>
          <w:rFonts w:ascii="Verdana" w:eastAsia="Times New Roman" w:hAnsi="Verdana"/>
          <w:sz w:val="16"/>
          <w:szCs w:val="16"/>
          <w:lang w:val="en-US"/>
        </w:rPr>
      </w:pPr>
      <w:r w:rsidRPr="000E696E">
        <w:rPr>
          <w:rFonts w:ascii="Verdana" w:eastAsia="Times New Roman" w:hAnsi="Verdana"/>
          <w:sz w:val="16"/>
          <w:szCs w:val="16"/>
          <w:lang w:val="en-US"/>
        </w:rPr>
        <w:t>i) Adequate provision for all persons to have due legal aid in order to secure their rights.”</w:t>
      </w:r>
    </w:p>
    <w:p w14:paraId="1EFCB799" w14:textId="2B2790E6" w:rsidR="0068647C" w:rsidRPr="000E696E" w:rsidRDefault="0068647C" w:rsidP="00D61BD2">
      <w:pPr>
        <w:pStyle w:val="Textonotapie"/>
      </w:pPr>
      <w:r w:rsidRPr="000E696E">
        <w:t>Art.46: “The Member States recognize that, in order to facilitate the process of Latin American regional integration, it is necessary to harmonize the social legislation of the developing countries, especially in the labor and social security fields, so that the rights of the workers shall be equally protected, and they agree to make the greatest efforts possible to achieve this goal.”</w:t>
      </w:r>
    </w:p>
    <w:p w14:paraId="33E2C0CD" w14:textId="083C1C5D" w:rsidR="0068647C" w:rsidRPr="000E696E" w:rsidRDefault="0068647C" w:rsidP="00D61BD2">
      <w:pPr>
        <w:pStyle w:val="Textonotapie"/>
      </w:pPr>
      <w:r w:rsidRPr="000E696E">
        <w:t>The same would result from other provisions of Chapter VII of the OAS Charter (Articles 30 to 52), all of which concern “</w:t>
      </w:r>
      <w:r w:rsidRPr="000E696E">
        <w:rPr>
          <w:i/>
          <w:iCs/>
        </w:rPr>
        <w:t>integral development</w:t>
      </w:r>
      <w:r w:rsidRPr="000E696E">
        <w:t>”; thus, as could be deduced from the judgment, rights could also be derived from these provisions, the violation of which could be argued before the Court.</w:t>
      </w:r>
    </w:p>
  </w:footnote>
  <w:footnote w:id="422">
    <w:p w14:paraId="534B1C4C" w14:textId="4C6AE3F2"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most recent example, </w:t>
      </w:r>
      <w:r w:rsidRPr="000E696E">
        <w:rPr>
          <w:i/>
        </w:rPr>
        <w:t>Case of I.V. v. Bolivia. Preliminary objections, merits, reparations and costs.</w:t>
      </w:r>
      <w:r w:rsidRPr="000E696E">
        <w:t xml:space="preserve"> Judgment of November 30, 2016. Series C No. 329, paras. 154, 155 and </w:t>
      </w:r>
      <w:r w:rsidRPr="000E696E">
        <w:rPr>
          <w:i/>
          <w:iCs/>
        </w:rPr>
        <w:t>ff.</w:t>
      </w:r>
    </w:p>
  </w:footnote>
  <w:footnote w:id="423">
    <w:p w14:paraId="4CAA2F67" w14:textId="383D99A1" w:rsidR="0068647C" w:rsidRPr="000E696E" w:rsidRDefault="0068647C" w:rsidP="00D61BD2">
      <w:pPr>
        <w:pStyle w:val="Textonotapie"/>
      </w:pPr>
      <w:r w:rsidRPr="000E696E">
        <w:rPr>
          <w:rStyle w:val="Refdenotaalpie"/>
          <w:sz w:val="16"/>
        </w:rPr>
        <w:footnoteRef/>
      </w:r>
      <w:r w:rsidRPr="000E696E">
        <w:t xml:space="preserve"> </w:t>
      </w:r>
      <w:r w:rsidRPr="000E696E">
        <w:tab/>
        <w:t>Para. 141.</w:t>
      </w:r>
    </w:p>
  </w:footnote>
  <w:footnote w:id="424">
    <w:p w14:paraId="37E9578A" w14:textId="535BAD1C" w:rsidR="0068647C" w:rsidRPr="000E696E" w:rsidRDefault="0068647C" w:rsidP="00D61BD2">
      <w:pPr>
        <w:pStyle w:val="Textonotapie"/>
      </w:pPr>
      <w:r w:rsidRPr="000E696E">
        <w:rPr>
          <w:rStyle w:val="Refdenotaalpie"/>
          <w:sz w:val="16"/>
        </w:rPr>
        <w:footnoteRef/>
      </w:r>
      <w:r w:rsidRPr="000E696E">
        <w:t xml:space="preserve"> </w:t>
      </w:r>
      <w:r w:rsidRPr="000E696E">
        <w:tab/>
        <w:t>Preamble, second para: “Recognizing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p w14:paraId="0DD009CD" w14:textId="234FA83A" w:rsidR="0068647C" w:rsidRPr="000E696E" w:rsidRDefault="0068647C" w:rsidP="00D61BD2">
      <w:pPr>
        <w:pStyle w:val="Textonotapie"/>
      </w:pPr>
      <w:r w:rsidRPr="000E696E">
        <w:t>Art. 46: “1. Admission by the Commission of a petition or communication lodged in accordance with Articles 44 or 45 shall be subject to the following requirements:</w:t>
      </w:r>
    </w:p>
    <w:p w14:paraId="57C00AC9" w14:textId="3D9951F8"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a) that the remedies under domestic law have been pursued and exhausted in accordance with generally recognized principles of international law;</w:t>
      </w:r>
    </w:p>
    <w:p w14:paraId="7D6AA3D9" w14:textId="39EDAD10"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 that the petition or communication is lodged within a period of six months from the date on which the party alleging violation of his rights was notified of the final judgment;</w:t>
      </w:r>
    </w:p>
    <w:p w14:paraId="7F1CAC12" w14:textId="67A9B434"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c) that the subject of the petition or communication is not pending in another international proceeding for settlement; and</w:t>
      </w:r>
    </w:p>
    <w:p w14:paraId="0A0232A4" w14:textId="1C8F1837"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d) that, in the case of Article 44, the petition contains the name, nationality, profession, domicile, and signature of the person or persons or of the legal representative of the entity lodging the petition.</w:t>
      </w:r>
    </w:p>
    <w:p w14:paraId="115D7A0C" w14:textId="77777777"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2.</w:t>
      </w:r>
      <w:r w:rsidRPr="000E696E">
        <w:rPr>
          <w:rFonts w:ascii="Verdana" w:hAnsi="Verdana"/>
          <w:spacing w:val="-3"/>
          <w:sz w:val="16"/>
          <w:szCs w:val="16"/>
          <w:lang w:val="en-US"/>
        </w:rPr>
        <w:tab/>
        <w:t>The provisions of paragraphs 1.a and 1.b of this article shall not be applicable when:</w:t>
      </w:r>
    </w:p>
    <w:p w14:paraId="4A1FE83D" w14:textId="43EB44BF"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a) the domestic legislation of the state concerned does not afford due process of law for the protection of the right or rights that have allegedly been violated;</w:t>
      </w:r>
    </w:p>
    <w:p w14:paraId="451D49BF" w14:textId="1A05F48B"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b) the party alleging violation of his rights has been denied access to the remedies under domestic law or has been prevented from exhausting them; or</w:t>
      </w:r>
    </w:p>
    <w:p w14:paraId="4C306A10" w14:textId="3868547F" w:rsidR="0068647C" w:rsidRPr="000E696E" w:rsidRDefault="0068647C" w:rsidP="00AA1EBF">
      <w:pPr>
        <w:tabs>
          <w:tab w:val="left" w:pos="360"/>
        </w:tabs>
        <w:suppressAutoHyphens/>
        <w:spacing w:after="60"/>
        <w:jc w:val="both"/>
        <w:rPr>
          <w:rFonts w:ascii="Verdana" w:hAnsi="Verdana"/>
          <w:spacing w:val="-3"/>
          <w:sz w:val="16"/>
          <w:szCs w:val="16"/>
          <w:lang w:val="en-US"/>
        </w:rPr>
      </w:pPr>
      <w:r w:rsidRPr="000E696E">
        <w:rPr>
          <w:rFonts w:ascii="Verdana" w:hAnsi="Verdana"/>
          <w:spacing w:val="-3"/>
          <w:sz w:val="16"/>
          <w:szCs w:val="16"/>
          <w:lang w:val="en-US"/>
        </w:rPr>
        <w:t>c) there has been unwarranted delay in rendering a final judgment under the aforementioned remedies.</w:t>
      </w:r>
    </w:p>
    <w:p w14:paraId="7861D43B" w14:textId="3C01D02F" w:rsidR="0068647C" w:rsidRPr="000E696E" w:rsidRDefault="0068647C" w:rsidP="00D61BD2">
      <w:pPr>
        <w:pStyle w:val="Textonotapie"/>
      </w:pPr>
      <w:r w:rsidRPr="000E696E">
        <w:t>Art. 61: 1. Only the States Parties and the Commission shall have the right to submit a case to the Court.</w:t>
      </w:r>
    </w:p>
    <w:p w14:paraId="1B15452C" w14:textId="16631250" w:rsidR="0068647C" w:rsidRPr="000E696E" w:rsidRDefault="0068647C" w:rsidP="00D61BD2">
      <w:pPr>
        <w:pStyle w:val="Textonotapie"/>
      </w:pPr>
      <w:r w:rsidRPr="000E696E">
        <w:t>2.  In order for the Court to hear a case, it is necessary that the procedures set forth in Articles 48 and 50 shall have been completed.”</w:t>
      </w:r>
    </w:p>
  </w:footnote>
  <w:footnote w:id="425">
    <w:p w14:paraId="40209576" w14:textId="3C923DD0"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142.</w:t>
      </w:r>
    </w:p>
  </w:footnote>
  <w:footnote w:id="426">
    <w:p w14:paraId="12529BEB" w14:textId="51DD5C89"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145.</w:t>
      </w:r>
    </w:p>
  </w:footnote>
  <w:footnote w:id="427">
    <w:p w14:paraId="1C6B2DB4" w14:textId="1D824AF3" w:rsidR="0068647C" w:rsidRPr="004204B2" w:rsidRDefault="0068647C" w:rsidP="001C02D2">
      <w:pPr>
        <w:pStyle w:val="Textonotapie"/>
        <w:tabs>
          <w:tab w:val="left" w:pos="6356"/>
        </w:tabs>
        <w:rPr>
          <w:lang w:val="es-CR"/>
        </w:rPr>
      </w:pPr>
      <w:r w:rsidRPr="000E696E">
        <w:rPr>
          <w:rStyle w:val="Refdenotaalpie"/>
          <w:sz w:val="16"/>
        </w:rPr>
        <w:footnoteRef/>
      </w:r>
      <w:r w:rsidRPr="004204B2">
        <w:rPr>
          <w:lang w:val="es-CR"/>
        </w:rPr>
        <w:t xml:space="preserve"> </w:t>
      </w:r>
      <w:r w:rsidRPr="004204B2">
        <w:rPr>
          <w:lang w:val="es-CR"/>
        </w:rPr>
        <w:tab/>
        <w:t>Para. 147.</w:t>
      </w:r>
      <w:r w:rsidRPr="004204B2">
        <w:rPr>
          <w:lang w:val="es-CR"/>
        </w:rPr>
        <w:tab/>
      </w:r>
    </w:p>
  </w:footnote>
  <w:footnote w:id="428">
    <w:p w14:paraId="642D9164" w14:textId="5081FC51"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148</w:t>
      </w:r>
    </w:p>
  </w:footnote>
  <w:footnote w:id="429">
    <w:p w14:paraId="11E46D7E" w14:textId="7303F47F"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144</w:t>
      </w:r>
    </w:p>
  </w:footnote>
  <w:footnote w:id="430">
    <w:p w14:paraId="2B886784" w14:textId="2E14B2FD" w:rsidR="0068647C" w:rsidRPr="000E696E" w:rsidRDefault="0068647C" w:rsidP="00D61BD2">
      <w:pPr>
        <w:pStyle w:val="Textonotapie"/>
      </w:pPr>
      <w:r w:rsidRPr="000E696E">
        <w:rPr>
          <w:rStyle w:val="Refdenotaalpie"/>
          <w:sz w:val="16"/>
        </w:rPr>
        <w:footnoteRef/>
      </w:r>
      <w:r w:rsidRPr="000E696E">
        <w:t xml:space="preserve"> </w:t>
      </w:r>
      <w:r w:rsidRPr="000E696E">
        <w:tab/>
        <w:t>“No provision of this Convention shall be interpreted as: […] (d) excluding or limiting the effect that the American Declaration of the Rights and Duties of Man and other international acts of the same nature may have.”</w:t>
      </w:r>
    </w:p>
  </w:footnote>
  <w:footnote w:id="431">
    <w:p w14:paraId="5233C328" w14:textId="7777777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“1. 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2. This provision shall not prejudice the power of the Court to decide a case </w:t>
      </w:r>
      <w:r w:rsidRPr="000E696E">
        <w:rPr>
          <w:i/>
          <w:iCs/>
        </w:rPr>
        <w:t>ex aequo</w:t>
      </w:r>
      <w:r w:rsidRPr="000E696E">
        <w:t xml:space="preserve"> if the parties agree thereto.”</w:t>
      </w:r>
    </w:p>
  </w:footnote>
  <w:footnote w:id="432">
    <w:p w14:paraId="445110C1" w14:textId="6A6FAAA8"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Paras. 143 to 149.</w:t>
      </w:r>
    </w:p>
  </w:footnote>
  <w:footnote w:id="433">
    <w:p w14:paraId="192E4206" w14:textId="214F10A2"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142.</w:t>
      </w:r>
    </w:p>
  </w:footnote>
  <w:footnote w:id="434">
    <w:p w14:paraId="1D59EB65" w14:textId="43B4E895"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 xml:space="preserve">Art. 62(3) </w:t>
      </w:r>
      <w:r w:rsidRPr="004204B2">
        <w:rPr>
          <w:i/>
          <w:iCs/>
          <w:lang w:val="es-CR"/>
        </w:rPr>
        <w:t>cit.</w:t>
      </w:r>
    </w:p>
  </w:footnote>
  <w:footnote w:id="435">
    <w:p w14:paraId="5D2894F5" w14:textId="6A73AB17"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Para. 142.</w:t>
      </w:r>
    </w:p>
  </w:footnote>
  <w:footnote w:id="436">
    <w:p w14:paraId="618B87A7" w14:textId="75C43071" w:rsidR="0068647C" w:rsidRPr="000E696E" w:rsidRDefault="0068647C" w:rsidP="00D61BD2">
      <w:pPr>
        <w:pStyle w:val="Textonotapie"/>
      </w:pPr>
      <w:r w:rsidRPr="000E696E">
        <w:rPr>
          <w:rStyle w:val="Refdenotaalpie"/>
          <w:sz w:val="16"/>
        </w:rPr>
        <w:footnoteRef/>
      </w:r>
      <w:r w:rsidRPr="000E696E">
        <w:t xml:space="preserve"> </w:t>
      </w:r>
      <w:r w:rsidRPr="000E696E">
        <w:tab/>
        <w:t>Paras. 133 to 137.</w:t>
      </w:r>
    </w:p>
  </w:footnote>
  <w:footnote w:id="437">
    <w:p w14:paraId="698E6991" w14:textId="73262D4B" w:rsidR="0068647C" w:rsidRPr="000E696E" w:rsidRDefault="0068647C" w:rsidP="00D61BD2">
      <w:pPr>
        <w:pStyle w:val="Textonotapie"/>
      </w:pPr>
      <w:r w:rsidRPr="000E696E">
        <w:rPr>
          <w:rStyle w:val="Refdenotaalpie"/>
          <w:sz w:val="16"/>
        </w:rPr>
        <w:footnoteRef/>
      </w:r>
      <w:r w:rsidRPr="000E696E">
        <w:t xml:space="preserve"> </w:t>
      </w:r>
      <w:r w:rsidRPr="000E696E">
        <w:tab/>
        <w:t>Para. 154.</w:t>
      </w:r>
    </w:p>
  </w:footnote>
  <w:footnote w:id="438">
    <w:p w14:paraId="7A0E08C9" w14:textId="66A738DE" w:rsidR="0068647C" w:rsidRPr="000E696E" w:rsidRDefault="0068647C" w:rsidP="00D61BD2">
      <w:pPr>
        <w:pStyle w:val="Textonotapie"/>
      </w:pPr>
      <w:r w:rsidRPr="000E696E">
        <w:rPr>
          <w:rStyle w:val="Refdenotaalpie"/>
          <w:sz w:val="16"/>
        </w:rPr>
        <w:footnoteRef/>
      </w:r>
      <w:r w:rsidRPr="000E696E">
        <w:t xml:space="preserve"> </w:t>
      </w:r>
      <w:r w:rsidRPr="000E696E">
        <w:tab/>
        <w:t>Para. 145.</w:t>
      </w:r>
    </w:p>
  </w:footnote>
  <w:footnote w:id="439">
    <w:p w14:paraId="0774067A" w14:textId="03971CE0" w:rsidR="0068647C" w:rsidRPr="000E696E" w:rsidRDefault="0068647C" w:rsidP="00D61BD2">
      <w:pPr>
        <w:pStyle w:val="Textonotapie"/>
      </w:pPr>
      <w:r w:rsidRPr="000E696E">
        <w:rPr>
          <w:rStyle w:val="Refdenotaalpie"/>
          <w:sz w:val="16"/>
        </w:rPr>
        <w:footnoteRef/>
      </w:r>
      <w:r w:rsidRPr="000E696E">
        <w:t xml:space="preserve"> </w:t>
      </w:r>
      <w:r w:rsidRPr="000E696E">
        <w:tab/>
        <w:t xml:space="preserve">Adopted at the twenty-eighth OAS General Assembly on September 11, 2001, Lima, Peru. </w:t>
      </w:r>
    </w:p>
    <w:p w14:paraId="092928C0" w14:textId="68FE3C7C" w:rsidR="0068647C" w:rsidRPr="000E696E" w:rsidRDefault="0068647C" w:rsidP="00AA1EBF">
      <w:pPr>
        <w:pStyle w:val="NormalWeb"/>
        <w:widowControl w:val="0"/>
        <w:spacing w:before="0" w:beforeAutospacing="0" w:after="60" w:afterAutospacing="0"/>
        <w:jc w:val="both"/>
        <w:rPr>
          <w:rFonts w:ascii="Verdana" w:hAnsi="Verdana"/>
          <w:sz w:val="16"/>
          <w:szCs w:val="16"/>
          <w:lang w:val="en-US"/>
        </w:rPr>
      </w:pPr>
      <w:r w:rsidRPr="000E696E">
        <w:rPr>
          <w:rFonts w:ascii="Verdana" w:hAnsi="Verdana"/>
          <w:sz w:val="16"/>
          <w:szCs w:val="16"/>
          <w:lang w:val="en-US"/>
        </w:rPr>
        <w:t xml:space="preserve">“Art. 3: Essential elements of representative democracy include, </w:t>
      </w:r>
      <w:r w:rsidRPr="000E696E">
        <w:rPr>
          <w:rFonts w:ascii="Verdana" w:hAnsi="Verdana"/>
          <w:i/>
          <w:iCs/>
          <w:sz w:val="16"/>
          <w:szCs w:val="16"/>
          <w:lang w:val="en-US"/>
        </w:rPr>
        <w:t>inter alia</w:t>
      </w:r>
      <w:r w:rsidRPr="000E696E">
        <w:rPr>
          <w:rFonts w:ascii="Verdana" w:hAnsi="Verdana"/>
          <w:sz w:val="16"/>
          <w:szCs w:val="16"/>
          <w:lang w:val="en-US"/>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p w14:paraId="0E5C2F94" w14:textId="079753F7" w:rsidR="0068647C" w:rsidRPr="000E696E" w:rsidRDefault="0068647C" w:rsidP="00AA1EBF">
      <w:pPr>
        <w:pStyle w:val="NormalWeb"/>
        <w:widowControl w:val="0"/>
        <w:spacing w:before="0" w:beforeAutospacing="0" w:after="60" w:afterAutospacing="0"/>
        <w:jc w:val="both"/>
        <w:rPr>
          <w:rFonts w:ascii="Verdana" w:hAnsi="Verdana"/>
          <w:sz w:val="16"/>
          <w:szCs w:val="16"/>
          <w:lang w:val="en-US"/>
        </w:rPr>
      </w:pPr>
      <w:r w:rsidRPr="000E696E">
        <w:rPr>
          <w:rFonts w:ascii="Verdana" w:hAnsi="Verdana"/>
          <w:sz w:val="16"/>
          <w:szCs w:val="16"/>
          <w:lang w:val="en-US"/>
        </w:rPr>
        <w:t>Art. 6: It is the right and responsibility of all citizens to participate in decisions relating to their own development. This is also a necessary condition for the full and effective exercise of democracy. Promoting and fostering diverse forms of participation strengthens democracy.”</w:t>
      </w:r>
    </w:p>
  </w:footnote>
  <w:footnote w:id="440">
    <w:p w14:paraId="0D74BB15" w14:textId="5ACB6DBC" w:rsidR="0068647C" w:rsidRPr="000E696E" w:rsidRDefault="0068647C" w:rsidP="00D61BD2">
      <w:pPr>
        <w:pStyle w:val="Textonotapie"/>
      </w:pPr>
      <w:r w:rsidRPr="000E696E">
        <w:rPr>
          <w:rStyle w:val="Refdenotaalpie"/>
          <w:sz w:val="16"/>
        </w:rPr>
        <w:footnoteRef/>
      </w:r>
      <w:r w:rsidRPr="000E696E">
        <w:t xml:space="preserve"> </w:t>
      </w:r>
      <w:r w:rsidRPr="000E696E">
        <w:tab/>
        <w:t xml:space="preserve">Para. 154. </w:t>
      </w:r>
    </w:p>
  </w:footnote>
  <w:footnote w:id="441">
    <w:p w14:paraId="1C557CB6" w14:textId="77777777" w:rsidR="0068647C" w:rsidRPr="000E696E" w:rsidRDefault="0068647C" w:rsidP="00D61BD2">
      <w:pPr>
        <w:pStyle w:val="Textonotapie"/>
      </w:pPr>
      <w:r w:rsidRPr="000E696E">
        <w:rPr>
          <w:rStyle w:val="Refdenotaalpie"/>
          <w:sz w:val="16"/>
        </w:rPr>
        <w:footnoteRef/>
      </w:r>
      <w:r w:rsidRPr="000E696E">
        <w:t xml:space="preserve"> </w:t>
      </w:r>
      <w:r w:rsidRPr="000E696E">
        <w:tab/>
        <w:t>“The question whether a certain matter is or is not solely within the jurisdiction of a State is an essentially relative question; it depends upon the development of international relations. Thus, in the present state of international law, questions of nationality are, in the opinion of the Court, in principle within this reserved domain.” Permanent Court of International Justice, Advisory Opinion on Nationality Decrees issued in Tunisia and Morocco (French zone), Series B No. 4, p.24.</w:t>
      </w:r>
    </w:p>
  </w:footnote>
  <w:footnote w:id="442">
    <w:p w14:paraId="27BC79E4" w14:textId="77777777" w:rsidR="0068647C" w:rsidRPr="000E696E" w:rsidRDefault="0068647C" w:rsidP="00D1793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Protocol No. 15 amending the Convention for the Protection of Human Rights and Fundamental Freedoms, “Art.1: At the end of the preamble to the Convention, a new recital shall be added, which shall read as follows: “Affirming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p>
  </w:footnote>
  <w:footnote w:id="443">
    <w:p w14:paraId="242CFAB4" w14:textId="0E9AD6CA" w:rsidR="0068647C" w:rsidRPr="000E696E" w:rsidRDefault="0068647C" w:rsidP="00D61BD2">
      <w:pPr>
        <w:pStyle w:val="Textonotapie"/>
      </w:pPr>
      <w:r w:rsidRPr="000E696E">
        <w:rPr>
          <w:rStyle w:val="Refdenotaalpie"/>
          <w:sz w:val="16"/>
        </w:rPr>
        <w:footnoteRef/>
      </w:r>
      <w:r w:rsidRPr="000E696E">
        <w:t xml:space="preserve"> </w:t>
      </w:r>
      <w:r w:rsidRPr="000E696E">
        <w:tab/>
        <w:t>Art. 68: “1. The States Parties to the Convention undertake to comply with the judgment of the Court in any case to which they are parties.</w:t>
      </w:r>
    </w:p>
    <w:p w14:paraId="6C9A80AA" w14:textId="4A96FFC2" w:rsidR="0068647C" w:rsidRPr="000E696E" w:rsidRDefault="0068647C" w:rsidP="00D61BD2">
      <w:pPr>
        <w:pStyle w:val="Textonotapie"/>
      </w:pPr>
      <w:r w:rsidRPr="000E696E">
        <w:t xml:space="preserve"> 2. </w:t>
      </w:r>
      <w:r w:rsidRPr="000E696E">
        <w:tab/>
        <w:t>That part of a judgment that stipulates compensatory damages may be executed in the country concerned in accordance with domestic procedure governing the execution of judgments against the state.</w:t>
      </w:r>
    </w:p>
  </w:footnote>
  <w:footnote w:id="444">
    <w:p w14:paraId="1FD8DEBD" w14:textId="1CDE0616" w:rsidR="0068647C" w:rsidRPr="000E696E" w:rsidRDefault="0068647C" w:rsidP="00D61BD2">
      <w:pPr>
        <w:pStyle w:val="Textonotapie"/>
      </w:pPr>
      <w:r w:rsidRPr="000E696E">
        <w:rPr>
          <w:rStyle w:val="Refdenotaalpie"/>
          <w:sz w:val="16"/>
        </w:rPr>
        <w:footnoteRef/>
      </w:r>
      <w:r w:rsidRPr="000E696E">
        <w:t xml:space="preserve"> </w:t>
      </w:r>
      <w:r w:rsidRPr="000E696E">
        <w:tab/>
        <w:t>In this regard, see the jurisprudence of the Constitutional Court of Colombia on the transmutation of the ESCR. For example, T-1079 of 2007. Available at: http://www.corteconstitucional.gov.co/relatoria/2007/T-1079-07.htm.</w:t>
      </w:r>
    </w:p>
  </w:footnote>
  <w:footnote w:id="445">
    <w:p w14:paraId="5DE5ABE9" w14:textId="4F137EC2" w:rsidR="0068647C" w:rsidRPr="004204B2" w:rsidRDefault="0068647C" w:rsidP="00D61BD2">
      <w:pPr>
        <w:pStyle w:val="Textonotapie"/>
        <w:rPr>
          <w:lang w:val="es-CR"/>
        </w:rPr>
      </w:pPr>
      <w:r w:rsidRPr="000E696E">
        <w:rPr>
          <w:rStyle w:val="Refdenotaalpie"/>
          <w:sz w:val="16"/>
        </w:rPr>
        <w:footnoteRef/>
      </w:r>
      <w:r w:rsidRPr="004204B2">
        <w:rPr>
          <w:lang w:val="es-CR"/>
        </w:rPr>
        <w:t xml:space="preserve"> </w:t>
      </w:r>
      <w:r w:rsidRPr="004204B2">
        <w:rPr>
          <w:lang w:val="es-CR"/>
        </w:rPr>
        <w:tab/>
        <w:t xml:space="preserve">In </w:t>
      </w:r>
      <w:r w:rsidRPr="004204B2">
        <w:rPr>
          <w:lang w:val="es-CR"/>
        </w:rPr>
        <w:t xml:space="preserve">this regard, see for example: Oswaldo Ruiz Chiriboga, </w:t>
      </w:r>
      <w:r w:rsidRPr="004204B2">
        <w:rPr>
          <w:rFonts w:cs="MinionPro-Semibold"/>
          <w:i/>
          <w:iCs/>
          <w:lang w:val="es-CR"/>
        </w:rPr>
        <w:t xml:space="preserve">The American Convention and the Protocol of San Salvador: Two Intertwined Treaties </w:t>
      </w:r>
      <w:r w:rsidRPr="004204B2">
        <w:rPr>
          <w:i/>
          <w:iCs/>
          <w:lang w:val="es-CR"/>
        </w:rPr>
        <w:t>Non-enforceability of Economic, Social and Cultural Rights in the Inter-American System</w:t>
      </w:r>
      <w:r w:rsidRPr="004204B2">
        <w:rPr>
          <w:lang w:val="es-CR"/>
        </w:rPr>
        <w:t xml:space="preserve">, Netherlands Quarterly of Human Rights, Vol. 31/2 (2013); Abramovich, V. and Rossi, J., </w:t>
      </w:r>
      <w:r w:rsidRPr="004204B2">
        <w:rPr>
          <w:i/>
          <w:iCs/>
          <w:lang w:val="es-CR"/>
        </w:rPr>
        <w:t>‘La</w:t>
      </w:r>
      <w:r w:rsidRPr="004204B2">
        <w:rPr>
          <w:lang w:val="es-CR"/>
        </w:rPr>
        <w:t xml:space="preserve"> </w:t>
      </w:r>
      <w:r w:rsidRPr="004204B2">
        <w:rPr>
          <w:i/>
          <w:lang w:val="es-CR"/>
        </w:rPr>
        <w:t>Tutela de los Derechos Económicos, Sociales y Culturales en el Artículo 26 de la Convención Americana sobre Derechos Humanos</w:t>
      </w:r>
      <w:r w:rsidRPr="004204B2">
        <w:rPr>
          <w:lang w:val="es-CR"/>
        </w:rPr>
        <w:t xml:space="preserve">,’ Estudios Socio-Jurídicos, Vol. 9, 2007; Oscar Parra Vera, </w:t>
      </w:r>
      <w:r w:rsidRPr="004204B2">
        <w:rPr>
          <w:i/>
          <w:iCs/>
          <w:lang w:val="es-CR"/>
        </w:rPr>
        <w:t>Justiciabilidad de los derechos económicos, sociales y culturales ante el sistema interamericano,</w:t>
      </w:r>
      <w:r w:rsidRPr="004204B2">
        <w:rPr>
          <w:lang w:val="es-CR"/>
        </w:rPr>
        <w:t xml:space="preserve"> Comisión Nacional de los Derechos Humanos, Mexico, 2011. </w:t>
      </w:r>
    </w:p>
  </w:footnote>
  <w:footnote w:id="446">
    <w:p w14:paraId="4F00ECC6" w14:textId="6774A07B" w:rsidR="0068647C" w:rsidRPr="000E696E" w:rsidRDefault="0068647C" w:rsidP="00D61BD2">
      <w:pPr>
        <w:pStyle w:val="Textonotapie"/>
      </w:pPr>
      <w:r w:rsidRPr="000E696E">
        <w:rPr>
          <w:rStyle w:val="Refdenotaalpie"/>
          <w:sz w:val="16"/>
        </w:rPr>
        <w:footnoteRef/>
      </w:r>
      <w:r w:rsidRPr="000E696E">
        <w:t xml:space="preserve"> </w:t>
      </w:r>
      <w:r w:rsidRPr="000E696E">
        <w:tab/>
        <w:t xml:space="preserve">See dissenting opinion of Judge Ferrar McGregor in the </w:t>
      </w:r>
      <w:r w:rsidRPr="000E696E">
        <w:rPr>
          <w:i/>
        </w:rPr>
        <w:t>Case of González Lluy et al. v. Ecuador</w:t>
      </w:r>
      <w:r w:rsidRPr="000E696E">
        <w:t xml:space="preserve"> or opinion of Judges Caldas and Ferrer McGregor in the </w:t>
      </w:r>
      <w:r w:rsidRPr="000E696E">
        <w:rPr>
          <w:i/>
        </w:rPr>
        <w:t>Case of Canales Huapaya et al. v. Peru.</w:t>
      </w:r>
      <w:r w:rsidRPr="000E696E">
        <w:t xml:space="preserve"> </w:t>
      </w:r>
    </w:p>
  </w:footnote>
  <w:footnote w:id="447">
    <w:p w14:paraId="71884DAE" w14:textId="459CBFFB" w:rsidR="0068647C" w:rsidRPr="000E696E" w:rsidRDefault="0068647C" w:rsidP="00D61BD2">
      <w:pPr>
        <w:pStyle w:val="Textonotapie"/>
      </w:pPr>
      <w:r w:rsidRPr="000E696E">
        <w:rPr>
          <w:rStyle w:val="Refdenotaalpie"/>
          <w:sz w:val="16"/>
        </w:rPr>
        <w:footnoteRef/>
      </w:r>
      <w:r w:rsidRPr="000E696E">
        <w:t xml:space="preserve"> </w:t>
      </w:r>
      <w:r w:rsidRPr="000E696E">
        <w:tab/>
        <w:t xml:space="preserve">In this regard, concurring opinion </w:t>
      </w:r>
      <w:r w:rsidRPr="000E696E">
        <w:rPr>
          <w:i/>
        </w:rPr>
        <w:t>Case of González Lluy et al. v. Ecuador</w:t>
      </w:r>
      <w:r w:rsidRPr="000E696E">
        <w:t xml:space="preserve">, paras. 7 to 11. </w:t>
      </w:r>
    </w:p>
  </w:footnote>
  <w:footnote w:id="448">
    <w:p w14:paraId="7B15663D" w14:textId="748DDFAF" w:rsidR="0068647C" w:rsidRPr="000E696E" w:rsidRDefault="0068647C" w:rsidP="00390E29">
      <w:pPr>
        <w:pStyle w:val="NormalWeb"/>
        <w:tabs>
          <w:tab w:val="left" w:pos="709"/>
        </w:tabs>
        <w:spacing w:before="0" w:beforeAutospacing="0" w:after="60" w:afterAutospacing="0"/>
        <w:ind w:right="333"/>
        <w:jc w:val="both"/>
        <w:rPr>
          <w:rFonts w:ascii="Verdana" w:hAnsi="Verdana" w:cs="Tahoma"/>
          <w:color w:val="000000"/>
          <w:sz w:val="16"/>
          <w:szCs w:val="16"/>
          <w:lang w:val="en-US"/>
        </w:rPr>
      </w:pPr>
      <w:r w:rsidRPr="000E696E">
        <w:rPr>
          <w:rStyle w:val="Refdenotaalpie"/>
          <w:rFonts w:eastAsiaTheme="majorEastAsia"/>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cs="Tahoma"/>
          <w:bCs/>
          <w:color w:val="000000"/>
          <w:sz w:val="16"/>
          <w:szCs w:val="16"/>
          <w:lang w:val="en-US"/>
        </w:rPr>
        <w:t xml:space="preserve">Chapter III. Economic, Social and Cultural Rights. Article 26.  Progressive Development: </w:t>
      </w:r>
      <w:r w:rsidRPr="000E696E">
        <w:rPr>
          <w:rFonts w:ascii="Verdana" w:hAnsi="Verdana"/>
          <w:spacing w:val="-3"/>
          <w:sz w:val="16"/>
          <w:szCs w:val="16"/>
          <w:lang w:val="en-US"/>
        </w:rPr>
        <w:t xml:space="preserve">The States Parties undertake to adopt measures, both internally and through international cooperation, especially those of an economic and technical nature, with a view </w:t>
      </w:r>
      <w:r w:rsidRPr="000E696E">
        <w:rPr>
          <w:rFonts w:ascii="Verdana" w:hAnsi="Verdana"/>
          <w:spacing w:val="-3"/>
          <w:sz w:val="16"/>
          <w:szCs w:val="16"/>
          <w:u w:val="single"/>
          <w:lang w:val="en-US"/>
        </w:rPr>
        <w:t xml:space="preserve">to achieving progressively, </w:t>
      </w:r>
      <w:r w:rsidRPr="000E696E">
        <w:rPr>
          <w:rFonts w:ascii="Verdana" w:hAnsi="Verdana"/>
          <w:spacing w:val="-3"/>
          <w:sz w:val="16"/>
          <w:szCs w:val="16"/>
          <w:lang w:val="en-US"/>
        </w:rPr>
        <w:t xml:space="preserve">subject to available resources, by legislation or other appropriate means, </w:t>
      </w:r>
      <w:r w:rsidRPr="000E696E">
        <w:rPr>
          <w:rFonts w:ascii="Verdana" w:hAnsi="Verdana"/>
          <w:spacing w:val="-3"/>
          <w:sz w:val="16"/>
          <w:szCs w:val="16"/>
          <w:u w:val="single"/>
          <w:lang w:val="en-US"/>
        </w:rPr>
        <w:t>the full realization of the rights derived from the economic, social, educational, scientific, and cultural standards set forth in the Charter of the Organization of American States</w:t>
      </w:r>
      <w:r w:rsidRPr="000E696E">
        <w:rPr>
          <w:rFonts w:ascii="Verdana" w:hAnsi="Verdana"/>
          <w:spacing w:val="-3"/>
          <w:sz w:val="16"/>
          <w:szCs w:val="16"/>
          <w:lang w:val="en-US"/>
        </w:rPr>
        <w:t xml:space="preserve"> as amended by the Protocol of Buenos Aires (underlining added).</w:t>
      </w:r>
    </w:p>
  </w:footnote>
  <w:footnote w:id="449">
    <w:p w14:paraId="7F001C8E" w14:textId="51364AE1" w:rsidR="0068647C" w:rsidRPr="000E696E" w:rsidRDefault="0068647C" w:rsidP="00AF5A3E">
      <w:pPr>
        <w:spacing w:after="60"/>
        <w:jc w:val="both"/>
        <w:rPr>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For example Article XI establishes that: “</w:t>
      </w:r>
      <w:r w:rsidRPr="000E696E">
        <w:rPr>
          <w:rFonts w:ascii="Verdana" w:hAnsi="Verdana"/>
          <w:spacing w:val="-3"/>
          <w:sz w:val="16"/>
          <w:szCs w:val="16"/>
          <w:lang w:val="en-US"/>
        </w:rPr>
        <w:t>Every person has the right to the preservation of his health through sanitary and social measures relating to food, clothing, housing and medical care, to the extent permitted by public and community resources.”</w:t>
      </w:r>
    </w:p>
  </w:footnote>
  <w:footnote w:id="450">
    <w:p w14:paraId="42547117" w14:textId="3B1D84EF"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t xml:space="preserve">In this regard, </w:t>
      </w:r>
      <w:r w:rsidRPr="000E696E">
        <w:rPr>
          <w:caps/>
        </w:rPr>
        <w:t>“</w:t>
      </w:r>
      <w:r w:rsidRPr="000E696E">
        <w:t>on the path that should be followed to determine whether a right is implicit in the Charter it is necessary, in our opinion, to avoid the shortcut of directly citing the American Declaration as an instrument that informs the content of the human rights established in the Charter. [And this is taking into account that] Article 26 refers to rights derived from the economic, social, education, scientific and cultural standards set forth in the Charter and does not refer back to the Declaration.</w:t>
      </w:r>
      <w:r w:rsidRPr="000E696E">
        <w:rPr>
          <w:caps/>
        </w:rPr>
        <w:t xml:space="preserve">” </w:t>
      </w:r>
      <w:r w:rsidRPr="004204B2">
        <w:rPr>
          <w:lang w:val="es-CR"/>
        </w:rPr>
        <w:t>Abramovich, V. and Rossi, J., ‘</w:t>
      </w:r>
      <w:r w:rsidRPr="004204B2">
        <w:rPr>
          <w:i/>
          <w:lang w:val="es-CR"/>
        </w:rPr>
        <w:t>La Tutela de los Derechos Económicos, Sociales y Culturales en el Artículo 26 de la Convención Americana sobre Derechos Humanos,’</w:t>
      </w:r>
      <w:r w:rsidRPr="004204B2">
        <w:rPr>
          <w:lang w:val="es-CR"/>
        </w:rPr>
        <w:t xml:space="preserve"> Estudios Socio-Jurídicos, Vol. 9, 2007, p. 47.</w:t>
      </w:r>
    </w:p>
  </w:footnote>
  <w:footnote w:id="451">
    <w:p w14:paraId="3C8362C9" w14:textId="3817944F" w:rsidR="0068647C" w:rsidRPr="000E696E" w:rsidRDefault="0068647C" w:rsidP="00D61BD2">
      <w:pPr>
        <w:pStyle w:val="Textonotapie"/>
      </w:pPr>
      <w:r w:rsidRPr="000E696E">
        <w:rPr>
          <w:rStyle w:val="Refdenotaalpie"/>
          <w:sz w:val="16"/>
        </w:rPr>
        <w:footnoteRef/>
      </w:r>
      <w:r w:rsidRPr="000E696E">
        <w:t xml:space="preserve"> </w:t>
      </w:r>
      <w:r w:rsidRPr="000E696E">
        <w:tab/>
        <w:t>For example, Article 45(b) of the Charter establishes that: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p>
  </w:footnote>
  <w:footnote w:id="452">
    <w:p w14:paraId="17719449" w14:textId="3468BC25" w:rsidR="0068647C" w:rsidRPr="000E696E" w:rsidRDefault="0068647C" w:rsidP="00D61BD2">
      <w:pPr>
        <w:pStyle w:val="Textonotapie"/>
      </w:pPr>
      <w:r w:rsidRPr="000E696E">
        <w:rPr>
          <w:rStyle w:val="Refdenotaalpie"/>
          <w:sz w:val="16"/>
        </w:rPr>
        <w:footnoteRef/>
      </w:r>
      <w:r w:rsidRPr="000E696E">
        <w:t xml:space="preserve"> </w:t>
      </w:r>
      <w:r w:rsidRPr="000E696E">
        <w:tab/>
        <w:t xml:space="preserve">The discussion on which sources of international law can be used by the Inter-American Court to establish the scope of obligations and rights required of the States is not the main issue of this opinion, but I wish to express my concern owing to the use of documents such as the Agenda 2030 of the United Nations General Assembly (Millennium Goals) as a binding source for the inter-American system. </w:t>
      </w:r>
    </w:p>
  </w:footnote>
  <w:footnote w:id="453">
    <w:p w14:paraId="7B527122" w14:textId="31554090"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lang w:val="es-CR"/>
        </w:rPr>
        <w:t xml:space="preserve">Judgment </w:t>
      </w:r>
      <w:r w:rsidRPr="004204B2">
        <w:rPr>
          <w:i/>
          <w:lang w:val="es-CR"/>
        </w:rPr>
        <w:t>Lagos del Campo v. Peru</w:t>
      </w:r>
      <w:r w:rsidRPr="004204B2">
        <w:rPr>
          <w:lang w:val="es-CR"/>
        </w:rPr>
        <w:t xml:space="preserve">, para. </w:t>
      </w:r>
      <w:r w:rsidRPr="000E696E">
        <w:t>145.</w:t>
      </w:r>
    </w:p>
  </w:footnote>
  <w:footnote w:id="454">
    <w:p w14:paraId="24CB2388" w14:textId="1DB34556" w:rsidR="0068647C" w:rsidRPr="000E696E" w:rsidRDefault="0068647C" w:rsidP="00D61BD2">
      <w:pPr>
        <w:pStyle w:val="Textonotapie"/>
      </w:pPr>
      <w:r w:rsidRPr="000E696E">
        <w:rPr>
          <w:rStyle w:val="Refdenotaalpie"/>
          <w:sz w:val="16"/>
        </w:rPr>
        <w:footnoteRef/>
      </w:r>
      <w:r w:rsidRPr="000E696E">
        <w:t xml:space="preserve"> </w:t>
      </w:r>
      <w:r w:rsidRPr="000E696E">
        <w:tab/>
        <w:t xml:space="preserve">In this regard, concurring opinion </w:t>
      </w:r>
      <w:r w:rsidRPr="000E696E">
        <w:rPr>
          <w:i/>
        </w:rPr>
        <w:t>Case of González Lluy et al. v. Ecuador</w:t>
      </w:r>
      <w:r w:rsidRPr="000E696E">
        <w:t>, paras. 12 to 19.</w:t>
      </w:r>
    </w:p>
  </w:footnote>
  <w:footnote w:id="455">
    <w:p w14:paraId="201EEDC0" w14:textId="506C4AB9" w:rsidR="0068647C" w:rsidRPr="000E696E" w:rsidRDefault="0068647C" w:rsidP="00AA1EBF">
      <w:pPr>
        <w:spacing w:after="60"/>
        <w:jc w:val="both"/>
        <w:rPr>
          <w:rFonts w:ascii="Verdana" w:eastAsia="Times New Roman" w:hAnsi="Verdana"/>
          <w:sz w:val="16"/>
          <w:szCs w:val="16"/>
          <w:lang w:val="en-US" w:eastAsia="es-ES_tradnl"/>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A good example of the correct use of the methods of treaty interpretation can be found in Advisory Opinion No. 21 on the </w:t>
      </w:r>
      <w:r w:rsidRPr="000E696E">
        <w:rPr>
          <w:rFonts w:ascii="Verdana" w:hAnsi="Verdana"/>
          <w:i/>
          <w:iCs/>
          <w:sz w:val="16"/>
          <w:szCs w:val="16"/>
          <w:lang w:val="en-US"/>
        </w:rPr>
        <w:t>Entitlement of Legal Entities to Hold Rights under the Inter-American Human Rights System</w:t>
      </w:r>
      <w:r w:rsidRPr="000E696E">
        <w:rPr>
          <w:rFonts w:ascii="Verdana" w:eastAsia="Times New Roman" w:hAnsi="Verdana"/>
          <w:bCs/>
          <w:color w:val="000000"/>
          <w:sz w:val="16"/>
          <w:szCs w:val="16"/>
          <w:shd w:val="clear" w:color="auto" w:fill="FFFFFF"/>
          <w:lang w:val="en-US" w:eastAsia="es-ES_tradnl"/>
        </w:rPr>
        <w:t>.</w:t>
      </w:r>
    </w:p>
  </w:footnote>
  <w:footnote w:id="456">
    <w:p w14:paraId="5D93B451" w14:textId="756B417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In this regard, concurring opinion, </w:t>
      </w:r>
      <w:r w:rsidRPr="000E696E">
        <w:rPr>
          <w:i/>
        </w:rPr>
        <w:t>Case of González Lluy et al. v. Ecuador</w:t>
      </w:r>
      <w:r w:rsidRPr="000E696E">
        <w:t>, paras. 23 to 28.</w:t>
      </w:r>
    </w:p>
  </w:footnote>
  <w:footnote w:id="457">
    <w:p w14:paraId="067971E7" w14:textId="559E029E" w:rsidR="0068647C" w:rsidRPr="000E696E" w:rsidRDefault="0068647C" w:rsidP="00D61BD2">
      <w:pPr>
        <w:pStyle w:val="Textonotapie"/>
      </w:pPr>
      <w:r w:rsidRPr="000E696E">
        <w:rPr>
          <w:rStyle w:val="Refdenotaalpie"/>
          <w:sz w:val="16"/>
        </w:rPr>
        <w:footnoteRef/>
      </w:r>
      <w:r w:rsidRPr="000E696E">
        <w:t xml:space="preserve"> </w:t>
      </w:r>
      <w:r w:rsidRPr="000E696E">
        <w:tab/>
        <w:t xml:space="preserve">Similarly, see: </w:t>
      </w:r>
      <w:r w:rsidRPr="000E696E">
        <w:rPr>
          <w:bCs/>
          <w:i/>
          <w:iCs/>
        </w:rPr>
        <w:t xml:space="preserve">Case of González et al. (“Cotton Field”) v. Mexico. </w:t>
      </w:r>
      <w:r w:rsidRPr="000E696E">
        <w:rPr>
          <w:i/>
          <w:iCs/>
        </w:rPr>
        <w:t>Preliminary objections, merits, reparations and costs</w:t>
      </w:r>
      <w:r w:rsidRPr="000E696E">
        <w:t>. Judgment of November 16, 2009. Series C No. 205, para. 78.</w:t>
      </w:r>
    </w:p>
  </w:footnote>
  <w:footnote w:id="458">
    <w:p w14:paraId="50535B3F" w14:textId="77777777" w:rsidR="0068647C" w:rsidRPr="000E696E" w:rsidRDefault="0068647C" w:rsidP="002F6229">
      <w:pPr>
        <w:spacing w:after="60"/>
        <w:jc w:val="both"/>
        <w:rPr>
          <w:rFonts w:ascii="Verdana" w:eastAsia="Times New Roman" w:hAnsi="Verdana"/>
          <w:sz w:val="16"/>
          <w:szCs w:val="16"/>
          <w:lang w:val="en-US" w:eastAsia="es-ES_tradnl"/>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i/>
          <w:sz w:val="16"/>
          <w:szCs w:val="16"/>
          <w:lang w:val="en-US" w:eastAsia="es-ES_tradnl"/>
        </w:rPr>
        <w:t>Case of Velásquez Rodríguez v. Honduras</w:t>
      </w:r>
      <w:r w:rsidRPr="000E696E">
        <w:rPr>
          <w:rFonts w:ascii="Verdana" w:eastAsia="Times New Roman" w:hAnsi="Verdana"/>
          <w:sz w:val="16"/>
          <w:szCs w:val="16"/>
          <w:lang w:val="en-US" w:eastAsia="es-ES_tradnl"/>
        </w:rPr>
        <w:t>, Judgment of July 29, 1988 (Merits), Series C No. 4, paras. 163 to 166.</w:t>
      </w:r>
    </w:p>
  </w:footnote>
  <w:footnote w:id="459">
    <w:p w14:paraId="0EBCF2FF" w14:textId="5C020C76" w:rsidR="0068647C" w:rsidRPr="000E696E" w:rsidRDefault="0068647C" w:rsidP="00AA1EBF">
      <w:pPr>
        <w:spacing w:after="60"/>
        <w:jc w:val="both"/>
        <w:rPr>
          <w:rFonts w:ascii="Verdana" w:eastAsia="Times New Roman" w:hAnsi="Verdana"/>
          <w:sz w:val="16"/>
          <w:szCs w:val="16"/>
          <w:lang w:val="en-US" w:eastAsia="es-ES_tradnl"/>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Times New Roman" w:hAnsi="Verdana"/>
          <w:i/>
          <w:sz w:val="16"/>
          <w:szCs w:val="16"/>
          <w:lang w:val="en-US" w:eastAsia="es-ES_tradnl"/>
        </w:rPr>
        <w:t>Case of Hilaire, Constantine and Benjamin et al. v. Trinidad and Tobago</w:t>
      </w:r>
      <w:r w:rsidRPr="000E696E">
        <w:rPr>
          <w:rFonts w:ascii="Verdana" w:eastAsia="Times New Roman" w:hAnsi="Verdana"/>
          <w:sz w:val="16"/>
          <w:szCs w:val="16"/>
          <w:lang w:val="en-US" w:eastAsia="es-ES_tradnl"/>
        </w:rPr>
        <w:t xml:space="preserve">, Judgment of June 21, 2002 (Merits, reparations and costs), para. 107. </w:t>
      </w:r>
    </w:p>
  </w:footnote>
  <w:footnote w:id="460">
    <w:p w14:paraId="60342C5D" w14:textId="77777777" w:rsidR="0068647C" w:rsidRPr="000E696E" w:rsidRDefault="0068647C" w:rsidP="00D61BD2">
      <w:pPr>
        <w:pStyle w:val="Textonotapie"/>
      </w:pPr>
      <w:r w:rsidRPr="000E696E">
        <w:rPr>
          <w:rStyle w:val="Refdenotaalpie"/>
          <w:sz w:val="16"/>
        </w:rPr>
        <w:footnoteRef/>
      </w:r>
      <w:r w:rsidRPr="000E696E">
        <w:t xml:space="preserve"> </w:t>
      </w:r>
      <w:r w:rsidRPr="000E696E">
        <w:tab/>
        <w:t xml:space="preserve">Judgment </w:t>
      </w:r>
      <w:r w:rsidRPr="000E696E">
        <w:rPr>
          <w:i/>
        </w:rPr>
        <w:t>Lagos del Campo v. Peru</w:t>
      </w:r>
      <w:r w:rsidRPr="000E696E">
        <w:t>, paras. 133 to 139.</w:t>
      </w:r>
    </w:p>
  </w:footnote>
  <w:footnote w:id="461">
    <w:p w14:paraId="0742C5E6" w14:textId="352808C2" w:rsidR="0068647C" w:rsidRPr="000E696E" w:rsidRDefault="0068647C" w:rsidP="00D61BD2">
      <w:pPr>
        <w:pStyle w:val="Textonotapie"/>
      </w:pPr>
      <w:r w:rsidRPr="000E696E">
        <w:rPr>
          <w:rStyle w:val="Refdenotaalpie"/>
          <w:sz w:val="16"/>
        </w:rPr>
        <w:footnoteRef/>
      </w:r>
      <w:r w:rsidRPr="000E696E">
        <w:t xml:space="preserve"> </w:t>
      </w:r>
      <w:r w:rsidRPr="000E696E">
        <w:tab/>
        <w:t>It should be stressed that the judgment indicates that the Peruvian State was aware of the facts, but when this is mentioned in footnote No. 183, it includes a citation that that refers to an argument on a right to work and not to a specific fact.</w:t>
      </w:r>
    </w:p>
  </w:footnote>
  <w:footnote w:id="462">
    <w:p w14:paraId="16556015" w14:textId="34652C76" w:rsidR="0068647C" w:rsidRPr="000E696E" w:rsidRDefault="0068647C" w:rsidP="00D61BD2">
      <w:pPr>
        <w:pStyle w:val="Textonotapie"/>
      </w:pPr>
      <w:r w:rsidRPr="000E696E">
        <w:rPr>
          <w:rStyle w:val="Refdenotaalpie"/>
          <w:sz w:val="16"/>
        </w:rPr>
        <w:footnoteRef/>
      </w:r>
      <w:r w:rsidRPr="004204B2">
        <w:rPr>
          <w:lang w:val="es-CR"/>
        </w:rPr>
        <w:t xml:space="preserve"> </w:t>
      </w:r>
      <w:r w:rsidRPr="004204B2">
        <w:rPr>
          <w:lang w:val="es-CR"/>
        </w:rPr>
        <w:tab/>
      </w:r>
      <w:r w:rsidRPr="004204B2">
        <w:rPr>
          <w:lang w:val="es-CR"/>
        </w:rPr>
        <w:t xml:space="preserve">Judgment </w:t>
      </w:r>
      <w:r w:rsidRPr="004204B2">
        <w:rPr>
          <w:i/>
          <w:lang w:val="es-CR"/>
        </w:rPr>
        <w:t>Lagos del Campo v. Peru</w:t>
      </w:r>
      <w:r w:rsidRPr="004204B2">
        <w:rPr>
          <w:lang w:val="es-CR"/>
        </w:rPr>
        <w:t xml:space="preserve">, para. </w:t>
      </w:r>
      <w:r w:rsidRPr="000E696E">
        <w:t>137.</w:t>
      </w:r>
    </w:p>
  </w:footnote>
  <w:footnote w:id="463">
    <w:p w14:paraId="6453D161" w14:textId="18F75820" w:rsidR="0068647C" w:rsidRPr="000E696E" w:rsidRDefault="0068647C" w:rsidP="00AA1EBF">
      <w:pPr>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t xml:space="preserve">Indeed, the reason why the judgment decides that there is no violation is that, “considering that the analysis is not centered on some measure adopted by the State that hindered the progressive realization of the right to a pension, but on the State's non-compliance with the payment ordered by the domestic courts, the Court deems that the violated rights are those protected in Articles 25 and 21 of the Convention and does not find grounds to also declare non-compliance with Article 26 of this instrument.” </w:t>
      </w:r>
      <w:r w:rsidRPr="000E696E">
        <w:rPr>
          <w:rStyle w:val="Textoennegrita"/>
          <w:rFonts w:ascii="Verdana" w:hAnsi="Verdana"/>
          <w:b w:val="0"/>
          <w:i/>
          <w:sz w:val="16"/>
          <w:szCs w:val="16"/>
          <w:shd w:val="clear" w:color="auto" w:fill="FFFFFF"/>
          <w:lang w:val="en-US"/>
        </w:rPr>
        <w:t>Case of Acevedo Buendía et al. (“Discharged and Retired Employees of the Office of the Comptroller”) v. Peru</w:t>
      </w:r>
      <w:r w:rsidRPr="000E696E">
        <w:rPr>
          <w:rStyle w:val="Textoennegrita"/>
          <w:rFonts w:ascii="Verdana" w:hAnsi="Verdana"/>
          <w:b w:val="0"/>
          <w:sz w:val="16"/>
          <w:szCs w:val="16"/>
          <w:shd w:val="clear" w:color="auto" w:fill="FFFFFF"/>
          <w:lang w:val="en-US"/>
        </w:rPr>
        <w:t>, para. 106.</w:t>
      </w:r>
    </w:p>
  </w:footnote>
  <w:footnote w:id="464">
    <w:p w14:paraId="7E946893" w14:textId="40F32B2C" w:rsidR="0068647C" w:rsidRPr="000E696E" w:rsidRDefault="0068647C" w:rsidP="00390E29">
      <w:pPr>
        <w:pStyle w:val="NormalWeb"/>
        <w:shd w:val="clear" w:color="auto" w:fill="FFFFFF"/>
        <w:tabs>
          <w:tab w:val="left" w:pos="720"/>
        </w:tabs>
        <w:spacing w:before="0" w:beforeAutospacing="0" w:after="60" w:afterAutospacing="0"/>
        <w:jc w:val="both"/>
        <w:rPr>
          <w:rFonts w:ascii="Verdana" w:hAnsi="Verdana" w:cs="Tahoma"/>
          <w:sz w:val="16"/>
          <w:szCs w:val="16"/>
          <w:lang w:val="en-US"/>
        </w:rPr>
      </w:pPr>
      <w:r w:rsidRPr="000E696E">
        <w:rPr>
          <w:rStyle w:val="Refdenotaalpie"/>
          <w:rFonts w:eastAsiaTheme="majorEastAsia"/>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eastAsia="Calibri" w:hAnsi="Verdana"/>
          <w:i/>
          <w:sz w:val="16"/>
          <w:szCs w:val="16"/>
          <w:lang w:val="en-US"/>
        </w:rPr>
        <w:t xml:space="preserve">Cf. </w:t>
      </w:r>
      <w:r w:rsidRPr="000E696E">
        <w:rPr>
          <w:rFonts w:ascii="Verdana" w:hAnsi="Verdana"/>
          <w:sz w:val="16"/>
          <w:szCs w:val="16"/>
          <w:lang w:val="en-US"/>
        </w:rPr>
        <w:t xml:space="preserve">Advisory Opinion OC-16/99, para. 114; </w:t>
      </w:r>
      <w:r w:rsidRPr="000E696E">
        <w:rPr>
          <w:rStyle w:val="Textoennegrita"/>
          <w:rFonts w:ascii="Verdana" w:eastAsiaTheme="majorEastAsia" w:hAnsi="Verdana"/>
          <w:b w:val="0"/>
          <w:i/>
          <w:sz w:val="16"/>
          <w:szCs w:val="16"/>
          <w:shd w:val="clear" w:color="auto" w:fill="FFFFFF"/>
          <w:lang w:val="en-US"/>
        </w:rPr>
        <w:t>Case of Atala Riffo and daughters v. Chile. Merits, reparations and costs</w:t>
      </w:r>
      <w:r w:rsidRPr="000E696E">
        <w:rPr>
          <w:rStyle w:val="Textoennegrita"/>
          <w:rFonts w:ascii="Verdana" w:eastAsiaTheme="majorEastAsia" w:hAnsi="Verdana"/>
          <w:b w:val="0"/>
          <w:sz w:val="16"/>
          <w:szCs w:val="16"/>
          <w:shd w:val="clear" w:color="auto" w:fill="FFFFFF"/>
          <w:lang w:val="en-US"/>
        </w:rPr>
        <w:t xml:space="preserve">. Judgment of February 24, 2012. Series C No. 239, para. </w:t>
      </w:r>
      <w:r w:rsidRPr="004204B2">
        <w:rPr>
          <w:rStyle w:val="Textoennegrita"/>
          <w:rFonts w:ascii="Verdana" w:eastAsiaTheme="majorEastAsia" w:hAnsi="Verdana"/>
          <w:b w:val="0"/>
          <w:sz w:val="16"/>
          <w:szCs w:val="16"/>
          <w:shd w:val="clear" w:color="auto" w:fill="FFFFFF"/>
        </w:rPr>
        <w:t xml:space="preserve">83; </w:t>
      </w:r>
      <w:r w:rsidRPr="004204B2">
        <w:rPr>
          <w:rStyle w:val="Textoennegrita"/>
          <w:rFonts w:ascii="Verdana" w:eastAsiaTheme="majorEastAsia" w:hAnsi="Verdana"/>
          <w:b w:val="0"/>
          <w:i/>
          <w:sz w:val="16"/>
          <w:szCs w:val="16"/>
          <w:shd w:val="clear" w:color="auto" w:fill="FFFFFF"/>
        </w:rPr>
        <w:t xml:space="preserve">Case of Artavia Murillo et al. (In vitro </w:t>
      </w:r>
      <w:r w:rsidRPr="004204B2">
        <w:rPr>
          <w:rStyle w:val="Textoennegrita"/>
          <w:rFonts w:ascii="Verdana" w:eastAsiaTheme="majorEastAsia" w:hAnsi="Verdana"/>
          <w:b w:val="0"/>
          <w:i/>
          <w:sz w:val="16"/>
          <w:szCs w:val="16"/>
          <w:shd w:val="clear" w:color="auto" w:fill="FFFFFF"/>
        </w:rPr>
        <w:t>fertilization) v. Costa Rica</w:t>
      </w:r>
      <w:r w:rsidRPr="004204B2">
        <w:rPr>
          <w:rStyle w:val="Textoennegrita"/>
          <w:rFonts w:ascii="Verdana" w:eastAsiaTheme="majorEastAsia" w:hAnsi="Verdana"/>
          <w:b w:val="0"/>
          <w:sz w:val="16"/>
          <w:szCs w:val="16"/>
          <w:shd w:val="clear" w:color="auto" w:fill="FFFFFF"/>
        </w:rPr>
        <w:t xml:space="preserve">, para. </w:t>
      </w:r>
      <w:r w:rsidRPr="000E696E">
        <w:rPr>
          <w:rStyle w:val="Textoennegrita"/>
          <w:rFonts w:ascii="Verdana" w:eastAsiaTheme="majorEastAsia" w:hAnsi="Verdana"/>
          <w:b w:val="0"/>
          <w:sz w:val="16"/>
          <w:szCs w:val="16"/>
          <w:shd w:val="clear" w:color="auto" w:fill="FFFFFF"/>
          <w:lang w:val="en-US"/>
        </w:rPr>
        <w:t>245,</w:t>
      </w:r>
      <w:r w:rsidRPr="000E696E">
        <w:rPr>
          <w:rFonts w:ascii="Verdana" w:hAnsi="Verdana"/>
          <w:b/>
          <w:sz w:val="16"/>
          <w:szCs w:val="16"/>
          <w:lang w:val="en-US"/>
        </w:rPr>
        <w:t xml:space="preserve"> </w:t>
      </w:r>
      <w:r w:rsidRPr="000E696E">
        <w:rPr>
          <w:rFonts w:ascii="Verdana" w:hAnsi="Verdana"/>
          <w:bCs/>
          <w:sz w:val="16"/>
          <w:szCs w:val="16"/>
          <w:lang w:val="en-US"/>
        </w:rPr>
        <w:t xml:space="preserve">and </w:t>
      </w:r>
      <w:r w:rsidRPr="000E696E">
        <w:rPr>
          <w:rStyle w:val="Textoennegrita"/>
          <w:rFonts w:ascii="Verdana" w:eastAsiaTheme="majorEastAsia" w:hAnsi="Verdana"/>
          <w:b w:val="0"/>
          <w:sz w:val="16"/>
          <w:szCs w:val="16"/>
          <w:shd w:val="clear" w:color="auto" w:fill="FFFFFF"/>
          <w:lang w:val="en-US"/>
        </w:rPr>
        <w:t>Advisory Opinion OC-21/14, para. 55</w:t>
      </w:r>
      <w:r w:rsidRPr="000E696E">
        <w:rPr>
          <w:rFonts w:ascii="Verdana" w:hAnsi="Verdana"/>
          <w:b/>
          <w:sz w:val="16"/>
          <w:szCs w:val="16"/>
          <w:lang w:val="en-US"/>
        </w:rPr>
        <w:t>.</w:t>
      </w:r>
      <w:r w:rsidRPr="000E696E">
        <w:rPr>
          <w:rFonts w:ascii="Verdana" w:hAnsi="Verdana"/>
          <w:sz w:val="16"/>
          <w:szCs w:val="16"/>
          <w:lang w:val="en-US"/>
        </w:rPr>
        <w:t xml:space="preserve"> Similarly, the Preamble of the American Declaration of the Rights and Duties of Man indicates that: “</w:t>
      </w:r>
      <w:r w:rsidRPr="000E696E">
        <w:rPr>
          <w:rFonts w:ascii="Verdana" w:hAnsi="Verdana" w:cs="Tahoma"/>
          <w:sz w:val="16"/>
          <w:szCs w:val="16"/>
          <w:lang w:val="en-US"/>
        </w:rPr>
        <w:t>[t]</w:t>
      </w:r>
      <w:r w:rsidRPr="000E696E">
        <w:rPr>
          <w:rFonts w:ascii="Verdana" w:hAnsi="Verdana"/>
          <w:spacing w:val="-3"/>
          <w:sz w:val="16"/>
          <w:szCs w:val="16"/>
          <w:lang w:val="en-US"/>
        </w:rPr>
        <w:t>he international protection of the rights of man should be the principal guide of an evolving American law</w:t>
      </w:r>
      <w:r w:rsidRPr="000E696E">
        <w:rPr>
          <w:rFonts w:ascii="Verdana" w:hAnsi="Verdana" w:cs="Tahoma"/>
          <w:sz w:val="16"/>
          <w:szCs w:val="16"/>
          <w:lang w:val="en-US"/>
        </w:rPr>
        <w:t>.</w:t>
      </w:r>
      <w:r w:rsidRPr="000E696E">
        <w:rPr>
          <w:rFonts w:ascii="Verdana" w:hAnsi="Verdana"/>
          <w:sz w:val="16"/>
          <w:szCs w:val="16"/>
          <w:lang w:val="en-US"/>
        </w:rPr>
        <w:t>”</w:t>
      </w:r>
    </w:p>
  </w:footnote>
  <w:footnote w:id="465">
    <w:p w14:paraId="3D04748A" w14:textId="11CCBA22" w:rsidR="0068647C" w:rsidRPr="000E696E" w:rsidRDefault="0068647C" w:rsidP="009D5358">
      <w:pPr>
        <w:tabs>
          <w:tab w:val="left" w:pos="720"/>
        </w:tabs>
        <w:spacing w:after="60"/>
        <w:jc w:val="both"/>
        <w:rPr>
          <w:rFonts w:ascii="Verdana" w:hAnsi="Verdana"/>
          <w:sz w:val="16"/>
          <w:szCs w:val="16"/>
          <w:lang w:val="en-US"/>
        </w:rPr>
      </w:pPr>
      <w:r w:rsidRPr="000E696E">
        <w:rPr>
          <w:rStyle w:val="Refdenotaalpie"/>
          <w:sz w:val="16"/>
          <w:szCs w:val="16"/>
          <w:lang w:val="en-US"/>
        </w:rPr>
        <w:footnoteRef/>
      </w:r>
      <w:r w:rsidRPr="000E696E">
        <w:rPr>
          <w:rFonts w:ascii="Verdana" w:hAnsi="Verdana"/>
          <w:sz w:val="16"/>
          <w:szCs w:val="16"/>
          <w:lang w:val="en-US"/>
        </w:rPr>
        <w:t xml:space="preserve"> </w:t>
      </w:r>
      <w:r w:rsidRPr="000E696E">
        <w:rPr>
          <w:rFonts w:ascii="Verdana" w:hAnsi="Verdana"/>
          <w:sz w:val="16"/>
          <w:szCs w:val="16"/>
          <w:lang w:val="en-US"/>
        </w:rPr>
        <w:tab/>
      </w:r>
      <w:r w:rsidRPr="000E696E">
        <w:rPr>
          <w:rFonts w:ascii="Verdana" w:hAnsi="Verdana"/>
          <w:i/>
          <w:sz w:val="16"/>
          <w:szCs w:val="16"/>
          <w:lang w:val="en-US"/>
        </w:rPr>
        <w:t xml:space="preserve">Cf. </w:t>
      </w:r>
      <w:r w:rsidRPr="000E696E">
        <w:rPr>
          <w:rFonts w:ascii="Verdana" w:hAnsi="Verdana"/>
          <w:sz w:val="16"/>
          <w:szCs w:val="16"/>
          <w:lang w:val="en-US"/>
        </w:rPr>
        <w:t xml:space="preserve">Advisory Opinion OC-16/99, para. 114, and </w:t>
      </w:r>
      <w:r w:rsidRPr="000E696E">
        <w:rPr>
          <w:rStyle w:val="Textoennegrita"/>
          <w:rFonts w:ascii="Verdana" w:hAnsi="Verdana"/>
          <w:b w:val="0"/>
          <w:sz w:val="16"/>
          <w:szCs w:val="16"/>
          <w:shd w:val="clear" w:color="auto" w:fill="FFFFFF"/>
          <w:lang w:val="en-US"/>
        </w:rPr>
        <w:t>Advisory Opinion OC-21/14, para. 55</w:t>
      </w:r>
      <w:r w:rsidRPr="000E696E">
        <w:rPr>
          <w:rFonts w:ascii="Verdana" w:hAnsi="Verdana"/>
          <w:sz w:val="16"/>
          <w:szCs w:val="16"/>
          <w:lang w:val="en-US"/>
        </w:rPr>
        <w:t>.</w:t>
      </w:r>
    </w:p>
  </w:footnote>
  <w:footnote w:id="466">
    <w:p w14:paraId="364372E6" w14:textId="7B1C54F2" w:rsidR="0068647C" w:rsidRPr="004204B2" w:rsidRDefault="0068647C" w:rsidP="00D61BD2">
      <w:pPr>
        <w:pStyle w:val="Textonotapie"/>
        <w:rPr>
          <w:lang w:val="es-CR"/>
        </w:rPr>
      </w:pPr>
      <w:r w:rsidRPr="000E696E">
        <w:rPr>
          <w:rStyle w:val="Refdenotaalpie"/>
          <w:sz w:val="16"/>
        </w:rPr>
        <w:footnoteRef/>
      </w:r>
      <w:r w:rsidRPr="000E696E">
        <w:t xml:space="preserve"> </w:t>
      </w:r>
      <w:r w:rsidRPr="000E696E">
        <w:tab/>
        <w:t xml:space="preserve">In this regard, constitutional mutation refers to “the transformation or modification of a constitutional principle or precept.” </w:t>
      </w:r>
      <w:r w:rsidRPr="004204B2">
        <w:rPr>
          <w:lang w:val="es-CR"/>
        </w:rPr>
        <w:t xml:space="preserve">Humberto Sierra Porto, </w:t>
      </w:r>
      <w:r w:rsidRPr="004204B2">
        <w:rPr>
          <w:i/>
          <w:lang w:val="es-CR"/>
        </w:rPr>
        <w:t>La reforma de la Constitución</w:t>
      </w:r>
      <w:r w:rsidRPr="004204B2">
        <w:rPr>
          <w:lang w:val="es-CR"/>
        </w:rPr>
        <w:t>, Bogotá, Instituto de Estudios Constitucionales Carlos Restrepo Piedrahita, 1998, p.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17159"/>
      <w:docPartObj>
        <w:docPartGallery w:val="Page Numbers (Top of Page)"/>
        <w:docPartUnique/>
      </w:docPartObj>
    </w:sdtPr>
    <w:sdtEndPr>
      <w:rPr>
        <w:noProof/>
      </w:rPr>
    </w:sdtEndPr>
    <w:sdtContent>
      <w:p w14:paraId="704ED0CB" w14:textId="7595D5B3" w:rsidR="0068647C" w:rsidRDefault="0068647C">
        <w:pPr>
          <w:pStyle w:val="Encabezado"/>
          <w:jc w:val="center"/>
        </w:pPr>
        <w:r>
          <w:fldChar w:fldCharType="begin"/>
        </w:r>
        <w:r>
          <w:instrText xml:space="preserve"> PAGE   \* MERGEFORMAT </w:instrText>
        </w:r>
        <w:r>
          <w:fldChar w:fldCharType="separate"/>
        </w:r>
        <w:r>
          <w:rPr>
            <w:noProof/>
          </w:rPr>
          <w:t>2</w:t>
        </w:r>
        <w:r>
          <w:rPr>
            <w:noProof/>
          </w:rPr>
          <w:fldChar w:fldCharType="end"/>
        </w:r>
      </w:p>
    </w:sdtContent>
  </w:sdt>
  <w:p w14:paraId="67960576" w14:textId="43E9248C" w:rsidR="0068647C" w:rsidRPr="00333304" w:rsidRDefault="0068647C" w:rsidP="00E00EA8">
    <w:pPr>
      <w:pStyle w:val="Encabezado"/>
      <w:tabs>
        <w:tab w:val="clear" w:pos="8838"/>
        <w:tab w:val="right" w:pos="9639"/>
      </w:tabs>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20"/>
    <w:lvl w:ilvl="0">
      <w:start w:val="1"/>
      <w:numFmt w:val="decimal"/>
      <w:pStyle w:val="Estilo4"/>
      <w:lvlText w:val="%1."/>
      <w:lvlJc w:val="left"/>
      <w:pPr>
        <w:tabs>
          <w:tab w:val="num" w:pos="0"/>
        </w:tabs>
        <w:ind w:left="720" w:hanging="360"/>
      </w:pPr>
      <w:rPr>
        <w:rFonts w:ascii="Verdana" w:eastAsia="Calibri" w:hAnsi="Verdana" w:cs="Times New Roman"/>
        <w:b w:val="0"/>
        <w:i w:val="0"/>
        <w:strike w:val="0"/>
        <w:dstrike w:val="0"/>
        <w:color w:val="auto"/>
        <w:sz w:val="20"/>
        <w:szCs w:val="20"/>
      </w:rPr>
    </w:lvl>
    <w:lvl w:ilvl="1">
      <w:start w:val="1"/>
      <w:numFmt w:val="lowerLetter"/>
      <w:lvlText w:val="%2)"/>
      <w:lvlJc w:val="left"/>
      <w:pPr>
        <w:tabs>
          <w:tab w:val="num" w:pos="0"/>
        </w:tabs>
        <w:ind w:left="1440" w:hanging="360"/>
      </w:pPr>
      <w:rPr>
        <w:rFonts w:ascii="Verdana" w:hAnsi="Verdana" w:cs="Times New Roman"/>
        <w:b w:val="0"/>
        <w:i/>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3171C0"/>
    <w:multiLevelType w:val="hybridMultilevel"/>
    <w:tmpl w:val="F84E5BE0"/>
    <w:lvl w:ilvl="0" w:tplc="2B826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0BC"/>
    <w:multiLevelType w:val="hybridMultilevel"/>
    <w:tmpl w:val="0366D748"/>
    <w:lvl w:ilvl="0" w:tplc="B906C7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68B8"/>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 w15:restartNumberingAfterBreak="0">
    <w:nsid w:val="074E7427"/>
    <w:multiLevelType w:val="hybridMultilevel"/>
    <w:tmpl w:val="6A4C77B4"/>
    <w:lvl w:ilvl="0" w:tplc="B4E8DDE4">
      <w:start w:val="1"/>
      <w:numFmt w:val="upperRoman"/>
      <w:pStyle w:val="Style1"/>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79F1E49"/>
    <w:multiLevelType w:val="hybridMultilevel"/>
    <w:tmpl w:val="D62255A8"/>
    <w:lvl w:ilvl="0" w:tplc="790E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B7E24"/>
    <w:multiLevelType w:val="hybridMultilevel"/>
    <w:tmpl w:val="81AE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F788A"/>
    <w:multiLevelType w:val="hybridMultilevel"/>
    <w:tmpl w:val="553C3BD6"/>
    <w:lvl w:ilvl="0" w:tplc="D204976E">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A736248"/>
    <w:multiLevelType w:val="hybridMultilevel"/>
    <w:tmpl w:val="2132D212"/>
    <w:lvl w:ilvl="0" w:tplc="919A28B4">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9BD6209"/>
    <w:multiLevelType w:val="hybridMultilevel"/>
    <w:tmpl w:val="E6B2D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A0FDE"/>
    <w:multiLevelType w:val="multilevel"/>
    <w:tmpl w:val="AB28B5F6"/>
    <w:lvl w:ilvl="0">
      <w:start w:val="1"/>
      <w:numFmt w:val="decimal"/>
      <w:lvlText w:val="%1."/>
      <w:lvlJc w:val="left"/>
      <w:pPr>
        <w:ind w:left="720" w:hanging="360"/>
      </w:pPr>
      <w:rPr>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CF7D97"/>
    <w:multiLevelType w:val="hybridMultilevel"/>
    <w:tmpl w:val="553C3BD6"/>
    <w:lvl w:ilvl="0" w:tplc="D204976E">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650A12"/>
    <w:multiLevelType w:val="hybridMultilevel"/>
    <w:tmpl w:val="C6DA4C48"/>
    <w:lvl w:ilvl="0" w:tplc="E45E64BA">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4067608"/>
    <w:multiLevelType w:val="hybridMultilevel"/>
    <w:tmpl w:val="C02AA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0245"/>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5F10BB0"/>
    <w:multiLevelType w:val="hybridMultilevel"/>
    <w:tmpl w:val="7C148050"/>
    <w:lvl w:ilvl="0" w:tplc="2564CF7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1026D6"/>
    <w:multiLevelType w:val="hybridMultilevel"/>
    <w:tmpl w:val="B8E8458E"/>
    <w:lvl w:ilvl="0" w:tplc="361AE51A">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15:restartNumberingAfterBreak="0">
    <w:nsid w:val="37C00C97"/>
    <w:multiLevelType w:val="hybridMultilevel"/>
    <w:tmpl w:val="BF5A83F6"/>
    <w:lvl w:ilvl="0" w:tplc="7FECE2E4">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9AB1DDC"/>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2" w15:restartNumberingAfterBreak="0">
    <w:nsid w:val="39B34B33"/>
    <w:multiLevelType w:val="hybridMultilevel"/>
    <w:tmpl w:val="12F8F2AA"/>
    <w:lvl w:ilvl="0" w:tplc="2C5ADC88">
      <w:start w:val="1"/>
      <w:numFmt w:val="decimal"/>
      <w:lvlText w:val="%1."/>
      <w:lvlJc w:val="left"/>
      <w:pPr>
        <w:ind w:left="54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16168"/>
    <w:multiLevelType w:val="hybridMultilevel"/>
    <w:tmpl w:val="EE4EE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8FCCB44">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E78CE"/>
    <w:multiLevelType w:val="hybridMultilevel"/>
    <w:tmpl w:val="3BBA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01B1B35"/>
    <w:multiLevelType w:val="hybridMultilevel"/>
    <w:tmpl w:val="2132D212"/>
    <w:lvl w:ilvl="0" w:tplc="919A28B4">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3490A00"/>
    <w:multiLevelType w:val="hybridMultilevel"/>
    <w:tmpl w:val="7C148050"/>
    <w:lvl w:ilvl="0" w:tplc="2564CF7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42B6979"/>
    <w:multiLevelType w:val="multilevel"/>
    <w:tmpl w:val="AB28B5F6"/>
    <w:lvl w:ilvl="0">
      <w:start w:val="1"/>
      <w:numFmt w:val="decimal"/>
      <w:lvlText w:val="%1."/>
      <w:lvlJc w:val="left"/>
      <w:pPr>
        <w:ind w:left="720" w:hanging="360"/>
      </w:pPr>
      <w:rPr>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A81186"/>
    <w:multiLevelType w:val="hybridMultilevel"/>
    <w:tmpl w:val="0B32DF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A027F31"/>
    <w:multiLevelType w:val="hybridMultilevel"/>
    <w:tmpl w:val="D64CA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B52B7"/>
    <w:multiLevelType w:val="hybridMultilevel"/>
    <w:tmpl w:val="2A3ED960"/>
    <w:lvl w:ilvl="0" w:tplc="98AA2D10">
      <w:start w:val="151"/>
      <w:numFmt w:val="decimal"/>
      <w:lvlText w:val="%1."/>
      <w:lvlJc w:val="left"/>
      <w:pPr>
        <w:ind w:left="820" w:hanging="4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EB8347C"/>
    <w:multiLevelType w:val="hybridMultilevel"/>
    <w:tmpl w:val="B092464A"/>
    <w:lvl w:ilvl="0" w:tplc="1CB6CE8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73D46"/>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53552C4B"/>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D5835FB"/>
    <w:multiLevelType w:val="hybridMultilevel"/>
    <w:tmpl w:val="1496466C"/>
    <w:lvl w:ilvl="0" w:tplc="43F8F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4EB5A5A"/>
    <w:multiLevelType w:val="hybridMultilevel"/>
    <w:tmpl w:val="151071F4"/>
    <w:lvl w:ilvl="0" w:tplc="E5103F26">
      <w:start w:val="1"/>
      <w:numFmt w:val="lowerLetter"/>
      <w:lvlText w:val="%1)"/>
      <w:lvlJc w:val="left"/>
      <w:pPr>
        <w:ind w:left="1068" w:hanging="360"/>
      </w:pPr>
      <w:rPr>
        <w:rFonts w:hint="default"/>
        <w:i/>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9" w15:restartNumberingAfterBreak="0">
    <w:nsid w:val="680C6FF4"/>
    <w:multiLevelType w:val="hybridMultilevel"/>
    <w:tmpl w:val="0B32DF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5C4C48"/>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6A0342D4"/>
    <w:multiLevelType w:val="hybridMultilevel"/>
    <w:tmpl w:val="4E023912"/>
    <w:lvl w:ilvl="0" w:tplc="C6928D1E">
      <w:start w:val="1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4E66EF9"/>
    <w:multiLevelType w:val="hybridMultilevel"/>
    <w:tmpl w:val="0B60C32C"/>
    <w:lvl w:ilvl="0" w:tplc="101E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F4FB2"/>
    <w:multiLevelType w:val="hybridMultilevel"/>
    <w:tmpl w:val="C324B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7A1E2E5A"/>
    <w:multiLevelType w:val="hybridMultilevel"/>
    <w:tmpl w:val="735C140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B9A2054"/>
    <w:multiLevelType w:val="hybridMultilevel"/>
    <w:tmpl w:val="C96CC97E"/>
    <w:lvl w:ilvl="0" w:tplc="5C8A995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7" w15:restartNumberingAfterBreak="0">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color w:val="auto"/>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7"/>
  </w:num>
  <w:num w:numId="2">
    <w:abstractNumId w:val="3"/>
  </w:num>
  <w:num w:numId="3">
    <w:abstractNumId w:val="8"/>
  </w:num>
  <w:num w:numId="4">
    <w:abstractNumId w:val="38"/>
  </w:num>
  <w:num w:numId="5">
    <w:abstractNumId w:val="21"/>
  </w:num>
  <w:num w:numId="6">
    <w:abstractNumId w:val="25"/>
  </w:num>
  <w:num w:numId="7">
    <w:abstractNumId w:val="14"/>
  </w:num>
  <w:num w:numId="8">
    <w:abstractNumId w:val="11"/>
  </w:num>
  <w:num w:numId="9">
    <w:abstractNumId w:val="18"/>
  </w:num>
  <w:num w:numId="10">
    <w:abstractNumId w:val="34"/>
  </w:num>
  <w:num w:numId="11">
    <w:abstractNumId w:val="29"/>
  </w:num>
  <w:num w:numId="12">
    <w:abstractNumId w:val="17"/>
  </w:num>
  <w:num w:numId="13">
    <w:abstractNumId w:val="15"/>
  </w:num>
  <w:num w:numId="14">
    <w:abstractNumId w:val="30"/>
  </w:num>
  <w:num w:numId="15">
    <w:abstractNumId w:val="39"/>
  </w:num>
  <w:num w:numId="16">
    <w:abstractNumId w:val="47"/>
  </w:num>
  <w:num w:numId="17">
    <w:abstractNumId w:val="45"/>
  </w:num>
  <w:num w:numId="18">
    <w:abstractNumId w:val="28"/>
  </w:num>
  <w:num w:numId="19">
    <w:abstractNumId w:val="26"/>
  </w:num>
  <w:num w:numId="20">
    <w:abstractNumId w:val="7"/>
  </w:num>
  <w:num w:numId="21">
    <w:abstractNumId w:val="23"/>
  </w:num>
  <w:num w:numId="22">
    <w:abstractNumId w:val="19"/>
  </w:num>
  <w:num w:numId="23">
    <w:abstractNumId w:val="40"/>
  </w:num>
  <w:num w:numId="24">
    <w:abstractNumId w:val="13"/>
  </w:num>
  <w:num w:numId="25">
    <w:abstractNumId w:val="4"/>
  </w:num>
  <w:num w:numId="26">
    <w:abstractNumId w:val="22"/>
  </w:num>
  <w:num w:numId="27">
    <w:abstractNumId w:val="41"/>
  </w:num>
  <w:num w:numId="28">
    <w:abstractNumId w:val="9"/>
  </w:num>
  <w:num w:numId="29">
    <w:abstractNumId w:val="0"/>
  </w:num>
  <w:num w:numId="30">
    <w:abstractNumId w:val="32"/>
  </w:num>
  <w:num w:numId="31">
    <w:abstractNumId w:val="36"/>
  </w:num>
  <w:num w:numId="32">
    <w:abstractNumId w:val="1"/>
  </w:num>
  <w:num w:numId="33">
    <w:abstractNumId w:val="31"/>
  </w:num>
  <w:num w:numId="34">
    <w:abstractNumId w:val="42"/>
  </w:num>
  <w:num w:numId="35">
    <w:abstractNumId w:val="5"/>
  </w:num>
  <w:num w:numId="36">
    <w:abstractNumId w:val="27"/>
  </w:num>
  <w:num w:numId="37">
    <w:abstractNumId w:val="10"/>
  </w:num>
  <w:num w:numId="38">
    <w:abstractNumId w:val="20"/>
  </w:num>
  <w:num w:numId="39">
    <w:abstractNumId w:val="35"/>
  </w:num>
  <w:num w:numId="40">
    <w:abstractNumId w:val="2"/>
  </w:num>
  <w:num w:numId="41">
    <w:abstractNumId w:val="12"/>
  </w:num>
  <w:num w:numId="42">
    <w:abstractNumId w:val="16"/>
  </w:num>
  <w:num w:numId="43">
    <w:abstractNumId w:val="43"/>
  </w:num>
  <w:num w:numId="44">
    <w:abstractNumId w:val="6"/>
  </w:num>
  <w:num w:numId="45">
    <w:abstractNumId w:val="24"/>
  </w:num>
  <w:num w:numId="46">
    <w:abstractNumId w:val="33"/>
  </w:num>
  <w:num w:numId="47">
    <w:abstractNumId w:val="46"/>
  </w:num>
  <w:num w:numId="48">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8AE"/>
    <w:rsid w:val="000002AB"/>
    <w:rsid w:val="000019B8"/>
    <w:rsid w:val="00002299"/>
    <w:rsid w:val="000023EA"/>
    <w:rsid w:val="00002A87"/>
    <w:rsid w:val="00002AEC"/>
    <w:rsid w:val="00003343"/>
    <w:rsid w:val="00003A50"/>
    <w:rsid w:val="00004054"/>
    <w:rsid w:val="00004729"/>
    <w:rsid w:val="00005E18"/>
    <w:rsid w:val="000105DA"/>
    <w:rsid w:val="0001084D"/>
    <w:rsid w:val="0001219F"/>
    <w:rsid w:val="000125F4"/>
    <w:rsid w:val="00012864"/>
    <w:rsid w:val="00014D33"/>
    <w:rsid w:val="0001522B"/>
    <w:rsid w:val="00015422"/>
    <w:rsid w:val="00022E44"/>
    <w:rsid w:val="00022E85"/>
    <w:rsid w:val="000236F0"/>
    <w:rsid w:val="00024BA4"/>
    <w:rsid w:val="00024BCE"/>
    <w:rsid w:val="00024D13"/>
    <w:rsid w:val="000258D5"/>
    <w:rsid w:val="000259C0"/>
    <w:rsid w:val="000270BE"/>
    <w:rsid w:val="00027310"/>
    <w:rsid w:val="0002779D"/>
    <w:rsid w:val="0003030B"/>
    <w:rsid w:val="00031A38"/>
    <w:rsid w:val="00032301"/>
    <w:rsid w:val="00032FC5"/>
    <w:rsid w:val="00033029"/>
    <w:rsid w:val="000347A6"/>
    <w:rsid w:val="00034E2C"/>
    <w:rsid w:val="00035F05"/>
    <w:rsid w:val="00037BE7"/>
    <w:rsid w:val="00040861"/>
    <w:rsid w:val="00045AAF"/>
    <w:rsid w:val="00045D80"/>
    <w:rsid w:val="00046517"/>
    <w:rsid w:val="0004677C"/>
    <w:rsid w:val="0004796D"/>
    <w:rsid w:val="0005040F"/>
    <w:rsid w:val="00050930"/>
    <w:rsid w:val="00050C63"/>
    <w:rsid w:val="00052B35"/>
    <w:rsid w:val="00052EDE"/>
    <w:rsid w:val="00052F47"/>
    <w:rsid w:val="00053B34"/>
    <w:rsid w:val="00053F73"/>
    <w:rsid w:val="00054656"/>
    <w:rsid w:val="00055479"/>
    <w:rsid w:val="000607A3"/>
    <w:rsid w:val="00060845"/>
    <w:rsid w:val="00060E86"/>
    <w:rsid w:val="00061C0D"/>
    <w:rsid w:val="00061E9C"/>
    <w:rsid w:val="0006276C"/>
    <w:rsid w:val="00062C2B"/>
    <w:rsid w:val="00064854"/>
    <w:rsid w:val="00065A47"/>
    <w:rsid w:val="00071FC7"/>
    <w:rsid w:val="00072C85"/>
    <w:rsid w:val="000736F9"/>
    <w:rsid w:val="00073967"/>
    <w:rsid w:val="00075E68"/>
    <w:rsid w:val="000761D8"/>
    <w:rsid w:val="00076B91"/>
    <w:rsid w:val="000779FE"/>
    <w:rsid w:val="00077AE4"/>
    <w:rsid w:val="0008054E"/>
    <w:rsid w:val="0008093F"/>
    <w:rsid w:val="0008108C"/>
    <w:rsid w:val="000828BB"/>
    <w:rsid w:val="00083067"/>
    <w:rsid w:val="00083BFD"/>
    <w:rsid w:val="0008781B"/>
    <w:rsid w:val="00087FDE"/>
    <w:rsid w:val="000909C0"/>
    <w:rsid w:val="00094281"/>
    <w:rsid w:val="000944EB"/>
    <w:rsid w:val="000962FC"/>
    <w:rsid w:val="00097299"/>
    <w:rsid w:val="0009733A"/>
    <w:rsid w:val="00097496"/>
    <w:rsid w:val="0009769F"/>
    <w:rsid w:val="000A037E"/>
    <w:rsid w:val="000A0627"/>
    <w:rsid w:val="000A121A"/>
    <w:rsid w:val="000A123A"/>
    <w:rsid w:val="000A1CFF"/>
    <w:rsid w:val="000A4ED7"/>
    <w:rsid w:val="000A5561"/>
    <w:rsid w:val="000A6399"/>
    <w:rsid w:val="000A6A6B"/>
    <w:rsid w:val="000B0045"/>
    <w:rsid w:val="000B0E4B"/>
    <w:rsid w:val="000B1116"/>
    <w:rsid w:val="000B13C9"/>
    <w:rsid w:val="000B2D2B"/>
    <w:rsid w:val="000B2E5E"/>
    <w:rsid w:val="000B550A"/>
    <w:rsid w:val="000B57A8"/>
    <w:rsid w:val="000B6950"/>
    <w:rsid w:val="000B6E5E"/>
    <w:rsid w:val="000B71FF"/>
    <w:rsid w:val="000B7886"/>
    <w:rsid w:val="000B79C0"/>
    <w:rsid w:val="000B7D3A"/>
    <w:rsid w:val="000C066A"/>
    <w:rsid w:val="000C1712"/>
    <w:rsid w:val="000C2193"/>
    <w:rsid w:val="000C25CD"/>
    <w:rsid w:val="000C37A8"/>
    <w:rsid w:val="000C39FB"/>
    <w:rsid w:val="000C4960"/>
    <w:rsid w:val="000C55DD"/>
    <w:rsid w:val="000C5B9B"/>
    <w:rsid w:val="000C6082"/>
    <w:rsid w:val="000C7D52"/>
    <w:rsid w:val="000D0470"/>
    <w:rsid w:val="000D2262"/>
    <w:rsid w:val="000D2883"/>
    <w:rsid w:val="000D2957"/>
    <w:rsid w:val="000D2B93"/>
    <w:rsid w:val="000D35BC"/>
    <w:rsid w:val="000D5155"/>
    <w:rsid w:val="000D5308"/>
    <w:rsid w:val="000D589F"/>
    <w:rsid w:val="000D6295"/>
    <w:rsid w:val="000D64E2"/>
    <w:rsid w:val="000D66BE"/>
    <w:rsid w:val="000D6F59"/>
    <w:rsid w:val="000E07C3"/>
    <w:rsid w:val="000E13A2"/>
    <w:rsid w:val="000E3E5B"/>
    <w:rsid w:val="000E40FD"/>
    <w:rsid w:val="000E46C0"/>
    <w:rsid w:val="000E4E66"/>
    <w:rsid w:val="000E65AB"/>
    <w:rsid w:val="000E696E"/>
    <w:rsid w:val="000E7144"/>
    <w:rsid w:val="000E7A82"/>
    <w:rsid w:val="000F013E"/>
    <w:rsid w:val="000F07FC"/>
    <w:rsid w:val="000F0B45"/>
    <w:rsid w:val="000F0C1B"/>
    <w:rsid w:val="000F0D48"/>
    <w:rsid w:val="000F0E92"/>
    <w:rsid w:val="000F1536"/>
    <w:rsid w:val="000F1CD7"/>
    <w:rsid w:val="000F2FEA"/>
    <w:rsid w:val="000F37B6"/>
    <w:rsid w:val="000F3B50"/>
    <w:rsid w:val="000F3BC0"/>
    <w:rsid w:val="000F6922"/>
    <w:rsid w:val="000F6BE2"/>
    <w:rsid w:val="00101A57"/>
    <w:rsid w:val="0010266E"/>
    <w:rsid w:val="001029CB"/>
    <w:rsid w:val="00103419"/>
    <w:rsid w:val="00103C07"/>
    <w:rsid w:val="00104B54"/>
    <w:rsid w:val="00105C32"/>
    <w:rsid w:val="00105EB6"/>
    <w:rsid w:val="0010653B"/>
    <w:rsid w:val="00107236"/>
    <w:rsid w:val="00107DC7"/>
    <w:rsid w:val="00111387"/>
    <w:rsid w:val="0011223E"/>
    <w:rsid w:val="00115071"/>
    <w:rsid w:val="001160AC"/>
    <w:rsid w:val="00116500"/>
    <w:rsid w:val="0011787C"/>
    <w:rsid w:val="00121DDF"/>
    <w:rsid w:val="00123204"/>
    <w:rsid w:val="0012321C"/>
    <w:rsid w:val="00123E68"/>
    <w:rsid w:val="001268E2"/>
    <w:rsid w:val="00127816"/>
    <w:rsid w:val="00127E65"/>
    <w:rsid w:val="00131ED1"/>
    <w:rsid w:val="001323FA"/>
    <w:rsid w:val="00133C67"/>
    <w:rsid w:val="00134E25"/>
    <w:rsid w:val="0013567C"/>
    <w:rsid w:val="00135F73"/>
    <w:rsid w:val="00137D50"/>
    <w:rsid w:val="00140481"/>
    <w:rsid w:val="001404D3"/>
    <w:rsid w:val="00140E92"/>
    <w:rsid w:val="00140FAD"/>
    <w:rsid w:val="00141BBB"/>
    <w:rsid w:val="001423EE"/>
    <w:rsid w:val="001433B9"/>
    <w:rsid w:val="001452AD"/>
    <w:rsid w:val="00146708"/>
    <w:rsid w:val="00146D98"/>
    <w:rsid w:val="00150F4F"/>
    <w:rsid w:val="0015138B"/>
    <w:rsid w:val="00151407"/>
    <w:rsid w:val="0015166D"/>
    <w:rsid w:val="00154B4B"/>
    <w:rsid w:val="001570BC"/>
    <w:rsid w:val="0015750D"/>
    <w:rsid w:val="00157FEA"/>
    <w:rsid w:val="00161225"/>
    <w:rsid w:val="001625FE"/>
    <w:rsid w:val="00162D2F"/>
    <w:rsid w:val="00164726"/>
    <w:rsid w:val="00164911"/>
    <w:rsid w:val="00165427"/>
    <w:rsid w:val="00166BC5"/>
    <w:rsid w:val="00167383"/>
    <w:rsid w:val="00167DA1"/>
    <w:rsid w:val="00170630"/>
    <w:rsid w:val="00170AA6"/>
    <w:rsid w:val="001712B9"/>
    <w:rsid w:val="00171480"/>
    <w:rsid w:val="00172797"/>
    <w:rsid w:val="0017313D"/>
    <w:rsid w:val="001736DB"/>
    <w:rsid w:val="00175E75"/>
    <w:rsid w:val="0017650D"/>
    <w:rsid w:val="00180CED"/>
    <w:rsid w:val="00180F30"/>
    <w:rsid w:val="001819F5"/>
    <w:rsid w:val="00182CDB"/>
    <w:rsid w:val="0018405A"/>
    <w:rsid w:val="00184C1D"/>
    <w:rsid w:val="00185A57"/>
    <w:rsid w:val="00186103"/>
    <w:rsid w:val="00187515"/>
    <w:rsid w:val="00190091"/>
    <w:rsid w:val="00190426"/>
    <w:rsid w:val="0019166C"/>
    <w:rsid w:val="001923AA"/>
    <w:rsid w:val="00194946"/>
    <w:rsid w:val="00196CB2"/>
    <w:rsid w:val="00196FD8"/>
    <w:rsid w:val="001976D7"/>
    <w:rsid w:val="00197772"/>
    <w:rsid w:val="00197983"/>
    <w:rsid w:val="001A071E"/>
    <w:rsid w:val="001A0F14"/>
    <w:rsid w:val="001A17CF"/>
    <w:rsid w:val="001A3B36"/>
    <w:rsid w:val="001A4CEE"/>
    <w:rsid w:val="001A575D"/>
    <w:rsid w:val="001A63C6"/>
    <w:rsid w:val="001A7BD5"/>
    <w:rsid w:val="001B0492"/>
    <w:rsid w:val="001B0C1A"/>
    <w:rsid w:val="001B2ECD"/>
    <w:rsid w:val="001B3862"/>
    <w:rsid w:val="001B4407"/>
    <w:rsid w:val="001B45F8"/>
    <w:rsid w:val="001B481A"/>
    <w:rsid w:val="001B4F85"/>
    <w:rsid w:val="001B66ED"/>
    <w:rsid w:val="001B7816"/>
    <w:rsid w:val="001C02D2"/>
    <w:rsid w:val="001C0C19"/>
    <w:rsid w:val="001C0F23"/>
    <w:rsid w:val="001C1450"/>
    <w:rsid w:val="001C2604"/>
    <w:rsid w:val="001C2C32"/>
    <w:rsid w:val="001C3FBD"/>
    <w:rsid w:val="001C4C36"/>
    <w:rsid w:val="001C4DB9"/>
    <w:rsid w:val="001C4F51"/>
    <w:rsid w:val="001C532B"/>
    <w:rsid w:val="001C6F7E"/>
    <w:rsid w:val="001C745E"/>
    <w:rsid w:val="001C75E4"/>
    <w:rsid w:val="001C7BA0"/>
    <w:rsid w:val="001D01D4"/>
    <w:rsid w:val="001D03B7"/>
    <w:rsid w:val="001D1B96"/>
    <w:rsid w:val="001D4D46"/>
    <w:rsid w:val="001D51F0"/>
    <w:rsid w:val="001D52F2"/>
    <w:rsid w:val="001D7929"/>
    <w:rsid w:val="001D7E0B"/>
    <w:rsid w:val="001E0683"/>
    <w:rsid w:val="001E300B"/>
    <w:rsid w:val="001E3B42"/>
    <w:rsid w:val="001E446C"/>
    <w:rsid w:val="001E44D3"/>
    <w:rsid w:val="001E6B93"/>
    <w:rsid w:val="001E7758"/>
    <w:rsid w:val="001F25C7"/>
    <w:rsid w:val="001F3785"/>
    <w:rsid w:val="002016F7"/>
    <w:rsid w:val="00201E36"/>
    <w:rsid w:val="00202DFB"/>
    <w:rsid w:val="00205207"/>
    <w:rsid w:val="00206C81"/>
    <w:rsid w:val="00206FA9"/>
    <w:rsid w:val="0021044B"/>
    <w:rsid w:val="00211B0D"/>
    <w:rsid w:val="00211D6F"/>
    <w:rsid w:val="002131CC"/>
    <w:rsid w:val="00214130"/>
    <w:rsid w:val="00215464"/>
    <w:rsid w:val="002168E2"/>
    <w:rsid w:val="002174DF"/>
    <w:rsid w:val="002177F1"/>
    <w:rsid w:val="002178D0"/>
    <w:rsid w:val="00220883"/>
    <w:rsid w:val="0022183E"/>
    <w:rsid w:val="00223110"/>
    <w:rsid w:val="0022356C"/>
    <w:rsid w:val="00224537"/>
    <w:rsid w:val="00225A4A"/>
    <w:rsid w:val="002275FD"/>
    <w:rsid w:val="00227C33"/>
    <w:rsid w:val="00230981"/>
    <w:rsid w:val="00231B6A"/>
    <w:rsid w:val="00231BC6"/>
    <w:rsid w:val="00232933"/>
    <w:rsid w:val="00232AA2"/>
    <w:rsid w:val="00232B57"/>
    <w:rsid w:val="002333FA"/>
    <w:rsid w:val="00233E17"/>
    <w:rsid w:val="00234C85"/>
    <w:rsid w:val="00235744"/>
    <w:rsid w:val="0023583A"/>
    <w:rsid w:val="00237D6A"/>
    <w:rsid w:val="00240326"/>
    <w:rsid w:val="0024080C"/>
    <w:rsid w:val="00242D23"/>
    <w:rsid w:val="002462AE"/>
    <w:rsid w:val="00247DF4"/>
    <w:rsid w:val="002500C7"/>
    <w:rsid w:val="002517A8"/>
    <w:rsid w:val="00253AC7"/>
    <w:rsid w:val="00254723"/>
    <w:rsid w:val="00254C79"/>
    <w:rsid w:val="00260920"/>
    <w:rsid w:val="00260A24"/>
    <w:rsid w:val="00261A99"/>
    <w:rsid w:val="002621F7"/>
    <w:rsid w:val="0026230A"/>
    <w:rsid w:val="002628BE"/>
    <w:rsid w:val="00262F28"/>
    <w:rsid w:val="00263A21"/>
    <w:rsid w:val="00266456"/>
    <w:rsid w:val="00266BAF"/>
    <w:rsid w:val="00270810"/>
    <w:rsid w:val="00272383"/>
    <w:rsid w:val="00274864"/>
    <w:rsid w:val="00274C5F"/>
    <w:rsid w:val="00274DC1"/>
    <w:rsid w:val="002759BB"/>
    <w:rsid w:val="00275EDE"/>
    <w:rsid w:val="002761B9"/>
    <w:rsid w:val="00276E3E"/>
    <w:rsid w:val="00277432"/>
    <w:rsid w:val="002800C9"/>
    <w:rsid w:val="00280ACD"/>
    <w:rsid w:val="00283B4A"/>
    <w:rsid w:val="00285CB6"/>
    <w:rsid w:val="00287FFD"/>
    <w:rsid w:val="0029022D"/>
    <w:rsid w:val="00290346"/>
    <w:rsid w:val="00290945"/>
    <w:rsid w:val="00291A57"/>
    <w:rsid w:val="002939FC"/>
    <w:rsid w:val="00294239"/>
    <w:rsid w:val="002947A2"/>
    <w:rsid w:val="002960FD"/>
    <w:rsid w:val="00297DC1"/>
    <w:rsid w:val="002A08A9"/>
    <w:rsid w:val="002A2C65"/>
    <w:rsid w:val="002A3B2C"/>
    <w:rsid w:val="002A5C41"/>
    <w:rsid w:val="002A6179"/>
    <w:rsid w:val="002A7B50"/>
    <w:rsid w:val="002A7E63"/>
    <w:rsid w:val="002A7EAF"/>
    <w:rsid w:val="002B0476"/>
    <w:rsid w:val="002B35AD"/>
    <w:rsid w:val="002B373E"/>
    <w:rsid w:val="002B3A4D"/>
    <w:rsid w:val="002B70F4"/>
    <w:rsid w:val="002B7E57"/>
    <w:rsid w:val="002C05F1"/>
    <w:rsid w:val="002C1087"/>
    <w:rsid w:val="002C1303"/>
    <w:rsid w:val="002C19F3"/>
    <w:rsid w:val="002C1BB3"/>
    <w:rsid w:val="002C289A"/>
    <w:rsid w:val="002C2D83"/>
    <w:rsid w:val="002C371D"/>
    <w:rsid w:val="002C3F2B"/>
    <w:rsid w:val="002C4F7B"/>
    <w:rsid w:val="002C57C4"/>
    <w:rsid w:val="002C5EA9"/>
    <w:rsid w:val="002C7E4F"/>
    <w:rsid w:val="002D0D83"/>
    <w:rsid w:val="002D2339"/>
    <w:rsid w:val="002D3638"/>
    <w:rsid w:val="002D3CB7"/>
    <w:rsid w:val="002D5935"/>
    <w:rsid w:val="002D7359"/>
    <w:rsid w:val="002D74B2"/>
    <w:rsid w:val="002E04A3"/>
    <w:rsid w:val="002E0C6A"/>
    <w:rsid w:val="002E0CD5"/>
    <w:rsid w:val="002E20CE"/>
    <w:rsid w:val="002E2250"/>
    <w:rsid w:val="002E365F"/>
    <w:rsid w:val="002E51C1"/>
    <w:rsid w:val="002E7463"/>
    <w:rsid w:val="002E7FAC"/>
    <w:rsid w:val="002F09B4"/>
    <w:rsid w:val="002F123A"/>
    <w:rsid w:val="002F1386"/>
    <w:rsid w:val="002F2ACD"/>
    <w:rsid w:val="002F2E2B"/>
    <w:rsid w:val="002F2FA5"/>
    <w:rsid w:val="002F31BD"/>
    <w:rsid w:val="002F34A4"/>
    <w:rsid w:val="002F3D8B"/>
    <w:rsid w:val="002F59B2"/>
    <w:rsid w:val="002F5C4C"/>
    <w:rsid w:val="002F6229"/>
    <w:rsid w:val="002F6EA6"/>
    <w:rsid w:val="00300C98"/>
    <w:rsid w:val="00301DBE"/>
    <w:rsid w:val="00302E5C"/>
    <w:rsid w:val="00303670"/>
    <w:rsid w:val="00304025"/>
    <w:rsid w:val="003055FB"/>
    <w:rsid w:val="0030635D"/>
    <w:rsid w:val="00307039"/>
    <w:rsid w:val="0030723E"/>
    <w:rsid w:val="0030747A"/>
    <w:rsid w:val="00310297"/>
    <w:rsid w:val="00310519"/>
    <w:rsid w:val="003118DC"/>
    <w:rsid w:val="00312792"/>
    <w:rsid w:val="00314A91"/>
    <w:rsid w:val="00314E87"/>
    <w:rsid w:val="00315AC2"/>
    <w:rsid w:val="00315E10"/>
    <w:rsid w:val="00316614"/>
    <w:rsid w:val="00317073"/>
    <w:rsid w:val="003178A5"/>
    <w:rsid w:val="00321C31"/>
    <w:rsid w:val="0032208A"/>
    <w:rsid w:val="00323675"/>
    <w:rsid w:val="00324758"/>
    <w:rsid w:val="00324C88"/>
    <w:rsid w:val="003260EB"/>
    <w:rsid w:val="00326D8F"/>
    <w:rsid w:val="0033023E"/>
    <w:rsid w:val="003303DB"/>
    <w:rsid w:val="00330467"/>
    <w:rsid w:val="003304E1"/>
    <w:rsid w:val="00330CDA"/>
    <w:rsid w:val="003313D0"/>
    <w:rsid w:val="003315AC"/>
    <w:rsid w:val="00331C63"/>
    <w:rsid w:val="00331DEE"/>
    <w:rsid w:val="00332CCF"/>
    <w:rsid w:val="00332EE5"/>
    <w:rsid w:val="00333304"/>
    <w:rsid w:val="0033330B"/>
    <w:rsid w:val="00334B6C"/>
    <w:rsid w:val="00336071"/>
    <w:rsid w:val="003404FE"/>
    <w:rsid w:val="00341769"/>
    <w:rsid w:val="00341FCF"/>
    <w:rsid w:val="00341FEB"/>
    <w:rsid w:val="00342464"/>
    <w:rsid w:val="00343744"/>
    <w:rsid w:val="0034509C"/>
    <w:rsid w:val="0034646D"/>
    <w:rsid w:val="0034768C"/>
    <w:rsid w:val="00347E6E"/>
    <w:rsid w:val="003506CC"/>
    <w:rsid w:val="00351902"/>
    <w:rsid w:val="003531AF"/>
    <w:rsid w:val="003545D5"/>
    <w:rsid w:val="003556A9"/>
    <w:rsid w:val="00356269"/>
    <w:rsid w:val="003566D4"/>
    <w:rsid w:val="00356FC4"/>
    <w:rsid w:val="0035747E"/>
    <w:rsid w:val="00360553"/>
    <w:rsid w:val="003610EB"/>
    <w:rsid w:val="00362670"/>
    <w:rsid w:val="003626D7"/>
    <w:rsid w:val="00362A18"/>
    <w:rsid w:val="00362CB4"/>
    <w:rsid w:val="00363C3C"/>
    <w:rsid w:val="00363DED"/>
    <w:rsid w:val="00364D8A"/>
    <w:rsid w:val="00364E76"/>
    <w:rsid w:val="00365853"/>
    <w:rsid w:val="00366D34"/>
    <w:rsid w:val="00366EA8"/>
    <w:rsid w:val="00367B98"/>
    <w:rsid w:val="0037238D"/>
    <w:rsid w:val="00374FC9"/>
    <w:rsid w:val="00380D3E"/>
    <w:rsid w:val="003811C4"/>
    <w:rsid w:val="003825D7"/>
    <w:rsid w:val="00382741"/>
    <w:rsid w:val="00382989"/>
    <w:rsid w:val="00383A35"/>
    <w:rsid w:val="00386930"/>
    <w:rsid w:val="003904DE"/>
    <w:rsid w:val="003906A1"/>
    <w:rsid w:val="00390A82"/>
    <w:rsid w:val="00390C38"/>
    <w:rsid w:val="00390E29"/>
    <w:rsid w:val="00392009"/>
    <w:rsid w:val="00392AAF"/>
    <w:rsid w:val="00392C24"/>
    <w:rsid w:val="00392E5B"/>
    <w:rsid w:val="00394DA9"/>
    <w:rsid w:val="0039549C"/>
    <w:rsid w:val="00395E3F"/>
    <w:rsid w:val="00397193"/>
    <w:rsid w:val="003971D5"/>
    <w:rsid w:val="00397BCB"/>
    <w:rsid w:val="003A0C49"/>
    <w:rsid w:val="003A34C7"/>
    <w:rsid w:val="003A77AB"/>
    <w:rsid w:val="003B0A07"/>
    <w:rsid w:val="003B0D08"/>
    <w:rsid w:val="003B3688"/>
    <w:rsid w:val="003B4734"/>
    <w:rsid w:val="003B4978"/>
    <w:rsid w:val="003B4A52"/>
    <w:rsid w:val="003B4ECF"/>
    <w:rsid w:val="003B63A1"/>
    <w:rsid w:val="003B71A3"/>
    <w:rsid w:val="003B7A85"/>
    <w:rsid w:val="003B7C84"/>
    <w:rsid w:val="003C06FD"/>
    <w:rsid w:val="003C196D"/>
    <w:rsid w:val="003C19AE"/>
    <w:rsid w:val="003C2143"/>
    <w:rsid w:val="003C2CE9"/>
    <w:rsid w:val="003C2EF7"/>
    <w:rsid w:val="003C3E7B"/>
    <w:rsid w:val="003C5FD8"/>
    <w:rsid w:val="003C6062"/>
    <w:rsid w:val="003C647E"/>
    <w:rsid w:val="003C6CFD"/>
    <w:rsid w:val="003C72ED"/>
    <w:rsid w:val="003C73E4"/>
    <w:rsid w:val="003D0046"/>
    <w:rsid w:val="003D0BD5"/>
    <w:rsid w:val="003D1B6E"/>
    <w:rsid w:val="003D1F89"/>
    <w:rsid w:val="003D3E71"/>
    <w:rsid w:val="003D55AE"/>
    <w:rsid w:val="003D5B17"/>
    <w:rsid w:val="003D72A5"/>
    <w:rsid w:val="003E08EE"/>
    <w:rsid w:val="003E0A5B"/>
    <w:rsid w:val="003E1D24"/>
    <w:rsid w:val="003E3243"/>
    <w:rsid w:val="003E4AF2"/>
    <w:rsid w:val="003E51D3"/>
    <w:rsid w:val="003E678C"/>
    <w:rsid w:val="003E6855"/>
    <w:rsid w:val="003E68B9"/>
    <w:rsid w:val="003E7242"/>
    <w:rsid w:val="003E792C"/>
    <w:rsid w:val="003E79D2"/>
    <w:rsid w:val="003F07AD"/>
    <w:rsid w:val="003F0DD6"/>
    <w:rsid w:val="003F1022"/>
    <w:rsid w:val="003F11AA"/>
    <w:rsid w:val="003F1212"/>
    <w:rsid w:val="003F1454"/>
    <w:rsid w:val="003F1EFC"/>
    <w:rsid w:val="003F425B"/>
    <w:rsid w:val="003F44BE"/>
    <w:rsid w:val="003F4B21"/>
    <w:rsid w:val="003F5593"/>
    <w:rsid w:val="003F682B"/>
    <w:rsid w:val="003F7407"/>
    <w:rsid w:val="003F7516"/>
    <w:rsid w:val="003F7ADB"/>
    <w:rsid w:val="00401656"/>
    <w:rsid w:val="00405B4C"/>
    <w:rsid w:val="0041024B"/>
    <w:rsid w:val="004108F1"/>
    <w:rsid w:val="00410937"/>
    <w:rsid w:val="00410A3F"/>
    <w:rsid w:val="004120AB"/>
    <w:rsid w:val="00412DA2"/>
    <w:rsid w:val="00413274"/>
    <w:rsid w:val="004136CD"/>
    <w:rsid w:val="00414544"/>
    <w:rsid w:val="00414B6B"/>
    <w:rsid w:val="00414D52"/>
    <w:rsid w:val="004150B7"/>
    <w:rsid w:val="00415910"/>
    <w:rsid w:val="00415A4D"/>
    <w:rsid w:val="004169EF"/>
    <w:rsid w:val="00416CFF"/>
    <w:rsid w:val="00417290"/>
    <w:rsid w:val="004177E3"/>
    <w:rsid w:val="004204B2"/>
    <w:rsid w:val="004205B3"/>
    <w:rsid w:val="00423D89"/>
    <w:rsid w:val="004252BA"/>
    <w:rsid w:val="00430DEE"/>
    <w:rsid w:val="00430EA0"/>
    <w:rsid w:val="00431AE6"/>
    <w:rsid w:val="00432C64"/>
    <w:rsid w:val="00432FF5"/>
    <w:rsid w:val="0043307C"/>
    <w:rsid w:val="00433131"/>
    <w:rsid w:val="00433FD8"/>
    <w:rsid w:val="004341CA"/>
    <w:rsid w:val="0043442C"/>
    <w:rsid w:val="004354AD"/>
    <w:rsid w:val="00435644"/>
    <w:rsid w:val="00440D99"/>
    <w:rsid w:val="00440E54"/>
    <w:rsid w:val="00441744"/>
    <w:rsid w:val="00441E62"/>
    <w:rsid w:val="00442264"/>
    <w:rsid w:val="00442B7E"/>
    <w:rsid w:val="00443AF9"/>
    <w:rsid w:val="00443E75"/>
    <w:rsid w:val="00444309"/>
    <w:rsid w:val="004443C5"/>
    <w:rsid w:val="004446F4"/>
    <w:rsid w:val="00444E07"/>
    <w:rsid w:val="00445E0E"/>
    <w:rsid w:val="0044642C"/>
    <w:rsid w:val="0044649E"/>
    <w:rsid w:val="00446B52"/>
    <w:rsid w:val="00446E9C"/>
    <w:rsid w:val="004471D4"/>
    <w:rsid w:val="0044733E"/>
    <w:rsid w:val="00447C65"/>
    <w:rsid w:val="00450C8D"/>
    <w:rsid w:val="00452C95"/>
    <w:rsid w:val="004533E1"/>
    <w:rsid w:val="00456458"/>
    <w:rsid w:val="00456D38"/>
    <w:rsid w:val="00461469"/>
    <w:rsid w:val="00461EE2"/>
    <w:rsid w:val="00462432"/>
    <w:rsid w:val="0046282D"/>
    <w:rsid w:val="00464BB4"/>
    <w:rsid w:val="00466606"/>
    <w:rsid w:val="00466F26"/>
    <w:rsid w:val="0046780A"/>
    <w:rsid w:val="00470F22"/>
    <w:rsid w:val="00471E40"/>
    <w:rsid w:val="00472DD3"/>
    <w:rsid w:val="0047382F"/>
    <w:rsid w:val="00473A96"/>
    <w:rsid w:val="00473B78"/>
    <w:rsid w:val="00473D38"/>
    <w:rsid w:val="004747DD"/>
    <w:rsid w:val="00474832"/>
    <w:rsid w:val="00474F8F"/>
    <w:rsid w:val="004775E5"/>
    <w:rsid w:val="00477775"/>
    <w:rsid w:val="004800B8"/>
    <w:rsid w:val="004806A6"/>
    <w:rsid w:val="0048243B"/>
    <w:rsid w:val="004848D5"/>
    <w:rsid w:val="004854A5"/>
    <w:rsid w:val="00485545"/>
    <w:rsid w:val="004860C3"/>
    <w:rsid w:val="004868B2"/>
    <w:rsid w:val="00487AE7"/>
    <w:rsid w:val="00490432"/>
    <w:rsid w:val="00491D41"/>
    <w:rsid w:val="00491E38"/>
    <w:rsid w:val="004926D0"/>
    <w:rsid w:val="00497BE5"/>
    <w:rsid w:val="004A065B"/>
    <w:rsid w:val="004A0AE4"/>
    <w:rsid w:val="004A2BD6"/>
    <w:rsid w:val="004A39B2"/>
    <w:rsid w:val="004A47FF"/>
    <w:rsid w:val="004A5823"/>
    <w:rsid w:val="004B000A"/>
    <w:rsid w:val="004B01AC"/>
    <w:rsid w:val="004B1195"/>
    <w:rsid w:val="004B26ED"/>
    <w:rsid w:val="004B406E"/>
    <w:rsid w:val="004B5238"/>
    <w:rsid w:val="004B7F3B"/>
    <w:rsid w:val="004C2A78"/>
    <w:rsid w:val="004C2B15"/>
    <w:rsid w:val="004C3F47"/>
    <w:rsid w:val="004C40E2"/>
    <w:rsid w:val="004C4F1C"/>
    <w:rsid w:val="004C544A"/>
    <w:rsid w:val="004C58EF"/>
    <w:rsid w:val="004C5CF1"/>
    <w:rsid w:val="004D173C"/>
    <w:rsid w:val="004D3179"/>
    <w:rsid w:val="004D3227"/>
    <w:rsid w:val="004D4497"/>
    <w:rsid w:val="004D45E8"/>
    <w:rsid w:val="004D6730"/>
    <w:rsid w:val="004D6B60"/>
    <w:rsid w:val="004D704D"/>
    <w:rsid w:val="004E08D8"/>
    <w:rsid w:val="004E0B95"/>
    <w:rsid w:val="004E0FC9"/>
    <w:rsid w:val="004E1E6A"/>
    <w:rsid w:val="004E1FFE"/>
    <w:rsid w:val="004E2087"/>
    <w:rsid w:val="004E3685"/>
    <w:rsid w:val="004E38FB"/>
    <w:rsid w:val="004E3D28"/>
    <w:rsid w:val="004E4E2E"/>
    <w:rsid w:val="004E6587"/>
    <w:rsid w:val="004E7321"/>
    <w:rsid w:val="004E7ECD"/>
    <w:rsid w:val="004F04A6"/>
    <w:rsid w:val="004F060B"/>
    <w:rsid w:val="004F26DD"/>
    <w:rsid w:val="004F270D"/>
    <w:rsid w:val="004F2839"/>
    <w:rsid w:val="004F2E09"/>
    <w:rsid w:val="004F3EAC"/>
    <w:rsid w:val="004F3F27"/>
    <w:rsid w:val="0050137A"/>
    <w:rsid w:val="0050194F"/>
    <w:rsid w:val="00501AB0"/>
    <w:rsid w:val="00501FE4"/>
    <w:rsid w:val="005021ED"/>
    <w:rsid w:val="00503305"/>
    <w:rsid w:val="0050364F"/>
    <w:rsid w:val="00505D3F"/>
    <w:rsid w:val="00506907"/>
    <w:rsid w:val="00506A72"/>
    <w:rsid w:val="00507831"/>
    <w:rsid w:val="0051047A"/>
    <w:rsid w:val="00510F96"/>
    <w:rsid w:val="00510F9C"/>
    <w:rsid w:val="00511A2A"/>
    <w:rsid w:val="0051233A"/>
    <w:rsid w:val="005169B2"/>
    <w:rsid w:val="00517048"/>
    <w:rsid w:val="00517952"/>
    <w:rsid w:val="00520024"/>
    <w:rsid w:val="005201D6"/>
    <w:rsid w:val="00520841"/>
    <w:rsid w:val="005210DB"/>
    <w:rsid w:val="00521B85"/>
    <w:rsid w:val="00521C24"/>
    <w:rsid w:val="00522399"/>
    <w:rsid w:val="00523BC0"/>
    <w:rsid w:val="00523E85"/>
    <w:rsid w:val="00523F19"/>
    <w:rsid w:val="00524EDB"/>
    <w:rsid w:val="0052581B"/>
    <w:rsid w:val="00526EFB"/>
    <w:rsid w:val="005276CB"/>
    <w:rsid w:val="00527C33"/>
    <w:rsid w:val="00530F28"/>
    <w:rsid w:val="0053101F"/>
    <w:rsid w:val="00531FC3"/>
    <w:rsid w:val="00535854"/>
    <w:rsid w:val="00535D1F"/>
    <w:rsid w:val="005401CF"/>
    <w:rsid w:val="00541607"/>
    <w:rsid w:val="00541658"/>
    <w:rsid w:val="00542623"/>
    <w:rsid w:val="00542996"/>
    <w:rsid w:val="00542EAF"/>
    <w:rsid w:val="005453DF"/>
    <w:rsid w:val="0054602A"/>
    <w:rsid w:val="00546247"/>
    <w:rsid w:val="005463D0"/>
    <w:rsid w:val="0054644B"/>
    <w:rsid w:val="00546532"/>
    <w:rsid w:val="005467CF"/>
    <w:rsid w:val="005469D2"/>
    <w:rsid w:val="00547C2C"/>
    <w:rsid w:val="0055376B"/>
    <w:rsid w:val="00554133"/>
    <w:rsid w:val="005571BA"/>
    <w:rsid w:val="00557859"/>
    <w:rsid w:val="00557A07"/>
    <w:rsid w:val="005604AA"/>
    <w:rsid w:val="0056094E"/>
    <w:rsid w:val="00560B59"/>
    <w:rsid w:val="00560FDE"/>
    <w:rsid w:val="00562583"/>
    <w:rsid w:val="005630CE"/>
    <w:rsid w:val="00564330"/>
    <w:rsid w:val="00564925"/>
    <w:rsid w:val="00566247"/>
    <w:rsid w:val="00567794"/>
    <w:rsid w:val="00570D5E"/>
    <w:rsid w:val="00573306"/>
    <w:rsid w:val="00573EC4"/>
    <w:rsid w:val="0057485C"/>
    <w:rsid w:val="00577DD8"/>
    <w:rsid w:val="00580DA5"/>
    <w:rsid w:val="00581040"/>
    <w:rsid w:val="005810EE"/>
    <w:rsid w:val="005833C9"/>
    <w:rsid w:val="0058370E"/>
    <w:rsid w:val="00584602"/>
    <w:rsid w:val="005848A5"/>
    <w:rsid w:val="00584B8B"/>
    <w:rsid w:val="00585E16"/>
    <w:rsid w:val="00586A6D"/>
    <w:rsid w:val="00587255"/>
    <w:rsid w:val="00587B73"/>
    <w:rsid w:val="00587F59"/>
    <w:rsid w:val="0059018A"/>
    <w:rsid w:val="00590489"/>
    <w:rsid w:val="00590D60"/>
    <w:rsid w:val="0059220E"/>
    <w:rsid w:val="00593C00"/>
    <w:rsid w:val="00594FD5"/>
    <w:rsid w:val="00595D0B"/>
    <w:rsid w:val="00595FF3"/>
    <w:rsid w:val="005967AA"/>
    <w:rsid w:val="0059763E"/>
    <w:rsid w:val="005A0EB4"/>
    <w:rsid w:val="005A1C14"/>
    <w:rsid w:val="005A4D40"/>
    <w:rsid w:val="005B0EF8"/>
    <w:rsid w:val="005B36AE"/>
    <w:rsid w:val="005B3D37"/>
    <w:rsid w:val="005B3F73"/>
    <w:rsid w:val="005B7F73"/>
    <w:rsid w:val="005C2069"/>
    <w:rsid w:val="005C2BBE"/>
    <w:rsid w:val="005C4615"/>
    <w:rsid w:val="005C48F9"/>
    <w:rsid w:val="005C581C"/>
    <w:rsid w:val="005C5923"/>
    <w:rsid w:val="005C675A"/>
    <w:rsid w:val="005C7DB1"/>
    <w:rsid w:val="005D0332"/>
    <w:rsid w:val="005D0ACD"/>
    <w:rsid w:val="005D0F69"/>
    <w:rsid w:val="005D1BDE"/>
    <w:rsid w:val="005D1E63"/>
    <w:rsid w:val="005D2214"/>
    <w:rsid w:val="005D293B"/>
    <w:rsid w:val="005D2ACE"/>
    <w:rsid w:val="005D409E"/>
    <w:rsid w:val="005D45A8"/>
    <w:rsid w:val="005D5543"/>
    <w:rsid w:val="005D67B6"/>
    <w:rsid w:val="005D6D94"/>
    <w:rsid w:val="005D72FB"/>
    <w:rsid w:val="005E46C9"/>
    <w:rsid w:val="005E7D90"/>
    <w:rsid w:val="005F0356"/>
    <w:rsid w:val="005F0B9D"/>
    <w:rsid w:val="005F0BEE"/>
    <w:rsid w:val="005F1167"/>
    <w:rsid w:val="005F3326"/>
    <w:rsid w:val="005F361A"/>
    <w:rsid w:val="005F370B"/>
    <w:rsid w:val="005F3BC6"/>
    <w:rsid w:val="005F40B2"/>
    <w:rsid w:val="005F52EC"/>
    <w:rsid w:val="005F5BD6"/>
    <w:rsid w:val="00601138"/>
    <w:rsid w:val="006021AA"/>
    <w:rsid w:val="00602389"/>
    <w:rsid w:val="0060277E"/>
    <w:rsid w:val="00602F2B"/>
    <w:rsid w:val="00604459"/>
    <w:rsid w:val="006047B3"/>
    <w:rsid w:val="006047B7"/>
    <w:rsid w:val="00604FFA"/>
    <w:rsid w:val="00605218"/>
    <w:rsid w:val="00605981"/>
    <w:rsid w:val="00606920"/>
    <w:rsid w:val="00606E2F"/>
    <w:rsid w:val="00607A55"/>
    <w:rsid w:val="00610895"/>
    <w:rsid w:val="006110B2"/>
    <w:rsid w:val="00611E9F"/>
    <w:rsid w:val="00612244"/>
    <w:rsid w:val="0061303F"/>
    <w:rsid w:val="0061456F"/>
    <w:rsid w:val="00616FBB"/>
    <w:rsid w:val="0062065E"/>
    <w:rsid w:val="00620DC9"/>
    <w:rsid w:val="006218C8"/>
    <w:rsid w:val="00622991"/>
    <w:rsid w:val="00622A50"/>
    <w:rsid w:val="00624163"/>
    <w:rsid w:val="0062551F"/>
    <w:rsid w:val="00625FAD"/>
    <w:rsid w:val="006274B7"/>
    <w:rsid w:val="00627E5D"/>
    <w:rsid w:val="006301C3"/>
    <w:rsid w:val="006307A3"/>
    <w:rsid w:val="00630957"/>
    <w:rsid w:val="00633DC9"/>
    <w:rsid w:val="006358F8"/>
    <w:rsid w:val="00636C30"/>
    <w:rsid w:val="0063732D"/>
    <w:rsid w:val="00637639"/>
    <w:rsid w:val="00637B35"/>
    <w:rsid w:val="006407BD"/>
    <w:rsid w:val="006415B4"/>
    <w:rsid w:val="006416BA"/>
    <w:rsid w:val="006427A3"/>
    <w:rsid w:val="006436CA"/>
    <w:rsid w:val="0064458D"/>
    <w:rsid w:val="006448F1"/>
    <w:rsid w:val="00646397"/>
    <w:rsid w:val="00646454"/>
    <w:rsid w:val="006465EF"/>
    <w:rsid w:val="00647AF2"/>
    <w:rsid w:val="006528A8"/>
    <w:rsid w:val="00653496"/>
    <w:rsid w:val="00653B63"/>
    <w:rsid w:val="006543C8"/>
    <w:rsid w:val="006543DC"/>
    <w:rsid w:val="00654A2E"/>
    <w:rsid w:val="006554B8"/>
    <w:rsid w:val="00655F82"/>
    <w:rsid w:val="00657172"/>
    <w:rsid w:val="0065727E"/>
    <w:rsid w:val="00660483"/>
    <w:rsid w:val="00661092"/>
    <w:rsid w:val="00663984"/>
    <w:rsid w:val="00663F1E"/>
    <w:rsid w:val="00664C48"/>
    <w:rsid w:val="006665C4"/>
    <w:rsid w:val="006701AD"/>
    <w:rsid w:val="00671B14"/>
    <w:rsid w:val="00671FCE"/>
    <w:rsid w:val="00674572"/>
    <w:rsid w:val="00674E77"/>
    <w:rsid w:val="0067646F"/>
    <w:rsid w:val="0067754F"/>
    <w:rsid w:val="006779E6"/>
    <w:rsid w:val="006801FB"/>
    <w:rsid w:val="006804CE"/>
    <w:rsid w:val="00681490"/>
    <w:rsid w:val="006823BC"/>
    <w:rsid w:val="0068572C"/>
    <w:rsid w:val="00685C1B"/>
    <w:rsid w:val="00685D4D"/>
    <w:rsid w:val="006862BC"/>
    <w:rsid w:val="0068647C"/>
    <w:rsid w:val="00687684"/>
    <w:rsid w:val="00691B72"/>
    <w:rsid w:val="0069374A"/>
    <w:rsid w:val="00693A30"/>
    <w:rsid w:val="00693FC6"/>
    <w:rsid w:val="006948D3"/>
    <w:rsid w:val="00695B39"/>
    <w:rsid w:val="00695EFB"/>
    <w:rsid w:val="00696BC7"/>
    <w:rsid w:val="006A0B40"/>
    <w:rsid w:val="006A28D4"/>
    <w:rsid w:val="006A2D03"/>
    <w:rsid w:val="006A43F5"/>
    <w:rsid w:val="006A4718"/>
    <w:rsid w:val="006A4744"/>
    <w:rsid w:val="006A6FC7"/>
    <w:rsid w:val="006A7D7C"/>
    <w:rsid w:val="006A7D7E"/>
    <w:rsid w:val="006B0242"/>
    <w:rsid w:val="006B10D1"/>
    <w:rsid w:val="006B14A1"/>
    <w:rsid w:val="006B1DAB"/>
    <w:rsid w:val="006B3095"/>
    <w:rsid w:val="006B3CE6"/>
    <w:rsid w:val="006B4D8C"/>
    <w:rsid w:val="006B5AB5"/>
    <w:rsid w:val="006B6319"/>
    <w:rsid w:val="006B755F"/>
    <w:rsid w:val="006B7D3C"/>
    <w:rsid w:val="006B7F68"/>
    <w:rsid w:val="006C04C1"/>
    <w:rsid w:val="006C25F6"/>
    <w:rsid w:val="006C2680"/>
    <w:rsid w:val="006C2E34"/>
    <w:rsid w:val="006C4F05"/>
    <w:rsid w:val="006C6373"/>
    <w:rsid w:val="006C6825"/>
    <w:rsid w:val="006C70C5"/>
    <w:rsid w:val="006C7E59"/>
    <w:rsid w:val="006D0010"/>
    <w:rsid w:val="006D08CA"/>
    <w:rsid w:val="006D12B9"/>
    <w:rsid w:val="006D23CE"/>
    <w:rsid w:val="006D2CF3"/>
    <w:rsid w:val="006D2CFE"/>
    <w:rsid w:val="006D5615"/>
    <w:rsid w:val="006D61BA"/>
    <w:rsid w:val="006D6498"/>
    <w:rsid w:val="006D67CF"/>
    <w:rsid w:val="006E13AD"/>
    <w:rsid w:val="006E194D"/>
    <w:rsid w:val="006E4208"/>
    <w:rsid w:val="006E4687"/>
    <w:rsid w:val="006E5ECF"/>
    <w:rsid w:val="006F030D"/>
    <w:rsid w:val="006F2773"/>
    <w:rsid w:val="006F2EA3"/>
    <w:rsid w:val="006F3392"/>
    <w:rsid w:val="006F3D39"/>
    <w:rsid w:val="006F45A7"/>
    <w:rsid w:val="006F4F1B"/>
    <w:rsid w:val="006F503A"/>
    <w:rsid w:val="006F6FD2"/>
    <w:rsid w:val="006F79F4"/>
    <w:rsid w:val="006F7BE4"/>
    <w:rsid w:val="006F7E52"/>
    <w:rsid w:val="006F7F35"/>
    <w:rsid w:val="00700175"/>
    <w:rsid w:val="007013E2"/>
    <w:rsid w:val="00701B94"/>
    <w:rsid w:val="00703C2A"/>
    <w:rsid w:val="00704FF2"/>
    <w:rsid w:val="00705592"/>
    <w:rsid w:val="00706ED3"/>
    <w:rsid w:val="007072D2"/>
    <w:rsid w:val="00707ADC"/>
    <w:rsid w:val="00711B21"/>
    <w:rsid w:val="0071446B"/>
    <w:rsid w:val="00715661"/>
    <w:rsid w:val="0071598A"/>
    <w:rsid w:val="00716B2F"/>
    <w:rsid w:val="00717715"/>
    <w:rsid w:val="0072147D"/>
    <w:rsid w:val="00722A4A"/>
    <w:rsid w:val="00725FB9"/>
    <w:rsid w:val="00726A7B"/>
    <w:rsid w:val="007277E3"/>
    <w:rsid w:val="007279B4"/>
    <w:rsid w:val="00730CA2"/>
    <w:rsid w:val="00730D77"/>
    <w:rsid w:val="0073168F"/>
    <w:rsid w:val="00731ADA"/>
    <w:rsid w:val="00731D4E"/>
    <w:rsid w:val="0073406A"/>
    <w:rsid w:val="00734FDA"/>
    <w:rsid w:val="0073572D"/>
    <w:rsid w:val="00735A70"/>
    <w:rsid w:val="007406F9"/>
    <w:rsid w:val="00740A0C"/>
    <w:rsid w:val="00740C5A"/>
    <w:rsid w:val="00741787"/>
    <w:rsid w:val="007418CB"/>
    <w:rsid w:val="007422B9"/>
    <w:rsid w:val="00742E20"/>
    <w:rsid w:val="00745FB9"/>
    <w:rsid w:val="007472EE"/>
    <w:rsid w:val="00747383"/>
    <w:rsid w:val="00751089"/>
    <w:rsid w:val="00751D6D"/>
    <w:rsid w:val="00752D43"/>
    <w:rsid w:val="00752DAA"/>
    <w:rsid w:val="00752DD2"/>
    <w:rsid w:val="007535FA"/>
    <w:rsid w:val="00753933"/>
    <w:rsid w:val="00753FC6"/>
    <w:rsid w:val="00754CAA"/>
    <w:rsid w:val="00755C5A"/>
    <w:rsid w:val="0075627E"/>
    <w:rsid w:val="00756404"/>
    <w:rsid w:val="00756501"/>
    <w:rsid w:val="0075730C"/>
    <w:rsid w:val="00761589"/>
    <w:rsid w:val="00762DE9"/>
    <w:rsid w:val="00763019"/>
    <w:rsid w:val="00765331"/>
    <w:rsid w:val="00765E59"/>
    <w:rsid w:val="00766372"/>
    <w:rsid w:val="0076651B"/>
    <w:rsid w:val="00772258"/>
    <w:rsid w:val="0077510C"/>
    <w:rsid w:val="00775643"/>
    <w:rsid w:val="00776055"/>
    <w:rsid w:val="0077645C"/>
    <w:rsid w:val="0077648D"/>
    <w:rsid w:val="00776947"/>
    <w:rsid w:val="00776E17"/>
    <w:rsid w:val="007777F8"/>
    <w:rsid w:val="0078053A"/>
    <w:rsid w:val="00780C61"/>
    <w:rsid w:val="00781178"/>
    <w:rsid w:val="00785445"/>
    <w:rsid w:val="0078745D"/>
    <w:rsid w:val="00787FF6"/>
    <w:rsid w:val="007912F7"/>
    <w:rsid w:val="007916DC"/>
    <w:rsid w:val="007922F4"/>
    <w:rsid w:val="00792736"/>
    <w:rsid w:val="00792F8F"/>
    <w:rsid w:val="00793256"/>
    <w:rsid w:val="00794206"/>
    <w:rsid w:val="0079458D"/>
    <w:rsid w:val="00795658"/>
    <w:rsid w:val="00795E3D"/>
    <w:rsid w:val="0079676D"/>
    <w:rsid w:val="0079757D"/>
    <w:rsid w:val="007A21DE"/>
    <w:rsid w:val="007A25C3"/>
    <w:rsid w:val="007A2909"/>
    <w:rsid w:val="007A2AEE"/>
    <w:rsid w:val="007A2B35"/>
    <w:rsid w:val="007A36B4"/>
    <w:rsid w:val="007A4CF1"/>
    <w:rsid w:val="007A568E"/>
    <w:rsid w:val="007A6FDA"/>
    <w:rsid w:val="007A74D0"/>
    <w:rsid w:val="007A790B"/>
    <w:rsid w:val="007B33B5"/>
    <w:rsid w:val="007B458A"/>
    <w:rsid w:val="007B50A5"/>
    <w:rsid w:val="007B644B"/>
    <w:rsid w:val="007C0391"/>
    <w:rsid w:val="007C0A26"/>
    <w:rsid w:val="007C10CE"/>
    <w:rsid w:val="007C1297"/>
    <w:rsid w:val="007C3FF2"/>
    <w:rsid w:val="007C5857"/>
    <w:rsid w:val="007C6623"/>
    <w:rsid w:val="007C68E6"/>
    <w:rsid w:val="007C7027"/>
    <w:rsid w:val="007C7916"/>
    <w:rsid w:val="007D0E72"/>
    <w:rsid w:val="007D464E"/>
    <w:rsid w:val="007D51F9"/>
    <w:rsid w:val="007D5791"/>
    <w:rsid w:val="007D630F"/>
    <w:rsid w:val="007D6ABA"/>
    <w:rsid w:val="007D7DA8"/>
    <w:rsid w:val="007D7DF2"/>
    <w:rsid w:val="007E0655"/>
    <w:rsid w:val="007E0ADF"/>
    <w:rsid w:val="007E0EA8"/>
    <w:rsid w:val="007E1B37"/>
    <w:rsid w:val="007E23BB"/>
    <w:rsid w:val="007E39F5"/>
    <w:rsid w:val="007E39FD"/>
    <w:rsid w:val="007E4DD3"/>
    <w:rsid w:val="007E674E"/>
    <w:rsid w:val="007E67ED"/>
    <w:rsid w:val="007E6DFD"/>
    <w:rsid w:val="007E7865"/>
    <w:rsid w:val="007F027B"/>
    <w:rsid w:val="007F0648"/>
    <w:rsid w:val="007F067F"/>
    <w:rsid w:val="007F2826"/>
    <w:rsid w:val="007F3588"/>
    <w:rsid w:val="007F4663"/>
    <w:rsid w:val="007F5545"/>
    <w:rsid w:val="007F5C54"/>
    <w:rsid w:val="007F5D36"/>
    <w:rsid w:val="007F6AF9"/>
    <w:rsid w:val="007F7307"/>
    <w:rsid w:val="007F7D71"/>
    <w:rsid w:val="007F7FBD"/>
    <w:rsid w:val="00800076"/>
    <w:rsid w:val="00800BB7"/>
    <w:rsid w:val="00801513"/>
    <w:rsid w:val="008018A8"/>
    <w:rsid w:val="00801C46"/>
    <w:rsid w:val="00803FF0"/>
    <w:rsid w:val="00804590"/>
    <w:rsid w:val="00804E37"/>
    <w:rsid w:val="00805907"/>
    <w:rsid w:val="00805920"/>
    <w:rsid w:val="008076EF"/>
    <w:rsid w:val="00807B52"/>
    <w:rsid w:val="008107B9"/>
    <w:rsid w:val="00812E27"/>
    <w:rsid w:val="008131D0"/>
    <w:rsid w:val="00813D8D"/>
    <w:rsid w:val="008147AE"/>
    <w:rsid w:val="00815B20"/>
    <w:rsid w:val="008168A7"/>
    <w:rsid w:val="00817AA4"/>
    <w:rsid w:val="008203C6"/>
    <w:rsid w:val="00820B95"/>
    <w:rsid w:val="008221EB"/>
    <w:rsid w:val="00823E88"/>
    <w:rsid w:val="00825A0F"/>
    <w:rsid w:val="00826C61"/>
    <w:rsid w:val="00826DCD"/>
    <w:rsid w:val="008303A0"/>
    <w:rsid w:val="00830CF2"/>
    <w:rsid w:val="00831F3A"/>
    <w:rsid w:val="00833F28"/>
    <w:rsid w:val="008345B6"/>
    <w:rsid w:val="008352BB"/>
    <w:rsid w:val="008352D0"/>
    <w:rsid w:val="008352F8"/>
    <w:rsid w:val="00836233"/>
    <w:rsid w:val="00836E6F"/>
    <w:rsid w:val="00837E52"/>
    <w:rsid w:val="00837E87"/>
    <w:rsid w:val="008405CB"/>
    <w:rsid w:val="00840749"/>
    <w:rsid w:val="00840D15"/>
    <w:rsid w:val="0084406D"/>
    <w:rsid w:val="00844874"/>
    <w:rsid w:val="0084584E"/>
    <w:rsid w:val="008476EE"/>
    <w:rsid w:val="00847AEA"/>
    <w:rsid w:val="00847D0C"/>
    <w:rsid w:val="00850750"/>
    <w:rsid w:val="00852CCA"/>
    <w:rsid w:val="00852E42"/>
    <w:rsid w:val="00853A1C"/>
    <w:rsid w:val="008551F7"/>
    <w:rsid w:val="008560FF"/>
    <w:rsid w:val="00856546"/>
    <w:rsid w:val="0085656E"/>
    <w:rsid w:val="00857530"/>
    <w:rsid w:val="008579A2"/>
    <w:rsid w:val="00857C27"/>
    <w:rsid w:val="0086299F"/>
    <w:rsid w:val="00862C9E"/>
    <w:rsid w:val="008633AC"/>
    <w:rsid w:val="008638D8"/>
    <w:rsid w:val="00863902"/>
    <w:rsid w:val="0086411F"/>
    <w:rsid w:val="008644E8"/>
    <w:rsid w:val="0086485F"/>
    <w:rsid w:val="008656C4"/>
    <w:rsid w:val="0086743E"/>
    <w:rsid w:val="00870AF1"/>
    <w:rsid w:val="00871B35"/>
    <w:rsid w:val="00871CFD"/>
    <w:rsid w:val="00871F9C"/>
    <w:rsid w:val="0087339F"/>
    <w:rsid w:val="00873AAD"/>
    <w:rsid w:val="00875485"/>
    <w:rsid w:val="00875782"/>
    <w:rsid w:val="0087666E"/>
    <w:rsid w:val="00877BD9"/>
    <w:rsid w:val="00880163"/>
    <w:rsid w:val="00880261"/>
    <w:rsid w:val="008817D4"/>
    <w:rsid w:val="0088184E"/>
    <w:rsid w:val="00881A39"/>
    <w:rsid w:val="00882F3B"/>
    <w:rsid w:val="00882FB7"/>
    <w:rsid w:val="00883C20"/>
    <w:rsid w:val="00884188"/>
    <w:rsid w:val="008846D2"/>
    <w:rsid w:val="0088470C"/>
    <w:rsid w:val="00886C14"/>
    <w:rsid w:val="0088700B"/>
    <w:rsid w:val="00887221"/>
    <w:rsid w:val="0089179B"/>
    <w:rsid w:val="0089338A"/>
    <w:rsid w:val="0089444E"/>
    <w:rsid w:val="008947E3"/>
    <w:rsid w:val="00894D26"/>
    <w:rsid w:val="00895F4C"/>
    <w:rsid w:val="00897912"/>
    <w:rsid w:val="00897D5F"/>
    <w:rsid w:val="00897EE7"/>
    <w:rsid w:val="008A0E87"/>
    <w:rsid w:val="008A1C18"/>
    <w:rsid w:val="008A1FBC"/>
    <w:rsid w:val="008A2576"/>
    <w:rsid w:val="008A451A"/>
    <w:rsid w:val="008A661B"/>
    <w:rsid w:val="008A6FFA"/>
    <w:rsid w:val="008A7A4B"/>
    <w:rsid w:val="008A7A52"/>
    <w:rsid w:val="008B2ED2"/>
    <w:rsid w:val="008B38F5"/>
    <w:rsid w:val="008B4058"/>
    <w:rsid w:val="008B4269"/>
    <w:rsid w:val="008B574B"/>
    <w:rsid w:val="008B63E1"/>
    <w:rsid w:val="008B7337"/>
    <w:rsid w:val="008C2527"/>
    <w:rsid w:val="008C32E3"/>
    <w:rsid w:val="008C33CE"/>
    <w:rsid w:val="008C4F66"/>
    <w:rsid w:val="008C770D"/>
    <w:rsid w:val="008D084E"/>
    <w:rsid w:val="008D1A55"/>
    <w:rsid w:val="008D1FB1"/>
    <w:rsid w:val="008D2D6F"/>
    <w:rsid w:val="008D2F2C"/>
    <w:rsid w:val="008D4A99"/>
    <w:rsid w:val="008D4FD7"/>
    <w:rsid w:val="008D6117"/>
    <w:rsid w:val="008D705A"/>
    <w:rsid w:val="008D7ED4"/>
    <w:rsid w:val="008E0F63"/>
    <w:rsid w:val="008E143F"/>
    <w:rsid w:val="008E18C3"/>
    <w:rsid w:val="008E40D7"/>
    <w:rsid w:val="008E5890"/>
    <w:rsid w:val="008E7B41"/>
    <w:rsid w:val="008E7DF8"/>
    <w:rsid w:val="008F1812"/>
    <w:rsid w:val="008F1B5B"/>
    <w:rsid w:val="008F3A2C"/>
    <w:rsid w:val="008F4B6C"/>
    <w:rsid w:val="008F53F4"/>
    <w:rsid w:val="00900CB9"/>
    <w:rsid w:val="00900E26"/>
    <w:rsid w:val="00901386"/>
    <w:rsid w:val="00901D13"/>
    <w:rsid w:val="00902899"/>
    <w:rsid w:val="00902A59"/>
    <w:rsid w:val="009037F8"/>
    <w:rsid w:val="009053E1"/>
    <w:rsid w:val="00906BFC"/>
    <w:rsid w:val="00906C0E"/>
    <w:rsid w:val="009073D9"/>
    <w:rsid w:val="0090770F"/>
    <w:rsid w:val="00907A20"/>
    <w:rsid w:val="00910EE0"/>
    <w:rsid w:val="00912A92"/>
    <w:rsid w:val="00912BD1"/>
    <w:rsid w:val="00912E8C"/>
    <w:rsid w:val="00914018"/>
    <w:rsid w:val="0091500E"/>
    <w:rsid w:val="00915ACA"/>
    <w:rsid w:val="00916899"/>
    <w:rsid w:val="009201CD"/>
    <w:rsid w:val="009212EA"/>
    <w:rsid w:val="00923890"/>
    <w:rsid w:val="00924980"/>
    <w:rsid w:val="00925329"/>
    <w:rsid w:val="00925AA3"/>
    <w:rsid w:val="00925FE5"/>
    <w:rsid w:val="009272B4"/>
    <w:rsid w:val="0093006D"/>
    <w:rsid w:val="009310E1"/>
    <w:rsid w:val="00931418"/>
    <w:rsid w:val="009319CC"/>
    <w:rsid w:val="009336C9"/>
    <w:rsid w:val="009378BF"/>
    <w:rsid w:val="00937F08"/>
    <w:rsid w:val="0094080A"/>
    <w:rsid w:val="009409BF"/>
    <w:rsid w:val="00945F19"/>
    <w:rsid w:val="00950CFF"/>
    <w:rsid w:val="00950E3F"/>
    <w:rsid w:val="00951062"/>
    <w:rsid w:val="00952F8B"/>
    <w:rsid w:val="00953D17"/>
    <w:rsid w:val="00954C3E"/>
    <w:rsid w:val="00954C4C"/>
    <w:rsid w:val="00955A32"/>
    <w:rsid w:val="00956853"/>
    <w:rsid w:val="00956AB3"/>
    <w:rsid w:val="00956AF0"/>
    <w:rsid w:val="0095764E"/>
    <w:rsid w:val="00957B44"/>
    <w:rsid w:val="00960236"/>
    <w:rsid w:val="00961814"/>
    <w:rsid w:val="00961A48"/>
    <w:rsid w:val="00962B64"/>
    <w:rsid w:val="00964B20"/>
    <w:rsid w:val="00964F4E"/>
    <w:rsid w:val="00966115"/>
    <w:rsid w:val="0096766A"/>
    <w:rsid w:val="009707F7"/>
    <w:rsid w:val="00971A6D"/>
    <w:rsid w:val="00971D34"/>
    <w:rsid w:val="00971D70"/>
    <w:rsid w:val="00973202"/>
    <w:rsid w:val="009734F2"/>
    <w:rsid w:val="00973902"/>
    <w:rsid w:val="009751B3"/>
    <w:rsid w:val="009833C9"/>
    <w:rsid w:val="0098788B"/>
    <w:rsid w:val="00990959"/>
    <w:rsid w:val="00990E44"/>
    <w:rsid w:val="00991C3F"/>
    <w:rsid w:val="009927AF"/>
    <w:rsid w:val="009958A8"/>
    <w:rsid w:val="00995EA7"/>
    <w:rsid w:val="0099759B"/>
    <w:rsid w:val="00997A37"/>
    <w:rsid w:val="00997FE6"/>
    <w:rsid w:val="009A0BC3"/>
    <w:rsid w:val="009A1856"/>
    <w:rsid w:val="009A3098"/>
    <w:rsid w:val="009B055E"/>
    <w:rsid w:val="009B0AB9"/>
    <w:rsid w:val="009B31A2"/>
    <w:rsid w:val="009B36EC"/>
    <w:rsid w:val="009B44DD"/>
    <w:rsid w:val="009B63FE"/>
    <w:rsid w:val="009B640F"/>
    <w:rsid w:val="009B66E3"/>
    <w:rsid w:val="009B6CB7"/>
    <w:rsid w:val="009B7F07"/>
    <w:rsid w:val="009C1190"/>
    <w:rsid w:val="009C3C86"/>
    <w:rsid w:val="009C4862"/>
    <w:rsid w:val="009C5D55"/>
    <w:rsid w:val="009C6F8E"/>
    <w:rsid w:val="009D0441"/>
    <w:rsid w:val="009D0AA1"/>
    <w:rsid w:val="009D2224"/>
    <w:rsid w:val="009D24D8"/>
    <w:rsid w:val="009D2A11"/>
    <w:rsid w:val="009D37C8"/>
    <w:rsid w:val="009D44FB"/>
    <w:rsid w:val="009D4F2D"/>
    <w:rsid w:val="009D5355"/>
    <w:rsid w:val="009D5358"/>
    <w:rsid w:val="009D5837"/>
    <w:rsid w:val="009D6D75"/>
    <w:rsid w:val="009D78D0"/>
    <w:rsid w:val="009D7C1A"/>
    <w:rsid w:val="009E17AA"/>
    <w:rsid w:val="009E2389"/>
    <w:rsid w:val="009E2488"/>
    <w:rsid w:val="009E2564"/>
    <w:rsid w:val="009E2BA6"/>
    <w:rsid w:val="009E43A2"/>
    <w:rsid w:val="009E43D3"/>
    <w:rsid w:val="009E49BF"/>
    <w:rsid w:val="009E58AE"/>
    <w:rsid w:val="009E5B55"/>
    <w:rsid w:val="009E5D0F"/>
    <w:rsid w:val="009E6ED2"/>
    <w:rsid w:val="009E6FF9"/>
    <w:rsid w:val="009E7A76"/>
    <w:rsid w:val="009F0DF9"/>
    <w:rsid w:val="009F10B0"/>
    <w:rsid w:val="009F1D2A"/>
    <w:rsid w:val="009F2AB5"/>
    <w:rsid w:val="009F315A"/>
    <w:rsid w:val="009F31A8"/>
    <w:rsid w:val="009F33F3"/>
    <w:rsid w:val="009F4C88"/>
    <w:rsid w:val="00A00B41"/>
    <w:rsid w:val="00A02C61"/>
    <w:rsid w:val="00A032B8"/>
    <w:rsid w:val="00A04166"/>
    <w:rsid w:val="00A049AE"/>
    <w:rsid w:val="00A05C6B"/>
    <w:rsid w:val="00A07137"/>
    <w:rsid w:val="00A07203"/>
    <w:rsid w:val="00A07557"/>
    <w:rsid w:val="00A102FD"/>
    <w:rsid w:val="00A10602"/>
    <w:rsid w:val="00A13770"/>
    <w:rsid w:val="00A141EA"/>
    <w:rsid w:val="00A14ABD"/>
    <w:rsid w:val="00A157F5"/>
    <w:rsid w:val="00A15CDE"/>
    <w:rsid w:val="00A164F0"/>
    <w:rsid w:val="00A2159F"/>
    <w:rsid w:val="00A21E28"/>
    <w:rsid w:val="00A2372F"/>
    <w:rsid w:val="00A23A37"/>
    <w:rsid w:val="00A257A1"/>
    <w:rsid w:val="00A25801"/>
    <w:rsid w:val="00A27804"/>
    <w:rsid w:val="00A31238"/>
    <w:rsid w:val="00A31444"/>
    <w:rsid w:val="00A316D7"/>
    <w:rsid w:val="00A31B5D"/>
    <w:rsid w:val="00A31F26"/>
    <w:rsid w:val="00A337F2"/>
    <w:rsid w:val="00A346D0"/>
    <w:rsid w:val="00A347F5"/>
    <w:rsid w:val="00A35817"/>
    <w:rsid w:val="00A3757D"/>
    <w:rsid w:val="00A41FED"/>
    <w:rsid w:val="00A43856"/>
    <w:rsid w:val="00A43B46"/>
    <w:rsid w:val="00A451D6"/>
    <w:rsid w:val="00A4549D"/>
    <w:rsid w:val="00A45F7E"/>
    <w:rsid w:val="00A4743A"/>
    <w:rsid w:val="00A4750D"/>
    <w:rsid w:val="00A50D91"/>
    <w:rsid w:val="00A50F88"/>
    <w:rsid w:val="00A52131"/>
    <w:rsid w:val="00A528A6"/>
    <w:rsid w:val="00A532BE"/>
    <w:rsid w:val="00A54459"/>
    <w:rsid w:val="00A54494"/>
    <w:rsid w:val="00A546AD"/>
    <w:rsid w:val="00A5637E"/>
    <w:rsid w:val="00A56678"/>
    <w:rsid w:val="00A5709B"/>
    <w:rsid w:val="00A57AE0"/>
    <w:rsid w:val="00A60EB7"/>
    <w:rsid w:val="00A61899"/>
    <w:rsid w:val="00A62EA8"/>
    <w:rsid w:val="00A63061"/>
    <w:rsid w:val="00A63638"/>
    <w:rsid w:val="00A65BC8"/>
    <w:rsid w:val="00A67318"/>
    <w:rsid w:val="00A674A7"/>
    <w:rsid w:val="00A71614"/>
    <w:rsid w:val="00A7161A"/>
    <w:rsid w:val="00A74CF7"/>
    <w:rsid w:val="00A750CF"/>
    <w:rsid w:val="00A75D24"/>
    <w:rsid w:val="00A76F9A"/>
    <w:rsid w:val="00A811E3"/>
    <w:rsid w:val="00A8581E"/>
    <w:rsid w:val="00A91C7C"/>
    <w:rsid w:val="00A92499"/>
    <w:rsid w:val="00A9654F"/>
    <w:rsid w:val="00A9671E"/>
    <w:rsid w:val="00A96A35"/>
    <w:rsid w:val="00AA0003"/>
    <w:rsid w:val="00AA03ED"/>
    <w:rsid w:val="00AA1EBF"/>
    <w:rsid w:val="00AA1F88"/>
    <w:rsid w:val="00AA3112"/>
    <w:rsid w:val="00AA35B1"/>
    <w:rsid w:val="00AA38E9"/>
    <w:rsid w:val="00AA39BC"/>
    <w:rsid w:val="00AA54B8"/>
    <w:rsid w:val="00AA5FCF"/>
    <w:rsid w:val="00AB3313"/>
    <w:rsid w:val="00AB361C"/>
    <w:rsid w:val="00AB4A39"/>
    <w:rsid w:val="00AB5ECF"/>
    <w:rsid w:val="00AC0532"/>
    <w:rsid w:val="00AC2966"/>
    <w:rsid w:val="00AC5A07"/>
    <w:rsid w:val="00AC70B9"/>
    <w:rsid w:val="00AD031C"/>
    <w:rsid w:val="00AD0A6C"/>
    <w:rsid w:val="00AD271C"/>
    <w:rsid w:val="00AD340D"/>
    <w:rsid w:val="00AD4B0E"/>
    <w:rsid w:val="00AD4F20"/>
    <w:rsid w:val="00AD5EEE"/>
    <w:rsid w:val="00AD62D7"/>
    <w:rsid w:val="00AD7CB4"/>
    <w:rsid w:val="00AE0F4B"/>
    <w:rsid w:val="00AE1BF5"/>
    <w:rsid w:val="00AE1C79"/>
    <w:rsid w:val="00AE1FA9"/>
    <w:rsid w:val="00AE3EAF"/>
    <w:rsid w:val="00AE4AB9"/>
    <w:rsid w:val="00AE5990"/>
    <w:rsid w:val="00AE647D"/>
    <w:rsid w:val="00AE6C98"/>
    <w:rsid w:val="00AE7725"/>
    <w:rsid w:val="00AE7770"/>
    <w:rsid w:val="00AE7AD7"/>
    <w:rsid w:val="00AF0B80"/>
    <w:rsid w:val="00AF14F4"/>
    <w:rsid w:val="00AF223F"/>
    <w:rsid w:val="00AF22E7"/>
    <w:rsid w:val="00AF5A3E"/>
    <w:rsid w:val="00AF62E2"/>
    <w:rsid w:val="00AF6642"/>
    <w:rsid w:val="00AF746E"/>
    <w:rsid w:val="00AF7637"/>
    <w:rsid w:val="00B00B10"/>
    <w:rsid w:val="00B0111A"/>
    <w:rsid w:val="00B01DA8"/>
    <w:rsid w:val="00B029EC"/>
    <w:rsid w:val="00B03FB2"/>
    <w:rsid w:val="00B05098"/>
    <w:rsid w:val="00B05904"/>
    <w:rsid w:val="00B06027"/>
    <w:rsid w:val="00B06D8F"/>
    <w:rsid w:val="00B10EA1"/>
    <w:rsid w:val="00B11716"/>
    <w:rsid w:val="00B13B7D"/>
    <w:rsid w:val="00B13D53"/>
    <w:rsid w:val="00B14AA6"/>
    <w:rsid w:val="00B15A07"/>
    <w:rsid w:val="00B20E34"/>
    <w:rsid w:val="00B21EF0"/>
    <w:rsid w:val="00B22068"/>
    <w:rsid w:val="00B22E29"/>
    <w:rsid w:val="00B235CB"/>
    <w:rsid w:val="00B24F29"/>
    <w:rsid w:val="00B252C9"/>
    <w:rsid w:val="00B27B16"/>
    <w:rsid w:val="00B3048A"/>
    <w:rsid w:val="00B31162"/>
    <w:rsid w:val="00B31467"/>
    <w:rsid w:val="00B32662"/>
    <w:rsid w:val="00B32EB0"/>
    <w:rsid w:val="00B34FD4"/>
    <w:rsid w:val="00B35C33"/>
    <w:rsid w:val="00B36365"/>
    <w:rsid w:val="00B374B9"/>
    <w:rsid w:val="00B37B22"/>
    <w:rsid w:val="00B40571"/>
    <w:rsid w:val="00B40C62"/>
    <w:rsid w:val="00B40E35"/>
    <w:rsid w:val="00B41210"/>
    <w:rsid w:val="00B413D0"/>
    <w:rsid w:val="00B425B0"/>
    <w:rsid w:val="00B434F2"/>
    <w:rsid w:val="00B43D72"/>
    <w:rsid w:val="00B443B4"/>
    <w:rsid w:val="00B44B46"/>
    <w:rsid w:val="00B4644D"/>
    <w:rsid w:val="00B5029D"/>
    <w:rsid w:val="00B508DA"/>
    <w:rsid w:val="00B50F8E"/>
    <w:rsid w:val="00B513B5"/>
    <w:rsid w:val="00B51843"/>
    <w:rsid w:val="00B51C42"/>
    <w:rsid w:val="00B53BD8"/>
    <w:rsid w:val="00B54668"/>
    <w:rsid w:val="00B56102"/>
    <w:rsid w:val="00B575AF"/>
    <w:rsid w:val="00B60AC9"/>
    <w:rsid w:val="00B61FEF"/>
    <w:rsid w:val="00B65C51"/>
    <w:rsid w:val="00B66023"/>
    <w:rsid w:val="00B6692E"/>
    <w:rsid w:val="00B67425"/>
    <w:rsid w:val="00B708E6"/>
    <w:rsid w:val="00B7230F"/>
    <w:rsid w:val="00B72782"/>
    <w:rsid w:val="00B74567"/>
    <w:rsid w:val="00B753CC"/>
    <w:rsid w:val="00B765D2"/>
    <w:rsid w:val="00B76653"/>
    <w:rsid w:val="00B76915"/>
    <w:rsid w:val="00B8078C"/>
    <w:rsid w:val="00B813C9"/>
    <w:rsid w:val="00B84386"/>
    <w:rsid w:val="00B84DB1"/>
    <w:rsid w:val="00B86291"/>
    <w:rsid w:val="00B86EEF"/>
    <w:rsid w:val="00B87206"/>
    <w:rsid w:val="00B91A4D"/>
    <w:rsid w:val="00B91CF1"/>
    <w:rsid w:val="00B91DB6"/>
    <w:rsid w:val="00B92D89"/>
    <w:rsid w:val="00B9424F"/>
    <w:rsid w:val="00B94580"/>
    <w:rsid w:val="00B956CB"/>
    <w:rsid w:val="00B95916"/>
    <w:rsid w:val="00BA06D9"/>
    <w:rsid w:val="00BA0989"/>
    <w:rsid w:val="00BA1230"/>
    <w:rsid w:val="00BA2322"/>
    <w:rsid w:val="00BA29F8"/>
    <w:rsid w:val="00BA37EC"/>
    <w:rsid w:val="00BA6B02"/>
    <w:rsid w:val="00BA6EF4"/>
    <w:rsid w:val="00BA7AE2"/>
    <w:rsid w:val="00BB0C93"/>
    <w:rsid w:val="00BB1A4A"/>
    <w:rsid w:val="00BB1DBD"/>
    <w:rsid w:val="00BB1F42"/>
    <w:rsid w:val="00BB26D9"/>
    <w:rsid w:val="00BB2FBA"/>
    <w:rsid w:val="00BB394A"/>
    <w:rsid w:val="00BB5C6E"/>
    <w:rsid w:val="00BB61A6"/>
    <w:rsid w:val="00BB6919"/>
    <w:rsid w:val="00BB752A"/>
    <w:rsid w:val="00BC1791"/>
    <w:rsid w:val="00BC22FA"/>
    <w:rsid w:val="00BC2734"/>
    <w:rsid w:val="00BC30B8"/>
    <w:rsid w:val="00BC466E"/>
    <w:rsid w:val="00BC4F49"/>
    <w:rsid w:val="00BC51EE"/>
    <w:rsid w:val="00BC59F1"/>
    <w:rsid w:val="00BC7507"/>
    <w:rsid w:val="00BD0D35"/>
    <w:rsid w:val="00BD270B"/>
    <w:rsid w:val="00BD46D3"/>
    <w:rsid w:val="00BD532E"/>
    <w:rsid w:val="00BD65C5"/>
    <w:rsid w:val="00BD68E8"/>
    <w:rsid w:val="00BD701A"/>
    <w:rsid w:val="00BD75EB"/>
    <w:rsid w:val="00BE068B"/>
    <w:rsid w:val="00BE23F2"/>
    <w:rsid w:val="00BE46E1"/>
    <w:rsid w:val="00BE48D3"/>
    <w:rsid w:val="00BE5724"/>
    <w:rsid w:val="00BE5737"/>
    <w:rsid w:val="00BE5A9F"/>
    <w:rsid w:val="00BE7B4A"/>
    <w:rsid w:val="00BF0FD7"/>
    <w:rsid w:val="00BF15E1"/>
    <w:rsid w:val="00BF183B"/>
    <w:rsid w:val="00BF206B"/>
    <w:rsid w:val="00BF2968"/>
    <w:rsid w:val="00BF3D81"/>
    <w:rsid w:val="00BF5E6E"/>
    <w:rsid w:val="00BF667C"/>
    <w:rsid w:val="00BF692B"/>
    <w:rsid w:val="00BF6B02"/>
    <w:rsid w:val="00BF7209"/>
    <w:rsid w:val="00BF737C"/>
    <w:rsid w:val="00BF75CD"/>
    <w:rsid w:val="00C01305"/>
    <w:rsid w:val="00C01535"/>
    <w:rsid w:val="00C0187C"/>
    <w:rsid w:val="00C01A96"/>
    <w:rsid w:val="00C0392A"/>
    <w:rsid w:val="00C047AE"/>
    <w:rsid w:val="00C04E23"/>
    <w:rsid w:val="00C05656"/>
    <w:rsid w:val="00C07C30"/>
    <w:rsid w:val="00C13384"/>
    <w:rsid w:val="00C13469"/>
    <w:rsid w:val="00C14520"/>
    <w:rsid w:val="00C150BF"/>
    <w:rsid w:val="00C15C8A"/>
    <w:rsid w:val="00C15F8C"/>
    <w:rsid w:val="00C16A26"/>
    <w:rsid w:val="00C202A0"/>
    <w:rsid w:val="00C21EDC"/>
    <w:rsid w:val="00C22610"/>
    <w:rsid w:val="00C22CCF"/>
    <w:rsid w:val="00C2431F"/>
    <w:rsid w:val="00C2483D"/>
    <w:rsid w:val="00C25DAC"/>
    <w:rsid w:val="00C25F98"/>
    <w:rsid w:val="00C265AA"/>
    <w:rsid w:val="00C27D92"/>
    <w:rsid w:val="00C30192"/>
    <w:rsid w:val="00C32ECE"/>
    <w:rsid w:val="00C33E9C"/>
    <w:rsid w:val="00C3448E"/>
    <w:rsid w:val="00C34DA9"/>
    <w:rsid w:val="00C364F7"/>
    <w:rsid w:val="00C373F4"/>
    <w:rsid w:val="00C37A53"/>
    <w:rsid w:val="00C40AA6"/>
    <w:rsid w:val="00C41937"/>
    <w:rsid w:val="00C44196"/>
    <w:rsid w:val="00C44D49"/>
    <w:rsid w:val="00C44F02"/>
    <w:rsid w:val="00C44F79"/>
    <w:rsid w:val="00C45BBC"/>
    <w:rsid w:val="00C45D6A"/>
    <w:rsid w:val="00C4628D"/>
    <w:rsid w:val="00C464D5"/>
    <w:rsid w:val="00C47391"/>
    <w:rsid w:val="00C475AC"/>
    <w:rsid w:val="00C52AF8"/>
    <w:rsid w:val="00C53581"/>
    <w:rsid w:val="00C546D5"/>
    <w:rsid w:val="00C546EC"/>
    <w:rsid w:val="00C549C0"/>
    <w:rsid w:val="00C5557A"/>
    <w:rsid w:val="00C566D6"/>
    <w:rsid w:val="00C568E2"/>
    <w:rsid w:val="00C601C3"/>
    <w:rsid w:val="00C61F40"/>
    <w:rsid w:val="00C640C0"/>
    <w:rsid w:val="00C65A45"/>
    <w:rsid w:val="00C66688"/>
    <w:rsid w:val="00C6704C"/>
    <w:rsid w:val="00C7088E"/>
    <w:rsid w:val="00C70D0F"/>
    <w:rsid w:val="00C7140C"/>
    <w:rsid w:val="00C71C24"/>
    <w:rsid w:val="00C72F54"/>
    <w:rsid w:val="00C73350"/>
    <w:rsid w:val="00C74194"/>
    <w:rsid w:val="00C74AF1"/>
    <w:rsid w:val="00C762BF"/>
    <w:rsid w:val="00C76F05"/>
    <w:rsid w:val="00C77A2E"/>
    <w:rsid w:val="00C81E7D"/>
    <w:rsid w:val="00C82752"/>
    <w:rsid w:val="00C82C0C"/>
    <w:rsid w:val="00C82CC4"/>
    <w:rsid w:val="00C83461"/>
    <w:rsid w:val="00C846A2"/>
    <w:rsid w:val="00C84F3E"/>
    <w:rsid w:val="00C86693"/>
    <w:rsid w:val="00C86725"/>
    <w:rsid w:val="00C870EC"/>
    <w:rsid w:val="00C876C4"/>
    <w:rsid w:val="00C87BE2"/>
    <w:rsid w:val="00C913C6"/>
    <w:rsid w:val="00C9204E"/>
    <w:rsid w:val="00C92868"/>
    <w:rsid w:val="00C948E2"/>
    <w:rsid w:val="00C94D8E"/>
    <w:rsid w:val="00C954CF"/>
    <w:rsid w:val="00C95949"/>
    <w:rsid w:val="00C96AF0"/>
    <w:rsid w:val="00C9715A"/>
    <w:rsid w:val="00CA0001"/>
    <w:rsid w:val="00CA1298"/>
    <w:rsid w:val="00CA1624"/>
    <w:rsid w:val="00CA1A50"/>
    <w:rsid w:val="00CA23D8"/>
    <w:rsid w:val="00CA352C"/>
    <w:rsid w:val="00CA421A"/>
    <w:rsid w:val="00CA4365"/>
    <w:rsid w:val="00CA4720"/>
    <w:rsid w:val="00CA4FE7"/>
    <w:rsid w:val="00CA553C"/>
    <w:rsid w:val="00CA58EF"/>
    <w:rsid w:val="00CB2CF7"/>
    <w:rsid w:val="00CB30A5"/>
    <w:rsid w:val="00CB3D61"/>
    <w:rsid w:val="00CB46A0"/>
    <w:rsid w:val="00CB47F9"/>
    <w:rsid w:val="00CB57EF"/>
    <w:rsid w:val="00CB5A95"/>
    <w:rsid w:val="00CB6768"/>
    <w:rsid w:val="00CB760A"/>
    <w:rsid w:val="00CB7CCB"/>
    <w:rsid w:val="00CB7DCF"/>
    <w:rsid w:val="00CC0CA9"/>
    <w:rsid w:val="00CC31D1"/>
    <w:rsid w:val="00CC42C3"/>
    <w:rsid w:val="00CC4B1B"/>
    <w:rsid w:val="00CC4B3E"/>
    <w:rsid w:val="00CC5F8A"/>
    <w:rsid w:val="00CC60D4"/>
    <w:rsid w:val="00CC6291"/>
    <w:rsid w:val="00CC6441"/>
    <w:rsid w:val="00CC691E"/>
    <w:rsid w:val="00CC6A08"/>
    <w:rsid w:val="00CC6C9D"/>
    <w:rsid w:val="00CC766D"/>
    <w:rsid w:val="00CC7880"/>
    <w:rsid w:val="00CC7C1E"/>
    <w:rsid w:val="00CD0D18"/>
    <w:rsid w:val="00CD0F88"/>
    <w:rsid w:val="00CD27D3"/>
    <w:rsid w:val="00CD2A17"/>
    <w:rsid w:val="00CD3B31"/>
    <w:rsid w:val="00CD4939"/>
    <w:rsid w:val="00CD4A1F"/>
    <w:rsid w:val="00CD528A"/>
    <w:rsid w:val="00CE2DF8"/>
    <w:rsid w:val="00CE350F"/>
    <w:rsid w:val="00CE3ACC"/>
    <w:rsid w:val="00CE3F0D"/>
    <w:rsid w:val="00CE50B2"/>
    <w:rsid w:val="00CE7987"/>
    <w:rsid w:val="00CF08DF"/>
    <w:rsid w:val="00CF0B12"/>
    <w:rsid w:val="00CF0B80"/>
    <w:rsid w:val="00CF146F"/>
    <w:rsid w:val="00CF1BC6"/>
    <w:rsid w:val="00CF1D7C"/>
    <w:rsid w:val="00CF35EF"/>
    <w:rsid w:val="00CF3824"/>
    <w:rsid w:val="00CF668A"/>
    <w:rsid w:val="00CF7C15"/>
    <w:rsid w:val="00CF7C9C"/>
    <w:rsid w:val="00D0077F"/>
    <w:rsid w:val="00D02C92"/>
    <w:rsid w:val="00D03B66"/>
    <w:rsid w:val="00D03BED"/>
    <w:rsid w:val="00D04032"/>
    <w:rsid w:val="00D07C6E"/>
    <w:rsid w:val="00D10117"/>
    <w:rsid w:val="00D110D1"/>
    <w:rsid w:val="00D11C73"/>
    <w:rsid w:val="00D11E67"/>
    <w:rsid w:val="00D13204"/>
    <w:rsid w:val="00D13E32"/>
    <w:rsid w:val="00D16F00"/>
    <w:rsid w:val="00D1793F"/>
    <w:rsid w:val="00D2027E"/>
    <w:rsid w:val="00D20A28"/>
    <w:rsid w:val="00D214EC"/>
    <w:rsid w:val="00D21668"/>
    <w:rsid w:val="00D22D6D"/>
    <w:rsid w:val="00D23E42"/>
    <w:rsid w:val="00D24B13"/>
    <w:rsid w:val="00D258DC"/>
    <w:rsid w:val="00D265A8"/>
    <w:rsid w:val="00D30FCB"/>
    <w:rsid w:val="00D319AD"/>
    <w:rsid w:val="00D3263C"/>
    <w:rsid w:val="00D329A8"/>
    <w:rsid w:val="00D32C73"/>
    <w:rsid w:val="00D33760"/>
    <w:rsid w:val="00D33C43"/>
    <w:rsid w:val="00D34C81"/>
    <w:rsid w:val="00D3572D"/>
    <w:rsid w:val="00D37304"/>
    <w:rsid w:val="00D379F6"/>
    <w:rsid w:val="00D37AAF"/>
    <w:rsid w:val="00D37E77"/>
    <w:rsid w:val="00D40119"/>
    <w:rsid w:val="00D40753"/>
    <w:rsid w:val="00D40E01"/>
    <w:rsid w:val="00D43FDD"/>
    <w:rsid w:val="00D470B2"/>
    <w:rsid w:val="00D52907"/>
    <w:rsid w:val="00D52E01"/>
    <w:rsid w:val="00D53276"/>
    <w:rsid w:val="00D55A7E"/>
    <w:rsid w:val="00D56E34"/>
    <w:rsid w:val="00D57349"/>
    <w:rsid w:val="00D57A5C"/>
    <w:rsid w:val="00D606DA"/>
    <w:rsid w:val="00D61BD2"/>
    <w:rsid w:val="00D61C9D"/>
    <w:rsid w:val="00D633D8"/>
    <w:rsid w:val="00D65783"/>
    <w:rsid w:val="00D66AF2"/>
    <w:rsid w:val="00D67D4A"/>
    <w:rsid w:val="00D70C58"/>
    <w:rsid w:val="00D7137C"/>
    <w:rsid w:val="00D71FEA"/>
    <w:rsid w:val="00D72EAC"/>
    <w:rsid w:val="00D73A3B"/>
    <w:rsid w:val="00D7403A"/>
    <w:rsid w:val="00D74FDD"/>
    <w:rsid w:val="00D75CD1"/>
    <w:rsid w:val="00D7650F"/>
    <w:rsid w:val="00D76516"/>
    <w:rsid w:val="00D77CB3"/>
    <w:rsid w:val="00D81F49"/>
    <w:rsid w:val="00D83171"/>
    <w:rsid w:val="00D8499C"/>
    <w:rsid w:val="00D858A4"/>
    <w:rsid w:val="00D859A4"/>
    <w:rsid w:val="00D86616"/>
    <w:rsid w:val="00D869E3"/>
    <w:rsid w:val="00D87810"/>
    <w:rsid w:val="00D901B1"/>
    <w:rsid w:val="00D905FE"/>
    <w:rsid w:val="00D927C0"/>
    <w:rsid w:val="00D927CF"/>
    <w:rsid w:val="00D92CBF"/>
    <w:rsid w:val="00D93271"/>
    <w:rsid w:val="00D93E6C"/>
    <w:rsid w:val="00D9489E"/>
    <w:rsid w:val="00D9490E"/>
    <w:rsid w:val="00D951AE"/>
    <w:rsid w:val="00D95BCF"/>
    <w:rsid w:val="00D95EC2"/>
    <w:rsid w:val="00D9601C"/>
    <w:rsid w:val="00D97397"/>
    <w:rsid w:val="00DA078B"/>
    <w:rsid w:val="00DA1143"/>
    <w:rsid w:val="00DA13E0"/>
    <w:rsid w:val="00DA1A71"/>
    <w:rsid w:val="00DA496C"/>
    <w:rsid w:val="00DA5B38"/>
    <w:rsid w:val="00DA6194"/>
    <w:rsid w:val="00DB128C"/>
    <w:rsid w:val="00DB23A7"/>
    <w:rsid w:val="00DB55F5"/>
    <w:rsid w:val="00DB56D8"/>
    <w:rsid w:val="00DB59C8"/>
    <w:rsid w:val="00DB6347"/>
    <w:rsid w:val="00DC1C15"/>
    <w:rsid w:val="00DC2D17"/>
    <w:rsid w:val="00DC3959"/>
    <w:rsid w:val="00DC4012"/>
    <w:rsid w:val="00DC49A1"/>
    <w:rsid w:val="00DC5BC7"/>
    <w:rsid w:val="00DD091E"/>
    <w:rsid w:val="00DD17A9"/>
    <w:rsid w:val="00DD1C76"/>
    <w:rsid w:val="00DD2481"/>
    <w:rsid w:val="00DD2F36"/>
    <w:rsid w:val="00DD42B2"/>
    <w:rsid w:val="00DD43AD"/>
    <w:rsid w:val="00DD4534"/>
    <w:rsid w:val="00DD5817"/>
    <w:rsid w:val="00DD7001"/>
    <w:rsid w:val="00DD7284"/>
    <w:rsid w:val="00DE0B8E"/>
    <w:rsid w:val="00DE1546"/>
    <w:rsid w:val="00DE1777"/>
    <w:rsid w:val="00DE2469"/>
    <w:rsid w:val="00DE3D07"/>
    <w:rsid w:val="00DE5D83"/>
    <w:rsid w:val="00DE6464"/>
    <w:rsid w:val="00DE6F3B"/>
    <w:rsid w:val="00DE6FFF"/>
    <w:rsid w:val="00DF09C1"/>
    <w:rsid w:val="00DF1382"/>
    <w:rsid w:val="00DF19CA"/>
    <w:rsid w:val="00DF2008"/>
    <w:rsid w:val="00DF4234"/>
    <w:rsid w:val="00DF7914"/>
    <w:rsid w:val="00DF79A9"/>
    <w:rsid w:val="00E00EA8"/>
    <w:rsid w:val="00E02AC4"/>
    <w:rsid w:val="00E02E02"/>
    <w:rsid w:val="00E0339A"/>
    <w:rsid w:val="00E03A7E"/>
    <w:rsid w:val="00E056CE"/>
    <w:rsid w:val="00E1338C"/>
    <w:rsid w:val="00E137A4"/>
    <w:rsid w:val="00E13D9C"/>
    <w:rsid w:val="00E147EC"/>
    <w:rsid w:val="00E17D77"/>
    <w:rsid w:val="00E2136A"/>
    <w:rsid w:val="00E21A02"/>
    <w:rsid w:val="00E22EBB"/>
    <w:rsid w:val="00E231DF"/>
    <w:rsid w:val="00E23428"/>
    <w:rsid w:val="00E2706A"/>
    <w:rsid w:val="00E27C47"/>
    <w:rsid w:val="00E30225"/>
    <w:rsid w:val="00E304AF"/>
    <w:rsid w:val="00E32BD1"/>
    <w:rsid w:val="00E32D8E"/>
    <w:rsid w:val="00E3327C"/>
    <w:rsid w:val="00E34E59"/>
    <w:rsid w:val="00E358F5"/>
    <w:rsid w:val="00E35927"/>
    <w:rsid w:val="00E362E6"/>
    <w:rsid w:val="00E365AD"/>
    <w:rsid w:val="00E373CE"/>
    <w:rsid w:val="00E37BD1"/>
    <w:rsid w:val="00E37CDC"/>
    <w:rsid w:val="00E403E9"/>
    <w:rsid w:val="00E40F70"/>
    <w:rsid w:val="00E41369"/>
    <w:rsid w:val="00E4215B"/>
    <w:rsid w:val="00E4380F"/>
    <w:rsid w:val="00E44B16"/>
    <w:rsid w:val="00E5104D"/>
    <w:rsid w:val="00E51E71"/>
    <w:rsid w:val="00E535D8"/>
    <w:rsid w:val="00E53864"/>
    <w:rsid w:val="00E53E13"/>
    <w:rsid w:val="00E540A5"/>
    <w:rsid w:val="00E541BF"/>
    <w:rsid w:val="00E542A7"/>
    <w:rsid w:val="00E54DBC"/>
    <w:rsid w:val="00E553FE"/>
    <w:rsid w:val="00E56813"/>
    <w:rsid w:val="00E5753D"/>
    <w:rsid w:val="00E57603"/>
    <w:rsid w:val="00E606B9"/>
    <w:rsid w:val="00E60BC2"/>
    <w:rsid w:val="00E60DEC"/>
    <w:rsid w:val="00E62F6C"/>
    <w:rsid w:val="00E6309B"/>
    <w:rsid w:val="00E65938"/>
    <w:rsid w:val="00E66DD7"/>
    <w:rsid w:val="00E6716F"/>
    <w:rsid w:val="00E677C5"/>
    <w:rsid w:val="00E679D0"/>
    <w:rsid w:val="00E67E7B"/>
    <w:rsid w:val="00E70701"/>
    <w:rsid w:val="00E71477"/>
    <w:rsid w:val="00E72D85"/>
    <w:rsid w:val="00E72E8E"/>
    <w:rsid w:val="00E747CD"/>
    <w:rsid w:val="00E74F1C"/>
    <w:rsid w:val="00E75160"/>
    <w:rsid w:val="00E76C44"/>
    <w:rsid w:val="00E77AF3"/>
    <w:rsid w:val="00E81D56"/>
    <w:rsid w:val="00E85F6A"/>
    <w:rsid w:val="00E91094"/>
    <w:rsid w:val="00E91326"/>
    <w:rsid w:val="00E91CF4"/>
    <w:rsid w:val="00E91FDA"/>
    <w:rsid w:val="00EA03AE"/>
    <w:rsid w:val="00EA09EF"/>
    <w:rsid w:val="00EA0CBD"/>
    <w:rsid w:val="00EA2071"/>
    <w:rsid w:val="00EA232B"/>
    <w:rsid w:val="00EA6979"/>
    <w:rsid w:val="00EA7178"/>
    <w:rsid w:val="00EA7583"/>
    <w:rsid w:val="00EB1B0B"/>
    <w:rsid w:val="00EB2749"/>
    <w:rsid w:val="00EB2E3C"/>
    <w:rsid w:val="00EB3278"/>
    <w:rsid w:val="00EB3765"/>
    <w:rsid w:val="00EB4865"/>
    <w:rsid w:val="00EB4B8F"/>
    <w:rsid w:val="00EB5530"/>
    <w:rsid w:val="00EB5C78"/>
    <w:rsid w:val="00EB5E2E"/>
    <w:rsid w:val="00EB5F60"/>
    <w:rsid w:val="00EB66B1"/>
    <w:rsid w:val="00EB74BF"/>
    <w:rsid w:val="00EB7721"/>
    <w:rsid w:val="00EB7A3B"/>
    <w:rsid w:val="00EC1095"/>
    <w:rsid w:val="00EC11D2"/>
    <w:rsid w:val="00EC2233"/>
    <w:rsid w:val="00EC2BAA"/>
    <w:rsid w:val="00EC3032"/>
    <w:rsid w:val="00EC3D69"/>
    <w:rsid w:val="00EC4557"/>
    <w:rsid w:val="00EC6021"/>
    <w:rsid w:val="00EC670C"/>
    <w:rsid w:val="00EC6C24"/>
    <w:rsid w:val="00EC6CDD"/>
    <w:rsid w:val="00EC6DBA"/>
    <w:rsid w:val="00EC71A4"/>
    <w:rsid w:val="00ED1CBD"/>
    <w:rsid w:val="00ED2632"/>
    <w:rsid w:val="00ED2701"/>
    <w:rsid w:val="00ED3EBF"/>
    <w:rsid w:val="00ED3FC7"/>
    <w:rsid w:val="00ED5EDF"/>
    <w:rsid w:val="00ED5EF9"/>
    <w:rsid w:val="00ED64E0"/>
    <w:rsid w:val="00EE08D5"/>
    <w:rsid w:val="00EE0BD4"/>
    <w:rsid w:val="00EE284E"/>
    <w:rsid w:val="00EE4286"/>
    <w:rsid w:val="00EE4766"/>
    <w:rsid w:val="00EE6DEA"/>
    <w:rsid w:val="00EE71F5"/>
    <w:rsid w:val="00EF1AD0"/>
    <w:rsid w:val="00EF28DD"/>
    <w:rsid w:val="00EF4F73"/>
    <w:rsid w:val="00EF53FA"/>
    <w:rsid w:val="00EF57BA"/>
    <w:rsid w:val="00EF5A2D"/>
    <w:rsid w:val="00F02C0D"/>
    <w:rsid w:val="00F02C75"/>
    <w:rsid w:val="00F062CF"/>
    <w:rsid w:val="00F0649B"/>
    <w:rsid w:val="00F071B0"/>
    <w:rsid w:val="00F10D93"/>
    <w:rsid w:val="00F126F6"/>
    <w:rsid w:val="00F134F6"/>
    <w:rsid w:val="00F1353C"/>
    <w:rsid w:val="00F14F57"/>
    <w:rsid w:val="00F20449"/>
    <w:rsid w:val="00F20902"/>
    <w:rsid w:val="00F20967"/>
    <w:rsid w:val="00F213D8"/>
    <w:rsid w:val="00F22676"/>
    <w:rsid w:val="00F2363E"/>
    <w:rsid w:val="00F23D52"/>
    <w:rsid w:val="00F23E09"/>
    <w:rsid w:val="00F2424F"/>
    <w:rsid w:val="00F244B0"/>
    <w:rsid w:val="00F24736"/>
    <w:rsid w:val="00F24C42"/>
    <w:rsid w:val="00F25F9C"/>
    <w:rsid w:val="00F26F0A"/>
    <w:rsid w:val="00F30F3C"/>
    <w:rsid w:val="00F317FF"/>
    <w:rsid w:val="00F3215D"/>
    <w:rsid w:val="00F328B6"/>
    <w:rsid w:val="00F32C3D"/>
    <w:rsid w:val="00F35942"/>
    <w:rsid w:val="00F409D7"/>
    <w:rsid w:val="00F41D30"/>
    <w:rsid w:val="00F42C9D"/>
    <w:rsid w:val="00F42CF0"/>
    <w:rsid w:val="00F43C5F"/>
    <w:rsid w:val="00F45E7E"/>
    <w:rsid w:val="00F4667D"/>
    <w:rsid w:val="00F477BC"/>
    <w:rsid w:val="00F51421"/>
    <w:rsid w:val="00F5146C"/>
    <w:rsid w:val="00F535E6"/>
    <w:rsid w:val="00F54FF1"/>
    <w:rsid w:val="00F556E1"/>
    <w:rsid w:val="00F55E95"/>
    <w:rsid w:val="00F60FA3"/>
    <w:rsid w:val="00F616D5"/>
    <w:rsid w:val="00F631DC"/>
    <w:rsid w:val="00F6453B"/>
    <w:rsid w:val="00F656E0"/>
    <w:rsid w:val="00F66037"/>
    <w:rsid w:val="00F67DB2"/>
    <w:rsid w:val="00F67F8B"/>
    <w:rsid w:val="00F7031B"/>
    <w:rsid w:val="00F708AE"/>
    <w:rsid w:val="00F71FAF"/>
    <w:rsid w:val="00F736F6"/>
    <w:rsid w:val="00F75DF3"/>
    <w:rsid w:val="00F77B70"/>
    <w:rsid w:val="00F80ADC"/>
    <w:rsid w:val="00F830E9"/>
    <w:rsid w:val="00F831F1"/>
    <w:rsid w:val="00F83A02"/>
    <w:rsid w:val="00F83E8F"/>
    <w:rsid w:val="00F84D64"/>
    <w:rsid w:val="00F84F64"/>
    <w:rsid w:val="00F864C3"/>
    <w:rsid w:val="00F8746C"/>
    <w:rsid w:val="00F94008"/>
    <w:rsid w:val="00F953F9"/>
    <w:rsid w:val="00F95C69"/>
    <w:rsid w:val="00F9615B"/>
    <w:rsid w:val="00F969B2"/>
    <w:rsid w:val="00F97051"/>
    <w:rsid w:val="00F9732F"/>
    <w:rsid w:val="00F97509"/>
    <w:rsid w:val="00FA16AC"/>
    <w:rsid w:val="00FA2547"/>
    <w:rsid w:val="00FA3B63"/>
    <w:rsid w:val="00FA445A"/>
    <w:rsid w:val="00FA58C4"/>
    <w:rsid w:val="00FA6B50"/>
    <w:rsid w:val="00FA6DAD"/>
    <w:rsid w:val="00FA7B6F"/>
    <w:rsid w:val="00FB047D"/>
    <w:rsid w:val="00FB1E76"/>
    <w:rsid w:val="00FB5CAF"/>
    <w:rsid w:val="00FB5FB6"/>
    <w:rsid w:val="00FB6DEF"/>
    <w:rsid w:val="00FC196C"/>
    <w:rsid w:val="00FC25FA"/>
    <w:rsid w:val="00FC3517"/>
    <w:rsid w:val="00FC3F8C"/>
    <w:rsid w:val="00FC4B86"/>
    <w:rsid w:val="00FC5579"/>
    <w:rsid w:val="00FC626C"/>
    <w:rsid w:val="00FC6BA5"/>
    <w:rsid w:val="00FC7FE8"/>
    <w:rsid w:val="00FD2A94"/>
    <w:rsid w:val="00FD2E29"/>
    <w:rsid w:val="00FD4ECC"/>
    <w:rsid w:val="00FE0963"/>
    <w:rsid w:val="00FE4450"/>
    <w:rsid w:val="00FE58FA"/>
    <w:rsid w:val="00FE6203"/>
    <w:rsid w:val="00FE6821"/>
    <w:rsid w:val="00FE7426"/>
    <w:rsid w:val="00FF034F"/>
    <w:rsid w:val="00FF0A4C"/>
    <w:rsid w:val="00FF0C2D"/>
    <w:rsid w:val="00FF1171"/>
    <w:rsid w:val="00FF17CC"/>
    <w:rsid w:val="00FF19D3"/>
    <w:rsid w:val="00FF2083"/>
    <w:rsid w:val="00FF5791"/>
    <w:rsid w:val="00FF7414"/>
    <w:rsid w:val="00FF777F"/>
    <w:rsid w:val="00FF79FE"/>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6049F"/>
  <w15:docId w15:val="{B7AC5308-CC81-46C9-9719-708602F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CE"/>
    <w:pPr>
      <w:spacing w:after="0" w:line="240" w:lineRule="auto"/>
    </w:pPr>
    <w:rPr>
      <w:rFonts w:ascii="Times New Roman" w:eastAsia="Calibri" w:hAnsi="Times New Roman" w:cs="Times New Roman"/>
      <w:sz w:val="24"/>
      <w:szCs w:val="24"/>
      <w:lang w:val="es-ES_tradnl"/>
    </w:rPr>
  </w:style>
  <w:style w:type="paragraph" w:styleId="Ttulo1">
    <w:name w:val="heading 1"/>
    <w:aliases w:val="Título Verdana"/>
    <w:basedOn w:val="Normal"/>
    <w:next w:val="Normal"/>
    <w:link w:val="Ttulo1Car"/>
    <w:uiPriority w:val="9"/>
    <w:qFormat/>
    <w:rsid w:val="00D04032"/>
    <w:pPr>
      <w:keepNext/>
      <w:keepLines/>
      <w:spacing w:before="480"/>
      <w:outlineLvl w:val="0"/>
    </w:pPr>
    <w:rPr>
      <w:rFonts w:ascii="Verdana" w:eastAsia="Times New Roman" w:hAnsi="Verdana"/>
      <w:b/>
      <w:bCs/>
      <w:sz w:val="20"/>
      <w:szCs w:val="28"/>
    </w:rPr>
  </w:style>
  <w:style w:type="paragraph" w:styleId="Ttulo2">
    <w:name w:val="heading 2"/>
    <w:basedOn w:val="Normal"/>
    <w:next w:val="Normal"/>
    <w:link w:val="Ttulo2Car"/>
    <w:unhideWhenUsed/>
    <w:qFormat/>
    <w:rsid w:val="0076651B"/>
    <w:pPr>
      <w:keepNext/>
      <w:keepLines/>
      <w:outlineLvl w:val="1"/>
    </w:pPr>
    <w:rPr>
      <w:rFonts w:ascii="Verdana" w:eastAsia="Times New Roman" w:hAnsi="Verdana"/>
      <w:b/>
      <w:bCs/>
      <w:sz w:val="20"/>
      <w:szCs w:val="26"/>
    </w:rPr>
  </w:style>
  <w:style w:type="paragraph" w:styleId="Ttulo3">
    <w:name w:val="heading 3"/>
    <w:basedOn w:val="Normal"/>
    <w:next w:val="Normal"/>
    <w:link w:val="Ttulo3Car"/>
    <w:uiPriority w:val="9"/>
    <w:unhideWhenUsed/>
    <w:qFormat/>
    <w:rsid w:val="0076651B"/>
    <w:pPr>
      <w:keepNext/>
      <w:keepLines/>
      <w:outlineLvl w:val="2"/>
    </w:pPr>
    <w:rPr>
      <w:rFonts w:ascii="Verdana" w:eastAsiaTheme="majorEastAsia" w:hAnsi="Verdana" w:cstheme="majorBidi"/>
      <w:b/>
      <w:bCs/>
      <w:sz w:val="20"/>
    </w:rPr>
  </w:style>
  <w:style w:type="paragraph" w:styleId="Ttulo4">
    <w:name w:val="heading 4"/>
    <w:basedOn w:val="Normal"/>
    <w:next w:val="Normal"/>
    <w:link w:val="Ttulo4Car"/>
    <w:uiPriority w:val="9"/>
    <w:unhideWhenUsed/>
    <w:qFormat/>
    <w:rsid w:val="00262F28"/>
    <w:pPr>
      <w:keepNext/>
      <w:keepLines/>
      <w:outlineLvl w:val="3"/>
    </w:pPr>
    <w:rPr>
      <w:rFonts w:ascii="Verdana" w:eastAsiaTheme="majorEastAsia" w:hAnsi="Verdana" w:cstheme="majorBidi"/>
      <w:b/>
      <w:bCs/>
      <w:i/>
      <w:iCs/>
      <w:sz w:val="20"/>
    </w:rPr>
  </w:style>
  <w:style w:type="paragraph" w:styleId="Ttulo5">
    <w:name w:val="heading 5"/>
    <w:basedOn w:val="Normal"/>
    <w:next w:val="Normal"/>
    <w:link w:val="Ttulo5Car"/>
    <w:uiPriority w:val="9"/>
    <w:unhideWhenUsed/>
    <w:qFormat/>
    <w:rsid w:val="009E58A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D04032"/>
    <w:rPr>
      <w:rFonts w:ascii="Verdana" w:eastAsia="Times New Roman" w:hAnsi="Verdana" w:cs="Times New Roman"/>
      <w:b/>
      <w:bCs/>
      <w:sz w:val="20"/>
      <w:szCs w:val="28"/>
      <w:lang w:val="es-ES_tradnl"/>
    </w:rPr>
  </w:style>
  <w:style w:type="character" w:customStyle="1" w:styleId="Ttulo2Car">
    <w:name w:val="Título 2 Car"/>
    <w:basedOn w:val="Fuentedeprrafopredeter"/>
    <w:link w:val="Ttulo2"/>
    <w:uiPriority w:val="9"/>
    <w:rsid w:val="0076651B"/>
    <w:rPr>
      <w:rFonts w:ascii="Verdana" w:eastAsia="Times New Roman" w:hAnsi="Verdana" w:cs="Times New Roman"/>
      <w:b/>
      <w:bCs/>
      <w:sz w:val="20"/>
      <w:szCs w:val="26"/>
      <w:lang w:val="es-ES_tradnl"/>
    </w:rPr>
  </w:style>
  <w:style w:type="character" w:customStyle="1" w:styleId="Ttulo3Car">
    <w:name w:val="Título 3 Car"/>
    <w:basedOn w:val="Fuentedeprrafopredeter"/>
    <w:link w:val="Ttulo3"/>
    <w:uiPriority w:val="9"/>
    <w:rsid w:val="0076651B"/>
    <w:rPr>
      <w:rFonts w:ascii="Verdana" w:eastAsiaTheme="majorEastAsia" w:hAnsi="Verdana" w:cstheme="majorBidi"/>
      <w:b/>
      <w:bCs/>
      <w:sz w:val="20"/>
      <w:szCs w:val="24"/>
      <w:lang w:val="es-ES_tradnl"/>
    </w:rPr>
  </w:style>
  <w:style w:type="character" w:customStyle="1" w:styleId="Ttulo4Car">
    <w:name w:val="Título 4 Car"/>
    <w:basedOn w:val="Fuentedeprrafopredeter"/>
    <w:link w:val="Ttulo4"/>
    <w:uiPriority w:val="9"/>
    <w:rsid w:val="00262F28"/>
    <w:rPr>
      <w:rFonts w:ascii="Verdana" w:eastAsiaTheme="majorEastAsia" w:hAnsi="Verdana" w:cstheme="majorBidi"/>
      <w:b/>
      <w:bCs/>
      <w:i/>
      <w:iCs/>
      <w:sz w:val="20"/>
      <w:szCs w:val="24"/>
      <w:lang w:val="es-ES_tradnl"/>
    </w:rPr>
  </w:style>
  <w:style w:type="character" w:customStyle="1" w:styleId="Ttulo5Car">
    <w:name w:val="Título 5 Car"/>
    <w:basedOn w:val="Fuentedeprrafopredeter"/>
    <w:link w:val="Ttulo5"/>
    <w:uiPriority w:val="9"/>
    <w:rsid w:val="009E58AE"/>
    <w:rPr>
      <w:rFonts w:asciiTheme="majorHAnsi" w:eastAsiaTheme="majorEastAsia" w:hAnsiTheme="majorHAnsi" w:cstheme="majorBidi"/>
      <w:color w:val="243F60" w:themeColor="accent1" w:themeShade="7F"/>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autoRedefine/>
    <w:uiPriority w:val="99"/>
    <w:unhideWhenUsed/>
    <w:qFormat/>
    <w:rsid w:val="00D61BD2"/>
    <w:pPr>
      <w:widowControl w:val="0"/>
      <w:tabs>
        <w:tab w:val="left" w:pos="720"/>
      </w:tabs>
      <w:spacing w:after="60"/>
      <w:jc w:val="both"/>
    </w:pPr>
    <w:rPr>
      <w:rFonts w:ascii="Verdana" w:eastAsia="Batang" w:hAnsi="Verdana"/>
      <w:sz w:val="16"/>
      <w:szCs w:val="16"/>
      <w:lang w:val="en-US" w:eastAsia="es-E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D61BD2"/>
    <w:rPr>
      <w:rFonts w:ascii="Verdana" w:eastAsia="Batang" w:hAnsi="Verdana" w:cs="Times New Roman"/>
      <w:sz w:val="16"/>
      <w:szCs w:val="16"/>
      <w:lang w:eastAsia="es-ES"/>
    </w:rPr>
  </w:style>
  <w:style w:type="paragraph" w:styleId="Prrafodelista">
    <w:name w:val="List Paragraph"/>
    <w:aliases w:val="Párrafo de lista1,Footnote,List Paragraph2,List Paragraph1,Colorful List - Accent 11,Lista vistosa - Énfasis 11"/>
    <w:basedOn w:val="Normal"/>
    <w:link w:val="PrrafodelistaCar"/>
    <w:uiPriority w:val="34"/>
    <w:qFormat/>
    <w:rsid w:val="009E58AE"/>
    <w:pPr>
      <w:ind w:left="720"/>
      <w:contextualSpacing/>
    </w:pPr>
  </w:style>
  <w:style w:type="character" w:customStyle="1" w:styleId="PrrafodelistaCar">
    <w:name w:val="Párrafo de lista Car"/>
    <w:aliases w:val="Párrafo de lista1 Car,Footnote Car,List Paragraph2 Car,List Paragraph1 Car,Colorful List - Accent 11 Car,Lista vistosa - Énfasis 11 Car"/>
    <w:basedOn w:val="Fuentedeprrafopredeter"/>
    <w:link w:val="Prrafodelista"/>
    <w:uiPriority w:val="34"/>
    <w:locked/>
    <w:rsid w:val="009E58AE"/>
    <w:rPr>
      <w:rFonts w:ascii="Times New Roman" w:eastAsia="Calibri" w:hAnsi="Times New Roman" w:cs="Times New Roman"/>
      <w:sz w:val="24"/>
      <w:szCs w:val="24"/>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9E58AE"/>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E58AE"/>
    <w:pPr>
      <w:jc w:val="both"/>
    </w:pPr>
    <w:rPr>
      <w:rFonts w:ascii="Verdana" w:eastAsiaTheme="minorHAnsi" w:hAnsi="Verdana"/>
      <w:sz w:val="20"/>
      <w:szCs w:val="22"/>
      <w:vertAlign w:val="superscript"/>
      <w:lang w:val="en-US"/>
    </w:rPr>
  </w:style>
  <w:style w:type="character" w:styleId="Hipervnculo">
    <w:name w:val="Hyperlink"/>
    <w:aliases w:val="Heading 3 caso"/>
    <w:uiPriority w:val="99"/>
    <w:rsid w:val="009E58AE"/>
    <w:rPr>
      <w:rFonts w:cs="Times New Roman"/>
      <w:color w:val="0000FF"/>
      <w:u w:val="single"/>
    </w:rPr>
  </w:style>
  <w:style w:type="paragraph" w:styleId="TDC1">
    <w:name w:val="toc 1"/>
    <w:basedOn w:val="Normal"/>
    <w:next w:val="Normal"/>
    <w:autoRedefine/>
    <w:uiPriority w:val="39"/>
    <w:unhideWhenUsed/>
    <w:rsid w:val="00BE5A9F"/>
    <w:pPr>
      <w:tabs>
        <w:tab w:val="left" w:pos="0"/>
        <w:tab w:val="right" w:leader="dot" w:pos="8820"/>
      </w:tabs>
      <w:ind w:right="836"/>
      <w:jc w:val="both"/>
    </w:pPr>
    <w:rPr>
      <w:rFonts w:ascii="Verdana" w:hAnsi="Verdana" w:cs="Verdana"/>
      <w:b/>
      <w:caps/>
      <w:noProof/>
      <w:snapToGrid w:val="0"/>
      <w:sz w:val="20"/>
      <w:szCs w:val="20"/>
    </w:rPr>
  </w:style>
  <w:style w:type="paragraph" w:styleId="TDC2">
    <w:name w:val="toc 2"/>
    <w:basedOn w:val="Normal"/>
    <w:next w:val="Normal"/>
    <w:autoRedefine/>
    <w:uiPriority w:val="39"/>
    <w:unhideWhenUsed/>
    <w:rsid w:val="00167383"/>
    <w:pPr>
      <w:tabs>
        <w:tab w:val="left" w:pos="720"/>
        <w:tab w:val="right" w:leader="dot" w:pos="8931"/>
      </w:tabs>
      <w:ind w:left="238" w:right="815"/>
      <w:jc w:val="both"/>
    </w:pPr>
  </w:style>
  <w:style w:type="paragraph" w:styleId="TDC3">
    <w:name w:val="toc 3"/>
    <w:basedOn w:val="Normal"/>
    <w:next w:val="Normal"/>
    <w:autoRedefine/>
    <w:uiPriority w:val="39"/>
    <w:unhideWhenUsed/>
    <w:rsid w:val="009D5837"/>
    <w:pPr>
      <w:tabs>
        <w:tab w:val="left" w:pos="960"/>
        <w:tab w:val="right" w:leader="dot" w:pos="8828"/>
      </w:tabs>
      <w:ind w:left="482" w:right="815"/>
      <w:contextualSpacing/>
    </w:pPr>
  </w:style>
  <w:style w:type="paragraph" w:styleId="Piedepgina">
    <w:name w:val="footer"/>
    <w:basedOn w:val="Normal"/>
    <w:link w:val="PiedepginaCar"/>
    <w:uiPriority w:val="99"/>
    <w:unhideWhenUsed/>
    <w:rsid w:val="009E58AE"/>
    <w:pPr>
      <w:tabs>
        <w:tab w:val="center" w:pos="4419"/>
        <w:tab w:val="right" w:pos="8838"/>
      </w:tabs>
    </w:pPr>
  </w:style>
  <w:style w:type="character" w:customStyle="1" w:styleId="PiedepginaCar">
    <w:name w:val="Pie de página Car"/>
    <w:basedOn w:val="Fuentedeprrafopredeter"/>
    <w:link w:val="Piedepgina"/>
    <w:uiPriority w:val="99"/>
    <w:rsid w:val="009E58AE"/>
    <w:rPr>
      <w:rFonts w:ascii="Times New Roman" w:eastAsia="Calibri" w:hAnsi="Times New Roman" w:cs="Times New Roman"/>
      <w:sz w:val="24"/>
      <w:szCs w:val="24"/>
      <w:lang w:val="es-ES_tradnl"/>
    </w:rPr>
  </w:style>
  <w:style w:type="character" w:styleId="Refdecomentario">
    <w:name w:val="annotation reference"/>
    <w:basedOn w:val="Fuentedeprrafopredeter"/>
    <w:uiPriority w:val="99"/>
    <w:unhideWhenUsed/>
    <w:rsid w:val="009E58AE"/>
    <w:rPr>
      <w:sz w:val="16"/>
      <w:szCs w:val="16"/>
    </w:rPr>
  </w:style>
  <w:style w:type="character" w:customStyle="1" w:styleId="TextocomentarioCar">
    <w:name w:val="Texto comentario Car"/>
    <w:basedOn w:val="Fuentedeprrafopredeter"/>
    <w:link w:val="Textocomentario"/>
    <w:uiPriority w:val="99"/>
    <w:rsid w:val="009E58AE"/>
    <w:rPr>
      <w:rFonts w:ascii="Times New Roman" w:eastAsia="Calibri" w:hAnsi="Times New Roman" w:cs="Times New Roman"/>
      <w:sz w:val="20"/>
      <w:szCs w:val="20"/>
      <w:lang w:val="es-ES_tradnl"/>
    </w:rPr>
  </w:style>
  <w:style w:type="paragraph" w:styleId="Textocomentario">
    <w:name w:val="annotation text"/>
    <w:basedOn w:val="Normal"/>
    <w:link w:val="TextocomentarioCar"/>
    <w:uiPriority w:val="99"/>
    <w:unhideWhenUsed/>
    <w:rsid w:val="009E58AE"/>
    <w:rPr>
      <w:sz w:val="20"/>
      <w:szCs w:val="20"/>
    </w:rPr>
  </w:style>
  <w:style w:type="character" w:customStyle="1" w:styleId="CommentTextChar1">
    <w:name w:val="Comment Text Char1"/>
    <w:basedOn w:val="Fuentedeprrafopredeter"/>
    <w:uiPriority w:val="99"/>
    <w:semiHidden/>
    <w:rsid w:val="009E58AE"/>
    <w:rPr>
      <w:rFonts w:ascii="Times New Roman" w:eastAsia="Calibri" w:hAnsi="Times New Roman" w:cs="Times New Roman"/>
      <w:sz w:val="20"/>
      <w:szCs w:val="20"/>
      <w:lang w:val="es-ES_tradnl"/>
    </w:rPr>
  </w:style>
  <w:style w:type="character" w:customStyle="1" w:styleId="apple-converted-space">
    <w:name w:val="apple-converted-space"/>
    <w:basedOn w:val="Fuentedeprrafopredeter"/>
    <w:rsid w:val="009E58AE"/>
  </w:style>
  <w:style w:type="character" w:styleId="Textoennegrita">
    <w:name w:val="Strong"/>
    <w:basedOn w:val="Fuentedeprrafopredeter"/>
    <w:uiPriority w:val="22"/>
    <w:qFormat/>
    <w:rsid w:val="009E58AE"/>
    <w:rPr>
      <w:b/>
      <w:bCs/>
    </w:rPr>
  </w:style>
  <w:style w:type="character" w:customStyle="1" w:styleId="TextodegloboCar">
    <w:name w:val="Texto de globo Car"/>
    <w:basedOn w:val="Fuentedeprrafopredeter"/>
    <w:link w:val="Textodeglobo"/>
    <w:uiPriority w:val="99"/>
    <w:semiHidden/>
    <w:rsid w:val="009E58AE"/>
    <w:rPr>
      <w:rFonts w:ascii="Tahoma" w:eastAsia="Calibri" w:hAnsi="Tahoma" w:cs="Tahoma"/>
      <w:sz w:val="16"/>
      <w:szCs w:val="16"/>
      <w:lang w:val="es-ES_tradnl"/>
    </w:rPr>
  </w:style>
  <w:style w:type="paragraph" w:styleId="Textodeglobo">
    <w:name w:val="Balloon Text"/>
    <w:basedOn w:val="Normal"/>
    <w:link w:val="TextodegloboCar"/>
    <w:uiPriority w:val="99"/>
    <w:semiHidden/>
    <w:unhideWhenUsed/>
    <w:rsid w:val="009E58AE"/>
    <w:rPr>
      <w:rFonts w:ascii="Tahoma" w:hAnsi="Tahoma" w:cs="Tahoma"/>
      <w:sz w:val="16"/>
      <w:szCs w:val="16"/>
    </w:rPr>
  </w:style>
  <w:style w:type="character" w:customStyle="1" w:styleId="BalloonTextChar1">
    <w:name w:val="Balloon Text Char1"/>
    <w:basedOn w:val="Fuentedeprrafopredeter"/>
    <w:uiPriority w:val="99"/>
    <w:semiHidden/>
    <w:rsid w:val="009E58AE"/>
    <w:rPr>
      <w:rFonts w:ascii="Tahoma" w:eastAsia="Calibri" w:hAnsi="Tahoma" w:cs="Tahoma"/>
      <w:sz w:val="16"/>
      <w:szCs w:val="16"/>
      <w:lang w:val="es-ES_tradnl"/>
    </w:rPr>
  </w:style>
  <w:style w:type="paragraph" w:styleId="Encabezado">
    <w:name w:val="header"/>
    <w:basedOn w:val="Normal"/>
    <w:link w:val="EncabezadoCar"/>
    <w:uiPriority w:val="99"/>
    <w:unhideWhenUsed/>
    <w:rsid w:val="009E58AE"/>
    <w:pPr>
      <w:tabs>
        <w:tab w:val="center" w:pos="4419"/>
        <w:tab w:val="right" w:pos="8838"/>
      </w:tabs>
    </w:pPr>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9E58AE"/>
    <w:rPr>
      <w:lang w:val="es-CR"/>
    </w:rPr>
  </w:style>
  <w:style w:type="paragraph" w:styleId="Asuntodelcomentario">
    <w:name w:val="annotation subject"/>
    <w:basedOn w:val="Textocomentario"/>
    <w:next w:val="Textocomentario"/>
    <w:link w:val="AsuntodelcomentarioCar"/>
    <w:uiPriority w:val="99"/>
    <w:semiHidden/>
    <w:unhideWhenUsed/>
    <w:rsid w:val="009E58AE"/>
    <w:pPr>
      <w:spacing w:after="200"/>
    </w:pPr>
    <w:rPr>
      <w:rFonts w:asciiTheme="minorHAnsi" w:eastAsiaTheme="minorHAnsi" w:hAnsiTheme="minorHAnsi" w:cstheme="minorBidi"/>
      <w:b/>
      <w:bCs/>
      <w:lang w:val="es-CR"/>
    </w:rPr>
  </w:style>
  <w:style w:type="character" w:customStyle="1" w:styleId="AsuntodelcomentarioCar">
    <w:name w:val="Asunto del comentario Car"/>
    <w:basedOn w:val="CommentTextChar1"/>
    <w:link w:val="Asuntodelcomentario"/>
    <w:uiPriority w:val="99"/>
    <w:semiHidden/>
    <w:rsid w:val="009E58AE"/>
    <w:rPr>
      <w:rFonts w:ascii="Times New Roman" w:eastAsia="Calibri" w:hAnsi="Times New Roman" w:cs="Times New Roman"/>
      <w:b/>
      <w:bCs/>
      <w:sz w:val="20"/>
      <w:szCs w:val="20"/>
      <w:lang w:val="es-CR"/>
    </w:rPr>
  </w:style>
  <w:style w:type="paragraph" w:customStyle="1" w:styleId="Footnotes">
    <w:name w:val="**. Footnotes"/>
    <w:basedOn w:val="Textonotapie"/>
    <w:link w:val="FootnotesChar"/>
    <w:autoRedefine/>
    <w:qFormat/>
    <w:rsid w:val="009E58AE"/>
    <w:pPr>
      <w:spacing w:before="120"/>
    </w:pPr>
    <w:rPr>
      <w:rFonts w:cs="Palatino-Italic"/>
      <w:iCs/>
      <w:lang w:eastAsia="en-US"/>
    </w:rPr>
  </w:style>
  <w:style w:type="character" w:customStyle="1" w:styleId="FootnotesChar">
    <w:name w:val="**. Footnotes Char"/>
    <w:basedOn w:val="Fuentedeprrafopredeter"/>
    <w:link w:val="Footnotes"/>
    <w:rsid w:val="009E58AE"/>
    <w:rPr>
      <w:rFonts w:ascii="Verdana" w:eastAsia="Batang" w:hAnsi="Verdana" w:cs="Palatino-Italic"/>
      <w:iCs/>
      <w:sz w:val="16"/>
      <w:szCs w:val="16"/>
      <w:lang w:val="es-ES"/>
    </w:rPr>
  </w:style>
  <w:style w:type="character" w:customStyle="1" w:styleId="apple-style-span">
    <w:name w:val="apple-style-span"/>
    <w:basedOn w:val="Fuentedeprrafopredeter"/>
    <w:rsid w:val="009E58AE"/>
    <w:rPr>
      <w:rFonts w:cs="Times New Roman"/>
    </w:rPr>
  </w:style>
  <w:style w:type="paragraph" w:customStyle="1" w:styleId="Default">
    <w:name w:val="Default"/>
    <w:rsid w:val="009E58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0">
    <w:name w:val="Título1"/>
    <w:basedOn w:val="Fuentedeprrafopredeter"/>
    <w:rsid w:val="009E58AE"/>
  </w:style>
  <w:style w:type="paragraph" w:styleId="Sinespaciado">
    <w:name w:val="No Spacing"/>
    <w:uiPriority w:val="1"/>
    <w:qFormat/>
    <w:rsid w:val="009E58AE"/>
    <w:pPr>
      <w:spacing w:after="0" w:line="240" w:lineRule="auto"/>
    </w:pPr>
    <w:rPr>
      <w:rFonts w:eastAsiaTheme="minorEastAsia"/>
    </w:rPr>
  </w:style>
  <w:style w:type="paragraph" w:styleId="TDC4">
    <w:name w:val="toc 4"/>
    <w:basedOn w:val="Normal"/>
    <w:next w:val="Normal"/>
    <w:autoRedefine/>
    <w:uiPriority w:val="39"/>
    <w:unhideWhenUsed/>
    <w:rsid w:val="009E58AE"/>
    <w:pPr>
      <w:spacing w:after="100"/>
      <w:ind w:left="720"/>
    </w:pPr>
  </w:style>
  <w:style w:type="paragraph" w:styleId="TDC5">
    <w:name w:val="toc 5"/>
    <w:basedOn w:val="Normal"/>
    <w:next w:val="Normal"/>
    <w:autoRedefine/>
    <w:uiPriority w:val="39"/>
    <w:unhideWhenUsed/>
    <w:rsid w:val="009E58AE"/>
    <w:pPr>
      <w:spacing w:after="100"/>
      <w:ind w:left="960"/>
    </w:pPr>
  </w:style>
  <w:style w:type="character" w:styleId="Nmerodelnea">
    <w:name w:val="line number"/>
    <w:basedOn w:val="Fuentedeprrafopredeter"/>
    <w:uiPriority w:val="99"/>
    <w:unhideWhenUsed/>
    <w:rsid w:val="009E58AE"/>
    <w:rPr>
      <w:rFonts w:ascii="Verdana" w:hAnsi="Verdana"/>
      <w:sz w:val="20"/>
    </w:rPr>
  </w:style>
  <w:style w:type="paragraph" w:customStyle="1" w:styleId="PrrafodeSentencia">
    <w:name w:val="*. Párrafo de Sentencia"/>
    <w:link w:val="PrrafodeSentenciaChar"/>
    <w:autoRedefine/>
    <w:qFormat/>
    <w:rsid w:val="009E58AE"/>
    <w:pPr>
      <w:tabs>
        <w:tab w:val="left" w:pos="0"/>
        <w:tab w:val="left" w:pos="567"/>
      </w:tabs>
      <w:spacing w:after="0" w:line="240" w:lineRule="auto"/>
      <w:jc w:val="both"/>
    </w:pPr>
    <w:rPr>
      <w:rFonts w:ascii="Verdana" w:eastAsia="Batang" w:hAnsi="Verdana" w:cs="Times New Roman"/>
      <w:sz w:val="16"/>
      <w:szCs w:val="16"/>
      <w:lang w:val="es-MX" w:eastAsia="es-MX"/>
    </w:rPr>
  </w:style>
  <w:style w:type="character" w:customStyle="1" w:styleId="PrrafodeSentenciaChar">
    <w:name w:val="*. Párrafo de Sentencia Char"/>
    <w:link w:val="PrrafodeSentencia"/>
    <w:rsid w:val="009E58AE"/>
    <w:rPr>
      <w:rFonts w:ascii="Verdana" w:eastAsia="Batang" w:hAnsi="Verdana" w:cs="Times New Roman"/>
      <w:sz w:val="16"/>
      <w:szCs w:val="16"/>
      <w:lang w:val="es-MX" w:eastAsia="es-MX"/>
    </w:rPr>
  </w:style>
  <w:style w:type="character" w:customStyle="1" w:styleId="hps">
    <w:name w:val="hps"/>
    <w:basedOn w:val="Fuentedeprrafopredeter"/>
    <w:rsid w:val="009E58AE"/>
  </w:style>
  <w:style w:type="paragraph" w:styleId="HTMLconformatoprevio">
    <w:name w:val="HTML Preformatted"/>
    <w:basedOn w:val="Normal"/>
    <w:link w:val="HTMLconformatoprevioCar"/>
    <w:uiPriority w:val="99"/>
    <w:unhideWhenUsed/>
    <w:rsid w:val="009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conformatoprevioCar">
    <w:name w:val="HTML con formato previo Car"/>
    <w:basedOn w:val="Fuentedeprrafopredeter"/>
    <w:link w:val="HTMLconformatoprevio"/>
    <w:uiPriority w:val="99"/>
    <w:rsid w:val="009E58AE"/>
    <w:rPr>
      <w:rFonts w:ascii="Courier New" w:eastAsia="Times New Roman" w:hAnsi="Courier New" w:cs="Times New Roman"/>
      <w:sz w:val="20"/>
      <w:szCs w:val="20"/>
      <w:lang w:val="es-ES_tradnl"/>
    </w:rPr>
  </w:style>
  <w:style w:type="paragraph" w:customStyle="1" w:styleId="2Footnotes">
    <w:name w:val="2. Footnotes"/>
    <w:basedOn w:val="Textonotapie"/>
    <w:link w:val="2FootnotesChar"/>
    <w:autoRedefine/>
    <w:qFormat/>
    <w:rsid w:val="009E58AE"/>
    <w:pPr>
      <w:spacing w:before="120"/>
    </w:pPr>
    <w:rPr>
      <w:rFonts w:eastAsia="Times New Roman" w:cs="Palatino-Italic"/>
      <w:iCs/>
      <w:noProof/>
      <w:szCs w:val="18"/>
      <w:lang w:eastAsia="en-US"/>
    </w:rPr>
  </w:style>
  <w:style w:type="character" w:customStyle="1" w:styleId="2FootnotesChar">
    <w:name w:val="2. Footnotes Char"/>
    <w:link w:val="2Footnotes"/>
    <w:rsid w:val="009E58AE"/>
    <w:rPr>
      <w:rFonts w:ascii="Verdana" w:eastAsia="Times New Roman" w:hAnsi="Verdana" w:cs="Palatino-Italic"/>
      <w:iCs/>
      <w:noProof/>
      <w:sz w:val="16"/>
      <w:szCs w:val="18"/>
      <w:lang w:val="es-ES"/>
    </w:rPr>
  </w:style>
  <w:style w:type="paragraph" w:styleId="NormalWeb">
    <w:name w:val="Normal (Web)"/>
    <w:aliases w:val="Normal (Web) Char1,Normal (Web) Char Char,Normal (Web) Char1 Char,Normal (Web) Char Char Char"/>
    <w:basedOn w:val="Normal"/>
    <w:uiPriority w:val="99"/>
    <w:unhideWhenUsed/>
    <w:rsid w:val="009E58AE"/>
    <w:pPr>
      <w:spacing w:before="100" w:beforeAutospacing="1" w:after="100" w:afterAutospacing="1"/>
    </w:pPr>
    <w:rPr>
      <w:rFonts w:eastAsia="Times New Roman"/>
      <w:lang w:val="es-CR" w:eastAsia="es-CR"/>
    </w:rPr>
  </w:style>
  <w:style w:type="paragraph" w:customStyle="1" w:styleId="xmsonormal">
    <w:name w:val="x_msonormal"/>
    <w:basedOn w:val="Normal"/>
    <w:rsid w:val="009E58AE"/>
    <w:pPr>
      <w:spacing w:before="100" w:beforeAutospacing="1" w:after="100" w:afterAutospacing="1"/>
    </w:pPr>
    <w:rPr>
      <w:rFonts w:eastAsia="Times New Roman"/>
      <w:lang w:val="en-US"/>
    </w:rPr>
  </w:style>
  <w:style w:type="paragraph" w:customStyle="1" w:styleId="HChG">
    <w:name w:val="_ H _Ch_G"/>
    <w:basedOn w:val="Normal"/>
    <w:next w:val="Normal"/>
    <w:rsid w:val="009E58AE"/>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9E58AE"/>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Estilo1">
    <w:name w:val="Estilo1"/>
    <w:basedOn w:val="Prrafodelista"/>
    <w:link w:val="Estilo1Car"/>
    <w:qFormat/>
    <w:rsid w:val="009E58AE"/>
    <w:pPr>
      <w:numPr>
        <w:numId w:val="3"/>
      </w:numPr>
      <w:spacing w:after="240"/>
      <w:contextualSpacing w:val="0"/>
      <w:jc w:val="both"/>
    </w:pPr>
    <w:rPr>
      <w:lang w:val="es-UY"/>
    </w:rPr>
  </w:style>
  <w:style w:type="character" w:customStyle="1" w:styleId="Estilo1Car">
    <w:name w:val="Estilo1 Car"/>
    <w:link w:val="Estilo1"/>
    <w:locked/>
    <w:rsid w:val="009E58AE"/>
    <w:rPr>
      <w:rFonts w:ascii="Times New Roman" w:eastAsia="Calibri" w:hAnsi="Times New Roman" w:cs="Times New Roman"/>
      <w:sz w:val="24"/>
      <w:szCs w:val="24"/>
      <w:lang w:val="es-UY"/>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Fuentedeprrafopredeter"/>
    <w:qFormat/>
    <w:locked/>
    <w:rsid w:val="009E58AE"/>
    <w:rPr>
      <w:rFonts w:ascii="Verdana" w:eastAsia="MS Mincho" w:hAnsi="Verdana" w:cs="Times"/>
      <w:sz w:val="16"/>
      <w:szCs w:val="24"/>
      <w:lang w:val="es-ES_tradnl"/>
    </w:rPr>
  </w:style>
  <w:style w:type="character" w:customStyle="1" w:styleId="Smbolodenotaalpie">
    <w:name w:val="Símbolo de nota al pie"/>
    <w:rsid w:val="009E58AE"/>
    <w:rPr>
      <w:vertAlign w:val="superscript"/>
    </w:rPr>
  </w:style>
  <w:style w:type="paragraph" w:styleId="Textoindependiente">
    <w:name w:val="Body Text"/>
    <w:basedOn w:val="Normal"/>
    <w:link w:val="TextoindependienteCar"/>
    <w:uiPriority w:val="99"/>
    <w:semiHidden/>
    <w:unhideWhenUsed/>
    <w:rsid w:val="009E58AE"/>
    <w:pPr>
      <w:jc w:val="both"/>
    </w:pPr>
    <w:rPr>
      <w:rFonts w:ascii="Garamond" w:eastAsia="Times" w:hAnsi="Garamond"/>
      <w:noProof/>
      <w:sz w:val="22"/>
      <w:szCs w:val="20"/>
    </w:rPr>
  </w:style>
  <w:style w:type="character" w:customStyle="1" w:styleId="TextoindependienteCar">
    <w:name w:val="Texto independiente Car"/>
    <w:basedOn w:val="Fuentedeprrafopredeter"/>
    <w:link w:val="Textoindependiente"/>
    <w:uiPriority w:val="99"/>
    <w:semiHidden/>
    <w:rsid w:val="009E58AE"/>
    <w:rPr>
      <w:rFonts w:ascii="Garamond" w:eastAsia="Times" w:hAnsi="Garamond" w:cs="Times New Roman"/>
      <w:noProof/>
      <w:szCs w:val="20"/>
      <w:lang w:val="es-ES_tradnl"/>
    </w:rPr>
  </w:style>
  <w:style w:type="character" w:customStyle="1" w:styleId="SangradetextonormalCar">
    <w:name w:val="Sangría de texto normal Car"/>
    <w:basedOn w:val="Fuentedeprrafopredeter"/>
    <w:link w:val="Sangradetextonormal"/>
    <w:uiPriority w:val="99"/>
    <w:semiHidden/>
    <w:rsid w:val="009E58AE"/>
    <w:rPr>
      <w:rFonts w:ascii="Times New Roman" w:eastAsia="Calibri"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9E58AE"/>
    <w:pPr>
      <w:spacing w:after="120"/>
      <w:ind w:left="283"/>
    </w:pPr>
  </w:style>
  <w:style w:type="character" w:customStyle="1" w:styleId="BodyTextIndentChar1">
    <w:name w:val="Body Text Indent Char1"/>
    <w:basedOn w:val="Fuentedeprrafopredeter"/>
    <w:uiPriority w:val="99"/>
    <w:semiHidden/>
    <w:rsid w:val="009E58AE"/>
    <w:rPr>
      <w:rFonts w:ascii="Times New Roman" w:eastAsia="Calibri" w:hAnsi="Times New Roman" w:cs="Times New Roman"/>
      <w:sz w:val="24"/>
      <w:szCs w:val="24"/>
      <w:lang w:val="es-ES_tradnl"/>
    </w:rPr>
  </w:style>
  <w:style w:type="character" w:customStyle="1" w:styleId="Estilo1Char">
    <w:name w:val="Estilo1 Char"/>
    <w:rsid w:val="009E58AE"/>
    <w:rPr>
      <w:rFonts w:ascii="Verdana" w:eastAsia="Calibri" w:hAnsi="Verdana" w:cs="Times New Roman"/>
      <w:sz w:val="20"/>
      <w:szCs w:val="20"/>
      <w:lang w:val="es-ES"/>
    </w:rPr>
  </w:style>
  <w:style w:type="paragraph" w:customStyle="1" w:styleId="Estilo2">
    <w:name w:val="Estilo2"/>
    <w:basedOn w:val="Normal"/>
    <w:qFormat/>
    <w:rsid w:val="009E58AE"/>
    <w:pPr>
      <w:tabs>
        <w:tab w:val="left" w:pos="567"/>
        <w:tab w:val="left" w:pos="1134"/>
        <w:tab w:val="num" w:pos="4767"/>
      </w:tabs>
      <w:spacing w:after="120"/>
      <w:ind w:left="4767" w:hanging="360"/>
      <w:jc w:val="both"/>
    </w:pPr>
    <w:rPr>
      <w:rFonts w:ascii="Verdana" w:hAnsi="Verdana"/>
      <w:sz w:val="20"/>
      <w:szCs w:val="20"/>
      <w:lang w:val="es-ES"/>
    </w:rPr>
  </w:style>
  <w:style w:type="paragraph" w:styleId="Sangra3detindependiente">
    <w:name w:val="Body Text Indent 3"/>
    <w:basedOn w:val="Normal"/>
    <w:link w:val="Sangra3detindependienteCar"/>
    <w:rsid w:val="009E58AE"/>
    <w:pPr>
      <w:ind w:left="720"/>
      <w:jc w:val="both"/>
    </w:pPr>
    <w:rPr>
      <w:rFonts w:ascii="Verdana" w:eastAsia="Times" w:hAnsi="Verdana"/>
      <w:b/>
      <w:sz w:val="22"/>
      <w:szCs w:val="20"/>
      <w:lang w:eastAsia="es-ES"/>
    </w:rPr>
  </w:style>
  <w:style w:type="character" w:customStyle="1" w:styleId="Sangra3detindependienteCar">
    <w:name w:val="Sangría 3 de t. independiente Car"/>
    <w:basedOn w:val="Fuentedeprrafopredeter"/>
    <w:link w:val="Sangra3detindependiente"/>
    <w:rsid w:val="009E58AE"/>
    <w:rPr>
      <w:rFonts w:ascii="Verdana" w:eastAsia="Times" w:hAnsi="Verdana" w:cs="Times New Roman"/>
      <w:b/>
      <w:szCs w:val="20"/>
      <w:lang w:val="es-ES_tradnl" w:eastAsia="es-ES"/>
    </w:rPr>
  </w:style>
  <w:style w:type="paragraph" w:customStyle="1" w:styleId="Estilo7">
    <w:name w:val="Estilo7"/>
    <w:basedOn w:val="Normal"/>
    <w:qFormat/>
    <w:rsid w:val="009E58AE"/>
    <w:pPr>
      <w:tabs>
        <w:tab w:val="left" w:pos="567"/>
        <w:tab w:val="left" w:pos="851"/>
        <w:tab w:val="num" w:pos="2160"/>
      </w:tabs>
      <w:spacing w:before="120" w:after="120"/>
      <w:ind w:left="2160" w:hanging="180"/>
      <w:jc w:val="both"/>
    </w:pPr>
    <w:rPr>
      <w:rFonts w:ascii="Verdana" w:eastAsia="Batang" w:hAnsi="Verdana"/>
      <w:b/>
      <w:i/>
      <w:sz w:val="20"/>
      <w:szCs w:val="20"/>
      <w:lang w:eastAsia="es-MX"/>
    </w:rPr>
  </w:style>
  <w:style w:type="paragraph" w:customStyle="1" w:styleId="Sangradetindependiente">
    <w:name w:val="Sangr’a de t. independiente"/>
    <w:basedOn w:val="Normal"/>
    <w:rsid w:val="009E58AE"/>
    <w:pPr>
      <w:overflowPunct w:val="0"/>
      <w:autoSpaceDE w:val="0"/>
      <w:autoSpaceDN w:val="0"/>
      <w:adjustRightInd w:val="0"/>
      <w:jc w:val="both"/>
      <w:textAlignment w:val="baseline"/>
    </w:pPr>
    <w:rPr>
      <w:rFonts w:eastAsia="Times New Roman"/>
      <w:szCs w:val="20"/>
      <w:lang w:eastAsia="es-ES"/>
    </w:rPr>
  </w:style>
  <w:style w:type="paragraph" w:styleId="Textonotaalfinal">
    <w:name w:val="endnote text"/>
    <w:basedOn w:val="Normal"/>
    <w:link w:val="TextonotaalfinalCar"/>
    <w:rsid w:val="009E58AE"/>
    <w:rPr>
      <w:rFonts w:ascii="Verdana" w:eastAsia="Times" w:hAnsi="Verdana"/>
      <w:sz w:val="20"/>
      <w:szCs w:val="20"/>
      <w:lang w:val="es-CR"/>
    </w:rPr>
  </w:style>
  <w:style w:type="character" w:customStyle="1" w:styleId="TextonotaalfinalCar">
    <w:name w:val="Texto nota al final Car"/>
    <w:basedOn w:val="Fuentedeprrafopredeter"/>
    <w:link w:val="Textonotaalfinal"/>
    <w:rsid w:val="009E58AE"/>
    <w:rPr>
      <w:rFonts w:ascii="Verdana" w:eastAsia="Times" w:hAnsi="Verdana" w:cs="Times New Roman"/>
      <w:sz w:val="20"/>
      <w:szCs w:val="20"/>
      <w:lang w:val="es-CR"/>
    </w:rPr>
  </w:style>
  <w:style w:type="character" w:customStyle="1" w:styleId="Caracteresdenotafinal">
    <w:name w:val="Caracteres de nota final"/>
    <w:basedOn w:val="Fuentedeprrafopredeter"/>
    <w:rsid w:val="009E58AE"/>
    <w:rPr>
      <w:vertAlign w:val="superscript"/>
    </w:rPr>
  </w:style>
  <w:style w:type="character" w:customStyle="1" w:styleId="normalchar1">
    <w:name w:val="normal__char1"/>
    <w:basedOn w:val="Fuentedeprrafopredeter"/>
    <w:rsid w:val="009E58AE"/>
    <w:rPr>
      <w:rFonts w:ascii="Verdana" w:hAnsi="Verdana" w:hint="default"/>
      <w:sz w:val="20"/>
      <w:szCs w:val="20"/>
    </w:rPr>
  </w:style>
  <w:style w:type="character" w:customStyle="1" w:styleId="FootnoteTextCharCar">
    <w:name w:val="Footnote Text Char Car"/>
    <w:aliases w:val="FA Car,Note de bas de page Car Car Car"/>
    <w:basedOn w:val="Fuentedeprrafopredeter"/>
    <w:uiPriority w:val="99"/>
    <w:locked/>
    <w:rsid w:val="009E58AE"/>
  </w:style>
  <w:style w:type="character" w:customStyle="1" w:styleId="sb8d990e2">
    <w:name w:val="sb8d990e2"/>
    <w:rsid w:val="009E58AE"/>
  </w:style>
  <w:style w:type="paragraph" w:customStyle="1" w:styleId="Prrafodelista2">
    <w:name w:val="Párrafo de lista2"/>
    <w:basedOn w:val="Normal"/>
    <w:uiPriority w:val="99"/>
    <w:rsid w:val="009E58AE"/>
    <w:pPr>
      <w:ind w:left="720"/>
    </w:pPr>
    <w:rPr>
      <w:rFonts w:ascii="Verdana" w:eastAsia="MS Mincho" w:hAnsi="Verdana"/>
      <w:sz w:val="20"/>
      <w:szCs w:val="20"/>
      <w:lang w:bidi="en-US"/>
    </w:rPr>
  </w:style>
  <w:style w:type="character" w:customStyle="1" w:styleId="st1">
    <w:name w:val="st1"/>
    <w:basedOn w:val="Fuentedeprrafopredeter"/>
    <w:rsid w:val="009E58AE"/>
  </w:style>
  <w:style w:type="paragraph" w:styleId="Revisin">
    <w:name w:val="Revision"/>
    <w:hidden/>
    <w:uiPriority w:val="99"/>
    <w:semiHidden/>
    <w:rsid w:val="002C1303"/>
    <w:pPr>
      <w:spacing w:after="0" w:line="240" w:lineRule="auto"/>
    </w:pPr>
    <w:rPr>
      <w:rFonts w:ascii="Times New Roman" w:eastAsia="Calibri" w:hAnsi="Times New Roman" w:cs="Times New Roman"/>
      <w:sz w:val="24"/>
      <w:szCs w:val="24"/>
      <w:lang w:val="es-ES_tradnl"/>
    </w:rPr>
  </w:style>
  <w:style w:type="paragraph" w:customStyle="1" w:styleId="NormalNumbered">
    <w:name w:val="Normal Numbered"/>
    <w:basedOn w:val="Normal"/>
    <w:qFormat/>
    <w:rsid w:val="00F54FF1"/>
    <w:pPr>
      <w:numPr>
        <w:numId w:val="6"/>
      </w:numPr>
      <w:ind w:left="0" w:firstLine="0"/>
      <w:jc w:val="both"/>
    </w:pPr>
    <w:rPr>
      <w:rFonts w:ascii="Verdana" w:eastAsia="Times New Roman" w:hAnsi="Verdana"/>
      <w:sz w:val="20"/>
      <w:szCs w:val="20"/>
      <w:lang w:val="x-none" w:eastAsia="x-none"/>
    </w:rPr>
  </w:style>
  <w:style w:type="numbering" w:customStyle="1" w:styleId="NoList1">
    <w:name w:val="No List1"/>
    <w:next w:val="Sinlista"/>
    <w:uiPriority w:val="99"/>
    <w:semiHidden/>
    <w:unhideWhenUsed/>
    <w:rsid w:val="00C01305"/>
  </w:style>
  <w:style w:type="paragraph" w:customStyle="1" w:styleId="ju-005fpara-002cleft-002cfirst-0020line-003a-0020-00200-0020cm">
    <w:name w:val="ju-005fpara-002cleft-002cfirst-0020line-003a-0020-00200-0020cm"/>
    <w:basedOn w:val="Normal"/>
    <w:rsid w:val="00C01305"/>
    <w:pPr>
      <w:spacing w:after="135"/>
    </w:pPr>
    <w:rPr>
      <w:rFonts w:eastAsia="Times New Roman"/>
      <w:lang w:val="es-MX" w:eastAsia="es-MX"/>
    </w:rPr>
  </w:style>
  <w:style w:type="character" w:customStyle="1" w:styleId="ju-005fpara-002cleft-002cfirst-0020line-003a-0020-00200-0020cm--char">
    <w:name w:val="ju-005fpara-002cleft-002cfirst-0020line-003a-0020-00200-0020cm--char"/>
    <w:rsid w:val="00C01305"/>
  </w:style>
  <w:style w:type="character" w:customStyle="1" w:styleId="PrrafodelistaCar1">
    <w:name w:val="Párrafo de lista Car1"/>
    <w:basedOn w:val="Fuentedeprrafopredeter"/>
    <w:uiPriority w:val="99"/>
    <w:locked/>
    <w:rsid w:val="00C01305"/>
    <w:rPr>
      <w:rFonts w:ascii="Verdana" w:hAnsi="Verdana" w:cs="Verdana"/>
      <w:lang w:eastAsia="en-US"/>
    </w:rPr>
  </w:style>
  <w:style w:type="character" w:customStyle="1" w:styleId="TextocomentarioCar1">
    <w:name w:val="Texto comentario Car1"/>
    <w:basedOn w:val="Fuentedeprrafopredeter"/>
    <w:uiPriority w:val="99"/>
    <w:semiHidden/>
    <w:rsid w:val="00C01305"/>
    <w:rPr>
      <w:sz w:val="20"/>
      <w:szCs w:val="20"/>
    </w:rPr>
  </w:style>
  <w:style w:type="paragraph" w:customStyle="1" w:styleId="Body1">
    <w:name w:val="Body 1"/>
    <w:link w:val="Body1Char"/>
    <w:rsid w:val="00AF7637"/>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AF7637"/>
    <w:rPr>
      <w:rFonts w:ascii="Helvetica" w:eastAsia="ヒラギノ角ゴ Pro W3" w:hAnsi="Helvetica" w:cs="Times New Roman"/>
      <w:color w:val="000000"/>
      <w:szCs w:val="20"/>
      <w:lang w:eastAsia="es-CR"/>
    </w:rPr>
  </w:style>
  <w:style w:type="paragraph" w:customStyle="1" w:styleId="style11">
    <w:name w:val="style11"/>
    <w:basedOn w:val="Normal"/>
    <w:rsid w:val="0088700B"/>
    <w:pPr>
      <w:spacing w:before="192" w:after="192"/>
      <w:ind w:left="120" w:right="144"/>
      <w:jc w:val="both"/>
    </w:pPr>
    <w:rPr>
      <w:rFonts w:eastAsia="Times New Roman"/>
      <w:lang w:val="es-MX" w:eastAsia="es-MX"/>
    </w:rPr>
  </w:style>
  <w:style w:type="paragraph" w:customStyle="1" w:styleId="Style1">
    <w:name w:val="Style1"/>
    <w:basedOn w:val="Prrafodelista"/>
    <w:link w:val="Style1Char"/>
    <w:qFormat/>
    <w:rsid w:val="00F83E8F"/>
    <w:pPr>
      <w:numPr>
        <w:numId w:val="25"/>
      </w:numPr>
      <w:spacing w:after="160" w:line="256" w:lineRule="auto"/>
      <w:jc w:val="center"/>
    </w:pPr>
    <w:rPr>
      <w:rFonts w:ascii="Verdana" w:eastAsia="Times New Roman" w:hAnsi="Verdana"/>
      <w:b/>
      <w:sz w:val="20"/>
      <w:szCs w:val="20"/>
      <w:u w:val="single"/>
      <w:lang w:val="es-MX"/>
    </w:rPr>
  </w:style>
  <w:style w:type="character" w:customStyle="1" w:styleId="Style1Char">
    <w:name w:val="Style1 Char"/>
    <w:basedOn w:val="PrrafodelistaCar"/>
    <w:link w:val="Style1"/>
    <w:rsid w:val="00F83E8F"/>
    <w:rPr>
      <w:rFonts w:ascii="Verdana" w:eastAsia="Times New Roman" w:hAnsi="Verdana" w:cs="Times New Roman"/>
      <w:b/>
      <w:sz w:val="20"/>
      <w:szCs w:val="20"/>
      <w:u w:val="single"/>
      <w:lang w:val="es-MX"/>
    </w:rPr>
  </w:style>
  <w:style w:type="paragraph" w:styleId="Cita">
    <w:name w:val="Quote"/>
    <w:basedOn w:val="Normal"/>
    <w:next w:val="Normal"/>
    <w:link w:val="CitaCar"/>
    <w:uiPriority w:val="29"/>
    <w:qFormat/>
    <w:rsid w:val="00F83E8F"/>
    <w:pPr>
      <w:spacing w:before="200" w:after="160"/>
      <w:ind w:left="864" w:right="864"/>
      <w:jc w:val="center"/>
    </w:pPr>
    <w:rPr>
      <w:rFonts w:ascii="Verdana" w:eastAsia="Times New Roman" w:hAnsi="Verdana"/>
      <w:i/>
      <w:iCs/>
      <w:color w:val="404040" w:themeColor="text1" w:themeTint="BF"/>
      <w:sz w:val="20"/>
      <w:lang w:val="en-US"/>
    </w:rPr>
  </w:style>
  <w:style w:type="character" w:customStyle="1" w:styleId="CitaCar">
    <w:name w:val="Cita Car"/>
    <w:basedOn w:val="Fuentedeprrafopredeter"/>
    <w:link w:val="Cita"/>
    <w:uiPriority w:val="29"/>
    <w:rsid w:val="00F83E8F"/>
    <w:rPr>
      <w:rFonts w:ascii="Verdana" w:eastAsia="Times New Roman" w:hAnsi="Verdana" w:cs="Times New Roman"/>
      <w:i/>
      <w:iCs/>
      <w:color w:val="404040" w:themeColor="text1" w:themeTint="BF"/>
      <w:sz w:val="20"/>
      <w:szCs w:val="24"/>
    </w:rPr>
  </w:style>
  <w:style w:type="paragraph" w:customStyle="1" w:styleId="s32b251d">
    <w:name w:val="s32b251d"/>
    <w:basedOn w:val="Normal"/>
    <w:rsid w:val="00F83E8F"/>
    <w:pPr>
      <w:spacing w:before="100" w:beforeAutospacing="1" w:after="100" w:afterAutospacing="1"/>
    </w:pPr>
    <w:rPr>
      <w:rFonts w:ascii="Times" w:eastAsiaTheme="minorHAnsi" w:hAnsi="Times" w:cstheme="minorBidi"/>
      <w:noProof/>
      <w:sz w:val="20"/>
      <w:szCs w:val="20"/>
      <w:lang w:eastAsia="es-ES"/>
    </w:rPr>
  </w:style>
  <w:style w:type="paragraph" w:customStyle="1" w:styleId="Estilo4">
    <w:name w:val="Estilo4"/>
    <w:basedOn w:val="Prrafodelista"/>
    <w:link w:val="Estilo4Car"/>
    <w:qFormat/>
    <w:rsid w:val="00F83E8F"/>
    <w:pPr>
      <w:numPr>
        <w:numId w:val="29"/>
      </w:numPr>
      <w:spacing w:after="120"/>
      <w:ind w:left="0" w:firstLine="357"/>
      <w:contextualSpacing w:val="0"/>
      <w:jc w:val="both"/>
    </w:pPr>
    <w:rPr>
      <w:rFonts w:ascii="Verdana" w:eastAsia="Times New Roman" w:hAnsi="Verdana"/>
      <w:spacing w:val="-2"/>
      <w:sz w:val="20"/>
      <w:szCs w:val="20"/>
      <w:lang w:val="es-CR"/>
    </w:rPr>
  </w:style>
  <w:style w:type="character" w:customStyle="1" w:styleId="Estilo4Car">
    <w:name w:val="Estilo4 Car"/>
    <w:basedOn w:val="Fuentedeprrafopredeter"/>
    <w:link w:val="Estilo4"/>
    <w:rsid w:val="00F83E8F"/>
    <w:rPr>
      <w:rFonts w:ascii="Verdana" w:eastAsia="Times New Roman" w:hAnsi="Verdana" w:cs="Times New Roman"/>
      <w:spacing w:val="-2"/>
      <w:sz w:val="20"/>
      <w:szCs w:val="20"/>
      <w:lang w:val="es-CR"/>
    </w:rPr>
  </w:style>
  <w:style w:type="character" w:styleId="Nmerodepgina">
    <w:name w:val="page number"/>
    <w:basedOn w:val="Fuentedeprrafopredeter"/>
    <w:uiPriority w:val="99"/>
    <w:semiHidden/>
    <w:unhideWhenUsed/>
    <w:rsid w:val="00F83E8F"/>
  </w:style>
  <w:style w:type="character" w:styleId="Hipervnculovisitado">
    <w:name w:val="FollowedHyperlink"/>
    <w:basedOn w:val="Fuentedeprrafopredeter"/>
    <w:uiPriority w:val="99"/>
    <w:semiHidden/>
    <w:unhideWhenUsed/>
    <w:rsid w:val="00F83E8F"/>
    <w:rPr>
      <w:color w:val="800080" w:themeColor="followedHyperlink"/>
      <w:u w:val="single"/>
    </w:rPr>
  </w:style>
  <w:style w:type="character" w:styleId="Mencinsinresolver">
    <w:name w:val="Unresolved Mention"/>
    <w:basedOn w:val="Fuentedeprrafopredeter"/>
    <w:uiPriority w:val="99"/>
    <w:semiHidden/>
    <w:unhideWhenUsed/>
    <w:rsid w:val="00BC466E"/>
    <w:rPr>
      <w:color w:val="605E5C"/>
      <w:shd w:val="clear" w:color="auto" w:fill="E1DFDD"/>
    </w:rPr>
  </w:style>
  <w:style w:type="character" w:customStyle="1" w:styleId="e24kjd">
    <w:name w:val="e24kjd"/>
    <w:basedOn w:val="Fuentedeprrafopredeter"/>
    <w:rsid w:val="00097299"/>
  </w:style>
  <w:style w:type="character" w:customStyle="1" w:styleId="st">
    <w:name w:val="st"/>
    <w:basedOn w:val="Fuentedeprrafopredeter"/>
    <w:rsid w:val="00D859A4"/>
  </w:style>
  <w:style w:type="character" w:customStyle="1" w:styleId="highlight">
    <w:name w:val="highlight"/>
    <w:basedOn w:val="Fuentedeprrafopredeter"/>
    <w:rsid w:val="00C32ECE"/>
  </w:style>
  <w:style w:type="character" w:customStyle="1" w:styleId="tagtrans">
    <w:name w:val="tag_trans"/>
    <w:basedOn w:val="Fuentedeprrafopredeter"/>
    <w:rsid w:val="0042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324">
      <w:bodyDiv w:val="1"/>
      <w:marLeft w:val="0"/>
      <w:marRight w:val="0"/>
      <w:marTop w:val="0"/>
      <w:marBottom w:val="0"/>
      <w:divBdr>
        <w:top w:val="none" w:sz="0" w:space="0" w:color="auto"/>
        <w:left w:val="none" w:sz="0" w:space="0" w:color="auto"/>
        <w:bottom w:val="none" w:sz="0" w:space="0" w:color="auto"/>
        <w:right w:val="none" w:sz="0" w:space="0" w:color="auto"/>
      </w:divBdr>
    </w:div>
    <w:div w:id="175004509">
      <w:bodyDiv w:val="1"/>
      <w:marLeft w:val="0"/>
      <w:marRight w:val="0"/>
      <w:marTop w:val="0"/>
      <w:marBottom w:val="0"/>
      <w:divBdr>
        <w:top w:val="none" w:sz="0" w:space="0" w:color="auto"/>
        <w:left w:val="none" w:sz="0" w:space="0" w:color="auto"/>
        <w:bottom w:val="none" w:sz="0" w:space="0" w:color="auto"/>
        <w:right w:val="none" w:sz="0" w:space="0" w:color="auto"/>
      </w:divBdr>
    </w:div>
    <w:div w:id="181478829">
      <w:bodyDiv w:val="1"/>
      <w:marLeft w:val="0"/>
      <w:marRight w:val="0"/>
      <w:marTop w:val="0"/>
      <w:marBottom w:val="0"/>
      <w:divBdr>
        <w:top w:val="none" w:sz="0" w:space="0" w:color="auto"/>
        <w:left w:val="none" w:sz="0" w:space="0" w:color="auto"/>
        <w:bottom w:val="none" w:sz="0" w:space="0" w:color="auto"/>
        <w:right w:val="none" w:sz="0" w:space="0" w:color="auto"/>
      </w:divBdr>
    </w:div>
    <w:div w:id="360715920">
      <w:bodyDiv w:val="1"/>
      <w:marLeft w:val="0"/>
      <w:marRight w:val="0"/>
      <w:marTop w:val="0"/>
      <w:marBottom w:val="0"/>
      <w:divBdr>
        <w:top w:val="none" w:sz="0" w:space="0" w:color="auto"/>
        <w:left w:val="none" w:sz="0" w:space="0" w:color="auto"/>
        <w:bottom w:val="none" w:sz="0" w:space="0" w:color="auto"/>
        <w:right w:val="none" w:sz="0" w:space="0" w:color="auto"/>
      </w:divBdr>
    </w:div>
    <w:div w:id="562183454">
      <w:bodyDiv w:val="1"/>
      <w:marLeft w:val="0"/>
      <w:marRight w:val="0"/>
      <w:marTop w:val="0"/>
      <w:marBottom w:val="0"/>
      <w:divBdr>
        <w:top w:val="none" w:sz="0" w:space="0" w:color="auto"/>
        <w:left w:val="none" w:sz="0" w:space="0" w:color="auto"/>
        <w:bottom w:val="none" w:sz="0" w:space="0" w:color="auto"/>
        <w:right w:val="none" w:sz="0" w:space="0" w:color="auto"/>
      </w:divBdr>
    </w:div>
    <w:div w:id="639651739">
      <w:bodyDiv w:val="1"/>
      <w:marLeft w:val="0"/>
      <w:marRight w:val="0"/>
      <w:marTop w:val="0"/>
      <w:marBottom w:val="0"/>
      <w:divBdr>
        <w:top w:val="none" w:sz="0" w:space="0" w:color="auto"/>
        <w:left w:val="none" w:sz="0" w:space="0" w:color="auto"/>
        <w:bottom w:val="none" w:sz="0" w:space="0" w:color="auto"/>
        <w:right w:val="none" w:sz="0" w:space="0" w:color="auto"/>
      </w:divBdr>
    </w:div>
    <w:div w:id="675379822">
      <w:bodyDiv w:val="1"/>
      <w:marLeft w:val="0"/>
      <w:marRight w:val="0"/>
      <w:marTop w:val="0"/>
      <w:marBottom w:val="0"/>
      <w:divBdr>
        <w:top w:val="none" w:sz="0" w:space="0" w:color="auto"/>
        <w:left w:val="none" w:sz="0" w:space="0" w:color="auto"/>
        <w:bottom w:val="none" w:sz="0" w:space="0" w:color="auto"/>
        <w:right w:val="none" w:sz="0" w:space="0" w:color="auto"/>
      </w:divBdr>
    </w:div>
    <w:div w:id="950207721">
      <w:bodyDiv w:val="1"/>
      <w:marLeft w:val="0"/>
      <w:marRight w:val="0"/>
      <w:marTop w:val="0"/>
      <w:marBottom w:val="0"/>
      <w:divBdr>
        <w:top w:val="none" w:sz="0" w:space="0" w:color="auto"/>
        <w:left w:val="none" w:sz="0" w:space="0" w:color="auto"/>
        <w:bottom w:val="none" w:sz="0" w:space="0" w:color="auto"/>
        <w:right w:val="none" w:sz="0" w:space="0" w:color="auto"/>
      </w:divBdr>
    </w:div>
    <w:div w:id="975454369">
      <w:bodyDiv w:val="1"/>
      <w:marLeft w:val="0"/>
      <w:marRight w:val="0"/>
      <w:marTop w:val="0"/>
      <w:marBottom w:val="0"/>
      <w:divBdr>
        <w:top w:val="none" w:sz="0" w:space="0" w:color="auto"/>
        <w:left w:val="none" w:sz="0" w:space="0" w:color="auto"/>
        <w:bottom w:val="none" w:sz="0" w:space="0" w:color="auto"/>
        <w:right w:val="none" w:sz="0" w:space="0" w:color="auto"/>
      </w:divBdr>
    </w:div>
    <w:div w:id="989795448">
      <w:bodyDiv w:val="1"/>
      <w:marLeft w:val="0"/>
      <w:marRight w:val="0"/>
      <w:marTop w:val="0"/>
      <w:marBottom w:val="0"/>
      <w:divBdr>
        <w:top w:val="none" w:sz="0" w:space="0" w:color="auto"/>
        <w:left w:val="none" w:sz="0" w:space="0" w:color="auto"/>
        <w:bottom w:val="none" w:sz="0" w:space="0" w:color="auto"/>
        <w:right w:val="none" w:sz="0" w:space="0" w:color="auto"/>
      </w:divBdr>
    </w:div>
    <w:div w:id="1142502736">
      <w:bodyDiv w:val="1"/>
      <w:marLeft w:val="0"/>
      <w:marRight w:val="0"/>
      <w:marTop w:val="0"/>
      <w:marBottom w:val="0"/>
      <w:divBdr>
        <w:top w:val="none" w:sz="0" w:space="0" w:color="auto"/>
        <w:left w:val="none" w:sz="0" w:space="0" w:color="auto"/>
        <w:bottom w:val="none" w:sz="0" w:space="0" w:color="auto"/>
        <w:right w:val="none" w:sz="0" w:space="0" w:color="auto"/>
      </w:divBdr>
      <w:divsChild>
        <w:div w:id="119460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2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989393">
      <w:bodyDiv w:val="1"/>
      <w:marLeft w:val="0"/>
      <w:marRight w:val="0"/>
      <w:marTop w:val="0"/>
      <w:marBottom w:val="0"/>
      <w:divBdr>
        <w:top w:val="none" w:sz="0" w:space="0" w:color="auto"/>
        <w:left w:val="none" w:sz="0" w:space="0" w:color="auto"/>
        <w:bottom w:val="none" w:sz="0" w:space="0" w:color="auto"/>
        <w:right w:val="none" w:sz="0" w:space="0" w:color="auto"/>
      </w:divBdr>
    </w:div>
    <w:div w:id="1309167369">
      <w:bodyDiv w:val="1"/>
      <w:marLeft w:val="0"/>
      <w:marRight w:val="0"/>
      <w:marTop w:val="0"/>
      <w:marBottom w:val="0"/>
      <w:divBdr>
        <w:top w:val="none" w:sz="0" w:space="0" w:color="auto"/>
        <w:left w:val="none" w:sz="0" w:space="0" w:color="auto"/>
        <w:bottom w:val="none" w:sz="0" w:space="0" w:color="auto"/>
        <w:right w:val="none" w:sz="0" w:space="0" w:color="auto"/>
      </w:divBdr>
    </w:div>
    <w:div w:id="1357345799">
      <w:bodyDiv w:val="1"/>
      <w:marLeft w:val="0"/>
      <w:marRight w:val="0"/>
      <w:marTop w:val="0"/>
      <w:marBottom w:val="0"/>
      <w:divBdr>
        <w:top w:val="none" w:sz="0" w:space="0" w:color="auto"/>
        <w:left w:val="none" w:sz="0" w:space="0" w:color="auto"/>
        <w:bottom w:val="none" w:sz="0" w:space="0" w:color="auto"/>
        <w:right w:val="none" w:sz="0" w:space="0" w:color="auto"/>
      </w:divBdr>
    </w:div>
    <w:div w:id="1403139141">
      <w:bodyDiv w:val="1"/>
      <w:marLeft w:val="0"/>
      <w:marRight w:val="0"/>
      <w:marTop w:val="0"/>
      <w:marBottom w:val="0"/>
      <w:divBdr>
        <w:top w:val="none" w:sz="0" w:space="0" w:color="auto"/>
        <w:left w:val="none" w:sz="0" w:space="0" w:color="auto"/>
        <w:bottom w:val="none" w:sz="0" w:space="0" w:color="auto"/>
        <w:right w:val="none" w:sz="0" w:space="0" w:color="auto"/>
      </w:divBdr>
    </w:div>
    <w:div w:id="1450198720">
      <w:bodyDiv w:val="1"/>
      <w:marLeft w:val="0"/>
      <w:marRight w:val="0"/>
      <w:marTop w:val="0"/>
      <w:marBottom w:val="0"/>
      <w:divBdr>
        <w:top w:val="none" w:sz="0" w:space="0" w:color="auto"/>
        <w:left w:val="none" w:sz="0" w:space="0" w:color="auto"/>
        <w:bottom w:val="none" w:sz="0" w:space="0" w:color="auto"/>
        <w:right w:val="none" w:sz="0" w:space="0" w:color="auto"/>
      </w:divBdr>
    </w:div>
    <w:div w:id="1480687379">
      <w:bodyDiv w:val="1"/>
      <w:marLeft w:val="0"/>
      <w:marRight w:val="0"/>
      <w:marTop w:val="0"/>
      <w:marBottom w:val="0"/>
      <w:divBdr>
        <w:top w:val="none" w:sz="0" w:space="0" w:color="auto"/>
        <w:left w:val="none" w:sz="0" w:space="0" w:color="auto"/>
        <w:bottom w:val="none" w:sz="0" w:space="0" w:color="auto"/>
        <w:right w:val="none" w:sz="0" w:space="0" w:color="auto"/>
      </w:divBdr>
    </w:div>
    <w:div w:id="1533181791">
      <w:bodyDiv w:val="1"/>
      <w:marLeft w:val="0"/>
      <w:marRight w:val="0"/>
      <w:marTop w:val="0"/>
      <w:marBottom w:val="0"/>
      <w:divBdr>
        <w:top w:val="none" w:sz="0" w:space="0" w:color="auto"/>
        <w:left w:val="none" w:sz="0" w:space="0" w:color="auto"/>
        <w:bottom w:val="none" w:sz="0" w:space="0" w:color="auto"/>
        <w:right w:val="none" w:sz="0" w:space="0" w:color="auto"/>
      </w:divBdr>
      <w:divsChild>
        <w:div w:id="89591561">
          <w:marLeft w:val="0"/>
          <w:marRight w:val="0"/>
          <w:marTop w:val="0"/>
          <w:marBottom w:val="0"/>
          <w:divBdr>
            <w:top w:val="none" w:sz="0" w:space="0" w:color="auto"/>
            <w:left w:val="none" w:sz="0" w:space="0" w:color="auto"/>
            <w:bottom w:val="none" w:sz="0" w:space="0" w:color="auto"/>
            <w:right w:val="none" w:sz="0" w:space="0" w:color="auto"/>
          </w:divBdr>
          <w:divsChild>
            <w:div w:id="535898962">
              <w:marLeft w:val="0"/>
              <w:marRight w:val="0"/>
              <w:marTop w:val="0"/>
              <w:marBottom w:val="0"/>
              <w:divBdr>
                <w:top w:val="none" w:sz="0" w:space="0" w:color="auto"/>
                <w:left w:val="none" w:sz="0" w:space="0" w:color="auto"/>
                <w:bottom w:val="none" w:sz="0" w:space="0" w:color="auto"/>
                <w:right w:val="none" w:sz="0" w:space="0" w:color="auto"/>
              </w:divBdr>
              <w:divsChild>
                <w:div w:id="1582910984">
                  <w:marLeft w:val="0"/>
                  <w:marRight w:val="0"/>
                  <w:marTop w:val="0"/>
                  <w:marBottom w:val="0"/>
                  <w:divBdr>
                    <w:top w:val="none" w:sz="0" w:space="0" w:color="auto"/>
                    <w:left w:val="none" w:sz="0" w:space="0" w:color="auto"/>
                    <w:bottom w:val="none" w:sz="0" w:space="0" w:color="auto"/>
                    <w:right w:val="none" w:sz="0" w:space="0" w:color="auto"/>
                  </w:divBdr>
                  <w:divsChild>
                    <w:div w:id="1524321935">
                      <w:marLeft w:val="0"/>
                      <w:marRight w:val="0"/>
                      <w:marTop w:val="0"/>
                      <w:marBottom w:val="0"/>
                      <w:divBdr>
                        <w:top w:val="none" w:sz="0" w:space="0" w:color="auto"/>
                        <w:left w:val="none" w:sz="0" w:space="0" w:color="auto"/>
                        <w:bottom w:val="none" w:sz="0" w:space="0" w:color="auto"/>
                        <w:right w:val="none" w:sz="0" w:space="0" w:color="auto"/>
                      </w:divBdr>
                      <w:divsChild>
                        <w:div w:id="2049644518">
                          <w:marLeft w:val="0"/>
                          <w:marRight w:val="0"/>
                          <w:marTop w:val="0"/>
                          <w:marBottom w:val="0"/>
                          <w:divBdr>
                            <w:top w:val="none" w:sz="0" w:space="0" w:color="auto"/>
                            <w:left w:val="none" w:sz="0" w:space="0" w:color="auto"/>
                            <w:bottom w:val="none" w:sz="0" w:space="0" w:color="auto"/>
                            <w:right w:val="none" w:sz="0" w:space="0" w:color="auto"/>
                          </w:divBdr>
                          <w:divsChild>
                            <w:div w:id="2095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11213">
      <w:bodyDiv w:val="1"/>
      <w:marLeft w:val="0"/>
      <w:marRight w:val="0"/>
      <w:marTop w:val="0"/>
      <w:marBottom w:val="0"/>
      <w:divBdr>
        <w:top w:val="none" w:sz="0" w:space="0" w:color="auto"/>
        <w:left w:val="none" w:sz="0" w:space="0" w:color="auto"/>
        <w:bottom w:val="none" w:sz="0" w:space="0" w:color="auto"/>
        <w:right w:val="none" w:sz="0" w:space="0" w:color="auto"/>
      </w:divBdr>
    </w:div>
    <w:div w:id="1780248634">
      <w:bodyDiv w:val="1"/>
      <w:marLeft w:val="0"/>
      <w:marRight w:val="0"/>
      <w:marTop w:val="0"/>
      <w:marBottom w:val="0"/>
      <w:divBdr>
        <w:top w:val="none" w:sz="0" w:space="0" w:color="auto"/>
        <w:left w:val="none" w:sz="0" w:space="0" w:color="auto"/>
        <w:bottom w:val="none" w:sz="0" w:space="0" w:color="auto"/>
        <w:right w:val="none" w:sz="0" w:space="0" w:color="auto"/>
      </w:divBdr>
    </w:div>
    <w:div w:id="1956859884">
      <w:bodyDiv w:val="1"/>
      <w:marLeft w:val="0"/>
      <w:marRight w:val="0"/>
      <w:marTop w:val="0"/>
      <w:marBottom w:val="0"/>
      <w:divBdr>
        <w:top w:val="none" w:sz="0" w:space="0" w:color="auto"/>
        <w:left w:val="none" w:sz="0" w:space="0" w:color="auto"/>
        <w:bottom w:val="none" w:sz="0" w:space="0" w:color="auto"/>
        <w:right w:val="none" w:sz="0" w:space="0" w:color="auto"/>
      </w:divBdr>
    </w:div>
    <w:div w:id="2002998010">
      <w:bodyDiv w:val="1"/>
      <w:marLeft w:val="0"/>
      <w:marRight w:val="0"/>
      <w:marTop w:val="0"/>
      <w:marBottom w:val="0"/>
      <w:divBdr>
        <w:top w:val="none" w:sz="0" w:space="0" w:color="auto"/>
        <w:left w:val="none" w:sz="0" w:space="0" w:color="auto"/>
        <w:bottom w:val="none" w:sz="0" w:space="0" w:color="auto"/>
        <w:right w:val="none" w:sz="0" w:space="0" w:color="auto"/>
      </w:divBdr>
    </w:div>
    <w:div w:id="2010331251">
      <w:bodyDiv w:val="1"/>
      <w:marLeft w:val="0"/>
      <w:marRight w:val="0"/>
      <w:marTop w:val="0"/>
      <w:marBottom w:val="0"/>
      <w:divBdr>
        <w:top w:val="none" w:sz="0" w:space="0" w:color="auto"/>
        <w:left w:val="none" w:sz="0" w:space="0" w:color="auto"/>
        <w:bottom w:val="none" w:sz="0" w:space="0" w:color="auto"/>
        <w:right w:val="none" w:sz="0" w:space="0" w:color="auto"/>
      </w:divBdr>
    </w:div>
    <w:div w:id="2113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guee.es/ingles-espanol/traduccion/vis-%C3%A0-vi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eru.justia.com/federales/decretos-leyes/18350-jul-27-1970/gdoc/" TargetMode="External"/><Relationship Id="rId7" Type="http://schemas.openxmlformats.org/officeDocument/2006/relationships/hyperlink" Target="http://dle.rae.es" TargetMode="External"/><Relationship Id="rId2" Type="http://schemas.openxmlformats.org/officeDocument/2006/relationships/hyperlink" Target="http://www.corteidh.or.cr/docs/asuntos/%20lagos_21_11_16.pdf" TargetMode="External"/><Relationship Id="rId1" Type="http://schemas.openxmlformats.org/officeDocument/2006/relationships/hyperlink" Target="http://www.corteidh.or.cr/docs/asuntos/lagos_fv_16.pdf" TargetMode="External"/><Relationship Id="rId6" Type="http://schemas.openxmlformats.org/officeDocument/2006/relationships/hyperlink" Target="http://www.corteidh.or.cr/docs/%20asuntos/lagos_fv_16.pdf" TargetMode="External"/><Relationship Id="rId5" Type="http://schemas.openxmlformats.org/officeDocument/2006/relationships/hyperlink" Target="http://www.corteidh.or.cr/docs/casos/articulos/seriec_182_esp.pdf" TargetMode="External"/><Relationship Id="rId4" Type="http://schemas.openxmlformats.org/officeDocument/2006/relationships/hyperlink" Target="http://docs.peru.justia.com/federales/decretos-leyes/18384-sep-1-19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D056-FB99-429F-864A-A8E4EABE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E841CC-5D21-443A-BA07-FF53FFFCF4B1}">
  <ds:schemaRefs>
    <ds:schemaRef ds:uri="http://schemas.microsoft.com/office/2006/metadata/properties"/>
  </ds:schemaRefs>
</ds:datastoreItem>
</file>

<file path=customXml/itemProps3.xml><?xml version="1.0" encoding="utf-8"?>
<ds:datastoreItem xmlns:ds="http://schemas.openxmlformats.org/officeDocument/2006/customXml" ds:itemID="{D6B0510B-2154-4936-B6C9-9102AA458871}">
  <ds:schemaRefs>
    <ds:schemaRef ds:uri="http://schemas.microsoft.com/sharepoint/v3/contenttype/forms"/>
  </ds:schemaRefs>
</ds:datastoreItem>
</file>

<file path=customXml/itemProps4.xml><?xml version="1.0" encoding="utf-8"?>
<ds:datastoreItem xmlns:ds="http://schemas.openxmlformats.org/officeDocument/2006/customXml" ds:itemID="{231BE5F1-CF86-43CA-B12B-01ED3002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119</Pages>
  <Words>50379</Words>
  <Characters>277089</Characters>
  <Application>Microsoft Office Word</Application>
  <DocSecurity>0</DocSecurity>
  <Lines>2309</Lines>
  <Paragraphs>653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3</cp:revision>
  <cp:lastPrinted>2020-06-04T21:56:00Z</cp:lastPrinted>
  <dcterms:created xsi:type="dcterms:W3CDTF">2020-06-04T21:55:00Z</dcterms:created>
  <dcterms:modified xsi:type="dcterms:W3CDTF">2020-06-04T23:01:00Z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y fmtid="{D5CDD505-2E9C-101B-9397-08002B2CF9AE}" pid="3" name="_DocHome">
    <vt:i4>-320132752</vt:i4>
  </property>
</Properties>
</file>