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C22E8" w14:textId="1464023D" w:rsidR="00447C65" w:rsidRPr="00D13E32" w:rsidRDefault="00447C65" w:rsidP="00F83E8F">
      <w:pPr>
        <w:rPr>
          <w:rFonts w:ascii="Verdana" w:hAnsi="Verdana"/>
          <w:b/>
          <w:sz w:val="20"/>
          <w:szCs w:val="20"/>
          <w:lang w:val="en-US"/>
        </w:rPr>
      </w:pPr>
    </w:p>
    <w:p w14:paraId="5BB69D79" w14:textId="07C41775" w:rsidR="00447C65" w:rsidRPr="00D13E32" w:rsidRDefault="00447C65" w:rsidP="00F83E8F">
      <w:pPr>
        <w:rPr>
          <w:rFonts w:ascii="Verdana" w:hAnsi="Verdana"/>
          <w:b/>
          <w:sz w:val="20"/>
          <w:szCs w:val="20"/>
          <w:lang w:val="en-US"/>
        </w:rPr>
      </w:pPr>
    </w:p>
    <w:p w14:paraId="08C49795" w14:textId="4EFC06E9" w:rsidR="00447C65" w:rsidRPr="00D13E32" w:rsidRDefault="00E21A02" w:rsidP="00E21A02">
      <w:pPr>
        <w:tabs>
          <w:tab w:val="left" w:pos="2807"/>
        </w:tabs>
        <w:rPr>
          <w:rFonts w:ascii="Verdana" w:hAnsi="Verdana"/>
          <w:b/>
          <w:sz w:val="20"/>
          <w:szCs w:val="20"/>
          <w:lang w:val="en-US"/>
        </w:rPr>
      </w:pPr>
      <w:r w:rsidRPr="00D13E32">
        <w:rPr>
          <w:rFonts w:ascii="Verdana" w:hAnsi="Verdana"/>
          <w:b/>
          <w:sz w:val="20"/>
          <w:szCs w:val="20"/>
          <w:lang w:val="en-US"/>
        </w:rPr>
        <w:tab/>
      </w:r>
    </w:p>
    <w:p w14:paraId="5A1EB612" w14:textId="5D2D1988" w:rsidR="00447C65" w:rsidRPr="00D13E32" w:rsidRDefault="00447C65" w:rsidP="00F83E8F">
      <w:pPr>
        <w:rPr>
          <w:rFonts w:ascii="Verdana" w:hAnsi="Verdana"/>
          <w:b/>
          <w:sz w:val="20"/>
          <w:szCs w:val="20"/>
          <w:lang w:val="en-US"/>
        </w:rPr>
      </w:pPr>
    </w:p>
    <w:p w14:paraId="263960F5" w14:textId="024955B9" w:rsidR="008E0F63" w:rsidRPr="00D13E32" w:rsidRDefault="008E0F63" w:rsidP="00F83E8F">
      <w:pPr>
        <w:rPr>
          <w:rFonts w:ascii="Verdana" w:hAnsi="Verdana"/>
          <w:b/>
          <w:sz w:val="20"/>
          <w:szCs w:val="20"/>
          <w:lang w:val="en-US"/>
        </w:rPr>
      </w:pPr>
    </w:p>
    <w:p w14:paraId="526A4EF5" w14:textId="5363E20D" w:rsidR="008E0F63" w:rsidRPr="00D13E32" w:rsidRDefault="008E0F63" w:rsidP="00F83E8F">
      <w:pPr>
        <w:rPr>
          <w:rFonts w:ascii="Verdana" w:hAnsi="Verdana"/>
          <w:b/>
          <w:sz w:val="20"/>
          <w:szCs w:val="20"/>
          <w:lang w:val="en-US"/>
        </w:rPr>
      </w:pPr>
    </w:p>
    <w:p w14:paraId="39E3DD6C" w14:textId="75B243C2" w:rsidR="008E0F63" w:rsidRPr="00D13E32" w:rsidRDefault="008E0F63" w:rsidP="00F83E8F">
      <w:pPr>
        <w:rPr>
          <w:rFonts w:ascii="Verdana" w:hAnsi="Verdana"/>
          <w:b/>
          <w:sz w:val="20"/>
          <w:szCs w:val="20"/>
          <w:lang w:val="en-US"/>
        </w:rPr>
      </w:pPr>
    </w:p>
    <w:p w14:paraId="52DE6D46" w14:textId="77777777" w:rsidR="008E0F63" w:rsidRPr="00D13E32" w:rsidRDefault="008E0F63" w:rsidP="00F83E8F">
      <w:pPr>
        <w:rPr>
          <w:rFonts w:ascii="Verdana" w:hAnsi="Verdana"/>
          <w:b/>
          <w:sz w:val="20"/>
          <w:szCs w:val="20"/>
          <w:lang w:val="en-US"/>
        </w:rPr>
      </w:pPr>
    </w:p>
    <w:p w14:paraId="54BCD8A0" w14:textId="77777777" w:rsidR="006F79F4" w:rsidRPr="00D13E32" w:rsidRDefault="006F79F4" w:rsidP="00F83E8F">
      <w:pPr>
        <w:rPr>
          <w:rFonts w:ascii="Verdana" w:hAnsi="Verdana"/>
          <w:b/>
          <w:sz w:val="20"/>
          <w:szCs w:val="20"/>
          <w:lang w:val="en-US"/>
        </w:rPr>
      </w:pPr>
    </w:p>
    <w:p w14:paraId="6BCF4C43" w14:textId="6663E8FF" w:rsidR="006F79F4" w:rsidRPr="00D869E3" w:rsidRDefault="00447C65" w:rsidP="006F79F4">
      <w:pPr>
        <w:jc w:val="center"/>
        <w:rPr>
          <w:rFonts w:ascii="Verdana" w:hAnsi="Verdana"/>
          <w:b/>
          <w:sz w:val="20"/>
          <w:szCs w:val="20"/>
          <w:lang w:val="en-US"/>
        </w:rPr>
      </w:pPr>
      <w:r w:rsidRPr="00D869E3">
        <w:rPr>
          <w:rFonts w:ascii="Verdana" w:hAnsi="Verdana"/>
          <w:b/>
          <w:sz w:val="20"/>
          <w:szCs w:val="20"/>
          <w:lang w:val="en-US"/>
        </w:rPr>
        <w:t>INTER-AMERICAN COURT OF HUMAN RIGHTS</w:t>
      </w:r>
    </w:p>
    <w:p w14:paraId="0AAD93E3" w14:textId="77777777" w:rsidR="006F79F4" w:rsidRPr="00D869E3" w:rsidRDefault="006F79F4" w:rsidP="006F79F4">
      <w:pPr>
        <w:rPr>
          <w:rFonts w:ascii="Verdana" w:hAnsi="Verdana"/>
          <w:b/>
          <w:sz w:val="20"/>
          <w:szCs w:val="20"/>
          <w:lang w:val="en-US"/>
        </w:rPr>
      </w:pPr>
    </w:p>
    <w:p w14:paraId="400F345F" w14:textId="435CC0F3" w:rsidR="006F79F4" w:rsidRPr="00D869E3" w:rsidRDefault="006F79F4" w:rsidP="006F79F4">
      <w:pPr>
        <w:tabs>
          <w:tab w:val="left" w:pos="851"/>
          <w:tab w:val="left" w:pos="1701"/>
          <w:tab w:val="left" w:pos="3544"/>
          <w:tab w:val="left" w:pos="3696"/>
        </w:tabs>
        <w:jc w:val="center"/>
        <w:rPr>
          <w:rFonts w:ascii="Verdana" w:hAnsi="Verdana"/>
          <w:b/>
          <w:sz w:val="20"/>
          <w:szCs w:val="20"/>
          <w:lang w:val="es-CR"/>
        </w:rPr>
      </w:pPr>
      <w:r w:rsidRPr="00D869E3">
        <w:rPr>
          <w:rFonts w:ascii="Verdana" w:hAnsi="Verdana"/>
          <w:b/>
          <w:sz w:val="20"/>
          <w:szCs w:val="20"/>
          <w:lang w:val="es-CR"/>
        </w:rPr>
        <w:t>CAS</w:t>
      </w:r>
      <w:r w:rsidR="00447C65" w:rsidRPr="00D869E3">
        <w:rPr>
          <w:rFonts w:ascii="Verdana" w:hAnsi="Verdana"/>
          <w:b/>
          <w:sz w:val="20"/>
          <w:szCs w:val="20"/>
          <w:lang w:val="es-CR"/>
        </w:rPr>
        <w:t>E OF</w:t>
      </w:r>
      <w:r w:rsidRPr="00D869E3">
        <w:rPr>
          <w:rFonts w:ascii="Verdana" w:hAnsi="Verdana"/>
          <w:b/>
          <w:sz w:val="20"/>
          <w:szCs w:val="20"/>
          <w:lang w:val="es-CR"/>
        </w:rPr>
        <w:t xml:space="preserve"> LAGOS DEL CAMPO </w:t>
      </w:r>
      <w:r w:rsidR="00447C65" w:rsidRPr="00D869E3">
        <w:rPr>
          <w:rFonts w:ascii="Verdana" w:hAnsi="Verdana"/>
          <w:b/>
          <w:i/>
          <w:sz w:val="20"/>
          <w:szCs w:val="20"/>
          <w:lang w:val="es-CR"/>
        </w:rPr>
        <w:t>v.</w:t>
      </w:r>
      <w:r w:rsidRPr="00D869E3">
        <w:rPr>
          <w:rFonts w:ascii="Verdana" w:hAnsi="Verdana"/>
          <w:b/>
          <w:i/>
          <w:sz w:val="20"/>
          <w:szCs w:val="20"/>
          <w:lang w:val="es-CR"/>
        </w:rPr>
        <w:t xml:space="preserve"> </w:t>
      </w:r>
      <w:r w:rsidR="00447C65" w:rsidRPr="00D869E3">
        <w:rPr>
          <w:rFonts w:ascii="Verdana" w:hAnsi="Verdana"/>
          <w:b/>
          <w:sz w:val="20"/>
          <w:szCs w:val="20"/>
          <w:lang w:val="es-CR"/>
        </w:rPr>
        <w:t>PERU</w:t>
      </w:r>
    </w:p>
    <w:p w14:paraId="2258F03D" w14:textId="77777777" w:rsidR="006F79F4" w:rsidRPr="00D869E3" w:rsidRDefault="006F79F4" w:rsidP="006F79F4">
      <w:pPr>
        <w:tabs>
          <w:tab w:val="left" w:pos="5580"/>
          <w:tab w:val="left" w:pos="6750"/>
        </w:tabs>
        <w:jc w:val="center"/>
        <w:rPr>
          <w:rFonts w:ascii="Verdana" w:hAnsi="Verdana"/>
          <w:b/>
          <w:sz w:val="20"/>
          <w:szCs w:val="20"/>
          <w:lang w:val="es-CR"/>
        </w:rPr>
      </w:pPr>
    </w:p>
    <w:p w14:paraId="490511D3" w14:textId="60232C60" w:rsidR="006F79F4" w:rsidRPr="00D869E3" w:rsidRDefault="00447C65" w:rsidP="006F79F4">
      <w:pPr>
        <w:jc w:val="center"/>
        <w:rPr>
          <w:rFonts w:ascii="Verdana" w:hAnsi="Verdana"/>
          <w:b/>
          <w:sz w:val="20"/>
          <w:szCs w:val="20"/>
          <w:lang w:val="en-US"/>
        </w:rPr>
      </w:pPr>
      <w:r w:rsidRPr="00D869E3">
        <w:rPr>
          <w:rFonts w:ascii="Verdana" w:hAnsi="Verdana"/>
          <w:b/>
          <w:sz w:val="20"/>
          <w:szCs w:val="20"/>
          <w:lang w:val="en-US"/>
        </w:rPr>
        <w:t>JUDGMENT OF</w:t>
      </w:r>
      <w:r w:rsidR="006F79F4" w:rsidRPr="00D869E3">
        <w:rPr>
          <w:rFonts w:ascii="Verdana" w:hAnsi="Verdana"/>
          <w:b/>
          <w:sz w:val="20"/>
          <w:szCs w:val="20"/>
          <w:lang w:val="en-US"/>
        </w:rPr>
        <w:t xml:space="preserve"> </w:t>
      </w:r>
      <w:r w:rsidRPr="00D869E3">
        <w:rPr>
          <w:rFonts w:ascii="Verdana" w:hAnsi="Verdana"/>
          <w:b/>
          <w:sz w:val="20"/>
          <w:szCs w:val="20"/>
          <w:lang w:val="en-US"/>
        </w:rPr>
        <w:t>AUGUST 31,</w:t>
      </w:r>
      <w:r w:rsidR="006F79F4" w:rsidRPr="00D869E3">
        <w:rPr>
          <w:rFonts w:ascii="Verdana" w:hAnsi="Verdana"/>
          <w:b/>
          <w:sz w:val="20"/>
          <w:szCs w:val="20"/>
          <w:lang w:val="en-US"/>
        </w:rPr>
        <w:t xml:space="preserve"> 2017</w:t>
      </w:r>
    </w:p>
    <w:p w14:paraId="6289B84C" w14:textId="77777777" w:rsidR="006F79F4" w:rsidRPr="00D869E3" w:rsidRDefault="006F79F4" w:rsidP="006F79F4">
      <w:pPr>
        <w:jc w:val="center"/>
        <w:rPr>
          <w:rFonts w:ascii="Verdana" w:hAnsi="Verdana"/>
          <w:b/>
          <w:sz w:val="20"/>
          <w:szCs w:val="20"/>
          <w:lang w:val="en-US"/>
        </w:rPr>
      </w:pPr>
      <w:r w:rsidRPr="00D869E3">
        <w:rPr>
          <w:rFonts w:ascii="Verdana" w:hAnsi="Verdana"/>
          <w:b/>
          <w:sz w:val="20"/>
          <w:szCs w:val="20"/>
          <w:lang w:val="en-US"/>
        </w:rPr>
        <w:t xml:space="preserve"> </w:t>
      </w:r>
    </w:p>
    <w:p w14:paraId="587023FC" w14:textId="24A280E7" w:rsidR="006F79F4" w:rsidRPr="00D869E3" w:rsidRDefault="006F79F4" w:rsidP="006F79F4">
      <w:pPr>
        <w:jc w:val="center"/>
        <w:rPr>
          <w:rFonts w:ascii="Verdana" w:hAnsi="Verdana"/>
          <w:b/>
          <w:i/>
          <w:sz w:val="20"/>
          <w:szCs w:val="20"/>
          <w:lang w:val="en-US"/>
        </w:rPr>
      </w:pPr>
      <w:r w:rsidRPr="00D869E3">
        <w:rPr>
          <w:rFonts w:ascii="Verdana" w:hAnsi="Verdana"/>
          <w:b/>
          <w:i/>
          <w:sz w:val="20"/>
          <w:szCs w:val="20"/>
          <w:lang w:val="en-US"/>
        </w:rPr>
        <w:t>(</w:t>
      </w:r>
      <w:r w:rsidR="00447C65" w:rsidRPr="00D869E3">
        <w:rPr>
          <w:rFonts w:ascii="Verdana" w:hAnsi="Verdana"/>
          <w:b/>
          <w:i/>
          <w:sz w:val="20"/>
          <w:szCs w:val="20"/>
          <w:lang w:val="en-US"/>
        </w:rPr>
        <w:t>Preliminary objections, merits, reparations and costs</w:t>
      </w:r>
      <w:r w:rsidRPr="00D869E3">
        <w:rPr>
          <w:rFonts w:ascii="Verdana" w:hAnsi="Verdana"/>
          <w:b/>
          <w:i/>
          <w:sz w:val="20"/>
          <w:szCs w:val="20"/>
          <w:lang w:val="en-US"/>
        </w:rPr>
        <w:t>)</w:t>
      </w:r>
    </w:p>
    <w:p w14:paraId="6121555C" w14:textId="77777777" w:rsidR="006F79F4" w:rsidRPr="00D869E3" w:rsidRDefault="006F79F4" w:rsidP="006F79F4">
      <w:pPr>
        <w:jc w:val="both"/>
        <w:rPr>
          <w:rFonts w:ascii="Verdana" w:hAnsi="Verdana"/>
          <w:sz w:val="20"/>
          <w:szCs w:val="20"/>
          <w:lang w:val="en-US"/>
        </w:rPr>
      </w:pPr>
    </w:p>
    <w:p w14:paraId="56D489F4" w14:textId="673BC833" w:rsidR="006F79F4" w:rsidRPr="00D869E3" w:rsidRDefault="006F79F4" w:rsidP="006F79F4">
      <w:pPr>
        <w:jc w:val="both"/>
        <w:rPr>
          <w:rFonts w:ascii="Verdana" w:hAnsi="Verdana"/>
          <w:sz w:val="20"/>
          <w:szCs w:val="20"/>
          <w:lang w:val="en-US"/>
        </w:rPr>
      </w:pPr>
    </w:p>
    <w:p w14:paraId="7B7C296F" w14:textId="654E9084" w:rsidR="00447C65" w:rsidRPr="00D869E3" w:rsidRDefault="00447C65" w:rsidP="006F79F4">
      <w:pPr>
        <w:jc w:val="both"/>
        <w:rPr>
          <w:rFonts w:ascii="Verdana" w:hAnsi="Verdana"/>
          <w:sz w:val="20"/>
          <w:szCs w:val="20"/>
          <w:lang w:val="en-US"/>
        </w:rPr>
      </w:pPr>
    </w:p>
    <w:p w14:paraId="120B0846" w14:textId="4C49239F" w:rsidR="00447C65" w:rsidRPr="00D869E3" w:rsidRDefault="00447C65" w:rsidP="006F79F4">
      <w:pPr>
        <w:jc w:val="both"/>
        <w:rPr>
          <w:rFonts w:ascii="Verdana" w:hAnsi="Verdana"/>
          <w:sz w:val="20"/>
          <w:szCs w:val="20"/>
          <w:lang w:val="en-US"/>
        </w:rPr>
      </w:pPr>
    </w:p>
    <w:p w14:paraId="2CE85B76" w14:textId="69098965" w:rsidR="00447C65" w:rsidRPr="00D869E3" w:rsidRDefault="00447C65" w:rsidP="006F79F4">
      <w:pPr>
        <w:jc w:val="both"/>
        <w:rPr>
          <w:rFonts w:ascii="Verdana" w:hAnsi="Verdana"/>
          <w:sz w:val="20"/>
          <w:szCs w:val="20"/>
          <w:lang w:val="en-US"/>
        </w:rPr>
      </w:pPr>
    </w:p>
    <w:p w14:paraId="2DE8C521" w14:textId="77777777" w:rsidR="00447C65" w:rsidRPr="00D869E3" w:rsidRDefault="00447C65" w:rsidP="006F79F4">
      <w:pPr>
        <w:jc w:val="both"/>
        <w:rPr>
          <w:rFonts w:ascii="Verdana" w:hAnsi="Verdana"/>
          <w:sz w:val="20"/>
          <w:szCs w:val="20"/>
          <w:lang w:val="en-US"/>
        </w:rPr>
      </w:pPr>
    </w:p>
    <w:p w14:paraId="32BD462F" w14:textId="77777777" w:rsidR="006F79F4" w:rsidRPr="00D869E3" w:rsidRDefault="006F79F4" w:rsidP="006F79F4">
      <w:pPr>
        <w:jc w:val="both"/>
        <w:rPr>
          <w:rFonts w:ascii="Verdana" w:hAnsi="Verdana"/>
          <w:sz w:val="20"/>
          <w:szCs w:val="20"/>
          <w:lang w:val="en-US"/>
        </w:rPr>
      </w:pPr>
    </w:p>
    <w:p w14:paraId="223A4C2C" w14:textId="494AED9E" w:rsidR="006F79F4" w:rsidRPr="00D869E3" w:rsidRDefault="00447C65" w:rsidP="006F79F4">
      <w:pPr>
        <w:ind w:left="1440" w:hanging="1440"/>
        <w:jc w:val="both"/>
        <w:rPr>
          <w:rFonts w:ascii="Verdana" w:hAnsi="Verdana"/>
          <w:sz w:val="20"/>
          <w:szCs w:val="20"/>
          <w:lang w:val="en-US"/>
        </w:rPr>
      </w:pPr>
      <w:r w:rsidRPr="00D869E3">
        <w:rPr>
          <w:rFonts w:ascii="Verdana" w:hAnsi="Verdana"/>
          <w:sz w:val="20"/>
          <w:szCs w:val="20"/>
          <w:lang w:val="en-US"/>
        </w:rPr>
        <w:t>In the case of</w:t>
      </w:r>
      <w:r w:rsidR="006F79F4" w:rsidRPr="00D869E3">
        <w:rPr>
          <w:rFonts w:ascii="Verdana" w:hAnsi="Verdana"/>
          <w:sz w:val="20"/>
          <w:szCs w:val="20"/>
          <w:lang w:val="en-US"/>
        </w:rPr>
        <w:t xml:space="preserve"> </w:t>
      </w:r>
      <w:r w:rsidR="006F79F4" w:rsidRPr="00D869E3">
        <w:rPr>
          <w:rFonts w:ascii="Verdana" w:hAnsi="Verdana"/>
          <w:i/>
          <w:sz w:val="20"/>
          <w:szCs w:val="20"/>
          <w:lang w:val="en-US"/>
        </w:rPr>
        <w:t>Lagos del Campo</w:t>
      </w:r>
      <w:r w:rsidR="006F79F4" w:rsidRPr="00D869E3">
        <w:rPr>
          <w:rFonts w:ascii="Verdana" w:hAnsi="Verdana"/>
          <w:sz w:val="20"/>
          <w:szCs w:val="20"/>
          <w:lang w:val="en-US"/>
        </w:rPr>
        <w:t>,</w:t>
      </w:r>
    </w:p>
    <w:p w14:paraId="3188F852" w14:textId="77777777" w:rsidR="006F79F4" w:rsidRPr="00D869E3" w:rsidRDefault="006F79F4" w:rsidP="006F79F4">
      <w:pPr>
        <w:jc w:val="both"/>
        <w:rPr>
          <w:rFonts w:ascii="Verdana" w:hAnsi="Verdana"/>
          <w:sz w:val="20"/>
          <w:szCs w:val="20"/>
          <w:lang w:val="en-US"/>
        </w:rPr>
      </w:pPr>
    </w:p>
    <w:p w14:paraId="6EAB2E70" w14:textId="0D55249A" w:rsidR="006F79F4" w:rsidRPr="00D869E3" w:rsidRDefault="00447C65" w:rsidP="006F79F4">
      <w:pPr>
        <w:jc w:val="both"/>
        <w:rPr>
          <w:rFonts w:ascii="Verdana" w:hAnsi="Verdana"/>
          <w:sz w:val="20"/>
          <w:szCs w:val="20"/>
          <w:lang w:val="en-US"/>
        </w:rPr>
      </w:pPr>
      <w:r w:rsidRPr="00D869E3">
        <w:rPr>
          <w:rFonts w:ascii="Verdana" w:hAnsi="Verdana"/>
          <w:sz w:val="20"/>
          <w:szCs w:val="20"/>
          <w:lang w:val="en-US"/>
        </w:rPr>
        <w:t>the Inter-American Court of Human Rights</w:t>
      </w:r>
      <w:r w:rsidR="006F79F4" w:rsidRPr="00D869E3">
        <w:rPr>
          <w:rFonts w:ascii="Verdana" w:hAnsi="Verdana"/>
          <w:sz w:val="20"/>
          <w:szCs w:val="20"/>
          <w:lang w:val="en-US"/>
        </w:rPr>
        <w:t xml:space="preserve"> (</w:t>
      </w:r>
      <w:r w:rsidRPr="00D869E3">
        <w:rPr>
          <w:rFonts w:ascii="Verdana" w:hAnsi="Verdana"/>
          <w:sz w:val="20"/>
          <w:szCs w:val="20"/>
          <w:lang w:val="en-US"/>
        </w:rPr>
        <w:t>hereinafter</w:t>
      </w:r>
      <w:r w:rsidR="006F79F4" w:rsidRPr="00D869E3">
        <w:rPr>
          <w:rFonts w:ascii="Verdana" w:hAnsi="Verdana"/>
          <w:sz w:val="20"/>
          <w:szCs w:val="20"/>
          <w:lang w:val="en-US"/>
        </w:rPr>
        <w:t xml:space="preserve"> </w:t>
      </w:r>
      <w:r w:rsidR="006436CA" w:rsidRPr="00D869E3">
        <w:rPr>
          <w:rFonts w:ascii="Verdana" w:hAnsi="Verdana"/>
          <w:sz w:val="20"/>
          <w:szCs w:val="20"/>
          <w:lang w:val="en-US"/>
        </w:rPr>
        <w:t>“</w:t>
      </w:r>
      <w:r w:rsidRPr="00D869E3">
        <w:rPr>
          <w:rFonts w:ascii="Verdana" w:hAnsi="Verdana"/>
          <w:sz w:val="20"/>
          <w:szCs w:val="20"/>
          <w:lang w:val="en-US"/>
        </w:rPr>
        <w:t>the Inter-American Court</w:t>
      </w:r>
      <w:r w:rsidR="006436CA" w:rsidRPr="00D869E3">
        <w:rPr>
          <w:rFonts w:ascii="Verdana" w:hAnsi="Verdana"/>
          <w:sz w:val="20"/>
          <w:szCs w:val="20"/>
          <w:lang w:val="en-US"/>
        </w:rPr>
        <w:t>”</w:t>
      </w:r>
      <w:r w:rsidRPr="00D869E3">
        <w:rPr>
          <w:rFonts w:ascii="Verdana" w:hAnsi="Verdana"/>
          <w:sz w:val="20"/>
          <w:szCs w:val="20"/>
          <w:lang w:val="en-US"/>
        </w:rPr>
        <w:t xml:space="preserve"> or</w:t>
      </w:r>
      <w:r w:rsidR="006F79F4" w:rsidRPr="00D869E3">
        <w:rPr>
          <w:rFonts w:ascii="Verdana" w:hAnsi="Verdana"/>
          <w:sz w:val="20"/>
          <w:szCs w:val="20"/>
          <w:lang w:val="en-US"/>
        </w:rPr>
        <w:t xml:space="preserve"> </w:t>
      </w:r>
      <w:r w:rsidR="006436CA" w:rsidRPr="00D869E3">
        <w:rPr>
          <w:rFonts w:ascii="Verdana" w:hAnsi="Verdana"/>
          <w:sz w:val="20"/>
          <w:szCs w:val="20"/>
          <w:lang w:val="en-US"/>
        </w:rPr>
        <w:t>“</w:t>
      </w:r>
      <w:r w:rsidRPr="00D869E3">
        <w:rPr>
          <w:rFonts w:ascii="Verdana" w:hAnsi="Verdana"/>
          <w:sz w:val="20"/>
          <w:szCs w:val="20"/>
          <w:lang w:val="en-US"/>
        </w:rPr>
        <w:t>the Court</w:t>
      </w:r>
      <w:r w:rsidR="006436CA" w:rsidRPr="00D869E3">
        <w:rPr>
          <w:rFonts w:ascii="Verdana" w:hAnsi="Verdana"/>
          <w:sz w:val="20"/>
          <w:szCs w:val="20"/>
          <w:lang w:val="en-US"/>
        </w:rPr>
        <w:t>”</w:t>
      </w:r>
      <w:r w:rsidR="006F79F4" w:rsidRPr="00D869E3">
        <w:rPr>
          <w:rFonts w:ascii="Verdana" w:hAnsi="Verdana"/>
          <w:sz w:val="20"/>
          <w:szCs w:val="20"/>
          <w:lang w:val="en-US"/>
        </w:rPr>
        <w:t xml:space="preserve">), </w:t>
      </w:r>
      <w:r w:rsidRPr="00D869E3">
        <w:rPr>
          <w:rFonts w:ascii="Verdana" w:hAnsi="Verdana"/>
          <w:sz w:val="20"/>
          <w:szCs w:val="20"/>
          <w:lang w:val="en-US"/>
        </w:rPr>
        <w:t>composed of the following judges</w:t>
      </w:r>
      <w:r w:rsidR="006F79F4" w:rsidRPr="00D869E3">
        <w:rPr>
          <w:rFonts w:ascii="Verdana" w:hAnsi="Verdana"/>
          <w:sz w:val="20"/>
          <w:szCs w:val="20"/>
          <w:lang w:val="en-US"/>
        </w:rPr>
        <w:t>:</w:t>
      </w:r>
    </w:p>
    <w:p w14:paraId="382177EC" w14:textId="77777777" w:rsidR="006F79F4" w:rsidRPr="00D869E3" w:rsidRDefault="006F79F4" w:rsidP="006F79F4">
      <w:pPr>
        <w:jc w:val="both"/>
        <w:rPr>
          <w:rFonts w:ascii="Verdana" w:hAnsi="Verdana"/>
          <w:sz w:val="20"/>
          <w:szCs w:val="20"/>
          <w:lang w:val="en-US"/>
        </w:rPr>
      </w:pPr>
    </w:p>
    <w:p w14:paraId="77026E86" w14:textId="518C0809" w:rsidR="006F79F4" w:rsidRPr="00D869E3" w:rsidRDefault="006F79F4" w:rsidP="006F79F4">
      <w:pPr>
        <w:jc w:val="both"/>
        <w:rPr>
          <w:rFonts w:ascii="Verdana" w:hAnsi="Verdana"/>
          <w:sz w:val="20"/>
          <w:szCs w:val="20"/>
          <w:lang w:val="en-US"/>
        </w:rPr>
      </w:pPr>
      <w:r w:rsidRPr="00D869E3">
        <w:rPr>
          <w:rFonts w:ascii="Verdana" w:hAnsi="Verdana"/>
          <w:sz w:val="20"/>
          <w:szCs w:val="20"/>
          <w:lang w:val="en-US"/>
        </w:rPr>
        <w:t xml:space="preserve">Roberto F. Caldas, </w:t>
      </w:r>
      <w:r w:rsidR="00447C65" w:rsidRPr="00D869E3">
        <w:rPr>
          <w:rFonts w:ascii="Verdana" w:hAnsi="Verdana"/>
          <w:sz w:val="20"/>
          <w:szCs w:val="20"/>
          <w:lang w:val="en-US"/>
        </w:rPr>
        <w:t>President</w:t>
      </w:r>
    </w:p>
    <w:p w14:paraId="33570A0F" w14:textId="041D254E" w:rsidR="006F79F4" w:rsidRPr="00D869E3" w:rsidRDefault="006F79F4" w:rsidP="006F79F4">
      <w:pPr>
        <w:jc w:val="both"/>
        <w:rPr>
          <w:rFonts w:ascii="Verdana" w:hAnsi="Verdana"/>
          <w:sz w:val="20"/>
          <w:szCs w:val="20"/>
          <w:lang w:val="en-US"/>
        </w:rPr>
      </w:pPr>
      <w:r w:rsidRPr="00D869E3">
        <w:rPr>
          <w:rFonts w:ascii="Verdana" w:hAnsi="Verdana"/>
          <w:sz w:val="20"/>
          <w:szCs w:val="20"/>
          <w:lang w:val="en-US"/>
        </w:rPr>
        <w:t>Eduardo Ferrer Mac-Gregor Poisot, Vice</w:t>
      </w:r>
      <w:r w:rsidR="00447C65" w:rsidRPr="00D869E3">
        <w:rPr>
          <w:rFonts w:ascii="Verdana" w:hAnsi="Verdana"/>
          <w:sz w:val="20"/>
          <w:szCs w:val="20"/>
          <w:lang w:val="en-US"/>
        </w:rPr>
        <w:t xml:space="preserve"> President</w:t>
      </w:r>
    </w:p>
    <w:p w14:paraId="2D29B333" w14:textId="2AAC8828" w:rsidR="006F79F4" w:rsidRPr="00D869E3" w:rsidRDefault="006F79F4" w:rsidP="006F79F4">
      <w:pPr>
        <w:jc w:val="both"/>
        <w:rPr>
          <w:rFonts w:ascii="Verdana" w:hAnsi="Verdana"/>
          <w:sz w:val="20"/>
          <w:szCs w:val="20"/>
          <w:lang w:val="en-US"/>
        </w:rPr>
      </w:pPr>
      <w:r w:rsidRPr="00D869E3">
        <w:rPr>
          <w:rFonts w:ascii="Verdana" w:hAnsi="Verdana"/>
          <w:sz w:val="20"/>
          <w:szCs w:val="20"/>
          <w:lang w:val="en-US"/>
        </w:rPr>
        <w:t xml:space="preserve">Eduardo Vio Grossi, </w:t>
      </w:r>
      <w:r w:rsidR="00447C65" w:rsidRPr="00D869E3">
        <w:rPr>
          <w:rFonts w:ascii="Verdana" w:hAnsi="Verdana"/>
          <w:sz w:val="20"/>
          <w:szCs w:val="20"/>
          <w:lang w:val="en-US"/>
        </w:rPr>
        <w:t>Judge</w:t>
      </w:r>
    </w:p>
    <w:p w14:paraId="33CC6586" w14:textId="12F70CA3" w:rsidR="006F79F4" w:rsidRPr="00D869E3" w:rsidRDefault="006F79F4" w:rsidP="006F79F4">
      <w:pPr>
        <w:jc w:val="both"/>
        <w:rPr>
          <w:rFonts w:ascii="Verdana" w:hAnsi="Verdana"/>
          <w:sz w:val="20"/>
          <w:szCs w:val="20"/>
          <w:lang w:val="en-US"/>
        </w:rPr>
      </w:pPr>
      <w:r w:rsidRPr="00D869E3">
        <w:rPr>
          <w:rFonts w:ascii="Verdana" w:hAnsi="Verdana"/>
          <w:sz w:val="20"/>
          <w:szCs w:val="20"/>
          <w:lang w:val="en-US"/>
        </w:rPr>
        <w:t xml:space="preserve">Humberto Antonio Sierra Porto, </w:t>
      </w:r>
      <w:r w:rsidR="00447C65" w:rsidRPr="00D869E3">
        <w:rPr>
          <w:rFonts w:ascii="Verdana" w:hAnsi="Verdana"/>
          <w:sz w:val="20"/>
          <w:szCs w:val="20"/>
          <w:lang w:val="en-US"/>
        </w:rPr>
        <w:t>Judge</w:t>
      </w:r>
    </w:p>
    <w:p w14:paraId="435F8FC9" w14:textId="14756A1F" w:rsidR="006F79F4" w:rsidRPr="00D869E3" w:rsidRDefault="006F79F4" w:rsidP="006F79F4">
      <w:pPr>
        <w:jc w:val="both"/>
        <w:rPr>
          <w:rFonts w:ascii="Verdana" w:hAnsi="Verdana"/>
          <w:sz w:val="20"/>
          <w:szCs w:val="20"/>
          <w:lang w:val="en-US"/>
        </w:rPr>
      </w:pPr>
      <w:r w:rsidRPr="00D869E3">
        <w:rPr>
          <w:rFonts w:ascii="Verdana" w:hAnsi="Verdana"/>
          <w:sz w:val="20"/>
          <w:szCs w:val="20"/>
          <w:lang w:val="en-US"/>
        </w:rPr>
        <w:t xml:space="preserve">Elizabeth Odio Benito, </w:t>
      </w:r>
      <w:r w:rsidR="00447C65" w:rsidRPr="00D869E3">
        <w:rPr>
          <w:rFonts w:ascii="Verdana" w:hAnsi="Verdana"/>
          <w:sz w:val="20"/>
          <w:szCs w:val="20"/>
          <w:lang w:val="en-US"/>
        </w:rPr>
        <w:t>Judge</w:t>
      </w:r>
    </w:p>
    <w:p w14:paraId="441BDE26" w14:textId="5F56DD29" w:rsidR="006F79F4" w:rsidRPr="00D869E3" w:rsidRDefault="006F79F4" w:rsidP="006F79F4">
      <w:pPr>
        <w:jc w:val="both"/>
        <w:rPr>
          <w:rFonts w:ascii="Verdana" w:hAnsi="Verdana"/>
          <w:sz w:val="20"/>
          <w:szCs w:val="20"/>
          <w:lang w:val="en-US"/>
        </w:rPr>
      </w:pPr>
      <w:r w:rsidRPr="00D869E3">
        <w:rPr>
          <w:rFonts w:ascii="Verdana" w:hAnsi="Verdana"/>
          <w:sz w:val="20"/>
          <w:szCs w:val="20"/>
          <w:lang w:val="en-US"/>
        </w:rPr>
        <w:t xml:space="preserve">Eugenio Raúl Zaffaroni, </w:t>
      </w:r>
      <w:r w:rsidR="00447C65" w:rsidRPr="00D869E3">
        <w:rPr>
          <w:rFonts w:ascii="Verdana" w:hAnsi="Verdana"/>
          <w:sz w:val="20"/>
          <w:szCs w:val="20"/>
          <w:lang w:val="en-US"/>
        </w:rPr>
        <w:t>Judge</w:t>
      </w:r>
      <w:r w:rsidRPr="00D869E3">
        <w:rPr>
          <w:rFonts w:ascii="Verdana" w:hAnsi="Verdana"/>
          <w:sz w:val="20"/>
          <w:szCs w:val="20"/>
          <w:lang w:val="en-US"/>
        </w:rPr>
        <w:t xml:space="preserve">, </w:t>
      </w:r>
      <w:r w:rsidR="00447C65" w:rsidRPr="00D869E3">
        <w:rPr>
          <w:rFonts w:ascii="Verdana" w:hAnsi="Verdana"/>
          <w:sz w:val="20"/>
          <w:szCs w:val="20"/>
          <w:lang w:val="en-US"/>
        </w:rPr>
        <w:t>and</w:t>
      </w:r>
    </w:p>
    <w:p w14:paraId="7C262042" w14:textId="1DBA8830" w:rsidR="006F79F4" w:rsidRPr="00D869E3" w:rsidRDefault="006F79F4" w:rsidP="006F79F4">
      <w:pPr>
        <w:jc w:val="both"/>
        <w:rPr>
          <w:rFonts w:ascii="Verdana" w:hAnsi="Verdana"/>
          <w:sz w:val="20"/>
          <w:szCs w:val="20"/>
          <w:lang w:val="en-US"/>
        </w:rPr>
      </w:pPr>
      <w:r w:rsidRPr="00D869E3">
        <w:rPr>
          <w:rFonts w:ascii="Verdana" w:hAnsi="Verdana"/>
          <w:sz w:val="20"/>
          <w:szCs w:val="20"/>
          <w:lang w:val="en-US"/>
        </w:rPr>
        <w:t xml:space="preserve">Patricio Pazmiño Freire, </w:t>
      </w:r>
      <w:r w:rsidR="00447C65" w:rsidRPr="00D869E3">
        <w:rPr>
          <w:rFonts w:ascii="Verdana" w:hAnsi="Verdana"/>
          <w:sz w:val="20"/>
          <w:szCs w:val="20"/>
          <w:lang w:val="en-US"/>
        </w:rPr>
        <w:t>Judge</w:t>
      </w:r>
      <w:r w:rsidRPr="00D869E3">
        <w:rPr>
          <w:rFonts w:ascii="Verdana" w:hAnsi="Verdana"/>
          <w:sz w:val="20"/>
          <w:szCs w:val="20"/>
          <w:lang w:val="en-US"/>
        </w:rPr>
        <w:t>,</w:t>
      </w:r>
    </w:p>
    <w:p w14:paraId="5DB0769E" w14:textId="77777777" w:rsidR="006F79F4" w:rsidRPr="00D869E3" w:rsidRDefault="006F79F4" w:rsidP="006F79F4">
      <w:pPr>
        <w:jc w:val="both"/>
        <w:rPr>
          <w:rFonts w:ascii="Verdana" w:hAnsi="Verdana"/>
          <w:sz w:val="20"/>
          <w:szCs w:val="20"/>
          <w:lang w:val="en-US"/>
        </w:rPr>
      </w:pPr>
    </w:p>
    <w:p w14:paraId="55C361CA" w14:textId="01E39B91" w:rsidR="006F79F4" w:rsidRPr="00D869E3" w:rsidRDefault="00447C65" w:rsidP="006F79F4">
      <w:pPr>
        <w:jc w:val="both"/>
        <w:rPr>
          <w:rFonts w:ascii="Verdana" w:hAnsi="Verdana"/>
          <w:sz w:val="20"/>
          <w:szCs w:val="20"/>
          <w:lang w:val="en-US"/>
        </w:rPr>
      </w:pPr>
      <w:r w:rsidRPr="00D869E3">
        <w:rPr>
          <w:rFonts w:ascii="Verdana" w:hAnsi="Verdana"/>
          <w:sz w:val="20"/>
          <w:szCs w:val="20"/>
          <w:lang w:val="en-US"/>
        </w:rPr>
        <w:t>also present</w:t>
      </w:r>
      <w:r w:rsidR="006F79F4" w:rsidRPr="00D869E3">
        <w:rPr>
          <w:rFonts w:ascii="Verdana" w:hAnsi="Verdana"/>
          <w:sz w:val="20"/>
          <w:szCs w:val="20"/>
          <w:lang w:val="en-US"/>
        </w:rPr>
        <w:t xml:space="preserve">, </w:t>
      </w:r>
    </w:p>
    <w:p w14:paraId="438B6CC8" w14:textId="77777777" w:rsidR="006F79F4" w:rsidRPr="00D869E3" w:rsidRDefault="006F79F4" w:rsidP="006F79F4">
      <w:pPr>
        <w:jc w:val="both"/>
        <w:rPr>
          <w:rFonts w:ascii="Verdana" w:hAnsi="Verdana"/>
          <w:sz w:val="20"/>
          <w:szCs w:val="20"/>
          <w:lang w:val="en-US"/>
        </w:rPr>
      </w:pPr>
    </w:p>
    <w:p w14:paraId="56D90BCC" w14:textId="3B8C453C" w:rsidR="006F79F4" w:rsidRPr="00D869E3" w:rsidRDefault="006F79F4" w:rsidP="006F79F4">
      <w:pPr>
        <w:jc w:val="both"/>
        <w:rPr>
          <w:rFonts w:ascii="Verdana" w:hAnsi="Verdana"/>
          <w:sz w:val="20"/>
          <w:szCs w:val="20"/>
          <w:lang w:val="en-US"/>
        </w:rPr>
      </w:pPr>
      <w:r w:rsidRPr="00D869E3">
        <w:rPr>
          <w:rFonts w:ascii="Verdana" w:hAnsi="Verdana"/>
          <w:sz w:val="20"/>
          <w:szCs w:val="20"/>
          <w:lang w:val="en-US"/>
        </w:rPr>
        <w:t>Pablo Saavedra Alessandri, Secretar</w:t>
      </w:r>
      <w:r w:rsidR="00447C65" w:rsidRPr="00D869E3">
        <w:rPr>
          <w:rFonts w:ascii="Verdana" w:hAnsi="Verdana"/>
          <w:sz w:val="20"/>
          <w:szCs w:val="20"/>
          <w:lang w:val="en-US"/>
        </w:rPr>
        <w:t>y</w:t>
      </w:r>
      <w:r w:rsidRPr="00D869E3">
        <w:rPr>
          <w:rFonts w:ascii="Verdana" w:hAnsi="Verdana"/>
          <w:sz w:val="20"/>
          <w:szCs w:val="20"/>
          <w:lang w:val="en-US"/>
        </w:rPr>
        <w:t xml:space="preserve">, </w:t>
      </w:r>
      <w:r w:rsidR="00447C65" w:rsidRPr="00D869E3">
        <w:rPr>
          <w:rFonts w:ascii="Verdana" w:hAnsi="Verdana"/>
          <w:sz w:val="20"/>
          <w:szCs w:val="20"/>
          <w:lang w:val="en-US"/>
        </w:rPr>
        <w:t>and</w:t>
      </w:r>
    </w:p>
    <w:p w14:paraId="5FA67476" w14:textId="3CF5B020" w:rsidR="006F79F4" w:rsidRPr="00D869E3" w:rsidRDefault="006F79F4" w:rsidP="006F79F4">
      <w:pPr>
        <w:jc w:val="both"/>
        <w:rPr>
          <w:rFonts w:ascii="Verdana" w:hAnsi="Verdana"/>
          <w:sz w:val="20"/>
          <w:szCs w:val="20"/>
          <w:lang w:val="en-US"/>
        </w:rPr>
      </w:pPr>
      <w:r w:rsidRPr="00D869E3">
        <w:rPr>
          <w:rFonts w:ascii="Verdana" w:hAnsi="Verdana"/>
          <w:sz w:val="20"/>
          <w:szCs w:val="20"/>
          <w:lang w:val="en-US"/>
        </w:rPr>
        <w:t xml:space="preserve">Emilia Segares Rodríguez, </w:t>
      </w:r>
      <w:r w:rsidR="00447C65" w:rsidRPr="00D869E3">
        <w:rPr>
          <w:rFonts w:ascii="Verdana" w:hAnsi="Verdana"/>
          <w:sz w:val="20"/>
          <w:szCs w:val="20"/>
          <w:lang w:val="en-US"/>
        </w:rPr>
        <w:t xml:space="preserve">Deputy </w:t>
      </w:r>
      <w:r w:rsidRPr="00D869E3">
        <w:rPr>
          <w:rFonts w:ascii="Verdana" w:hAnsi="Verdana"/>
          <w:sz w:val="20"/>
          <w:szCs w:val="20"/>
          <w:lang w:val="en-US"/>
        </w:rPr>
        <w:t>Secretar</w:t>
      </w:r>
      <w:r w:rsidR="00447C65" w:rsidRPr="00D869E3">
        <w:rPr>
          <w:rFonts w:ascii="Verdana" w:hAnsi="Verdana"/>
          <w:sz w:val="20"/>
          <w:szCs w:val="20"/>
          <w:lang w:val="en-US"/>
        </w:rPr>
        <w:t>y</w:t>
      </w:r>
      <w:r w:rsidRPr="00D869E3">
        <w:rPr>
          <w:rFonts w:ascii="Verdana" w:hAnsi="Verdana"/>
          <w:sz w:val="20"/>
          <w:szCs w:val="20"/>
          <w:lang w:val="en-US"/>
        </w:rPr>
        <w:t>,</w:t>
      </w:r>
    </w:p>
    <w:p w14:paraId="0FCECD87" w14:textId="77777777" w:rsidR="006F79F4" w:rsidRPr="00D869E3" w:rsidRDefault="006F79F4" w:rsidP="006F79F4">
      <w:pPr>
        <w:jc w:val="both"/>
        <w:rPr>
          <w:rFonts w:ascii="Verdana" w:hAnsi="Verdana"/>
          <w:sz w:val="20"/>
          <w:szCs w:val="20"/>
          <w:lang w:val="en-US"/>
        </w:rPr>
      </w:pPr>
    </w:p>
    <w:p w14:paraId="0BAF74C9" w14:textId="4082228E" w:rsidR="006F79F4" w:rsidRPr="00D869E3" w:rsidRDefault="00447C65" w:rsidP="006F79F4">
      <w:pPr>
        <w:jc w:val="both"/>
        <w:rPr>
          <w:rFonts w:ascii="Verdana" w:hAnsi="Verdana"/>
          <w:sz w:val="20"/>
          <w:szCs w:val="20"/>
          <w:lang w:val="en-US"/>
        </w:rPr>
      </w:pPr>
      <w:r w:rsidRPr="00D869E3">
        <w:rPr>
          <w:rFonts w:ascii="Verdana" w:hAnsi="Verdana"/>
          <w:sz w:val="20"/>
          <w:szCs w:val="20"/>
          <w:lang w:val="en-US"/>
        </w:rPr>
        <w:t>pursuant to Articles</w:t>
      </w:r>
      <w:r w:rsidR="006F79F4" w:rsidRPr="00D869E3">
        <w:rPr>
          <w:rFonts w:ascii="Verdana" w:hAnsi="Verdana"/>
          <w:sz w:val="20"/>
          <w:szCs w:val="20"/>
          <w:lang w:val="en-US"/>
        </w:rPr>
        <w:t xml:space="preserve"> </w:t>
      </w:r>
      <w:r w:rsidRPr="00D869E3">
        <w:rPr>
          <w:rFonts w:ascii="Verdana" w:hAnsi="Verdana"/>
          <w:sz w:val="20"/>
          <w:szCs w:val="20"/>
          <w:lang w:val="en-US"/>
        </w:rPr>
        <w:t>62(3)</w:t>
      </w:r>
      <w:r w:rsidR="006F79F4" w:rsidRPr="00D869E3">
        <w:rPr>
          <w:rFonts w:ascii="Verdana" w:hAnsi="Verdana"/>
          <w:sz w:val="20"/>
          <w:szCs w:val="20"/>
          <w:lang w:val="en-US"/>
        </w:rPr>
        <w:t xml:space="preserve"> </w:t>
      </w:r>
      <w:r w:rsidRPr="00D869E3">
        <w:rPr>
          <w:rFonts w:ascii="Verdana" w:hAnsi="Verdana"/>
          <w:sz w:val="20"/>
          <w:szCs w:val="20"/>
          <w:lang w:val="en-US"/>
        </w:rPr>
        <w:t>and</w:t>
      </w:r>
      <w:r w:rsidR="006F79F4" w:rsidRPr="00D869E3">
        <w:rPr>
          <w:rFonts w:ascii="Verdana" w:hAnsi="Verdana"/>
          <w:sz w:val="20"/>
          <w:szCs w:val="20"/>
          <w:lang w:val="en-US"/>
        </w:rPr>
        <w:t xml:space="preserve"> </w:t>
      </w:r>
      <w:r w:rsidRPr="00D869E3">
        <w:rPr>
          <w:rFonts w:ascii="Verdana" w:hAnsi="Verdana"/>
          <w:sz w:val="20"/>
          <w:szCs w:val="20"/>
          <w:lang w:val="en-US"/>
        </w:rPr>
        <w:t>63(1) of the American Convention on Human Rights</w:t>
      </w:r>
      <w:r w:rsidR="006F79F4" w:rsidRPr="00D869E3">
        <w:rPr>
          <w:rFonts w:ascii="Verdana" w:hAnsi="Verdana"/>
          <w:sz w:val="20"/>
          <w:szCs w:val="20"/>
          <w:lang w:val="en-US"/>
        </w:rPr>
        <w:t xml:space="preserve"> (</w:t>
      </w:r>
      <w:r w:rsidRPr="00D869E3">
        <w:rPr>
          <w:rFonts w:ascii="Verdana" w:hAnsi="Verdana"/>
          <w:sz w:val="20"/>
          <w:szCs w:val="20"/>
          <w:lang w:val="en-US"/>
        </w:rPr>
        <w:t>hereinafter</w:t>
      </w:r>
      <w:r w:rsidR="006F79F4" w:rsidRPr="00D869E3">
        <w:rPr>
          <w:rFonts w:ascii="Verdana" w:hAnsi="Verdana"/>
          <w:sz w:val="20"/>
          <w:szCs w:val="20"/>
          <w:lang w:val="en-US"/>
        </w:rPr>
        <w:t xml:space="preserve"> </w:t>
      </w:r>
      <w:r w:rsidR="006436CA" w:rsidRPr="00D869E3">
        <w:rPr>
          <w:rFonts w:ascii="Verdana" w:hAnsi="Verdana"/>
          <w:sz w:val="20"/>
          <w:szCs w:val="20"/>
          <w:lang w:val="en-US"/>
        </w:rPr>
        <w:t>“</w:t>
      </w:r>
      <w:r w:rsidRPr="00D869E3">
        <w:rPr>
          <w:rFonts w:ascii="Verdana" w:hAnsi="Verdana"/>
          <w:sz w:val="20"/>
          <w:szCs w:val="20"/>
          <w:lang w:val="en-US"/>
        </w:rPr>
        <w:t>the Convention</w:t>
      </w:r>
      <w:r w:rsidR="006436CA" w:rsidRPr="00D869E3">
        <w:rPr>
          <w:rFonts w:ascii="Verdana" w:hAnsi="Verdana"/>
          <w:sz w:val="20"/>
          <w:szCs w:val="20"/>
          <w:lang w:val="en-US"/>
        </w:rPr>
        <w:t>”</w:t>
      </w:r>
      <w:r w:rsidR="006F79F4" w:rsidRPr="00D869E3">
        <w:rPr>
          <w:rFonts w:ascii="Verdana" w:hAnsi="Verdana"/>
          <w:sz w:val="20"/>
          <w:szCs w:val="20"/>
          <w:lang w:val="en-US"/>
        </w:rPr>
        <w:t xml:space="preserve"> o</w:t>
      </w:r>
      <w:r w:rsidRPr="00D869E3">
        <w:rPr>
          <w:rFonts w:ascii="Verdana" w:hAnsi="Verdana"/>
          <w:sz w:val="20"/>
          <w:szCs w:val="20"/>
          <w:lang w:val="en-US"/>
        </w:rPr>
        <w:t>r</w:t>
      </w:r>
      <w:r w:rsidR="006F79F4" w:rsidRPr="00D869E3">
        <w:rPr>
          <w:rFonts w:ascii="Verdana" w:hAnsi="Verdana"/>
          <w:sz w:val="20"/>
          <w:szCs w:val="20"/>
          <w:lang w:val="en-US"/>
        </w:rPr>
        <w:t xml:space="preserve"> </w:t>
      </w:r>
      <w:r w:rsidR="006436CA" w:rsidRPr="00D869E3">
        <w:rPr>
          <w:rFonts w:ascii="Verdana" w:hAnsi="Verdana"/>
          <w:sz w:val="20"/>
          <w:szCs w:val="20"/>
          <w:lang w:val="en-US"/>
        </w:rPr>
        <w:t>“</w:t>
      </w:r>
      <w:r w:rsidRPr="00D869E3">
        <w:rPr>
          <w:rFonts w:ascii="Verdana" w:hAnsi="Verdana"/>
          <w:sz w:val="20"/>
          <w:szCs w:val="20"/>
          <w:lang w:val="en-US"/>
        </w:rPr>
        <w:t>the American Convention</w:t>
      </w:r>
      <w:r w:rsidR="006436CA" w:rsidRPr="00D869E3">
        <w:rPr>
          <w:rFonts w:ascii="Verdana" w:hAnsi="Verdana"/>
          <w:sz w:val="20"/>
          <w:szCs w:val="20"/>
          <w:lang w:val="en-US"/>
        </w:rPr>
        <w:t>”</w:t>
      </w:r>
      <w:r w:rsidR="006F79F4" w:rsidRPr="00D869E3">
        <w:rPr>
          <w:rFonts w:ascii="Verdana" w:hAnsi="Verdana"/>
          <w:sz w:val="20"/>
          <w:szCs w:val="20"/>
          <w:lang w:val="en-US"/>
        </w:rPr>
        <w:t xml:space="preserve">) </w:t>
      </w:r>
      <w:r w:rsidRPr="00D869E3">
        <w:rPr>
          <w:rFonts w:ascii="Verdana" w:hAnsi="Verdana"/>
          <w:sz w:val="20"/>
          <w:szCs w:val="20"/>
          <w:lang w:val="en-US"/>
        </w:rPr>
        <w:t>and</w:t>
      </w:r>
      <w:r w:rsidR="006F79F4" w:rsidRPr="00D869E3">
        <w:rPr>
          <w:rFonts w:ascii="Verdana" w:hAnsi="Verdana"/>
          <w:sz w:val="20"/>
          <w:szCs w:val="20"/>
          <w:lang w:val="en-US"/>
        </w:rPr>
        <w:t xml:space="preserve"> </w:t>
      </w:r>
      <w:r w:rsidRPr="00D869E3">
        <w:rPr>
          <w:rFonts w:ascii="Verdana" w:hAnsi="Verdana"/>
          <w:sz w:val="20"/>
          <w:szCs w:val="20"/>
          <w:lang w:val="en-US"/>
        </w:rPr>
        <w:t>Articles</w:t>
      </w:r>
      <w:r w:rsidR="006F79F4" w:rsidRPr="00D869E3">
        <w:rPr>
          <w:rFonts w:ascii="Verdana" w:hAnsi="Verdana"/>
          <w:sz w:val="20"/>
          <w:szCs w:val="20"/>
          <w:lang w:val="en-US"/>
        </w:rPr>
        <w:t xml:space="preserve"> 31, 32, 42, 65 </w:t>
      </w:r>
      <w:r w:rsidRPr="00D869E3">
        <w:rPr>
          <w:rFonts w:ascii="Verdana" w:hAnsi="Verdana"/>
          <w:sz w:val="20"/>
          <w:szCs w:val="20"/>
          <w:lang w:val="en-US"/>
        </w:rPr>
        <w:t>and</w:t>
      </w:r>
      <w:r w:rsidR="006F79F4" w:rsidRPr="00D869E3">
        <w:rPr>
          <w:rFonts w:ascii="Verdana" w:hAnsi="Verdana"/>
          <w:sz w:val="20"/>
          <w:szCs w:val="20"/>
          <w:lang w:val="en-US"/>
        </w:rPr>
        <w:t xml:space="preserve"> 67</w:t>
      </w:r>
      <w:r w:rsidRPr="00D869E3">
        <w:rPr>
          <w:rFonts w:ascii="Verdana" w:hAnsi="Verdana"/>
          <w:sz w:val="20"/>
          <w:szCs w:val="20"/>
          <w:lang w:val="en-US"/>
        </w:rPr>
        <w:t xml:space="preserve"> of the Rules of Procedure of the Court</w:t>
      </w:r>
      <w:r w:rsidR="006F79F4" w:rsidRPr="00D869E3">
        <w:rPr>
          <w:rFonts w:ascii="Verdana" w:hAnsi="Verdana"/>
          <w:sz w:val="20"/>
          <w:szCs w:val="20"/>
          <w:lang w:val="en-US"/>
        </w:rPr>
        <w:t xml:space="preserve"> (</w:t>
      </w:r>
      <w:r w:rsidRPr="00D869E3">
        <w:rPr>
          <w:rFonts w:ascii="Verdana" w:hAnsi="Verdana"/>
          <w:sz w:val="20"/>
          <w:szCs w:val="20"/>
          <w:lang w:val="en-US"/>
        </w:rPr>
        <w:t>hereinafter</w:t>
      </w:r>
      <w:r w:rsidR="006F79F4" w:rsidRPr="00D869E3">
        <w:rPr>
          <w:rFonts w:ascii="Verdana" w:hAnsi="Verdana"/>
          <w:sz w:val="20"/>
          <w:szCs w:val="20"/>
          <w:lang w:val="en-US"/>
        </w:rPr>
        <w:t xml:space="preserve"> </w:t>
      </w:r>
      <w:r w:rsidR="006436CA" w:rsidRPr="00D869E3">
        <w:rPr>
          <w:rFonts w:ascii="Verdana" w:hAnsi="Verdana"/>
          <w:sz w:val="20"/>
          <w:szCs w:val="20"/>
          <w:lang w:val="en-US"/>
        </w:rPr>
        <w:t>“</w:t>
      </w:r>
      <w:r w:rsidRPr="00D869E3">
        <w:rPr>
          <w:rFonts w:ascii="Verdana" w:hAnsi="Verdana"/>
          <w:sz w:val="20"/>
          <w:szCs w:val="20"/>
          <w:lang w:val="en-US"/>
        </w:rPr>
        <w:t>the Rules of Procedure</w:t>
      </w:r>
      <w:r w:rsidR="006436CA" w:rsidRPr="00D869E3">
        <w:rPr>
          <w:rFonts w:ascii="Verdana" w:hAnsi="Verdana"/>
          <w:sz w:val="20"/>
          <w:szCs w:val="20"/>
          <w:lang w:val="en-US"/>
        </w:rPr>
        <w:t>”</w:t>
      </w:r>
      <w:r w:rsidR="006F79F4" w:rsidRPr="00D869E3">
        <w:rPr>
          <w:rFonts w:ascii="Verdana" w:hAnsi="Verdana"/>
          <w:sz w:val="20"/>
          <w:szCs w:val="20"/>
          <w:lang w:val="en-US"/>
        </w:rPr>
        <w:t>), d</w:t>
      </w:r>
      <w:r w:rsidRPr="00D869E3">
        <w:rPr>
          <w:rFonts w:ascii="Verdana" w:hAnsi="Verdana"/>
          <w:sz w:val="20"/>
          <w:szCs w:val="20"/>
          <w:lang w:val="en-US"/>
        </w:rPr>
        <w:t>elivers this judgment, structured as follows:</w:t>
      </w:r>
    </w:p>
    <w:p w14:paraId="651FF418" w14:textId="77777777" w:rsidR="006F79F4" w:rsidRPr="00D869E3" w:rsidRDefault="006F79F4" w:rsidP="006F79F4">
      <w:pPr>
        <w:jc w:val="both"/>
        <w:rPr>
          <w:rFonts w:ascii="Verdana" w:hAnsi="Verdana"/>
          <w:sz w:val="20"/>
          <w:szCs w:val="20"/>
          <w:lang w:val="en-US"/>
        </w:rPr>
      </w:pPr>
    </w:p>
    <w:p w14:paraId="15E43BF3" w14:textId="77777777" w:rsidR="006F79F4" w:rsidRPr="00D869E3" w:rsidRDefault="006F79F4" w:rsidP="006F79F4">
      <w:pPr>
        <w:jc w:val="center"/>
        <w:rPr>
          <w:rFonts w:ascii="Verdana" w:hAnsi="Verdana"/>
          <w:sz w:val="20"/>
          <w:szCs w:val="20"/>
          <w:lang w:val="en-US"/>
        </w:rPr>
      </w:pPr>
    </w:p>
    <w:p w14:paraId="31820FA6" w14:textId="24486CF7" w:rsidR="0071598A" w:rsidRPr="00D869E3" w:rsidRDefault="0071598A">
      <w:pPr>
        <w:spacing w:after="200" w:line="276" w:lineRule="auto"/>
        <w:rPr>
          <w:rFonts w:ascii="Verdana" w:hAnsi="Verdana"/>
          <w:sz w:val="20"/>
          <w:szCs w:val="20"/>
          <w:lang w:val="en-US"/>
        </w:rPr>
      </w:pPr>
      <w:r w:rsidRPr="00D869E3">
        <w:rPr>
          <w:rFonts w:ascii="Verdana" w:hAnsi="Verdana"/>
          <w:sz w:val="20"/>
          <w:szCs w:val="20"/>
          <w:lang w:val="en-US"/>
        </w:rPr>
        <w:br w:type="page"/>
      </w:r>
    </w:p>
    <w:p w14:paraId="659F2593" w14:textId="5DD83BB9" w:rsidR="006F79F4" w:rsidRPr="00D869E3" w:rsidRDefault="006F79F4" w:rsidP="006F79F4">
      <w:pPr>
        <w:jc w:val="both"/>
        <w:rPr>
          <w:rFonts w:ascii="Verdana" w:hAnsi="Verdana"/>
          <w:sz w:val="20"/>
          <w:szCs w:val="20"/>
          <w:lang w:val="en-US"/>
        </w:rPr>
      </w:pPr>
    </w:p>
    <w:p w14:paraId="66B348E8" w14:textId="00F24C79" w:rsidR="00240326" w:rsidRPr="00D869E3" w:rsidRDefault="00CB5A95" w:rsidP="00A532BE">
      <w:pPr>
        <w:tabs>
          <w:tab w:val="left" w:pos="1683"/>
          <w:tab w:val="center" w:pos="4816"/>
        </w:tabs>
        <w:rPr>
          <w:rFonts w:ascii="Verdana" w:hAnsi="Verdana"/>
          <w:b/>
          <w:sz w:val="18"/>
          <w:szCs w:val="18"/>
          <w:lang w:val="en-US"/>
        </w:rPr>
      </w:pPr>
      <w:r w:rsidRPr="00D869E3">
        <w:rPr>
          <w:rFonts w:ascii="Verdana" w:hAnsi="Verdana"/>
          <w:b/>
          <w:sz w:val="18"/>
          <w:szCs w:val="18"/>
          <w:lang w:val="en-US"/>
        </w:rPr>
        <w:tab/>
      </w:r>
      <w:r w:rsidRPr="00D869E3">
        <w:rPr>
          <w:rFonts w:ascii="Verdana" w:hAnsi="Verdana"/>
          <w:b/>
          <w:sz w:val="18"/>
          <w:szCs w:val="18"/>
          <w:lang w:val="en-US"/>
        </w:rPr>
        <w:tab/>
      </w:r>
      <w:r w:rsidR="00F35942" w:rsidRPr="00D869E3">
        <w:rPr>
          <w:rFonts w:ascii="Verdana" w:hAnsi="Verdana"/>
          <w:b/>
          <w:sz w:val="18"/>
          <w:szCs w:val="18"/>
          <w:lang w:val="en-US"/>
        </w:rPr>
        <w:t>TABLE OF CONTENTS</w:t>
      </w:r>
    </w:p>
    <w:p w14:paraId="6E941070" w14:textId="77777777" w:rsidR="00EF1AD0" w:rsidRPr="00D869E3" w:rsidRDefault="00EF1AD0" w:rsidP="00A532BE">
      <w:pPr>
        <w:tabs>
          <w:tab w:val="left" w:pos="1683"/>
          <w:tab w:val="center" w:pos="4816"/>
        </w:tabs>
        <w:rPr>
          <w:rFonts w:ascii="Verdana" w:hAnsi="Verdana"/>
          <w:b/>
          <w:sz w:val="18"/>
          <w:szCs w:val="18"/>
          <w:lang w:val="en-US"/>
        </w:rPr>
      </w:pPr>
    </w:p>
    <w:bookmarkStart w:id="0" w:name="_Toc390328152"/>
    <w:p w14:paraId="6844524A" w14:textId="59B25B4C" w:rsidR="001A3B36" w:rsidRPr="00D869E3" w:rsidRDefault="006F79F4" w:rsidP="00BE5A9F">
      <w:pPr>
        <w:pStyle w:val="TDC1"/>
        <w:rPr>
          <w:rFonts w:eastAsiaTheme="minorEastAsia" w:cstheme="minorBidi"/>
          <w:snapToGrid/>
          <w:lang w:val="en-US"/>
        </w:rPr>
      </w:pPr>
      <w:r w:rsidRPr="00D869E3">
        <w:rPr>
          <w:lang w:val="en-US"/>
        </w:rPr>
        <w:fldChar w:fldCharType="begin"/>
      </w:r>
      <w:r w:rsidRPr="00D869E3">
        <w:rPr>
          <w:lang w:val="en-US"/>
        </w:rPr>
        <w:instrText xml:space="preserve"> TOC \o "1-5" \h \z \u </w:instrText>
      </w:r>
      <w:r w:rsidRPr="00D869E3">
        <w:rPr>
          <w:lang w:val="en-US"/>
        </w:rPr>
        <w:fldChar w:fldCharType="separate"/>
      </w:r>
      <w:hyperlink w:anchor="_Toc29114099" w:history="1">
        <w:r w:rsidR="001A3B36" w:rsidRPr="00D869E3">
          <w:rPr>
            <w:rStyle w:val="Hipervnculo"/>
            <w:rFonts w:cs="Verdana"/>
            <w:sz w:val="18"/>
            <w:szCs w:val="18"/>
            <w:lang w:val="en-US"/>
          </w:rPr>
          <w:t>I INTRODUCTION OF THE CASE AND PURPOSE OF THE DISPUTE</w:t>
        </w:r>
        <w:r w:rsidR="001A3B36" w:rsidRPr="00D869E3">
          <w:rPr>
            <w:webHidden/>
          </w:rPr>
          <w:tab/>
        </w:r>
        <w:r w:rsidR="001A3B36" w:rsidRPr="00D869E3">
          <w:rPr>
            <w:webHidden/>
          </w:rPr>
          <w:fldChar w:fldCharType="begin"/>
        </w:r>
        <w:r w:rsidR="001A3B36" w:rsidRPr="00D869E3">
          <w:rPr>
            <w:webHidden/>
          </w:rPr>
          <w:instrText xml:space="preserve"> PAGEREF _Toc29114099 \h </w:instrText>
        </w:r>
        <w:r w:rsidR="001A3B36" w:rsidRPr="00D869E3">
          <w:rPr>
            <w:webHidden/>
          </w:rPr>
        </w:r>
        <w:r w:rsidR="001A3B36" w:rsidRPr="00D869E3">
          <w:rPr>
            <w:webHidden/>
          </w:rPr>
          <w:fldChar w:fldCharType="separate"/>
        </w:r>
        <w:r w:rsidR="0068647C">
          <w:rPr>
            <w:webHidden/>
          </w:rPr>
          <w:t>4</w:t>
        </w:r>
        <w:r w:rsidR="001A3B36" w:rsidRPr="00D869E3">
          <w:rPr>
            <w:webHidden/>
          </w:rPr>
          <w:fldChar w:fldCharType="end"/>
        </w:r>
      </w:hyperlink>
    </w:p>
    <w:p w14:paraId="2015DB51" w14:textId="10E17576" w:rsidR="001A3B36" w:rsidRPr="00D869E3" w:rsidRDefault="0068647C" w:rsidP="00BE5A9F">
      <w:pPr>
        <w:pStyle w:val="TDC1"/>
        <w:rPr>
          <w:rFonts w:eastAsiaTheme="minorEastAsia" w:cstheme="minorBidi"/>
          <w:snapToGrid/>
          <w:lang w:val="en-US"/>
        </w:rPr>
      </w:pPr>
      <w:hyperlink w:anchor="_Toc29114100" w:history="1">
        <w:r w:rsidR="001A3B36" w:rsidRPr="00D869E3">
          <w:rPr>
            <w:rStyle w:val="Hipervnculo"/>
            <w:rFonts w:cs="Verdana"/>
            <w:sz w:val="18"/>
            <w:szCs w:val="18"/>
            <w:lang w:val="en-US"/>
          </w:rPr>
          <w:t>II PROCEEDINGS BEFORE THE COURT</w:t>
        </w:r>
        <w:r w:rsidR="001A3B36" w:rsidRPr="00D869E3">
          <w:rPr>
            <w:webHidden/>
          </w:rPr>
          <w:tab/>
        </w:r>
        <w:r w:rsidR="001A3B36" w:rsidRPr="00D869E3">
          <w:rPr>
            <w:webHidden/>
          </w:rPr>
          <w:fldChar w:fldCharType="begin"/>
        </w:r>
        <w:r w:rsidR="001A3B36" w:rsidRPr="00D869E3">
          <w:rPr>
            <w:webHidden/>
          </w:rPr>
          <w:instrText xml:space="preserve"> PAGEREF _Toc29114100 \h </w:instrText>
        </w:r>
        <w:r w:rsidR="001A3B36" w:rsidRPr="00D869E3">
          <w:rPr>
            <w:webHidden/>
          </w:rPr>
        </w:r>
        <w:r w:rsidR="001A3B36" w:rsidRPr="00D869E3">
          <w:rPr>
            <w:webHidden/>
          </w:rPr>
          <w:fldChar w:fldCharType="separate"/>
        </w:r>
        <w:r>
          <w:rPr>
            <w:webHidden/>
          </w:rPr>
          <w:t>5</w:t>
        </w:r>
        <w:r w:rsidR="001A3B36" w:rsidRPr="00D869E3">
          <w:rPr>
            <w:webHidden/>
          </w:rPr>
          <w:fldChar w:fldCharType="end"/>
        </w:r>
      </w:hyperlink>
    </w:p>
    <w:p w14:paraId="018B84A0" w14:textId="776BB4C2" w:rsidR="001A3B36" w:rsidRPr="00D869E3" w:rsidRDefault="0068647C" w:rsidP="00BE5A9F">
      <w:pPr>
        <w:pStyle w:val="TDC1"/>
        <w:rPr>
          <w:rFonts w:eastAsiaTheme="minorEastAsia" w:cstheme="minorBidi"/>
          <w:snapToGrid/>
          <w:lang w:val="en-US"/>
        </w:rPr>
      </w:pPr>
      <w:hyperlink w:anchor="_Toc29114101" w:history="1">
        <w:r w:rsidR="001A3B36" w:rsidRPr="00D869E3">
          <w:rPr>
            <w:rStyle w:val="Hipervnculo"/>
            <w:rFonts w:cs="Verdana"/>
            <w:sz w:val="18"/>
            <w:szCs w:val="18"/>
            <w:lang w:val="en-US"/>
          </w:rPr>
          <w:t>III JURISDICTION</w:t>
        </w:r>
        <w:r w:rsidR="001A3B36" w:rsidRPr="00D869E3">
          <w:rPr>
            <w:webHidden/>
          </w:rPr>
          <w:tab/>
        </w:r>
        <w:r w:rsidR="001A3B36" w:rsidRPr="00D869E3">
          <w:rPr>
            <w:webHidden/>
          </w:rPr>
          <w:fldChar w:fldCharType="begin"/>
        </w:r>
        <w:r w:rsidR="001A3B36" w:rsidRPr="00D869E3">
          <w:rPr>
            <w:webHidden/>
          </w:rPr>
          <w:instrText xml:space="preserve"> PAGEREF _Toc29114101 \h </w:instrText>
        </w:r>
        <w:r w:rsidR="001A3B36" w:rsidRPr="00D869E3">
          <w:rPr>
            <w:webHidden/>
          </w:rPr>
        </w:r>
        <w:r w:rsidR="001A3B36" w:rsidRPr="00D869E3">
          <w:rPr>
            <w:webHidden/>
          </w:rPr>
          <w:fldChar w:fldCharType="separate"/>
        </w:r>
        <w:r>
          <w:rPr>
            <w:webHidden/>
          </w:rPr>
          <w:t>7</w:t>
        </w:r>
        <w:r w:rsidR="001A3B36" w:rsidRPr="00D869E3">
          <w:rPr>
            <w:webHidden/>
          </w:rPr>
          <w:fldChar w:fldCharType="end"/>
        </w:r>
      </w:hyperlink>
    </w:p>
    <w:p w14:paraId="606BAB91" w14:textId="4A36D27A" w:rsidR="001A3B36" w:rsidRPr="00D869E3" w:rsidRDefault="0068647C" w:rsidP="00BE5A9F">
      <w:pPr>
        <w:pStyle w:val="TDC1"/>
        <w:rPr>
          <w:rFonts w:eastAsiaTheme="minorEastAsia" w:cstheme="minorBidi"/>
          <w:snapToGrid/>
          <w:lang w:val="en-US"/>
        </w:rPr>
      </w:pPr>
      <w:hyperlink w:anchor="_Toc29114102" w:history="1">
        <w:r w:rsidR="001A3B36" w:rsidRPr="00D869E3">
          <w:rPr>
            <w:rStyle w:val="Hipervnculo"/>
            <w:rFonts w:cs="Verdana"/>
            <w:sz w:val="18"/>
            <w:szCs w:val="18"/>
            <w:lang w:val="en-US"/>
          </w:rPr>
          <w:t xml:space="preserve">IV </w:t>
        </w:r>
        <w:r w:rsidR="001A3B36" w:rsidRPr="00D869E3">
          <w:rPr>
            <w:rStyle w:val="Hipervnculo"/>
            <w:sz w:val="18"/>
            <w:szCs w:val="18"/>
            <w:lang w:val="en-US"/>
          </w:rPr>
          <w:t>PRELIMINARY OBJECTIONS</w:t>
        </w:r>
        <w:r w:rsidR="001A3B36" w:rsidRPr="00D869E3">
          <w:rPr>
            <w:webHidden/>
          </w:rPr>
          <w:tab/>
        </w:r>
        <w:r w:rsidR="001A3B36" w:rsidRPr="00D869E3">
          <w:rPr>
            <w:webHidden/>
          </w:rPr>
          <w:fldChar w:fldCharType="begin"/>
        </w:r>
        <w:r w:rsidR="001A3B36" w:rsidRPr="00D869E3">
          <w:rPr>
            <w:webHidden/>
          </w:rPr>
          <w:instrText xml:space="preserve"> PAGEREF _Toc29114102 \h </w:instrText>
        </w:r>
        <w:r w:rsidR="001A3B36" w:rsidRPr="00D869E3">
          <w:rPr>
            <w:webHidden/>
          </w:rPr>
        </w:r>
        <w:r w:rsidR="001A3B36" w:rsidRPr="00D869E3">
          <w:rPr>
            <w:webHidden/>
          </w:rPr>
          <w:fldChar w:fldCharType="separate"/>
        </w:r>
        <w:r>
          <w:rPr>
            <w:webHidden/>
          </w:rPr>
          <w:t>7</w:t>
        </w:r>
        <w:r w:rsidR="001A3B36" w:rsidRPr="00D869E3">
          <w:rPr>
            <w:webHidden/>
          </w:rPr>
          <w:fldChar w:fldCharType="end"/>
        </w:r>
      </w:hyperlink>
    </w:p>
    <w:p w14:paraId="1DA1B16C" w14:textId="00DF2E6F" w:rsidR="001A3B36" w:rsidRPr="00D869E3" w:rsidRDefault="0068647C" w:rsidP="00BE5A9F">
      <w:pPr>
        <w:pStyle w:val="TDC2"/>
        <w:tabs>
          <w:tab w:val="right" w:leader="dot" w:pos="8820"/>
        </w:tabs>
        <w:rPr>
          <w:rFonts w:ascii="Verdana" w:eastAsiaTheme="minorEastAsia" w:hAnsi="Verdana" w:cstheme="minorBidi"/>
          <w:noProof/>
          <w:sz w:val="18"/>
          <w:szCs w:val="18"/>
          <w:lang w:val="en-US"/>
        </w:rPr>
      </w:pPr>
      <w:hyperlink w:anchor="_Toc29114103" w:history="1">
        <w:r w:rsidR="001A3B36" w:rsidRPr="00D869E3">
          <w:rPr>
            <w:rStyle w:val="Hipervnculo"/>
            <w:rFonts w:ascii="Verdana" w:hAnsi="Verdana"/>
            <w:i/>
            <w:noProof/>
            <w:sz w:val="18"/>
            <w:szCs w:val="18"/>
            <w:lang w:val="en-US"/>
          </w:rPr>
          <w:t>A.</w:t>
        </w:r>
        <w:r w:rsidR="001A3B36" w:rsidRPr="00D869E3">
          <w:rPr>
            <w:rFonts w:ascii="Verdana" w:eastAsiaTheme="minorEastAsia" w:hAnsi="Verdana" w:cstheme="minorBidi"/>
            <w:noProof/>
            <w:sz w:val="18"/>
            <w:szCs w:val="18"/>
            <w:lang w:val="en-US"/>
          </w:rPr>
          <w:tab/>
        </w:r>
        <w:r w:rsidR="001A3B36" w:rsidRPr="00D869E3">
          <w:rPr>
            <w:rStyle w:val="Hipervnculo"/>
            <w:rFonts w:ascii="Verdana" w:eastAsia="MS Gothic" w:hAnsi="Verdana"/>
            <w:i/>
            <w:noProof/>
            <w:sz w:val="18"/>
            <w:szCs w:val="18"/>
            <w:lang w:val="en-US"/>
          </w:rPr>
          <w:t>Arguments of the State and observations of the Commission and the representatives</w:t>
        </w:r>
        <w:r w:rsidR="001A3B36" w:rsidRPr="00D869E3">
          <w:rPr>
            <w:rFonts w:ascii="Verdana" w:hAnsi="Verdana"/>
            <w:noProof/>
            <w:webHidden/>
            <w:sz w:val="18"/>
            <w:szCs w:val="18"/>
          </w:rPr>
          <w:tab/>
        </w:r>
        <w:r w:rsidR="001A3B36" w:rsidRPr="00D869E3">
          <w:rPr>
            <w:rFonts w:ascii="Verdana" w:hAnsi="Verdana"/>
            <w:noProof/>
            <w:webHidden/>
            <w:sz w:val="18"/>
            <w:szCs w:val="18"/>
          </w:rPr>
          <w:fldChar w:fldCharType="begin"/>
        </w:r>
        <w:r w:rsidR="001A3B36" w:rsidRPr="00D869E3">
          <w:rPr>
            <w:rFonts w:ascii="Verdana" w:hAnsi="Verdana"/>
            <w:noProof/>
            <w:webHidden/>
            <w:sz w:val="18"/>
            <w:szCs w:val="18"/>
          </w:rPr>
          <w:instrText xml:space="preserve"> PAGEREF _Toc29114103 \h </w:instrText>
        </w:r>
        <w:r w:rsidR="001A3B36" w:rsidRPr="00D869E3">
          <w:rPr>
            <w:rFonts w:ascii="Verdana" w:hAnsi="Verdana"/>
            <w:noProof/>
            <w:webHidden/>
            <w:sz w:val="18"/>
            <w:szCs w:val="18"/>
          </w:rPr>
        </w:r>
        <w:r w:rsidR="001A3B36" w:rsidRPr="00D869E3">
          <w:rPr>
            <w:rFonts w:ascii="Verdana" w:hAnsi="Verdana"/>
            <w:noProof/>
            <w:webHidden/>
            <w:sz w:val="18"/>
            <w:szCs w:val="18"/>
          </w:rPr>
          <w:fldChar w:fldCharType="separate"/>
        </w:r>
        <w:r>
          <w:rPr>
            <w:rFonts w:ascii="Verdana" w:hAnsi="Verdana"/>
            <w:noProof/>
            <w:webHidden/>
            <w:sz w:val="18"/>
            <w:szCs w:val="18"/>
          </w:rPr>
          <w:t>7</w:t>
        </w:r>
        <w:r w:rsidR="001A3B36" w:rsidRPr="00D869E3">
          <w:rPr>
            <w:rFonts w:ascii="Verdana" w:hAnsi="Verdana"/>
            <w:noProof/>
            <w:webHidden/>
            <w:sz w:val="18"/>
            <w:szCs w:val="18"/>
          </w:rPr>
          <w:fldChar w:fldCharType="end"/>
        </w:r>
      </w:hyperlink>
    </w:p>
    <w:p w14:paraId="5F202FB5" w14:textId="130D66E5" w:rsidR="001A3B36" w:rsidRPr="00D869E3" w:rsidRDefault="0068647C" w:rsidP="00BE5A9F">
      <w:pPr>
        <w:pStyle w:val="TDC2"/>
        <w:tabs>
          <w:tab w:val="right" w:leader="dot" w:pos="8820"/>
        </w:tabs>
        <w:rPr>
          <w:rFonts w:ascii="Verdana" w:eastAsiaTheme="minorEastAsia" w:hAnsi="Verdana" w:cstheme="minorBidi"/>
          <w:noProof/>
          <w:sz w:val="18"/>
          <w:szCs w:val="18"/>
          <w:lang w:val="en-US"/>
        </w:rPr>
      </w:pPr>
      <w:hyperlink w:anchor="_Toc29114104" w:history="1">
        <w:r w:rsidR="001A3B36" w:rsidRPr="00D869E3">
          <w:rPr>
            <w:rStyle w:val="Hipervnculo"/>
            <w:rFonts w:ascii="Verdana" w:hAnsi="Verdana"/>
            <w:i/>
            <w:noProof/>
            <w:sz w:val="18"/>
            <w:szCs w:val="18"/>
            <w:lang w:val="en-US"/>
          </w:rPr>
          <w:t>B.</w:t>
        </w:r>
        <w:r w:rsidR="001A3B36" w:rsidRPr="00D869E3">
          <w:rPr>
            <w:rFonts w:ascii="Verdana" w:eastAsiaTheme="minorEastAsia" w:hAnsi="Verdana" w:cstheme="minorBidi"/>
            <w:noProof/>
            <w:sz w:val="18"/>
            <w:szCs w:val="18"/>
            <w:lang w:val="en-US"/>
          </w:rPr>
          <w:tab/>
        </w:r>
        <w:r w:rsidR="001A3B36" w:rsidRPr="00D869E3">
          <w:rPr>
            <w:rStyle w:val="Hipervnculo"/>
            <w:rFonts w:ascii="Verdana" w:hAnsi="Verdana"/>
            <w:i/>
            <w:noProof/>
            <w:sz w:val="18"/>
            <w:szCs w:val="18"/>
            <w:lang w:val="en-US"/>
          </w:rPr>
          <w:t>Considerations of the Court</w:t>
        </w:r>
        <w:r w:rsidR="001A3B36" w:rsidRPr="00D869E3">
          <w:rPr>
            <w:rFonts w:ascii="Verdana" w:hAnsi="Verdana"/>
            <w:noProof/>
            <w:webHidden/>
            <w:sz w:val="18"/>
            <w:szCs w:val="18"/>
          </w:rPr>
          <w:tab/>
        </w:r>
        <w:r w:rsidR="001A3B36" w:rsidRPr="00D869E3">
          <w:rPr>
            <w:rFonts w:ascii="Verdana" w:hAnsi="Verdana"/>
            <w:noProof/>
            <w:webHidden/>
            <w:sz w:val="18"/>
            <w:szCs w:val="18"/>
          </w:rPr>
          <w:fldChar w:fldCharType="begin"/>
        </w:r>
        <w:r w:rsidR="001A3B36" w:rsidRPr="00D869E3">
          <w:rPr>
            <w:rFonts w:ascii="Verdana" w:hAnsi="Verdana"/>
            <w:noProof/>
            <w:webHidden/>
            <w:sz w:val="18"/>
            <w:szCs w:val="18"/>
          </w:rPr>
          <w:instrText xml:space="preserve"> PAGEREF _Toc29114104 \h </w:instrText>
        </w:r>
        <w:r w:rsidR="001A3B36" w:rsidRPr="00D869E3">
          <w:rPr>
            <w:rFonts w:ascii="Verdana" w:hAnsi="Verdana"/>
            <w:noProof/>
            <w:webHidden/>
            <w:sz w:val="18"/>
            <w:szCs w:val="18"/>
          </w:rPr>
        </w:r>
        <w:r w:rsidR="001A3B36" w:rsidRPr="00D869E3">
          <w:rPr>
            <w:rFonts w:ascii="Verdana" w:hAnsi="Verdana"/>
            <w:noProof/>
            <w:webHidden/>
            <w:sz w:val="18"/>
            <w:szCs w:val="18"/>
          </w:rPr>
          <w:fldChar w:fldCharType="separate"/>
        </w:r>
        <w:r>
          <w:rPr>
            <w:rFonts w:ascii="Verdana" w:hAnsi="Verdana"/>
            <w:noProof/>
            <w:webHidden/>
            <w:sz w:val="18"/>
            <w:szCs w:val="18"/>
          </w:rPr>
          <w:t>8</w:t>
        </w:r>
        <w:r w:rsidR="001A3B36" w:rsidRPr="00D869E3">
          <w:rPr>
            <w:rFonts w:ascii="Verdana" w:hAnsi="Verdana"/>
            <w:noProof/>
            <w:webHidden/>
            <w:sz w:val="18"/>
            <w:szCs w:val="18"/>
          </w:rPr>
          <w:fldChar w:fldCharType="end"/>
        </w:r>
      </w:hyperlink>
    </w:p>
    <w:p w14:paraId="70D32AC9" w14:textId="699ECC1D" w:rsidR="001A3B36" w:rsidRPr="00D869E3" w:rsidRDefault="0068647C" w:rsidP="00BE5A9F">
      <w:pPr>
        <w:pStyle w:val="TDC3"/>
        <w:tabs>
          <w:tab w:val="clear" w:pos="8828"/>
          <w:tab w:val="right" w:leader="dot" w:pos="8820"/>
        </w:tabs>
        <w:rPr>
          <w:rFonts w:ascii="Verdana" w:eastAsiaTheme="minorEastAsia" w:hAnsi="Verdana" w:cstheme="minorBidi"/>
          <w:noProof/>
          <w:sz w:val="18"/>
          <w:szCs w:val="18"/>
          <w:lang w:val="en-US"/>
        </w:rPr>
      </w:pPr>
      <w:hyperlink w:anchor="_Toc29114105" w:history="1">
        <w:r w:rsidR="001A3B36" w:rsidRPr="00D869E3">
          <w:rPr>
            <w:rStyle w:val="Hipervnculo"/>
            <w:rFonts w:ascii="Verdana" w:hAnsi="Verdana"/>
            <w:i/>
            <w:noProof/>
            <w:sz w:val="18"/>
            <w:szCs w:val="18"/>
            <w:lang w:val="en-US"/>
          </w:rPr>
          <w:t>1.</w:t>
        </w:r>
        <w:r w:rsidR="001A3B36" w:rsidRPr="00D869E3">
          <w:rPr>
            <w:rFonts w:ascii="Verdana" w:eastAsiaTheme="minorEastAsia" w:hAnsi="Verdana" w:cstheme="minorBidi"/>
            <w:noProof/>
            <w:sz w:val="18"/>
            <w:szCs w:val="18"/>
            <w:lang w:val="en-US"/>
          </w:rPr>
          <w:tab/>
        </w:r>
        <w:r w:rsidR="001A3B36" w:rsidRPr="00D869E3">
          <w:rPr>
            <w:rStyle w:val="Hipervnculo"/>
            <w:rFonts w:ascii="Verdana" w:hAnsi="Verdana"/>
            <w:i/>
            <w:noProof/>
            <w:sz w:val="18"/>
            <w:szCs w:val="18"/>
            <w:lang w:val="en-US"/>
          </w:rPr>
          <w:t>Inclusion of Article 16 of the Convention in the Merits Report</w:t>
        </w:r>
        <w:r w:rsidR="001A3B36" w:rsidRPr="00D869E3">
          <w:rPr>
            <w:rFonts w:ascii="Verdana" w:hAnsi="Verdana"/>
            <w:noProof/>
            <w:webHidden/>
            <w:sz w:val="18"/>
            <w:szCs w:val="18"/>
          </w:rPr>
          <w:tab/>
        </w:r>
        <w:r w:rsidR="001A3B36" w:rsidRPr="00D869E3">
          <w:rPr>
            <w:rFonts w:ascii="Verdana" w:hAnsi="Verdana"/>
            <w:noProof/>
            <w:webHidden/>
            <w:sz w:val="18"/>
            <w:szCs w:val="18"/>
          </w:rPr>
          <w:fldChar w:fldCharType="begin"/>
        </w:r>
        <w:r w:rsidR="001A3B36" w:rsidRPr="00D869E3">
          <w:rPr>
            <w:rFonts w:ascii="Verdana" w:hAnsi="Verdana"/>
            <w:noProof/>
            <w:webHidden/>
            <w:sz w:val="18"/>
            <w:szCs w:val="18"/>
          </w:rPr>
          <w:instrText xml:space="preserve"> PAGEREF _Toc29114105 \h </w:instrText>
        </w:r>
        <w:r w:rsidR="001A3B36" w:rsidRPr="00D869E3">
          <w:rPr>
            <w:rFonts w:ascii="Verdana" w:hAnsi="Verdana"/>
            <w:noProof/>
            <w:webHidden/>
            <w:sz w:val="18"/>
            <w:szCs w:val="18"/>
          </w:rPr>
        </w:r>
        <w:r w:rsidR="001A3B36" w:rsidRPr="00D869E3">
          <w:rPr>
            <w:rFonts w:ascii="Verdana" w:hAnsi="Verdana"/>
            <w:noProof/>
            <w:webHidden/>
            <w:sz w:val="18"/>
            <w:szCs w:val="18"/>
          </w:rPr>
          <w:fldChar w:fldCharType="separate"/>
        </w:r>
        <w:r>
          <w:rPr>
            <w:rFonts w:ascii="Verdana" w:hAnsi="Verdana"/>
            <w:noProof/>
            <w:webHidden/>
            <w:sz w:val="18"/>
            <w:szCs w:val="18"/>
          </w:rPr>
          <w:t>9</w:t>
        </w:r>
        <w:r w:rsidR="001A3B36" w:rsidRPr="00D869E3">
          <w:rPr>
            <w:rFonts w:ascii="Verdana" w:hAnsi="Verdana"/>
            <w:noProof/>
            <w:webHidden/>
            <w:sz w:val="18"/>
            <w:szCs w:val="18"/>
          </w:rPr>
          <w:fldChar w:fldCharType="end"/>
        </w:r>
      </w:hyperlink>
    </w:p>
    <w:p w14:paraId="701D60C5" w14:textId="606A6878" w:rsidR="001A3B36" w:rsidRPr="00D869E3" w:rsidRDefault="0068647C" w:rsidP="00BE5A9F">
      <w:pPr>
        <w:pStyle w:val="TDC3"/>
        <w:tabs>
          <w:tab w:val="clear" w:pos="8828"/>
          <w:tab w:val="right" w:leader="dot" w:pos="8820"/>
        </w:tabs>
        <w:rPr>
          <w:rFonts w:ascii="Verdana" w:eastAsiaTheme="minorEastAsia" w:hAnsi="Verdana" w:cstheme="minorBidi"/>
          <w:noProof/>
          <w:sz w:val="18"/>
          <w:szCs w:val="18"/>
          <w:lang w:val="en-US"/>
        </w:rPr>
      </w:pPr>
      <w:hyperlink w:anchor="_Toc29114106" w:history="1">
        <w:r w:rsidR="001A3B36" w:rsidRPr="00D869E3">
          <w:rPr>
            <w:rStyle w:val="Hipervnculo"/>
            <w:rFonts w:ascii="Verdana" w:hAnsi="Verdana"/>
            <w:i/>
            <w:noProof/>
            <w:sz w:val="18"/>
            <w:szCs w:val="18"/>
            <w:lang w:val="en-US"/>
          </w:rPr>
          <w:t>2.</w:t>
        </w:r>
        <w:r w:rsidR="001A3B36" w:rsidRPr="00D869E3">
          <w:rPr>
            <w:rFonts w:ascii="Verdana" w:eastAsiaTheme="minorEastAsia" w:hAnsi="Verdana" w:cstheme="minorBidi"/>
            <w:noProof/>
            <w:sz w:val="18"/>
            <w:szCs w:val="18"/>
            <w:lang w:val="en-US"/>
          </w:rPr>
          <w:tab/>
        </w:r>
        <w:r w:rsidR="001A3B36" w:rsidRPr="00D869E3">
          <w:rPr>
            <w:rStyle w:val="Hipervnculo"/>
            <w:rFonts w:ascii="Verdana" w:hAnsi="Verdana"/>
            <w:i/>
            <w:noProof/>
            <w:sz w:val="18"/>
            <w:szCs w:val="18"/>
            <w:lang w:val="en-US"/>
          </w:rPr>
          <w:t>Temporal delimitation of the analysis of judicial actions</w:t>
        </w:r>
        <w:r w:rsidR="001A3B36" w:rsidRPr="00D869E3">
          <w:rPr>
            <w:rFonts w:ascii="Verdana" w:hAnsi="Verdana"/>
            <w:noProof/>
            <w:webHidden/>
            <w:sz w:val="18"/>
            <w:szCs w:val="18"/>
          </w:rPr>
          <w:tab/>
        </w:r>
        <w:r w:rsidR="001A3B36" w:rsidRPr="00D869E3">
          <w:rPr>
            <w:rFonts w:ascii="Verdana" w:hAnsi="Verdana"/>
            <w:noProof/>
            <w:webHidden/>
            <w:sz w:val="18"/>
            <w:szCs w:val="18"/>
          </w:rPr>
          <w:fldChar w:fldCharType="begin"/>
        </w:r>
        <w:r w:rsidR="001A3B36" w:rsidRPr="00D869E3">
          <w:rPr>
            <w:rFonts w:ascii="Verdana" w:hAnsi="Verdana"/>
            <w:noProof/>
            <w:webHidden/>
            <w:sz w:val="18"/>
            <w:szCs w:val="18"/>
          </w:rPr>
          <w:instrText xml:space="preserve"> PAGEREF _Toc29114106 \h </w:instrText>
        </w:r>
        <w:r w:rsidR="001A3B36" w:rsidRPr="00D869E3">
          <w:rPr>
            <w:rFonts w:ascii="Verdana" w:hAnsi="Verdana"/>
            <w:noProof/>
            <w:webHidden/>
            <w:sz w:val="18"/>
            <w:szCs w:val="18"/>
          </w:rPr>
        </w:r>
        <w:r w:rsidR="001A3B36" w:rsidRPr="00D869E3">
          <w:rPr>
            <w:rFonts w:ascii="Verdana" w:hAnsi="Verdana"/>
            <w:noProof/>
            <w:webHidden/>
            <w:sz w:val="18"/>
            <w:szCs w:val="18"/>
          </w:rPr>
          <w:fldChar w:fldCharType="separate"/>
        </w:r>
        <w:r>
          <w:rPr>
            <w:rFonts w:ascii="Verdana" w:hAnsi="Verdana"/>
            <w:noProof/>
            <w:webHidden/>
            <w:sz w:val="18"/>
            <w:szCs w:val="18"/>
          </w:rPr>
          <w:t>10</w:t>
        </w:r>
        <w:r w:rsidR="001A3B36" w:rsidRPr="00D869E3">
          <w:rPr>
            <w:rFonts w:ascii="Verdana" w:hAnsi="Verdana"/>
            <w:noProof/>
            <w:webHidden/>
            <w:sz w:val="18"/>
            <w:szCs w:val="18"/>
          </w:rPr>
          <w:fldChar w:fldCharType="end"/>
        </w:r>
      </w:hyperlink>
    </w:p>
    <w:p w14:paraId="32165A3B" w14:textId="65DD5EFE" w:rsidR="001A3B36" w:rsidRPr="00D869E3" w:rsidRDefault="0068647C" w:rsidP="00BE5A9F">
      <w:pPr>
        <w:pStyle w:val="TDC1"/>
        <w:rPr>
          <w:rFonts w:eastAsiaTheme="minorEastAsia" w:cstheme="minorBidi"/>
          <w:snapToGrid/>
          <w:lang w:val="en-US"/>
        </w:rPr>
      </w:pPr>
      <w:hyperlink w:anchor="_Toc29114107" w:history="1">
        <w:r w:rsidR="001A3B36" w:rsidRPr="00D869E3">
          <w:rPr>
            <w:rStyle w:val="Hipervnculo"/>
            <w:rFonts w:cs="Verdana"/>
            <w:sz w:val="18"/>
            <w:szCs w:val="18"/>
            <w:lang w:val="en-US"/>
          </w:rPr>
          <w:t>V EVIDENCE</w:t>
        </w:r>
        <w:r w:rsidR="001A3B36" w:rsidRPr="00D869E3">
          <w:rPr>
            <w:webHidden/>
          </w:rPr>
          <w:tab/>
        </w:r>
        <w:r w:rsidR="001A3B36" w:rsidRPr="00D869E3">
          <w:rPr>
            <w:webHidden/>
          </w:rPr>
          <w:fldChar w:fldCharType="begin"/>
        </w:r>
        <w:r w:rsidR="001A3B36" w:rsidRPr="00D869E3">
          <w:rPr>
            <w:webHidden/>
          </w:rPr>
          <w:instrText xml:space="preserve"> PAGEREF _Toc29114107 \h </w:instrText>
        </w:r>
        <w:r w:rsidR="001A3B36" w:rsidRPr="00D869E3">
          <w:rPr>
            <w:webHidden/>
          </w:rPr>
        </w:r>
        <w:r w:rsidR="001A3B36" w:rsidRPr="00D869E3">
          <w:rPr>
            <w:webHidden/>
          </w:rPr>
          <w:fldChar w:fldCharType="separate"/>
        </w:r>
        <w:r>
          <w:rPr>
            <w:webHidden/>
          </w:rPr>
          <w:t>11</w:t>
        </w:r>
        <w:r w:rsidR="001A3B36" w:rsidRPr="00D869E3">
          <w:rPr>
            <w:webHidden/>
          </w:rPr>
          <w:fldChar w:fldCharType="end"/>
        </w:r>
      </w:hyperlink>
    </w:p>
    <w:p w14:paraId="1E905C3B" w14:textId="16E8758E" w:rsidR="001A3B36" w:rsidRPr="00D869E3" w:rsidRDefault="0068647C" w:rsidP="00BE5A9F">
      <w:pPr>
        <w:pStyle w:val="TDC2"/>
        <w:tabs>
          <w:tab w:val="right" w:leader="dot" w:pos="8820"/>
        </w:tabs>
        <w:rPr>
          <w:rFonts w:ascii="Verdana" w:eastAsiaTheme="minorEastAsia" w:hAnsi="Verdana" w:cstheme="minorBidi"/>
          <w:noProof/>
          <w:sz w:val="18"/>
          <w:szCs w:val="18"/>
          <w:lang w:val="en-US"/>
        </w:rPr>
      </w:pPr>
      <w:hyperlink w:anchor="_Toc29114108" w:history="1">
        <w:r w:rsidR="001A3B36" w:rsidRPr="00D869E3">
          <w:rPr>
            <w:rStyle w:val="Hipervnculo"/>
            <w:rFonts w:ascii="Verdana" w:eastAsia="MS Gothic" w:hAnsi="Verdana"/>
            <w:i/>
            <w:noProof/>
            <w:sz w:val="18"/>
            <w:szCs w:val="18"/>
            <w:lang w:val="en-US"/>
          </w:rPr>
          <w:t>A.</w:t>
        </w:r>
        <w:r w:rsidR="001A3B36" w:rsidRPr="00D869E3">
          <w:rPr>
            <w:rFonts w:ascii="Verdana" w:eastAsiaTheme="minorEastAsia" w:hAnsi="Verdana" w:cstheme="minorBidi"/>
            <w:noProof/>
            <w:sz w:val="18"/>
            <w:szCs w:val="18"/>
            <w:lang w:val="en-US"/>
          </w:rPr>
          <w:tab/>
        </w:r>
        <w:r w:rsidR="001A3B36" w:rsidRPr="00D869E3">
          <w:rPr>
            <w:rStyle w:val="Hipervnculo"/>
            <w:rFonts w:ascii="Verdana" w:eastAsia="MS Gothic" w:hAnsi="Verdana"/>
            <w:i/>
            <w:noProof/>
            <w:sz w:val="18"/>
            <w:szCs w:val="18"/>
            <w:lang w:val="en-US"/>
          </w:rPr>
          <w:t>Documentary, testimonial and expert evidence</w:t>
        </w:r>
        <w:r w:rsidR="001A3B36" w:rsidRPr="00D869E3">
          <w:rPr>
            <w:rFonts w:ascii="Verdana" w:hAnsi="Verdana"/>
            <w:noProof/>
            <w:webHidden/>
            <w:sz w:val="18"/>
            <w:szCs w:val="18"/>
          </w:rPr>
          <w:tab/>
        </w:r>
        <w:r w:rsidR="001A3B36" w:rsidRPr="00D869E3">
          <w:rPr>
            <w:rFonts w:ascii="Verdana" w:hAnsi="Verdana"/>
            <w:noProof/>
            <w:webHidden/>
            <w:sz w:val="18"/>
            <w:szCs w:val="18"/>
          </w:rPr>
          <w:fldChar w:fldCharType="begin"/>
        </w:r>
        <w:r w:rsidR="001A3B36" w:rsidRPr="00D869E3">
          <w:rPr>
            <w:rFonts w:ascii="Verdana" w:hAnsi="Verdana"/>
            <w:noProof/>
            <w:webHidden/>
            <w:sz w:val="18"/>
            <w:szCs w:val="18"/>
          </w:rPr>
          <w:instrText xml:space="preserve"> PAGEREF _Toc29114108 \h </w:instrText>
        </w:r>
        <w:r w:rsidR="001A3B36" w:rsidRPr="00D869E3">
          <w:rPr>
            <w:rFonts w:ascii="Verdana" w:hAnsi="Verdana"/>
            <w:noProof/>
            <w:webHidden/>
            <w:sz w:val="18"/>
            <w:szCs w:val="18"/>
          </w:rPr>
        </w:r>
        <w:r w:rsidR="001A3B36" w:rsidRPr="00D869E3">
          <w:rPr>
            <w:rFonts w:ascii="Verdana" w:hAnsi="Verdana"/>
            <w:noProof/>
            <w:webHidden/>
            <w:sz w:val="18"/>
            <w:szCs w:val="18"/>
          </w:rPr>
          <w:fldChar w:fldCharType="separate"/>
        </w:r>
        <w:r>
          <w:rPr>
            <w:rFonts w:ascii="Verdana" w:hAnsi="Verdana"/>
            <w:noProof/>
            <w:webHidden/>
            <w:sz w:val="18"/>
            <w:szCs w:val="18"/>
          </w:rPr>
          <w:t>11</w:t>
        </w:r>
        <w:r w:rsidR="001A3B36" w:rsidRPr="00D869E3">
          <w:rPr>
            <w:rFonts w:ascii="Verdana" w:hAnsi="Verdana"/>
            <w:noProof/>
            <w:webHidden/>
            <w:sz w:val="18"/>
            <w:szCs w:val="18"/>
          </w:rPr>
          <w:fldChar w:fldCharType="end"/>
        </w:r>
      </w:hyperlink>
    </w:p>
    <w:p w14:paraId="232F1243" w14:textId="68463B35" w:rsidR="001A3B36" w:rsidRPr="00D869E3" w:rsidRDefault="0068647C" w:rsidP="00BE5A9F">
      <w:pPr>
        <w:pStyle w:val="TDC2"/>
        <w:tabs>
          <w:tab w:val="right" w:leader="dot" w:pos="8820"/>
        </w:tabs>
        <w:rPr>
          <w:rFonts w:ascii="Verdana" w:eastAsiaTheme="minorEastAsia" w:hAnsi="Verdana" w:cstheme="minorBidi"/>
          <w:noProof/>
          <w:sz w:val="18"/>
          <w:szCs w:val="18"/>
          <w:lang w:val="en-US"/>
        </w:rPr>
      </w:pPr>
      <w:hyperlink w:anchor="_Toc29114109" w:history="1">
        <w:r w:rsidR="001A3B36" w:rsidRPr="00D869E3">
          <w:rPr>
            <w:rStyle w:val="Hipervnculo"/>
            <w:rFonts w:ascii="Verdana" w:eastAsia="MS Gothic" w:hAnsi="Verdana"/>
            <w:i/>
            <w:noProof/>
            <w:sz w:val="18"/>
            <w:szCs w:val="18"/>
            <w:lang w:val="en-US"/>
          </w:rPr>
          <w:t>B.</w:t>
        </w:r>
        <w:r w:rsidR="001A3B36" w:rsidRPr="00D869E3">
          <w:rPr>
            <w:rFonts w:ascii="Verdana" w:eastAsiaTheme="minorEastAsia" w:hAnsi="Verdana" w:cstheme="minorBidi"/>
            <w:noProof/>
            <w:sz w:val="18"/>
            <w:szCs w:val="18"/>
            <w:lang w:val="en-US"/>
          </w:rPr>
          <w:tab/>
        </w:r>
        <w:r w:rsidR="001A3B36" w:rsidRPr="00D869E3">
          <w:rPr>
            <w:rStyle w:val="Hipervnculo"/>
            <w:rFonts w:ascii="Verdana" w:eastAsia="MS Gothic" w:hAnsi="Verdana"/>
            <w:i/>
            <w:noProof/>
            <w:sz w:val="18"/>
            <w:szCs w:val="18"/>
            <w:lang w:val="en-US"/>
          </w:rPr>
          <w:t>Admission of the evidence</w:t>
        </w:r>
        <w:r w:rsidR="001A3B36" w:rsidRPr="00D869E3">
          <w:rPr>
            <w:rFonts w:ascii="Verdana" w:hAnsi="Verdana"/>
            <w:noProof/>
            <w:webHidden/>
            <w:sz w:val="18"/>
            <w:szCs w:val="18"/>
          </w:rPr>
          <w:tab/>
        </w:r>
        <w:r w:rsidR="001A3B36" w:rsidRPr="00D869E3">
          <w:rPr>
            <w:rFonts w:ascii="Verdana" w:hAnsi="Verdana"/>
            <w:noProof/>
            <w:webHidden/>
            <w:sz w:val="18"/>
            <w:szCs w:val="18"/>
          </w:rPr>
          <w:fldChar w:fldCharType="begin"/>
        </w:r>
        <w:r w:rsidR="001A3B36" w:rsidRPr="00D869E3">
          <w:rPr>
            <w:rFonts w:ascii="Verdana" w:hAnsi="Verdana"/>
            <w:noProof/>
            <w:webHidden/>
            <w:sz w:val="18"/>
            <w:szCs w:val="18"/>
          </w:rPr>
          <w:instrText xml:space="preserve"> PAGEREF _Toc29114109 \h </w:instrText>
        </w:r>
        <w:r w:rsidR="001A3B36" w:rsidRPr="00D869E3">
          <w:rPr>
            <w:rFonts w:ascii="Verdana" w:hAnsi="Verdana"/>
            <w:noProof/>
            <w:webHidden/>
            <w:sz w:val="18"/>
            <w:szCs w:val="18"/>
          </w:rPr>
        </w:r>
        <w:r w:rsidR="001A3B36" w:rsidRPr="00D869E3">
          <w:rPr>
            <w:rFonts w:ascii="Verdana" w:hAnsi="Verdana"/>
            <w:noProof/>
            <w:webHidden/>
            <w:sz w:val="18"/>
            <w:szCs w:val="18"/>
          </w:rPr>
          <w:fldChar w:fldCharType="separate"/>
        </w:r>
        <w:r>
          <w:rPr>
            <w:rFonts w:ascii="Verdana" w:hAnsi="Verdana"/>
            <w:noProof/>
            <w:webHidden/>
            <w:sz w:val="18"/>
            <w:szCs w:val="18"/>
          </w:rPr>
          <w:t>11</w:t>
        </w:r>
        <w:r w:rsidR="001A3B36" w:rsidRPr="00D869E3">
          <w:rPr>
            <w:rFonts w:ascii="Verdana" w:hAnsi="Verdana"/>
            <w:noProof/>
            <w:webHidden/>
            <w:sz w:val="18"/>
            <w:szCs w:val="18"/>
          </w:rPr>
          <w:fldChar w:fldCharType="end"/>
        </w:r>
      </w:hyperlink>
    </w:p>
    <w:p w14:paraId="5FDC4B1C" w14:textId="461FF4A2" w:rsidR="001A3B36" w:rsidRPr="00D869E3" w:rsidRDefault="0068647C" w:rsidP="00BE5A9F">
      <w:pPr>
        <w:pStyle w:val="TDC3"/>
        <w:tabs>
          <w:tab w:val="clear" w:pos="8828"/>
          <w:tab w:val="right" w:leader="dot" w:pos="8820"/>
        </w:tabs>
        <w:rPr>
          <w:rFonts w:ascii="Verdana" w:eastAsiaTheme="minorEastAsia" w:hAnsi="Verdana" w:cstheme="minorBidi"/>
          <w:noProof/>
          <w:sz w:val="18"/>
          <w:szCs w:val="18"/>
          <w:lang w:val="en-US"/>
        </w:rPr>
      </w:pPr>
      <w:hyperlink w:anchor="_Toc29114110" w:history="1">
        <w:r w:rsidR="001A3B36" w:rsidRPr="00D869E3">
          <w:rPr>
            <w:rStyle w:val="Hipervnculo"/>
            <w:rFonts w:ascii="Verdana" w:hAnsi="Verdana"/>
            <w:i/>
            <w:noProof/>
            <w:sz w:val="18"/>
            <w:szCs w:val="18"/>
            <w:lang w:val="en-US"/>
          </w:rPr>
          <w:t>1.</w:t>
        </w:r>
        <w:r w:rsidR="001A3B36" w:rsidRPr="00D869E3">
          <w:rPr>
            <w:rFonts w:ascii="Verdana" w:eastAsiaTheme="minorEastAsia" w:hAnsi="Verdana" w:cstheme="minorBidi"/>
            <w:noProof/>
            <w:sz w:val="18"/>
            <w:szCs w:val="18"/>
            <w:lang w:val="en-US"/>
          </w:rPr>
          <w:tab/>
        </w:r>
        <w:r w:rsidR="001A3B36" w:rsidRPr="00D869E3">
          <w:rPr>
            <w:rStyle w:val="Hipervnculo"/>
            <w:rFonts w:ascii="Verdana" w:hAnsi="Verdana"/>
            <w:i/>
            <w:noProof/>
            <w:sz w:val="18"/>
            <w:szCs w:val="18"/>
            <w:lang w:val="en-US"/>
          </w:rPr>
          <w:t>Admission of the documentary evidence</w:t>
        </w:r>
        <w:r w:rsidR="001A3B36" w:rsidRPr="00D869E3">
          <w:rPr>
            <w:rFonts w:ascii="Verdana" w:hAnsi="Verdana"/>
            <w:noProof/>
            <w:webHidden/>
            <w:sz w:val="18"/>
            <w:szCs w:val="18"/>
          </w:rPr>
          <w:tab/>
        </w:r>
        <w:r w:rsidR="001A3B36" w:rsidRPr="00D869E3">
          <w:rPr>
            <w:rFonts w:ascii="Verdana" w:hAnsi="Verdana"/>
            <w:noProof/>
            <w:webHidden/>
            <w:sz w:val="18"/>
            <w:szCs w:val="18"/>
          </w:rPr>
          <w:fldChar w:fldCharType="begin"/>
        </w:r>
        <w:r w:rsidR="001A3B36" w:rsidRPr="00D869E3">
          <w:rPr>
            <w:rFonts w:ascii="Verdana" w:hAnsi="Verdana"/>
            <w:noProof/>
            <w:webHidden/>
            <w:sz w:val="18"/>
            <w:szCs w:val="18"/>
          </w:rPr>
          <w:instrText xml:space="preserve"> PAGEREF _Toc29114110 \h </w:instrText>
        </w:r>
        <w:r w:rsidR="001A3B36" w:rsidRPr="00D869E3">
          <w:rPr>
            <w:rFonts w:ascii="Verdana" w:hAnsi="Verdana"/>
            <w:noProof/>
            <w:webHidden/>
            <w:sz w:val="18"/>
            <w:szCs w:val="18"/>
          </w:rPr>
        </w:r>
        <w:r w:rsidR="001A3B36" w:rsidRPr="00D869E3">
          <w:rPr>
            <w:rFonts w:ascii="Verdana" w:hAnsi="Verdana"/>
            <w:noProof/>
            <w:webHidden/>
            <w:sz w:val="18"/>
            <w:szCs w:val="18"/>
          </w:rPr>
          <w:fldChar w:fldCharType="separate"/>
        </w:r>
        <w:r>
          <w:rPr>
            <w:rFonts w:ascii="Verdana" w:hAnsi="Verdana"/>
            <w:noProof/>
            <w:webHidden/>
            <w:sz w:val="18"/>
            <w:szCs w:val="18"/>
          </w:rPr>
          <w:t>11</w:t>
        </w:r>
        <w:r w:rsidR="001A3B36" w:rsidRPr="00D869E3">
          <w:rPr>
            <w:rFonts w:ascii="Verdana" w:hAnsi="Verdana"/>
            <w:noProof/>
            <w:webHidden/>
            <w:sz w:val="18"/>
            <w:szCs w:val="18"/>
          </w:rPr>
          <w:fldChar w:fldCharType="end"/>
        </w:r>
      </w:hyperlink>
    </w:p>
    <w:p w14:paraId="213A68E9" w14:textId="29FDEA3D" w:rsidR="001A3B36" w:rsidRPr="00D869E3" w:rsidRDefault="0068647C" w:rsidP="00BE5A9F">
      <w:pPr>
        <w:pStyle w:val="TDC3"/>
        <w:tabs>
          <w:tab w:val="clear" w:pos="8828"/>
          <w:tab w:val="right" w:leader="dot" w:pos="8820"/>
        </w:tabs>
        <w:rPr>
          <w:rFonts w:ascii="Verdana" w:eastAsiaTheme="minorEastAsia" w:hAnsi="Verdana" w:cstheme="minorBidi"/>
          <w:noProof/>
          <w:sz w:val="18"/>
          <w:szCs w:val="18"/>
          <w:lang w:val="en-US"/>
        </w:rPr>
      </w:pPr>
      <w:hyperlink w:anchor="_Toc29114111" w:history="1">
        <w:r w:rsidR="001A3B36" w:rsidRPr="00D869E3">
          <w:rPr>
            <w:rStyle w:val="Hipervnculo"/>
            <w:rFonts w:ascii="Verdana" w:hAnsi="Verdana"/>
            <w:i/>
            <w:noProof/>
            <w:sz w:val="18"/>
            <w:szCs w:val="18"/>
            <w:lang w:val="en-US"/>
          </w:rPr>
          <w:t>2.</w:t>
        </w:r>
        <w:r w:rsidR="001A3B36" w:rsidRPr="00D869E3">
          <w:rPr>
            <w:rFonts w:ascii="Verdana" w:eastAsiaTheme="minorEastAsia" w:hAnsi="Verdana" w:cstheme="minorBidi"/>
            <w:noProof/>
            <w:sz w:val="18"/>
            <w:szCs w:val="18"/>
            <w:lang w:val="en-US"/>
          </w:rPr>
          <w:tab/>
        </w:r>
        <w:r w:rsidR="001A3B36" w:rsidRPr="00D869E3">
          <w:rPr>
            <w:rStyle w:val="Hipervnculo"/>
            <w:rFonts w:ascii="Verdana" w:hAnsi="Verdana"/>
            <w:i/>
            <w:noProof/>
            <w:sz w:val="18"/>
            <w:szCs w:val="18"/>
            <w:lang w:val="en-US"/>
          </w:rPr>
          <w:t>Admission of the testimonial and expert evidence</w:t>
        </w:r>
        <w:r w:rsidR="001A3B36" w:rsidRPr="00D869E3">
          <w:rPr>
            <w:rFonts w:ascii="Verdana" w:hAnsi="Verdana"/>
            <w:noProof/>
            <w:webHidden/>
            <w:sz w:val="18"/>
            <w:szCs w:val="18"/>
          </w:rPr>
          <w:tab/>
        </w:r>
        <w:r w:rsidR="001A3B36" w:rsidRPr="00D869E3">
          <w:rPr>
            <w:rFonts w:ascii="Verdana" w:hAnsi="Verdana"/>
            <w:noProof/>
            <w:webHidden/>
            <w:sz w:val="18"/>
            <w:szCs w:val="18"/>
          </w:rPr>
          <w:fldChar w:fldCharType="begin"/>
        </w:r>
        <w:r w:rsidR="001A3B36" w:rsidRPr="00D869E3">
          <w:rPr>
            <w:rFonts w:ascii="Verdana" w:hAnsi="Verdana"/>
            <w:noProof/>
            <w:webHidden/>
            <w:sz w:val="18"/>
            <w:szCs w:val="18"/>
          </w:rPr>
          <w:instrText xml:space="preserve"> PAGEREF _Toc29114111 \h </w:instrText>
        </w:r>
        <w:r w:rsidR="001A3B36" w:rsidRPr="00D869E3">
          <w:rPr>
            <w:rFonts w:ascii="Verdana" w:hAnsi="Verdana"/>
            <w:noProof/>
            <w:webHidden/>
            <w:sz w:val="18"/>
            <w:szCs w:val="18"/>
          </w:rPr>
        </w:r>
        <w:r w:rsidR="001A3B36" w:rsidRPr="00D869E3">
          <w:rPr>
            <w:rFonts w:ascii="Verdana" w:hAnsi="Verdana"/>
            <w:noProof/>
            <w:webHidden/>
            <w:sz w:val="18"/>
            <w:szCs w:val="18"/>
          </w:rPr>
          <w:fldChar w:fldCharType="separate"/>
        </w:r>
        <w:r>
          <w:rPr>
            <w:rFonts w:ascii="Verdana" w:hAnsi="Verdana"/>
            <w:noProof/>
            <w:webHidden/>
            <w:sz w:val="18"/>
            <w:szCs w:val="18"/>
          </w:rPr>
          <w:t>12</w:t>
        </w:r>
        <w:r w:rsidR="001A3B36" w:rsidRPr="00D869E3">
          <w:rPr>
            <w:rFonts w:ascii="Verdana" w:hAnsi="Verdana"/>
            <w:noProof/>
            <w:webHidden/>
            <w:sz w:val="18"/>
            <w:szCs w:val="18"/>
          </w:rPr>
          <w:fldChar w:fldCharType="end"/>
        </w:r>
      </w:hyperlink>
    </w:p>
    <w:p w14:paraId="58D77029" w14:textId="34D50B9C" w:rsidR="001A3B36" w:rsidRPr="00D869E3" w:rsidRDefault="0068647C" w:rsidP="00BE5A9F">
      <w:pPr>
        <w:pStyle w:val="TDC2"/>
        <w:tabs>
          <w:tab w:val="right" w:leader="dot" w:pos="8820"/>
        </w:tabs>
        <w:rPr>
          <w:rFonts w:ascii="Verdana" w:eastAsiaTheme="minorEastAsia" w:hAnsi="Verdana" w:cstheme="minorBidi"/>
          <w:noProof/>
          <w:sz w:val="18"/>
          <w:szCs w:val="18"/>
          <w:lang w:val="en-US"/>
        </w:rPr>
      </w:pPr>
      <w:hyperlink w:anchor="_Toc29114112" w:history="1">
        <w:r w:rsidR="001A3B36" w:rsidRPr="00D869E3">
          <w:rPr>
            <w:rStyle w:val="Hipervnculo"/>
            <w:rFonts w:ascii="Verdana" w:eastAsia="MS Gothic" w:hAnsi="Verdana"/>
            <w:i/>
            <w:noProof/>
            <w:sz w:val="18"/>
            <w:szCs w:val="18"/>
            <w:lang w:val="en-US"/>
          </w:rPr>
          <w:t>C.</w:t>
        </w:r>
        <w:r w:rsidR="001A3B36" w:rsidRPr="00D869E3">
          <w:rPr>
            <w:rFonts w:ascii="Verdana" w:eastAsiaTheme="minorEastAsia" w:hAnsi="Verdana" w:cstheme="minorBidi"/>
            <w:noProof/>
            <w:sz w:val="18"/>
            <w:szCs w:val="18"/>
            <w:lang w:val="en-US"/>
          </w:rPr>
          <w:tab/>
        </w:r>
        <w:r w:rsidR="001A3B36" w:rsidRPr="00D869E3">
          <w:rPr>
            <w:rStyle w:val="Hipervnculo"/>
            <w:rFonts w:ascii="Verdana" w:eastAsia="MS Gothic" w:hAnsi="Verdana"/>
            <w:i/>
            <w:noProof/>
            <w:sz w:val="18"/>
            <w:szCs w:val="18"/>
            <w:lang w:val="en-US"/>
          </w:rPr>
          <w:t>Assessment of the evidence</w:t>
        </w:r>
        <w:r w:rsidR="001A3B36" w:rsidRPr="00D869E3">
          <w:rPr>
            <w:rFonts w:ascii="Verdana" w:hAnsi="Verdana"/>
            <w:noProof/>
            <w:webHidden/>
            <w:sz w:val="18"/>
            <w:szCs w:val="18"/>
          </w:rPr>
          <w:tab/>
        </w:r>
        <w:r w:rsidR="001A3B36" w:rsidRPr="00D869E3">
          <w:rPr>
            <w:rFonts w:ascii="Verdana" w:hAnsi="Verdana"/>
            <w:noProof/>
            <w:webHidden/>
            <w:sz w:val="18"/>
            <w:szCs w:val="18"/>
          </w:rPr>
          <w:fldChar w:fldCharType="begin"/>
        </w:r>
        <w:r w:rsidR="001A3B36" w:rsidRPr="00D869E3">
          <w:rPr>
            <w:rFonts w:ascii="Verdana" w:hAnsi="Verdana"/>
            <w:noProof/>
            <w:webHidden/>
            <w:sz w:val="18"/>
            <w:szCs w:val="18"/>
          </w:rPr>
          <w:instrText xml:space="preserve"> PAGEREF _Toc29114112 \h </w:instrText>
        </w:r>
        <w:r w:rsidR="001A3B36" w:rsidRPr="00D869E3">
          <w:rPr>
            <w:rFonts w:ascii="Verdana" w:hAnsi="Verdana"/>
            <w:noProof/>
            <w:webHidden/>
            <w:sz w:val="18"/>
            <w:szCs w:val="18"/>
          </w:rPr>
        </w:r>
        <w:r w:rsidR="001A3B36" w:rsidRPr="00D869E3">
          <w:rPr>
            <w:rFonts w:ascii="Verdana" w:hAnsi="Verdana"/>
            <w:noProof/>
            <w:webHidden/>
            <w:sz w:val="18"/>
            <w:szCs w:val="18"/>
          </w:rPr>
          <w:fldChar w:fldCharType="separate"/>
        </w:r>
        <w:r>
          <w:rPr>
            <w:rFonts w:ascii="Verdana" w:hAnsi="Verdana"/>
            <w:noProof/>
            <w:webHidden/>
            <w:sz w:val="18"/>
            <w:szCs w:val="18"/>
          </w:rPr>
          <w:t>13</w:t>
        </w:r>
        <w:r w:rsidR="001A3B36" w:rsidRPr="00D869E3">
          <w:rPr>
            <w:rFonts w:ascii="Verdana" w:hAnsi="Verdana"/>
            <w:noProof/>
            <w:webHidden/>
            <w:sz w:val="18"/>
            <w:szCs w:val="18"/>
          </w:rPr>
          <w:fldChar w:fldCharType="end"/>
        </w:r>
      </w:hyperlink>
    </w:p>
    <w:p w14:paraId="5BF6B39A" w14:textId="51F0E0C3" w:rsidR="001A3B36" w:rsidRPr="00D869E3" w:rsidRDefault="0068647C" w:rsidP="00BE5A9F">
      <w:pPr>
        <w:pStyle w:val="TDC1"/>
        <w:rPr>
          <w:rFonts w:eastAsiaTheme="minorEastAsia" w:cstheme="minorBidi"/>
          <w:snapToGrid/>
          <w:lang w:val="en-US"/>
        </w:rPr>
      </w:pPr>
      <w:hyperlink w:anchor="_Toc29114113" w:history="1">
        <w:r w:rsidR="001A3B36" w:rsidRPr="00D869E3">
          <w:rPr>
            <w:rStyle w:val="Hipervnculo"/>
            <w:rFonts w:cs="Verdana"/>
            <w:sz w:val="18"/>
            <w:szCs w:val="18"/>
            <w:lang w:val="en-US"/>
          </w:rPr>
          <w:t>Vi facts</w:t>
        </w:r>
        <w:r w:rsidR="001A3B36" w:rsidRPr="00D869E3">
          <w:rPr>
            <w:webHidden/>
          </w:rPr>
          <w:tab/>
        </w:r>
        <w:r w:rsidR="001A3B36" w:rsidRPr="00D869E3">
          <w:rPr>
            <w:webHidden/>
          </w:rPr>
          <w:fldChar w:fldCharType="begin"/>
        </w:r>
        <w:r w:rsidR="001A3B36" w:rsidRPr="00D869E3">
          <w:rPr>
            <w:webHidden/>
          </w:rPr>
          <w:instrText xml:space="preserve"> PAGEREF _Toc29114113 \h </w:instrText>
        </w:r>
        <w:r w:rsidR="001A3B36" w:rsidRPr="00D869E3">
          <w:rPr>
            <w:webHidden/>
          </w:rPr>
        </w:r>
        <w:r w:rsidR="001A3B36" w:rsidRPr="00D869E3">
          <w:rPr>
            <w:webHidden/>
          </w:rPr>
          <w:fldChar w:fldCharType="separate"/>
        </w:r>
        <w:r>
          <w:rPr>
            <w:webHidden/>
          </w:rPr>
          <w:t>13</w:t>
        </w:r>
        <w:r w:rsidR="001A3B36" w:rsidRPr="00D869E3">
          <w:rPr>
            <w:webHidden/>
          </w:rPr>
          <w:fldChar w:fldCharType="end"/>
        </w:r>
      </w:hyperlink>
    </w:p>
    <w:p w14:paraId="22550B91" w14:textId="0236DEEC" w:rsidR="001A3B36" w:rsidRPr="00D869E3" w:rsidRDefault="0068647C" w:rsidP="00BE5A9F">
      <w:pPr>
        <w:pStyle w:val="TDC2"/>
        <w:tabs>
          <w:tab w:val="right" w:leader="dot" w:pos="8820"/>
        </w:tabs>
        <w:rPr>
          <w:rFonts w:ascii="Verdana" w:eastAsiaTheme="minorEastAsia" w:hAnsi="Verdana" w:cstheme="minorBidi"/>
          <w:noProof/>
          <w:sz w:val="18"/>
          <w:szCs w:val="18"/>
          <w:lang w:val="en-US"/>
        </w:rPr>
      </w:pPr>
      <w:hyperlink w:anchor="_Toc29114114" w:history="1">
        <w:r w:rsidR="001A3B36" w:rsidRPr="00D869E3">
          <w:rPr>
            <w:rStyle w:val="Hipervnculo"/>
            <w:rFonts w:ascii="Verdana" w:eastAsia="MS Gothic" w:hAnsi="Verdana"/>
            <w:i/>
            <w:noProof/>
            <w:sz w:val="18"/>
            <w:szCs w:val="18"/>
            <w:lang w:val="en-US"/>
          </w:rPr>
          <w:t>A.</w:t>
        </w:r>
        <w:r w:rsidR="001A3B36" w:rsidRPr="00D869E3">
          <w:rPr>
            <w:rFonts w:ascii="Verdana" w:eastAsiaTheme="minorEastAsia" w:hAnsi="Verdana" w:cstheme="minorBidi"/>
            <w:noProof/>
            <w:sz w:val="18"/>
            <w:szCs w:val="18"/>
            <w:lang w:val="en-US"/>
          </w:rPr>
          <w:tab/>
        </w:r>
        <w:r w:rsidR="001A3B36" w:rsidRPr="00D869E3">
          <w:rPr>
            <w:rStyle w:val="Hipervnculo"/>
            <w:rFonts w:ascii="Verdana" w:eastAsia="MS Gothic" w:hAnsi="Verdana"/>
            <w:i/>
            <w:noProof/>
            <w:sz w:val="18"/>
            <w:szCs w:val="18"/>
            <w:lang w:val="en-US"/>
          </w:rPr>
          <w:t>The Industrial Communities in Peru</w:t>
        </w:r>
        <w:r w:rsidR="001A3B36" w:rsidRPr="00D869E3">
          <w:rPr>
            <w:rFonts w:ascii="Verdana" w:hAnsi="Verdana"/>
            <w:noProof/>
            <w:webHidden/>
            <w:sz w:val="18"/>
            <w:szCs w:val="18"/>
          </w:rPr>
          <w:tab/>
        </w:r>
        <w:r w:rsidR="001A3B36" w:rsidRPr="00D869E3">
          <w:rPr>
            <w:rFonts w:ascii="Verdana" w:hAnsi="Verdana"/>
            <w:noProof/>
            <w:webHidden/>
            <w:sz w:val="18"/>
            <w:szCs w:val="18"/>
          </w:rPr>
          <w:fldChar w:fldCharType="begin"/>
        </w:r>
        <w:r w:rsidR="001A3B36" w:rsidRPr="00D869E3">
          <w:rPr>
            <w:rFonts w:ascii="Verdana" w:hAnsi="Verdana"/>
            <w:noProof/>
            <w:webHidden/>
            <w:sz w:val="18"/>
            <w:szCs w:val="18"/>
          </w:rPr>
          <w:instrText xml:space="preserve"> PAGEREF _Toc29114114 \h </w:instrText>
        </w:r>
        <w:r w:rsidR="001A3B36" w:rsidRPr="00D869E3">
          <w:rPr>
            <w:rFonts w:ascii="Verdana" w:hAnsi="Verdana"/>
            <w:noProof/>
            <w:webHidden/>
            <w:sz w:val="18"/>
            <w:szCs w:val="18"/>
          </w:rPr>
        </w:r>
        <w:r w:rsidR="001A3B36" w:rsidRPr="00D869E3">
          <w:rPr>
            <w:rFonts w:ascii="Verdana" w:hAnsi="Verdana"/>
            <w:noProof/>
            <w:webHidden/>
            <w:sz w:val="18"/>
            <w:szCs w:val="18"/>
          </w:rPr>
          <w:fldChar w:fldCharType="separate"/>
        </w:r>
        <w:r>
          <w:rPr>
            <w:rFonts w:ascii="Verdana" w:hAnsi="Verdana"/>
            <w:noProof/>
            <w:webHidden/>
            <w:sz w:val="18"/>
            <w:szCs w:val="18"/>
          </w:rPr>
          <w:t>13</w:t>
        </w:r>
        <w:r w:rsidR="001A3B36" w:rsidRPr="00D869E3">
          <w:rPr>
            <w:rFonts w:ascii="Verdana" w:hAnsi="Verdana"/>
            <w:noProof/>
            <w:webHidden/>
            <w:sz w:val="18"/>
            <w:szCs w:val="18"/>
          </w:rPr>
          <w:fldChar w:fldCharType="end"/>
        </w:r>
      </w:hyperlink>
    </w:p>
    <w:p w14:paraId="33A96D61" w14:textId="00D18FDD" w:rsidR="001A3B36" w:rsidRPr="00D869E3" w:rsidRDefault="0068647C" w:rsidP="00D869E3">
      <w:pPr>
        <w:pStyle w:val="TDC2"/>
        <w:tabs>
          <w:tab w:val="clear" w:pos="8931"/>
          <w:tab w:val="right" w:leader="dot" w:pos="8820"/>
        </w:tabs>
        <w:ind w:right="926"/>
        <w:rPr>
          <w:rFonts w:ascii="Verdana" w:eastAsiaTheme="minorEastAsia" w:hAnsi="Verdana" w:cstheme="minorBidi"/>
          <w:noProof/>
          <w:sz w:val="18"/>
          <w:szCs w:val="18"/>
          <w:lang w:val="en-US"/>
        </w:rPr>
      </w:pPr>
      <w:hyperlink w:anchor="_Toc29114115" w:history="1">
        <w:r w:rsidR="001A3B36" w:rsidRPr="00D869E3">
          <w:rPr>
            <w:rStyle w:val="Hipervnculo"/>
            <w:rFonts w:ascii="Verdana" w:eastAsia="MS Gothic" w:hAnsi="Verdana"/>
            <w:i/>
            <w:iCs/>
            <w:noProof/>
            <w:sz w:val="18"/>
            <w:szCs w:val="18"/>
            <w:lang w:val="en-US"/>
          </w:rPr>
          <w:t>B.</w:t>
        </w:r>
        <w:r w:rsidR="001A3B36" w:rsidRPr="00D869E3">
          <w:rPr>
            <w:rFonts w:ascii="Verdana" w:eastAsiaTheme="minorEastAsia" w:hAnsi="Verdana" w:cstheme="minorBidi"/>
            <w:noProof/>
            <w:sz w:val="18"/>
            <w:szCs w:val="18"/>
            <w:lang w:val="en-US"/>
          </w:rPr>
          <w:tab/>
        </w:r>
        <w:r w:rsidR="001A3B36" w:rsidRPr="00D869E3">
          <w:rPr>
            <w:rStyle w:val="Hipervnculo"/>
            <w:rFonts w:ascii="Verdana" w:eastAsia="MS Gothic" w:hAnsi="Verdana"/>
            <w:i/>
            <w:iCs/>
            <w:noProof/>
            <w:sz w:val="18"/>
            <w:szCs w:val="18"/>
            <w:lang w:val="en-US"/>
          </w:rPr>
          <w:t>Background, functions and responsibilities of Mr. Lagos del Campo as president of the Electoral Committee of the Industrial Community</w:t>
        </w:r>
        <w:r w:rsidR="001A3B36" w:rsidRPr="00D869E3">
          <w:rPr>
            <w:rFonts w:ascii="Verdana" w:hAnsi="Verdana"/>
            <w:noProof/>
            <w:webHidden/>
            <w:sz w:val="18"/>
            <w:szCs w:val="18"/>
          </w:rPr>
          <w:tab/>
        </w:r>
        <w:r w:rsidR="001A3B36" w:rsidRPr="00D869E3">
          <w:rPr>
            <w:rFonts w:ascii="Verdana" w:hAnsi="Verdana"/>
            <w:noProof/>
            <w:webHidden/>
            <w:sz w:val="18"/>
            <w:szCs w:val="18"/>
          </w:rPr>
          <w:fldChar w:fldCharType="begin"/>
        </w:r>
        <w:r w:rsidR="001A3B36" w:rsidRPr="00D869E3">
          <w:rPr>
            <w:rFonts w:ascii="Verdana" w:hAnsi="Verdana"/>
            <w:noProof/>
            <w:webHidden/>
            <w:sz w:val="18"/>
            <w:szCs w:val="18"/>
          </w:rPr>
          <w:instrText xml:space="preserve"> PAGEREF _Toc29114115 \h </w:instrText>
        </w:r>
        <w:r w:rsidR="001A3B36" w:rsidRPr="00D869E3">
          <w:rPr>
            <w:rFonts w:ascii="Verdana" w:hAnsi="Verdana"/>
            <w:noProof/>
            <w:webHidden/>
            <w:sz w:val="18"/>
            <w:szCs w:val="18"/>
          </w:rPr>
        </w:r>
        <w:r w:rsidR="001A3B36" w:rsidRPr="00D869E3">
          <w:rPr>
            <w:rFonts w:ascii="Verdana" w:hAnsi="Verdana"/>
            <w:noProof/>
            <w:webHidden/>
            <w:sz w:val="18"/>
            <w:szCs w:val="18"/>
          </w:rPr>
          <w:fldChar w:fldCharType="separate"/>
        </w:r>
        <w:r>
          <w:rPr>
            <w:rFonts w:ascii="Verdana" w:hAnsi="Verdana"/>
            <w:noProof/>
            <w:webHidden/>
            <w:sz w:val="18"/>
            <w:szCs w:val="18"/>
          </w:rPr>
          <w:t>16</w:t>
        </w:r>
        <w:r w:rsidR="001A3B36" w:rsidRPr="00D869E3">
          <w:rPr>
            <w:rFonts w:ascii="Verdana" w:hAnsi="Verdana"/>
            <w:noProof/>
            <w:webHidden/>
            <w:sz w:val="18"/>
            <w:szCs w:val="18"/>
          </w:rPr>
          <w:fldChar w:fldCharType="end"/>
        </w:r>
      </w:hyperlink>
    </w:p>
    <w:p w14:paraId="05D5E275" w14:textId="51BAF7FD" w:rsidR="001A3B36" w:rsidRPr="00D869E3" w:rsidRDefault="0068647C" w:rsidP="00BE5A9F">
      <w:pPr>
        <w:pStyle w:val="TDC2"/>
        <w:tabs>
          <w:tab w:val="right" w:leader="dot" w:pos="8820"/>
        </w:tabs>
        <w:rPr>
          <w:rFonts w:ascii="Verdana" w:eastAsiaTheme="minorEastAsia" w:hAnsi="Verdana" w:cstheme="minorBidi"/>
          <w:noProof/>
          <w:sz w:val="18"/>
          <w:szCs w:val="18"/>
          <w:lang w:val="en-US"/>
        </w:rPr>
      </w:pPr>
      <w:hyperlink w:anchor="_Toc29114116" w:history="1">
        <w:r w:rsidR="001A3B36" w:rsidRPr="00D869E3">
          <w:rPr>
            <w:rStyle w:val="Hipervnculo"/>
            <w:rFonts w:ascii="Verdana" w:eastAsia="MS Gothic" w:hAnsi="Verdana"/>
            <w:i/>
            <w:iCs/>
            <w:noProof/>
            <w:sz w:val="18"/>
            <w:szCs w:val="18"/>
            <w:lang w:val="en-US"/>
          </w:rPr>
          <w:t>C.</w:t>
        </w:r>
        <w:r w:rsidR="001A3B36" w:rsidRPr="00D869E3">
          <w:rPr>
            <w:rFonts w:ascii="Verdana" w:eastAsiaTheme="minorEastAsia" w:hAnsi="Verdana" w:cstheme="minorBidi"/>
            <w:noProof/>
            <w:sz w:val="18"/>
            <w:szCs w:val="18"/>
            <w:lang w:val="en-US"/>
          </w:rPr>
          <w:tab/>
        </w:r>
        <w:r w:rsidR="001A3B36" w:rsidRPr="00D869E3">
          <w:rPr>
            <w:rStyle w:val="Hipervnculo"/>
            <w:rFonts w:ascii="Verdana" w:eastAsia="MS Gothic" w:hAnsi="Verdana"/>
            <w:i/>
            <w:iCs/>
            <w:noProof/>
            <w:sz w:val="18"/>
            <w:szCs w:val="18"/>
            <w:lang w:val="en-US"/>
          </w:rPr>
          <w:t>The dismissal of Mr. Lagos del Campo and the applicable legal framework</w:t>
        </w:r>
        <w:r w:rsidR="001A3B36" w:rsidRPr="00D869E3">
          <w:rPr>
            <w:rFonts w:ascii="Verdana" w:hAnsi="Verdana"/>
            <w:noProof/>
            <w:webHidden/>
            <w:sz w:val="18"/>
            <w:szCs w:val="18"/>
          </w:rPr>
          <w:tab/>
        </w:r>
        <w:r w:rsidR="001A3B36" w:rsidRPr="00D869E3">
          <w:rPr>
            <w:rFonts w:ascii="Verdana" w:hAnsi="Verdana"/>
            <w:noProof/>
            <w:webHidden/>
            <w:sz w:val="18"/>
            <w:szCs w:val="18"/>
          </w:rPr>
          <w:fldChar w:fldCharType="begin"/>
        </w:r>
        <w:r w:rsidR="001A3B36" w:rsidRPr="00D869E3">
          <w:rPr>
            <w:rFonts w:ascii="Verdana" w:hAnsi="Verdana"/>
            <w:noProof/>
            <w:webHidden/>
            <w:sz w:val="18"/>
            <w:szCs w:val="18"/>
          </w:rPr>
          <w:instrText xml:space="preserve"> PAGEREF _Toc29114116 \h </w:instrText>
        </w:r>
        <w:r w:rsidR="001A3B36" w:rsidRPr="00D869E3">
          <w:rPr>
            <w:rFonts w:ascii="Verdana" w:hAnsi="Verdana"/>
            <w:noProof/>
            <w:webHidden/>
            <w:sz w:val="18"/>
            <w:szCs w:val="18"/>
          </w:rPr>
        </w:r>
        <w:r w:rsidR="001A3B36" w:rsidRPr="00D869E3">
          <w:rPr>
            <w:rFonts w:ascii="Verdana" w:hAnsi="Verdana"/>
            <w:noProof/>
            <w:webHidden/>
            <w:sz w:val="18"/>
            <w:szCs w:val="18"/>
          </w:rPr>
          <w:fldChar w:fldCharType="separate"/>
        </w:r>
        <w:r>
          <w:rPr>
            <w:rFonts w:ascii="Verdana" w:hAnsi="Verdana"/>
            <w:noProof/>
            <w:webHidden/>
            <w:sz w:val="18"/>
            <w:szCs w:val="18"/>
          </w:rPr>
          <w:t>17</w:t>
        </w:r>
        <w:r w:rsidR="001A3B36" w:rsidRPr="00D869E3">
          <w:rPr>
            <w:rFonts w:ascii="Verdana" w:hAnsi="Verdana"/>
            <w:noProof/>
            <w:webHidden/>
            <w:sz w:val="18"/>
            <w:szCs w:val="18"/>
          </w:rPr>
          <w:fldChar w:fldCharType="end"/>
        </w:r>
      </w:hyperlink>
    </w:p>
    <w:p w14:paraId="795D492A" w14:textId="0549D8A7" w:rsidR="001A3B36" w:rsidRPr="00D869E3" w:rsidRDefault="0068647C" w:rsidP="00BE5A9F">
      <w:pPr>
        <w:pStyle w:val="TDC2"/>
        <w:tabs>
          <w:tab w:val="right" w:leader="dot" w:pos="8820"/>
        </w:tabs>
        <w:rPr>
          <w:rFonts w:ascii="Verdana" w:eastAsiaTheme="minorEastAsia" w:hAnsi="Verdana" w:cstheme="minorBidi"/>
          <w:noProof/>
          <w:sz w:val="18"/>
          <w:szCs w:val="18"/>
          <w:lang w:val="en-US"/>
        </w:rPr>
      </w:pPr>
      <w:hyperlink w:anchor="_Toc29114117" w:history="1">
        <w:r w:rsidR="001A3B36" w:rsidRPr="00D869E3">
          <w:rPr>
            <w:rStyle w:val="Hipervnculo"/>
            <w:rFonts w:ascii="Verdana" w:eastAsia="MS Gothic" w:hAnsi="Verdana"/>
            <w:i/>
            <w:iCs/>
            <w:noProof/>
            <w:sz w:val="18"/>
            <w:szCs w:val="18"/>
            <w:lang w:val="en-US"/>
          </w:rPr>
          <w:t>D.</w:t>
        </w:r>
        <w:r w:rsidR="001A3B36" w:rsidRPr="00D869E3">
          <w:rPr>
            <w:rFonts w:ascii="Verdana" w:eastAsiaTheme="minorEastAsia" w:hAnsi="Verdana" w:cstheme="minorBidi"/>
            <w:noProof/>
            <w:sz w:val="18"/>
            <w:szCs w:val="18"/>
            <w:lang w:val="en-US"/>
          </w:rPr>
          <w:tab/>
        </w:r>
        <w:r w:rsidR="001A3B36" w:rsidRPr="00D869E3">
          <w:rPr>
            <w:rStyle w:val="Hipervnculo"/>
            <w:rFonts w:ascii="Verdana" w:eastAsia="MS Gothic" w:hAnsi="Verdana"/>
            <w:i/>
            <w:iCs/>
            <w:noProof/>
            <w:sz w:val="18"/>
            <w:szCs w:val="18"/>
            <w:lang w:val="en-US"/>
          </w:rPr>
          <w:t>Actions filed by Mr. Lagos del Campo</w:t>
        </w:r>
        <w:r w:rsidR="001A3B36" w:rsidRPr="00D869E3">
          <w:rPr>
            <w:rFonts w:ascii="Verdana" w:hAnsi="Verdana"/>
            <w:noProof/>
            <w:webHidden/>
            <w:sz w:val="18"/>
            <w:szCs w:val="18"/>
          </w:rPr>
          <w:tab/>
        </w:r>
        <w:r w:rsidR="001A3B36" w:rsidRPr="00D869E3">
          <w:rPr>
            <w:rFonts w:ascii="Verdana" w:hAnsi="Verdana"/>
            <w:noProof/>
            <w:webHidden/>
            <w:sz w:val="18"/>
            <w:szCs w:val="18"/>
          </w:rPr>
          <w:fldChar w:fldCharType="begin"/>
        </w:r>
        <w:r w:rsidR="001A3B36" w:rsidRPr="00D869E3">
          <w:rPr>
            <w:rFonts w:ascii="Verdana" w:hAnsi="Verdana"/>
            <w:noProof/>
            <w:webHidden/>
            <w:sz w:val="18"/>
            <w:szCs w:val="18"/>
          </w:rPr>
          <w:instrText xml:space="preserve"> PAGEREF _Toc29114117 \h </w:instrText>
        </w:r>
        <w:r w:rsidR="001A3B36" w:rsidRPr="00D869E3">
          <w:rPr>
            <w:rFonts w:ascii="Verdana" w:hAnsi="Verdana"/>
            <w:noProof/>
            <w:webHidden/>
            <w:sz w:val="18"/>
            <w:szCs w:val="18"/>
          </w:rPr>
        </w:r>
        <w:r w:rsidR="001A3B36" w:rsidRPr="00D869E3">
          <w:rPr>
            <w:rFonts w:ascii="Verdana" w:hAnsi="Verdana"/>
            <w:noProof/>
            <w:webHidden/>
            <w:sz w:val="18"/>
            <w:szCs w:val="18"/>
          </w:rPr>
          <w:fldChar w:fldCharType="separate"/>
        </w:r>
        <w:r>
          <w:rPr>
            <w:rFonts w:ascii="Verdana" w:hAnsi="Verdana"/>
            <w:noProof/>
            <w:webHidden/>
            <w:sz w:val="18"/>
            <w:szCs w:val="18"/>
          </w:rPr>
          <w:t>21</w:t>
        </w:r>
        <w:r w:rsidR="001A3B36" w:rsidRPr="00D869E3">
          <w:rPr>
            <w:rFonts w:ascii="Verdana" w:hAnsi="Verdana"/>
            <w:noProof/>
            <w:webHidden/>
            <w:sz w:val="18"/>
            <w:szCs w:val="18"/>
          </w:rPr>
          <w:fldChar w:fldCharType="end"/>
        </w:r>
      </w:hyperlink>
    </w:p>
    <w:p w14:paraId="0ACCC5F9" w14:textId="62462499" w:rsidR="001A3B36" w:rsidRPr="00D869E3" w:rsidRDefault="0068647C" w:rsidP="00BE5A9F">
      <w:pPr>
        <w:pStyle w:val="TDC3"/>
        <w:tabs>
          <w:tab w:val="clear" w:pos="8828"/>
          <w:tab w:val="right" w:leader="dot" w:pos="8820"/>
        </w:tabs>
        <w:rPr>
          <w:rFonts w:ascii="Verdana" w:eastAsiaTheme="minorEastAsia" w:hAnsi="Verdana" w:cstheme="minorBidi"/>
          <w:noProof/>
          <w:sz w:val="18"/>
          <w:szCs w:val="18"/>
          <w:lang w:val="en-US"/>
        </w:rPr>
      </w:pPr>
      <w:hyperlink w:anchor="_Toc29114118" w:history="1">
        <w:r w:rsidR="001A3B36" w:rsidRPr="00D869E3">
          <w:rPr>
            <w:rStyle w:val="Hipervnculo"/>
            <w:rFonts w:ascii="Verdana" w:hAnsi="Verdana"/>
            <w:i/>
            <w:noProof/>
            <w:sz w:val="18"/>
            <w:szCs w:val="18"/>
            <w:lang w:val="en-US"/>
          </w:rPr>
          <w:t>1.</w:t>
        </w:r>
        <w:r w:rsidR="001A3B36" w:rsidRPr="00D869E3">
          <w:rPr>
            <w:rFonts w:ascii="Verdana" w:eastAsiaTheme="minorEastAsia" w:hAnsi="Verdana" w:cstheme="minorBidi"/>
            <w:noProof/>
            <w:sz w:val="18"/>
            <w:szCs w:val="18"/>
            <w:lang w:val="en-US"/>
          </w:rPr>
          <w:tab/>
        </w:r>
        <w:r w:rsidR="001A3B36" w:rsidRPr="00D869E3">
          <w:rPr>
            <w:rStyle w:val="Hipervnculo"/>
            <w:rFonts w:ascii="Verdana" w:hAnsi="Verdana"/>
            <w:i/>
            <w:noProof/>
            <w:sz w:val="18"/>
            <w:szCs w:val="18"/>
            <w:lang w:val="en-US"/>
          </w:rPr>
          <w:t>Application for review of dismissal</w:t>
        </w:r>
        <w:r w:rsidR="001A3B36" w:rsidRPr="00D869E3">
          <w:rPr>
            <w:rFonts w:ascii="Verdana" w:hAnsi="Verdana"/>
            <w:noProof/>
            <w:webHidden/>
            <w:sz w:val="18"/>
            <w:szCs w:val="18"/>
          </w:rPr>
          <w:tab/>
        </w:r>
        <w:r w:rsidR="001A3B36" w:rsidRPr="00D869E3">
          <w:rPr>
            <w:rFonts w:ascii="Verdana" w:hAnsi="Verdana"/>
            <w:noProof/>
            <w:webHidden/>
            <w:sz w:val="18"/>
            <w:szCs w:val="18"/>
          </w:rPr>
          <w:fldChar w:fldCharType="begin"/>
        </w:r>
        <w:r w:rsidR="001A3B36" w:rsidRPr="00D869E3">
          <w:rPr>
            <w:rFonts w:ascii="Verdana" w:hAnsi="Verdana"/>
            <w:noProof/>
            <w:webHidden/>
            <w:sz w:val="18"/>
            <w:szCs w:val="18"/>
          </w:rPr>
          <w:instrText xml:space="preserve"> PAGEREF _Toc29114118 \h </w:instrText>
        </w:r>
        <w:r w:rsidR="001A3B36" w:rsidRPr="00D869E3">
          <w:rPr>
            <w:rFonts w:ascii="Verdana" w:hAnsi="Verdana"/>
            <w:noProof/>
            <w:webHidden/>
            <w:sz w:val="18"/>
            <w:szCs w:val="18"/>
          </w:rPr>
        </w:r>
        <w:r w:rsidR="001A3B36" w:rsidRPr="00D869E3">
          <w:rPr>
            <w:rFonts w:ascii="Verdana" w:hAnsi="Verdana"/>
            <w:noProof/>
            <w:webHidden/>
            <w:sz w:val="18"/>
            <w:szCs w:val="18"/>
          </w:rPr>
          <w:fldChar w:fldCharType="separate"/>
        </w:r>
        <w:r>
          <w:rPr>
            <w:rFonts w:ascii="Verdana" w:hAnsi="Verdana"/>
            <w:noProof/>
            <w:webHidden/>
            <w:sz w:val="18"/>
            <w:szCs w:val="18"/>
          </w:rPr>
          <w:t>21</w:t>
        </w:r>
        <w:r w:rsidR="001A3B36" w:rsidRPr="00D869E3">
          <w:rPr>
            <w:rFonts w:ascii="Verdana" w:hAnsi="Verdana"/>
            <w:noProof/>
            <w:webHidden/>
            <w:sz w:val="18"/>
            <w:szCs w:val="18"/>
          </w:rPr>
          <w:fldChar w:fldCharType="end"/>
        </w:r>
      </w:hyperlink>
    </w:p>
    <w:p w14:paraId="6CD3A2B8" w14:textId="17156FD6" w:rsidR="001A3B36" w:rsidRPr="00D869E3" w:rsidRDefault="0068647C" w:rsidP="00BE5A9F">
      <w:pPr>
        <w:pStyle w:val="TDC3"/>
        <w:tabs>
          <w:tab w:val="clear" w:pos="8828"/>
          <w:tab w:val="right" w:leader="dot" w:pos="8820"/>
        </w:tabs>
        <w:rPr>
          <w:rFonts w:ascii="Verdana" w:eastAsiaTheme="minorEastAsia" w:hAnsi="Verdana" w:cstheme="minorBidi"/>
          <w:noProof/>
          <w:sz w:val="18"/>
          <w:szCs w:val="18"/>
          <w:lang w:val="en-US"/>
        </w:rPr>
      </w:pPr>
      <w:hyperlink w:anchor="_Toc29114119" w:history="1">
        <w:r w:rsidR="001A3B36" w:rsidRPr="00D869E3">
          <w:rPr>
            <w:rStyle w:val="Hipervnculo"/>
            <w:rFonts w:ascii="Verdana" w:hAnsi="Verdana"/>
            <w:i/>
            <w:iCs/>
            <w:noProof/>
            <w:sz w:val="18"/>
            <w:szCs w:val="18"/>
            <w:lang w:val="en-US"/>
          </w:rPr>
          <w:t>2.</w:t>
        </w:r>
        <w:r w:rsidR="001A3B36" w:rsidRPr="00D869E3">
          <w:rPr>
            <w:rFonts w:ascii="Verdana" w:eastAsiaTheme="minorEastAsia" w:hAnsi="Verdana" w:cstheme="minorBidi"/>
            <w:noProof/>
            <w:sz w:val="18"/>
            <w:szCs w:val="18"/>
            <w:lang w:val="en-US"/>
          </w:rPr>
          <w:tab/>
        </w:r>
        <w:r w:rsidR="001A3B36" w:rsidRPr="00D869E3">
          <w:rPr>
            <w:rStyle w:val="Hipervnculo"/>
            <w:rFonts w:ascii="Verdana" w:hAnsi="Verdana"/>
            <w:i/>
            <w:iCs/>
            <w:noProof/>
            <w:sz w:val="18"/>
            <w:szCs w:val="18"/>
            <w:lang w:val="en-US"/>
          </w:rPr>
          <w:t>Application for amparo and nullity</w:t>
        </w:r>
        <w:r w:rsidR="001A3B36" w:rsidRPr="00D869E3">
          <w:rPr>
            <w:rFonts w:ascii="Verdana" w:hAnsi="Verdana"/>
            <w:noProof/>
            <w:webHidden/>
            <w:sz w:val="18"/>
            <w:szCs w:val="18"/>
          </w:rPr>
          <w:tab/>
        </w:r>
        <w:r w:rsidR="001A3B36" w:rsidRPr="00D869E3">
          <w:rPr>
            <w:rFonts w:ascii="Verdana" w:hAnsi="Verdana"/>
            <w:noProof/>
            <w:webHidden/>
            <w:sz w:val="18"/>
            <w:szCs w:val="18"/>
          </w:rPr>
          <w:fldChar w:fldCharType="begin"/>
        </w:r>
        <w:r w:rsidR="001A3B36" w:rsidRPr="00D869E3">
          <w:rPr>
            <w:rFonts w:ascii="Verdana" w:hAnsi="Verdana"/>
            <w:noProof/>
            <w:webHidden/>
            <w:sz w:val="18"/>
            <w:szCs w:val="18"/>
          </w:rPr>
          <w:instrText xml:space="preserve"> PAGEREF _Toc29114119 \h </w:instrText>
        </w:r>
        <w:r w:rsidR="001A3B36" w:rsidRPr="00D869E3">
          <w:rPr>
            <w:rFonts w:ascii="Verdana" w:hAnsi="Verdana"/>
            <w:noProof/>
            <w:webHidden/>
            <w:sz w:val="18"/>
            <w:szCs w:val="18"/>
          </w:rPr>
        </w:r>
        <w:r w:rsidR="001A3B36" w:rsidRPr="00D869E3">
          <w:rPr>
            <w:rFonts w:ascii="Verdana" w:hAnsi="Verdana"/>
            <w:noProof/>
            <w:webHidden/>
            <w:sz w:val="18"/>
            <w:szCs w:val="18"/>
          </w:rPr>
          <w:fldChar w:fldCharType="separate"/>
        </w:r>
        <w:r>
          <w:rPr>
            <w:rFonts w:ascii="Verdana" w:hAnsi="Verdana"/>
            <w:noProof/>
            <w:webHidden/>
            <w:sz w:val="18"/>
            <w:szCs w:val="18"/>
          </w:rPr>
          <w:t>22</w:t>
        </w:r>
        <w:r w:rsidR="001A3B36" w:rsidRPr="00D869E3">
          <w:rPr>
            <w:rFonts w:ascii="Verdana" w:hAnsi="Verdana"/>
            <w:noProof/>
            <w:webHidden/>
            <w:sz w:val="18"/>
            <w:szCs w:val="18"/>
          </w:rPr>
          <w:fldChar w:fldCharType="end"/>
        </w:r>
      </w:hyperlink>
    </w:p>
    <w:p w14:paraId="0E164EB4" w14:textId="655D96FE" w:rsidR="001A3B36" w:rsidRPr="00D869E3" w:rsidRDefault="0068647C" w:rsidP="00BE5A9F">
      <w:pPr>
        <w:pStyle w:val="TDC3"/>
        <w:tabs>
          <w:tab w:val="clear" w:pos="8828"/>
          <w:tab w:val="right" w:leader="dot" w:pos="8820"/>
        </w:tabs>
        <w:rPr>
          <w:rFonts w:ascii="Verdana" w:eastAsiaTheme="minorEastAsia" w:hAnsi="Verdana" w:cstheme="minorBidi"/>
          <w:noProof/>
          <w:sz w:val="18"/>
          <w:szCs w:val="18"/>
          <w:lang w:val="en-US"/>
        </w:rPr>
      </w:pPr>
      <w:hyperlink w:anchor="_Toc29114120" w:history="1">
        <w:r w:rsidR="001A3B36" w:rsidRPr="00D869E3">
          <w:rPr>
            <w:rStyle w:val="Hipervnculo"/>
            <w:rFonts w:ascii="Verdana" w:hAnsi="Verdana"/>
            <w:i/>
            <w:iCs/>
            <w:noProof/>
            <w:sz w:val="18"/>
            <w:szCs w:val="18"/>
            <w:lang w:val="en-US"/>
          </w:rPr>
          <w:t>3.</w:t>
        </w:r>
        <w:r w:rsidR="001A3B36" w:rsidRPr="00D869E3">
          <w:rPr>
            <w:rFonts w:ascii="Verdana" w:eastAsiaTheme="minorEastAsia" w:hAnsi="Verdana" w:cstheme="minorBidi"/>
            <w:noProof/>
            <w:sz w:val="18"/>
            <w:szCs w:val="18"/>
            <w:lang w:val="en-US"/>
          </w:rPr>
          <w:tab/>
        </w:r>
        <w:r w:rsidR="001A3B36" w:rsidRPr="00D869E3">
          <w:rPr>
            <w:rStyle w:val="Hipervnculo"/>
            <w:rFonts w:ascii="Verdana" w:hAnsi="Verdana"/>
            <w:i/>
            <w:iCs/>
            <w:noProof/>
            <w:sz w:val="18"/>
            <w:szCs w:val="18"/>
            <w:lang w:val="en-US"/>
          </w:rPr>
          <w:t>Application for amparo before the Constitutional Court</w:t>
        </w:r>
        <w:r w:rsidR="001A3B36" w:rsidRPr="00D869E3">
          <w:rPr>
            <w:rFonts w:ascii="Verdana" w:hAnsi="Verdana"/>
            <w:noProof/>
            <w:webHidden/>
            <w:sz w:val="18"/>
            <w:szCs w:val="18"/>
          </w:rPr>
          <w:tab/>
        </w:r>
        <w:r w:rsidR="001A3B36" w:rsidRPr="00D869E3">
          <w:rPr>
            <w:rFonts w:ascii="Verdana" w:hAnsi="Verdana"/>
            <w:noProof/>
            <w:webHidden/>
            <w:sz w:val="18"/>
            <w:szCs w:val="18"/>
          </w:rPr>
          <w:fldChar w:fldCharType="begin"/>
        </w:r>
        <w:r w:rsidR="001A3B36" w:rsidRPr="00D869E3">
          <w:rPr>
            <w:rFonts w:ascii="Verdana" w:hAnsi="Verdana"/>
            <w:noProof/>
            <w:webHidden/>
            <w:sz w:val="18"/>
            <w:szCs w:val="18"/>
          </w:rPr>
          <w:instrText xml:space="preserve"> PAGEREF _Toc29114120 \h </w:instrText>
        </w:r>
        <w:r w:rsidR="001A3B36" w:rsidRPr="00D869E3">
          <w:rPr>
            <w:rFonts w:ascii="Verdana" w:hAnsi="Verdana"/>
            <w:noProof/>
            <w:webHidden/>
            <w:sz w:val="18"/>
            <w:szCs w:val="18"/>
          </w:rPr>
        </w:r>
        <w:r w:rsidR="001A3B36" w:rsidRPr="00D869E3">
          <w:rPr>
            <w:rFonts w:ascii="Verdana" w:hAnsi="Verdana"/>
            <w:noProof/>
            <w:webHidden/>
            <w:sz w:val="18"/>
            <w:szCs w:val="18"/>
          </w:rPr>
          <w:fldChar w:fldCharType="separate"/>
        </w:r>
        <w:r>
          <w:rPr>
            <w:rFonts w:ascii="Verdana" w:hAnsi="Verdana"/>
            <w:noProof/>
            <w:webHidden/>
            <w:sz w:val="18"/>
            <w:szCs w:val="18"/>
          </w:rPr>
          <w:t>24</w:t>
        </w:r>
        <w:r w:rsidR="001A3B36" w:rsidRPr="00D869E3">
          <w:rPr>
            <w:rFonts w:ascii="Verdana" w:hAnsi="Verdana"/>
            <w:noProof/>
            <w:webHidden/>
            <w:sz w:val="18"/>
            <w:szCs w:val="18"/>
          </w:rPr>
          <w:fldChar w:fldCharType="end"/>
        </w:r>
      </w:hyperlink>
    </w:p>
    <w:p w14:paraId="08D60B90" w14:textId="288138CA" w:rsidR="001A3B36" w:rsidRPr="00D869E3" w:rsidRDefault="0068647C" w:rsidP="00BE5A9F">
      <w:pPr>
        <w:pStyle w:val="TDC2"/>
        <w:tabs>
          <w:tab w:val="right" w:leader="dot" w:pos="8820"/>
        </w:tabs>
        <w:rPr>
          <w:rFonts w:ascii="Verdana" w:eastAsiaTheme="minorEastAsia" w:hAnsi="Verdana" w:cstheme="minorBidi"/>
          <w:noProof/>
          <w:sz w:val="18"/>
          <w:szCs w:val="18"/>
          <w:lang w:val="en-US"/>
        </w:rPr>
      </w:pPr>
      <w:hyperlink w:anchor="_Toc29114121" w:history="1">
        <w:r w:rsidR="001A3B36" w:rsidRPr="00D869E3">
          <w:rPr>
            <w:rStyle w:val="Hipervnculo"/>
            <w:rFonts w:ascii="Verdana" w:eastAsia="MS Gothic" w:hAnsi="Verdana"/>
            <w:i/>
            <w:iCs/>
            <w:noProof/>
            <w:sz w:val="18"/>
            <w:szCs w:val="18"/>
            <w:lang w:val="en-US"/>
          </w:rPr>
          <w:t>E.</w:t>
        </w:r>
        <w:r w:rsidR="001A3B36" w:rsidRPr="00D869E3">
          <w:rPr>
            <w:rFonts w:ascii="Verdana" w:eastAsiaTheme="minorEastAsia" w:hAnsi="Verdana" w:cstheme="minorBidi"/>
            <w:noProof/>
            <w:sz w:val="18"/>
            <w:szCs w:val="18"/>
            <w:lang w:val="en-US"/>
          </w:rPr>
          <w:tab/>
        </w:r>
        <w:r w:rsidR="001A3B36" w:rsidRPr="00D869E3">
          <w:rPr>
            <w:rStyle w:val="Hipervnculo"/>
            <w:rFonts w:ascii="Verdana" w:eastAsia="MS Gothic" w:hAnsi="Verdana"/>
            <w:i/>
            <w:iCs/>
            <w:noProof/>
            <w:sz w:val="18"/>
            <w:szCs w:val="18"/>
            <w:lang w:val="en-US"/>
          </w:rPr>
          <w:t>The situation of Mr. Lagos del Campo after his dismissal</w:t>
        </w:r>
        <w:r w:rsidR="001A3B36" w:rsidRPr="00D869E3">
          <w:rPr>
            <w:rFonts w:ascii="Verdana" w:hAnsi="Verdana"/>
            <w:noProof/>
            <w:webHidden/>
            <w:sz w:val="18"/>
            <w:szCs w:val="18"/>
          </w:rPr>
          <w:tab/>
        </w:r>
        <w:r w:rsidR="001A3B36" w:rsidRPr="00D869E3">
          <w:rPr>
            <w:rFonts w:ascii="Verdana" w:hAnsi="Verdana"/>
            <w:noProof/>
            <w:webHidden/>
            <w:sz w:val="18"/>
            <w:szCs w:val="18"/>
          </w:rPr>
          <w:fldChar w:fldCharType="begin"/>
        </w:r>
        <w:r w:rsidR="001A3B36" w:rsidRPr="00D869E3">
          <w:rPr>
            <w:rFonts w:ascii="Verdana" w:hAnsi="Verdana"/>
            <w:noProof/>
            <w:webHidden/>
            <w:sz w:val="18"/>
            <w:szCs w:val="18"/>
          </w:rPr>
          <w:instrText xml:space="preserve"> PAGEREF _Toc29114121 \h </w:instrText>
        </w:r>
        <w:r w:rsidR="001A3B36" w:rsidRPr="00D869E3">
          <w:rPr>
            <w:rFonts w:ascii="Verdana" w:hAnsi="Verdana"/>
            <w:noProof/>
            <w:webHidden/>
            <w:sz w:val="18"/>
            <w:szCs w:val="18"/>
          </w:rPr>
        </w:r>
        <w:r w:rsidR="001A3B36" w:rsidRPr="00D869E3">
          <w:rPr>
            <w:rFonts w:ascii="Verdana" w:hAnsi="Verdana"/>
            <w:noProof/>
            <w:webHidden/>
            <w:sz w:val="18"/>
            <w:szCs w:val="18"/>
          </w:rPr>
          <w:fldChar w:fldCharType="separate"/>
        </w:r>
        <w:r>
          <w:rPr>
            <w:rFonts w:ascii="Verdana" w:hAnsi="Verdana"/>
            <w:noProof/>
            <w:webHidden/>
            <w:sz w:val="18"/>
            <w:szCs w:val="18"/>
          </w:rPr>
          <w:t>25</w:t>
        </w:r>
        <w:r w:rsidR="001A3B36" w:rsidRPr="00D869E3">
          <w:rPr>
            <w:rFonts w:ascii="Verdana" w:hAnsi="Verdana"/>
            <w:noProof/>
            <w:webHidden/>
            <w:sz w:val="18"/>
            <w:szCs w:val="18"/>
          </w:rPr>
          <w:fldChar w:fldCharType="end"/>
        </w:r>
      </w:hyperlink>
    </w:p>
    <w:p w14:paraId="16864152" w14:textId="58160632" w:rsidR="001A3B36" w:rsidRPr="00D869E3" w:rsidRDefault="0068647C" w:rsidP="00BE5A9F">
      <w:pPr>
        <w:pStyle w:val="TDC1"/>
        <w:rPr>
          <w:rFonts w:eastAsiaTheme="minorEastAsia" w:cstheme="minorBidi"/>
          <w:snapToGrid/>
          <w:lang w:val="en-US"/>
        </w:rPr>
      </w:pPr>
      <w:hyperlink w:anchor="_Toc29114122" w:history="1">
        <w:r w:rsidR="001A3B36" w:rsidRPr="00D869E3">
          <w:rPr>
            <w:rStyle w:val="Hipervnculo"/>
            <w:rFonts w:cs="Verdana"/>
            <w:sz w:val="18"/>
            <w:szCs w:val="18"/>
            <w:lang w:val="en-US"/>
          </w:rPr>
          <w:t>ViI Merits</w:t>
        </w:r>
        <w:r w:rsidR="001A3B36" w:rsidRPr="00D869E3">
          <w:rPr>
            <w:webHidden/>
          </w:rPr>
          <w:tab/>
        </w:r>
        <w:r w:rsidR="001A3B36" w:rsidRPr="00D869E3">
          <w:rPr>
            <w:webHidden/>
          </w:rPr>
          <w:fldChar w:fldCharType="begin"/>
        </w:r>
        <w:r w:rsidR="001A3B36" w:rsidRPr="00D869E3">
          <w:rPr>
            <w:webHidden/>
          </w:rPr>
          <w:instrText xml:space="preserve"> PAGEREF _Toc29114122 \h </w:instrText>
        </w:r>
        <w:r w:rsidR="001A3B36" w:rsidRPr="00D869E3">
          <w:rPr>
            <w:webHidden/>
          </w:rPr>
        </w:r>
        <w:r w:rsidR="001A3B36" w:rsidRPr="00D869E3">
          <w:rPr>
            <w:webHidden/>
          </w:rPr>
          <w:fldChar w:fldCharType="separate"/>
        </w:r>
        <w:r>
          <w:rPr>
            <w:webHidden/>
          </w:rPr>
          <w:t>25</w:t>
        </w:r>
        <w:r w:rsidR="001A3B36" w:rsidRPr="00D869E3">
          <w:rPr>
            <w:webHidden/>
          </w:rPr>
          <w:fldChar w:fldCharType="end"/>
        </w:r>
      </w:hyperlink>
    </w:p>
    <w:p w14:paraId="3784AE7F" w14:textId="5B81B9C6" w:rsidR="001A3B36" w:rsidRPr="00D869E3" w:rsidRDefault="0068647C" w:rsidP="00BE5A9F">
      <w:pPr>
        <w:pStyle w:val="TDC1"/>
        <w:rPr>
          <w:rFonts w:eastAsiaTheme="minorEastAsia" w:cstheme="minorBidi"/>
          <w:snapToGrid/>
          <w:lang w:val="en-US"/>
        </w:rPr>
      </w:pPr>
      <w:hyperlink w:anchor="_Toc29114123" w:history="1">
        <w:r w:rsidR="001A3B36" w:rsidRPr="00D869E3">
          <w:rPr>
            <w:rStyle w:val="Hipervnculo"/>
            <w:rFonts w:cs="Verdana"/>
            <w:sz w:val="18"/>
            <w:szCs w:val="18"/>
            <w:lang w:val="en-US"/>
          </w:rPr>
          <w:t>VII-1</w:t>
        </w:r>
        <w:r w:rsidR="001A3B36" w:rsidRPr="00D869E3">
          <w:rPr>
            <w:webHidden/>
          </w:rPr>
          <w:tab/>
        </w:r>
        <w:r w:rsidR="001A3B36" w:rsidRPr="00D869E3">
          <w:rPr>
            <w:webHidden/>
          </w:rPr>
          <w:fldChar w:fldCharType="begin"/>
        </w:r>
        <w:r w:rsidR="001A3B36" w:rsidRPr="00D869E3">
          <w:rPr>
            <w:webHidden/>
          </w:rPr>
          <w:instrText xml:space="preserve"> PAGEREF _Toc29114123 \h </w:instrText>
        </w:r>
        <w:r w:rsidR="001A3B36" w:rsidRPr="00D869E3">
          <w:rPr>
            <w:webHidden/>
          </w:rPr>
        </w:r>
        <w:r w:rsidR="001A3B36" w:rsidRPr="00D869E3">
          <w:rPr>
            <w:webHidden/>
          </w:rPr>
          <w:fldChar w:fldCharType="separate"/>
        </w:r>
        <w:r>
          <w:rPr>
            <w:webHidden/>
          </w:rPr>
          <w:t>27</w:t>
        </w:r>
        <w:r w:rsidR="001A3B36" w:rsidRPr="00D869E3">
          <w:rPr>
            <w:webHidden/>
          </w:rPr>
          <w:fldChar w:fldCharType="end"/>
        </w:r>
      </w:hyperlink>
    </w:p>
    <w:p w14:paraId="78271174" w14:textId="728CDDE9" w:rsidR="001A3B36" w:rsidRPr="00D869E3" w:rsidRDefault="0068647C" w:rsidP="00BE5A9F">
      <w:pPr>
        <w:pStyle w:val="TDC1"/>
        <w:rPr>
          <w:rFonts w:eastAsiaTheme="minorEastAsia" w:cstheme="minorBidi"/>
          <w:snapToGrid/>
          <w:lang w:val="en-US"/>
        </w:rPr>
      </w:pPr>
      <w:hyperlink w:anchor="_Toc29114124" w:history="1">
        <w:r w:rsidR="001A3B36" w:rsidRPr="00D869E3">
          <w:rPr>
            <w:rStyle w:val="Hipervnculo"/>
            <w:rFonts w:cs="Verdana"/>
            <w:sz w:val="18"/>
            <w:szCs w:val="18"/>
            <w:lang w:val="en-US"/>
          </w:rPr>
          <w:t>FREEDOM OF THOUGHT AND EXPRESSION, RIGHT TO A FAIR TRIAL, JOB SECURITY, FREEDOM OF ASSOCIATION, AND DOMESTIC LEGAL EFFECTS</w:t>
        </w:r>
        <w:r w:rsidR="001A3B36" w:rsidRPr="00D869E3">
          <w:rPr>
            <w:webHidden/>
          </w:rPr>
          <w:tab/>
        </w:r>
        <w:r w:rsidR="001A3B36" w:rsidRPr="00D869E3">
          <w:rPr>
            <w:webHidden/>
          </w:rPr>
          <w:fldChar w:fldCharType="begin"/>
        </w:r>
        <w:r w:rsidR="001A3B36" w:rsidRPr="00D869E3">
          <w:rPr>
            <w:webHidden/>
          </w:rPr>
          <w:instrText xml:space="preserve"> PAGEREF _Toc29114124 \h </w:instrText>
        </w:r>
        <w:r w:rsidR="001A3B36" w:rsidRPr="00D869E3">
          <w:rPr>
            <w:webHidden/>
          </w:rPr>
        </w:r>
        <w:r w:rsidR="001A3B36" w:rsidRPr="00D869E3">
          <w:rPr>
            <w:webHidden/>
          </w:rPr>
          <w:fldChar w:fldCharType="separate"/>
        </w:r>
        <w:r>
          <w:rPr>
            <w:webHidden/>
          </w:rPr>
          <w:t>27</w:t>
        </w:r>
        <w:r w:rsidR="001A3B36" w:rsidRPr="00D869E3">
          <w:rPr>
            <w:webHidden/>
          </w:rPr>
          <w:fldChar w:fldCharType="end"/>
        </w:r>
      </w:hyperlink>
    </w:p>
    <w:p w14:paraId="0DD58EBF" w14:textId="6B16BD5F" w:rsidR="001A3B36" w:rsidRPr="00D869E3" w:rsidRDefault="0068647C" w:rsidP="00BE5A9F">
      <w:pPr>
        <w:pStyle w:val="TDC1"/>
        <w:rPr>
          <w:rFonts w:eastAsiaTheme="minorEastAsia" w:cstheme="minorBidi"/>
          <w:snapToGrid/>
          <w:lang w:val="en-US"/>
        </w:rPr>
      </w:pPr>
      <w:hyperlink w:anchor="_Toc29114125" w:history="1">
        <w:r w:rsidR="001A3B36" w:rsidRPr="00D869E3">
          <w:rPr>
            <w:rStyle w:val="Hipervnculo"/>
            <w:rFonts w:cs="Verdana"/>
            <w:sz w:val="18"/>
            <w:szCs w:val="18"/>
            <w:lang w:val="en-US"/>
          </w:rPr>
          <w:t>(ARTICLES 13, 8, 26, 16, 1(1) and 2 of the AMERICAN CONVENTION)</w:t>
        </w:r>
        <w:r w:rsidR="001A3B36" w:rsidRPr="00D869E3">
          <w:rPr>
            <w:webHidden/>
          </w:rPr>
          <w:tab/>
        </w:r>
        <w:r w:rsidR="001A3B36" w:rsidRPr="00D869E3">
          <w:rPr>
            <w:webHidden/>
          </w:rPr>
          <w:fldChar w:fldCharType="begin"/>
        </w:r>
        <w:r w:rsidR="001A3B36" w:rsidRPr="00D869E3">
          <w:rPr>
            <w:webHidden/>
          </w:rPr>
          <w:instrText xml:space="preserve"> PAGEREF _Toc29114125 \h </w:instrText>
        </w:r>
        <w:r w:rsidR="001A3B36" w:rsidRPr="00D869E3">
          <w:rPr>
            <w:webHidden/>
          </w:rPr>
        </w:r>
        <w:r w:rsidR="001A3B36" w:rsidRPr="00D869E3">
          <w:rPr>
            <w:webHidden/>
          </w:rPr>
          <w:fldChar w:fldCharType="separate"/>
        </w:r>
        <w:r>
          <w:rPr>
            <w:webHidden/>
          </w:rPr>
          <w:t>27</w:t>
        </w:r>
        <w:r w:rsidR="001A3B36" w:rsidRPr="00D869E3">
          <w:rPr>
            <w:webHidden/>
          </w:rPr>
          <w:fldChar w:fldCharType="end"/>
        </w:r>
      </w:hyperlink>
    </w:p>
    <w:p w14:paraId="54D1F5C0" w14:textId="5FA91730" w:rsidR="001A3B36" w:rsidRPr="00D869E3" w:rsidRDefault="0068647C" w:rsidP="00BE5A9F">
      <w:pPr>
        <w:pStyle w:val="TDC2"/>
        <w:tabs>
          <w:tab w:val="right" w:leader="dot" w:pos="8820"/>
        </w:tabs>
        <w:rPr>
          <w:rFonts w:ascii="Verdana" w:eastAsiaTheme="minorEastAsia" w:hAnsi="Verdana" w:cstheme="minorBidi"/>
          <w:noProof/>
          <w:sz w:val="18"/>
          <w:szCs w:val="18"/>
          <w:lang w:val="en-US"/>
        </w:rPr>
      </w:pPr>
      <w:hyperlink w:anchor="_Toc29114126" w:history="1">
        <w:r w:rsidR="001A3B36" w:rsidRPr="00D869E3">
          <w:rPr>
            <w:rStyle w:val="Hipervnculo"/>
            <w:rFonts w:ascii="Verdana" w:hAnsi="Verdana"/>
            <w:i/>
            <w:noProof/>
            <w:sz w:val="18"/>
            <w:szCs w:val="18"/>
            <w:lang w:val="en-US"/>
          </w:rPr>
          <w:t>A.</w:t>
        </w:r>
        <w:r w:rsidR="001A3B36" w:rsidRPr="00D869E3">
          <w:rPr>
            <w:rFonts w:ascii="Verdana" w:eastAsiaTheme="minorEastAsia" w:hAnsi="Verdana" w:cstheme="minorBidi"/>
            <w:noProof/>
            <w:sz w:val="18"/>
            <w:szCs w:val="18"/>
            <w:lang w:val="en-US"/>
          </w:rPr>
          <w:tab/>
        </w:r>
        <w:r w:rsidR="001A3B36" w:rsidRPr="00D869E3">
          <w:rPr>
            <w:rStyle w:val="Hipervnculo"/>
            <w:rFonts w:ascii="Verdana" w:hAnsi="Verdana"/>
            <w:i/>
            <w:noProof/>
            <w:sz w:val="18"/>
            <w:szCs w:val="18"/>
            <w:lang w:val="en-US"/>
          </w:rPr>
          <w:t>Arguments of the parties and of the Commission</w:t>
        </w:r>
        <w:r w:rsidR="001A3B36" w:rsidRPr="00D869E3">
          <w:rPr>
            <w:rFonts w:ascii="Verdana" w:hAnsi="Verdana"/>
            <w:noProof/>
            <w:webHidden/>
            <w:sz w:val="18"/>
            <w:szCs w:val="18"/>
          </w:rPr>
          <w:tab/>
        </w:r>
        <w:r w:rsidR="001A3B36" w:rsidRPr="00D869E3">
          <w:rPr>
            <w:rFonts w:ascii="Verdana" w:hAnsi="Verdana"/>
            <w:noProof/>
            <w:webHidden/>
            <w:sz w:val="18"/>
            <w:szCs w:val="18"/>
          </w:rPr>
          <w:fldChar w:fldCharType="begin"/>
        </w:r>
        <w:r w:rsidR="001A3B36" w:rsidRPr="00D869E3">
          <w:rPr>
            <w:rFonts w:ascii="Verdana" w:hAnsi="Verdana"/>
            <w:noProof/>
            <w:webHidden/>
            <w:sz w:val="18"/>
            <w:szCs w:val="18"/>
          </w:rPr>
          <w:instrText xml:space="preserve"> PAGEREF _Toc29114126 \h </w:instrText>
        </w:r>
        <w:r w:rsidR="001A3B36" w:rsidRPr="00D869E3">
          <w:rPr>
            <w:rFonts w:ascii="Verdana" w:hAnsi="Verdana"/>
            <w:noProof/>
            <w:webHidden/>
            <w:sz w:val="18"/>
            <w:szCs w:val="18"/>
          </w:rPr>
        </w:r>
        <w:r w:rsidR="001A3B36" w:rsidRPr="00D869E3">
          <w:rPr>
            <w:rFonts w:ascii="Verdana" w:hAnsi="Verdana"/>
            <w:noProof/>
            <w:webHidden/>
            <w:sz w:val="18"/>
            <w:szCs w:val="18"/>
          </w:rPr>
          <w:fldChar w:fldCharType="separate"/>
        </w:r>
        <w:r>
          <w:rPr>
            <w:rFonts w:ascii="Verdana" w:hAnsi="Verdana"/>
            <w:noProof/>
            <w:webHidden/>
            <w:sz w:val="18"/>
            <w:szCs w:val="18"/>
          </w:rPr>
          <w:t>27</w:t>
        </w:r>
        <w:r w:rsidR="001A3B36" w:rsidRPr="00D869E3">
          <w:rPr>
            <w:rFonts w:ascii="Verdana" w:hAnsi="Verdana"/>
            <w:noProof/>
            <w:webHidden/>
            <w:sz w:val="18"/>
            <w:szCs w:val="18"/>
          </w:rPr>
          <w:fldChar w:fldCharType="end"/>
        </w:r>
      </w:hyperlink>
    </w:p>
    <w:p w14:paraId="15CDA1B7" w14:textId="0AF26797" w:rsidR="001A3B36" w:rsidRPr="00D869E3" w:rsidRDefault="0068647C" w:rsidP="00BE5A9F">
      <w:pPr>
        <w:pStyle w:val="TDC3"/>
        <w:tabs>
          <w:tab w:val="clear" w:pos="8828"/>
          <w:tab w:val="right" w:leader="dot" w:pos="8820"/>
        </w:tabs>
        <w:rPr>
          <w:rFonts w:ascii="Verdana" w:eastAsiaTheme="minorEastAsia" w:hAnsi="Verdana" w:cstheme="minorBidi"/>
          <w:noProof/>
          <w:sz w:val="18"/>
          <w:szCs w:val="18"/>
          <w:lang w:val="en-US"/>
        </w:rPr>
      </w:pPr>
      <w:hyperlink w:anchor="_Toc29114127" w:history="1">
        <w:r w:rsidR="001A3B36" w:rsidRPr="00D869E3">
          <w:rPr>
            <w:rStyle w:val="Hipervnculo"/>
            <w:rFonts w:ascii="Verdana" w:hAnsi="Verdana"/>
            <w:i/>
            <w:iCs/>
            <w:noProof/>
            <w:sz w:val="18"/>
            <w:szCs w:val="18"/>
            <w:lang w:val="en-US"/>
          </w:rPr>
          <w:t>1.</w:t>
        </w:r>
        <w:r w:rsidR="001A3B36" w:rsidRPr="00D869E3">
          <w:rPr>
            <w:rFonts w:ascii="Verdana" w:eastAsiaTheme="minorEastAsia" w:hAnsi="Verdana" w:cstheme="minorBidi"/>
            <w:noProof/>
            <w:sz w:val="18"/>
            <w:szCs w:val="18"/>
            <w:lang w:val="en-US"/>
          </w:rPr>
          <w:tab/>
        </w:r>
        <w:r w:rsidR="001A3B36" w:rsidRPr="00D869E3">
          <w:rPr>
            <w:rStyle w:val="Hipervnculo"/>
            <w:rFonts w:ascii="Verdana" w:hAnsi="Verdana"/>
            <w:i/>
            <w:iCs/>
            <w:noProof/>
            <w:sz w:val="18"/>
            <w:szCs w:val="18"/>
            <w:lang w:val="en-US"/>
          </w:rPr>
          <w:t>Freedom of expression and the right to a fair trial</w:t>
        </w:r>
        <w:r w:rsidR="001A3B36" w:rsidRPr="00D869E3">
          <w:rPr>
            <w:rFonts w:ascii="Verdana" w:hAnsi="Verdana"/>
            <w:noProof/>
            <w:webHidden/>
            <w:sz w:val="18"/>
            <w:szCs w:val="18"/>
          </w:rPr>
          <w:tab/>
        </w:r>
        <w:r w:rsidR="001A3B36" w:rsidRPr="00D869E3">
          <w:rPr>
            <w:rFonts w:ascii="Verdana" w:hAnsi="Verdana"/>
            <w:noProof/>
            <w:webHidden/>
            <w:sz w:val="18"/>
            <w:szCs w:val="18"/>
          </w:rPr>
          <w:fldChar w:fldCharType="begin"/>
        </w:r>
        <w:r w:rsidR="001A3B36" w:rsidRPr="00D869E3">
          <w:rPr>
            <w:rFonts w:ascii="Verdana" w:hAnsi="Verdana"/>
            <w:noProof/>
            <w:webHidden/>
            <w:sz w:val="18"/>
            <w:szCs w:val="18"/>
          </w:rPr>
          <w:instrText xml:space="preserve"> PAGEREF _Toc29114127 \h </w:instrText>
        </w:r>
        <w:r w:rsidR="001A3B36" w:rsidRPr="00D869E3">
          <w:rPr>
            <w:rFonts w:ascii="Verdana" w:hAnsi="Verdana"/>
            <w:noProof/>
            <w:webHidden/>
            <w:sz w:val="18"/>
            <w:szCs w:val="18"/>
          </w:rPr>
        </w:r>
        <w:r w:rsidR="001A3B36" w:rsidRPr="00D869E3">
          <w:rPr>
            <w:rFonts w:ascii="Verdana" w:hAnsi="Verdana"/>
            <w:noProof/>
            <w:webHidden/>
            <w:sz w:val="18"/>
            <w:szCs w:val="18"/>
          </w:rPr>
          <w:fldChar w:fldCharType="separate"/>
        </w:r>
        <w:r>
          <w:rPr>
            <w:rFonts w:ascii="Verdana" w:hAnsi="Verdana"/>
            <w:noProof/>
            <w:webHidden/>
            <w:sz w:val="18"/>
            <w:szCs w:val="18"/>
          </w:rPr>
          <w:t>27</w:t>
        </w:r>
        <w:r w:rsidR="001A3B36" w:rsidRPr="00D869E3">
          <w:rPr>
            <w:rFonts w:ascii="Verdana" w:hAnsi="Verdana"/>
            <w:noProof/>
            <w:webHidden/>
            <w:sz w:val="18"/>
            <w:szCs w:val="18"/>
          </w:rPr>
          <w:fldChar w:fldCharType="end"/>
        </w:r>
      </w:hyperlink>
    </w:p>
    <w:p w14:paraId="0CC1B097" w14:textId="1E3AA0BE" w:rsidR="001A3B36" w:rsidRPr="00D869E3" w:rsidRDefault="0068647C" w:rsidP="00BE5A9F">
      <w:pPr>
        <w:pStyle w:val="TDC3"/>
        <w:tabs>
          <w:tab w:val="clear" w:pos="8828"/>
          <w:tab w:val="right" w:leader="dot" w:pos="8820"/>
        </w:tabs>
        <w:rPr>
          <w:rFonts w:ascii="Verdana" w:eastAsiaTheme="minorEastAsia" w:hAnsi="Verdana" w:cstheme="minorBidi"/>
          <w:noProof/>
          <w:sz w:val="18"/>
          <w:szCs w:val="18"/>
          <w:lang w:val="en-US"/>
        </w:rPr>
      </w:pPr>
      <w:hyperlink w:anchor="_Toc29114128" w:history="1">
        <w:r w:rsidR="001A3B36" w:rsidRPr="00D869E3">
          <w:rPr>
            <w:rStyle w:val="Hipervnculo"/>
            <w:rFonts w:ascii="Verdana" w:hAnsi="Verdana"/>
            <w:i/>
            <w:iCs/>
            <w:noProof/>
            <w:sz w:val="18"/>
            <w:szCs w:val="18"/>
            <w:lang w:val="en-US"/>
          </w:rPr>
          <w:t>2.</w:t>
        </w:r>
        <w:r w:rsidR="001A3B36" w:rsidRPr="00D869E3">
          <w:rPr>
            <w:rFonts w:ascii="Verdana" w:eastAsiaTheme="minorEastAsia" w:hAnsi="Verdana" w:cstheme="minorBidi"/>
            <w:noProof/>
            <w:sz w:val="18"/>
            <w:szCs w:val="18"/>
            <w:lang w:val="en-US"/>
          </w:rPr>
          <w:tab/>
        </w:r>
        <w:r w:rsidR="001A3B36" w:rsidRPr="00D869E3">
          <w:rPr>
            <w:rStyle w:val="Hipervnculo"/>
            <w:rFonts w:ascii="Verdana" w:hAnsi="Verdana"/>
            <w:i/>
            <w:iCs/>
            <w:noProof/>
            <w:sz w:val="18"/>
            <w:szCs w:val="18"/>
            <w:lang w:val="en-US"/>
          </w:rPr>
          <w:t>Freedom of association</w:t>
        </w:r>
        <w:r w:rsidR="001A3B36" w:rsidRPr="00D869E3">
          <w:rPr>
            <w:rFonts w:ascii="Verdana" w:hAnsi="Verdana"/>
            <w:noProof/>
            <w:webHidden/>
            <w:sz w:val="18"/>
            <w:szCs w:val="18"/>
          </w:rPr>
          <w:tab/>
        </w:r>
        <w:r w:rsidR="001A3B36" w:rsidRPr="00D869E3">
          <w:rPr>
            <w:rFonts w:ascii="Verdana" w:hAnsi="Verdana"/>
            <w:noProof/>
            <w:webHidden/>
            <w:sz w:val="18"/>
            <w:szCs w:val="18"/>
          </w:rPr>
          <w:fldChar w:fldCharType="begin"/>
        </w:r>
        <w:r w:rsidR="001A3B36" w:rsidRPr="00D869E3">
          <w:rPr>
            <w:rFonts w:ascii="Verdana" w:hAnsi="Verdana"/>
            <w:noProof/>
            <w:webHidden/>
            <w:sz w:val="18"/>
            <w:szCs w:val="18"/>
          </w:rPr>
          <w:instrText xml:space="preserve"> PAGEREF _Toc29114128 \h </w:instrText>
        </w:r>
        <w:r w:rsidR="001A3B36" w:rsidRPr="00D869E3">
          <w:rPr>
            <w:rFonts w:ascii="Verdana" w:hAnsi="Verdana"/>
            <w:noProof/>
            <w:webHidden/>
            <w:sz w:val="18"/>
            <w:szCs w:val="18"/>
          </w:rPr>
        </w:r>
        <w:r w:rsidR="001A3B36" w:rsidRPr="00D869E3">
          <w:rPr>
            <w:rFonts w:ascii="Verdana" w:hAnsi="Verdana"/>
            <w:noProof/>
            <w:webHidden/>
            <w:sz w:val="18"/>
            <w:szCs w:val="18"/>
          </w:rPr>
          <w:fldChar w:fldCharType="separate"/>
        </w:r>
        <w:r>
          <w:rPr>
            <w:rFonts w:ascii="Verdana" w:hAnsi="Verdana"/>
            <w:noProof/>
            <w:webHidden/>
            <w:sz w:val="18"/>
            <w:szCs w:val="18"/>
          </w:rPr>
          <w:t>29</w:t>
        </w:r>
        <w:r w:rsidR="001A3B36" w:rsidRPr="00D869E3">
          <w:rPr>
            <w:rFonts w:ascii="Verdana" w:hAnsi="Verdana"/>
            <w:noProof/>
            <w:webHidden/>
            <w:sz w:val="18"/>
            <w:szCs w:val="18"/>
          </w:rPr>
          <w:fldChar w:fldCharType="end"/>
        </w:r>
      </w:hyperlink>
    </w:p>
    <w:p w14:paraId="7DA052CA" w14:textId="79E71A9E" w:rsidR="001A3B36" w:rsidRPr="00D869E3" w:rsidRDefault="0068647C" w:rsidP="00BE5A9F">
      <w:pPr>
        <w:pStyle w:val="TDC3"/>
        <w:tabs>
          <w:tab w:val="clear" w:pos="8828"/>
          <w:tab w:val="right" w:leader="dot" w:pos="8820"/>
        </w:tabs>
        <w:rPr>
          <w:rFonts w:ascii="Verdana" w:eastAsiaTheme="minorEastAsia" w:hAnsi="Verdana" w:cstheme="minorBidi"/>
          <w:noProof/>
          <w:sz w:val="18"/>
          <w:szCs w:val="18"/>
          <w:lang w:val="en-US"/>
        </w:rPr>
      </w:pPr>
      <w:hyperlink w:anchor="_Toc29114129" w:history="1">
        <w:r w:rsidR="001A3B36" w:rsidRPr="00D869E3">
          <w:rPr>
            <w:rStyle w:val="Hipervnculo"/>
            <w:rFonts w:ascii="Verdana" w:hAnsi="Verdana"/>
            <w:i/>
            <w:iCs/>
            <w:noProof/>
            <w:sz w:val="18"/>
            <w:szCs w:val="18"/>
            <w:lang w:val="en-US"/>
          </w:rPr>
          <w:t>3.</w:t>
        </w:r>
        <w:r w:rsidR="001A3B36" w:rsidRPr="00D869E3">
          <w:rPr>
            <w:rFonts w:ascii="Verdana" w:eastAsiaTheme="minorEastAsia" w:hAnsi="Verdana" w:cstheme="minorBidi"/>
            <w:noProof/>
            <w:sz w:val="18"/>
            <w:szCs w:val="18"/>
            <w:lang w:val="en-US"/>
          </w:rPr>
          <w:tab/>
        </w:r>
        <w:r w:rsidR="001A3B36" w:rsidRPr="00D869E3">
          <w:rPr>
            <w:rStyle w:val="Hipervnculo"/>
            <w:rFonts w:ascii="Verdana" w:hAnsi="Verdana"/>
            <w:i/>
            <w:iCs/>
            <w:noProof/>
            <w:sz w:val="18"/>
            <w:szCs w:val="18"/>
            <w:lang w:val="en-US"/>
          </w:rPr>
          <w:t>Domestic legal effects</w:t>
        </w:r>
        <w:r w:rsidR="001A3B36" w:rsidRPr="00D869E3">
          <w:rPr>
            <w:rFonts w:ascii="Verdana" w:hAnsi="Verdana"/>
            <w:noProof/>
            <w:webHidden/>
            <w:sz w:val="18"/>
            <w:szCs w:val="18"/>
          </w:rPr>
          <w:tab/>
        </w:r>
        <w:r w:rsidR="001A3B36" w:rsidRPr="00D869E3">
          <w:rPr>
            <w:rFonts w:ascii="Verdana" w:hAnsi="Verdana"/>
            <w:noProof/>
            <w:webHidden/>
            <w:sz w:val="18"/>
            <w:szCs w:val="18"/>
          </w:rPr>
          <w:fldChar w:fldCharType="begin"/>
        </w:r>
        <w:r w:rsidR="001A3B36" w:rsidRPr="00D869E3">
          <w:rPr>
            <w:rFonts w:ascii="Verdana" w:hAnsi="Verdana"/>
            <w:noProof/>
            <w:webHidden/>
            <w:sz w:val="18"/>
            <w:szCs w:val="18"/>
          </w:rPr>
          <w:instrText xml:space="preserve"> PAGEREF _Toc29114129 \h </w:instrText>
        </w:r>
        <w:r w:rsidR="001A3B36" w:rsidRPr="00D869E3">
          <w:rPr>
            <w:rFonts w:ascii="Verdana" w:hAnsi="Verdana"/>
            <w:noProof/>
            <w:webHidden/>
            <w:sz w:val="18"/>
            <w:szCs w:val="18"/>
          </w:rPr>
        </w:r>
        <w:r w:rsidR="001A3B36" w:rsidRPr="00D869E3">
          <w:rPr>
            <w:rFonts w:ascii="Verdana" w:hAnsi="Verdana"/>
            <w:noProof/>
            <w:webHidden/>
            <w:sz w:val="18"/>
            <w:szCs w:val="18"/>
          </w:rPr>
          <w:fldChar w:fldCharType="separate"/>
        </w:r>
        <w:r>
          <w:rPr>
            <w:rFonts w:ascii="Verdana" w:hAnsi="Verdana"/>
            <w:noProof/>
            <w:webHidden/>
            <w:sz w:val="18"/>
            <w:szCs w:val="18"/>
          </w:rPr>
          <w:t>29</w:t>
        </w:r>
        <w:r w:rsidR="001A3B36" w:rsidRPr="00D869E3">
          <w:rPr>
            <w:rFonts w:ascii="Verdana" w:hAnsi="Verdana"/>
            <w:noProof/>
            <w:webHidden/>
            <w:sz w:val="18"/>
            <w:szCs w:val="18"/>
          </w:rPr>
          <w:fldChar w:fldCharType="end"/>
        </w:r>
      </w:hyperlink>
    </w:p>
    <w:p w14:paraId="0A950998" w14:textId="220F7C9C" w:rsidR="001A3B36" w:rsidRPr="00D869E3" w:rsidRDefault="0068647C" w:rsidP="00BE5A9F">
      <w:pPr>
        <w:pStyle w:val="TDC2"/>
        <w:tabs>
          <w:tab w:val="right" w:leader="dot" w:pos="8820"/>
        </w:tabs>
        <w:rPr>
          <w:rFonts w:ascii="Verdana" w:eastAsiaTheme="minorEastAsia" w:hAnsi="Verdana" w:cstheme="minorBidi"/>
          <w:noProof/>
          <w:sz w:val="18"/>
          <w:szCs w:val="18"/>
          <w:lang w:val="en-US"/>
        </w:rPr>
      </w:pPr>
      <w:hyperlink w:anchor="_Toc29114130" w:history="1">
        <w:r w:rsidR="001A3B36" w:rsidRPr="00D869E3">
          <w:rPr>
            <w:rStyle w:val="Hipervnculo"/>
            <w:rFonts w:ascii="Verdana" w:hAnsi="Verdana"/>
            <w:i/>
            <w:noProof/>
            <w:sz w:val="18"/>
            <w:szCs w:val="18"/>
            <w:lang w:val="en-US"/>
          </w:rPr>
          <w:t>B.</w:t>
        </w:r>
        <w:r w:rsidR="001A3B36" w:rsidRPr="00D869E3">
          <w:rPr>
            <w:rFonts w:ascii="Verdana" w:eastAsiaTheme="minorEastAsia" w:hAnsi="Verdana" w:cstheme="minorBidi"/>
            <w:noProof/>
            <w:sz w:val="18"/>
            <w:szCs w:val="18"/>
            <w:lang w:val="en-US"/>
          </w:rPr>
          <w:tab/>
        </w:r>
        <w:r w:rsidR="001A3B36" w:rsidRPr="00D869E3">
          <w:rPr>
            <w:rStyle w:val="Hipervnculo"/>
            <w:rFonts w:ascii="Verdana" w:hAnsi="Verdana"/>
            <w:i/>
            <w:noProof/>
            <w:sz w:val="18"/>
            <w:szCs w:val="18"/>
            <w:lang w:val="en-US"/>
          </w:rPr>
          <w:t>Considerations of the Court</w:t>
        </w:r>
        <w:r w:rsidR="001A3B36" w:rsidRPr="00D869E3">
          <w:rPr>
            <w:rFonts w:ascii="Verdana" w:hAnsi="Verdana"/>
            <w:noProof/>
            <w:webHidden/>
            <w:sz w:val="18"/>
            <w:szCs w:val="18"/>
          </w:rPr>
          <w:tab/>
        </w:r>
        <w:r w:rsidR="001A3B36" w:rsidRPr="00D869E3">
          <w:rPr>
            <w:rFonts w:ascii="Verdana" w:hAnsi="Verdana"/>
            <w:noProof/>
            <w:webHidden/>
            <w:sz w:val="18"/>
            <w:szCs w:val="18"/>
          </w:rPr>
          <w:fldChar w:fldCharType="begin"/>
        </w:r>
        <w:r w:rsidR="001A3B36" w:rsidRPr="00D869E3">
          <w:rPr>
            <w:rFonts w:ascii="Verdana" w:hAnsi="Verdana"/>
            <w:noProof/>
            <w:webHidden/>
            <w:sz w:val="18"/>
            <w:szCs w:val="18"/>
          </w:rPr>
          <w:instrText xml:space="preserve"> PAGEREF _Toc29114130 \h </w:instrText>
        </w:r>
        <w:r w:rsidR="001A3B36" w:rsidRPr="00D869E3">
          <w:rPr>
            <w:rFonts w:ascii="Verdana" w:hAnsi="Verdana"/>
            <w:noProof/>
            <w:webHidden/>
            <w:sz w:val="18"/>
            <w:szCs w:val="18"/>
          </w:rPr>
        </w:r>
        <w:r w:rsidR="001A3B36" w:rsidRPr="00D869E3">
          <w:rPr>
            <w:rFonts w:ascii="Verdana" w:hAnsi="Verdana"/>
            <w:noProof/>
            <w:webHidden/>
            <w:sz w:val="18"/>
            <w:szCs w:val="18"/>
          </w:rPr>
          <w:fldChar w:fldCharType="separate"/>
        </w:r>
        <w:r>
          <w:rPr>
            <w:rFonts w:ascii="Verdana" w:hAnsi="Verdana"/>
            <w:noProof/>
            <w:webHidden/>
            <w:sz w:val="18"/>
            <w:szCs w:val="18"/>
          </w:rPr>
          <w:t>30</w:t>
        </w:r>
        <w:r w:rsidR="001A3B36" w:rsidRPr="00D869E3">
          <w:rPr>
            <w:rFonts w:ascii="Verdana" w:hAnsi="Verdana"/>
            <w:noProof/>
            <w:webHidden/>
            <w:sz w:val="18"/>
            <w:szCs w:val="18"/>
          </w:rPr>
          <w:fldChar w:fldCharType="end"/>
        </w:r>
      </w:hyperlink>
    </w:p>
    <w:p w14:paraId="129DC997" w14:textId="06F35447" w:rsidR="001A3B36" w:rsidRPr="00D869E3" w:rsidRDefault="0068647C" w:rsidP="00BE5A9F">
      <w:pPr>
        <w:pStyle w:val="TDC3"/>
        <w:tabs>
          <w:tab w:val="clear" w:pos="8828"/>
          <w:tab w:val="right" w:leader="dot" w:pos="8820"/>
        </w:tabs>
        <w:rPr>
          <w:rFonts w:ascii="Verdana" w:eastAsiaTheme="minorEastAsia" w:hAnsi="Verdana" w:cstheme="minorBidi"/>
          <w:noProof/>
          <w:sz w:val="18"/>
          <w:szCs w:val="18"/>
          <w:lang w:val="en-US"/>
        </w:rPr>
      </w:pPr>
      <w:hyperlink w:anchor="_Toc29114131" w:history="1">
        <w:r w:rsidR="001A3B36" w:rsidRPr="00D869E3">
          <w:rPr>
            <w:rStyle w:val="Hipervnculo"/>
            <w:rFonts w:ascii="Verdana" w:hAnsi="Verdana"/>
            <w:i/>
            <w:noProof/>
            <w:sz w:val="18"/>
            <w:szCs w:val="18"/>
            <w:lang w:val="en-US"/>
          </w:rPr>
          <w:t>1.</w:t>
        </w:r>
        <w:r w:rsidR="001A3B36" w:rsidRPr="00D869E3">
          <w:rPr>
            <w:rFonts w:ascii="Verdana" w:eastAsiaTheme="minorEastAsia" w:hAnsi="Verdana" w:cstheme="minorBidi"/>
            <w:noProof/>
            <w:sz w:val="18"/>
            <w:szCs w:val="18"/>
            <w:lang w:val="en-US"/>
          </w:rPr>
          <w:tab/>
        </w:r>
        <w:r w:rsidR="001A3B36" w:rsidRPr="00D869E3">
          <w:rPr>
            <w:rStyle w:val="Hipervnculo"/>
            <w:rFonts w:ascii="Verdana" w:hAnsi="Verdana"/>
            <w:i/>
            <w:noProof/>
            <w:sz w:val="18"/>
            <w:szCs w:val="18"/>
            <w:lang w:val="en-US"/>
          </w:rPr>
          <w:t>Freedom of expression and judicial guarantees</w:t>
        </w:r>
        <w:r w:rsidR="001A3B36" w:rsidRPr="00D869E3">
          <w:rPr>
            <w:rFonts w:ascii="Verdana" w:hAnsi="Verdana"/>
            <w:noProof/>
            <w:webHidden/>
            <w:sz w:val="18"/>
            <w:szCs w:val="18"/>
          </w:rPr>
          <w:tab/>
        </w:r>
        <w:r w:rsidR="001A3B36" w:rsidRPr="00D869E3">
          <w:rPr>
            <w:rFonts w:ascii="Verdana" w:hAnsi="Verdana"/>
            <w:noProof/>
            <w:webHidden/>
            <w:sz w:val="18"/>
            <w:szCs w:val="18"/>
          </w:rPr>
          <w:fldChar w:fldCharType="begin"/>
        </w:r>
        <w:r w:rsidR="001A3B36" w:rsidRPr="00D869E3">
          <w:rPr>
            <w:rFonts w:ascii="Verdana" w:hAnsi="Verdana"/>
            <w:noProof/>
            <w:webHidden/>
            <w:sz w:val="18"/>
            <w:szCs w:val="18"/>
          </w:rPr>
          <w:instrText xml:space="preserve"> PAGEREF _Toc29114131 \h </w:instrText>
        </w:r>
        <w:r w:rsidR="001A3B36" w:rsidRPr="00D869E3">
          <w:rPr>
            <w:rFonts w:ascii="Verdana" w:hAnsi="Verdana"/>
            <w:noProof/>
            <w:webHidden/>
            <w:sz w:val="18"/>
            <w:szCs w:val="18"/>
          </w:rPr>
        </w:r>
        <w:r w:rsidR="001A3B36" w:rsidRPr="00D869E3">
          <w:rPr>
            <w:rFonts w:ascii="Verdana" w:hAnsi="Verdana"/>
            <w:noProof/>
            <w:webHidden/>
            <w:sz w:val="18"/>
            <w:szCs w:val="18"/>
          </w:rPr>
          <w:fldChar w:fldCharType="separate"/>
        </w:r>
        <w:r>
          <w:rPr>
            <w:rFonts w:ascii="Verdana" w:hAnsi="Verdana"/>
            <w:noProof/>
            <w:webHidden/>
            <w:sz w:val="18"/>
            <w:szCs w:val="18"/>
          </w:rPr>
          <w:t>30</w:t>
        </w:r>
        <w:r w:rsidR="001A3B36" w:rsidRPr="00D869E3">
          <w:rPr>
            <w:rFonts w:ascii="Verdana" w:hAnsi="Verdana"/>
            <w:noProof/>
            <w:webHidden/>
            <w:sz w:val="18"/>
            <w:szCs w:val="18"/>
          </w:rPr>
          <w:fldChar w:fldCharType="end"/>
        </w:r>
      </w:hyperlink>
    </w:p>
    <w:p w14:paraId="4A4B5044" w14:textId="2E47E65A" w:rsidR="001A3B36" w:rsidRPr="00D869E3" w:rsidRDefault="0068647C" w:rsidP="00BE5A9F">
      <w:pPr>
        <w:pStyle w:val="TDC3"/>
        <w:tabs>
          <w:tab w:val="clear" w:pos="8828"/>
          <w:tab w:val="right" w:leader="dot" w:pos="8820"/>
        </w:tabs>
        <w:rPr>
          <w:rFonts w:ascii="Verdana" w:eastAsiaTheme="minorEastAsia" w:hAnsi="Verdana" w:cstheme="minorBidi"/>
          <w:noProof/>
          <w:sz w:val="18"/>
          <w:szCs w:val="18"/>
          <w:lang w:val="en-US"/>
        </w:rPr>
      </w:pPr>
      <w:hyperlink w:anchor="_Toc29114132" w:history="1">
        <w:r w:rsidR="001A3B36" w:rsidRPr="00D869E3">
          <w:rPr>
            <w:rStyle w:val="Hipervnculo"/>
            <w:rFonts w:ascii="Verdana" w:hAnsi="Verdana"/>
            <w:i/>
            <w:noProof/>
            <w:sz w:val="18"/>
            <w:szCs w:val="18"/>
            <w:lang w:val="en-US"/>
          </w:rPr>
          <w:t>1.1</w:t>
        </w:r>
        <w:r w:rsidR="001A3B36" w:rsidRPr="00D869E3">
          <w:rPr>
            <w:rFonts w:ascii="Verdana" w:eastAsiaTheme="minorEastAsia" w:hAnsi="Verdana" w:cstheme="minorBidi"/>
            <w:noProof/>
            <w:sz w:val="18"/>
            <w:szCs w:val="18"/>
            <w:lang w:val="en-US"/>
          </w:rPr>
          <w:tab/>
        </w:r>
        <w:r w:rsidR="001A3B36" w:rsidRPr="00D869E3">
          <w:rPr>
            <w:rStyle w:val="Hipervnculo"/>
            <w:rFonts w:ascii="Verdana" w:hAnsi="Verdana"/>
            <w:i/>
            <w:noProof/>
            <w:sz w:val="18"/>
            <w:szCs w:val="18"/>
            <w:lang w:val="en-US"/>
          </w:rPr>
          <w:t>Freedom of expression in labor contexts</w:t>
        </w:r>
        <w:r w:rsidR="001A3B36" w:rsidRPr="00D869E3">
          <w:rPr>
            <w:rFonts w:ascii="Verdana" w:hAnsi="Verdana"/>
            <w:noProof/>
            <w:webHidden/>
            <w:sz w:val="18"/>
            <w:szCs w:val="18"/>
          </w:rPr>
          <w:tab/>
        </w:r>
        <w:r w:rsidR="001A3B36" w:rsidRPr="00D869E3">
          <w:rPr>
            <w:rFonts w:ascii="Verdana" w:hAnsi="Verdana"/>
            <w:noProof/>
            <w:webHidden/>
            <w:sz w:val="18"/>
            <w:szCs w:val="18"/>
          </w:rPr>
          <w:fldChar w:fldCharType="begin"/>
        </w:r>
        <w:r w:rsidR="001A3B36" w:rsidRPr="00D869E3">
          <w:rPr>
            <w:rFonts w:ascii="Verdana" w:hAnsi="Verdana"/>
            <w:noProof/>
            <w:webHidden/>
            <w:sz w:val="18"/>
            <w:szCs w:val="18"/>
          </w:rPr>
          <w:instrText xml:space="preserve"> PAGEREF _Toc29114132 \h </w:instrText>
        </w:r>
        <w:r w:rsidR="001A3B36" w:rsidRPr="00D869E3">
          <w:rPr>
            <w:rFonts w:ascii="Verdana" w:hAnsi="Verdana"/>
            <w:noProof/>
            <w:webHidden/>
            <w:sz w:val="18"/>
            <w:szCs w:val="18"/>
          </w:rPr>
        </w:r>
        <w:r w:rsidR="001A3B36" w:rsidRPr="00D869E3">
          <w:rPr>
            <w:rFonts w:ascii="Verdana" w:hAnsi="Verdana"/>
            <w:noProof/>
            <w:webHidden/>
            <w:sz w:val="18"/>
            <w:szCs w:val="18"/>
          </w:rPr>
          <w:fldChar w:fldCharType="separate"/>
        </w:r>
        <w:r>
          <w:rPr>
            <w:rFonts w:ascii="Verdana" w:hAnsi="Verdana"/>
            <w:noProof/>
            <w:webHidden/>
            <w:sz w:val="18"/>
            <w:szCs w:val="18"/>
          </w:rPr>
          <w:t>30</w:t>
        </w:r>
        <w:r w:rsidR="001A3B36" w:rsidRPr="00D869E3">
          <w:rPr>
            <w:rFonts w:ascii="Verdana" w:hAnsi="Verdana"/>
            <w:noProof/>
            <w:webHidden/>
            <w:sz w:val="18"/>
            <w:szCs w:val="18"/>
          </w:rPr>
          <w:fldChar w:fldCharType="end"/>
        </w:r>
      </w:hyperlink>
    </w:p>
    <w:p w14:paraId="46531333" w14:textId="62730509" w:rsidR="001A3B36" w:rsidRPr="00D869E3" w:rsidRDefault="0068647C" w:rsidP="00BE5A9F">
      <w:pPr>
        <w:pStyle w:val="TDC3"/>
        <w:tabs>
          <w:tab w:val="clear" w:pos="8828"/>
          <w:tab w:val="right" w:leader="dot" w:pos="8820"/>
        </w:tabs>
        <w:rPr>
          <w:rFonts w:ascii="Verdana" w:eastAsiaTheme="minorEastAsia" w:hAnsi="Verdana" w:cstheme="minorBidi"/>
          <w:noProof/>
          <w:sz w:val="18"/>
          <w:szCs w:val="18"/>
          <w:lang w:val="en-US"/>
        </w:rPr>
      </w:pPr>
      <w:hyperlink w:anchor="_Toc29114133" w:history="1">
        <w:r w:rsidR="001A3B36" w:rsidRPr="00D869E3">
          <w:rPr>
            <w:rStyle w:val="Hipervnculo"/>
            <w:rFonts w:ascii="Verdana" w:hAnsi="Verdana"/>
            <w:i/>
            <w:noProof/>
            <w:sz w:val="18"/>
            <w:szCs w:val="18"/>
            <w:lang w:val="en-US"/>
          </w:rPr>
          <w:t>1.2</w:t>
        </w:r>
        <w:r w:rsidR="001A3B36" w:rsidRPr="00D869E3">
          <w:rPr>
            <w:rFonts w:ascii="Verdana" w:eastAsiaTheme="minorEastAsia" w:hAnsi="Verdana" w:cstheme="minorBidi"/>
            <w:noProof/>
            <w:sz w:val="18"/>
            <w:szCs w:val="18"/>
            <w:lang w:val="en-US"/>
          </w:rPr>
          <w:tab/>
        </w:r>
        <w:r w:rsidR="001A3B36" w:rsidRPr="00D869E3">
          <w:rPr>
            <w:rStyle w:val="Hipervnculo"/>
            <w:rFonts w:ascii="Verdana" w:hAnsi="Verdana"/>
            <w:i/>
            <w:noProof/>
            <w:sz w:val="18"/>
            <w:szCs w:val="18"/>
            <w:lang w:val="en-US"/>
          </w:rPr>
          <w:t>Analysis of the necessity and reasonableness of the restriction in this case</w:t>
        </w:r>
        <w:r w:rsidR="001A3B36" w:rsidRPr="00D869E3">
          <w:rPr>
            <w:rFonts w:ascii="Verdana" w:hAnsi="Verdana"/>
            <w:noProof/>
            <w:webHidden/>
            <w:sz w:val="18"/>
            <w:szCs w:val="18"/>
          </w:rPr>
          <w:tab/>
        </w:r>
        <w:r w:rsidR="001A3B36" w:rsidRPr="00D869E3">
          <w:rPr>
            <w:rFonts w:ascii="Verdana" w:hAnsi="Verdana"/>
            <w:noProof/>
            <w:webHidden/>
            <w:sz w:val="18"/>
            <w:szCs w:val="18"/>
          </w:rPr>
          <w:fldChar w:fldCharType="begin"/>
        </w:r>
        <w:r w:rsidR="001A3B36" w:rsidRPr="00D869E3">
          <w:rPr>
            <w:rFonts w:ascii="Verdana" w:hAnsi="Verdana"/>
            <w:noProof/>
            <w:webHidden/>
            <w:sz w:val="18"/>
            <w:szCs w:val="18"/>
          </w:rPr>
          <w:instrText xml:space="preserve"> PAGEREF _Toc29114133 \h </w:instrText>
        </w:r>
        <w:r w:rsidR="001A3B36" w:rsidRPr="00D869E3">
          <w:rPr>
            <w:rFonts w:ascii="Verdana" w:hAnsi="Verdana"/>
            <w:noProof/>
            <w:webHidden/>
            <w:sz w:val="18"/>
            <w:szCs w:val="18"/>
          </w:rPr>
        </w:r>
        <w:r w:rsidR="001A3B36" w:rsidRPr="00D869E3">
          <w:rPr>
            <w:rFonts w:ascii="Verdana" w:hAnsi="Verdana"/>
            <w:noProof/>
            <w:webHidden/>
            <w:sz w:val="18"/>
            <w:szCs w:val="18"/>
          </w:rPr>
          <w:fldChar w:fldCharType="separate"/>
        </w:r>
        <w:r>
          <w:rPr>
            <w:rFonts w:ascii="Verdana" w:hAnsi="Verdana"/>
            <w:noProof/>
            <w:webHidden/>
            <w:sz w:val="18"/>
            <w:szCs w:val="18"/>
          </w:rPr>
          <w:t>32</w:t>
        </w:r>
        <w:r w:rsidR="001A3B36" w:rsidRPr="00D869E3">
          <w:rPr>
            <w:rFonts w:ascii="Verdana" w:hAnsi="Verdana"/>
            <w:noProof/>
            <w:webHidden/>
            <w:sz w:val="18"/>
            <w:szCs w:val="18"/>
          </w:rPr>
          <w:fldChar w:fldCharType="end"/>
        </w:r>
      </w:hyperlink>
    </w:p>
    <w:p w14:paraId="7C1464D7" w14:textId="7CD41774" w:rsidR="001A3B36" w:rsidRPr="00D869E3" w:rsidRDefault="0068647C" w:rsidP="00BE5A9F">
      <w:pPr>
        <w:pStyle w:val="TDC3"/>
        <w:tabs>
          <w:tab w:val="clear" w:pos="8828"/>
          <w:tab w:val="right" w:leader="dot" w:pos="8820"/>
        </w:tabs>
        <w:rPr>
          <w:rFonts w:ascii="Verdana" w:eastAsiaTheme="minorEastAsia" w:hAnsi="Verdana" w:cstheme="minorBidi"/>
          <w:noProof/>
          <w:sz w:val="18"/>
          <w:szCs w:val="18"/>
          <w:lang w:val="en-US"/>
        </w:rPr>
      </w:pPr>
      <w:hyperlink w:anchor="_Toc29114134" w:history="1">
        <w:r w:rsidR="001A3B36" w:rsidRPr="00D869E3">
          <w:rPr>
            <w:rStyle w:val="Hipervnculo"/>
            <w:rFonts w:ascii="Verdana" w:hAnsi="Verdana"/>
            <w:i/>
            <w:noProof/>
            <w:sz w:val="18"/>
            <w:szCs w:val="18"/>
            <w:lang w:val="en-US"/>
          </w:rPr>
          <w:t>1.2.1 Classification of Mr. Lagos del Campo’s statements</w:t>
        </w:r>
        <w:r w:rsidR="001A3B36" w:rsidRPr="00D869E3">
          <w:rPr>
            <w:rFonts w:ascii="Verdana" w:hAnsi="Verdana"/>
            <w:noProof/>
            <w:webHidden/>
            <w:sz w:val="18"/>
            <w:szCs w:val="18"/>
          </w:rPr>
          <w:tab/>
        </w:r>
        <w:r w:rsidR="001A3B36" w:rsidRPr="00D869E3">
          <w:rPr>
            <w:rFonts w:ascii="Verdana" w:hAnsi="Verdana"/>
            <w:noProof/>
            <w:webHidden/>
            <w:sz w:val="18"/>
            <w:szCs w:val="18"/>
          </w:rPr>
          <w:fldChar w:fldCharType="begin"/>
        </w:r>
        <w:r w:rsidR="001A3B36" w:rsidRPr="00D869E3">
          <w:rPr>
            <w:rFonts w:ascii="Verdana" w:hAnsi="Verdana"/>
            <w:noProof/>
            <w:webHidden/>
            <w:sz w:val="18"/>
            <w:szCs w:val="18"/>
          </w:rPr>
          <w:instrText xml:space="preserve"> PAGEREF _Toc29114134 \h </w:instrText>
        </w:r>
        <w:r w:rsidR="001A3B36" w:rsidRPr="00D869E3">
          <w:rPr>
            <w:rFonts w:ascii="Verdana" w:hAnsi="Verdana"/>
            <w:noProof/>
            <w:webHidden/>
            <w:sz w:val="18"/>
            <w:szCs w:val="18"/>
          </w:rPr>
        </w:r>
        <w:r w:rsidR="001A3B36" w:rsidRPr="00D869E3">
          <w:rPr>
            <w:rFonts w:ascii="Verdana" w:hAnsi="Verdana"/>
            <w:noProof/>
            <w:webHidden/>
            <w:sz w:val="18"/>
            <w:szCs w:val="18"/>
          </w:rPr>
          <w:fldChar w:fldCharType="separate"/>
        </w:r>
        <w:r>
          <w:rPr>
            <w:rFonts w:ascii="Verdana" w:hAnsi="Verdana"/>
            <w:noProof/>
            <w:webHidden/>
            <w:sz w:val="18"/>
            <w:szCs w:val="18"/>
          </w:rPr>
          <w:t>34</w:t>
        </w:r>
        <w:r w:rsidR="001A3B36" w:rsidRPr="00D869E3">
          <w:rPr>
            <w:rFonts w:ascii="Verdana" w:hAnsi="Verdana"/>
            <w:noProof/>
            <w:webHidden/>
            <w:sz w:val="18"/>
            <w:szCs w:val="18"/>
          </w:rPr>
          <w:fldChar w:fldCharType="end"/>
        </w:r>
      </w:hyperlink>
    </w:p>
    <w:p w14:paraId="356D79BA" w14:textId="364800B4" w:rsidR="001A3B36" w:rsidRPr="00D869E3" w:rsidRDefault="0068647C" w:rsidP="00BE5A9F">
      <w:pPr>
        <w:pStyle w:val="TDC3"/>
        <w:tabs>
          <w:tab w:val="clear" w:pos="8828"/>
          <w:tab w:val="right" w:leader="dot" w:pos="8820"/>
        </w:tabs>
        <w:rPr>
          <w:rFonts w:ascii="Verdana" w:eastAsiaTheme="minorEastAsia" w:hAnsi="Verdana" w:cstheme="minorBidi"/>
          <w:noProof/>
          <w:sz w:val="18"/>
          <w:szCs w:val="18"/>
          <w:lang w:val="en-US"/>
        </w:rPr>
      </w:pPr>
      <w:hyperlink w:anchor="_Toc29114135" w:history="1">
        <w:r w:rsidR="001A3B36" w:rsidRPr="00D869E3">
          <w:rPr>
            <w:rStyle w:val="Hipervnculo"/>
            <w:rFonts w:ascii="Verdana" w:hAnsi="Verdana"/>
            <w:i/>
            <w:noProof/>
            <w:sz w:val="18"/>
            <w:szCs w:val="18"/>
            <w:lang w:val="en-US"/>
          </w:rPr>
          <w:t>1.2.2. Legality and purpose</w:t>
        </w:r>
        <w:r w:rsidR="001A3B36" w:rsidRPr="00D869E3">
          <w:rPr>
            <w:rFonts w:ascii="Verdana" w:hAnsi="Verdana"/>
            <w:noProof/>
            <w:webHidden/>
            <w:sz w:val="18"/>
            <w:szCs w:val="18"/>
          </w:rPr>
          <w:tab/>
        </w:r>
        <w:r w:rsidR="001A3B36" w:rsidRPr="00D869E3">
          <w:rPr>
            <w:rFonts w:ascii="Verdana" w:hAnsi="Verdana"/>
            <w:noProof/>
            <w:webHidden/>
            <w:sz w:val="18"/>
            <w:szCs w:val="18"/>
          </w:rPr>
          <w:fldChar w:fldCharType="begin"/>
        </w:r>
        <w:r w:rsidR="001A3B36" w:rsidRPr="00D869E3">
          <w:rPr>
            <w:rFonts w:ascii="Verdana" w:hAnsi="Verdana"/>
            <w:noProof/>
            <w:webHidden/>
            <w:sz w:val="18"/>
            <w:szCs w:val="18"/>
          </w:rPr>
          <w:instrText xml:space="preserve"> PAGEREF _Toc29114135 \h </w:instrText>
        </w:r>
        <w:r w:rsidR="001A3B36" w:rsidRPr="00D869E3">
          <w:rPr>
            <w:rFonts w:ascii="Verdana" w:hAnsi="Verdana"/>
            <w:noProof/>
            <w:webHidden/>
            <w:sz w:val="18"/>
            <w:szCs w:val="18"/>
          </w:rPr>
        </w:r>
        <w:r w:rsidR="001A3B36" w:rsidRPr="00D869E3">
          <w:rPr>
            <w:rFonts w:ascii="Verdana" w:hAnsi="Verdana"/>
            <w:noProof/>
            <w:webHidden/>
            <w:sz w:val="18"/>
            <w:szCs w:val="18"/>
          </w:rPr>
          <w:fldChar w:fldCharType="separate"/>
        </w:r>
        <w:r>
          <w:rPr>
            <w:rFonts w:ascii="Verdana" w:hAnsi="Verdana"/>
            <w:noProof/>
            <w:webHidden/>
            <w:sz w:val="18"/>
            <w:szCs w:val="18"/>
          </w:rPr>
          <w:t>38</w:t>
        </w:r>
        <w:r w:rsidR="001A3B36" w:rsidRPr="00D869E3">
          <w:rPr>
            <w:rFonts w:ascii="Verdana" w:hAnsi="Verdana"/>
            <w:noProof/>
            <w:webHidden/>
            <w:sz w:val="18"/>
            <w:szCs w:val="18"/>
          </w:rPr>
          <w:fldChar w:fldCharType="end"/>
        </w:r>
      </w:hyperlink>
    </w:p>
    <w:p w14:paraId="43E3A485" w14:textId="2525B59D" w:rsidR="001A3B36" w:rsidRPr="00D869E3" w:rsidRDefault="0068647C" w:rsidP="00BE5A9F">
      <w:pPr>
        <w:pStyle w:val="TDC3"/>
        <w:tabs>
          <w:tab w:val="clear" w:pos="8828"/>
          <w:tab w:val="right" w:leader="dot" w:pos="8820"/>
        </w:tabs>
        <w:rPr>
          <w:rFonts w:ascii="Verdana" w:eastAsiaTheme="minorEastAsia" w:hAnsi="Verdana" w:cstheme="minorBidi"/>
          <w:noProof/>
          <w:sz w:val="18"/>
          <w:szCs w:val="18"/>
          <w:lang w:val="en-US"/>
        </w:rPr>
      </w:pPr>
      <w:hyperlink w:anchor="_Toc29114136" w:history="1">
        <w:r w:rsidR="001A3B36" w:rsidRPr="00D869E3">
          <w:rPr>
            <w:rStyle w:val="Hipervnculo"/>
            <w:rFonts w:ascii="Verdana" w:hAnsi="Verdana"/>
            <w:i/>
            <w:noProof/>
            <w:sz w:val="18"/>
            <w:szCs w:val="18"/>
            <w:lang w:val="en-US"/>
          </w:rPr>
          <w:t>1.2.3. Necessity for the restriction and obligation to state reasons</w:t>
        </w:r>
        <w:r w:rsidR="001A3B36" w:rsidRPr="00D869E3">
          <w:rPr>
            <w:rFonts w:ascii="Verdana" w:hAnsi="Verdana"/>
            <w:noProof/>
            <w:webHidden/>
            <w:sz w:val="18"/>
            <w:szCs w:val="18"/>
          </w:rPr>
          <w:tab/>
        </w:r>
        <w:r w:rsidR="001A3B36" w:rsidRPr="00D869E3">
          <w:rPr>
            <w:rFonts w:ascii="Verdana" w:hAnsi="Verdana"/>
            <w:noProof/>
            <w:webHidden/>
            <w:sz w:val="18"/>
            <w:szCs w:val="18"/>
          </w:rPr>
          <w:fldChar w:fldCharType="begin"/>
        </w:r>
        <w:r w:rsidR="001A3B36" w:rsidRPr="00D869E3">
          <w:rPr>
            <w:rFonts w:ascii="Verdana" w:hAnsi="Verdana"/>
            <w:noProof/>
            <w:webHidden/>
            <w:sz w:val="18"/>
            <w:szCs w:val="18"/>
          </w:rPr>
          <w:instrText xml:space="preserve"> PAGEREF _Toc29114136 \h </w:instrText>
        </w:r>
        <w:r w:rsidR="001A3B36" w:rsidRPr="00D869E3">
          <w:rPr>
            <w:rFonts w:ascii="Verdana" w:hAnsi="Verdana"/>
            <w:noProof/>
            <w:webHidden/>
            <w:sz w:val="18"/>
            <w:szCs w:val="18"/>
          </w:rPr>
        </w:r>
        <w:r w:rsidR="001A3B36" w:rsidRPr="00D869E3">
          <w:rPr>
            <w:rFonts w:ascii="Verdana" w:hAnsi="Verdana"/>
            <w:noProof/>
            <w:webHidden/>
            <w:sz w:val="18"/>
            <w:szCs w:val="18"/>
          </w:rPr>
          <w:fldChar w:fldCharType="separate"/>
        </w:r>
        <w:r>
          <w:rPr>
            <w:rFonts w:ascii="Verdana" w:hAnsi="Verdana"/>
            <w:noProof/>
            <w:webHidden/>
            <w:sz w:val="18"/>
            <w:szCs w:val="18"/>
          </w:rPr>
          <w:t>39</w:t>
        </w:r>
        <w:r w:rsidR="001A3B36" w:rsidRPr="00D869E3">
          <w:rPr>
            <w:rFonts w:ascii="Verdana" w:hAnsi="Verdana"/>
            <w:noProof/>
            <w:webHidden/>
            <w:sz w:val="18"/>
            <w:szCs w:val="18"/>
          </w:rPr>
          <w:fldChar w:fldCharType="end"/>
        </w:r>
      </w:hyperlink>
    </w:p>
    <w:p w14:paraId="0F2B54E4" w14:textId="64F0AFF4" w:rsidR="001A3B36" w:rsidRPr="00D869E3" w:rsidRDefault="0068647C" w:rsidP="00BE5A9F">
      <w:pPr>
        <w:pStyle w:val="TDC3"/>
        <w:tabs>
          <w:tab w:val="clear" w:pos="8828"/>
          <w:tab w:val="right" w:leader="dot" w:pos="8820"/>
        </w:tabs>
        <w:rPr>
          <w:rFonts w:ascii="Verdana" w:eastAsiaTheme="minorEastAsia" w:hAnsi="Verdana" w:cstheme="minorBidi"/>
          <w:noProof/>
          <w:sz w:val="18"/>
          <w:szCs w:val="18"/>
          <w:lang w:val="en-US"/>
        </w:rPr>
      </w:pPr>
      <w:hyperlink w:anchor="_Toc29114137" w:history="1">
        <w:r w:rsidR="001A3B36" w:rsidRPr="00D869E3">
          <w:rPr>
            <w:rStyle w:val="Hipervnculo"/>
            <w:rFonts w:ascii="Verdana" w:hAnsi="Verdana"/>
            <w:i/>
            <w:noProof/>
            <w:sz w:val="18"/>
            <w:szCs w:val="18"/>
            <w:lang w:val="en-US"/>
          </w:rPr>
          <w:t>2.</w:t>
        </w:r>
        <w:r w:rsidR="001A3B36" w:rsidRPr="00D869E3">
          <w:rPr>
            <w:rFonts w:ascii="Verdana" w:eastAsiaTheme="minorEastAsia" w:hAnsi="Verdana" w:cstheme="minorBidi"/>
            <w:noProof/>
            <w:sz w:val="18"/>
            <w:szCs w:val="18"/>
            <w:lang w:val="en-US"/>
          </w:rPr>
          <w:tab/>
        </w:r>
        <w:r w:rsidR="001A3B36" w:rsidRPr="00D869E3">
          <w:rPr>
            <w:rStyle w:val="Hipervnculo"/>
            <w:rFonts w:ascii="Verdana" w:hAnsi="Verdana"/>
            <w:i/>
            <w:noProof/>
            <w:sz w:val="18"/>
            <w:szCs w:val="18"/>
            <w:lang w:val="en-US"/>
          </w:rPr>
          <w:t>Violation of job security</w:t>
        </w:r>
        <w:r w:rsidR="001A3B36" w:rsidRPr="00D869E3">
          <w:rPr>
            <w:rFonts w:ascii="Verdana" w:hAnsi="Verdana"/>
            <w:noProof/>
            <w:webHidden/>
            <w:sz w:val="18"/>
            <w:szCs w:val="18"/>
          </w:rPr>
          <w:tab/>
        </w:r>
        <w:r w:rsidR="001A3B36" w:rsidRPr="00D869E3">
          <w:rPr>
            <w:rFonts w:ascii="Verdana" w:hAnsi="Verdana"/>
            <w:noProof/>
            <w:webHidden/>
            <w:sz w:val="18"/>
            <w:szCs w:val="18"/>
          </w:rPr>
          <w:fldChar w:fldCharType="begin"/>
        </w:r>
        <w:r w:rsidR="001A3B36" w:rsidRPr="00D869E3">
          <w:rPr>
            <w:rFonts w:ascii="Verdana" w:hAnsi="Verdana"/>
            <w:noProof/>
            <w:webHidden/>
            <w:sz w:val="18"/>
            <w:szCs w:val="18"/>
          </w:rPr>
          <w:instrText xml:space="preserve"> PAGEREF _Toc29114137 \h </w:instrText>
        </w:r>
        <w:r w:rsidR="001A3B36" w:rsidRPr="00D869E3">
          <w:rPr>
            <w:rFonts w:ascii="Verdana" w:hAnsi="Verdana"/>
            <w:noProof/>
            <w:webHidden/>
            <w:sz w:val="18"/>
            <w:szCs w:val="18"/>
          </w:rPr>
        </w:r>
        <w:r w:rsidR="001A3B36" w:rsidRPr="00D869E3">
          <w:rPr>
            <w:rFonts w:ascii="Verdana" w:hAnsi="Verdana"/>
            <w:noProof/>
            <w:webHidden/>
            <w:sz w:val="18"/>
            <w:szCs w:val="18"/>
          </w:rPr>
          <w:fldChar w:fldCharType="separate"/>
        </w:r>
        <w:r>
          <w:rPr>
            <w:rFonts w:ascii="Verdana" w:hAnsi="Verdana"/>
            <w:noProof/>
            <w:webHidden/>
            <w:sz w:val="18"/>
            <w:szCs w:val="18"/>
          </w:rPr>
          <w:t>41</w:t>
        </w:r>
        <w:r w:rsidR="001A3B36" w:rsidRPr="00D869E3">
          <w:rPr>
            <w:rFonts w:ascii="Verdana" w:hAnsi="Verdana"/>
            <w:noProof/>
            <w:webHidden/>
            <w:sz w:val="18"/>
            <w:szCs w:val="18"/>
          </w:rPr>
          <w:fldChar w:fldCharType="end"/>
        </w:r>
      </w:hyperlink>
    </w:p>
    <w:p w14:paraId="0C6468C0" w14:textId="55150831" w:rsidR="001A3B36" w:rsidRPr="00D869E3" w:rsidRDefault="0068647C" w:rsidP="00BE5A9F">
      <w:pPr>
        <w:pStyle w:val="TDC3"/>
        <w:tabs>
          <w:tab w:val="clear" w:pos="8828"/>
          <w:tab w:val="right" w:leader="dot" w:pos="8820"/>
        </w:tabs>
        <w:rPr>
          <w:rFonts w:ascii="Verdana" w:eastAsiaTheme="minorEastAsia" w:hAnsi="Verdana" w:cstheme="minorBidi"/>
          <w:noProof/>
          <w:sz w:val="18"/>
          <w:szCs w:val="18"/>
          <w:lang w:val="en-US"/>
        </w:rPr>
      </w:pPr>
      <w:hyperlink w:anchor="_Toc29114138" w:history="1">
        <w:r w:rsidR="001A3B36" w:rsidRPr="00D869E3">
          <w:rPr>
            <w:rStyle w:val="Hipervnculo"/>
            <w:rFonts w:ascii="Verdana" w:hAnsi="Verdana"/>
            <w:i/>
            <w:noProof/>
            <w:sz w:val="18"/>
            <w:szCs w:val="18"/>
            <w:lang w:val="en-US"/>
          </w:rPr>
          <w:t>2.1</w:t>
        </w:r>
        <w:r w:rsidR="001A3B36" w:rsidRPr="00D869E3">
          <w:rPr>
            <w:rFonts w:ascii="Verdana" w:eastAsiaTheme="minorEastAsia" w:hAnsi="Verdana" w:cstheme="minorBidi"/>
            <w:noProof/>
            <w:sz w:val="18"/>
            <w:szCs w:val="18"/>
            <w:lang w:val="en-US"/>
          </w:rPr>
          <w:tab/>
        </w:r>
        <w:r w:rsidR="001A3B36" w:rsidRPr="00D869E3">
          <w:rPr>
            <w:rStyle w:val="Hipervnculo"/>
            <w:rFonts w:ascii="Verdana" w:hAnsi="Verdana"/>
            <w:i/>
            <w:noProof/>
            <w:sz w:val="18"/>
            <w:szCs w:val="18"/>
            <w:lang w:val="en-US"/>
          </w:rPr>
          <w:t>Arguments on labor rights</w:t>
        </w:r>
        <w:r w:rsidR="001A3B36" w:rsidRPr="00D869E3">
          <w:rPr>
            <w:rFonts w:ascii="Verdana" w:hAnsi="Verdana"/>
            <w:noProof/>
            <w:webHidden/>
            <w:sz w:val="18"/>
            <w:szCs w:val="18"/>
          </w:rPr>
          <w:tab/>
        </w:r>
        <w:r w:rsidR="001A3B36" w:rsidRPr="00D869E3">
          <w:rPr>
            <w:rFonts w:ascii="Verdana" w:hAnsi="Verdana"/>
            <w:noProof/>
            <w:webHidden/>
            <w:sz w:val="18"/>
            <w:szCs w:val="18"/>
          </w:rPr>
          <w:fldChar w:fldCharType="begin"/>
        </w:r>
        <w:r w:rsidR="001A3B36" w:rsidRPr="00D869E3">
          <w:rPr>
            <w:rFonts w:ascii="Verdana" w:hAnsi="Verdana"/>
            <w:noProof/>
            <w:webHidden/>
            <w:sz w:val="18"/>
            <w:szCs w:val="18"/>
          </w:rPr>
          <w:instrText xml:space="preserve"> PAGEREF _Toc29114138 \h </w:instrText>
        </w:r>
        <w:r w:rsidR="001A3B36" w:rsidRPr="00D869E3">
          <w:rPr>
            <w:rFonts w:ascii="Verdana" w:hAnsi="Verdana"/>
            <w:noProof/>
            <w:webHidden/>
            <w:sz w:val="18"/>
            <w:szCs w:val="18"/>
          </w:rPr>
        </w:r>
        <w:r w:rsidR="001A3B36" w:rsidRPr="00D869E3">
          <w:rPr>
            <w:rFonts w:ascii="Verdana" w:hAnsi="Verdana"/>
            <w:noProof/>
            <w:webHidden/>
            <w:sz w:val="18"/>
            <w:szCs w:val="18"/>
          </w:rPr>
          <w:fldChar w:fldCharType="separate"/>
        </w:r>
        <w:r>
          <w:rPr>
            <w:rFonts w:ascii="Verdana" w:hAnsi="Verdana"/>
            <w:noProof/>
            <w:webHidden/>
            <w:sz w:val="18"/>
            <w:szCs w:val="18"/>
          </w:rPr>
          <w:t>41</w:t>
        </w:r>
        <w:r w:rsidR="001A3B36" w:rsidRPr="00D869E3">
          <w:rPr>
            <w:rFonts w:ascii="Verdana" w:hAnsi="Verdana"/>
            <w:noProof/>
            <w:webHidden/>
            <w:sz w:val="18"/>
            <w:szCs w:val="18"/>
          </w:rPr>
          <w:fldChar w:fldCharType="end"/>
        </w:r>
      </w:hyperlink>
    </w:p>
    <w:p w14:paraId="031350E4" w14:textId="3D4C244B" w:rsidR="001A3B36" w:rsidRPr="00D869E3" w:rsidRDefault="0068647C" w:rsidP="00BE5A9F">
      <w:pPr>
        <w:pStyle w:val="TDC3"/>
        <w:tabs>
          <w:tab w:val="clear" w:pos="8828"/>
          <w:tab w:val="right" w:leader="dot" w:pos="8820"/>
        </w:tabs>
        <w:rPr>
          <w:rFonts w:ascii="Verdana" w:eastAsiaTheme="minorEastAsia" w:hAnsi="Verdana" w:cstheme="minorBidi"/>
          <w:noProof/>
          <w:sz w:val="18"/>
          <w:szCs w:val="18"/>
          <w:lang w:val="en-US"/>
        </w:rPr>
      </w:pPr>
      <w:hyperlink w:anchor="_Toc29114139" w:history="1">
        <w:r w:rsidR="001A3B36" w:rsidRPr="00D869E3">
          <w:rPr>
            <w:rStyle w:val="Hipervnculo"/>
            <w:rFonts w:ascii="Verdana" w:hAnsi="Verdana"/>
            <w:i/>
            <w:noProof/>
            <w:sz w:val="18"/>
            <w:szCs w:val="18"/>
            <w:lang w:val="en-US"/>
          </w:rPr>
          <w:t>2.2</w:t>
        </w:r>
        <w:r w:rsidR="001A3B36" w:rsidRPr="00D869E3">
          <w:rPr>
            <w:rFonts w:ascii="Verdana" w:eastAsiaTheme="minorEastAsia" w:hAnsi="Verdana" w:cstheme="minorBidi"/>
            <w:noProof/>
            <w:sz w:val="18"/>
            <w:szCs w:val="18"/>
            <w:lang w:val="en-US"/>
          </w:rPr>
          <w:tab/>
        </w:r>
        <w:r w:rsidR="001A3B36" w:rsidRPr="00D869E3">
          <w:rPr>
            <w:rStyle w:val="Hipervnculo"/>
            <w:rFonts w:ascii="Verdana" w:hAnsi="Verdana"/>
            <w:i/>
            <w:noProof/>
            <w:sz w:val="18"/>
            <w:szCs w:val="18"/>
            <w:lang w:val="en-US"/>
          </w:rPr>
          <w:t>The right to job security as a protected right</w:t>
        </w:r>
        <w:r w:rsidR="001A3B36" w:rsidRPr="00D869E3">
          <w:rPr>
            <w:rFonts w:ascii="Verdana" w:hAnsi="Verdana"/>
            <w:noProof/>
            <w:webHidden/>
            <w:sz w:val="18"/>
            <w:szCs w:val="18"/>
          </w:rPr>
          <w:tab/>
        </w:r>
        <w:r w:rsidR="001A3B36" w:rsidRPr="00D869E3">
          <w:rPr>
            <w:rFonts w:ascii="Verdana" w:hAnsi="Verdana"/>
            <w:noProof/>
            <w:webHidden/>
            <w:sz w:val="18"/>
            <w:szCs w:val="18"/>
          </w:rPr>
          <w:fldChar w:fldCharType="begin"/>
        </w:r>
        <w:r w:rsidR="001A3B36" w:rsidRPr="00D869E3">
          <w:rPr>
            <w:rFonts w:ascii="Verdana" w:hAnsi="Verdana"/>
            <w:noProof/>
            <w:webHidden/>
            <w:sz w:val="18"/>
            <w:szCs w:val="18"/>
          </w:rPr>
          <w:instrText xml:space="preserve"> PAGEREF _Toc29114139 \h </w:instrText>
        </w:r>
        <w:r w:rsidR="001A3B36" w:rsidRPr="00D869E3">
          <w:rPr>
            <w:rFonts w:ascii="Verdana" w:hAnsi="Verdana"/>
            <w:noProof/>
            <w:webHidden/>
            <w:sz w:val="18"/>
            <w:szCs w:val="18"/>
          </w:rPr>
        </w:r>
        <w:r w:rsidR="001A3B36" w:rsidRPr="00D869E3">
          <w:rPr>
            <w:rFonts w:ascii="Verdana" w:hAnsi="Verdana"/>
            <w:noProof/>
            <w:webHidden/>
            <w:sz w:val="18"/>
            <w:szCs w:val="18"/>
          </w:rPr>
          <w:fldChar w:fldCharType="separate"/>
        </w:r>
        <w:r>
          <w:rPr>
            <w:rFonts w:ascii="Verdana" w:hAnsi="Verdana"/>
            <w:noProof/>
            <w:webHidden/>
            <w:sz w:val="18"/>
            <w:szCs w:val="18"/>
          </w:rPr>
          <w:t>45</w:t>
        </w:r>
        <w:r w:rsidR="001A3B36" w:rsidRPr="00D869E3">
          <w:rPr>
            <w:rFonts w:ascii="Verdana" w:hAnsi="Verdana"/>
            <w:noProof/>
            <w:webHidden/>
            <w:sz w:val="18"/>
            <w:szCs w:val="18"/>
          </w:rPr>
          <w:fldChar w:fldCharType="end"/>
        </w:r>
      </w:hyperlink>
    </w:p>
    <w:p w14:paraId="1712E4B7" w14:textId="3746974E" w:rsidR="001A3B36" w:rsidRPr="00D869E3" w:rsidRDefault="0068647C" w:rsidP="00BE5A9F">
      <w:pPr>
        <w:pStyle w:val="TDC3"/>
        <w:tabs>
          <w:tab w:val="clear" w:pos="8828"/>
          <w:tab w:val="right" w:leader="dot" w:pos="8820"/>
        </w:tabs>
        <w:rPr>
          <w:rFonts w:ascii="Verdana" w:eastAsiaTheme="minorEastAsia" w:hAnsi="Verdana" w:cstheme="minorBidi"/>
          <w:noProof/>
          <w:sz w:val="18"/>
          <w:szCs w:val="18"/>
          <w:lang w:val="en-US"/>
        </w:rPr>
      </w:pPr>
      <w:hyperlink w:anchor="_Toc29114140" w:history="1">
        <w:r w:rsidR="001A3B36" w:rsidRPr="00D869E3">
          <w:rPr>
            <w:rStyle w:val="Hipervnculo"/>
            <w:rFonts w:ascii="Verdana" w:hAnsi="Verdana"/>
            <w:i/>
            <w:noProof/>
            <w:sz w:val="18"/>
            <w:szCs w:val="18"/>
            <w:lang w:val="en-US"/>
          </w:rPr>
          <w:t>3.</w:t>
        </w:r>
        <w:r w:rsidR="001A3B36" w:rsidRPr="00D869E3">
          <w:rPr>
            <w:rFonts w:ascii="Verdana" w:eastAsiaTheme="minorEastAsia" w:hAnsi="Verdana" w:cstheme="minorBidi"/>
            <w:noProof/>
            <w:sz w:val="18"/>
            <w:szCs w:val="18"/>
            <w:lang w:val="en-US"/>
          </w:rPr>
          <w:tab/>
        </w:r>
        <w:r w:rsidR="001A3B36" w:rsidRPr="00D869E3">
          <w:rPr>
            <w:rStyle w:val="Hipervnculo"/>
            <w:rFonts w:ascii="Verdana" w:hAnsi="Verdana"/>
            <w:i/>
            <w:noProof/>
            <w:sz w:val="18"/>
            <w:szCs w:val="18"/>
            <w:lang w:val="en-US"/>
          </w:rPr>
          <w:t>Violations of freedom of association</w:t>
        </w:r>
        <w:r w:rsidR="001A3B36" w:rsidRPr="00D869E3">
          <w:rPr>
            <w:rFonts w:ascii="Verdana" w:hAnsi="Verdana"/>
            <w:noProof/>
            <w:webHidden/>
            <w:sz w:val="18"/>
            <w:szCs w:val="18"/>
          </w:rPr>
          <w:tab/>
        </w:r>
        <w:r w:rsidR="001A3B36" w:rsidRPr="00D869E3">
          <w:rPr>
            <w:rFonts w:ascii="Verdana" w:hAnsi="Verdana"/>
            <w:noProof/>
            <w:webHidden/>
            <w:sz w:val="18"/>
            <w:szCs w:val="18"/>
          </w:rPr>
          <w:fldChar w:fldCharType="begin"/>
        </w:r>
        <w:r w:rsidR="001A3B36" w:rsidRPr="00D869E3">
          <w:rPr>
            <w:rFonts w:ascii="Verdana" w:hAnsi="Verdana"/>
            <w:noProof/>
            <w:webHidden/>
            <w:sz w:val="18"/>
            <w:szCs w:val="18"/>
          </w:rPr>
          <w:instrText xml:space="preserve"> PAGEREF _Toc29114140 \h </w:instrText>
        </w:r>
        <w:r w:rsidR="001A3B36" w:rsidRPr="00D869E3">
          <w:rPr>
            <w:rFonts w:ascii="Verdana" w:hAnsi="Verdana"/>
            <w:noProof/>
            <w:webHidden/>
            <w:sz w:val="18"/>
            <w:szCs w:val="18"/>
          </w:rPr>
        </w:r>
        <w:r w:rsidR="001A3B36" w:rsidRPr="00D869E3">
          <w:rPr>
            <w:rFonts w:ascii="Verdana" w:hAnsi="Verdana"/>
            <w:noProof/>
            <w:webHidden/>
            <w:sz w:val="18"/>
            <w:szCs w:val="18"/>
          </w:rPr>
          <w:fldChar w:fldCharType="separate"/>
        </w:r>
        <w:r>
          <w:rPr>
            <w:rFonts w:ascii="Verdana" w:hAnsi="Verdana"/>
            <w:noProof/>
            <w:webHidden/>
            <w:sz w:val="18"/>
            <w:szCs w:val="18"/>
          </w:rPr>
          <w:t>50</w:t>
        </w:r>
        <w:r w:rsidR="001A3B36" w:rsidRPr="00D869E3">
          <w:rPr>
            <w:rFonts w:ascii="Verdana" w:hAnsi="Verdana"/>
            <w:noProof/>
            <w:webHidden/>
            <w:sz w:val="18"/>
            <w:szCs w:val="18"/>
          </w:rPr>
          <w:fldChar w:fldCharType="end"/>
        </w:r>
      </w:hyperlink>
    </w:p>
    <w:p w14:paraId="4ADD0890" w14:textId="450DB943" w:rsidR="001A3B36" w:rsidRPr="00D869E3" w:rsidRDefault="0068647C" w:rsidP="00BE5A9F">
      <w:pPr>
        <w:pStyle w:val="TDC3"/>
        <w:tabs>
          <w:tab w:val="clear" w:pos="8828"/>
          <w:tab w:val="right" w:leader="dot" w:pos="8820"/>
        </w:tabs>
        <w:rPr>
          <w:rFonts w:ascii="Verdana" w:eastAsiaTheme="minorEastAsia" w:hAnsi="Verdana" w:cstheme="minorBidi"/>
          <w:noProof/>
          <w:sz w:val="18"/>
          <w:szCs w:val="18"/>
          <w:lang w:val="en-US"/>
        </w:rPr>
      </w:pPr>
      <w:hyperlink w:anchor="_Toc29114141" w:history="1">
        <w:r w:rsidR="001A3B36" w:rsidRPr="00D869E3">
          <w:rPr>
            <w:rStyle w:val="Hipervnculo"/>
            <w:rFonts w:ascii="Verdana" w:hAnsi="Verdana"/>
            <w:i/>
            <w:noProof/>
            <w:sz w:val="18"/>
            <w:szCs w:val="18"/>
            <w:lang w:val="en-US"/>
          </w:rPr>
          <w:t>4.</w:t>
        </w:r>
        <w:r w:rsidR="001A3B36" w:rsidRPr="00D869E3">
          <w:rPr>
            <w:rFonts w:ascii="Verdana" w:eastAsiaTheme="minorEastAsia" w:hAnsi="Verdana" w:cstheme="minorBidi"/>
            <w:noProof/>
            <w:sz w:val="18"/>
            <w:szCs w:val="18"/>
            <w:lang w:val="en-US"/>
          </w:rPr>
          <w:tab/>
        </w:r>
        <w:r w:rsidR="001A3B36" w:rsidRPr="00D869E3">
          <w:rPr>
            <w:rStyle w:val="Hipervnculo"/>
            <w:rFonts w:ascii="Verdana" w:hAnsi="Verdana"/>
            <w:i/>
            <w:noProof/>
            <w:sz w:val="18"/>
            <w:szCs w:val="18"/>
            <w:lang w:val="en-US"/>
          </w:rPr>
          <w:t>Domestic legal effects</w:t>
        </w:r>
        <w:r w:rsidR="001A3B36" w:rsidRPr="00D869E3">
          <w:rPr>
            <w:rFonts w:ascii="Verdana" w:hAnsi="Verdana"/>
            <w:noProof/>
            <w:webHidden/>
            <w:sz w:val="18"/>
            <w:szCs w:val="18"/>
          </w:rPr>
          <w:tab/>
        </w:r>
        <w:r w:rsidR="001A3B36" w:rsidRPr="00D869E3">
          <w:rPr>
            <w:rFonts w:ascii="Verdana" w:hAnsi="Verdana"/>
            <w:noProof/>
            <w:webHidden/>
            <w:sz w:val="18"/>
            <w:szCs w:val="18"/>
          </w:rPr>
          <w:fldChar w:fldCharType="begin"/>
        </w:r>
        <w:r w:rsidR="001A3B36" w:rsidRPr="00D869E3">
          <w:rPr>
            <w:rFonts w:ascii="Verdana" w:hAnsi="Verdana"/>
            <w:noProof/>
            <w:webHidden/>
            <w:sz w:val="18"/>
            <w:szCs w:val="18"/>
          </w:rPr>
          <w:instrText xml:space="preserve"> PAGEREF _Toc29114141 \h </w:instrText>
        </w:r>
        <w:r w:rsidR="001A3B36" w:rsidRPr="00D869E3">
          <w:rPr>
            <w:rFonts w:ascii="Verdana" w:hAnsi="Verdana"/>
            <w:noProof/>
            <w:webHidden/>
            <w:sz w:val="18"/>
            <w:szCs w:val="18"/>
          </w:rPr>
        </w:r>
        <w:r w:rsidR="001A3B36" w:rsidRPr="00D869E3">
          <w:rPr>
            <w:rFonts w:ascii="Verdana" w:hAnsi="Verdana"/>
            <w:noProof/>
            <w:webHidden/>
            <w:sz w:val="18"/>
            <w:szCs w:val="18"/>
          </w:rPr>
          <w:fldChar w:fldCharType="separate"/>
        </w:r>
        <w:r>
          <w:rPr>
            <w:rFonts w:ascii="Verdana" w:hAnsi="Verdana"/>
            <w:noProof/>
            <w:webHidden/>
            <w:sz w:val="18"/>
            <w:szCs w:val="18"/>
          </w:rPr>
          <w:t>52</w:t>
        </w:r>
        <w:r w:rsidR="001A3B36" w:rsidRPr="00D869E3">
          <w:rPr>
            <w:rFonts w:ascii="Verdana" w:hAnsi="Verdana"/>
            <w:noProof/>
            <w:webHidden/>
            <w:sz w:val="18"/>
            <w:szCs w:val="18"/>
          </w:rPr>
          <w:fldChar w:fldCharType="end"/>
        </w:r>
      </w:hyperlink>
    </w:p>
    <w:p w14:paraId="1C9E631E" w14:textId="35F729A5" w:rsidR="001A3B36" w:rsidRPr="00D869E3" w:rsidRDefault="0068647C" w:rsidP="00BE5A9F">
      <w:pPr>
        <w:pStyle w:val="TDC3"/>
        <w:tabs>
          <w:tab w:val="clear" w:pos="8828"/>
          <w:tab w:val="right" w:leader="dot" w:pos="8820"/>
        </w:tabs>
        <w:rPr>
          <w:rFonts w:ascii="Verdana" w:eastAsiaTheme="minorEastAsia" w:hAnsi="Verdana" w:cstheme="minorBidi"/>
          <w:noProof/>
          <w:sz w:val="18"/>
          <w:szCs w:val="18"/>
          <w:lang w:val="en-US"/>
        </w:rPr>
      </w:pPr>
      <w:hyperlink w:anchor="_Toc29114142" w:history="1">
        <w:r w:rsidR="001A3B36" w:rsidRPr="00D869E3">
          <w:rPr>
            <w:rStyle w:val="Hipervnculo"/>
            <w:rFonts w:ascii="Verdana" w:hAnsi="Verdana"/>
            <w:i/>
            <w:noProof/>
            <w:sz w:val="18"/>
            <w:szCs w:val="18"/>
            <w:lang w:val="en-US"/>
          </w:rPr>
          <w:t>5.</w:t>
        </w:r>
        <w:r w:rsidR="001A3B36" w:rsidRPr="00D869E3">
          <w:rPr>
            <w:rFonts w:ascii="Verdana" w:eastAsiaTheme="minorEastAsia" w:hAnsi="Verdana" w:cstheme="minorBidi"/>
            <w:noProof/>
            <w:sz w:val="18"/>
            <w:szCs w:val="18"/>
            <w:lang w:val="en-US"/>
          </w:rPr>
          <w:tab/>
        </w:r>
        <w:r w:rsidR="001A3B36" w:rsidRPr="00D869E3">
          <w:rPr>
            <w:rStyle w:val="Hipervnculo"/>
            <w:rFonts w:ascii="Verdana" w:hAnsi="Verdana"/>
            <w:i/>
            <w:noProof/>
            <w:sz w:val="18"/>
            <w:szCs w:val="18"/>
            <w:lang w:val="en-US"/>
          </w:rPr>
          <w:t>General conclusion</w:t>
        </w:r>
        <w:r w:rsidR="001A3B36" w:rsidRPr="00D869E3">
          <w:rPr>
            <w:rFonts w:ascii="Verdana" w:hAnsi="Verdana"/>
            <w:noProof/>
            <w:webHidden/>
            <w:sz w:val="18"/>
            <w:szCs w:val="18"/>
          </w:rPr>
          <w:tab/>
        </w:r>
        <w:r w:rsidR="001A3B36" w:rsidRPr="00D869E3">
          <w:rPr>
            <w:rFonts w:ascii="Verdana" w:hAnsi="Verdana"/>
            <w:noProof/>
            <w:webHidden/>
            <w:sz w:val="18"/>
            <w:szCs w:val="18"/>
          </w:rPr>
          <w:fldChar w:fldCharType="begin"/>
        </w:r>
        <w:r w:rsidR="001A3B36" w:rsidRPr="00D869E3">
          <w:rPr>
            <w:rFonts w:ascii="Verdana" w:hAnsi="Verdana"/>
            <w:noProof/>
            <w:webHidden/>
            <w:sz w:val="18"/>
            <w:szCs w:val="18"/>
          </w:rPr>
          <w:instrText xml:space="preserve"> PAGEREF _Toc29114142 \h </w:instrText>
        </w:r>
        <w:r w:rsidR="001A3B36" w:rsidRPr="00D869E3">
          <w:rPr>
            <w:rFonts w:ascii="Verdana" w:hAnsi="Verdana"/>
            <w:noProof/>
            <w:webHidden/>
            <w:sz w:val="18"/>
            <w:szCs w:val="18"/>
          </w:rPr>
        </w:r>
        <w:r w:rsidR="001A3B36" w:rsidRPr="00D869E3">
          <w:rPr>
            <w:rFonts w:ascii="Verdana" w:hAnsi="Verdana"/>
            <w:noProof/>
            <w:webHidden/>
            <w:sz w:val="18"/>
            <w:szCs w:val="18"/>
          </w:rPr>
          <w:fldChar w:fldCharType="separate"/>
        </w:r>
        <w:r>
          <w:rPr>
            <w:rFonts w:ascii="Verdana" w:hAnsi="Verdana"/>
            <w:noProof/>
            <w:webHidden/>
            <w:sz w:val="18"/>
            <w:szCs w:val="18"/>
          </w:rPr>
          <w:t>52</w:t>
        </w:r>
        <w:r w:rsidR="001A3B36" w:rsidRPr="00D869E3">
          <w:rPr>
            <w:rFonts w:ascii="Verdana" w:hAnsi="Verdana"/>
            <w:noProof/>
            <w:webHidden/>
            <w:sz w:val="18"/>
            <w:szCs w:val="18"/>
          </w:rPr>
          <w:fldChar w:fldCharType="end"/>
        </w:r>
      </w:hyperlink>
    </w:p>
    <w:p w14:paraId="034D3178" w14:textId="7BAF5A0C" w:rsidR="001A3B36" w:rsidRPr="00D869E3" w:rsidRDefault="0068647C" w:rsidP="00BE5A9F">
      <w:pPr>
        <w:pStyle w:val="TDC1"/>
        <w:rPr>
          <w:rFonts w:eastAsiaTheme="minorEastAsia" w:cstheme="minorBidi"/>
          <w:snapToGrid/>
          <w:lang w:val="en-US"/>
        </w:rPr>
      </w:pPr>
      <w:hyperlink w:anchor="_Toc29114143" w:history="1">
        <w:r w:rsidR="001A3B36" w:rsidRPr="00D869E3">
          <w:rPr>
            <w:rStyle w:val="Hipervnculo"/>
            <w:rFonts w:cs="Verdana"/>
            <w:sz w:val="18"/>
            <w:szCs w:val="18"/>
            <w:lang w:val="en-US"/>
          </w:rPr>
          <w:t>VII-2</w:t>
        </w:r>
        <w:r w:rsidR="001A3B36" w:rsidRPr="00D869E3">
          <w:rPr>
            <w:webHidden/>
          </w:rPr>
          <w:tab/>
        </w:r>
        <w:r w:rsidR="001A3B36" w:rsidRPr="00D869E3">
          <w:rPr>
            <w:webHidden/>
          </w:rPr>
          <w:fldChar w:fldCharType="begin"/>
        </w:r>
        <w:r w:rsidR="001A3B36" w:rsidRPr="00D869E3">
          <w:rPr>
            <w:webHidden/>
          </w:rPr>
          <w:instrText xml:space="preserve"> PAGEREF _Toc29114143 \h </w:instrText>
        </w:r>
        <w:r w:rsidR="001A3B36" w:rsidRPr="00D869E3">
          <w:rPr>
            <w:webHidden/>
          </w:rPr>
        </w:r>
        <w:r w:rsidR="001A3B36" w:rsidRPr="00D869E3">
          <w:rPr>
            <w:webHidden/>
          </w:rPr>
          <w:fldChar w:fldCharType="separate"/>
        </w:r>
        <w:r>
          <w:rPr>
            <w:webHidden/>
          </w:rPr>
          <w:t>53</w:t>
        </w:r>
        <w:r w:rsidR="001A3B36" w:rsidRPr="00D869E3">
          <w:rPr>
            <w:webHidden/>
          </w:rPr>
          <w:fldChar w:fldCharType="end"/>
        </w:r>
      </w:hyperlink>
    </w:p>
    <w:p w14:paraId="436F8B94" w14:textId="5A90E48F" w:rsidR="001A3B36" w:rsidRPr="00D869E3" w:rsidRDefault="0068647C" w:rsidP="00BE5A9F">
      <w:pPr>
        <w:pStyle w:val="TDC1"/>
        <w:rPr>
          <w:rFonts w:eastAsiaTheme="minorEastAsia" w:cstheme="minorBidi"/>
          <w:snapToGrid/>
          <w:lang w:val="en-US"/>
        </w:rPr>
      </w:pPr>
      <w:hyperlink w:anchor="_Toc29114144" w:history="1">
        <w:r w:rsidR="001A3B36" w:rsidRPr="00D869E3">
          <w:rPr>
            <w:rStyle w:val="Hipervnculo"/>
            <w:rFonts w:cs="Verdana"/>
            <w:sz w:val="18"/>
            <w:szCs w:val="18"/>
            <w:lang w:val="en-US"/>
          </w:rPr>
          <w:t>ACCESS TO JUSTICE</w:t>
        </w:r>
        <w:r w:rsidR="001A3B36" w:rsidRPr="00D869E3">
          <w:rPr>
            <w:webHidden/>
          </w:rPr>
          <w:tab/>
        </w:r>
        <w:r w:rsidR="001A3B36" w:rsidRPr="00D869E3">
          <w:rPr>
            <w:webHidden/>
          </w:rPr>
          <w:fldChar w:fldCharType="begin"/>
        </w:r>
        <w:r w:rsidR="001A3B36" w:rsidRPr="00D869E3">
          <w:rPr>
            <w:webHidden/>
          </w:rPr>
          <w:instrText xml:space="preserve"> PAGEREF _Toc29114144 \h </w:instrText>
        </w:r>
        <w:r w:rsidR="001A3B36" w:rsidRPr="00D869E3">
          <w:rPr>
            <w:webHidden/>
          </w:rPr>
        </w:r>
        <w:r w:rsidR="001A3B36" w:rsidRPr="00D869E3">
          <w:rPr>
            <w:webHidden/>
          </w:rPr>
          <w:fldChar w:fldCharType="separate"/>
        </w:r>
        <w:r>
          <w:rPr>
            <w:webHidden/>
          </w:rPr>
          <w:t>53</w:t>
        </w:r>
        <w:r w:rsidR="001A3B36" w:rsidRPr="00D869E3">
          <w:rPr>
            <w:webHidden/>
          </w:rPr>
          <w:fldChar w:fldCharType="end"/>
        </w:r>
      </w:hyperlink>
    </w:p>
    <w:p w14:paraId="294A9572" w14:textId="3CE6CA10" w:rsidR="001A3B36" w:rsidRPr="00D869E3" w:rsidRDefault="0068647C" w:rsidP="00BE5A9F">
      <w:pPr>
        <w:pStyle w:val="TDC1"/>
        <w:rPr>
          <w:rFonts w:eastAsiaTheme="minorEastAsia" w:cstheme="minorBidi"/>
          <w:snapToGrid/>
          <w:lang w:val="en-US"/>
        </w:rPr>
      </w:pPr>
      <w:hyperlink w:anchor="_Toc29114145" w:history="1">
        <w:r w:rsidR="001A3B36" w:rsidRPr="00D869E3">
          <w:rPr>
            <w:rStyle w:val="Hipervnculo"/>
            <w:rFonts w:cs="Verdana"/>
            <w:sz w:val="18"/>
            <w:szCs w:val="18"/>
            <w:lang w:val="en-US"/>
          </w:rPr>
          <w:t>(ARTICLES 8 and 25 OF THE AMERICAN CONVENTIONA)</w:t>
        </w:r>
        <w:r w:rsidR="001A3B36" w:rsidRPr="00D869E3">
          <w:rPr>
            <w:webHidden/>
          </w:rPr>
          <w:tab/>
        </w:r>
        <w:r w:rsidR="001A3B36" w:rsidRPr="00D869E3">
          <w:rPr>
            <w:webHidden/>
          </w:rPr>
          <w:fldChar w:fldCharType="begin"/>
        </w:r>
        <w:r w:rsidR="001A3B36" w:rsidRPr="00D869E3">
          <w:rPr>
            <w:webHidden/>
          </w:rPr>
          <w:instrText xml:space="preserve"> PAGEREF _Toc29114145 \h </w:instrText>
        </w:r>
        <w:r w:rsidR="001A3B36" w:rsidRPr="00D869E3">
          <w:rPr>
            <w:webHidden/>
          </w:rPr>
        </w:r>
        <w:r w:rsidR="001A3B36" w:rsidRPr="00D869E3">
          <w:rPr>
            <w:webHidden/>
          </w:rPr>
          <w:fldChar w:fldCharType="separate"/>
        </w:r>
        <w:r>
          <w:rPr>
            <w:webHidden/>
          </w:rPr>
          <w:t>53</w:t>
        </w:r>
        <w:r w:rsidR="001A3B36" w:rsidRPr="00D869E3">
          <w:rPr>
            <w:webHidden/>
          </w:rPr>
          <w:fldChar w:fldCharType="end"/>
        </w:r>
      </w:hyperlink>
    </w:p>
    <w:p w14:paraId="2D53F761" w14:textId="1F34E043" w:rsidR="001A3B36" w:rsidRPr="00D869E3" w:rsidRDefault="0068647C" w:rsidP="00BE5A9F">
      <w:pPr>
        <w:pStyle w:val="TDC2"/>
        <w:tabs>
          <w:tab w:val="right" w:leader="dot" w:pos="8820"/>
        </w:tabs>
        <w:rPr>
          <w:rFonts w:ascii="Verdana" w:eastAsiaTheme="minorEastAsia" w:hAnsi="Verdana" w:cstheme="minorBidi"/>
          <w:noProof/>
          <w:sz w:val="18"/>
          <w:szCs w:val="18"/>
          <w:lang w:val="en-US"/>
        </w:rPr>
      </w:pPr>
      <w:hyperlink w:anchor="_Toc29114146" w:history="1">
        <w:r w:rsidR="001A3B36" w:rsidRPr="00D869E3">
          <w:rPr>
            <w:rStyle w:val="Hipervnculo"/>
            <w:rFonts w:ascii="Verdana" w:hAnsi="Verdana"/>
            <w:i/>
            <w:noProof/>
            <w:sz w:val="18"/>
            <w:szCs w:val="18"/>
            <w:lang w:val="en-US"/>
          </w:rPr>
          <w:t>A.</w:t>
        </w:r>
        <w:r w:rsidR="001A3B36" w:rsidRPr="00D869E3">
          <w:rPr>
            <w:rFonts w:ascii="Verdana" w:eastAsiaTheme="minorEastAsia" w:hAnsi="Verdana" w:cstheme="minorBidi"/>
            <w:noProof/>
            <w:sz w:val="18"/>
            <w:szCs w:val="18"/>
            <w:lang w:val="en-US"/>
          </w:rPr>
          <w:tab/>
        </w:r>
        <w:r w:rsidR="001A3B36" w:rsidRPr="00D869E3">
          <w:rPr>
            <w:rStyle w:val="Hipervnculo"/>
            <w:rFonts w:ascii="Verdana" w:hAnsi="Verdana"/>
            <w:i/>
            <w:noProof/>
            <w:sz w:val="18"/>
            <w:szCs w:val="18"/>
            <w:lang w:val="en-US"/>
          </w:rPr>
          <w:t>Arguments of the parties and of the Commission</w:t>
        </w:r>
        <w:r w:rsidR="001A3B36" w:rsidRPr="00D869E3">
          <w:rPr>
            <w:rFonts w:ascii="Verdana" w:hAnsi="Verdana"/>
            <w:noProof/>
            <w:webHidden/>
            <w:sz w:val="18"/>
            <w:szCs w:val="18"/>
          </w:rPr>
          <w:tab/>
        </w:r>
        <w:r w:rsidR="001A3B36" w:rsidRPr="00D869E3">
          <w:rPr>
            <w:rFonts w:ascii="Verdana" w:hAnsi="Verdana"/>
            <w:noProof/>
            <w:webHidden/>
            <w:sz w:val="18"/>
            <w:szCs w:val="18"/>
          </w:rPr>
          <w:fldChar w:fldCharType="begin"/>
        </w:r>
        <w:r w:rsidR="001A3B36" w:rsidRPr="00D869E3">
          <w:rPr>
            <w:rFonts w:ascii="Verdana" w:hAnsi="Verdana"/>
            <w:noProof/>
            <w:webHidden/>
            <w:sz w:val="18"/>
            <w:szCs w:val="18"/>
          </w:rPr>
          <w:instrText xml:space="preserve"> PAGEREF _Toc29114146 \h </w:instrText>
        </w:r>
        <w:r w:rsidR="001A3B36" w:rsidRPr="00D869E3">
          <w:rPr>
            <w:rFonts w:ascii="Verdana" w:hAnsi="Verdana"/>
            <w:noProof/>
            <w:webHidden/>
            <w:sz w:val="18"/>
            <w:szCs w:val="18"/>
          </w:rPr>
        </w:r>
        <w:r w:rsidR="001A3B36" w:rsidRPr="00D869E3">
          <w:rPr>
            <w:rFonts w:ascii="Verdana" w:hAnsi="Verdana"/>
            <w:noProof/>
            <w:webHidden/>
            <w:sz w:val="18"/>
            <w:szCs w:val="18"/>
          </w:rPr>
          <w:fldChar w:fldCharType="separate"/>
        </w:r>
        <w:r>
          <w:rPr>
            <w:rFonts w:ascii="Verdana" w:hAnsi="Verdana"/>
            <w:noProof/>
            <w:webHidden/>
            <w:sz w:val="18"/>
            <w:szCs w:val="18"/>
          </w:rPr>
          <w:t>53</w:t>
        </w:r>
        <w:r w:rsidR="001A3B36" w:rsidRPr="00D869E3">
          <w:rPr>
            <w:rFonts w:ascii="Verdana" w:hAnsi="Verdana"/>
            <w:noProof/>
            <w:webHidden/>
            <w:sz w:val="18"/>
            <w:szCs w:val="18"/>
          </w:rPr>
          <w:fldChar w:fldCharType="end"/>
        </w:r>
      </w:hyperlink>
    </w:p>
    <w:p w14:paraId="09460A3A" w14:textId="7F23CCC8" w:rsidR="001A3B36" w:rsidRPr="00D869E3" w:rsidRDefault="0068647C" w:rsidP="00BE5A9F">
      <w:pPr>
        <w:pStyle w:val="TDC2"/>
        <w:tabs>
          <w:tab w:val="right" w:leader="dot" w:pos="8820"/>
        </w:tabs>
        <w:rPr>
          <w:rFonts w:ascii="Verdana" w:eastAsiaTheme="minorEastAsia" w:hAnsi="Verdana" w:cstheme="minorBidi"/>
          <w:noProof/>
          <w:sz w:val="18"/>
          <w:szCs w:val="18"/>
          <w:lang w:val="en-US"/>
        </w:rPr>
      </w:pPr>
      <w:hyperlink w:anchor="_Toc29114147" w:history="1">
        <w:r w:rsidR="001A3B36" w:rsidRPr="00D869E3">
          <w:rPr>
            <w:rStyle w:val="Hipervnculo"/>
            <w:rFonts w:ascii="Verdana" w:hAnsi="Verdana"/>
            <w:i/>
            <w:noProof/>
            <w:sz w:val="18"/>
            <w:szCs w:val="18"/>
            <w:lang w:val="en-US"/>
          </w:rPr>
          <w:t>B.</w:t>
        </w:r>
        <w:r w:rsidR="001A3B36" w:rsidRPr="00D869E3">
          <w:rPr>
            <w:rFonts w:ascii="Verdana" w:eastAsiaTheme="minorEastAsia" w:hAnsi="Verdana" w:cstheme="minorBidi"/>
            <w:noProof/>
            <w:sz w:val="18"/>
            <w:szCs w:val="18"/>
            <w:lang w:val="en-US"/>
          </w:rPr>
          <w:tab/>
        </w:r>
        <w:r w:rsidR="001A3B36" w:rsidRPr="00D869E3">
          <w:rPr>
            <w:rStyle w:val="Hipervnculo"/>
            <w:rFonts w:ascii="Verdana" w:hAnsi="Verdana"/>
            <w:i/>
            <w:noProof/>
            <w:sz w:val="18"/>
            <w:szCs w:val="18"/>
            <w:lang w:val="en-US"/>
          </w:rPr>
          <w:t>Considerations of the Court</w:t>
        </w:r>
        <w:r w:rsidR="001A3B36" w:rsidRPr="00D869E3">
          <w:rPr>
            <w:rFonts w:ascii="Verdana" w:hAnsi="Verdana"/>
            <w:noProof/>
            <w:webHidden/>
            <w:sz w:val="18"/>
            <w:szCs w:val="18"/>
          </w:rPr>
          <w:tab/>
        </w:r>
        <w:r w:rsidR="001A3B36" w:rsidRPr="00D869E3">
          <w:rPr>
            <w:rFonts w:ascii="Verdana" w:hAnsi="Verdana"/>
            <w:noProof/>
            <w:webHidden/>
            <w:sz w:val="18"/>
            <w:szCs w:val="18"/>
          </w:rPr>
          <w:fldChar w:fldCharType="begin"/>
        </w:r>
        <w:r w:rsidR="001A3B36" w:rsidRPr="00D869E3">
          <w:rPr>
            <w:rFonts w:ascii="Verdana" w:hAnsi="Verdana"/>
            <w:noProof/>
            <w:webHidden/>
            <w:sz w:val="18"/>
            <w:szCs w:val="18"/>
          </w:rPr>
          <w:instrText xml:space="preserve"> PAGEREF _Toc29114147 \h </w:instrText>
        </w:r>
        <w:r w:rsidR="001A3B36" w:rsidRPr="00D869E3">
          <w:rPr>
            <w:rFonts w:ascii="Verdana" w:hAnsi="Verdana"/>
            <w:noProof/>
            <w:webHidden/>
            <w:sz w:val="18"/>
            <w:szCs w:val="18"/>
          </w:rPr>
        </w:r>
        <w:r w:rsidR="001A3B36" w:rsidRPr="00D869E3">
          <w:rPr>
            <w:rFonts w:ascii="Verdana" w:hAnsi="Verdana"/>
            <w:noProof/>
            <w:webHidden/>
            <w:sz w:val="18"/>
            <w:szCs w:val="18"/>
          </w:rPr>
          <w:fldChar w:fldCharType="separate"/>
        </w:r>
        <w:r>
          <w:rPr>
            <w:rFonts w:ascii="Verdana" w:hAnsi="Verdana"/>
            <w:noProof/>
            <w:webHidden/>
            <w:sz w:val="18"/>
            <w:szCs w:val="18"/>
          </w:rPr>
          <w:t>54</w:t>
        </w:r>
        <w:r w:rsidR="001A3B36" w:rsidRPr="00D869E3">
          <w:rPr>
            <w:rFonts w:ascii="Verdana" w:hAnsi="Verdana"/>
            <w:noProof/>
            <w:webHidden/>
            <w:sz w:val="18"/>
            <w:szCs w:val="18"/>
          </w:rPr>
          <w:fldChar w:fldCharType="end"/>
        </w:r>
      </w:hyperlink>
    </w:p>
    <w:p w14:paraId="5F02F935" w14:textId="4CCD2AA3" w:rsidR="001A3B36" w:rsidRPr="00D869E3" w:rsidRDefault="0068647C" w:rsidP="00BE5A9F">
      <w:pPr>
        <w:pStyle w:val="TDC3"/>
        <w:tabs>
          <w:tab w:val="clear" w:pos="8828"/>
          <w:tab w:val="right" w:leader="dot" w:pos="8820"/>
        </w:tabs>
        <w:rPr>
          <w:rFonts w:ascii="Verdana" w:eastAsiaTheme="minorEastAsia" w:hAnsi="Verdana" w:cstheme="minorBidi"/>
          <w:noProof/>
          <w:sz w:val="18"/>
          <w:szCs w:val="18"/>
          <w:lang w:val="en-US"/>
        </w:rPr>
      </w:pPr>
      <w:hyperlink w:anchor="_Toc29114148" w:history="1">
        <w:r w:rsidR="001A3B36" w:rsidRPr="00D869E3">
          <w:rPr>
            <w:rStyle w:val="Hipervnculo"/>
            <w:rFonts w:ascii="Verdana" w:hAnsi="Verdana"/>
            <w:i/>
            <w:noProof/>
            <w:sz w:val="18"/>
            <w:szCs w:val="18"/>
            <w:lang w:val="en-US"/>
          </w:rPr>
          <w:t>1.</w:t>
        </w:r>
        <w:r w:rsidR="001A3B36" w:rsidRPr="00D869E3">
          <w:rPr>
            <w:rFonts w:ascii="Verdana" w:eastAsiaTheme="minorEastAsia" w:hAnsi="Verdana" w:cstheme="minorBidi"/>
            <w:noProof/>
            <w:sz w:val="18"/>
            <w:szCs w:val="18"/>
            <w:lang w:val="en-US"/>
          </w:rPr>
          <w:tab/>
        </w:r>
        <w:r w:rsidR="001A3B36" w:rsidRPr="00D869E3">
          <w:rPr>
            <w:rStyle w:val="Hipervnculo"/>
            <w:rFonts w:ascii="Verdana" w:hAnsi="Verdana" w:cs="Verdana"/>
            <w:i/>
            <w:noProof/>
            <w:sz w:val="18"/>
            <w:szCs w:val="18"/>
            <w:lang w:val="en-US" w:eastAsia="es-MX"/>
          </w:rPr>
          <w:t>Access to justice to protect job security as a right recognized in the Constitution</w:t>
        </w:r>
        <w:r w:rsidR="001A3B36" w:rsidRPr="00D869E3">
          <w:rPr>
            <w:rFonts w:ascii="Verdana" w:hAnsi="Verdana"/>
            <w:noProof/>
            <w:webHidden/>
            <w:sz w:val="18"/>
            <w:szCs w:val="18"/>
          </w:rPr>
          <w:tab/>
        </w:r>
        <w:r w:rsidR="001A3B36" w:rsidRPr="00D869E3">
          <w:rPr>
            <w:rFonts w:ascii="Verdana" w:hAnsi="Verdana"/>
            <w:noProof/>
            <w:webHidden/>
            <w:sz w:val="18"/>
            <w:szCs w:val="18"/>
          </w:rPr>
          <w:fldChar w:fldCharType="begin"/>
        </w:r>
        <w:r w:rsidR="001A3B36" w:rsidRPr="00D869E3">
          <w:rPr>
            <w:rFonts w:ascii="Verdana" w:hAnsi="Verdana"/>
            <w:noProof/>
            <w:webHidden/>
            <w:sz w:val="18"/>
            <w:szCs w:val="18"/>
          </w:rPr>
          <w:instrText xml:space="preserve"> PAGEREF _Toc29114148 \h </w:instrText>
        </w:r>
        <w:r w:rsidR="001A3B36" w:rsidRPr="00D869E3">
          <w:rPr>
            <w:rFonts w:ascii="Verdana" w:hAnsi="Verdana"/>
            <w:noProof/>
            <w:webHidden/>
            <w:sz w:val="18"/>
            <w:szCs w:val="18"/>
          </w:rPr>
        </w:r>
        <w:r w:rsidR="001A3B36" w:rsidRPr="00D869E3">
          <w:rPr>
            <w:rFonts w:ascii="Verdana" w:hAnsi="Verdana"/>
            <w:noProof/>
            <w:webHidden/>
            <w:sz w:val="18"/>
            <w:szCs w:val="18"/>
          </w:rPr>
          <w:fldChar w:fldCharType="separate"/>
        </w:r>
        <w:r>
          <w:rPr>
            <w:rFonts w:ascii="Verdana" w:hAnsi="Verdana"/>
            <w:noProof/>
            <w:webHidden/>
            <w:sz w:val="18"/>
            <w:szCs w:val="18"/>
          </w:rPr>
          <w:t>54</w:t>
        </w:r>
        <w:r w:rsidR="001A3B36" w:rsidRPr="00D869E3">
          <w:rPr>
            <w:rFonts w:ascii="Verdana" w:hAnsi="Verdana"/>
            <w:noProof/>
            <w:webHidden/>
            <w:sz w:val="18"/>
            <w:szCs w:val="18"/>
          </w:rPr>
          <w:fldChar w:fldCharType="end"/>
        </w:r>
      </w:hyperlink>
    </w:p>
    <w:p w14:paraId="101F518E" w14:textId="1C91C05F" w:rsidR="001A3B36" w:rsidRPr="00D869E3" w:rsidRDefault="0068647C" w:rsidP="00BE5A9F">
      <w:pPr>
        <w:pStyle w:val="TDC3"/>
        <w:tabs>
          <w:tab w:val="clear" w:pos="8828"/>
          <w:tab w:val="right" w:leader="dot" w:pos="8820"/>
        </w:tabs>
        <w:rPr>
          <w:rFonts w:ascii="Verdana" w:eastAsiaTheme="minorEastAsia" w:hAnsi="Verdana" w:cstheme="minorBidi"/>
          <w:noProof/>
          <w:sz w:val="18"/>
          <w:szCs w:val="18"/>
          <w:lang w:val="en-US"/>
        </w:rPr>
      </w:pPr>
      <w:hyperlink w:anchor="_Toc29114149" w:history="1">
        <w:r w:rsidR="001A3B36" w:rsidRPr="00D869E3">
          <w:rPr>
            <w:rStyle w:val="Hipervnculo"/>
            <w:rFonts w:ascii="Verdana" w:hAnsi="Verdana"/>
            <w:i/>
            <w:noProof/>
            <w:sz w:val="18"/>
            <w:szCs w:val="18"/>
            <w:lang w:val="en-US"/>
          </w:rPr>
          <w:t>2.</w:t>
        </w:r>
        <w:r w:rsidR="001A3B36" w:rsidRPr="00D869E3">
          <w:rPr>
            <w:rFonts w:ascii="Verdana" w:eastAsiaTheme="minorEastAsia" w:hAnsi="Verdana" w:cstheme="minorBidi"/>
            <w:noProof/>
            <w:sz w:val="18"/>
            <w:szCs w:val="18"/>
            <w:lang w:val="en-US"/>
          </w:rPr>
          <w:tab/>
        </w:r>
        <w:r w:rsidR="001A3B36" w:rsidRPr="00D869E3">
          <w:rPr>
            <w:rStyle w:val="Hipervnculo"/>
            <w:rFonts w:ascii="Verdana" w:hAnsi="Verdana"/>
            <w:i/>
            <w:noProof/>
            <w:sz w:val="18"/>
            <w:szCs w:val="18"/>
            <w:lang w:val="en-US"/>
          </w:rPr>
          <w:t>Conclusion</w:t>
        </w:r>
        <w:r w:rsidR="001A3B36" w:rsidRPr="00D869E3">
          <w:rPr>
            <w:rFonts w:ascii="Verdana" w:hAnsi="Verdana"/>
            <w:noProof/>
            <w:webHidden/>
            <w:sz w:val="18"/>
            <w:szCs w:val="18"/>
          </w:rPr>
          <w:tab/>
        </w:r>
        <w:r w:rsidR="001A3B36" w:rsidRPr="00D869E3">
          <w:rPr>
            <w:rFonts w:ascii="Verdana" w:hAnsi="Verdana"/>
            <w:noProof/>
            <w:webHidden/>
            <w:sz w:val="18"/>
            <w:szCs w:val="18"/>
          </w:rPr>
          <w:fldChar w:fldCharType="begin"/>
        </w:r>
        <w:r w:rsidR="001A3B36" w:rsidRPr="00D869E3">
          <w:rPr>
            <w:rFonts w:ascii="Verdana" w:hAnsi="Verdana"/>
            <w:noProof/>
            <w:webHidden/>
            <w:sz w:val="18"/>
            <w:szCs w:val="18"/>
          </w:rPr>
          <w:instrText xml:space="preserve"> PAGEREF _Toc29114149 \h </w:instrText>
        </w:r>
        <w:r w:rsidR="001A3B36" w:rsidRPr="00D869E3">
          <w:rPr>
            <w:rFonts w:ascii="Verdana" w:hAnsi="Verdana"/>
            <w:noProof/>
            <w:webHidden/>
            <w:sz w:val="18"/>
            <w:szCs w:val="18"/>
          </w:rPr>
        </w:r>
        <w:r w:rsidR="001A3B36" w:rsidRPr="00D869E3">
          <w:rPr>
            <w:rFonts w:ascii="Verdana" w:hAnsi="Verdana"/>
            <w:noProof/>
            <w:webHidden/>
            <w:sz w:val="18"/>
            <w:szCs w:val="18"/>
          </w:rPr>
          <w:fldChar w:fldCharType="separate"/>
        </w:r>
        <w:r>
          <w:rPr>
            <w:rFonts w:ascii="Verdana" w:hAnsi="Verdana"/>
            <w:noProof/>
            <w:webHidden/>
            <w:sz w:val="18"/>
            <w:szCs w:val="18"/>
          </w:rPr>
          <w:t>58</w:t>
        </w:r>
        <w:r w:rsidR="001A3B36" w:rsidRPr="00D869E3">
          <w:rPr>
            <w:rFonts w:ascii="Verdana" w:hAnsi="Verdana"/>
            <w:noProof/>
            <w:webHidden/>
            <w:sz w:val="18"/>
            <w:szCs w:val="18"/>
          </w:rPr>
          <w:fldChar w:fldCharType="end"/>
        </w:r>
      </w:hyperlink>
    </w:p>
    <w:p w14:paraId="1C886C43" w14:textId="3DD600E0" w:rsidR="001A3B36" w:rsidRPr="00D869E3" w:rsidRDefault="0068647C" w:rsidP="00BE5A9F">
      <w:pPr>
        <w:pStyle w:val="TDC1"/>
        <w:rPr>
          <w:rFonts w:eastAsiaTheme="minorEastAsia" w:cstheme="minorBidi"/>
          <w:snapToGrid/>
          <w:lang w:val="en-US"/>
        </w:rPr>
      </w:pPr>
      <w:hyperlink w:anchor="_Toc29114150" w:history="1">
        <w:r w:rsidR="001A3B36" w:rsidRPr="00D869E3">
          <w:rPr>
            <w:rStyle w:val="Hipervnculo"/>
            <w:rFonts w:cs="Verdana"/>
            <w:sz w:val="18"/>
            <w:szCs w:val="18"/>
            <w:lang w:val="en-US"/>
          </w:rPr>
          <w:t>VIII</w:t>
        </w:r>
        <w:r w:rsidR="001A3B36" w:rsidRPr="00D869E3">
          <w:rPr>
            <w:webHidden/>
          </w:rPr>
          <w:tab/>
        </w:r>
        <w:r w:rsidR="001A3B36" w:rsidRPr="00D869E3">
          <w:rPr>
            <w:webHidden/>
          </w:rPr>
          <w:fldChar w:fldCharType="begin"/>
        </w:r>
        <w:r w:rsidR="001A3B36" w:rsidRPr="00D869E3">
          <w:rPr>
            <w:webHidden/>
          </w:rPr>
          <w:instrText xml:space="preserve"> PAGEREF _Toc29114150 \h </w:instrText>
        </w:r>
        <w:r w:rsidR="001A3B36" w:rsidRPr="00D869E3">
          <w:rPr>
            <w:webHidden/>
          </w:rPr>
        </w:r>
        <w:r w:rsidR="001A3B36" w:rsidRPr="00D869E3">
          <w:rPr>
            <w:webHidden/>
          </w:rPr>
          <w:fldChar w:fldCharType="separate"/>
        </w:r>
        <w:r>
          <w:rPr>
            <w:webHidden/>
          </w:rPr>
          <w:t>59</w:t>
        </w:r>
        <w:r w:rsidR="001A3B36" w:rsidRPr="00D869E3">
          <w:rPr>
            <w:webHidden/>
          </w:rPr>
          <w:fldChar w:fldCharType="end"/>
        </w:r>
      </w:hyperlink>
    </w:p>
    <w:p w14:paraId="38ADF83E" w14:textId="678F8908" w:rsidR="001A3B36" w:rsidRPr="00D869E3" w:rsidRDefault="0068647C" w:rsidP="00BE5A9F">
      <w:pPr>
        <w:pStyle w:val="TDC1"/>
        <w:rPr>
          <w:rFonts w:eastAsiaTheme="minorEastAsia" w:cstheme="minorBidi"/>
          <w:snapToGrid/>
          <w:lang w:val="en-US"/>
        </w:rPr>
      </w:pPr>
      <w:hyperlink w:anchor="_Toc29114151" w:history="1">
        <w:r w:rsidR="001A3B36" w:rsidRPr="00D869E3">
          <w:rPr>
            <w:rStyle w:val="Hipervnculo"/>
            <w:rFonts w:cs="Verdana"/>
            <w:sz w:val="18"/>
            <w:szCs w:val="18"/>
            <w:lang w:val="en-US"/>
          </w:rPr>
          <w:t>REPARATIONS</w:t>
        </w:r>
        <w:r w:rsidR="001A3B36" w:rsidRPr="00D869E3">
          <w:rPr>
            <w:webHidden/>
          </w:rPr>
          <w:tab/>
        </w:r>
        <w:r w:rsidR="001A3B36" w:rsidRPr="00D869E3">
          <w:rPr>
            <w:webHidden/>
          </w:rPr>
          <w:fldChar w:fldCharType="begin"/>
        </w:r>
        <w:r w:rsidR="001A3B36" w:rsidRPr="00D869E3">
          <w:rPr>
            <w:webHidden/>
          </w:rPr>
          <w:instrText xml:space="preserve"> PAGEREF _Toc29114151 \h </w:instrText>
        </w:r>
        <w:r w:rsidR="001A3B36" w:rsidRPr="00D869E3">
          <w:rPr>
            <w:webHidden/>
          </w:rPr>
        </w:r>
        <w:r w:rsidR="001A3B36" w:rsidRPr="00D869E3">
          <w:rPr>
            <w:webHidden/>
          </w:rPr>
          <w:fldChar w:fldCharType="separate"/>
        </w:r>
        <w:r>
          <w:rPr>
            <w:webHidden/>
          </w:rPr>
          <w:t>59</w:t>
        </w:r>
        <w:r w:rsidR="001A3B36" w:rsidRPr="00D869E3">
          <w:rPr>
            <w:webHidden/>
          </w:rPr>
          <w:fldChar w:fldCharType="end"/>
        </w:r>
      </w:hyperlink>
    </w:p>
    <w:p w14:paraId="05193B51" w14:textId="09136250" w:rsidR="001A3B36" w:rsidRPr="00D869E3" w:rsidRDefault="0068647C" w:rsidP="00BE5A9F">
      <w:pPr>
        <w:pStyle w:val="TDC1"/>
        <w:rPr>
          <w:rFonts w:eastAsiaTheme="minorEastAsia" w:cstheme="minorBidi"/>
          <w:snapToGrid/>
          <w:lang w:val="en-US"/>
        </w:rPr>
      </w:pPr>
      <w:hyperlink w:anchor="_Toc29114152" w:history="1">
        <w:r w:rsidR="001A3B36" w:rsidRPr="00D869E3">
          <w:rPr>
            <w:rStyle w:val="Hipervnculo"/>
            <w:rFonts w:cs="Verdana"/>
            <w:sz w:val="18"/>
            <w:szCs w:val="18"/>
            <w:lang w:val="en-US"/>
          </w:rPr>
          <w:t>(ApPLICATIOn of Article 63(1) of the American Convention)</w:t>
        </w:r>
        <w:r w:rsidR="001A3B36" w:rsidRPr="00D869E3">
          <w:rPr>
            <w:webHidden/>
          </w:rPr>
          <w:tab/>
        </w:r>
        <w:r w:rsidR="001A3B36" w:rsidRPr="00D869E3">
          <w:rPr>
            <w:webHidden/>
          </w:rPr>
          <w:fldChar w:fldCharType="begin"/>
        </w:r>
        <w:r w:rsidR="001A3B36" w:rsidRPr="00D869E3">
          <w:rPr>
            <w:webHidden/>
          </w:rPr>
          <w:instrText xml:space="preserve"> PAGEREF _Toc29114152 \h </w:instrText>
        </w:r>
        <w:r w:rsidR="001A3B36" w:rsidRPr="00D869E3">
          <w:rPr>
            <w:webHidden/>
          </w:rPr>
        </w:r>
        <w:r w:rsidR="001A3B36" w:rsidRPr="00D869E3">
          <w:rPr>
            <w:webHidden/>
          </w:rPr>
          <w:fldChar w:fldCharType="separate"/>
        </w:r>
        <w:r>
          <w:rPr>
            <w:webHidden/>
          </w:rPr>
          <w:t>59</w:t>
        </w:r>
        <w:r w:rsidR="001A3B36" w:rsidRPr="00D869E3">
          <w:rPr>
            <w:webHidden/>
          </w:rPr>
          <w:fldChar w:fldCharType="end"/>
        </w:r>
      </w:hyperlink>
    </w:p>
    <w:p w14:paraId="34054F45" w14:textId="2CDC4A03" w:rsidR="001A3B36" w:rsidRPr="00D869E3" w:rsidRDefault="0068647C" w:rsidP="00BE5A9F">
      <w:pPr>
        <w:pStyle w:val="TDC2"/>
        <w:tabs>
          <w:tab w:val="right" w:leader="dot" w:pos="8820"/>
        </w:tabs>
        <w:rPr>
          <w:rFonts w:ascii="Verdana" w:eastAsiaTheme="minorEastAsia" w:hAnsi="Verdana" w:cstheme="minorBidi"/>
          <w:noProof/>
          <w:sz w:val="18"/>
          <w:szCs w:val="18"/>
          <w:lang w:val="en-US"/>
        </w:rPr>
      </w:pPr>
      <w:hyperlink w:anchor="_Toc29114153" w:history="1">
        <w:r w:rsidR="001A3B36" w:rsidRPr="00D869E3">
          <w:rPr>
            <w:rStyle w:val="Hipervnculo"/>
            <w:rFonts w:ascii="Verdana" w:hAnsi="Verdana"/>
            <w:i/>
            <w:noProof/>
            <w:sz w:val="18"/>
            <w:szCs w:val="18"/>
            <w:lang w:val="en-US"/>
          </w:rPr>
          <w:t>A.</w:t>
        </w:r>
        <w:r w:rsidR="001A3B36" w:rsidRPr="00D869E3">
          <w:rPr>
            <w:rFonts w:ascii="Verdana" w:eastAsiaTheme="minorEastAsia" w:hAnsi="Verdana" w:cstheme="minorBidi"/>
            <w:noProof/>
            <w:sz w:val="18"/>
            <w:szCs w:val="18"/>
            <w:lang w:val="en-US"/>
          </w:rPr>
          <w:tab/>
        </w:r>
        <w:r w:rsidR="001A3B36" w:rsidRPr="00D869E3">
          <w:rPr>
            <w:rStyle w:val="Hipervnculo"/>
            <w:rFonts w:ascii="Verdana" w:hAnsi="Verdana"/>
            <w:i/>
            <w:noProof/>
            <w:sz w:val="18"/>
            <w:szCs w:val="18"/>
            <w:lang w:val="en-US"/>
          </w:rPr>
          <w:t>Injured party</w:t>
        </w:r>
        <w:r w:rsidR="001A3B36" w:rsidRPr="00D869E3">
          <w:rPr>
            <w:rFonts w:ascii="Verdana" w:hAnsi="Verdana"/>
            <w:noProof/>
            <w:webHidden/>
            <w:sz w:val="18"/>
            <w:szCs w:val="18"/>
          </w:rPr>
          <w:tab/>
        </w:r>
        <w:r w:rsidR="001A3B36" w:rsidRPr="00D869E3">
          <w:rPr>
            <w:rFonts w:ascii="Verdana" w:hAnsi="Verdana"/>
            <w:noProof/>
            <w:webHidden/>
            <w:sz w:val="18"/>
            <w:szCs w:val="18"/>
          </w:rPr>
          <w:fldChar w:fldCharType="begin"/>
        </w:r>
        <w:r w:rsidR="001A3B36" w:rsidRPr="00D869E3">
          <w:rPr>
            <w:rFonts w:ascii="Verdana" w:hAnsi="Verdana"/>
            <w:noProof/>
            <w:webHidden/>
            <w:sz w:val="18"/>
            <w:szCs w:val="18"/>
          </w:rPr>
          <w:instrText xml:space="preserve"> PAGEREF _Toc29114153 \h </w:instrText>
        </w:r>
        <w:r w:rsidR="001A3B36" w:rsidRPr="00D869E3">
          <w:rPr>
            <w:rFonts w:ascii="Verdana" w:hAnsi="Verdana"/>
            <w:noProof/>
            <w:webHidden/>
            <w:sz w:val="18"/>
            <w:szCs w:val="18"/>
          </w:rPr>
        </w:r>
        <w:r w:rsidR="001A3B36" w:rsidRPr="00D869E3">
          <w:rPr>
            <w:rFonts w:ascii="Verdana" w:hAnsi="Verdana"/>
            <w:noProof/>
            <w:webHidden/>
            <w:sz w:val="18"/>
            <w:szCs w:val="18"/>
          </w:rPr>
          <w:fldChar w:fldCharType="separate"/>
        </w:r>
        <w:r>
          <w:rPr>
            <w:rFonts w:ascii="Verdana" w:hAnsi="Verdana"/>
            <w:noProof/>
            <w:webHidden/>
            <w:sz w:val="18"/>
            <w:szCs w:val="18"/>
          </w:rPr>
          <w:t>59</w:t>
        </w:r>
        <w:r w:rsidR="001A3B36" w:rsidRPr="00D869E3">
          <w:rPr>
            <w:rFonts w:ascii="Verdana" w:hAnsi="Verdana"/>
            <w:noProof/>
            <w:webHidden/>
            <w:sz w:val="18"/>
            <w:szCs w:val="18"/>
          </w:rPr>
          <w:fldChar w:fldCharType="end"/>
        </w:r>
      </w:hyperlink>
    </w:p>
    <w:p w14:paraId="4ABED06C" w14:textId="756D259A" w:rsidR="001A3B36" w:rsidRPr="00D869E3" w:rsidRDefault="0068647C" w:rsidP="00BE5A9F">
      <w:pPr>
        <w:pStyle w:val="TDC2"/>
        <w:tabs>
          <w:tab w:val="right" w:leader="dot" w:pos="8820"/>
        </w:tabs>
        <w:rPr>
          <w:rFonts w:ascii="Verdana" w:eastAsiaTheme="minorEastAsia" w:hAnsi="Verdana" w:cstheme="minorBidi"/>
          <w:noProof/>
          <w:sz w:val="18"/>
          <w:szCs w:val="18"/>
          <w:lang w:val="en-US"/>
        </w:rPr>
      </w:pPr>
      <w:hyperlink w:anchor="_Toc29114154" w:history="1">
        <w:r w:rsidR="001A3B36" w:rsidRPr="00D869E3">
          <w:rPr>
            <w:rStyle w:val="Hipervnculo"/>
            <w:rFonts w:ascii="Verdana" w:hAnsi="Verdana"/>
            <w:i/>
            <w:noProof/>
            <w:sz w:val="18"/>
            <w:szCs w:val="18"/>
            <w:lang w:val="en-US"/>
          </w:rPr>
          <w:t>B.</w:t>
        </w:r>
        <w:r w:rsidR="001A3B36" w:rsidRPr="00D869E3">
          <w:rPr>
            <w:rFonts w:ascii="Verdana" w:eastAsiaTheme="minorEastAsia" w:hAnsi="Verdana" w:cstheme="minorBidi"/>
            <w:noProof/>
            <w:sz w:val="18"/>
            <w:szCs w:val="18"/>
            <w:lang w:val="en-US"/>
          </w:rPr>
          <w:tab/>
        </w:r>
        <w:r w:rsidR="001A3B36" w:rsidRPr="00D869E3">
          <w:rPr>
            <w:rStyle w:val="Hipervnculo"/>
            <w:rFonts w:ascii="Verdana" w:hAnsi="Verdana"/>
            <w:i/>
            <w:noProof/>
            <w:sz w:val="18"/>
            <w:szCs w:val="18"/>
            <w:lang w:val="en-US"/>
          </w:rPr>
          <w:t>Measures of satisfaction</w:t>
        </w:r>
        <w:r w:rsidR="001A3B36" w:rsidRPr="00D869E3">
          <w:rPr>
            <w:rFonts w:ascii="Verdana" w:hAnsi="Verdana"/>
            <w:noProof/>
            <w:webHidden/>
            <w:sz w:val="18"/>
            <w:szCs w:val="18"/>
          </w:rPr>
          <w:tab/>
        </w:r>
        <w:r w:rsidR="001A3B36" w:rsidRPr="00D869E3">
          <w:rPr>
            <w:rFonts w:ascii="Verdana" w:hAnsi="Verdana"/>
            <w:noProof/>
            <w:webHidden/>
            <w:sz w:val="18"/>
            <w:szCs w:val="18"/>
          </w:rPr>
          <w:fldChar w:fldCharType="begin"/>
        </w:r>
        <w:r w:rsidR="001A3B36" w:rsidRPr="00D869E3">
          <w:rPr>
            <w:rFonts w:ascii="Verdana" w:hAnsi="Verdana"/>
            <w:noProof/>
            <w:webHidden/>
            <w:sz w:val="18"/>
            <w:szCs w:val="18"/>
          </w:rPr>
          <w:instrText xml:space="preserve"> PAGEREF _Toc29114154 \h </w:instrText>
        </w:r>
        <w:r w:rsidR="001A3B36" w:rsidRPr="00D869E3">
          <w:rPr>
            <w:rFonts w:ascii="Verdana" w:hAnsi="Verdana"/>
            <w:noProof/>
            <w:webHidden/>
            <w:sz w:val="18"/>
            <w:szCs w:val="18"/>
          </w:rPr>
        </w:r>
        <w:r w:rsidR="001A3B36" w:rsidRPr="00D869E3">
          <w:rPr>
            <w:rFonts w:ascii="Verdana" w:hAnsi="Verdana"/>
            <w:noProof/>
            <w:webHidden/>
            <w:sz w:val="18"/>
            <w:szCs w:val="18"/>
          </w:rPr>
          <w:fldChar w:fldCharType="separate"/>
        </w:r>
        <w:r>
          <w:rPr>
            <w:rFonts w:ascii="Verdana" w:hAnsi="Verdana"/>
            <w:noProof/>
            <w:webHidden/>
            <w:sz w:val="18"/>
            <w:szCs w:val="18"/>
          </w:rPr>
          <w:t>60</w:t>
        </w:r>
        <w:r w:rsidR="001A3B36" w:rsidRPr="00D869E3">
          <w:rPr>
            <w:rFonts w:ascii="Verdana" w:hAnsi="Verdana"/>
            <w:noProof/>
            <w:webHidden/>
            <w:sz w:val="18"/>
            <w:szCs w:val="18"/>
          </w:rPr>
          <w:fldChar w:fldCharType="end"/>
        </w:r>
      </w:hyperlink>
    </w:p>
    <w:p w14:paraId="154EAE95" w14:textId="32AD65A0" w:rsidR="001A3B36" w:rsidRPr="00D869E3" w:rsidRDefault="0068647C" w:rsidP="00BE5A9F">
      <w:pPr>
        <w:pStyle w:val="TDC3"/>
        <w:tabs>
          <w:tab w:val="clear" w:pos="8828"/>
          <w:tab w:val="right" w:leader="dot" w:pos="8820"/>
        </w:tabs>
        <w:rPr>
          <w:rFonts w:ascii="Verdana" w:eastAsiaTheme="minorEastAsia" w:hAnsi="Verdana" w:cstheme="minorBidi"/>
          <w:noProof/>
          <w:sz w:val="18"/>
          <w:szCs w:val="18"/>
          <w:lang w:val="en-US"/>
        </w:rPr>
      </w:pPr>
      <w:hyperlink w:anchor="_Toc29114155" w:history="1">
        <w:r w:rsidR="001A3B36" w:rsidRPr="00D869E3">
          <w:rPr>
            <w:rStyle w:val="Hipervnculo"/>
            <w:rFonts w:ascii="Verdana" w:hAnsi="Verdana"/>
            <w:i/>
            <w:noProof/>
            <w:sz w:val="18"/>
            <w:szCs w:val="18"/>
            <w:lang w:val="en-US"/>
          </w:rPr>
          <w:t>1.</w:t>
        </w:r>
        <w:r w:rsidR="001A3B36" w:rsidRPr="00D869E3">
          <w:rPr>
            <w:rFonts w:ascii="Verdana" w:eastAsiaTheme="minorEastAsia" w:hAnsi="Verdana" w:cstheme="minorBidi"/>
            <w:noProof/>
            <w:sz w:val="18"/>
            <w:szCs w:val="18"/>
            <w:lang w:val="en-US"/>
          </w:rPr>
          <w:tab/>
        </w:r>
        <w:r w:rsidR="001A3B36" w:rsidRPr="00D869E3">
          <w:rPr>
            <w:rStyle w:val="Hipervnculo"/>
            <w:rFonts w:ascii="Verdana" w:hAnsi="Verdana"/>
            <w:i/>
            <w:noProof/>
            <w:sz w:val="18"/>
            <w:szCs w:val="18"/>
            <w:lang w:val="en-US"/>
          </w:rPr>
          <w:t>Publications</w:t>
        </w:r>
        <w:r w:rsidR="001A3B36" w:rsidRPr="00D869E3">
          <w:rPr>
            <w:rFonts w:ascii="Verdana" w:hAnsi="Verdana"/>
            <w:noProof/>
            <w:webHidden/>
            <w:sz w:val="18"/>
            <w:szCs w:val="18"/>
          </w:rPr>
          <w:tab/>
        </w:r>
        <w:r w:rsidR="001A3B36" w:rsidRPr="00D869E3">
          <w:rPr>
            <w:rFonts w:ascii="Verdana" w:hAnsi="Verdana"/>
            <w:noProof/>
            <w:webHidden/>
            <w:sz w:val="18"/>
            <w:szCs w:val="18"/>
          </w:rPr>
          <w:fldChar w:fldCharType="begin"/>
        </w:r>
        <w:r w:rsidR="001A3B36" w:rsidRPr="00D869E3">
          <w:rPr>
            <w:rFonts w:ascii="Verdana" w:hAnsi="Verdana"/>
            <w:noProof/>
            <w:webHidden/>
            <w:sz w:val="18"/>
            <w:szCs w:val="18"/>
          </w:rPr>
          <w:instrText xml:space="preserve"> PAGEREF _Toc29114155 \h </w:instrText>
        </w:r>
        <w:r w:rsidR="001A3B36" w:rsidRPr="00D869E3">
          <w:rPr>
            <w:rFonts w:ascii="Verdana" w:hAnsi="Verdana"/>
            <w:noProof/>
            <w:webHidden/>
            <w:sz w:val="18"/>
            <w:szCs w:val="18"/>
          </w:rPr>
        </w:r>
        <w:r w:rsidR="001A3B36" w:rsidRPr="00D869E3">
          <w:rPr>
            <w:rFonts w:ascii="Verdana" w:hAnsi="Verdana"/>
            <w:noProof/>
            <w:webHidden/>
            <w:sz w:val="18"/>
            <w:szCs w:val="18"/>
          </w:rPr>
          <w:fldChar w:fldCharType="separate"/>
        </w:r>
        <w:r>
          <w:rPr>
            <w:rFonts w:ascii="Verdana" w:hAnsi="Verdana"/>
            <w:noProof/>
            <w:webHidden/>
            <w:sz w:val="18"/>
            <w:szCs w:val="18"/>
          </w:rPr>
          <w:t>60</w:t>
        </w:r>
        <w:r w:rsidR="001A3B36" w:rsidRPr="00D869E3">
          <w:rPr>
            <w:rFonts w:ascii="Verdana" w:hAnsi="Verdana"/>
            <w:noProof/>
            <w:webHidden/>
            <w:sz w:val="18"/>
            <w:szCs w:val="18"/>
          </w:rPr>
          <w:fldChar w:fldCharType="end"/>
        </w:r>
      </w:hyperlink>
    </w:p>
    <w:p w14:paraId="068C3A76" w14:textId="13DF7457" w:rsidR="001A3B36" w:rsidRPr="00D869E3" w:rsidRDefault="0068647C" w:rsidP="00BE5A9F">
      <w:pPr>
        <w:pStyle w:val="TDC2"/>
        <w:tabs>
          <w:tab w:val="right" w:leader="dot" w:pos="8820"/>
        </w:tabs>
        <w:rPr>
          <w:rFonts w:ascii="Verdana" w:eastAsiaTheme="minorEastAsia" w:hAnsi="Verdana" w:cstheme="minorBidi"/>
          <w:noProof/>
          <w:sz w:val="18"/>
          <w:szCs w:val="18"/>
          <w:lang w:val="en-US"/>
        </w:rPr>
      </w:pPr>
      <w:hyperlink w:anchor="_Toc29114156" w:history="1">
        <w:r w:rsidR="001A3B36" w:rsidRPr="00D869E3">
          <w:rPr>
            <w:rStyle w:val="Hipervnculo"/>
            <w:rFonts w:ascii="Verdana" w:hAnsi="Verdana"/>
            <w:i/>
            <w:noProof/>
            <w:sz w:val="18"/>
            <w:szCs w:val="18"/>
            <w:lang w:val="en-US"/>
          </w:rPr>
          <w:t>C.</w:t>
        </w:r>
        <w:r w:rsidR="001A3B36" w:rsidRPr="00D869E3">
          <w:rPr>
            <w:rFonts w:ascii="Verdana" w:eastAsiaTheme="minorEastAsia" w:hAnsi="Verdana" w:cstheme="minorBidi"/>
            <w:noProof/>
            <w:sz w:val="18"/>
            <w:szCs w:val="18"/>
            <w:lang w:val="en-US"/>
          </w:rPr>
          <w:tab/>
        </w:r>
        <w:r w:rsidR="001A3B36" w:rsidRPr="00D869E3">
          <w:rPr>
            <w:rStyle w:val="Hipervnculo"/>
            <w:rFonts w:ascii="Verdana" w:hAnsi="Verdana"/>
            <w:i/>
            <w:noProof/>
            <w:sz w:val="18"/>
            <w:szCs w:val="18"/>
            <w:lang w:val="en-US"/>
          </w:rPr>
          <w:t>Other measures requested</w:t>
        </w:r>
        <w:r w:rsidR="001A3B36" w:rsidRPr="00D869E3">
          <w:rPr>
            <w:rFonts w:ascii="Verdana" w:hAnsi="Verdana"/>
            <w:noProof/>
            <w:webHidden/>
            <w:sz w:val="18"/>
            <w:szCs w:val="18"/>
          </w:rPr>
          <w:tab/>
        </w:r>
        <w:r w:rsidR="001A3B36" w:rsidRPr="00D869E3">
          <w:rPr>
            <w:rFonts w:ascii="Verdana" w:hAnsi="Verdana"/>
            <w:noProof/>
            <w:webHidden/>
            <w:sz w:val="18"/>
            <w:szCs w:val="18"/>
          </w:rPr>
          <w:fldChar w:fldCharType="begin"/>
        </w:r>
        <w:r w:rsidR="001A3B36" w:rsidRPr="00D869E3">
          <w:rPr>
            <w:rFonts w:ascii="Verdana" w:hAnsi="Verdana"/>
            <w:noProof/>
            <w:webHidden/>
            <w:sz w:val="18"/>
            <w:szCs w:val="18"/>
          </w:rPr>
          <w:instrText xml:space="preserve"> PAGEREF _Toc29114156 \h </w:instrText>
        </w:r>
        <w:r w:rsidR="001A3B36" w:rsidRPr="00D869E3">
          <w:rPr>
            <w:rFonts w:ascii="Verdana" w:hAnsi="Verdana"/>
            <w:noProof/>
            <w:webHidden/>
            <w:sz w:val="18"/>
            <w:szCs w:val="18"/>
          </w:rPr>
        </w:r>
        <w:r w:rsidR="001A3B36" w:rsidRPr="00D869E3">
          <w:rPr>
            <w:rFonts w:ascii="Verdana" w:hAnsi="Verdana"/>
            <w:noProof/>
            <w:webHidden/>
            <w:sz w:val="18"/>
            <w:szCs w:val="18"/>
          </w:rPr>
          <w:fldChar w:fldCharType="separate"/>
        </w:r>
        <w:r>
          <w:rPr>
            <w:rFonts w:ascii="Verdana" w:hAnsi="Verdana"/>
            <w:noProof/>
            <w:webHidden/>
            <w:sz w:val="18"/>
            <w:szCs w:val="18"/>
          </w:rPr>
          <w:t>60</w:t>
        </w:r>
        <w:r w:rsidR="001A3B36" w:rsidRPr="00D869E3">
          <w:rPr>
            <w:rFonts w:ascii="Verdana" w:hAnsi="Verdana"/>
            <w:noProof/>
            <w:webHidden/>
            <w:sz w:val="18"/>
            <w:szCs w:val="18"/>
          </w:rPr>
          <w:fldChar w:fldCharType="end"/>
        </w:r>
      </w:hyperlink>
    </w:p>
    <w:p w14:paraId="4CAB7A69" w14:textId="684DC91B" w:rsidR="001A3B36" w:rsidRPr="00D869E3" w:rsidRDefault="0068647C" w:rsidP="00BE5A9F">
      <w:pPr>
        <w:pStyle w:val="TDC2"/>
        <w:tabs>
          <w:tab w:val="right" w:leader="dot" w:pos="8820"/>
        </w:tabs>
        <w:rPr>
          <w:rFonts w:ascii="Verdana" w:eastAsiaTheme="minorEastAsia" w:hAnsi="Verdana" w:cstheme="minorBidi"/>
          <w:noProof/>
          <w:sz w:val="18"/>
          <w:szCs w:val="18"/>
          <w:lang w:val="en-US"/>
        </w:rPr>
      </w:pPr>
      <w:hyperlink w:anchor="_Toc29114157" w:history="1">
        <w:r w:rsidR="001A3B36" w:rsidRPr="00D869E3">
          <w:rPr>
            <w:rStyle w:val="Hipervnculo"/>
            <w:rFonts w:ascii="Verdana" w:hAnsi="Verdana"/>
            <w:i/>
            <w:noProof/>
            <w:sz w:val="18"/>
            <w:szCs w:val="18"/>
            <w:lang w:val="en-US"/>
          </w:rPr>
          <w:t>D.</w:t>
        </w:r>
        <w:r w:rsidR="001A3B36" w:rsidRPr="00D869E3">
          <w:rPr>
            <w:rFonts w:ascii="Verdana" w:eastAsiaTheme="minorEastAsia" w:hAnsi="Verdana" w:cstheme="minorBidi"/>
            <w:noProof/>
            <w:sz w:val="18"/>
            <w:szCs w:val="18"/>
            <w:lang w:val="en-US"/>
          </w:rPr>
          <w:tab/>
        </w:r>
        <w:r w:rsidR="001A3B36" w:rsidRPr="00D869E3">
          <w:rPr>
            <w:rStyle w:val="Hipervnculo"/>
            <w:rFonts w:ascii="Verdana" w:hAnsi="Verdana"/>
            <w:i/>
            <w:noProof/>
            <w:sz w:val="18"/>
            <w:szCs w:val="18"/>
            <w:lang w:val="en-US"/>
          </w:rPr>
          <w:t>Compensation</w:t>
        </w:r>
        <w:r w:rsidR="001A3B36" w:rsidRPr="00D869E3">
          <w:rPr>
            <w:rFonts w:ascii="Verdana" w:hAnsi="Verdana"/>
            <w:noProof/>
            <w:webHidden/>
            <w:sz w:val="18"/>
            <w:szCs w:val="18"/>
          </w:rPr>
          <w:tab/>
        </w:r>
        <w:r w:rsidR="001A3B36" w:rsidRPr="00D869E3">
          <w:rPr>
            <w:rFonts w:ascii="Verdana" w:hAnsi="Verdana"/>
            <w:noProof/>
            <w:webHidden/>
            <w:sz w:val="18"/>
            <w:szCs w:val="18"/>
          </w:rPr>
          <w:fldChar w:fldCharType="begin"/>
        </w:r>
        <w:r w:rsidR="001A3B36" w:rsidRPr="00D869E3">
          <w:rPr>
            <w:rFonts w:ascii="Verdana" w:hAnsi="Verdana"/>
            <w:noProof/>
            <w:webHidden/>
            <w:sz w:val="18"/>
            <w:szCs w:val="18"/>
          </w:rPr>
          <w:instrText xml:space="preserve"> PAGEREF _Toc29114157 \h </w:instrText>
        </w:r>
        <w:r w:rsidR="001A3B36" w:rsidRPr="00D869E3">
          <w:rPr>
            <w:rFonts w:ascii="Verdana" w:hAnsi="Verdana"/>
            <w:noProof/>
            <w:webHidden/>
            <w:sz w:val="18"/>
            <w:szCs w:val="18"/>
          </w:rPr>
        </w:r>
        <w:r w:rsidR="001A3B36" w:rsidRPr="00D869E3">
          <w:rPr>
            <w:rFonts w:ascii="Verdana" w:hAnsi="Verdana"/>
            <w:noProof/>
            <w:webHidden/>
            <w:sz w:val="18"/>
            <w:szCs w:val="18"/>
          </w:rPr>
          <w:fldChar w:fldCharType="separate"/>
        </w:r>
        <w:r>
          <w:rPr>
            <w:rFonts w:ascii="Verdana" w:hAnsi="Verdana"/>
            <w:noProof/>
            <w:webHidden/>
            <w:sz w:val="18"/>
            <w:szCs w:val="18"/>
          </w:rPr>
          <w:t>62</w:t>
        </w:r>
        <w:r w:rsidR="001A3B36" w:rsidRPr="00D869E3">
          <w:rPr>
            <w:rFonts w:ascii="Verdana" w:hAnsi="Verdana"/>
            <w:noProof/>
            <w:webHidden/>
            <w:sz w:val="18"/>
            <w:szCs w:val="18"/>
          </w:rPr>
          <w:fldChar w:fldCharType="end"/>
        </w:r>
      </w:hyperlink>
    </w:p>
    <w:p w14:paraId="6983FB2A" w14:textId="3C5FACBC" w:rsidR="001A3B36" w:rsidRPr="00D869E3" w:rsidRDefault="0068647C" w:rsidP="00BE5A9F">
      <w:pPr>
        <w:pStyle w:val="TDC3"/>
        <w:tabs>
          <w:tab w:val="clear" w:pos="8828"/>
          <w:tab w:val="right" w:leader="dot" w:pos="8820"/>
        </w:tabs>
        <w:rPr>
          <w:rFonts w:ascii="Verdana" w:eastAsiaTheme="minorEastAsia" w:hAnsi="Verdana" w:cstheme="minorBidi"/>
          <w:noProof/>
          <w:sz w:val="18"/>
          <w:szCs w:val="18"/>
          <w:lang w:val="en-US"/>
        </w:rPr>
      </w:pPr>
      <w:hyperlink w:anchor="_Toc29114158" w:history="1">
        <w:r w:rsidR="001A3B36" w:rsidRPr="00D869E3">
          <w:rPr>
            <w:rStyle w:val="Hipervnculo"/>
            <w:rFonts w:ascii="Verdana" w:hAnsi="Verdana"/>
            <w:i/>
            <w:noProof/>
            <w:sz w:val="18"/>
            <w:szCs w:val="18"/>
            <w:lang w:val="en-US"/>
          </w:rPr>
          <w:t>1.</w:t>
        </w:r>
        <w:r w:rsidR="001A3B36" w:rsidRPr="00D869E3">
          <w:rPr>
            <w:rFonts w:ascii="Verdana" w:eastAsiaTheme="minorEastAsia" w:hAnsi="Verdana" w:cstheme="minorBidi"/>
            <w:noProof/>
            <w:sz w:val="18"/>
            <w:szCs w:val="18"/>
            <w:lang w:val="en-US"/>
          </w:rPr>
          <w:tab/>
        </w:r>
        <w:r w:rsidR="001A3B36" w:rsidRPr="00D869E3">
          <w:rPr>
            <w:rStyle w:val="Hipervnculo"/>
            <w:rFonts w:ascii="Verdana" w:hAnsi="Verdana"/>
            <w:i/>
            <w:noProof/>
            <w:sz w:val="18"/>
            <w:szCs w:val="18"/>
            <w:lang w:val="en-US"/>
          </w:rPr>
          <w:t>Pecuniary damage</w:t>
        </w:r>
        <w:r w:rsidR="001A3B36" w:rsidRPr="00D869E3">
          <w:rPr>
            <w:rFonts w:ascii="Verdana" w:hAnsi="Verdana"/>
            <w:noProof/>
            <w:webHidden/>
            <w:sz w:val="18"/>
            <w:szCs w:val="18"/>
          </w:rPr>
          <w:tab/>
        </w:r>
        <w:r w:rsidR="001A3B36" w:rsidRPr="00D869E3">
          <w:rPr>
            <w:rFonts w:ascii="Verdana" w:hAnsi="Verdana"/>
            <w:noProof/>
            <w:webHidden/>
            <w:sz w:val="18"/>
            <w:szCs w:val="18"/>
          </w:rPr>
          <w:fldChar w:fldCharType="begin"/>
        </w:r>
        <w:r w:rsidR="001A3B36" w:rsidRPr="00D869E3">
          <w:rPr>
            <w:rFonts w:ascii="Verdana" w:hAnsi="Verdana"/>
            <w:noProof/>
            <w:webHidden/>
            <w:sz w:val="18"/>
            <w:szCs w:val="18"/>
          </w:rPr>
          <w:instrText xml:space="preserve"> PAGEREF _Toc29114158 \h </w:instrText>
        </w:r>
        <w:r w:rsidR="001A3B36" w:rsidRPr="00D869E3">
          <w:rPr>
            <w:rFonts w:ascii="Verdana" w:hAnsi="Verdana"/>
            <w:noProof/>
            <w:webHidden/>
            <w:sz w:val="18"/>
            <w:szCs w:val="18"/>
          </w:rPr>
        </w:r>
        <w:r w:rsidR="001A3B36" w:rsidRPr="00D869E3">
          <w:rPr>
            <w:rFonts w:ascii="Verdana" w:hAnsi="Verdana"/>
            <w:noProof/>
            <w:webHidden/>
            <w:sz w:val="18"/>
            <w:szCs w:val="18"/>
          </w:rPr>
          <w:fldChar w:fldCharType="separate"/>
        </w:r>
        <w:r>
          <w:rPr>
            <w:rFonts w:ascii="Verdana" w:hAnsi="Verdana"/>
            <w:noProof/>
            <w:webHidden/>
            <w:sz w:val="18"/>
            <w:szCs w:val="18"/>
          </w:rPr>
          <w:t>62</w:t>
        </w:r>
        <w:r w:rsidR="001A3B36" w:rsidRPr="00D869E3">
          <w:rPr>
            <w:rFonts w:ascii="Verdana" w:hAnsi="Verdana"/>
            <w:noProof/>
            <w:webHidden/>
            <w:sz w:val="18"/>
            <w:szCs w:val="18"/>
          </w:rPr>
          <w:fldChar w:fldCharType="end"/>
        </w:r>
      </w:hyperlink>
    </w:p>
    <w:p w14:paraId="07475F1D" w14:textId="6CCF0C32" w:rsidR="001A3B36" w:rsidRPr="00D869E3" w:rsidRDefault="0068647C" w:rsidP="00BE5A9F">
      <w:pPr>
        <w:pStyle w:val="TDC3"/>
        <w:tabs>
          <w:tab w:val="clear" w:pos="8828"/>
          <w:tab w:val="right" w:leader="dot" w:pos="8820"/>
        </w:tabs>
        <w:rPr>
          <w:rFonts w:ascii="Verdana" w:eastAsiaTheme="minorEastAsia" w:hAnsi="Verdana" w:cstheme="minorBidi"/>
          <w:noProof/>
          <w:sz w:val="18"/>
          <w:szCs w:val="18"/>
          <w:lang w:val="en-US"/>
        </w:rPr>
      </w:pPr>
      <w:hyperlink w:anchor="_Toc29114159" w:history="1">
        <w:r w:rsidR="001A3B36" w:rsidRPr="00D869E3">
          <w:rPr>
            <w:rStyle w:val="Hipervnculo"/>
            <w:rFonts w:ascii="Verdana" w:hAnsi="Verdana"/>
            <w:i/>
            <w:noProof/>
            <w:sz w:val="18"/>
            <w:szCs w:val="18"/>
            <w:lang w:val="en-US"/>
          </w:rPr>
          <w:t>2.</w:t>
        </w:r>
        <w:r w:rsidR="001A3B36" w:rsidRPr="00D869E3">
          <w:rPr>
            <w:rFonts w:ascii="Verdana" w:eastAsiaTheme="minorEastAsia" w:hAnsi="Verdana" w:cstheme="minorBidi"/>
            <w:noProof/>
            <w:sz w:val="18"/>
            <w:szCs w:val="18"/>
            <w:lang w:val="en-US"/>
          </w:rPr>
          <w:tab/>
        </w:r>
        <w:r w:rsidR="001A3B36" w:rsidRPr="00D869E3">
          <w:rPr>
            <w:rStyle w:val="Hipervnculo"/>
            <w:rFonts w:ascii="Verdana" w:hAnsi="Verdana"/>
            <w:i/>
            <w:noProof/>
            <w:sz w:val="18"/>
            <w:szCs w:val="18"/>
            <w:lang w:val="en-US"/>
          </w:rPr>
          <w:t>Non-pecuniary damage</w:t>
        </w:r>
        <w:r w:rsidR="001A3B36" w:rsidRPr="00D869E3">
          <w:rPr>
            <w:rFonts w:ascii="Verdana" w:hAnsi="Verdana"/>
            <w:noProof/>
            <w:webHidden/>
            <w:sz w:val="18"/>
            <w:szCs w:val="18"/>
          </w:rPr>
          <w:tab/>
        </w:r>
        <w:r w:rsidR="001A3B36" w:rsidRPr="00D869E3">
          <w:rPr>
            <w:rFonts w:ascii="Verdana" w:hAnsi="Verdana"/>
            <w:noProof/>
            <w:webHidden/>
            <w:sz w:val="18"/>
            <w:szCs w:val="18"/>
          </w:rPr>
          <w:fldChar w:fldCharType="begin"/>
        </w:r>
        <w:r w:rsidR="001A3B36" w:rsidRPr="00D869E3">
          <w:rPr>
            <w:rFonts w:ascii="Verdana" w:hAnsi="Verdana"/>
            <w:noProof/>
            <w:webHidden/>
            <w:sz w:val="18"/>
            <w:szCs w:val="18"/>
          </w:rPr>
          <w:instrText xml:space="preserve"> PAGEREF _Toc29114159 \h </w:instrText>
        </w:r>
        <w:r w:rsidR="001A3B36" w:rsidRPr="00D869E3">
          <w:rPr>
            <w:rFonts w:ascii="Verdana" w:hAnsi="Verdana"/>
            <w:noProof/>
            <w:webHidden/>
            <w:sz w:val="18"/>
            <w:szCs w:val="18"/>
          </w:rPr>
        </w:r>
        <w:r w:rsidR="001A3B36" w:rsidRPr="00D869E3">
          <w:rPr>
            <w:rFonts w:ascii="Verdana" w:hAnsi="Verdana"/>
            <w:noProof/>
            <w:webHidden/>
            <w:sz w:val="18"/>
            <w:szCs w:val="18"/>
          </w:rPr>
          <w:fldChar w:fldCharType="separate"/>
        </w:r>
        <w:r>
          <w:rPr>
            <w:rFonts w:ascii="Verdana" w:hAnsi="Verdana"/>
            <w:noProof/>
            <w:webHidden/>
            <w:sz w:val="18"/>
            <w:szCs w:val="18"/>
          </w:rPr>
          <w:t>63</w:t>
        </w:r>
        <w:r w:rsidR="001A3B36" w:rsidRPr="00D869E3">
          <w:rPr>
            <w:rFonts w:ascii="Verdana" w:hAnsi="Verdana"/>
            <w:noProof/>
            <w:webHidden/>
            <w:sz w:val="18"/>
            <w:szCs w:val="18"/>
          </w:rPr>
          <w:fldChar w:fldCharType="end"/>
        </w:r>
      </w:hyperlink>
    </w:p>
    <w:p w14:paraId="5818A1BE" w14:textId="37C1BB85" w:rsidR="001A3B36" w:rsidRPr="00D869E3" w:rsidRDefault="0068647C" w:rsidP="00BE5A9F">
      <w:pPr>
        <w:pStyle w:val="TDC2"/>
        <w:tabs>
          <w:tab w:val="right" w:leader="dot" w:pos="8820"/>
        </w:tabs>
        <w:rPr>
          <w:rFonts w:ascii="Verdana" w:eastAsiaTheme="minorEastAsia" w:hAnsi="Verdana" w:cstheme="minorBidi"/>
          <w:noProof/>
          <w:sz w:val="18"/>
          <w:szCs w:val="18"/>
          <w:lang w:val="en-US"/>
        </w:rPr>
      </w:pPr>
      <w:hyperlink w:anchor="_Toc29114160" w:history="1">
        <w:r w:rsidR="001A3B36" w:rsidRPr="00D869E3">
          <w:rPr>
            <w:rStyle w:val="Hipervnculo"/>
            <w:rFonts w:ascii="Verdana" w:hAnsi="Verdana"/>
            <w:i/>
            <w:noProof/>
            <w:sz w:val="18"/>
            <w:szCs w:val="18"/>
            <w:lang w:val="en-US"/>
          </w:rPr>
          <w:t>E.</w:t>
        </w:r>
        <w:r w:rsidR="001A3B36" w:rsidRPr="00D869E3">
          <w:rPr>
            <w:rFonts w:ascii="Verdana" w:eastAsiaTheme="minorEastAsia" w:hAnsi="Verdana" w:cstheme="minorBidi"/>
            <w:noProof/>
            <w:sz w:val="18"/>
            <w:szCs w:val="18"/>
            <w:lang w:val="en-US"/>
          </w:rPr>
          <w:tab/>
        </w:r>
        <w:r w:rsidR="001A3B36" w:rsidRPr="00D869E3">
          <w:rPr>
            <w:rStyle w:val="Hipervnculo"/>
            <w:rFonts w:ascii="Verdana" w:hAnsi="Verdana"/>
            <w:i/>
            <w:noProof/>
            <w:sz w:val="18"/>
            <w:szCs w:val="18"/>
            <w:lang w:val="en-US"/>
          </w:rPr>
          <w:t>Costs and expenses</w:t>
        </w:r>
        <w:r w:rsidR="001A3B36" w:rsidRPr="00D869E3">
          <w:rPr>
            <w:rFonts w:ascii="Verdana" w:hAnsi="Verdana"/>
            <w:noProof/>
            <w:webHidden/>
            <w:sz w:val="18"/>
            <w:szCs w:val="18"/>
          </w:rPr>
          <w:tab/>
        </w:r>
        <w:r w:rsidR="001A3B36" w:rsidRPr="00D869E3">
          <w:rPr>
            <w:rFonts w:ascii="Verdana" w:hAnsi="Verdana"/>
            <w:noProof/>
            <w:webHidden/>
            <w:sz w:val="18"/>
            <w:szCs w:val="18"/>
          </w:rPr>
          <w:fldChar w:fldCharType="begin"/>
        </w:r>
        <w:r w:rsidR="001A3B36" w:rsidRPr="00D869E3">
          <w:rPr>
            <w:rFonts w:ascii="Verdana" w:hAnsi="Verdana"/>
            <w:noProof/>
            <w:webHidden/>
            <w:sz w:val="18"/>
            <w:szCs w:val="18"/>
          </w:rPr>
          <w:instrText xml:space="preserve"> PAGEREF _Toc29114160 \h </w:instrText>
        </w:r>
        <w:r w:rsidR="001A3B36" w:rsidRPr="00D869E3">
          <w:rPr>
            <w:rFonts w:ascii="Verdana" w:hAnsi="Verdana"/>
            <w:noProof/>
            <w:webHidden/>
            <w:sz w:val="18"/>
            <w:szCs w:val="18"/>
          </w:rPr>
        </w:r>
        <w:r w:rsidR="001A3B36" w:rsidRPr="00D869E3">
          <w:rPr>
            <w:rFonts w:ascii="Verdana" w:hAnsi="Verdana"/>
            <w:noProof/>
            <w:webHidden/>
            <w:sz w:val="18"/>
            <w:szCs w:val="18"/>
          </w:rPr>
          <w:fldChar w:fldCharType="separate"/>
        </w:r>
        <w:r>
          <w:rPr>
            <w:rFonts w:ascii="Verdana" w:hAnsi="Verdana"/>
            <w:noProof/>
            <w:webHidden/>
            <w:sz w:val="18"/>
            <w:szCs w:val="18"/>
          </w:rPr>
          <w:t>64</w:t>
        </w:r>
        <w:r w:rsidR="001A3B36" w:rsidRPr="00D869E3">
          <w:rPr>
            <w:rFonts w:ascii="Verdana" w:hAnsi="Verdana"/>
            <w:noProof/>
            <w:webHidden/>
            <w:sz w:val="18"/>
            <w:szCs w:val="18"/>
          </w:rPr>
          <w:fldChar w:fldCharType="end"/>
        </w:r>
      </w:hyperlink>
    </w:p>
    <w:p w14:paraId="4401D76E" w14:textId="2768E49C" w:rsidR="001A3B36" w:rsidRPr="00D869E3" w:rsidRDefault="0068647C" w:rsidP="00BE5A9F">
      <w:pPr>
        <w:pStyle w:val="TDC2"/>
        <w:tabs>
          <w:tab w:val="right" w:leader="dot" w:pos="8820"/>
        </w:tabs>
        <w:rPr>
          <w:rFonts w:ascii="Verdana" w:eastAsiaTheme="minorEastAsia" w:hAnsi="Verdana" w:cstheme="minorBidi"/>
          <w:noProof/>
          <w:sz w:val="18"/>
          <w:szCs w:val="18"/>
          <w:lang w:val="en-US"/>
        </w:rPr>
      </w:pPr>
      <w:hyperlink w:anchor="_Toc29114161" w:history="1">
        <w:r w:rsidR="001A3B36" w:rsidRPr="00D869E3">
          <w:rPr>
            <w:rStyle w:val="Hipervnculo"/>
            <w:rFonts w:ascii="Verdana" w:hAnsi="Verdana"/>
            <w:i/>
            <w:noProof/>
            <w:sz w:val="18"/>
            <w:szCs w:val="18"/>
            <w:lang w:val="en-US"/>
          </w:rPr>
          <w:t>F.</w:t>
        </w:r>
        <w:r w:rsidR="001A3B36" w:rsidRPr="00D869E3">
          <w:rPr>
            <w:rFonts w:ascii="Verdana" w:eastAsiaTheme="minorEastAsia" w:hAnsi="Verdana" w:cstheme="minorBidi"/>
            <w:noProof/>
            <w:sz w:val="18"/>
            <w:szCs w:val="18"/>
            <w:lang w:val="en-US"/>
          </w:rPr>
          <w:tab/>
        </w:r>
        <w:r w:rsidR="001A3B36" w:rsidRPr="00D869E3">
          <w:rPr>
            <w:rStyle w:val="Hipervnculo"/>
            <w:rFonts w:ascii="Verdana" w:hAnsi="Verdana"/>
            <w:i/>
            <w:noProof/>
            <w:sz w:val="18"/>
            <w:szCs w:val="18"/>
            <w:lang w:val="en-US"/>
          </w:rPr>
          <w:t>Reimbursement of expenditure to the Victims’ Legal Assistance Fund</w:t>
        </w:r>
        <w:r w:rsidR="001A3B36" w:rsidRPr="00D869E3">
          <w:rPr>
            <w:rFonts w:ascii="Verdana" w:hAnsi="Verdana"/>
            <w:noProof/>
            <w:webHidden/>
            <w:sz w:val="18"/>
            <w:szCs w:val="18"/>
          </w:rPr>
          <w:tab/>
        </w:r>
        <w:r w:rsidR="001A3B36" w:rsidRPr="00D869E3">
          <w:rPr>
            <w:rFonts w:ascii="Verdana" w:hAnsi="Verdana"/>
            <w:noProof/>
            <w:webHidden/>
            <w:sz w:val="18"/>
            <w:szCs w:val="18"/>
          </w:rPr>
          <w:fldChar w:fldCharType="begin"/>
        </w:r>
        <w:r w:rsidR="001A3B36" w:rsidRPr="00D869E3">
          <w:rPr>
            <w:rFonts w:ascii="Verdana" w:hAnsi="Verdana"/>
            <w:noProof/>
            <w:webHidden/>
            <w:sz w:val="18"/>
            <w:szCs w:val="18"/>
          </w:rPr>
          <w:instrText xml:space="preserve"> PAGEREF _Toc29114161 \h </w:instrText>
        </w:r>
        <w:r w:rsidR="001A3B36" w:rsidRPr="00D869E3">
          <w:rPr>
            <w:rFonts w:ascii="Verdana" w:hAnsi="Verdana"/>
            <w:noProof/>
            <w:webHidden/>
            <w:sz w:val="18"/>
            <w:szCs w:val="18"/>
          </w:rPr>
        </w:r>
        <w:r w:rsidR="001A3B36" w:rsidRPr="00D869E3">
          <w:rPr>
            <w:rFonts w:ascii="Verdana" w:hAnsi="Verdana"/>
            <w:noProof/>
            <w:webHidden/>
            <w:sz w:val="18"/>
            <w:szCs w:val="18"/>
          </w:rPr>
          <w:fldChar w:fldCharType="separate"/>
        </w:r>
        <w:r>
          <w:rPr>
            <w:rFonts w:ascii="Verdana" w:hAnsi="Verdana"/>
            <w:noProof/>
            <w:webHidden/>
            <w:sz w:val="18"/>
            <w:szCs w:val="18"/>
          </w:rPr>
          <w:t>65</w:t>
        </w:r>
        <w:r w:rsidR="001A3B36" w:rsidRPr="00D869E3">
          <w:rPr>
            <w:rFonts w:ascii="Verdana" w:hAnsi="Verdana"/>
            <w:noProof/>
            <w:webHidden/>
            <w:sz w:val="18"/>
            <w:szCs w:val="18"/>
          </w:rPr>
          <w:fldChar w:fldCharType="end"/>
        </w:r>
      </w:hyperlink>
    </w:p>
    <w:p w14:paraId="15B275E6" w14:textId="52C309B9" w:rsidR="001A3B36" w:rsidRPr="00D869E3" w:rsidRDefault="0068647C" w:rsidP="00BE5A9F">
      <w:pPr>
        <w:pStyle w:val="TDC2"/>
        <w:tabs>
          <w:tab w:val="right" w:leader="dot" w:pos="8820"/>
        </w:tabs>
        <w:rPr>
          <w:rFonts w:ascii="Verdana" w:eastAsiaTheme="minorEastAsia" w:hAnsi="Verdana" w:cstheme="minorBidi"/>
          <w:noProof/>
          <w:sz w:val="18"/>
          <w:szCs w:val="18"/>
          <w:lang w:val="en-US"/>
        </w:rPr>
      </w:pPr>
      <w:hyperlink w:anchor="_Toc29114162" w:history="1">
        <w:r w:rsidR="001A3B36" w:rsidRPr="00D869E3">
          <w:rPr>
            <w:rStyle w:val="Hipervnculo"/>
            <w:rFonts w:ascii="Verdana" w:hAnsi="Verdana"/>
            <w:i/>
            <w:noProof/>
            <w:sz w:val="18"/>
            <w:szCs w:val="18"/>
            <w:lang w:val="en-US"/>
          </w:rPr>
          <w:t>G.</w:t>
        </w:r>
        <w:r w:rsidR="001A3B36" w:rsidRPr="00D869E3">
          <w:rPr>
            <w:rFonts w:ascii="Verdana" w:eastAsiaTheme="minorEastAsia" w:hAnsi="Verdana" w:cstheme="minorBidi"/>
            <w:noProof/>
            <w:sz w:val="18"/>
            <w:szCs w:val="18"/>
            <w:lang w:val="en-US"/>
          </w:rPr>
          <w:tab/>
        </w:r>
        <w:r w:rsidR="001A3B36" w:rsidRPr="00D869E3">
          <w:rPr>
            <w:rStyle w:val="Hipervnculo"/>
            <w:rFonts w:ascii="Verdana" w:hAnsi="Verdana"/>
            <w:i/>
            <w:noProof/>
            <w:sz w:val="18"/>
            <w:szCs w:val="18"/>
            <w:lang w:val="en-US"/>
          </w:rPr>
          <w:t>Method of complying with the payments ordered</w:t>
        </w:r>
        <w:r w:rsidR="001A3B36" w:rsidRPr="00D869E3">
          <w:rPr>
            <w:rFonts w:ascii="Verdana" w:hAnsi="Verdana"/>
            <w:noProof/>
            <w:webHidden/>
            <w:sz w:val="18"/>
            <w:szCs w:val="18"/>
          </w:rPr>
          <w:tab/>
        </w:r>
        <w:r w:rsidR="001A3B36" w:rsidRPr="00D869E3">
          <w:rPr>
            <w:rFonts w:ascii="Verdana" w:hAnsi="Verdana"/>
            <w:noProof/>
            <w:webHidden/>
            <w:sz w:val="18"/>
            <w:szCs w:val="18"/>
          </w:rPr>
          <w:fldChar w:fldCharType="begin"/>
        </w:r>
        <w:r w:rsidR="001A3B36" w:rsidRPr="00D869E3">
          <w:rPr>
            <w:rFonts w:ascii="Verdana" w:hAnsi="Verdana"/>
            <w:noProof/>
            <w:webHidden/>
            <w:sz w:val="18"/>
            <w:szCs w:val="18"/>
          </w:rPr>
          <w:instrText xml:space="preserve"> PAGEREF _Toc29114162 \h </w:instrText>
        </w:r>
        <w:r w:rsidR="001A3B36" w:rsidRPr="00D869E3">
          <w:rPr>
            <w:rFonts w:ascii="Verdana" w:hAnsi="Verdana"/>
            <w:noProof/>
            <w:webHidden/>
            <w:sz w:val="18"/>
            <w:szCs w:val="18"/>
          </w:rPr>
        </w:r>
        <w:r w:rsidR="001A3B36" w:rsidRPr="00D869E3">
          <w:rPr>
            <w:rFonts w:ascii="Verdana" w:hAnsi="Verdana"/>
            <w:noProof/>
            <w:webHidden/>
            <w:sz w:val="18"/>
            <w:szCs w:val="18"/>
          </w:rPr>
          <w:fldChar w:fldCharType="separate"/>
        </w:r>
        <w:r>
          <w:rPr>
            <w:rFonts w:ascii="Verdana" w:hAnsi="Verdana"/>
            <w:noProof/>
            <w:webHidden/>
            <w:sz w:val="18"/>
            <w:szCs w:val="18"/>
          </w:rPr>
          <w:t>66</w:t>
        </w:r>
        <w:r w:rsidR="001A3B36" w:rsidRPr="00D869E3">
          <w:rPr>
            <w:rFonts w:ascii="Verdana" w:hAnsi="Verdana"/>
            <w:noProof/>
            <w:webHidden/>
            <w:sz w:val="18"/>
            <w:szCs w:val="18"/>
          </w:rPr>
          <w:fldChar w:fldCharType="end"/>
        </w:r>
      </w:hyperlink>
    </w:p>
    <w:p w14:paraId="7A61B159" w14:textId="2E201923" w:rsidR="001A3B36" w:rsidRPr="00D869E3" w:rsidRDefault="0068647C" w:rsidP="00BE5A9F">
      <w:pPr>
        <w:pStyle w:val="TDC1"/>
        <w:rPr>
          <w:rFonts w:eastAsiaTheme="minorEastAsia" w:cstheme="minorBidi"/>
          <w:snapToGrid/>
          <w:lang w:val="en-US"/>
        </w:rPr>
      </w:pPr>
      <w:hyperlink w:anchor="_Toc29114163" w:history="1">
        <w:r w:rsidR="001A3B36" w:rsidRPr="00D869E3">
          <w:rPr>
            <w:rStyle w:val="Hipervnculo"/>
            <w:rFonts w:cs="Verdana"/>
            <w:sz w:val="18"/>
            <w:szCs w:val="18"/>
            <w:lang w:val="en-US"/>
          </w:rPr>
          <w:t>IX OPERATIVE PARAGRAPHS</w:t>
        </w:r>
        <w:r w:rsidR="001A3B36" w:rsidRPr="00D869E3">
          <w:rPr>
            <w:webHidden/>
          </w:rPr>
          <w:tab/>
        </w:r>
        <w:r w:rsidR="001A3B36" w:rsidRPr="00D869E3">
          <w:rPr>
            <w:webHidden/>
          </w:rPr>
          <w:fldChar w:fldCharType="begin"/>
        </w:r>
        <w:r w:rsidR="001A3B36" w:rsidRPr="00D869E3">
          <w:rPr>
            <w:webHidden/>
          </w:rPr>
          <w:instrText xml:space="preserve"> PAGEREF _Toc29114163 \h </w:instrText>
        </w:r>
        <w:r w:rsidR="001A3B36" w:rsidRPr="00D869E3">
          <w:rPr>
            <w:webHidden/>
          </w:rPr>
        </w:r>
        <w:r w:rsidR="001A3B36" w:rsidRPr="00D869E3">
          <w:rPr>
            <w:webHidden/>
          </w:rPr>
          <w:fldChar w:fldCharType="separate"/>
        </w:r>
        <w:r>
          <w:rPr>
            <w:webHidden/>
          </w:rPr>
          <w:t>66</w:t>
        </w:r>
        <w:r w:rsidR="001A3B36" w:rsidRPr="00D869E3">
          <w:rPr>
            <w:webHidden/>
          </w:rPr>
          <w:fldChar w:fldCharType="end"/>
        </w:r>
      </w:hyperlink>
    </w:p>
    <w:p w14:paraId="10DD9766" w14:textId="13BEF210" w:rsidR="001A3B36" w:rsidRPr="00D869E3" w:rsidRDefault="0068647C" w:rsidP="00BE5A9F">
      <w:pPr>
        <w:pStyle w:val="TDC1"/>
        <w:rPr>
          <w:rFonts w:eastAsiaTheme="minorEastAsia" w:cstheme="minorBidi"/>
          <w:snapToGrid/>
          <w:lang w:val="en-US"/>
        </w:rPr>
      </w:pPr>
      <w:hyperlink w:anchor="_Toc29114164" w:history="1"/>
    </w:p>
    <w:p w14:paraId="16A8882A" w14:textId="7136F6F8" w:rsidR="00240326" w:rsidRPr="00D869E3" w:rsidRDefault="006F79F4" w:rsidP="00BE5A9F">
      <w:pPr>
        <w:tabs>
          <w:tab w:val="left" w:pos="0"/>
          <w:tab w:val="left" w:pos="8730"/>
          <w:tab w:val="right" w:leader="dot" w:pos="8789"/>
          <w:tab w:val="right" w:leader="dot" w:pos="8820"/>
          <w:tab w:val="left" w:pos="8931"/>
          <w:tab w:val="left" w:pos="9639"/>
          <w:tab w:val="right" w:leader="dot" w:pos="10065"/>
        </w:tabs>
        <w:ind w:right="815"/>
        <w:jc w:val="both"/>
        <w:rPr>
          <w:rFonts w:ascii="Verdana" w:hAnsi="Verdana" w:cs="Verdana"/>
          <w:b/>
          <w:caps/>
          <w:noProof/>
          <w:snapToGrid w:val="0"/>
          <w:sz w:val="18"/>
          <w:szCs w:val="18"/>
          <w:lang w:val="en-US"/>
        </w:rPr>
      </w:pPr>
      <w:r w:rsidRPr="00D869E3">
        <w:rPr>
          <w:rFonts w:ascii="Verdana" w:hAnsi="Verdana" w:cs="Verdana"/>
          <w:b/>
          <w:caps/>
          <w:noProof/>
          <w:snapToGrid w:val="0"/>
          <w:sz w:val="18"/>
          <w:szCs w:val="18"/>
          <w:lang w:val="en-US"/>
        </w:rPr>
        <w:fldChar w:fldCharType="end"/>
      </w:r>
    </w:p>
    <w:p w14:paraId="29E189B8" w14:textId="77777777" w:rsidR="00240326" w:rsidRPr="00D869E3" w:rsidRDefault="00240326" w:rsidP="00BE5A9F">
      <w:pPr>
        <w:tabs>
          <w:tab w:val="right" w:leader="dot" w:pos="8820"/>
        </w:tabs>
        <w:spacing w:after="200" w:line="276" w:lineRule="auto"/>
        <w:rPr>
          <w:rFonts w:ascii="Verdana" w:hAnsi="Verdana" w:cs="Verdana"/>
          <w:b/>
          <w:caps/>
          <w:noProof/>
          <w:snapToGrid w:val="0"/>
          <w:sz w:val="18"/>
          <w:szCs w:val="18"/>
          <w:lang w:val="en-US"/>
        </w:rPr>
      </w:pPr>
      <w:r w:rsidRPr="00D869E3">
        <w:rPr>
          <w:rFonts w:ascii="Verdana" w:hAnsi="Verdana" w:cs="Verdana"/>
          <w:b/>
          <w:caps/>
          <w:noProof/>
          <w:snapToGrid w:val="0"/>
          <w:sz w:val="18"/>
          <w:szCs w:val="18"/>
          <w:lang w:val="en-US"/>
        </w:rPr>
        <w:br w:type="page"/>
      </w:r>
    </w:p>
    <w:p w14:paraId="4744C2C7" w14:textId="6CAF0827" w:rsidR="006F79F4" w:rsidRPr="00D869E3" w:rsidRDefault="006F79F4" w:rsidP="006F79F4">
      <w:pPr>
        <w:pStyle w:val="Ttulo1"/>
        <w:tabs>
          <w:tab w:val="left" w:pos="851"/>
        </w:tabs>
        <w:spacing w:before="0"/>
        <w:jc w:val="center"/>
        <w:rPr>
          <w:rFonts w:cs="Verdana"/>
          <w:caps/>
          <w:snapToGrid w:val="0"/>
          <w:szCs w:val="20"/>
          <w:lang w:val="en-US"/>
        </w:rPr>
      </w:pPr>
      <w:bookmarkStart w:id="1" w:name="_Toc29114099"/>
      <w:r w:rsidRPr="00D869E3">
        <w:rPr>
          <w:rFonts w:cs="Verdana"/>
          <w:caps/>
          <w:snapToGrid w:val="0"/>
          <w:szCs w:val="20"/>
          <w:lang w:val="en-US"/>
        </w:rPr>
        <w:lastRenderedPageBreak/>
        <w:t>I</w:t>
      </w:r>
      <w:r w:rsidRPr="00D869E3">
        <w:rPr>
          <w:rFonts w:cs="Verdana"/>
          <w:caps/>
          <w:snapToGrid w:val="0"/>
          <w:szCs w:val="20"/>
          <w:lang w:val="en-US"/>
        </w:rPr>
        <w:br/>
      </w:r>
      <w:bookmarkEnd w:id="0"/>
      <w:r w:rsidR="00447C65" w:rsidRPr="00D869E3">
        <w:rPr>
          <w:rFonts w:cs="Verdana"/>
          <w:caps/>
          <w:snapToGrid w:val="0"/>
          <w:szCs w:val="20"/>
          <w:lang w:val="en-US"/>
        </w:rPr>
        <w:t>INTRODUCTION OF THE CASE AND PURPOSE OF THE DISPUTE</w:t>
      </w:r>
      <w:bookmarkEnd w:id="1"/>
    </w:p>
    <w:p w14:paraId="33F120F7" w14:textId="77777777" w:rsidR="006F79F4" w:rsidRPr="00D869E3" w:rsidRDefault="006F79F4" w:rsidP="006F79F4">
      <w:pPr>
        <w:jc w:val="both"/>
        <w:rPr>
          <w:rFonts w:ascii="Verdana" w:hAnsi="Verdana"/>
          <w:sz w:val="20"/>
          <w:szCs w:val="20"/>
          <w:lang w:val="en-US"/>
        </w:rPr>
      </w:pPr>
    </w:p>
    <w:p w14:paraId="5F084C35" w14:textId="73009747" w:rsidR="008C33CE" w:rsidRPr="00D869E3" w:rsidRDefault="00447C65" w:rsidP="00687684">
      <w:pPr>
        <w:pStyle w:val="Prrafodelista"/>
        <w:numPr>
          <w:ilvl w:val="0"/>
          <w:numId w:val="1"/>
        </w:numPr>
        <w:ind w:left="0" w:firstLine="0"/>
        <w:jc w:val="both"/>
        <w:rPr>
          <w:rFonts w:ascii="Verdana" w:hAnsi="Verdana"/>
          <w:sz w:val="20"/>
          <w:szCs w:val="20"/>
          <w:lang w:val="en-US"/>
        </w:rPr>
      </w:pPr>
      <w:r w:rsidRPr="00D869E3">
        <w:rPr>
          <w:rFonts w:ascii="Verdana" w:hAnsi="Verdana"/>
          <w:i/>
          <w:sz w:val="20"/>
          <w:szCs w:val="20"/>
          <w:lang w:val="en-US"/>
        </w:rPr>
        <w:t>The case submitted to the Court</w:t>
      </w:r>
      <w:r w:rsidR="006F79F4" w:rsidRPr="00D869E3">
        <w:rPr>
          <w:rFonts w:ascii="Verdana" w:hAnsi="Verdana"/>
          <w:sz w:val="20"/>
          <w:szCs w:val="20"/>
          <w:lang w:val="en-US"/>
        </w:rPr>
        <w:t xml:space="preserve">. </w:t>
      </w:r>
      <w:r w:rsidRPr="00D869E3">
        <w:rPr>
          <w:rFonts w:ascii="Verdana" w:hAnsi="Verdana"/>
          <w:sz w:val="20"/>
          <w:szCs w:val="20"/>
          <w:lang w:val="en-US"/>
        </w:rPr>
        <w:t>On November 28,</w:t>
      </w:r>
      <w:r w:rsidR="006F79F4" w:rsidRPr="00D869E3">
        <w:rPr>
          <w:rFonts w:ascii="Verdana" w:hAnsi="Verdana"/>
          <w:sz w:val="20"/>
          <w:szCs w:val="20"/>
          <w:lang w:val="en-US"/>
        </w:rPr>
        <w:t xml:space="preserve"> 2015</w:t>
      </w:r>
      <w:r w:rsidRPr="00D869E3">
        <w:rPr>
          <w:rFonts w:ascii="Verdana" w:hAnsi="Verdana"/>
          <w:sz w:val="20"/>
          <w:szCs w:val="20"/>
          <w:lang w:val="en-US"/>
        </w:rPr>
        <w:t>,</w:t>
      </w:r>
      <w:r w:rsidR="006F79F4" w:rsidRPr="00D869E3">
        <w:rPr>
          <w:rFonts w:ascii="Verdana" w:hAnsi="Verdana"/>
          <w:sz w:val="20"/>
          <w:szCs w:val="20"/>
          <w:lang w:val="en-US"/>
        </w:rPr>
        <w:t xml:space="preserve"> </w:t>
      </w:r>
      <w:r w:rsidRPr="00D869E3">
        <w:rPr>
          <w:rFonts w:ascii="Verdana" w:hAnsi="Verdana"/>
          <w:sz w:val="20"/>
          <w:szCs w:val="20"/>
          <w:lang w:val="en-US"/>
        </w:rPr>
        <w:t>the Inter-American Commission on Human Rights</w:t>
      </w:r>
      <w:r w:rsidR="006F79F4" w:rsidRPr="00D869E3">
        <w:rPr>
          <w:rFonts w:ascii="Verdana" w:hAnsi="Verdana"/>
          <w:sz w:val="20"/>
          <w:szCs w:val="20"/>
          <w:lang w:val="en-US"/>
        </w:rPr>
        <w:t xml:space="preserve"> (</w:t>
      </w:r>
      <w:r w:rsidRPr="00D869E3">
        <w:rPr>
          <w:rFonts w:ascii="Verdana" w:hAnsi="Verdana"/>
          <w:sz w:val="20"/>
          <w:szCs w:val="20"/>
          <w:lang w:val="en-US"/>
        </w:rPr>
        <w:t>hereinafter</w:t>
      </w:r>
      <w:r w:rsidR="006F79F4" w:rsidRPr="00D869E3">
        <w:rPr>
          <w:rFonts w:ascii="Verdana" w:hAnsi="Verdana"/>
          <w:sz w:val="20"/>
          <w:szCs w:val="20"/>
          <w:lang w:val="en-US"/>
        </w:rPr>
        <w:t xml:space="preserve"> </w:t>
      </w:r>
      <w:r w:rsidR="006436CA" w:rsidRPr="00D869E3">
        <w:rPr>
          <w:rFonts w:ascii="Verdana" w:hAnsi="Verdana"/>
          <w:sz w:val="20"/>
          <w:szCs w:val="20"/>
          <w:lang w:val="en-US"/>
        </w:rPr>
        <w:t>“</w:t>
      </w:r>
      <w:r w:rsidRPr="00D869E3">
        <w:rPr>
          <w:rFonts w:ascii="Verdana" w:hAnsi="Verdana"/>
          <w:sz w:val="20"/>
          <w:szCs w:val="20"/>
          <w:lang w:val="en-US"/>
        </w:rPr>
        <w:t>the Commission</w:t>
      </w:r>
      <w:r w:rsidR="0043442C" w:rsidRPr="00D869E3">
        <w:rPr>
          <w:rFonts w:ascii="Verdana" w:hAnsi="Verdana"/>
          <w:sz w:val="20"/>
          <w:szCs w:val="20"/>
          <w:lang w:val="en-US"/>
        </w:rPr>
        <w:t>,</w:t>
      </w:r>
      <w:r w:rsidR="006436CA" w:rsidRPr="00D869E3">
        <w:rPr>
          <w:rFonts w:ascii="Verdana" w:hAnsi="Verdana"/>
          <w:sz w:val="20"/>
          <w:szCs w:val="20"/>
          <w:lang w:val="en-US"/>
        </w:rPr>
        <w:t>”</w:t>
      </w:r>
      <w:r w:rsidR="006F79F4" w:rsidRPr="00D869E3">
        <w:rPr>
          <w:rFonts w:ascii="Verdana" w:hAnsi="Verdana"/>
          <w:sz w:val="20"/>
          <w:szCs w:val="20"/>
          <w:lang w:val="en-US"/>
        </w:rPr>
        <w:t xml:space="preserve"> </w:t>
      </w:r>
      <w:r w:rsidR="006436CA" w:rsidRPr="00D869E3">
        <w:rPr>
          <w:rFonts w:ascii="Verdana" w:hAnsi="Verdana"/>
          <w:sz w:val="20"/>
          <w:szCs w:val="20"/>
          <w:lang w:val="en-US"/>
        </w:rPr>
        <w:t>“</w:t>
      </w:r>
      <w:r w:rsidRPr="00D869E3">
        <w:rPr>
          <w:rFonts w:ascii="Verdana" w:hAnsi="Verdana"/>
          <w:sz w:val="20"/>
          <w:szCs w:val="20"/>
          <w:lang w:val="en-US"/>
        </w:rPr>
        <w:t>the Inter-American Commission</w:t>
      </w:r>
      <w:r w:rsidR="006436CA" w:rsidRPr="00D869E3">
        <w:rPr>
          <w:rFonts w:ascii="Verdana" w:hAnsi="Verdana"/>
          <w:sz w:val="20"/>
          <w:szCs w:val="20"/>
          <w:lang w:val="en-US"/>
        </w:rPr>
        <w:t>”</w:t>
      </w:r>
      <w:r w:rsidR="000909C0" w:rsidRPr="00D869E3">
        <w:rPr>
          <w:rFonts w:ascii="Verdana" w:hAnsi="Verdana"/>
          <w:sz w:val="20"/>
          <w:szCs w:val="20"/>
          <w:lang w:val="en-US"/>
        </w:rPr>
        <w:t xml:space="preserve"> o</w:t>
      </w:r>
      <w:r w:rsidR="00461EE2" w:rsidRPr="00D869E3">
        <w:rPr>
          <w:rFonts w:ascii="Verdana" w:hAnsi="Verdana"/>
          <w:sz w:val="20"/>
          <w:szCs w:val="20"/>
          <w:lang w:val="en-US"/>
        </w:rPr>
        <w:t xml:space="preserve">r </w:t>
      </w:r>
      <w:r w:rsidR="006436CA" w:rsidRPr="00D869E3">
        <w:rPr>
          <w:rFonts w:ascii="Verdana" w:hAnsi="Verdana"/>
          <w:sz w:val="20"/>
          <w:szCs w:val="20"/>
          <w:lang w:val="en-US"/>
        </w:rPr>
        <w:t>“</w:t>
      </w:r>
      <w:r w:rsidR="00461EE2" w:rsidRPr="00D869E3">
        <w:rPr>
          <w:rFonts w:ascii="Verdana" w:hAnsi="Verdana"/>
          <w:sz w:val="20"/>
          <w:szCs w:val="20"/>
          <w:lang w:val="en-US"/>
        </w:rPr>
        <w:t>the IACHR</w:t>
      </w:r>
      <w:r w:rsidR="006436CA" w:rsidRPr="00D869E3">
        <w:rPr>
          <w:rFonts w:ascii="Verdana" w:hAnsi="Verdana"/>
          <w:sz w:val="20"/>
          <w:szCs w:val="20"/>
          <w:lang w:val="en-US"/>
        </w:rPr>
        <w:t>”</w:t>
      </w:r>
      <w:r w:rsidR="006F79F4" w:rsidRPr="00D869E3">
        <w:rPr>
          <w:rFonts w:ascii="Verdana" w:hAnsi="Verdana"/>
          <w:sz w:val="20"/>
          <w:szCs w:val="20"/>
          <w:lang w:val="en-US"/>
        </w:rPr>
        <w:t xml:space="preserve">) </w:t>
      </w:r>
      <w:r w:rsidRPr="00D869E3">
        <w:rPr>
          <w:rFonts w:ascii="Verdana" w:hAnsi="Verdana"/>
          <w:sz w:val="20"/>
          <w:szCs w:val="20"/>
          <w:lang w:val="en-US"/>
        </w:rPr>
        <w:t>submitted the case of</w:t>
      </w:r>
      <w:r w:rsidR="006F79F4" w:rsidRPr="00D869E3">
        <w:rPr>
          <w:rFonts w:ascii="Verdana" w:hAnsi="Verdana"/>
          <w:sz w:val="20"/>
          <w:szCs w:val="20"/>
          <w:lang w:val="en-US"/>
        </w:rPr>
        <w:t xml:space="preserve"> </w:t>
      </w:r>
      <w:r w:rsidR="006F79F4" w:rsidRPr="00D869E3">
        <w:rPr>
          <w:rFonts w:ascii="Verdana" w:hAnsi="Verdana"/>
          <w:iCs/>
          <w:sz w:val="20"/>
          <w:szCs w:val="20"/>
          <w:lang w:val="en-US"/>
        </w:rPr>
        <w:t>Lagos del Campo</w:t>
      </w:r>
      <w:r w:rsidR="006F79F4" w:rsidRPr="00D869E3">
        <w:rPr>
          <w:rFonts w:ascii="Verdana" w:hAnsi="Verdana"/>
          <w:i/>
          <w:sz w:val="20"/>
          <w:szCs w:val="20"/>
          <w:lang w:val="en-US"/>
        </w:rPr>
        <w:t xml:space="preserve"> </w:t>
      </w:r>
      <w:r w:rsidRPr="00D869E3">
        <w:rPr>
          <w:rFonts w:ascii="Verdana" w:hAnsi="Verdana"/>
          <w:sz w:val="20"/>
          <w:szCs w:val="20"/>
          <w:lang w:val="en-US"/>
        </w:rPr>
        <w:t>versus the Republic of</w:t>
      </w:r>
      <w:r w:rsidR="006F79F4" w:rsidRPr="00D869E3">
        <w:rPr>
          <w:rFonts w:ascii="Verdana" w:hAnsi="Verdana"/>
          <w:sz w:val="20"/>
          <w:szCs w:val="20"/>
          <w:lang w:val="en-US"/>
        </w:rPr>
        <w:t xml:space="preserve"> </w:t>
      </w:r>
      <w:r w:rsidRPr="00D869E3">
        <w:rPr>
          <w:rFonts w:ascii="Verdana" w:hAnsi="Verdana"/>
          <w:sz w:val="20"/>
          <w:szCs w:val="20"/>
          <w:lang w:val="en-US"/>
        </w:rPr>
        <w:t>Peru</w:t>
      </w:r>
      <w:r w:rsidR="006F79F4" w:rsidRPr="00D869E3">
        <w:rPr>
          <w:rFonts w:ascii="Verdana" w:hAnsi="Verdana"/>
          <w:sz w:val="20"/>
          <w:szCs w:val="20"/>
          <w:lang w:val="en-US"/>
        </w:rPr>
        <w:t xml:space="preserve"> (</w:t>
      </w:r>
      <w:r w:rsidRPr="00D869E3">
        <w:rPr>
          <w:rFonts w:ascii="Verdana" w:hAnsi="Verdana"/>
          <w:sz w:val="20"/>
          <w:szCs w:val="20"/>
          <w:lang w:val="en-US"/>
        </w:rPr>
        <w:t>hereinafter</w:t>
      </w:r>
      <w:r w:rsidR="006F79F4" w:rsidRPr="00D869E3">
        <w:rPr>
          <w:rFonts w:ascii="Verdana" w:hAnsi="Verdana"/>
          <w:sz w:val="20"/>
          <w:szCs w:val="20"/>
          <w:lang w:val="en-US"/>
        </w:rPr>
        <w:t xml:space="preserve"> </w:t>
      </w:r>
      <w:r w:rsidR="006436CA" w:rsidRPr="00D869E3">
        <w:rPr>
          <w:rFonts w:ascii="Verdana" w:hAnsi="Verdana"/>
          <w:sz w:val="20"/>
          <w:szCs w:val="20"/>
          <w:lang w:val="en-US"/>
        </w:rPr>
        <w:t>“</w:t>
      </w:r>
      <w:r w:rsidRPr="00D869E3">
        <w:rPr>
          <w:rFonts w:ascii="Verdana" w:hAnsi="Verdana"/>
          <w:sz w:val="20"/>
          <w:szCs w:val="20"/>
          <w:lang w:val="en-US"/>
        </w:rPr>
        <w:t>the State</w:t>
      </w:r>
      <w:r w:rsidR="006436CA" w:rsidRPr="00D869E3">
        <w:rPr>
          <w:rFonts w:ascii="Verdana" w:hAnsi="Verdana"/>
          <w:sz w:val="20"/>
          <w:szCs w:val="20"/>
          <w:lang w:val="en-US"/>
        </w:rPr>
        <w:t>”</w:t>
      </w:r>
      <w:r w:rsidR="006F79F4" w:rsidRPr="00D869E3">
        <w:rPr>
          <w:rFonts w:ascii="Verdana" w:hAnsi="Verdana"/>
          <w:sz w:val="20"/>
          <w:szCs w:val="20"/>
          <w:lang w:val="en-US"/>
        </w:rPr>
        <w:t xml:space="preserve"> o</w:t>
      </w:r>
      <w:r w:rsidRPr="00D869E3">
        <w:rPr>
          <w:rFonts w:ascii="Verdana" w:hAnsi="Verdana"/>
          <w:sz w:val="20"/>
          <w:szCs w:val="20"/>
          <w:lang w:val="en-US"/>
        </w:rPr>
        <w:t>r</w:t>
      </w:r>
      <w:r w:rsidR="006F79F4" w:rsidRPr="00D869E3">
        <w:rPr>
          <w:rFonts w:ascii="Verdana" w:hAnsi="Verdana"/>
          <w:sz w:val="20"/>
          <w:szCs w:val="20"/>
          <w:lang w:val="en-US"/>
        </w:rPr>
        <w:t xml:space="preserve"> </w:t>
      </w:r>
      <w:r w:rsidR="006436CA" w:rsidRPr="00D869E3">
        <w:rPr>
          <w:rFonts w:ascii="Verdana" w:hAnsi="Verdana"/>
          <w:sz w:val="20"/>
          <w:szCs w:val="20"/>
          <w:lang w:val="en-US"/>
        </w:rPr>
        <w:t>“</w:t>
      </w:r>
      <w:r w:rsidRPr="00D869E3">
        <w:rPr>
          <w:rFonts w:ascii="Verdana" w:hAnsi="Verdana"/>
          <w:sz w:val="20"/>
          <w:szCs w:val="20"/>
          <w:lang w:val="en-US"/>
        </w:rPr>
        <w:t>Peru</w:t>
      </w:r>
      <w:r w:rsidR="006436CA" w:rsidRPr="00D869E3">
        <w:rPr>
          <w:rFonts w:ascii="Verdana" w:hAnsi="Verdana"/>
          <w:sz w:val="20"/>
          <w:szCs w:val="20"/>
          <w:lang w:val="en-US"/>
        </w:rPr>
        <w:t>”</w:t>
      </w:r>
      <w:r w:rsidR="006F79F4" w:rsidRPr="00D869E3">
        <w:rPr>
          <w:rFonts w:ascii="Verdana" w:hAnsi="Verdana"/>
          <w:sz w:val="20"/>
          <w:szCs w:val="20"/>
          <w:lang w:val="en-US"/>
        </w:rPr>
        <w:t xml:space="preserve">) </w:t>
      </w:r>
      <w:r w:rsidRPr="00D869E3">
        <w:rPr>
          <w:rFonts w:ascii="Verdana" w:hAnsi="Verdana"/>
          <w:sz w:val="20"/>
          <w:szCs w:val="20"/>
          <w:lang w:val="en-US"/>
        </w:rPr>
        <w:t>to the jurisdiction of the Inter-American Court</w:t>
      </w:r>
      <w:r w:rsidR="006F79F4" w:rsidRPr="00D869E3">
        <w:rPr>
          <w:rFonts w:ascii="Verdana" w:hAnsi="Verdana"/>
          <w:sz w:val="20"/>
          <w:szCs w:val="20"/>
          <w:lang w:val="en-US"/>
        </w:rPr>
        <w:t xml:space="preserve">. </w:t>
      </w:r>
      <w:r w:rsidRPr="00D869E3">
        <w:rPr>
          <w:rFonts w:ascii="Verdana" w:hAnsi="Verdana"/>
          <w:sz w:val="20"/>
          <w:szCs w:val="20"/>
          <w:lang w:val="en-US"/>
        </w:rPr>
        <w:t>According to the Commission</w:t>
      </w:r>
      <w:r w:rsidR="006F79F4" w:rsidRPr="00D869E3">
        <w:rPr>
          <w:rFonts w:ascii="Verdana" w:hAnsi="Verdana"/>
          <w:sz w:val="20"/>
          <w:szCs w:val="20"/>
          <w:lang w:val="en-US"/>
        </w:rPr>
        <w:t xml:space="preserve">, </w:t>
      </w:r>
      <w:r w:rsidR="00C3448E" w:rsidRPr="00D869E3">
        <w:rPr>
          <w:rFonts w:ascii="Verdana" w:hAnsi="Verdana"/>
          <w:sz w:val="20"/>
          <w:szCs w:val="20"/>
          <w:lang w:val="en-US"/>
        </w:rPr>
        <w:t xml:space="preserve">the case relates to the dismissal of </w:t>
      </w:r>
      <w:r w:rsidR="006F79F4" w:rsidRPr="00D869E3">
        <w:rPr>
          <w:rFonts w:ascii="Verdana" w:hAnsi="Verdana"/>
          <w:sz w:val="20"/>
          <w:szCs w:val="20"/>
          <w:lang w:val="en-US"/>
        </w:rPr>
        <w:t>Alfredo Lagos del Campo (</w:t>
      </w:r>
      <w:r w:rsidRPr="00D869E3">
        <w:rPr>
          <w:rFonts w:ascii="Verdana" w:hAnsi="Verdana"/>
          <w:sz w:val="20"/>
          <w:szCs w:val="20"/>
          <w:lang w:val="en-US"/>
        </w:rPr>
        <w:t>hereinafter</w:t>
      </w:r>
      <w:r w:rsidR="006F79F4" w:rsidRPr="00D869E3">
        <w:rPr>
          <w:rFonts w:ascii="Verdana" w:hAnsi="Verdana"/>
          <w:sz w:val="20"/>
          <w:szCs w:val="20"/>
          <w:lang w:val="en-US"/>
        </w:rPr>
        <w:t xml:space="preserve"> </w:t>
      </w:r>
      <w:r w:rsidR="006436CA" w:rsidRPr="00D869E3">
        <w:rPr>
          <w:rFonts w:ascii="Verdana" w:hAnsi="Verdana"/>
          <w:sz w:val="20"/>
          <w:szCs w:val="20"/>
          <w:lang w:val="en-US"/>
        </w:rPr>
        <w:t>“</w:t>
      </w:r>
      <w:r w:rsidR="0043442C" w:rsidRPr="00D869E3">
        <w:rPr>
          <w:rFonts w:ascii="Verdana" w:hAnsi="Verdana"/>
          <w:sz w:val="20"/>
          <w:szCs w:val="20"/>
          <w:lang w:val="en-US"/>
        </w:rPr>
        <w:t xml:space="preserve">Mr. </w:t>
      </w:r>
      <w:r w:rsidR="006F79F4" w:rsidRPr="00D869E3">
        <w:rPr>
          <w:rFonts w:ascii="Verdana" w:hAnsi="Verdana"/>
          <w:sz w:val="20"/>
          <w:szCs w:val="20"/>
          <w:lang w:val="en-US"/>
        </w:rPr>
        <w:t>Lagos del Campo</w:t>
      </w:r>
      <w:r w:rsidR="006436CA" w:rsidRPr="00D869E3">
        <w:rPr>
          <w:rFonts w:ascii="Verdana" w:hAnsi="Verdana"/>
          <w:sz w:val="20"/>
          <w:szCs w:val="20"/>
          <w:lang w:val="en-US"/>
        </w:rPr>
        <w:t>”</w:t>
      </w:r>
      <w:r w:rsidR="006F79F4" w:rsidRPr="00D869E3">
        <w:rPr>
          <w:rFonts w:ascii="Verdana" w:hAnsi="Verdana"/>
          <w:sz w:val="20"/>
          <w:szCs w:val="20"/>
          <w:lang w:val="en-US"/>
        </w:rPr>
        <w:t xml:space="preserve">) </w:t>
      </w:r>
      <w:r w:rsidR="00C3448E" w:rsidRPr="00D869E3">
        <w:rPr>
          <w:rFonts w:ascii="Verdana" w:hAnsi="Verdana"/>
          <w:sz w:val="20"/>
          <w:szCs w:val="20"/>
          <w:lang w:val="en-US"/>
        </w:rPr>
        <w:t>on June 26,</w:t>
      </w:r>
      <w:r w:rsidR="006F79F4" w:rsidRPr="00D869E3">
        <w:rPr>
          <w:rFonts w:ascii="Verdana" w:hAnsi="Verdana"/>
          <w:sz w:val="20"/>
          <w:szCs w:val="20"/>
          <w:lang w:val="en-US"/>
        </w:rPr>
        <w:t xml:space="preserve"> 1989</w:t>
      </w:r>
      <w:r w:rsidR="00C3448E" w:rsidRPr="00D869E3">
        <w:rPr>
          <w:rFonts w:ascii="Verdana" w:hAnsi="Verdana"/>
          <w:sz w:val="20"/>
          <w:szCs w:val="20"/>
          <w:lang w:val="en-US"/>
        </w:rPr>
        <w:t xml:space="preserve">, as a result of statements he made as </w:t>
      </w:r>
      <w:r w:rsidR="001B0492" w:rsidRPr="00D869E3">
        <w:rPr>
          <w:rFonts w:ascii="Verdana" w:hAnsi="Verdana"/>
          <w:sz w:val="20"/>
          <w:szCs w:val="20"/>
          <w:lang w:val="en-US"/>
        </w:rPr>
        <w:t>president of the Electoral</w:t>
      </w:r>
      <w:r w:rsidR="00C3448E" w:rsidRPr="00D869E3">
        <w:rPr>
          <w:rFonts w:ascii="Verdana" w:hAnsi="Verdana"/>
          <w:sz w:val="20"/>
          <w:szCs w:val="20"/>
          <w:lang w:val="en-US"/>
        </w:rPr>
        <w:t xml:space="preserve"> </w:t>
      </w:r>
      <w:r w:rsidR="0043442C" w:rsidRPr="00D869E3">
        <w:rPr>
          <w:rFonts w:ascii="Verdana" w:hAnsi="Verdana"/>
          <w:sz w:val="20"/>
          <w:szCs w:val="20"/>
          <w:lang w:val="en-US"/>
        </w:rPr>
        <w:t>C</w:t>
      </w:r>
      <w:r w:rsidR="00C3448E" w:rsidRPr="00D869E3">
        <w:rPr>
          <w:rFonts w:ascii="Verdana" w:hAnsi="Verdana"/>
          <w:sz w:val="20"/>
          <w:szCs w:val="20"/>
          <w:lang w:val="en-US"/>
        </w:rPr>
        <w:t xml:space="preserve">ommittee of the Industrial Community of the </w:t>
      </w:r>
      <w:r w:rsidR="006F79F4" w:rsidRPr="00D869E3">
        <w:rPr>
          <w:rFonts w:ascii="Verdana" w:hAnsi="Verdana"/>
          <w:sz w:val="20"/>
          <w:szCs w:val="20"/>
          <w:lang w:val="en-US"/>
        </w:rPr>
        <w:t>Ceper-Pirelli</w:t>
      </w:r>
      <w:r w:rsidR="00C3448E" w:rsidRPr="00D869E3">
        <w:rPr>
          <w:rFonts w:ascii="Verdana" w:hAnsi="Verdana"/>
          <w:sz w:val="20"/>
          <w:szCs w:val="20"/>
          <w:lang w:val="en-US"/>
        </w:rPr>
        <w:t xml:space="preserve"> company</w:t>
      </w:r>
      <w:r w:rsidR="006F79F4" w:rsidRPr="00D869E3">
        <w:rPr>
          <w:rFonts w:ascii="Verdana" w:hAnsi="Verdana"/>
          <w:sz w:val="20"/>
          <w:szCs w:val="20"/>
          <w:lang w:val="en-US"/>
        </w:rPr>
        <w:t xml:space="preserve">. </w:t>
      </w:r>
      <w:r w:rsidR="00C3448E" w:rsidRPr="00D869E3">
        <w:rPr>
          <w:rFonts w:ascii="Verdana" w:hAnsi="Verdana"/>
          <w:sz w:val="20"/>
          <w:szCs w:val="20"/>
          <w:lang w:val="en-US"/>
        </w:rPr>
        <w:t>According to</w:t>
      </w:r>
      <w:r w:rsidR="006F79F4" w:rsidRPr="00D869E3">
        <w:rPr>
          <w:rFonts w:ascii="Verdana" w:hAnsi="Verdana"/>
          <w:sz w:val="20"/>
          <w:szCs w:val="20"/>
          <w:lang w:val="en-US"/>
        </w:rPr>
        <w:t xml:space="preserve"> </w:t>
      </w:r>
      <w:r w:rsidRPr="00D869E3">
        <w:rPr>
          <w:rFonts w:ascii="Verdana" w:hAnsi="Verdana"/>
          <w:sz w:val="20"/>
          <w:szCs w:val="20"/>
          <w:lang w:val="en-US"/>
        </w:rPr>
        <w:t>the Commission</w:t>
      </w:r>
      <w:r w:rsidR="006F79F4" w:rsidRPr="00D869E3">
        <w:rPr>
          <w:rFonts w:ascii="Verdana" w:hAnsi="Verdana"/>
          <w:sz w:val="20"/>
          <w:szCs w:val="20"/>
          <w:lang w:val="en-US"/>
        </w:rPr>
        <w:t xml:space="preserve">, </w:t>
      </w:r>
      <w:r w:rsidR="00C3448E" w:rsidRPr="00D869E3">
        <w:rPr>
          <w:rFonts w:ascii="Verdana" w:hAnsi="Verdana"/>
          <w:sz w:val="20"/>
          <w:szCs w:val="20"/>
          <w:lang w:val="en-US"/>
        </w:rPr>
        <w:t xml:space="preserve">the purpose of the statements made by Mr. </w:t>
      </w:r>
      <w:r w:rsidR="006F79F4" w:rsidRPr="00D869E3">
        <w:rPr>
          <w:rFonts w:ascii="Verdana" w:hAnsi="Verdana"/>
          <w:sz w:val="20"/>
          <w:szCs w:val="20"/>
          <w:lang w:val="en-US"/>
        </w:rPr>
        <w:t xml:space="preserve">Lagos del Campo </w:t>
      </w:r>
      <w:r w:rsidR="00C3448E" w:rsidRPr="00D869E3">
        <w:rPr>
          <w:rFonts w:ascii="Verdana" w:hAnsi="Verdana"/>
          <w:sz w:val="20"/>
          <w:szCs w:val="20"/>
          <w:lang w:val="en-US"/>
        </w:rPr>
        <w:t xml:space="preserve">was to denounce and call attention to acts of undue interference by the employers in the life of the organizations that represented the company’s workers, and in the elections held within the Comunidad Industrial. The dismissal was confirmed by Peru’s domestic courts. Also, </w:t>
      </w:r>
      <w:r w:rsidR="006436CA" w:rsidRPr="00D869E3">
        <w:rPr>
          <w:rFonts w:ascii="Verdana" w:hAnsi="Verdana"/>
          <w:sz w:val="20"/>
          <w:szCs w:val="20"/>
          <w:lang w:val="en-US"/>
        </w:rPr>
        <w:t>“</w:t>
      </w:r>
      <w:r w:rsidR="00C3448E" w:rsidRPr="00D869E3">
        <w:rPr>
          <w:rFonts w:ascii="Verdana" w:hAnsi="Verdana"/>
          <w:sz w:val="20"/>
          <w:szCs w:val="20"/>
          <w:lang w:val="en-US"/>
        </w:rPr>
        <w:t>[t]he Commission determined that the dismissal of Mr. Lagos del Campo constituted</w:t>
      </w:r>
      <w:r w:rsidR="00687684" w:rsidRPr="00D869E3">
        <w:rPr>
          <w:rFonts w:ascii="Verdana" w:hAnsi="Verdana"/>
          <w:sz w:val="20"/>
          <w:szCs w:val="20"/>
          <w:lang w:val="en-US"/>
        </w:rPr>
        <w:t xml:space="preserve"> arbitrary interference</w:t>
      </w:r>
      <w:r w:rsidR="00C3448E" w:rsidRPr="00D869E3">
        <w:rPr>
          <w:rFonts w:ascii="Verdana" w:hAnsi="Verdana"/>
          <w:sz w:val="20"/>
          <w:szCs w:val="20"/>
          <w:lang w:val="en-US"/>
        </w:rPr>
        <w:t xml:space="preserve"> </w:t>
      </w:r>
      <w:r w:rsidR="00687684" w:rsidRPr="00D869E3">
        <w:rPr>
          <w:rFonts w:ascii="Verdana" w:hAnsi="Verdana"/>
          <w:sz w:val="20"/>
          <w:szCs w:val="20"/>
          <w:lang w:val="en-US"/>
        </w:rPr>
        <w:t xml:space="preserve">in the exercise of the right to freedom of expression […]. </w:t>
      </w:r>
      <w:r w:rsidRPr="00D869E3">
        <w:rPr>
          <w:rFonts w:ascii="Verdana" w:hAnsi="Verdana"/>
          <w:sz w:val="20"/>
          <w:szCs w:val="20"/>
          <w:lang w:val="en-US"/>
        </w:rPr>
        <w:t>The Commission</w:t>
      </w:r>
      <w:r w:rsidR="006F79F4" w:rsidRPr="00D869E3">
        <w:rPr>
          <w:rFonts w:ascii="Verdana" w:hAnsi="Verdana"/>
          <w:sz w:val="20"/>
          <w:szCs w:val="20"/>
          <w:lang w:val="en-US"/>
        </w:rPr>
        <w:t xml:space="preserve"> determin</w:t>
      </w:r>
      <w:r w:rsidR="00687684" w:rsidRPr="00D869E3">
        <w:rPr>
          <w:rFonts w:ascii="Verdana" w:hAnsi="Verdana"/>
          <w:sz w:val="20"/>
          <w:szCs w:val="20"/>
          <w:lang w:val="en-US"/>
        </w:rPr>
        <w:t>ed that the most severe punishment provided for by law was applied with significant effects on the [presumed] victim’s freedom of expression as a leader of workers and on the collective right of workers to receive information on matters that concern them.</w:t>
      </w:r>
      <w:r w:rsidR="006436CA" w:rsidRPr="00D869E3">
        <w:rPr>
          <w:rFonts w:ascii="Verdana" w:hAnsi="Verdana"/>
          <w:sz w:val="20"/>
          <w:szCs w:val="20"/>
          <w:lang w:val="en-US"/>
        </w:rPr>
        <w:t>”</w:t>
      </w:r>
      <w:r w:rsidR="00687684" w:rsidRPr="00D869E3">
        <w:rPr>
          <w:rFonts w:ascii="Verdana" w:hAnsi="Verdana"/>
          <w:sz w:val="20"/>
          <w:szCs w:val="20"/>
          <w:lang w:val="en-US"/>
        </w:rPr>
        <w:t xml:space="preserve"> Lastly, in its Merits Report, the Commission indicated that, in this case, it was necessary to determine whether the State had complied with its duty to guarantee</w:t>
      </w:r>
      <w:r w:rsidR="00D21668" w:rsidRPr="00D869E3">
        <w:rPr>
          <w:rFonts w:ascii="Verdana" w:hAnsi="Verdana"/>
          <w:sz w:val="20"/>
          <w:szCs w:val="20"/>
          <w:lang w:val="en-US"/>
        </w:rPr>
        <w:t xml:space="preserve"> </w:t>
      </w:r>
      <w:r w:rsidR="00687684" w:rsidRPr="00D869E3">
        <w:rPr>
          <w:rFonts w:ascii="Verdana" w:hAnsi="Verdana"/>
          <w:sz w:val="20"/>
          <w:szCs w:val="20"/>
          <w:lang w:val="en-US"/>
        </w:rPr>
        <w:t>the presumed victim’s rights in the context of labor relations, bearing in mind the scope of the rights recognized in</w:t>
      </w:r>
      <w:r w:rsidR="006F79F4" w:rsidRPr="00D869E3">
        <w:rPr>
          <w:rFonts w:ascii="Verdana" w:hAnsi="Verdana"/>
          <w:sz w:val="20"/>
          <w:szCs w:val="20"/>
          <w:lang w:val="en-US"/>
        </w:rPr>
        <w:t xml:space="preserve"> </w:t>
      </w:r>
      <w:r w:rsidRPr="00D869E3">
        <w:rPr>
          <w:rFonts w:ascii="Verdana" w:hAnsi="Verdana"/>
          <w:sz w:val="20"/>
          <w:szCs w:val="20"/>
          <w:lang w:val="en-US"/>
        </w:rPr>
        <w:t>the American Convention</w:t>
      </w:r>
      <w:r w:rsidR="006F79F4" w:rsidRPr="00D869E3">
        <w:rPr>
          <w:rFonts w:ascii="Verdana" w:hAnsi="Verdana"/>
          <w:sz w:val="20"/>
          <w:szCs w:val="20"/>
          <w:lang w:val="en-US"/>
        </w:rPr>
        <w:t>.</w:t>
      </w:r>
    </w:p>
    <w:p w14:paraId="4A7211FF" w14:textId="77777777" w:rsidR="006F79F4" w:rsidRPr="00D869E3" w:rsidRDefault="006F79F4" w:rsidP="00AF7637">
      <w:pPr>
        <w:pStyle w:val="Prrafodelista"/>
        <w:ind w:left="0"/>
        <w:jc w:val="both"/>
        <w:rPr>
          <w:rFonts w:ascii="Verdana" w:hAnsi="Verdana"/>
          <w:sz w:val="20"/>
          <w:szCs w:val="20"/>
          <w:lang w:val="en-US"/>
        </w:rPr>
      </w:pPr>
    </w:p>
    <w:p w14:paraId="686D96E8" w14:textId="79BF540E" w:rsidR="006F79F4" w:rsidRPr="00D869E3" w:rsidRDefault="00687684" w:rsidP="00BB61A6">
      <w:pPr>
        <w:pStyle w:val="Prrafodelista"/>
        <w:numPr>
          <w:ilvl w:val="0"/>
          <w:numId w:val="1"/>
        </w:numPr>
        <w:ind w:left="0" w:firstLine="0"/>
        <w:jc w:val="both"/>
        <w:rPr>
          <w:rFonts w:ascii="Verdana" w:hAnsi="Verdana"/>
          <w:i/>
          <w:sz w:val="20"/>
          <w:szCs w:val="20"/>
          <w:lang w:val="en-US"/>
        </w:rPr>
      </w:pPr>
      <w:r w:rsidRPr="00D869E3">
        <w:rPr>
          <w:rFonts w:ascii="Verdana" w:hAnsi="Verdana"/>
          <w:i/>
          <w:sz w:val="20"/>
          <w:szCs w:val="20"/>
          <w:lang w:val="en-US"/>
        </w:rPr>
        <w:t>Procedure before</w:t>
      </w:r>
      <w:r w:rsidR="006F79F4" w:rsidRPr="00D869E3">
        <w:rPr>
          <w:rFonts w:ascii="Verdana" w:hAnsi="Verdana"/>
          <w:i/>
          <w:sz w:val="20"/>
          <w:szCs w:val="20"/>
          <w:lang w:val="en-US"/>
        </w:rPr>
        <w:t xml:space="preserve"> </w:t>
      </w:r>
      <w:r w:rsidR="00447C65" w:rsidRPr="00D869E3">
        <w:rPr>
          <w:rFonts w:ascii="Verdana" w:hAnsi="Verdana"/>
          <w:i/>
          <w:sz w:val="20"/>
          <w:szCs w:val="20"/>
          <w:lang w:val="en-US"/>
        </w:rPr>
        <w:t>the Commission</w:t>
      </w:r>
      <w:r w:rsidR="006F79F4" w:rsidRPr="00D869E3">
        <w:rPr>
          <w:rFonts w:ascii="Verdana" w:hAnsi="Verdana"/>
          <w:sz w:val="20"/>
          <w:szCs w:val="20"/>
          <w:lang w:val="en-US"/>
        </w:rPr>
        <w:t xml:space="preserve">. </w:t>
      </w:r>
      <w:r w:rsidRPr="00D869E3">
        <w:rPr>
          <w:rFonts w:ascii="Verdana" w:hAnsi="Verdana"/>
          <w:sz w:val="20"/>
          <w:szCs w:val="20"/>
          <w:lang w:val="en-US"/>
        </w:rPr>
        <w:t xml:space="preserve">The procedure before </w:t>
      </w:r>
      <w:r w:rsidR="00447C65" w:rsidRPr="00D869E3">
        <w:rPr>
          <w:rFonts w:ascii="Verdana" w:hAnsi="Verdana"/>
          <w:sz w:val="20"/>
          <w:szCs w:val="20"/>
          <w:lang w:val="en-US"/>
        </w:rPr>
        <w:t>the Commission</w:t>
      </w:r>
      <w:r w:rsidR="006F79F4" w:rsidRPr="00D869E3">
        <w:rPr>
          <w:rFonts w:ascii="Verdana" w:hAnsi="Verdana"/>
          <w:sz w:val="20"/>
          <w:szCs w:val="20"/>
          <w:lang w:val="en-US"/>
        </w:rPr>
        <w:t xml:space="preserve"> </w:t>
      </w:r>
      <w:r w:rsidRPr="00D869E3">
        <w:rPr>
          <w:rFonts w:ascii="Verdana" w:hAnsi="Verdana"/>
          <w:sz w:val="20"/>
          <w:szCs w:val="20"/>
          <w:lang w:val="en-US"/>
        </w:rPr>
        <w:t xml:space="preserve">was as follows: </w:t>
      </w:r>
    </w:p>
    <w:p w14:paraId="3C088BC1" w14:textId="77777777" w:rsidR="00687684" w:rsidRPr="00D869E3" w:rsidRDefault="00687684" w:rsidP="00687684">
      <w:pPr>
        <w:pStyle w:val="Prrafodelista"/>
        <w:ind w:left="0"/>
        <w:jc w:val="both"/>
        <w:rPr>
          <w:rFonts w:ascii="Verdana" w:hAnsi="Verdana"/>
          <w:i/>
          <w:sz w:val="20"/>
          <w:szCs w:val="20"/>
          <w:lang w:val="en-US"/>
        </w:rPr>
      </w:pPr>
    </w:p>
    <w:p w14:paraId="4F433080" w14:textId="290D1B59" w:rsidR="006F79F4" w:rsidRPr="00D869E3" w:rsidRDefault="006F79F4" w:rsidP="00687684">
      <w:pPr>
        <w:pStyle w:val="Prrafodelista"/>
        <w:numPr>
          <w:ilvl w:val="0"/>
          <w:numId w:val="4"/>
        </w:numPr>
        <w:ind w:left="1066" w:hanging="357"/>
        <w:jc w:val="both"/>
        <w:rPr>
          <w:rFonts w:ascii="Verdana" w:hAnsi="Verdana"/>
          <w:sz w:val="18"/>
          <w:szCs w:val="18"/>
          <w:lang w:val="en-US"/>
        </w:rPr>
      </w:pPr>
      <w:r w:rsidRPr="00D869E3">
        <w:rPr>
          <w:rFonts w:ascii="Verdana" w:hAnsi="Verdana"/>
          <w:i/>
          <w:sz w:val="18"/>
          <w:szCs w:val="18"/>
          <w:lang w:val="en-US"/>
        </w:rPr>
        <w:t>Peti</w:t>
      </w:r>
      <w:r w:rsidR="00687684" w:rsidRPr="00D869E3">
        <w:rPr>
          <w:rFonts w:ascii="Verdana" w:hAnsi="Verdana"/>
          <w:i/>
          <w:sz w:val="18"/>
          <w:szCs w:val="18"/>
          <w:lang w:val="en-US"/>
        </w:rPr>
        <w:t>tio</w:t>
      </w:r>
      <w:r w:rsidRPr="00D869E3">
        <w:rPr>
          <w:rFonts w:ascii="Verdana" w:hAnsi="Verdana"/>
          <w:i/>
          <w:sz w:val="18"/>
          <w:szCs w:val="18"/>
          <w:lang w:val="en-US"/>
        </w:rPr>
        <w:t>n</w:t>
      </w:r>
      <w:r w:rsidRPr="00D869E3">
        <w:rPr>
          <w:rFonts w:ascii="Verdana" w:hAnsi="Verdana"/>
          <w:sz w:val="18"/>
          <w:szCs w:val="18"/>
          <w:lang w:val="en-US"/>
        </w:rPr>
        <w:t xml:space="preserve">. </w:t>
      </w:r>
      <w:r w:rsidR="00687684" w:rsidRPr="00D869E3">
        <w:rPr>
          <w:rFonts w:ascii="Verdana" w:hAnsi="Verdana"/>
          <w:sz w:val="18"/>
          <w:szCs w:val="18"/>
          <w:lang w:val="en-US"/>
        </w:rPr>
        <w:t>On</w:t>
      </w:r>
      <w:r w:rsidRPr="00D869E3">
        <w:rPr>
          <w:rFonts w:ascii="Verdana" w:hAnsi="Verdana"/>
          <w:sz w:val="18"/>
          <w:szCs w:val="18"/>
          <w:lang w:val="en-US"/>
        </w:rPr>
        <w:t xml:space="preserve"> </w:t>
      </w:r>
      <w:r w:rsidR="00687684" w:rsidRPr="00D869E3">
        <w:rPr>
          <w:rFonts w:ascii="Verdana" w:hAnsi="Verdana"/>
          <w:sz w:val="18"/>
          <w:szCs w:val="18"/>
          <w:lang w:val="en-US"/>
        </w:rPr>
        <w:t>August 5,</w:t>
      </w:r>
      <w:r w:rsidRPr="00D869E3">
        <w:rPr>
          <w:rFonts w:ascii="Verdana" w:hAnsi="Verdana"/>
          <w:sz w:val="18"/>
          <w:szCs w:val="18"/>
          <w:lang w:val="en-US"/>
        </w:rPr>
        <w:t xml:space="preserve"> 1998</w:t>
      </w:r>
      <w:r w:rsidR="00687684" w:rsidRPr="00D869E3">
        <w:rPr>
          <w:rFonts w:ascii="Verdana" w:hAnsi="Verdana"/>
          <w:sz w:val="18"/>
          <w:szCs w:val="18"/>
          <w:lang w:val="en-US"/>
        </w:rPr>
        <w:t>,</w:t>
      </w:r>
      <w:r w:rsidRPr="00D869E3">
        <w:rPr>
          <w:rFonts w:ascii="Verdana" w:hAnsi="Verdana"/>
          <w:sz w:val="18"/>
          <w:szCs w:val="18"/>
          <w:lang w:val="en-US"/>
        </w:rPr>
        <w:t xml:space="preserve"> </w:t>
      </w:r>
      <w:r w:rsidR="00447C65" w:rsidRPr="00D869E3">
        <w:rPr>
          <w:rFonts w:ascii="Verdana" w:hAnsi="Verdana"/>
          <w:sz w:val="18"/>
          <w:szCs w:val="18"/>
          <w:lang w:val="en-US"/>
        </w:rPr>
        <w:t>the Commission</w:t>
      </w:r>
      <w:r w:rsidRPr="00D869E3">
        <w:rPr>
          <w:rFonts w:ascii="Verdana" w:hAnsi="Verdana"/>
          <w:sz w:val="18"/>
          <w:szCs w:val="18"/>
          <w:lang w:val="en-US"/>
        </w:rPr>
        <w:t xml:space="preserve"> rec</w:t>
      </w:r>
      <w:r w:rsidR="00687684" w:rsidRPr="00D869E3">
        <w:rPr>
          <w:rFonts w:ascii="Verdana" w:hAnsi="Verdana"/>
          <w:sz w:val="18"/>
          <w:szCs w:val="18"/>
          <w:lang w:val="en-US"/>
        </w:rPr>
        <w:t>eived a petition lodged by the presumed victim</w:t>
      </w:r>
      <w:r w:rsidR="00D21668" w:rsidRPr="00D869E3">
        <w:rPr>
          <w:rFonts w:ascii="Verdana" w:hAnsi="Verdana"/>
          <w:sz w:val="18"/>
          <w:szCs w:val="18"/>
          <w:lang w:val="en-US"/>
        </w:rPr>
        <w:t>, Mr.</w:t>
      </w:r>
      <w:r w:rsidR="00687684" w:rsidRPr="00D869E3">
        <w:rPr>
          <w:rFonts w:ascii="Verdana" w:hAnsi="Verdana"/>
          <w:sz w:val="18"/>
          <w:szCs w:val="18"/>
          <w:lang w:val="en-US"/>
        </w:rPr>
        <w:t xml:space="preserve"> </w:t>
      </w:r>
      <w:r w:rsidRPr="00D869E3">
        <w:rPr>
          <w:rFonts w:ascii="Verdana" w:hAnsi="Verdana"/>
          <w:sz w:val="18"/>
          <w:szCs w:val="18"/>
          <w:lang w:val="en-US"/>
        </w:rPr>
        <w:t>Lagos del Campo</w:t>
      </w:r>
      <w:r w:rsidR="00D21668" w:rsidRPr="00D869E3">
        <w:rPr>
          <w:rFonts w:ascii="Verdana" w:hAnsi="Verdana"/>
          <w:sz w:val="18"/>
          <w:szCs w:val="18"/>
          <w:lang w:val="en-US"/>
        </w:rPr>
        <w:t>,</w:t>
      </w:r>
      <w:r w:rsidRPr="00D869E3">
        <w:rPr>
          <w:rFonts w:ascii="Verdana" w:hAnsi="Verdana"/>
          <w:sz w:val="18"/>
          <w:szCs w:val="18"/>
          <w:lang w:val="en-US"/>
        </w:rPr>
        <w:t xml:space="preserve"> </w:t>
      </w:r>
      <w:r w:rsidR="00687684" w:rsidRPr="00D869E3">
        <w:rPr>
          <w:rFonts w:ascii="Verdana" w:hAnsi="Verdana"/>
          <w:sz w:val="18"/>
          <w:szCs w:val="18"/>
          <w:lang w:val="en-US"/>
        </w:rPr>
        <w:t xml:space="preserve">in which he indicated that Peru was internationally responsible for failing to protect his right, as a labor leader, to express opinions in the context of an electoral labor dispute. Subsequently, the </w:t>
      </w:r>
      <w:r w:rsidRPr="00D869E3">
        <w:rPr>
          <w:rFonts w:ascii="Verdana" w:hAnsi="Verdana"/>
          <w:i/>
          <w:iCs/>
          <w:sz w:val="18"/>
          <w:szCs w:val="18"/>
          <w:lang w:val="en-US"/>
        </w:rPr>
        <w:t xml:space="preserve">Asociación Pro </w:t>
      </w:r>
      <w:r w:rsidR="00D21668" w:rsidRPr="00D869E3">
        <w:rPr>
          <w:rFonts w:ascii="Verdana" w:hAnsi="Verdana"/>
          <w:i/>
          <w:iCs/>
          <w:sz w:val="18"/>
          <w:szCs w:val="18"/>
          <w:lang w:val="en-US"/>
        </w:rPr>
        <w:t>Derechos Humanos</w:t>
      </w:r>
      <w:r w:rsidRPr="00D869E3">
        <w:rPr>
          <w:rFonts w:ascii="Verdana" w:hAnsi="Verdana"/>
          <w:sz w:val="18"/>
          <w:szCs w:val="18"/>
          <w:lang w:val="en-US"/>
        </w:rPr>
        <w:t xml:space="preserve"> </w:t>
      </w:r>
      <w:r w:rsidR="00687684" w:rsidRPr="00D869E3">
        <w:rPr>
          <w:rFonts w:ascii="Verdana" w:hAnsi="Verdana"/>
          <w:sz w:val="18"/>
          <w:szCs w:val="18"/>
          <w:lang w:val="en-US"/>
        </w:rPr>
        <w:t>(</w:t>
      </w:r>
      <w:r w:rsidRPr="00D869E3">
        <w:rPr>
          <w:rFonts w:ascii="Verdana" w:hAnsi="Verdana"/>
          <w:sz w:val="18"/>
          <w:szCs w:val="18"/>
          <w:lang w:val="en-US"/>
        </w:rPr>
        <w:t>APRODEH</w:t>
      </w:r>
      <w:r w:rsidR="00687684" w:rsidRPr="00D869E3">
        <w:rPr>
          <w:rFonts w:ascii="Verdana" w:hAnsi="Verdana"/>
          <w:sz w:val="18"/>
          <w:szCs w:val="18"/>
          <w:lang w:val="en-US"/>
        </w:rPr>
        <w:t>)</w:t>
      </w:r>
      <w:r w:rsidRPr="00D869E3">
        <w:rPr>
          <w:rFonts w:ascii="Verdana" w:hAnsi="Verdana"/>
          <w:sz w:val="18"/>
          <w:szCs w:val="18"/>
          <w:lang w:val="en-US"/>
        </w:rPr>
        <w:t xml:space="preserve"> (</w:t>
      </w:r>
      <w:r w:rsidR="00447C65" w:rsidRPr="00D869E3">
        <w:rPr>
          <w:rFonts w:ascii="Verdana" w:hAnsi="Verdana"/>
          <w:sz w:val="18"/>
          <w:szCs w:val="18"/>
          <w:lang w:val="en-US"/>
        </w:rPr>
        <w:t>hereinafter</w:t>
      </w:r>
      <w:r w:rsidRPr="00D869E3">
        <w:rPr>
          <w:rFonts w:ascii="Verdana" w:hAnsi="Verdana"/>
          <w:sz w:val="18"/>
          <w:szCs w:val="18"/>
          <w:lang w:val="en-US"/>
        </w:rPr>
        <w:t xml:space="preserve">, </w:t>
      </w:r>
      <w:r w:rsidR="006436CA" w:rsidRPr="00D869E3">
        <w:rPr>
          <w:rFonts w:ascii="Verdana" w:hAnsi="Verdana"/>
          <w:sz w:val="18"/>
          <w:szCs w:val="18"/>
          <w:lang w:val="en-US"/>
        </w:rPr>
        <w:t>“</w:t>
      </w:r>
      <w:r w:rsidR="00687684" w:rsidRPr="00D869E3">
        <w:rPr>
          <w:rFonts w:ascii="Verdana" w:hAnsi="Verdana"/>
          <w:sz w:val="18"/>
          <w:szCs w:val="18"/>
          <w:lang w:val="en-US"/>
        </w:rPr>
        <w:t>the petitioners</w:t>
      </w:r>
      <w:r w:rsidR="006436CA" w:rsidRPr="00D869E3">
        <w:rPr>
          <w:rFonts w:ascii="Verdana" w:hAnsi="Verdana"/>
          <w:sz w:val="18"/>
          <w:szCs w:val="18"/>
          <w:lang w:val="en-US"/>
        </w:rPr>
        <w:t>”</w:t>
      </w:r>
      <w:r w:rsidRPr="00D869E3">
        <w:rPr>
          <w:rFonts w:ascii="Verdana" w:hAnsi="Verdana"/>
          <w:sz w:val="18"/>
          <w:szCs w:val="18"/>
          <w:lang w:val="en-US"/>
        </w:rPr>
        <w:t xml:space="preserve">), </w:t>
      </w:r>
      <w:r w:rsidR="00687684" w:rsidRPr="00D869E3">
        <w:rPr>
          <w:rFonts w:ascii="Verdana" w:hAnsi="Verdana"/>
          <w:sz w:val="18"/>
          <w:szCs w:val="18"/>
          <w:lang w:val="en-US"/>
        </w:rPr>
        <w:t>became the representative of the presumed victim</w:t>
      </w:r>
      <w:r w:rsidRPr="00D869E3">
        <w:rPr>
          <w:rFonts w:ascii="Verdana" w:hAnsi="Verdana"/>
          <w:sz w:val="18"/>
          <w:szCs w:val="18"/>
          <w:lang w:val="en-US"/>
        </w:rPr>
        <w:t xml:space="preserve"> </w:t>
      </w:r>
      <w:r w:rsidR="00687684" w:rsidRPr="00D869E3">
        <w:rPr>
          <w:rFonts w:ascii="Verdana" w:hAnsi="Verdana"/>
          <w:sz w:val="18"/>
          <w:szCs w:val="18"/>
          <w:lang w:val="en-US"/>
        </w:rPr>
        <w:t>in the case.</w:t>
      </w:r>
    </w:p>
    <w:p w14:paraId="5FA87FC1" w14:textId="77777777" w:rsidR="006F79F4" w:rsidRPr="00D869E3" w:rsidRDefault="006F79F4" w:rsidP="00AF7637">
      <w:pPr>
        <w:jc w:val="both"/>
        <w:rPr>
          <w:rFonts w:ascii="Verdana" w:hAnsi="Verdana"/>
          <w:sz w:val="18"/>
          <w:szCs w:val="18"/>
          <w:lang w:val="en-US"/>
        </w:rPr>
      </w:pPr>
    </w:p>
    <w:p w14:paraId="5E3A0679" w14:textId="536383AD" w:rsidR="006F79F4" w:rsidRPr="00D869E3" w:rsidRDefault="00687684" w:rsidP="00E66DD7">
      <w:pPr>
        <w:pStyle w:val="Prrafodelista"/>
        <w:numPr>
          <w:ilvl w:val="0"/>
          <w:numId w:val="4"/>
        </w:numPr>
        <w:ind w:left="1066" w:hanging="357"/>
        <w:jc w:val="both"/>
        <w:rPr>
          <w:rFonts w:ascii="Verdana" w:hAnsi="Verdana"/>
          <w:sz w:val="18"/>
          <w:szCs w:val="18"/>
          <w:lang w:val="en-US"/>
        </w:rPr>
      </w:pPr>
      <w:r w:rsidRPr="00D869E3">
        <w:rPr>
          <w:rFonts w:ascii="Verdana" w:hAnsi="Verdana"/>
          <w:i/>
          <w:sz w:val="18"/>
          <w:szCs w:val="18"/>
          <w:lang w:val="en-US"/>
        </w:rPr>
        <w:t>Admissibility Report</w:t>
      </w:r>
      <w:r w:rsidR="006F79F4" w:rsidRPr="00D869E3">
        <w:rPr>
          <w:rFonts w:ascii="Verdana" w:hAnsi="Verdana"/>
          <w:i/>
          <w:sz w:val="18"/>
          <w:szCs w:val="18"/>
          <w:lang w:val="en-US"/>
        </w:rPr>
        <w:t>.</w:t>
      </w:r>
      <w:r w:rsidR="006F79F4" w:rsidRPr="00D869E3">
        <w:rPr>
          <w:rFonts w:ascii="Verdana" w:hAnsi="Verdana"/>
          <w:sz w:val="18"/>
          <w:szCs w:val="18"/>
          <w:lang w:val="en-US"/>
        </w:rPr>
        <w:t xml:space="preserve"> </w:t>
      </w:r>
      <w:r w:rsidRPr="00D869E3">
        <w:rPr>
          <w:rFonts w:ascii="Verdana" w:hAnsi="Verdana"/>
          <w:sz w:val="18"/>
          <w:szCs w:val="18"/>
          <w:lang w:val="en-US"/>
        </w:rPr>
        <w:t>On November 1,</w:t>
      </w:r>
      <w:r w:rsidR="006F79F4" w:rsidRPr="00D869E3">
        <w:rPr>
          <w:rFonts w:ascii="Verdana" w:hAnsi="Verdana"/>
          <w:sz w:val="18"/>
          <w:szCs w:val="18"/>
          <w:lang w:val="en-US"/>
        </w:rPr>
        <w:t xml:space="preserve"> 2010</w:t>
      </w:r>
      <w:r w:rsidRPr="00D869E3">
        <w:rPr>
          <w:rFonts w:ascii="Verdana" w:hAnsi="Verdana"/>
          <w:sz w:val="18"/>
          <w:szCs w:val="18"/>
          <w:lang w:val="en-US"/>
        </w:rPr>
        <w:t>,</w:t>
      </w:r>
      <w:r w:rsidR="006F79F4" w:rsidRPr="00D869E3">
        <w:rPr>
          <w:rFonts w:ascii="Verdana" w:hAnsi="Verdana"/>
          <w:sz w:val="18"/>
          <w:szCs w:val="18"/>
          <w:lang w:val="en-US"/>
        </w:rPr>
        <w:t xml:space="preserve"> </w:t>
      </w:r>
      <w:r w:rsidR="00447C65" w:rsidRPr="00D869E3">
        <w:rPr>
          <w:rFonts w:ascii="Verdana" w:hAnsi="Verdana"/>
          <w:sz w:val="18"/>
          <w:szCs w:val="18"/>
          <w:lang w:val="en-US"/>
        </w:rPr>
        <w:t>the Commission</w:t>
      </w:r>
      <w:r w:rsidR="006F79F4" w:rsidRPr="00D869E3">
        <w:rPr>
          <w:rFonts w:ascii="Verdana" w:hAnsi="Verdana"/>
          <w:sz w:val="18"/>
          <w:szCs w:val="18"/>
          <w:lang w:val="en-US"/>
        </w:rPr>
        <w:t xml:space="preserve"> </w:t>
      </w:r>
      <w:r w:rsidRPr="00D869E3">
        <w:rPr>
          <w:rFonts w:ascii="Verdana" w:hAnsi="Verdana"/>
          <w:sz w:val="18"/>
          <w:szCs w:val="18"/>
          <w:lang w:val="en-US"/>
        </w:rPr>
        <w:t>issued</w:t>
      </w:r>
      <w:r w:rsidR="006F79F4" w:rsidRPr="00D869E3">
        <w:rPr>
          <w:rFonts w:ascii="Verdana" w:hAnsi="Verdana"/>
          <w:sz w:val="18"/>
          <w:szCs w:val="18"/>
          <w:lang w:val="en-US"/>
        </w:rPr>
        <w:t xml:space="preserve"> </w:t>
      </w:r>
      <w:r w:rsidRPr="00D869E3">
        <w:rPr>
          <w:rFonts w:ascii="Verdana" w:hAnsi="Verdana"/>
          <w:sz w:val="18"/>
          <w:szCs w:val="18"/>
          <w:lang w:val="en-US"/>
        </w:rPr>
        <w:t>Admissibility Report</w:t>
      </w:r>
      <w:r w:rsidR="006F79F4" w:rsidRPr="00D869E3">
        <w:rPr>
          <w:rFonts w:ascii="Verdana" w:hAnsi="Verdana"/>
          <w:sz w:val="18"/>
          <w:szCs w:val="18"/>
          <w:lang w:val="en-US"/>
        </w:rPr>
        <w:t xml:space="preserve"> No. 152/10 (</w:t>
      </w:r>
      <w:r w:rsidR="00447C65" w:rsidRPr="00D869E3">
        <w:rPr>
          <w:rFonts w:ascii="Verdana" w:hAnsi="Verdana"/>
          <w:sz w:val="18"/>
          <w:szCs w:val="18"/>
          <w:lang w:val="en-US"/>
        </w:rPr>
        <w:t>hereinafter</w:t>
      </w:r>
      <w:r w:rsidR="006F79F4" w:rsidRPr="00D869E3">
        <w:rPr>
          <w:rFonts w:ascii="Verdana" w:hAnsi="Verdana"/>
          <w:sz w:val="18"/>
          <w:szCs w:val="18"/>
          <w:lang w:val="en-US"/>
        </w:rPr>
        <w:t xml:space="preserve"> </w:t>
      </w:r>
      <w:r w:rsidR="006436CA" w:rsidRPr="00D869E3">
        <w:rPr>
          <w:rFonts w:ascii="Verdana" w:hAnsi="Verdana"/>
          <w:sz w:val="18"/>
          <w:szCs w:val="18"/>
          <w:lang w:val="en-US"/>
        </w:rPr>
        <w:t>“</w:t>
      </w:r>
      <w:r w:rsidRPr="00D869E3">
        <w:rPr>
          <w:rFonts w:ascii="Verdana" w:hAnsi="Verdana"/>
          <w:sz w:val="18"/>
          <w:szCs w:val="18"/>
          <w:lang w:val="en-US"/>
        </w:rPr>
        <w:t>the Admissibility Report</w:t>
      </w:r>
      <w:r w:rsidR="006436CA" w:rsidRPr="00D869E3">
        <w:rPr>
          <w:rFonts w:ascii="Verdana" w:hAnsi="Verdana"/>
          <w:sz w:val="18"/>
          <w:szCs w:val="18"/>
          <w:lang w:val="en-US"/>
        </w:rPr>
        <w:t>”</w:t>
      </w:r>
      <w:r w:rsidR="006F79F4" w:rsidRPr="00D869E3">
        <w:rPr>
          <w:rFonts w:ascii="Verdana" w:hAnsi="Verdana"/>
          <w:sz w:val="18"/>
          <w:szCs w:val="18"/>
          <w:lang w:val="en-US"/>
        </w:rPr>
        <w:t xml:space="preserve">), </w:t>
      </w:r>
      <w:r w:rsidRPr="00D869E3">
        <w:rPr>
          <w:rFonts w:ascii="Verdana" w:hAnsi="Verdana"/>
          <w:sz w:val="18"/>
          <w:szCs w:val="18"/>
          <w:lang w:val="en-US"/>
        </w:rPr>
        <w:t xml:space="preserve">in which it concluded that the petition was admissible in relation to </w:t>
      </w:r>
      <w:r w:rsidR="00447C65" w:rsidRPr="00D869E3">
        <w:rPr>
          <w:rFonts w:ascii="Verdana" w:hAnsi="Verdana"/>
          <w:sz w:val="18"/>
          <w:szCs w:val="18"/>
          <w:lang w:val="en-US"/>
        </w:rPr>
        <w:t>Articles</w:t>
      </w:r>
      <w:r w:rsidR="006F79F4" w:rsidRPr="00D869E3">
        <w:rPr>
          <w:rFonts w:ascii="Verdana" w:hAnsi="Verdana"/>
          <w:sz w:val="18"/>
          <w:szCs w:val="18"/>
          <w:lang w:val="en-US"/>
        </w:rPr>
        <w:t xml:space="preserve"> 8</w:t>
      </w:r>
      <w:r w:rsidRPr="00D869E3">
        <w:rPr>
          <w:rFonts w:ascii="Verdana" w:hAnsi="Verdana"/>
          <w:sz w:val="18"/>
          <w:szCs w:val="18"/>
          <w:lang w:val="en-US"/>
        </w:rPr>
        <w:t xml:space="preserve"> and </w:t>
      </w:r>
      <w:r w:rsidR="006F79F4" w:rsidRPr="00D869E3">
        <w:rPr>
          <w:rFonts w:ascii="Verdana" w:hAnsi="Verdana"/>
          <w:sz w:val="18"/>
          <w:szCs w:val="18"/>
          <w:lang w:val="en-US"/>
        </w:rPr>
        <w:t>13</w:t>
      </w:r>
      <w:r w:rsidR="00447C65" w:rsidRPr="00D869E3">
        <w:rPr>
          <w:rFonts w:ascii="Verdana" w:hAnsi="Verdana"/>
          <w:sz w:val="18"/>
          <w:szCs w:val="18"/>
          <w:lang w:val="en-US"/>
        </w:rPr>
        <w:t xml:space="preserve"> of the American Convention</w:t>
      </w:r>
      <w:r w:rsidR="006F79F4" w:rsidRPr="00D869E3">
        <w:rPr>
          <w:rFonts w:ascii="Verdana" w:hAnsi="Verdana"/>
          <w:sz w:val="18"/>
          <w:szCs w:val="18"/>
          <w:lang w:val="en-US"/>
        </w:rPr>
        <w:t xml:space="preserve">, </w:t>
      </w:r>
      <w:r w:rsidRPr="00D869E3">
        <w:rPr>
          <w:rFonts w:ascii="Verdana" w:hAnsi="Verdana"/>
          <w:sz w:val="18"/>
          <w:szCs w:val="18"/>
          <w:lang w:val="en-US"/>
        </w:rPr>
        <w:t>in relation to</w:t>
      </w:r>
      <w:r w:rsidR="006F79F4" w:rsidRPr="00D869E3">
        <w:rPr>
          <w:rFonts w:ascii="Verdana" w:hAnsi="Verdana"/>
          <w:sz w:val="18"/>
          <w:szCs w:val="18"/>
          <w:lang w:val="en-US"/>
        </w:rPr>
        <w:t xml:space="preserve"> </w:t>
      </w:r>
      <w:r w:rsidRPr="00D869E3">
        <w:rPr>
          <w:rFonts w:ascii="Verdana" w:hAnsi="Verdana"/>
          <w:sz w:val="18"/>
          <w:szCs w:val="18"/>
          <w:lang w:val="en-US"/>
        </w:rPr>
        <w:t xml:space="preserve">Articles 1(1) and </w:t>
      </w:r>
      <w:r w:rsidR="006F79F4" w:rsidRPr="00D869E3">
        <w:rPr>
          <w:rFonts w:ascii="Verdana" w:hAnsi="Verdana"/>
          <w:sz w:val="18"/>
          <w:szCs w:val="18"/>
          <w:lang w:val="en-US"/>
        </w:rPr>
        <w:t xml:space="preserve">2 </w:t>
      </w:r>
      <w:r w:rsidRPr="00D869E3">
        <w:rPr>
          <w:rFonts w:ascii="Verdana" w:hAnsi="Verdana"/>
          <w:sz w:val="18"/>
          <w:szCs w:val="18"/>
          <w:lang w:val="en-US"/>
        </w:rPr>
        <w:t>of this instrument</w:t>
      </w:r>
      <w:r w:rsidR="006F79F4" w:rsidRPr="00D869E3">
        <w:rPr>
          <w:rFonts w:ascii="Verdana" w:hAnsi="Verdana"/>
          <w:sz w:val="18"/>
          <w:szCs w:val="18"/>
          <w:lang w:val="en-US"/>
        </w:rPr>
        <w:t xml:space="preserve">, </w:t>
      </w:r>
      <w:r w:rsidR="00D21668" w:rsidRPr="00D869E3">
        <w:rPr>
          <w:rFonts w:ascii="Verdana" w:hAnsi="Verdana"/>
          <w:sz w:val="18"/>
          <w:szCs w:val="18"/>
          <w:lang w:val="en-US"/>
        </w:rPr>
        <w:t>to the detriment of Mr.</w:t>
      </w:r>
      <w:r w:rsidR="006F79F4" w:rsidRPr="00D869E3">
        <w:rPr>
          <w:rFonts w:ascii="Verdana" w:hAnsi="Verdana"/>
          <w:sz w:val="18"/>
          <w:szCs w:val="18"/>
          <w:lang w:val="en-US"/>
        </w:rPr>
        <w:t xml:space="preserve"> Lagos del Campo. </w:t>
      </w:r>
      <w:r w:rsidR="00447C65" w:rsidRPr="00D869E3">
        <w:rPr>
          <w:rFonts w:ascii="Verdana" w:hAnsi="Verdana"/>
          <w:sz w:val="18"/>
          <w:szCs w:val="18"/>
          <w:lang w:val="en-US"/>
        </w:rPr>
        <w:t>The Commission</w:t>
      </w:r>
      <w:r w:rsidR="006F79F4" w:rsidRPr="00D869E3">
        <w:rPr>
          <w:rFonts w:ascii="Verdana" w:hAnsi="Verdana"/>
          <w:sz w:val="18"/>
          <w:szCs w:val="18"/>
          <w:lang w:val="en-US"/>
        </w:rPr>
        <w:t xml:space="preserve"> </w:t>
      </w:r>
      <w:r w:rsidRPr="00D869E3">
        <w:rPr>
          <w:rFonts w:ascii="Verdana" w:hAnsi="Verdana"/>
          <w:sz w:val="18"/>
          <w:szCs w:val="18"/>
          <w:lang w:val="en-US"/>
        </w:rPr>
        <w:t xml:space="preserve">also declared that the petition was inadmissible with regard to the possible violation of </w:t>
      </w:r>
      <w:r w:rsidR="00447C65" w:rsidRPr="00D869E3">
        <w:rPr>
          <w:rFonts w:ascii="Verdana" w:eastAsiaTheme="minorHAnsi" w:hAnsi="Verdana" w:cs="Arial"/>
          <w:sz w:val="18"/>
          <w:szCs w:val="18"/>
          <w:lang w:val="en-US"/>
        </w:rPr>
        <w:t>Articles</w:t>
      </w:r>
      <w:r w:rsidR="006F79F4" w:rsidRPr="00D869E3">
        <w:rPr>
          <w:rFonts w:ascii="Verdana" w:eastAsiaTheme="minorHAnsi" w:hAnsi="Verdana" w:cs="Arial"/>
          <w:sz w:val="18"/>
          <w:szCs w:val="18"/>
          <w:lang w:val="en-US"/>
        </w:rPr>
        <w:t xml:space="preserve"> 24</w:t>
      </w:r>
      <w:r w:rsidRPr="00D869E3">
        <w:rPr>
          <w:rFonts w:ascii="Verdana" w:eastAsiaTheme="minorHAnsi" w:hAnsi="Verdana" w:cs="Arial"/>
          <w:sz w:val="18"/>
          <w:szCs w:val="18"/>
          <w:lang w:val="en-US"/>
        </w:rPr>
        <w:t xml:space="preserve"> and </w:t>
      </w:r>
      <w:r w:rsidR="006F79F4" w:rsidRPr="00D869E3">
        <w:rPr>
          <w:rFonts w:ascii="Verdana" w:eastAsiaTheme="minorHAnsi" w:hAnsi="Verdana" w:cs="Arial"/>
          <w:sz w:val="18"/>
          <w:szCs w:val="18"/>
          <w:lang w:val="en-US"/>
        </w:rPr>
        <w:t>25</w:t>
      </w:r>
      <w:r w:rsidR="00447C65" w:rsidRPr="00D869E3">
        <w:rPr>
          <w:rFonts w:ascii="Verdana" w:eastAsiaTheme="minorHAnsi" w:hAnsi="Verdana" w:cs="Arial"/>
          <w:sz w:val="18"/>
          <w:szCs w:val="18"/>
          <w:lang w:val="en-US"/>
        </w:rPr>
        <w:t xml:space="preserve"> of the Convention</w:t>
      </w:r>
      <w:r w:rsidR="006F79F4" w:rsidRPr="00D869E3">
        <w:rPr>
          <w:rFonts w:ascii="Verdana" w:eastAsiaTheme="minorHAnsi" w:hAnsi="Verdana" w:cs="Arial"/>
          <w:sz w:val="18"/>
          <w:szCs w:val="18"/>
          <w:lang w:val="en-US"/>
        </w:rPr>
        <w:t>.</w:t>
      </w:r>
    </w:p>
    <w:p w14:paraId="7317375B" w14:textId="77777777" w:rsidR="006F79F4" w:rsidRPr="00D869E3" w:rsidRDefault="006F79F4" w:rsidP="00AF7637">
      <w:pPr>
        <w:pStyle w:val="Prrafodelista"/>
        <w:rPr>
          <w:rFonts w:ascii="Verdana" w:hAnsi="Verdana"/>
          <w:i/>
          <w:sz w:val="18"/>
          <w:szCs w:val="18"/>
          <w:lang w:val="en-US"/>
        </w:rPr>
      </w:pPr>
    </w:p>
    <w:p w14:paraId="5CB3915F" w14:textId="1EA00019" w:rsidR="006F79F4" w:rsidRPr="00D869E3" w:rsidRDefault="00687684" w:rsidP="00E66DD7">
      <w:pPr>
        <w:pStyle w:val="Prrafodelista"/>
        <w:numPr>
          <w:ilvl w:val="0"/>
          <w:numId w:val="4"/>
        </w:numPr>
        <w:ind w:left="1066" w:hanging="357"/>
        <w:jc w:val="both"/>
        <w:rPr>
          <w:rFonts w:ascii="Verdana" w:hAnsi="Verdana"/>
          <w:sz w:val="18"/>
          <w:szCs w:val="18"/>
          <w:lang w:val="en-US"/>
        </w:rPr>
      </w:pPr>
      <w:r w:rsidRPr="00D869E3">
        <w:rPr>
          <w:rFonts w:ascii="Verdana" w:hAnsi="Verdana"/>
          <w:i/>
          <w:sz w:val="18"/>
          <w:szCs w:val="18"/>
          <w:lang w:val="en-US"/>
        </w:rPr>
        <w:t>Merits Report</w:t>
      </w:r>
      <w:r w:rsidR="006F79F4" w:rsidRPr="00D869E3">
        <w:rPr>
          <w:rFonts w:ascii="Verdana" w:hAnsi="Verdana"/>
          <w:i/>
          <w:sz w:val="18"/>
          <w:szCs w:val="18"/>
          <w:lang w:val="en-US"/>
        </w:rPr>
        <w:t>.</w:t>
      </w:r>
      <w:r w:rsidR="006F79F4" w:rsidRPr="00D869E3">
        <w:rPr>
          <w:rFonts w:ascii="Verdana" w:hAnsi="Verdana"/>
          <w:sz w:val="18"/>
          <w:szCs w:val="18"/>
          <w:lang w:val="en-US"/>
        </w:rPr>
        <w:t xml:space="preserve"> </w:t>
      </w:r>
      <w:r w:rsidRPr="00D869E3">
        <w:rPr>
          <w:rFonts w:ascii="Verdana" w:hAnsi="Verdana"/>
          <w:sz w:val="18"/>
          <w:szCs w:val="18"/>
          <w:lang w:val="en-US"/>
        </w:rPr>
        <w:t>On</w:t>
      </w:r>
      <w:r w:rsidR="006F79F4" w:rsidRPr="00D869E3">
        <w:rPr>
          <w:rFonts w:ascii="Verdana" w:hAnsi="Verdana"/>
          <w:sz w:val="18"/>
          <w:szCs w:val="18"/>
          <w:lang w:val="en-US"/>
        </w:rPr>
        <w:t xml:space="preserve"> </w:t>
      </w:r>
      <w:r w:rsidRPr="00D869E3">
        <w:rPr>
          <w:rFonts w:ascii="Verdana" w:hAnsi="Verdana"/>
          <w:sz w:val="18"/>
          <w:szCs w:val="18"/>
          <w:lang w:val="en-US"/>
        </w:rPr>
        <w:t>July 21,</w:t>
      </w:r>
      <w:r w:rsidR="006F79F4" w:rsidRPr="00D869E3">
        <w:rPr>
          <w:rFonts w:ascii="Verdana" w:hAnsi="Verdana"/>
          <w:sz w:val="18"/>
          <w:szCs w:val="18"/>
          <w:lang w:val="en-US"/>
        </w:rPr>
        <w:t xml:space="preserve"> 2015</w:t>
      </w:r>
      <w:r w:rsidRPr="00D869E3">
        <w:rPr>
          <w:rFonts w:ascii="Verdana" w:hAnsi="Verdana"/>
          <w:sz w:val="18"/>
          <w:szCs w:val="18"/>
          <w:lang w:val="en-US"/>
        </w:rPr>
        <w:t>,</w:t>
      </w:r>
      <w:r w:rsidR="006F79F4" w:rsidRPr="00D869E3">
        <w:rPr>
          <w:rFonts w:ascii="Verdana" w:hAnsi="Verdana"/>
          <w:sz w:val="18"/>
          <w:szCs w:val="18"/>
          <w:lang w:val="en-US"/>
        </w:rPr>
        <w:t xml:space="preserve"> </w:t>
      </w:r>
      <w:r w:rsidR="00447C65" w:rsidRPr="00D869E3">
        <w:rPr>
          <w:rFonts w:ascii="Verdana" w:hAnsi="Verdana"/>
          <w:sz w:val="18"/>
          <w:szCs w:val="18"/>
          <w:lang w:val="en-US"/>
        </w:rPr>
        <w:t>the Commission</w:t>
      </w:r>
      <w:r w:rsidR="006F79F4" w:rsidRPr="00D869E3">
        <w:rPr>
          <w:rFonts w:ascii="Verdana" w:hAnsi="Verdana"/>
          <w:sz w:val="18"/>
          <w:szCs w:val="18"/>
          <w:lang w:val="en-US"/>
        </w:rPr>
        <w:t xml:space="preserve"> </w:t>
      </w:r>
      <w:r w:rsidRPr="00D869E3">
        <w:rPr>
          <w:rFonts w:ascii="Verdana" w:hAnsi="Verdana"/>
          <w:sz w:val="18"/>
          <w:szCs w:val="18"/>
          <w:lang w:val="en-US"/>
        </w:rPr>
        <w:t>a</w:t>
      </w:r>
      <w:r w:rsidR="00D21668" w:rsidRPr="00D869E3">
        <w:rPr>
          <w:rFonts w:ascii="Verdana" w:hAnsi="Verdana"/>
          <w:sz w:val="18"/>
          <w:szCs w:val="18"/>
          <w:lang w:val="en-US"/>
        </w:rPr>
        <w:t>dopted</w:t>
      </w:r>
      <w:r w:rsidR="006F79F4" w:rsidRPr="00D869E3">
        <w:rPr>
          <w:rFonts w:ascii="Verdana" w:hAnsi="Verdana"/>
          <w:sz w:val="18"/>
          <w:szCs w:val="18"/>
          <w:lang w:val="en-US"/>
        </w:rPr>
        <w:t xml:space="preserve"> </w:t>
      </w:r>
      <w:r w:rsidRPr="00D869E3">
        <w:rPr>
          <w:rFonts w:ascii="Verdana" w:hAnsi="Verdana"/>
          <w:sz w:val="18"/>
          <w:szCs w:val="18"/>
          <w:lang w:val="en-US"/>
        </w:rPr>
        <w:t>Merits Report</w:t>
      </w:r>
      <w:r w:rsidR="006F79F4" w:rsidRPr="00D869E3">
        <w:rPr>
          <w:rFonts w:ascii="Verdana" w:hAnsi="Verdana"/>
          <w:sz w:val="18"/>
          <w:szCs w:val="18"/>
          <w:lang w:val="en-US"/>
        </w:rPr>
        <w:t xml:space="preserve"> No. 27/15, </w:t>
      </w:r>
      <w:r w:rsidRPr="00D869E3">
        <w:rPr>
          <w:rFonts w:ascii="Verdana" w:hAnsi="Verdana"/>
          <w:sz w:val="18"/>
          <w:szCs w:val="18"/>
          <w:lang w:val="en-US"/>
        </w:rPr>
        <w:t>pursuant to</w:t>
      </w:r>
      <w:r w:rsidR="006F79F4" w:rsidRPr="00D869E3">
        <w:rPr>
          <w:rFonts w:ascii="Verdana" w:hAnsi="Verdana"/>
          <w:sz w:val="18"/>
          <w:szCs w:val="18"/>
          <w:lang w:val="en-US"/>
        </w:rPr>
        <w:t xml:space="preserve"> </w:t>
      </w:r>
      <w:r w:rsidRPr="00D869E3">
        <w:rPr>
          <w:rFonts w:ascii="Verdana" w:hAnsi="Verdana"/>
          <w:sz w:val="18"/>
          <w:szCs w:val="18"/>
          <w:lang w:val="en-US"/>
        </w:rPr>
        <w:t>Article</w:t>
      </w:r>
      <w:r w:rsidR="006F79F4" w:rsidRPr="00D869E3">
        <w:rPr>
          <w:rFonts w:ascii="Verdana" w:hAnsi="Verdana"/>
          <w:sz w:val="18"/>
          <w:szCs w:val="18"/>
          <w:lang w:val="en-US"/>
        </w:rPr>
        <w:t xml:space="preserve"> 50</w:t>
      </w:r>
      <w:r w:rsidR="00447C65" w:rsidRPr="00D869E3">
        <w:rPr>
          <w:rFonts w:ascii="Verdana" w:hAnsi="Verdana"/>
          <w:sz w:val="18"/>
          <w:szCs w:val="18"/>
          <w:lang w:val="en-US"/>
        </w:rPr>
        <w:t xml:space="preserve"> of the American Convention</w:t>
      </w:r>
      <w:r w:rsidR="006F79F4" w:rsidRPr="00D869E3">
        <w:rPr>
          <w:rFonts w:ascii="Verdana" w:hAnsi="Verdana"/>
          <w:sz w:val="18"/>
          <w:szCs w:val="18"/>
          <w:lang w:val="en-US"/>
        </w:rPr>
        <w:t xml:space="preserve"> (</w:t>
      </w:r>
      <w:r w:rsidR="00447C65" w:rsidRPr="00D869E3">
        <w:rPr>
          <w:rFonts w:ascii="Verdana" w:hAnsi="Verdana"/>
          <w:sz w:val="18"/>
          <w:szCs w:val="18"/>
          <w:lang w:val="en-US"/>
        </w:rPr>
        <w:t>hereinafter</w:t>
      </w:r>
      <w:r w:rsidR="006F79F4" w:rsidRPr="00D869E3">
        <w:rPr>
          <w:rFonts w:ascii="Verdana" w:hAnsi="Verdana"/>
          <w:sz w:val="18"/>
          <w:szCs w:val="18"/>
          <w:lang w:val="en-US"/>
        </w:rPr>
        <w:t xml:space="preserve"> </w:t>
      </w:r>
      <w:r w:rsidR="006436CA" w:rsidRPr="00D869E3">
        <w:rPr>
          <w:rFonts w:ascii="Verdana" w:hAnsi="Verdana"/>
          <w:sz w:val="18"/>
          <w:szCs w:val="18"/>
          <w:lang w:val="en-US"/>
        </w:rPr>
        <w:t>“</w:t>
      </w:r>
      <w:r w:rsidRPr="00D869E3">
        <w:rPr>
          <w:rFonts w:ascii="Verdana" w:hAnsi="Verdana"/>
          <w:sz w:val="18"/>
          <w:szCs w:val="18"/>
          <w:lang w:val="en-US"/>
        </w:rPr>
        <w:t>the Merits Report</w:t>
      </w:r>
      <w:r w:rsidR="006436CA" w:rsidRPr="00D869E3">
        <w:rPr>
          <w:rFonts w:ascii="Verdana" w:hAnsi="Verdana"/>
          <w:sz w:val="18"/>
          <w:szCs w:val="18"/>
          <w:lang w:val="en-US"/>
        </w:rPr>
        <w:t>”</w:t>
      </w:r>
      <w:r w:rsidR="006F79F4" w:rsidRPr="00D869E3">
        <w:rPr>
          <w:rFonts w:ascii="Verdana" w:hAnsi="Verdana"/>
          <w:sz w:val="18"/>
          <w:szCs w:val="18"/>
          <w:lang w:val="en-US"/>
        </w:rPr>
        <w:t xml:space="preserve"> o</w:t>
      </w:r>
      <w:r w:rsidRPr="00D869E3">
        <w:rPr>
          <w:rFonts w:ascii="Verdana" w:hAnsi="Verdana"/>
          <w:sz w:val="18"/>
          <w:szCs w:val="18"/>
          <w:lang w:val="en-US"/>
        </w:rPr>
        <w:t>r</w:t>
      </w:r>
      <w:r w:rsidR="006F79F4" w:rsidRPr="00D869E3">
        <w:rPr>
          <w:rFonts w:ascii="Verdana" w:hAnsi="Verdana"/>
          <w:sz w:val="18"/>
          <w:szCs w:val="18"/>
          <w:lang w:val="en-US"/>
        </w:rPr>
        <w:t xml:space="preserve"> </w:t>
      </w:r>
      <w:r w:rsidR="006436CA" w:rsidRPr="00D869E3">
        <w:rPr>
          <w:rFonts w:ascii="Verdana" w:hAnsi="Verdana"/>
          <w:sz w:val="18"/>
          <w:szCs w:val="18"/>
          <w:lang w:val="en-US"/>
        </w:rPr>
        <w:t>“</w:t>
      </w:r>
      <w:r w:rsidRPr="00D869E3">
        <w:rPr>
          <w:rFonts w:ascii="Verdana" w:hAnsi="Verdana"/>
          <w:sz w:val="18"/>
          <w:szCs w:val="18"/>
          <w:lang w:val="en-US"/>
        </w:rPr>
        <w:t>Report</w:t>
      </w:r>
      <w:r w:rsidR="006F79F4" w:rsidRPr="00D869E3">
        <w:rPr>
          <w:rFonts w:ascii="Verdana" w:hAnsi="Verdana"/>
          <w:sz w:val="18"/>
          <w:szCs w:val="18"/>
          <w:lang w:val="en-US"/>
        </w:rPr>
        <w:t xml:space="preserve"> 27/15</w:t>
      </w:r>
      <w:r w:rsidR="006436CA" w:rsidRPr="00D869E3">
        <w:rPr>
          <w:rFonts w:ascii="Verdana" w:hAnsi="Verdana"/>
          <w:sz w:val="18"/>
          <w:szCs w:val="18"/>
          <w:lang w:val="en-US"/>
        </w:rPr>
        <w:t>”</w:t>
      </w:r>
      <w:r w:rsidR="006F79F4" w:rsidRPr="00D869E3">
        <w:rPr>
          <w:rFonts w:ascii="Verdana" w:hAnsi="Verdana"/>
          <w:sz w:val="18"/>
          <w:szCs w:val="18"/>
          <w:lang w:val="en-US"/>
        </w:rPr>
        <w:t xml:space="preserve">), </w:t>
      </w:r>
      <w:r w:rsidRPr="00D869E3">
        <w:rPr>
          <w:rFonts w:ascii="Verdana" w:hAnsi="Verdana"/>
          <w:sz w:val="18"/>
          <w:szCs w:val="18"/>
          <w:lang w:val="en-US"/>
        </w:rPr>
        <w:t>in which it reached the following conclusion and made several recommendations to the State, as follows</w:t>
      </w:r>
      <w:r w:rsidR="006F79F4" w:rsidRPr="00D869E3">
        <w:rPr>
          <w:rFonts w:ascii="Verdana" w:hAnsi="Verdana"/>
          <w:sz w:val="18"/>
          <w:szCs w:val="18"/>
          <w:lang w:val="en-US"/>
        </w:rPr>
        <w:t>:</w:t>
      </w:r>
    </w:p>
    <w:p w14:paraId="6FDCD854" w14:textId="77777777" w:rsidR="006F79F4" w:rsidRPr="00D869E3" w:rsidRDefault="006F79F4" w:rsidP="00AF7637">
      <w:pPr>
        <w:ind w:left="708"/>
        <w:jc w:val="both"/>
        <w:rPr>
          <w:rFonts w:ascii="Verdana" w:hAnsi="Verdana"/>
          <w:sz w:val="18"/>
          <w:szCs w:val="18"/>
          <w:lang w:val="en-US"/>
        </w:rPr>
      </w:pPr>
    </w:p>
    <w:p w14:paraId="06640129" w14:textId="4D04639A" w:rsidR="006F79F4" w:rsidRPr="00D869E3" w:rsidRDefault="006F79F4" w:rsidP="00AF7637">
      <w:pPr>
        <w:ind w:left="348" w:firstLine="720"/>
        <w:jc w:val="both"/>
        <w:rPr>
          <w:rFonts w:ascii="Verdana" w:hAnsi="Verdana"/>
          <w:sz w:val="18"/>
          <w:szCs w:val="18"/>
          <w:lang w:val="en-US"/>
        </w:rPr>
      </w:pPr>
      <w:r w:rsidRPr="00D869E3">
        <w:rPr>
          <w:rFonts w:ascii="Verdana" w:hAnsi="Verdana"/>
          <w:sz w:val="18"/>
          <w:szCs w:val="18"/>
          <w:lang w:val="en-US"/>
        </w:rPr>
        <w:t>Conclusi</w:t>
      </w:r>
      <w:r w:rsidR="00687684" w:rsidRPr="00D869E3">
        <w:rPr>
          <w:rFonts w:ascii="Verdana" w:hAnsi="Verdana"/>
          <w:sz w:val="18"/>
          <w:szCs w:val="18"/>
          <w:lang w:val="en-US"/>
        </w:rPr>
        <w:t>o</w:t>
      </w:r>
      <w:r w:rsidRPr="00D869E3">
        <w:rPr>
          <w:rFonts w:ascii="Verdana" w:hAnsi="Verdana"/>
          <w:sz w:val="18"/>
          <w:szCs w:val="18"/>
          <w:lang w:val="en-US"/>
        </w:rPr>
        <w:t>n:</w:t>
      </w:r>
    </w:p>
    <w:p w14:paraId="458D31EC" w14:textId="77777777" w:rsidR="006F79F4" w:rsidRPr="00D869E3" w:rsidRDefault="006F79F4" w:rsidP="00AF7637">
      <w:pPr>
        <w:jc w:val="both"/>
        <w:rPr>
          <w:rFonts w:ascii="Verdana" w:hAnsi="Verdana"/>
          <w:sz w:val="18"/>
          <w:szCs w:val="18"/>
          <w:lang w:val="en-US"/>
        </w:rPr>
      </w:pPr>
    </w:p>
    <w:p w14:paraId="54C11522" w14:textId="4D3392BF" w:rsidR="006F79F4" w:rsidRPr="00D869E3" w:rsidRDefault="00447C65" w:rsidP="00E66DD7">
      <w:pPr>
        <w:pStyle w:val="Prrafodelista"/>
        <w:numPr>
          <w:ilvl w:val="0"/>
          <w:numId w:val="2"/>
        </w:numPr>
        <w:tabs>
          <w:tab w:val="left" w:pos="1418"/>
        </w:tabs>
        <w:ind w:left="1775" w:hanging="357"/>
        <w:jc w:val="both"/>
        <w:rPr>
          <w:rFonts w:ascii="Verdana" w:hAnsi="Verdana"/>
          <w:sz w:val="18"/>
          <w:szCs w:val="18"/>
          <w:lang w:val="en-US"/>
        </w:rPr>
      </w:pPr>
      <w:r w:rsidRPr="00D869E3">
        <w:rPr>
          <w:rFonts w:ascii="Verdana" w:hAnsi="Verdana"/>
          <w:sz w:val="18"/>
          <w:szCs w:val="18"/>
          <w:lang w:val="en-US"/>
        </w:rPr>
        <w:t>The State</w:t>
      </w:r>
      <w:r w:rsidR="006F79F4" w:rsidRPr="00D869E3">
        <w:rPr>
          <w:rFonts w:ascii="Verdana" w:hAnsi="Verdana"/>
          <w:sz w:val="18"/>
          <w:szCs w:val="18"/>
          <w:lang w:val="en-US"/>
        </w:rPr>
        <w:t xml:space="preserve"> </w:t>
      </w:r>
      <w:r w:rsidR="00687684" w:rsidRPr="00D869E3">
        <w:rPr>
          <w:rFonts w:ascii="Verdana" w:hAnsi="Verdana"/>
          <w:sz w:val="18"/>
          <w:szCs w:val="18"/>
          <w:lang w:val="en-US"/>
        </w:rPr>
        <w:t>is</w:t>
      </w:r>
      <w:r w:rsidR="006F79F4" w:rsidRPr="00D869E3">
        <w:rPr>
          <w:rFonts w:ascii="Verdana" w:hAnsi="Verdana"/>
          <w:sz w:val="18"/>
          <w:szCs w:val="18"/>
          <w:lang w:val="en-US"/>
        </w:rPr>
        <w:t xml:space="preserve"> respons</w:t>
      </w:r>
      <w:r w:rsidR="00687684" w:rsidRPr="00D869E3">
        <w:rPr>
          <w:rFonts w:ascii="Verdana" w:hAnsi="Verdana"/>
          <w:sz w:val="18"/>
          <w:szCs w:val="18"/>
          <w:lang w:val="en-US"/>
        </w:rPr>
        <w:t>i</w:t>
      </w:r>
      <w:r w:rsidR="006F79F4" w:rsidRPr="00D869E3">
        <w:rPr>
          <w:rFonts w:ascii="Verdana" w:hAnsi="Verdana"/>
          <w:sz w:val="18"/>
          <w:szCs w:val="18"/>
          <w:lang w:val="en-US"/>
        </w:rPr>
        <w:t xml:space="preserve">ble </w:t>
      </w:r>
      <w:r w:rsidR="00687684" w:rsidRPr="00D869E3">
        <w:rPr>
          <w:rFonts w:ascii="Verdana" w:hAnsi="Verdana"/>
          <w:sz w:val="18"/>
          <w:szCs w:val="18"/>
          <w:lang w:val="en-US"/>
        </w:rPr>
        <w:t>for the violation of the right</w:t>
      </w:r>
      <w:r w:rsidR="00D21668" w:rsidRPr="00D869E3">
        <w:rPr>
          <w:rFonts w:ascii="Verdana" w:hAnsi="Verdana"/>
          <w:sz w:val="18"/>
          <w:szCs w:val="18"/>
          <w:lang w:val="en-US"/>
        </w:rPr>
        <w:t>s</w:t>
      </w:r>
      <w:r w:rsidR="00687684" w:rsidRPr="00D869E3">
        <w:rPr>
          <w:rFonts w:ascii="Verdana" w:hAnsi="Verdana"/>
          <w:sz w:val="18"/>
          <w:szCs w:val="18"/>
          <w:lang w:val="en-US"/>
        </w:rPr>
        <w:t xml:space="preserve"> to a fair trial and to freedom of expression </w:t>
      </w:r>
      <w:r w:rsidR="00D21668" w:rsidRPr="00D869E3">
        <w:rPr>
          <w:rFonts w:ascii="Verdana" w:hAnsi="Verdana"/>
          <w:sz w:val="18"/>
          <w:szCs w:val="18"/>
          <w:lang w:val="en-US"/>
        </w:rPr>
        <w:t>pursuant to</w:t>
      </w:r>
      <w:r w:rsidR="00687684" w:rsidRPr="00D869E3">
        <w:rPr>
          <w:rFonts w:ascii="Verdana" w:hAnsi="Verdana"/>
          <w:sz w:val="18"/>
          <w:szCs w:val="18"/>
          <w:lang w:val="en-US"/>
        </w:rPr>
        <w:t xml:space="preserve"> </w:t>
      </w:r>
      <w:r w:rsidRPr="00D869E3">
        <w:rPr>
          <w:rFonts w:ascii="Verdana" w:hAnsi="Verdana"/>
          <w:sz w:val="18"/>
          <w:szCs w:val="18"/>
          <w:lang w:val="en-US"/>
        </w:rPr>
        <w:t>Articles</w:t>
      </w:r>
      <w:r w:rsidR="006F79F4" w:rsidRPr="00D869E3">
        <w:rPr>
          <w:rFonts w:ascii="Verdana" w:hAnsi="Verdana"/>
          <w:sz w:val="18"/>
          <w:szCs w:val="18"/>
          <w:lang w:val="en-US"/>
        </w:rPr>
        <w:t xml:space="preserve"> </w:t>
      </w:r>
      <w:r w:rsidR="00687684" w:rsidRPr="00D869E3">
        <w:rPr>
          <w:rFonts w:ascii="Verdana" w:hAnsi="Verdana"/>
          <w:sz w:val="18"/>
          <w:szCs w:val="18"/>
          <w:lang w:val="en-US"/>
        </w:rPr>
        <w:t xml:space="preserve">8(1) and </w:t>
      </w:r>
      <w:r w:rsidR="006F79F4" w:rsidRPr="00D869E3">
        <w:rPr>
          <w:rFonts w:ascii="Verdana" w:hAnsi="Verdana"/>
          <w:sz w:val="18"/>
          <w:szCs w:val="18"/>
          <w:lang w:val="en-US"/>
        </w:rPr>
        <w:t>13</w:t>
      </w:r>
      <w:r w:rsidRPr="00D869E3">
        <w:rPr>
          <w:rFonts w:ascii="Verdana" w:hAnsi="Verdana"/>
          <w:sz w:val="18"/>
          <w:szCs w:val="18"/>
          <w:lang w:val="en-US"/>
        </w:rPr>
        <w:t xml:space="preserve"> of the American Convention</w:t>
      </w:r>
      <w:r w:rsidR="006F79F4" w:rsidRPr="00D869E3">
        <w:rPr>
          <w:rFonts w:ascii="Verdana" w:hAnsi="Verdana"/>
          <w:sz w:val="18"/>
          <w:szCs w:val="18"/>
          <w:lang w:val="en-US"/>
        </w:rPr>
        <w:t xml:space="preserve"> </w:t>
      </w:r>
      <w:r w:rsidR="00687684" w:rsidRPr="00D869E3">
        <w:rPr>
          <w:rFonts w:ascii="Verdana" w:hAnsi="Verdana"/>
          <w:sz w:val="18"/>
          <w:szCs w:val="18"/>
          <w:lang w:val="en-US"/>
        </w:rPr>
        <w:t>in relation to</w:t>
      </w:r>
      <w:r w:rsidR="006F79F4" w:rsidRPr="00D869E3">
        <w:rPr>
          <w:rFonts w:ascii="Verdana" w:hAnsi="Verdana"/>
          <w:sz w:val="18"/>
          <w:szCs w:val="18"/>
          <w:lang w:val="en-US"/>
        </w:rPr>
        <w:t xml:space="preserve"> </w:t>
      </w:r>
      <w:r w:rsidR="00687684" w:rsidRPr="00D869E3">
        <w:rPr>
          <w:rFonts w:ascii="Verdana" w:hAnsi="Verdana"/>
          <w:sz w:val="18"/>
          <w:szCs w:val="18"/>
          <w:lang w:val="en-US"/>
        </w:rPr>
        <w:t>Articles 1(1)</w:t>
      </w:r>
      <w:r w:rsidR="006F79F4" w:rsidRPr="00D869E3">
        <w:rPr>
          <w:rFonts w:ascii="Verdana" w:hAnsi="Verdana"/>
          <w:sz w:val="18"/>
          <w:szCs w:val="18"/>
          <w:lang w:val="en-US"/>
        </w:rPr>
        <w:t>, 2</w:t>
      </w:r>
      <w:r w:rsidR="00687684" w:rsidRPr="00D869E3">
        <w:rPr>
          <w:rFonts w:ascii="Verdana" w:hAnsi="Verdana"/>
          <w:sz w:val="18"/>
          <w:szCs w:val="18"/>
          <w:lang w:val="en-US"/>
        </w:rPr>
        <w:t xml:space="preserve"> and 16(1)</w:t>
      </w:r>
      <w:r w:rsidR="006F79F4" w:rsidRPr="00D869E3">
        <w:rPr>
          <w:rFonts w:ascii="Verdana" w:hAnsi="Verdana"/>
          <w:sz w:val="18"/>
          <w:szCs w:val="18"/>
          <w:lang w:val="en-US"/>
        </w:rPr>
        <w:t xml:space="preserve"> </w:t>
      </w:r>
      <w:r w:rsidR="00687684" w:rsidRPr="00D869E3">
        <w:rPr>
          <w:rFonts w:ascii="Verdana" w:hAnsi="Verdana"/>
          <w:sz w:val="18"/>
          <w:szCs w:val="18"/>
          <w:lang w:val="en-US"/>
        </w:rPr>
        <w:t>of this instrument</w:t>
      </w:r>
      <w:r w:rsidR="006F79F4" w:rsidRPr="00D869E3">
        <w:rPr>
          <w:rFonts w:ascii="Verdana" w:hAnsi="Verdana"/>
          <w:sz w:val="18"/>
          <w:szCs w:val="18"/>
          <w:lang w:val="en-US"/>
        </w:rPr>
        <w:t xml:space="preserve">, </w:t>
      </w:r>
      <w:r w:rsidR="00D21668" w:rsidRPr="00D869E3">
        <w:rPr>
          <w:rFonts w:ascii="Verdana" w:hAnsi="Verdana"/>
          <w:sz w:val="18"/>
          <w:szCs w:val="18"/>
          <w:lang w:val="en-US"/>
        </w:rPr>
        <w:t>to the detriment of</w:t>
      </w:r>
      <w:r w:rsidR="00687684" w:rsidRPr="00D869E3">
        <w:rPr>
          <w:rFonts w:ascii="Verdana" w:hAnsi="Verdana"/>
          <w:sz w:val="18"/>
          <w:szCs w:val="18"/>
          <w:lang w:val="en-US"/>
        </w:rPr>
        <w:t xml:space="preserve"> Mr. Lagos</w:t>
      </w:r>
      <w:r w:rsidR="006F79F4" w:rsidRPr="00D869E3">
        <w:rPr>
          <w:rFonts w:ascii="Verdana" w:hAnsi="Verdana"/>
          <w:sz w:val="18"/>
          <w:szCs w:val="18"/>
          <w:lang w:val="en-US"/>
        </w:rPr>
        <w:t xml:space="preserve"> del Campo.</w:t>
      </w:r>
    </w:p>
    <w:p w14:paraId="0E54907F" w14:textId="77777777" w:rsidR="006F79F4" w:rsidRPr="00D869E3" w:rsidRDefault="006F79F4" w:rsidP="00AF7637">
      <w:pPr>
        <w:jc w:val="both"/>
        <w:rPr>
          <w:rFonts w:ascii="Verdana" w:hAnsi="Verdana"/>
          <w:sz w:val="18"/>
          <w:szCs w:val="18"/>
          <w:lang w:val="en-US"/>
        </w:rPr>
      </w:pPr>
    </w:p>
    <w:p w14:paraId="5D381520" w14:textId="13398E45" w:rsidR="006F79F4" w:rsidRPr="00D869E3" w:rsidRDefault="006F79F4" w:rsidP="00AF7637">
      <w:pPr>
        <w:ind w:left="348" w:firstLine="720"/>
        <w:jc w:val="both"/>
        <w:rPr>
          <w:rFonts w:ascii="Verdana" w:hAnsi="Verdana"/>
          <w:sz w:val="18"/>
          <w:szCs w:val="18"/>
          <w:lang w:val="en-US"/>
        </w:rPr>
      </w:pPr>
      <w:r w:rsidRPr="00D869E3">
        <w:rPr>
          <w:rFonts w:ascii="Verdana" w:hAnsi="Verdana"/>
          <w:sz w:val="18"/>
          <w:szCs w:val="18"/>
          <w:lang w:val="en-US"/>
        </w:rPr>
        <w:t>Recom</w:t>
      </w:r>
      <w:r w:rsidR="00687684" w:rsidRPr="00D869E3">
        <w:rPr>
          <w:rFonts w:ascii="Verdana" w:hAnsi="Verdana"/>
          <w:sz w:val="18"/>
          <w:szCs w:val="18"/>
          <w:lang w:val="en-US"/>
        </w:rPr>
        <w:t>m</w:t>
      </w:r>
      <w:r w:rsidRPr="00D869E3">
        <w:rPr>
          <w:rFonts w:ascii="Verdana" w:hAnsi="Verdana"/>
          <w:sz w:val="18"/>
          <w:szCs w:val="18"/>
          <w:lang w:val="en-US"/>
        </w:rPr>
        <w:t>en</w:t>
      </w:r>
      <w:r w:rsidR="00D21668" w:rsidRPr="00D869E3">
        <w:rPr>
          <w:rFonts w:ascii="Verdana" w:hAnsi="Verdana"/>
          <w:sz w:val="18"/>
          <w:szCs w:val="18"/>
          <w:lang w:val="en-US"/>
        </w:rPr>
        <w:t>da</w:t>
      </w:r>
      <w:r w:rsidR="00687684" w:rsidRPr="00D869E3">
        <w:rPr>
          <w:rFonts w:ascii="Verdana" w:hAnsi="Verdana"/>
          <w:sz w:val="18"/>
          <w:szCs w:val="18"/>
          <w:lang w:val="en-US"/>
        </w:rPr>
        <w:t>tion</w:t>
      </w:r>
      <w:r w:rsidRPr="00D869E3">
        <w:rPr>
          <w:rFonts w:ascii="Verdana" w:hAnsi="Verdana"/>
          <w:sz w:val="18"/>
          <w:szCs w:val="18"/>
          <w:lang w:val="en-US"/>
        </w:rPr>
        <w:t>s:</w:t>
      </w:r>
    </w:p>
    <w:p w14:paraId="4B8F6748" w14:textId="77777777" w:rsidR="006F79F4" w:rsidRPr="00D869E3" w:rsidRDefault="006F79F4" w:rsidP="00AF7637">
      <w:pPr>
        <w:jc w:val="both"/>
        <w:rPr>
          <w:rFonts w:ascii="Verdana" w:hAnsi="Verdana"/>
          <w:sz w:val="18"/>
          <w:szCs w:val="18"/>
          <w:lang w:val="en-US"/>
        </w:rPr>
      </w:pPr>
    </w:p>
    <w:p w14:paraId="577A1C42" w14:textId="7A49240D" w:rsidR="006F79F4" w:rsidRPr="00D869E3" w:rsidRDefault="00687684" w:rsidP="00E66DD7">
      <w:pPr>
        <w:pStyle w:val="Prrafodelista"/>
        <w:numPr>
          <w:ilvl w:val="0"/>
          <w:numId w:val="5"/>
        </w:numPr>
        <w:jc w:val="both"/>
        <w:rPr>
          <w:rFonts w:ascii="Verdana" w:hAnsi="Verdana"/>
          <w:sz w:val="18"/>
          <w:szCs w:val="18"/>
          <w:lang w:val="en-US"/>
        </w:rPr>
      </w:pPr>
      <w:r w:rsidRPr="00D869E3">
        <w:rPr>
          <w:rFonts w:ascii="Verdana" w:eastAsiaTheme="minorHAnsi" w:hAnsi="Verdana" w:cs="Arial"/>
          <w:sz w:val="18"/>
          <w:szCs w:val="18"/>
          <w:lang w:val="en-US"/>
        </w:rPr>
        <w:t xml:space="preserve">Provide </w:t>
      </w:r>
      <w:r w:rsidR="00BB61A6" w:rsidRPr="00D869E3">
        <w:rPr>
          <w:rFonts w:ascii="Verdana" w:eastAsiaTheme="minorHAnsi" w:hAnsi="Verdana" w:cs="Arial"/>
          <w:sz w:val="18"/>
          <w:szCs w:val="18"/>
          <w:lang w:val="en-US"/>
        </w:rPr>
        <w:t xml:space="preserve">comprehensive reparation to Mr. </w:t>
      </w:r>
      <w:r w:rsidR="006F79F4" w:rsidRPr="00D869E3">
        <w:rPr>
          <w:rFonts w:ascii="Verdana" w:eastAsiaTheme="minorHAnsi" w:hAnsi="Verdana" w:cs="Arial"/>
          <w:sz w:val="18"/>
          <w:szCs w:val="18"/>
          <w:lang w:val="en-US"/>
        </w:rPr>
        <w:t xml:space="preserve">Lagos del Campo </w:t>
      </w:r>
      <w:r w:rsidR="00BB61A6" w:rsidRPr="00D869E3">
        <w:rPr>
          <w:rFonts w:ascii="Verdana" w:eastAsiaTheme="minorHAnsi" w:hAnsi="Verdana" w:cs="Arial"/>
          <w:sz w:val="18"/>
          <w:szCs w:val="18"/>
          <w:lang w:val="en-US"/>
        </w:rPr>
        <w:t>for the violations declared in the report. This reparation shou</w:t>
      </w:r>
      <w:r w:rsidR="00D21668" w:rsidRPr="00D869E3">
        <w:rPr>
          <w:rFonts w:ascii="Verdana" w:eastAsiaTheme="minorHAnsi" w:hAnsi="Verdana" w:cs="Arial"/>
          <w:sz w:val="18"/>
          <w:szCs w:val="18"/>
          <w:lang w:val="en-US"/>
        </w:rPr>
        <w:t>ld</w:t>
      </w:r>
      <w:r w:rsidR="00BB61A6" w:rsidRPr="00D869E3">
        <w:rPr>
          <w:rFonts w:ascii="Verdana" w:eastAsiaTheme="minorHAnsi" w:hAnsi="Verdana" w:cs="Arial"/>
          <w:sz w:val="18"/>
          <w:szCs w:val="18"/>
          <w:lang w:val="en-US"/>
        </w:rPr>
        <w:t xml:space="preserve"> include bot</w:t>
      </w:r>
      <w:r w:rsidR="00D21668" w:rsidRPr="00D869E3">
        <w:rPr>
          <w:rFonts w:ascii="Verdana" w:eastAsiaTheme="minorHAnsi" w:hAnsi="Verdana" w:cs="Arial"/>
          <w:sz w:val="18"/>
          <w:szCs w:val="18"/>
          <w:lang w:val="en-US"/>
        </w:rPr>
        <w:t>h</w:t>
      </w:r>
      <w:r w:rsidR="00BB61A6" w:rsidRPr="00D869E3">
        <w:rPr>
          <w:rFonts w:ascii="Verdana" w:eastAsiaTheme="minorHAnsi" w:hAnsi="Verdana" w:cs="Arial"/>
          <w:sz w:val="18"/>
          <w:szCs w:val="18"/>
          <w:lang w:val="en-US"/>
        </w:rPr>
        <w:t xml:space="preserve"> the pecuniary and the non-pecuniary aspects;</w:t>
      </w:r>
    </w:p>
    <w:p w14:paraId="029AE76C" w14:textId="77777777" w:rsidR="006F79F4" w:rsidRPr="00D869E3" w:rsidRDefault="006F79F4" w:rsidP="00AF7637">
      <w:pPr>
        <w:pStyle w:val="Prrafodelista"/>
        <w:ind w:left="1776"/>
        <w:jc w:val="both"/>
        <w:rPr>
          <w:rFonts w:ascii="Verdana" w:hAnsi="Verdana"/>
          <w:sz w:val="18"/>
          <w:szCs w:val="18"/>
          <w:lang w:val="en-US"/>
        </w:rPr>
      </w:pPr>
    </w:p>
    <w:p w14:paraId="0BACCCBD" w14:textId="15F2AE4B" w:rsidR="006F79F4" w:rsidRPr="00D869E3" w:rsidRDefault="006F79F4" w:rsidP="00E66DD7">
      <w:pPr>
        <w:pStyle w:val="Prrafodelista"/>
        <w:numPr>
          <w:ilvl w:val="0"/>
          <w:numId w:val="5"/>
        </w:numPr>
        <w:ind w:left="1775" w:hanging="357"/>
        <w:jc w:val="both"/>
        <w:rPr>
          <w:rFonts w:ascii="Verdana" w:hAnsi="Verdana"/>
          <w:sz w:val="18"/>
          <w:szCs w:val="18"/>
          <w:lang w:val="en-US"/>
        </w:rPr>
      </w:pPr>
      <w:r w:rsidRPr="00D869E3">
        <w:rPr>
          <w:rFonts w:ascii="Verdana" w:eastAsiaTheme="minorHAnsi" w:hAnsi="Verdana" w:cs="Arial"/>
          <w:sz w:val="18"/>
          <w:szCs w:val="18"/>
          <w:lang w:val="en-US"/>
        </w:rPr>
        <w:t>Adopt</w:t>
      </w:r>
      <w:r w:rsidR="00BB61A6" w:rsidRPr="00D869E3">
        <w:rPr>
          <w:rFonts w:ascii="Verdana" w:eastAsiaTheme="minorHAnsi" w:hAnsi="Verdana" w:cs="Arial"/>
          <w:sz w:val="18"/>
          <w:szCs w:val="18"/>
          <w:lang w:val="en-US"/>
        </w:rPr>
        <w:t xml:space="preserve"> </w:t>
      </w:r>
      <w:r w:rsidR="00BB61A6" w:rsidRPr="00D869E3">
        <w:rPr>
          <w:rFonts w:ascii="Verdana" w:hAnsi="Verdana"/>
          <w:sz w:val="18"/>
          <w:szCs w:val="18"/>
          <w:lang w:val="en-US"/>
        </w:rPr>
        <w:t>measures of non-repetition to guarantee that workers’ representatives and labor union leaders can enjoy</w:t>
      </w:r>
      <w:r w:rsidR="00BB61A6" w:rsidRPr="00D869E3">
        <w:rPr>
          <w:rFonts w:ascii="Verdana" w:eastAsiaTheme="minorHAnsi" w:hAnsi="Verdana" w:cs="Arial"/>
          <w:sz w:val="18"/>
          <w:szCs w:val="18"/>
          <w:lang w:val="en-US"/>
        </w:rPr>
        <w:t xml:space="preserve"> </w:t>
      </w:r>
      <w:r w:rsidR="00BB61A6" w:rsidRPr="00D869E3">
        <w:rPr>
          <w:rFonts w:ascii="Verdana" w:hAnsi="Verdana"/>
          <w:sz w:val="18"/>
          <w:szCs w:val="18"/>
          <w:lang w:val="en-US"/>
        </w:rPr>
        <w:t>their right to freedom of expression in accordance with the standards established in this report</w:t>
      </w:r>
      <w:r w:rsidRPr="00D869E3">
        <w:rPr>
          <w:rFonts w:ascii="Verdana" w:eastAsiaTheme="minorHAnsi" w:hAnsi="Verdana" w:cs="Arial"/>
          <w:sz w:val="18"/>
          <w:szCs w:val="18"/>
          <w:lang w:val="en-US"/>
        </w:rPr>
        <w:t xml:space="preserve">, </w:t>
      </w:r>
      <w:r w:rsidR="00BB61A6" w:rsidRPr="00D869E3">
        <w:rPr>
          <w:rFonts w:ascii="Verdana" w:eastAsiaTheme="minorHAnsi" w:hAnsi="Verdana" w:cs="Arial"/>
          <w:sz w:val="18"/>
          <w:szCs w:val="18"/>
          <w:lang w:val="en-US"/>
        </w:rPr>
        <w:t>and</w:t>
      </w:r>
    </w:p>
    <w:p w14:paraId="49AE5268" w14:textId="77777777" w:rsidR="00BB61A6" w:rsidRPr="00D869E3" w:rsidRDefault="00BB61A6" w:rsidP="00BB61A6">
      <w:pPr>
        <w:pStyle w:val="Prrafodelista"/>
        <w:rPr>
          <w:rFonts w:ascii="Verdana" w:hAnsi="Verdana"/>
          <w:sz w:val="18"/>
          <w:szCs w:val="18"/>
          <w:lang w:val="en-US"/>
        </w:rPr>
      </w:pPr>
    </w:p>
    <w:p w14:paraId="08769E94" w14:textId="06043451" w:rsidR="00BB61A6" w:rsidRPr="00D869E3" w:rsidRDefault="00BB61A6" w:rsidP="00E66DD7">
      <w:pPr>
        <w:pStyle w:val="Prrafodelista"/>
        <w:numPr>
          <w:ilvl w:val="0"/>
          <w:numId w:val="5"/>
        </w:numPr>
        <w:jc w:val="both"/>
        <w:rPr>
          <w:rFonts w:ascii="Verdana" w:hAnsi="Verdana"/>
          <w:sz w:val="18"/>
          <w:szCs w:val="18"/>
          <w:lang w:val="en-US"/>
        </w:rPr>
      </w:pPr>
      <w:r w:rsidRPr="00D869E3">
        <w:rPr>
          <w:rFonts w:ascii="Verdana" w:hAnsi="Verdana"/>
          <w:sz w:val="18"/>
          <w:szCs w:val="18"/>
          <w:lang w:val="en-US"/>
        </w:rPr>
        <w:t>Adopt measures to ensure that the application and interpretation of laws by the domestic courts are consistent with the principles established by international human rights law with respect to freedom of expression in labor-related contexts, reiterated in this case</w:t>
      </w:r>
    </w:p>
    <w:p w14:paraId="7ED779E0" w14:textId="77777777" w:rsidR="006F79F4" w:rsidRPr="00D869E3" w:rsidRDefault="006F79F4" w:rsidP="00AF7637">
      <w:pPr>
        <w:jc w:val="both"/>
        <w:rPr>
          <w:rFonts w:ascii="Verdana" w:hAnsi="Verdana"/>
          <w:sz w:val="18"/>
          <w:szCs w:val="18"/>
          <w:lang w:val="en-US"/>
        </w:rPr>
      </w:pPr>
    </w:p>
    <w:p w14:paraId="2B6B859B" w14:textId="2DE4A121" w:rsidR="006F79F4" w:rsidRPr="00D869E3" w:rsidRDefault="006F79F4" w:rsidP="00E66DD7">
      <w:pPr>
        <w:pStyle w:val="Prrafodelista"/>
        <w:numPr>
          <w:ilvl w:val="0"/>
          <w:numId w:val="4"/>
        </w:numPr>
        <w:jc w:val="both"/>
        <w:rPr>
          <w:rFonts w:ascii="Verdana" w:hAnsi="Verdana"/>
          <w:sz w:val="18"/>
          <w:szCs w:val="18"/>
          <w:lang w:val="en-US"/>
        </w:rPr>
      </w:pPr>
      <w:r w:rsidRPr="00D869E3">
        <w:rPr>
          <w:rFonts w:ascii="Verdana" w:hAnsi="Verdana"/>
          <w:i/>
          <w:sz w:val="18"/>
          <w:szCs w:val="18"/>
          <w:lang w:val="en-US"/>
        </w:rPr>
        <w:t>Notifica</w:t>
      </w:r>
      <w:r w:rsidR="00BB61A6" w:rsidRPr="00D869E3">
        <w:rPr>
          <w:rFonts w:ascii="Verdana" w:hAnsi="Verdana"/>
          <w:i/>
          <w:sz w:val="18"/>
          <w:szCs w:val="18"/>
          <w:lang w:val="en-US"/>
        </w:rPr>
        <w:t xml:space="preserve">tion of the State. </w:t>
      </w:r>
      <w:r w:rsidR="00BB61A6" w:rsidRPr="00D869E3">
        <w:rPr>
          <w:rFonts w:ascii="Verdana" w:hAnsi="Verdana"/>
          <w:sz w:val="18"/>
          <w:szCs w:val="18"/>
          <w:lang w:val="en-US"/>
        </w:rPr>
        <w:t>On August 28,</w:t>
      </w:r>
      <w:r w:rsidRPr="00D869E3">
        <w:rPr>
          <w:rFonts w:ascii="Verdana" w:hAnsi="Verdana"/>
          <w:sz w:val="18"/>
          <w:szCs w:val="18"/>
          <w:lang w:val="en-US"/>
        </w:rPr>
        <w:t xml:space="preserve"> 2015</w:t>
      </w:r>
      <w:r w:rsidR="00BB61A6" w:rsidRPr="00D869E3">
        <w:rPr>
          <w:rFonts w:ascii="Verdana" w:hAnsi="Verdana"/>
          <w:sz w:val="18"/>
          <w:szCs w:val="18"/>
          <w:lang w:val="en-US"/>
        </w:rPr>
        <w:t xml:space="preserve">, </w:t>
      </w:r>
      <w:r w:rsidR="00447C65" w:rsidRPr="00D869E3">
        <w:rPr>
          <w:rFonts w:ascii="Verdana" w:hAnsi="Verdana"/>
          <w:sz w:val="18"/>
          <w:szCs w:val="18"/>
          <w:lang w:val="en-US"/>
        </w:rPr>
        <w:t>the Commission</w:t>
      </w:r>
      <w:r w:rsidRPr="00D869E3">
        <w:rPr>
          <w:rFonts w:ascii="Verdana" w:hAnsi="Verdana"/>
          <w:sz w:val="18"/>
          <w:szCs w:val="18"/>
          <w:lang w:val="en-US"/>
        </w:rPr>
        <w:t xml:space="preserve"> notif</w:t>
      </w:r>
      <w:r w:rsidR="00BB61A6" w:rsidRPr="00D869E3">
        <w:rPr>
          <w:rFonts w:ascii="Verdana" w:hAnsi="Verdana"/>
          <w:sz w:val="18"/>
          <w:szCs w:val="18"/>
          <w:lang w:val="en-US"/>
        </w:rPr>
        <w:t>ied the</w:t>
      </w:r>
      <w:r w:rsidRPr="00D869E3">
        <w:rPr>
          <w:rFonts w:ascii="Verdana" w:hAnsi="Verdana"/>
          <w:sz w:val="18"/>
          <w:szCs w:val="18"/>
          <w:lang w:val="en-US"/>
        </w:rPr>
        <w:t xml:space="preserve"> </w:t>
      </w:r>
      <w:r w:rsidR="00687684" w:rsidRPr="00D869E3">
        <w:rPr>
          <w:rFonts w:ascii="Verdana" w:hAnsi="Verdana"/>
          <w:sz w:val="18"/>
          <w:szCs w:val="18"/>
          <w:lang w:val="en-US"/>
        </w:rPr>
        <w:t>Merits Report</w:t>
      </w:r>
      <w:r w:rsidRPr="00D869E3">
        <w:rPr>
          <w:rFonts w:ascii="Verdana" w:hAnsi="Verdana"/>
          <w:sz w:val="18"/>
          <w:szCs w:val="18"/>
          <w:lang w:val="en-US"/>
        </w:rPr>
        <w:t xml:space="preserve"> </w:t>
      </w:r>
      <w:r w:rsidR="00BB61A6" w:rsidRPr="00D869E3">
        <w:rPr>
          <w:rFonts w:ascii="Verdana" w:hAnsi="Verdana"/>
          <w:sz w:val="18"/>
          <w:szCs w:val="18"/>
          <w:lang w:val="en-US"/>
        </w:rPr>
        <w:t xml:space="preserve">to the State granting it two months to provide information on compliance with the recommendations. </w:t>
      </w:r>
    </w:p>
    <w:p w14:paraId="56F14F1E" w14:textId="77777777" w:rsidR="006F79F4" w:rsidRPr="00D869E3" w:rsidRDefault="006F79F4" w:rsidP="00AF7637">
      <w:pPr>
        <w:ind w:left="708"/>
        <w:jc w:val="both"/>
        <w:rPr>
          <w:rFonts w:ascii="Verdana" w:hAnsi="Verdana"/>
          <w:sz w:val="18"/>
          <w:szCs w:val="18"/>
          <w:lang w:val="en-US"/>
        </w:rPr>
      </w:pPr>
    </w:p>
    <w:p w14:paraId="02751A81" w14:textId="56569038" w:rsidR="006F79F4" w:rsidRPr="00D869E3" w:rsidRDefault="00687684" w:rsidP="00E66DD7">
      <w:pPr>
        <w:pStyle w:val="Prrafodelista"/>
        <w:numPr>
          <w:ilvl w:val="0"/>
          <w:numId w:val="4"/>
        </w:numPr>
        <w:jc w:val="both"/>
        <w:rPr>
          <w:rFonts w:ascii="Verdana" w:eastAsiaTheme="minorHAnsi" w:hAnsi="Verdana" w:cs="Arial"/>
          <w:sz w:val="18"/>
          <w:szCs w:val="18"/>
          <w:lang w:val="en-US"/>
        </w:rPr>
      </w:pPr>
      <w:r w:rsidRPr="00D869E3">
        <w:rPr>
          <w:rFonts w:ascii="Verdana" w:hAnsi="Verdana"/>
          <w:i/>
          <w:sz w:val="18"/>
          <w:szCs w:val="18"/>
          <w:lang w:val="en-US"/>
        </w:rPr>
        <w:t>Report</w:t>
      </w:r>
      <w:r w:rsidR="006F79F4" w:rsidRPr="00D869E3">
        <w:rPr>
          <w:rFonts w:ascii="Verdana" w:hAnsi="Verdana"/>
          <w:i/>
          <w:sz w:val="18"/>
          <w:szCs w:val="18"/>
          <w:lang w:val="en-US"/>
        </w:rPr>
        <w:t xml:space="preserve"> </w:t>
      </w:r>
      <w:r w:rsidR="00BB61A6" w:rsidRPr="00D869E3">
        <w:rPr>
          <w:rFonts w:ascii="Verdana" w:hAnsi="Verdana"/>
          <w:i/>
          <w:sz w:val="18"/>
          <w:szCs w:val="18"/>
          <w:lang w:val="en-US"/>
        </w:rPr>
        <w:t>on compliance</w:t>
      </w:r>
      <w:r w:rsidR="006F79F4" w:rsidRPr="00D869E3">
        <w:rPr>
          <w:rFonts w:ascii="Verdana" w:hAnsi="Verdana"/>
          <w:i/>
          <w:sz w:val="18"/>
          <w:szCs w:val="18"/>
          <w:lang w:val="en-US"/>
        </w:rPr>
        <w:t>.</w:t>
      </w:r>
      <w:r w:rsidR="006F79F4" w:rsidRPr="00D869E3">
        <w:rPr>
          <w:rFonts w:ascii="Verdana" w:hAnsi="Verdana"/>
          <w:sz w:val="18"/>
          <w:szCs w:val="18"/>
          <w:lang w:val="en-US"/>
        </w:rPr>
        <w:t xml:space="preserve"> </w:t>
      </w:r>
      <w:r w:rsidR="00BB61A6" w:rsidRPr="00D869E3">
        <w:rPr>
          <w:rFonts w:ascii="Verdana" w:hAnsi="Verdana"/>
          <w:sz w:val="18"/>
          <w:szCs w:val="18"/>
          <w:lang w:val="en-US"/>
        </w:rPr>
        <w:t>On October 29,</w:t>
      </w:r>
      <w:r w:rsidR="006F79F4" w:rsidRPr="00D869E3">
        <w:rPr>
          <w:rFonts w:ascii="Verdana" w:hAnsi="Verdana"/>
          <w:sz w:val="18"/>
          <w:szCs w:val="18"/>
          <w:lang w:val="en-US"/>
        </w:rPr>
        <w:t xml:space="preserve"> 2015</w:t>
      </w:r>
      <w:r w:rsidR="00BB61A6" w:rsidRPr="00D869E3">
        <w:rPr>
          <w:rFonts w:ascii="Verdana" w:hAnsi="Verdana"/>
          <w:sz w:val="18"/>
          <w:szCs w:val="18"/>
          <w:lang w:val="en-US"/>
        </w:rPr>
        <w:t>,</w:t>
      </w:r>
      <w:r w:rsidR="006F79F4" w:rsidRPr="00D869E3">
        <w:rPr>
          <w:rFonts w:ascii="Verdana" w:hAnsi="Verdana"/>
          <w:sz w:val="18"/>
          <w:szCs w:val="18"/>
          <w:lang w:val="en-US"/>
        </w:rPr>
        <w:t xml:space="preserve"> </w:t>
      </w:r>
      <w:r w:rsidR="00447C65" w:rsidRPr="00D869E3">
        <w:rPr>
          <w:rFonts w:ascii="Verdana" w:eastAsiaTheme="minorHAnsi" w:hAnsi="Verdana" w:cs="Arial"/>
          <w:sz w:val="18"/>
          <w:szCs w:val="18"/>
          <w:lang w:val="en-US"/>
        </w:rPr>
        <w:t>the State</w:t>
      </w:r>
      <w:r w:rsidR="006F79F4" w:rsidRPr="00D869E3">
        <w:rPr>
          <w:rFonts w:ascii="Verdana" w:eastAsiaTheme="minorHAnsi" w:hAnsi="Verdana" w:cs="Arial"/>
          <w:sz w:val="18"/>
          <w:szCs w:val="18"/>
          <w:lang w:val="en-US"/>
        </w:rPr>
        <w:t xml:space="preserve"> present</w:t>
      </w:r>
      <w:r w:rsidR="00BB61A6" w:rsidRPr="00D869E3">
        <w:rPr>
          <w:rFonts w:ascii="Verdana" w:eastAsiaTheme="minorHAnsi" w:hAnsi="Verdana" w:cs="Arial"/>
          <w:sz w:val="18"/>
          <w:szCs w:val="18"/>
          <w:lang w:val="en-US"/>
        </w:rPr>
        <w:t>ed a report in which it indicated that it had not violated the</w:t>
      </w:r>
      <w:r w:rsidR="00D21668" w:rsidRPr="00D869E3">
        <w:rPr>
          <w:rFonts w:ascii="Verdana" w:eastAsiaTheme="minorHAnsi" w:hAnsi="Verdana" w:cs="Arial"/>
          <w:sz w:val="18"/>
          <w:szCs w:val="18"/>
          <w:lang w:val="en-US"/>
        </w:rPr>
        <w:t xml:space="preserve"> rights</w:t>
      </w:r>
      <w:r w:rsidR="00BB61A6" w:rsidRPr="00D869E3">
        <w:rPr>
          <w:rFonts w:ascii="Verdana" w:eastAsiaTheme="minorHAnsi" w:hAnsi="Verdana" w:cs="Arial"/>
          <w:sz w:val="18"/>
          <w:szCs w:val="18"/>
          <w:lang w:val="en-US"/>
        </w:rPr>
        <w:t xml:space="preserve"> established in </w:t>
      </w:r>
      <w:r w:rsidR="00447C65" w:rsidRPr="00D869E3">
        <w:rPr>
          <w:rFonts w:ascii="Verdana" w:eastAsiaTheme="minorHAnsi" w:hAnsi="Verdana" w:cs="Arial"/>
          <w:sz w:val="18"/>
          <w:szCs w:val="18"/>
          <w:lang w:val="en-US"/>
        </w:rPr>
        <w:t>Articles</w:t>
      </w:r>
      <w:r w:rsidR="006F79F4" w:rsidRPr="00D869E3">
        <w:rPr>
          <w:rFonts w:ascii="Verdana" w:eastAsiaTheme="minorHAnsi" w:hAnsi="Verdana" w:cs="Arial"/>
          <w:sz w:val="18"/>
          <w:szCs w:val="18"/>
          <w:lang w:val="en-US"/>
        </w:rPr>
        <w:t xml:space="preserve"> </w:t>
      </w:r>
      <w:r w:rsidRPr="00D869E3">
        <w:rPr>
          <w:rFonts w:ascii="Verdana" w:eastAsiaTheme="minorHAnsi" w:hAnsi="Verdana" w:cs="Arial"/>
          <w:sz w:val="18"/>
          <w:szCs w:val="18"/>
          <w:lang w:val="en-US"/>
        </w:rPr>
        <w:t xml:space="preserve">8(1) and </w:t>
      </w:r>
      <w:r w:rsidR="006F79F4" w:rsidRPr="00D869E3">
        <w:rPr>
          <w:rFonts w:ascii="Verdana" w:eastAsiaTheme="minorHAnsi" w:hAnsi="Verdana" w:cs="Arial"/>
          <w:sz w:val="18"/>
          <w:szCs w:val="18"/>
          <w:lang w:val="en-US"/>
        </w:rPr>
        <w:t>13</w:t>
      </w:r>
      <w:r w:rsidR="00447C65" w:rsidRPr="00D869E3">
        <w:rPr>
          <w:rFonts w:ascii="Verdana" w:eastAsiaTheme="minorHAnsi" w:hAnsi="Verdana" w:cs="Arial"/>
          <w:sz w:val="18"/>
          <w:szCs w:val="18"/>
          <w:lang w:val="en-US"/>
        </w:rPr>
        <w:t xml:space="preserve"> of the Convention</w:t>
      </w:r>
      <w:r w:rsidR="003E68B9" w:rsidRPr="00D869E3">
        <w:rPr>
          <w:rFonts w:ascii="Verdana" w:eastAsiaTheme="minorHAnsi" w:hAnsi="Verdana" w:cs="Arial"/>
          <w:sz w:val="18"/>
          <w:szCs w:val="18"/>
          <w:lang w:val="en-US"/>
        </w:rPr>
        <w:t>,</w:t>
      </w:r>
      <w:r w:rsidR="006F79F4" w:rsidRPr="00D869E3">
        <w:rPr>
          <w:rFonts w:ascii="Verdana" w:eastAsiaTheme="minorHAnsi" w:hAnsi="Verdana" w:cs="Arial"/>
          <w:sz w:val="18"/>
          <w:szCs w:val="18"/>
          <w:lang w:val="en-US"/>
        </w:rPr>
        <w:t xml:space="preserve"> </w:t>
      </w:r>
      <w:r w:rsidR="00BB61A6" w:rsidRPr="00D869E3">
        <w:rPr>
          <w:rFonts w:ascii="Verdana" w:eastAsiaTheme="minorHAnsi" w:hAnsi="Verdana" w:cs="Arial"/>
          <w:sz w:val="18"/>
          <w:szCs w:val="18"/>
          <w:lang w:val="en-US"/>
        </w:rPr>
        <w:t>in relation to</w:t>
      </w:r>
      <w:r w:rsidR="006F79F4" w:rsidRPr="00D869E3">
        <w:rPr>
          <w:rFonts w:ascii="Verdana" w:eastAsiaTheme="minorHAnsi" w:hAnsi="Verdana" w:cs="Arial"/>
          <w:sz w:val="18"/>
          <w:szCs w:val="18"/>
          <w:lang w:val="en-US"/>
        </w:rPr>
        <w:t xml:space="preserve"> </w:t>
      </w:r>
      <w:r w:rsidRPr="00D869E3">
        <w:rPr>
          <w:rFonts w:ascii="Verdana" w:eastAsiaTheme="minorHAnsi" w:hAnsi="Verdana" w:cs="Arial"/>
          <w:sz w:val="18"/>
          <w:szCs w:val="18"/>
          <w:lang w:val="en-US"/>
        </w:rPr>
        <w:t>Articles 1(1)</w:t>
      </w:r>
      <w:r w:rsidR="006F79F4" w:rsidRPr="00D869E3">
        <w:rPr>
          <w:rFonts w:ascii="Verdana" w:eastAsiaTheme="minorHAnsi" w:hAnsi="Verdana" w:cs="Arial"/>
          <w:sz w:val="18"/>
          <w:szCs w:val="18"/>
          <w:lang w:val="en-US"/>
        </w:rPr>
        <w:t>, 2</w:t>
      </w:r>
      <w:r w:rsidRPr="00D869E3">
        <w:rPr>
          <w:rFonts w:ascii="Verdana" w:eastAsiaTheme="minorHAnsi" w:hAnsi="Verdana" w:cs="Arial"/>
          <w:sz w:val="18"/>
          <w:szCs w:val="18"/>
          <w:lang w:val="en-US"/>
        </w:rPr>
        <w:t xml:space="preserve"> and 16(1)</w:t>
      </w:r>
      <w:r w:rsidR="006F79F4" w:rsidRPr="00D869E3">
        <w:rPr>
          <w:rFonts w:ascii="Verdana" w:eastAsiaTheme="minorHAnsi" w:hAnsi="Verdana" w:cs="Arial"/>
          <w:sz w:val="18"/>
          <w:szCs w:val="18"/>
          <w:lang w:val="en-US"/>
        </w:rPr>
        <w:t xml:space="preserve"> </w:t>
      </w:r>
      <w:r w:rsidRPr="00D869E3">
        <w:rPr>
          <w:rFonts w:ascii="Verdana" w:eastAsiaTheme="minorHAnsi" w:hAnsi="Verdana" w:cs="Arial"/>
          <w:sz w:val="18"/>
          <w:szCs w:val="18"/>
          <w:lang w:val="en-US"/>
        </w:rPr>
        <w:t>of this instrument</w:t>
      </w:r>
      <w:r w:rsidR="006F79F4" w:rsidRPr="00D869E3">
        <w:rPr>
          <w:rFonts w:ascii="Verdana" w:eastAsiaTheme="minorHAnsi" w:hAnsi="Verdana" w:cs="Arial"/>
          <w:sz w:val="18"/>
          <w:szCs w:val="18"/>
          <w:lang w:val="en-US"/>
        </w:rPr>
        <w:t xml:space="preserve">, </w:t>
      </w:r>
      <w:r w:rsidR="00D21668" w:rsidRPr="00D869E3">
        <w:rPr>
          <w:rFonts w:ascii="Verdana" w:eastAsiaTheme="minorHAnsi" w:hAnsi="Verdana" w:cs="Arial"/>
          <w:sz w:val="18"/>
          <w:szCs w:val="18"/>
          <w:lang w:val="en-US"/>
        </w:rPr>
        <w:t xml:space="preserve">to the detriment of </w:t>
      </w:r>
      <w:r w:rsidRPr="00D869E3">
        <w:rPr>
          <w:rFonts w:ascii="Verdana" w:eastAsiaTheme="minorHAnsi" w:hAnsi="Verdana" w:cs="Arial"/>
          <w:sz w:val="18"/>
          <w:szCs w:val="18"/>
          <w:lang w:val="en-US"/>
        </w:rPr>
        <w:t>Mr. Lagos</w:t>
      </w:r>
      <w:r w:rsidR="006F79F4" w:rsidRPr="00D869E3">
        <w:rPr>
          <w:rFonts w:ascii="Verdana" w:eastAsiaTheme="minorHAnsi" w:hAnsi="Verdana" w:cs="Arial"/>
          <w:sz w:val="18"/>
          <w:szCs w:val="18"/>
          <w:lang w:val="en-US"/>
        </w:rPr>
        <w:t xml:space="preserve"> del Campo.</w:t>
      </w:r>
    </w:p>
    <w:p w14:paraId="618669DA" w14:textId="77777777" w:rsidR="006F79F4" w:rsidRPr="00D869E3" w:rsidRDefault="006F79F4" w:rsidP="00AF7637">
      <w:pPr>
        <w:ind w:left="708"/>
        <w:jc w:val="both"/>
        <w:rPr>
          <w:rFonts w:ascii="Verdana" w:hAnsi="Verdana"/>
          <w:i/>
          <w:sz w:val="18"/>
          <w:szCs w:val="18"/>
          <w:lang w:val="en-US"/>
        </w:rPr>
      </w:pPr>
    </w:p>
    <w:p w14:paraId="7C97C9BA" w14:textId="161D57BB" w:rsidR="006F79F4" w:rsidRPr="00D869E3" w:rsidRDefault="00BB61A6" w:rsidP="00E66DD7">
      <w:pPr>
        <w:pStyle w:val="Prrafodelista"/>
        <w:numPr>
          <w:ilvl w:val="0"/>
          <w:numId w:val="1"/>
        </w:numPr>
        <w:ind w:left="0" w:firstLine="0"/>
        <w:jc w:val="both"/>
        <w:rPr>
          <w:rFonts w:ascii="Verdana" w:hAnsi="Verdana"/>
          <w:sz w:val="20"/>
          <w:szCs w:val="20"/>
          <w:lang w:val="en-US"/>
        </w:rPr>
      </w:pPr>
      <w:r w:rsidRPr="00D869E3">
        <w:rPr>
          <w:rFonts w:ascii="Verdana" w:hAnsi="Verdana"/>
          <w:i/>
          <w:sz w:val="20"/>
          <w:szCs w:val="20"/>
          <w:lang w:val="en-US"/>
        </w:rPr>
        <w:t>Submission to</w:t>
      </w:r>
      <w:r w:rsidR="006F79F4" w:rsidRPr="00D869E3">
        <w:rPr>
          <w:rFonts w:ascii="Verdana" w:hAnsi="Verdana"/>
          <w:i/>
          <w:sz w:val="20"/>
          <w:szCs w:val="20"/>
          <w:lang w:val="en-US"/>
        </w:rPr>
        <w:t xml:space="preserve"> </w:t>
      </w:r>
      <w:r w:rsidR="00447C65" w:rsidRPr="00D869E3">
        <w:rPr>
          <w:rFonts w:ascii="Verdana" w:hAnsi="Verdana"/>
          <w:i/>
          <w:sz w:val="20"/>
          <w:szCs w:val="20"/>
          <w:lang w:val="en-US"/>
        </w:rPr>
        <w:t>the Court</w:t>
      </w:r>
      <w:r w:rsidR="006F79F4" w:rsidRPr="00D869E3">
        <w:rPr>
          <w:rFonts w:ascii="Verdana" w:hAnsi="Verdana"/>
          <w:i/>
          <w:sz w:val="20"/>
          <w:szCs w:val="20"/>
          <w:lang w:val="en-US"/>
        </w:rPr>
        <w:t>.</w:t>
      </w:r>
      <w:r w:rsidR="006F79F4" w:rsidRPr="00D869E3">
        <w:rPr>
          <w:rFonts w:ascii="Verdana" w:hAnsi="Verdana"/>
          <w:sz w:val="20"/>
          <w:szCs w:val="20"/>
          <w:lang w:val="en-US"/>
        </w:rPr>
        <w:t xml:space="preserve"> </w:t>
      </w:r>
      <w:r w:rsidRPr="00D869E3">
        <w:rPr>
          <w:rFonts w:ascii="Verdana" w:hAnsi="Verdana"/>
          <w:sz w:val="20"/>
          <w:szCs w:val="20"/>
          <w:lang w:val="en-US"/>
        </w:rPr>
        <w:t>On</w:t>
      </w:r>
      <w:r w:rsidR="006F79F4" w:rsidRPr="00D869E3">
        <w:rPr>
          <w:rFonts w:ascii="Verdana" w:hAnsi="Verdana"/>
          <w:sz w:val="20"/>
          <w:szCs w:val="20"/>
          <w:lang w:val="en-US"/>
        </w:rPr>
        <w:t xml:space="preserve"> </w:t>
      </w:r>
      <w:r w:rsidR="00447C65" w:rsidRPr="00D869E3">
        <w:rPr>
          <w:rFonts w:ascii="Verdana" w:hAnsi="Verdana"/>
          <w:sz w:val="20"/>
          <w:szCs w:val="20"/>
          <w:lang w:val="en-US"/>
        </w:rPr>
        <w:t>November 28,</w:t>
      </w:r>
      <w:r w:rsidR="006F79F4" w:rsidRPr="00D869E3">
        <w:rPr>
          <w:rFonts w:ascii="Verdana" w:hAnsi="Verdana"/>
          <w:sz w:val="20"/>
          <w:szCs w:val="20"/>
          <w:lang w:val="en-US"/>
        </w:rPr>
        <w:t xml:space="preserve"> 2015</w:t>
      </w:r>
      <w:r w:rsidRPr="00D869E3">
        <w:rPr>
          <w:rFonts w:ascii="Verdana" w:hAnsi="Verdana"/>
          <w:sz w:val="20"/>
          <w:szCs w:val="20"/>
          <w:lang w:val="en-US"/>
        </w:rPr>
        <w:t>,</w:t>
      </w:r>
      <w:r w:rsidR="006F79F4" w:rsidRPr="00D869E3">
        <w:rPr>
          <w:rFonts w:ascii="Verdana" w:hAnsi="Verdana"/>
          <w:sz w:val="20"/>
          <w:szCs w:val="20"/>
          <w:lang w:val="en-US"/>
        </w:rPr>
        <w:t xml:space="preserve"> </w:t>
      </w:r>
      <w:r w:rsidR="00447C65" w:rsidRPr="00D869E3">
        <w:rPr>
          <w:rFonts w:ascii="Verdana" w:hAnsi="Verdana"/>
          <w:sz w:val="20"/>
          <w:szCs w:val="20"/>
          <w:lang w:val="en-US"/>
        </w:rPr>
        <w:t>the Commission</w:t>
      </w:r>
      <w:r w:rsidR="006F79F4" w:rsidRPr="00D869E3">
        <w:rPr>
          <w:rFonts w:ascii="Verdana" w:hAnsi="Verdana"/>
          <w:sz w:val="20"/>
          <w:szCs w:val="20"/>
          <w:lang w:val="en-US"/>
        </w:rPr>
        <w:t xml:space="preserve"> decid</w:t>
      </w:r>
      <w:r w:rsidRPr="00D869E3">
        <w:rPr>
          <w:rFonts w:ascii="Verdana" w:hAnsi="Verdana"/>
          <w:sz w:val="20"/>
          <w:szCs w:val="20"/>
          <w:lang w:val="en-US"/>
        </w:rPr>
        <w:t xml:space="preserve">ed to submit the case to </w:t>
      </w:r>
      <w:r w:rsidR="00447C65" w:rsidRPr="00D869E3">
        <w:rPr>
          <w:rFonts w:ascii="Verdana" w:hAnsi="Verdana"/>
          <w:sz w:val="20"/>
          <w:szCs w:val="20"/>
          <w:lang w:val="en-US"/>
        </w:rPr>
        <w:t>the Inter-American Court</w:t>
      </w:r>
      <w:r w:rsidR="006F79F4" w:rsidRPr="00D869E3">
        <w:rPr>
          <w:rFonts w:ascii="Verdana" w:hAnsi="Verdana"/>
          <w:sz w:val="20"/>
          <w:szCs w:val="20"/>
          <w:lang w:val="en-US"/>
        </w:rPr>
        <w:t xml:space="preserve"> </w:t>
      </w:r>
      <w:r w:rsidRPr="00D869E3">
        <w:rPr>
          <w:rFonts w:ascii="Verdana" w:hAnsi="Verdana"/>
          <w:sz w:val="20"/>
          <w:szCs w:val="20"/>
          <w:lang w:val="en-US"/>
        </w:rPr>
        <w:t xml:space="preserve">in </w:t>
      </w:r>
      <w:r w:rsidR="003E68B9" w:rsidRPr="00D869E3">
        <w:rPr>
          <w:rFonts w:ascii="Verdana" w:hAnsi="Verdana"/>
          <w:sz w:val="20"/>
          <w:szCs w:val="20"/>
          <w:lang w:val="en-US"/>
        </w:rPr>
        <w:t>light</w:t>
      </w:r>
      <w:r w:rsidRPr="00D869E3">
        <w:rPr>
          <w:rFonts w:ascii="Verdana" w:hAnsi="Verdana"/>
          <w:sz w:val="20"/>
          <w:szCs w:val="20"/>
          <w:lang w:val="en-US"/>
        </w:rPr>
        <w:t xml:space="preserve"> of the need to obtain justice. It submitted to the Court’s jurisdiction all the facts and human rights violations described in the </w:t>
      </w:r>
      <w:r w:rsidR="00687684" w:rsidRPr="00D869E3">
        <w:rPr>
          <w:rFonts w:ascii="Verdana" w:hAnsi="Verdana"/>
          <w:sz w:val="20"/>
          <w:szCs w:val="20"/>
          <w:lang w:val="en-US"/>
        </w:rPr>
        <w:t>Merits Report</w:t>
      </w:r>
      <w:r w:rsidRPr="00D869E3">
        <w:rPr>
          <w:rFonts w:ascii="Verdana" w:hAnsi="Verdana"/>
          <w:sz w:val="20"/>
          <w:szCs w:val="20"/>
          <w:lang w:val="en-US"/>
        </w:rPr>
        <w:t>.</w:t>
      </w:r>
      <w:r w:rsidR="006F79F4" w:rsidRPr="00D869E3">
        <w:rPr>
          <w:rStyle w:val="Refdenotaalpie"/>
          <w:szCs w:val="20"/>
          <w:lang w:val="en-US"/>
        </w:rPr>
        <w:footnoteReference w:id="2"/>
      </w:r>
    </w:p>
    <w:p w14:paraId="6622ED3D" w14:textId="77777777" w:rsidR="006F79F4" w:rsidRPr="00D869E3" w:rsidRDefault="006F79F4" w:rsidP="00AF7637">
      <w:pPr>
        <w:pStyle w:val="Prrafodelista"/>
        <w:rPr>
          <w:rFonts w:ascii="Verdana" w:hAnsi="Verdana"/>
          <w:sz w:val="20"/>
          <w:szCs w:val="20"/>
          <w:lang w:val="en-US"/>
        </w:rPr>
      </w:pPr>
    </w:p>
    <w:p w14:paraId="04EF17FC" w14:textId="55C7C32F" w:rsidR="006F79F4" w:rsidRPr="00D869E3" w:rsidRDefault="00BB61A6" w:rsidP="006F79F4">
      <w:pPr>
        <w:pStyle w:val="Prrafodelista"/>
        <w:numPr>
          <w:ilvl w:val="0"/>
          <w:numId w:val="1"/>
        </w:numPr>
        <w:ind w:left="0" w:firstLine="0"/>
        <w:jc w:val="both"/>
        <w:rPr>
          <w:rFonts w:ascii="Verdana" w:hAnsi="Verdana"/>
          <w:sz w:val="20"/>
          <w:szCs w:val="20"/>
          <w:lang w:val="en-US"/>
        </w:rPr>
      </w:pPr>
      <w:r w:rsidRPr="00D869E3">
        <w:rPr>
          <w:rFonts w:ascii="Verdana" w:hAnsi="Verdana"/>
          <w:i/>
          <w:sz w:val="20"/>
          <w:szCs w:val="20"/>
          <w:lang w:val="en-US"/>
        </w:rPr>
        <w:t>Requests by</w:t>
      </w:r>
      <w:r w:rsidR="00447C65" w:rsidRPr="00D869E3">
        <w:rPr>
          <w:rFonts w:ascii="Verdana" w:hAnsi="Verdana"/>
          <w:i/>
          <w:sz w:val="20"/>
          <w:szCs w:val="20"/>
          <w:lang w:val="en-US"/>
        </w:rPr>
        <w:t xml:space="preserve"> the Inter-American Commission</w:t>
      </w:r>
      <w:r w:rsidR="006F79F4" w:rsidRPr="00D869E3">
        <w:rPr>
          <w:rFonts w:ascii="Verdana" w:hAnsi="Verdana"/>
          <w:i/>
          <w:sz w:val="20"/>
          <w:szCs w:val="20"/>
          <w:lang w:val="en-US"/>
        </w:rPr>
        <w:t>.</w:t>
      </w:r>
      <w:r w:rsidR="006F79F4" w:rsidRPr="00D869E3">
        <w:rPr>
          <w:rFonts w:ascii="Verdana" w:hAnsi="Verdana"/>
          <w:sz w:val="20"/>
          <w:szCs w:val="20"/>
          <w:lang w:val="en-US"/>
        </w:rPr>
        <w:t xml:space="preserve"> </w:t>
      </w:r>
      <w:r w:rsidRPr="00D869E3">
        <w:rPr>
          <w:rFonts w:ascii="Verdana" w:hAnsi="Verdana"/>
          <w:sz w:val="20"/>
          <w:szCs w:val="20"/>
          <w:lang w:val="en-US"/>
        </w:rPr>
        <w:t xml:space="preserve">Based </w:t>
      </w:r>
      <w:r w:rsidR="006F79F4" w:rsidRPr="00D869E3">
        <w:rPr>
          <w:rFonts w:ascii="Verdana" w:hAnsi="Verdana"/>
          <w:sz w:val="20"/>
          <w:szCs w:val="20"/>
          <w:lang w:val="en-US"/>
        </w:rPr>
        <w:t>on</w:t>
      </w:r>
      <w:r w:rsidRPr="00D869E3">
        <w:rPr>
          <w:rFonts w:ascii="Verdana" w:hAnsi="Verdana"/>
          <w:sz w:val="20"/>
          <w:szCs w:val="20"/>
          <w:lang w:val="en-US"/>
        </w:rPr>
        <w:t xml:space="preserve"> the above,</w:t>
      </w:r>
      <w:r w:rsidR="006F79F4" w:rsidRPr="00D869E3">
        <w:rPr>
          <w:rFonts w:ascii="Verdana" w:hAnsi="Verdana"/>
          <w:sz w:val="20"/>
          <w:szCs w:val="20"/>
          <w:lang w:val="en-US"/>
        </w:rPr>
        <w:t xml:space="preserve"> </w:t>
      </w:r>
      <w:r w:rsidR="00447C65" w:rsidRPr="00D869E3">
        <w:rPr>
          <w:rFonts w:ascii="Verdana" w:hAnsi="Verdana"/>
          <w:sz w:val="20"/>
          <w:szCs w:val="20"/>
          <w:lang w:val="en-US"/>
        </w:rPr>
        <w:t>the Commission</w:t>
      </w:r>
      <w:r w:rsidR="006F79F4" w:rsidRPr="00D869E3">
        <w:rPr>
          <w:rFonts w:ascii="Verdana" w:hAnsi="Verdana"/>
          <w:sz w:val="20"/>
          <w:szCs w:val="20"/>
          <w:lang w:val="en-US"/>
        </w:rPr>
        <w:t xml:space="preserve"> </w:t>
      </w:r>
      <w:r w:rsidRPr="00D869E3">
        <w:rPr>
          <w:rFonts w:ascii="Verdana" w:hAnsi="Verdana"/>
          <w:sz w:val="20"/>
          <w:szCs w:val="20"/>
          <w:lang w:val="en-US"/>
        </w:rPr>
        <w:t>asked</w:t>
      </w:r>
      <w:r w:rsidR="006F79F4" w:rsidRPr="00D869E3">
        <w:rPr>
          <w:rFonts w:ascii="Verdana" w:hAnsi="Verdana"/>
          <w:sz w:val="20"/>
          <w:szCs w:val="20"/>
          <w:lang w:val="en-US"/>
        </w:rPr>
        <w:t xml:space="preserve"> </w:t>
      </w:r>
      <w:r w:rsidR="00447C65" w:rsidRPr="00D869E3">
        <w:rPr>
          <w:rFonts w:ascii="Verdana" w:hAnsi="Verdana"/>
          <w:sz w:val="20"/>
          <w:szCs w:val="20"/>
          <w:lang w:val="en-US"/>
        </w:rPr>
        <w:t>the Court</w:t>
      </w:r>
      <w:r w:rsidR="006F79F4" w:rsidRPr="00D869E3">
        <w:rPr>
          <w:rFonts w:ascii="Verdana" w:hAnsi="Verdana"/>
          <w:sz w:val="20"/>
          <w:szCs w:val="20"/>
          <w:lang w:val="en-US"/>
        </w:rPr>
        <w:t xml:space="preserve"> </w:t>
      </w:r>
      <w:r w:rsidRPr="00D869E3">
        <w:rPr>
          <w:rFonts w:ascii="Verdana" w:hAnsi="Verdana"/>
          <w:sz w:val="20"/>
          <w:szCs w:val="20"/>
          <w:lang w:val="en-US"/>
        </w:rPr>
        <w:t xml:space="preserve">to conclude and declare the international responsibility of the State for the violation of the rights indicated in its </w:t>
      </w:r>
      <w:r w:rsidR="00687684" w:rsidRPr="00D869E3">
        <w:rPr>
          <w:rFonts w:ascii="Verdana" w:hAnsi="Verdana"/>
          <w:sz w:val="20"/>
          <w:szCs w:val="20"/>
          <w:lang w:val="en-US"/>
        </w:rPr>
        <w:t>Merits Report</w:t>
      </w:r>
      <w:r w:rsidR="006F79F4" w:rsidRPr="00D869E3">
        <w:rPr>
          <w:rFonts w:ascii="Verdana" w:hAnsi="Verdana"/>
          <w:sz w:val="20"/>
          <w:szCs w:val="20"/>
          <w:lang w:val="en-US"/>
        </w:rPr>
        <w:t xml:space="preserve"> </w:t>
      </w:r>
      <w:r w:rsidR="00D21668" w:rsidRPr="00D869E3">
        <w:rPr>
          <w:rFonts w:ascii="Verdana" w:hAnsi="Verdana"/>
          <w:sz w:val="20"/>
          <w:szCs w:val="20"/>
          <w:lang w:val="en-US"/>
        </w:rPr>
        <w:t>to the detriment of</w:t>
      </w:r>
      <w:r w:rsidR="006F79F4" w:rsidRPr="00D869E3">
        <w:rPr>
          <w:rFonts w:ascii="Verdana" w:hAnsi="Verdana"/>
          <w:sz w:val="20"/>
          <w:szCs w:val="20"/>
          <w:lang w:val="en-US"/>
        </w:rPr>
        <w:t xml:space="preserve"> </w:t>
      </w:r>
      <w:r w:rsidR="003E68B9" w:rsidRPr="00D869E3">
        <w:rPr>
          <w:rFonts w:ascii="Verdana" w:hAnsi="Verdana"/>
          <w:sz w:val="20"/>
          <w:szCs w:val="20"/>
          <w:lang w:val="en-US"/>
        </w:rPr>
        <w:t xml:space="preserve">Mr. Lagos </w:t>
      </w:r>
      <w:r w:rsidR="006F79F4" w:rsidRPr="00D869E3">
        <w:rPr>
          <w:rFonts w:ascii="Verdana" w:hAnsi="Verdana"/>
          <w:sz w:val="20"/>
          <w:szCs w:val="20"/>
          <w:lang w:val="en-US"/>
        </w:rPr>
        <w:t xml:space="preserve">del Campo. </w:t>
      </w:r>
      <w:r w:rsidRPr="00D869E3">
        <w:rPr>
          <w:rFonts w:ascii="Verdana" w:hAnsi="Verdana"/>
          <w:sz w:val="20"/>
          <w:szCs w:val="20"/>
          <w:lang w:val="en-US"/>
        </w:rPr>
        <w:t>It also asked the Court to order the State, as measures of reparation, to comply with the recommendations contained in the said report.</w:t>
      </w:r>
    </w:p>
    <w:p w14:paraId="215B204D" w14:textId="77777777" w:rsidR="006E4208" w:rsidRPr="00D869E3" w:rsidRDefault="006E4208" w:rsidP="006F79F4">
      <w:pPr>
        <w:pStyle w:val="Prrafodelista"/>
        <w:ind w:left="0"/>
        <w:jc w:val="both"/>
        <w:rPr>
          <w:rFonts w:ascii="Verdana" w:hAnsi="Verdana"/>
          <w:sz w:val="20"/>
          <w:szCs w:val="20"/>
          <w:lang w:val="en-US"/>
        </w:rPr>
      </w:pPr>
    </w:p>
    <w:p w14:paraId="6377CA61" w14:textId="6EAD1EBA" w:rsidR="006F79F4" w:rsidRPr="00D869E3" w:rsidRDefault="006F79F4" w:rsidP="006F79F4">
      <w:pPr>
        <w:pStyle w:val="Ttulo1"/>
        <w:tabs>
          <w:tab w:val="left" w:pos="851"/>
        </w:tabs>
        <w:spacing w:before="0"/>
        <w:jc w:val="center"/>
        <w:rPr>
          <w:rFonts w:cs="Verdana"/>
          <w:caps/>
          <w:snapToGrid w:val="0"/>
          <w:szCs w:val="20"/>
          <w:lang w:val="en-US"/>
        </w:rPr>
      </w:pPr>
      <w:bookmarkStart w:id="2" w:name="_Toc29114100"/>
      <w:r w:rsidRPr="00D869E3">
        <w:rPr>
          <w:rFonts w:cs="Verdana"/>
          <w:caps/>
          <w:snapToGrid w:val="0"/>
          <w:szCs w:val="20"/>
          <w:lang w:val="en-US"/>
        </w:rPr>
        <w:t>II</w:t>
      </w:r>
      <w:r w:rsidRPr="00D869E3">
        <w:rPr>
          <w:rFonts w:cs="Verdana"/>
          <w:caps/>
          <w:snapToGrid w:val="0"/>
          <w:szCs w:val="20"/>
          <w:lang w:val="en-US"/>
        </w:rPr>
        <w:br/>
      </w:r>
      <w:r w:rsidR="00BB61A6" w:rsidRPr="00D869E3">
        <w:rPr>
          <w:rFonts w:cs="Verdana"/>
          <w:caps/>
          <w:snapToGrid w:val="0"/>
          <w:szCs w:val="20"/>
          <w:lang w:val="en-US"/>
        </w:rPr>
        <w:t>PROCEEDINGS BEFORE THE COURT</w:t>
      </w:r>
      <w:bookmarkEnd w:id="2"/>
    </w:p>
    <w:p w14:paraId="059BCF0C" w14:textId="77777777" w:rsidR="006F79F4" w:rsidRPr="00D869E3" w:rsidRDefault="006F79F4" w:rsidP="006F79F4">
      <w:pPr>
        <w:pStyle w:val="Prrafodelista"/>
        <w:ind w:left="0"/>
        <w:jc w:val="both"/>
        <w:rPr>
          <w:rFonts w:ascii="Verdana" w:hAnsi="Verdana"/>
          <w:sz w:val="20"/>
          <w:szCs w:val="20"/>
          <w:lang w:val="en-US"/>
        </w:rPr>
      </w:pPr>
    </w:p>
    <w:p w14:paraId="4562B0BD" w14:textId="63CE4D29" w:rsidR="006F79F4" w:rsidRPr="00D869E3" w:rsidRDefault="006F79F4" w:rsidP="00E66DD7">
      <w:pPr>
        <w:pStyle w:val="Prrafodelista"/>
        <w:numPr>
          <w:ilvl w:val="0"/>
          <w:numId w:val="1"/>
        </w:numPr>
        <w:ind w:left="0" w:firstLine="0"/>
        <w:jc w:val="both"/>
        <w:rPr>
          <w:rFonts w:ascii="Verdana" w:hAnsi="Verdana"/>
          <w:sz w:val="20"/>
          <w:szCs w:val="20"/>
          <w:lang w:val="en-US"/>
        </w:rPr>
      </w:pPr>
      <w:r w:rsidRPr="00D869E3">
        <w:rPr>
          <w:rFonts w:ascii="Verdana" w:hAnsi="Verdana"/>
          <w:i/>
          <w:sz w:val="20"/>
          <w:szCs w:val="20"/>
          <w:lang w:val="en-US"/>
        </w:rPr>
        <w:t>Notifica</w:t>
      </w:r>
      <w:r w:rsidR="00BB61A6" w:rsidRPr="00D869E3">
        <w:rPr>
          <w:rFonts w:ascii="Verdana" w:hAnsi="Verdana"/>
          <w:i/>
          <w:sz w:val="20"/>
          <w:szCs w:val="20"/>
          <w:lang w:val="en-US"/>
        </w:rPr>
        <w:t>tio</w:t>
      </w:r>
      <w:r w:rsidRPr="00D869E3">
        <w:rPr>
          <w:rFonts w:ascii="Verdana" w:hAnsi="Verdana"/>
          <w:i/>
          <w:sz w:val="20"/>
          <w:szCs w:val="20"/>
          <w:lang w:val="en-US"/>
        </w:rPr>
        <w:t xml:space="preserve">n </w:t>
      </w:r>
      <w:r w:rsidR="00BB61A6" w:rsidRPr="00D869E3">
        <w:rPr>
          <w:rFonts w:ascii="Verdana" w:hAnsi="Verdana"/>
          <w:i/>
          <w:sz w:val="20"/>
          <w:szCs w:val="20"/>
          <w:lang w:val="en-US"/>
        </w:rPr>
        <w:t>of the State</w:t>
      </w:r>
      <w:r w:rsidRPr="00D869E3">
        <w:rPr>
          <w:rStyle w:val="Refdenotaalpie"/>
          <w:i/>
          <w:szCs w:val="20"/>
          <w:lang w:val="en-US"/>
        </w:rPr>
        <w:footnoteReference w:id="3"/>
      </w:r>
      <w:r w:rsidR="00687684" w:rsidRPr="00D869E3">
        <w:rPr>
          <w:rFonts w:ascii="Verdana" w:hAnsi="Verdana"/>
          <w:i/>
          <w:sz w:val="20"/>
          <w:szCs w:val="20"/>
          <w:lang w:val="en-US"/>
        </w:rPr>
        <w:t xml:space="preserve"> and</w:t>
      </w:r>
      <w:r w:rsidRPr="00D869E3">
        <w:rPr>
          <w:rFonts w:ascii="Verdana" w:hAnsi="Verdana"/>
          <w:i/>
          <w:sz w:val="20"/>
          <w:szCs w:val="20"/>
          <w:lang w:val="en-US"/>
        </w:rPr>
        <w:t xml:space="preserve"> </w:t>
      </w:r>
      <w:r w:rsidR="00687684" w:rsidRPr="00D869E3">
        <w:rPr>
          <w:rFonts w:ascii="Verdana" w:hAnsi="Verdana"/>
          <w:i/>
          <w:sz w:val="20"/>
          <w:szCs w:val="20"/>
          <w:lang w:val="en-US"/>
        </w:rPr>
        <w:t>the representatives</w:t>
      </w:r>
      <w:r w:rsidRPr="00D869E3">
        <w:rPr>
          <w:rFonts w:ascii="Verdana" w:hAnsi="Verdana"/>
          <w:i/>
          <w:sz w:val="20"/>
          <w:szCs w:val="20"/>
          <w:lang w:val="en-US"/>
        </w:rPr>
        <w:t>.</w:t>
      </w:r>
      <w:r w:rsidRPr="00D869E3">
        <w:rPr>
          <w:rFonts w:ascii="Verdana" w:hAnsi="Verdana"/>
          <w:sz w:val="20"/>
          <w:szCs w:val="20"/>
          <w:lang w:val="en-US"/>
        </w:rPr>
        <w:t xml:space="preserve"> </w:t>
      </w:r>
      <w:r w:rsidR="00BB61A6" w:rsidRPr="00D869E3">
        <w:rPr>
          <w:rFonts w:ascii="Verdana" w:hAnsi="Verdana"/>
          <w:sz w:val="20"/>
          <w:szCs w:val="20"/>
          <w:lang w:val="en-US"/>
        </w:rPr>
        <w:t xml:space="preserve">The Commission’s submission of the case was notified to the State and to </w:t>
      </w:r>
      <w:r w:rsidR="00687684" w:rsidRPr="00D869E3">
        <w:rPr>
          <w:rFonts w:ascii="Verdana" w:hAnsi="Verdana"/>
          <w:sz w:val="20"/>
          <w:szCs w:val="20"/>
          <w:lang w:val="en-US"/>
        </w:rPr>
        <w:t>the representatives</w:t>
      </w:r>
      <w:r w:rsidRPr="00D869E3">
        <w:rPr>
          <w:rFonts w:ascii="Verdana" w:hAnsi="Verdana"/>
          <w:sz w:val="20"/>
          <w:szCs w:val="20"/>
          <w:lang w:val="en-US"/>
        </w:rPr>
        <w:t xml:space="preserve"> </w:t>
      </w:r>
      <w:r w:rsidR="00BB61A6" w:rsidRPr="00D869E3">
        <w:rPr>
          <w:rFonts w:ascii="Verdana" w:hAnsi="Verdana"/>
          <w:sz w:val="20"/>
          <w:szCs w:val="20"/>
          <w:lang w:val="en-US"/>
        </w:rPr>
        <w:t>on February 15,</w:t>
      </w:r>
      <w:r w:rsidRPr="00D869E3">
        <w:rPr>
          <w:rFonts w:ascii="Verdana" w:hAnsi="Verdana"/>
          <w:sz w:val="20"/>
          <w:szCs w:val="20"/>
          <w:lang w:val="en-US"/>
        </w:rPr>
        <w:t xml:space="preserve"> 2016. </w:t>
      </w:r>
    </w:p>
    <w:p w14:paraId="76231108" w14:textId="77777777" w:rsidR="006F79F4" w:rsidRPr="00D869E3" w:rsidRDefault="006F79F4" w:rsidP="00AF7637">
      <w:pPr>
        <w:pStyle w:val="Prrafodelista"/>
        <w:ind w:left="0"/>
        <w:jc w:val="both"/>
        <w:rPr>
          <w:rFonts w:ascii="Verdana" w:hAnsi="Verdana"/>
          <w:sz w:val="20"/>
          <w:szCs w:val="20"/>
          <w:lang w:val="en-US"/>
        </w:rPr>
      </w:pPr>
    </w:p>
    <w:p w14:paraId="37142132" w14:textId="64E98C70" w:rsidR="00EC6021" w:rsidRPr="00D869E3" w:rsidRDefault="00CE3F0D" w:rsidP="00333304">
      <w:pPr>
        <w:pStyle w:val="Prrafodelista"/>
        <w:numPr>
          <w:ilvl w:val="0"/>
          <w:numId w:val="1"/>
        </w:numPr>
        <w:ind w:left="0" w:firstLine="0"/>
        <w:jc w:val="both"/>
        <w:rPr>
          <w:rFonts w:ascii="Verdana" w:hAnsi="Verdana"/>
          <w:sz w:val="20"/>
          <w:szCs w:val="20"/>
          <w:lang w:val="en-US"/>
        </w:rPr>
      </w:pPr>
      <w:r w:rsidRPr="00D869E3">
        <w:rPr>
          <w:rFonts w:ascii="Verdana" w:hAnsi="Verdana"/>
          <w:i/>
          <w:sz w:val="20"/>
          <w:szCs w:val="20"/>
          <w:lang w:val="en-US"/>
        </w:rPr>
        <w:t>Brief with motions</w:t>
      </w:r>
      <w:r w:rsidR="001C1450" w:rsidRPr="00D869E3">
        <w:rPr>
          <w:rFonts w:ascii="Verdana" w:hAnsi="Verdana"/>
          <w:i/>
          <w:sz w:val="20"/>
          <w:szCs w:val="20"/>
          <w:lang w:val="en-US"/>
        </w:rPr>
        <w:t xml:space="preserve">, pleadings </w:t>
      </w:r>
      <w:r w:rsidRPr="00D869E3">
        <w:rPr>
          <w:rFonts w:ascii="Verdana" w:hAnsi="Verdana"/>
          <w:i/>
          <w:sz w:val="20"/>
          <w:szCs w:val="20"/>
          <w:lang w:val="en-US"/>
        </w:rPr>
        <w:t>and evidence</w:t>
      </w:r>
      <w:r w:rsidR="006F79F4" w:rsidRPr="00D869E3">
        <w:rPr>
          <w:rFonts w:ascii="Verdana" w:hAnsi="Verdana"/>
          <w:i/>
          <w:sz w:val="20"/>
          <w:szCs w:val="20"/>
          <w:lang w:val="en-US"/>
        </w:rPr>
        <w:t>.</w:t>
      </w:r>
      <w:r w:rsidR="006F79F4" w:rsidRPr="00D869E3">
        <w:rPr>
          <w:rFonts w:ascii="Verdana" w:hAnsi="Verdana"/>
          <w:sz w:val="20"/>
          <w:szCs w:val="20"/>
          <w:lang w:val="en-US"/>
        </w:rPr>
        <w:t xml:space="preserve"> </w:t>
      </w:r>
      <w:r w:rsidR="00BB61A6" w:rsidRPr="00D869E3">
        <w:rPr>
          <w:rFonts w:ascii="Verdana" w:hAnsi="Verdana"/>
          <w:sz w:val="20"/>
          <w:szCs w:val="20"/>
          <w:lang w:val="en-US"/>
        </w:rPr>
        <w:t>On April 15,</w:t>
      </w:r>
      <w:r w:rsidR="006F79F4" w:rsidRPr="00D869E3">
        <w:rPr>
          <w:rFonts w:ascii="Verdana" w:hAnsi="Verdana"/>
          <w:sz w:val="20"/>
          <w:szCs w:val="20"/>
          <w:lang w:val="en-US"/>
        </w:rPr>
        <w:t xml:space="preserve"> 2016</w:t>
      </w:r>
      <w:r w:rsidR="00BB61A6" w:rsidRPr="00D869E3">
        <w:rPr>
          <w:rFonts w:ascii="Verdana" w:hAnsi="Verdana"/>
          <w:sz w:val="20"/>
          <w:szCs w:val="20"/>
          <w:lang w:val="en-US"/>
        </w:rPr>
        <w:t>,</w:t>
      </w:r>
      <w:r w:rsidR="006F79F4" w:rsidRPr="00D869E3">
        <w:rPr>
          <w:rFonts w:ascii="Verdana" w:hAnsi="Verdana"/>
          <w:sz w:val="20"/>
          <w:szCs w:val="20"/>
          <w:lang w:val="en-US"/>
        </w:rPr>
        <w:t xml:space="preserve"> </w:t>
      </w:r>
      <w:r w:rsidR="00687684" w:rsidRPr="00D869E3">
        <w:rPr>
          <w:rFonts w:ascii="Verdana" w:hAnsi="Verdana"/>
          <w:sz w:val="20"/>
          <w:szCs w:val="20"/>
          <w:lang w:val="en-US"/>
        </w:rPr>
        <w:t>the representatives</w:t>
      </w:r>
      <w:r w:rsidR="006F79F4" w:rsidRPr="00D869E3">
        <w:rPr>
          <w:rFonts w:ascii="Verdana" w:hAnsi="Verdana"/>
          <w:sz w:val="20"/>
          <w:szCs w:val="20"/>
          <w:lang w:val="en-US"/>
        </w:rPr>
        <w:t xml:space="preserve"> present</w:t>
      </w:r>
      <w:r w:rsidRPr="00D869E3">
        <w:rPr>
          <w:rFonts w:ascii="Verdana" w:hAnsi="Verdana"/>
          <w:sz w:val="20"/>
          <w:szCs w:val="20"/>
          <w:lang w:val="en-US"/>
        </w:rPr>
        <w:t xml:space="preserve">ed their brief with </w:t>
      </w:r>
      <w:r w:rsidR="001C1450" w:rsidRPr="00D869E3">
        <w:rPr>
          <w:rFonts w:ascii="Verdana" w:hAnsi="Verdana"/>
          <w:sz w:val="20"/>
          <w:szCs w:val="20"/>
          <w:lang w:val="en-US"/>
        </w:rPr>
        <w:t>motions, pleadings and</w:t>
      </w:r>
      <w:r w:rsidRPr="00D869E3">
        <w:rPr>
          <w:rFonts w:ascii="Verdana" w:hAnsi="Verdana"/>
          <w:sz w:val="20"/>
          <w:szCs w:val="20"/>
          <w:lang w:val="en-US"/>
        </w:rPr>
        <w:t xml:space="preserve"> evidence</w:t>
      </w:r>
      <w:r w:rsidR="006F79F4" w:rsidRPr="00D869E3">
        <w:rPr>
          <w:rFonts w:ascii="Verdana" w:hAnsi="Verdana"/>
          <w:sz w:val="20"/>
          <w:szCs w:val="20"/>
          <w:lang w:val="en-US"/>
        </w:rPr>
        <w:t xml:space="preserve"> (</w:t>
      </w:r>
      <w:r w:rsidR="00447C65" w:rsidRPr="00D869E3">
        <w:rPr>
          <w:rFonts w:ascii="Verdana" w:hAnsi="Verdana"/>
          <w:sz w:val="20"/>
          <w:szCs w:val="20"/>
          <w:lang w:val="en-US"/>
        </w:rPr>
        <w:t>hereinafter</w:t>
      </w:r>
      <w:r w:rsidR="006F79F4" w:rsidRPr="00D869E3">
        <w:rPr>
          <w:rFonts w:ascii="Verdana" w:hAnsi="Verdana"/>
          <w:sz w:val="20"/>
          <w:szCs w:val="20"/>
          <w:lang w:val="en-US"/>
        </w:rPr>
        <w:t xml:space="preserve"> </w:t>
      </w:r>
      <w:r w:rsidR="006436CA" w:rsidRPr="00D869E3">
        <w:rPr>
          <w:rFonts w:ascii="Verdana" w:hAnsi="Verdana"/>
          <w:sz w:val="20"/>
          <w:szCs w:val="20"/>
          <w:lang w:val="en-US"/>
        </w:rPr>
        <w:t>“</w:t>
      </w:r>
      <w:r w:rsidR="001C1450" w:rsidRPr="00D869E3">
        <w:rPr>
          <w:rFonts w:ascii="Verdana" w:hAnsi="Verdana"/>
          <w:sz w:val="20"/>
          <w:szCs w:val="20"/>
          <w:lang w:val="en-US"/>
        </w:rPr>
        <w:t>motions and pleadings</w:t>
      </w:r>
      <w:r w:rsidRPr="00D869E3">
        <w:rPr>
          <w:rFonts w:ascii="Verdana" w:hAnsi="Verdana"/>
          <w:sz w:val="20"/>
          <w:szCs w:val="20"/>
          <w:lang w:val="en-US"/>
        </w:rPr>
        <w:t xml:space="preserve"> brief</w:t>
      </w:r>
      <w:r w:rsidR="006436CA" w:rsidRPr="00D869E3">
        <w:rPr>
          <w:rFonts w:ascii="Verdana" w:hAnsi="Verdana"/>
          <w:sz w:val="20"/>
          <w:szCs w:val="20"/>
          <w:lang w:val="en-US"/>
        </w:rPr>
        <w:t>”</w:t>
      </w:r>
      <w:r w:rsidR="006F79F4" w:rsidRPr="00D869E3">
        <w:rPr>
          <w:rFonts w:ascii="Verdana" w:hAnsi="Verdana"/>
          <w:sz w:val="20"/>
          <w:szCs w:val="20"/>
          <w:lang w:val="en-US"/>
        </w:rPr>
        <w:t xml:space="preserve">), </w:t>
      </w:r>
      <w:r w:rsidRPr="00D869E3">
        <w:rPr>
          <w:rFonts w:ascii="Verdana" w:hAnsi="Verdana"/>
          <w:sz w:val="20"/>
          <w:szCs w:val="20"/>
          <w:lang w:val="en-US"/>
        </w:rPr>
        <w:t>in which they requested access to the Victims’ Legal Assistance Fund</w:t>
      </w:r>
      <w:r w:rsidR="00447C65" w:rsidRPr="00D869E3">
        <w:rPr>
          <w:rFonts w:ascii="Verdana" w:hAnsi="Verdana"/>
          <w:sz w:val="20"/>
          <w:szCs w:val="20"/>
          <w:lang w:val="en-US"/>
        </w:rPr>
        <w:t xml:space="preserve"> of the Inter-American Court</w:t>
      </w:r>
      <w:r w:rsidR="006F79F4" w:rsidRPr="00D869E3">
        <w:rPr>
          <w:rFonts w:ascii="Verdana" w:hAnsi="Verdana"/>
          <w:sz w:val="20"/>
          <w:szCs w:val="20"/>
          <w:lang w:val="en-US"/>
        </w:rPr>
        <w:t xml:space="preserve"> (</w:t>
      </w:r>
      <w:r w:rsidR="00447C65" w:rsidRPr="00D869E3">
        <w:rPr>
          <w:rFonts w:ascii="Verdana" w:hAnsi="Verdana"/>
          <w:sz w:val="20"/>
          <w:szCs w:val="20"/>
          <w:lang w:val="en-US"/>
        </w:rPr>
        <w:t>hereinafter</w:t>
      </w:r>
      <w:r w:rsidR="006F79F4" w:rsidRPr="00D869E3">
        <w:rPr>
          <w:rFonts w:ascii="Verdana" w:hAnsi="Verdana"/>
          <w:sz w:val="20"/>
          <w:szCs w:val="20"/>
          <w:lang w:val="en-US"/>
        </w:rPr>
        <w:t xml:space="preserve"> </w:t>
      </w:r>
      <w:r w:rsidR="006436CA" w:rsidRPr="00D869E3">
        <w:rPr>
          <w:rFonts w:ascii="Verdana" w:hAnsi="Verdana"/>
          <w:sz w:val="20"/>
          <w:szCs w:val="20"/>
          <w:lang w:val="en-US"/>
        </w:rPr>
        <w:t>“</w:t>
      </w:r>
      <w:r w:rsidRPr="00D869E3">
        <w:rPr>
          <w:rFonts w:ascii="Verdana" w:hAnsi="Verdana"/>
          <w:sz w:val="20"/>
          <w:szCs w:val="20"/>
          <w:lang w:val="en-US"/>
        </w:rPr>
        <w:t>the Court’s Assistance Fund</w:t>
      </w:r>
      <w:r w:rsidR="006436CA" w:rsidRPr="00D869E3">
        <w:rPr>
          <w:rFonts w:ascii="Verdana" w:hAnsi="Verdana"/>
          <w:sz w:val="20"/>
          <w:szCs w:val="20"/>
          <w:lang w:val="en-US"/>
        </w:rPr>
        <w:t>”</w:t>
      </w:r>
      <w:r w:rsidR="006F79F4" w:rsidRPr="00D869E3">
        <w:rPr>
          <w:rFonts w:ascii="Verdana" w:hAnsi="Verdana"/>
          <w:sz w:val="20"/>
          <w:szCs w:val="20"/>
          <w:lang w:val="en-US"/>
        </w:rPr>
        <w:t xml:space="preserve"> o</w:t>
      </w:r>
      <w:r w:rsidRPr="00D869E3">
        <w:rPr>
          <w:rFonts w:ascii="Verdana" w:hAnsi="Verdana"/>
          <w:sz w:val="20"/>
          <w:szCs w:val="20"/>
          <w:lang w:val="en-US"/>
        </w:rPr>
        <w:t>r</w:t>
      </w:r>
      <w:r w:rsidR="006F79F4" w:rsidRPr="00D869E3">
        <w:rPr>
          <w:rFonts w:ascii="Verdana" w:hAnsi="Verdana"/>
          <w:sz w:val="20"/>
          <w:szCs w:val="20"/>
          <w:lang w:val="en-US"/>
        </w:rPr>
        <w:t xml:space="preserve"> </w:t>
      </w:r>
      <w:r w:rsidR="006436CA" w:rsidRPr="00D869E3">
        <w:rPr>
          <w:rFonts w:ascii="Verdana" w:hAnsi="Verdana"/>
          <w:sz w:val="20"/>
          <w:szCs w:val="20"/>
          <w:lang w:val="en-US"/>
        </w:rPr>
        <w:t>“</w:t>
      </w:r>
      <w:r w:rsidRPr="00D869E3">
        <w:rPr>
          <w:rFonts w:ascii="Verdana" w:hAnsi="Verdana"/>
          <w:sz w:val="20"/>
          <w:szCs w:val="20"/>
          <w:lang w:val="en-US"/>
        </w:rPr>
        <w:t xml:space="preserve">the </w:t>
      </w:r>
      <w:r w:rsidR="006F79F4" w:rsidRPr="00D869E3">
        <w:rPr>
          <w:rFonts w:ascii="Verdana" w:hAnsi="Verdana"/>
          <w:sz w:val="20"/>
          <w:szCs w:val="20"/>
          <w:lang w:val="en-US"/>
        </w:rPr>
        <w:t>F</w:t>
      </w:r>
      <w:r w:rsidRPr="00D869E3">
        <w:rPr>
          <w:rFonts w:ascii="Verdana" w:hAnsi="Verdana"/>
          <w:sz w:val="20"/>
          <w:szCs w:val="20"/>
          <w:lang w:val="en-US"/>
        </w:rPr>
        <w:t>und</w:t>
      </w:r>
      <w:r w:rsidR="006436CA" w:rsidRPr="00D869E3">
        <w:rPr>
          <w:rFonts w:ascii="Verdana" w:hAnsi="Verdana"/>
          <w:sz w:val="20"/>
          <w:szCs w:val="20"/>
          <w:lang w:val="en-US"/>
        </w:rPr>
        <w:t>”</w:t>
      </w:r>
      <w:r w:rsidR="006F79F4" w:rsidRPr="00D869E3">
        <w:rPr>
          <w:rFonts w:ascii="Verdana" w:hAnsi="Verdana"/>
          <w:sz w:val="20"/>
          <w:szCs w:val="20"/>
          <w:lang w:val="en-US"/>
        </w:rPr>
        <w:t>).</w:t>
      </w:r>
    </w:p>
    <w:p w14:paraId="242AE307" w14:textId="77777777" w:rsidR="006F79F4" w:rsidRPr="00D869E3" w:rsidRDefault="006F79F4" w:rsidP="00333304">
      <w:pPr>
        <w:pStyle w:val="Prrafodelista"/>
        <w:ind w:left="0"/>
        <w:jc w:val="both"/>
        <w:rPr>
          <w:rFonts w:ascii="Verdana" w:hAnsi="Verdana"/>
          <w:sz w:val="20"/>
          <w:szCs w:val="20"/>
          <w:lang w:val="en-US"/>
        </w:rPr>
      </w:pPr>
    </w:p>
    <w:p w14:paraId="1807BAF3" w14:textId="34FCEADE" w:rsidR="006F79F4" w:rsidRPr="00D869E3" w:rsidRDefault="001B7816" w:rsidP="00E66DD7">
      <w:pPr>
        <w:pStyle w:val="Prrafodelista"/>
        <w:numPr>
          <w:ilvl w:val="0"/>
          <w:numId w:val="1"/>
        </w:numPr>
        <w:ind w:left="0" w:firstLine="0"/>
        <w:jc w:val="both"/>
        <w:rPr>
          <w:rFonts w:ascii="Verdana" w:hAnsi="Verdana"/>
          <w:sz w:val="20"/>
          <w:szCs w:val="20"/>
          <w:lang w:val="en-US"/>
        </w:rPr>
      </w:pPr>
      <w:r w:rsidRPr="00D869E3">
        <w:rPr>
          <w:rFonts w:ascii="Verdana" w:hAnsi="Verdana"/>
          <w:i/>
          <w:sz w:val="20"/>
          <w:szCs w:val="20"/>
          <w:lang w:val="en-US"/>
        </w:rPr>
        <w:t>Answering brief</w:t>
      </w:r>
      <w:r w:rsidR="006F79F4" w:rsidRPr="00D869E3">
        <w:rPr>
          <w:rFonts w:ascii="Verdana" w:hAnsi="Verdana"/>
          <w:i/>
          <w:sz w:val="20"/>
          <w:szCs w:val="20"/>
          <w:lang w:val="en-US"/>
        </w:rPr>
        <w:t>.</w:t>
      </w:r>
      <w:r w:rsidR="006F79F4" w:rsidRPr="00D869E3">
        <w:rPr>
          <w:rFonts w:ascii="Verdana" w:hAnsi="Verdana"/>
          <w:sz w:val="20"/>
          <w:szCs w:val="20"/>
          <w:lang w:val="en-US"/>
        </w:rPr>
        <w:t xml:space="preserve"> </w:t>
      </w:r>
      <w:r w:rsidRPr="00D869E3">
        <w:rPr>
          <w:rFonts w:ascii="Verdana" w:hAnsi="Verdana"/>
          <w:sz w:val="20"/>
          <w:szCs w:val="20"/>
          <w:lang w:val="en-US"/>
        </w:rPr>
        <w:t>On June 27,</w:t>
      </w:r>
      <w:r w:rsidR="006F79F4" w:rsidRPr="00D869E3">
        <w:rPr>
          <w:rFonts w:ascii="Verdana" w:hAnsi="Verdana"/>
          <w:sz w:val="20"/>
          <w:szCs w:val="20"/>
          <w:lang w:val="en-US"/>
        </w:rPr>
        <w:t xml:space="preserve"> 2016</w:t>
      </w:r>
      <w:r w:rsidRPr="00D869E3">
        <w:rPr>
          <w:rFonts w:ascii="Verdana" w:hAnsi="Verdana"/>
          <w:sz w:val="20"/>
          <w:szCs w:val="20"/>
          <w:lang w:val="en-US"/>
        </w:rPr>
        <w:t>,</w:t>
      </w:r>
      <w:r w:rsidR="006F79F4" w:rsidRPr="00D869E3">
        <w:rPr>
          <w:rFonts w:ascii="Verdana" w:hAnsi="Verdana"/>
          <w:sz w:val="20"/>
          <w:szCs w:val="20"/>
          <w:lang w:val="en-US"/>
        </w:rPr>
        <w:t xml:space="preserve"> </w:t>
      </w:r>
      <w:r w:rsidR="00447C65" w:rsidRPr="00D869E3">
        <w:rPr>
          <w:rFonts w:ascii="Verdana" w:hAnsi="Verdana"/>
          <w:sz w:val="20"/>
          <w:szCs w:val="20"/>
          <w:lang w:val="en-US"/>
        </w:rPr>
        <w:t>the State</w:t>
      </w:r>
      <w:r w:rsidR="006F79F4" w:rsidRPr="00D869E3">
        <w:rPr>
          <w:rFonts w:ascii="Verdana" w:hAnsi="Verdana"/>
          <w:sz w:val="20"/>
          <w:szCs w:val="20"/>
          <w:lang w:val="en-US"/>
        </w:rPr>
        <w:t xml:space="preserve"> </w:t>
      </w:r>
      <w:r w:rsidR="00CE3F0D" w:rsidRPr="00D869E3">
        <w:rPr>
          <w:rFonts w:ascii="Verdana" w:hAnsi="Verdana"/>
          <w:sz w:val="20"/>
          <w:szCs w:val="20"/>
          <w:lang w:val="en-US"/>
        </w:rPr>
        <w:t>presented to</w:t>
      </w:r>
      <w:r w:rsidR="006F79F4" w:rsidRPr="00D869E3">
        <w:rPr>
          <w:rFonts w:ascii="Verdana" w:hAnsi="Verdana"/>
          <w:sz w:val="20"/>
          <w:szCs w:val="20"/>
          <w:lang w:val="en-US"/>
        </w:rPr>
        <w:t xml:space="preserve"> </w:t>
      </w:r>
      <w:r w:rsidR="00447C65" w:rsidRPr="00D869E3">
        <w:rPr>
          <w:rFonts w:ascii="Verdana" w:hAnsi="Verdana"/>
          <w:sz w:val="20"/>
          <w:szCs w:val="20"/>
          <w:lang w:val="en-US"/>
        </w:rPr>
        <w:t>the Court</w:t>
      </w:r>
      <w:r w:rsidR="006F79F4" w:rsidRPr="00D869E3">
        <w:rPr>
          <w:rFonts w:ascii="Verdana" w:hAnsi="Verdana"/>
          <w:sz w:val="20"/>
          <w:szCs w:val="20"/>
          <w:lang w:val="en-US"/>
        </w:rPr>
        <w:t xml:space="preserve"> </w:t>
      </w:r>
      <w:r w:rsidR="00CE3F0D" w:rsidRPr="00D869E3">
        <w:rPr>
          <w:rFonts w:ascii="Verdana" w:hAnsi="Verdana"/>
          <w:sz w:val="20"/>
          <w:szCs w:val="20"/>
          <w:lang w:val="en-US"/>
        </w:rPr>
        <w:t xml:space="preserve">its answer to the brief submitting the case, and with observations on the brief with </w:t>
      </w:r>
      <w:r w:rsidR="001C1450" w:rsidRPr="00D869E3">
        <w:rPr>
          <w:rFonts w:ascii="Verdana" w:hAnsi="Verdana"/>
          <w:sz w:val="20"/>
          <w:szCs w:val="20"/>
          <w:lang w:val="en-US"/>
        </w:rPr>
        <w:t>motions, pleadings and</w:t>
      </w:r>
      <w:r w:rsidR="00CE3F0D" w:rsidRPr="00D869E3">
        <w:rPr>
          <w:rFonts w:ascii="Verdana" w:hAnsi="Verdana"/>
          <w:sz w:val="20"/>
          <w:szCs w:val="20"/>
          <w:lang w:val="en-US"/>
        </w:rPr>
        <w:t xml:space="preserve"> evidence</w:t>
      </w:r>
      <w:r w:rsidR="006F79F4" w:rsidRPr="00D869E3">
        <w:rPr>
          <w:rFonts w:ascii="Verdana" w:hAnsi="Verdana"/>
          <w:sz w:val="20"/>
          <w:szCs w:val="20"/>
          <w:lang w:val="en-US"/>
        </w:rPr>
        <w:t xml:space="preserve"> (</w:t>
      </w:r>
      <w:r w:rsidR="00447C65" w:rsidRPr="00D869E3">
        <w:rPr>
          <w:rFonts w:ascii="Verdana" w:hAnsi="Verdana"/>
          <w:sz w:val="20"/>
          <w:szCs w:val="20"/>
          <w:lang w:val="en-US"/>
        </w:rPr>
        <w:t>hereinafter</w:t>
      </w:r>
      <w:r w:rsidR="006F79F4" w:rsidRPr="00D869E3">
        <w:rPr>
          <w:rFonts w:ascii="Verdana" w:hAnsi="Verdana"/>
          <w:sz w:val="20"/>
          <w:szCs w:val="20"/>
          <w:lang w:val="en-US"/>
        </w:rPr>
        <w:t xml:space="preserve"> </w:t>
      </w:r>
      <w:r w:rsidR="006436CA" w:rsidRPr="00D869E3">
        <w:rPr>
          <w:rFonts w:ascii="Verdana" w:hAnsi="Verdana"/>
          <w:sz w:val="20"/>
          <w:szCs w:val="20"/>
          <w:lang w:val="en-US"/>
        </w:rPr>
        <w:t>“</w:t>
      </w:r>
      <w:r w:rsidR="00CE3F0D" w:rsidRPr="00D869E3">
        <w:rPr>
          <w:rFonts w:ascii="Verdana" w:hAnsi="Verdana"/>
          <w:sz w:val="20"/>
          <w:szCs w:val="20"/>
          <w:lang w:val="en-US"/>
        </w:rPr>
        <w:t>a</w:t>
      </w:r>
      <w:r w:rsidRPr="00D869E3">
        <w:rPr>
          <w:rFonts w:ascii="Verdana" w:hAnsi="Verdana"/>
          <w:sz w:val="20"/>
          <w:szCs w:val="20"/>
          <w:lang w:val="en-US"/>
        </w:rPr>
        <w:t>nswering brief</w:t>
      </w:r>
      <w:r w:rsidR="006436CA" w:rsidRPr="00D869E3">
        <w:rPr>
          <w:rFonts w:ascii="Verdana" w:hAnsi="Verdana"/>
          <w:sz w:val="20"/>
          <w:szCs w:val="20"/>
          <w:lang w:val="en-US"/>
        </w:rPr>
        <w:t>”</w:t>
      </w:r>
      <w:r w:rsidR="006F79F4" w:rsidRPr="00D869E3">
        <w:rPr>
          <w:rFonts w:ascii="Verdana" w:hAnsi="Verdana"/>
          <w:sz w:val="20"/>
          <w:szCs w:val="20"/>
          <w:lang w:val="en-US"/>
        </w:rPr>
        <w:t>).</w:t>
      </w:r>
      <w:r w:rsidR="00524EDB" w:rsidRPr="00D869E3">
        <w:rPr>
          <w:rFonts w:ascii="Verdana" w:hAnsi="Verdana"/>
          <w:sz w:val="20"/>
          <w:szCs w:val="20"/>
          <w:lang w:val="en-US"/>
        </w:rPr>
        <w:t xml:space="preserve"> </w:t>
      </w:r>
      <w:r w:rsidR="00CE3F0D" w:rsidRPr="00D869E3">
        <w:rPr>
          <w:rFonts w:ascii="Verdana" w:hAnsi="Verdana"/>
          <w:sz w:val="20"/>
          <w:szCs w:val="20"/>
          <w:lang w:val="en-US"/>
        </w:rPr>
        <w:t>In this brief,</w:t>
      </w:r>
      <w:r w:rsidR="006F79F4" w:rsidRPr="00D869E3">
        <w:rPr>
          <w:rFonts w:ascii="Verdana" w:hAnsi="Verdana"/>
          <w:sz w:val="20"/>
          <w:szCs w:val="20"/>
          <w:lang w:val="en-US"/>
        </w:rPr>
        <w:t xml:space="preserve"> </w:t>
      </w:r>
      <w:r w:rsidR="00447C65" w:rsidRPr="00D869E3">
        <w:rPr>
          <w:rFonts w:ascii="Verdana" w:hAnsi="Verdana"/>
          <w:sz w:val="20"/>
          <w:szCs w:val="20"/>
          <w:lang w:val="en-US"/>
        </w:rPr>
        <w:t>the State</w:t>
      </w:r>
      <w:r w:rsidR="006F79F4" w:rsidRPr="00D869E3">
        <w:rPr>
          <w:rFonts w:ascii="Verdana" w:hAnsi="Verdana"/>
          <w:sz w:val="20"/>
          <w:szCs w:val="20"/>
          <w:lang w:val="en-US"/>
        </w:rPr>
        <w:t xml:space="preserve"> </w:t>
      </w:r>
      <w:r w:rsidR="00CE3F0D" w:rsidRPr="00D869E3">
        <w:rPr>
          <w:rFonts w:ascii="Verdana" w:hAnsi="Verdana"/>
          <w:sz w:val="20"/>
          <w:szCs w:val="20"/>
          <w:lang w:val="en-US"/>
        </w:rPr>
        <w:t>filed a series of</w:t>
      </w:r>
      <w:r w:rsidR="006F79F4" w:rsidRPr="00D869E3">
        <w:rPr>
          <w:rFonts w:ascii="Verdana" w:hAnsi="Verdana"/>
          <w:sz w:val="20"/>
          <w:szCs w:val="20"/>
          <w:lang w:val="en-US"/>
        </w:rPr>
        <w:t xml:space="preserve"> </w:t>
      </w:r>
      <w:r w:rsidR="006436CA" w:rsidRPr="00D869E3">
        <w:rPr>
          <w:rFonts w:ascii="Verdana" w:hAnsi="Verdana"/>
          <w:sz w:val="20"/>
          <w:szCs w:val="20"/>
          <w:lang w:val="en-US"/>
        </w:rPr>
        <w:t>“</w:t>
      </w:r>
      <w:r w:rsidR="006F79F4" w:rsidRPr="00D869E3">
        <w:rPr>
          <w:rFonts w:ascii="Verdana" w:hAnsi="Verdana"/>
          <w:sz w:val="20"/>
          <w:szCs w:val="20"/>
          <w:lang w:val="en-US"/>
        </w:rPr>
        <w:t>observa</w:t>
      </w:r>
      <w:r w:rsidR="00CE3F0D" w:rsidRPr="00D869E3">
        <w:rPr>
          <w:rFonts w:ascii="Verdana" w:hAnsi="Verdana"/>
          <w:sz w:val="20"/>
          <w:szCs w:val="20"/>
          <w:lang w:val="en-US"/>
        </w:rPr>
        <w:t xml:space="preserve">tions on the </w:t>
      </w:r>
      <w:r w:rsidR="00687684" w:rsidRPr="00D869E3">
        <w:rPr>
          <w:rFonts w:ascii="Verdana" w:hAnsi="Verdana"/>
          <w:sz w:val="20"/>
          <w:szCs w:val="20"/>
          <w:lang w:val="en-US"/>
        </w:rPr>
        <w:t xml:space="preserve">Admissibility Report and </w:t>
      </w:r>
      <w:r w:rsidR="00CE3F0D" w:rsidRPr="00D869E3">
        <w:rPr>
          <w:rFonts w:ascii="Verdana" w:hAnsi="Verdana"/>
          <w:sz w:val="20"/>
          <w:szCs w:val="20"/>
          <w:lang w:val="en-US"/>
        </w:rPr>
        <w:t xml:space="preserve">raised procedural questions concerning the arguments filed by </w:t>
      </w:r>
      <w:r w:rsidR="00447C65" w:rsidRPr="00D869E3">
        <w:rPr>
          <w:rFonts w:ascii="Verdana" w:hAnsi="Verdana"/>
          <w:sz w:val="20"/>
          <w:szCs w:val="20"/>
          <w:lang w:val="en-US"/>
        </w:rPr>
        <w:t>the Commission</w:t>
      </w:r>
      <w:r w:rsidR="00687684" w:rsidRPr="00D869E3">
        <w:rPr>
          <w:rFonts w:ascii="Verdana" w:hAnsi="Verdana"/>
          <w:sz w:val="20"/>
          <w:szCs w:val="20"/>
          <w:lang w:val="en-US"/>
        </w:rPr>
        <w:t xml:space="preserve"> and the representatives</w:t>
      </w:r>
      <w:r w:rsidR="00CE3F0D" w:rsidRPr="00D869E3">
        <w:rPr>
          <w:rFonts w:ascii="Verdana" w:hAnsi="Verdana"/>
          <w:sz w:val="20"/>
          <w:szCs w:val="20"/>
          <w:lang w:val="en-US"/>
        </w:rPr>
        <w:t>.</w:t>
      </w:r>
      <w:r w:rsidR="006436CA" w:rsidRPr="00D869E3">
        <w:rPr>
          <w:rFonts w:ascii="Verdana" w:hAnsi="Verdana"/>
          <w:sz w:val="20"/>
          <w:szCs w:val="20"/>
          <w:lang w:val="en-US"/>
        </w:rPr>
        <w:t>”</w:t>
      </w:r>
    </w:p>
    <w:p w14:paraId="7B9BC5A1" w14:textId="77777777" w:rsidR="006F79F4" w:rsidRPr="00D869E3" w:rsidRDefault="006F79F4" w:rsidP="00AF7637">
      <w:pPr>
        <w:pStyle w:val="Prrafodelista"/>
        <w:ind w:left="0"/>
        <w:rPr>
          <w:rFonts w:ascii="Verdana" w:hAnsi="Verdana"/>
          <w:sz w:val="20"/>
          <w:szCs w:val="20"/>
          <w:lang w:val="en-US"/>
        </w:rPr>
      </w:pPr>
    </w:p>
    <w:p w14:paraId="21F9AB06" w14:textId="0E973AEE" w:rsidR="006F79F4" w:rsidRPr="00D869E3" w:rsidRDefault="006F79F4" w:rsidP="00E66DD7">
      <w:pPr>
        <w:pStyle w:val="Prrafodelista"/>
        <w:numPr>
          <w:ilvl w:val="0"/>
          <w:numId w:val="1"/>
        </w:numPr>
        <w:ind w:left="0" w:firstLine="0"/>
        <w:jc w:val="both"/>
        <w:rPr>
          <w:rFonts w:ascii="Verdana" w:hAnsi="Verdana"/>
          <w:i/>
          <w:sz w:val="20"/>
          <w:szCs w:val="20"/>
          <w:lang w:val="en-US"/>
        </w:rPr>
      </w:pPr>
      <w:r w:rsidRPr="00D869E3">
        <w:rPr>
          <w:rFonts w:ascii="Verdana" w:hAnsi="Verdana"/>
          <w:i/>
          <w:sz w:val="20"/>
          <w:szCs w:val="20"/>
          <w:lang w:val="en-US"/>
        </w:rPr>
        <w:t>Observa</w:t>
      </w:r>
      <w:r w:rsidR="00CE3F0D" w:rsidRPr="00D869E3">
        <w:rPr>
          <w:rFonts w:ascii="Verdana" w:hAnsi="Verdana"/>
          <w:i/>
          <w:sz w:val="20"/>
          <w:szCs w:val="20"/>
          <w:lang w:val="en-US"/>
        </w:rPr>
        <w:t>tions on the</w:t>
      </w:r>
      <w:r w:rsidRPr="00D869E3">
        <w:rPr>
          <w:rFonts w:ascii="Verdana" w:hAnsi="Verdana"/>
          <w:i/>
          <w:sz w:val="20"/>
          <w:szCs w:val="20"/>
          <w:lang w:val="en-US"/>
        </w:rPr>
        <w:t xml:space="preserve"> </w:t>
      </w:r>
      <w:r w:rsidR="00CE3F0D" w:rsidRPr="00D869E3">
        <w:rPr>
          <w:rFonts w:ascii="Verdana" w:hAnsi="Verdana"/>
          <w:i/>
          <w:sz w:val="20"/>
          <w:szCs w:val="20"/>
          <w:lang w:val="en-US"/>
        </w:rPr>
        <w:t>preliminary objections</w:t>
      </w:r>
      <w:r w:rsidRPr="00D869E3">
        <w:rPr>
          <w:rFonts w:ascii="Verdana" w:hAnsi="Verdana"/>
          <w:i/>
          <w:sz w:val="20"/>
          <w:szCs w:val="20"/>
          <w:lang w:val="en-US"/>
        </w:rPr>
        <w:t>.</w:t>
      </w:r>
      <w:r w:rsidR="007C68E6" w:rsidRPr="00D869E3">
        <w:rPr>
          <w:rFonts w:ascii="Verdana" w:hAnsi="Verdana"/>
          <w:sz w:val="20"/>
          <w:szCs w:val="20"/>
          <w:lang w:val="en-US"/>
        </w:rPr>
        <w:t xml:space="preserve"> </w:t>
      </w:r>
      <w:r w:rsidR="00CE3F0D" w:rsidRPr="00D869E3">
        <w:rPr>
          <w:rFonts w:ascii="Verdana" w:hAnsi="Verdana"/>
          <w:sz w:val="20"/>
          <w:szCs w:val="20"/>
          <w:lang w:val="en-US"/>
        </w:rPr>
        <w:t>On August</w:t>
      </w:r>
      <w:r w:rsidRPr="00D869E3">
        <w:rPr>
          <w:rFonts w:ascii="Verdana" w:hAnsi="Verdana"/>
          <w:sz w:val="20"/>
          <w:szCs w:val="20"/>
          <w:lang w:val="en-US"/>
        </w:rPr>
        <w:t xml:space="preserve"> 14</w:t>
      </w:r>
      <w:r w:rsidR="00687684" w:rsidRPr="00D869E3">
        <w:rPr>
          <w:rFonts w:ascii="Verdana" w:hAnsi="Verdana"/>
          <w:sz w:val="20"/>
          <w:szCs w:val="20"/>
          <w:lang w:val="en-US"/>
        </w:rPr>
        <w:t xml:space="preserve"> and </w:t>
      </w:r>
      <w:r w:rsidRPr="00D869E3">
        <w:rPr>
          <w:rFonts w:ascii="Verdana" w:hAnsi="Verdana"/>
          <w:sz w:val="20"/>
          <w:szCs w:val="20"/>
          <w:lang w:val="en-US"/>
        </w:rPr>
        <w:t>16</w:t>
      </w:r>
      <w:r w:rsidR="003E68B9" w:rsidRPr="00D869E3">
        <w:rPr>
          <w:rFonts w:ascii="Verdana" w:hAnsi="Verdana"/>
          <w:sz w:val="20"/>
          <w:szCs w:val="20"/>
          <w:lang w:val="en-US"/>
        </w:rPr>
        <w:t>,</w:t>
      </w:r>
      <w:r w:rsidRPr="00D869E3">
        <w:rPr>
          <w:rFonts w:ascii="Verdana" w:hAnsi="Verdana"/>
          <w:sz w:val="20"/>
          <w:szCs w:val="20"/>
          <w:lang w:val="en-US"/>
        </w:rPr>
        <w:t xml:space="preserve"> 2016, respectiv</w:t>
      </w:r>
      <w:r w:rsidR="00CE3F0D" w:rsidRPr="00D869E3">
        <w:rPr>
          <w:rFonts w:ascii="Verdana" w:hAnsi="Verdana"/>
          <w:sz w:val="20"/>
          <w:szCs w:val="20"/>
          <w:lang w:val="en-US"/>
        </w:rPr>
        <w:t>ely</w:t>
      </w:r>
      <w:r w:rsidRPr="00D869E3">
        <w:rPr>
          <w:rFonts w:ascii="Verdana" w:hAnsi="Verdana"/>
          <w:sz w:val="20"/>
          <w:szCs w:val="20"/>
          <w:lang w:val="en-US"/>
        </w:rPr>
        <w:t xml:space="preserve">, </w:t>
      </w:r>
      <w:r w:rsidR="00687684" w:rsidRPr="00D869E3">
        <w:rPr>
          <w:rFonts w:ascii="Verdana" w:hAnsi="Verdana"/>
          <w:sz w:val="20"/>
          <w:szCs w:val="20"/>
          <w:lang w:val="en-US"/>
        </w:rPr>
        <w:t xml:space="preserve">the representatives and </w:t>
      </w:r>
      <w:r w:rsidR="00447C65" w:rsidRPr="00D869E3">
        <w:rPr>
          <w:rFonts w:ascii="Verdana" w:hAnsi="Verdana"/>
          <w:sz w:val="20"/>
          <w:szCs w:val="20"/>
          <w:lang w:val="en-US"/>
        </w:rPr>
        <w:t>the Commission</w:t>
      </w:r>
      <w:r w:rsidR="00524EDB" w:rsidRPr="00D869E3">
        <w:rPr>
          <w:rFonts w:ascii="Verdana" w:hAnsi="Verdana"/>
          <w:sz w:val="20"/>
          <w:szCs w:val="20"/>
          <w:lang w:val="en-US"/>
        </w:rPr>
        <w:t xml:space="preserve"> </w:t>
      </w:r>
      <w:r w:rsidR="00CE3F0D" w:rsidRPr="00D869E3">
        <w:rPr>
          <w:rFonts w:ascii="Verdana" w:hAnsi="Verdana"/>
          <w:sz w:val="20"/>
          <w:szCs w:val="20"/>
          <w:lang w:val="en-US"/>
        </w:rPr>
        <w:t xml:space="preserve">forwarded their observations on the </w:t>
      </w:r>
      <w:r w:rsidR="006436CA" w:rsidRPr="00D869E3">
        <w:rPr>
          <w:rFonts w:ascii="Verdana" w:hAnsi="Verdana"/>
          <w:sz w:val="20"/>
          <w:szCs w:val="20"/>
          <w:lang w:val="en-US"/>
        </w:rPr>
        <w:t>“</w:t>
      </w:r>
      <w:r w:rsidRPr="00D869E3">
        <w:rPr>
          <w:rFonts w:ascii="Verdana" w:hAnsi="Verdana"/>
          <w:sz w:val="20"/>
          <w:szCs w:val="20"/>
          <w:lang w:val="en-US"/>
        </w:rPr>
        <w:t>observa</w:t>
      </w:r>
      <w:r w:rsidR="00CE3F0D" w:rsidRPr="00D869E3">
        <w:rPr>
          <w:rFonts w:ascii="Verdana" w:hAnsi="Verdana"/>
          <w:sz w:val="20"/>
          <w:szCs w:val="20"/>
          <w:lang w:val="en-US"/>
        </w:rPr>
        <w:t xml:space="preserve">tions on the </w:t>
      </w:r>
      <w:r w:rsidR="00687684" w:rsidRPr="00D869E3">
        <w:rPr>
          <w:rFonts w:ascii="Verdana" w:hAnsi="Verdana"/>
          <w:sz w:val="20"/>
          <w:szCs w:val="20"/>
          <w:lang w:val="en-US"/>
        </w:rPr>
        <w:t xml:space="preserve">Admissibility Report and </w:t>
      </w:r>
      <w:r w:rsidR="00CE3F0D" w:rsidRPr="00D869E3">
        <w:rPr>
          <w:rFonts w:ascii="Verdana" w:hAnsi="Verdana"/>
          <w:sz w:val="20"/>
          <w:szCs w:val="20"/>
          <w:lang w:val="en-US"/>
        </w:rPr>
        <w:t>procedural questions</w:t>
      </w:r>
      <w:r w:rsidR="006436CA" w:rsidRPr="00D869E3">
        <w:rPr>
          <w:rFonts w:ascii="Verdana" w:hAnsi="Verdana"/>
          <w:sz w:val="20"/>
          <w:szCs w:val="20"/>
          <w:lang w:val="en-US"/>
        </w:rPr>
        <w:t>”</w:t>
      </w:r>
      <w:r w:rsidRPr="00D869E3">
        <w:rPr>
          <w:rFonts w:ascii="Verdana" w:hAnsi="Verdana"/>
          <w:sz w:val="20"/>
          <w:szCs w:val="20"/>
          <w:lang w:val="en-US"/>
        </w:rPr>
        <w:t xml:space="preserve"> </w:t>
      </w:r>
      <w:r w:rsidR="00CE3F0D" w:rsidRPr="00D869E3">
        <w:rPr>
          <w:rFonts w:ascii="Verdana" w:hAnsi="Verdana"/>
          <w:sz w:val="20"/>
          <w:szCs w:val="20"/>
          <w:lang w:val="en-US"/>
        </w:rPr>
        <w:t>filed by</w:t>
      </w:r>
      <w:r w:rsidRPr="00D869E3">
        <w:rPr>
          <w:rFonts w:ascii="Verdana" w:hAnsi="Verdana"/>
          <w:sz w:val="20"/>
          <w:szCs w:val="20"/>
          <w:lang w:val="en-US"/>
        </w:rPr>
        <w:t xml:space="preserve"> </w:t>
      </w:r>
      <w:r w:rsidR="00447C65" w:rsidRPr="00D869E3">
        <w:rPr>
          <w:rFonts w:ascii="Verdana" w:hAnsi="Verdana"/>
          <w:sz w:val="20"/>
          <w:szCs w:val="20"/>
          <w:lang w:val="en-US"/>
        </w:rPr>
        <w:t>the State</w:t>
      </w:r>
      <w:r w:rsidRPr="00D869E3">
        <w:rPr>
          <w:rFonts w:ascii="Verdana" w:hAnsi="Verdana"/>
          <w:sz w:val="20"/>
          <w:szCs w:val="20"/>
          <w:lang w:val="en-US"/>
        </w:rPr>
        <w:t xml:space="preserve">. </w:t>
      </w:r>
    </w:p>
    <w:p w14:paraId="3C49942A" w14:textId="77777777" w:rsidR="00BD0D35" w:rsidRPr="00D869E3" w:rsidRDefault="00BD0D35" w:rsidP="005D0F69">
      <w:pPr>
        <w:pStyle w:val="Prrafodelista"/>
        <w:ind w:left="0"/>
        <w:jc w:val="both"/>
        <w:rPr>
          <w:rFonts w:ascii="Verdana" w:hAnsi="Verdana"/>
          <w:i/>
          <w:sz w:val="20"/>
          <w:szCs w:val="20"/>
          <w:lang w:val="en-US"/>
        </w:rPr>
      </w:pPr>
    </w:p>
    <w:p w14:paraId="5B7012DE" w14:textId="6A635EAA" w:rsidR="00BD0D35" w:rsidRPr="00D869E3" w:rsidRDefault="003D1F89" w:rsidP="00E66DD7">
      <w:pPr>
        <w:pStyle w:val="Prrafodelista"/>
        <w:numPr>
          <w:ilvl w:val="0"/>
          <w:numId w:val="1"/>
        </w:numPr>
        <w:ind w:left="0" w:firstLine="0"/>
        <w:jc w:val="both"/>
        <w:rPr>
          <w:rFonts w:ascii="Verdana" w:hAnsi="Verdana"/>
          <w:i/>
          <w:sz w:val="20"/>
          <w:szCs w:val="20"/>
          <w:lang w:val="en-US"/>
        </w:rPr>
      </w:pPr>
      <w:r w:rsidRPr="00D869E3">
        <w:rPr>
          <w:rFonts w:ascii="Verdana" w:hAnsi="Verdana"/>
          <w:i/>
          <w:sz w:val="20"/>
          <w:szCs w:val="20"/>
          <w:lang w:val="en-US"/>
        </w:rPr>
        <w:lastRenderedPageBreak/>
        <w:t>Victims’ Legal Assistance Fund</w:t>
      </w:r>
      <w:r w:rsidR="00BD0D35" w:rsidRPr="00D869E3">
        <w:rPr>
          <w:rFonts w:ascii="Verdana" w:hAnsi="Verdana"/>
          <w:sz w:val="20"/>
          <w:lang w:val="en-US"/>
        </w:rPr>
        <w:t xml:space="preserve">. </w:t>
      </w:r>
      <w:r w:rsidR="001E44D3" w:rsidRPr="00D869E3">
        <w:rPr>
          <w:rFonts w:ascii="Verdana" w:hAnsi="Verdana"/>
          <w:sz w:val="20"/>
          <w:lang w:val="en-US"/>
        </w:rPr>
        <w:t>In an order</w:t>
      </w:r>
      <w:r w:rsidR="00447C65" w:rsidRPr="00D869E3">
        <w:rPr>
          <w:rFonts w:ascii="Verdana" w:hAnsi="Verdana"/>
          <w:sz w:val="20"/>
          <w:lang w:val="en-US"/>
        </w:rPr>
        <w:t xml:space="preserve"> of the President of the Court</w:t>
      </w:r>
      <w:r w:rsidR="00BD0D35" w:rsidRPr="00D869E3">
        <w:rPr>
          <w:rFonts w:ascii="Verdana" w:hAnsi="Verdana"/>
          <w:sz w:val="20"/>
          <w:lang w:val="en-US"/>
        </w:rPr>
        <w:t xml:space="preserve"> </w:t>
      </w:r>
      <w:r w:rsidR="001E44D3" w:rsidRPr="00D869E3">
        <w:rPr>
          <w:rFonts w:ascii="Verdana" w:hAnsi="Verdana"/>
          <w:sz w:val="20"/>
          <w:lang w:val="en-US"/>
        </w:rPr>
        <w:t>of July 14,</w:t>
      </w:r>
      <w:r w:rsidR="00BD0D35" w:rsidRPr="00D869E3">
        <w:rPr>
          <w:rFonts w:ascii="Verdana" w:hAnsi="Verdana"/>
          <w:sz w:val="20"/>
          <w:lang w:val="en-US"/>
        </w:rPr>
        <w:t xml:space="preserve"> 2016</w:t>
      </w:r>
      <w:r w:rsidR="00DD091E" w:rsidRPr="00D869E3">
        <w:rPr>
          <w:rFonts w:ascii="Verdana" w:hAnsi="Verdana"/>
          <w:sz w:val="20"/>
          <w:lang w:val="en-US"/>
        </w:rPr>
        <w:t xml:space="preserve"> </w:t>
      </w:r>
      <w:r w:rsidR="001E44D3" w:rsidRPr="00D869E3">
        <w:rPr>
          <w:rFonts w:ascii="Verdana" w:hAnsi="Verdana"/>
          <w:sz w:val="20"/>
          <w:lang w:val="en-US"/>
        </w:rPr>
        <w:t xml:space="preserve">the request for access to the Court’s Assistance Fund filed by </w:t>
      </w:r>
      <w:r w:rsidR="00687684" w:rsidRPr="00D869E3">
        <w:rPr>
          <w:rFonts w:ascii="Verdana" w:hAnsi="Verdana"/>
          <w:sz w:val="20"/>
          <w:lang w:val="en-US"/>
        </w:rPr>
        <w:t>the presumed victim</w:t>
      </w:r>
      <w:r w:rsidR="00BD0D35" w:rsidRPr="00D869E3">
        <w:rPr>
          <w:rFonts w:ascii="Verdana" w:hAnsi="Verdana"/>
          <w:sz w:val="20"/>
          <w:lang w:val="en-US"/>
        </w:rPr>
        <w:t xml:space="preserve">, </w:t>
      </w:r>
      <w:r w:rsidR="001E44D3" w:rsidRPr="00D869E3">
        <w:rPr>
          <w:rFonts w:ascii="Verdana" w:hAnsi="Verdana"/>
          <w:sz w:val="20"/>
          <w:lang w:val="en-US"/>
        </w:rPr>
        <w:t>through his representatives</w:t>
      </w:r>
      <w:r w:rsidR="00BD0D35" w:rsidRPr="00D869E3">
        <w:rPr>
          <w:rFonts w:ascii="Verdana" w:hAnsi="Verdana"/>
          <w:sz w:val="20"/>
          <w:lang w:val="en-US"/>
        </w:rPr>
        <w:t xml:space="preserve">, </w:t>
      </w:r>
      <w:r w:rsidR="001E44D3" w:rsidRPr="00D869E3">
        <w:rPr>
          <w:rFonts w:ascii="Verdana" w:hAnsi="Verdana"/>
          <w:sz w:val="20"/>
          <w:lang w:val="en-US"/>
        </w:rPr>
        <w:t>was declared admissible.</w:t>
      </w:r>
      <w:r w:rsidR="00A141EA" w:rsidRPr="00D869E3">
        <w:rPr>
          <w:rStyle w:val="Refdenotaalpie"/>
          <w:lang w:val="en-US"/>
        </w:rPr>
        <w:footnoteReference w:id="4"/>
      </w:r>
    </w:p>
    <w:p w14:paraId="0222D07D" w14:textId="77777777" w:rsidR="006F79F4" w:rsidRPr="00D869E3" w:rsidRDefault="006F79F4" w:rsidP="00AF7637">
      <w:pPr>
        <w:autoSpaceDE w:val="0"/>
        <w:autoSpaceDN w:val="0"/>
        <w:adjustRightInd w:val="0"/>
        <w:jc w:val="both"/>
        <w:rPr>
          <w:rFonts w:ascii="Verdana" w:eastAsiaTheme="minorHAnsi" w:hAnsi="Verdana" w:cs="Verdana"/>
          <w:color w:val="000000"/>
          <w:sz w:val="20"/>
          <w:szCs w:val="20"/>
          <w:lang w:val="en-US"/>
        </w:rPr>
      </w:pPr>
    </w:p>
    <w:p w14:paraId="0CA4ED95" w14:textId="79315C11" w:rsidR="006F79F4" w:rsidRPr="00D869E3" w:rsidRDefault="001E44D3" w:rsidP="00E66DD7">
      <w:pPr>
        <w:pStyle w:val="Prrafodelista"/>
        <w:numPr>
          <w:ilvl w:val="0"/>
          <w:numId w:val="1"/>
        </w:numPr>
        <w:ind w:left="0" w:firstLine="0"/>
        <w:jc w:val="both"/>
        <w:rPr>
          <w:rFonts w:ascii="Verdana" w:hAnsi="Verdana"/>
          <w:sz w:val="20"/>
          <w:szCs w:val="20"/>
          <w:lang w:val="en-US"/>
        </w:rPr>
      </w:pPr>
      <w:r w:rsidRPr="00D869E3">
        <w:rPr>
          <w:rFonts w:ascii="Verdana" w:hAnsi="Verdana"/>
          <w:i/>
          <w:sz w:val="20"/>
          <w:szCs w:val="20"/>
          <w:lang w:val="en-US"/>
        </w:rPr>
        <w:t>Public hearing</w:t>
      </w:r>
      <w:r w:rsidR="006F79F4" w:rsidRPr="00D869E3">
        <w:rPr>
          <w:rFonts w:ascii="Verdana" w:hAnsi="Verdana"/>
          <w:i/>
          <w:sz w:val="20"/>
          <w:szCs w:val="20"/>
          <w:lang w:val="en-US"/>
        </w:rPr>
        <w:t>.</w:t>
      </w:r>
      <w:r w:rsidR="006F79F4" w:rsidRPr="00D869E3">
        <w:rPr>
          <w:rFonts w:ascii="Verdana" w:hAnsi="Verdana"/>
          <w:sz w:val="20"/>
          <w:szCs w:val="20"/>
          <w:lang w:val="en-US"/>
        </w:rPr>
        <w:t xml:space="preserve"> </w:t>
      </w:r>
      <w:r w:rsidRPr="00D869E3">
        <w:rPr>
          <w:rFonts w:ascii="Verdana" w:hAnsi="Verdana"/>
          <w:sz w:val="20"/>
          <w:lang w:val="en-US"/>
        </w:rPr>
        <w:t xml:space="preserve">In an order of the </w:t>
      </w:r>
      <w:r w:rsidR="00447C65" w:rsidRPr="00D869E3">
        <w:rPr>
          <w:rFonts w:ascii="Verdana" w:hAnsi="Verdana"/>
          <w:sz w:val="20"/>
          <w:szCs w:val="20"/>
          <w:lang w:val="en-US"/>
        </w:rPr>
        <w:t>President of the Court</w:t>
      </w:r>
      <w:r w:rsidR="006F79F4" w:rsidRPr="00D869E3">
        <w:rPr>
          <w:rFonts w:ascii="Verdana" w:hAnsi="Verdana"/>
          <w:sz w:val="20"/>
          <w:szCs w:val="20"/>
          <w:lang w:val="en-US"/>
        </w:rPr>
        <w:t xml:space="preserve"> </w:t>
      </w:r>
      <w:r w:rsidRPr="00D869E3">
        <w:rPr>
          <w:rFonts w:ascii="Verdana" w:hAnsi="Verdana"/>
          <w:sz w:val="20"/>
          <w:szCs w:val="20"/>
          <w:lang w:val="en-US"/>
        </w:rPr>
        <w:t xml:space="preserve">of </w:t>
      </w:r>
      <w:r w:rsidR="00687684" w:rsidRPr="00D869E3">
        <w:rPr>
          <w:rFonts w:ascii="Verdana" w:hAnsi="Verdana"/>
          <w:sz w:val="20"/>
          <w:szCs w:val="20"/>
          <w:lang w:val="en-US"/>
        </w:rPr>
        <w:t xml:space="preserve">November </w:t>
      </w:r>
      <w:r w:rsidRPr="00D869E3">
        <w:rPr>
          <w:rFonts w:ascii="Verdana" w:hAnsi="Verdana"/>
          <w:sz w:val="20"/>
          <w:szCs w:val="20"/>
          <w:lang w:val="en-US"/>
        </w:rPr>
        <w:t>2</w:t>
      </w:r>
      <w:r w:rsidR="00687684" w:rsidRPr="00D869E3">
        <w:rPr>
          <w:rFonts w:ascii="Verdana" w:hAnsi="Verdana"/>
          <w:sz w:val="20"/>
          <w:szCs w:val="20"/>
          <w:lang w:val="en-US"/>
        </w:rPr>
        <w:t>1,</w:t>
      </w:r>
      <w:r w:rsidR="006F79F4" w:rsidRPr="00D869E3">
        <w:rPr>
          <w:rFonts w:ascii="Verdana" w:hAnsi="Verdana"/>
          <w:sz w:val="20"/>
          <w:szCs w:val="20"/>
          <w:lang w:val="en-US"/>
        </w:rPr>
        <w:t xml:space="preserve"> 2016</w:t>
      </w:r>
      <w:r w:rsidRPr="00D869E3">
        <w:rPr>
          <w:rFonts w:ascii="Verdana" w:hAnsi="Verdana"/>
          <w:sz w:val="20"/>
          <w:szCs w:val="20"/>
          <w:lang w:val="en-US"/>
        </w:rPr>
        <w:t>,</w:t>
      </w:r>
      <w:r w:rsidR="006F79F4" w:rsidRPr="00D869E3">
        <w:rPr>
          <w:rFonts w:ascii="Verdana" w:hAnsi="Verdana"/>
          <w:sz w:val="20"/>
          <w:szCs w:val="20"/>
          <w:vertAlign w:val="superscript"/>
          <w:lang w:val="en-US"/>
        </w:rPr>
        <w:footnoteReference w:id="5"/>
      </w:r>
      <w:r w:rsidR="006F79F4" w:rsidRPr="00D869E3">
        <w:rPr>
          <w:rFonts w:ascii="Verdana" w:hAnsi="Verdana"/>
          <w:sz w:val="20"/>
          <w:szCs w:val="20"/>
          <w:lang w:val="en-US"/>
        </w:rPr>
        <w:t xml:space="preserve"> </w:t>
      </w:r>
      <w:r w:rsidRPr="00D869E3">
        <w:rPr>
          <w:rFonts w:ascii="Verdana" w:hAnsi="Verdana"/>
          <w:sz w:val="20"/>
          <w:szCs w:val="20"/>
          <w:lang w:val="en-US"/>
        </w:rPr>
        <w:t xml:space="preserve">it was decided, </w:t>
      </w:r>
      <w:r w:rsidRPr="00D869E3">
        <w:rPr>
          <w:rFonts w:ascii="Verdana" w:hAnsi="Verdana"/>
          <w:i/>
          <w:iCs/>
          <w:sz w:val="20"/>
          <w:szCs w:val="20"/>
          <w:lang w:val="en-US"/>
        </w:rPr>
        <w:t>inter alia</w:t>
      </w:r>
      <w:r w:rsidRPr="00D869E3">
        <w:rPr>
          <w:rFonts w:ascii="Verdana" w:hAnsi="Verdana"/>
          <w:sz w:val="20"/>
          <w:szCs w:val="20"/>
          <w:lang w:val="en-US"/>
        </w:rPr>
        <w:t>: (a)</w:t>
      </w:r>
      <w:r w:rsidR="006F79F4" w:rsidRPr="00D869E3">
        <w:rPr>
          <w:rFonts w:ascii="Verdana" w:hAnsi="Verdana"/>
          <w:sz w:val="20"/>
          <w:szCs w:val="20"/>
          <w:lang w:val="en-US"/>
        </w:rPr>
        <w:t xml:space="preserve"> </w:t>
      </w:r>
      <w:r w:rsidRPr="00D869E3">
        <w:rPr>
          <w:rFonts w:ascii="Verdana" w:hAnsi="Verdana"/>
          <w:sz w:val="20"/>
          <w:szCs w:val="20"/>
          <w:lang w:val="en-US"/>
        </w:rPr>
        <w:t>to call the parties to a public hearing</w:t>
      </w:r>
      <w:r w:rsidR="006F79F4" w:rsidRPr="00D869E3">
        <w:rPr>
          <w:rStyle w:val="Refdenotaalpie"/>
          <w:szCs w:val="20"/>
          <w:lang w:val="en-US"/>
        </w:rPr>
        <w:footnoteReference w:id="6"/>
      </w:r>
      <w:r w:rsidR="006F79F4" w:rsidRPr="00D869E3">
        <w:rPr>
          <w:rFonts w:ascii="Verdana" w:hAnsi="Verdana"/>
          <w:sz w:val="20"/>
          <w:szCs w:val="20"/>
          <w:lang w:val="en-US"/>
        </w:rPr>
        <w:t xml:space="preserve"> </w:t>
      </w:r>
      <w:r w:rsidRPr="00D869E3">
        <w:rPr>
          <w:rFonts w:ascii="Verdana" w:hAnsi="Verdana"/>
          <w:sz w:val="20"/>
          <w:szCs w:val="20"/>
          <w:lang w:val="en-US"/>
        </w:rPr>
        <w:t xml:space="preserve">to receive the statements </w:t>
      </w:r>
      <w:r w:rsidR="00687684" w:rsidRPr="00D869E3">
        <w:rPr>
          <w:rFonts w:ascii="Verdana" w:hAnsi="Verdana"/>
          <w:sz w:val="20"/>
          <w:szCs w:val="20"/>
          <w:lang w:val="en-US"/>
        </w:rPr>
        <w:t>of the presumed victim</w:t>
      </w:r>
      <w:r w:rsidR="006F79F4" w:rsidRPr="00D869E3">
        <w:rPr>
          <w:rFonts w:ascii="Verdana" w:hAnsi="Verdana"/>
          <w:sz w:val="20"/>
          <w:szCs w:val="20"/>
          <w:lang w:val="en-US"/>
        </w:rPr>
        <w:t xml:space="preserve">, </w:t>
      </w:r>
      <w:r w:rsidRPr="00D869E3">
        <w:rPr>
          <w:rFonts w:ascii="Verdana" w:hAnsi="Verdana"/>
          <w:sz w:val="20"/>
          <w:szCs w:val="20"/>
          <w:lang w:val="en-US"/>
        </w:rPr>
        <w:t>and two expert witnesses</w:t>
      </w:r>
      <w:r w:rsidR="006F79F4" w:rsidRPr="00D869E3">
        <w:rPr>
          <w:rFonts w:ascii="Verdana" w:hAnsi="Verdana"/>
          <w:sz w:val="20"/>
          <w:szCs w:val="20"/>
          <w:lang w:val="en-US"/>
        </w:rPr>
        <w:t xml:space="preserve">; </w:t>
      </w:r>
      <w:r w:rsidRPr="00D869E3">
        <w:rPr>
          <w:rFonts w:ascii="Verdana" w:hAnsi="Verdana"/>
          <w:sz w:val="20"/>
          <w:szCs w:val="20"/>
          <w:lang w:val="en-US"/>
        </w:rPr>
        <w:t>one proposed by</w:t>
      </w:r>
      <w:r w:rsidR="006F79F4" w:rsidRPr="00D869E3">
        <w:rPr>
          <w:rFonts w:ascii="Verdana" w:hAnsi="Verdana"/>
          <w:sz w:val="20"/>
          <w:szCs w:val="20"/>
          <w:lang w:val="en-US"/>
        </w:rPr>
        <w:t xml:space="preserve"> </w:t>
      </w:r>
      <w:r w:rsidR="00447C65" w:rsidRPr="00D869E3">
        <w:rPr>
          <w:rFonts w:ascii="Verdana" w:hAnsi="Verdana"/>
          <w:sz w:val="20"/>
          <w:szCs w:val="20"/>
          <w:lang w:val="en-US"/>
        </w:rPr>
        <w:t>the Commission</w:t>
      </w:r>
      <w:r w:rsidR="00687684" w:rsidRPr="00D869E3">
        <w:rPr>
          <w:rFonts w:ascii="Verdana" w:hAnsi="Verdana"/>
          <w:sz w:val="20"/>
          <w:szCs w:val="20"/>
          <w:lang w:val="en-US"/>
        </w:rPr>
        <w:t xml:space="preserve"> and </w:t>
      </w:r>
      <w:r w:rsidRPr="00D869E3">
        <w:rPr>
          <w:rFonts w:ascii="Verdana" w:hAnsi="Verdana"/>
          <w:sz w:val="20"/>
          <w:szCs w:val="20"/>
          <w:lang w:val="en-US"/>
        </w:rPr>
        <w:t>the other by</w:t>
      </w:r>
      <w:r w:rsidR="006F79F4" w:rsidRPr="00D869E3">
        <w:rPr>
          <w:rFonts w:ascii="Verdana" w:hAnsi="Verdana"/>
          <w:sz w:val="20"/>
          <w:szCs w:val="20"/>
          <w:lang w:val="en-US"/>
        </w:rPr>
        <w:t xml:space="preserve"> </w:t>
      </w:r>
      <w:r w:rsidR="00447C65" w:rsidRPr="00D869E3">
        <w:rPr>
          <w:rFonts w:ascii="Verdana" w:hAnsi="Verdana"/>
          <w:sz w:val="20"/>
          <w:szCs w:val="20"/>
          <w:lang w:val="en-US"/>
        </w:rPr>
        <w:t>the State</w:t>
      </w:r>
      <w:r w:rsidR="006F79F4" w:rsidRPr="00D869E3">
        <w:rPr>
          <w:rFonts w:ascii="Verdana" w:hAnsi="Verdana"/>
          <w:sz w:val="20"/>
          <w:szCs w:val="20"/>
          <w:lang w:val="en-US"/>
        </w:rPr>
        <w:t>,</w:t>
      </w:r>
      <w:r w:rsidR="00687684" w:rsidRPr="00D869E3">
        <w:rPr>
          <w:rFonts w:ascii="Verdana" w:hAnsi="Verdana"/>
          <w:sz w:val="20"/>
          <w:szCs w:val="20"/>
          <w:lang w:val="en-US"/>
        </w:rPr>
        <w:t xml:space="preserve"> and </w:t>
      </w:r>
      <w:r w:rsidRPr="00D869E3">
        <w:rPr>
          <w:rFonts w:ascii="Verdana" w:hAnsi="Verdana"/>
          <w:sz w:val="20"/>
          <w:szCs w:val="20"/>
          <w:lang w:val="en-US"/>
        </w:rPr>
        <w:t>(</w:t>
      </w:r>
      <w:r w:rsidR="006F79F4" w:rsidRPr="00D869E3">
        <w:rPr>
          <w:rFonts w:ascii="Verdana" w:hAnsi="Verdana"/>
          <w:sz w:val="20"/>
          <w:szCs w:val="20"/>
          <w:lang w:val="en-US"/>
        </w:rPr>
        <w:t>b)</w:t>
      </w:r>
      <w:r w:rsidRPr="00D869E3">
        <w:rPr>
          <w:rFonts w:ascii="Verdana" w:hAnsi="Verdana"/>
          <w:sz w:val="20"/>
          <w:szCs w:val="20"/>
          <w:lang w:val="en-US"/>
        </w:rPr>
        <w:t xml:space="preserve"> to require, pursuant to the principle of procedural economy and the authority granted by</w:t>
      </w:r>
      <w:r w:rsidR="006F79F4" w:rsidRPr="00D869E3">
        <w:rPr>
          <w:rFonts w:ascii="Verdana" w:hAnsi="Verdana"/>
          <w:sz w:val="20"/>
          <w:szCs w:val="20"/>
          <w:lang w:val="en-US"/>
        </w:rPr>
        <w:t xml:space="preserve"> </w:t>
      </w:r>
      <w:r w:rsidR="00447C65" w:rsidRPr="00D869E3">
        <w:rPr>
          <w:rFonts w:ascii="Verdana" w:hAnsi="Verdana"/>
          <w:sz w:val="20"/>
          <w:szCs w:val="20"/>
          <w:lang w:val="en-US"/>
        </w:rPr>
        <w:t>Article</w:t>
      </w:r>
      <w:r w:rsidR="006F79F4" w:rsidRPr="00D869E3">
        <w:rPr>
          <w:rFonts w:ascii="Verdana" w:hAnsi="Verdana"/>
          <w:sz w:val="20"/>
          <w:szCs w:val="20"/>
          <w:lang w:val="en-US"/>
        </w:rPr>
        <w:t xml:space="preserve"> 50</w:t>
      </w:r>
      <w:r w:rsidRPr="00D869E3">
        <w:rPr>
          <w:rFonts w:ascii="Verdana" w:hAnsi="Verdana"/>
          <w:sz w:val="20"/>
          <w:szCs w:val="20"/>
          <w:lang w:val="en-US"/>
        </w:rPr>
        <w:t>(</w:t>
      </w:r>
      <w:r w:rsidR="006F79F4" w:rsidRPr="00D869E3">
        <w:rPr>
          <w:rFonts w:ascii="Verdana" w:hAnsi="Verdana"/>
          <w:sz w:val="20"/>
          <w:szCs w:val="20"/>
          <w:lang w:val="en-US"/>
        </w:rPr>
        <w:t>1</w:t>
      </w:r>
      <w:r w:rsidRPr="00D869E3">
        <w:rPr>
          <w:rFonts w:ascii="Verdana" w:hAnsi="Verdana"/>
          <w:sz w:val="20"/>
          <w:szCs w:val="20"/>
          <w:lang w:val="en-US"/>
        </w:rPr>
        <w:t>)</w:t>
      </w:r>
      <w:r w:rsidR="00447C65" w:rsidRPr="00D869E3">
        <w:rPr>
          <w:rFonts w:ascii="Verdana" w:hAnsi="Verdana"/>
          <w:sz w:val="20"/>
          <w:szCs w:val="20"/>
          <w:lang w:val="en-US"/>
        </w:rPr>
        <w:t xml:space="preserve"> of the </w:t>
      </w:r>
      <w:r w:rsidRPr="00D869E3">
        <w:rPr>
          <w:rFonts w:ascii="Verdana" w:hAnsi="Verdana"/>
          <w:sz w:val="20"/>
          <w:szCs w:val="20"/>
          <w:lang w:val="en-US"/>
        </w:rPr>
        <w:t xml:space="preserve">Court’s </w:t>
      </w:r>
      <w:r w:rsidR="00447C65" w:rsidRPr="00D869E3">
        <w:rPr>
          <w:rFonts w:ascii="Verdana" w:hAnsi="Verdana"/>
          <w:sz w:val="20"/>
          <w:szCs w:val="20"/>
          <w:lang w:val="en-US"/>
        </w:rPr>
        <w:t>Rules of Procedure</w:t>
      </w:r>
      <w:r w:rsidRPr="00D869E3">
        <w:rPr>
          <w:rFonts w:ascii="Verdana" w:hAnsi="Verdana"/>
          <w:sz w:val="20"/>
          <w:szCs w:val="20"/>
          <w:lang w:val="en-US"/>
        </w:rPr>
        <w:t>, that two expert witnesses</w:t>
      </w:r>
      <w:r w:rsidR="006F79F4" w:rsidRPr="00D869E3">
        <w:rPr>
          <w:rFonts w:ascii="Verdana" w:hAnsi="Verdana"/>
          <w:sz w:val="20"/>
          <w:szCs w:val="20"/>
          <w:lang w:val="en-US"/>
        </w:rPr>
        <w:t xml:space="preserve">, </w:t>
      </w:r>
      <w:r w:rsidRPr="00D869E3">
        <w:rPr>
          <w:rFonts w:ascii="Verdana" w:hAnsi="Verdana"/>
          <w:sz w:val="20"/>
          <w:szCs w:val="20"/>
          <w:lang w:val="en-US"/>
        </w:rPr>
        <w:t xml:space="preserve">one proposed by </w:t>
      </w:r>
      <w:r w:rsidR="00447C65" w:rsidRPr="00D869E3">
        <w:rPr>
          <w:rFonts w:ascii="Verdana" w:hAnsi="Verdana"/>
          <w:sz w:val="20"/>
          <w:szCs w:val="20"/>
          <w:lang w:val="en-US"/>
        </w:rPr>
        <w:t>the State</w:t>
      </w:r>
      <w:r w:rsidR="006F79F4" w:rsidRPr="00D869E3">
        <w:rPr>
          <w:rStyle w:val="Refdenotaalpie"/>
          <w:szCs w:val="20"/>
          <w:lang w:val="en-US"/>
        </w:rPr>
        <w:footnoteReference w:id="7"/>
      </w:r>
      <w:r w:rsidR="00687684" w:rsidRPr="00D869E3">
        <w:rPr>
          <w:rFonts w:ascii="Verdana" w:hAnsi="Verdana"/>
          <w:sz w:val="20"/>
          <w:szCs w:val="20"/>
          <w:lang w:val="en-US"/>
        </w:rPr>
        <w:t xml:space="preserve"> and </w:t>
      </w:r>
      <w:r w:rsidRPr="00D869E3">
        <w:rPr>
          <w:rFonts w:ascii="Verdana" w:hAnsi="Verdana"/>
          <w:sz w:val="20"/>
          <w:szCs w:val="20"/>
          <w:lang w:val="en-US"/>
        </w:rPr>
        <w:t>the other by</w:t>
      </w:r>
      <w:r w:rsidR="006F79F4" w:rsidRPr="00D869E3">
        <w:rPr>
          <w:rFonts w:ascii="Verdana" w:hAnsi="Verdana"/>
          <w:sz w:val="20"/>
          <w:szCs w:val="20"/>
          <w:lang w:val="en-US"/>
        </w:rPr>
        <w:t xml:space="preserve"> </w:t>
      </w:r>
      <w:r w:rsidR="00687684" w:rsidRPr="00D869E3">
        <w:rPr>
          <w:rFonts w:ascii="Verdana" w:hAnsi="Verdana"/>
          <w:sz w:val="20"/>
          <w:szCs w:val="20"/>
          <w:lang w:val="en-US"/>
        </w:rPr>
        <w:t>the representatives</w:t>
      </w:r>
      <w:r w:rsidR="003E68B9" w:rsidRPr="00D869E3">
        <w:rPr>
          <w:rFonts w:ascii="Verdana" w:hAnsi="Verdana"/>
          <w:sz w:val="20"/>
          <w:szCs w:val="20"/>
          <w:lang w:val="en-US"/>
        </w:rPr>
        <w:t>,</w:t>
      </w:r>
      <w:r w:rsidR="006F79F4" w:rsidRPr="00D869E3">
        <w:rPr>
          <w:rStyle w:val="Refdenotaalpie"/>
          <w:szCs w:val="20"/>
          <w:lang w:val="en-US"/>
        </w:rPr>
        <w:footnoteReference w:id="8"/>
      </w:r>
      <w:r w:rsidR="006F79F4" w:rsidRPr="00D869E3">
        <w:rPr>
          <w:rFonts w:ascii="Verdana" w:hAnsi="Verdana"/>
          <w:sz w:val="20"/>
          <w:szCs w:val="20"/>
          <w:lang w:val="en-US"/>
        </w:rPr>
        <w:t xml:space="preserve"> </w:t>
      </w:r>
      <w:r w:rsidRPr="00D869E3">
        <w:rPr>
          <w:rFonts w:ascii="Verdana" w:hAnsi="Verdana"/>
          <w:sz w:val="20"/>
          <w:szCs w:val="20"/>
          <w:lang w:val="en-US"/>
        </w:rPr>
        <w:t>provide their opinions by affidavit.</w:t>
      </w:r>
      <w:r w:rsidR="006F79F4" w:rsidRPr="00D869E3">
        <w:rPr>
          <w:rStyle w:val="Refdenotaalpie"/>
          <w:rFonts w:eastAsiaTheme="minorHAnsi"/>
          <w:color w:val="000000"/>
          <w:szCs w:val="20"/>
          <w:lang w:val="en-US"/>
        </w:rPr>
        <w:footnoteReference w:id="9"/>
      </w:r>
      <w:r w:rsidR="006F79F4" w:rsidRPr="00D869E3">
        <w:rPr>
          <w:rFonts w:ascii="Verdana" w:hAnsi="Verdana"/>
          <w:sz w:val="20"/>
          <w:szCs w:val="20"/>
          <w:lang w:val="en-US"/>
        </w:rPr>
        <w:t xml:space="preserve"> </w:t>
      </w:r>
      <w:r w:rsidRPr="00D869E3">
        <w:rPr>
          <w:rFonts w:ascii="Verdana" w:hAnsi="Verdana"/>
          <w:sz w:val="20"/>
          <w:szCs w:val="20"/>
          <w:lang w:val="en-US"/>
        </w:rPr>
        <w:t>The</w:t>
      </w:r>
      <w:r w:rsidR="006F79F4" w:rsidRPr="00D869E3">
        <w:rPr>
          <w:rFonts w:ascii="Verdana" w:hAnsi="Verdana"/>
          <w:sz w:val="20"/>
          <w:szCs w:val="20"/>
          <w:lang w:val="en-US"/>
        </w:rPr>
        <w:t xml:space="preserve"> </w:t>
      </w:r>
      <w:r w:rsidRPr="00D869E3">
        <w:rPr>
          <w:rFonts w:ascii="Verdana" w:hAnsi="Verdana"/>
          <w:sz w:val="20"/>
          <w:szCs w:val="20"/>
          <w:lang w:val="en-US"/>
        </w:rPr>
        <w:t>public hearing</w:t>
      </w:r>
      <w:r w:rsidR="006F79F4" w:rsidRPr="00D869E3">
        <w:rPr>
          <w:rFonts w:ascii="Verdana" w:hAnsi="Verdana"/>
          <w:sz w:val="20"/>
          <w:szCs w:val="20"/>
          <w:lang w:val="en-US"/>
        </w:rPr>
        <w:t xml:space="preserve"> </w:t>
      </w:r>
      <w:r w:rsidRPr="00D869E3">
        <w:rPr>
          <w:rFonts w:ascii="Verdana" w:hAnsi="Verdana"/>
          <w:sz w:val="20"/>
          <w:szCs w:val="20"/>
          <w:lang w:val="en-US"/>
        </w:rPr>
        <w:t xml:space="preserve">was held on February 7, 2017, in </w:t>
      </w:r>
      <w:r w:rsidR="006F79F4" w:rsidRPr="00D869E3">
        <w:rPr>
          <w:rFonts w:ascii="Verdana" w:hAnsi="Verdana"/>
          <w:sz w:val="20"/>
          <w:szCs w:val="20"/>
          <w:lang w:val="en-US"/>
        </w:rPr>
        <w:t>San José, Costa Rica, dur</w:t>
      </w:r>
      <w:r w:rsidRPr="00D869E3">
        <w:rPr>
          <w:rFonts w:ascii="Verdana" w:hAnsi="Verdana"/>
          <w:sz w:val="20"/>
          <w:szCs w:val="20"/>
          <w:lang w:val="en-US"/>
        </w:rPr>
        <w:t>ing the 117</w:t>
      </w:r>
      <w:r w:rsidRPr="00D869E3">
        <w:rPr>
          <w:rFonts w:ascii="Verdana" w:hAnsi="Verdana"/>
          <w:sz w:val="20"/>
          <w:szCs w:val="20"/>
          <w:vertAlign w:val="superscript"/>
          <w:lang w:val="en-US"/>
        </w:rPr>
        <w:t>th</w:t>
      </w:r>
      <w:r w:rsidRPr="00D869E3">
        <w:rPr>
          <w:rFonts w:ascii="Verdana" w:hAnsi="Verdana"/>
          <w:sz w:val="20"/>
          <w:szCs w:val="20"/>
          <w:lang w:val="en-US"/>
        </w:rPr>
        <w:t xml:space="preserve"> regular session </w:t>
      </w:r>
      <w:r w:rsidR="00447C65" w:rsidRPr="00D869E3">
        <w:rPr>
          <w:rFonts w:ascii="Verdana" w:hAnsi="Verdana"/>
          <w:sz w:val="20"/>
          <w:szCs w:val="20"/>
          <w:lang w:val="en-US"/>
        </w:rPr>
        <w:t>of the Court</w:t>
      </w:r>
      <w:r w:rsidRPr="00D869E3">
        <w:rPr>
          <w:rFonts w:ascii="Verdana" w:hAnsi="Verdana"/>
          <w:sz w:val="20"/>
          <w:szCs w:val="20"/>
          <w:lang w:val="en-US"/>
        </w:rPr>
        <w:t>.</w:t>
      </w:r>
      <w:r w:rsidR="006F79F4" w:rsidRPr="00D869E3">
        <w:rPr>
          <w:rStyle w:val="Refdenotaalpie"/>
          <w:szCs w:val="20"/>
          <w:lang w:val="en-US"/>
        </w:rPr>
        <w:footnoteReference w:id="10"/>
      </w:r>
      <w:r w:rsidRPr="00D869E3">
        <w:rPr>
          <w:rFonts w:ascii="Verdana" w:hAnsi="Verdana"/>
          <w:sz w:val="20"/>
          <w:szCs w:val="20"/>
          <w:lang w:val="en-US"/>
        </w:rPr>
        <w:t xml:space="preserve"> During the hearing, the Court received the statements</w:t>
      </w:r>
      <w:r w:rsidR="006F79F4" w:rsidRPr="00D869E3">
        <w:rPr>
          <w:rFonts w:ascii="Verdana" w:hAnsi="Verdana"/>
          <w:sz w:val="20"/>
          <w:szCs w:val="20"/>
          <w:lang w:val="en-US"/>
        </w:rPr>
        <w:t xml:space="preserve"> </w:t>
      </w:r>
      <w:r w:rsidR="00687684" w:rsidRPr="00D869E3">
        <w:rPr>
          <w:rFonts w:ascii="Verdana" w:hAnsi="Verdana"/>
          <w:sz w:val="20"/>
          <w:szCs w:val="20"/>
          <w:lang w:val="en-US"/>
        </w:rPr>
        <w:t>of the presumed victim</w:t>
      </w:r>
      <w:r w:rsidR="003E68B9" w:rsidRPr="00D869E3">
        <w:rPr>
          <w:rFonts w:ascii="Verdana" w:hAnsi="Verdana"/>
          <w:sz w:val="20"/>
          <w:szCs w:val="20"/>
          <w:lang w:val="en-US"/>
        </w:rPr>
        <w:t>,</w:t>
      </w:r>
      <w:r w:rsidR="006F79F4" w:rsidRPr="00D869E3">
        <w:rPr>
          <w:rFonts w:ascii="Verdana" w:hAnsi="Verdana"/>
          <w:sz w:val="20"/>
          <w:szCs w:val="20"/>
          <w:lang w:val="en-US"/>
        </w:rPr>
        <w:t xml:space="preserve"> </w:t>
      </w:r>
      <w:r w:rsidRPr="00D869E3">
        <w:rPr>
          <w:rFonts w:ascii="Verdana" w:hAnsi="Verdana"/>
          <w:sz w:val="20"/>
          <w:szCs w:val="20"/>
          <w:lang w:val="en-US"/>
        </w:rPr>
        <w:t>Mr. Lagos del Campo</w:t>
      </w:r>
      <w:r w:rsidR="003E68B9" w:rsidRPr="00D869E3">
        <w:rPr>
          <w:rFonts w:ascii="Verdana" w:hAnsi="Verdana"/>
          <w:sz w:val="20"/>
          <w:szCs w:val="20"/>
          <w:lang w:val="en-US"/>
        </w:rPr>
        <w:t>,</w:t>
      </w:r>
      <w:r w:rsidR="00687684" w:rsidRPr="00D869E3">
        <w:rPr>
          <w:rFonts w:ascii="Verdana" w:hAnsi="Verdana"/>
          <w:sz w:val="20"/>
          <w:szCs w:val="20"/>
          <w:lang w:val="en-US"/>
        </w:rPr>
        <w:t xml:space="preserve"> </w:t>
      </w:r>
      <w:r w:rsidRPr="00D869E3">
        <w:rPr>
          <w:rFonts w:ascii="Verdana" w:hAnsi="Verdana"/>
          <w:sz w:val="20"/>
          <w:szCs w:val="20"/>
          <w:lang w:val="en-US"/>
        </w:rPr>
        <w:t>expert witness</w:t>
      </w:r>
      <w:r w:rsidR="006F79F4" w:rsidRPr="00D869E3">
        <w:rPr>
          <w:rFonts w:ascii="Verdana" w:hAnsi="Verdana"/>
          <w:sz w:val="20"/>
          <w:szCs w:val="20"/>
          <w:lang w:val="en-US"/>
        </w:rPr>
        <w:t xml:space="preserve"> Damián Loreti prop</w:t>
      </w:r>
      <w:r w:rsidRPr="00D869E3">
        <w:rPr>
          <w:rFonts w:ascii="Verdana" w:hAnsi="Verdana"/>
          <w:sz w:val="20"/>
          <w:szCs w:val="20"/>
          <w:lang w:val="en-US"/>
        </w:rPr>
        <w:t xml:space="preserve">osed by </w:t>
      </w:r>
      <w:r w:rsidR="00447C65" w:rsidRPr="00D869E3">
        <w:rPr>
          <w:rFonts w:ascii="Verdana" w:hAnsi="Verdana"/>
          <w:sz w:val="20"/>
          <w:szCs w:val="20"/>
          <w:lang w:val="en-US"/>
        </w:rPr>
        <w:t>the Commission</w:t>
      </w:r>
      <w:r w:rsidR="006F79F4" w:rsidRPr="00D869E3">
        <w:rPr>
          <w:rFonts w:ascii="Verdana" w:hAnsi="Verdana"/>
          <w:sz w:val="20"/>
          <w:szCs w:val="20"/>
          <w:lang w:val="en-US"/>
        </w:rPr>
        <w:t xml:space="preserve">, </w:t>
      </w:r>
      <w:r w:rsidRPr="00D869E3">
        <w:rPr>
          <w:rFonts w:ascii="Verdana" w:hAnsi="Verdana"/>
          <w:sz w:val="20"/>
          <w:szCs w:val="20"/>
          <w:lang w:val="en-US"/>
        </w:rPr>
        <w:t>and</w:t>
      </w:r>
      <w:r w:rsidR="006F79F4" w:rsidRPr="00D869E3">
        <w:rPr>
          <w:rFonts w:ascii="Verdana" w:hAnsi="Verdana"/>
          <w:sz w:val="20"/>
          <w:szCs w:val="20"/>
          <w:lang w:val="en-US"/>
        </w:rPr>
        <w:t xml:space="preserve"> </w:t>
      </w:r>
      <w:r w:rsidRPr="00D869E3">
        <w:rPr>
          <w:rFonts w:ascii="Verdana" w:hAnsi="Verdana"/>
          <w:sz w:val="20"/>
          <w:szCs w:val="20"/>
          <w:lang w:val="en-US"/>
        </w:rPr>
        <w:t>expert witness</w:t>
      </w:r>
      <w:r w:rsidR="006F79F4" w:rsidRPr="00D869E3">
        <w:rPr>
          <w:rFonts w:ascii="Verdana" w:hAnsi="Verdana"/>
          <w:sz w:val="20"/>
          <w:szCs w:val="20"/>
          <w:lang w:val="en-US"/>
        </w:rPr>
        <w:t xml:space="preserve"> C</w:t>
      </w:r>
      <w:r w:rsidR="009E49BF" w:rsidRPr="00D869E3">
        <w:rPr>
          <w:rFonts w:ascii="Verdana" w:hAnsi="Verdana"/>
          <w:sz w:val="20"/>
          <w:szCs w:val="20"/>
          <w:lang w:val="en-US"/>
        </w:rPr>
        <w:t>é</w:t>
      </w:r>
      <w:r w:rsidR="006F79F4" w:rsidRPr="00D869E3">
        <w:rPr>
          <w:rFonts w:ascii="Verdana" w:hAnsi="Verdana"/>
          <w:sz w:val="20"/>
          <w:szCs w:val="20"/>
          <w:lang w:val="en-US"/>
        </w:rPr>
        <w:t xml:space="preserve">sar Gonzáles Hunt </w:t>
      </w:r>
      <w:r w:rsidRPr="00D869E3">
        <w:rPr>
          <w:rFonts w:ascii="Verdana" w:hAnsi="Verdana"/>
          <w:sz w:val="20"/>
          <w:szCs w:val="20"/>
          <w:lang w:val="en-US"/>
        </w:rPr>
        <w:t>proposed by</w:t>
      </w:r>
      <w:r w:rsidR="006F79F4" w:rsidRPr="00D869E3">
        <w:rPr>
          <w:rFonts w:ascii="Verdana" w:hAnsi="Verdana"/>
          <w:sz w:val="20"/>
          <w:szCs w:val="20"/>
          <w:lang w:val="en-US"/>
        </w:rPr>
        <w:t xml:space="preserve"> </w:t>
      </w:r>
      <w:r w:rsidR="00447C65" w:rsidRPr="00D869E3">
        <w:rPr>
          <w:rFonts w:ascii="Verdana" w:hAnsi="Verdana"/>
          <w:sz w:val="20"/>
          <w:szCs w:val="20"/>
          <w:lang w:val="en-US"/>
        </w:rPr>
        <w:t>the State</w:t>
      </w:r>
      <w:r w:rsidR="006F79F4" w:rsidRPr="00D869E3">
        <w:rPr>
          <w:rFonts w:ascii="Verdana" w:hAnsi="Verdana"/>
          <w:sz w:val="20"/>
          <w:szCs w:val="20"/>
          <w:lang w:val="en-US"/>
        </w:rPr>
        <w:t xml:space="preserve">. </w:t>
      </w:r>
      <w:r w:rsidRPr="00D869E3">
        <w:rPr>
          <w:rFonts w:ascii="Verdana" w:hAnsi="Verdana"/>
          <w:sz w:val="20"/>
          <w:szCs w:val="20"/>
          <w:lang w:val="en-US"/>
        </w:rPr>
        <w:t xml:space="preserve">It also heard the final oral arguments </w:t>
      </w:r>
      <w:r w:rsidR="00687684" w:rsidRPr="00D869E3">
        <w:rPr>
          <w:rFonts w:ascii="Verdana" w:hAnsi="Verdana"/>
          <w:sz w:val="20"/>
          <w:szCs w:val="20"/>
          <w:lang w:val="en-US"/>
        </w:rPr>
        <w:t xml:space="preserve">of the representatives and </w:t>
      </w:r>
      <w:r w:rsidR="00447C65" w:rsidRPr="00D869E3">
        <w:rPr>
          <w:rFonts w:ascii="Verdana" w:hAnsi="Verdana"/>
          <w:sz w:val="20"/>
          <w:szCs w:val="20"/>
          <w:lang w:val="en-US"/>
        </w:rPr>
        <w:t>the State</w:t>
      </w:r>
      <w:r w:rsidR="006F79F4" w:rsidRPr="00D869E3">
        <w:rPr>
          <w:rFonts w:ascii="Verdana" w:hAnsi="Verdana"/>
          <w:sz w:val="20"/>
          <w:szCs w:val="20"/>
          <w:lang w:val="en-US"/>
        </w:rPr>
        <w:t xml:space="preserve">, </w:t>
      </w:r>
      <w:r w:rsidRPr="00D869E3">
        <w:rPr>
          <w:rFonts w:ascii="Verdana" w:hAnsi="Verdana"/>
          <w:sz w:val="20"/>
          <w:szCs w:val="20"/>
          <w:lang w:val="en-US"/>
        </w:rPr>
        <w:t xml:space="preserve">and the final oral observations </w:t>
      </w:r>
      <w:r w:rsidR="00447C65" w:rsidRPr="00D869E3">
        <w:rPr>
          <w:rFonts w:ascii="Verdana" w:hAnsi="Verdana"/>
          <w:sz w:val="20"/>
          <w:szCs w:val="20"/>
          <w:lang w:val="en-US"/>
        </w:rPr>
        <w:t>of the Commission</w:t>
      </w:r>
      <w:r w:rsidR="00386930" w:rsidRPr="00D869E3">
        <w:rPr>
          <w:rFonts w:ascii="Verdana" w:hAnsi="Verdana"/>
          <w:sz w:val="20"/>
          <w:szCs w:val="20"/>
          <w:lang w:val="en-US"/>
        </w:rPr>
        <w:t>.</w:t>
      </w:r>
    </w:p>
    <w:p w14:paraId="2E3B1A04" w14:textId="77777777" w:rsidR="006F79F4" w:rsidRPr="00D869E3" w:rsidRDefault="006F79F4" w:rsidP="00AF7637">
      <w:pPr>
        <w:rPr>
          <w:rFonts w:ascii="Verdana" w:hAnsi="Verdana"/>
          <w:sz w:val="20"/>
          <w:szCs w:val="20"/>
          <w:lang w:val="en-US"/>
        </w:rPr>
      </w:pPr>
    </w:p>
    <w:p w14:paraId="7C31B343" w14:textId="2848BF56" w:rsidR="006F79F4" w:rsidRPr="00D869E3" w:rsidRDefault="001E44D3" w:rsidP="001E44D3">
      <w:pPr>
        <w:pStyle w:val="Prrafodelista"/>
        <w:numPr>
          <w:ilvl w:val="0"/>
          <w:numId w:val="1"/>
        </w:numPr>
        <w:ind w:left="0" w:firstLine="0"/>
        <w:jc w:val="both"/>
        <w:rPr>
          <w:rFonts w:ascii="Verdana" w:hAnsi="Verdana"/>
          <w:sz w:val="20"/>
          <w:szCs w:val="20"/>
          <w:lang w:val="en-US"/>
        </w:rPr>
      </w:pPr>
      <w:r w:rsidRPr="00D869E3">
        <w:rPr>
          <w:rFonts w:ascii="Verdana" w:hAnsi="Verdana"/>
          <w:i/>
          <w:sz w:val="20"/>
          <w:szCs w:val="20"/>
          <w:lang w:val="en-US"/>
        </w:rPr>
        <w:t xml:space="preserve">Final written arguments and observations. </w:t>
      </w:r>
      <w:r w:rsidRPr="00D869E3">
        <w:rPr>
          <w:rFonts w:ascii="Verdana" w:hAnsi="Verdana"/>
          <w:sz w:val="20"/>
          <w:szCs w:val="20"/>
          <w:lang w:val="en-US"/>
        </w:rPr>
        <w:t>On March 8,</w:t>
      </w:r>
      <w:r w:rsidR="006F79F4" w:rsidRPr="00D869E3">
        <w:rPr>
          <w:rFonts w:ascii="Verdana" w:hAnsi="Verdana"/>
          <w:sz w:val="20"/>
          <w:szCs w:val="20"/>
          <w:lang w:val="en-US"/>
        </w:rPr>
        <w:t xml:space="preserve"> 2017</w:t>
      </w:r>
      <w:r w:rsidRPr="00D869E3">
        <w:rPr>
          <w:rFonts w:ascii="Verdana" w:hAnsi="Verdana"/>
          <w:sz w:val="20"/>
          <w:szCs w:val="20"/>
          <w:lang w:val="en-US"/>
        </w:rPr>
        <w:t>,</w:t>
      </w:r>
      <w:r w:rsidR="006F79F4" w:rsidRPr="00D869E3">
        <w:rPr>
          <w:rFonts w:ascii="Verdana" w:hAnsi="Verdana"/>
          <w:sz w:val="20"/>
          <w:szCs w:val="20"/>
          <w:lang w:val="en-US"/>
        </w:rPr>
        <w:t xml:space="preserve"> </w:t>
      </w:r>
      <w:r w:rsidR="00447C65" w:rsidRPr="00D869E3">
        <w:rPr>
          <w:rFonts w:ascii="Verdana" w:hAnsi="Verdana"/>
          <w:sz w:val="20"/>
          <w:szCs w:val="20"/>
          <w:lang w:val="en-US"/>
        </w:rPr>
        <w:t>the State</w:t>
      </w:r>
      <w:r w:rsidR="00687684" w:rsidRPr="00D869E3">
        <w:rPr>
          <w:rFonts w:ascii="Verdana" w:hAnsi="Verdana"/>
          <w:sz w:val="20"/>
          <w:szCs w:val="20"/>
          <w:lang w:val="en-US"/>
        </w:rPr>
        <w:t xml:space="preserve"> and the representatives</w:t>
      </w:r>
      <w:r w:rsidR="006F79F4" w:rsidRPr="00D869E3">
        <w:rPr>
          <w:rFonts w:ascii="Verdana" w:hAnsi="Verdana"/>
          <w:sz w:val="20"/>
          <w:szCs w:val="20"/>
          <w:lang w:val="en-US"/>
        </w:rPr>
        <w:t xml:space="preserve"> present</w:t>
      </w:r>
      <w:r w:rsidRPr="00D869E3">
        <w:rPr>
          <w:rFonts w:ascii="Verdana" w:hAnsi="Verdana"/>
          <w:sz w:val="20"/>
          <w:szCs w:val="20"/>
          <w:lang w:val="en-US"/>
        </w:rPr>
        <w:t>ed their final written arguments with a</w:t>
      </w:r>
      <w:r w:rsidR="003E68B9" w:rsidRPr="00D869E3">
        <w:rPr>
          <w:rFonts w:ascii="Verdana" w:hAnsi="Verdana"/>
          <w:sz w:val="20"/>
          <w:szCs w:val="20"/>
          <w:lang w:val="en-US"/>
        </w:rPr>
        <w:t>nnexes</w:t>
      </w:r>
      <w:r w:rsidRPr="00D869E3">
        <w:rPr>
          <w:rFonts w:ascii="Verdana" w:hAnsi="Verdana"/>
          <w:sz w:val="20"/>
          <w:szCs w:val="20"/>
          <w:lang w:val="en-US"/>
        </w:rPr>
        <w:t xml:space="preserve">, and </w:t>
      </w:r>
      <w:r w:rsidR="00447C65" w:rsidRPr="00D869E3">
        <w:rPr>
          <w:rFonts w:ascii="Verdana" w:hAnsi="Verdana"/>
          <w:sz w:val="20"/>
          <w:szCs w:val="20"/>
          <w:lang w:val="en-US"/>
        </w:rPr>
        <w:t>the Commission</w:t>
      </w:r>
      <w:r w:rsidR="006F79F4" w:rsidRPr="00D869E3">
        <w:rPr>
          <w:rFonts w:ascii="Verdana" w:hAnsi="Verdana"/>
          <w:sz w:val="20"/>
          <w:szCs w:val="20"/>
          <w:lang w:val="en-US"/>
        </w:rPr>
        <w:t xml:space="preserve"> present</w:t>
      </w:r>
      <w:r w:rsidRPr="00D869E3">
        <w:rPr>
          <w:rFonts w:ascii="Verdana" w:hAnsi="Verdana"/>
          <w:sz w:val="20"/>
          <w:szCs w:val="20"/>
          <w:lang w:val="en-US"/>
        </w:rPr>
        <w:t>ed its final written observations. On March 9, 2017, the Court’s Secretariat forwarded the annexes to the final written arguments to the parties and the Commission and asked them to remit any observations they deemed pertinent. In a communication of March 20, 2017</w:t>
      </w:r>
      <w:r w:rsidR="00386930" w:rsidRPr="00D869E3">
        <w:rPr>
          <w:rFonts w:ascii="Verdana" w:hAnsi="Verdana"/>
          <w:sz w:val="20"/>
          <w:szCs w:val="20"/>
          <w:lang w:val="en-US"/>
        </w:rPr>
        <w:t xml:space="preserve">, </w:t>
      </w:r>
      <w:r w:rsidR="00687684" w:rsidRPr="00D869E3">
        <w:rPr>
          <w:rFonts w:ascii="Verdana" w:hAnsi="Verdana"/>
          <w:sz w:val="20"/>
          <w:szCs w:val="20"/>
          <w:lang w:val="en-US"/>
        </w:rPr>
        <w:t>the representatives</w:t>
      </w:r>
      <w:r w:rsidR="006F79F4" w:rsidRPr="00D869E3">
        <w:rPr>
          <w:rFonts w:ascii="Verdana" w:hAnsi="Verdana"/>
          <w:sz w:val="20"/>
          <w:szCs w:val="20"/>
          <w:lang w:val="en-US"/>
        </w:rPr>
        <w:t xml:space="preserve"> present</w:t>
      </w:r>
      <w:r w:rsidRPr="00D869E3">
        <w:rPr>
          <w:rFonts w:ascii="Verdana" w:hAnsi="Verdana"/>
          <w:sz w:val="20"/>
          <w:szCs w:val="20"/>
          <w:lang w:val="en-US"/>
        </w:rPr>
        <w:t>ed observations on some of the annexes.</w:t>
      </w:r>
    </w:p>
    <w:p w14:paraId="68DCEB49" w14:textId="77777777" w:rsidR="001E44D3" w:rsidRPr="00D869E3" w:rsidRDefault="001E44D3" w:rsidP="001E44D3">
      <w:pPr>
        <w:pStyle w:val="Prrafodelista"/>
        <w:ind w:left="0"/>
        <w:jc w:val="both"/>
        <w:rPr>
          <w:rFonts w:ascii="Verdana" w:hAnsi="Verdana"/>
          <w:sz w:val="20"/>
          <w:szCs w:val="20"/>
          <w:lang w:val="en-US"/>
        </w:rPr>
      </w:pPr>
    </w:p>
    <w:p w14:paraId="4B474A91" w14:textId="46402391" w:rsidR="001E44D3" w:rsidRPr="00D869E3" w:rsidRDefault="001E44D3" w:rsidP="00E66DD7">
      <w:pPr>
        <w:pStyle w:val="Prrafodelista"/>
        <w:numPr>
          <w:ilvl w:val="0"/>
          <w:numId w:val="1"/>
        </w:numPr>
        <w:ind w:left="0" w:firstLine="0"/>
        <w:jc w:val="both"/>
        <w:rPr>
          <w:rFonts w:ascii="Verdana" w:hAnsi="Verdana"/>
          <w:sz w:val="20"/>
          <w:szCs w:val="20"/>
          <w:lang w:val="en-US"/>
        </w:rPr>
      </w:pPr>
      <w:r w:rsidRPr="00D869E3">
        <w:rPr>
          <w:rFonts w:ascii="Verdana" w:hAnsi="Verdana"/>
          <w:i/>
          <w:sz w:val="20"/>
          <w:szCs w:val="20"/>
          <w:lang w:val="en-US"/>
        </w:rPr>
        <w:t xml:space="preserve">Disbursements in application of the Legal Assistance Fund. </w:t>
      </w:r>
      <w:r w:rsidRPr="00D869E3">
        <w:rPr>
          <w:rFonts w:ascii="Verdana" w:hAnsi="Verdana"/>
          <w:sz w:val="20"/>
          <w:szCs w:val="20"/>
          <w:lang w:val="en-US"/>
        </w:rPr>
        <w:t>On April 7,</w:t>
      </w:r>
      <w:r w:rsidR="006F79F4" w:rsidRPr="00D869E3">
        <w:rPr>
          <w:rFonts w:ascii="Verdana" w:hAnsi="Verdana"/>
          <w:sz w:val="20"/>
          <w:szCs w:val="20"/>
          <w:lang w:val="en-US"/>
        </w:rPr>
        <w:t xml:space="preserve"> 2017</w:t>
      </w:r>
      <w:r w:rsidRPr="00D869E3">
        <w:rPr>
          <w:rFonts w:ascii="Verdana" w:hAnsi="Verdana"/>
          <w:sz w:val="20"/>
          <w:szCs w:val="20"/>
          <w:lang w:val="en-US"/>
        </w:rPr>
        <w:t>, the Secretariat, on the instructions</w:t>
      </w:r>
      <w:r w:rsidR="006F79F4" w:rsidRPr="00D869E3">
        <w:rPr>
          <w:rFonts w:ascii="Verdana" w:hAnsi="Verdana"/>
          <w:sz w:val="20"/>
          <w:szCs w:val="20"/>
          <w:lang w:val="en-US"/>
        </w:rPr>
        <w:t xml:space="preserve"> </w:t>
      </w:r>
      <w:r w:rsidR="00447C65" w:rsidRPr="00D869E3">
        <w:rPr>
          <w:rFonts w:ascii="Verdana" w:hAnsi="Verdana"/>
          <w:sz w:val="20"/>
          <w:szCs w:val="20"/>
          <w:lang w:val="en-US"/>
        </w:rPr>
        <w:t>of the President of the Court</w:t>
      </w:r>
      <w:r w:rsidR="006F79F4" w:rsidRPr="00D869E3">
        <w:rPr>
          <w:rFonts w:ascii="Verdana" w:hAnsi="Verdana"/>
          <w:sz w:val="20"/>
          <w:szCs w:val="20"/>
          <w:lang w:val="en-US"/>
        </w:rPr>
        <w:t xml:space="preserve">, </w:t>
      </w:r>
      <w:r w:rsidRPr="00D869E3">
        <w:rPr>
          <w:rFonts w:ascii="Verdana" w:hAnsi="Verdana"/>
          <w:sz w:val="20"/>
          <w:szCs w:val="20"/>
          <w:lang w:val="en-US"/>
        </w:rPr>
        <w:t xml:space="preserve">forwarded information to the State on the disbursements made in application of the Legal Assistance Fund in this case and, as provided for in article 5 of the Rules for the Operation of the Fund, </w:t>
      </w:r>
      <w:r w:rsidR="0011223E" w:rsidRPr="00D869E3">
        <w:rPr>
          <w:rFonts w:ascii="Verdana" w:hAnsi="Verdana"/>
          <w:sz w:val="20"/>
          <w:szCs w:val="20"/>
          <w:lang w:val="en-US"/>
        </w:rPr>
        <w:t>granted it a time frame to present any observations it deemed pertinent. The State presented its observations on April 17, 2017</w:t>
      </w:r>
      <w:r w:rsidR="003E68B9" w:rsidRPr="00D869E3">
        <w:rPr>
          <w:rFonts w:ascii="Verdana" w:hAnsi="Verdana"/>
          <w:sz w:val="20"/>
          <w:szCs w:val="20"/>
          <w:lang w:val="en-US"/>
        </w:rPr>
        <w:t>.</w:t>
      </w:r>
    </w:p>
    <w:p w14:paraId="2108DD93" w14:textId="77777777" w:rsidR="006F79F4" w:rsidRPr="00D869E3" w:rsidRDefault="006F79F4" w:rsidP="00AF7637">
      <w:pPr>
        <w:pStyle w:val="Prrafodelista"/>
        <w:ind w:left="0"/>
        <w:jc w:val="both"/>
        <w:rPr>
          <w:rFonts w:ascii="Verdana" w:hAnsi="Verdana"/>
          <w:sz w:val="20"/>
          <w:szCs w:val="20"/>
          <w:lang w:val="en-US"/>
        </w:rPr>
      </w:pPr>
    </w:p>
    <w:p w14:paraId="6C2905C0" w14:textId="605EAADD" w:rsidR="006F79F4" w:rsidRPr="00D869E3" w:rsidRDefault="006F79F4" w:rsidP="00E66DD7">
      <w:pPr>
        <w:pStyle w:val="Prrafodelista"/>
        <w:numPr>
          <w:ilvl w:val="0"/>
          <w:numId w:val="1"/>
        </w:numPr>
        <w:ind w:left="0" w:firstLine="0"/>
        <w:jc w:val="both"/>
        <w:rPr>
          <w:rFonts w:ascii="Verdana" w:hAnsi="Verdana"/>
          <w:sz w:val="20"/>
          <w:szCs w:val="20"/>
          <w:lang w:val="en-US"/>
        </w:rPr>
      </w:pPr>
      <w:r w:rsidRPr="00D869E3">
        <w:rPr>
          <w:rFonts w:ascii="Verdana" w:hAnsi="Verdana"/>
          <w:i/>
          <w:sz w:val="20"/>
          <w:szCs w:val="20"/>
          <w:lang w:val="en-US"/>
        </w:rPr>
        <w:t>Delibera</w:t>
      </w:r>
      <w:r w:rsidR="006E4208" w:rsidRPr="00D869E3">
        <w:rPr>
          <w:rFonts w:ascii="Verdana" w:hAnsi="Verdana"/>
          <w:i/>
          <w:sz w:val="20"/>
          <w:szCs w:val="20"/>
          <w:lang w:val="en-US"/>
        </w:rPr>
        <w:t>tio</w:t>
      </w:r>
      <w:r w:rsidRPr="00D869E3">
        <w:rPr>
          <w:rFonts w:ascii="Verdana" w:hAnsi="Verdana"/>
          <w:i/>
          <w:sz w:val="20"/>
          <w:szCs w:val="20"/>
          <w:lang w:val="en-US"/>
        </w:rPr>
        <w:t xml:space="preserve">n </w:t>
      </w:r>
      <w:r w:rsidR="001C1450" w:rsidRPr="00D869E3">
        <w:rPr>
          <w:rFonts w:ascii="Verdana" w:hAnsi="Verdana"/>
          <w:i/>
          <w:sz w:val="20"/>
          <w:szCs w:val="20"/>
          <w:lang w:val="en-US"/>
        </w:rPr>
        <w:t>of th</w:t>
      </w:r>
      <w:r w:rsidR="003E68B9" w:rsidRPr="00D869E3">
        <w:rPr>
          <w:rFonts w:ascii="Verdana" w:hAnsi="Verdana"/>
          <w:i/>
          <w:sz w:val="20"/>
          <w:szCs w:val="20"/>
          <w:lang w:val="en-US"/>
        </w:rPr>
        <w:t>e</w:t>
      </w:r>
      <w:r w:rsidR="001C1450" w:rsidRPr="00D869E3">
        <w:rPr>
          <w:rFonts w:ascii="Verdana" w:hAnsi="Verdana"/>
          <w:i/>
          <w:sz w:val="20"/>
          <w:szCs w:val="20"/>
          <w:lang w:val="en-US"/>
        </w:rPr>
        <w:t xml:space="preserve"> case.</w:t>
      </w:r>
      <w:r w:rsidRPr="00D869E3">
        <w:rPr>
          <w:rFonts w:ascii="Verdana" w:hAnsi="Verdana"/>
          <w:sz w:val="20"/>
          <w:szCs w:val="20"/>
          <w:lang w:val="en-US"/>
        </w:rPr>
        <w:t xml:space="preserve"> </w:t>
      </w:r>
      <w:r w:rsidR="00447C65" w:rsidRPr="00D869E3">
        <w:rPr>
          <w:rFonts w:ascii="Verdana" w:hAnsi="Verdana"/>
          <w:sz w:val="20"/>
          <w:szCs w:val="20"/>
          <w:lang w:val="en-US"/>
        </w:rPr>
        <w:t>The Court</w:t>
      </w:r>
      <w:r w:rsidRPr="00D869E3">
        <w:rPr>
          <w:rFonts w:ascii="Verdana" w:hAnsi="Verdana"/>
          <w:sz w:val="20"/>
          <w:szCs w:val="20"/>
          <w:lang w:val="en-US"/>
        </w:rPr>
        <w:t xml:space="preserve"> </w:t>
      </w:r>
      <w:r w:rsidR="001C1450" w:rsidRPr="00D869E3">
        <w:rPr>
          <w:rFonts w:ascii="Verdana" w:hAnsi="Verdana"/>
          <w:sz w:val="20"/>
          <w:szCs w:val="20"/>
          <w:lang w:val="en-US"/>
        </w:rPr>
        <w:t>began deliberating this judgment on May 18,</w:t>
      </w:r>
      <w:r w:rsidRPr="00D869E3">
        <w:rPr>
          <w:rFonts w:ascii="Verdana" w:hAnsi="Verdana"/>
          <w:sz w:val="20"/>
          <w:szCs w:val="20"/>
          <w:lang w:val="en-US"/>
        </w:rPr>
        <w:t xml:space="preserve"> 2017</w:t>
      </w:r>
      <w:r w:rsidR="001C1450" w:rsidRPr="00D869E3">
        <w:rPr>
          <w:rFonts w:ascii="Verdana" w:hAnsi="Verdana"/>
          <w:sz w:val="20"/>
          <w:szCs w:val="20"/>
          <w:lang w:val="en-US"/>
        </w:rPr>
        <w:t>, and continued on August 29,</w:t>
      </w:r>
      <w:r w:rsidR="00687684" w:rsidRPr="00D869E3">
        <w:rPr>
          <w:rFonts w:ascii="Verdana" w:hAnsi="Verdana"/>
          <w:sz w:val="20"/>
          <w:szCs w:val="20"/>
          <w:lang w:val="en-US"/>
        </w:rPr>
        <w:t xml:space="preserve"> </w:t>
      </w:r>
      <w:r w:rsidR="00DE6F3B" w:rsidRPr="00D869E3">
        <w:rPr>
          <w:rFonts w:ascii="Verdana" w:hAnsi="Verdana"/>
          <w:sz w:val="20"/>
          <w:szCs w:val="20"/>
          <w:lang w:val="en-US"/>
        </w:rPr>
        <w:t>2017</w:t>
      </w:r>
      <w:r w:rsidRPr="00D869E3">
        <w:rPr>
          <w:rFonts w:ascii="Verdana" w:hAnsi="Verdana"/>
          <w:sz w:val="20"/>
          <w:szCs w:val="20"/>
          <w:lang w:val="en-US"/>
        </w:rPr>
        <w:t xml:space="preserve">. </w:t>
      </w:r>
    </w:p>
    <w:p w14:paraId="0C07D0C6" w14:textId="77777777" w:rsidR="002A7EAF" w:rsidRPr="00D869E3" w:rsidRDefault="002A7EAF" w:rsidP="00D951AE">
      <w:pPr>
        <w:rPr>
          <w:rFonts w:ascii="Verdana" w:hAnsi="Verdana"/>
          <w:sz w:val="20"/>
          <w:szCs w:val="20"/>
          <w:lang w:val="en-US"/>
        </w:rPr>
      </w:pPr>
    </w:p>
    <w:p w14:paraId="18A50CE1" w14:textId="6E5D7570" w:rsidR="006F79F4" w:rsidRPr="00D869E3" w:rsidRDefault="006F79F4" w:rsidP="006F79F4">
      <w:pPr>
        <w:pStyle w:val="Ttulo1"/>
        <w:tabs>
          <w:tab w:val="left" w:pos="851"/>
        </w:tabs>
        <w:spacing w:before="0"/>
        <w:jc w:val="center"/>
        <w:rPr>
          <w:rFonts w:cs="Verdana"/>
          <w:caps/>
          <w:snapToGrid w:val="0"/>
          <w:szCs w:val="20"/>
          <w:lang w:val="en-US"/>
        </w:rPr>
      </w:pPr>
      <w:bookmarkStart w:id="3" w:name="_Toc437960385"/>
      <w:bookmarkStart w:id="4" w:name="_Toc29114101"/>
      <w:r w:rsidRPr="00D869E3">
        <w:rPr>
          <w:rFonts w:cs="Verdana"/>
          <w:caps/>
          <w:snapToGrid w:val="0"/>
          <w:szCs w:val="20"/>
          <w:lang w:val="en-US"/>
        </w:rPr>
        <w:lastRenderedPageBreak/>
        <w:t>III</w:t>
      </w:r>
      <w:r w:rsidRPr="00D869E3">
        <w:rPr>
          <w:rFonts w:cs="Verdana"/>
          <w:caps/>
          <w:snapToGrid w:val="0"/>
          <w:szCs w:val="20"/>
          <w:lang w:val="en-US"/>
        </w:rPr>
        <w:br/>
      </w:r>
      <w:r w:rsidR="006E4208" w:rsidRPr="00D869E3">
        <w:rPr>
          <w:rFonts w:cs="Verdana"/>
          <w:caps/>
          <w:snapToGrid w:val="0"/>
          <w:szCs w:val="20"/>
          <w:lang w:val="en-US"/>
        </w:rPr>
        <w:t>JURISDICTION</w:t>
      </w:r>
      <w:bookmarkEnd w:id="3"/>
      <w:bookmarkEnd w:id="4"/>
    </w:p>
    <w:p w14:paraId="0EEBCC03" w14:textId="77777777" w:rsidR="006F79F4" w:rsidRPr="00D869E3" w:rsidRDefault="006F79F4" w:rsidP="006F79F4">
      <w:pPr>
        <w:rPr>
          <w:rFonts w:ascii="Verdana" w:hAnsi="Verdana"/>
          <w:sz w:val="20"/>
          <w:szCs w:val="20"/>
          <w:lang w:val="en-US"/>
        </w:rPr>
      </w:pPr>
    </w:p>
    <w:p w14:paraId="06FE5261" w14:textId="134F5412" w:rsidR="006F79F4" w:rsidRPr="00D869E3" w:rsidRDefault="00447C65" w:rsidP="00E66DD7">
      <w:pPr>
        <w:pStyle w:val="Prrafodelista"/>
        <w:numPr>
          <w:ilvl w:val="0"/>
          <w:numId w:val="1"/>
        </w:numPr>
        <w:ind w:left="0" w:firstLine="0"/>
        <w:jc w:val="both"/>
        <w:rPr>
          <w:rFonts w:ascii="Verdana" w:hAnsi="Verdana"/>
          <w:sz w:val="20"/>
          <w:szCs w:val="20"/>
          <w:lang w:val="en-US"/>
        </w:rPr>
      </w:pPr>
      <w:r w:rsidRPr="00D869E3">
        <w:rPr>
          <w:rFonts w:ascii="Verdana" w:hAnsi="Verdana"/>
          <w:sz w:val="20"/>
          <w:szCs w:val="20"/>
          <w:lang w:val="en-US"/>
        </w:rPr>
        <w:t>The Court</w:t>
      </w:r>
      <w:r w:rsidR="006F79F4" w:rsidRPr="00D869E3">
        <w:rPr>
          <w:rFonts w:ascii="Verdana" w:eastAsia="Times New Roman" w:hAnsi="Verdana"/>
          <w:sz w:val="20"/>
          <w:szCs w:val="20"/>
          <w:lang w:val="en-US"/>
        </w:rPr>
        <w:t xml:space="preserve"> </w:t>
      </w:r>
      <w:r w:rsidR="002A7EAF" w:rsidRPr="00D869E3">
        <w:rPr>
          <w:rFonts w:ascii="Verdana" w:eastAsia="Times New Roman" w:hAnsi="Verdana"/>
          <w:sz w:val="20"/>
          <w:szCs w:val="20"/>
          <w:lang w:val="en-US"/>
        </w:rPr>
        <w:t>has jurisdiction to hear this case pursuant to</w:t>
      </w:r>
      <w:r w:rsidR="00687684" w:rsidRPr="00D869E3">
        <w:rPr>
          <w:rFonts w:ascii="Verdana" w:eastAsia="Times New Roman" w:hAnsi="Verdana"/>
          <w:sz w:val="20"/>
          <w:szCs w:val="20"/>
          <w:lang w:val="en-US"/>
        </w:rPr>
        <w:t xml:space="preserve"> Article</w:t>
      </w:r>
      <w:r w:rsidR="006F79F4" w:rsidRPr="00D869E3">
        <w:rPr>
          <w:rFonts w:ascii="Verdana" w:eastAsia="Times New Roman" w:hAnsi="Verdana"/>
          <w:sz w:val="20"/>
          <w:szCs w:val="20"/>
          <w:lang w:val="en-US"/>
        </w:rPr>
        <w:t xml:space="preserve"> </w:t>
      </w:r>
      <w:r w:rsidRPr="00D869E3">
        <w:rPr>
          <w:rFonts w:ascii="Verdana" w:eastAsia="Times New Roman" w:hAnsi="Verdana"/>
          <w:sz w:val="20"/>
          <w:szCs w:val="20"/>
          <w:lang w:val="en-US"/>
        </w:rPr>
        <w:t>62(3) of the American Convention</w:t>
      </w:r>
      <w:r w:rsidR="006F79F4" w:rsidRPr="00D869E3">
        <w:rPr>
          <w:rFonts w:ascii="Verdana" w:eastAsia="Times New Roman" w:hAnsi="Verdana"/>
          <w:sz w:val="20"/>
          <w:szCs w:val="20"/>
          <w:lang w:val="en-US"/>
        </w:rPr>
        <w:t xml:space="preserve">, </w:t>
      </w:r>
      <w:r w:rsidR="002A7EAF" w:rsidRPr="00D869E3">
        <w:rPr>
          <w:rFonts w:ascii="Verdana" w:eastAsia="Times New Roman" w:hAnsi="Verdana"/>
          <w:sz w:val="20"/>
          <w:szCs w:val="20"/>
          <w:lang w:val="en-US"/>
        </w:rPr>
        <w:t>because</w:t>
      </w:r>
      <w:r w:rsidR="006F79F4" w:rsidRPr="00D869E3">
        <w:rPr>
          <w:rFonts w:ascii="Verdana" w:eastAsia="Times New Roman" w:hAnsi="Verdana"/>
          <w:sz w:val="20"/>
          <w:szCs w:val="20"/>
          <w:lang w:val="en-US"/>
        </w:rPr>
        <w:t xml:space="preserve"> </w:t>
      </w:r>
      <w:r w:rsidRPr="00D869E3">
        <w:rPr>
          <w:rFonts w:ascii="Verdana" w:eastAsia="Times New Roman" w:hAnsi="Verdana"/>
          <w:sz w:val="20"/>
          <w:szCs w:val="20"/>
          <w:lang w:val="en-US"/>
        </w:rPr>
        <w:t>Peru</w:t>
      </w:r>
      <w:r w:rsidR="006F79F4" w:rsidRPr="00D869E3">
        <w:rPr>
          <w:rFonts w:ascii="Verdana" w:eastAsia="Times New Roman" w:hAnsi="Verdana"/>
          <w:sz w:val="20"/>
          <w:szCs w:val="20"/>
          <w:lang w:val="en-US"/>
        </w:rPr>
        <w:t xml:space="preserve"> ratifi</w:t>
      </w:r>
      <w:r w:rsidR="002A7EAF" w:rsidRPr="00D869E3">
        <w:rPr>
          <w:rFonts w:ascii="Verdana" w:eastAsia="Times New Roman" w:hAnsi="Verdana"/>
          <w:sz w:val="20"/>
          <w:szCs w:val="20"/>
          <w:lang w:val="en-US"/>
        </w:rPr>
        <w:t>ed</w:t>
      </w:r>
      <w:r w:rsidR="006F79F4" w:rsidRPr="00D869E3">
        <w:rPr>
          <w:rFonts w:ascii="Verdana" w:eastAsia="Times New Roman" w:hAnsi="Verdana"/>
          <w:sz w:val="20"/>
          <w:szCs w:val="20"/>
          <w:lang w:val="en-US"/>
        </w:rPr>
        <w:t xml:space="preserve"> </w:t>
      </w:r>
      <w:r w:rsidRPr="00D869E3">
        <w:rPr>
          <w:rFonts w:ascii="Verdana" w:eastAsia="Times New Roman" w:hAnsi="Verdana"/>
          <w:sz w:val="20"/>
          <w:szCs w:val="20"/>
          <w:lang w:val="en-US"/>
        </w:rPr>
        <w:t>the American Convention</w:t>
      </w:r>
      <w:r w:rsidR="006F79F4" w:rsidRPr="00D869E3">
        <w:rPr>
          <w:rFonts w:ascii="Verdana" w:eastAsia="Times New Roman" w:hAnsi="Verdana"/>
          <w:sz w:val="20"/>
          <w:szCs w:val="20"/>
          <w:lang w:val="en-US"/>
        </w:rPr>
        <w:t xml:space="preserve"> </w:t>
      </w:r>
      <w:r w:rsidR="002A7EAF" w:rsidRPr="00D869E3">
        <w:rPr>
          <w:rFonts w:ascii="Verdana" w:eastAsia="Times New Roman" w:hAnsi="Verdana"/>
          <w:sz w:val="20"/>
          <w:szCs w:val="20"/>
          <w:lang w:val="en-US"/>
        </w:rPr>
        <w:t>on July 28,</w:t>
      </w:r>
      <w:r w:rsidR="006F79F4" w:rsidRPr="00D869E3">
        <w:rPr>
          <w:rFonts w:ascii="Verdana" w:eastAsia="Times New Roman" w:hAnsi="Verdana"/>
          <w:sz w:val="20"/>
          <w:szCs w:val="20"/>
          <w:lang w:val="en-US"/>
        </w:rPr>
        <w:t xml:space="preserve"> 1978,</w:t>
      </w:r>
      <w:r w:rsidR="00687684" w:rsidRPr="00D869E3">
        <w:rPr>
          <w:rFonts w:ascii="Verdana" w:eastAsia="Times New Roman" w:hAnsi="Verdana"/>
          <w:sz w:val="20"/>
          <w:szCs w:val="20"/>
          <w:lang w:val="en-US"/>
        </w:rPr>
        <w:t xml:space="preserve"> and </w:t>
      </w:r>
      <w:r w:rsidR="002A7EAF" w:rsidRPr="00D869E3">
        <w:rPr>
          <w:rFonts w:ascii="Verdana" w:eastAsia="Times New Roman" w:hAnsi="Verdana"/>
          <w:sz w:val="20"/>
          <w:szCs w:val="20"/>
          <w:lang w:val="en-US"/>
        </w:rPr>
        <w:t xml:space="preserve">accepted the contentious jurisdiction </w:t>
      </w:r>
      <w:r w:rsidRPr="00D869E3">
        <w:rPr>
          <w:rFonts w:ascii="Verdana" w:eastAsia="Times New Roman" w:hAnsi="Verdana"/>
          <w:sz w:val="20"/>
          <w:szCs w:val="20"/>
          <w:lang w:val="en-US"/>
        </w:rPr>
        <w:t>of the Court</w:t>
      </w:r>
      <w:r w:rsidR="006F79F4" w:rsidRPr="00D869E3">
        <w:rPr>
          <w:rFonts w:ascii="Verdana" w:eastAsia="Times New Roman" w:hAnsi="Verdana"/>
          <w:sz w:val="20"/>
          <w:szCs w:val="20"/>
          <w:lang w:val="en-US"/>
        </w:rPr>
        <w:t xml:space="preserve"> </w:t>
      </w:r>
      <w:r w:rsidR="002A7EAF" w:rsidRPr="00D869E3">
        <w:rPr>
          <w:rFonts w:ascii="Verdana" w:eastAsia="Times New Roman" w:hAnsi="Verdana"/>
          <w:sz w:val="20"/>
          <w:szCs w:val="20"/>
          <w:lang w:val="en-US"/>
        </w:rPr>
        <w:t>on January 21,</w:t>
      </w:r>
      <w:r w:rsidR="006F79F4" w:rsidRPr="00D869E3">
        <w:rPr>
          <w:rFonts w:ascii="Verdana" w:eastAsia="Times New Roman" w:hAnsi="Verdana"/>
          <w:sz w:val="20"/>
          <w:szCs w:val="20"/>
          <w:lang w:val="en-US"/>
        </w:rPr>
        <w:t xml:space="preserve"> 1981.</w:t>
      </w:r>
    </w:p>
    <w:p w14:paraId="099FC5D0" w14:textId="77777777" w:rsidR="00474832" w:rsidRPr="00D869E3" w:rsidRDefault="00474832" w:rsidP="006F79F4">
      <w:pPr>
        <w:pStyle w:val="Prrafodelista"/>
        <w:ind w:left="0"/>
        <w:jc w:val="both"/>
        <w:rPr>
          <w:rFonts w:ascii="Verdana" w:hAnsi="Verdana"/>
          <w:sz w:val="20"/>
          <w:szCs w:val="20"/>
          <w:lang w:val="en-US"/>
        </w:rPr>
      </w:pPr>
    </w:p>
    <w:p w14:paraId="39C32B7E" w14:textId="7E95333D" w:rsidR="00AF7637" w:rsidRPr="00D869E3" w:rsidRDefault="00374FC9" w:rsidP="00AF7637">
      <w:pPr>
        <w:pStyle w:val="Ttulo1"/>
        <w:tabs>
          <w:tab w:val="left" w:pos="851"/>
        </w:tabs>
        <w:spacing w:before="0"/>
        <w:jc w:val="center"/>
        <w:rPr>
          <w:rFonts w:cs="Verdana"/>
          <w:caps/>
          <w:snapToGrid w:val="0"/>
          <w:szCs w:val="20"/>
          <w:lang w:val="en-US"/>
        </w:rPr>
      </w:pPr>
      <w:bookmarkStart w:id="5" w:name="_Toc437960386"/>
      <w:bookmarkStart w:id="6" w:name="_Toc29114102"/>
      <w:r w:rsidRPr="00D869E3">
        <w:rPr>
          <w:rFonts w:cs="Verdana"/>
          <w:caps/>
          <w:snapToGrid w:val="0"/>
          <w:szCs w:val="20"/>
          <w:lang w:val="en-US"/>
        </w:rPr>
        <w:t>I</w:t>
      </w:r>
      <w:r w:rsidR="00AF7637" w:rsidRPr="00D869E3">
        <w:rPr>
          <w:rFonts w:cs="Verdana"/>
          <w:caps/>
          <w:snapToGrid w:val="0"/>
          <w:szCs w:val="20"/>
          <w:lang w:val="en-US"/>
        </w:rPr>
        <w:t>V</w:t>
      </w:r>
      <w:r w:rsidR="00AF7637" w:rsidRPr="00D869E3">
        <w:rPr>
          <w:rFonts w:cs="Verdana"/>
          <w:caps/>
          <w:snapToGrid w:val="0"/>
          <w:szCs w:val="20"/>
          <w:lang w:val="en-US"/>
        </w:rPr>
        <w:br/>
      </w:r>
      <w:r w:rsidR="00CE3F0D" w:rsidRPr="00D869E3">
        <w:rPr>
          <w:caps/>
          <w:snapToGrid w:val="0"/>
          <w:lang w:val="en-US"/>
        </w:rPr>
        <w:t>PRELIMINARY OBJECTIONS</w:t>
      </w:r>
      <w:bookmarkEnd w:id="5"/>
      <w:bookmarkEnd w:id="6"/>
    </w:p>
    <w:p w14:paraId="0F684868" w14:textId="77777777" w:rsidR="00AF7637" w:rsidRPr="00D869E3" w:rsidRDefault="00AF7637" w:rsidP="00AF7637">
      <w:pPr>
        <w:rPr>
          <w:rFonts w:ascii="Verdana" w:hAnsi="Verdana"/>
          <w:lang w:val="en-US"/>
        </w:rPr>
      </w:pPr>
    </w:p>
    <w:p w14:paraId="0A754255" w14:textId="0DA2B843" w:rsidR="00154B4B" w:rsidRPr="00D869E3" w:rsidRDefault="00154B4B" w:rsidP="00E66DD7">
      <w:pPr>
        <w:pStyle w:val="Ttulo2"/>
        <w:numPr>
          <w:ilvl w:val="0"/>
          <w:numId w:val="8"/>
        </w:numPr>
        <w:rPr>
          <w:i/>
          <w:szCs w:val="20"/>
          <w:lang w:val="en-US"/>
        </w:rPr>
      </w:pPr>
      <w:r w:rsidRPr="00D869E3">
        <w:rPr>
          <w:i/>
          <w:szCs w:val="20"/>
          <w:lang w:val="en-US"/>
        </w:rPr>
        <w:t xml:space="preserve"> </w:t>
      </w:r>
      <w:bookmarkStart w:id="7" w:name="_Toc29114103"/>
      <w:r w:rsidR="002A7EAF" w:rsidRPr="00D869E3">
        <w:rPr>
          <w:rFonts w:eastAsia="MS Gothic"/>
          <w:i/>
          <w:lang w:val="en-US"/>
        </w:rPr>
        <w:t>Arguments of the State and observations</w:t>
      </w:r>
      <w:r w:rsidR="00447C65" w:rsidRPr="00D869E3">
        <w:rPr>
          <w:rFonts w:eastAsia="MS Gothic"/>
          <w:i/>
          <w:lang w:val="en-US"/>
        </w:rPr>
        <w:t xml:space="preserve"> of the Commission</w:t>
      </w:r>
      <w:r w:rsidR="00687684" w:rsidRPr="00D869E3">
        <w:rPr>
          <w:rFonts w:eastAsia="MS Gothic"/>
          <w:i/>
          <w:lang w:val="en-US"/>
        </w:rPr>
        <w:t xml:space="preserve"> and the representatives</w:t>
      </w:r>
      <w:bookmarkEnd w:id="7"/>
    </w:p>
    <w:p w14:paraId="4F7E7751" w14:textId="77777777" w:rsidR="00154B4B" w:rsidRPr="00D869E3" w:rsidRDefault="00154B4B" w:rsidP="00154B4B">
      <w:pPr>
        <w:pStyle w:val="Prrafodelista"/>
        <w:ind w:left="0"/>
        <w:jc w:val="both"/>
        <w:rPr>
          <w:rFonts w:ascii="Verdana" w:hAnsi="Verdana"/>
          <w:sz w:val="20"/>
          <w:szCs w:val="20"/>
          <w:lang w:val="en-US"/>
        </w:rPr>
      </w:pPr>
    </w:p>
    <w:p w14:paraId="41B4405B" w14:textId="3939FBE2" w:rsidR="00154B4B" w:rsidRPr="00D869E3" w:rsidRDefault="00447C65" w:rsidP="00E66DD7">
      <w:pPr>
        <w:pStyle w:val="Prrafodelista"/>
        <w:numPr>
          <w:ilvl w:val="0"/>
          <w:numId w:val="1"/>
        </w:numPr>
        <w:ind w:left="0" w:firstLine="0"/>
        <w:jc w:val="both"/>
        <w:rPr>
          <w:rFonts w:ascii="Verdana" w:hAnsi="Verdana"/>
          <w:sz w:val="20"/>
          <w:szCs w:val="20"/>
          <w:lang w:val="en-US"/>
        </w:rPr>
      </w:pPr>
      <w:r w:rsidRPr="00D869E3">
        <w:rPr>
          <w:rFonts w:ascii="Verdana" w:hAnsi="Verdana"/>
          <w:sz w:val="20"/>
          <w:szCs w:val="20"/>
          <w:lang w:val="en-US"/>
        </w:rPr>
        <w:t xml:space="preserve">The </w:t>
      </w:r>
      <w:r w:rsidRPr="00B06D8F">
        <w:rPr>
          <w:rFonts w:ascii="Verdana" w:hAnsi="Verdana"/>
          <w:b/>
          <w:bCs/>
          <w:i/>
          <w:iCs/>
          <w:sz w:val="20"/>
          <w:szCs w:val="20"/>
          <w:lang w:val="en-US"/>
        </w:rPr>
        <w:t>State</w:t>
      </w:r>
      <w:r w:rsidR="00154B4B" w:rsidRPr="00D869E3">
        <w:rPr>
          <w:rFonts w:ascii="Verdana" w:hAnsi="Verdana"/>
          <w:sz w:val="20"/>
          <w:szCs w:val="20"/>
          <w:lang w:val="en-US"/>
        </w:rPr>
        <w:t xml:space="preserve"> </w:t>
      </w:r>
      <w:r w:rsidR="002A7EAF" w:rsidRPr="00D869E3">
        <w:rPr>
          <w:rFonts w:ascii="Verdana" w:hAnsi="Verdana"/>
          <w:sz w:val="20"/>
          <w:szCs w:val="20"/>
          <w:lang w:val="en-US"/>
        </w:rPr>
        <w:t>asked</w:t>
      </w:r>
      <w:r w:rsidR="00154B4B" w:rsidRPr="00D869E3">
        <w:rPr>
          <w:rFonts w:ascii="Verdana" w:hAnsi="Verdana"/>
          <w:sz w:val="20"/>
          <w:szCs w:val="20"/>
          <w:lang w:val="en-US"/>
        </w:rPr>
        <w:t xml:space="preserve"> </w:t>
      </w:r>
      <w:r w:rsidRPr="00D869E3">
        <w:rPr>
          <w:rFonts w:ascii="Verdana" w:hAnsi="Verdana"/>
          <w:sz w:val="20"/>
          <w:szCs w:val="20"/>
          <w:lang w:val="en-US"/>
        </w:rPr>
        <w:t>the Court</w:t>
      </w:r>
      <w:r w:rsidR="00154B4B" w:rsidRPr="00D869E3">
        <w:rPr>
          <w:rFonts w:ascii="Verdana" w:hAnsi="Verdana"/>
          <w:sz w:val="20"/>
          <w:szCs w:val="20"/>
          <w:lang w:val="en-US"/>
        </w:rPr>
        <w:t xml:space="preserve"> </w:t>
      </w:r>
      <w:r w:rsidR="002A7EAF" w:rsidRPr="00D869E3">
        <w:rPr>
          <w:rFonts w:ascii="Verdana" w:hAnsi="Verdana"/>
          <w:sz w:val="20"/>
          <w:szCs w:val="20"/>
          <w:lang w:val="en-US"/>
        </w:rPr>
        <w:t>to review the legality of the</w:t>
      </w:r>
      <w:r w:rsidR="00154B4B" w:rsidRPr="00D869E3">
        <w:rPr>
          <w:rFonts w:ascii="Verdana" w:hAnsi="Verdana"/>
          <w:sz w:val="20"/>
          <w:szCs w:val="20"/>
          <w:lang w:val="en-US"/>
        </w:rPr>
        <w:t xml:space="preserve"> </w:t>
      </w:r>
      <w:r w:rsidR="002A7EAF" w:rsidRPr="00D869E3">
        <w:rPr>
          <w:rFonts w:ascii="Verdana" w:hAnsi="Verdana"/>
          <w:sz w:val="20"/>
          <w:szCs w:val="20"/>
          <w:lang w:val="en-US"/>
        </w:rPr>
        <w:t xml:space="preserve">Commission’s </w:t>
      </w:r>
      <w:r w:rsidR="00687684" w:rsidRPr="00D869E3">
        <w:rPr>
          <w:rFonts w:ascii="Verdana" w:hAnsi="Verdana"/>
          <w:sz w:val="20"/>
          <w:szCs w:val="20"/>
          <w:lang w:val="en-US"/>
        </w:rPr>
        <w:t>Admissibility Report</w:t>
      </w:r>
      <w:r w:rsidRPr="00D869E3">
        <w:rPr>
          <w:rFonts w:ascii="Verdana" w:hAnsi="Verdana"/>
          <w:sz w:val="20"/>
          <w:szCs w:val="20"/>
          <w:lang w:val="en-US"/>
        </w:rPr>
        <w:t xml:space="preserve"> </w:t>
      </w:r>
      <w:r w:rsidR="00687684" w:rsidRPr="00D869E3">
        <w:rPr>
          <w:rFonts w:ascii="Verdana" w:hAnsi="Verdana"/>
          <w:sz w:val="20"/>
          <w:szCs w:val="20"/>
          <w:lang w:val="en-US"/>
        </w:rPr>
        <w:t xml:space="preserve">and </w:t>
      </w:r>
      <w:r w:rsidR="00027310" w:rsidRPr="00D869E3">
        <w:rPr>
          <w:rFonts w:ascii="Verdana" w:hAnsi="Verdana"/>
          <w:sz w:val="20"/>
          <w:szCs w:val="20"/>
          <w:lang w:val="en-US"/>
        </w:rPr>
        <w:t>raised</w:t>
      </w:r>
      <w:r w:rsidR="00C2431F" w:rsidRPr="00D869E3">
        <w:rPr>
          <w:rFonts w:ascii="Verdana" w:hAnsi="Verdana"/>
          <w:sz w:val="20"/>
          <w:szCs w:val="20"/>
          <w:lang w:val="en-US"/>
        </w:rPr>
        <w:t xml:space="preserve"> the following</w:t>
      </w:r>
      <w:r w:rsidR="002A7EAF" w:rsidRPr="00D869E3">
        <w:rPr>
          <w:rFonts w:ascii="Verdana" w:hAnsi="Verdana"/>
          <w:sz w:val="20"/>
          <w:szCs w:val="20"/>
          <w:lang w:val="en-US"/>
        </w:rPr>
        <w:t xml:space="preserve"> six</w:t>
      </w:r>
      <w:r w:rsidR="00154B4B" w:rsidRPr="00D869E3">
        <w:rPr>
          <w:rFonts w:ascii="Verdana" w:hAnsi="Verdana"/>
          <w:sz w:val="20"/>
          <w:szCs w:val="20"/>
          <w:lang w:val="en-US"/>
        </w:rPr>
        <w:t xml:space="preserve"> </w:t>
      </w:r>
      <w:r w:rsidR="006436CA" w:rsidRPr="00D869E3">
        <w:rPr>
          <w:rFonts w:ascii="Verdana" w:hAnsi="Verdana"/>
          <w:sz w:val="20"/>
          <w:szCs w:val="20"/>
          <w:lang w:val="en-US"/>
        </w:rPr>
        <w:t>“</w:t>
      </w:r>
      <w:r w:rsidR="00154B4B" w:rsidRPr="00D869E3">
        <w:rPr>
          <w:rFonts w:ascii="Verdana" w:hAnsi="Verdana"/>
          <w:sz w:val="20"/>
          <w:szCs w:val="20"/>
          <w:lang w:val="en-US"/>
        </w:rPr>
        <w:t>proce</w:t>
      </w:r>
      <w:r w:rsidR="002A7EAF" w:rsidRPr="00D869E3">
        <w:rPr>
          <w:rFonts w:ascii="Verdana" w:hAnsi="Verdana"/>
          <w:sz w:val="20"/>
          <w:szCs w:val="20"/>
          <w:lang w:val="en-US"/>
        </w:rPr>
        <w:t>dural question</w:t>
      </w:r>
      <w:r w:rsidR="00C2431F" w:rsidRPr="00D869E3">
        <w:rPr>
          <w:rFonts w:ascii="Verdana" w:hAnsi="Verdana"/>
          <w:sz w:val="20"/>
          <w:szCs w:val="20"/>
          <w:lang w:val="en-US"/>
        </w:rPr>
        <w:t>s</w:t>
      </w:r>
      <w:r w:rsidR="006436CA" w:rsidRPr="00D869E3">
        <w:rPr>
          <w:rFonts w:ascii="Verdana" w:hAnsi="Verdana"/>
          <w:sz w:val="20"/>
          <w:szCs w:val="20"/>
          <w:lang w:val="en-US"/>
        </w:rPr>
        <w:t>”</w:t>
      </w:r>
      <w:r w:rsidR="00C2431F" w:rsidRPr="00D869E3">
        <w:rPr>
          <w:rFonts w:ascii="Verdana" w:hAnsi="Verdana"/>
          <w:sz w:val="20"/>
          <w:szCs w:val="20"/>
          <w:lang w:val="en-US"/>
        </w:rPr>
        <w:t>:</w:t>
      </w:r>
    </w:p>
    <w:p w14:paraId="3B15CC69" w14:textId="77777777" w:rsidR="00154B4B" w:rsidRPr="00D869E3" w:rsidRDefault="00154B4B" w:rsidP="00154B4B">
      <w:pPr>
        <w:pStyle w:val="Prrafodelista"/>
        <w:ind w:left="0"/>
        <w:jc w:val="both"/>
        <w:rPr>
          <w:rFonts w:ascii="Verdana" w:hAnsi="Verdana"/>
          <w:sz w:val="20"/>
          <w:szCs w:val="20"/>
          <w:lang w:val="en-US"/>
        </w:rPr>
      </w:pPr>
    </w:p>
    <w:p w14:paraId="7F7F4E3E" w14:textId="4B63CA5D" w:rsidR="009E5D0F" w:rsidRPr="00D869E3" w:rsidRDefault="00154B4B" w:rsidP="009E5D0F">
      <w:pPr>
        <w:pStyle w:val="Prrafodelista"/>
        <w:numPr>
          <w:ilvl w:val="0"/>
          <w:numId w:val="17"/>
        </w:numPr>
        <w:ind w:hanging="11"/>
        <w:jc w:val="both"/>
        <w:rPr>
          <w:rFonts w:ascii="Verdana" w:hAnsi="Verdana"/>
          <w:sz w:val="20"/>
          <w:szCs w:val="20"/>
          <w:lang w:val="en-US"/>
        </w:rPr>
      </w:pPr>
      <w:r w:rsidRPr="00D869E3">
        <w:rPr>
          <w:rFonts w:ascii="Verdana" w:hAnsi="Verdana"/>
          <w:sz w:val="20"/>
          <w:szCs w:val="20"/>
          <w:lang w:val="en-US"/>
        </w:rPr>
        <w:t xml:space="preserve"> </w:t>
      </w:r>
      <w:r w:rsidR="006436CA" w:rsidRPr="00D869E3">
        <w:rPr>
          <w:rFonts w:ascii="Verdana" w:hAnsi="Verdana"/>
          <w:i/>
          <w:sz w:val="20"/>
          <w:szCs w:val="20"/>
          <w:lang w:val="en-US"/>
        </w:rPr>
        <w:t>“</w:t>
      </w:r>
      <w:r w:rsidR="00474832" w:rsidRPr="00D869E3">
        <w:rPr>
          <w:rFonts w:ascii="Verdana" w:hAnsi="Verdana"/>
          <w:i/>
          <w:sz w:val="20"/>
          <w:szCs w:val="20"/>
          <w:lang w:val="en-US"/>
        </w:rPr>
        <w:t xml:space="preserve">Review of legality of the IACHR </w:t>
      </w:r>
      <w:r w:rsidR="00687684" w:rsidRPr="00D869E3">
        <w:rPr>
          <w:rFonts w:ascii="Verdana" w:hAnsi="Verdana"/>
          <w:i/>
          <w:sz w:val="20"/>
          <w:szCs w:val="20"/>
          <w:lang w:val="en-US"/>
        </w:rPr>
        <w:t>Admissibility Report</w:t>
      </w:r>
      <w:r w:rsidRPr="00D869E3">
        <w:rPr>
          <w:rFonts w:ascii="Verdana" w:hAnsi="Verdana"/>
          <w:i/>
          <w:sz w:val="20"/>
          <w:szCs w:val="20"/>
          <w:lang w:val="en-US"/>
        </w:rPr>
        <w:t xml:space="preserve"> </w:t>
      </w:r>
      <w:r w:rsidR="00474832" w:rsidRPr="00D869E3">
        <w:rPr>
          <w:rFonts w:ascii="Verdana" w:hAnsi="Verdana"/>
          <w:i/>
          <w:sz w:val="20"/>
          <w:szCs w:val="20"/>
          <w:lang w:val="en-US"/>
        </w:rPr>
        <w:t>in this case</w:t>
      </w:r>
      <w:r w:rsidR="006436CA" w:rsidRPr="00D869E3">
        <w:rPr>
          <w:rFonts w:ascii="Verdana" w:hAnsi="Verdana"/>
          <w:i/>
          <w:sz w:val="20"/>
          <w:szCs w:val="20"/>
          <w:lang w:val="en-US"/>
        </w:rPr>
        <w:t>”</w:t>
      </w:r>
      <w:r w:rsidR="00386930" w:rsidRPr="00D869E3">
        <w:rPr>
          <w:rFonts w:ascii="Verdana" w:hAnsi="Verdana"/>
          <w:sz w:val="20"/>
          <w:szCs w:val="20"/>
          <w:lang w:val="en-US"/>
        </w:rPr>
        <w:t xml:space="preserve">: </w:t>
      </w:r>
      <w:r w:rsidR="00447C65" w:rsidRPr="00D869E3">
        <w:rPr>
          <w:rFonts w:ascii="Verdana" w:hAnsi="Verdana"/>
          <w:sz w:val="20"/>
          <w:szCs w:val="20"/>
          <w:lang w:val="en-US"/>
        </w:rPr>
        <w:t>The State</w:t>
      </w:r>
      <w:r w:rsidRPr="00D869E3">
        <w:rPr>
          <w:rFonts w:ascii="Verdana" w:hAnsi="Verdana"/>
          <w:sz w:val="20"/>
          <w:szCs w:val="20"/>
          <w:lang w:val="en-US"/>
        </w:rPr>
        <w:t xml:space="preserve"> </w:t>
      </w:r>
      <w:r w:rsidR="009E5D0F" w:rsidRPr="00D869E3">
        <w:rPr>
          <w:rFonts w:ascii="Verdana" w:hAnsi="Verdana"/>
          <w:sz w:val="20"/>
          <w:szCs w:val="20"/>
          <w:lang w:val="en-US"/>
        </w:rPr>
        <w:t>asked</w:t>
      </w:r>
      <w:r w:rsidRPr="00D869E3">
        <w:rPr>
          <w:rFonts w:ascii="Verdana" w:hAnsi="Verdana"/>
          <w:sz w:val="20"/>
          <w:szCs w:val="20"/>
          <w:lang w:val="en-US"/>
        </w:rPr>
        <w:t xml:space="preserve"> </w:t>
      </w:r>
      <w:r w:rsidR="00447C65" w:rsidRPr="00D869E3">
        <w:rPr>
          <w:rFonts w:ascii="Verdana" w:hAnsi="Verdana"/>
          <w:sz w:val="20"/>
          <w:szCs w:val="20"/>
          <w:lang w:val="en-US"/>
        </w:rPr>
        <w:t>the Court</w:t>
      </w:r>
      <w:r w:rsidRPr="00D869E3">
        <w:rPr>
          <w:rFonts w:ascii="Verdana" w:hAnsi="Verdana"/>
          <w:sz w:val="20"/>
          <w:szCs w:val="20"/>
          <w:lang w:val="en-US"/>
        </w:rPr>
        <w:t xml:space="preserve"> </w:t>
      </w:r>
      <w:r w:rsidR="009E5D0F" w:rsidRPr="00D869E3">
        <w:rPr>
          <w:rFonts w:ascii="Verdana" w:hAnsi="Verdana"/>
          <w:sz w:val="20"/>
          <w:szCs w:val="20"/>
          <w:lang w:val="en-US"/>
        </w:rPr>
        <w:t xml:space="preserve">to exercise its authority to review the Commission’s omissions in relation to the failure to verify the </w:t>
      </w:r>
      <w:r w:rsidR="00D951AE" w:rsidRPr="00D869E3">
        <w:rPr>
          <w:rFonts w:ascii="Verdana" w:hAnsi="Verdana"/>
          <w:sz w:val="20"/>
          <w:szCs w:val="20"/>
          <w:lang w:val="en-US"/>
        </w:rPr>
        <w:t>time limit for filing</w:t>
      </w:r>
      <w:r w:rsidR="009E5D0F" w:rsidRPr="00D869E3">
        <w:rPr>
          <w:rFonts w:ascii="Verdana" w:hAnsi="Verdana"/>
          <w:sz w:val="20"/>
          <w:szCs w:val="20"/>
          <w:lang w:val="en-US"/>
        </w:rPr>
        <w:t xml:space="preserve"> the petition pursuant to </w:t>
      </w:r>
      <w:r w:rsidR="00447C65" w:rsidRPr="00D869E3">
        <w:rPr>
          <w:rFonts w:ascii="Verdana" w:hAnsi="Verdana"/>
          <w:sz w:val="20"/>
          <w:szCs w:val="20"/>
          <w:lang w:val="en-US"/>
        </w:rPr>
        <w:t>Article</w:t>
      </w:r>
      <w:r w:rsidRPr="00D869E3">
        <w:rPr>
          <w:rFonts w:ascii="Verdana" w:hAnsi="Verdana"/>
          <w:sz w:val="20"/>
          <w:szCs w:val="20"/>
          <w:lang w:val="en-US"/>
        </w:rPr>
        <w:t xml:space="preserve"> 46</w:t>
      </w:r>
      <w:r w:rsidR="009E5D0F" w:rsidRPr="00D869E3">
        <w:rPr>
          <w:rFonts w:ascii="Verdana" w:hAnsi="Verdana"/>
          <w:sz w:val="20"/>
          <w:szCs w:val="20"/>
          <w:lang w:val="en-US"/>
        </w:rPr>
        <w:t>(1)(</w:t>
      </w:r>
      <w:r w:rsidRPr="00D869E3">
        <w:rPr>
          <w:rFonts w:ascii="Verdana" w:hAnsi="Verdana"/>
          <w:sz w:val="20"/>
          <w:szCs w:val="20"/>
          <w:lang w:val="en-US"/>
        </w:rPr>
        <w:t>b)</w:t>
      </w:r>
      <w:r w:rsidR="00447C65" w:rsidRPr="00D869E3">
        <w:rPr>
          <w:rFonts w:ascii="Verdana" w:hAnsi="Verdana"/>
          <w:sz w:val="20"/>
          <w:szCs w:val="20"/>
          <w:lang w:val="en-US"/>
        </w:rPr>
        <w:t xml:space="preserve"> of the Convention</w:t>
      </w:r>
      <w:r w:rsidRPr="00D869E3">
        <w:rPr>
          <w:rFonts w:ascii="Verdana" w:hAnsi="Verdana"/>
          <w:sz w:val="20"/>
          <w:szCs w:val="20"/>
          <w:lang w:val="en-US"/>
        </w:rPr>
        <w:t xml:space="preserve">. </w:t>
      </w:r>
      <w:r w:rsidR="00D951AE" w:rsidRPr="00D869E3">
        <w:rPr>
          <w:rFonts w:ascii="Verdana" w:hAnsi="Verdana"/>
          <w:sz w:val="20"/>
          <w:szCs w:val="20"/>
          <w:lang w:val="en-US"/>
        </w:rPr>
        <w:t>It</w:t>
      </w:r>
      <w:r w:rsidR="009E5D0F" w:rsidRPr="00D869E3">
        <w:rPr>
          <w:rFonts w:ascii="Verdana" w:hAnsi="Verdana"/>
          <w:sz w:val="20"/>
          <w:szCs w:val="20"/>
          <w:lang w:val="en-US"/>
        </w:rPr>
        <w:t xml:space="preserve"> indicated that </w:t>
      </w:r>
      <w:r w:rsidR="00447C65" w:rsidRPr="00D869E3">
        <w:rPr>
          <w:rFonts w:ascii="Verdana" w:hAnsi="Verdana"/>
          <w:sz w:val="20"/>
          <w:szCs w:val="20"/>
          <w:lang w:val="en-US"/>
        </w:rPr>
        <w:t>the Commission</w:t>
      </w:r>
      <w:r w:rsidRPr="00D869E3">
        <w:rPr>
          <w:rFonts w:ascii="Verdana" w:hAnsi="Verdana"/>
          <w:sz w:val="20"/>
          <w:szCs w:val="20"/>
          <w:lang w:val="en-US"/>
        </w:rPr>
        <w:t xml:space="preserve"> </w:t>
      </w:r>
      <w:r w:rsidR="009E5D0F" w:rsidRPr="00D869E3">
        <w:rPr>
          <w:rFonts w:ascii="Verdana" w:hAnsi="Verdana"/>
          <w:sz w:val="20"/>
          <w:szCs w:val="20"/>
          <w:lang w:val="en-US"/>
        </w:rPr>
        <w:t xml:space="preserve">had considered October 14, </w:t>
      </w:r>
      <w:r w:rsidRPr="00D869E3">
        <w:rPr>
          <w:rFonts w:ascii="Verdana" w:hAnsi="Verdana"/>
          <w:sz w:val="20"/>
          <w:szCs w:val="20"/>
          <w:lang w:val="en-US"/>
        </w:rPr>
        <w:t>1993</w:t>
      </w:r>
      <w:r w:rsidR="009E5D0F" w:rsidRPr="00D869E3">
        <w:rPr>
          <w:rFonts w:ascii="Verdana" w:hAnsi="Verdana"/>
          <w:sz w:val="20"/>
          <w:szCs w:val="20"/>
          <w:lang w:val="en-US"/>
        </w:rPr>
        <w:t xml:space="preserve">, as the date of </w:t>
      </w:r>
      <w:r w:rsidR="001E44D3" w:rsidRPr="00D869E3">
        <w:rPr>
          <w:rFonts w:ascii="Verdana" w:hAnsi="Verdana"/>
          <w:sz w:val="20"/>
          <w:szCs w:val="20"/>
          <w:lang w:val="en-US"/>
        </w:rPr>
        <w:t>Mr. Lagos del Campo</w:t>
      </w:r>
      <w:r w:rsidR="009E5D0F" w:rsidRPr="00D869E3">
        <w:rPr>
          <w:rFonts w:ascii="Verdana" w:hAnsi="Verdana"/>
          <w:sz w:val="20"/>
          <w:szCs w:val="20"/>
          <w:lang w:val="en-US"/>
        </w:rPr>
        <w:t xml:space="preserve">’s petition, </w:t>
      </w:r>
      <w:r w:rsidR="00D951AE" w:rsidRPr="00D869E3">
        <w:rPr>
          <w:rFonts w:ascii="Verdana" w:hAnsi="Verdana"/>
          <w:sz w:val="20"/>
          <w:szCs w:val="20"/>
          <w:lang w:val="en-US"/>
        </w:rPr>
        <w:t>despite the fact that</w:t>
      </w:r>
      <w:r w:rsidR="009E5D0F" w:rsidRPr="00D869E3">
        <w:rPr>
          <w:rFonts w:ascii="Verdana" w:hAnsi="Verdana"/>
          <w:sz w:val="20"/>
          <w:szCs w:val="20"/>
          <w:lang w:val="en-US"/>
        </w:rPr>
        <w:t xml:space="preserve"> this had been </w:t>
      </w:r>
      <w:r w:rsidR="00D951AE" w:rsidRPr="00D869E3">
        <w:rPr>
          <w:rFonts w:ascii="Verdana" w:hAnsi="Verdana"/>
          <w:sz w:val="20"/>
          <w:szCs w:val="20"/>
          <w:lang w:val="en-US"/>
        </w:rPr>
        <w:t xml:space="preserve">delivered </w:t>
      </w:r>
      <w:r w:rsidR="009E5D0F" w:rsidRPr="00D869E3">
        <w:rPr>
          <w:rFonts w:ascii="Verdana" w:hAnsi="Verdana"/>
          <w:sz w:val="20"/>
          <w:szCs w:val="20"/>
          <w:lang w:val="en-US"/>
        </w:rPr>
        <w:t>to the offices of</w:t>
      </w:r>
      <w:r w:rsidRPr="00D869E3">
        <w:rPr>
          <w:rFonts w:ascii="Verdana" w:hAnsi="Verdana"/>
          <w:sz w:val="20"/>
          <w:szCs w:val="20"/>
          <w:lang w:val="en-US"/>
        </w:rPr>
        <w:t xml:space="preserve"> </w:t>
      </w:r>
      <w:r w:rsidR="009E5D0F" w:rsidRPr="00D869E3">
        <w:rPr>
          <w:rFonts w:ascii="Verdana" w:hAnsi="Verdana"/>
          <w:sz w:val="20"/>
          <w:szCs w:val="20"/>
          <w:lang w:val="en-US"/>
        </w:rPr>
        <w:t>the Organization of American States</w:t>
      </w:r>
      <w:r w:rsidRPr="00D869E3">
        <w:rPr>
          <w:rFonts w:ascii="Verdana" w:hAnsi="Verdana"/>
          <w:sz w:val="20"/>
          <w:szCs w:val="20"/>
          <w:lang w:val="en-US"/>
        </w:rPr>
        <w:t xml:space="preserve"> </w:t>
      </w:r>
      <w:r w:rsidR="009E5D0F" w:rsidRPr="00D869E3">
        <w:rPr>
          <w:rFonts w:ascii="Verdana" w:hAnsi="Verdana"/>
          <w:sz w:val="20"/>
          <w:szCs w:val="20"/>
          <w:lang w:val="en-US"/>
        </w:rPr>
        <w:t>i</w:t>
      </w:r>
      <w:r w:rsidRPr="00D869E3">
        <w:rPr>
          <w:rFonts w:ascii="Verdana" w:hAnsi="Verdana"/>
          <w:sz w:val="20"/>
          <w:szCs w:val="20"/>
          <w:lang w:val="en-US"/>
        </w:rPr>
        <w:t xml:space="preserve">n </w:t>
      </w:r>
      <w:r w:rsidR="00447C65" w:rsidRPr="00D869E3">
        <w:rPr>
          <w:rFonts w:ascii="Verdana" w:hAnsi="Verdana"/>
          <w:sz w:val="20"/>
          <w:szCs w:val="20"/>
          <w:lang w:val="en-US"/>
        </w:rPr>
        <w:t>Peru</w:t>
      </w:r>
      <w:r w:rsidRPr="00D869E3">
        <w:rPr>
          <w:rFonts w:ascii="Verdana" w:hAnsi="Verdana"/>
          <w:sz w:val="20"/>
          <w:szCs w:val="20"/>
          <w:lang w:val="en-US"/>
        </w:rPr>
        <w:t xml:space="preserve"> </w:t>
      </w:r>
      <w:r w:rsidR="009E5D0F" w:rsidRPr="00D869E3">
        <w:rPr>
          <w:rFonts w:ascii="Verdana" w:hAnsi="Verdana"/>
          <w:sz w:val="20"/>
          <w:szCs w:val="20"/>
          <w:lang w:val="en-US"/>
        </w:rPr>
        <w:t>on</w:t>
      </w:r>
      <w:r w:rsidRPr="00D869E3">
        <w:rPr>
          <w:rFonts w:ascii="Verdana" w:hAnsi="Verdana"/>
          <w:sz w:val="20"/>
          <w:szCs w:val="20"/>
          <w:lang w:val="en-US"/>
        </w:rPr>
        <w:t xml:space="preserve"> </w:t>
      </w:r>
      <w:r w:rsidR="00687684" w:rsidRPr="00D869E3">
        <w:rPr>
          <w:rFonts w:ascii="Verdana" w:hAnsi="Verdana"/>
          <w:sz w:val="20"/>
          <w:szCs w:val="20"/>
          <w:lang w:val="en-US"/>
        </w:rPr>
        <w:t>August 5,</w:t>
      </w:r>
      <w:r w:rsidRPr="00D869E3">
        <w:rPr>
          <w:rFonts w:ascii="Verdana" w:hAnsi="Verdana"/>
          <w:sz w:val="20"/>
          <w:szCs w:val="20"/>
          <w:lang w:val="en-US"/>
        </w:rPr>
        <w:t xml:space="preserve"> 1998</w:t>
      </w:r>
      <w:r w:rsidR="009E5D0F" w:rsidRPr="00D869E3">
        <w:rPr>
          <w:rFonts w:ascii="Verdana" w:hAnsi="Verdana"/>
          <w:sz w:val="20"/>
          <w:szCs w:val="20"/>
          <w:lang w:val="en-US"/>
        </w:rPr>
        <w:t xml:space="preserve">, thus violating the principles of legal certainty and procedural </w:t>
      </w:r>
      <w:r w:rsidR="00D951AE" w:rsidRPr="00D869E3">
        <w:rPr>
          <w:rFonts w:ascii="Verdana" w:hAnsi="Verdana"/>
          <w:sz w:val="20"/>
          <w:szCs w:val="20"/>
          <w:lang w:val="en-US"/>
        </w:rPr>
        <w:t>fairness</w:t>
      </w:r>
      <w:r w:rsidR="009E5D0F" w:rsidRPr="00D869E3">
        <w:rPr>
          <w:rFonts w:ascii="Verdana" w:hAnsi="Verdana"/>
          <w:sz w:val="20"/>
          <w:szCs w:val="20"/>
          <w:lang w:val="en-US"/>
        </w:rPr>
        <w:t>. In addition, the State considered that</w:t>
      </w:r>
      <w:r w:rsidRPr="00D869E3">
        <w:rPr>
          <w:rFonts w:ascii="Verdana" w:hAnsi="Verdana"/>
          <w:sz w:val="20"/>
          <w:szCs w:val="20"/>
          <w:lang w:val="en-US"/>
        </w:rPr>
        <w:t xml:space="preserve"> </w:t>
      </w:r>
      <w:r w:rsidR="00447C65" w:rsidRPr="00D869E3">
        <w:rPr>
          <w:rFonts w:ascii="Verdana" w:hAnsi="Verdana"/>
          <w:sz w:val="20"/>
          <w:szCs w:val="20"/>
          <w:lang w:val="en-US"/>
        </w:rPr>
        <w:t>the</w:t>
      </w:r>
      <w:r w:rsidR="002D3CB7" w:rsidRPr="00D869E3">
        <w:rPr>
          <w:rFonts w:ascii="Verdana" w:hAnsi="Verdana"/>
          <w:sz w:val="20"/>
          <w:szCs w:val="20"/>
          <w:lang w:val="en-US"/>
        </w:rPr>
        <w:t xml:space="preserve"> verification made by the</w:t>
      </w:r>
      <w:r w:rsidR="00447C65" w:rsidRPr="00D869E3">
        <w:rPr>
          <w:rFonts w:ascii="Verdana" w:hAnsi="Verdana"/>
          <w:sz w:val="20"/>
          <w:szCs w:val="20"/>
          <w:lang w:val="en-US"/>
        </w:rPr>
        <w:t xml:space="preserve"> Commission</w:t>
      </w:r>
      <w:r w:rsidRPr="00D869E3">
        <w:rPr>
          <w:rFonts w:ascii="Verdana" w:hAnsi="Verdana"/>
          <w:sz w:val="20"/>
          <w:szCs w:val="20"/>
          <w:lang w:val="en-US"/>
        </w:rPr>
        <w:t xml:space="preserve"> </w:t>
      </w:r>
      <w:r w:rsidR="009E5D0F" w:rsidRPr="00D869E3">
        <w:rPr>
          <w:rFonts w:ascii="Verdana" w:hAnsi="Verdana"/>
          <w:sz w:val="20"/>
          <w:szCs w:val="20"/>
          <w:lang w:val="en-US"/>
        </w:rPr>
        <w:t xml:space="preserve">was contrary to the procedural rules </w:t>
      </w:r>
      <w:r w:rsidR="002D3CB7" w:rsidRPr="00D869E3">
        <w:rPr>
          <w:rFonts w:ascii="Verdana" w:hAnsi="Verdana"/>
          <w:sz w:val="20"/>
          <w:szCs w:val="20"/>
          <w:lang w:val="en-US"/>
        </w:rPr>
        <w:t>with regard to</w:t>
      </w:r>
      <w:r w:rsidR="009E5D0F" w:rsidRPr="00D869E3">
        <w:rPr>
          <w:rFonts w:ascii="Verdana" w:hAnsi="Verdana"/>
          <w:sz w:val="20"/>
          <w:szCs w:val="20"/>
          <w:lang w:val="en-US"/>
        </w:rPr>
        <w:t xml:space="preserve"> compliance with </w:t>
      </w:r>
      <w:r w:rsidR="002D3CB7" w:rsidRPr="00D869E3">
        <w:rPr>
          <w:rFonts w:ascii="Verdana" w:hAnsi="Verdana"/>
          <w:sz w:val="20"/>
          <w:szCs w:val="20"/>
          <w:lang w:val="en-US"/>
        </w:rPr>
        <w:t>the six months’ time frame</w:t>
      </w:r>
      <w:r w:rsidR="009E5D0F" w:rsidRPr="00D869E3">
        <w:rPr>
          <w:rFonts w:ascii="Verdana" w:hAnsi="Verdana"/>
          <w:sz w:val="20"/>
          <w:szCs w:val="20"/>
          <w:lang w:val="en-US"/>
        </w:rPr>
        <w:t xml:space="preserve"> for the admissibility of the petition</w:t>
      </w:r>
      <w:r w:rsidR="002D3CB7" w:rsidRPr="00D869E3">
        <w:rPr>
          <w:rFonts w:ascii="Verdana" w:hAnsi="Verdana"/>
          <w:sz w:val="20"/>
          <w:szCs w:val="20"/>
          <w:lang w:val="en-US"/>
        </w:rPr>
        <w:t>,</w:t>
      </w:r>
      <w:r w:rsidR="009E5D0F" w:rsidRPr="00D869E3">
        <w:rPr>
          <w:rFonts w:ascii="Verdana" w:hAnsi="Verdana"/>
          <w:sz w:val="20"/>
          <w:szCs w:val="20"/>
          <w:lang w:val="en-US"/>
        </w:rPr>
        <w:t xml:space="preserve"> </w:t>
      </w:r>
      <w:r w:rsidR="002D3CB7" w:rsidRPr="00D869E3">
        <w:rPr>
          <w:rFonts w:ascii="Verdana" w:hAnsi="Verdana"/>
          <w:sz w:val="20"/>
          <w:szCs w:val="20"/>
          <w:lang w:val="en-US"/>
        </w:rPr>
        <w:t>in relation to</w:t>
      </w:r>
      <w:r w:rsidR="009E5D0F" w:rsidRPr="00D869E3">
        <w:rPr>
          <w:rFonts w:ascii="Verdana" w:hAnsi="Verdana"/>
          <w:sz w:val="20"/>
          <w:szCs w:val="20"/>
          <w:lang w:val="en-US"/>
        </w:rPr>
        <w:t xml:space="preserve"> the alleged violations of the right to freedom of expression and the right to be heard. Consequently, it asked the Court to determine how the Commission should proceed in similar circumstances</w:t>
      </w:r>
      <w:r w:rsidR="002D3CB7" w:rsidRPr="00D869E3">
        <w:rPr>
          <w:rFonts w:ascii="Verdana" w:hAnsi="Verdana"/>
          <w:sz w:val="20"/>
          <w:szCs w:val="20"/>
          <w:lang w:val="en-US"/>
        </w:rPr>
        <w:t>,</w:t>
      </w:r>
      <w:r w:rsidR="009E5D0F" w:rsidRPr="00D869E3">
        <w:rPr>
          <w:rFonts w:ascii="Verdana" w:hAnsi="Verdana"/>
          <w:sz w:val="20"/>
          <w:szCs w:val="20"/>
          <w:lang w:val="en-US"/>
        </w:rPr>
        <w:t xml:space="preserve"> and to declare that the action of the IACHR was not in keeping with the procedural rules and its competencies, and that the petition should have been rejected. </w:t>
      </w:r>
    </w:p>
    <w:p w14:paraId="5EE54AD3" w14:textId="77777777" w:rsidR="00154B4B" w:rsidRPr="00D869E3" w:rsidRDefault="00154B4B" w:rsidP="001B45F8">
      <w:pPr>
        <w:ind w:left="360" w:hanging="11"/>
        <w:jc w:val="both"/>
        <w:rPr>
          <w:rFonts w:ascii="Verdana" w:hAnsi="Verdana"/>
          <w:sz w:val="20"/>
          <w:szCs w:val="20"/>
          <w:lang w:val="en-US"/>
        </w:rPr>
      </w:pPr>
    </w:p>
    <w:p w14:paraId="34F27D98" w14:textId="0CFE1117" w:rsidR="00EE0BD4" w:rsidRPr="00D869E3" w:rsidRDefault="006436CA" w:rsidP="00EE0BD4">
      <w:pPr>
        <w:pStyle w:val="Prrafodelista"/>
        <w:numPr>
          <w:ilvl w:val="0"/>
          <w:numId w:val="17"/>
        </w:numPr>
        <w:ind w:hanging="11"/>
        <w:jc w:val="both"/>
        <w:rPr>
          <w:rFonts w:ascii="Verdana" w:hAnsi="Verdana"/>
          <w:sz w:val="20"/>
          <w:szCs w:val="20"/>
          <w:lang w:val="en-US"/>
        </w:rPr>
      </w:pPr>
      <w:r w:rsidRPr="00D869E3">
        <w:rPr>
          <w:rFonts w:ascii="Verdana" w:hAnsi="Verdana"/>
          <w:i/>
          <w:sz w:val="20"/>
          <w:szCs w:val="20"/>
          <w:lang w:val="en-US"/>
        </w:rPr>
        <w:t>“</w:t>
      </w:r>
      <w:r w:rsidR="009E5D0F" w:rsidRPr="00D869E3">
        <w:rPr>
          <w:rFonts w:ascii="Verdana" w:hAnsi="Verdana"/>
          <w:i/>
          <w:sz w:val="20"/>
          <w:szCs w:val="20"/>
          <w:lang w:val="en-US"/>
        </w:rPr>
        <w:t xml:space="preserve">Failure to exhaust domestic remedies in relation to the allegation of the failure to </w:t>
      </w:r>
      <w:r w:rsidR="002D3CB7" w:rsidRPr="00D869E3">
        <w:rPr>
          <w:rFonts w:ascii="Verdana" w:hAnsi="Verdana"/>
          <w:i/>
          <w:sz w:val="20"/>
          <w:szCs w:val="20"/>
          <w:lang w:val="en-US"/>
        </w:rPr>
        <w:t>state the reasons</w:t>
      </w:r>
      <w:r w:rsidR="009E5D0F" w:rsidRPr="00D869E3">
        <w:rPr>
          <w:rFonts w:ascii="Verdana" w:hAnsi="Verdana"/>
          <w:i/>
          <w:sz w:val="20"/>
          <w:szCs w:val="20"/>
          <w:lang w:val="en-US"/>
        </w:rPr>
        <w:t xml:space="preserve"> for the legal decisions.</w:t>
      </w:r>
      <w:r w:rsidRPr="00D869E3">
        <w:rPr>
          <w:rFonts w:ascii="Verdana" w:hAnsi="Verdana"/>
          <w:i/>
          <w:sz w:val="20"/>
          <w:szCs w:val="20"/>
          <w:lang w:val="en-US"/>
        </w:rPr>
        <w:t>”</w:t>
      </w:r>
      <w:r w:rsidR="00154B4B" w:rsidRPr="00D869E3">
        <w:rPr>
          <w:rFonts w:ascii="Verdana" w:hAnsi="Verdana"/>
          <w:sz w:val="20"/>
          <w:szCs w:val="20"/>
          <w:lang w:val="en-US"/>
        </w:rPr>
        <w:t xml:space="preserve"> </w:t>
      </w:r>
      <w:r w:rsidR="00447C65" w:rsidRPr="00D869E3">
        <w:rPr>
          <w:rFonts w:ascii="Verdana" w:hAnsi="Verdana"/>
          <w:sz w:val="20"/>
          <w:szCs w:val="20"/>
          <w:lang w:val="en-US"/>
        </w:rPr>
        <w:t>The State</w:t>
      </w:r>
      <w:r w:rsidR="00154B4B" w:rsidRPr="00D869E3">
        <w:rPr>
          <w:rFonts w:ascii="Verdana" w:hAnsi="Verdana"/>
          <w:sz w:val="20"/>
          <w:szCs w:val="20"/>
          <w:lang w:val="en-US"/>
        </w:rPr>
        <w:t xml:space="preserve"> </w:t>
      </w:r>
      <w:r w:rsidR="009E5D0F" w:rsidRPr="00D869E3">
        <w:rPr>
          <w:rFonts w:ascii="Verdana" w:hAnsi="Verdana"/>
          <w:sz w:val="20"/>
          <w:szCs w:val="20"/>
          <w:lang w:val="en-US"/>
        </w:rPr>
        <w:t>argued that</w:t>
      </w:r>
      <w:r w:rsidR="00154B4B" w:rsidRPr="00D869E3">
        <w:rPr>
          <w:rFonts w:ascii="Verdana" w:hAnsi="Verdana"/>
          <w:sz w:val="20"/>
          <w:szCs w:val="20"/>
          <w:lang w:val="en-US"/>
        </w:rPr>
        <w:t xml:space="preserve"> </w:t>
      </w:r>
      <w:r w:rsidR="00447C65" w:rsidRPr="00D869E3">
        <w:rPr>
          <w:rFonts w:ascii="Verdana" w:hAnsi="Verdana"/>
          <w:sz w:val="20"/>
          <w:szCs w:val="20"/>
          <w:lang w:val="en-US"/>
        </w:rPr>
        <w:t>the Commission</w:t>
      </w:r>
      <w:r w:rsidR="00154B4B" w:rsidRPr="00D869E3">
        <w:rPr>
          <w:rFonts w:ascii="Verdana" w:hAnsi="Verdana"/>
          <w:sz w:val="20"/>
          <w:szCs w:val="20"/>
          <w:lang w:val="en-US"/>
        </w:rPr>
        <w:t xml:space="preserve"> </w:t>
      </w:r>
      <w:r w:rsidR="009E5D0F" w:rsidRPr="00D869E3">
        <w:rPr>
          <w:rFonts w:ascii="Verdana" w:hAnsi="Verdana"/>
          <w:sz w:val="20"/>
          <w:szCs w:val="20"/>
          <w:lang w:val="en-US"/>
        </w:rPr>
        <w:t>had made an incomplete or partial evaluation of the admissibility of the petition</w:t>
      </w:r>
      <w:r w:rsidR="00EE0BD4" w:rsidRPr="00D869E3">
        <w:rPr>
          <w:rFonts w:ascii="Verdana" w:hAnsi="Verdana"/>
          <w:sz w:val="20"/>
          <w:szCs w:val="20"/>
          <w:lang w:val="en-US"/>
        </w:rPr>
        <w:t xml:space="preserve"> in relation to compliance with the obligation to exhaust domestic remedies, and that the reasons why </w:t>
      </w:r>
      <w:r w:rsidR="002D3CB7" w:rsidRPr="00D869E3">
        <w:rPr>
          <w:rFonts w:ascii="Verdana" w:hAnsi="Verdana"/>
          <w:sz w:val="20"/>
          <w:szCs w:val="20"/>
          <w:lang w:val="en-US"/>
        </w:rPr>
        <w:t>the Commission</w:t>
      </w:r>
      <w:r w:rsidR="00EE0BD4" w:rsidRPr="00D869E3">
        <w:rPr>
          <w:rFonts w:ascii="Verdana" w:hAnsi="Verdana"/>
          <w:sz w:val="20"/>
          <w:szCs w:val="20"/>
          <w:lang w:val="en-US"/>
        </w:rPr>
        <w:t xml:space="preserve"> considered that this requirement had been complied with had been developed insufficiently, without explaining the connection between the remedies filed and the content of the alleged violations. In this regard, it asked the Court to analyze whether the judicial decision taken into account by the Commission as the final remedy exhausted by the petitioner had really sought to reverse each and every violation of the rights alleged in the petition lodged before </w:t>
      </w:r>
      <w:r w:rsidR="00447C65" w:rsidRPr="00D869E3">
        <w:rPr>
          <w:rFonts w:ascii="Verdana" w:hAnsi="Verdana"/>
          <w:sz w:val="20"/>
          <w:szCs w:val="20"/>
          <w:lang w:val="en-US"/>
        </w:rPr>
        <w:t>the Inter-American Commission</w:t>
      </w:r>
      <w:r w:rsidR="00386930" w:rsidRPr="00D869E3">
        <w:rPr>
          <w:rFonts w:ascii="Verdana" w:hAnsi="Verdana"/>
          <w:sz w:val="20"/>
          <w:szCs w:val="20"/>
          <w:lang w:val="en-US"/>
        </w:rPr>
        <w:t>.</w:t>
      </w:r>
      <w:r w:rsidR="00154B4B" w:rsidRPr="00D869E3">
        <w:rPr>
          <w:rFonts w:ascii="Verdana" w:hAnsi="Verdana"/>
          <w:sz w:val="20"/>
          <w:szCs w:val="20"/>
          <w:lang w:val="en-US"/>
        </w:rPr>
        <w:t xml:space="preserve"> </w:t>
      </w:r>
      <w:r w:rsidR="00447C65" w:rsidRPr="00D869E3">
        <w:rPr>
          <w:rFonts w:ascii="Verdana" w:hAnsi="Verdana"/>
          <w:sz w:val="20"/>
          <w:szCs w:val="20"/>
          <w:lang w:val="en-US"/>
        </w:rPr>
        <w:t>The State</w:t>
      </w:r>
      <w:r w:rsidR="00154B4B" w:rsidRPr="00D869E3">
        <w:rPr>
          <w:rFonts w:ascii="Verdana" w:hAnsi="Verdana"/>
          <w:sz w:val="20"/>
          <w:szCs w:val="20"/>
          <w:lang w:val="en-US"/>
        </w:rPr>
        <w:t xml:space="preserve"> s</w:t>
      </w:r>
      <w:r w:rsidR="00EE0BD4" w:rsidRPr="00D869E3">
        <w:rPr>
          <w:rFonts w:ascii="Verdana" w:hAnsi="Verdana"/>
          <w:sz w:val="20"/>
          <w:szCs w:val="20"/>
          <w:lang w:val="en-US"/>
        </w:rPr>
        <w:t>ubmitted this aspect to the Court because it considered that clarity and transparency should exist in the criteria used by the Commission to admit petitions, regardless of whether the State had alleged the matter at the opportune procedural moment.</w:t>
      </w:r>
    </w:p>
    <w:p w14:paraId="17E235DB" w14:textId="46F82279" w:rsidR="00154B4B" w:rsidRPr="00D869E3" w:rsidRDefault="00154B4B" w:rsidP="00EE0BD4">
      <w:pPr>
        <w:jc w:val="both"/>
        <w:rPr>
          <w:rFonts w:ascii="Verdana" w:hAnsi="Verdana"/>
          <w:sz w:val="20"/>
          <w:szCs w:val="20"/>
          <w:lang w:val="en-US"/>
        </w:rPr>
      </w:pPr>
    </w:p>
    <w:p w14:paraId="5C38D791" w14:textId="50ED6407" w:rsidR="00154B4B" w:rsidRPr="00D869E3" w:rsidRDefault="006436CA" w:rsidP="00EE0BD4">
      <w:pPr>
        <w:pStyle w:val="Prrafodelista"/>
        <w:numPr>
          <w:ilvl w:val="0"/>
          <w:numId w:val="17"/>
        </w:numPr>
        <w:ind w:hanging="11"/>
        <w:jc w:val="both"/>
        <w:rPr>
          <w:rFonts w:ascii="Verdana" w:hAnsi="Verdana"/>
          <w:sz w:val="20"/>
          <w:szCs w:val="20"/>
          <w:lang w:val="en-US"/>
        </w:rPr>
      </w:pPr>
      <w:r w:rsidRPr="00D869E3">
        <w:rPr>
          <w:rFonts w:ascii="Verdana" w:hAnsi="Verdana"/>
          <w:i/>
          <w:sz w:val="20"/>
          <w:szCs w:val="20"/>
          <w:lang w:val="en-US"/>
        </w:rPr>
        <w:t>“</w:t>
      </w:r>
      <w:r w:rsidR="00154B4B" w:rsidRPr="00D869E3">
        <w:rPr>
          <w:rFonts w:ascii="Verdana" w:hAnsi="Verdana"/>
          <w:i/>
          <w:sz w:val="20"/>
          <w:szCs w:val="20"/>
          <w:lang w:val="en-US"/>
        </w:rPr>
        <w:t>Observa</w:t>
      </w:r>
      <w:r w:rsidR="00EE0BD4" w:rsidRPr="00D869E3">
        <w:rPr>
          <w:rFonts w:ascii="Verdana" w:hAnsi="Verdana"/>
          <w:i/>
          <w:sz w:val="20"/>
          <w:szCs w:val="20"/>
          <w:lang w:val="en-US"/>
        </w:rPr>
        <w:t xml:space="preserve">tions on the undue inclusion of </w:t>
      </w:r>
      <w:r w:rsidR="00687684" w:rsidRPr="00D869E3">
        <w:rPr>
          <w:rFonts w:ascii="Verdana" w:hAnsi="Verdana"/>
          <w:i/>
          <w:sz w:val="20"/>
          <w:szCs w:val="20"/>
          <w:lang w:val="en-US"/>
        </w:rPr>
        <w:t>Article</w:t>
      </w:r>
      <w:r w:rsidR="00A032B8" w:rsidRPr="00D869E3">
        <w:rPr>
          <w:rFonts w:ascii="Verdana" w:hAnsi="Verdana"/>
          <w:i/>
          <w:sz w:val="20"/>
          <w:szCs w:val="20"/>
          <w:lang w:val="en-US"/>
        </w:rPr>
        <w:t xml:space="preserve"> 16 </w:t>
      </w:r>
      <w:r w:rsidR="00EE0BD4" w:rsidRPr="00D869E3">
        <w:rPr>
          <w:rFonts w:ascii="Verdana" w:hAnsi="Verdana"/>
          <w:i/>
          <w:sz w:val="20"/>
          <w:szCs w:val="20"/>
          <w:lang w:val="en-US"/>
        </w:rPr>
        <w:t>in the IACHR</w:t>
      </w:r>
      <w:r w:rsidR="00A032B8" w:rsidRPr="00D869E3">
        <w:rPr>
          <w:rFonts w:ascii="Verdana" w:hAnsi="Verdana"/>
          <w:i/>
          <w:sz w:val="20"/>
          <w:szCs w:val="20"/>
          <w:lang w:val="en-US"/>
        </w:rPr>
        <w:t xml:space="preserve"> </w:t>
      </w:r>
      <w:r w:rsidR="00687684" w:rsidRPr="00D869E3">
        <w:rPr>
          <w:rFonts w:ascii="Verdana" w:hAnsi="Verdana"/>
          <w:i/>
          <w:sz w:val="20"/>
          <w:szCs w:val="20"/>
          <w:lang w:val="en-US"/>
        </w:rPr>
        <w:t>Merits Report</w:t>
      </w:r>
      <w:r w:rsidR="00EE0BD4" w:rsidRPr="00D869E3">
        <w:rPr>
          <w:rFonts w:ascii="Verdana" w:hAnsi="Verdana"/>
          <w:i/>
          <w:sz w:val="20"/>
          <w:szCs w:val="20"/>
          <w:lang w:val="en-US"/>
        </w:rPr>
        <w:t>.</w:t>
      </w:r>
      <w:r w:rsidRPr="00D869E3">
        <w:rPr>
          <w:rFonts w:ascii="Verdana" w:hAnsi="Verdana"/>
          <w:i/>
          <w:sz w:val="20"/>
          <w:szCs w:val="20"/>
          <w:lang w:val="en-US"/>
        </w:rPr>
        <w:t>”</w:t>
      </w:r>
      <w:r w:rsidR="00154B4B" w:rsidRPr="00D869E3">
        <w:rPr>
          <w:rFonts w:ascii="Verdana" w:hAnsi="Verdana"/>
          <w:sz w:val="20"/>
          <w:szCs w:val="20"/>
          <w:lang w:val="en-US"/>
        </w:rPr>
        <w:t xml:space="preserve"> </w:t>
      </w:r>
      <w:r w:rsidR="00447C65" w:rsidRPr="00D869E3">
        <w:rPr>
          <w:rFonts w:ascii="Verdana" w:hAnsi="Verdana"/>
          <w:sz w:val="20"/>
          <w:szCs w:val="20"/>
          <w:lang w:val="en-US"/>
        </w:rPr>
        <w:t>The State</w:t>
      </w:r>
      <w:r w:rsidR="00154B4B" w:rsidRPr="00D869E3">
        <w:rPr>
          <w:rFonts w:ascii="Verdana" w:hAnsi="Verdana"/>
          <w:sz w:val="20"/>
          <w:szCs w:val="20"/>
          <w:lang w:val="en-US"/>
        </w:rPr>
        <w:t xml:space="preserve"> a</w:t>
      </w:r>
      <w:r w:rsidR="00EE0BD4" w:rsidRPr="00D869E3">
        <w:rPr>
          <w:rFonts w:ascii="Verdana" w:hAnsi="Verdana"/>
          <w:sz w:val="20"/>
          <w:szCs w:val="20"/>
          <w:lang w:val="en-US"/>
        </w:rPr>
        <w:t>lleged that</w:t>
      </w:r>
      <w:r w:rsidR="00154B4B" w:rsidRPr="00D869E3">
        <w:rPr>
          <w:rFonts w:ascii="Verdana" w:hAnsi="Verdana"/>
          <w:sz w:val="20"/>
          <w:szCs w:val="20"/>
          <w:lang w:val="en-US"/>
        </w:rPr>
        <w:t xml:space="preserve"> </w:t>
      </w:r>
      <w:r w:rsidR="00447C65" w:rsidRPr="00D869E3">
        <w:rPr>
          <w:rFonts w:ascii="Verdana" w:hAnsi="Verdana"/>
          <w:sz w:val="20"/>
          <w:szCs w:val="20"/>
          <w:lang w:val="en-US"/>
        </w:rPr>
        <w:t>the Commission</w:t>
      </w:r>
      <w:r w:rsidR="00154B4B" w:rsidRPr="00D869E3">
        <w:rPr>
          <w:rFonts w:ascii="Verdana" w:hAnsi="Verdana"/>
          <w:sz w:val="20"/>
          <w:szCs w:val="20"/>
          <w:lang w:val="en-US"/>
        </w:rPr>
        <w:t xml:space="preserve"> </w:t>
      </w:r>
      <w:r w:rsidR="00EE0BD4" w:rsidRPr="00D869E3">
        <w:rPr>
          <w:rFonts w:ascii="Verdana" w:hAnsi="Verdana"/>
          <w:sz w:val="20"/>
          <w:szCs w:val="20"/>
          <w:lang w:val="en-US"/>
        </w:rPr>
        <w:t xml:space="preserve">had admitted the petition with regard to </w:t>
      </w:r>
      <w:r w:rsidR="00447C65" w:rsidRPr="00D869E3">
        <w:rPr>
          <w:rFonts w:ascii="Verdana" w:hAnsi="Verdana"/>
          <w:sz w:val="20"/>
          <w:szCs w:val="20"/>
          <w:lang w:val="en-US"/>
        </w:rPr>
        <w:t>Articles</w:t>
      </w:r>
      <w:r w:rsidR="00154B4B" w:rsidRPr="00D869E3">
        <w:rPr>
          <w:rFonts w:ascii="Verdana" w:hAnsi="Verdana"/>
          <w:sz w:val="20"/>
          <w:szCs w:val="20"/>
          <w:lang w:val="en-US"/>
        </w:rPr>
        <w:t xml:space="preserve"> 8</w:t>
      </w:r>
      <w:r w:rsidR="00687684" w:rsidRPr="00D869E3">
        <w:rPr>
          <w:rFonts w:ascii="Verdana" w:hAnsi="Verdana"/>
          <w:sz w:val="20"/>
          <w:szCs w:val="20"/>
          <w:lang w:val="en-US"/>
        </w:rPr>
        <w:t xml:space="preserve"> and </w:t>
      </w:r>
      <w:r w:rsidR="00154B4B" w:rsidRPr="00D869E3">
        <w:rPr>
          <w:rFonts w:ascii="Verdana" w:hAnsi="Verdana"/>
          <w:sz w:val="20"/>
          <w:szCs w:val="20"/>
          <w:lang w:val="en-US"/>
        </w:rPr>
        <w:t xml:space="preserve">13 </w:t>
      </w:r>
      <w:r w:rsidR="00EE0BD4" w:rsidRPr="00D869E3">
        <w:rPr>
          <w:rFonts w:ascii="Verdana" w:hAnsi="Verdana"/>
          <w:sz w:val="20"/>
          <w:szCs w:val="20"/>
          <w:lang w:val="en-US"/>
        </w:rPr>
        <w:t>in relation to</w:t>
      </w:r>
      <w:r w:rsidR="00154B4B" w:rsidRPr="00D869E3">
        <w:rPr>
          <w:rFonts w:ascii="Verdana" w:hAnsi="Verdana"/>
          <w:sz w:val="20"/>
          <w:szCs w:val="20"/>
          <w:lang w:val="en-US"/>
        </w:rPr>
        <w:t xml:space="preserve"> </w:t>
      </w:r>
      <w:r w:rsidR="00687684" w:rsidRPr="00D869E3">
        <w:rPr>
          <w:rFonts w:ascii="Verdana" w:hAnsi="Verdana"/>
          <w:sz w:val="20"/>
          <w:szCs w:val="20"/>
          <w:lang w:val="en-US"/>
        </w:rPr>
        <w:t xml:space="preserve">Articles 1(1) and </w:t>
      </w:r>
      <w:r w:rsidR="00154B4B" w:rsidRPr="00D869E3">
        <w:rPr>
          <w:rFonts w:ascii="Verdana" w:hAnsi="Verdana"/>
          <w:sz w:val="20"/>
          <w:szCs w:val="20"/>
          <w:lang w:val="en-US"/>
        </w:rPr>
        <w:t>2</w:t>
      </w:r>
      <w:r w:rsidR="00447C65" w:rsidRPr="00D869E3">
        <w:rPr>
          <w:rFonts w:ascii="Verdana" w:hAnsi="Verdana"/>
          <w:sz w:val="20"/>
          <w:szCs w:val="20"/>
          <w:lang w:val="en-US"/>
        </w:rPr>
        <w:t xml:space="preserve"> of the Convention</w:t>
      </w:r>
      <w:r w:rsidR="00154B4B" w:rsidRPr="00D869E3">
        <w:rPr>
          <w:rFonts w:ascii="Verdana" w:hAnsi="Verdana"/>
          <w:sz w:val="20"/>
          <w:szCs w:val="20"/>
          <w:lang w:val="en-US"/>
        </w:rPr>
        <w:t xml:space="preserve"> </w:t>
      </w:r>
      <w:r w:rsidR="00EE0BD4" w:rsidRPr="00D869E3">
        <w:rPr>
          <w:rFonts w:ascii="Verdana" w:hAnsi="Verdana"/>
          <w:sz w:val="20"/>
          <w:szCs w:val="20"/>
          <w:lang w:val="en-US"/>
        </w:rPr>
        <w:t>but that</w:t>
      </w:r>
      <w:r w:rsidR="005169B2" w:rsidRPr="00D869E3">
        <w:rPr>
          <w:rFonts w:ascii="Verdana" w:hAnsi="Verdana"/>
          <w:sz w:val="20"/>
          <w:szCs w:val="20"/>
          <w:lang w:val="en-US"/>
        </w:rPr>
        <w:t>,</w:t>
      </w:r>
      <w:r w:rsidR="00EE0BD4" w:rsidRPr="00D869E3">
        <w:rPr>
          <w:rFonts w:ascii="Verdana" w:hAnsi="Verdana"/>
          <w:sz w:val="20"/>
          <w:szCs w:val="20"/>
          <w:lang w:val="en-US"/>
        </w:rPr>
        <w:t xml:space="preserve"> in the</w:t>
      </w:r>
      <w:r w:rsidR="00154B4B" w:rsidRPr="00D869E3">
        <w:rPr>
          <w:rFonts w:ascii="Verdana" w:hAnsi="Verdana"/>
          <w:sz w:val="20"/>
          <w:szCs w:val="20"/>
          <w:lang w:val="en-US"/>
        </w:rPr>
        <w:t xml:space="preserve"> </w:t>
      </w:r>
      <w:r w:rsidR="00687684" w:rsidRPr="00D869E3">
        <w:rPr>
          <w:rFonts w:ascii="Verdana" w:hAnsi="Verdana"/>
          <w:sz w:val="20"/>
          <w:szCs w:val="20"/>
          <w:lang w:val="en-US"/>
        </w:rPr>
        <w:t>Merits Report</w:t>
      </w:r>
      <w:r w:rsidR="005169B2" w:rsidRPr="00D869E3">
        <w:rPr>
          <w:rFonts w:ascii="Verdana" w:hAnsi="Verdana"/>
          <w:sz w:val="20"/>
          <w:szCs w:val="20"/>
          <w:lang w:val="en-US"/>
        </w:rPr>
        <w:t>,</w:t>
      </w:r>
      <w:r w:rsidR="00154B4B" w:rsidRPr="00D869E3">
        <w:rPr>
          <w:rFonts w:ascii="Verdana" w:hAnsi="Verdana"/>
          <w:sz w:val="20"/>
          <w:szCs w:val="20"/>
          <w:lang w:val="en-US"/>
        </w:rPr>
        <w:t xml:space="preserve"> </w:t>
      </w:r>
      <w:r w:rsidR="00EE0BD4" w:rsidRPr="00D869E3">
        <w:rPr>
          <w:rFonts w:ascii="Verdana" w:hAnsi="Verdana"/>
          <w:sz w:val="20"/>
          <w:szCs w:val="20"/>
          <w:lang w:val="en-US"/>
        </w:rPr>
        <w:t xml:space="preserve">it had unduly included presumed violations of </w:t>
      </w:r>
      <w:r w:rsidR="00447C65" w:rsidRPr="00D869E3">
        <w:rPr>
          <w:rFonts w:ascii="Verdana" w:hAnsi="Verdana"/>
          <w:sz w:val="20"/>
          <w:szCs w:val="20"/>
          <w:lang w:val="en-US"/>
        </w:rPr>
        <w:t>Article</w:t>
      </w:r>
      <w:r w:rsidR="00154B4B" w:rsidRPr="00D869E3">
        <w:rPr>
          <w:rFonts w:ascii="Verdana" w:hAnsi="Verdana"/>
          <w:sz w:val="20"/>
          <w:szCs w:val="20"/>
          <w:lang w:val="en-US"/>
        </w:rPr>
        <w:t xml:space="preserve"> </w:t>
      </w:r>
      <w:r w:rsidR="00687684" w:rsidRPr="00D869E3">
        <w:rPr>
          <w:rFonts w:ascii="Verdana" w:hAnsi="Verdana"/>
          <w:sz w:val="20"/>
          <w:szCs w:val="20"/>
          <w:lang w:val="en-US"/>
        </w:rPr>
        <w:t>16(1)</w:t>
      </w:r>
      <w:r w:rsidR="00447C65" w:rsidRPr="00D869E3">
        <w:rPr>
          <w:rFonts w:ascii="Verdana" w:hAnsi="Verdana"/>
          <w:sz w:val="20"/>
          <w:szCs w:val="20"/>
          <w:lang w:val="en-US"/>
        </w:rPr>
        <w:t xml:space="preserve"> of the Convention</w:t>
      </w:r>
      <w:r w:rsidR="00154B4B" w:rsidRPr="00D869E3">
        <w:rPr>
          <w:rFonts w:ascii="Verdana" w:hAnsi="Verdana"/>
          <w:sz w:val="20"/>
          <w:szCs w:val="20"/>
          <w:lang w:val="en-US"/>
        </w:rPr>
        <w:t xml:space="preserve">. </w:t>
      </w:r>
      <w:r w:rsidR="005169B2" w:rsidRPr="00D869E3">
        <w:rPr>
          <w:rFonts w:ascii="Verdana" w:hAnsi="Verdana"/>
          <w:sz w:val="20"/>
          <w:szCs w:val="20"/>
          <w:lang w:val="en-US"/>
        </w:rPr>
        <w:t>I</w:t>
      </w:r>
      <w:r w:rsidR="00EE0BD4" w:rsidRPr="00D869E3">
        <w:rPr>
          <w:rFonts w:ascii="Verdana" w:hAnsi="Verdana"/>
          <w:sz w:val="20"/>
          <w:szCs w:val="20"/>
          <w:lang w:val="en-US"/>
        </w:rPr>
        <w:t xml:space="preserve">t </w:t>
      </w:r>
      <w:r w:rsidR="005169B2" w:rsidRPr="00D869E3">
        <w:rPr>
          <w:rFonts w:ascii="Verdana" w:hAnsi="Verdana"/>
          <w:sz w:val="20"/>
          <w:szCs w:val="20"/>
          <w:lang w:val="en-US"/>
        </w:rPr>
        <w:t>i</w:t>
      </w:r>
      <w:r w:rsidR="00EE0BD4" w:rsidRPr="00D869E3">
        <w:rPr>
          <w:rFonts w:ascii="Verdana" w:hAnsi="Verdana"/>
          <w:sz w:val="20"/>
          <w:szCs w:val="20"/>
          <w:lang w:val="en-US"/>
        </w:rPr>
        <w:t xml:space="preserve">ndicated that, neither in the facts of the case submitted by </w:t>
      </w:r>
      <w:r w:rsidR="00687684" w:rsidRPr="00D869E3">
        <w:rPr>
          <w:rFonts w:ascii="Verdana" w:hAnsi="Verdana"/>
          <w:sz w:val="20"/>
          <w:szCs w:val="20"/>
          <w:lang w:val="en-US"/>
        </w:rPr>
        <w:t>the petitioners</w:t>
      </w:r>
      <w:r w:rsidR="00154B4B" w:rsidRPr="00D869E3">
        <w:rPr>
          <w:rFonts w:ascii="Verdana" w:hAnsi="Verdana"/>
          <w:sz w:val="20"/>
          <w:szCs w:val="20"/>
          <w:lang w:val="en-US"/>
        </w:rPr>
        <w:t>, n</w:t>
      </w:r>
      <w:r w:rsidR="00EE0BD4" w:rsidRPr="00D869E3">
        <w:rPr>
          <w:rFonts w:ascii="Verdana" w:hAnsi="Verdana"/>
          <w:sz w:val="20"/>
          <w:szCs w:val="20"/>
          <w:lang w:val="en-US"/>
        </w:rPr>
        <w:t xml:space="preserve">or in the documents they had provided, was there any mention that, owing to the exercise of the right to freedom of expression and the resulting alleged arbitrary dismissal of </w:t>
      </w:r>
      <w:r w:rsidR="001E44D3" w:rsidRPr="00D869E3">
        <w:rPr>
          <w:rFonts w:ascii="Verdana" w:hAnsi="Verdana"/>
          <w:sz w:val="20"/>
          <w:szCs w:val="20"/>
          <w:lang w:val="en-US"/>
        </w:rPr>
        <w:t>Mr. Lagos del Campo</w:t>
      </w:r>
      <w:r w:rsidR="00154B4B" w:rsidRPr="00D869E3">
        <w:rPr>
          <w:rFonts w:ascii="Verdana" w:hAnsi="Verdana"/>
          <w:sz w:val="20"/>
          <w:szCs w:val="20"/>
          <w:lang w:val="en-US"/>
        </w:rPr>
        <w:t xml:space="preserve">, </w:t>
      </w:r>
      <w:r w:rsidR="00EE0BD4" w:rsidRPr="00D869E3">
        <w:rPr>
          <w:rFonts w:ascii="Verdana" w:hAnsi="Verdana"/>
          <w:sz w:val="20"/>
          <w:szCs w:val="20"/>
          <w:lang w:val="en-US"/>
        </w:rPr>
        <w:t xml:space="preserve">had his freedom of association been violated. Consequently, the State alleged that it had never had the opportunity to submit arguments </w:t>
      </w:r>
      <w:r w:rsidR="005169B2" w:rsidRPr="00D869E3">
        <w:rPr>
          <w:rFonts w:ascii="Verdana" w:hAnsi="Verdana"/>
          <w:sz w:val="20"/>
          <w:szCs w:val="20"/>
          <w:lang w:val="en-US"/>
        </w:rPr>
        <w:t>on</w:t>
      </w:r>
      <w:r w:rsidR="00EE0BD4" w:rsidRPr="00D869E3">
        <w:rPr>
          <w:rFonts w:ascii="Verdana" w:hAnsi="Verdana"/>
          <w:sz w:val="20"/>
          <w:szCs w:val="20"/>
          <w:lang w:val="en-US"/>
        </w:rPr>
        <w:t xml:space="preserve"> this aspect, </w:t>
      </w:r>
      <w:r w:rsidR="005169B2" w:rsidRPr="00D869E3">
        <w:rPr>
          <w:rFonts w:ascii="Verdana" w:hAnsi="Verdana"/>
          <w:sz w:val="20"/>
          <w:szCs w:val="20"/>
          <w:lang w:val="en-US"/>
        </w:rPr>
        <w:t xml:space="preserve">and </w:t>
      </w:r>
      <w:r w:rsidR="005169B2" w:rsidRPr="00D869E3">
        <w:rPr>
          <w:rFonts w:ascii="Verdana" w:hAnsi="Verdana"/>
          <w:sz w:val="20"/>
          <w:szCs w:val="20"/>
          <w:lang w:val="en-US"/>
        </w:rPr>
        <w:lastRenderedPageBreak/>
        <w:t xml:space="preserve">this </w:t>
      </w:r>
      <w:r w:rsidR="00EE0BD4" w:rsidRPr="00D869E3">
        <w:rPr>
          <w:rFonts w:ascii="Verdana" w:hAnsi="Verdana"/>
          <w:sz w:val="20"/>
          <w:szCs w:val="20"/>
          <w:lang w:val="en-US"/>
        </w:rPr>
        <w:t xml:space="preserve">constituted a violation of its right to defend itself. Accordingly, it asked the Court to reject the arguments related to the presumed violations of </w:t>
      </w:r>
      <w:r w:rsidR="00447C65" w:rsidRPr="00D869E3">
        <w:rPr>
          <w:rFonts w:ascii="Verdana" w:hAnsi="Verdana"/>
          <w:sz w:val="20"/>
          <w:szCs w:val="20"/>
          <w:lang w:val="en-US"/>
        </w:rPr>
        <w:t>Article</w:t>
      </w:r>
      <w:r w:rsidR="00154B4B" w:rsidRPr="00D869E3">
        <w:rPr>
          <w:rFonts w:ascii="Verdana" w:hAnsi="Verdana"/>
          <w:sz w:val="20"/>
          <w:szCs w:val="20"/>
          <w:lang w:val="en-US"/>
        </w:rPr>
        <w:t xml:space="preserve"> 16. </w:t>
      </w:r>
    </w:p>
    <w:p w14:paraId="0BB2BAAF" w14:textId="77777777" w:rsidR="00154B4B" w:rsidRPr="00D869E3" w:rsidRDefault="00154B4B" w:rsidP="001B45F8">
      <w:pPr>
        <w:ind w:hanging="11"/>
        <w:jc w:val="both"/>
        <w:rPr>
          <w:rFonts w:ascii="Verdana" w:hAnsi="Verdana"/>
          <w:sz w:val="20"/>
          <w:szCs w:val="20"/>
          <w:lang w:val="en-US"/>
        </w:rPr>
      </w:pPr>
    </w:p>
    <w:p w14:paraId="10ED02DD" w14:textId="3738875B" w:rsidR="00EE0BD4" w:rsidRPr="00D869E3" w:rsidRDefault="006436CA" w:rsidP="00E66DD7">
      <w:pPr>
        <w:pStyle w:val="Prrafodelista"/>
        <w:numPr>
          <w:ilvl w:val="0"/>
          <w:numId w:val="17"/>
        </w:numPr>
        <w:ind w:hanging="11"/>
        <w:jc w:val="both"/>
        <w:rPr>
          <w:rFonts w:ascii="Verdana" w:hAnsi="Verdana"/>
          <w:sz w:val="20"/>
          <w:szCs w:val="20"/>
          <w:lang w:val="en-US"/>
        </w:rPr>
      </w:pPr>
      <w:r w:rsidRPr="00D869E3">
        <w:rPr>
          <w:rFonts w:ascii="Verdana" w:hAnsi="Verdana"/>
          <w:i/>
          <w:sz w:val="20"/>
          <w:szCs w:val="20"/>
          <w:lang w:val="en-US"/>
        </w:rPr>
        <w:t>“</w:t>
      </w:r>
      <w:r w:rsidR="00EE0BD4" w:rsidRPr="00D869E3">
        <w:rPr>
          <w:rFonts w:ascii="Verdana" w:hAnsi="Verdana"/>
          <w:i/>
          <w:sz w:val="20"/>
          <w:szCs w:val="20"/>
          <w:lang w:val="en-US"/>
        </w:rPr>
        <w:t>Lack of competence of</w:t>
      </w:r>
      <w:r w:rsidR="00154B4B" w:rsidRPr="00D869E3">
        <w:rPr>
          <w:rFonts w:ascii="Verdana" w:hAnsi="Verdana"/>
          <w:i/>
          <w:sz w:val="20"/>
          <w:szCs w:val="20"/>
          <w:lang w:val="en-US"/>
        </w:rPr>
        <w:t xml:space="preserve"> </w:t>
      </w:r>
      <w:r w:rsidR="00EE0BD4" w:rsidRPr="00D869E3">
        <w:rPr>
          <w:rFonts w:ascii="Verdana" w:hAnsi="Verdana"/>
          <w:i/>
          <w:sz w:val="20"/>
          <w:szCs w:val="20"/>
          <w:lang w:val="en-US"/>
        </w:rPr>
        <w:t>the IACHR</w:t>
      </w:r>
      <w:r w:rsidR="00154B4B" w:rsidRPr="00D869E3">
        <w:rPr>
          <w:rFonts w:ascii="Verdana" w:hAnsi="Verdana"/>
          <w:i/>
          <w:sz w:val="20"/>
          <w:szCs w:val="20"/>
          <w:lang w:val="en-US"/>
        </w:rPr>
        <w:t xml:space="preserve"> </w:t>
      </w:r>
      <w:r w:rsidR="00EE0BD4" w:rsidRPr="00D869E3">
        <w:rPr>
          <w:rFonts w:ascii="Verdana" w:hAnsi="Verdana"/>
          <w:i/>
          <w:sz w:val="20"/>
          <w:szCs w:val="20"/>
          <w:lang w:val="en-US"/>
        </w:rPr>
        <w:t>to assume the role of fourth instance.</w:t>
      </w:r>
      <w:r w:rsidRPr="00D869E3">
        <w:rPr>
          <w:rFonts w:ascii="Verdana" w:hAnsi="Verdana"/>
          <w:i/>
          <w:sz w:val="20"/>
          <w:szCs w:val="20"/>
          <w:lang w:val="en-US"/>
        </w:rPr>
        <w:t>”</w:t>
      </w:r>
      <w:r w:rsidR="00154B4B" w:rsidRPr="00D869E3">
        <w:rPr>
          <w:rFonts w:ascii="Verdana" w:hAnsi="Verdana"/>
          <w:sz w:val="20"/>
          <w:szCs w:val="20"/>
          <w:lang w:val="en-US"/>
        </w:rPr>
        <w:t xml:space="preserve"> </w:t>
      </w:r>
      <w:r w:rsidR="00447C65" w:rsidRPr="00D869E3">
        <w:rPr>
          <w:rFonts w:ascii="Verdana" w:hAnsi="Verdana"/>
          <w:sz w:val="20"/>
          <w:szCs w:val="20"/>
          <w:lang w:val="en-US"/>
        </w:rPr>
        <w:t>The State</w:t>
      </w:r>
      <w:r w:rsidR="00154B4B" w:rsidRPr="00D869E3">
        <w:rPr>
          <w:rFonts w:ascii="Verdana" w:hAnsi="Verdana"/>
          <w:sz w:val="20"/>
          <w:szCs w:val="20"/>
          <w:lang w:val="en-US"/>
        </w:rPr>
        <w:t xml:space="preserve"> a</w:t>
      </w:r>
      <w:r w:rsidR="00EE0BD4" w:rsidRPr="00D869E3">
        <w:rPr>
          <w:rFonts w:ascii="Verdana" w:hAnsi="Verdana"/>
          <w:sz w:val="20"/>
          <w:szCs w:val="20"/>
          <w:lang w:val="en-US"/>
        </w:rPr>
        <w:t xml:space="preserve">rgued that </w:t>
      </w:r>
      <w:r w:rsidR="005169B2" w:rsidRPr="00D869E3">
        <w:rPr>
          <w:rFonts w:ascii="Verdana" w:hAnsi="Verdana"/>
          <w:sz w:val="20"/>
          <w:szCs w:val="20"/>
          <w:lang w:val="en-US"/>
        </w:rPr>
        <w:t xml:space="preserve">the </w:t>
      </w:r>
      <w:r w:rsidR="00EE0BD4" w:rsidRPr="00D869E3">
        <w:rPr>
          <w:rFonts w:ascii="Verdana" w:hAnsi="Verdana"/>
          <w:sz w:val="20"/>
          <w:szCs w:val="20"/>
          <w:lang w:val="en-US"/>
        </w:rPr>
        <w:t xml:space="preserve">petitioner’s intention had been for </w:t>
      </w:r>
      <w:r w:rsidR="00447C65" w:rsidRPr="00D869E3">
        <w:rPr>
          <w:rFonts w:ascii="Verdana" w:hAnsi="Verdana"/>
          <w:sz w:val="20"/>
          <w:szCs w:val="20"/>
          <w:lang w:val="en-US"/>
        </w:rPr>
        <w:t>the Commission</w:t>
      </w:r>
      <w:r w:rsidR="00EE0BD4" w:rsidRPr="00D869E3">
        <w:rPr>
          <w:rFonts w:ascii="Verdana" w:hAnsi="Verdana"/>
          <w:sz w:val="20"/>
          <w:szCs w:val="20"/>
          <w:lang w:val="en-US"/>
        </w:rPr>
        <w:t xml:space="preserve"> to act as a domestic court with authority to evaluate evidence and facts related to proceedings in the domestic sphere, </w:t>
      </w:r>
      <w:r w:rsidR="005169B2" w:rsidRPr="00D869E3">
        <w:rPr>
          <w:rFonts w:ascii="Verdana" w:hAnsi="Verdana"/>
          <w:sz w:val="20"/>
          <w:szCs w:val="20"/>
          <w:lang w:val="en-US"/>
        </w:rPr>
        <w:t>and this</w:t>
      </w:r>
      <w:r w:rsidR="00EE0BD4" w:rsidRPr="00D869E3">
        <w:rPr>
          <w:rFonts w:ascii="Verdana" w:hAnsi="Verdana"/>
          <w:sz w:val="20"/>
          <w:szCs w:val="20"/>
          <w:lang w:val="en-US"/>
        </w:rPr>
        <w:t xml:space="preserve"> exceeded its competence. It therefore asked the Court to assess the labor proceedings and the amparo proceeding in order to verify that they were both executed with full respect for the guarantees of due process of law, providing Mr. Lagos del Campo with the opportunity to appeal any judicial rulings that went against him.</w:t>
      </w:r>
    </w:p>
    <w:p w14:paraId="272C713A" w14:textId="77777777" w:rsidR="00154B4B" w:rsidRPr="00D869E3" w:rsidRDefault="00154B4B" w:rsidP="00EE0BD4">
      <w:pPr>
        <w:rPr>
          <w:rFonts w:ascii="Verdana" w:hAnsi="Verdana"/>
          <w:i/>
          <w:sz w:val="20"/>
          <w:szCs w:val="20"/>
          <w:lang w:val="en-US"/>
        </w:rPr>
      </w:pPr>
    </w:p>
    <w:p w14:paraId="6F007763" w14:textId="2CA53F47" w:rsidR="00154B4B" w:rsidRPr="00D869E3" w:rsidRDefault="006436CA" w:rsidP="007F0648">
      <w:pPr>
        <w:pStyle w:val="Prrafodelista"/>
        <w:numPr>
          <w:ilvl w:val="0"/>
          <w:numId w:val="17"/>
        </w:numPr>
        <w:ind w:hanging="11"/>
        <w:jc w:val="both"/>
        <w:rPr>
          <w:rFonts w:ascii="Verdana" w:hAnsi="Verdana"/>
          <w:sz w:val="20"/>
          <w:szCs w:val="20"/>
          <w:lang w:val="en-US"/>
        </w:rPr>
      </w:pPr>
      <w:r w:rsidRPr="00D869E3">
        <w:rPr>
          <w:rFonts w:ascii="Verdana" w:hAnsi="Verdana"/>
          <w:i/>
          <w:sz w:val="20"/>
          <w:szCs w:val="20"/>
          <w:lang w:val="en-US"/>
        </w:rPr>
        <w:t>“</w:t>
      </w:r>
      <w:r w:rsidR="00154B4B" w:rsidRPr="00D869E3">
        <w:rPr>
          <w:rFonts w:ascii="Verdana" w:hAnsi="Verdana"/>
          <w:i/>
          <w:sz w:val="20"/>
          <w:szCs w:val="20"/>
          <w:lang w:val="en-US"/>
        </w:rPr>
        <w:t>Observa</w:t>
      </w:r>
      <w:r w:rsidR="00EE0BD4" w:rsidRPr="00D869E3">
        <w:rPr>
          <w:rFonts w:ascii="Verdana" w:hAnsi="Verdana"/>
          <w:i/>
          <w:sz w:val="20"/>
          <w:szCs w:val="20"/>
          <w:lang w:val="en-US"/>
        </w:rPr>
        <w:t>tions on the</w:t>
      </w:r>
      <w:r w:rsidR="00154B4B" w:rsidRPr="00D869E3">
        <w:rPr>
          <w:rFonts w:ascii="Verdana" w:hAnsi="Verdana"/>
          <w:i/>
          <w:sz w:val="20"/>
          <w:szCs w:val="20"/>
          <w:lang w:val="en-US"/>
        </w:rPr>
        <w:t xml:space="preserve"> </w:t>
      </w:r>
      <w:r w:rsidR="00EE0BD4" w:rsidRPr="00D869E3">
        <w:rPr>
          <w:rFonts w:ascii="Verdana" w:hAnsi="Verdana"/>
          <w:i/>
          <w:sz w:val="20"/>
          <w:szCs w:val="20"/>
          <w:lang w:val="en-US"/>
        </w:rPr>
        <w:t>b</w:t>
      </w:r>
      <w:r w:rsidR="00CE3F0D" w:rsidRPr="00D869E3">
        <w:rPr>
          <w:rFonts w:ascii="Verdana" w:hAnsi="Verdana"/>
          <w:i/>
          <w:sz w:val="20"/>
          <w:szCs w:val="20"/>
          <w:lang w:val="en-US"/>
        </w:rPr>
        <w:t xml:space="preserve">rief with </w:t>
      </w:r>
      <w:r w:rsidR="001C1450" w:rsidRPr="00D869E3">
        <w:rPr>
          <w:rFonts w:ascii="Verdana" w:hAnsi="Verdana"/>
          <w:i/>
          <w:sz w:val="20"/>
          <w:szCs w:val="20"/>
          <w:lang w:val="en-US"/>
        </w:rPr>
        <w:t>motions, pleadings and</w:t>
      </w:r>
      <w:r w:rsidR="00CE3F0D" w:rsidRPr="00D869E3">
        <w:rPr>
          <w:rFonts w:ascii="Verdana" w:hAnsi="Verdana"/>
          <w:i/>
          <w:sz w:val="20"/>
          <w:szCs w:val="20"/>
          <w:lang w:val="en-US"/>
        </w:rPr>
        <w:t xml:space="preserve"> evidence</w:t>
      </w:r>
      <w:r w:rsidR="00154B4B" w:rsidRPr="00D869E3">
        <w:rPr>
          <w:rFonts w:ascii="Verdana" w:hAnsi="Verdana"/>
          <w:i/>
          <w:sz w:val="20"/>
          <w:szCs w:val="20"/>
          <w:lang w:val="en-US"/>
        </w:rPr>
        <w:t xml:space="preserve"> con</w:t>
      </w:r>
      <w:r w:rsidR="00EE0BD4" w:rsidRPr="00D869E3">
        <w:rPr>
          <w:rFonts w:ascii="Verdana" w:hAnsi="Verdana"/>
          <w:i/>
          <w:sz w:val="20"/>
          <w:szCs w:val="20"/>
          <w:lang w:val="en-US"/>
        </w:rPr>
        <w:t>cerning the delimitation of the legal dispute.</w:t>
      </w:r>
      <w:r w:rsidRPr="00D869E3">
        <w:rPr>
          <w:rFonts w:ascii="Verdana" w:hAnsi="Verdana"/>
          <w:i/>
          <w:sz w:val="20"/>
          <w:szCs w:val="20"/>
          <w:lang w:val="en-US"/>
        </w:rPr>
        <w:t>”</w:t>
      </w:r>
      <w:r w:rsidR="00154B4B" w:rsidRPr="00D869E3">
        <w:rPr>
          <w:rFonts w:ascii="Verdana" w:hAnsi="Verdana"/>
          <w:i/>
          <w:sz w:val="20"/>
          <w:szCs w:val="20"/>
          <w:lang w:val="en-US"/>
        </w:rPr>
        <w:t xml:space="preserve"> </w:t>
      </w:r>
      <w:r w:rsidR="00447C65" w:rsidRPr="00D869E3">
        <w:rPr>
          <w:rFonts w:ascii="Verdana" w:hAnsi="Verdana"/>
          <w:sz w:val="20"/>
          <w:szCs w:val="20"/>
          <w:lang w:val="en-US"/>
        </w:rPr>
        <w:t>The State</w:t>
      </w:r>
      <w:r w:rsidR="00154B4B" w:rsidRPr="00D869E3">
        <w:rPr>
          <w:rFonts w:ascii="Verdana" w:hAnsi="Verdana"/>
          <w:b/>
          <w:i/>
          <w:sz w:val="20"/>
          <w:szCs w:val="20"/>
          <w:lang w:val="en-US"/>
        </w:rPr>
        <w:t xml:space="preserve"> </w:t>
      </w:r>
      <w:r w:rsidR="00154B4B" w:rsidRPr="00D869E3">
        <w:rPr>
          <w:rFonts w:ascii="Verdana" w:hAnsi="Verdana"/>
          <w:sz w:val="20"/>
          <w:szCs w:val="20"/>
          <w:lang w:val="en-US"/>
        </w:rPr>
        <w:t>al</w:t>
      </w:r>
      <w:r w:rsidR="00EE0BD4" w:rsidRPr="00D869E3">
        <w:rPr>
          <w:rFonts w:ascii="Verdana" w:hAnsi="Verdana"/>
          <w:sz w:val="20"/>
          <w:szCs w:val="20"/>
          <w:lang w:val="en-US"/>
        </w:rPr>
        <w:t xml:space="preserve">leged that the remedies that were not examined in order to establish compliance with the admissibility requirements – in other words, those subsequent to the </w:t>
      </w:r>
      <w:r w:rsidR="005169B2" w:rsidRPr="00D869E3">
        <w:rPr>
          <w:rFonts w:ascii="Verdana" w:hAnsi="Verdana"/>
          <w:sz w:val="20"/>
          <w:szCs w:val="20"/>
          <w:lang w:val="en-US"/>
        </w:rPr>
        <w:t>appeal</w:t>
      </w:r>
      <w:r w:rsidR="00EE0BD4" w:rsidRPr="00D869E3">
        <w:rPr>
          <w:rFonts w:ascii="Verdana" w:hAnsi="Verdana"/>
          <w:sz w:val="20"/>
          <w:szCs w:val="20"/>
          <w:lang w:val="en-US"/>
        </w:rPr>
        <w:t xml:space="preserve"> filed on March 15, 1993 – could not be used to consider violations of additional rights to those contain</w:t>
      </w:r>
      <w:r w:rsidR="005169B2" w:rsidRPr="00D869E3">
        <w:rPr>
          <w:rFonts w:ascii="Verdana" w:hAnsi="Verdana"/>
          <w:sz w:val="20"/>
          <w:szCs w:val="20"/>
          <w:lang w:val="en-US"/>
        </w:rPr>
        <w:t>ed</w:t>
      </w:r>
      <w:r w:rsidR="00EE0BD4" w:rsidRPr="00D869E3">
        <w:rPr>
          <w:rFonts w:ascii="Verdana" w:hAnsi="Verdana"/>
          <w:sz w:val="20"/>
          <w:szCs w:val="20"/>
          <w:lang w:val="en-US"/>
        </w:rPr>
        <w:t xml:space="preserve"> in the Merits Report. Likewise, it alleged that the presumed victim’s representatives unduly used the events related to the self-coup of April 5, 1992, and the </w:t>
      </w:r>
      <w:r w:rsidR="00E5104D" w:rsidRPr="00D869E3">
        <w:rPr>
          <w:rFonts w:ascii="Verdana" w:hAnsi="Verdana"/>
          <w:sz w:val="20"/>
          <w:szCs w:val="20"/>
          <w:lang w:val="en-US"/>
        </w:rPr>
        <w:t>dissolving</w:t>
      </w:r>
      <w:r w:rsidR="00EE0BD4" w:rsidRPr="00D869E3">
        <w:rPr>
          <w:rFonts w:ascii="Verdana" w:hAnsi="Verdana"/>
          <w:sz w:val="20"/>
          <w:szCs w:val="20"/>
          <w:lang w:val="en-US"/>
        </w:rPr>
        <w:t xml:space="preserve"> of the Court of Constitutional Guarantees</w:t>
      </w:r>
      <w:r w:rsidR="00154B4B" w:rsidRPr="00D869E3">
        <w:rPr>
          <w:rFonts w:ascii="Verdana" w:hAnsi="Verdana"/>
          <w:sz w:val="20"/>
          <w:szCs w:val="20"/>
          <w:lang w:val="en-US"/>
        </w:rPr>
        <w:t xml:space="preserve"> </w:t>
      </w:r>
      <w:r w:rsidR="00EE0BD4" w:rsidRPr="00D869E3">
        <w:rPr>
          <w:rFonts w:ascii="Verdana" w:hAnsi="Verdana"/>
          <w:sz w:val="20"/>
          <w:szCs w:val="20"/>
          <w:lang w:val="en-US"/>
        </w:rPr>
        <w:t xml:space="preserve">to substantiate a </w:t>
      </w:r>
      <w:r w:rsidR="007F0648" w:rsidRPr="00D869E3">
        <w:rPr>
          <w:rFonts w:ascii="Verdana" w:hAnsi="Verdana"/>
          <w:sz w:val="20"/>
          <w:szCs w:val="20"/>
          <w:lang w:val="en-US"/>
        </w:rPr>
        <w:t>suggested infringement of the right to contest court decisions, even when th</w:t>
      </w:r>
      <w:r w:rsidR="005169B2" w:rsidRPr="00D869E3">
        <w:rPr>
          <w:rFonts w:ascii="Verdana" w:hAnsi="Verdana"/>
          <w:sz w:val="20"/>
          <w:szCs w:val="20"/>
          <w:lang w:val="en-US"/>
        </w:rPr>
        <w:t>o</w:t>
      </w:r>
      <w:r w:rsidR="007F0648" w:rsidRPr="00D869E3">
        <w:rPr>
          <w:rFonts w:ascii="Verdana" w:hAnsi="Verdana"/>
          <w:sz w:val="20"/>
          <w:szCs w:val="20"/>
          <w:lang w:val="en-US"/>
        </w:rPr>
        <w:t xml:space="preserve">se facts were not considered in the Commission’s Merits Report. Consequently, it asked the Court to establish that the arguments presented by the representatives regarding </w:t>
      </w:r>
      <w:r w:rsidR="005169B2" w:rsidRPr="00D869E3">
        <w:rPr>
          <w:rFonts w:ascii="Verdana" w:hAnsi="Verdana"/>
          <w:sz w:val="20"/>
          <w:szCs w:val="20"/>
          <w:lang w:val="en-US"/>
        </w:rPr>
        <w:t>violations</w:t>
      </w:r>
      <w:r w:rsidR="007F0648" w:rsidRPr="00D869E3">
        <w:rPr>
          <w:rFonts w:ascii="Verdana" w:hAnsi="Verdana"/>
          <w:sz w:val="20"/>
          <w:szCs w:val="20"/>
          <w:lang w:val="en-US"/>
        </w:rPr>
        <w:t xml:space="preserve"> of the right to be heard by a judge or court, and the right to contest decisions, as well as the new facts and context mentioned by </w:t>
      </w:r>
      <w:r w:rsidR="00687684" w:rsidRPr="00D869E3">
        <w:rPr>
          <w:rFonts w:ascii="Verdana" w:hAnsi="Verdana"/>
          <w:sz w:val="20"/>
          <w:szCs w:val="20"/>
          <w:lang w:val="en-US"/>
        </w:rPr>
        <w:t>the representatives</w:t>
      </w:r>
      <w:r w:rsidR="00154B4B" w:rsidRPr="00D869E3">
        <w:rPr>
          <w:rFonts w:ascii="Verdana" w:hAnsi="Verdana"/>
          <w:sz w:val="20"/>
          <w:szCs w:val="20"/>
          <w:lang w:val="en-US"/>
        </w:rPr>
        <w:t xml:space="preserve">, </w:t>
      </w:r>
      <w:r w:rsidR="007F0648" w:rsidRPr="00D869E3">
        <w:rPr>
          <w:rFonts w:ascii="Verdana" w:hAnsi="Verdana"/>
          <w:sz w:val="20"/>
          <w:szCs w:val="20"/>
          <w:lang w:val="en-US"/>
        </w:rPr>
        <w:t xml:space="preserve">were not considered </w:t>
      </w:r>
      <w:r w:rsidR="005169B2" w:rsidRPr="00D869E3">
        <w:rPr>
          <w:rFonts w:ascii="Verdana" w:hAnsi="Verdana"/>
          <w:sz w:val="20"/>
          <w:szCs w:val="20"/>
          <w:lang w:val="en-US"/>
        </w:rPr>
        <w:t xml:space="preserve">to be </w:t>
      </w:r>
      <w:r w:rsidR="007F0648" w:rsidRPr="00D869E3">
        <w:rPr>
          <w:rFonts w:ascii="Verdana" w:hAnsi="Verdana"/>
          <w:sz w:val="20"/>
          <w:szCs w:val="20"/>
          <w:lang w:val="en-US"/>
        </w:rPr>
        <w:t>part of the dispute.</w:t>
      </w:r>
    </w:p>
    <w:p w14:paraId="7FF10F71" w14:textId="77777777" w:rsidR="00154B4B" w:rsidRPr="00D869E3" w:rsidRDefault="00154B4B" w:rsidP="001B45F8">
      <w:pPr>
        <w:ind w:hanging="11"/>
        <w:jc w:val="both"/>
        <w:rPr>
          <w:rFonts w:ascii="Verdana" w:hAnsi="Verdana"/>
          <w:sz w:val="20"/>
          <w:szCs w:val="20"/>
          <w:lang w:val="en-US"/>
        </w:rPr>
      </w:pPr>
    </w:p>
    <w:p w14:paraId="5DEA5344" w14:textId="6D68AA25" w:rsidR="00154B4B" w:rsidRPr="00D869E3" w:rsidRDefault="006436CA" w:rsidP="00E66DD7">
      <w:pPr>
        <w:pStyle w:val="Prrafodelista"/>
        <w:numPr>
          <w:ilvl w:val="0"/>
          <w:numId w:val="17"/>
        </w:numPr>
        <w:ind w:hanging="11"/>
        <w:jc w:val="both"/>
        <w:rPr>
          <w:rFonts w:ascii="Verdana" w:hAnsi="Verdana"/>
          <w:sz w:val="20"/>
          <w:szCs w:val="20"/>
          <w:lang w:val="en-US"/>
        </w:rPr>
      </w:pPr>
      <w:r w:rsidRPr="00D869E3">
        <w:rPr>
          <w:rFonts w:ascii="Verdana" w:hAnsi="Verdana"/>
          <w:i/>
          <w:sz w:val="20"/>
          <w:szCs w:val="20"/>
          <w:lang w:val="en-US"/>
        </w:rPr>
        <w:t>“</w:t>
      </w:r>
      <w:r w:rsidR="007F0648" w:rsidRPr="00D869E3">
        <w:rPr>
          <w:rFonts w:ascii="Verdana" w:hAnsi="Verdana"/>
          <w:i/>
          <w:sz w:val="20"/>
          <w:szCs w:val="20"/>
          <w:lang w:val="en-US"/>
        </w:rPr>
        <w:t>Undue</w:t>
      </w:r>
      <w:r w:rsidR="00154B4B" w:rsidRPr="00D869E3">
        <w:rPr>
          <w:rFonts w:ascii="Verdana" w:hAnsi="Verdana"/>
          <w:i/>
          <w:sz w:val="20"/>
          <w:szCs w:val="20"/>
          <w:lang w:val="en-US"/>
        </w:rPr>
        <w:t xml:space="preserve"> </w:t>
      </w:r>
      <w:r w:rsidR="007F0648" w:rsidRPr="00D869E3">
        <w:rPr>
          <w:rFonts w:ascii="Verdana" w:hAnsi="Verdana"/>
          <w:i/>
          <w:sz w:val="20"/>
          <w:szCs w:val="20"/>
          <w:lang w:val="en-US"/>
        </w:rPr>
        <w:t>inclusion of additional presumed victims in the motions and pleadings brief.</w:t>
      </w:r>
      <w:r w:rsidRPr="00D869E3">
        <w:rPr>
          <w:rFonts w:ascii="Verdana" w:hAnsi="Verdana"/>
          <w:i/>
          <w:sz w:val="20"/>
          <w:szCs w:val="20"/>
          <w:lang w:val="en-US"/>
        </w:rPr>
        <w:t>”</w:t>
      </w:r>
      <w:r w:rsidR="007F0648" w:rsidRPr="00D869E3">
        <w:rPr>
          <w:rFonts w:ascii="Verdana" w:hAnsi="Verdana"/>
          <w:i/>
          <w:sz w:val="20"/>
          <w:szCs w:val="20"/>
          <w:lang w:val="en-US"/>
        </w:rPr>
        <w:t xml:space="preserve"> </w:t>
      </w:r>
      <w:r w:rsidR="007F0648" w:rsidRPr="00D869E3">
        <w:rPr>
          <w:rFonts w:ascii="Verdana" w:hAnsi="Verdana"/>
          <w:sz w:val="20"/>
          <w:szCs w:val="20"/>
          <w:lang w:val="en-US"/>
        </w:rPr>
        <w:t>The S</w:t>
      </w:r>
      <w:r w:rsidR="00447C65" w:rsidRPr="00D869E3">
        <w:rPr>
          <w:rFonts w:ascii="Verdana" w:hAnsi="Verdana"/>
          <w:sz w:val="20"/>
          <w:szCs w:val="20"/>
          <w:lang w:val="en-US"/>
        </w:rPr>
        <w:t>tate</w:t>
      </w:r>
      <w:r w:rsidR="00154B4B" w:rsidRPr="00D869E3">
        <w:rPr>
          <w:rFonts w:ascii="Verdana" w:hAnsi="Verdana"/>
          <w:sz w:val="20"/>
          <w:szCs w:val="20"/>
          <w:lang w:val="en-US"/>
        </w:rPr>
        <w:t xml:space="preserve"> a</w:t>
      </w:r>
      <w:r w:rsidR="007F0648" w:rsidRPr="00D869E3">
        <w:rPr>
          <w:rFonts w:ascii="Verdana" w:hAnsi="Verdana"/>
          <w:sz w:val="20"/>
          <w:szCs w:val="20"/>
          <w:lang w:val="en-US"/>
        </w:rPr>
        <w:t xml:space="preserve">rgued that </w:t>
      </w:r>
      <w:r w:rsidR="005169B2" w:rsidRPr="00D869E3">
        <w:rPr>
          <w:rFonts w:ascii="Verdana" w:hAnsi="Verdana"/>
          <w:sz w:val="20"/>
          <w:szCs w:val="20"/>
          <w:lang w:val="en-US"/>
        </w:rPr>
        <w:t xml:space="preserve">the </w:t>
      </w:r>
      <w:r w:rsidR="007F0648" w:rsidRPr="00D869E3">
        <w:rPr>
          <w:rFonts w:ascii="Verdana" w:hAnsi="Verdana"/>
          <w:sz w:val="20"/>
          <w:szCs w:val="20"/>
          <w:lang w:val="en-US"/>
        </w:rPr>
        <w:t>presumed victims are those indicated b</w:t>
      </w:r>
      <w:r w:rsidR="005169B2" w:rsidRPr="00D869E3">
        <w:rPr>
          <w:rFonts w:ascii="Verdana" w:hAnsi="Verdana"/>
          <w:sz w:val="20"/>
          <w:szCs w:val="20"/>
          <w:lang w:val="en-US"/>
        </w:rPr>
        <w:t>y</w:t>
      </w:r>
      <w:r w:rsidR="00154B4B" w:rsidRPr="00D869E3">
        <w:rPr>
          <w:rFonts w:ascii="Verdana" w:hAnsi="Verdana"/>
          <w:sz w:val="20"/>
          <w:szCs w:val="20"/>
          <w:lang w:val="en-US"/>
        </w:rPr>
        <w:t xml:space="preserve"> </w:t>
      </w:r>
      <w:r w:rsidR="00447C65" w:rsidRPr="00D869E3">
        <w:rPr>
          <w:rFonts w:ascii="Verdana" w:hAnsi="Verdana"/>
          <w:sz w:val="20"/>
          <w:szCs w:val="20"/>
          <w:lang w:val="en-US"/>
        </w:rPr>
        <w:t>the Commission</w:t>
      </w:r>
      <w:r w:rsidR="00154B4B" w:rsidRPr="00D869E3">
        <w:rPr>
          <w:rFonts w:ascii="Verdana" w:hAnsi="Verdana"/>
          <w:sz w:val="20"/>
          <w:szCs w:val="20"/>
          <w:lang w:val="en-US"/>
        </w:rPr>
        <w:t xml:space="preserve"> </w:t>
      </w:r>
      <w:r w:rsidR="007F0648" w:rsidRPr="00D869E3">
        <w:rPr>
          <w:rFonts w:ascii="Verdana" w:hAnsi="Verdana"/>
          <w:sz w:val="20"/>
          <w:szCs w:val="20"/>
          <w:lang w:val="en-US"/>
        </w:rPr>
        <w:t>in the</w:t>
      </w:r>
      <w:r w:rsidR="00154B4B" w:rsidRPr="00D869E3">
        <w:rPr>
          <w:rFonts w:ascii="Verdana" w:hAnsi="Verdana"/>
          <w:sz w:val="20"/>
          <w:szCs w:val="20"/>
          <w:lang w:val="en-US"/>
        </w:rPr>
        <w:t xml:space="preserve"> </w:t>
      </w:r>
      <w:r w:rsidR="00687684" w:rsidRPr="00D869E3">
        <w:rPr>
          <w:rFonts w:ascii="Verdana" w:hAnsi="Verdana"/>
          <w:sz w:val="20"/>
          <w:szCs w:val="20"/>
          <w:lang w:val="en-US"/>
        </w:rPr>
        <w:t>Merits Report</w:t>
      </w:r>
      <w:r w:rsidR="00154B4B" w:rsidRPr="00D869E3">
        <w:rPr>
          <w:rFonts w:ascii="Verdana" w:hAnsi="Verdana"/>
          <w:sz w:val="20"/>
          <w:szCs w:val="20"/>
          <w:lang w:val="en-US"/>
        </w:rPr>
        <w:t>,</w:t>
      </w:r>
      <w:r w:rsidR="007F0648" w:rsidRPr="00D869E3">
        <w:rPr>
          <w:rFonts w:ascii="Verdana" w:hAnsi="Verdana"/>
          <w:sz w:val="20"/>
          <w:szCs w:val="20"/>
          <w:lang w:val="en-US"/>
        </w:rPr>
        <w:t xml:space="preserve"> which, in this case, only considered</w:t>
      </w:r>
      <w:r w:rsidR="00EE0BD4" w:rsidRPr="00D869E3">
        <w:rPr>
          <w:rFonts w:ascii="Verdana" w:hAnsi="Verdana"/>
          <w:sz w:val="20"/>
          <w:szCs w:val="20"/>
          <w:lang w:val="en-US"/>
        </w:rPr>
        <w:t xml:space="preserve"> Mr. Lagos</w:t>
      </w:r>
      <w:r w:rsidR="00154B4B" w:rsidRPr="00D869E3">
        <w:rPr>
          <w:rFonts w:ascii="Verdana" w:hAnsi="Verdana"/>
          <w:sz w:val="20"/>
          <w:szCs w:val="20"/>
          <w:lang w:val="en-US"/>
        </w:rPr>
        <w:t xml:space="preserve"> del Campo</w:t>
      </w:r>
      <w:r w:rsidR="007F0648" w:rsidRPr="00D869E3">
        <w:rPr>
          <w:rFonts w:ascii="Verdana" w:hAnsi="Verdana"/>
          <w:sz w:val="20"/>
          <w:szCs w:val="20"/>
          <w:lang w:val="en-US"/>
        </w:rPr>
        <w:t xml:space="preserve"> as a presumed victim</w:t>
      </w:r>
      <w:r w:rsidR="00154B4B" w:rsidRPr="00D869E3">
        <w:rPr>
          <w:rFonts w:ascii="Verdana" w:hAnsi="Verdana"/>
          <w:sz w:val="20"/>
          <w:szCs w:val="20"/>
          <w:lang w:val="en-US"/>
        </w:rPr>
        <w:t xml:space="preserve">. </w:t>
      </w:r>
      <w:r w:rsidR="007F0648" w:rsidRPr="00D869E3">
        <w:rPr>
          <w:rFonts w:ascii="Verdana" w:hAnsi="Verdana"/>
          <w:sz w:val="20"/>
          <w:szCs w:val="20"/>
          <w:lang w:val="en-US"/>
        </w:rPr>
        <w:t xml:space="preserve">Consequently, the State </w:t>
      </w:r>
      <w:r w:rsidR="005169B2" w:rsidRPr="00D869E3">
        <w:rPr>
          <w:rFonts w:ascii="Verdana" w:hAnsi="Verdana"/>
          <w:sz w:val="20"/>
          <w:szCs w:val="20"/>
          <w:lang w:val="en-US"/>
        </w:rPr>
        <w:t>contested</w:t>
      </w:r>
      <w:r w:rsidR="007F0648" w:rsidRPr="00D869E3">
        <w:rPr>
          <w:rFonts w:ascii="Verdana" w:hAnsi="Verdana"/>
          <w:sz w:val="20"/>
          <w:szCs w:val="20"/>
          <w:lang w:val="en-US"/>
        </w:rPr>
        <w:t xml:space="preserve"> the inclusion of presumed victims by </w:t>
      </w:r>
      <w:r w:rsidR="00687684" w:rsidRPr="00D869E3">
        <w:rPr>
          <w:rFonts w:ascii="Verdana" w:hAnsi="Verdana"/>
          <w:sz w:val="20"/>
          <w:szCs w:val="20"/>
          <w:lang w:val="en-US"/>
        </w:rPr>
        <w:t>the representatives</w:t>
      </w:r>
      <w:r w:rsidR="007F0648" w:rsidRPr="00D869E3">
        <w:rPr>
          <w:rFonts w:ascii="Verdana" w:hAnsi="Verdana"/>
          <w:sz w:val="20"/>
          <w:szCs w:val="20"/>
          <w:lang w:val="en-US"/>
        </w:rPr>
        <w:t xml:space="preserve"> in whose favor they </w:t>
      </w:r>
      <w:r w:rsidR="005169B2" w:rsidRPr="00D869E3">
        <w:rPr>
          <w:rFonts w:ascii="Verdana" w:hAnsi="Verdana"/>
          <w:sz w:val="20"/>
          <w:szCs w:val="20"/>
          <w:lang w:val="en-US"/>
        </w:rPr>
        <w:t xml:space="preserve">had </w:t>
      </w:r>
      <w:r w:rsidR="007F0648" w:rsidRPr="00D869E3">
        <w:rPr>
          <w:rFonts w:ascii="Verdana" w:hAnsi="Verdana"/>
          <w:sz w:val="20"/>
          <w:szCs w:val="20"/>
          <w:lang w:val="en-US"/>
        </w:rPr>
        <w:t>request</w:t>
      </w:r>
      <w:r w:rsidR="005169B2" w:rsidRPr="00D869E3">
        <w:rPr>
          <w:rFonts w:ascii="Verdana" w:hAnsi="Verdana"/>
          <w:sz w:val="20"/>
          <w:szCs w:val="20"/>
          <w:lang w:val="en-US"/>
        </w:rPr>
        <w:t>ed</w:t>
      </w:r>
      <w:r w:rsidR="007F0648" w:rsidRPr="00D869E3">
        <w:rPr>
          <w:rFonts w:ascii="Verdana" w:hAnsi="Verdana"/>
          <w:sz w:val="20"/>
          <w:szCs w:val="20"/>
          <w:lang w:val="en-US"/>
        </w:rPr>
        <w:t xml:space="preserve"> measures of reparation, because they </w:t>
      </w:r>
      <w:r w:rsidR="005169B2" w:rsidRPr="00D869E3">
        <w:rPr>
          <w:rFonts w:ascii="Verdana" w:hAnsi="Verdana"/>
          <w:sz w:val="20"/>
          <w:szCs w:val="20"/>
          <w:lang w:val="en-US"/>
        </w:rPr>
        <w:t>were not</w:t>
      </w:r>
      <w:r w:rsidR="007F0648" w:rsidRPr="00D869E3">
        <w:rPr>
          <w:rFonts w:ascii="Verdana" w:hAnsi="Verdana"/>
          <w:sz w:val="20"/>
          <w:szCs w:val="20"/>
          <w:lang w:val="en-US"/>
        </w:rPr>
        <w:t xml:space="preserve"> considered in the Commission’s</w:t>
      </w:r>
      <w:r w:rsidR="00154B4B" w:rsidRPr="00D869E3">
        <w:rPr>
          <w:rFonts w:ascii="Verdana" w:hAnsi="Verdana"/>
          <w:sz w:val="20"/>
          <w:szCs w:val="20"/>
          <w:lang w:val="en-US"/>
        </w:rPr>
        <w:t xml:space="preserve"> </w:t>
      </w:r>
      <w:r w:rsidR="00687684" w:rsidRPr="00D869E3">
        <w:rPr>
          <w:rFonts w:ascii="Verdana" w:hAnsi="Verdana"/>
          <w:sz w:val="20"/>
          <w:szCs w:val="20"/>
          <w:lang w:val="en-US"/>
        </w:rPr>
        <w:t>Merits Report</w:t>
      </w:r>
      <w:r w:rsidR="00154B4B" w:rsidRPr="00D869E3">
        <w:rPr>
          <w:rFonts w:ascii="Verdana" w:hAnsi="Verdana"/>
          <w:sz w:val="20"/>
          <w:szCs w:val="20"/>
          <w:lang w:val="en-US"/>
        </w:rPr>
        <w:t>.</w:t>
      </w:r>
    </w:p>
    <w:p w14:paraId="0189433B" w14:textId="77777777" w:rsidR="00154B4B" w:rsidRPr="00D869E3" w:rsidRDefault="00154B4B" w:rsidP="00154B4B">
      <w:pPr>
        <w:pStyle w:val="Prrafodelista"/>
        <w:ind w:left="0"/>
        <w:jc w:val="both"/>
        <w:rPr>
          <w:rFonts w:ascii="Verdana" w:hAnsi="Verdana"/>
          <w:sz w:val="20"/>
          <w:szCs w:val="20"/>
          <w:lang w:val="en-US"/>
        </w:rPr>
      </w:pPr>
    </w:p>
    <w:p w14:paraId="09E4D4A7" w14:textId="153F2D00" w:rsidR="00154B4B" w:rsidRPr="00D869E3" w:rsidRDefault="00447C65" w:rsidP="001D1B96">
      <w:pPr>
        <w:pStyle w:val="Prrafodelista"/>
        <w:numPr>
          <w:ilvl w:val="0"/>
          <w:numId w:val="1"/>
        </w:numPr>
        <w:ind w:left="0" w:firstLine="0"/>
        <w:jc w:val="both"/>
        <w:rPr>
          <w:rFonts w:ascii="Verdana" w:hAnsi="Verdana"/>
          <w:sz w:val="20"/>
          <w:szCs w:val="20"/>
          <w:lang w:val="en-US"/>
        </w:rPr>
      </w:pPr>
      <w:r w:rsidRPr="00D869E3">
        <w:rPr>
          <w:rFonts w:ascii="Verdana" w:hAnsi="Verdana"/>
          <w:sz w:val="20"/>
          <w:szCs w:val="20"/>
          <w:lang w:val="en-US"/>
        </w:rPr>
        <w:t xml:space="preserve">The </w:t>
      </w:r>
      <w:r w:rsidRPr="00D869E3">
        <w:rPr>
          <w:rFonts w:ascii="Verdana" w:hAnsi="Verdana"/>
          <w:b/>
          <w:bCs/>
          <w:i/>
          <w:iCs/>
          <w:sz w:val="20"/>
          <w:szCs w:val="20"/>
          <w:lang w:val="en-US"/>
        </w:rPr>
        <w:t>Commission</w:t>
      </w:r>
      <w:r w:rsidR="00154B4B" w:rsidRPr="00D869E3">
        <w:rPr>
          <w:rFonts w:ascii="Verdana" w:hAnsi="Verdana"/>
          <w:b/>
          <w:sz w:val="20"/>
          <w:szCs w:val="20"/>
          <w:lang w:val="en-US"/>
        </w:rPr>
        <w:t xml:space="preserve"> </w:t>
      </w:r>
      <w:r w:rsidR="001D1B96" w:rsidRPr="00D869E3">
        <w:rPr>
          <w:rFonts w:ascii="Verdana" w:hAnsi="Verdana"/>
          <w:sz w:val="20"/>
          <w:szCs w:val="20"/>
          <w:lang w:val="en-US"/>
        </w:rPr>
        <w:t xml:space="preserve">argued that the allegations: (a) review of the legality with regard to the Commission’s report and (b) failure to exhaust domestic remedies referred to </w:t>
      </w:r>
      <w:r w:rsidR="00CE3F0D" w:rsidRPr="00D869E3">
        <w:rPr>
          <w:rFonts w:ascii="Verdana" w:hAnsi="Verdana"/>
          <w:sz w:val="20"/>
          <w:szCs w:val="20"/>
          <w:lang w:val="en-US"/>
        </w:rPr>
        <w:t>preliminary objections</w:t>
      </w:r>
      <w:r w:rsidR="00154B4B" w:rsidRPr="00D869E3">
        <w:rPr>
          <w:rFonts w:ascii="Verdana" w:hAnsi="Verdana"/>
          <w:sz w:val="20"/>
          <w:szCs w:val="20"/>
          <w:lang w:val="en-US"/>
        </w:rPr>
        <w:t xml:space="preserve"> </w:t>
      </w:r>
      <w:r w:rsidR="001D1B96" w:rsidRPr="00D869E3">
        <w:rPr>
          <w:rFonts w:ascii="Verdana" w:hAnsi="Verdana"/>
          <w:sz w:val="20"/>
          <w:szCs w:val="20"/>
          <w:lang w:val="en-US"/>
        </w:rPr>
        <w:t>that the State did not present at the proper procedural opportunity and, therefore, should be rejected as time-barred. In addition, it observed that the allegations: (c) inclusion of Article 16 in the Merits Report, and (d) the Commission’s lack of competence to assume a fourth instance role, were not preliminary objections, b</w:t>
      </w:r>
      <w:r w:rsidR="005169B2" w:rsidRPr="00D869E3">
        <w:rPr>
          <w:rFonts w:ascii="Verdana" w:hAnsi="Verdana"/>
          <w:sz w:val="20"/>
          <w:szCs w:val="20"/>
          <w:lang w:val="en-US"/>
        </w:rPr>
        <w:t>ut</w:t>
      </w:r>
      <w:r w:rsidR="001D1B96" w:rsidRPr="00D869E3">
        <w:rPr>
          <w:rFonts w:ascii="Verdana" w:hAnsi="Verdana"/>
          <w:sz w:val="20"/>
          <w:szCs w:val="20"/>
          <w:lang w:val="en-US"/>
        </w:rPr>
        <w:t xml:space="preserve"> rather matters relating to the merits of the matter. Regarding allegation (e) delimitation of the legal dispute, the Commission argued that the facts that the State was trying to exclude by this allegation were included in the factual framework defined by the Commission. Lastly, with regard to argument (f) undue inclusion of presumed victims, the Commission agreed with the State that </w:t>
      </w:r>
      <w:r w:rsidR="001E44D3" w:rsidRPr="00D869E3">
        <w:rPr>
          <w:rFonts w:ascii="Verdana" w:hAnsi="Verdana"/>
          <w:sz w:val="20"/>
          <w:szCs w:val="20"/>
          <w:lang w:val="en-US"/>
        </w:rPr>
        <w:t>Mr. Lagos del Campo</w:t>
      </w:r>
      <w:r w:rsidR="00154B4B" w:rsidRPr="00D869E3">
        <w:rPr>
          <w:rFonts w:ascii="Verdana" w:hAnsi="Verdana"/>
          <w:sz w:val="20"/>
          <w:szCs w:val="20"/>
          <w:lang w:val="en-US"/>
        </w:rPr>
        <w:t xml:space="preserve"> </w:t>
      </w:r>
      <w:r w:rsidR="001D1B96" w:rsidRPr="00D869E3">
        <w:rPr>
          <w:rFonts w:ascii="Verdana" w:hAnsi="Verdana"/>
          <w:sz w:val="20"/>
          <w:szCs w:val="20"/>
          <w:lang w:val="en-US"/>
        </w:rPr>
        <w:t xml:space="preserve">was the only victim declared in the </w:t>
      </w:r>
      <w:r w:rsidR="00687684" w:rsidRPr="00D869E3">
        <w:rPr>
          <w:rFonts w:ascii="Verdana" w:hAnsi="Verdana"/>
          <w:sz w:val="20"/>
          <w:szCs w:val="20"/>
          <w:lang w:val="en-US"/>
        </w:rPr>
        <w:t>Merits Report</w:t>
      </w:r>
      <w:r w:rsidR="0086485F" w:rsidRPr="00D869E3">
        <w:rPr>
          <w:rFonts w:ascii="Verdana" w:hAnsi="Verdana"/>
          <w:sz w:val="20"/>
          <w:szCs w:val="20"/>
          <w:lang w:val="en-US"/>
        </w:rPr>
        <w:t xml:space="preserve">. </w:t>
      </w:r>
      <w:r w:rsidR="001D1B96" w:rsidRPr="00D869E3">
        <w:rPr>
          <w:rFonts w:ascii="Verdana" w:hAnsi="Verdana"/>
          <w:sz w:val="20"/>
          <w:szCs w:val="20"/>
          <w:lang w:val="en-US"/>
        </w:rPr>
        <w:t>Meanwhile</w:t>
      </w:r>
      <w:r w:rsidR="00154B4B" w:rsidRPr="00D869E3">
        <w:rPr>
          <w:rFonts w:ascii="Verdana" w:hAnsi="Verdana"/>
          <w:sz w:val="20"/>
          <w:szCs w:val="20"/>
          <w:lang w:val="en-US"/>
        </w:rPr>
        <w:t xml:space="preserve">, </w:t>
      </w:r>
      <w:r w:rsidR="00687684" w:rsidRPr="00D869E3">
        <w:rPr>
          <w:rFonts w:ascii="Verdana" w:hAnsi="Verdana"/>
          <w:sz w:val="20"/>
          <w:szCs w:val="20"/>
          <w:lang w:val="en-US"/>
        </w:rPr>
        <w:t xml:space="preserve">the </w:t>
      </w:r>
      <w:r w:rsidR="00687684" w:rsidRPr="00D869E3">
        <w:rPr>
          <w:rFonts w:ascii="Verdana" w:hAnsi="Verdana"/>
          <w:b/>
          <w:bCs/>
          <w:i/>
          <w:iCs/>
          <w:sz w:val="20"/>
          <w:szCs w:val="20"/>
          <w:lang w:val="en-US"/>
        </w:rPr>
        <w:t>representatives</w:t>
      </w:r>
      <w:r w:rsidR="00154B4B" w:rsidRPr="00D869E3">
        <w:rPr>
          <w:rFonts w:ascii="Verdana" w:hAnsi="Verdana"/>
          <w:b/>
          <w:i/>
          <w:sz w:val="20"/>
          <w:szCs w:val="20"/>
          <w:lang w:val="en-US"/>
        </w:rPr>
        <w:t xml:space="preserve"> </w:t>
      </w:r>
      <w:r w:rsidR="001D1B96" w:rsidRPr="00D869E3">
        <w:rPr>
          <w:rFonts w:ascii="Verdana" w:hAnsi="Verdana"/>
          <w:sz w:val="20"/>
          <w:szCs w:val="20"/>
          <w:lang w:val="en-US"/>
        </w:rPr>
        <w:t xml:space="preserve">were in general agreement with the Commission’s position. Regarding the inclusion of additional victims, </w:t>
      </w:r>
      <w:r w:rsidR="00687684" w:rsidRPr="00D869E3">
        <w:rPr>
          <w:rFonts w:ascii="Verdana" w:hAnsi="Verdana"/>
          <w:sz w:val="20"/>
          <w:szCs w:val="20"/>
          <w:lang w:val="en-US"/>
        </w:rPr>
        <w:t>the representatives</w:t>
      </w:r>
      <w:r w:rsidR="00154B4B" w:rsidRPr="00D869E3">
        <w:rPr>
          <w:rFonts w:ascii="Verdana" w:hAnsi="Verdana"/>
          <w:sz w:val="20"/>
          <w:szCs w:val="20"/>
          <w:lang w:val="en-US"/>
        </w:rPr>
        <w:t xml:space="preserve">, </w:t>
      </w:r>
      <w:r w:rsidR="001D1B96" w:rsidRPr="00D869E3">
        <w:rPr>
          <w:rFonts w:ascii="Verdana" w:hAnsi="Verdana"/>
          <w:sz w:val="20"/>
          <w:szCs w:val="20"/>
          <w:lang w:val="en-US"/>
        </w:rPr>
        <w:t xml:space="preserve">in their brief of September 5, </w:t>
      </w:r>
      <w:r w:rsidR="00154B4B" w:rsidRPr="00D869E3">
        <w:rPr>
          <w:rFonts w:ascii="Verdana" w:hAnsi="Verdana"/>
          <w:sz w:val="20"/>
          <w:szCs w:val="20"/>
          <w:lang w:val="en-US"/>
        </w:rPr>
        <w:t>2016</w:t>
      </w:r>
      <w:r w:rsidR="001D1B96" w:rsidRPr="00D869E3">
        <w:rPr>
          <w:rFonts w:ascii="Verdana" w:hAnsi="Verdana"/>
          <w:sz w:val="20"/>
          <w:szCs w:val="20"/>
          <w:lang w:val="en-US"/>
        </w:rPr>
        <w:t>,</w:t>
      </w:r>
      <w:r w:rsidR="00154B4B" w:rsidRPr="00D869E3">
        <w:rPr>
          <w:rFonts w:ascii="Verdana" w:hAnsi="Verdana"/>
          <w:sz w:val="20"/>
          <w:szCs w:val="20"/>
          <w:lang w:val="en-US"/>
        </w:rPr>
        <w:t xml:space="preserve"> </w:t>
      </w:r>
      <w:r w:rsidR="001D1B96" w:rsidRPr="00D869E3">
        <w:rPr>
          <w:rFonts w:ascii="Verdana" w:hAnsi="Verdana"/>
          <w:sz w:val="20"/>
          <w:szCs w:val="20"/>
          <w:lang w:val="en-US"/>
        </w:rPr>
        <w:t>asked</w:t>
      </w:r>
      <w:r w:rsidR="00154B4B" w:rsidRPr="00D869E3">
        <w:rPr>
          <w:rFonts w:ascii="Verdana" w:hAnsi="Verdana"/>
          <w:sz w:val="20"/>
          <w:szCs w:val="20"/>
          <w:lang w:val="en-US"/>
        </w:rPr>
        <w:t xml:space="preserve"> </w:t>
      </w:r>
      <w:r w:rsidRPr="00D869E3">
        <w:rPr>
          <w:rFonts w:ascii="Verdana" w:hAnsi="Verdana"/>
          <w:sz w:val="20"/>
          <w:szCs w:val="20"/>
          <w:lang w:val="en-US"/>
        </w:rPr>
        <w:t>the Court</w:t>
      </w:r>
      <w:r w:rsidR="00154B4B" w:rsidRPr="00D869E3">
        <w:rPr>
          <w:rFonts w:ascii="Verdana" w:hAnsi="Verdana"/>
          <w:sz w:val="20"/>
          <w:szCs w:val="20"/>
          <w:lang w:val="en-US"/>
        </w:rPr>
        <w:t xml:space="preserve"> </w:t>
      </w:r>
      <w:r w:rsidR="001D1B96" w:rsidRPr="00D869E3">
        <w:rPr>
          <w:rFonts w:ascii="Verdana" w:hAnsi="Verdana"/>
          <w:sz w:val="20"/>
          <w:szCs w:val="20"/>
          <w:lang w:val="en-US"/>
        </w:rPr>
        <w:t>to consider that only</w:t>
      </w:r>
      <w:r w:rsidR="00EE0BD4" w:rsidRPr="00D869E3">
        <w:rPr>
          <w:rFonts w:ascii="Verdana" w:hAnsi="Verdana"/>
          <w:sz w:val="20"/>
          <w:szCs w:val="20"/>
          <w:lang w:val="en-US"/>
        </w:rPr>
        <w:t xml:space="preserve"> Mr. Lagos</w:t>
      </w:r>
      <w:r w:rsidR="00154B4B" w:rsidRPr="00D869E3">
        <w:rPr>
          <w:rFonts w:ascii="Verdana" w:hAnsi="Verdana"/>
          <w:sz w:val="20"/>
          <w:szCs w:val="20"/>
          <w:lang w:val="en-US"/>
        </w:rPr>
        <w:t xml:space="preserve"> del Campo</w:t>
      </w:r>
      <w:r w:rsidR="001D1B96" w:rsidRPr="00D869E3">
        <w:rPr>
          <w:rFonts w:ascii="Verdana" w:hAnsi="Verdana"/>
          <w:sz w:val="20"/>
          <w:szCs w:val="20"/>
          <w:lang w:val="en-US"/>
        </w:rPr>
        <w:t xml:space="preserve"> was a victim</w:t>
      </w:r>
      <w:r w:rsidR="00830CF2" w:rsidRPr="00D869E3">
        <w:rPr>
          <w:rFonts w:ascii="Verdana" w:hAnsi="Verdana"/>
          <w:sz w:val="20"/>
          <w:szCs w:val="20"/>
          <w:lang w:val="en-US"/>
        </w:rPr>
        <w:t xml:space="preserve">. </w:t>
      </w:r>
    </w:p>
    <w:p w14:paraId="2ABEB036" w14:textId="77777777" w:rsidR="00154B4B" w:rsidRPr="00D869E3" w:rsidRDefault="00154B4B" w:rsidP="00154B4B">
      <w:pPr>
        <w:jc w:val="both"/>
        <w:rPr>
          <w:rFonts w:ascii="Verdana" w:hAnsi="Verdana"/>
          <w:sz w:val="20"/>
          <w:szCs w:val="20"/>
          <w:lang w:val="en-US"/>
        </w:rPr>
      </w:pPr>
    </w:p>
    <w:p w14:paraId="707AC6AB" w14:textId="6275968A" w:rsidR="00154B4B" w:rsidRPr="00D869E3" w:rsidRDefault="001D1B96" w:rsidP="00E66DD7">
      <w:pPr>
        <w:pStyle w:val="Ttulo2"/>
        <w:numPr>
          <w:ilvl w:val="0"/>
          <w:numId w:val="8"/>
        </w:numPr>
        <w:rPr>
          <w:i/>
          <w:szCs w:val="20"/>
          <w:lang w:val="en-US"/>
        </w:rPr>
      </w:pPr>
      <w:bookmarkStart w:id="8" w:name="_Toc29114104"/>
      <w:r w:rsidRPr="00D869E3">
        <w:rPr>
          <w:i/>
          <w:szCs w:val="20"/>
          <w:lang w:val="en-US"/>
        </w:rPr>
        <w:t>Considerations</w:t>
      </w:r>
      <w:r w:rsidR="00447C65" w:rsidRPr="00D869E3">
        <w:rPr>
          <w:i/>
          <w:szCs w:val="20"/>
          <w:lang w:val="en-US"/>
        </w:rPr>
        <w:t xml:space="preserve"> of the Court</w:t>
      </w:r>
      <w:bookmarkEnd w:id="8"/>
      <w:r w:rsidR="00154B4B" w:rsidRPr="00D869E3">
        <w:rPr>
          <w:i/>
          <w:szCs w:val="20"/>
          <w:lang w:val="en-US"/>
        </w:rPr>
        <w:t xml:space="preserve"> </w:t>
      </w:r>
    </w:p>
    <w:p w14:paraId="31247569" w14:textId="77777777" w:rsidR="00154B4B" w:rsidRPr="00D869E3" w:rsidRDefault="00154B4B" w:rsidP="00154B4B">
      <w:pPr>
        <w:jc w:val="both"/>
        <w:rPr>
          <w:rFonts w:ascii="Verdana" w:hAnsi="Verdana"/>
          <w:sz w:val="20"/>
          <w:szCs w:val="20"/>
          <w:lang w:val="en-US"/>
        </w:rPr>
      </w:pPr>
    </w:p>
    <w:p w14:paraId="5EB912C9" w14:textId="4717CD60" w:rsidR="00154B4B" w:rsidRPr="00D869E3" w:rsidRDefault="00141BBB" w:rsidP="00277432">
      <w:pPr>
        <w:pStyle w:val="Prrafodelista"/>
        <w:numPr>
          <w:ilvl w:val="0"/>
          <w:numId w:val="1"/>
        </w:numPr>
        <w:ind w:left="0" w:firstLine="0"/>
        <w:jc w:val="both"/>
        <w:rPr>
          <w:rFonts w:ascii="Verdana" w:eastAsia="Verdana" w:hAnsi="Verdana" w:cs="Verdana"/>
          <w:lang w:val="en-US"/>
        </w:rPr>
      </w:pPr>
      <w:r w:rsidRPr="00D869E3">
        <w:rPr>
          <w:rFonts w:ascii="Verdana" w:hAnsi="Verdana"/>
          <w:sz w:val="20"/>
          <w:lang w:val="en-US"/>
        </w:rPr>
        <w:t>Bearing in mind</w:t>
      </w:r>
      <w:r w:rsidR="001D1B96" w:rsidRPr="00D869E3">
        <w:rPr>
          <w:rFonts w:ascii="Verdana" w:hAnsi="Verdana"/>
          <w:sz w:val="20"/>
          <w:lang w:val="en-US"/>
        </w:rPr>
        <w:t xml:space="preserve"> the diverse nature of the arguments submitted by the State, and </w:t>
      </w:r>
      <w:r w:rsidRPr="00D869E3">
        <w:rPr>
          <w:rFonts w:ascii="Verdana" w:hAnsi="Verdana"/>
          <w:sz w:val="20"/>
          <w:lang w:val="en-US"/>
        </w:rPr>
        <w:t>its</w:t>
      </w:r>
      <w:r w:rsidR="001D1B96" w:rsidRPr="00D869E3">
        <w:rPr>
          <w:rFonts w:ascii="Verdana" w:hAnsi="Verdana"/>
          <w:sz w:val="20"/>
          <w:lang w:val="en-US"/>
        </w:rPr>
        <w:t xml:space="preserve"> express assertion that the</w:t>
      </w:r>
      <w:r w:rsidRPr="00D869E3">
        <w:rPr>
          <w:rFonts w:ascii="Verdana" w:hAnsi="Verdana"/>
          <w:sz w:val="20"/>
          <w:lang w:val="en-US"/>
        </w:rPr>
        <w:t>y</w:t>
      </w:r>
      <w:r w:rsidR="001D1B96" w:rsidRPr="00D869E3">
        <w:rPr>
          <w:rFonts w:ascii="Verdana" w:hAnsi="Verdana"/>
          <w:sz w:val="20"/>
          <w:lang w:val="en-US"/>
        </w:rPr>
        <w:t xml:space="preserve"> were not submitted as preliminary objections, but rather as a request for the Court to </w:t>
      </w:r>
      <w:r w:rsidR="006436CA" w:rsidRPr="00D869E3">
        <w:rPr>
          <w:rFonts w:ascii="Verdana" w:hAnsi="Verdana"/>
          <w:sz w:val="20"/>
          <w:lang w:val="en-US"/>
        </w:rPr>
        <w:t>“</w:t>
      </w:r>
      <w:r w:rsidR="001D1B96" w:rsidRPr="00D869E3">
        <w:rPr>
          <w:rFonts w:ascii="Verdana" w:hAnsi="Verdana"/>
          <w:sz w:val="20"/>
          <w:lang w:val="en-US"/>
        </w:rPr>
        <w:t>review legality</w:t>
      </w:r>
      <w:r w:rsidR="006436CA" w:rsidRPr="00D869E3">
        <w:rPr>
          <w:rFonts w:ascii="Verdana" w:hAnsi="Verdana"/>
          <w:sz w:val="20"/>
          <w:lang w:val="en-US"/>
        </w:rPr>
        <w:t>”</w:t>
      </w:r>
      <w:r w:rsidR="001D1B96" w:rsidRPr="00D869E3">
        <w:rPr>
          <w:rFonts w:ascii="Verdana" w:hAnsi="Verdana"/>
          <w:sz w:val="20"/>
          <w:lang w:val="en-US"/>
        </w:rPr>
        <w:t xml:space="preserve"> and respond to </w:t>
      </w:r>
      <w:r w:rsidR="00277432" w:rsidRPr="00D869E3">
        <w:rPr>
          <w:rFonts w:ascii="Verdana" w:hAnsi="Verdana"/>
          <w:sz w:val="20"/>
          <w:lang w:val="en-US"/>
        </w:rPr>
        <w:t xml:space="preserve">certain </w:t>
      </w:r>
      <w:r w:rsidR="006436CA" w:rsidRPr="00D869E3">
        <w:rPr>
          <w:rFonts w:ascii="Verdana" w:hAnsi="Verdana"/>
          <w:sz w:val="20"/>
          <w:lang w:val="en-US"/>
        </w:rPr>
        <w:t>“</w:t>
      </w:r>
      <w:r w:rsidR="00277432" w:rsidRPr="00D869E3">
        <w:rPr>
          <w:rFonts w:ascii="Verdana" w:hAnsi="Verdana"/>
          <w:sz w:val="20"/>
          <w:lang w:val="en-US"/>
        </w:rPr>
        <w:t>procedural questions,</w:t>
      </w:r>
      <w:r w:rsidR="006436CA" w:rsidRPr="00D869E3">
        <w:rPr>
          <w:rFonts w:ascii="Verdana" w:hAnsi="Verdana"/>
          <w:sz w:val="20"/>
          <w:lang w:val="en-US"/>
        </w:rPr>
        <w:t>”</w:t>
      </w:r>
      <w:r w:rsidR="00277432" w:rsidRPr="00D869E3">
        <w:rPr>
          <w:rFonts w:ascii="Verdana" w:hAnsi="Verdana"/>
          <w:sz w:val="20"/>
          <w:lang w:val="en-US"/>
        </w:rPr>
        <w:t xml:space="preserve"> the Court recalls th</w:t>
      </w:r>
      <w:r w:rsidRPr="00D869E3">
        <w:rPr>
          <w:rFonts w:ascii="Verdana" w:hAnsi="Verdana"/>
          <w:sz w:val="20"/>
          <w:lang w:val="en-US"/>
        </w:rPr>
        <w:t>at</w:t>
      </w:r>
      <w:r w:rsidR="00277432" w:rsidRPr="00D869E3">
        <w:rPr>
          <w:rFonts w:ascii="Verdana" w:hAnsi="Verdana"/>
          <w:sz w:val="20"/>
          <w:lang w:val="en-US"/>
        </w:rPr>
        <w:t xml:space="preserve"> preliminary objections are objections to the admissibility of a </w:t>
      </w:r>
      <w:r w:rsidRPr="00D869E3">
        <w:rPr>
          <w:rFonts w:ascii="Verdana" w:hAnsi="Verdana"/>
          <w:sz w:val="20"/>
          <w:lang w:val="en-US"/>
        </w:rPr>
        <w:t>petition</w:t>
      </w:r>
      <w:r w:rsidR="00277432" w:rsidRPr="00D869E3">
        <w:rPr>
          <w:rFonts w:ascii="Verdana" w:hAnsi="Verdana"/>
          <w:sz w:val="20"/>
          <w:lang w:val="en-US"/>
        </w:rPr>
        <w:t xml:space="preserve"> or to the </w:t>
      </w:r>
      <w:r w:rsidRPr="00D869E3">
        <w:rPr>
          <w:rFonts w:ascii="Verdana" w:hAnsi="Verdana"/>
          <w:sz w:val="20"/>
          <w:lang w:val="en-US"/>
        </w:rPr>
        <w:lastRenderedPageBreak/>
        <w:t>competence of the Court</w:t>
      </w:r>
      <w:r w:rsidR="00277432" w:rsidRPr="00D869E3">
        <w:rPr>
          <w:rFonts w:ascii="Verdana" w:hAnsi="Verdana"/>
          <w:sz w:val="20"/>
          <w:lang w:val="en-US"/>
        </w:rPr>
        <w:t xml:space="preserve"> to hear a specific case or any of its aspects, </w:t>
      </w:r>
      <w:r w:rsidRPr="00D869E3">
        <w:rPr>
          <w:rFonts w:ascii="Verdana" w:hAnsi="Verdana"/>
          <w:sz w:val="20"/>
          <w:lang w:val="en-US"/>
        </w:rPr>
        <w:t>based on</w:t>
      </w:r>
      <w:r w:rsidR="00277432" w:rsidRPr="00D869E3">
        <w:rPr>
          <w:rFonts w:ascii="Verdana" w:hAnsi="Verdana"/>
          <w:sz w:val="20"/>
          <w:lang w:val="en-US"/>
        </w:rPr>
        <w:t xml:space="preserve"> the person, matter, time or place, provided that </w:t>
      </w:r>
      <w:r w:rsidRPr="00D869E3">
        <w:rPr>
          <w:rFonts w:ascii="Verdana" w:hAnsi="Verdana"/>
          <w:sz w:val="20"/>
          <w:lang w:val="en-US"/>
        </w:rPr>
        <w:t>such</w:t>
      </w:r>
      <w:r w:rsidR="00277432" w:rsidRPr="00D869E3">
        <w:rPr>
          <w:rFonts w:ascii="Verdana" w:hAnsi="Verdana"/>
          <w:sz w:val="20"/>
          <w:lang w:val="en-US"/>
        </w:rPr>
        <w:t xml:space="preserve"> considerations are of a preliminary nature.</w:t>
      </w:r>
      <w:r w:rsidR="00154B4B" w:rsidRPr="00D869E3">
        <w:rPr>
          <w:rFonts w:ascii="Verdana" w:eastAsia="Verdana" w:hAnsi="Verdana" w:cs="Verdana"/>
          <w:sz w:val="20"/>
          <w:vertAlign w:val="superscript"/>
          <w:lang w:val="en-US"/>
        </w:rPr>
        <w:footnoteReference w:id="11"/>
      </w:r>
      <w:r w:rsidR="00277432" w:rsidRPr="00D869E3">
        <w:rPr>
          <w:rFonts w:ascii="Verdana" w:hAnsi="Verdana"/>
          <w:sz w:val="20"/>
          <w:szCs w:val="20"/>
          <w:lang w:val="en-US"/>
        </w:rPr>
        <w:t xml:space="preserve"> Therefore, regardless of how the State describes them in its briefs, if</w:t>
      </w:r>
      <w:r w:rsidRPr="00D869E3">
        <w:rPr>
          <w:rFonts w:ascii="Verdana" w:hAnsi="Verdana"/>
          <w:sz w:val="20"/>
          <w:szCs w:val="20"/>
          <w:lang w:val="en-US"/>
        </w:rPr>
        <w:t>,</w:t>
      </w:r>
      <w:r w:rsidR="00277432" w:rsidRPr="00D869E3">
        <w:rPr>
          <w:rFonts w:ascii="Verdana" w:hAnsi="Verdana"/>
          <w:sz w:val="20"/>
          <w:szCs w:val="20"/>
          <w:lang w:val="en-US"/>
        </w:rPr>
        <w:t xml:space="preserve"> </w:t>
      </w:r>
      <w:r w:rsidRPr="00D869E3">
        <w:rPr>
          <w:rFonts w:ascii="Verdana" w:hAnsi="Verdana"/>
          <w:sz w:val="20"/>
          <w:szCs w:val="20"/>
          <w:lang w:val="en-US"/>
        </w:rPr>
        <w:t>on examination,</w:t>
      </w:r>
      <w:r w:rsidR="00277432" w:rsidRPr="00D869E3">
        <w:rPr>
          <w:rFonts w:ascii="Verdana" w:hAnsi="Verdana"/>
          <w:sz w:val="20"/>
          <w:szCs w:val="20"/>
          <w:lang w:val="en-US"/>
        </w:rPr>
        <w:t xml:space="preserve"> it is determined that the</w:t>
      </w:r>
      <w:r w:rsidRPr="00D869E3">
        <w:rPr>
          <w:rFonts w:ascii="Verdana" w:hAnsi="Verdana"/>
          <w:sz w:val="20"/>
          <w:szCs w:val="20"/>
          <w:lang w:val="en-US"/>
        </w:rPr>
        <w:t xml:space="preserve"> considerations</w:t>
      </w:r>
      <w:r w:rsidR="00277432" w:rsidRPr="00D869E3">
        <w:rPr>
          <w:rFonts w:ascii="Verdana" w:hAnsi="Verdana"/>
          <w:sz w:val="20"/>
          <w:szCs w:val="20"/>
          <w:lang w:val="en-US"/>
        </w:rPr>
        <w:t xml:space="preserve"> are of the nature of a preliminary objection – that is, they contest the admissibility of the </w:t>
      </w:r>
      <w:r w:rsidRPr="00D869E3">
        <w:rPr>
          <w:rFonts w:ascii="Verdana" w:hAnsi="Verdana"/>
          <w:sz w:val="20"/>
          <w:szCs w:val="20"/>
          <w:lang w:val="en-US"/>
        </w:rPr>
        <w:t>petition</w:t>
      </w:r>
      <w:r w:rsidR="00277432" w:rsidRPr="00D869E3">
        <w:rPr>
          <w:rFonts w:ascii="Verdana" w:hAnsi="Verdana"/>
          <w:sz w:val="20"/>
          <w:szCs w:val="20"/>
          <w:lang w:val="en-US"/>
        </w:rPr>
        <w:t xml:space="preserve"> or the </w:t>
      </w:r>
      <w:r w:rsidRPr="00D869E3">
        <w:rPr>
          <w:rFonts w:ascii="Verdana" w:hAnsi="Verdana"/>
          <w:sz w:val="20"/>
          <w:szCs w:val="20"/>
          <w:lang w:val="en-US"/>
        </w:rPr>
        <w:t xml:space="preserve">Court’s </w:t>
      </w:r>
      <w:r w:rsidR="00277432" w:rsidRPr="00D869E3">
        <w:rPr>
          <w:rFonts w:ascii="Verdana" w:hAnsi="Verdana"/>
          <w:sz w:val="20"/>
          <w:szCs w:val="20"/>
          <w:lang w:val="en-US"/>
        </w:rPr>
        <w:t>competence to hear the case or any of its aspects – then, it must be decided as such.</w:t>
      </w:r>
      <w:r w:rsidR="00154B4B" w:rsidRPr="00D869E3">
        <w:rPr>
          <w:rFonts w:ascii="Verdana" w:eastAsia="Verdana" w:hAnsi="Verdana" w:cs="Verdana"/>
          <w:sz w:val="20"/>
          <w:vertAlign w:val="superscript"/>
          <w:lang w:val="en-US"/>
        </w:rPr>
        <w:footnoteReference w:id="12"/>
      </w:r>
    </w:p>
    <w:p w14:paraId="1C9EDB0C" w14:textId="77777777" w:rsidR="00AA35B1" w:rsidRPr="00D869E3" w:rsidRDefault="00AA35B1" w:rsidP="00AA35B1">
      <w:pPr>
        <w:pStyle w:val="Prrafodelista"/>
        <w:ind w:left="0"/>
        <w:jc w:val="both"/>
        <w:rPr>
          <w:rFonts w:ascii="Verdana" w:eastAsia="Verdana" w:hAnsi="Verdana" w:cs="Verdana"/>
          <w:lang w:val="en-US"/>
        </w:rPr>
      </w:pPr>
    </w:p>
    <w:p w14:paraId="5DED06D8" w14:textId="3577DAEC" w:rsidR="00AA35B1" w:rsidRPr="00D869E3" w:rsidRDefault="00277432" w:rsidP="00277432">
      <w:pPr>
        <w:pStyle w:val="Prrafodelista"/>
        <w:numPr>
          <w:ilvl w:val="0"/>
          <w:numId w:val="1"/>
        </w:numPr>
        <w:ind w:left="0" w:firstLine="0"/>
        <w:jc w:val="both"/>
        <w:rPr>
          <w:rFonts w:ascii="Verdana" w:eastAsia="Verdana" w:hAnsi="Verdana" w:cs="Verdana"/>
          <w:lang w:val="en-US"/>
        </w:rPr>
      </w:pPr>
      <w:r w:rsidRPr="00D869E3">
        <w:rPr>
          <w:rFonts w:ascii="Verdana" w:hAnsi="Verdana"/>
          <w:sz w:val="20"/>
          <w:lang w:val="en-US"/>
        </w:rPr>
        <w:t xml:space="preserve">In this case, the Court points out that the State’s arguments, </w:t>
      </w:r>
      <w:r w:rsidRPr="00D869E3">
        <w:rPr>
          <w:rFonts w:ascii="Verdana" w:hAnsi="Verdana"/>
          <w:sz w:val="20"/>
          <w:szCs w:val="20"/>
          <w:lang w:val="en-US"/>
        </w:rPr>
        <w:t>(a) review of legality with regard to the Commission’s report and (b) failure to exhaust domestic remedies</w:t>
      </w:r>
      <w:r w:rsidR="001C0C19" w:rsidRPr="00D869E3">
        <w:rPr>
          <w:rFonts w:ascii="Verdana" w:hAnsi="Verdana"/>
          <w:sz w:val="20"/>
          <w:szCs w:val="20"/>
          <w:lang w:val="en-US"/>
        </w:rPr>
        <w:t>,</w:t>
      </w:r>
      <w:r w:rsidRPr="00D869E3">
        <w:rPr>
          <w:rFonts w:ascii="Verdana" w:hAnsi="Verdana"/>
          <w:sz w:val="20"/>
          <w:szCs w:val="20"/>
          <w:lang w:val="en-US"/>
        </w:rPr>
        <w:t xml:space="preserve"> relate to </w:t>
      </w:r>
      <w:r w:rsidR="001C0C19" w:rsidRPr="00D869E3">
        <w:rPr>
          <w:rFonts w:ascii="Verdana" w:hAnsi="Verdana"/>
          <w:sz w:val="20"/>
          <w:szCs w:val="20"/>
          <w:lang w:val="en-US"/>
        </w:rPr>
        <w:t xml:space="preserve">the Commission’s </w:t>
      </w:r>
      <w:r w:rsidRPr="00D869E3">
        <w:rPr>
          <w:rFonts w:ascii="Verdana" w:hAnsi="Verdana"/>
          <w:sz w:val="20"/>
          <w:szCs w:val="20"/>
          <w:lang w:val="en-US"/>
        </w:rPr>
        <w:t xml:space="preserve">alleged </w:t>
      </w:r>
      <w:r w:rsidR="001C0C19" w:rsidRPr="00D869E3">
        <w:rPr>
          <w:rFonts w:ascii="Verdana" w:hAnsi="Verdana"/>
          <w:sz w:val="20"/>
          <w:szCs w:val="20"/>
          <w:lang w:val="en-US"/>
        </w:rPr>
        <w:t>failure to comply with</w:t>
      </w:r>
      <w:r w:rsidRPr="00D869E3">
        <w:rPr>
          <w:rFonts w:ascii="Verdana" w:hAnsi="Verdana"/>
          <w:sz w:val="20"/>
          <w:szCs w:val="20"/>
          <w:lang w:val="en-US"/>
        </w:rPr>
        <w:t xml:space="preserve"> the admissibility requirements established in </w:t>
      </w:r>
      <w:r w:rsidRPr="00D869E3">
        <w:rPr>
          <w:rFonts w:ascii="Verdana" w:hAnsi="Verdana"/>
          <w:sz w:val="20"/>
          <w:lang w:val="en-US"/>
        </w:rPr>
        <w:t>Articles 46(</w:t>
      </w:r>
      <w:r w:rsidR="001C0C19" w:rsidRPr="00D869E3">
        <w:rPr>
          <w:rFonts w:ascii="Verdana" w:hAnsi="Verdana"/>
          <w:sz w:val="20"/>
          <w:lang w:val="en-US"/>
        </w:rPr>
        <w:t>1</w:t>
      </w:r>
      <w:r w:rsidRPr="00D869E3">
        <w:rPr>
          <w:rFonts w:ascii="Verdana" w:hAnsi="Verdana"/>
          <w:sz w:val="20"/>
          <w:lang w:val="en-US"/>
        </w:rPr>
        <w:t>)(a) and (b) of the Convention. Accordingly, and pursuant to its consistent case law, the Court rejects both preliminary objections because they were not submitted at the proper procedural opportunity; that is, during the admissibility procedure before the Commission.</w:t>
      </w:r>
      <w:r w:rsidRPr="00D869E3">
        <w:rPr>
          <w:rStyle w:val="Refdenotaalpie"/>
          <w:lang w:val="en-US"/>
        </w:rPr>
        <w:footnoteReference w:id="13"/>
      </w:r>
      <w:r w:rsidRPr="00D869E3">
        <w:rPr>
          <w:rFonts w:ascii="Verdana" w:hAnsi="Verdana"/>
          <w:sz w:val="20"/>
          <w:lang w:val="en-US"/>
        </w:rPr>
        <w:t xml:space="preserve"> </w:t>
      </w:r>
      <w:r w:rsidR="001C0C19" w:rsidRPr="00D869E3">
        <w:rPr>
          <w:rFonts w:ascii="Verdana" w:hAnsi="Verdana"/>
          <w:sz w:val="20"/>
          <w:lang w:val="en-US"/>
        </w:rPr>
        <w:t>Regarding</w:t>
      </w:r>
      <w:r w:rsidRPr="00D869E3">
        <w:rPr>
          <w:rFonts w:ascii="Verdana" w:hAnsi="Verdana"/>
          <w:sz w:val="20"/>
          <w:lang w:val="en-US"/>
        </w:rPr>
        <w:t xml:space="preserve"> allegation </w:t>
      </w:r>
      <w:r w:rsidRPr="00D869E3">
        <w:rPr>
          <w:rFonts w:ascii="Verdana" w:hAnsi="Verdana"/>
          <w:sz w:val="20"/>
          <w:szCs w:val="20"/>
          <w:lang w:val="en-US"/>
        </w:rPr>
        <w:t>(d) the Commission’s lack of competence to assume a fourth instance role,</w:t>
      </w:r>
      <w:r w:rsidR="00AA35B1" w:rsidRPr="00D869E3">
        <w:rPr>
          <w:rFonts w:ascii="Verdana" w:hAnsi="Verdana"/>
          <w:sz w:val="20"/>
          <w:szCs w:val="20"/>
          <w:lang w:val="en-US"/>
        </w:rPr>
        <w:t xml:space="preserve"> the Court notes that the State’s request does not seek to contest the admissibility of the case by this Court, and does not allege that its right to defend itself has been violated owing to supposed irregularities committed during the procedure before the Commission; rather it is an argument </w:t>
      </w:r>
      <w:r w:rsidR="001C0C19" w:rsidRPr="00D869E3">
        <w:rPr>
          <w:rFonts w:ascii="Verdana" w:hAnsi="Verdana"/>
          <w:sz w:val="20"/>
          <w:szCs w:val="20"/>
          <w:lang w:val="en-US"/>
        </w:rPr>
        <w:t>relating</w:t>
      </w:r>
      <w:r w:rsidR="00AA35B1" w:rsidRPr="00D869E3">
        <w:rPr>
          <w:rFonts w:ascii="Verdana" w:hAnsi="Verdana"/>
          <w:sz w:val="20"/>
          <w:szCs w:val="20"/>
          <w:lang w:val="en-US"/>
        </w:rPr>
        <w:t xml:space="preserve"> to the merits of the matter and, therefore, it will be decided in the corresponding section </w:t>
      </w:r>
      <w:r w:rsidR="00AA35B1" w:rsidRPr="00D869E3">
        <w:rPr>
          <w:rFonts w:ascii="Verdana" w:hAnsi="Verdana"/>
          <w:sz w:val="20"/>
          <w:lang w:val="en-US"/>
        </w:rPr>
        <w:t>(</w:t>
      </w:r>
      <w:r w:rsidR="00AA35B1" w:rsidRPr="00D869E3">
        <w:rPr>
          <w:rFonts w:ascii="Verdana" w:hAnsi="Verdana"/>
          <w:i/>
          <w:sz w:val="20"/>
          <w:lang w:val="en-US"/>
        </w:rPr>
        <w:t>infra</w:t>
      </w:r>
      <w:r w:rsidR="00AA35B1" w:rsidRPr="00D869E3">
        <w:rPr>
          <w:rFonts w:ascii="Verdana" w:hAnsi="Verdana"/>
          <w:sz w:val="20"/>
          <w:lang w:val="en-US"/>
        </w:rPr>
        <w:t xml:space="preserve"> para. 97). Also, with regard to the State’s argument </w:t>
      </w:r>
      <w:r w:rsidR="00AA35B1" w:rsidRPr="00D869E3">
        <w:rPr>
          <w:rFonts w:ascii="Verdana" w:hAnsi="Verdana"/>
          <w:sz w:val="20"/>
          <w:szCs w:val="20"/>
          <w:lang w:val="en-US"/>
        </w:rPr>
        <w:t>(f) undue inclusion of presumed victims, the Court concludes that, based on the positions of the parties, the dispute has ended</w:t>
      </w:r>
      <w:r w:rsidR="001C0C19" w:rsidRPr="00D869E3">
        <w:rPr>
          <w:rFonts w:ascii="Verdana" w:hAnsi="Verdana"/>
          <w:sz w:val="20"/>
          <w:szCs w:val="20"/>
          <w:lang w:val="en-US"/>
        </w:rPr>
        <w:t xml:space="preserve"> in this regard</w:t>
      </w:r>
      <w:r w:rsidR="00AA35B1" w:rsidRPr="00D869E3">
        <w:rPr>
          <w:rFonts w:ascii="Verdana" w:hAnsi="Verdana"/>
          <w:sz w:val="20"/>
          <w:szCs w:val="20"/>
          <w:lang w:val="en-US"/>
        </w:rPr>
        <w:t>.</w:t>
      </w:r>
    </w:p>
    <w:p w14:paraId="66F4694E" w14:textId="77777777" w:rsidR="008D084E" w:rsidRPr="00D869E3" w:rsidRDefault="008D084E" w:rsidP="005D0F69">
      <w:pPr>
        <w:pStyle w:val="Prrafodelista"/>
        <w:ind w:left="0"/>
        <w:jc w:val="both"/>
        <w:rPr>
          <w:rFonts w:ascii="Verdana" w:hAnsi="Verdana"/>
          <w:sz w:val="20"/>
          <w:szCs w:val="20"/>
          <w:lang w:val="en-US"/>
        </w:rPr>
      </w:pPr>
    </w:p>
    <w:p w14:paraId="780339A3" w14:textId="7A2D12D6" w:rsidR="00154B4B" w:rsidRPr="00D869E3" w:rsidRDefault="00AA35B1" w:rsidP="00AA35B1">
      <w:pPr>
        <w:pStyle w:val="Prrafodelista"/>
        <w:numPr>
          <w:ilvl w:val="0"/>
          <w:numId w:val="1"/>
        </w:numPr>
        <w:ind w:left="0" w:firstLine="0"/>
        <w:jc w:val="both"/>
        <w:rPr>
          <w:rFonts w:ascii="Verdana" w:hAnsi="Verdana"/>
          <w:sz w:val="20"/>
          <w:lang w:val="en-US"/>
        </w:rPr>
      </w:pPr>
      <w:r w:rsidRPr="00D869E3">
        <w:rPr>
          <w:rFonts w:ascii="Verdana" w:hAnsi="Verdana"/>
          <w:sz w:val="20"/>
          <w:szCs w:val="20"/>
          <w:lang w:val="en-US"/>
        </w:rPr>
        <w:t>The Court will now analyze the State’s arguments (c) inclusion of Article 16 in the Merits Report, and (e) delimitation of the legal dispute</w:t>
      </w:r>
      <w:r w:rsidR="00154B4B" w:rsidRPr="00D869E3">
        <w:rPr>
          <w:rFonts w:ascii="Verdana" w:hAnsi="Verdana"/>
          <w:sz w:val="20"/>
          <w:szCs w:val="20"/>
          <w:lang w:val="en-US"/>
        </w:rPr>
        <w:t>.</w:t>
      </w:r>
    </w:p>
    <w:p w14:paraId="2EC7136F" w14:textId="77777777" w:rsidR="00154B4B" w:rsidRPr="00D869E3" w:rsidRDefault="00154B4B" w:rsidP="00154B4B">
      <w:pPr>
        <w:pStyle w:val="Prrafodelista"/>
        <w:rPr>
          <w:rFonts w:ascii="Verdana" w:hAnsi="Verdana"/>
          <w:sz w:val="20"/>
          <w:szCs w:val="20"/>
          <w:lang w:val="en-US"/>
        </w:rPr>
      </w:pPr>
    </w:p>
    <w:p w14:paraId="26414E7C" w14:textId="5079A361" w:rsidR="00154B4B" w:rsidRPr="00D869E3" w:rsidRDefault="00154B4B" w:rsidP="00E66DD7">
      <w:pPr>
        <w:pStyle w:val="Ttulo3"/>
        <w:numPr>
          <w:ilvl w:val="0"/>
          <w:numId w:val="7"/>
        </w:numPr>
        <w:jc w:val="both"/>
        <w:rPr>
          <w:b w:val="0"/>
          <w:i/>
          <w:szCs w:val="20"/>
          <w:lang w:val="en-US"/>
        </w:rPr>
      </w:pPr>
      <w:bookmarkStart w:id="9" w:name="_Toc29114105"/>
      <w:r w:rsidRPr="00D869E3">
        <w:rPr>
          <w:i/>
          <w:szCs w:val="20"/>
          <w:lang w:val="en-US"/>
        </w:rPr>
        <w:t>Inclusi</w:t>
      </w:r>
      <w:r w:rsidR="00AA35B1" w:rsidRPr="00D869E3">
        <w:rPr>
          <w:i/>
          <w:szCs w:val="20"/>
          <w:lang w:val="en-US"/>
        </w:rPr>
        <w:t>o</w:t>
      </w:r>
      <w:r w:rsidRPr="00D869E3">
        <w:rPr>
          <w:i/>
          <w:szCs w:val="20"/>
          <w:lang w:val="en-US"/>
        </w:rPr>
        <w:t xml:space="preserve">n </w:t>
      </w:r>
      <w:r w:rsidR="00687684" w:rsidRPr="00D869E3">
        <w:rPr>
          <w:i/>
          <w:szCs w:val="20"/>
          <w:lang w:val="en-US"/>
        </w:rPr>
        <w:t>of Article</w:t>
      </w:r>
      <w:r w:rsidRPr="00D869E3">
        <w:rPr>
          <w:i/>
          <w:szCs w:val="20"/>
          <w:lang w:val="en-US"/>
        </w:rPr>
        <w:t xml:space="preserve"> 16</w:t>
      </w:r>
      <w:r w:rsidR="00447C65" w:rsidRPr="00D869E3">
        <w:rPr>
          <w:i/>
          <w:szCs w:val="20"/>
          <w:lang w:val="en-US"/>
        </w:rPr>
        <w:t xml:space="preserve"> of the Convention</w:t>
      </w:r>
      <w:r w:rsidRPr="00D869E3">
        <w:rPr>
          <w:i/>
          <w:szCs w:val="20"/>
          <w:lang w:val="en-US"/>
        </w:rPr>
        <w:t xml:space="preserve"> </w:t>
      </w:r>
      <w:r w:rsidR="00AA35B1" w:rsidRPr="00D869E3">
        <w:rPr>
          <w:i/>
          <w:szCs w:val="20"/>
          <w:lang w:val="en-US"/>
        </w:rPr>
        <w:t>in the</w:t>
      </w:r>
      <w:r w:rsidRPr="00D869E3">
        <w:rPr>
          <w:i/>
          <w:szCs w:val="20"/>
          <w:lang w:val="en-US"/>
        </w:rPr>
        <w:t xml:space="preserve"> </w:t>
      </w:r>
      <w:r w:rsidR="00687684" w:rsidRPr="00D869E3">
        <w:rPr>
          <w:i/>
          <w:szCs w:val="20"/>
          <w:lang w:val="en-US"/>
        </w:rPr>
        <w:t>Merits Report</w:t>
      </w:r>
      <w:bookmarkEnd w:id="9"/>
    </w:p>
    <w:p w14:paraId="326CB7A0" w14:textId="77777777" w:rsidR="00154B4B" w:rsidRPr="00D869E3" w:rsidRDefault="00154B4B" w:rsidP="00154B4B">
      <w:pPr>
        <w:tabs>
          <w:tab w:val="left" w:pos="1134"/>
        </w:tabs>
        <w:jc w:val="both"/>
        <w:rPr>
          <w:rFonts w:ascii="Verdana" w:hAnsi="Verdana"/>
          <w:b/>
          <w:i/>
          <w:sz w:val="20"/>
          <w:szCs w:val="20"/>
          <w:lang w:val="en-US"/>
        </w:rPr>
      </w:pPr>
    </w:p>
    <w:p w14:paraId="0FCD4108" w14:textId="10099C2F" w:rsidR="00154B4B" w:rsidRPr="00D869E3" w:rsidRDefault="00447C65" w:rsidP="00BC466E">
      <w:pPr>
        <w:pStyle w:val="Prrafodelista"/>
        <w:numPr>
          <w:ilvl w:val="0"/>
          <w:numId w:val="1"/>
        </w:numPr>
        <w:ind w:left="0" w:firstLine="0"/>
        <w:jc w:val="both"/>
        <w:rPr>
          <w:rFonts w:ascii="Verdana" w:hAnsi="Verdana"/>
          <w:sz w:val="20"/>
          <w:szCs w:val="20"/>
          <w:lang w:val="en-US"/>
        </w:rPr>
      </w:pPr>
      <w:r w:rsidRPr="00D869E3">
        <w:rPr>
          <w:rFonts w:ascii="Verdana" w:hAnsi="Verdana"/>
          <w:sz w:val="20"/>
          <w:szCs w:val="20"/>
          <w:lang w:val="en-US"/>
        </w:rPr>
        <w:t>The Court</w:t>
      </w:r>
      <w:r w:rsidR="00154B4B" w:rsidRPr="00D869E3">
        <w:rPr>
          <w:rFonts w:ascii="Verdana" w:hAnsi="Verdana"/>
          <w:sz w:val="20"/>
          <w:szCs w:val="20"/>
          <w:lang w:val="en-US"/>
        </w:rPr>
        <w:t xml:space="preserve"> reitera</w:t>
      </w:r>
      <w:r w:rsidR="00BC466E" w:rsidRPr="00D869E3">
        <w:rPr>
          <w:rFonts w:ascii="Verdana" w:hAnsi="Verdana"/>
          <w:sz w:val="20"/>
          <w:szCs w:val="20"/>
          <w:lang w:val="en-US"/>
        </w:rPr>
        <w:t xml:space="preserve">tes that, regarding the Commission’s inclusion in the </w:t>
      </w:r>
      <w:r w:rsidR="00687684" w:rsidRPr="00D869E3">
        <w:rPr>
          <w:rFonts w:ascii="Verdana" w:hAnsi="Verdana"/>
          <w:sz w:val="20"/>
          <w:szCs w:val="20"/>
          <w:lang w:val="en-US"/>
        </w:rPr>
        <w:t>Merits Report</w:t>
      </w:r>
      <w:r w:rsidR="00BC466E" w:rsidRPr="00D869E3">
        <w:rPr>
          <w:rFonts w:ascii="Verdana" w:hAnsi="Verdana"/>
          <w:sz w:val="20"/>
          <w:szCs w:val="20"/>
          <w:lang w:val="en-US"/>
        </w:rPr>
        <w:t xml:space="preserve"> of rights that were not indicated previously in the</w:t>
      </w:r>
      <w:r w:rsidR="00154B4B" w:rsidRPr="00D869E3">
        <w:rPr>
          <w:rFonts w:ascii="Verdana" w:hAnsi="Verdana"/>
          <w:sz w:val="20"/>
          <w:szCs w:val="20"/>
          <w:lang w:val="en-US"/>
        </w:rPr>
        <w:t xml:space="preserve"> </w:t>
      </w:r>
      <w:r w:rsidR="00687684" w:rsidRPr="00D869E3">
        <w:rPr>
          <w:rFonts w:ascii="Verdana" w:hAnsi="Verdana"/>
          <w:sz w:val="20"/>
          <w:szCs w:val="20"/>
          <w:lang w:val="en-US"/>
        </w:rPr>
        <w:t>Admissibility Report</w:t>
      </w:r>
      <w:r w:rsidR="00154B4B" w:rsidRPr="00D869E3">
        <w:rPr>
          <w:rFonts w:ascii="Verdana" w:hAnsi="Verdana"/>
          <w:sz w:val="20"/>
          <w:szCs w:val="20"/>
          <w:lang w:val="en-US"/>
        </w:rPr>
        <w:t xml:space="preserve">, </w:t>
      </w:r>
      <w:r w:rsidR="002016F7" w:rsidRPr="00D869E3">
        <w:rPr>
          <w:rFonts w:ascii="Verdana" w:hAnsi="Verdana"/>
          <w:sz w:val="20"/>
          <w:szCs w:val="20"/>
          <w:lang w:val="en-US"/>
        </w:rPr>
        <w:t>neither</w:t>
      </w:r>
      <w:r w:rsidR="00BC466E" w:rsidRPr="00D869E3">
        <w:rPr>
          <w:rFonts w:ascii="Verdana" w:hAnsi="Verdana"/>
          <w:sz w:val="20"/>
          <w:szCs w:val="20"/>
          <w:lang w:val="en-US"/>
        </w:rPr>
        <w:t xml:space="preserve"> in</w:t>
      </w:r>
      <w:r w:rsidR="00154B4B" w:rsidRPr="00D869E3">
        <w:rPr>
          <w:rFonts w:ascii="Verdana" w:hAnsi="Verdana"/>
          <w:sz w:val="20"/>
          <w:szCs w:val="20"/>
          <w:lang w:val="en-US"/>
        </w:rPr>
        <w:t xml:space="preserve"> </w:t>
      </w:r>
      <w:r w:rsidRPr="00D869E3">
        <w:rPr>
          <w:rFonts w:ascii="Verdana" w:hAnsi="Verdana"/>
          <w:sz w:val="20"/>
          <w:szCs w:val="20"/>
          <w:lang w:val="en-US"/>
        </w:rPr>
        <w:t>the American Convention</w:t>
      </w:r>
      <w:r w:rsidR="00154B4B" w:rsidRPr="00D869E3">
        <w:rPr>
          <w:rFonts w:ascii="Verdana" w:hAnsi="Verdana"/>
          <w:sz w:val="20"/>
          <w:szCs w:val="20"/>
          <w:lang w:val="en-US"/>
        </w:rPr>
        <w:t xml:space="preserve"> </w:t>
      </w:r>
      <w:r w:rsidR="002016F7" w:rsidRPr="00D869E3">
        <w:rPr>
          <w:rFonts w:ascii="Verdana" w:hAnsi="Verdana"/>
          <w:sz w:val="20"/>
          <w:szCs w:val="20"/>
          <w:lang w:val="en-US"/>
        </w:rPr>
        <w:t>n</w:t>
      </w:r>
      <w:r w:rsidR="00BC466E" w:rsidRPr="00D869E3">
        <w:rPr>
          <w:rFonts w:ascii="Verdana" w:hAnsi="Verdana"/>
          <w:sz w:val="20"/>
          <w:szCs w:val="20"/>
          <w:lang w:val="en-US"/>
        </w:rPr>
        <w:t>or in</w:t>
      </w:r>
      <w:r w:rsidR="00154B4B" w:rsidRPr="00D869E3">
        <w:rPr>
          <w:rFonts w:ascii="Verdana" w:hAnsi="Verdana"/>
          <w:sz w:val="20"/>
          <w:szCs w:val="20"/>
          <w:lang w:val="en-US"/>
        </w:rPr>
        <w:t xml:space="preserve"> </w:t>
      </w:r>
      <w:r w:rsidRPr="00D869E3">
        <w:rPr>
          <w:rFonts w:ascii="Verdana" w:hAnsi="Verdana"/>
          <w:sz w:val="20"/>
          <w:szCs w:val="20"/>
          <w:lang w:val="en-US"/>
        </w:rPr>
        <w:t>the Inter-American Commission</w:t>
      </w:r>
      <w:r w:rsidR="00BC466E" w:rsidRPr="00D869E3">
        <w:rPr>
          <w:rFonts w:ascii="Verdana" w:hAnsi="Verdana"/>
          <w:sz w:val="20"/>
          <w:szCs w:val="20"/>
          <w:lang w:val="en-US"/>
        </w:rPr>
        <w:t xml:space="preserve">’s Rules of Procedure is </w:t>
      </w:r>
      <w:r w:rsidR="002016F7" w:rsidRPr="00D869E3">
        <w:rPr>
          <w:rFonts w:ascii="Verdana" w:hAnsi="Verdana"/>
          <w:sz w:val="20"/>
          <w:szCs w:val="20"/>
          <w:lang w:val="en-US"/>
        </w:rPr>
        <w:t>there a</w:t>
      </w:r>
      <w:r w:rsidR="00BC466E" w:rsidRPr="00D869E3">
        <w:rPr>
          <w:rFonts w:ascii="Verdana" w:hAnsi="Verdana"/>
          <w:sz w:val="20"/>
          <w:szCs w:val="20"/>
          <w:lang w:val="en-US"/>
        </w:rPr>
        <w:t xml:space="preserve"> rule that states that the </w:t>
      </w:r>
      <w:r w:rsidR="00687684" w:rsidRPr="00D869E3">
        <w:rPr>
          <w:rFonts w:ascii="Verdana" w:hAnsi="Verdana"/>
          <w:sz w:val="20"/>
          <w:szCs w:val="20"/>
          <w:lang w:val="en-US"/>
        </w:rPr>
        <w:t>Admissibility Report</w:t>
      </w:r>
      <w:r w:rsidR="00154B4B" w:rsidRPr="00D869E3">
        <w:rPr>
          <w:rFonts w:ascii="Verdana" w:hAnsi="Verdana"/>
          <w:sz w:val="20"/>
          <w:szCs w:val="20"/>
          <w:lang w:val="en-US"/>
        </w:rPr>
        <w:t xml:space="preserve"> </w:t>
      </w:r>
      <w:r w:rsidR="00BC466E" w:rsidRPr="00D869E3">
        <w:rPr>
          <w:rFonts w:ascii="Verdana" w:hAnsi="Verdana"/>
          <w:sz w:val="20"/>
          <w:szCs w:val="20"/>
          <w:lang w:val="en-US"/>
        </w:rPr>
        <w:t>must establish all the rights that have presumably been violated.</w:t>
      </w:r>
      <w:r w:rsidR="00154B4B" w:rsidRPr="00D869E3">
        <w:rPr>
          <w:rStyle w:val="Refdenotaalpie"/>
          <w:szCs w:val="20"/>
          <w:lang w:val="en-US"/>
        </w:rPr>
        <w:footnoteReference w:id="14"/>
      </w:r>
      <w:r w:rsidR="00154B4B" w:rsidRPr="00D869E3">
        <w:rPr>
          <w:rFonts w:ascii="Verdana" w:hAnsi="Verdana"/>
          <w:sz w:val="20"/>
          <w:szCs w:val="20"/>
          <w:lang w:val="en-US"/>
        </w:rPr>
        <w:t xml:space="preserve"> </w:t>
      </w:r>
      <w:r w:rsidR="00075E68" w:rsidRPr="00D869E3">
        <w:rPr>
          <w:rFonts w:ascii="Verdana" w:hAnsi="Verdana"/>
          <w:sz w:val="20"/>
          <w:szCs w:val="20"/>
          <w:lang w:val="en-US"/>
        </w:rPr>
        <w:t>In this regard</w:t>
      </w:r>
      <w:r w:rsidR="00154B4B" w:rsidRPr="00D869E3">
        <w:rPr>
          <w:rFonts w:ascii="Verdana" w:hAnsi="Verdana"/>
          <w:sz w:val="20"/>
          <w:szCs w:val="20"/>
          <w:lang w:val="en-US"/>
        </w:rPr>
        <w:t xml:space="preserve">, </w:t>
      </w:r>
      <w:r w:rsidRPr="00D869E3">
        <w:rPr>
          <w:rFonts w:ascii="Verdana" w:hAnsi="Verdana"/>
          <w:sz w:val="20"/>
          <w:szCs w:val="20"/>
          <w:lang w:val="en-US"/>
        </w:rPr>
        <w:t>Articles</w:t>
      </w:r>
      <w:r w:rsidR="00154B4B" w:rsidRPr="00D869E3">
        <w:rPr>
          <w:rFonts w:ascii="Verdana" w:hAnsi="Verdana"/>
          <w:sz w:val="20"/>
          <w:szCs w:val="20"/>
          <w:lang w:val="en-US"/>
        </w:rPr>
        <w:t xml:space="preserve"> 46</w:t>
      </w:r>
      <w:r w:rsidR="00154B4B" w:rsidRPr="00D869E3">
        <w:rPr>
          <w:rStyle w:val="Refdenotaalpie"/>
          <w:szCs w:val="20"/>
          <w:lang w:val="en-US"/>
        </w:rPr>
        <w:footnoteReference w:id="15"/>
      </w:r>
      <w:r w:rsidR="00687684" w:rsidRPr="00D869E3">
        <w:rPr>
          <w:rFonts w:ascii="Verdana" w:hAnsi="Verdana"/>
          <w:sz w:val="20"/>
          <w:szCs w:val="20"/>
          <w:lang w:val="en-US"/>
        </w:rPr>
        <w:t xml:space="preserve"> and </w:t>
      </w:r>
      <w:r w:rsidR="00154B4B" w:rsidRPr="00D869E3">
        <w:rPr>
          <w:rFonts w:ascii="Verdana" w:hAnsi="Verdana"/>
          <w:sz w:val="20"/>
          <w:szCs w:val="20"/>
          <w:lang w:val="en-US"/>
        </w:rPr>
        <w:t>47</w:t>
      </w:r>
      <w:r w:rsidR="00154B4B" w:rsidRPr="00D869E3">
        <w:rPr>
          <w:rStyle w:val="Refdenotaalpie"/>
          <w:szCs w:val="20"/>
          <w:lang w:val="en-US"/>
        </w:rPr>
        <w:footnoteReference w:id="16"/>
      </w:r>
      <w:r w:rsidRPr="00D869E3">
        <w:rPr>
          <w:rFonts w:ascii="Verdana" w:hAnsi="Verdana"/>
          <w:sz w:val="20"/>
          <w:szCs w:val="20"/>
          <w:lang w:val="en-US"/>
        </w:rPr>
        <w:t xml:space="preserve"> of the American Convention</w:t>
      </w:r>
      <w:r w:rsidR="00154B4B" w:rsidRPr="00D869E3">
        <w:rPr>
          <w:rFonts w:ascii="Verdana" w:hAnsi="Verdana"/>
          <w:sz w:val="20"/>
          <w:szCs w:val="20"/>
          <w:lang w:val="en-US"/>
        </w:rPr>
        <w:t xml:space="preserve"> </w:t>
      </w:r>
      <w:r w:rsidR="002016F7" w:rsidRPr="00D869E3">
        <w:rPr>
          <w:rFonts w:ascii="Verdana" w:hAnsi="Verdana"/>
          <w:sz w:val="20"/>
          <w:szCs w:val="20"/>
          <w:lang w:val="en-US"/>
        </w:rPr>
        <w:t>merely</w:t>
      </w:r>
      <w:r w:rsidR="00BC466E" w:rsidRPr="00D869E3">
        <w:rPr>
          <w:rFonts w:ascii="Verdana" w:hAnsi="Verdana"/>
          <w:sz w:val="20"/>
          <w:szCs w:val="20"/>
          <w:lang w:val="en-US"/>
        </w:rPr>
        <w:t xml:space="preserve"> </w:t>
      </w:r>
      <w:r w:rsidR="00154B4B" w:rsidRPr="00D869E3">
        <w:rPr>
          <w:rFonts w:ascii="Verdana" w:hAnsi="Verdana"/>
          <w:sz w:val="20"/>
          <w:szCs w:val="20"/>
          <w:lang w:val="en-US"/>
        </w:rPr>
        <w:t>establ</w:t>
      </w:r>
      <w:r w:rsidR="00BC466E" w:rsidRPr="00D869E3">
        <w:rPr>
          <w:rFonts w:ascii="Verdana" w:hAnsi="Verdana"/>
          <w:sz w:val="20"/>
          <w:szCs w:val="20"/>
          <w:lang w:val="en-US"/>
        </w:rPr>
        <w:t>ish</w:t>
      </w:r>
      <w:r w:rsidR="00154B4B" w:rsidRPr="00D869E3">
        <w:rPr>
          <w:rFonts w:ascii="Verdana" w:hAnsi="Verdana"/>
          <w:sz w:val="20"/>
          <w:szCs w:val="20"/>
          <w:lang w:val="en-US"/>
        </w:rPr>
        <w:t xml:space="preserve"> </w:t>
      </w:r>
      <w:r w:rsidR="00BC466E" w:rsidRPr="00D869E3">
        <w:rPr>
          <w:rFonts w:ascii="Verdana" w:hAnsi="Verdana"/>
          <w:sz w:val="20"/>
          <w:szCs w:val="20"/>
          <w:lang w:val="en-US"/>
        </w:rPr>
        <w:lastRenderedPageBreak/>
        <w:t xml:space="preserve">the requirements for declaring a petition admissible or inadmissible, but do not impose on </w:t>
      </w:r>
      <w:r w:rsidRPr="00D869E3">
        <w:rPr>
          <w:rFonts w:ascii="Verdana" w:hAnsi="Verdana"/>
          <w:sz w:val="20"/>
          <w:szCs w:val="20"/>
          <w:lang w:val="en-US"/>
        </w:rPr>
        <w:t>the Commission</w:t>
      </w:r>
      <w:r w:rsidR="00154B4B" w:rsidRPr="00D869E3">
        <w:rPr>
          <w:rFonts w:ascii="Verdana" w:hAnsi="Verdana"/>
          <w:sz w:val="20"/>
          <w:szCs w:val="20"/>
          <w:lang w:val="en-US"/>
        </w:rPr>
        <w:t xml:space="preserve"> </w:t>
      </w:r>
      <w:r w:rsidR="00BC466E" w:rsidRPr="00D869E3">
        <w:rPr>
          <w:rFonts w:ascii="Verdana" w:hAnsi="Verdana"/>
          <w:sz w:val="20"/>
          <w:szCs w:val="20"/>
          <w:lang w:val="en-US"/>
        </w:rPr>
        <w:t xml:space="preserve">the obligation to determine the rights that will be the purpose of the procedure. In this regard, the rights indicated in the Admissibility Report are the result of a preliminary examination of </w:t>
      </w:r>
      <w:r w:rsidR="002016F7" w:rsidRPr="00D869E3">
        <w:rPr>
          <w:rFonts w:ascii="Verdana" w:hAnsi="Verdana"/>
          <w:sz w:val="20"/>
          <w:szCs w:val="20"/>
          <w:lang w:val="en-US"/>
        </w:rPr>
        <w:t>a</w:t>
      </w:r>
      <w:r w:rsidR="00BC466E" w:rsidRPr="00D869E3">
        <w:rPr>
          <w:rFonts w:ascii="Verdana" w:hAnsi="Verdana"/>
          <w:sz w:val="20"/>
          <w:szCs w:val="20"/>
          <w:lang w:val="en-US"/>
        </w:rPr>
        <w:t xml:space="preserve"> petition that is being processed</w:t>
      </w:r>
      <w:r w:rsidR="002016F7" w:rsidRPr="00D869E3">
        <w:rPr>
          <w:rFonts w:ascii="Verdana" w:hAnsi="Verdana"/>
          <w:sz w:val="20"/>
          <w:szCs w:val="20"/>
          <w:lang w:val="en-US"/>
        </w:rPr>
        <w:t>; thus,</w:t>
      </w:r>
      <w:r w:rsidR="00BC466E" w:rsidRPr="00D869E3">
        <w:rPr>
          <w:rFonts w:ascii="Verdana" w:hAnsi="Verdana"/>
          <w:sz w:val="20"/>
          <w:szCs w:val="20"/>
          <w:lang w:val="en-US"/>
        </w:rPr>
        <w:t xml:space="preserve"> this does not </w:t>
      </w:r>
      <w:r w:rsidR="002016F7" w:rsidRPr="00D869E3">
        <w:rPr>
          <w:rFonts w:ascii="Verdana" w:hAnsi="Verdana"/>
          <w:sz w:val="20"/>
          <w:szCs w:val="20"/>
          <w:lang w:val="en-US"/>
        </w:rPr>
        <w:t>preclude</w:t>
      </w:r>
      <w:r w:rsidR="00BC466E" w:rsidRPr="00D869E3">
        <w:rPr>
          <w:rFonts w:ascii="Verdana" w:hAnsi="Verdana"/>
          <w:sz w:val="20"/>
          <w:szCs w:val="20"/>
          <w:lang w:val="en-US"/>
        </w:rPr>
        <w:t xml:space="preserve"> the possibility that, at later stages, the procedure may include other rights or articles that have presumably been violated, provided the State’s right to defend itself within the factual framework of the case analyzed</w:t>
      </w:r>
      <w:r w:rsidR="002016F7" w:rsidRPr="00D869E3">
        <w:rPr>
          <w:rFonts w:ascii="Verdana" w:hAnsi="Verdana"/>
          <w:sz w:val="20"/>
          <w:szCs w:val="20"/>
          <w:lang w:val="en-US"/>
        </w:rPr>
        <w:t xml:space="preserve"> is respected</w:t>
      </w:r>
      <w:r w:rsidR="00BC466E" w:rsidRPr="00D869E3">
        <w:rPr>
          <w:rFonts w:ascii="Verdana" w:hAnsi="Verdana"/>
          <w:sz w:val="20"/>
          <w:szCs w:val="20"/>
          <w:lang w:val="en-US"/>
        </w:rPr>
        <w:t>.</w:t>
      </w:r>
      <w:r w:rsidR="00154B4B" w:rsidRPr="00D869E3">
        <w:rPr>
          <w:rStyle w:val="Refdenotaalpie"/>
          <w:szCs w:val="20"/>
          <w:lang w:val="en-US"/>
        </w:rPr>
        <w:footnoteReference w:id="17"/>
      </w:r>
    </w:p>
    <w:p w14:paraId="50448375" w14:textId="77777777" w:rsidR="00154B4B" w:rsidRPr="00D869E3" w:rsidRDefault="00154B4B" w:rsidP="00154B4B">
      <w:pPr>
        <w:pStyle w:val="Prrafodelista"/>
        <w:ind w:left="0"/>
        <w:jc w:val="both"/>
        <w:rPr>
          <w:rFonts w:ascii="Verdana" w:hAnsi="Verdana"/>
          <w:sz w:val="20"/>
          <w:szCs w:val="20"/>
          <w:lang w:val="en-US"/>
        </w:rPr>
      </w:pPr>
    </w:p>
    <w:p w14:paraId="6F73F824" w14:textId="55EA710B" w:rsidR="00154B4B" w:rsidRPr="00D869E3" w:rsidRDefault="00BC466E" w:rsidP="00E6309B">
      <w:pPr>
        <w:pStyle w:val="Prrafodelista"/>
        <w:numPr>
          <w:ilvl w:val="0"/>
          <w:numId w:val="1"/>
        </w:numPr>
        <w:ind w:left="0" w:firstLine="0"/>
        <w:jc w:val="both"/>
        <w:rPr>
          <w:rFonts w:ascii="Verdana" w:hAnsi="Verdana"/>
          <w:sz w:val="20"/>
          <w:szCs w:val="20"/>
          <w:lang w:val="en-US"/>
        </w:rPr>
      </w:pPr>
      <w:r w:rsidRPr="00D869E3">
        <w:rPr>
          <w:rFonts w:ascii="Verdana" w:hAnsi="Verdana"/>
          <w:sz w:val="20"/>
          <w:szCs w:val="20"/>
          <w:lang w:val="en-US"/>
        </w:rPr>
        <w:t>In the instant case</w:t>
      </w:r>
      <w:r w:rsidR="00154B4B" w:rsidRPr="00D869E3">
        <w:rPr>
          <w:rFonts w:ascii="Verdana" w:hAnsi="Verdana"/>
          <w:sz w:val="20"/>
          <w:szCs w:val="20"/>
          <w:lang w:val="en-US"/>
        </w:rPr>
        <w:t xml:space="preserve">, </w:t>
      </w:r>
      <w:r w:rsidR="00447C65" w:rsidRPr="00D869E3">
        <w:rPr>
          <w:rFonts w:ascii="Verdana" w:hAnsi="Verdana"/>
          <w:sz w:val="20"/>
          <w:szCs w:val="20"/>
          <w:lang w:val="en-US"/>
        </w:rPr>
        <w:t>the Court</w:t>
      </w:r>
      <w:r w:rsidR="00154B4B" w:rsidRPr="00D869E3">
        <w:rPr>
          <w:rFonts w:ascii="Verdana" w:hAnsi="Verdana"/>
          <w:sz w:val="20"/>
          <w:szCs w:val="20"/>
          <w:lang w:val="en-US"/>
        </w:rPr>
        <w:t xml:space="preserve"> observ</w:t>
      </w:r>
      <w:r w:rsidRPr="00D869E3">
        <w:rPr>
          <w:rFonts w:ascii="Verdana" w:hAnsi="Verdana"/>
          <w:sz w:val="20"/>
          <w:szCs w:val="20"/>
          <w:lang w:val="en-US"/>
        </w:rPr>
        <w:t>es that</w:t>
      </w:r>
      <w:r w:rsidR="00154B4B" w:rsidRPr="00D869E3">
        <w:rPr>
          <w:rFonts w:ascii="Verdana" w:hAnsi="Verdana"/>
          <w:sz w:val="20"/>
          <w:szCs w:val="20"/>
          <w:lang w:val="en-US"/>
        </w:rPr>
        <w:t xml:space="preserve"> </w:t>
      </w:r>
      <w:r w:rsidR="00447C65" w:rsidRPr="00D869E3">
        <w:rPr>
          <w:rFonts w:ascii="Verdana" w:hAnsi="Verdana"/>
          <w:sz w:val="20"/>
          <w:szCs w:val="20"/>
          <w:lang w:val="en-US"/>
        </w:rPr>
        <w:t>the State</w:t>
      </w:r>
      <w:r w:rsidR="00154B4B" w:rsidRPr="00D869E3">
        <w:rPr>
          <w:rFonts w:ascii="Verdana" w:hAnsi="Verdana"/>
          <w:sz w:val="20"/>
          <w:szCs w:val="20"/>
          <w:lang w:val="en-US"/>
        </w:rPr>
        <w:t xml:space="preserve"> </w:t>
      </w:r>
      <w:r w:rsidRPr="00D869E3">
        <w:rPr>
          <w:rFonts w:ascii="Verdana" w:hAnsi="Verdana"/>
          <w:sz w:val="20"/>
          <w:szCs w:val="20"/>
          <w:lang w:val="en-US"/>
        </w:rPr>
        <w:t>was aware of the facts that substantiate the presumed violation of</w:t>
      </w:r>
      <w:r w:rsidR="00154B4B" w:rsidRPr="00D869E3">
        <w:rPr>
          <w:rFonts w:ascii="Verdana" w:hAnsi="Verdana"/>
          <w:sz w:val="20"/>
          <w:szCs w:val="20"/>
          <w:lang w:val="en-US"/>
        </w:rPr>
        <w:t xml:space="preserve"> </w:t>
      </w:r>
      <w:r w:rsidR="00447C65" w:rsidRPr="00D869E3">
        <w:rPr>
          <w:rFonts w:ascii="Verdana" w:hAnsi="Verdana"/>
          <w:sz w:val="20"/>
          <w:szCs w:val="20"/>
          <w:lang w:val="en-US"/>
        </w:rPr>
        <w:t>Article</w:t>
      </w:r>
      <w:r w:rsidR="00154B4B" w:rsidRPr="00D869E3">
        <w:rPr>
          <w:rFonts w:ascii="Verdana" w:hAnsi="Verdana"/>
          <w:sz w:val="20"/>
          <w:szCs w:val="20"/>
          <w:lang w:val="en-US"/>
        </w:rPr>
        <w:t xml:space="preserve"> 16, </w:t>
      </w:r>
      <w:r w:rsidRPr="00D869E3">
        <w:rPr>
          <w:rFonts w:ascii="Verdana" w:hAnsi="Verdana"/>
          <w:sz w:val="20"/>
          <w:szCs w:val="20"/>
          <w:lang w:val="en-US"/>
        </w:rPr>
        <w:t xml:space="preserve">because these were included in the initial petition lodged before </w:t>
      </w:r>
      <w:r w:rsidR="00447C65" w:rsidRPr="00D869E3">
        <w:rPr>
          <w:rFonts w:ascii="Verdana" w:hAnsi="Verdana"/>
          <w:sz w:val="20"/>
          <w:szCs w:val="20"/>
          <w:lang w:val="en-US"/>
        </w:rPr>
        <w:t>the Inter-American Commission</w:t>
      </w:r>
      <w:r w:rsidR="00154B4B" w:rsidRPr="00D869E3">
        <w:rPr>
          <w:rFonts w:ascii="Verdana" w:hAnsi="Verdana"/>
          <w:sz w:val="20"/>
          <w:szCs w:val="20"/>
          <w:lang w:val="en-US"/>
        </w:rPr>
        <w:t xml:space="preserve"> </w:t>
      </w:r>
      <w:r w:rsidRPr="00D869E3">
        <w:rPr>
          <w:rFonts w:ascii="Verdana" w:hAnsi="Verdana"/>
          <w:sz w:val="20"/>
          <w:szCs w:val="20"/>
          <w:lang w:val="en-US"/>
        </w:rPr>
        <w:t>on October 13,</w:t>
      </w:r>
      <w:r w:rsidR="00154B4B" w:rsidRPr="00D869E3">
        <w:rPr>
          <w:rFonts w:ascii="Verdana" w:hAnsi="Verdana"/>
          <w:sz w:val="20"/>
          <w:szCs w:val="20"/>
          <w:lang w:val="en-US"/>
        </w:rPr>
        <w:t xml:space="preserve"> 1993</w:t>
      </w:r>
      <w:r w:rsidRPr="00D869E3">
        <w:rPr>
          <w:rFonts w:ascii="Verdana" w:hAnsi="Verdana"/>
          <w:sz w:val="20"/>
          <w:szCs w:val="20"/>
          <w:lang w:val="en-US"/>
        </w:rPr>
        <w:t>.</w:t>
      </w:r>
      <w:r w:rsidR="00154B4B" w:rsidRPr="00D869E3">
        <w:rPr>
          <w:rStyle w:val="Refdenotaalpie"/>
          <w:szCs w:val="20"/>
          <w:lang w:val="en-US"/>
        </w:rPr>
        <w:footnoteReference w:id="18"/>
      </w:r>
      <w:r w:rsidRPr="00D869E3">
        <w:rPr>
          <w:rFonts w:ascii="Verdana" w:hAnsi="Verdana"/>
          <w:sz w:val="20"/>
          <w:szCs w:val="20"/>
          <w:lang w:val="en-US"/>
        </w:rPr>
        <w:t xml:space="preserve"> In that communication, </w:t>
      </w:r>
      <w:r w:rsidR="001E44D3" w:rsidRPr="00D869E3">
        <w:rPr>
          <w:rFonts w:ascii="Verdana" w:hAnsi="Verdana"/>
          <w:sz w:val="20"/>
          <w:szCs w:val="20"/>
          <w:lang w:val="en-US"/>
        </w:rPr>
        <w:t>Mr. Lagos del Campo</w:t>
      </w:r>
      <w:r w:rsidR="00154B4B" w:rsidRPr="00D869E3">
        <w:rPr>
          <w:rFonts w:ascii="Verdana" w:hAnsi="Verdana"/>
          <w:sz w:val="20"/>
          <w:szCs w:val="20"/>
          <w:lang w:val="en-US"/>
        </w:rPr>
        <w:t xml:space="preserve"> </w:t>
      </w:r>
      <w:r w:rsidRPr="00D869E3">
        <w:rPr>
          <w:rFonts w:ascii="Verdana" w:hAnsi="Verdana"/>
          <w:sz w:val="20"/>
          <w:szCs w:val="20"/>
          <w:lang w:val="en-US"/>
        </w:rPr>
        <w:t xml:space="preserve">indicated that the reason for his dismissal related to his </w:t>
      </w:r>
      <w:r w:rsidR="002016F7" w:rsidRPr="00D869E3">
        <w:rPr>
          <w:rFonts w:ascii="Verdana" w:hAnsi="Verdana"/>
          <w:sz w:val="20"/>
          <w:szCs w:val="20"/>
          <w:lang w:val="en-US"/>
        </w:rPr>
        <w:t>position</w:t>
      </w:r>
      <w:r w:rsidRPr="00D869E3">
        <w:rPr>
          <w:rFonts w:ascii="Verdana" w:hAnsi="Verdana"/>
          <w:sz w:val="20"/>
          <w:szCs w:val="20"/>
          <w:lang w:val="en-US"/>
        </w:rPr>
        <w:t xml:space="preserve"> </w:t>
      </w:r>
      <w:r w:rsidR="002016F7" w:rsidRPr="00D869E3">
        <w:rPr>
          <w:rFonts w:ascii="Verdana" w:hAnsi="Verdana"/>
          <w:sz w:val="20"/>
          <w:szCs w:val="20"/>
          <w:lang w:val="en-US"/>
        </w:rPr>
        <w:t>as a</w:t>
      </w:r>
      <w:r w:rsidRPr="00D869E3">
        <w:rPr>
          <w:rFonts w:ascii="Verdana" w:hAnsi="Verdana"/>
          <w:sz w:val="20"/>
          <w:szCs w:val="20"/>
          <w:lang w:val="en-US"/>
        </w:rPr>
        <w:t xml:space="preserve"> labor leader, which is the factual framework used by the Commission to alleg</w:t>
      </w:r>
      <w:r w:rsidR="002016F7" w:rsidRPr="00D869E3">
        <w:rPr>
          <w:rFonts w:ascii="Verdana" w:hAnsi="Verdana"/>
          <w:sz w:val="20"/>
          <w:szCs w:val="20"/>
          <w:lang w:val="en-US"/>
        </w:rPr>
        <w:t>e</w:t>
      </w:r>
      <w:r w:rsidRPr="00D869E3">
        <w:rPr>
          <w:rFonts w:ascii="Verdana" w:hAnsi="Verdana"/>
          <w:sz w:val="20"/>
          <w:szCs w:val="20"/>
          <w:lang w:val="en-US"/>
        </w:rPr>
        <w:t xml:space="preserve"> the </w:t>
      </w:r>
      <w:r w:rsidR="007013E2" w:rsidRPr="00D869E3">
        <w:rPr>
          <w:rFonts w:ascii="Verdana" w:hAnsi="Verdana"/>
          <w:sz w:val="20"/>
          <w:szCs w:val="20"/>
          <w:lang w:val="en-US"/>
        </w:rPr>
        <w:t>violation</w:t>
      </w:r>
      <w:r w:rsidR="00154B4B" w:rsidRPr="00D869E3">
        <w:rPr>
          <w:rFonts w:ascii="Verdana" w:hAnsi="Verdana"/>
          <w:sz w:val="20"/>
          <w:szCs w:val="20"/>
          <w:lang w:val="en-US"/>
        </w:rPr>
        <w:t xml:space="preserve"> </w:t>
      </w:r>
      <w:r w:rsidRPr="00D869E3">
        <w:rPr>
          <w:rFonts w:ascii="Verdana" w:hAnsi="Verdana"/>
          <w:sz w:val="20"/>
          <w:szCs w:val="20"/>
          <w:lang w:val="en-US"/>
        </w:rPr>
        <w:t>of</w:t>
      </w:r>
      <w:r w:rsidR="00154B4B" w:rsidRPr="00D869E3">
        <w:rPr>
          <w:rFonts w:ascii="Verdana" w:hAnsi="Verdana"/>
          <w:sz w:val="20"/>
          <w:szCs w:val="20"/>
          <w:lang w:val="en-US"/>
        </w:rPr>
        <w:t xml:space="preserve"> </w:t>
      </w:r>
      <w:r w:rsidR="00447C65" w:rsidRPr="00D869E3">
        <w:rPr>
          <w:rFonts w:ascii="Verdana" w:hAnsi="Verdana"/>
          <w:sz w:val="20"/>
          <w:szCs w:val="20"/>
          <w:lang w:val="en-US"/>
        </w:rPr>
        <w:t>Article</w:t>
      </w:r>
      <w:r w:rsidR="00154B4B" w:rsidRPr="00D869E3">
        <w:rPr>
          <w:rFonts w:ascii="Verdana" w:hAnsi="Verdana"/>
          <w:sz w:val="20"/>
          <w:szCs w:val="20"/>
          <w:lang w:val="en-US"/>
        </w:rPr>
        <w:t xml:space="preserve"> 16</w:t>
      </w:r>
      <w:r w:rsidR="00447C65" w:rsidRPr="00D869E3">
        <w:rPr>
          <w:rFonts w:ascii="Verdana" w:hAnsi="Verdana"/>
          <w:sz w:val="20"/>
          <w:szCs w:val="20"/>
          <w:lang w:val="en-US"/>
        </w:rPr>
        <w:t xml:space="preserve"> of the Convention</w:t>
      </w:r>
      <w:r w:rsidRPr="00D869E3">
        <w:rPr>
          <w:rFonts w:ascii="Verdana" w:hAnsi="Verdana"/>
          <w:sz w:val="20"/>
          <w:szCs w:val="20"/>
          <w:lang w:val="en-US"/>
        </w:rPr>
        <w:t>.</w:t>
      </w:r>
      <w:r w:rsidR="00154B4B" w:rsidRPr="00D869E3">
        <w:rPr>
          <w:rStyle w:val="Refdenotaalpie"/>
          <w:szCs w:val="20"/>
          <w:lang w:val="en-US"/>
        </w:rPr>
        <w:footnoteReference w:id="19"/>
      </w:r>
      <w:r w:rsidR="00154B4B" w:rsidRPr="00D869E3">
        <w:rPr>
          <w:rFonts w:ascii="Verdana" w:hAnsi="Verdana"/>
          <w:sz w:val="20"/>
          <w:szCs w:val="20"/>
          <w:lang w:val="en-US"/>
        </w:rPr>
        <w:t xml:space="preserve"> </w:t>
      </w:r>
      <w:r w:rsidRPr="00D869E3">
        <w:rPr>
          <w:rFonts w:ascii="Verdana" w:hAnsi="Verdana"/>
          <w:sz w:val="20"/>
          <w:szCs w:val="20"/>
          <w:lang w:val="en-US"/>
        </w:rPr>
        <w:t>I</w:t>
      </w:r>
      <w:r w:rsidR="00154B4B" w:rsidRPr="00D869E3">
        <w:rPr>
          <w:rFonts w:ascii="Verdana" w:hAnsi="Verdana"/>
          <w:sz w:val="20"/>
          <w:szCs w:val="20"/>
          <w:lang w:val="en-US"/>
        </w:rPr>
        <w:t xml:space="preserve">n particular, </w:t>
      </w:r>
      <w:r w:rsidRPr="00D869E3">
        <w:rPr>
          <w:rFonts w:ascii="Verdana" w:hAnsi="Verdana"/>
          <w:sz w:val="20"/>
          <w:szCs w:val="20"/>
          <w:lang w:val="en-US"/>
        </w:rPr>
        <w:t xml:space="preserve">in </w:t>
      </w:r>
      <w:r w:rsidR="00E6309B" w:rsidRPr="00D869E3">
        <w:rPr>
          <w:rFonts w:ascii="Verdana" w:hAnsi="Verdana"/>
          <w:sz w:val="20"/>
          <w:szCs w:val="20"/>
          <w:lang w:val="en-US"/>
        </w:rPr>
        <w:t>t</w:t>
      </w:r>
      <w:r w:rsidRPr="00D869E3">
        <w:rPr>
          <w:rFonts w:ascii="Verdana" w:hAnsi="Verdana"/>
          <w:sz w:val="20"/>
          <w:szCs w:val="20"/>
          <w:lang w:val="en-US"/>
        </w:rPr>
        <w:t>h</w:t>
      </w:r>
      <w:r w:rsidR="002016F7" w:rsidRPr="00D869E3">
        <w:rPr>
          <w:rFonts w:ascii="Verdana" w:hAnsi="Verdana"/>
          <w:sz w:val="20"/>
          <w:szCs w:val="20"/>
          <w:lang w:val="en-US"/>
        </w:rPr>
        <w:t>at</w:t>
      </w:r>
      <w:r w:rsidRPr="00D869E3">
        <w:rPr>
          <w:rFonts w:ascii="Verdana" w:hAnsi="Verdana"/>
          <w:sz w:val="20"/>
          <w:szCs w:val="20"/>
          <w:lang w:val="en-US"/>
        </w:rPr>
        <w:t xml:space="preserve"> </w:t>
      </w:r>
      <w:r w:rsidR="002016F7" w:rsidRPr="00D869E3">
        <w:rPr>
          <w:rFonts w:ascii="Verdana" w:hAnsi="Verdana"/>
          <w:sz w:val="20"/>
          <w:szCs w:val="20"/>
          <w:lang w:val="en-US"/>
        </w:rPr>
        <w:t>petition</w:t>
      </w:r>
      <w:r w:rsidR="00154B4B" w:rsidRPr="00D869E3">
        <w:rPr>
          <w:rFonts w:ascii="Verdana" w:hAnsi="Verdana"/>
          <w:sz w:val="20"/>
          <w:szCs w:val="20"/>
          <w:lang w:val="en-US"/>
        </w:rPr>
        <w:t xml:space="preserve">, </w:t>
      </w:r>
      <w:r w:rsidR="001E44D3" w:rsidRPr="00D869E3">
        <w:rPr>
          <w:rFonts w:ascii="Verdana" w:hAnsi="Verdana"/>
          <w:sz w:val="20"/>
          <w:szCs w:val="20"/>
          <w:lang w:val="en-US"/>
        </w:rPr>
        <w:t>Mr. Lagos del Campo</w:t>
      </w:r>
      <w:r w:rsidR="00154B4B" w:rsidRPr="00D869E3">
        <w:rPr>
          <w:rFonts w:ascii="Verdana" w:hAnsi="Verdana"/>
          <w:sz w:val="20"/>
          <w:szCs w:val="20"/>
          <w:lang w:val="en-US"/>
        </w:rPr>
        <w:t xml:space="preserve"> </w:t>
      </w:r>
      <w:r w:rsidR="00E6309B" w:rsidRPr="00D869E3">
        <w:rPr>
          <w:rFonts w:ascii="Verdana" w:hAnsi="Verdana"/>
          <w:sz w:val="20"/>
          <w:szCs w:val="20"/>
          <w:lang w:val="en-US"/>
        </w:rPr>
        <w:t xml:space="preserve">stated that he was dismissed when he was </w:t>
      </w:r>
      <w:r w:rsidR="001B0492" w:rsidRPr="00D869E3">
        <w:rPr>
          <w:rFonts w:ascii="Verdana" w:hAnsi="Verdana"/>
          <w:sz w:val="20"/>
          <w:szCs w:val="20"/>
          <w:lang w:val="en-US"/>
        </w:rPr>
        <w:t>president of the Electoral</w:t>
      </w:r>
      <w:r w:rsidR="00E6309B" w:rsidRPr="00D869E3">
        <w:rPr>
          <w:rFonts w:ascii="Verdana" w:hAnsi="Verdana"/>
          <w:sz w:val="20"/>
          <w:szCs w:val="20"/>
          <w:lang w:val="en-US"/>
        </w:rPr>
        <w:t xml:space="preserve"> Committee of the Industrial Community of the Ceper</w:t>
      </w:r>
      <w:r w:rsidR="002016F7" w:rsidRPr="00D869E3">
        <w:rPr>
          <w:rFonts w:ascii="Verdana" w:hAnsi="Verdana"/>
          <w:sz w:val="20"/>
          <w:szCs w:val="20"/>
          <w:lang w:val="en-US"/>
        </w:rPr>
        <w:t>-</w:t>
      </w:r>
      <w:r w:rsidR="00E6309B" w:rsidRPr="00D869E3">
        <w:rPr>
          <w:rFonts w:ascii="Verdana" w:hAnsi="Verdana"/>
          <w:sz w:val="20"/>
          <w:szCs w:val="20"/>
          <w:lang w:val="en-US"/>
        </w:rPr>
        <w:t xml:space="preserve">Pirelli company, </w:t>
      </w:r>
      <w:r w:rsidR="006436CA" w:rsidRPr="00D869E3">
        <w:rPr>
          <w:rFonts w:ascii="Verdana" w:hAnsi="Verdana"/>
          <w:sz w:val="20"/>
          <w:szCs w:val="20"/>
          <w:lang w:val="en-US"/>
        </w:rPr>
        <w:t>“</w:t>
      </w:r>
      <w:r w:rsidR="00E6309B" w:rsidRPr="00D869E3">
        <w:rPr>
          <w:rFonts w:ascii="Verdana" w:hAnsi="Verdana"/>
          <w:sz w:val="20"/>
          <w:szCs w:val="20"/>
          <w:lang w:val="en-US"/>
        </w:rPr>
        <w:t xml:space="preserve">merely because I was a [labor leader] who was defending the sacred rights and benefits of workers in my country and, especially, </w:t>
      </w:r>
      <w:r w:rsidR="002016F7" w:rsidRPr="00D869E3">
        <w:rPr>
          <w:rFonts w:ascii="Verdana" w:hAnsi="Verdana"/>
          <w:sz w:val="20"/>
          <w:szCs w:val="20"/>
          <w:lang w:val="en-US"/>
        </w:rPr>
        <w:t xml:space="preserve">of </w:t>
      </w:r>
      <w:r w:rsidR="00E6309B" w:rsidRPr="00D869E3">
        <w:rPr>
          <w:rFonts w:ascii="Verdana" w:hAnsi="Verdana"/>
          <w:sz w:val="20"/>
          <w:szCs w:val="20"/>
          <w:lang w:val="en-US"/>
        </w:rPr>
        <w:t xml:space="preserve">those who work </w:t>
      </w:r>
      <w:r w:rsidR="002016F7" w:rsidRPr="00D869E3">
        <w:rPr>
          <w:rFonts w:ascii="Verdana" w:hAnsi="Verdana"/>
          <w:sz w:val="20"/>
          <w:szCs w:val="20"/>
          <w:lang w:val="en-US"/>
        </w:rPr>
        <w:t>for</w:t>
      </w:r>
      <w:r w:rsidR="00E6309B" w:rsidRPr="00D869E3">
        <w:rPr>
          <w:rFonts w:ascii="Verdana" w:hAnsi="Verdana"/>
          <w:sz w:val="20"/>
          <w:szCs w:val="20"/>
          <w:lang w:val="en-US"/>
        </w:rPr>
        <w:t xml:space="preserve"> </w:t>
      </w:r>
      <w:r w:rsidR="00154B4B" w:rsidRPr="00D869E3">
        <w:rPr>
          <w:rFonts w:ascii="Verdana" w:hAnsi="Verdana"/>
          <w:sz w:val="20"/>
          <w:szCs w:val="20"/>
          <w:lang w:val="en-US"/>
        </w:rPr>
        <w:t xml:space="preserve">Conductores Eléctricos Peruanos S.A. </w:t>
      </w:r>
      <w:r w:rsidR="002016F7" w:rsidRPr="00D869E3">
        <w:rPr>
          <w:rFonts w:ascii="Verdana" w:hAnsi="Verdana"/>
          <w:sz w:val="20"/>
          <w:szCs w:val="20"/>
          <w:lang w:val="en-US"/>
        </w:rPr>
        <w:t>(</w:t>
      </w:r>
      <w:r w:rsidR="00154B4B" w:rsidRPr="00D869E3">
        <w:rPr>
          <w:rFonts w:ascii="Verdana" w:hAnsi="Verdana"/>
          <w:sz w:val="20"/>
          <w:szCs w:val="20"/>
          <w:lang w:val="en-US"/>
        </w:rPr>
        <w:t>CEPER PIRELLI</w:t>
      </w:r>
      <w:r w:rsidR="002016F7" w:rsidRPr="00D869E3">
        <w:rPr>
          <w:rFonts w:ascii="Verdana" w:hAnsi="Verdana"/>
          <w:sz w:val="20"/>
          <w:szCs w:val="20"/>
          <w:lang w:val="en-US"/>
        </w:rPr>
        <w:t>)</w:t>
      </w:r>
      <w:r w:rsidR="00E6309B" w:rsidRPr="00D869E3">
        <w:rPr>
          <w:rFonts w:ascii="Verdana" w:hAnsi="Verdana"/>
          <w:sz w:val="20"/>
          <w:szCs w:val="20"/>
          <w:lang w:val="en-US"/>
        </w:rPr>
        <w:t>.</w:t>
      </w:r>
      <w:r w:rsidR="006436CA" w:rsidRPr="00D869E3">
        <w:rPr>
          <w:rFonts w:ascii="Verdana" w:hAnsi="Verdana"/>
          <w:sz w:val="20"/>
          <w:szCs w:val="20"/>
          <w:lang w:val="en-US"/>
        </w:rPr>
        <w:t>”</w:t>
      </w:r>
      <w:r w:rsidR="00154B4B" w:rsidRPr="00D869E3">
        <w:rPr>
          <w:rStyle w:val="Refdenotaalpie"/>
          <w:szCs w:val="20"/>
          <w:lang w:val="en-US"/>
        </w:rPr>
        <w:footnoteReference w:id="20"/>
      </w:r>
      <w:r w:rsidR="006D5615" w:rsidRPr="00D869E3">
        <w:rPr>
          <w:rFonts w:ascii="Verdana" w:hAnsi="Verdana"/>
          <w:sz w:val="20"/>
          <w:szCs w:val="20"/>
          <w:lang w:val="en-US"/>
        </w:rPr>
        <w:t xml:space="preserve"> </w:t>
      </w:r>
    </w:p>
    <w:p w14:paraId="33FA198C" w14:textId="77777777" w:rsidR="006D5615" w:rsidRPr="00D869E3" w:rsidRDefault="006D5615" w:rsidP="005D0F69">
      <w:pPr>
        <w:pStyle w:val="Prrafodelista"/>
        <w:rPr>
          <w:rFonts w:ascii="Verdana" w:hAnsi="Verdana"/>
          <w:sz w:val="20"/>
          <w:szCs w:val="20"/>
          <w:lang w:val="en-US"/>
        </w:rPr>
      </w:pPr>
    </w:p>
    <w:p w14:paraId="66893D5E" w14:textId="4ADAFB64" w:rsidR="006D5615" w:rsidRPr="00D869E3" w:rsidRDefault="00E6309B" w:rsidP="00E6309B">
      <w:pPr>
        <w:pStyle w:val="Prrafodelista"/>
        <w:numPr>
          <w:ilvl w:val="0"/>
          <w:numId w:val="1"/>
        </w:numPr>
        <w:ind w:left="0" w:firstLine="0"/>
        <w:jc w:val="both"/>
        <w:rPr>
          <w:rFonts w:ascii="Verdana" w:hAnsi="Verdana"/>
          <w:sz w:val="20"/>
          <w:szCs w:val="20"/>
          <w:lang w:val="en-US"/>
        </w:rPr>
      </w:pPr>
      <w:r w:rsidRPr="00D869E3">
        <w:rPr>
          <w:rFonts w:ascii="Verdana" w:hAnsi="Verdana"/>
          <w:sz w:val="20"/>
          <w:szCs w:val="20"/>
          <w:lang w:val="en-US"/>
        </w:rPr>
        <w:t xml:space="preserve">The Court also considers that </w:t>
      </w:r>
      <w:r w:rsidR="002016F7" w:rsidRPr="00D869E3">
        <w:rPr>
          <w:rFonts w:ascii="Verdana" w:hAnsi="Verdana"/>
          <w:sz w:val="20"/>
          <w:szCs w:val="20"/>
          <w:lang w:val="en-US"/>
        </w:rPr>
        <w:t xml:space="preserve">there are </w:t>
      </w:r>
      <w:r w:rsidRPr="00D869E3">
        <w:rPr>
          <w:rFonts w:ascii="Verdana" w:hAnsi="Verdana"/>
          <w:sz w:val="20"/>
          <w:szCs w:val="20"/>
          <w:lang w:val="en-US"/>
        </w:rPr>
        <w:t xml:space="preserve">elements that allow it to infer that, in his initial briefs, </w:t>
      </w:r>
      <w:r w:rsidR="001E44D3" w:rsidRPr="00D869E3">
        <w:rPr>
          <w:rFonts w:ascii="Verdana" w:hAnsi="Verdana"/>
          <w:sz w:val="20"/>
          <w:szCs w:val="20"/>
          <w:lang w:val="en-US"/>
        </w:rPr>
        <w:t>Mr. Lagos del Campo</w:t>
      </w:r>
      <w:r w:rsidRPr="00D869E3">
        <w:rPr>
          <w:rFonts w:ascii="Verdana" w:hAnsi="Verdana"/>
          <w:sz w:val="20"/>
          <w:szCs w:val="20"/>
          <w:lang w:val="en-US"/>
        </w:rPr>
        <w:t xml:space="preserve"> argued that, owing to his dismissal, the rights of other workers had been affected. In fact, the presumed victim indicated in the complaint he filed before the </w:t>
      </w:r>
      <w:r w:rsidR="002016F7" w:rsidRPr="00D869E3">
        <w:rPr>
          <w:rFonts w:ascii="Verdana" w:hAnsi="Verdana"/>
          <w:sz w:val="20"/>
          <w:szCs w:val="20"/>
          <w:lang w:val="en-US"/>
        </w:rPr>
        <w:t>l</w:t>
      </w:r>
      <w:r w:rsidRPr="00D869E3">
        <w:rPr>
          <w:rFonts w:ascii="Verdana" w:hAnsi="Verdana"/>
          <w:sz w:val="20"/>
          <w:szCs w:val="20"/>
          <w:lang w:val="en-US"/>
        </w:rPr>
        <w:t xml:space="preserve">abor </w:t>
      </w:r>
      <w:r w:rsidR="002016F7" w:rsidRPr="00D869E3">
        <w:rPr>
          <w:rFonts w:ascii="Verdana" w:hAnsi="Verdana"/>
          <w:sz w:val="20"/>
          <w:szCs w:val="20"/>
          <w:lang w:val="en-US"/>
        </w:rPr>
        <w:t>j</w:t>
      </w:r>
      <w:r w:rsidRPr="00D869E3">
        <w:rPr>
          <w:rFonts w:ascii="Verdana" w:hAnsi="Verdana"/>
          <w:sz w:val="20"/>
          <w:szCs w:val="20"/>
          <w:lang w:val="en-US"/>
        </w:rPr>
        <w:t xml:space="preserve">udge that </w:t>
      </w:r>
      <w:r w:rsidR="006436CA" w:rsidRPr="00D869E3">
        <w:rPr>
          <w:rFonts w:ascii="Verdana" w:hAnsi="Verdana"/>
          <w:sz w:val="20"/>
          <w:szCs w:val="20"/>
          <w:lang w:val="en-US"/>
        </w:rPr>
        <w:t>“</w:t>
      </w:r>
      <w:r w:rsidRPr="00D869E3">
        <w:rPr>
          <w:rFonts w:ascii="Verdana" w:hAnsi="Verdana"/>
          <w:sz w:val="20"/>
          <w:szCs w:val="20"/>
          <w:lang w:val="en-US"/>
        </w:rPr>
        <w:t xml:space="preserve">it is evident that the sanction applied against me, in addition to being unjustified and </w:t>
      </w:r>
      <w:r w:rsidR="004806A6" w:rsidRPr="00D869E3">
        <w:rPr>
          <w:rFonts w:ascii="Verdana" w:hAnsi="Verdana"/>
          <w:sz w:val="20"/>
          <w:szCs w:val="20"/>
          <w:lang w:val="en-US"/>
        </w:rPr>
        <w:t>unfair</w:t>
      </w:r>
      <w:r w:rsidRPr="00D869E3">
        <w:rPr>
          <w:rFonts w:ascii="Verdana" w:hAnsi="Verdana"/>
          <w:sz w:val="20"/>
          <w:szCs w:val="20"/>
          <w:lang w:val="en-US"/>
        </w:rPr>
        <w:t>, constitutes an act of interference in the internal matters of the Industrial Community.</w:t>
      </w:r>
      <w:r w:rsidR="006436CA" w:rsidRPr="00D869E3">
        <w:rPr>
          <w:rFonts w:ascii="Verdana" w:hAnsi="Verdana"/>
          <w:sz w:val="20"/>
          <w:szCs w:val="20"/>
          <w:lang w:val="en-US"/>
        </w:rPr>
        <w:t>”</w:t>
      </w:r>
      <w:r w:rsidR="006D5615" w:rsidRPr="00D869E3">
        <w:rPr>
          <w:rStyle w:val="Refdenotaalpie"/>
          <w:szCs w:val="20"/>
          <w:lang w:val="en-US"/>
        </w:rPr>
        <w:footnoteReference w:id="21"/>
      </w:r>
      <w:r w:rsidR="006D5615" w:rsidRPr="00D869E3">
        <w:rPr>
          <w:rFonts w:ascii="Verdana" w:hAnsi="Verdana"/>
          <w:sz w:val="20"/>
          <w:szCs w:val="20"/>
          <w:lang w:val="en-US"/>
        </w:rPr>
        <w:t xml:space="preserve"> </w:t>
      </w:r>
      <w:r w:rsidRPr="00D869E3">
        <w:rPr>
          <w:rFonts w:ascii="Verdana" w:hAnsi="Verdana"/>
          <w:sz w:val="20"/>
          <w:szCs w:val="20"/>
          <w:lang w:val="en-US"/>
        </w:rPr>
        <w:t>In</w:t>
      </w:r>
      <w:r w:rsidR="00447C65" w:rsidRPr="00D869E3">
        <w:rPr>
          <w:rFonts w:ascii="Verdana" w:hAnsi="Verdana"/>
          <w:sz w:val="20"/>
          <w:szCs w:val="20"/>
          <w:lang w:val="en-US"/>
        </w:rPr>
        <w:t xml:space="preserve"> the Court</w:t>
      </w:r>
      <w:r w:rsidRPr="00D869E3">
        <w:rPr>
          <w:rFonts w:ascii="Verdana" w:hAnsi="Verdana"/>
          <w:sz w:val="20"/>
          <w:szCs w:val="20"/>
          <w:lang w:val="en-US"/>
        </w:rPr>
        <w:t>’s opinion</w:t>
      </w:r>
      <w:r w:rsidR="006D5615" w:rsidRPr="00D869E3">
        <w:rPr>
          <w:rFonts w:ascii="Verdana" w:hAnsi="Verdana"/>
          <w:sz w:val="20"/>
          <w:szCs w:val="20"/>
          <w:lang w:val="en-US"/>
        </w:rPr>
        <w:t>,</w:t>
      </w:r>
      <w:r w:rsidRPr="00D869E3">
        <w:rPr>
          <w:rFonts w:ascii="Verdana" w:hAnsi="Verdana"/>
          <w:sz w:val="20"/>
          <w:szCs w:val="20"/>
          <w:lang w:val="en-US"/>
        </w:rPr>
        <w:t xml:space="preserve"> this and other references related to the connection between</w:t>
      </w:r>
      <w:r w:rsidR="00687684" w:rsidRPr="00D869E3">
        <w:rPr>
          <w:rFonts w:ascii="Verdana" w:hAnsi="Verdana"/>
          <w:sz w:val="20"/>
          <w:szCs w:val="20"/>
          <w:lang w:val="en-US"/>
        </w:rPr>
        <w:t xml:space="preserve"> the presumed </w:t>
      </w:r>
      <w:r w:rsidRPr="00D869E3">
        <w:rPr>
          <w:rFonts w:ascii="Verdana" w:hAnsi="Verdana"/>
          <w:sz w:val="20"/>
          <w:szCs w:val="20"/>
          <w:lang w:val="en-US"/>
        </w:rPr>
        <w:t>victim’s dismissal and the impact on the Industrial Community and its members, allow it to be concluded that the State had the opportunity to rule on facts related to the possible violation of the</w:t>
      </w:r>
      <w:r w:rsidR="006D5615" w:rsidRPr="00D869E3">
        <w:rPr>
          <w:rFonts w:ascii="Verdana" w:hAnsi="Verdana"/>
          <w:sz w:val="20"/>
          <w:szCs w:val="20"/>
          <w:lang w:val="en-US"/>
        </w:rPr>
        <w:t xml:space="preserve"> </w:t>
      </w:r>
      <w:r w:rsidR="00351902" w:rsidRPr="00D869E3">
        <w:rPr>
          <w:rFonts w:ascii="Verdana" w:hAnsi="Verdana"/>
          <w:sz w:val="20"/>
          <w:szCs w:val="20"/>
          <w:lang w:val="en-US"/>
        </w:rPr>
        <w:t>freedom of association</w:t>
      </w:r>
      <w:r w:rsidR="006D5615" w:rsidRPr="00D869E3">
        <w:rPr>
          <w:rFonts w:ascii="Verdana" w:hAnsi="Verdana"/>
          <w:sz w:val="20"/>
          <w:szCs w:val="20"/>
          <w:lang w:val="en-US"/>
        </w:rPr>
        <w:t xml:space="preserve"> </w:t>
      </w:r>
      <w:r w:rsidRPr="00D869E3">
        <w:rPr>
          <w:rFonts w:ascii="Verdana" w:hAnsi="Verdana"/>
          <w:sz w:val="20"/>
          <w:szCs w:val="20"/>
          <w:lang w:val="en-US"/>
        </w:rPr>
        <w:t>of Mr.</w:t>
      </w:r>
      <w:r w:rsidR="001E44D3" w:rsidRPr="00D869E3">
        <w:rPr>
          <w:rFonts w:ascii="Verdana" w:hAnsi="Verdana"/>
          <w:sz w:val="20"/>
          <w:szCs w:val="20"/>
          <w:lang w:val="en-US"/>
        </w:rPr>
        <w:t xml:space="preserve"> Lagos del Campo</w:t>
      </w:r>
      <w:r w:rsidR="00687684" w:rsidRPr="00D869E3">
        <w:rPr>
          <w:rFonts w:ascii="Verdana" w:hAnsi="Verdana"/>
          <w:sz w:val="20"/>
          <w:szCs w:val="20"/>
          <w:lang w:val="en-US"/>
        </w:rPr>
        <w:t xml:space="preserve"> and </w:t>
      </w:r>
      <w:r w:rsidRPr="00D869E3">
        <w:rPr>
          <w:rFonts w:ascii="Verdana" w:hAnsi="Verdana"/>
          <w:sz w:val="20"/>
          <w:szCs w:val="20"/>
          <w:lang w:val="en-US"/>
        </w:rPr>
        <w:t xml:space="preserve">other workers. </w:t>
      </w:r>
    </w:p>
    <w:p w14:paraId="4F0378B6" w14:textId="77777777" w:rsidR="00154B4B" w:rsidRPr="00D869E3" w:rsidRDefault="00154B4B" w:rsidP="00154B4B">
      <w:pPr>
        <w:pStyle w:val="Prrafodelista"/>
        <w:ind w:left="0"/>
        <w:rPr>
          <w:rFonts w:ascii="Verdana" w:hAnsi="Verdana"/>
          <w:sz w:val="20"/>
          <w:szCs w:val="20"/>
          <w:lang w:val="en-US"/>
        </w:rPr>
      </w:pPr>
    </w:p>
    <w:p w14:paraId="533AACB7" w14:textId="19C4175A" w:rsidR="00154B4B" w:rsidRPr="00D869E3" w:rsidRDefault="00E6309B" w:rsidP="00765E59">
      <w:pPr>
        <w:pStyle w:val="Prrafodelista"/>
        <w:numPr>
          <w:ilvl w:val="0"/>
          <w:numId w:val="1"/>
        </w:numPr>
        <w:ind w:left="0" w:firstLine="0"/>
        <w:jc w:val="both"/>
        <w:rPr>
          <w:rFonts w:ascii="Verdana" w:hAnsi="Verdana"/>
          <w:sz w:val="20"/>
          <w:szCs w:val="20"/>
          <w:lang w:val="en-US"/>
        </w:rPr>
      </w:pPr>
      <w:r w:rsidRPr="00D869E3">
        <w:rPr>
          <w:rFonts w:ascii="Verdana" w:hAnsi="Verdana"/>
          <w:sz w:val="20"/>
          <w:szCs w:val="20"/>
          <w:lang w:val="en-US"/>
        </w:rPr>
        <w:t xml:space="preserve">Based on the above, the Court concludes that the State </w:t>
      </w:r>
      <w:r w:rsidR="00E65938" w:rsidRPr="00D869E3">
        <w:rPr>
          <w:rFonts w:ascii="Verdana" w:hAnsi="Verdana"/>
          <w:sz w:val="20"/>
          <w:szCs w:val="20"/>
          <w:lang w:val="en-US"/>
        </w:rPr>
        <w:t>had been</w:t>
      </w:r>
      <w:r w:rsidRPr="00D869E3">
        <w:rPr>
          <w:rFonts w:ascii="Verdana" w:hAnsi="Verdana"/>
          <w:sz w:val="20"/>
          <w:szCs w:val="20"/>
          <w:lang w:val="en-US"/>
        </w:rPr>
        <w:t xml:space="preserve"> aware of the facts that substantiate the presumed violation </w:t>
      </w:r>
      <w:r w:rsidR="00687684" w:rsidRPr="00D869E3">
        <w:rPr>
          <w:rFonts w:ascii="Verdana" w:hAnsi="Verdana"/>
          <w:sz w:val="20"/>
          <w:szCs w:val="20"/>
          <w:lang w:val="en-US"/>
        </w:rPr>
        <w:t>of Article</w:t>
      </w:r>
      <w:r w:rsidR="00154B4B" w:rsidRPr="00D869E3">
        <w:rPr>
          <w:rFonts w:ascii="Verdana" w:hAnsi="Verdana"/>
          <w:sz w:val="20"/>
          <w:szCs w:val="20"/>
          <w:lang w:val="en-US"/>
        </w:rPr>
        <w:t xml:space="preserve"> 16</w:t>
      </w:r>
      <w:r w:rsidR="00447C65" w:rsidRPr="00D869E3">
        <w:rPr>
          <w:rFonts w:ascii="Verdana" w:hAnsi="Verdana"/>
          <w:sz w:val="20"/>
          <w:szCs w:val="20"/>
          <w:lang w:val="en-US"/>
        </w:rPr>
        <w:t xml:space="preserve"> of the Convention</w:t>
      </w:r>
      <w:r w:rsidR="00154B4B" w:rsidRPr="00D869E3">
        <w:rPr>
          <w:rFonts w:ascii="Verdana" w:hAnsi="Verdana"/>
          <w:sz w:val="20"/>
          <w:szCs w:val="20"/>
          <w:lang w:val="en-US"/>
        </w:rPr>
        <w:t xml:space="preserve"> </w:t>
      </w:r>
      <w:r w:rsidR="00D21668" w:rsidRPr="00D869E3">
        <w:rPr>
          <w:rFonts w:ascii="Verdana" w:hAnsi="Verdana"/>
          <w:sz w:val="20"/>
          <w:szCs w:val="20"/>
          <w:lang w:val="en-US"/>
        </w:rPr>
        <w:t>to the detriment of</w:t>
      </w:r>
      <w:r w:rsidR="00154B4B" w:rsidRPr="00D869E3">
        <w:rPr>
          <w:rFonts w:ascii="Verdana" w:hAnsi="Verdana"/>
          <w:sz w:val="20"/>
          <w:szCs w:val="20"/>
          <w:lang w:val="en-US"/>
        </w:rPr>
        <w:t xml:space="preserve"> </w:t>
      </w:r>
      <w:r w:rsidR="00E65938" w:rsidRPr="00D869E3">
        <w:rPr>
          <w:rFonts w:ascii="Verdana" w:hAnsi="Verdana"/>
          <w:sz w:val="20"/>
          <w:szCs w:val="20"/>
          <w:lang w:val="en-US"/>
        </w:rPr>
        <w:t xml:space="preserve">Mr. Lagos </w:t>
      </w:r>
      <w:r w:rsidR="00154B4B" w:rsidRPr="00D869E3">
        <w:rPr>
          <w:rFonts w:ascii="Verdana" w:hAnsi="Verdana"/>
          <w:sz w:val="20"/>
          <w:szCs w:val="20"/>
          <w:lang w:val="en-US"/>
        </w:rPr>
        <w:t xml:space="preserve">del Campo </w:t>
      </w:r>
      <w:r w:rsidR="00E65938" w:rsidRPr="00D869E3">
        <w:rPr>
          <w:rFonts w:ascii="Verdana" w:hAnsi="Verdana"/>
          <w:sz w:val="20"/>
          <w:szCs w:val="20"/>
          <w:lang w:val="en-US"/>
        </w:rPr>
        <w:t xml:space="preserve">since the Commission began to process this matter; therefore, </w:t>
      </w:r>
      <w:r w:rsidR="00765E59" w:rsidRPr="00D869E3">
        <w:rPr>
          <w:rFonts w:ascii="Verdana" w:hAnsi="Verdana"/>
          <w:sz w:val="20"/>
          <w:szCs w:val="20"/>
          <w:lang w:val="en-US"/>
        </w:rPr>
        <w:t>it could have stated its position if it had deemed this pertinent. For the same reason</w:t>
      </w:r>
      <w:r w:rsidR="00154B4B" w:rsidRPr="00D869E3">
        <w:rPr>
          <w:rFonts w:ascii="Verdana" w:hAnsi="Verdana"/>
          <w:sz w:val="20"/>
          <w:szCs w:val="20"/>
          <w:lang w:val="en-US"/>
        </w:rPr>
        <w:t xml:space="preserve">, </w:t>
      </w:r>
      <w:r w:rsidR="00765E59" w:rsidRPr="00D869E3">
        <w:rPr>
          <w:rFonts w:ascii="Verdana" w:hAnsi="Verdana"/>
          <w:sz w:val="20"/>
          <w:szCs w:val="20"/>
          <w:lang w:val="en-US"/>
        </w:rPr>
        <w:t xml:space="preserve">in its Merits Report, </w:t>
      </w:r>
      <w:r w:rsidR="00447C65" w:rsidRPr="00D869E3">
        <w:rPr>
          <w:rFonts w:ascii="Verdana" w:hAnsi="Verdana"/>
          <w:sz w:val="20"/>
          <w:szCs w:val="20"/>
          <w:lang w:val="en-US"/>
        </w:rPr>
        <w:t>the Commission</w:t>
      </w:r>
      <w:r w:rsidR="00154B4B" w:rsidRPr="00D869E3">
        <w:rPr>
          <w:rFonts w:ascii="Verdana" w:hAnsi="Verdana"/>
          <w:sz w:val="20"/>
          <w:szCs w:val="20"/>
          <w:lang w:val="en-US"/>
        </w:rPr>
        <w:t xml:space="preserve"> </w:t>
      </w:r>
      <w:r w:rsidR="00765E59" w:rsidRPr="00D869E3">
        <w:rPr>
          <w:rFonts w:ascii="Verdana" w:hAnsi="Verdana"/>
          <w:sz w:val="20"/>
          <w:szCs w:val="20"/>
          <w:lang w:val="en-US"/>
        </w:rPr>
        <w:t xml:space="preserve">was able to classify the facts </w:t>
      </w:r>
      <w:r w:rsidR="00E65938" w:rsidRPr="00D869E3">
        <w:rPr>
          <w:rFonts w:ascii="Verdana" w:hAnsi="Verdana"/>
          <w:sz w:val="20"/>
          <w:szCs w:val="20"/>
          <w:lang w:val="en-US"/>
        </w:rPr>
        <w:t>in a different way</w:t>
      </w:r>
      <w:r w:rsidR="00765E59" w:rsidRPr="00D869E3">
        <w:rPr>
          <w:rFonts w:ascii="Verdana" w:hAnsi="Verdana"/>
          <w:sz w:val="20"/>
          <w:szCs w:val="20"/>
          <w:lang w:val="en-US"/>
        </w:rPr>
        <w:t xml:space="preserve"> from in the </w:t>
      </w:r>
      <w:r w:rsidR="00687684" w:rsidRPr="00D869E3">
        <w:rPr>
          <w:rFonts w:ascii="Verdana" w:hAnsi="Verdana"/>
          <w:sz w:val="20"/>
          <w:szCs w:val="20"/>
          <w:lang w:val="en-US"/>
        </w:rPr>
        <w:t>Admissibility Report</w:t>
      </w:r>
      <w:r w:rsidR="00154B4B" w:rsidRPr="00D869E3">
        <w:rPr>
          <w:rFonts w:ascii="Verdana" w:hAnsi="Verdana"/>
          <w:sz w:val="20"/>
          <w:szCs w:val="20"/>
          <w:lang w:val="en-US"/>
        </w:rPr>
        <w:t xml:space="preserve">, </w:t>
      </w:r>
      <w:r w:rsidR="00765E59" w:rsidRPr="00D869E3">
        <w:rPr>
          <w:rFonts w:ascii="Verdana" w:hAnsi="Verdana"/>
          <w:sz w:val="20"/>
          <w:szCs w:val="20"/>
          <w:lang w:val="en-US"/>
        </w:rPr>
        <w:t>without this involving a violation of the State’s right to defend itself. Consequently, the Court concludes that, in this regard, there was no violation of the right of defense during the procedure before</w:t>
      </w:r>
      <w:r w:rsidR="00154B4B" w:rsidRPr="00D869E3">
        <w:rPr>
          <w:rFonts w:ascii="Verdana" w:hAnsi="Verdana"/>
          <w:sz w:val="20"/>
          <w:szCs w:val="20"/>
          <w:lang w:val="en-US"/>
        </w:rPr>
        <w:t xml:space="preserve"> </w:t>
      </w:r>
      <w:r w:rsidR="00447C65" w:rsidRPr="00D869E3">
        <w:rPr>
          <w:rFonts w:ascii="Verdana" w:hAnsi="Verdana"/>
          <w:sz w:val="20"/>
          <w:szCs w:val="20"/>
          <w:lang w:val="en-US"/>
        </w:rPr>
        <w:t>the Inter-American Commission</w:t>
      </w:r>
      <w:r w:rsidR="00154B4B" w:rsidRPr="00D869E3">
        <w:rPr>
          <w:rFonts w:ascii="Verdana" w:hAnsi="Verdana"/>
          <w:sz w:val="20"/>
          <w:szCs w:val="20"/>
          <w:lang w:val="en-US"/>
        </w:rPr>
        <w:t xml:space="preserve"> </w:t>
      </w:r>
      <w:r w:rsidR="00765E59" w:rsidRPr="00D869E3">
        <w:rPr>
          <w:rFonts w:ascii="Verdana" w:hAnsi="Verdana"/>
          <w:sz w:val="20"/>
          <w:szCs w:val="20"/>
          <w:lang w:val="en-US"/>
        </w:rPr>
        <w:t>in the terms indicated by</w:t>
      </w:r>
      <w:r w:rsidR="00154B4B" w:rsidRPr="00D869E3">
        <w:rPr>
          <w:rFonts w:ascii="Verdana" w:hAnsi="Verdana"/>
          <w:sz w:val="20"/>
          <w:szCs w:val="20"/>
          <w:lang w:val="en-US"/>
        </w:rPr>
        <w:t xml:space="preserve"> </w:t>
      </w:r>
      <w:r w:rsidR="00447C65" w:rsidRPr="00D869E3">
        <w:rPr>
          <w:rFonts w:ascii="Verdana" w:hAnsi="Verdana"/>
          <w:sz w:val="20"/>
          <w:szCs w:val="20"/>
          <w:lang w:val="en-US"/>
        </w:rPr>
        <w:t>the State</w:t>
      </w:r>
      <w:r w:rsidR="00154B4B" w:rsidRPr="00D869E3">
        <w:rPr>
          <w:rFonts w:ascii="Verdana" w:hAnsi="Verdana"/>
          <w:sz w:val="20"/>
          <w:szCs w:val="20"/>
          <w:lang w:val="en-US"/>
        </w:rPr>
        <w:t>.</w:t>
      </w:r>
    </w:p>
    <w:p w14:paraId="0D00D714" w14:textId="77777777" w:rsidR="00154B4B" w:rsidRPr="00D869E3" w:rsidRDefault="00154B4B" w:rsidP="00154B4B">
      <w:pPr>
        <w:pStyle w:val="Prrafodelista"/>
        <w:ind w:left="0"/>
        <w:jc w:val="both"/>
        <w:rPr>
          <w:rFonts w:ascii="Verdana" w:hAnsi="Verdana"/>
          <w:sz w:val="20"/>
          <w:szCs w:val="20"/>
          <w:lang w:val="en-US"/>
        </w:rPr>
      </w:pPr>
    </w:p>
    <w:p w14:paraId="5199065F" w14:textId="77E96C13" w:rsidR="00154B4B" w:rsidRPr="00D869E3" w:rsidRDefault="00AA1EBF" w:rsidP="00E66DD7">
      <w:pPr>
        <w:pStyle w:val="Ttulo3"/>
        <w:numPr>
          <w:ilvl w:val="0"/>
          <w:numId w:val="7"/>
        </w:numPr>
        <w:jc w:val="both"/>
        <w:rPr>
          <w:i/>
          <w:szCs w:val="20"/>
          <w:lang w:val="en-US"/>
        </w:rPr>
      </w:pPr>
      <w:bookmarkStart w:id="10" w:name="_Toc29114106"/>
      <w:r w:rsidRPr="00D869E3">
        <w:rPr>
          <w:i/>
          <w:szCs w:val="20"/>
          <w:lang w:val="en-US"/>
        </w:rPr>
        <w:t>T</w:t>
      </w:r>
      <w:r w:rsidR="00154B4B" w:rsidRPr="00D869E3">
        <w:rPr>
          <w:i/>
          <w:szCs w:val="20"/>
          <w:lang w:val="en-US"/>
        </w:rPr>
        <w:t xml:space="preserve">emporal </w:t>
      </w:r>
      <w:r w:rsidRPr="00D869E3">
        <w:rPr>
          <w:i/>
          <w:szCs w:val="20"/>
          <w:lang w:val="en-US"/>
        </w:rPr>
        <w:t>delimitation of the analysis of judicial actions</w:t>
      </w:r>
      <w:bookmarkEnd w:id="10"/>
    </w:p>
    <w:p w14:paraId="02423CF9" w14:textId="77777777" w:rsidR="00154B4B" w:rsidRPr="00D869E3" w:rsidRDefault="00154B4B" w:rsidP="00154B4B">
      <w:pPr>
        <w:pStyle w:val="Prrafodelista"/>
        <w:ind w:left="0"/>
        <w:jc w:val="both"/>
        <w:rPr>
          <w:rFonts w:ascii="Verdana" w:hAnsi="Verdana"/>
          <w:sz w:val="20"/>
          <w:szCs w:val="20"/>
          <w:lang w:val="en-US"/>
        </w:rPr>
      </w:pPr>
    </w:p>
    <w:p w14:paraId="4229DF5E" w14:textId="621D524F" w:rsidR="00154B4B" w:rsidRPr="00D869E3" w:rsidRDefault="00A60EB7" w:rsidP="00A60EB7">
      <w:pPr>
        <w:pStyle w:val="Prrafodelista"/>
        <w:numPr>
          <w:ilvl w:val="0"/>
          <w:numId w:val="1"/>
        </w:numPr>
        <w:ind w:left="0" w:firstLine="0"/>
        <w:jc w:val="both"/>
        <w:rPr>
          <w:rFonts w:ascii="Verdana" w:hAnsi="Verdana"/>
          <w:sz w:val="20"/>
          <w:szCs w:val="20"/>
          <w:lang w:val="en-US"/>
        </w:rPr>
      </w:pPr>
      <w:r w:rsidRPr="00D869E3">
        <w:rPr>
          <w:rFonts w:ascii="Verdana" w:hAnsi="Verdana"/>
          <w:sz w:val="20"/>
          <w:szCs w:val="20"/>
          <w:lang w:val="en-US"/>
        </w:rPr>
        <w:lastRenderedPageBreak/>
        <w:t>Th</w:t>
      </w:r>
      <w:r w:rsidR="00E65938" w:rsidRPr="00D869E3">
        <w:rPr>
          <w:rFonts w:ascii="Verdana" w:hAnsi="Verdana"/>
          <w:sz w:val="20"/>
          <w:szCs w:val="20"/>
          <w:lang w:val="en-US"/>
        </w:rPr>
        <w:t>e</w:t>
      </w:r>
      <w:r w:rsidRPr="00D869E3">
        <w:rPr>
          <w:rFonts w:ascii="Verdana" w:hAnsi="Verdana"/>
          <w:sz w:val="20"/>
          <w:szCs w:val="20"/>
          <w:lang w:val="en-US"/>
        </w:rPr>
        <w:t xml:space="preserve"> Court has established that the factual framework of the proceedings before it is constituted by the facts contained in the </w:t>
      </w:r>
      <w:r w:rsidR="00687684" w:rsidRPr="00D869E3">
        <w:rPr>
          <w:rFonts w:ascii="Verdana" w:hAnsi="Verdana"/>
          <w:sz w:val="20"/>
          <w:szCs w:val="20"/>
          <w:lang w:val="en-US"/>
        </w:rPr>
        <w:t>Merits Report</w:t>
      </w:r>
      <w:r w:rsidR="00154B4B" w:rsidRPr="00D869E3">
        <w:rPr>
          <w:rFonts w:ascii="Verdana" w:hAnsi="Verdana"/>
          <w:sz w:val="20"/>
          <w:szCs w:val="20"/>
          <w:lang w:val="en-US"/>
        </w:rPr>
        <w:t xml:space="preserve"> </w:t>
      </w:r>
      <w:r w:rsidRPr="00D869E3">
        <w:rPr>
          <w:rFonts w:ascii="Verdana" w:hAnsi="Verdana"/>
          <w:sz w:val="20"/>
          <w:szCs w:val="20"/>
          <w:lang w:val="en-US"/>
        </w:rPr>
        <w:t>submitted to its consideration</w:t>
      </w:r>
      <w:r w:rsidR="00154B4B" w:rsidRPr="00D869E3">
        <w:rPr>
          <w:rFonts w:ascii="Verdana" w:hAnsi="Verdana"/>
          <w:sz w:val="20"/>
          <w:szCs w:val="20"/>
          <w:lang w:val="en-US"/>
        </w:rPr>
        <w:t xml:space="preserve">. </w:t>
      </w:r>
      <w:r w:rsidRPr="00D869E3">
        <w:rPr>
          <w:rFonts w:ascii="Verdana" w:hAnsi="Verdana"/>
          <w:sz w:val="20"/>
          <w:szCs w:val="20"/>
          <w:lang w:val="en-US"/>
        </w:rPr>
        <w:t xml:space="preserve">Consequently, it is not admissible for the parties to allege new facts that differ from those contained in the Merits Report, without prejudice to submitting those that may explain, clarify or reject the facts mentioned in the said report that have been submitted to the Court’s consideration (also known as </w:t>
      </w:r>
      <w:r w:rsidR="006436CA" w:rsidRPr="00D869E3">
        <w:rPr>
          <w:rFonts w:ascii="Verdana" w:hAnsi="Verdana"/>
          <w:sz w:val="20"/>
          <w:szCs w:val="20"/>
          <w:lang w:val="en-US"/>
        </w:rPr>
        <w:t>“</w:t>
      </w:r>
      <w:r w:rsidRPr="00D869E3">
        <w:rPr>
          <w:rFonts w:ascii="Verdana" w:hAnsi="Verdana"/>
          <w:sz w:val="20"/>
          <w:szCs w:val="20"/>
          <w:lang w:val="en-US"/>
        </w:rPr>
        <w:t>supplementary facts</w:t>
      </w:r>
      <w:r w:rsidR="006436CA" w:rsidRPr="00D869E3">
        <w:rPr>
          <w:rFonts w:ascii="Verdana" w:hAnsi="Verdana"/>
          <w:sz w:val="20"/>
          <w:szCs w:val="20"/>
          <w:lang w:val="en-US"/>
        </w:rPr>
        <w:t>”</w:t>
      </w:r>
      <w:r w:rsidRPr="00D869E3">
        <w:rPr>
          <w:rFonts w:ascii="Verdana" w:hAnsi="Verdana"/>
          <w:sz w:val="20"/>
          <w:szCs w:val="20"/>
          <w:lang w:val="en-US"/>
        </w:rPr>
        <w:t>).</w:t>
      </w:r>
      <w:r w:rsidRPr="00D869E3">
        <w:rPr>
          <w:rStyle w:val="Refdenotaalpie"/>
          <w:szCs w:val="20"/>
          <w:lang w:val="en-US"/>
        </w:rPr>
        <w:footnoteReference w:id="22"/>
      </w:r>
      <w:r w:rsidRPr="00D869E3">
        <w:rPr>
          <w:rFonts w:ascii="Verdana" w:hAnsi="Verdana"/>
          <w:sz w:val="20"/>
          <w:szCs w:val="20"/>
          <w:lang w:val="en-US"/>
        </w:rPr>
        <w:t xml:space="preserve"> The exception to this principle are facts that are classified as supervening, which may be forwarded to the Court at any stage of the proceedings prior to the delivery of judgment</w:t>
      </w:r>
      <w:r w:rsidR="00E65938" w:rsidRPr="00D869E3">
        <w:rPr>
          <w:rFonts w:ascii="Verdana" w:hAnsi="Verdana"/>
          <w:sz w:val="20"/>
          <w:szCs w:val="20"/>
          <w:lang w:val="en-US"/>
        </w:rPr>
        <w:t>,</w:t>
      </w:r>
      <w:r w:rsidRPr="00D869E3">
        <w:rPr>
          <w:rFonts w:ascii="Verdana" w:hAnsi="Verdana"/>
          <w:sz w:val="20"/>
          <w:szCs w:val="20"/>
          <w:lang w:val="en-US"/>
        </w:rPr>
        <w:t xml:space="preserve"> provided they relate to the facts of the case</w:t>
      </w:r>
      <w:r w:rsidR="00154B4B" w:rsidRPr="00D869E3">
        <w:rPr>
          <w:rFonts w:ascii="Verdana" w:hAnsi="Verdana"/>
          <w:sz w:val="20"/>
          <w:szCs w:val="20"/>
          <w:lang w:val="en-US"/>
        </w:rPr>
        <w:t xml:space="preserve">. </w:t>
      </w:r>
    </w:p>
    <w:p w14:paraId="5B6AFADB" w14:textId="77777777" w:rsidR="00154B4B" w:rsidRPr="00D869E3" w:rsidRDefault="00154B4B" w:rsidP="00154B4B">
      <w:pPr>
        <w:pStyle w:val="Prrafodelista"/>
        <w:rPr>
          <w:rFonts w:ascii="Verdana" w:hAnsi="Verdana"/>
          <w:sz w:val="20"/>
          <w:szCs w:val="20"/>
          <w:lang w:val="en-US"/>
        </w:rPr>
      </w:pPr>
    </w:p>
    <w:p w14:paraId="46A619F4" w14:textId="5A7949A1" w:rsidR="00653B63" w:rsidRPr="00D869E3" w:rsidRDefault="00A60EB7" w:rsidP="00A60EB7">
      <w:pPr>
        <w:pStyle w:val="Prrafodelista"/>
        <w:numPr>
          <w:ilvl w:val="0"/>
          <w:numId w:val="1"/>
        </w:numPr>
        <w:ind w:left="0" w:firstLine="0"/>
        <w:jc w:val="both"/>
        <w:rPr>
          <w:rFonts w:ascii="Verdana" w:hAnsi="Verdana"/>
          <w:sz w:val="20"/>
          <w:lang w:val="en-US"/>
        </w:rPr>
      </w:pPr>
      <w:r w:rsidRPr="00D869E3">
        <w:rPr>
          <w:rFonts w:ascii="Verdana" w:hAnsi="Verdana"/>
          <w:sz w:val="20"/>
          <w:szCs w:val="20"/>
          <w:lang w:val="en-US"/>
        </w:rPr>
        <w:t>In the instant case</w:t>
      </w:r>
      <w:r w:rsidR="00154B4B" w:rsidRPr="00D869E3">
        <w:rPr>
          <w:rFonts w:ascii="Verdana" w:hAnsi="Verdana"/>
          <w:sz w:val="20"/>
          <w:szCs w:val="20"/>
          <w:lang w:val="en-US"/>
        </w:rPr>
        <w:t xml:space="preserve">, </w:t>
      </w:r>
      <w:r w:rsidR="00447C65" w:rsidRPr="00D869E3">
        <w:rPr>
          <w:rFonts w:ascii="Verdana" w:hAnsi="Verdana"/>
          <w:sz w:val="20"/>
          <w:szCs w:val="20"/>
          <w:lang w:val="en-US"/>
        </w:rPr>
        <w:t>the Court</w:t>
      </w:r>
      <w:r w:rsidR="00154B4B" w:rsidRPr="00D869E3">
        <w:rPr>
          <w:rFonts w:ascii="Verdana" w:hAnsi="Verdana"/>
          <w:sz w:val="20"/>
          <w:szCs w:val="20"/>
          <w:lang w:val="en-US"/>
        </w:rPr>
        <w:t xml:space="preserve"> </w:t>
      </w:r>
      <w:r w:rsidRPr="00D869E3">
        <w:rPr>
          <w:rFonts w:ascii="Verdana" w:hAnsi="Verdana"/>
          <w:sz w:val="20"/>
          <w:szCs w:val="20"/>
          <w:lang w:val="en-US"/>
        </w:rPr>
        <w:t>notes that, in the</w:t>
      </w:r>
      <w:r w:rsidR="00154B4B" w:rsidRPr="00D869E3">
        <w:rPr>
          <w:rFonts w:ascii="Verdana" w:hAnsi="Verdana"/>
          <w:sz w:val="20"/>
          <w:szCs w:val="20"/>
          <w:lang w:val="en-US"/>
        </w:rPr>
        <w:t xml:space="preserve"> </w:t>
      </w:r>
      <w:r w:rsidR="00687684" w:rsidRPr="00D869E3">
        <w:rPr>
          <w:rFonts w:ascii="Verdana" w:hAnsi="Verdana"/>
          <w:sz w:val="20"/>
          <w:szCs w:val="20"/>
          <w:lang w:val="en-US"/>
        </w:rPr>
        <w:t>Merits Report</w:t>
      </w:r>
      <w:r w:rsidRPr="00D869E3">
        <w:rPr>
          <w:rFonts w:ascii="Verdana" w:hAnsi="Verdana"/>
          <w:sz w:val="20"/>
          <w:szCs w:val="20"/>
          <w:lang w:val="en-US"/>
        </w:rPr>
        <w:t xml:space="preserve">, </w:t>
      </w:r>
      <w:r w:rsidR="00447C65" w:rsidRPr="00D869E3">
        <w:rPr>
          <w:rFonts w:ascii="Verdana" w:hAnsi="Verdana"/>
          <w:sz w:val="20"/>
          <w:szCs w:val="20"/>
          <w:lang w:val="en-US"/>
        </w:rPr>
        <w:t>the Commission</w:t>
      </w:r>
      <w:r w:rsidR="00154B4B" w:rsidRPr="00D869E3">
        <w:rPr>
          <w:rFonts w:ascii="Verdana" w:hAnsi="Verdana"/>
          <w:sz w:val="20"/>
          <w:szCs w:val="20"/>
          <w:lang w:val="en-US"/>
        </w:rPr>
        <w:t xml:space="preserve"> inclu</w:t>
      </w:r>
      <w:r w:rsidRPr="00D869E3">
        <w:rPr>
          <w:rFonts w:ascii="Verdana" w:hAnsi="Verdana"/>
          <w:sz w:val="20"/>
          <w:szCs w:val="20"/>
          <w:lang w:val="en-US"/>
        </w:rPr>
        <w:t>ded various remedies filed by</w:t>
      </w:r>
      <w:r w:rsidR="00154B4B" w:rsidRPr="00D869E3">
        <w:rPr>
          <w:rFonts w:ascii="Verdana" w:hAnsi="Verdana"/>
          <w:sz w:val="20"/>
          <w:szCs w:val="20"/>
          <w:lang w:val="en-US"/>
        </w:rPr>
        <w:t xml:space="preserve"> </w:t>
      </w:r>
      <w:r w:rsidR="001E44D3" w:rsidRPr="00D869E3">
        <w:rPr>
          <w:rFonts w:ascii="Verdana" w:hAnsi="Verdana"/>
          <w:sz w:val="20"/>
          <w:szCs w:val="20"/>
          <w:lang w:val="en-US"/>
        </w:rPr>
        <w:t>Mr. Lagos del Campo</w:t>
      </w:r>
      <w:r w:rsidR="00154B4B" w:rsidRPr="00D869E3">
        <w:rPr>
          <w:rFonts w:ascii="Verdana" w:hAnsi="Verdana"/>
          <w:sz w:val="20"/>
          <w:szCs w:val="20"/>
          <w:lang w:val="en-US"/>
        </w:rPr>
        <w:t>,</w:t>
      </w:r>
      <w:r w:rsidRPr="00D869E3">
        <w:rPr>
          <w:rFonts w:ascii="Verdana" w:hAnsi="Verdana"/>
          <w:sz w:val="20"/>
          <w:szCs w:val="20"/>
          <w:lang w:val="en-US"/>
        </w:rPr>
        <w:t xml:space="preserve"> among which are those of March 30, April 28 and May 4, 1993, as well as those filed in 1996 and subsequently. The Commission also referred in the Merits Report to facts related to the self-coup of April 5, 1992, and the </w:t>
      </w:r>
      <w:r w:rsidR="00E5104D" w:rsidRPr="00D869E3">
        <w:rPr>
          <w:rFonts w:ascii="Verdana" w:hAnsi="Verdana"/>
          <w:sz w:val="20"/>
          <w:szCs w:val="20"/>
          <w:lang w:val="en-US"/>
        </w:rPr>
        <w:t xml:space="preserve">dissolving </w:t>
      </w:r>
      <w:r w:rsidRPr="00D869E3">
        <w:rPr>
          <w:rFonts w:ascii="Verdana" w:hAnsi="Verdana"/>
          <w:sz w:val="20"/>
          <w:szCs w:val="20"/>
          <w:lang w:val="en-US"/>
        </w:rPr>
        <w:t>of the Court of Constitutional Guarantees.</w:t>
      </w:r>
      <w:r w:rsidR="00380D3E" w:rsidRPr="00D869E3">
        <w:rPr>
          <w:rFonts w:ascii="Verdana" w:hAnsi="Verdana"/>
          <w:sz w:val="20"/>
          <w:szCs w:val="20"/>
          <w:lang w:val="en-US"/>
        </w:rPr>
        <w:t xml:space="preserve"> Therefore, since the Commission has submitted these facts to the jurisdiction of the Court, they may be taken into account when examining the merits of the case. Similarly, the facts narrated by the representatives in the</w:t>
      </w:r>
      <w:r w:rsidR="00380D3E" w:rsidRPr="00D869E3">
        <w:rPr>
          <w:rFonts w:ascii="Verdana" w:hAnsi="Verdana"/>
          <w:sz w:val="20"/>
          <w:lang w:val="en-US"/>
        </w:rPr>
        <w:t xml:space="preserve"> </w:t>
      </w:r>
      <w:r w:rsidR="00380D3E" w:rsidRPr="00D869E3">
        <w:rPr>
          <w:rFonts w:ascii="Verdana" w:hAnsi="Verdana"/>
          <w:sz w:val="20"/>
          <w:szCs w:val="20"/>
          <w:lang w:val="en-US"/>
        </w:rPr>
        <w:t>b</w:t>
      </w:r>
      <w:r w:rsidR="00CE3F0D" w:rsidRPr="00D869E3">
        <w:rPr>
          <w:rFonts w:ascii="Verdana" w:hAnsi="Verdana"/>
          <w:sz w:val="20"/>
          <w:szCs w:val="20"/>
          <w:lang w:val="en-US"/>
        </w:rPr>
        <w:t xml:space="preserve">rief with </w:t>
      </w:r>
      <w:r w:rsidR="001C1450" w:rsidRPr="00D869E3">
        <w:rPr>
          <w:rFonts w:ascii="Verdana" w:hAnsi="Verdana"/>
          <w:sz w:val="20"/>
          <w:szCs w:val="20"/>
          <w:lang w:val="en-US"/>
        </w:rPr>
        <w:t>motions, pleadings and</w:t>
      </w:r>
      <w:r w:rsidR="00CE3F0D" w:rsidRPr="00D869E3">
        <w:rPr>
          <w:rFonts w:ascii="Verdana" w:hAnsi="Verdana"/>
          <w:sz w:val="20"/>
          <w:szCs w:val="20"/>
          <w:lang w:val="en-US"/>
        </w:rPr>
        <w:t xml:space="preserve"> evidence</w:t>
      </w:r>
      <w:r w:rsidR="00154B4B" w:rsidRPr="00D869E3">
        <w:rPr>
          <w:rFonts w:ascii="Verdana" w:hAnsi="Verdana"/>
          <w:sz w:val="20"/>
          <w:lang w:val="en-US"/>
        </w:rPr>
        <w:t xml:space="preserve"> </w:t>
      </w:r>
      <w:r w:rsidR="00380D3E" w:rsidRPr="00D869E3">
        <w:rPr>
          <w:rFonts w:ascii="Verdana" w:hAnsi="Verdana"/>
          <w:sz w:val="20"/>
          <w:lang w:val="en-US"/>
        </w:rPr>
        <w:t>will be taken into consideration, insofar as they do not constitute new facts. Consequently, the Court finds the State’s request in this regard inadmissible.</w:t>
      </w:r>
    </w:p>
    <w:p w14:paraId="6BC60A54" w14:textId="67EF7B9D" w:rsidR="00AF7637" w:rsidRPr="00D869E3" w:rsidRDefault="00AF7637" w:rsidP="005D0F69">
      <w:pPr>
        <w:pStyle w:val="Prrafodelista"/>
        <w:ind w:left="0"/>
        <w:jc w:val="both"/>
        <w:rPr>
          <w:rFonts w:ascii="Verdana" w:hAnsi="Verdana"/>
          <w:sz w:val="20"/>
          <w:szCs w:val="20"/>
          <w:lang w:val="en-US"/>
        </w:rPr>
      </w:pPr>
    </w:p>
    <w:p w14:paraId="63C4E73D" w14:textId="5D35B2E9" w:rsidR="008C33CE" w:rsidRPr="00D869E3" w:rsidRDefault="008C33CE" w:rsidP="008C33CE">
      <w:pPr>
        <w:pStyle w:val="Ttulo1"/>
        <w:tabs>
          <w:tab w:val="left" w:pos="851"/>
        </w:tabs>
        <w:spacing w:before="0"/>
        <w:jc w:val="center"/>
        <w:rPr>
          <w:rFonts w:cs="Verdana"/>
          <w:caps/>
          <w:snapToGrid w:val="0"/>
          <w:szCs w:val="20"/>
          <w:lang w:val="en-US"/>
        </w:rPr>
      </w:pPr>
      <w:bookmarkStart w:id="11" w:name="_Toc29114107"/>
      <w:r w:rsidRPr="00D869E3">
        <w:rPr>
          <w:rFonts w:cs="Verdana"/>
          <w:caps/>
          <w:snapToGrid w:val="0"/>
          <w:szCs w:val="20"/>
          <w:lang w:val="en-US"/>
        </w:rPr>
        <w:t>V</w:t>
      </w:r>
      <w:r w:rsidRPr="00D869E3">
        <w:rPr>
          <w:rFonts w:cs="Verdana"/>
          <w:caps/>
          <w:snapToGrid w:val="0"/>
          <w:szCs w:val="20"/>
          <w:lang w:val="en-US"/>
        </w:rPr>
        <w:br/>
      </w:r>
      <w:r w:rsidR="00380D3E" w:rsidRPr="00D869E3">
        <w:rPr>
          <w:rFonts w:cs="Verdana"/>
          <w:caps/>
          <w:snapToGrid w:val="0"/>
          <w:szCs w:val="20"/>
          <w:lang w:val="en-US"/>
        </w:rPr>
        <w:t>EVIDENCE</w:t>
      </w:r>
      <w:bookmarkEnd w:id="11"/>
    </w:p>
    <w:p w14:paraId="13E7F092" w14:textId="77777777" w:rsidR="008C33CE" w:rsidRPr="00D869E3" w:rsidRDefault="008C33CE" w:rsidP="008C33CE">
      <w:pPr>
        <w:jc w:val="both"/>
        <w:rPr>
          <w:rFonts w:ascii="Verdana" w:hAnsi="Verdana"/>
          <w:sz w:val="20"/>
          <w:szCs w:val="20"/>
          <w:lang w:val="en-US"/>
        </w:rPr>
      </w:pPr>
    </w:p>
    <w:p w14:paraId="4404C99C" w14:textId="68C178F2" w:rsidR="008C33CE" w:rsidRPr="00D869E3" w:rsidRDefault="00380D3E" w:rsidP="00E66DD7">
      <w:pPr>
        <w:pStyle w:val="Ttulo2"/>
        <w:numPr>
          <w:ilvl w:val="0"/>
          <w:numId w:val="19"/>
        </w:numPr>
        <w:rPr>
          <w:rFonts w:eastAsia="MS Gothic"/>
          <w:i/>
          <w:lang w:val="en-US"/>
        </w:rPr>
      </w:pPr>
      <w:bookmarkStart w:id="12" w:name="_Toc29114108"/>
      <w:r w:rsidRPr="00D869E3">
        <w:rPr>
          <w:rFonts w:eastAsia="MS Gothic"/>
          <w:i/>
          <w:lang w:val="en-US"/>
        </w:rPr>
        <w:t>Documentary, testimonial and expert evidence</w:t>
      </w:r>
      <w:bookmarkEnd w:id="12"/>
    </w:p>
    <w:p w14:paraId="06B744D6" w14:textId="77777777" w:rsidR="008C33CE" w:rsidRPr="00D869E3" w:rsidRDefault="008C33CE" w:rsidP="008C33CE">
      <w:pPr>
        <w:pStyle w:val="Prrafodelista"/>
        <w:ind w:left="0"/>
        <w:jc w:val="both"/>
        <w:rPr>
          <w:rFonts w:ascii="Verdana" w:hAnsi="Verdana"/>
          <w:sz w:val="20"/>
          <w:szCs w:val="20"/>
          <w:lang w:val="en-US"/>
        </w:rPr>
      </w:pPr>
    </w:p>
    <w:p w14:paraId="3FD86D14" w14:textId="16FA13B3" w:rsidR="008C33CE" w:rsidRPr="00D869E3" w:rsidRDefault="00447C65" w:rsidP="00E66DD7">
      <w:pPr>
        <w:pStyle w:val="Prrafodelista"/>
        <w:numPr>
          <w:ilvl w:val="0"/>
          <w:numId w:val="1"/>
        </w:numPr>
        <w:ind w:left="0" w:firstLine="0"/>
        <w:jc w:val="both"/>
        <w:rPr>
          <w:rFonts w:ascii="Verdana" w:hAnsi="Verdana"/>
          <w:sz w:val="20"/>
          <w:szCs w:val="20"/>
          <w:lang w:val="en-US"/>
        </w:rPr>
      </w:pPr>
      <w:r w:rsidRPr="00D869E3">
        <w:rPr>
          <w:rFonts w:ascii="Verdana" w:hAnsi="Verdana"/>
          <w:sz w:val="20"/>
          <w:szCs w:val="20"/>
          <w:lang w:val="en-US"/>
        </w:rPr>
        <w:t>The Court</w:t>
      </w:r>
      <w:r w:rsidR="008C33CE" w:rsidRPr="00D869E3">
        <w:rPr>
          <w:rFonts w:ascii="Verdana" w:hAnsi="Verdana"/>
          <w:sz w:val="20"/>
          <w:szCs w:val="20"/>
          <w:lang w:val="en-US"/>
        </w:rPr>
        <w:t xml:space="preserve"> </w:t>
      </w:r>
      <w:r w:rsidR="00380D3E" w:rsidRPr="00D869E3">
        <w:rPr>
          <w:rFonts w:ascii="Verdana" w:hAnsi="Verdana"/>
          <w:sz w:val="20"/>
          <w:szCs w:val="20"/>
          <w:lang w:val="en-US"/>
        </w:rPr>
        <w:t xml:space="preserve">has </w:t>
      </w:r>
      <w:r w:rsidR="008C33CE" w:rsidRPr="00D869E3">
        <w:rPr>
          <w:rFonts w:ascii="Verdana" w:hAnsi="Verdana"/>
          <w:sz w:val="20"/>
          <w:szCs w:val="20"/>
          <w:lang w:val="en-US"/>
        </w:rPr>
        <w:t>rec</w:t>
      </w:r>
      <w:r w:rsidR="00380D3E" w:rsidRPr="00D869E3">
        <w:rPr>
          <w:rFonts w:ascii="Verdana" w:hAnsi="Verdana"/>
          <w:sz w:val="20"/>
          <w:szCs w:val="20"/>
          <w:lang w:val="en-US"/>
        </w:rPr>
        <w:t xml:space="preserve">eived </w:t>
      </w:r>
      <w:r w:rsidR="00083067" w:rsidRPr="00D869E3">
        <w:rPr>
          <w:rFonts w:ascii="Verdana" w:hAnsi="Verdana"/>
          <w:sz w:val="20"/>
          <w:szCs w:val="20"/>
          <w:lang w:val="en-US"/>
        </w:rPr>
        <w:t>diverse</w:t>
      </w:r>
      <w:r w:rsidR="00380D3E" w:rsidRPr="00D869E3">
        <w:rPr>
          <w:rFonts w:ascii="Verdana" w:hAnsi="Verdana"/>
          <w:sz w:val="20"/>
          <w:szCs w:val="20"/>
          <w:lang w:val="en-US"/>
        </w:rPr>
        <w:t xml:space="preserve"> documents presented as evidence by </w:t>
      </w:r>
      <w:r w:rsidRPr="00D869E3">
        <w:rPr>
          <w:rFonts w:ascii="Verdana" w:hAnsi="Verdana"/>
          <w:sz w:val="20"/>
          <w:szCs w:val="20"/>
          <w:lang w:val="en-US"/>
        </w:rPr>
        <w:t>the Commission</w:t>
      </w:r>
      <w:r w:rsidR="008C33CE" w:rsidRPr="00D869E3">
        <w:rPr>
          <w:rFonts w:ascii="Verdana" w:hAnsi="Verdana"/>
          <w:sz w:val="20"/>
          <w:szCs w:val="20"/>
          <w:lang w:val="en-US"/>
        </w:rPr>
        <w:t xml:space="preserve">, </w:t>
      </w:r>
      <w:r w:rsidR="00687684" w:rsidRPr="00D869E3">
        <w:rPr>
          <w:rFonts w:ascii="Verdana" w:hAnsi="Verdana"/>
          <w:sz w:val="20"/>
          <w:szCs w:val="20"/>
          <w:lang w:val="en-US"/>
        </w:rPr>
        <w:t xml:space="preserve">the representatives and </w:t>
      </w:r>
      <w:r w:rsidRPr="00D869E3">
        <w:rPr>
          <w:rFonts w:ascii="Verdana" w:hAnsi="Verdana"/>
          <w:sz w:val="20"/>
          <w:szCs w:val="20"/>
          <w:lang w:val="en-US"/>
        </w:rPr>
        <w:t>the State</w:t>
      </w:r>
      <w:r w:rsidR="008C33CE" w:rsidRPr="00D869E3">
        <w:rPr>
          <w:rFonts w:ascii="Verdana" w:hAnsi="Verdana"/>
          <w:sz w:val="20"/>
          <w:szCs w:val="20"/>
          <w:lang w:val="en-US"/>
        </w:rPr>
        <w:t xml:space="preserve">, </w:t>
      </w:r>
      <w:r w:rsidR="00380D3E" w:rsidRPr="00D869E3">
        <w:rPr>
          <w:rFonts w:ascii="Verdana" w:hAnsi="Verdana"/>
          <w:sz w:val="20"/>
          <w:szCs w:val="20"/>
          <w:lang w:val="en-US"/>
        </w:rPr>
        <w:t>attached to their main briefs</w:t>
      </w:r>
      <w:r w:rsidR="008C33CE" w:rsidRPr="00D869E3">
        <w:rPr>
          <w:rFonts w:ascii="Verdana" w:hAnsi="Verdana"/>
          <w:sz w:val="20"/>
          <w:szCs w:val="20"/>
          <w:lang w:val="en-US"/>
        </w:rPr>
        <w:t xml:space="preserve"> (</w:t>
      </w:r>
      <w:r w:rsidR="00224537" w:rsidRPr="00D869E3">
        <w:rPr>
          <w:rFonts w:ascii="Verdana" w:hAnsi="Verdana"/>
          <w:i/>
          <w:sz w:val="20"/>
          <w:szCs w:val="20"/>
          <w:lang w:val="en-US"/>
        </w:rPr>
        <w:t>supra</w:t>
      </w:r>
      <w:r w:rsidR="008C33CE" w:rsidRPr="00D869E3">
        <w:rPr>
          <w:rFonts w:ascii="Verdana" w:hAnsi="Verdana"/>
          <w:sz w:val="20"/>
          <w:szCs w:val="20"/>
          <w:lang w:val="en-US"/>
        </w:rPr>
        <w:t xml:space="preserve"> </w:t>
      </w:r>
      <w:r w:rsidR="0087339F" w:rsidRPr="00D869E3">
        <w:rPr>
          <w:rFonts w:ascii="Verdana" w:hAnsi="Verdana"/>
          <w:sz w:val="20"/>
          <w:szCs w:val="20"/>
          <w:lang w:val="en-US"/>
        </w:rPr>
        <w:t>paras.</w:t>
      </w:r>
      <w:r w:rsidR="002A3B2C" w:rsidRPr="00D869E3">
        <w:rPr>
          <w:rFonts w:ascii="Verdana" w:hAnsi="Verdana"/>
          <w:sz w:val="20"/>
          <w:szCs w:val="20"/>
          <w:lang w:val="en-US"/>
        </w:rPr>
        <w:t xml:space="preserve"> 6</w:t>
      </w:r>
      <w:r w:rsidR="00687684" w:rsidRPr="00D869E3">
        <w:rPr>
          <w:rFonts w:ascii="Verdana" w:hAnsi="Verdana"/>
          <w:sz w:val="20"/>
          <w:szCs w:val="20"/>
          <w:lang w:val="en-US"/>
        </w:rPr>
        <w:t xml:space="preserve"> and </w:t>
      </w:r>
      <w:r w:rsidR="002A3B2C" w:rsidRPr="00D869E3">
        <w:rPr>
          <w:rFonts w:ascii="Verdana" w:hAnsi="Verdana"/>
          <w:sz w:val="20"/>
          <w:szCs w:val="20"/>
          <w:lang w:val="en-US"/>
        </w:rPr>
        <w:t>7</w:t>
      </w:r>
      <w:r w:rsidR="008C33CE" w:rsidRPr="00D869E3">
        <w:rPr>
          <w:rFonts w:ascii="Verdana" w:hAnsi="Verdana"/>
          <w:sz w:val="20"/>
          <w:szCs w:val="20"/>
          <w:lang w:val="en-US"/>
        </w:rPr>
        <w:t xml:space="preserve">). </w:t>
      </w:r>
      <w:r w:rsidR="00380D3E" w:rsidRPr="00D869E3">
        <w:rPr>
          <w:rFonts w:ascii="Verdana" w:hAnsi="Verdana"/>
          <w:sz w:val="20"/>
          <w:szCs w:val="20"/>
          <w:lang w:val="en-US"/>
        </w:rPr>
        <w:t xml:space="preserve">In addition, the Court has received the affidavits prepared by </w:t>
      </w:r>
      <w:r w:rsidR="008C33CE" w:rsidRPr="00D869E3">
        <w:rPr>
          <w:rFonts w:ascii="Verdana" w:hAnsi="Verdana"/>
          <w:sz w:val="20"/>
          <w:szCs w:val="20"/>
          <w:lang w:val="en-US"/>
        </w:rPr>
        <w:t>Carlos Alberto Jibaja Zárate</w:t>
      </w:r>
      <w:r w:rsidR="00687684" w:rsidRPr="00D869E3">
        <w:rPr>
          <w:rFonts w:ascii="Verdana" w:hAnsi="Verdana"/>
          <w:sz w:val="20"/>
          <w:szCs w:val="20"/>
          <w:lang w:val="en-US"/>
        </w:rPr>
        <w:t xml:space="preserve"> and </w:t>
      </w:r>
      <w:r w:rsidR="008C33CE" w:rsidRPr="00D869E3">
        <w:rPr>
          <w:rFonts w:ascii="Verdana" w:hAnsi="Verdana"/>
          <w:sz w:val="20"/>
          <w:szCs w:val="20"/>
          <w:lang w:val="en-US"/>
        </w:rPr>
        <w:t xml:space="preserve">Omar Sar Suárez, </w:t>
      </w:r>
      <w:r w:rsidR="00380D3E" w:rsidRPr="00D869E3">
        <w:rPr>
          <w:rFonts w:ascii="Verdana" w:hAnsi="Verdana"/>
          <w:sz w:val="20"/>
          <w:szCs w:val="20"/>
          <w:lang w:val="en-US"/>
        </w:rPr>
        <w:t>proposed by</w:t>
      </w:r>
      <w:r w:rsidR="008C33CE" w:rsidRPr="00D869E3">
        <w:rPr>
          <w:rFonts w:ascii="Verdana" w:hAnsi="Verdana"/>
          <w:sz w:val="20"/>
          <w:szCs w:val="20"/>
          <w:lang w:val="en-US"/>
        </w:rPr>
        <w:t xml:space="preserve"> </w:t>
      </w:r>
      <w:r w:rsidR="00687684" w:rsidRPr="00D869E3">
        <w:rPr>
          <w:rFonts w:ascii="Verdana" w:hAnsi="Verdana"/>
          <w:sz w:val="20"/>
          <w:szCs w:val="20"/>
          <w:lang w:val="en-US"/>
        </w:rPr>
        <w:t xml:space="preserve">the representatives and </w:t>
      </w:r>
      <w:r w:rsidRPr="00D869E3">
        <w:rPr>
          <w:rFonts w:ascii="Verdana" w:hAnsi="Verdana"/>
          <w:sz w:val="20"/>
          <w:szCs w:val="20"/>
          <w:lang w:val="en-US"/>
        </w:rPr>
        <w:t>the State</w:t>
      </w:r>
      <w:r w:rsidR="008C33CE" w:rsidRPr="00D869E3">
        <w:rPr>
          <w:rFonts w:ascii="Verdana" w:hAnsi="Verdana"/>
          <w:sz w:val="20"/>
          <w:szCs w:val="20"/>
          <w:lang w:val="en-US"/>
        </w:rPr>
        <w:t>, respectiv</w:t>
      </w:r>
      <w:r w:rsidR="00380D3E" w:rsidRPr="00D869E3">
        <w:rPr>
          <w:rFonts w:ascii="Verdana" w:hAnsi="Verdana"/>
          <w:sz w:val="20"/>
          <w:szCs w:val="20"/>
          <w:lang w:val="en-US"/>
        </w:rPr>
        <w:t>ely</w:t>
      </w:r>
      <w:r w:rsidR="008C33CE" w:rsidRPr="00D869E3">
        <w:rPr>
          <w:rFonts w:ascii="Verdana" w:hAnsi="Verdana"/>
          <w:sz w:val="20"/>
          <w:szCs w:val="20"/>
          <w:lang w:val="en-US"/>
        </w:rPr>
        <w:t xml:space="preserve">. </w:t>
      </w:r>
      <w:r w:rsidR="00380D3E" w:rsidRPr="00D869E3">
        <w:rPr>
          <w:rFonts w:ascii="Verdana" w:hAnsi="Verdana"/>
          <w:sz w:val="20"/>
          <w:szCs w:val="20"/>
          <w:lang w:val="en-US"/>
        </w:rPr>
        <w:t xml:space="preserve">Regarding the evidence provided during </w:t>
      </w:r>
      <w:r w:rsidR="001E44D3" w:rsidRPr="00D869E3">
        <w:rPr>
          <w:rFonts w:ascii="Verdana" w:hAnsi="Verdana"/>
          <w:sz w:val="20"/>
          <w:szCs w:val="20"/>
          <w:lang w:val="en-US"/>
        </w:rPr>
        <w:t>public hearing</w:t>
      </w:r>
      <w:r w:rsidR="008C33CE" w:rsidRPr="00D869E3">
        <w:rPr>
          <w:rFonts w:ascii="Verdana" w:hAnsi="Verdana"/>
          <w:sz w:val="20"/>
          <w:szCs w:val="20"/>
          <w:lang w:val="en-US"/>
        </w:rPr>
        <w:t xml:space="preserve">, </w:t>
      </w:r>
      <w:r w:rsidRPr="00D869E3">
        <w:rPr>
          <w:rFonts w:ascii="Verdana" w:hAnsi="Verdana"/>
          <w:sz w:val="20"/>
          <w:szCs w:val="20"/>
          <w:lang w:val="en-US"/>
        </w:rPr>
        <w:t>the Court</w:t>
      </w:r>
      <w:r w:rsidR="008C33CE" w:rsidRPr="00D869E3">
        <w:rPr>
          <w:rFonts w:ascii="Verdana" w:hAnsi="Verdana"/>
          <w:sz w:val="20"/>
          <w:szCs w:val="20"/>
          <w:lang w:val="en-US"/>
        </w:rPr>
        <w:t xml:space="preserve"> </w:t>
      </w:r>
      <w:r w:rsidR="00380D3E" w:rsidRPr="00D869E3">
        <w:rPr>
          <w:rFonts w:ascii="Verdana" w:hAnsi="Verdana"/>
          <w:sz w:val="20"/>
          <w:szCs w:val="20"/>
          <w:lang w:val="en-US"/>
        </w:rPr>
        <w:t xml:space="preserve">received the statements </w:t>
      </w:r>
      <w:r w:rsidR="00687684" w:rsidRPr="00D869E3">
        <w:rPr>
          <w:rFonts w:ascii="Verdana" w:hAnsi="Verdana"/>
          <w:sz w:val="20"/>
          <w:szCs w:val="20"/>
          <w:lang w:val="en-US"/>
        </w:rPr>
        <w:t>of the presumed victim</w:t>
      </w:r>
      <w:r w:rsidR="00083067" w:rsidRPr="00D869E3">
        <w:rPr>
          <w:rFonts w:ascii="Verdana" w:hAnsi="Verdana"/>
          <w:sz w:val="20"/>
          <w:szCs w:val="20"/>
          <w:lang w:val="en-US"/>
        </w:rPr>
        <w:t>,</w:t>
      </w:r>
      <w:r w:rsidR="008C33CE" w:rsidRPr="00D869E3">
        <w:rPr>
          <w:rFonts w:ascii="Verdana" w:hAnsi="Verdana"/>
          <w:sz w:val="20"/>
          <w:szCs w:val="20"/>
          <w:lang w:val="en-US"/>
        </w:rPr>
        <w:t xml:space="preserve"> </w:t>
      </w:r>
      <w:r w:rsidR="001E44D3" w:rsidRPr="00D869E3">
        <w:rPr>
          <w:rFonts w:ascii="Verdana" w:hAnsi="Verdana"/>
          <w:sz w:val="20"/>
          <w:szCs w:val="20"/>
          <w:lang w:val="en-US"/>
        </w:rPr>
        <w:t>Mr. Lagos del Campo</w:t>
      </w:r>
      <w:r w:rsidR="00380D3E" w:rsidRPr="00D869E3">
        <w:rPr>
          <w:rFonts w:ascii="Verdana" w:hAnsi="Verdana"/>
          <w:sz w:val="20"/>
          <w:szCs w:val="20"/>
          <w:lang w:val="en-US"/>
        </w:rPr>
        <w:t>,</w:t>
      </w:r>
      <w:r w:rsidR="008C33CE" w:rsidRPr="00D869E3">
        <w:rPr>
          <w:rFonts w:ascii="Verdana" w:hAnsi="Verdana"/>
          <w:sz w:val="20"/>
          <w:szCs w:val="20"/>
          <w:lang w:val="en-US"/>
        </w:rPr>
        <w:t xml:space="preserve"> </w:t>
      </w:r>
      <w:r w:rsidR="00380D3E" w:rsidRPr="00D869E3">
        <w:rPr>
          <w:rFonts w:ascii="Verdana" w:hAnsi="Verdana"/>
          <w:sz w:val="20"/>
          <w:szCs w:val="20"/>
          <w:lang w:val="en-US"/>
        </w:rPr>
        <w:t>and the expert opinions of</w:t>
      </w:r>
      <w:r w:rsidR="008C33CE" w:rsidRPr="00D869E3">
        <w:rPr>
          <w:rFonts w:ascii="Verdana" w:hAnsi="Verdana"/>
          <w:sz w:val="20"/>
          <w:szCs w:val="20"/>
          <w:lang w:val="en-US"/>
        </w:rPr>
        <w:t xml:space="preserve"> Damián Loreti</w:t>
      </w:r>
      <w:r w:rsidR="00687684" w:rsidRPr="00D869E3">
        <w:rPr>
          <w:rFonts w:ascii="Verdana" w:hAnsi="Verdana"/>
          <w:sz w:val="20"/>
          <w:szCs w:val="20"/>
          <w:lang w:val="en-US"/>
        </w:rPr>
        <w:t xml:space="preserve"> and </w:t>
      </w:r>
      <w:r w:rsidR="008C33CE" w:rsidRPr="00D869E3">
        <w:rPr>
          <w:rFonts w:ascii="Verdana" w:hAnsi="Verdana"/>
          <w:sz w:val="20"/>
          <w:szCs w:val="20"/>
          <w:lang w:val="en-US"/>
        </w:rPr>
        <w:t>C</w:t>
      </w:r>
      <w:r w:rsidR="002A3B2C" w:rsidRPr="00D869E3">
        <w:rPr>
          <w:rFonts w:ascii="Verdana" w:hAnsi="Verdana"/>
          <w:sz w:val="20"/>
          <w:szCs w:val="20"/>
          <w:lang w:val="en-US"/>
        </w:rPr>
        <w:t>é</w:t>
      </w:r>
      <w:r w:rsidR="008C33CE" w:rsidRPr="00D869E3">
        <w:rPr>
          <w:rFonts w:ascii="Verdana" w:hAnsi="Verdana"/>
          <w:sz w:val="20"/>
          <w:szCs w:val="20"/>
          <w:lang w:val="en-US"/>
        </w:rPr>
        <w:t xml:space="preserve">sar Gonzáles Hunt, </w:t>
      </w:r>
      <w:r w:rsidR="00380D3E" w:rsidRPr="00D869E3">
        <w:rPr>
          <w:rFonts w:ascii="Verdana" w:hAnsi="Verdana"/>
          <w:sz w:val="20"/>
          <w:szCs w:val="20"/>
          <w:lang w:val="en-US"/>
        </w:rPr>
        <w:t>proposed by</w:t>
      </w:r>
      <w:r w:rsidR="008C33CE" w:rsidRPr="00D869E3">
        <w:rPr>
          <w:rFonts w:ascii="Verdana" w:hAnsi="Verdana"/>
          <w:sz w:val="20"/>
          <w:szCs w:val="20"/>
          <w:lang w:val="en-US"/>
        </w:rPr>
        <w:t xml:space="preserve"> </w:t>
      </w:r>
      <w:r w:rsidRPr="00D869E3">
        <w:rPr>
          <w:rFonts w:ascii="Verdana" w:hAnsi="Verdana"/>
          <w:sz w:val="20"/>
          <w:szCs w:val="20"/>
          <w:lang w:val="en-US"/>
        </w:rPr>
        <w:t>the Commission</w:t>
      </w:r>
      <w:r w:rsidR="00687684" w:rsidRPr="00D869E3">
        <w:rPr>
          <w:rFonts w:ascii="Verdana" w:hAnsi="Verdana"/>
          <w:sz w:val="20"/>
          <w:szCs w:val="20"/>
          <w:lang w:val="en-US"/>
        </w:rPr>
        <w:t xml:space="preserve"> and </w:t>
      </w:r>
      <w:r w:rsidRPr="00D869E3">
        <w:rPr>
          <w:rFonts w:ascii="Verdana" w:hAnsi="Verdana"/>
          <w:sz w:val="20"/>
          <w:szCs w:val="20"/>
          <w:lang w:val="en-US"/>
        </w:rPr>
        <w:t>the State</w:t>
      </w:r>
      <w:r w:rsidR="008C33CE" w:rsidRPr="00D869E3">
        <w:rPr>
          <w:rFonts w:ascii="Verdana" w:hAnsi="Verdana"/>
          <w:sz w:val="20"/>
          <w:szCs w:val="20"/>
          <w:lang w:val="en-US"/>
        </w:rPr>
        <w:t>, respectiv</w:t>
      </w:r>
      <w:r w:rsidR="00380D3E" w:rsidRPr="00D869E3">
        <w:rPr>
          <w:rFonts w:ascii="Verdana" w:hAnsi="Verdana"/>
          <w:sz w:val="20"/>
          <w:szCs w:val="20"/>
          <w:lang w:val="en-US"/>
        </w:rPr>
        <w:t>ely.</w:t>
      </w:r>
      <w:r w:rsidR="008C33CE" w:rsidRPr="00D869E3">
        <w:rPr>
          <w:rStyle w:val="Refdenotaalpie"/>
          <w:szCs w:val="20"/>
          <w:lang w:val="en-US"/>
        </w:rPr>
        <w:footnoteReference w:id="23"/>
      </w:r>
    </w:p>
    <w:p w14:paraId="6CDD7FF7" w14:textId="77777777" w:rsidR="008C33CE" w:rsidRPr="00D869E3" w:rsidRDefault="008C33CE" w:rsidP="008C33CE">
      <w:pPr>
        <w:jc w:val="both"/>
        <w:rPr>
          <w:rFonts w:ascii="Verdana" w:hAnsi="Verdana"/>
          <w:sz w:val="20"/>
          <w:szCs w:val="20"/>
          <w:lang w:val="en-US"/>
        </w:rPr>
      </w:pPr>
    </w:p>
    <w:p w14:paraId="08830F8F" w14:textId="6226CD23" w:rsidR="008C33CE" w:rsidRPr="00D869E3" w:rsidRDefault="00380D3E" w:rsidP="00E66DD7">
      <w:pPr>
        <w:pStyle w:val="Ttulo2"/>
        <w:numPr>
          <w:ilvl w:val="0"/>
          <w:numId w:val="19"/>
        </w:numPr>
        <w:rPr>
          <w:rFonts w:eastAsia="MS Gothic"/>
          <w:i/>
          <w:lang w:val="en-US"/>
        </w:rPr>
      </w:pPr>
      <w:bookmarkStart w:id="13" w:name="_Toc29114109"/>
      <w:r w:rsidRPr="00D869E3">
        <w:rPr>
          <w:rFonts w:eastAsia="MS Gothic"/>
          <w:i/>
          <w:lang w:val="en-US"/>
        </w:rPr>
        <w:t>Admission of the evidence</w:t>
      </w:r>
      <w:bookmarkEnd w:id="13"/>
    </w:p>
    <w:p w14:paraId="26F898EC" w14:textId="77777777" w:rsidR="008C33CE" w:rsidRPr="00D869E3" w:rsidRDefault="008C33CE" w:rsidP="008C33CE">
      <w:pPr>
        <w:pStyle w:val="Ttulo3"/>
        <w:jc w:val="both"/>
        <w:rPr>
          <w:rFonts w:eastAsia="Calibri" w:cs="Times New Roman"/>
          <w:b w:val="0"/>
          <w:bCs w:val="0"/>
          <w:szCs w:val="20"/>
          <w:lang w:val="en-US"/>
        </w:rPr>
      </w:pPr>
    </w:p>
    <w:p w14:paraId="2A0F6383" w14:textId="4237BA10" w:rsidR="008C33CE" w:rsidRPr="00D869E3" w:rsidRDefault="00380D3E" w:rsidP="00E66DD7">
      <w:pPr>
        <w:pStyle w:val="Ttulo3"/>
        <w:numPr>
          <w:ilvl w:val="0"/>
          <w:numId w:val="20"/>
        </w:numPr>
        <w:jc w:val="both"/>
        <w:rPr>
          <w:i/>
          <w:strike/>
          <w:szCs w:val="20"/>
          <w:lang w:val="en-US"/>
        </w:rPr>
      </w:pPr>
      <w:bookmarkStart w:id="14" w:name="_Toc29114110"/>
      <w:r w:rsidRPr="00D869E3">
        <w:rPr>
          <w:i/>
          <w:szCs w:val="20"/>
          <w:lang w:val="en-US"/>
        </w:rPr>
        <w:t>Admission of the documentary evidence</w:t>
      </w:r>
      <w:bookmarkEnd w:id="14"/>
    </w:p>
    <w:p w14:paraId="2B6960E6" w14:textId="77777777" w:rsidR="008C33CE" w:rsidRPr="00D869E3" w:rsidRDefault="008C33CE" w:rsidP="008C33CE">
      <w:pPr>
        <w:pStyle w:val="Prrafodelista"/>
        <w:ind w:left="0"/>
        <w:jc w:val="both"/>
        <w:rPr>
          <w:rFonts w:ascii="Verdana" w:hAnsi="Verdana"/>
          <w:sz w:val="20"/>
          <w:szCs w:val="20"/>
          <w:lang w:val="en-US"/>
        </w:rPr>
      </w:pPr>
    </w:p>
    <w:p w14:paraId="04B715E6" w14:textId="0B1C381E" w:rsidR="008C33CE" w:rsidRPr="00D869E3" w:rsidRDefault="00380D3E" w:rsidP="00E66DD7">
      <w:pPr>
        <w:pStyle w:val="Prrafodelista"/>
        <w:numPr>
          <w:ilvl w:val="0"/>
          <w:numId w:val="1"/>
        </w:numPr>
        <w:tabs>
          <w:tab w:val="left" w:pos="168"/>
          <w:tab w:val="left" w:pos="851"/>
          <w:tab w:val="left" w:pos="2618"/>
          <w:tab w:val="left" w:pos="4536"/>
        </w:tabs>
        <w:ind w:left="0" w:firstLine="0"/>
        <w:jc w:val="both"/>
        <w:rPr>
          <w:rFonts w:ascii="Verdana" w:hAnsi="Verdana"/>
          <w:sz w:val="20"/>
          <w:szCs w:val="20"/>
          <w:lang w:val="en-US"/>
        </w:rPr>
      </w:pPr>
      <w:r w:rsidRPr="00D869E3">
        <w:rPr>
          <w:rFonts w:ascii="Verdana" w:hAnsi="Verdana"/>
          <w:sz w:val="20"/>
          <w:szCs w:val="20"/>
          <w:lang w:val="en-US"/>
        </w:rPr>
        <w:t xml:space="preserve">In this case, as in others, the Court admits those documents presented by the parties </w:t>
      </w:r>
      <w:r w:rsidR="00687684" w:rsidRPr="00D869E3">
        <w:rPr>
          <w:rFonts w:ascii="Verdana" w:hAnsi="Verdana"/>
          <w:sz w:val="20"/>
          <w:szCs w:val="20"/>
          <w:lang w:val="en-US"/>
        </w:rPr>
        <w:t xml:space="preserve">and </w:t>
      </w:r>
      <w:r w:rsidR="00447C65" w:rsidRPr="00D869E3">
        <w:rPr>
          <w:rFonts w:ascii="Verdana" w:hAnsi="Verdana"/>
          <w:sz w:val="20"/>
          <w:szCs w:val="20"/>
          <w:lang w:val="en-US"/>
        </w:rPr>
        <w:t>the Commission</w:t>
      </w:r>
      <w:r w:rsidR="008C33CE" w:rsidRPr="00D869E3">
        <w:rPr>
          <w:rFonts w:ascii="Verdana" w:hAnsi="Verdana"/>
          <w:sz w:val="20"/>
          <w:szCs w:val="20"/>
          <w:lang w:val="en-US"/>
        </w:rPr>
        <w:t xml:space="preserve"> </w:t>
      </w:r>
      <w:r w:rsidRPr="00D869E3">
        <w:rPr>
          <w:rFonts w:ascii="Verdana" w:hAnsi="Verdana"/>
          <w:sz w:val="20"/>
          <w:szCs w:val="20"/>
          <w:lang w:val="en-US"/>
        </w:rPr>
        <w:t xml:space="preserve">at the proper procedural opportunity or requested as helpful evidence that were not contested or opposed, and </w:t>
      </w:r>
      <w:r w:rsidR="00083067" w:rsidRPr="00D869E3">
        <w:rPr>
          <w:rFonts w:ascii="Verdana" w:hAnsi="Verdana"/>
          <w:sz w:val="20"/>
          <w:szCs w:val="20"/>
          <w:lang w:val="en-US"/>
        </w:rPr>
        <w:t>the</w:t>
      </w:r>
      <w:r w:rsidRPr="00D869E3">
        <w:rPr>
          <w:rFonts w:ascii="Verdana" w:hAnsi="Verdana"/>
          <w:sz w:val="20"/>
          <w:szCs w:val="20"/>
          <w:lang w:val="en-US"/>
        </w:rPr>
        <w:t xml:space="preserve"> authenticity</w:t>
      </w:r>
      <w:r w:rsidR="00083067" w:rsidRPr="00D869E3">
        <w:rPr>
          <w:rFonts w:ascii="Verdana" w:hAnsi="Verdana"/>
          <w:sz w:val="20"/>
          <w:szCs w:val="20"/>
          <w:lang w:val="en-US"/>
        </w:rPr>
        <w:t xml:space="preserve"> of which</w:t>
      </w:r>
      <w:r w:rsidRPr="00D869E3">
        <w:rPr>
          <w:rFonts w:ascii="Verdana" w:hAnsi="Verdana"/>
          <w:sz w:val="20"/>
          <w:szCs w:val="20"/>
          <w:lang w:val="en-US"/>
        </w:rPr>
        <w:t xml:space="preserve"> was not questioned.</w:t>
      </w:r>
      <w:r w:rsidR="008C33CE" w:rsidRPr="00D869E3">
        <w:rPr>
          <w:rFonts w:ascii="Verdana" w:hAnsi="Verdana"/>
          <w:sz w:val="20"/>
          <w:szCs w:val="20"/>
          <w:vertAlign w:val="superscript"/>
          <w:lang w:val="en-US"/>
        </w:rPr>
        <w:footnoteReference w:id="24"/>
      </w:r>
      <w:r w:rsidR="008C33CE" w:rsidRPr="00D869E3">
        <w:rPr>
          <w:rFonts w:ascii="Verdana" w:hAnsi="Verdana"/>
          <w:sz w:val="20"/>
          <w:szCs w:val="20"/>
          <w:lang w:val="en-US"/>
        </w:rPr>
        <w:t xml:space="preserve"> </w:t>
      </w:r>
      <w:r w:rsidRPr="00D869E3">
        <w:rPr>
          <w:rFonts w:ascii="Verdana" w:hAnsi="Verdana"/>
          <w:sz w:val="20"/>
          <w:szCs w:val="20"/>
          <w:lang w:val="en-US"/>
        </w:rPr>
        <w:t xml:space="preserve">The documents requested by the Court </w:t>
      </w:r>
      <w:r w:rsidR="00A62EA8" w:rsidRPr="00D869E3">
        <w:rPr>
          <w:rFonts w:ascii="Verdana" w:hAnsi="Verdana"/>
          <w:sz w:val="20"/>
          <w:szCs w:val="20"/>
          <w:lang w:val="en-US"/>
        </w:rPr>
        <w:t xml:space="preserve">that were provided by the parties following the </w:t>
      </w:r>
      <w:r w:rsidR="001E44D3" w:rsidRPr="00D869E3">
        <w:rPr>
          <w:rFonts w:ascii="Verdana" w:hAnsi="Verdana"/>
          <w:sz w:val="20"/>
          <w:szCs w:val="20"/>
          <w:lang w:val="en-US"/>
        </w:rPr>
        <w:t>public hearing</w:t>
      </w:r>
      <w:r w:rsidR="00A62EA8" w:rsidRPr="00D869E3">
        <w:rPr>
          <w:rFonts w:ascii="Verdana" w:hAnsi="Verdana"/>
          <w:sz w:val="20"/>
          <w:szCs w:val="20"/>
          <w:lang w:val="en-US"/>
        </w:rPr>
        <w:t xml:space="preserve"> are incorporated into the body of evidence in application </w:t>
      </w:r>
      <w:r w:rsidR="00687684" w:rsidRPr="00D869E3">
        <w:rPr>
          <w:rFonts w:ascii="Verdana" w:hAnsi="Verdana"/>
          <w:sz w:val="20"/>
          <w:szCs w:val="20"/>
          <w:lang w:val="en-US"/>
        </w:rPr>
        <w:t>of Article</w:t>
      </w:r>
      <w:r w:rsidR="008C33CE" w:rsidRPr="00D869E3">
        <w:rPr>
          <w:rFonts w:ascii="Verdana" w:hAnsi="Verdana"/>
          <w:sz w:val="20"/>
          <w:szCs w:val="20"/>
          <w:lang w:val="en-US"/>
        </w:rPr>
        <w:t xml:space="preserve"> 58</w:t>
      </w:r>
      <w:r w:rsidR="00447C65" w:rsidRPr="00D869E3">
        <w:rPr>
          <w:rFonts w:ascii="Verdana" w:hAnsi="Verdana"/>
          <w:sz w:val="20"/>
          <w:szCs w:val="20"/>
          <w:lang w:val="en-US"/>
        </w:rPr>
        <w:t xml:space="preserve"> of the Rules of Procedure</w:t>
      </w:r>
      <w:r w:rsidR="008C33CE" w:rsidRPr="00D869E3">
        <w:rPr>
          <w:rFonts w:ascii="Verdana" w:hAnsi="Verdana"/>
          <w:sz w:val="20"/>
          <w:szCs w:val="20"/>
          <w:lang w:val="en-US"/>
        </w:rPr>
        <w:t xml:space="preserve"> (</w:t>
      </w:r>
      <w:r w:rsidR="00224537" w:rsidRPr="00D869E3">
        <w:rPr>
          <w:rFonts w:ascii="Verdana" w:hAnsi="Verdana"/>
          <w:i/>
          <w:sz w:val="20"/>
          <w:szCs w:val="20"/>
          <w:lang w:val="en-US"/>
        </w:rPr>
        <w:t>supra</w:t>
      </w:r>
      <w:r w:rsidR="008C33CE" w:rsidRPr="00D869E3">
        <w:rPr>
          <w:rFonts w:ascii="Verdana" w:hAnsi="Verdana"/>
          <w:sz w:val="20"/>
          <w:szCs w:val="20"/>
          <w:lang w:val="en-US"/>
        </w:rPr>
        <w:t xml:space="preserve"> </w:t>
      </w:r>
      <w:r w:rsidR="0087339F" w:rsidRPr="00D869E3">
        <w:rPr>
          <w:rFonts w:ascii="Verdana" w:hAnsi="Verdana"/>
          <w:sz w:val="20"/>
          <w:szCs w:val="20"/>
          <w:lang w:val="en-US"/>
        </w:rPr>
        <w:t>para.</w:t>
      </w:r>
      <w:r w:rsidR="008C33CE" w:rsidRPr="00D869E3">
        <w:rPr>
          <w:rFonts w:ascii="Verdana" w:hAnsi="Verdana"/>
          <w:sz w:val="20"/>
          <w:szCs w:val="20"/>
          <w:lang w:val="en-US"/>
        </w:rPr>
        <w:t xml:space="preserve"> </w:t>
      </w:r>
      <w:r w:rsidR="00EC6021" w:rsidRPr="00D869E3">
        <w:rPr>
          <w:rFonts w:ascii="Verdana" w:hAnsi="Verdana"/>
          <w:sz w:val="20"/>
          <w:szCs w:val="20"/>
          <w:lang w:val="en-US"/>
        </w:rPr>
        <w:t>10</w:t>
      </w:r>
      <w:r w:rsidR="008C33CE" w:rsidRPr="00D869E3">
        <w:rPr>
          <w:rFonts w:ascii="Verdana" w:hAnsi="Verdana"/>
          <w:sz w:val="20"/>
          <w:szCs w:val="20"/>
          <w:lang w:val="en-US"/>
        </w:rPr>
        <w:t xml:space="preserve">). </w:t>
      </w:r>
    </w:p>
    <w:p w14:paraId="44302028" w14:textId="77777777" w:rsidR="008C33CE" w:rsidRPr="00D869E3" w:rsidRDefault="008C33CE" w:rsidP="008C33CE">
      <w:pPr>
        <w:pStyle w:val="Prrafodelista"/>
        <w:ind w:left="0"/>
        <w:jc w:val="both"/>
        <w:rPr>
          <w:rFonts w:ascii="Verdana" w:hAnsi="Verdana"/>
          <w:sz w:val="20"/>
          <w:szCs w:val="20"/>
          <w:lang w:val="en-US"/>
        </w:rPr>
      </w:pPr>
    </w:p>
    <w:p w14:paraId="054E84BD" w14:textId="28B2CC07" w:rsidR="008C33CE" w:rsidRPr="00D869E3" w:rsidRDefault="00A62EA8" w:rsidP="00A62EA8">
      <w:pPr>
        <w:pStyle w:val="Prrafodelista"/>
        <w:numPr>
          <w:ilvl w:val="0"/>
          <w:numId w:val="1"/>
        </w:numPr>
        <w:ind w:left="0" w:firstLine="0"/>
        <w:jc w:val="both"/>
        <w:rPr>
          <w:rFonts w:ascii="Verdana" w:hAnsi="Verdana"/>
          <w:b/>
          <w:sz w:val="20"/>
          <w:szCs w:val="20"/>
          <w:lang w:val="en-US"/>
        </w:rPr>
      </w:pPr>
      <w:r w:rsidRPr="00D869E3">
        <w:rPr>
          <w:rFonts w:ascii="Verdana" w:hAnsi="Verdana"/>
          <w:sz w:val="20"/>
          <w:szCs w:val="20"/>
          <w:lang w:val="en-US"/>
        </w:rPr>
        <w:t>On March 20,</w:t>
      </w:r>
      <w:r w:rsidR="008C33CE" w:rsidRPr="00D869E3">
        <w:rPr>
          <w:rFonts w:ascii="Verdana" w:hAnsi="Verdana"/>
          <w:sz w:val="20"/>
          <w:szCs w:val="20"/>
          <w:lang w:val="en-US"/>
        </w:rPr>
        <w:t xml:space="preserve"> 2017</w:t>
      </w:r>
      <w:r w:rsidRPr="00D869E3">
        <w:rPr>
          <w:rFonts w:ascii="Verdana" w:hAnsi="Verdana"/>
          <w:sz w:val="20"/>
          <w:szCs w:val="20"/>
          <w:lang w:val="en-US"/>
        </w:rPr>
        <w:t>,</w:t>
      </w:r>
      <w:r w:rsidR="008C33CE" w:rsidRPr="00D869E3">
        <w:rPr>
          <w:rFonts w:ascii="Verdana" w:hAnsi="Verdana"/>
          <w:sz w:val="20"/>
          <w:szCs w:val="20"/>
          <w:lang w:val="en-US"/>
        </w:rPr>
        <w:t xml:space="preserve"> </w:t>
      </w:r>
      <w:r w:rsidR="00687684" w:rsidRPr="00D869E3">
        <w:rPr>
          <w:rFonts w:ascii="Verdana" w:hAnsi="Verdana"/>
          <w:sz w:val="20"/>
          <w:szCs w:val="20"/>
          <w:lang w:val="en-US"/>
        </w:rPr>
        <w:t>the representatives</w:t>
      </w:r>
      <w:r w:rsidR="008C33CE" w:rsidRPr="00D869E3">
        <w:rPr>
          <w:rFonts w:ascii="Verdana" w:hAnsi="Verdana"/>
          <w:sz w:val="20"/>
          <w:szCs w:val="20"/>
          <w:lang w:val="en-US"/>
        </w:rPr>
        <w:t xml:space="preserve"> present</w:t>
      </w:r>
      <w:r w:rsidRPr="00D869E3">
        <w:rPr>
          <w:rFonts w:ascii="Verdana" w:hAnsi="Verdana"/>
          <w:sz w:val="20"/>
          <w:szCs w:val="20"/>
          <w:lang w:val="en-US"/>
        </w:rPr>
        <w:t xml:space="preserve">ed observations on the annexes forwarded by the State with its final written arguments. In the case of documents that were incomplete or illegible, the Court considers that this does not affect their admissibility, although it may affect their probative weight. However, the Court considers that the said annexes </w:t>
      </w:r>
      <w:r w:rsidRPr="00D869E3">
        <w:rPr>
          <w:rFonts w:ascii="Verdana" w:hAnsi="Verdana"/>
          <w:sz w:val="20"/>
          <w:szCs w:val="20"/>
          <w:lang w:val="en-US"/>
        </w:rPr>
        <w:lastRenderedPageBreak/>
        <w:t xml:space="preserve">respond to helpful evidence requested during the public hearing; they are therefore admitted under </w:t>
      </w:r>
      <w:r w:rsidR="00687684" w:rsidRPr="00D869E3">
        <w:rPr>
          <w:rFonts w:ascii="Verdana" w:hAnsi="Verdana"/>
          <w:sz w:val="20"/>
          <w:szCs w:val="20"/>
          <w:lang w:val="en-US"/>
        </w:rPr>
        <w:t>Article</w:t>
      </w:r>
      <w:r w:rsidR="008C33CE" w:rsidRPr="00D869E3">
        <w:rPr>
          <w:rFonts w:ascii="Verdana" w:hAnsi="Verdana"/>
          <w:sz w:val="20"/>
          <w:szCs w:val="20"/>
          <w:lang w:val="en-US"/>
        </w:rPr>
        <w:t xml:space="preserve"> 58</w:t>
      </w:r>
      <w:r w:rsidRPr="00D869E3">
        <w:rPr>
          <w:rFonts w:ascii="Verdana" w:hAnsi="Verdana"/>
          <w:sz w:val="20"/>
          <w:szCs w:val="20"/>
          <w:lang w:val="en-US"/>
        </w:rPr>
        <w:t>(</w:t>
      </w:r>
      <w:r w:rsidR="008C33CE" w:rsidRPr="00D869E3">
        <w:rPr>
          <w:rFonts w:ascii="Verdana" w:hAnsi="Verdana"/>
          <w:sz w:val="20"/>
          <w:szCs w:val="20"/>
          <w:lang w:val="en-US"/>
        </w:rPr>
        <w:t>b)</w:t>
      </w:r>
      <w:r w:rsidR="00447C65" w:rsidRPr="00D869E3">
        <w:rPr>
          <w:rFonts w:ascii="Verdana" w:hAnsi="Verdana"/>
          <w:sz w:val="20"/>
          <w:szCs w:val="20"/>
          <w:lang w:val="en-US"/>
        </w:rPr>
        <w:t xml:space="preserve"> of the Rules of Procedure</w:t>
      </w:r>
      <w:r w:rsidR="008C33CE" w:rsidRPr="00D869E3">
        <w:rPr>
          <w:rFonts w:ascii="Verdana" w:hAnsi="Verdana"/>
          <w:sz w:val="20"/>
          <w:szCs w:val="20"/>
          <w:lang w:val="en-US"/>
        </w:rPr>
        <w:t>.</w:t>
      </w:r>
    </w:p>
    <w:p w14:paraId="3046F0D9" w14:textId="77777777" w:rsidR="008C33CE" w:rsidRPr="00D869E3" w:rsidRDefault="008C33CE" w:rsidP="008C33CE">
      <w:pPr>
        <w:jc w:val="both"/>
        <w:rPr>
          <w:rFonts w:ascii="Verdana" w:hAnsi="Verdana"/>
          <w:sz w:val="20"/>
          <w:szCs w:val="20"/>
          <w:u w:val="single"/>
          <w:lang w:val="en-US"/>
        </w:rPr>
      </w:pPr>
    </w:p>
    <w:p w14:paraId="2C92726D" w14:textId="0600D29D" w:rsidR="008C33CE" w:rsidRPr="00D869E3" w:rsidRDefault="00380D3E" w:rsidP="00E66DD7">
      <w:pPr>
        <w:pStyle w:val="Ttulo3"/>
        <w:numPr>
          <w:ilvl w:val="0"/>
          <w:numId w:val="20"/>
        </w:numPr>
        <w:jc w:val="both"/>
        <w:rPr>
          <w:i/>
          <w:szCs w:val="20"/>
          <w:lang w:val="en-US"/>
        </w:rPr>
      </w:pPr>
      <w:bookmarkStart w:id="15" w:name="_Toc29114111"/>
      <w:r w:rsidRPr="00D869E3">
        <w:rPr>
          <w:i/>
          <w:szCs w:val="20"/>
          <w:lang w:val="en-US"/>
        </w:rPr>
        <w:t xml:space="preserve">Admission of the </w:t>
      </w:r>
      <w:r w:rsidR="00A62EA8" w:rsidRPr="00D869E3">
        <w:rPr>
          <w:i/>
          <w:szCs w:val="20"/>
          <w:lang w:val="en-US"/>
        </w:rPr>
        <w:t>testimonial and expert evidence</w:t>
      </w:r>
      <w:bookmarkEnd w:id="15"/>
    </w:p>
    <w:p w14:paraId="093C7EEA" w14:textId="77777777" w:rsidR="008C33CE" w:rsidRPr="00D869E3" w:rsidRDefault="008C33CE" w:rsidP="008C33CE">
      <w:pPr>
        <w:jc w:val="both"/>
        <w:rPr>
          <w:rFonts w:ascii="Verdana" w:hAnsi="Verdana"/>
          <w:sz w:val="20"/>
          <w:szCs w:val="20"/>
          <w:lang w:val="en-US"/>
        </w:rPr>
      </w:pPr>
    </w:p>
    <w:p w14:paraId="70DD9D23" w14:textId="4F115728" w:rsidR="008C33CE" w:rsidRPr="00D869E3" w:rsidRDefault="00447C65" w:rsidP="00A62EA8">
      <w:pPr>
        <w:pStyle w:val="Prrafodelista"/>
        <w:numPr>
          <w:ilvl w:val="0"/>
          <w:numId w:val="1"/>
        </w:numPr>
        <w:ind w:left="0" w:firstLine="0"/>
        <w:jc w:val="both"/>
        <w:rPr>
          <w:rFonts w:ascii="Verdana" w:hAnsi="Verdana"/>
          <w:sz w:val="20"/>
          <w:szCs w:val="20"/>
          <w:lang w:val="en-US"/>
        </w:rPr>
      </w:pPr>
      <w:r w:rsidRPr="00D869E3">
        <w:rPr>
          <w:rFonts w:ascii="Verdana" w:eastAsia="Times New Roman" w:hAnsi="Verdana"/>
          <w:sz w:val="20"/>
          <w:szCs w:val="20"/>
          <w:lang w:val="en-US"/>
        </w:rPr>
        <w:t>The Court</w:t>
      </w:r>
      <w:r w:rsidR="008C33CE" w:rsidRPr="00D869E3">
        <w:rPr>
          <w:rFonts w:ascii="Verdana" w:eastAsia="Times New Roman" w:hAnsi="Verdana"/>
          <w:sz w:val="20"/>
          <w:szCs w:val="20"/>
          <w:lang w:val="en-US"/>
        </w:rPr>
        <w:t xml:space="preserve"> </w:t>
      </w:r>
      <w:r w:rsidR="00A62EA8" w:rsidRPr="00D869E3">
        <w:rPr>
          <w:rFonts w:ascii="Verdana" w:eastAsia="Times New Roman" w:hAnsi="Verdana"/>
          <w:sz w:val="20"/>
          <w:szCs w:val="20"/>
          <w:lang w:val="en-US"/>
        </w:rPr>
        <w:t>finds it pertinent to admit the statements made during the public hearing and by affidavit, insofar as they are in keeping with the purpose defined by the President in the order requiring them and the purpose of this case</w:t>
      </w:r>
      <w:r w:rsidR="008C33CE" w:rsidRPr="00D869E3">
        <w:rPr>
          <w:rFonts w:ascii="Verdana" w:eastAsia="Times New Roman" w:hAnsi="Verdana"/>
          <w:sz w:val="20"/>
          <w:szCs w:val="20"/>
          <w:lang w:val="en-US"/>
        </w:rPr>
        <w:t xml:space="preserve"> (</w:t>
      </w:r>
      <w:r w:rsidR="00224537" w:rsidRPr="00D869E3">
        <w:rPr>
          <w:rFonts w:ascii="Verdana" w:eastAsia="Times New Roman" w:hAnsi="Verdana"/>
          <w:i/>
          <w:sz w:val="20"/>
          <w:szCs w:val="20"/>
          <w:lang w:val="en-US"/>
        </w:rPr>
        <w:t>supra</w:t>
      </w:r>
      <w:r w:rsidR="008C33CE" w:rsidRPr="00D869E3">
        <w:rPr>
          <w:rFonts w:ascii="Verdana" w:eastAsia="Times New Roman" w:hAnsi="Verdana"/>
          <w:sz w:val="20"/>
          <w:szCs w:val="20"/>
          <w:lang w:val="en-US"/>
        </w:rPr>
        <w:t xml:space="preserve"> </w:t>
      </w:r>
      <w:r w:rsidR="0087339F" w:rsidRPr="00D869E3">
        <w:rPr>
          <w:rFonts w:ascii="Verdana" w:eastAsia="Times New Roman" w:hAnsi="Verdana"/>
          <w:sz w:val="20"/>
          <w:szCs w:val="20"/>
          <w:lang w:val="en-US"/>
        </w:rPr>
        <w:t>para.</w:t>
      </w:r>
      <w:r w:rsidR="001C0F23" w:rsidRPr="00D869E3">
        <w:rPr>
          <w:rFonts w:ascii="Verdana" w:eastAsia="Times New Roman" w:hAnsi="Verdana"/>
          <w:sz w:val="20"/>
          <w:szCs w:val="20"/>
          <w:lang w:val="en-US"/>
        </w:rPr>
        <w:t xml:space="preserve"> </w:t>
      </w:r>
      <w:r w:rsidR="00EC6021" w:rsidRPr="00D869E3">
        <w:rPr>
          <w:rFonts w:ascii="Verdana" w:eastAsia="Times New Roman" w:hAnsi="Verdana"/>
          <w:sz w:val="20"/>
          <w:szCs w:val="20"/>
          <w:lang w:val="en-US"/>
        </w:rPr>
        <w:t>10</w:t>
      </w:r>
      <w:r w:rsidR="008C33CE" w:rsidRPr="00D869E3">
        <w:rPr>
          <w:rFonts w:ascii="Verdana" w:eastAsia="Times New Roman" w:hAnsi="Verdana"/>
          <w:sz w:val="20"/>
          <w:szCs w:val="20"/>
          <w:lang w:val="en-US"/>
        </w:rPr>
        <w:t>).</w:t>
      </w:r>
    </w:p>
    <w:p w14:paraId="00E24885" w14:textId="77777777" w:rsidR="008C33CE" w:rsidRPr="00D869E3" w:rsidRDefault="008C33CE" w:rsidP="008C33CE">
      <w:pPr>
        <w:pStyle w:val="Prrafodelista"/>
        <w:ind w:left="0"/>
        <w:jc w:val="both"/>
        <w:rPr>
          <w:rFonts w:ascii="Verdana" w:hAnsi="Verdana"/>
          <w:sz w:val="20"/>
          <w:szCs w:val="20"/>
          <w:lang w:val="en-US"/>
        </w:rPr>
      </w:pPr>
    </w:p>
    <w:p w14:paraId="4822B262" w14:textId="51810A30" w:rsidR="008C33CE" w:rsidRPr="00D869E3" w:rsidRDefault="00A62EA8" w:rsidP="00EA232B">
      <w:pPr>
        <w:pStyle w:val="Prrafodelista"/>
        <w:numPr>
          <w:ilvl w:val="0"/>
          <w:numId w:val="1"/>
        </w:numPr>
        <w:ind w:left="0" w:firstLine="0"/>
        <w:jc w:val="both"/>
        <w:rPr>
          <w:rFonts w:ascii="Verdana" w:hAnsi="Verdana"/>
          <w:sz w:val="20"/>
          <w:szCs w:val="20"/>
          <w:lang w:val="en-US"/>
        </w:rPr>
      </w:pPr>
      <w:r w:rsidRPr="00D869E3">
        <w:rPr>
          <w:rFonts w:ascii="Verdana" w:hAnsi="Verdana"/>
          <w:sz w:val="20"/>
          <w:szCs w:val="20"/>
          <w:lang w:val="en-US"/>
        </w:rPr>
        <w:t>In a communication of January</w:t>
      </w:r>
      <w:r w:rsidR="008C33CE" w:rsidRPr="00D869E3">
        <w:rPr>
          <w:rFonts w:ascii="Verdana" w:hAnsi="Verdana"/>
          <w:sz w:val="20"/>
          <w:szCs w:val="20"/>
          <w:lang w:val="en-US"/>
        </w:rPr>
        <w:t xml:space="preserve"> 30</w:t>
      </w:r>
      <w:r w:rsidRPr="00D869E3">
        <w:rPr>
          <w:rFonts w:ascii="Verdana" w:hAnsi="Verdana"/>
          <w:sz w:val="20"/>
          <w:szCs w:val="20"/>
          <w:lang w:val="en-US"/>
        </w:rPr>
        <w:t xml:space="preserve">, </w:t>
      </w:r>
      <w:r w:rsidR="008C33CE" w:rsidRPr="00D869E3">
        <w:rPr>
          <w:rFonts w:ascii="Verdana" w:hAnsi="Verdana"/>
          <w:sz w:val="20"/>
          <w:szCs w:val="20"/>
          <w:lang w:val="en-US"/>
        </w:rPr>
        <w:t>2017</w:t>
      </w:r>
      <w:r w:rsidRPr="00D869E3">
        <w:rPr>
          <w:rFonts w:ascii="Verdana" w:hAnsi="Verdana"/>
          <w:sz w:val="20"/>
          <w:szCs w:val="20"/>
          <w:lang w:val="en-US"/>
        </w:rPr>
        <w:t>,</w:t>
      </w:r>
      <w:r w:rsidR="008C33CE" w:rsidRPr="00D869E3">
        <w:rPr>
          <w:rFonts w:ascii="Verdana" w:hAnsi="Verdana"/>
          <w:sz w:val="20"/>
          <w:szCs w:val="20"/>
          <w:lang w:val="en-US"/>
        </w:rPr>
        <w:t xml:space="preserve"> </w:t>
      </w:r>
      <w:r w:rsidR="00447C65" w:rsidRPr="00D869E3">
        <w:rPr>
          <w:rFonts w:ascii="Verdana" w:hAnsi="Verdana"/>
          <w:sz w:val="20"/>
          <w:szCs w:val="20"/>
          <w:lang w:val="en-US"/>
        </w:rPr>
        <w:t>the State</w:t>
      </w:r>
      <w:r w:rsidR="008C33CE" w:rsidRPr="00D869E3">
        <w:rPr>
          <w:rFonts w:ascii="Verdana" w:hAnsi="Verdana"/>
          <w:sz w:val="20"/>
          <w:szCs w:val="20"/>
          <w:lang w:val="en-US"/>
        </w:rPr>
        <w:t xml:space="preserve"> </w:t>
      </w:r>
      <w:r w:rsidRPr="00D869E3">
        <w:rPr>
          <w:rFonts w:ascii="Verdana" w:hAnsi="Verdana"/>
          <w:sz w:val="20"/>
          <w:szCs w:val="20"/>
          <w:lang w:val="en-US"/>
        </w:rPr>
        <w:t xml:space="preserve">withdrew presentation of the expert opinion of </w:t>
      </w:r>
      <w:r w:rsidR="008C33CE" w:rsidRPr="00D869E3">
        <w:rPr>
          <w:rFonts w:ascii="Verdana" w:hAnsi="Verdana"/>
          <w:sz w:val="20"/>
          <w:szCs w:val="20"/>
          <w:lang w:val="en-US"/>
        </w:rPr>
        <w:t>Omar Sar Suárez</w:t>
      </w:r>
      <w:r w:rsidR="001C0F23" w:rsidRPr="00D869E3">
        <w:rPr>
          <w:rFonts w:ascii="Verdana" w:hAnsi="Verdana"/>
          <w:sz w:val="20"/>
          <w:szCs w:val="20"/>
          <w:lang w:val="en-US"/>
        </w:rPr>
        <w:t>.</w:t>
      </w:r>
      <w:r w:rsidR="008C33CE" w:rsidRPr="00D869E3">
        <w:rPr>
          <w:rFonts w:ascii="Verdana" w:hAnsi="Verdana"/>
          <w:sz w:val="20"/>
          <w:szCs w:val="20"/>
          <w:lang w:val="en-US"/>
        </w:rPr>
        <w:t xml:space="preserve"> </w:t>
      </w:r>
      <w:r w:rsidRPr="00D869E3">
        <w:rPr>
          <w:rFonts w:ascii="Verdana" w:hAnsi="Verdana"/>
          <w:sz w:val="20"/>
          <w:szCs w:val="20"/>
          <w:lang w:val="en-US"/>
        </w:rPr>
        <w:t>Th</w:t>
      </w:r>
      <w:r w:rsidR="00151407" w:rsidRPr="00D869E3">
        <w:rPr>
          <w:rFonts w:ascii="Verdana" w:hAnsi="Verdana"/>
          <w:sz w:val="20"/>
          <w:szCs w:val="20"/>
          <w:lang w:val="en-US"/>
        </w:rPr>
        <w:t>e</w:t>
      </w:r>
      <w:r w:rsidRPr="00D869E3">
        <w:rPr>
          <w:rFonts w:ascii="Verdana" w:hAnsi="Verdana"/>
          <w:sz w:val="20"/>
          <w:szCs w:val="20"/>
          <w:lang w:val="en-US"/>
        </w:rPr>
        <w:t xml:space="preserve"> </w:t>
      </w:r>
      <w:r w:rsidR="00687684" w:rsidRPr="00D869E3">
        <w:rPr>
          <w:rFonts w:ascii="Verdana" w:hAnsi="Verdana"/>
          <w:sz w:val="20"/>
          <w:szCs w:val="20"/>
          <w:lang w:val="en-US"/>
        </w:rPr>
        <w:t>representatives</w:t>
      </w:r>
      <w:r w:rsidR="008C33CE" w:rsidRPr="00D869E3">
        <w:rPr>
          <w:rFonts w:ascii="Verdana" w:hAnsi="Verdana"/>
          <w:sz w:val="20"/>
          <w:szCs w:val="20"/>
          <w:lang w:val="en-US"/>
        </w:rPr>
        <w:t xml:space="preserve"> </w:t>
      </w:r>
      <w:r w:rsidR="00151407" w:rsidRPr="00D869E3">
        <w:rPr>
          <w:rFonts w:ascii="Verdana" w:hAnsi="Verdana"/>
          <w:sz w:val="20"/>
          <w:szCs w:val="20"/>
          <w:lang w:val="en-US"/>
        </w:rPr>
        <w:t xml:space="preserve">contested the withdrawal on February 7, 2017, </w:t>
      </w:r>
      <w:r w:rsidR="008C33CE" w:rsidRPr="00D869E3">
        <w:rPr>
          <w:rFonts w:ascii="Verdana" w:hAnsi="Verdana"/>
          <w:sz w:val="20"/>
          <w:szCs w:val="20"/>
          <w:lang w:val="en-US"/>
        </w:rPr>
        <w:t>dur</w:t>
      </w:r>
      <w:r w:rsidRPr="00D869E3">
        <w:rPr>
          <w:rFonts w:ascii="Verdana" w:hAnsi="Verdana"/>
          <w:sz w:val="20"/>
          <w:szCs w:val="20"/>
          <w:lang w:val="en-US"/>
        </w:rPr>
        <w:t>ing the</w:t>
      </w:r>
      <w:r w:rsidR="008C33CE" w:rsidRPr="00D869E3">
        <w:rPr>
          <w:rFonts w:ascii="Verdana" w:hAnsi="Verdana"/>
          <w:sz w:val="20"/>
          <w:szCs w:val="20"/>
          <w:lang w:val="en-US"/>
        </w:rPr>
        <w:t xml:space="preserve"> </w:t>
      </w:r>
      <w:r w:rsidR="001E44D3" w:rsidRPr="00D869E3">
        <w:rPr>
          <w:rFonts w:ascii="Verdana" w:hAnsi="Verdana"/>
          <w:sz w:val="20"/>
          <w:szCs w:val="20"/>
          <w:lang w:val="en-US"/>
        </w:rPr>
        <w:t>public hearing</w:t>
      </w:r>
      <w:r w:rsidR="00687684" w:rsidRPr="00D869E3">
        <w:rPr>
          <w:rFonts w:ascii="Verdana" w:hAnsi="Verdana"/>
          <w:sz w:val="20"/>
          <w:szCs w:val="20"/>
          <w:lang w:val="en-US"/>
        </w:rPr>
        <w:t xml:space="preserve"> and </w:t>
      </w:r>
      <w:r w:rsidRPr="00D869E3">
        <w:rPr>
          <w:rFonts w:ascii="Verdana" w:hAnsi="Verdana"/>
          <w:sz w:val="20"/>
          <w:szCs w:val="20"/>
          <w:lang w:val="en-US"/>
        </w:rPr>
        <w:t>in a communication of February</w:t>
      </w:r>
      <w:r w:rsidR="008C33CE" w:rsidRPr="00D869E3">
        <w:rPr>
          <w:rFonts w:ascii="Verdana" w:hAnsi="Verdana"/>
          <w:sz w:val="20"/>
          <w:szCs w:val="20"/>
          <w:lang w:val="en-US"/>
        </w:rPr>
        <w:t xml:space="preserve"> 13</w:t>
      </w:r>
      <w:r w:rsidRPr="00D869E3">
        <w:rPr>
          <w:rFonts w:ascii="Verdana" w:hAnsi="Verdana"/>
          <w:sz w:val="20"/>
          <w:szCs w:val="20"/>
          <w:lang w:val="en-US"/>
        </w:rPr>
        <w:t xml:space="preserve">, </w:t>
      </w:r>
      <w:r w:rsidR="008C33CE" w:rsidRPr="00D869E3">
        <w:rPr>
          <w:rFonts w:ascii="Verdana" w:hAnsi="Verdana"/>
          <w:sz w:val="20"/>
          <w:szCs w:val="20"/>
          <w:lang w:val="en-US"/>
        </w:rPr>
        <w:t>2017</w:t>
      </w:r>
      <w:r w:rsidR="001C0F23" w:rsidRPr="00D869E3">
        <w:rPr>
          <w:rFonts w:ascii="Verdana" w:hAnsi="Verdana"/>
          <w:sz w:val="20"/>
          <w:szCs w:val="20"/>
          <w:lang w:val="en-US"/>
        </w:rPr>
        <w:t>.</w:t>
      </w:r>
      <w:r w:rsidR="008C33CE" w:rsidRPr="00D869E3">
        <w:rPr>
          <w:rFonts w:ascii="Verdana" w:hAnsi="Verdana"/>
          <w:sz w:val="20"/>
          <w:szCs w:val="20"/>
          <w:lang w:val="en-US"/>
        </w:rPr>
        <w:t xml:space="preserve"> </w:t>
      </w:r>
      <w:r w:rsidR="00075E68" w:rsidRPr="00D869E3">
        <w:rPr>
          <w:rFonts w:ascii="Verdana" w:hAnsi="Verdana"/>
          <w:sz w:val="20"/>
          <w:szCs w:val="20"/>
          <w:lang w:val="en-US"/>
        </w:rPr>
        <w:t>In this regard</w:t>
      </w:r>
      <w:r w:rsidR="008C33CE" w:rsidRPr="00D869E3">
        <w:rPr>
          <w:rFonts w:ascii="Verdana" w:hAnsi="Verdana"/>
          <w:sz w:val="20"/>
          <w:szCs w:val="20"/>
          <w:lang w:val="en-US"/>
        </w:rPr>
        <w:t xml:space="preserve">, </w:t>
      </w:r>
      <w:r w:rsidRPr="00D869E3">
        <w:rPr>
          <w:rFonts w:ascii="Verdana" w:hAnsi="Verdana"/>
          <w:sz w:val="20"/>
          <w:szCs w:val="20"/>
          <w:lang w:val="en-US"/>
        </w:rPr>
        <w:t>the presumed victim’s representatives objected to the reasons given for th</w:t>
      </w:r>
      <w:r w:rsidR="00151407" w:rsidRPr="00D869E3">
        <w:rPr>
          <w:rFonts w:ascii="Verdana" w:hAnsi="Verdana"/>
          <w:sz w:val="20"/>
          <w:szCs w:val="20"/>
          <w:lang w:val="en-US"/>
        </w:rPr>
        <w:t>e</w:t>
      </w:r>
      <w:r w:rsidRPr="00D869E3">
        <w:rPr>
          <w:rFonts w:ascii="Verdana" w:hAnsi="Verdana"/>
          <w:sz w:val="20"/>
          <w:szCs w:val="20"/>
          <w:lang w:val="en-US"/>
        </w:rPr>
        <w:t xml:space="preserve"> withdrawal and advised that the opinion had already been given. They therefore requested the expert opinion and the answers to their questions and sent photographs showing that </w:t>
      </w:r>
      <w:r w:rsidR="008C33CE" w:rsidRPr="00D869E3">
        <w:rPr>
          <w:rFonts w:ascii="Verdana" w:hAnsi="Verdana"/>
          <w:sz w:val="20"/>
          <w:szCs w:val="20"/>
          <w:lang w:val="en-US"/>
        </w:rPr>
        <w:t xml:space="preserve">Omar Sar Suárez </w:t>
      </w:r>
      <w:r w:rsidRPr="00D869E3">
        <w:rPr>
          <w:rFonts w:ascii="Verdana" w:hAnsi="Verdana"/>
          <w:sz w:val="20"/>
          <w:szCs w:val="20"/>
          <w:lang w:val="en-US"/>
        </w:rPr>
        <w:t>had apparently prepared his affidavit.</w:t>
      </w:r>
    </w:p>
    <w:p w14:paraId="31666005" w14:textId="4113403E" w:rsidR="00A62EA8" w:rsidRPr="00D869E3" w:rsidRDefault="00A62EA8" w:rsidP="00A62EA8">
      <w:pPr>
        <w:pStyle w:val="Prrafodelista"/>
        <w:ind w:left="0"/>
        <w:jc w:val="both"/>
        <w:rPr>
          <w:rFonts w:ascii="Verdana" w:hAnsi="Verdana"/>
          <w:sz w:val="20"/>
          <w:szCs w:val="20"/>
          <w:lang w:val="en-US"/>
        </w:rPr>
      </w:pPr>
    </w:p>
    <w:p w14:paraId="76223234" w14:textId="0AFEE446" w:rsidR="008C33CE" w:rsidRPr="00D869E3" w:rsidRDefault="00A62EA8" w:rsidP="00A62EA8">
      <w:pPr>
        <w:pStyle w:val="Prrafodelista"/>
        <w:numPr>
          <w:ilvl w:val="0"/>
          <w:numId w:val="1"/>
        </w:numPr>
        <w:ind w:left="0" w:firstLine="0"/>
        <w:jc w:val="both"/>
        <w:rPr>
          <w:rFonts w:ascii="Verdana" w:hAnsi="Verdana"/>
          <w:sz w:val="20"/>
          <w:szCs w:val="20"/>
          <w:lang w:val="en-US"/>
        </w:rPr>
      </w:pPr>
      <w:r w:rsidRPr="00D869E3">
        <w:rPr>
          <w:rFonts w:ascii="Verdana" w:hAnsi="Verdana"/>
          <w:sz w:val="20"/>
          <w:szCs w:val="20"/>
          <w:lang w:val="en-US"/>
        </w:rPr>
        <w:t>Consequently, in a Secretariat note of February 17,</w:t>
      </w:r>
      <w:r w:rsidR="008C33CE" w:rsidRPr="00D869E3">
        <w:rPr>
          <w:rFonts w:ascii="Verdana" w:hAnsi="Verdana"/>
          <w:sz w:val="20"/>
          <w:szCs w:val="20"/>
          <w:lang w:val="en-US"/>
        </w:rPr>
        <w:t xml:space="preserve"> 2017, </w:t>
      </w:r>
      <w:r w:rsidRPr="00D869E3">
        <w:rPr>
          <w:rFonts w:ascii="Verdana" w:hAnsi="Verdana"/>
          <w:sz w:val="20"/>
          <w:szCs w:val="20"/>
          <w:lang w:val="en-US"/>
        </w:rPr>
        <w:t>the full</w:t>
      </w:r>
      <w:r w:rsidR="00447C65" w:rsidRPr="00D869E3">
        <w:rPr>
          <w:rFonts w:ascii="Verdana" w:hAnsi="Verdana"/>
          <w:sz w:val="20"/>
          <w:szCs w:val="20"/>
          <w:lang w:val="en-US"/>
        </w:rPr>
        <w:t xml:space="preserve"> Court</w:t>
      </w:r>
      <w:r w:rsidR="008C33CE" w:rsidRPr="00D869E3">
        <w:rPr>
          <w:rFonts w:ascii="Verdana" w:hAnsi="Verdana"/>
          <w:sz w:val="20"/>
          <w:szCs w:val="20"/>
          <w:lang w:val="en-US"/>
        </w:rPr>
        <w:t xml:space="preserve"> determin</w:t>
      </w:r>
      <w:r w:rsidRPr="00D869E3">
        <w:rPr>
          <w:rFonts w:ascii="Verdana" w:hAnsi="Verdana"/>
          <w:sz w:val="20"/>
          <w:szCs w:val="20"/>
          <w:lang w:val="en-US"/>
        </w:rPr>
        <w:t>ed that, pursuant to</w:t>
      </w:r>
      <w:r w:rsidR="008C33CE" w:rsidRPr="00D869E3">
        <w:rPr>
          <w:rFonts w:ascii="Verdana" w:hAnsi="Verdana"/>
          <w:sz w:val="20"/>
          <w:szCs w:val="20"/>
          <w:lang w:val="en-US"/>
        </w:rPr>
        <w:t xml:space="preserve"> </w:t>
      </w:r>
      <w:r w:rsidR="00447C65" w:rsidRPr="00D869E3">
        <w:rPr>
          <w:rFonts w:ascii="Verdana" w:hAnsi="Verdana"/>
          <w:sz w:val="20"/>
          <w:szCs w:val="20"/>
          <w:lang w:val="en-US"/>
        </w:rPr>
        <w:t>Article</w:t>
      </w:r>
      <w:r w:rsidR="008C33CE" w:rsidRPr="00D869E3">
        <w:rPr>
          <w:rFonts w:ascii="Verdana" w:hAnsi="Verdana"/>
          <w:sz w:val="20"/>
          <w:szCs w:val="20"/>
          <w:lang w:val="en-US"/>
        </w:rPr>
        <w:t xml:space="preserve"> 46</w:t>
      </w:r>
      <w:r w:rsidRPr="00D869E3">
        <w:rPr>
          <w:rFonts w:ascii="Verdana" w:hAnsi="Verdana"/>
          <w:sz w:val="20"/>
          <w:szCs w:val="20"/>
          <w:lang w:val="en-US"/>
        </w:rPr>
        <w:t>(1)</w:t>
      </w:r>
      <w:r w:rsidR="00447C65" w:rsidRPr="00D869E3">
        <w:rPr>
          <w:rFonts w:ascii="Verdana" w:hAnsi="Verdana"/>
          <w:sz w:val="20"/>
          <w:szCs w:val="20"/>
          <w:lang w:val="en-US"/>
        </w:rPr>
        <w:t xml:space="preserve"> of the Rules of Procedure</w:t>
      </w:r>
      <w:r w:rsidR="008C33CE" w:rsidRPr="00D869E3">
        <w:rPr>
          <w:rFonts w:ascii="Verdana" w:hAnsi="Verdana"/>
          <w:sz w:val="20"/>
          <w:szCs w:val="20"/>
          <w:lang w:val="en-US"/>
        </w:rPr>
        <w:t xml:space="preserve">, </w:t>
      </w:r>
      <w:r w:rsidRPr="00D869E3">
        <w:rPr>
          <w:rFonts w:ascii="Verdana" w:hAnsi="Verdana"/>
          <w:sz w:val="20"/>
          <w:szCs w:val="20"/>
          <w:lang w:val="en-US"/>
        </w:rPr>
        <w:t xml:space="preserve">the proper procedural moment for </w:t>
      </w:r>
      <w:r w:rsidR="00447C65" w:rsidRPr="00D869E3">
        <w:rPr>
          <w:rFonts w:ascii="Verdana" w:hAnsi="Verdana"/>
          <w:sz w:val="20"/>
          <w:szCs w:val="20"/>
          <w:lang w:val="en-US"/>
        </w:rPr>
        <w:t>the Commission</w:t>
      </w:r>
      <w:r w:rsidR="00687684" w:rsidRPr="00D869E3">
        <w:rPr>
          <w:rFonts w:ascii="Verdana" w:hAnsi="Verdana"/>
          <w:sz w:val="20"/>
          <w:szCs w:val="20"/>
          <w:lang w:val="en-US"/>
        </w:rPr>
        <w:t xml:space="preserve"> and </w:t>
      </w:r>
      <w:r w:rsidRPr="00D869E3">
        <w:rPr>
          <w:rFonts w:ascii="Verdana" w:hAnsi="Verdana"/>
          <w:sz w:val="20"/>
          <w:szCs w:val="20"/>
          <w:lang w:val="en-US"/>
        </w:rPr>
        <w:t>the parties to confirm or withdraw the offer of the statements made in their respective briefs is in the final list requested by the Court</w:t>
      </w:r>
      <w:r w:rsidR="00151407" w:rsidRPr="00D869E3">
        <w:rPr>
          <w:rFonts w:ascii="Verdana" w:hAnsi="Verdana"/>
          <w:sz w:val="20"/>
          <w:szCs w:val="20"/>
          <w:lang w:val="en-US"/>
        </w:rPr>
        <w:t>; accordingly,</w:t>
      </w:r>
      <w:r w:rsidRPr="00D869E3">
        <w:rPr>
          <w:rFonts w:ascii="Verdana" w:hAnsi="Verdana"/>
          <w:sz w:val="20"/>
          <w:szCs w:val="20"/>
          <w:lang w:val="en-US"/>
        </w:rPr>
        <w:t xml:space="preserve"> once an expert opinion has been required in an order of the President and, especially, when it has been prepared, it is extremely relevant that it be incorporated into the proceedings. On this basis, pursuant to </w:t>
      </w:r>
      <w:r w:rsidR="00447C65" w:rsidRPr="00D869E3">
        <w:rPr>
          <w:rFonts w:ascii="Verdana" w:hAnsi="Verdana"/>
          <w:sz w:val="20"/>
          <w:szCs w:val="20"/>
          <w:lang w:val="en-US"/>
        </w:rPr>
        <w:t>Articles</w:t>
      </w:r>
      <w:r w:rsidR="008C33CE" w:rsidRPr="00D869E3">
        <w:rPr>
          <w:rFonts w:ascii="Verdana" w:hAnsi="Verdana"/>
          <w:sz w:val="20"/>
          <w:szCs w:val="20"/>
          <w:lang w:val="en-US"/>
        </w:rPr>
        <w:t xml:space="preserve"> 31, 46</w:t>
      </w:r>
      <w:r w:rsidRPr="00D869E3">
        <w:rPr>
          <w:rFonts w:ascii="Verdana" w:hAnsi="Verdana"/>
          <w:sz w:val="20"/>
          <w:szCs w:val="20"/>
          <w:lang w:val="en-US"/>
        </w:rPr>
        <w:t>(</w:t>
      </w:r>
      <w:r w:rsidR="008C33CE" w:rsidRPr="00D869E3">
        <w:rPr>
          <w:rFonts w:ascii="Verdana" w:hAnsi="Verdana"/>
          <w:sz w:val="20"/>
          <w:szCs w:val="20"/>
          <w:lang w:val="en-US"/>
        </w:rPr>
        <w:t>1</w:t>
      </w:r>
      <w:r w:rsidRPr="00D869E3">
        <w:rPr>
          <w:rFonts w:ascii="Verdana" w:hAnsi="Verdana"/>
          <w:sz w:val="20"/>
          <w:szCs w:val="20"/>
          <w:lang w:val="en-US"/>
        </w:rPr>
        <w:t>)</w:t>
      </w:r>
      <w:r w:rsidR="008C33CE" w:rsidRPr="00D869E3">
        <w:rPr>
          <w:rFonts w:ascii="Verdana" w:hAnsi="Verdana"/>
          <w:sz w:val="20"/>
          <w:szCs w:val="20"/>
          <w:lang w:val="en-US"/>
        </w:rPr>
        <w:t>, 54</w:t>
      </w:r>
      <w:r w:rsidR="00687684" w:rsidRPr="00D869E3">
        <w:rPr>
          <w:rFonts w:ascii="Verdana" w:hAnsi="Verdana"/>
          <w:sz w:val="20"/>
          <w:szCs w:val="20"/>
          <w:lang w:val="en-US"/>
        </w:rPr>
        <w:t xml:space="preserve"> and </w:t>
      </w:r>
      <w:r w:rsidR="008C33CE" w:rsidRPr="00D869E3">
        <w:rPr>
          <w:rFonts w:ascii="Verdana" w:hAnsi="Verdana"/>
          <w:sz w:val="20"/>
          <w:szCs w:val="20"/>
          <w:lang w:val="en-US"/>
        </w:rPr>
        <w:t>58</w:t>
      </w:r>
      <w:r w:rsidR="00447C65" w:rsidRPr="00D869E3">
        <w:rPr>
          <w:rFonts w:ascii="Verdana" w:hAnsi="Verdana"/>
          <w:sz w:val="20"/>
          <w:szCs w:val="20"/>
          <w:lang w:val="en-US"/>
        </w:rPr>
        <w:t xml:space="preserve"> of the Rules of Procedure</w:t>
      </w:r>
      <w:r w:rsidR="008C33CE" w:rsidRPr="00D869E3">
        <w:rPr>
          <w:rFonts w:ascii="Verdana" w:hAnsi="Verdana"/>
          <w:sz w:val="20"/>
          <w:szCs w:val="20"/>
          <w:lang w:val="en-US"/>
        </w:rPr>
        <w:t>, as</w:t>
      </w:r>
      <w:r w:rsidRPr="00D869E3">
        <w:rPr>
          <w:rFonts w:ascii="Verdana" w:hAnsi="Verdana"/>
          <w:sz w:val="20"/>
          <w:szCs w:val="20"/>
          <w:lang w:val="en-US"/>
        </w:rPr>
        <w:t xml:space="preserve"> well as operative paragraphs </w:t>
      </w:r>
      <w:r w:rsidR="008C33CE" w:rsidRPr="00D869E3">
        <w:rPr>
          <w:rFonts w:ascii="Verdana" w:hAnsi="Verdana"/>
          <w:sz w:val="20"/>
          <w:szCs w:val="20"/>
          <w:lang w:val="en-US"/>
        </w:rPr>
        <w:t>4, 5, 8</w:t>
      </w:r>
      <w:r w:rsidR="00687684" w:rsidRPr="00D869E3">
        <w:rPr>
          <w:rFonts w:ascii="Verdana" w:hAnsi="Verdana"/>
          <w:sz w:val="20"/>
          <w:szCs w:val="20"/>
          <w:lang w:val="en-US"/>
        </w:rPr>
        <w:t xml:space="preserve"> and </w:t>
      </w:r>
      <w:r w:rsidR="008C33CE" w:rsidRPr="00D869E3">
        <w:rPr>
          <w:rFonts w:ascii="Verdana" w:hAnsi="Verdana"/>
          <w:sz w:val="20"/>
          <w:szCs w:val="20"/>
          <w:lang w:val="en-US"/>
        </w:rPr>
        <w:t xml:space="preserve">11 </w:t>
      </w:r>
      <w:r w:rsidRPr="00D869E3">
        <w:rPr>
          <w:rFonts w:ascii="Verdana" w:hAnsi="Verdana"/>
          <w:sz w:val="20"/>
          <w:szCs w:val="20"/>
          <w:lang w:val="en-US"/>
        </w:rPr>
        <w:t>of the order</w:t>
      </w:r>
      <w:r w:rsidR="00447C65" w:rsidRPr="00D869E3">
        <w:rPr>
          <w:rFonts w:ascii="Verdana" w:hAnsi="Verdana"/>
          <w:sz w:val="20"/>
          <w:szCs w:val="20"/>
          <w:lang w:val="en-US"/>
        </w:rPr>
        <w:t xml:space="preserve"> of the President</w:t>
      </w:r>
      <w:r w:rsidR="008C33CE" w:rsidRPr="00D869E3">
        <w:rPr>
          <w:rFonts w:ascii="Verdana" w:hAnsi="Verdana"/>
          <w:sz w:val="20"/>
          <w:szCs w:val="20"/>
          <w:lang w:val="en-US"/>
        </w:rPr>
        <w:t xml:space="preserve"> </w:t>
      </w:r>
      <w:r w:rsidRPr="00D869E3">
        <w:rPr>
          <w:rFonts w:ascii="Verdana" w:hAnsi="Verdana"/>
          <w:sz w:val="20"/>
          <w:szCs w:val="20"/>
          <w:lang w:val="en-US"/>
        </w:rPr>
        <w:t xml:space="preserve">of </w:t>
      </w:r>
      <w:r w:rsidR="00687684" w:rsidRPr="00D869E3">
        <w:rPr>
          <w:rFonts w:ascii="Verdana" w:hAnsi="Verdana"/>
          <w:sz w:val="20"/>
          <w:szCs w:val="20"/>
          <w:lang w:val="en-US"/>
        </w:rPr>
        <w:t xml:space="preserve">November </w:t>
      </w:r>
      <w:r w:rsidRPr="00D869E3">
        <w:rPr>
          <w:rFonts w:ascii="Verdana" w:hAnsi="Verdana"/>
          <w:sz w:val="20"/>
          <w:szCs w:val="20"/>
          <w:lang w:val="en-US"/>
        </w:rPr>
        <w:t>2</w:t>
      </w:r>
      <w:r w:rsidR="00687684" w:rsidRPr="00D869E3">
        <w:rPr>
          <w:rFonts w:ascii="Verdana" w:hAnsi="Verdana"/>
          <w:sz w:val="20"/>
          <w:szCs w:val="20"/>
          <w:lang w:val="en-US"/>
        </w:rPr>
        <w:t>1,</w:t>
      </w:r>
      <w:r w:rsidR="008C33CE" w:rsidRPr="00D869E3">
        <w:rPr>
          <w:rFonts w:ascii="Verdana" w:hAnsi="Verdana"/>
          <w:sz w:val="20"/>
          <w:szCs w:val="20"/>
          <w:lang w:val="en-US"/>
        </w:rPr>
        <w:t xml:space="preserve"> 2016</w:t>
      </w:r>
      <w:r w:rsidRPr="00D869E3">
        <w:rPr>
          <w:rFonts w:ascii="Verdana" w:hAnsi="Verdana"/>
          <w:sz w:val="20"/>
          <w:szCs w:val="20"/>
          <w:lang w:val="en-US"/>
        </w:rPr>
        <w:t xml:space="preserve">, the State was required to forward the expert opinion of Omar Sar Suárez to the Court by February 24, </w:t>
      </w:r>
      <w:r w:rsidR="008C33CE" w:rsidRPr="00D869E3">
        <w:rPr>
          <w:rFonts w:ascii="Verdana" w:hAnsi="Verdana"/>
          <w:sz w:val="20"/>
          <w:szCs w:val="20"/>
          <w:lang w:val="en-US"/>
        </w:rPr>
        <w:t>2017.</w:t>
      </w:r>
    </w:p>
    <w:p w14:paraId="18ECD9E6" w14:textId="77777777" w:rsidR="008C33CE" w:rsidRPr="00D869E3" w:rsidRDefault="008C33CE" w:rsidP="008C33CE">
      <w:pPr>
        <w:pStyle w:val="Prrafodelista"/>
        <w:ind w:left="0"/>
        <w:jc w:val="both"/>
        <w:rPr>
          <w:rFonts w:ascii="Verdana" w:hAnsi="Verdana"/>
          <w:sz w:val="20"/>
          <w:szCs w:val="20"/>
          <w:lang w:val="en-US"/>
        </w:rPr>
      </w:pPr>
    </w:p>
    <w:p w14:paraId="516FFA56" w14:textId="1D255852" w:rsidR="008C33CE" w:rsidRPr="00D869E3" w:rsidRDefault="00A62EA8" w:rsidP="00A62EA8">
      <w:pPr>
        <w:pStyle w:val="Prrafodelista"/>
        <w:numPr>
          <w:ilvl w:val="0"/>
          <w:numId w:val="1"/>
        </w:numPr>
        <w:ind w:left="0" w:firstLine="0"/>
        <w:jc w:val="both"/>
        <w:rPr>
          <w:rFonts w:ascii="Verdana" w:hAnsi="Verdana"/>
          <w:sz w:val="20"/>
          <w:szCs w:val="20"/>
          <w:lang w:val="en-US"/>
        </w:rPr>
      </w:pPr>
      <w:r w:rsidRPr="00D869E3">
        <w:rPr>
          <w:rFonts w:ascii="Verdana" w:hAnsi="Verdana"/>
          <w:sz w:val="20"/>
          <w:szCs w:val="20"/>
          <w:lang w:val="en-US"/>
        </w:rPr>
        <w:t>On February 24,</w:t>
      </w:r>
      <w:r w:rsidR="008C33CE" w:rsidRPr="00D869E3">
        <w:rPr>
          <w:rFonts w:ascii="Verdana" w:hAnsi="Verdana"/>
          <w:sz w:val="20"/>
          <w:szCs w:val="20"/>
          <w:lang w:val="en-US"/>
        </w:rPr>
        <w:t xml:space="preserve"> 2017</w:t>
      </w:r>
      <w:r w:rsidRPr="00D869E3">
        <w:rPr>
          <w:rFonts w:ascii="Verdana" w:hAnsi="Verdana"/>
          <w:sz w:val="20"/>
          <w:szCs w:val="20"/>
          <w:lang w:val="en-US"/>
        </w:rPr>
        <w:t>,</w:t>
      </w:r>
      <w:r w:rsidR="008C33CE" w:rsidRPr="00D869E3">
        <w:rPr>
          <w:rFonts w:ascii="Verdana" w:hAnsi="Verdana"/>
          <w:sz w:val="20"/>
          <w:szCs w:val="20"/>
          <w:lang w:val="en-US"/>
        </w:rPr>
        <w:t xml:space="preserve"> </w:t>
      </w:r>
      <w:r w:rsidR="00447C65" w:rsidRPr="00D869E3">
        <w:rPr>
          <w:rFonts w:ascii="Verdana" w:hAnsi="Verdana"/>
          <w:sz w:val="20"/>
          <w:szCs w:val="20"/>
          <w:lang w:val="en-US"/>
        </w:rPr>
        <w:t>the State</w:t>
      </w:r>
      <w:r w:rsidR="008C33CE" w:rsidRPr="00D869E3">
        <w:rPr>
          <w:rFonts w:ascii="Verdana" w:hAnsi="Verdana"/>
          <w:sz w:val="20"/>
          <w:szCs w:val="20"/>
          <w:lang w:val="en-US"/>
        </w:rPr>
        <w:t xml:space="preserve"> </w:t>
      </w:r>
      <w:r w:rsidRPr="00D869E3">
        <w:rPr>
          <w:rFonts w:ascii="Verdana" w:hAnsi="Verdana"/>
          <w:sz w:val="20"/>
          <w:szCs w:val="20"/>
          <w:lang w:val="en-US"/>
        </w:rPr>
        <w:t>presented the expert opinion of</w:t>
      </w:r>
      <w:r w:rsidR="008C33CE" w:rsidRPr="00D869E3">
        <w:rPr>
          <w:rFonts w:ascii="Verdana" w:hAnsi="Verdana"/>
          <w:sz w:val="20"/>
          <w:szCs w:val="20"/>
          <w:lang w:val="en-US"/>
        </w:rPr>
        <w:t xml:space="preserve"> Omar Sar</w:t>
      </w:r>
      <w:r w:rsidR="00687684" w:rsidRPr="00D869E3">
        <w:rPr>
          <w:rFonts w:ascii="Verdana" w:hAnsi="Verdana"/>
          <w:sz w:val="20"/>
          <w:szCs w:val="20"/>
          <w:lang w:val="en-US"/>
        </w:rPr>
        <w:t xml:space="preserve"> and </w:t>
      </w:r>
      <w:r w:rsidRPr="00D869E3">
        <w:rPr>
          <w:rFonts w:ascii="Verdana" w:hAnsi="Verdana"/>
          <w:sz w:val="20"/>
          <w:szCs w:val="20"/>
          <w:lang w:val="en-US"/>
        </w:rPr>
        <w:t xml:space="preserve">its report </w:t>
      </w:r>
      <w:r w:rsidR="008C33CE" w:rsidRPr="00D869E3">
        <w:rPr>
          <w:rFonts w:ascii="Verdana" w:hAnsi="Verdana"/>
          <w:sz w:val="20"/>
          <w:szCs w:val="20"/>
          <w:lang w:val="en-US"/>
        </w:rPr>
        <w:t xml:space="preserve">No. 032-2017-JUS/CDJE-PPES </w:t>
      </w:r>
      <w:r w:rsidRPr="00D869E3">
        <w:rPr>
          <w:rFonts w:ascii="Verdana" w:hAnsi="Verdana"/>
          <w:sz w:val="20"/>
          <w:szCs w:val="20"/>
          <w:lang w:val="en-US"/>
        </w:rPr>
        <w:t xml:space="preserve">with observations on the Court’s requirement that this expert opinion be presented. In these observations, the State expressed its </w:t>
      </w:r>
      <w:r w:rsidR="00151407" w:rsidRPr="00D869E3">
        <w:rPr>
          <w:rFonts w:ascii="Verdana" w:hAnsi="Verdana"/>
          <w:sz w:val="20"/>
          <w:szCs w:val="20"/>
          <w:lang w:val="en-US"/>
        </w:rPr>
        <w:t>discrepancy</w:t>
      </w:r>
      <w:r w:rsidRPr="00D869E3">
        <w:rPr>
          <w:rFonts w:ascii="Verdana" w:hAnsi="Verdana"/>
          <w:sz w:val="20"/>
          <w:szCs w:val="20"/>
          <w:lang w:val="en-US"/>
        </w:rPr>
        <w:t xml:space="preserve"> with the fact that the Court had not provided it with the procedural opportunity to </w:t>
      </w:r>
      <w:r w:rsidR="00151407" w:rsidRPr="00D869E3">
        <w:rPr>
          <w:rFonts w:ascii="Verdana" w:hAnsi="Verdana"/>
          <w:sz w:val="20"/>
          <w:szCs w:val="20"/>
          <w:lang w:val="en-US"/>
        </w:rPr>
        <w:t>comment</w:t>
      </w:r>
      <w:r w:rsidRPr="00D869E3">
        <w:rPr>
          <w:rFonts w:ascii="Verdana" w:hAnsi="Verdana"/>
          <w:sz w:val="20"/>
          <w:szCs w:val="20"/>
          <w:lang w:val="en-US"/>
        </w:rPr>
        <w:t xml:space="preserve"> on the withdrawal of the expert opinion. In addition, it asked the Court not to take into account paragraphs 64 to 67, </w:t>
      </w:r>
      <w:r w:rsidR="008C33CE" w:rsidRPr="00D869E3">
        <w:rPr>
          <w:rFonts w:ascii="Verdana" w:hAnsi="Verdana"/>
          <w:sz w:val="20"/>
          <w:szCs w:val="20"/>
          <w:lang w:val="en-US"/>
        </w:rPr>
        <w:t>82, 83</w:t>
      </w:r>
      <w:r w:rsidR="00687684" w:rsidRPr="00D869E3">
        <w:rPr>
          <w:rFonts w:ascii="Verdana" w:hAnsi="Verdana"/>
          <w:sz w:val="20"/>
          <w:szCs w:val="20"/>
          <w:lang w:val="en-US"/>
        </w:rPr>
        <w:t xml:space="preserve"> and </w:t>
      </w:r>
      <w:r w:rsidR="008C33CE" w:rsidRPr="00D869E3">
        <w:rPr>
          <w:rFonts w:ascii="Verdana" w:hAnsi="Verdana"/>
          <w:sz w:val="20"/>
          <w:szCs w:val="20"/>
          <w:lang w:val="en-US"/>
        </w:rPr>
        <w:t>96,</w:t>
      </w:r>
      <w:r w:rsidR="00687684" w:rsidRPr="00D869E3">
        <w:rPr>
          <w:rFonts w:ascii="Verdana" w:hAnsi="Verdana"/>
          <w:sz w:val="20"/>
          <w:szCs w:val="20"/>
          <w:lang w:val="en-US"/>
        </w:rPr>
        <w:t xml:space="preserve"> and </w:t>
      </w:r>
      <w:r w:rsidRPr="00D869E3">
        <w:rPr>
          <w:rFonts w:ascii="Verdana" w:hAnsi="Verdana"/>
          <w:sz w:val="20"/>
          <w:szCs w:val="20"/>
          <w:lang w:val="en-US"/>
        </w:rPr>
        <w:t xml:space="preserve">the answer to </w:t>
      </w:r>
      <w:r w:rsidR="00687684" w:rsidRPr="00D869E3">
        <w:rPr>
          <w:rFonts w:ascii="Verdana" w:hAnsi="Verdana"/>
          <w:sz w:val="20"/>
          <w:szCs w:val="20"/>
          <w:lang w:val="en-US"/>
        </w:rPr>
        <w:t>the representatives</w:t>
      </w:r>
      <w:r w:rsidRPr="00D869E3">
        <w:rPr>
          <w:rFonts w:ascii="Verdana" w:hAnsi="Verdana"/>
          <w:sz w:val="20"/>
          <w:szCs w:val="20"/>
          <w:lang w:val="en-US"/>
        </w:rPr>
        <w:t xml:space="preserve"> question 7</w:t>
      </w:r>
      <w:r w:rsidR="008C33CE" w:rsidRPr="00D869E3">
        <w:rPr>
          <w:rFonts w:ascii="Verdana" w:hAnsi="Verdana"/>
          <w:sz w:val="20"/>
          <w:szCs w:val="20"/>
          <w:lang w:val="en-US"/>
        </w:rPr>
        <w:t xml:space="preserve">, </w:t>
      </w:r>
      <w:r w:rsidRPr="00D869E3">
        <w:rPr>
          <w:rFonts w:ascii="Verdana" w:hAnsi="Verdana"/>
          <w:sz w:val="20"/>
          <w:szCs w:val="20"/>
          <w:lang w:val="en-US"/>
        </w:rPr>
        <w:t>because</w:t>
      </w:r>
      <w:r w:rsidR="008C33CE" w:rsidRPr="00D869E3">
        <w:rPr>
          <w:rFonts w:ascii="Verdana" w:hAnsi="Verdana"/>
          <w:sz w:val="20"/>
          <w:szCs w:val="20"/>
          <w:lang w:val="en-US"/>
        </w:rPr>
        <w:t xml:space="preserve"> </w:t>
      </w:r>
      <w:r w:rsidR="00447C65" w:rsidRPr="00D869E3">
        <w:rPr>
          <w:rFonts w:ascii="Verdana" w:hAnsi="Verdana"/>
          <w:sz w:val="20"/>
          <w:szCs w:val="20"/>
          <w:lang w:val="en-US"/>
        </w:rPr>
        <w:t>the State</w:t>
      </w:r>
      <w:r w:rsidR="008C33CE" w:rsidRPr="00D869E3">
        <w:rPr>
          <w:rFonts w:ascii="Verdana" w:hAnsi="Verdana"/>
          <w:sz w:val="20"/>
          <w:szCs w:val="20"/>
          <w:lang w:val="en-US"/>
        </w:rPr>
        <w:t xml:space="preserve"> consider</w:t>
      </w:r>
      <w:r w:rsidRPr="00D869E3">
        <w:rPr>
          <w:rFonts w:ascii="Verdana" w:hAnsi="Verdana"/>
          <w:sz w:val="20"/>
          <w:szCs w:val="20"/>
          <w:lang w:val="en-US"/>
        </w:rPr>
        <w:t>ed that the</w:t>
      </w:r>
      <w:r w:rsidR="00151407" w:rsidRPr="00D869E3">
        <w:rPr>
          <w:rFonts w:ascii="Verdana" w:hAnsi="Verdana"/>
          <w:sz w:val="20"/>
          <w:szCs w:val="20"/>
          <w:lang w:val="en-US"/>
        </w:rPr>
        <w:t>se referred</w:t>
      </w:r>
      <w:r w:rsidRPr="00D869E3">
        <w:rPr>
          <w:rFonts w:ascii="Verdana" w:hAnsi="Verdana"/>
          <w:sz w:val="20"/>
          <w:szCs w:val="20"/>
          <w:lang w:val="en-US"/>
        </w:rPr>
        <w:t xml:space="preserve"> directly to the specific case. Despite this, in its final written arguments, the State used the opinion of</w:t>
      </w:r>
      <w:r w:rsidR="008C33CE" w:rsidRPr="00D869E3">
        <w:rPr>
          <w:rFonts w:ascii="Verdana" w:hAnsi="Verdana"/>
          <w:sz w:val="20"/>
          <w:szCs w:val="20"/>
          <w:lang w:val="en-US"/>
        </w:rPr>
        <w:t xml:space="preserve"> Omar Sar Suárez </w:t>
      </w:r>
      <w:r w:rsidRPr="00D869E3">
        <w:rPr>
          <w:rFonts w:ascii="Verdana" w:hAnsi="Verdana"/>
          <w:sz w:val="20"/>
          <w:szCs w:val="20"/>
          <w:lang w:val="en-US"/>
        </w:rPr>
        <w:t>with regard to various aspects such as limits to freedom of expression and</w:t>
      </w:r>
      <w:r w:rsidR="00C82C0C" w:rsidRPr="00D869E3">
        <w:rPr>
          <w:rFonts w:ascii="Verdana" w:hAnsi="Verdana"/>
          <w:sz w:val="20"/>
          <w:szCs w:val="20"/>
          <w:lang w:val="en-US"/>
        </w:rPr>
        <w:t xml:space="preserve"> </w:t>
      </w:r>
      <w:r w:rsidR="006436CA" w:rsidRPr="00D869E3">
        <w:rPr>
          <w:rFonts w:ascii="Verdana" w:hAnsi="Verdana"/>
          <w:sz w:val="20"/>
          <w:szCs w:val="20"/>
          <w:lang w:val="en-US"/>
        </w:rPr>
        <w:t>“</w:t>
      </w:r>
      <w:r w:rsidR="00C82C0C" w:rsidRPr="00D869E3">
        <w:rPr>
          <w:rFonts w:ascii="Verdana" w:hAnsi="Verdana"/>
          <w:sz w:val="20"/>
          <w:szCs w:val="20"/>
          <w:lang w:val="en-US"/>
        </w:rPr>
        <w:t xml:space="preserve">serious </w:t>
      </w:r>
      <w:r w:rsidR="009D2A11" w:rsidRPr="00D869E3">
        <w:rPr>
          <w:rFonts w:ascii="Verdana" w:hAnsi="Verdana"/>
          <w:sz w:val="20"/>
          <w:szCs w:val="20"/>
          <w:lang w:val="en-US"/>
        </w:rPr>
        <w:t xml:space="preserve">verbal </w:t>
      </w:r>
      <w:r w:rsidR="00745FB9" w:rsidRPr="00D869E3">
        <w:rPr>
          <w:rFonts w:ascii="Verdana" w:hAnsi="Verdana"/>
          <w:sz w:val="20"/>
          <w:szCs w:val="20"/>
          <w:lang w:val="en-US"/>
        </w:rPr>
        <w:t>misconduct</w:t>
      </w:r>
      <w:r w:rsidR="00C82C0C" w:rsidRPr="00D869E3">
        <w:rPr>
          <w:rFonts w:ascii="Verdana" w:hAnsi="Verdana"/>
          <w:sz w:val="20"/>
          <w:szCs w:val="20"/>
          <w:lang w:val="en-US"/>
        </w:rPr>
        <w:t>.</w:t>
      </w:r>
      <w:r w:rsidR="006436CA" w:rsidRPr="00D869E3">
        <w:rPr>
          <w:rFonts w:ascii="Verdana" w:hAnsi="Verdana"/>
          <w:sz w:val="20"/>
          <w:szCs w:val="20"/>
          <w:lang w:val="en-US"/>
        </w:rPr>
        <w:t>”</w:t>
      </w:r>
    </w:p>
    <w:p w14:paraId="4FE38E68" w14:textId="77777777" w:rsidR="008C33CE" w:rsidRPr="00D869E3" w:rsidRDefault="008C33CE" w:rsidP="008C33CE">
      <w:pPr>
        <w:pStyle w:val="Prrafodelista"/>
        <w:ind w:left="0"/>
        <w:jc w:val="both"/>
        <w:rPr>
          <w:rFonts w:ascii="Verdana" w:hAnsi="Verdana"/>
          <w:sz w:val="20"/>
          <w:szCs w:val="20"/>
          <w:lang w:val="en-US"/>
        </w:rPr>
      </w:pPr>
    </w:p>
    <w:p w14:paraId="119F97A5" w14:textId="0011B4DB" w:rsidR="00EA232B" w:rsidRPr="00D869E3" w:rsidRDefault="00C82C0C" w:rsidP="00E66DD7">
      <w:pPr>
        <w:pStyle w:val="Prrafodelista"/>
        <w:numPr>
          <w:ilvl w:val="0"/>
          <w:numId w:val="1"/>
        </w:numPr>
        <w:ind w:left="0" w:firstLine="0"/>
        <w:jc w:val="both"/>
        <w:rPr>
          <w:rFonts w:ascii="Verdana" w:hAnsi="Verdana"/>
          <w:sz w:val="20"/>
          <w:szCs w:val="20"/>
          <w:lang w:val="en-US"/>
        </w:rPr>
      </w:pPr>
      <w:r w:rsidRPr="00D869E3">
        <w:rPr>
          <w:rFonts w:ascii="Verdana" w:hAnsi="Verdana"/>
          <w:sz w:val="20"/>
          <w:szCs w:val="20"/>
          <w:lang w:val="en-US"/>
        </w:rPr>
        <w:t xml:space="preserve">Based on the </w:t>
      </w:r>
      <w:r w:rsidR="00745FB9" w:rsidRPr="00D869E3">
        <w:rPr>
          <w:rFonts w:ascii="Verdana" w:hAnsi="Verdana"/>
          <w:sz w:val="20"/>
          <w:szCs w:val="20"/>
          <w:lang w:val="en-US"/>
        </w:rPr>
        <w:t xml:space="preserve">State’s </w:t>
      </w:r>
      <w:r w:rsidRPr="00D869E3">
        <w:rPr>
          <w:rFonts w:ascii="Verdana" w:hAnsi="Verdana"/>
          <w:sz w:val="20"/>
          <w:szCs w:val="20"/>
          <w:lang w:val="en-US"/>
        </w:rPr>
        <w:t xml:space="preserve">observations in its brief of February 24, </w:t>
      </w:r>
      <w:r w:rsidR="008C33CE" w:rsidRPr="00D869E3">
        <w:rPr>
          <w:rFonts w:ascii="Verdana" w:hAnsi="Verdana"/>
          <w:sz w:val="20"/>
          <w:szCs w:val="20"/>
          <w:lang w:val="en-US"/>
        </w:rPr>
        <w:t>2017</w:t>
      </w:r>
      <w:r w:rsidRPr="00D869E3">
        <w:rPr>
          <w:rFonts w:ascii="Verdana" w:hAnsi="Verdana"/>
          <w:sz w:val="20"/>
          <w:szCs w:val="20"/>
          <w:lang w:val="en-US"/>
        </w:rPr>
        <w:t>,</w:t>
      </w:r>
      <w:r w:rsidR="008C33CE" w:rsidRPr="00D869E3">
        <w:rPr>
          <w:rFonts w:ascii="Verdana" w:hAnsi="Verdana"/>
          <w:sz w:val="20"/>
          <w:szCs w:val="20"/>
          <w:lang w:val="en-US"/>
        </w:rPr>
        <w:t xml:space="preserve"> </w:t>
      </w:r>
      <w:r w:rsidR="00447C65" w:rsidRPr="00D869E3">
        <w:rPr>
          <w:rFonts w:ascii="Verdana" w:hAnsi="Verdana"/>
          <w:sz w:val="20"/>
          <w:szCs w:val="20"/>
          <w:lang w:val="en-US"/>
        </w:rPr>
        <w:t>the Court</w:t>
      </w:r>
      <w:r w:rsidR="008C33CE" w:rsidRPr="00D869E3">
        <w:rPr>
          <w:rFonts w:ascii="Verdana" w:hAnsi="Verdana"/>
          <w:sz w:val="20"/>
          <w:szCs w:val="20"/>
          <w:lang w:val="en-US"/>
        </w:rPr>
        <w:t xml:space="preserve"> </w:t>
      </w:r>
      <w:r w:rsidRPr="00D869E3">
        <w:rPr>
          <w:rFonts w:ascii="Verdana" w:hAnsi="Verdana"/>
          <w:sz w:val="20"/>
          <w:szCs w:val="20"/>
          <w:lang w:val="en-US"/>
        </w:rPr>
        <w:t>finds that the re</w:t>
      </w:r>
      <w:r w:rsidR="00DF79A9" w:rsidRPr="00D869E3">
        <w:rPr>
          <w:rFonts w:ascii="Verdana" w:hAnsi="Verdana"/>
          <w:sz w:val="20"/>
          <w:szCs w:val="20"/>
          <w:lang w:val="en-US"/>
        </w:rPr>
        <w:t>quirement</w:t>
      </w:r>
      <w:r w:rsidRPr="00D869E3">
        <w:rPr>
          <w:rFonts w:ascii="Verdana" w:hAnsi="Verdana"/>
          <w:sz w:val="20"/>
          <w:szCs w:val="20"/>
          <w:lang w:val="en-US"/>
        </w:rPr>
        <w:t xml:space="preserve"> and admission of the expert opinion of </w:t>
      </w:r>
      <w:r w:rsidR="008C33CE" w:rsidRPr="00D869E3">
        <w:rPr>
          <w:rFonts w:ascii="Verdana" w:hAnsi="Verdana"/>
          <w:sz w:val="20"/>
          <w:szCs w:val="20"/>
          <w:lang w:val="en-US"/>
        </w:rPr>
        <w:t xml:space="preserve">Omar Sar Suárez </w:t>
      </w:r>
      <w:r w:rsidRPr="00D869E3">
        <w:rPr>
          <w:rFonts w:ascii="Verdana" w:hAnsi="Verdana"/>
          <w:sz w:val="20"/>
          <w:szCs w:val="20"/>
          <w:lang w:val="en-US"/>
        </w:rPr>
        <w:t>w</w:t>
      </w:r>
      <w:r w:rsidR="00DF79A9" w:rsidRPr="00D869E3">
        <w:rPr>
          <w:rFonts w:ascii="Verdana" w:hAnsi="Verdana"/>
          <w:sz w:val="20"/>
          <w:szCs w:val="20"/>
          <w:lang w:val="en-US"/>
        </w:rPr>
        <w:t>ere</w:t>
      </w:r>
      <w:r w:rsidRPr="00D869E3">
        <w:rPr>
          <w:rFonts w:ascii="Verdana" w:hAnsi="Verdana"/>
          <w:sz w:val="20"/>
          <w:szCs w:val="20"/>
          <w:lang w:val="en-US"/>
        </w:rPr>
        <w:t xml:space="preserve"> decided in </w:t>
      </w:r>
      <w:r w:rsidR="00DF79A9" w:rsidRPr="00D869E3">
        <w:rPr>
          <w:rFonts w:ascii="Verdana" w:hAnsi="Verdana"/>
          <w:sz w:val="20"/>
          <w:szCs w:val="20"/>
          <w:lang w:val="en-US"/>
        </w:rPr>
        <w:t xml:space="preserve">both </w:t>
      </w:r>
      <w:r w:rsidRPr="00D869E3">
        <w:rPr>
          <w:rFonts w:ascii="Verdana" w:hAnsi="Verdana"/>
          <w:sz w:val="20"/>
          <w:szCs w:val="20"/>
          <w:lang w:val="en-US"/>
        </w:rPr>
        <w:t>the order calling</w:t>
      </w:r>
      <w:r w:rsidR="00DF79A9" w:rsidRPr="00D869E3">
        <w:rPr>
          <w:rFonts w:ascii="Verdana" w:hAnsi="Verdana"/>
          <w:sz w:val="20"/>
          <w:szCs w:val="20"/>
          <w:lang w:val="en-US"/>
        </w:rPr>
        <w:t xml:space="preserve"> for</w:t>
      </w:r>
      <w:r w:rsidRPr="00D869E3">
        <w:rPr>
          <w:rFonts w:ascii="Verdana" w:hAnsi="Verdana"/>
          <w:sz w:val="20"/>
          <w:szCs w:val="20"/>
          <w:lang w:val="en-US"/>
        </w:rPr>
        <w:t xml:space="preserve"> the hearing of November 21</w:t>
      </w:r>
      <w:r w:rsidR="00687684" w:rsidRPr="00D869E3">
        <w:rPr>
          <w:rFonts w:ascii="Verdana" w:hAnsi="Verdana"/>
          <w:sz w:val="20"/>
          <w:szCs w:val="20"/>
          <w:lang w:val="en-US"/>
        </w:rPr>
        <w:t>,</w:t>
      </w:r>
      <w:r w:rsidR="008C33CE" w:rsidRPr="00D869E3">
        <w:rPr>
          <w:rFonts w:ascii="Verdana" w:hAnsi="Verdana"/>
          <w:sz w:val="20"/>
          <w:szCs w:val="20"/>
          <w:lang w:val="en-US"/>
        </w:rPr>
        <w:t xml:space="preserve"> 2016</w:t>
      </w:r>
      <w:r w:rsidRPr="00D869E3">
        <w:rPr>
          <w:rFonts w:ascii="Verdana" w:hAnsi="Verdana"/>
          <w:sz w:val="20"/>
          <w:szCs w:val="20"/>
          <w:lang w:val="en-US"/>
        </w:rPr>
        <w:t>, and the decision of the full Court, in a Secretariat note of February 17,</w:t>
      </w:r>
      <w:r w:rsidR="008C33CE" w:rsidRPr="00D869E3">
        <w:rPr>
          <w:rFonts w:ascii="Verdana" w:hAnsi="Verdana"/>
          <w:sz w:val="20"/>
          <w:szCs w:val="20"/>
          <w:lang w:val="en-US"/>
        </w:rPr>
        <w:t xml:space="preserve"> 2017 (</w:t>
      </w:r>
      <w:r w:rsidR="00224537" w:rsidRPr="00D869E3">
        <w:rPr>
          <w:rFonts w:ascii="Verdana" w:hAnsi="Verdana"/>
          <w:i/>
          <w:sz w:val="20"/>
          <w:szCs w:val="20"/>
          <w:lang w:val="en-US"/>
        </w:rPr>
        <w:t>supra</w:t>
      </w:r>
      <w:r w:rsidR="008C33CE" w:rsidRPr="00D869E3">
        <w:rPr>
          <w:rFonts w:ascii="Verdana" w:hAnsi="Verdana"/>
          <w:sz w:val="20"/>
          <w:szCs w:val="20"/>
          <w:lang w:val="en-US"/>
        </w:rPr>
        <w:t xml:space="preserve">, </w:t>
      </w:r>
      <w:r w:rsidR="0087339F" w:rsidRPr="00D869E3">
        <w:rPr>
          <w:rFonts w:ascii="Verdana" w:hAnsi="Verdana"/>
          <w:sz w:val="20"/>
          <w:szCs w:val="20"/>
          <w:lang w:val="en-US"/>
        </w:rPr>
        <w:t>para.</w:t>
      </w:r>
      <w:r w:rsidR="008C33CE" w:rsidRPr="00D869E3">
        <w:rPr>
          <w:rFonts w:ascii="Verdana" w:hAnsi="Verdana"/>
          <w:sz w:val="20"/>
          <w:szCs w:val="20"/>
          <w:lang w:val="en-US"/>
        </w:rPr>
        <w:t xml:space="preserve"> </w:t>
      </w:r>
      <w:r w:rsidR="00FF0C2D" w:rsidRPr="00D869E3">
        <w:rPr>
          <w:rFonts w:ascii="Verdana" w:hAnsi="Verdana"/>
          <w:sz w:val="20"/>
          <w:szCs w:val="20"/>
          <w:lang w:val="en-US"/>
        </w:rPr>
        <w:t>31</w:t>
      </w:r>
      <w:r w:rsidR="008C33CE" w:rsidRPr="00D869E3">
        <w:rPr>
          <w:rFonts w:ascii="Verdana" w:hAnsi="Verdana"/>
          <w:sz w:val="20"/>
          <w:szCs w:val="20"/>
          <w:lang w:val="en-US"/>
        </w:rPr>
        <w:t>).</w:t>
      </w:r>
      <w:r w:rsidR="000D5308" w:rsidRPr="00D869E3">
        <w:rPr>
          <w:rFonts w:ascii="Verdana" w:hAnsi="Verdana"/>
          <w:sz w:val="20"/>
          <w:szCs w:val="20"/>
          <w:lang w:val="en-US"/>
        </w:rPr>
        <w:t xml:space="preserve"> </w:t>
      </w:r>
      <w:r w:rsidRPr="00D869E3">
        <w:rPr>
          <w:rFonts w:ascii="Verdana" w:hAnsi="Verdana"/>
          <w:sz w:val="20"/>
          <w:szCs w:val="20"/>
          <w:lang w:val="en-US"/>
        </w:rPr>
        <w:t xml:space="preserve">Regarding the content of the opinion, the Court has indicated that </w:t>
      </w:r>
      <w:r w:rsidR="001E44D3" w:rsidRPr="00D869E3">
        <w:rPr>
          <w:rFonts w:ascii="Verdana" w:hAnsi="Verdana"/>
          <w:sz w:val="20"/>
          <w:szCs w:val="20"/>
          <w:lang w:val="en-US"/>
        </w:rPr>
        <w:t>expert witnesses</w:t>
      </w:r>
      <w:r w:rsidR="008C33CE" w:rsidRPr="00D869E3">
        <w:rPr>
          <w:rFonts w:ascii="Verdana" w:hAnsi="Verdana"/>
          <w:sz w:val="20"/>
          <w:szCs w:val="20"/>
          <w:lang w:val="en-US"/>
        </w:rPr>
        <w:t xml:space="preserve"> </w:t>
      </w:r>
      <w:r w:rsidRPr="00D869E3">
        <w:rPr>
          <w:rFonts w:ascii="Verdana" w:hAnsi="Verdana"/>
          <w:sz w:val="20"/>
          <w:szCs w:val="20"/>
          <w:lang w:val="en-US"/>
        </w:rPr>
        <w:t xml:space="preserve">may refer to specific points of the </w:t>
      </w:r>
      <w:r w:rsidR="008C33CE" w:rsidRPr="00D869E3">
        <w:rPr>
          <w:rFonts w:ascii="Verdana" w:hAnsi="Verdana"/>
          <w:i/>
          <w:sz w:val="20"/>
          <w:szCs w:val="20"/>
          <w:lang w:val="en-US"/>
        </w:rPr>
        <w:t>litis</w:t>
      </w:r>
      <w:r w:rsidR="008C33CE" w:rsidRPr="00D869E3">
        <w:rPr>
          <w:rFonts w:ascii="Verdana" w:hAnsi="Verdana"/>
          <w:sz w:val="20"/>
          <w:szCs w:val="20"/>
          <w:lang w:val="en-US"/>
        </w:rPr>
        <w:t xml:space="preserve"> </w:t>
      </w:r>
      <w:r w:rsidRPr="00D869E3">
        <w:rPr>
          <w:rFonts w:ascii="Verdana" w:hAnsi="Verdana"/>
          <w:sz w:val="20"/>
          <w:szCs w:val="20"/>
          <w:lang w:val="en-US"/>
        </w:rPr>
        <w:t xml:space="preserve">and to any other point that is relevant to the litigation, provided they respect the purpose for which they were </w:t>
      </w:r>
      <w:r w:rsidR="00DF79A9" w:rsidRPr="00D869E3">
        <w:rPr>
          <w:rFonts w:ascii="Verdana" w:hAnsi="Verdana"/>
          <w:sz w:val="20"/>
          <w:szCs w:val="20"/>
          <w:lang w:val="en-US"/>
        </w:rPr>
        <w:t>required</w:t>
      </w:r>
      <w:r w:rsidRPr="00D869E3">
        <w:rPr>
          <w:rFonts w:ascii="Verdana" w:hAnsi="Verdana"/>
          <w:sz w:val="20"/>
          <w:szCs w:val="20"/>
          <w:lang w:val="en-US"/>
        </w:rPr>
        <w:t>.</w:t>
      </w:r>
      <w:r w:rsidR="008C33CE" w:rsidRPr="00D869E3">
        <w:rPr>
          <w:rStyle w:val="Refdenotaalpie"/>
          <w:szCs w:val="20"/>
          <w:lang w:val="en-US"/>
        </w:rPr>
        <w:footnoteReference w:id="25"/>
      </w:r>
      <w:r w:rsidR="008C33CE" w:rsidRPr="00D869E3">
        <w:rPr>
          <w:rFonts w:ascii="Verdana" w:hAnsi="Verdana"/>
          <w:sz w:val="20"/>
          <w:szCs w:val="20"/>
          <w:lang w:val="en-US"/>
        </w:rPr>
        <w:t xml:space="preserve"> </w:t>
      </w:r>
      <w:r w:rsidR="00447C65" w:rsidRPr="00D869E3">
        <w:rPr>
          <w:rFonts w:ascii="Verdana" w:hAnsi="Verdana"/>
          <w:sz w:val="20"/>
          <w:szCs w:val="20"/>
          <w:lang w:val="en-US"/>
        </w:rPr>
        <w:t>The Court</w:t>
      </w:r>
      <w:r w:rsidR="008C33CE" w:rsidRPr="00D869E3">
        <w:rPr>
          <w:rFonts w:ascii="Verdana" w:hAnsi="Verdana"/>
          <w:sz w:val="20"/>
          <w:szCs w:val="20"/>
          <w:lang w:val="en-US"/>
        </w:rPr>
        <w:t xml:space="preserve"> </w:t>
      </w:r>
      <w:r w:rsidR="00DF79A9" w:rsidRPr="00D869E3">
        <w:rPr>
          <w:rFonts w:ascii="Verdana" w:hAnsi="Verdana"/>
          <w:sz w:val="20"/>
          <w:szCs w:val="20"/>
          <w:lang w:val="en-US"/>
        </w:rPr>
        <w:t>determines</w:t>
      </w:r>
      <w:r w:rsidRPr="00D869E3">
        <w:rPr>
          <w:rFonts w:ascii="Verdana" w:hAnsi="Verdana"/>
          <w:sz w:val="20"/>
          <w:szCs w:val="20"/>
          <w:lang w:val="en-US"/>
        </w:rPr>
        <w:t xml:space="preserve"> that the statements </w:t>
      </w:r>
      <w:r w:rsidR="00DF79A9" w:rsidRPr="00D869E3">
        <w:rPr>
          <w:rFonts w:ascii="Verdana" w:hAnsi="Verdana"/>
          <w:sz w:val="20"/>
          <w:szCs w:val="20"/>
          <w:lang w:val="en-US"/>
        </w:rPr>
        <w:t>made</w:t>
      </w:r>
      <w:r w:rsidRPr="00D869E3">
        <w:rPr>
          <w:rFonts w:ascii="Verdana" w:hAnsi="Verdana"/>
          <w:sz w:val="20"/>
          <w:szCs w:val="20"/>
          <w:lang w:val="en-US"/>
        </w:rPr>
        <w:t xml:space="preserve"> in the </w:t>
      </w:r>
      <w:r w:rsidR="00DF79A9" w:rsidRPr="00D869E3">
        <w:rPr>
          <w:rFonts w:ascii="Verdana" w:hAnsi="Verdana"/>
          <w:sz w:val="20"/>
          <w:szCs w:val="20"/>
          <w:lang w:val="en-US"/>
        </w:rPr>
        <w:t>above-mentioned</w:t>
      </w:r>
      <w:r w:rsidRPr="00D869E3">
        <w:rPr>
          <w:rFonts w:ascii="Verdana" w:hAnsi="Verdana"/>
          <w:sz w:val="20"/>
          <w:szCs w:val="20"/>
          <w:lang w:val="en-US"/>
        </w:rPr>
        <w:t xml:space="preserve"> paragraphs refer</w:t>
      </w:r>
      <w:r w:rsidR="00DF79A9" w:rsidRPr="00D869E3">
        <w:rPr>
          <w:rFonts w:ascii="Verdana" w:hAnsi="Verdana"/>
          <w:sz w:val="20"/>
          <w:szCs w:val="20"/>
          <w:lang w:val="en-US"/>
        </w:rPr>
        <w:t>red</w:t>
      </w:r>
      <w:r w:rsidRPr="00D869E3">
        <w:rPr>
          <w:rFonts w:ascii="Verdana" w:hAnsi="Verdana"/>
          <w:sz w:val="20"/>
          <w:szCs w:val="20"/>
          <w:lang w:val="en-US"/>
        </w:rPr>
        <w:t xml:space="preserve"> to the scope, content and legitimate restrictions of the</w:t>
      </w:r>
      <w:r w:rsidR="008C33CE" w:rsidRPr="00D869E3">
        <w:rPr>
          <w:rFonts w:ascii="Verdana" w:hAnsi="Verdana"/>
          <w:sz w:val="20"/>
          <w:szCs w:val="20"/>
          <w:lang w:val="en-US"/>
        </w:rPr>
        <w:t xml:space="preserve"> </w:t>
      </w:r>
      <w:r w:rsidRPr="00D869E3">
        <w:rPr>
          <w:rFonts w:ascii="Verdana" w:hAnsi="Verdana"/>
          <w:sz w:val="20"/>
          <w:szCs w:val="20"/>
          <w:lang w:val="en-US"/>
        </w:rPr>
        <w:t>right to freedom</w:t>
      </w:r>
      <w:r w:rsidR="00A62EA8" w:rsidRPr="00D869E3">
        <w:rPr>
          <w:rFonts w:ascii="Verdana" w:hAnsi="Verdana"/>
          <w:sz w:val="20"/>
          <w:szCs w:val="20"/>
          <w:lang w:val="en-US"/>
        </w:rPr>
        <w:t xml:space="preserve"> of expression</w:t>
      </w:r>
      <w:r w:rsidR="008C33CE" w:rsidRPr="00D869E3">
        <w:rPr>
          <w:rFonts w:ascii="Verdana" w:hAnsi="Verdana"/>
          <w:sz w:val="20"/>
          <w:szCs w:val="20"/>
          <w:lang w:val="en-US"/>
        </w:rPr>
        <w:t xml:space="preserve"> </w:t>
      </w:r>
      <w:r w:rsidRPr="00D869E3">
        <w:rPr>
          <w:rFonts w:ascii="Verdana" w:hAnsi="Verdana"/>
          <w:sz w:val="20"/>
          <w:szCs w:val="20"/>
          <w:lang w:val="en-US"/>
        </w:rPr>
        <w:t>in the labor context</w:t>
      </w:r>
      <w:r w:rsidR="00EA232B" w:rsidRPr="00D869E3">
        <w:rPr>
          <w:rFonts w:ascii="Verdana" w:hAnsi="Verdana"/>
          <w:sz w:val="20"/>
          <w:szCs w:val="20"/>
          <w:lang w:val="en-US"/>
        </w:rPr>
        <w:t xml:space="preserve"> focused on </w:t>
      </w:r>
      <w:r w:rsidR="00687684" w:rsidRPr="00D869E3">
        <w:rPr>
          <w:rFonts w:ascii="Verdana" w:hAnsi="Verdana"/>
          <w:sz w:val="20"/>
          <w:szCs w:val="20"/>
          <w:lang w:val="en-US"/>
        </w:rPr>
        <w:t>the representatives</w:t>
      </w:r>
      <w:r w:rsidR="008C33CE" w:rsidRPr="00D869E3">
        <w:rPr>
          <w:rFonts w:ascii="Verdana" w:hAnsi="Verdana"/>
          <w:sz w:val="20"/>
          <w:szCs w:val="20"/>
          <w:lang w:val="en-US"/>
        </w:rPr>
        <w:t xml:space="preserve"> </w:t>
      </w:r>
      <w:r w:rsidR="00EA232B" w:rsidRPr="00D869E3">
        <w:rPr>
          <w:rFonts w:ascii="Verdana" w:hAnsi="Verdana"/>
          <w:sz w:val="20"/>
          <w:szCs w:val="20"/>
          <w:lang w:val="en-US"/>
        </w:rPr>
        <w:t xml:space="preserve">of a </w:t>
      </w:r>
      <w:r w:rsidR="00E85F6A" w:rsidRPr="00D869E3">
        <w:rPr>
          <w:rFonts w:ascii="Verdana" w:hAnsi="Verdana"/>
          <w:sz w:val="20"/>
          <w:szCs w:val="20"/>
          <w:lang w:val="en-US"/>
        </w:rPr>
        <w:t>labor union</w:t>
      </w:r>
      <w:r w:rsidR="00EA232B" w:rsidRPr="00D869E3">
        <w:rPr>
          <w:rFonts w:ascii="Verdana" w:hAnsi="Verdana"/>
          <w:sz w:val="20"/>
          <w:szCs w:val="20"/>
          <w:lang w:val="en-US"/>
        </w:rPr>
        <w:t xml:space="preserve"> and of the Electoral Committee of the Industrial Community</w:t>
      </w:r>
      <w:r w:rsidR="008C33CE" w:rsidRPr="00D869E3">
        <w:rPr>
          <w:rFonts w:ascii="Verdana" w:hAnsi="Verdana"/>
          <w:sz w:val="20"/>
          <w:szCs w:val="20"/>
          <w:lang w:val="en-US"/>
        </w:rPr>
        <w:t xml:space="preserve">. </w:t>
      </w:r>
      <w:r w:rsidR="00EA232B" w:rsidRPr="00D869E3">
        <w:rPr>
          <w:rFonts w:ascii="Verdana" w:hAnsi="Verdana"/>
          <w:sz w:val="20"/>
          <w:szCs w:val="20"/>
          <w:lang w:val="en-US"/>
        </w:rPr>
        <w:t xml:space="preserve">Based on the order calling the hearing, the Court admits the said expert opinion </w:t>
      </w:r>
      <w:r w:rsidR="00DF79A9" w:rsidRPr="00D869E3">
        <w:rPr>
          <w:rFonts w:ascii="Verdana" w:hAnsi="Verdana"/>
          <w:sz w:val="20"/>
          <w:szCs w:val="20"/>
          <w:lang w:val="en-US"/>
        </w:rPr>
        <w:t>to the extent that</w:t>
      </w:r>
      <w:r w:rsidR="00EA232B" w:rsidRPr="00D869E3">
        <w:rPr>
          <w:rFonts w:ascii="Verdana" w:hAnsi="Verdana"/>
          <w:sz w:val="20"/>
          <w:szCs w:val="20"/>
          <w:lang w:val="en-US"/>
        </w:rPr>
        <w:t xml:space="preserve"> it is in keeping with the purpose required</w:t>
      </w:r>
      <w:r w:rsidR="00DF79A9" w:rsidRPr="00D869E3">
        <w:rPr>
          <w:rFonts w:ascii="Verdana" w:hAnsi="Verdana"/>
          <w:sz w:val="20"/>
          <w:szCs w:val="20"/>
          <w:lang w:val="en-US"/>
        </w:rPr>
        <w:t>,</w:t>
      </w:r>
      <w:r w:rsidR="00EA232B" w:rsidRPr="00D869E3">
        <w:rPr>
          <w:rFonts w:ascii="Verdana" w:hAnsi="Verdana"/>
          <w:sz w:val="20"/>
          <w:szCs w:val="20"/>
          <w:lang w:val="en-US"/>
        </w:rPr>
        <w:t xml:space="preserve"> and will assess it together with the body of evidence and pursuant to the rules of sound judicial criteria. </w:t>
      </w:r>
    </w:p>
    <w:p w14:paraId="1B7B4FE9" w14:textId="77777777" w:rsidR="008C33CE" w:rsidRPr="00D869E3" w:rsidRDefault="008C33CE" w:rsidP="008C33CE">
      <w:pPr>
        <w:tabs>
          <w:tab w:val="left" w:pos="426"/>
        </w:tabs>
        <w:jc w:val="both"/>
        <w:rPr>
          <w:rFonts w:ascii="Verdana" w:hAnsi="Verdana"/>
          <w:sz w:val="20"/>
          <w:szCs w:val="20"/>
          <w:lang w:val="en-US"/>
        </w:rPr>
      </w:pPr>
    </w:p>
    <w:p w14:paraId="64B550D2" w14:textId="740A16C9" w:rsidR="008C33CE" w:rsidRPr="00D869E3" w:rsidRDefault="00EA232B" w:rsidP="00E66DD7">
      <w:pPr>
        <w:pStyle w:val="Ttulo2"/>
        <w:numPr>
          <w:ilvl w:val="0"/>
          <w:numId w:val="19"/>
        </w:numPr>
        <w:rPr>
          <w:rFonts w:eastAsia="MS Gothic"/>
          <w:i/>
          <w:lang w:val="en-US"/>
        </w:rPr>
      </w:pPr>
      <w:bookmarkStart w:id="16" w:name="_Toc29114112"/>
      <w:r w:rsidRPr="00D869E3">
        <w:rPr>
          <w:rFonts w:eastAsia="MS Gothic"/>
          <w:i/>
          <w:lang w:val="en-US"/>
        </w:rPr>
        <w:t>Assessment of the evidence</w:t>
      </w:r>
      <w:bookmarkEnd w:id="16"/>
    </w:p>
    <w:p w14:paraId="1AEA6474" w14:textId="77777777" w:rsidR="008C33CE" w:rsidRPr="00D869E3" w:rsidRDefault="008C33CE" w:rsidP="008C33CE">
      <w:pPr>
        <w:pStyle w:val="Prrafodelista"/>
        <w:rPr>
          <w:rFonts w:ascii="Verdana" w:hAnsi="Verdana"/>
          <w:sz w:val="20"/>
          <w:szCs w:val="20"/>
          <w:lang w:val="en-US"/>
        </w:rPr>
      </w:pPr>
    </w:p>
    <w:p w14:paraId="2D1C79A7" w14:textId="2C94A9CB" w:rsidR="008C33CE" w:rsidRPr="00D869E3" w:rsidRDefault="00EA232B" w:rsidP="00EA232B">
      <w:pPr>
        <w:pStyle w:val="Prrafodelista"/>
        <w:numPr>
          <w:ilvl w:val="0"/>
          <w:numId w:val="1"/>
        </w:numPr>
        <w:ind w:left="0" w:firstLine="0"/>
        <w:jc w:val="both"/>
        <w:rPr>
          <w:rFonts w:ascii="Verdana" w:eastAsia="Times New Roman" w:hAnsi="Verdana"/>
          <w:sz w:val="20"/>
          <w:szCs w:val="20"/>
          <w:lang w:val="en-US"/>
        </w:rPr>
      </w:pPr>
      <w:r w:rsidRPr="00D869E3">
        <w:rPr>
          <w:rFonts w:ascii="Verdana" w:hAnsi="Verdana" w:cs="Verdana"/>
          <w:sz w:val="20"/>
          <w:szCs w:val="20"/>
          <w:lang w:val="en-US" w:eastAsia="es-MX"/>
        </w:rPr>
        <w:t>Based on its consistent case law regarding evidence and its assessment, the Court will examine and assess the documentary evidence forwarded by the parties and the Commission, together with the statements, testimony and expert opinions, and also the helpful evidence that has been requested and incorporated by this Court</w:t>
      </w:r>
      <w:r w:rsidR="00DF79A9" w:rsidRPr="00D869E3">
        <w:rPr>
          <w:rFonts w:ascii="Verdana" w:hAnsi="Verdana" w:cs="Verdana"/>
          <w:sz w:val="20"/>
          <w:szCs w:val="20"/>
          <w:lang w:val="en-US" w:eastAsia="es-MX"/>
        </w:rPr>
        <w:t>,</w:t>
      </w:r>
      <w:r w:rsidRPr="00D869E3">
        <w:rPr>
          <w:rFonts w:ascii="Verdana" w:hAnsi="Verdana" w:cs="Verdana"/>
          <w:sz w:val="20"/>
          <w:szCs w:val="20"/>
          <w:lang w:val="en-US" w:eastAsia="es-MX"/>
        </w:rPr>
        <w:t xml:space="preserve"> in order to establish the facts of the case and rule on the merits. To this end, it will abide by the principles of sound judicial criteria, within the corresponding legal framework, taking into account the body of evidence and the arguments submitted during the proceedings</w:t>
      </w:r>
      <w:r w:rsidRPr="00D869E3">
        <w:rPr>
          <w:rFonts w:ascii="Verdana" w:eastAsia="Times New Roman" w:hAnsi="Verdana"/>
          <w:sz w:val="20"/>
          <w:szCs w:val="20"/>
          <w:lang w:val="en-US"/>
        </w:rPr>
        <w:t>.</w:t>
      </w:r>
      <w:r w:rsidR="008C33CE" w:rsidRPr="00D869E3">
        <w:rPr>
          <w:rFonts w:ascii="Verdana" w:eastAsia="Times New Roman" w:hAnsi="Verdana"/>
          <w:sz w:val="20"/>
          <w:szCs w:val="20"/>
          <w:vertAlign w:val="superscript"/>
          <w:lang w:val="en-US"/>
        </w:rPr>
        <w:footnoteReference w:id="26"/>
      </w:r>
    </w:p>
    <w:p w14:paraId="3873C865" w14:textId="77777777" w:rsidR="008C33CE" w:rsidRPr="00D869E3" w:rsidRDefault="008C33CE" w:rsidP="008C33CE">
      <w:pPr>
        <w:pStyle w:val="Prrafodelista"/>
        <w:ind w:left="0"/>
        <w:jc w:val="both"/>
        <w:rPr>
          <w:rFonts w:ascii="Verdana" w:eastAsia="Times New Roman" w:hAnsi="Verdana"/>
          <w:sz w:val="20"/>
          <w:szCs w:val="20"/>
          <w:lang w:val="en-US"/>
        </w:rPr>
      </w:pPr>
    </w:p>
    <w:p w14:paraId="6796056D" w14:textId="44D37ED5" w:rsidR="009E58AE" w:rsidRPr="00D869E3" w:rsidRDefault="00EA232B" w:rsidP="009E58AE">
      <w:pPr>
        <w:pStyle w:val="Prrafodelista"/>
        <w:numPr>
          <w:ilvl w:val="0"/>
          <w:numId w:val="1"/>
        </w:numPr>
        <w:ind w:left="0" w:firstLine="0"/>
        <w:jc w:val="both"/>
        <w:rPr>
          <w:rFonts w:ascii="Verdana" w:eastAsia="Times New Roman" w:hAnsi="Verdana"/>
          <w:sz w:val="20"/>
          <w:szCs w:val="20"/>
          <w:lang w:val="en-US"/>
        </w:rPr>
      </w:pPr>
      <w:r w:rsidRPr="00D869E3">
        <w:rPr>
          <w:rFonts w:ascii="Verdana" w:hAnsi="Verdana" w:cs="Verdana"/>
          <w:sz w:val="20"/>
          <w:szCs w:val="20"/>
          <w:lang w:val="en-US" w:eastAsia="es-MX"/>
        </w:rPr>
        <w:t>Lastly, pursuant to the Court’s case law, the statement made by presumed victim cannot be assessed in isolation, but only within the whole body of evidence, insofar as it may provide further information on the presumed violations and their consequences</w:t>
      </w:r>
      <w:r w:rsidRPr="00D869E3">
        <w:rPr>
          <w:rFonts w:ascii="Verdana" w:eastAsia="Times New Roman" w:hAnsi="Verdana"/>
          <w:sz w:val="20"/>
          <w:szCs w:val="20"/>
          <w:lang w:val="en-US"/>
        </w:rPr>
        <w:t>.</w:t>
      </w:r>
      <w:r w:rsidR="008C33CE" w:rsidRPr="00D869E3">
        <w:rPr>
          <w:rFonts w:ascii="Verdana" w:eastAsia="Times New Roman" w:hAnsi="Verdana"/>
          <w:sz w:val="20"/>
          <w:szCs w:val="20"/>
          <w:vertAlign w:val="superscript"/>
          <w:lang w:val="en-US"/>
        </w:rPr>
        <w:footnoteReference w:id="27"/>
      </w:r>
    </w:p>
    <w:p w14:paraId="57884309" w14:textId="77777777" w:rsidR="008C33CE" w:rsidRPr="00D869E3" w:rsidRDefault="008C33CE" w:rsidP="009E58AE">
      <w:pPr>
        <w:pStyle w:val="Ttulo1"/>
        <w:tabs>
          <w:tab w:val="left" w:pos="851"/>
        </w:tabs>
        <w:spacing w:before="0"/>
        <w:jc w:val="center"/>
        <w:rPr>
          <w:rFonts w:cs="Verdana"/>
          <w:caps/>
          <w:snapToGrid w:val="0"/>
          <w:szCs w:val="20"/>
          <w:lang w:val="en-US"/>
        </w:rPr>
      </w:pPr>
    </w:p>
    <w:p w14:paraId="6796056E" w14:textId="0AB61D2E" w:rsidR="009E58AE" w:rsidRPr="00D869E3" w:rsidRDefault="00374FC9" w:rsidP="009E58AE">
      <w:pPr>
        <w:pStyle w:val="Ttulo1"/>
        <w:tabs>
          <w:tab w:val="left" w:pos="851"/>
        </w:tabs>
        <w:spacing w:before="0"/>
        <w:jc w:val="center"/>
        <w:rPr>
          <w:rFonts w:cs="Verdana"/>
          <w:caps/>
          <w:snapToGrid w:val="0"/>
          <w:szCs w:val="20"/>
          <w:lang w:val="en-US"/>
        </w:rPr>
      </w:pPr>
      <w:bookmarkStart w:id="17" w:name="_Toc29114113"/>
      <w:r w:rsidRPr="00D869E3">
        <w:rPr>
          <w:rFonts w:cs="Verdana"/>
          <w:caps/>
          <w:snapToGrid w:val="0"/>
          <w:szCs w:val="20"/>
          <w:lang w:val="en-US"/>
        </w:rPr>
        <w:t>Vi</w:t>
      </w:r>
      <w:r w:rsidR="009E58AE" w:rsidRPr="00D869E3">
        <w:rPr>
          <w:rFonts w:cs="Verdana"/>
          <w:caps/>
          <w:snapToGrid w:val="0"/>
          <w:szCs w:val="20"/>
          <w:lang w:val="en-US"/>
        </w:rPr>
        <w:br/>
      </w:r>
      <w:r w:rsidR="00EA232B" w:rsidRPr="00D869E3">
        <w:rPr>
          <w:rFonts w:cs="Verdana"/>
          <w:caps/>
          <w:snapToGrid w:val="0"/>
          <w:szCs w:val="20"/>
          <w:lang w:val="en-US"/>
        </w:rPr>
        <w:t>fact</w:t>
      </w:r>
      <w:r w:rsidR="009E58AE" w:rsidRPr="00D869E3">
        <w:rPr>
          <w:rFonts w:cs="Verdana"/>
          <w:caps/>
          <w:snapToGrid w:val="0"/>
          <w:szCs w:val="20"/>
          <w:lang w:val="en-US"/>
        </w:rPr>
        <w:t>s</w:t>
      </w:r>
      <w:bookmarkEnd w:id="17"/>
    </w:p>
    <w:p w14:paraId="6796056F" w14:textId="77777777" w:rsidR="009E58AE" w:rsidRPr="00D869E3" w:rsidRDefault="009E58AE" w:rsidP="009E58AE">
      <w:pPr>
        <w:jc w:val="both"/>
        <w:rPr>
          <w:rFonts w:ascii="Verdana" w:hAnsi="Verdana"/>
          <w:spacing w:val="-2"/>
          <w:sz w:val="20"/>
          <w:szCs w:val="20"/>
          <w:lang w:val="en-US"/>
        </w:rPr>
      </w:pPr>
    </w:p>
    <w:p w14:paraId="2983E08D" w14:textId="27ACF51E" w:rsidR="00D73A3B" w:rsidRPr="00D869E3" w:rsidRDefault="004A39B2" w:rsidP="004A39B2">
      <w:pPr>
        <w:pStyle w:val="Prrafodelista"/>
        <w:numPr>
          <w:ilvl w:val="0"/>
          <w:numId w:val="1"/>
        </w:numPr>
        <w:ind w:left="0" w:firstLine="0"/>
        <w:jc w:val="both"/>
        <w:rPr>
          <w:rFonts w:ascii="Verdana" w:hAnsi="Verdana"/>
          <w:strike/>
          <w:spacing w:val="-2"/>
          <w:sz w:val="20"/>
          <w:szCs w:val="20"/>
          <w:lang w:val="en-US"/>
        </w:rPr>
      </w:pPr>
      <w:r w:rsidRPr="00D869E3">
        <w:rPr>
          <w:rFonts w:ascii="Verdana" w:hAnsi="Verdana"/>
          <w:spacing w:val="-2"/>
          <w:sz w:val="20"/>
          <w:szCs w:val="20"/>
          <w:lang w:val="en-US"/>
        </w:rPr>
        <w:t xml:space="preserve">In this chapter, the Court will establish the facts of this case based on the factual framework submitted to its consideration by the Commission, taking into </w:t>
      </w:r>
      <w:r w:rsidR="00DF79A9" w:rsidRPr="00D869E3">
        <w:rPr>
          <w:rFonts w:ascii="Verdana" w:hAnsi="Verdana"/>
          <w:spacing w:val="-2"/>
          <w:sz w:val="20"/>
          <w:szCs w:val="20"/>
          <w:lang w:val="en-US"/>
        </w:rPr>
        <w:t>account</w:t>
      </w:r>
      <w:r w:rsidRPr="00D869E3">
        <w:rPr>
          <w:rFonts w:ascii="Verdana" w:hAnsi="Verdana"/>
          <w:spacing w:val="-2"/>
          <w:sz w:val="20"/>
          <w:szCs w:val="20"/>
          <w:lang w:val="en-US"/>
        </w:rPr>
        <w:t xml:space="preserve"> the body of evidence in the case, and the arguments of the representatives and the State. To this end, the facts will be examined under the following headings</w:t>
      </w:r>
      <w:r w:rsidR="007912F7" w:rsidRPr="00D869E3">
        <w:rPr>
          <w:rFonts w:ascii="Verdana" w:hAnsi="Verdana"/>
          <w:spacing w:val="-2"/>
          <w:sz w:val="20"/>
          <w:szCs w:val="20"/>
          <w:lang w:val="en-US"/>
        </w:rPr>
        <w:t xml:space="preserve">: </w:t>
      </w:r>
      <w:r w:rsidRPr="00D869E3">
        <w:rPr>
          <w:rFonts w:ascii="Verdana" w:hAnsi="Verdana"/>
          <w:spacing w:val="-2"/>
          <w:sz w:val="20"/>
          <w:szCs w:val="20"/>
          <w:lang w:val="en-US"/>
        </w:rPr>
        <w:t>(</w:t>
      </w:r>
      <w:r w:rsidR="007912F7" w:rsidRPr="00D869E3">
        <w:rPr>
          <w:rFonts w:ascii="Verdana" w:hAnsi="Verdana"/>
          <w:spacing w:val="-2"/>
          <w:sz w:val="20"/>
          <w:szCs w:val="20"/>
          <w:lang w:val="en-US"/>
        </w:rPr>
        <w:t xml:space="preserve">a) </w:t>
      </w:r>
      <w:r w:rsidRPr="00D869E3">
        <w:rPr>
          <w:rFonts w:ascii="Verdana" w:hAnsi="Verdana"/>
          <w:spacing w:val="-2"/>
          <w:sz w:val="20"/>
          <w:szCs w:val="20"/>
          <w:lang w:val="en-US"/>
        </w:rPr>
        <w:t>t</w:t>
      </w:r>
      <w:r w:rsidR="00EA232B" w:rsidRPr="00D869E3">
        <w:rPr>
          <w:rFonts w:ascii="Verdana" w:hAnsi="Verdana"/>
          <w:spacing w:val="-2"/>
          <w:sz w:val="20"/>
          <w:szCs w:val="20"/>
          <w:lang w:val="en-US"/>
        </w:rPr>
        <w:t>he Industrial Communities in</w:t>
      </w:r>
      <w:r w:rsidR="007912F7" w:rsidRPr="00D869E3">
        <w:rPr>
          <w:rFonts w:ascii="Verdana" w:hAnsi="Verdana"/>
          <w:spacing w:val="-2"/>
          <w:sz w:val="20"/>
          <w:szCs w:val="20"/>
          <w:lang w:val="en-US"/>
        </w:rPr>
        <w:t xml:space="preserve"> </w:t>
      </w:r>
      <w:r w:rsidR="00447C65" w:rsidRPr="00D869E3">
        <w:rPr>
          <w:rFonts w:ascii="Verdana" w:hAnsi="Verdana"/>
          <w:spacing w:val="-2"/>
          <w:sz w:val="20"/>
          <w:szCs w:val="20"/>
          <w:lang w:val="en-US"/>
        </w:rPr>
        <w:t>Peru</w:t>
      </w:r>
      <w:r w:rsidR="007912F7" w:rsidRPr="00D869E3">
        <w:rPr>
          <w:rFonts w:ascii="Verdana" w:hAnsi="Verdana"/>
          <w:spacing w:val="-2"/>
          <w:sz w:val="20"/>
          <w:szCs w:val="20"/>
          <w:lang w:val="en-US"/>
        </w:rPr>
        <w:t xml:space="preserve">; </w:t>
      </w:r>
      <w:r w:rsidRPr="00D869E3">
        <w:rPr>
          <w:rFonts w:ascii="Verdana" w:hAnsi="Verdana"/>
          <w:spacing w:val="-2"/>
          <w:sz w:val="20"/>
          <w:szCs w:val="20"/>
          <w:lang w:val="en-US"/>
        </w:rPr>
        <w:t>(</w:t>
      </w:r>
      <w:r w:rsidR="007912F7" w:rsidRPr="00D869E3">
        <w:rPr>
          <w:rFonts w:ascii="Verdana" w:hAnsi="Verdana"/>
          <w:spacing w:val="-2"/>
          <w:sz w:val="20"/>
          <w:szCs w:val="20"/>
          <w:lang w:val="en-US"/>
        </w:rPr>
        <w:t xml:space="preserve">b) </w:t>
      </w:r>
      <w:r w:rsidRPr="00D869E3">
        <w:rPr>
          <w:rFonts w:ascii="Verdana" w:hAnsi="Verdana"/>
          <w:spacing w:val="-2"/>
          <w:sz w:val="20"/>
          <w:szCs w:val="20"/>
          <w:lang w:val="en-US"/>
        </w:rPr>
        <w:t xml:space="preserve">background information, functions and responsibilities </w:t>
      </w:r>
      <w:r w:rsidR="00E6309B" w:rsidRPr="00D869E3">
        <w:rPr>
          <w:rFonts w:ascii="Verdana" w:hAnsi="Verdana"/>
          <w:spacing w:val="-2"/>
          <w:sz w:val="20"/>
          <w:szCs w:val="20"/>
          <w:lang w:val="en-US"/>
        </w:rPr>
        <w:t>of Mr.</w:t>
      </w:r>
      <w:r w:rsidR="001E44D3" w:rsidRPr="00D869E3">
        <w:rPr>
          <w:rFonts w:ascii="Verdana" w:hAnsi="Verdana"/>
          <w:spacing w:val="-2"/>
          <w:sz w:val="20"/>
          <w:szCs w:val="20"/>
          <w:lang w:val="en-US"/>
        </w:rPr>
        <w:t xml:space="preserve"> Lagos del Campo</w:t>
      </w:r>
      <w:r w:rsidR="007912F7" w:rsidRPr="00D869E3">
        <w:rPr>
          <w:rFonts w:ascii="Verdana" w:hAnsi="Verdana"/>
          <w:spacing w:val="-2"/>
          <w:sz w:val="20"/>
          <w:szCs w:val="20"/>
          <w:lang w:val="en-US"/>
        </w:rPr>
        <w:t xml:space="preserve"> </w:t>
      </w:r>
      <w:r w:rsidRPr="00D869E3">
        <w:rPr>
          <w:rFonts w:ascii="Verdana" w:hAnsi="Verdana"/>
          <w:spacing w:val="-2"/>
          <w:sz w:val="20"/>
          <w:szCs w:val="20"/>
          <w:lang w:val="en-US"/>
        </w:rPr>
        <w:t>as a labor leader; (</w:t>
      </w:r>
      <w:r w:rsidR="007912F7" w:rsidRPr="00D869E3">
        <w:rPr>
          <w:rFonts w:ascii="Verdana" w:hAnsi="Verdana"/>
          <w:spacing w:val="-2"/>
          <w:sz w:val="20"/>
          <w:szCs w:val="20"/>
          <w:lang w:val="en-US"/>
        </w:rPr>
        <w:t xml:space="preserve">c) </w:t>
      </w:r>
      <w:r w:rsidRPr="00D869E3">
        <w:rPr>
          <w:rFonts w:ascii="Verdana" w:hAnsi="Verdana"/>
          <w:spacing w:val="-2"/>
          <w:sz w:val="20"/>
          <w:szCs w:val="20"/>
          <w:lang w:val="en-US"/>
        </w:rPr>
        <w:t>the dismissal</w:t>
      </w:r>
      <w:r w:rsidR="007912F7" w:rsidRPr="00D869E3">
        <w:rPr>
          <w:rFonts w:ascii="Verdana" w:hAnsi="Verdana"/>
          <w:spacing w:val="-2"/>
          <w:sz w:val="20"/>
          <w:szCs w:val="20"/>
          <w:lang w:val="en-US"/>
        </w:rPr>
        <w:t xml:space="preserve"> </w:t>
      </w:r>
      <w:r w:rsidR="00E6309B" w:rsidRPr="00D869E3">
        <w:rPr>
          <w:rFonts w:ascii="Verdana" w:hAnsi="Verdana"/>
          <w:spacing w:val="-2"/>
          <w:sz w:val="20"/>
          <w:szCs w:val="20"/>
          <w:lang w:val="en-US"/>
        </w:rPr>
        <w:t>of Mr.</w:t>
      </w:r>
      <w:r w:rsidR="001E44D3" w:rsidRPr="00D869E3">
        <w:rPr>
          <w:rFonts w:ascii="Verdana" w:hAnsi="Verdana"/>
          <w:spacing w:val="-2"/>
          <w:sz w:val="20"/>
          <w:szCs w:val="20"/>
          <w:lang w:val="en-US"/>
        </w:rPr>
        <w:t xml:space="preserve"> Lagos del Campo</w:t>
      </w:r>
      <w:r w:rsidR="00687684" w:rsidRPr="00D869E3">
        <w:rPr>
          <w:rFonts w:ascii="Verdana" w:hAnsi="Verdana"/>
          <w:spacing w:val="-2"/>
          <w:sz w:val="20"/>
          <w:szCs w:val="20"/>
          <w:lang w:val="en-US"/>
        </w:rPr>
        <w:t xml:space="preserve"> and </w:t>
      </w:r>
      <w:r w:rsidRPr="00D869E3">
        <w:rPr>
          <w:rFonts w:ascii="Verdana" w:hAnsi="Verdana"/>
          <w:spacing w:val="-2"/>
          <w:sz w:val="20"/>
          <w:szCs w:val="20"/>
          <w:lang w:val="en-US"/>
        </w:rPr>
        <w:t>the applicable legal framework; (</w:t>
      </w:r>
      <w:r w:rsidR="007912F7" w:rsidRPr="00D869E3">
        <w:rPr>
          <w:rFonts w:ascii="Verdana" w:hAnsi="Verdana"/>
          <w:spacing w:val="-2"/>
          <w:sz w:val="20"/>
          <w:szCs w:val="20"/>
          <w:lang w:val="en-US"/>
        </w:rPr>
        <w:t xml:space="preserve">d) </w:t>
      </w:r>
      <w:r w:rsidRPr="00D869E3">
        <w:rPr>
          <w:rFonts w:ascii="Verdana" w:hAnsi="Verdana"/>
          <w:spacing w:val="-2"/>
          <w:sz w:val="20"/>
          <w:szCs w:val="20"/>
          <w:lang w:val="en-US"/>
        </w:rPr>
        <w:t>the judicial actions filed by</w:t>
      </w:r>
      <w:r w:rsidR="007912F7" w:rsidRPr="00D869E3">
        <w:rPr>
          <w:rFonts w:ascii="Verdana" w:hAnsi="Verdana"/>
          <w:spacing w:val="-2"/>
          <w:sz w:val="20"/>
          <w:szCs w:val="20"/>
          <w:lang w:val="en-US"/>
        </w:rPr>
        <w:t xml:space="preserve"> </w:t>
      </w:r>
      <w:r w:rsidR="001E44D3" w:rsidRPr="00D869E3">
        <w:rPr>
          <w:rFonts w:ascii="Verdana" w:hAnsi="Verdana"/>
          <w:spacing w:val="-2"/>
          <w:sz w:val="20"/>
          <w:szCs w:val="20"/>
          <w:lang w:val="en-US"/>
        </w:rPr>
        <w:t>Mr. Lagos del Campo</w:t>
      </w:r>
      <w:r w:rsidR="007912F7" w:rsidRPr="00D869E3">
        <w:rPr>
          <w:rFonts w:ascii="Verdana" w:hAnsi="Verdana"/>
          <w:spacing w:val="-2"/>
          <w:sz w:val="20"/>
          <w:szCs w:val="20"/>
          <w:lang w:val="en-US"/>
        </w:rPr>
        <w:t>,</w:t>
      </w:r>
      <w:r w:rsidR="00687684" w:rsidRPr="00D869E3">
        <w:rPr>
          <w:rFonts w:ascii="Verdana" w:hAnsi="Verdana"/>
          <w:spacing w:val="-2"/>
          <w:sz w:val="20"/>
          <w:szCs w:val="20"/>
          <w:lang w:val="en-US"/>
        </w:rPr>
        <w:t xml:space="preserve"> and </w:t>
      </w:r>
      <w:r w:rsidRPr="00D869E3">
        <w:rPr>
          <w:rFonts w:ascii="Verdana" w:hAnsi="Verdana"/>
          <w:spacing w:val="-2"/>
          <w:sz w:val="20"/>
          <w:szCs w:val="20"/>
          <w:lang w:val="en-US"/>
        </w:rPr>
        <w:t>(</w:t>
      </w:r>
      <w:r w:rsidR="007912F7" w:rsidRPr="00D869E3">
        <w:rPr>
          <w:rFonts w:ascii="Verdana" w:hAnsi="Verdana"/>
          <w:spacing w:val="-2"/>
          <w:sz w:val="20"/>
          <w:szCs w:val="20"/>
          <w:lang w:val="en-US"/>
        </w:rPr>
        <w:t xml:space="preserve">e) </w:t>
      </w:r>
      <w:r w:rsidRPr="00D869E3">
        <w:rPr>
          <w:rFonts w:ascii="Verdana" w:hAnsi="Verdana"/>
          <w:spacing w:val="-2"/>
          <w:sz w:val="20"/>
          <w:szCs w:val="20"/>
          <w:lang w:val="en-US"/>
        </w:rPr>
        <w:t>his situation following his dismissal</w:t>
      </w:r>
      <w:r w:rsidR="007912F7" w:rsidRPr="00D869E3">
        <w:rPr>
          <w:rFonts w:ascii="Verdana" w:hAnsi="Verdana"/>
          <w:spacing w:val="-2"/>
          <w:sz w:val="20"/>
          <w:szCs w:val="20"/>
          <w:lang w:val="en-US"/>
        </w:rPr>
        <w:t>.</w:t>
      </w:r>
    </w:p>
    <w:p w14:paraId="5851E457" w14:textId="77777777" w:rsidR="00D73A3B" w:rsidRPr="00D869E3" w:rsidRDefault="00D73A3B" w:rsidP="00D73A3B">
      <w:pPr>
        <w:jc w:val="both"/>
        <w:rPr>
          <w:rFonts w:ascii="Verdana" w:hAnsi="Verdana"/>
          <w:b/>
          <w:sz w:val="20"/>
          <w:szCs w:val="20"/>
          <w:lang w:val="en-US"/>
        </w:rPr>
      </w:pPr>
    </w:p>
    <w:p w14:paraId="2CCC10F2" w14:textId="4253A598" w:rsidR="00275EDE" w:rsidRPr="00D869E3" w:rsidRDefault="00EA232B" w:rsidP="00E66DD7">
      <w:pPr>
        <w:pStyle w:val="Ttulo2"/>
        <w:numPr>
          <w:ilvl w:val="0"/>
          <w:numId w:val="12"/>
        </w:numPr>
        <w:rPr>
          <w:rFonts w:eastAsia="MS Gothic"/>
          <w:i/>
          <w:lang w:val="en-US"/>
        </w:rPr>
      </w:pPr>
      <w:bookmarkStart w:id="18" w:name="_Toc29114114"/>
      <w:r w:rsidRPr="00D869E3">
        <w:rPr>
          <w:rFonts w:eastAsia="MS Gothic"/>
          <w:i/>
          <w:lang w:val="en-US"/>
        </w:rPr>
        <w:t>The Industrial Communities in</w:t>
      </w:r>
      <w:r w:rsidR="00275EDE" w:rsidRPr="00D869E3">
        <w:rPr>
          <w:rFonts w:eastAsia="MS Gothic"/>
          <w:i/>
          <w:lang w:val="en-US"/>
        </w:rPr>
        <w:t xml:space="preserve"> </w:t>
      </w:r>
      <w:r w:rsidR="00447C65" w:rsidRPr="00D869E3">
        <w:rPr>
          <w:rFonts w:eastAsia="MS Gothic"/>
          <w:i/>
          <w:lang w:val="en-US"/>
        </w:rPr>
        <w:t>Peru</w:t>
      </w:r>
      <w:bookmarkEnd w:id="18"/>
      <w:r w:rsidR="00D73A3B" w:rsidRPr="00D869E3">
        <w:rPr>
          <w:rFonts w:eastAsia="MS Gothic"/>
          <w:i/>
          <w:lang w:val="en-US"/>
        </w:rPr>
        <w:t xml:space="preserve"> </w:t>
      </w:r>
    </w:p>
    <w:p w14:paraId="1C3858AE" w14:textId="77777777" w:rsidR="00D73A3B" w:rsidRPr="00D869E3" w:rsidRDefault="00D73A3B" w:rsidP="00D73A3B">
      <w:pPr>
        <w:rPr>
          <w:rFonts w:ascii="Verdana" w:hAnsi="Verdana"/>
          <w:lang w:val="en-US"/>
        </w:rPr>
      </w:pPr>
    </w:p>
    <w:p w14:paraId="2330291F" w14:textId="76837BFA" w:rsidR="007912F7" w:rsidRPr="00D869E3" w:rsidRDefault="004A39B2" w:rsidP="00E66DD7">
      <w:pPr>
        <w:pStyle w:val="Prrafodelista"/>
        <w:numPr>
          <w:ilvl w:val="0"/>
          <w:numId w:val="1"/>
        </w:numPr>
        <w:ind w:left="0" w:hanging="11"/>
        <w:jc w:val="both"/>
        <w:rPr>
          <w:rFonts w:ascii="Verdana" w:hAnsi="Verdana"/>
          <w:b/>
          <w:sz w:val="20"/>
          <w:szCs w:val="20"/>
          <w:lang w:val="en-US"/>
        </w:rPr>
      </w:pPr>
      <w:r w:rsidRPr="00D869E3">
        <w:rPr>
          <w:rFonts w:ascii="Verdana" w:hAnsi="Verdana"/>
          <w:sz w:val="20"/>
          <w:szCs w:val="20"/>
          <w:lang w:val="en-US"/>
        </w:rPr>
        <w:t>The concept</w:t>
      </w:r>
      <w:r w:rsidR="00EA232B" w:rsidRPr="00D869E3">
        <w:rPr>
          <w:rFonts w:ascii="Verdana" w:hAnsi="Verdana"/>
          <w:sz w:val="20"/>
          <w:szCs w:val="20"/>
          <w:lang w:val="en-US"/>
        </w:rPr>
        <w:t xml:space="preserve"> of the Industrial Community</w:t>
      </w:r>
      <w:r w:rsidR="00275EDE" w:rsidRPr="00D869E3">
        <w:rPr>
          <w:rFonts w:ascii="Verdana" w:hAnsi="Verdana"/>
          <w:sz w:val="20"/>
          <w:szCs w:val="20"/>
          <w:lang w:val="en-US"/>
        </w:rPr>
        <w:t xml:space="preserve"> </w:t>
      </w:r>
      <w:r w:rsidRPr="00D869E3">
        <w:rPr>
          <w:rFonts w:ascii="Verdana" w:hAnsi="Verdana"/>
          <w:sz w:val="20"/>
          <w:szCs w:val="20"/>
          <w:lang w:val="en-US"/>
        </w:rPr>
        <w:t xml:space="preserve">was incorporated into the laws of Peru on July 27, </w:t>
      </w:r>
      <w:r w:rsidR="00275EDE" w:rsidRPr="00D869E3">
        <w:rPr>
          <w:rFonts w:ascii="Verdana" w:hAnsi="Verdana"/>
          <w:sz w:val="20"/>
          <w:szCs w:val="20"/>
          <w:lang w:val="en-US"/>
        </w:rPr>
        <w:t>1970</w:t>
      </w:r>
      <w:r w:rsidRPr="00D869E3">
        <w:rPr>
          <w:rFonts w:ascii="Verdana" w:hAnsi="Verdana"/>
          <w:sz w:val="20"/>
          <w:szCs w:val="20"/>
          <w:lang w:val="en-US"/>
        </w:rPr>
        <w:t xml:space="preserve">, the date on which the General Industries </w:t>
      </w:r>
      <w:r w:rsidR="004C2B15" w:rsidRPr="00D869E3">
        <w:rPr>
          <w:rFonts w:ascii="Verdana" w:hAnsi="Verdana"/>
          <w:sz w:val="20"/>
          <w:szCs w:val="20"/>
          <w:lang w:val="en-US"/>
        </w:rPr>
        <w:t>Act</w:t>
      </w:r>
      <w:r w:rsidRPr="00D869E3">
        <w:rPr>
          <w:rFonts w:ascii="Verdana" w:hAnsi="Verdana"/>
          <w:sz w:val="20"/>
          <w:szCs w:val="20"/>
          <w:lang w:val="en-US"/>
        </w:rPr>
        <w:t xml:space="preserve"> was </w:t>
      </w:r>
      <w:r w:rsidR="0003030B" w:rsidRPr="00D869E3">
        <w:rPr>
          <w:rFonts w:ascii="Verdana" w:hAnsi="Verdana"/>
          <w:sz w:val="20"/>
          <w:szCs w:val="20"/>
          <w:lang w:val="en-US"/>
        </w:rPr>
        <w:t xml:space="preserve">promulgated (Decree-Law </w:t>
      </w:r>
      <w:r w:rsidR="00275EDE" w:rsidRPr="00D869E3">
        <w:rPr>
          <w:rFonts w:ascii="Verdana" w:hAnsi="Verdana"/>
          <w:sz w:val="20"/>
          <w:szCs w:val="20"/>
          <w:lang w:val="en-US"/>
        </w:rPr>
        <w:t>18350)</w:t>
      </w:r>
      <w:r w:rsidR="0003030B" w:rsidRPr="00D869E3">
        <w:rPr>
          <w:rFonts w:ascii="Verdana" w:hAnsi="Verdana"/>
          <w:sz w:val="20"/>
          <w:szCs w:val="20"/>
          <w:lang w:val="en-US"/>
        </w:rPr>
        <w:t>.</w:t>
      </w:r>
      <w:r w:rsidR="00275EDE" w:rsidRPr="00D869E3">
        <w:rPr>
          <w:rFonts w:ascii="Verdana" w:hAnsi="Verdana"/>
          <w:sz w:val="20"/>
          <w:szCs w:val="20"/>
          <w:vertAlign w:val="superscript"/>
          <w:lang w:val="en-US"/>
        </w:rPr>
        <w:footnoteReference w:id="28"/>
      </w:r>
      <w:r w:rsidR="00275EDE" w:rsidRPr="00D869E3">
        <w:rPr>
          <w:rFonts w:ascii="Verdana" w:hAnsi="Verdana"/>
          <w:sz w:val="20"/>
          <w:szCs w:val="20"/>
          <w:lang w:val="en-US"/>
        </w:rPr>
        <w:t xml:space="preserve"> </w:t>
      </w:r>
      <w:r w:rsidR="00447C65" w:rsidRPr="00D869E3">
        <w:rPr>
          <w:rFonts w:ascii="Verdana" w:hAnsi="Verdana"/>
          <w:sz w:val="20"/>
          <w:szCs w:val="20"/>
          <w:lang w:val="en-US"/>
        </w:rPr>
        <w:t>Article</w:t>
      </w:r>
      <w:r w:rsidR="00275EDE" w:rsidRPr="00D869E3">
        <w:rPr>
          <w:rFonts w:ascii="Verdana" w:hAnsi="Verdana"/>
          <w:sz w:val="20"/>
          <w:szCs w:val="20"/>
          <w:lang w:val="en-US"/>
        </w:rPr>
        <w:t xml:space="preserve"> 23</w:t>
      </w:r>
      <w:r w:rsidR="0003030B" w:rsidRPr="00D869E3">
        <w:rPr>
          <w:rFonts w:ascii="Verdana" w:hAnsi="Verdana"/>
          <w:sz w:val="20"/>
          <w:szCs w:val="20"/>
          <w:lang w:val="en-US"/>
        </w:rPr>
        <w:t xml:space="preserve"> of this law establishes that </w:t>
      </w:r>
      <w:r w:rsidR="00EA232B" w:rsidRPr="00D869E3">
        <w:rPr>
          <w:rFonts w:ascii="Verdana" w:hAnsi="Verdana"/>
          <w:sz w:val="20"/>
          <w:szCs w:val="20"/>
          <w:lang w:val="en-US"/>
        </w:rPr>
        <w:t>the Industrial Community</w:t>
      </w:r>
      <w:r w:rsidR="00275EDE" w:rsidRPr="00D869E3">
        <w:rPr>
          <w:rFonts w:ascii="Verdana" w:hAnsi="Verdana"/>
          <w:sz w:val="20"/>
          <w:szCs w:val="20"/>
          <w:lang w:val="en-US"/>
        </w:rPr>
        <w:t xml:space="preserve"> </w:t>
      </w:r>
      <w:r w:rsidR="0003030B" w:rsidRPr="00D869E3">
        <w:rPr>
          <w:rFonts w:ascii="Verdana" w:hAnsi="Verdana"/>
          <w:sz w:val="20"/>
          <w:szCs w:val="20"/>
          <w:lang w:val="en-US"/>
        </w:rPr>
        <w:t xml:space="preserve">was a legal entity created </w:t>
      </w:r>
      <w:r w:rsidR="00DF79A9" w:rsidRPr="00D869E3">
        <w:rPr>
          <w:rFonts w:ascii="Verdana" w:hAnsi="Verdana"/>
          <w:sz w:val="20"/>
          <w:szCs w:val="20"/>
          <w:lang w:val="en-US"/>
        </w:rPr>
        <w:t>with</w:t>
      </w:r>
      <w:r w:rsidR="0003030B" w:rsidRPr="00D869E3">
        <w:rPr>
          <w:rFonts w:ascii="Verdana" w:hAnsi="Verdana"/>
          <w:sz w:val="20"/>
          <w:szCs w:val="20"/>
          <w:lang w:val="en-US"/>
        </w:rPr>
        <w:t xml:space="preserve">in an industrial company as the representative of all its </w:t>
      </w:r>
      <w:r w:rsidR="00785445" w:rsidRPr="00D869E3">
        <w:rPr>
          <w:rFonts w:ascii="Verdana" w:hAnsi="Verdana"/>
          <w:sz w:val="20"/>
          <w:szCs w:val="20"/>
          <w:lang w:val="en-US"/>
        </w:rPr>
        <w:t>permanent</w:t>
      </w:r>
      <w:r w:rsidR="0003030B" w:rsidRPr="00D869E3">
        <w:rPr>
          <w:rFonts w:ascii="Verdana" w:hAnsi="Verdana"/>
          <w:sz w:val="20"/>
          <w:szCs w:val="20"/>
          <w:lang w:val="en-US"/>
        </w:rPr>
        <w:t xml:space="preserve"> workers, and its </w:t>
      </w:r>
      <w:r w:rsidR="004C2B15" w:rsidRPr="00D869E3">
        <w:rPr>
          <w:rFonts w:ascii="Verdana" w:hAnsi="Verdana"/>
          <w:sz w:val="20"/>
          <w:szCs w:val="20"/>
          <w:lang w:val="en-US"/>
        </w:rPr>
        <w:t>purposes</w:t>
      </w:r>
      <w:r w:rsidR="0003030B" w:rsidRPr="00D869E3">
        <w:rPr>
          <w:rFonts w:ascii="Verdana" w:hAnsi="Verdana"/>
          <w:sz w:val="20"/>
          <w:szCs w:val="20"/>
          <w:lang w:val="en-US"/>
        </w:rPr>
        <w:t xml:space="preserve"> were established in Decree-Law </w:t>
      </w:r>
      <w:r w:rsidR="00275EDE" w:rsidRPr="00D869E3">
        <w:rPr>
          <w:rFonts w:ascii="Verdana" w:hAnsi="Verdana"/>
          <w:sz w:val="20"/>
          <w:szCs w:val="20"/>
          <w:lang w:val="en-US"/>
        </w:rPr>
        <w:t>18384</w:t>
      </w:r>
      <w:r w:rsidR="0003030B" w:rsidRPr="00D869E3">
        <w:rPr>
          <w:rFonts w:ascii="Verdana" w:hAnsi="Verdana"/>
          <w:sz w:val="20"/>
          <w:szCs w:val="20"/>
          <w:lang w:val="en-US"/>
        </w:rPr>
        <w:t>.</w:t>
      </w:r>
      <w:r w:rsidR="00275EDE" w:rsidRPr="00D869E3">
        <w:rPr>
          <w:rFonts w:ascii="Verdana" w:hAnsi="Verdana"/>
          <w:sz w:val="20"/>
          <w:szCs w:val="20"/>
          <w:vertAlign w:val="superscript"/>
          <w:lang w:val="en-US"/>
        </w:rPr>
        <w:footnoteReference w:id="29"/>
      </w:r>
      <w:r w:rsidR="00275EDE" w:rsidRPr="00D869E3">
        <w:rPr>
          <w:rFonts w:ascii="Verdana" w:hAnsi="Verdana"/>
          <w:b/>
          <w:sz w:val="20"/>
          <w:szCs w:val="20"/>
          <w:lang w:val="en-US"/>
        </w:rPr>
        <w:t xml:space="preserve"> </w:t>
      </w:r>
    </w:p>
    <w:p w14:paraId="3A11ADD8" w14:textId="77777777" w:rsidR="007912F7" w:rsidRPr="00D869E3" w:rsidRDefault="007912F7" w:rsidP="00557859">
      <w:pPr>
        <w:pStyle w:val="Prrafodelista"/>
        <w:ind w:left="0"/>
        <w:jc w:val="both"/>
        <w:rPr>
          <w:rFonts w:ascii="Verdana" w:hAnsi="Verdana"/>
          <w:b/>
          <w:sz w:val="20"/>
          <w:szCs w:val="20"/>
          <w:lang w:val="en-US"/>
        </w:rPr>
      </w:pPr>
    </w:p>
    <w:p w14:paraId="3A205016" w14:textId="2C77CC4F" w:rsidR="00275EDE" w:rsidRPr="00D869E3" w:rsidRDefault="0003030B" w:rsidP="00F4667D">
      <w:pPr>
        <w:pStyle w:val="Prrafodelista"/>
        <w:numPr>
          <w:ilvl w:val="0"/>
          <w:numId w:val="1"/>
        </w:numPr>
        <w:ind w:left="0" w:hanging="11"/>
        <w:jc w:val="both"/>
        <w:rPr>
          <w:rFonts w:ascii="Verdana" w:hAnsi="Verdana"/>
          <w:b/>
          <w:sz w:val="20"/>
          <w:szCs w:val="20"/>
          <w:lang w:val="en-US"/>
        </w:rPr>
      </w:pPr>
      <w:r w:rsidRPr="00D869E3">
        <w:rPr>
          <w:rFonts w:ascii="Verdana" w:hAnsi="Verdana"/>
          <w:sz w:val="20"/>
          <w:szCs w:val="20"/>
          <w:lang w:val="en-US"/>
        </w:rPr>
        <w:t>I</w:t>
      </w:r>
      <w:r w:rsidR="00275EDE" w:rsidRPr="00D869E3">
        <w:rPr>
          <w:rFonts w:ascii="Verdana" w:hAnsi="Verdana"/>
          <w:sz w:val="20"/>
          <w:szCs w:val="20"/>
          <w:lang w:val="en-US"/>
        </w:rPr>
        <w:t xml:space="preserve">n </w:t>
      </w:r>
      <w:r w:rsidRPr="00D869E3">
        <w:rPr>
          <w:rFonts w:ascii="Verdana" w:hAnsi="Verdana"/>
          <w:sz w:val="20"/>
          <w:szCs w:val="20"/>
          <w:lang w:val="en-US"/>
        </w:rPr>
        <w:t>February</w:t>
      </w:r>
      <w:r w:rsidR="00275EDE" w:rsidRPr="00D869E3">
        <w:rPr>
          <w:rFonts w:ascii="Verdana" w:hAnsi="Verdana"/>
          <w:sz w:val="20"/>
          <w:szCs w:val="20"/>
          <w:lang w:val="en-US"/>
        </w:rPr>
        <w:t xml:space="preserve"> 1977</w:t>
      </w:r>
      <w:r w:rsidRPr="00D869E3">
        <w:rPr>
          <w:rFonts w:ascii="Verdana" w:hAnsi="Verdana"/>
          <w:sz w:val="20"/>
          <w:szCs w:val="20"/>
          <w:lang w:val="en-US"/>
        </w:rPr>
        <w:t>,</w:t>
      </w:r>
      <w:r w:rsidR="00275EDE" w:rsidRPr="00D869E3">
        <w:rPr>
          <w:rFonts w:ascii="Verdana" w:hAnsi="Verdana"/>
          <w:sz w:val="20"/>
          <w:szCs w:val="20"/>
          <w:lang w:val="en-US"/>
        </w:rPr>
        <w:t xml:space="preserve"> </w:t>
      </w:r>
      <w:r w:rsidR="00EA232B" w:rsidRPr="00D869E3">
        <w:rPr>
          <w:rFonts w:ascii="Verdana" w:hAnsi="Verdana"/>
          <w:sz w:val="20"/>
          <w:szCs w:val="20"/>
          <w:lang w:val="en-US"/>
        </w:rPr>
        <w:t>the Industrial Community</w:t>
      </w:r>
      <w:r w:rsidRPr="00D869E3">
        <w:rPr>
          <w:rFonts w:ascii="Verdana" w:hAnsi="Verdana"/>
          <w:sz w:val="20"/>
          <w:szCs w:val="20"/>
          <w:lang w:val="en-US"/>
        </w:rPr>
        <w:t xml:space="preserve"> </w:t>
      </w:r>
      <w:r w:rsidR="004C2B15" w:rsidRPr="00D869E3">
        <w:rPr>
          <w:rFonts w:ascii="Verdana" w:hAnsi="Verdana"/>
          <w:sz w:val="20"/>
          <w:szCs w:val="20"/>
          <w:lang w:val="en-US"/>
        </w:rPr>
        <w:t>Act</w:t>
      </w:r>
      <w:r w:rsidRPr="00D869E3">
        <w:rPr>
          <w:rFonts w:ascii="Verdana" w:hAnsi="Verdana"/>
          <w:sz w:val="20"/>
          <w:szCs w:val="20"/>
          <w:lang w:val="en-US"/>
        </w:rPr>
        <w:t xml:space="preserve"> was promulgated</w:t>
      </w:r>
      <w:r w:rsidR="00275EDE" w:rsidRPr="00D869E3">
        <w:rPr>
          <w:rFonts w:ascii="Verdana" w:hAnsi="Verdana"/>
          <w:sz w:val="20"/>
          <w:szCs w:val="20"/>
          <w:lang w:val="en-US"/>
        </w:rPr>
        <w:t xml:space="preserve"> (</w:t>
      </w:r>
      <w:r w:rsidR="006436CA" w:rsidRPr="00D869E3">
        <w:rPr>
          <w:rFonts w:ascii="Verdana" w:hAnsi="Verdana"/>
          <w:sz w:val="20"/>
          <w:szCs w:val="20"/>
          <w:lang w:val="en-US"/>
        </w:rPr>
        <w:t>“</w:t>
      </w:r>
      <w:r w:rsidRPr="00D869E3">
        <w:rPr>
          <w:rFonts w:ascii="Verdana" w:hAnsi="Verdana"/>
          <w:sz w:val="20"/>
          <w:szCs w:val="20"/>
          <w:lang w:val="en-US"/>
        </w:rPr>
        <w:t>Decree-Law</w:t>
      </w:r>
      <w:r w:rsidR="00275EDE" w:rsidRPr="00D869E3">
        <w:rPr>
          <w:rFonts w:ascii="Verdana" w:hAnsi="Verdana"/>
          <w:sz w:val="20"/>
          <w:szCs w:val="20"/>
          <w:lang w:val="en-US"/>
        </w:rPr>
        <w:t xml:space="preserve"> 21789</w:t>
      </w:r>
      <w:r w:rsidR="006436CA" w:rsidRPr="00D869E3">
        <w:rPr>
          <w:rFonts w:ascii="Verdana" w:hAnsi="Verdana"/>
          <w:sz w:val="20"/>
          <w:szCs w:val="20"/>
          <w:lang w:val="en-US"/>
        </w:rPr>
        <w:t>”</w:t>
      </w:r>
      <w:r w:rsidR="00275EDE" w:rsidRPr="00D869E3">
        <w:rPr>
          <w:rFonts w:ascii="Verdana" w:hAnsi="Verdana"/>
          <w:sz w:val="20"/>
          <w:szCs w:val="20"/>
          <w:lang w:val="en-US"/>
        </w:rPr>
        <w:t>)</w:t>
      </w:r>
      <w:r w:rsidRPr="00D869E3">
        <w:rPr>
          <w:rFonts w:ascii="Verdana" w:hAnsi="Verdana"/>
          <w:sz w:val="20"/>
          <w:szCs w:val="20"/>
          <w:lang w:val="en-US"/>
        </w:rPr>
        <w:t xml:space="preserve"> amend</w:t>
      </w:r>
      <w:r w:rsidR="004C2B15" w:rsidRPr="00D869E3">
        <w:rPr>
          <w:rFonts w:ascii="Verdana" w:hAnsi="Verdana"/>
          <w:sz w:val="20"/>
          <w:szCs w:val="20"/>
          <w:lang w:val="en-US"/>
        </w:rPr>
        <w:t>ing</w:t>
      </w:r>
      <w:r w:rsidRPr="00D869E3">
        <w:rPr>
          <w:rFonts w:ascii="Verdana" w:hAnsi="Verdana"/>
          <w:sz w:val="20"/>
          <w:szCs w:val="20"/>
          <w:lang w:val="en-US"/>
        </w:rPr>
        <w:t xml:space="preserve"> the previous law.</w:t>
      </w:r>
      <w:r w:rsidR="00275EDE" w:rsidRPr="00D869E3">
        <w:rPr>
          <w:rFonts w:ascii="Verdana" w:hAnsi="Verdana"/>
          <w:sz w:val="20"/>
          <w:szCs w:val="20"/>
          <w:vertAlign w:val="superscript"/>
          <w:lang w:val="en-US"/>
        </w:rPr>
        <w:footnoteReference w:id="30"/>
      </w:r>
      <w:r w:rsidR="00275EDE" w:rsidRPr="00D869E3">
        <w:rPr>
          <w:rFonts w:ascii="Verdana" w:hAnsi="Verdana"/>
          <w:sz w:val="20"/>
          <w:szCs w:val="20"/>
          <w:lang w:val="en-US"/>
        </w:rPr>
        <w:t xml:space="preserve"> </w:t>
      </w:r>
      <w:r w:rsidRPr="00D869E3">
        <w:rPr>
          <w:rFonts w:ascii="Verdana" w:hAnsi="Verdana"/>
          <w:sz w:val="20"/>
          <w:szCs w:val="20"/>
          <w:lang w:val="en-US"/>
        </w:rPr>
        <w:t>According to the act</w:t>
      </w:r>
      <w:r w:rsidR="00275EDE" w:rsidRPr="00D869E3">
        <w:rPr>
          <w:rFonts w:ascii="Verdana" w:hAnsi="Verdana"/>
          <w:sz w:val="20"/>
          <w:szCs w:val="20"/>
          <w:lang w:val="en-US"/>
        </w:rPr>
        <w:t xml:space="preserve">, </w:t>
      </w:r>
      <w:r w:rsidR="006436CA" w:rsidRPr="00D869E3">
        <w:rPr>
          <w:rFonts w:ascii="Verdana" w:hAnsi="Verdana"/>
          <w:sz w:val="20"/>
          <w:szCs w:val="20"/>
          <w:lang w:val="en-US"/>
        </w:rPr>
        <w:t>“</w:t>
      </w:r>
      <w:r w:rsidR="00F969B2" w:rsidRPr="00D869E3">
        <w:rPr>
          <w:rFonts w:ascii="Verdana" w:hAnsi="Verdana"/>
          <w:sz w:val="20"/>
          <w:szCs w:val="20"/>
          <w:lang w:val="en-US"/>
        </w:rPr>
        <w:t>[</w:t>
      </w:r>
      <w:r w:rsidRPr="00D869E3">
        <w:rPr>
          <w:rFonts w:ascii="Verdana" w:hAnsi="Verdana"/>
          <w:sz w:val="20"/>
          <w:szCs w:val="20"/>
          <w:lang w:val="en-US"/>
        </w:rPr>
        <w:t>t</w:t>
      </w:r>
      <w:r w:rsidR="00F969B2" w:rsidRPr="00D869E3">
        <w:rPr>
          <w:rFonts w:ascii="Verdana" w:hAnsi="Verdana"/>
          <w:sz w:val="20"/>
          <w:szCs w:val="20"/>
          <w:lang w:val="en-US"/>
        </w:rPr>
        <w:t>]</w:t>
      </w:r>
      <w:r w:rsidRPr="00D869E3">
        <w:rPr>
          <w:rFonts w:ascii="Verdana" w:hAnsi="Verdana"/>
          <w:sz w:val="20"/>
          <w:szCs w:val="20"/>
          <w:lang w:val="en-US"/>
        </w:rPr>
        <w:t>he</w:t>
      </w:r>
      <w:r w:rsidR="00275EDE" w:rsidRPr="00D869E3">
        <w:rPr>
          <w:rFonts w:ascii="Verdana" w:hAnsi="Verdana"/>
          <w:sz w:val="20"/>
          <w:szCs w:val="20"/>
          <w:lang w:val="en-US"/>
        </w:rPr>
        <w:t xml:space="preserve"> </w:t>
      </w:r>
      <w:r w:rsidRPr="00D869E3">
        <w:rPr>
          <w:rFonts w:ascii="Verdana" w:hAnsi="Verdana"/>
          <w:sz w:val="20"/>
          <w:szCs w:val="20"/>
          <w:lang w:val="en-US"/>
        </w:rPr>
        <w:t xml:space="preserve">Industrial Community of an industrial company in the reformed private sector </w:t>
      </w:r>
      <w:r w:rsidR="004C2B15" w:rsidRPr="00D869E3">
        <w:rPr>
          <w:rFonts w:ascii="Verdana" w:hAnsi="Verdana"/>
          <w:sz w:val="20"/>
          <w:szCs w:val="20"/>
          <w:lang w:val="en-US"/>
        </w:rPr>
        <w:t>is</w:t>
      </w:r>
      <w:r w:rsidR="00F4667D" w:rsidRPr="00D869E3">
        <w:rPr>
          <w:rFonts w:ascii="Verdana" w:hAnsi="Verdana"/>
          <w:sz w:val="20"/>
          <w:szCs w:val="20"/>
          <w:lang w:val="en-US"/>
        </w:rPr>
        <w:t xml:space="preserve"> composed of all </w:t>
      </w:r>
      <w:r w:rsidR="004C2B15" w:rsidRPr="00D869E3">
        <w:rPr>
          <w:rFonts w:ascii="Verdana" w:hAnsi="Verdana"/>
          <w:sz w:val="20"/>
          <w:szCs w:val="20"/>
          <w:lang w:val="en-US"/>
        </w:rPr>
        <w:t>its</w:t>
      </w:r>
      <w:r w:rsidR="00F4667D" w:rsidRPr="00D869E3">
        <w:rPr>
          <w:rFonts w:ascii="Verdana" w:hAnsi="Verdana"/>
          <w:sz w:val="20"/>
          <w:szCs w:val="20"/>
          <w:lang w:val="en-US"/>
        </w:rPr>
        <w:t xml:space="preserve"> </w:t>
      </w:r>
      <w:r w:rsidR="00785445" w:rsidRPr="00D869E3">
        <w:rPr>
          <w:rFonts w:ascii="Verdana" w:hAnsi="Verdana"/>
          <w:sz w:val="20"/>
          <w:szCs w:val="20"/>
          <w:lang w:val="en-US"/>
        </w:rPr>
        <w:t>permanent</w:t>
      </w:r>
      <w:r w:rsidR="00F4667D" w:rsidRPr="00D869E3">
        <w:rPr>
          <w:rFonts w:ascii="Verdana" w:hAnsi="Verdana"/>
          <w:sz w:val="20"/>
          <w:szCs w:val="20"/>
          <w:lang w:val="en-US"/>
        </w:rPr>
        <w:t xml:space="preserve"> workers, who </w:t>
      </w:r>
      <w:r w:rsidR="00F4667D" w:rsidRPr="00D869E3">
        <w:rPr>
          <w:rFonts w:ascii="Verdana" w:hAnsi="Verdana"/>
          <w:sz w:val="20"/>
          <w:szCs w:val="20"/>
          <w:lang w:val="en-US"/>
        </w:rPr>
        <w:lastRenderedPageBreak/>
        <w:t>participate in its ownership, management and profits.</w:t>
      </w:r>
      <w:r w:rsidR="006436CA" w:rsidRPr="00D869E3">
        <w:rPr>
          <w:rFonts w:ascii="Verdana" w:hAnsi="Verdana"/>
          <w:sz w:val="20"/>
          <w:szCs w:val="20"/>
          <w:lang w:val="en-US"/>
        </w:rPr>
        <w:t>”</w:t>
      </w:r>
      <w:r w:rsidR="00275EDE" w:rsidRPr="00D869E3">
        <w:rPr>
          <w:rFonts w:ascii="Verdana" w:hAnsi="Verdana"/>
          <w:sz w:val="20"/>
          <w:szCs w:val="20"/>
          <w:vertAlign w:val="superscript"/>
          <w:lang w:val="en-US"/>
        </w:rPr>
        <w:footnoteReference w:id="31"/>
      </w:r>
      <w:r w:rsidR="00F4667D" w:rsidRPr="00D869E3">
        <w:rPr>
          <w:rFonts w:ascii="Verdana" w:hAnsi="Verdana"/>
          <w:sz w:val="20"/>
          <w:szCs w:val="20"/>
          <w:lang w:val="en-US"/>
        </w:rPr>
        <w:t xml:space="preserve"> It was constituted as a private legal entity, and its purposes were</w:t>
      </w:r>
      <w:bookmarkStart w:id="19" w:name="_Hlk28689775"/>
      <w:r w:rsidR="00F4667D" w:rsidRPr="00D869E3">
        <w:rPr>
          <w:rFonts w:ascii="Verdana" w:hAnsi="Verdana"/>
          <w:sz w:val="20"/>
          <w:szCs w:val="20"/>
          <w:lang w:val="en-US"/>
        </w:rPr>
        <w:t xml:space="preserve">: </w:t>
      </w:r>
      <w:r w:rsidR="001923AA" w:rsidRPr="00D869E3">
        <w:rPr>
          <w:rFonts w:ascii="Verdana" w:hAnsi="Verdana"/>
          <w:sz w:val="20"/>
          <w:szCs w:val="20"/>
          <w:lang w:val="en-US"/>
        </w:rPr>
        <w:t xml:space="preserve">(a) to contribute to the establishment of constructive forms of interrelationship in the industrial company; (b) to strengthen </w:t>
      </w:r>
      <w:r w:rsidR="001923AA" w:rsidRPr="00D869E3">
        <w:rPr>
          <w:rFonts w:ascii="Verdana" w:hAnsi="Verdana"/>
          <w:sz w:val="20"/>
          <w:szCs w:val="20"/>
          <w:lang w:val="en-US" w:eastAsia="es-MX"/>
        </w:rPr>
        <w:t>the company by the united action of its members in the management and productive process, and their participation in the ownership of the company’s patrimony</w:t>
      </w:r>
      <w:r w:rsidR="00F4667D" w:rsidRPr="00D869E3">
        <w:rPr>
          <w:rFonts w:ascii="Verdana" w:hAnsi="Verdana"/>
          <w:sz w:val="20"/>
          <w:szCs w:val="20"/>
          <w:lang w:val="en-US" w:eastAsia="es-MX"/>
        </w:rPr>
        <w:t>;</w:t>
      </w:r>
      <w:r w:rsidR="00275EDE" w:rsidRPr="00D869E3">
        <w:rPr>
          <w:rFonts w:ascii="Verdana" w:hAnsi="Verdana"/>
          <w:sz w:val="20"/>
          <w:szCs w:val="20"/>
          <w:vertAlign w:val="superscript"/>
          <w:lang w:val="en-US" w:eastAsia="es-MX"/>
        </w:rPr>
        <w:footnoteReference w:id="32"/>
      </w:r>
      <w:r w:rsidR="00275EDE" w:rsidRPr="00D869E3">
        <w:rPr>
          <w:rFonts w:ascii="Verdana" w:hAnsi="Verdana"/>
          <w:sz w:val="20"/>
          <w:szCs w:val="20"/>
          <w:lang w:val="en-US" w:eastAsia="es-MX"/>
        </w:rPr>
        <w:t xml:space="preserve"> </w:t>
      </w:r>
      <w:bookmarkEnd w:id="19"/>
      <w:r w:rsidR="001923AA" w:rsidRPr="00D869E3">
        <w:rPr>
          <w:rFonts w:ascii="Verdana" w:hAnsi="Verdana"/>
          <w:sz w:val="20"/>
          <w:szCs w:val="20"/>
          <w:lang w:val="en-US" w:eastAsia="es-MX"/>
        </w:rPr>
        <w:t xml:space="preserve">(c) to establish an appropriate and rational distribution of the benefits among the investors and </w:t>
      </w:r>
      <w:r w:rsidR="00785445" w:rsidRPr="00D869E3">
        <w:rPr>
          <w:rFonts w:ascii="Verdana" w:hAnsi="Verdana"/>
          <w:sz w:val="20"/>
          <w:szCs w:val="20"/>
          <w:lang w:val="en-US" w:eastAsia="es-MX"/>
        </w:rPr>
        <w:t>permanent</w:t>
      </w:r>
      <w:r w:rsidR="001923AA" w:rsidRPr="00D869E3">
        <w:rPr>
          <w:rFonts w:ascii="Verdana" w:hAnsi="Verdana"/>
          <w:sz w:val="20"/>
          <w:szCs w:val="20"/>
          <w:lang w:val="en-US" w:eastAsia="es-MX"/>
        </w:rPr>
        <w:t xml:space="preserve"> workers of an industrial company, and (d) to promote permanent training and stimulate the creativity of the company’s workers</w:t>
      </w:r>
      <w:r w:rsidR="00F4667D" w:rsidRPr="00D869E3">
        <w:rPr>
          <w:rFonts w:ascii="Verdana" w:hAnsi="Verdana"/>
          <w:sz w:val="20"/>
          <w:szCs w:val="20"/>
          <w:lang w:val="en-US" w:eastAsia="es-MX"/>
        </w:rPr>
        <w:t>.</w:t>
      </w:r>
      <w:r w:rsidR="00275EDE" w:rsidRPr="00D869E3">
        <w:rPr>
          <w:rFonts w:ascii="Verdana" w:hAnsi="Verdana"/>
          <w:sz w:val="20"/>
          <w:szCs w:val="20"/>
          <w:vertAlign w:val="superscript"/>
          <w:lang w:val="en-US" w:eastAsia="es-MX"/>
        </w:rPr>
        <w:footnoteReference w:id="33"/>
      </w:r>
    </w:p>
    <w:p w14:paraId="04AD29EC" w14:textId="77777777" w:rsidR="00275EDE" w:rsidRPr="00D869E3" w:rsidRDefault="00275EDE" w:rsidP="005D0ACD">
      <w:pPr>
        <w:jc w:val="both"/>
        <w:rPr>
          <w:rFonts w:ascii="Verdana" w:hAnsi="Verdana"/>
          <w:sz w:val="20"/>
          <w:szCs w:val="20"/>
          <w:lang w:val="en-US" w:eastAsia="es-MX"/>
        </w:rPr>
      </w:pPr>
    </w:p>
    <w:p w14:paraId="022DF29E" w14:textId="14F4581D" w:rsidR="00275EDE" w:rsidRPr="00D869E3" w:rsidRDefault="004C2B15" w:rsidP="00F4667D">
      <w:pPr>
        <w:pStyle w:val="Prrafodelista"/>
        <w:numPr>
          <w:ilvl w:val="0"/>
          <w:numId w:val="1"/>
        </w:numPr>
        <w:ind w:left="0" w:hanging="11"/>
        <w:jc w:val="both"/>
        <w:rPr>
          <w:rFonts w:ascii="Verdana" w:hAnsi="Verdana"/>
          <w:b/>
          <w:sz w:val="20"/>
          <w:szCs w:val="20"/>
          <w:lang w:val="en-US"/>
        </w:rPr>
      </w:pPr>
      <w:r w:rsidRPr="00D869E3">
        <w:rPr>
          <w:rFonts w:ascii="Verdana" w:hAnsi="Verdana"/>
          <w:sz w:val="20"/>
          <w:szCs w:val="20"/>
          <w:lang w:val="en-US" w:eastAsia="es-MX"/>
        </w:rPr>
        <w:t>The</w:t>
      </w:r>
      <w:r w:rsidR="00EA232B" w:rsidRPr="00D869E3">
        <w:rPr>
          <w:rFonts w:ascii="Verdana" w:hAnsi="Verdana"/>
          <w:sz w:val="20"/>
          <w:szCs w:val="20"/>
          <w:lang w:val="en-US" w:eastAsia="es-MX"/>
        </w:rPr>
        <w:t xml:space="preserve"> Industrial Community</w:t>
      </w:r>
      <w:r w:rsidR="00275EDE" w:rsidRPr="00D869E3">
        <w:rPr>
          <w:rFonts w:ascii="Verdana" w:hAnsi="Verdana"/>
          <w:sz w:val="20"/>
          <w:szCs w:val="20"/>
          <w:lang w:val="en-US" w:eastAsia="es-MX"/>
        </w:rPr>
        <w:t xml:space="preserve"> </w:t>
      </w:r>
      <w:r w:rsidRPr="00D869E3">
        <w:rPr>
          <w:rFonts w:ascii="Verdana" w:hAnsi="Verdana"/>
          <w:sz w:val="20"/>
          <w:szCs w:val="20"/>
          <w:lang w:val="en-US" w:eastAsia="es-MX"/>
        </w:rPr>
        <w:t xml:space="preserve">was </w:t>
      </w:r>
      <w:r w:rsidR="00F4667D" w:rsidRPr="00D869E3">
        <w:rPr>
          <w:rFonts w:ascii="Verdana" w:hAnsi="Verdana"/>
          <w:sz w:val="20"/>
          <w:szCs w:val="20"/>
          <w:lang w:val="en-US" w:eastAsia="es-MX"/>
        </w:rPr>
        <w:t>a system</w:t>
      </w:r>
      <w:r w:rsidRPr="00D869E3">
        <w:rPr>
          <w:rFonts w:ascii="Verdana" w:hAnsi="Verdana"/>
          <w:sz w:val="20"/>
          <w:szCs w:val="20"/>
          <w:lang w:val="en-US" w:eastAsia="es-MX"/>
        </w:rPr>
        <w:t xml:space="preserve"> </w:t>
      </w:r>
      <w:r w:rsidRPr="00D869E3">
        <w:rPr>
          <w:rFonts w:ascii="Verdana" w:hAnsi="Verdana"/>
          <w:i/>
          <w:sz w:val="20"/>
          <w:szCs w:val="20"/>
          <w:lang w:val="en-US" w:eastAsia="es-MX"/>
        </w:rPr>
        <w:t>sui generis</w:t>
      </w:r>
      <w:r w:rsidR="00F4667D" w:rsidRPr="00D869E3">
        <w:rPr>
          <w:rFonts w:ascii="Verdana" w:hAnsi="Verdana"/>
          <w:sz w:val="20"/>
          <w:szCs w:val="20"/>
          <w:lang w:val="en-US" w:eastAsia="es-MX"/>
        </w:rPr>
        <w:t xml:space="preserve"> for industrial and labor promotion</w:t>
      </w:r>
      <w:r w:rsidR="00F4667D" w:rsidRPr="00D869E3">
        <w:rPr>
          <w:rFonts w:ascii="Verdana" w:hAnsi="Verdana"/>
          <w:i/>
          <w:sz w:val="20"/>
          <w:szCs w:val="20"/>
          <w:lang w:val="en-US" w:eastAsia="es-MX"/>
        </w:rPr>
        <w:t>,</w:t>
      </w:r>
      <w:r w:rsidR="00F4667D" w:rsidRPr="00D869E3">
        <w:rPr>
          <w:rFonts w:ascii="Verdana" w:hAnsi="Verdana"/>
          <w:iCs/>
          <w:sz w:val="20"/>
          <w:szCs w:val="20"/>
          <w:lang w:val="en-US" w:eastAsia="es-MX"/>
        </w:rPr>
        <w:t xml:space="preserve"> applicable </w:t>
      </w:r>
      <w:r w:rsidRPr="00D869E3">
        <w:rPr>
          <w:rFonts w:ascii="Verdana" w:hAnsi="Verdana"/>
          <w:iCs/>
          <w:sz w:val="20"/>
          <w:szCs w:val="20"/>
          <w:lang w:val="en-US" w:eastAsia="es-MX"/>
        </w:rPr>
        <w:t>in</w:t>
      </w:r>
      <w:r w:rsidR="00F4667D" w:rsidRPr="00D869E3">
        <w:rPr>
          <w:rFonts w:ascii="Verdana" w:hAnsi="Verdana"/>
          <w:iCs/>
          <w:sz w:val="20"/>
          <w:szCs w:val="20"/>
          <w:lang w:val="en-US" w:eastAsia="es-MX"/>
        </w:rPr>
        <w:t xml:space="preserve"> </w:t>
      </w:r>
      <w:r w:rsidR="006436CA" w:rsidRPr="00D869E3">
        <w:rPr>
          <w:rFonts w:ascii="Verdana" w:hAnsi="Verdana"/>
          <w:iCs/>
          <w:sz w:val="20"/>
          <w:szCs w:val="20"/>
          <w:lang w:val="en-US" w:eastAsia="es-MX"/>
        </w:rPr>
        <w:t>“</w:t>
      </w:r>
      <w:r w:rsidR="00F4667D" w:rsidRPr="00D869E3">
        <w:rPr>
          <w:rFonts w:ascii="Verdana" w:hAnsi="Verdana"/>
          <w:iCs/>
          <w:sz w:val="20"/>
          <w:szCs w:val="20"/>
          <w:lang w:val="en-US" w:eastAsia="es-MX"/>
        </w:rPr>
        <w:t xml:space="preserve">all industrial manufacturing companies of the reformed private sector that were governed by the General Industries Act, </w:t>
      </w:r>
      <w:r w:rsidR="0003030B" w:rsidRPr="00D869E3">
        <w:rPr>
          <w:rFonts w:ascii="Verdana" w:hAnsi="Verdana"/>
          <w:sz w:val="20"/>
          <w:szCs w:val="20"/>
          <w:lang w:val="en-US" w:eastAsia="es-MX"/>
        </w:rPr>
        <w:t>Decree-Law</w:t>
      </w:r>
      <w:r w:rsidR="00275EDE" w:rsidRPr="00D869E3">
        <w:rPr>
          <w:rFonts w:ascii="Verdana" w:hAnsi="Verdana"/>
          <w:sz w:val="20"/>
          <w:szCs w:val="20"/>
          <w:lang w:val="en-US" w:eastAsia="es-MX"/>
        </w:rPr>
        <w:t xml:space="preserve"> 18350, </w:t>
      </w:r>
      <w:r w:rsidR="00F4667D" w:rsidRPr="00D869E3">
        <w:rPr>
          <w:rFonts w:ascii="Verdana" w:hAnsi="Verdana"/>
          <w:sz w:val="20"/>
          <w:szCs w:val="20"/>
          <w:lang w:val="en-US" w:eastAsia="es-MX"/>
        </w:rPr>
        <w:t xml:space="preserve">whatsoever their administrative </w:t>
      </w:r>
      <w:r w:rsidR="00E51E71" w:rsidRPr="00D869E3">
        <w:rPr>
          <w:rFonts w:ascii="Verdana" w:hAnsi="Verdana"/>
          <w:sz w:val="20"/>
          <w:szCs w:val="20"/>
          <w:lang w:val="en-US" w:eastAsia="es-MX"/>
        </w:rPr>
        <w:t>regime</w:t>
      </w:r>
      <w:r w:rsidR="00F4667D" w:rsidRPr="00D869E3">
        <w:rPr>
          <w:rFonts w:ascii="Verdana" w:hAnsi="Verdana"/>
          <w:sz w:val="20"/>
          <w:szCs w:val="20"/>
          <w:lang w:val="en-US" w:eastAsia="es-MX"/>
        </w:rPr>
        <w:t>.</w:t>
      </w:r>
      <w:r w:rsidR="006436CA" w:rsidRPr="00D869E3">
        <w:rPr>
          <w:rFonts w:ascii="Verdana" w:hAnsi="Verdana"/>
          <w:sz w:val="20"/>
          <w:szCs w:val="20"/>
          <w:lang w:val="en-US"/>
        </w:rPr>
        <w:t>”</w:t>
      </w:r>
      <w:r w:rsidR="00275EDE" w:rsidRPr="00D869E3">
        <w:rPr>
          <w:rFonts w:ascii="Verdana" w:hAnsi="Verdana"/>
          <w:sz w:val="20"/>
          <w:szCs w:val="20"/>
          <w:vertAlign w:val="superscript"/>
          <w:lang w:val="en-US"/>
        </w:rPr>
        <w:footnoteReference w:id="34"/>
      </w:r>
      <w:r w:rsidR="00F4667D" w:rsidRPr="00D869E3">
        <w:rPr>
          <w:rFonts w:ascii="Verdana" w:hAnsi="Verdana"/>
          <w:sz w:val="20"/>
          <w:szCs w:val="20"/>
          <w:lang w:val="en-US"/>
        </w:rPr>
        <w:t xml:space="preserve"> Thus, compan</w:t>
      </w:r>
      <w:r w:rsidRPr="00D869E3">
        <w:rPr>
          <w:rFonts w:ascii="Verdana" w:hAnsi="Verdana"/>
          <w:sz w:val="20"/>
          <w:szCs w:val="20"/>
          <w:lang w:val="en-US"/>
        </w:rPr>
        <w:t>ies</w:t>
      </w:r>
      <w:r w:rsidR="00F4667D" w:rsidRPr="00D869E3">
        <w:rPr>
          <w:rFonts w:ascii="Verdana" w:hAnsi="Verdana"/>
          <w:sz w:val="20"/>
          <w:szCs w:val="20"/>
          <w:lang w:val="en-US"/>
        </w:rPr>
        <w:t xml:space="preserve"> that </w:t>
      </w:r>
      <w:r w:rsidRPr="00D869E3">
        <w:rPr>
          <w:rFonts w:ascii="Verdana" w:hAnsi="Verdana"/>
          <w:sz w:val="20"/>
          <w:szCs w:val="20"/>
          <w:lang w:val="en-US"/>
        </w:rPr>
        <w:t>formed</w:t>
      </w:r>
      <w:r w:rsidR="00F4667D" w:rsidRPr="00D869E3">
        <w:rPr>
          <w:rFonts w:ascii="Verdana" w:hAnsi="Verdana"/>
          <w:sz w:val="20"/>
          <w:szCs w:val="20"/>
          <w:lang w:val="en-US"/>
        </w:rPr>
        <w:t xml:space="preserve"> part of the said reformed private sector were obliged to create an Industrial Community.</w:t>
      </w:r>
    </w:p>
    <w:p w14:paraId="37C14D7F" w14:textId="77777777" w:rsidR="00275EDE" w:rsidRPr="00D869E3" w:rsidRDefault="00275EDE" w:rsidP="005D0ACD">
      <w:pPr>
        <w:jc w:val="both"/>
        <w:rPr>
          <w:rFonts w:ascii="Verdana" w:hAnsi="Verdana"/>
          <w:sz w:val="20"/>
          <w:szCs w:val="20"/>
          <w:lang w:val="en-US" w:eastAsia="es-MX"/>
        </w:rPr>
      </w:pPr>
    </w:p>
    <w:p w14:paraId="0DC6E087" w14:textId="51FADCD6" w:rsidR="00275EDE" w:rsidRPr="00D869E3" w:rsidRDefault="00F4667D" w:rsidP="00E66DD7">
      <w:pPr>
        <w:pStyle w:val="Prrafodelista"/>
        <w:numPr>
          <w:ilvl w:val="0"/>
          <w:numId w:val="1"/>
        </w:numPr>
        <w:ind w:left="0" w:hanging="11"/>
        <w:jc w:val="both"/>
        <w:rPr>
          <w:rFonts w:ascii="Verdana" w:hAnsi="Verdana"/>
          <w:sz w:val="20"/>
          <w:szCs w:val="20"/>
          <w:lang w:val="en-US"/>
        </w:rPr>
      </w:pPr>
      <w:r w:rsidRPr="00D869E3">
        <w:rPr>
          <w:rFonts w:ascii="Verdana" w:hAnsi="Verdana"/>
          <w:sz w:val="20"/>
          <w:szCs w:val="20"/>
          <w:lang w:val="en-US" w:eastAsia="es-MX"/>
        </w:rPr>
        <w:t>Under this concept, the workers participated in company ownership, management and profits</w:t>
      </w:r>
      <w:r w:rsidR="00275EDE" w:rsidRPr="00D869E3">
        <w:rPr>
          <w:rFonts w:ascii="Verdana" w:hAnsi="Verdana"/>
          <w:sz w:val="20"/>
          <w:szCs w:val="20"/>
          <w:lang w:val="en-US" w:eastAsia="es-MX"/>
        </w:rPr>
        <w:t xml:space="preserve">. </w:t>
      </w:r>
      <w:r w:rsidRPr="00D869E3">
        <w:rPr>
          <w:rFonts w:ascii="Verdana" w:hAnsi="Verdana"/>
          <w:sz w:val="20"/>
          <w:szCs w:val="20"/>
          <w:lang w:val="en-US" w:eastAsia="es-MX"/>
        </w:rPr>
        <w:t>The</w:t>
      </w:r>
      <w:r w:rsidR="00EA232B" w:rsidRPr="00D869E3">
        <w:rPr>
          <w:rFonts w:ascii="Verdana" w:hAnsi="Verdana"/>
          <w:sz w:val="20"/>
          <w:szCs w:val="20"/>
          <w:lang w:val="en-US" w:eastAsia="es-MX"/>
        </w:rPr>
        <w:t xml:space="preserve"> Industrial Community</w:t>
      </w:r>
      <w:r w:rsidR="00275EDE" w:rsidRPr="00D869E3">
        <w:rPr>
          <w:rFonts w:ascii="Verdana" w:hAnsi="Verdana"/>
          <w:sz w:val="20"/>
          <w:szCs w:val="20"/>
          <w:lang w:val="en-US" w:eastAsia="es-MX"/>
        </w:rPr>
        <w:t xml:space="preserve"> </w:t>
      </w:r>
      <w:r w:rsidRPr="00D869E3">
        <w:rPr>
          <w:rFonts w:ascii="Verdana" w:hAnsi="Verdana"/>
          <w:sz w:val="20"/>
          <w:szCs w:val="20"/>
          <w:lang w:val="en-US" w:eastAsia="es-MX"/>
        </w:rPr>
        <w:t xml:space="preserve">was administered and managed by the Community’s General Assembly and Council. The </w:t>
      </w:r>
      <w:r w:rsidRPr="00D869E3">
        <w:rPr>
          <w:rFonts w:ascii="Verdana" w:hAnsi="Verdana"/>
          <w:sz w:val="20"/>
          <w:szCs w:val="20"/>
          <w:lang w:val="en-US"/>
        </w:rPr>
        <w:t>General Assembly</w:t>
      </w:r>
      <w:r w:rsidR="00275EDE" w:rsidRPr="00D869E3">
        <w:rPr>
          <w:rFonts w:ascii="Verdana" w:hAnsi="Verdana"/>
          <w:sz w:val="20"/>
          <w:szCs w:val="20"/>
          <w:lang w:val="en-US"/>
        </w:rPr>
        <w:t xml:space="preserve"> </w:t>
      </w:r>
      <w:r w:rsidRPr="00D869E3">
        <w:rPr>
          <w:rFonts w:ascii="Verdana" w:hAnsi="Verdana"/>
          <w:sz w:val="20"/>
          <w:szCs w:val="20"/>
          <w:lang w:val="en-US"/>
        </w:rPr>
        <w:t>was the highest authority of the Community and it was composed of all the workers.</w:t>
      </w:r>
      <w:r w:rsidR="00275EDE" w:rsidRPr="00D869E3">
        <w:rPr>
          <w:rFonts w:ascii="Verdana" w:hAnsi="Verdana"/>
          <w:sz w:val="20"/>
          <w:szCs w:val="20"/>
          <w:vertAlign w:val="superscript"/>
          <w:lang w:val="en-US"/>
        </w:rPr>
        <w:footnoteReference w:id="35"/>
      </w:r>
      <w:r w:rsidR="00275EDE" w:rsidRPr="00D869E3">
        <w:rPr>
          <w:rFonts w:ascii="Verdana" w:hAnsi="Verdana"/>
          <w:sz w:val="20"/>
          <w:szCs w:val="20"/>
          <w:lang w:val="en-US"/>
        </w:rPr>
        <w:t xml:space="preserve"> </w:t>
      </w:r>
    </w:p>
    <w:p w14:paraId="316DD286" w14:textId="77777777" w:rsidR="005D0ACD" w:rsidRPr="00D869E3" w:rsidRDefault="005D0ACD" w:rsidP="005D0ACD">
      <w:pPr>
        <w:pStyle w:val="Prrafodelista"/>
        <w:ind w:left="0"/>
        <w:jc w:val="both"/>
        <w:rPr>
          <w:rFonts w:ascii="Verdana" w:hAnsi="Verdana"/>
          <w:sz w:val="20"/>
          <w:szCs w:val="20"/>
          <w:lang w:val="en-US"/>
        </w:rPr>
      </w:pPr>
    </w:p>
    <w:p w14:paraId="21A047ED" w14:textId="6AA75A30" w:rsidR="00275EDE" w:rsidRPr="00D869E3" w:rsidRDefault="00C30192" w:rsidP="00BD270B">
      <w:pPr>
        <w:pStyle w:val="Prrafodelista"/>
        <w:numPr>
          <w:ilvl w:val="0"/>
          <w:numId w:val="1"/>
        </w:numPr>
        <w:ind w:left="0" w:hanging="11"/>
        <w:jc w:val="both"/>
        <w:rPr>
          <w:rFonts w:ascii="Verdana" w:hAnsi="Verdana"/>
          <w:sz w:val="20"/>
          <w:szCs w:val="20"/>
          <w:lang w:val="en-US"/>
        </w:rPr>
      </w:pPr>
      <w:r w:rsidRPr="00D869E3">
        <w:rPr>
          <w:rFonts w:ascii="Verdana" w:hAnsi="Verdana"/>
          <w:sz w:val="20"/>
          <w:szCs w:val="20"/>
          <w:lang w:val="en-US"/>
        </w:rPr>
        <w:t xml:space="preserve">Meanwhile, the Community Council was the executive body </w:t>
      </w:r>
      <w:r w:rsidR="00EA232B" w:rsidRPr="00D869E3">
        <w:rPr>
          <w:rFonts w:ascii="Verdana" w:hAnsi="Verdana"/>
          <w:sz w:val="20"/>
          <w:szCs w:val="20"/>
          <w:lang w:val="en-US"/>
        </w:rPr>
        <w:t>of the Industrial Community</w:t>
      </w:r>
      <w:r w:rsidRPr="00D869E3">
        <w:rPr>
          <w:rFonts w:ascii="Verdana" w:hAnsi="Verdana"/>
          <w:sz w:val="20"/>
          <w:szCs w:val="20"/>
          <w:lang w:val="en-US"/>
        </w:rPr>
        <w:t>.</w:t>
      </w:r>
      <w:r w:rsidR="00275EDE" w:rsidRPr="00D869E3">
        <w:rPr>
          <w:rFonts w:ascii="Verdana" w:hAnsi="Verdana"/>
          <w:sz w:val="20"/>
          <w:szCs w:val="20"/>
          <w:vertAlign w:val="superscript"/>
          <w:lang w:val="en-US"/>
        </w:rPr>
        <w:footnoteReference w:id="36"/>
      </w:r>
      <w:r w:rsidR="00275EDE" w:rsidRPr="00D869E3">
        <w:rPr>
          <w:rFonts w:ascii="Verdana" w:hAnsi="Verdana"/>
          <w:sz w:val="20"/>
          <w:szCs w:val="20"/>
          <w:lang w:val="en-US"/>
        </w:rPr>
        <w:t xml:space="preserve"> </w:t>
      </w:r>
      <w:r w:rsidRPr="00D869E3">
        <w:rPr>
          <w:rFonts w:ascii="Verdana" w:hAnsi="Verdana"/>
          <w:sz w:val="20"/>
          <w:szCs w:val="20"/>
          <w:lang w:val="en-US"/>
        </w:rPr>
        <w:t xml:space="preserve">Among other functions, it was responsible for </w:t>
      </w:r>
      <w:r w:rsidR="00BD270B" w:rsidRPr="00D869E3">
        <w:rPr>
          <w:rFonts w:ascii="Verdana" w:hAnsi="Verdana"/>
          <w:sz w:val="20"/>
          <w:szCs w:val="20"/>
          <w:lang w:val="en-US"/>
        </w:rPr>
        <w:t xml:space="preserve">administering its patrimony, executing the decisions of </w:t>
      </w:r>
      <w:r w:rsidR="00F4667D" w:rsidRPr="00D869E3">
        <w:rPr>
          <w:rFonts w:ascii="Verdana" w:hAnsi="Verdana"/>
          <w:sz w:val="20"/>
          <w:szCs w:val="20"/>
          <w:lang w:val="en-US"/>
        </w:rPr>
        <w:t>the General Assembly</w:t>
      </w:r>
      <w:r w:rsidR="00687684" w:rsidRPr="00D869E3">
        <w:rPr>
          <w:rFonts w:ascii="Verdana" w:hAnsi="Verdana"/>
          <w:sz w:val="20"/>
          <w:szCs w:val="20"/>
          <w:lang w:val="en-US"/>
        </w:rPr>
        <w:t xml:space="preserve"> and </w:t>
      </w:r>
      <w:r w:rsidR="00BD270B" w:rsidRPr="00D869E3">
        <w:rPr>
          <w:rFonts w:ascii="Verdana" w:hAnsi="Verdana"/>
          <w:sz w:val="20"/>
          <w:szCs w:val="20"/>
          <w:lang w:val="en-US"/>
        </w:rPr>
        <w:t>ensuring compliance with</w:t>
      </w:r>
      <w:r w:rsidR="00D7137C" w:rsidRPr="00D869E3">
        <w:rPr>
          <w:rFonts w:ascii="Verdana" w:hAnsi="Verdana"/>
          <w:sz w:val="20"/>
          <w:szCs w:val="20"/>
          <w:lang w:val="en-US"/>
        </w:rPr>
        <w:t xml:space="preserve"> the </w:t>
      </w:r>
      <w:r w:rsidR="00BD270B" w:rsidRPr="00D869E3">
        <w:rPr>
          <w:rFonts w:ascii="Verdana" w:hAnsi="Verdana"/>
          <w:sz w:val="20"/>
          <w:szCs w:val="20"/>
          <w:lang w:val="en-US"/>
        </w:rPr>
        <w:t xml:space="preserve">Community’s </w:t>
      </w:r>
      <w:r w:rsidR="00D7137C" w:rsidRPr="00D869E3">
        <w:rPr>
          <w:rFonts w:ascii="Verdana" w:hAnsi="Verdana"/>
          <w:sz w:val="20"/>
          <w:szCs w:val="20"/>
          <w:lang w:val="en-US"/>
        </w:rPr>
        <w:t>Statute</w:t>
      </w:r>
      <w:r w:rsidR="00275EDE" w:rsidRPr="00D869E3">
        <w:rPr>
          <w:rFonts w:ascii="Verdana" w:hAnsi="Verdana"/>
          <w:sz w:val="20"/>
          <w:szCs w:val="20"/>
          <w:lang w:val="en-US"/>
        </w:rPr>
        <w:t>; a</w:t>
      </w:r>
      <w:r w:rsidR="00BD270B" w:rsidRPr="00D869E3">
        <w:rPr>
          <w:rFonts w:ascii="Verdana" w:hAnsi="Verdana"/>
          <w:sz w:val="20"/>
          <w:szCs w:val="20"/>
          <w:lang w:val="en-US"/>
        </w:rPr>
        <w:t xml:space="preserve">dvising </w:t>
      </w:r>
      <w:r w:rsidR="00687684" w:rsidRPr="00D869E3">
        <w:rPr>
          <w:rFonts w:ascii="Verdana" w:hAnsi="Verdana"/>
          <w:sz w:val="20"/>
          <w:szCs w:val="20"/>
          <w:lang w:val="en-US"/>
        </w:rPr>
        <w:t xml:space="preserve">the </w:t>
      </w:r>
      <w:r w:rsidR="00BD270B" w:rsidRPr="00D869E3">
        <w:rPr>
          <w:rFonts w:ascii="Verdana" w:hAnsi="Verdana"/>
          <w:sz w:val="20"/>
          <w:szCs w:val="20"/>
          <w:lang w:val="en-US"/>
        </w:rPr>
        <w:t xml:space="preserve">workers’ </w:t>
      </w:r>
      <w:r w:rsidR="00687684" w:rsidRPr="00D869E3">
        <w:rPr>
          <w:rFonts w:ascii="Verdana" w:hAnsi="Verdana"/>
          <w:sz w:val="20"/>
          <w:szCs w:val="20"/>
          <w:lang w:val="en-US"/>
        </w:rPr>
        <w:t>representatives</w:t>
      </w:r>
      <w:r w:rsidR="00275EDE" w:rsidRPr="00D869E3">
        <w:rPr>
          <w:rFonts w:ascii="Verdana" w:hAnsi="Verdana"/>
          <w:sz w:val="20"/>
          <w:szCs w:val="20"/>
          <w:lang w:val="en-US"/>
        </w:rPr>
        <w:t xml:space="preserve"> </w:t>
      </w:r>
      <w:r w:rsidR="00BD270B" w:rsidRPr="00D869E3">
        <w:rPr>
          <w:rFonts w:ascii="Verdana" w:hAnsi="Verdana"/>
          <w:sz w:val="20"/>
          <w:szCs w:val="20"/>
          <w:lang w:val="en-US"/>
        </w:rPr>
        <w:t>on the company’s board</w:t>
      </w:r>
      <w:r w:rsidR="001923AA" w:rsidRPr="00D869E3">
        <w:rPr>
          <w:rFonts w:ascii="Verdana" w:hAnsi="Verdana"/>
          <w:sz w:val="20"/>
          <w:szCs w:val="20"/>
          <w:lang w:val="en-US"/>
        </w:rPr>
        <w:t>;</w:t>
      </w:r>
      <w:r w:rsidR="00BD270B" w:rsidRPr="00D869E3">
        <w:rPr>
          <w:rFonts w:ascii="Verdana" w:hAnsi="Verdana"/>
          <w:sz w:val="20"/>
          <w:szCs w:val="20"/>
          <w:lang w:val="en-US"/>
        </w:rPr>
        <w:t xml:space="preserve"> ruling on matters submitted to it by the workers, after consulting the General Assembly if necessary, and convening the General Assembly. The members of the Community Council could not perform or postulate their candidacy for a </w:t>
      </w:r>
      <w:r w:rsidR="00E85F6A" w:rsidRPr="00D869E3">
        <w:rPr>
          <w:rFonts w:ascii="Verdana" w:hAnsi="Verdana"/>
          <w:sz w:val="20"/>
          <w:szCs w:val="20"/>
          <w:lang w:val="en-US"/>
        </w:rPr>
        <w:t>labor union</w:t>
      </w:r>
      <w:r w:rsidR="00BD270B" w:rsidRPr="00D869E3">
        <w:rPr>
          <w:rFonts w:ascii="Verdana" w:hAnsi="Verdana"/>
          <w:sz w:val="20"/>
          <w:szCs w:val="20"/>
          <w:lang w:val="en-US"/>
        </w:rPr>
        <w:t xml:space="preserve"> position of any kind during their term of office.</w:t>
      </w:r>
      <w:r w:rsidR="00275EDE" w:rsidRPr="00D869E3">
        <w:rPr>
          <w:rFonts w:ascii="Verdana" w:hAnsi="Verdana"/>
          <w:sz w:val="20"/>
          <w:szCs w:val="20"/>
          <w:vertAlign w:val="superscript"/>
          <w:lang w:val="en-US"/>
        </w:rPr>
        <w:footnoteReference w:id="37"/>
      </w:r>
      <w:r w:rsidR="00275EDE" w:rsidRPr="00D869E3">
        <w:rPr>
          <w:rFonts w:ascii="Verdana" w:hAnsi="Verdana"/>
          <w:sz w:val="20"/>
          <w:szCs w:val="20"/>
          <w:lang w:val="en-US"/>
        </w:rPr>
        <w:t xml:space="preserve"> </w:t>
      </w:r>
    </w:p>
    <w:p w14:paraId="5C2C33C6" w14:textId="77777777" w:rsidR="005D0ACD" w:rsidRPr="00D869E3" w:rsidRDefault="005D0ACD" w:rsidP="005D0ACD">
      <w:pPr>
        <w:pStyle w:val="Prrafodelista"/>
        <w:ind w:left="0"/>
        <w:jc w:val="both"/>
        <w:rPr>
          <w:rFonts w:ascii="Verdana" w:hAnsi="Verdana"/>
          <w:sz w:val="20"/>
          <w:szCs w:val="20"/>
          <w:lang w:val="en-US"/>
        </w:rPr>
      </w:pPr>
    </w:p>
    <w:p w14:paraId="1CF4215F" w14:textId="045B6D23" w:rsidR="00275EDE" w:rsidRPr="00D869E3" w:rsidRDefault="00F43C5F" w:rsidP="00F43C5F">
      <w:pPr>
        <w:pStyle w:val="Prrafodelista"/>
        <w:numPr>
          <w:ilvl w:val="0"/>
          <w:numId w:val="1"/>
        </w:numPr>
        <w:ind w:left="0" w:hanging="11"/>
        <w:jc w:val="both"/>
        <w:rPr>
          <w:rFonts w:ascii="Verdana" w:hAnsi="Verdana"/>
          <w:b/>
          <w:color w:val="000000"/>
          <w:sz w:val="20"/>
          <w:szCs w:val="20"/>
          <w:lang w:val="en-US"/>
        </w:rPr>
      </w:pPr>
      <w:r w:rsidRPr="00D869E3">
        <w:rPr>
          <w:rFonts w:ascii="Verdana" w:hAnsi="Verdana"/>
          <w:color w:val="000000"/>
          <w:sz w:val="20"/>
          <w:szCs w:val="20"/>
          <w:lang w:val="en-US"/>
        </w:rPr>
        <w:lastRenderedPageBreak/>
        <w:t xml:space="preserve">The workers </w:t>
      </w:r>
      <w:r w:rsidR="00275EDE" w:rsidRPr="00D869E3">
        <w:rPr>
          <w:rFonts w:ascii="Verdana" w:hAnsi="Verdana"/>
          <w:color w:val="000000"/>
          <w:sz w:val="20"/>
          <w:szCs w:val="20"/>
          <w:lang w:val="en-US"/>
        </w:rPr>
        <w:t>participa</w:t>
      </w:r>
      <w:r w:rsidRPr="00D869E3">
        <w:rPr>
          <w:rFonts w:ascii="Verdana" w:hAnsi="Verdana"/>
          <w:color w:val="000000"/>
          <w:sz w:val="20"/>
          <w:szCs w:val="20"/>
          <w:lang w:val="en-US"/>
        </w:rPr>
        <w:t>ted in company management by appointing their</w:t>
      </w:r>
      <w:r w:rsidR="001E44D3" w:rsidRPr="00D869E3">
        <w:rPr>
          <w:rFonts w:ascii="Verdana" w:hAnsi="Verdana"/>
          <w:color w:val="000000"/>
          <w:sz w:val="20"/>
          <w:szCs w:val="20"/>
          <w:lang w:val="en-US"/>
        </w:rPr>
        <w:t xml:space="preserve"> representatives</w:t>
      </w:r>
      <w:r w:rsidR="00275EDE" w:rsidRPr="00D869E3">
        <w:rPr>
          <w:rFonts w:ascii="Verdana" w:hAnsi="Verdana"/>
          <w:color w:val="000000"/>
          <w:sz w:val="20"/>
          <w:szCs w:val="20"/>
          <w:lang w:val="en-US"/>
        </w:rPr>
        <w:t xml:space="preserve"> </w:t>
      </w:r>
      <w:r w:rsidRPr="00D869E3">
        <w:rPr>
          <w:rFonts w:ascii="Verdana" w:hAnsi="Verdana"/>
          <w:color w:val="000000"/>
          <w:sz w:val="20"/>
          <w:szCs w:val="20"/>
          <w:lang w:val="en-US"/>
        </w:rPr>
        <w:t>to the company’s Board</w:t>
      </w:r>
      <w:r w:rsidR="00E37BD1" w:rsidRPr="00D869E3">
        <w:rPr>
          <w:rFonts w:ascii="Verdana" w:hAnsi="Verdana"/>
          <w:color w:val="000000"/>
          <w:sz w:val="20"/>
          <w:szCs w:val="20"/>
          <w:lang w:val="en-US"/>
        </w:rPr>
        <w:t>, which was</w:t>
      </w:r>
      <w:r w:rsidRPr="00D869E3">
        <w:rPr>
          <w:rFonts w:ascii="Verdana" w:hAnsi="Verdana"/>
          <w:color w:val="000000"/>
          <w:sz w:val="20"/>
          <w:szCs w:val="20"/>
          <w:lang w:val="en-US"/>
        </w:rPr>
        <w:t xml:space="preserve"> composed of the latter together with the directors appointed by the company’s shareholders. The directors who represented the workers were elected for one year and could be re-elected for an additional term. The directors who represented the workers had the same responsibilities and the same rights as the other company directors.</w:t>
      </w:r>
      <w:r w:rsidR="00275EDE" w:rsidRPr="00D869E3">
        <w:rPr>
          <w:rFonts w:ascii="Verdana" w:hAnsi="Verdana"/>
          <w:color w:val="000000"/>
          <w:sz w:val="20"/>
          <w:szCs w:val="20"/>
          <w:vertAlign w:val="superscript"/>
          <w:lang w:val="en-US"/>
        </w:rPr>
        <w:footnoteReference w:id="38"/>
      </w:r>
      <w:r w:rsidR="00275EDE" w:rsidRPr="00D869E3">
        <w:rPr>
          <w:rFonts w:ascii="Verdana" w:hAnsi="Verdana"/>
          <w:color w:val="000000"/>
          <w:sz w:val="20"/>
          <w:szCs w:val="20"/>
          <w:lang w:val="en-US"/>
        </w:rPr>
        <w:t xml:space="preserve">  </w:t>
      </w:r>
    </w:p>
    <w:p w14:paraId="5CB0FDEB" w14:textId="77777777" w:rsidR="00275EDE" w:rsidRPr="00D869E3" w:rsidRDefault="00275EDE" w:rsidP="005D0ACD">
      <w:pPr>
        <w:jc w:val="both"/>
        <w:rPr>
          <w:rFonts w:ascii="Verdana" w:hAnsi="Verdana"/>
          <w:sz w:val="20"/>
          <w:szCs w:val="20"/>
          <w:lang w:val="en-US"/>
        </w:rPr>
      </w:pPr>
    </w:p>
    <w:p w14:paraId="0D0A1A5C" w14:textId="0A1E59AE" w:rsidR="00275EDE" w:rsidRPr="00D869E3" w:rsidRDefault="00F43C5F" w:rsidP="00F43C5F">
      <w:pPr>
        <w:pStyle w:val="Prrafodelista"/>
        <w:numPr>
          <w:ilvl w:val="0"/>
          <w:numId w:val="1"/>
        </w:numPr>
        <w:ind w:left="0" w:hanging="11"/>
        <w:jc w:val="both"/>
        <w:rPr>
          <w:rFonts w:ascii="Verdana" w:hAnsi="Verdana"/>
          <w:b/>
          <w:sz w:val="20"/>
          <w:szCs w:val="20"/>
          <w:lang w:val="en-US"/>
        </w:rPr>
      </w:pPr>
      <w:r w:rsidRPr="00D869E3">
        <w:rPr>
          <w:rFonts w:ascii="Verdana" w:hAnsi="Verdana"/>
          <w:sz w:val="20"/>
          <w:szCs w:val="20"/>
          <w:lang w:val="en-US"/>
        </w:rPr>
        <w:t xml:space="preserve">According to the Decree-Law, the members </w:t>
      </w:r>
      <w:r w:rsidR="00EA232B" w:rsidRPr="00D869E3">
        <w:rPr>
          <w:rFonts w:ascii="Verdana" w:hAnsi="Verdana"/>
          <w:sz w:val="20"/>
          <w:szCs w:val="20"/>
          <w:lang w:val="en-US"/>
        </w:rPr>
        <w:t>of the Industrial Community</w:t>
      </w:r>
      <w:r w:rsidR="00275EDE" w:rsidRPr="00D869E3">
        <w:rPr>
          <w:rFonts w:ascii="Verdana" w:hAnsi="Verdana"/>
          <w:sz w:val="20"/>
          <w:szCs w:val="20"/>
          <w:lang w:val="en-US"/>
        </w:rPr>
        <w:t xml:space="preserve"> </w:t>
      </w:r>
      <w:r w:rsidRPr="00D869E3">
        <w:rPr>
          <w:rFonts w:ascii="Verdana" w:hAnsi="Verdana"/>
          <w:sz w:val="20"/>
          <w:szCs w:val="20"/>
          <w:lang w:val="en-US"/>
        </w:rPr>
        <w:t xml:space="preserve">had the right to elect the workers’ </w:t>
      </w:r>
      <w:r w:rsidR="00687684" w:rsidRPr="00D869E3">
        <w:rPr>
          <w:rFonts w:ascii="Verdana" w:hAnsi="Verdana"/>
          <w:sz w:val="20"/>
          <w:szCs w:val="20"/>
          <w:lang w:val="en-US"/>
        </w:rPr>
        <w:t>representatives</w:t>
      </w:r>
      <w:r w:rsidR="00275EDE" w:rsidRPr="00D869E3">
        <w:rPr>
          <w:rFonts w:ascii="Verdana" w:hAnsi="Verdana"/>
          <w:sz w:val="20"/>
          <w:szCs w:val="20"/>
          <w:lang w:val="en-US"/>
        </w:rPr>
        <w:t xml:space="preserve"> </w:t>
      </w:r>
      <w:r w:rsidRPr="00D869E3">
        <w:rPr>
          <w:rFonts w:ascii="Verdana" w:hAnsi="Verdana"/>
          <w:sz w:val="20"/>
          <w:szCs w:val="20"/>
          <w:lang w:val="en-US"/>
        </w:rPr>
        <w:t>on the Board,</w:t>
      </w:r>
      <w:r w:rsidR="00275EDE" w:rsidRPr="00D869E3">
        <w:rPr>
          <w:rFonts w:ascii="Verdana" w:hAnsi="Verdana"/>
          <w:sz w:val="20"/>
          <w:szCs w:val="20"/>
          <w:vertAlign w:val="superscript"/>
          <w:lang w:val="en-US"/>
        </w:rPr>
        <w:footnoteReference w:id="39"/>
      </w:r>
      <w:r w:rsidRPr="00D869E3">
        <w:rPr>
          <w:rFonts w:ascii="Verdana" w:hAnsi="Verdana"/>
          <w:sz w:val="20"/>
          <w:szCs w:val="20"/>
          <w:lang w:val="en-US"/>
        </w:rPr>
        <w:t xml:space="preserve"> an also the members of the Community Council.</w:t>
      </w:r>
      <w:r w:rsidR="00275EDE" w:rsidRPr="00D869E3">
        <w:rPr>
          <w:rFonts w:ascii="Verdana" w:hAnsi="Verdana"/>
          <w:sz w:val="20"/>
          <w:szCs w:val="20"/>
          <w:vertAlign w:val="superscript"/>
          <w:lang w:val="en-US"/>
        </w:rPr>
        <w:footnoteReference w:id="40"/>
      </w:r>
      <w:r w:rsidRPr="00D869E3">
        <w:rPr>
          <w:rFonts w:ascii="Verdana" w:hAnsi="Verdana"/>
          <w:sz w:val="20"/>
          <w:szCs w:val="20"/>
          <w:lang w:val="en-US"/>
        </w:rPr>
        <w:t xml:space="preserve"> To this end, every year </w:t>
      </w:r>
      <w:r w:rsidR="00F4667D" w:rsidRPr="00D869E3">
        <w:rPr>
          <w:rFonts w:ascii="Verdana" w:hAnsi="Verdana"/>
          <w:sz w:val="20"/>
          <w:szCs w:val="20"/>
          <w:lang w:val="en-US"/>
        </w:rPr>
        <w:t>the General Assembly</w:t>
      </w:r>
      <w:r w:rsidR="00275EDE" w:rsidRPr="00D869E3">
        <w:rPr>
          <w:rFonts w:ascii="Verdana" w:hAnsi="Verdana"/>
          <w:sz w:val="20"/>
          <w:szCs w:val="20"/>
          <w:lang w:val="en-US"/>
        </w:rPr>
        <w:t xml:space="preserve"> </w:t>
      </w:r>
      <w:r w:rsidRPr="00D869E3">
        <w:rPr>
          <w:rFonts w:ascii="Verdana" w:hAnsi="Verdana"/>
          <w:sz w:val="20"/>
          <w:szCs w:val="20"/>
          <w:lang w:val="en-US"/>
        </w:rPr>
        <w:t>appointed an electoral committee,</w:t>
      </w:r>
      <w:r w:rsidR="00275EDE" w:rsidRPr="00D869E3">
        <w:rPr>
          <w:rFonts w:ascii="Verdana" w:hAnsi="Verdana"/>
          <w:sz w:val="20"/>
          <w:szCs w:val="20"/>
          <w:vertAlign w:val="superscript"/>
          <w:lang w:val="en-US"/>
        </w:rPr>
        <w:footnoteReference w:id="41"/>
      </w:r>
      <w:r w:rsidRPr="00D869E3">
        <w:rPr>
          <w:rFonts w:ascii="Verdana" w:hAnsi="Verdana"/>
          <w:sz w:val="20"/>
          <w:szCs w:val="20"/>
          <w:lang w:val="en-US"/>
        </w:rPr>
        <w:t xml:space="preserve"> which was responsible for holding elections for the members of the Community Council and the representatives on the company’s Board for each term.</w:t>
      </w:r>
      <w:r w:rsidR="00275EDE" w:rsidRPr="00D869E3">
        <w:rPr>
          <w:rFonts w:ascii="Verdana" w:hAnsi="Verdana"/>
          <w:sz w:val="20"/>
          <w:szCs w:val="20"/>
          <w:vertAlign w:val="superscript"/>
          <w:lang w:val="en-US"/>
        </w:rPr>
        <w:footnoteReference w:id="42"/>
      </w:r>
      <w:r w:rsidR="00275EDE" w:rsidRPr="00D869E3">
        <w:rPr>
          <w:rFonts w:ascii="Verdana" w:hAnsi="Verdana" w:cs="Arial"/>
          <w:b/>
          <w:sz w:val="20"/>
          <w:szCs w:val="20"/>
          <w:lang w:val="en-US"/>
        </w:rPr>
        <w:t xml:space="preserve"> </w:t>
      </w:r>
      <w:r w:rsidRPr="00D869E3">
        <w:rPr>
          <w:rFonts w:ascii="Verdana" w:hAnsi="Verdana" w:cs="Arial"/>
          <w:bCs/>
          <w:sz w:val="20"/>
          <w:szCs w:val="20"/>
          <w:lang w:val="en-US"/>
        </w:rPr>
        <w:t xml:space="preserve">The </w:t>
      </w:r>
      <w:r w:rsidR="00E37BD1" w:rsidRPr="00D869E3">
        <w:rPr>
          <w:rFonts w:ascii="Verdana" w:hAnsi="Verdana" w:cs="Arial"/>
          <w:bCs/>
          <w:sz w:val="20"/>
          <w:szCs w:val="20"/>
          <w:lang w:val="en-US"/>
        </w:rPr>
        <w:t xml:space="preserve">Electoral </w:t>
      </w:r>
      <w:r w:rsidRPr="00D869E3">
        <w:rPr>
          <w:rFonts w:ascii="Verdana" w:hAnsi="Verdana" w:cs="Arial"/>
          <w:bCs/>
          <w:sz w:val="20"/>
          <w:szCs w:val="20"/>
          <w:lang w:val="en-US"/>
        </w:rPr>
        <w:t>Committee</w:t>
      </w:r>
      <w:r w:rsidRPr="00D869E3">
        <w:rPr>
          <w:rFonts w:ascii="Verdana" w:hAnsi="Verdana" w:cs="Arial"/>
          <w:sz w:val="20"/>
          <w:szCs w:val="20"/>
          <w:lang w:val="en-US"/>
        </w:rPr>
        <w:t xml:space="preserve"> was also responsible for holding any elections required to elect replacements in cases of resignation, vacancy or removal. The Committee</w:t>
      </w:r>
      <w:r w:rsidR="00275EDE" w:rsidRPr="00D869E3">
        <w:rPr>
          <w:rFonts w:ascii="Verdana" w:hAnsi="Verdana" w:cs="Arial"/>
          <w:sz w:val="20"/>
          <w:szCs w:val="20"/>
          <w:lang w:val="en-US"/>
        </w:rPr>
        <w:t xml:space="preserve"> </w:t>
      </w:r>
      <w:r w:rsidRPr="00D869E3">
        <w:rPr>
          <w:rFonts w:ascii="Verdana" w:hAnsi="Verdana" w:cs="Arial"/>
          <w:sz w:val="20"/>
          <w:szCs w:val="20"/>
          <w:lang w:val="en-US"/>
        </w:rPr>
        <w:t>was composed of employees and manual workers in proportion to their total number in the company.</w:t>
      </w:r>
      <w:r w:rsidR="00275EDE" w:rsidRPr="00D869E3">
        <w:rPr>
          <w:rFonts w:ascii="Verdana" w:hAnsi="Verdana"/>
          <w:sz w:val="20"/>
          <w:szCs w:val="20"/>
          <w:vertAlign w:val="superscript"/>
          <w:lang w:val="en-US"/>
        </w:rPr>
        <w:footnoteReference w:id="43"/>
      </w:r>
    </w:p>
    <w:p w14:paraId="57A1E3CF" w14:textId="77777777" w:rsidR="00275EDE" w:rsidRPr="00D869E3" w:rsidRDefault="00275EDE" w:rsidP="005D0ACD">
      <w:pPr>
        <w:jc w:val="both"/>
        <w:rPr>
          <w:rFonts w:ascii="Verdana" w:hAnsi="Verdana" w:cs="Arial"/>
          <w:sz w:val="20"/>
          <w:szCs w:val="20"/>
          <w:lang w:val="en-US"/>
        </w:rPr>
      </w:pPr>
    </w:p>
    <w:p w14:paraId="78AD525D" w14:textId="6F9141FF" w:rsidR="00275EDE" w:rsidRPr="00D869E3" w:rsidRDefault="00F43C5F" w:rsidP="00E66DD7">
      <w:pPr>
        <w:pStyle w:val="Prrafodelista"/>
        <w:numPr>
          <w:ilvl w:val="0"/>
          <w:numId w:val="1"/>
        </w:numPr>
        <w:ind w:left="0" w:hanging="11"/>
        <w:jc w:val="both"/>
        <w:rPr>
          <w:rFonts w:ascii="Verdana" w:hAnsi="Verdana"/>
          <w:b/>
          <w:sz w:val="20"/>
          <w:szCs w:val="20"/>
          <w:lang w:val="en-US"/>
        </w:rPr>
      </w:pPr>
      <w:r w:rsidRPr="00D869E3">
        <w:rPr>
          <w:rFonts w:ascii="Verdana" w:hAnsi="Verdana" w:cs="Arial"/>
          <w:sz w:val="20"/>
          <w:szCs w:val="20"/>
          <w:lang w:val="en-US"/>
        </w:rPr>
        <w:t xml:space="preserve">In the specific case of </w:t>
      </w:r>
      <w:r w:rsidR="00275EDE" w:rsidRPr="00D869E3">
        <w:rPr>
          <w:rFonts w:ascii="Verdana" w:hAnsi="Verdana" w:cs="Arial"/>
          <w:sz w:val="20"/>
          <w:szCs w:val="20"/>
          <w:lang w:val="en-US"/>
        </w:rPr>
        <w:t xml:space="preserve">Ceper-Pirelli S.A., </w:t>
      </w:r>
      <w:r w:rsidR="00EA232B" w:rsidRPr="00D869E3">
        <w:rPr>
          <w:rFonts w:ascii="Verdana" w:hAnsi="Verdana" w:cs="Arial"/>
          <w:sz w:val="20"/>
          <w:szCs w:val="20"/>
          <w:lang w:val="en-US"/>
        </w:rPr>
        <w:t>the Electoral Committee</w:t>
      </w:r>
      <w:r w:rsidR="00275EDE" w:rsidRPr="00D869E3">
        <w:rPr>
          <w:rFonts w:ascii="Verdana" w:hAnsi="Verdana" w:cs="Arial"/>
          <w:sz w:val="20"/>
          <w:szCs w:val="20"/>
          <w:lang w:val="en-US"/>
        </w:rPr>
        <w:t xml:space="preserve"> </w:t>
      </w:r>
      <w:r w:rsidRPr="00D869E3">
        <w:rPr>
          <w:rFonts w:ascii="Verdana" w:hAnsi="Verdana" w:cs="Arial"/>
          <w:sz w:val="20"/>
          <w:szCs w:val="20"/>
          <w:lang w:val="en-US"/>
        </w:rPr>
        <w:t>for the period</w:t>
      </w:r>
      <w:r w:rsidR="00275EDE" w:rsidRPr="00D869E3">
        <w:rPr>
          <w:rFonts w:ascii="Verdana" w:hAnsi="Verdana" w:cs="Arial"/>
          <w:sz w:val="20"/>
          <w:szCs w:val="20"/>
          <w:lang w:val="en-US"/>
        </w:rPr>
        <w:t xml:space="preserve"> 1988-1989 </w:t>
      </w:r>
      <w:r w:rsidRPr="00D869E3">
        <w:rPr>
          <w:rFonts w:ascii="Verdana" w:hAnsi="Verdana" w:cs="Arial"/>
          <w:sz w:val="20"/>
          <w:szCs w:val="20"/>
          <w:lang w:val="en-US"/>
        </w:rPr>
        <w:t>was composed of five persons, two of them were employees and held the positions of Secretary and First Member of the Committee,</w:t>
      </w:r>
      <w:r w:rsidR="00275EDE" w:rsidRPr="00D869E3">
        <w:rPr>
          <w:rFonts w:ascii="Verdana" w:hAnsi="Verdana"/>
          <w:sz w:val="20"/>
          <w:szCs w:val="20"/>
          <w:vertAlign w:val="superscript"/>
          <w:lang w:val="en-US"/>
        </w:rPr>
        <w:footnoteReference w:id="44"/>
      </w:r>
      <w:r w:rsidR="00687684" w:rsidRPr="00D869E3">
        <w:rPr>
          <w:rFonts w:ascii="Verdana" w:hAnsi="Verdana" w:cs="Arial"/>
          <w:sz w:val="20"/>
          <w:szCs w:val="20"/>
          <w:lang w:val="en-US"/>
        </w:rPr>
        <w:t xml:space="preserve"> and</w:t>
      </w:r>
      <w:r w:rsidRPr="00D869E3">
        <w:rPr>
          <w:rFonts w:ascii="Verdana" w:hAnsi="Verdana" w:cs="Arial"/>
          <w:sz w:val="20"/>
          <w:szCs w:val="20"/>
          <w:lang w:val="en-US"/>
        </w:rPr>
        <w:t xml:space="preserve"> three manual workers.</w:t>
      </w:r>
      <w:r w:rsidR="00275EDE" w:rsidRPr="00D869E3">
        <w:rPr>
          <w:rFonts w:ascii="Verdana" w:hAnsi="Verdana"/>
          <w:sz w:val="20"/>
          <w:szCs w:val="20"/>
          <w:vertAlign w:val="superscript"/>
          <w:lang w:val="en-US"/>
        </w:rPr>
        <w:footnoteReference w:id="45"/>
      </w:r>
      <w:r w:rsidR="002C7E4F" w:rsidRPr="00D869E3">
        <w:rPr>
          <w:rFonts w:ascii="Verdana" w:hAnsi="Verdana" w:cs="Arial"/>
          <w:sz w:val="20"/>
          <w:szCs w:val="20"/>
          <w:lang w:val="en-US"/>
        </w:rPr>
        <w:t xml:space="preserve"> </w:t>
      </w:r>
      <w:r w:rsidR="001E44D3" w:rsidRPr="00D869E3">
        <w:rPr>
          <w:rFonts w:ascii="Verdana" w:hAnsi="Verdana"/>
          <w:sz w:val="20"/>
          <w:lang w:val="en-US"/>
        </w:rPr>
        <w:t>Mr. Lagos del Campo</w:t>
      </w:r>
      <w:r w:rsidRPr="00D869E3">
        <w:rPr>
          <w:rFonts w:ascii="Verdana" w:hAnsi="Verdana"/>
          <w:sz w:val="20"/>
          <w:lang w:val="en-US"/>
        </w:rPr>
        <w:t xml:space="preserve"> was a representative of the manual workers and also held the position of </w:t>
      </w:r>
      <w:r w:rsidR="001B0492" w:rsidRPr="00D869E3">
        <w:rPr>
          <w:rFonts w:ascii="Verdana" w:hAnsi="Verdana"/>
          <w:sz w:val="20"/>
          <w:lang w:val="en-US"/>
        </w:rPr>
        <w:t>president of the Electoral</w:t>
      </w:r>
      <w:r w:rsidR="00EA232B" w:rsidRPr="00D869E3">
        <w:rPr>
          <w:rFonts w:ascii="Verdana" w:hAnsi="Verdana"/>
          <w:sz w:val="20"/>
          <w:lang w:val="en-US"/>
        </w:rPr>
        <w:t xml:space="preserve"> Committee</w:t>
      </w:r>
      <w:r w:rsidR="00275EDE" w:rsidRPr="00D869E3">
        <w:rPr>
          <w:rFonts w:ascii="Verdana" w:hAnsi="Verdana"/>
          <w:sz w:val="20"/>
          <w:lang w:val="en-US"/>
        </w:rPr>
        <w:t>.</w:t>
      </w:r>
      <w:r w:rsidR="00275EDE" w:rsidRPr="00D869E3">
        <w:rPr>
          <w:rFonts w:ascii="Verdana" w:hAnsi="Verdana"/>
          <w:sz w:val="20"/>
          <w:szCs w:val="20"/>
          <w:lang w:val="en-US"/>
        </w:rPr>
        <w:t xml:space="preserve"> </w:t>
      </w:r>
      <w:r w:rsidRPr="00D869E3">
        <w:rPr>
          <w:rFonts w:ascii="Verdana" w:hAnsi="Verdana"/>
          <w:sz w:val="20"/>
          <w:szCs w:val="20"/>
          <w:lang w:val="en-US"/>
        </w:rPr>
        <w:t xml:space="preserve">The elections to appoint the members </w:t>
      </w:r>
      <w:r w:rsidR="00EA232B" w:rsidRPr="00D869E3">
        <w:rPr>
          <w:rFonts w:ascii="Verdana" w:hAnsi="Verdana"/>
          <w:sz w:val="20"/>
          <w:szCs w:val="20"/>
          <w:lang w:val="en-US"/>
        </w:rPr>
        <w:t>of the Electoral Committee</w:t>
      </w:r>
      <w:r w:rsidR="00275EDE" w:rsidRPr="00D869E3">
        <w:rPr>
          <w:rFonts w:ascii="Verdana" w:hAnsi="Verdana"/>
          <w:sz w:val="20"/>
          <w:szCs w:val="20"/>
          <w:lang w:val="en-US"/>
        </w:rPr>
        <w:t xml:space="preserve"> </w:t>
      </w:r>
      <w:r w:rsidRPr="00D869E3">
        <w:rPr>
          <w:rFonts w:ascii="Verdana" w:hAnsi="Verdana"/>
          <w:sz w:val="20"/>
          <w:szCs w:val="20"/>
          <w:lang w:val="en-US"/>
        </w:rPr>
        <w:t xml:space="preserve">were held on just one day, without affecting working hours, following a procedure established in </w:t>
      </w:r>
      <w:r w:rsidR="00447C65" w:rsidRPr="00D869E3">
        <w:rPr>
          <w:rFonts w:ascii="Verdana" w:hAnsi="Verdana"/>
          <w:sz w:val="20"/>
          <w:szCs w:val="20"/>
          <w:lang w:val="en-US"/>
        </w:rPr>
        <w:t>the Rules of Procedure</w:t>
      </w:r>
      <w:r w:rsidRPr="00D869E3">
        <w:rPr>
          <w:rFonts w:ascii="Verdana" w:hAnsi="Verdana"/>
          <w:sz w:val="20"/>
          <w:szCs w:val="20"/>
          <w:lang w:val="en-US"/>
        </w:rPr>
        <w:t xml:space="preserve">; that is, by </w:t>
      </w:r>
      <w:r w:rsidR="00E37BD1" w:rsidRPr="00D869E3">
        <w:rPr>
          <w:rFonts w:ascii="Verdana" w:hAnsi="Verdana"/>
          <w:sz w:val="20"/>
          <w:szCs w:val="20"/>
          <w:lang w:val="en-US"/>
        </w:rPr>
        <w:t>individual</w:t>
      </w:r>
      <w:r w:rsidRPr="00D869E3">
        <w:rPr>
          <w:rFonts w:ascii="Verdana" w:hAnsi="Verdana"/>
          <w:sz w:val="20"/>
          <w:szCs w:val="20"/>
          <w:lang w:val="en-US"/>
        </w:rPr>
        <w:t>, secret, universal and compulsory vote.</w:t>
      </w:r>
      <w:r w:rsidR="00275EDE" w:rsidRPr="00D869E3">
        <w:rPr>
          <w:rFonts w:ascii="Verdana" w:hAnsi="Verdana"/>
          <w:sz w:val="20"/>
          <w:szCs w:val="20"/>
          <w:vertAlign w:val="superscript"/>
          <w:lang w:val="en-US"/>
        </w:rPr>
        <w:footnoteReference w:id="46"/>
      </w:r>
      <w:r w:rsidR="00275EDE" w:rsidRPr="00D869E3">
        <w:rPr>
          <w:rFonts w:ascii="Verdana" w:hAnsi="Verdana"/>
          <w:sz w:val="20"/>
          <w:szCs w:val="20"/>
          <w:lang w:val="en-US"/>
        </w:rPr>
        <w:t xml:space="preserve"> </w:t>
      </w:r>
    </w:p>
    <w:p w14:paraId="2C3DB5A5" w14:textId="77777777" w:rsidR="00275EDE" w:rsidRPr="00D869E3" w:rsidRDefault="00275EDE" w:rsidP="005D0ACD">
      <w:pPr>
        <w:jc w:val="both"/>
        <w:rPr>
          <w:rFonts w:ascii="Verdana" w:hAnsi="Verdana"/>
          <w:b/>
          <w:sz w:val="20"/>
          <w:szCs w:val="20"/>
          <w:lang w:val="en-US"/>
        </w:rPr>
      </w:pPr>
    </w:p>
    <w:p w14:paraId="7FFBA36B" w14:textId="2C96FF4C" w:rsidR="0073406A" w:rsidRPr="00D869E3" w:rsidRDefault="00906BFC" w:rsidP="00C66688">
      <w:pPr>
        <w:pStyle w:val="Prrafodelista"/>
        <w:numPr>
          <w:ilvl w:val="0"/>
          <w:numId w:val="1"/>
        </w:numPr>
        <w:ind w:left="0" w:hanging="11"/>
        <w:jc w:val="both"/>
        <w:rPr>
          <w:rFonts w:ascii="Verdana" w:hAnsi="Verdana"/>
          <w:b/>
          <w:sz w:val="20"/>
          <w:szCs w:val="20"/>
          <w:lang w:val="en-US"/>
        </w:rPr>
      </w:pPr>
      <w:r w:rsidRPr="00D869E3">
        <w:rPr>
          <w:rFonts w:ascii="Verdana" w:hAnsi="Verdana"/>
          <w:sz w:val="20"/>
          <w:szCs w:val="20"/>
          <w:lang w:val="en-US"/>
        </w:rPr>
        <w:t xml:space="preserve">At the time of the facts, Industrial Communities and </w:t>
      </w:r>
      <w:r w:rsidR="00E85F6A" w:rsidRPr="00D869E3">
        <w:rPr>
          <w:rFonts w:ascii="Verdana" w:hAnsi="Verdana"/>
          <w:sz w:val="20"/>
          <w:szCs w:val="20"/>
          <w:lang w:val="en-US"/>
        </w:rPr>
        <w:t>labor union</w:t>
      </w:r>
      <w:r w:rsidRPr="00D869E3">
        <w:rPr>
          <w:rFonts w:ascii="Verdana" w:hAnsi="Verdana"/>
          <w:sz w:val="20"/>
          <w:szCs w:val="20"/>
          <w:lang w:val="en-US"/>
        </w:rPr>
        <w:t xml:space="preserve">s were governed by different regimes. In particular, it was expressly established by law that, under the Industrial </w:t>
      </w:r>
      <w:r w:rsidRPr="00D869E3">
        <w:rPr>
          <w:rFonts w:ascii="Verdana" w:hAnsi="Verdana"/>
          <w:sz w:val="20"/>
          <w:szCs w:val="20"/>
          <w:lang w:val="en-US"/>
        </w:rPr>
        <w:lastRenderedPageBreak/>
        <w:t xml:space="preserve">Community, the worker’s tenure depended on the existence of the industrial company and </w:t>
      </w:r>
      <w:r w:rsidR="00785445" w:rsidRPr="00D869E3">
        <w:rPr>
          <w:rFonts w:ascii="Verdana" w:hAnsi="Verdana"/>
          <w:sz w:val="20"/>
          <w:szCs w:val="20"/>
          <w:lang w:val="en-US"/>
        </w:rPr>
        <w:t xml:space="preserve">his status as a permanent employee </w:t>
      </w:r>
      <w:r w:rsidRPr="00D869E3">
        <w:rPr>
          <w:rFonts w:ascii="Verdana" w:hAnsi="Verdana"/>
          <w:sz w:val="20"/>
          <w:szCs w:val="20"/>
          <w:lang w:val="en-US"/>
        </w:rPr>
        <w:t xml:space="preserve">while, in the case of the </w:t>
      </w:r>
      <w:r w:rsidR="00E85F6A" w:rsidRPr="00D869E3">
        <w:rPr>
          <w:rFonts w:ascii="Verdana" w:hAnsi="Verdana"/>
          <w:sz w:val="20"/>
          <w:szCs w:val="20"/>
          <w:lang w:val="en-US"/>
        </w:rPr>
        <w:t>labor union</w:t>
      </w:r>
      <w:r w:rsidRPr="00D869E3">
        <w:rPr>
          <w:rFonts w:ascii="Verdana" w:hAnsi="Verdana"/>
          <w:sz w:val="20"/>
          <w:szCs w:val="20"/>
          <w:lang w:val="en-US"/>
        </w:rPr>
        <w:t xml:space="preserve">s, their constitution was voluntary and subject to the decision of workers who wished to defend their interests before their employer. In addition, the </w:t>
      </w:r>
      <w:r w:rsidR="00785445" w:rsidRPr="00D869E3">
        <w:rPr>
          <w:rFonts w:ascii="Verdana" w:hAnsi="Verdana"/>
          <w:sz w:val="20"/>
          <w:szCs w:val="20"/>
          <w:lang w:val="en-US"/>
        </w:rPr>
        <w:t xml:space="preserve">creation, </w:t>
      </w:r>
      <w:r w:rsidRPr="00D869E3">
        <w:rPr>
          <w:rFonts w:ascii="Verdana" w:hAnsi="Verdana"/>
          <w:sz w:val="20"/>
          <w:szCs w:val="20"/>
          <w:lang w:val="en-US"/>
        </w:rPr>
        <w:t>composition</w:t>
      </w:r>
      <w:r w:rsidR="00785445" w:rsidRPr="00D869E3">
        <w:rPr>
          <w:rFonts w:ascii="Verdana" w:hAnsi="Verdana"/>
          <w:sz w:val="20"/>
          <w:szCs w:val="20"/>
          <w:lang w:val="en-US"/>
        </w:rPr>
        <w:t xml:space="preserve"> and</w:t>
      </w:r>
      <w:r w:rsidRPr="00D869E3">
        <w:rPr>
          <w:rFonts w:ascii="Verdana" w:hAnsi="Verdana"/>
          <w:sz w:val="20"/>
          <w:szCs w:val="20"/>
          <w:lang w:val="en-US"/>
        </w:rPr>
        <w:t xml:space="preserve"> funding formalities of these two regimes were different. In particular, they had different objectives. The purpose of the Industrial Community was to allow the workers to </w:t>
      </w:r>
      <w:r w:rsidR="00785445" w:rsidRPr="00D869E3">
        <w:rPr>
          <w:rFonts w:ascii="Verdana" w:hAnsi="Verdana"/>
          <w:sz w:val="20"/>
          <w:szCs w:val="20"/>
          <w:lang w:val="en-US"/>
        </w:rPr>
        <w:t>participate</w:t>
      </w:r>
      <w:r w:rsidRPr="00D869E3">
        <w:rPr>
          <w:rFonts w:ascii="Verdana" w:hAnsi="Verdana"/>
          <w:sz w:val="20"/>
          <w:szCs w:val="20"/>
          <w:lang w:val="en-US"/>
        </w:rPr>
        <w:t xml:space="preserve"> in the ownership, management and profits of the</w:t>
      </w:r>
      <w:r w:rsidRPr="00D869E3">
        <w:rPr>
          <w:rFonts w:ascii="Verdana" w:hAnsi="Verdana"/>
          <w:b/>
          <w:sz w:val="20"/>
          <w:szCs w:val="20"/>
          <w:lang w:val="en-US"/>
        </w:rPr>
        <w:t xml:space="preserve"> </w:t>
      </w:r>
      <w:r w:rsidR="00F4667D" w:rsidRPr="00D869E3">
        <w:rPr>
          <w:rFonts w:ascii="Verdana" w:hAnsi="Verdana"/>
          <w:sz w:val="20"/>
          <w:szCs w:val="20"/>
          <w:lang w:val="en-US"/>
        </w:rPr>
        <w:t>industrial company</w:t>
      </w:r>
      <w:r w:rsidR="00785445" w:rsidRPr="00D869E3">
        <w:rPr>
          <w:rFonts w:ascii="Verdana" w:hAnsi="Verdana"/>
          <w:sz w:val="20"/>
          <w:szCs w:val="20"/>
          <w:lang w:val="en-US"/>
        </w:rPr>
        <w:t>;</w:t>
      </w:r>
      <w:r w:rsidR="0073406A" w:rsidRPr="00D869E3">
        <w:rPr>
          <w:rFonts w:ascii="Verdana" w:hAnsi="Verdana"/>
          <w:sz w:val="20"/>
          <w:szCs w:val="20"/>
          <w:vertAlign w:val="superscript"/>
          <w:lang w:val="en-US"/>
        </w:rPr>
        <w:footnoteReference w:id="47"/>
      </w:r>
      <w:r w:rsidRPr="00D869E3">
        <w:rPr>
          <w:rFonts w:ascii="Verdana" w:hAnsi="Verdana"/>
          <w:sz w:val="20"/>
          <w:szCs w:val="20"/>
          <w:lang w:val="en-US"/>
        </w:rPr>
        <w:t xml:space="preserve"> </w:t>
      </w:r>
      <w:r w:rsidR="00785445" w:rsidRPr="00D869E3">
        <w:rPr>
          <w:rFonts w:ascii="Verdana" w:hAnsi="Verdana"/>
          <w:sz w:val="20"/>
          <w:szCs w:val="20"/>
          <w:lang w:val="en-US"/>
        </w:rPr>
        <w:t>w</w:t>
      </w:r>
      <w:r w:rsidRPr="00D869E3">
        <w:rPr>
          <w:rFonts w:ascii="Verdana" w:hAnsi="Verdana"/>
          <w:sz w:val="20"/>
          <w:szCs w:val="20"/>
          <w:lang w:val="en-US"/>
        </w:rPr>
        <w:t xml:space="preserve">hile, the purpose of the </w:t>
      </w:r>
      <w:r w:rsidR="00E85F6A" w:rsidRPr="00D869E3">
        <w:rPr>
          <w:rFonts w:ascii="Verdana" w:hAnsi="Verdana"/>
          <w:sz w:val="20"/>
          <w:szCs w:val="20"/>
          <w:lang w:val="en-US"/>
        </w:rPr>
        <w:t>labor union</w:t>
      </w:r>
      <w:r w:rsidRPr="00D869E3">
        <w:rPr>
          <w:rFonts w:ascii="Verdana" w:hAnsi="Verdana"/>
          <w:sz w:val="20"/>
          <w:szCs w:val="20"/>
          <w:lang w:val="en-US"/>
        </w:rPr>
        <w:t xml:space="preserve"> was to defend the rights and socio-economic and professional interests of the workers.</w:t>
      </w:r>
      <w:r w:rsidR="0073406A" w:rsidRPr="00D869E3">
        <w:rPr>
          <w:rFonts w:ascii="Verdana" w:hAnsi="Verdana"/>
          <w:sz w:val="20"/>
          <w:szCs w:val="20"/>
          <w:vertAlign w:val="superscript"/>
          <w:lang w:val="en-US"/>
        </w:rPr>
        <w:footnoteReference w:id="48"/>
      </w:r>
      <w:r w:rsidRPr="00D869E3">
        <w:rPr>
          <w:rFonts w:ascii="Verdana" w:hAnsi="Verdana"/>
          <w:sz w:val="20"/>
          <w:szCs w:val="20"/>
          <w:lang w:val="en-US"/>
        </w:rPr>
        <w:t xml:space="preserve"> </w:t>
      </w:r>
      <w:r w:rsidR="00C66688" w:rsidRPr="00D869E3">
        <w:rPr>
          <w:rFonts w:ascii="Verdana" w:hAnsi="Verdana"/>
          <w:sz w:val="20"/>
          <w:szCs w:val="20"/>
          <w:lang w:val="en-US"/>
        </w:rPr>
        <w:t xml:space="preserve">Nevertheless, according to the expert opinions provided in this case, under both regimes, </w:t>
      </w:r>
      <w:r w:rsidR="00687684" w:rsidRPr="00D869E3">
        <w:rPr>
          <w:rFonts w:ascii="Verdana" w:hAnsi="Verdana"/>
          <w:sz w:val="20"/>
          <w:szCs w:val="20"/>
          <w:lang w:val="en-US"/>
        </w:rPr>
        <w:t>the</w:t>
      </w:r>
      <w:r w:rsidR="00C66688" w:rsidRPr="00D869E3">
        <w:rPr>
          <w:rFonts w:ascii="Verdana" w:hAnsi="Verdana"/>
          <w:sz w:val="20"/>
          <w:szCs w:val="20"/>
          <w:lang w:val="en-US"/>
        </w:rPr>
        <w:t xml:space="preserve"> workers’</w:t>
      </w:r>
      <w:r w:rsidR="00687684" w:rsidRPr="00D869E3">
        <w:rPr>
          <w:rFonts w:ascii="Verdana" w:hAnsi="Verdana"/>
          <w:sz w:val="20"/>
          <w:szCs w:val="20"/>
          <w:lang w:val="en-US"/>
        </w:rPr>
        <w:t xml:space="preserve"> representatives</w:t>
      </w:r>
      <w:r w:rsidR="0073406A" w:rsidRPr="00D869E3">
        <w:rPr>
          <w:rFonts w:ascii="Verdana" w:hAnsi="Verdana"/>
          <w:sz w:val="20"/>
          <w:szCs w:val="20"/>
          <w:lang w:val="en-US"/>
        </w:rPr>
        <w:t xml:space="preserve"> </w:t>
      </w:r>
      <w:r w:rsidR="00C66688" w:rsidRPr="00D869E3">
        <w:rPr>
          <w:rFonts w:ascii="Verdana" w:hAnsi="Verdana"/>
          <w:sz w:val="20"/>
          <w:szCs w:val="20"/>
          <w:lang w:val="en-US"/>
        </w:rPr>
        <w:t>stood for the sectoral interests of this group</w:t>
      </w:r>
      <w:r w:rsidR="00785445" w:rsidRPr="00D869E3">
        <w:rPr>
          <w:rFonts w:ascii="Verdana" w:hAnsi="Verdana"/>
          <w:b/>
          <w:bCs/>
          <w:sz w:val="20"/>
          <w:szCs w:val="20"/>
          <w:lang w:val="en-US"/>
        </w:rPr>
        <w:t xml:space="preserve"> </w:t>
      </w:r>
      <w:r w:rsidR="00785445" w:rsidRPr="00D869E3">
        <w:rPr>
          <w:rFonts w:ascii="Verdana" w:hAnsi="Verdana"/>
          <w:sz w:val="20"/>
          <w:szCs w:val="20"/>
          <w:lang w:val="en-US"/>
        </w:rPr>
        <w:t xml:space="preserve">vis-à-vis </w:t>
      </w:r>
      <w:r w:rsidR="00C66688" w:rsidRPr="00D869E3">
        <w:rPr>
          <w:rFonts w:ascii="Verdana" w:hAnsi="Verdana"/>
          <w:sz w:val="20"/>
          <w:szCs w:val="20"/>
          <w:lang w:val="en-US"/>
        </w:rPr>
        <w:t>the employer.</w:t>
      </w:r>
      <w:r w:rsidR="0073406A" w:rsidRPr="00D869E3">
        <w:rPr>
          <w:rFonts w:ascii="Verdana" w:hAnsi="Verdana"/>
          <w:sz w:val="20"/>
          <w:szCs w:val="20"/>
          <w:vertAlign w:val="superscript"/>
          <w:lang w:val="en-US"/>
        </w:rPr>
        <w:footnoteReference w:id="49"/>
      </w:r>
      <w:r w:rsidR="0073406A" w:rsidRPr="00D869E3">
        <w:rPr>
          <w:rFonts w:ascii="Verdana" w:hAnsi="Verdana"/>
          <w:sz w:val="20"/>
          <w:szCs w:val="20"/>
          <w:lang w:val="en-US"/>
        </w:rPr>
        <w:t xml:space="preserve"> </w:t>
      </w:r>
    </w:p>
    <w:p w14:paraId="0D89760E" w14:textId="31D24687" w:rsidR="00275EDE" w:rsidRPr="00D869E3" w:rsidRDefault="00275EDE">
      <w:pPr>
        <w:jc w:val="both"/>
        <w:rPr>
          <w:rFonts w:ascii="Verdana" w:hAnsi="Verdana"/>
          <w:b/>
          <w:sz w:val="20"/>
          <w:szCs w:val="20"/>
          <w:lang w:val="en-US"/>
        </w:rPr>
      </w:pPr>
    </w:p>
    <w:p w14:paraId="6D829F05" w14:textId="6C9DE7CC" w:rsidR="00275EDE" w:rsidRPr="00D869E3" w:rsidRDefault="00C66688" w:rsidP="00E66DD7">
      <w:pPr>
        <w:pStyle w:val="Ttulo2"/>
        <w:numPr>
          <w:ilvl w:val="0"/>
          <w:numId w:val="12"/>
        </w:numPr>
        <w:jc w:val="both"/>
        <w:rPr>
          <w:rFonts w:eastAsia="MS Gothic"/>
          <w:i/>
          <w:iCs/>
          <w:szCs w:val="20"/>
          <w:lang w:val="en-US"/>
        </w:rPr>
      </w:pPr>
      <w:bookmarkStart w:id="21" w:name="_Toc29114115"/>
      <w:r w:rsidRPr="00D869E3">
        <w:rPr>
          <w:rFonts w:eastAsia="MS Gothic"/>
          <w:i/>
          <w:iCs/>
          <w:szCs w:val="20"/>
          <w:lang w:val="en-US"/>
        </w:rPr>
        <w:t>Background, functions and responsibilities of</w:t>
      </w:r>
      <w:r w:rsidR="00E6309B" w:rsidRPr="00D869E3">
        <w:rPr>
          <w:rFonts w:eastAsia="MS Gothic"/>
          <w:i/>
          <w:iCs/>
          <w:szCs w:val="20"/>
          <w:lang w:val="en-US"/>
        </w:rPr>
        <w:t xml:space="preserve"> Mr.</w:t>
      </w:r>
      <w:r w:rsidR="001E44D3" w:rsidRPr="00D869E3">
        <w:rPr>
          <w:rFonts w:eastAsia="MS Gothic"/>
          <w:i/>
          <w:iCs/>
          <w:szCs w:val="20"/>
          <w:lang w:val="en-US"/>
        </w:rPr>
        <w:t xml:space="preserve"> Lagos del Campo</w:t>
      </w:r>
      <w:r w:rsidR="00275EDE" w:rsidRPr="00D869E3">
        <w:rPr>
          <w:rFonts w:eastAsia="MS Gothic"/>
          <w:i/>
          <w:iCs/>
          <w:szCs w:val="20"/>
          <w:lang w:val="en-US"/>
        </w:rPr>
        <w:t xml:space="preserve"> </w:t>
      </w:r>
      <w:r w:rsidRPr="00D869E3">
        <w:rPr>
          <w:rFonts w:eastAsia="MS Gothic"/>
          <w:i/>
          <w:iCs/>
          <w:szCs w:val="20"/>
          <w:lang w:val="en-US"/>
        </w:rPr>
        <w:t xml:space="preserve">as </w:t>
      </w:r>
      <w:r w:rsidR="001B0492" w:rsidRPr="00D869E3">
        <w:rPr>
          <w:rFonts w:eastAsia="MS Gothic"/>
          <w:i/>
          <w:iCs/>
          <w:szCs w:val="20"/>
          <w:lang w:val="en-US"/>
        </w:rPr>
        <w:t>president of the Electoral</w:t>
      </w:r>
      <w:r w:rsidR="00EA232B" w:rsidRPr="00D869E3">
        <w:rPr>
          <w:rFonts w:eastAsia="MS Gothic"/>
          <w:i/>
          <w:iCs/>
          <w:szCs w:val="20"/>
          <w:lang w:val="en-US"/>
        </w:rPr>
        <w:t xml:space="preserve"> Committee of the Industrial Community</w:t>
      </w:r>
      <w:bookmarkEnd w:id="21"/>
      <w:r w:rsidR="00D9489E" w:rsidRPr="00D869E3">
        <w:rPr>
          <w:rFonts w:eastAsia="MS Gothic"/>
          <w:i/>
          <w:iCs/>
          <w:szCs w:val="20"/>
          <w:lang w:val="en-US"/>
        </w:rPr>
        <w:t xml:space="preserve"> </w:t>
      </w:r>
    </w:p>
    <w:p w14:paraId="471B7BE7" w14:textId="77777777" w:rsidR="00275EDE" w:rsidRPr="00D869E3" w:rsidRDefault="00275EDE" w:rsidP="00275EDE">
      <w:pPr>
        <w:jc w:val="both"/>
        <w:rPr>
          <w:rFonts w:ascii="Verdana" w:hAnsi="Verdana"/>
          <w:b/>
          <w:sz w:val="20"/>
          <w:szCs w:val="20"/>
          <w:lang w:val="en-US"/>
        </w:rPr>
      </w:pPr>
    </w:p>
    <w:p w14:paraId="3D870195" w14:textId="1FD14DD7" w:rsidR="005D0F69" w:rsidRPr="00D869E3" w:rsidRDefault="001E44D3" w:rsidP="00E66DD7">
      <w:pPr>
        <w:pStyle w:val="Prrafodelista"/>
        <w:numPr>
          <w:ilvl w:val="0"/>
          <w:numId w:val="1"/>
        </w:numPr>
        <w:ind w:left="0" w:hanging="11"/>
        <w:jc w:val="both"/>
        <w:rPr>
          <w:rFonts w:ascii="Verdana" w:hAnsi="Verdana"/>
          <w:b/>
          <w:sz w:val="20"/>
          <w:szCs w:val="20"/>
          <w:lang w:val="en-US"/>
        </w:rPr>
      </w:pPr>
      <w:r w:rsidRPr="00D869E3">
        <w:rPr>
          <w:rFonts w:ascii="Verdana" w:hAnsi="Verdana"/>
          <w:sz w:val="20"/>
          <w:szCs w:val="20"/>
          <w:lang w:val="en-US"/>
        </w:rPr>
        <w:t>Mr. Lagos del Campo</w:t>
      </w:r>
      <w:r w:rsidR="005D0F69" w:rsidRPr="00D869E3">
        <w:rPr>
          <w:rFonts w:ascii="Verdana" w:hAnsi="Verdana"/>
          <w:sz w:val="20"/>
          <w:szCs w:val="20"/>
          <w:lang w:val="en-US"/>
        </w:rPr>
        <w:t xml:space="preserve"> </w:t>
      </w:r>
      <w:r w:rsidR="00C66688" w:rsidRPr="00D869E3">
        <w:rPr>
          <w:rFonts w:ascii="Verdana" w:hAnsi="Verdana"/>
          <w:sz w:val="20"/>
          <w:szCs w:val="20"/>
          <w:lang w:val="en-US"/>
        </w:rPr>
        <w:t>was born on February 21,</w:t>
      </w:r>
      <w:r w:rsidR="005D0F69" w:rsidRPr="00D869E3">
        <w:rPr>
          <w:rFonts w:ascii="Verdana" w:hAnsi="Verdana"/>
          <w:sz w:val="20"/>
          <w:szCs w:val="20"/>
          <w:lang w:val="en-US"/>
        </w:rPr>
        <w:t xml:space="preserve"> 1939. </w:t>
      </w:r>
      <w:r w:rsidR="00C66688" w:rsidRPr="00D869E3">
        <w:rPr>
          <w:rFonts w:ascii="Verdana" w:hAnsi="Verdana"/>
          <w:sz w:val="20"/>
          <w:szCs w:val="20"/>
          <w:lang w:val="en-US"/>
        </w:rPr>
        <w:t xml:space="preserve">He </w:t>
      </w:r>
      <w:r w:rsidR="00785445" w:rsidRPr="00D869E3">
        <w:rPr>
          <w:rFonts w:ascii="Verdana" w:hAnsi="Verdana"/>
          <w:sz w:val="20"/>
          <w:szCs w:val="20"/>
          <w:lang w:val="en-US"/>
        </w:rPr>
        <w:t>and</w:t>
      </w:r>
      <w:r w:rsidR="00C66688" w:rsidRPr="00D869E3">
        <w:rPr>
          <w:rFonts w:ascii="Verdana" w:hAnsi="Verdana"/>
          <w:sz w:val="20"/>
          <w:szCs w:val="20"/>
          <w:lang w:val="en-US"/>
        </w:rPr>
        <w:t xml:space="preserve"> his wife</w:t>
      </w:r>
      <w:r w:rsidR="00785445" w:rsidRPr="00D869E3">
        <w:rPr>
          <w:rFonts w:ascii="Verdana" w:hAnsi="Verdana"/>
          <w:sz w:val="20"/>
          <w:szCs w:val="20"/>
          <w:lang w:val="en-US"/>
        </w:rPr>
        <w:t>,</w:t>
      </w:r>
      <w:r w:rsidR="005D0F69" w:rsidRPr="00D869E3">
        <w:rPr>
          <w:rFonts w:ascii="Verdana" w:hAnsi="Verdana"/>
          <w:sz w:val="20"/>
          <w:szCs w:val="20"/>
          <w:lang w:val="en-US"/>
        </w:rPr>
        <w:t xml:space="preserve"> Teresa Gonzáles Cornejo</w:t>
      </w:r>
      <w:r w:rsidR="00785445" w:rsidRPr="00D869E3">
        <w:rPr>
          <w:rFonts w:ascii="Verdana" w:hAnsi="Verdana"/>
          <w:sz w:val="20"/>
          <w:szCs w:val="20"/>
          <w:lang w:val="en-US"/>
        </w:rPr>
        <w:t>, have 14 children</w:t>
      </w:r>
      <w:r w:rsidR="00C66688" w:rsidRPr="00D869E3">
        <w:rPr>
          <w:rFonts w:ascii="Verdana" w:hAnsi="Verdana"/>
          <w:sz w:val="20"/>
          <w:szCs w:val="20"/>
          <w:lang w:val="en-US"/>
        </w:rPr>
        <w:t>.</w:t>
      </w:r>
      <w:r w:rsidR="005D0F69" w:rsidRPr="00D869E3">
        <w:rPr>
          <w:rStyle w:val="Refdenotaalpie"/>
          <w:szCs w:val="20"/>
          <w:lang w:val="en-US"/>
        </w:rPr>
        <w:footnoteReference w:id="50"/>
      </w:r>
      <w:r w:rsidR="005D0F69" w:rsidRPr="00D869E3">
        <w:rPr>
          <w:rFonts w:ascii="Verdana" w:hAnsi="Verdana"/>
          <w:sz w:val="20"/>
          <w:szCs w:val="20"/>
          <w:lang w:val="en-US"/>
        </w:rPr>
        <w:t xml:space="preserve"> </w:t>
      </w:r>
      <w:r w:rsidR="00C66688" w:rsidRPr="00D869E3">
        <w:rPr>
          <w:rFonts w:ascii="Verdana" w:hAnsi="Verdana"/>
          <w:sz w:val="20"/>
          <w:szCs w:val="20"/>
          <w:lang w:val="en-US"/>
        </w:rPr>
        <w:t>On July 12,</w:t>
      </w:r>
      <w:r w:rsidR="005D0F69" w:rsidRPr="00D869E3">
        <w:rPr>
          <w:rFonts w:ascii="Verdana" w:hAnsi="Verdana"/>
          <w:sz w:val="20"/>
          <w:szCs w:val="20"/>
          <w:lang w:val="en-US"/>
        </w:rPr>
        <w:t xml:space="preserve"> 1976</w:t>
      </w:r>
      <w:r w:rsidR="00C66688" w:rsidRPr="00D869E3">
        <w:rPr>
          <w:rFonts w:ascii="Verdana" w:hAnsi="Verdana"/>
          <w:sz w:val="20"/>
          <w:szCs w:val="20"/>
          <w:lang w:val="en-US"/>
        </w:rPr>
        <w:t>,</w:t>
      </w:r>
      <w:r w:rsidR="005D0F69" w:rsidRPr="00D869E3">
        <w:rPr>
          <w:rFonts w:ascii="Verdana" w:hAnsi="Verdana"/>
          <w:sz w:val="20"/>
          <w:szCs w:val="20"/>
          <w:lang w:val="en-US"/>
        </w:rPr>
        <w:t xml:space="preserve"> </w:t>
      </w:r>
      <w:r w:rsidRPr="00D869E3">
        <w:rPr>
          <w:rFonts w:ascii="Verdana" w:hAnsi="Verdana"/>
          <w:sz w:val="20"/>
          <w:szCs w:val="20"/>
          <w:lang w:val="en-US"/>
        </w:rPr>
        <w:t>Mr. Lagos del Campo</w:t>
      </w:r>
      <w:r w:rsidR="005D0F69" w:rsidRPr="00D869E3">
        <w:rPr>
          <w:rFonts w:ascii="Verdana" w:hAnsi="Verdana"/>
          <w:sz w:val="20"/>
          <w:szCs w:val="20"/>
          <w:lang w:val="en-US"/>
        </w:rPr>
        <w:t xml:space="preserve"> </w:t>
      </w:r>
      <w:r w:rsidR="00C66688" w:rsidRPr="00D869E3">
        <w:rPr>
          <w:rFonts w:ascii="Verdana" w:hAnsi="Verdana"/>
          <w:sz w:val="20"/>
          <w:szCs w:val="20"/>
          <w:lang w:val="en-US"/>
        </w:rPr>
        <w:t>began to work a</w:t>
      </w:r>
      <w:r w:rsidR="00D76516" w:rsidRPr="00D869E3">
        <w:rPr>
          <w:rFonts w:ascii="Verdana" w:hAnsi="Verdana"/>
          <w:sz w:val="20"/>
          <w:szCs w:val="20"/>
          <w:lang w:val="en-US"/>
        </w:rPr>
        <w:t xml:space="preserve">s </w:t>
      </w:r>
      <w:r w:rsidR="00C66688" w:rsidRPr="00D869E3">
        <w:rPr>
          <w:rFonts w:ascii="Verdana" w:hAnsi="Verdana"/>
          <w:sz w:val="20"/>
          <w:szCs w:val="20"/>
          <w:lang w:val="en-US"/>
        </w:rPr>
        <w:t>an electrician,</w:t>
      </w:r>
      <w:r w:rsidR="00D76516" w:rsidRPr="00D869E3">
        <w:rPr>
          <w:rFonts w:ascii="Verdana" w:hAnsi="Verdana"/>
          <w:sz w:val="20"/>
          <w:szCs w:val="20"/>
          <w:lang w:val="en-US"/>
        </w:rPr>
        <w:t xml:space="preserve"> a manual worker,</w:t>
      </w:r>
      <w:r w:rsidR="00C66688" w:rsidRPr="00D869E3">
        <w:rPr>
          <w:rFonts w:ascii="Verdana" w:hAnsi="Verdana"/>
          <w:sz w:val="20"/>
          <w:szCs w:val="20"/>
          <w:lang w:val="en-US"/>
        </w:rPr>
        <w:t xml:space="preserve"> in the maintenance department of the company, </w:t>
      </w:r>
      <w:r w:rsidR="005D0F69" w:rsidRPr="00D869E3">
        <w:rPr>
          <w:rFonts w:ascii="Verdana" w:hAnsi="Verdana"/>
          <w:sz w:val="20"/>
          <w:szCs w:val="20"/>
          <w:lang w:val="en-US"/>
        </w:rPr>
        <w:t>Conductores Eléctricos Peruanos Ceper-Pirelli S.A.</w:t>
      </w:r>
      <w:r w:rsidR="005D0F69" w:rsidRPr="00D869E3">
        <w:rPr>
          <w:rFonts w:ascii="Verdana" w:hAnsi="Verdana"/>
          <w:sz w:val="20"/>
          <w:szCs w:val="20"/>
          <w:vertAlign w:val="superscript"/>
          <w:lang w:val="en-US"/>
        </w:rPr>
        <w:footnoteReference w:id="51"/>
      </w:r>
      <w:r w:rsidR="005D0F69" w:rsidRPr="00D869E3">
        <w:rPr>
          <w:rFonts w:ascii="Verdana" w:hAnsi="Verdana"/>
          <w:sz w:val="20"/>
          <w:szCs w:val="20"/>
          <w:lang w:val="en-US"/>
        </w:rPr>
        <w:t xml:space="preserve"> </w:t>
      </w:r>
    </w:p>
    <w:p w14:paraId="67C2D12F" w14:textId="77777777" w:rsidR="00275EDE" w:rsidRPr="00D869E3" w:rsidRDefault="00275EDE" w:rsidP="009C6F8E">
      <w:pPr>
        <w:jc w:val="both"/>
        <w:rPr>
          <w:rFonts w:ascii="Verdana" w:hAnsi="Verdana"/>
          <w:b/>
          <w:sz w:val="20"/>
          <w:szCs w:val="20"/>
          <w:lang w:val="en-US"/>
        </w:rPr>
      </w:pPr>
    </w:p>
    <w:p w14:paraId="37DFEF70" w14:textId="62FEE9E8" w:rsidR="00275EDE" w:rsidRPr="00D869E3" w:rsidRDefault="001E44D3" w:rsidP="004D704D">
      <w:pPr>
        <w:pStyle w:val="Prrafodelista"/>
        <w:numPr>
          <w:ilvl w:val="0"/>
          <w:numId w:val="1"/>
        </w:numPr>
        <w:ind w:left="0" w:hanging="11"/>
        <w:jc w:val="both"/>
        <w:rPr>
          <w:rFonts w:ascii="Verdana" w:hAnsi="Verdana"/>
          <w:b/>
          <w:sz w:val="20"/>
          <w:szCs w:val="20"/>
          <w:lang w:val="en-US"/>
        </w:rPr>
      </w:pPr>
      <w:r w:rsidRPr="00D869E3">
        <w:rPr>
          <w:rFonts w:ascii="Verdana" w:hAnsi="Verdana"/>
          <w:sz w:val="20"/>
          <w:szCs w:val="20"/>
          <w:lang w:val="en-US"/>
        </w:rPr>
        <w:t>Mr. Lagos del Campo</w:t>
      </w:r>
      <w:r w:rsidR="00275EDE" w:rsidRPr="00D869E3">
        <w:rPr>
          <w:rFonts w:ascii="Verdana" w:hAnsi="Verdana"/>
          <w:sz w:val="20"/>
          <w:szCs w:val="20"/>
          <w:lang w:val="en-US"/>
        </w:rPr>
        <w:t xml:space="preserve"> </w:t>
      </w:r>
      <w:r w:rsidR="004D704D" w:rsidRPr="00D869E3">
        <w:rPr>
          <w:rFonts w:ascii="Verdana" w:hAnsi="Verdana"/>
          <w:sz w:val="20"/>
          <w:szCs w:val="20"/>
          <w:lang w:val="en-US"/>
        </w:rPr>
        <w:t xml:space="preserve">served as </w:t>
      </w:r>
      <w:r w:rsidR="00E85F6A" w:rsidRPr="00D869E3">
        <w:rPr>
          <w:rFonts w:ascii="Verdana" w:hAnsi="Verdana"/>
          <w:sz w:val="20"/>
          <w:szCs w:val="20"/>
          <w:lang w:val="en-US"/>
        </w:rPr>
        <w:t>labor union</w:t>
      </w:r>
      <w:r w:rsidR="004D704D" w:rsidRPr="00D869E3">
        <w:rPr>
          <w:rFonts w:ascii="Verdana" w:hAnsi="Verdana"/>
          <w:sz w:val="20"/>
          <w:szCs w:val="20"/>
          <w:lang w:val="en-US"/>
        </w:rPr>
        <w:t xml:space="preserve"> leader and labor leader in the company </w:t>
      </w:r>
      <w:r w:rsidR="004F3EAC" w:rsidRPr="00D869E3">
        <w:rPr>
          <w:rFonts w:ascii="Verdana" w:hAnsi="Verdana"/>
          <w:sz w:val="20"/>
          <w:szCs w:val="20"/>
          <w:lang w:val="en-US"/>
        </w:rPr>
        <w:t>Ceper-Pirelli S.A.</w:t>
      </w:r>
      <w:r w:rsidR="00275EDE" w:rsidRPr="00D869E3">
        <w:rPr>
          <w:rFonts w:ascii="Verdana" w:hAnsi="Verdana"/>
          <w:sz w:val="20"/>
          <w:szCs w:val="20"/>
          <w:lang w:val="en-US"/>
        </w:rPr>
        <w:t xml:space="preserve"> </w:t>
      </w:r>
      <w:r w:rsidR="004D704D" w:rsidRPr="00D869E3">
        <w:rPr>
          <w:rFonts w:ascii="Verdana" w:hAnsi="Verdana"/>
          <w:sz w:val="20"/>
          <w:szCs w:val="20"/>
          <w:lang w:val="en-US"/>
        </w:rPr>
        <w:t xml:space="preserve">He held a number of management positions within the Ceper-Pirelli Labor Union; he served two terms as </w:t>
      </w:r>
      <w:r w:rsidR="00785445" w:rsidRPr="00D869E3">
        <w:rPr>
          <w:rFonts w:ascii="Verdana" w:hAnsi="Verdana"/>
          <w:sz w:val="20"/>
          <w:szCs w:val="20"/>
          <w:lang w:val="en-US"/>
        </w:rPr>
        <w:t>S</w:t>
      </w:r>
      <w:r w:rsidR="004D704D" w:rsidRPr="00D869E3">
        <w:rPr>
          <w:rFonts w:ascii="Verdana" w:hAnsi="Verdana"/>
          <w:sz w:val="20"/>
          <w:szCs w:val="20"/>
          <w:lang w:val="en-US"/>
        </w:rPr>
        <w:t>ecretary</w:t>
      </w:r>
      <w:r w:rsidR="00785445" w:rsidRPr="00D869E3">
        <w:rPr>
          <w:rFonts w:ascii="Verdana" w:hAnsi="Verdana"/>
          <w:sz w:val="20"/>
          <w:szCs w:val="20"/>
          <w:lang w:val="en-US"/>
        </w:rPr>
        <w:t xml:space="preserve"> for the defense of workers’ rights</w:t>
      </w:r>
      <w:r w:rsidR="004D704D" w:rsidRPr="00D869E3">
        <w:rPr>
          <w:rFonts w:ascii="Verdana" w:hAnsi="Verdana"/>
          <w:sz w:val="20"/>
          <w:szCs w:val="20"/>
          <w:lang w:val="en-US"/>
        </w:rPr>
        <w:t xml:space="preserve"> </w:t>
      </w:r>
      <w:r w:rsidR="00275EDE" w:rsidRPr="00D869E3">
        <w:rPr>
          <w:rFonts w:ascii="Verdana" w:hAnsi="Verdana"/>
          <w:sz w:val="20"/>
          <w:szCs w:val="20"/>
          <w:lang w:val="en-US"/>
        </w:rPr>
        <w:t>(1982-1983</w:t>
      </w:r>
      <w:r w:rsidR="00687684" w:rsidRPr="00D869E3">
        <w:rPr>
          <w:rFonts w:ascii="Verdana" w:hAnsi="Verdana"/>
          <w:sz w:val="20"/>
          <w:szCs w:val="20"/>
          <w:lang w:val="en-US"/>
        </w:rPr>
        <w:t xml:space="preserve"> and </w:t>
      </w:r>
      <w:r w:rsidR="00275EDE" w:rsidRPr="00D869E3">
        <w:rPr>
          <w:rFonts w:ascii="Verdana" w:hAnsi="Verdana"/>
          <w:sz w:val="20"/>
          <w:szCs w:val="20"/>
          <w:lang w:val="en-US"/>
        </w:rPr>
        <w:t>1985-1986),</w:t>
      </w:r>
      <w:r w:rsidR="00687684" w:rsidRPr="00D869E3">
        <w:rPr>
          <w:rFonts w:ascii="Verdana" w:hAnsi="Verdana"/>
          <w:sz w:val="20"/>
          <w:szCs w:val="20"/>
          <w:lang w:val="en-US"/>
        </w:rPr>
        <w:t xml:space="preserve"> and </w:t>
      </w:r>
      <w:r w:rsidR="004D704D" w:rsidRPr="00D869E3">
        <w:rPr>
          <w:rFonts w:ascii="Verdana" w:hAnsi="Verdana"/>
          <w:sz w:val="20"/>
          <w:szCs w:val="20"/>
          <w:lang w:val="en-US"/>
        </w:rPr>
        <w:t xml:space="preserve">one as Secretary </w:t>
      </w:r>
      <w:r w:rsidR="00275EDE" w:rsidRPr="00D869E3">
        <w:rPr>
          <w:rFonts w:ascii="Verdana" w:hAnsi="Verdana"/>
          <w:sz w:val="20"/>
          <w:szCs w:val="20"/>
          <w:lang w:val="en-US"/>
        </w:rPr>
        <w:t>General (1983-1984)</w:t>
      </w:r>
      <w:r w:rsidR="004D704D" w:rsidRPr="00D869E3">
        <w:rPr>
          <w:rFonts w:ascii="Verdana" w:hAnsi="Verdana"/>
          <w:sz w:val="20"/>
          <w:szCs w:val="20"/>
          <w:lang w:val="en-US"/>
        </w:rPr>
        <w:t>.</w:t>
      </w:r>
      <w:r w:rsidR="00275EDE" w:rsidRPr="00D869E3">
        <w:rPr>
          <w:rFonts w:ascii="Verdana" w:hAnsi="Verdana"/>
          <w:sz w:val="20"/>
          <w:szCs w:val="20"/>
          <w:vertAlign w:val="superscript"/>
          <w:lang w:val="en-US"/>
        </w:rPr>
        <w:footnoteReference w:id="52"/>
      </w:r>
      <w:r w:rsidR="00F41D30" w:rsidRPr="00D869E3">
        <w:rPr>
          <w:rFonts w:ascii="Verdana" w:hAnsi="Verdana" w:cs="Arial"/>
          <w:sz w:val="20"/>
          <w:szCs w:val="20"/>
          <w:lang w:val="en-US"/>
        </w:rPr>
        <w:t xml:space="preserve"> </w:t>
      </w:r>
      <w:r w:rsidR="004D704D" w:rsidRPr="00D869E3">
        <w:rPr>
          <w:rFonts w:ascii="Verdana" w:hAnsi="Verdana" w:cs="Arial"/>
          <w:sz w:val="20"/>
          <w:szCs w:val="20"/>
          <w:lang w:val="en-US"/>
        </w:rPr>
        <w:t>As a permanent worker of the company, and pursuant to</w:t>
      </w:r>
      <w:r w:rsidR="004D704D" w:rsidRPr="00D869E3">
        <w:rPr>
          <w:rFonts w:ascii="Verdana" w:hAnsi="Verdana"/>
          <w:b/>
          <w:sz w:val="20"/>
          <w:szCs w:val="20"/>
          <w:lang w:val="en-US"/>
        </w:rPr>
        <w:t xml:space="preserve"> </w:t>
      </w:r>
      <w:r w:rsidR="0003030B" w:rsidRPr="00D869E3">
        <w:rPr>
          <w:rFonts w:ascii="Verdana" w:hAnsi="Verdana"/>
          <w:color w:val="000000"/>
          <w:sz w:val="20"/>
          <w:szCs w:val="20"/>
          <w:lang w:val="en-US"/>
        </w:rPr>
        <w:t>Decree-Law</w:t>
      </w:r>
      <w:r w:rsidR="00275EDE" w:rsidRPr="00D869E3">
        <w:rPr>
          <w:rFonts w:ascii="Verdana" w:hAnsi="Verdana"/>
          <w:color w:val="000000"/>
          <w:sz w:val="20"/>
          <w:szCs w:val="20"/>
          <w:lang w:val="en-US"/>
        </w:rPr>
        <w:t xml:space="preserve"> 21789, </w:t>
      </w:r>
      <w:r w:rsidRPr="00D869E3">
        <w:rPr>
          <w:rFonts w:ascii="Verdana" w:hAnsi="Verdana"/>
          <w:color w:val="000000"/>
          <w:sz w:val="20"/>
          <w:szCs w:val="20"/>
          <w:lang w:val="en-US"/>
        </w:rPr>
        <w:t>Mr. Lagos del Campo</w:t>
      </w:r>
      <w:r w:rsidR="00275EDE" w:rsidRPr="00D869E3">
        <w:rPr>
          <w:rFonts w:ascii="Verdana" w:hAnsi="Verdana"/>
          <w:color w:val="000000"/>
          <w:sz w:val="20"/>
          <w:szCs w:val="20"/>
          <w:lang w:val="en-US"/>
        </w:rPr>
        <w:t xml:space="preserve"> </w:t>
      </w:r>
      <w:r w:rsidR="004D704D" w:rsidRPr="00D869E3">
        <w:rPr>
          <w:rFonts w:ascii="Verdana" w:hAnsi="Verdana"/>
          <w:color w:val="000000"/>
          <w:sz w:val="20"/>
          <w:szCs w:val="20"/>
          <w:lang w:val="en-US"/>
        </w:rPr>
        <w:t xml:space="preserve">also formed part </w:t>
      </w:r>
      <w:r w:rsidR="00EA232B" w:rsidRPr="00D869E3">
        <w:rPr>
          <w:rFonts w:ascii="Verdana" w:hAnsi="Verdana"/>
          <w:color w:val="000000"/>
          <w:sz w:val="20"/>
          <w:szCs w:val="20"/>
          <w:lang w:val="en-US"/>
        </w:rPr>
        <w:t>of the</w:t>
      </w:r>
      <w:r w:rsidR="004D704D" w:rsidRPr="00D869E3">
        <w:rPr>
          <w:rFonts w:ascii="Verdana" w:hAnsi="Verdana"/>
          <w:color w:val="000000"/>
          <w:sz w:val="20"/>
          <w:szCs w:val="20"/>
          <w:lang w:val="en-US"/>
        </w:rPr>
        <w:t xml:space="preserve"> company’s</w:t>
      </w:r>
      <w:r w:rsidR="00EA232B" w:rsidRPr="00D869E3">
        <w:rPr>
          <w:rFonts w:ascii="Verdana" w:hAnsi="Verdana"/>
          <w:color w:val="000000"/>
          <w:sz w:val="20"/>
          <w:szCs w:val="20"/>
          <w:lang w:val="en-US"/>
        </w:rPr>
        <w:t xml:space="preserve"> Industrial Community</w:t>
      </w:r>
      <w:r w:rsidR="004D704D" w:rsidRPr="00D869E3">
        <w:rPr>
          <w:rFonts w:ascii="Verdana" w:hAnsi="Verdana"/>
          <w:color w:val="000000"/>
          <w:sz w:val="20"/>
          <w:szCs w:val="20"/>
          <w:lang w:val="en-US"/>
        </w:rPr>
        <w:t>, within which</w:t>
      </w:r>
      <w:r w:rsidR="00275EDE" w:rsidRPr="00D869E3">
        <w:rPr>
          <w:rFonts w:ascii="Verdana" w:hAnsi="Verdana"/>
          <w:color w:val="000000"/>
          <w:sz w:val="20"/>
          <w:szCs w:val="20"/>
          <w:lang w:val="en-US"/>
        </w:rPr>
        <w:t xml:space="preserve"> </w:t>
      </w:r>
      <w:r w:rsidR="00F4667D" w:rsidRPr="00D869E3">
        <w:rPr>
          <w:rFonts w:ascii="Verdana" w:hAnsi="Verdana"/>
          <w:color w:val="000000"/>
          <w:sz w:val="20"/>
          <w:szCs w:val="20"/>
          <w:lang w:val="en-US"/>
        </w:rPr>
        <w:t>the General Assembly</w:t>
      </w:r>
      <w:r w:rsidR="00C86725" w:rsidRPr="00D869E3">
        <w:rPr>
          <w:rFonts w:ascii="Verdana" w:hAnsi="Verdana"/>
          <w:color w:val="000000"/>
          <w:sz w:val="20"/>
          <w:szCs w:val="20"/>
          <w:lang w:val="en-US"/>
        </w:rPr>
        <w:t xml:space="preserve"> </w:t>
      </w:r>
      <w:r w:rsidR="004D704D" w:rsidRPr="00D869E3">
        <w:rPr>
          <w:rFonts w:ascii="Verdana" w:hAnsi="Verdana"/>
          <w:color w:val="000000"/>
          <w:sz w:val="20"/>
          <w:szCs w:val="20"/>
          <w:lang w:val="en-US"/>
        </w:rPr>
        <w:t>elected him as a member</w:t>
      </w:r>
      <w:r w:rsidR="00EA232B" w:rsidRPr="00D869E3">
        <w:rPr>
          <w:rFonts w:ascii="Verdana" w:hAnsi="Verdana"/>
          <w:color w:val="000000"/>
          <w:sz w:val="20"/>
          <w:szCs w:val="20"/>
          <w:lang w:val="en-US"/>
        </w:rPr>
        <w:t xml:space="preserve"> </w:t>
      </w:r>
      <w:r w:rsidR="00EA232B" w:rsidRPr="00D869E3">
        <w:rPr>
          <w:rFonts w:ascii="Verdana" w:hAnsi="Verdana"/>
          <w:color w:val="000000"/>
          <w:sz w:val="20"/>
          <w:szCs w:val="20"/>
          <w:lang w:val="en-US"/>
        </w:rPr>
        <w:lastRenderedPageBreak/>
        <w:t>of the Electoral Committee</w:t>
      </w:r>
      <w:r w:rsidR="00275EDE" w:rsidRPr="00D869E3">
        <w:rPr>
          <w:rFonts w:ascii="Verdana" w:hAnsi="Verdana"/>
          <w:color w:val="000000"/>
          <w:sz w:val="20"/>
          <w:szCs w:val="20"/>
          <w:lang w:val="en-US"/>
        </w:rPr>
        <w:t xml:space="preserve">. </w:t>
      </w:r>
      <w:r w:rsidR="004D704D" w:rsidRPr="00D869E3">
        <w:rPr>
          <w:rFonts w:ascii="Verdana" w:hAnsi="Verdana"/>
          <w:color w:val="000000"/>
          <w:sz w:val="20"/>
          <w:szCs w:val="20"/>
          <w:lang w:val="en-US"/>
        </w:rPr>
        <w:t xml:space="preserve">He served as </w:t>
      </w:r>
      <w:r w:rsidR="00447C65" w:rsidRPr="00D869E3">
        <w:rPr>
          <w:rFonts w:ascii="Verdana" w:hAnsi="Verdana"/>
          <w:color w:val="000000"/>
          <w:sz w:val="20"/>
          <w:szCs w:val="20"/>
          <w:lang w:val="en-US"/>
        </w:rPr>
        <w:t>President</w:t>
      </w:r>
      <w:r w:rsidR="00EA232B" w:rsidRPr="00D869E3">
        <w:rPr>
          <w:rFonts w:ascii="Verdana" w:hAnsi="Verdana"/>
          <w:color w:val="000000"/>
          <w:sz w:val="20"/>
          <w:szCs w:val="20"/>
          <w:lang w:val="en-US"/>
        </w:rPr>
        <w:t xml:space="preserve"> of the Industrial Community</w:t>
      </w:r>
      <w:r w:rsidR="004D704D" w:rsidRPr="00D869E3">
        <w:rPr>
          <w:rFonts w:ascii="Verdana" w:hAnsi="Verdana"/>
          <w:color w:val="000000"/>
          <w:sz w:val="20"/>
          <w:szCs w:val="20"/>
          <w:lang w:val="en-US"/>
        </w:rPr>
        <w:t>’s Electoral Committee for the period 1988-1989,</w:t>
      </w:r>
      <w:r w:rsidR="00275EDE" w:rsidRPr="00D869E3">
        <w:rPr>
          <w:rFonts w:ascii="Verdana" w:hAnsi="Verdana"/>
          <w:color w:val="000000"/>
          <w:sz w:val="20"/>
          <w:szCs w:val="20"/>
          <w:vertAlign w:val="superscript"/>
          <w:lang w:val="en-US"/>
        </w:rPr>
        <w:footnoteReference w:id="53"/>
      </w:r>
      <w:r w:rsidR="00275EDE" w:rsidRPr="00D869E3">
        <w:rPr>
          <w:rFonts w:ascii="Verdana" w:hAnsi="Verdana"/>
          <w:color w:val="000000"/>
          <w:sz w:val="20"/>
          <w:szCs w:val="20"/>
          <w:lang w:val="en-US"/>
        </w:rPr>
        <w:t xml:space="preserve"> </w:t>
      </w:r>
      <w:r w:rsidR="004D704D" w:rsidRPr="00D869E3">
        <w:rPr>
          <w:rFonts w:ascii="Verdana" w:hAnsi="Verdana"/>
          <w:color w:val="000000"/>
          <w:sz w:val="20"/>
          <w:szCs w:val="20"/>
          <w:lang w:val="en-US"/>
        </w:rPr>
        <w:t xml:space="preserve">the entity responsible for holding the elections for members of the Community Council </w:t>
      </w:r>
      <w:r w:rsidR="00687684" w:rsidRPr="00D869E3">
        <w:rPr>
          <w:rFonts w:ascii="Verdana" w:hAnsi="Verdana"/>
          <w:sz w:val="20"/>
          <w:szCs w:val="20"/>
          <w:lang w:val="en-US"/>
        </w:rPr>
        <w:t>and representatives</w:t>
      </w:r>
      <w:r w:rsidR="00275EDE" w:rsidRPr="00D869E3">
        <w:rPr>
          <w:rFonts w:ascii="Verdana" w:hAnsi="Verdana"/>
          <w:sz w:val="20"/>
          <w:szCs w:val="20"/>
          <w:lang w:val="en-US"/>
        </w:rPr>
        <w:t xml:space="preserve"> </w:t>
      </w:r>
      <w:r w:rsidR="004D704D" w:rsidRPr="00D869E3">
        <w:rPr>
          <w:rFonts w:ascii="Verdana" w:hAnsi="Verdana"/>
          <w:sz w:val="20"/>
          <w:szCs w:val="20"/>
          <w:lang w:val="en-US"/>
        </w:rPr>
        <w:t xml:space="preserve">on the company’s Board </w:t>
      </w:r>
      <w:r w:rsidR="00275EDE" w:rsidRPr="00D869E3">
        <w:rPr>
          <w:rFonts w:ascii="Verdana" w:hAnsi="Verdana"/>
          <w:sz w:val="20"/>
          <w:szCs w:val="20"/>
          <w:lang w:val="en-US"/>
        </w:rPr>
        <w:t>(</w:t>
      </w:r>
      <w:r w:rsidR="00224537" w:rsidRPr="00D869E3">
        <w:rPr>
          <w:rFonts w:ascii="Verdana" w:hAnsi="Verdana"/>
          <w:i/>
          <w:sz w:val="20"/>
          <w:szCs w:val="20"/>
          <w:lang w:val="en-US"/>
        </w:rPr>
        <w:t>supra</w:t>
      </w:r>
      <w:r w:rsidR="00CC7C1E" w:rsidRPr="00D869E3">
        <w:rPr>
          <w:rFonts w:ascii="Verdana" w:hAnsi="Verdana"/>
          <w:i/>
          <w:sz w:val="20"/>
          <w:szCs w:val="20"/>
          <w:lang w:val="en-US"/>
        </w:rPr>
        <w:t xml:space="preserve"> </w:t>
      </w:r>
      <w:r w:rsidR="0087339F" w:rsidRPr="00D869E3">
        <w:rPr>
          <w:rFonts w:ascii="Verdana" w:hAnsi="Verdana"/>
          <w:sz w:val="20"/>
          <w:szCs w:val="20"/>
          <w:lang w:val="en-US"/>
        </w:rPr>
        <w:t>para.</w:t>
      </w:r>
      <w:r w:rsidR="00275EDE" w:rsidRPr="00D869E3">
        <w:rPr>
          <w:rFonts w:ascii="Verdana" w:hAnsi="Verdana"/>
          <w:sz w:val="20"/>
          <w:szCs w:val="20"/>
          <w:lang w:val="en-US"/>
        </w:rPr>
        <w:t xml:space="preserve"> </w:t>
      </w:r>
      <w:r w:rsidR="00D02C92" w:rsidRPr="00D869E3">
        <w:rPr>
          <w:rFonts w:ascii="Verdana" w:hAnsi="Verdana"/>
          <w:sz w:val="20"/>
          <w:szCs w:val="20"/>
          <w:lang w:val="en-US"/>
        </w:rPr>
        <w:t>43</w:t>
      </w:r>
      <w:r w:rsidR="00275EDE" w:rsidRPr="00D869E3">
        <w:rPr>
          <w:rFonts w:ascii="Verdana" w:hAnsi="Verdana"/>
          <w:sz w:val="20"/>
          <w:szCs w:val="20"/>
          <w:lang w:val="en-US"/>
        </w:rPr>
        <w:t>).</w:t>
      </w:r>
    </w:p>
    <w:p w14:paraId="24F15CBA" w14:textId="77777777" w:rsidR="00275EDE" w:rsidRPr="00D869E3" w:rsidRDefault="00275EDE" w:rsidP="009C6F8E">
      <w:pPr>
        <w:jc w:val="both"/>
        <w:rPr>
          <w:rFonts w:ascii="Verdana" w:hAnsi="Verdana"/>
          <w:b/>
          <w:sz w:val="20"/>
          <w:szCs w:val="20"/>
          <w:lang w:val="en-US"/>
        </w:rPr>
      </w:pPr>
    </w:p>
    <w:p w14:paraId="5A7F1885" w14:textId="241BAEE3" w:rsidR="00275EDE" w:rsidRPr="00D869E3" w:rsidRDefault="004D704D" w:rsidP="004D704D">
      <w:pPr>
        <w:pStyle w:val="Prrafodelista"/>
        <w:numPr>
          <w:ilvl w:val="0"/>
          <w:numId w:val="1"/>
        </w:numPr>
        <w:ind w:left="0" w:hanging="11"/>
        <w:jc w:val="both"/>
        <w:rPr>
          <w:rFonts w:ascii="Verdana" w:eastAsiaTheme="minorHAnsi" w:hAnsi="Verdana"/>
          <w:b/>
          <w:sz w:val="20"/>
          <w:szCs w:val="20"/>
          <w:lang w:val="en-US"/>
        </w:rPr>
      </w:pPr>
      <w:r w:rsidRPr="00D869E3">
        <w:rPr>
          <w:rFonts w:ascii="Verdana" w:hAnsi="Verdana"/>
          <w:color w:val="000000"/>
          <w:sz w:val="20"/>
          <w:szCs w:val="20"/>
          <w:lang w:val="en-US"/>
        </w:rPr>
        <w:t>On April 26,</w:t>
      </w:r>
      <w:r w:rsidR="00275EDE" w:rsidRPr="00D869E3">
        <w:rPr>
          <w:rFonts w:ascii="Verdana" w:hAnsi="Verdana"/>
          <w:color w:val="000000"/>
          <w:sz w:val="20"/>
          <w:szCs w:val="20"/>
          <w:lang w:val="en-US"/>
        </w:rPr>
        <w:t xml:space="preserve"> 1989</w:t>
      </w:r>
      <w:r w:rsidRPr="00D869E3">
        <w:rPr>
          <w:rFonts w:ascii="Verdana" w:hAnsi="Verdana"/>
          <w:color w:val="000000"/>
          <w:sz w:val="20"/>
          <w:szCs w:val="20"/>
          <w:lang w:val="en-US"/>
        </w:rPr>
        <w:t>,</w:t>
      </w:r>
      <w:r w:rsidR="00275EDE" w:rsidRPr="00D869E3">
        <w:rPr>
          <w:rFonts w:ascii="Verdana" w:hAnsi="Verdana"/>
          <w:color w:val="000000"/>
          <w:sz w:val="20"/>
          <w:szCs w:val="20"/>
          <w:lang w:val="en-US"/>
        </w:rPr>
        <w:t xml:space="preserve"> Alfredo Lagos del Campo, </w:t>
      </w:r>
      <w:r w:rsidRPr="00D869E3">
        <w:rPr>
          <w:rFonts w:ascii="Verdana" w:hAnsi="Verdana"/>
          <w:color w:val="000000"/>
          <w:sz w:val="20"/>
          <w:szCs w:val="20"/>
          <w:lang w:val="en-US"/>
        </w:rPr>
        <w:t>in his capacity as</w:t>
      </w:r>
      <w:r w:rsidR="00275EDE" w:rsidRPr="00D869E3">
        <w:rPr>
          <w:rFonts w:ascii="Verdana" w:hAnsi="Verdana"/>
          <w:color w:val="000000"/>
          <w:sz w:val="20"/>
          <w:szCs w:val="20"/>
          <w:lang w:val="en-US"/>
        </w:rPr>
        <w:t xml:space="preserve"> </w:t>
      </w:r>
      <w:r w:rsidR="001B0492" w:rsidRPr="00D869E3">
        <w:rPr>
          <w:rFonts w:ascii="Verdana" w:hAnsi="Verdana"/>
          <w:color w:val="000000"/>
          <w:sz w:val="20"/>
          <w:szCs w:val="20"/>
          <w:lang w:val="en-US"/>
        </w:rPr>
        <w:t>president of the Electoral</w:t>
      </w:r>
      <w:r w:rsidR="00EA232B" w:rsidRPr="00D869E3">
        <w:rPr>
          <w:rFonts w:ascii="Verdana" w:hAnsi="Verdana"/>
          <w:color w:val="000000"/>
          <w:sz w:val="20"/>
          <w:szCs w:val="20"/>
          <w:lang w:val="en-US"/>
        </w:rPr>
        <w:t xml:space="preserve"> Committee of the Industrial Community</w:t>
      </w:r>
      <w:r w:rsidR="00687684" w:rsidRPr="00D869E3">
        <w:rPr>
          <w:rFonts w:ascii="Verdana" w:hAnsi="Verdana"/>
          <w:color w:val="000000"/>
          <w:sz w:val="20"/>
          <w:szCs w:val="20"/>
          <w:lang w:val="en-US"/>
        </w:rPr>
        <w:t xml:space="preserve"> and </w:t>
      </w:r>
      <w:r w:rsidR="00275EDE" w:rsidRPr="00D869E3">
        <w:rPr>
          <w:rFonts w:ascii="Verdana" w:hAnsi="Verdana"/>
          <w:color w:val="000000"/>
          <w:sz w:val="20"/>
          <w:szCs w:val="20"/>
          <w:lang w:val="en-US"/>
        </w:rPr>
        <w:t>delega</w:t>
      </w:r>
      <w:r w:rsidRPr="00D869E3">
        <w:rPr>
          <w:rFonts w:ascii="Verdana" w:hAnsi="Verdana"/>
          <w:color w:val="000000"/>
          <w:sz w:val="20"/>
          <w:szCs w:val="20"/>
          <w:lang w:val="en-US"/>
        </w:rPr>
        <w:t xml:space="preserve">te to the National Confederation of Industrial Communities </w:t>
      </w:r>
      <w:r w:rsidR="00275EDE" w:rsidRPr="00D869E3">
        <w:rPr>
          <w:rFonts w:ascii="Verdana" w:hAnsi="Verdana"/>
          <w:color w:val="000000"/>
          <w:sz w:val="20"/>
          <w:szCs w:val="20"/>
          <w:lang w:val="en-US"/>
        </w:rPr>
        <w:t>(</w:t>
      </w:r>
      <w:r w:rsidR="00447C65" w:rsidRPr="00D869E3">
        <w:rPr>
          <w:rFonts w:ascii="Verdana" w:hAnsi="Verdana"/>
          <w:color w:val="000000"/>
          <w:sz w:val="20"/>
          <w:szCs w:val="20"/>
          <w:lang w:val="en-US"/>
        </w:rPr>
        <w:t>hereinafter</w:t>
      </w:r>
      <w:r w:rsidR="00C86725" w:rsidRPr="00D869E3">
        <w:rPr>
          <w:rFonts w:ascii="Verdana" w:hAnsi="Verdana"/>
          <w:color w:val="000000"/>
          <w:sz w:val="20"/>
          <w:szCs w:val="20"/>
          <w:lang w:val="en-US"/>
        </w:rPr>
        <w:t xml:space="preserve"> </w:t>
      </w:r>
      <w:r w:rsidR="00275EDE" w:rsidRPr="00D869E3">
        <w:rPr>
          <w:rFonts w:ascii="Verdana" w:hAnsi="Verdana"/>
          <w:color w:val="000000"/>
          <w:sz w:val="20"/>
          <w:szCs w:val="20"/>
          <w:lang w:val="en-US"/>
        </w:rPr>
        <w:t xml:space="preserve">CONACI) </w:t>
      </w:r>
      <w:r w:rsidRPr="00D869E3">
        <w:rPr>
          <w:rFonts w:ascii="Verdana" w:hAnsi="Verdana"/>
          <w:color w:val="000000"/>
          <w:sz w:val="20"/>
          <w:szCs w:val="20"/>
          <w:lang w:val="en-US"/>
        </w:rPr>
        <w:t xml:space="preserve">denounced before the </w:t>
      </w:r>
      <w:r w:rsidR="00EC2233" w:rsidRPr="00D869E3">
        <w:rPr>
          <w:rFonts w:ascii="Verdana" w:hAnsi="Verdana"/>
          <w:color w:val="000000"/>
          <w:sz w:val="20"/>
          <w:szCs w:val="20"/>
          <w:lang w:val="en-US"/>
        </w:rPr>
        <w:t>Participation Directorate</w:t>
      </w:r>
      <w:r w:rsidR="00275EDE" w:rsidRPr="00D869E3">
        <w:rPr>
          <w:rFonts w:ascii="Verdana" w:hAnsi="Verdana"/>
          <w:color w:val="000000"/>
          <w:sz w:val="20"/>
          <w:szCs w:val="20"/>
          <w:lang w:val="en-US"/>
        </w:rPr>
        <w:t xml:space="preserve"> </w:t>
      </w:r>
      <w:r w:rsidRPr="00D869E3">
        <w:rPr>
          <w:rFonts w:ascii="Verdana" w:hAnsi="Verdana"/>
          <w:color w:val="000000"/>
          <w:sz w:val="20"/>
          <w:szCs w:val="20"/>
          <w:lang w:val="en-US"/>
        </w:rPr>
        <w:t>of the Ministry</w:t>
      </w:r>
      <w:r w:rsidR="00F43C5F" w:rsidRPr="00D869E3">
        <w:rPr>
          <w:rFonts w:ascii="Verdana" w:hAnsi="Verdana"/>
          <w:color w:val="000000"/>
          <w:sz w:val="20"/>
          <w:szCs w:val="20"/>
          <w:lang w:val="en-US"/>
        </w:rPr>
        <w:t xml:space="preserve"> of Industry</w:t>
      </w:r>
      <w:r w:rsidR="00275EDE" w:rsidRPr="00D869E3">
        <w:rPr>
          <w:rFonts w:ascii="Verdana" w:hAnsi="Verdana"/>
          <w:color w:val="000000"/>
          <w:sz w:val="20"/>
          <w:szCs w:val="20"/>
          <w:lang w:val="en-US"/>
        </w:rPr>
        <w:t xml:space="preserve"> irregulari</w:t>
      </w:r>
      <w:r w:rsidRPr="00D869E3">
        <w:rPr>
          <w:rFonts w:ascii="Verdana" w:hAnsi="Verdana"/>
          <w:color w:val="000000"/>
          <w:sz w:val="20"/>
          <w:szCs w:val="20"/>
          <w:lang w:val="en-US"/>
        </w:rPr>
        <w:t>ties in the call for elections of the members of the Council</w:t>
      </w:r>
      <w:r w:rsidRPr="00D869E3">
        <w:rPr>
          <w:rFonts w:ascii="Verdana" w:eastAsiaTheme="minorHAnsi" w:hAnsi="Verdana"/>
          <w:b/>
          <w:sz w:val="20"/>
          <w:szCs w:val="20"/>
          <w:lang w:val="en-US"/>
        </w:rPr>
        <w:t xml:space="preserve"> </w:t>
      </w:r>
      <w:r w:rsidR="00EA232B" w:rsidRPr="00D869E3">
        <w:rPr>
          <w:rFonts w:ascii="Verdana" w:hAnsi="Verdana"/>
          <w:color w:val="000000"/>
          <w:sz w:val="20"/>
          <w:szCs w:val="20"/>
          <w:lang w:val="en-US"/>
        </w:rPr>
        <w:t>of the Industrial Community</w:t>
      </w:r>
      <w:r w:rsidR="00687684" w:rsidRPr="00D869E3">
        <w:rPr>
          <w:rFonts w:ascii="Verdana" w:hAnsi="Verdana"/>
          <w:color w:val="000000"/>
          <w:sz w:val="20"/>
          <w:szCs w:val="20"/>
          <w:lang w:val="en-US"/>
        </w:rPr>
        <w:t xml:space="preserve"> and the</w:t>
      </w:r>
      <w:r w:rsidRPr="00D869E3">
        <w:rPr>
          <w:rFonts w:ascii="Verdana" w:hAnsi="Verdana"/>
          <w:color w:val="000000"/>
          <w:sz w:val="20"/>
          <w:szCs w:val="20"/>
          <w:lang w:val="en-US"/>
        </w:rPr>
        <w:t xml:space="preserve"> workers’</w:t>
      </w:r>
      <w:r w:rsidR="00687684" w:rsidRPr="00D869E3">
        <w:rPr>
          <w:rFonts w:ascii="Verdana" w:hAnsi="Verdana"/>
          <w:color w:val="000000"/>
          <w:sz w:val="20"/>
          <w:szCs w:val="20"/>
          <w:lang w:val="en-US"/>
        </w:rPr>
        <w:t xml:space="preserve"> representatives</w:t>
      </w:r>
      <w:r w:rsidR="00275EDE" w:rsidRPr="00D869E3">
        <w:rPr>
          <w:rFonts w:ascii="Verdana" w:hAnsi="Verdana"/>
          <w:sz w:val="20"/>
          <w:szCs w:val="20"/>
          <w:lang w:val="en-US"/>
        </w:rPr>
        <w:t xml:space="preserve"> </w:t>
      </w:r>
      <w:r w:rsidRPr="00D869E3">
        <w:rPr>
          <w:rFonts w:ascii="Verdana" w:hAnsi="Verdana"/>
          <w:sz w:val="20"/>
          <w:szCs w:val="20"/>
          <w:lang w:val="en-US"/>
        </w:rPr>
        <w:t>on the company’s Board</w:t>
      </w:r>
      <w:r w:rsidR="000D6F59" w:rsidRPr="00D869E3">
        <w:rPr>
          <w:rFonts w:ascii="Verdana" w:hAnsi="Verdana"/>
          <w:sz w:val="20"/>
          <w:szCs w:val="20"/>
          <w:lang w:val="en-US"/>
        </w:rPr>
        <w:t>,</w:t>
      </w:r>
      <w:r w:rsidR="00275EDE" w:rsidRPr="00D869E3">
        <w:rPr>
          <w:rFonts w:ascii="Verdana" w:hAnsi="Verdana"/>
          <w:color w:val="000000"/>
          <w:sz w:val="20"/>
          <w:szCs w:val="20"/>
          <w:lang w:val="en-US"/>
        </w:rPr>
        <w:t xml:space="preserve"> </w:t>
      </w:r>
      <w:r w:rsidRPr="00D869E3">
        <w:rPr>
          <w:rFonts w:ascii="Verdana" w:hAnsi="Verdana"/>
          <w:color w:val="000000"/>
          <w:sz w:val="20"/>
          <w:szCs w:val="20"/>
          <w:lang w:val="en-US"/>
        </w:rPr>
        <w:t>to be held on April 28 that year. It was alleged that these irregularities were due to the fact that presumably three members</w:t>
      </w:r>
      <w:r w:rsidR="00275EDE" w:rsidRPr="00D869E3">
        <w:rPr>
          <w:rFonts w:ascii="Verdana" w:hAnsi="Verdana"/>
          <w:color w:val="000000"/>
          <w:sz w:val="20"/>
          <w:szCs w:val="20"/>
          <w:vertAlign w:val="superscript"/>
          <w:lang w:val="en-US"/>
        </w:rPr>
        <w:footnoteReference w:id="54"/>
      </w:r>
      <w:r w:rsidR="00EA232B" w:rsidRPr="00D869E3">
        <w:rPr>
          <w:rFonts w:ascii="Verdana" w:hAnsi="Verdana"/>
          <w:color w:val="000000"/>
          <w:sz w:val="20"/>
          <w:szCs w:val="20"/>
          <w:lang w:val="en-US"/>
        </w:rPr>
        <w:t xml:space="preserve"> of the Electoral Committee</w:t>
      </w:r>
      <w:r w:rsidR="00275EDE" w:rsidRPr="00D869E3">
        <w:rPr>
          <w:rFonts w:ascii="Verdana" w:hAnsi="Verdana"/>
          <w:color w:val="000000"/>
          <w:sz w:val="20"/>
          <w:szCs w:val="20"/>
          <w:lang w:val="en-US"/>
        </w:rPr>
        <w:t xml:space="preserve">, </w:t>
      </w:r>
      <w:r w:rsidRPr="00D869E3">
        <w:rPr>
          <w:rFonts w:ascii="Verdana" w:hAnsi="Verdana"/>
          <w:color w:val="000000"/>
          <w:sz w:val="20"/>
          <w:szCs w:val="20"/>
          <w:lang w:val="en-US"/>
        </w:rPr>
        <w:t>who represented the employers’ interests, called for elections without the participation of the workers’ representatives</w:t>
      </w:r>
      <w:r w:rsidR="00275EDE" w:rsidRPr="00D869E3">
        <w:rPr>
          <w:rFonts w:ascii="Verdana" w:hAnsi="Verdana"/>
          <w:sz w:val="20"/>
          <w:szCs w:val="20"/>
          <w:lang w:val="en-US"/>
        </w:rPr>
        <w:t xml:space="preserve"> (</w:t>
      </w:r>
      <w:r w:rsidR="00EC2233" w:rsidRPr="00D869E3">
        <w:rPr>
          <w:rFonts w:ascii="Verdana" w:hAnsi="Verdana"/>
          <w:sz w:val="20"/>
          <w:szCs w:val="20"/>
          <w:lang w:val="en-US"/>
        </w:rPr>
        <w:t xml:space="preserve">Alfredo </w:t>
      </w:r>
      <w:r w:rsidR="00275EDE" w:rsidRPr="00D869E3">
        <w:rPr>
          <w:rFonts w:ascii="Verdana" w:hAnsi="Verdana"/>
          <w:sz w:val="20"/>
          <w:szCs w:val="20"/>
          <w:lang w:val="en-US"/>
        </w:rPr>
        <w:t>Lagos del Campo</w:t>
      </w:r>
      <w:r w:rsidR="00687684" w:rsidRPr="00D869E3">
        <w:rPr>
          <w:rFonts w:ascii="Verdana" w:hAnsi="Verdana"/>
          <w:sz w:val="20"/>
          <w:szCs w:val="20"/>
          <w:lang w:val="en-US"/>
        </w:rPr>
        <w:t xml:space="preserve"> and </w:t>
      </w:r>
      <w:r w:rsidR="00787FF6" w:rsidRPr="00D869E3">
        <w:rPr>
          <w:rFonts w:ascii="Verdana" w:hAnsi="Verdana"/>
          <w:sz w:val="20"/>
          <w:szCs w:val="20"/>
          <w:lang w:val="en-US"/>
        </w:rPr>
        <w:t>Aristedes Quispe Altamirano</w:t>
      </w:r>
      <w:r w:rsidR="00275EDE" w:rsidRPr="00D869E3">
        <w:rPr>
          <w:rFonts w:ascii="Verdana" w:hAnsi="Verdana"/>
          <w:sz w:val="20"/>
          <w:szCs w:val="20"/>
          <w:lang w:val="en-US"/>
        </w:rPr>
        <w:t xml:space="preserve">), </w:t>
      </w:r>
      <w:r w:rsidRPr="00D869E3">
        <w:rPr>
          <w:rFonts w:ascii="Verdana" w:hAnsi="Verdana"/>
          <w:sz w:val="20"/>
          <w:szCs w:val="20"/>
          <w:lang w:val="en-US"/>
        </w:rPr>
        <w:t xml:space="preserve">in order to </w:t>
      </w:r>
      <w:r w:rsidR="00EC2233" w:rsidRPr="00D869E3">
        <w:rPr>
          <w:rFonts w:ascii="Verdana" w:hAnsi="Verdana"/>
          <w:sz w:val="20"/>
          <w:szCs w:val="20"/>
          <w:lang w:val="en-US"/>
        </w:rPr>
        <w:t>benefit</w:t>
      </w:r>
      <w:r w:rsidRPr="00D869E3">
        <w:rPr>
          <w:rFonts w:ascii="Verdana" w:hAnsi="Verdana"/>
          <w:sz w:val="20"/>
          <w:szCs w:val="20"/>
          <w:lang w:val="en-US"/>
        </w:rPr>
        <w:t xml:space="preserve"> the election of a list promoted by the employers.</w:t>
      </w:r>
      <w:r w:rsidR="00275EDE" w:rsidRPr="00D869E3">
        <w:rPr>
          <w:rFonts w:ascii="Verdana" w:hAnsi="Verdana"/>
          <w:sz w:val="20"/>
          <w:szCs w:val="20"/>
          <w:vertAlign w:val="superscript"/>
          <w:lang w:val="en-US"/>
        </w:rPr>
        <w:footnoteReference w:id="55"/>
      </w:r>
    </w:p>
    <w:p w14:paraId="58DC950F" w14:textId="15656FDD" w:rsidR="00275EDE" w:rsidRPr="00D869E3" w:rsidRDefault="00275EDE" w:rsidP="009C6F8E">
      <w:pPr>
        <w:jc w:val="both"/>
        <w:rPr>
          <w:rFonts w:ascii="Verdana" w:hAnsi="Verdana"/>
          <w:b/>
          <w:sz w:val="20"/>
          <w:szCs w:val="20"/>
          <w:lang w:val="en-US"/>
        </w:rPr>
      </w:pPr>
    </w:p>
    <w:p w14:paraId="214F4C20" w14:textId="7984C34B" w:rsidR="00275EDE" w:rsidRPr="00D869E3" w:rsidRDefault="004D704D" w:rsidP="00E66DD7">
      <w:pPr>
        <w:pStyle w:val="Prrafodelista"/>
        <w:numPr>
          <w:ilvl w:val="0"/>
          <w:numId w:val="1"/>
        </w:numPr>
        <w:ind w:left="0" w:hanging="11"/>
        <w:jc w:val="both"/>
        <w:rPr>
          <w:rFonts w:ascii="Verdana" w:hAnsi="Verdana"/>
          <w:b/>
          <w:sz w:val="20"/>
          <w:szCs w:val="20"/>
          <w:lang w:val="en-US"/>
        </w:rPr>
      </w:pPr>
      <w:r w:rsidRPr="00D869E3">
        <w:rPr>
          <w:rFonts w:ascii="Verdana" w:hAnsi="Verdana"/>
          <w:sz w:val="20"/>
          <w:szCs w:val="20"/>
          <w:lang w:val="en-US"/>
        </w:rPr>
        <w:t>After the elections had been held, a group of workers filed a brief contesting these elections before</w:t>
      </w:r>
      <w:r w:rsidR="00275EDE" w:rsidRPr="00D869E3">
        <w:rPr>
          <w:rFonts w:ascii="Verdana" w:hAnsi="Verdana"/>
          <w:sz w:val="20"/>
          <w:szCs w:val="20"/>
          <w:lang w:val="en-US"/>
        </w:rPr>
        <w:t xml:space="preserve"> </w:t>
      </w:r>
      <w:r w:rsidRPr="00D869E3">
        <w:rPr>
          <w:rFonts w:ascii="Verdana" w:hAnsi="Verdana"/>
          <w:sz w:val="20"/>
          <w:szCs w:val="20"/>
          <w:lang w:val="en-US"/>
        </w:rPr>
        <w:t>the</w:t>
      </w:r>
      <w:r w:rsidR="00275EDE" w:rsidRPr="00D869E3">
        <w:rPr>
          <w:rFonts w:ascii="Verdana" w:hAnsi="Verdana"/>
          <w:sz w:val="20"/>
          <w:szCs w:val="20"/>
          <w:lang w:val="en-US"/>
        </w:rPr>
        <w:t xml:space="preserve"> </w:t>
      </w:r>
      <w:r w:rsidR="00EC2233" w:rsidRPr="00D869E3">
        <w:rPr>
          <w:rFonts w:ascii="Verdana" w:hAnsi="Verdana"/>
          <w:sz w:val="20"/>
          <w:szCs w:val="20"/>
          <w:lang w:val="en-US"/>
        </w:rPr>
        <w:t>Participation Directorate</w:t>
      </w:r>
      <w:r w:rsidR="00275EDE" w:rsidRPr="00D869E3">
        <w:rPr>
          <w:rFonts w:ascii="Verdana" w:hAnsi="Verdana"/>
          <w:sz w:val="20"/>
          <w:szCs w:val="20"/>
          <w:lang w:val="en-US"/>
        </w:rPr>
        <w:t xml:space="preserve"> </w:t>
      </w:r>
      <w:r w:rsidRPr="00D869E3">
        <w:rPr>
          <w:rFonts w:ascii="Verdana" w:hAnsi="Verdana"/>
          <w:sz w:val="20"/>
          <w:szCs w:val="20"/>
          <w:lang w:val="en-US"/>
        </w:rPr>
        <w:t>of the Ministry</w:t>
      </w:r>
      <w:r w:rsidR="00F43C5F" w:rsidRPr="00D869E3">
        <w:rPr>
          <w:rFonts w:ascii="Verdana" w:hAnsi="Verdana"/>
          <w:sz w:val="20"/>
          <w:szCs w:val="20"/>
          <w:lang w:val="en-US"/>
        </w:rPr>
        <w:t xml:space="preserve"> of Industry</w:t>
      </w:r>
      <w:r w:rsidRPr="00D869E3">
        <w:rPr>
          <w:rFonts w:ascii="Verdana" w:hAnsi="Verdana"/>
          <w:sz w:val="20"/>
          <w:szCs w:val="20"/>
          <w:lang w:val="en-US"/>
        </w:rPr>
        <w:t xml:space="preserve"> on April 28, 1989.</w:t>
      </w:r>
      <w:r w:rsidR="00E362E6" w:rsidRPr="00D869E3">
        <w:rPr>
          <w:rFonts w:ascii="Verdana" w:hAnsi="Verdana"/>
          <w:sz w:val="20"/>
          <w:szCs w:val="20"/>
          <w:vertAlign w:val="superscript"/>
          <w:lang w:val="en-US"/>
        </w:rPr>
        <w:footnoteReference w:id="56"/>
      </w:r>
      <w:r w:rsidR="00E02AC4" w:rsidRPr="00D869E3">
        <w:rPr>
          <w:rFonts w:ascii="Verdana" w:hAnsi="Verdana"/>
          <w:b/>
          <w:sz w:val="20"/>
          <w:lang w:val="en-US"/>
        </w:rPr>
        <w:t xml:space="preserve"> </w:t>
      </w:r>
      <w:r w:rsidR="00075E68" w:rsidRPr="00D869E3">
        <w:rPr>
          <w:rFonts w:ascii="Verdana" w:hAnsi="Verdana"/>
          <w:sz w:val="20"/>
          <w:szCs w:val="20"/>
          <w:lang w:val="en-US"/>
        </w:rPr>
        <w:t>In this regard</w:t>
      </w:r>
      <w:r w:rsidR="00787FF6" w:rsidRPr="00D869E3">
        <w:rPr>
          <w:rFonts w:ascii="Verdana" w:hAnsi="Verdana"/>
          <w:sz w:val="20"/>
          <w:szCs w:val="20"/>
          <w:lang w:val="en-US"/>
        </w:rPr>
        <w:t xml:space="preserve">, </w:t>
      </w:r>
      <w:r w:rsidRPr="00D869E3">
        <w:rPr>
          <w:rFonts w:ascii="Verdana" w:hAnsi="Verdana"/>
          <w:sz w:val="20"/>
          <w:szCs w:val="20"/>
          <w:lang w:val="en-US"/>
        </w:rPr>
        <w:t>on June 9,</w:t>
      </w:r>
      <w:r w:rsidR="00275EDE" w:rsidRPr="00D869E3">
        <w:rPr>
          <w:rFonts w:ascii="Verdana" w:hAnsi="Verdana"/>
          <w:sz w:val="20"/>
          <w:szCs w:val="20"/>
          <w:lang w:val="en-US"/>
        </w:rPr>
        <w:t xml:space="preserve"> 1989</w:t>
      </w:r>
      <w:r w:rsidRPr="00D869E3">
        <w:rPr>
          <w:rFonts w:ascii="Verdana" w:hAnsi="Verdana"/>
          <w:sz w:val="20"/>
          <w:szCs w:val="20"/>
          <w:lang w:val="en-US"/>
        </w:rPr>
        <w:t>, the</w:t>
      </w:r>
      <w:r w:rsidR="00275EDE" w:rsidRPr="00D869E3">
        <w:rPr>
          <w:rFonts w:ascii="Verdana" w:hAnsi="Verdana"/>
          <w:sz w:val="20"/>
          <w:szCs w:val="20"/>
          <w:lang w:val="en-US"/>
        </w:rPr>
        <w:t xml:space="preserve"> </w:t>
      </w:r>
      <w:r w:rsidR="00EC2233" w:rsidRPr="00D869E3">
        <w:rPr>
          <w:rFonts w:ascii="Verdana" w:hAnsi="Verdana"/>
          <w:sz w:val="20"/>
          <w:szCs w:val="20"/>
          <w:lang w:val="en-US"/>
        </w:rPr>
        <w:t>Participation Directorate</w:t>
      </w:r>
      <w:r w:rsidR="00275EDE" w:rsidRPr="00D869E3">
        <w:rPr>
          <w:rFonts w:ascii="Verdana" w:hAnsi="Verdana"/>
          <w:sz w:val="20"/>
          <w:szCs w:val="20"/>
          <w:lang w:val="en-US"/>
        </w:rPr>
        <w:t xml:space="preserve"> </w:t>
      </w:r>
      <w:r w:rsidRPr="00D869E3">
        <w:rPr>
          <w:rFonts w:ascii="Verdana" w:hAnsi="Verdana"/>
          <w:sz w:val="20"/>
          <w:szCs w:val="20"/>
          <w:lang w:val="en-US"/>
        </w:rPr>
        <w:t>of the Ministry</w:t>
      </w:r>
      <w:r w:rsidR="00F43C5F" w:rsidRPr="00D869E3">
        <w:rPr>
          <w:rFonts w:ascii="Verdana" w:hAnsi="Verdana"/>
          <w:sz w:val="20"/>
          <w:szCs w:val="20"/>
          <w:lang w:val="en-US"/>
        </w:rPr>
        <w:t xml:space="preserve"> of Industry</w:t>
      </w:r>
      <w:r w:rsidR="00275EDE" w:rsidRPr="00D869E3">
        <w:rPr>
          <w:rFonts w:ascii="Verdana" w:hAnsi="Verdana"/>
          <w:sz w:val="20"/>
          <w:szCs w:val="20"/>
          <w:lang w:val="en-US"/>
        </w:rPr>
        <w:t xml:space="preserve"> </w:t>
      </w:r>
      <w:r w:rsidRPr="00D869E3">
        <w:rPr>
          <w:rFonts w:ascii="Verdana" w:hAnsi="Verdana"/>
          <w:sz w:val="20"/>
          <w:szCs w:val="20"/>
          <w:lang w:val="en-US"/>
        </w:rPr>
        <w:t>verified that the number of votes was less than 75% of the members</w:t>
      </w:r>
      <w:r w:rsidR="00EA232B" w:rsidRPr="00D869E3">
        <w:rPr>
          <w:rFonts w:ascii="Verdana" w:hAnsi="Verdana"/>
          <w:sz w:val="20"/>
          <w:szCs w:val="20"/>
          <w:lang w:val="en-US"/>
        </w:rPr>
        <w:t xml:space="preserve"> of the Industrial Community</w:t>
      </w:r>
      <w:r w:rsidRPr="00D869E3">
        <w:rPr>
          <w:rFonts w:ascii="Verdana" w:hAnsi="Verdana"/>
          <w:sz w:val="20"/>
          <w:szCs w:val="20"/>
          <w:lang w:val="en-US"/>
        </w:rPr>
        <w:t>; it therefore declared that the appeal was admissible and issued a call for a new electoral process.</w:t>
      </w:r>
      <w:r w:rsidR="00275EDE" w:rsidRPr="00D869E3">
        <w:rPr>
          <w:rFonts w:ascii="Verdana" w:hAnsi="Verdana"/>
          <w:sz w:val="20"/>
          <w:szCs w:val="20"/>
          <w:vertAlign w:val="superscript"/>
          <w:lang w:val="en-US"/>
        </w:rPr>
        <w:footnoteReference w:id="57"/>
      </w:r>
      <w:r w:rsidR="00275EDE" w:rsidRPr="00D869E3">
        <w:rPr>
          <w:rFonts w:ascii="Verdana" w:hAnsi="Verdana" w:cs="Arial"/>
          <w:sz w:val="20"/>
          <w:szCs w:val="20"/>
          <w:lang w:val="en-US"/>
        </w:rPr>
        <w:t xml:space="preserve"> </w:t>
      </w:r>
      <w:r w:rsidRPr="00D869E3">
        <w:rPr>
          <w:rFonts w:ascii="Verdana" w:hAnsi="Verdana" w:cs="Arial"/>
          <w:sz w:val="20"/>
          <w:szCs w:val="20"/>
          <w:lang w:val="en-US"/>
        </w:rPr>
        <w:t>On June 22,</w:t>
      </w:r>
      <w:r w:rsidR="00275EDE" w:rsidRPr="00D869E3">
        <w:rPr>
          <w:rFonts w:ascii="Verdana" w:hAnsi="Verdana" w:cs="Arial"/>
          <w:sz w:val="20"/>
          <w:szCs w:val="20"/>
          <w:lang w:val="en-US"/>
        </w:rPr>
        <w:t xml:space="preserve"> 1989</w:t>
      </w:r>
      <w:r w:rsidRPr="00D869E3">
        <w:rPr>
          <w:rFonts w:ascii="Verdana" w:hAnsi="Verdana" w:cs="Arial"/>
          <w:sz w:val="20"/>
          <w:szCs w:val="20"/>
          <w:lang w:val="en-US"/>
        </w:rPr>
        <w:t>,</w:t>
      </w:r>
      <w:r w:rsidR="00275EDE" w:rsidRPr="00D869E3">
        <w:rPr>
          <w:rFonts w:ascii="Verdana" w:hAnsi="Verdana" w:cs="Arial"/>
          <w:sz w:val="20"/>
          <w:szCs w:val="20"/>
          <w:lang w:val="en-US"/>
        </w:rPr>
        <w:t xml:space="preserve"> </w:t>
      </w:r>
      <w:r w:rsidR="00EA232B" w:rsidRPr="00D869E3">
        <w:rPr>
          <w:rFonts w:ascii="Verdana" w:hAnsi="Verdana" w:cs="Arial"/>
          <w:sz w:val="20"/>
          <w:szCs w:val="20"/>
          <w:lang w:val="en-US"/>
        </w:rPr>
        <w:t>the Electoral Committee</w:t>
      </w:r>
      <w:r w:rsidR="000D6F59" w:rsidRPr="00D869E3">
        <w:rPr>
          <w:rFonts w:ascii="Verdana" w:hAnsi="Verdana" w:cs="Arial"/>
          <w:sz w:val="20"/>
          <w:szCs w:val="20"/>
          <w:lang w:val="en-US"/>
        </w:rPr>
        <w:t>,</w:t>
      </w:r>
      <w:r w:rsidR="00275EDE" w:rsidRPr="00D869E3">
        <w:rPr>
          <w:rFonts w:ascii="Verdana" w:hAnsi="Verdana" w:cs="Arial"/>
          <w:sz w:val="20"/>
          <w:szCs w:val="20"/>
          <w:lang w:val="en-US"/>
        </w:rPr>
        <w:t xml:space="preserve"> </w:t>
      </w:r>
      <w:r w:rsidRPr="00D869E3">
        <w:rPr>
          <w:rFonts w:ascii="Verdana" w:hAnsi="Verdana" w:cs="Arial"/>
          <w:sz w:val="20"/>
          <w:szCs w:val="20"/>
          <w:lang w:val="en-US"/>
        </w:rPr>
        <w:t>presided by</w:t>
      </w:r>
      <w:r w:rsidR="00275EDE" w:rsidRPr="00D869E3">
        <w:rPr>
          <w:rFonts w:ascii="Verdana" w:hAnsi="Verdana" w:cs="Arial"/>
          <w:sz w:val="20"/>
          <w:szCs w:val="20"/>
          <w:lang w:val="en-US"/>
        </w:rPr>
        <w:t xml:space="preserve"> </w:t>
      </w:r>
      <w:r w:rsidR="001E44D3" w:rsidRPr="00D869E3">
        <w:rPr>
          <w:rFonts w:ascii="Verdana" w:hAnsi="Verdana" w:cs="Arial"/>
          <w:sz w:val="20"/>
          <w:szCs w:val="20"/>
          <w:lang w:val="en-US"/>
        </w:rPr>
        <w:t>Mr. Lagos del Campo</w:t>
      </w:r>
      <w:r w:rsidR="000D6F59" w:rsidRPr="00D869E3">
        <w:rPr>
          <w:rFonts w:ascii="Verdana" w:hAnsi="Verdana" w:cs="Arial"/>
          <w:sz w:val="20"/>
          <w:szCs w:val="20"/>
          <w:lang w:val="en-US"/>
        </w:rPr>
        <w:t>,</w:t>
      </w:r>
      <w:r w:rsidR="00275EDE" w:rsidRPr="00D869E3">
        <w:rPr>
          <w:rFonts w:ascii="Verdana" w:hAnsi="Verdana" w:cs="Arial"/>
          <w:sz w:val="20"/>
          <w:szCs w:val="20"/>
          <w:lang w:val="en-US"/>
        </w:rPr>
        <w:t xml:space="preserve"> </w:t>
      </w:r>
      <w:r w:rsidRPr="00D869E3">
        <w:rPr>
          <w:rFonts w:ascii="Verdana" w:hAnsi="Verdana" w:cs="Arial"/>
          <w:sz w:val="20"/>
          <w:szCs w:val="20"/>
          <w:lang w:val="en-US"/>
        </w:rPr>
        <w:t>scheduled a meetin</w:t>
      </w:r>
      <w:r w:rsidR="00601138" w:rsidRPr="00D869E3">
        <w:rPr>
          <w:rFonts w:ascii="Verdana" w:hAnsi="Verdana" w:cs="Arial"/>
          <w:sz w:val="20"/>
          <w:szCs w:val="20"/>
          <w:lang w:val="en-US"/>
        </w:rPr>
        <w:t>g</w:t>
      </w:r>
      <w:r w:rsidRPr="00D869E3">
        <w:rPr>
          <w:rFonts w:ascii="Verdana" w:hAnsi="Verdana" w:cs="Arial"/>
          <w:sz w:val="20"/>
          <w:szCs w:val="20"/>
          <w:lang w:val="en-US"/>
        </w:rPr>
        <w:t xml:space="preserve"> for June 27,</w:t>
      </w:r>
      <w:r w:rsidR="00275EDE" w:rsidRPr="00D869E3">
        <w:rPr>
          <w:rFonts w:ascii="Verdana" w:hAnsi="Verdana" w:cs="Arial"/>
          <w:sz w:val="20"/>
          <w:szCs w:val="20"/>
          <w:lang w:val="en-US"/>
        </w:rPr>
        <w:t xml:space="preserve"> 1989,</w:t>
      </w:r>
      <w:r w:rsidRPr="00D869E3">
        <w:rPr>
          <w:rFonts w:ascii="Verdana" w:hAnsi="Verdana" w:cs="Arial"/>
          <w:sz w:val="20"/>
          <w:szCs w:val="20"/>
          <w:lang w:val="en-US"/>
        </w:rPr>
        <w:t xml:space="preserve"> to coordinate the new election, as ordered by the</w:t>
      </w:r>
      <w:r w:rsidR="00275EDE" w:rsidRPr="00D869E3">
        <w:rPr>
          <w:rFonts w:ascii="Verdana" w:hAnsi="Verdana" w:cs="Arial"/>
          <w:sz w:val="20"/>
          <w:szCs w:val="20"/>
          <w:lang w:val="en-US"/>
        </w:rPr>
        <w:t xml:space="preserve"> </w:t>
      </w:r>
      <w:r w:rsidR="00EC2233" w:rsidRPr="00D869E3">
        <w:rPr>
          <w:rFonts w:ascii="Verdana" w:hAnsi="Verdana" w:cs="Arial"/>
          <w:sz w:val="20"/>
          <w:szCs w:val="20"/>
          <w:lang w:val="en-US"/>
        </w:rPr>
        <w:t>Participation Directorate</w:t>
      </w:r>
      <w:r w:rsidR="00275EDE" w:rsidRPr="00D869E3">
        <w:rPr>
          <w:rFonts w:ascii="Verdana" w:hAnsi="Verdana"/>
          <w:sz w:val="20"/>
          <w:szCs w:val="20"/>
          <w:lang w:val="en-US"/>
        </w:rPr>
        <w:t xml:space="preserve"> </w:t>
      </w:r>
      <w:r w:rsidRPr="00D869E3">
        <w:rPr>
          <w:rFonts w:ascii="Verdana" w:hAnsi="Verdana"/>
          <w:sz w:val="20"/>
          <w:szCs w:val="20"/>
          <w:lang w:val="en-US"/>
        </w:rPr>
        <w:t>of the Ministry</w:t>
      </w:r>
      <w:r w:rsidR="00F43C5F" w:rsidRPr="00D869E3">
        <w:rPr>
          <w:rFonts w:ascii="Verdana" w:hAnsi="Verdana"/>
          <w:sz w:val="20"/>
          <w:szCs w:val="20"/>
          <w:lang w:val="en-US"/>
        </w:rPr>
        <w:t xml:space="preserve"> of Industry</w:t>
      </w:r>
      <w:r w:rsidRPr="00D869E3">
        <w:rPr>
          <w:rFonts w:ascii="Verdana" w:hAnsi="Verdana"/>
          <w:sz w:val="20"/>
          <w:szCs w:val="20"/>
          <w:lang w:val="en-US"/>
        </w:rPr>
        <w:t>.</w:t>
      </w:r>
      <w:r w:rsidR="00275EDE" w:rsidRPr="00D869E3">
        <w:rPr>
          <w:rFonts w:ascii="Verdana" w:hAnsi="Verdana"/>
          <w:sz w:val="20"/>
          <w:szCs w:val="20"/>
          <w:vertAlign w:val="superscript"/>
          <w:lang w:val="en-US"/>
        </w:rPr>
        <w:footnoteReference w:id="58"/>
      </w:r>
    </w:p>
    <w:p w14:paraId="7A281BC6" w14:textId="0C0A6434" w:rsidR="00275EDE" w:rsidRPr="00D869E3" w:rsidRDefault="00275EDE" w:rsidP="005D0ACD">
      <w:pPr>
        <w:jc w:val="both"/>
        <w:rPr>
          <w:rFonts w:ascii="Verdana" w:hAnsi="Verdana"/>
          <w:b/>
          <w:sz w:val="20"/>
          <w:szCs w:val="20"/>
          <w:lang w:val="en-US"/>
        </w:rPr>
      </w:pPr>
    </w:p>
    <w:p w14:paraId="6FBE64F3" w14:textId="3AE587E3" w:rsidR="00275EDE" w:rsidRPr="00D869E3" w:rsidRDefault="00601138" w:rsidP="00E66DD7">
      <w:pPr>
        <w:pStyle w:val="Ttulo2"/>
        <w:numPr>
          <w:ilvl w:val="0"/>
          <w:numId w:val="12"/>
        </w:numPr>
        <w:rPr>
          <w:rFonts w:eastAsia="MS Gothic"/>
          <w:i/>
          <w:iCs/>
          <w:szCs w:val="20"/>
          <w:lang w:val="en-US"/>
        </w:rPr>
      </w:pPr>
      <w:bookmarkStart w:id="22" w:name="_Toc29114116"/>
      <w:r w:rsidRPr="00D869E3">
        <w:rPr>
          <w:rFonts w:eastAsia="MS Gothic"/>
          <w:i/>
          <w:iCs/>
          <w:szCs w:val="20"/>
          <w:lang w:val="en-US"/>
        </w:rPr>
        <w:t>The dismissal of Mr. Lagos del Campo and the applicable legal framework</w:t>
      </w:r>
      <w:bookmarkEnd w:id="22"/>
    </w:p>
    <w:p w14:paraId="7633BF60" w14:textId="77777777" w:rsidR="00275EDE" w:rsidRPr="00D869E3" w:rsidRDefault="00275EDE" w:rsidP="00275EDE">
      <w:pPr>
        <w:autoSpaceDE w:val="0"/>
        <w:autoSpaceDN w:val="0"/>
        <w:adjustRightInd w:val="0"/>
        <w:ind w:left="720"/>
        <w:jc w:val="both"/>
        <w:rPr>
          <w:rFonts w:ascii="Verdana" w:hAnsi="Verdana"/>
          <w:b/>
          <w:sz w:val="20"/>
          <w:szCs w:val="20"/>
          <w:lang w:val="en-US"/>
        </w:rPr>
      </w:pPr>
      <w:r w:rsidRPr="00D869E3">
        <w:rPr>
          <w:rFonts w:ascii="Verdana" w:hAnsi="Verdana"/>
          <w:b/>
          <w:sz w:val="20"/>
          <w:szCs w:val="20"/>
          <w:lang w:val="en-US"/>
        </w:rPr>
        <w:t xml:space="preserve"> </w:t>
      </w:r>
    </w:p>
    <w:p w14:paraId="3A41C4E1" w14:textId="3059DDF8" w:rsidR="00275EDE" w:rsidRPr="00D869E3" w:rsidRDefault="00601138" w:rsidP="006436CA">
      <w:pPr>
        <w:pStyle w:val="Prrafodelista"/>
        <w:numPr>
          <w:ilvl w:val="0"/>
          <w:numId w:val="1"/>
        </w:numPr>
        <w:ind w:left="0" w:hanging="11"/>
        <w:jc w:val="both"/>
        <w:rPr>
          <w:rFonts w:ascii="Verdana" w:hAnsi="Verdana"/>
          <w:b/>
          <w:sz w:val="20"/>
          <w:szCs w:val="20"/>
          <w:lang w:val="en-US"/>
        </w:rPr>
      </w:pPr>
      <w:r w:rsidRPr="00D869E3">
        <w:rPr>
          <w:rFonts w:ascii="Verdana" w:hAnsi="Verdana"/>
          <w:sz w:val="20"/>
          <w:szCs w:val="20"/>
          <w:lang w:val="en-US"/>
        </w:rPr>
        <w:t>In this context</w:t>
      </w:r>
      <w:r w:rsidR="00275EDE" w:rsidRPr="00D869E3">
        <w:rPr>
          <w:rFonts w:ascii="Verdana" w:hAnsi="Verdana"/>
          <w:sz w:val="20"/>
          <w:szCs w:val="20"/>
          <w:lang w:val="en-US"/>
        </w:rPr>
        <w:t xml:space="preserve">, </w:t>
      </w:r>
      <w:r w:rsidR="006436CA" w:rsidRPr="00D869E3">
        <w:rPr>
          <w:rFonts w:ascii="Verdana" w:hAnsi="Verdana"/>
          <w:sz w:val="20"/>
          <w:szCs w:val="20"/>
          <w:lang w:val="en-US"/>
        </w:rPr>
        <w:t>during his term as</w:t>
      </w:r>
      <w:r w:rsidR="00C66688" w:rsidRPr="00D869E3">
        <w:rPr>
          <w:rFonts w:ascii="Verdana" w:hAnsi="Verdana"/>
          <w:sz w:val="20"/>
          <w:szCs w:val="20"/>
          <w:lang w:val="en-US"/>
        </w:rPr>
        <w:t xml:space="preserve"> </w:t>
      </w:r>
      <w:r w:rsidR="001B0492" w:rsidRPr="00D869E3">
        <w:rPr>
          <w:rFonts w:ascii="Verdana" w:hAnsi="Verdana"/>
          <w:sz w:val="20"/>
          <w:szCs w:val="20"/>
          <w:lang w:val="en-US"/>
        </w:rPr>
        <w:t>president of the Electoral</w:t>
      </w:r>
      <w:r w:rsidR="00EA232B" w:rsidRPr="00D869E3">
        <w:rPr>
          <w:rFonts w:ascii="Verdana" w:hAnsi="Verdana"/>
          <w:sz w:val="20"/>
          <w:szCs w:val="20"/>
          <w:lang w:val="en-US"/>
        </w:rPr>
        <w:t xml:space="preserve"> Committee</w:t>
      </w:r>
      <w:r w:rsidR="00275EDE" w:rsidRPr="00D869E3">
        <w:rPr>
          <w:rFonts w:ascii="Verdana" w:hAnsi="Verdana"/>
          <w:sz w:val="20"/>
          <w:szCs w:val="20"/>
          <w:lang w:val="en-US"/>
        </w:rPr>
        <w:t xml:space="preserve">, </w:t>
      </w:r>
      <w:r w:rsidR="001E44D3" w:rsidRPr="00D869E3">
        <w:rPr>
          <w:rFonts w:ascii="Verdana" w:hAnsi="Verdana"/>
          <w:sz w:val="20"/>
          <w:szCs w:val="20"/>
          <w:lang w:val="en-US"/>
        </w:rPr>
        <w:t>Mr. Lagos del Campo</w:t>
      </w:r>
      <w:r w:rsidR="00275EDE" w:rsidRPr="00D869E3">
        <w:rPr>
          <w:rFonts w:ascii="Verdana" w:hAnsi="Verdana"/>
          <w:sz w:val="20"/>
          <w:szCs w:val="20"/>
          <w:lang w:val="en-US"/>
        </w:rPr>
        <w:t xml:space="preserve"> </w:t>
      </w:r>
      <w:r w:rsidR="006436CA" w:rsidRPr="00D869E3">
        <w:rPr>
          <w:rFonts w:ascii="Verdana" w:hAnsi="Verdana"/>
          <w:sz w:val="20"/>
          <w:szCs w:val="20"/>
          <w:lang w:val="en-US"/>
        </w:rPr>
        <w:t>gave an interview to a journalist of “</w:t>
      </w:r>
      <w:r w:rsidR="00275EDE" w:rsidRPr="00D869E3">
        <w:rPr>
          <w:rFonts w:ascii="Verdana" w:hAnsi="Verdana"/>
          <w:i/>
          <w:iCs/>
          <w:sz w:val="20"/>
          <w:szCs w:val="20"/>
          <w:lang w:val="en-US"/>
        </w:rPr>
        <w:t>La Razón</w:t>
      </w:r>
      <w:r w:rsidR="006436CA" w:rsidRPr="00D869E3">
        <w:rPr>
          <w:rFonts w:ascii="Verdana" w:hAnsi="Verdana"/>
          <w:sz w:val="20"/>
          <w:szCs w:val="20"/>
          <w:lang w:val="en-US"/>
        </w:rPr>
        <w:t>”</w:t>
      </w:r>
      <w:r w:rsidR="00275EDE" w:rsidRPr="00D869E3">
        <w:rPr>
          <w:rFonts w:ascii="Verdana" w:hAnsi="Verdana"/>
          <w:sz w:val="20"/>
          <w:szCs w:val="20"/>
          <w:vertAlign w:val="superscript"/>
          <w:lang w:val="en-US"/>
        </w:rPr>
        <w:footnoteReference w:id="59"/>
      </w:r>
      <w:r w:rsidR="00275EDE" w:rsidRPr="00D869E3">
        <w:rPr>
          <w:rFonts w:ascii="Verdana" w:hAnsi="Verdana"/>
          <w:sz w:val="20"/>
          <w:szCs w:val="20"/>
          <w:lang w:val="en-US"/>
        </w:rPr>
        <w:t xml:space="preserve"> </w:t>
      </w:r>
      <w:r w:rsidR="006436CA" w:rsidRPr="00D869E3">
        <w:rPr>
          <w:rFonts w:ascii="Verdana" w:hAnsi="Verdana"/>
          <w:sz w:val="20"/>
          <w:szCs w:val="20"/>
          <w:lang w:val="en-US"/>
        </w:rPr>
        <w:t>in June</w:t>
      </w:r>
      <w:r w:rsidR="00275EDE" w:rsidRPr="00D869E3">
        <w:rPr>
          <w:rFonts w:ascii="Verdana" w:hAnsi="Verdana"/>
          <w:sz w:val="20"/>
          <w:szCs w:val="20"/>
          <w:lang w:val="en-US"/>
        </w:rPr>
        <w:t xml:space="preserve"> 1989. </w:t>
      </w:r>
      <w:r w:rsidR="006436CA" w:rsidRPr="00D869E3">
        <w:rPr>
          <w:rFonts w:ascii="Verdana" w:hAnsi="Verdana"/>
          <w:sz w:val="20"/>
          <w:szCs w:val="20"/>
          <w:lang w:val="en-US"/>
        </w:rPr>
        <w:t>The a</w:t>
      </w:r>
      <w:r w:rsidR="00447C65" w:rsidRPr="00D869E3">
        <w:rPr>
          <w:rFonts w:ascii="Verdana" w:hAnsi="Verdana"/>
          <w:sz w:val="20"/>
          <w:szCs w:val="20"/>
          <w:lang w:val="en-US"/>
        </w:rPr>
        <w:t>rticle</w:t>
      </w:r>
      <w:r w:rsidR="00275EDE" w:rsidRPr="00D869E3">
        <w:rPr>
          <w:rFonts w:ascii="Verdana" w:hAnsi="Verdana"/>
          <w:sz w:val="20"/>
          <w:szCs w:val="20"/>
          <w:lang w:val="en-US"/>
        </w:rPr>
        <w:t xml:space="preserve"> publi</w:t>
      </w:r>
      <w:r w:rsidR="006436CA" w:rsidRPr="00D869E3">
        <w:rPr>
          <w:rFonts w:ascii="Verdana" w:hAnsi="Verdana"/>
          <w:sz w:val="20"/>
          <w:szCs w:val="20"/>
          <w:lang w:val="en-US"/>
        </w:rPr>
        <w:t>shed two weeks later indicated that “</w:t>
      </w:r>
      <w:r w:rsidR="00447C65" w:rsidRPr="00D869E3">
        <w:rPr>
          <w:rFonts w:ascii="Verdana" w:hAnsi="Verdana"/>
          <w:sz w:val="20"/>
          <w:szCs w:val="20"/>
          <w:lang w:val="en-US"/>
        </w:rPr>
        <w:t xml:space="preserve">the </w:t>
      </w:r>
      <w:r w:rsidR="001B0492" w:rsidRPr="00D869E3">
        <w:rPr>
          <w:rFonts w:ascii="Verdana" w:hAnsi="Verdana"/>
          <w:sz w:val="20"/>
          <w:szCs w:val="20"/>
          <w:lang w:val="en-US"/>
        </w:rPr>
        <w:t>president of the Electoral</w:t>
      </w:r>
      <w:r w:rsidR="00EA232B" w:rsidRPr="00D869E3">
        <w:rPr>
          <w:rFonts w:ascii="Verdana" w:hAnsi="Verdana"/>
          <w:sz w:val="20"/>
          <w:szCs w:val="20"/>
          <w:lang w:val="en-US"/>
        </w:rPr>
        <w:t xml:space="preserve"> Committee of the </w:t>
      </w:r>
      <w:r w:rsidR="006436CA" w:rsidRPr="00D869E3">
        <w:rPr>
          <w:rFonts w:ascii="Verdana" w:hAnsi="Verdana"/>
          <w:sz w:val="20"/>
          <w:szCs w:val="20"/>
          <w:lang w:val="en-US"/>
        </w:rPr>
        <w:t xml:space="preserve">company’s </w:t>
      </w:r>
      <w:r w:rsidR="00EA232B" w:rsidRPr="00D869E3">
        <w:rPr>
          <w:rFonts w:ascii="Verdana" w:hAnsi="Verdana"/>
          <w:sz w:val="20"/>
          <w:szCs w:val="20"/>
          <w:lang w:val="en-US"/>
        </w:rPr>
        <w:t>Industrial Community</w:t>
      </w:r>
      <w:r w:rsidR="00275EDE" w:rsidRPr="00D869E3">
        <w:rPr>
          <w:rFonts w:ascii="Verdana" w:hAnsi="Verdana"/>
          <w:sz w:val="20"/>
          <w:szCs w:val="20"/>
          <w:lang w:val="en-US"/>
        </w:rPr>
        <w:t xml:space="preserve">, </w:t>
      </w:r>
      <w:r w:rsidR="006436CA" w:rsidRPr="00D869E3">
        <w:rPr>
          <w:rFonts w:ascii="Verdana" w:hAnsi="Verdana"/>
          <w:sz w:val="20"/>
          <w:szCs w:val="20"/>
          <w:lang w:val="en-US"/>
        </w:rPr>
        <w:t xml:space="preserve">Mr. </w:t>
      </w:r>
      <w:r w:rsidR="00275EDE" w:rsidRPr="00D869E3">
        <w:rPr>
          <w:rFonts w:ascii="Verdana" w:hAnsi="Verdana"/>
          <w:sz w:val="20"/>
          <w:szCs w:val="20"/>
          <w:lang w:val="en-US"/>
        </w:rPr>
        <w:t xml:space="preserve">Lagos del Campo, </w:t>
      </w:r>
      <w:r w:rsidR="006436CA" w:rsidRPr="00D869E3">
        <w:rPr>
          <w:rFonts w:ascii="Verdana" w:hAnsi="Verdana"/>
          <w:sz w:val="20"/>
          <w:szCs w:val="20"/>
          <w:lang w:val="en-US"/>
        </w:rPr>
        <w:t>a delegate to the</w:t>
      </w:r>
      <w:r w:rsidR="00275EDE" w:rsidRPr="00D869E3">
        <w:rPr>
          <w:rFonts w:ascii="Verdana" w:hAnsi="Verdana"/>
          <w:sz w:val="20"/>
          <w:szCs w:val="20"/>
          <w:lang w:val="en-US"/>
        </w:rPr>
        <w:t xml:space="preserve"> CONACI</w:t>
      </w:r>
      <w:r w:rsidR="00E72D85" w:rsidRPr="00D869E3">
        <w:rPr>
          <w:rFonts w:ascii="Verdana" w:hAnsi="Verdana"/>
          <w:sz w:val="20"/>
          <w:szCs w:val="20"/>
          <w:lang w:val="en-US"/>
        </w:rPr>
        <w:t>,</w:t>
      </w:r>
      <w:r w:rsidR="00275EDE" w:rsidRPr="00D869E3">
        <w:rPr>
          <w:rFonts w:ascii="Verdana" w:hAnsi="Verdana"/>
          <w:sz w:val="20"/>
          <w:szCs w:val="20"/>
          <w:lang w:val="en-US"/>
        </w:rPr>
        <w:t xml:space="preserve"> den</w:t>
      </w:r>
      <w:r w:rsidR="006436CA" w:rsidRPr="00D869E3">
        <w:rPr>
          <w:rFonts w:ascii="Verdana" w:hAnsi="Verdana"/>
          <w:sz w:val="20"/>
          <w:szCs w:val="20"/>
          <w:lang w:val="en-US"/>
        </w:rPr>
        <w:t>ounced before public opinion and the competent authorities the destructive maneuvers of the employer who</w:t>
      </w:r>
      <w:r w:rsidR="00CC4B3E" w:rsidRPr="00D869E3">
        <w:rPr>
          <w:rFonts w:ascii="Verdana" w:hAnsi="Verdana"/>
          <w:sz w:val="20"/>
          <w:szCs w:val="20"/>
          <w:lang w:val="en-US"/>
        </w:rPr>
        <w:t xml:space="preserve">, taking advantage of </w:t>
      </w:r>
      <w:r w:rsidR="006436CA" w:rsidRPr="00D869E3">
        <w:rPr>
          <w:rFonts w:ascii="Verdana" w:hAnsi="Verdana"/>
          <w:sz w:val="20"/>
          <w:szCs w:val="20"/>
          <w:lang w:val="en-US"/>
        </w:rPr>
        <w:t>the hesitation of some workers</w:t>
      </w:r>
      <w:r w:rsidR="00CC4B3E" w:rsidRPr="00D869E3">
        <w:rPr>
          <w:rFonts w:ascii="Verdana" w:hAnsi="Verdana"/>
          <w:sz w:val="20"/>
          <w:szCs w:val="20"/>
          <w:lang w:val="en-US"/>
        </w:rPr>
        <w:t>,</w:t>
      </w:r>
      <w:r w:rsidR="006436CA" w:rsidRPr="00D869E3">
        <w:rPr>
          <w:rFonts w:ascii="Verdana" w:hAnsi="Verdana"/>
          <w:sz w:val="20"/>
          <w:szCs w:val="20"/>
          <w:lang w:val="en-US"/>
        </w:rPr>
        <w:t xml:space="preserve"> </w:t>
      </w:r>
      <w:r w:rsidR="00CC4B3E" w:rsidRPr="00D869E3">
        <w:rPr>
          <w:rFonts w:ascii="Verdana" w:hAnsi="Verdana"/>
          <w:sz w:val="20"/>
          <w:szCs w:val="20"/>
          <w:lang w:val="en-US"/>
        </w:rPr>
        <w:t>organized</w:t>
      </w:r>
      <w:r w:rsidR="006436CA" w:rsidRPr="00D869E3">
        <w:rPr>
          <w:rFonts w:ascii="Verdana" w:hAnsi="Verdana"/>
          <w:sz w:val="20"/>
          <w:szCs w:val="20"/>
          <w:lang w:val="en-US"/>
        </w:rPr>
        <w:t xml:space="preserve"> fraudulent elections that were held </w:t>
      </w:r>
      <w:r w:rsidR="006436CA" w:rsidRPr="00D869E3">
        <w:rPr>
          <w:rFonts w:ascii="Verdana" w:hAnsi="Verdana"/>
          <w:sz w:val="20"/>
          <w:szCs w:val="20"/>
          <w:lang w:val="en-US"/>
        </w:rPr>
        <w:lastRenderedPageBreak/>
        <w:t>without the participation of the Electoral Committee and the majority participation of the members of the Community.”</w:t>
      </w:r>
      <w:r w:rsidR="00275EDE" w:rsidRPr="00D869E3">
        <w:rPr>
          <w:rFonts w:ascii="Verdana" w:hAnsi="Verdana"/>
          <w:sz w:val="20"/>
          <w:szCs w:val="20"/>
          <w:vertAlign w:val="superscript"/>
          <w:lang w:val="en-US"/>
        </w:rPr>
        <w:footnoteReference w:id="60"/>
      </w:r>
      <w:r w:rsidR="006436CA" w:rsidRPr="00D869E3">
        <w:rPr>
          <w:rFonts w:ascii="Verdana" w:hAnsi="Verdana" w:cs="Arial"/>
          <w:sz w:val="20"/>
          <w:szCs w:val="20"/>
          <w:lang w:val="en-US"/>
        </w:rPr>
        <w:t xml:space="preserve">  </w:t>
      </w:r>
    </w:p>
    <w:p w14:paraId="082AC116" w14:textId="77777777" w:rsidR="00275EDE" w:rsidRPr="00D869E3" w:rsidRDefault="00275EDE" w:rsidP="00275EDE">
      <w:pPr>
        <w:jc w:val="both"/>
        <w:rPr>
          <w:rFonts w:ascii="Verdana" w:hAnsi="Verdana"/>
          <w:b/>
          <w:sz w:val="20"/>
          <w:szCs w:val="20"/>
          <w:lang w:val="en-US"/>
        </w:rPr>
      </w:pPr>
    </w:p>
    <w:p w14:paraId="6B3E1832" w14:textId="7AED7982" w:rsidR="00275EDE" w:rsidRPr="00D869E3" w:rsidRDefault="006436CA" w:rsidP="00E66DD7">
      <w:pPr>
        <w:pStyle w:val="Prrafodelista"/>
        <w:numPr>
          <w:ilvl w:val="0"/>
          <w:numId w:val="1"/>
        </w:numPr>
        <w:ind w:left="0" w:hanging="11"/>
        <w:jc w:val="both"/>
        <w:rPr>
          <w:rFonts w:ascii="Verdana" w:hAnsi="Verdana"/>
          <w:b/>
          <w:sz w:val="20"/>
          <w:szCs w:val="20"/>
          <w:lang w:val="en-US"/>
        </w:rPr>
      </w:pPr>
      <w:r w:rsidRPr="00D869E3">
        <w:rPr>
          <w:rFonts w:ascii="Verdana" w:hAnsi="Verdana" w:cs="Arial"/>
          <w:sz w:val="20"/>
          <w:szCs w:val="20"/>
          <w:lang w:val="en-US"/>
        </w:rPr>
        <w:t>I</w:t>
      </w:r>
      <w:r w:rsidR="00275EDE" w:rsidRPr="00D869E3">
        <w:rPr>
          <w:rFonts w:ascii="Verdana" w:hAnsi="Verdana" w:cs="Arial"/>
          <w:sz w:val="20"/>
          <w:szCs w:val="20"/>
          <w:lang w:val="en-US"/>
        </w:rPr>
        <w:t xml:space="preserve">n particular, </w:t>
      </w:r>
      <w:r w:rsidRPr="00D869E3">
        <w:rPr>
          <w:rFonts w:ascii="Verdana" w:hAnsi="Verdana" w:cs="Arial"/>
          <w:sz w:val="20"/>
          <w:szCs w:val="20"/>
          <w:lang w:val="en-US"/>
        </w:rPr>
        <w:t>the interview indicated the following:</w:t>
      </w:r>
      <w:r w:rsidR="00275EDE" w:rsidRPr="00D869E3">
        <w:rPr>
          <w:rFonts w:ascii="Verdana" w:hAnsi="Verdana"/>
          <w:sz w:val="20"/>
          <w:szCs w:val="20"/>
          <w:vertAlign w:val="superscript"/>
          <w:lang w:val="en-US"/>
        </w:rPr>
        <w:footnoteReference w:id="61"/>
      </w:r>
      <w:r w:rsidR="00275EDE" w:rsidRPr="00D869E3">
        <w:rPr>
          <w:rFonts w:ascii="Verdana" w:hAnsi="Verdana" w:cs="Arial"/>
          <w:sz w:val="20"/>
          <w:szCs w:val="20"/>
          <w:lang w:val="en-US"/>
        </w:rPr>
        <w:t xml:space="preserve"> </w:t>
      </w:r>
    </w:p>
    <w:p w14:paraId="483320A3" w14:textId="77777777" w:rsidR="00275EDE" w:rsidRPr="00D869E3" w:rsidRDefault="00275EDE" w:rsidP="009C6F8E">
      <w:pPr>
        <w:jc w:val="both"/>
        <w:rPr>
          <w:rFonts w:ascii="Verdana" w:hAnsi="Verdana" w:cs="Arial"/>
          <w:sz w:val="20"/>
          <w:szCs w:val="20"/>
          <w:lang w:val="en-US"/>
        </w:rPr>
      </w:pPr>
    </w:p>
    <w:p w14:paraId="6C77EB66" w14:textId="2941D70E" w:rsidR="00275EDE" w:rsidRPr="00D869E3" w:rsidRDefault="006436CA" w:rsidP="00D61BD2">
      <w:pPr>
        <w:ind w:right="713" w:firstLine="990"/>
        <w:contextualSpacing/>
        <w:jc w:val="both"/>
        <w:rPr>
          <w:rFonts w:ascii="Verdana" w:eastAsia="Times New Roman" w:hAnsi="Verdana"/>
          <w:bCs/>
          <w:i/>
          <w:iCs/>
          <w:sz w:val="18"/>
          <w:szCs w:val="18"/>
          <w:lang w:val="en-US"/>
        </w:rPr>
      </w:pPr>
      <w:r w:rsidRPr="00D869E3">
        <w:rPr>
          <w:rFonts w:ascii="Verdana" w:eastAsia="Times New Roman" w:hAnsi="Verdana"/>
          <w:sz w:val="18"/>
          <w:szCs w:val="18"/>
          <w:lang w:val="en-US"/>
        </w:rPr>
        <w:t>“</w:t>
      </w:r>
      <w:r w:rsidRPr="00D869E3">
        <w:rPr>
          <w:rFonts w:ascii="Verdana" w:eastAsia="Times New Roman" w:hAnsi="Verdana"/>
          <w:bCs/>
          <w:i/>
          <w:iCs/>
          <w:sz w:val="18"/>
          <w:szCs w:val="18"/>
          <w:lang w:val="en-US"/>
        </w:rPr>
        <w:t>Mr. Lagos, did you agree with the call for elections?</w:t>
      </w:r>
    </w:p>
    <w:p w14:paraId="6D09857B" w14:textId="51A2959D" w:rsidR="006436CA" w:rsidRPr="00D869E3" w:rsidRDefault="006436CA" w:rsidP="00D61BD2">
      <w:pPr>
        <w:ind w:left="990" w:right="713"/>
        <w:contextualSpacing/>
        <w:jc w:val="both"/>
        <w:rPr>
          <w:rFonts w:ascii="Verdana" w:eastAsia="Times New Roman" w:hAnsi="Verdana"/>
          <w:i/>
          <w:iCs/>
          <w:sz w:val="18"/>
          <w:szCs w:val="18"/>
          <w:lang w:val="en-US"/>
        </w:rPr>
      </w:pPr>
      <w:r w:rsidRPr="00D869E3">
        <w:rPr>
          <w:rFonts w:ascii="Verdana" w:eastAsia="Times New Roman" w:hAnsi="Verdana"/>
          <w:i/>
          <w:iCs/>
          <w:sz w:val="18"/>
          <w:szCs w:val="18"/>
          <w:lang w:val="en-US"/>
        </w:rPr>
        <w:t>I did not agree</w:t>
      </w:r>
      <w:r w:rsidR="007916DC" w:rsidRPr="00D869E3">
        <w:rPr>
          <w:rFonts w:ascii="Verdana" w:eastAsia="Times New Roman" w:hAnsi="Verdana"/>
          <w:i/>
          <w:iCs/>
          <w:sz w:val="18"/>
          <w:szCs w:val="18"/>
          <w:lang w:val="en-US"/>
        </w:rPr>
        <w:t>,</w:t>
      </w:r>
      <w:r w:rsidRPr="00D869E3">
        <w:rPr>
          <w:rFonts w:ascii="Verdana" w:eastAsia="Times New Roman" w:hAnsi="Verdana"/>
          <w:i/>
          <w:iCs/>
          <w:sz w:val="18"/>
          <w:szCs w:val="18"/>
          <w:lang w:val="en-US"/>
        </w:rPr>
        <w:t xml:space="preserve"> because the company</w:t>
      </w:r>
      <w:r w:rsidR="007916DC" w:rsidRPr="00D869E3">
        <w:rPr>
          <w:rFonts w:ascii="Verdana" w:eastAsia="Times New Roman" w:hAnsi="Verdana"/>
          <w:i/>
          <w:iCs/>
          <w:sz w:val="18"/>
          <w:szCs w:val="18"/>
          <w:lang w:val="en-US"/>
        </w:rPr>
        <w:t>’s</w:t>
      </w:r>
      <w:r w:rsidRPr="00D869E3">
        <w:rPr>
          <w:rFonts w:ascii="Verdana" w:eastAsia="Times New Roman" w:hAnsi="Verdana"/>
          <w:i/>
          <w:iCs/>
          <w:sz w:val="18"/>
          <w:szCs w:val="18"/>
          <w:lang w:val="en-US"/>
        </w:rPr>
        <w:t xml:space="preserve"> Board </w:t>
      </w:r>
      <w:r w:rsidR="007916DC" w:rsidRPr="00D869E3">
        <w:rPr>
          <w:rFonts w:ascii="Verdana" w:eastAsia="Times New Roman" w:hAnsi="Verdana"/>
          <w:i/>
          <w:iCs/>
          <w:sz w:val="18"/>
          <w:szCs w:val="18"/>
          <w:lang w:val="en-US"/>
        </w:rPr>
        <w:t xml:space="preserve">of Directors </w:t>
      </w:r>
      <w:r w:rsidRPr="00D869E3">
        <w:rPr>
          <w:rFonts w:ascii="Verdana" w:eastAsia="Times New Roman" w:hAnsi="Verdana"/>
          <w:i/>
          <w:iCs/>
          <w:sz w:val="18"/>
          <w:szCs w:val="18"/>
          <w:lang w:val="en-US"/>
        </w:rPr>
        <w:t xml:space="preserve">had used and </w:t>
      </w:r>
      <w:r w:rsidR="007916DC" w:rsidRPr="00D869E3">
        <w:rPr>
          <w:rFonts w:ascii="Verdana" w:eastAsia="Times New Roman" w:hAnsi="Verdana"/>
          <w:i/>
          <w:iCs/>
          <w:sz w:val="18"/>
          <w:szCs w:val="18"/>
          <w:lang w:val="en-US"/>
        </w:rPr>
        <w:t xml:space="preserve">continues to </w:t>
      </w:r>
      <w:r w:rsidRPr="00D869E3">
        <w:rPr>
          <w:rFonts w:ascii="Verdana" w:eastAsia="Times New Roman" w:hAnsi="Verdana"/>
          <w:i/>
          <w:iCs/>
          <w:sz w:val="18"/>
          <w:szCs w:val="18"/>
          <w:lang w:val="en-US"/>
        </w:rPr>
        <w:t xml:space="preserve">use </w:t>
      </w:r>
      <w:r w:rsidR="006543DC" w:rsidRPr="00D869E3">
        <w:rPr>
          <w:rFonts w:ascii="Verdana" w:eastAsia="Times New Roman" w:hAnsi="Verdana"/>
          <w:i/>
          <w:iCs/>
          <w:sz w:val="18"/>
          <w:szCs w:val="18"/>
          <w:lang w:val="en-US"/>
        </w:rPr>
        <w:t>blackmail</w:t>
      </w:r>
      <w:r w:rsidRPr="00D869E3">
        <w:rPr>
          <w:rFonts w:ascii="Verdana" w:eastAsia="Times New Roman" w:hAnsi="Verdana"/>
          <w:i/>
          <w:iCs/>
          <w:sz w:val="18"/>
          <w:szCs w:val="18"/>
          <w:lang w:val="en-US"/>
        </w:rPr>
        <w:t xml:space="preserve"> and coercion (sic) </w:t>
      </w:r>
      <w:r w:rsidR="007916DC" w:rsidRPr="00D869E3">
        <w:rPr>
          <w:rFonts w:ascii="Verdana" w:eastAsia="Times New Roman" w:hAnsi="Verdana"/>
          <w:i/>
          <w:iCs/>
          <w:sz w:val="18"/>
          <w:szCs w:val="18"/>
          <w:lang w:val="en-US"/>
        </w:rPr>
        <w:t>against</w:t>
      </w:r>
      <w:r w:rsidRPr="00D869E3">
        <w:rPr>
          <w:rFonts w:ascii="Verdana" w:eastAsia="Times New Roman" w:hAnsi="Verdana"/>
          <w:i/>
          <w:iCs/>
          <w:sz w:val="18"/>
          <w:szCs w:val="18"/>
          <w:lang w:val="en-US"/>
        </w:rPr>
        <w:t xml:space="preserve"> the members of the Community, </w:t>
      </w:r>
      <w:r w:rsidR="00AA0003" w:rsidRPr="00D869E3">
        <w:rPr>
          <w:rFonts w:ascii="Verdana" w:eastAsia="Times New Roman" w:hAnsi="Verdana"/>
          <w:i/>
          <w:iCs/>
          <w:sz w:val="18"/>
          <w:szCs w:val="18"/>
          <w:lang w:val="en-US"/>
        </w:rPr>
        <w:t xml:space="preserve">exerting pressure on a </w:t>
      </w:r>
      <w:r w:rsidR="007916DC" w:rsidRPr="00D869E3">
        <w:rPr>
          <w:rFonts w:ascii="Verdana" w:eastAsia="Times New Roman" w:hAnsi="Verdana"/>
          <w:i/>
          <w:iCs/>
          <w:sz w:val="18"/>
          <w:szCs w:val="18"/>
          <w:lang w:val="en-US"/>
        </w:rPr>
        <w:t>particular</w:t>
      </w:r>
      <w:r w:rsidR="00AA0003" w:rsidRPr="00D869E3">
        <w:rPr>
          <w:rFonts w:ascii="Verdana" w:eastAsia="Times New Roman" w:hAnsi="Verdana"/>
          <w:i/>
          <w:iCs/>
          <w:sz w:val="18"/>
          <w:szCs w:val="18"/>
          <w:lang w:val="en-US"/>
        </w:rPr>
        <w:t xml:space="preserve"> group of workers to make them take part in the elections under threat of dismissal.</w:t>
      </w:r>
    </w:p>
    <w:p w14:paraId="2AF44A87" w14:textId="77777777" w:rsidR="00275EDE" w:rsidRPr="00D869E3" w:rsidRDefault="00275EDE" w:rsidP="00AA0003">
      <w:pPr>
        <w:ind w:right="713"/>
        <w:contextualSpacing/>
        <w:jc w:val="both"/>
        <w:rPr>
          <w:rFonts w:ascii="Verdana" w:eastAsia="Times New Roman" w:hAnsi="Verdana"/>
          <w:bCs/>
          <w:i/>
          <w:iCs/>
          <w:sz w:val="18"/>
          <w:szCs w:val="18"/>
          <w:lang w:val="en-US"/>
        </w:rPr>
      </w:pPr>
    </w:p>
    <w:p w14:paraId="78DBDAA2" w14:textId="6978DF2A" w:rsidR="00275EDE" w:rsidRPr="00D869E3" w:rsidRDefault="00AA0003" w:rsidP="00D61BD2">
      <w:pPr>
        <w:ind w:left="862" w:right="713" w:firstLine="128"/>
        <w:contextualSpacing/>
        <w:jc w:val="both"/>
        <w:rPr>
          <w:rFonts w:ascii="Verdana" w:eastAsia="Times New Roman" w:hAnsi="Verdana"/>
          <w:bCs/>
          <w:i/>
          <w:iCs/>
          <w:sz w:val="18"/>
          <w:szCs w:val="18"/>
          <w:lang w:val="en-US"/>
        </w:rPr>
      </w:pPr>
      <w:r w:rsidRPr="00D869E3">
        <w:rPr>
          <w:rFonts w:ascii="Verdana" w:eastAsia="Times New Roman" w:hAnsi="Verdana"/>
          <w:bCs/>
          <w:i/>
          <w:iCs/>
          <w:sz w:val="18"/>
          <w:szCs w:val="18"/>
          <w:lang w:val="en-US"/>
        </w:rPr>
        <w:t xml:space="preserve">Do you consider the elections </w:t>
      </w:r>
      <w:r w:rsidR="007916DC" w:rsidRPr="00D869E3">
        <w:rPr>
          <w:rFonts w:ascii="Verdana" w:eastAsia="Times New Roman" w:hAnsi="Verdana"/>
          <w:bCs/>
          <w:i/>
          <w:iCs/>
          <w:sz w:val="18"/>
          <w:szCs w:val="18"/>
          <w:lang w:val="en-US"/>
        </w:rPr>
        <w:t>to be</w:t>
      </w:r>
      <w:r w:rsidRPr="00D869E3">
        <w:rPr>
          <w:rFonts w:ascii="Verdana" w:eastAsia="Times New Roman" w:hAnsi="Verdana"/>
          <w:bCs/>
          <w:i/>
          <w:iCs/>
          <w:sz w:val="18"/>
          <w:szCs w:val="18"/>
          <w:lang w:val="en-US"/>
        </w:rPr>
        <w:t xml:space="preserve"> legal?</w:t>
      </w:r>
      <w:r w:rsidR="00275EDE" w:rsidRPr="00D869E3">
        <w:rPr>
          <w:rFonts w:ascii="Verdana" w:eastAsia="Times New Roman" w:hAnsi="Verdana"/>
          <w:bCs/>
          <w:i/>
          <w:iCs/>
          <w:sz w:val="18"/>
          <w:szCs w:val="18"/>
          <w:lang w:val="en-US"/>
        </w:rPr>
        <w:t xml:space="preserve"> </w:t>
      </w:r>
    </w:p>
    <w:p w14:paraId="49A0E5FA" w14:textId="170186FA" w:rsidR="00AA0003" w:rsidRPr="00D869E3" w:rsidRDefault="00275EDE" w:rsidP="00D61BD2">
      <w:pPr>
        <w:ind w:left="990" w:right="713"/>
        <w:contextualSpacing/>
        <w:jc w:val="both"/>
        <w:rPr>
          <w:rFonts w:ascii="Verdana" w:eastAsia="Times New Roman" w:hAnsi="Verdana"/>
          <w:i/>
          <w:iCs/>
          <w:sz w:val="18"/>
          <w:szCs w:val="18"/>
          <w:lang w:val="en-US"/>
        </w:rPr>
      </w:pPr>
      <w:r w:rsidRPr="00D869E3">
        <w:rPr>
          <w:rFonts w:ascii="Verdana" w:eastAsia="Times New Roman" w:hAnsi="Verdana"/>
          <w:i/>
          <w:iCs/>
          <w:sz w:val="18"/>
          <w:szCs w:val="18"/>
          <w:lang w:val="en-US"/>
        </w:rPr>
        <w:t xml:space="preserve">No, </w:t>
      </w:r>
      <w:r w:rsidR="00AA0003" w:rsidRPr="00D869E3">
        <w:rPr>
          <w:rFonts w:ascii="Verdana" w:eastAsia="Times New Roman" w:hAnsi="Verdana"/>
          <w:i/>
          <w:iCs/>
          <w:sz w:val="18"/>
          <w:szCs w:val="18"/>
          <w:lang w:val="en-US"/>
        </w:rPr>
        <w:t>they are not legal. According to a</w:t>
      </w:r>
      <w:r w:rsidR="00447C65" w:rsidRPr="00D869E3">
        <w:rPr>
          <w:rFonts w:ascii="Verdana" w:eastAsia="Times New Roman" w:hAnsi="Verdana"/>
          <w:i/>
          <w:iCs/>
          <w:sz w:val="18"/>
          <w:szCs w:val="18"/>
          <w:lang w:val="en-US"/>
        </w:rPr>
        <w:t>rticle</w:t>
      </w:r>
      <w:r w:rsidRPr="00D869E3">
        <w:rPr>
          <w:rFonts w:ascii="Verdana" w:eastAsia="Times New Roman" w:hAnsi="Verdana"/>
          <w:i/>
          <w:iCs/>
          <w:sz w:val="18"/>
          <w:szCs w:val="18"/>
          <w:lang w:val="en-US"/>
        </w:rPr>
        <w:t xml:space="preserve"> 61 </w:t>
      </w:r>
      <w:r w:rsidR="00AA0003" w:rsidRPr="00D869E3">
        <w:rPr>
          <w:rFonts w:ascii="Verdana" w:eastAsia="Times New Roman" w:hAnsi="Verdana"/>
          <w:i/>
          <w:iCs/>
          <w:sz w:val="18"/>
          <w:szCs w:val="18"/>
          <w:lang w:val="en-US"/>
        </w:rPr>
        <w:t>(</w:t>
      </w:r>
      <w:r w:rsidRPr="00D869E3">
        <w:rPr>
          <w:rFonts w:ascii="Verdana" w:eastAsia="Times New Roman" w:hAnsi="Verdana"/>
          <w:i/>
          <w:iCs/>
          <w:sz w:val="18"/>
          <w:szCs w:val="18"/>
          <w:lang w:val="en-US"/>
        </w:rPr>
        <w:t>15</w:t>
      </w:r>
      <w:r w:rsidR="00AA0003" w:rsidRPr="00D869E3">
        <w:rPr>
          <w:rFonts w:ascii="Verdana" w:eastAsia="Times New Roman" w:hAnsi="Verdana"/>
          <w:i/>
          <w:iCs/>
          <w:sz w:val="18"/>
          <w:szCs w:val="18"/>
          <w:lang w:val="en-US"/>
        </w:rPr>
        <w:t>)</w:t>
      </w:r>
      <w:r w:rsidRPr="00D869E3">
        <w:rPr>
          <w:rFonts w:ascii="Verdana" w:eastAsia="Times New Roman" w:hAnsi="Verdana"/>
          <w:i/>
          <w:iCs/>
          <w:sz w:val="18"/>
          <w:szCs w:val="18"/>
          <w:lang w:val="en-US"/>
        </w:rPr>
        <w:t xml:space="preserve"> </w:t>
      </w:r>
      <w:r w:rsidR="00AA0003" w:rsidRPr="00D869E3">
        <w:rPr>
          <w:rFonts w:ascii="Verdana" w:eastAsia="Times New Roman" w:hAnsi="Verdana"/>
          <w:i/>
          <w:iCs/>
          <w:sz w:val="18"/>
          <w:szCs w:val="18"/>
          <w:lang w:val="en-US"/>
        </w:rPr>
        <w:t>of</w:t>
      </w:r>
      <w:r w:rsidRPr="00D869E3">
        <w:rPr>
          <w:rFonts w:ascii="Verdana" w:eastAsia="Times New Roman" w:hAnsi="Verdana"/>
          <w:i/>
          <w:iCs/>
          <w:sz w:val="18"/>
          <w:szCs w:val="18"/>
          <w:lang w:val="en-US"/>
        </w:rPr>
        <w:t xml:space="preserve"> </w:t>
      </w:r>
      <w:r w:rsidR="00CC4B3E" w:rsidRPr="00D869E3">
        <w:rPr>
          <w:rFonts w:ascii="Verdana" w:eastAsia="Times New Roman" w:hAnsi="Verdana"/>
          <w:i/>
          <w:iCs/>
          <w:sz w:val="18"/>
          <w:szCs w:val="18"/>
          <w:lang w:val="en-US"/>
        </w:rPr>
        <w:t>Supreme Decree</w:t>
      </w:r>
      <w:r w:rsidRPr="00D869E3">
        <w:rPr>
          <w:rFonts w:ascii="Verdana" w:eastAsia="Times New Roman" w:hAnsi="Verdana"/>
          <w:i/>
          <w:iCs/>
          <w:sz w:val="18"/>
          <w:szCs w:val="18"/>
          <w:lang w:val="en-US"/>
        </w:rPr>
        <w:t>. N</w:t>
      </w:r>
      <w:r w:rsidR="00AA0003" w:rsidRPr="00D869E3">
        <w:rPr>
          <w:rFonts w:ascii="Verdana" w:eastAsia="Times New Roman" w:hAnsi="Verdana"/>
          <w:i/>
          <w:iCs/>
          <w:sz w:val="18"/>
          <w:szCs w:val="18"/>
          <w:lang w:val="en-US"/>
        </w:rPr>
        <w:t>o.</w:t>
      </w:r>
      <w:r w:rsidRPr="00D869E3">
        <w:rPr>
          <w:rFonts w:ascii="Verdana" w:eastAsia="Times New Roman" w:hAnsi="Verdana"/>
          <w:i/>
          <w:iCs/>
          <w:sz w:val="18"/>
          <w:szCs w:val="18"/>
          <w:lang w:val="en-US"/>
        </w:rPr>
        <w:t xml:space="preserve"> 002-77-IT/DS</w:t>
      </w:r>
      <w:r w:rsidR="00AA0003" w:rsidRPr="00D869E3">
        <w:rPr>
          <w:rFonts w:ascii="Verdana" w:eastAsia="Times New Roman" w:hAnsi="Verdana"/>
          <w:i/>
          <w:iCs/>
          <w:sz w:val="18"/>
          <w:szCs w:val="18"/>
          <w:lang w:val="en-US"/>
        </w:rPr>
        <w:t xml:space="preserve">, for the elections to be valid, 75% of the members of the Community must vote. In these fraudulent elections 148 of a total of 210 members of the Community voted; in other words, 62 members did not vote, thus less than the 75% stipulated in the law voted. In my capacity as </w:t>
      </w:r>
      <w:r w:rsidR="001B0492" w:rsidRPr="00D869E3">
        <w:rPr>
          <w:rFonts w:ascii="Verdana" w:eastAsia="Times New Roman" w:hAnsi="Verdana"/>
          <w:i/>
          <w:iCs/>
          <w:sz w:val="18"/>
          <w:szCs w:val="18"/>
          <w:lang w:val="en-US"/>
        </w:rPr>
        <w:t>president of the Electoral</w:t>
      </w:r>
      <w:r w:rsidR="00AA0003" w:rsidRPr="00D869E3">
        <w:rPr>
          <w:rFonts w:ascii="Verdana" w:eastAsia="Times New Roman" w:hAnsi="Verdana"/>
          <w:i/>
          <w:iCs/>
          <w:sz w:val="18"/>
          <w:szCs w:val="18"/>
          <w:lang w:val="en-US"/>
        </w:rPr>
        <w:t xml:space="preserve"> Committee, it was my responsibility to call the election</w:t>
      </w:r>
      <w:r w:rsidR="007916DC" w:rsidRPr="00D869E3">
        <w:rPr>
          <w:rFonts w:ascii="Verdana" w:eastAsia="Times New Roman" w:hAnsi="Verdana"/>
          <w:i/>
          <w:iCs/>
          <w:sz w:val="18"/>
          <w:szCs w:val="18"/>
          <w:lang w:val="en-US"/>
        </w:rPr>
        <w:t xml:space="preserve">. Nevertheless, </w:t>
      </w:r>
      <w:r w:rsidR="00AA0003" w:rsidRPr="00D869E3">
        <w:rPr>
          <w:rFonts w:ascii="Verdana" w:eastAsia="Times New Roman" w:hAnsi="Verdana"/>
          <w:i/>
          <w:iCs/>
          <w:sz w:val="18"/>
          <w:szCs w:val="18"/>
          <w:lang w:val="en-US"/>
        </w:rPr>
        <w:t xml:space="preserve">the company management </w:t>
      </w:r>
      <w:r w:rsidR="007916DC" w:rsidRPr="00D869E3">
        <w:rPr>
          <w:rFonts w:ascii="Verdana" w:eastAsia="Times New Roman" w:hAnsi="Verdana"/>
          <w:i/>
          <w:iCs/>
          <w:sz w:val="18"/>
          <w:szCs w:val="18"/>
          <w:lang w:val="en-US"/>
        </w:rPr>
        <w:t>convene</w:t>
      </w:r>
      <w:r w:rsidR="00AA0003" w:rsidRPr="00D869E3">
        <w:rPr>
          <w:rFonts w:ascii="Verdana" w:eastAsia="Times New Roman" w:hAnsi="Verdana"/>
          <w:i/>
          <w:iCs/>
          <w:sz w:val="18"/>
          <w:szCs w:val="18"/>
          <w:lang w:val="en-US"/>
        </w:rPr>
        <w:t>d three members and, in the Industrial Relations Office – take note, in the employer’s office – they called elections for the Community, making a mockery of the law. To this end, they used a group of Community members who served their interests, and with these people they established a slate, which was the only one presented for election.</w:t>
      </w:r>
    </w:p>
    <w:p w14:paraId="56BA4D9D" w14:textId="77777777" w:rsidR="00275EDE" w:rsidRPr="00D869E3" w:rsidRDefault="00275EDE" w:rsidP="00AA0003">
      <w:pPr>
        <w:ind w:right="713"/>
        <w:contextualSpacing/>
        <w:jc w:val="both"/>
        <w:rPr>
          <w:rFonts w:ascii="Verdana" w:eastAsia="Times New Roman" w:hAnsi="Verdana"/>
          <w:i/>
          <w:iCs/>
          <w:sz w:val="18"/>
          <w:szCs w:val="18"/>
          <w:lang w:val="en-US"/>
        </w:rPr>
      </w:pPr>
    </w:p>
    <w:p w14:paraId="44406171" w14:textId="62B448CC" w:rsidR="00275EDE" w:rsidRPr="00D869E3" w:rsidRDefault="00AA0003" w:rsidP="00D61BD2">
      <w:pPr>
        <w:ind w:left="990" w:right="713"/>
        <w:contextualSpacing/>
        <w:jc w:val="both"/>
        <w:rPr>
          <w:rFonts w:ascii="Verdana" w:eastAsia="Times New Roman" w:hAnsi="Verdana"/>
          <w:i/>
          <w:iCs/>
          <w:sz w:val="18"/>
          <w:szCs w:val="18"/>
          <w:lang w:val="en-US"/>
        </w:rPr>
      </w:pPr>
      <w:r w:rsidRPr="00D869E3">
        <w:rPr>
          <w:rFonts w:ascii="Verdana" w:eastAsia="Times New Roman" w:hAnsi="Verdana"/>
          <w:i/>
          <w:iCs/>
          <w:sz w:val="18"/>
          <w:szCs w:val="18"/>
          <w:lang w:val="en-US"/>
        </w:rPr>
        <w:t>Why didn’t the members of the Community present another slate?</w:t>
      </w:r>
    </w:p>
    <w:p w14:paraId="4A1030C1" w14:textId="638BAD36" w:rsidR="00AA0003" w:rsidRPr="00D869E3" w:rsidRDefault="00AA0003" w:rsidP="00D61BD2">
      <w:pPr>
        <w:ind w:left="990" w:right="713"/>
        <w:contextualSpacing/>
        <w:jc w:val="both"/>
        <w:rPr>
          <w:rFonts w:ascii="Verdana" w:eastAsia="Times New Roman" w:hAnsi="Verdana"/>
          <w:i/>
          <w:iCs/>
          <w:sz w:val="18"/>
          <w:szCs w:val="18"/>
          <w:lang w:val="en-US"/>
        </w:rPr>
      </w:pPr>
      <w:r w:rsidRPr="00D869E3">
        <w:rPr>
          <w:rFonts w:ascii="Verdana" w:eastAsia="Times New Roman" w:hAnsi="Verdana"/>
          <w:i/>
          <w:iCs/>
          <w:sz w:val="18"/>
          <w:szCs w:val="18"/>
          <w:lang w:val="en-US"/>
        </w:rPr>
        <w:t xml:space="preserve">For one simple reason. The law on Industrial Community elections establishes that a slate must be </w:t>
      </w:r>
      <w:r w:rsidR="007916DC" w:rsidRPr="00D869E3">
        <w:rPr>
          <w:rFonts w:ascii="Verdana" w:eastAsia="Times New Roman" w:hAnsi="Verdana"/>
          <w:i/>
          <w:iCs/>
          <w:sz w:val="18"/>
          <w:szCs w:val="18"/>
          <w:lang w:val="en-US"/>
        </w:rPr>
        <w:t>composed</w:t>
      </w:r>
      <w:r w:rsidRPr="00D869E3">
        <w:rPr>
          <w:rFonts w:ascii="Verdana" w:eastAsia="Times New Roman" w:hAnsi="Verdana"/>
          <w:i/>
          <w:iCs/>
          <w:sz w:val="18"/>
          <w:szCs w:val="18"/>
          <w:lang w:val="en-US"/>
        </w:rPr>
        <w:t xml:space="preserve"> of members who are manual workers and members who are employees. I would like to clarify an important point: the manual workers have a union, which defends their interests and is relatively independent. The employees do not have a union (they had one previously, but it was dissolved by the </w:t>
      </w:r>
      <w:r w:rsidR="004108F1" w:rsidRPr="00D869E3">
        <w:rPr>
          <w:rFonts w:ascii="Verdana" w:eastAsia="Times New Roman" w:hAnsi="Verdana"/>
          <w:i/>
          <w:iCs/>
          <w:sz w:val="18"/>
          <w:szCs w:val="18"/>
          <w:lang w:val="en-US"/>
        </w:rPr>
        <w:t xml:space="preserve">employers; the employees were unable to defend their rights). These employees are at the mercy of the employer and are constantly </w:t>
      </w:r>
      <w:r w:rsidR="000B550A" w:rsidRPr="00D869E3">
        <w:rPr>
          <w:rFonts w:ascii="Verdana" w:eastAsia="Times New Roman" w:hAnsi="Verdana"/>
          <w:i/>
          <w:iCs/>
          <w:sz w:val="18"/>
          <w:szCs w:val="18"/>
          <w:lang w:val="en-US"/>
        </w:rPr>
        <w:t>blackmailed</w:t>
      </w:r>
      <w:r w:rsidR="004108F1" w:rsidRPr="00D869E3">
        <w:rPr>
          <w:rFonts w:ascii="Verdana" w:eastAsia="Times New Roman" w:hAnsi="Verdana"/>
          <w:i/>
          <w:iCs/>
          <w:sz w:val="18"/>
          <w:szCs w:val="18"/>
          <w:lang w:val="en-US"/>
        </w:rPr>
        <w:t xml:space="preserve"> by the management; therefore, they are</w:t>
      </w:r>
      <w:r w:rsidR="007916DC" w:rsidRPr="00D869E3">
        <w:rPr>
          <w:rFonts w:ascii="Verdana" w:eastAsia="Times New Roman" w:hAnsi="Verdana"/>
          <w:i/>
          <w:iCs/>
          <w:sz w:val="18"/>
          <w:szCs w:val="18"/>
          <w:lang w:val="en-US"/>
        </w:rPr>
        <w:t xml:space="preserve"> afraid</w:t>
      </w:r>
      <w:r w:rsidR="004108F1" w:rsidRPr="00D869E3">
        <w:rPr>
          <w:rFonts w:ascii="Verdana" w:eastAsia="Times New Roman" w:hAnsi="Verdana"/>
          <w:i/>
          <w:iCs/>
          <w:sz w:val="18"/>
          <w:szCs w:val="18"/>
          <w:lang w:val="en-US"/>
        </w:rPr>
        <w:t xml:space="preserve"> of forming part of a slate that is drawn up by the manual workers who do not enjoy the good graces of the employers. I believe that this was the fundamental reason why another slate was not presented.</w:t>
      </w:r>
    </w:p>
    <w:p w14:paraId="5E9D44B4" w14:textId="77777777" w:rsidR="00275EDE" w:rsidRPr="00D869E3" w:rsidRDefault="00275EDE" w:rsidP="00D61BD2">
      <w:pPr>
        <w:ind w:left="990" w:right="713"/>
        <w:contextualSpacing/>
        <w:jc w:val="both"/>
        <w:rPr>
          <w:rFonts w:ascii="Verdana" w:eastAsia="Times New Roman" w:hAnsi="Verdana"/>
          <w:i/>
          <w:iCs/>
          <w:sz w:val="18"/>
          <w:szCs w:val="18"/>
          <w:lang w:val="en-US"/>
        </w:rPr>
      </w:pPr>
    </w:p>
    <w:p w14:paraId="5261A174" w14:textId="1C317BCF" w:rsidR="00275EDE" w:rsidRPr="00D869E3" w:rsidRDefault="004108F1" w:rsidP="00D61BD2">
      <w:pPr>
        <w:ind w:left="990" w:right="713"/>
        <w:contextualSpacing/>
        <w:jc w:val="both"/>
        <w:rPr>
          <w:rFonts w:ascii="Verdana" w:eastAsia="Times New Roman" w:hAnsi="Verdana"/>
          <w:bCs/>
          <w:i/>
          <w:sz w:val="18"/>
          <w:szCs w:val="18"/>
          <w:lang w:val="en-US"/>
        </w:rPr>
      </w:pPr>
      <w:r w:rsidRPr="00D869E3">
        <w:rPr>
          <w:rFonts w:ascii="Verdana" w:eastAsia="Times New Roman" w:hAnsi="Verdana"/>
          <w:i/>
          <w:sz w:val="18"/>
          <w:szCs w:val="18"/>
          <w:lang w:val="en-US"/>
        </w:rPr>
        <w:t xml:space="preserve">In </w:t>
      </w:r>
      <w:r w:rsidR="007916DC" w:rsidRPr="00D869E3">
        <w:rPr>
          <w:rFonts w:ascii="Verdana" w:eastAsia="Times New Roman" w:hAnsi="Verdana"/>
          <w:i/>
          <w:sz w:val="18"/>
          <w:szCs w:val="18"/>
          <w:lang w:val="en-US"/>
        </w:rPr>
        <w:t>light</w:t>
      </w:r>
      <w:r w:rsidRPr="00D869E3">
        <w:rPr>
          <w:rFonts w:ascii="Verdana" w:eastAsia="Times New Roman" w:hAnsi="Verdana"/>
          <w:i/>
          <w:sz w:val="18"/>
          <w:szCs w:val="18"/>
          <w:lang w:val="en-US"/>
        </w:rPr>
        <w:t xml:space="preserve"> of these abuses by the employers, what measures have you taken in your capacity as </w:t>
      </w:r>
      <w:r w:rsidR="001B0492" w:rsidRPr="00D869E3">
        <w:rPr>
          <w:rFonts w:ascii="Verdana" w:eastAsia="Times New Roman" w:hAnsi="Verdana"/>
          <w:bCs/>
          <w:i/>
          <w:sz w:val="18"/>
          <w:szCs w:val="18"/>
          <w:lang w:val="en-US"/>
        </w:rPr>
        <w:t>president of the Electoral</w:t>
      </w:r>
      <w:r w:rsidR="00EA232B" w:rsidRPr="00D869E3">
        <w:rPr>
          <w:rFonts w:ascii="Verdana" w:eastAsia="Times New Roman" w:hAnsi="Verdana"/>
          <w:bCs/>
          <w:i/>
          <w:sz w:val="18"/>
          <w:szCs w:val="18"/>
          <w:lang w:val="en-US"/>
        </w:rPr>
        <w:t xml:space="preserve"> Committee</w:t>
      </w:r>
      <w:r w:rsidR="00275EDE" w:rsidRPr="00D869E3">
        <w:rPr>
          <w:rFonts w:ascii="Verdana" w:eastAsia="Times New Roman" w:hAnsi="Verdana"/>
          <w:bCs/>
          <w:i/>
          <w:sz w:val="18"/>
          <w:szCs w:val="18"/>
          <w:lang w:val="en-US"/>
        </w:rPr>
        <w:t xml:space="preserve">? </w:t>
      </w:r>
    </w:p>
    <w:p w14:paraId="067BC6D8" w14:textId="0DCF347D" w:rsidR="00275EDE" w:rsidRPr="00D869E3" w:rsidRDefault="007916DC" w:rsidP="00D61BD2">
      <w:pPr>
        <w:ind w:left="990" w:right="713"/>
        <w:contextualSpacing/>
        <w:jc w:val="both"/>
        <w:rPr>
          <w:rFonts w:ascii="Verdana" w:eastAsia="Times New Roman" w:hAnsi="Verdana"/>
          <w:i/>
          <w:sz w:val="18"/>
          <w:szCs w:val="18"/>
          <w:lang w:val="en-US"/>
        </w:rPr>
      </w:pPr>
      <w:r w:rsidRPr="00D869E3">
        <w:rPr>
          <w:rFonts w:ascii="Verdana" w:eastAsia="Times New Roman" w:hAnsi="Verdana"/>
          <w:i/>
          <w:sz w:val="18"/>
          <w:szCs w:val="18"/>
          <w:lang w:val="en-US"/>
        </w:rPr>
        <w:t>First</w:t>
      </w:r>
      <w:r w:rsidR="004108F1" w:rsidRPr="00D869E3">
        <w:rPr>
          <w:rFonts w:ascii="Verdana" w:eastAsia="Times New Roman" w:hAnsi="Verdana"/>
          <w:i/>
          <w:sz w:val="18"/>
          <w:szCs w:val="18"/>
          <w:lang w:val="en-US"/>
        </w:rPr>
        <w:t xml:space="preserve">, I have denounced the irregularities that the employer has been committing and promoting. I </w:t>
      </w:r>
      <w:r w:rsidRPr="00D869E3">
        <w:rPr>
          <w:rFonts w:ascii="Verdana" w:eastAsia="Times New Roman" w:hAnsi="Verdana"/>
          <w:i/>
          <w:sz w:val="18"/>
          <w:szCs w:val="18"/>
          <w:lang w:val="en-US"/>
        </w:rPr>
        <w:t>submitted this complaint</w:t>
      </w:r>
      <w:r w:rsidR="004108F1" w:rsidRPr="00D869E3">
        <w:rPr>
          <w:rFonts w:ascii="Verdana" w:eastAsia="Times New Roman" w:hAnsi="Verdana"/>
          <w:i/>
          <w:sz w:val="18"/>
          <w:szCs w:val="18"/>
          <w:lang w:val="en-US"/>
        </w:rPr>
        <w:t xml:space="preserve"> officially in Communication No. 05824 to the Participation Directorate </w:t>
      </w:r>
      <w:r w:rsidR="004D704D" w:rsidRPr="00D869E3">
        <w:rPr>
          <w:rFonts w:ascii="Verdana" w:eastAsia="Times New Roman" w:hAnsi="Verdana"/>
          <w:i/>
          <w:iCs/>
          <w:sz w:val="18"/>
          <w:szCs w:val="18"/>
          <w:lang w:val="en-US"/>
        </w:rPr>
        <w:t>of the Ministry</w:t>
      </w:r>
      <w:r w:rsidR="00F43C5F" w:rsidRPr="00D869E3">
        <w:rPr>
          <w:rFonts w:ascii="Verdana" w:eastAsia="Times New Roman" w:hAnsi="Verdana"/>
          <w:i/>
          <w:iCs/>
          <w:sz w:val="18"/>
          <w:szCs w:val="18"/>
          <w:lang w:val="en-US"/>
        </w:rPr>
        <w:t xml:space="preserve"> of Industry</w:t>
      </w:r>
      <w:r w:rsidR="00687684" w:rsidRPr="00D869E3">
        <w:rPr>
          <w:rFonts w:ascii="Verdana" w:eastAsia="Times New Roman" w:hAnsi="Verdana"/>
          <w:i/>
          <w:iCs/>
          <w:sz w:val="18"/>
          <w:szCs w:val="18"/>
          <w:lang w:val="en-US"/>
        </w:rPr>
        <w:t xml:space="preserve"> and </w:t>
      </w:r>
      <w:r w:rsidR="00275EDE" w:rsidRPr="00D869E3">
        <w:rPr>
          <w:rFonts w:ascii="Verdana" w:eastAsia="Times New Roman" w:hAnsi="Verdana"/>
          <w:i/>
          <w:iCs/>
          <w:sz w:val="18"/>
          <w:szCs w:val="18"/>
          <w:lang w:val="en-US"/>
        </w:rPr>
        <w:t>Com</w:t>
      </w:r>
      <w:r w:rsidRPr="00D869E3">
        <w:rPr>
          <w:rFonts w:ascii="Verdana" w:eastAsia="Times New Roman" w:hAnsi="Verdana"/>
          <w:i/>
          <w:iCs/>
          <w:sz w:val="18"/>
          <w:szCs w:val="18"/>
          <w:lang w:val="en-US"/>
        </w:rPr>
        <w:t>merce</w:t>
      </w:r>
      <w:r w:rsidR="00275EDE" w:rsidRPr="00D869E3">
        <w:rPr>
          <w:rFonts w:ascii="Verdana" w:eastAsia="Times New Roman" w:hAnsi="Verdana"/>
          <w:i/>
          <w:iCs/>
          <w:sz w:val="18"/>
          <w:szCs w:val="18"/>
          <w:lang w:val="en-US"/>
        </w:rPr>
        <w:t>.</w:t>
      </w:r>
    </w:p>
    <w:p w14:paraId="55880EEE" w14:textId="77777777" w:rsidR="00275EDE" w:rsidRPr="00D869E3" w:rsidRDefault="00275EDE" w:rsidP="00D61BD2">
      <w:pPr>
        <w:ind w:left="990" w:right="713"/>
        <w:contextualSpacing/>
        <w:jc w:val="both"/>
        <w:rPr>
          <w:rFonts w:ascii="Verdana" w:eastAsia="Times New Roman" w:hAnsi="Verdana"/>
          <w:bCs/>
          <w:i/>
          <w:iCs/>
          <w:sz w:val="18"/>
          <w:szCs w:val="18"/>
          <w:lang w:val="en-US"/>
        </w:rPr>
      </w:pPr>
    </w:p>
    <w:p w14:paraId="5FB19EB8" w14:textId="026C6640" w:rsidR="00275EDE" w:rsidRPr="00D869E3" w:rsidRDefault="004108F1" w:rsidP="00D61BD2">
      <w:pPr>
        <w:ind w:right="713" w:firstLine="990"/>
        <w:contextualSpacing/>
        <w:jc w:val="both"/>
        <w:rPr>
          <w:rFonts w:ascii="Verdana" w:eastAsia="Times New Roman" w:hAnsi="Verdana"/>
          <w:bCs/>
          <w:i/>
          <w:iCs/>
          <w:sz w:val="18"/>
          <w:szCs w:val="18"/>
          <w:lang w:val="en-US"/>
        </w:rPr>
      </w:pPr>
      <w:r w:rsidRPr="00D869E3">
        <w:rPr>
          <w:rFonts w:ascii="Verdana" w:eastAsia="Times New Roman" w:hAnsi="Verdana"/>
          <w:bCs/>
          <w:i/>
          <w:iCs/>
          <w:sz w:val="18"/>
          <w:szCs w:val="18"/>
          <w:lang w:val="en-US"/>
        </w:rPr>
        <w:t>What has been the response of the Ministry</w:t>
      </w:r>
      <w:r w:rsidR="00275EDE" w:rsidRPr="00D869E3">
        <w:rPr>
          <w:rFonts w:ascii="Verdana" w:eastAsia="Times New Roman" w:hAnsi="Verdana"/>
          <w:bCs/>
          <w:i/>
          <w:iCs/>
          <w:sz w:val="18"/>
          <w:szCs w:val="18"/>
          <w:lang w:val="en-US"/>
        </w:rPr>
        <w:t xml:space="preserve">? </w:t>
      </w:r>
    </w:p>
    <w:p w14:paraId="3C22E604" w14:textId="10B0B633" w:rsidR="00275EDE" w:rsidRPr="00D869E3" w:rsidRDefault="00A141EA" w:rsidP="00D61BD2">
      <w:pPr>
        <w:ind w:left="990" w:right="713"/>
        <w:contextualSpacing/>
        <w:jc w:val="both"/>
        <w:rPr>
          <w:rFonts w:ascii="Verdana" w:eastAsia="Times New Roman" w:hAnsi="Verdana"/>
          <w:i/>
          <w:iCs/>
          <w:sz w:val="18"/>
          <w:szCs w:val="18"/>
          <w:lang w:val="en-US"/>
        </w:rPr>
      </w:pPr>
      <w:r w:rsidRPr="00D869E3">
        <w:rPr>
          <w:rFonts w:ascii="Verdana" w:eastAsia="Times New Roman" w:hAnsi="Verdana"/>
          <w:i/>
          <w:iCs/>
          <w:sz w:val="18"/>
          <w:szCs w:val="18"/>
          <w:lang w:val="en-US"/>
        </w:rPr>
        <w:t xml:space="preserve">Here, I have to report that the Ministry’s bureaucracy responded in a vague manner, without </w:t>
      </w:r>
      <w:r w:rsidR="00103C07" w:rsidRPr="00D869E3">
        <w:rPr>
          <w:rFonts w:ascii="Verdana" w:eastAsia="Times New Roman" w:hAnsi="Verdana"/>
          <w:i/>
          <w:iCs/>
          <w:sz w:val="18"/>
          <w:szCs w:val="18"/>
          <w:lang w:val="en-US"/>
        </w:rPr>
        <w:t>making any determination</w:t>
      </w:r>
      <w:r w:rsidR="00CC4B3E" w:rsidRPr="00D869E3">
        <w:rPr>
          <w:rFonts w:ascii="Verdana" w:eastAsia="Times New Roman" w:hAnsi="Verdana"/>
          <w:i/>
          <w:iCs/>
          <w:sz w:val="18"/>
          <w:szCs w:val="18"/>
          <w:lang w:val="en-US"/>
        </w:rPr>
        <w:t xml:space="preserve">; </w:t>
      </w:r>
      <w:r w:rsidRPr="00D869E3">
        <w:rPr>
          <w:rFonts w:ascii="Verdana" w:eastAsia="Times New Roman" w:hAnsi="Verdana"/>
          <w:i/>
          <w:iCs/>
          <w:sz w:val="18"/>
          <w:szCs w:val="18"/>
          <w:lang w:val="en-US"/>
        </w:rPr>
        <w:t xml:space="preserve">concluding that the communication was time-barred. </w:t>
      </w:r>
      <w:r w:rsidR="00CC4B3E" w:rsidRPr="00D869E3">
        <w:rPr>
          <w:rFonts w:ascii="Verdana" w:eastAsia="Times New Roman" w:hAnsi="Verdana"/>
          <w:i/>
          <w:iCs/>
          <w:sz w:val="18"/>
          <w:szCs w:val="18"/>
          <w:lang w:val="en-US"/>
        </w:rPr>
        <w:t>As I had</w:t>
      </w:r>
      <w:r w:rsidRPr="00D869E3">
        <w:rPr>
          <w:rFonts w:ascii="Verdana" w:eastAsia="Times New Roman" w:hAnsi="Verdana"/>
          <w:i/>
          <w:iCs/>
          <w:sz w:val="18"/>
          <w:szCs w:val="18"/>
          <w:lang w:val="en-US"/>
        </w:rPr>
        <w:t xml:space="preserve"> presented the communication before the elections, this shows that there was an understanding between the Participation Directorate headed by </w:t>
      </w:r>
      <w:r w:rsidR="00275EDE" w:rsidRPr="00D869E3">
        <w:rPr>
          <w:rFonts w:ascii="Verdana" w:eastAsia="Times New Roman" w:hAnsi="Verdana"/>
          <w:i/>
          <w:iCs/>
          <w:sz w:val="18"/>
          <w:szCs w:val="18"/>
          <w:lang w:val="en-US"/>
        </w:rPr>
        <w:t>Alicia Liñán Núñez</w:t>
      </w:r>
      <w:r w:rsidR="00687684" w:rsidRPr="00D869E3">
        <w:rPr>
          <w:rFonts w:ascii="Verdana" w:eastAsia="Times New Roman" w:hAnsi="Verdana"/>
          <w:i/>
          <w:iCs/>
          <w:sz w:val="18"/>
          <w:szCs w:val="18"/>
          <w:lang w:val="en-US"/>
        </w:rPr>
        <w:t xml:space="preserve"> and </w:t>
      </w:r>
      <w:r w:rsidRPr="00D869E3">
        <w:rPr>
          <w:rFonts w:ascii="Verdana" w:eastAsia="Times New Roman" w:hAnsi="Verdana"/>
          <w:i/>
          <w:iCs/>
          <w:sz w:val="18"/>
          <w:szCs w:val="18"/>
          <w:lang w:val="en-US"/>
        </w:rPr>
        <w:t>the employer.</w:t>
      </w:r>
    </w:p>
    <w:p w14:paraId="21DEF3E2" w14:textId="77777777" w:rsidR="00275EDE" w:rsidRPr="00D869E3" w:rsidRDefault="00275EDE" w:rsidP="009C6F8E">
      <w:pPr>
        <w:ind w:right="720"/>
        <w:contextualSpacing/>
        <w:jc w:val="both"/>
        <w:rPr>
          <w:rFonts w:ascii="Verdana" w:eastAsia="Times New Roman" w:hAnsi="Verdana"/>
          <w:bCs/>
          <w:i/>
          <w:iCs/>
          <w:color w:val="000000"/>
          <w:sz w:val="18"/>
          <w:szCs w:val="18"/>
          <w:lang w:val="en-US"/>
        </w:rPr>
      </w:pPr>
    </w:p>
    <w:p w14:paraId="013EE312" w14:textId="363293A2" w:rsidR="00275EDE" w:rsidRPr="00D869E3" w:rsidRDefault="00A141EA" w:rsidP="00D61BD2">
      <w:pPr>
        <w:ind w:left="990"/>
        <w:jc w:val="both"/>
        <w:rPr>
          <w:rFonts w:ascii="Verdana" w:hAnsi="Verdana"/>
          <w:bCs/>
          <w:i/>
          <w:iCs/>
          <w:color w:val="000000"/>
          <w:sz w:val="18"/>
          <w:szCs w:val="18"/>
          <w:lang w:val="en-US"/>
        </w:rPr>
      </w:pPr>
      <w:r w:rsidRPr="00D869E3">
        <w:rPr>
          <w:rFonts w:ascii="Verdana" w:hAnsi="Verdana"/>
          <w:bCs/>
          <w:i/>
          <w:iCs/>
          <w:color w:val="000000"/>
          <w:sz w:val="18"/>
          <w:szCs w:val="18"/>
          <w:lang w:val="en-US"/>
        </w:rPr>
        <w:t>What measures are you considering</w:t>
      </w:r>
      <w:r w:rsidR="00275EDE" w:rsidRPr="00D869E3">
        <w:rPr>
          <w:rFonts w:ascii="Verdana" w:hAnsi="Verdana"/>
          <w:bCs/>
          <w:i/>
          <w:iCs/>
          <w:color w:val="000000"/>
          <w:sz w:val="18"/>
          <w:szCs w:val="18"/>
          <w:lang w:val="en-US"/>
        </w:rPr>
        <w:t xml:space="preserve">? </w:t>
      </w:r>
    </w:p>
    <w:p w14:paraId="6499E554" w14:textId="56AAC803" w:rsidR="00275EDE" w:rsidRPr="00D869E3" w:rsidRDefault="00A141EA" w:rsidP="00D61BD2">
      <w:pPr>
        <w:ind w:left="990" w:right="630"/>
        <w:jc w:val="both"/>
        <w:rPr>
          <w:rFonts w:ascii="Verdana" w:hAnsi="Verdana"/>
          <w:i/>
          <w:iCs/>
          <w:color w:val="000000"/>
          <w:sz w:val="18"/>
          <w:szCs w:val="18"/>
          <w:lang w:val="en-US"/>
        </w:rPr>
      </w:pPr>
      <w:bookmarkStart w:id="23" w:name="_Hlk27819207"/>
      <w:r w:rsidRPr="00D869E3">
        <w:rPr>
          <w:rFonts w:ascii="Verdana" w:hAnsi="Verdana"/>
          <w:i/>
          <w:iCs/>
          <w:color w:val="000000"/>
          <w:sz w:val="18"/>
          <w:szCs w:val="18"/>
          <w:lang w:val="en-US"/>
        </w:rPr>
        <w:t xml:space="preserve">I will continue fighting against the fraud, </w:t>
      </w:r>
      <w:r w:rsidR="00E85F6A" w:rsidRPr="00D869E3">
        <w:rPr>
          <w:rFonts w:ascii="Verdana" w:hAnsi="Verdana"/>
          <w:i/>
          <w:iCs/>
          <w:color w:val="000000"/>
          <w:sz w:val="18"/>
          <w:szCs w:val="18"/>
          <w:lang w:val="en-US"/>
        </w:rPr>
        <w:t>informing</w:t>
      </w:r>
      <w:r w:rsidRPr="00D869E3">
        <w:rPr>
          <w:rFonts w:ascii="Verdana" w:hAnsi="Verdana"/>
          <w:i/>
          <w:iCs/>
          <w:color w:val="000000"/>
          <w:sz w:val="18"/>
          <w:szCs w:val="18"/>
          <w:lang w:val="en-US"/>
        </w:rPr>
        <w:t xml:space="preserve"> public opinion, the Government and other competent authorities, </w:t>
      </w:r>
      <w:r w:rsidR="00E85F6A" w:rsidRPr="00D869E3">
        <w:rPr>
          <w:rFonts w:ascii="Verdana" w:hAnsi="Verdana"/>
          <w:i/>
          <w:iCs/>
          <w:color w:val="000000"/>
          <w:sz w:val="18"/>
          <w:szCs w:val="18"/>
          <w:lang w:val="en-US"/>
        </w:rPr>
        <w:t xml:space="preserve">about </w:t>
      </w:r>
      <w:r w:rsidRPr="00D869E3">
        <w:rPr>
          <w:rFonts w:ascii="Verdana" w:hAnsi="Verdana"/>
          <w:i/>
          <w:iCs/>
          <w:color w:val="000000"/>
          <w:sz w:val="18"/>
          <w:szCs w:val="18"/>
          <w:lang w:val="en-US"/>
        </w:rPr>
        <w:t>the attempt by the Ceper-Pirelli company to liquidate the Industrial Community, especially now that the company has been obtaining significant profits</w:t>
      </w:r>
      <w:r w:rsidR="00E85F6A" w:rsidRPr="00D869E3">
        <w:rPr>
          <w:rFonts w:ascii="Verdana" w:hAnsi="Verdana"/>
          <w:i/>
          <w:iCs/>
          <w:color w:val="000000"/>
          <w:sz w:val="18"/>
          <w:szCs w:val="18"/>
          <w:lang w:val="en-US"/>
        </w:rPr>
        <w:t>,</w:t>
      </w:r>
      <w:r w:rsidRPr="00D869E3">
        <w:rPr>
          <w:rFonts w:ascii="Verdana" w:hAnsi="Verdana"/>
          <w:i/>
          <w:iCs/>
          <w:color w:val="000000"/>
          <w:sz w:val="18"/>
          <w:szCs w:val="18"/>
          <w:lang w:val="en-US"/>
        </w:rPr>
        <w:t xml:space="preserve"> some of </w:t>
      </w:r>
      <w:r w:rsidR="00E85F6A" w:rsidRPr="00D869E3">
        <w:rPr>
          <w:rFonts w:ascii="Verdana" w:hAnsi="Verdana"/>
          <w:i/>
          <w:iCs/>
          <w:color w:val="000000"/>
          <w:sz w:val="18"/>
          <w:szCs w:val="18"/>
          <w:lang w:val="en-US"/>
        </w:rPr>
        <w:t>which</w:t>
      </w:r>
      <w:r w:rsidRPr="00D869E3">
        <w:rPr>
          <w:rFonts w:ascii="Verdana" w:hAnsi="Verdana"/>
          <w:i/>
          <w:iCs/>
          <w:color w:val="000000"/>
          <w:sz w:val="18"/>
          <w:szCs w:val="18"/>
          <w:lang w:val="en-US"/>
        </w:rPr>
        <w:t xml:space="preserve"> correspond to the workers </w:t>
      </w:r>
      <w:r w:rsidR="00E85F6A" w:rsidRPr="00D869E3">
        <w:rPr>
          <w:rFonts w:ascii="Verdana" w:hAnsi="Verdana"/>
          <w:i/>
          <w:iCs/>
          <w:color w:val="000000"/>
          <w:sz w:val="18"/>
          <w:szCs w:val="18"/>
          <w:lang w:val="en-US"/>
        </w:rPr>
        <w:t>through</w:t>
      </w:r>
      <w:r w:rsidRPr="00D869E3">
        <w:rPr>
          <w:rFonts w:ascii="Verdana" w:hAnsi="Verdana"/>
          <w:i/>
          <w:iCs/>
          <w:color w:val="000000"/>
          <w:sz w:val="18"/>
          <w:szCs w:val="18"/>
          <w:lang w:val="en-US"/>
        </w:rPr>
        <w:t xml:space="preserve"> the Industrial Community. I call on all the workers of Ceper-Pirelli </w:t>
      </w:r>
      <w:r w:rsidR="00E85F6A" w:rsidRPr="00D869E3">
        <w:rPr>
          <w:rFonts w:ascii="Verdana" w:hAnsi="Verdana"/>
          <w:i/>
          <w:iCs/>
          <w:color w:val="000000"/>
          <w:sz w:val="18"/>
          <w:szCs w:val="18"/>
          <w:lang w:val="en-US"/>
        </w:rPr>
        <w:t>t</w:t>
      </w:r>
      <w:r w:rsidRPr="00D869E3">
        <w:rPr>
          <w:rFonts w:ascii="Verdana" w:hAnsi="Verdana"/>
          <w:i/>
          <w:iCs/>
          <w:color w:val="000000"/>
          <w:sz w:val="18"/>
          <w:szCs w:val="18"/>
          <w:lang w:val="en-US"/>
        </w:rPr>
        <w:t xml:space="preserve">o close ranks against the fraud, </w:t>
      </w:r>
      <w:r w:rsidR="00E85F6A" w:rsidRPr="00D869E3">
        <w:rPr>
          <w:rFonts w:ascii="Verdana" w:hAnsi="Verdana"/>
          <w:i/>
          <w:iCs/>
          <w:color w:val="000000"/>
          <w:sz w:val="18"/>
          <w:szCs w:val="18"/>
          <w:lang w:val="en-US"/>
        </w:rPr>
        <w:t>demanding that</w:t>
      </w:r>
      <w:r w:rsidRPr="00D869E3">
        <w:rPr>
          <w:rFonts w:ascii="Verdana" w:hAnsi="Verdana"/>
          <w:i/>
          <w:iCs/>
          <w:color w:val="000000"/>
          <w:sz w:val="18"/>
          <w:szCs w:val="18"/>
          <w:lang w:val="en-US"/>
        </w:rPr>
        <w:t xml:space="preserve"> our legal rights and obligations </w:t>
      </w:r>
      <w:r w:rsidR="00E85F6A" w:rsidRPr="00D869E3">
        <w:rPr>
          <w:rFonts w:ascii="Verdana" w:hAnsi="Verdana"/>
          <w:i/>
          <w:iCs/>
          <w:color w:val="000000"/>
          <w:sz w:val="18"/>
          <w:szCs w:val="18"/>
          <w:lang w:val="en-US"/>
        </w:rPr>
        <w:t>be</w:t>
      </w:r>
      <w:r w:rsidRPr="00D869E3">
        <w:rPr>
          <w:rFonts w:ascii="Verdana" w:hAnsi="Verdana"/>
          <w:i/>
          <w:iCs/>
          <w:color w:val="000000"/>
          <w:sz w:val="18"/>
          <w:szCs w:val="18"/>
          <w:lang w:val="en-US"/>
        </w:rPr>
        <w:t xml:space="preserve"> respected. I ask for the solidarity of </w:t>
      </w:r>
      <w:r w:rsidRPr="00D869E3">
        <w:rPr>
          <w:rFonts w:ascii="Verdana" w:hAnsi="Verdana"/>
          <w:i/>
          <w:iCs/>
          <w:color w:val="000000"/>
          <w:sz w:val="18"/>
          <w:szCs w:val="18"/>
          <w:lang w:val="en-US"/>
        </w:rPr>
        <w:lastRenderedPageBreak/>
        <w:t xml:space="preserve">all the country’s </w:t>
      </w:r>
      <w:r w:rsidR="00CC6441" w:rsidRPr="00D869E3">
        <w:rPr>
          <w:rFonts w:ascii="Verdana" w:hAnsi="Verdana"/>
          <w:i/>
          <w:iCs/>
          <w:color w:val="000000"/>
          <w:sz w:val="18"/>
          <w:szCs w:val="18"/>
          <w:lang w:val="en-US"/>
        </w:rPr>
        <w:t xml:space="preserve">industrial communities and </w:t>
      </w:r>
      <w:r w:rsidR="00E85F6A" w:rsidRPr="00D869E3">
        <w:rPr>
          <w:rFonts w:ascii="Verdana" w:hAnsi="Verdana"/>
          <w:i/>
          <w:iCs/>
          <w:color w:val="000000"/>
          <w:sz w:val="18"/>
          <w:szCs w:val="18"/>
          <w:lang w:val="en-US"/>
        </w:rPr>
        <w:t>labor union</w:t>
      </w:r>
      <w:r w:rsidR="00CC6441" w:rsidRPr="00D869E3">
        <w:rPr>
          <w:rFonts w:ascii="Verdana" w:hAnsi="Verdana"/>
          <w:i/>
          <w:iCs/>
          <w:color w:val="000000"/>
          <w:sz w:val="18"/>
          <w:szCs w:val="18"/>
          <w:lang w:val="en-US"/>
        </w:rPr>
        <w:t xml:space="preserve">s to express their rejection of the attempt to liquidate the </w:t>
      </w:r>
      <w:r w:rsidR="004D704D" w:rsidRPr="00D869E3">
        <w:rPr>
          <w:rFonts w:ascii="Verdana" w:hAnsi="Verdana"/>
          <w:i/>
          <w:iCs/>
          <w:color w:val="000000"/>
          <w:sz w:val="18"/>
          <w:szCs w:val="18"/>
          <w:lang w:val="en-US"/>
        </w:rPr>
        <w:t>industrial communities</w:t>
      </w:r>
      <w:r w:rsidR="00CC6441" w:rsidRPr="00D869E3">
        <w:rPr>
          <w:rFonts w:ascii="Verdana" w:hAnsi="Verdana"/>
          <w:i/>
          <w:iCs/>
          <w:color w:val="000000"/>
          <w:sz w:val="18"/>
          <w:szCs w:val="18"/>
          <w:lang w:val="en-US"/>
        </w:rPr>
        <w:t>.</w:t>
      </w:r>
      <w:r w:rsidR="006436CA" w:rsidRPr="00D869E3">
        <w:rPr>
          <w:rFonts w:ascii="Verdana" w:hAnsi="Verdana"/>
          <w:i/>
          <w:iCs/>
          <w:color w:val="000000"/>
          <w:sz w:val="18"/>
          <w:szCs w:val="18"/>
          <w:lang w:val="en-US"/>
        </w:rPr>
        <w:t>”</w:t>
      </w:r>
    </w:p>
    <w:bookmarkEnd w:id="23"/>
    <w:p w14:paraId="7EFFC5C4" w14:textId="77777777" w:rsidR="00275EDE" w:rsidRPr="00D869E3" w:rsidRDefault="00275EDE" w:rsidP="00275EDE">
      <w:pPr>
        <w:jc w:val="both"/>
        <w:rPr>
          <w:rFonts w:ascii="Verdana" w:hAnsi="Verdana"/>
          <w:b/>
          <w:sz w:val="20"/>
          <w:szCs w:val="20"/>
          <w:lang w:val="en-US"/>
        </w:rPr>
      </w:pPr>
    </w:p>
    <w:p w14:paraId="3552FE58" w14:textId="61209766" w:rsidR="00275EDE" w:rsidRPr="00D869E3" w:rsidRDefault="00852CCA" w:rsidP="00852CCA">
      <w:pPr>
        <w:pStyle w:val="Prrafodelista"/>
        <w:numPr>
          <w:ilvl w:val="0"/>
          <w:numId w:val="1"/>
        </w:numPr>
        <w:ind w:left="0" w:hanging="11"/>
        <w:jc w:val="both"/>
        <w:rPr>
          <w:rFonts w:ascii="Verdana" w:hAnsi="Verdana"/>
          <w:color w:val="000000"/>
          <w:sz w:val="20"/>
          <w:szCs w:val="20"/>
          <w:lang w:val="en-US"/>
        </w:rPr>
      </w:pPr>
      <w:r w:rsidRPr="00D869E3">
        <w:rPr>
          <w:rFonts w:ascii="Verdana" w:hAnsi="Verdana"/>
          <w:color w:val="000000"/>
          <w:sz w:val="20"/>
          <w:szCs w:val="20"/>
          <w:lang w:val="en-US"/>
        </w:rPr>
        <w:t>Based on</w:t>
      </w:r>
      <w:r w:rsidR="00275EDE" w:rsidRPr="00D869E3">
        <w:rPr>
          <w:rFonts w:ascii="Verdana" w:hAnsi="Verdana"/>
          <w:color w:val="000000"/>
          <w:sz w:val="20"/>
          <w:szCs w:val="20"/>
          <w:lang w:val="en-US"/>
        </w:rPr>
        <w:t xml:space="preserve"> </w:t>
      </w:r>
      <w:r w:rsidRPr="00D869E3">
        <w:rPr>
          <w:rFonts w:ascii="Verdana" w:hAnsi="Verdana"/>
          <w:color w:val="000000"/>
          <w:sz w:val="20"/>
          <w:szCs w:val="20"/>
          <w:lang w:val="en-US"/>
        </w:rPr>
        <w:t xml:space="preserve">the interview given by </w:t>
      </w:r>
      <w:r w:rsidR="001E44D3" w:rsidRPr="00D869E3">
        <w:rPr>
          <w:rFonts w:ascii="Verdana" w:hAnsi="Verdana"/>
          <w:color w:val="000000"/>
          <w:sz w:val="20"/>
          <w:szCs w:val="20"/>
          <w:lang w:val="en-US"/>
        </w:rPr>
        <w:t>Mr. Lagos del Campo</w:t>
      </w:r>
      <w:r w:rsidR="00275EDE" w:rsidRPr="00D869E3">
        <w:rPr>
          <w:rFonts w:ascii="Verdana" w:hAnsi="Verdana"/>
          <w:color w:val="000000"/>
          <w:sz w:val="20"/>
          <w:szCs w:val="20"/>
          <w:lang w:val="en-US"/>
        </w:rPr>
        <w:t xml:space="preserve">, </w:t>
      </w:r>
      <w:r w:rsidRPr="00D869E3">
        <w:rPr>
          <w:rFonts w:ascii="Verdana" w:hAnsi="Verdana"/>
          <w:color w:val="000000"/>
          <w:sz w:val="20"/>
          <w:szCs w:val="20"/>
          <w:lang w:val="en-US"/>
        </w:rPr>
        <w:t xml:space="preserve">the General Manager of </w:t>
      </w:r>
      <w:r w:rsidR="00275EDE" w:rsidRPr="00D869E3">
        <w:rPr>
          <w:rFonts w:ascii="Verdana" w:hAnsi="Verdana"/>
          <w:color w:val="000000"/>
          <w:sz w:val="20"/>
          <w:szCs w:val="20"/>
          <w:lang w:val="en-US"/>
        </w:rPr>
        <w:t>Ceper-Pirelli</w:t>
      </w:r>
      <w:r w:rsidR="000D6F59" w:rsidRPr="00D869E3">
        <w:rPr>
          <w:rFonts w:ascii="Verdana" w:hAnsi="Verdana"/>
          <w:color w:val="000000"/>
          <w:sz w:val="20"/>
          <w:szCs w:val="20"/>
          <w:lang w:val="en-US"/>
        </w:rPr>
        <w:t>,</w:t>
      </w:r>
      <w:r w:rsidRPr="00D869E3">
        <w:rPr>
          <w:rFonts w:ascii="Verdana" w:hAnsi="Verdana"/>
          <w:color w:val="000000"/>
          <w:sz w:val="20"/>
          <w:szCs w:val="20"/>
          <w:lang w:val="en-US"/>
        </w:rPr>
        <w:t xml:space="preserve"> in a notarized letter of June 26,</w:t>
      </w:r>
      <w:r w:rsidR="00275EDE" w:rsidRPr="00D869E3">
        <w:rPr>
          <w:rFonts w:ascii="Verdana" w:hAnsi="Verdana"/>
          <w:color w:val="000000"/>
          <w:sz w:val="20"/>
          <w:szCs w:val="20"/>
          <w:lang w:val="en-US"/>
        </w:rPr>
        <w:t xml:space="preserve"> 1989</w:t>
      </w:r>
      <w:r w:rsidRPr="00D869E3">
        <w:rPr>
          <w:rFonts w:ascii="Verdana" w:hAnsi="Verdana"/>
          <w:color w:val="000000"/>
          <w:sz w:val="20"/>
          <w:szCs w:val="20"/>
          <w:lang w:val="en-US"/>
        </w:rPr>
        <w:t>,</w:t>
      </w:r>
      <w:r w:rsidR="00275EDE" w:rsidRPr="00D869E3">
        <w:rPr>
          <w:rFonts w:ascii="Verdana" w:hAnsi="Verdana"/>
          <w:color w:val="000000"/>
          <w:sz w:val="20"/>
          <w:szCs w:val="20"/>
          <w:vertAlign w:val="superscript"/>
          <w:lang w:val="en-US"/>
        </w:rPr>
        <w:footnoteReference w:id="62"/>
      </w:r>
      <w:r w:rsidR="00275EDE" w:rsidRPr="00D869E3">
        <w:rPr>
          <w:rFonts w:ascii="Verdana" w:hAnsi="Verdana"/>
          <w:color w:val="000000"/>
          <w:sz w:val="20"/>
          <w:szCs w:val="20"/>
          <w:lang w:val="en-US"/>
        </w:rPr>
        <w:t xml:space="preserve"> </w:t>
      </w:r>
      <w:r w:rsidR="006436CA" w:rsidRPr="00D869E3">
        <w:rPr>
          <w:rFonts w:ascii="Verdana" w:hAnsi="Verdana"/>
          <w:sz w:val="20"/>
          <w:szCs w:val="20"/>
          <w:lang w:val="en-US"/>
        </w:rPr>
        <w:t>“</w:t>
      </w:r>
      <w:r w:rsidR="00103C07" w:rsidRPr="00D869E3">
        <w:rPr>
          <w:rFonts w:ascii="Verdana" w:hAnsi="Verdana"/>
          <w:sz w:val="20"/>
          <w:szCs w:val="20"/>
          <w:lang w:val="en-US"/>
        </w:rPr>
        <w:t>accused</w:t>
      </w:r>
      <w:r w:rsidRPr="00D869E3">
        <w:rPr>
          <w:rFonts w:ascii="Verdana" w:hAnsi="Verdana"/>
          <w:sz w:val="20"/>
          <w:szCs w:val="20"/>
          <w:lang w:val="en-US"/>
        </w:rPr>
        <w:t xml:space="preserve">” him </w:t>
      </w:r>
      <w:r w:rsidR="00103C07" w:rsidRPr="00D869E3">
        <w:rPr>
          <w:rFonts w:ascii="Verdana" w:hAnsi="Verdana"/>
          <w:sz w:val="20"/>
          <w:szCs w:val="20"/>
          <w:lang w:val="en-US"/>
        </w:rPr>
        <w:t>of</w:t>
      </w:r>
      <w:r w:rsidRPr="00D869E3">
        <w:rPr>
          <w:rFonts w:ascii="Verdana" w:hAnsi="Verdana"/>
          <w:sz w:val="20"/>
          <w:szCs w:val="20"/>
          <w:lang w:val="en-US"/>
        </w:rPr>
        <w:t xml:space="preserve"> work-related misconduct. </w:t>
      </w:r>
      <w:r w:rsidRPr="00D869E3">
        <w:rPr>
          <w:rFonts w:ascii="Verdana" w:hAnsi="Verdana"/>
          <w:color w:val="000000"/>
          <w:sz w:val="20"/>
          <w:szCs w:val="20"/>
          <w:lang w:val="en-US"/>
        </w:rPr>
        <w:t>I</w:t>
      </w:r>
      <w:r w:rsidR="00275EDE" w:rsidRPr="00D869E3">
        <w:rPr>
          <w:rFonts w:ascii="Verdana" w:hAnsi="Verdana"/>
          <w:color w:val="000000"/>
          <w:sz w:val="20"/>
          <w:szCs w:val="20"/>
          <w:lang w:val="en-US"/>
        </w:rPr>
        <w:t xml:space="preserve">n particular, </w:t>
      </w:r>
      <w:r w:rsidRPr="00D869E3">
        <w:rPr>
          <w:rFonts w:ascii="Verdana" w:hAnsi="Verdana"/>
          <w:color w:val="000000"/>
          <w:sz w:val="20"/>
          <w:szCs w:val="20"/>
          <w:lang w:val="en-US"/>
        </w:rPr>
        <w:t>the General Manager</w:t>
      </w:r>
      <w:r w:rsidR="00275EDE" w:rsidRPr="00D869E3">
        <w:rPr>
          <w:rFonts w:ascii="Verdana" w:hAnsi="Verdana"/>
          <w:color w:val="000000"/>
          <w:sz w:val="20"/>
          <w:szCs w:val="20"/>
          <w:lang w:val="en-US"/>
        </w:rPr>
        <w:t xml:space="preserve"> consider</w:t>
      </w:r>
      <w:r w:rsidRPr="00D869E3">
        <w:rPr>
          <w:rFonts w:ascii="Verdana" w:hAnsi="Verdana"/>
          <w:color w:val="000000"/>
          <w:sz w:val="20"/>
          <w:szCs w:val="20"/>
          <w:lang w:val="en-US"/>
        </w:rPr>
        <w:t>ed</w:t>
      </w:r>
      <w:r w:rsidR="00275EDE" w:rsidRPr="00D869E3">
        <w:rPr>
          <w:rFonts w:ascii="Verdana" w:hAnsi="Verdana"/>
          <w:color w:val="000000"/>
          <w:sz w:val="20"/>
          <w:szCs w:val="20"/>
          <w:lang w:val="en-US"/>
        </w:rPr>
        <w:t xml:space="preserve"> </w:t>
      </w:r>
      <w:r w:rsidRPr="00D869E3">
        <w:rPr>
          <w:rFonts w:ascii="Verdana" w:hAnsi="Verdana"/>
          <w:color w:val="000000"/>
          <w:sz w:val="20"/>
          <w:szCs w:val="20"/>
          <w:lang w:val="en-US"/>
        </w:rPr>
        <w:t xml:space="preserve">that the employment relationship with </w:t>
      </w:r>
      <w:r w:rsidR="001E44D3" w:rsidRPr="00D869E3">
        <w:rPr>
          <w:rFonts w:ascii="Verdana" w:hAnsi="Verdana"/>
          <w:color w:val="000000"/>
          <w:sz w:val="20"/>
          <w:szCs w:val="20"/>
          <w:lang w:val="en-US"/>
        </w:rPr>
        <w:t>Mr. Lagos del Campo</w:t>
      </w:r>
      <w:r w:rsidR="000D6F59" w:rsidRPr="00D869E3">
        <w:rPr>
          <w:rFonts w:ascii="Verdana" w:hAnsi="Verdana"/>
          <w:color w:val="000000"/>
          <w:sz w:val="20"/>
          <w:szCs w:val="20"/>
          <w:lang w:val="en-US"/>
        </w:rPr>
        <w:t xml:space="preserve"> </w:t>
      </w:r>
      <w:r w:rsidRPr="00D869E3">
        <w:rPr>
          <w:rFonts w:ascii="Verdana" w:hAnsi="Verdana"/>
          <w:color w:val="000000"/>
          <w:sz w:val="20"/>
          <w:szCs w:val="20"/>
          <w:lang w:val="en-US"/>
        </w:rPr>
        <w:t>could not continue pursuant to paragraph</w:t>
      </w:r>
      <w:r w:rsidR="00CC4B3E" w:rsidRPr="00D869E3">
        <w:rPr>
          <w:rFonts w:ascii="Verdana" w:hAnsi="Verdana"/>
          <w:color w:val="000000"/>
          <w:sz w:val="20"/>
          <w:szCs w:val="20"/>
          <w:lang w:val="en-US"/>
        </w:rPr>
        <w:t>s</w:t>
      </w:r>
      <w:r w:rsidRPr="00D869E3">
        <w:rPr>
          <w:rFonts w:ascii="Verdana" w:hAnsi="Verdana"/>
          <w:color w:val="000000"/>
          <w:sz w:val="20"/>
          <w:szCs w:val="20"/>
          <w:lang w:val="en-US"/>
        </w:rPr>
        <w:t xml:space="preserve"> (a) and (h) </w:t>
      </w:r>
      <w:r w:rsidR="00687684" w:rsidRPr="00D869E3">
        <w:rPr>
          <w:rFonts w:ascii="Verdana" w:hAnsi="Verdana"/>
          <w:color w:val="000000"/>
          <w:sz w:val="20"/>
          <w:szCs w:val="20"/>
          <w:lang w:val="en-US"/>
        </w:rPr>
        <w:t xml:space="preserve">of </w:t>
      </w:r>
      <w:r w:rsidRPr="00D869E3">
        <w:rPr>
          <w:rFonts w:ascii="Verdana" w:hAnsi="Verdana"/>
          <w:color w:val="000000"/>
          <w:sz w:val="20"/>
          <w:szCs w:val="20"/>
          <w:lang w:val="en-US"/>
        </w:rPr>
        <w:t>a</w:t>
      </w:r>
      <w:r w:rsidR="00687684" w:rsidRPr="00D869E3">
        <w:rPr>
          <w:rFonts w:ascii="Verdana" w:hAnsi="Verdana"/>
          <w:color w:val="000000"/>
          <w:sz w:val="20"/>
          <w:szCs w:val="20"/>
          <w:lang w:val="en-US"/>
        </w:rPr>
        <w:t>rticle</w:t>
      </w:r>
      <w:r w:rsidR="00275EDE" w:rsidRPr="00D869E3">
        <w:rPr>
          <w:rFonts w:ascii="Verdana" w:hAnsi="Verdana"/>
          <w:color w:val="000000"/>
          <w:sz w:val="20"/>
          <w:szCs w:val="20"/>
          <w:lang w:val="en-US"/>
        </w:rPr>
        <w:t xml:space="preserve"> 5 </w:t>
      </w:r>
      <w:r w:rsidR="002F2E2B" w:rsidRPr="00D869E3">
        <w:rPr>
          <w:rFonts w:ascii="Verdana" w:hAnsi="Verdana"/>
          <w:color w:val="000000"/>
          <w:sz w:val="20"/>
          <w:szCs w:val="20"/>
          <w:lang w:val="en-US"/>
        </w:rPr>
        <w:t>of</w:t>
      </w:r>
      <w:r w:rsidR="00275EDE" w:rsidRPr="00D869E3">
        <w:rPr>
          <w:rFonts w:ascii="Verdana" w:hAnsi="Verdana"/>
          <w:color w:val="000000"/>
          <w:sz w:val="20"/>
          <w:szCs w:val="20"/>
          <w:lang w:val="en-US"/>
        </w:rPr>
        <w:t xml:space="preserve"> </w:t>
      </w:r>
      <w:r w:rsidRPr="00D869E3">
        <w:rPr>
          <w:rFonts w:ascii="Verdana" w:hAnsi="Verdana"/>
          <w:color w:val="000000"/>
          <w:sz w:val="20"/>
          <w:szCs w:val="20"/>
          <w:lang w:val="en-US"/>
        </w:rPr>
        <w:t>Law</w:t>
      </w:r>
      <w:r w:rsidR="00275EDE" w:rsidRPr="00D869E3">
        <w:rPr>
          <w:rFonts w:ascii="Verdana" w:hAnsi="Verdana"/>
          <w:color w:val="000000"/>
          <w:sz w:val="20"/>
          <w:szCs w:val="20"/>
          <w:lang w:val="en-US"/>
        </w:rPr>
        <w:t xml:space="preserve"> </w:t>
      </w:r>
      <w:r w:rsidRPr="00D869E3">
        <w:rPr>
          <w:rFonts w:ascii="Verdana" w:hAnsi="Verdana"/>
          <w:color w:val="000000"/>
          <w:sz w:val="20"/>
          <w:szCs w:val="20"/>
          <w:lang w:val="en-US"/>
        </w:rPr>
        <w:t xml:space="preserve">No. </w:t>
      </w:r>
      <w:r w:rsidR="00275EDE" w:rsidRPr="00D869E3">
        <w:rPr>
          <w:rFonts w:ascii="Verdana" w:hAnsi="Verdana"/>
          <w:color w:val="000000"/>
          <w:sz w:val="20"/>
          <w:szCs w:val="20"/>
          <w:lang w:val="en-US"/>
        </w:rPr>
        <w:t xml:space="preserve">24514, </w:t>
      </w:r>
      <w:r w:rsidRPr="00D869E3">
        <w:rPr>
          <w:rFonts w:ascii="Verdana" w:hAnsi="Verdana"/>
          <w:color w:val="000000"/>
          <w:sz w:val="20"/>
          <w:szCs w:val="20"/>
          <w:lang w:val="en-US"/>
        </w:rPr>
        <w:t xml:space="preserve">which consider </w:t>
      </w:r>
      <w:r w:rsidR="00CC4B3E" w:rsidRPr="00D869E3">
        <w:rPr>
          <w:rFonts w:ascii="Verdana" w:hAnsi="Verdana"/>
          <w:color w:val="000000"/>
          <w:sz w:val="20"/>
          <w:szCs w:val="20"/>
          <w:lang w:val="en-US"/>
        </w:rPr>
        <w:t xml:space="preserve">that </w:t>
      </w:r>
      <w:r w:rsidRPr="00D869E3">
        <w:rPr>
          <w:rFonts w:ascii="Verdana" w:hAnsi="Verdana"/>
          <w:color w:val="000000"/>
          <w:sz w:val="20"/>
          <w:szCs w:val="20"/>
          <w:lang w:val="en-US"/>
        </w:rPr>
        <w:t xml:space="preserve">unjustified failure to </w:t>
      </w:r>
      <w:r w:rsidR="00103C07" w:rsidRPr="00D869E3">
        <w:rPr>
          <w:rFonts w:ascii="Verdana" w:hAnsi="Verdana"/>
          <w:color w:val="000000"/>
          <w:sz w:val="20"/>
          <w:szCs w:val="20"/>
          <w:lang w:val="en-US"/>
        </w:rPr>
        <w:t>meet</w:t>
      </w:r>
      <w:r w:rsidRPr="00D869E3">
        <w:rPr>
          <w:rFonts w:ascii="Verdana" w:hAnsi="Verdana"/>
          <w:color w:val="000000"/>
          <w:sz w:val="20"/>
          <w:szCs w:val="20"/>
          <w:lang w:val="en-US"/>
        </w:rPr>
        <w:t xml:space="preserve"> work obligations, serious </w:t>
      </w:r>
      <w:r w:rsidR="00EC6DBA" w:rsidRPr="00D869E3">
        <w:rPr>
          <w:rFonts w:ascii="Verdana" w:hAnsi="Verdana"/>
          <w:color w:val="000000"/>
          <w:sz w:val="20"/>
          <w:szCs w:val="20"/>
          <w:lang w:val="en-US"/>
        </w:rPr>
        <w:t>insubordination</w:t>
      </w:r>
      <w:r w:rsidRPr="00D869E3">
        <w:rPr>
          <w:rFonts w:ascii="Verdana" w:hAnsi="Verdana"/>
          <w:color w:val="000000"/>
          <w:sz w:val="20"/>
          <w:szCs w:val="20"/>
          <w:lang w:val="en-US"/>
        </w:rPr>
        <w:t>, and “</w:t>
      </w:r>
      <w:r w:rsidR="00EC6DBA" w:rsidRPr="00D869E3">
        <w:rPr>
          <w:rFonts w:ascii="Verdana" w:hAnsi="Verdana"/>
          <w:color w:val="000000"/>
          <w:sz w:val="20"/>
          <w:szCs w:val="20"/>
          <w:lang w:val="en-US"/>
        </w:rPr>
        <w:t xml:space="preserve">serious verbal </w:t>
      </w:r>
      <w:r w:rsidR="009D2A11" w:rsidRPr="00D869E3">
        <w:rPr>
          <w:rFonts w:ascii="Verdana" w:hAnsi="Verdana"/>
          <w:color w:val="000000"/>
          <w:sz w:val="20"/>
          <w:szCs w:val="20"/>
          <w:lang w:val="en-US"/>
        </w:rPr>
        <w:t>misconduct</w:t>
      </w:r>
      <w:r w:rsidRPr="00D869E3">
        <w:rPr>
          <w:rFonts w:ascii="Verdana" w:hAnsi="Verdana"/>
          <w:color w:val="000000"/>
          <w:sz w:val="20"/>
          <w:szCs w:val="20"/>
          <w:lang w:val="en-US"/>
        </w:rPr>
        <w:t xml:space="preserve">” </w:t>
      </w:r>
      <w:r w:rsidR="00EC6DBA" w:rsidRPr="00D869E3">
        <w:rPr>
          <w:rFonts w:ascii="Verdana" w:hAnsi="Verdana"/>
          <w:color w:val="000000"/>
          <w:sz w:val="20"/>
          <w:szCs w:val="20"/>
          <w:lang w:val="en-US"/>
        </w:rPr>
        <w:t>against</w:t>
      </w:r>
      <w:r w:rsidRPr="00D869E3">
        <w:rPr>
          <w:rFonts w:ascii="Verdana" w:hAnsi="Verdana"/>
          <w:color w:val="000000"/>
          <w:sz w:val="20"/>
          <w:szCs w:val="20"/>
          <w:lang w:val="en-US"/>
        </w:rPr>
        <w:t xml:space="preserve"> the employer a</w:t>
      </w:r>
      <w:r w:rsidR="00CC4B3E" w:rsidRPr="00D869E3">
        <w:rPr>
          <w:rFonts w:ascii="Verdana" w:hAnsi="Verdana"/>
          <w:color w:val="000000"/>
          <w:sz w:val="20"/>
          <w:szCs w:val="20"/>
          <w:lang w:val="en-US"/>
        </w:rPr>
        <w:t>re</w:t>
      </w:r>
      <w:r w:rsidRPr="00D869E3">
        <w:rPr>
          <w:rFonts w:ascii="Verdana" w:hAnsi="Verdana"/>
          <w:color w:val="000000"/>
          <w:sz w:val="20"/>
          <w:szCs w:val="20"/>
          <w:lang w:val="en-US"/>
        </w:rPr>
        <w:t xml:space="preserve"> justified cause</w:t>
      </w:r>
      <w:r w:rsidR="00CC4B3E" w:rsidRPr="00D869E3">
        <w:rPr>
          <w:rFonts w:ascii="Verdana" w:hAnsi="Verdana"/>
          <w:color w:val="000000"/>
          <w:sz w:val="20"/>
          <w:szCs w:val="20"/>
          <w:lang w:val="en-US"/>
        </w:rPr>
        <w:t>s</w:t>
      </w:r>
      <w:r w:rsidRPr="00D869E3">
        <w:rPr>
          <w:rFonts w:ascii="Verdana" w:hAnsi="Verdana"/>
          <w:color w:val="000000"/>
          <w:sz w:val="20"/>
          <w:szCs w:val="20"/>
          <w:lang w:val="en-US"/>
        </w:rPr>
        <w:t xml:space="preserve"> </w:t>
      </w:r>
      <w:r w:rsidR="00CC4B3E" w:rsidRPr="00D869E3">
        <w:rPr>
          <w:rFonts w:ascii="Verdana" w:hAnsi="Verdana"/>
          <w:color w:val="000000"/>
          <w:sz w:val="20"/>
          <w:szCs w:val="20"/>
          <w:lang w:val="en-US"/>
        </w:rPr>
        <w:t>for</w:t>
      </w:r>
      <w:r w:rsidRPr="00D869E3">
        <w:rPr>
          <w:rFonts w:ascii="Verdana" w:hAnsi="Verdana"/>
          <w:color w:val="000000"/>
          <w:sz w:val="20"/>
          <w:szCs w:val="20"/>
          <w:lang w:val="en-US"/>
        </w:rPr>
        <w:t xml:space="preserve"> dismissal. According to this letter</w:t>
      </w:r>
      <w:r w:rsidR="00275EDE" w:rsidRPr="00D869E3">
        <w:rPr>
          <w:rFonts w:ascii="Verdana" w:hAnsi="Verdana"/>
          <w:color w:val="000000"/>
          <w:sz w:val="20"/>
          <w:szCs w:val="20"/>
          <w:lang w:val="en-US"/>
        </w:rPr>
        <w:t>, Alfredo Lagos del Campo ha</w:t>
      </w:r>
      <w:r w:rsidRPr="00D869E3">
        <w:rPr>
          <w:rFonts w:ascii="Verdana" w:hAnsi="Verdana"/>
          <w:color w:val="000000"/>
          <w:sz w:val="20"/>
          <w:szCs w:val="20"/>
          <w:lang w:val="en-US"/>
        </w:rPr>
        <w:t xml:space="preserve">d incurred </w:t>
      </w:r>
      <w:r w:rsidR="00491E38" w:rsidRPr="00D869E3">
        <w:rPr>
          <w:rFonts w:ascii="Verdana" w:hAnsi="Verdana"/>
          <w:color w:val="000000"/>
          <w:sz w:val="20"/>
          <w:szCs w:val="20"/>
          <w:lang w:val="en-US"/>
        </w:rPr>
        <w:t xml:space="preserve">in </w:t>
      </w:r>
      <w:r w:rsidRPr="00D869E3">
        <w:rPr>
          <w:rFonts w:ascii="Verdana" w:hAnsi="Verdana"/>
          <w:color w:val="000000"/>
          <w:sz w:val="20"/>
          <w:szCs w:val="20"/>
          <w:lang w:val="en-US"/>
        </w:rPr>
        <w:t>these grounds for dismissal. The General Manager</w:t>
      </w:r>
      <w:r w:rsidR="00275EDE" w:rsidRPr="00D869E3">
        <w:rPr>
          <w:rFonts w:ascii="Verdana" w:hAnsi="Verdana"/>
          <w:color w:val="000000"/>
          <w:sz w:val="20"/>
          <w:szCs w:val="20"/>
          <w:lang w:val="en-US"/>
        </w:rPr>
        <w:t xml:space="preserve"> </w:t>
      </w:r>
      <w:r w:rsidRPr="00D869E3">
        <w:rPr>
          <w:rFonts w:ascii="Verdana" w:hAnsi="Verdana"/>
          <w:color w:val="000000"/>
          <w:sz w:val="20"/>
          <w:szCs w:val="20"/>
          <w:lang w:val="en-US"/>
        </w:rPr>
        <w:t xml:space="preserve">of the company considered that the </w:t>
      </w:r>
      <w:r w:rsidR="004800B8" w:rsidRPr="00D869E3">
        <w:rPr>
          <w:rFonts w:ascii="Verdana" w:hAnsi="Verdana"/>
          <w:color w:val="000000"/>
          <w:sz w:val="20"/>
          <w:szCs w:val="20"/>
          <w:lang w:val="en-US"/>
        </w:rPr>
        <w:t>statement</w:t>
      </w:r>
      <w:r w:rsidR="00A157F5" w:rsidRPr="00D869E3">
        <w:rPr>
          <w:rFonts w:ascii="Verdana" w:hAnsi="Verdana"/>
          <w:color w:val="000000"/>
          <w:sz w:val="20"/>
          <w:szCs w:val="20"/>
          <w:lang w:val="en-US"/>
        </w:rPr>
        <w:t>s</w:t>
      </w:r>
      <w:r w:rsidRPr="00D869E3">
        <w:rPr>
          <w:rFonts w:ascii="Verdana" w:hAnsi="Verdana"/>
          <w:color w:val="000000"/>
          <w:sz w:val="20"/>
          <w:szCs w:val="20"/>
          <w:lang w:val="en-US"/>
        </w:rPr>
        <w:t xml:space="preserve"> made by </w:t>
      </w:r>
      <w:r w:rsidRPr="00D869E3">
        <w:rPr>
          <w:rFonts w:ascii="Verdana" w:hAnsi="Verdana"/>
          <w:sz w:val="20"/>
          <w:szCs w:val="20"/>
          <w:lang w:val="en-US"/>
        </w:rPr>
        <w:t>of Mr. Lagos del Campo regarding the “</w:t>
      </w:r>
      <w:r w:rsidR="00AA3112" w:rsidRPr="00D869E3">
        <w:rPr>
          <w:rFonts w:ascii="Verdana" w:hAnsi="Verdana"/>
          <w:sz w:val="20"/>
          <w:szCs w:val="20"/>
          <w:lang w:val="en-US"/>
        </w:rPr>
        <w:t>fraudulent</w:t>
      </w:r>
      <w:r w:rsidRPr="00D869E3">
        <w:rPr>
          <w:rFonts w:ascii="Verdana" w:hAnsi="Verdana"/>
          <w:sz w:val="20"/>
          <w:szCs w:val="20"/>
          <w:lang w:val="en-US"/>
        </w:rPr>
        <w:t xml:space="preserve"> and unlawful understanding” and “complicity” between the Management and the Director of the </w:t>
      </w:r>
      <w:r w:rsidR="00EC2233" w:rsidRPr="00D869E3">
        <w:rPr>
          <w:rFonts w:ascii="Verdana" w:hAnsi="Verdana"/>
          <w:sz w:val="20"/>
          <w:szCs w:val="20"/>
          <w:lang w:val="en-US"/>
        </w:rPr>
        <w:t>Participation Directorate</w:t>
      </w:r>
      <w:r w:rsidRPr="00D869E3">
        <w:rPr>
          <w:rFonts w:ascii="Verdana" w:hAnsi="Verdana"/>
          <w:sz w:val="20"/>
          <w:szCs w:val="20"/>
          <w:lang w:val="en-US"/>
        </w:rPr>
        <w:t xml:space="preserve"> was “particularly serious.”</w:t>
      </w:r>
      <w:r w:rsidR="00275EDE" w:rsidRPr="00D869E3">
        <w:rPr>
          <w:rFonts w:ascii="Verdana" w:hAnsi="Verdana"/>
          <w:sz w:val="20"/>
          <w:szCs w:val="20"/>
          <w:vertAlign w:val="superscript"/>
          <w:lang w:val="en-US"/>
        </w:rPr>
        <w:footnoteReference w:id="63"/>
      </w:r>
      <w:r w:rsidR="00275EDE" w:rsidRPr="00D869E3">
        <w:rPr>
          <w:rFonts w:ascii="Verdana" w:hAnsi="Verdana"/>
          <w:b/>
          <w:color w:val="000000"/>
          <w:sz w:val="20"/>
          <w:szCs w:val="20"/>
          <w:lang w:val="en-US"/>
        </w:rPr>
        <w:t xml:space="preserve"> </w:t>
      </w:r>
    </w:p>
    <w:p w14:paraId="4BF43F79" w14:textId="77777777" w:rsidR="00275EDE" w:rsidRPr="00D869E3" w:rsidRDefault="00275EDE" w:rsidP="009C6F8E">
      <w:pPr>
        <w:jc w:val="both"/>
        <w:rPr>
          <w:rFonts w:ascii="Verdana" w:hAnsi="Verdana"/>
          <w:color w:val="000000"/>
          <w:sz w:val="20"/>
          <w:szCs w:val="20"/>
          <w:lang w:val="en-US"/>
        </w:rPr>
      </w:pPr>
    </w:p>
    <w:p w14:paraId="788EFFEB" w14:textId="67BEE0FB" w:rsidR="007C5857" w:rsidRPr="00D869E3" w:rsidRDefault="00852CCA" w:rsidP="00A157F5">
      <w:pPr>
        <w:pStyle w:val="Prrafodelista"/>
        <w:numPr>
          <w:ilvl w:val="0"/>
          <w:numId w:val="1"/>
        </w:numPr>
        <w:ind w:left="0" w:hanging="11"/>
        <w:jc w:val="both"/>
        <w:rPr>
          <w:rFonts w:ascii="Verdana" w:hAnsi="Verdana"/>
          <w:color w:val="000000"/>
          <w:sz w:val="20"/>
          <w:szCs w:val="20"/>
          <w:lang w:val="en-US"/>
        </w:rPr>
      </w:pPr>
      <w:r w:rsidRPr="00D869E3">
        <w:rPr>
          <w:rFonts w:ascii="Verdana" w:hAnsi="Verdana"/>
          <w:color w:val="000000"/>
          <w:sz w:val="20"/>
          <w:szCs w:val="20"/>
          <w:lang w:val="en-US"/>
        </w:rPr>
        <w:t xml:space="preserve">The company indicated that </w:t>
      </w:r>
      <w:r w:rsidR="00A157F5" w:rsidRPr="00D869E3">
        <w:rPr>
          <w:rFonts w:ascii="Verdana" w:hAnsi="Verdana"/>
          <w:color w:val="000000"/>
          <w:sz w:val="20"/>
          <w:szCs w:val="20"/>
          <w:lang w:val="en-US"/>
        </w:rPr>
        <w:t xml:space="preserve">the opinions expressed in the </w:t>
      </w:r>
      <w:r w:rsidR="00E91CF4" w:rsidRPr="00D869E3">
        <w:rPr>
          <w:rFonts w:ascii="Verdana" w:hAnsi="Verdana"/>
          <w:color w:val="000000"/>
          <w:sz w:val="20"/>
          <w:szCs w:val="20"/>
          <w:lang w:val="en-US"/>
        </w:rPr>
        <w:t>interview</w:t>
      </w:r>
      <w:r w:rsidR="00A157F5" w:rsidRPr="00D869E3">
        <w:rPr>
          <w:rFonts w:ascii="Verdana" w:hAnsi="Verdana"/>
          <w:color w:val="000000"/>
          <w:sz w:val="20"/>
          <w:szCs w:val="20"/>
          <w:lang w:val="en-US"/>
        </w:rPr>
        <w:t>, “in addition to constituting serious work-related misconduct, also constituted the offense of libel.” The company also informed Mr. Lagos del Campo that he should respond to the charges made against him. During that process, the company “exonerated” Mr. Lagos del Campo from coming to work, while “paying him his wages and any other benefits to which he was entitled.</w:t>
      </w:r>
      <w:r w:rsidR="006436CA" w:rsidRPr="00D869E3">
        <w:rPr>
          <w:rFonts w:ascii="Verdana" w:hAnsi="Verdana"/>
          <w:sz w:val="20"/>
          <w:szCs w:val="20"/>
          <w:lang w:val="en-US"/>
        </w:rPr>
        <w:t>”</w:t>
      </w:r>
      <w:r w:rsidR="00275EDE" w:rsidRPr="00D869E3">
        <w:rPr>
          <w:rFonts w:ascii="Verdana" w:hAnsi="Verdana"/>
          <w:color w:val="000000"/>
          <w:sz w:val="20"/>
          <w:szCs w:val="20"/>
          <w:vertAlign w:val="superscript"/>
          <w:lang w:val="en-US"/>
        </w:rPr>
        <w:footnoteReference w:id="64"/>
      </w:r>
      <w:r w:rsidR="00A157F5" w:rsidRPr="00D869E3">
        <w:rPr>
          <w:rFonts w:ascii="Verdana" w:hAnsi="Verdana"/>
          <w:sz w:val="20"/>
          <w:szCs w:val="20"/>
          <w:lang w:val="en-US"/>
        </w:rPr>
        <w:t xml:space="preserve"> As a result, </w:t>
      </w:r>
      <w:r w:rsidR="00EE0BD4" w:rsidRPr="00D869E3">
        <w:rPr>
          <w:rFonts w:ascii="Verdana" w:hAnsi="Verdana"/>
          <w:color w:val="000000"/>
          <w:sz w:val="20"/>
          <w:szCs w:val="20"/>
          <w:lang w:val="en-US"/>
        </w:rPr>
        <w:t>Mr. Lagos</w:t>
      </w:r>
      <w:r w:rsidR="00275EDE" w:rsidRPr="00D869E3">
        <w:rPr>
          <w:rFonts w:ascii="Verdana" w:hAnsi="Verdana"/>
          <w:color w:val="000000"/>
          <w:sz w:val="20"/>
          <w:szCs w:val="20"/>
          <w:lang w:val="en-US"/>
        </w:rPr>
        <w:t xml:space="preserve"> del Campo </w:t>
      </w:r>
      <w:r w:rsidR="00A157F5" w:rsidRPr="00D869E3">
        <w:rPr>
          <w:rFonts w:ascii="Verdana" w:hAnsi="Verdana"/>
          <w:color w:val="000000"/>
          <w:sz w:val="20"/>
          <w:szCs w:val="20"/>
          <w:lang w:val="en-US"/>
        </w:rPr>
        <w:t>was prohibited from entering the company on June 27,</w:t>
      </w:r>
      <w:r w:rsidR="00275EDE" w:rsidRPr="00D869E3">
        <w:rPr>
          <w:rFonts w:ascii="Verdana" w:hAnsi="Verdana"/>
          <w:color w:val="000000"/>
          <w:sz w:val="20"/>
          <w:szCs w:val="20"/>
          <w:lang w:val="en-US"/>
        </w:rPr>
        <w:t xml:space="preserve"> 1989</w:t>
      </w:r>
      <w:r w:rsidR="00A157F5" w:rsidRPr="00D869E3">
        <w:rPr>
          <w:rFonts w:ascii="Verdana" w:hAnsi="Verdana"/>
          <w:color w:val="000000"/>
          <w:sz w:val="20"/>
          <w:szCs w:val="20"/>
          <w:lang w:val="en-US"/>
        </w:rPr>
        <w:t xml:space="preserve">, </w:t>
      </w:r>
      <w:r w:rsidR="00AA3112" w:rsidRPr="00D869E3">
        <w:rPr>
          <w:rFonts w:ascii="Verdana" w:hAnsi="Verdana"/>
          <w:color w:val="000000"/>
          <w:sz w:val="20"/>
          <w:szCs w:val="20"/>
          <w:lang w:val="en-US"/>
        </w:rPr>
        <w:t>and this</w:t>
      </w:r>
      <w:r w:rsidR="00A157F5" w:rsidRPr="00D869E3">
        <w:rPr>
          <w:rFonts w:ascii="Verdana" w:hAnsi="Verdana"/>
          <w:color w:val="000000"/>
          <w:sz w:val="20"/>
          <w:szCs w:val="20"/>
          <w:lang w:val="en-US"/>
        </w:rPr>
        <w:t xml:space="preserve"> prevented him from attending the meeting that he himself had called, in his capacity as</w:t>
      </w:r>
      <w:r w:rsidR="00275EDE" w:rsidRPr="00D869E3">
        <w:rPr>
          <w:rFonts w:ascii="Verdana" w:hAnsi="Verdana"/>
          <w:color w:val="000000"/>
          <w:sz w:val="20"/>
          <w:szCs w:val="20"/>
          <w:lang w:val="en-US"/>
        </w:rPr>
        <w:t xml:space="preserve"> </w:t>
      </w:r>
      <w:r w:rsidR="001B0492" w:rsidRPr="00D869E3">
        <w:rPr>
          <w:rFonts w:ascii="Verdana" w:hAnsi="Verdana"/>
          <w:color w:val="000000"/>
          <w:sz w:val="20"/>
          <w:szCs w:val="20"/>
          <w:lang w:val="en-US"/>
        </w:rPr>
        <w:t>president of the Electoral</w:t>
      </w:r>
      <w:r w:rsidR="00EA232B" w:rsidRPr="00D869E3">
        <w:rPr>
          <w:rFonts w:ascii="Verdana" w:hAnsi="Verdana"/>
          <w:color w:val="000000"/>
          <w:sz w:val="20"/>
          <w:szCs w:val="20"/>
          <w:lang w:val="en-US"/>
        </w:rPr>
        <w:t xml:space="preserve"> Committee</w:t>
      </w:r>
      <w:r w:rsidR="00275EDE" w:rsidRPr="00D869E3">
        <w:rPr>
          <w:rFonts w:ascii="Verdana" w:hAnsi="Verdana"/>
          <w:color w:val="000000"/>
          <w:sz w:val="20"/>
          <w:szCs w:val="20"/>
          <w:lang w:val="en-US"/>
        </w:rPr>
        <w:t xml:space="preserve">, </w:t>
      </w:r>
      <w:r w:rsidR="00A157F5" w:rsidRPr="00D869E3">
        <w:rPr>
          <w:rFonts w:ascii="Verdana" w:hAnsi="Verdana"/>
          <w:color w:val="000000"/>
          <w:sz w:val="20"/>
          <w:szCs w:val="20"/>
          <w:lang w:val="en-US"/>
        </w:rPr>
        <w:t xml:space="preserve">with the other members of </w:t>
      </w:r>
      <w:r w:rsidR="00F43C5F" w:rsidRPr="00D869E3">
        <w:rPr>
          <w:rFonts w:ascii="Verdana" w:hAnsi="Verdana"/>
          <w:color w:val="000000"/>
          <w:sz w:val="20"/>
          <w:szCs w:val="20"/>
          <w:lang w:val="en-US"/>
        </w:rPr>
        <w:t>Committee</w:t>
      </w:r>
      <w:r w:rsidR="00275EDE" w:rsidRPr="00D869E3">
        <w:rPr>
          <w:rFonts w:ascii="Verdana" w:hAnsi="Verdana"/>
          <w:color w:val="000000"/>
          <w:sz w:val="20"/>
          <w:szCs w:val="20"/>
          <w:lang w:val="en-US"/>
        </w:rPr>
        <w:t xml:space="preserve"> </w:t>
      </w:r>
      <w:r w:rsidR="00A157F5" w:rsidRPr="00D869E3">
        <w:rPr>
          <w:rFonts w:ascii="Verdana" w:hAnsi="Verdana"/>
          <w:color w:val="000000"/>
          <w:sz w:val="20"/>
          <w:szCs w:val="20"/>
          <w:lang w:val="en-US"/>
        </w:rPr>
        <w:t>to discuss the issue of a new election.</w:t>
      </w:r>
    </w:p>
    <w:p w14:paraId="0CE086E0" w14:textId="77777777" w:rsidR="007C5857" w:rsidRPr="00D869E3" w:rsidRDefault="007C5857" w:rsidP="009C6F8E">
      <w:pPr>
        <w:jc w:val="both"/>
        <w:rPr>
          <w:rFonts w:ascii="Verdana" w:hAnsi="Verdana"/>
          <w:b/>
          <w:color w:val="000000"/>
          <w:sz w:val="20"/>
          <w:szCs w:val="20"/>
          <w:lang w:val="en-US"/>
        </w:rPr>
      </w:pPr>
    </w:p>
    <w:p w14:paraId="5CED3683" w14:textId="49612354" w:rsidR="00275EDE" w:rsidRPr="00D869E3" w:rsidRDefault="00A157F5" w:rsidP="00A157F5">
      <w:pPr>
        <w:pStyle w:val="Prrafodelista"/>
        <w:numPr>
          <w:ilvl w:val="0"/>
          <w:numId w:val="1"/>
        </w:numPr>
        <w:ind w:left="0" w:hanging="11"/>
        <w:jc w:val="both"/>
        <w:rPr>
          <w:rFonts w:ascii="Verdana" w:hAnsi="Verdana"/>
          <w:sz w:val="20"/>
          <w:szCs w:val="20"/>
          <w:lang w:val="en-US"/>
        </w:rPr>
      </w:pPr>
      <w:r w:rsidRPr="00D869E3">
        <w:rPr>
          <w:rFonts w:ascii="Verdana" w:hAnsi="Verdana"/>
          <w:sz w:val="20"/>
          <w:szCs w:val="20"/>
          <w:lang w:val="en-US"/>
        </w:rPr>
        <w:t>In a letter of</w:t>
      </w:r>
      <w:r w:rsidR="00275EDE" w:rsidRPr="00D869E3">
        <w:rPr>
          <w:rFonts w:ascii="Verdana" w:hAnsi="Verdana"/>
          <w:sz w:val="20"/>
          <w:szCs w:val="20"/>
          <w:lang w:val="en-US"/>
        </w:rPr>
        <w:t xml:space="preserve"> </w:t>
      </w:r>
      <w:r w:rsidRPr="00D869E3">
        <w:rPr>
          <w:rFonts w:ascii="Verdana" w:hAnsi="Verdana"/>
          <w:sz w:val="20"/>
          <w:szCs w:val="20"/>
          <w:lang w:val="en-US"/>
        </w:rPr>
        <w:t>June 30,</w:t>
      </w:r>
      <w:r w:rsidR="00275EDE" w:rsidRPr="00D869E3">
        <w:rPr>
          <w:rFonts w:ascii="Verdana" w:hAnsi="Verdana"/>
          <w:sz w:val="20"/>
          <w:szCs w:val="20"/>
          <w:lang w:val="en-US"/>
        </w:rPr>
        <w:t xml:space="preserve"> 1989</w:t>
      </w:r>
      <w:r w:rsidRPr="00D869E3">
        <w:rPr>
          <w:rFonts w:ascii="Verdana" w:hAnsi="Verdana"/>
          <w:sz w:val="20"/>
          <w:szCs w:val="20"/>
          <w:lang w:val="en-US"/>
        </w:rPr>
        <w:t>, addressed to the General Manager</w:t>
      </w:r>
      <w:r w:rsidR="00275EDE" w:rsidRPr="00D869E3">
        <w:rPr>
          <w:rFonts w:ascii="Verdana" w:hAnsi="Verdana"/>
          <w:sz w:val="20"/>
          <w:szCs w:val="20"/>
          <w:lang w:val="en-US"/>
        </w:rPr>
        <w:t xml:space="preserve">, </w:t>
      </w:r>
      <w:r w:rsidR="001E44D3" w:rsidRPr="00D869E3">
        <w:rPr>
          <w:rFonts w:ascii="Verdana" w:hAnsi="Verdana"/>
          <w:sz w:val="20"/>
          <w:szCs w:val="20"/>
          <w:lang w:val="en-US"/>
        </w:rPr>
        <w:t>Mr. Lagos del Campo</w:t>
      </w:r>
      <w:r w:rsidR="00275EDE" w:rsidRPr="00D869E3">
        <w:rPr>
          <w:rFonts w:ascii="Verdana" w:hAnsi="Verdana"/>
          <w:sz w:val="20"/>
          <w:szCs w:val="20"/>
          <w:lang w:val="en-US"/>
        </w:rPr>
        <w:t xml:space="preserve"> </w:t>
      </w:r>
      <w:r w:rsidRPr="00D869E3">
        <w:rPr>
          <w:rFonts w:ascii="Verdana" w:hAnsi="Verdana"/>
          <w:sz w:val="20"/>
          <w:szCs w:val="20"/>
          <w:lang w:val="en-US"/>
        </w:rPr>
        <w:t>sought to disprove the charges that had been brought in the notarized letter. I</w:t>
      </w:r>
      <w:r w:rsidR="00275EDE" w:rsidRPr="00D869E3">
        <w:rPr>
          <w:rFonts w:ascii="Verdana" w:hAnsi="Verdana"/>
          <w:sz w:val="20"/>
          <w:szCs w:val="20"/>
          <w:lang w:val="en-US"/>
        </w:rPr>
        <w:t xml:space="preserve">n particular, </w:t>
      </w:r>
      <w:r w:rsidR="001E44D3" w:rsidRPr="00D869E3">
        <w:rPr>
          <w:rFonts w:ascii="Verdana" w:hAnsi="Verdana"/>
          <w:sz w:val="20"/>
          <w:szCs w:val="20"/>
          <w:lang w:val="en-US"/>
        </w:rPr>
        <w:t>Mr. Lagos del Campo</w:t>
      </w:r>
      <w:r w:rsidR="00275EDE" w:rsidRPr="00D869E3">
        <w:rPr>
          <w:rFonts w:ascii="Verdana" w:hAnsi="Verdana"/>
          <w:sz w:val="20"/>
          <w:szCs w:val="20"/>
          <w:lang w:val="en-US"/>
        </w:rPr>
        <w:t xml:space="preserve"> </w:t>
      </w:r>
      <w:r w:rsidRPr="00D869E3">
        <w:rPr>
          <w:rFonts w:ascii="Verdana" w:hAnsi="Verdana"/>
          <w:sz w:val="20"/>
          <w:szCs w:val="20"/>
          <w:lang w:val="en-US"/>
        </w:rPr>
        <w:t>indicated that</w:t>
      </w:r>
      <w:r w:rsidR="00275EDE" w:rsidRPr="00D869E3">
        <w:rPr>
          <w:rFonts w:ascii="Verdana" w:hAnsi="Verdana"/>
          <w:sz w:val="20"/>
          <w:szCs w:val="20"/>
          <w:lang w:val="en-US"/>
        </w:rPr>
        <w:t xml:space="preserve">: </w:t>
      </w:r>
      <w:r w:rsidRPr="00D869E3">
        <w:rPr>
          <w:rFonts w:ascii="Verdana" w:hAnsi="Verdana"/>
          <w:sz w:val="20"/>
          <w:szCs w:val="20"/>
          <w:lang w:val="en-US"/>
        </w:rPr>
        <w:t>(</w:t>
      </w:r>
      <w:r w:rsidR="00275EDE" w:rsidRPr="00D869E3">
        <w:rPr>
          <w:rFonts w:ascii="Verdana" w:hAnsi="Verdana"/>
          <w:sz w:val="20"/>
          <w:szCs w:val="20"/>
          <w:lang w:val="en-US"/>
        </w:rPr>
        <w:t xml:space="preserve">a) </w:t>
      </w:r>
      <w:r w:rsidRPr="00D869E3">
        <w:rPr>
          <w:rFonts w:ascii="Verdana" w:hAnsi="Verdana"/>
          <w:sz w:val="20"/>
          <w:szCs w:val="20"/>
          <w:lang w:val="en-US"/>
        </w:rPr>
        <w:t>it was not true that he had failed to comply with his work-related obligations or incurred in serious</w:t>
      </w:r>
      <w:r w:rsidR="00275EDE" w:rsidRPr="00D869E3">
        <w:rPr>
          <w:rFonts w:ascii="Verdana" w:hAnsi="Verdana"/>
          <w:sz w:val="20"/>
          <w:szCs w:val="20"/>
          <w:lang w:val="en-US"/>
        </w:rPr>
        <w:t xml:space="preserve"> </w:t>
      </w:r>
      <w:r w:rsidR="00EC6DBA" w:rsidRPr="00D869E3">
        <w:rPr>
          <w:rFonts w:ascii="Verdana" w:hAnsi="Verdana"/>
          <w:sz w:val="20"/>
          <w:szCs w:val="20"/>
          <w:lang w:val="en-US"/>
        </w:rPr>
        <w:t>insubordination</w:t>
      </w:r>
      <w:r w:rsidR="00275EDE" w:rsidRPr="00D869E3">
        <w:rPr>
          <w:rFonts w:ascii="Verdana" w:hAnsi="Verdana"/>
          <w:sz w:val="20"/>
          <w:szCs w:val="20"/>
          <w:lang w:val="en-US"/>
        </w:rPr>
        <w:t xml:space="preserve">, </w:t>
      </w:r>
      <w:r w:rsidRPr="00D869E3">
        <w:rPr>
          <w:rFonts w:ascii="Verdana" w:hAnsi="Verdana"/>
          <w:sz w:val="20"/>
          <w:szCs w:val="20"/>
          <w:lang w:val="en-US"/>
        </w:rPr>
        <w:t xml:space="preserve">because he had always executed the work assigned to him scrupulously; (b) it was not true that he had incurred in </w:t>
      </w:r>
      <w:r w:rsidRPr="00D869E3">
        <w:rPr>
          <w:rFonts w:ascii="Verdana" w:hAnsi="Verdana"/>
          <w:color w:val="000000"/>
          <w:sz w:val="20"/>
          <w:szCs w:val="20"/>
          <w:lang w:val="en-US"/>
        </w:rPr>
        <w:t>“</w:t>
      </w:r>
      <w:r w:rsidR="00EC6DBA" w:rsidRPr="00D869E3">
        <w:rPr>
          <w:rFonts w:ascii="Verdana" w:hAnsi="Verdana"/>
          <w:color w:val="000000"/>
          <w:sz w:val="20"/>
          <w:szCs w:val="20"/>
          <w:lang w:val="en-US"/>
        </w:rPr>
        <w:t>serious verbal misconduct</w:t>
      </w:r>
      <w:r w:rsidRPr="00D869E3">
        <w:rPr>
          <w:rFonts w:ascii="Verdana" w:hAnsi="Verdana"/>
          <w:color w:val="000000"/>
          <w:sz w:val="20"/>
          <w:szCs w:val="20"/>
          <w:lang w:val="en-US"/>
        </w:rPr>
        <w:t xml:space="preserve">” </w:t>
      </w:r>
      <w:r w:rsidR="00EC6DBA" w:rsidRPr="00D869E3">
        <w:rPr>
          <w:rFonts w:ascii="Verdana" w:hAnsi="Verdana"/>
          <w:color w:val="000000"/>
          <w:sz w:val="20"/>
          <w:szCs w:val="20"/>
          <w:lang w:val="en-US"/>
        </w:rPr>
        <w:t>against</w:t>
      </w:r>
      <w:r w:rsidRPr="00D869E3">
        <w:rPr>
          <w:rFonts w:ascii="Verdana" w:hAnsi="Verdana"/>
          <w:color w:val="000000"/>
          <w:sz w:val="20"/>
          <w:szCs w:val="20"/>
          <w:lang w:val="en-US"/>
        </w:rPr>
        <w:t xml:space="preserve"> the employer or the latter’s </w:t>
      </w:r>
      <w:r w:rsidRPr="00D869E3">
        <w:rPr>
          <w:rFonts w:ascii="Verdana" w:hAnsi="Verdana"/>
          <w:sz w:val="20"/>
          <w:szCs w:val="20"/>
          <w:lang w:val="en-US"/>
        </w:rPr>
        <w:t xml:space="preserve">representatives, because </w:t>
      </w:r>
      <w:r w:rsidR="00AA3112" w:rsidRPr="00D869E3">
        <w:rPr>
          <w:rFonts w:ascii="Verdana" w:hAnsi="Verdana"/>
          <w:sz w:val="20"/>
          <w:szCs w:val="20"/>
          <w:lang w:val="en-US"/>
        </w:rPr>
        <w:t xml:space="preserve">his words had not </w:t>
      </w:r>
      <w:r w:rsidRPr="00D869E3">
        <w:rPr>
          <w:rFonts w:ascii="Verdana" w:hAnsi="Verdana"/>
          <w:sz w:val="20"/>
          <w:szCs w:val="20"/>
          <w:lang w:val="en-US"/>
        </w:rPr>
        <w:t xml:space="preserve">directly </w:t>
      </w:r>
      <w:r w:rsidR="00AA3112" w:rsidRPr="00D869E3">
        <w:rPr>
          <w:rFonts w:ascii="Verdana" w:hAnsi="Verdana"/>
          <w:sz w:val="20"/>
          <w:szCs w:val="20"/>
          <w:lang w:val="en-US"/>
        </w:rPr>
        <w:t>addressed at</w:t>
      </w:r>
      <w:r w:rsidRPr="00D869E3">
        <w:rPr>
          <w:rFonts w:ascii="Verdana" w:hAnsi="Verdana"/>
          <w:sz w:val="20"/>
          <w:szCs w:val="20"/>
          <w:lang w:val="en-US"/>
        </w:rPr>
        <w:t xml:space="preserve"> the employer or with the intention to offend him; (c) since these were not repeat offenses and there had been no previous disciplinary sanction for similar offenses, the company should have proceeded in accordance with the provisions of the Internal Labor Regulations applying, first, the </w:t>
      </w:r>
      <w:r w:rsidR="00AA3112" w:rsidRPr="00D869E3">
        <w:rPr>
          <w:rFonts w:ascii="Verdana" w:hAnsi="Verdana"/>
          <w:sz w:val="20"/>
          <w:szCs w:val="20"/>
          <w:lang w:val="en-US"/>
        </w:rPr>
        <w:t>lesser</w:t>
      </w:r>
      <w:r w:rsidRPr="00D869E3">
        <w:rPr>
          <w:rFonts w:ascii="Verdana" w:hAnsi="Verdana"/>
          <w:sz w:val="20"/>
          <w:szCs w:val="20"/>
          <w:lang w:val="en-US"/>
        </w:rPr>
        <w:t xml:space="preserve"> sanctions established by these regulations; (d) it was not true that he had stated that there had been a “</w:t>
      </w:r>
      <w:r w:rsidR="00AA3112" w:rsidRPr="00D869E3">
        <w:rPr>
          <w:rFonts w:ascii="Verdana" w:hAnsi="Verdana"/>
          <w:sz w:val="20"/>
          <w:szCs w:val="20"/>
          <w:lang w:val="en-US"/>
        </w:rPr>
        <w:t>fraudulent</w:t>
      </w:r>
      <w:r w:rsidRPr="00D869E3">
        <w:rPr>
          <w:rFonts w:ascii="Verdana" w:hAnsi="Verdana"/>
          <w:sz w:val="20"/>
          <w:szCs w:val="20"/>
          <w:lang w:val="en-US"/>
        </w:rPr>
        <w:t xml:space="preserve"> and unlawful understanding” with the Director of the </w:t>
      </w:r>
      <w:r w:rsidR="00EC2233" w:rsidRPr="00D869E3">
        <w:rPr>
          <w:rFonts w:ascii="Verdana" w:hAnsi="Verdana"/>
          <w:sz w:val="20"/>
          <w:szCs w:val="20"/>
          <w:lang w:val="en-US"/>
        </w:rPr>
        <w:t>Participation Directorate</w:t>
      </w:r>
      <w:r w:rsidRPr="00D869E3">
        <w:rPr>
          <w:rFonts w:ascii="Verdana" w:hAnsi="Verdana"/>
          <w:sz w:val="20"/>
          <w:szCs w:val="20"/>
          <w:lang w:val="en-US"/>
        </w:rPr>
        <w:t>; (e) it was eviden</w:t>
      </w:r>
      <w:r w:rsidR="00AA3112" w:rsidRPr="00D869E3">
        <w:rPr>
          <w:rFonts w:ascii="Verdana" w:hAnsi="Verdana"/>
          <w:sz w:val="20"/>
          <w:szCs w:val="20"/>
          <w:lang w:val="en-US"/>
        </w:rPr>
        <w:t>t</w:t>
      </w:r>
      <w:r w:rsidRPr="00D869E3">
        <w:rPr>
          <w:rFonts w:ascii="Verdana" w:hAnsi="Verdana"/>
          <w:sz w:val="20"/>
          <w:szCs w:val="20"/>
          <w:lang w:val="en-US"/>
        </w:rPr>
        <w:t xml:space="preserve"> that his statements had been distorted; (f) also, the notarized letter sought to </w:t>
      </w:r>
      <w:r w:rsidR="00AA3112" w:rsidRPr="00D869E3">
        <w:rPr>
          <w:rFonts w:ascii="Verdana" w:hAnsi="Verdana"/>
          <w:sz w:val="20"/>
          <w:szCs w:val="20"/>
          <w:lang w:val="en-US"/>
        </w:rPr>
        <w:t>ascribe</w:t>
      </w:r>
      <w:r w:rsidRPr="00D869E3">
        <w:rPr>
          <w:rFonts w:ascii="Verdana" w:hAnsi="Verdana"/>
          <w:sz w:val="20"/>
          <w:szCs w:val="20"/>
          <w:lang w:val="en-US"/>
        </w:rPr>
        <w:t xml:space="preserve"> disciplinary sanctions in the exercise of his functions, wh</w:t>
      </w:r>
      <w:r w:rsidR="00AA3112" w:rsidRPr="00D869E3">
        <w:rPr>
          <w:rFonts w:ascii="Verdana" w:hAnsi="Verdana"/>
          <w:sz w:val="20"/>
          <w:szCs w:val="20"/>
          <w:lang w:val="en-US"/>
        </w:rPr>
        <w:t>ereas</w:t>
      </w:r>
      <w:r w:rsidRPr="00D869E3">
        <w:rPr>
          <w:rFonts w:ascii="Verdana" w:hAnsi="Verdana"/>
          <w:sz w:val="20"/>
          <w:szCs w:val="20"/>
          <w:lang w:val="en-US"/>
        </w:rPr>
        <w:t xml:space="preserve"> this was a </w:t>
      </w:r>
      <w:r w:rsidR="00AA3112" w:rsidRPr="00D869E3">
        <w:rPr>
          <w:rFonts w:ascii="Verdana" w:hAnsi="Verdana"/>
          <w:sz w:val="20"/>
          <w:szCs w:val="20"/>
          <w:lang w:val="en-US"/>
        </w:rPr>
        <w:t>conspicuous</w:t>
      </w:r>
      <w:r w:rsidRPr="00D869E3">
        <w:rPr>
          <w:rFonts w:ascii="Verdana" w:hAnsi="Verdana"/>
          <w:sz w:val="20"/>
          <w:szCs w:val="20"/>
          <w:lang w:val="en-US"/>
        </w:rPr>
        <w:t xml:space="preserve"> act of interference in the internal activities </w:t>
      </w:r>
      <w:r w:rsidR="00EA232B" w:rsidRPr="00D869E3">
        <w:rPr>
          <w:rFonts w:ascii="Verdana" w:hAnsi="Verdana"/>
          <w:sz w:val="20"/>
          <w:szCs w:val="20"/>
          <w:lang w:val="en-US"/>
        </w:rPr>
        <w:t>of the Industrial Community</w:t>
      </w:r>
      <w:r w:rsidR="00452C95" w:rsidRPr="00D869E3">
        <w:rPr>
          <w:rFonts w:ascii="Verdana" w:hAnsi="Verdana"/>
          <w:sz w:val="20"/>
          <w:szCs w:val="20"/>
          <w:lang w:val="en-US"/>
        </w:rPr>
        <w:t>,</w:t>
      </w:r>
      <w:r w:rsidR="00687684" w:rsidRPr="00D869E3">
        <w:rPr>
          <w:rFonts w:ascii="Verdana" w:hAnsi="Verdana"/>
          <w:sz w:val="20"/>
          <w:szCs w:val="20"/>
          <w:lang w:val="en-US"/>
        </w:rPr>
        <w:t xml:space="preserve"> and </w:t>
      </w:r>
      <w:r w:rsidRPr="00D869E3">
        <w:rPr>
          <w:rFonts w:ascii="Verdana" w:hAnsi="Verdana"/>
          <w:sz w:val="20"/>
          <w:szCs w:val="20"/>
          <w:lang w:val="en-US"/>
        </w:rPr>
        <w:t>(</w:t>
      </w:r>
      <w:r w:rsidR="00275EDE" w:rsidRPr="00D869E3">
        <w:rPr>
          <w:rFonts w:ascii="Verdana" w:hAnsi="Verdana"/>
          <w:sz w:val="20"/>
          <w:szCs w:val="20"/>
          <w:lang w:val="en-US"/>
        </w:rPr>
        <w:t>g)</w:t>
      </w:r>
      <w:r w:rsidR="007E0ADF" w:rsidRPr="00D869E3">
        <w:rPr>
          <w:rFonts w:ascii="Verdana" w:hAnsi="Verdana"/>
          <w:sz w:val="20"/>
          <w:szCs w:val="20"/>
          <w:lang w:val="en-US"/>
        </w:rPr>
        <w:t xml:space="preserve"> </w:t>
      </w:r>
      <w:r w:rsidRPr="00D869E3">
        <w:rPr>
          <w:rFonts w:ascii="Verdana" w:hAnsi="Verdana"/>
          <w:sz w:val="20"/>
          <w:szCs w:val="20"/>
          <w:lang w:val="en-US"/>
        </w:rPr>
        <w:t>the accusation</w:t>
      </w:r>
      <w:r w:rsidR="00AA3112" w:rsidRPr="00D869E3">
        <w:rPr>
          <w:rFonts w:ascii="Verdana" w:hAnsi="Verdana"/>
          <w:sz w:val="20"/>
          <w:szCs w:val="20"/>
          <w:lang w:val="en-US"/>
        </w:rPr>
        <w:t>s</w:t>
      </w:r>
      <w:r w:rsidRPr="00D869E3">
        <w:rPr>
          <w:rFonts w:ascii="Verdana" w:hAnsi="Verdana"/>
          <w:sz w:val="20"/>
          <w:szCs w:val="20"/>
          <w:lang w:val="en-US"/>
        </w:rPr>
        <w:t xml:space="preserve"> made were an attack on his </w:t>
      </w:r>
      <w:r w:rsidR="00C82C0C" w:rsidRPr="00D869E3">
        <w:rPr>
          <w:rFonts w:ascii="Verdana" w:hAnsi="Verdana"/>
          <w:sz w:val="20"/>
          <w:szCs w:val="20"/>
          <w:lang w:val="en-US"/>
        </w:rPr>
        <w:t>right to freedom</w:t>
      </w:r>
      <w:r w:rsidR="00A62EA8" w:rsidRPr="00D869E3">
        <w:rPr>
          <w:rFonts w:ascii="Verdana" w:hAnsi="Verdana"/>
          <w:sz w:val="20"/>
          <w:szCs w:val="20"/>
          <w:lang w:val="en-US"/>
        </w:rPr>
        <w:t xml:space="preserve"> of expression</w:t>
      </w:r>
      <w:r w:rsidR="00687684" w:rsidRPr="00D869E3">
        <w:rPr>
          <w:rFonts w:ascii="Verdana" w:hAnsi="Verdana"/>
          <w:sz w:val="20"/>
          <w:szCs w:val="20"/>
          <w:lang w:val="en-US"/>
        </w:rPr>
        <w:t xml:space="preserve"> and </w:t>
      </w:r>
      <w:r w:rsidR="006F030D" w:rsidRPr="00D869E3">
        <w:rPr>
          <w:rFonts w:ascii="Verdana" w:hAnsi="Verdana"/>
          <w:sz w:val="20"/>
          <w:szCs w:val="20"/>
          <w:lang w:val="en-US"/>
        </w:rPr>
        <w:t>to impart ideas.</w:t>
      </w:r>
      <w:r w:rsidR="00275EDE" w:rsidRPr="00D869E3">
        <w:rPr>
          <w:rFonts w:ascii="Verdana" w:hAnsi="Verdana"/>
          <w:color w:val="000000"/>
          <w:sz w:val="20"/>
          <w:szCs w:val="20"/>
          <w:vertAlign w:val="superscript"/>
          <w:lang w:val="en-US"/>
        </w:rPr>
        <w:footnoteReference w:id="65"/>
      </w:r>
      <w:r w:rsidR="00275EDE" w:rsidRPr="00D869E3">
        <w:rPr>
          <w:rFonts w:ascii="Verdana" w:hAnsi="Verdana"/>
          <w:sz w:val="20"/>
          <w:szCs w:val="20"/>
          <w:lang w:val="en-US"/>
        </w:rPr>
        <w:t xml:space="preserve"> </w:t>
      </w:r>
    </w:p>
    <w:p w14:paraId="13513920" w14:textId="77777777" w:rsidR="00275EDE" w:rsidRPr="00D869E3" w:rsidRDefault="00275EDE" w:rsidP="009C6F8E">
      <w:pPr>
        <w:jc w:val="both"/>
        <w:rPr>
          <w:rFonts w:ascii="Verdana" w:hAnsi="Verdana"/>
          <w:b/>
          <w:sz w:val="20"/>
          <w:szCs w:val="20"/>
          <w:lang w:val="en-US"/>
        </w:rPr>
      </w:pPr>
    </w:p>
    <w:p w14:paraId="35B2B1FE" w14:textId="7079B650" w:rsidR="00275EDE" w:rsidRPr="00D869E3" w:rsidRDefault="0062551F" w:rsidP="0062551F">
      <w:pPr>
        <w:pStyle w:val="Prrafodelista"/>
        <w:numPr>
          <w:ilvl w:val="0"/>
          <w:numId w:val="1"/>
        </w:numPr>
        <w:ind w:left="0" w:hanging="11"/>
        <w:jc w:val="both"/>
        <w:rPr>
          <w:rFonts w:ascii="Verdana" w:hAnsi="Verdana"/>
          <w:b/>
          <w:sz w:val="20"/>
          <w:szCs w:val="20"/>
          <w:lang w:val="en-US"/>
        </w:rPr>
      </w:pPr>
      <w:r w:rsidRPr="00D869E3">
        <w:rPr>
          <w:rFonts w:ascii="Verdana" w:hAnsi="Verdana"/>
          <w:sz w:val="20"/>
          <w:szCs w:val="20"/>
          <w:lang w:val="en-US"/>
        </w:rPr>
        <w:t>In a note</w:t>
      </w:r>
      <w:r w:rsidR="00275EDE" w:rsidRPr="00D869E3">
        <w:rPr>
          <w:rFonts w:ascii="Verdana" w:hAnsi="Verdana"/>
          <w:sz w:val="20"/>
          <w:szCs w:val="20"/>
          <w:lang w:val="en-US"/>
        </w:rPr>
        <w:t xml:space="preserve"> </w:t>
      </w:r>
      <w:r w:rsidRPr="00D869E3">
        <w:rPr>
          <w:rFonts w:ascii="Verdana" w:hAnsi="Verdana"/>
          <w:sz w:val="20"/>
          <w:szCs w:val="20"/>
          <w:lang w:val="en-US"/>
        </w:rPr>
        <w:t>of</w:t>
      </w:r>
      <w:r w:rsidR="00275EDE" w:rsidRPr="00D869E3">
        <w:rPr>
          <w:rFonts w:ascii="Verdana" w:hAnsi="Verdana"/>
          <w:sz w:val="20"/>
          <w:szCs w:val="20"/>
          <w:lang w:val="en-US"/>
        </w:rPr>
        <w:t xml:space="preserve"> </w:t>
      </w:r>
      <w:r w:rsidRPr="00D869E3">
        <w:rPr>
          <w:rFonts w:ascii="Verdana" w:hAnsi="Verdana"/>
          <w:sz w:val="20"/>
          <w:szCs w:val="20"/>
          <w:lang w:val="en-US"/>
        </w:rPr>
        <w:t>July 1,</w:t>
      </w:r>
      <w:r w:rsidR="00275EDE" w:rsidRPr="00D869E3">
        <w:rPr>
          <w:rFonts w:ascii="Verdana" w:hAnsi="Verdana"/>
          <w:sz w:val="20"/>
          <w:szCs w:val="20"/>
          <w:lang w:val="en-US"/>
        </w:rPr>
        <w:t xml:space="preserve"> 1989</w:t>
      </w:r>
      <w:r w:rsidRPr="00D869E3">
        <w:rPr>
          <w:rFonts w:ascii="Verdana" w:hAnsi="Verdana"/>
          <w:sz w:val="20"/>
          <w:szCs w:val="20"/>
          <w:lang w:val="en-US"/>
        </w:rPr>
        <w:t>,</w:t>
      </w:r>
      <w:r w:rsidR="00275EDE" w:rsidRPr="00D869E3">
        <w:rPr>
          <w:rFonts w:ascii="Verdana" w:hAnsi="Verdana"/>
          <w:sz w:val="20"/>
          <w:szCs w:val="20"/>
          <w:vertAlign w:val="superscript"/>
          <w:lang w:val="en-US"/>
        </w:rPr>
        <w:footnoteReference w:id="66"/>
      </w:r>
      <w:r w:rsidR="00275EDE" w:rsidRPr="00D869E3">
        <w:rPr>
          <w:rFonts w:ascii="Verdana" w:hAnsi="Verdana"/>
          <w:sz w:val="20"/>
          <w:szCs w:val="20"/>
          <w:lang w:val="en-US"/>
        </w:rPr>
        <w:t xml:space="preserve"> </w:t>
      </w:r>
      <w:r w:rsidRPr="00D869E3">
        <w:rPr>
          <w:rFonts w:ascii="Verdana" w:hAnsi="Verdana"/>
          <w:sz w:val="20"/>
          <w:szCs w:val="20"/>
          <w:lang w:val="en-US"/>
        </w:rPr>
        <w:t>the company informed</w:t>
      </w:r>
      <w:r w:rsidR="00EE0BD4" w:rsidRPr="00D869E3">
        <w:rPr>
          <w:rFonts w:ascii="Verdana" w:hAnsi="Verdana"/>
          <w:sz w:val="20"/>
          <w:szCs w:val="20"/>
          <w:lang w:val="en-US"/>
        </w:rPr>
        <w:t xml:space="preserve"> Mr. Lagos</w:t>
      </w:r>
      <w:r w:rsidR="00275EDE" w:rsidRPr="00D869E3">
        <w:rPr>
          <w:rFonts w:ascii="Verdana" w:hAnsi="Verdana"/>
          <w:sz w:val="20"/>
          <w:szCs w:val="20"/>
          <w:lang w:val="en-US"/>
        </w:rPr>
        <w:t xml:space="preserve"> del Campo</w:t>
      </w:r>
      <w:r w:rsidRPr="00D869E3">
        <w:rPr>
          <w:rFonts w:ascii="Verdana" w:hAnsi="Verdana"/>
          <w:sz w:val="20"/>
          <w:szCs w:val="20"/>
          <w:lang w:val="en-US"/>
        </w:rPr>
        <w:t xml:space="preserve"> of the decision to dismiss him from his employment, because “[…] he had not disproved the charges that had </w:t>
      </w:r>
      <w:r w:rsidRPr="00D869E3">
        <w:rPr>
          <w:rFonts w:ascii="Verdana" w:hAnsi="Verdana"/>
          <w:sz w:val="20"/>
          <w:szCs w:val="20"/>
          <w:lang w:val="en-US"/>
        </w:rPr>
        <w:lastRenderedPageBreak/>
        <w:t xml:space="preserve">been brought against him in the notarized letter of June 26 […].” It considered that the dismissal was justified, in particular, because he had committed the serious offenses </w:t>
      </w:r>
      <w:r w:rsidR="00491E38" w:rsidRPr="00D869E3">
        <w:rPr>
          <w:rFonts w:ascii="Verdana" w:hAnsi="Verdana"/>
          <w:sz w:val="20"/>
          <w:szCs w:val="20"/>
          <w:lang w:val="en-US"/>
        </w:rPr>
        <w:t xml:space="preserve">that were </w:t>
      </w:r>
      <w:r w:rsidRPr="00D869E3">
        <w:rPr>
          <w:rFonts w:ascii="Verdana" w:hAnsi="Verdana"/>
          <w:sz w:val="20"/>
          <w:szCs w:val="20"/>
          <w:lang w:val="en-US"/>
        </w:rPr>
        <w:t xml:space="preserve">causes </w:t>
      </w:r>
      <w:r w:rsidR="00491E38" w:rsidRPr="00D869E3">
        <w:rPr>
          <w:rFonts w:ascii="Verdana" w:hAnsi="Verdana"/>
          <w:sz w:val="20"/>
          <w:szCs w:val="20"/>
          <w:lang w:val="en-US"/>
        </w:rPr>
        <w:t>for dismissal under</w:t>
      </w:r>
      <w:r w:rsidRPr="00D869E3">
        <w:rPr>
          <w:rFonts w:ascii="Verdana" w:hAnsi="Verdana"/>
          <w:sz w:val="20"/>
          <w:szCs w:val="20"/>
          <w:lang w:val="en-US"/>
        </w:rPr>
        <w:t xml:space="preserve"> paragraphs (a) and (h) of article 5 of Law 24514 of 1986, regulating the right to </w:t>
      </w:r>
      <w:r w:rsidR="00397BCB" w:rsidRPr="00D869E3">
        <w:rPr>
          <w:rFonts w:ascii="Verdana" w:hAnsi="Verdana"/>
          <w:sz w:val="20"/>
          <w:szCs w:val="20"/>
          <w:lang w:val="en-US"/>
        </w:rPr>
        <w:t>job security</w:t>
      </w:r>
      <w:r w:rsidRPr="00D869E3">
        <w:rPr>
          <w:rFonts w:ascii="Verdana" w:hAnsi="Verdana"/>
          <w:sz w:val="20"/>
          <w:szCs w:val="20"/>
          <w:lang w:val="en-US"/>
        </w:rPr>
        <w:t>, which considered as serious offenses “</w:t>
      </w:r>
      <w:r w:rsidR="00EC6DBA" w:rsidRPr="00D869E3">
        <w:rPr>
          <w:rFonts w:ascii="Verdana" w:hAnsi="Verdana"/>
          <w:sz w:val="20"/>
          <w:szCs w:val="20"/>
          <w:lang w:val="en-US"/>
        </w:rPr>
        <w:t>serious verbal misconduct</w:t>
      </w:r>
      <w:r w:rsidRPr="00D869E3">
        <w:rPr>
          <w:rFonts w:ascii="Verdana" w:hAnsi="Verdana"/>
          <w:sz w:val="20"/>
          <w:szCs w:val="20"/>
          <w:lang w:val="en-US"/>
        </w:rPr>
        <w:t xml:space="preserve"> </w:t>
      </w:r>
      <w:r w:rsidR="00EC6DBA" w:rsidRPr="00D869E3">
        <w:rPr>
          <w:rFonts w:ascii="Verdana" w:hAnsi="Verdana"/>
          <w:sz w:val="20"/>
          <w:szCs w:val="20"/>
          <w:lang w:val="en-US"/>
        </w:rPr>
        <w:t>against</w:t>
      </w:r>
      <w:r w:rsidRPr="00D869E3">
        <w:rPr>
          <w:rFonts w:ascii="Verdana" w:hAnsi="Verdana"/>
          <w:sz w:val="20"/>
          <w:szCs w:val="20"/>
          <w:lang w:val="en-US"/>
        </w:rPr>
        <w:t xml:space="preserve"> his employer, </w:t>
      </w:r>
      <w:r w:rsidR="00491E38" w:rsidRPr="00D869E3">
        <w:rPr>
          <w:rFonts w:ascii="Verdana" w:hAnsi="Verdana"/>
          <w:sz w:val="20"/>
          <w:szCs w:val="20"/>
          <w:lang w:val="en-US"/>
        </w:rPr>
        <w:t>its</w:t>
      </w:r>
      <w:r w:rsidRPr="00D869E3">
        <w:rPr>
          <w:rFonts w:ascii="Verdana" w:hAnsi="Verdana"/>
          <w:sz w:val="20"/>
          <w:szCs w:val="20"/>
          <w:lang w:val="en-US"/>
        </w:rPr>
        <w:t xml:space="preserve"> representatives, and his fellow workers,” based on the </w:t>
      </w:r>
      <w:r w:rsidR="00397BCB" w:rsidRPr="00D869E3">
        <w:rPr>
          <w:rFonts w:ascii="Verdana" w:hAnsi="Verdana"/>
          <w:sz w:val="20"/>
          <w:szCs w:val="20"/>
          <w:lang w:val="en-US"/>
        </w:rPr>
        <w:t>statements</w:t>
      </w:r>
      <w:r w:rsidRPr="00D869E3">
        <w:rPr>
          <w:rFonts w:ascii="Verdana" w:hAnsi="Verdana"/>
          <w:sz w:val="20"/>
          <w:szCs w:val="20"/>
          <w:lang w:val="en-US"/>
        </w:rPr>
        <w:t xml:space="preserve"> he made when he gave the interview.</w:t>
      </w:r>
      <w:r w:rsidR="00275EDE" w:rsidRPr="00D869E3">
        <w:rPr>
          <w:rFonts w:ascii="Verdana" w:hAnsi="Verdana"/>
          <w:sz w:val="20"/>
          <w:szCs w:val="20"/>
          <w:vertAlign w:val="superscript"/>
          <w:lang w:val="en-US"/>
        </w:rPr>
        <w:footnoteReference w:id="67"/>
      </w:r>
      <w:r w:rsidRPr="00D869E3">
        <w:rPr>
          <w:rFonts w:ascii="Verdana" w:hAnsi="Verdana"/>
          <w:sz w:val="20"/>
          <w:szCs w:val="20"/>
          <w:lang w:val="en-US"/>
        </w:rPr>
        <w:t xml:space="preserve"> I</w:t>
      </w:r>
      <w:r w:rsidR="00275EDE" w:rsidRPr="00D869E3">
        <w:rPr>
          <w:rFonts w:ascii="Verdana" w:hAnsi="Verdana"/>
          <w:sz w:val="20"/>
          <w:szCs w:val="20"/>
          <w:lang w:val="en-US"/>
        </w:rPr>
        <w:t xml:space="preserve">n particular, </w:t>
      </w:r>
      <w:r w:rsidRPr="00D869E3">
        <w:rPr>
          <w:rFonts w:ascii="Verdana" w:hAnsi="Verdana"/>
          <w:sz w:val="20"/>
          <w:szCs w:val="20"/>
          <w:lang w:val="en-US"/>
        </w:rPr>
        <w:t>the company argued that Mr. Lagos had committed a serious offense by accusing the Board of using “blackmail” and “coerci</w:t>
      </w:r>
      <w:r w:rsidR="00E91FDA" w:rsidRPr="00D869E3">
        <w:rPr>
          <w:rFonts w:ascii="Verdana" w:hAnsi="Verdana"/>
          <w:sz w:val="20"/>
          <w:szCs w:val="20"/>
          <w:lang w:val="en-US"/>
        </w:rPr>
        <w:t>o</w:t>
      </w:r>
      <w:r w:rsidRPr="00D869E3">
        <w:rPr>
          <w:rFonts w:ascii="Verdana" w:hAnsi="Verdana"/>
          <w:sz w:val="20"/>
          <w:szCs w:val="20"/>
          <w:lang w:val="en-US"/>
        </w:rPr>
        <w:t xml:space="preserve">n,” of having an understanding with the </w:t>
      </w:r>
      <w:r w:rsidR="00EC2233" w:rsidRPr="00D869E3">
        <w:rPr>
          <w:rFonts w:ascii="Verdana" w:hAnsi="Verdana"/>
          <w:sz w:val="20"/>
          <w:szCs w:val="20"/>
          <w:lang w:val="en-US"/>
        </w:rPr>
        <w:t>Participation Directorate</w:t>
      </w:r>
      <w:r w:rsidR="00275EDE" w:rsidRPr="00D869E3">
        <w:rPr>
          <w:rFonts w:ascii="Verdana" w:hAnsi="Verdana"/>
          <w:sz w:val="20"/>
          <w:szCs w:val="20"/>
          <w:lang w:val="en-US"/>
        </w:rPr>
        <w:t xml:space="preserve"> </w:t>
      </w:r>
      <w:r w:rsidR="004D704D" w:rsidRPr="00D869E3">
        <w:rPr>
          <w:rFonts w:ascii="Verdana" w:hAnsi="Verdana"/>
          <w:sz w:val="20"/>
          <w:szCs w:val="20"/>
          <w:lang w:val="en-US"/>
        </w:rPr>
        <w:t>of the Ministry</w:t>
      </w:r>
      <w:r w:rsidR="00F43C5F" w:rsidRPr="00D869E3">
        <w:rPr>
          <w:rFonts w:ascii="Verdana" w:hAnsi="Verdana"/>
          <w:sz w:val="20"/>
          <w:szCs w:val="20"/>
          <w:lang w:val="en-US"/>
        </w:rPr>
        <w:t xml:space="preserve"> of Industry</w:t>
      </w:r>
      <w:r w:rsidR="00275EDE" w:rsidRPr="00D869E3">
        <w:rPr>
          <w:rFonts w:ascii="Verdana" w:hAnsi="Verdana"/>
          <w:sz w:val="20"/>
          <w:szCs w:val="20"/>
          <w:lang w:val="en-US"/>
        </w:rPr>
        <w:t>, T</w:t>
      </w:r>
      <w:r w:rsidRPr="00D869E3">
        <w:rPr>
          <w:rFonts w:ascii="Verdana" w:hAnsi="Verdana"/>
          <w:sz w:val="20"/>
          <w:szCs w:val="20"/>
          <w:lang w:val="en-US"/>
        </w:rPr>
        <w:t xml:space="preserve">ourism and Commerce, have the intention of “liquidating” </w:t>
      </w:r>
      <w:r w:rsidR="00EA232B" w:rsidRPr="00D869E3">
        <w:rPr>
          <w:rFonts w:ascii="Verdana" w:hAnsi="Verdana"/>
          <w:sz w:val="20"/>
          <w:szCs w:val="20"/>
          <w:lang w:val="en-US"/>
        </w:rPr>
        <w:t>the Industrial Community</w:t>
      </w:r>
      <w:r w:rsidR="00275EDE" w:rsidRPr="00D869E3">
        <w:rPr>
          <w:rFonts w:ascii="Verdana" w:hAnsi="Verdana"/>
          <w:sz w:val="20"/>
          <w:szCs w:val="20"/>
          <w:lang w:val="en-US"/>
        </w:rPr>
        <w:t>,</w:t>
      </w:r>
      <w:r w:rsidR="00687684" w:rsidRPr="00D869E3">
        <w:rPr>
          <w:rFonts w:ascii="Verdana" w:hAnsi="Verdana"/>
          <w:sz w:val="20"/>
          <w:szCs w:val="20"/>
          <w:lang w:val="en-US"/>
        </w:rPr>
        <w:t xml:space="preserve"> and</w:t>
      </w:r>
      <w:r w:rsidRPr="00D869E3">
        <w:rPr>
          <w:rFonts w:ascii="Verdana" w:hAnsi="Verdana"/>
          <w:sz w:val="20"/>
          <w:szCs w:val="20"/>
          <w:lang w:val="en-US"/>
        </w:rPr>
        <w:t xml:space="preserve"> seeking to</w:t>
      </w:r>
      <w:r w:rsidR="00275EDE" w:rsidRPr="00D869E3">
        <w:rPr>
          <w:rFonts w:ascii="Verdana" w:hAnsi="Verdana"/>
          <w:sz w:val="20"/>
          <w:szCs w:val="20"/>
          <w:lang w:val="en-US"/>
        </w:rPr>
        <w:t xml:space="preserve"> </w:t>
      </w:r>
      <w:r w:rsidR="006436CA" w:rsidRPr="00D869E3">
        <w:rPr>
          <w:rFonts w:ascii="Verdana" w:hAnsi="Verdana"/>
          <w:sz w:val="20"/>
          <w:szCs w:val="20"/>
          <w:lang w:val="en-US"/>
        </w:rPr>
        <w:t>“</w:t>
      </w:r>
      <w:r w:rsidR="00275EDE" w:rsidRPr="00D869E3">
        <w:rPr>
          <w:rFonts w:ascii="Verdana" w:hAnsi="Verdana"/>
          <w:iCs/>
          <w:sz w:val="20"/>
          <w:szCs w:val="20"/>
          <w:lang w:val="en-US"/>
        </w:rPr>
        <w:t>influenc</w:t>
      </w:r>
      <w:r w:rsidRPr="00D869E3">
        <w:rPr>
          <w:rFonts w:ascii="Verdana" w:hAnsi="Verdana"/>
          <w:iCs/>
          <w:sz w:val="20"/>
          <w:szCs w:val="20"/>
          <w:lang w:val="en-US"/>
        </w:rPr>
        <w:t>e</w:t>
      </w:r>
      <w:r w:rsidR="006436CA" w:rsidRPr="00D869E3">
        <w:rPr>
          <w:rFonts w:ascii="Verdana" w:hAnsi="Verdana"/>
          <w:sz w:val="20"/>
          <w:szCs w:val="20"/>
          <w:lang w:val="en-US"/>
        </w:rPr>
        <w:t>”</w:t>
      </w:r>
      <w:r w:rsidR="00275EDE" w:rsidRPr="00D869E3">
        <w:rPr>
          <w:rFonts w:ascii="Verdana" w:hAnsi="Verdana"/>
          <w:iCs/>
          <w:sz w:val="20"/>
          <w:szCs w:val="20"/>
          <w:lang w:val="en-US"/>
        </w:rPr>
        <w:t xml:space="preserve"> </w:t>
      </w:r>
      <w:r w:rsidR="00EA232B" w:rsidRPr="00D869E3">
        <w:rPr>
          <w:rFonts w:ascii="Verdana" w:hAnsi="Verdana"/>
          <w:sz w:val="20"/>
          <w:szCs w:val="20"/>
          <w:lang w:val="en-US"/>
        </w:rPr>
        <w:t>the Industrial Community</w:t>
      </w:r>
      <w:r w:rsidRPr="00D869E3">
        <w:rPr>
          <w:rFonts w:ascii="Verdana" w:hAnsi="Verdana"/>
          <w:sz w:val="20"/>
          <w:szCs w:val="20"/>
          <w:lang w:val="en-US"/>
        </w:rPr>
        <w:t xml:space="preserve"> elections</w:t>
      </w:r>
      <w:r w:rsidR="00491E38" w:rsidRPr="00D869E3">
        <w:rPr>
          <w:rFonts w:ascii="Verdana" w:hAnsi="Verdana"/>
          <w:sz w:val="20"/>
          <w:szCs w:val="20"/>
          <w:lang w:val="en-US"/>
        </w:rPr>
        <w:t xml:space="preserve"> </w:t>
      </w:r>
      <w:r w:rsidRPr="00D869E3">
        <w:rPr>
          <w:rFonts w:ascii="Verdana" w:hAnsi="Verdana"/>
          <w:sz w:val="20"/>
          <w:szCs w:val="20"/>
          <w:lang w:val="en-US"/>
        </w:rPr>
        <w:t>by exerting pressure on a specific group of workers.</w:t>
      </w:r>
    </w:p>
    <w:p w14:paraId="2F493097" w14:textId="77777777" w:rsidR="00275EDE" w:rsidRPr="00D869E3" w:rsidRDefault="00275EDE" w:rsidP="009C6F8E">
      <w:pPr>
        <w:jc w:val="both"/>
        <w:rPr>
          <w:rFonts w:ascii="Verdana" w:hAnsi="Verdana"/>
          <w:b/>
          <w:sz w:val="20"/>
          <w:szCs w:val="20"/>
          <w:lang w:val="en-US"/>
        </w:rPr>
      </w:pPr>
    </w:p>
    <w:p w14:paraId="25D9D544" w14:textId="27A17051" w:rsidR="00275EDE" w:rsidRPr="00D869E3" w:rsidRDefault="0062551F" w:rsidP="00E66DD7">
      <w:pPr>
        <w:pStyle w:val="Prrafodelista"/>
        <w:numPr>
          <w:ilvl w:val="0"/>
          <w:numId w:val="1"/>
        </w:numPr>
        <w:ind w:left="0" w:hanging="11"/>
        <w:jc w:val="both"/>
        <w:rPr>
          <w:rFonts w:ascii="Verdana" w:hAnsi="Verdana"/>
          <w:b/>
          <w:sz w:val="20"/>
          <w:szCs w:val="20"/>
          <w:lang w:val="en-US"/>
        </w:rPr>
      </w:pPr>
      <w:r w:rsidRPr="00D869E3">
        <w:rPr>
          <w:rFonts w:ascii="Verdana" w:hAnsi="Verdana"/>
          <w:sz w:val="20"/>
          <w:szCs w:val="20"/>
          <w:lang w:val="en-US"/>
        </w:rPr>
        <w:t>At that time</w:t>
      </w:r>
      <w:r w:rsidR="00275EDE" w:rsidRPr="00D869E3">
        <w:rPr>
          <w:rFonts w:ascii="Verdana" w:hAnsi="Verdana"/>
          <w:sz w:val="20"/>
          <w:szCs w:val="20"/>
          <w:lang w:val="en-US"/>
        </w:rPr>
        <w:t xml:space="preserve">, </w:t>
      </w:r>
      <w:r w:rsidR="00852CCA" w:rsidRPr="00D869E3">
        <w:rPr>
          <w:rFonts w:ascii="Verdana" w:hAnsi="Verdana"/>
          <w:sz w:val="20"/>
          <w:szCs w:val="20"/>
          <w:lang w:val="en-US"/>
        </w:rPr>
        <w:t>Law</w:t>
      </w:r>
      <w:r w:rsidR="00275EDE" w:rsidRPr="00D869E3">
        <w:rPr>
          <w:rFonts w:ascii="Verdana" w:hAnsi="Verdana"/>
          <w:sz w:val="20"/>
          <w:szCs w:val="20"/>
          <w:lang w:val="en-US"/>
        </w:rPr>
        <w:t xml:space="preserve"> 24514 </w:t>
      </w:r>
      <w:r w:rsidRPr="00D869E3">
        <w:rPr>
          <w:rFonts w:ascii="Verdana" w:hAnsi="Verdana"/>
          <w:sz w:val="20"/>
          <w:szCs w:val="20"/>
          <w:lang w:val="en-US"/>
        </w:rPr>
        <w:t>of</w:t>
      </w:r>
      <w:r w:rsidR="00275EDE" w:rsidRPr="00D869E3">
        <w:rPr>
          <w:rFonts w:ascii="Verdana" w:hAnsi="Verdana"/>
          <w:sz w:val="20"/>
          <w:szCs w:val="20"/>
          <w:lang w:val="en-US"/>
        </w:rPr>
        <w:t xml:space="preserve"> 1986 regula</w:t>
      </w:r>
      <w:r w:rsidRPr="00D869E3">
        <w:rPr>
          <w:rFonts w:ascii="Verdana" w:hAnsi="Verdana"/>
          <w:sz w:val="20"/>
          <w:szCs w:val="20"/>
          <w:lang w:val="en-US"/>
        </w:rPr>
        <w:t xml:space="preserve">ted the right to </w:t>
      </w:r>
      <w:r w:rsidR="00695B39" w:rsidRPr="00D869E3">
        <w:rPr>
          <w:rFonts w:ascii="Verdana" w:hAnsi="Verdana"/>
          <w:sz w:val="20"/>
          <w:szCs w:val="20"/>
          <w:lang w:val="en-US"/>
        </w:rPr>
        <w:t>job security</w:t>
      </w:r>
      <w:r w:rsidRPr="00D869E3">
        <w:rPr>
          <w:rFonts w:ascii="Verdana" w:hAnsi="Verdana"/>
          <w:sz w:val="20"/>
          <w:szCs w:val="20"/>
          <w:lang w:val="en-US"/>
        </w:rPr>
        <w:t xml:space="preserve"> and the procedure for the dismissal of workers.</w:t>
      </w:r>
      <w:r w:rsidR="00275EDE" w:rsidRPr="00D869E3">
        <w:rPr>
          <w:rFonts w:ascii="Verdana" w:hAnsi="Verdana"/>
          <w:sz w:val="20"/>
          <w:szCs w:val="20"/>
          <w:vertAlign w:val="superscript"/>
          <w:lang w:val="en-US"/>
        </w:rPr>
        <w:footnoteReference w:id="68"/>
      </w:r>
      <w:r w:rsidR="00275EDE" w:rsidRPr="00D869E3">
        <w:rPr>
          <w:rFonts w:ascii="Verdana" w:hAnsi="Verdana" w:cs="Arial"/>
          <w:sz w:val="20"/>
          <w:szCs w:val="20"/>
          <w:lang w:val="en-US"/>
        </w:rPr>
        <w:t xml:space="preserve"> </w:t>
      </w:r>
      <w:r w:rsidR="00491E38" w:rsidRPr="00D869E3">
        <w:rPr>
          <w:rFonts w:ascii="Verdana" w:hAnsi="Verdana" w:cs="Arial"/>
          <w:sz w:val="20"/>
          <w:szCs w:val="20"/>
          <w:lang w:val="en-US"/>
        </w:rPr>
        <w:t>The law stipulated that serious offenses committed by the workers w</w:t>
      </w:r>
      <w:r w:rsidR="00397BCB" w:rsidRPr="00D869E3">
        <w:rPr>
          <w:rFonts w:ascii="Verdana" w:hAnsi="Verdana" w:cs="Arial"/>
          <w:sz w:val="20"/>
          <w:szCs w:val="20"/>
          <w:lang w:val="en-US"/>
        </w:rPr>
        <w:t>ere</w:t>
      </w:r>
      <w:r w:rsidR="00491E38" w:rsidRPr="00D869E3">
        <w:rPr>
          <w:rFonts w:ascii="Verdana" w:hAnsi="Verdana" w:cs="Arial"/>
          <w:sz w:val="20"/>
          <w:szCs w:val="20"/>
          <w:lang w:val="en-US"/>
        </w:rPr>
        <w:t xml:space="preserve"> a </w:t>
      </w:r>
      <w:r w:rsidR="00491E38" w:rsidRPr="00D869E3">
        <w:rPr>
          <w:rFonts w:ascii="Verdana" w:hAnsi="Verdana"/>
          <w:sz w:val="20"/>
          <w:szCs w:val="20"/>
          <w:lang w:val="en-US"/>
        </w:rPr>
        <w:t>just cause for dismissal</w:t>
      </w:r>
      <w:r w:rsidR="00275EDE" w:rsidRPr="00D869E3">
        <w:rPr>
          <w:rFonts w:ascii="Verdana" w:hAnsi="Verdana"/>
          <w:sz w:val="20"/>
          <w:szCs w:val="20"/>
          <w:vertAlign w:val="superscript"/>
          <w:lang w:val="en-US"/>
        </w:rPr>
        <w:footnoteReference w:id="69"/>
      </w:r>
      <w:r w:rsidR="00687684" w:rsidRPr="00D869E3">
        <w:rPr>
          <w:rFonts w:ascii="Verdana" w:hAnsi="Verdana"/>
          <w:sz w:val="20"/>
          <w:szCs w:val="20"/>
          <w:lang w:val="en-US"/>
        </w:rPr>
        <w:t xml:space="preserve"> and </w:t>
      </w:r>
      <w:r w:rsidR="00491E38" w:rsidRPr="00D869E3">
        <w:rPr>
          <w:rFonts w:ascii="Verdana" w:hAnsi="Verdana"/>
          <w:sz w:val="20"/>
          <w:szCs w:val="20"/>
          <w:lang w:val="en-US"/>
        </w:rPr>
        <w:t xml:space="preserve">established the following, </w:t>
      </w:r>
      <w:r w:rsidR="00491E38" w:rsidRPr="00D869E3">
        <w:rPr>
          <w:rFonts w:ascii="Verdana" w:hAnsi="Verdana"/>
          <w:i/>
          <w:iCs/>
          <w:sz w:val="20"/>
          <w:szCs w:val="20"/>
          <w:lang w:val="en-US"/>
        </w:rPr>
        <w:t>inter alia</w:t>
      </w:r>
      <w:r w:rsidR="00491E38" w:rsidRPr="00D869E3">
        <w:rPr>
          <w:rFonts w:ascii="Verdana" w:hAnsi="Verdana"/>
          <w:sz w:val="20"/>
          <w:szCs w:val="20"/>
          <w:lang w:val="en-US"/>
        </w:rPr>
        <w:t>, as serious offenses:</w:t>
      </w:r>
      <w:r w:rsidR="00275EDE" w:rsidRPr="00D869E3">
        <w:rPr>
          <w:rFonts w:ascii="Verdana" w:hAnsi="Verdana"/>
          <w:sz w:val="20"/>
          <w:szCs w:val="20"/>
          <w:vertAlign w:val="superscript"/>
          <w:lang w:val="en-US"/>
        </w:rPr>
        <w:footnoteReference w:id="70"/>
      </w:r>
      <w:r w:rsidR="00275EDE" w:rsidRPr="00D869E3">
        <w:rPr>
          <w:rFonts w:ascii="Verdana" w:hAnsi="Verdana"/>
          <w:sz w:val="20"/>
          <w:szCs w:val="20"/>
          <w:lang w:val="en-US"/>
        </w:rPr>
        <w:t xml:space="preserve"> </w:t>
      </w:r>
      <w:r w:rsidR="00491E38" w:rsidRPr="00D869E3">
        <w:rPr>
          <w:rFonts w:ascii="Verdana" w:hAnsi="Verdana"/>
          <w:sz w:val="20"/>
          <w:szCs w:val="20"/>
          <w:lang w:val="en-US"/>
        </w:rPr>
        <w:t xml:space="preserve"> </w:t>
      </w:r>
    </w:p>
    <w:p w14:paraId="30D76553" w14:textId="77777777" w:rsidR="00275EDE" w:rsidRPr="00D869E3" w:rsidRDefault="00275EDE" w:rsidP="00275EDE">
      <w:pPr>
        <w:jc w:val="both"/>
        <w:rPr>
          <w:rFonts w:ascii="Verdana" w:hAnsi="Verdana"/>
          <w:b/>
          <w:sz w:val="20"/>
          <w:szCs w:val="20"/>
          <w:lang w:val="en-US"/>
        </w:rPr>
      </w:pPr>
    </w:p>
    <w:p w14:paraId="041810F2" w14:textId="2D4FA85C" w:rsidR="00491E38" w:rsidRPr="00D869E3" w:rsidRDefault="00D61BD2" w:rsidP="00D61BD2">
      <w:pPr>
        <w:autoSpaceDE w:val="0"/>
        <w:autoSpaceDN w:val="0"/>
        <w:adjustRightInd w:val="0"/>
        <w:ind w:left="810" w:right="566"/>
        <w:jc w:val="both"/>
        <w:rPr>
          <w:rFonts w:ascii="Verdana" w:hAnsi="Verdana"/>
          <w:sz w:val="18"/>
          <w:szCs w:val="18"/>
          <w:lang w:val="en-US" w:eastAsia="es-MX"/>
        </w:rPr>
      </w:pPr>
      <w:r w:rsidRPr="00D869E3">
        <w:rPr>
          <w:rFonts w:ascii="Verdana" w:hAnsi="Verdana"/>
          <w:sz w:val="18"/>
          <w:szCs w:val="18"/>
          <w:lang w:val="en-US" w:eastAsia="es-MX"/>
        </w:rPr>
        <w:t>(</w:t>
      </w:r>
      <w:r w:rsidR="00275EDE" w:rsidRPr="00D869E3">
        <w:rPr>
          <w:rFonts w:ascii="Verdana" w:hAnsi="Verdana"/>
          <w:sz w:val="18"/>
          <w:szCs w:val="18"/>
          <w:lang w:val="en-US" w:eastAsia="es-MX"/>
        </w:rPr>
        <w:t xml:space="preserve">a) </w:t>
      </w:r>
      <w:r w:rsidR="00491E38" w:rsidRPr="00D869E3">
        <w:rPr>
          <w:rFonts w:ascii="Verdana" w:hAnsi="Verdana"/>
          <w:sz w:val="18"/>
          <w:szCs w:val="18"/>
          <w:lang w:val="en-US" w:eastAsia="es-MX"/>
        </w:rPr>
        <w:t xml:space="preserve">Unjustified failure to </w:t>
      </w:r>
      <w:r w:rsidR="00103C07" w:rsidRPr="00D869E3">
        <w:rPr>
          <w:rFonts w:ascii="Verdana" w:hAnsi="Verdana"/>
          <w:sz w:val="18"/>
          <w:szCs w:val="18"/>
          <w:lang w:val="en-US" w:eastAsia="es-MX"/>
        </w:rPr>
        <w:t>meet</w:t>
      </w:r>
      <w:r w:rsidR="00491E38" w:rsidRPr="00D869E3">
        <w:rPr>
          <w:rFonts w:ascii="Verdana" w:hAnsi="Verdana"/>
          <w:sz w:val="18"/>
          <w:szCs w:val="18"/>
          <w:lang w:val="en-US" w:eastAsia="es-MX"/>
        </w:rPr>
        <w:t xml:space="preserve"> work obligations; re</w:t>
      </w:r>
      <w:r w:rsidR="00103C07" w:rsidRPr="00D869E3">
        <w:rPr>
          <w:rFonts w:ascii="Verdana" w:hAnsi="Verdana"/>
          <w:sz w:val="18"/>
          <w:szCs w:val="18"/>
          <w:lang w:val="en-US" w:eastAsia="es-MX"/>
        </w:rPr>
        <w:t>peated</w:t>
      </w:r>
      <w:r w:rsidR="00491E38" w:rsidRPr="00D869E3">
        <w:rPr>
          <w:rFonts w:ascii="Verdana" w:hAnsi="Verdana"/>
          <w:sz w:val="18"/>
          <w:szCs w:val="18"/>
          <w:lang w:val="en-US" w:eastAsia="es-MX"/>
        </w:rPr>
        <w:t xml:space="preserve"> resistance to work-related orders of superiors and failure to observe the Internal Work and Industrial Safety Regulations duly approved by the administrative </w:t>
      </w:r>
      <w:r w:rsidR="00E91FDA" w:rsidRPr="00D869E3">
        <w:rPr>
          <w:rFonts w:ascii="Verdana" w:hAnsi="Verdana"/>
          <w:sz w:val="18"/>
          <w:szCs w:val="18"/>
          <w:lang w:val="en-US" w:eastAsia="es-MX"/>
        </w:rPr>
        <w:t xml:space="preserve">labor </w:t>
      </w:r>
      <w:r w:rsidR="00491E38" w:rsidRPr="00D869E3">
        <w:rPr>
          <w:rFonts w:ascii="Verdana" w:hAnsi="Verdana"/>
          <w:sz w:val="18"/>
          <w:szCs w:val="18"/>
          <w:lang w:val="en-US" w:eastAsia="es-MX"/>
        </w:rPr>
        <w:t>authority, which, in all cases, are serious offenses; […]</w:t>
      </w:r>
    </w:p>
    <w:p w14:paraId="6C3E4715" w14:textId="77777777" w:rsidR="00275EDE" w:rsidRPr="00D869E3" w:rsidRDefault="00275EDE" w:rsidP="00D61BD2">
      <w:pPr>
        <w:autoSpaceDE w:val="0"/>
        <w:autoSpaceDN w:val="0"/>
        <w:adjustRightInd w:val="0"/>
        <w:ind w:left="810" w:right="566"/>
        <w:jc w:val="both"/>
        <w:rPr>
          <w:rFonts w:ascii="Verdana" w:hAnsi="Verdana" w:cs="Arial"/>
          <w:sz w:val="18"/>
          <w:szCs w:val="18"/>
          <w:lang w:val="en-US" w:eastAsia="es-MX"/>
        </w:rPr>
      </w:pPr>
    </w:p>
    <w:p w14:paraId="02BFE881" w14:textId="63FAABB5" w:rsidR="00491E38" w:rsidRPr="00D869E3" w:rsidRDefault="00D61BD2" w:rsidP="00D61BD2">
      <w:pPr>
        <w:autoSpaceDE w:val="0"/>
        <w:autoSpaceDN w:val="0"/>
        <w:adjustRightInd w:val="0"/>
        <w:ind w:left="810" w:right="566"/>
        <w:jc w:val="both"/>
        <w:rPr>
          <w:rFonts w:ascii="Verdana" w:hAnsi="Verdana"/>
          <w:color w:val="000000"/>
          <w:sz w:val="18"/>
          <w:szCs w:val="18"/>
          <w:lang w:val="en-US"/>
        </w:rPr>
      </w:pPr>
      <w:r w:rsidRPr="00D869E3">
        <w:rPr>
          <w:rFonts w:ascii="Verdana" w:hAnsi="Verdana"/>
          <w:sz w:val="18"/>
          <w:szCs w:val="18"/>
          <w:lang w:val="en-US" w:eastAsia="es-MX"/>
        </w:rPr>
        <w:t>(</w:t>
      </w:r>
      <w:r w:rsidR="00275EDE" w:rsidRPr="00D869E3">
        <w:rPr>
          <w:rFonts w:ascii="Verdana" w:hAnsi="Verdana"/>
          <w:sz w:val="18"/>
          <w:szCs w:val="18"/>
          <w:lang w:val="en-US" w:eastAsia="es-MX"/>
        </w:rPr>
        <w:t xml:space="preserve">h) </w:t>
      </w:r>
      <w:r w:rsidR="00103C07" w:rsidRPr="00D869E3">
        <w:rPr>
          <w:rFonts w:ascii="Verdana" w:hAnsi="Verdana"/>
          <w:sz w:val="18"/>
          <w:szCs w:val="18"/>
          <w:lang w:val="en-US" w:eastAsia="es-MX"/>
        </w:rPr>
        <w:t xml:space="preserve">The perpetration of </w:t>
      </w:r>
      <w:r w:rsidR="00491E38" w:rsidRPr="00D869E3">
        <w:rPr>
          <w:rFonts w:ascii="Verdana" w:hAnsi="Verdana"/>
          <w:sz w:val="18"/>
          <w:szCs w:val="18"/>
          <w:lang w:val="en-US" w:eastAsia="es-MX"/>
        </w:rPr>
        <w:t>act</w:t>
      </w:r>
      <w:r w:rsidR="00103C07" w:rsidRPr="00D869E3">
        <w:rPr>
          <w:rFonts w:ascii="Verdana" w:hAnsi="Verdana"/>
          <w:sz w:val="18"/>
          <w:szCs w:val="18"/>
          <w:lang w:val="en-US" w:eastAsia="es-MX"/>
        </w:rPr>
        <w:t>s</w:t>
      </w:r>
      <w:r w:rsidR="00491E38" w:rsidRPr="00D869E3">
        <w:rPr>
          <w:rFonts w:ascii="Verdana" w:hAnsi="Verdana"/>
          <w:sz w:val="18"/>
          <w:szCs w:val="18"/>
          <w:lang w:val="en-US" w:eastAsia="es-MX"/>
        </w:rPr>
        <w:t xml:space="preserve"> of violence, serious </w:t>
      </w:r>
      <w:r w:rsidR="00EC6DBA" w:rsidRPr="00D869E3">
        <w:rPr>
          <w:rFonts w:ascii="Verdana" w:hAnsi="Verdana"/>
          <w:sz w:val="18"/>
          <w:szCs w:val="18"/>
          <w:lang w:val="en-US" w:eastAsia="es-MX"/>
        </w:rPr>
        <w:t>insubordination</w:t>
      </w:r>
      <w:r w:rsidR="00491E38" w:rsidRPr="00D869E3">
        <w:rPr>
          <w:rFonts w:ascii="Verdana" w:hAnsi="Verdana"/>
          <w:sz w:val="18"/>
          <w:szCs w:val="18"/>
          <w:lang w:val="en-US" w:eastAsia="es-MX"/>
        </w:rPr>
        <w:t xml:space="preserve"> or </w:t>
      </w:r>
      <w:r w:rsidR="00EC6DBA" w:rsidRPr="00D869E3">
        <w:rPr>
          <w:rFonts w:ascii="Verdana" w:hAnsi="Verdana"/>
          <w:color w:val="000000"/>
          <w:sz w:val="18"/>
          <w:szCs w:val="18"/>
          <w:lang w:val="en-US"/>
        </w:rPr>
        <w:t>serious verbal misconduct</w:t>
      </w:r>
      <w:r w:rsidR="00491E38" w:rsidRPr="00D869E3">
        <w:rPr>
          <w:rFonts w:ascii="Verdana" w:hAnsi="Verdana"/>
          <w:color w:val="000000"/>
          <w:sz w:val="18"/>
          <w:szCs w:val="18"/>
          <w:lang w:val="en-US"/>
        </w:rPr>
        <w:t xml:space="preserve"> </w:t>
      </w:r>
      <w:r w:rsidR="00EC6DBA" w:rsidRPr="00D869E3">
        <w:rPr>
          <w:rFonts w:ascii="Verdana" w:hAnsi="Verdana"/>
          <w:color w:val="000000"/>
          <w:sz w:val="18"/>
          <w:szCs w:val="18"/>
          <w:lang w:val="en-US"/>
        </w:rPr>
        <w:t>against</w:t>
      </w:r>
      <w:r w:rsidR="00491E38" w:rsidRPr="00D869E3">
        <w:rPr>
          <w:rFonts w:ascii="Verdana" w:hAnsi="Verdana"/>
          <w:color w:val="000000"/>
          <w:sz w:val="18"/>
          <w:szCs w:val="18"/>
          <w:lang w:val="en-US"/>
        </w:rPr>
        <w:t xml:space="preserve"> the employer, its representatives, senior personnel, or co-workers, in the workplace, or outside this when the facts </w:t>
      </w:r>
      <w:r w:rsidR="00103C07" w:rsidRPr="00D869E3">
        <w:rPr>
          <w:rFonts w:ascii="Verdana" w:hAnsi="Verdana"/>
          <w:color w:val="000000"/>
          <w:sz w:val="18"/>
          <w:szCs w:val="18"/>
          <w:lang w:val="en-US"/>
        </w:rPr>
        <w:t>stem</w:t>
      </w:r>
      <w:r w:rsidR="00491E38" w:rsidRPr="00D869E3">
        <w:rPr>
          <w:rFonts w:ascii="Verdana" w:hAnsi="Verdana"/>
          <w:color w:val="000000"/>
          <w:sz w:val="18"/>
          <w:szCs w:val="18"/>
          <w:lang w:val="en-US"/>
        </w:rPr>
        <w:t xml:space="preserve"> directly from the employment relationship.</w:t>
      </w:r>
    </w:p>
    <w:p w14:paraId="453234A0" w14:textId="77777777" w:rsidR="00275EDE" w:rsidRPr="00D869E3" w:rsidRDefault="00275EDE" w:rsidP="00275EDE">
      <w:pPr>
        <w:jc w:val="both"/>
        <w:rPr>
          <w:rFonts w:ascii="Verdana" w:hAnsi="Verdana"/>
          <w:sz w:val="20"/>
          <w:szCs w:val="20"/>
          <w:lang w:val="en-US"/>
        </w:rPr>
      </w:pPr>
    </w:p>
    <w:p w14:paraId="0396123B" w14:textId="4AA7F783" w:rsidR="001B2ECD" w:rsidRPr="00D869E3" w:rsidRDefault="001B2ECD" w:rsidP="00E91FDA">
      <w:pPr>
        <w:pStyle w:val="Prrafodelista"/>
        <w:numPr>
          <w:ilvl w:val="0"/>
          <w:numId w:val="1"/>
        </w:numPr>
        <w:ind w:left="0" w:hanging="11"/>
        <w:jc w:val="both"/>
        <w:rPr>
          <w:rFonts w:ascii="Verdana" w:hAnsi="Verdana"/>
          <w:b/>
          <w:sz w:val="20"/>
          <w:szCs w:val="20"/>
          <w:lang w:val="en-US"/>
        </w:rPr>
      </w:pPr>
      <w:r w:rsidRPr="00D869E3">
        <w:rPr>
          <w:rFonts w:ascii="Verdana" w:hAnsi="Verdana"/>
          <w:sz w:val="20"/>
          <w:szCs w:val="20"/>
          <w:lang w:val="en-US"/>
        </w:rPr>
        <w:t>Re</w:t>
      </w:r>
      <w:r w:rsidR="00EC6DBA" w:rsidRPr="00D869E3">
        <w:rPr>
          <w:rFonts w:ascii="Verdana" w:hAnsi="Verdana"/>
          <w:sz w:val="20"/>
          <w:szCs w:val="20"/>
          <w:lang w:val="en-US"/>
        </w:rPr>
        <w:t>garding the dismissal procedure, when a worker commit</w:t>
      </w:r>
      <w:r w:rsidR="00397BCB" w:rsidRPr="00D869E3">
        <w:rPr>
          <w:rFonts w:ascii="Verdana" w:hAnsi="Verdana"/>
          <w:sz w:val="20"/>
          <w:szCs w:val="20"/>
          <w:lang w:val="en-US"/>
        </w:rPr>
        <w:t>ted</w:t>
      </w:r>
      <w:r w:rsidR="00EC6DBA" w:rsidRPr="00D869E3">
        <w:rPr>
          <w:rFonts w:ascii="Verdana" w:hAnsi="Verdana"/>
          <w:sz w:val="20"/>
          <w:szCs w:val="20"/>
          <w:lang w:val="en-US"/>
        </w:rPr>
        <w:t xml:space="preserve"> a serious</w:t>
      </w:r>
      <w:r w:rsidR="00103C07" w:rsidRPr="00D869E3">
        <w:rPr>
          <w:rFonts w:ascii="Verdana" w:hAnsi="Verdana"/>
          <w:sz w:val="20"/>
          <w:szCs w:val="20"/>
          <w:lang w:val="en-US"/>
        </w:rPr>
        <w:t xml:space="preserve"> </w:t>
      </w:r>
      <w:r w:rsidR="00EC6DBA" w:rsidRPr="00D869E3">
        <w:rPr>
          <w:rFonts w:ascii="Verdana" w:hAnsi="Verdana"/>
          <w:sz w:val="20"/>
          <w:szCs w:val="20"/>
          <w:lang w:val="en-US"/>
        </w:rPr>
        <w:t xml:space="preserve">infraction, the employer </w:t>
      </w:r>
      <w:r w:rsidR="00397BCB" w:rsidRPr="00D869E3">
        <w:rPr>
          <w:rFonts w:ascii="Verdana" w:hAnsi="Verdana"/>
          <w:sz w:val="20"/>
          <w:szCs w:val="20"/>
          <w:lang w:val="en-US"/>
        </w:rPr>
        <w:t>had to</w:t>
      </w:r>
      <w:r w:rsidR="00EC6DBA" w:rsidRPr="00D869E3">
        <w:rPr>
          <w:rFonts w:ascii="Verdana" w:hAnsi="Verdana"/>
          <w:sz w:val="20"/>
          <w:szCs w:val="20"/>
          <w:lang w:val="en-US"/>
        </w:rPr>
        <w:t xml:space="preserve"> inform him</w:t>
      </w:r>
      <w:r w:rsidR="00103C07" w:rsidRPr="00D869E3">
        <w:rPr>
          <w:rFonts w:ascii="Verdana" w:hAnsi="Verdana"/>
          <w:sz w:val="20"/>
          <w:szCs w:val="20"/>
          <w:lang w:val="en-US"/>
        </w:rPr>
        <w:t xml:space="preserve"> </w:t>
      </w:r>
      <w:r w:rsidR="00EC6DBA" w:rsidRPr="00D869E3">
        <w:rPr>
          <w:rFonts w:ascii="Verdana" w:hAnsi="Verdana"/>
          <w:sz w:val="20"/>
          <w:szCs w:val="20"/>
          <w:lang w:val="en-US"/>
        </w:rPr>
        <w:t>in writing of the facts and the opening of an investigation.</w:t>
      </w:r>
      <w:r w:rsidRPr="00D869E3">
        <w:rPr>
          <w:rFonts w:ascii="Verdana" w:hAnsi="Verdana"/>
          <w:color w:val="000000"/>
          <w:sz w:val="20"/>
          <w:szCs w:val="20"/>
          <w:vertAlign w:val="superscript"/>
          <w:lang w:val="en-US"/>
        </w:rPr>
        <w:footnoteReference w:id="71"/>
      </w:r>
      <w:r w:rsidR="00EC6DBA" w:rsidRPr="00D869E3">
        <w:rPr>
          <w:rFonts w:ascii="Verdana" w:hAnsi="Verdana"/>
          <w:color w:val="000000"/>
          <w:sz w:val="20"/>
          <w:szCs w:val="20"/>
          <w:lang w:val="en-US"/>
        </w:rPr>
        <w:t xml:space="preserve"> The worker, in the exercise of his right to defend himself, ha</w:t>
      </w:r>
      <w:r w:rsidR="00397BCB" w:rsidRPr="00D869E3">
        <w:rPr>
          <w:rFonts w:ascii="Verdana" w:hAnsi="Verdana"/>
          <w:color w:val="000000"/>
          <w:sz w:val="20"/>
          <w:szCs w:val="20"/>
          <w:lang w:val="en-US"/>
        </w:rPr>
        <w:t>d</w:t>
      </w:r>
      <w:r w:rsidR="00EC6DBA" w:rsidRPr="00D869E3">
        <w:rPr>
          <w:rFonts w:ascii="Verdana" w:hAnsi="Verdana"/>
          <w:color w:val="000000"/>
          <w:sz w:val="20"/>
          <w:szCs w:val="20"/>
          <w:lang w:val="en-US"/>
        </w:rPr>
        <w:t xml:space="preserve"> six days to disprove the facts of which he </w:t>
      </w:r>
      <w:r w:rsidR="00397BCB" w:rsidRPr="00D869E3">
        <w:rPr>
          <w:rFonts w:ascii="Verdana" w:hAnsi="Verdana"/>
          <w:color w:val="000000"/>
          <w:sz w:val="20"/>
          <w:szCs w:val="20"/>
          <w:lang w:val="en-US"/>
        </w:rPr>
        <w:t>was</w:t>
      </w:r>
      <w:r w:rsidR="00EC6DBA" w:rsidRPr="00D869E3">
        <w:rPr>
          <w:rFonts w:ascii="Verdana" w:hAnsi="Verdana"/>
          <w:color w:val="000000"/>
          <w:sz w:val="20"/>
          <w:szCs w:val="20"/>
          <w:lang w:val="en-US"/>
        </w:rPr>
        <w:t xml:space="preserve"> accused, because, if he d</w:t>
      </w:r>
      <w:r w:rsidR="00397BCB" w:rsidRPr="00D869E3">
        <w:rPr>
          <w:rFonts w:ascii="Verdana" w:hAnsi="Verdana"/>
          <w:color w:val="000000"/>
          <w:sz w:val="20"/>
          <w:szCs w:val="20"/>
          <w:lang w:val="en-US"/>
        </w:rPr>
        <w:t>id</w:t>
      </w:r>
      <w:r w:rsidR="00EC6DBA" w:rsidRPr="00D869E3">
        <w:rPr>
          <w:rFonts w:ascii="Verdana" w:hAnsi="Verdana"/>
          <w:color w:val="000000"/>
          <w:sz w:val="20"/>
          <w:szCs w:val="20"/>
          <w:lang w:val="en-US"/>
        </w:rPr>
        <w:t xml:space="preserve"> not do so, the employer w</w:t>
      </w:r>
      <w:r w:rsidR="00397BCB" w:rsidRPr="00D869E3">
        <w:rPr>
          <w:rFonts w:ascii="Verdana" w:hAnsi="Verdana"/>
          <w:color w:val="000000"/>
          <w:sz w:val="20"/>
          <w:szCs w:val="20"/>
          <w:lang w:val="en-US"/>
        </w:rPr>
        <w:t>ould</w:t>
      </w:r>
      <w:r w:rsidR="00EC6DBA" w:rsidRPr="00D869E3">
        <w:rPr>
          <w:rFonts w:ascii="Verdana" w:hAnsi="Verdana"/>
          <w:color w:val="000000"/>
          <w:sz w:val="20"/>
          <w:szCs w:val="20"/>
          <w:lang w:val="en-US"/>
        </w:rPr>
        <w:t xml:space="preserve"> notify him of his dismissal and the date </w:t>
      </w:r>
      <w:r w:rsidR="00397BCB" w:rsidRPr="00D869E3">
        <w:rPr>
          <w:rFonts w:ascii="Verdana" w:hAnsi="Verdana"/>
          <w:color w:val="000000"/>
          <w:sz w:val="20"/>
          <w:szCs w:val="20"/>
          <w:lang w:val="en-US"/>
        </w:rPr>
        <w:t>of</w:t>
      </w:r>
      <w:r w:rsidR="00EC6DBA" w:rsidRPr="00D869E3">
        <w:rPr>
          <w:rFonts w:ascii="Verdana" w:hAnsi="Verdana"/>
          <w:color w:val="000000"/>
          <w:sz w:val="20"/>
          <w:szCs w:val="20"/>
          <w:lang w:val="en-US"/>
        </w:rPr>
        <w:t xml:space="preserve"> terminat</w:t>
      </w:r>
      <w:r w:rsidR="00397BCB" w:rsidRPr="00D869E3">
        <w:rPr>
          <w:rFonts w:ascii="Verdana" w:hAnsi="Verdana"/>
          <w:color w:val="000000"/>
          <w:sz w:val="20"/>
          <w:szCs w:val="20"/>
          <w:lang w:val="en-US"/>
        </w:rPr>
        <w:t>ion of</w:t>
      </w:r>
      <w:r w:rsidR="00EC6DBA" w:rsidRPr="00D869E3">
        <w:rPr>
          <w:rFonts w:ascii="Verdana" w:hAnsi="Verdana"/>
          <w:color w:val="000000"/>
          <w:sz w:val="20"/>
          <w:szCs w:val="20"/>
          <w:lang w:val="en-US"/>
        </w:rPr>
        <w:t xml:space="preserve"> employment in a notarized letter; the employer w</w:t>
      </w:r>
      <w:r w:rsidR="00397BCB" w:rsidRPr="00D869E3">
        <w:rPr>
          <w:rFonts w:ascii="Verdana" w:hAnsi="Verdana"/>
          <w:color w:val="000000"/>
          <w:sz w:val="20"/>
          <w:szCs w:val="20"/>
          <w:lang w:val="en-US"/>
        </w:rPr>
        <w:t>ould</w:t>
      </w:r>
      <w:r w:rsidR="00EC6DBA" w:rsidRPr="00D869E3">
        <w:rPr>
          <w:rFonts w:ascii="Verdana" w:hAnsi="Verdana"/>
          <w:color w:val="000000"/>
          <w:sz w:val="20"/>
          <w:szCs w:val="20"/>
          <w:lang w:val="en-US"/>
        </w:rPr>
        <w:t xml:space="preserve"> also communicate the decision to the administrative</w:t>
      </w:r>
      <w:r w:rsidR="00E91FDA" w:rsidRPr="00D869E3">
        <w:rPr>
          <w:rFonts w:ascii="Verdana" w:hAnsi="Verdana"/>
          <w:color w:val="000000"/>
          <w:sz w:val="20"/>
          <w:szCs w:val="20"/>
          <w:lang w:val="en-US"/>
        </w:rPr>
        <w:t xml:space="preserve"> labor</w:t>
      </w:r>
      <w:r w:rsidR="00EC6DBA" w:rsidRPr="00D869E3">
        <w:rPr>
          <w:rFonts w:ascii="Verdana" w:hAnsi="Verdana"/>
          <w:color w:val="000000"/>
          <w:sz w:val="20"/>
          <w:szCs w:val="20"/>
          <w:lang w:val="en-US"/>
        </w:rPr>
        <w:t xml:space="preserve"> authority.</w:t>
      </w:r>
      <w:r w:rsidRPr="00D869E3">
        <w:rPr>
          <w:rFonts w:ascii="Verdana" w:hAnsi="Verdana"/>
          <w:sz w:val="20"/>
          <w:szCs w:val="20"/>
          <w:vertAlign w:val="superscript"/>
          <w:lang w:val="en-US"/>
        </w:rPr>
        <w:footnoteReference w:id="72"/>
      </w:r>
      <w:r w:rsidR="00E91FDA" w:rsidRPr="00D869E3">
        <w:rPr>
          <w:rFonts w:ascii="Verdana" w:hAnsi="Verdana" w:cs="Arial"/>
          <w:sz w:val="20"/>
          <w:szCs w:val="20"/>
          <w:lang w:val="en-US"/>
        </w:rPr>
        <w:t xml:space="preserve"> The law stipulate</w:t>
      </w:r>
      <w:r w:rsidR="00397BCB" w:rsidRPr="00D869E3">
        <w:rPr>
          <w:rFonts w:ascii="Verdana" w:hAnsi="Verdana" w:cs="Arial"/>
          <w:sz w:val="20"/>
          <w:szCs w:val="20"/>
          <w:lang w:val="en-US"/>
        </w:rPr>
        <w:t>d</w:t>
      </w:r>
      <w:r w:rsidR="00E91FDA" w:rsidRPr="00D869E3">
        <w:rPr>
          <w:rFonts w:ascii="Verdana" w:hAnsi="Verdana" w:cs="Arial"/>
          <w:sz w:val="20"/>
          <w:szCs w:val="20"/>
          <w:lang w:val="en-US"/>
        </w:rPr>
        <w:t xml:space="preserve"> that the worker </w:t>
      </w:r>
      <w:r w:rsidR="00397BCB" w:rsidRPr="00D869E3">
        <w:rPr>
          <w:rFonts w:ascii="Verdana" w:hAnsi="Verdana" w:cs="Arial"/>
          <w:sz w:val="20"/>
          <w:szCs w:val="20"/>
          <w:lang w:val="en-US"/>
        </w:rPr>
        <w:t>could</w:t>
      </w:r>
      <w:r w:rsidR="00E91FDA" w:rsidRPr="00D869E3">
        <w:rPr>
          <w:rFonts w:ascii="Verdana" w:hAnsi="Verdana" w:cs="Arial"/>
          <w:sz w:val="20"/>
          <w:szCs w:val="20"/>
          <w:lang w:val="en-US"/>
        </w:rPr>
        <w:t xml:space="preserve"> have recourse to the labor jurisdiction if he consider</w:t>
      </w:r>
      <w:r w:rsidR="00397BCB" w:rsidRPr="00D869E3">
        <w:rPr>
          <w:rFonts w:ascii="Verdana" w:hAnsi="Verdana" w:cs="Arial"/>
          <w:sz w:val="20"/>
          <w:szCs w:val="20"/>
          <w:lang w:val="en-US"/>
        </w:rPr>
        <w:t>ed</w:t>
      </w:r>
      <w:r w:rsidR="00E91FDA" w:rsidRPr="00D869E3">
        <w:rPr>
          <w:rFonts w:ascii="Verdana" w:hAnsi="Verdana" w:cs="Arial"/>
          <w:sz w:val="20"/>
          <w:szCs w:val="20"/>
          <w:lang w:val="en-US"/>
        </w:rPr>
        <w:t xml:space="preserve"> that </w:t>
      </w:r>
      <w:r w:rsidR="00103C07" w:rsidRPr="00D869E3">
        <w:rPr>
          <w:rFonts w:ascii="Verdana" w:hAnsi="Verdana" w:cs="Arial"/>
          <w:sz w:val="20"/>
          <w:szCs w:val="20"/>
          <w:lang w:val="en-US"/>
        </w:rPr>
        <w:t>the</w:t>
      </w:r>
      <w:r w:rsidR="00E91FDA" w:rsidRPr="00D869E3">
        <w:rPr>
          <w:rFonts w:ascii="Verdana" w:hAnsi="Verdana" w:cs="Arial"/>
          <w:sz w:val="20"/>
          <w:szCs w:val="20"/>
          <w:lang w:val="en-US"/>
        </w:rPr>
        <w:t xml:space="preserve"> dismissal was not </w:t>
      </w:r>
      <w:r w:rsidR="00E91FDA" w:rsidRPr="00D869E3">
        <w:rPr>
          <w:rFonts w:ascii="Verdana" w:hAnsi="Verdana" w:cs="Arial"/>
          <w:sz w:val="20"/>
          <w:szCs w:val="20"/>
          <w:lang w:val="en-US"/>
        </w:rPr>
        <w:lastRenderedPageBreak/>
        <w:t>justified.</w:t>
      </w:r>
      <w:r w:rsidRPr="00D869E3">
        <w:rPr>
          <w:rFonts w:ascii="Verdana" w:hAnsi="Verdana"/>
          <w:sz w:val="20"/>
          <w:szCs w:val="20"/>
          <w:vertAlign w:val="superscript"/>
          <w:lang w:val="en-US"/>
        </w:rPr>
        <w:footnoteReference w:id="73"/>
      </w:r>
      <w:r w:rsidR="00E91FDA" w:rsidRPr="00D869E3">
        <w:rPr>
          <w:rFonts w:ascii="Verdana" w:hAnsi="Verdana"/>
          <w:sz w:val="20"/>
          <w:szCs w:val="20"/>
          <w:lang w:val="en-US"/>
        </w:rPr>
        <w:t xml:space="preserve"> The law expressly establishe</w:t>
      </w:r>
      <w:r w:rsidR="00397BCB" w:rsidRPr="00D869E3">
        <w:rPr>
          <w:rFonts w:ascii="Verdana" w:hAnsi="Verdana"/>
          <w:sz w:val="20"/>
          <w:szCs w:val="20"/>
          <w:lang w:val="en-US"/>
        </w:rPr>
        <w:t>d</w:t>
      </w:r>
      <w:r w:rsidR="00E91FDA" w:rsidRPr="00D869E3">
        <w:rPr>
          <w:rFonts w:ascii="Verdana" w:hAnsi="Verdana"/>
          <w:sz w:val="20"/>
          <w:szCs w:val="20"/>
          <w:lang w:val="en-US"/>
        </w:rPr>
        <w:t xml:space="preserve"> that the burden of proof for the dismissal correspond</w:t>
      </w:r>
      <w:r w:rsidR="00397BCB" w:rsidRPr="00D869E3">
        <w:rPr>
          <w:rFonts w:ascii="Verdana" w:hAnsi="Verdana"/>
          <w:sz w:val="20"/>
          <w:szCs w:val="20"/>
          <w:lang w:val="en-US"/>
        </w:rPr>
        <w:t>ed</w:t>
      </w:r>
      <w:r w:rsidR="00E91FDA" w:rsidRPr="00D869E3">
        <w:rPr>
          <w:rFonts w:ascii="Verdana" w:hAnsi="Verdana"/>
          <w:sz w:val="20"/>
          <w:szCs w:val="20"/>
          <w:lang w:val="en-US"/>
        </w:rPr>
        <w:t xml:space="preserve"> to the employer.</w:t>
      </w:r>
      <w:r w:rsidRPr="00D869E3">
        <w:rPr>
          <w:rFonts w:ascii="Verdana" w:hAnsi="Verdana"/>
          <w:sz w:val="20"/>
          <w:szCs w:val="20"/>
          <w:vertAlign w:val="superscript"/>
          <w:lang w:val="en-US"/>
        </w:rPr>
        <w:footnoteReference w:id="74"/>
      </w:r>
      <w:r w:rsidR="00E91FDA" w:rsidRPr="00D869E3">
        <w:rPr>
          <w:rFonts w:ascii="Verdana" w:hAnsi="Verdana"/>
          <w:sz w:val="20"/>
          <w:szCs w:val="20"/>
          <w:lang w:val="en-US"/>
        </w:rPr>
        <w:t xml:space="preserve"> If the proceedings </w:t>
      </w:r>
      <w:r w:rsidR="00397BCB" w:rsidRPr="00D869E3">
        <w:rPr>
          <w:rFonts w:ascii="Verdana" w:hAnsi="Verdana"/>
          <w:sz w:val="20"/>
          <w:szCs w:val="20"/>
          <w:lang w:val="en-US"/>
        </w:rPr>
        <w:t>we</w:t>
      </w:r>
      <w:r w:rsidR="00E91FDA" w:rsidRPr="00D869E3">
        <w:rPr>
          <w:rFonts w:ascii="Verdana" w:hAnsi="Verdana"/>
          <w:sz w:val="20"/>
          <w:szCs w:val="20"/>
          <w:lang w:val="en-US"/>
        </w:rPr>
        <w:t xml:space="preserve">re </w:t>
      </w:r>
      <w:r w:rsidR="00103C07" w:rsidRPr="00D869E3">
        <w:rPr>
          <w:rFonts w:ascii="Verdana" w:hAnsi="Verdana"/>
          <w:sz w:val="20"/>
          <w:szCs w:val="20"/>
          <w:lang w:val="en-US"/>
        </w:rPr>
        <w:t>adjudicated in favor of</w:t>
      </w:r>
      <w:r w:rsidR="00E91FDA" w:rsidRPr="00D869E3">
        <w:rPr>
          <w:rFonts w:ascii="Verdana" w:hAnsi="Verdana"/>
          <w:sz w:val="20"/>
          <w:szCs w:val="20"/>
          <w:lang w:val="en-US"/>
        </w:rPr>
        <w:t xml:space="preserve"> the worker, he </w:t>
      </w:r>
      <w:r w:rsidR="00397BCB" w:rsidRPr="00D869E3">
        <w:rPr>
          <w:rFonts w:ascii="Verdana" w:hAnsi="Verdana"/>
          <w:sz w:val="20"/>
          <w:szCs w:val="20"/>
          <w:lang w:val="en-US"/>
        </w:rPr>
        <w:t>could</w:t>
      </w:r>
      <w:r w:rsidR="00E91FDA" w:rsidRPr="00D869E3">
        <w:rPr>
          <w:rFonts w:ascii="Verdana" w:hAnsi="Verdana"/>
          <w:sz w:val="20"/>
          <w:szCs w:val="20"/>
          <w:lang w:val="en-US"/>
        </w:rPr>
        <w:t xml:space="preserve"> opt to be reinstated or </w:t>
      </w:r>
      <w:r w:rsidR="00103C07" w:rsidRPr="00D869E3">
        <w:rPr>
          <w:rFonts w:ascii="Verdana" w:hAnsi="Verdana"/>
          <w:sz w:val="20"/>
          <w:szCs w:val="20"/>
          <w:lang w:val="en-US"/>
        </w:rPr>
        <w:t>to</w:t>
      </w:r>
      <w:r w:rsidR="00E91FDA" w:rsidRPr="00D869E3">
        <w:rPr>
          <w:rFonts w:ascii="Verdana" w:hAnsi="Verdana"/>
          <w:sz w:val="20"/>
          <w:szCs w:val="20"/>
          <w:lang w:val="en-US"/>
        </w:rPr>
        <w:t xml:space="preserve"> terminat</w:t>
      </w:r>
      <w:r w:rsidR="00103C07" w:rsidRPr="00D869E3">
        <w:rPr>
          <w:rFonts w:ascii="Verdana" w:hAnsi="Verdana"/>
          <w:sz w:val="20"/>
          <w:szCs w:val="20"/>
          <w:lang w:val="en-US"/>
        </w:rPr>
        <w:t>e his</w:t>
      </w:r>
      <w:r w:rsidR="00E91FDA" w:rsidRPr="00D869E3">
        <w:rPr>
          <w:rFonts w:ascii="Verdana" w:hAnsi="Verdana"/>
          <w:sz w:val="20"/>
          <w:szCs w:val="20"/>
          <w:lang w:val="en-US"/>
        </w:rPr>
        <w:t xml:space="preserve"> contract, which w</w:t>
      </w:r>
      <w:r w:rsidR="00103C07" w:rsidRPr="00D869E3">
        <w:rPr>
          <w:rFonts w:ascii="Verdana" w:hAnsi="Verdana"/>
          <w:sz w:val="20"/>
          <w:szCs w:val="20"/>
          <w:lang w:val="en-US"/>
        </w:rPr>
        <w:t>ould</w:t>
      </w:r>
      <w:r w:rsidR="00E91FDA" w:rsidRPr="00D869E3">
        <w:rPr>
          <w:rFonts w:ascii="Verdana" w:hAnsi="Verdana"/>
          <w:sz w:val="20"/>
          <w:szCs w:val="20"/>
          <w:lang w:val="en-US"/>
        </w:rPr>
        <w:t xml:space="preserve"> lead to the payment of the severance package </w:t>
      </w:r>
      <w:r w:rsidR="00687684" w:rsidRPr="00D869E3">
        <w:rPr>
          <w:rFonts w:ascii="Verdana" w:hAnsi="Verdana"/>
          <w:sz w:val="20"/>
          <w:szCs w:val="20"/>
          <w:lang w:val="en-US"/>
        </w:rPr>
        <w:t>and</w:t>
      </w:r>
      <w:r w:rsidR="00E91FDA" w:rsidRPr="00D869E3">
        <w:rPr>
          <w:rFonts w:ascii="Verdana" w:hAnsi="Verdana"/>
          <w:sz w:val="20"/>
          <w:szCs w:val="20"/>
          <w:lang w:val="en-US"/>
        </w:rPr>
        <w:t xml:space="preserve"> special compensation.</w:t>
      </w:r>
      <w:r w:rsidRPr="00D869E3">
        <w:rPr>
          <w:rFonts w:ascii="Verdana" w:hAnsi="Verdana"/>
          <w:sz w:val="20"/>
          <w:szCs w:val="20"/>
          <w:vertAlign w:val="superscript"/>
          <w:lang w:val="en-US"/>
        </w:rPr>
        <w:footnoteReference w:id="75"/>
      </w:r>
      <w:r w:rsidRPr="00D869E3">
        <w:rPr>
          <w:rFonts w:ascii="Verdana" w:hAnsi="Verdana" w:cs="Arial"/>
          <w:sz w:val="20"/>
          <w:szCs w:val="20"/>
          <w:lang w:val="en-US"/>
        </w:rPr>
        <w:t xml:space="preserve"> </w:t>
      </w:r>
    </w:p>
    <w:p w14:paraId="220095E5" w14:textId="77777777" w:rsidR="00275EDE" w:rsidRPr="00D869E3" w:rsidRDefault="00275EDE" w:rsidP="009C6F8E">
      <w:pPr>
        <w:jc w:val="both"/>
        <w:rPr>
          <w:rFonts w:ascii="Verdana" w:hAnsi="Verdana"/>
          <w:b/>
          <w:sz w:val="20"/>
          <w:szCs w:val="20"/>
          <w:lang w:val="en-US"/>
        </w:rPr>
      </w:pPr>
    </w:p>
    <w:p w14:paraId="0B832466" w14:textId="79A92487" w:rsidR="00275EDE" w:rsidRPr="00D869E3" w:rsidRDefault="006543DC" w:rsidP="00E66DD7">
      <w:pPr>
        <w:pStyle w:val="Ttulo2"/>
        <w:numPr>
          <w:ilvl w:val="0"/>
          <w:numId w:val="12"/>
        </w:numPr>
        <w:rPr>
          <w:rFonts w:eastAsia="MS Gothic"/>
          <w:i/>
          <w:iCs/>
          <w:szCs w:val="20"/>
          <w:lang w:val="en-US"/>
        </w:rPr>
      </w:pPr>
      <w:bookmarkStart w:id="24" w:name="_Toc29114117"/>
      <w:r w:rsidRPr="00D869E3">
        <w:rPr>
          <w:rFonts w:eastAsia="MS Gothic"/>
          <w:i/>
          <w:iCs/>
          <w:szCs w:val="20"/>
          <w:lang w:val="en-US"/>
        </w:rPr>
        <w:t>Actions filed by</w:t>
      </w:r>
      <w:r w:rsidR="00E91FDA" w:rsidRPr="00D869E3">
        <w:rPr>
          <w:rFonts w:eastAsia="MS Gothic"/>
          <w:i/>
          <w:iCs/>
          <w:szCs w:val="20"/>
          <w:lang w:val="en-US"/>
        </w:rPr>
        <w:t xml:space="preserve"> Mr.</w:t>
      </w:r>
      <w:r w:rsidR="001E44D3" w:rsidRPr="00D869E3">
        <w:rPr>
          <w:rFonts w:eastAsia="MS Gothic"/>
          <w:i/>
          <w:iCs/>
          <w:szCs w:val="20"/>
          <w:lang w:val="en-US"/>
        </w:rPr>
        <w:t xml:space="preserve"> Lagos del Campo</w:t>
      </w:r>
      <w:bookmarkEnd w:id="24"/>
    </w:p>
    <w:p w14:paraId="411804FE" w14:textId="77777777" w:rsidR="00275EDE" w:rsidRPr="00D869E3" w:rsidRDefault="00275EDE" w:rsidP="00275EDE">
      <w:pPr>
        <w:autoSpaceDE w:val="0"/>
        <w:autoSpaceDN w:val="0"/>
        <w:adjustRightInd w:val="0"/>
        <w:jc w:val="both"/>
        <w:rPr>
          <w:rFonts w:ascii="Verdana" w:hAnsi="Verdana"/>
          <w:b/>
          <w:bCs/>
          <w:sz w:val="20"/>
          <w:szCs w:val="20"/>
          <w:lang w:val="en-US"/>
        </w:rPr>
      </w:pPr>
    </w:p>
    <w:p w14:paraId="518456FE" w14:textId="227E601D" w:rsidR="00275EDE" w:rsidRPr="00D869E3" w:rsidRDefault="00034E2C" w:rsidP="00E66DD7">
      <w:pPr>
        <w:pStyle w:val="Ttulo3"/>
        <w:numPr>
          <w:ilvl w:val="0"/>
          <w:numId w:val="9"/>
        </w:numPr>
        <w:rPr>
          <w:i/>
          <w:lang w:val="en-US"/>
        </w:rPr>
      </w:pPr>
      <w:bookmarkStart w:id="25" w:name="_Toc29114118"/>
      <w:r w:rsidRPr="00D869E3">
        <w:rPr>
          <w:i/>
          <w:lang w:val="en-US"/>
        </w:rPr>
        <w:t>Application for review of dismissal</w:t>
      </w:r>
      <w:bookmarkEnd w:id="25"/>
    </w:p>
    <w:p w14:paraId="5D0A3C7E" w14:textId="77777777" w:rsidR="00275EDE" w:rsidRPr="00D869E3" w:rsidRDefault="00275EDE" w:rsidP="00275EDE">
      <w:pPr>
        <w:jc w:val="both"/>
        <w:rPr>
          <w:rFonts w:ascii="Verdana" w:hAnsi="Verdana"/>
          <w:sz w:val="20"/>
          <w:szCs w:val="20"/>
          <w:lang w:val="en-US"/>
        </w:rPr>
      </w:pPr>
    </w:p>
    <w:p w14:paraId="0BDEF6E8" w14:textId="7F75175C" w:rsidR="00275EDE" w:rsidRPr="00D869E3" w:rsidRDefault="00034E2C" w:rsidP="00EB5E2E">
      <w:pPr>
        <w:pStyle w:val="Prrafodelista"/>
        <w:numPr>
          <w:ilvl w:val="0"/>
          <w:numId w:val="1"/>
        </w:numPr>
        <w:ind w:left="0" w:hanging="11"/>
        <w:jc w:val="both"/>
        <w:rPr>
          <w:rFonts w:ascii="Verdana" w:hAnsi="Verdana"/>
          <w:b/>
          <w:sz w:val="20"/>
          <w:szCs w:val="20"/>
          <w:lang w:val="en-US"/>
        </w:rPr>
      </w:pPr>
      <w:r w:rsidRPr="00D869E3">
        <w:rPr>
          <w:rFonts w:ascii="Verdana" w:hAnsi="Verdana"/>
          <w:sz w:val="20"/>
          <w:szCs w:val="20"/>
          <w:lang w:val="en-US"/>
        </w:rPr>
        <w:t>On July 26,</w:t>
      </w:r>
      <w:r w:rsidR="001B2ECD" w:rsidRPr="00D869E3">
        <w:rPr>
          <w:rFonts w:ascii="Verdana" w:hAnsi="Verdana"/>
          <w:sz w:val="20"/>
          <w:szCs w:val="20"/>
          <w:lang w:val="en-US"/>
        </w:rPr>
        <w:t xml:space="preserve"> 1989</w:t>
      </w:r>
      <w:r w:rsidRPr="00D869E3">
        <w:rPr>
          <w:rFonts w:ascii="Verdana" w:hAnsi="Verdana"/>
          <w:sz w:val="20"/>
          <w:szCs w:val="20"/>
          <w:lang w:val="en-US"/>
        </w:rPr>
        <w:t>,</w:t>
      </w:r>
      <w:r w:rsidR="001B2ECD" w:rsidRPr="00D869E3">
        <w:rPr>
          <w:rFonts w:ascii="Verdana" w:hAnsi="Verdana"/>
          <w:sz w:val="20"/>
          <w:szCs w:val="20"/>
          <w:lang w:val="en-US"/>
        </w:rPr>
        <w:t xml:space="preserve"> </w:t>
      </w:r>
      <w:r w:rsidR="001E44D3" w:rsidRPr="00D869E3">
        <w:rPr>
          <w:rFonts w:ascii="Verdana" w:hAnsi="Verdana"/>
          <w:sz w:val="20"/>
          <w:szCs w:val="20"/>
          <w:lang w:val="en-US"/>
        </w:rPr>
        <w:t>Mr. Lagos del Campo</w:t>
      </w:r>
      <w:r w:rsidR="001B2ECD" w:rsidRPr="00D869E3">
        <w:rPr>
          <w:rFonts w:ascii="Verdana" w:hAnsi="Verdana"/>
          <w:sz w:val="20"/>
          <w:szCs w:val="20"/>
          <w:lang w:val="en-US"/>
        </w:rPr>
        <w:t xml:space="preserve"> </w:t>
      </w:r>
      <w:r w:rsidR="006543DC" w:rsidRPr="00D869E3">
        <w:rPr>
          <w:rFonts w:ascii="Verdana" w:hAnsi="Verdana"/>
          <w:sz w:val="20"/>
          <w:szCs w:val="20"/>
          <w:lang w:val="en-US"/>
        </w:rPr>
        <w:t xml:space="preserve">filed an action against </w:t>
      </w:r>
      <w:r w:rsidR="001B2ECD" w:rsidRPr="00D869E3">
        <w:rPr>
          <w:rFonts w:ascii="Verdana" w:hAnsi="Verdana"/>
          <w:sz w:val="20"/>
          <w:szCs w:val="20"/>
          <w:lang w:val="en-US"/>
        </w:rPr>
        <w:t xml:space="preserve">Ceper-Pirelli S.A. </w:t>
      </w:r>
      <w:r w:rsidR="006543DC" w:rsidRPr="00D869E3">
        <w:rPr>
          <w:rFonts w:ascii="Verdana" w:hAnsi="Verdana"/>
          <w:sz w:val="20"/>
          <w:szCs w:val="20"/>
          <w:lang w:val="en-US"/>
        </w:rPr>
        <w:t>before the</w:t>
      </w:r>
      <w:r w:rsidR="001B2ECD" w:rsidRPr="00D869E3">
        <w:rPr>
          <w:rFonts w:ascii="Verdana" w:hAnsi="Verdana"/>
          <w:sz w:val="20"/>
          <w:szCs w:val="20"/>
          <w:lang w:val="en-US"/>
        </w:rPr>
        <w:t xml:space="preserve"> </w:t>
      </w:r>
      <w:r w:rsidR="006543DC" w:rsidRPr="00D869E3">
        <w:rPr>
          <w:rFonts w:ascii="Verdana" w:hAnsi="Verdana"/>
          <w:sz w:val="20"/>
          <w:szCs w:val="20"/>
          <w:lang w:val="en-US"/>
        </w:rPr>
        <w:t>Lima Labor Court</w:t>
      </w:r>
      <w:r w:rsidR="001B2ECD" w:rsidRPr="00D869E3">
        <w:rPr>
          <w:rFonts w:ascii="Verdana" w:hAnsi="Verdana"/>
          <w:sz w:val="20"/>
          <w:szCs w:val="20"/>
          <w:lang w:val="en-US"/>
        </w:rPr>
        <w:t xml:space="preserve"> </w:t>
      </w:r>
      <w:r w:rsidR="006543DC" w:rsidRPr="00D869E3">
        <w:rPr>
          <w:rFonts w:ascii="Verdana" w:hAnsi="Verdana"/>
          <w:sz w:val="20"/>
          <w:szCs w:val="20"/>
          <w:lang w:val="en-US"/>
        </w:rPr>
        <w:t xml:space="preserve">requesting that the court declare his dismissal “unjustified </w:t>
      </w:r>
      <w:r w:rsidR="004806A6" w:rsidRPr="00D869E3">
        <w:rPr>
          <w:rFonts w:ascii="Verdana" w:hAnsi="Verdana"/>
          <w:sz w:val="20"/>
          <w:szCs w:val="20"/>
          <w:lang w:val="en-US"/>
        </w:rPr>
        <w:t>and</w:t>
      </w:r>
      <w:r w:rsidR="006543DC" w:rsidRPr="00D869E3">
        <w:rPr>
          <w:rFonts w:ascii="Verdana" w:hAnsi="Verdana"/>
          <w:sz w:val="20"/>
          <w:szCs w:val="20"/>
          <w:lang w:val="en-US"/>
        </w:rPr>
        <w:t xml:space="preserve"> </w:t>
      </w:r>
      <w:r w:rsidR="004806A6" w:rsidRPr="00D869E3">
        <w:rPr>
          <w:rFonts w:ascii="Verdana" w:hAnsi="Verdana"/>
          <w:sz w:val="20"/>
          <w:szCs w:val="20"/>
          <w:lang w:val="en-US"/>
        </w:rPr>
        <w:t>unfair</w:t>
      </w:r>
      <w:r w:rsidR="006543DC" w:rsidRPr="00D869E3">
        <w:rPr>
          <w:rFonts w:ascii="Verdana" w:hAnsi="Verdana"/>
          <w:sz w:val="20"/>
          <w:szCs w:val="20"/>
          <w:lang w:val="en-US"/>
        </w:rPr>
        <w:t>.”</w:t>
      </w:r>
      <w:r w:rsidR="001B2ECD" w:rsidRPr="00D869E3">
        <w:rPr>
          <w:rFonts w:ascii="Verdana" w:hAnsi="Verdana"/>
          <w:sz w:val="20"/>
          <w:szCs w:val="20"/>
          <w:vertAlign w:val="superscript"/>
          <w:lang w:val="en-US"/>
        </w:rPr>
        <w:footnoteReference w:id="76"/>
      </w:r>
      <w:r w:rsidR="001B2ECD" w:rsidRPr="00D869E3">
        <w:rPr>
          <w:rFonts w:ascii="Verdana" w:hAnsi="Verdana"/>
          <w:sz w:val="20"/>
          <w:szCs w:val="20"/>
          <w:lang w:val="en-US"/>
        </w:rPr>
        <w:t xml:space="preserve"> </w:t>
      </w:r>
      <w:r w:rsidR="006543DC" w:rsidRPr="00D869E3">
        <w:rPr>
          <w:rFonts w:ascii="Verdana" w:hAnsi="Verdana"/>
          <w:sz w:val="20"/>
          <w:szCs w:val="20"/>
          <w:lang w:val="en-US"/>
        </w:rPr>
        <w:t xml:space="preserve">He denied that he had insulted the company or had used the words “blackmail” and </w:t>
      </w:r>
      <w:r w:rsidR="006436CA" w:rsidRPr="00D869E3">
        <w:rPr>
          <w:rFonts w:ascii="Verdana" w:hAnsi="Verdana"/>
          <w:sz w:val="20"/>
          <w:szCs w:val="20"/>
          <w:lang w:val="en-US"/>
        </w:rPr>
        <w:t>“</w:t>
      </w:r>
      <w:r w:rsidR="001B2ECD" w:rsidRPr="00D869E3">
        <w:rPr>
          <w:rFonts w:ascii="Verdana" w:hAnsi="Verdana"/>
          <w:sz w:val="20"/>
          <w:szCs w:val="20"/>
          <w:lang w:val="en-US"/>
        </w:rPr>
        <w:t>coerci</w:t>
      </w:r>
      <w:r w:rsidR="006543DC" w:rsidRPr="00D869E3">
        <w:rPr>
          <w:rFonts w:ascii="Verdana" w:hAnsi="Verdana"/>
          <w:sz w:val="20"/>
          <w:szCs w:val="20"/>
          <w:lang w:val="en-US"/>
        </w:rPr>
        <w:t>o</w:t>
      </w:r>
      <w:r w:rsidR="001B2ECD" w:rsidRPr="00D869E3">
        <w:rPr>
          <w:rFonts w:ascii="Verdana" w:hAnsi="Verdana"/>
          <w:sz w:val="20"/>
          <w:szCs w:val="20"/>
          <w:lang w:val="en-US"/>
        </w:rPr>
        <w:t>n</w:t>
      </w:r>
      <w:r w:rsidR="000B550A" w:rsidRPr="00D869E3">
        <w:rPr>
          <w:rFonts w:ascii="Verdana" w:hAnsi="Verdana"/>
          <w:sz w:val="20"/>
          <w:szCs w:val="20"/>
          <w:lang w:val="en-US"/>
        </w:rPr>
        <w:t>.</w:t>
      </w:r>
      <w:r w:rsidR="006436CA" w:rsidRPr="00D869E3">
        <w:rPr>
          <w:rFonts w:ascii="Verdana" w:hAnsi="Verdana"/>
          <w:sz w:val="20"/>
          <w:szCs w:val="20"/>
          <w:lang w:val="en-US"/>
        </w:rPr>
        <w:t>”</w:t>
      </w:r>
      <w:r w:rsidR="000B550A" w:rsidRPr="00D869E3">
        <w:rPr>
          <w:rFonts w:ascii="Verdana" w:hAnsi="Verdana"/>
          <w:sz w:val="20"/>
          <w:szCs w:val="20"/>
          <w:lang w:val="en-US"/>
        </w:rPr>
        <w:t xml:space="preserve"> He stressed that, in any case, the </w:t>
      </w:r>
      <w:r w:rsidR="00364D8A" w:rsidRPr="00D869E3">
        <w:rPr>
          <w:rFonts w:ascii="Verdana" w:hAnsi="Verdana"/>
          <w:sz w:val="20"/>
          <w:szCs w:val="20"/>
          <w:lang w:val="en-US"/>
        </w:rPr>
        <w:t>statements</w:t>
      </w:r>
      <w:r w:rsidR="000B550A" w:rsidRPr="00D869E3">
        <w:rPr>
          <w:rFonts w:ascii="Verdana" w:hAnsi="Verdana"/>
          <w:sz w:val="20"/>
          <w:szCs w:val="20"/>
          <w:lang w:val="en-US"/>
        </w:rPr>
        <w:t xml:space="preserve"> that </w:t>
      </w:r>
      <w:r w:rsidR="00E85F6A" w:rsidRPr="00D869E3">
        <w:rPr>
          <w:rFonts w:ascii="Verdana" w:hAnsi="Verdana"/>
          <w:sz w:val="20"/>
          <w:szCs w:val="20"/>
          <w:lang w:val="en-US"/>
        </w:rPr>
        <w:t>had led to</w:t>
      </w:r>
      <w:r w:rsidR="000B550A" w:rsidRPr="00D869E3">
        <w:rPr>
          <w:rFonts w:ascii="Verdana" w:hAnsi="Verdana"/>
          <w:sz w:val="20"/>
          <w:szCs w:val="20"/>
          <w:lang w:val="en-US"/>
        </w:rPr>
        <w:t xml:space="preserve"> his dismissal had been made in his capacity as</w:t>
      </w:r>
      <w:r w:rsidR="000B550A" w:rsidRPr="00D869E3">
        <w:rPr>
          <w:rFonts w:ascii="Verdana" w:hAnsi="Verdana"/>
          <w:b/>
          <w:sz w:val="20"/>
          <w:szCs w:val="20"/>
          <w:lang w:val="en-US"/>
        </w:rPr>
        <w:t xml:space="preserve"> </w:t>
      </w:r>
      <w:r w:rsidR="001B0492" w:rsidRPr="00D869E3">
        <w:rPr>
          <w:rFonts w:ascii="Verdana" w:hAnsi="Verdana"/>
          <w:sz w:val="20"/>
          <w:szCs w:val="20"/>
          <w:lang w:val="en-US"/>
        </w:rPr>
        <w:t>president of the Electoral</w:t>
      </w:r>
      <w:r w:rsidR="00EA232B" w:rsidRPr="00D869E3">
        <w:rPr>
          <w:rFonts w:ascii="Verdana" w:hAnsi="Verdana"/>
          <w:sz w:val="20"/>
          <w:szCs w:val="20"/>
          <w:lang w:val="en-US"/>
        </w:rPr>
        <w:t xml:space="preserve"> Committee of the </w:t>
      </w:r>
      <w:r w:rsidR="000B550A" w:rsidRPr="00D869E3">
        <w:rPr>
          <w:rFonts w:ascii="Verdana" w:hAnsi="Verdana"/>
          <w:sz w:val="20"/>
          <w:szCs w:val="20"/>
          <w:lang w:val="en-US"/>
        </w:rPr>
        <w:t xml:space="preserve">company’s </w:t>
      </w:r>
      <w:r w:rsidR="00EA232B" w:rsidRPr="00D869E3">
        <w:rPr>
          <w:rFonts w:ascii="Verdana" w:hAnsi="Verdana"/>
          <w:sz w:val="20"/>
          <w:szCs w:val="20"/>
          <w:lang w:val="en-US"/>
        </w:rPr>
        <w:t>Industrial Community</w:t>
      </w:r>
      <w:r w:rsidR="001B2ECD" w:rsidRPr="00D869E3">
        <w:rPr>
          <w:rFonts w:ascii="Verdana" w:hAnsi="Verdana"/>
          <w:sz w:val="20"/>
          <w:szCs w:val="20"/>
          <w:lang w:val="en-US"/>
        </w:rPr>
        <w:t xml:space="preserve"> </w:t>
      </w:r>
      <w:r w:rsidR="000B550A" w:rsidRPr="00D869E3">
        <w:rPr>
          <w:rFonts w:ascii="Verdana" w:hAnsi="Verdana"/>
          <w:sz w:val="20"/>
          <w:szCs w:val="20"/>
          <w:lang w:val="en-US"/>
        </w:rPr>
        <w:t xml:space="preserve">and referred to </w:t>
      </w:r>
      <w:r w:rsidR="00E85F6A" w:rsidRPr="00D869E3">
        <w:rPr>
          <w:rFonts w:ascii="Verdana" w:hAnsi="Verdana"/>
          <w:sz w:val="20"/>
          <w:szCs w:val="20"/>
          <w:lang w:val="en-US"/>
        </w:rPr>
        <w:t xml:space="preserve">internal </w:t>
      </w:r>
      <w:r w:rsidR="000B550A" w:rsidRPr="00D869E3">
        <w:rPr>
          <w:rFonts w:ascii="Verdana" w:hAnsi="Verdana"/>
          <w:sz w:val="20"/>
          <w:szCs w:val="20"/>
          <w:lang w:val="en-US"/>
        </w:rPr>
        <w:t>problems within this community, specifically irregularities in the election of the members of the company’s Board</w:t>
      </w:r>
      <w:r w:rsidR="00E85F6A" w:rsidRPr="00D869E3">
        <w:rPr>
          <w:rFonts w:ascii="Verdana" w:hAnsi="Verdana"/>
          <w:sz w:val="20"/>
          <w:szCs w:val="20"/>
          <w:lang w:val="en-US"/>
        </w:rPr>
        <w:t xml:space="preserve"> of Directors</w:t>
      </w:r>
      <w:r w:rsidR="000B550A" w:rsidRPr="00D869E3">
        <w:rPr>
          <w:rFonts w:ascii="Verdana" w:hAnsi="Verdana"/>
          <w:sz w:val="20"/>
          <w:szCs w:val="20"/>
          <w:lang w:val="en-US"/>
        </w:rPr>
        <w:t xml:space="preserve">. In this regard, he argued that the sanction </w:t>
      </w:r>
      <w:r w:rsidR="00E85F6A" w:rsidRPr="00D869E3">
        <w:rPr>
          <w:rFonts w:ascii="Verdana" w:hAnsi="Verdana"/>
          <w:sz w:val="20"/>
          <w:szCs w:val="20"/>
          <w:lang w:val="en-US"/>
        </w:rPr>
        <w:t>imposed on</w:t>
      </w:r>
      <w:r w:rsidR="000B550A" w:rsidRPr="00D869E3">
        <w:rPr>
          <w:rFonts w:ascii="Verdana" w:hAnsi="Verdana"/>
          <w:sz w:val="20"/>
          <w:szCs w:val="20"/>
          <w:lang w:val="en-US"/>
        </w:rPr>
        <w:t xml:space="preserve"> him, in addition to being </w:t>
      </w:r>
      <w:r w:rsidR="004806A6" w:rsidRPr="00D869E3">
        <w:rPr>
          <w:rFonts w:ascii="Verdana" w:hAnsi="Verdana"/>
          <w:sz w:val="20"/>
          <w:szCs w:val="20"/>
          <w:lang w:val="en-US"/>
        </w:rPr>
        <w:t>unfair</w:t>
      </w:r>
      <w:r w:rsidR="00364D8A" w:rsidRPr="00D869E3">
        <w:rPr>
          <w:rFonts w:ascii="Verdana" w:hAnsi="Verdana"/>
          <w:sz w:val="20"/>
          <w:szCs w:val="20"/>
          <w:lang w:val="en-US"/>
        </w:rPr>
        <w:t>,</w:t>
      </w:r>
      <w:r w:rsidR="000B550A" w:rsidRPr="00D869E3">
        <w:rPr>
          <w:rFonts w:ascii="Verdana" w:hAnsi="Verdana"/>
          <w:sz w:val="20"/>
          <w:szCs w:val="20"/>
          <w:lang w:val="en-US"/>
        </w:rPr>
        <w:t xml:space="preserve"> was “a </w:t>
      </w:r>
      <w:r w:rsidR="00E85F6A" w:rsidRPr="00D869E3">
        <w:rPr>
          <w:rFonts w:ascii="Verdana" w:hAnsi="Verdana"/>
          <w:sz w:val="20"/>
          <w:szCs w:val="20"/>
          <w:lang w:val="en-US"/>
        </w:rPr>
        <w:t>serious</w:t>
      </w:r>
      <w:r w:rsidR="000B550A" w:rsidRPr="00D869E3">
        <w:rPr>
          <w:rFonts w:ascii="Verdana" w:hAnsi="Verdana"/>
          <w:sz w:val="20"/>
          <w:szCs w:val="20"/>
          <w:lang w:val="en-US"/>
        </w:rPr>
        <w:t xml:space="preserve"> violation of his right to freedom of opinion, expression and thought, which was guaranteed in the Constitution, and also a serious interference in community and </w:t>
      </w:r>
      <w:r w:rsidR="00E85F6A" w:rsidRPr="00D869E3">
        <w:rPr>
          <w:rFonts w:ascii="Verdana" w:hAnsi="Verdana"/>
          <w:sz w:val="20"/>
          <w:szCs w:val="20"/>
          <w:lang w:val="en-US"/>
        </w:rPr>
        <w:t>labor union activities</w:t>
      </w:r>
      <w:r w:rsidR="000B550A" w:rsidRPr="00D869E3">
        <w:rPr>
          <w:rFonts w:ascii="Verdana" w:hAnsi="Verdana"/>
          <w:sz w:val="20"/>
          <w:szCs w:val="20"/>
          <w:lang w:val="en-US"/>
        </w:rPr>
        <w:t>.</w:t>
      </w:r>
      <w:r w:rsidR="006436CA" w:rsidRPr="00D869E3">
        <w:rPr>
          <w:rFonts w:ascii="Verdana" w:hAnsi="Verdana"/>
          <w:sz w:val="20"/>
          <w:szCs w:val="20"/>
          <w:lang w:val="en-US"/>
        </w:rPr>
        <w:t>”</w:t>
      </w:r>
      <w:r w:rsidR="001B2ECD" w:rsidRPr="00D869E3">
        <w:rPr>
          <w:rFonts w:ascii="Verdana" w:hAnsi="Verdana"/>
          <w:sz w:val="20"/>
          <w:szCs w:val="20"/>
          <w:lang w:val="en-US"/>
        </w:rPr>
        <w:t xml:space="preserve"> </w:t>
      </w:r>
      <w:r w:rsidR="000B550A" w:rsidRPr="00D869E3">
        <w:rPr>
          <w:rFonts w:ascii="Verdana" w:hAnsi="Verdana"/>
          <w:sz w:val="20"/>
          <w:szCs w:val="20"/>
          <w:lang w:val="en-US"/>
        </w:rPr>
        <w:t>Regarding the latter</w:t>
      </w:r>
      <w:r w:rsidR="001B2ECD" w:rsidRPr="00D869E3">
        <w:rPr>
          <w:rFonts w:ascii="Verdana" w:hAnsi="Verdana"/>
          <w:sz w:val="20"/>
          <w:szCs w:val="20"/>
          <w:lang w:val="en-US"/>
        </w:rPr>
        <w:t xml:space="preserve">, </w:t>
      </w:r>
      <w:r w:rsidR="001E44D3" w:rsidRPr="00D869E3">
        <w:rPr>
          <w:rFonts w:ascii="Verdana" w:hAnsi="Verdana"/>
          <w:sz w:val="20"/>
          <w:szCs w:val="20"/>
          <w:lang w:val="en-US"/>
        </w:rPr>
        <w:t>Mr. Lagos del Campo</w:t>
      </w:r>
      <w:r w:rsidR="001B2ECD" w:rsidRPr="00D869E3">
        <w:rPr>
          <w:rFonts w:ascii="Verdana" w:hAnsi="Verdana"/>
          <w:sz w:val="20"/>
          <w:szCs w:val="20"/>
          <w:lang w:val="en-US"/>
        </w:rPr>
        <w:t xml:space="preserve"> </w:t>
      </w:r>
      <w:r w:rsidR="000B550A" w:rsidRPr="00D869E3">
        <w:rPr>
          <w:rFonts w:ascii="Verdana" w:hAnsi="Verdana"/>
          <w:sz w:val="20"/>
          <w:szCs w:val="20"/>
          <w:lang w:val="en-US"/>
        </w:rPr>
        <w:t>indicated that</w:t>
      </w:r>
      <w:r w:rsidR="001B2ECD" w:rsidRPr="00D869E3">
        <w:rPr>
          <w:rFonts w:ascii="Verdana" w:hAnsi="Verdana"/>
          <w:sz w:val="20"/>
          <w:szCs w:val="20"/>
          <w:lang w:val="en-US"/>
        </w:rPr>
        <w:t xml:space="preserve"> </w:t>
      </w:r>
      <w:r w:rsidR="006436CA" w:rsidRPr="00D869E3">
        <w:rPr>
          <w:rFonts w:ascii="Verdana" w:hAnsi="Verdana"/>
          <w:sz w:val="20"/>
          <w:szCs w:val="20"/>
          <w:lang w:val="en-US"/>
        </w:rPr>
        <w:t>“</w:t>
      </w:r>
      <w:r w:rsidR="000B550A" w:rsidRPr="00D869E3">
        <w:rPr>
          <w:rFonts w:ascii="Verdana" w:hAnsi="Verdana"/>
          <w:sz w:val="20"/>
          <w:szCs w:val="20"/>
          <w:lang w:val="en-US"/>
        </w:rPr>
        <w:t xml:space="preserve">every worker and, in particular, those who occupy positions </w:t>
      </w:r>
      <w:r w:rsidR="006F7F35" w:rsidRPr="00D869E3">
        <w:rPr>
          <w:rFonts w:ascii="Verdana" w:hAnsi="Verdana"/>
          <w:sz w:val="20"/>
          <w:szCs w:val="20"/>
          <w:lang w:val="en-US"/>
        </w:rPr>
        <w:t xml:space="preserve">in </w:t>
      </w:r>
      <w:r w:rsidR="00E85F6A" w:rsidRPr="00D869E3">
        <w:rPr>
          <w:rFonts w:ascii="Verdana" w:hAnsi="Verdana"/>
          <w:sz w:val="20"/>
          <w:szCs w:val="20"/>
          <w:lang w:val="en-US"/>
        </w:rPr>
        <w:t>labor union</w:t>
      </w:r>
      <w:r w:rsidR="006F7F35" w:rsidRPr="00D869E3">
        <w:rPr>
          <w:rFonts w:ascii="Verdana" w:hAnsi="Verdana"/>
          <w:sz w:val="20"/>
          <w:szCs w:val="20"/>
          <w:lang w:val="en-US"/>
        </w:rPr>
        <w:t xml:space="preserve">s or communities, as in his case, have not only the right, but also the need to </w:t>
      </w:r>
      <w:r w:rsidR="00E85F6A" w:rsidRPr="00D869E3">
        <w:rPr>
          <w:rFonts w:ascii="Verdana" w:hAnsi="Verdana"/>
          <w:sz w:val="20"/>
          <w:szCs w:val="20"/>
          <w:lang w:val="en-US"/>
        </w:rPr>
        <w:t>be informed</w:t>
      </w:r>
      <w:r w:rsidR="006F7F35" w:rsidRPr="00D869E3">
        <w:rPr>
          <w:rFonts w:ascii="Verdana" w:hAnsi="Verdana"/>
          <w:sz w:val="20"/>
          <w:szCs w:val="20"/>
          <w:lang w:val="en-US"/>
        </w:rPr>
        <w:t xml:space="preserve"> and to </w:t>
      </w:r>
      <w:r w:rsidR="00E85F6A" w:rsidRPr="00D869E3">
        <w:rPr>
          <w:rFonts w:ascii="Verdana" w:hAnsi="Verdana"/>
          <w:sz w:val="20"/>
          <w:szCs w:val="20"/>
          <w:lang w:val="en-US"/>
        </w:rPr>
        <w:t>speak out about</w:t>
      </w:r>
      <w:r w:rsidR="006F7F35" w:rsidRPr="00D869E3">
        <w:rPr>
          <w:rFonts w:ascii="Verdana" w:hAnsi="Verdana"/>
          <w:sz w:val="20"/>
          <w:szCs w:val="20"/>
          <w:lang w:val="en-US"/>
        </w:rPr>
        <w:t xml:space="preserve"> </w:t>
      </w:r>
      <w:r w:rsidR="00E85F6A" w:rsidRPr="00D869E3">
        <w:rPr>
          <w:rFonts w:ascii="Verdana" w:hAnsi="Verdana"/>
          <w:sz w:val="20"/>
          <w:szCs w:val="20"/>
          <w:lang w:val="en-US"/>
        </w:rPr>
        <w:t>workplace situations and</w:t>
      </w:r>
      <w:r w:rsidR="006F7F35" w:rsidRPr="00D869E3">
        <w:rPr>
          <w:rFonts w:ascii="Verdana" w:hAnsi="Verdana"/>
          <w:sz w:val="20"/>
          <w:szCs w:val="20"/>
          <w:lang w:val="en-US"/>
        </w:rPr>
        <w:t xml:space="preserve"> activities</w:t>
      </w:r>
      <w:r w:rsidR="00E85F6A" w:rsidRPr="00D869E3">
        <w:rPr>
          <w:rFonts w:ascii="Verdana" w:hAnsi="Verdana"/>
          <w:sz w:val="20"/>
          <w:szCs w:val="20"/>
          <w:lang w:val="en-US"/>
        </w:rPr>
        <w:t>.”</w:t>
      </w:r>
    </w:p>
    <w:p w14:paraId="3B6CD985" w14:textId="77777777" w:rsidR="00364D8A" w:rsidRPr="00D869E3" w:rsidRDefault="00364D8A" w:rsidP="00364D8A">
      <w:pPr>
        <w:pStyle w:val="Prrafodelista"/>
        <w:ind w:left="0"/>
        <w:jc w:val="both"/>
        <w:rPr>
          <w:rFonts w:ascii="Verdana" w:hAnsi="Verdana"/>
          <w:b/>
          <w:sz w:val="20"/>
          <w:szCs w:val="20"/>
          <w:lang w:val="en-US"/>
        </w:rPr>
      </w:pPr>
    </w:p>
    <w:p w14:paraId="3BFA9F46" w14:textId="46C2AC2D" w:rsidR="007472EE" w:rsidRPr="00D869E3" w:rsidRDefault="006F7F35" w:rsidP="006F7F35">
      <w:pPr>
        <w:pStyle w:val="Prrafodelista"/>
        <w:numPr>
          <w:ilvl w:val="0"/>
          <w:numId w:val="1"/>
        </w:numPr>
        <w:ind w:left="0" w:hanging="11"/>
        <w:jc w:val="both"/>
        <w:rPr>
          <w:rFonts w:ascii="Verdana" w:hAnsi="Verdana"/>
          <w:b/>
          <w:sz w:val="20"/>
          <w:szCs w:val="20"/>
          <w:lang w:val="en-US"/>
        </w:rPr>
      </w:pPr>
      <w:r w:rsidRPr="00D869E3">
        <w:rPr>
          <w:rFonts w:ascii="Verdana" w:hAnsi="Verdana"/>
          <w:sz w:val="20"/>
          <w:szCs w:val="20"/>
          <w:lang w:val="en-US"/>
        </w:rPr>
        <w:t xml:space="preserve">The matter was admitted </w:t>
      </w:r>
      <w:r w:rsidR="00364D8A" w:rsidRPr="00D869E3">
        <w:rPr>
          <w:rFonts w:ascii="Verdana" w:hAnsi="Verdana"/>
          <w:sz w:val="20"/>
          <w:szCs w:val="20"/>
          <w:lang w:val="en-US"/>
        </w:rPr>
        <w:t xml:space="preserve">under file No. 4737-89 </w:t>
      </w:r>
      <w:r w:rsidRPr="00D869E3">
        <w:rPr>
          <w:rFonts w:ascii="Verdana" w:hAnsi="Verdana"/>
          <w:sz w:val="20"/>
          <w:szCs w:val="20"/>
          <w:lang w:val="en-US"/>
        </w:rPr>
        <w:t>before</w:t>
      </w:r>
      <w:r w:rsidR="001B2ECD" w:rsidRPr="00D869E3">
        <w:rPr>
          <w:rFonts w:ascii="Verdana" w:hAnsi="Verdana"/>
          <w:sz w:val="20"/>
          <w:szCs w:val="20"/>
          <w:lang w:val="en-US"/>
        </w:rPr>
        <w:t xml:space="preserve"> </w:t>
      </w:r>
      <w:r w:rsidR="003506CC" w:rsidRPr="00D869E3">
        <w:rPr>
          <w:rFonts w:ascii="Verdana" w:hAnsi="Verdana"/>
          <w:sz w:val="20"/>
          <w:szCs w:val="20"/>
          <w:lang w:val="en-US"/>
        </w:rPr>
        <w:t>the Fifteenth Labor Court of Lima</w:t>
      </w:r>
      <w:r w:rsidR="001B2ECD" w:rsidRPr="00D869E3">
        <w:rPr>
          <w:rFonts w:ascii="Verdana" w:hAnsi="Verdana"/>
          <w:sz w:val="20"/>
          <w:szCs w:val="20"/>
          <w:lang w:val="en-US"/>
        </w:rPr>
        <w:t xml:space="preserve">. </w:t>
      </w:r>
      <w:r w:rsidRPr="00D869E3">
        <w:rPr>
          <w:rFonts w:ascii="Verdana" w:hAnsi="Verdana"/>
          <w:sz w:val="20"/>
          <w:szCs w:val="20"/>
          <w:lang w:val="en-US"/>
        </w:rPr>
        <w:t>In judgment</w:t>
      </w:r>
      <w:r w:rsidR="001B2ECD" w:rsidRPr="00D869E3">
        <w:rPr>
          <w:rFonts w:ascii="Verdana" w:hAnsi="Verdana"/>
          <w:sz w:val="20"/>
          <w:szCs w:val="20"/>
          <w:lang w:val="en-US"/>
        </w:rPr>
        <w:t xml:space="preserve"> 25-91 </w:t>
      </w:r>
      <w:r w:rsidRPr="00D869E3">
        <w:rPr>
          <w:rFonts w:ascii="Verdana" w:hAnsi="Verdana"/>
          <w:sz w:val="20"/>
          <w:szCs w:val="20"/>
          <w:lang w:val="en-US"/>
        </w:rPr>
        <w:t>of</w:t>
      </w:r>
      <w:r w:rsidR="001B2ECD" w:rsidRPr="00D869E3">
        <w:rPr>
          <w:rFonts w:ascii="Verdana" w:hAnsi="Verdana"/>
          <w:sz w:val="20"/>
          <w:szCs w:val="20"/>
          <w:lang w:val="en-US"/>
        </w:rPr>
        <w:t xml:space="preserve"> </w:t>
      </w:r>
      <w:r w:rsidRPr="00D869E3">
        <w:rPr>
          <w:rFonts w:ascii="Verdana" w:hAnsi="Verdana"/>
          <w:sz w:val="20"/>
          <w:szCs w:val="20"/>
          <w:lang w:val="en-US"/>
        </w:rPr>
        <w:t>March 5,</w:t>
      </w:r>
      <w:r w:rsidR="001B2ECD" w:rsidRPr="00D869E3">
        <w:rPr>
          <w:rFonts w:ascii="Verdana" w:hAnsi="Verdana"/>
          <w:sz w:val="20"/>
          <w:szCs w:val="20"/>
          <w:lang w:val="en-US"/>
        </w:rPr>
        <w:t xml:space="preserve"> 199</w:t>
      </w:r>
      <w:r w:rsidR="005D72FB" w:rsidRPr="00D869E3">
        <w:rPr>
          <w:rFonts w:ascii="Verdana" w:hAnsi="Verdana"/>
          <w:sz w:val="20"/>
          <w:szCs w:val="20"/>
          <w:lang w:val="en-US"/>
        </w:rPr>
        <w:t>1</w:t>
      </w:r>
      <w:r w:rsidR="001B2ECD" w:rsidRPr="00D869E3">
        <w:rPr>
          <w:rFonts w:ascii="Verdana" w:hAnsi="Verdana"/>
          <w:sz w:val="20"/>
          <w:szCs w:val="20"/>
          <w:lang w:val="en-US"/>
        </w:rPr>
        <w:t xml:space="preserve"> </w:t>
      </w:r>
      <w:r w:rsidRPr="00D869E3">
        <w:rPr>
          <w:rFonts w:ascii="Verdana" w:hAnsi="Verdana"/>
          <w:sz w:val="20"/>
          <w:szCs w:val="20"/>
          <w:lang w:val="en-US"/>
        </w:rPr>
        <w:t>the</w:t>
      </w:r>
      <w:r w:rsidR="001B2ECD" w:rsidRPr="00D869E3">
        <w:rPr>
          <w:rFonts w:ascii="Verdana" w:hAnsi="Verdana"/>
          <w:sz w:val="20"/>
          <w:szCs w:val="20"/>
          <w:lang w:val="en-US"/>
        </w:rPr>
        <w:t xml:space="preserve"> </w:t>
      </w:r>
      <w:r w:rsidRPr="00D869E3">
        <w:rPr>
          <w:rFonts w:ascii="Verdana" w:hAnsi="Verdana"/>
          <w:sz w:val="20"/>
          <w:szCs w:val="20"/>
          <w:lang w:val="en-US"/>
        </w:rPr>
        <w:t>j</w:t>
      </w:r>
      <w:r w:rsidR="00447C65" w:rsidRPr="00D869E3">
        <w:rPr>
          <w:rFonts w:ascii="Verdana" w:hAnsi="Verdana"/>
          <w:sz w:val="20"/>
          <w:szCs w:val="20"/>
          <w:lang w:val="en-US"/>
        </w:rPr>
        <w:t>udge</w:t>
      </w:r>
      <w:r w:rsidR="001B2ECD" w:rsidRPr="00D869E3">
        <w:rPr>
          <w:rFonts w:ascii="Verdana" w:hAnsi="Verdana"/>
          <w:sz w:val="20"/>
          <w:szCs w:val="20"/>
          <w:lang w:val="en-US"/>
        </w:rPr>
        <w:t xml:space="preserve"> </w:t>
      </w:r>
      <w:r w:rsidR="00E85F6A" w:rsidRPr="00D869E3">
        <w:rPr>
          <w:rFonts w:ascii="Verdana" w:hAnsi="Verdana"/>
          <w:sz w:val="20"/>
          <w:szCs w:val="20"/>
          <w:lang w:val="en-US"/>
        </w:rPr>
        <w:t xml:space="preserve">ruled </w:t>
      </w:r>
      <w:r w:rsidRPr="00D869E3">
        <w:rPr>
          <w:rFonts w:ascii="Verdana" w:hAnsi="Verdana"/>
          <w:sz w:val="20"/>
          <w:szCs w:val="20"/>
          <w:lang w:val="en-US"/>
        </w:rPr>
        <w:t>that the dismissal was “unlawful and unjustified,</w:t>
      </w:r>
      <w:r w:rsidR="006436CA" w:rsidRPr="00D869E3">
        <w:rPr>
          <w:rFonts w:ascii="Verdana" w:hAnsi="Verdana"/>
          <w:sz w:val="20"/>
          <w:szCs w:val="20"/>
          <w:lang w:val="en-US"/>
        </w:rPr>
        <w:t>”</w:t>
      </w:r>
      <w:r w:rsidR="001B2ECD" w:rsidRPr="00D869E3">
        <w:rPr>
          <w:rFonts w:ascii="Verdana" w:hAnsi="Verdana"/>
          <w:sz w:val="20"/>
          <w:szCs w:val="20"/>
          <w:vertAlign w:val="superscript"/>
          <w:lang w:val="en-US"/>
        </w:rPr>
        <w:footnoteReference w:id="77"/>
      </w:r>
      <w:r w:rsidRPr="00D869E3">
        <w:rPr>
          <w:rFonts w:ascii="Verdana" w:hAnsi="Verdana"/>
          <w:sz w:val="20"/>
          <w:szCs w:val="20"/>
          <w:lang w:val="en-US"/>
        </w:rPr>
        <w:t xml:space="preserve"> considering that for a dismissal to be admissible, the law required that the serious offense attributed to an employee must be duly prove</w:t>
      </w:r>
      <w:r w:rsidR="007472EE" w:rsidRPr="00D869E3">
        <w:rPr>
          <w:rFonts w:ascii="Verdana" w:hAnsi="Verdana"/>
          <w:sz w:val="20"/>
          <w:szCs w:val="20"/>
          <w:lang w:val="en-US"/>
        </w:rPr>
        <w:t>n</w:t>
      </w:r>
      <w:r w:rsidRPr="00D869E3">
        <w:rPr>
          <w:rFonts w:ascii="Verdana" w:hAnsi="Verdana"/>
          <w:sz w:val="20"/>
          <w:szCs w:val="20"/>
          <w:lang w:val="en-US"/>
        </w:rPr>
        <w:t xml:space="preserve">. In this regard, he considered that the dismissal was based on an article published in a </w:t>
      </w:r>
      <w:r w:rsidR="00364D8A" w:rsidRPr="00D869E3">
        <w:rPr>
          <w:rFonts w:ascii="Verdana" w:hAnsi="Verdana"/>
          <w:sz w:val="20"/>
          <w:szCs w:val="20"/>
          <w:lang w:val="en-US"/>
        </w:rPr>
        <w:t>newspaper</w:t>
      </w:r>
      <w:r w:rsidRPr="00D869E3">
        <w:rPr>
          <w:rFonts w:ascii="Verdana" w:hAnsi="Verdana"/>
          <w:sz w:val="20"/>
          <w:szCs w:val="20"/>
          <w:lang w:val="en-US"/>
        </w:rPr>
        <w:t xml:space="preserve"> </w:t>
      </w:r>
      <w:r w:rsidR="007472EE" w:rsidRPr="00D869E3">
        <w:rPr>
          <w:rFonts w:ascii="Verdana" w:hAnsi="Verdana"/>
          <w:sz w:val="20"/>
          <w:szCs w:val="20"/>
          <w:lang w:val="en-US"/>
        </w:rPr>
        <w:t xml:space="preserve">without it being reliably </w:t>
      </w:r>
      <w:r w:rsidR="00364D8A" w:rsidRPr="00D869E3">
        <w:rPr>
          <w:rFonts w:ascii="Verdana" w:hAnsi="Verdana"/>
          <w:sz w:val="20"/>
          <w:szCs w:val="20"/>
          <w:lang w:val="en-US"/>
        </w:rPr>
        <w:t>proved</w:t>
      </w:r>
      <w:r w:rsidR="007472EE" w:rsidRPr="00D869E3">
        <w:rPr>
          <w:rFonts w:ascii="Verdana" w:hAnsi="Verdana"/>
          <w:sz w:val="20"/>
          <w:szCs w:val="20"/>
          <w:lang w:val="en-US"/>
        </w:rPr>
        <w:t xml:space="preserve"> by the representatives of the respondent company that the “defamatory words” could in fact be attributed to the worker. In addition, the judge held that the statements contained in the article did not refer to individual persons, and therefore no members of the company had been directly wronged.</w:t>
      </w:r>
    </w:p>
    <w:p w14:paraId="03B9D241" w14:textId="77777777" w:rsidR="00275EDE" w:rsidRPr="00D869E3" w:rsidRDefault="00275EDE" w:rsidP="00333304">
      <w:pPr>
        <w:pStyle w:val="Prrafodelista"/>
        <w:ind w:left="0"/>
        <w:jc w:val="both"/>
        <w:rPr>
          <w:rFonts w:ascii="Verdana" w:hAnsi="Verdana"/>
          <w:sz w:val="20"/>
          <w:szCs w:val="20"/>
          <w:lang w:val="en-US"/>
        </w:rPr>
      </w:pPr>
    </w:p>
    <w:p w14:paraId="70DBE44B" w14:textId="65558636" w:rsidR="00275EDE" w:rsidRPr="00D869E3" w:rsidRDefault="003506CC" w:rsidP="007472EE">
      <w:pPr>
        <w:pStyle w:val="Prrafodelista"/>
        <w:numPr>
          <w:ilvl w:val="0"/>
          <w:numId w:val="1"/>
        </w:numPr>
        <w:ind w:left="0" w:hanging="11"/>
        <w:jc w:val="both"/>
        <w:rPr>
          <w:rFonts w:ascii="Verdana" w:hAnsi="Verdana"/>
          <w:b/>
          <w:sz w:val="20"/>
          <w:szCs w:val="20"/>
          <w:lang w:val="en-US"/>
        </w:rPr>
      </w:pPr>
      <w:r w:rsidRPr="00D869E3">
        <w:rPr>
          <w:rFonts w:ascii="Verdana" w:hAnsi="Verdana"/>
          <w:sz w:val="20"/>
          <w:szCs w:val="20"/>
          <w:lang w:val="en-US"/>
        </w:rPr>
        <w:lastRenderedPageBreak/>
        <w:t>On June 25,</w:t>
      </w:r>
      <w:r w:rsidR="001B2ECD" w:rsidRPr="00D869E3">
        <w:rPr>
          <w:rFonts w:ascii="Verdana" w:hAnsi="Verdana"/>
          <w:sz w:val="20"/>
          <w:szCs w:val="20"/>
          <w:lang w:val="en-US"/>
        </w:rPr>
        <w:t xml:space="preserve"> 1991</w:t>
      </w:r>
      <w:r w:rsidRPr="00D869E3">
        <w:rPr>
          <w:rFonts w:ascii="Verdana" w:hAnsi="Verdana"/>
          <w:sz w:val="20"/>
          <w:szCs w:val="20"/>
          <w:lang w:val="en-US"/>
        </w:rPr>
        <w:t>, the company filed an appeal against the decision of</w:t>
      </w:r>
      <w:r w:rsidR="001B2ECD" w:rsidRPr="00D869E3">
        <w:rPr>
          <w:rFonts w:ascii="Verdana" w:hAnsi="Verdana"/>
          <w:sz w:val="20"/>
          <w:szCs w:val="20"/>
          <w:lang w:val="en-US"/>
        </w:rPr>
        <w:t xml:space="preserve"> </w:t>
      </w:r>
      <w:r w:rsidRPr="00D869E3">
        <w:rPr>
          <w:rFonts w:ascii="Verdana" w:hAnsi="Verdana"/>
          <w:sz w:val="20"/>
          <w:szCs w:val="20"/>
          <w:lang w:val="en-US"/>
        </w:rPr>
        <w:t>the Fifteenth Labor Court</w:t>
      </w:r>
      <w:r w:rsidR="00D20A28" w:rsidRPr="00D869E3">
        <w:rPr>
          <w:rFonts w:ascii="Verdana" w:hAnsi="Verdana"/>
          <w:sz w:val="20"/>
          <w:szCs w:val="20"/>
          <w:lang w:val="en-US"/>
        </w:rPr>
        <w:t>.</w:t>
      </w:r>
      <w:r w:rsidR="001B2ECD" w:rsidRPr="00D869E3">
        <w:rPr>
          <w:rFonts w:ascii="Verdana" w:hAnsi="Verdana"/>
          <w:sz w:val="20"/>
          <w:szCs w:val="20"/>
          <w:lang w:val="en-US"/>
        </w:rPr>
        <w:t xml:space="preserve"> </w:t>
      </w:r>
      <w:r w:rsidR="007472EE" w:rsidRPr="00D869E3">
        <w:rPr>
          <w:rFonts w:ascii="Verdana" w:hAnsi="Verdana"/>
          <w:sz w:val="20"/>
          <w:szCs w:val="20"/>
          <w:lang w:val="en-US"/>
        </w:rPr>
        <w:t>In response, Mr.</w:t>
      </w:r>
      <w:r w:rsidR="001B2ECD" w:rsidRPr="00D869E3">
        <w:rPr>
          <w:rFonts w:ascii="Verdana" w:hAnsi="Verdana"/>
          <w:sz w:val="20"/>
          <w:szCs w:val="20"/>
          <w:lang w:val="en-US"/>
        </w:rPr>
        <w:t xml:space="preserve"> Lagos del Campo </w:t>
      </w:r>
      <w:r w:rsidR="007472EE" w:rsidRPr="00D869E3">
        <w:rPr>
          <w:rFonts w:ascii="Verdana" w:hAnsi="Verdana"/>
          <w:sz w:val="20"/>
          <w:szCs w:val="20"/>
          <w:lang w:val="en-US"/>
        </w:rPr>
        <w:t>filed a</w:t>
      </w:r>
      <w:r w:rsidRPr="00D869E3">
        <w:rPr>
          <w:rFonts w:ascii="Verdana" w:hAnsi="Verdana"/>
          <w:sz w:val="20"/>
          <w:szCs w:val="20"/>
          <w:lang w:val="en-US"/>
        </w:rPr>
        <w:t xml:space="preserve"> brief on August 1, </w:t>
      </w:r>
      <w:r w:rsidR="001B2ECD" w:rsidRPr="00D869E3">
        <w:rPr>
          <w:rFonts w:ascii="Verdana" w:hAnsi="Verdana"/>
          <w:color w:val="000000"/>
          <w:sz w:val="20"/>
          <w:szCs w:val="20"/>
          <w:lang w:val="en-US"/>
        </w:rPr>
        <w:t>1991</w:t>
      </w:r>
      <w:r w:rsidRPr="00D869E3">
        <w:rPr>
          <w:rFonts w:ascii="Verdana" w:hAnsi="Verdana"/>
          <w:color w:val="000000"/>
          <w:sz w:val="20"/>
          <w:szCs w:val="20"/>
          <w:lang w:val="en-US"/>
        </w:rPr>
        <w:t>,</w:t>
      </w:r>
      <w:r w:rsidR="001B2ECD" w:rsidRPr="00D869E3">
        <w:rPr>
          <w:rFonts w:ascii="Verdana" w:hAnsi="Verdana"/>
          <w:color w:val="000000"/>
          <w:sz w:val="20"/>
          <w:szCs w:val="20"/>
          <w:lang w:val="en-US"/>
        </w:rPr>
        <w:t xml:space="preserve"> </w:t>
      </w:r>
      <w:r w:rsidR="007472EE" w:rsidRPr="00D869E3">
        <w:rPr>
          <w:rFonts w:ascii="Verdana" w:hAnsi="Verdana"/>
          <w:color w:val="000000"/>
          <w:sz w:val="20"/>
          <w:szCs w:val="20"/>
          <w:lang w:val="en-US"/>
        </w:rPr>
        <w:t>in which he refuted the arguments submitted by Ceper-Pirelli; however, this brief was processed by the Labor Court after it had delivered judgment.</w:t>
      </w:r>
      <w:r w:rsidR="001B2ECD" w:rsidRPr="00D869E3">
        <w:rPr>
          <w:rFonts w:ascii="Verdana" w:hAnsi="Verdana"/>
          <w:color w:val="000000"/>
          <w:sz w:val="20"/>
          <w:szCs w:val="20"/>
          <w:vertAlign w:val="superscript"/>
          <w:lang w:val="en-US"/>
        </w:rPr>
        <w:footnoteReference w:id="78"/>
      </w:r>
      <w:r w:rsidR="001B2ECD" w:rsidRPr="00D869E3">
        <w:rPr>
          <w:rFonts w:ascii="Verdana" w:hAnsi="Verdana"/>
          <w:color w:val="000000"/>
          <w:sz w:val="20"/>
          <w:szCs w:val="20"/>
          <w:lang w:val="en-US"/>
        </w:rPr>
        <w:t xml:space="preserve"> </w:t>
      </w:r>
      <w:r w:rsidR="00D03B66" w:rsidRPr="00D869E3">
        <w:rPr>
          <w:rFonts w:ascii="Verdana" w:hAnsi="Verdana"/>
          <w:color w:val="000000"/>
          <w:sz w:val="20"/>
          <w:szCs w:val="20"/>
          <w:lang w:val="en-US"/>
        </w:rPr>
        <w:t>Thus, i</w:t>
      </w:r>
      <w:r w:rsidR="007472EE" w:rsidRPr="00D869E3">
        <w:rPr>
          <w:rFonts w:ascii="Verdana" w:hAnsi="Verdana"/>
          <w:color w:val="000000"/>
          <w:sz w:val="20"/>
          <w:szCs w:val="20"/>
          <w:lang w:val="en-US"/>
        </w:rPr>
        <w:t>n a</w:t>
      </w:r>
      <w:r w:rsidR="001B2ECD" w:rsidRPr="00D869E3">
        <w:rPr>
          <w:rFonts w:ascii="Verdana" w:hAnsi="Verdana"/>
          <w:color w:val="000000"/>
          <w:sz w:val="20"/>
          <w:szCs w:val="20"/>
          <w:lang w:val="en-US"/>
        </w:rPr>
        <w:t xml:space="preserve"> </w:t>
      </w:r>
      <w:r w:rsidR="007472EE" w:rsidRPr="00D869E3">
        <w:rPr>
          <w:rFonts w:ascii="Verdana" w:hAnsi="Verdana"/>
          <w:color w:val="000000"/>
          <w:sz w:val="20"/>
          <w:szCs w:val="20"/>
          <w:lang w:val="en-US"/>
        </w:rPr>
        <w:t>j</w:t>
      </w:r>
      <w:r w:rsidR="00447C65" w:rsidRPr="00D869E3">
        <w:rPr>
          <w:rFonts w:ascii="Verdana" w:hAnsi="Verdana"/>
          <w:color w:val="000000"/>
          <w:sz w:val="20"/>
          <w:szCs w:val="20"/>
          <w:lang w:val="en-US"/>
        </w:rPr>
        <w:t>udgment of</w:t>
      </w:r>
      <w:r w:rsidR="001B2ECD" w:rsidRPr="00D869E3">
        <w:rPr>
          <w:rFonts w:ascii="Verdana" w:hAnsi="Verdana"/>
          <w:color w:val="000000"/>
          <w:sz w:val="20"/>
          <w:szCs w:val="20"/>
          <w:lang w:val="en-US"/>
        </w:rPr>
        <w:t xml:space="preserve"> </w:t>
      </w:r>
      <w:r w:rsidRPr="00D869E3">
        <w:rPr>
          <w:rFonts w:ascii="Verdana" w:hAnsi="Verdana"/>
          <w:color w:val="000000"/>
          <w:sz w:val="20"/>
          <w:szCs w:val="20"/>
          <w:lang w:val="en-US"/>
        </w:rPr>
        <w:t>August 8,</w:t>
      </w:r>
      <w:r w:rsidR="001B2ECD" w:rsidRPr="00D869E3">
        <w:rPr>
          <w:rFonts w:ascii="Verdana" w:hAnsi="Verdana"/>
          <w:color w:val="000000"/>
          <w:sz w:val="20"/>
          <w:szCs w:val="20"/>
          <w:lang w:val="en-US"/>
        </w:rPr>
        <w:t xml:space="preserve"> 1991</w:t>
      </w:r>
      <w:r w:rsidRPr="00D869E3">
        <w:rPr>
          <w:rFonts w:ascii="Verdana" w:hAnsi="Verdana"/>
          <w:color w:val="000000"/>
          <w:sz w:val="20"/>
          <w:szCs w:val="20"/>
          <w:lang w:val="en-US"/>
        </w:rPr>
        <w:t>,</w:t>
      </w:r>
      <w:r w:rsidR="001B2ECD" w:rsidRPr="00D869E3">
        <w:rPr>
          <w:rFonts w:ascii="Verdana" w:hAnsi="Verdana"/>
          <w:color w:val="000000"/>
          <w:sz w:val="20"/>
          <w:szCs w:val="20"/>
          <w:lang w:val="en-US"/>
        </w:rPr>
        <w:t xml:space="preserve"> </w:t>
      </w:r>
      <w:r w:rsidRPr="00D869E3">
        <w:rPr>
          <w:rFonts w:ascii="Verdana" w:hAnsi="Verdana"/>
          <w:color w:val="000000"/>
          <w:sz w:val="20"/>
          <w:szCs w:val="20"/>
          <w:lang w:val="en-US"/>
        </w:rPr>
        <w:t>the Second Court</w:t>
      </w:r>
      <w:r w:rsidR="001B2ECD" w:rsidRPr="00D869E3">
        <w:rPr>
          <w:rFonts w:ascii="Verdana" w:hAnsi="Verdana"/>
          <w:color w:val="000000"/>
          <w:sz w:val="20"/>
          <w:szCs w:val="20"/>
          <w:lang w:val="en-US"/>
        </w:rPr>
        <w:t xml:space="preserve"> </w:t>
      </w:r>
      <w:r w:rsidR="007472EE" w:rsidRPr="00D869E3">
        <w:rPr>
          <w:rFonts w:ascii="Verdana" w:hAnsi="Verdana"/>
          <w:color w:val="000000"/>
          <w:sz w:val="20"/>
          <w:szCs w:val="20"/>
          <w:lang w:val="en-US"/>
        </w:rPr>
        <w:t>reversed the lower court’s decision and, consequently, classified the dismissal as</w:t>
      </w:r>
      <w:r w:rsidR="001B2ECD" w:rsidRPr="00D869E3">
        <w:rPr>
          <w:rFonts w:ascii="Verdana" w:hAnsi="Verdana"/>
          <w:color w:val="000000"/>
          <w:sz w:val="20"/>
          <w:szCs w:val="20"/>
          <w:lang w:val="en-US"/>
        </w:rPr>
        <w:t xml:space="preserve"> </w:t>
      </w:r>
      <w:r w:rsidR="006436CA" w:rsidRPr="00D869E3">
        <w:rPr>
          <w:rFonts w:ascii="Verdana" w:hAnsi="Verdana"/>
          <w:color w:val="000000"/>
          <w:sz w:val="20"/>
          <w:szCs w:val="20"/>
          <w:lang w:val="en-US"/>
        </w:rPr>
        <w:t>“</w:t>
      </w:r>
      <w:r w:rsidR="001B2ECD" w:rsidRPr="00D869E3">
        <w:rPr>
          <w:rFonts w:ascii="Verdana" w:hAnsi="Verdana"/>
          <w:color w:val="000000"/>
          <w:sz w:val="20"/>
          <w:szCs w:val="20"/>
          <w:lang w:val="en-US"/>
        </w:rPr>
        <w:t>legal</w:t>
      </w:r>
      <w:r w:rsidR="00687684" w:rsidRPr="00D869E3">
        <w:rPr>
          <w:rFonts w:ascii="Verdana" w:hAnsi="Verdana"/>
          <w:color w:val="000000"/>
          <w:sz w:val="20"/>
          <w:szCs w:val="20"/>
          <w:lang w:val="en-US"/>
        </w:rPr>
        <w:t xml:space="preserve"> and </w:t>
      </w:r>
      <w:r w:rsidR="001B2ECD" w:rsidRPr="00D869E3">
        <w:rPr>
          <w:rFonts w:ascii="Verdana" w:hAnsi="Verdana"/>
          <w:color w:val="000000"/>
          <w:sz w:val="20"/>
          <w:szCs w:val="20"/>
          <w:lang w:val="en-US"/>
        </w:rPr>
        <w:t>justifi</w:t>
      </w:r>
      <w:r w:rsidR="007472EE" w:rsidRPr="00D869E3">
        <w:rPr>
          <w:rFonts w:ascii="Verdana" w:hAnsi="Verdana"/>
          <w:color w:val="000000"/>
          <w:sz w:val="20"/>
          <w:szCs w:val="20"/>
          <w:lang w:val="en-US"/>
        </w:rPr>
        <w:t>ed.</w:t>
      </w:r>
      <w:r w:rsidR="006436CA" w:rsidRPr="00D869E3">
        <w:rPr>
          <w:rFonts w:ascii="Verdana" w:hAnsi="Verdana"/>
          <w:color w:val="000000"/>
          <w:sz w:val="20"/>
          <w:szCs w:val="20"/>
          <w:lang w:val="en-US"/>
        </w:rPr>
        <w:t>”</w:t>
      </w:r>
      <w:r w:rsidR="001B2ECD" w:rsidRPr="00D869E3">
        <w:rPr>
          <w:rFonts w:ascii="Verdana" w:hAnsi="Verdana"/>
          <w:color w:val="000000"/>
          <w:sz w:val="20"/>
          <w:szCs w:val="20"/>
          <w:vertAlign w:val="superscript"/>
          <w:lang w:val="en-US"/>
        </w:rPr>
        <w:footnoteReference w:id="79"/>
      </w:r>
      <w:r w:rsidR="001B2ECD" w:rsidRPr="00D869E3">
        <w:rPr>
          <w:rFonts w:ascii="Verdana" w:hAnsi="Verdana"/>
          <w:color w:val="000000"/>
          <w:sz w:val="20"/>
          <w:szCs w:val="20"/>
          <w:lang w:val="en-US"/>
        </w:rPr>
        <w:t xml:space="preserve"> </w:t>
      </w:r>
      <w:r w:rsidR="00447C65" w:rsidRPr="00D869E3">
        <w:rPr>
          <w:rFonts w:ascii="Verdana" w:hAnsi="Verdana"/>
          <w:color w:val="000000"/>
          <w:sz w:val="20"/>
          <w:szCs w:val="20"/>
          <w:lang w:val="en-US"/>
        </w:rPr>
        <w:t>Th</w:t>
      </w:r>
      <w:r w:rsidR="00D03B66" w:rsidRPr="00D869E3">
        <w:rPr>
          <w:rFonts w:ascii="Verdana" w:hAnsi="Verdana"/>
          <w:color w:val="000000"/>
          <w:sz w:val="20"/>
          <w:szCs w:val="20"/>
          <w:lang w:val="en-US"/>
        </w:rPr>
        <w:t>at c</w:t>
      </w:r>
      <w:r w:rsidR="00447C65" w:rsidRPr="00D869E3">
        <w:rPr>
          <w:rFonts w:ascii="Verdana" w:hAnsi="Verdana"/>
          <w:color w:val="000000"/>
          <w:sz w:val="20"/>
          <w:szCs w:val="20"/>
          <w:lang w:val="en-US"/>
        </w:rPr>
        <w:t>ourt</w:t>
      </w:r>
      <w:r w:rsidR="001B2ECD" w:rsidRPr="00D869E3">
        <w:rPr>
          <w:rFonts w:ascii="Verdana" w:hAnsi="Verdana"/>
          <w:color w:val="000000"/>
          <w:sz w:val="20"/>
          <w:szCs w:val="20"/>
          <w:lang w:val="en-US"/>
        </w:rPr>
        <w:t xml:space="preserve"> </w:t>
      </w:r>
      <w:r w:rsidR="007472EE" w:rsidRPr="00D869E3">
        <w:rPr>
          <w:rFonts w:ascii="Verdana" w:hAnsi="Verdana"/>
          <w:color w:val="000000"/>
          <w:sz w:val="20"/>
          <w:szCs w:val="20"/>
          <w:lang w:val="en-US"/>
        </w:rPr>
        <w:t>found that the statements made by</w:t>
      </w:r>
      <w:r w:rsidR="001B2ECD" w:rsidRPr="00D869E3">
        <w:rPr>
          <w:rFonts w:ascii="Verdana" w:hAnsi="Verdana"/>
          <w:color w:val="000000"/>
          <w:sz w:val="20"/>
          <w:szCs w:val="20"/>
          <w:lang w:val="en-US"/>
        </w:rPr>
        <w:t xml:space="preserve"> </w:t>
      </w:r>
      <w:r w:rsidR="001E44D3" w:rsidRPr="00D869E3">
        <w:rPr>
          <w:rFonts w:ascii="Verdana" w:hAnsi="Verdana"/>
          <w:color w:val="000000"/>
          <w:sz w:val="20"/>
          <w:szCs w:val="20"/>
          <w:lang w:val="en-US"/>
        </w:rPr>
        <w:t>Mr. Lagos del Campo</w:t>
      </w:r>
      <w:r w:rsidR="001B2ECD" w:rsidRPr="00D869E3">
        <w:rPr>
          <w:rFonts w:ascii="Verdana" w:hAnsi="Verdana"/>
          <w:color w:val="000000"/>
          <w:sz w:val="20"/>
          <w:szCs w:val="20"/>
          <w:lang w:val="en-US"/>
        </w:rPr>
        <w:t xml:space="preserve"> </w:t>
      </w:r>
      <w:r w:rsidR="007472EE" w:rsidRPr="00D869E3">
        <w:rPr>
          <w:rFonts w:ascii="Verdana" w:hAnsi="Verdana"/>
          <w:color w:val="000000"/>
          <w:sz w:val="20"/>
          <w:szCs w:val="20"/>
          <w:lang w:val="en-US"/>
        </w:rPr>
        <w:t xml:space="preserve">constituted “serious insubordination or a serious </w:t>
      </w:r>
      <w:r w:rsidR="00DD43AD" w:rsidRPr="00D869E3">
        <w:rPr>
          <w:rFonts w:ascii="Verdana" w:hAnsi="Verdana"/>
          <w:color w:val="000000"/>
          <w:sz w:val="20"/>
          <w:szCs w:val="20"/>
          <w:lang w:val="en-US"/>
        </w:rPr>
        <w:t>verbal offense</w:t>
      </w:r>
      <w:r w:rsidR="001B2ECD" w:rsidRPr="00D869E3">
        <w:rPr>
          <w:rFonts w:ascii="Verdana" w:hAnsi="Verdana"/>
          <w:color w:val="000000"/>
          <w:sz w:val="20"/>
          <w:szCs w:val="20"/>
          <w:lang w:val="en-US"/>
        </w:rPr>
        <w:t xml:space="preserve"> </w:t>
      </w:r>
      <w:r w:rsidR="007472EE" w:rsidRPr="00D869E3">
        <w:rPr>
          <w:rFonts w:ascii="Verdana" w:hAnsi="Verdana"/>
          <w:color w:val="000000"/>
          <w:sz w:val="20"/>
          <w:szCs w:val="20"/>
          <w:lang w:val="en-US"/>
        </w:rPr>
        <w:t>against the employer” and that</w:t>
      </w:r>
      <w:r w:rsidR="001B2ECD" w:rsidRPr="00D869E3">
        <w:rPr>
          <w:rFonts w:ascii="Verdana" w:hAnsi="Verdana"/>
          <w:sz w:val="20"/>
          <w:szCs w:val="20"/>
          <w:lang w:val="en-US"/>
        </w:rPr>
        <w:t xml:space="preserve"> </w:t>
      </w:r>
      <w:r w:rsidR="006436CA" w:rsidRPr="00D869E3">
        <w:rPr>
          <w:rFonts w:ascii="Verdana" w:hAnsi="Verdana"/>
          <w:sz w:val="20"/>
          <w:szCs w:val="20"/>
          <w:lang w:val="en-US"/>
        </w:rPr>
        <w:t>“</w:t>
      </w:r>
      <w:r w:rsidR="007472EE" w:rsidRPr="00D869E3">
        <w:rPr>
          <w:rFonts w:ascii="Verdana" w:hAnsi="Verdana"/>
          <w:sz w:val="20"/>
          <w:szCs w:val="20"/>
          <w:lang w:val="en-US"/>
        </w:rPr>
        <w:t>the</w:t>
      </w:r>
      <w:r w:rsidR="001B2ECD" w:rsidRPr="00D869E3">
        <w:rPr>
          <w:rFonts w:ascii="Verdana" w:hAnsi="Verdana"/>
          <w:sz w:val="20"/>
          <w:szCs w:val="20"/>
          <w:lang w:val="en-US"/>
        </w:rPr>
        <w:t xml:space="preserve"> </w:t>
      </w:r>
      <w:r w:rsidR="007472EE" w:rsidRPr="00D869E3">
        <w:rPr>
          <w:rFonts w:ascii="Verdana" w:hAnsi="Verdana"/>
          <w:sz w:val="20"/>
          <w:szCs w:val="20"/>
          <w:lang w:val="en-US"/>
        </w:rPr>
        <w:t xml:space="preserve">State’s Constitution guarantees </w:t>
      </w:r>
      <w:r w:rsidR="00A62EA8" w:rsidRPr="00D869E3">
        <w:rPr>
          <w:rFonts w:ascii="Verdana" w:hAnsi="Verdana"/>
          <w:sz w:val="20"/>
          <w:szCs w:val="20"/>
          <w:lang w:val="en-US"/>
        </w:rPr>
        <w:t>freedom of expression</w:t>
      </w:r>
      <w:r w:rsidR="001B2ECD" w:rsidRPr="00D869E3">
        <w:rPr>
          <w:rFonts w:ascii="Verdana" w:hAnsi="Verdana"/>
          <w:sz w:val="20"/>
          <w:szCs w:val="20"/>
          <w:lang w:val="en-US"/>
        </w:rPr>
        <w:t xml:space="preserve">, </w:t>
      </w:r>
      <w:r w:rsidR="007472EE" w:rsidRPr="00D869E3">
        <w:rPr>
          <w:rFonts w:ascii="Verdana" w:hAnsi="Verdana"/>
          <w:sz w:val="20"/>
          <w:szCs w:val="20"/>
          <w:lang w:val="en-US"/>
        </w:rPr>
        <w:t>but not to insult the honor and dignity of senior personnel of the employer company.</w:t>
      </w:r>
      <w:r w:rsidR="006436CA" w:rsidRPr="00D869E3">
        <w:rPr>
          <w:rFonts w:ascii="Verdana" w:hAnsi="Verdana"/>
          <w:sz w:val="20"/>
          <w:szCs w:val="20"/>
          <w:lang w:val="en-US"/>
        </w:rPr>
        <w:t>”</w:t>
      </w:r>
      <w:r w:rsidR="001B2ECD" w:rsidRPr="00D869E3">
        <w:rPr>
          <w:rFonts w:ascii="Verdana" w:hAnsi="Verdana"/>
          <w:sz w:val="20"/>
          <w:szCs w:val="20"/>
          <w:vertAlign w:val="superscript"/>
          <w:lang w:val="en-US"/>
        </w:rPr>
        <w:footnoteReference w:id="80"/>
      </w:r>
      <w:r w:rsidR="00275EDE" w:rsidRPr="00D869E3">
        <w:rPr>
          <w:rFonts w:ascii="Verdana" w:hAnsi="Verdana"/>
          <w:color w:val="000000"/>
          <w:sz w:val="20"/>
          <w:szCs w:val="20"/>
          <w:lang w:val="en-US"/>
        </w:rPr>
        <w:t xml:space="preserve"> </w:t>
      </w:r>
    </w:p>
    <w:p w14:paraId="3ED1FD4B" w14:textId="77777777" w:rsidR="00275EDE" w:rsidRPr="00D869E3" w:rsidRDefault="00275EDE" w:rsidP="009C6F8E">
      <w:pPr>
        <w:jc w:val="both"/>
        <w:rPr>
          <w:rFonts w:ascii="Verdana" w:hAnsi="Verdana"/>
          <w:b/>
          <w:sz w:val="20"/>
          <w:szCs w:val="20"/>
          <w:lang w:val="en-US"/>
        </w:rPr>
      </w:pPr>
    </w:p>
    <w:p w14:paraId="11005C3B" w14:textId="552F2936" w:rsidR="007A6FDA" w:rsidRPr="00D869E3" w:rsidRDefault="003506CC" w:rsidP="00E66DD7">
      <w:pPr>
        <w:pStyle w:val="Prrafodelista"/>
        <w:numPr>
          <w:ilvl w:val="0"/>
          <w:numId w:val="1"/>
        </w:numPr>
        <w:ind w:left="0" w:hanging="11"/>
        <w:jc w:val="both"/>
        <w:rPr>
          <w:rFonts w:ascii="Verdana" w:hAnsi="Verdana"/>
          <w:b/>
          <w:sz w:val="20"/>
          <w:szCs w:val="20"/>
          <w:lang w:val="en-US"/>
        </w:rPr>
      </w:pPr>
      <w:r w:rsidRPr="00D869E3">
        <w:rPr>
          <w:rFonts w:ascii="Verdana" w:hAnsi="Verdana"/>
          <w:sz w:val="20"/>
          <w:szCs w:val="20"/>
          <w:lang w:val="en-US"/>
        </w:rPr>
        <w:t>On August 26,</w:t>
      </w:r>
      <w:r w:rsidR="007A6FDA" w:rsidRPr="00D869E3">
        <w:rPr>
          <w:rFonts w:ascii="Verdana" w:hAnsi="Verdana"/>
          <w:sz w:val="20"/>
          <w:szCs w:val="20"/>
          <w:lang w:val="en-US"/>
        </w:rPr>
        <w:t xml:space="preserve"> 1991</w:t>
      </w:r>
      <w:r w:rsidRPr="00D869E3">
        <w:rPr>
          <w:rFonts w:ascii="Verdana" w:hAnsi="Verdana"/>
          <w:sz w:val="20"/>
          <w:szCs w:val="20"/>
          <w:lang w:val="en-US"/>
        </w:rPr>
        <w:t>,</w:t>
      </w:r>
      <w:r w:rsidR="007A6FDA" w:rsidRPr="00D869E3">
        <w:rPr>
          <w:rFonts w:ascii="Verdana" w:hAnsi="Verdana"/>
          <w:sz w:val="20"/>
          <w:szCs w:val="20"/>
          <w:lang w:val="en-US"/>
        </w:rPr>
        <w:t xml:space="preserve"> </w:t>
      </w:r>
      <w:r w:rsidR="001E44D3" w:rsidRPr="00D869E3">
        <w:rPr>
          <w:rFonts w:ascii="Verdana" w:hAnsi="Verdana"/>
          <w:sz w:val="20"/>
          <w:szCs w:val="20"/>
          <w:lang w:val="en-US"/>
        </w:rPr>
        <w:t>Mr. Lagos del Campo</w:t>
      </w:r>
      <w:r w:rsidR="007A6FDA" w:rsidRPr="00D869E3">
        <w:rPr>
          <w:rFonts w:ascii="Verdana" w:hAnsi="Verdana"/>
          <w:sz w:val="20"/>
          <w:szCs w:val="20"/>
          <w:lang w:val="en-US"/>
        </w:rPr>
        <w:t xml:space="preserve"> </w:t>
      </w:r>
      <w:r w:rsidR="00DB128C" w:rsidRPr="00D869E3">
        <w:rPr>
          <w:rFonts w:ascii="Verdana" w:hAnsi="Verdana"/>
          <w:sz w:val="20"/>
          <w:szCs w:val="20"/>
          <w:lang w:val="en-US"/>
        </w:rPr>
        <w:t>filed a</w:t>
      </w:r>
      <w:r w:rsidR="003B7C84" w:rsidRPr="00D869E3">
        <w:rPr>
          <w:rFonts w:ascii="Verdana" w:hAnsi="Verdana"/>
          <w:sz w:val="20"/>
          <w:szCs w:val="20"/>
          <w:lang w:val="en-US"/>
        </w:rPr>
        <w:t xml:space="preserve"> motion </w:t>
      </w:r>
      <w:r w:rsidR="00DB128C" w:rsidRPr="00D869E3">
        <w:rPr>
          <w:rFonts w:ascii="Verdana" w:hAnsi="Verdana"/>
          <w:sz w:val="20"/>
          <w:szCs w:val="20"/>
          <w:lang w:val="en-US"/>
        </w:rPr>
        <w:t>for</w:t>
      </w:r>
      <w:r w:rsidR="007A6FDA" w:rsidRPr="00D869E3">
        <w:rPr>
          <w:rFonts w:ascii="Verdana" w:hAnsi="Verdana"/>
          <w:sz w:val="20"/>
          <w:szCs w:val="20"/>
          <w:lang w:val="en-US"/>
        </w:rPr>
        <w:t xml:space="preserve"> </w:t>
      </w:r>
      <w:r w:rsidR="006436CA" w:rsidRPr="00D869E3">
        <w:rPr>
          <w:rFonts w:ascii="Verdana" w:hAnsi="Verdana"/>
          <w:sz w:val="20"/>
          <w:szCs w:val="20"/>
          <w:lang w:val="en-US"/>
        </w:rPr>
        <w:t>“</w:t>
      </w:r>
      <w:r w:rsidR="007A6FDA" w:rsidRPr="00D869E3">
        <w:rPr>
          <w:rFonts w:ascii="Verdana" w:hAnsi="Verdana"/>
          <w:sz w:val="20"/>
          <w:szCs w:val="20"/>
          <w:lang w:val="en-US"/>
        </w:rPr>
        <w:t>revi</w:t>
      </w:r>
      <w:r w:rsidR="00DB128C" w:rsidRPr="00D869E3">
        <w:rPr>
          <w:rFonts w:ascii="Verdana" w:hAnsi="Verdana"/>
          <w:sz w:val="20"/>
          <w:szCs w:val="20"/>
          <w:lang w:val="en-US"/>
        </w:rPr>
        <w:t>ew</w:t>
      </w:r>
      <w:r w:rsidR="00687684" w:rsidRPr="00D869E3">
        <w:rPr>
          <w:rFonts w:ascii="Verdana" w:hAnsi="Verdana"/>
          <w:sz w:val="20"/>
          <w:szCs w:val="20"/>
          <w:lang w:val="en-US"/>
        </w:rPr>
        <w:t xml:space="preserve"> and </w:t>
      </w:r>
      <w:r w:rsidR="007A6FDA" w:rsidRPr="00D869E3">
        <w:rPr>
          <w:rFonts w:ascii="Verdana" w:hAnsi="Verdana"/>
          <w:sz w:val="20"/>
          <w:szCs w:val="20"/>
          <w:lang w:val="en-US"/>
        </w:rPr>
        <w:t>reconsider</w:t>
      </w:r>
      <w:r w:rsidR="00DB128C" w:rsidRPr="00D869E3">
        <w:rPr>
          <w:rFonts w:ascii="Verdana" w:hAnsi="Verdana"/>
          <w:sz w:val="20"/>
          <w:szCs w:val="20"/>
          <w:lang w:val="en-US"/>
        </w:rPr>
        <w:t>atio</w:t>
      </w:r>
      <w:r w:rsidR="007A6FDA" w:rsidRPr="00D869E3">
        <w:rPr>
          <w:rFonts w:ascii="Verdana" w:hAnsi="Verdana"/>
          <w:sz w:val="20"/>
          <w:szCs w:val="20"/>
          <w:lang w:val="en-US"/>
        </w:rPr>
        <w:t>n</w:t>
      </w:r>
      <w:r w:rsidR="006436CA" w:rsidRPr="00D869E3">
        <w:rPr>
          <w:rFonts w:ascii="Verdana" w:hAnsi="Verdana"/>
          <w:sz w:val="20"/>
          <w:szCs w:val="20"/>
          <w:lang w:val="en-US"/>
        </w:rPr>
        <w:t>”</w:t>
      </w:r>
      <w:r w:rsidR="007A6FDA" w:rsidRPr="00D869E3">
        <w:rPr>
          <w:rFonts w:ascii="Verdana" w:hAnsi="Verdana"/>
          <w:sz w:val="20"/>
          <w:szCs w:val="20"/>
          <w:lang w:val="en-US"/>
        </w:rPr>
        <w:t xml:space="preserve"> </w:t>
      </w:r>
      <w:r w:rsidR="00DB128C" w:rsidRPr="00D869E3">
        <w:rPr>
          <w:rFonts w:ascii="Verdana" w:hAnsi="Verdana"/>
          <w:sz w:val="20"/>
          <w:szCs w:val="20"/>
          <w:lang w:val="en-US"/>
        </w:rPr>
        <w:t>before</w:t>
      </w:r>
      <w:r w:rsidR="007A6FDA" w:rsidRPr="00D869E3">
        <w:rPr>
          <w:rFonts w:ascii="Verdana" w:hAnsi="Verdana"/>
          <w:sz w:val="20"/>
          <w:szCs w:val="20"/>
          <w:lang w:val="en-US"/>
        </w:rPr>
        <w:t xml:space="preserve"> </w:t>
      </w:r>
      <w:r w:rsidRPr="00D869E3">
        <w:rPr>
          <w:rFonts w:ascii="Verdana" w:hAnsi="Verdana"/>
          <w:sz w:val="20"/>
          <w:szCs w:val="20"/>
          <w:lang w:val="en-US"/>
        </w:rPr>
        <w:t>the Second Labor Court of Lima</w:t>
      </w:r>
      <w:r w:rsidR="007A6FDA" w:rsidRPr="00D869E3">
        <w:rPr>
          <w:rFonts w:ascii="Verdana" w:hAnsi="Verdana"/>
          <w:sz w:val="20"/>
          <w:szCs w:val="20"/>
          <w:lang w:val="en-US"/>
        </w:rPr>
        <w:t xml:space="preserve">, </w:t>
      </w:r>
      <w:r w:rsidR="00D03B66" w:rsidRPr="00D869E3">
        <w:rPr>
          <w:rFonts w:ascii="Verdana" w:hAnsi="Verdana"/>
          <w:sz w:val="20"/>
          <w:szCs w:val="20"/>
          <w:lang w:val="en-US"/>
        </w:rPr>
        <w:t>but this</w:t>
      </w:r>
      <w:r w:rsidR="00DB128C" w:rsidRPr="00D869E3">
        <w:rPr>
          <w:rFonts w:ascii="Verdana" w:hAnsi="Verdana"/>
          <w:sz w:val="20"/>
          <w:szCs w:val="20"/>
          <w:lang w:val="en-US"/>
        </w:rPr>
        <w:t xml:space="preserve"> was declared inadmissible on August </w:t>
      </w:r>
      <w:r w:rsidR="007A6FDA" w:rsidRPr="00D869E3">
        <w:rPr>
          <w:rFonts w:ascii="Verdana" w:hAnsi="Verdana"/>
          <w:sz w:val="20"/>
          <w:szCs w:val="20"/>
          <w:lang w:val="en-US"/>
        </w:rPr>
        <w:t>27</w:t>
      </w:r>
      <w:r w:rsidR="00DB128C" w:rsidRPr="00D869E3">
        <w:rPr>
          <w:rFonts w:ascii="Verdana" w:hAnsi="Verdana"/>
          <w:sz w:val="20"/>
          <w:szCs w:val="20"/>
          <w:lang w:val="en-US"/>
        </w:rPr>
        <w:t xml:space="preserve">, </w:t>
      </w:r>
      <w:r w:rsidR="007A6FDA" w:rsidRPr="00D869E3">
        <w:rPr>
          <w:rFonts w:ascii="Verdana" w:hAnsi="Verdana"/>
          <w:sz w:val="20"/>
          <w:szCs w:val="20"/>
          <w:lang w:val="en-US"/>
        </w:rPr>
        <w:t>1991</w:t>
      </w:r>
      <w:r w:rsidR="00DB128C" w:rsidRPr="00D869E3">
        <w:rPr>
          <w:rFonts w:ascii="Verdana" w:hAnsi="Verdana"/>
          <w:sz w:val="20"/>
          <w:szCs w:val="20"/>
          <w:lang w:val="en-US"/>
        </w:rPr>
        <w:t>.</w:t>
      </w:r>
      <w:r w:rsidR="007A6FDA" w:rsidRPr="00D869E3">
        <w:rPr>
          <w:rFonts w:ascii="Verdana" w:hAnsi="Verdana"/>
          <w:sz w:val="20"/>
          <w:szCs w:val="20"/>
          <w:vertAlign w:val="superscript"/>
          <w:lang w:val="en-US"/>
        </w:rPr>
        <w:footnoteReference w:id="81"/>
      </w:r>
      <w:r w:rsidR="007A6FDA" w:rsidRPr="00D869E3">
        <w:rPr>
          <w:rFonts w:ascii="Verdana" w:hAnsi="Verdana"/>
          <w:sz w:val="20"/>
          <w:szCs w:val="20"/>
          <w:lang w:val="en-US"/>
        </w:rPr>
        <w:t xml:space="preserve"> </w:t>
      </w:r>
    </w:p>
    <w:p w14:paraId="3C53B86C" w14:textId="77777777" w:rsidR="009C6F8E" w:rsidRPr="00D869E3" w:rsidRDefault="009C6F8E" w:rsidP="009C6F8E">
      <w:pPr>
        <w:pStyle w:val="Prrafodelista"/>
        <w:ind w:left="0"/>
        <w:jc w:val="both"/>
        <w:rPr>
          <w:rFonts w:ascii="Verdana" w:hAnsi="Verdana"/>
          <w:b/>
          <w:sz w:val="20"/>
          <w:szCs w:val="20"/>
          <w:lang w:val="en-US"/>
        </w:rPr>
      </w:pPr>
    </w:p>
    <w:p w14:paraId="58A0DE68" w14:textId="72E52C59" w:rsidR="00CE7987" w:rsidRPr="00D869E3" w:rsidRDefault="003506CC" w:rsidP="00E66DD7">
      <w:pPr>
        <w:pStyle w:val="Prrafodelista"/>
        <w:numPr>
          <w:ilvl w:val="0"/>
          <w:numId w:val="1"/>
        </w:numPr>
        <w:ind w:left="0" w:hanging="11"/>
        <w:jc w:val="both"/>
        <w:rPr>
          <w:rFonts w:ascii="Verdana" w:hAnsi="Verdana"/>
          <w:sz w:val="20"/>
          <w:szCs w:val="20"/>
          <w:lang w:val="en-US"/>
        </w:rPr>
      </w:pPr>
      <w:r w:rsidRPr="00D869E3">
        <w:rPr>
          <w:rFonts w:ascii="Verdana" w:hAnsi="Verdana"/>
          <w:sz w:val="20"/>
          <w:szCs w:val="20"/>
          <w:lang w:val="en-US"/>
        </w:rPr>
        <w:t>On September 2,</w:t>
      </w:r>
      <w:r w:rsidR="00CE7987" w:rsidRPr="00D869E3">
        <w:rPr>
          <w:rFonts w:ascii="Verdana" w:hAnsi="Verdana"/>
          <w:sz w:val="20"/>
          <w:szCs w:val="20"/>
          <w:lang w:val="en-US"/>
        </w:rPr>
        <w:t xml:space="preserve"> 1991, </w:t>
      </w:r>
      <w:r w:rsidR="003B7C84" w:rsidRPr="00D869E3">
        <w:rPr>
          <w:rFonts w:ascii="Verdana" w:hAnsi="Verdana"/>
          <w:sz w:val="20"/>
          <w:szCs w:val="20"/>
          <w:lang w:val="en-US"/>
        </w:rPr>
        <w:t xml:space="preserve">following the denial of his motion for review and reconsideration, </w:t>
      </w:r>
      <w:r w:rsidRPr="00D869E3">
        <w:rPr>
          <w:rFonts w:ascii="Verdana" w:hAnsi="Verdana"/>
          <w:sz w:val="20"/>
          <w:szCs w:val="20"/>
          <w:lang w:val="en-US"/>
        </w:rPr>
        <w:t xml:space="preserve">Mr. </w:t>
      </w:r>
      <w:r w:rsidR="00CE7987" w:rsidRPr="00D869E3">
        <w:rPr>
          <w:rFonts w:ascii="Verdana" w:hAnsi="Verdana"/>
          <w:sz w:val="20"/>
          <w:szCs w:val="20"/>
          <w:lang w:val="en-US"/>
        </w:rPr>
        <w:t xml:space="preserve">Lagos del Campo </w:t>
      </w:r>
      <w:r w:rsidR="003B7C84" w:rsidRPr="00D869E3">
        <w:rPr>
          <w:rFonts w:ascii="Verdana" w:hAnsi="Verdana"/>
          <w:sz w:val="20"/>
          <w:szCs w:val="20"/>
          <w:lang w:val="en-US"/>
        </w:rPr>
        <w:t xml:space="preserve">filed </w:t>
      </w:r>
      <w:r w:rsidR="00031A38" w:rsidRPr="00D869E3">
        <w:rPr>
          <w:rFonts w:ascii="Verdana" w:hAnsi="Verdana"/>
          <w:sz w:val="20"/>
          <w:szCs w:val="20"/>
          <w:lang w:val="en-US"/>
        </w:rPr>
        <w:t>an appeal for the annulment</w:t>
      </w:r>
      <w:r w:rsidR="00CE7987" w:rsidRPr="00D869E3">
        <w:rPr>
          <w:rFonts w:ascii="Verdana" w:hAnsi="Verdana"/>
          <w:sz w:val="20"/>
          <w:vertAlign w:val="superscript"/>
          <w:lang w:val="en-US"/>
        </w:rPr>
        <w:footnoteReference w:id="82"/>
      </w:r>
      <w:r w:rsidR="00031A38" w:rsidRPr="00D869E3">
        <w:rPr>
          <w:rFonts w:ascii="Verdana" w:hAnsi="Verdana"/>
          <w:sz w:val="20"/>
          <w:szCs w:val="20"/>
          <w:lang w:val="en-US"/>
        </w:rPr>
        <w:t xml:space="preserve"> of</w:t>
      </w:r>
      <w:r w:rsidRPr="00D869E3">
        <w:rPr>
          <w:rFonts w:ascii="Verdana" w:hAnsi="Verdana"/>
          <w:sz w:val="20"/>
          <w:szCs w:val="20"/>
          <w:lang w:val="en-US"/>
        </w:rPr>
        <w:t xml:space="preserve"> the decision issued on August 8,</w:t>
      </w:r>
      <w:r w:rsidR="00CE7987" w:rsidRPr="00D869E3">
        <w:rPr>
          <w:rFonts w:ascii="Verdana" w:hAnsi="Verdana"/>
          <w:sz w:val="20"/>
          <w:szCs w:val="20"/>
          <w:lang w:val="en-US"/>
        </w:rPr>
        <w:t xml:space="preserve"> 1991</w:t>
      </w:r>
      <w:r w:rsidRPr="00D869E3">
        <w:rPr>
          <w:rFonts w:ascii="Verdana" w:hAnsi="Verdana"/>
          <w:sz w:val="20"/>
          <w:szCs w:val="20"/>
          <w:lang w:val="en-US"/>
        </w:rPr>
        <w:t>,</w:t>
      </w:r>
      <w:r w:rsidR="00CE7987" w:rsidRPr="00D869E3">
        <w:rPr>
          <w:rFonts w:ascii="Verdana" w:hAnsi="Verdana"/>
          <w:sz w:val="20"/>
          <w:szCs w:val="20"/>
          <w:lang w:val="en-US"/>
        </w:rPr>
        <w:t xml:space="preserve"> </w:t>
      </w:r>
      <w:r w:rsidRPr="00D869E3">
        <w:rPr>
          <w:rFonts w:ascii="Verdana" w:hAnsi="Verdana"/>
          <w:sz w:val="20"/>
          <w:szCs w:val="20"/>
          <w:lang w:val="en-US"/>
        </w:rPr>
        <w:t>by th</w:t>
      </w:r>
      <w:r w:rsidR="003B7C84" w:rsidRPr="00D869E3">
        <w:rPr>
          <w:rFonts w:ascii="Verdana" w:hAnsi="Verdana"/>
          <w:sz w:val="20"/>
          <w:szCs w:val="20"/>
          <w:lang w:val="en-US"/>
        </w:rPr>
        <w:t xml:space="preserve">at </w:t>
      </w:r>
      <w:r w:rsidRPr="00D869E3">
        <w:rPr>
          <w:rFonts w:ascii="Verdana" w:hAnsi="Verdana"/>
          <w:sz w:val="20"/>
          <w:szCs w:val="20"/>
          <w:lang w:val="en-US"/>
        </w:rPr>
        <w:t>Labor Court</w:t>
      </w:r>
      <w:r w:rsidR="00CE7987" w:rsidRPr="00D869E3">
        <w:rPr>
          <w:rFonts w:ascii="Verdana" w:hAnsi="Verdana"/>
          <w:sz w:val="20"/>
          <w:szCs w:val="20"/>
          <w:lang w:val="en-US"/>
        </w:rPr>
        <w:t xml:space="preserve">. </w:t>
      </w:r>
      <w:r w:rsidR="00075E68" w:rsidRPr="00D869E3">
        <w:rPr>
          <w:rFonts w:ascii="Verdana" w:hAnsi="Verdana"/>
          <w:sz w:val="20"/>
          <w:szCs w:val="20"/>
          <w:lang w:val="en-US"/>
        </w:rPr>
        <w:t>In this regard</w:t>
      </w:r>
      <w:r w:rsidR="00CE7987" w:rsidRPr="00D869E3">
        <w:rPr>
          <w:rFonts w:ascii="Verdana" w:hAnsi="Verdana"/>
          <w:sz w:val="20"/>
          <w:szCs w:val="20"/>
          <w:lang w:val="en-US"/>
        </w:rPr>
        <w:t xml:space="preserve">, </w:t>
      </w:r>
      <w:r w:rsidRPr="00D869E3">
        <w:rPr>
          <w:rFonts w:ascii="Verdana" w:hAnsi="Verdana"/>
          <w:sz w:val="20"/>
          <w:szCs w:val="20"/>
          <w:lang w:val="en-US"/>
        </w:rPr>
        <w:t>the Second Labor Court</w:t>
      </w:r>
      <w:r w:rsidR="00CE7987" w:rsidRPr="00D869E3">
        <w:rPr>
          <w:rFonts w:ascii="Verdana" w:hAnsi="Verdana"/>
          <w:sz w:val="20"/>
          <w:szCs w:val="20"/>
          <w:lang w:val="en-US"/>
        </w:rPr>
        <w:t xml:space="preserve"> conclu</w:t>
      </w:r>
      <w:r w:rsidRPr="00D869E3">
        <w:rPr>
          <w:rFonts w:ascii="Verdana" w:hAnsi="Verdana"/>
          <w:sz w:val="20"/>
          <w:szCs w:val="20"/>
          <w:lang w:val="en-US"/>
        </w:rPr>
        <w:t>ded that</w:t>
      </w:r>
      <w:r w:rsidR="003B7C84" w:rsidRPr="00D869E3">
        <w:rPr>
          <w:rFonts w:ascii="Verdana" w:hAnsi="Verdana"/>
          <w:sz w:val="20"/>
          <w:szCs w:val="20"/>
          <w:lang w:val="en-US"/>
        </w:rPr>
        <w:t xml:space="preserve"> the motion did not cite any of the grounds for annulment established in</w:t>
      </w:r>
      <w:r w:rsidR="00CE7987" w:rsidRPr="00D869E3">
        <w:rPr>
          <w:rFonts w:ascii="Verdana" w:hAnsi="Verdana"/>
          <w:sz w:val="20"/>
          <w:szCs w:val="20"/>
          <w:lang w:val="en-US"/>
        </w:rPr>
        <w:t xml:space="preserve"> </w:t>
      </w:r>
      <w:r w:rsidR="003B7C84" w:rsidRPr="00D869E3">
        <w:rPr>
          <w:rFonts w:ascii="Verdana" w:hAnsi="Verdana"/>
          <w:sz w:val="20"/>
          <w:szCs w:val="20"/>
          <w:lang w:val="en-US"/>
        </w:rPr>
        <w:t>a</w:t>
      </w:r>
      <w:r w:rsidR="00447C65" w:rsidRPr="00D869E3">
        <w:rPr>
          <w:rFonts w:ascii="Verdana" w:hAnsi="Verdana"/>
          <w:sz w:val="20"/>
          <w:szCs w:val="20"/>
          <w:lang w:val="en-US"/>
        </w:rPr>
        <w:t>rticle</w:t>
      </w:r>
      <w:r w:rsidR="00F409D7" w:rsidRPr="00D869E3">
        <w:rPr>
          <w:rFonts w:ascii="Verdana" w:hAnsi="Verdana"/>
          <w:sz w:val="20"/>
          <w:szCs w:val="20"/>
          <w:lang w:val="en-US"/>
        </w:rPr>
        <w:t xml:space="preserve"> 1085</w:t>
      </w:r>
      <w:r w:rsidRPr="00D869E3">
        <w:rPr>
          <w:rFonts w:ascii="Verdana" w:hAnsi="Verdana"/>
          <w:sz w:val="20"/>
          <w:szCs w:val="20"/>
          <w:lang w:val="en-US"/>
        </w:rPr>
        <w:t xml:space="preserve"> of the Code of Civil Procedure</w:t>
      </w:r>
      <w:r w:rsidR="003B7C84" w:rsidRPr="00D869E3">
        <w:rPr>
          <w:rFonts w:ascii="Verdana" w:hAnsi="Verdana"/>
          <w:sz w:val="20"/>
          <w:szCs w:val="20"/>
          <w:lang w:val="en-US"/>
        </w:rPr>
        <w:t>.</w:t>
      </w:r>
      <w:r w:rsidR="00F409D7" w:rsidRPr="00D869E3">
        <w:rPr>
          <w:rStyle w:val="Refdenotaalpie"/>
          <w:color w:val="000000"/>
          <w:szCs w:val="20"/>
          <w:lang w:val="en-US"/>
        </w:rPr>
        <w:footnoteReference w:id="83"/>
      </w:r>
      <w:r w:rsidR="00CE7987" w:rsidRPr="00D869E3">
        <w:rPr>
          <w:rFonts w:ascii="Verdana" w:hAnsi="Verdana"/>
          <w:sz w:val="20"/>
          <w:szCs w:val="20"/>
          <w:lang w:val="en-US"/>
        </w:rPr>
        <w:t xml:space="preserve">  </w:t>
      </w:r>
    </w:p>
    <w:p w14:paraId="7AA01D00" w14:textId="77777777" w:rsidR="00CE7987" w:rsidRPr="00D869E3" w:rsidRDefault="00CE7987" w:rsidP="009C6F8E">
      <w:pPr>
        <w:pStyle w:val="Prrafodelista"/>
        <w:ind w:left="0"/>
        <w:jc w:val="both"/>
        <w:rPr>
          <w:rFonts w:ascii="Verdana" w:hAnsi="Verdana"/>
          <w:b/>
          <w:sz w:val="20"/>
          <w:szCs w:val="20"/>
          <w:lang w:val="en-US"/>
        </w:rPr>
      </w:pPr>
    </w:p>
    <w:p w14:paraId="549D9725" w14:textId="2FF60E69" w:rsidR="005D0ACD" w:rsidRPr="00D869E3" w:rsidRDefault="009D37C8" w:rsidP="00E66DD7">
      <w:pPr>
        <w:pStyle w:val="Ttulo3"/>
        <w:numPr>
          <w:ilvl w:val="0"/>
          <w:numId w:val="9"/>
        </w:numPr>
        <w:rPr>
          <w:i/>
          <w:iCs/>
          <w:color w:val="000000"/>
          <w:szCs w:val="20"/>
          <w:lang w:val="en-US"/>
        </w:rPr>
      </w:pPr>
      <w:bookmarkStart w:id="26" w:name="_Toc29114119"/>
      <w:r w:rsidRPr="00D869E3">
        <w:rPr>
          <w:i/>
          <w:iCs/>
          <w:color w:val="000000"/>
          <w:szCs w:val="20"/>
          <w:lang w:val="en-US"/>
        </w:rPr>
        <w:t>Application for amparo and nullity</w:t>
      </w:r>
      <w:bookmarkEnd w:id="26"/>
    </w:p>
    <w:p w14:paraId="6AD3C2A0" w14:textId="4418F7AE" w:rsidR="00CB2CF7" w:rsidRPr="00D869E3" w:rsidRDefault="00CB2CF7" w:rsidP="00CB2CF7">
      <w:pPr>
        <w:rPr>
          <w:rFonts w:ascii="Verdana" w:hAnsi="Verdana"/>
          <w:lang w:val="en-US"/>
        </w:rPr>
      </w:pPr>
    </w:p>
    <w:p w14:paraId="5E4D1A24" w14:textId="3C6C420B" w:rsidR="007A6FDA" w:rsidRPr="00D869E3" w:rsidRDefault="001E3B42" w:rsidP="00E66DD7">
      <w:pPr>
        <w:pStyle w:val="Prrafodelista"/>
        <w:numPr>
          <w:ilvl w:val="0"/>
          <w:numId w:val="1"/>
        </w:numPr>
        <w:ind w:left="0" w:hanging="11"/>
        <w:jc w:val="both"/>
        <w:rPr>
          <w:rFonts w:ascii="Verdana" w:hAnsi="Verdana"/>
          <w:b/>
          <w:sz w:val="20"/>
          <w:szCs w:val="20"/>
          <w:lang w:val="en-US"/>
        </w:rPr>
      </w:pPr>
      <w:r w:rsidRPr="00D869E3">
        <w:rPr>
          <w:rFonts w:ascii="Verdana" w:hAnsi="Verdana"/>
          <w:sz w:val="20"/>
          <w:szCs w:val="20"/>
          <w:lang w:val="en-US"/>
        </w:rPr>
        <w:t>On October 21,</w:t>
      </w:r>
      <w:r w:rsidR="007A6FDA" w:rsidRPr="00D869E3">
        <w:rPr>
          <w:rFonts w:ascii="Verdana" w:hAnsi="Verdana"/>
          <w:sz w:val="20"/>
          <w:szCs w:val="20"/>
          <w:lang w:val="en-US"/>
        </w:rPr>
        <w:t xml:space="preserve"> 1991</w:t>
      </w:r>
      <w:r w:rsidRPr="00D869E3">
        <w:rPr>
          <w:rFonts w:ascii="Verdana" w:hAnsi="Verdana"/>
          <w:sz w:val="20"/>
          <w:szCs w:val="20"/>
          <w:lang w:val="en-US"/>
        </w:rPr>
        <w:t>,</w:t>
      </w:r>
      <w:r w:rsidR="007A6FDA" w:rsidRPr="00D869E3">
        <w:rPr>
          <w:rFonts w:ascii="Verdana" w:hAnsi="Verdana"/>
          <w:sz w:val="20"/>
          <w:szCs w:val="20"/>
          <w:lang w:val="en-US"/>
        </w:rPr>
        <w:t xml:space="preserve"> </w:t>
      </w:r>
      <w:r w:rsidR="001E44D3" w:rsidRPr="00D869E3">
        <w:rPr>
          <w:rFonts w:ascii="Verdana" w:hAnsi="Verdana"/>
          <w:sz w:val="20"/>
          <w:szCs w:val="20"/>
          <w:lang w:val="en-US"/>
        </w:rPr>
        <w:t>Mr. Lagos del Campo</w:t>
      </w:r>
      <w:r w:rsidR="007A6FDA" w:rsidRPr="00D869E3">
        <w:rPr>
          <w:rFonts w:ascii="Verdana" w:hAnsi="Verdana"/>
          <w:sz w:val="20"/>
          <w:szCs w:val="20"/>
          <w:lang w:val="en-US"/>
        </w:rPr>
        <w:t xml:space="preserve"> </w:t>
      </w:r>
      <w:r w:rsidR="002A2C65" w:rsidRPr="00D869E3">
        <w:rPr>
          <w:rFonts w:ascii="Verdana" w:hAnsi="Verdana"/>
          <w:sz w:val="20"/>
          <w:szCs w:val="20"/>
          <w:lang w:val="en-US"/>
        </w:rPr>
        <w:t xml:space="preserve">filed an application for amparo (constitutional protection) before </w:t>
      </w:r>
      <w:r w:rsidRPr="00D869E3">
        <w:rPr>
          <w:rFonts w:ascii="Verdana" w:hAnsi="Verdana"/>
          <w:sz w:val="20"/>
          <w:szCs w:val="20"/>
          <w:lang w:val="en-US"/>
        </w:rPr>
        <w:t>the Civil Chamber of the Superior Court</w:t>
      </w:r>
      <w:r w:rsidR="002A2C65" w:rsidRPr="00D869E3">
        <w:rPr>
          <w:rFonts w:ascii="Verdana" w:hAnsi="Verdana"/>
          <w:sz w:val="20"/>
          <w:szCs w:val="20"/>
          <w:lang w:val="en-US"/>
        </w:rPr>
        <w:t>,</w:t>
      </w:r>
      <w:r w:rsidR="007A6FDA" w:rsidRPr="00D869E3">
        <w:rPr>
          <w:rFonts w:ascii="Verdana" w:hAnsi="Verdana"/>
          <w:sz w:val="20"/>
          <w:szCs w:val="20"/>
          <w:vertAlign w:val="superscript"/>
          <w:lang w:val="en-US"/>
        </w:rPr>
        <w:footnoteReference w:id="84"/>
      </w:r>
      <w:r w:rsidR="007A6FDA" w:rsidRPr="00D869E3">
        <w:rPr>
          <w:rFonts w:ascii="Verdana" w:hAnsi="Verdana"/>
          <w:sz w:val="20"/>
          <w:szCs w:val="20"/>
          <w:lang w:val="en-US"/>
        </w:rPr>
        <w:t xml:space="preserve"> </w:t>
      </w:r>
      <w:r w:rsidRPr="00D869E3">
        <w:rPr>
          <w:rFonts w:ascii="Verdana" w:hAnsi="Verdana"/>
          <w:sz w:val="20"/>
          <w:szCs w:val="20"/>
          <w:lang w:val="en-US"/>
        </w:rPr>
        <w:t>against the</w:t>
      </w:r>
      <w:r w:rsidR="007A6FDA" w:rsidRPr="00D869E3">
        <w:rPr>
          <w:rFonts w:ascii="Verdana" w:hAnsi="Verdana"/>
          <w:sz w:val="20"/>
          <w:szCs w:val="20"/>
          <w:lang w:val="en-US"/>
        </w:rPr>
        <w:t xml:space="preserve"> </w:t>
      </w:r>
      <w:r w:rsidR="002A2C65" w:rsidRPr="00D869E3">
        <w:rPr>
          <w:rFonts w:ascii="Verdana" w:hAnsi="Verdana"/>
          <w:sz w:val="20"/>
          <w:szCs w:val="20"/>
          <w:lang w:val="en-US"/>
        </w:rPr>
        <w:t>judgment</w:t>
      </w:r>
      <w:r w:rsidR="00447C65" w:rsidRPr="00D869E3">
        <w:rPr>
          <w:rFonts w:ascii="Verdana" w:hAnsi="Verdana"/>
          <w:sz w:val="20"/>
          <w:szCs w:val="20"/>
          <w:lang w:val="en-US"/>
        </w:rPr>
        <w:t xml:space="preserve"> of</w:t>
      </w:r>
      <w:r w:rsidR="007A6FDA" w:rsidRPr="00D869E3">
        <w:rPr>
          <w:rFonts w:ascii="Verdana" w:hAnsi="Verdana"/>
          <w:sz w:val="20"/>
          <w:szCs w:val="20"/>
          <w:lang w:val="en-US"/>
        </w:rPr>
        <w:t xml:space="preserve"> </w:t>
      </w:r>
      <w:r w:rsidRPr="00D869E3">
        <w:rPr>
          <w:rFonts w:ascii="Verdana" w:hAnsi="Verdana"/>
          <w:sz w:val="20"/>
          <w:szCs w:val="20"/>
          <w:lang w:val="en-US"/>
        </w:rPr>
        <w:t>August 8,</w:t>
      </w:r>
      <w:r w:rsidR="007A6FDA" w:rsidRPr="00D869E3">
        <w:rPr>
          <w:rFonts w:ascii="Verdana" w:hAnsi="Verdana"/>
          <w:sz w:val="20"/>
          <w:szCs w:val="20"/>
          <w:lang w:val="en-US"/>
        </w:rPr>
        <w:t xml:space="preserve"> 1991</w:t>
      </w:r>
      <w:r w:rsidR="002A2C65" w:rsidRPr="00D869E3">
        <w:rPr>
          <w:rFonts w:ascii="Verdana" w:hAnsi="Verdana"/>
          <w:sz w:val="20"/>
          <w:szCs w:val="20"/>
          <w:lang w:val="en-US"/>
        </w:rPr>
        <w:t xml:space="preserve">, which </w:t>
      </w:r>
      <w:r w:rsidR="00D03B66" w:rsidRPr="00D869E3">
        <w:rPr>
          <w:rFonts w:ascii="Verdana" w:hAnsi="Verdana"/>
          <w:sz w:val="20"/>
          <w:szCs w:val="20"/>
          <w:lang w:val="en-US"/>
        </w:rPr>
        <w:t xml:space="preserve">had </w:t>
      </w:r>
      <w:r w:rsidR="002A2C65" w:rsidRPr="00D869E3">
        <w:rPr>
          <w:rFonts w:ascii="Verdana" w:hAnsi="Verdana"/>
          <w:sz w:val="20"/>
          <w:szCs w:val="20"/>
          <w:lang w:val="en-US"/>
        </w:rPr>
        <w:t>decided the appeal against the way in which his dismissal had been classified. Mr</w:t>
      </w:r>
      <w:r w:rsidR="007A6FDA" w:rsidRPr="00D869E3">
        <w:rPr>
          <w:rFonts w:ascii="Verdana" w:hAnsi="Verdana"/>
          <w:sz w:val="20"/>
          <w:szCs w:val="20"/>
          <w:lang w:val="en-US"/>
        </w:rPr>
        <w:t xml:space="preserve">. Lagos del Campo </w:t>
      </w:r>
      <w:r w:rsidR="002A2C65" w:rsidRPr="00D869E3">
        <w:rPr>
          <w:rFonts w:ascii="Verdana" w:hAnsi="Verdana" w:cs="Arial"/>
          <w:sz w:val="20"/>
          <w:szCs w:val="20"/>
          <w:lang w:val="en-US"/>
        </w:rPr>
        <w:t>argued that:</w:t>
      </w:r>
    </w:p>
    <w:p w14:paraId="0BF672EC" w14:textId="77777777" w:rsidR="002A2C65" w:rsidRPr="00D869E3" w:rsidRDefault="002A2C65" w:rsidP="002A2C65">
      <w:pPr>
        <w:pStyle w:val="Prrafodelista"/>
        <w:ind w:left="0"/>
        <w:jc w:val="both"/>
        <w:rPr>
          <w:rFonts w:ascii="Verdana" w:hAnsi="Verdana"/>
          <w:b/>
          <w:sz w:val="20"/>
          <w:szCs w:val="20"/>
          <w:lang w:val="en-US"/>
        </w:rPr>
      </w:pPr>
    </w:p>
    <w:p w14:paraId="3AAC544B" w14:textId="2D4D9CB5" w:rsidR="00275EDE" w:rsidRPr="00D869E3" w:rsidRDefault="001E3B42" w:rsidP="006A4718">
      <w:pPr>
        <w:ind w:left="720"/>
        <w:jc w:val="both"/>
        <w:rPr>
          <w:rFonts w:ascii="Verdana" w:hAnsi="Verdana" w:cs="Arial"/>
          <w:sz w:val="18"/>
          <w:szCs w:val="18"/>
          <w:lang w:val="en-US"/>
        </w:rPr>
      </w:pPr>
      <w:r w:rsidRPr="00D869E3">
        <w:rPr>
          <w:rFonts w:ascii="Verdana" w:hAnsi="Verdana" w:cs="Arial"/>
          <w:sz w:val="18"/>
          <w:szCs w:val="18"/>
          <w:lang w:val="en-US"/>
        </w:rPr>
        <w:t>FOURTH</w:t>
      </w:r>
      <w:r w:rsidR="00275EDE" w:rsidRPr="00D869E3">
        <w:rPr>
          <w:rFonts w:ascii="Verdana" w:hAnsi="Verdana" w:cs="Arial"/>
          <w:sz w:val="18"/>
          <w:szCs w:val="18"/>
          <w:lang w:val="en-US"/>
        </w:rPr>
        <w:t>:</w:t>
      </w:r>
    </w:p>
    <w:p w14:paraId="002A82D0" w14:textId="77777777" w:rsidR="00275EDE" w:rsidRPr="00D869E3" w:rsidRDefault="00275EDE" w:rsidP="006A4718">
      <w:pPr>
        <w:ind w:left="720" w:right="720"/>
        <w:jc w:val="both"/>
        <w:rPr>
          <w:rFonts w:ascii="Verdana" w:hAnsi="Verdana" w:cs="Arial"/>
          <w:sz w:val="18"/>
          <w:szCs w:val="18"/>
          <w:lang w:val="en-US"/>
        </w:rPr>
      </w:pPr>
      <w:r w:rsidRPr="00D869E3">
        <w:rPr>
          <w:rFonts w:ascii="Verdana" w:hAnsi="Verdana" w:cs="Arial"/>
          <w:sz w:val="18"/>
          <w:szCs w:val="18"/>
          <w:lang w:val="en-US"/>
        </w:rPr>
        <w:t xml:space="preserve"> </w:t>
      </w:r>
    </w:p>
    <w:p w14:paraId="215E254E" w14:textId="277E9770" w:rsidR="006C6373" w:rsidRPr="00D869E3" w:rsidRDefault="006C6373" w:rsidP="006A4718">
      <w:pPr>
        <w:ind w:left="720" w:right="720"/>
        <w:jc w:val="both"/>
        <w:rPr>
          <w:rFonts w:ascii="Verdana" w:hAnsi="Verdana"/>
          <w:sz w:val="18"/>
          <w:szCs w:val="18"/>
          <w:lang w:val="en-US"/>
        </w:rPr>
      </w:pPr>
      <w:r w:rsidRPr="00D869E3">
        <w:rPr>
          <w:rFonts w:ascii="Verdana" w:hAnsi="Verdana"/>
          <w:iCs/>
          <w:color w:val="000000"/>
          <w:sz w:val="18"/>
          <w:szCs w:val="18"/>
          <w:lang w:val="en-US"/>
        </w:rPr>
        <w:t xml:space="preserve">Thus, by failing to take into account my brief </w:t>
      </w:r>
      <w:r w:rsidR="00275EDE" w:rsidRPr="00D869E3">
        <w:rPr>
          <w:rFonts w:ascii="Verdana" w:hAnsi="Verdana"/>
          <w:sz w:val="18"/>
          <w:szCs w:val="18"/>
          <w:lang w:val="en-US"/>
        </w:rPr>
        <w:t>(</w:t>
      </w:r>
      <w:r w:rsidRPr="00D869E3">
        <w:rPr>
          <w:rFonts w:ascii="Verdana" w:hAnsi="Verdana"/>
          <w:sz w:val="18"/>
          <w:szCs w:val="18"/>
          <w:lang w:val="en-US"/>
        </w:rPr>
        <w:t>of August 1,</w:t>
      </w:r>
      <w:r w:rsidR="00275EDE" w:rsidRPr="00D869E3">
        <w:rPr>
          <w:rFonts w:ascii="Verdana" w:hAnsi="Verdana"/>
          <w:sz w:val="18"/>
          <w:szCs w:val="18"/>
          <w:lang w:val="en-US"/>
        </w:rPr>
        <w:t xml:space="preserve"> 1991) </w:t>
      </w:r>
      <w:r w:rsidRPr="00D869E3">
        <w:rPr>
          <w:rFonts w:ascii="Verdana" w:hAnsi="Verdana"/>
          <w:sz w:val="18"/>
          <w:szCs w:val="18"/>
          <w:lang w:val="en-US"/>
        </w:rPr>
        <w:t>when delivering the j</w:t>
      </w:r>
      <w:r w:rsidR="00447C65" w:rsidRPr="00D869E3">
        <w:rPr>
          <w:rFonts w:ascii="Verdana" w:hAnsi="Verdana"/>
          <w:sz w:val="18"/>
          <w:szCs w:val="18"/>
          <w:lang w:val="en-US"/>
        </w:rPr>
        <w:t>udgment of</w:t>
      </w:r>
      <w:r w:rsidRPr="00D869E3">
        <w:rPr>
          <w:rFonts w:ascii="Verdana" w:hAnsi="Verdana"/>
          <w:sz w:val="18"/>
          <w:szCs w:val="18"/>
          <w:lang w:val="en-US"/>
        </w:rPr>
        <w:t xml:space="preserve"> </w:t>
      </w:r>
      <w:r w:rsidR="001E3B42" w:rsidRPr="00D869E3">
        <w:rPr>
          <w:rFonts w:ascii="Verdana" w:hAnsi="Verdana"/>
          <w:sz w:val="18"/>
          <w:szCs w:val="18"/>
          <w:lang w:val="en-US"/>
        </w:rPr>
        <w:t>August 8</w:t>
      </w:r>
      <w:r w:rsidR="00687684" w:rsidRPr="00D869E3">
        <w:rPr>
          <w:rFonts w:ascii="Verdana" w:hAnsi="Verdana"/>
          <w:sz w:val="18"/>
          <w:szCs w:val="18"/>
          <w:lang w:val="en-US"/>
        </w:rPr>
        <w:t xml:space="preserve"> and</w:t>
      </w:r>
      <w:r w:rsidRPr="00D869E3">
        <w:rPr>
          <w:rFonts w:ascii="Verdana" w:hAnsi="Verdana"/>
          <w:sz w:val="18"/>
          <w:szCs w:val="18"/>
          <w:lang w:val="en-US"/>
        </w:rPr>
        <w:t>, to the contrary, taking into account the complaint brief, not only has there been a violation of the equal opportunit</w:t>
      </w:r>
      <w:r w:rsidR="006A4718" w:rsidRPr="00D869E3">
        <w:rPr>
          <w:rFonts w:ascii="Verdana" w:hAnsi="Verdana"/>
          <w:sz w:val="18"/>
          <w:szCs w:val="18"/>
          <w:lang w:val="en-US"/>
        </w:rPr>
        <w:t>y to be heard, with their respective arguments,</w:t>
      </w:r>
      <w:r w:rsidRPr="00D869E3">
        <w:rPr>
          <w:rFonts w:ascii="Verdana" w:hAnsi="Verdana"/>
          <w:sz w:val="18"/>
          <w:szCs w:val="18"/>
          <w:lang w:val="en-US"/>
        </w:rPr>
        <w:t xml:space="preserve"> that the judge should offer the parties to the litigation, but also the basic right of defense against the arguments submitted by the other party in the said brief.</w:t>
      </w:r>
    </w:p>
    <w:p w14:paraId="75BD658D" w14:textId="241DD4EF" w:rsidR="00E3327C" w:rsidRPr="00D869E3" w:rsidRDefault="00E3327C" w:rsidP="006A4718">
      <w:pPr>
        <w:ind w:left="720" w:right="720"/>
        <w:jc w:val="both"/>
        <w:rPr>
          <w:rFonts w:ascii="Verdana" w:hAnsi="Verdana"/>
          <w:sz w:val="18"/>
          <w:szCs w:val="18"/>
          <w:lang w:val="en-US"/>
        </w:rPr>
      </w:pPr>
      <w:r w:rsidRPr="00D869E3">
        <w:rPr>
          <w:rFonts w:ascii="Verdana" w:hAnsi="Verdana"/>
          <w:sz w:val="18"/>
          <w:szCs w:val="18"/>
          <w:lang w:val="en-US"/>
        </w:rPr>
        <w:t>[…]</w:t>
      </w:r>
    </w:p>
    <w:p w14:paraId="364CF890" w14:textId="3E846985" w:rsidR="006C6373" w:rsidRPr="00D869E3" w:rsidRDefault="006C6373" w:rsidP="006A4718">
      <w:pPr>
        <w:ind w:left="720" w:right="720"/>
        <w:jc w:val="both"/>
        <w:rPr>
          <w:rFonts w:ascii="Verdana" w:hAnsi="Verdana"/>
          <w:sz w:val="18"/>
          <w:szCs w:val="18"/>
          <w:lang w:val="en-US"/>
        </w:rPr>
      </w:pPr>
      <w:r w:rsidRPr="00D869E3">
        <w:rPr>
          <w:rFonts w:ascii="Verdana" w:hAnsi="Verdana"/>
          <w:sz w:val="18"/>
          <w:szCs w:val="18"/>
          <w:lang w:val="en-US"/>
        </w:rPr>
        <w:t>By violating my right to due process, my right to job security has been violated. […] Indeed, job security is subject to special protection under our legal and constitutional order and, in the instant case, this has been violated by the aforementioned irregularities and, also</w:t>
      </w:r>
      <w:r w:rsidR="006A4718" w:rsidRPr="00D869E3">
        <w:rPr>
          <w:rFonts w:ascii="Verdana" w:hAnsi="Verdana"/>
          <w:sz w:val="18"/>
          <w:szCs w:val="18"/>
          <w:lang w:val="en-US"/>
        </w:rPr>
        <w:t>,</w:t>
      </w:r>
      <w:r w:rsidRPr="00D869E3">
        <w:rPr>
          <w:rFonts w:ascii="Verdana" w:hAnsi="Verdana"/>
          <w:sz w:val="18"/>
          <w:szCs w:val="18"/>
          <w:lang w:val="en-US"/>
        </w:rPr>
        <w:t xml:space="preserve"> without allowing the said arguments to be disproved, thus constituting the violation of two constitutional rights: DUE PROCESS and JOB SECURITTY.</w:t>
      </w:r>
    </w:p>
    <w:p w14:paraId="45B3A922" w14:textId="75673D49" w:rsidR="00275EDE" w:rsidRPr="00D869E3" w:rsidRDefault="00275EDE" w:rsidP="006C6373">
      <w:pPr>
        <w:ind w:right="720"/>
        <w:jc w:val="both"/>
        <w:rPr>
          <w:rFonts w:ascii="Verdana" w:hAnsi="Verdana"/>
          <w:b/>
          <w:sz w:val="20"/>
          <w:szCs w:val="20"/>
          <w:lang w:val="en-US"/>
        </w:rPr>
      </w:pPr>
      <w:r w:rsidRPr="00D869E3">
        <w:rPr>
          <w:rFonts w:ascii="Verdana" w:hAnsi="Verdana"/>
          <w:b/>
          <w:sz w:val="18"/>
          <w:szCs w:val="18"/>
          <w:lang w:val="en-US"/>
        </w:rPr>
        <w:tab/>
      </w:r>
    </w:p>
    <w:p w14:paraId="70AF0BA1" w14:textId="35741F50" w:rsidR="007A6FDA" w:rsidRPr="00D869E3" w:rsidRDefault="006C6373" w:rsidP="00E66DD7">
      <w:pPr>
        <w:pStyle w:val="Prrafodelista"/>
        <w:numPr>
          <w:ilvl w:val="0"/>
          <w:numId w:val="1"/>
        </w:numPr>
        <w:ind w:left="0" w:hanging="11"/>
        <w:jc w:val="both"/>
        <w:rPr>
          <w:rFonts w:ascii="Verdana" w:hAnsi="Verdana"/>
          <w:b/>
          <w:sz w:val="20"/>
          <w:szCs w:val="20"/>
          <w:lang w:val="en-US"/>
        </w:rPr>
      </w:pPr>
      <w:r w:rsidRPr="00D869E3">
        <w:rPr>
          <w:rFonts w:ascii="Verdana" w:hAnsi="Verdana"/>
          <w:sz w:val="20"/>
          <w:szCs w:val="20"/>
          <w:lang w:val="en-US"/>
        </w:rPr>
        <w:t xml:space="preserve">In April 1992, while the appeal was being processed before </w:t>
      </w:r>
      <w:r w:rsidR="001E3B42" w:rsidRPr="00D869E3">
        <w:rPr>
          <w:rFonts w:ascii="Verdana" w:hAnsi="Verdana"/>
          <w:sz w:val="20"/>
          <w:szCs w:val="20"/>
          <w:lang w:val="en-US"/>
        </w:rPr>
        <w:t>the Civil Chamber of the Superior Court</w:t>
      </w:r>
      <w:r w:rsidR="007A6FDA" w:rsidRPr="00D869E3">
        <w:rPr>
          <w:rFonts w:ascii="Verdana" w:hAnsi="Verdana"/>
          <w:sz w:val="20"/>
          <w:szCs w:val="20"/>
          <w:lang w:val="en-US"/>
        </w:rPr>
        <w:t xml:space="preserve">, </w:t>
      </w:r>
      <w:r w:rsidRPr="00D869E3">
        <w:rPr>
          <w:rFonts w:ascii="Verdana" w:hAnsi="Verdana"/>
          <w:sz w:val="20"/>
          <w:szCs w:val="20"/>
          <w:lang w:val="en-US"/>
        </w:rPr>
        <w:t>the Peruvian Governm</w:t>
      </w:r>
      <w:r w:rsidR="00AD62D7" w:rsidRPr="00D869E3">
        <w:rPr>
          <w:rFonts w:ascii="Verdana" w:hAnsi="Verdana"/>
          <w:sz w:val="20"/>
          <w:szCs w:val="20"/>
          <w:lang w:val="en-US"/>
        </w:rPr>
        <w:t>e</w:t>
      </w:r>
      <w:r w:rsidRPr="00D869E3">
        <w:rPr>
          <w:rFonts w:ascii="Verdana" w:hAnsi="Verdana"/>
          <w:sz w:val="20"/>
          <w:szCs w:val="20"/>
          <w:lang w:val="en-US"/>
        </w:rPr>
        <w:t>nt proceeded to declare a “reorganization” of the Judiciary.</w:t>
      </w:r>
      <w:r w:rsidR="007A6FDA" w:rsidRPr="00D869E3">
        <w:rPr>
          <w:rFonts w:ascii="Verdana" w:hAnsi="Verdana"/>
          <w:sz w:val="20"/>
          <w:szCs w:val="20"/>
          <w:vertAlign w:val="superscript"/>
          <w:lang w:val="en-US"/>
        </w:rPr>
        <w:footnoteReference w:id="85"/>
      </w:r>
      <w:r w:rsidRPr="00D869E3">
        <w:rPr>
          <w:rFonts w:ascii="Verdana" w:hAnsi="Verdana"/>
          <w:sz w:val="20"/>
          <w:szCs w:val="20"/>
          <w:lang w:val="en-US"/>
        </w:rPr>
        <w:t xml:space="preserve"> </w:t>
      </w:r>
      <w:r w:rsidR="00AD62D7" w:rsidRPr="00D869E3">
        <w:rPr>
          <w:rFonts w:ascii="Verdana" w:hAnsi="Verdana"/>
          <w:sz w:val="20"/>
          <w:szCs w:val="20"/>
          <w:lang w:val="en-US"/>
        </w:rPr>
        <w:t xml:space="preserve">In the context of these reforms, on </w:t>
      </w:r>
      <w:r w:rsidR="001E3B42" w:rsidRPr="00D869E3">
        <w:rPr>
          <w:rFonts w:ascii="Verdana" w:hAnsi="Verdana"/>
          <w:sz w:val="20"/>
          <w:szCs w:val="20"/>
          <w:lang w:val="en-US"/>
        </w:rPr>
        <w:t>August 3,</w:t>
      </w:r>
      <w:r w:rsidR="007A6FDA" w:rsidRPr="00D869E3">
        <w:rPr>
          <w:rFonts w:ascii="Verdana" w:hAnsi="Verdana"/>
          <w:sz w:val="20"/>
          <w:szCs w:val="20"/>
          <w:lang w:val="en-US"/>
        </w:rPr>
        <w:t xml:space="preserve"> 1992 </w:t>
      </w:r>
      <w:r w:rsidR="001E3B42" w:rsidRPr="00D869E3">
        <w:rPr>
          <w:rFonts w:ascii="Verdana" w:hAnsi="Verdana"/>
          <w:sz w:val="20"/>
          <w:szCs w:val="20"/>
          <w:lang w:val="en-US"/>
        </w:rPr>
        <w:t>the Fifth Civil Chamber of the Superior Court of</w:t>
      </w:r>
      <w:r w:rsidR="007A6FDA" w:rsidRPr="00D869E3">
        <w:rPr>
          <w:rFonts w:ascii="Verdana" w:hAnsi="Verdana"/>
          <w:sz w:val="20"/>
          <w:szCs w:val="20"/>
          <w:lang w:val="en-US"/>
        </w:rPr>
        <w:t xml:space="preserve"> Lima r</w:t>
      </w:r>
      <w:r w:rsidR="00AD62D7" w:rsidRPr="00D869E3">
        <w:rPr>
          <w:rFonts w:ascii="Verdana" w:hAnsi="Verdana"/>
          <w:sz w:val="20"/>
          <w:szCs w:val="20"/>
          <w:lang w:val="en-US"/>
        </w:rPr>
        <w:t>uled that the application for amparo was inadmissible.</w:t>
      </w:r>
      <w:r w:rsidR="007A6FDA" w:rsidRPr="00D869E3">
        <w:rPr>
          <w:rFonts w:ascii="Verdana" w:hAnsi="Verdana"/>
          <w:sz w:val="20"/>
          <w:szCs w:val="20"/>
          <w:vertAlign w:val="superscript"/>
          <w:lang w:val="en-US"/>
        </w:rPr>
        <w:footnoteReference w:id="86"/>
      </w:r>
      <w:r w:rsidR="007A6FDA" w:rsidRPr="00D869E3">
        <w:rPr>
          <w:rFonts w:ascii="Verdana" w:hAnsi="Verdana"/>
          <w:sz w:val="20"/>
          <w:szCs w:val="20"/>
          <w:lang w:val="en-US"/>
        </w:rPr>
        <w:t xml:space="preserve"> </w:t>
      </w:r>
    </w:p>
    <w:p w14:paraId="065E016C" w14:textId="77777777" w:rsidR="007A6FDA" w:rsidRPr="00D869E3" w:rsidRDefault="007A6FDA" w:rsidP="007A6FDA">
      <w:pPr>
        <w:pStyle w:val="Prrafodelista"/>
        <w:rPr>
          <w:rFonts w:ascii="Verdana" w:hAnsi="Verdana"/>
          <w:b/>
          <w:sz w:val="20"/>
          <w:szCs w:val="20"/>
          <w:lang w:val="en-US"/>
        </w:rPr>
      </w:pPr>
    </w:p>
    <w:p w14:paraId="5F694F4B" w14:textId="755C41CA" w:rsidR="007A6FDA" w:rsidRPr="00D869E3" w:rsidRDefault="006A4718" w:rsidP="00E66DD7">
      <w:pPr>
        <w:pStyle w:val="Prrafodelista"/>
        <w:numPr>
          <w:ilvl w:val="0"/>
          <w:numId w:val="1"/>
        </w:numPr>
        <w:ind w:left="0" w:hanging="11"/>
        <w:jc w:val="both"/>
        <w:rPr>
          <w:rFonts w:ascii="Verdana" w:hAnsi="Verdana"/>
          <w:b/>
          <w:sz w:val="20"/>
          <w:szCs w:val="20"/>
          <w:lang w:val="en-US"/>
        </w:rPr>
      </w:pPr>
      <w:r w:rsidRPr="00D869E3">
        <w:rPr>
          <w:rFonts w:ascii="Verdana" w:hAnsi="Verdana"/>
          <w:sz w:val="20"/>
          <w:szCs w:val="20"/>
          <w:lang w:val="en-US"/>
        </w:rPr>
        <w:t>On</w:t>
      </w:r>
      <w:r w:rsidR="007A6FDA" w:rsidRPr="00D869E3">
        <w:rPr>
          <w:rFonts w:ascii="Verdana" w:hAnsi="Verdana"/>
          <w:sz w:val="20"/>
          <w:szCs w:val="20"/>
          <w:lang w:val="en-US"/>
        </w:rPr>
        <w:t xml:space="preserve"> </w:t>
      </w:r>
      <w:r w:rsidR="001E3B42" w:rsidRPr="00D869E3">
        <w:rPr>
          <w:rFonts w:ascii="Verdana" w:hAnsi="Verdana"/>
          <w:sz w:val="20"/>
          <w:szCs w:val="20"/>
          <w:lang w:val="en-US"/>
        </w:rPr>
        <w:t>August 26,</w:t>
      </w:r>
      <w:r w:rsidR="007A6FDA" w:rsidRPr="00D869E3">
        <w:rPr>
          <w:rFonts w:ascii="Verdana" w:hAnsi="Verdana"/>
          <w:sz w:val="20"/>
          <w:szCs w:val="20"/>
          <w:lang w:val="en-US"/>
        </w:rPr>
        <w:t xml:space="preserve"> 1992</w:t>
      </w:r>
      <w:r w:rsidR="001E3B42" w:rsidRPr="00D869E3">
        <w:rPr>
          <w:rFonts w:ascii="Verdana" w:hAnsi="Verdana"/>
          <w:sz w:val="20"/>
          <w:szCs w:val="20"/>
          <w:lang w:val="en-US"/>
        </w:rPr>
        <w:t>, Mr.</w:t>
      </w:r>
      <w:r w:rsidR="007A6FDA" w:rsidRPr="00D869E3">
        <w:rPr>
          <w:rFonts w:ascii="Verdana" w:hAnsi="Verdana"/>
          <w:sz w:val="20"/>
          <w:szCs w:val="20"/>
          <w:lang w:val="en-US"/>
        </w:rPr>
        <w:t xml:space="preserve"> Lagos del Campo</w:t>
      </w:r>
      <w:r w:rsidR="00EB5E2E" w:rsidRPr="00D869E3">
        <w:rPr>
          <w:rFonts w:ascii="Verdana" w:hAnsi="Verdana"/>
          <w:sz w:val="20"/>
          <w:szCs w:val="20"/>
          <w:lang w:val="en-US"/>
        </w:rPr>
        <w:t xml:space="preserve"> filed a</w:t>
      </w:r>
      <w:r w:rsidR="00CF1D7C" w:rsidRPr="00D869E3">
        <w:rPr>
          <w:rFonts w:ascii="Verdana" w:hAnsi="Verdana"/>
          <w:sz w:val="20"/>
          <w:szCs w:val="20"/>
          <w:lang w:val="en-US"/>
        </w:rPr>
        <w:t>n</w:t>
      </w:r>
      <w:r w:rsidR="00EB5E2E" w:rsidRPr="00D869E3">
        <w:rPr>
          <w:rFonts w:ascii="Verdana" w:hAnsi="Verdana"/>
          <w:sz w:val="20"/>
          <w:szCs w:val="20"/>
          <w:lang w:val="en-US"/>
        </w:rPr>
        <w:t xml:space="preserve"> </w:t>
      </w:r>
      <w:r w:rsidR="00CF1D7C" w:rsidRPr="00D869E3">
        <w:rPr>
          <w:rFonts w:ascii="Verdana" w:hAnsi="Verdana"/>
          <w:sz w:val="20"/>
          <w:szCs w:val="20"/>
          <w:lang w:val="en-US"/>
        </w:rPr>
        <w:t>appeal for annulment</w:t>
      </w:r>
      <w:r w:rsidR="00EB5E2E" w:rsidRPr="00D869E3">
        <w:rPr>
          <w:rFonts w:ascii="Verdana" w:hAnsi="Verdana"/>
          <w:sz w:val="20"/>
          <w:szCs w:val="20"/>
          <w:lang w:val="en-US"/>
        </w:rPr>
        <w:t xml:space="preserve"> before </w:t>
      </w:r>
      <w:r w:rsidR="00447C65" w:rsidRPr="00D869E3">
        <w:rPr>
          <w:rFonts w:ascii="Verdana" w:hAnsi="Verdana"/>
          <w:sz w:val="20"/>
          <w:szCs w:val="20"/>
          <w:lang w:val="en-US"/>
        </w:rPr>
        <w:t>the President</w:t>
      </w:r>
      <w:r w:rsidR="00EB5E2E" w:rsidRPr="00D869E3">
        <w:rPr>
          <w:rFonts w:ascii="Verdana" w:hAnsi="Verdana"/>
          <w:sz w:val="20"/>
          <w:szCs w:val="20"/>
          <w:lang w:val="en-US"/>
        </w:rPr>
        <w:t xml:space="preserve"> of the Fifth Civil Chamber of</w:t>
      </w:r>
      <w:r w:rsidR="007A6FDA" w:rsidRPr="00D869E3">
        <w:rPr>
          <w:rFonts w:ascii="Verdana" w:hAnsi="Verdana"/>
          <w:sz w:val="20"/>
          <w:szCs w:val="20"/>
          <w:lang w:val="en-US"/>
        </w:rPr>
        <w:t xml:space="preserve"> Lima, </w:t>
      </w:r>
      <w:r w:rsidR="00EB5E2E" w:rsidRPr="00D869E3">
        <w:rPr>
          <w:rFonts w:ascii="Verdana" w:hAnsi="Verdana"/>
          <w:sz w:val="20"/>
          <w:szCs w:val="20"/>
          <w:lang w:val="en-US"/>
        </w:rPr>
        <w:t>against the judgment delivered by the Fifth Civil Chamber of</w:t>
      </w:r>
      <w:r w:rsidR="007A6FDA" w:rsidRPr="00D869E3">
        <w:rPr>
          <w:rFonts w:ascii="Verdana" w:hAnsi="Verdana"/>
          <w:sz w:val="20"/>
          <w:szCs w:val="20"/>
          <w:lang w:val="en-US"/>
        </w:rPr>
        <w:t xml:space="preserve"> Lima</w:t>
      </w:r>
      <w:r w:rsidR="00EB5E2E" w:rsidRPr="00D869E3">
        <w:rPr>
          <w:rFonts w:ascii="Verdana" w:hAnsi="Verdana"/>
          <w:sz w:val="20"/>
          <w:szCs w:val="20"/>
          <w:lang w:val="en-US"/>
        </w:rPr>
        <w:t>;</w:t>
      </w:r>
      <w:r w:rsidR="00AD0A6C" w:rsidRPr="00D869E3">
        <w:rPr>
          <w:rStyle w:val="Refdenotaalpie"/>
          <w:szCs w:val="20"/>
          <w:lang w:val="en-US"/>
        </w:rPr>
        <w:footnoteReference w:id="87"/>
      </w:r>
      <w:r w:rsidR="00EB5E2E" w:rsidRPr="00D869E3">
        <w:rPr>
          <w:rFonts w:ascii="Verdana" w:hAnsi="Verdana"/>
          <w:sz w:val="20"/>
          <w:szCs w:val="20"/>
          <w:lang w:val="en-US"/>
        </w:rPr>
        <w:t xml:space="preserve"> however,</w:t>
      </w:r>
      <w:r w:rsidR="00447C65" w:rsidRPr="00D869E3">
        <w:rPr>
          <w:rFonts w:ascii="Verdana" w:hAnsi="Verdana"/>
          <w:sz w:val="20"/>
          <w:szCs w:val="20"/>
          <w:lang w:val="en-US"/>
        </w:rPr>
        <w:t xml:space="preserve"> the President</w:t>
      </w:r>
      <w:r w:rsidR="007A6FDA" w:rsidRPr="00D869E3">
        <w:rPr>
          <w:rFonts w:ascii="Verdana" w:hAnsi="Verdana"/>
          <w:sz w:val="20"/>
          <w:szCs w:val="20"/>
          <w:lang w:val="en-US"/>
        </w:rPr>
        <w:t xml:space="preserve"> </w:t>
      </w:r>
      <w:r w:rsidR="00EB5E2E" w:rsidRPr="00D869E3">
        <w:rPr>
          <w:rFonts w:ascii="Verdana" w:hAnsi="Verdana"/>
          <w:sz w:val="20"/>
          <w:szCs w:val="20"/>
          <w:lang w:val="en-US"/>
        </w:rPr>
        <w:t>of the Fifth Civil Chamber did not reply</w:t>
      </w:r>
      <w:r w:rsidR="007A6FDA" w:rsidRPr="00D869E3">
        <w:rPr>
          <w:rFonts w:ascii="Verdana" w:hAnsi="Verdana"/>
          <w:sz w:val="20"/>
          <w:szCs w:val="20"/>
          <w:lang w:val="en-US"/>
        </w:rPr>
        <w:t xml:space="preserve">. </w:t>
      </w:r>
    </w:p>
    <w:p w14:paraId="6613DFE3" w14:textId="77777777" w:rsidR="007A6FDA" w:rsidRPr="00D869E3" w:rsidRDefault="007A6FDA" w:rsidP="007A6FDA">
      <w:pPr>
        <w:pStyle w:val="Prrafodelista"/>
        <w:rPr>
          <w:rFonts w:ascii="Verdana" w:hAnsi="Verdana"/>
          <w:b/>
          <w:sz w:val="20"/>
          <w:szCs w:val="20"/>
          <w:lang w:val="en-US"/>
        </w:rPr>
      </w:pPr>
    </w:p>
    <w:p w14:paraId="2380FA08" w14:textId="33EF0668" w:rsidR="007A6FDA" w:rsidRPr="00D869E3" w:rsidRDefault="00EB5E2E" w:rsidP="00E66DD7">
      <w:pPr>
        <w:pStyle w:val="Prrafodelista"/>
        <w:numPr>
          <w:ilvl w:val="0"/>
          <w:numId w:val="1"/>
        </w:numPr>
        <w:ind w:left="0" w:hanging="11"/>
        <w:jc w:val="both"/>
        <w:rPr>
          <w:rFonts w:ascii="Verdana" w:hAnsi="Verdana"/>
          <w:b/>
          <w:sz w:val="20"/>
          <w:szCs w:val="20"/>
          <w:lang w:val="en-US"/>
        </w:rPr>
      </w:pPr>
      <w:r w:rsidRPr="00D869E3">
        <w:rPr>
          <w:rFonts w:ascii="Verdana" w:hAnsi="Verdana"/>
          <w:sz w:val="20"/>
          <w:szCs w:val="20"/>
          <w:lang w:val="en-US"/>
        </w:rPr>
        <w:t xml:space="preserve">Consequently, on March 10, </w:t>
      </w:r>
      <w:r w:rsidR="007A6FDA" w:rsidRPr="00D869E3">
        <w:rPr>
          <w:rFonts w:ascii="Verdana" w:hAnsi="Verdana"/>
          <w:sz w:val="20"/>
          <w:szCs w:val="20"/>
          <w:lang w:val="en-US"/>
        </w:rPr>
        <w:t>1993</w:t>
      </w:r>
      <w:r w:rsidRPr="00D869E3">
        <w:rPr>
          <w:rFonts w:ascii="Verdana" w:hAnsi="Verdana"/>
          <w:sz w:val="20"/>
          <w:szCs w:val="20"/>
          <w:lang w:val="en-US"/>
        </w:rPr>
        <w:t>, Mr.</w:t>
      </w:r>
      <w:r w:rsidR="007A6FDA" w:rsidRPr="00D869E3">
        <w:rPr>
          <w:rFonts w:ascii="Verdana" w:hAnsi="Verdana"/>
          <w:sz w:val="20"/>
          <w:szCs w:val="20"/>
          <w:lang w:val="en-US"/>
        </w:rPr>
        <w:t xml:space="preserve"> Lagos del Campo </w:t>
      </w:r>
      <w:r w:rsidRPr="00D869E3">
        <w:rPr>
          <w:rFonts w:ascii="Verdana" w:hAnsi="Verdana"/>
          <w:sz w:val="20"/>
          <w:szCs w:val="20"/>
          <w:lang w:val="en-US"/>
        </w:rPr>
        <w:t>filed a brief before</w:t>
      </w:r>
      <w:r w:rsidR="007A6FDA" w:rsidRPr="00D869E3">
        <w:rPr>
          <w:rFonts w:ascii="Verdana" w:hAnsi="Verdana"/>
          <w:sz w:val="20"/>
          <w:szCs w:val="20"/>
          <w:lang w:val="en-US"/>
        </w:rPr>
        <w:t xml:space="preserve"> </w:t>
      </w:r>
      <w:r w:rsidR="00447C65" w:rsidRPr="00D869E3">
        <w:rPr>
          <w:rFonts w:ascii="Verdana" w:hAnsi="Verdana"/>
          <w:sz w:val="20"/>
          <w:szCs w:val="20"/>
          <w:lang w:val="en-US"/>
        </w:rPr>
        <w:t>the President</w:t>
      </w:r>
      <w:r w:rsidRPr="00D869E3">
        <w:rPr>
          <w:rFonts w:ascii="Verdana" w:hAnsi="Verdana"/>
          <w:sz w:val="20"/>
          <w:szCs w:val="20"/>
          <w:lang w:val="en-US"/>
        </w:rPr>
        <w:t xml:space="preserve"> of the Social and Constitutional Law Chamber</w:t>
      </w:r>
      <w:r w:rsidR="00447C65" w:rsidRPr="00D869E3">
        <w:rPr>
          <w:rFonts w:ascii="Verdana" w:hAnsi="Verdana"/>
          <w:sz w:val="20"/>
          <w:szCs w:val="20"/>
          <w:lang w:val="en-US"/>
        </w:rPr>
        <w:t xml:space="preserve"> of the </w:t>
      </w:r>
      <w:r w:rsidRPr="00D869E3">
        <w:rPr>
          <w:rFonts w:ascii="Verdana" w:hAnsi="Verdana"/>
          <w:sz w:val="20"/>
          <w:szCs w:val="20"/>
          <w:lang w:val="en-US"/>
        </w:rPr>
        <w:t>Supreme Court</w:t>
      </w:r>
      <w:r w:rsidR="007A6FDA" w:rsidRPr="00D869E3">
        <w:rPr>
          <w:rFonts w:ascii="Verdana" w:hAnsi="Verdana"/>
          <w:sz w:val="20"/>
          <w:szCs w:val="20"/>
          <w:lang w:val="en-US"/>
        </w:rPr>
        <w:t xml:space="preserve"> </w:t>
      </w:r>
      <w:r w:rsidRPr="00D869E3">
        <w:rPr>
          <w:rFonts w:ascii="Verdana" w:hAnsi="Verdana"/>
          <w:sz w:val="20"/>
          <w:szCs w:val="20"/>
          <w:lang w:val="en-US"/>
        </w:rPr>
        <w:t>in which he indicated</w:t>
      </w:r>
      <w:r w:rsidR="009F1D2A" w:rsidRPr="00D869E3">
        <w:rPr>
          <w:rFonts w:ascii="Verdana" w:hAnsi="Verdana"/>
          <w:sz w:val="20"/>
          <w:szCs w:val="20"/>
          <w:lang w:val="en-US"/>
        </w:rPr>
        <w:t xml:space="preserve"> that he “respectfully request[ed] that the Court declare the nullity of the judgment, which should be amended, and declare the application for amparo admissible.</w:t>
      </w:r>
      <w:r w:rsidR="006436CA" w:rsidRPr="00D869E3">
        <w:rPr>
          <w:rFonts w:ascii="Verdana" w:hAnsi="Verdana"/>
          <w:sz w:val="20"/>
          <w:szCs w:val="20"/>
          <w:lang w:val="en-US"/>
        </w:rPr>
        <w:t>”</w:t>
      </w:r>
      <w:r w:rsidR="00AD0A6C" w:rsidRPr="00D869E3">
        <w:rPr>
          <w:rStyle w:val="Refdenotaalpie"/>
          <w:szCs w:val="20"/>
          <w:lang w:val="en-US"/>
        </w:rPr>
        <w:footnoteReference w:id="88"/>
      </w:r>
      <w:r w:rsidR="00D20A28" w:rsidRPr="00D869E3">
        <w:rPr>
          <w:rFonts w:ascii="Verdana" w:hAnsi="Verdana"/>
          <w:sz w:val="20"/>
          <w:szCs w:val="20"/>
          <w:lang w:val="en-US"/>
        </w:rPr>
        <w:t xml:space="preserve"> </w:t>
      </w:r>
      <w:r w:rsidRPr="00D869E3">
        <w:rPr>
          <w:rFonts w:ascii="Verdana" w:hAnsi="Verdana"/>
          <w:sz w:val="20"/>
          <w:szCs w:val="20"/>
          <w:lang w:val="en-US"/>
        </w:rPr>
        <w:t>The Social and Constitutional Law Chamber</w:t>
      </w:r>
      <w:r w:rsidR="00447C65" w:rsidRPr="00D869E3">
        <w:rPr>
          <w:rFonts w:ascii="Verdana" w:hAnsi="Verdana"/>
          <w:sz w:val="20"/>
          <w:szCs w:val="20"/>
          <w:lang w:val="en-US"/>
        </w:rPr>
        <w:t xml:space="preserve"> of the </w:t>
      </w:r>
      <w:r w:rsidR="009F1D2A" w:rsidRPr="00D869E3">
        <w:rPr>
          <w:rFonts w:ascii="Verdana" w:hAnsi="Verdana"/>
          <w:sz w:val="20"/>
          <w:szCs w:val="20"/>
          <w:lang w:val="en-US"/>
        </w:rPr>
        <w:t>Supreme Court of Justice</w:t>
      </w:r>
      <w:r w:rsidR="00D20A28" w:rsidRPr="00D869E3">
        <w:rPr>
          <w:rFonts w:ascii="Verdana" w:hAnsi="Verdana"/>
          <w:sz w:val="20"/>
          <w:szCs w:val="20"/>
          <w:lang w:val="en-US"/>
        </w:rPr>
        <w:t>,</w:t>
      </w:r>
      <w:r w:rsidR="007A6FDA" w:rsidRPr="00D869E3">
        <w:rPr>
          <w:rFonts w:ascii="Verdana" w:hAnsi="Verdana"/>
          <w:sz w:val="20"/>
          <w:szCs w:val="20"/>
          <w:lang w:val="en-US"/>
        </w:rPr>
        <w:t xml:space="preserve"> </w:t>
      </w:r>
      <w:r w:rsidR="009F1D2A" w:rsidRPr="00D869E3">
        <w:rPr>
          <w:rFonts w:ascii="Verdana" w:hAnsi="Verdana"/>
          <w:sz w:val="20"/>
          <w:szCs w:val="20"/>
          <w:lang w:val="en-US"/>
        </w:rPr>
        <w:t xml:space="preserve">in </w:t>
      </w:r>
      <w:r w:rsidR="006A4718" w:rsidRPr="00D869E3">
        <w:rPr>
          <w:rFonts w:ascii="Verdana" w:hAnsi="Verdana"/>
          <w:sz w:val="20"/>
          <w:szCs w:val="20"/>
          <w:lang w:val="en-US"/>
        </w:rPr>
        <w:t xml:space="preserve">a decision </w:t>
      </w:r>
      <w:r w:rsidR="009F1D2A" w:rsidRPr="00D869E3">
        <w:rPr>
          <w:rFonts w:ascii="Verdana" w:hAnsi="Verdana"/>
          <w:sz w:val="20"/>
          <w:szCs w:val="20"/>
          <w:lang w:val="en-US"/>
        </w:rPr>
        <w:t>of</w:t>
      </w:r>
      <w:r w:rsidR="007A6FDA" w:rsidRPr="00D869E3">
        <w:rPr>
          <w:rFonts w:ascii="Verdana" w:hAnsi="Verdana"/>
          <w:sz w:val="20"/>
          <w:szCs w:val="20"/>
          <w:lang w:val="en-US"/>
        </w:rPr>
        <w:t xml:space="preserve"> </w:t>
      </w:r>
      <w:r w:rsidR="006F7F35" w:rsidRPr="00D869E3">
        <w:rPr>
          <w:rFonts w:ascii="Verdana" w:hAnsi="Verdana"/>
          <w:sz w:val="20"/>
          <w:szCs w:val="20"/>
          <w:lang w:val="en-US"/>
        </w:rPr>
        <w:t xml:space="preserve">March </w:t>
      </w:r>
      <w:r w:rsidR="009F1D2A" w:rsidRPr="00D869E3">
        <w:rPr>
          <w:rFonts w:ascii="Verdana" w:hAnsi="Verdana"/>
          <w:sz w:val="20"/>
          <w:szCs w:val="20"/>
          <w:lang w:val="en-US"/>
        </w:rPr>
        <w:t>1</w:t>
      </w:r>
      <w:r w:rsidR="006F7F35" w:rsidRPr="00D869E3">
        <w:rPr>
          <w:rFonts w:ascii="Verdana" w:hAnsi="Verdana"/>
          <w:sz w:val="20"/>
          <w:szCs w:val="20"/>
          <w:lang w:val="en-US"/>
        </w:rPr>
        <w:t>5,</w:t>
      </w:r>
      <w:r w:rsidR="007A6FDA" w:rsidRPr="00D869E3">
        <w:rPr>
          <w:rFonts w:ascii="Verdana" w:hAnsi="Verdana"/>
          <w:sz w:val="20"/>
          <w:szCs w:val="20"/>
          <w:lang w:val="en-US"/>
        </w:rPr>
        <w:t xml:space="preserve"> 1993</w:t>
      </w:r>
      <w:r w:rsidR="00D20A28" w:rsidRPr="00D869E3">
        <w:rPr>
          <w:rFonts w:ascii="Verdana" w:hAnsi="Verdana"/>
          <w:sz w:val="20"/>
          <w:szCs w:val="20"/>
          <w:lang w:val="en-US"/>
        </w:rPr>
        <w:t>,</w:t>
      </w:r>
      <w:r w:rsidR="007A6FDA" w:rsidRPr="00D869E3">
        <w:rPr>
          <w:rFonts w:ascii="Verdana" w:hAnsi="Verdana"/>
          <w:sz w:val="20"/>
          <w:szCs w:val="20"/>
          <w:lang w:val="en-US"/>
        </w:rPr>
        <w:t xml:space="preserve"> declar</w:t>
      </w:r>
      <w:r w:rsidR="009F1D2A" w:rsidRPr="00D869E3">
        <w:rPr>
          <w:rFonts w:ascii="Verdana" w:hAnsi="Verdana"/>
          <w:sz w:val="20"/>
          <w:szCs w:val="20"/>
          <w:lang w:val="en-US"/>
        </w:rPr>
        <w:t>ed that the request for nullity against the</w:t>
      </w:r>
      <w:r w:rsidR="007A6FDA" w:rsidRPr="00D869E3">
        <w:rPr>
          <w:rFonts w:ascii="Verdana" w:hAnsi="Verdana"/>
          <w:sz w:val="20"/>
          <w:szCs w:val="20"/>
          <w:lang w:val="en-US"/>
        </w:rPr>
        <w:t xml:space="preserve"> </w:t>
      </w:r>
      <w:r w:rsidR="009F1D2A" w:rsidRPr="00D869E3">
        <w:rPr>
          <w:rFonts w:ascii="Verdana" w:hAnsi="Verdana"/>
          <w:sz w:val="20"/>
          <w:szCs w:val="20"/>
          <w:lang w:val="en-US"/>
        </w:rPr>
        <w:t>j</w:t>
      </w:r>
      <w:r w:rsidR="00447C65" w:rsidRPr="00D869E3">
        <w:rPr>
          <w:rFonts w:ascii="Verdana" w:hAnsi="Verdana"/>
          <w:sz w:val="20"/>
          <w:szCs w:val="20"/>
          <w:lang w:val="en-US"/>
        </w:rPr>
        <w:t>udgment of</w:t>
      </w:r>
      <w:r w:rsidR="007A6FDA" w:rsidRPr="00D869E3">
        <w:rPr>
          <w:rFonts w:ascii="Verdana" w:hAnsi="Verdana"/>
          <w:sz w:val="20"/>
          <w:szCs w:val="20"/>
          <w:lang w:val="en-US"/>
        </w:rPr>
        <w:t xml:space="preserve"> </w:t>
      </w:r>
      <w:r w:rsidR="001E3B42" w:rsidRPr="00D869E3">
        <w:rPr>
          <w:rFonts w:ascii="Verdana" w:hAnsi="Verdana"/>
          <w:sz w:val="20"/>
          <w:szCs w:val="20"/>
          <w:lang w:val="en-US"/>
        </w:rPr>
        <w:t>August 8,</w:t>
      </w:r>
      <w:r w:rsidR="007A6FDA" w:rsidRPr="00D869E3">
        <w:rPr>
          <w:rFonts w:ascii="Verdana" w:hAnsi="Verdana"/>
          <w:sz w:val="20"/>
          <w:szCs w:val="20"/>
          <w:lang w:val="en-US"/>
        </w:rPr>
        <w:t xml:space="preserve"> 1992</w:t>
      </w:r>
      <w:r w:rsidR="006A4718" w:rsidRPr="00D869E3">
        <w:rPr>
          <w:rFonts w:ascii="Verdana" w:hAnsi="Verdana"/>
          <w:sz w:val="20"/>
          <w:szCs w:val="20"/>
          <w:lang w:val="en-US"/>
        </w:rPr>
        <w:t>, was not admissible</w:t>
      </w:r>
      <w:r w:rsidR="009F1D2A" w:rsidRPr="00D869E3">
        <w:rPr>
          <w:rFonts w:ascii="Verdana" w:hAnsi="Verdana"/>
          <w:sz w:val="20"/>
          <w:szCs w:val="20"/>
          <w:lang w:val="en-US"/>
        </w:rPr>
        <w:t>.</w:t>
      </w:r>
      <w:r w:rsidR="007A6FDA" w:rsidRPr="00D869E3">
        <w:rPr>
          <w:rStyle w:val="Refdenotaalpie"/>
          <w:szCs w:val="20"/>
          <w:lang w:val="en-US"/>
        </w:rPr>
        <w:footnoteReference w:id="89"/>
      </w:r>
    </w:p>
    <w:p w14:paraId="2604D455" w14:textId="77777777" w:rsidR="007A6FDA" w:rsidRPr="00D869E3" w:rsidRDefault="007A6FDA" w:rsidP="007A6FDA">
      <w:pPr>
        <w:pStyle w:val="Prrafodelista"/>
        <w:rPr>
          <w:rFonts w:ascii="Verdana" w:hAnsi="Verdana"/>
          <w:b/>
          <w:sz w:val="20"/>
          <w:szCs w:val="20"/>
          <w:lang w:val="en-US"/>
        </w:rPr>
      </w:pPr>
    </w:p>
    <w:p w14:paraId="18C27A8A" w14:textId="07651365" w:rsidR="009F1D2A" w:rsidRPr="00D869E3" w:rsidRDefault="009F1D2A" w:rsidP="00E66DD7">
      <w:pPr>
        <w:pStyle w:val="Prrafodelista"/>
        <w:numPr>
          <w:ilvl w:val="0"/>
          <w:numId w:val="1"/>
        </w:numPr>
        <w:ind w:left="0" w:hanging="11"/>
        <w:jc w:val="both"/>
        <w:rPr>
          <w:rFonts w:ascii="Verdana" w:hAnsi="Verdana"/>
          <w:b/>
          <w:sz w:val="20"/>
          <w:szCs w:val="20"/>
          <w:lang w:val="en-US"/>
        </w:rPr>
      </w:pPr>
      <w:r w:rsidRPr="00D869E3">
        <w:rPr>
          <w:rFonts w:ascii="Verdana" w:hAnsi="Verdana"/>
          <w:sz w:val="20"/>
          <w:szCs w:val="20"/>
          <w:lang w:val="en-US"/>
        </w:rPr>
        <w:t>On April 28,</w:t>
      </w:r>
      <w:r w:rsidR="007A6FDA" w:rsidRPr="00D869E3">
        <w:rPr>
          <w:rFonts w:ascii="Verdana" w:hAnsi="Verdana"/>
          <w:sz w:val="20"/>
          <w:szCs w:val="20"/>
          <w:lang w:val="en-US"/>
        </w:rPr>
        <w:t xml:space="preserve"> 1993</w:t>
      </w:r>
      <w:r w:rsidRPr="00D869E3">
        <w:rPr>
          <w:rFonts w:ascii="Verdana" w:hAnsi="Verdana"/>
          <w:sz w:val="20"/>
          <w:szCs w:val="20"/>
          <w:lang w:val="en-US"/>
        </w:rPr>
        <w:t>, Mr.</w:t>
      </w:r>
      <w:r w:rsidR="007A6FDA" w:rsidRPr="00D869E3">
        <w:rPr>
          <w:rFonts w:ascii="Verdana" w:hAnsi="Verdana"/>
          <w:sz w:val="20"/>
          <w:szCs w:val="20"/>
          <w:lang w:val="en-US"/>
        </w:rPr>
        <w:t xml:space="preserve"> Lagos del Campo </w:t>
      </w:r>
      <w:r w:rsidRPr="00D869E3">
        <w:rPr>
          <w:rFonts w:ascii="Verdana" w:hAnsi="Verdana"/>
          <w:sz w:val="20"/>
          <w:szCs w:val="20"/>
          <w:lang w:val="en-US"/>
        </w:rPr>
        <w:t>filed a motion for reconsideration</w:t>
      </w:r>
      <w:r w:rsidR="00363C3C" w:rsidRPr="00D869E3">
        <w:rPr>
          <w:rFonts w:ascii="Verdana" w:hAnsi="Verdana"/>
          <w:sz w:val="20"/>
          <w:szCs w:val="20"/>
          <w:lang w:val="en-US"/>
        </w:rPr>
        <w:t xml:space="preserve"> of the ruling that declared the request for nullity inadmissible</w:t>
      </w:r>
      <w:r w:rsidRPr="00D869E3">
        <w:rPr>
          <w:rFonts w:ascii="Verdana" w:hAnsi="Verdana"/>
          <w:sz w:val="20"/>
          <w:szCs w:val="20"/>
          <w:lang w:val="en-US"/>
        </w:rPr>
        <w:t xml:space="preserve"> before</w:t>
      </w:r>
      <w:r w:rsidR="007A6FDA" w:rsidRPr="00D869E3">
        <w:rPr>
          <w:rFonts w:ascii="Verdana" w:hAnsi="Verdana"/>
          <w:sz w:val="20"/>
          <w:szCs w:val="20"/>
          <w:lang w:val="en-US"/>
        </w:rPr>
        <w:t xml:space="preserve"> </w:t>
      </w:r>
      <w:r w:rsidR="00447C65" w:rsidRPr="00D869E3">
        <w:rPr>
          <w:rFonts w:ascii="Verdana" w:hAnsi="Verdana"/>
          <w:sz w:val="20"/>
          <w:szCs w:val="20"/>
          <w:lang w:val="en-US"/>
        </w:rPr>
        <w:t>the President</w:t>
      </w:r>
      <w:r w:rsidR="007A6FDA" w:rsidRPr="00D869E3">
        <w:rPr>
          <w:rFonts w:ascii="Verdana" w:hAnsi="Verdana"/>
          <w:sz w:val="20"/>
          <w:szCs w:val="20"/>
          <w:lang w:val="en-US"/>
        </w:rPr>
        <w:t xml:space="preserve"> </w:t>
      </w:r>
      <w:r w:rsidRPr="00D869E3">
        <w:rPr>
          <w:rFonts w:ascii="Verdana" w:hAnsi="Verdana"/>
          <w:sz w:val="20"/>
          <w:szCs w:val="20"/>
          <w:lang w:val="en-US"/>
        </w:rPr>
        <w:t>of the Social and Constitutional Law Chamber of the Supreme Court.</w:t>
      </w:r>
      <w:r w:rsidR="00363C3C" w:rsidRPr="00D869E3">
        <w:rPr>
          <w:rStyle w:val="Refdenotaalpie"/>
          <w:szCs w:val="20"/>
          <w:lang w:val="en-US"/>
        </w:rPr>
        <w:footnoteReference w:id="90"/>
      </w:r>
      <w:r w:rsidR="00363C3C" w:rsidRPr="00D869E3">
        <w:rPr>
          <w:rFonts w:ascii="Verdana" w:hAnsi="Verdana"/>
          <w:sz w:val="20"/>
          <w:szCs w:val="20"/>
          <w:lang w:val="en-US"/>
        </w:rPr>
        <w:t xml:space="preserve"> The request was not admitted.</w:t>
      </w:r>
    </w:p>
    <w:p w14:paraId="679B8BD5" w14:textId="77777777" w:rsidR="00275EDE" w:rsidRPr="00D869E3" w:rsidRDefault="00275EDE" w:rsidP="009C6F8E">
      <w:pPr>
        <w:jc w:val="both"/>
        <w:rPr>
          <w:rFonts w:ascii="Verdana" w:hAnsi="Verdana"/>
          <w:b/>
          <w:sz w:val="20"/>
          <w:szCs w:val="20"/>
          <w:lang w:val="en-US"/>
        </w:rPr>
      </w:pPr>
    </w:p>
    <w:p w14:paraId="5550559A" w14:textId="5F15D405" w:rsidR="00275EDE" w:rsidRPr="00D869E3" w:rsidRDefault="00363C3C" w:rsidP="00E66DD7">
      <w:pPr>
        <w:pStyle w:val="Ttulo3"/>
        <w:numPr>
          <w:ilvl w:val="0"/>
          <w:numId w:val="9"/>
        </w:numPr>
        <w:rPr>
          <w:i/>
          <w:iCs/>
          <w:szCs w:val="20"/>
          <w:lang w:val="en-US"/>
        </w:rPr>
      </w:pPr>
      <w:bookmarkStart w:id="27" w:name="_Toc29114120"/>
      <w:r w:rsidRPr="00D869E3">
        <w:rPr>
          <w:i/>
          <w:iCs/>
          <w:szCs w:val="20"/>
          <w:lang w:val="en-US"/>
        </w:rPr>
        <w:t>Application for amparo before the Constitutional Court</w:t>
      </w:r>
      <w:bookmarkEnd w:id="27"/>
    </w:p>
    <w:p w14:paraId="05F0CC04" w14:textId="77777777" w:rsidR="00275EDE" w:rsidRPr="00D869E3" w:rsidRDefault="00275EDE" w:rsidP="00275EDE">
      <w:pPr>
        <w:jc w:val="both"/>
        <w:rPr>
          <w:rFonts w:ascii="Verdana" w:hAnsi="Verdana"/>
          <w:sz w:val="20"/>
          <w:szCs w:val="20"/>
          <w:lang w:val="en-US"/>
        </w:rPr>
      </w:pPr>
    </w:p>
    <w:p w14:paraId="0CEF7AFE" w14:textId="6EB81621" w:rsidR="003F5593" w:rsidRPr="00D869E3" w:rsidRDefault="00363C3C" w:rsidP="00333304">
      <w:pPr>
        <w:pStyle w:val="Prrafodelista"/>
        <w:numPr>
          <w:ilvl w:val="0"/>
          <w:numId w:val="1"/>
        </w:numPr>
        <w:ind w:left="0" w:hanging="11"/>
        <w:jc w:val="both"/>
        <w:rPr>
          <w:rFonts w:ascii="Verdana" w:hAnsi="Verdana"/>
          <w:b/>
          <w:sz w:val="20"/>
          <w:szCs w:val="20"/>
          <w:lang w:val="en-US"/>
        </w:rPr>
      </w:pPr>
      <w:r w:rsidRPr="00D869E3">
        <w:rPr>
          <w:rFonts w:ascii="Verdana" w:hAnsi="Verdana"/>
          <w:sz w:val="20"/>
          <w:szCs w:val="20"/>
          <w:lang w:val="en-US"/>
        </w:rPr>
        <w:t>On July 26,</w:t>
      </w:r>
      <w:r w:rsidR="007A6FDA" w:rsidRPr="00D869E3">
        <w:rPr>
          <w:rFonts w:ascii="Verdana" w:hAnsi="Verdana"/>
          <w:sz w:val="20"/>
          <w:szCs w:val="20"/>
          <w:lang w:val="en-US"/>
        </w:rPr>
        <w:t xml:space="preserve"> 1996</w:t>
      </w:r>
      <w:r w:rsidR="009D37C8" w:rsidRPr="00D869E3">
        <w:rPr>
          <w:rFonts w:ascii="Verdana" w:hAnsi="Verdana"/>
          <w:sz w:val="20"/>
          <w:szCs w:val="20"/>
          <w:lang w:val="en-US"/>
        </w:rPr>
        <w:t>,</w:t>
      </w:r>
      <w:r w:rsidR="00687684" w:rsidRPr="00D869E3">
        <w:rPr>
          <w:rFonts w:ascii="Verdana" w:hAnsi="Verdana"/>
          <w:sz w:val="20"/>
          <w:szCs w:val="20"/>
          <w:lang w:val="en-US"/>
        </w:rPr>
        <w:t xml:space="preserve"> and </w:t>
      </w:r>
      <w:r w:rsidR="00756501" w:rsidRPr="00D869E3">
        <w:rPr>
          <w:rFonts w:ascii="Verdana" w:hAnsi="Verdana"/>
          <w:sz w:val="20"/>
          <w:szCs w:val="20"/>
          <w:lang w:val="en-US"/>
        </w:rPr>
        <w:t>with</w:t>
      </w:r>
      <w:r w:rsidR="009D37C8" w:rsidRPr="00D869E3">
        <w:rPr>
          <w:rFonts w:ascii="Verdana" w:hAnsi="Verdana"/>
          <w:sz w:val="20"/>
          <w:szCs w:val="20"/>
          <w:lang w:val="en-US"/>
        </w:rPr>
        <w:t xml:space="preserve"> the </w:t>
      </w:r>
      <w:r w:rsidR="00902899" w:rsidRPr="00D869E3">
        <w:rPr>
          <w:rFonts w:ascii="Verdana" w:hAnsi="Verdana"/>
          <w:sz w:val="20"/>
          <w:szCs w:val="20"/>
          <w:lang w:val="en-US"/>
        </w:rPr>
        <w:t>inauguration of</w:t>
      </w:r>
      <w:r w:rsidR="00447C65" w:rsidRPr="00D869E3">
        <w:rPr>
          <w:rFonts w:ascii="Verdana" w:hAnsi="Verdana"/>
          <w:sz w:val="20"/>
          <w:szCs w:val="20"/>
          <w:lang w:val="en-US"/>
        </w:rPr>
        <w:t xml:space="preserve"> the </w:t>
      </w:r>
      <w:r w:rsidR="00075E68" w:rsidRPr="00D869E3">
        <w:rPr>
          <w:rFonts w:ascii="Verdana" w:hAnsi="Verdana"/>
          <w:sz w:val="20"/>
          <w:szCs w:val="20"/>
          <w:lang w:val="en-US"/>
        </w:rPr>
        <w:t>Constitutional Court of</w:t>
      </w:r>
      <w:r w:rsidR="007A6FDA" w:rsidRPr="00D869E3">
        <w:rPr>
          <w:rFonts w:ascii="Verdana" w:hAnsi="Verdana"/>
          <w:sz w:val="20"/>
          <w:szCs w:val="20"/>
          <w:lang w:val="en-US"/>
        </w:rPr>
        <w:t xml:space="preserve"> </w:t>
      </w:r>
      <w:r w:rsidR="00447C65" w:rsidRPr="00D869E3">
        <w:rPr>
          <w:rFonts w:ascii="Verdana" w:hAnsi="Verdana"/>
          <w:sz w:val="20"/>
          <w:szCs w:val="20"/>
          <w:lang w:val="en-US"/>
        </w:rPr>
        <w:t>Peru</w:t>
      </w:r>
      <w:r w:rsidR="007A6FDA" w:rsidRPr="00D869E3">
        <w:rPr>
          <w:rFonts w:ascii="Verdana" w:hAnsi="Verdana"/>
          <w:sz w:val="20"/>
          <w:szCs w:val="20"/>
          <w:lang w:val="en-US"/>
        </w:rPr>
        <w:t xml:space="preserve">, </w:t>
      </w:r>
      <w:r w:rsidR="001E44D3" w:rsidRPr="00D869E3">
        <w:rPr>
          <w:rFonts w:ascii="Verdana" w:hAnsi="Verdana"/>
          <w:sz w:val="20"/>
          <w:szCs w:val="20"/>
          <w:lang w:val="en-US"/>
        </w:rPr>
        <w:t>Mr. Lagos del Campo</w:t>
      </w:r>
      <w:r w:rsidR="007A6FDA" w:rsidRPr="00D869E3">
        <w:rPr>
          <w:rFonts w:ascii="Verdana" w:hAnsi="Verdana"/>
          <w:sz w:val="20"/>
          <w:szCs w:val="20"/>
          <w:lang w:val="en-US"/>
        </w:rPr>
        <w:t xml:space="preserve"> </w:t>
      </w:r>
      <w:r w:rsidR="009D37C8" w:rsidRPr="00D869E3">
        <w:rPr>
          <w:rFonts w:ascii="Verdana" w:hAnsi="Verdana"/>
          <w:sz w:val="20"/>
          <w:szCs w:val="20"/>
          <w:lang w:val="en-US"/>
        </w:rPr>
        <w:t xml:space="preserve">filed a brief before </w:t>
      </w:r>
      <w:r w:rsidR="00EB5E2E" w:rsidRPr="00D869E3">
        <w:rPr>
          <w:rFonts w:ascii="Verdana" w:hAnsi="Verdana"/>
          <w:sz w:val="20"/>
          <w:szCs w:val="20"/>
          <w:lang w:val="en-US"/>
        </w:rPr>
        <w:t>the Fifth Civil Chamber</w:t>
      </w:r>
      <w:r w:rsidR="00447C65" w:rsidRPr="00D869E3">
        <w:rPr>
          <w:rFonts w:ascii="Verdana" w:hAnsi="Verdana"/>
          <w:sz w:val="20"/>
          <w:szCs w:val="20"/>
          <w:lang w:val="en-US"/>
        </w:rPr>
        <w:t xml:space="preserve"> of the </w:t>
      </w:r>
      <w:r w:rsidR="009D37C8" w:rsidRPr="00D869E3">
        <w:rPr>
          <w:rFonts w:ascii="Verdana" w:hAnsi="Verdana"/>
          <w:sz w:val="20"/>
          <w:szCs w:val="20"/>
          <w:lang w:val="en-US"/>
        </w:rPr>
        <w:t>Superior Court</w:t>
      </w:r>
      <w:r w:rsidR="007A6FDA" w:rsidRPr="00D869E3">
        <w:rPr>
          <w:rFonts w:ascii="Verdana" w:hAnsi="Verdana"/>
          <w:sz w:val="20"/>
          <w:szCs w:val="20"/>
          <w:lang w:val="en-US"/>
        </w:rPr>
        <w:t xml:space="preserve"> </w:t>
      </w:r>
      <w:r w:rsidR="009D37C8" w:rsidRPr="00D869E3">
        <w:rPr>
          <w:rFonts w:ascii="Verdana" w:hAnsi="Verdana"/>
          <w:sz w:val="20"/>
          <w:szCs w:val="20"/>
          <w:lang w:val="en-US"/>
        </w:rPr>
        <w:t xml:space="preserve">requesting that </w:t>
      </w:r>
      <w:r w:rsidR="00902899" w:rsidRPr="00D869E3">
        <w:rPr>
          <w:rFonts w:ascii="Verdana" w:hAnsi="Verdana"/>
          <w:sz w:val="20"/>
          <w:szCs w:val="20"/>
          <w:lang w:val="en-US"/>
        </w:rPr>
        <w:t>h</w:t>
      </w:r>
      <w:r w:rsidR="009D37C8" w:rsidRPr="00D869E3">
        <w:rPr>
          <w:rFonts w:ascii="Verdana" w:hAnsi="Verdana"/>
          <w:sz w:val="20"/>
          <w:szCs w:val="20"/>
          <w:lang w:val="en-US"/>
        </w:rPr>
        <w:t>is application for amparo be reopened and referred to the Constitutional Court.</w:t>
      </w:r>
      <w:r w:rsidR="007A6FDA" w:rsidRPr="00D869E3">
        <w:rPr>
          <w:rFonts w:ascii="Verdana" w:hAnsi="Verdana"/>
          <w:sz w:val="20"/>
          <w:szCs w:val="20"/>
          <w:vertAlign w:val="superscript"/>
          <w:lang w:val="en-US"/>
        </w:rPr>
        <w:footnoteReference w:id="91"/>
      </w:r>
      <w:r w:rsidR="007A6FDA" w:rsidRPr="00D869E3">
        <w:rPr>
          <w:rFonts w:ascii="Verdana" w:hAnsi="Verdana"/>
          <w:sz w:val="20"/>
          <w:szCs w:val="20"/>
          <w:lang w:val="en-US"/>
        </w:rPr>
        <w:t xml:space="preserve"> </w:t>
      </w:r>
      <w:r w:rsidR="009D37C8" w:rsidRPr="00D869E3">
        <w:rPr>
          <w:rFonts w:ascii="Verdana" w:hAnsi="Verdana"/>
          <w:sz w:val="20"/>
          <w:szCs w:val="20"/>
          <w:lang w:val="en-US"/>
        </w:rPr>
        <w:t>On January 14,</w:t>
      </w:r>
      <w:r w:rsidR="007A6FDA" w:rsidRPr="00D869E3">
        <w:rPr>
          <w:rFonts w:ascii="Verdana" w:hAnsi="Verdana"/>
          <w:sz w:val="20"/>
          <w:szCs w:val="20"/>
          <w:lang w:val="en-US"/>
        </w:rPr>
        <w:t xml:space="preserve"> 1997</w:t>
      </w:r>
      <w:r w:rsidR="009D37C8" w:rsidRPr="00D869E3">
        <w:rPr>
          <w:rFonts w:ascii="Verdana" w:hAnsi="Verdana"/>
          <w:sz w:val="20"/>
          <w:szCs w:val="20"/>
          <w:lang w:val="en-US"/>
        </w:rPr>
        <w:t>,</w:t>
      </w:r>
      <w:r w:rsidR="007A6FDA" w:rsidRPr="00D869E3">
        <w:rPr>
          <w:rFonts w:ascii="Verdana" w:hAnsi="Verdana"/>
          <w:sz w:val="20"/>
          <w:szCs w:val="20"/>
          <w:lang w:val="en-US"/>
        </w:rPr>
        <w:t xml:space="preserve"> </w:t>
      </w:r>
      <w:r w:rsidR="001E44D3" w:rsidRPr="00D869E3">
        <w:rPr>
          <w:rFonts w:ascii="Verdana" w:hAnsi="Verdana"/>
          <w:sz w:val="20"/>
          <w:szCs w:val="20"/>
          <w:lang w:val="en-US"/>
        </w:rPr>
        <w:t>Mr. Lagos del Campo</w:t>
      </w:r>
      <w:r w:rsidR="007A6FDA" w:rsidRPr="00D869E3">
        <w:rPr>
          <w:rFonts w:ascii="Verdana" w:hAnsi="Verdana"/>
          <w:sz w:val="20"/>
          <w:szCs w:val="20"/>
          <w:lang w:val="en-US"/>
        </w:rPr>
        <w:t xml:space="preserve"> re</w:t>
      </w:r>
      <w:r w:rsidR="009D37C8" w:rsidRPr="00D869E3">
        <w:rPr>
          <w:rFonts w:ascii="Verdana" w:hAnsi="Verdana"/>
          <w:sz w:val="20"/>
          <w:szCs w:val="20"/>
          <w:lang w:val="en-US"/>
        </w:rPr>
        <w:t>peated this request because he had not received an answer.</w:t>
      </w:r>
      <w:r w:rsidR="007A6FDA" w:rsidRPr="00D869E3">
        <w:rPr>
          <w:rFonts w:ascii="Verdana" w:hAnsi="Verdana"/>
          <w:sz w:val="20"/>
          <w:szCs w:val="20"/>
          <w:vertAlign w:val="superscript"/>
          <w:lang w:val="en-US"/>
        </w:rPr>
        <w:footnoteReference w:id="92"/>
      </w:r>
      <w:r w:rsidR="007A6FDA" w:rsidRPr="00D869E3">
        <w:rPr>
          <w:rFonts w:ascii="Verdana" w:hAnsi="Verdana"/>
          <w:sz w:val="20"/>
          <w:szCs w:val="20"/>
          <w:lang w:val="en-US"/>
        </w:rPr>
        <w:t xml:space="preserve"> </w:t>
      </w:r>
      <w:r w:rsidR="009D37C8" w:rsidRPr="00D869E3">
        <w:rPr>
          <w:rFonts w:ascii="Verdana" w:hAnsi="Verdana"/>
          <w:sz w:val="20"/>
          <w:szCs w:val="20"/>
          <w:lang w:val="en-US"/>
        </w:rPr>
        <w:t>On June 24,</w:t>
      </w:r>
      <w:r w:rsidR="007A6FDA" w:rsidRPr="00D869E3">
        <w:rPr>
          <w:rFonts w:ascii="Verdana" w:hAnsi="Verdana"/>
          <w:sz w:val="20"/>
          <w:szCs w:val="20"/>
          <w:lang w:val="en-US"/>
        </w:rPr>
        <w:t xml:space="preserve"> 1997</w:t>
      </w:r>
      <w:r w:rsidR="009D37C8" w:rsidRPr="00D869E3">
        <w:rPr>
          <w:rFonts w:ascii="Verdana" w:hAnsi="Verdana"/>
          <w:sz w:val="20"/>
          <w:szCs w:val="20"/>
          <w:lang w:val="en-US"/>
        </w:rPr>
        <w:t>,</w:t>
      </w:r>
      <w:r w:rsidR="007A6FDA" w:rsidRPr="00D869E3">
        <w:rPr>
          <w:rFonts w:ascii="Verdana" w:hAnsi="Verdana"/>
          <w:sz w:val="20"/>
          <w:szCs w:val="20"/>
          <w:lang w:val="en-US"/>
        </w:rPr>
        <w:t xml:space="preserve"> </w:t>
      </w:r>
      <w:r w:rsidR="009D37C8" w:rsidRPr="00D869E3">
        <w:rPr>
          <w:rFonts w:ascii="Verdana" w:hAnsi="Verdana"/>
          <w:sz w:val="20"/>
          <w:szCs w:val="20"/>
          <w:lang w:val="en-US"/>
        </w:rPr>
        <w:t>the Third Specialized Civil Chamber</w:t>
      </w:r>
      <w:r w:rsidR="00447C65" w:rsidRPr="00D869E3">
        <w:rPr>
          <w:rFonts w:ascii="Verdana" w:hAnsi="Verdana"/>
          <w:sz w:val="20"/>
          <w:szCs w:val="20"/>
          <w:lang w:val="en-US"/>
        </w:rPr>
        <w:t xml:space="preserve"> of the </w:t>
      </w:r>
      <w:r w:rsidR="009D37C8" w:rsidRPr="00D869E3">
        <w:rPr>
          <w:rFonts w:ascii="Verdana" w:hAnsi="Verdana"/>
          <w:sz w:val="20"/>
          <w:szCs w:val="20"/>
          <w:lang w:val="en-US"/>
        </w:rPr>
        <w:t>Superior Court</w:t>
      </w:r>
      <w:r w:rsidR="007A6FDA" w:rsidRPr="00D869E3">
        <w:rPr>
          <w:rFonts w:ascii="Verdana" w:hAnsi="Verdana"/>
          <w:sz w:val="20"/>
          <w:szCs w:val="20"/>
          <w:lang w:val="en-US"/>
        </w:rPr>
        <w:t xml:space="preserve"> </w:t>
      </w:r>
      <w:r w:rsidR="009D37C8" w:rsidRPr="00D869E3">
        <w:rPr>
          <w:rFonts w:ascii="Verdana" w:hAnsi="Verdana"/>
          <w:sz w:val="20"/>
          <w:szCs w:val="20"/>
          <w:lang w:val="en-US"/>
        </w:rPr>
        <w:t>of</w:t>
      </w:r>
      <w:r w:rsidR="007A6FDA" w:rsidRPr="00D869E3">
        <w:rPr>
          <w:rFonts w:ascii="Verdana" w:hAnsi="Verdana"/>
          <w:sz w:val="20"/>
          <w:szCs w:val="20"/>
          <w:lang w:val="en-US"/>
        </w:rPr>
        <w:t xml:space="preserve"> Lima</w:t>
      </w:r>
      <w:r w:rsidR="005F0BEE" w:rsidRPr="00D869E3">
        <w:rPr>
          <w:rFonts w:ascii="Verdana" w:hAnsi="Verdana"/>
          <w:sz w:val="20"/>
          <w:szCs w:val="20"/>
          <w:lang w:val="en-US"/>
        </w:rPr>
        <w:t xml:space="preserve">, </w:t>
      </w:r>
      <w:r w:rsidR="009D37C8" w:rsidRPr="00D869E3">
        <w:rPr>
          <w:rFonts w:ascii="Verdana" w:hAnsi="Verdana"/>
          <w:sz w:val="20"/>
          <w:szCs w:val="20"/>
          <w:lang w:val="en-US"/>
        </w:rPr>
        <w:t>pursuant to a</w:t>
      </w:r>
      <w:r w:rsidR="00E542A7" w:rsidRPr="00D869E3">
        <w:rPr>
          <w:rFonts w:ascii="Verdana" w:hAnsi="Verdana"/>
          <w:sz w:val="20"/>
          <w:szCs w:val="20"/>
          <w:lang w:val="en-US"/>
        </w:rPr>
        <w:t>rticle</w:t>
      </w:r>
      <w:r w:rsidR="005F0BEE" w:rsidRPr="00D869E3">
        <w:rPr>
          <w:rFonts w:ascii="Verdana" w:hAnsi="Verdana"/>
          <w:sz w:val="20"/>
          <w:szCs w:val="20"/>
          <w:lang w:val="en-US"/>
        </w:rPr>
        <w:t xml:space="preserve"> 298 </w:t>
      </w:r>
      <w:r w:rsidR="001E3B42" w:rsidRPr="00D869E3">
        <w:rPr>
          <w:rFonts w:ascii="Verdana" w:hAnsi="Verdana"/>
          <w:sz w:val="20"/>
          <w:szCs w:val="20"/>
          <w:lang w:val="en-US"/>
        </w:rPr>
        <w:t xml:space="preserve">of the </w:t>
      </w:r>
      <w:r w:rsidR="009D37C8" w:rsidRPr="00D869E3">
        <w:rPr>
          <w:rFonts w:ascii="Verdana" w:hAnsi="Verdana"/>
          <w:sz w:val="20"/>
          <w:szCs w:val="20"/>
          <w:lang w:val="en-US"/>
        </w:rPr>
        <w:t xml:space="preserve">1979 </w:t>
      </w:r>
      <w:r w:rsidR="001E3B42" w:rsidRPr="00D869E3">
        <w:rPr>
          <w:rFonts w:ascii="Verdana" w:hAnsi="Verdana"/>
          <w:sz w:val="20"/>
          <w:szCs w:val="20"/>
          <w:lang w:val="en-US"/>
        </w:rPr>
        <w:t>Constitutio</w:t>
      </w:r>
      <w:r w:rsidR="009D37C8" w:rsidRPr="00D869E3">
        <w:rPr>
          <w:rFonts w:ascii="Verdana" w:hAnsi="Verdana"/>
          <w:sz w:val="20"/>
          <w:szCs w:val="20"/>
          <w:lang w:val="en-US"/>
        </w:rPr>
        <w:t>n,</w:t>
      </w:r>
      <w:r w:rsidR="005F0BEE" w:rsidRPr="00D869E3">
        <w:rPr>
          <w:rStyle w:val="Refdenotaalpie"/>
          <w:szCs w:val="20"/>
          <w:lang w:val="en-US"/>
        </w:rPr>
        <w:footnoteReference w:id="93"/>
      </w:r>
      <w:r w:rsidR="009D37C8" w:rsidRPr="00D869E3">
        <w:rPr>
          <w:rFonts w:ascii="Verdana" w:hAnsi="Verdana"/>
          <w:sz w:val="20"/>
          <w:szCs w:val="20"/>
          <w:lang w:val="en-US"/>
        </w:rPr>
        <w:t xml:space="preserve"> in force at the date of the application for amparo, declare</w:t>
      </w:r>
      <w:r w:rsidR="00902899" w:rsidRPr="00D869E3">
        <w:rPr>
          <w:rFonts w:ascii="Verdana" w:hAnsi="Verdana"/>
          <w:sz w:val="20"/>
          <w:szCs w:val="20"/>
          <w:lang w:val="en-US"/>
        </w:rPr>
        <w:t>d</w:t>
      </w:r>
      <w:r w:rsidR="009D37C8" w:rsidRPr="00D869E3">
        <w:rPr>
          <w:rFonts w:ascii="Verdana" w:hAnsi="Verdana"/>
          <w:sz w:val="20"/>
          <w:szCs w:val="20"/>
          <w:lang w:val="en-US"/>
        </w:rPr>
        <w:t xml:space="preserve"> the request inadmissible on the grounds that </w:t>
      </w:r>
      <w:r w:rsidR="001E44D3" w:rsidRPr="00D869E3">
        <w:rPr>
          <w:rFonts w:ascii="Verdana" w:hAnsi="Verdana"/>
          <w:sz w:val="20"/>
          <w:szCs w:val="20"/>
          <w:lang w:val="en-US"/>
        </w:rPr>
        <w:t>Mr. Lagos del Campo</w:t>
      </w:r>
      <w:r w:rsidR="007A6FDA" w:rsidRPr="00D869E3">
        <w:rPr>
          <w:rFonts w:ascii="Verdana" w:hAnsi="Verdana"/>
          <w:sz w:val="20"/>
          <w:szCs w:val="20"/>
          <w:lang w:val="en-US"/>
        </w:rPr>
        <w:t xml:space="preserve"> </w:t>
      </w:r>
      <w:r w:rsidR="009D37C8" w:rsidRPr="00D869E3">
        <w:rPr>
          <w:rFonts w:ascii="Verdana" w:hAnsi="Verdana"/>
          <w:sz w:val="20"/>
          <w:szCs w:val="20"/>
          <w:lang w:val="en-US"/>
        </w:rPr>
        <w:t xml:space="preserve">should have filed a request for cassation </w:t>
      </w:r>
      <w:r w:rsidR="00902899" w:rsidRPr="00D869E3">
        <w:rPr>
          <w:rFonts w:ascii="Verdana" w:hAnsi="Verdana"/>
          <w:sz w:val="20"/>
          <w:szCs w:val="20"/>
          <w:lang w:val="en-US"/>
        </w:rPr>
        <w:t>based on</w:t>
      </w:r>
      <w:r w:rsidR="009D37C8" w:rsidRPr="00D869E3">
        <w:rPr>
          <w:rFonts w:ascii="Verdana" w:hAnsi="Verdana"/>
          <w:sz w:val="20"/>
          <w:szCs w:val="20"/>
          <w:lang w:val="en-US"/>
        </w:rPr>
        <w:t xml:space="preserve"> the denial of the amparo application within 15 days of receiving notice of that decision and before the corresponding court, </w:t>
      </w:r>
      <w:r w:rsidR="00447C65" w:rsidRPr="00D869E3">
        <w:rPr>
          <w:rFonts w:ascii="Verdana" w:hAnsi="Verdana"/>
          <w:sz w:val="20"/>
          <w:szCs w:val="20"/>
          <w:lang w:val="en-US"/>
        </w:rPr>
        <w:t xml:space="preserve">the </w:t>
      </w:r>
      <w:r w:rsidR="00EE0BD4" w:rsidRPr="00D869E3">
        <w:rPr>
          <w:rFonts w:ascii="Verdana" w:hAnsi="Verdana"/>
          <w:sz w:val="20"/>
          <w:szCs w:val="20"/>
          <w:lang w:val="en-US"/>
        </w:rPr>
        <w:t>Court of Constitutional Guarantees</w:t>
      </w:r>
      <w:r w:rsidR="009D37C8" w:rsidRPr="00D869E3">
        <w:rPr>
          <w:rFonts w:ascii="Verdana" w:hAnsi="Verdana"/>
          <w:sz w:val="20"/>
          <w:szCs w:val="20"/>
          <w:lang w:val="en-US"/>
        </w:rPr>
        <w:t>.</w:t>
      </w:r>
      <w:r w:rsidR="007A6FDA" w:rsidRPr="00D869E3">
        <w:rPr>
          <w:rFonts w:ascii="Verdana" w:hAnsi="Verdana"/>
          <w:sz w:val="20"/>
          <w:szCs w:val="20"/>
          <w:vertAlign w:val="superscript"/>
          <w:lang w:val="en-US"/>
        </w:rPr>
        <w:footnoteReference w:id="94"/>
      </w:r>
      <w:r w:rsidR="007A6FDA" w:rsidRPr="00D869E3">
        <w:rPr>
          <w:rFonts w:ascii="Verdana" w:hAnsi="Verdana" w:cs="Arial"/>
          <w:sz w:val="20"/>
          <w:szCs w:val="20"/>
          <w:lang w:val="en-US"/>
        </w:rPr>
        <w:t xml:space="preserve"> </w:t>
      </w:r>
    </w:p>
    <w:p w14:paraId="27548CAB" w14:textId="77777777" w:rsidR="007A6FDA" w:rsidRPr="00D869E3" w:rsidRDefault="007A6FDA" w:rsidP="00333304">
      <w:pPr>
        <w:pStyle w:val="Prrafodelista"/>
        <w:ind w:left="0"/>
        <w:jc w:val="both"/>
        <w:rPr>
          <w:rFonts w:ascii="Verdana" w:hAnsi="Verdana"/>
          <w:b/>
          <w:sz w:val="20"/>
          <w:szCs w:val="20"/>
          <w:lang w:val="en-US"/>
        </w:rPr>
      </w:pPr>
    </w:p>
    <w:p w14:paraId="7A18499C" w14:textId="699C77AD" w:rsidR="007A6FDA" w:rsidRPr="00D869E3" w:rsidRDefault="00756501" w:rsidP="00674572">
      <w:pPr>
        <w:pStyle w:val="Prrafodelista"/>
        <w:numPr>
          <w:ilvl w:val="0"/>
          <w:numId w:val="1"/>
        </w:numPr>
        <w:ind w:left="0" w:hanging="11"/>
        <w:jc w:val="both"/>
        <w:rPr>
          <w:rFonts w:ascii="Verdana" w:hAnsi="Verdana"/>
          <w:b/>
          <w:sz w:val="20"/>
          <w:szCs w:val="20"/>
          <w:lang w:val="en-US"/>
        </w:rPr>
      </w:pPr>
      <w:r w:rsidRPr="00D869E3">
        <w:rPr>
          <w:rFonts w:ascii="Verdana" w:hAnsi="Verdana"/>
          <w:sz w:val="20"/>
          <w:szCs w:val="20"/>
          <w:lang w:val="en-US"/>
        </w:rPr>
        <w:t>On July 18,</w:t>
      </w:r>
      <w:r w:rsidR="007A6FDA" w:rsidRPr="00D869E3">
        <w:rPr>
          <w:rFonts w:ascii="Verdana" w:hAnsi="Verdana"/>
          <w:sz w:val="20"/>
          <w:szCs w:val="20"/>
          <w:lang w:val="en-US"/>
        </w:rPr>
        <w:t xml:space="preserve"> 1997</w:t>
      </w:r>
      <w:r w:rsidRPr="00D869E3">
        <w:rPr>
          <w:rFonts w:ascii="Verdana" w:hAnsi="Verdana"/>
          <w:sz w:val="20"/>
          <w:szCs w:val="20"/>
          <w:lang w:val="en-US"/>
        </w:rPr>
        <w:t>,</w:t>
      </w:r>
      <w:r w:rsidR="007A6FDA" w:rsidRPr="00D869E3">
        <w:rPr>
          <w:rFonts w:ascii="Verdana" w:hAnsi="Verdana"/>
          <w:sz w:val="20"/>
          <w:szCs w:val="20"/>
          <w:lang w:val="en-US"/>
        </w:rPr>
        <w:t xml:space="preserve"> </w:t>
      </w:r>
      <w:r w:rsidR="001E44D3" w:rsidRPr="00D869E3">
        <w:rPr>
          <w:rFonts w:ascii="Verdana" w:hAnsi="Verdana"/>
          <w:sz w:val="20"/>
          <w:szCs w:val="20"/>
          <w:lang w:val="en-US"/>
        </w:rPr>
        <w:t>Mr. Lagos del Campo</w:t>
      </w:r>
      <w:r w:rsidR="007A6FDA" w:rsidRPr="00D869E3">
        <w:rPr>
          <w:rFonts w:ascii="Verdana" w:hAnsi="Verdana"/>
          <w:sz w:val="20"/>
          <w:szCs w:val="20"/>
          <w:lang w:val="en-US"/>
        </w:rPr>
        <w:t xml:space="preserve"> </w:t>
      </w:r>
      <w:r w:rsidRPr="00D869E3">
        <w:rPr>
          <w:rFonts w:ascii="Verdana" w:hAnsi="Verdana"/>
          <w:sz w:val="20"/>
          <w:szCs w:val="20"/>
          <w:lang w:val="en-US"/>
        </w:rPr>
        <w:t>filed an appeal</w:t>
      </w:r>
      <w:r w:rsidR="007A6FDA" w:rsidRPr="00D869E3">
        <w:rPr>
          <w:rFonts w:ascii="Verdana" w:hAnsi="Verdana"/>
          <w:sz w:val="20"/>
          <w:szCs w:val="20"/>
          <w:vertAlign w:val="superscript"/>
          <w:lang w:val="en-US"/>
        </w:rPr>
        <w:footnoteReference w:id="95"/>
      </w:r>
      <w:r w:rsidR="007A6FDA" w:rsidRPr="00D869E3">
        <w:rPr>
          <w:rFonts w:ascii="Verdana" w:hAnsi="Verdana"/>
          <w:sz w:val="20"/>
          <w:szCs w:val="20"/>
          <w:lang w:val="en-US"/>
        </w:rPr>
        <w:t xml:space="preserve"> </w:t>
      </w:r>
      <w:r w:rsidRPr="00D869E3">
        <w:rPr>
          <w:rFonts w:ascii="Verdana" w:hAnsi="Verdana"/>
          <w:sz w:val="20"/>
          <w:szCs w:val="20"/>
          <w:lang w:val="en-US"/>
        </w:rPr>
        <w:t>before</w:t>
      </w:r>
      <w:r w:rsidR="007A6FDA" w:rsidRPr="00D869E3">
        <w:rPr>
          <w:rFonts w:ascii="Verdana" w:hAnsi="Verdana"/>
          <w:sz w:val="20"/>
          <w:szCs w:val="20"/>
          <w:lang w:val="en-US"/>
        </w:rPr>
        <w:t xml:space="preserve"> </w:t>
      </w:r>
      <w:r w:rsidR="009D37C8" w:rsidRPr="00D869E3">
        <w:rPr>
          <w:rFonts w:ascii="Verdana" w:hAnsi="Verdana"/>
          <w:sz w:val="20"/>
          <w:szCs w:val="20"/>
          <w:lang w:val="en-US"/>
        </w:rPr>
        <w:t>the Third Specialized Civil Chamber</w:t>
      </w:r>
      <w:r w:rsidR="00447C65" w:rsidRPr="00D869E3">
        <w:rPr>
          <w:rFonts w:ascii="Verdana" w:hAnsi="Verdana"/>
          <w:sz w:val="20"/>
          <w:szCs w:val="20"/>
          <w:lang w:val="en-US"/>
        </w:rPr>
        <w:t xml:space="preserve"> of the </w:t>
      </w:r>
      <w:r w:rsidR="009D37C8" w:rsidRPr="00D869E3">
        <w:rPr>
          <w:rFonts w:ascii="Verdana" w:hAnsi="Verdana"/>
          <w:sz w:val="20"/>
          <w:szCs w:val="20"/>
          <w:lang w:val="en-US"/>
        </w:rPr>
        <w:t>Superior Court</w:t>
      </w:r>
      <w:r w:rsidR="007A6FDA" w:rsidRPr="00D869E3">
        <w:rPr>
          <w:rFonts w:ascii="Verdana" w:hAnsi="Verdana"/>
          <w:sz w:val="20"/>
          <w:szCs w:val="20"/>
          <w:lang w:val="en-US"/>
        </w:rPr>
        <w:t xml:space="preserve">, </w:t>
      </w:r>
      <w:r w:rsidR="00674572" w:rsidRPr="00D869E3">
        <w:rPr>
          <w:rFonts w:ascii="Verdana" w:hAnsi="Verdana"/>
          <w:sz w:val="20"/>
          <w:szCs w:val="20"/>
          <w:lang w:val="en-US"/>
        </w:rPr>
        <w:t xml:space="preserve">asserting that </w:t>
      </w:r>
      <w:r w:rsidR="00447C65" w:rsidRPr="00D869E3">
        <w:rPr>
          <w:rFonts w:ascii="Verdana" w:hAnsi="Verdana"/>
          <w:sz w:val="20"/>
          <w:szCs w:val="20"/>
          <w:lang w:val="en-US"/>
        </w:rPr>
        <w:t xml:space="preserve">the </w:t>
      </w:r>
      <w:r w:rsidR="00674572" w:rsidRPr="00D869E3">
        <w:rPr>
          <w:rFonts w:ascii="Verdana" w:hAnsi="Verdana"/>
          <w:sz w:val="20"/>
          <w:szCs w:val="20"/>
          <w:lang w:val="en-US"/>
        </w:rPr>
        <w:t>Court of Constitutional Guarantees had been placed in “recess by the Government of national reconstruction and pacification” for nearly four years, and he had therefore chosen to file motions for review of judgment before the Constitutional and Social Chamber</w:t>
      </w:r>
      <w:r w:rsidR="00447C65" w:rsidRPr="00D869E3">
        <w:rPr>
          <w:rFonts w:ascii="Verdana" w:hAnsi="Verdana"/>
          <w:sz w:val="20"/>
          <w:szCs w:val="20"/>
          <w:lang w:val="en-US"/>
        </w:rPr>
        <w:t xml:space="preserve"> of the </w:t>
      </w:r>
      <w:r w:rsidR="009F1D2A" w:rsidRPr="00D869E3">
        <w:rPr>
          <w:rFonts w:ascii="Verdana" w:hAnsi="Verdana"/>
          <w:sz w:val="20"/>
          <w:szCs w:val="20"/>
          <w:lang w:val="en-US"/>
        </w:rPr>
        <w:t>Supreme Court of Justice</w:t>
      </w:r>
      <w:r w:rsidR="007A6FDA" w:rsidRPr="00D869E3">
        <w:rPr>
          <w:rFonts w:ascii="Verdana" w:hAnsi="Verdana"/>
          <w:sz w:val="20"/>
          <w:szCs w:val="20"/>
          <w:lang w:val="en-US"/>
        </w:rPr>
        <w:t xml:space="preserve"> </w:t>
      </w:r>
      <w:r w:rsidR="00674572" w:rsidRPr="00D869E3">
        <w:rPr>
          <w:rFonts w:ascii="Verdana" w:hAnsi="Verdana"/>
          <w:sz w:val="20"/>
          <w:szCs w:val="20"/>
          <w:lang w:val="en-US"/>
        </w:rPr>
        <w:t xml:space="preserve">that </w:t>
      </w:r>
      <w:r w:rsidR="00902899" w:rsidRPr="00D869E3">
        <w:rPr>
          <w:rFonts w:ascii="Verdana" w:hAnsi="Verdana"/>
          <w:sz w:val="20"/>
          <w:szCs w:val="20"/>
          <w:lang w:val="en-US"/>
        </w:rPr>
        <w:t>had</w:t>
      </w:r>
      <w:r w:rsidR="00674572" w:rsidRPr="00D869E3">
        <w:rPr>
          <w:rFonts w:ascii="Verdana" w:hAnsi="Verdana"/>
          <w:sz w:val="20"/>
          <w:szCs w:val="20"/>
          <w:lang w:val="en-US"/>
        </w:rPr>
        <w:t xml:space="preserve"> never </w:t>
      </w:r>
      <w:r w:rsidR="00902899" w:rsidRPr="00D869E3">
        <w:rPr>
          <w:rFonts w:ascii="Verdana" w:hAnsi="Verdana"/>
          <w:sz w:val="20"/>
          <w:szCs w:val="20"/>
          <w:lang w:val="en-US"/>
        </w:rPr>
        <w:t xml:space="preserve">been </w:t>
      </w:r>
      <w:r w:rsidR="00674572" w:rsidRPr="00D869E3">
        <w:rPr>
          <w:rFonts w:ascii="Verdana" w:hAnsi="Verdana"/>
          <w:sz w:val="20"/>
          <w:szCs w:val="20"/>
          <w:lang w:val="en-US"/>
        </w:rPr>
        <w:t xml:space="preserve">decided. On July 25, </w:t>
      </w:r>
      <w:r w:rsidR="007A6FDA" w:rsidRPr="00D869E3">
        <w:rPr>
          <w:rFonts w:ascii="Verdana" w:hAnsi="Verdana"/>
          <w:sz w:val="20"/>
          <w:szCs w:val="20"/>
          <w:lang w:val="en-US"/>
        </w:rPr>
        <w:t>1997</w:t>
      </w:r>
      <w:r w:rsidR="00674572" w:rsidRPr="00D869E3">
        <w:rPr>
          <w:rFonts w:ascii="Verdana" w:hAnsi="Verdana"/>
          <w:sz w:val="20"/>
          <w:szCs w:val="20"/>
          <w:lang w:val="en-US"/>
        </w:rPr>
        <w:t>,</w:t>
      </w:r>
      <w:r w:rsidR="007A6FDA" w:rsidRPr="00D869E3">
        <w:rPr>
          <w:rFonts w:ascii="Verdana" w:hAnsi="Verdana"/>
          <w:sz w:val="20"/>
          <w:szCs w:val="20"/>
          <w:lang w:val="en-US"/>
        </w:rPr>
        <w:t xml:space="preserve"> </w:t>
      </w:r>
      <w:r w:rsidR="009D37C8" w:rsidRPr="00D869E3">
        <w:rPr>
          <w:rFonts w:ascii="Verdana" w:hAnsi="Verdana"/>
          <w:sz w:val="20"/>
          <w:szCs w:val="20"/>
          <w:lang w:val="en-US"/>
        </w:rPr>
        <w:t>the Third Specialized Civil Chamber</w:t>
      </w:r>
      <w:r w:rsidR="00447C65" w:rsidRPr="00D869E3">
        <w:rPr>
          <w:rFonts w:ascii="Verdana" w:hAnsi="Verdana"/>
          <w:sz w:val="20"/>
          <w:szCs w:val="20"/>
          <w:lang w:val="en-US"/>
        </w:rPr>
        <w:t xml:space="preserve"> of the </w:t>
      </w:r>
      <w:r w:rsidR="009D37C8" w:rsidRPr="00D869E3">
        <w:rPr>
          <w:rFonts w:ascii="Verdana" w:hAnsi="Verdana"/>
          <w:sz w:val="20"/>
          <w:szCs w:val="20"/>
          <w:lang w:val="en-US"/>
        </w:rPr>
        <w:t>Superior Court</w:t>
      </w:r>
      <w:r w:rsidR="007A6FDA" w:rsidRPr="00D869E3">
        <w:rPr>
          <w:rFonts w:ascii="Verdana" w:hAnsi="Verdana"/>
          <w:sz w:val="20"/>
          <w:szCs w:val="20"/>
          <w:lang w:val="en-US"/>
        </w:rPr>
        <w:t xml:space="preserve"> declar</w:t>
      </w:r>
      <w:r w:rsidR="00674572" w:rsidRPr="00D869E3">
        <w:rPr>
          <w:rFonts w:ascii="Verdana" w:hAnsi="Verdana"/>
          <w:sz w:val="20"/>
          <w:szCs w:val="20"/>
          <w:lang w:val="en-US"/>
        </w:rPr>
        <w:t xml:space="preserve">ed the appeal inadmissible, because an appeal against the decision of June 24, </w:t>
      </w:r>
      <w:r w:rsidR="007A6FDA" w:rsidRPr="00D869E3">
        <w:rPr>
          <w:rFonts w:ascii="Verdana" w:hAnsi="Verdana"/>
          <w:sz w:val="20"/>
          <w:szCs w:val="20"/>
          <w:lang w:val="en-US"/>
        </w:rPr>
        <w:t>1997</w:t>
      </w:r>
      <w:r w:rsidR="00674572" w:rsidRPr="00D869E3">
        <w:rPr>
          <w:rFonts w:ascii="Verdana" w:hAnsi="Verdana"/>
          <w:sz w:val="20"/>
          <w:szCs w:val="20"/>
          <w:lang w:val="en-US"/>
        </w:rPr>
        <w:t>, was not established in the laws of</w:t>
      </w:r>
      <w:r w:rsidR="007A6FDA" w:rsidRPr="00D869E3">
        <w:rPr>
          <w:rFonts w:ascii="Verdana" w:hAnsi="Verdana"/>
          <w:sz w:val="20"/>
          <w:szCs w:val="20"/>
          <w:lang w:val="en-US"/>
        </w:rPr>
        <w:t xml:space="preserve"> </w:t>
      </w:r>
      <w:r w:rsidR="00447C65" w:rsidRPr="00D869E3">
        <w:rPr>
          <w:rFonts w:ascii="Verdana" w:hAnsi="Verdana"/>
          <w:sz w:val="20"/>
          <w:szCs w:val="20"/>
          <w:lang w:val="en-US"/>
        </w:rPr>
        <w:t>Peru</w:t>
      </w:r>
      <w:r w:rsidR="00674572" w:rsidRPr="00D869E3">
        <w:rPr>
          <w:rFonts w:ascii="Verdana" w:hAnsi="Verdana"/>
          <w:sz w:val="20"/>
          <w:szCs w:val="20"/>
          <w:lang w:val="en-US"/>
        </w:rPr>
        <w:t>.</w:t>
      </w:r>
      <w:r w:rsidR="007A6FDA" w:rsidRPr="00D869E3">
        <w:rPr>
          <w:rFonts w:ascii="Verdana" w:hAnsi="Verdana"/>
          <w:sz w:val="20"/>
          <w:szCs w:val="20"/>
          <w:vertAlign w:val="superscript"/>
          <w:lang w:val="en-US"/>
        </w:rPr>
        <w:footnoteReference w:id="96"/>
      </w:r>
    </w:p>
    <w:p w14:paraId="56844E91" w14:textId="77777777" w:rsidR="000E40FD" w:rsidRPr="00D869E3" w:rsidRDefault="000E40FD" w:rsidP="000E40FD">
      <w:pPr>
        <w:pStyle w:val="Prrafodelista"/>
        <w:ind w:left="0"/>
        <w:jc w:val="both"/>
        <w:rPr>
          <w:rFonts w:ascii="Verdana" w:hAnsi="Verdana"/>
          <w:b/>
          <w:sz w:val="20"/>
          <w:szCs w:val="20"/>
          <w:lang w:val="en-US"/>
        </w:rPr>
      </w:pPr>
    </w:p>
    <w:p w14:paraId="458AA4C0" w14:textId="6D3FAB97" w:rsidR="00275EDE" w:rsidRPr="00D869E3" w:rsidRDefault="00674572" w:rsidP="00312792">
      <w:pPr>
        <w:pStyle w:val="Prrafodelista"/>
        <w:numPr>
          <w:ilvl w:val="0"/>
          <w:numId w:val="1"/>
        </w:numPr>
        <w:ind w:left="0" w:hanging="11"/>
        <w:jc w:val="both"/>
        <w:rPr>
          <w:rFonts w:ascii="Verdana" w:hAnsi="Verdana"/>
          <w:b/>
          <w:sz w:val="20"/>
          <w:szCs w:val="20"/>
          <w:lang w:val="en-US"/>
        </w:rPr>
      </w:pPr>
      <w:r w:rsidRPr="00D869E3">
        <w:rPr>
          <w:rFonts w:ascii="Verdana" w:eastAsia="Batang" w:hAnsi="Verdana"/>
          <w:sz w:val="20"/>
          <w:szCs w:val="20"/>
          <w:lang w:val="en-US" w:eastAsia="es-ES"/>
        </w:rPr>
        <w:lastRenderedPageBreak/>
        <w:t>On August 19,</w:t>
      </w:r>
      <w:r w:rsidR="007A6FDA" w:rsidRPr="00D869E3">
        <w:rPr>
          <w:rFonts w:ascii="Verdana" w:eastAsia="Batang" w:hAnsi="Verdana"/>
          <w:sz w:val="20"/>
          <w:szCs w:val="20"/>
          <w:lang w:val="en-US" w:eastAsia="es-ES"/>
        </w:rPr>
        <w:t xml:space="preserve"> 1997</w:t>
      </w:r>
      <w:r w:rsidRPr="00D869E3">
        <w:rPr>
          <w:rFonts w:ascii="Verdana" w:eastAsia="Batang" w:hAnsi="Verdana"/>
          <w:sz w:val="20"/>
          <w:szCs w:val="20"/>
          <w:lang w:val="en-US" w:eastAsia="es-ES"/>
        </w:rPr>
        <w:t xml:space="preserve">, Mr. </w:t>
      </w:r>
      <w:r w:rsidR="007A6FDA" w:rsidRPr="00D869E3">
        <w:rPr>
          <w:rFonts w:ascii="Verdana" w:eastAsia="Batang" w:hAnsi="Verdana"/>
          <w:sz w:val="20"/>
          <w:szCs w:val="20"/>
          <w:lang w:val="en-US" w:eastAsia="es-ES"/>
        </w:rPr>
        <w:t>Lago del Campo</w:t>
      </w:r>
      <w:r w:rsidRPr="00D869E3">
        <w:rPr>
          <w:rFonts w:ascii="Verdana" w:eastAsia="Batang" w:hAnsi="Verdana"/>
          <w:sz w:val="20"/>
          <w:szCs w:val="20"/>
          <w:lang w:val="en-US" w:eastAsia="es-ES"/>
        </w:rPr>
        <w:t xml:space="preserve"> filed</w:t>
      </w:r>
      <w:r w:rsidR="007A6FDA" w:rsidRPr="00D869E3">
        <w:rPr>
          <w:rFonts w:ascii="Verdana" w:eastAsia="Batang" w:hAnsi="Verdana"/>
          <w:sz w:val="20"/>
          <w:szCs w:val="20"/>
          <w:lang w:val="en-US" w:eastAsia="es-ES"/>
        </w:rPr>
        <w:t xml:space="preserve"> </w:t>
      </w:r>
      <w:r w:rsidRPr="00D869E3">
        <w:rPr>
          <w:rFonts w:ascii="Verdana" w:eastAsia="Batang" w:hAnsi="Verdana"/>
          <w:sz w:val="20"/>
          <w:szCs w:val="20"/>
          <w:lang w:val="en-US" w:eastAsia="es-ES"/>
        </w:rPr>
        <w:t>a request for review of the appeal that had been denied</w:t>
      </w:r>
      <w:r w:rsidR="007A6FDA" w:rsidRPr="00D869E3">
        <w:rPr>
          <w:rFonts w:ascii="Verdana" w:hAnsi="Verdana"/>
          <w:sz w:val="20"/>
          <w:szCs w:val="20"/>
          <w:vertAlign w:val="superscript"/>
          <w:lang w:val="en-US"/>
        </w:rPr>
        <w:footnoteReference w:id="97"/>
      </w:r>
      <w:r w:rsidR="007A6FDA" w:rsidRPr="00D869E3">
        <w:rPr>
          <w:rFonts w:ascii="Verdana" w:eastAsia="Batang" w:hAnsi="Verdana"/>
          <w:sz w:val="20"/>
          <w:szCs w:val="20"/>
          <w:lang w:val="en-US" w:eastAsia="es-ES"/>
        </w:rPr>
        <w:t xml:space="preserve"> </w:t>
      </w:r>
      <w:r w:rsidRPr="00D869E3">
        <w:rPr>
          <w:rFonts w:ascii="Verdana" w:eastAsia="Batang" w:hAnsi="Verdana"/>
          <w:sz w:val="20"/>
          <w:szCs w:val="20"/>
          <w:lang w:val="en-US" w:eastAsia="es-ES"/>
        </w:rPr>
        <w:t>before</w:t>
      </w:r>
      <w:r w:rsidR="007A6FDA" w:rsidRPr="00D869E3">
        <w:rPr>
          <w:rFonts w:ascii="Verdana" w:eastAsia="Batang" w:hAnsi="Verdana"/>
          <w:sz w:val="20"/>
          <w:szCs w:val="20"/>
          <w:lang w:val="en-US" w:eastAsia="es-ES"/>
        </w:rPr>
        <w:t xml:space="preserve"> </w:t>
      </w:r>
      <w:r w:rsidR="009D37C8" w:rsidRPr="00D869E3">
        <w:rPr>
          <w:rFonts w:ascii="Verdana" w:eastAsia="Batang" w:hAnsi="Verdana"/>
          <w:sz w:val="20"/>
          <w:szCs w:val="20"/>
          <w:lang w:val="en-US" w:eastAsia="es-ES"/>
        </w:rPr>
        <w:t>the Third Specialized Civil Chamber</w:t>
      </w:r>
      <w:r w:rsidR="00447C65" w:rsidRPr="00D869E3">
        <w:rPr>
          <w:rFonts w:ascii="Verdana" w:eastAsia="Batang" w:hAnsi="Verdana"/>
          <w:sz w:val="20"/>
          <w:szCs w:val="20"/>
          <w:lang w:val="en-US" w:eastAsia="es-ES"/>
        </w:rPr>
        <w:t xml:space="preserve"> of the </w:t>
      </w:r>
      <w:r w:rsidR="009D37C8" w:rsidRPr="00D869E3">
        <w:rPr>
          <w:rFonts w:ascii="Verdana" w:eastAsia="Batang" w:hAnsi="Verdana"/>
          <w:sz w:val="20"/>
          <w:szCs w:val="20"/>
          <w:lang w:val="en-US" w:eastAsia="es-ES"/>
        </w:rPr>
        <w:t>Superior Court</w:t>
      </w:r>
      <w:r w:rsidR="007A6FDA" w:rsidRPr="00D869E3">
        <w:rPr>
          <w:rFonts w:ascii="Verdana" w:eastAsia="Batang" w:hAnsi="Verdana"/>
          <w:sz w:val="20"/>
          <w:szCs w:val="20"/>
          <w:lang w:val="en-US" w:eastAsia="es-ES"/>
        </w:rPr>
        <w:t xml:space="preserve">, </w:t>
      </w:r>
      <w:r w:rsidR="00473A96" w:rsidRPr="00D869E3">
        <w:rPr>
          <w:rFonts w:ascii="Verdana" w:eastAsia="Batang" w:hAnsi="Verdana"/>
          <w:sz w:val="20"/>
          <w:szCs w:val="20"/>
          <w:lang w:val="en-US" w:eastAsia="es-ES"/>
        </w:rPr>
        <w:t>requesting that</w:t>
      </w:r>
      <w:r w:rsidRPr="00D869E3">
        <w:rPr>
          <w:rFonts w:ascii="Verdana" w:eastAsia="Batang" w:hAnsi="Verdana"/>
          <w:sz w:val="20"/>
          <w:szCs w:val="20"/>
          <w:lang w:val="en-US" w:eastAsia="es-ES"/>
        </w:rPr>
        <w:t xml:space="preserve"> his application for amparo to be heard in final instance by</w:t>
      </w:r>
      <w:r w:rsidR="007A6FDA" w:rsidRPr="00D869E3">
        <w:rPr>
          <w:rFonts w:ascii="Verdana" w:eastAsia="Batang" w:hAnsi="Verdana"/>
          <w:sz w:val="20"/>
          <w:szCs w:val="20"/>
          <w:lang w:val="en-US" w:eastAsia="es-ES"/>
        </w:rPr>
        <w:t xml:space="preserve"> </w:t>
      </w:r>
      <w:r w:rsidR="00447C65" w:rsidRPr="00D869E3">
        <w:rPr>
          <w:rFonts w:ascii="Verdana" w:eastAsia="Batang" w:hAnsi="Verdana"/>
          <w:sz w:val="20"/>
          <w:szCs w:val="20"/>
          <w:lang w:val="en-US" w:eastAsia="es-ES"/>
        </w:rPr>
        <w:t xml:space="preserve">the </w:t>
      </w:r>
      <w:r w:rsidRPr="00D869E3">
        <w:rPr>
          <w:rFonts w:ascii="Verdana" w:eastAsia="Batang" w:hAnsi="Verdana"/>
          <w:sz w:val="20"/>
          <w:szCs w:val="20"/>
          <w:lang w:val="en-US" w:eastAsia="es-ES"/>
        </w:rPr>
        <w:t>Constitutional Court</w:t>
      </w:r>
      <w:r w:rsidR="007A6FDA" w:rsidRPr="00D869E3">
        <w:rPr>
          <w:rFonts w:ascii="Verdana" w:eastAsia="Batang" w:hAnsi="Verdana"/>
          <w:sz w:val="20"/>
          <w:szCs w:val="20"/>
          <w:lang w:val="en-US" w:eastAsia="es-ES"/>
        </w:rPr>
        <w:t xml:space="preserve">. </w:t>
      </w:r>
      <w:r w:rsidRPr="00D869E3">
        <w:rPr>
          <w:rFonts w:ascii="Verdana" w:eastAsia="Batang" w:hAnsi="Verdana"/>
          <w:sz w:val="20"/>
          <w:szCs w:val="20"/>
          <w:lang w:val="en-US" w:eastAsia="es-ES"/>
        </w:rPr>
        <w:t>On October 2,</w:t>
      </w:r>
      <w:r w:rsidR="007A6FDA" w:rsidRPr="00D869E3">
        <w:rPr>
          <w:rFonts w:ascii="Verdana" w:eastAsia="Batang" w:hAnsi="Verdana"/>
          <w:sz w:val="20"/>
          <w:szCs w:val="20"/>
          <w:lang w:val="en-US" w:eastAsia="es-ES"/>
        </w:rPr>
        <w:t xml:space="preserve"> 1997</w:t>
      </w:r>
      <w:r w:rsidRPr="00D869E3">
        <w:rPr>
          <w:rFonts w:ascii="Verdana" w:eastAsia="Batang" w:hAnsi="Verdana"/>
          <w:sz w:val="20"/>
          <w:szCs w:val="20"/>
          <w:lang w:val="en-US" w:eastAsia="es-ES"/>
        </w:rPr>
        <w:t xml:space="preserve">, </w:t>
      </w:r>
      <w:r w:rsidR="001E44D3" w:rsidRPr="00D869E3">
        <w:rPr>
          <w:rFonts w:ascii="Verdana" w:eastAsia="Batang" w:hAnsi="Verdana"/>
          <w:sz w:val="20"/>
          <w:szCs w:val="20"/>
          <w:lang w:val="en-US" w:eastAsia="es-ES"/>
        </w:rPr>
        <w:t>Mr. Lagos del Campo</w:t>
      </w:r>
      <w:r w:rsidR="007A6FDA" w:rsidRPr="00D869E3">
        <w:rPr>
          <w:rFonts w:ascii="Verdana" w:eastAsia="Batang" w:hAnsi="Verdana"/>
          <w:sz w:val="20"/>
          <w:szCs w:val="20"/>
          <w:lang w:val="en-US" w:eastAsia="es-ES"/>
        </w:rPr>
        <w:t xml:space="preserve"> </w:t>
      </w:r>
      <w:r w:rsidRPr="00D869E3">
        <w:rPr>
          <w:rFonts w:ascii="Verdana" w:eastAsia="Batang" w:hAnsi="Verdana"/>
          <w:sz w:val="20"/>
          <w:szCs w:val="20"/>
          <w:lang w:val="en-US" w:eastAsia="es-ES"/>
        </w:rPr>
        <w:t xml:space="preserve">submitted the request for review of the appeal that had been denied to the </w:t>
      </w:r>
      <w:r w:rsidR="00447C65" w:rsidRPr="00D869E3">
        <w:rPr>
          <w:rFonts w:ascii="Verdana" w:eastAsia="Batang" w:hAnsi="Verdana"/>
          <w:sz w:val="20"/>
          <w:szCs w:val="20"/>
          <w:lang w:val="en-US" w:eastAsia="es-ES"/>
        </w:rPr>
        <w:t xml:space="preserve">President of the </w:t>
      </w:r>
      <w:r w:rsidRPr="00D869E3">
        <w:rPr>
          <w:rFonts w:ascii="Verdana" w:eastAsia="Batang" w:hAnsi="Verdana"/>
          <w:sz w:val="20"/>
          <w:szCs w:val="20"/>
          <w:lang w:val="en-US" w:eastAsia="es-ES"/>
        </w:rPr>
        <w:t>Constitutional Court</w:t>
      </w:r>
      <w:r w:rsidR="00D20A28" w:rsidRPr="00D869E3">
        <w:rPr>
          <w:rFonts w:ascii="Verdana" w:hAnsi="Verdana"/>
          <w:sz w:val="20"/>
          <w:szCs w:val="20"/>
          <w:lang w:val="en-US"/>
        </w:rPr>
        <w:t>.</w:t>
      </w:r>
      <w:r w:rsidR="007A6FDA" w:rsidRPr="00D869E3">
        <w:rPr>
          <w:rFonts w:ascii="Verdana" w:hAnsi="Verdana"/>
          <w:sz w:val="20"/>
          <w:szCs w:val="20"/>
          <w:lang w:val="en-US"/>
        </w:rPr>
        <w:t xml:space="preserve"> </w:t>
      </w:r>
      <w:r w:rsidRPr="00D869E3">
        <w:rPr>
          <w:rFonts w:ascii="Verdana" w:hAnsi="Verdana"/>
          <w:sz w:val="20"/>
          <w:szCs w:val="20"/>
          <w:lang w:val="en-US"/>
        </w:rPr>
        <w:t>On November 27,</w:t>
      </w:r>
      <w:r w:rsidR="007A6FDA" w:rsidRPr="00D869E3">
        <w:rPr>
          <w:rFonts w:ascii="Verdana" w:eastAsia="Batang" w:hAnsi="Verdana"/>
          <w:sz w:val="20"/>
          <w:szCs w:val="20"/>
          <w:lang w:val="en-US" w:eastAsia="es-ES"/>
        </w:rPr>
        <w:t xml:space="preserve"> 1997</w:t>
      </w:r>
      <w:r w:rsidRPr="00D869E3">
        <w:rPr>
          <w:rFonts w:ascii="Verdana" w:eastAsia="Batang" w:hAnsi="Verdana"/>
          <w:sz w:val="20"/>
          <w:szCs w:val="20"/>
          <w:lang w:val="en-US" w:eastAsia="es-ES"/>
        </w:rPr>
        <w:t>,</w:t>
      </w:r>
      <w:r w:rsidR="007A6FDA" w:rsidRPr="00D869E3">
        <w:rPr>
          <w:rFonts w:ascii="Verdana" w:eastAsia="Batang" w:hAnsi="Verdana"/>
          <w:sz w:val="20"/>
          <w:szCs w:val="20"/>
          <w:lang w:val="en-US" w:eastAsia="es-ES"/>
        </w:rPr>
        <w:t xml:space="preserve"> </w:t>
      </w:r>
      <w:r w:rsidR="00EB5E2E" w:rsidRPr="00D869E3">
        <w:rPr>
          <w:rFonts w:ascii="Verdana" w:eastAsia="Batang" w:hAnsi="Verdana"/>
          <w:sz w:val="20"/>
          <w:szCs w:val="20"/>
          <w:lang w:val="en-US" w:eastAsia="es-ES"/>
        </w:rPr>
        <w:t>the Social and Constitutional Law Chamber</w:t>
      </w:r>
      <w:r w:rsidR="00447C65" w:rsidRPr="00D869E3">
        <w:rPr>
          <w:rFonts w:ascii="Verdana" w:eastAsia="Batang" w:hAnsi="Verdana"/>
          <w:sz w:val="20"/>
          <w:szCs w:val="20"/>
          <w:lang w:val="en-US" w:eastAsia="es-ES"/>
        </w:rPr>
        <w:t xml:space="preserve"> of the </w:t>
      </w:r>
      <w:r w:rsidR="009F1D2A" w:rsidRPr="00D869E3">
        <w:rPr>
          <w:rFonts w:ascii="Verdana" w:eastAsia="Batang" w:hAnsi="Verdana"/>
          <w:sz w:val="20"/>
          <w:szCs w:val="20"/>
          <w:lang w:val="en-US" w:eastAsia="es-ES"/>
        </w:rPr>
        <w:t>Supreme Court of Justice</w:t>
      </w:r>
      <w:r w:rsidR="007A6FDA" w:rsidRPr="00D869E3">
        <w:rPr>
          <w:rFonts w:ascii="Verdana" w:eastAsia="Batang" w:hAnsi="Verdana"/>
          <w:sz w:val="20"/>
          <w:szCs w:val="20"/>
          <w:lang w:val="en-US" w:eastAsia="es-ES"/>
        </w:rPr>
        <w:t xml:space="preserve"> </w:t>
      </w:r>
      <w:r w:rsidR="00312792" w:rsidRPr="00D869E3">
        <w:rPr>
          <w:rFonts w:ascii="Verdana" w:eastAsia="Batang" w:hAnsi="Verdana"/>
          <w:sz w:val="20"/>
          <w:szCs w:val="20"/>
          <w:lang w:val="en-US" w:eastAsia="es-ES"/>
        </w:rPr>
        <w:t xml:space="preserve">decided </w:t>
      </w:r>
      <w:r w:rsidR="00473A96" w:rsidRPr="00D869E3">
        <w:rPr>
          <w:rFonts w:ascii="Verdana" w:eastAsia="Batang" w:hAnsi="Verdana"/>
          <w:sz w:val="20"/>
          <w:szCs w:val="20"/>
          <w:lang w:val="en-US" w:eastAsia="es-ES"/>
        </w:rPr>
        <w:t>complaint</w:t>
      </w:r>
      <w:r w:rsidR="007A6FDA" w:rsidRPr="00D869E3">
        <w:rPr>
          <w:rFonts w:ascii="Verdana" w:eastAsia="Batang" w:hAnsi="Verdana"/>
          <w:sz w:val="20"/>
          <w:szCs w:val="20"/>
          <w:lang w:val="en-US" w:eastAsia="es-ES"/>
        </w:rPr>
        <w:t xml:space="preserve"> 447-97, declar</w:t>
      </w:r>
      <w:r w:rsidR="00312792" w:rsidRPr="00D869E3">
        <w:rPr>
          <w:rFonts w:ascii="Verdana" w:eastAsia="Batang" w:hAnsi="Verdana"/>
          <w:sz w:val="20"/>
          <w:szCs w:val="20"/>
          <w:lang w:val="en-US" w:eastAsia="es-ES"/>
        </w:rPr>
        <w:t xml:space="preserve">ing it inadmissible on the grounds that, by law, judgments issued by </w:t>
      </w:r>
      <w:r w:rsidR="00473A96" w:rsidRPr="00D869E3">
        <w:rPr>
          <w:rFonts w:ascii="Verdana" w:eastAsia="Batang" w:hAnsi="Verdana"/>
          <w:sz w:val="20"/>
          <w:szCs w:val="20"/>
          <w:lang w:val="en-US" w:eastAsia="es-ES"/>
        </w:rPr>
        <w:t>a</w:t>
      </w:r>
      <w:r w:rsidR="00312792" w:rsidRPr="00D869E3">
        <w:rPr>
          <w:rFonts w:ascii="Verdana" w:eastAsia="Batang" w:hAnsi="Verdana"/>
          <w:sz w:val="20"/>
          <w:szCs w:val="20"/>
          <w:lang w:val="en-US" w:eastAsia="es-ES"/>
        </w:rPr>
        <w:t xml:space="preserve"> </w:t>
      </w:r>
      <w:r w:rsidR="00473A96" w:rsidRPr="00D869E3">
        <w:rPr>
          <w:rFonts w:ascii="Verdana" w:eastAsia="Batang" w:hAnsi="Verdana"/>
          <w:sz w:val="20"/>
          <w:szCs w:val="20"/>
          <w:lang w:val="en-US" w:eastAsia="es-ES"/>
        </w:rPr>
        <w:t>higher</w:t>
      </w:r>
      <w:r w:rsidR="00312792" w:rsidRPr="00D869E3">
        <w:rPr>
          <w:rFonts w:ascii="Verdana" w:eastAsia="Batang" w:hAnsi="Verdana"/>
          <w:sz w:val="20"/>
          <w:szCs w:val="20"/>
          <w:lang w:val="en-US" w:eastAsia="es-ES"/>
        </w:rPr>
        <w:t xml:space="preserve"> </w:t>
      </w:r>
      <w:r w:rsidR="00473A96" w:rsidRPr="00D869E3">
        <w:rPr>
          <w:rFonts w:ascii="Verdana" w:eastAsia="Batang" w:hAnsi="Verdana"/>
          <w:sz w:val="20"/>
          <w:szCs w:val="20"/>
          <w:lang w:val="en-US" w:eastAsia="es-ES"/>
        </w:rPr>
        <w:t>c</w:t>
      </w:r>
      <w:r w:rsidR="00312792" w:rsidRPr="00D869E3">
        <w:rPr>
          <w:rFonts w:ascii="Verdana" w:eastAsia="Batang" w:hAnsi="Verdana"/>
          <w:sz w:val="20"/>
          <w:szCs w:val="20"/>
          <w:lang w:val="en-US" w:eastAsia="es-ES"/>
        </w:rPr>
        <w:t xml:space="preserve">ourt in second instance must be contested by </w:t>
      </w:r>
      <w:r w:rsidR="00BF2968" w:rsidRPr="00D869E3">
        <w:rPr>
          <w:rFonts w:ascii="Verdana" w:eastAsia="Batang" w:hAnsi="Verdana"/>
          <w:sz w:val="20"/>
          <w:szCs w:val="20"/>
          <w:lang w:val="en-US" w:eastAsia="es-ES"/>
        </w:rPr>
        <w:t>an action for annulment</w:t>
      </w:r>
      <w:r w:rsidR="00312792" w:rsidRPr="00D869E3">
        <w:rPr>
          <w:rFonts w:ascii="Verdana" w:eastAsia="Batang" w:hAnsi="Verdana"/>
          <w:sz w:val="20"/>
          <w:szCs w:val="20"/>
          <w:lang w:val="en-US" w:eastAsia="es-ES"/>
        </w:rPr>
        <w:t xml:space="preserve"> rather than an appeal.</w:t>
      </w:r>
      <w:r w:rsidR="007A6FDA" w:rsidRPr="00D869E3">
        <w:rPr>
          <w:rFonts w:ascii="Verdana" w:hAnsi="Verdana"/>
          <w:sz w:val="20"/>
          <w:szCs w:val="20"/>
          <w:vertAlign w:val="superscript"/>
          <w:lang w:val="en-US"/>
        </w:rPr>
        <w:footnoteReference w:id="98"/>
      </w:r>
      <w:r w:rsidR="00312792" w:rsidRPr="00D869E3">
        <w:rPr>
          <w:rFonts w:ascii="Verdana" w:eastAsia="Batang" w:hAnsi="Verdana"/>
          <w:sz w:val="20"/>
          <w:szCs w:val="20"/>
          <w:lang w:val="en-US" w:eastAsia="es-ES"/>
        </w:rPr>
        <w:t xml:space="preserve"> In view of this decision,</w:t>
      </w:r>
      <w:r w:rsidR="007A6FDA" w:rsidRPr="00D869E3">
        <w:rPr>
          <w:rFonts w:ascii="Verdana" w:eastAsia="Batang" w:hAnsi="Verdana"/>
          <w:sz w:val="20"/>
          <w:szCs w:val="20"/>
          <w:lang w:val="en-US" w:eastAsia="es-ES"/>
        </w:rPr>
        <w:t xml:space="preserve"> </w:t>
      </w:r>
      <w:r w:rsidR="001E44D3" w:rsidRPr="00D869E3">
        <w:rPr>
          <w:rFonts w:ascii="Verdana" w:hAnsi="Verdana"/>
          <w:sz w:val="20"/>
          <w:szCs w:val="20"/>
          <w:lang w:val="en-US"/>
        </w:rPr>
        <w:t>Mr. Lagos del Campo</w:t>
      </w:r>
      <w:r w:rsidR="007A6FDA" w:rsidRPr="00D869E3">
        <w:rPr>
          <w:rFonts w:ascii="Verdana" w:hAnsi="Verdana"/>
          <w:sz w:val="20"/>
          <w:szCs w:val="20"/>
          <w:lang w:val="en-US"/>
        </w:rPr>
        <w:t xml:space="preserve"> </w:t>
      </w:r>
      <w:r w:rsidR="00312792" w:rsidRPr="00D869E3">
        <w:rPr>
          <w:rFonts w:ascii="Verdana" w:hAnsi="Verdana"/>
          <w:sz w:val="20"/>
          <w:szCs w:val="20"/>
          <w:lang w:val="en-US"/>
        </w:rPr>
        <w:t xml:space="preserve">requested the President of the Constitutional Court to correct and explain </w:t>
      </w:r>
      <w:r w:rsidR="00473A96" w:rsidRPr="00D869E3">
        <w:rPr>
          <w:rFonts w:ascii="Verdana" w:hAnsi="Verdana"/>
          <w:sz w:val="20"/>
          <w:szCs w:val="20"/>
          <w:lang w:val="en-US"/>
        </w:rPr>
        <w:t>this decision</w:t>
      </w:r>
      <w:r w:rsidR="00312792" w:rsidRPr="00D869E3">
        <w:rPr>
          <w:rFonts w:ascii="Verdana" w:hAnsi="Verdana"/>
          <w:sz w:val="20"/>
          <w:szCs w:val="20"/>
          <w:lang w:val="en-US"/>
        </w:rPr>
        <w:t xml:space="preserve"> on February 25, </w:t>
      </w:r>
      <w:r w:rsidR="007A6FDA" w:rsidRPr="00D869E3">
        <w:rPr>
          <w:rFonts w:ascii="Verdana" w:hAnsi="Verdana"/>
          <w:sz w:val="20"/>
          <w:szCs w:val="20"/>
          <w:lang w:val="en-US"/>
        </w:rPr>
        <w:t>1998</w:t>
      </w:r>
      <w:r w:rsidR="00D20A28" w:rsidRPr="00D869E3">
        <w:rPr>
          <w:rFonts w:ascii="Verdana" w:hAnsi="Verdana"/>
          <w:sz w:val="20"/>
          <w:szCs w:val="20"/>
          <w:lang w:val="en-US"/>
        </w:rPr>
        <w:t>,</w:t>
      </w:r>
      <w:r w:rsidR="007A6FDA" w:rsidRPr="00D869E3">
        <w:rPr>
          <w:rFonts w:ascii="Verdana" w:hAnsi="Verdana"/>
          <w:sz w:val="20"/>
          <w:szCs w:val="20"/>
          <w:lang w:val="en-US"/>
        </w:rPr>
        <w:t xml:space="preserve"> </w:t>
      </w:r>
      <w:r w:rsidR="00312792" w:rsidRPr="00D869E3">
        <w:rPr>
          <w:rFonts w:ascii="Verdana" w:eastAsia="Batang" w:hAnsi="Verdana"/>
          <w:sz w:val="20"/>
          <w:szCs w:val="20"/>
          <w:lang w:val="en-US" w:eastAsia="es-ES"/>
        </w:rPr>
        <w:t>but without obtaining any answer.</w:t>
      </w:r>
      <w:r w:rsidR="007A6FDA" w:rsidRPr="00D869E3">
        <w:rPr>
          <w:rFonts w:ascii="Verdana" w:hAnsi="Verdana"/>
          <w:sz w:val="20"/>
          <w:szCs w:val="20"/>
          <w:vertAlign w:val="superscript"/>
          <w:lang w:val="en-US"/>
        </w:rPr>
        <w:footnoteReference w:id="99"/>
      </w:r>
      <w:r w:rsidR="007A6FDA" w:rsidRPr="00D869E3">
        <w:rPr>
          <w:rFonts w:ascii="Verdana" w:hAnsi="Verdana" w:cs="Arial"/>
          <w:sz w:val="20"/>
          <w:szCs w:val="20"/>
          <w:lang w:val="en-US"/>
        </w:rPr>
        <w:t xml:space="preserve"> </w:t>
      </w:r>
    </w:p>
    <w:p w14:paraId="72DF32B0" w14:textId="77777777" w:rsidR="00275EDE" w:rsidRPr="00D869E3" w:rsidRDefault="00275EDE" w:rsidP="00275EDE">
      <w:pPr>
        <w:jc w:val="both"/>
        <w:rPr>
          <w:rFonts w:ascii="Verdana" w:hAnsi="Verdana"/>
          <w:b/>
          <w:sz w:val="20"/>
          <w:szCs w:val="20"/>
          <w:lang w:val="en-US"/>
        </w:rPr>
      </w:pPr>
    </w:p>
    <w:p w14:paraId="77A87B13" w14:textId="0823F979" w:rsidR="00275EDE" w:rsidRPr="00D869E3" w:rsidRDefault="00312792" w:rsidP="00E66DD7">
      <w:pPr>
        <w:pStyle w:val="Ttulo2"/>
        <w:numPr>
          <w:ilvl w:val="0"/>
          <w:numId w:val="12"/>
        </w:numPr>
        <w:rPr>
          <w:rFonts w:eastAsia="MS Gothic"/>
          <w:i/>
          <w:iCs/>
          <w:szCs w:val="20"/>
          <w:lang w:val="en-US"/>
        </w:rPr>
      </w:pPr>
      <w:bookmarkStart w:id="28" w:name="_Toc29114121"/>
      <w:r w:rsidRPr="00D869E3">
        <w:rPr>
          <w:rFonts w:eastAsia="MS Gothic"/>
          <w:i/>
          <w:iCs/>
          <w:szCs w:val="20"/>
          <w:lang w:val="en-US"/>
        </w:rPr>
        <w:t>The situation of Mr. Lagos del Campo after his dismissal</w:t>
      </w:r>
      <w:bookmarkEnd w:id="28"/>
    </w:p>
    <w:p w14:paraId="158692BF" w14:textId="77777777" w:rsidR="00275EDE" w:rsidRPr="00D869E3" w:rsidRDefault="00275EDE" w:rsidP="00275EDE">
      <w:pPr>
        <w:jc w:val="both"/>
        <w:rPr>
          <w:rFonts w:ascii="Verdana" w:hAnsi="Verdana"/>
          <w:sz w:val="20"/>
          <w:szCs w:val="20"/>
          <w:lang w:val="en-US"/>
        </w:rPr>
      </w:pPr>
    </w:p>
    <w:p w14:paraId="76BFD0A0" w14:textId="4B3B592B" w:rsidR="00602F2B" w:rsidRPr="00D869E3" w:rsidRDefault="007A6FDA" w:rsidP="00602F2B">
      <w:pPr>
        <w:pStyle w:val="Prrafodelista"/>
        <w:numPr>
          <w:ilvl w:val="0"/>
          <w:numId w:val="1"/>
        </w:numPr>
        <w:ind w:left="11" w:hanging="11"/>
        <w:jc w:val="both"/>
        <w:rPr>
          <w:rFonts w:ascii="Verdana" w:hAnsi="Verdana"/>
          <w:b/>
          <w:sz w:val="20"/>
          <w:szCs w:val="20"/>
          <w:lang w:val="en-US"/>
        </w:rPr>
      </w:pPr>
      <w:r w:rsidRPr="00D869E3">
        <w:rPr>
          <w:rFonts w:ascii="Verdana" w:hAnsi="Verdana"/>
          <w:color w:val="000000"/>
          <w:sz w:val="20"/>
          <w:szCs w:val="20"/>
          <w:lang w:val="en-US"/>
        </w:rPr>
        <w:t>A</w:t>
      </w:r>
      <w:r w:rsidR="00312792" w:rsidRPr="00D869E3">
        <w:rPr>
          <w:rFonts w:ascii="Verdana" w:hAnsi="Verdana"/>
          <w:color w:val="000000"/>
          <w:sz w:val="20"/>
          <w:szCs w:val="20"/>
          <w:lang w:val="en-US"/>
        </w:rPr>
        <w:t xml:space="preserve">t the time of his dismissal in 1989, Mr. </w:t>
      </w:r>
      <w:r w:rsidRPr="00D869E3">
        <w:rPr>
          <w:rFonts w:ascii="Verdana" w:hAnsi="Verdana"/>
          <w:color w:val="000000"/>
          <w:sz w:val="20"/>
          <w:szCs w:val="20"/>
          <w:lang w:val="en-US"/>
        </w:rPr>
        <w:t xml:space="preserve">Lagos del Campo </w:t>
      </w:r>
      <w:r w:rsidR="00312792" w:rsidRPr="00D869E3">
        <w:rPr>
          <w:rFonts w:ascii="Verdana" w:hAnsi="Verdana"/>
          <w:color w:val="000000"/>
          <w:sz w:val="20"/>
          <w:szCs w:val="20"/>
          <w:lang w:val="en-US"/>
        </w:rPr>
        <w:t xml:space="preserve">was 50 years </w:t>
      </w:r>
      <w:r w:rsidR="00473A96" w:rsidRPr="00D869E3">
        <w:rPr>
          <w:rFonts w:ascii="Verdana" w:hAnsi="Verdana"/>
          <w:color w:val="000000"/>
          <w:sz w:val="20"/>
          <w:szCs w:val="20"/>
          <w:lang w:val="en-US"/>
        </w:rPr>
        <w:t>old</w:t>
      </w:r>
      <w:r w:rsidR="00312792" w:rsidRPr="00D869E3">
        <w:rPr>
          <w:rFonts w:ascii="Verdana" w:hAnsi="Verdana"/>
          <w:color w:val="000000"/>
          <w:sz w:val="20"/>
          <w:szCs w:val="20"/>
          <w:lang w:val="en-US"/>
        </w:rPr>
        <w:t xml:space="preserve"> and had 14 children, six</w:t>
      </w:r>
      <w:r w:rsidR="00473A96" w:rsidRPr="00D869E3">
        <w:rPr>
          <w:rFonts w:ascii="Verdana" w:hAnsi="Verdana"/>
          <w:color w:val="000000"/>
          <w:sz w:val="20"/>
          <w:szCs w:val="20"/>
          <w:lang w:val="en-US"/>
        </w:rPr>
        <w:t xml:space="preserve"> of whom</w:t>
      </w:r>
      <w:r w:rsidR="00312792" w:rsidRPr="00D869E3">
        <w:rPr>
          <w:rFonts w:ascii="Verdana" w:hAnsi="Verdana"/>
          <w:color w:val="000000"/>
          <w:sz w:val="20"/>
          <w:szCs w:val="20"/>
          <w:lang w:val="en-US"/>
        </w:rPr>
        <w:t xml:space="preserve"> were of school age. According to the information provided by the representatives, and undisputed by the State, after his dismissal, </w:t>
      </w:r>
      <w:r w:rsidR="00312792" w:rsidRPr="00D869E3">
        <w:rPr>
          <w:rFonts w:ascii="Verdana" w:hAnsi="Verdana"/>
          <w:sz w:val="20"/>
          <w:szCs w:val="20"/>
          <w:lang w:val="en-US"/>
        </w:rPr>
        <w:t>Mr. Lagos del Campo was unable to access all the social security benefits that depended on his employment. Mr. Lagos</w:t>
      </w:r>
      <w:r w:rsidRPr="00D869E3">
        <w:rPr>
          <w:rFonts w:ascii="Verdana" w:hAnsi="Verdana"/>
          <w:sz w:val="20"/>
          <w:szCs w:val="20"/>
          <w:lang w:val="en-US"/>
        </w:rPr>
        <w:t xml:space="preserve"> </w:t>
      </w:r>
      <w:r w:rsidR="00312792" w:rsidRPr="00D869E3">
        <w:rPr>
          <w:rFonts w:ascii="Verdana" w:hAnsi="Verdana"/>
          <w:sz w:val="20"/>
          <w:szCs w:val="20"/>
          <w:lang w:val="en-US"/>
        </w:rPr>
        <w:t xml:space="preserve">underscored in the statement he gave during the </w:t>
      </w:r>
      <w:r w:rsidR="00473A96" w:rsidRPr="00D869E3">
        <w:rPr>
          <w:rFonts w:ascii="Verdana" w:hAnsi="Verdana"/>
          <w:sz w:val="20"/>
          <w:szCs w:val="20"/>
          <w:lang w:val="en-US"/>
        </w:rPr>
        <w:t xml:space="preserve">public </w:t>
      </w:r>
      <w:r w:rsidR="00312792" w:rsidRPr="00D869E3">
        <w:rPr>
          <w:rFonts w:ascii="Verdana" w:hAnsi="Verdana"/>
          <w:sz w:val="20"/>
          <w:szCs w:val="20"/>
          <w:lang w:val="en-US"/>
        </w:rPr>
        <w:t xml:space="preserve">hearing that </w:t>
      </w:r>
      <w:r w:rsidR="00602F2B" w:rsidRPr="00D869E3">
        <w:rPr>
          <w:rFonts w:ascii="Verdana" w:hAnsi="Verdana"/>
          <w:sz w:val="20"/>
          <w:szCs w:val="20"/>
          <w:lang w:val="en-US"/>
        </w:rPr>
        <w:t>“according to the law, [he] would have been entitled to a decent subsistence pension in five more years</w:t>
      </w:r>
      <w:r w:rsidR="00473A96" w:rsidRPr="00D869E3">
        <w:rPr>
          <w:rFonts w:ascii="Verdana" w:hAnsi="Verdana"/>
          <w:sz w:val="20"/>
          <w:szCs w:val="20"/>
          <w:lang w:val="en-US"/>
        </w:rPr>
        <w:t>,</w:t>
      </w:r>
      <w:r w:rsidR="006436CA" w:rsidRPr="00D869E3">
        <w:rPr>
          <w:rFonts w:ascii="Verdana" w:hAnsi="Verdana"/>
          <w:sz w:val="20"/>
          <w:szCs w:val="20"/>
          <w:lang w:val="en-US"/>
        </w:rPr>
        <w:t>”</w:t>
      </w:r>
      <w:r w:rsidRPr="00D869E3">
        <w:rPr>
          <w:rFonts w:ascii="Verdana" w:hAnsi="Verdana"/>
          <w:sz w:val="20"/>
          <w:szCs w:val="20"/>
          <w:vertAlign w:val="superscript"/>
          <w:lang w:val="en-US"/>
        </w:rPr>
        <w:footnoteReference w:id="100"/>
      </w:r>
      <w:r w:rsidRPr="00D869E3">
        <w:rPr>
          <w:rFonts w:ascii="Verdana" w:hAnsi="Verdana"/>
          <w:sz w:val="20"/>
          <w:szCs w:val="20"/>
          <w:lang w:val="en-US"/>
        </w:rPr>
        <w:t xml:space="preserve"> </w:t>
      </w:r>
      <w:r w:rsidR="00602F2B" w:rsidRPr="00D869E3">
        <w:rPr>
          <w:rFonts w:ascii="Verdana" w:hAnsi="Verdana"/>
          <w:sz w:val="20"/>
          <w:szCs w:val="20"/>
          <w:lang w:val="en-US"/>
        </w:rPr>
        <w:t>having worked in the company for more than 13 years. The economic hardships of the times, his age, and the circumstances of his dismissal, prevented him from obtaining stable employment as an electrician and receiving adequate wages to support his family.</w:t>
      </w:r>
    </w:p>
    <w:p w14:paraId="790FEE35" w14:textId="77777777" w:rsidR="007A6FDA" w:rsidRPr="00D869E3" w:rsidRDefault="007A6FDA" w:rsidP="007A6FDA">
      <w:pPr>
        <w:jc w:val="both"/>
        <w:rPr>
          <w:rFonts w:ascii="Verdana" w:hAnsi="Verdana"/>
          <w:b/>
          <w:sz w:val="20"/>
          <w:szCs w:val="20"/>
          <w:lang w:val="en-US"/>
        </w:rPr>
      </w:pPr>
    </w:p>
    <w:p w14:paraId="733255C5" w14:textId="2D517A9C" w:rsidR="007A6FDA" w:rsidRPr="00D869E3" w:rsidRDefault="00473A96" w:rsidP="00602F2B">
      <w:pPr>
        <w:pStyle w:val="Prrafodelista"/>
        <w:numPr>
          <w:ilvl w:val="0"/>
          <w:numId w:val="1"/>
        </w:numPr>
        <w:ind w:left="0" w:hanging="11"/>
        <w:jc w:val="both"/>
        <w:rPr>
          <w:rFonts w:ascii="Verdana" w:hAnsi="Verdana"/>
          <w:b/>
          <w:sz w:val="20"/>
          <w:szCs w:val="20"/>
          <w:lang w:val="en-US"/>
        </w:rPr>
      </w:pPr>
      <w:r w:rsidRPr="00D869E3">
        <w:rPr>
          <w:rFonts w:ascii="Verdana" w:hAnsi="Verdana"/>
          <w:color w:val="000000"/>
          <w:sz w:val="20"/>
          <w:szCs w:val="20"/>
          <w:lang w:val="en-US"/>
        </w:rPr>
        <w:t>Mr</w:t>
      </w:r>
      <w:r w:rsidR="001E44D3" w:rsidRPr="00D869E3">
        <w:rPr>
          <w:rFonts w:ascii="Verdana" w:hAnsi="Verdana" w:cs="Arial"/>
          <w:sz w:val="20"/>
          <w:szCs w:val="20"/>
          <w:lang w:val="en-US"/>
        </w:rPr>
        <w:t>. Lagos del Campo</w:t>
      </w:r>
      <w:r w:rsidRPr="00D869E3">
        <w:rPr>
          <w:rFonts w:ascii="Verdana" w:hAnsi="Verdana" w:cs="Arial"/>
          <w:sz w:val="20"/>
          <w:szCs w:val="20"/>
          <w:lang w:val="en-US"/>
        </w:rPr>
        <w:t xml:space="preserve"> also</w:t>
      </w:r>
      <w:r w:rsidR="00602F2B" w:rsidRPr="00D869E3">
        <w:rPr>
          <w:rFonts w:ascii="Verdana" w:hAnsi="Verdana" w:cs="Arial"/>
          <w:sz w:val="20"/>
          <w:szCs w:val="20"/>
          <w:lang w:val="en-US"/>
        </w:rPr>
        <w:t xml:space="preserve"> stated during the hearing that his dismissal “resulted in harm to</w:t>
      </w:r>
      <w:r w:rsidRPr="00D869E3">
        <w:rPr>
          <w:rFonts w:ascii="Verdana" w:hAnsi="Verdana" w:cs="Arial"/>
          <w:sz w:val="20"/>
          <w:szCs w:val="20"/>
          <w:lang w:val="en-US"/>
        </w:rPr>
        <w:t xml:space="preserve"> both</w:t>
      </w:r>
      <w:r w:rsidR="00602F2B" w:rsidRPr="00D869E3">
        <w:rPr>
          <w:rFonts w:ascii="Verdana" w:hAnsi="Verdana" w:cs="Arial"/>
          <w:sz w:val="20"/>
          <w:szCs w:val="20"/>
          <w:lang w:val="en-US"/>
        </w:rPr>
        <w:t xml:space="preserve"> [his] labor</w:t>
      </w:r>
      <w:r w:rsidRPr="00D869E3">
        <w:rPr>
          <w:rFonts w:ascii="Verdana" w:hAnsi="Verdana" w:cs="Arial"/>
          <w:sz w:val="20"/>
          <w:szCs w:val="20"/>
          <w:lang w:val="en-US"/>
        </w:rPr>
        <w:t xml:space="preserve"> rights</w:t>
      </w:r>
      <w:r w:rsidR="00602F2B" w:rsidRPr="00D869E3">
        <w:rPr>
          <w:rFonts w:ascii="Verdana" w:hAnsi="Verdana" w:cs="Arial"/>
          <w:sz w:val="20"/>
          <w:szCs w:val="20"/>
          <w:lang w:val="en-US"/>
        </w:rPr>
        <w:t xml:space="preserve"> and </w:t>
      </w:r>
      <w:r w:rsidRPr="00D869E3">
        <w:rPr>
          <w:rFonts w:ascii="Verdana" w:hAnsi="Verdana" w:cs="Arial"/>
          <w:sz w:val="20"/>
          <w:szCs w:val="20"/>
          <w:lang w:val="en-US"/>
        </w:rPr>
        <w:t>[</w:t>
      </w:r>
      <w:r w:rsidR="00602F2B" w:rsidRPr="00D869E3">
        <w:rPr>
          <w:rFonts w:ascii="Verdana" w:hAnsi="Verdana" w:cs="Arial"/>
          <w:sz w:val="20"/>
          <w:szCs w:val="20"/>
          <w:lang w:val="en-US"/>
        </w:rPr>
        <w:t>his</w:t>
      </w:r>
      <w:r w:rsidRPr="00D869E3">
        <w:rPr>
          <w:rFonts w:ascii="Verdana" w:hAnsi="Verdana" w:cs="Arial"/>
          <w:sz w:val="20"/>
          <w:szCs w:val="20"/>
          <w:lang w:val="en-US"/>
        </w:rPr>
        <w:t>]</w:t>
      </w:r>
      <w:r w:rsidR="00602F2B" w:rsidRPr="00D869E3">
        <w:rPr>
          <w:rFonts w:ascii="Verdana" w:hAnsi="Verdana" w:cs="Arial"/>
          <w:sz w:val="20"/>
          <w:szCs w:val="20"/>
          <w:lang w:val="en-US"/>
        </w:rPr>
        <w:t xml:space="preserve"> human rights” and added that, following his dismissal, he had no employment possibilities “because there were no jobs for workers who were over 50 years of age</w:t>
      </w:r>
      <w:r w:rsidR="007A6FDA" w:rsidRPr="00D869E3">
        <w:rPr>
          <w:rFonts w:ascii="Verdana" w:hAnsi="Verdana"/>
          <w:sz w:val="20"/>
          <w:szCs w:val="20"/>
          <w:lang w:val="en-US"/>
        </w:rPr>
        <w:t xml:space="preserve"> </w:t>
      </w:r>
      <w:r w:rsidR="007A6FDA" w:rsidRPr="00D869E3">
        <w:rPr>
          <w:rFonts w:ascii="Verdana" w:hAnsi="Verdana"/>
          <w:iCs/>
          <w:color w:val="000000"/>
          <w:sz w:val="20"/>
          <w:szCs w:val="20"/>
          <w:lang w:val="en-US"/>
        </w:rPr>
        <w:t>[…] [</w:t>
      </w:r>
      <w:r w:rsidR="00602F2B" w:rsidRPr="00D869E3">
        <w:rPr>
          <w:rFonts w:ascii="Verdana" w:hAnsi="Verdana"/>
          <w:iCs/>
          <w:color w:val="000000"/>
          <w:sz w:val="20"/>
          <w:szCs w:val="20"/>
          <w:lang w:val="en-US"/>
        </w:rPr>
        <w:t>s</w:t>
      </w:r>
      <w:r w:rsidR="007A6FDA" w:rsidRPr="00D869E3">
        <w:rPr>
          <w:rFonts w:ascii="Verdana" w:hAnsi="Verdana"/>
          <w:iCs/>
          <w:color w:val="000000"/>
          <w:sz w:val="20"/>
          <w:szCs w:val="20"/>
          <w:lang w:val="en-US"/>
        </w:rPr>
        <w:t>]</w:t>
      </w:r>
      <w:r w:rsidR="00602F2B" w:rsidRPr="00D869E3">
        <w:rPr>
          <w:rFonts w:ascii="Verdana" w:hAnsi="Verdana"/>
          <w:iCs/>
          <w:color w:val="000000"/>
          <w:sz w:val="20"/>
          <w:szCs w:val="20"/>
          <w:lang w:val="en-US"/>
        </w:rPr>
        <w:t>o that there were no stable and profitable jobs to maintain a household and a family.</w:t>
      </w:r>
      <w:r w:rsidR="00602F2B" w:rsidRPr="00D869E3">
        <w:rPr>
          <w:rFonts w:ascii="Verdana" w:hAnsi="Verdana"/>
          <w:sz w:val="20"/>
          <w:szCs w:val="20"/>
          <w:lang w:val="en-US"/>
        </w:rPr>
        <w:t>”</w:t>
      </w:r>
      <w:r w:rsidR="007A6FDA" w:rsidRPr="00D869E3">
        <w:rPr>
          <w:rFonts w:ascii="Verdana" w:hAnsi="Verdana"/>
          <w:b/>
          <w:sz w:val="20"/>
          <w:szCs w:val="20"/>
          <w:lang w:val="en-US"/>
        </w:rPr>
        <w:t xml:space="preserve"> </w:t>
      </w:r>
      <w:r w:rsidR="00A674A7" w:rsidRPr="00D869E3">
        <w:rPr>
          <w:rFonts w:ascii="Verdana" w:hAnsi="Verdana"/>
          <w:sz w:val="20"/>
          <w:szCs w:val="20"/>
          <w:lang w:val="en-US"/>
        </w:rPr>
        <w:t>Nowadays, both his financial status</w:t>
      </w:r>
      <w:r w:rsidR="008C770D" w:rsidRPr="00D869E3">
        <w:rPr>
          <w:rFonts w:ascii="Verdana" w:hAnsi="Verdana"/>
          <w:sz w:val="20"/>
          <w:szCs w:val="20"/>
          <w:vertAlign w:val="superscript"/>
          <w:lang w:val="en-US"/>
        </w:rPr>
        <w:footnoteReference w:id="101"/>
      </w:r>
      <w:r w:rsidR="00687684" w:rsidRPr="00D869E3">
        <w:rPr>
          <w:rFonts w:ascii="Verdana" w:hAnsi="Verdana"/>
          <w:sz w:val="20"/>
          <w:szCs w:val="20"/>
          <w:lang w:val="en-US"/>
        </w:rPr>
        <w:t xml:space="preserve"> and </w:t>
      </w:r>
      <w:r w:rsidR="00A674A7" w:rsidRPr="00D869E3">
        <w:rPr>
          <w:rFonts w:ascii="Verdana" w:hAnsi="Verdana"/>
          <w:sz w:val="20"/>
          <w:szCs w:val="20"/>
          <w:lang w:val="en-US"/>
        </w:rPr>
        <w:t>his health are precarious.</w:t>
      </w:r>
      <w:r w:rsidR="007A6FDA" w:rsidRPr="00D869E3">
        <w:rPr>
          <w:rFonts w:ascii="Verdana" w:hAnsi="Verdana"/>
          <w:sz w:val="20"/>
          <w:szCs w:val="20"/>
          <w:vertAlign w:val="superscript"/>
          <w:lang w:val="en-US"/>
        </w:rPr>
        <w:footnoteReference w:id="102"/>
      </w:r>
      <w:r w:rsidR="007A6FDA" w:rsidRPr="00D869E3">
        <w:rPr>
          <w:rFonts w:ascii="Verdana" w:hAnsi="Verdana" w:cs="Arial"/>
          <w:sz w:val="20"/>
          <w:szCs w:val="20"/>
          <w:lang w:val="en-US"/>
        </w:rPr>
        <w:t xml:space="preserve"> </w:t>
      </w:r>
    </w:p>
    <w:p w14:paraId="1D501058" w14:textId="77777777" w:rsidR="00275EDE" w:rsidRPr="00D869E3" w:rsidRDefault="00275EDE" w:rsidP="0089179B">
      <w:pPr>
        <w:pStyle w:val="Prrafodelista"/>
        <w:ind w:left="0"/>
        <w:jc w:val="both"/>
        <w:rPr>
          <w:rFonts w:ascii="Verdana" w:hAnsi="Verdana"/>
          <w:lang w:val="en-US"/>
        </w:rPr>
      </w:pPr>
    </w:p>
    <w:p w14:paraId="1B3EE87E" w14:textId="72B2F87D" w:rsidR="00D33760" w:rsidRPr="00D869E3" w:rsidRDefault="00374FC9" w:rsidP="00D33760">
      <w:pPr>
        <w:pStyle w:val="Ttulo1"/>
        <w:tabs>
          <w:tab w:val="left" w:pos="851"/>
        </w:tabs>
        <w:spacing w:before="0"/>
        <w:jc w:val="center"/>
        <w:rPr>
          <w:rFonts w:cs="Verdana"/>
          <w:caps/>
          <w:snapToGrid w:val="0"/>
          <w:szCs w:val="20"/>
          <w:lang w:val="en-US"/>
        </w:rPr>
      </w:pPr>
      <w:bookmarkStart w:id="29" w:name="_Toc29114122"/>
      <w:r w:rsidRPr="00D869E3">
        <w:rPr>
          <w:rFonts w:cs="Verdana"/>
          <w:caps/>
          <w:snapToGrid w:val="0"/>
          <w:szCs w:val="20"/>
          <w:lang w:val="en-US"/>
        </w:rPr>
        <w:t>Vi</w:t>
      </w:r>
      <w:r w:rsidR="00D33760" w:rsidRPr="00D869E3">
        <w:rPr>
          <w:rFonts w:cs="Verdana"/>
          <w:caps/>
          <w:snapToGrid w:val="0"/>
          <w:szCs w:val="20"/>
          <w:lang w:val="en-US"/>
        </w:rPr>
        <w:t>I</w:t>
      </w:r>
      <w:r w:rsidR="00D33760" w:rsidRPr="00D869E3">
        <w:rPr>
          <w:rFonts w:cs="Verdana"/>
          <w:caps/>
          <w:snapToGrid w:val="0"/>
          <w:szCs w:val="20"/>
          <w:lang w:val="en-US"/>
        </w:rPr>
        <w:br/>
      </w:r>
      <w:r w:rsidR="00A674A7" w:rsidRPr="00D869E3">
        <w:rPr>
          <w:rFonts w:cs="Verdana"/>
          <w:caps/>
          <w:snapToGrid w:val="0"/>
          <w:szCs w:val="20"/>
          <w:lang w:val="en-US"/>
        </w:rPr>
        <w:t>Merits</w:t>
      </w:r>
      <w:bookmarkEnd w:id="29"/>
    </w:p>
    <w:p w14:paraId="5769FAD8" w14:textId="77777777" w:rsidR="00D33760" w:rsidRPr="00D869E3" w:rsidRDefault="00D33760" w:rsidP="00D33760">
      <w:pPr>
        <w:rPr>
          <w:rFonts w:ascii="Verdana" w:hAnsi="Verdana"/>
          <w:sz w:val="20"/>
          <w:szCs w:val="20"/>
          <w:lang w:val="en-US"/>
        </w:rPr>
      </w:pPr>
    </w:p>
    <w:p w14:paraId="38FF1881" w14:textId="26022B8E" w:rsidR="00E62F6C" w:rsidRPr="00D869E3" w:rsidRDefault="00A674A7" w:rsidP="00966115">
      <w:pPr>
        <w:pStyle w:val="Prrafodelista"/>
        <w:numPr>
          <w:ilvl w:val="0"/>
          <w:numId w:val="1"/>
        </w:numPr>
        <w:ind w:left="0" w:firstLine="0"/>
        <w:jc w:val="both"/>
        <w:rPr>
          <w:rFonts w:ascii="Verdana" w:hAnsi="Verdana"/>
          <w:sz w:val="20"/>
          <w:szCs w:val="20"/>
          <w:lang w:val="en-US"/>
        </w:rPr>
      </w:pPr>
      <w:r w:rsidRPr="00D869E3">
        <w:rPr>
          <w:rFonts w:ascii="Verdana" w:hAnsi="Verdana"/>
          <w:sz w:val="20"/>
          <w:szCs w:val="20"/>
          <w:lang w:val="en-US"/>
        </w:rPr>
        <w:t xml:space="preserve">This case relates to the dismissal of </w:t>
      </w:r>
      <w:r w:rsidR="00E62F6C" w:rsidRPr="00D869E3">
        <w:rPr>
          <w:rFonts w:ascii="Verdana" w:hAnsi="Verdana"/>
          <w:sz w:val="20"/>
          <w:szCs w:val="20"/>
          <w:lang w:val="en-US"/>
        </w:rPr>
        <w:t xml:space="preserve">Alfredo Lagos del Campo </w:t>
      </w:r>
      <w:r w:rsidRPr="00D869E3">
        <w:rPr>
          <w:rFonts w:ascii="Verdana" w:hAnsi="Verdana"/>
          <w:sz w:val="20"/>
          <w:szCs w:val="20"/>
          <w:lang w:val="en-US"/>
        </w:rPr>
        <w:t>on</w:t>
      </w:r>
      <w:r w:rsidR="00E62F6C" w:rsidRPr="00D869E3">
        <w:rPr>
          <w:rFonts w:ascii="Verdana" w:hAnsi="Verdana"/>
          <w:sz w:val="20"/>
          <w:szCs w:val="20"/>
          <w:lang w:val="en-US"/>
        </w:rPr>
        <w:t xml:space="preserve"> </w:t>
      </w:r>
      <w:r w:rsidR="00852CCA" w:rsidRPr="00D869E3">
        <w:rPr>
          <w:rFonts w:ascii="Verdana" w:hAnsi="Verdana"/>
          <w:sz w:val="20"/>
          <w:szCs w:val="20"/>
          <w:lang w:val="en-US"/>
        </w:rPr>
        <w:t>June 26,</w:t>
      </w:r>
      <w:r w:rsidR="00E62F6C" w:rsidRPr="00D869E3">
        <w:rPr>
          <w:rFonts w:ascii="Verdana" w:hAnsi="Verdana"/>
          <w:sz w:val="20"/>
          <w:szCs w:val="20"/>
          <w:lang w:val="en-US"/>
        </w:rPr>
        <w:t xml:space="preserve"> 1989</w:t>
      </w:r>
      <w:r w:rsidRPr="00D869E3">
        <w:rPr>
          <w:rFonts w:ascii="Verdana" w:hAnsi="Verdana"/>
          <w:sz w:val="20"/>
          <w:szCs w:val="20"/>
          <w:lang w:val="en-US"/>
        </w:rPr>
        <w:t xml:space="preserve">, as a result of statements made during an interview for the </w:t>
      </w:r>
      <w:r w:rsidR="00E91CF4" w:rsidRPr="00D869E3">
        <w:rPr>
          <w:rFonts w:ascii="Verdana" w:hAnsi="Verdana"/>
          <w:sz w:val="20"/>
          <w:szCs w:val="20"/>
          <w:lang w:val="en-US"/>
        </w:rPr>
        <w:t>newspaper</w:t>
      </w:r>
      <w:r w:rsidRPr="00D869E3">
        <w:rPr>
          <w:rFonts w:ascii="Verdana" w:hAnsi="Verdana"/>
          <w:sz w:val="20"/>
          <w:szCs w:val="20"/>
          <w:lang w:val="en-US"/>
        </w:rPr>
        <w:t xml:space="preserve"> </w:t>
      </w:r>
      <w:r w:rsidR="006436CA" w:rsidRPr="00D869E3">
        <w:rPr>
          <w:rFonts w:ascii="Verdana" w:hAnsi="Verdana"/>
          <w:sz w:val="20"/>
          <w:szCs w:val="20"/>
          <w:lang w:val="en-US"/>
        </w:rPr>
        <w:t>“</w:t>
      </w:r>
      <w:r w:rsidR="00E62F6C" w:rsidRPr="00D869E3">
        <w:rPr>
          <w:rFonts w:ascii="Verdana" w:hAnsi="Verdana"/>
          <w:i/>
          <w:iCs/>
          <w:sz w:val="20"/>
          <w:szCs w:val="20"/>
          <w:lang w:val="en-US"/>
        </w:rPr>
        <w:t>La Razón</w:t>
      </w:r>
      <w:r w:rsidRPr="00D869E3">
        <w:rPr>
          <w:rFonts w:ascii="Verdana" w:hAnsi="Verdana"/>
          <w:sz w:val="20"/>
          <w:szCs w:val="20"/>
          <w:lang w:val="en-US"/>
        </w:rPr>
        <w:t>.</w:t>
      </w:r>
      <w:r w:rsidR="006436CA" w:rsidRPr="00D869E3">
        <w:rPr>
          <w:rFonts w:ascii="Verdana" w:hAnsi="Verdana"/>
          <w:sz w:val="20"/>
          <w:szCs w:val="20"/>
          <w:lang w:val="en-US"/>
        </w:rPr>
        <w:t>”</w:t>
      </w:r>
      <w:r w:rsidRPr="00D869E3">
        <w:rPr>
          <w:rFonts w:ascii="Verdana" w:hAnsi="Verdana"/>
          <w:sz w:val="20"/>
          <w:szCs w:val="20"/>
          <w:lang w:val="en-US"/>
        </w:rPr>
        <w:t xml:space="preserve"> This interview was </w:t>
      </w:r>
      <w:r w:rsidR="00E62F6C" w:rsidRPr="00D869E3">
        <w:rPr>
          <w:rFonts w:ascii="Verdana" w:hAnsi="Verdana"/>
          <w:sz w:val="20"/>
          <w:szCs w:val="20"/>
          <w:lang w:val="en-US"/>
        </w:rPr>
        <w:t xml:space="preserve"> </w:t>
      </w:r>
      <w:r w:rsidRPr="00D869E3">
        <w:rPr>
          <w:rFonts w:ascii="Verdana" w:hAnsi="Verdana"/>
          <w:sz w:val="20"/>
          <w:szCs w:val="20"/>
          <w:lang w:val="en-US"/>
        </w:rPr>
        <w:t xml:space="preserve">given when he was </w:t>
      </w:r>
      <w:r w:rsidR="001B0492" w:rsidRPr="00D869E3">
        <w:rPr>
          <w:rFonts w:ascii="Verdana" w:hAnsi="Verdana"/>
          <w:sz w:val="20"/>
          <w:szCs w:val="20"/>
          <w:lang w:val="en-US"/>
        </w:rPr>
        <w:t>president of the Electoral</w:t>
      </w:r>
      <w:r w:rsidR="00EA232B" w:rsidRPr="00D869E3">
        <w:rPr>
          <w:rFonts w:ascii="Verdana" w:hAnsi="Verdana"/>
          <w:sz w:val="20"/>
          <w:szCs w:val="20"/>
          <w:lang w:val="en-US"/>
        </w:rPr>
        <w:t xml:space="preserve"> Committee of the Industrial Community</w:t>
      </w:r>
      <w:r w:rsidR="00E62F6C" w:rsidRPr="00D869E3">
        <w:rPr>
          <w:rFonts w:ascii="Verdana" w:hAnsi="Verdana"/>
          <w:sz w:val="20"/>
          <w:szCs w:val="20"/>
          <w:lang w:val="en-US"/>
        </w:rPr>
        <w:t xml:space="preserve"> </w:t>
      </w:r>
      <w:r w:rsidR="00966115" w:rsidRPr="00D869E3">
        <w:rPr>
          <w:rFonts w:ascii="Verdana" w:hAnsi="Verdana"/>
          <w:sz w:val="20"/>
          <w:szCs w:val="20"/>
          <w:lang w:val="en-US"/>
        </w:rPr>
        <w:t xml:space="preserve">of the </w:t>
      </w:r>
      <w:r w:rsidR="00966115" w:rsidRPr="00D869E3">
        <w:rPr>
          <w:rFonts w:ascii="Verdana" w:hAnsi="Verdana"/>
          <w:sz w:val="20"/>
          <w:szCs w:val="20"/>
          <w:lang w:val="en-US"/>
        </w:rPr>
        <w:lastRenderedPageBreak/>
        <w:t xml:space="preserve">company, </w:t>
      </w:r>
      <w:r w:rsidR="00E62F6C" w:rsidRPr="00D869E3">
        <w:rPr>
          <w:rFonts w:ascii="Verdana" w:hAnsi="Verdana"/>
          <w:sz w:val="20"/>
          <w:szCs w:val="20"/>
          <w:lang w:val="en-US"/>
        </w:rPr>
        <w:t>Ceper-Pirelli,</w:t>
      </w:r>
      <w:r w:rsidR="00687684" w:rsidRPr="00D869E3">
        <w:rPr>
          <w:rFonts w:ascii="Verdana" w:hAnsi="Verdana"/>
          <w:sz w:val="20"/>
          <w:szCs w:val="20"/>
          <w:lang w:val="en-US"/>
        </w:rPr>
        <w:t xml:space="preserve"> and </w:t>
      </w:r>
      <w:r w:rsidR="00966115" w:rsidRPr="00D869E3">
        <w:rPr>
          <w:rFonts w:ascii="Verdana" w:hAnsi="Verdana"/>
          <w:sz w:val="20"/>
          <w:szCs w:val="20"/>
          <w:lang w:val="en-US"/>
        </w:rPr>
        <w:t>in it he reported,</w:t>
      </w:r>
      <w:r w:rsidR="00E62F6C" w:rsidRPr="00D869E3">
        <w:rPr>
          <w:rFonts w:ascii="Verdana" w:hAnsi="Verdana"/>
          <w:sz w:val="20"/>
          <w:szCs w:val="20"/>
          <w:lang w:val="en-US"/>
        </w:rPr>
        <w:t xml:space="preserve"> </w:t>
      </w:r>
      <w:r w:rsidR="00004729" w:rsidRPr="00D869E3">
        <w:rPr>
          <w:rFonts w:ascii="Verdana" w:hAnsi="Verdana"/>
          <w:i/>
          <w:sz w:val="20"/>
          <w:szCs w:val="20"/>
          <w:lang w:val="en-US"/>
        </w:rPr>
        <w:t>inter alia</w:t>
      </w:r>
      <w:r w:rsidR="00004729" w:rsidRPr="00D869E3">
        <w:rPr>
          <w:rFonts w:ascii="Verdana" w:hAnsi="Verdana"/>
          <w:sz w:val="20"/>
          <w:szCs w:val="20"/>
          <w:lang w:val="en-US"/>
        </w:rPr>
        <w:t xml:space="preserve">, </w:t>
      </w:r>
      <w:r w:rsidR="00966115" w:rsidRPr="00D869E3">
        <w:rPr>
          <w:rFonts w:ascii="Verdana" w:hAnsi="Verdana"/>
          <w:sz w:val="20"/>
          <w:szCs w:val="20"/>
          <w:lang w:val="en-US"/>
        </w:rPr>
        <w:t>that the company’s Board had presumably used “blackmail and coercion” to hold “fraudulent elections outside the purview of the</w:t>
      </w:r>
      <w:r w:rsidR="00EA232B" w:rsidRPr="00D869E3">
        <w:rPr>
          <w:rFonts w:ascii="Verdana" w:hAnsi="Verdana"/>
          <w:sz w:val="20"/>
          <w:szCs w:val="20"/>
          <w:lang w:val="en-US"/>
        </w:rPr>
        <w:t xml:space="preserve"> Electoral Committee</w:t>
      </w:r>
      <w:r w:rsidR="006436CA" w:rsidRPr="00D869E3">
        <w:rPr>
          <w:rFonts w:ascii="Verdana" w:hAnsi="Verdana"/>
          <w:sz w:val="20"/>
          <w:szCs w:val="20"/>
          <w:lang w:val="en-US"/>
        </w:rPr>
        <w:t>”</w:t>
      </w:r>
      <w:r w:rsidR="00E62F6C" w:rsidRPr="00D869E3">
        <w:rPr>
          <w:rFonts w:ascii="Verdana" w:hAnsi="Verdana"/>
          <w:sz w:val="20"/>
          <w:szCs w:val="20"/>
          <w:lang w:val="en-US"/>
        </w:rPr>
        <w:t xml:space="preserve"> (</w:t>
      </w:r>
      <w:r w:rsidR="00224537" w:rsidRPr="00D869E3">
        <w:rPr>
          <w:rFonts w:ascii="Verdana" w:hAnsi="Verdana"/>
          <w:i/>
          <w:sz w:val="20"/>
          <w:szCs w:val="20"/>
          <w:lang w:val="en-US"/>
        </w:rPr>
        <w:t>supra</w:t>
      </w:r>
      <w:r w:rsidR="00E62F6C" w:rsidRPr="00D869E3">
        <w:rPr>
          <w:rFonts w:ascii="Verdana" w:hAnsi="Verdana"/>
          <w:sz w:val="20"/>
          <w:szCs w:val="20"/>
          <w:lang w:val="en-US"/>
        </w:rPr>
        <w:t xml:space="preserve"> </w:t>
      </w:r>
      <w:r w:rsidR="0087339F" w:rsidRPr="00D869E3">
        <w:rPr>
          <w:rFonts w:ascii="Verdana" w:hAnsi="Verdana"/>
          <w:sz w:val="20"/>
          <w:szCs w:val="20"/>
          <w:lang w:val="en-US"/>
        </w:rPr>
        <w:t>para.</w:t>
      </w:r>
      <w:r w:rsidR="00DC1C15" w:rsidRPr="00D869E3">
        <w:rPr>
          <w:rFonts w:ascii="Verdana" w:hAnsi="Verdana"/>
          <w:sz w:val="20"/>
          <w:szCs w:val="20"/>
          <w:lang w:val="en-US"/>
        </w:rPr>
        <w:t xml:space="preserve"> 50</w:t>
      </w:r>
      <w:r w:rsidR="00E62F6C" w:rsidRPr="00D869E3">
        <w:rPr>
          <w:rFonts w:ascii="Verdana" w:hAnsi="Verdana"/>
          <w:sz w:val="20"/>
          <w:szCs w:val="20"/>
          <w:lang w:val="en-US"/>
        </w:rPr>
        <w:t xml:space="preserve">). </w:t>
      </w:r>
      <w:r w:rsidR="00966115" w:rsidRPr="00D869E3">
        <w:rPr>
          <w:rFonts w:ascii="Verdana" w:hAnsi="Verdana"/>
          <w:sz w:val="20"/>
          <w:szCs w:val="20"/>
          <w:lang w:val="en-US"/>
        </w:rPr>
        <w:t>Following his dismissal</w:t>
      </w:r>
      <w:r w:rsidR="00E62F6C" w:rsidRPr="00D869E3">
        <w:rPr>
          <w:rFonts w:ascii="Verdana" w:hAnsi="Verdana"/>
          <w:sz w:val="20"/>
          <w:szCs w:val="20"/>
          <w:lang w:val="en-US"/>
        </w:rPr>
        <w:t xml:space="preserve">, </w:t>
      </w:r>
      <w:r w:rsidR="001E44D3" w:rsidRPr="00D869E3">
        <w:rPr>
          <w:rFonts w:ascii="Verdana" w:hAnsi="Verdana"/>
          <w:sz w:val="20"/>
          <w:szCs w:val="20"/>
          <w:lang w:val="en-US"/>
        </w:rPr>
        <w:t>Mr. Lagos del Campo</w:t>
      </w:r>
      <w:r w:rsidR="00E62F6C" w:rsidRPr="00D869E3">
        <w:rPr>
          <w:rFonts w:ascii="Verdana" w:hAnsi="Verdana"/>
          <w:sz w:val="20"/>
          <w:szCs w:val="20"/>
          <w:lang w:val="en-US"/>
        </w:rPr>
        <w:t xml:space="preserve"> </w:t>
      </w:r>
      <w:r w:rsidR="00966115" w:rsidRPr="00D869E3">
        <w:rPr>
          <w:rFonts w:ascii="Verdana" w:hAnsi="Verdana"/>
          <w:sz w:val="20"/>
          <w:szCs w:val="20"/>
          <w:lang w:val="en-US"/>
        </w:rPr>
        <w:t xml:space="preserve">filed </w:t>
      </w:r>
      <w:r w:rsidR="00D13E32" w:rsidRPr="00D869E3">
        <w:rPr>
          <w:rFonts w:ascii="Verdana" w:hAnsi="Verdana"/>
          <w:sz w:val="20"/>
          <w:szCs w:val="20"/>
          <w:lang w:val="en-US"/>
        </w:rPr>
        <w:t>an</w:t>
      </w:r>
      <w:r w:rsidR="00966115" w:rsidRPr="00D869E3">
        <w:rPr>
          <w:rFonts w:ascii="Verdana" w:hAnsi="Verdana"/>
          <w:sz w:val="20"/>
          <w:szCs w:val="20"/>
          <w:lang w:val="en-US"/>
        </w:rPr>
        <w:t xml:space="preserve"> action before the</w:t>
      </w:r>
      <w:r w:rsidR="003506CC" w:rsidRPr="00D869E3">
        <w:rPr>
          <w:rFonts w:ascii="Verdana" w:hAnsi="Verdana"/>
          <w:sz w:val="20"/>
          <w:szCs w:val="20"/>
          <w:lang w:val="en-US"/>
        </w:rPr>
        <w:t xml:space="preserve"> Fifteenth Labor Court of Lima</w:t>
      </w:r>
      <w:r w:rsidR="00E62F6C" w:rsidRPr="00D869E3">
        <w:rPr>
          <w:rFonts w:ascii="Verdana" w:hAnsi="Verdana"/>
          <w:sz w:val="20"/>
          <w:szCs w:val="20"/>
          <w:lang w:val="en-US"/>
        </w:rPr>
        <w:t xml:space="preserve">, </w:t>
      </w:r>
      <w:r w:rsidR="00966115" w:rsidRPr="00D869E3">
        <w:rPr>
          <w:rFonts w:ascii="Verdana" w:hAnsi="Verdana"/>
          <w:sz w:val="20"/>
          <w:szCs w:val="20"/>
          <w:lang w:val="en-US"/>
        </w:rPr>
        <w:t xml:space="preserve">which classified the dismissals as </w:t>
      </w:r>
      <w:r w:rsidR="006436CA" w:rsidRPr="00D869E3">
        <w:rPr>
          <w:rFonts w:ascii="Verdana" w:hAnsi="Verdana"/>
          <w:sz w:val="20"/>
          <w:szCs w:val="20"/>
          <w:lang w:val="en-US"/>
        </w:rPr>
        <w:t>“</w:t>
      </w:r>
      <w:r w:rsidR="004806A6" w:rsidRPr="00D869E3">
        <w:rPr>
          <w:rFonts w:ascii="Verdana" w:hAnsi="Verdana"/>
          <w:sz w:val="20"/>
          <w:szCs w:val="20"/>
          <w:lang w:val="en-US"/>
        </w:rPr>
        <w:t>unfair</w:t>
      </w:r>
      <w:r w:rsidR="00E62F6C" w:rsidRPr="00D869E3">
        <w:rPr>
          <w:rFonts w:ascii="Verdana" w:hAnsi="Verdana"/>
          <w:sz w:val="20"/>
          <w:szCs w:val="20"/>
          <w:lang w:val="en-US"/>
        </w:rPr>
        <w:t xml:space="preserve"> </w:t>
      </w:r>
      <w:r w:rsidR="00966115" w:rsidRPr="00D869E3">
        <w:rPr>
          <w:rFonts w:ascii="Verdana" w:hAnsi="Verdana"/>
          <w:sz w:val="20"/>
          <w:szCs w:val="20"/>
          <w:lang w:val="en-US"/>
        </w:rPr>
        <w:t>and unjustified</w:t>
      </w:r>
      <w:r w:rsidR="006436CA" w:rsidRPr="00D869E3">
        <w:rPr>
          <w:rFonts w:ascii="Verdana" w:hAnsi="Verdana"/>
          <w:sz w:val="20"/>
          <w:szCs w:val="20"/>
          <w:lang w:val="en-US"/>
        </w:rPr>
        <w:t>”</w:t>
      </w:r>
      <w:r w:rsidR="00E62F6C" w:rsidRPr="00D869E3">
        <w:rPr>
          <w:rFonts w:ascii="Verdana" w:hAnsi="Verdana"/>
          <w:sz w:val="20"/>
          <w:szCs w:val="20"/>
          <w:lang w:val="en-US"/>
        </w:rPr>
        <w:t xml:space="preserve"> (</w:t>
      </w:r>
      <w:r w:rsidR="00224537" w:rsidRPr="00D869E3">
        <w:rPr>
          <w:rFonts w:ascii="Verdana" w:hAnsi="Verdana"/>
          <w:i/>
          <w:sz w:val="20"/>
          <w:szCs w:val="20"/>
          <w:lang w:val="en-US"/>
        </w:rPr>
        <w:t>supra</w:t>
      </w:r>
      <w:r w:rsidR="00E62F6C" w:rsidRPr="00D869E3">
        <w:rPr>
          <w:rFonts w:ascii="Verdana" w:hAnsi="Verdana"/>
          <w:sz w:val="20"/>
          <w:szCs w:val="20"/>
          <w:lang w:val="en-US"/>
        </w:rPr>
        <w:t xml:space="preserve"> </w:t>
      </w:r>
      <w:r w:rsidR="0087339F" w:rsidRPr="00D869E3">
        <w:rPr>
          <w:rFonts w:ascii="Verdana" w:hAnsi="Verdana"/>
          <w:sz w:val="20"/>
          <w:szCs w:val="20"/>
          <w:lang w:val="en-US"/>
        </w:rPr>
        <w:t>para.</w:t>
      </w:r>
      <w:r w:rsidR="00DC1C15" w:rsidRPr="00D869E3">
        <w:rPr>
          <w:rFonts w:ascii="Verdana" w:hAnsi="Verdana"/>
          <w:sz w:val="20"/>
          <w:szCs w:val="20"/>
          <w:lang w:val="en-US"/>
        </w:rPr>
        <w:t xml:space="preserve"> 58</w:t>
      </w:r>
      <w:r w:rsidR="00E62F6C" w:rsidRPr="00D869E3">
        <w:rPr>
          <w:rFonts w:ascii="Verdana" w:hAnsi="Verdana"/>
          <w:sz w:val="20"/>
          <w:szCs w:val="20"/>
          <w:lang w:val="en-US"/>
        </w:rPr>
        <w:t xml:space="preserve">). </w:t>
      </w:r>
      <w:r w:rsidR="00966115" w:rsidRPr="00D869E3">
        <w:rPr>
          <w:rFonts w:ascii="Verdana" w:hAnsi="Verdana"/>
          <w:sz w:val="20"/>
          <w:szCs w:val="20"/>
          <w:lang w:val="en-US"/>
        </w:rPr>
        <w:t xml:space="preserve">However, following an appeal filed by the employer, </w:t>
      </w:r>
      <w:r w:rsidR="003506CC" w:rsidRPr="00D869E3">
        <w:rPr>
          <w:rFonts w:ascii="Verdana" w:hAnsi="Verdana"/>
          <w:sz w:val="20"/>
          <w:szCs w:val="20"/>
          <w:lang w:val="en-US"/>
        </w:rPr>
        <w:t xml:space="preserve">the </w:t>
      </w:r>
      <w:r w:rsidR="00966115" w:rsidRPr="00D869E3">
        <w:rPr>
          <w:rFonts w:ascii="Verdana" w:hAnsi="Verdana"/>
          <w:sz w:val="20"/>
          <w:szCs w:val="20"/>
          <w:lang w:val="en-US"/>
        </w:rPr>
        <w:t>Second Labor Court</w:t>
      </w:r>
      <w:r w:rsidR="009D37C8" w:rsidRPr="00D869E3">
        <w:rPr>
          <w:rFonts w:ascii="Verdana" w:hAnsi="Verdana"/>
          <w:sz w:val="20"/>
          <w:szCs w:val="20"/>
          <w:lang w:val="en-US"/>
        </w:rPr>
        <w:t xml:space="preserve"> of Lima</w:t>
      </w:r>
      <w:r w:rsidR="00E62F6C" w:rsidRPr="00D869E3">
        <w:rPr>
          <w:rFonts w:ascii="Verdana" w:hAnsi="Verdana"/>
          <w:sz w:val="20"/>
          <w:szCs w:val="20"/>
          <w:lang w:val="en-US"/>
        </w:rPr>
        <w:t xml:space="preserve"> </w:t>
      </w:r>
      <w:r w:rsidR="00966115" w:rsidRPr="00D869E3">
        <w:rPr>
          <w:rFonts w:ascii="Verdana" w:hAnsi="Verdana"/>
          <w:sz w:val="20"/>
          <w:szCs w:val="20"/>
          <w:lang w:val="en-US"/>
        </w:rPr>
        <w:t>reversed the first instance</w:t>
      </w:r>
      <w:r w:rsidR="00E62F6C" w:rsidRPr="00D869E3">
        <w:rPr>
          <w:rFonts w:ascii="Verdana" w:hAnsi="Verdana"/>
          <w:sz w:val="20"/>
          <w:szCs w:val="20"/>
          <w:lang w:val="en-US"/>
        </w:rPr>
        <w:t xml:space="preserve"> </w:t>
      </w:r>
      <w:r w:rsidR="00966115" w:rsidRPr="00D869E3">
        <w:rPr>
          <w:rFonts w:ascii="Verdana" w:hAnsi="Verdana"/>
          <w:sz w:val="20"/>
          <w:szCs w:val="20"/>
          <w:lang w:val="en-US"/>
        </w:rPr>
        <w:t>j</w:t>
      </w:r>
      <w:r w:rsidR="00447C65" w:rsidRPr="00D869E3">
        <w:rPr>
          <w:rFonts w:ascii="Verdana" w:hAnsi="Verdana"/>
          <w:sz w:val="20"/>
          <w:szCs w:val="20"/>
          <w:lang w:val="en-US"/>
        </w:rPr>
        <w:t xml:space="preserve">udgment </w:t>
      </w:r>
      <w:r w:rsidR="00687684" w:rsidRPr="00D869E3">
        <w:rPr>
          <w:rFonts w:ascii="Verdana" w:hAnsi="Verdana"/>
          <w:sz w:val="20"/>
          <w:szCs w:val="20"/>
          <w:lang w:val="en-US"/>
        </w:rPr>
        <w:t xml:space="preserve">and </w:t>
      </w:r>
      <w:r w:rsidR="00E62F6C" w:rsidRPr="00D869E3">
        <w:rPr>
          <w:rFonts w:ascii="Verdana" w:hAnsi="Verdana"/>
          <w:sz w:val="20"/>
          <w:szCs w:val="20"/>
          <w:lang w:val="en-US"/>
        </w:rPr>
        <w:t>c</w:t>
      </w:r>
      <w:r w:rsidR="00966115" w:rsidRPr="00D869E3">
        <w:rPr>
          <w:rFonts w:ascii="Verdana" w:hAnsi="Verdana"/>
          <w:sz w:val="20"/>
          <w:szCs w:val="20"/>
          <w:lang w:val="en-US"/>
        </w:rPr>
        <w:t xml:space="preserve">lassified the dismissal as </w:t>
      </w:r>
      <w:r w:rsidR="006436CA" w:rsidRPr="00D869E3">
        <w:rPr>
          <w:rFonts w:ascii="Verdana" w:hAnsi="Verdana"/>
          <w:sz w:val="20"/>
          <w:szCs w:val="20"/>
          <w:lang w:val="en-US"/>
        </w:rPr>
        <w:t>“</w:t>
      </w:r>
      <w:r w:rsidR="00E62F6C" w:rsidRPr="00D869E3">
        <w:rPr>
          <w:rFonts w:ascii="Verdana" w:hAnsi="Verdana"/>
          <w:sz w:val="20"/>
          <w:szCs w:val="20"/>
          <w:lang w:val="en-US"/>
        </w:rPr>
        <w:t>legal</w:t>
      </w:r>
      <w:r w:rsidR="00687684" w:rsidRPr="00D869E3">
        <w:rPr>
          <w:rFonts w:ascii="Verdana" w:hAnsi="Verdana"/>
          <w:sz w:val="20"/>
          <w:szCs w:val="20"/>
          <w:lang w:val="en-US"/>
        </w:rPr>
        <w:t xml:space="preserve"> and </w:t>
      </w:r>
      <w:r w:rsidR="00E62F6C" w:rsidRPr="00D869E3">
        <w:rPr>
          <w:rFonts w:ascii="Verdana" w:hAnsi="Verdana"/>
          <w:sz w:val="20"/>
          <w:szCs w:val="20"/>
          <w:lang w:val="en-US"/>
        </w:rPr>
        <w:t>justi</w:t>
      </w:r>
      <w:r w:rsidR="00966115" w:rsidRPr="00D869E3">
        <w:rPr>
          <w:rFonts w:ascii="Verdana" w:hAnsi="Verdana"/>
          <w:sz w:val="20"/>
          <w:szCs w:val="20"/>
          <w:lang w:val="en-US"/>
        </w:rPr>
        <w:t>fied</w:t>
      </w:r>
      <w:r w:rsidR="006436CA" w:rsidRPr="00D869E3">
        <w:rPr>
          <w:rFonts w:ascii="Verdana" w:hAnsi="Verdana"/>
          <w:sz w:val="20"/>
          <w:szCs w:val="20"/>
          <w:lang w:val="en-US"/>
        </w:rPr>
        <w:t>”</w:t>
      </w:r>
      <w:r w:rsidR="00E62F6C" w:rsidRPr="00D869E3">
        <w:rPr>
          <w:rFonts w:ascii="Verdana" w:hAnsi="Verdana"/>
          <w:sz w:val="20"/>
          <w:szCs w:val="20"/>
          <w:lang w:val="en-US"/>
        </w:rPr>
        <w:t xml:space="preserve"> (</w:t>
      </w:r>
      <w:r w:rsidR="00224537" w:rsidRPr="00D869E3">
        <w:rPr>
          <w:rFonts w:ascii="Verdana" w:hAnsi="Verdana"/>
          <w:i/>
          <w:sz w:val="20"/>
          <w:szCs w:val="20"/>
          <w:lang w:val="en-US"/>
        </w:rPr>
        <w:t>supra</w:t>
      </w:r>
      <w:r w:rsidR="00E62F6C" w:rsidRPr="00D869E3">
        <w:rPr>
          <w:rFonts w:ascii="Verdana" w:hAnsi="Verdana"/>
          <w:sz w:val="20"/>
          <w:szCs w:val="20"/>
          <w:lang w:val="en-US"/>
        </w:rPr>
        <w:t xml:space="preserve"> </w:t>
      </w:r>
      <w:r w:rsidR="0087339F" w:rsidRPr="00D869E3">
        <w:rPr>
          <w:rFonts w:ascii="Verdana" w:hAnsi="Verdana"/>
          <w:sz w:val="20"/>
          <w:szCs w:val="20"/>
          <w:lang w:val="en-US"/>
        </w:rPr>
        <w:t>para.</w:t>
      </w:r>
      <w:r w:rsidR="00DC1C15" w:rsidRPr="00D869E3">
        <w:rPr>
          <w:rFonts w:ascii="Verdana" w:hAnsi="Verdana"/>
          <w:sz w:val="20"/>
          <w:szCs w:val="20"/>
          <w:lang w:val="en-US"/>
        </w:rPr>
        <w:t xml:space="preserve"> 60</w:t>
      </w:r>
      <w:r w:rsidR="00E62F6C" w:rsidRPr="00D869E3">
        <w:rPr>
          <w:rFonts w:ascii="Verdana" w:hAnsi="Verdana"/>
          <w:sz w:val="20"/>
          <w:szCs w:val="20"/>
          <w:lang w:val="en-US"/>
        </w:rPr>
        <w:t xml:space="preserve">). </w:t>
      </w:r>
      <w:r w:rsidR="00966115" w:rsidRPr="00D869E3">
        <w:rPr>
          <w:rFonts w:ascii="Verdana" w:hAnsi="Verdana"/>
          <w:sz w:val="20"/>
          <w:szCs w:val="20"/>
          <w:lang w:val="en-US"/>
        </w:rPr>
        <w:t>Subsequently</w:t>
      </w:r>
      <w:r w:rsidR="00D37AAF" w:rsidRPr="00D869E3">
        <w:rPr>
          <w:rFonts w:ascii="Verdana" w:hAnsi="Verdana"/>
          <w:sz w:val="20"/>
          <w:szCs w:val="20"/>
          <w:lang w:val="en-US"/>
        </w:rPr>
        <w:t xml:space="preserve">, </w:t>
      </w:r>
      <w:r w:rsidR="001E44D3" w:rsidRPr="00D869E3">
        <w:rPr>
          <w:rFonts w:ascii="Verdana" w:hAnsi="Verdana"/>
          <w:sz w:val="20"/>
          <w:szCs w:val="20"/>
          <w:lang w:val="en-US"/>
        </w:rPr>
        <w:t>Mr. Lagos del Campo</w:t>
      </w:r>
      <w:r w:rsidR="00E62F6C" w:rsidRPr="00D869E3">
        <w:rPr>
          <w:rFonts w:ascii="Verdana" w:hAnsi="Verdana"/>
          <w:sz w:val="20"/>
          <w:szCs w:val="20"/>
          <w:lang w:val="en-US"/>
        </w:rPr>
        <w:t xml:space="preserve"> </w:t>
      </w:r>
      <w:r w:rsidR="00966115" w:rsidRPr="00D869E3">
        <w:rPr>
          <w:rFonts w:ascii="Verdana" w:hAnsi="Verdana"/>
          <w:sz w:val="20"/>
          <w:szCs w:val="20"/>
          <w:lang w:val="en-US"/>
        </w:rPr>
        <w:t>filed several appeals which were declared inadmissible</w:t>
      </w:r>
      <w:r w:rsidR="00E62F6C" w:rsidRPr="00D869E3">
        <w:rPr>
          <w:rFonts w:ascii="Verdana" w:hAnsi="Verdana"/>
          <w:sz w:val="20"/>
          <w:szCs w:val="20"/>
          <w:lang w:val="en-US"/>
        </w:rPr>
        <w:t xml:space="preserve"> (</w:t>
      </w:r>
      <w:r w:rsidR="00224537" w:rsidRPr="00D869E3">
        <w:rPr>
          <w:rFonts w:ascii="Verdana" w:hAnsi="Verdana"/>
          <w:i/>
          <w:sz w:val="20"/>
          <w:szCs w:val="20"/>
          <w:lang w:val="en-US"/>
        </w:rPr>
        <w:t>supra</w:t>
      </w:r>
      <w:r w:rsidR="00E62F6C" w:rsidRPr="00D869E3">
        <w:rPr>
          <w:rFonts w:ascii="Verdana" w:hAnsi="Verdana"/>
          <w:sz w:val="20"/>
          <w:szCs w:val="20"/>
          <w:lang w:val="en-US"/>
        </w:rPr>
        <w:t xml:space="preserve"> </w:t>
      </w:r>
      <w:r w:rsidR="0087339F" w:rsidRPr="00D869E3">
        <w:rPr>
          <w:rFonts w:ascii="Verdana" w:hAnsi="Verdana"/>
          <w:sz w:val="20"/>
          <w:szCs w:val="20"/>
          <w:lang w:val="en-US"/>
        </w:rPr>
        <w:t>paras.</w:t>
      </w:r>
      <w:r w:rsidR="00DC1C15" w:rsidRPr="00D869E3">
        <w:rPr>
          <w:rFonts w:ascii="Verdana" w:hAnsi="Verdana"/>
          <w:sz w:val="20"/>
          <w:szCs w:val="20"/>
          <w:lang w:val="en-US"/>
        </w:rPr>
        <w:t xml:space="preserve"> 61</w:t>
      </w:r>
      <w:r w:rsidR="003F5593" w:rsidRPr="00D869E3">
        <w:rPr>
          <w:rFonts w:ascii="Verdana" w:hAnsi="Verdana"/>
          <w:sz w:val="20"/>
          <w:szCs w:val="20"/>
          <w:lang w:val="en-US"/>
        </w:rPr>
        <w:t xml:space="preserve"> </w:t>
      </w:r>
      <w:r w:rsidR="00966115" w:rsidRPr="00D869E3">
        <w:rPr>
          <w:rFonts w:ascii="Verdana" w:hAnsi="Verdana"/>
          <w:sz w:val="20"/>
          <w:szCs w:val="20"/>
          <w:lang w:val="en-US"/>
        </w:rPr>
        <w:t>to</w:t>
      </w:r>
      <w:r w:rsidR="003F5593" w:rsidRPr="00D869E3">
        <w:rPr>
          <w:rFonts w:ascii="Verdana" w:hAnsi="Verdana"/>
          <w:sz w:val="20"/>
          <w:szCs w:val="20"/>
          <w:lang w:val="en-US"/>
        </w:rPr>
        <w:t xml:space="preserve"> 70</w:t>
      </w:r>
      <w:r w:rsidR="00E62F6C" w:rsidRPr="00D869E3">
        <w:rPr>
          <w:rFonts w:ascii="Verdana" w:hAnsi="Verdana"/>
          <w:sz w:val="20"/>
          <w:szCs w:val="20"/>
          <w:lang w:val="en-US"/>
        </w:rPr>
        <w:t>).</w:t>
      </w:r>
    </w:p>
    <w:p w14:paraId="2D5BDB77" w14:textId="77777777" w:rsidR="00E62F6C" w:rsidRPr="00D869E3" w:rsidRDefault="00E62F6C" w:rsidP="00E62F6C">
      <w:pPr>
        <w:pStyle w:val="Prrafodelista"/>
        <w:ind w:left="0"/>
        <w:jc w:val="both"/>
        <w:rPr>
          <w:rFonts w:ascii="Verdana" w:hAnsi="Verdana"/>
          <w:sz w:val="20"/>
          <w:szCs w:val="20"/>
          <w:lang w:val="en-US"/>
        </w:rPr>
      </w:pPr>
    </w:p>
    <w:p w14:paraId="37FF2C76" w14:textId="2B976D0E" w:rsidR="00E62F6C" w:rsidRPr="00D869E3" w:rsidRDefault="00966115" w:rsidP="00966115">
      <w:pPr>
        <w:pStyle w:val="Prrafodelista"/>
        <w:numPr>
          <w:ilvl w:val="0"/>
          <w:numId w:val="1"/>
        </w:numPr>
        <w:ind w:left="0" w:firstLine="0"/>
        <w:jc w:val="both"/>
        <w:rPr>
          <w:rFonts w:ascii="Verdana" w:hAnsi="Verdana"/>
          <w:sz w:val="20"/>
          <w:szCs w:val="20"/>
          <w:lang w:val="en-US"/>
        </w:rPr>
      </w:pPr>
      <w:r w:rsidRPr="00D869E3">
        <w:rPr>
          <w:rFonts w:ascii="Verdana" w:hAnsi="Verdana"/>
          <w:sz w:val="20"/>
          <w:lang w:val="en-US"/>
        </w:rPr>
        <w:t>Based on the above, the Court must analyze whether the</w:t>
      </w:r>
      <w:r w:rsidR="00E62F6C" w:rsidRPr="00D869E3">
        <w:rPr>
          <w:rFonts w:ascii="Verdana" w:hAnsi="Verdana"/>
          <w:sz w:val="20"/>
          <w:lang w:val="en-US"/>
        </w:rPr>
        <w:t xml:space="preserve"> </w:t>
      </w:r>
      <w:r w:rsidRPr="00D869E3">
        <w:rPr>
          <w:rFonts w:ascii="Verdana" w:hAnsi="Verdana"/>
          <w:sz w:val="20"/>
          <w:lang w:val="en-US"/>
        </w:rPr>
        <w:t>j</w:t>
      </w:r>
      <w:r w:rsidR="00447C65" w:rsidRPr="00D869E3">
        <w:rPr>
          <w:rFonts w:ascii="Verdana" w:hAnsi="Verdana"/>
          <w:sz w:val="20"/>
          <w:lang w:val="en-US"/>
        </w:rPr>
        <w:t>udgment of</w:t>
      </w:r>
      <w:r w:rsidRPr="00D869E3">
        <w:rPr>
          <w:rFonts w:ascii="Verdana" w:hAnsi="Verdana"/>
          <w:sz w:val="20"/>
          <w:lang w:val="en-US"/>
        </w:rPr>
        <w:t xml:space="preserve"> the</w:t>
      </w:r>
      <w:r w:rsidR="00E62F6C" w:rsidRPr="00D869E3">
        <w:rPr>
          <w:rFonts w:ascii="Verdana" w:hAnsi="Verdana"/>
          <w:sz w:val="20"/>
          <w:lang w:val="en-US"/>
        </w:rPr>
        <w:t xml:space="preserve"> </w:t>
      </w:r>
      <w:r w:rsidRPr="00D869E3">
        <w:rPr>
          <w:rFonts w:ascii="Verdana" w:hAnsi="Verdana"/>
          <w:sz w:val="20"/>
          <w:szCs w:val="20"/>
          <w:lang w:val="en-US"/>
        </w:rPr>
        <w:t>Second Labor Court</w:t>
      </w:r>
      <w:r w:rsidR="00E62F6C" w:rsidRPr="00D869E3">
        <w:rPr>
          <w:rFonts w:ascii="Verdana" w:hAnsi="Verdana"/>
          <w:sz w:val="20"/>
          <w:lang w:val="en-US"/>
        </w:rPr>
        <w:t xml:space="preserve">, </w:t>
      </w:r>
      <w:r w:rsidRPr="00D869E3">
        <w:rPr>
          <w:rFonts w:ascii="Verdana" w:hAnsi="Verdana"/>
          <w:sz w:val="20"/>
          <w:lang w:val="en-US"/>
        </w:rPr>
        <w:t xml:space="preserve">that </w:t>
      </w:r>
      <w:r w:rsidRPr="00D869E3">
        <w:rPr>
          <w:rFonts w:ascii="Verdana" w:hAnsi="Verdana"/>
          <w:sz w:val="20"/>
          <w:szCs w:val="20"/>
          <w:lang w:val="en-US"/>
        </w:rPr>
        <w:t xml:space="preserve">classified the dismissal </w:t>
      </w:r>
      <w:r w:rsidRPr="00D869E3">
        <w:rPr>
          <w:rFonts w:ascii="Verdana" w:hAnsi="Verdana"/>
          <w:sz w:val="20"/>
          <w:lang w:val="en-US"/>
        </w:rPr>
        <w:t xml:space="preserve">of Mr. Lagos del Campo as </w:t>
      </w:r>
      <w:r w:rsidRPr="00D869E3">
        <w:rPr>
          <w:rFonts w:ascii="Verdana" w:hAnsi="Verdana"/>
          <w:sz w:val="20"/>
          <w:szCs w:val="20"/>
          <w:lang w:val="en-US"/>
        </w:rPr>
        <w:t>“legal and justified</w:t>
      </w:r>
      <w:r w:rsidR="00AD031C" w:rsidRPr="00D869E3">
        <w:rPr>
          <w:rFonts w:ascii="Verdana" w:hAnsi="Verdana"/>
          <w:sz w:val="20"/>
          <w:szCs w:val="20"/>
          <w:lang w:val="en-US"/>
        </w:rPr>
        <w:t>,</w:t>
      </w:r>
      <w:r w:rsidRPr="00D869E3">
        <w:rPr>
          <w:rFonts w:ascii="Verdana" w:hAnsi="Verdana"/>
          <w:sz w:val="20"/>
          <w:szCs w:val="20"/>
          <w:lang w:val="en-US"/>
        </w:rPr>
        <w:t xml:space="preserve">” respected the provisions of Article </w:t>
      </w:r>
      <w:r w:rsidRPr="00D869E3">
        <w:rPr>
          <w:rFonts w:ascii="Verdana" w:hAnsi="Verdana"/>
          <w:sz w:val="20"/>
          <w:lang w:val="en-US"/>
        </w:rPr>
        <w:t>13(2)</w:t>
      </w:r>
      <w:r w:rsidR="00687684" w:rsidRPr="00D869E3">
        <w:rPr>
          <w:rFonts w:ascii="Verdana" w:hAnsi="Verdana"/>
          <w:sz w:val="20"/>
          <w:lang w:val="en-US"/>
        </w:rPr>
        <w:t xml:space="preserve"> and </w:t>
      </w:r>
      <w:r w:rsidR="00004729" w:rsidRPr="00D869E3">
        <w:rPr>
          <w:rFonts w:ascii="Verdana" w:hAnsi="Verdana"/>
          <w:sz w:val="20"/>
          <w:lang w:val="en-US"/>
        </w:rPr>
        <w:t>8</w:t>
      </w:r>
      <w:r w:rsidR="00447C65" w:rsidRPr="00D869E3">
        <w:rPr>
          <w:rFonts w:ascii="Verdana" w:hAnsi="Verdana"/>
          <w:sz w:val="20"/>
          <w:lang w:val="en-US"/>
        </w:rPr>
        <w:t xml:space="preserve"> of the </w:t>
      </w:r>
      <w:r w:rsidR="00E91CF4" w:rsidRPr="00D869E3">
        <w:rPr>
          <w:rFonts w:ascii="Verdana" w:hAnsi="Verdana"/>
          <w:sz w:val="20"/>
          <w:lang w:val="en-US"/>
        </w:rPr>
        <w:t xml:space="preserve">American </w:t>
      </w:r>
      <w:r w:rsidR="00447C65" w:rsidRPr="00D869E3">
        <w:rPr>
          <w:rFonts w:ascii="Verdana" w:hAnsi="Verdana"/>
          <w:sz w:val="20"/>
          <w:lang w:val="en-US"/>
        </w:rPr>
        <w:t>Convention</w:t>
      </w:r>
      <w:r w:rsidR="00004729" w:rsidRPr="00D869E3">
        <w:rPr>
          <w:rFonts w:ascii="Verdana" w:hAnsi="Verdana"/>
          <w:sz w:val="20"/>
          <w:lang w:val="en-US"/>
        </w:rPr>
        <w:t xml:space="preserve"> </w:t>
      </w:r>
      <w:r w:rsidRPr="00D869E3">
        <w:rPr>
          <w:rFonts w:ascii="Verdana" w:hAnsi="Verdana"/>
          <w:sz w:val="20"/>
          <w:lang w:val="en-US"/>
        </w:rPr>
        <w:t>by evaluating the need for the restriction imposed by a private individual</w:t>
      </w:r>
      <w:r w:rsidR="00E91CF4" w:rsidRPr="00D869E3">
        <w:rPr>
          <w:rFonts w:ascii="Verdana" w:hAnsi="Verdana"/>
          <w:sz w:val="20"/>
          <w:lang w:val="en-US"/>
        </w:rPr>
        <w:t xml:space="preserve"> </w:t>
      </w:r>
      <w:r w:rsidR="00AD031C" w:rsidRPr="00D869E3">
        <w:rPr>
          <w:rFonts w:ascii="Verdana" w:hAnsi="Verdana"/>
          <w:sz w:val="20"/>
          <w:lang w:val="en-US"/>
        </w:rPr>
        <w:t xml:space="preserve">and duly stating the reasons for its decision. </w:t>
      </w:r>
      <w:r w:rsidRPr="00D869E3">
        <w:rPr>
          <w:rFonts w:ascii="Verdana" w:hAnsi="Verdana"/>
          <w:sz w:val="20"/>
          <w:lang w:val="en-US"/>
        </w:rPr>
        <w:t xml:space="preserve">In particular, the Court will examine whether the statements made by </w:t>
      </w:r>
      <w:r w:rsidRPr="00D869E3">
        <w:rPr>
          <w:rFonts w:ascii="Verdana" w:hAnsi="Verdana"/>
          <w:sz w:val="20"/>
          <w:szCs w:val="20"/>
          <w:lang w:val="en-US"/>
        </w:rPr>
        <w:t xml:space="preserve">Mr. Lagos del Campo had enhanced protection owing to their context and his position as a representative, and also whether the judge who evaluated the said restriction gave proper consideration to these conditions when classifying the legality of the restriction. In addition, the Court must determine whether the </w:t>
      </w:r>
      <w:r w:rsidR="00AD031C" w:rsidRPr="00D869E3">
        <w:rPr>
          <w:rFonts w:ascii="Verdana" w:hAnsi="Verdana"/>
          <w:sz w:val="20"/>
          <w:szCs w:val="20"/>
          <w:lang w:val="en-US"/>
        </w:rPr>
        <w:t xml:space="preserve">sanction </w:t>
      </w:r>
      <w:r w:rsidRPr="00D869E3">
        <w:rPr>
          <w:rFonts w:ascii="Verdana" w:hAnsi="Verdana"/>
          <w:sz w:val="20"/>
          <w:szCs w:val="20"/>
          <w:lang w:val="en-US"/>
        </w:rPr>
        <w:t xml:space="preserve">imposed, </w:t>
      </w:r>
      <w:r w:rsidR="00AD031C" w:rsidRPr="00D869E3">
        <w:rPr>
          <w:rFonts w:ascii="Verdana" w:hAnsi="Verdana"/>
          <w:sz w:val="20"/>
          <w:szCs w:val="20"/>
          <w:lang w:val="en-US"/>
        </w:rPr>
        <w:t xml:space="preserve">that was </w:t>
      </w:r>
      <w:r w:rsidR="00D329A8" w:rsidRPr="00D869E3">
        <w:rPr>
          <w:rFonts w:ascii="Verdana" w:hAnsi="Verdana"/>
          <w:sz w:val="20"/>
          <w:szCs w:val="20"/>
          <w:lang w:val="en-US"/>
        </w:rPr>
        <w:t>ratifie</w:t>
      </w:r>
      <w:r w:rsidRPr="00D869E3">
        <w:rPr>
          <w:rFonts w:ascii="Verdana" w:hAnsi="Verdana"/>
          <w:sz w:val="20"/>
          <w:szCs w:val="20"/>
          <w:lang w:val="en-US"/>
        </w:rPr>
        <w:t xml:space="preserve">d by the judge, had an impact on the State’s obligation to ensure </w:t>
      </w:r>
      <w:r w:rsidR="00A157F5" w:rsidRPr="00D869E3">
        <w:rPr>
          <w:rFonts w:ascii="Verdana" w:hAnsi="Verdana"/>
          <w:sz w:val="20"/>
          <w:szCs w:val="20"/>
          <w:lang w:val="en-US"/>
        </w:rPr>
        <w:t>the</w:t>
      </w:r>
      <w:r w:rsidR="00AD031C" w:rsidRPr="00D869E3">
        <w:rPr>
          <w:rFonts w:ascii="Verdana" w:hAnsi="Verdana"/>
          <w:sz w:val="20"/>
          <w:szCs w:val="20"/>
          <w:lang w:val="en-US"/>
        </w:rPr>
        <w:t xml:space="preserve"> individual and collective dimension of the</w:t>
      </w:r>
      <w:r w:rsidR="00A157F5" w:rsidRPr="00D869E3">
        <w:rPr>
          <w:rFonts w:ascii="Verdana" w:hAnsi="Verdana"/>
          <w:sz w:val="20"/>
          <w:szCs w:val="20"/>
          <w:lang w:val="en-US"/>
        </w:rPr>
        <w:t xml:space="preserve"> </w:t>
      </w:r>
      <w:r w:rsidR="000B2E5E" w:rsidRPr="00D869E3">
        <w:rPr>
          <w:rFonts w:ascii="Verdana" w:hAnsi="Verdana"/>
          <w:sz w:val="20"/>
          <w:szCs w:val="20"/>
          <w:lang w:val="en-US"/>
        </w:rPr>
        <w:t>right to</w:t>
      </w:r>
      <w:r w:rsidR="00E62F6C" w:rsidRPr="00D869E3">
        <w:rPr>
          <w:rFonts w:ascii="Verdana" w:hAnsi="Verdana"/>
          <w:sz w:val="20"/>
          <w:szCs w:val="20"/>
          <w:lang w:val="en-US"/>
        </w:rPr>
        <w:t xml:space="preserve"> </w:t>
      </w:r>
      <w:r w:rsidR="00351902" w:rsidRPr="00D869E3">
        <w:rPr>
          <w:rFonts w:ascii="Verdana" w:hAnsi="Verdana"/>
          <w:sz w:val="20"/>
          <w:szCs w:val="20"/>
          <w:lang w:val="en-US"/>
        </w:rPr>
        <w:t>freedom of association</w:t>
      </w:r>
      <w:r w:rsidRPr="00D869E3">
        <w:rPr>
          <w:rFonts w:ascii="Verdana" w:hAnsi="Verdana"/>
          <w:sz w:val="20"/>
          <w:szCs w:val="20"/>
          <w:lang w:val="en-US"/>
        </w:rPr>
        <w:t xml:space="preserve">. Furthermore, </w:t>
      </w:r>
      <w:r w:rsidR="00AD031C" w:rsidRPr="00D869E3">
        <w:rPr>
          <w:rFonts w:ascii="Verdana" w:hAnsi="Verdana"/>
          <w:sz w:val="20"/>
          <w:szCs w:val="20"/>
          <w:lang w:val="en-US"/>
        </w:rPr>
        <w:t>whether</w:t>
      </w:r>
      <w:r w:rsidRPr="00D869E3">
        <w:rPr>
          <w:rFonts w:ascii="Verdana" w:hAnsi="Verdana"/>
          <w:sz w:val="20"/>
          <w:szCs w:val="20"/>
          <w:lang w:val="en-US"/>
        </w:rPr>
        <w:t xml:space="preserve"> the dismissal violated the presumed victim</w:t>
      </w:r>
      <w:r w:rsidR="00AD031C" w:rsidRPr="00D869E3">
        <w:rPr>
          <w:rFonts w:ascii="Verdana" w:hAnsi="Verdana"/>
          <w:sz w:val="20"/>
          <w:szCs w:val="20"/>
          <w:lang w:val="en-US"/>
        </w:rPr>
        <w:t>’s job security</w:t>
      </w:r>
      <w:r w:rsidRPr="00D869E3">
        <w:rPr>
          <w:rFonts w:ascii="Verdana" w:hAnsi="Verdana"/>
          <w:sz w:val="20"/>
          <w:szCs w:val="20"/>
          <w:lang w:val="en-US"/>
        </w:rPr>
        <w:t xml:space="preserve">, as well as whether he was afforded effective judicial protection of his rights. Lastly, the Court must determine whether the law on which the dismissal of Mr. Lagos was based violated </w:t>
      </w:r>
      <w:r w:rsidR="00447C65" w:rsidRPr="00D869E3">
        <w:rPr>
          <w:rFonts w:ascii="Verdana" w:hAnsi="Verdana"/>
          <w:sz w:val="20"/>
          <w:szCs w:val="20"/>
          <w:lang w:val="en-US"/>
        </w:rPr>
        <w:t>Article</w:t>
      </w:r>
      <w:r w:rsidR="00E62F6C" w:rsidRPr="00D869E3">
        <w:rPr>
          <w:rFonts w:ascii="Verdana" w:hAnsi="Verdana"/>
          <w:sz w:val="20"/>
          <w:szCs w:val="20"/>
          <w:lang w:val="en-US"/>
        </w:rPr>
        <w:t xml:space="preserve"> 2</w:t>
      </w:r>
      <w:r w:rsidR="00447C65" w:rsidRPr="00D869E3">
        <w:rPr>
          <w:rFonts w:ascii="Verdana" w:hAnsi="Verdana"/>
          <w:sz w:val="20"/>
          <w:szCs w:val="20"/>
          <w:lang w:val="en-US"/>
        </w:rPr>
        <w:t xml:space="preserve"> of the Convention</w:t>
      </w:r>
      <w:r w:rsidR="00995EA7" w:rsidRPr="00D869E3">
        <w:rPr>
          <w:rFonts w:ascii="Verdana" w:hAnsi="Verdana"/>
          <w:sz w:val="20"/>
          <w:szCs w:val="20"/>
          <w:lang w:val="en-US"/>
        </w:rPr>
        <w:t xml:space="preserve">. </w:t>
      </w:r>
    </w:p>
    <w:p w14:paraId="514A1204" w14:textId="77777777" w:rsidR="00E62F6C" w:rsidRPr="00D869E3" w:rsidRDefault="00E62F6C" w:rsidP="00D33760">
      <w:pPr>
        <w:rPr>
          <w:rFonts w:ascii="Verdana" w:hAnsi="Verdana"/>
          <w:sz w:val="20"/>
          <w:szCs w:val="20"/>
          <w:lang w:val="en-US"/>
        </w:rPr>
      </w:pPr>
    </w:p>
    <w:p w14:paraId="17C91ED7" w14:textId="662D3950" w:rsidR="00D33760" w:rsidRPr="00D869E3" w:rsidRDefault="00DF1382" w:rsidP="00E66DD7">
      <w:pPr>
        <w:numPr>
          <w:ilvl w:val="0"/>
          <w:numId w:val="1"/>
        </w:numPr>
        <w:ind w:left="11" w:hanging="11"/>
        <w:contextualSpacing/>
        <w:jc w:val="both"/>
        <w:rPr>
          <w:rFonts w:ascii="Verdana" w:hAnsi="Verdana"/>
          <w:sz w:val="20"/>
          <w:szCs w:val="20"/>
          <w:lang w:val="en-US"/>
        </w:rPr>
      </w:pPr>
      <w:r w:rsidRPr="00D869E3">
        <w:rPr>
          <w:rFonts w:ascii="Verdana" w:hAnsi="Verdana" w:cs="Arial"/>
          <w:sz w:val="20"/>
          <w:szCs w:val="20"/>
          <w:lang w:val="en-US"/>
        </w:rPr>
        <w:t xml:space="preserve">To this end, The Court will now analyze the arguments presented by the parties </w:t>
      </w:r>
      <w:r w:rsidR="00687684" w:rsidRPr="00D869E3">
        <w:rPr>
          <w:rFonts w:ascii="Verdana" w:hAnsi="Verdana"/>
          <w:sz w:val="20"/>
          <w:szCs w:val="20"/>
          <w:lang w:val="en-US"/>
        </w:rPr>
        <w:t xml:space="preserve">and </w:t>
      </w:r>
      <w:r w:rsidR="00447C65" w:rsidRPr="00D869E3">
        <w:rPr>
          <w:rFonts w:ascii="Verdana" w:hAnsi="Verdana"/>
          <w:sz w:val="20"/>
          <w:szCs w:val="20"/>
          <w:lang w:val="en-US"/>
        </w:rPr>
        <w:t>the Commission</w:t>
      </w:r>
      <w:r w:rsidR="00D33760" w:rsidRPr="00D869E3">
        <w:rPr>
          <w:rFonts w:ascii="Verdana" w:hAnsi="Verdana"/>
          <w:sz w:val="20"/>
          <w:szCs w:val="20"/>
          <w:lang w:val="en-US"/>
        </w:rPr>
        <w:t>,</w:t>
      </w:r>
      <w:r w:rsidR="00687684" w:rsidRPr="00D869E3">
        <w:rPr>
          <w:rFonts w:ascii="Verdana" w:hAnsi="Verdana"/>
          <w:sz w:val="20"/>
          <w:szCs w:val="20"/>
          <w:lang w:val="en-US"/>
        </w:rPr>
        <w:t xml:space="preserve"> and </w:t>
      </w:r>
      <w:r w:rsidRPr="00D869E3">
        <w:rPr>
          <w:rFonts w:ascii="Verdana" w:hAnsi="Verdana"/>
          <w:sz w:val="20"/>
          <w:szCs w:val="20"/>
          <w:lang w:val="en-US"/>
        </w:rPr>
        <w:t xml:space="preserve">will develop </w:t>
      </w:r>
      <w:r w:rsidR="00F35942" w:rsidRPr="00D869E3">
        <w:rPr>
          <w:rFonts w:ascii="Verdana" w:hAnsi="Verdana"/>
          <w:sz w:val="20"/>
          <w:szCs w:val="20"/>
          <w:lang w:val="en-US"/>
        </w:rPr>
        <w:t xml:space="preserve">the pertinent legal </w:t>
      </w:r>
      <w:r w:rsidRPr="00D869E3">
        <w:rPr>
          <w:rFonts w:ascii="Verdana" w:hAnsi="Verdana"/>
          <w:sz w:val="20"/>
          <w:szCs w:val="20"/>
          <w:lang w:val="en-US"/>
        </w:rPr>
        <w:t xml:space="preserve">considerations </w:t>
      </w:r>
      <w:r w:rsidR="00F35942" w:rsidRPr="00D869E3">
        <w:rPr>
          <w:rFonts w:ascii="Verdana" w:hAnsi="Verdana"/>
          <w:sz w:val="20"/>
          <w:szCs w:val="20"/>
          <w:lang w:val="en-US"/>
        </w:rPr>
        <w:t xml:space="preserve">related to the alleged violations of freedom of thought and expression </w:t>
      </w:r>
      <w:r w:rsidR="00897EE7" w:rsidRPr="00D869E3">
        <w:rPr>
          <w:rFonts w:ascii="Verdana" w:hAnsi="Verdana"/>
          <w:sz w:val="20"/>
          <w:szCs w:val="20"/>
          <w:lang w:val="en-US"/>
        </w:rPr>
        <w:t>(</w:t>
      </w:r>
      <w:r w:rsidR="00447C65" w:rsidRPr="00D869E3">
        <w:rPr>
          <w:rFonts w:ascii="Verdana" w:hAnsi="Verdana"/>
          <w:sz w:val="20"/>
          <w:szCs w:val="20"/>
          <w:lang w:val="en-US"/>
        </w:rPr>
        <w:t>Article</w:t>
      </w:r>
      <w:r w:rsidR="00897EE7" w:rsidRPr="00D869E3">
        <w:rPr>
          <w:rFonts w:ascii="Verdana" w:hAnsi="Verdana"/>
          <w:sz w:val="20"/>
          <w:szCs w:val="20"/>
          <w:lang w:val="en-US"/>
        </w:rPr>
        <w:t xml:space="preserve"> 13)</w:t>
      </w:r>
      <w:r w:rsidR="00F35942" w:rsidRPr="00D869E3">
        <w:rPr>
          <w:rFonts w:ascii="Verdana" w:hAnsi="Verdana"/>
          <w:sz w:val="20"/>
          <w:szCs w:val="20"/>
          <w:lang w:val="en-US"/>
        </w:rPr>
        <w:t>,</w:t>
      </w:r>
      <w:r w:rsidR="00D37AAF" w:rsidRPr="00D869E3">
        <w:rPr>
          <w:rFonts w:ascii="Verdana" w:hAnsi="Verdana"/>
          <w:sz w:val="20"/>
          <w:szCs w:val="20"/>
          <w:vertAlign w:val="superscript"/>
          <w:lang w:val="en-US"/>
        </w:rPr>
        <w:footnoteReference w:id="103"/>
      </w:r>
      <w:r w:rsidR="00D37AAF" w:rsidRPr="00D869E3">
        <w:rPr>
          <w:rFonts w:ascii="Verdana" w:hAnsi="Verdana"/>
          <w:sz w:val="20"/>
          <w:szCs w:val="20"/>
          <w:lang w:val="en-US"/>
        </w:rPr>
        <w:t xml:space="preserve"> </w:t>
      </w:r>
      <w:r w:rsidR="00F35942" w:rsidRPr="00D869E3">
        <w:rPr>
          <w:rFonts w:ascii="Verdana" w:hAnsi="Verdana"/>
          <w:sz w:val="20"/>
          <w:szCs w:val="20"/>
          <w:lang w:val="en-US"/>
        </w:rPr>
        <w:t>right to a free trial</w:t>
      </w:r>
      <w:r w:rsidR="00897EE7" w:rsidRPr="00D869E3">
        <w:rPr>
          <w:rFonts w:ascii="Verdana" w:hAnsi="Verdana"/>
          <w:sz w:val="20"/>
          <w:szCs w:val="20"/>
          <w:lang w:val="en-US"/>
        </w:rPr>
        <w:t xml:space="preserve"> (</w:t>
      </w:r>
      <w:r w:rsidR="00447C65" w:rsidRPr="00D869E3">
        <w:rPr>
          <w:rFonts w:ascii="Verdana" w:hAnsi="Verdana"/>
          <w:sz w:val="20"/>
          <w:szCs w:val="20"/>
          <w:lang w:val="en-US"/>
        </w:rPr>
        <w:t>Article</w:t>
      </w:r>
      <w:r w:rsidR="00897EE7" w:rsidRPr="00D869E3">
        <w:rPr>
          <w:rFonts w:ascii="Verdana" w:hAnsi="Verdana"/>
          <w:sz w:val="20"/>
          <w:szCs w:val="20"/>
          <w:lang w:val="en-US"/>
        </w:rPr>
        <w:t xml:space="preserve"> 8)</w:t>
      </w:r>
      <w:r w:rsidR="00F35942" w:rsidRPr="00D869E3">
        <w:rPr>
          <w:rFonts w:ascii="Verdana" w:hAnsi="Verdana"/>
          <w:sz w:val="20"/>
          <w:szCs w:val="20"/>
          <w:lang w:val="en-US"/>
        </w:rPr>
        <w:t>,</w:t>
      </w:r>
      <w:r w:rsidR="00D37AAF" w:rsidRPr="00D869E3">
        <w:rPr>
          <w:rFonts w:ascii="Verdana" w:hAnsi="Verdana"/>
          <w:sz w:val="20"/>
          <w:szCs w:val="20"/>
          <w:vertAlign w:val="superscript"/>
          <w:lang w:val="en-US"/>
        </w:rPr>
        <w:footnoteReference w:id="104"/>
      </w:r>
      <w:r w:rsidR="00115071" w:rsidRPr="00D869E3">
        <w:rPr>
          <w:rFonts w:ascii="Verdana" w:hAnsi="Verdana"/>
          <w:sz w:val="20"/>
          <w:szCs w:val="20"/>
          <w:lang w:val="en-US"/>
        </w:rPr>
        <w:t xml:space="preserve"> </w:t>
      </w:r>
      <w:r w:rsidR="00F35942" w:rsidRPr="00D869E3">
        <w:rPr>
          <w:rFonts w:ascii="Verdana" w:hAnsi="Verdana"/>
          <w:sz w:val="20"/>
          <w:szCs w:val="20"/>
          <w:lang w:val="en-US"/>
        </w:rPr>
        <w:t xml:space="preserve">freedom of association </w:t>
      </w:r>
      <w:r w:rsidR="00897EE7" w:rsidRPr="00D869E3">
        <w:rPr>
          <w:rFonts w:ascii="Verdana" w:hAnsi="Verdana"/>
          <w:sz w:val="20"/>
          <w:szCs w:val="20"/>
          <w:lang w:val="en-US"/>
        </w:rPr>
        <w:t>(</w:t>
      </w:r>
      <w:r w:rsidR="00447C65" w:rsidRPr="00D869E3">
        <w:rPr>
          <w:rFonts w:ascii="Verdana" w:hAnsi="Verdana"/>
          <w:sz w:val="20"/>
          <w:szCs w:val="20"/>
          <w:lang w:val="en-US"/>
        </w:rPr>
        <w:t>Article</w:t>
      </w:r>
      <w:r w:rsidR="00897EE7" w:rsidRPr="00D869E3">
        <w:rPr>
          <w:rFonts w:ascii="Verdana" w:hAnsi="Verdana"/>
          <w:sz w:val="20"/>
          <w:szCs w:val="20"/>
          <w:lang w:val="en-US"/>
        </w:rPr>
        <w:t xml:space="preserve"> 16)</w:t>
      </w:r>
      <w:r w:rsidR="00F35942" w:rsidRPr="00D869E3">
        <w:rPr>
          <w:rFonts w:ascii="Verdana" w:hAnsi="Verdana"/>
          <w:sz w:val="20"/>
          <w:szCs w:val="20"/>
          <w:lang w:val="en-US"/>
        </w:rPr>
        <w:t>,</w:t>
      </w:r>
      <w:r w:rsidR="00D37AAF" w:rsidRPr="00D869E3">
        <w:rPr>
          <w:rFonts w:ascii="Verdana" w:hAnsi="Verdana"/>
          <w:sz w:val="20"/>
          <w:szCs w:val="20"/>
          <w:vertAlign w:val="superscript"/>
          <w:lang w:val="en-US"/>
        </w:rPr>
        <w:footnoteReference w:id="105"/>
      </w:r>
      <w:r w:rsidR="00D37AAF" w:rsidRPr="00D869E3">
        <w:rPr>
          <w:rFonts w:ascii="Verdana" w:hAnsi="Verdana"/>
          <w:sz w:val="20"/>
          <w:szCs w:val="20"/>
          <w:lang w:val="en-US"/>
        </w:rPr>
        <w:t xml:space="preserve"> </w:t>
      </w:r>
      <w:r w:rsidR="00F35942" w:rsidRPr="00D869E3">
        <w:rPr>
          <w:rFonts w:ascii="Verdana" w:hAnsi="Verdana"/>
          <w:sz w:val="20"/>
          <w:szCs w:val="20"/>
          <w:lang w:val="en-US"/>
        </w:rPr>
        <w:t xml:space="preserve">job security </w:t>
      </w:r>
      <w:r w:rsidR="00115071" w:rsidRPr="00D869E3">
        <w:rPr>
          <w:rFonts w:ascii="Verdana" w:hAnsi="Verdana"/>
          <w:sz w:val="20"/>
          <w:szCs w:val="20"/>
          <w:lang w:val="en-US"/>
        </w:rPr>
        <w:t>(</w:t>
      </w:r>
      <w:r w:rsidR="00447C65" w:rsidRPr="00D869E3">
        <w:rPr>
          <w:rFonts w:ascii="Verdana" w:hAnsi="Verdana"/>
          <w:sz w:val="20"/>
          <w:szCs w:val="20"/>
          <w:lang w:val="en-US"/>
        </w:rPr>
        <w:t>Article</w:t>
      </w:r>
      <w:r w:rsidR="00115071" w:rsidRPr="00D869E3">
        <w:rPr>
          <w:rFonts w:ascii="Verdana" w:hAnsi="Verdana"/>
          <w:sz w:val="20"/>
          <w:szCs w:val="20"/>
          <w:lang w:val="en-US"/>
        </w:rPr>
        <w:t xml:space="preserve"> 26</w:t>
      </w:r>
      <w:r w:rsidR="00334B6C" w:rsidRPr="00D869E3">
        <w:rPr>
          <w:rStyle w:val="Refdenotaalpie"/>
          <w:szCs w:val="20"/>
          <w:lang w:val="en-US"/>
        </w:rPr>
        <w:footnoteReference w:id="106"/>
      </w:r>
      <w:r w:rsidR="00115071" w:rsidRPr="00D869E3">
        <w:rPr>
          <w:rFonts w:ascii="Verdana" w:hAnsi="Verdana"/>
          <w:sz w:val="20"/>
          <w:szCs w:val="20"/>
          <w:lang w:val="en-US"/>
        </w:rPr>
        <w:t xml:space="preserve">), </w:t>
      </w:r>
      <w:r w:rsidR="00BB61A6" w:rsidRPr="00D869E3">
        <w:rPr>
          <w:rFonts w:ascii="Verdana" w:hAnsi="Verdana"/>
          <w:sz w:val="20"/>
          <w:szCs w:val="20"/>
          <w:lang w:val="en-US"/>
        </w:rPr>
        <w:t>in relation to</w:t>
      </w:r>
      <w:r w:rsidR="00D37AAF" w:rsidRPr="00D869E3">
        <w:rPr>
          <w:rFonts w:ascii="Verdana" w:hAnsi="Verdana"/>
          <w:sz w:val="20"/>
          <w:szCs w:val="20"/>
          <w:lang w:val="en-US"/>
        </w:rPr>
        <w:t xml:space="preserve"> </w:t>
      </w:r>
      <w:r w:rsidR="00687684" w:rsidRPr="00D869E3">
        <w:rPr>
          <w:rFonts w:ascii="Verdana" w:hAnsi="Verdana"/>
          <w:sz w:val="20"/>
          <w:szCs w:val="20"/>
          <w:lang w:val="en-US"/>
        </w:rPr>
        <w:t>Article 1(1)</w:t>
      </w:r>
      <w:r w:rsidR="00F35942" w:rsidRPr="00D869E3">
        <w:rPr>
          <w:rFonts w:ascii="Verdana" w:hAnsi="Verdana"/>
          <w:sz w:val="20"/>
          <w:szCs w:val="20"/>
          <w:lang w:val="en-US"/>
        </w:rPr>
        <w:t>,</w:t>
      </w:r>
      <w:r w:rsidR="00363DED" w:rsidRPr="00D869E3">
        <w:rPr>
          <w:rFonts w:ascii="Verdana" w:hAnsi="Verdana" w:cs="Verdana"/>
          <w:caps/>
          <w:snapToGrid w:val="0"/>
          <w:sz w:val="20"/>
          <w:szCs w:val="20"/>
          <w:vertAlign w:val="superscript"/>
          <w:lang w:val="en-US"/>
        </w:rPr>
        <w:footnoteReference w:id="107"/>
      </w:r>
      <w:r w:rsidR="00F35942" w:rsidRPr="00D869E3">
        <w:rPr>
          <w:rFonts w:ascii="Verdana" w:hAnsi="Verdana"/>
          <w:sz w:val="20"/>
          <w:szCs w:val="20"/>
          <w:lang w:val="en-US"/>
        </w:rPr>
        <w:t xml:space="preserve"> and also </w:t>
      </w:r>
      <w:r w:rsidR="00F35942" w:rsidRPr="00D869E3">
        <w:rPr>
          <w:rFonts w:ascii="Verdana" w:hAnsi="Verdana"/>
          <w:sz w:val="20"/>
          <w:szCs w:val="20"/>
          <w:lang w:val="en-US"/>
        </w:rPr>
        <w:lastRenderedPageBreak/>
        <w:t>the alleged violation</w:t>
      </w:r>
      <w:r w:rsidR="00363DED" w:rsidRPr="00D869E3">
        <w:rPr>
          <w:rFonts w:ascii="Verdana" w:hAnsi="Verdana"/>
          <w:sz w:val="20"/>
          <w:szCs w:val="20"/>
          <w:lang w:val="en-US"/>
        </w:rPr>
        <w:t xml:space="preserve"> </w:t>
      </w:r>
      <w:r w:rsidR="00687684" w:rsidRPr="00D869E3">
        <w:rPr>
          <w:rFonts w:ascii="Verdana" w:hAnsi="Verdana"/>
          <w:sz w:val="20"/>
          <w:szCs w:val="20"/>
          <w:lang w:val="en-US"/>
        </w:rPr>
        <w:t>of Article</w:t>
      </w:r>
      <w:r w:rsidR="00363DED" w:rsidRPr="00D869E3">
        <w:rPr>
          <w:rFonts w:ascii="Verdana" w:hAnsi="Verdana"/>
          <w:sz w:val="20"/>
          <w:szCs w:val="20"/>
          <w:lang w:val="en-US"/>
        </w:rPr>
        <w:t xml:space="preserve"> 2</w:t>
      </w:r>
      <w:r w:rsidR="00363DED" w:rsidRPr="00D869E3">
        <w:rPr>
          <w:rStyle w:val="Refdenotaalpie"/>
          <w:szCs w:val="20"/>
          <w:lang w:val="en-US"/>
        </w:rPr>
        <w:footnoteReference w:id="108"/>
      </w:r>
      <w:r w:rsidR="00687684" w:rsidRPr="00D869E3">
        <w:rPr>
          <w:rFonts w:ascii="Verdana" w:hAnsi="Verdana"/>
          <w:sz w:val="20"/>
          <w:szCs w:val="20"/>
          <w:lang w:val="en-US"/>
        </w:rPr>
        <w:t xml:space="preserve"> and </w:t>
      </w:r>
      <w:r w:rsidR="00447C65" w:rsidRPr="00D869E3">
        <w:rPr>
          <w:rFonts w:ascii="Verdana" w:hAnsi="Verdana"/>
          <w:sz w:val="20"/>
          <w:szCs w:val="20"/>
          <w:lang w:val="en-US"/>
        </w:rPr>
        <w:t>Articles</w:t>
      </w:r>
      <w:r w:rsidR="00363DED" w:rsidRPr="00D869E3">
        <w:rPr>
          <w:rFonts w:ascii="Verdana" w:hAnsi="Verdana"/>
          <w:sz w:val="20"/>
          <w:szCs w:val="20"/>
          <w:lang w:val="en-US"/>
        </w:rPr>
        <w:t xml:space="preserve"> </w:t>
      </w:r>
      <w:r w:rsidR="00004729" w:rsidRPr="00D869E3">
        <w:rPr>
          <w:rFonts w:ascii="Verdana" w:hAnsi="Verdana"/>
          <w:sz w:val="20"/>
          <w:szCs w:val="20"/>
          <w:lang w:val="en-US"/>
        </w:rPr>
        <w:t>8</w:t>
      </w:r>
      <w:r w:rsidR="00687684" w:rsidRPr="00D869E3">
        <w:rPr>
          <w:rFonts w:ascii="Verdana" w:hAnsi="Verdana"/>
          <w:sz w:val="20"/>
          <w:szCs w:val="20"/>
          <w:lang w:val="en-US"/>
        </w:rPr>
        <w:t xml:space="preserve"> and </w:t>
      </w:r>
      <w:r w:rsidR="00363DED" w:rsidRPr="00D869E3">
        <w:rPr>
          <w:rFonts w:ascii="Verdana" w:hAnsi="Verdana"/>
          <w:sz w:val="20"/>
          <w:szCs w:val="20"/>
          <w:lang w:val="en-US"/>
        </w:rPr>
        <w:t>25</w:t>
      </w:r>
      <w:r w:rsidR="00F35942" w:rsidRPr="00D869E3">
        <w:rPr>
          <w:rFonts w:ascii="Verdana" w:hAnsi="Verdana"/>
          <w:sz w:val="20"/>
          <w:szCs w:val="20"/>
          <w:lang w:val="en-US"/>
        </w:rPr>
        <w:t>,</w:t>
      </w:r>
      <w:r w:rsidR="00363DED" w:rsidRPr="00D869E3">
        <w:rPr>
          <w:rStyle w:val="Refdenotaalpie"/>
          <w:szCs w:val="20"/>
          <w:lang w:val="en-US"/>
        </w:rPr>
        <w:footnoteReference w:id="109"/>
      </w:r>
      <w:r w:rsidR="00CD0D18" w:rsidRPr="00D869E3">
        <w:rPr>
          <w:rFonts w:ascii="Verdana" w:hAnsi="Verdana"/>
          <w:sz w:val="20"/>
          <w:szCs w:val="20"/>
          <w:lang w:val="en-US"/>
        </w:rPr>
        <w:t xml:space="preserve"> </w:t>
      </w:r>
      <w:r w:rsidR="00F35942" w:rsidRPr="00D869E3">
        <w:rPr>
          <w:rFonts w:ascii="Verdana" w:hAnsi="Verdana"/>
          <w:sz w:val="20"/>
          <w:szCs w:val="20"/>
          <w:lang w:val="en-US"/>
        </w:rPr>
        <w:t>all</w:t>
      </w:r>
      <w:r w:rsidR="00447C65" w:rsidRPr="00D869E3">
        <w:rPr>
          <w:rFonts w:ascii="Verdana" w:hAnsi="Verdana"/>
          <w:sz w:val="20"/>
          <w:szCs w:val="20"/>
          <w:lang w:val="en-US"/>
        </w:rPr>
        <w:t xml:space="preserve"> of the American Convention on Human Rights</w:t>
      </w:r>
      <w:r w:rsidR="00CD0D18" w:rsidRPr="00D869E3">
        <w:rPr>
          <w:rFonts w:ascii="Verdana" w:hAnsi="Verdana"/>
          <w:sz w:val="20"/>
          <w:szCs w:val="20"/>
          <w:lang w:val="en-US"/>
        </w:rPr>
        <w:t>.</w:t>
      </w:r>
    </w:p>
    <w:p w14:paraId="5DDF4D2C" w14:textId="77777777" w:rsidR="00A4549D" w:rsidRPr="00D869E3" w:rsidRDefault="00A4549D" w:rsidP="00A4549D">
      <w:pPr>
        <w:contextualSpacing/>
        <w:jc w:val="both"/>
        <w:rPr>
          <w:rFonts w:ascii="Verdana" w:hAnsi="Verdana"/>
          <w:sz w:val="20"/>
          <w:szCs w:val="20"/>
          <w:lang w:val="en-US"/>
        </w:rPr>
      </w:pPr>
    </w:p>
    <w:p w14:paraId="6D018C52" w14:textId="10871581" w:rsidR="00C01305" w:rsidRPr="00D869E3" w:rsidRDefault="00374FC9" w:rsidP="00C01305">
      <w:pPr>
        <w:pStyle w:val="Ttulo1"/>
        <w:tabs>
          <w:tab w:val="left" w:pos="851"/>
        </w:tabs>
        <w:spacing w:before="0"/>
        <w:jc w:val="center"/>
        <w:rPr>
          <w:rFonts w:cs="Verdana"/>
          <w:caps/>
          <w:snapToGrid w:val="0"/>
          <w:szCs w:val="20"/>
          <w:lang w:val="en-US"/>
        </w:rPr>
      </w:pPr>
      <w:bookmarkStart w:id="30" w:name="_Toc482355927"/>
      <w:bookmarkStart w:id="31" w:name="_Toc29114123"/>
      <w:r w:rsidRPr="00D869E3">
        <w:rPr>
          <w:rFonts w:cs="Verdana"/>
          <w:caps/>
          <w:snapToGrid w:val="0"/>
          <w:szCs w:val="20"/>
          <w:lang w:val="en-US"/>
        </w:rPr>
        <w:t>VII</w:t>
      </w:r>
      <w:r w:rsidR="00C01305" w:rsidRPr="00D869E3">
        <w:rPr>
          <w:rFonts w:cs="Verdana"/>
          <w:caps/>
          <w:snapToGrid w:val="0"/>
          <w:szCs w:val="20"/>
          <w:lang w:val="en-US"/>
        </w:rPr>
        <w:t>-</w:t>
      </w:r>
      <w:bookmarkEnd w:id="30"/>
      <w:r w:rsidRPr="00D869E3">
        <w:rPr>
          <w:rFonts w:cs="Verdana"/>
          <w:caps/>
          <w:snapToGrid w:val="0"/>
          <w:szCs w:val="20"/>
          <w:lang w:val="en-US"/>
        </w:rPr>
        <w:t>1</w:t>
      </w:r>
      <w:bookmarkEnd w:id="31"/>
    </w:p>
    <w:p w14:paraId="6F711E32" w14:textId="69013947" w:rsidR="00C01305" w:rsidRPr="00D869E3" w:rsidRDefault="00DF1382" w:rsidP="00CC31D1">
      <w:pPr>
        <w:pStyle w:val="Ttulo1"/>
        <w:tabs>
          <w:tab w:val="left" w:pos="851"/>
        </w:tabs>
        <w:spacing w:before="0"/>
        <w:jc w:val="center"/>
        <w:rPr>
          <w:rFonts w:cs="Verdana"/>
          <w:caps/>
          <w:snapToGrid w:val="0"/>
          <w:szCs w:val="20"/>
          <w:lang w:val="en-US"/>
        </w:rPr>
      </w:pPr>
      <w:bookmarkStart w:id="32" w:name="_Toc29114124"/>
      <w:r w:rsidRPr="00D869E3">
        <w:rPr>
          <w:rFonts w:cs="Verdana"/>
          <w:caps/>
          <w:snapToGrid w:val="0"/>
          <w:szCs w:val="20"/>
          <w:lang w:val="en-US"/>
        </w:rPr>
        <w:t>FREEDOM OF THOUGHT AND EXPRESSION</w:t>
      </w:r>
      <w:r w:rsidR="00CC31D1" w:rsidRPr="00D869E3">
        <w:rPr>
          <w:rFonts w:cs="Verdana"/>
          <w:caps/>
          <w:snapToGrid w:val="0"/>
          <w:szCs w:val="20"/>
          <w:lang w:val="en-US"/>
        </w:rPr>
        <w:t>,</w:t>
      </w:r>
      <w:r w:rsidR="00C01305" w:rsidRPr="00D869E3">
        <w:rPr>
          <w:rFonts w:cs="Verdana"/>
          <w:caps/>
          <w:snapToGrid w:val="0"/>
          <w:szCs w:val="20"/>
          <w:lang w:val="en-US"/>
        </w:rPr>
        <w:t xml:space="preserve"> </w:t>
      </w:r>
      <w:r w:rsidR="00F35942" w:rsidRPr="00D869E3">
        <w:rPr>
          <w:rFonts w:cs="Verdana"/>
          <w:caps/>
          <w:snapToGrid w:val="0"/>
          <w:szCs w:val="20"/>
          <w:lang w:val="en-US"/>
        </w:rPr>
        <w:t>RIGHT TO A FAIR TRIAL</w:t>
      </w:r>
      <w:r w:rsidRPr="00D869E3">
        <w:rPr>
          <w:rFonts w:cs="Verdana"/>
          <w:caps/>
          <w:snapToGrid w:val="0"/>
          <w:szCs w:val="20"/>
          <w:lang w:val="en-US"/>
        </w:rPr>
        <w:t>,</w:t>
      </w:r>
      <w:r w:rsidR="00430EA0" w:rsidRPr="00D869E3">
        <w:rPr>
          <w:rFonts w:cs="Verdana"/>
          <w:caps/>
          <w:snapToGrid w:val="0"/>
          <w:szCs w:val="20"/>
          <w:lang w:val="en-US"/>
        </w:rPr>
        <w:t xml:space="preserve"> </w:t>
      </w:r>
      <w:r w:rsidRPr="00D869E3">
        <w:rPr>
          <w:rFonts w:cs="Verdana"/>
          <w:caps/>
          <w:snapToGrid w:val="0"/>
          <w:szCs w:val="20"/>
          <w:lang w:val="en-US"/>
        </w:rPr>
        <w:t>JOB SECURITY</w:t>
      </w:r>
      <w:r w:rsidR="00F20967" w:rsidRPr="00D869E3">
        <w:rPr>
          <w:rFonts w:cs="Verdana"/>
          <w:caps/>
          <w:snapToGrid w:val="0"/>
          <w:szCs w:val="20"/>
          <w:lang w:val="en-US"/>
        </w:rPr>
        <w:t xml:space="preserve">, </w:t>
      </w:r>
      <w:r w:rsidRPr="00D869E3">
        <w:rPr>
          <w:rFonts w:cs="Verdana"/>
          <w:caps/>
          <w:snapToGrid w:val="0"/>
          <w:szCs w:val="20"/>
          <w:lang w:val="en-US"/>
        </w:rPr>
        <w:t>FREEDOM OF ASSOCIATION</w:t>
      </w:r>
      <w:r w:rsidR="00430EA0" w:rsidRPr="00D869E3">
        <w:rPr>
          <w:rFonts w:cs="Verdana"/>
          <w:caps/>
          <w:snapToGrid w:val="0"/>
          <w:szCs w:val="20"/>
          <w:lang w:val="en-US"/>
        </w:rPr>
        <w:t>,</w:t>
      </w:r>
      <w:r w:rsidR="007A4CF1" w:rsidRPr="00D869E3">
        <w:rPr>
          <w:rFonts w:cs="Verdana"/>
          <w:caps/>
          <w:snapToGrid w:val="0"/>
          <w:szCs w:val="20"/>
          <w:lang w:val="en-US"/>
        </w:rPr>
        <w:t xml:space="preserve"> AND</w:t>
      </w:r>
      <w:r w:rsidR="0088700B" w:rsidRPr="00D869E3">
        <w:rPr>
          <w:rFonts w:cs="Verdana"/>
          <w:caps/>
          <w:snapToGrid w:val="0"/>
          <w:szCs w:val="20"/>
          <w:lang w:val="en-US"/>
        </w:rPr>
        <w:t xml:space="preserve"> </w:t>
      </w:r>
      <w:r w:rsidRPr="00D869E3">
        <w:rPr>
          <w:rFonts w:cs="Verdana"/>
          <w:caps/>
          <w:snapToGrid w:val="0"/>
          <w:szCs w:val="20"/>
          <w:lang w:val="en-US"/>
        </w:rPr>
        <w:t>DOMESTIC LEGAL EFFECTS</w:t>
      </w:r>
      <w:bookmarkEnd w:id="32"/>
    </w:p>
    <w:p w14:paraId="61A06078" w14:textId="70A7362C" w:rsidR="00C01305" w:rsidRPr="00D869E3" w:rsidRDefault="00C01305" w:rsidP="00C01305">
      <w:pPr>
        <w:pStyle w:val="Ttulo1"/>
        <w:tabs>
          <w:tab w:val="left" w:pos="851"/>
        </w:tabs>
        <w:spacing w:before="0"/>
        <w:jc w:val="center"/>
        <w:rPr>
          <w:rFonts w:cs="Verdana"/>
          <w:caps/>
          <w:snapToGrid w:val="0"/>
          <w:szCs w:val="20"/>
          <w:lang w:val="en-US"/>
        </w:rPr>
      </w:pPr>
      <w:bookmarkStart w:id="33" w:name="_Toc482355929"/>
      <w:bookmarkStart w:id="34" w:name="_Toc29114125"/>
      <w:r w:rsidRPr="00D869E3">
        <w:rPr>
          <w:rFonts w:cs="Verdana"/>
          <w:caps/>
          <w:snapToGrid w:val="0"/>
          <w:szCs w:val="20"/>
          <w:lang w:val="en-US"/>
        </w:rPr>
        <w:t>(</w:t>
      </w:r>
      <w:r w:rsidR="00DF1382" w:rsidRPr="00D869E3">
        <w:rPr>
          <w:rFonts w:cs="Verdana"/>
          <w:caps/>
          <w:snapToGrid w:val="0"/>
          <w:szCs w:val="20"/>
          <w:lang w:val="en-US"/>
        </w:rPr>
        <w:t>ARTICLES</w:t>
      </w:r>
      <w:r w:rsidRPr="00D869E3">
        <w:rPr>
          <w:rFonts w:cs="Verdana"/>
          <w:caps/>
          <w:snapToGrid w:val="0"/>
          <w:szCs w:val="20"/>
          <w:lang w:val="en-US"/>
        </w:rPr>
        <w:t xml:space="preserve"> 13</w:t>
      </w:r>
      <w:r w:rsidR="00CC31D1" w:rsidRPr="00D869E3">
        <w:rPr>
          <w:rFonts w:cs="Verdana"/>
          <w:caps/>
          <w:snapToGrid w:val="0"/>
          <w:szCs w:val="20"/>
          <w:lang w:val="en-US"/>
        </w:rPr>
        <w:t xml:space="preserve">, </w:t>
      </w:r>
      <w:r w:rsidRPr="00D869E3">
        <w:rPr>
          <w:rFonts w:cs="Verdana"/>
          <w:caps/>
          <w:snapToGrid w:val="0"/>
          <w:szCs w:val="20"/>
          <w:lang w:val="en-US"/>
        </w:rPr>
        <w:t>8</w:t>
      </w:r>
      <w:r w:rsidR="00CC31D1" w:rsidRPr="00D869E3">
        <w:rPr>
          <w:rFonts w:cs="Verdana"/>
          <w:caps/>
          <w:snapToGrid w:val="0"/>
          <w:szCs w:val="20"/>
          <w:lang w:val="en-US"/>
        </w:rPr>
        <w:t>,</w:t>
      </w:r>
      <w:r w:rsidR="00430EA0" w:rsidRPr="00D869E3">
        <w:rPr>
          <w:rFonts w:cs="Verdana"/>
          <w:caps/>
          <w:snapToGrid w:val="0"/>
          <w:szCs w:val="20"/>
          <w:lang w:val="en-US"/>
        </w:rPr>
        <w:t xml:space="preserve"> </w:t>
      </w:r>
      <w:r w:rsidR="00F20967" w:rsidRPr="00D869E3">
        <w:rPr>
          <w:rFonts w:cs="Verdana"/>
          <w:caps/>
          <w:snapToGrid w:val="0"/>
          <w:szCs w:val="20"/>
          <w:lang w:val="en-US"/>
        </w:rPr>
        <w:t>26, 16</w:t>
      </w:r>
      <w:r w:rsidR="0088700B" w:rsidRPr="00D869E3">
        <w:rPr>
          <w:rFonts w:cs="Verdana"/>
          <w:caps/>
          <w:snapToGrid w:val="0"/>
          <w:szCs w:val="20"/>
          <w:lang w:val="en-US"/>
        </w:rPr>
        <w:t>,</w:t>
      </w:r>
      <w:r w:rsidR="00DF1382" w:rsidRPr="00D869E3">
        <w:rPr>
          <w:rFonts w:cs="Verdana"/>
          <w:caps/>
          <w:snapToGrid w:val="0"/>
          <w:szCs w:val="20"/>
          <w:lang w:val="en-US"/>
        </w:rPr>
        <w:t xml:space="preserve"> 1(1) </w:t>
      </w:r>
      <w:r w:rsidR="00687684" w:rsidRPr="00D869E3">
        <w:rPr>
          <w:rFonts w:cs="Verdana"/>
          <w:caps/>
          <w:snapToGrid w:val="0"/>
          <w:szCs w:val="20"/>
          <w:lang w:val="en-US"/>
        </w:rPr>
        <w:t xml:space="preserve">and </w:t>
      </w:r>
      <w:r w:rsidR="00CC31D1" w:rsidRPr="00D869E3">
        <w:rPr>
          <w:rFonts w:cs="Verdana"/>
          <w:caps/>
          <w:snapToGrid w:val="0"/>
          <w:szCs w:val="20"/>
          <w:lang w:val="en-US"/>
        </w:rPr>
        <w:t>2</w:t>
      </w:r>
      <w:r w:rsidR="00447C65" w:rsidRPr="00D869E3">
        <w:rPr>
          <w:rFonts w:cs="Verdana"/>
          <w:caps/>
          <w:snapToGrid w:val="0"/>
          <w:szCs w:val="20"/>
          <w:lang w:val="en-US"/>
        </w:rPr>
        <w:t xml:space="preserve"> of the AMERICAN CONVENTION</w:t>
      </w:r>
      <w:r w:rsidRPr="00D869E3">
        <w:rPr>
          <w:rFonts w:cs="Verdana"/>
          <w:caps/>
          <w:snapToGrid w:val="0"/>
          <w:szCs w:val="20"/>
          <w:lang w:val="en-US"/>
        </w:rPr>
        <w:t>)</w:t>
      </w:r>
      <w:bookmarkEnd w:id="33"/>
      <w:bookmarkEnd w:id="34"/>
    </w:p>
    <w:p w14:paraId="09CCEE2C" w14:textId="77777777" w:rsidR="00C01305" w:rsidRPr="00D869E3" w:rsidRDefault="00C01305" w:rsidP="00C01305">
      <w:pPr>
        <w:rPr>
          <w:rFonts w:ascii="Verdana" w:hAnsi="Verdana"/>
          <w:lang w:val="en-US"/>
        </w:rPr>
      </w:pPr>
    </w:p>
    <w:p w14:paraId="60A1C29E" w14:textId="10945692" w:rsidR="00C01305" w:rsidRPr="00D869E3" w:rsidRDefault="00966115" w:rsidP="00E66DD7">
      <w:pPr>
        <w:pStyle w:val="Ttulo2"/>
        <w:numPr>
          <w:ilvl w:val="0"/>
          <w:numId w:val="10"/>
        </w:numPr>
        <w:rPr>
          <w:i/>
          <w:szCs w:val="20"/>
          <w:lang w:val="en-US"/>
        </w:rPr>
      </w:pPr>
      <w:bookmarkStart w:id="35" w:name="_Toc29114126"/>
      <w:r w:rsidRPr="00D869E3">
        <w:rPr>
          <w:i/>
          <w:szCs w:val="20"/>
          <w:lang w:val="en-US"/>
        </w:rPr>
        <w:t>Arguments of the parties</w:t>
      </w:r>
      <w:r w:rsidR="00687684" w:rsidRPr="00D869E3">
        <w:rPr>
          <w:i/>
          <w:szCs w:val="20"/>
          <w:lang w:val="en-US"/>
        </w:rPr>
        <w:t xml:space="preserve"> and </w:t>
      </w:r>
      <w:r w:rsidR="00447C65" w:rsidRPr="00D869E3">
        <w:rPr>
          <w:i/>
          <w:szCs w:val="20"/>
          <w:lang w:val="en-US"/>
        </w:rPr>
        <w:t>of the Commission</w:t>
      </w:r>
      <w:bookmarkEnd w:id="35"/>
    </w:p>
    <w:p w14:paraId="19404AC6" w14:textId="77777777" w:rsidR="004D6B60" w:rsidRPr="00D869E3" w:rsidRDefault="004D6B60" w:rsidP="005D0F69">
      <w:pPr>
        <w:keepNext/>
        <w:keepLines/>
        <w:jc w:val="both"/>
        <w:outlineLvl w:val="1"/>
        <w:rPr>
          <w:rFonts w:ascii="Verdana" w:eastAsia="Times New Roman" w:hAnsi="Verdana"/>
          <w:b/>
          <w:bCs/>
          <w:i/>
          <w:sz w:val="20"/>
          <w:szCs w:val="20"/>
          <w:lang w:val="en-US"/>
        </w:rPr>
      </w:pPr>
    </w:p>
    <w:p w14:paraId="38B41E3C" w14:textId="3BAF225F" w:rsidR="00C01305" w:rsidRPr="00D869E3" w:rsidRDefault="008E0F63" w:rsidP="00E66DD7">
      <w:pPr>
        <w:pStyle w:val="Ttulo3"/>
        <w:numPr>
          <w:ilvl w:val="0"/>
          <w:numId w:val="18"/>
        </w:numPr>
        <w:rPr>
          <w:b w:val="0"/>
          <w:bCs w:val="0"/>
          <w:i/>
          <w:iCs/>
          <w:szCs w:val="20"/>
          <w:lang w:val="en-US"/>
        </w:rPr>
      </w:pPr>
      <w:bookmarkStart w:id="36" w:name="_Toc29114127"/>
      <w:r w:rsidRPr="00D869E3">
        <w:rPr>
          <w:i/>
          <w:iCs/>
          <w:szCs w:val="20"/>
          <w:lang w:val="en-US"/>
        </w:rPr>
        <w:t>F</w:t>
      </w:r>
      <w:r w:rsidR="00966115" w:rsidRPr="00D869E3">
        <w:rPr>
          <w:i/>
          <w:iCs/>
          <w:szCs w:val="20"/>
          <w:lang w:val="en-US"/>
        </w:rPr>
        <w:t>reedom of expression and the right to a fair trial</w:t>
      </w:r>
      <w:bookmarkEnd w:id="36"/>
    </w:p>
    <w:p w14:paraId="30000091" w14:textId="77777777" w:rsidR="004D6B60" w:rsidRPr="00D869E3" w:rsidRDefault="004D6B60" w:rsidP="005D0F69">
      <w:pPr>
        <w:keepNext/>
        <w:keepLines/>
        <w:jc w:val="both"/>
        <w:outlineLvl w:val="1"/>
        <w:rPr>
          <w:rFonts w:ascii="Verdana" w:eastAsia="Times New Roman" w:hAnsi="Verdana"/>
          <w:b/>
          <w:bCs/>
          <w:i/>
          <w:sz w:val="20"/>
          <w:szCs w:val="20"/>
          <w:lang w:val="en-US"/>
        </w:rPr>
      </w:pPr>
    </w:p>
    <w:p w14:paraId="4BA24615" w14:textId="37210C9B" w:rsidR="00BB1F42" w:rsidRPr="00D869E3" w:rsidRDefault="00966115" w:rsidP="006D2CFE">
      <w:pPr>
        <w:numPr>
          <w:ilvl w:val="0"/>
          <w:numId w:val="1"/>
        </w:numPr>
        <w:autoSpaceDE w:val="0"/>
        <w:autoSpaceDN w:val="0"/>
        <w:adjustRightInd w:val="0"/>
        <w:ind w:left="0" w:firstLine="0"/>
        <w:contextualSpacing/>
        <w:jc w:val="both"/>
        <w:rPr>
          <w:rFonts w:ascii="Verdana" w:hAnsi="Verdana"/>
          <w:sz w:val="20"/>
          <w:szCs w:val="20"/>
          <w:lang w:val="en-US"/>
        </w:rPr>
      </w:pPr>
      <w:r w:rsidRPr="00D869E3">
        <w:rPr>
          <w:rFonts w:ascii="Verdana" w:hAnsi="Verdana"/>
          <w:sz w:val="20"/>
          <w:szCs w:val="20"/>
          <w:lang w:val="en-US"/>
        </w:rPr>
        <w:t>Regarding</w:t>
      </w:r>
      <w:r w:rsidR="00C01305" w:rsidRPr="00D869E3">
        <w:rPr>
          <w:rFonts w:ascii="Verdana" w:hAnsi="Verdana"/>
          <w:sz w:val="20"/>
          <w:szCs w:val="20"/>
          <w:lang w:val="en-US"/>
        </w:rPr>
        <w:t xml:space="preserve"> </w:t>
      </w:r>
      <w:r w:rsidR="00A62EA8" w:rsidRPr="00D869E3">
        <w:rPr>
          <w:rFonts w:ascii="Verdana" w:hAnsi="Verdana"/>
          <w:sz w:val="20"/>
          <w:szCs w:val="20"/>
          <w:lang w:val="en-US"/>
        </w:rPr>
        <w:t>freedom of expression</w:t>
      </w:r>
      <w:r w:rsidR="00C01305" w:rsidRPr="00D869E3">
        <w:rPr>
          <w:rFonts w:ascii="Verdana" w:hAnsi="Verdana"/>
          <w:sz w:val="20"/>
          <w:szCs w:val="20"/>
          <w:lang w:val="en-US"/>
        </w:rPr>
        <w:t xml:space="preserve">, </w:t>
      </w:r>
      <w:r w:rsidR="00447C65" w:rsidRPr="00D869E3">
        <w:rPr>
          <w:rFonts w:ascii="Verdana" w:hAnsi="Verdana"/>
          <w:sz w:val="20"/>
          <w:szCs w:val="20"/>
          <w:lang w:val="en-US"/>
        </w:rPr>
        <w:t xml:space="preserve">the </w:t>
      </w:r>
      <w:r w:rsidR="00447C65" w:rsidRPr="00D869E3">
        <w:rPr>
          <w:rFonts w:ascii="Verdana" w:hAnsi="Verdana"/>
          <w:b/>
          <w:bCs/>
          <w:i/>
          <w:iCs/>
          <w:sz w:val="20"/>
          <w:szCs w:val="20"/>
          <w:lang w:val="en-US"/>
        </w:rPr>
        <w:t>Commission</w:t>
      </w:r>
      <w:r w:rsidR="00C01305" w:rsidRPr="00D869E3">
        <w:rPr>
          <w:rFonts w:ascii="Verdana" w:hAnsi="Verdana"/>
          <w:sz w:val="20"/>
          <w:szCs w:val="20"/>
          <w:lang w:val="en-US"/>
        </w:rPr>
        <w:t xml:space="preserve"> a</w:t>
      </w:r>
      <w:r w:rsidR="00C948E2" w:rsidRPr="00D869E3">
        <w:rPr>
          <w:rFonts w:ascii="Verdana" w:hAnsi="Verdana"/>
          <w:sz w:val="20"/>
          <w:szCs w:val="20"/>
          <w:lang w:val="en-US"/>
        </w:rPr>
        <w:t xml:space="preserve">rgued that </w:t>
      </w:r>
      <w:r w:rsidR="006D2CFE" w:rsidRPr="00D869E3">
        <w:rPr>
          <w:rFonts w:ascii="Verdana" w:hAnsi="Verdana"/>
          <w:sz w:val="20"/>
          <w:szCs w:val="20"/>
          <w:lang w:val="en-US"/>
        </w:rPr>
        <w:t xml:space="preserve">the statements made by </w:t>
      </w:r>
      <w:r w:rsidR="00E6309B" w:rsidRPr="00D869E3">
        <w:rPr>
          <w:rFonts w:ascii="Verdana" w:hAnsi="Verdana"/>
          <w:sz w:val="20"/>
          <w:szCs w:val="20"/>
          <w:lang w:val="en-US" w:eastAsia="es-ES"/>
        </w:rPr>
        <w:t>Mr.</w:t>
      </w:r>
      <w:r w:rsidR="001E44D3" w:rsidRPr="00D869E3">
        <w:rPr>
          <w:rFonts w:ascii="Verdana" w:hAnsi="Verdana"/>
          <w:sz w:val="20"/>
          <w:szCs w:val="20"/>
          <w:lang w:val="en-US" w:eastAsia="es-ES"/>
        </w:rPr>
        <w:t xml:space="preserve"> Lagos del Campo</w:t>
      </w:r>
      <w:r w:rsidR="00C01305" w:rsidRPr="00D869E3">
        <w:rPr>
          <w:rFonts w:ascii="Verdana" w:hAnsi="Verdana"/>
          <w:sz w:val="20"/>
          <w:szCs w:val="20"/>
          <w:lang w:val="en-US" w:eastAsia="es-ES"/>
        </w:rPr>
        <w:t xml:space="preserve"> </w:t>
      </w:r>
      <w:r w:rsidR="006D2CFE" w:rsidRPr="00D869E3">
        <w:rPr>
          <w:rFonts w:ascii="Verdana" w:hAnsi="Verdana"/>
          <w:sz w:val="20"/>
          <w:szCs w:val="20"/>
          <w:lang w:val="en-US" w:eastAsia="es-ES"/>
        </w:rPr>
        <w:t>should be understood as part of his work as a representative of a group of workers, which enjoy greater protection under the American Convention.</w:t>
      </w:r>
      <w:r w:rsidR="006D2CFE" w:rsidRPr="00D869E3">
        <w:rPr>
          <w:rFonts w:ascii="Verdana" w:hAnsi="Verdana"/>
          <w:sz w:val="20"/>
          <w:szCs w:val="20"/>
          <w:lang w:val="en-US"/>
        </w:rPr>
        <w:t xml:space="preserve"> </w:t>
      </w:r>
      <w:r w:rsidR="006D2CFE" w:rsidRPr="00D869E3">
        <w:rPr>
          <w:rFonts w:ascii="Verdana" w:hAnsi="Verdana" w:cs="Arial"/>
          <w:sz w:val="20"/>
          <w:szCs w:val="20"/>
          <w:lang w:val="en-US"/>
        </w:rPr>
        <w:t>It was clear from reading the whole interview published in “</w:t>
      </w:r>
      <w:r w:rsidR="006D2CFE" w:rsidRPr="00D869E3">
        <w:rPr>
          <w:rFonts w:ascii="Verdana" w:hAnsi="Verdana" w:cs="Arial"/>
          <w:i/>
          <w:iCs/>
          <w:sz w:val="20"/>
          <w:szCs w:val="20"/>
          <w:lang w:val="en-US"/>
        </w:rPr>
        <w:t>La Razón</w:t>
      </w:r>
      <w:r w:rsidR="006D2CFE" w:rsidRPr="00D869E3">
        <w:rPr>
          <w:rFonts w:ascii="Verdana" w:hAnsi="Verdana" w:cs="Arial"/>
          <w:sz w:val="20"/>
          <w:szCs w:val="20"/>
          <w:lang w:val="en-US"/>
        </w:rPr>
        <w:t xml:space="preserve">” that the purpose of the statements was to expose and call attention to acts of undue interference by the employers in the </w:t>
      </w:r>
      <w:r w:rsidR="004B1195" w:rsidRPr="00D869E3">
        <w:rPr>
          <w:rFonts w:ascii="Verdana" w:hAnsi="Verdana" w:cs="Arial"/>
          <w:sz w:val="20"/>
          <w:szCs w:val="20"/>
          <w:lang w:val="en-US"/>
        </w:rPr>
        <w:t xml:space="preserve">activities of the </w:t>
      </w:r>
      <w:r w:rsidR="006D2CFE" w:rsidRPr="00D869E3">
        <w:rPr>
          <w:rFonts w:ascii="Verdana" w:hAnsi="Verdana" w:cs="Arial"/>
          <w:sz w:val="20"/>
          <w:szCs w:val="20"/>
          <w:lang w:val="en-US"/>
        </w:rPr>
        <w:t>organizations</w:t>
      </w:r>
      <w:r w:rsidR="004B1195" w:rsidRPr="00D869E3">
        <w:rPr>
          <w:rFonts w:ascii="Verdana" w:hAnsi="Verdana" w:cs="Arial"/>
          <w:sz w:val="20"/>
          <w:szCs w:val="20"/>
          <w:lang w:val="en-US"/>
        </w:rPr>
        <w:t xml:space="preserve"> that represented the workers, </w:t>
      </w:r>
      <w:r w:rsidR="006D2CFE" w:rsidRPr="00D869E3">
        <w:rPr>
          <w:rFonts w:ascii="Verdana" w:hAnsi="Verdana" w:cs="Arial"/>
          <w:sz w:val="20"/>
          <w:szCs w:val="20"/>
          <w:lang w:val="en-US"/>
        </w:rPr>
        <w:t>and in internal elections of the Industrial Community</w:t>
      </w:r>
      <w:r w:rsidR="004B1195" w:rsidRPr="00D869E3">
        <w:rPr>
          <w:rFonts w:ascii="Verdana" w:hAnsi="Verdana" w:cs="Arial"/>
          <w:sz w:val="20"/>
          <w:szCs w:val="20"/>
          <w:lang w:val="en-US"/>
        </w:rPr>
        <w:t xml:space="preserve">, because those elections could have an impact on the exercise of the workers’ rights. Consequently, it was not proved that the </w:t>
      </w:r>
      <w:r w:rsidR="00AD031C" w:rsidRPr="00D869E3">
        <w:rPr>
          <w:rFonts w:ascii="Verdana" w:hAnsi="Verdana" w:cs="Arial"/>
          <w:sz w:val="20"/>
          <w:szCs w:val="20"/>
          <w:lang w:val="en-US"/>
        </w:rPr>
        <w:t>sanction</w:t>
      </w:r>
      <w:r w:rsidR="004B1195" w:rsidRPr="00D869E3">
        <w:rPr>
          <w:rFonts w:ascii="Verdana" w:hAnsi="Verdana" w:cs="Arial"/>
          <w:sz w:val="20"/>
          <w:szCs w:val="20"/>
          <w:lang w:val="en-US"/>
        </w:rPr>
        <w:t xml:space="preserve"> was really necessary in a democratic society, because evident public interest</w:t>
      </w:r>
      <w:r w:rsidR="00AD031C" w:rsidRPr="00D869E3">
        <w:rPr>
          <w:rFonts w:ascii="Verdana" w:hAnsi="Verdana" w:cs="Arial"/>
          <w:sz w:val="20"/>
          <w:szCs w:val="20"/>
          <w:lang w:val="en-US"/>
        </w:rPr>
        <w:t xml:space="preserve"> was involved.</w:t>
      </w:r>
      <w:r w:rsidR="004B1195" w:rsidRPr="00D869E3">
        <w:rPr>
          <w:rFonts w:ascii="Verdana" w:hAnsi="Verdana" w:cs="Arial"/>
          <w:sz w:val="20"/>
          <w:szCs w:val="20"/>
          <w:lang w:val="en-US"/>
        </w:rPr>
        <w:t xml:space="preserve"> The Commission added that the State had not proved that the dismissal responded to an urgent social need; moreover, it c</w:t>
      </w:r>
      <w:r w:rsidR="00AD031C" w:rsidRPr="00D869E3">
        <w:rPr>
          <w:rFonts w:ascii="Verdana" w:hAnsi="Verdana" w:cs="Arial"/>
          <w:sz w:val="20"/>
          <w:szCs w:val="20"/>
          <w:lang w:val="en-US"/>
        </w:rPr>
        <w:t>ould not</w:t>
      </w:r>
      <w:r w:rsidR="004B1195" w:rsidRPr="00D869E3">
        <w:rPr>
          <w:rFonts w:ascii="Verdana" w:hAnsi="Verdana" w:cs="Arial"/>
          <w:sz w:val="20"/>
          <w:szCs w:val="20"/>
          <w:lang w:val="en-US"/>
        </w:rPr>
        <w:t xml:space="preserve"> be argued that it was proportionate to the objective sought.</w:t>
      </w:r>
      <w:r w:rsidR="00C01305" w:rsidRPr="00D869E3">
        <w:rPr>
          <w:rFonts w:ascii="Verdana" w:hAnsi="Verdana"/>
          <w:sz w:val="20"/>
          <w:szCs w:val="20"/>
          <w:vertAlign w:val="superscript"/>
          <w:lang w:val="en-US"/>
        </w:rPr>
        <w:footnoteReference w:id="110"/>
      </w:r>
      <w:r w:rsidR="00C01305" w:rsidRPr="00D869E3">
        <w:rPr>
          <w:rFonts w:ascii="Verdana" w:hAnsi="Verdana"/>
          <w:b/>
          <w:sz w:val="20"/>
          <w:szCs w:val="20"/>
          <w:lang w:val="en-US"/>
        </w:rPr>
        <w:t xml:space="preserve"> </w:t>
      </w:r>
      <w:r w:rsidR="00EA03AE" w:rsidRPr="00D869E3">
        <w:rPr>
          <w:rFonts w:ascii="Verdana" w:hAnsi="Verdana"/>
          <w:sz w:val="20"/>
          <w:szCs w:val="20"/>
          <w:lang w:val="en-US"/>
        </w:rPr>
        <w:t>Ad</w:t>
      </w:r>
      <w:r w:rsidR="00BB1F42" w:rsidRPr="00D869E3">
        <w:rPr>
          <w:rFonts w:ascii="Verdana" w:hAnsi="Verdana"/>
          <w:sz w:val="20"/>
          <w:szCs w:val="20"/>
          <w:lang w:val="en-US"/>
        </w:rPr>
        <w:t xml:space="preserve">ditionally, </w:t>
      </w:r>
      <w:r w:rsidR="00447C65" w:rsidRPr="00D869E3">
        <w:rPr>
          <w:rFonts w:ascii="Verdana" w:hAnsi="Verdana"/>
          <w:sz w:val="20"/>
          <w:szCs w:val="20"/>
          <w:lang w:val="en-US" w:eastAsia="es-ES"/>
        </w:rPr>
        <w:t>the Commission</w:t>
      </w:r>
      <w:r w:rsidR="00BB1F42" w:rsidRPr="00D869E3">
        <w:rPr>
          <w:rFonts w:ascii="Verdana" w:hAnsi="Verdana"/>
          <w:sz w:val="20"/>
          <w:szCs w:val="20"/>
          <w:lang w:val="en-US" w:eastAsia="es-ES"/>
        </w:rPr>
        <w:t xml:space="preserve"> argued that the statements made by</w:t>
      </w:r>
      <w:r w:rsidR="00EA03AE" w:rsidRPr="00D869E3">
        <w:rPr>
          <w:rFonts w:ascii="Verdana" w:hAnsi="Verdana"/>
          <w:sz w:val="20"/>
          <w:szCs w:val="20"/>
          <w:lang w:val="en-US" w:eastAsia="es-ES"/>
        </w:rPr>
        <w:t xml:space="preserve"> </w:t>
      </w:r>
      <w:r w:rsidR="00E6309B" w:rsidRPr="00D869E3">
        <w:rPr>
          <w:rFonts w:ascii="Verdana" w:hAnsi="Verdana"/>
          <w:sz w:val="20"/>
          <w:szCs w:val="20"/>
          <w:lang w:val="en-US" w:eastAsia="es-ES"/>
        </w:rPr>
        <w:t>Mr.</w:t>
      </w:r>
      <w:r w:rsidR="001E44D3" w:rsidRPr="00D869E3">
        <w:rPr>
          <w:rFonts w:ascii="Verdana" w:hAnsi="Verdana"/>
          <w:sz w:val="20"/>
          <w:szCs w:val="20"/>
          <w:lang w:val="en-US" w:eastAsia="es-ES"/>
        </w:rPr>
        <w:t xml:space="preserve"> Lagos del Campo</w:t>
      </w:r>
      <w:r w:rsidR="00EA03AE" w:rsidRPr="00D869E3">
        <w:rPr>
          <w:rFonts w:ascii="Verdana" w:hAnsi="Verdana"/>
          <w:sz w:val="20"/>
          <w:szCs w:val="20"/>
          <w:lang w:val="en-US" w:eastAsia="es-ES"/>
        </w:rPr>
        <w:t xml:space="preserve"> </w:t>
      </w:r>
      <w:r w:rsidR="00BB1F42" w:rsidRPr="00D869E3">
        <w:rPr>
          <w:rFonts w:ascii="Verdana" w:hAnsi="Verdana"/>
          <w:sz w:val="20"/>
          <w:szCs w:val="20"/>
          <w:lang w:val="en-US" w:eastAsia="es-ES"/>
        </w:rPr>
        <w:t>could have been investigated, corrected or explained by the company and that there were other measures less harmful than dismissal that the company could have used to</w:t>
      </w:r>
      <w:r w:rsidR="00AD031C" w:rsidRPr="00D869E3">
        <w:rPr>
          <w:rFonts w:ascii="Verdana" w:hAnsi="Verdana"/>
          <w:sz w:val="20"/>
          <w:szCs w:val="20"/>
          <w:lang w:val="en-US" w:eastAsia="es-ES"/>
        </w:rPr>
        <w:t xml:space="preserve"> defend the honor of those who felt that they </w:t>
      </w:r>
      <w:r w:rsidR="00064854" w:rsidRPr="00D869E3">
        <w:rPr>
          <w:rFonts w:ascii="Verdana" w:hAnsi="Verdana"/>
          <w:sz w:val="20"/>
          <w:szCs w:val="20"/>
          <w:lang w:val="en-US" w:eastAsia="es-ES"/>
        </w:rPr>
        <w:t>had been</w:t>
      </w:r>
      <w:r w:rsidR="00AD031C" w:rsidRPr="00D869E3">
        <w:rPr>
          <w:rFonts w:ascii="Verdana" w:hAnsi="Verdana"/>
          <w:sz w:val="20"/>
          <w:szCs w:val="20"/>
          <w:lang w:val="en-US" w:eastAsia="es-ES"/>
        </w:rPr>
        <w:t xml:space="preserve"> adversely affected.</w:t>
      </w:r>
      <w:r w:rsidR="00BB1F42" w:rsidRPr="00D869E3">
        <w:rPr>
          <w:rFonts w:ascii="Verdana" w:hAnsi="Verdana"/>
          <w:sz w:val="20"/>
          <w:szCs w:val="20"/>
          <w:lang w:val="en-US" w:eastAsia="es-ES"/>
        </w:rPr>
        <w:t xml:space="preserve"> Moreover, the application of restrictions to freedom of expression to protect legitimate aims cannot lead to</w:t>
      </w:r>
      <w:r w:rsidR="00064854" w:rsidRPr="00D869E3">
        <w:rPr>
          <w:rFonts w:ascii="Verdana" w:hAnsi="Verdana"/>
          <w:sz w:val="20"/>
          <w:szCs w:val="20"/>
          <w:lang w:val="en-US" w:eastAsia="es-ES"/>
        </w:rPr>
        <w:t xml:space="preserve"> the</w:t>
      </w:r>
      <w:r w:rsidR="00BB1F42" w:rsidRPr="00D869E3">
        <w:rPr>
          <w:rFonts w:ascii="Verdana" w:hAnsi="Verdana"/>
          <w:sz w:val="20"/>
          <w:szCs w:val="20"/>
          <w:lang w:val="en-US" w:eastAsia="es-ES"/>
        </w:rPr>
        <w:t xml:space="preserve"> imposi</w:t>
      </w:r>
      <w:r w:rsidR="00064854" w:rsidRPr="00D869E3">
        <w:rPr>
          <w:rFonts w:ascii="Verdana" w:hAnsi="Verdana"/>
          <w:sz w:val="20"/>
          <w:szCs w:val="20"/>
          <w:lang w:val="en-US" w:eastAsia="es-ES"/>
        </w:rPr>
        <w:t>tion of</w:t>
      </w:r>
      <w:r w:rsidR="00BB1F42" w:rsidRPr="00D869E3">
        <w:rPr>
          <w:rFonts w:ascii="Verdana" w:hAnsi="Verdana"/>
          <w:sz w:val="20"/>
          <w:szCs w:val="20"/>
          <w:lang w:val="en-US" w:eastAsia="es-ES"/>
        </w:rPr>
        <w:t xml:space="preserve"> a duty of absolute loyalty t</w:t>
      </w:r>
      <w:r w:rsidR="00064854" w:rsidRPr="00D869E3">
        <w:rPr>
          <w:rFonts w:ascii="Verdana" w:hAnsi="Verdana"/>
          <w:sz w:val="20"/>
          <w:szCs w:val="20"/>
          <w:lang w:val="en-US" w:eastAsia="es-ES"/>
        </w:rPr>
        <w:t>o</w:t>
      </w:r>
      <w:r w:rsidR="00BB1F42" w:rsidRPr="00D869E3">
        <w:rPr>
          <w:rFonts w:ascii="Verdana" w:hAnsi="Verdana"/>
          <w:sz w:val="20"/>
          <w:szCs w:val="20"/>
          <w:lang w:val="en-US" w:eastAsia="es-ES"/>
        </w:rPr>
        <w:t xml:space="preserve"> the employer or to subjecting </w:t>
      </w:r>
      <w:r w:rsidR="00064854" w:rsidRPr="00D869E3">
        <w:rPr>
          <w:rFonts w:ascii="Verdana" w:hAnsi="Verdana"/>
          <w:sz w:val="20"/>
          <w:szCs w:val="20"/>
          <w:lang w:val="en-US" w:eastAsia="es-ES"/>
        </w:rPr>
        <w:t>a</w:t>
      </w:r>
      <w:r w:rsidR="00BB1F42" w:rsidRPr="00D869E3">
        <w:rPr>
          <w:rFonts w:ascii="Verdana" w:hAnsi="Verdana"/>
          <w:sz w:val="20"/>
          <w:szCs w:val="20"/>
          <w:lang w:val="en-US" w:eastAsia="es-ES"/>
        </w:rPr>
        <w:t xml:space="preserve"> work</w:t>
      </w:r>
      <w:r w:rsidR="00064854" w:rsidRPr="00D869E3">
        <w:rPr>
          <w:rFonts w:ascii="Verdana" w:hAnsi="Verdana"/>
          <w:sz w:val="20"/>
          <w:szCs w:val="20"/>
          <w:lang w:val="en-US" w:eastAsia="es-ES"/>
        </w:rPr>
        <w:t>er</w:t>
      </w:r>
      <w:r w:rsidR="00BB1F42" w:rsidRPr="00D869E3">
        <w:rPr>
          <w:rFonts w:ascii="Verdana" w:hAnsi="Verdana"/>
          <w:sz w:val="20"/>
          <w:szCs w:val="20"/>
          <w:lang w:val="en-US" w:eastAsia="es-ES"/>
        </w:rPr>
        <w:t xml:space="preserve"> – especially a leader</w:t>
      </w:r>
      <w:r w:rsidR="00064854" w:rsidRPr="00D869E3">
        <w:rPr>
          <w:rFonts w:ascii="Verdana" w:hAnsi="Verdana"/>
          <w:sz w:val="20"/>
          <w:szCs w:val="20"/>
          <w:lang w:val="en-US" w:eastAsia="es-ES"/>
        </w:rPr>
        <w:t xml:space="preserve"> of the workers</w:t>
      </w:r>
      <w:r w:rsidR="00BB1F42" w:rsidRPr="00D869E3">
        <w:rPr>
          <w:rFonts w:ascii="Verdana" w:hAnsi="Verdana"/>
          <w:sz w:val="20"/>
          <w:szCs w:val="20"/>
          <w:lang w:val="en-US" w:eastAsia="es-ES"/>
        </w:rPr>
        <w:t xml:space="preserve"> – to the</w:t>
      </w:r>
      <w:r w:rsidR="00064854" w:rsidRPr="00D869E3">
        <w:rPr>
          <w:rFonts w:ascii="Verdana" w:hAnsi="Verdana"/>
          <w:sz w:val="20"/>
          <w:szCs w:val="20"/>
          <w:lang w:val="en-US" w:eastAsia="es-ES"/>
        </w:rPr>
        <w:t xml:space="preserve"> employer’s</w:t>
      </w:r>
      <w:r w:rsidR="00BB1F42" w:rsidRPr="00D869E3">
        <w:rPr>
          <w:rFonts w:ascii="Verdana" w:hAnsi="Verdana"/>
          <w:sz w:val="20"/>
          <w:szCs w:val="20"/>
          <w:lang w:val="en-US" w:eastAsia="es-ES"/>
        </w:rPr>
        <w:t xml:space="preserve"> interests.</w:t>
      </w:r>
    </w:p>
    <w:p w14:paraId="6945F76D" w14:textId="77777777" w:rsidR="0052581B" w:rsidRPr="00D869E3" w:rsidRDefault="0052581B" w:rsidP="00262F28">
      <w:pPr>
        <w:autoSpaceDE w:val="0"/>
        <w:autoSpaceDN w:val="0"/>
        <w:adjustRightInd w:val="0"/>
        <w:contextualSpacing/>
        <w:jc w:val="both"/>
        <w:rPr>
          <w:rFonts w:ascii="Verdana" w:hAnsi="Verdana"/>
          <w:lang w:val="en-US"/>
        </w:rPr>
      </w:pPr>
    </w:p>
    <w:p w14:paraId="561DCFC9" w14:textId="22F91C8E" w:rsidR="00B21EF0" w:rsidRPr="00D869E3" w:rsidRDefault="00BB1F42" w:rsidP="00333304">
      <w:pPr>
        <w:numPr>
          <w:ilvl w:val="0"/>
          <w:numId w:val="1"/>
        </w:numPr>
        <w:autoSpaceDE w:val="0"/>
        <w:autoSpaceDN w:val="0"/>
        <w:adjustRightInd w:val="0"/>
        <w:ind w:left="0" w:firstLine="0"/>
        <w:contextualSpacing/>
        <w:jc w:val="both"/>
        <w:rPr>
          <w:rFonts w:ascii="Verdana" w:hAnsi="Verdana"/>
          <w:b/>
          <w:sz w:val="20"/>
          <w:szCs w:val="20"/>
          <w:lang w:val="en-US"/>
        </w:rPr>
      </w:pPr>
      <w:r w:rsidRPr="00D869E3">
        <w:rPr>
          <w:rFonts w:ascii="Verdana" w:eastAsia="MS Mincho" w:hAnsi="Verdana" w:cs="Verdana"/>
          <w:sz w:val="20"/>
          <w:szCs w:val="20"/>
          <w:lang w:val="en-US" w:eastAsia="es-ES"/>
        </w:rPr>
        <w:t xml:space="preserve">With regard to </w:t>
      </w:r>
      <w:r w:rsidR="00B21EF0" w:rsidRPr="00D869E3">
        <w:rPr>
          <w:rFonts w:ascii="Verdana" w:eastAsia="MS Mincho" w:hAnsi="Verdana" w:cs="Verdana"/>
          <w:sz w:val="20"/>
          <w:szCs w:val="20"/>
          <w:lang w:val="en-US" w:eastAsia="es-ES"/>
        </w:rPr>
        <w:t xml:space="preserve">judicial guarantees the Commission argued that the Peruvian Courts </w:t>
      </w:r>
      <w:r w:rsidR="0057485C" w:rsidRPr="00D869E3">
        <w:rPr>
          <w:rFonts w:ascii="Verdana" w:eastAsia="MS Mincho" w:hAnsi="Verdana" w:cs="Verdana"/>
          <w:sz w:val="20"/>
          <w:szCs w:val="20"/>
          <w:lang w:val="en-US" w:eastAsia="es-ES"/>
        </w:rPr>
        <w:t xml:space="preserve">had </w:t>
      </w:r>
      <w:r w:rsidR="00B21EF0" w:rsidRPr="00D869E3">
        <w:rPr>
          <w:rFonts w:ascii="Verdana" w:eastAsia="MS Mincho" w:hAnsi="Verdana" w:cs="Verdana"/>
          <w:sz w:val="20"/>
          <w:szCs w:val="20"/>
          <w:lang w:val="en-US" w:eastAsia="es-ES"/>
        </w:rPr>
        <w:t>violated</w:t>
      </w:r>
      <w:r w:rsidR="00C01305" w:rsidRPr="00D869E3">
        <w:rPr>
          <w:rFonts w:ascii="Verdana" w:hAnsi="Verdana"/>
          <w:sz w:val="20"/>
          <w:szCs w:val="20"/>
          <w:lang w:val="en-US"/>
        </w:rPr>
        <w:t xml:space="preserve"> </w:t>
      </w:r>
      <w:r w:rsidR="00447C65" w:rsidRPr="00D869E3">
        <w:rPr>
          <w:rFonts w:ascii="Verdana" w:hAnsi="Verdana"/>
          <w:sz w:val="20"/>
          <w:szCs w:val="20"/>
          <w:lang w:val="en-US"/>
        </w:rPr>
        <w:t>Article</w:t>
      </w:r>
      <w:r w:rsidR="00C01305" w:rsidRPr="00D869E3">
        <w:rPr>
          <w:rFonts w:ascii="Verdana" w:hAnsi="Verdana"/>
          <w:sz w:val="20"/>
          <w:szCs w:val="20"/>
          <w:lang w:val="en-US"/>
        </w:rPr>
        <w:t xml:space="preserve"> </w:t>
      </w:r>
      <w:r w:rsidR="00687684" w:rsidRPr="00D869E3">
        <w:rPr>
          <w:rFonts w:ascii="Verdana" w:hAnsi="Verdana"/>
          <w:sz w:val="20"/>
          <w:szCs w:val="20"/>
          <w:lang w:val="en-US"/>
        </w:rPr>
        <w:t>8(1)</w:t>
      </w:r>
      <w:r w:rsidR="00447C65" w:rsidRPr="00D869E3">
        <w:rPr>
          <w:rFonts w:ascii="Verdana" w:hAnsi="Verdana"/>
          <w:sz w:val="20"/>
          <w:szCs w:val="20"/>
          <w:lang w:val="en-US"/>
        </w:rPr>
        <w:t xml:space="preserve"> of the American Convention</w:t>
      </w:r>
      <w:r w:rsidR="00C01305" w:rsidRPr="00D869E3">
        <w:rPr>
          <w:rFonts w:ascii="Verdana" w:hAnsi="Verdana"/>
          <w:sz w:val="20"/>
          <w:szCs w:val="20"/>
          <w:lang w:val="en-US"/>
        </w:rPr>
        <w:t xml:space="preserve"> </w:t>
      </w:r>
      <w:r w:rsidR="00BB61A6" w:rsidRPr="00D869E3">
        <w:rPr>
          <w:rFonts w:ascii="Verdana" w:hAnsi="Verdana"/>
          <w:sz w:val="20"/>
          <w:szCs w:val="20"/>
          <w:lang w:val="en-US"/>
        </w:rPr>
        <w:t>in relation to</w:t>
      </w:r>
      <w:r w:rsidR="002E04A3" w:rsidRPr="00D869E3">
        <w:rPr>
          <w:rFonts w:ascii="Verdana" w:hAnsi="Verdana"/>
          <w:sz w:val="20"/>
          <w:szCs w:val="20"/>
          <w:lang w:val="en-US"/>
        </w:rPr>
        <w:t xml:space="preserve"> </w:t>
      </w:r>
      <w:r w:rsidR="00B21EF0" w:rsidRPr="00D869E3">
        <w:rPr>
          <w:rFonts w:ascii="Verdana" w:hAnsi="Verdana"/>
          <w:sz w:val="20"/>
          <w:szCs w:val="20"/>
          <w:lang w:val="en-US"/>
        </w:rPr>
        <w:t>the obligation to substantiate decisions, because the ruling that upheld the dismissal was “equivalent to a mere rubber-stamp approval of the measure taken by the employer.” This failure to state the reasons for their decision</w:t>
      </w:r>
      <w:r w:rsidR="0057485C" w:rsidRPr="00D869E3">
        <w:rPr>
          <w:rFonts w:ascii="Verdana" w:hAnsi="Verdana"/>
          <w:sz w:val="20"/>
          <w:szCs w:val="20"/>
          <w:lang w:val="en-US"/>
        </w:rPr>
        <w:t>s</w:t>
      </w:r>
      <w:r w:rsidR="00B21EF0" w:rsidRPr="00D869E3">
        <w:rPr>
          <w:rFonts w:ascii="Verdana" w:hAnsi="Verdana"/>
          <w:sz w:val="20"/>
          <w:szCs w:val="20"/>
          <w:lang w:val="en-US"/>
        </w:rPr>
        <w:t xml:space="preserve"> is </w:t>
      </w:r>
      <w:r w:rsidR="0057485C" w:rsidRPr="00D869E3">
        <w:rPr>
          <w:rFonts w:ascii="Verdana" w:hAnsi="Verdana"/>
          <w:sz w:val="20"/>
          <w:szCs w:val="20"/>
          <w:lang w:val="en-US"/>
        </w:rPr>
        <w:t>enhanced</w:t>
      </w:r>
      <w:r w:rsidR="00B21EF0" w:rsidRPr="00D869E3">
        <w:rPr>
          <w:rFonts w:ascii="Verdana" w:hAnsi="Verdana"/>
          <w:sz w:val="20"/>
          <w:szCs w:val="20"/>
          <w:lang w:val="en-US"/>
        </w:rPr>
        <w:t xml:space="preserve"> if its recalled that the decision reversed the first instance judgment that had ruled in favor of the worker.</w:t>
      </w:r>
    </w:p>
    <w:p w14:paraId="14F5CCCC" w14:textId="77777777" w:rsidR="004D6B60" w:rsidRPr="00D869E3" w:rsidRDefault="004D6B60" w:rsidP="00333304">
      <w:pPr>
        <w:autoSpaceDE w:val="0"/>
        <w:autoSpaceDN w:val="0"/>
        <w:adjustRightInd w:val="0"/>
        <w:contextualSpacing/>
        <w:jc w:val="both"/>
        <w:rPr>
          <w:rFonts w:ascii="Verdana" w:hAnsi="Verdana"/>
          <w:b/>
          <w:sz w:val="20"/>
          <w:szCs w:val="20"/>
          <w:lang w:val="en-US"/>
        </w:rPr>
      </w:pPr>
    </w:p>
    <w:p w14:paraId="5A61A9FE" w14:textId="554BB708" w:rsidR="004D6B60" w:rsidRPr="00D869E3" w:rsidRDefault="00B21EF0" w:rsidP="006801FB">
      <w:pPr>
        <w:numPr>
          <w:ilvl w:val="0"/>
          <w:numId w:val="1"/>
        </w:numPr>
        <w:ind w:left="0" w:firstLine="0"/>
        <w:contextualSpacing/>
        <w:jc w:val="both"/>
        <w:rPr>
          <w:rFonts w:ascii="Verdana" w:hAnsi="Verdana"/>
          <w:sz w:val="20"/>
          <w:szCs w:val="20"/>
          <w:lang w:val="en-US"/>
        </w:rPr>
      </w:pPr>
      <w:r w:rsidRPr="00D869E3">
        <w:rPr>
          <w:rFonts w:ascii="Verdana" w:hAnsi="Verdana"/>
          <w:sz w:val="20"/>
          <w:szCs w:val="20"/>
          <w:lang w:val="en-US"/>
        </w:rPr>
        <w:t>Regarding</w:t>
      </w:r>
      <w:r w:rsidR="004D6B60" w:rsidRPr="00D869E3">
        <w:rPr>
          <w:rFonts w:ascii="Verdana" w:hAnsi="Verdana"/>
          <w:sz w:val="20"/>
          <w:szCs w:val="20"/>
          <w:lang w:val="en-US"/>
        </w:rPr>
        <w:t xml:space="preserve"> </w:t>
      </w:r>
      <w:r w:rsidR="00A62EA8" w:rsidRPr="00D869E3">
        <w:rPr>
          <w:rFonts w:ascii="Verdana" w:hAnsi="Verdana"/>
          <w:sz w:val="20"/>
          <w:szCs w:val="20"/>
          <w:lang w:val="en-US"/>
        </w:rPr>
        <w:t>freedom of expression</w:t>
      </w:r>
      <w:r w:rsidR="004D6B60" w:rsidRPr="00D869E3">
        <w:rPr>
          <w:rFonts w:ascii="Verdana" w:hAnsi="Verdana"/>
          <w:sz w:val="20"/>
          <w:szCs w:val="20"/>
          <w:lang w:val="en-US"/>
        </w:rPr>
        <w:t xml:space="preserve">, </w:t>
      </w:r>
      <w:r w:rsidR="00D40119" w:rsidRPr="00D869E3">
        <w:rPr>
          <w:rFonts w:ascii="Verdana" w:hAnsi="Verdana"/>
          <w:sz w:val="20"/>
          <w:szCs w:val="20"/>
          <w:lang w:val="en-US"/>
        </w:rPr>
        <w:t xml:space="preserve">in general, </w:t>
      </w:r>
      <w:r w:rsidR="00687684" w:rsidRPr="00D869E3">
        <w:rPr>
          <w:rFonts w:ascii="Verdana" w:hAnsi="Verdana"/>
          <w:sz w:val="20"/>
          <w:szCs w:val="20"/>
          <w:lang w:val="en-US"/>
        </w:rPr>
        <w:t xml:space="preserve">the </w:t>
      </w:r>
      <w:r w:rsidR="00687684" w:rsidRPr="00D869E3">
        <w:rPr>
          <w:rFonts w:ascii="Verdana" w:hAnsi="Verdana"/>
          <w:b/>
          <w:bCs/>
          <w:i/>
          <w:iCs/>
          <w:sz w:val="20"/>
          <w:szCs w:val="20"/>
          <w:lang w:val="en-US"/>
        </w:rPr>
        <w:t>representatives</w:t>
      </w:r>
      <w:r w:rsidRPr="00D869E3">
        <w:rPr>
          <w:rFonts w:ascii="Verdana" w:hAnsi="Verdana"/>
          <w:b/>
          <w:i/>
          <w:sz w:val="20"/>
          <w:szCs w:val="20"/>
          <w:lang w:val="en-US"/>
        </w:rPr>
        <w:t xml:space="preserve"> </w:t>
      </w:r>
      <w:r w:rsidRPr="00D869E3">
        <w:rPr>
          <w:rFonts w:ascii="Verdana" w:hAnsi="Verdana"/>
          <w:sz w:val="20"/>
          <w:szCs w:val="20"/>
          <w:lang w:val="en-US"/>
        </w:rPr>
        <w:t xml:space="preserve">agreed with </w:t>
      </w:r>
      <w:r w:rsidR="00447C65" w:rsidRPr="00D869E3">
        <w:rPr>
          <w:rFonts w:ascii="Verdana" w:hAnsi="Verdana"/>
          <w:sz w:val="20"/>
          <w:szCs w:val="20"/>
          <w:lang w:val="en-US"/>
        </w:rPr>
        <w:t>the Commission</w:t>
      </w:r>
      <w:r w:rsidR="00687684" w:rsidRPr="00D869E3">
        <w:rPr>
          <w:rFonts w:ascii="Verdana" w:hAnsi="Verdana"/>
          <w:sz w:val="20"/>
          <w:szCs w:val="20"/>
          <w:lang w:val="en-US"/>
        </w:rPr>
        <w:t xml:space="preserve"> and </w:t>
      </w:r>
      <w:r w:rsidRPr="00D869E3">
        <w:rPr>
          <w:rFonts w:ascii="Verdana" w:hAnsi="Verdana"/>
          <w:sz w:val="20"/>
          <w:szCs w:val="20"/>
          <w:lang w:val="en-US"/>
        </w:rPr>
        <w:t xml:space="preserve">emphasized that the statements made by </w:t>
      </w:r>
      <w:r w:rsidR="00E6309B" w:rsidRPr="00D869E3">
        <w:rPr>
          <w:rFonts w:ascii="Verdana" w:hAnsi="Verdana"/>
          <w:sz w:val="20"/>
          <w:szCs w:val="20"/>
          <w:lang w:val="en-US"/>
        </w:rPr>
        <w:t>Mr.</w:t>
      </w:r>
      <w:r w:rsidR="001E44D3" w:rsidRPr="00D869E3">
        <w:rPr>
          <w:rFonts w:ascii="Verdana" w:hAnsi="Verdana"/>
          <w:sz w:val="20"/>
          <w:szCs w:val="20"/>
          <w:lang w:val="en-US"/>
        </w:rPr>
        <w:t xml:space="preserve"> Lagos del Campo</w:t>
      </w:r>
      <w:r w:rsidR="004D6B60" w:rsidRPr="00D869E3">
        <w:rPr>
          <w:rFonts w:ascii="Verdana" w:hAnsi="Verdana"/>
          <w:sz w:val="20"/>
          <w:szCs w:val="20"/>
          <w:lang w:val="en-US"/>
        </w:rPr>
        <w:t xml:space="preserve"> </w:t>
      </w:r>
      <w:r w:rsidRPr="00D869E3">
        <w:rPr>
          <w:rFonts w:ascii="Verdana" w:hAnsi="Verdana"/>
          <w:sz w:val="20"/>
          <w:szCs w:val="20"/>
          <w:lang w:val="en-US"/>
        </w:rPr>
        <w:t xml:space="preserve">were published based on his position as a representative, so that the workers who were members </w:t>
      </w:r>
      <w:r w:rsidR="00EA232B" w:rsidRPr="00D869E3">
        <w:rPr>
          <w:rFonts w:ascii="Verdana" w:hAnsi="Verdana"/>
          <w:sz w:val="20"/>
          <w:szCs w:val="20"/>
          <w:lang w:val="en-US"/>
        </w:rPr>
        <w:t>of the Industrial Community</w:t>
      </w:r>
      <w:r w:rsidR="00687684" w:rsidRPr="00D869E3">
        <w:rPr>
          <w:rFonts w:ascii="Verdana" w:hAnsi="Verdana"/>
          <w:sz w:val="20"/>
          <w:szCs w:val="20"/>
          <w:lang w:val="en-US"/>
        </w:rPr>
        <w:t xml:space="preserve"> and</w:t>
      </w:r>
      <w:r w:rsidRPr="00D869E3">
        <w:rPr>
          <w:rFonts w:ascii="Verdana" w:hAnsi="Verdana"/>
          <w:sz w:val="20"/>
          <w:szCs w:val="20"/>
          <w:lang w:val="en-US"/>
        </w:rPr>
        <w:t xml:space="preserve"> public opinion, in general, could learn about how the elections were handled with</w:t>
      </w:r>
      <w:r w:rsidR="00A8581E" w:rsidRPr="00D869E3">
        <w:rPr>
          <w:rFonts w:ascii="Verdana" w:hAnsi="Verdana"/>
          <w:sz w:val="20"/>
          <w:szCs w:val="20"/>
          <w:lang w:val="en-US"/>
        </w:rPr>
        <w:t>in</w:t>
      </w:r>
      <w:r w:rsidRPr="00D869E3">
        <w:rPr>
          <w:rFonts w:ascii="Verdana" w:hAnsi="Verdana"/>
          <w:sz w:val="20"/>
          <w:szCs w:val="20"/>
          <w:lang w:val="en-US"/>
        </w:rPr>
        <w:t xml:space="preserve"> the conflictive labor </w:t>
      </w:r>
      <w:r w:rsidR="00A8581E" w:rsidRPr="00D869E3">
        <w:rPr>
          <w:rFonts w:ascii="Verdana" w:hAnsi="Verdana"/>
          <w:sz w:val="20"/>
          <w:szCs w:val="20"/>
          <w:lang w:val="en-US"/>
        </w:rPr>
        <w:t>environment</w:t>
      </w:r>
      <w:r w:rsidR="006801FB" w:rsidRPr="00D869E3">
        <w:rPr>
          <w:rFonts w:ascii="Verdana" w:hAnsi="Verdana"/>
          <w:sz w:val="20"/>
          <w:szCs w:val="20"/>
          <w:lang w:val="en-US"/>
        </w:rPr>
        <w:t xml:space="preserve">. Moreover, </w:t>
      </w:r>
      <w:r w:rsidRPr="00D869E3">
        <w:rPr>
          <w:rFonts w:ascii="Verdana" w:hAnsi="Verdana"/>
          <w:sz w:val="20"/>
          <w:szCs w:val="20"/>
          <w:lang w:val="en-US"/>
        </w:rPr>
        <w:t xml:space="preserve">in view of the conflictive context </w:t>
      </w:r>
      <w:r w:rsidR="006801FB" w:rsidRPr="00D869E3">
        <w:rPr>
          <w:rFonts w:ascii="Verdana" w:hAnsi="Verdana"/>
          <w:sz w:val="20"/>
          <w:szCs w:val="20"/>
          <w:lang w:val="en-US"/>
        </w:rPr>
        <w:t xml:space="preserve">that surrounded the industrial communities, the information on irregularities within them was of public interest. </w:t>
      </w:r>
      <w:r w:rsidR="00687684" w:rsidRPr="00D869E3">
        <w:rPr>
          <w:rFonts w:ascii="Verdana" w:hAnsi="Verdana"/>
          <w:sz w:val="20"/>
          <w:szCs w:val="20"/>
          <w:lang w:val="en-US"/>
        </w:rPr>
        <w:t>The representatives</w:t>
      </w:r>
      <w:r w:rsidR="004D6B60" w:rsidRPr="00D869E3">
        <w:rPr>
          <w:rFonts w:ascii="Verdana" w:hAnsi="Verdana"/>
          <w:sz w:val="20"/>
          <w:szCs w:val="20"/>
          <w:lang w:val="en-US"/>
        </w:rPr>
        <w:t xml:space="preserve"> </w:t>
      </w:r>
      <w:r w:rsidR="006801FB" w:rsidRPr="00D869E3">
        <w:rPr>
          <w:rFonts w:ascii="Verdana" w:hAnsi="Verdana"/>
          <w:sz w:val="20"/>
          <w:szCs w:val="20"/>
          <w:lang w:val="en-US"/>
        </w:rPr>
        <w:t xml:space="preserve">argued that this information was important for an open discussion in a democratic society and for the 220 employees and manual workers who worked for </w:t>
      </w:r>
      <w:r w:rsidR="004D6B60" w:rsidRPr="00D869E3">
        <w:rPr>
          <w:rFonts w:ascii="Verdana" w:hAnsi="Verdana"/>
          <w:iCs/>
          <w:sz w:val="20"/>
          <w:szCs w:val="20"/>
          <w:lang w:val="en-US"/>
        </w:rPr>
        <w:t>Ceper-Pirelli</w:t>
      </w:r>
      <w:r w:rsidR="004D6B60" w:rsidRPr="00D869E3">
        <w:rPr>
          <w:rFonts w:ascii="Verdana" w:hAnsi="Verdana"/>
          <w:sz w:val="20"/>
          <w:szCs w:val="20"/>
          <w:lang w:val="en-US"/>
        </w:rPr>
        <w:t xml:space="preserve"> </w:t>
      </w:r>
      <w:r w:rsidR="006801FB" w:rsidRPr="00D869E3">
        <w:rPr>
          <w:rFonts w:ascii="Verdana" w:hAnsi="Verdana"/>
          <w:sz w:val="20"/>
          <w:szCs w:val="20"/>
          <w:lang w:val="en-US"/>
        </w:rPr>
        <w:t xml:space="preserve">at that time. They indicated that, although </w:t>
      </w:r>
      <w:r w:rsidR="003506CC" w:rsidRPr="00D869E3">
        <w:rPr>
          <w:rFonts w:ascii="Verdana" w:hAnsi="Verdana"/>
          <w:sz w:val="20"/>
          <w:szCs w:val="20"/>
          <w:lang w:val="en-US"/>
        </w:rPr>
        <w:t xml:space="preserve">the </w:t>
      </w:r>
      <w:r w:rsidR="00966115" w:rsidRPr="00D869E3">
        <w:rPr>
          <w:rFonts w:ascii="Verdana" w:hAnsi="Verdana"/>
          <w:sz w:val="20"/>
          <w:szCs w:val="20"/>
          <w:lang w:val="en-US"/>
        </w:rPr>
        <w:t>Second Labor Court</w:t>
      </w:r>
      <w:r w:rsidR="004D6B60" w:rsidRPr="00D869E3">
        <w:rPr>
          <w:rFonts w:ascii="Verdana" w:hAnsi="Verdana"/>
          <w:sz w:val="20"/>
          <w:szCs w:val="20"/>
          <w:lang w:val="en-US"/>
        </w:rPr>
        <w:t xml:space="preserve"> </w:t>
      </w:r>
      <w:r w:rsidR="006801FB" w:rsidRPr="00D869E3">
        <w:rPr>
          <w:rFonts w:ascii="Verdana" w:hAnsi="Verdana"/>
          <w:sz w:val="20"/>
          <w:szCs w:val="20"/>
          <w:lang w:val="en-US"/>
        </w:rPr>
        <w:t xml:space="preserve">made an interpretation pursuant to </w:t>
      </w:r>
      <w:r w:rsidR="00852CCA" w:rsidRPr="00D869E3">
        <w:rPr>
          <w:rFonts w:ascii="Verdana" w:hAnsi="Verdana"/>
          <w:sz w:val="20"/>
          <w:szCs w:val="20"/>
          <w:lang w:val="en-US"/>
        </w:rPr>
        <w:t>Law</w:t>
      </w:r>
      <w:r w:rsidR="004D6B60" w:rsidRPr="00D869E3">
        <w:rPr>
          <w:rFonts w:ascii="Verdana" w:hAnsi="Verdana"/>
          <w:sz w:val="20"/>
          <w:szCs w:val="20"/>
          <w:lang w:val="en-US"/>
        </w:rPr>
        <w:t xml:space="preserve"> </w:t>
      </w:r>
      <w:r w:rsidR="00852CCA" w:rsidRPr="00D869E3">
        <w:rPr>
          <w:rFonts w:ascii="Verdana" w:hAnsi="Verdana"/>
          <w:sz w:val="20"/>
          <w:szCs w:val="20"/>
          <w:lang w:val="en-US"/>
        </w:rPr>
        <w:t>No.</w:t>
      </w:r>
      <w:r w:rsidR="004D6B60" w:rsidRPr="00D869E3">
        <w:rPr>
          <w:rFonts w:ascii="Verdana" w:hAnsi="Verdana"/>
          <w:sz w:val="20"/>
          <w:szCs w:val="20"/>
          <w:lang w:val="en-US"/>
        </w:rPr>
        <w:t xml:space="preserve"> 24514, </w:t>
      </w:r>
      <w:r w:rsidR="006801FB" w:rsidRPr="00D869E3">
        <w:rPr>
          <w:rFonts w:ascii="Verdana" w:hAnsi="Verdana"/>
          <w:sz w:val="20"/>
          <w:szCs w:val="20"/>
          <w:lang w:val="en-US"/>
        </w:rPr>
        <w:t xml:space="preserve">since the case related to a restriction of </w:t>
      </w:r>
      <w:r w:rsidR="00A62EA8" w:rsidRPr="00D869E3">
        <w:rPr>
          <w:rFonts w:ascii="Verdana" w:hAnsi="Verdana"/>
          <w:sz w:val="20"/>
          <w:szCs w:val="20"/>
          <w:lang w:val="en-US"/>
        </w:rPr>
        <w:t>freedom of expression</w:t>
      </w:r>
      <w:r w:rsidR="006801FB" w:rsidRPr="00D869E3">
        <w:rPr>
          <w:rFonts w:ascii="Verdana" w:hAnsi="Verdana"/>
          <w:sz w:val="20"/>
          <w:szCs w:val="20"/>
          <w:lang w:val="en-US"/>
        </w:rPr>
        <w:t>, it</w:t>
      </w:r>
      <w:r w:rsidR="00A8581E" w:rsidRPr="00D869E3">
        <w:rPr>
          <w:rFonts w:ascii="Verdana" w:hAnsi="Verdana"/>
          <w:sz w:val="20"/>
          <w:szCs w:val="20"/>
          <w:lang w:val="en-US"/>
        </w:rPr>
        <w:t xml:space="preserve">s decision should have weighed this right against </w:t>
      </w:r>
      <w:r w:rsidR="000B2E5E" w:rsidRPr="00D869E3">
        <w:rPr>
          <w:rFonts w:ascii="Verdana" w:hAnsi="Verdana"/>
          <w:sz w:val="20"/>
          <w:szCs w:val="20"/>
          <w:lang w:val="en-US"/>
        </w:rPr>
        <w:t>the right to</w:t>
      </w:r>
      <w:r w:rsidR="006801FB" w:rsidRPr="00D869E3">
        <w:rPr>
          <w:rFonts w:ascii="Verdana" w:hAnsi="Verdana"/>
          <w:sz w:val="20"/>
          <w:szCs w:val="20"/>
          <w:lang w:val="en-US"/>
        </w:rPr>
        <w:t xml:space="preserve"> reputation</w:t>
      </w:r>
      <w:r w:rsidR="00A8581E" w:rsidRPr="00D869E3">
        <w:rPr>
          <w:rFonts w:ascii="Verdana" w:hAnsi="Verdana"/>
          <w:sz w:val="20"/>
          <w:szCs w:val="20"/>
          <w:lang w:val="en-US"/>
        </w:rPr>
        <w:t>, which had been alleged</w:t>
      </w:r>
      <w:r w:rsidR="006801FB" w:rsidRPr="00D869E3">
        <w:rPr>
          <w:rFonts w:ascii="Verdana" w:hAnsi="Verdana"/>
          <w:sz w:val="20"/>
          <w:szCs w:val="20"/>
          <w:lang w:val="en-US"/>
        </w:rPr>
        <w:t>. In addition, the</w:t>
      </w:r>
      <w:r w:rsidR="00A8581E" w:rsidRPr="00D869E3">
        <w:rPr>
          <w:rFonts w:ascii="Verdana" w:hAnsi="Verdana"/>
          <w:sz w:val="20"/>
          <w:szCs w:val="20"/>
          <w:lang w:val="en-US"/>
        </w:rPr>
        <w:t xml:space="preserve"> representatives</w:t>
      </w:r>
      <w:r w:rsidR="006801FB" w:rsidRPr="00D869E3">
        <w:rPr>
          <w:rFonts w:ascii="Verdana" w:hAnsi="Verdana"/>
          <w:sz w:val="20"/>
          <w:szCs w:val="20"/>
          <w:lang w:val="en-US"/>
        </w:rPr>
        <w:t xml:space="preserve"> indicated that the </w:t>
      </w:r>
      <w:r w:rsidR="00A8581E" w:rsidRPr="00D869E3">
        <w:rPr>
          <w:rFonts w:ascii="Verdana" w:hAnsi="Verdana"/>
          <w:sz w:val="20"/>
          <w:szCs w:val="20"/>
          <w:lang w:val="en-US"/>
        </w:rPr>
        <w:t>sanction</w:t>
      </w:r>
      <w:r w:rsidR="006801FB" w:rsidRPr="00D869E3">
        <w:rPr>
          <w:rFonts w:ascii="Verdana" w:hAnsi="Verdana"/>
          <w:sz w:val="20"/>
          <w:szCs w:val="20"/>
          <w:lang w:val="en-US"/>
        </w:rPr>
        <w:t xml:space="preserve"> was not necessary in a democratic society and was not proportionate to the alleged harm to the right to honor of the company and the personnel. They </w:t>
      </w:r>
      <w:r w:rsidR="00A8581E" w:rsidRPr="00D869E3">
        <w:rPr>
          <w:rFonts w:ascii="Verdana" w:hAnsi="Verdana"/>
          <w:sz w:val="20"/>
          <w:szCs w:val="20"/>
          <w:lang w:val="en-US"/>
        </w:rPr>
        <w:t>considered</w:t>
      </w:r>
      <w:r w:rsidR="006801FB" w:rsidRPr="00D869E3">
        <w:rPr>
          <w:rFonts w:ascii="Verdana" w:hAnsi="Verdana"/>
          <w:sz w:val="20"/>
          <w:szCs w:val="20"/>
          <w:lang w:val="en-US"/>
        </w:rPr>
        <w:t xml:space="preserve"> that a civil </w:t>
      </w:r>
      <w:r w:rsidR="00A8581E" w:rsidRPr="00D869E3">
        <w:rPr>
          <w:rFonts w:ascii="Verdana" w:hAnsi="Verdana"/>
          <w:sz w:val="20"/>
          <w:szCs w:val="20"/>
          <w:lang w:val="en-US"/>
        </w:rPr>
        <w:t>sanction</w:t>
      </w:r>
      <w:r w:rsidR="006801FB" w:rsidRPr="00D869E3">
        <w:rPr>
          <w:rFonts w:ascii="Verdana" w:hAnsi="Verdana"/>
          <w:sz w:val="20"/>
          <w:szCs w:val="20"/>
          <w:lang w:val="en-US"/>
        </w:rPr>
        <w:t xml:space="preserve"> such as dismissal c</w:t>
      </w:r>
      <w:r w:rsidR="00A8581E" w:rsidRPr="00D869E3">
        <w:rPr>
          <w:rFonts w:ascii="Verdana" w:hAnsi="Verdana"/>
          <w:sz w:val="20"/>
          <w:szCs w:val="20"/>
          <w:lang w:val="en-US"/>
        </w:rPr>
        <w:t>ould</w:t>
      </w:r>
      <w:r w:rsidR="006801FB" w:rsidRPr="00D869E3">
        <w:rPr>
          <w:rFonts w:ascii="Verdana" w:hAnsi="Verdana"/>
          <w:sz w:val="20"/>
          <w:szCs w:val="20"/>
          <w:lang w:val="en-US"/>
        </w:rPr>
        <w:t xml:space="preserve"> be more </w:t>
      </w:r>
      <w:r w:rsidR="00A8581E" w:rsidRPr="00D869E3">
        <w:rPr>
          <w:rFonts w:ascii="Verdana" w:hAnsi="Verdana"/>
          <w:sz w:val="20"/>
          <w:szCs w:val="20"/>
          <w:lang w:val="en-US"/>
        </w:rPr>
        <w:t>daunting</w:t>
      </w:r>
      <w:r w:rsidR="006801FB" w:rsidRPr="00D869E3">
        <w:rPr>
          <w:rFonts w:ascii="Verdana" w:hAnsi="Verdana"/>
          <w:sz w:val="20"/>
          <w:szCs w:val="20"/>
          <w:lang w:val="en-US"/>
        </w:rPr>
        <w:t xml:space="preserve"> than a criminal </w:t>
      </w:r>
      <w:r w:rsidR="00D13E32" w:rsidRPr="00D869E3">
        <w:rPr>
          <w:rFonts w:ascii="Verdana" w:hAnsi="Verdana"/>
          <w:sz w:val="20"/>
          <w:szCs w:val="20"/>
          <w:lang w:val="en-US"/>
        </w:rPr>
        <w:t>sanction because</w:t>
      </w:r>
      <w:r w:rsidR="006801FB" w:rsidRPr="00D869E3">
        <w:rPr>
          <w:rFonts w:ascii="Verdana" w:hAnsi="Verdana"/>
          <w:sz w:val="20"/>
          <w:szCs w:val="20"/>
          <w:lang w:val="en-US"/>
        </w:rPr>
        <w:t xml:space="preserve"> it ha</w:t>
      </w:r>
      <w:r w:rsidR="00A8581E" w:rsidRPr="00D869E3">
        <w:rPr>
          <w:rFonts w:ascii="Verdana" w:hAnsi="Verdana"/>
          <w:sz w:val="20"/>
          <w:szCs w:val="20"/>
          <w:lang w:val="en-US"/>
        </w:rPr>
        <w:t>d</w:t>
      </w:r>
      <w:r w:rsidR="006801FB" w:rsidRPr="00D869E3">
        <w:rPr>
          <w:rFonts w:ascii="Verdana" w:hAnsi="Verdana"/>
          <w:sz w:val="20"/>
          <w:szCs w:val="20"/>
          <w:lang w:val="en-US"/>
        </w:rPr>
        <w:t xml:space="preserve"> the potential to compromise personal and family life. Nevertheless, the representatives considered that, in light of the existence of a conflict between the rights presumably violated, the individuals who felt that they had been harmed or insulted could have filed a criminal complaint against </w:t>
      </w:r>
      <w:r w:rsidR="00312792" w:rsidRPr="00D869E3">
        <w:rPr>
          <w:rFonts w:ascii="Verdana" w:hAnsi="Verdana"/>
          <w:sz w:val="20"/>
          <w:szCs w:val="20"/>
          <w:lang w:val="en-US"/>
        </w:rPr>
        <w:t>Mr. Lagos</w:t>
      </w:r>
      <w:r w:rsidR="004D6B60" w:rsidRPr="00D869E3">
        <w:rPr>
          <w:rFonts w:ascii="Verdana" w:hAnsi="Verdana"/>
          <w:sz w:val="20"/>
          <w:szCs w:val="20"/>
          <w:lang w:val="en-US"/>
        </w:rPr>
        <w:t xml:space="preserve"> de</w:t>
      </w:r>
      <w:r w:rsidR="004E7ECD">
        <w:rPr>
          <w:rFonts w:ascii="Verdana" w:hAnsi="Verdana"/>
          <w:sz w:val="20"/>
          <w:szCs w:val="20"/>
          <w:lang w:val="en-US"/>
        </w:rPr>
        <w:t>l</w:t>
      </w:r>
      <w:r w:rsidR="004D6B60" w:rsidRPr="00D869E3">
        <w:rPr>
          <w:rFonts w:ascii="Verdana" w:hAnsi="Verdana"/>
          <w:sz w:val="20"/>
          <w:szCs w:val="20"/>
          <w:lang w:val="en-US"/>
        </w:rPr>
        <w:t xml:space="preserve"> Campo </w:t>
      </w:r>
      <w:r w:rsidR="006801FB" w:rsidRPr="00D869E3">
        <w:rPr>
          <w:rFonts w:ascii="Verdana" w:hAnsi="Verdana"/>
          <w:sz w:val="20"/>
          <w:szCs w:val="20"/>
          <w:lang w:val="en-US"/>
        </w:rPr>
        <w:t xml:space="preserve">for offenses against honor or, if appropriate, requested a rectification pursuant to the Press Freedom Statute. </w:t>
      </w:r>
    </w:p>
    <w:p w14:paraId="44E13C1A" w14:textId="77777777" w:rsidR="004D6B60" w:rsidRPr="00D869E3" w:rsidRDefault="004D6B60" w:rsidP="005D0F69">
      <w:pPr>
        <w:contextualSpacing/>
        <w:jc w:val="both"/>
        <w:rPr>
          <w:rFonts w:ascii="Verdana" w:hAnsi="Verdana"/>
          <w:sz w:val="20"/>
          <w:szCs w:val="20"/>
          <w:lang w:val="en-US"/>
        </w:rPr>
      </w:pPr>
    </w:p>
    <w:p w14:paraId="791A4FF8" w14:textId="79A0FFB4" w:rsidR="006F3392" w:rsidRPr="00D869E3" w:rsidRDefault="004D6B60" w:rsidP="00E66DD7">
      <w:pPr>
        <w:numPr>
          <w:ilvl w:val="0"/>
          <w:numId w:val="1"/>
        </w:numPr>
        <w:ind w:left="0" w:hanging="11"/>
        <w:contextualSpacing/>
        <w:jc w:val="both"/>
        <w:rPr>
          <w:rFonts w:ascii="Verdana" w:hAnsi="Verdana"/>
          <w:strike/>
          <w:sz w:val="20"/>
          <w:lang w:val="en-US"/>
        </w:rPr>
      </w:pPr>
      <w:r w:rsidRPr="00D869E3">
        <w:rPr>
          <w:rFonts w:ascii="Verdana" w:eastAsia="MS Mincho" w:hAnsi="Verdana" w:cs="Verdana"/>
          <w:sz w:val="20"/>
          <w:szCs w:val="20"/>
          <w:lang w:val="en-US" w:eastAsia="es-ES"/>
        </w:rPr>
        <w:t>Re</w:t>
      </w:r>
      <w:r w:rsidR="006F3392" w:rsidRPr="00D869E3">
        <w:rPr>
          <w:rFonts w:ascii="Verdana" w:eastAsia="MS Mincho" w:hAnsi="Verdana" w:cs="Verdana"/>
          <w:sz w:val="20"/>
          <w:szCs w:val="20"/>
          <w:lang w:val="en-US" w:eastAsia="es-ES"/>
        </w:rPr>
        <w:t xml:space="preserve">garding </w:t>
      </w:r>
      <w:r w:rsidR="001C3FBD" w:rsidRPr="00D869E3">
        <w:rPr>
          <w:rFonts w:ascii="Verdana" w:eastAsia="MS Mincho" w:hAnsi="Verdana" w:cs="Verdana"/>
          <w:sz w:val="20"/>
          <w:szCs w:val="20"/>
          <w:lang w:val="en-US" w:eastAsia="es-ES"/>
        </w:rPr>
        <w:t>judicial guarantees</w:t>
      </w:r>
      <w:r w:rsidR="006801FB" w:rsidRPr="00D869E3">
        <w:rPr>
          <w:rFonts w:ascii="Verdana" w:eastAsia="MS Mincho" w:hAnsi="Verdana" w:cs="Verdana"/>
          <w:sz w:val="20"/>
          <w:szCs w:val="20"/>
          <w:lang w:val="en-US" w:eastAsia="es-ES"/>
        </w:rPr>
        <w:t xml:space="preserve">, </w:t>
      </w:r>
      <w:r w:rsidR="00687684" w:rsidRPr="00D869E3">
        <w:rPr>
          <w:rFonts w:ascii="Verdana" w:eastAsia="MS Mincho" w:hAnsi="Verdana" w:cs="Verdana"/>
          <w:sz w:val="20"/>
          <w:szCs w:val="20"/>
          <w:lang w:val="en-US" w:eastAsia="es-ES"/>
        </w:rPr>
        <w:t>the representatives</w:t>
      </w:r>
      <w:r w:rsidRPr="00D869E3">
        <w:rPr>
          <w:rFonts w:ascii="Verdana" w:eastAsia="MS Mincho" w:hAnsi="Verdana" w:cs="Verdana"/>
          <w:sz w:val="20"/>
          <w:szCs w:val="20"/>
          <w:lang w:val="en-US" w:eastAsia="es-ES"/>
        </w:rPr>
        <w:t xml:space="preserve"> a</w:t>
      </w:r>
      <w:r w:rsidR="006F3392" w:rsidRPr="00D869E3">
        <w:rPr>
          <w:rFonts w:ascii="Verdana" w:eastAsia="MS Mincho" w:hAnsi="Verdana" w:cs="Verdana"/>
          <w:sz w:val="20"/>
          <w:szCs w:val="20"/>
          <w:lang w:val="en-US" w:eastAsia="es-ES"/>
        </w:rPr>
        <w:t xml:space="preserve">sserted that the obligation to </w:t>
      </w:r>
      <w:r w:rsidR="00A8581E" w:rsidRPr="00D869E3">
        <w:rPr>
          <w:rFonts w:ascii="Verdana" w:eastAsia="MS Mincho" w:hAnsi="Verdana" w:cs="Verdana"/>
          <w:sz w:val="20"/>
          <w:szCs w:val="20"/>
          <w:lang w:val="en-US" w:eastAsia="es-ES"/>
        </w:rPr>
        <w:t xml:space="preserve">give reasoned decisions </w:t>
      </w:r>
      <w:r w:rsidR="006F3392" w:rsidRPr="00D869E3">
        <w:rPr>
          <w:rFonts w:ascii="Verdana" w:eastAsia="MS Mincho" w:hAnsi="Verdana" w:cs="Verdana"/>
          <w:sz w:val="20"/>
          <w:szCs w:val="20"/>
          <w:lang w:val="en-US" w:eastAsia="es-ES"/>
        </w:rPr>
        <w:t xml:space="preserve">had been violated in both the labor proceeding and in the proceeding on the application for amparo. In addition, they argued that the right to be heard by a judge or court had been violated because </w:t>
      </w:r>
      <w:r w:rsidR="006F3392" w:rsidRPr="00D869E3">
        <w:rPr>
          <w:rFonts w:ascii="Verdana" w:hAnsi="Verdana"/>
          <w:sz w:val="20"/>
          <w:szCs w:val="20"/>
          <w:lang w:val="en-US"/>
        </w:rPr>
        <w:t xml:space="preserve">the Second Labor Court had not processed </w:t>
      </w:r>
      <w:r w:rsidR="00A8581E" w:rsidRPr="00D869E3">
        <w:rPr>
          <w:rFonts w:ascii="Verdana" w:hAnsi="Verdana"/>
          <w:sz w:val="20"/>
          <w:szCs w:val="20"/>
          <w:lang w:val="en-US"/>
        </w:rPr>
        <w:t>Mr. Lagos del Campo’s</w:t>
      </w:r>
      <w:r w:rsidR="006F3392" w:rsidRPr="00D869E3">
        <w:rPr>
          <w:rFonts w:ascii="Verdana" w:hAnsi="Verdana"/>
          <w:sz w:val="20"/>
          <w:szCs w:val="20"/>
          <w:lang w:val="en-US"/>
        </w:rPr>
        <w:t xml:space="preserve"> observations and arguments until after it had delivered judgment. They indicated that the right to be heard included not only the possibility of the evidence being examined, but also that of the arguments of the parties being analyzed</w:t>
      </w:r>
      <w:r w:rsidR="00A8581E" w:rsidRPr="00D869E3">
        <w:rPr>
          <w:rFonts w:ascii="Verdana" w:hAnsi="Verdana"/>
          <w:sz w:val="20"/>
          <w:szCs w:val="20"/>
          <w:lang w:val="en-US"/>
        </w:rPr>
        <w:t>, a</w:t>
      </w:r>
      <w:r w:rsidR="006F3392" w:rsidRPr="00D869E3">
        <w:rPr>
          <w:rFonts w:ascii="Verdana" w:hAnsi="Verdana"/>
          <w:sz w:val="20"/>
          <w:szCs w:val="20"/>
          <w:lang w:val="en-US"/>
        </w:rPr>
        <w:t>nd that</w:t>
      </w:r>
      <w:r w:rsidR="00A8581E" w:rsidRPr="00D869E3">
        <w:rPr>
          <w:rFonts w:ascii="Verdana" w:hAnsi="Verdana"/>
          <w:sz w:val="20"/>
          <w:szCs w:val="20"/>
          <w:lang w:val="en-US"/>
        </w:rPr>
        <w:t xml:space="preserve"> this had</w:t>
      </w:r>
      <w:r w:rsidR="006F3392" w:rsidRPr="00D869E3">
        <w:rPr>
          <w:rFonts w:ascii="Verdana" w:hAnsi="Verdana"/>
          <w:sz w:val="20"/>
          <w:szCs w:val="20"/>
          <w:lang w:val="en-US"/>
        </w:rPr>
        <w:t xml:space="preserve"> constituted a limitation of the right to contradict the statements and arguments made by the company.</w:t>
      </w:r>
    </w:p>
    <w:p w14:paraId="0213FE86" w14:textId="77777777" w:rsidR="00B252C9" w:rsidRPr="00D869E3" w:rsidRDefault="00B252C9" w:rsidP="00B252C9">
      <w:pPr>
        <w:pStyle w:val="Prrafodelista"/>
        <w:rPr>
          <w:rFonts w:ascii="Verdana" w:hAnsi="Verdana"/>
          <w:strike/>
          <w:sz w:val="20"/>
          <w:lang w:val="en-US"/>
        </w:rPr>
      </w:pPr>
    </w:p>
    <w:p w14:paraId="2748E574" w14:textId="1590CBF5" w:rsidR="004D6B60" w:rsidRPr="00D869E3" w:rsidRDefault="00447C65" w:rsidP="00262F28">
      <w:pPr>
        <w:numPr>
          <w:ilvl w:val="0"/>
          <w:numId w:val="1"/>
        </w:numPr>
        <w:ind w:left="0" w:hanging="11"/>
        <w:contextualSpacing/>
        <w:jc w:val="both"/>
        <w:rPr>
          <w:rFonts w:ascii="Verdana" w:hAnsi="Verdana"/>
          <w:strike/>
          <w:sz w:val="20"/>
          <w:lang w:val="en-US"/>
        </w:rPr>
      </w:pPr>
      <w:r w:rsidRPr="00D869E3">
        <w:rPr>
          <w:rFonts w:ascii="Verdana" w:hAnsi="Verdana"/>
          <w:sz w:val="20"/>
          <w:szCs w:val="20"/>
          <w:lang w:val="en-US"/>
        </w:rPr>
        <w:t xml:space="preserve">The </w:t>
      </w:r>
      <w:r w:rsidRPr="00D869E3">
        <w:rPr>
          <w:rFonts w:ascii="Verdana" w:hAnsi="Verdana"/>
          <w:b/>
          <w:bCs/>
          <w:i/>
          <w:iCs/>
          <w:sz w:val="20"/>
          <w:szCs w:val="20"/>
          <w:lang w:val="en-US"/>
        </w:rPr>
        <w:t>State</w:t>
      </w:r>
      <w:r w:rsidR="004D6B60" w:rsidRPr="00D869E3">
        <w:rPr>
          <w:rFonts w:ascii="Verdana" w:hAnsi="Verdana"/>
          <w:b/>
          <w:i/>
          <w:sz w:val="20"/>
          <w:szCs w:val="20"/>
          <w:lang w:val="en-US"/>
        </w:rPr>
        <w:t xml:space="preserve"> </w:t>
      </w:r>
      <w:r w:rsidR="006F3392" w:rsidRPr="00D869E3">
        <w:rPr>
          <w:rFonts w:ascii="Verdana" w:hAnsi="Verdana"/>
          <w:sz w:val="20"/>
          <w:szCs w:val="20"/>
          <w:lang w:val="en-US"/>
        </w:rPr>
        <w:t xml:space="preserve">indicated that, since </w:t>
      </w:r>
      <w:r w:rsidR="001E44D3" w:rsidRPr="00D869E3">
        <w:rPr>
          <w:rFonts w:ascii="Verdana" w:hAnsi="Verdana"/>
          <w:sz w:val="20"/>
          <w:szCs w:val="20"/>
          <w:lang w:val="en-US"/>
        </w:rPr>
        <w:t>Mr. Lagos del Campo</w:t>
      </w:r>
      <w:r w:rsidR="004D6B60" w:rsidRPr="00D869E3">
        <w:rPr>
          <w:rFonts w:ascii="Verdana" w:hAnsi="Verdana"/>
          <w:sz w:val="20"/>
          <w:szCs w:val="20"/>
          <w:lang w:val="en-US"/>
        </w:rPr>
        <w:t xml:space="preserve"> </w:t>
      </w:r>
      <w:r w:rsidR="006F3392" w:rsidRPr="00D869E3">
        <w:rPr>
          <w:rFonts w:ascii="Verdana" w:hAnsi="Verdana"/>
          <w:sz w:val="20"/>
          <w:szCs w:val="20"/>
          <w:lang w:val="en-US"/>
        </w:rPr>
        <w:t xml:space="preserve">was not a labor union leader, he was not entitled to “greater protection” and his statements were not a matter of public interest. It argued that the fact that the information was relevant for the workers to form an opinion on the situation of the elections made it even more important that such information should not be false or biased. The State also indicated that the Commission had disregarded the importance of </w:t>
      </w:r>
      <w:r w:rsidR="003055FB" w:rsidRPr="00D869E3">
        <w:rPr>
          <w:rFonts w:ascii="Verdana" w:hAnsi="Verdana"/>
          <w:sz w:val="20"/>
          <w:szCs w:val="20"/>
          <w:lang w:val="en-US"/>
        </w:rPr>
        <w:t>generating a respectful discussion of opinions and information. In this regard, it indicated that</w:t>
      </w:r>
      <w:r w:rsidR="003055FB" w:rsidRPr="00D869E3">
        <w:rPr>
          <w:rFonts w:ascii="Verdana" w:hAnsi="Verdana"/>
          <w:b/>
          <w:sz w:val="20"/>
          <w:szCs w:val="20"/>
          <w:lang w:val="en-US"/>
        </w:rPr>
        <w:t xml:space="preserve"> </w:t>
      </w:r>
      <w:r w:rsidR="00F43C5F" w:rsidRPr="00D869E3">
        <w:rPr>
          <w:rFonts w:ascii="Verdana" w:hAnsi="Verdana"/>
          <w:sz w:val="20"/>
          <w:szCs w:val="20"/>
          <w:lang w:val="en-US"/>
        </w:rPr>
        <w:t>the Committee</w:t>
      </w:r>
      <w:r w:rsidR="00AD5EEE" w:rsidRPr="00D869E3">
        <w:rPr>
          <w:rFonts w:ascii="Verdana" w:hAnsi="Verdana"/>
          <w:sz w:val="20"/>
          <w:szCs w:val="20"/>
          <w:lang w:val="en-US"/>
        </w:rPr>
        <w:t xml:space="preserve"> </w:t>
      </w:r>
      <w:r w:rsidR="003055FB" w:rsidRPr="00D869E3">
        <w:rPr>
          <w:rFonts w:ascii="Verdana" w:hAnsi="Verdana"/>
          <w:sz w:val="20"/>
          <w:szCs w:val="20"/>
          <w:lang w:val="en-US"/>
        </w:rPr>
        <w:t xml:space="preserve">on Freedom of Association of the Governing Body of the International Labour Organization (ILO) had indicated that trade unions </w:t>
      </w:r>
      <w:r w:rsidR="006701AD" w:rsidRPr="00D869E3">
        <w:rPr>
          <w:rFonts w:ascii="Verdana" w:hAnsi="Verdana"/>
          <w:sz w:val="20"/>
          <w:szCs w:val="20"/>
          <w:lang w:val="en-US"/>
        </w:rPr>
        <w:t>“</w:t>
      </w:r>
      <w:r w:rsidR="003055FB" w:rsidRPr="00D869E3">
        <w:rPr>
          <w:rFonts w:ascii="Verdana" w:hAnsi="Verdana"/>
          <w:sz w:val="20"/>
          <w:szCs w:val="20"/>
          <w:lang w:val="en-US"/>
        </w:rPr>
        <w:t xml:space="preserve">should </w:t>
      </w:r>
      <w:r w:rsidR="006701AD" w:rsidRPr="00D869E3">
        <w:rPr>
          <w:rFonts w:ascii="Verdana" w:hAnsi="Verdana"/>
          <w:sz w:val="20"/>
          <w:szCs w:val="20"/>
          <w:lang w:val="en-US"/>
        </w:rPr>
        <w:t xml:space="preserve">respect the limits of propriety and </w:t>
      </w:r>
      <w:r w:rsidR="003055FB" w:rsidRPr="00D869E3">
        <w:rPr>
          <w:rFonts w:ascii="Verdana" w:hAnsi="Verdana"/>
          <w:sz w:val="20"/>
          <w:szCs w:val="20"/>
          <w:lang w:val="en-US"/>
        </w:rPr>
        <w:t>refrain from</w:t>
      </w:r>
      <w:r w:rsidR="006701AD" w:rsidRPr="00D869E3">
        <w:rPr>
          <w:rFonts w:ascii="Verdana" w:hAnsi="Verdana"/>
          <w:sz w:val="20"/>
          <w:szCs w:val="20"/>
          <w:lang w:val="en-US"/>
        </w:rPr>
        <w:t xml:space="preserve"> the use of insulting</w:t>
      </w:r>
      <w:r w:rsidR="003055FB" w:rsidRPr="00D869E3">
        <w:rPr>
          <w:rFonts w:ascii="Verdana" w:hAnsi="Verdana"/>
          <w:sz w:val="20"/>
          <w:szCs w:val="20"/>
          <w:lang w:val="en-US"/>
        </w:rPr>
        <w:t xml:space="preserve"> language.” It argued that the Commission had not analyzed the limits to the use of certain </w:t>
      </w:r>
      <w:r w:rsidR="006701AD" w:rsidRPr="00D869E3">
        <w:rPr>
          <w:rFonts w:ascii="Verdana" w:hAnsi="Verdana"/>
          <w:sz w:val="20"/>
          <w:szCs w:val="20"/>
          <w:lang w:val="en-US"/>
        </w:rPr>
        <w:t>expressions</w:t>
      </w:r>
      <w:r w:rsidR="003055FB" w:rsidRPr="00D869E3">
        <w:rPr>
          <w:rFonts w:ascii="Verdana" w:hAnsi="Verdana"/>
          <w:sz w:val="20"/>
          <w:szCs w:val="20"/>
          <w:lang w:val="en-US"/>
        </w:rPr>
        <w:t>, ignoring the fact that it is necessary to weigh th</w:t>
      </w:r>
      <w:r w:rsidR="00863902" w:rsidRPr="00D869E3">
        <w:rPr>
          <w:rFonts w:ascii="Verdana" w:hAnsi="Verdana"/>
          <w:sz w:val="20"/>
          <w:szCs w:val="20"/>
          <w:lang w:val="en-US"/>
        </w:rPr>
        <w:t>e</w:t>
      </w:r>
      <w:r w:rsidR="003055FB" w:rsidRPr="00D869E3">
        <w:rPr>
          <w:rFonts w:ascii="Verdana" w:hAnsi="Verdana"/>
          <w:sz w:val="20"/>
          <w:szCs w:val="20"/>
          <w:lang w:val="en-US"/>
        </w:rPr>
        <w:t xml:space="preserve"> right </w:t>
      </w:r>
      <w:r w:rsidR="00863902" w:rsidRPr="00D869E3">
        <w:rPr>
          <w:rFonts w:ascii="Verdana" w:hAnsi="Verdana"/>
          <w:sz w:val="20"/>
          <w:szCs w:val="20"/>
          <w:lang w:val="en-US"/>
        </w:rPr>
        <w:t xml:space="preserve">to freedom of expression </w:t>
      </w:r>
      <w:r w:rsidR="003055FB" w:rsidRPr="00D869E3">
        <w:rPr>
          <w:rFonts w:ascii="Verdana" w:hAnsi="Verdana"/>
          <w:sz w:val="20"/>
          <w:szCs w:val="20"/>
          <w:lang w:val="en-US"/>
        </w:rPr>
        <w:t>against the right to honor. It also indicated that the Commission had tried to transfer to the “</w:t>
      </w:r>
      <w:r w:rsidR="00863902" w:rsidRPr="00D869E3">
        <w:rPr>
          <w:rFonts w:ascii="Verdana" w:hAnsi="Verdana"/>
          <w:sz w:val="20"/>
          <w:szCs w:val="20"/>
          <w:lang w:val="en-US"/>
        </w:rPr>
        <w:t xml:space="preserve">private third party” </w:t>
      </w:r>
      <w:r w:rsidR="003055FB" w:rsidRPr="00D869E3">
        <w:rPr>
          <w:rFonts w:ascii="Verdana" w:hAnsi="Verdana"/>
          <w:sz w:val="20"/>
          <w:szCs w:val="20"/>
          <w:lang w:val="en-US"/>
        </w:rPr>
        <w:t xml:space="preserve">not only the responsibility for requesting a rectification, but also </w:t>
      </w:r>
      <w:r w:rsidR="00863902" w:rsidRPr="00D869E3">
        <w:rPr>
          <w:rFonts w:ascii="Verdana" w:hAnsi="Verdana"/>
          <w:sz w:val="20"/>
          <w:szCs w:val="20"/>
          <w:lang w:val="en-US"/>
        </w:rPr>
        <w:t>for</w:t>
      </w:r>
      <w:r w:rsidR="003055FB" w:rsidRPr="00D869E3">
        <w:rPr>
          <w:rFonts w:ascii="Verdana" w:hAnsi="Verdana"/>
          <w:sz w:val="20"/>
          <w:szCs w:val="20"/>
          <w:lang w:val="en-US"/>
        </w:rPr>
        <w:t xml:space="preserve"> corroborat</w:t>
      </w:r>
      <w:r w:rsidR="00863902" w:rsidRPr="00D869E3">
        <w:rPr>
          <w:rFonts w:ascii="Verdana" w:hAnsi="Verdana"/>
          <w:sz w:val="20"/>
          <w:szCs w:val="20"/>
          <w:lang w:val="en-US"/>
        </w:rPr>
        <w:t>ing</w:t>
      </w:r>
      <w:r w:rsidR="003055FB" w:rsidRPr="00D869E3">
        <w:rPr>
          <w:rFonts w:ascii="Verdana" w:hAnsi="Verdana"/>
          <w:sz w:val="20"/>
          <w:szCs w:val="20"/>
          <w:lang w:val="en-US"/>
        </w:rPr>
        <w:t xml:space="preserve"> the statement </w:t>
      </w:r>
      <w:r w:rsidR="00B54668" w:rsidRPr="00D869E3">
        <w:rPr>
          <w:rFonts w:ascii="Verdana" w:hAnsi="Verdana"/>
          <w:sz w:val="20"/>
          <w:szCs w:val="20"/>
          <w:lang w:val="en-US"/>
        </w:rPr>
        <w:t xml:space="preserve">that had been </w:t>
      </w:r>
      <w:r w:rsidR="003055FB" w:rsidRPr="00D869E3">
        <w:rPr>
          <w:rFonts w:ascii="Verdana" w:hAnsi="Verdana"/>
          <w:sz w:val="20"/>
          <w:szCs w:val="20"/>
          <w:lang w:val="en-US"/>
        </w:rPr>
        <w:t>made and prov</w:t>
      </w:r>
      <w:r w:rsidR="00863902" w:rsidRPr="00D869E3">
        <w:rPr>
          <w:rFonts w:ascii="Verdana" w:hAnsi="Verdana"/>
          <w:sz w:val="20"/>
          <w:szCs w:val="20"/>
          <w:lang w:val="en-US"/>
        </w:rPr>
        <w:t>ing</w:t>
      </w:r>
      <w:r w:rsidR="003055FB" w:rsidRPr="00D869E3">
        <w:rPr>
          <w:rFonts w:ascii="Verdana" w:hAnsi="Verdana"/>
          <w:sz w:val="20"/>
          <w:szCs w:val="20"/>
          <w:lang w:val="en-US"/>
        </w:rPr>
        <w:t xml:space="preserve"> serious harm.</w:t>
      </w:r>
      <w:r w:rsidR="00B54668" w:rsidRPr="00D869E3">
        <w:rPr>
          <w:rFonts w:ascii="Verdana" w:hAnsi="Verdana"/>
          <w:sz w:val="20"/>
          <w:szCs w:val="20"/>
          <w:lang w:val="en-US"/>
        </w:rPr>
        <w:t xml:space="preserve"> This would </w:t>
      </w:r>
      <w:r w:rsidR="00863902" w:rsidRPr="00D869E3">
        <w:rPr>
          <w:rFonts w:ascii="Verdana" w:hAnsi="Verdana"/>
          <w:sz w:val="20"/>
          <w:szCs w:val="20"/>
          <w:lang w:val="en-US"/>
        </w:rPr>
        <w:t>have made</w:t>
      </w:r>
      <w:r w:rsidR="00B54668" w:rsidRPr="00D869E3">
        <w:rPr>
          <w:rFonts w:ascii="Verdana" w:hAnsi="Verdana"/>
          <w:sz w:val="20"/>
          <w:szCs w:val="20"/>
          <w:lang w:val="en-US"/>
        </w:rPr>
        <w:t xml:space="preserve"> the defense of those who consider</w:t>
      </w:r>
      <w:r w:rsidR="00863902" w:rsidRPr="00D869E3">
        <w:rPr>
          <w:rFonts w:ascii="Verdana" w:hAnsi="Verdana"/>
          <w:sz w:val="20"/>
          <w:szCs w:val="20"/>
          <w:lang w:val="en-US"/>
        </w:rPr>
        <w:t>ed</w:t>
      </w:r>
      <w:r w:rsidR="00B54668" w:rsidRPr="00D869E3">
        <w:rPr>
          <w:rFonts w:ascii="Verdana" w:hAnsi="Verdana"/>
          <w:sz w:val="20"/>
          <w:szCs w:val="20"/>
          <w:lang w:val="en-US"/>
        </w:rPr>
        <w:t xml:space="preserve"> that </w:t>
      </w:r>
      <w:r w:rsidR="00863902" w:rsidRPr="00D869E3">
        <w:rPr>
          <w:rFonts w:ascii="Verdana" w:hAnsi="Verdana"/>
          <w:sz w:val="20"/>
          <w:szCs w:val="20"/>
          <w:lang w:val="en-US"/>
        </w:rPr>
        <w:t>t</w:t>
      </w:r>
      <w:r w:rsidR="00B54668" w:rsidRPr="00D869E3">
        <w:rPr>
          <w:rFonts w:ascii="Verdana" w:hAnsi="Verdana"/>
          <w:sz w:val="20"/>
          <w:szCs w:val="20"/>
          <w:lang w:val="en-US"/>
        </w:rPr>
        <w:t>heir honor ha</w:t>
      </w:r>
      <w:r w:rsidR="00863902" w:rsidRPr="00D869E3">
        <w:rPr>
          <w:rFonts w:ascii="Verdana" w:hAnsi="Verdana"/>
          <w:sz w:val="20"/>
          <w:szCs w:val="20"/>
          <w:lang w:val="en-US"/>
        </w:rPr>
        <w:t>d</w:t>
      </w:r>
      <w:r w:rsidR="00B54668" w:rsidRPr="00D869E3">
        <w:rPr>
          <w:rFonts w:ascii="Verdana" w:hAnsi="Verdana"/>
          <w:sz w:val="20"/>
          <w:szCs w:val="20"/>
          <w:lang w:val="en-US"/>
        </w:rPr>
        <w:t xml:space="preserve"> been violated unmanageable and unrealistic. </w:t>
      </w:r>
      <w:r w:rsidR="00863902" w:rsidRPr="00D869E3">
        <w:rPr>
          <w:rFonts w:ascii="Verdana" w:hAnsi="Verdana"/>
          <w:sz w:val="20"/>
          <w:szCs w:val="20"/>
          <w:lang w:val="en-US"/>
        </w:rPr>
        <w:t>Moreover,</w:t>
      </w:r>
      <w:r w:rsidR="00B54668" w:rsidRPr="00D869E3">
        <w:rPr>
          <w:rFonts w:ascii="Verdana" w:hAnsi="Verdana"/>
          <w:sz w:val="20"/>
          <w:szCs w:val="20"/>
          <w:lang w:val="en-US"/>
        </w:rPr>
        <w:t xml:space="preserve"> the Commission </w:t>
      </w:r>
      <w:r w:rsidR="00863902" w:rsidRPr="00D869E3">
        <w:rPr>
          <w:rFonts w:ascii="Verdana" w:hAnsi="Verdana"/>
          <w:sz w:val="20"/>
          <w:szCs w:val="20"/>
          <w:lang w:val="en-US"/>
        </w:rPr>
        <w:t>had</w:t>
      </w:r>
      <w:r w:rsidR="00B54668" w:rsidRPr="00D869E3">
        <w:rPr>
          <w:rFonts w:ascii="Verdana" w:hAnsi="Verdana"/>
          <w:sz w:val="20"/>
          <w:szCs w:val="20"/>
          <w:lang w:val="en-US"/>
        </w:rPr>
        <w:t xml:space="preserve"> failed to indicate that, if the presumed victim considered that the interview had not reflected his words faithfully,</w:t>
      </w:r>
      <w:r w:rsidR="00863902" w:rsidRPr="00D869E3">
        <w:rPr>
          <w:rFonts w:ascii="Verdana" w:hAnsi="Verdana"/>
          <w:sz w:val="20"/>
          <w:szCs w:val="20"/>
          <w:lang w:val="en-US"/>
        </w:rPr>
        <w:t xml:space="preserve"> he co</w:t>
      </w:r>
      <w:r w:rsidR="00B54668" w:rsidRPr="00D869E3">
        <w:rPr>
          <w:rFonts w:ascii="Verdana" w:hAnsi="Verdana"/>
          <w:sz w:val="20"/>
          <w:szCs w:val="20"/>
          <w:lang w:val="en-US"/>
        </w:rPr>
        <w:t xml:space="preserve">uld have requested a rectification, </w:t>
      </w:r>
      <w:r w:rsidR="00863902" w:rsidRPr="00D869E3">
        <w:rPr>
          <w:rFonts w:ascii="Verdana" w:hAnsi="Verdana"/>
          <w:sz w:val="20"/>
          <w:szCs w:val="20"/>
          <w:lang w:val="en-US"/>
        </w:rPr>
        <w:t>and he did not do this</w:t>
      </w:r>
      <w:r w:rsidR="00B54668" w:rsidRPr="00D869E3">
        <w:rPr>
          <w:rFonts w:ascii="Verdana" w:hAnsi="Verdana"/>
          <w:sz w:val="20"/>
          <w:szCs w:val="20"/>
          <w:lang w:val="en-US"/>
        </w:rPr>
        <w:t>. The European Court</w:t>
      </w:r>
      <w:r w:rsidR="00863902" w:rsidRPr="00D869E3">
        <w:rPr>
          <w:rFonts w:ascii="Verdana" w:hAnsi="Verdana"/>
          <w:sz w:val="20"/>
          <w:szCs w:val="20"/>
          <w:lang w:val="en-US"/>
        </w:rPr>
        <w:t>’s case law</w:t>
      </w:r>
      <w:r w:rsidR="00B54668" w:rsidRPr="00D869E3">
        <w:rPr>
          <w:rFonts w:ascii="Verdana" w:hAnsi="Verdana"/>
          <w:sz w:val="20"/>
          <w:szCs w:val="20"/>
          <w:lang w:val="en-US"/>
        </w:rPr>
        <w:t xml:space="preserve"> had recognized that employees</w:t>
      </w:r>
      <w:r w:rsidR="00863902" w:rsidRPr="00D869E3">
        <w:rPr>
          <w:rFonts w:ascii="Verdana" w:hAnsi="Verdana"/>
          <w:sz w:val="20"/>
          <w:szCs w:val="20"/>
          <w:lang w:val="en-US"/>
        </w:rPr>
        <w:t xml:space="preserve"> had an obligation of loyalty</w:t>
      </w:r>
      <w:r w:rsidR="00B54668" w:rsidRPr="00D869E3">
        <w:rPr>
          <w:rFonts w:ascii="Verdana" w:hAnsi="Verdana"/>
          <w:sz w:val="20"/>
          <w:szCs w:val="20"/>
          <w:lang w:val="en-US"/>
        </w:rPr>
        <w:t xml:space="preserve"> towards their employer, even though this </w:t>
      </w:r>
      <w:r w:rsidR="00863902" w:rsidRPr="00D869E3">
        <w:rPr>
          <w:rFonts w:ascii="Verdana" w:hAnsi="Verdana"/>
          <w:sz w:val="20"/>
          <w:szCs w:val="20"/>
          <w:lang w:val="en-US"/>
        </w:rPr>
        <w:t>was</w:t>
      </w:r>
      <w:r w:rsidR="00B54668" w:rsidRPr="00D869E3">
        <w:rPr>
          <w:rFonts w:ascii="Verdana" w:hAnsi="Verdana"/>
          <w:sz w:val="20"/>
          <w:szCs w:val="20"/>
          <w:lang w:val="en-US"/>
        </w:rPr>
        <w:t xml:space="preserve"> not absolute. In addition, th</w:t>
      </w:r>
      <w:r w:rsidR="00863902" w:rsidRPr="00D869E3">
        <w:rPr>
          <w:rFonts w:ascii="Verdana" w:hAnsi="Verdana"/>
          <w:sz w:val="20"/>
          <w:szCs w:val="20"/>
          <w:lang w:val="en-US"/>
        </w:rPr>
        <w:t>e European</w:t>
      </w:r>
      <w:r w:rsidR="00B54668" w:rsidRPr="00D869E3">
        <w:rPr>
          <w:rFonts w:ascii="Verdana" w:hAnsi="Verdana"/>
          <w:sz w:val="20"/>
          <w:szCs w:val="20"/>
          <w:lang w:val="en-US"/>
        </w:rPr>
        <w:t xml:space="preserve"> Court had differentiated criticism and insult, stating that the employer </w:t>
      </w:r>
      <w:r w:rsidR="00863902" w:rsidRPr="00D869E3">
        <w:rPr>
          <w:rFonts w:ascii="Verdana" w:hAnsi="Verdana"/>
          <w:sz w:val="20"/>
          <w:szCs w:val="20"/>
          <w:lang w:val="en-US"/>
        </w:rPr>
        <w:t>could</w:t>
      </w:r>
      <w:r w:rsidR="00B54668" w:rsidRPr="00D869E3">
        <w:rPr>
          <w:rFonts w:ascii="Verdana" w:hAnsi="Verdana"/>
          <w:sz w:val="20"/>
          <w:szCs w:val="20"/>
          <w:lang w:val="en-US"/>
        </w:rPr>
        <w:t xml:space="preserve"> use his disciplinary authority when he </w:t>
      </w:r>
      <w:r w:rsidR="00863902" w:rsidRPr="00D869E3">
        <w:rPr>
          <w:rFonts w:ascii="Verdana" w:hAnsi="Verdana"/>
          <w:sz w:val="20"/>
          <w:szCs w:val="20"/>
          <w:lang w:val="en-US"/>
        </w:rPr>
        <w:t>was</w:t>
      </w:r>
      <w:r w:rsidR="00B54668" w:rsidRPr="00D869E3">
        <w:rPr>
          <w:rFonts w:ascii="Verdana" w:hAnsi="Verdana"/>
          <w:sz w:val="20"/>
          <w:szCs w:val="20"/>
          <w:lang w:val="en-US"/>
        </w:rPr>
        <w:t xml:space="preserve"> insulted by an employee. </w:t>
      </w:r>
      <w:r w:rsidR="00863902" w:rsidRPr="00D869E3">
        <w:rPr>
          <w:rFonts w:ascii="Verdana" w:hAnsi="Verdana"/>
          <w:sz w:val="20"/>
          <w:szCs w:val="20"/>
          <w:lang w:val="en-US"/>
        </w:rPr>
        <w:t>The State</w:t>
      </w:r>
      <w:r w:rsidR="00B54668" w:rsidRPr="00D869E3">
        <w:rPr>
          <w:rFonts w:ascii="Verdana" w:hAnsi="Verdana"/>
          <w:sz w:val="20"/>
          <w:szCs w:val="20"/>
          <w:lang w:val="en-US"/>
        </w:rPr>
        <w:t xml:space="preserve"> argued that, in the instant case, it was not possible to consider that the statements of the presumed victim were objective criticisms, </w:t>
      </w:r>
      <w:r w:rsidR="00863902" w:rsidRPr="00D869E3">
        <w:rPr>
          <w:rFonts w:ascii="Verdana" w:hAnsi="Verdana"/>
          <w:sz w:val="20"/>
          <w:szCs w:val="20"/>
          <w:lang w:val="en-US"/>
        </w:rPr>
        <w:t>because</w:t>
      </w:r>
      <w:r w:rsidR="00B54668" w:rsidRPr="00D869E3">
        <w:rPr>
          <w:rFonts w:ascii="Verdana" w:hAnsi="Verdana"/>
          <w:sz w:val="20"/>
          <w:szCs w:val="20"/>
          <w:lang w:val="en-US"/>
        </w:rPr>
        <w:t xml:space="preserve"> he had used injurious terms such as “blackmail” and “coercion.” Lastly, it indicated that, in order to analyze the </w:t>
      </w:r>
      <w:r w:rsidR="00B54668" w:rsidRPr="00D869E3">
        <w:rPr>
          <w:rFonts w:ascii="Verdana" w:hAnsi="Verdana"/>
          <w:sz w:val="20"/>
          <w:szCs w:val="20"/>
          <w:lang w:val="en-US"/>
        </w:rPr>
        <w:lastRenderedPageBreak/>
        <w:t xml:space="preserve">proportionality of the </w:t>
      </w:r>
      <w:r w:rsidR="00863902" w:rsidRPr="00D869E3">
        <w:rPr>
          <w:rFonts w:ascii="Verdana" w:hAnsi="Verdana"/>
          <w:sz w:val="20"/>
          <w:szCs w:val="20"/>
          <w:lang w:val="en-US"/>
        </w:rPr>
        <w:t>sanction</w:t>
      </w:r>
      <w:r w:rsidR="00B54668" w:rsidRPr="00D869E3">
        <w:rPr>
          <w:rFonts w:ascii="Verdana" w:hAnsi="Verdana"/>
          <w:sz w:val="20"/>
          <w:szCs w:val="20"/>
          <w:lang w:val="en-US"/>
        </w:rPr>
        <w:t xml:space="preserve">, it should be considered that </w:t>
      </w:r>
      <w:r w:rsidR="001E44D3" w:rsidRPr="00D869E3">
        <w:rPr>
          <w:rFonts w:ascii="Verdana" w:hAnsi="Verdana"/>
          <w:sz w:val="20"/>
          <w:szCs w:val="20"/>
          <w:lang w:val="en-US"/>
        </w:rPr>
        <w:t>Mr. Lagos del Campo</w:t>
      </w:r>
      <w:r w:rsidR="004D6B60" w:rsidRPr="00D869E3">
        <w:rPr>
          <w:rFonts w:ascii="Verdana" w:hAnsi="Verdana"/>
          <w:sz w:val="20"/>
          <w:szCs w:val="20"/>
          <w:lang w:val="en-US"/>
        </w:rPr>
        <w:t xml:space="preserve"> </w:t>
      </w:r>
      <w:r w:rsidR="00B54668" w:rsidRPr="00D869E3">
        <w:rPr>
          <w:rFonts w:ascii="Verdana" w:hAnsi="Verdana"/>
          <w:sz w:val="20"/>
          <w:szCs w:val="20"/>
          <w:lang w:val="en-US"/>
        </w:rPr>
        <w:t xml:space="preserve">had been suspended for acts of insubordination in </w:t>
      </w:r>
      <w:r w:rsidR="004D6B60" w:rsidRPr="00D869E3">
        <w:rPr>
          <w:rFonts w:ascii="Verdana" w:hAnsi="Verdana"/>
          <w:sz w:val="20"/>
          <w:szCs w:val="20"/>
          <w:lang w:val="en-US"/>
        </w:rPr>
        <w:t xml:space="preserve">1985, </w:t>
      </w:r>
      <w:r w:rsidR="00B54668" w:rsidRPr="00D869E3">
        <w:rPr>
          <w:rFonts w:ascii="Verdana" w:hAnsi="Verdana"/>
          <w:sz w:val="20"/>
          <w:szCs w:val="20"/>
          <w:lang w:val="en-US"/>
        </w:rPr>
        <w:t xml:space="preserve">a </w:t>
      </w:r>
      <w:r w:rsidR="00863902" w:rsidRPr="00D869E3">
        <w:rPr>
          <w:rFonts w:ascii="Verdana" w:hAnsi="Verdana"/>
          <w:sz w:val="20"/>
          <w:szCs w:val="20"/>
          <w:lang w:val="en-US"/>
        </w:rPr>
        <w:t xml:space="preserve">measure </w:t>
      </w:r>
      <w:r w:rsidR="00B54668" w:rsidRPr="00D869E3">
        <w:rPr>
          <w:rFonts w:ascii="Verdana" w:hAnsi="Verdana"/>
          <w:sz w:val="20"/>
          <w:szCs w:val="20"/>
          <w:lang w:val="en-US"/>
        </w:rPr>
        <w:t>that the Labor Directorate had considered justified</w:t>
      </w:r>
      <w:r w:rsidR="00B252C9" w:rsidRPr="00D869E3">
        <w:rPr>
          <w:rFonts w:ascii="Verdana" w:hAnsi="Verdana"/>
          <w:sz w:val="20"/>
          <w:szCs w:val="20"/>
          <w:lang w:val="en-US"/>
        </w:rPr>
        <w:t>.</w:t>
      </w:r>
    </w:p>
    <w:p w14:paraId="1E8AA0C2" w14:textId="77777777" w:rsidR="00B252C9" w:rsidRPr="00D869E3" w:rsidRDefault="00B252C9" w:rsidP="00B252C9">
      <w:pPr>
        <w:contextualSpacing/>
        <w:jc w:val="both"/>
        <w:rPr>
          <w:rFonts w:ascii="Calibri" w:hAnsi="Calibri"/>
          <w:sz w:val="22"/>
          <w:szCs w:val="22"/>
          <w:lang w:val="en-US"/>
        </w:rPr>
      </w:pPr>
    </w:p>
    <w:p w14:paraId="6EED3EAF" w14:textId="63ACD778" w:rsidR="00B252C9" w:rsidRPr="00D869E3" w:rsidRDefault="00B252C9" w:rsidP="00B252C9">
      <w:pPr>
        <w:numPr>
          <w:ilvl w:val="0"/>
          <w:numId w:val="1"/>
        </w:numPr>
        <w:ind w:left="0" w:hanging="11"/>
        <w:contextualSpacing/>
        <w:jc w:val="both"/>
        <w:rPr>
          <w:rFonts w:ascii="Verdana" w:hAnsi="Verdana"/>
          <w:b/>
          <w:sz w:val="20"/>
          <w:szCs w:val="20"/>
          <w:lang w:val="en-US"/>
        </w:rPr>
      </w:pPr>
      <w:r w:rsidRPr="00D869E3">
        <w:rPr>
          <w:rFonts w:ascii="Verdana" w:eastAsia="MS Mincho" w:hAnsi="Verdana" w:cs="Verdana"/>
          <w:sz w:val="20"/>
          <w:szCs w:val="20"/>
          <w:lang w:val="en-US" w:eastAsia="es-ES"/>
        </w:rPr>
        <w:t xml:space="preserve">Regarding judicial guarantees, </w:t>
      </w:r>
      <w:r w:rsidRPr="00D869E3">
        <w:rPr>
          <w:rFonts w:ascii="Verdana" w:hAnsi="Verdana"/>
          <w:b/>
          <w:bCs/>
          <w:i/>
          <w:iCs/>
          <w:sz w:val="20"/>
          <w:szCs w:val="20"/>
          <w:lang w:val="en-US"/>
        </w:rPr>
        <w:t>the State</w:t>
      </w:r>
      <w:r w:rsidRPr="00D869E3">
        <w:rPr>
          <w:rFonts w:ascii="Verdana" w:hAnsi="Verdana"/>
          <w:sz w:val="20"/>
          <w:szCs w:val="20"/>
          <w:lang w:val="en-US"/>
        </w:rPr>
        <w:t xml:space="preserve"> considered that although the court </w:t>
      </w:r>
      <w:r w:rsidR="00DD7284" w:rsidRPr="00D869E3">
        <w:rPr>
          <w:rFonts w:ascii="Verdana" w:hAnsi="Verdana"/>
          <w:sz w:val="20"/>
          <w:szCs w:val="20"/>
          <w:lang w:val="en-US"/>
        </w:rPr>
        <w:t>proceedings</w:t>
      </w:r>
      <w:r w:rsidRPr="00D869E3">
        <w:rPr>
          <w:rFonts w:ascii="Verdana" w:hAnsi="Verdana"/>
          <w:sz w:val="20"/>
          <w:szCs w:val="20"/>
          <w:lang w:val="en-US"/>
        </w:rPr>
        <w:t xml:space="preserve"> did not use the same terminology used by the Commission, this did not mean that the Peruvian courts did not weigh the factors mentioned. Indeed, the Second Labor Court of Lima </w:t>
      </w:r>
      <w:r w:rsidR="00DD7284" w:rsidRPr="00D869E3">
        <w:rPr>
          <w:rFonts w:ascii="Verdana" w:hAnsi="Verdana"/>
          <w:sz w:val="20"/>
          <w:szCs w:val="20"/>
          <w:lang w:val="en-US"/>
        </w:rPr>
        <w:t xml:space="preserve">had </w:t>
      </w:r>
      <w:r w:rsidRPr="00D869E3">
        <w:rPr>
          <w:rFonts w:ascii="Verdana" w:hAnsi="Verdana"/>
          <w:sz w:val="20"/>
          <w:szCs w:val="20"/>
          <w:lang w:val="en-US"/>
        </w:rPr>
        <w:t>assessed the statements published in “</w:t>
      </w:r>
      <w:r w:rsidRPr="00D869E3">
        <w:rPr>
          <w:rFonts w:ascii="Verdana" w:hAnsi="Verdana"/>
          <w:i/>
          <w:iCs/>
          <w:sz w:val="20"/>
          <w:szCs w:val="20"/>
          <w:lang w:val="en-US"/>
        </w:rPr>
        <w:t>La Razón</w:t>
      </w:r>
      <w:r w:rsidRPr="00D869E3">
        <w:rPr>
          <w:rFonts w:ascii="Verdana" w:hAnsi="Verdana"/>
          <w:sz w:val="20"/>
          <w:szCs w:val="20"/>
          <w:lang w:val="en-US"/>
        </w:rPr>
        <w:t xml:space="preserve">” and found that </w:t>
      </w:r>
      <w:r w:rsidR="00EC4557" w:rsidRPr="00D869E3">
        <w:rPr>
          <w:rFonts w:ascii="Verdana" w:hAnsi="Verdana"/>
          <w:sz w:val="20"/>
          <w:szCs w:val="20"/>
          <w:lang w:val="en-US"/>
        </w:rPr>
        <w:t>they</w:t>
      </w:r>
      <w:r w:rsidRPr="00D869E3">
        <w:rPr>
          <w:rFonts w:ascii="Verdana" w:hAnsi="Verdana"/>
          <w:sz w:val="20"/>
          <w:szCs w:val="20"/>
          <w:lang w:val="en-US"/>
        </w:rPr>
        <w:t xml:space="preserve"> contained phrases that were injurious for employer and co-workers. Also, that court took into consideration other elements, such as Mr. Lagos del Campo’s recidivism and that the presumed victim could have requested a rectification and did not do so. Moreover, it is incomprehensible to claim that the domestic courts should have </w:t>
      </w:r>
      <w:r w:rsidR="00EC4557" w:rsidRPr="00D869E3">
        <w:rPr>
          <w:rFonts w:ascii="Verdana" w:hAnsi="Verdana"/>
          <w:sz w:val="20"/>
          <w:szCs w:val="20"/>
          <w:lang w:val="en-US"/>
        </w:rPr>
        <w:t>analyzed</w:t>
      </w:r>
      <w:r w:rsidRPr="00D869E3">
        <w:rPr>
          <w:rFonts w:ascii="Verdana" w:hAnsi="Verdana"/>
          <w:sz w:val="20"/>
          <w:szCs w:val="20"/>
          <w:lang w:val="en-US"/>
        </w:rPr>
        <w:t xml:space="preserve"> the case based on a test of proportionality that did not even exist at the time</w:t>
      </w:r>
      <w:r w:rsidR="00BE7B4A" w:rsidRPr="00D869E3">
        <w:rPr>
          <w:rFonts w:ascii="Verdana" w:hAnsi="Verdana"/>
          <w:sz w:val="20"/>
          <w:szCs w:val="20"/>
          <w:lang w:val="en-US"/>
        </w:rPr>
        <w:t xml:space="preserve"> – m</w:t>
      </w:r>
      <w:r w:rsidRPr="00D869E3">
        <w:rPr>
          <w:rFonts w:ascii="Verdana" w:hAnsi="Verdana"/>
          <w:sz w:val="20"/>
          <w:szCs w:val="20"/>
          <w:lang w:val="en-US"/>
        </w:rPr>
        <w:t>ore than 20 years ago. Regarding the argument of the right to be heard, the State indicated that</w:t>
      </w:r>
      <w:r w:rsidR="00BE7B4A" w:rsidRPr="00D869E3">
        <w:rPr>
          <w:rFonts w:ascii="Verdana" w:hAnsi="Verdana"/>
          <w:sz w:val="20"/>
          <w:szCs w:val="20"/>
          <w:lang w:val="en-US"/>
        </w:rPr>
        <w:t xml:space="preserve">, even though </w:t>
      </w:r>
      <w:r w:rsidRPr="00D869E3">
        <w:rPr>
          <w:rFonts w:ascii="Verdana" w:hAnsi="Verdana"/>
          <w:sz w:val="20"/>
          <w:szCs w:val="20"/>
          <w:lang w:val="en-US"/>
        </w:rPr>
        <w:t>the brief that</w:t>
      </w:r>
      <w:r w:rsidRPr="00D869E3">
        <w:rPr>
          <w:rFonts w:ascii="Verdana" w:hAnsi="Verdana"/>
          <w:b/>
          <w:sz w:val="20"/>
          <w:szCs w:val="20"/>
          <w:lang w:val="en-US"/>
        </w:rPr>
        <w:t xml:space="preserve"> </w:t>
      </w:r>
      <w:r w:rsidRPr="00D869E3">
        <w:rPr>
          <w:rFonts w:ascii="Verdana" w:hAnsi="Verdana"/>
          <w:sz w:val="20"/>
          <w:szCs w:val="20"/>
          <w:lang w:val="en-US"/>
        </w:rPr>
        <w:t>Mr. Lagos del Campo submitted to the Second Labor Court</w:t>
      </w:r>
      <w:r w:rsidR="00BE7B4A" w:rsidRPr="00D869E3">
        <w:rPr>
          <w:rFonts w:ascii="Verdana" w:hAnsi="Verdana"/>
          <w:sz w:val="20"/>
          <w:szCs w:val="20"/>
          <w:lang w:val="en-US"/>
        </w:rPr>
        <w:t xml:space="preserve"> </w:t>
      </w:r>
      <w:r w:rsidRPr="00D869E3">
        <w:rPr>
          <w:rFonts w:ascii="Verdana" w:hAnsi="Verdana"/>
          <w:sz w:val="20"/>
          <w:szCs w:val="20"/>
          <w:lang w:val="en-US"/>
        </w:rPr>
        <w:t xml:space="preserve">was only processed after the judgment, </w:t>
      </w:r>
      <w:r w:rsidR="00BE7B4A" w:rsidRPr="00D869E3">
        <w:rPr>
          <w:rFonts w:ascii="Verdana" w:hAnsi="Verdana"/>
          <w:sz w:val="20"/>
          <w:szCs w:val="20"/>
          <w:lang w:val="en-US"/>
        </w:rPr>
        <w:t>it did not contain</w:t>
      </w:r>
      <w:r w:rsidRPr="00D869E3">
        <w:rPr>
          <w:rFonts w:ascii="Verdana" w:hAnsi="Verdana"/>
          <w:sz w:val="20"/>
          <w:szCs w:val="20"/>
          <w:lang w:val="en-US"/>
        </w:rPr>
        <w:t xml:space="preserve"> probative elements, but rather legal arguments and many of the</w:t>
      </w:r>
      <w:r w:rsidR="00BE7B4A" w:rsidRPr="00D869E3">
        <w:rPr>
          <w:rFonts w:ascii="Verdana" w:hAnsi="Verdana"/>
          <w:sz w:val="20"/>
          <w:szCs w:val="20"/>
          <w:lang w:val="en-US"/>
        </w:rPr>
        <w:t>se had been included in previous</w:t>
      </w:r>
      <w:r w:rsidRPr="00D869E3">
        <w:rPr>
          <w:rFonts w:ascii="Verdana" w:hAnsi="Verdana"/>
          <w:sz w:val="20"/>
          <w:szCs w:val="20"/>
          <w:lang w:val="en-US"/>
        </w:rPr>
        <w:t xml:space="preserve"> briefs presented by the plaintiff</w:t>
      </w:r>
      <w:r w:rsidR="00BE7B4A" w:rsidRPr="00D869E3">
        <w:rPr>
          <w:rFonts w:ascii="Verdana" w:hAnsi="Verdana"/>
          <w:sz w:val="20"/>
          <w:szCs w:val="20"/>
          <w:lang w:val="en-US"/>
        </w:rPr>
        <w:t>; therefore,</w:t>
      </w:r>
      <w:r w:rsidRPr="00D869E3">
        <w:rPr>
          <w:rFonts w:ascii="Verdana" w:hAnsi="Verdana"/>
          <w:sz w:val="20"/>
          <w:szCs w:val="20"/>
          <w:lang w:val="en-US"/>
        </w:rPr>
        <w:t xml:space="preserve"> this did not </w:t>
      </w:r>
      <w:r w:rsidR="00BE7B4A" w:rsidRPr="00D869E3">
        <w:rPr>
          <w:rFonts w:ascii="Verdana" w:hAnsi="Verdana"/>
          <w:sz w:val="20"/>
          <w:szCs w:val="20"/>
          <w:lang w:val="en-US"/>
        </w:rPr>
        <w:t>violate</w:t>
      </w:r>
      <w:r w:rsidRPr="00D869E3">
        <w:rPr>
          <w:rFonts w:ascii="Verdana" w:hAnsi="Verdana"/>
          <w:sz w:val="20"/>
          <w:szCs w:val="20"/>
          <w:lang w:val="en-US"/>
        </w:rPr>
        <w:t xml:space="preserve"> his right </w:t>
      </w:r>
      <w:r w:rsidR="00BE7B4A" w:rsidRPr="00D869E3">
        <w:rPr>
          <w:rFonts w:ascii="Verdana" w:hAnsi="Verdana"/>
          <w:sz w:val="20"/>
          <w:szCs w:val="20"/>
          <w:lang w:val="en-US"/>
        </w:rPr>
        <w:t>to</w:t>
      </w:r>
      <w:r w:rsidRPr="00D869E3">
        <w:rPr>
          <w:rFonts w:ascii="Verdana" w:hAnsi="Verdana"/>
          <w:sz w:val="20"/>
          <w:szCs w:val="20"/>
          <w:lang w:val="en-US"/>
        </w:rPr>
        <w:t xml:space="preserve"> defense.</w:t>
      </w:r>
    </w:p>
    <w:p w14:paraId="72CDD069" w14:textId="77777777" w:rsidR="00B252C9" w:rsidRPr="00D869E3" w:rsidRDefault="00B252C9" w:rsidP="00262F28">
      <w:pPr>
        <w:jc w:val="both"/>
        <w:rPr>
          <w:rFonts w:ascii="Verdana" w:hAnsi="Verdana"/>
          <w:b/>
          <w:sz w:val="20"/>
          <w:szCs w:val="20"/>
          <w:lang w:val="en-US"/>
        </w:rPr>
      </w:pPr>
    </w:p>
    <w:p w14:paraId="014D3BB9" w14:textId="6DB8C3B7" w:rsidR="004D6B60" w:rsidRPr="00D869E3" w:rsidRDefault="008E0F63" w:rsidP="00E66DD7">
      <w:pPr>
        <w:pStyle w:val="Ttulo3"/>
        <w:numPr>
          <w:ilvl w:val="0"/>
          <w:numId w:val="18"/>
        </w:numPr>
        <w:rPr>
          <w:b w:val="0"/>
          <w:i/>
          <w:iCs/>
          <w:szCs w:val="20"/>
          <w:lang w:val="en-US"/>
        </w:rPr>
      </w:pPr>
      <w:bookmarkStart w:id="37" w:name="_Toc29114128"/>
      <w:r w:rsidRPr="00D869E3">
        <w:rPr>
          <w:i/>
          <w:iCs/>
          <w:szCs w:val="20"/>
          <w:lang w:val="en-US"/>
        </w:rPr>
        <w:t>F</w:t>
      </w:r>
      <w:r w:rsidR="006665C4" w:rsidRPr="00D869E3">
        <w:rPr>
          <w:i/>
          <w:iCs/>
          <w:szCs w:val="20"/>
          <w:lang w:val="en-US"/>
        </w:rPr>
        <w:t>reedom</w:t>
      </w:r>
      <w:r w:rsidR="00351902" w:rsidRPr="00D869E3">
        <w:rPr>
          <w:i/>
          <w:iCs/>
          <w:szCs w:val="20"/>
          <w:lang w:val="en-US"/>
        </w:rPr>
        <w:t xml:space="preserve"> of association</w:t>
      </w:r>
      <w:bookmarkEnd w:id="37"/>
    </w:p>
    <w:p w14:paraId="753E6DEE" w14:textId="77777777" w:rsidR="004D6B60" w:rsidRPr="00D869E3" w:rsidRDefault="004D6B60" w:rsidP="00262F28">
      <w:pPr>
        <w:jc w:val="both"/>
        <w:rPr>
          <w:rFonts w:ascii="Verdana" w:hAnsi="Verdana"/>
          <w:b/>
          <w:sz w:val="20"/>
          <w:szCs w:val="20"/>
          <w:lang w:val="en-US"/>
        </w:rPr>
      </w:pPr>
    </w:p>
    <w:p w14:paraId="03C7A04F" w14:textId="2BE8D319" w:rsidR="00430EA0" w:rsidRPr="00D869E3" w:rsidRDefault="00447C65" w:rsidP="006665C4">
      <w:pPr>
        <w:numPr>
          <w:ilvl w:val="0"/>
          <w:numId w:val="1"/>
        </w:numPr>
        <w:ind w:left="0" w:firstLine="0"/>
        <w:contextualSpacing/>
        <w:jc w:val="both"/>
        <w:rPr>
          <w:rFonts w:ascii="Verdana" w:hAnsi="Verdana"/>
          <w:b/>
          <w:sz w:val="20"/>
          <w:szCs w:val="20"/>
          <w:lang w:val="en-US"/>
        </w:rPr>
      </w:pPr>
      <w:r w:rsidRPr="00D869E3">
        <w:rPr>
          <w:rFonts w:ascii="Verdana" w:eastAsia="MS Mincho" w:hAnsi="Verdana" w:cs="Verdana"/>
          <w:sz w:val="20"/>
          <w:szCs w:val="20"/>
          <w:lang w:val="en-US" w:eastAsia="es-ES"/>
        </w:rPr>
        <w:t xml:space="preserve">The </w:t>
      </w:r>
      <w:r w:rsidRPr="00D869E3">
        <w:rPr>
          <w:rFonts w:ascii="Verdana" w:eastAsia="MS Mincho" w:hAnsi="Verdana" w:cs="Verdana"/>
          <w:b/>
          <w:bCs/>
          <w:i/>
          <w:iCs/>
          <w:sz w:val="20"/>
          <w:szCs w:val="20"/>
          <w:lang w:val="en-US" w:eastAsia="es-ES"/>
        </w:rPr>
        <w:t>Commission</w:t>
      </w:r>
      <w:r w:rsidR="00430EA0" w:rsidRPr="00D869E3">
        <w:rPr>
          <w:rFonts w:ascii="Verdana" w:eastAsia="MS Mincho" w:hAnsi="Verdana" w:cs="Verdana"/>
          <w:b/>
          <w:i/>
          <w:sz w:val="20"/>
          <w:szCs w:val="20"/>
          <w:lang w:val="en-US" w:eastAsia="es-ES"/>
        </w:rPr>
        <w:t xml:space="preserve"> </w:t>
      </w:r>
      <w:r w:rsidR="006665C4" w:rsidRPr="00D869E3">
        <w:rPr>
          <w:rFonts w:ascii="Verdana" w:eastAsia="MS Mincho" w:hAnsi="Verdana" w:cs="Verdana"/>
          <w:sz w:val="20"/>
          <w:szCs w:val="20"/>
          <w:lang w:val="en-US" w:eastAsia="es-ES"/>
        </w:rPr>
        <w:t>argued that</w:t>
      </w:r>
      <w:r w:rsidR="00753FC6" w:rsidRPr="00D869E3">
        <w:rPr>
          <w:rFonts w:ascii="Verdana" w:eastAsia="MS Mincho" w:hAnsi="Verdana" w:cs="Verdana"/>
          <w:sz w:val="20"/>
          <w:szCs w:val="20"/>
          <w:lang w:val="en-US" w:eastAsia="es-ES"/>
        </w:rPr>
        <w:t>, in the workplace,</w:t>
      </w:r>
      <w:r w:rsidR="006665C4" w:rsidRPr="00D869E3">
        <w:rPr>
          <w:rFonts w:ascii="Verdana" w:eastAsia="MS Mincho" w:hAnsi="Verdana" w:cs="Verdana"/>
          <w:sz w:val="20"/>
          <w:szCs w:val="20"/>
          <w:lang w:val="en-US" w:eastAsia="es-ES"/>
        </w:rPr>
        <w:t xml:space="preserve"> the protection of </w:t>
      </w:r>
      <w:r w:rsidR="00A62EA8" w:rsidRPr="00D869E3">
        <w:rPr>
          <w:rFonts w:ascii="Verdana" w:eastAsia="MS Mincho" w:hAnsi="Verdana" w:cs="Verdana"/>
          <w:sz w:val="20"/>
          <w:szCs w:val="20"/>
          <w:lang w:val="en-US" w:eastAsia="es-ES"/>
        </w:rPr>
        <w:t xml:space="preserve">freedom of </w:t>
      </w:r>
      <w:r w:rsidR="006665C4" w:rsidRPr="00D869E3">
        <w:rPr>
          <w:rFonts w:ascii="Verdana" w:eastAsia="MS Mincho" w:hAnsi="Verdana" w:cs="Verdana"/>
          <w:sz w:val="20"/>
          <w:szCs w:val="20"/>
          <w:lang w:val="en-US" w:eastAsia="es-ES"/>
        </w:rPr>
        <w:t xml:space="preserve">expression is especially relevant when it </w:t>
      </w:r>
      <w:r w:rsidR="00753FC6" w:rsidRPr="00D869E3">
        <w:rPr>
          <w:rFonts w:ascii="Verdana" w:eastAsia="MS Mincho" w:hAnsi="Verdana" w:cs="Verdana"/>
          <w:sz w:val="20"/>
          <w:szCs w:val="20"/>
          <w:lang w:val="en-US" w:eastAsia="es-ES"/>
        </w:rPr>
        <w:t>is related to</w:t>
      </w:r>
      <w:r w:rsidR="006665C4" w:rsidRPr="00D869E3">
        <w:rPr>
          <w:rFonts w:ascii="Verdana" w:eastAsia="MS Mincho" w:hAnsi="Verdana" w:cs="Verdana"/>
          <w:sz w:val="20"/>
          <w:szCs w:val="20"/>
          <w:lang w:val="en-US" w:eastAsia="es-ES"/>
        </w:rPr>
        <w:t xml:space="preserve"> freedom of association for </w:t>
      </w:r>
      <w:r w:rsidR="00753FC6" w:rsidRPr="00D869E3">
        <w:rPr>
          <w:rFonts w:ascii="Verdana" w:eastAsia="MS Mincho" w:hAnsi="Verdana" w:cs="Verdana"/>
          <w:sz w:val="20"/>
          <w:szCs w:val="20"/>
          <w:lang w:val="en-US" w:eastAsia="es-ES"/>
        </w:rPr>
        <w:t>labor-related</w:t>
      </w:r>
      <w:r w:rsidR="006665C4" w:rsidRPr="00D869E3">
        <w:rPr>
          <w:rFonts w:ascii="Verdana" w:eastAsia="MS Mincho" w:hAnsi="Verdana" w:cs="Verdana"/>
          <w:sz w:val="20"/>
          <w:szCs w:val="20"/>
          <w:lang w:val="en-US" w:eastAsia="es-ES"/>
        </w:rPr>
        <w:t xml:space="preserve"> purposes, because the protection of the right of workers to express themselves in order to </w:t>
      </w:r>
      <w:r w:rsidR="00753FC6" w:rsidRPr="00D869E3">
        <w:rPr>
          <w:rFonts w:ascii="Verdana" w:eastAsia="MS Mincho" w:hAnsi="Verdana" w:cs="Verdana"/>
          <w:sz w:val="20"/>
          <w:szCs w:val="20"/>
          <w:lang w:val="en-US" w:eastAsia="es-ES"/>
        </w:rPr>
        <w:t xml:space="preserve">impart </w:t>
      </w:r>
      <w:r w:rsidR="006665C4" w:rsidRPr="00D869E3">
        <w:rPr>
          <w:rFonts w:ascii="Verdana" w:eastAsia="MS Mincho" w:hAnsi="Verdana" w:cs="Verdana"/>
          <w:sz w:val="20"/>
          <w:szCs w:val="20"/>
          <w:lang w:val="en-US" w:eastAsia="es-ES"/>
        </w:rPr>
        <w:t>information and promote their</w:t>
      </w:r>
      <w:r w:rsidR="00753FC6" w:rsidRPr="00D869E3">
        <w:rPr>
          <w:rFonts w:ascii="Verdana" w:eastAsia="MS Mincho" w:hAnsi="Verdana" w:cs="Verdana"/>
          <w:sz w:val="20"/>
          <w:szCs w:val="20"/>
          <w:lang w:val="en-US" w:eastAsia="es-ES"/>
        </w:rPr>
        <w:t xml:space="preserve"> common</w:t>
      </w:r>
      <w:r w:rsidR="006665C4" w:rsidRPr="00D869E3">
        <w:rPr>
          <w:rFonts w:ascii="Verdana" w:eastAsia="MS Mincho" w:hAnsi="Verdana" w:cs="Verdana"/>
          <w:sz w:val="20"/>
          <w:szCs w:val="20"/>
          <w:lang w:val="en-US" w:eastAsia="es-ES"/>
        </w:rPr>
        <w:t xml:space="preserve"> interests and claims is one of the purposes of the right to freedom of association in the work</w:t>
      </w:r>
      <w:r w:rsidR="00753FC6" w:rsidRPr="00D869E3">
        <w:rPr>
          <w:rFonts w:ascii="Verdana" w:eastAsia="MS Mincho" w:hAnsi="Verdana" w:cs="Verdana"/>
          <w:sz w:val="20"/>
          <w:szCs w:val="20"/>
          <w:lang w:val="en-US" w:eastAsia="es-ES"/>
        </w:rPr>
        <w:t>place</w:t>
      </w:r>
      <w:r w:rsidR="006665C4" w:rsidRPr="00D869E3">
        <w:rPr>
          <w:rFonts w:ascii="Verdana" w:eastAsia="MS Mincho" w:hAnsi="Verdana" w:cs="Verdana"/>
          <w:sz w:val="20"/>
          <w:szCs w:val="20"/>
          <w:lang w:val="en-US" w:eastAsia="es-ES"/>
        </w:rPr>
        <w:t xml:space="preserve">. Consequently, </w:t>
      </w:r>
      <w:r w:rsidR="00753FC6" w:rsidRPr="00D869E3">
        <w:rPr>
          <w:rFonts w:ascii="Verdana" w:eastAsia="MS Mincho" w:hAnsi="Verdana" w:cs="Verdana"/>
          <w:sz w:val="20"/>
          <w:szCs w:val="20"/>
          <w:lang w:val="en-US" w:eastAsia="es-ES"/>
        </w:rPr>
        <w:t>the Commission</w:t>
      </w:r>
      <w:r w:rsidR="006665C4" w:rsidRPr="00D869E3">
        <w:rPr>
          <w:rFonts w:ascii="Verdana" w:eastAsia="MS Mincho" w:hAnsi="Verdana" w:cs="Verdana"/>
          <w:sz w:val="20"/>
          <w:szCs w:val="20"/>
          <w:lang w:val="en-US" w:eastAsia="es-ES"/>
        </w:rPr>
        <w:t xml:space="preserve"> considered that the strict proportionality of restrictions to freedom of association in the workplace should be judged based on the</w:t>
      </w:r>
      <w:r w:rsidR="00753FC6" w:rsidRPr="00D869E3">
        <w:rPr>
          <w:rFonts w:ascii="Verdana" w:eastAsia="MS Mincho" w:hAnsi="Verdana" w:cs="Verdana"/>
          <w:sz w:val="20"/>
          <w:szCs w:val="20"/>
          <w:lang w:val="en-US" w:eastAsia="es-ES"/>
        </w:rPr>
        <w:t>ir</w:t>
      </w:r>
      <w:r w:rsidR="006665C4" w:rsidRPr="00D869E3">
        <w:rPr>
          <w:rFonts w:ascii="Verdana" w:eastAsia="MS Mincho" w:hAnsi="Verdana" w:cs="Verdana"/>
          <w:sz w:val="20"/>
          <w:szCs w:val="20"/>
          <w:lang w:val="en-US" w:eastAsia="es-ES"/>
        </w:rPr>
        <w:t xml:space="preserve"> effects on the right of </w:t>
      </w:r>
      <w:r w:rsidR="00753FC6" w:rsidRPr="00D869E3">
        <w:rPr>
          <w:rFonts w:ascii="Verdana" w:eastAsia="MS Mincho" w:hAnsi="Verdana" w:cs="Verdana"/>
          <w:sz w:val="20"/>
          <w:szCs w:val="20"/>
          <w:lang w:val="en-US" w:eastAsia="es-ES"/>
        </w:rPr>
        <w:t>labor</w:t>
      </w:r>
      <w:r w:rsidR="006665C4" w:rsidRPr="00D869E3">
        <w:rPr>
          <w:rFonts w:ascii="Verdana" w:eastAsia="MS Mincho" w:hAnsi="Verdana" w:cs="Verdana"/>
          <w:sz w:val="20"/>
          <w:szCs w:val="20"/>
          <w:lang w:val="en-US" w:eastAsia="es-ES"/>
        </w:rPr>
        <w:t xml:space="preserve"> organizations and their leaders to ensure the protection of the interests of those they represent, and on </w:t>
      </w:r>
      <w:r w:rsidR="00753FC6" w:rsidRPr="00D869E3">
        <w:rPr>
          <w:rFonts w:ascii="Verdana" w:eastAsia="MS Mincho" w:hAnsi="Verdana" w:cs="Verdana"/>
          <w:sz w:val="20"/>
          <w:szCs w:val="20"/>
          <w:lang w:val="en-US" w:eastAsia="es-ES"/>
        </w:rPr>
        <w:t>their</w:t>
      </w:r>
      <w:r w:rsidR="006665C4" w:rsidRPr="00D869E3">
        <w:rPr>
          <w:rFonts w:ascii="Verdana" w:eastAsia="MS Mincho" w:hAnsi="Verdana" w:cs="Verdana"/>
          <w:sz w:val="20"/>
          <w:szCs w:val="20"/>
          <w:lang w:val="en-US" w:eastAsia="es-ES"/>
        </w:rPr>
        <w:t xml:space="preserve"> potential dissuasive effect</w:t>
      </w:r>
      <w:r w:rsidR="00753FC6" w:rsidRPr="00D869E3">
        <w:rPr>
          <w:rFonts w:ascii="Verdana" w:eastAsia="MS Mincho" w:hAnsi="Verdana" w:cs="Verdana"/>
          <w:sz w:val="20"/>
          <w:szCs w:val="20"/>
          <w:lang w:val="en-US" w:eastAsia="es-ES"/>
        </w:rPr>
        <w:t>s</w:t>
      </w:r>
      <w:r w:rsidR="006665C4" w:rsidRPr="00D869E3">
        <w:rPr>
          <w:rFonts w:ascii="Verdana" w:eastAsia="MS Mincho" w:hAnsi="Verdana" w:cs="Verdana"/>
          <w:sz w:val="20"/>
          <w:szCs w:val="20"/>
          <w:lang w:val="en-US" w:eastAsia="es-ES"/>
        </w:rPr>
        <w:t xml:space="preserve"> on other </w:t>
      </w:r>
      <w:r w:rsidR="00753FC6" w:rsidRPr="00D869E3">
        <w:rPr>
          <w:rFonts w:ascii="Verdana" w:eastAsia="MS Mincho" w:hAnsi="Verdana" w:cs="Verdana"/>
          <w:sz w:val="20"/>
          <w:szCs w:val="20"/>
          <w:lang w:val="en-US" w:eastAsia="es-ES"/>
        </w:rPr>
        <w:t>trade union or workers’ leaders.</w:t>
      </w:r>
    </w:p>
    <w:p w14:paraId="4B51AF6E" w14:textId="77777777" w:rsidR="004D6B60" w:rsidRPr="00D869E3" w:rsidRDefault="004D6B60" w:rsidP="005D0F69">
      <w:pPr>
        <w:contextualSpacing/>
        <w:jc w:val="both"/>
        <w:rPr>
          <w:rFonts w:ascii="Verdana" w:eastAsia="MS Mincho" w:hAnsi="Verdana" w:cs="Verdana"/>
          <w:sz w:val="20"/>
          <w:szCs w:val="20"/>
          <w:lang w:val="en-US" w:eastAsia="es-ES"/>
        </w:rPr>
      </w:pPr>
    </w:p>
    <w:p w14:paraId="4E2F503B" w14:textId="5C72235E" w:rsidR="006665C4" w:rsidRPr="00D869E3" w:rsidRDefault="00687684" w:rsidP="00E66DD7">
      <w:pPr>
        <w:numPr>
          <w:ilvl w:val="0"/>
          <w:numId w:val="1"/>
        </w:numPr>
        <w:ind w:left="0" w:firstLine="0"/>
        <w:contextualSpacing/>
        <w:jc w:val="both"/>
        <w:rPr>
          <w:rFonts w:ascii="Verdana" w:hAnsi="Verdana"/>
          <w:b/>
          <w:sz w:val="20"/>
          <w:szCs w:val="20"/>
          <w:lang w:val="en-US"/>
        </w:rPr>
      </w:pPr>
      <w:r w:rsidRPr="00D869E3">
        <w:rPr>
          <w:rFonts w:ascii="Verdana" w:eastAsia="MS Mincho" w:hAnsi="Verdana" w:cs="Verdana"/>
          <w:sz w:val="20"/>
          <w:szCs w:val="20"/>
          <w:lang w:val="en-US" w:eastAsia="es-ES"/>
        </w:rPr>
        <w:t xml:space="preserve">The </w:t>
      </w:r>
      <w:r w:rsidRPr="00D869E3">
        <w:rPr>
          <w:rFonts w:ascii="Verdana" w:eastAsia="MS Mincho" w:hAnsi="Verdana" w:cs="Verdana"/>
          <w:b/>
          <w:bCs/>
          <w:i/>
          <w:iCs/>
          <w:sz w:val="20"/>
          <w:szCs w:val="20"/>
          <w:lang w:val="en-US" w:eastAsia="es-ES"/>
        </w:rPr>
        <w:t>representatives</w:t>
      </w:r>
      <w:r w:rsidR="004D6B60" w:rsidRPr="00D869E3">
        <w:rPr>
          <w:rFonts w:ascii="Verdana" w:eastAsia="MS Mincho" w:hAnsi="Verdana" w:cs="Verdana"/>
          <w:b/>
          <w:i/>
          <w:sz w:val="20"/>
          <w:szCs w:val="20"/>
          <w:lang w:val="en-US" w:eastAsia="es-ES"/>
        </w:rPr>
        <w:t xml:space="preserve"> </w:t>
      </w:r>
      <w:r w:rsidR="004D6B60" w:rsidRPr="00D869E3">
        <w:rPr>
          <w:rFonts w:ascii="Verdana" w:eastAsia="MS Mincho" w:hAnsi="Verdana" w:cs="Verdana"/>
          <w:sz w:val="20"/>
          <w:szCs w:val="20"/>
          <w:lang w:val="en-US" w:eastAsia="es-ES"/>
        </w:rPr>
        <w:t>a</w:t>
      </w:r>
      <w:r w:rsidR="006665C4" w:rsidRPr="00D869E3">
        <w:rPr>
          <w:rFonts w:ascii="Verdana" w:eastAsia="MS Mincho" w:hAnsi="Verdana" w:cs="Verdana"/>
          <w:sz w:val="20"/>
          <w:szCs w:val="20"/>
          <w:lang w:val="en-US" w:eastAsia="es-ES"/>
        </w:rPr>
        <w:t xml:space="preserve">rgued that the judicial confirmation of Mr. </w:t>
      </w:r>
      <w:r w:rsidR="004D6B60" w:rsidRPr="00D869E3">
        <w:rPr>
          <w:rFonts w:ascii="Verdana" w:eastAsia="MS Mincho" w:hAnsi="Verdana" w:cs="Verdana"/>
          <w:sz w:val="20"/>
          <w:szCs w:val="20"/>
          <w:lang w:val="en-US" w:eastAsia="es-ES"/>
        </w:rPr>
        <w:t>Lagos del Campo</w:t>
      </w:r>
      <w:r w:rsidR="00753FC6" w:rsidRPr="00D869E3">
        <w:rPr>
          <w:rFonts w:ascii="Verdana" w:eastAsia="MS Mincho" w:hAnsi="Verdana" w:cs="Verdana"/>
          <w:sz w:val="20"/>
          <w:szCs w:val="20"/>
          <w:lang w:val="en-US" w:eastAsia="es-ES"/>
        </w:rPr>
        <w:t>’s dismissal</w:t>
      </w:r>
      <w:r w:rsidR="004D6B60" w:rsidRPr="00D869E3">
        <w:rPr>
          <w:rFonts w:ascii="Verdana" w:eastAsia="MS Mincho" w:hAnsi="Verdana" w:cs="Verdana"/>
          <w:sz w:val="20"/>
          <w:szCs w:val="20"/>
          <w:lang w:val="en-US" w:eastAsia="es-ES"/>
        </w:rPr>
        <w:t xml:space="preserve"> </w:t>
      </w:r>
      <w:r w:rsidR="006665C4" w:rsidRPr="00D869E3">
        <w:rPr>
          <w:rFonts w:ascii="Verdana" w:eastAsia="MS Mincho" w:hAnsi="Verdana" w:cs="Verdana"/>
          <w:sz w:val="20"/>
          <w:szCs w:val="20"/>
          <w:lang w:val="en-US" w:eastAsia="es-ES"/>
        </w:rPr>
        <w:t>could have an intimidating effect on other individuals in a similar situation, or other workers who have been mistreated by their employers, leading them to be afraid to report irregularities such as those described in this case. Consequently, they argued that the judgment handed down by the Second Labor Court of Peru contributed to a work environment in which the workers could be afraid to report problems such as those in this case or other conflicts.</w:t>
      </w:r>
    </w:p>
    <w:p w14:paraId="0825D595" w14:textId="77777777" w:rsidR="006665C4" w:rsidRPr="00D869E3" w:rsidRDefault="006665C4" w:rsidP="006665C4">
      <w:pPr>
        <w:pStyle w:val="Prrafodelista"/>
        <w:rPr>
          <w:rFonts w:ascii="Verdana" w:eastAsia="MS Mincho" w:hAnsi="Verdana" w:cs="Verdana"/>
          <w:sz w:val="20"/>
          <w:szCs w:val="20"/>
          <w:lang w:val="en-US" w:eastAsia="es-ES"/>
        </w:rPr>
      </w:pPr>
    </w:p>
    <w:p w14:paraId="6E4514E2" w14:textId="0A37A297" w:rsidR="008B63E1" w:rsidRPr="00D869E3" w:rsidRDefault="00447C65" w:rsidP="008B63E1">
      <w:pPr>
        <w:numPr>
          <w:ilvl w:val="0"/>
          <w:numId w:val="1"/>
        </w:numPr>
        <w:ind w:left="0" w:firstLine="0"/>
        <w:contextualSpacing/>
        <w:jc w:val="both"/>
        <w:rPr>
          <w:rFonts w:ascii="Verdana" w:hAnsi="Verdana"/>
          <w:b/>
          <w:sz w:val="20"/>
          <w:szCs w:val="20"/>
          <w:lang w:val="en-US"/>
        </w:rPr>
      </w:pPr>
      <w:r w:rsidRPr="00D869E3">
        <w:rPr>
          <w:rFonts w:ascii="Verdana" w:hAnsi="Verdana"/>
          <w:sz w:val="20"/>
          <w:lang w:val="en-US"/>
        </w:rPr>
        <w:t xml:space="preserve">The </w:t>
      </w:r>
      <w:r w:rsidRPr="00D869E3">
        <w:rPr>
          <w:rFonts w:ascii="Verdana" w:hAnsi="Verdana"/>
          <w:b/>
          <w:bCs/>
          <w:i/>
          <w:iCs/>
          <w:sz w:val="20"/>
          <w:lang w:val="en-US"/>
        </w:rPr>
        <w:t>State</w:t>
      </w:r>
      <w:r w:rsidR="004D6B60" w:rsidRPr="00D869E3">
        <w:rPr>
          <w:rFonts w:ascii="Verdana" w:hAnsi="Verdana"/>
          <w:b/>
          <w:i/>
          <w:sz w:val="20"/>
          <w:szCs w:val="20"/>
          <w:lang w:val="en-US"/>
        </w:rPr>
        <w:t xml:space="preserve"> </w:t>
      </w:r>
      <w:r w:rsidR="006665C4" w:rsidRPr="00D869E3">
        <w:rPr>
          <w:rFonts w:ascii="Verdana" w:hAnsi="Verdana"/>
          <w:sz w:val="20"/>
          <w:szCs w:val="20"/>
          <w:lang w:val="en-US"/>
        </w:rPr>
        <w:t>argued that,</w:t>
      </w:r>
      <w:r w:rsidR="004D6B60" w:rsidRPr="00D869E3">
        <w:rPr>
          <w:rFonts w:ascii="Verdana" w:hAnsi="Verdana"/>
          <w:sz w:val="20"/>
          <w:szCs w:val="20"/>
          <w:lang w:val="en-US"/>
        </w:rPr>
        <w:t xml:space="preserve"> </w:t>
      </w:r>
      <w:r w:rsidR="006665C4" w:rsidRPr="00D869E3">
        <w:rPr>
          <w:rFonts w:ascii="Verdana" w:hAnsi="Verdana"/>
          <w:sz w:val="20"/>
          <w:szCs w:val="20"/>
          <w:lang w:val="en-US"/>
        </w:rPr>
        <w:t>since Mr. Lagos del Campo was not a representative of the workers or a labor union leader, and therefore did not have the corresponding protection</w:t>
      </w:r>
      <w:r w:rsidR="004D6B60" w:rsidRPr="00D869E3">
        <w:rPr>
          <w:rFonts w:ascii="Verdana" w:hAnsi="Verdana"/>
          <w:sz w:val="20"/>
          <w:szCs w:val="20"/>
          <w:lang w:val="en-US"/>
        </w:rPr>
        <w:t xml:space="preserve">, </w:t>
      </w:r>
      <w:r w:rsidR="006665C4" w:rsidRPr="00D869E3">
        <w:rPr>
          <w:rFonts w:ascii="Verdana" w:hAnsi="Verdana"/>
          <w:sz w:val="20"/>
          <w:szCs w:val="20"/>
          <w:lang w:val="en-US"/>
        </w:rPr>
        <w:t xml:space="preserve">his freedom of association was not violated as a result of the presumed violation of his </w:t>
      </w:r>
      <w:r w:rsidR="00A62EA8" w:rsidRPr="00D869E3">
        <w:rPr>
          <w:rFonts w:ascii="Verdana" w:hAnsi="Verdana"/>
          <w:sz w:val="20"/>
          <w:szCs w:val="20"/>
          <w:lang w:val="en-US"/>
        </w:rPr>
        <w:t>freedom of expression</w:t>
      </w:r>
      <w:r w:rsidR="004D6B60" w:rsidRPr="00D869E3">
        <w:rPr>
          <w:rFonts w:ascii="Verdana" w:hAnsi="Verdana"/>
          <w:sz w:val="20"/>
          <w:szCs w:val="20"/>
          <w:lang w:val="en-US"/>
        </w:rPr>
        <w:t xml:space="preserve">. </w:t>
      </w:r>
      <w:r w:rsidR="00753FC6" w:rsidRPr="00D869E3">
        <w:rPr>
          <w:rFonts w:ascii="Verdana" w:hAnsi="Verdana"/>
          <w:sz w:val="20"/>
          <w:szCs w:val="20"/>
          <w:lang w:val="en-US"/>
        </w:rPr>
        <w:t>The</w:t>
      </w:r>
      <w:r w:rsidRPr="00D869E3">
        <w:rPr>
          <w:rFonts w:ascii="Verdana" w:hAnsi="Verdana"/>
          <w:sz w:val="20"/>
          <w:szCs w:val="20"/>
          <w:lang w:val="en-US"/>
        </w:rPr>
        <w:t xml:space="preserve"> State</w:t>
      </w:r>
      <w:r w:rsidR="004D6B60" w:rsidRPr="00D869E3">
        <w:rPr>
          <w:rFonts w:ascii="Verdana" w:hAnsi="Verdana"/>
          <w:sz w:val="20"/>
          <w:szCs w:val="20"/>
          <w:lang w:val="en-US"/>
        </w:rPr>
        <w:t xml:space="preserve"> </w:t>
      </w:r>
      <w:r w:rsidR="00753FC6" w:rsidRPr="00D869E3">
        <w:rPr>
          <w:rFonts w:ascii="Verdana" w:hAnsi="Verdana"/>
          <w:sz w:val="20"/>
          <w:szCs w:val="20"/>
          <w:lang w:val="en-US"/>
        </w:rPr>
        <w:t xml:space="preserve">also </w:t>
      </w:r>
      <w:r w:rsidR="006665C4" w:rsidRPr="00D869E3">
        <w:rPr>
          <w:rFonts w:ascii="Verdana" w:hAnsi="Verdana"/>
          <w:sz w:val="20"/>
          <w:szCs w:val="20"/>
          <w:lang w:val="en-US"/>
        </w:rPr>
        <w:t>argued that</w:t>
      </w:r>
      <w:r w:rsidR="008B63E1" w:rsidRPr="00D869E3">
        <w:rPr>
          <w:rFonts w:ascii="Verdana" w:hAnsi="Verdana"/>
          <w:sz w:val="20"/>
          <w:szCs w:val="20"/>
          <w:lang w:val="en-US"/>
        </w:rPr>
        <w:t xml:space="preserve"> there could not be any intimidating effect for other workers in relation to their membership in </w:t>
      </w:r>
      <w:r w:rsidR="00EA232B" w:rsidRPr="00D869E3">
        <w:rPr>
          <w:rFonts w:ascii="Verdana" w:hAnsi="Verdana"/>
          <w:sz w:val="20"/>
          <w:szCs w:val="20"/>
          <w:lang w:val="en-US"/>
        </w:rPr>
        <w:t>the Industrial Community</w:t>
      </w:r>
      <w:r w:rsidR="004D6B60" w:rsidRPr="00D869E3">
        <w:rPr>
          <w:rFonts w:ascii="Verdana" w:hAnsi="Verdana"/>
          <w:sz w:val="20"/>
          <w:szCs w:val="20"/>
          <w:lang w:val="en-US"/>
        </w:rPr>
        <w:t xml:space="preserve">, </w:t>
      </w:r>
      <w:r w:rsidR="008B63E1" w:rsidRPr="00D869E3">
        <w:rPr>
          <w:rFonts w:ascii="Verdana" w:hAnsi="Verdana"/>
          <w:sz w:val="20"/>
          <w:szCs w:val="20"/>
          <w:lang w:val="en-US"/>
        </w:rPr>
        <w:t>because membership of th</w:t>
      </w:r>
      <w:r w:rsidR="00432C64" w:rsidRPr="00D869E3">
        <w:rPr>
          <w:rFonts w:ascii="Verdana" w:hAnsi="Verdana"/>
          <w:sz w:val="20"/>
          <w:szCs w:val="20"/>
          <w:lang w:val="en-US"/>
        </w:rPr>
        <w:t>at</w:t>
      </w:r>
      <w:r w:rsidR="008B63E1" w:rsidRPr="00D869E3">
        <w:rPr>
          <w:rFonts w:ascii="Verdana" w:hAnsi="Verdana"/>
          <w:sz w:val="20"/>
          <w:szCs w:val="20"/>
          <w:lang w:val="en-US"/>
        </w:rPr>
        <w:t xml:space="preserve"> Community did not depend on </w:t>
      </w:r>
      <w:r w:rsidR="00432C64" w:rsidRPr="00D869E3">
        <w:rPr>
          <w:rFonts w:ascii="Verdana" w:hAnsi="Verdana"/>
          <w:sz w:val="20"/>
          <w:szCs w:val="20"/>
          <w:lang w:val="en-US"/>
        </w:rPr>
        <w:t>them;</w:t>
      </w:r>
      <w:r w:rsidR="008B63E1" w:rsidRPr="00D869E3">
        <w:rPr>
          <w:rFonts w:ascii="Verdana" w:hAnsi="Verdana"/>
          <w:sz w:val="20"/>
          <w:szCs w:val="20"/>
          <w:lang w:val="en-US"/>
        </w:rPr>
        <w:t xml:space="preserve"> rather it was established in the applicable law in force at the time. Lastly, it argued that no proof had been submitted with regard to the presumed intimidation and/or fear caused to the workers owing to possible loss of their jobs.</w:t>
      </w:r>
    </w:p>
    <w:p w14:paraId="6AEDF954" w14:textId="1E383B3B" w:rsidR="004D6B60" w:rsidRPr="00D869E3" w:rsidRDefault="008B63E1" w:rsidP="008B63E1">
      <w:pPr>
        <w:contextualSpacing/>
        <w:jc w:val="both"/>
        <w:rPr>
          <w:rFonts w:ascii="Verdana" w:hAnsi="Verdana"/>
          <w:b/>
          <w:sz w:val="20"/>
          <w:szCs w:val="20"/>
          <w:lang w:val="en-US"/>
        </w:rPr>
      </w:pPr>
      <w:r w:rsidRPr="00D869E3">
        <w:rPr>
          <w:rFonts w:ascii="Verdana" w:hAnsi="Verdana"/>
          <w:b/>
          <w:sz w:val="20"/>
          <w:szCs w:val="20"/>
          <w:lang w:val="en-US"/>
        </w:rPr>
        <w:t xml:space="preserve"> </w:t>
      </w:r>
    </w:p>
    <w:p w14:paraId="1D4048BB" w14:textId="0854137A" w:rsidR="004D6B60" w:rsidRPr="00D869E3" w:rsidRDefault="008E0F63" w:rsidP="00E66DD7">
      <w:pPr>
        <w:pStyle w:val="Ttulo3"/>
        <w:numPr>
          <w:ilvl w:val="0"/>
          <w:numId w:val="18"/>
        </w:numPr>
        <w:rPr>
          <w:b w:val="0"/>
          <w:i/>
          <w:iCs/>
          <w:szCs w:val="20"/>
          <w:lang w:val="en-US"/>
        </w:rPr>
      </w:pPr>
      <w:bookmarkStart w:id="38" w:name="_Toc29114129"/>
      <w:r w:rsidRPr="00D869E3">
        <w:rPr>
          <w:i/>
          <w:iCs/>
          <w:szCs w:val="20"/>
          <w:lang w:val="en-US"/>
        </w:rPr>
        <w:t>D</w:t>
      </w:r>
      <w:r w:rsidR="008B63E1" w:rsidRPr="00D869E3">
        <w:rPr>
          <w:i/>
          <w:iCs/>
          <w:szCs w:val="20"/>
          <w:lang w:val="en-US"/>
        </w:rPr>
        <w:t>omestic legal effects</w:t>
      </w:r>
      <w:bookmarkEnd w:id="38"/>
    </w:p>
    <w:p w14:paraId="0E63871A" w14:textId="77777777" w:rsidR="00625FAD" w:rsidRPr="00D869E3" w:rsidRDefault="00625FAD" w:rsidP="00CB5A95">
      <w:pPr>
        <w:autoSpaceDE w:val="0"/>
        <w:autoSpaceDN w:val="0"/>
        <w:adjustRightInd w:val="0"/>
        <w:contextualSpacing/>
        <w:jc w:val="both"/>
        <w:rPr>
          <w:rFonts w:ascii="Verdana" w:hAnsi="Verdana"/>
          <w:b/>
          <w:sz w:val="20"/>
          <w:lang w:val="en-US"/>
        </w:rPr>
      </w:pPr>
    </w:p>
    <w:p w14:paraId="01060B21" w14:textId="308F1542" w:rsidR="002F1386" w:rsidRPr="00D869E3" w:rsidRDefault="00447C65" w:rsidP="008B63E1">
      <w:pPr>
        <w:numPr>
          <w:ilvl w:val="0"/>
          <w:numId w:val="1"/>
        </w:numPr>
        <w:ind w:left="0" w:hanging="11"/>
        <w:contextualSpacing/>
        <w:jc w:val="both"/>
        <w:rPr>
          <w:rFonts w:ascii="Verdana" w:hAnsi="Verdana"/>
          <w:sz w:val="20"/>
          <w:szCs w:val="20"/>
          <w:lang w:val="en-US" w:eastAsia="es-ES"/>
        </w:rPr>
      </w:pPr>
      <w:r w:rsidRPr="00D869E3">
        <w:rPr>
          <w:rFonts w:ascii="Verdana" w:hAnsi="Verdana"/>
          <w:sz w:val="20"/>
          <w:szCs w:val="20"/>
          <w:lang w:val="en-US"/>
        </w:rPr>
        <w:t xml:space="preserve">The </w:t>
      </w:r>
      <w:r w:rsidRPr="00D869E3">
        <w:rPr>
          <w:rFonts w:ascii="Verdana" w:hAnsi="Verdana"/>
          <w:b/>
          <w:bCs/>
          <w:i/>
          <w:iCs/>
          <w:sz w:val="20"/>
          <w:szCs w:val="20"/>
          <w:lang w:val="en-US"/>
        </w:rPr>
        <w:t>Commission</w:t>
      </w:r>
      <w:r w:rsidR="002F1386" w:rsidRPr="00D869E3">
        <w:rPr>
          <w:rFonts w:ascii="Verdana" w:hAnsi="Verdana"/>
          <w:i/>
          <w:sz w:val="20"/>
          <w:szCs w:val="20"/>
          <w:lang w:val="en-US"/>
        </w:rPr>
        <w:t xml:space="preserve"> </w:t>
      </w:r>
      <w:r w:rsidR="002F1386" w:rsidRPr="00D869E3">
        <w:rPr>
          <w:rFonts w:ascii="Verdana" w:hAnsi="Verdana"/>
          <w:sz w:val="20"/>
          <w:szCs w:val="20"/>
          <w:lang w:val="en-US"/>
        </w:rPr>
        <w:t>consider</w:t>
      </w:r>
      <w:r w:rsidR="008B63E1" w:rsidRPr="00D869E3">
        <w:rPr>
          <w:rFonts w:ascii="Verdana" w:hAnsi="Verdana"/>
          <w:sz w:val="20"/>
          <w:szCs w:val="20"/>
          <w:lang w:val="en-US"/>
        </w:rPr>
        <w:t>ed that the laws on which the dismissal of</w:t>
      </w:r>
      <w:r w:rsidR="002F1386" w:rsidRPr="00D869E3">
        <w:rPr>
          <w:rFonts w:ascii="Verdana" w:hAnsi="Verdana"/>
          <w:sz w:val="20"/>
          <w:szCs w:val="20"/>
          <w:lang w:val="en-US"/>
        </w:rPr>
        <w:t xml:space="preserve"> </w:t>
      </w:r>
      <w:r w:rsidR="00E6309B" w:rsidRPr="00D869E3">
        <w:rPr>
          <w:rFonts w:ascii="Verdana" w:hAnsi="Verdana"/>
          <w:sz w:val="20"/>
          <w:szCs w:val="20"/>
          <w:lang w:val="en-US"/>
        </w:rPr>
        <w:t>Mr.</w:t>
      </w:r>
      <w:r w:rsidR="001E44D3" w:rsidRPr="00D869E3">
        <w:rPr>
          <w:rFonts w:ascii="Verdana" w:hAnsi="Verdana"/>
          <w:sz w:val="20"/>
          <w:szCs w:val="20"/>
          <w:lang w:val="en-US"/>
        </w:rPr>
        <w:t xml:space="preserve"> Lagos del Campo</w:t>
      </w:r>
      <w:r w:rsidR="002F1386" w:rsidRPr="00D869E3">
        <w:rPr>
          <w:rFonts w:ascii="Verdana" w:hAnsi="Verdana"/>
          <w:sz w:val="20"/>
          <w:szCs w:val="20"/>
          <w:lang w:val="en-US"/>
        </w:rPr>
        <w:t xml:space="preserve"> </w:t>
      </w:r>
      <w:r w:rsidR="008B63E1" w:rsidRPr="00D869E3">
        <w:rPr>
          <w:rFonts w:ascii="Verdana" w:hAnsi="Verdana"/>
          <w:sz w:val="20"/>
          <w:szCs w:val="20"/>
          <w:lang w:val="en-US"/>
        </w:rPr>
        <w:t>was based were vague and imprecise, because they failed to delimit the</w:t>
      </w:r>
      <w:r w:rsidR="00432C64" w:rsidRPr="00D869E3">
        <w:rPr>
          <w:rFonts w:ascii="Verdana" w:hAnsi="Verdana"/>
          <w:sz w:val="20"/>
          <w:szCs w:val="20"/>
          <w:lang w:val="en-US"/>
        </w:rPr>
        <w:t>ir</w:t>
      </w:r>
      <w:r w:rsidR="008B63E1" w:rsidRPr="00D869E3">
        <w:rPr>
          <w:rFonts w:ascii="Verdana" w:hAnsi="Verdana"/>
          <w:sz w:val="20"/>
          <w:szCs w:val="20"/>
          <w:lang w:val="en-US"/>
        </w:rPr>
        <w:t xml:space="preserve"> sphere of application </w:t>
      </w:r>
      <w:r w:rsidR="00432C64" w:rsidRPr="00D869E3">
        <w:rPr>
          <w:rFonts w:ascii="Verdana" w:hAnsi="Verdana"/>
          <w:sz w:val="20"/>
          <w:szCs w:val="20"/>
          <w:lang w:val="en-US"/>
        </w:rPr>
        <w:t xml:space="preserve">so as </w:t>
      </w:r>
      <w:r w:rsidR="008B63E1" w:rsidRPr="00D869E3">
        <w:rPr>
          <w:rFonts w:ascii="Verdana" w:hAnsi="Verdana"/>
          <w:sz w:val="20"/>
          <w:szCs w:val="20"/>
          <w:lang w:val="en-US"/>
        </w:rPr>
        <w:t xml:space="preserve">to protect statements on matters of public interest or </w:t>
      </w:r>
      <w:r w:rsidR="00432C64" w:rsidRPr="00D869E3">
        <w:rPr>
          <w:rFonts w:ascii="Verdana" w:hAnsi="Verdana"/>
          <w:sz w:val="20"/>
          <w:szCs w:val="20"/>
          <w:lang w:val="en-US"/>
        </w:rPr>
        <w:t xml:space="preserve">declarations made </w:t>
      </w:r>
      <w:r w:rsidR="008B63E1" w:rsidRPr="00D869E3">
        <w:rPr>
          <w:rFonts w:ascii="Verdana" w:hAnsi="Verdana"/>
          <w:sz w:val="20"/>
          <w:szCs w:val="20"/>
          <w:lang w:val="en-US"/>
        </w:rPr>
        <w:t>by worker</w:t>
      </w:r>
      <w:r w:rsidR="00432C64" w:rsidRPr="00D869E3">
        <w:rPr>
          <w:rFonts w:ascii="Verdana" w:hAnsi="Verdana"/>
          <w:sz w:val="20"/>
          <w:szCs w:val="20"/>
          <w:lang w:val="en-US"/>
        </w:rPr>
        <w:t>s’</w:t>
      </w:r>
      <w:r w:rsidR="008B63E1" w:rsidRPr="00D869E3">
        <w:rPr>
          <w:rFonts w:ascii="Verdana" w:hAnsi="Verdana"/>
          <w:sz w:val="20"/>
          <w:szCs w:val="20"/>
          <w:lang w:val="en-US"/>
        </w:rPr>
        <w:t xml:space="preserve"> representatives, speaking in th</w:t>
      </w:r>
      <w:r w:rsidR="00432C64" w:rsidRPr="00D869E3">
        <w:rPr>
          <w:rFonts w:ascii="Verdana" w:hAnsi="Verdana"/>
          <w:sz w:val="20"/>
          <w:szCs w:val="20"/>
          <w:lang w:val="en-US"/>
        </w:rPr>
        <w:t>at</w:t>
      </w:r>
      <w:r w:rsidR="008B63E1" w:rsidRPr="00D869E3">
        <w:rPr>
          <w:rFonts w:ascii="Verdana" w:hAnsi="Verdana"/>
          <w:sz w:val="20"/>
          <w:szCs w:val="20"/>
          <w:lang w:val="en-US"/>
        </w:rPr>
        <w:t xml:space="preserve"> capacity. In this regard, it indicated that, in light of the fact that Mr. Lagos del Campo’s right to freedom of expression having been violated as a </w:t>
      </w:r>
      <w:r w:rsidR="008B63E1" w:rsidRPr="00D869E3">
        <w:rPr>
          <w:rFonts w:ascii="Verdana" w:hAnsi="Verdana"/>
          <w:sz w:val="20"/>
          <w:szCs w:val="20"/>
          <w:lang w:val="en-US"/>
        </w:rPr>
        <w:lastRenderedPageBreak/>
        <w:t>result of the application of a law that did not meet legal requirements, the State also failed to comply with</w:t>
      </w:r>
      <w:r w:rsidR="008B63E1" w:rsidRPr="00D869E3">
        <w:rPr>
          <w:rFonts w:ascii="Verdana" w:hAnsi="Verdana"/>
          <w:sz w:val="20"/>
          <w:szCs w:val="20"/>
          <w:lang w:val="en-US" w:eastAsia="es-ES"/>
        </w:rPr>
        <w:t xml:space="preserve"> </w:t>
      </w:r>
      <w:r w:rsidRPr="00D869E3">
        <w:rPr>
          <w:rFonts w:ascii="Verdana" w:hAnsi="Verdana"/>
          <w:sz w:val="20"/>
          <w:szCs w:val="20"/>
          <w:lang w:val="en-US"/>
        </w:rPr>
        <w:t>Article</w:t>
      </w:r>
      <w:r w:rsidR="002F1386" w:rsidRPr="00D869E3">
        <w:rPr>
          <w:rFonts w:ascii="Verdana" w:hAnsi="Verdana"/>
          <w:sz w:val="20"/>
          <w:szCs w:val="20"/>
          <w:lang w:val="en-US"/>
        </w:rPr>
        <w:t xml:space="preserve"> 2</w:t>
      </w:r>
      <w:r w:rsidRPr="00D869E3">
        <w:rPr>
          <w:rFonts w:ascii="Verdana" w:hAnsi="Verdana"/>
          <w:sz w:val="20"/>
          <w:szCs w:val="20"/>
          <w:lang w:val="en-US"/>
        </w:rPr>
        <w:t xml:space="preserve"> of the American Convention</w:t>
      </w:r>
      <w:r w:rsidR="003304E1" w:rsidRPr="00D869E3">
        <w:rPr>
          <w:rFonts w:ascii="Verdana" w:hAnsi="Verdana"/>
          <w:sz w:val="20"/>
          <w:szCs w:val="20"/>
          <w:lang w:val="en-US"/>
        </w:rPr>
        <w:t>.</w:t>
      </w:r>
      <w:r w:rsidR="002F1386" w:rsidRPr="00D869E3">
        <w:rPr>
          <w:rFonts w:ascii="Verdana" w:hAnsi="Verdana"/>
          <w:sz w:val="20"/>
          <w:szCs w:val="20"/>
          <w:lang w:val="en-US"/>
        </w:rPr>
        <w:t xml:space="preserve"> </w:t>
      </w:r>
    </w:p>
    <w:p w14:paraId="06735E69" w14:textId="77777777" w:rsidR="002F1386" w:rsidRPr="00D869E3" w:rsidRDefault="002F1386" w:rsidP="005D0F69">
      <w:pPr>
        <w:jc w:val="both"/>
        <w:rPr>
          <w:rFonts w:ascii="Verdana" w:hAnsi="Verdana"/>
          <w:sz w:val="20"/>
          <w:szCs w:val="20"/>
          <w:lang w:val="en-US"/>
        </w:rPr>
      </w:pPr>
    </w:p>
    <w:p w14:paraId="6B2D8144" w14:textId="4A7D16AC" w:rsidR="004D6B60" w:rsidRPr="00D869E3" w:rsidRDefault="00687684" w:rsidP="008B63E1">
      <w:pPr>
        <w:pStyle w:val="Prrafodelista"/>
        <w:numPr>
          <w:ilvl w:val="0"/>
          <w:numId w:val="1"/>
        </w:numPr>
        <w:ind w:left="0" w:firstLine="70"/>
        <w:jc w:val="both"/>
        <w:rPr>
          <w:rFonts w:ascii="Verdana" w:hAnsi="Verdana"/>
          <w:lang w:val="en-US"/>
        </w:rPr>
      </w:pPr>
      <w:r w:rsidRPr="00D869E3">
        <w:rPr>
          <w:rFonts w:ascii="Verdana" w:hAnsi="Verdana"/>
          <w:sz w:val="20"/>
          <w:szCs w:val="20"/>
          <w:lang w:val="en-US"/>
        </w:rPr>
        <w:t xml:space="preserve">The </w:t>
      </w:r>
      <w:r w:rsidRPr="00D869E3">
        <w:rPr>
          <w:rFonts w:ascii="Verdana" w:hAnsi="Verdana"/>
          <w:b/>
          <w:bCs/>
          <w:i/>
          <w:iCs/>
          <w:sz w:val="20"/>
          <w:szCs w:val="20"/>
          <w:lang w:val="en-US"/>
        </w:rPr>
        <w:t>representatives</w:t>
      </w:r>
      <w:r w:rsidR="000F0E92" w:rsidRPr="00D869E3">
        <w:rPr>
          <w:rFonts w:ascii="Verdana" w:hAnsi="Verdana"/>
          <w:sz w:val="20"/>
          <w:szCs w:val="20"/>
          <w:lang w:val="en-US"/>
        </w:rPr>
        <w:t xml:space="preserve"> </w:t>
      </w:r>
      <w:r w:rsidR="008B63E1" w:rsidRPr="00D869E3">
        <w:rPr>
          <w:rFonts w:ascii="Verdana" w:hAnsi="Verdana"/>
          <w:sz w:val="20"/>
          <w:szCs w:val="20"/>
          <w:lang w:val="en-US"/>
        </w:rPr>
        <w:t xml:space="preserve">agreed with the Commission’s argument on the incompatibility between paragraph (h) of article 5 of Law </w:t>
      </w:r>
      <w:r w:rsidR="000F0E92" w:rsidRPr="00D869E3">
        <w:rPr>
          <w:rFonts w:ascii="Verdana" w:hAnsi="Verdana"/>
          <w:sz w:val="20"/>
          <w:szCs w:val="20"/>
          <w:lang w:val="en-US"/>
        </w:rPr>
        <w:t>No. 24514</w:t>
      </w:r>
      <w:r w:rsidRPr="00D869E3">
        <w:rPr>
          <w:rFonts w:ascii="Verdana" w:hAnsi="Verdana"/>
          <w:sz w:val="20"/>
          <w:szCs w:val="20"/>
          <w:lang w:val="en-US"/>
        </w:rPr>
        <w:t xml:space="preserve"> and </w:t>
      </w:r>
      <w:r w:rsidR="00447C65" w:rsidRPr="00D869E3">
        <w:rPr>
          <w:rFonts w:ascii="Verdana" w:hAnsi="Verdana"/>
          <w:sz w:val="20"/>
          <w:szCs w:val="20"/>
          <w:lang w:val="en-US"/>
        </w:rPr>
        <w:t>Article</w:t>
      </w:r>
      <w:r w:rsidR="000F0E92" w:rsidRPr="00D869E3">
        <w:rPr>
          <w:rFonts w:ascii="Verdana" w:hAnsi="Verdana"/>
          <w:sz w:val="20"/>
          <w:szCs w:val="20"/>
          <w:lang w:val="en-US"/>
        </w:rPr>
        <w:t xml:space="preserve"> 2</w:t>
      </w:r>
      <w:r w:rsidR="00447C65" w:rsidRPr="00D869E3">
        <w:rPr>
          <w:rFonts w:ascii="Verdana" w:hAnsi="Verdana"/>
          <w:sz w:val="20"/>
          <w:szCs w:val="20"/>
          <w:lang w:val="en-US"/>
        </w:rPr>
        <w:t xml:space="preserve"> of the American Convention</w:t>
      </w:r>
      <w:r w:rsidR="000F0E92" w:rsidRPr="00D869E3">
        <w:rPr>
          <w:rFonts w:ascii="Verdana" w:hAnsi="Verdana"/>
          <w:sz w:val="20"/>
          <w:szCs w:val="20"/>
          <w:lang w:val="en-US"/>
        </w:rPr>
        <w:t xml:space="preserve">. </w:t>
      </w:r>
      <w:r w:rsidR="008B63E1" w:rsidRPr="00D869E3">
        <w:rPr>
          <w:rFonts w:ascii="Verdana" w:hAnsi="Verdana"/>
          <w:sz w:val="20"/>
          <w:szCs w:val="20"/>
          <w:lang w:val="en-US"/>
        </w:rPr>
        <w:t>In addition, they argued that Legislative Decree</w:t>
      </w:r>
      <w:r w:rsidR="000F0E92" w:rsidRPr="00D869E3">
        <w:rPr>
          <w:rFonts w:ascii="Verdana" w:hAnsi="Verdana"/>
          <w:sz w:val="20"/>
          <w:szCs w:val="20"/>
          <w:lang w:val="en-US"/>
        </w:rPr>
        <w:t xml:space="preserve"> No. 728, </w:t>
      </w:r>
      <w:r w:rsidR="008B63E1" w:rsidRPr="00D869E3">
        <w:rPr>
          <w:rFonts w:ascii="Verdana" w:hAnsi="Verdana"/>
          <w:sz w:val="20"/>
          <w:szCs w:val="20"/>
          <w:lang w:val="en-US"/>
        </w:rPr>
        <w:t xml:space="preserve">which derogated Law </w:t>
      </w:r>
      <w:r w:rsidR="000F0E92" w:rsidRPr="00D869E3">
        <w:rPr>
          <w:rFonts w:ascii="Verdana" w:hAnsi="Verdana"/>
          <w:sz w:val="20"/>
          <w:szCs w:val="20"/>
          <w:lang w:val="en-US"/>
        </w:rPr>
        <w:t xml:space="preserve">No. 24514, </w:t>
      </w:r>
      <w:r w:rsidR="008B63E1" w:rsidRPr="00D869E3">
        <w:rPr>
          <w:rFonts w:ascii="Verdana" w:hAnsi="Verdana"/>
          <w:sz w:val="20"/>
          <w:szCs w:val="20"/>
          <w:lang w:val="en-US"/>
        </w:rPr>
        <w:t>suffered from the same defects as the law applied in th</w:t>
      </w:r>
      <w:r w:rsidR="00432C64" w:rsidRPr="00D869E3">
        <w:rPr>
          <w:rFonts w:ascii="Verdana" w:hAnsi="Verdana"/>
          <w:sz w:val="20"/>
          <w:szCs w:val="20"/>
          <w:lang w:val="en-US"/>
        </w:rPr>
        <w:t>is</w:t>
      </w:r>
      <w:r w:rsidR="008B63E1" w:rsidRPr="00D869E3">
        <w:rPr>
          <w:rFonts w:ascii="Verdana" w:hAnsi="Verdana"/>
          <w:sz w:val="20"/>
          <w:szCs w:val="20"/>
          <w:lang w:val="en-US"/>
        </w:rPr>
        <w:t xml:space="preserve"> specific case. Consequently, they asked the Court to examine the compatibility of a</w:t>
      </w:r>
      <w:r w:rsidR="00447C65" w:rsidRPr="00D869E3">
        <w:rPr>
          <w:rFonts w:ascii="Verdana" w:hAnsi="Verdana"/>
          <w:sz w:val="20"/>
          <w:szCs w:val="20"/>
          <w:lang w:val="en-US"/>
        </w:rPr>
        <w:t>rticle</w:t>
      </w:r>
      <w:r w:rsidR="000F0E92" w:rsidRPr="00D869E3">
        <w:rPr>
          <w:rFonts w:ascii="Verdana" w:hAnsi="Verdana"/>
          <w:sz w:val="20"/>
          <w:szCs w:val="20"/>
          <w:lang w:val="en-US"/>
        </w:rPr>
        <w:t xml:space="preserve"> 25</w:t>
      </w:r>
      <w:r w:rsidR="008B63E1" w:rsidRPr="00D869E3">
        <w:rPr>
          <w:rFonts w:ascii="Verdana" w:hAnsi="Verdana"/>
          <w:sz w:val="20"/>
          <w:szCs w:val="20"/>
          <w:lang w:val="en-US"/>
        </w:rPr>
        <w:t xml:space="preserve"> of Legislative Decree</w:t>
      </w:r>
      <w:r w:rsidR="000F0E92" w:rsidRPr="00D869E3">
        <w:rPr>
          <w:rFonts w:ascii="Verdana" w:hAnsi="Verdana"/>
          <w:sz w:val="20"/>
          <w:szCs w:val="20"/>
          <w:lang w:val="en-US"/>
        </w:rPr>
        <w:t xml:space="preserve"> No. 728</w:t>
      </w:r>
      <w:r w:rsidRPr="00D869E3">
        <w:rPr>
          <w:rFonts w:ascii="Verdana" w:hAnsi="Verdana"/>
          <w:sz w:val="20"/>
          <w:szCs w:val="20"/>
          <w:lang w:val="en-US"/>
        </w:rPr>
        <w:t xml:space="preserve"> </w:t>
      </w:r>
      <w:r w:rsidR="00432C64" w:rsidRPr="00D869E3">
        <w:rPr>
          <w:rFonts w:ascii="Verdana" w:hAnsi="Verdana"/>
          <w:sz w:val="20"/>
          <w:szCs w:val="20"/>
          <w:lang w:val="en-US"/>
        </w:rPr>
        <w:t>with</w:t>
      </w:r>
      <w:r w:rsidRPr="00D869E3">
        <w:rPr>
          <w:rFonts w:ascii="Verdana" w:hAnsi="Verdana"/>
          <w:sz w:val="20"/>
          <w:szCs w:val="20"/>
          <w:lang w:val="en-US"/>
        </w:rPr>
        <w:t xml:space="preserve"> </w:t>
      </w:r>
      <w:r w:rsidR="00447C65" w:rsidRPr="00D869E3">
        <w:rPr>
          <w:rFonts w:ascii="Verdana" w:hAnsi="Verdana"/>
          <w:sz w:val="20"/>
          <w:szCs w:val="20"/>
          <w:lang w:val="en-US"/>
        </w:rPr>
        <w:t>the American Convention</w:t>
      </w:r>
    </w:p>
    <w:p w14:paraId="04B5AD25" w14:textId="77777777" w:rsidR="004D6B60" w:rsidRPr="00D869E3" w:rsidRDefault="004D6B60" w:rsidP="005D0F69">
      <w:pPr>
        <w:autoSpaceDE w:val="0"/>
        <w:autoSpaceDN w:val="0"/>
        <w:adjustRightInd w:val="0"/>
        <w:contextualSpacing/>
        <w:jc w:val="both"/>
        <w:rPr>
          <w:rFonts w:ascii="Verdana" w:hAnsi="Verdana"/>
          <w:sz w:val="20"/>
          <w:lang w:val="en-US"/>
        </w:rPr>
      </w:pPr>
    </w:p>
    <w:p w14:paraId="7182B7AB" w14:textId="0E0DE5B5" w:rsidR="0055376B" w:rsidRPr="00D869E3" w:rsidRDefault="00447C65" w:rsidP="008B63E1">
      <w:pPr>
        <w:numPr>
          <w:ilvl w:val="0"/>
          <w:numId w:val="1"/>
        </w:numPr>
        <w:autoSpaceDE w:val="0"/>
        <w:autoSpaceDN w:val="0"/>
        <w:adjustRightInd w:val="0"/>
        <w:ind w:left="0" w:firstLine="0"/>
        <w:contextualSpacing/>
        <w:jc w:val="both"/>
        <w:rPr>
          <w:rFonts w:ascii="Verdana" w:hAnsi="Verdana"/>
          <w:sz w:val="20"/>
          <w:szCs w:val="20"/>
          <w:lang w:val="en-US"/>
        </w:rPr>
      </w:pPr>
      <w:r w:rsidRPr="00D869E3">
        <w:rPr>
          <w:rFonts w:ascii="Verdana" w:hAnsi="Verdana"/>
          <w:sz w:val="20"/>
          <w:szCs w:val="20"/>
          <w:lang w:val="en-US"/>
        </w:rPr>
        <w:t xml:space="preserve">The </w:t>
      </w:r>
      <w:r w:rsidRPr="00D869E3">
        <w:rPr>
          <w:rFonts w:ascii="Verdana" w:hAnsi="Verdana"/>
          <w:b/>
          <w:bCs/>
          <w:i/>
          <w:iCs/>
          <w:sz w:val="20"/>
          <w:szCs w:val="20"/>
          <w:lang w:val="en-US"/>
        </w:rPr>
        <w:t>State</w:t>
      </w:r>
      <w:r w:rsidR="0055376B" w:rsidRPr="00D869E3">
        <w:rPr>
          <w:rFonts w:ascii="Verdana" w:hAnsi="Verdana"/>
          <w:b/>
          <w:bCs/>
          <w:i/>
          <w:iCs/>
          <w:sz w:val="20"/>
          <w:szCs w:val="20"/>
          <w:lang w:val="en-US"/>
        </w:rPr>
        <w:t xml:space="preserve"> </w:t>
      </w:r>
      <w:r w:rsidR="008B63E1" w:rsidRPr="00D869E3">
        <w:rPr>
          <w:rFonts w:ascii="Verdana" w:hAnsi="Verdana"/>
          <w:sz w:val="20"/>
          <w:szCs w:val="20"/>
          <w:lang w:val="en-US"/>
        </w:rPr>
        <w:t>argued that</w:t>
      </w:r>
      <w:r w:rsidR="0055376B" w:rsidRPr="00D869E3">
        <w:rPr>
          <w:rFonts w:ascii="Verdana" w:hAnsi="Verdana"/>
          <w:sz w:val="20"/>
          <w:szCs w:val="20"/>
          <w:lang w:val="en-US"/>
        </w:rPr>
        <w:t xml:space="preserve"> </w:t>
      </w:r>
      <w:r w:rsidR="008B63E1" w:rsidRPr="00D869E3">
        <w:rPr>
          <w:rFonts w:ascii="Verdana" w:hAnsi="Verdana"/>
          <w:sz w:val="20"/>
          <w:szCs w:val="20"/>
          <w:lang w:val="en-US"/>
        </w:rPr>
        <w:t>a</w:t>
      </w:r>
      <w:r w:rsidRPr="00D869E3">
        <w:rPr>
          <w:rFonts w:ascii="Verdana" w:hAnsi="Verdana"/>
          <w:sz w:val="20"/>
          <w:szCs w:val="20"/>
          <w:lang w:val="en-US"/>
        </w:rPr>
        <w:t>rticle</w:t>
      </w:r>
      <w:r w:rsidR="0055376B" w:rsidRPr="00D869E3">
        <w:rPr>
          <w:rFonts w:ascii="Verdana" w:hAnsi="Verdana"/>
          <w:sz w:val="20"/>
          <w:szCs w:val="20"/>
          <w:lang w:val="en-US"/>
        </w:rPr>
        <w:t xml:space="preserve"> 5 </w:t>
      </w:r>
      <w:r w:rsidR="008B63E1" w:rsidRPr="00D869E3">
        <w:rPr>
          <w:rFonts w:ascii="Verdana" w:hAnsi="Verdana"/>
          <w:sz w:val="20"/>
          <w:szCs w:val="20"/>
          <w:lang w:val="en-US"/>
        </w:rPr>
        <w:t xml:space="preserve">of Law </w:t>
      </w:r>
      <w:r w:rsidR="0055376B" w:rsidRPr="00D869E3">
        <w:rPr>
          <w:rFonts w:ascii="Verdana" w:hAnsi="Verdana"/>
          <w:sz w:val="20"/>
          <w:szCs w:val="20"/>
          <w:lang w:val="en-US"/>
        </w:rPr>
        <w:t xml:space="preserve">No. 24514 </w:t>
      </w:r>
      <w:r w:rsidR="008B63E1" w:rsidRPr="00D869E3">
        <w:rPr>
          <w:rFonts w:ascii="Verdana" w:hAnsi="Verdana"/>
          <w:sz w:val="20"/>
          <w:szCs w:val="20"/>
          <w:lang w:val="en-US"/>
        </w:rPr>
        <w:t xml:space="preserve">was not vague and imprecise because it did not delimit its sphere of application with regard to matters of public interest or with regard to statements made by representatives acting as such. However, Mr. Lagos del Campo was not a </w:t>
      </w:r>
      <w:r w:rsidR="00432C64" w:rsidRPr="00D869E3">
        <w:rPr>
          <w:rFonts w:ascii="Verdana" w:hAnsi="Verdana"/>
          <w:sz w:val="20"/>
          <w:szCs w:val="20"/>
          <w:lang w:val="en-US"/>
        </w:rPr>
        <w:t>workers’</w:t>
      </w:r>
      <w:r w:rsidR="008B63E1" w:rsidRPr="00D869E3">
        <w:rPr>
          <w:rFonts w:ascii="Verdana" w:hAnsi="Verdana"/>
          <w:sz w:val="20"/>
          <w:szCs w:val="20"/>
          <w:lang w:val="en-US"/>
        </w:rPr>
        <w:t xml:space="preserve"> representative and, therefore, his statements were not of public interest. Furthermore, and despite the foregoing, it argued that the constitutionality of </w:t>
      </w:r>
      <w:r w:rsidR="00852CCA" w:rsidRPr="00D869E3">
        <w:rPr>
          <w:rFonts w:ascii="Verdana" w:hAnsi="Verdana"/>
          <w:sz w:val="20"/>
          <w:szCs w:val="20"/>
          <w:lang w:val="en-US"/>
        </w:rPr>
        <w:t>Law</w:t>
      </w:r>
      <w:r w:rsidR="0055376B" w:rsidRPr="00D869E3">
        <w:rPr>
          <w:rFonts w:ascii="Verdana" w:hAnsi="Verdana"/>
          <w:sz w:val="20"/>
          <w:szCs w:val="20"/>
          <w:lang w:val="en-US"/>
        </w:rPr>
        <w:t xml:space="preserve"> No. 24514 </w:t>
      </w:r>
      <w:r w:rsidR="008B63E1" w:rsidRPr="00D869E3">
        <w:rPr>
          <w:rFonts w:ascii="Verdana" w:hAnsi="Verdana"/>
          <w:sz w:val="20"/>
          <w:szCs w:val="20"/>
          <w:lang w:val="en-US"/>
        </w:rPr>
        <w:t xml:space="preserve">had never been questioned by the respective domestic mechanisms </w:t>
      </w:r>
      <w:r w:rsidR="00432C64" w:rsidRPr="00D869E3">
        <w:rPr>
          <w:rFonts w:ascii="Verdana" w:hAnsi="Verdana"/>
          <w:sz w:val="20"/>
          <w:szCs w:val="20"/>
          <w:lang w:val="en-US"/>
        </w:rPr>
        <w:t>while</w:t>
      </w:r>
      <w:r w:rsidR="008B63E1" w:rsidRPr="00D869E3">
        <w:rPr>
          <w:rFonts w:ascii="Verdana" w:hAnsi="Verdana"/>
          <w:sz w:val="20"/>
          <w:szCs w:val="20"/>
          <w:lang w:val="en-US"/>
        </w:rPr>
        <w:t xml:space="preserve"> it was in force, and was never the object of eithe</w:t>
      </w:r>
      <w:r w:rsidR="00432C64" w:rsidRPr="00D869E3">
        <w:rPr>
          <w:rFonts w:ascii="Verdana" w:hAnsi="Verdana"/>
          <w:sz w:val="20"/>
          <w:szCs w:val="20"/>
          <w:lang w:val="en-US"/>
        </w:rPr>
        <w:t>r</w:t>
      </w:r>
      <w:r w:rsidR="008B63E1" w:rsidRPr="00D869E3">
        <w:rPr>
          <w:rFonts w:ascii="Verdana" w:hAnsi="Verdana"/>
          <w:sz w:val="20"/>
          <w:szCs w:val="20"/>
          <w:lang w:val="en-US"/>
        </w:rPr>
        <w:t xml:space="preserve"> complaint or criticism before the International Labour Organization</w:t>
      </w:r>
      <w:r w:rsidR="0055376B" w:rsidRPr="00D869E3">
        <w:rPr>
          <w:rFonts w:ascii="Verdana" w:hAnsi="Verdana"/>
          <w:sz w:val="20"/>
          <w:szCs w:val="20"/>
          <w:lang w:val="en-US"/>
        </w:rPr>
        <w:t xml:space="preserve">. </w:t>
      </w:r>
      <w:r w:rsidR="008B63E1" w:rsidRPr="00D869E3">
        <w:rPr>
          <w:rFonts w:ascii="Verdana" w:hAnsi="Verdana"/>
          <w:sz w:val="20"/>
          <w:szCs w:val="20"/>
          <w:lang w:val="en-US"/>
        </w:rPr>
        <w:t>Consequently</w:t>
      </w:r>
      <w:r w:rsidR="0055376B" w:rsidRPr="00D869E3">
        <w:rPr>
          <w:rFonts w:ascii="Verdana" w:hAnsi="Verdana"/>
          <w:sz w:val="20"/>
          <w:szCs w:val="20"/>
          <w:lang w:val="en-US"/>
        </w:rPr>
        <w:t xml:space="preserve">, </w:t>
      </w:r>
      <w:r w:rsidRPr="00D869E3">
        <w:rPr>
          <w:rFonts w:ascii="Verdana" w:hAnsi="Verdana"/>
          <w:sz w:val="20"/>
          <w:szCs w:val="20"/>
          <w:lang w:val="en-US"/>
        </w:rPr>
        <w:t>the State</w:t>
      </w:r>
      <w:r w:rsidR="0055376B" w:rsidRPr="00D869E3">
        <w:rPr>
          <w:rFonts w:ascii="Verdana" w:hAnsi="Verdana"/>
          <w:sz w:val="20"/>
          <w:szCs w:val="20"/>
          <w:lang w:val="en-US"/>
        </w:rPr>
        <w:t xml:space="preserve"> </w:t>
      </w:r>
      <w:r w:rsidR="008B63E1" w:rsidRPr="00D869E3">
        <w:rPr>
          <w:rFonts w:ascii="Verdana" w:hAnsi="Verdana"/>
          <w:sz w:val="20"/>
          <w:szCs w:val="20"/>
          <w:lang w:val="en-US"/>
        </w:rPr>
        <w:t>considered that it did not fa</w:t>
      </w:r>
      <w:r w:rsidR="0055376B" w:rsidRPr="00D869E3">
        <w:rPr>
          <w:rFonts w:ascii="Verdana" w:hAnsi="Verdana"/>
          <w:sz w:val="20"/>
          <w:szCs w:val="20"/>
          <w:lang w:val="en-US"/>
        </w:rPr>
        <w:t>i</w:t>
      </w:r>
      <w:r w:rsidR="008B63E1" w:rsidRPr="00D869E3">
        <w:rPr>
          <w:rFonts w:ascii="Verdana" w:hAnsi="Verdana"/>
          <w:sz w:val="20"/>
          <w:szCs w:val="20"/>
          <w:lang w:val="en-US"/>
        </w:rPr>
        <w:t xml:space="preserve">l to comply with </w:t>
      </w:r>
      <w:r w:rsidRPr="00D869E3">
        <w:rPr>
          <w:rFonts w:ascii="Verdana" w:hAnsi="Verdana"/>
          <w:sz w:val="20"/>
          <w:szCs w:val="20"/>
          <w:lang w:val="en-US"/>
        </w:rPr>
        <w:t>Article</w:t>
      </w:r>
      <w:r w:rsidR="0055376B" w:rsidRPr="00D869E3">
        <w:rPr>
          <w:rFonts w:ascii="Verdana" w:hAnsi="Verdana"/>
          <w:sz w:val="20"/>
          <w:szCs w:val="20"/>
          <w:lang w:val="en-US"/>
        </w:rPr>
        <w:t xml:space="preserve"> 2</w:t>
      </w:r>
      <w:r w:rsidRPr="00D869E3">
        <w:rPr>
          <w:rFonts w:ascii="Verdana" w:hAnsi="Verdana"/>
          <w:sz w:val="20"/>
          <w:szCs w:val="20"/>
          <w:lang w:val="en-US"/>
        </w:rPr>
        <w:t xml:space="preserve"> of the American Convention</w:t>
      </w:r>
      <w:r w:rsidR="00FA58C4" w:rsidRPr="00D869E3">
        <w:rPr>
          <w:rFonts w:ascii="Verdana" w:hAnsi="Verdana"/>
          <w:sz w:val="20"/>
          <w:szCs w:val="20"/>
          <w:lang w:val="en-US"/>
        </w:rPr>
        <w:t>.</w:t>
      </w:r>
    </w:p>
    <w:p w14:paraId="2CEC15E1" w14:textId="77777777" w:rsidR="00C01305" w:rsidRPr="00D869E3" w:rsidRDefault="00C01305" w:rsidP="00C01305">
      <w:pPr>
        <w:autoSpaceDE w:val="0"/>
        <w:autoSpaceDN w:val="0"/>
        <w:adjustRightInd w:val="0"/>
        <w:contextualSpacing/>
        <w:jc w:val="both"/>
        <w:rPr>
          <w:rFonts w:ascii="Verdana" w:hAnsi="Verdana"/>
          <w:sz w:val="20"/>
          <w:szCs w:val="20"/>
          <w:lang w:val="en-US"/>
        </w:rPr>
      </w:pPr>
    </w:p>
    <w:p w14:paraId="781034BF" w14:textId="7C5BFF3B" w:rsidR="00C01305" w:rsidRPr="00D869E3" w:rsidRDefault="001D1B96" w:rsidP="00E66DD7">
      <w:pPr>
        <w:pStyle w:val="Ttulo2"/>
        <w:numPr>
          <w:ilvl w:val="0"/>
          <w:numId w:val="10"/>
        </w:numPr>
        <w:rPr>
          <w:i/>
          <w:szCs w:val="20"/>
          <w:lang w:val="en-US"/>
        </w:rPr>
      </w:pPr>
      <w:bookmarkStart w:id="39" w:name="_Toc29114130"/>
      <w:r w:rsidRPr="00D869E3">
        <w:rPr>
          <w:i/>
          <w:szCs w:val="20"/>
          <w:lang w:val="en-US"/>
        </w:rPr>
        <w:t>Considerations</w:t>
      </w:r>
      <w:r w:rsidR="00447C65" w:rsidRPr="00D869E3">
        <w:rPr>
          <w:i/>
          <w:szCs w:val="20"/>
          <w:lang w:val="en-US"/>
        </w:rPr>
        <w:t xml:space="preserve"> of the Court</w:t>
      </w:r>
      <w:bookmarkEnd w:id="39"/>
    </w:p>
    <w:p w14:paraId="20C485B0" w14:textId="77777777" w:rsidR="00C01305" w:rsidRPr="00D869E3" w:rsidRDefault="00C01305" w:rsidP="00C01305">
      <w:pPr>
        <w:rPr>
          <w:rFonts w:ascii="Verdana" w:hAnsi="Verdana"/>
          <w:sz w:val="22"/>
          <w:szCs w:val="22"/>
          <w:lang w:val="en-US"/>
        </w:rPr>
      </w:pPr>
    </w:p>
    <w:p w14:paraId="347C3D51" w14:textId="431271B4" w:rsidR="002F1386" w:rsidRPr="00D869E3" w:rsidRDefault="00A62EA8" w:rsidP="00E66DD7">
      <w:pPr>
        <w:pStyle w:val="Ttulo3"/>
        <w:numPr>
          <w:ilvl w:val="0"/>
          <w:numId w:val="11"/>
        </w:numPr>
        <w:ind w:left="714" w:hanging="357"/>
        <w:rPr>
          <w:b w:val="0"/>
          <w:i/>
          <w:lang w:val="en-US"/>
        </w:rPr>
      </w:pPr>
      <w:bookmarkStart w:id="40" w:name="_Toc29114131"/>
      <w:r w:rsidRPr="00D869E3">
        <w:rPr>
          <w:i/>
          <w:lang w:val="en-US"/>
        </w:rPr>
        <w:t>Freedom of expression</w:t>
      </w:r>
      <w:r w:rsidR="00687684" w:rsidRPr="00D869E3">
        <w:rPr>
          <w:i/>
          <w:lang w:val="en-US"/>
        </w:rPr>
        <w:t xml:space="preserve"> </w:t>
      </w:r>
      <w:r w:rsidR="008B63E1" w:rsidRPr="00D869E3">
        <w:rPr>
          <w:i/>
          <w:lang w:val="en-US"/>
        </w:rPr>
        <w:t>and judicial guarantees</w:t>
      </w:r>
      <w:bookmarkEnd w:id="40"/>
    </w:p>
    <w:p w14:paraId="55A5CE3E" w14:textId="77777777" w:rsidR="00C01305" w:rsidRPr="00D869E3" w:rsidRDefault="00C01305" w:rsidP="00C01305">
      <w:pPr>
        <w:autoSpaceDE w:val="0"/>
        <w:autoSpaceDN w:val="0"/>
        <w:adjustRightInd w:val="0"/>
        <w:contextualSpacing/>
        <w:jc w:val="both"/>
        <w:rPr>
          <w:rFonts w:ascii="Verdana" w:hAnsi="Verdana"/>
          <w:sz w:val="20"/>
          <w:szCs w:val="20"/>
          <w:lang w:val="en-US"/>
        </w:rPr>
      </w:pPr>
    </w:p>
    <w:p w14:paraId="3D5ED48C" w14:textId="5B5F24E8" w:rsidR="00C01305" w:rsidRPr="00D869E3" w:rsidRDefault="008B63E1" w:rsidP="00E66DD7">
      <w:pPr>
        <w:numPr>
          <w:ilvl w:val="0"/>
          <w:numId w:val="1"/>
        </w:numPr>
        <w:autoSpaceDE w:val="0"/>
        <w:autoSpaceDN w:val="0"/>
        <w:adjustRightInd w:val="0"/>
        <w:ind w:left="0" w:firstLine="0"/>
        <w:contextualSpacing/>
        <w:jc w:val="both"/>
        <w:rPr>
          <w:rFonts w:ascii="Verdana" w:hAnsi="Verdana"/>
          <w:sz w:val="20"/>
          <w:lang w:val="en-US"/>
        </w:rPr>
      </w:pPr>
      <w:r w:rsidRPr="00D869E3">
        <w:rPr>
          <w:rFonts w:ascii="Verdana" w:hAnsi="Verdana"/>
          <w:sz w:val="20"/>
          <w:szCs w:val="20"/>
          <w:lang w:val="en-US"/>
        </w:rPr>
        <w:t xml:space="preserve">In this section, the Court will analyze whether </w:t>
      </w:r>
      <w:r w:rsidR="00E6309B" w:rsidRPr="00D869E3">
        <w:rPr>
          <w:rFonts w:ascii="Verdana" w:hAnsi="Verdana"/>
          <w:sz w:val="20"/>
          <w:szCs w:val="20"/>
          <w:lang w:val="en-US"/>
        </w:rPr>
        <w:t>Mr.</w:t>
      </w:r>
      <w:r w:rsidR="001E44D3" w:rsidRPr="00D869E3">
        <w:rPr>
          <w:rFonts w:ascii="Verdana" w:hAnsi="Verdana"/>
          <w:sz w:val="20"/>
          <w:szCs w:val="20"/>
          <w:lang w:val="en-US"/>
        </w:rPr>
        <w:t xml:space="preserve"> Lagos del Campo</w:t>
      </w:r>
      <w:r w:rsidR="00432C64" w:rsidRPr="00D869E3">
        <w:rPr>
          <w:rFonts w:ascii="Verdana" w:hAnsi="Verdana"/>
          <w:sz w:val="20"/>
          <w:szCs w:val="20"/>
          <w:lang w:val="en-US"/>
        </w:rPr>
        <w:t>’s statements</w:t>
      </w:r>
      <w:r w:rsidR="00C01305" w:rsidRPr="00D869E3">
        <w:rPr>
          <w:rFonts w:ascii="Verdana" w:hAnsi="Verdana"/>
          <w:sz w:val="20"/>
          <w:szCs w:val="20"/>
          <w:lang w:val="en-US"/>
        </w:rPr>
        <w:t xml:space="preserve"> </w:t>
      </w:r>
      <w:r w:rsidRPr="00D869E3">
        <w:rPr>
          <w:rFonts w:ascii="Verdana" w:hAnsi="Verdana"/>
          <w:sz w:val="20"/>
          <w:szCs w:val="20"/>
          <w:lang w:val="en-US"/>
        </w:rPr>
        <w:t xml:space="preserve">fell within the sphere of special protection of the </w:t>
      </w:r>
      <w:r w:rsidR="00C82C0C" w:rsidRPr="00D869E3">
        <w:rPr>
          <w:rFonts w:ascii="Verdana" w:hAnsi="Verdana"/>
          <w:sz w:val="20"/>
          <w:szCs w:val="20"/>
          <w:lang w:val="en-US"/>
        </w:rPr>
        <w:t>right to freedom</w:t>
      </w:r>
      <w:r w:rsidR="00A62EA8" w:rsidRPr="00D869E3">
        <w:rPr>
          <w:rFonts w:ascii="Verdana" w:hAnsi="Verdana"/>
          <w:sz w:val="20"/>
          <w:szCs w:val="20"/>
          <w:lang w:val="en-US"/>
        </w:rPr>
        <w:t xml:space="preserve"> of expression</w:t>
      </w:r>
      <w:r w:rsidR="00C01305" w:rsidRPr="00D869E3">
        <w:rPr>
          <w:rFonts w:ascii="Verdana" w:hAnsi="Verdana"/>
          <w:sz w:val="20"/>
          <w:szCs w:val="20"/>
          <w:lang w:val="en-US"/>
        </w:rPr>
        <w:t xml:space="preserve"> </w:t>
      </w:r>
      <w:r w:rsidRPr="00D869E3">
        <w:rPr>
          <w:rFonts w:ascii="Verdana" w:hAnsi="Verdana"/>
          <w:sz w:val="20"/>
          <w:szCs w:val="20"/>
          <w:lang w:val="en-US"/>
        </w:rPr>
        <w:t xml:space="preserve">and, if applicable, whether his </w:t>
      </w:r>
      <w:r w:rsidR="00A62EA8" w:rsidRPr="00D869E3">
        <w:rPr>
          <w:rFonts w:ascii="Verdana" w:hAnsi="Verdana"/>
          <w:sz w:val="20"/>
          <w:szCs w:val="20"/>
          <w:lang w:val="en-US"/>
        </w:rPr>
        <w:t>freedom of expression</w:t>
      </w:r>
      <w:r w:rsidR="00602389" w:rsidRPr="00D869E3">
        <w:rPr>
          <w:rFonts w:ascii="Verdana" w:hAnsi="Verdana"/>
          <w:sz w:val="20"/>
          <w:szCs w:val="20"/>
          <w:lang w:val="en-US"/>
        </w:rPr>
        <w:t xml:space="preserve"> </w:t>
      </w:r>
      <w:r w:rsidRPr="00D869E3">
        <w:rPr>
          <w:rFonts w:ascii="Verdana" w:hAnsi="Verdana"/>
          <w:sz w:val="20"/>
          <w:szCs w:val="20"/>
          <w:lang w:val="en-US"/>
        </w:rPr>
        <w:t>was ensured by the State by the decision of the second instance</w:t>
      </w:r>
      <w:r w:rsidR="00432C64" w:rsidRPr="00D869E3">
        <w:rPr>
          <w:rFonts w:ascii="Verdana" w:hAnsi="Verdana"/>
          <w:sz w:val="20"/>
          <w:szCs w:val="20"/>
          <w:lang w:val="en-US"/>
        </w:rPr>
        <w:t xml:space="preserve"> judge</w:t>
      </w:r>
      <w:r w:rsidRPr="00D869E3">
        <w:rPr>
          <w:rFonts w:ascii="Verdana" w:hAnsi="Verdana"/>
          <w:sz w:val="20"/>
          <w:szCs w:val="20"/>
          <w:lang w:val="en-US"/>
        </w:rPr>
        <w:t>. To this end, the Court will analyze this dispute in the following sections: (a) Freedom of expression in labor contexts</w:t>
      </w:r>
      <w:r w:rsidR="00687684" w:rsidRPr="00D869E3">
        <w:rPr>
          <w:rFonts w:ascii="Verdana" w:hAnsi="Verdana"/>
          <w:sz w:val="20"/>
          <w:szCs w:val="20"/>
          <w:lang w:val="en-US"/>
        </w:rPr>
        <w:t xml:space="preserve"> and </w:t>
      </w:r>
      <w:r w:rsidRPr="00D869E3">
        <w:rPr>
          <w:rFonts w:ascii="Verdana" w:hAnsi="Verdana"/>
          <w:sz w:val="20"/>
          <w:szCs w:val="20"/>
          <w:lang w:val="en-US"/>
        </w:rPr>
        <w:t>(</w:t>
      </w:r>
      <w:r w:rsidR="002A7B50" w:rsidRPr="00D869E3">
        <w:rPr>
          <w:rFonts w:ascii="Verdana" w:hAnsi="Verdana"/>
          <w:sz w:val="20"/>
          <w:szCs w:val="20"/>
          <w:lang w:val="en-US"/>
        </w:rPr>
        <w:t>b</w:t>
      </w:r>
      <w:r w:rsidR="00C01305" w:rsidRPr="00D869E3">
        <w:rPr>
          <w:rFonts w:ascii="Verdana" w:hAnsi="Verdana"/>
          <w:sz w:val="20"/>
          <w:lang w:val="en-US"/>
        </w:rPr>
        <w:t xml:space="preserve">) </w:t>
      </w:r>
      <w:r w:rsidR="00B44B46" w:rsidRPr="00D869E3">
        <w:rPr>
          <w:rFonts w:ascii="Verdana" w:hAnsi="Verdana"/>
          <w:sz w:val="20"/>
          <w:lang w:val="en-US"/>
        </w:rPr>
        <w:t>Analysis of the necessity</w:t>
      </w:r>
      <w:r w:rsidRPr="00D869E3">
        <w:rPr>
          <w:rFonts w:ascii="Verdana" w:hAnsi="Verdana"/>
          <w:sz w:val="20"/>
          <w:lang w:val="en-US"/>
        </w:rPr>
        <w:t xml:space="preserve"> and reasonableness of the restriction in this case</w:t>
      </w:r>
      <w:r w:rsidR="001E446C" w:rsidRPr="00D869E3">
        <w:rPr>
          <w:rFonts w:ascii="Verdana" w:hAnsi="Verdana"/>
          <w:sz w:val="20"/>
          <w:lang w:val="en-US"/>
        </w:rPr>
        <w:t>.</w:t>
      </w:r>
    </w:p>
    <w:p w14:paraId="22B20085" w14:textId="77777777" w:rsidR="00C41937" w:rsidRPr="00D869E3" w:rsidRDefault="00C41937" w:rsidP="00557859">
      <w:pPr>
        <w:autoSpaceDE w:val="0"/>
        <w:autoSpaceDN w:val="0"/>
        <w:adjustRightInd w:val="0"/>
        <w:contextualSpacing/>
        <w:jc w:val="both"/>
        <w:rPr>
          <w:rFonts w:ascii="Verdana" w:hAnsi="Verdana"/>
          <w:sz w:val="20"/>
          <w:szCs w:val="20"/>
          <w:lang w:val="en-US"/>
        </w:rPr>
      </w:pPr>
    </w:p>
    <w:p w14:paraId="7B3BA865" w14:textId="48B9C4E3" w:rsidR="00517048" w:rsidRPr="00D869E3" w:rsidRDefault="008B63E1" w:rsidP="00E66DD7">
      <w:pPr>
        <w:pStyle w:val="Ttulo3"/>
        <w:numPr>
          <w:ilvl w:val="1"/>
          <w:numId w:val="11"/>
        </w:numPr>
        <w:rPr>
          <w:i/>
          <w:lang w:val="en-US"/>
        </w:rPr>
      </w:pPr>
      <w:bookmarkStart w:id="41" w:name="_Toc29114132"/>
      <w:r w:rsidRPr="00D869E3">
        <w:rPr>
          <w:i/>
          <w:lang w:val="en-US"/>
        </w:rPr>
        <w:t>Freedom of expression in labor contexts</w:t>
      </w:r>
      <w:bookmarkEnd w:id="41"/>
    </w:p>
    <w:p w14:paraId="2AD0E74E" w14:textId="77777777" w:rsidR="00E365AD" w:rsidRPr="00D869E3" w:rsidRDefault="00E365AD" w:rsidP="00CB5A95">
      <w:pPr>
        <w:autoSpaceDE w:val="0"/>
        <w:autoSpaceDN w:val="0"/>
        <w:adjustRightInd w:val="0"/>
        <w:contextualSpacing/>
        <w:jc w:val="both"/>
        <w:rPr>
          <w:rFonts w:ascii="Verdana" w:hAnsi="Verdana"/>
          <w:i/>
          <w:lang w:val="en-US"/>
        </w:rPr>
      </w:pPr>
    </w:p>
    <w:p w14:paraId="34AC2DC1" w14:textId="68871B72" w:rsidR="00E365AD" w:rsidRPr="00D869E3" w:rsidRDefault="00A14ABD" w:rsidP="00E66DD7">
      <w:pPr>
        <w:numPr>
          <w:ilvl w:val="0"/>
          <w:numId w:val="1"/>
        </w:numPr>
        <w:autoSpaceDE w:val="0"/>
        <w:autoSpaceDN w:val="0"/>
        <w:adjustRightInd w:val="0"/>
        <w:ind w:left="0" w:firstLine="0"/>
        <w:contextualSpacing/>
        <w:jc w:val="both"/>
        <w:rPr>
          <w:rFonts w:ascii="Verdana" w:hAnsi="Verdana"/>
          <w:sz w:val="20"/>
          <w:szCs w:val="20"/>
          <w:lang w:val="en-US"/>
        </w:rPr>
      </w:pPr>
      <w:r w:rsidRPr="00D869E3">
        <w:rPr>
          <w:rFonts w:ascii="Verdana" w:hAnsi="Verdana"/>
          <w:sz w:val="20"/>
          <w:szCs w:val="20"/>
          <w:lang w:val="en-US"/>
        </w:rPr>
        <w:t xml:space="preserve">The </w:t>
      </w:r>
      <w:r w:rsidR="00447C65" w:rsidRPr="00D869E3">
        <w:rPr>
          <w:rFonts w:ascii="Verdana" w:hAnsi="Verdana"/>
          <w:sz w:val="20"/>
          <w:szCs w:val="20"/>
          <w:lang w:val="en-US"/>
        </w:rPr>
        <w:t>Court</w:t>
      </w:r>
      <w:r w:rsidRPr="00D869E3">
        <w:rPr>
          <w:rFonts w:ascii="Verdana" w:hAnsi="Verdana"/>
          <w:sz w:val="20"/>
          <w:szCs w:val="20"/>
          <w:lang w:val="en-US"/>
        </w:rPr>
        <w:t>’s</w:t>
      </w:r>
      <w:r w:rsidR="00E365AD" w:rsidRPr="00D869E3">
        <w:rPr>
          <w:rFonts w:ascii="Verdana" w:hAnsi="Verdana"/>
          <w:sz w:val="20"/>
          <w:szCs w:val="20"/>
          <w:lang w:val="en-US"/>
        </w:rPr>
        <w:t xml:space="preserve"> </w:t>
      </w:r>
      <w:r w:rsidRPr="00D869E3">
        <w:rPr>
          <w:rFonts w:ascii="Verdana" w:hAnsi="Verdana"/>
          <w:sz w:val="20"/>
          <w:szCs w:val="20"/>
          <w:lang w:val="en-US"/>
        </w:rPr>
        <w:t>jurisprudence has provided the right to freedom of thought and expression recognized in Article 13 of the Convention with a wide-ranging content</w:t>
      </w:r>
      <w:r w:rsidR="00E365AD" w:rsidRPr="00D869E3">
        <w:rPr>
          <w:rFonts w:ascii="Verdana" w:hAnsi="Verdana"/>
          <w:sz w:val="20"/>
          <w:szCs w:val="20"/>
          <w:lang w:val="en-US"/>
        </w:rPr>
        <w:t xml:space="preserve">. </w:t>
      </w:r>
      <w:r w:rsidR="00447C65" w:rsidRPr="00D869E3">
        <w:rPr>
          <w:rFonts w:ascii="Verdana" w:hAnsi="Verdana"/>
          <w:sz w:val="20"/>
          <w:szCs w:val="20"/>
          <w:lang w:val="en-US"/>
        </w:rPr>
        <w:t>The Court</w:t>
      </w:r>
      <w:r w:rsidR="00E365AD" w:rsidRPr="00D869E3">
        <w:rPr>
          <w:rFonts w:ascii="Verdana" w:hAnsi="Verdana"/>
          <w:sz w:val="20"/>
          <w:szCs w:val="20"/>
          <w:lang w:val="en-US"/>
        </w:rPr>
        <w:t xml:space="preserve"> ha</w:t>
      </w:r>
      <w:r w:rsidR="006A7D7C" w:rsidRPr="00D869E3">
        <w:rPr>
          <w:rFonts w:ascii="Verdana" w:hAnsi="Verdana"/>
          <w:sz w:val="20"/>
          <w:szCs w:val="20"/>
          <w:lang w:val="en-US"/>
        </w:rPr>
        <w:t>s indicated that this article protects the right to seek</w:t>
      </w:r>
      <w:r w:rsidR="00186103" w:rsidRPr="00D869E3">
        <w:rPr>
          <w:rFonts w:ascii="Verdana" w:hAnsi="Verdana"/>
          <w:sz w:val="20"/>
          <w:szCs w:val="20"/>
          <w:lang w:val="en-US"/>
        </w:rPr>
        <w:t>,</w:t>
      </w:r>
      <w:r w:rsidR="006A7D7C" w:rsidRPr="00D869E3">
        <w:rPr>
          <w:rFonts w:ascii="Verdana" w:hAnsi="Verdana"/>
          <w:sz w:val="20"/>
          <w:szCs w:val="20"/>
          <w:lang w:val="en-US"/>
        </w:rPr>
        <w:t xml:space="preserve"> receive and impart information and ideas of all kinds, as well as to receive and</w:t>
      </w:r>
      <w:r w:rsidRPr="00D869E3">
        <w:rPr>
          <w:rFonts w:ascii="Verdana" w:hAnsi="Verdana"/>
          <w:sz w:val="20"/>
          <w:szCs w:val="20"/>
          <w:lang w:val="en-US"/>
        </w:rPr>
        <w:t xml:space="preserve"> obtain</w:t>
      </w:r>
      <w:r w:rsidR="006A7D7C" w:rsidRPr="00D869E3">
        <w:rPr>
          <w:rFonts w:ascii="Verdana" w:hAnsi="Verdana"/>
          <w:sz w:val="20"/>
          <w:szCs w:val="20"/>
          <w:lang w:val="en-US"/>
        </w:rPr>
        <w:t xml:space="preserve"> the information and ideas imparted by others.</w:t>
      </w:r>
      <w:r w:rsidR="00E365AD" w:rsidRPr="00D869E3">
        <w:rPr>
          <w:rFonts w:ascii="Verdana" w:hAnsi="Verdana"/>
          <w:sz w:val="20"/>
          <w:szCs w:val="20"/>
          <w:vertAlign w:val="superscript"/>
          <w:lang w:val="en-US"/>
        </w:rPr>
        <w:footnoteReference w:id="111"/>
      </w:r>
      <w:r w:rsidR="00E365AD" w:rsidRPr="00D869E3">
        <w:rPr>
          <w:rFonts w:ascii="Verdana" w:hAnsi="Verdana"/>
          <w:sz w:val="20"/>
          <w:szCs w:val="20"/>
          <w:lang w:val="en-US"/>
        </w:rPr>
        <w:t xml:space="preserve"> </w:t>
      </w:r>
      <w:r w:rsidRPr="00D869E3">
        <w:rPr>
          <w:rFonts w:ascii="Verdana" w:hAnsi="Verdana"/>
          <w:sz w:val="20"/>
          <w:szCs w:val="20"/>
          <w:lang w:val="en-US"/>
        </w:rPr>
        <w:t>It has also indicated that freedom of expression has both an individual and a social dimension, and from this it has extrapolated a series of rights that are protected by this article.</w:t>
      </w:r>
      <w:r w:rsidR="00E365AD" w:rsidRPr="00D869E3">
        <w:rPr>
          <w:rFonts w:ascii="Verdana" w:hAnsi="Verdana"/>
          <w:sz w:val="20"/>
          <w:szCs w:val="20"/>
          <w:vertAlign w:val="superscript"/>
          <w:lang w:val="en-US"/>
        </w:rPr>
        <w:footnoteReference w:id="112"/>
      </w:r>
      <w:r w:rsidR="00E365AD" w:rsidRPr="00D869E3">
        <w:rPr>
          <w:rFonts w:ascii="Verdana" w:hAnsi="Verdana"/>
          <w:sz w:val="20"/>
          <w:szCs w:val="20"/>
          <w:lang w:val="en-US"/>
        </w:rPr>
        <w:t xml:space="preserve"> </w:t>
      </w:r>
      <w:r w:rsidRPr="00D869E3">
        <w:rPr>
          <w:rFonts w:ascii="Verdana" w:hAnsi="Verdana"/>
          <w:sz w:val="20"/>
          <w:szCs w:val="20"/>
          <w:lang w:val="en-US"/>
        </w:rPr>
        <w:t>The Court has asserted that the two dimensions are equally important and must be guaranteed absolutely and simultaneously in order to give full effect to the right to freedom of expression in the terms of Article 13 of the Convention.</w:t>
      </w:r>
      <w:r w:rsidR="00E365AD" w:rsidRPr="00D869E3">
        <w:rPr>
          <w:rFonts w:ascii="Verdana" w:hAnsi="Verdana"/>
          <w:sz w:val="20"/>
          <w:szCs w:val="20"/>
          <w:vertAlign w:val="superscript"/>
          <w:lang w:val="en-US"/>
        </w:rPr>
        <w:footnoteReference w:id="113"/>
      </w:r>
      <w:r w:rsidR="00E365AD" w:rsidRPr="00D869E3">
        <w:rPr>
          <w:rFonts w:ascii="Verdana" w:hAnsi="Verdana"/>
          <w:sz w:val="20"/>
          <w:szCs w:val="20"/>
          <w:lang w:val="en-US"/>
        </w:rPr>
        <w:t xml:space="preserve"> </w:t>
      </w:r>
      <w:r w:rsidRPr="00D869E3">
        <w:rPr>
          <w:rFonts w:ascii="Verdana" w:hAnsi="Verdana"/>
          <w:sz w:val="20"/>
          <w:szCs w:val="20"/>
          <w:lang w:val="en-US"/>
        </w:rPr>
        <w:t>For the ordinary citizen, knowing the opinion of others or the information possessed by others is as important as the right to disseminate his or her own opinion or information.</w:t>
      </w:r>
      <w:r w:rsidR="00E365AD" w:rsidRPr="00D869E3">
        <w:rPr>
          <w:rFonts w:ascii="Verdana" w:hAnsi="Verdana"/>
          <w:sz w:val="20"/>
          <w:szCs w:val="20"/>
          <w:vertAlign w:val="superscript"/>
          <w:lang w:val="en-US"/>
        </w:rPr>
        <w:footnoteReference w:id="114"/>
      </w:r>
      <w:r w:rsidR="00E365AD" w:rsidRPr="00D869E3">
        <w:rPr>
          <w:rFonts w:ascii="Verdana" w:hAnsi="Verdana"/>
          <w:b/>
          <w:sz w:val="20"/>
          <w:szCs w:val="20"/>
          <w:lang w:val="en-US"/>
        </w:rPr>
        <w:t xml:space="preserve"> </w:t>
      </w:r>
      <w:r w:rsidRPr="00D869E3">
        <w:rPr>
          <w:rFonts w:ascii="Verdana" w:hAnsi="Verdana"/>
          <w:sz w:val="20"/>
          <w:szCs w:val="20"/>
          <w:lang w:val="en-US"/>
        </w:rPr>
        <w:t xml:space="preserve">Consequently, in light of the two dimensions, freedom of expression </w:t>
      </w:r>
      <w:r w:rsidRPr="00D869E3">
        <w:rPr>
          <w:rFonts w:ascii="Verdana" w:hAnsi="Verdana"/>
          <w:sz w:val="20"/>
          <w:szCs w:val="20"/>
          <w:lang w:val="en-US"/>
        </w:rPr>
        <w:lastRenderedPageBreak/>
        <w:t>requires, on the one hand, that no one may be arbitrarily hindered or prevented from expressing his or her own opinion and, thus, represents a right of each individual; while, on the other hand, it also signifies a collective right to receive any kind of information and learn about the opinions of others.</w:t>
      </w:r>
      <w:r w:rsidR="00E365AD" w:rsidRPr="00D869E3">
        <w:rPr>
          <w:rFonts w:ascii="Verdana" w:hAnsi="Verdana"/>
          <w:sz w:val="20"/>
          <w:szCs w:val="20"/>
          <w:vertAlign w:val="superscript"/>
          <w:lang w:val="en-US"/>
        </w:rPr>
        <w:footnoteReference w:id="115"/>
      </w:r>
    </w:p>
    <w:p w14:paraId="4C6409BF" w14:textId="77777777" w:rsidR="00E365AD" w:rsidRPr="00D869E3" w:rsidRDefault="00E365AD" w:rsidP="00E365AD">
      <w:pPr>
        <w:autoSpaceDE w:val="0"/>
        <w:autoSpaceDN w:val="0"/>
        <w:adjustRightInd w:val="0"/>
        <w:contextualSpacing/>
        <w:jc w:val="both"/>
        <w:rPr>
          <w:rFonts w:ascii="Verdana" w:hAnsi="Verdana"/>
          <w:sz w:val="20"/>
          <w:szCs w:val="20"/>
          <w:lang w:val="en-US"/>
        </w:rPr>
      </w:pPr>
    </w:p>
    <w:p w14:paraId="34D6CCEA" w14:textId="436AE520" w:rsidR="00E365AD" w:rsidRPr="00D869E3" w:rsidRDefault="00447C65" w:rsidP="00E66DD7">
      <w:pPr>
        <w:numPr>
          <w:ilvl w:val="0"/>
          <w:numId w:val="1"/>
        </w:numPr>
        <w:autoSpaceDE w:val="0"/>
        <w:autoSpaceDN w:val="0"/>
        <w:adjustRightInd w:val="0"/>
        <w:ind w:left="0" w:firstLine="0"/>
        <w:contextualSpacing/>
        <w:jc w:val="both"/>
        <w:rPr>
          <w:rFonts w:ascii="Verdana" w:eastAsia="Times New Roman" w:hAnsi="Verdana" w:cs="Arial"/>
          <w:b/>
          <w:sz w:val="20"/>
          <w:szCs w:val="20"/>
          <w:lang w:val="en-US"/>
        </w:rPr>
      </w:pPr>
      <w:r w:rsidRPr="00D869E3">
        <w:rPr>
          <w:rFonts w:ascii="Verdana" w:hAnsi="Verdana"/>
          <w:sz w:val="20"/>
          <w:szCs w:val="22"/>
          <w:lang w:val="en-US"/>
        </w:rPr>
        <w:t>The American Convention</w:t>
      </w:r>
      <w:r w:rsidR="00E365AD" w:rsidRPr="00D869E3">
        <w:rPr>
          <w:rFonts w:ascii="Verdana" w:hAnsi="Verdana"/>
          <w:sz w:val="20"/>
          <w:szCs w:val="22"/>
          <w:lang w:val="en-US"/>
        </w:rPr>
        <w:t xml:space="preserve"> </w:t>
      </w:r>
      <w:r w:rsidR="00A14ABD" w:rsidRPr="00D869E3">
        <w:rPr>
          <w:rFonts w:ascii="Verdana" w:hAnsi="Verdana"/>
          <w:sz w:val="20"/>
          <w:szCs w:val="20"/>
          <w:lang w:val="en-US"/>
        </w:rPr>
        <w:t>guarantees everyone’s right to freedom of expression, regardless of any other consideration, so that it cannot be restricted to a specific profession or group of persons.</w:t>
      </w:r>
      <w:r w:rsidR="00E365AD" w:rsidRPr="00D869E3">
        <w:rPr>
          <w:rFonts w:ascii="Verdana" w:hAnsi="Verdana"/>
          <w:sz w:val="20"/>
          <w:szCs w:val="20"/>
          <w:vertAlign w:val="superscript"/>
          <w:lang w:val="en-US"/>
        </w:rPr>
        <w:footnoteReference w:id="116"/>
      </w:r>
      <w:r w:rsidR="00E365AD" w:rsidRPr="00D869E3">
        <w:rPr>
          <w:rFonts w:ascii="Verdana" w:eastAsia="Times New Roman" w:hAnsi="Verdana" w:cs="Arial"/>
          <w:sz w:val="20"/>
          <w:szCs w:val="20"/>
          <w:lang w:val="en-US"/>
        </w:rPr>
        <w:t xml:space="preserve"> </w:t>
      </w:r>
      <w:r w:rsidR="005E7D90" w:rsidRPr="00D869E3">
        <w:rPr>
          <w:rFonts w:ascii="Verdana" w:hAnsi="Verdana"/>
          <w:sz w:val="20"/>
          <w:szCs w:val="20"/>
          <w:lang w:val="en-US"/>
        </w:rPr>
        <w:t xml:space="preserve">Thus, the Court has maintained that </w:t>
      </w:r>
      <w:r w:rsidR="005E7D90" w:rsidRPr="00D869E3">
        <w:rPr>
          <w:rFonts w:ascii="Verdana" w:eastAsia="Times New Roman" w:hAnsi="Verdana"/>
          <w:sz w:val="20"/>
          <w:szCs w:val="20"/>
          <w:lang w:val="en-US" w:eastAsia="es-ES"/>
        </w:rPr>
        <w:t xml:space="preserve">freedom of expression is essential for the formation of public opinion in a democratic society. “It is also a condition </w:t>
      </w:r>
      <w:r w:rsidR="005E7D90" w:rsidRPr="00D869E3">
        <w:rPr>
          <w:rFonts w:ascii="Verdana" w:eastAsia="Times New Roman" w:hAnsi="Verdana"/>
          <w:i/>
          <w:sz w:val="20"/>
          <w:szCs w:val="20"/>
          <w:lang w:val="en-US" w:eastAsia="es-ES"/>
        </w:rPr>
        <w:t>sine qua non</w:t>
      </w:r>
      <w:r w:rsidR="005E7D90" w:rsidRPr="00D869E3">
        <w:rPr>
          <w:rFonts w:ascii="Verdana" w:eastAsia="Times New Roman" w:hAnsi="Verdana"/>
          <w:sz w:val="20"/>
          <w:szCs w:val="20"/>
          <w:lang w:val="en-US" w:eastAsia="es-ES"/>
        </w:rPr>
        <w:t xml:space="preserve"> to enable […] labor unions […] and, in general, those who wish to have an influence over the collectivity to develop their full potential.</w:t>
      </w:r>
      <w:r w:rsidR="006436CA" w:rsidRPr="00D869E3">
        <w:rPr>
          <w:rFonts w:ascii="Verdana" w:eastAsia="Times New Roman" w:hAnsi="Verdana"/>
          <w:sz w:val="20"/>
          <w:szCs w:val="20"/>
          <w:lang w:val="en-US" w:eastAsia="es-ES"/>
        </w:rPr>
        <w:t>”</w:t>
      </w:r>
      <w:r w:rsidR="00E365AD" w:rsidRPr="00D869E3">
        <w:rPr>
          <w:rFonts w:ascii="Verdana" w:eastAsia="Times New Roman" w:hAnsi="Verdana"/>
          <w:sz w:val="20"/>
          <w:szCs w:val="20"/>
          <w:vertAlign w:val="superscript"/>
          <w:lang w:val="en-US" w:eastAsia="es-ES"/>
        </w:rPr>
        <w:footnoteReference w:id="117"/>
      </w:r>
      <w:r w:rsidR="00E365AD" w:rsidRPr="00D869E3">
        <w:rPr>
          <w:rFonts w:ascii="Verdana" w:eastAsia="Times New Roman" w:hAnsi="Verdana"/>
          <w:sz w:val="20"/>
          <w:szCs w:val="20"/>
          <w:lang w:val="en-US" w:eastAsia="es-ES"/>
        </w:rPr>
        <w:t xml:space="preserve"> </w:t>
      </w:r>
    </w:p>
    <w:p w14:paraId="2F7FEF65" w14:textId="77777777" w:rsidR="00E365AD" w:rsidRPr="00D869E3" w:rsidRDefault="00E365AD" w:rsidP="00E365AD">
      <w:pPr>
        <w:contextualSpacing/>
        <w:rPr>
          <w:rFonts w:ascii="Verdana" w:eastAsia="Times New Roman" w:hAnsi="Verdana" w:cs="Arial"/>
          <w:b/>
          <w:sz w:val="20"/>
          <w:szCs w:val="20"/>
          <w:lang w:val="en-US"/>
        </w:rPr>
      </w:pPr>
    </w:p>
    <w:p w14:paraId="5A0FCCFB" w14:textId="79774FC3" w:rsidR="00E365AD" w:rsidRPr="00D869E3" w:rsidRDefault="005E7D90" w:rsidP="00E66DD7">
      <w:pPr>
        <w:numPr>
          <w:ilvl w:val="0"/>
          <w:numId w:val="1"/>
        </w:numPr>
        <w:autoSpaceDE w:val="0"/>
        <w:autoSpaceDN w:val="0"/>
        <w:adjustRightInd w:val="0"/>
        <w:ind w:left="0" w:firstLine="0"/>
        <w:contextualSpacing/>
        <w:jc w:val="both"/>
        <w:rPr>
          <w:rFonts w:ascii="Verdana" w:eastAsia="Times New Roman" w:hAnsi="Verdana" w:cs="Arial"/>
          <w:sz w:val="20"/>
          <w:szCs w:val="20"/>
          <w:lang w:val="en-US"/>
        </w:rPr>
      </w:pPr>
      <w:r w:rsidRPr="00D869E3">
        <w:rPr>
          <w:rFonts w:ascii="Verdana" w:eastAsia="Times New Roman" w:hAnsi="Verdana" w:cs="Arial"/>
          <w:sz w:val="20"/>
          <w:szCs w:val="20"/>
          <w:lang w:val="en-US"/>
        </w:rPr>
        <w:t>Consequently, freedom of expression is necessary for the work of labor unions, to protect labor rights and to further legitimate interests and improve conditions, because, without this right, such organizations would be ineffective and devoid of purpose.</w:t>
      </w:r>
      <w:r w:rsidR="00E365AD" w:rsidRPr="00D869E3">
        <w:rPr>
          <w:rFonts w:ascii="Verdana" w:hAnsi="Verdana"/>
          <w:sz w:val="20"/>
          <w:szCs w:val="20"/>
          <w:vertAlign w:val="superscript"/>
          <w:lang w:val="en-US"/>
        </w:rPr>
        <w:footnoteReference w:id="118"/>
      </w:r>
      <w:r w:rsidR="00E365AD" w:rsidRPr="00D869E3">
        <w:rPr>
          <w:rFonts w:ascii="Verdana" w:eastAsia="Times New Roman" w:hAnsi="Verdana" w:cs="Arial"/>
          <w:sz w:val="20"/>
          <w:szCs w:val="20"/>
          <w:lang w:val="en-US"/>
        </w:rPr>
        <w:t xml:space="preserve"> </w:t>
      </w:r>
    </w:p>
    <w:p w14:paraId="1CAD3BF6" w14:textId="77777777" w:rsidR="00E365AD" w:rsidRPr="00D869E3" w:rsidRDefault="00E365AD" w:rsidP="00CB5A95">
      <w:pPr>
        <w:autoSpaceDE w:val="0"/>
        <w:autoSpaceDN w:val="0"/>
        <w:adjustRightInd w:val="0"/>
        <w:contextualSpacing/>
        <w:jc w:val="both"/>
        <w:rPr>
          <w:rFonts w:ascii="Verdana" w:hAnsi="Verdana"/>
          <w:i/>
          <w:lang w:val="en-US"/>
        </w:rPr>
      </w:pPr>
    </w:p>
    <w:p w14:paraId="7279346B" w14:textId="2609F571" w:rsidR="004F060B" w:rsidRPr="00D869E3" w:rsidRDefault="005E7D90" w:rsidP="00E66DD7">
      <w:pPr>
        <w:numPr>
          <w:ilvl w:val="0"/>
          <w:numId w:val="1"/>
        </w:numPr>
        <w:autoSpaceDE w:val="0"/>
        <w:autoSpaceDN w:val="0"/>
        <w:adjustRightInd w:val="0"/>
        <w:ind w:left="0" w:firstLine="0"/>
        <w:contextualSpacing/>
        <w:jc w:val="both"/>
        <w:rPr>
          <w:rFonts w:ascii="Verdana" w:eastAsia="Times New Roman" w:hAnsi="Verdana" w:cs="Arial"/>
          <w:b/>
          <w:sz w:val="20"/>
          <w:szCs w:val="20"/>
          <w:lang w:val="en-US"/>
        </w:rPr>
      </w:pPr>
      <w:r w:rsidRPr="00D869E3">
        <w:rPr>
          <w:rFonts w:ascii="Verdana" w:hAnsi="Verdana"/>
          <w:sz w:val="20"/>
          <w:szCs w:val="20"/>
          <w:lang w:val="en-US"/>
        </w:rPr>
        <w:t>The Court has also established that the obligation to ensure the rights recognized in the Convention presupposes positive obligations for the State to protect rights, even in the private sphere.</w:t>
      </w:r>
      <w:r w:rsidR="004F060B" w:rsidRPr="00D869E3">
        <w:rPr>
          <w:rFonts w:ascii="Verdana" w:hAnsi="Verdana" w:cs="Tahoma"/>
          <w:sz w:val="20"/>
          <w:szCs w:val="20"/>
          <w:vertAlign w:val="superscript"/>
          <w:lang w:val="en-US"/>
        </w:rPr>
        <w:footnoteReference w:id="119"/>
      </w:r>
      <w:r w:rsidR="004F060B" w:rsidRPr="00D869E3">
        <w:rPr>
          <w:rFonts w:ascii="Verdana" w:hAnsi="Verdana"/>
          <w:sz w:val="20"/>
          <w:szCs w:val="20"/>
          <w:lang w:val="en-US"/>
        </w:rPr>
        <w:t xml:space="preserve"> </w:t>
      </w:r>
      <w:r w:rsidRPr="00D869E3">
        <w:rPr>
          <w:rFonts w:ascii="Verdana" w:hAnsi="Verdana"/>
          <w:sz w:val="20"/>
          <w:szCs w:val="20"/>
          <w:lang w:val="en-US"/>
        </w:rPr>
        <w:t>In cases such as this one, the competent administrative or judicial authorities have the obligation to monitor whether acts or decisions in the private sphere have consequences on fundamental rights, and whether they are in conformity with domestic law and the State’s international obligations. To the contrary, the State must remedy the violation of these rights and protect them adequately</w:t>
      </w:r>
      <w:r w:rsidR="00517048" w:rsidRPr="00D869E3">
        <w:rPr>
          <w:rFonts w:ascii="Verdana" w:hAnsi="Verdana"/>
          <w:sz w:val="20"/>
          <w:szCs w:val="20"/>
          <w:lang w:val="en-US"/>
        </w:rPr>
        <w:t>.</w:t>
      </w:r>
    </w:p>
    <w:p w14:paraId="55CE164D" w14:textId="77777777" w:rsidR="004F060B" w:rsidRPr="00D869E3" w:rsidRDefault="004F060B" w:rsidP="00CB5A95">
      <w:pPr>
        <w:autoSpaceDE w:val="0"/>
        <w:autoSpaceDN w:val="0"/>
        <w:adjustRightInd w:val="0"/>
        <w:contextualSpacing/>
        <w:jc w:val="both"/>
        <w:rPr>
          <w:rFonts w:ascii="Verdana" w:eastAsia="Times New Roman" w:hAnsi="Verdana" w:cs="Arial"/>
          <w:b/>
          <w:sz w:val="20"/>
          <w:szCs w:val="20"/>
          <w:lang w:val="en-US"/>
        </w:rPr>
      </w:pPr>
    </w:p>
    <w:p w14:paraId="3FBABE17" w14:textId="000FF07D" w:rsidR="00C41937" w:rsidRPr="00D869E3" w:rsidRDefault="005E7D90" w:rsidP="005E7D90">
      <w:pPr>
        <w:numPr>
          <w:ilvl w:val="0"/>
          <w:numId w:val="1"/>
        </w:numPr>
        <w:autoSpaceDE w:val="0"/>
        <w:autoSpaceDN w:val="0"/>
        <w:adjustRightInd w:val="0"/>
        <w:ind w:left="0" w:firstLine="0"/>
        <w:contextualSpacing/>
        <w:jc w:val="both"/>
        <w:rPr>
          <w:rFonts w:ascii="Verdana" w:hAnsi="Verdana"/>
          <w:sz w:val="20"/>
          <w:lang w:val="en-US"/>
        </w:rPr>
      </w:pPr>
      <w:r w:rsidRPr="00D869E3">
        <w:rPr>
          <w:rFonts w:ascii="Verdana" w:hAnsi="Verdana"/>
          <w:sz w:val="20"/>
          <w:szCs w:val="20"/>
          <w:lang w:val="en-US"/>
        </w:rPr>
        <w:t xml:space="preserve">In this regard, the Court has recognized that “in the broad terms of the American Convention, freedom of expression may also be affected without the direct intervention of </w:t>
      </w:r>
      <w:r w:rsidR="00045AAF" w:rsidRPr="00D869E3">
        <w:rPr>
          <w:rFonts w:ascii="Verdana" w:hAnsi="Verdana"/>
          <w:sz w:val="20"/>
          <w:szCs w:val="20"/>
          <w:lang w:val="en-US"/>
        </w:rPr>
        <w:t>S</w:t>
      </w:r>
      <w:r w:rsidRPr="00D869E3">
        <w:rPr>
          <w:rFonts w:ascii="Verdana" w:hAnsi="Verdana"/>
          <w:sz w:val="20"/>
          <w:szCs w:val="20"/>
          <w:lang w:val="en-US"/>
        </w:rPr>
        <w:t>tate actions.</w:t>
      </w:r>
      <w:r w:rsidR="006436CA" w:rsidRPr="00D869E3">
        <w:rPr>
          <w:rFonts w:ascii="Verdana" w:hAnsi="Verdana"/>
          <w:sz w:val="20"/>
          <w:lang w:val="en-US"/>
        </w:rPr>
        <w:t>”</w:t>
      </w:r>
      <w:r w:rsidR="00C41937" w:rsidRPr="00D869E3">
        <w:rPr>
          <w:rFonts w:ascii="Verdana" w:hAnsi="Verdana"/>
          <w:sz w:val="20"/>
          <w:vertAlign w:val="superscript"/>
          <w:lang w:val="en-US"/>
        </w:rPr>
        <w:footnoteReference w:id="120"/>
      </w:r>
      <w:r w:rsidR="00C41937" w:rsidRPr="00D869E3">
        <w:rPr>
          <w:rFonts w:ascii="Verdana" w:hAnsi="Verdana"/>
          <w:sz w:val="20"/>
          <w:lang w:val="en-US"/>
        </w:rPr>
        <w:t xml:space="preserve"> </w:t>
      </w:r>
      <w:r w:rsidRPr="00D869E3">
        <w:rPr>
          <w:rFonts w:ascii="Verdana" w:hAnsi="Verdana"/>
          <w:sz w:val="20"/>
          <w:szCs w:val="20"/>
          <w:lang w:val="en-US"/>
        </w:rPr>
        <w:t>In the case of freedom of expression, its real and effective exercise does not depend merely on the State’s obligation to abstain from any interference, but may call for positive measures of protection, including in the relationships between individuals. Indeed, in certain cases, the State has the positive obligation to protect the right to freedom of expression, even from attacks by private individuals</w:t>
      </w:r>
      <w:r w:rsidRPr="00D869E3">
        <w:rPr>
          <w:rFonts w:ascii="Verdana" w:hAnsi="Verdana"/>
          <w:sz w:val="20"/>
          <w:lang w:val="en-US"/>
        </w:rPr>
        <w:t>.</w:t>
      </w:r>
      <w:r w:rsidR="00C41937" w:rsidRPr="00D869E3">
        <w:rPr>
          <w:rFonts w:ascii="Verdana" w:hAnsi="Verdana"/>
          <w:sz w:val="20"/>
          <w:vertAlign w:val="superscript"/>
          <w:lang w:val="en-US"/>
        </w:rPr>
        <w:footnoteReference w:id="121"/>
      </w:r>
    </w:p>
    <w:p w14:paraId="01EA1B53" w14:textId="77777777" w:rsidR="00517048" w:rsidRPr="00D869E3" w:rsidRDefault="00517048" w:rsidP="005D0F69">
      <w:pPr>
        <w:autoSpaceDE w:val="0"/>
        <w:autoSpaceDN w:val="0"/>
        <w:adjustRightInd w:val="0"/>
        <w:contextualSpacing/>
        <w:jc w:val="both"/>
        <w:rPr>
          <w:rFonts w:ascii="Verdana" w:hAnsi="Verdana"/>
          <w:sz w:val="20"/>
          <w:lang w:val="en-US"/>
        </w:rPr>
      </w:pPr>
    </w:p>
    <w:p w14:paraId="6919E06A" w14:textId="34586B8C" w:rsidR="005E7D90" w:rsidRPr="00D869E3" w:rsidRDefault="005E7D90" w:rsidP="00E66DD7">
      <w:pPr>
        <w:numPr>
          <w:ilvl w:val="0"/>
          <w:numId w:val="1"/>
        </w:numPr>
        <w:autoSpaceDE w:val="0"/>
        <w:autoSpaceDN w:val="0"/>
        <w:adjustRightInd w:val="0"/>
        <w:ind w:left="0" w:firstLine="0"/>
        <w:contextualSpacing/>
        <w:jc w:val="both"/>
        <w:rPr>
          <w:rFonts w:ascii="Verdana" w:hAnsi="Verdana"/>
          <w:sz w:val="20"/>
          <w:szCs w:val="20"/>
          <w:lang w:val="en-US"/>
        </w:rPr>
      </w:pPr>
      <w:r w:rsidRPr="00D869E3">
        <w:rPr>
          <w:rFonts w:ascii="Verdana" w:eastAsia="Times New Roman" w:hAnsi="Verdana" w:cs="Arial"/>
          <w:sz w:val="20"/>
          <w:szCs w:val="20"/>
          <w:lang w:val="en-US"/>
        </w:rPr>
        <w:t xml:space="preserve">This is why, in the </w:t>
      </w:r>
      <w:r w:rsidR="00314A91" w:rsidRPr="00D869E3">
        <w:rPr>
          <w:rFonts w:ascii="Verdana" w:eastAsia="Times New Roman" w:hAnsi="Verdana" w:cs="Arial"/>
          <w:sz w:val="20"/>
          <w:szCs w:val="20"/>
          <w:lang w:val="en-US"/>
        </w:rPr>
        <w:t>area of labor</w:t>
      </w:r>
      <w:r w:rsidRPr="00D869E3">
        <w:rPr>
          <w:rFonts w:ascii="Verdana" w:eastAsia="Times New Roman" w:hAnsi="Verdana" w:cs="Arial"/>
          <w:sz w:val="20"/>
          <w:szCs w:val="20"/>
          <w:lang w:val="en-US"/>
        </w:rPr>
        <w:t>, the State’s responsibility may arise in the situation in which domestic law, as interpreted in final instance by the domestic jurisdictional organ, validates a violation of the right of the appellant, so that, ultimately, the penalty is a result of the decision of the national court, and this may entail an internationally wrongful act.</w:t>
      </w:r>
    </w:p>
    <w:p w14:paraId="3231E571" w14:textId="77777777" w:rsidR="00C41937" w:rsidRPr="00D869E3" w:rsidRDefault="00C41937" w:rsidP="00C41937">
      <w:pPr>
        <w:contextualSpacing/>
        <w:rPr>
          <w:rFonts w:ascii="Verdana" w:hAnsi="Verdana"/>
          <w:sz w:val="20"/>
          <w:szCs w:val="20"/>
          <w:lang w:val="en-US"/>
        </w:rPr>
      </w:pPr>
    </w:p>
    <w:p w14:paraId="3F3BF7DE" w14:textId="7976FB89" w:rsidR="00C41937" w:rsidRPr="00D869E3" w:rsidRDefault="00075E68" w:rsidP="005E7D90">
      <w:pPr>
        <w:numPr>
          <w:ilvl w:val="0"/>
          <w:numId w:val="1"/>
        </w:numPr>
        <w:autoSpaceDE w:val="0"/>
        <w:autoSpaceDN w:val="0"/>
        <w:adjustRightInd w:val="0"/>
        <w:ind w:left="0" w:firstLine="0"/>
        <w:contextualSpacing/>
        <w:jc w:val="both"/>
        <w:rPr>
          <w:rFonts w:ascii="Verdana" w:hAnsi="Verdana"/>
          <w:sz w:val="20"/>
          <w:szCs w:val="20"/>
          <w:lang w:val="en-US"/>
        </w:rPr>
      </w:pPr>
      <w:r w:rsidRPr="00D869E3">
        <w:rPr>
          <w:rFonts w:ascii="Verdana" w:hAnsi="Verdana"/>
          <w:sz w:val="20"/>
          <w:szCs w:val="20"/>
          <w:lang w:val="en-US"/>
        </w:rPr>
        <w:t>In this regard</w:t>
      </w:r>
      <w:r w:rsidR="00C41937" w:rsidRPr="00D869E3">
        <w:rPr>
          <w:rFonts w:ascii="Verdana" w:hAnsi="Verdana"/>
          <w:sz w:val="20"/>
          <w:szCs w:val="20"/>
          <w:lang w:val="en-US"/>
        </w:rPr>
        <w:t xml:space="preserve">, </w:t>
      </w:r>
      <w:r w:rsidR="00447C65" w:rsidRPr="00D869E3">
        <w:rPr>
          <w:rFonts w:ascii="Verdana" w:hAnsi="Verdana"/>
          <w:sz w:val="20"/>
          <w:szCs w:val="20"/>
          <w:lang w:val="en-US"/>
        </w:rPr>
        <w:t xml:space="preserve">the </w:t>
      </w:r>
      <w:r w:rsidR="005E7D90" w:rsidRPr="00D869E3">
        <w:rPr>
          <w:rFonts w:ascii="Verdana" w:hAnsi="Verdana"/>
          <w:sz w:val="20"/>
          <w:szCs w:val="20"/>
          <w:lang w:val="en-US"/>
        </w:rPr>
        <w:t xml:space="preserve">European Court of Human Rights </w:t>
      </w:r>
      <w:r w:rsidR="00C41937" w:rsidRPr="00D869E3">
        <w:rPr>
          <w:rFonts w:ascii="Verdana" w:hAnsi="Verdana"/>
          <w:sz w:val="20"/>
          <w:szCs w:val="20"/>
          <w:lang w:val="en-US"/>
        </w:rPr>
        <w:t>ha</w:t>
      </w:r>
      <w:r w:rsidR="005E7D90" w:rsidRPr="00D869E3">
        <w:rPr>
          <w:rFonts w:ascii="Verdana" w:hAnsi="Verdana"/>
          <w:sz w:val="20"/>
          <w:szCs w:val="20"/>
          <w:lang w:val="en-US"/>
        </w:rPr>
        <w:t>s indicated that</w:t>
      </w:r>
      <w:r w:rsidR="00C41937" w:rsidRPr="00D869E3">
        <w:rPr>
          <w:rFonts w:ascii="Verdana" w:hAnsi="Verdana"/>
          <w:sz w:val="20"/>
          <w:szCs w:val="20"/>
          <w:lang w:val="en-US"/>
        </w:rPr>
        <w:t xml:space="preserve"> </w:t>
      </w:r>
      <w:r w:rsidR="00447C65" w:rsidRPr="00D869E3">
        <w:rPr>
          <w:rFonts w:ascii="Verdana" w:eastAsia="Cambria" w:hAnsi="Verdana"/>
          <w:sz w:val="20"/>
          <w:szCs w:val="20"/>
          <w:lang w:val="en-US"/>
        </w:rPr>
        <w:t>Article</w:t>
      </w:r>
      <w:r w:rsidR="00C41937" w:rsidRPr="00D869E3">
        <w:rPr>
          <w:rFonts w:ascii="Verdana" w:eastAsia="Cambria" w:hAnsi="Verdana"/>
          <w:sz w:val="20"/>
          <w:szCs w:val="20"/>
          <w:lang w:val="en-US"/>
        </w:rPr>
        <w:t xml:space="preserve"> 10 </w:t>
      </w:r>
      <w:r w:rsidR="005E7D90" w:rsidRPr="00D869E3">
        <w:rPr>
          <w:rFonts w:ascii="Verdana" w:eastAsia="Cambria" w:hAnsi="Verdana"/>
          <w:sz w:val="20"/>
          <w:szCs w:val="20"/>
          <w:lang w:val="en-US"/>
        </w:rPr>
        <w:t xml:space="preserve">of the European Convention </w:t>
      </w:r>
      <w:r w:rsidR="00C41937" w:rsidRPr="00D869E3">
        <w:rPr>
          <w:rFonts w:ascii="Verdana" w:eastAsia="Cambria" w:hAnsi="Verdana"/>
          <w:sz w:val="20"/>
          <w:szCs w:val="20"/>
          <w:lang w:val="en-US"/>
        </w:rPr>
        <w:t>(</w:t>
      </w:r>
      <w:r w:rsidR="005E7D90" w:rsidRPr="00D869E3">
        <w:rPr>
          <w:rFonts w:ascii="Verdana" w:eastAsia="Cambria" w:hAnsi="Verdana"/>
          <w:sz w:val="20"/>
          <w:szCs w:val="20"/>
          <w:lang w:val="en-US"/>
        </w:rPr>
        <w:t>F</w:t>
      </w:r>
      <w:r w:rsidR="00A62EA8" w:rsidRPr="00D869E3">
        <w:rPr>
          <w:rFonts w:ascii="Verdana" w:eastAsia="Cambria" w:hAnsi="Verdana"/>
          <w:sz w:val="20"/>
          <w:szCs w:val="20"/>
          <w:lang w:val="en-US"/>
        </w:rPr>
        <w:t xml:space="preserve">reedom of </w:t>
      </w:r>
      <w:r w:rsidR="00314A91" w:rsidRPr="00D869E3">
        <w:rPr>
          <w:rFonts w:ascii="Verdana" w:eastAsia="Cambria" w:hAnsi="Verdana"/>
          <w:sz w:val="20"/>
          <w:szCs w:val="20"/>
          <w:lang w:val="en-US"/>
        </w:rPr>
        <w:t>E</w:t>
      </w:r>
      <w:r w:rsidR="00A62EA8" w:rsidRPr="00D869E3">
        <w:rPr>
          <w:rFonts w:ascii="Verdana" w:eastAsia="Cambria" w:hAnsi="Verdana"/>
          <w:sz w:val="20"/>
          <w:szCs w:val="20"/>
          <w:lang w:val="en-US"/>
        </w:rPr>
        <w:t>xpression</w:t>
      </w:r>
      <w:r w:rsidR="00C41937" w:rsidRPr="00D869E3">
        <w:rPr>
          <w:rFonts w:ascii="Verdana" w:eastAsia="Cambria" w:hAnsi="Verdana"/>
          <w:sz w:val="20"/>
          <w:szCs w:val="20"/>
          <w:lang w:val="en-US"/>
        </w:rPr>
        <w:t xml:space="preserve">) </w:t>
      </w:r>
      <w:r w:rsidR="005E7D90" w:rsidRPr="00D869E3">
        <w:rPr>
          <w:rFonts w:ascii="Verdana" w:eastAsia="Cambria" w:hAnsi="Verdana"/>
          <w:sz w:val="20"/>
          <w:szCs w:val="20"/>
          <w:lang w:val="en-US"/>
        </w:rPr>
        <w:t>prevails not only in relations between employer and employee when these are governed by public law, but may also apply when these relations are governed by private law.</w:t>
      </w:r>
      <w:r w:rsidR="00C41937" w:rsidRPr="00D869E3">
        <w:rPr>
          <w:rFonts w:ascii="Verdana" w:eastAsia="Cambria" w:hAnsi="Verdana"/>
          <w:sz w:val="20"/>
          <w:szCs w:val="20"/>
          <w:vertAlign w:val="superscript"/>
          <w:lang w:val="en-US"/>
        </w:rPr>
        <w:footnoteReference w:id="122"/>
      </w:r>
      <w:r w:rsidR="00C41937" w:rsidRPr="00D869E3">
        <w:rPr>
          <w:rFonts w:ascii="Verdana" w:hAnsi="Verdana"/>
          <w:sz w:val="18"/>
          <w:szCs w:val="20"/>
          <w:lang w:val="en-US"/>
        </w:rPr>
        <w:t xml:space="preserve"> </w:t>
      </w:r>
      <w:r w:rsidR="005E7D90" w:rsidRPr="00D869E3">
        <w:rPr>
          <w:rFonts w:ascii="Verdana" w:hAnsi="Verdana"/>
          <w:sz w:val="20"/>
          <w:szCs w:val="20"/>
          <w:lang w:val="en-US"/>
        </w:rPr>
        <w:t>I</w:t>
      </w:r>
      <w:r w:rsidR="00C41937" w:rsidRPr="00D869E3">
        <w:rPr>
          <w:rFonts w:ascii="Verdana" w:hAnsi="Verdana"/>
          <w:sz w:val="20"/>
          <w:szCs w:val="20"/>
          <w:lang w:val="en-US"/>
        </w:rPr>
        <w:t xml:space="preserve">n particular, </w:t>
      </w:r>
      <w:r w:rsidR="005E7D90" w:rsidRPr="00D869E3">
        <w:rPr>
          <w:rFonts w:ascii="Verdana" w:hAnsi="Verdana"/>
          <w:sz w:val="20"/>
          <w:szCs w:val="20"/>
          <w:lang w:val="en-US"/>
        </w:rPr>
        <w:t>in application of the protection of f</w:t>
      </w:r>
      <w:r w:rsidR="008B63E1" w:rsidRPr="00D869E3">
        <w:rPr>
          <w:rFonts w:ascii="Verdana" w:hAnsi="Verdana"/>
          <w:sz w:val="20"/>
          <w:szCs w:val="20"/>
          <w:lang w:val="en-US"/>
        </w:rPr>
        <w:t>reedom of expression in labor contexts</w:t>
      </w:r>
      <w:r w:rsidR="00C41937" w:rsidRPr="00D869E3">
        <w:rPr>
          <w:rFonts w:ascii="Verdana" w:hAnsi="Verdana"/>
          <w:sz w:val="20"/>
          <w:szCs w:val="20"/>
          <w:lang w:val="en-US"/>
        </w:rPr>
        <w:t xml:space="preserve"> </w:t>
      </w:r>
      <w:r w:rsidR="005E7D90" w:rsidRPr="00D869E3">
        <w:rPr>
          <w:rFonts w:ascii="Verdana" w:hAnsi="Verdana"/>
          <w:sz w:val="20"/>
          <w:szCs w:val="20"/>
          <w:lang w:val="en-US"/>
        </w:rPr>
        <w:t>between private individuals</w:t>
      </w:r>
      <w:r w:rsidR="00C41937" w:rsidRPr="00D869E3">
        <w:rPr>
          <w:rFonts w:ascii="Verdana" w:hAnsi="Verdana"/>
          <w:sz w:val="20"/>
          <w:szCs w:val="20"/>
          <w:lang w:val="en-US"/>
        </w:rPr>
        <w:t xml:space="preserve">, </w:t>
      </w:r>
      <w:r w:rsidR="00447C65" w:rsidRPr="00D869E3">
        <w:rPr>
          <w:rFonts w:ascii="Verdana" w:hAnsi="Verdana"/>
          <w:sz w:val="20"/>
          <w:szCs w:val="20"/>
          <w:lang w:val="en-US"/>
        </w:rPr>
        <w:t xml:space="preserve">the </w:t>
      </w:r>
      <w:r w:rsidR="005E7D90" w:rsidRPr="00D869E3">
        <w:rPr>
          <w:rFonts w:ascii="Verdana" w:hAnsi="Verdana"/>
          <w:sz w:val="20"/>
          <w:szCs w:val="20"/>
          <w:lang w:val="en-US"/>
        </w:rPr>
        <w:t>European Court</w:t>
      </w:r>
      <w:r w:rsidR="00C41937" w:rsidRPr="00D869E3">
        <w:rPr>
          <w:rFonts w:ascii="Verdana" w:hAnsi="Verdana"/>
          <w:sz w:val="20"/>
          <w:szCs w:val="20"/>
          <w:lang w:val="en-US"/>
        </w:rPr>
        <w:t xml:space="preserve"> ha</w:t>
      </w:r>
      <w:r w:rsidR="005E7D90" w:rsidRPr="00D869E3">
        <w:rPr>
          <w:rFonts w:ascii="Verdana" w:hAnsi="Verdana"/>
          <w:sz w:val="20"/>
          <w:szCs w:val="20"/>
          <w:lang w:val="en-US"/>
        </w:rPr>
        <w:t xml:space="preserve">s analyzed whether interference in this right may be attributed to </w:t>
      </w:r>
      <w:r w:rsidR="00314A91" w:rsidRPr="00D869E3">
        <w:rPr>
          <w:rFonts w:ascii="Verdana" w:hAnsi="Verdana"/>
          <w:sz w:val="20"/>
          <w:szCs w:val="20"/>
          <w:lang w:val="en-US"/>
        </w:rPr>
        <w:t>court</w:t>
      </w:r>
      <w:r w:rsidR="005E7D90" w:rsidRPr="00D869E3">
        <w:rPr>
          <w:rFonts w:ascii="Verdana" w:hAnsi="Verdana"/>
          <w:sz w:val="20"/>
          <w:szCs w:val="20"/>
          <w:lang w:val="en-US"/>
        </w:rPr>
        <w:t xml:space="preserve"> decisions that </w:t>
      </w:r>
      <w:r w:rsidR="00D329A8" w:rsidRPr="00D869E3">
        <w:rPr>
          <w:rFonts w:ascii="Verdana" w:hAnsi="Verdana"/>
          <w:sz w:val="20"/>
          <w:szCs w:val="20"/>
          <w:lang w:val="en-US"/>
        </w:rPr>
        <w:t>ratify</w:t>
      </w:r>
      <w:r w:rsidR="005E7D90" w:rsidRPr="00D869E3">
        <w:rPr>
          <w:rFonts w:ascii="Verdana" w:hAnsi="Verdana"/>
          <w:sz w:val="20"/>
          <w:szCs w:val="20"/>
          <w:lang w:val="en-US"/>
        </w:rPr>
        <w:t xml:space="preserve"> dismissal or another penalty.</w:t>
      </w:r>
      <w:r w:rsidR="00C41937" w:rsidRPr="00D869E3">
        <w:rPr>
          <w:rFonts w:ascii="Verdana" w:hAnsi="Verdana"/>
          <w:sz w:val="20"/>
          <w:szCs w:val="20"/>
          <w:vertAlign w:val="superscript"/>
          <w:lang w:val="en-US"/>
        </w:rPr>
        <w:footnoteReference w:id="123"/>
      </w:r>
      <w:r w:rsidR="00C41937" w:rsidRPr="00D869E3">
        <w:rPr>
          <w:rFonts w:ascii="Verdana" w:hAnsi="Verdana"/>
          <w:color w:val="222222"/>
          <w:sz w:val="20"/>
          <w:szCs w:val="20"/>
          <w:lang w:val="en-US"/>
        </w:rPr>
        <w:t xml:space="preserve"> </w:t>
      </w:r>
    </w:p>
    <w:p w14:paraId="67A66A18" w14:textId="77777777" w:rsidR="00C01305" w:rsidRPr="00D869E3" w:rsidRDefault="00C01305" w:rsidP="00262F28">
      <w:pPr>
        <w:contextualSpacing/>
        <w:rPr>
          <w:rFonts w:ascii="Verdana" w:eastAsia="Times New Roman" w:hAnsi="Verdana" w:cs="Arial"/>
          <w:sz w:val="20"/>
          <w:szCs w:val="20"/>
          <w:lang w:val="en-US"/>
        </w:rPr>
      </w:pPr>
    </w:p>
    <w:p w14:paraId="054B7E74" w14:textId="37A7DD51" w:rsidR="00622991" w:rsidRPr="00D869E3" w:rsidRDefault="00622991" w:rsidP="00E66DD7">
      <w:pPr>
        <w:numPr>
          <w:ilvl w:val="0"/>
          <w:numId w:val="1"/>
        </w:numPr>
        <w:autoSpaceDE w:val="0"/>
        <w:autoSpaceDN w:val="0"/>
        <w:adjustRightInd w:val="0"/>
        <w:ind w:left="0" w:firstLine="0"/>
        <w:contextualSpacing/>
        <w:jc w:val="both"/>
        <w:rPr>
          <w:rFonts w:ascii="Verdana" w:hAnsi="Verdana"/>
          <w:sz w:val="20"/>
          <w:lang w:val="en-US"/>
        </w:rPr>
      </w:pPr>
      <w:r w:rsidRPr="00D869E3">
        <w:rPr>
          <w:rFonts w:ascii="Verdana" w:hAnsi="Verdana"/>
          <w:sz w:val="20"/>
          <w:szCs w:val="20"/>
          <w:lang w:val="en-US"/>
        </w:rPr>
        <w:t>This is why, the Court reaffirms that, the sphere of protection of the right to freedom of thought and expression is particularly applicable to workplace contexts such as in the instant case, and in such contexts the State must not only respect this right, but also guarantee it, so that the workers or their representatives may also exercise it</w:t>
      </w:r>
      <w:r w:rsidR="00C01305" w:rsidRPr="00D869E3">
        <w:rPr>
          <w:rFonts w:ascii="Verdana" w:hAnsi="Verdana"/>
          <w:sz w:val="20"/>
          <w:lang w:val="en-US"/>
        </w:rPr>
        <w:t xml:space="preserve">. </w:t>
      </w:r>
      <w:r w:rsidRPr="00D869E3">
        <w:rPr>
          <w:rFonts w:ascii="Verdana" w:hAnsi="Verdana"/>
          <w:sz w:val="20"/>
          <w:szCs w:val="20"/>
          <w:lang w:val="en-US"/>
        </w:rPr>
        <w:t>Thus, should a general or public interest be involved, a higher degree of protection of freedom of expression is required;</w:t>
      </w:r>
      <w:r w:rsidRPr="00D869E3">
        <w:rPr>
          <w:rFonts w:ascii="Verdana" w:hAnsi="Verdana"/>
          <w:sz w:val="20"/>
          <w:vertAlign w:val="superscript"/>
          <w:lang w:val="en-US"/>
        </w:rPr>
        <w:footnoteReference w:id="124"/>
      </w:r>
      <w:r w:rsidRPr="00D869E3">
        <w:rPr>
          <w:rFonts w:ascii="Verdana" w:hAnsi="Verdana"/>
          <w:sz w:val="20"/>
          <w:szCs w:val="20"/>
          <w:lang w:val="en-US"/>
        </w:rPr>
        <w:t xml:space="preserve"> particularly with regard to those who have a mandate to represent others.</w:t>
      </w:r>
    </w:p>
    <w:p w14:paraId="45F74B1F" w14:textId="77777777" w:rsidR="00C01305" w:rsidRPr="00D869E3" w:rsidRDefault="00C01305" w:rsidP="00C01305">
      <w:pPr>
        <w:autoSpaceDE w:val="0"/>
        <w:autoSpaceDN w:val="0"/>
        <w:adjustRightInd w:val="0"/>
        <w:spacing w:before="120"/>
        <w:contextualSpacing/>
        <w:jc w:val="both"/>
        <w:rPr>
          <w:rFonts w:ascii="Verdana" w:eastAsia="Times New Roman" w:hAnsi="Verdana" w:cs="Arial"/>
          <w:b/>
          <w:sz w:val="20"/>
          <w:szCs w:val="20"/>
          <w:lang w:val="en-US"/>
        </w:rPr>
      </w:pPr>
    </w:p>
    <w:p w14:paraId="568DBB11" w14:textId="3A00D0AD" w:rsidR="002A7B50" w:rsidRPr="00D869E3" w:rsidRDefault="00314A91" w:rsidP="00E66DD7">
      <w:pPr>
        <w:numPr>
          <w:ilvl w:val="0"/>
          <w:numId w:val="1"/>
        </w:numPr>
        <w:autoSpaceDE w:val="0"/>
        <w:autoSpaceDN w:val="0"/>
        <w:adjustRightInd w:val="0"/>
        <w:ind w:left="0" w:firstLine="0"/>
        <w:contextualSpacing/>
        <w:jc w:val="both"/>
        <w:rPr>
          <w:rFonts w:ascii="Verdana" w:eastAsia="Times New Roman" w:hAnsi="Verdana" w:cs="Arial"/>
          <w:b/>
          <w:sz w:val="20"/>
          <w:szCs w:val="20"/>
          <w:lang w:val="en-US"/>
        </w:rPr>
      </w:pPr>
      <w:r w:rsidRPr="00D869E3">
        <w:rPr>
          <w:rFonts w:ascii="Verdana" w:eastAsia="Times New Roman" w:hAnsi="Verdana" w:cs="Arial"/>
          <w:sz w:val="20"/>
          <w:szCs w:val="20"/>
          <w:lang w:val="en-US"/>
        </w:rPr>
        <w:t>The</w:t>
      </w:r>
      <w:r w:rsidR="00622991" w:rsidRPr="00D869E3">
        <w:rPr>
          <w:rFonts w:ascii="Verdana" w:eastAsia="Times New Roman" w:hAnsi="Verdana" w:cs="Arial"/>
          <w:sz w:val="20"/>
          <w:szCs w:val="20"/>
          <w:lang w:val="en-US"/>
        </w:rPr>
        <w:t xml:space="preserve"> Court will </w:t>
      </w:r>
      <w:r w:rsidRPr="00D869E3">
        <w:rPr>
          <w:rFonts w:ascii="Verdana" w:eastAsia="Times New Roman" w:hAnsi="Verdana" w:cs="Arial"/>
          <w:sz w:val="20"/>
          <w:szCs w:val="20"/>
          <w:lang w:val="en-US"/>
        </w:rPr>
        <w:t>therefore ascertain</w:t>
      </w:r>
      <w:r w:rsidR="00622991" w:rsidRPr="00D869E3">
        <w:rPr>
          <w:rFonts w:ascii="Verdana" w:eastAsia="Times New Roman" w:hAnsi="Verdana" w:cs="Arial"/>
          <w:sz w:val="20"/>
          <w:szCs w:val="20"/>
          <w:lang w:val="en-US"/>
        </w:rPr>
        <w:t xml:space="preserve"> whether, in </w:t>
      </w:r>
      <w:r w:rsidR="004848D5" w:rsidRPr="00D869E3">
        <w:rPr>
          <w:rFonts w:ascii="Verdana" w:eastAsia="Times New Roman" w:hAnsi="Verdana" w:cs="Arial"/>
          <w:sz w:val="20"/>
          <w:szCs w:val="20"/>
          <w:lang w:val="en-US"/>
        </w:rPr>
        <w:t>this</w:t>
      </w:r>
      <w:r w:rsidR="00622991" w:rsidRPr="00D869E3">
        <w:rPr>
          <w:rFonts w:ascii="Verdana" w:eastAsia="Times New Roman" w:hAnsi="Verdana" w:cs="Arial"/>
          <w:sz w:val="20"/>
          <w:szCs w:val="20"/>
          <w:lang w:val="en-US"/>
        </w:rPr>
        <w:t xml:space="preserve"> case, in </w:t>
      </w:r>
      <w:r w:rsidR="004848D5" w:rsidRPr="00D869E3">
        <w:rPr>
          <w:rFonts w:ascii="Verdana" w:eastAsia="Times New Roman" w:hAnsi="Verdana" w:cs="Arial"/>
          <w:sz w:val="20"/>
          <w:szCs w:val="20"/>
          <w:lang w:val="en-US"/>
        </w:rPr>
        <w:t>relation to</w:t>
      </w:r>
      <w:r w:rsidR="00622991" w:rsidRPr="00D869E3">
        <w:rPr>
          <w:rFonts w:ascii="Verdana" w:eastAsia="Times New Roman" w:hAnsi="Verdana" w:cs="Arial"/>
          <w:sz w:val="20"/>
          <w:szCs w:val="20"/>
          <w:lang w:val="en-US"/>
        </w:rPr>
        <w:t xml:space="preserve"> preserv</w:t>
      </w:r>
      <w:r w:rsidR="004848D5" w:rsidRPr="00D869E3">
        <w:rPr>
          <w:rFonts w:ascii="Verdana" w:eastAsia="Times New Roman" w:hAnsi="Verdana" w:cs="Arial"/>
          <w:sz w:val="20"/>
          <w:szCs w:val="20"/>
          <w:lang w:val="en-US"/>
        </w:rPr>
        <w:t>ation of</w:t>
      </w:r>
      <w:r w:rsidR="00622991" w:rsidRPr="00D869E3">
        <w:rPr>
          <w:rFonts w:ascii="Verdana" w:eastAsia="Times New Roman" w:hAnsi="Verdana" w:cs="Arial"/>
          <w:sz w:val="20"/>
          <w:szCs w:val="20"/>
          <w:lang w:val="en-US"/>
        </w:rPr>
        <w:t xml:space="preserve"> the rights alleged by </w:t>
      </w:r>
      <w:r w:rsidR="00687684" w:rsidRPr="00D869E3">
        <w:rPr>
          <w:rFonts w:ascii="Verdana" w:eastAsia="Times New Roman" w:hAnsi="Verdana" w:cs="Arial"/>
          <w:sz w:val="20"/>
          <w:szCs w:val="20"/>
          <w:lang w:val="en-US"/>
        </w:rPr>
        <w:t>the presumed victim</w:t>
      </w:r>
      <w:r w:rsidR="004848D5" w:rsidRPr="00D869E3">
        <w:rPr>
          <w:rFonts w:ascii="Verdana" w:eastAsia="Times New Roman" w:hAnsi="Verdana" w:cs="Arial"/>
          <w:sz w:val="20"/>
          <w:szCs w:val="20"/>
          <w:lang w:val="en-US"/>
        </w:rPr>
        <w:t>,</w:t>
      </w:r>
      <w:r w:rsidR="002A7B50" w:rsidRPr="00D869E3">
        <w:rPr>
          <w:rFonts w:ascii="Verdana" w:eastAsia="Times New Roman" w:hAnsi="Verdana" w:cs="Arial"/>
          <w:sz w:val="20"/>
          <w:szCs w:val="20"/>
          <w:lang w:val="en-US"/>
        </w:rPr>
        <w:t xml:space="preserve"> </w:t>
      </w:r>
      <w:r w:rsidR="00622991" w:rsidRPr="00D869E3">
        <w:rPr>
          <w:rFonts w:ascii="Verdana" w:eastAsia="Times New Roman" w:hAnsi="Verdana" w:cs="Arial"/>
          <w:sz w:val="20"/>
          <w:szCs w:val="20"/>
          <w:lang w:val="en-US"/>
        </w:rPr>
        <w:t xml:space="preserve">the second instance decision </w:t>
      </w:r>
      <w:r w:rsidRPr="00D869E3">
        <w:rPr>
          <w:rFonts w:ascii="Verdana" w:eastAsia="Times New Roman" w:hAnsi="Verdana" w:cs="Arial"/>
          <w:sz w:val="20"/>
          <w:szCs w:val="20"/>
          <w:lang w:val="en-US"/>
        </w:rPr>
        <w:t>endorsing his dismissal constituted a violation of freedom of expression</w:t>
      </w:r>
      <w:r w:rsidR="004848D5" w:rsidRPr="00D869E3">
        <w:rPr>
          <w:rFonts w:ascii="Verdana" w:eastAsia="Times New Roman" w:hAnsi="Verdana" w:cs="Arial"/>
          <w:sz w:val="20"/>
          <w:szCs w:val="20"/>
          <w:lang w:val="en-US"/>
        </w:rPr>
        <w:t xml:space="preserve"> in the context of labor relations</w:t>
      </w:r>
      <w:r w:rsidR="00622991" w:rsidRPr="00D869E3">
        <w:rPr>
          <w:rFonts w:ascii="Verdana" w:eastAsia="Times New Roman" w:hAnsi="Verdana" w:cs="Arial"/>
          <w:sz w:val="20"/>
          <w:szCs w:val="20"/>
          <w:lang w:val="en-US"/>
        </w:rPr>
        <w:t>.</w:t>
      </w:r>
      <w:r w:rsidR="002A7B50" w:rsidRPr="00D869E3">
        <w:rPr>
          <w:rStyle w:val="Refdenotaalpie"/>
          <w:rFonts w:eastAsia="Times New Roman"/>
          <w:szCs w:val="20"/>
          <w:lang w:val="en-US"/>
        </w:rPr>
        <w:footnoteReference w:id="125"/>
      </w:r>
    </w:p>
    <w:p w14:paraId="35ECFAEB" w14:textId="77777777" w:rsidR="002A7B50" w:rsidRPr="00D869E3" w:rsidRDefault="002A7B50" w:rsidP="00C01305">
      <w:pPr>
        <w:autoSpaceDE w:val="0"/>
        <w:autoSpaceDN w:val="0"/>
        <w:adjustRightInd w:val="0"/>
        <w:spacing w:before="120"/>
        <w:contextualSpacing/>
        <w:jc w:val="both"/>
        <w:rPr>
          <w:rFonts w:ascii="Verdana" w:eastAsia="Times New Roman" w:hAnsi="Verdana" w:cs="Arial"/>
          <w:b/>
          <w:sz w:val="20"/>
          <w:szCs w:val="20"/>
          <w:lang w:val="en-US"/>
        </w:rPr>
      </w:pPr>
    </w:p>
    <w:p w14:paraId="3B09C73E" w14:textId="08D6004A" w:rsidR="00C01305" w:rsidRPr="00D869E3" w:rsidRDefault="00B44B46" w:rsidP="00E66DD7">
      <w:pPr>
        <w:pStyle w:val="Ttulo3"/>
        <w:numPr>
          <w:ilvl w:val="1"/>
          <w:numId w:val="11"/>
        </w:numPr>
        <w:rPr>
          <w:i/>
          <w:lang w:val="en-US"/>
        </w:rPr>
      </w:pPr>
      <w:bookmarkStart w:id="42" w:name="_Toc29114133"/>
      <w:r w:rsidRPr="00D869E3">
        <w:rPr>
          <w:i/>
          <w:lang w:val="en-US"/>
        </w:rPr>
        <w:t>Analysis of the necessity</w:t>
      </w:r>
      <w:r w:rsidR="008B63E1" w:rsidRPr="00D869E3">
        <w:rPr>
          <w:i/>
          <w:lang w:val="en-US"/>
        </w:rPr>
        <w:t xml:space="preserve"> and reasonableness of the restriction in this case</w:t>
      </w:r>
      <w:bookmarkEnd w:id="42"/>
    </w:p>
    <w:p w14:paraId="76155D6A" w14:textId="39E760E6" w:rsidR="00604459" w:rsidRPr="00D869E3" w:rsidRDefault="00604459" w:rsidP="00604459">
      <w:pPr>
        <w:pStyle w:val="Prrafodelista"/>
        <w:ind w:left="1080"/>
        <w:rPr>
          <w:rFonts w:ascii="Verdana" w:hAnsi="Verdana"/>
          <w:lang w:val="en-US"/>
        </w:rPr>
      </w:pPr>
    </w:p>
    <w:p w14:paraId="46C877F3" w14:textId="2C4E3813" w:rsidR="00C01305" w:rsidRPr="00D869E3" w:rsidRDefault="00447C65" w:rsidP="00F10D93">
      <w:pPr>
        <w:numPr>
          <w:ilvl w:val="0"/>
          <w:numId w:val="1"/>
        </w:numPr>
        <w:autoSpaceDE w:val="0"/>
        <w:autoSpaceDN w:val="0"/>
        <w:adjustRightInd w:val="0"/>
        <w:ind w:left="0" w:firstLine="0"/>
        <w:contextualSpacing/>
        <w:jc w:val="both"/>
        <w:rPr>
          <w:rFonts w:ascii="Verdana" w:hAnsi="Verdana"/>
          <w:sz w:val="20"/>
          <w:szCs w:val="20"/>
          <w:lang w:val="en-US"/>
        </w:rPr>
      </w:pPr>
      <w:r w:rsidRPr="00D869E3">
        <w:rPr>
          <w:rFonts w:ascii="Verdana" w:hAnsi="Verdana"/>
          <w:spacing w:val="-3"/>
          <w:sz w:val="20"/>
          <w:szCs w:val="20"/>
          <w:lang w:val="en-US"/>
        </w:rPr>
        <w:t>The Court</w:t>
      </w:r>
      <w:r w:rsidR="00F10D93" w:rsidRPr="00D869E3">
        <w:rPr>
          <w:rFonts w:ascii="Verdana" w:hAnsi="Verdana"/>
          <w:spacing w:val="-3"/>
          <w:sz w:val="20"/>
          <w:szCs w:val="20"/>
          <w:lang w:val="en-US"/>
        </w:rPr>
        <w:t xml:space="preserve"> has repeatedly indicated that freedom of expression is not an absolute right. Article</w:t>
      </w:r>
      <w:r w:rsidR="00F10D93" w:rsidRPr="00D869E3">
        <w:rPr>
          <w:rFonts w:ascii="Verdana" w:hAnsi="Verdana"/>
          <w:sz w:val="20"/>
          <w:szCs w:val="20"/>
          <w:lang w:val="en-US"/>
        </w:rPr>
        <w:t xml:space="preserve"> 13(2) of the Convention, which prohibits prior censorship, also establishes the possibility of the subsequent imposition of liability for the abusive exercise of this right, including to ensure “respect for the rights or reputations of others” </w:t>
      </w:r>
      <w:r w:rsidR="00F10D93" w:rsidRPr="00D869E3">
        <w:rPr>
          <w:rFonts w:ascii="Verdana" w:hAnsi="Verdana"/>
          <w:spacing w:val="-2"/>
          <w:sz w:val="20"/>
          <w:szCs w:val="20"/>
          <w:lang w:val="en-US"/>
        </w:rPr>
        <w:t xml:space="preserve">(subparagraph (a) of Article 13(2)). These restrictions are of an exceptional nature and should not limit, beyond strictly necessary, the full exercise of </w:t>
      </w:r>
      <w:r w:rsidR="00F10D93" w:rsidRPr="00D869E3">
        <w:rPr>
          <w:rFonts w:ascii="Verdana" w:hAnsi="Verdana"/>
          <w:sz w:val="20"/>
          <w:szCs w:val="20"/>
          <w:lang w:val="en-US"/>
        </w:rPr>
        <w:t>freedom of expression and become a direct or indirect means of prior censorship.</w:t>
      </w:r>
      <w:r w:rsidR="00C01305" w:rsidRPr="00D869E3">
        <w:rPr>
          <w:rFonts w:ascii="Verdana" w:hAnsi="Verdana"/>
          <w:sz w:val="20"/>
          <w:szCs w:val="20"/>
          <w:vertAlign w:val="superscript"/>
          <w:lang w:val="en-US"/>
        </w:rPr>
        <w:footnoteReference w:id="126"/>
      </w:r>
      <w:r w:rsidR="00C01305" w:rsidRPr="00D869E3">
        <w:rPr>
          <w:rFonts w:ascii="Verdana" w:hAnsi="Verdana"/>
          <w:sz w:val="20"/>
          <w:szCs w:val="20"/>
          <w:lang w:val="en-US"/>
        </w:rPr>
        <w:t xml:space="preserve"> </w:t>
      </w:r>
      <w:r w:rsidR="00F10D93" w:rsidRPr="00D869E3">
        <w:rPr>
          <w:rFonts w:ascii="Verdana" w:hAnsi="Verdana"/>
          <w:sz w:val="20"/>
          <w:szCs w:val="20"/>
          <w:lang w:val="en-US"/>
        </w:rPr>
        <w:t>Thus, the Court has established that liability may be imposed subsequently if the right to honor and reputation may have been affected.</w:t>
      </w:r>
      <w:r w:rsidR="00C01305" w:rsidRPr="00D869E3">
        <w:rPr>
          <w:rFonts w:ascii="Verdana" w:eastAsia="Times New Roman" w:hAnsi="Verdana"/>
          <w:spacing w:val="-2"/>
          <w:sz w:val="20"/>
          <w:szCs w:val="20"/>
          <w:vertAlign w:val="superscript"/>
          <w:lang w:val="en-US"/>
        </w:rPr>
        <w:footnoteReference w:id="127"/>
      </w:r>
      <w:r w:rsidR="00C01305" w:rsidRPr="00D869E3">
        <w:rPr>
          <w:rFonts w:ascii="Verdana" w:eastAsia="Times New Roman" w:hAnsi="Verdana"/>
          <w:spacing w:val="-2"/>
          <w:lang w:val="en-US"/>
        </w:rPr>
        <w:t xml:space="preserve"> </w:t>
      </w:r>
    </w:p>
    <w:p w14:paraId="13AE7ADA" w14:textId="77777777" w:rsidR="00C01305" w:rsidRPr="00D869E3" w:rsidRDefault="00C01305" w:rsidP="00CA58EF">
      <w:pPr>
        <w:contextualSpacing/>
        <w:rPr>
          <w:rFonts w:ascii="Verdana" w:hAnsi="Verdana"/>
          <w:sz w:val="20"/>
          <w:szCs w:val="20"/>
          <w:lang w:val="en-US"/>
        </w:rPr>
      </w:pPr>
    </w:p>
    <w:p w14:paraId="27ABA668" w14:textId="20FB57CB" w:rsidR="00C01305" w:rsidRPr="00D869E3" w:rsidRDefault="00447C65" w:rsidP="00F10D93">
      <w:pPr>
        <w:numPr>
          <w:ilvl w:val="0"/>
          <w:numId w:val="1"/>
        </w:numPr>
        <w:autoSpaceDE w:val="0"/>
        <w:autoSpaceDN w:val="0"/>
        <w:adjustRightInd w:val="0"/>
        <w:ind w:left="0" w:firstLine="0"/>
        <w:contextualSpacing/>
        <w:jc w:val="both"/>
        <w:rPr>
          <w:rFonts w:ascii="Verdana" w:hAnsi="Verdana" w:cs="Verdana"/>
          <w:b/>
          <w:bCs/>
          <w:spacing w:val="-2"/>
          <w:sz w:val="20"/>
          <w:szCs w:val="20"/>
          <w:lang w:val="en-US"/>
        </w:rPr>
      </w:pPr>
      <w:bookmarkStart w:id="43" w:name="_Ref370754675"/>
      <w:r w:rsidRPr="00D869E3">
        <w:rPr>
          <w:rFonts w:ascii="Verdana" w:hAnsi="Verdana"/>
          <w:spacing w:val="-3"/>
          <w:sz w:val="20"/>
          <w:szCs w:val="20"/>
          <w:lang w:val="en-US"/>
        </w:rPr>
        <w:lastRenderedPageBreak/>
        <w:t>Article</w:t>
      </w:r>
      <w:r w:rsidR="00C01305" w:rsidRPr="00D869E3">
        <w:rPr>
          <w:rFonts w:ascii="Verdana" w:hAnsi="Verdana" w:cs="Verdana"/>
          <w:spacing w:val="-2"/>
          <w:sz w:val="20"/>
          <w:szCs w:val="20"/>
          <w:lang w:val="en-US"/>
        </w:rPr>
        <w:t xml:space="preserve"> 11</w:t>
      </w:r>
      <w:r w:rsidRPr="00D869E3">
        <w:rPr>
          <w:rFonts w:ascii="Verdana" w:hAnsi="Verdana" w:cs="Verdana"/>
          <w:spacing w:val="-2"/>
          <w:sz w:val="20"/>
          <w:szCs w:val="20"/>
          <w:lang w:val="en-US"/>
        </w:rPr>
        <w:t xml:space="preserve"> of the Convention</w:t>
      </w:r>
      <w:r w:rsidR="00C01305" w:rsidRPr="00D869E3">
        <w:rPr>
          <w:rFonts w:ascii="Verdana" w:hAnsi="Verdana" w:cs="Verdana"/>
          <w:spacing w:val="-2"/>
          <w:sz w:val="20"/>
          <w:szCs w:val="20"/>
          <w:lang w:val="en-US"/>
        </w:rPr>
        <w:t xml:space="preserve"> </w:t>
      </w:r>
      <w:r w:rsidR="00F10D93" w:rsidRPr="00D869E3">
        <w:rPr>
          <w:rFonts w:ascii="Verdana" w:hAnsi="Verdana" w:cs="Verdana"/>
          <w:spacing w:val="-2"/>
          <w:sz w:val="20"/>
          <w:szCs w:val="20"/>
          <w:lang w:val="en-US"/>
        </w:rPr>
        <w:t>establishes that everyone has the right to the protection of his honor and recognition of his dignity. The Court has indicated that the right to honor “recognizes that everyone has the right to have their honor respected, prohibits any unlawful attack on honor and reputation, and imposes on States the obligation to provide the protection of the law against such attacks. In general. The Court has indicated that the right to honor relates to self-esteem and self-worth, while the right to reputation relate to the opinion that others have of a person.</w:t>
      </w:r>
      <w:r w:rsidR="006436CA" w:rsidRPr="00D869E3">
        <w:rPr>
          <w:rFonts w:ascii="Verdana" w:hAnsi="Verdana" w:cs="Verdana"/>
          <w:spacing w:val="-2"/>
          <w:sz w:val="20"/>
          <w:szCs w:val="20"/>
          <w:lang w:val="en-US"/>
        </w:rPr>
        <w:t>”</w:t>
      </w:r>
      <w:r w:rsidR="00C01305" w:rsidRPr="00D869E3">
        <w:rPr>
          <w:rFonts w:ascii="Verdana" w:hAnsi="Verdana" w:cs="Verdana"/>
          <w:spacing w:val="-2"/>
          <w:sz w:val="20"/>
          <w:szCs w:val="20"/>
          <w:vertAlign w:val="superscript"/>
          <w:lang w:val="en-US"/>
        </w:rPr>
        <w:footnoteReference w:id="128"/>
      </w:r>
      <w:bookmarkEnd w:id="43"/>
      <w:r w:rsidR="00C01305" w:rsidRPr="00D869E3">
        <w:rPr>
          <w:rFonts w:ascii="Verdana" w:hAnsi="Verdana" w:cs="Verdana"/>
          <w:spacing w:val="-2"/>
          <w:sz w:val="20"/>
          <w:szCs w:val="20"/>
          <w:lang w:val="en-US"/>
        </w:rPr>
        <w:t xml:space="preserve">  </w:t>
      </w:r>
    </w:p>
    <w:p w14:paraId="433E7114" w14:textId="77777777" w:rsidR="00F10D93" w:rsidRPr="00D869E3" w:rsidRDefault="00F10D93" w:rsidP="00F10D93">
      <w:pPr>
        <w:pStyle w:val="Prrafodelista"/>
        <w:rPr>
          <w:rFonts w:ascii="Verdana" w:hAnsi="Verdana" w:cs="Verdana"/>
          <w:b/>
          <w:bCs/>
          <w:spacing w:val="-2"/>
          <w:sz w:val="20"/>
          <w:szCs w:val="20"/>
          <w:lang w:val="en-US"/>
        </w:rPr>
      </w:pPr>
    </w:p>
    <w:p w14:paraId="65B694E6" w14:textId="479474B7" w:rsidR="00C01305" w:rsidRPr="00D869E3" w:rsidRDefault="00075E68" w:rsidP="00F10D93">
      <w:pPr>
        <w:numPr>
          <w:ilvl w:val="0"/>
          <w:numId w:val="1"/>
        </w:numPr>
        <w:autoSpaceDE w:val="0"/>
        <w:autoSpaceDN w:val="0"/>
        <w:adjustRightInd w:val="0"/>
        <w:ind w:left="0" w:firstLine="0"/>
        <w:contextualSpacing/>
        <w:jc w:val="both"/>
        <w:rPr>
          <w:rFonts w:ascii="Verdana" w:hAnsi="Verdana" w:cs="Verdana"/>
          <w:b/>
          <w:bCs/>
          <w:spacing w:val="-2"/>
          <w:sz w:val="20"/>
          <w:szCs w:val="20"/>
          <w:lang w:val="en-US"/>
        </w:rPr>
      </w:pPr>
      <w:r w:rsidRPr="00D869E3">
        <w:rPr>
          <w:rFonts w:ascii="Verdana" w:hAnsi="Verdana"/>
          <w:spacing w:val="-2"/>
          <w:sz w:val="20"/>
          <w:szCs w:val="20"/>
          <w:lang w:val="en-US"/>
        </w:rPr>
        <w:t>In this regard</w:t>
      </w:r>
      <w:r w:rsidR="00C01305" w:rsidRPr="00D869E3">
        <w:rPr>
          <w:rFonts w:ascii="Verdana" w:hAnsi="Verdana"/>
          <w:spacing w:val="-2"/>
          <w:sz w:val="20"/>
          <w:szCs w:val="20"/>
          <w:lang w:val="en-US"/>
        </w:rPr>
        <w:t xml:space="preserve">, </w:t>
      </w:r>
      <w:r w:rsidR="00F10D93" w:rsidRPr="00D869E3">
        <w:rPr>
          <w:rFonts w:ascii="Verdana" w:hAnsi="Verdana"/>
          <w:spacing w:val="-2"/>
          <w:sz w:val="20"/>
          <w:szCs w:val="20"/>
          <w:lang w:val="en-US"/>
        </w:rPr>
        <w:t>the Court has maintained that, “both freedom of expression and the right to honor, rights protected by the Convention, are extremely important, thus the two rights must be guaranteed, so that they may coexist harmoniously.</w:t>
      </w:r>
      <w:r w:rsidR="006436CA" w:rsidRPr="00D869E3">
        <w:rPr>
          <w:rFonts w:ascii="Verdana" w:hAnsi="Verdana"/>
          <w:spacing w:val="-2"/>
          <w:sz w:val="20"/>
          <w:szCs w:val="20"/>
          <w:lang w:val="en-US"/>
        </w:rPr>
        <w:t>”</w:t>
      </w:r>
      <w:r w:rsidR="00C01305" w:rsidRPr="00D869E3">
        <w:rPr>
          <w:rFonts w:ascii="Verdana" w:hAnsi="Verdana"/>
          <w:spacing w:val="-2"/>
          <w:sz w:val="20"/>
          <w:szCs w:val="20"/>
          <w:vertAlign w:val="superscript"/>
          <w:lang w:val="en-US"/>
        </w:rPr>
        <w:footnoteReference w:id="129"/>
      </w:r>
      <w:r w:rsidR="00F10D93" w:rsidRPr="00D869E3">
        <w:rPr>
          <w:rFonts w:ascii="Verdana" w:hAnsi="Verdana"/>
          <w:spacing w:val="-2"/>
          <w:sz w:val="20"/>
          <w:szCs w:val="20"/>
          <w:lang w:val="en-US"/>
        </w:rPr>
        <w:t xml:space="preserve"> Each fundamental right must be exercised respecting and safeguarding the other fundamental rights.</w:t>
      </w:r>
      <w:r w:rsidR="00C01305" w:rsidRPr="00D869E3">
        <w:rPr>
          <w:rFonts w:ascii="Verdana" w:hAnsi="Verdana"/>
          <w:spacing w:val="-2"/>
          <w:sz w:val="20"/>
          <w:szCs w:val="20"/>
          <w:vertAlign w:val="superscript"/>
          <w:lang w:val="en-US"/>
        </w:rPr>
        <w:footnoteReference w:id="130"/>
      </w:r>
      <w:r w:rsidR="00C01305" w:rsidRPr="00D869E3">
        <w:rPr>
          <w:rFonts w:ascii="Verdana" w:hAnsi="Verdana"/>
          <w:spacing w:val="-2"/>
          <w:sz w:val="20"/>
          <w:szCs w:val="20"/>
          <w:lang w:val="en-US"/>
        </w:rPr>
        <w:t xml:space="preserve"> </w:t>
      </w:r>
      <w:r w:rsidR="00F10D93" w:rsidRPr="00D869E3">
        <w:rPr>
          <w:rFonts w:ascii="Verdana" w:hAnsi="Verdana"/>
          <w:spacing w:val="-2"/>
          <w:sz w:val="20"/>
          <w:szCs w:val="20"/>
          <w:lang w:val="en-US"/>
        </w:rPr>
        <w:t>Consequently, the Court has indicated that “any conflict between the two rights requires that they be weighed and, to this end, each case must be examined taking into account its characteristics and circumstances in order to assess the existence and intensity of the elements on which the said opinion is based.</w:t>
      </w:r>
      <w:r w:rsidR="006436CA" w:rsidRPr="00D869E3">
        <w:rPr>
          <w:rFonts w:ascii="Verdana" w:hAnsi="Verdana"/>
          <w:spacing w:val="-2"/>
          <w:sz w:val="20"/>
          <w:szCs w:val="20"/>
          <w:lang w:val="en-US"/>
        </w:rPr>
        <w:t>”</w:t>
      </w:r>
      <w:r w:rsidR="00C01305" w:rsidRPr="00D869E3">
        <w:rPr>
          <w:rFonts w:ascii="Verdana" w:hAnsi="Verdana"/>
          <w:spacing w:val="-2"/>
          <w:sz w:val="20"/>
          <w:szCs w:val="20"/>
          <w:vertAlign w:val="superscript"/>
          <w:lang w:val="en-US"/>
        </w:rPr>
        <w:footnoteReference w:id="131"/>
      </w:r>
    </w:p>
    <w:p w14:paraId="287B232F" w14:textId="77777777" w:rsidR="00C01305" w:rsidRPr="00D869E3" w:rsidRDefault="00C01305" w:rsidP="00CA58EF">
      <w:pPr>
        <w:autoSpaceDE w:val="0"/>
        <w:autoSpaceDN w:val="0"/>
        <w:adjustRightInd w:val="0"/>
        <w:contextualSpacing/>
        <w:jc w:val="both"/>
        <w:rPr>
          <w:rFonts w:ascii="Verdana" w:hAnsi="Verdana" w:cs="Verdana"/>
          <w:b/>
          <w:bCs/>
          <w:spacing w:val="-2"/>
          <w:sz w:val="20"/>
          <w:szCs w:val="20"/>
          <w:lang w:val="en-US"/>
        </w:rPr>
      </w:pPr>
    </w:p>
    <w:p w14:paraId="09BFECD5" w14:textId="05753AB6" w:rsidR="000A6A6B" w:rsidRPr="00D869E3" w:rsidRDefault="00075E68" w:rsidP="00F10D93">
      <w:pPr>
        <w:numPr>
          <w:ilvl w:val="0"/>
          <w:numId w:val="1"/>
        </w:numPr>
        <w:autoSpaceDE w:val="0"/>
        <w:autoSpaceDN w:val="0"/>
        <w:adjustRightInd w:val="0"/>
        <w:ind w:left="0" w:firstLine="0"/>
        <w:contextualSpacing/>
        <w:jc w:val="both"/>
        <w:rPr>
          <w:rFonts w:ascii="Verdana" w:hAnsi="Verdana"/>
          <w:sz w:val="20"/>
          <w:szCs w:val="20"/>
          <w:lang w:val="en-US"/>
        </w:rPr>
      </w:pPr>
      <w:r w:rsidRPr="00D869E3">
        <w:rPr>
          <w:rFonts w:ascii="Verdana" w:hAnsi="Verdana"/>
          <w:sz w:val="20"/>
          <w:szCs w:val="20"/>
          <w:lang w:val="en-US"/>
        </w:rPr>
        <w:t>In this regard</w:t>
      </w:r>
      <w:r w:rsidR="00C01305" w:rsidRPr="00D869E3">
        <w:rPr>
          <w:rFonts w:ascii="Verdana" w:hAnsi="Verdana"/>
          <w:sz w:val="20"/>
          <w:szCs w:val="20"/>
          <w:lang w:val="en-US"/>
        </w:rPr>
        <w:t xml:space="preserve">, </w:t>
      </w:r>
      <w:r w:rsidR="00F10D93" w:rsidRPr="00D869E3">
        <w:rPr>
          <w:rFonts w:ascii="Verdana" w:hAnsi="Verdana"/>
          <w:sz w:val="20"/>
          <w:szCs w:val="20"/>
          <w:lang w:val="en-US"/>
        </w:rPr>
        <w:t>it should be pointed out that Peru contested the application of a proportionality test because, according to the State, this is derived from legal doctrine or jurisprudence subsequent to the facts</w:t>
      </w:r>
      <w:r w:rsidR="00C01305" w:rsidRPr="00D869E3">
        <w:rPr>
          <w:rFonts w:ascii="Verdana" w:hAnsi="Verdana"/>
          <w:sz w:val="20"/>
          <w:szCs w:val="20"/>
          <w:lang w:val="en-US"/>
        </w:rPr>
        <w:t xml:space="preserve"> (</w:t>
      </w:r>
      <w:r w:rsidR="00224537" w:rsidRPr="00D869E3">
        <w:rPr>
          <w:rFonts w:ascii="Verdana" w:hAnsi="Verdana"/>
          <w:i/>
          <w:sz w:val="20"/>
          <w:szCs w:val="20"/>
          <w:lang w:val="en-US"/>
        </w:rPr>
        <w:t>supra</w:t>
      </w:r>
      <w:r w:rsidR="00E71477" w:rsidRPr="00D869E3">
        <w:rPr>
          <w:rFonts w:ascii="Verdana" w:hAnsi="Verdana"/>
          <w:sz w:val="20"/>
          <w:szCs w:val="20"/>
          <w:lang w:val="en-US"/>
        </w:rPr>
        <w:t xml:space="preserve"> </w:t>
      </w:r>
      <w:r w:rsidR="0087339F" w:rsidRPr="00D869E3">
        <w:rPr>
          <w:rFonts w:ascii="Verdana" w:hAnsi="Verdana"/>
          <w:sz w:val="20"/>
          <w:szCs w:val="20"/>
          <w:lang w:val="en-US"/>
        </w:rPr>
        <w:t>para.</w:t>
      </w:r>
      <w:r w:rsidR="00691B72" w:rsidRPr="00D869E3">
        <w:rPr>
          <w:rFonts w:ascii="Verdana" w:hAnsi="Verdana"/>
          <w:sz w:val="20"/>
          <w:szCs w:val="20"/>
          <w:lang w:val="en-US"/>
        </w:rPr>
        <w:t xml:space="preserve"> 81</w:t>
      </w:r>
      <w:r w:rsidR="00E71477" w:rsidRPr="00D869E3">
        <w:rPr>
          <w:rFonts w:ascii="Verdana" w:hAnsi="Verdana"/>
          <w:sz w:val="20"/>
          <w:szCs w:val="20"/>
          <w:lang w:val="en-US"/>
        </w:rPr>
        <w:t xml:space="preserve">). </w:t>
      </w:r>
      <w:r w:rsidR="00447C65" w:rsidRPr="00D869E3">
        <w:rPr>
          <w:rFonts w:ascii="Verdana" w:hAnsi="Verdana"/>
          <w:sz w:val="20"/>
          <w:szCs w:val="20"/>
          <w:lang w:val="en-US"/>
        </w:rPr>
        <w:t>The Court</w:t>
      </w:r>
      <w:r w:rsidR="00B56102" w:rsidRPr="00D869E3">
        <w:rPr>
          <w:rFonts w:ascii="Verdana" w:hAnsi="Verdana"/>
          <w:sz w:val="20"/>
          <w:szCs w:val="20"/>
          <w:lang w:val="en-US"/>
        </w:rPr>
        <w:t xml:space="preserve"> </w:t>
      </w:r>
      <w:r w:rsidR="00F10D93" w:rsidRPr="00D869E3">
        <w:rPr>
          <w:rFonts w:ascii="Verdana" w:hAnsi="Verdana"/>
          <w:sz w:val="20"/>
          <w:szCs w:val="20"/>
          <w:lang w:val="en-US"/>
        </w:rPr>
        <w:t>notes that</w:t>
      </w:r>
      <w:r w:rsidR="00B56102" w:rsidRPr="00D869E3">
        <w:rPr>
          <w:rFonts w:ascii="Verdana" w:hAnsi="Verdana"/>
          <w:sz w:val="20"/>
          <w:szCs w:val="20"/>
          <w:lang w:val="en-US"/>
        </w:rPr>
        <w:t xml:space="preserve"> </w:t>
      </w:r>
      <w:r w:rsidR="00447C65" w:rsidRPr="00D869E3">
        <w:rPr>
          <w:rFonts w:ascii="Verdana" w:hAnsi="Verdana"/>
          <w:sz w:val="20"/>
          <w:szCs w:val="20"/>
          <w:lang w:val="en-US"/>
        </w:rPr>
        <w:t>Article</w:t>
      </w:r>
      <w:r w:rsidR="00B56102" w:rsidRPr="00D869E3">
        <w:rPr>
          <w:rFonts w:ascii="Verdana" w:hAnsi="Verdana"/>
          <w:sz w:val="20"/>
          <w:szCs w:val="20"/>
          <w:lang w:val="en-US"/>
        </w:rPr>
        <w:t xml:space="preserve"> </w:t>
      </w:r>
      <w:r w:rsidR="00966115" w:rsidRPr="00D869E3">
        <w:rPr>
          <w:rFonts w:ascii="Verdana" w:hAnsi="Verdana"/>
          <w:sz w:val="20"/>
          <w:szCs w:val="20"/>
          <w:lang w:val="en-US"/>
        </w:rPr>
        <w:t>13(2)</w:t>
      </w:r>
      <w:r w:rsidR="00447C65" w:rsidRPr="00D869E3">
        <w:rPr>
          <w:rFonts w:ascii="Verdana" w:hAnsi="Verdana"/>
          <w:sz w:val="20"/>
          <w:szCs w:val="20"/>
          <w:lang w:val="en-US"/>
        </w:rPr>
        <w:t xml:space="preserve"> of the Convention</w:t>
      </w:r>
      <w:r w:rsidR="00B56102" w:rsidRPr="00D869E3">
        <w:rPr>
          <w:rFonts w:ascii="Verdana" w:hAnsi="Verdana"/>
          <w:sz w:val="20"/>
          <w:szCs w:val="20"/>
          <w:lang w:val="en-US"/>
        </w:rPr>
        <w:t xml:space="preserve"> </w:t>
      </w:r>
      <w:r w:rsidR="00F10D93" w:rsidRPr="00D869E3">
        <w:rPr>
          <w:rFonts w:ascii="Verdana" w:hAnsi="Verdana"/>
          <w:sz w:val="20"/>
          <w:szCs w:val="20"/>
          <w:lang w:val="en-US"/>
        </w:rPr>
        <w:t xml:space="preserve">expressly establishes the requirement </w:t>
      </w:r>
      <w:r w:rsidR="004848D5" w:rsidRPr="00D869E3">
        <w:rPr>
          <w:rFonts w:ascii="Verdana" w:hAnsi="Verdana"/>
          <w:sz w:val="20"/>
          <w:szCs w:val="20"/>
          <w:lang w:val="en-US"/>
        </w:rPr>
        <w:t>to</w:t>
      </w:r>
      <w:r w:rsidR="00F10D93" w:rsidRPr="00D869E3">
        <w:rPr>
          <w:rFonts w:ascii="Verdana" w:hAnsi="Verdana"/>
          <w:sz w:val="20"/>
          <w:szCs w:val="20"/>
          <w:lang w:val="en-US"/>
        </w:rPr>
        <w:t xml:space="preserve"> make an analysis of reasonableness when there has been a restriction of freedom of expression. Furthermore, it should be </w:t>
      </w:r>
      <w:r w:rsidR="00127816" w:rsidRPr="00D869E3">
        <w:rPr>
          <w:rFonts w:ascii="Verdana" w:hAnsi="Verdana"/>
          <w:sz w:val="20"/>
          <w:szCs w:val="20"/>
          <w:lang w:val="en-US"/>
        </w:rPr>
        <w:t>noted that the criteria</w:t>
      </w:r>
      <w:r w:rsidR="004848D5" w:rsidRPr="00D869E3">
        <w:rPr>
          <w:rFonts w:ascii="Verdana" w:hAnsi="Verdana"/>
          <w:sz w:val="20"/>
          <w:szCs w:val="20"/>
          <w:lang w:val="en-US"/>
        </w:rPr>
        <w:t xml:space="preserve"> on proportionality</w:t>
      </w:r>
      <w:r w:rsidR="00127816" w:rsidRPr="00D869E3">
        <w:rPr>
          <w:rFonts w:ascii="Verdana" w:hAnsi="Verdana"/>
          <w:sz w:val="20"/>
          <w:szCs w:val="20"/>
          <w:lang w:val="en-US"/>
        </w:rPr>
        <w:t xml:space="preserve"> subsequently developed by this Court </w:t>
      </w:r>
      <w:r w:rsidR="004848D5" w:rsidRPr="00D869E3">
        <w:rPr>
          <w:rFonts w:ascii="Verdana" w:hAnsi="Verdana"/>
          <w:sz w:val="20"/>
          <w:szCs w:val="20"/>
          <w:lang w:val="en-US"/>
        </w:rPr>
        <w:t>merely</w:t>
      </w:r>
      <w:r w:rsidR="00127816" w:rsidRPr="00D869E3">
        <w:rPr>
          <w:rFonts w:ascii="Verdana" w:hAnsi="Verdana"/>
          <w:sz w:val="20"/>
          <w:szCs w:val="20"/>
          <w:lang w:val="en-US"/>
        </w:rPr>
        <w:t xml:space="preserve"> appl</w:t>
      </w:r>
      <w:r w:rsidR="004848D5" w:rsidRPr="00D869E3">
        <w:rPr>
          <w:rFonts w:ascii="Verdana" w:hAnsi="Verdana"/>
          <w:sz w:val="20"/>
          <w:szCs w:val="20"/>
          <w:lang w:val="en-US"/>
        </w:rPr>
        <w:t>y</w:t>
      </w:r>
      <w:r w:rsidR="00127816" w:rsidRPr="00D869E3">
        <w:rPr>
          <w:rFonts w:ascii="Verdana" w:hAnsi="Verdana"/>
          <w:sz w:val="20"/>
          <w:szCs w:val="20"/>
          <w:lang w:val="en-US"/>
        </w:rPr>
        <w:t xml:space="preserve"> a general principle of legal interpretation derived from the general matrix of rationality. Consequently, the weighing is established in </w:t>
      </w:r>
      <w:r w:rsidR="00447C65" w:rsidRPr="00D869E3">
        <w:rPr>
          <w:rFonts w:ascii="Verdana" w:hAnsi="Verdana"/>
          <w:sz w:val="20"/>
          <w:szCs w:val="20"/>
          <w:lang w:val="en-US"/>
        </w:rPr>
        <w:t>Article</w:t>
      </w:r>
      <w:r w:rsidR="002F3D8B" w:rsidRPr="00D869E3">
        <w:rPr>
          <w:rFonts w:ascii="Verdana" w:hAnsi="Verdana"/>
          <w:sz w:val="20"/>
          <w:szCs w:val="20"/>
          <w:lang w:val="en-US"/>
        </w:rPr>
        <w:t xml:space="preserve"> </w:t>
      </w:r>
      <w:r w:rsidR="00966115" w:rsidRPr="00D869E3">
        <w:rPr>
          <w:rFonts w:ascii="Verdana" w:hAnsi="Verdana"/>
          <w:sz w:val="20"/>
          <w:szCs w:val="20"/>
          <w:lang w:val="en-US"/>
        </w:rPr>
        <w:t>13(2)</w:t>
      </w:r>
      <w:r w:rsidR="00447C65" w:rsidRPr="00D869E3">
        <w:rPr>
          <w:rFonts w:ascii="Verdana" w:hAnsi="Verdana"/>
          <w:sz w:val="20"/>
          <w:szCs w:val="20"/>
          <w:lang w:val="en-US"/>
        </w:rPr>
        <w:t xml:space="preserve"> of the Convention</w:t>
      </w:r>
      <w:r w:rsidR="00127816" w:rsidRPr="00D869E3">
        <w:rPr>
          <w:rFonts w:ascii="Verdana" w:hAnsi="Verdana"/>
          <w:sz w:val="20"/>
          <w:szCs w:val="20"/>
          <w:lang w:val="en-US"/>
        </w:rPr>
        <w:t xml:space="preserve"> itself</w:t>
      </w:r>
      <w:r w:rsidR="002F3D8B" w:rsidRPr="00D869E3">
        <w:rPr>
          <w:rFonts w:ascii="Verdana" w:hAnsi="Verdana"/>
          <w:sz w:val="20"/>
          <w:szCs w:val="20"/>
          <w:lang w:val="en-US"/>
        </w:rPr>
        <w:t>.</w:t>
      </w:r>
    </w:p>
    <w:p w14:paraId="2F3B060F" w14:textId="77777777" w:rsidR="00C01305" w:rsidRPr="00D869E3" w:rsidRDefault="00C01305" w:rsidP="00CA58EF">
      <w:pPr>
        <w:autoSpaceDE w:val="0"/>
        <w:autoSpaceDN w:val="0"/>
        <w:adjustRightInd w:val="0"/>
        <w:contextualSpacing/>
        <w:jc w:val="both"/>
        <w:rPr>
          <w:rFonts w:ascii="Verdana" w:hAnsi="Verdana" w:cs="Verdana"/>
          <w:bCs/>
          <w:spacing w:val="-2"/>
          <w:sz w:val="20"/>
          <w:szCs w:val="20"/>
          <w:lang w:val="en-US"/>
        </w:rPr>
      </w:pPr>
    </w:p>
    <w:p w14:paraId="066433E3" w14:textId="6FA84ED6" w:rsidR="00C01305" w:rsidRPr="00D869E3" w:rsidRDefault="00395E3F" w:rsidP="00E66DD7">
      <w:pPr>
        <w:numPr>
          <w:ilvl w:val="0"/>
          <w:numId w:val="1"/>
        </w:numPr>
        <w:autoSpaceDE w:val="0"/>
        <w:autoSpaceDN w:val="0"/>
        <w:adjustRightInd w:val="0"/>
        <w:ind w:left="0" w:firstLine="0"/>
        <w:jc w:val="both"/>
        <w:rPr>
          <w:rFonts w:ascii="Verdana" w:hAnsi="Verdana"/>
          <w:b/>
          <w:sz w:val="20"/>
          <w:szCs w:val="20"/>
          <w:lang w:val="en-US"/>
        </w:rPr>
      </w:pPr>
      <w:bookmarkStart w:id="44" w:name="_Ref359981203"/>
      <w:r w:rsidRPr="00D869E3">
        <w:rPr>
          <w:rFonts w:ascii="Verdana" w:hAnsi="Verdana"/>
          <w:spacing w:val="-2"/>
          <w:sz w:val="20"/>
          <w:szCs w:val="20"/>
          <w:lang w:val="en-US"/>
        </w:rPr>
        <w:t>The</w:t>
      </w:r>
      <w:r w:rsidR="00127816" w:rsidRPr="00D869E3">
        <w:rPr>
          <w:rFonts w:ascii="Verdana" w:hAnsi="Verdana"/>
          <w:spacing w:val="-2"/>
          <w:sz w:val="20"/>
          <w:szCs w:val="20"/>
          <w:lang w:val="en-US"/>
        </w:rPr>
        <w:t xml:space="preserve"> Court has reiterated in its case law that </w:t>
      </w:r>
      <w:r w:rsidR="00447C65" w:rsidRPr="00D869E3">
        <w:rPr>
          <w:rFonts w:ascii="Verdana" w:hAnsi="Verdana"/>
          <w:spacing w:val="-2"/>
          <w:sz w:val="20"/>
          <w:szCs w:val="20"/>
          <w:lang w:val="en-US"/>
        </w:rPr>
        <w:t>Article</w:t>
      </w:r>
      <w:r w:rsidR="00C01305" w:rsidRPr="00D869E3">
        <w:rPr>
          <w:rFonts w:ascii="Verdana" w:hAnsi="Verdana"/>
          <w:spacing w:val="-2"/>
          <w:sz w:val="20"/>
          <w:szCs w:val="20"/>
          <w:lang w:val="en-US"/>
        </w:rPr>
        <w:t xml:space="preserve"> </w:t>
      </w:r>
      <w:r w:rsidR="00966115" w:rsidRPr="00D869E3">
        <w:rPr>
          <w:rFonts w:ascii="Verdana" w:hAnsi="Verdana"/>
          <w:spacing w:val="-2"/>
          <w:sz w:val="20"/>
          <w:szCs w:val="20"/>
          <w:lang w:val="en-US"/>
        </w:rPr>
        <w:t>13(2)</w:t>
      </w:r>
      <w:r w:rsidR="00447C65" w:rsidRPr="00D869E3">
        <w:rPr>
          <w:rFonts w:ascii="Verdana" w:hAnsi="Verdana"/>
          <w:spacing w:val="-2"/>
          <w:sz w:val="20"/>
          <w:szCs w:val="20"/>
          <w:lang w:val="en-US"/>
        </w:rPr>
        <w:t xml:space="preserve"> of the American Convention</w:t>
      </w:r>
      <w:r w:rsidR="00C01305" w:rsidRPr="00D869E3">
        <w:rPr>
          <w:rFonts w:ascii="Verdana" w:hAnsi="Verdana"/>
          <w:spacing w:val="-2"/>
          <w:sz w:val="20"/>
          <w:szCs w:val="20"/>
          <w:lang w:val="en-US"/>
        </w:rPr>
        <w:t xml:space="preserve"> establ</w:t>
      </w:r>
      <w:r w:rsidR="00127816" w:rsidRPr="00D869E3">
        <w:rPr>
          <w:rFonts w:ascii="Verdana" w:hAnsi="Verdana"/>
          <w:spacing w:val="-2"/>
          <w:sz w:val="20"/>
          <w:szCs w:val="20"/>
          <w:lang w:val="en-US"/>
        </w:rPr>
        <w:t>ishes that the responsibilities ensu</w:t>
      </w:r>
      <w:r w:rsidR="004848D5" w:rsidRPr="00D869E3">
        <w:rPr>
          <w:rFonts w:ascii="Verdana" w:hAnsi="Verdana"/>
          <w:spacing w:val="-2"/>
          <w:sz w:val="20"/>
          <w:szCs w:val="20"/>
          <w:lang w:val="en-US"/>
        </w:rPr>
        <w:t>ing</w:t>
      </w:r>
      <w:r w:rsidR="00127816" w:rsidRPr="00D869E3">
        <w:rPr>
          <w:rFonts w:ascii="Verdana" w:hAnsi="Verdana"/>
          <w:spacing w:val="-2"/>
          <w:sz w:val="20"/>
          <w:szCs w:val="20"/>
          <w:lang w:val="en-US"/>
        </w:rPr>
        <w:t xml:space="preserve"> from the exercise of</w:t>
      </w:r>
      <w:r w:rsidR="00C01305" w:rsidRPr="00D869E3">
        <w:rPr>
          <w:rFonts w:ascii="Verdana" w:hAnsi="Verdana"/>
          <w:spacing w:val="-2"/>
          <w:sz w:val="20"/>
          <w:szCs w:val="20"/>
          <w:lang w:val="en-US"/>
        </w:rPr>
        <w:t xml:space="preserve"> </w:t>
      </w:r>
      <w:r w:rsidR="00A62EA8" w:rsidRPr="00D869E3">
        <w:rPr>
          <w:rFonts w:ascii="Verdana" w:hAnsi="Verdana"/>
          <w:spacing w:val="-2"/>
          <w:sz w:val="20"/>
          <w:szCs w:val="20"/>
          <w:lang w:val="en-US"/>
        </w:rPr>
        <w:t xml:space="preserve">freedom of </w:t>
      </w:r>
      <w:r w:rsidR="00127816" w:rsidRPr="00D869E3">
        <w:rPr>
          <w:rFonts w:ascii="Verdana" w:hAnsi="Verdana"/>
          <w:spacing w:val="-2"/>
          <w:sz w:val="20"/>
          <w:szCs w:val="20"/>
          <w:lang w:val="en-US"/>
        </w:rPr>
        <w:t>expres</w:t>
      </w:r>
      <w:r w:rsidR="00CC5F8A" w:rsidRPr="00D869E3">
        <w:rPr>
          <w:rFonts w:ascii="Verdana" w:hAnsi="Verdana"/>
          <w:spacing w:val="-2"/>
          <w:sz w:val="20"/>
          <w:szCs w:val="20"/>
          <w:lang w:val="en-US"/>
        </w:rPr>
        <w:t>sio</w:t>
      </w:r>
      <w:r w:rsidR="00127816" w:rsidRPr="00D869E3">
        <w:rPr>
          <w:rFonts w:ascii="Verdana" w:hAnsi="Verdana"/>
          <w:spacing w:val="-2"/>
          <w:sz w:val="20"/>
          <w:szCs w:val="20"/>
          <w:lang w:val="en-US"/>
        </w:rPr>
        <w:t xml:space="preserve">n </w:t>
      </w:r>
      <w:r w:rsidR="00CC5F8A" w:rsidRPr="00D869E3">
        <w:rPr>
          <w:rFonts w:ascii="Verdana" w:hAnsi="Verdana"/>
          <w:spacing w:val="-2"/>
          <w:sz w:val="20"/>
          <w:szCs w:val="20"/>
          <w:lang w:val="en-US"/>
        </w:rPr>
        <w:t>must</w:t>
      </w:r>
      <w:r w:rsidR="00127816" w:rsidRPr="00D869E3">
        <w:rPr>
          <w:rFonts w:ascii="Verdana" w:hAnsi="Verdana"/>
          <w:spacing w:val="-2"/>
          <w:sz w:val="20"/>
          <w:szCs w:val="20"/>
          <w:lang w:val="en-US"/>
        </w:rPr>
        <w:t xml:space="preserve"> comply with the following requirements, concurrently: (i) they must be previously es</w:t>
      </w:r>
      <w:r w:rsidR="00CC5F8A" w:rsidRPr="00D869E3">
        <w:rPr>
          <w:rFonts w:ascii="Verdana" w:hAnsi="Verdana"/>
          <w:spacing w:val="-2"/>
          <w:sz w:val="20"/>
          <w:szCs w:val="20"/>
          <w:lang w:val="en-US"/>
        </w:rPr>
        <w:t>t</w:t>
      </w:r>
      <w:r w:rsidR="00127816" w:rsidRPr="00D869E3">
        <w:rPr>
          <w:rFonts w:ascii="Verdana" w:hAnsi="Verdana"/>
          <w:spacing w:val="-2"/>
          <w:sz w:val="20"/>
          <w:szCs w:val="20"/>
          <w:lang w:val="en-US"/>
        </w:rPr>
        <w:t>ablished by law, in form and in content;</w:t>
      </w:r>
      <w:r w:rsidR="00C01305" w:rsidRPr="00D869E3">
        <w:rPr>
          <w:rFonts w:ascii="Verdana" w:hAnsi="Verdana"/>
          <w:spacing w:val="-2"/>
          <w:sz w:val="20"/>
          <w:szCs w:val="20"/>
          <w:vertAlign w:val="superscript"/>
          <w:lang w:val="en-US" w:eastAsia="de-DE"/>
        </w:rPr>
        <w:footnoteReference w:id="132"/>
      </w:r>
      <w:r w:rsidR="00C01305" w:rsidRPr="00D869E3">
        <w:rPr>
          <w:rFonts w:ascii="Verdana" w:hAnsi="Verdana"/>
          <w:spacing w:val="-2"/>
          <w:sz w:val="20"/>
          <w:szCs w:val="20"/>
          <w:lang w:val="en-US"/>
        </w:rPr>
        <w:t xml:space="preserve"> (ii) </w:t>
      </w:r>
      <w:r w:rsidR="00127816" w:rsidRPr="00D869E3">
        <w:rPr>
          <w:rFonts w:ascii="Verdana" w:hAnsi="Verdana"/>
          <w:spacing w:val="-2"/>
          <w:sz w:val="20"/>
          <w:szCs w:val="20"/>
          <w:lang w:val="en-US"/>
        </w:rPr>
        <w:t xml:space="preserve">they must respond to a purpose permitted by </w:t>
      </w:r>
      <w:r w:rsidR="00447C65" w:rsidRPr="00D869E3">
        <w:rPr>
          <w:rFonts w:ascii="Verdana" w:hAnsi="Verdana"/>
          <w:spacing w:val="-2"/>
          <w:sz w:val="20"/>
          <w:szCs w:val="20"/>
          <w:lang w:val="en-US"/>
        </w:rPr>
        <w:t>the American Convention</w:t>
      </w:r>
      <w:r w:rsidR="00C01305" w:rsidRPr="00D869E3">
        <w:rPr>
          <w:rFonts w:ascii="Verdana" w:hAnsi="Verdana"/>
          <w:spacing w:val="-2"/>
          <w:sz w:val="20"/>
          <w:szCs w:val="20"/>
          <w:lang w:val="en-US"/>
        </w:rPr>
        <w:t xml:space="preserve"> (</w:t>
      </w:r>
      <w:r w:rsidR="006436CA" w:rsidRPr="00D869E3">
        <w:rPr>
          <w:rFonts w:ascii="Verdana" w:hAnsi="Verdana"/>
          <w:spacing w:val="-2"/>
          <w:sz w:val="20"/>
          <w:szCs w:val="20"/>
          <w:lang w:val="en-US"/>
        </w:rPr>
        <w:t>“</w:t>
      </w:r>
      <w:r w:rsidR="00127816" w:rsidRPr="00D869E3">
        <w:rPr>
          <w:rFonts w:ascii="Verdana" w:hAnsi="Verdana"/>
          <w:spacing w:val="-2"/>
          <w:sz w:val="20"/>
          <w:szCs w:val="20"/>
          <w:lang w:val="en-US"/>
        </w:rPr>
        <w:t>respect for the right</w:t>
      </w:r>
      <w:r w:rsidR="00CC5F8A" w:rsidRPr="00D869E3">
        <w:rPr>
          <w:rFonts w:ascii="Verdana" w:hAnsi="Verdana"/>
          <w:spacing w:val="-2"/>
          <w:sz w:val="20"/>
          <w:szCs w:val="20"/>
          <w:lang w:val="en-US"/>
        </w:rPr>
        <w:t>s</w:t>
      </w:r>
      <w:r w:rsidR="00127816" w:rsidRPr="00D869E3">
        <w:rPr>
          <w:rFonts w:ascii="Verdana" w:hAnsi="Verdana"/>
          <w:spacing w:val="-2"/>
          <w:sz w:val="20"/>
          <w:szCs w:val="20"/>
          <w:lang w:val="en-US"/>
        </w:rPr>
        <w:t xml:space="preserve"> </w:t>
      </w:r>
      <w:r w:rsidR="00CC5F8A" w:rsidRPr="00D869E3">
        <w:rPr>
          <w:rFonts w:ascii="Verdana" w:hAnsi="Verdana"/>
          <w:spacing w:val="-2"/>
          <w:sz w:val="20"/>
          <w:szCs w:val="20"/>
          <w:lang w:val="en-US"/>
        </w:rPr>
        <w:t>or</w:t>
      </w:r>
      <w:r w:rsidR="00127816" w:rsidRPr="00D869E3">
        <w:rPr>
          <w:rFonts w:ascii="Verdana" w:hAnsi="Verdana"/>
          <w:spacing w:val="-2"/>
          <w:sz w:val="20"/>
          <w:szCs w:val="20"/>
          <w:lang w:val="en-US"/>
        </w:rPr>
        <w:t xml:space="preserve"> reputation of others</w:t>
      </w:r>
      <w:r w:rsidR="006436CA" w:rsidRPr="00D869E3">
        <w:rPr>
          <w:rFonts w:ascii="Verdana" w:hAnsi="Verdana"/>
          <w:spacing w:val="-2"/>
          <w:sz w:val="20"/>
          <w:szCs w:val="20"/>
          <w:lang w:val="en-US"/>
        </w:rPr>
        <w:t>”</w:t>
      </w:r>
      <w:r w:rsidR="00C01305" w:rsidRPr="00D869E3">
        <w:rPr>
          <w:rFonts w:ascii="Verdana" w:hAnsi="Verdana"/>
          <w:spacing w:val="-2"/>
          <w:sz w:val="20"/>
          <w:szCs w:val="20"/>
          <w:lang w:val="en-US"/>
        </w:rPr>
        <w:t xml:space="preserve"> o</w:t>
      </w:r>
      <w:r w:rsidR="00CC5F8A" w:rsidRPr="00D869E3">
        <w:rPr>
          <w:rFonts w:ascii="Verdana" w:hAnsi="Verdana"/>
          <w:spacing w:val="-2"/>
          <w:sz w:val="20"/>
          <w:szCs w:val="20"/>
          <w:lang w:val="en-US"/>
        </w:rPr>
        <w:t>r</w:t>
      </w:r>
      <w:r w:rsidR="00C01305" w:rsidRPr="00D869E3">
        <w:rPr>
          <w:rFonts w:ascii="Verdana" w:hAnsi="Verdana"/>
          <w:spacing w:val="-2"/>
          <w:sz w:val="20"/>
          <w:szCs w:val="20"/>
          <w:lang w:val="en-US"/>
        </w:rPr>
        <w:t xml:space="preserve"> </w:t>
      </w:r>
      <w:r w:rsidR="006436CA" w:rsidRPr="00D869E3">
        <w:rPr>
          <w:rFonts w:ascii="Verdana" w:hAnsi="Verdana"/>
          <w:spacing w:val="-2"/>
          <w:sz w:val="20"/>
          <w:szCs w:val="20"/>
          <w:lang w:val="en-US"/>
        </w:rPr>
        <w:t>“</w:t>
      </w:r>
      <w:r w:rsidR="00CC5F8A" w:rsidRPr="00D869E3">
        <w:rPr>
          <w:rFonts w:ascii="Verdana" w:hAnsi="Verdana"/>
          <w:spacing w:val="-2"/>
          <w:sz w:val="20"/>
          <w:szCs w:val="20"/>
          <w:lang w:val="en-US"/>
        </w:rPr>
        <w:t xml:space="preserve">the protection of national security, public order, or public health or morals”) and </w:t>
      </w:r>
      <w:r w:rsidR="00C01305" w:rsidRPr="00D869E3">
        <w:rPr>
          <w:rFonts w:ascii="Verdana" w:hAnsi="Verdana"/>
          <w:spacing w:val="-2"/>
          <w:sz w:val="20"/>
          <w:szCs w:val="20"/>
          <w:lang w:val="en-US"/>
        </w:rPr>
        <w:t xml:space="preserve">(iii) </w:t>
      </w:r>
      <w:r w:rsidR="00CC5F8A" w:rsidRPr="00D869E3">
        <w:rPr>
          <w:rFonts w:ascii="Verdana" w:hAnsi="Verdana"/>
          <w:spacing w:val="-2"/>
          <w:sz w:val="20"/>
          <w:szCs w:val="20"/>
          <w:lang w:val="en-US"/>
        </w:rPr>
        <w:t>they must be necessary in a democratic society (and must therefore comply with the requirements of appropriateness, necessity and proportionality</w:t>
      </w:r>
      <w:r w:rsidR="00C01305" w:rsidRPr="00D869E3">
        <w:rPr>
          <w:rFonts w:ascii="Verdana" w:hAnsi="Verdana"/>
          <w:spacing w:val="-2"/>
          <w:sz w:val="20"/>
          <w:szCs w:val="20"/>
          <w:vertAlign w:val="superscript"/>
          <w:lang w:val="en-US" w:eastAsia="de-DE"/>
        </w:rPr>
        <w:footnoteReference w:id="133"/>
      </w:r>
      <w:r w:rsidR="00C01305" w:rsidRPr="00D869E3">
        <w:rPr>
          <w:rFonts w:ascii="Verdana" w:hAnsi="Verdana"/>
          <w:spacing w:val="-2"/>
          <w:sz w:val="20"/>
          <w:szCs w:val="20"/>
          <w:lang w:val="en-US" w:eastAsia="de-DE"/>
        </w:rPr>
        <w:t>).</w:t>
      </w:r>
      <w:r w:rsidR="00C01305" w:rsidRPr="00D869E3">
        <w:rPr>
          <w:rFonts w:ascii="Verdana" w:hAnsi="Verdana"/>
          <w:spacing w:val="-2"/>
          <w:sz w:val="20"/>
          <w:szCs w:val="20"/>
          <w:lang w:val="en-US"/>
        </w:rPr>
        <w:t xml:space="preserve"> </w:t>
      </w:r>
      <w:bookmarkEnd w:id="44"/>
    </w:p>
    <w:p w14:paraId="4863E179" w14:textId="77777777" w:rsidR="00C01305" w:rsidRPr="00D869E3" w:rsidRDefault="00C01305" w:rsidP="00CA58EF">
      <w:pPr>
        <w:contextualSpacing/>
        <w:rPr>
          <w:rFonts w:ascii="Verdana" w:hAnsi="Verdana"/>
          <w:sz w:val="20"/>
          <w:szCs w:val="20"/>
          <w:lang w:val="en-US"/>
        </w:rPr>
      </w:pPr>
    </w:p>
    <w:p w14:paraId="3ACDC9F5" w14:textId="672AD03D" w:rsidR="00C01305" w:rsidRPr="00D869E3" w:rsidRDefault="00395E3F" w:rsidP="00395E3F">
      <w:pPr>
        <w:numPr>
          <w:ilvl w:val="0"/>
          <w:numId w:val="1"/>
        </w:numPr>
        <w:autoSpaceDE w:val="0"/>
        <w:autoSpaceDN w:val="0"/>
        <w:adjustRightInd w:val="0"/>
        <w:ind w:left="0" w:firstLine="0"/>
        <w:jc w:val="both"/>
        <w:rPr>
          <w:rFonts w:ascii="Verdana" w:hAnsi="Verdana"/>
          <w:sz w:val="20"/>
          <w:szCs w:val="20"/>
          <w:lang w:val="en-US"/>
        </w:rPr>
      </w:pPr>
      <w:r w:rsidRPr="00D869E3">
        <w:rPr>
          <w:rFonts w:ascii="Verdana" w:hAnsi="Verdana"/>
          <w:sz w:val="20"/>
          <w:szCs w:val="20"/>
          <w:lang w:val="en-US"/>
        </w:rPr>
        <w:t>I</w:t>
      </w:r>
      <w:r w:rsidR="00AF6642" w:rsidRPr="00D869E3">
        <w:rPr>
          <w:rFonts w:ascii="Verdana" w:hAnsi="Verdana"/>
          <w:sz w:val="20"/>
          <w:szCs w:val="20"/>
          <w:lang w:val="en-US"/>
        </w:rPr>
        <w:t xml:space="preserve">n particular, </w:t>
      </w:r>
      <w:r w:rsidR="0015138B" w:rsidRPr="00D869E3">
        <w:rPr>
          <w:rFonts w:ascii="Verdana" w:hAnsi="Verdana"/>
          <w:sz w:val="20"/>
          <w:szCs w:val="20"/>
          <w:lang w:val="en-US"/>
        </w:rPr>
        <w:t>an</w:t>
      </w:r>
      <w:r w:rsidRPr="00D869E3">
        <w:rPr>
          <w:rFonts w:ascii="Verdana" w:hAnsi="Verdana"/>
          <w:sz w:val="20"/>
          <w:szCs w:val="20"/>
          <w:lang w:val="en-US"/>
        </w:rPr>
        <w:t xml:space="preserve"> evaluation of legitimate restrictions to the </w:t>
      </w:r>
      <w:r w:rsidR="00C82C0C" w:rsidRPr="00D869E3">
        <w:rPr>
          <w:rFonts w:ascii="Verdana" w:hAnsi="Verdana"/>
          <w:sz w:val="20"/>
          <w:szCs w:val="20"/>
          <w:lang w:val="en-US"/>
        </w:rPr>
        <w:t>right to freedom</w:t>
      </w:r>
      <w:r w:rsidR="00A62EA8" w:rsidRPr="00D869E3">
        <w:rPr>
          <w:rFonts w:ascii="Verdana" w:hAnsi="Verdana"/>
          <w:sz w:val="20"/>
          <w:szCs w:val="20"/>
          <w:lang w:val="en-US"/>
        </w:rPr>
        <w:t xml:space="preserve"> of expression</w:t>
      </w:r>
      <w:r w:rsidRPr="00D869E3">
        <w:rPr>
          <w:rFonts w:ascii="Verdana" w:hAnsi="Verdana"/>
          <w:sz w:val="20"/>
          <w:szCs w:val="20"/>
          <w:lang w:val="en-US"/>
        </w:rPr>
        <w:t xml:space="preserve"> requires an analysis of necessity </w:t>
      </w:r>
      <w:r w:rsidR="004E4E2E" w:rsidRPr="00D869E3">
        <w:rPr>
          <w:rFonts w:ascii="Verdana" w:hAnsi="Verdana"/>
          <w:sz w:val="20"/>
          <w:szCs w:val="20"/>
          <w:lang w:val="en-US"/>
        </w:rPr>
        <w:t>(</w:t>
      </w:r>
      <w:r w:rsidR="00447C65" w:rsidRPr="00D869E3">
        <w:rPr>
          <w:rFonts w:ascii="Verdana" w:hAnsi="Verdana"/>
          <w:sz w:val="20"/>
          <w:szCs w:val="20"/>
          <w:lang w:val="en-US"/>
        </w:rPr>
        <w:t>Article</w:t>
      </w:r>
      <w:r w:rsidR="004E4E2E" w:rsidRPr="00D869E3">
        <w:rPr>
          <w:rFonts w:ascii="Verdana" w:hAnsi="Verdana"/>
          <w:sz w:val="20"/>
          <w:szCs w:val="20"/>
          <w:lang w:val="en-US"/>
        </w:rPr>
        <w:t xml:space="preserve"> </w:t>
      </w:r>
      <w:r w:rsidR="00966115" w:rsidRPr="00D869E3">
        <w:rPr>
          <w:rFonts w:ascii="Verdana" w:hAnsi="Verdana"/>
          <w:sz w:val="20"/>
          <w:szCs w:val="20"/>
          <w:lang w:val="en-US"/>
        </w:rPr>
        <w:t>13(2)</w:t>
      </w:r>
      <w:r w:rsidR="004E4E2E" w:rsidRPr="00D869E3">
        <w:rPr>
          <w:rFonts w:ascii="Verdana" w:hAnsi="Verdana"/>
          <w:sz w:val="20"/>
          <w:szCs w:val="20"/>
          <w:lang w:val="en-US"/>
        </w:rPr>
        <w:t xml:space="preserve">). </w:t>
      </w:r>
      <w:r w:rsidRPr="00D869E3">
        <w:rPr>
          <w:rFonts w:ascii="Verdana" w:hAnsi="Verdana"/>
          <w:sz w:val="20"/>
          <w:szCs w:val="20"/>
          <w:lang w:val="en-US"/>
        </w:rPr>
        <w:t>Thus, the State, through its agents of justice, is required to make an analysis of reasonableness or a weighing up</w:t>
      </w:r>
      <w:r w:rsidR="0015138B" w:rsidRPr="00D869E3">
        <w:rPr>
          <w:rFonts w:ascii="Verdana" w:hAnsi="Verdana"/>
          <w:sz w:val="20"/>
          <w:szCs w:val="20"/>
          <w:lang w:val="en-US"/>
        </w:rPr>
        <w:t xml:space="preserve"> of</w:t>
      </w:r>
      <w:r w:rsidRPr="00D869E3">
        <w:rPr>
          <w:rFonts w:ascii="Verdana" w:hAnsi="Verdana"/>
          <w:sz w:val="20"/>
          <w:szCs w:val="20"/>
          <w:lang w:val="en-US"/>
        </w:rPr>
        <w:t xml:space="preserve"> the limitations or restrictions to </w:t>
      </w:r>
      <w:r w:rsidR="0015138B" w:rsidRPr="00D869E3">
        <w:rPr>
          <w:rFonts w:ascii="Verdana" w:hAnsi="Verdana"/>
          <w:sz w:val="20"/>
          <w:szCs w:val="20"/>
          <w:lang w:val="en-US"/>
        </w:rPr>
        <w:t xml:space="preserve">a </w:t>
      </w:r>
      <w:r w:rsidRPr="00D869E3">
        <w:rPr>
          <w:rFonts w:ascii="Verdana" w:hAnsi="Verdana"/>
          <w:sz w:val="20"/>
          <w:szCs w:val="20"/>
          <w:lang w:val="en-US"/>
        </w:rPr>
        <w:t xml:space="preserve">human right recognized in the Convention (Article13(2)), </w:t>
      </w:r>
      <w:r w:rsidR="0015138B" w:rsidRPr="00D869E3">
        <w:rPr>
          <w:rFonts w:ascii="Verdana" w:hAnsi="Verdana"/>
          <w:sz w:val="20"/>
          <w:szCs w:val="20"/>
          <w:lang w:val="en-US"/>
        </w:rPr>
        <w:t>and also</w:t>
      </w:r>
      <w:r w:rsidRPr="00D869E3">
        <w:rPr>
          <w:rFonts w:ascii="Verdana" w:hAnsi="Verdana"/>
          <w:sz w:val="20"/>
          <w:szCs w:val="20"/>
          <w:lang w:val="en-US"/>
        </w:rPr>
        <w:t xml:space="preserve"> an appropriate </w:t>
      </w:r>
      <w:r w:rsidR="0015138B" w:rsidRPr="00D869E3">
        <w:rPr>
          <w:rFonts w:ascii="Verdana" w:hAnsi="Verdana"/>
          <w:sz w:val="20"/>
          <w:szCs w:val="20"/>
          <w:lang w:val="en-US"/>
        </w:rPr>
        <w:t>reasoning</w:t>
      </w:r>
      <w:r w:rsidRPr="00D869E3">
        <w:rPr>
          <w:rFonts w:ascii="Verdana" w:hAnsi="Verdana"/>
          <w:sz w:val="20"/>
          <w:szCs w:val="20"/>
          <w:lang w:val="en-US"/>
        </w:rPr>
        <w:t xml:space="preserve"> that respects due process of law (Article 8 of the Convention). The </w:t>
      </w:r>
      <w:r w:rsidR="0015138B" w:rsidRPr="00D869E3">
        <w:rPr>
          <w:rFonts w:ascii="Verdana" w:hAnsi="Verdana"/>
          <w:sz w:val="20"/>
          <w:szCs w:val="20"/>
          <w:lang w:val="en-US"/>
        </w:rPr>
        <w:t xml:space="preserve">specific </w:t>
      </w:r>
      <w:r w:rsidRPr="00D869E3">
        <w:rPr>
          <w:rFonts w:ascii="Verdana" w:hAnsi="Verdana"/>
          <w:sz w:val="20"/>
          <w:szCs w:val="20"/>
          <w:lang w:val="en-US"/>
        </w:rPr>
        <w:t xml:space="preserve">methodology, argument or </w:t>
      </w:r>
      <w:r w:rsidR="0015138B" w:rsidRPr="00D869E3">
        <w:rPr>
          <w:rFonts w:ascii="Verdana" w:hAnsi="Verdana"/>
          <w:sz w:val="20"/>
          <w:szCs w:val="20"/>
          <w:lang w:val="en-US"/>
        </w:rPr>
        <w:t>analysis</w:t>
      </w:r>
      <w:r w:rsidRPr="00D869E3">
        <w:rPr>
          <w:rFonts w:ascii="Verdana" w:hAnsi="Verdana"/>
          <w:sz w:val="20"/>
          <w:szCs w:val="20"/>
          <w:lang w:val="en-US"/>
        </w:rPr>
        <w:t xml:space="preserve"> is the task of the domestic authorities, provided that it reflects th</w:t>
      </w:r>
      <w:r w:rsidR="0015138B" w:rsidRPr="00D869E3">
        <w:rPr>
          <w:rFonts w:ascii="Verdana" w:hAnsi="Verdana"/>
          <w:sz w:val="20"/>
          <w:szCs w:val="20"/>
          <w:lang w:val="en-US"/>
        </w:rPr>
        <w:t>o</w:t>
      </w:r>
      <w:r w:rsidRPr="00D869E3">
        <w:rPr>
          <w:rFonts w:ascii="Verdana" w:hAnsi="Verdana"/>
          <w:sz w:val="20"/>
          <w:szCs w:val="20"/>
          <w:lang w:val="en-US"/>
        </w:rPr>
        <w:t xml:space="preserve">se guarantees. To make this evaluation at the international level, the Court has used different forms of analysis, depending on the rights at stake, but always making an adequate weighing up or balance </w:t>
      </w:r>
      <w:r w:rsidR="0015138B" w:rsidRPr="00D869E3">
        <w:rPr>
          <w:rFonts w:ascii="Verdana" w:hAnsi="Verdana"/>
          <w:sz w:val="20"/>
          <w:szCs w:val="20"/>
          <w:lang w:val="en-US"/>
        </w:rPr>
        <w:t>between</w:t>
      </w:r>
      <w:r w:rsidRPr="00D869E3">
        <w:rPr>
          <w:rFonts w:ascii="Verdana" w:hAnsi="Verdana"/>
          <w:sz w:val="20"/>
          <w:szCs w:val="20"/>
          <w:lang w:val="en-US"/>
        </w:rPr>
        <w:t xml:space="preserve"> the treaty-based rights</w:t>
      </w:r>
      <w:r w:rsidR="0015138B" w:rsidRPr="00D869E3">
        <w:rPr>
          <w:rFonts w:ascii="Verdana" w:hAnsi="Verdana"/>
          <w:sz w:val="20"/>
          <w:szCs w:val="20"/>
          <w:lang w:val="en-US"/>
        </w:rPr>
        <w:t>.</w:t>
      </w:r>
      <w:r w:rsidR="00F80ADC" w:rsidRPr="00D869E3">
        <w:rPr>
          <w:rStyle w:val="Refdenotaalpie"/>
          <w:szCs w:val="20"/>
          <w:lang w:val="en-US"/>
        </w:rPr>
        <w:footnoteReference w:id="134"/>
      </w:r>
      <w:r w:rsidRPr="00D869E3">
        <w:rPr>
          <w:rFonts w:ascii="Verdana" w:hAnsi="Verdana"/>
          <w:sz w:val="20"/>
          <w:szCs w:val="20"/>
          <w:lang w:val="en-US"/>
        </w:rPr>
        <w:t xml:space="preserve"> </w:t>
      </w:r>
      <w:r w:rsidR="0015138B" w:rsidRPr="00D869E3">
        <w:rPr>
          <w:rFonts w:ascii="Verdana" w:hAnsi="Verdana"/>
          <w:sz w:val="20"/>
          <w:szCs w:val="20"/>
          <w:lang w:val="en-US"/>
        </w:rPr>
        <w:t>C</w:t>
      </w:r>
      <w:r w:rsidRPr="00D869E3">
        <w:rPr>
          <w:rFonts w:ascii="Verdana" w:hAnsi="Verdana"/>
          <w:sz w:val="20"/>
          <w:szCs w:val="20"/>
          <w:lang w:val="en-US"/>
        </w:rPr>
        <w:t xml:space="preserve">onsequently, the </w:t>
      </w:r>
      <w:r w:rsidRPr="00D869E3">
        <w:rPr>
          <w:rFonts w:ascii="Verdana" w:hAnsi="Verdana"/>
          <w:sz w:val="20"/>
          <w:szCs w:val="20"/>
          <w:lang w:val="en-US"/>
        </w:rPr>
        <w:lastRenderedPageBreak/>
        <w:t>reasoned analysis of necessity made by this Court derives from the international treaty that it must interpret,</w:t>
      </w:r>
      <w:r w:rsidR="004E4E2E" w:rsidRPr="00D869E3">
        <w:rPr>
          <w:rStyle w:val="Refdenotaalpie"/>
          <w:szCs w:val="20"/>
          <w:lang w:val="en-US"/>
        </w:rPr>
        <w:footnoteReference w:id="135"/>
      </w:r>
      <w:r w:rsidR="002C371D" w:rsidRPr="00D869E3">
        <w:rPr>
          <w:rFonts w:ascii="Verdana" w:hAnsi="Verdana"/>
          <w:sz w:val="20"/>
          <w:szCs w:val="20"/>
          <w:lang w:val="en-US"/>
        </w:rPr>
        <w:t xml:space="preserve"> </w:t>
      </w:r>
      <w:r w:rsidRPr="00D869E3">
        <w:rPr>
          <w:rFonts w:ascii="Verdana" w:hAnsi="Verdana"/>
          <w:sz w:val="20"/>
          <w:szCs w:val="20"/>
          <w:lang w:val="en-US"/>
        </w:rPr>
        <w:t>together with its consistent case law.</w:t>
      </w:r>
    </w:p>
    <w:p w14:paraId="03C97E2B" w14:textId="77777777" w:rsidR="00C01305" w:rsidRPr="00D869E3" w:rsidRDefault="00C01305" w:rsidP="00CA58EF">
      <w:pPr>
        <w:contextualSpacing/>
        <w:rPr>
          <w:rFonts w:ascii="Verdana" w:hAnsi="Verdana"/>
          <w:sz w:val="20"/>
          <w:szCs w:val="20"/>
          <w:lang w:val="en-US"/>
        </w:rPr>
      </w:pPr>
    </w:p>
    <w:p w14:paraId="63F9FA01" w14:textId="768584D1" w:rsidR="00C01305" w:rsidRPr="00D869E3" w:rsidRDefault="00395E3F" w:rsidP="00CA352C">
      <w:pPr>
        <w:numPr>
          <w:ilvl w:val="0"/>
          <w:numId w:val="1"/>
        </w:numPr>
        <w:ind w:left="0" w:firstLine="0"/>
        <w:contextualSpacing/>
        <w:jc w:val="both"/>
        <w:rPr>
          <w:rFonts w:ascii="Verdana" w:hAnsi="Verdana"/>
          <w:sz w:val="20"/>
          <w:szCs w:val="20"/>
          <w:lang w:val="en-US"/>
        </w:rPr>
      </w:pPr>
      <w:r w:rsidRPr="00D869E3">
        <w:rPr>
          <w:rFonts w:ascii="Verdana" w:hAnsi="Verdana"/>
          <w:sz w:val="20"/>
          <w:szCs w:val="20"/>
          <w:lang w:val="en-US"/>
        </w:rPr>
        <w:t>For the purposes of this case, concerning the interpretation of subsequent responsibilities</w:t>
      </w:r>
      <w:r w:rsidR="00CA352C" w:rsidRPr="00D869E3">
        <w:rPr>
          <w:rFonts w:ascii="Verdana" w:hAnsi="Verdana"/>
          <w:sz w:val="20"/>
          <w:szCs w:val="20"/>
          <w:lang w:val="en-US"/>
        </w:rPr>
        <w:t xml:space="preserve"> for the exercise of freedom of expression in the wor</w:t>
      </w:r>
      <w:r w:rsidR="0015138B" w:rsidRPr="00D869E3">
        <w:rPr>
          <w:rFonts w:ascii="Verdana" w:hAnsi="Verdana"/>
          <w:sz w:val="20"/>
          <w:szCs w:val="20"/>
          <w:lang w:val="en-US"/>
        </w:rPr>
        <w:t>kplace</w:t>
      </w:r>
      <w:r w:rsidR="00CA352C" w:rsidRPr="00D869E3">
        <w:rPr>
          <w:rFonts w:ascii="Verdana" w:hAnsi="Verdana"/>
          <w:sz w:val="20"/>
          <w:szCs w:val="20"/>
          <w:lang w:val="en-US"/>
        </w:rPr>
        <w:t xml:space="preserve">, the Court will analyze the restriction imposed in light </w:t>
      </w:r>
      <w:r w:rsidR="00687684" w:rsidRPr="00D869E3">
        <w:rPr>
          <w:rFonts w:ascii="Verdana" w:hAnsi="Verdana"/>
          <w:sz w:val="20"/>
          <w:szCs w:val="20"/>
          <w:lang w:val="en-US"/>
        </w:rPr>
        <w:t>of Article</w:t>
      </w:r>
      <w:r w:rsidR="00C01305" w:rsidRPr="00D869E3">
        <w:rPr>
          <w:rFonts w:ascii="Verdana" w:hAnsi="Verdana"/>
          <w:sz w:val="20"/>
          <w:szCs w:val="20"/>
          <w:lang w:val="en-US"/>
        </w:rPr>
        <w:t xml:space="preserve"> </w:t>
      </w:r>
      <w:r w:rsidR="00966115" w:rsidRPr="00D869E3">
        <w:rPr>
          <w:rFonts w:ascii="Verdana" w:hAnsi="Verdana"/>
          <w:sz w:val="20"/>
          <w:szCs w:val="20"/>
          <w:lang w:val="en-US"/>
        </w:rPr>
        <w:t>13(2)</w:t>
      </w:r>
      <w:r w:rsidR="00447C65" w:rsidRPr="00D869E3">
        <w:rPr>
          <w:rFonts w:ascii="Verdana" w:hAnsi="Verdana"/>
          <w:sz w:val="20"/>
          <w:szCs w:val="20"/>
          <w:lang w:val="en-US"/>
        </w:rPr>
        <w:t xml:space="preserve"> of the Convention</w:t>
      </w:r>
      <w:r w:rsidR="00C01305" w:rsidRPr="00D869E3">
        <w:rPr>
          <w:rFonts w:ascii="Verdana" w:hAnsi="Verdana"/>
          <w:sz w:val="20"/>
          <w:szCs w:val="20"/>
          <w:lang w:val="en-US"/>
        </w:rPr>
        <w:t xml:space="preserve">, </w:t>
      </w:r>
      <w:r w:rsidR="00CA352C" w:rsidRPr="00D869E3">
        <w:rPr>
          <w:rFonts w:ascii="Verdana" w:hAnsi="Verdana"/>
          <w:sz w:val="20"/>
          <w:szCs w:val="20"/>
          <w:lang w:val="en-US"/>
        </w:rPr>
        <w:t xml:space="preserve">taking into account the following requirements, concurrently: (i) classification of Mr. </w:t>
      </w:r>
      <w:r w:rsidR="007A21DE" w:rsidRPr="00D869E3">
        <w:rPr>
          <w:rFonts w:ascii="Verdana" w:hAnsi="Verdana"/>
          <w:sz w:val="20"/>
          <w:szCs w:val="20"/>
          <w:lang w:val="en-US"/>
        </w:rPr>
        <w:t>Lagos del Campo</w:t>
      </w:r>
      <w:r w:rsidR="0015138B" w:rsidRPr="00D869E3">
        <w:rPr>
          <w:rFonts w:ascii="Verdana" w:hAnsi="Verdana"/>
          <w:sz w:val="20"/>
          <w:szCs w:val="20"/>
          <w:lang w:val="en-US"/>
        </w:rPr>
        <w:t>’s statements</w:t>
      </w:r>
      <w:r w:rsidR="007A21DE" w:rsidRPr="00D869E3">
        <w:rPr>
          <w:rFonts w:ascii="Verdana" w:hAnsi="Verdana"/>
          <w:sz w:val="20"/>
          <w:szCs w:val="20"/>
          <w:lang w:val="en-US"/>
        </w:rPr>
        <w:t xml:space="preserve">; </w:t>
      </w:r>
      <w:r w:rsidR="00CA352C" w:rsidRPr="00D869E3">
        <w:rPr>
          <w:rFonts w:ascii="Verdana" w:hAnsi="Verdana"/>
          <w:sz w:val="20"/>
          <w:szCs w:val="20"/>
          <w:lang w:val="en-US"/>
        </w:rPr>
        <w:t>(</w:t>
      </w:r>
      <w:r w:rsidR="00C81E7D" w:rsidRPr="00D869E3">
        <w:rPr>
          <w:rFonts w:ascii="Verdana" w:hAnsi="Verdana"/>
          <w:sz w:val="20"/>
          <w:szCs w:val="20"/>
          <w:lang w:val="en-US"/>
        </w:rPr>
        <w:t>i</w:t>
      </w:r>
      <w:r w:rsidR="007A21DE" w:rsidRPr="00D869E3">
        <w:rPr>
          <w:rFonts w:ascii="Verdana" w:hAnsi="Verdana"/>
          <w:sz w:val="20"/>
          <w:szCs w:val="20"/>
          <w:lang w:val="en-US"/>
        </w:rPr>
        <w:t>i</w:t>
      </w:r>
      <w:r w:rsidR="00C81E7D" w:rsidRPr="00D869E3">
        <w:rPr>
          <w:rFonts w:ascii="Verdana" w:hAnsi="Verdana"/>
          <w:sz w:val="20"/>
          <w:szCs w:val="20"/>
          <w:lang w:val="en-US"/>
        </w:rPr>
        <w:t>) l</w:t>
      </w:r>
      <w:r w:rsidR="00C01305" w:rsidRPr="00D869E3">
        <w:rPr>
          <w:rFonts w:ascii="Verdana" w:hAnsi="Verdana"/>
          <w:sz w:val="20"/>
          <w:szCs w:val="20"/>
          <w:lang w:val="en-US"/>
        </w:rPr>
        <w:t>egali</w:t>
      </w:r>
      <w:r w:rsidR="00CA352C" w:rsidRPr="00D869E3">
        <w:rPr>
          <w:rFonts w:ascii="Verdana" w:hAnsi="Verdana"/>
          <w:sz w:val="20"/>
          <w:szCs w:val="20"/>
          <w:lang w:val="en-US"/>
        </w:rPr>
        <w:t xml:space="preserve">ty and purpose, and (iii) necessity and obligation to </w:t>
      </w:r>
      <w:r w:rsidR="0015138B" w:rsidRPr="00D869E3">
        <w:rPr>
          <w:rFonts w:ascii="Verdana" w:hAnsi="Verdana"/>
          <w:sz w:val="20"/>
          <w:szCs w:val="20"/>
          <w:lang w:val="en-US"/>
        </w:rPr>
        <w:t>state reasons</w:t>
      </w:r>
      <w:r w:rsidR="00CA352C" w:rsidRPr="00D869E3">
        <w:rPr>
          <w:rFonts w:ascii="Verdana" w:hAnsi="Verdana"/>
          <w:sz w:val="20"/>
          <w:szCs w:val="20"/>
          <w:lang w:val="en-US"/>
        </w:rPr>
        <w:t>.</w:t>
      </w:r>
      <w:r w:rsidR="00C01305" w:rsidRPr="00D869E3">
        <w:rPr>
          <w:rFonts w:ascii="Verdana" w:hAnsi="Verdana"/>
          <w:sz w:val="20"/>
          <w:szCs w:val="20"/>
          <w:vertAlign w:val="superscript"/>
          <w:lang w:val="en-US"/>
        </w:rPr>
        <w:footnoteReference w:id="136"/>
      </w:r>
      <w:r w:rsidR="00C01305" w:rsidRPr="00D869E3">
        <w:rPr>
          <w:rFonts w:ascii="Verdana" w:hAnsi="Verdana"/>
          <w:sz w:val="20"/>
          <w:szCs w:val="20"/>
          <w:lang w:val="en-US"/>
        </w:rPr>
        <w:t xml:space="preserve"> </w:t>
      </w:r>
    </w:p>
    <w:p w14:paraId="07F8F606" w14:textId="77777777" w:rsidR="00C01305" w:rsidRPr="00D869E3" w:rsidRDefault="00C01305" w:rsidP="00C01305">
      <w:pPr>
        <w:ind w:left="720"/>
        <w:contextualSpacing/>
        <w:rPr>
          <w:rFonts w:ascii="Verdana" w:hAnsi="Verdana"/>
          <w:sz w:val="20"/>
          <w:szCs w:val="20"/>
          <w:lang w:val="en-US"/>
        </w:rPr>
      </w:pPr>
    </w:p>
    <w:p w14:paraId="380ED213" w14:textId="138FDE41" w:rsidR="007A21DE" w:rsidRPr="00D869E3" w:rsidRDefault="00897912" w:rsidP="005B3D37">
      <w:pPr>
        <w:pStyle w:val="Ttulo3"/>
        <w:ind w:left="360"/>
        <w:rPr>
          <w:i/>
          <w:lang w:val="en-US"/>
        </w:rPr>
      </w:pPr>
      <w:bookmarkStart w:id="45" w:name="_Toc29114134"/>
      <w:r w:rsidRPr="00D869E3">
        <w:rPr>
          <w:i/>
          <w:lang w:val="en-US"/>
        </w:rPr>
        <w:t xml:space="preserve">1.2.1 </w:t>
      </w:r>
      <w:r w:rsidR="00CA352C" w:rsidRPr="00D869E3">
        <w:rPr>
          <w:i/>
          <w:lang w:val="en-US"/>
        </w:rPr>
        <w:t xml:space="preserve">Classification </w:t>
      </w:r>
      <w:r w:rsidR="0015138B" w:rsidRPr="00D869E3">
        <w:rPr>
          <w:i/>
          <w:lang w:val="en-US"/>
        </w:rPr>
        <w:t>of Mr. Lagos del Campo’s statements</w:t>
      </w:r>
      <w:bookmarkEnd w:id="45"/>
    </w:p>
    <w:p w14:paraId="2B9DF720" w14:textId="77777777" w:rsidR="007A21DE" w:rsidRPr="00D869E3" w:rsidRDefault="007A21DE" w:rsidP="00604459">
      <w:pPr>
        <w:pStyle w:val="Ttulo3"/>
        <w:ind w:left="720"/>
        <w:rPr>
          <w:rFonts w:eastAsia="Times New Roman"/>
          <w:i/>
          <w:lang w:val="en-US"/>
        </w:rPr>
      </w:pPr>
    </w:p>
    <w:p w14:paraId="661E4065" w14:textId="15790556" w:rsidR="007A21DE" w:rsidRPr="00D869E3" w:rsidRDefault="00447C65" w:rsidP="00E66DD7">
      <w:pPr>
        <w:numPr>
          <w:ilvl w:val="0"/>
          <w:numId w:val="1"/>
        </w:numPr>
        <w:ind w:left="0" w:firstLine="0"/>
        <w:contextualSpacing/>
        <w:jc w:val="both"/>
        <w:rPr>
          <w:rFonts w:ascii="Verdana" w:hAnsi="Verdana"/>
          <w:sz w:val="20"/>
          <w:szCs w:val="20"/>
          <w:lang w:val="en-US"/>
        </w:rPr>
      </w:pPr>
      <w:r w:rsidRPr="00D869E3">
        <w:rPr>
          <w:rFonts w:ascii="Verdana" w:hAnsi="Verdana"/>
          <w:sz w:val="20"/>
          <w:szCs w:val="20"/>
          <w:lang w:val="en-US"/>
        </w:rPr>
        <w:t>The Court</w:t>
      </w:r>
      <w:r w:rsidR="007A21DE" w:rsidRPr="00D869E3">
        <w:rPr>
          <w:rFonts w:ascii="Verdana" w:hAnsi="Verdana"/>
          <w:sz w:val="20"/>
          <w:szCs w:val="20"/>
          <w:lang w:val="en-US"/>
        </w:rPr>
        <w:t xml:space="preserve"> </w:t>
      </w:r>
      <w:r w:rsidR="008303A0" w:rsidRPr="00D869E3">
        <w:rPr>
          <w:rFonts w:ascii="Verdana" w:hAnsi="Verdana"/>
          <w:sz w:val="20"/>
          <w:szCs w:val="20"/>
          <w:lang w:val="en-US"/>
        </w:rPr>
        <w:t>finds</w:t>
      </w:r>
      <w:r w:rsidR="00CA352C" w:rsidRPr="00D869E3">
        <w:rPr>
          <w:rFonts w:ascii="Verdana" w:hAnsi="Verdana"/>
          <w:sz w:val="20"/>
          <w:szCs w:val="20"/>
          <w:lang w:val="en-US"/>
        </w:rPr>
        <w:t xml:space="preserve"> it necessary to determine</w:t>
      </w:r>
      <w:r w:rsidR="003F7516" w:rsidRPr="00D869E3">
        <w:rPr>
          <w:rFonts w:ascii="Verdana" w:hAnsi="Verdana"/>
          <w:sz w:val="20"/>
          <w:szCs w:val="20"/>
          <w:lang w:val="en-US"/>
        </w:rPr>
        <w:t>:</w:t>
      </w:r>
      <w:r w:rsidR="00CA352C" w:rsidRPr="00D869E3">
        <w:rPr>
          <w:rFonts w:ascii="Verdana" w:hAnsi="Verdana"/>
          <w:sz w:val="20"/>
          <w:szCs w:val="20"/>
          <w:lang w:val="en-US"/>
        </w:rPr>
        <w:t xml:space="preserve"> </w:t>
      </w:r>
      <w:r w:rsidR="003F7516" w:rsidRPr="00D869E3">
        <w:rPr>
          <w:rFonts w:ascii="Verdana" w:hAnsi="Verdana"/>
          <w:sz w:val="20"/>
          <w:szCs w:val="20"/>
          <w:lang w:val="en-US"/>
        </w:rPr>
        <w:t xml:space="preserve">(a) </w:t>
      </w:r>
      <w:r w:rsidR="00CA352C" w:rsidRPr="00D869E3">
        <w:rPr>
          <w:rFonts w:ascii="Verdana" w:hAnsi="Verdana"/>
          <w:sz w:val="20"/>
          <w:szCs w:val="20"/>
          <w:lang w:val="en-US"/>
        </w:rPr>
        <w:t xml:space="preserve">whether </w:t>
      </w:r>
      <w:r w:rsidR="00E6309B" w:rsidRPr="00D869E3">
        <w:rPr>
          <w:rFonts w:ascii="Verdana" w:hAnsi="Verdana"/>
          <w:sz w:val="20"/>
          <w:szCs w:val="20"/>
          <w:lang w:val="en-US"/>
        </w:rPr>
        <w:t>Mr.</w:t>
      </w:r>
      <w:r w:rsidR="001E44D3" w:rsidRPr="00D869E3">
        <w:rPr>
          <w:rFonts w:ascii="Verdana" w:hAnsi="Verdana"/>
          <w:sz w:val="20"/>
          <w:szCs w:val="20"/>
          <w:lang w:val="en-US"/>
        </w:rPr>
        <w:t xml:space="preserve"> Lagos del Campo</w:t>
      </w:r>
      <w:r w:rsidR="00CA352C" w:rsidRPr="00D869E3">
        <w:rPr>
          <w:rFonts w:ascii="Verdana" w:hAnsi="Verdana"/>
          <w:sz w:val="20"/>
          <w:szCs w:val="20"/>
          <w:lang w:val="en-US"/>
        </w:rPr>
        <w:t>’s statement</w:t>
      </w:r>
      <w:r w:rsidR="008303A0" w:rsidRPr="00D869E3">
        <w:rPr>
          <w:rFonts w:ascii="Verdana" w:hAnsi="Verdana"/>
          <w:sz w:val="20"/>
          <w:szCs w:val="20"/>
          <w:lang w:val="en-US"/>
        </w:rPr>
        <w:t>s</w:t>
      </w:r>
      <w:r w:rsidR="00CA352C" w:rsidRPr="00D869E3">
        <w:rPr>
          <w:rFonts w:ascii="Verdana" w:hAnsi="Verdana"/>
          <w:sz w:val="20"/>
          <w:szCs w:val="20"/>
          <w:lang w:val="en-US"/>
        </w:rPr>
        <w:t xml:space="preserve"> w</w:t>
      </w:r>
      <w:r w:rsidR="008303A0" w:rsidRPr="00D869E3">
        <w:rPr>
          <w:rFonts w:ascii="Verdana" w:hAnsi="Verdana"/>
          <w:sz w:val="20"/>
          <w:szCs w:val="20"/>
          <w:lang w:val="en-US"/>
        </w:rPr>
        <w:t>ere</w:t>
      </w:r>
      <w:r w:rsidR="00CA352C" w:rsidRPr="00D869E3">
        <w:rPr>
          <w:rFonts w:ascii="Verdana" w:hAnsi="Verdana"/>
          <w:sz w:val="20"/>
          <w:szCs w:val="20"/>
          <w:lang w:val="en-US"/>
        </w:rPr>
        <w:t xml:space="preserve"> given in his capacity as the workers’ representative</w:t>
      </w:r>
      <w:r w:rsidR="007A21DE" w:rsidRPr="00D869E3">
        <w:rPr>
          <w:rFonts w:ascii="Verdana" w:hAnsi="Verdana"/>
          <w:sz w:val="20"/>
          <w:szCs w:val="20"/>
          <w:lang w:val="en-US"/>
        </w:rPr>
        <w:t xml:space="preserve"> (</w:t>
      </w:r>
      <w:r w:rsidR="00224537" w:rsidRPr="00D869E3">
        <w:rPr>
          <w:rFonts w:ascii="Verdana" w:hAnsi="Verdana"/>
          <w:i/>
          <w:sz w:val="20"/>
          <w:szCs w:val="20"/>
          <w:lang w:val="en-US"/>
        </w:rPr>
        <w:t>supra</w:t>
      </w:r>
      <w:r w:rsidR="007A21DE" w:rsidRPr="00D869E3">
        <w:rPr>
          <w:rFonts w:ascii="Verdana" w:hAnsi="Verdana"/>
          <w:sz w:val="20"/>
          <w:szCs w:val="20"/>
          <w:lang w:val="en-US"/>
        </w:rPr>
        <w:t xml:space="preserve">, </w:t>
      </w:r>
      <w:r w:rsidR="0087339F" w:rsidRPr="00D869E3">
        <w:rPr>
          <w:rFonts w:ascii="Verdana" w:hAnsi="Verdana"/>
          <w:sz w:val="20"/>
          <w:szCs w:val="20"/>
          <w:lang w:val="en-US"/>
        </w:rPr>
        <w:t>para.</w:t>
      </w:r>
      <w:r w:rsidR="007A21DE" w:rsidRPr="00D869E3">
        <w:rPr>
          <w:rFonts w:ascii="Verdana" w:hAnsi="Verdana"/>
          <w:sz w:val="20"/>
          <w:szCs w:val="20"/>
          <w:lang w:val="en-US"/>
        </w:rPr>
        <w:t xml:space="preserve"> </w:t>
      </w:r>
      <w:r w:rsidR="00F8746C" w:rsidRPr="00D869E3">
        <w:rPr>
          <w:rFonts w:ascii="Verdana" w:hAnsi="Verdana"/>
          <w:sz w:val="20"/>
          <w:szCs w:val="20"/>
          <w:lang w:val="en-US"/>
        </w:rPr>
        <w:t>96</w:t>
      </w:r>
      <w:r w:rsidR="007A21DE" w:rsidRPr="00D869E3">
        <w:rPr>
          <w:rFonts w:ascii="Verdana" w:hAnsi="Verdana"/>
          <w:sz w:val="20"/>
          <w:szCs w:val="20"/>
          <w:lang w:val="en-US"/>
        </w:rPr>
        <w:t>)</w:t>
      </w:r>
      <w:r w:rsidR="003F7516" w:rsidRPr="00D869E3">
        <w:rPr>
          <w:rFonts w:ascii="Verdana" w:hAnsi="Verdana"/>
          <w:sz w:val="20"/>
          <w:szCs w:val="20"/>
          <w:lang w:val="en-US"/>
        </w:rPr>
        <w:t>;</w:t>
      </w:r>
      <w:r w:rsidR="007A21DE" w:rsidRPr="00D869E3">
        <w:rPr>
          <w:rFonts w:ascii="Verdana" w:hAnsi="Verdana"/>
          <w:sz w:val="20"/>
          <w:szCs w:val="20"/>
          <w:lang w:val="en-US"/>
        </w:rPr>
        <w:t xml:space="preserve"> </w:t>
      </w:r>
      <w:r w:rsidR="00CA352C" w:rsidRPr="00D869E3">
        <w:rPr>
          <w:rFonts w:ascii="Verdana" w:hAnsi="Verdana"/>
          <w:sz w:val="20"/>
          <w:szCs w:val="20"/>
          <w:lang w:val="en-US"/>
        </w:rPr>
        <w:t>(</w:t>
      </w:r>
      <w:r w:rsidR="007A21DE" w:rsidRPr="00D869E3">
        <w:rPr>
          <w:rFonts w:ascii="Verdana" w:hAnsi="Verdana"/>
          <w:sz w:val="20"/>
          <w:szCs w:val="20"/>
          <w:lang w:val="en-US"/>
        </w:rPr>
        <w:t xml:space="preserve">b) </w:t>
      </w:r>
      <w:r w:rsidR="003F7516" w:rsidRPr="00D869E3">
        <w:rPr>
          <w:rFonts w:ascii="Verdana" w:hAnsi="Verdana"/>
          <w:sz w:val="20"/>
          <w:szCs w:val="20"/>
          <w:lang w:val="en-US"/>
        </w:rPr>
        <w:t xml:space="preserve">whether they </w:t>
      </w:r>
      <w:r w:rsidR="00CA352C" w:rsidRPr="00D869E3">
        <w:rPr>
          <w:rFonts w:ascii="Verdana" w:hAnsi="Verdana"/>
          <w:sz w:val="20"/>
          <w:szCs w:val="20"/>
          <w:lang w:val="en-US"/>
        </w:rPr>
        <w:t>w</w:t>
      </w:r>
      <w:r w:rsidR="008303A0" w:rsidRPr="00D869E3">
        <w:rPr>
          <w:rFonts w:ascii="Verdana" w:hAnsi="Verdana"/>
          <w:sz w:val="20"/>
          <w:szCs w:val="20"/>
          <w:lang w:val="en-US"/>
        </w:rPr>
        <w:t>ere</w:t>
      </w:r>
      <w:r w:rsidR="00CA352C" w:rsidRPr="00D869E3">
        <w:rPr>
          <w:rFonts w:ascii="Verdana" w:hAnsi="Verdana"/>
          <w:sz w:val="20"/>
          <w:szCs w:val="20"/>
          <w:lang w:val="en-US"/>
        </w:rPr>
        <w:t xml:space="preserve"> of public interest, and (c) the </w:t>
      </w:r>
      <w:r w:rsidR="003F7516" w:rsidRPr="00D869E3">
        <w:rPr>
          <w:rFonts w:ascii="Verdana" w:hAnsi="Verdana"/>
          <w:sz w:val="20"/>
          <w:szCs w:val="20"/>
          <w:lang w:val="en-US"/>
        </w:rPr>
        <w:t xml:space="preserve">significance </w:t>
      </w:r>
      <w:r w:rsidR="00CA352C" w:rsidRPr="00D869E3">
        <w:rPr>
          <w:rFonts w:ascii="Verdana" w:hAnsi="Verdana"/>
          <w:sz w:val="20"/>
          <w:szCs w:val="20"/>
          <w:lang w:val="en-US"/>
        </w:rPr>
        <w:t>of his statements</w:t>
      </w:r>
      <w:r w:rsidR="007A21DE" w:rsidRPr="00D869E3">
        <w:rPr>
          <w:rFonts w:ascii="Verdana" w:hAnsi="Verdana"/>
          <w:sz w:val="20"/>
          <w:szCs w:val="20"/>
          <w:lang w:val="en-US"/>
        </w:rPr>
        <w:t xml:space="preserve">. </w:t>
      </w:r>
    </w:p>
    <w:p w14:paraId="31993E41" w14:textId="77777777" w:rsidR="007A21DE" w:rsidRPr="00D869E3" w:rsidRDefault="007A21DE" w:rsidP="007A21DE">
      <w:pPr>
        <w:contextualSpacing/>
        <w:jc w:val="both"/>
        <w:rPr>
          <w:rFonts w:ascii="Verdana" w:hAnsi="Verdana"/>
          <w:sz w:val="20"/>
          <w:szCs w:val="20"/>
          <w:lang w:val="en-US"/>
        </w:rPr>
      </w:pPr>
    </w:p>
    <w:p w14:paraId="55D4A522" w14:textId="228EA26D" w:rsidR="00CA352C" w:rsidRPr="00D869E3" w:rsidRDefault="00CA352C" w:rsidP="00F84D64">
      <w:pPr>
        <w:numPr>
          <w:ilvl w:val="0"/>
          <w:numId w:val="1"/>
        </w:numPr>
        <w:ind w:left="0" w:firstLine="0"/>
        <w:contextualSpacing/>
        <w:jc w:val="both"/>
        <w:rPr>
          <w:rFonts w:ascii="Verdana" w:hAnsi="Verdana"/>
          <w:sz w:val="20"/>
          <w:szCs w:val="20"/>
          <w:lang w:val="en-US"/>
        </w:rPr>
      </w:pPr>
      <w:r w:rsidRPr="00D869E3">
        <w:rPr>
          <w:rFonts w:ascii="Verdana" w:hAnsi="Verdana"/>
          <w:sz w:val="20"/>
          <w:szCs w:val="20"/>
          <w:lang w:val="en-US"/>
        </w:rPr>
        <w:t xml:space="preserve">First, regarding </w:t>
      </w:r>
      <w:r w:rsidR="003F7516" w:rsidRPr="00D869E3">
        <w:rPr>
          <w:rFonts w:ascii="Verdana" w:hAnsi="Verdana"/>
          <w:sz w:val="20"/>
          <w:szCs w:val="20"/>
          <w:lang w:val="en-US"/>
        </w:rPr>
        <w:t xml:space="preserve">the </w:t>
      </w:r>
      <w:r w:rsidRPr="00D869E3">
        <w:rPr>
          <w:rFonts w:ascii="Verdana" w:hAnsi="Verdana"/>
          <w:sz w:val="20"/>
          <w:szCs w:val="20"/>
          <w:lang w:val="en-US"/>
        </w:rPr>
        <w:t>representation</w:t>
      </w:r>
      <w:r w:rsidR="00F84D64" w:rsidRPr="00D869E3">
        <w:rPr>
          <w:rFonts w:ascii="Verdana" w:hAnsi="Verdana"/>
          <w:sz w:val="20"/>
          <w:szCs w:val="20"/>
          <w:lang w:val="en-US"/>
        </w:rPr>
        <w:t xml:space="preserve"> exercised by Mr. Lagos del Campo</w:t>
      </w:r>
      <w:r w:rsidRPr="00D869E3">
        <w:rPr>
          <w:rFonts w:ascii="Verdana" w:hAnsi="Verdana"/>
          <w:sz w:val="20"/>
          <w:szCs w:val="20"/>
          <w:lang w:val="en-US"/>
        </w:rPr>
        <w:t xml:space="preserve">, the Court observes – </w:t>
      </w:r>
      <w:r w:rsidR="004F3F27" w:rsidRPr="00D869E3">
        <w:rPr>
          <w:rFonts w:ascii="Verdana" w:hAnsi="Verdana"/>
          <w:sz w:val="20"/>
          <w:szCs w:val="20"/>
          <w:lang w:val="en-US"/>
        </w:rPr>
        <w:t>based on</w:t>
      </w:r>
      <w:r w:rsidRPr="00D869E3">
        <w:rPr>
          <w:rFonts w:ascii="Verdana" w:hAnsi="Verdana"/>
          <w:sz w:val="20"/>
          <w:szCs w:val="20"/>
          <w:lang w:val="en-US"/>
        </w:rPr>
        <w:t xml:space="preserve"> the principle of immediacy – in the very first </w:t>
      </w:r>
      <w:r w:rsidR="00D77CB3" w:rsidRPr="00D869E3">
        <w:rPr>
          <w:rFonts w:ascii="Verdana" w:hAnsi="Verdana"/>
          <w:sz w:val="20"/>
          <w:szCs w:val="20"/>
          <w:lang w:val="en-US"/>
        </w:rPr>
        <w:t xml:space="preserve">exculpatory </w:t>
      </w:r>
      <w:r w:rsidR="00D470B2" w:rsidRPr="00D869E3">
        <w:rPr>
          <w:rFonts w:ascii="Verdana" w:hAnsi="Verdana"/>
          <w:sz w:val="20"/>
          <w:szCs w:val="20"/>
          <w:lang w:val="en-US"/>
        </w:rPr>
        <w:t>letter</w:t>
      </w:r>
      <w:r w:rsidRPr="00D869E3">
        <w:rPr>
          <w:rFonts w:ascii="Verdana" w:hAnsi="Verdana"/>
          <w:sz w:val="20"/>
          <w:szCs w:val="20"/>
          <w:lang w:val="en-US"/>
        </w:rPr>
        <w:t xml:space="preserve"> that Mr. Lagos del Campo submitted to the company, he specified that the statements: </w:t>
      </w:r>
    </w:p>
    <w:p w14:paraId="22A0FF24" w14:textId="77777777" w:rsidR="007A21DE" w:rsidRPr="00D869E3" w:rsidRDefault="007A21DE" w:rsidP="007A21DE">
      <w:pPr>
        <w:ind w:left="720"/>
        <w:contextualSpacing/>
        <w:rPr>
          <w:rFonts w:ascii="Verdana" w:hAnsi="Verdana"/>
          <w:sz w:val="20"/>
          <w:szCs w:val="20"/>
          <w:lang w:val="en-US"/>
        </w:rPr>
      </w:pPr>
    </w:p>
    <w:p w14:paraId="1568DEEC" w14:textId="243B106A" w:rsidR="007A21DE" w:rsidRPr="00D869E3" w:rsidRDefault="006436CA" w:rsidP="004F3F27">
      <w:pPr>
        <w:ind w:left="284" w:right="476"/>
        <w:contextualSpacing/>
        <w:jc w:val="both"/>
        <w:rPr>
          <w:rFonts w:ascii="Verdana" w:hAnsi="Verdana"/>
          <w:sz w:val="18"/>
          <w:szCs w:val="18"/>
          <w:lang w:val="en-US"/>
        </w:rPr>
      </w:pPr>
      <w:r w:rsidRPr="00D869E3">
        <w:rPr>
          <w:rFonts w:ascii="Verdana" w:hAnsi="Verdana"/>
          <w:sz w:val="18"/>
          <w:szCs w:val="20"/>
          <w:lang w:val="en-US"/>
        </w:rPr>
        <w:t>“</w:t>
      </w:r>
      <w:r w:rsidR="00F84D64" w:rsidRPr="00D869E3">
        <w:rPr>
          <w:rFonts w:ascii="Verdana" w:hAnsi="Verdana"/>
          <w:sz w:val="18"/>
          <w:szCs w:val="20"/>
          <w:lang w:val="en-US"/>
        </w:rPr>
        <w:t xml:space="preserve">were given in [his] capacity as </w:t>
      </w:r>
      <w:r w:rsidR="001B0492" w:rsidRPr="00D869E3">
        <w:rPr>
          <w:rFonts w:ascii="Verdana" w:hAnsi="Verdana"/>
          <w:sz w:val="18"/>
          <w:szCs w:val="20"/>
          <w:lang w:val="en-US"/>
        </w:rPr>
        <w:t>president of the Electoral</w:t>
      </w:r>
      <w:r w:rsidR="00EA232B" w:rsidRPr="00D869E3">
        <w:rPr>
          <w:rFonts w:ascii="Verdana" w:hAnsi="Verdana"/>
          <w:sz w:val="18"/>
          <w:szCs w:val="20"/>
          <w:lang w:val="en-US"/>
        </w:rPr>
        <w:t xml:space="preserve"> Committee of the</w:t>
      </w:r>
      <w:r w:rsidR="004F3F27" w:rsidRPr="00D869E3">
        <w:rPr>
          <w:rFonts w:ascii="Verdana" w:hAnsi="Verdana"/>
          <w:sz w:val="18"/>
          <w:szCs w:val="20"/>
          <w:lang w:val="en-US"/>
        </w:rPr>
        <w:t xml:space="preserve"> CEPER</w:t>
      </w:r>
      <w:r w:rsidR="00EA232B" w:rsidRPr="00D869E3">
        <w:rPr>
          <w:rFonts w:ascii="Verdana" w:hAnsi="Verdana"/>
          <w:sz w:val="18"/>
          <w:szCs w:val="20"/>
          <w:lang w:val="en-US"/>
        </w:rPr>
        <w:t xml:space="preserve"> Industrial Community</w:t>
      </w:r>
      <w:r w:rsidR="007A21DE" w:rsidRPr="00D869E3">
        <w:rPr>
          <w:rFonts w:ascii="Verdana" w:hAnsi="Verdana"/>
          <w:sz w:val="18"/>
          <w:szCs w:val="20"/>
          <w:lang w:val="en-US"/>
        </w:rPr>
        <w:t xml:space="preserve">, </w:t>
      </w:r>
      <w:r w:rsidR="00F84D64" w:rsidRPr="00D869E3">
        <w:rPr>
          <w:rFonts w:ascii="Verdana" w:hAnsi="Verdana"/>
          <w:sz w:val="18"/>
          <w:szCs w:val="20"/>
          <w:lang w:val="en-US"/>
        </w:rPr>
        <w:t xml:space="preserve">as they were directly and exclusively related to internal matters of an interest to the Community, such as the </w:t>
      </w:r>
      <w:r w:rsidR="00F84D64" w:rsidRPr="00D869E3">
        <w:rPr>
          <w:rFonts w:ascii="Verdana" w:hAnsi="Verdana"/>
          <w:sz w:val="18"/>
          <w:szCs w:val="18"/>
          <w:lang w:val="en-US"/>
        </w:rPr>
        <w:t xml:space="preserve">irregularities in the electoral process […] that, </w:t>
      </w:r>
      <w:r w:rsidR="004F3F27" w:rsidRPr="00D869E3">
        <w:rPr>
          <w:rFonts w:ascii="Verdana" w:hAnsi="Verdana"/>
          <w:sz w:val="18"/>
          <w:szCs w:val="18"/>
          <w:lang w:val="en-US"/>
        </w:rPr>
        <w:t>in any case</w:t>
      </w:r>
      <w:r w:rsidR="00F84D64" w:rsidRPr="00D869E3">
        <w:rPr>
          <w:rFonts w:ascii="Verdana" w:hAnsi="Verdana"/>
          <w:sz w:val="18"/>
          <w:szCs w:val="18"/>
          <w:lang w:val="en-US"/>
        </w:rPr>
        <w:t>, had been denounced by the members of the Community themselves</w:t>
      </w:r>
      <w:r w:rsidR="004F3F27" w:rsidRPr="00D869E3">
        <w:rPr>
          <w:rFonts w:ascii="Verdana" w:hAnsi="Verdana"/>
          <w:sz w:val="18"/>
          <w:szCs w:val="18"/>
          <w:lang w:val="en-US"/>
        </w:rPr>
        <w:t>,</w:t>
      </w:r>
      <w:r w:rsidR="00F84D64" w:rsidRPr="00D869E3">
        <w:rPr>
          <w:rFonts w:ascii="Verdana" w:hAnsi="Verdana"/>
          <w:sz w:val="18"/>
          <w:szCs w:val="18"/>
          <w:lang w:val="en-US"/>
        </w:rPr>
        <w:t xml:space="preserve"> and that had been verified by the </w:t>
      </w:r>
      <w:r w:rsidR="00EC2233" w:rsidRPr="00D869E3">
        <w:rPr>
          <w:rFonts w:ascii="Verdana" w:hAnsi="Verdana"/>
          <w:sz w:val="18"/>
          <w:szCs w:val="18"/>
          <w:lang w:val="en-US"/>
        </w:rPr>
        <w:t>Participation Directorate</w:t>
      </w:r>
      <w:r w:rsidR="007A21DE" w:rsidRPr="00D869E3">
        <w:rPr>
          <w:rFonts w:ascii="Verdana" w:hAnsi="Verdana"/>
          <w:sz w:val="18"/>
          <w:szCs w:val="18"/>
          <w:lang w:val="en-US"/>
        </w:rPr>
        <w:t xml:space="preserve"> </w:t>
      </w:r>
      <w:r w:rsidR="004D704D" w:rsidRPr="00D869E3">
        <w:rPr>
          <w:rFonts w:ascii="Verdana" w:hAnsi="Verdana"/>
          <w:sz w:val="18"/>
          <w:szCs w:val="18"/>
          <w:lang w:val="en-US"/>
        </w:rPr>
        <w:t>of the Ministry</w:t>
      </w:r>
      <w:r w:rsidR="00F43C5F" w:rsidRPr="00D869E3">
        <w:rPr>
          <w:rFonts w:ascii="Verdana" w:hAnsi="Verdana"/>
          <w:sz w:val="18"/>
          <w:szCs w:val="18"/>
          <w:lang w:val="en-US"/>
        </w:rPr>
        <w:t xml:space="preserve"> of Industry</w:t>
      </w:r>
      <w:r w:rsidR="00F84D64" w:rsidRPr="00D869E3">
        <w:rPr>
          <w:rFonts w:ascii="Verdana" w:hAnsi="Verdana"/>
          <w:sz w:val="18"/>
          <w:szCs w:val="18"/>
          <w:lang w:val="en-US"/>
        </w:rPr>
        <w:t>.</w:t>
      </w:r>
      <w:r w:rsidRPr="00D869E3">
        <w:rPr>
          <w:rFonts w:ascii="Verdana" w:hAnsi="Verdana"/>
          <w:sz w:val="18"/>
          <w:szCs w:val="18"/>
          <w:lang w:val="en-US"/>
        </w:rPr>
        <w:t>”</w:t>
      </w:r>
      <w:r w:rsidR="007A21DE" w:rsidRPr="00D869E3">
        <w:rPr>
          <w:rFonts w:ascii="Verdana" w:hAnsi="Verdana"/>
          <w:sz w:val="18"/>
          <w:szCs w:val="18"/>
          <w:vertAlign w:val="superscript"/>
          <w:lang w:val="en-US"/>
        </w:rPr>
        <w:footnoteReference w:id="137"/>
      </w:r>
    </w:p>
    <w:p w14:paraId="733CCB37" w14:textId="77777777" w:rsidR="007A21DE" w:rsidRPr="00D869E3" w:rsidRDefault="007A21DE" w:rsidP="007A21DE">
      <w:pPr>
        <w:contextualSpacing/>
        <w:jc w:val="both"/>
        <w:rPr>
          <w:rFonts w:ascii="Verdana" w:hAnsi="Verdana"/>
          <w:sz w:val="20"/>
          <w:szCs w:val="20"/>
          <w:lang w:val="en-US"/>
        </w:rPr>
      </w:pPr>
    </w:p>
    <w:p w14:paraId="7E4CE1C1" w14:textId="33A81AC4" w:rsidR="007A21DE" w:rsidRPr="00D869E3" w:rsidRDefault="007E39F5" w:rsidP="00F84D64">
      <w:pPr>
        <w:numPr>
          <w:ilvl w:val="0"/>
          <w:numId w:val="1"/>
        </w:numPr>
        <w:ind w:left="0" w:firstLine="0"/>
        <w:contextualSpacing/>
        <w:jc w:val="both"/>
        <w:rPr>
          <w:rFonts w:ascii="Verdana" w:hAnsi="Verdana"/>
          <w:sz w:val="20"/>
          <w:lang w:val="en-US"/>
        </w:rPr>
      </w:pPr>
      <w:r w:rsidRPr="00D869E3">
        <w:rPr>
          <w:rFonts w:ascii="Verdana" w:hAnsi="Verdana"/>
          <w:sz w:val="20"/>
          <w:szCs w:val="20"/>
          <w:lang w:val="en-US"/>
        </w:rPr>
        <w:t>A</w:t>
      </w:r>
      <w:r w:rsidR="00F84D64" w:rsidRPr="00D869E3">
        <w:rPr>
          <w:rFonts w:ascii="Verdana" w:hAnsi="Verdana"/>
          <w:sz w:val="20"/>
          <w:szCs w:val="20"/>
          <w:lang w:val="en-US"/>
        </w:rPr>
        <w:t>lso, from the body of evidence, the Court finds that: (</w:t>
      </w:r>
      <w:r w:rsidR="00B32EB0" w:rsidRPr="00D869E3">
        <w:rPr>
          <w:rFonts w:ascii="Verdana" w:hAnsi="Verdana"/>
          <w:sz w:val="20"/>
          <w:szCs w:val="20"/>
          <w:lang w:val="en-US"/>
        </w:rPr>
        <w:t xml:space="preserve">i) </w:t>
      </w:r>
      <w:r w:rsidR="004F3F27" w:rsidRPr="00D869E3">
        <w:rPr>
          <w:rFonts w:ascii="Verdana" w:hAnsi="Verdana"/>
          <w:sz w:val="20"/>
          <w:szCs w:val="20"/>
          <w:lang w:val="en-US"/>
        </w:rPr>
        <w:t xml:space="preserve">since </w:t>
      </w:r>
      <w:r w:rsidR="001E44D3" w:rsidRPr="00D869E3">
        <w:rPr>
          <w:rFonts w:ascii="Verdana" w:hAnsi="Verdana"/>
          <w:sz w:val="20"/>
          <w:szCs w:val="20"/>
          <w:lang w:val="en-US"/>
        </w:rPr>
        <w:t>Mr. Lagos del Campo</w:t>
      </w:r>
      <w:r w:rsidR="00F84D64" w:rsidRPr="00D869E3">
        <w:rPr>
          <w:rFonts w:ascii="Verdana" w:hAnsi="Verdana"/>
          <w:sz w:val="20"/>
          <w:szCs w:val="20"/>
          <w:lang w:val="en-US"/>
        </w:rPr>
        <w:t xml:space="preserve"> </w:t>
      </w:r>
      <w:r w:rsidR="004F3F27" w:rsidRPr="00D869E3">
        <w:rPr>
          <w:rFonts w:ascii="Verdana" w:hAnsi="Verdana"/>
          <w:sz w:val="20"/>
          <w:szCs w:val="20"/>
          <w:lang w:val="en-US"/>
        </w:rPr>
        <w:t xml:space="preserve">was </w:t>
      </w:r>
      <w:r w:rsidR="001B0492" w:rsidRPr="00D869E3">
        <w:rPr>
          <w:rFonts w:ascii="Verdana" w:hAnsi="Verdana"/>
          <w:sz w:val="20"/>
          <w:szCs w:val="20"/>
          <w:lang w:val="en-US"/>
        </w:rPr>
        <w:t>president of the Electoral</w:t>
      </w:r>
      <w:r w:rsidR="00EA232B" w:rsidRPr="00D869E3">
        <w:rPr>
          <w:rFonts w:ascii="Verdana" w:hAnsi="Verdana"/>
          <w:sz w:val="20"/>
          <w:szCs w:val="20"/>
          <w:lang w:val="en-US"/>
        </w:rPr>
        <w:t xml:space="preserve"> Committee of the</w:t>
      </w:r>
      <w:r w:rsidR="00F84D64" w:rsidRPr="00D869E3">
        <w:rPr>
          <w:rFonts w:ascii="Verdana" w:hAnsi="Verdana"/>
          <w:sz w:val="20"/>
          <w:szCs w:val="20"/>
          <w:lang w:val="en-US"/>
        </w:rPr>
        <w:t xml:space="preserve"> company’s</w:t>
      </w:r>
      <w:r w:rsidR="00EA232B" w:rsidRPr="00D869E3">
        <w:rPr>
          <w:rFonts w:ascii="Verdana" w:hAnsi="Verdana"/>
          <w:sz w:val="20"/>
          <w:szCs w:val="20"/>
          <w:lang w:val="en-US"/>
        </w:rPr>
        <w:t xml:space="preserve"> Industrial Community</w:t>
      </w:r>
      <w:r w:rsidR="00B32EB0" w:rsidRPr="00D869E3">
        <w:rPr>
          <w:rFonts w:ascii="Verdana" w:hAnsi="Verdana"/>
          <w:sz w:val="20"/>
          <w:szCs w:val="20"/>
          <w:lang w:val="en-US"/>
        </w:rPr>
        <w:t xml:space="preserve">, </w:t>
      </w:r>
      <w:r w:rsidR="00F84D64" w:rsidRPr="00D869E3">
        <w:rPr>
          <w:rFonts w:ascii="Verdana" w:hAnsi="Verdana"/>
          <w:sz w:val="20"/>
          <w:szCs w:val="20"/>
          <w:lang w:val="en-US"/>
        </w:rPr>
        <w:t>a post to which h</w:t>
      </w:r>
      <w:r w:rsidR="004F3F27" w:rsidRPr="00D869E3">
        <w:rPr>
          <w:rFonts w:ascii="Verdana" w:hAnsi="Verdana"/>
          <w:sz w:val="20"/>
          <w:szCs w:val="20"/>
          <w:lang w:val="en-US"/>
        </w:rPr>
        <w:t>e</w:t>
      </w:r>
      <w:r w:rsidR="00F84D64" w:rsidRPr="00D869E3">
        <w:rPr>
          <w:rFonts w:ascii="Verdana" w:hAnsi="Verdana"/>
          <w:sz w:val="20"/>
          <w:szCs w:val="20"/>
          <w:lang w:val="en-US"/>
        </w:rPr>
        <w:t xml:space="preserve"> had been elected by </w:t>
      </w:r>
      <w:r w:rsidR="00F4667D" w:rsidRPr="00D869E3">
        <w:rPr>
          <w:rFonts w:ascii="Verdana" w:hAnsi="Verdana"/>
          <w:sz w:val="20"/>
          <w:szCs w:val="20"/>
          <w:lang w:val="en-US"/>
        </w:rPr>
        <w:t>the General Assembly</w:t>
      </w:r>
      <w:r w:rsidR="004F3F27" w:rsidRPr="00D869E3">
        <w:rPr>
          <w:rFonts w:ascii="Verdana" w:hAnsi="Verdana"/>
          <w:sz w:val="20"/>
          <w:szCs w:val="20"/>
          <w:lang w:val="en-US"/>
        </w:rPr>
        <w:t xml:space="preserve"> </w:t>
      </w:r>
      <w:r w:rsidR="00F84D64" w:rsidRPr="00D869E3">
        <w:rPr>
          <w:rFonts w:ascii="Verdana" w:hAnsi="Verdana"/>
          <w:sz w:val="20"/>
          <w:szCs w:val="20"/>
          <w:lang w:val="en-US"/>
        </w:rPr>
        <w:t xml:space="preserve">composed of all the members </w:t>
      </w:r>
      <w:r w:rsidR="00EA232B" w:rsidRPr="00D869E3">
        <w:rPr>
          <w:rFonts w:ascii="Verdana" w:hAnsi="Verdana"/>
          <w:sz w:val="20"/>
          <w:szCs w:val="20"/>
          <w:lang w:val="en-US"/>
        </w:rPr>
        <w:t>of the Industrial Community</w:t>
      </w:r>
      <w:r w:rsidR="00F84D64" w:rsidRPr="00D869E3">
        <w:rPr>
          <w:rFonts w:ascii="Verdana" w:hAnsi="Verdana"/>
          <w:sz w:val="20"/>
          <w:szCs w:val="20"/>
          <w:lang w:val="en-US"/>
        </w:rPr>
        <w:t xml:space="preserve"> – that is, by all the company’s </w:t>
      </w:r>
      <w:r w:rsidR="00785445" w:rsidRPr="00D869E3">
        <w:rPr>
          <w:rFonts w:ascii="Verdana" w:hAnsi="Verdana"/>
          <w:sz w:val="20"/>
          <w:szCs w:val="20"/>
          <w:lang w:val="en-US"/>
        </w:rPr>
        <w:t>permanent</w:t>
      </w:r>
      <w:r w:rsidR="00F84D64" w:rsidRPr="00D869E3">
        <w:rPr>
          <w:rFonts w:ascii="Verdana" w:hAnsi="Verdana"/>
          <w:sz w:val="20"/>
          <w:szCs w:val="20"/>
          <w:lang w:val="en-US"/>
        </w:rPr>
        <w:t xml:space="preserve">  workers</w:t>
      </w:r>
      <w:r w:rsidR="00B32EB0" w:rsidRPr="00D869E3">
        <w:rPr>
          <w:rFonts w:ascii="Verdana" w:hAnsi="Verdana"/>
          <w:sz w:val="20"/>
          <w:szCs w:val="20"/>
          <w:vertAlign w:val="superscript"/>
          <w:lang w:val="en-US"/>
        </w:rPr>
        <w:footnoteReference w:id="138"/>
      </w:r>
      <w:r w:rsidR="00F84D64" w:rsidRPr="00D869E3">
        <w:rPr>
          <w:rFonts w:ascii="Verdana" w:hAnsi="Verdana"/>
          <w:sz w:val="20"/>
          <w:szCs w:val="20"/>
          <w:lang w:val="en-US"/>
        </w:rPr>
        <w:t xml:space="preserve"> - and that </w:t>
      </w:r>
      <w:r w:rsidR="004F3F27" w:rsidRPr="00D869E3">
        <w:rPr>
          <w:rFonts w:ascii="Verdana" w:hAnsi="Verdana"/>
          <w:sz w:val="20"/>
          <w:szCs w:val="20"/>
          <w:lang w:val="en-US"/>
        </w:rPr>
        <w:t>his</w:t>
      </w:r>
      <w:r w:rsidR="00F84D64" w:rsidRPr="00D869E3">
        <w:rPr>
          <w:rFonts w:ascii="Verdana" w:hAnsi="Verdana"/>
          <w:sz w:val="20"/>
          <w:szCs w:val="20"/>
          <w:lang w:val="en-US"/>
        </w:rPr>
        <w:t xml:space="preserve"> function</w:t>
      </w:r>
      <w:r w:rsidR="004F3F27" w:rsidRPr="00D869E3">
        <w:rPr>
          <w:rFonts w:ascii="Verdana" w:hAnsi="Verdana"/>
          <w:sz w:val="20"/>
          <w:szCs w:val="20"/>
          <w:lang w:val="en-US"/>
        </w:rPr>
        <w:t>s</w:t>
      </w:r>
      <w:r w:rsidR="00F84D64" w:rsidRPr="00D869E3">
        <w:rPr>
          <w:rFonts w:ascii="Verdana" w:hAnsi="Verdana"/>
          <w:sz w:val="20"/>
          <w:szCs w:val="20"/>
          <w:lang w:val="en-US"/>
        </w:rPr>
        <w:t xml:space="preserve"> </w:t>
      </w:r>
      <w:r w:rsidR="004F3F27" w:rsidRPr="00D869E3">
        <w:rPr>
          <w:rFonts w:ascii="Verdana" w:hAnsi="Verdana"/>
          <w:sz w:val="20"/>
          <w:szCs w:val="20"/>
          <w:lang w:val="en-US"/>
        </w:rPr>
        <w:t>included</w:t>
      </w:r>
      <w:r w:rsidR="00F84D64" w:rsidRPr="00D869E3">
        <w:rPr>
          <w:rFonts w:ascii="Verdana" w:hAnsi="Verdana"/>
          <w:sz w:val="20"/>
          <w:szCs w:val="20"/>
          <w:lang w:val="en-US"/>
        </w:rPr>
        <w:t xml:space="preserve"> holding elections for the members of the Community Council and for its representatives on the company’s Board, he undoubtedly held a position that represented the interests of the company’s workers;</w:t>
      </w:r>
      <w:r w:rsidR="00B32EB0" w:rsidRPr="00D869E3">
        <w:rPr>
          <w:rFonts w:ascii="Verdana" w:hAnsi="Verdana"/>
          <w:sz w:val="20"/>
          <w:szCs w:val="20"/>
          <w:vertAlign w:val="superscript"/>
          <w:lang w:val="en-US"/>
        </w:rPr>
        <w:footnoteReference w:id="139"/>
      </w:r>
      <w:r w:rsidR="00171480" w:rsidRPr="00D869E3">
        <w:rPr>
          <w:rFonts w:ascii="Verdana" w:hAnsi="Verdana"/>
          <w:sz w:val="20"/>
          <w:szCs w:val="20"/>
          <w:lang w:val="en-US"/>
        </w:rPr>
        <w:t xml:space="preserve"> </w:t>
      </w:r>
      <w:r w:rsidR="00F84D64" w:rsidRPr="00D869E3">
        <w:rPr>
          <w:rFonts w:ascii="Verdana" w:hAnsi="Verdana"/>
          <w:sz w:val="20"/>
          <w:szCs w:val="20"/>
          <w:lang w:val="en-US"/>
        </w:rPr>
        <w:t>(</w:t>
      </w:r>
      <w:r w:rsidR="00171480" w:rsidRPr="00D869E3">
        <w:rPr>
          <w:rFonts w:ascii="Verdana" w:hAnsi="Verdana"/>
          <w:sz w:val="20"/>
          <w:szCs w:val="20"/>
          <w:lang w:val="en-US"/>
        </w:rPr>
        <w:t>ii)</w:t>
      </w:r>
      <w:r w:rsidR="00B32EB0" w:rsidRPr="00D869E3">
        <w:rPr>
          <w:rFonts w:ascii="Verdana" w:hAnsi="Verdana"/>
          <w:sz w:val="20"/>
          <w:szCs w:val="20"/>
          <w:lang w:val="en-US"/>
        </w:rPr>
        <w:t xml:space="preserve"> </w:t>
      </w:r>
      <w:r w:rsidR="001E44D3" w:rsidRPr="00D869E3">
        <w:rPr>
          <w:rFonts w:ascii="Verdana" w:hAnsi="Verdana"/>
          <w:sz w:val="20"/>
          <w:szCs w:val="20"/>
          <w:lang w:val="en-US"/>
        </w:rPr>
        <w:t>Mr. Lagos del Campo</w:t>
      </w:r>
      <w:r w:rsidR="00B32EB0" w:rsidRPr="00D869E3">
        <w:rPr>
          <w:rFonts w:ascii="Verdana" w:hAnsi="Verdana"/>
          <w:sz w:val="20"/>
          <w:szCs w:val="20"/>
          <w:lang w:val="en-US"/>
        </w:rPr>
        <w:t xml:space="preserve"> </w:t>
      </w:r>
      <w:r w:rsidR="00F84D64" w:rsidRPr="00D869E3">
        <w:rPr>
          <w:rFonts w:ascii="Verdana" w:hAnsi="Verdana"/>
          <w:sz w:val="20"/>
          <w:szCs w:val="20"/>
          <w:lang w:val="en-US"/>
        </w:rPr>
        <w:t xml:space="preserve">also represented the workers before the </w:t>
      </w:r>
      <w:r w:rsidR="00B32EB0" w:rsidRPr="00D869E3">
        <w:rPr>
          <w:rFonts w:ascii="Verdana" w:hAnsi="Verdana"/>
          <w:sz w:val="20"/>
          <w:szCs w:val="20"/>
          <w:lang w:val="en-US"/>
        </w:rPr>
        <w:t>CONACI</w:t>
      </w:r>
      <w:r w:rsidR="00915ACA" w:rsidRPr="00D869E3">
        <w:rPr>
          <w:rFonts w:ascii="Verdana" w:hAnsi="Verdana"/>
          <w:sz w:val="20"/>
          <w:szCs w:val="20"/>
          <w:lang w:val="en-US"/>
        </w:rPr>
        <w:t xml:space="preserve"> (</w:t>
      </w:r>
      <w:r w:rsidR="00224537" w:rsidRPr="00D869E3">
        <w:rPr>
          <w:rFonts w:ascii="Verdana" w:hAnsi="Verdana"/>
          <w:i/>
          <w:sz w:val="20"/>
          <w:szCs w:val="20"/>
          <w:lang w:val="en-US"/>
        </w:rPr>
        <w:t>supra</w:t>
      </w:r>
      <w:r w:rsidR="00AF223F" w:rsidRPr="00D869E3">
        <w:rPr>
          <w:rFonts w:ascii="Verdana" w:hAnsi="Verdana"/>
          <w:i/>
          <w:sz w:val="20"/>
          <w:szCs w:val="20"/>
          <w:lang w:val="en-US"/>
        </w:rPr>
        <w:t xml:space="preserve"> </w:t>
      </w:r>
      <w:r w:rsidR="0087339F" w:rsidRPr="00D869E3">
        <w:rPr>
          <w:rFonts w:ascii="Verdana" w:hAnsi="Verdana"/>
          <w:sz w:val="20"/>
          <w:szCs w:val="20"/>
          <w:lang w:val="en-US"/>
        </w:rPr>
        <w:t>para.</w:t>
      </w:r>
      <w:r w:rsidR="00EC11D2" w:rsidRPr="00D869E3">
        <w:rPr>
          <w:rFonts w:ascii="Verdana" w:hAnsi="Verdana"/>
          <w:sz w:val="20"/>
          <w:szCs w:val="20"/>
          <w:lang w:val="en-US"/>
        </w:rPr>
        <w:t xml:space="preserve"> </w:t>
      </w:r>
      <w:r w:rsidR="00AF223F" w:rsidRPr="00D869E3">
        <w:rPr>
          <w:rFonts w:ascii="Verdana" w:hAnsi="Verdana"/>
          <w:sz w:val="20"/>
          <w:szCs w:val="20"/>
          <w:lang w:val="en-US"/>
        </w:rPr>
        <w:t>50</w:t>
      </w:r>
      <w:r w:rsidR="00915ACA" w:rsidRPr="00D869E3">
        <w:rPr>
          <w:rFonts w:ascii="Verdana" w:hAnsi="Verdana"/>
          <w:sz w:val="20"/>
          <w:szCs w:val="20"/>
          <w:lang w:val="en-US"/>
        </w:rPr>
        <w:t>)</w:t>
      </w:r>
      <w:r w:rsidR="00F84D64" w:rsidRPr="00D869E3">
        <w:rPr>
          <w:rFonts w:ascii="Verdana" w:hAnsi="Verdana"/>
          <w:sz w:val="20"/>
          <w:szCs w:val="20"/>
          <w:lang w:val="en-US"/>
        </w:rPr>
        <w:t>,</w:t>
      </w:r>
      <w:r w:rsidR="00B32EB0" w:rsidRPr="00D869E3">
        <w:rPr>
          <w:rFonts w:ascii="Verdana" w:hAnsi="Verdana"/>
          <w:sz w:val="20"/>
          <w:szCs w:val="20"/>
          <w:vertAlign w:val="superscript"/>
          <w:lang w:val="en-US"/>
        </w:rPr>
        <w:footnoteReference w:id="140"/>
      </w:r>
      <w:r w:rsidR="00687684" w:rsidRPr="00D869E3">
        <w:rPr>
          <w:rFonts w:ascii="Verdana" w:hAnsi="Verdana"/>
          <w:sz w:val="20"/>
          <w:szCs w:val="20"/>
          <w:lang w:val="en-US"/>
        </w:rPr>
        <w:t xml:space="preserve"> and </w:t>
      </w:r>
      <w:r w:rsidR="00F84D64" w:rsidRPr="00D869E3">
        <w:rPr>
          <w:rFonts w:ascii="Verdana" w:hAnsi="Verdana"/>
          <w:sz w:val="20"/>
          <w:szCs w:val="20"/>
          <w:lang w:val="en-US"/>
        </w:rPr>
        <w:t>(iii</w:t>
      </w:r>
      <w:r w:rsidR="00B32EB0" w:rsidRPr="00D869E3">
        <w:rPr>
          <w:rFonts w:ascii="Verdana" w:hAnsi="Verdana"/>
          <w:sz w:val="20"/>
          <w:szCs w:val="20"/>
          <w:lang w:val="en-US"/>
        </w:rPr>
        <w:t xml:space="preserve">) </w:t>
      </w:r>
      <w:r w:rsidR="00F84D64" w:rsidRPr="00D869E3">
        <w:rPr>
          <w:rFonts w:ascii="Verdana" w:hAnsi="Verdana"/>
          <w:sz w:val="20"/>
          <w:szCs w:val="20"/>
          <w:lang w:val="en-US"/>
        </w:rPr>
        <w:t>the statements he made to “</w:t>
      </w:r>
      <w:r w:rsidR="00F84D64" w:rsidRPr="00D869E3">
        <w:rPr>
          <w:rFonts w:ascii="Verdana" w:hAnsi="Verdana"/>
          <w:i/>
          <w:iCs/>
          <w:sz w:val="20"/>
          <w:szCs w:val="20"/>
          <w:lang w:val="en-US"/>
        </w:rPr>
        <w:t>La Razón</w:t>
      </w:r>
      <w:r w:rsidR="00F84D64" w:rsidRPr="00D869E3">
        <w:rPr>
          <w:rFonts w:ascii="Verdana" w:hAnsi="Verdana"/>
          <w:sz w:val="20"/>
          <w:szCs w:val="20"/>
          <w:lang w:val="en-US"/>
        </w:rPr>
        <w:t xml:space="preserve">” reveal </w:t>
      </w:r>
      <w:r w:rsidR="00F84D64" w:rsidRPr="00D869E3">
        <w:rPr>
          <w:rFonts w:ascii="Verdana" w:hAnsi="Verdana"/>
          <w:sz w:val="20"/>
          <w:szCs w:val="20"/>
          <w:lang w:val="en-US"/>
        </w:rPr>
        <w:lastRenderedPageBreak/>
        <w:t>that he denounced supposed irregularities in the internal electoral process, and he made the</w:t>
      </w:r>
      <w:r w:rsidR="00D470B2" w:rsidRPr="00D869E3">
        <w:rPr>
          <w:rFonts w:ascii="Verdana" w:hAnsi="Verdana"/>
          <w:sz w:val="20"/>
          <w:szCs w:val="20"/>
          <w:lang w:val="en-US"/>
        </w:rPr>
        <w:t>se statements</w:t>
      </w:r>
      <w:r w:rsidR="00F84D64" w:rsidRPr="00D869E3">
        <w:rPr>
          <w:rFonts w:ascii="Verdana" w:hAnsi="Verdana"/>
          <w:sz w:val="20"/>
          <w:szCs w:val="20"/>
          <w:lang w:val="en-US"/>
        </w:rPr>
        <w:t xml:space="preserve"> as </w:t>
      </w:r>
      <w:r w:rsidR="00C66688" w:rsidRPr="00D869E3">
        <w:rPr>
          <w:rFonts w:ascii="Verdana" w:hAnsi="Verdana"/>
          <w:sz w:val="20"/>
          <w:szCs w:val="20"/>
          <w:lang w:val="en-US"/>
        </w:rPr>
        <w:t>President</w:t>
      </w:r>
      <w:r w:rsidR="00A157F5" w:rsidRPr="00D869E3">
        <w:rPr>
          <w:rFonts w:ascii="Verdana" w:hAnsi="Verdana"/>
          <w:sz w:val="20"/>
          <w:szCs w:val="20"/>
          <w:lang w:val="en-US"/>
        </w:rPr>
        <w:t xml:space="preserve"> of the </w:t>
      </w:r>
      <w:r w:rsidR="00F43C5F" w:rsidRPr="00D869E3">
        <w:rPr>
          <w:rFonts w:ascii="Verdana" w:hAnsi="Verdana"/>
          <w:sz w:val="20"/>
          <w:szCs w:val="20"/>
          <w:lang w:val="en-US"/>
        </w:rPr>
        <w:t>Committee</w:t>
      </w:r>
      <w:r w:rsidR="00B32EB0" w:rsidRPr="00D869E3">
        <w:rPr>
          <w:rFonts w:ascii="Verdana" w:hAnsi="Verdana"/>
          <w:sz w:val="20"/>
          <w:szCs w:val="20"/>
          <w:lang w:val="en-US"/>
        </w:rPr>
        <w:t xml:space="preserve"> </w:t>
      </w:r>
      <w:r w:rsidR="00F84D64" w:rsidRPr="00D869E3">
        <w:rPr>
          <w:rFonts w:ascii="Verdana" w:hAnsi="Verdana"/>
          <w:sz w:val="20"/>
          <w:szCs w:val="20"/>
          <w:lang w:val="en-US"/>
        </w:rPr>
        <w:t>responsible for regulating th</w:t>
      </w:r>
      <w:r w:rsidR="00D470B2" w:rsidRPr="00D869E3">
        <w:rPr>
          <w:rFonts w:ascii="Verdana" w:hAnsi="Verdana"/>
          <w:sz w:val="20"/>
          <w:szCs w:val="20"/>
          <w:lang w:val="en-US"/>
        </w:rPr>
        <w:t>at</w:t>
      </w:r>
      <w:r w:rsidR="00F84D64" w:rsidRPr="00D869E3">
        <w:rPr>
          <w:rFonts w:ascii="Verdana" w:hAnsi="Verdana"/>
          <w:sz w:val="20"/>
          <w:szCs w:val="20"/>
          <w:lang w:val="en-US"/>
        </w:rPr>
        <w:t xml:space="preserve"> process.</w:t>
      </w:r>
      <w:r w:rsidR="00B32EB0" w:rsidRPr="00D869E3">
        <w:rPr>
          <w:rStyle w:val="Refdenotaalpie"/>
          <w:szCs w:val="20"/>
          <w:lang w:val="en-US"/>
        </w:rPr>
        <w:footnoteReference w:id="141"/>
      </w:r>
    </w:p>
    <w:p w14:paraId="667DB527" w14:textId="77777777" w:rsidR="007A21DE" w:rsidRPr="00D869E3" w:rsidRDefault="007A21DE" w:rsidP="007A21DE">
      <w:pPr>
        <w:contextualSpacing/>
        <w:rPr>
          <w:rFonts w:ascii="Verdana" w:hAnsi="Verdana"/>
          <w:sz w:val="20"/>
          <w:szCs w:val="20"/>
          <w:lang w:val="en-US"/>
        </w:rPr>
      </w:pPr>
    </w:p>
    <w:p w14:paraId="7F9B85BC" w14:textId="4D6E5DA7" w:rsidR="007A21DE" w:rsidRPr="00D869E3" w:rsidRDefault="00F84D64" w:rsidP="001F3785">
      <w:pPr>
        <w:numPr>
          <w:ilvl w:val="0"/>
          <w:numId w:val="1"/>
        </w:numPr>
        <w:ind w:left="0" w:firstLine="0"/>
        <w:contextualSpacing/>
        <w:jc w:val="both"/>
        <w:rPr>
          <w:rFonts w:ascii="Verdana" w:hAnsi="Verdana"/>
          <w:sz w:val="20"/>
          <w:szCs w:val="20"/>
          <w:lang w:val="en-US"/>
        </w:rPr>
      </w:pPr>
      <w:r w:rsidRPr="00D869E3">
        <w:rPr>
          <w:rFonts w:ascii="Verdana" w:hAnsi="Verdana"/>
          <w:sz w:val="20"/>
          <w:szCs w:val="20"/>
          <w:lang w:val="en-US"/>
        </w:rPr>
        <w:t>Consequently</w:t>
      </w:r>
      <w:r w:rsidR="007A21DE" w:rsidRPr="00D869E3">
        <w:rPr>
          <w:rFonts w:ascii="Verdana" w:hAnsi="Verdana"/>
          <w:sz w:val="20"/>
          <w:szCs w:val="20"/>
          <w:lang w:val="en-US"/>
        </w:rPr>
        <w:t xml:space="preserve">, </w:t>
      </w:r>
      <w:r w:rsidR="00447C65" w:rsidRPr="00D869E3">
        <w:rPr>
          <w:rFonts w:ascii="Verdana" w:hAnsi="Verdana"/>
          <w:sz w:val="20"/>
          <w:szCs w:val="20"/>
          <w:lang w:val="en-US"/>
        </w:rPr>
        <w:t>the Court</w:t>
      </w:r>
      <w:r w:rsidR="007A21DE" w:rsidRPr="00D869E3">
        <w:rPr>
          <w:rFonts w:ascii="Verdana" w:hAnsi="Verdana"/>
          <w:sz w:val="20"/>
          <w:szCs w:val="20"/>
          <w:lang w:val="en-US"/>
        </w:rPr>
        <w:t xml:space="preserve"> confirm</w:t>
      </w:r>
      <w:r w:rsidRPr="00D869E3">
        <w:rPr>
          <w:rFonts w:ascii="Verdana" w:hAnsi="Verdana"/>
          <w:sz w:val="20"/>
          <w:szCs w:val="20"/>
          <w:lang w:val="en-US"/>
        </w:rPr>
        <w:t>s</w:t>
      </w:r>
      <w:r w:rsidR="007A21DE" w:rsidRPr="00D869E3">
        <w:rPr>
          <w:rFonts w:ascii="Verdana" w:hAnsi="Verdana"/>
          <w:sz w:val="20"/>
          <w:szCs w:val="20"/>
          <w:lang w:val="en-US"/>
        </w:rPr>
        <w:t xml:space="preserve"> </w:t>
      </w:r>
      <w:r w:rsidRPr="00D869E3">
        <w:rPr>
          <w:rFonts w:ascii="Verdana" w:hAnsi="Verdana"/>
          <w:sz w:val="20"/>
          <w:szCs w:val="20"/>
          <w:lang w:val="en-US"/>
        </w:rPr>
        <w:t>that</w:t>
      </w:r>
      <w:r w:rsidR="007A21DE" w:rsidRPr="00D869E3">
        <w:rPr>
          <w:rFonts w:ascii="Verdana" w:hAnsi="Verdana"/>
          <w:sz w:val="20"/>
          <w:szCs w:val="20"/>
          <w:lang w:val="en-US"/>
        </w:rPr>
        <w:t xml:space="preserve"> </w:t>
      </w:r>
      <w:r w:rsidR="001E44D3" w:rsidRPr="00D869E3">
        <w:rPr>
          <w:rFonts w:ascii="Verdana" w:hAnsi="Verdana"/>
          <w:sz w:val="20"/>
          <w:szCs w:val="20"/>
          <w:lang w:val="en-US"/>
        </w:rPr>
        <w:t>Mr. Lagos del Campo</w:t>
      </w:r>
      <w:r w:rsidR="007A21DE" w:rsidRPr="00D869E3">
        <w:rPr>
          <w:rFonts w:ascii="Verdana" w:hAnsi="Verdana"/>
          <w:sz w:val="20"/>
          <w:szCs w:val="20"/>
          <w:lang w:val="en-US"/>
        </w:rPr>
        <w:t xml:space="preserve"> </w:t>
      </w:r>
      <w:r w:rsidRPr="00D869E3">
        <w:rPr>
          <w:rFonts w:ascii="Verdana" w:hAnsi="Verdana"/>
          <w:sz w:val="20"/>
          <w:szCs w:val="20"/>
          <w:lang w:val="en-US"/>
        </w:rPr>
        <w:t xml:space="preserve">made the said </w:t>
      </w:r>
      <w:r w:rsidR="00B3048A" w:rsidRPr="00D869E3">
        <w:rPr>
          <w:rFonts w:ascii="Verdana" w:hAnsi="Verdana"/>
          <w:sz w:val="20"/>
          <w:szCs w:val="20"/>
          <w:lang w:val="en-US"/>
        </w:rPr>
        <w:t>statements</w:t>
      </w:r>
      <w:r w:rsidRPr="00D869E3">
        <w:rPr>
          <w:rFonts w:ascii="Verdana" w:hAnsi="Verdana"/>
          <w:sz w:val="20"/>
          <w:szCs w:val="20"/>
          <w:lang w:val="en-US"/>
        </w:rPr>
        <w:t xml:space="preserve"> in his capacity as a</w:t>
      </w:r>
      <w:r w:rsidR="00D470B2" w:rsidRPr="00D869E3">
        <w:rPr>
          <w:rFonts w:ascii="Verdana" w:hAnsi="Verdana"/>
          <w:sz w:val="20"/>
          <w:szCs w:val="20"/>
          <w:lang w:val="en-US"/>
        </w:rPr>
        <w:t xml:space="preserve"> workers’</w:t>
      </w:r>
      <w:r w:rsidRPr="00D869E3">
        <w:rPr>
          <w:rFonts w:ascii="Verdana" w:hAnsi="Verdana"/>
          <w:sz w:val="20"/>
          <w:szCs w:val="20"/>
          <w:lang w:val="en-US"/>
        </w:rPr>
        <w:t xml:space="preserve"> representative</w:t>
      </w:r>
      <w:r w:rsidR="007A21DE" w:rsidRPr="00D869E3">
        <w:rPr>
          <w:rFonts w:ascii="Verdana" w:hAnsi="Verdana"/>
          <w:sz w:val="20"/>
          <w:szCs w:val="20"/>
          <w:vertAlign w:val="superscript"/>
          <w:lang w:val="en-US"/>
        </w:rPr>
        <w:footnoteReference w:id="142"/>
      </w:r>
      <w:r w:rsidR="00687684" w:rsidRPr="00D869E3">
        <w:rPr>
          <w:rFonts w:ascii="Verdana" w:hAnsi="Verdana"/>
          <w:sz w:val="20"/>
          <w:szCs w:val="20"/>
          <w:lang w:val="en-US"/>
        </w:rPr>
        <w:t xml:space="preserve"> and </w:t>
      </w:r>
      <w:r w:rsidRPr="00D869E3">
        <w:rPr>
          <w:rFonts w:ascii="Verdana" w:hAnsi="Verdana"/>
          <w:sz w:val="20"/>
          <w:szCs w:val="20"/>
          <w:lang w:val="en-US"/>
        </w:rPr>
        <w:t xml:space="preserve">within the framework of the exercise of his </w:t>
      </w:r>
      <w:r w:rsidR="00B3048A" w:rsidRPr="00D869E3">
        <w:rPr>
          <w:rFonts w:ascii="Verdana" w:hAnsi="Verdana"/>
          <w:sz w:val="20"/>
          <w:szCs w:val="20"/>
          <w:lang w:val="en-US"/>
        </w:rPr>
        <w:t xml:space="preserve">responsibilities </w:t>
      </w:r>
      <w:r w:rsidR="00C66688" w:rsidRPr="00D869E3">
        <w:rPr>
          <w:rFonts w:ascii="Verdana" w:hAnsi="Verdana"/>
          <w:sz w:val="20"/>
          <w:szCs w:val="20"/>
          <w:lang w:val="en-US"/>
        </w:rPr>
        <w:t xml:space="preserve">as </w:t>
      </w:r>
      <w:r w:rsidR="001B0492" w:rsidRPr="00D869E3">
        <w:rPr>
          <w:rFonts w:ascii="Verdana" w:hAnsi="Verdana"/>
          <w:sz w:val="20"/>
          <w:szCs w:val="20"/>
          <w:lang w:val="en-US"/>
        </w:rPr>
        <w:t>president of the Electoral</w:t>
      </w:r>
      <w:r w:rsidR="00EA232B" w:rsidRPr="00D869E3">
        <w:rPr>
          <w:rFonts w:ascii="Verdana" w:hAnsi="Verdana"/>
          <w:sz w:val="20"/>
          <w:szCs w:val="20"/>
          <w:lang w:val="en-US"/>
        </w:rPr>
        <w:t xml:space="preserve"> Committee</w:t>
      </w:r>
      <w:r w:rsidR="007A21DE" w:rsidRPr="00D869E3">
        <w:rPr>
          <w:rFonts w:ascii="Verdana" w:hAnsi="Verdana"/>
          <w:sz w:val="20"/>
          <w:szCs w:val="20"/>
          <w:lang w:val="en-US"/>
        </w:rPr>
        <w:t xml:space="preserve">.  </w:t>
      </w:r>
    </w:p>
    <w:p w14:paraId="0C668512" w14:textId="77777777" w:rsidR="007A21DE" w:rsidRPr="00D869E3" w:rsidRDefault="007A21DE" w:rsidP="007A21DE">
      <w:pPr>
        <w:contextualSpacing/>
        <w:rPr>
          <w:rFonts w:ascii="Verdana" w:hAnsi="Verdana"/>
          <w:sz w:val="20"/>
          <w:szCs w:val="20"/>
          <w:lang w:val="en-US"/>
        </w:rPr>
      </w:pPr>
    </w:p>
    <w:p w14:paraId="540BBC1C" w14:textId="4BDD5BE7" w:rsidR="007A21DE" w:rsidRPr="00D869E3" w:rsidRDefault="00DB128C" w:rsidP="000E7A82">
      <w:pPr>
        <w:numPr>
          <w:ilvl w:val="0"/>
          <w:numId w:val="1"/>
        </w:numPr>
        <w:ind w:left="0" w:firstLine="0"/>
        <w:contextualSpacing/>
        <w:jc w:val="both"/>
        <w:rPr>
          <w:rFonts w:ascii="Verdana" w:hAnsi="Verdana"/>
          <w:sz w:val="20"/>
          <w:szCs w:val="20"/>
          <w:lang w:val="en-US"/>
        </w:rPr>
      </w:pPr>
      <w:r w:rsidRPr="00D869E3">
        <w:rPr>
          <w:rFonts w:ascii="Verdana" w:hAnsi="Verdana"/>
          <w:sz w:val="20"/>
          <w:szCs w:val="20"/>
          <w:lang w:val="en-US"/>
        </w:rPr>
        <w:t>Second</w:t>
      </w:r>
      <w:r w:rsidR="000E7A82" w:rsidRPr="00D869E3">
        <w:rPr>
          <w:rFonts w:ascii="Verdana" w:hAnsi="Verdana"/>
          <w:sz w:val="20"/>
          <w:szCs w:val="20"/>
          <w:lang w:val="en-US"/>
        </w:rPr>
        <w:t xml:space="preserve">, regarding the general interest of the statements, the Court has indicated that </w:t>
      </w:r>
      <w:r w:rsidR="007A21DE" w:rsidRPr="00D869E3">
        <w:rPr>
          <w:rFonts w:ascii="Verdana" w:hAnsi="Verdana"/>
          <w:sz w:val="20"/>
          <w:szCs w:val="20"/>
          <w:lang w:val="en-US"/>
        </w:rPr>
        <w:t xml:space="preserve"> </w:t>
      </w:r>
      <w:r w:rsidR="00447C65" w:rsidRPr="00D869E3">
        <w:rPr>
          <w:rFonts w:ascii="Verdana" w:hAnsi="Verdana"/>
          <w:spacing w:val="-2"/>
          <w:sz w:val="20"/>
          <w:szCs w:val="20"/>
          <w:lang w:val="en-US"/>
        </w:rPr>
        <w:t>Article</w:t>
      </w:r>
      <w:r w:rsidR="007A21DE" w:rsidRPr="00D869E3">
        <w:rPr>
          <w:rFonts w:ascii="Verdana" w:hAnsi="Verdana"/>
          <w:spacing w:val="-2"/>
          <w:sz w:val="20"/>
          <w:szCs w:val="20"/>
          <w:lang w:val="en-US"/>
        </w:rPr>
        <w:t xml:space="preserve"> 13</w:t>
      </w:r>
      <w:r w:rsidR="00447C65" w:rsidRPr="00D869E3">
        <w:rPr>
          <w:rFonts w:ascii="Verdana" w:hAnsi="Verdana"/>
          <w:spacing w:val="-2"/>
          <w:sz w:val="20"/>
          <w:szCs w:val="20"/>
          <w:lang w:val="en-US"/>
        </w:rPr>
        <w:t xml:space="preserve"> of the Convention</w:t>
      </w:r>
      <w:r w:rsidR="007A21DE" w:rsidRPr="00D869E3">
        <w:rPr>
          <w:rFonts w:ascii="Verdana" w:hAnsi="Verdana"/>
          <w:spacing w:val="-2"/>
          <w:sz w:val="20"/>
          <w:szCs w:val="20"/>
          <w:lang w:val="en-US"/>
        </w:rPr>
        <w:t xml:space="preserve"> prote</w:t>
      </w:r>
      <w:r w:rsidR="000E7A82" w:rsidRPr="00D869E3">
        <w:rPr>
          <w:rFonts w:ascii="Verdana" w:hAnsi="Verdana"/>
          <w:spacing w:val="-2"/>
          <w:sz w:val="20"/>
          <w:szCs w:val="20"/>
          <w:lang w:val="en-US"/>
        </w:rPr>
        <w:t>cts statements, ideas or information “of any kind, whether or not it is of public interest. However, when such statements relate to issues of public interest, the judge must evaluate the need to limit</w:t>
      </w:r>
      <w:r w:rsidR="000E7A82" w:rsidRPr="00D869E3">
        <w:rPr>
          <w:rFonts w:ascii="Verdana" w:hAnsi="Verdana"/>
          <w:sz w:val="20"/>
          <w:szCs w:val="20"/>
          <w:lang w:val="en-US"/>
        </w:rPr>
        <w:t xml:space="preserve"> </w:t>
      </w:r>
      <w:r w:rsidR="00A62EA8" w:rsidRPr="00D869E3">
        <w:rPr>
          <w:rFonts w:ascii="Verdana" w:hAnsi="Verdana"/>
          <w:spacing w:val="-2"/>
          <w:sz w:val="20"/>
          <w:szCs w:val="20"/>
          <w:lang w:val="en-US"/>
        </w:rPr>
        <w:t>freedom of expression</w:t>
      </w:r>
      <w:r w:rsidR="000E7A82" w:rsidRPr="00D869E3">
        <w:rPr>
          <w:rFonts w:ascii="Verdana" w:hAnsi="Verdana"/>
          <w:spacing w:val="-2"/>
          <w:sz w:val="20"/>
          <w:szCs w:val="20"/>
          <w:lang w:val="en-US"/>
        </w:rPr>
        <w:t xml:space="preserve"> with special care.</w:t>
      </w:r>
      <w:r w:rsidR="007A21DE" w:rsidRPr="00D869E3">
        <w:rPr>
          <w:rFonts w:ascii="Verdana" w:hAnsi="Verdana"/>
          <w:spacing w:val="-2"/>
          <w:sz w:val="20"/>
          <w:szCs w:val="20"/>
          <w:vertAlign w:val="superscript"/>
          <w:lang w:val="en-US"/>
        </w:rPr>
        <w:footnoteReference w:id="143"/>
      </w:r>
      <w:r w:rsidR="007A21DE" w:rsidRPr="00D869E3">
        <w:rPr>
          <w:rFonts w:ascii="Verdana" w:hAnsi="Verdana"/>
          <w:spacing w:val="-2"/>
          <w:lang w:val="en-US"/>
        </w:rPr>
        <w:t xml:space="preserve"> </w:t>
      </w:r>
    </w:p>
    <w:p w14:paraId="613C5D54" w14:textId="77777777" w:rsidR="007A21DE" w:rsidRPr="00D869E3" w:rsidRDefault="007A21DE" w:rsidP="007A21DE">
      <w:pPr>
        <w:contextualSpacing/>
        <w:rPr>
          <w:rFonts w:ascii="Verdana" w:hAnsi="Verdana"/>
          <w:sz w:val="20"/>
          <w:szCs w:val="20"/>
          <w:lang w:val="en-US"/>
        </w:rPr>
      </w:pPr>
    </w:p>
    <w:p w14:paraId="63D55394" w14:textId="60F9C18A" w:rsidR="007A21DE" w:rsidRPr="00D869E3" w:rsidRDefault="000E7A82" w:rsidP="000E7A82">
      <w:pPr>
        <w:numPr>
          <w:ilvl w:val="0"/>
          <w:numId w:val="1"/>
        </w:numPr>
        <w:ind w:left="0" w:firstLine="0"/>
        <w:contextualSpacing/>
        <w:jc w:val="both"/>
        <w:rPr>
          <w:rFonts w:ascii="Verdana" w:hAnsi="Verdana"/>
          <w:sz w:val="20"/>
          <w:szCs w:val="20"/>
          <w:lang w:val="en-US"/>
        </w:rPr>
      </w:pPr>
      <w:r w:rsidRPr="00D869E3">
        <w:rPr>
          <w:rFonts w:ascii="Verdana" w:hAnsi="Verdana"/>
          <w:spacing w:val="-2"/>
          <w:sz w:val="20"/>
          <w:szCs w:val="20"/>
          <w:lang w:val="en-US"/>
        </w:rPr>
        <w:t>Thus</w:t>
      </w:r>
      <w:r w:rsidR="007A21DE" w:rsidRPr="00D869E3">
        <w:rPr>
          <w:rFonts w:ascii="Verdana" w:hAnsi="Verdana"/>
          <w:spacing w:val="-2"/>
          <w:sz w:val="20"/>
          <w:szCs w:val="20"/>
          <w:lang w:val="en-US"/>
        </w:rPr>
        <w:t xml:space="preserve">, </w:t>
      </w:r>
      <w:r w:rsidR="00447C65" w:rsidRPr="00D869E3">
        <w:rPr>
          <w:rFonts w:ascii="Verdana" w:hAnsi="Verdana"/>
          <w:spacing w:val="-2"/>
          <w:sz w:val="20"/>
          <w:szCs w:val="20"/>
          <w:lang w:val="en-US"/>
        </w:rPr>
        <w:t>the Court</w:t>
      </w:r>
      <w:r w:rsidR="007A21DE" w:rsidRPr="00D869E3">
        <w:rPr>
          <w:rFonts w:ascii="Verdana" w:hAnsi="Verdana"/>
          <w:spacing w:val="-2"/>
          <w:sz w:val="20"/>
          <w:szCs w:val="20"/>
          <w:lang w:val="en-US"/>
        </w:rPr>
        <w:t xml:space="preserve"> ha</w:t>
      </w:r>
      <w:r w:rsidRPr="00D869E3">
        <w:rPr>
          <w:rFonts w:ascii="Verdana" w:hAnsi="Verdana"/>
          <w:spacing w:val="-2"/>
          <w:sz w:val="20"/>
          <w:szCs w:val="20"/>
          <w:lang w:val="en-US"/>
        </w:rPr>
        <w:t>s considered of public interest</w:t>
      </w:r>
      <w:r w:rsidR="00D470B2" w:rsidRPr="00D869E3">
        <w:rPr>
          <w:rFonts w:ascii="Verdana" w:hAnsi="Verdana"/>
          <w:spacing w:val="-2"/>
          <w:sz w:val="20"/>
          <w:szCs w:val="20"/>
          <w:lang w:val="en-US"/>
        </w:rPr>
        <w:t xml:space="preserve"> </w:t>
      </w:r>
      <w:r w:rsidRPr="00D869E3">
        <w:rPr>
          <w:rFonts w:ascii="Verdana" w:hAnsi="Verdana"/>
          <w:spacing w:val="-2"/>
          <w:sz w:val="20"/>
          <w:szCs w:val="20"/>
          <w:lang w:val="en-US"/>
        </w:rPr>
        <w:t>information</w:t>
      </w:r>
      <w:r w:rsidR="0017313D" w:rsidRPr="00D869E3">
        <w:rPr>
          <w:rFonts w:ascii="Verdana" w:hAnsi="Verdana"/>
          <w:spacing w:val="-2"/>
          <w:sz w:val="20"/>
          <w:szCs w:val="20"/>
          <w:lang w:val="en-US"/>
        </w:rPr>
        <w:t xml:space="preserve"> or opinions</w:t>
      </w:r>
      <w:r w:rsidRPr="00D869E3">
        <w:rPr>
          <w:rFonts w:ascii="Verdana" w:hAnsi="Verdana"/>
          <w:spacing w:val="-2"/>
          <w:sz w:val="20"/>
          <w:szCs w:val="20"/>
          <w:lang w:val="en-US"/>
        </w:rPr>
        <w:t xml:space="preserve"> </w:t>
      </w:r>
      <w:r w:rsidR="0017313D" w:rsidRPr="00D869E3">
        <w:rPr>
          <w:rFonts w:ascii="Verdana" w:hAnsi="Verdana"/>
          <w:spacing w:val="-2"/>
          <w:sz w:val="20"/>
          <w:szCs w:val="20"/>
          <w:lang w:val="en-US"/>
        </w:rPr>
        <w:t>regarding</w:t>
      </w:r>
      <w:r w:rsidRPr="00D869E3">
        <w:rPr>
          <w:rFonts w:ascii="Verdana" w:hAnsi="Verdana"/>
          <w:spacing w:val="-2"/>
          <w:sz w:val="20"/>
          <w:szCs w:val="20"/>
          <w:lang w:val="en-US"/>
        </w:rPr>
        <w:t xml:space="preserve"> matters </w:t>
      </w:r>
      <w:r w:rsidR="0017313D" w:rsidRPr="00D869E3">
        <w:rPr>
          <w:rFonts w:ascii="Verdana" w:hAnsi="Verdana"/>
          <w:spacing w:val="-2"/>
          <w:sz w:val="20"/>
          <w:szCs w:val="20"/>
          <w:lang w:val="en-US"/>
        </w:rPr>
        <w:t>on</w:t>
      </w:r>
      <w:r w:rsidRPr="00D869E3">
        <w:rPr>
          <w:rFonts w:ascii="Verdana" w:hAnsi="Verdana"/>
          <w:spacing w:val="-2"/>
          <w:sz w:val="20"/>
          <w:szCs w:val="20"/>
          <w:lang w:val="en-US"/>
        </w:rPr>
        <w:t xml:space="preserve"> which society has a legitimate interest to</w:t>
      </w:r>
      <w:r w:rsidR="0017313D" w:rsidRPr="00D869E3">
        <w:rPr>
          <w:rFonts w:ascii="Verdana" w:hAnsi="Verdana"/>
          <w:spacing w:val="-2"/>
          <w:sz w:val="20"/>
          <w:szCs w:val="20"/>
          <w:lang w:val="en-US"/>
        </w:rPr>
        <w:t xml:space="preserve"> know and to</w:t>
      </w:r>
      <w:r w:rsidRPr="00D869E3">
        <w:rPr>
          <w:rFonts w:ascii="Verdana" w:hAnsi="Verdana"/>
          <w:spacing w:val="-2"/>
          <w:sz w:val="20"/>
          <w:szCs w:val="20"/>
          <w:lang w:val="en-US"/>
        </w:rPr>
        <w:t xml:space="preserve"> be informed</w:t>
      </w:r>
      <w:r w:rsidR="00D470B2" w:rsidRPr="00D869E3">
        <w:rPr>
          <w:rFonts w:ascii="Verdana" w:hAnsi="Verdana"/>
          <w:spacing w:val="-2"/>
          <w:sz w:val="20"/>
          <w:szCs w:val="20"/>
          <w:lang w:val="en-US"/>
        </w:rPr>
        <w:t xml:space="preserve"> </w:t>
      </w:r>
      <w:r w:rsidR="0017313D" w:rsidRPr="00D869E3">
        <w:rPr>
          <w:rFonts w:ascii="Verdana" w:hAnsi="Verdana"/>
          <w:spacing w:val="-2"/>
          <w:sz w:val="20"/>
          <w:szCs w:val="20"/>
          <w:lang w:val="en-US"/>
        </w:rPr>
        <w:t>about</w:t>
      </w:r>
      <w:r w:rsidRPr="00D869E3">
        <w:rPr>
          <w:rFonts w:ascii="Verdana" w:hAnsi="Verdana"/>
          <w:spacing w:val="-2"/>
          <w:sz w:val="20"/>
          <w:szCs w:val="20"/>
          <w:lang w:val="en-US"/>
        </w:rPr>
        <w:t xml:space="preserve"> </w:t>
      </w:r>
      <w:r w:rsidR="0017313D" w:rsidRPr="00D869E3">
        <w:rPr>
          <w:rFonts w:ascii="Verdana" w:hAnsi="Verdana"/>
          <w:spacing w:val="-2"/>
          <w:sz w:val="20"/>
          <w:szCs w:val="20"/>
          <w:lang w:val="en-US"/>
        </w:rPr>
        <w:t>concerning</w:t>
      </w:r>
      <w:r w:rsidRPr="00D869E3">
        <w:rPr>
          <w:rFonts w:ascii="Verdana" w:hAnsi="Verdana"/>
          <w:spacing w:val="-2"/>
          <w:sz w:val="20"/>
          <w:szCs w:val="20"/>
          <w:lang w:val="en-US"/>
        </w:rPr>
        <w:t xml:space="preserve"> issues relating to the functioning of the State or that affect general rights or interests or that may have significant consequences.</w:t>
      </w:r>
      <w:r w:rsidR="007A21DE" w:rsidRPr="00D869E3">
        <w:rPr>
          <w:rFonts w:ascii="Verdana" w:hAnsi="Verdana"/>
          <w:spacing w:val="-2"/>
          <w:sz w:val="20"/>
          <w:szCs w:val="20"/>
          <w:vertAlign w:val="superscript"/>
          <w:lang w:val="en-US"/>
        </w:rPr>
        <w:footnoteReference w:id="144"/>
      </w:r>
      <w:r w:rsidR="007A21DE" w:rsidRPr="00D869E3">
        <w:rPr>
          <w:rFonts w:ascii="Verdana" w:hAnsi="Verdana"/>
          <w:spacing w:val="-2"/>
          <w:sz w:val="20"/>
          <w:szCs w:val="20"/>
          <w:lang w:val="en-US"/>
        </w:rPr>
        <w:t xml:space="preserve"> </w:t>
      </w:r>
    </w:p>
    <w:p w14:paraId="09F43C78" w14:textId="77777777" w:rsidR="007A21DE" w:rsidRPr="00D869E3" w:rsidRDefault="007A21DE" w:rsidP="007A21DE">
      <w:pPr>
        <w:contextualSpacing/>
        <w:rPr>
          <w:rFonts w:ascii="Verdana" w:hAnsi="Verdana"/>
          <w:spacing w:val="-2"/>
          <w:sz w:val="20"/>
          <w:szCs w:val="20"/>
          <w:lang w:val="en-US"/>
        </w:rPr>
      </w:pPr>
    </w:p>
    <w:p w14:paraId="79C08A0D" w14:textId="675F24BD" w:rsidR="007A21DE" w:rsidRPr="00D869E3" w:rsidRDefault="002C371D" w:rsidP="00E66DD7">
      <w:pPr>
        <w:numPr>
          <w:ilvl w:val="0"/>
          <w:numId w:val="1"/>
        </w:numPr>
        <w:ind w:left="0" w:firstLine="0"/>
        <w:contextualSpacing/>
        <w:jc w:val="both"/>
        <w:rPr>
          <w:rFonts w:ascii="Verdana" w:hAnsi="Verdana"/>
          <w:sz w:val="20"/>
          <w:szCs w:val="20"/>
          <w:lang w:val="en-US"/>
        </w:rPr>
      </w:pPr>
      <w:r w:rsidRPr="00D869E3">
        <w:rPr>
          <w:rFonts w:ascii="Verdana" w:hAnsi="Verdana"/>
          <w:spacing w:val="-2"/>
          <w:sz w:val="20"/>
          <w:szCs w:val="20"/>
          <w:lang w:val="en-US"/>
        </w:rPr>
        <w:t xml:space="preserve">The Court recognizes that information </w:t>
      </w:r>
      <w:r w:rsidR="00BB2FBA" w:rsidRPr="00D869E3">
        <w:rPr>
          <w:rFonts w:ascii="Verdana" w:hAnsi="Verdana"/>
          <w:spacing w:val="-2"/>
          <w:sz w:val="20"/>
          <w:szCs w:val="20"/>
          <w:lang w:val="en-US"/>
        </w:rPr>
        <w:t>concerning</w:t>
      </w:r>
      <w:r w:rsidRPr="00D869E3">
        <w:rPr>
          <w:rFonts w:ascii="Verdana" w:hAnsi="Verdana"/>
          <w:spacing w:val="-2"/>
          <w:sz w:val="20"/>
          <w:szCs w:val="20"/>
          <w:lang w:val="en-US"/>
        </w:rPr>
        <w:t xml:space="preserve"> labor </w:t>
      </w:r>
      <w:r w:rsidR="00270810" w:rsidRPr="00D869E3">
        <w:rPr>
          <w:rFonts w:ascii="Verdana" w:hAnsi="Verdana"/>
          <w:spacing w:val="-2"/>
          <w:sz w:val="20"/>
          <w:szCs w:val="20"/>
          <w:lang w:val="en-US"/>
        </w:rPr>
        <w:t>questions</w:t>
      </w:r>
      <w:r w:rsidRPr="00D869E3">
        <w:rPr>
          <w:rFonts w:ascii="Verdana" w:hAnsi="Verdana"/>
          <w:spacing w:val="-2"/>
          <w:sz w:val="20"/>
          <w:szCs w:val="20"/>
          <w:lang w:val="en-US"/>
        </w:rPr>
        <w:t xml:space="preserve"> is </w:t>
      </w:r>
      <w:r w:rsidR="00E147EC" w:rsidRPr="00D869E3">
        <w:rPr>
          <w:rFonts w:ascii="Verdana" w:hAnsi="Verdana"/>
          <w:spacing w:val="-2"/>
          <w:sz w:val="20"/>
          <w:szCs w:val="20"/>
          <w:lang w:val="en-US"/>
        </w:rPr>
        <w:t xml:space="preserve">usually </w:t>
      </w:r>
      <w:r w:rsidRPr="00D869E3">
        <w:rPr>
          <w:rFonts w:ascii="Verdana" w:hAnsi="Verdana"/>
          <w:spacing w:val="-2"/>
          <w:sz w:val="20"/>
          <w:szCs w:val="20"/>
          <w:lang w:val="en-US"/>
        </w:rPr>
        <w:t xml:space="preserve">of </w:t>
      </w:r>
      <w:r w:rsidR="00E147EC" w:rsidRPr="00D869E3">
        <w:rPr>
          <w:rFonts w:ascii="Verdana" w:hAnsi="Verdana"/>
          <w:spacing w:val="-2"/>
          <w:sz w:val="20"/>
          <w:szCs w:val="20"/>
          <w:lang w:val="en-US"/>
        </w:rPr>
        <w:t>general</w:t>
      </w:r>
      <w:r w:rsidRPr="00D869E3">
        <w:rPr>
          <w:rFonts w:ascii="Verdana" w:hAnsi="Verdana"/>
          <w:spacing w:val="-2"/>
          <w:sz w:val="20"/>
          <w:szCs w:val="20"/>
          <w:lang w:val="en-US"/>
        </w:rPr>
        <w:t xml:space="preserve"> interest. First</w:t>
      </w:r>
      <w:r w:rsidR="00E74F1C" w:rsidRPr="00D869E3">
        <w:rPr>
          <w:rFonts w:ascii="Verdana" w:hAnsi="Verdana"/>
          <w:spacing w:val="-2"/>
          <w:sz w:val="20"/>
          <w:szCs w:val="20"/>
          <w:lang w:val="en-US"/>
        </w:rPr>
        <w:t>,</w:t>
      </w:r>
      <w:r w:rsidR="007A21DE" w:rsidRPr="00D869E3">
        <w:rPr>
          <w:rFonts w:ascii="Verdana" w:hAnsi="Verdana"/>
          <w:spacing w:val="-2"/>
          <w:sz w:val="20"/>
          <w:szCs w:val="20"/>
          <w:lang w:val="en-US"/>
        </w:rPr>
        <w:t xml:space="preserve"> </w:t>
      </w:r>
      <w:r w:rsidRPr="00D869E3">
        <w:rPr>
          <w:rFonts w:ascii="Verdana" w:hAnsi="Verdana"/>
          <w:spacing w:val="-2"/>
          <w:sz w:val="20"/>
          <w:szCs w:val="20"/>
          <w:lang w:val="en-US"/>
        </w:rPr>
        <w:t xml:space="preserve">there is a collective interest for the corresponding workers, and </w:t>
      </w:r>
      <w:r w:rsidR="00E147EC" w:rsidRPr="00D869E3">
        <w:rPr>
          <w:rFonts w:ascii="Verdana" w:hAnsi="Verdana"/>
          <w:spacing w:val="-2"/>
          <w:sz w:val="20"/>
          <w:szCs w:val="20"/>
          <w:lang w:val="en-US"/>
        </w:rPr>
        <w:t xml:space="preserve">this </w:t>
      </w:r>
      <w:r w:rsidRPr="00D869E3">
        <w:rPr>
          <w:rFonts w:ascii="Verdana" w:hAnsi="Verdana"/>
          <w:spacing w:val="-2"/>
          <w:sz w:val="20"/>
          <w:szCs w:val="20"/>
          <w:lang w:val="en-US"/>
        </w:rPr>
        <w:t>has a</w:t>
      </w:r>
      <w:r w:rsidR="00BB2FBA" w:rsidRPr="00D869E3">
        <w:rPr>
          <w:rFonts w:ascii="Verdana" w:hAnsi="Verdana"/>
          <w:spacing w:val="-2"/>
          <w:sz w:val="20"/>
          <w:szCs w:val="20"/>
          <w:lang w:val="en-US"/>
        </w:rPr>
        <w:t>n</w:t>
      </w:r>
      <w:r w:rsidRPr="00D869E3">
        <w:rPr>
          <w:rFonts w:ascii="Verdana" w:hAnsi="Verdana"/>
          <w:spacing w:val="-2"/>
          <w:sz w:val="20"/>
          <w:szCs w:val="20"/>
          <w:lang w:val="en-US"/>
        </w:rPr>
        <w:t xml:space="preserve"> </w:t>
      </w:r>
      <w:r w:rsidR="00E147EC" w:rsidRPr="00D869E3">
        <w:rPr>
          <w:rFonts w:ascii="Verdana" w:hAnsi="Verdana"/>
          <w:spacing w:val="-2"/>
          <w:sz w:val="20"/>
          <w:szCs w:val="20"/>
          <w:lang w:val="en-US"/>
        </w:rPr>
        <w:t>even greater</w:t>
      </w:r>
      <w:r w:rsidRPr="00D869E3">
        <w:rPr>
          <w:rFonts w:ascii="Verdana" w:hAnsi="Verdana"/>
          <w:spacing w:val="-2"/>
          <w:sz w:val="20"/>
          <w:szCs w:val="20"/>
          <w:lang w:val="en-US"/>
        </w:rPr>
        <w:t xml:space="preserve"> importance when it refers to relevant aspects</w:t>
      </w:r>
      <w:r w:rsidR="00E74F1C" w:rsidRPr="00D869E3">
        <w:rPr>
          <w:rFonts w:ascii="Verdana" w:hAnsi="Verdana"/>
          <w:spacing w:val="-2"/>
          <w:sz w:val="20"/>
          <w:szCs w:val="20"/>
          <w:lang w:val="en-US"/>
        </w:rPr>
        <w:t>,</w:t>
      </w:r>
      <w:r w:rsidR="007A21DE" w:rsidRPr="00D869E3">
        <w:rPr>
          <w:rFonts w:ascii="Verdana" w:hAnsi="Verdana"/>
          <w:spacing w:val="-2"/>
          <w:sz w:val="20"/>
          <w:szCs w:val="20"/>
          <w:lang w:val="en-US"/>
        </w:rPr>
        <w:t xml:space="preserve"> </w:t>
      </w:r>
      <w:r w:rsidR="00075E68" w:rsidRPr="00D869E3">
        <w:rPr>
          <w:rFonts w:ascii="Verdana" w:hAnsi="Verdana"/>
          <w:spacing w:val="-2"/>
          <w:sz w:val="20"/>
          <w:szCs w:val="20"/>
          <w:lang w:val="en-US"/>
        </w:rPr>
        <w:t>for example</w:t>
      </w:r>
      <w:r w:rsidR="00E74F1C" w:rsidRPr="00D869E3">
        <w:rPr>
          <w:rFonts w:ascii="Verdana" w:hAnsi="Verdana"/>
          <w:spacing w:val="-2"/>
          <w:sz w:val="20"/>
          <w:szCs w:val="20"/>
          <w:lang w:val="en-US"/>
        </w:rPr>
        <w:t xml:space="preserve">, </w:t>
      </w:r>
      <w:r w:rsidRPr="00D869E3">
        <w:rPr>
          <w:rFonts w:ascii="Verdana" w:hAnsi="Verdana"/>
          <w:spacing w:val="-2"/>
          <w:sz w:val="20"/>
          <w:szCs w:val="20"/>
          <w:lang w:val="en-US"/>
        </w:rPr>
        <w:t>in relation to a specific sector,</w:t>
      </w:r>
      <w:r w:rsidR="007A21DE" w:rsidRPr="00D869E3">
        <w:rPr>
          <w:rFonts w:ascii="Verdana" w:hAnsi="Verdana"/>
          <w:spacing w:val="-2"/>
          <w:sz w:val="20"/>
          <w:szCs w:val="20"/>
          <w:vertAlign w:val="superscript"/>
          <w:lang w:val="en-US"/>
        </w:rPr>
        <w:footnoteReference w:id="145"/>
      </w:r>
      <w:r w:rsidR="00687684" w:rsidRPr="00D869E3">
        <w:rPr>
          <w:rFonts w:ascii="Verdana" w:hAnsi="Verdana"/>
          <w:spacing w:val="-2"/>
          <w:sz w:val="20"/>
          <w:szCs w:val="20"/>
          <w:lang w:val="en-US"/>
        </w:rPr>
        <w:t xml:space="preserve"> and</w:t>
      </w:r>
      <w:r w:rsidR="007E1B37" w:rsidRPr="00D869E3">
        <w:rPr>
          <w:rFonts w:ascii="Verdana" w:hAnsi="Verdana"/>
          <w:spacing w:val="-2"/>
          <w:sz w:val="20"/>
          <w:szCs w:val="20"/>
          <w:lang w:val="en-US"/>
        </w:rPr>
        <w:t xml:space="preserve"> especially when the opinions </w:t>
      </w:r>
      <w:r w:rsidR="00E147EC" w:rsidRPr="00D869E3">
        <w:rPr>
          <w:rFonts w:ascii="Verdana" w:hAnsi="Verdana"/>
          <w:spacing w:val="-2"/>
          <w:sz w:val="20"/>
          <w:szCs w:val="20"/>
          <w:lang w:val="en-US"/>
        </w:rPr>
        <w:t>refer to a</w:t>
      </w:r>
      <w:r w:rsidR="00BB2FBA" w:rsidRPr="00D869E3">
        <w:rPr>
          <w:rFonts w:ascii="Verdana" w:hAnsi="Verdana"/>
          <w:spacing w:val="-2"/>
          <w:sz w:val="20"/>
          <w:szCs w:val="20"/>
          <w:lang w:val="en-US"/>
        </w:rPr>
        <w:t xml:space="preserve">n </w:t>
      </w:r>
      <w:r w:rsidR="00E147EC" w:rsidRPr="00D869E3">
        <w:rPr>
          <w:rFonts w:ascii="Verdana" w:hAnsi="Verdana"/>
          <w:spacing w:val="-2"/>
          <w:sz w:val="20"/>
          <w:szCs w:val="20"/>
          <w:lang w:val="en-US"/>
        </w:rPr>
        <w:t>organizational model of the State or its institutions in a democratic society.</w:t>
      </w:r>
      <w:r w:rsidR="007A21DE" w:rsidRPr="00D869E3">
        <w:rPr>
          <w:rFonts w:ascii="Verdana" w:hAnsi="Verdana"/>
          <w:spacing w:val="-2"/>
          <w:sz w:val="20"/>
          <w:szCs w:val="20"/>
          <w:vertAlign w:val="superscript"/>
          <w:lang w:val="en-US"/>
        </w:rPr>
        <w:footnoteReference w:id="146"/>
      </w:r>
      <w:r w:rsidR="007A21DE" w:rsidRPr="00D869E3">
        <w:rPr>
          <w:rFonts w:ascii="Verdana" w:hAnsi="Verdana"/>
          <w:spacing w:val="-2"/>
          <w:sz w:val="20"/>
          <w:szCs w:val="20"/>
          <w:lang w:val="en-US"/>
        </w:rPr>
        <w:t xml:space="preserve"> </w:t>
      </w:r>
    </w:p>
    <w:p w14:paraId="6A7D1958" w14:textId="77777777" w:rsidR="007A21DE" w:rsidRPr="00D869E3" w:rsidRDefault="007A21DE" w:rsidP="007A21DE">
      <w:pPr>
        <w:contextualSpacing/>
        <w:rPr>
          <w:rFonts w:ascii="Verdana" w:hAnsi="Verdana"/>
          <w:sz w:val="20"/>
          <w:szCs w:val="20"/>
          <w:lang w:val="en-US"/>
        </w:rPr>
      </w:pPr>
    </w:p>
    <w:p w14:paraId="5C423223" w14:textId="3016E73C" w:rsidR="007A21DE" w:rsidRPr="00D869E3" w:rsidRDefault="00366EA8" w:rsidP="00E66DD7">
      <w:pPr>
        <w:numPr>
          <w:ilvl w:val="0"/>
          <w:numId w:val="1"/>
        </w:numPr>
        <w:ind w:left="0" w:firstLine="0"/>
        <w:contextualSpacing/>
        <w:jc w:val="both"/>
        <w:rPr>
          <w:rFonts w:ascii="Verdana" w:hAnsi="Verdana"/>
          <w:sz w:val="20"/>
          <w:szCs w:val="20"/>
          <w:lang w:val="en-US"/>
        </w:rPr>
      </w:pPr>
      <w:r w:rsidRPr="00D869E3">
        <w:rPr>
          <w:rFonts w:ascii="Verdana" w:hAnsi="Verdana"/>
          <w:sz w:val="20"/>
          <w:szCs w:val="20"/>
          <w:lang w:val="en-US"/>
        </w:rPr>
        <w:t>Regarding</w:t>
      </w:r>
      <w:r w:rsidR="00E74F1C" w:rsidRPr="00D869E3">
        <w:rPr>
          <w:rFonts w:ascii="Verdana" w:hAnsi="Verdana"/>
          <w:sz w:val="20"/>
          <w:szCs w:val="20"/>
          <w:lang w:val="en-US"/>
        </w:rPr>
        <w:t xml:space="preserve"> </w:t>
      </w:r>
      <w:r w:rsidRPr="00D869E3">
        <w:rPr>
          <w:rFonts w:ascii="Verdana" w:hAnsi="Verdana"/>
          <w:sz w:val="20"/>
          <w:szCs w:val="20"/>
          <w:lang w:val="en-US"/>
        </w:rPr>
        <w:t>public interest</w:t>
      </w:r>
      <w:r w:rsidR="007A21DE" w:rsidRPr="00D869E3">
        <w:rPr>
          <w:rFonts w:ascii="Verdana" w:hAnsi="Verdana"/>
          <w:sz w:val="20"/>
          <w:szCs w:val="20"/>
          <w:lang w:val="en-US"/>
        </w:rPr>
        <w:t xml:space="preserve">, </w:t>
      </w:r>
      <w:r w:rsidR="001E44D3" w:rsidRPr="00D869E3">
        <w:rPr>
          <w:rFonts w:ascii="Verdana" w:hAnsi="Verdana"/>
          <w:sz w:val="20"/>
          <w:szCs w:val="20"/>
          <w:lang w:val="en-US"/>
        </w:rPr>
        <w:t>expert witness</w:t>
      </w:r>
      <w:r w:rsidR="007A21DE" w:rsidRPr="00D869E3">
        <w:rPr>
          <w:rFonts w:ascii="Verdana" w:hAnsi="Verdana"/>
          <w:sz w:val="20"/>
          <w:szCs w:val="20"/>
          <w:lang w:val="en-US"/>
        </w:rPr>
        <w:t xml:space="preserve"> Damián Loreti </w:t>
      </w:r>
      <w:r w:rsidR="00BB2FBA" w:rsidRPr="00D869E3">
        <w:rPr>
          <w:rFonts w:ascii="Verdana" w:hAnsi="Verdana"/>
          <w:sz w:val="20"/>
          <w:szCs w:val="20"/>
          <w:lang w:val="en-US"/>
        </w:rPr>
        <w:t>state</w:t>
      </w:r>
      <w:r w:rsidRPr="00D869E3">
        <w:rPr>
          <w:rFonts w:ascii="Verdana" w:hAnsi="Verdana"/>
          <w:sz w:val="20"/>
          <w:szCs w:val="20"/>
          <w:lang w:val="en-US"/>
        </w:rPr>
        <w:t xml:space="preserve">d during the hearing </w:t>
      </w:r>
      <w:r w:rsidR="00966115" w:rsidRPr="00D869E3">
        <w:rPr>
          <w:rFonts w:ascii="Verdana" w:hAnsi="Verdana"/>
          <w:sz w:val="20"/>
          <w:szCs w:val="20"/>
          <w:lang w:val="en-US"/>
        </w:rPr>
        <w:t>before the</w:t>
      </w:r>
      <w:r w:rsidR="00447C65" w:rsidRPr="00D869E3">
        <w:rPr>
          <w:rFonts w:ascii="Verdana" w:hAnsi="Verdana"/>
          <w:sz w:val="20"/>
          <w:szCs w:val="20"/>
          <w:lang w:val="en-US"/>
        </w:rPr>
        <w:t xml:space="preserve"> Court</w:t>
      </w:r>
      <w:r w:rsidR="007A21DE" w:rsidRPr="00D869E3">
        <w:rPr>
          <w:rFonts w:ascii="Verdana" w:hAnsi="Verdana"/>
          <w:sz w:val="20"/>
          <w:szCs w:val="20"/>
          <w:lang w:val="en-US"/>
        </w:rPr>
        <w:t xml:space="preserve"> </w:t>
      </w:r>
      <w:r w:rsidRPr="00D869E3">
        <w:rPr>
          <w:rFonts w:ascii="Verdana" w:hAnsi="Verdana"/>
          <w:sz w:val="20"/>
          <w:szCs w:val="20"/>
          <w:lang w:val="en-US"/>
        </w:rPr>
        <w:t>that</w:t>
      </w:r>
      <w:r w:rsidR="007A21DE" w:rsidRPr="00D869E3">
        <w:rPr>
          <w:rFonts w:ascii="Verdana" w:hAnsi="Verdana"/>
          <w:sz w:val="20"/>
          <w:szCs w:val="20"/>
          <w:lang w:val="en-US"/>
        </w:rPr>
        <w:t xml:space="preserve">: </w:t>
      </w:r>
    </w:p>
    <w:p w14:paraId="728A5B81" w14:textId="77777777" w:rsidR="007A21DE" w:rsidRPr="00D869E3" w:rsidRDefault="007A21DE" w:rsidP="007A21DE">
      <w:pPr>
        <w:ind w:left="567"/>
        <w:contextualSpacing/>
        <w:jc w:val="both"/>
        <w:rPr>
          <w:rFonts w:ascii="Verdana" w:hAnsi="Verdana"/>
          <w:sz w:val="18"/>
          <w:szCs w:val="20"/>
          <w:lang w:val="en-US"/>
        </w:rPr>
      </w:pPr>
    </w:p>
    <w:p w14:paraId="1B60DD5B" w14:textId="6978B9C8" w:rsidR="00E147EC" w:rsidRPr="00D869E3" w:rsidRDefault="007A21DE" w:rsidP="00270810">
      <w:pPr>
        <w:ind w:left="567" w:right="566"/>
        <w:contextualSpacing/>
        <w:jc w:val="both"/>
        <w:rPr>
          <w:rFonts w:ascii="Verdana" w:hAnsi="Verdana"/>
          <w:sz w:val="18"/>
          <w:szCs w:val="20"/>
          <w:lang w:val="en-US"/>
        </w:rPr>
      </w:pPr>
      <w:r w:rsidRPr="00D869E3">
        <w:rPr>
          <w:rFonts w:ascii="Verdana" w:hAnsi="Verdana"/>
          <w:sz w:val="18"/>
          <w:szCs w:val="20"/>
          <w:lang w:val="en-US"/>
        </w:rPr>
        <w:t>[</w:t>
      </w:r>
      <w:r w:rsidR="00E147EC" w:rsidRPr="00D869E3">
        <w:rPr>
          <w:rFonts w:ascii="Verdana" w:hAnsi="Verdana"/>
          <w:sz w:val="18"/>
          <w:szCs w:val="20"/>
          <w:lang w:val="en-US"/>
        </w:rPr>
        <w:t>On the one hand</w:t>
      </w:r>
      <w:r w:rsidRPr="00D869E3">
        <w:rPr>
          <w:rFonts w:ascii="Verdana" w:hAnsi="Verdana"/>
          <w:sz w:val="18"/>
          <w:szCs w:val="20"/>
          <w:lang w:val="en-US"/>
        </w:rPr>
        <w:t xml:space="preserve">], </w:t>
      </w:r>
      <w:r w:rsidR="00E147EC" w:rsidRPr="00D869E3">
        <w:rPr>
          <w:rFonts w:ascii="Verdana" w:hAnsi="Verdana"/>
          <w:sz w:val="18"/>
          <w:szCs w:val="20"/>
          <w:lang w:val="en-US"/>
        </w:rPr>
        <w:t xml:space="preserve">when placing the analysis </w:t>
      </w:r>
      <w:r w:rsidRPr="00D869E3">
        <w:rPr>
          <w:rFonts w:ascii="Verdana" w:hAnsi="Verdana"/>
          <w:sz w:val="18"/>
          <w:szCs w:val="20"/>
          <w:lang w:val="en-US"/>
        </w:rPr>
        <w:t>[</w:t>
      </w:r>
      <w:r w:rsidR="00E74F1C" w:rsidRPr="00D869E3">
        <w:rPr>
          <w:rFonts w:ascii="Verdana" w:hAnsi="Verdana"/>
          <w:sz w:val="18"/>
          <w:szCs w:val="20"/>
          <w:lang w:val="en-US"/>
        </w:rPr>
        <w:t xml:space="preserve">… </w:t>
      </w:r>
      <w:r w:rsidR="00E147EC" w:rsidRPr="00D869E3">
        <w:rPr>
          <w:rFonts w:ascii="Verdana" w:hAnsi="Verdana"/>
          <w:sz w:val="18"/>
          <w:szCs w:val="20"/>
          <w:lang w:val="en-US"/>
        </w:rPr>
        <w:t>of</w:t>
      </w:r>
      <w:r w:rsidR="00E74F1C" w:rsidRPr="00D869E3">
        <w:rPr>
          <w:rFonts w:ascii="Verdana" w:hAnsi="Verdana"/>
          <w:sz w:val="18"/>
          <w:szCs w:val="20"/>
          <w:lang w:val="en-US"/>
        </w:rPr>
        <w:t xml:space="preserve"> </w:t>
      </w:r>
      <w:r w:rsidR="00366EA8" w:rsidRPr="00D869E3">
        <w:rPr>
          <w:rFonts w:ascii="Verdana" w:hAnsi="Verdana"/>
          <w:sz w:val="18"/>
          <w:szCs w:val="20"/>
          <w:lang w:val="en-US"/>
        </w:rPr>
        <w:t>public interest</w:t>
      </w:r>
      <w:r w:rsidRPr="00D869E3">
        <w:rPr>
          <w:rFonts w:ascii="Verdana" w:hAnsi="Verdana"/>
          <w:sz w:val="18"/>
          <w:szCs w:val="20"/>
          <w:lang w:val="en-US"/>
        </w:rPr>
        <w:t>]</w:t>
      </w:r>
      <w:r w:rsidR="00E147EC" w:rsidRPr="00D869E3">
        <w:rPr>
          <w:rFonts w:ascii="Verdana" w:hAnsi="Verdana"/>
          <w:sz w:val="18"/>
          <w:szCs w:val="20"/>
          <w:lang w:val="en-US"/>
        </w:rPr>
        <w:t xml:space="preserve"> in context, it is necessary to take into account the content of the </w:t>
      </w:r>
      <w:r w:rsidR="008B574B" w:rsidRPr="00D869E3">
        <w:rPr>
          <w:rFonts w:ascii="Verdana" w:hAnsi="Verdana"/>
          <w:sz w:val="18"/>
          <w:szCs w:val="20"/>
          <w:lang w:val="en-US"/>
        </w:rPr>
        <w:t>opinion or publication</w:t>
      </w:r>
      <w:r w:rsidR="00BB2FBA" w:rsidRPr="00D869E3">
        <w:rPr>
          <w:rFonts w:ascii="Verdana" w:hAnsi="Verdana"/>
          <w:sz w:val="18"/>
          <w:szCs w:val="20"/>
          <w:lang w:val="en-US"/>
        </w:rPr>
        <w:t>,</w:t>
      </w:r>
      <w:r w:rsidR="008B574B" w:rsidRPr="00D869E3">
        <w:rPr>
          <w:rFonts w:ascii="Verdana" w:hAnsi="Verdana"/>
          <w:sz w:val="18"/>
          <w:szCs w:val="20"/>
          <w:lang w:val="en-US"/>
        </w:rPr>
        <w:t xml:space="preserve"> whether it contributes to the </w:t>
      </w:r>
      <w:r w:rsidR="008B574B" w:rsidRPr="00D869E3">
        <w:rPr>
          <w:rFonts w:ascii="Verdana" w:hAnsi="Verdana"/>
          <w:sz w:val="18"/>
          <w:szCs w:val="20"/>
          <w:lang w:val="en-US"/>
        </w:rPr>
        <w:lastRenderedPageBreak/>
        <w:t>discussion or to the interests of labor union or worker activities. The means used, the social context, including the timeliness. The nature of the position of the employee, whether or not he is a representative. The type of company […], the content of the opinion or publication that contributes to the discussion or to the defense of interests; the means used. The context includes the timeliness, the nature, the position of the employee; in other words, if the opinion is given in defense of others or of the individual himself; the nature of the company, whether it is public or private; the way in which the criticism was expressed; whether it was spontaneous; what were the intentions; whether it was based on facts, and whether there have been previous actions by the employee and the employer that would justify the statements.</w:t>
      </w:r>
    </w:p>
    <w:p w14:paraId="370F6208" w14:textId="77777777" w:rsidR="007A21DE" w:rsidRPr="00D869E3" w:rsidRDefault="007A21DE" w:rsidP="00270810">
      <w:pPr>
        <w:ind w:right="566"/>
        <w:contextualSpacing/>
        <w:jc w:val="both"/>
        <w:rPr>
          <w:rFonts w:ascii="Verdana" w:hAnsi="Verdana"/>
          <w:sz w:val="18"/>
          <w:szCs w:val="20"/>
          <w:lang w:val="en-US"/>
        </w:rPr>
      </w:pPr>
    </w:p>
    <w:p w14:paraId="733C9576" w14:textId="152647DF" w:rsidR="008B574B" w:rsidRPr="00D869E3" w:rsidRDefault="007A21DE" w:rsidP="00270810">
      <w:pPr>
        <w:ind w:left="567" w:right="566"/>
        <w:contextualSpacing/>
        <w:jc w:val="both"/>
        <w:rPr>
          <w:rFonts w:ascii="Verdana" w:hAnsi="Verdana"/>
          <w:sz w:val="18"/>
          <w:szCs w:val="20"/>
          <w:lang w:val="en-US"/>
        </w:rPr>
      </w:pPr>
      <w:r w:rsidRPr="00D869E3">
        <w:rPr>
          <w:rFonts w:ascii="Verdana" w:hAnsi="Verdana"/>
          <w:sz w:val="18"/>
          <w:szCs w:val="20"/>
          <w:lang w:val="en-US"/>
        </w:rPr>
        <w:t>[</w:t>
      </w:r>
      <w:r w:rsidR="008B574B" w:rsidRPr="00D869E3">
        <w:rPr>
          <w:rFonts w:ascii="Verdana" w:hAnsi="Verdana"/>
          <w:sz w:val="18"/>
          <w:szCs w:val="20"/>
          <w:lang w:val="en-US"/>
        </w:rPr>
        <w:t>On the other hand</w:t>
      </w:r>
      <w:r w:rsidRPr="00D869E3">
        <w:rPr>
          <w:rFonts w:ascii="Verdana" w:hAnsi="Verdana"/>
          <w:sz w:val="18"/>
          <w:szCs w:val="20"/>
          <w:lang w:val="en-US"/>
        </w:rPr>
        <w:t xml:space="preserve">], </w:t>
      </w:r>
      <w:r w:rsidR="008B574B" w:rsidRPr="00D869E3">
        <w:rPr>
          <w:rFonts w:ascii="Verdana" w:hAnsi="Verdana"/>
          <w:sz w:val="18"/>
          <w:szCs w:val="20"/>
          <w:lang w:val="en-US"/>
        </w:rPr>
        <w:t>it is possible to systematize the cases in which the statements […] are not of public interest. [For example,] when they refer to or affect the product offered by the company</w:t>
      </w:r>
      <w:r w:rsidR="00270810" w:rsidRPr="00D869E3">
        <w:rPr>
          <w:rFonts w:ascii="Verdana" w:hAnsi="Verdana"/>
          <w:sz w:val="18"/>
          <w:szCs w:val="20"/>
          <w:lang w:val="en-US"/>
        </w:rPr>
        <w:t>;</w:t>
      </w:r>
      <w:r w:rsidR="008B574B" w:rsidRPr="00D869E3">
        <w:rPr>
          <w:rFonts w:ascii="Verdana" w:hAnsi="Verdana"/>
          <w:sz w:val="18"/>
          <w:szCs w:val="20"/>
          <w:lang w:val="en-US"/>
        </w:rPr>
        <w:t xml:space="preserve"> […] criticism of the quality of the service offered when there is no [general] interest that justifies this or it is not a public service […], or when someone’s private life is affected without this being justified […]; collaboration with the competition, breach of confidentiality […] of any kind. The existence of […] disparaging information that is not justified towards </w:t>
      </w:r>
      <w:r w:rsidR="007D630F" w:rsidRPr="00D869E3">
        <w:rPr>
          <w:rFonts w:ascii="Verdana" w:hAnsi="Verdana"/>
          <w:sz w:val="18"/>
          <w:szCs w:val="20"/>
          <w:lang w:val="en-US"/>
        </w:rPr>
        <w:t xml:space="preserve">co-workers with better jobs, which alters the normal co-existence in the workplace, and when the statements are unnecessary and do not defend the interests of the workers, or are not based on facts […]. </w:t>
      </w:r>
    </w:p>
    <w:p w14:paraId="3A3A5665" w14:textId="77777777" w:rsidR="007A21DE" w:rsidRPr="00D869E3" w:rsidRDefault="007A21DE" w:rsidP="007D630F">
      <w:pPr>
        <w:contextualSpacing/>
        <w:jc w:val="both"/>
        <w:rPr>
          <w:rFonts w:ascii="Verdana" w:hAnsi="Verdana"/>
          <w:sz w:val="18"/>
          <w:szCs w:val="20"/>
          <w:lang w:val="en-US"/>
        </w:rPr>
      </w:pPr>
    </w:p>
    <w:p w14:paraId="10E344CF" w14:textId="654289A9" w:rsidR="00432FF5" w:rsidRPr="00D869E3" w:rsidRDefault="00447C65" w:rsidP="00432FF5">
      <w:pPr>
        <w:numPr>
          <w:ilvl w:val="0"/>
          <w:numId w:val="1"/>
        </w:numPr>
        <w:ind w:left="0" w:firstLine="0"/>
        <w:contextualSpacing/>
        <w:jc w:val="both"/>
        <w:rPr>
          <w:rFonts w:ascii="Verdana" w:hAnsi="Verdana"/>
          <w:sz w:val="20"/>
          <w:szCs w:val="20"/>
          <w:lang w:val="en-US"/>
        </w:rPr>
      </w:pPr>
      <w:r w:rsidRPr="00D869E3">
        <w:rPr>
          <w:rFonts w:ascii="Verdana" w:hAnsi="Verdana"/>
          <w:sz w:val="20"/>
          <w:szCs w:val="20"/>
          <w:lang w:val="en-US"/>
        </w:rPr>
        <w:t>The Court</w:t>
      </w:r>
      <w:r w:rsidR="007C6623" w:rsidRPr="00D869E3">
        <w:rPr>
          <w:rFonts w:ascii="Verdana" w:hAnsi="Verdana"/>
          <w:sz w:val="20"/>
          <w:szCs w:val="20"/>
          <w:lang w:val="en-US"/>
        </w:rPr>
        <w:t xml:space="preserve"> </w:t>
      </w:r>
      <w:r w:rsidR="00432FF5" w:rsidRPr="00D869E3">
        <w:rPr>
          <w:rFonts w:ascii="Verdana" w:hAnsi="Verdana"/>
          <w:sz w:val="20"/>
          <w:szCs w:val="20"/>
          <w:lang w:val="en-US"/>
        </w:rPr>
        <w:t>considers that, in principle, statements aimed at promoting the proper functioning and improvement of working conditions, or workers’ demands, represent, in themselves, a legitimate and coherent purpose within the framework of worker organizations.</w:t>
      </w:r>
      <w:r w:rsidR="007C6623" w:rsidRPr="00D869E3">
        <w:rPr>
          <w:rFonts w:ascii="Verdana" w:hAnsi="Verdana"/>
          <w:sz w:val="20"/>
          <w:szCs w:val="20"/>
          <w:vertAlign w:val="superscript"/>
          <w:lang w:val="en-US"/>
        </w:rPr>
        <w:footnoteReference w:id="147"/>
      </w:r>
      <w:r w:rsidR="007C6623" w:rsidRPr="00D869E3">
        <w:rPr>
          <w:rFonts w:ascii="Verdana" w:hAnsi="Verdana"/>
          <w:sz w:val="20"/>
          <w:szCs w:val="20"/>
          <w:lang w:val="en-US"/>
        </w:rPr>
        <w:t xml:space="preserve"> A</w:t>
      </w:r>
      <w:r w:rsidR="00432FF5" w:rsidRPr="00D869E3">
        <w:rPr>
          <w:rFonts w:ascii="Verdana" w:hAnsi="Verdana"/>
          <w:sz w:val="20"/>
          <w:szCs w:val="20"/>
          <w:lang w:val="en-US"/>
        </w:rPr>
        <w:t>lso, statements made in the context of an internal electoral process contribute to the debate during the process as an essential tool of the collective interest and of voters.</w:t>
      </w:r>
    </w:p>
    <w:p w14:paraId="173E4361" w14:textId="77777777" w:rsidR="007C6623" w:rsidRPr="00D869E3" w:rsidRDefault="007C6623" w:rsidP="00557859">
      <w:pPr>
        <w:contextualSpacing/>
        <w:jc w:val="both"/>
        <w:rPr>
          <w:rFonts w:ascii="Verdana" w:hAnsi="Verdana"/>
          <w:sz w:val="20"/>
          <w:szCs w:val="20"/>
          <w:lang w:val="en-US"/>
        </w:rPr>
      </w:pPr>
    </w:p>
    <w:p w14:paraId="13FAFB77" w14:textId="30D72807" w:rsidR="00227C33" w:rsidRPr="00D869E3" w:rsidRDefault="00075E68" w:rsidP="00E66DD7">
      <w:pPr>
        <w:numPr>
          <w:ilvl w:val="0"/>
          <w:numId w:val="1"/>
        </w:numPr>
        <w:ind w:left="0" w:firstLine="0"/>
        <w:contextualSpacing/>
        <w:jc w:val="both"/>
        <w:rPr>
          <w:rFonts w:ascii="Verdana" w:hAnsi="Verdana"/>
          <w:sz w:val="20"/>
          <w:szCs w:val="20"/>
          <w:lang w:val="en-US"/>
        </w:rPr>
      </w:pPr>
      <w:r w:rsidRPr="00D869E3">
        <w:rPr>
          <w:rFonts w:ascii="Verdana" w:hAnsi="Verdana"/>
          <w:sz w:val="20"/>
          <w:szCs w:val="20"/>
          <w:lang w:val="en-US"/>
        </w:rPr>
        <w:t>In this regard</w:t>
      </w:r>
      <w:r w:rsidR="00227C33" w:rsidRPr="00D869E3">
        <w:rPr>
          <w:rFonts w:ascii="Verdana" w:hAnsi="Verdana"/>
          <w:sz w:val="20"/>
          <w:szCs w:val="20"/>
          <w:lang w:val="en-US"/>
        </w:rPr>
        <w:t xml:space="preserve">, </w:t>
      </w:r>
      <w:r w:rsidR="00447C65" w:rsidRPr="00D869E3">
        <w:rPr>
          <w:rFonts w:ascii="Verdana" w:hAnsi="Verdana"/>
          <w:sz w:val="20"/>
          <w:szCs w:val="20"/>
          <w:lang w:val="en-US"/>
        </w:rPr>
        <w:t xml:space="preserve">the </w:t>
      </w:r>
      <w:r w:rsidR="005E7D90" w:rsidRPr="00D869E3">
        <w:rPr>
          <w:rFonts w:ascii="Verdana" w:hAnsi="Verdana"/>
          <w:sz w:val="20"/>
          <w:szCs w:val="20"/>
          <w:lang w:val="en-US"/>
        </w:rPr>
        <w:t>European Court of Human Rights</w:t>
      </w:r>
      <w:r w:rsidR="00432FF5" w:rsidRPr="00D869E3">
        <w:rPr>
          <w:rFonts w:ascii="Verdana" w:hAnsi="Verdana"/>
          <w:sz w:val="20"/>
          <w:szCs w:val="20"/>
          <w:lang w:val="en-US"/>
        </w:rPr>
        <w:t xml:space="preserve"> </w:t>
      </w:r>
      <w:r w:rsidR="00227C33" w:rsidRPr="00D869E3">
        <w:rPr>
          <w:rFonts w:ascii="Verdana" w:hAnsi="Verdana"/>
          <w:sz w:val="20"/>
          <w:szCs w:val="20"/>
          <w:lang w:val="en-US"/>
        </w:rPr>
        <w:t>ha</w:t>
      </w:r>
      <w:r w:rsidR="00432FF5" w:rsidRPr="00D869E3">
        <w:rPr>
          <w:rFonts w:ascii="Verdana" w:hAnsi="Verdana"/>
          <w:sz w:val="20"/>
          <w:szCs w:val="20"/>
          <w:lang w:val="en-US"/>
        </w:rPr>
        <w:t>s recognized certain statements made by workers in the specific context of the private sphere as of general</w:t>
      </w:r>
      <w:r w:rsidR="00366EA8" w:rsidRPr="00D869E3">
        <w:rPr>
          <w:rFonts w:ascii="Verdana" w:hAnsi="Verdana"/>
          <w:sz w:val="20"/>
          <w:szCs w:val="20"/>
          <w:lang w:val="en-US"/>
        </w:rPr>
        <w:t xml:space="preserve"> interest</w:t>
      </w:r>
      <w:r w:rsidR="00227C33" w:rsidRPr="00D869E3">
        <w:rPr>
          <w:rFonts w:ascii="Verdana" w:hAnsi="Verdana"/>
          <w:sz w:val="20"/>
          <w:szCs w:val="20"/>
          <w:lang w:val="en-US"/>
        </w:rPr>
        <w:t xml:space="preserve"> </w:t>
      </w:r>
      <w:r w:rsidR="00432FF5" w:rsidRPr="00D869E3">
        <w:rPr>
          <w:rFonts w:ascii="Verdana" w:hAnsi="Verdana"/>
          <w:sz w:val="20"/>
          <w:szCs w:val="20"/>
          <w:lang w:val="en-US"/>
        </w:rPr>
        <w:t>in light of the</w:t>
      </w:r>
      <w:r w:rsidR="00227C33" w:rsidRPr="00D869E3">
        <w:rPr>
          <w:rFonts w:ascii="Verdana" w:hAnsi="Verdana"/>
          <w:sz w:val="20"/>
          <w:szCs w:val="20"/>
          <w:lang w:val="en-US"/>
        </w:rPr>
        <w:t xml:space="preserve"> </w:t>
      </w:r>
      <w:r w:rsidR="00C82C0C" w:rsidRPr="00D869E3">
        <w:rPr>
          <w:rFonts w:ascii="Verdana" w:hAnsi="Verdana"/>
          <w:sz w:val="20"/>
          <w:szCs w:val="20"/>
          <w:lang w:val="en-US"/>
        </w:rPr>
        <w:t>right to freedom</w:t>
      </w:r>
      <w:r w:rsidR="00A62EA8" w:rsidRPr="00D869E3">
        <w:rPr>
          <w:rFonts w:ascii="Verdana" w:hAnsi="Verdana"/>
          <w:sz w:val="20"/>
          <w:szCs w:val="20"/>
          <w:lang w:val="en-US"/>
        </w:rPr>
        <w:t xml:space="preserve"> of expression</w:t>
      </w:r>
      <w:r w:rsidR="00227C33" w:rsidRPr="00D869E3">
        <w:rPr>
          <w:rFonts w:ascii="Verdana" w:hAnsi="Verdana"/>
          <w:sz w:val="20"/>
          <w:szCs w:val="20"/>
          <w:lang w:val="en-US"/>
        </w:rPr>
        <w:t xml:space="preserve"> </w:t>
      </w:r>
      <w:r w:rsidR="00432FF5" w:rsidRPr="00D869E3">
        <w:rPr>
          <w:rFonts w:ascii="Verdana" w:hAnsi="Verdana"/>
          <w:sz w:val="20"/>
          <w:szCs w:val="20"/>
          <w:lang w:val="en-US"/>
        </w:rPr>
        <w:t>under the European Convention.</w:t>
      </w:r>
      <w:r w:rsidR="00115071" w:rsidRPr="00D869E3">
        <w:rPr>
          <w:rStyle w:val="Refdenotaalpie"/>
          <w:szCs w:val="20"/>
          <w:lang w:val="en-US"/>
        </w:rPr>
        <w:footnoteReference w:id="148"/>
      </w:r>
      <w:r w:rsidR="00227C33" w:rsidRPr="00D869E3">
        <w:rPr>
          <w:rFonts w:ascii="Verdana" w:hAnsi="Verdana"/>
          <w:sz w:val="20"/>
          <w:szCs w:val="20"/>
          <w:lang w:val="en-US"/>
        </w:rPr>
        <w:t xml:space="preserve"> </w:t>
      </w:r>
    </w:p>
    <w:p w14:paraId="4F94492E" w14:textId="77777777" w:rsidR="00227C33" w:rsidRPr="00D869E3" w:rsidRDefault="00227C33" w:rsidP="00557859">
      <w:pPr>
        <w:contextualSpacing/>
        <w:jc w:val="both"/>
        <w:rPr>
          <w:rFonts w:ascii="Verdana" w:hAnsi="Verdana"/>
          <w:sz w:val="20"/>
          <w:szCs w:val="20"/>
          <w:lang w:val="en-US"/>
        </w:rPr>
      </w:pPr>
    </w:p>
    <w:p w14:paraId="0DCBB2EB" w14:textId="697256CC" w:rsidR="007A21DE" w:rsidRPr="00D869E3" w:rsidRDefault="00432FF5" w:rsidP="003D55AE">
      <w:pPr>
        <w:numPr>
          <w:ilvl w:val="0"/>
          <w:numId w:val="1"/>
        </w:numPr>
        <w:ind w:left="0" w:firstLine="0"/>
        <w:contextualSpacing/>
        <w:jc w:val="both"/>
        <w:rPr>
          <w:rFonts w:ascii="Verdana" w:hAnsi="Verdana"/>
          <w:sz w:val="20"/>
          <w:szCs w:val="20"/>
          <w:lang w:val="en-US"/>
        </w:rPr>
      </w:pPr>
      <w:r w:rsidRPr="00D869E3">
        <w:rPr>
          <w:rFonts w:ascii="Verdana" w:hAnsi="Verdana"/>
          <w:sz w:val="20"/>
          <w:szCs w:val="20"/>
          <w:lang w:val="en-US"/>
        </w:rPr>
        <w:t>In order to evaluate the</w:t>
      </w:r>
      <w:r w:rsidR="007A21DE" w:rsidRPr="00D869E3">
        <w:rPr>
          <w:rFonts w:ascii="Verdana" w:hAnsi="Verdana"/>
          <w:sz w:val="20"/>
          <w:szCs w:val="20"/>
          <w:lang w:val="en-US"/>
        </w:rPr>
        <w:t xml:space="preserve"> </w:t>
      </w:r>
      <w:r w:rsidR="00366EA8" w:rsidRPr="00D869E3">
        <w:rPr>
          <w:rFonts w:ascii="Verdana" w:hAnsi="Verdana"/>
          <w:sz w:val="20"/>
          <w:szCs w:val="20"/>
          <w:lang w:val="en-US"/>
        </w:rPr>
        <w:t>public interest</w:t>
      </w:r>
      <w:r w:rsidR="007A21DE" w:rsidRPr="00D869E3">
        <w:rPr>
          <w:rFonts w:ascii="Verdana" w:hAnsi="Verdana"/>
          <w:sz w:val="20"/>
          <w:szCs w:val="20"/>
          <w:lang w:val="en-US"/>
        </w:rPr>
        <w:t xml:space="preserve"> </w:t>
      </w:r>
      <w:r w:rsidRPr="00D869E3">
        <w:rPr>
          <w:rFonts w:ascii="Verdana" w:hAnsi="Verdana"/>
          <w:sz w:val="20"/>
          <w:szCs w:val="20"/>
          <w:lang w:val="en-US"/>
        </w:rPr>
        <w:t>in this specific case, the Court finds that it must consider the following elements</w:t>
      </w:r>
      <w:r w:rsidR="007A21DE" w:rsidRPr="00D869E3">
        <w:rPr>
          <w:rFonts w:ascii="Verdana" w:hAnsi="Verdana"/>
          <w:sz w:val="20"/>
          <w:szCs w:val="20"/>
          <w:lang w:val="en-US"/>
        </w:rPr>
        <w:t xml:space="preserve">: </w:t>
      </w:r>
      <w:r w:rsidRPr="00D869E3">
        <w:rPr>
          <w:rFonts w:ascii="Verdana" w:hAnsi="Verdana"/>
          <w:sz w:val="20"/>
          <w:szCs w:val="20"/>
          <w:lang w:val="en-US"/>
        </w:rPr>
        <w:t>(</w:t>
      </w:r>
      <w:r w:rsidR="007A21DE" w:rsidRPr="00D869E3">
        <w:rPr>
          <w:rFonts w:ascii="Verdana" w:hAnsi="Verdana"/>
          <w:sz w:val="20"/>
          <w:szCs w:val="20"/>
          <w:lang w:val="en-US"/>
        </w:rPr>
        <w:t xml:space="preserve">i) </w:t>
      </w:r>
      <w:r w:rsidRPr="00D869E3">
        <w:rPr>
          <w:rFonts w:ascii="Verdana" w:hAnsi="Verdana"/>
          <w:sz w:val="20"/>
          <w:szCs w:val="20"/>
          <w:lang w:val="en-US"/>
        </w:rPr>
        <w:t>The a</w:t>
      </w:r>
      <w:r w:rsidR="00447C65" w:rsidRPr="00D869E3">
        <w:rPr>
          <w:rFonts w:ascii="Verdana" w:hAnsi="Verdana"/>
          <w:sz w:val="20"/>
          <w:szCs w:val="20"/>
          <w:lang w:val="en-US"/>
        </w:rPr>
        <w:t>rticle</w:t>
      </w:r>
      <w:r w:rsidRPr="00D869E3">
        <w:rPr>
          <w:rFonts w:ascii="Verdana" w:hAnsi="Verdana"/>
          <w:sz w:val="20"/>
          <w:szCs w:val="20"/>
          <w:lang w:val="en-US"/>
        </w:rPr>
        <w:t xml:space="preserve"> examined was published in the context of an internal labor conflict based on presumed irregularities in the electoral process that the competent authority had been informed of, prior to the its publication</w:t>
      </w:r>
      <w:r w:rsidR="004E38FB" w:rsidRPr="00D869E3">
        <w:rPr>
          <w:rFonts w:ascii="Verdana" w:hAnsi="Verdana"/>
          <w:sz w:val="20"/>
          <w:lang w:val="en-US"/>
        </w:rPr>
        <w:t>;</w:t>
      </w:r>
      <w:r w:rsidR="007A21DE" w:rsidRPr="00D869E3">
        <w:rPr>
          <w:rFonts w:ascii="Verdana" w:hAnsi="Verdana"/>
          <w:sz w:val="20"/>
          <w:szCs w:val="20"/>
          <w:lang w:val="en-US"/>
        </w:rPr>
        <w:t xml:space="preserve"> </w:t>
      </w:r>
      <w:r w:rsidRPr="00D869E3">
        <w:rPr>
          <w:rFonts w:ascii="Verdana" w:hAnsi="Verdana"/>
          <w:sz w:val="20"/>
          <w:szCs w:val="20"/>
          <w:lang w:val="en-US"/>
        </w:rPr>
        <w:t>(</w:t>
      </w:r>
      <w:r w:rsidR="007A21DE" w:rsidRPr="00D869E3">
        <w:rPr>
          <w:rFonts w:ascii="Verdana" w:hAnsi="Verdana"/>
          <w:sz w:val="20"/>
          <w:szCs w:val="20"/>
          <w:lang w:val="en-US"/>
        </w:rPr>
        <w:t xml:space="preserve">ii) </w:t>
      </w:r>
      <w:r w:rsidR="00270810" w:rsidRPr="00D869E3">
        <w:rPr>
          <w:rFonts w:ascii="Verdana" w:hAnsi="Verdana"/>
          <w:sz w:val="20"/>
          <w:szCs w:val="20"/>
          <w:lang w:val="en-US"/>
        </w:rPr>
        <w:t>i</w:t>
      </w:r>
      <w:r w:rsidRPr="00D869E3">
        <w:rPr>
          <w:rFonts w:ascii="Verdana" w:hAnsi="Verdana"/>
          <w:sz w:val="20"/>
          <w:szCs w:val="20"/>
          <w:lang w:val="en-US"/>
        </w:rPr>
        <w:t xml:space="preserve">n the published interview, </w:t>
      </w:r>
      <w:r w:rsidR="001E44D3" w:rsidRPr="00D869E3">
        <w:rPr>
          <w:rFonts w:ascii="Verdana" w:hAnsi="Verdana"/>
          <w:sz w:val="20"/>
          <w:szCs w:val="20"/>
          <w:lang w:val="en-US"/>
        </w:rPr>
        <w:t>Mr. Lagos del Campo</w:t>
      </w:r>
      <w:r w:rsidR="007A21DE" w:rsidRPr="00D869E3">
        <w:rPr>
          <w:rFonts w:ascii="Verdana" w:hAnsi="Verdana"/>
          <w:sz w:val="20"/>
          <w:szCs w:val="20"/>
          <w:lang w:val="en-US"/>
        </w:rPr>
        <w:t xml:space="preserve"> </w:t>
      </w:r>
      <w:r w:rsidRPr="00D869E3">
        <w:rPr>
          <w:rFonts w:ascii="Verdana" w:hAnsi="Verdana"/>
          <w:sz w:val="20"/>
          <w:szCs w:val="20"/>
          <w:lang w:val="en-US"/>
        </w:rPr>
        <w:t>indicated that he</w:t>
      </w:r>
      <w:r w:rsidR="007A21DE" w:rsidRPr="00D869E3">
        <w:rPr>
          <w:rFonts w:ascii="Verdana" w:hAnsi="Verdana"/>
          <w:sz w:val="20"/>
          <w:szCs w:val="20"/>
          <w:lang w:val="en-US"/>
        </w:rPr>
        <w:t xml:space="preserve"> </w:t>
      </w:r>
      <w:r w:rsidR="003D55AE" w:rsidRPr="00D869E3">
        <w:rPr>
          <w:rFonts w:ascii="Verdana" w:hAnsi="Verdana"/>
          <w:sz w:val="20"/>
          <w:szCs w:val="20"/>
          <w:lang w:val="en-US"/>
        </w:rPr>
        <w:t xml:space="preserve">would </w:t>
      </w:r>
      <w:r w:rsidR="003D55AE" w:rsidRPr="00D869E3">
        <w:rPr>
          <w:rFonts w:ascii="Verdana" w:hAnsi="Verdana"/>
          <w:i/>
          <w:iCs/>
          <w:color w:val="000000"/>
          <w:sz w:val="20"/>
          <w:szCs w:val="20"/>
          <w:lang w:val="en-US"/>
        </w:rPr>
        <w:t>“continue fighting against the fraud, and call[ed] on all the workers to close ranks, demanding that [their] legal rights and obligations be respected. [He also asked] for the solidarity of all the country’s industrial communities and labor unions to express their rejection of the attempt to liquidate the industrial communities</w:t>
      </w:r>
      <w:r w:rsidR="00270810" w:rsidRPr="00D869E3">
        <w:rPr>
          <w:rFonts w:ascii="Verdana" w:hAnsi="Verdana"/>
          <w:i/>
          <w:iCs/>
          <w:color w:val="000000"/>
          <w:sz w:val="20"/>
          <w:szCs w:val="20"/>
          <w:lang w:val="en-US"/>
        </w:rPr>
        <w:t>,</w:t>
      </w:r>
      <w:r w:rsidR="003D55AE" w:rsidRPr="00D869E3">
        <w:rPr>
          <w:rFonts w:ascii="Verdana" w:hAnsi="Verdana"/>
          <w:i/>
          <w:iCs/>
          <w:color w:val="000000"/>
          <w:sz w:val="20"/>
          <w:szCs w:val="20"/>
          <w:lang w:val="en-US"/>
        </w:rPr>
        <w:t xml:space="preserve">” </w:t>
      </w:r>
      <w:r w:rsidR="003D55AE" w:rsidRPr="00D869E3">
        <w:rPr>
          <w:rFonts w:ascii="Verdana" w:hAnsi="Verdana"/>
          <w:color w:val="000000"/>
          <w:sz w:val="20"/>
          <w:szCs w:val="20"/>
          <w:lang w:val="en-US"/>
        </w:rPr>
        <w:t xml:space="preserve">and this reveals the collective nature of his statements; (iii) </w:t>
      </w:r>
      <w:r w:rsidR="00270810" w:rsidRPr="00D869E3">
        <w:rPr>
          <w:rFonts w:ascii="Verdana" w:hAnsi="Verdana"/>
          <w:color w:val="000000"/>
          <w:sz w:val="20"/>
          <w:szCs w:val="20"/>
          <w:lang w:val="en-US"/>
        </w:rPr>
        <w:t>i</w:t>
      </w:r>
      <w:r w:rsidR="003D55AE" w:rsidRPr="00D869E3">
        <w:rPr>
          <w:rFonts w:ascii="Verdana" w:hAnsi="Verdana"/>
          <w:color w:val="000000"/>
          <w:sz w:val="20"/>
          <w:szCs w:val="20"/>
          <w:lang w:val="en-US"/>
        </w:rPr>
        <w:t>n Peru, one of the purposes of the industrial communities is to promote the participation of the workers in a company’s patrimony and ensure an adequate distribution of profits</w:t>
      </w:r>
      <w:r w:rsidR="000D5155" w:rsidRPr="00D869E3">
        <w:rPr>
          <w:rFonts w:ascii="Verdana" w:hAnsi="Verdana"/>
          <w:color w:val="000000"/>
          <w:sz w:val="20"/>
          <w:szCs w:val="20"/>
          <w:lang w:val="en-US"/>
        </w:rPr>
        <w:t>; (iv) his statements referred to the intervention of the</w:t>
      </w:r>
      <w:r w:rsidR="007A568E" w:rsidRPr="00D869E3">
        <w:rPr>
          <w:rFonts w:ascii="Verdana" w:hAnsi="Verdana"/>
          <w:sz w:val="20"/>
          <w:szCs w:val="20"/>
          <w:lang w:val="en-US"/>
        </w:rPr>
        <w:t xml:space="preserve"> </w:t>
      </w:r>
      <w:r w:rsidR="00EC2233" w:rsidRPr="00D869E3">
        <w:rPr>
          <w:rFonts w:ascii="Verdana" w:hAnsi="Verdana"/>
          <w:sz w:val="20"/>
          <w:szCs w:val="20"/>
          <w:lang w:val="en-US"/>
        </w:rPr>
        <w:t>Participation Directorate</w:t>
      </w:r>
      <w:r w:rsidR="007A568E" w:rsidRPr="00D869E3">
        <w:rPr>
          <w:rFonts w:ascii="Verdana" w:hAnsi="Verdana"/>
          <w:sz w:val="20"/>
          <w:szCs w:val="20"/>
          <w:lang w:val="en-US"/>
        </w:rPr>
        <w:t xml:space="preserve"> </w:t>
      </w:r>
      <w:r w:rsidR="004D704D" w:rsidRPr="00D869E3">
        <w:rPr>
          <w:rFonts w:ascii="Verdana" w:hAnsi="Verdana"/>
          <w:sz w:val="20"/>
          <w:szCs w:val="20"/>
          <w:lang w:val="en-US"/>
        </w:rPr>
        <w:t>of the Ministry</w:t>
      </w:r>
      <w:r w:rsidR="00F43C5F" w:rsidRPr="00D869E3">
        <w:rPr>
          <w:rFonts w:ascii="Verdana" w:hAnsi="Verdana"/>
          <w:sz w:val="20"/>
          <w:szCs w:val="20"/>
          <w:lang w:val="en-US"/>
        </w:rPr>
        <w:t xml:space="preserve"> of Industry</w:t>
      </w:r>
      <w:r w:rsidR="007A568E" w:rsidRPr="00D869E3">
        <w:rPr>
          <w:rFonts w:ascii="Verdana" w:hAnsi="Verdana"/>
          <w:sz w:val="20"/>
          <w:szCs w:val="20"/>
          <w:lang w:val="en-US"/>
        </w:rPr>
        <w:t>;</w:t>
      </w:r>
      <w:r w:rsidR="007A568E" w:rsidRPr="00D869E3">
        <w:rPr>
          <w:rFonts w:ascii="Verdana" w:hAnsi="Verdana"/>
          <w:bCs/>
          <w:sz w:val="20"/>
          <w:szCs w:val="20"/>
          <w:lang w:val="en-US"/>
        </w:rPr>
        <w:t xml:space="preserve"> </w:t>
      </w:r>
      <w:r w:rsidR="000D5155" w:rsidRPr="00D869E3">
        <w:rPr>
          <w:rFonts w:ascii="Verdana" w:hAnsi="Verdana"/>
          <w:bCs/>
          <w:sz w:val="20"/>
          <w:szCs w:val="20"/>
          <w:lang w:val="en-US"/>
        </w:rPr>
        <w:t>(</w:t>
      </w:r>
      <w:r w:rsidR="007A21DE" w:rsidRPr="00D869E3">
        <w:rPr>
          <w:rFonts w:ascii="Verdana" w:hAnsi="Verdana"/>
          <w:sz w:val="20"/>
          <w:szCs w:val="20"/>
          <w:lang w:val="en-US"/>
        </w:rPr>
        <w:t xml:space="preserve">iv) </w:t>
      </w:r>
      <w:r w:rsidR="000D5155" w:rsidRPr="00D869E3">
        <w:rPr>
          <w:rFonts w:ascii="Verdana" w:hAnsi="Verdana"/>
          <w:sz w:val="20"/>
          <w:szCs w:val="20"/>
          <w:lang w:val="en-US"/>
        </w:rPr>
        <w:t>the newspaper requested the interview with</w:t>
      </w:r>
      <w:r w:rsidR="00EE0BD4" w:rsidRPr="00D869E3">
        <w:rPr>
          <w:rFonts w:ascii="Verdana" w:hAnsi="Verdana"/>
          <w:sz w:val="20"/>
          <w:szCs w:val="20"/>
          <w:lang w:val="en-US"/>
        </w:rPr>
        <w:t xml:space="preserve"> Mr. Lagos</w:t>
      </w:r>
      <w:r w:rsidR="007A21DE" w:rsidRPr="00D869E3">
        <w:rPr>
          <w:rFonts w:ascii="Verdana" w:hAnsi="Verdana"/>
          <w:sz w:val="20"/>
          <w:szCs w:val="20"/>
          <w:lang w:val="en-US"/>
        </w:rPr>
        <w:t xml:space="preserve"> del Campo</w:t>
      </w:r>
      <w:r w:rsidR="00687684" w:rsidRPr="00D869E3">
        <w:rPr>
          <w:rFonts w:ascii="Verdana" w:hAnsi="Verdana"/>
          <w:sz w:val="20"/>
          <w:szCs w:val="20"/>
          <w:lang w:val="en-US"/>
        </w:rPr>
        <w:t xml:space="preserve"> and </w:t>
      </w:r>
      <w:r w:rsidR="000D5155" w:rsidRPr="00D869E3">
        <w:rPr>
          <w:rFonts w:ascii="Verdana" w:hAnsi="Verdana"/>
          <w:sz w:val="20"/>
          <w:szCs w:val="20"/>
          <w:lang w:val="en-US"/>
        </w:rPr>
        <w:t xml:space="preserve">published the interview in the written media, considering that he referred to matters that were relevant for the interested sector of society (industry) </w:t>
      </w:r>
      <w:r w:rsidR="007C6623" w:rsidRPr="00D869E3">
        <w:rPr>
          <w:rFonts w:ascii="Verdana" w:hAnsi="Verdana"/>
          <w:sz w:val="20"/>
          <w:szCs w:val="20"/>
          <w:lang w:val="en-US"/>
        </w:rPr>
        <w:t>(</w:t>
      </w:r>
      <w:r w:rsidR="00224537" w:rsidRPr="00D869E3">
        <w:rPr>
          <w:rFonts w:ascii="Verdana" w:hAnsi="Verdana"/>
          <w:i/>
          <w:sz w:val="20"/>
          <w:szCs w:val="20"/>
          <w:lang w:val="en-US"/>
        </w:rPr>
        <w:t>supra</w:t>
      </w:r>
      <w:r w:rsidR="007C6623" w:rsidRPr="00D869E3">
        <w:rPr>
          <w:rFonts w:ascii="Verdana" w:hAnsi="Verdana"/>
          <w:sz w:val="20"/>
          <w:szCs w:val="20"/>
          <w:lang w:val="en-US"/>
        </w:rPr>
        <w:t xml:space="preserve">, </w:t>
      </w:r>
      <w:r w:rsidR="0087339F" w:rsidRPr="00D869E3">
        <w:rPr>
          <w:rFonts w:ascii="Verdana" w:hAnsi="Verdana"/>
          <w:sz w:val="20"/>
          <w:szCs w:val="20"/>
          <w:lang w:val="en-US"/>
        </w:rPr>
        <w:t>para.</w:t>
      </w:r>
      <w:r w:rsidR="002F31BD" w:rsidRPr="00D869E3">
        <w:rPr>
          <w:rFonts w:ascii="Verdana" w:hAnsi="Verdana"/>
          <w:sz w:val="20"/>
          <w:szCs w:val="20"/>
          <w:lang w:val="en-US"/>
        </w:rPr>
        <w:t xml:space="preserve"> </w:t>
      </w:r>
      <w:r w:rsidR="006F2EA3" w:rsidRPr="00D869E3">
        <w:rPr>
          <w:rFonts w:ascii="Verdana" w:hAnsi="Verdana"/>
          <w:sz w:val="20"/>
          <w:szCs w:val="20"/>
          <w:lang w:val="en-US"/>
        </w:rPr>
        <w:t>11</w:t>
      </w:r>
      <w:r w:rsidR="000023EA" w:rsidRPr="00D869E3">
        <w:rPr>
          <w:rFonts w:ascii="Verdana" w:hAnsi="Verdana"/>
          <w:sz w:val="20"/>
          <w:szCs w:val="20"/>
          <w:lang w:val="en-US"/>
        </w:rPr>
        <w:t>1</w:t>
      </w:r>
      <w:r w:rsidR="007C6623" w:rsidRPr="00D869E3">
        <w:rPr>
          <w:rFonts w:ascii="Verdana" w:hAnsi="Verdana"/>
          <w:sz w:val="20"/>
          <w:szCs w:val="20"/>
          <w:lang w:val="en-US"/>
        </w:rPr>
        <w:t>)</w:t>
      </w:r>
      <w:r w:rsidR="007A21DE" w:rsidRPr="00D869E3">
        <w:rPr>
          <w:rFonts w:ascii="Verdana" w:hAnsi="Verdana"/>
          <w:sz w:val="20"/>
          <w:szCs w:val="20"/>
          <w:lang w:val="en-US"/>
        </w:rPr>
        <w:t xml:space="preserve">. </w:t>
      </w:r>
    </w:p>
    <w:p w14:paraId="2072FA6F" w14:textId="77777777" w:rsidR="007A21DE" w:rsidRPr="00D869E3" w:rsidRDefault="007A21DE" w:rsidP="007A21DE">
      <w:pPr>
        <w:contextualSpacing/>
        <w:jc w:val="both"/>
        <w:rPr>
          <w:rFonts w:ascii="Verdana" w:hAnsi="Verdana"/>
          <w:sz w:val="20"/>
          <w:szCs w:val="20"/>
          <w:lang w:val="en-US"/>
        </w:rPr>
      </w:pPr>
    </w:p>
    <w:p w14:paraId="35338EBD" w14:textId="63705DF2" w:rsidR="000D5155" w:rsidRPr="00D869E3" w:rsidRDefault="000D5155" w:rsidP="000D5155">
      <w:pPr>
        <w:numPr>
          <w:ilvl w:val="0"/>
          <w:numId w:val="1"/>
        </w:numPr>
        <w:ind w:left="0" w:firstLine="0"/>
        <w:contextualSpacing/>
        <w:jc w:val="both"/>
        <w:rPr>
          <w:rFonts w:ascii="Verdana" w:hAnsi="Verdana"/>
          <w:sz w:val="20"/>
          <w:szCs w:val="20"/>
          <w:lang w:val="en-US"/>
        </w:rPr>
      </w:pPr>
      <w:r w:rsidRPr="00D869E3">
        <w:rPr>
          <w:rFonts w:ascii="Verdana" w:hAnsi="Verdana"/>
          <w:sz w:val="20"/>
          <w:szCs w:val="20"/>
          <w:lang w:val="en-US"/>
        </w:rPr>
        <w:lastRenderedPageBreak/>
        <w:t xml:space="preserve">Consequently, </w:t>
      </w:r>
      <w:r w:rsidR="00447C65" w:rsidRPr="00D869E3">
        <w:rPr>
          <w:rFonts w:ascii="Verdana" w:hAnsi="Verdana"/>
          <w:sz w:val="20"/>
          <w:szCs w:val="20"/>
          <w:lang w:val="en-US"/>
        </w:rPr>
        <w:t>the Court</w:t>
      </w:r>
      <w:r w:rsidR="007A21DE" w:rsidRPr="00D869E3">
        <w:rPr>
          <w:rFonts w:ascii="Verdana" w:hAnsi="Verdana"/>
          <w:sz w:val="20"/>
          <w:szCs w:val="20"/>
          <w:lang w:val="en-US"/>
        </w:rPr>
        <w:t xml:space="preserve"> not</w:t>
      </w:r>
      <w:r w:rsidRPr="00D869E3">
        <w:rPr>
          <w:rFonts w:ascii="Verdana" w:hAnsi="Verdana"/>
          <w:sz w:val="20"/>
          <w:szCs w:val="20"/>
          <w:lang w:val="en-US"/>
        </w:rPr>
        <w:t xml:space="preserve">es that, in the context of the said electoral process, the statements </w:t>
      </w:r>
      <w:r w:rsidR="00270810" w:rsidRPr="00D869E3">
        <w:rPr>
          <w:rFonts w:ascii="Verdana" w:hAnsi="Verdana"/>
          <w:sz w:val="20"/>
          <w:szCs w:val="20"/>
          <w:lang w:val="en-US"/>
        </w:rPr>
        <w:t>made by</w:t>
      </w:r>
      <w:r w:rsidRPr="00D869E3">
        <w:rPr>
          <w:rFonts w:ascii="Verdana" w:hAnsi="Verdana"/>
          <w:sz w:val="20"/>
          <w:szCs w:val="20"/>
          <w:lang w:val="en-US"/>
        </w:rPr>
        <w:t xml:space="preserve"> Mr. Lagos del Campo, as a representative of the workers, in addition to exceeding the private sphere, had a relevance or impact that went beyond not only the collective interest of the company’s workers,</w:t>
      </w:r>
      <w:r w:rsidR="007A21DE" w:rsidRPr="00D869E3">
        <w:rPr>
          <w:rFonts w:ascii="Verdana" w:hAnsi="Verdana"/>
          <w:sz w:val="20"/>
          <w:szCs w:val="20"/>
          <w:vertAlign w:val="superscript"/>
          <w:lang w:val="en-US"/>
        </w:rPr>
        <w:footnoteReference w:id="149"/>
      </w:r>
      <w:r w:rsidR="007A21DE" w:rsidRPr="00D869E3">
        <w:rPr>
          <w:rFonts w:ascii="Verdana" w:hAnsi="Verdana"/>
          <w:sz w:val="20"/>
          <w:szCs w:val="20"/>
          <w:lang w:val="en-US"/>
        </w:rPr>
        <w:t xml:space="preserve"> </w:t>
      </w:r>
      <w:r w:rsidRPr="00D869E3">
        <w:rPr>
          <w:rFonts w:ascii="Verdana" w:hAnsi="Verdana"/>
          <w:sz w:val="20"/>
          <w:szCs w:val="20"/>
          <w:lang w:val="en-US"/>
        </w:rPr>
        <w:t>but of members of the industrial communities as it related to the industrial communities in general. Therefore, the facts of this case reveal that the information contained in Mr. Lagos del Campo’s statements w</w:t>
      </w:r>
      <w:r w:rsidR="00270810" w:rsidRPr="00D869E3">
        <w:rPr>
          <w:rFonts w:ascii="Verdana" w:hAnsi="Verdana"/>
          <w:sz w:val="20"/>
          <w:szCs w:val="20"/>
          <w:lang w:val="en-US"/>
        </w:rPr>
        <w:t>as</w:t>
      </w:r>
      <w:r w:rsidRPr="00D869E3">
        <w:rPr>
          <w:rFonts w:ascii="Verdana" w:hAnsi="Verdana"/>
          <w:sz w:val="20"/>
          <w:szCs w:val="20"/>
          <w:lang w:val="en-US"/>
        </w:rPr>
        <w:t xml:space="preserve"> of general interest and, consequently, w</w:t>
      </w:r>
      <w:r w:rsidR="00270810" w:rsidRPr="00D869E3">
        <w:rPr>
          <w:rFonts w:ascii="Verdana" w:hAnsi="Verdana"/>
          <w:sz w:val="20"/>
          <w:szCs w:val="20"/>
          <w:lang w:val="en-US"/>
        </w:rPr>
        <w:t>as</w:t>
      </w:r>
      <w:r w:rsidRPr="00D869E3">
        <w:rPr>
          <w:rFonts w:ascii="Verdana" w:hAnsi="Verdana"/>
          <w:sz w:val="20"/>
          <w:szCs w:val="20"/>
          <w:lang w:val="en-US"/>
        </w:rPr>
        <w:t xml:space="preserve"> subject to </w:t>
      </w:r>
      <w:r w:rsidR="00270810" w:rsidRPr="00D869E3">
        <w:rPr>
          <w:rFonts w:ascii="Verdana" w:hAnsi="Verdana"/>
          <w:sz w:val="20"/>
          <w:szCs w:val="20"/>
          <w:lang w:val="en-US"/>
        </w:rPr>
        <w:t>a greater</w:t>
      </w:r>
      <w:r w:rsidRPr="00D869E3">
        <w:rPr>
          <w:rFonts w:ascii="Verdana" w:hAnsi="Verdana"/>
          <w:sz w:val="20"/>
          <w:szCs w:val="20"/>
          <w:lang w:val="en-US"/>
        </w:rPr>
        <w:t xml:space="preserve"> level of protection.</w:t>
      </w:r>
    </w:p>
    <w:p w14:paraId="6842EEB2" w14:textId="77777777" w:rsidR="007A21DE" w:rsidRPr="00D869E3" w:rsidRDefault="007A21DE" w:rsidP="007A21DE">
      <w:pPr>
        <w:contextualSpacing/>
        <w:rPr>
          <w:rFonts w:ascii="Verdana" w:hAnsi="Verdana"/>
          <w:sz w:val="20"/>
          <w:szCs w:val="20"/>
          <w:lang w:val="en-US"/>
        </w:rPr>
      </w:pPr>
    </w:p>
    <w:p w14:paraId="6ACC07BD" w14:textId="61CA79A0" w:rsidR="007A21DE" w:rsidRPr="00D869E3" w:rsidRDefault="000D5155" w:rsidP="0026230A">
      <w:pPr>
        <w:numPr>
          <w:ilvl w:val="0"/>
          <w:numId w:val="1"/>
        </w:numPr>
        <w:ind w:left="0" w:firstLine="0"/>
        <w:contextualSpacing/>
        <w:jc w:val="both"/>
        <w:rPr>
          <w:rFonts w:ascii="Verdana" w:hAnsi="Verdana"/>
          <w:sz w:val="20"/>
          <w:szCs w:val="20"/>
          <w:lang w:val="en-US"/>
        </w:rPr>
      </w:pPr>
      <w:r w:rsidRPr="00D869E3">
        <w:rPr>
          <w:rFonts w:ascii="Verdana" w:hAnsi="Verdana"/>
          <w:sz w:val="20"/>
          <w:szCs w:val="20"/>
          <w:lang w:val="en-US"/>
        </w:rPr>
        <w:t>Third</w:t>
      </w:r>
      <w:r w:rsidR="007A21DE" w:rsidRPr="00D869E3">
        <w:rPr>
          <w:rFonts w:ascii="Verdana" w:hAnsi="Verdana"/>
          <w:sz w:val="20"/>
          <w:szCs w:val="20"/>
          <w:lang w:val="en-US"/>
        </w:rPr>
        <w:t>, re</w:t>
      </w:r>
      <w:r w:rsidRPr="00D869E3">
        <w:rPr>
          <w:rFonts w:ascii="Verdana" w:hAnsi="Verdana"/>
          <w:sz w:val="20"/>
          <w:szCs w:val="20"/>
          <w:lang w:val="en-US"/>
        </w:rPr>
        <w:t xml:space="preserve">garding the </w:t>
      </w:r>
      <w:r w:rsidR="00270810" w:rsidRPr="00D869E3">
        <w:rPr>
          <w:rFonts w:ascii="Verdana" w:hAnsi="Verdana"/>
          <w:sz w:val="20"/>
          <w:szCs w:val="20"/>
          <w:lang w:val="en-US"/>
        </w:rPr>
        <w:t>significance</w:t>
      </w:r>
      <w:r w:rsidR="007C6623" w:rsidRPr="00D869E3">
        <w:rPr>
          <w:rFonts w:ascii="Verdana" w:hAnsi="Verdana"/>
          <w:sz w:val="20"/>
          <w:szCs w:val="20"/>
          <w:lang w:val="en-US"/>
        </w:rPr>
        <w:t xml:space="preserve"> </w:t>
      </w:r>
      <w:r w:rsidRPr="00D869E3">
        <w:rPr>
          <w:rFonts w:ascii="Verdana" w:hAnsi="Verdana"/>
          <w:sz w:val="20"/>
          <w:szCs w:val="20"/>
          <w:lang w:val="en-US"/>
        </w:rPr>
        <w:t>of the statements published in “</w:t>
      </w:r>
      <w:r w:rsidRPr="00D869E3">
        <w:rPr>
          <w:rFonts w:ascii="Verdana" w:hAnsi="Verdana"/>
          <w:i/>
          <w:iCs/>
          <w:sz w:val="20"/>
          <w:szCs w:val="20"/>
          <w:lang w:val="en-US"/>
        </w:rPr>
        <w:t>La Razón,</w:t>
      </w:r>
      <w:r w:rsidRPr="00D869E3">
        <w:rPr>
          <w:rFonts w:ascii="Verdana" w:hAnsi="Verdana"/>
          <w:sz w:val="20"/>
          <w:szCs w:val="20"/>
          <w:lang w:val="en-US"/>
        </w:rPr>
        <w:t xml:space="preserve">” the Court recalls that </w:t>
      </w:r>
      <w:r w:rsidR="00A62EA8" w:rsidRPr="00D869E3">
        <w:rPr>
          <w:rFonts w:ascii="Verdana" w:hAnsi="Verdana"/>
          <w:sz w:val="20"/>
          <w:szCs w:val="20"/>
          <w:lang w:val="en-US"/>
        </w:rPr>
        <w:t>freedom of expression</w:t>
      </w:r>
      <w:r w:rsidR="007A21DE" w:rsidRPr="00D869E3">
        <w:rPr>
          <w:rFonts w:ascii="Verdana" w:hAnsi="Verdana"/>
          <w:sz w:val="20"/>
          <w:szCs w:val="20"/>
          <w:lang w:val="en-US"/>
        </w:rPr>
        <w:t>, particular</w:t>
      </w:r>
      <w:r w:rsidRPr="00D869E3">
        <w:rPr>
          <w:rFonts w:ascii="Verdana" w:hAnsi="Verdana"/>
          <w:sz w:val="20"/>
          <w:szCs w:val="20"/>
          <w:lang w:val="en-US"/>
        </w:rPr>
        <w:t>ly in matters of general or public interest, “</w:t>
      </w:r>
      <w:r w:rsidR="00C762BF" w:rsidRPr="00D869E3">
        <w:rPr>
          <w:rFonts w:ascii="Verdana" w:hAnsi="Verdana"/>
          <w:sz w:val="20"/>
          <w:szCs w:val="20"/>
          <w:lang w:val="en-US"/>
        </w:rPr>
        <w:t xml:space="preserve">constitutes one of the essential foundations </w:t>
      </w:r>
      <w:r w:rsidRPr="00D869E3">
        <w:rPr>
          <w:rFonts w:ascii="Verdana" w:hAnsi="Verdana"/>
          <w:sz w:val="20"/>
          <w:szCs w:val="20"/>
          <w:lang w:val="en-US"/>
        </w:rPr>
        <w:t>of a democratic society.</w:t>
      </w:r>
      <w:r w:rsidR="006436CA" w:rsidRPr="00D869E3">
        <w:rPr>
          <w:rFonts w:ascii="Verdana" w:hAnsi="Verdana"/>
          <w:sz w:val="20"/>
          <w:szCs w:val="20"/>
          <w:lang w:val="en-US"/>
        </w:rPr>
        <w:t>”</w:t>
      </w:r>
      <w:r w:rsidR="007A21DE" w:rsidRPr="00D869E3">
        <w:rPr>
          <w:rFonts w:ascii="Verdana" w:hAnsi="Verdana"/>
          <w:sz w:val="20"/>
          <w:szCs w:val="20"/>
          <w:vertAlign w:val="superscript"/>
          <w:lang w:val="en-US"/>
        </w:rPr>
        <w:footnoteReference w:id="150"/>
      </w:r>
      <w:r w:rsidRPr="00D869E3">
        <w:rPr>
          <w:rFonts w:ascii="Verdana" w:hAnsi="Verdana"/>
          <w:sz w:val="20"/>
          <w:szCs w:val="20"/>
          <w:lang w:val="en-US"/>
        </w:rPr>
        <w:t xml:space="preserve"> </w:t>
      </w:r>
      <w:r w:rsidR="00E23428" w:rsidRPr="00D869E3">
        <w:rPr>
          <w:rFonts w:ascii="Verdana" w:hAnsi="Verdana"/>
          <w:sz w:val="20"/>
          <w:szCs w:val="20"/>
          <w:lang w:val="en-US"/>
        </w:rPr>
        <w:t xml:space="preserve">It </w:t>
      </w:r>
      <w:r w:rsidR="0026230A" w:rsidRPr="00D869E3">
        <w:rPr>
          <w:rFonts w:ascii="Verdana" w:hAnsi="Verdana"/>
          <w:sz w:val="20"/>
          <w:szCs w:val="20"/>
          <w:lang w:val="en-US"/>
        </w:rPr>
        <w:t>must</w:t>
      </w:r>
      <w:r w:rsidR="00E23428" w:rsidRPr="00D869E3">
        <w:rPr>
          <w:rFonts w:ascii="Verdana" w:hAnsi="Verdana"/>
          <w:sz w:val="20"/>
          <w:szCs w:val="20"/>
          <w:lang w:val="en-US"/>
        </w:rPr>
        <w:t xml:space="preserve"> be guaranteed</w:t>
      </w:r>
      <w:r w:rsidR="00C762BF" w:rsidRPr="00D869E3">
        <w:rPr>
          <w:rFonts w:ascii="Verdana" w:hAnsi="Verdana"/>
          <w:sz w:val="20"/>
          <w:szCs w:val="20"/>
          <w:lang w:val="en-US"/>
        </w:rPr>
        <w:t xml:space="preserve"> not only in relation to the dissemination of information and ideas that are </w:t>
      </w:r>
      <w:r w:rsidR="0026230A" w:rsidRPr="00D869E3">
        <w:rPr>
          <w:rFonts w:ascii="Verdana" w:hAnsi="Verdana"/>
          <w:sz w:val="20"/>
          <w:szCs w:val="20"/>
          <w:lang w:val="en-US"/>
        </w:rPr>
        <w:t xml:space="preserve">favorably </w:t>
      </w:r>
      <w:r w:rsidR="00C762BF" w:rsidRPr="00D869E3">
        <w:rPr>
          <w:rFonts w:ascii="Verdana" w:hAnsi="Verdana"/>
          <w:sz w:val="20"/>
          <w:szCs w:val="20"/>
          <w:lang w:val="en-US"/>
        </w:rPr>
        <w:t xml:space="preserve">received or </w:t>
      </w:r>
      <w:r w:rsidR="0026230A" w:rsidRPr="00D869E3">
        <w:rPr>
          <w:rFonts w:ascii="Verdana" w:hAnsi="Verdana"/>
          <w:sz w:val="20"/>
          <w:szCs w:val="20"/>
          <w:lang w:val="en-US"/>
        </w:rPr>
        <w:t>regarded as</w:t>
      </w:r>
      <w:r w:rsidR="00C762BF" w:rsidRPr="00D869E3">
        <w:rPr>
          <w:rFonts w:ascii="Verdana" w:hAnsi="Verdana"/>
          <w:sz w:val="20"/>
          <w:szCs w:val="20"/>
          <w:lang w:val="en-US"/>
        </w:rPr>
        <w:t xml:space="preserve"> inoffensive or</w:t>
      </w:r>
      <w:r w:rsidR="0026230A" w:rsidRPr="00D869E3">
        <w:rPr>
          <w:rFonts w:ascii="Verdana" w:hAnsi="Verdana"/>
          <w:sz w:val="20"/>
          <w:szCs w:val="20"/>
          <w:lang w:val="en-US"/>
        </w:rPr>
        <w:t xml:space="preserve"> as a matter of indifference, </w:t>
      </w:r>
      <w:r w:rsidR="00C762BF" w:rsidRPr="00D869E3">
        <w:rPr>
          <w:rFonts w:ascii="Verdana" w:hAnsi="Verdana"/>
          <w:sz w:val="20"/>
          <w:szCs w:val="20"/>
          <w:lang w:val="en-US"/>
        </w:rPr>
        <w:t xml:space="preserve">but also as regards those that </w:t>
      </w:r>
      <w:r w:rsidR="0026230A" w:rsidRPr="00D869E3">
        <w:rPr>
          <w:rFonts w:ascii="Verdana" w:hAnsi="Verdana"/>
          <w:sz w:val="20"/>
          <w:szCs w:val="20"/>
          <w:lang w:val="en-US"/>
        </w:rPr>
        <w:t xml:space="preserve">offend </w:t>
      </w:r>
      <w:r w:rsidR="00C762BF" w:rsidRPr="00D869E3">
        <w:rPr>
          <w:rFonts w:ascii="Verdana" w:hAnsi="Verdana"/>
          <w:sz w:val="20"/>
          <w:szCs w:val="20"/>
          <w:lang w:val="en-US"/>
        </w:rPr>
        <w:t>the State or any sector of the population.</w:t>
      </w:r>
      <w:r w:rsidR="00C762BF" w:rsidRPr="00D869E3">
        <w:rPr>
          <w:rFonts w:ascii="Verdana" w:hAnsi="Verdana"/>
          <w:sz w:val="20"/>
          <w:szCs w:val="20"/>
          <w:vertAlign w:val="superscript"/>
          <w:lang w:val="en-US"/>
        </w:rPr>
        <w:footnoteReference w:id="151"/>
      </w:r>
      <w:r w:rsidR="00C762BF" w:rsidRPr="00D869E3">
        <w:rPr>
          <w:rFonts w:ascii="Verdana" w:hAnsi="Verdana"/>
          <w:sz w:val="20"/>
          <w:szCs w:val="20"/>
          <w:lang w:val="en-US"/>
        </w:rPr>
        <w:t xml:space="preserve"> In addition, the Court has indicated that “[i]n discussions on issues of great public interest, </w:t>
      </w:r>
      <w:r w:rsidR="0026230A" w:rsidRPr="00D869E3">
        <w:rPr>
          <w:rFonts w:ascii="Verdana" w:hAnsi="Verdana"/>
          <w:sz w:val="20"/>
          <w:szCs w:val="20"/>
          <w:lang w:val="en-US"/>
        </w:rPr>
        <w:t>it protects not only statements that are inoffensive or well-received by public opinion, but also those that shock, offend or disturb public officials or any sector of the population.</w:t>
      </w:r>
      <w:r w:rsidR="007A21DE" w:rsidRPr="00D869E3">
        <w:rPr>
          <w:rFonts w:ascii="Verdana" w:hAnsi="Verdana"/>
          <w:sz w:val="20"/>
          <w:szCs w:val="20"/>
          <w:vertAlign w:val="superscript"/>
          <w:lang w:val="en-US"/>
        </w:rPr>
        <w:footnoteReference w:id="152"/>
      </w:r>
      <w:r w:rsidR="0026230A" w:rsidRPr="00D869E3">
        <w:rPr>
          <w:rFonts w:ascii="Verdana" w:hAnsi="Verdana" w:cs="Arial"/>
          <w:sz w:val="20"/>
          <w:szCs w:val="20"/>
          <w:lang w:val="en-US"/>
        </w:rPr>
        <w:t xml:space="preserve"> In a democratic society, the media must provide extensive information on matters of </w:t>
      </w:r>
      <w:r w:rsidR="00366EA8" w:rsidRPr="00D869E3">
        <w:rPr>
          <w:rFonts w:ascii="Verdana" w:hAnsi="Verdana"/>
          <w:sz w:val="20"/>
          <w:szCs w:val="20"/>
          <w:lang w:val="en-US"/>
        </w:rPr>
        <w:t>public interest</w:t>
      </w:r>
      <w:r w:rsidR="007A21DE" w:rsidRPr="00D869E3">
        <w:rPr>
          <w:rFonts w:ascii="Verdana" w:hAnsi="Verdana"/>
          <w:sz w:val="20"/>
          <w:szCs w:val="20"/>
          <w:lang w:val="en-US"/>
        </w:rPr>
        <w:t xml:space="preserve">, </w:t>
      </w:r>
      <w:r w:rsidR="0026230A" w:rsidRPr="00D869E3">
        <w:rPr>
          <w:rFonts w:ascii="Verdana" w:hAnsi="Verdana"/>
          <w:sz w:val="20"/>
          <w:szCs w:val="20"/>
          <w:lang w:val="en-US"/>
        </w:rPr>
        <w:t xml:space="preserve">which affect social rights </w:t>
      </w:r>
      <w:r w:rsidR="007A21DE" w:rsidRPr="00D869E3">
        <w:rPr>
          <w:rFonts w:ascii="Verdana" w:hAnsi="Verdana"/>
          <w:sz w:val="20"/>
          <w:szCs w:val="20"/>
          <w:lang w:val="en-US"/>
        </w:rPr>
        <w:t>[…]</w:t>
      </w:r>
      <w:r w:rsidR="0026230A" w:rsidRPr="00D869E3">
        <w:rPr>
          <w:rFonts w:ascii="Verdana" w:hAnsi="Verdana"/>
          <w:sz w:val="20"/>
          <w:szCs w:val="20"/>
          <w:lang w:val="en-US"/>
        </w:rPr>
        <w:t>.</w:t>
      </w:r>
      <w:r w:rsidR="006436CA" w:rsidRPr="00D869E3">
        <w:rPr>
          <w:rFonts w:ascii="Verdana" w:hAnsi="Verdana"/>
          <w:sz w:val="20"/>
          <w:szCs w:val="20"/>
          <w:lang w:val="en-US"/>
        </w:rPr>
        <w:t>”</w:t>
      </w:r>
      <w:r w:rsidR="007A21DE" w:rsidRPr="00D869E3">
        <w:rPr>
          <w:rFonts w:ascii="Verdana" w:hAnsi="Verdana"/>
          <w:sz w:val="20"/>
          <w:szCs w:val="20"/>
          <w:vertAlign w:val="superscript"/>
          <w:lang w:val="en-US"/>
        </w:rPr>
        <w:footnoteReference w:id="153"/>
      </w:r>
      <w:r w:rsidR="0026230A" w:rsidRPr="00D869E3">
        <w:rPr>
          <w:rFonts w:ascii="Verdana" w:hAnsi="Verdana"/>
          <w:sz w:val="20"/>
          <w:szCs w:val="20"/>
          <w:lang w:val="en-US"/>
        </w:rPr>
        <w:t xml:space="preserve"> Nevertheless, the Court is aware that</w:t>
      </w:r>
      <w:r w:rsidR="00415910" w:rsidRPr="00D869E3">
        <w:rPr>
          <w:rFonts w:ascii="Verdana" w:hAnsi="Verdana"/>
          <w:sz w:val="20"/>
          <w:szCs w:val="20"/>
          <w:lang w:val="en-US"/>
        </w:rPr>
        <w:t xml:space="preserve"> the extent of acceptable criticism when directed against a private individual is narrower than that directed against politicians or public officials in the exercise of their functions.</w:t>
      </w:r>
      <w:r w:rsidR="007A21DE" w:rsidRPr="00D869E3">
        <w:rPr>
          <w:rFonts w:ascii="Verdana" w:hAnsi="Verdana"/>
          <w:sz w:val="20"/>
          <w:szCs w:val="20"/>
          <w:vertAlign w:val="superscript"/>
          <w:lang w:val="en-US"/>
        </w:rPr>
        <w:footnoteReference w:id="154"/>
      </w:r>
      <w:r w:rsidR="007A21DE" w:rsidRPr="00D869E3">
        <w:rPr>
          <w:rFonts w:ascii="Verdana" w:hAnsi="Verdana"/>
          <w:sz w:val="20"/>
          <w:szCs w:val="20"/>
          <w:lang w:val="en-US"/>
        </w:rPr>
        <w:t xml:space="preserve"> </w:t>
      </w:r>
    </w:p>
    <w:p w14:paraId="3051DF23" w14:textId="77777777" w:rsidR="007A21DE" w:rsidRPr="00D869E3" w:rsidRDefault="007A21DE" w:rsidP="007A21DE">
      <w:pPr>
        <w:contextualSpacing/>
        <w:jc w:val="both"/>
        <w:rPr>
          <w:rFonts w:ascii="Verdana" w:hAnsi="Verdana"/>
          <w:sz w:val="20"/>
          <w:szCs w:val="20"/>
          <w:lang w:val="en-US"/>
        </w:rPr>
      </w:pPr>
    </w:p>
    <w:p w14:paraId="1E90D8E0" w14:textId="4FCFEB66" w:rsidR="00FF5791" w:rsidRPr="00D869E3" w:rsidRDefault="00415910" w:rsidP="00415910">
      <w:pPr>
        <w:numPr>
          <w:ilvl w:val="0"/>
          <w:numId w:val="1"/>
        </w:numPr>
        <w:ind w:left="0" w:firstLine="0"/>
        <w:contextualSpacing/>
        <w:jc w:val="both"/>
        <w:rPr>
          <w:rFonts w:ascii="Verdana" w:hAnsi="Verdana"/>
          <w:sz w:val="20"/>
          <w:szCs w:val="20"/>
          <w:lang w:val="en-US"/>
        </w:rPr>
      </w:pPr>
      <w:r w:rsidRPr="00D869E3">
        <w:rPr>
          <w:rFonts w:ascii="Verdana" w:hAnsi="Verdana"/>
          <w:sz w:val="20"/>
          <w:szCs w:val="20"/>
          <w:lang w:val="en-US"/>
        </w:rPr>
        <w:t xml:space="preserve">With regard to the statements published in the interview, the Court considers that, in general, they reveal that the purpose sought by </w:t>
      </w:r>
      <w:r w:rsidR="00E6309B" w:rsidRPr="00D869E3">
        <w:rPr>
          <w:rFonts w:ascii="Verdana" w:hAnsi="Verdana"/>
          <w:sz w:val="20"/>
          <w:szCs w:val="20"/>
          <w:lang w:val="en-US"/>
        </w:rPr>
        <w:t>Mr.</w:t>
      </w:r>
      <w:r w:rsidR="001E44D3" w:rsidRPr="00D869E3">
        <w:rPr>
          <w:rFonts w:ascii="Verdana" w:hAnsi="Verdana"/>
          <w:sz w:val="20"/>
          <w:szCs w:val="20"/>
          <w:lang w:val="en-US"/>
        </w:rPr>
        <w:t xml:space="preserve"> Lagos del Campo</w:t>
      </w:r>
      <w:r w:rsidR="00B22068" w:rsidRPr="00D869E3">
        <w:rPr>
          <w:rFonts w:ascii="Verdana" w:hAnsi="Verdana"/>
          <w:sz w:val="20"/>
          <w:szCs w:val="20"/>
          <w:lang w:val="en-US"/>
        </w:rPr>
        <w:t xml:space="preserve"> </w:t>
      </w:r>
      <w:r w:rsidRPr="00D869E3">
        <w:rPr>
          <w:rFonts w:ascii="Verdana" w:hAnsi="Verdana"/>
          <w:sz w:val="20"/>
          <w:szCs w:val="20"/>
          <w:lang w:val="en-US"/>
        </w:rPr>
        <w:t>was to denounce alleged irregularities; in other words, to provide information on a situation that, in his opinion, violated the interests he represented,</w:t>
      </w:r>
      <w:r w:rsidR="007A21DE" w:rsidRPr="00D869E3">
        <w:rPr>
          <w:rFonts w:ascii="Verdana" w:hAnsi="Verdana"/>
          <w:sz w:val="20"/>
          <w:szCs w:val="20"/>
          <w:vertAlign w:val="superscript"/>
          <w:lang w:val="en-US"/>
        </w:rPr>
        <w:footnoteReference w:id="155"/>
      </w:r>
      <w:r w:rsidRPr="00D869E3">
        <w:rPr>
          <w:rFonts w:ascii="Verdana" w:hAnsi="Verdana"/>
          <w:sz w:val="20"/>
          <w:szCs w:val="20"/>
          <w:lang w:val="en-US"/>
        </w:rPr>
        <w:t xml:space="preserve"> accompanied perhaps by critical comments and opinions.</w:t>
      </w:r>
      <w:r w:rsidR="007A21DE" w:rsidRPr="00D869E3">
        <w:rPr>
          <w:rFonts w:ascii="Verdana" w:hAnsi="Verdana"/>
          <w:sz w:val="20"/>
          <w:szCs w:val="20"/>
          <w:lang w:val="en-US"/>
        </w:rPr>
        <w:t xml:space="preserve"> </w:t>
      </w:r>
      <w:r w:rsidRPr="00D869E3">
        <w:rPr>
          <w:rFonts w:ascii="Verdana" w:hAnsi="Verdana"/>
          <w:sz w:val="20"/>
          <w:szCs w:val="20"/>
          <w:lang w:val="en-US"/>
        </w:rPr>
        <w:t>Conversely, the content of th</w:t>
      </w:r>
      <w:r w:rsidR="00270810" w:rsidRPr="00D869E3">
        <w:rPr>
          <w:rFonts w:ascii="Verdana" w:hAnsi="Verdana"/>
          <w:sz w:val="20"/>
          <w:szCs w:val="20"/>
          <w:lang w:val="en-US"/>
        </w:rPr>
        <w:t>o</w:t>
      </w:r>
      <w:r w:rsidRPr="00D869E3">
        <w:rPr>
          <w:rFonts w:ascii="Verdana" w:hAnsi="Verdana"/>
          <w:sz w:val="20"/>
          <w:szCs w:val="20"/>
          <w:lang w:val="en-US"/>
        </w:rPr>
        <w:t>se statements in this context does not reveal that they had an evident offensive, defamatory, degrading or malicious intent against anyone in particular or that they were aimed at harming the company’s product</w:t>
      </w:r>
      <w:r w:rsidR="00FF5791" w:rsidRPr="00D869E3">
        <w:rPr>
          <w:rFonts w:ascii="Verdana" w:hAnsi="Verdana"/>
          <w:sz w:val="20"/>
          <w:szCs w:val="20"/>
          <w:lang w:val="en-US"/>
        </w:rPr>
        <w:t xml:space="preserve"> (</w:t>
      </w:r>
      <w:r w:rsidR="00224537" w:rsidRPr="00D869E3">
        <w:rPr>
          <w:rFonts w:ascii="Verdana" w:hAnsi="Verdana"/>
          <w:i/>
          <w:sz w:val="20"/>
          <w:szCs w:val="20"/>
          <w:lang w:val="en-US"/>
        </w:rPr>
        <w:t>supra</w:t>
      </w:r>
      <w:r w:rsidR="00FF5791" w:rsidRPr="00D869E3">
        <w:rPr>
          <w:rFonts w:ascii="Verdana" w:hAnsi="Verdana"/>
          <w:sz w:val="20"/>
          <w:szCs w:val="20"/>
          <w:lang w:val="en-US"/>
        </w:rPr>
        <w:t xml:space="preserve"> </w:t>
      </w:r>
      <w:r w:rsidR="0087339F" w:rsidRPr="00D869E3">
        <w:rPr>
          <w:rFonts w:ascii="Verdana" w:hAnsi="Verdana"/>
          <w:sz w:val="20"/>
          <w:szCs w:val="20"/>
          <w:lang w:val="en-US"/>
        </w:rPr>
        <w:t>para.</w:t>
      </w:r>
      <w:r w:rsidR="00CA4720" w:rsidRPr="00D869E3">
        <w:rPr>
          <w:rFonts w:ascii="Verdana" w:hAnsi="Verdana"/>
          <w:sz w:val="20"/>
          <w:szCs w:val="20"/>
          <w:lang w:val="en-US"/>
        </w:rPr>
        <w:t xml:space="preserve"> 11</w:t>
      </w:r>
      <w:r w:rsidR="000023EA" w:rsidRPr="00D869E3">
        <w:rPr>
          <w:rFonts w:ascii="Verdana" w:hAnsi="Verdana"/>
          <w:sz w:val="20"/>
          <w:szCs w:val="20"/>
          <w:lang w:val="en-US"/>
        </w:rPr>
        <w:t>2</w:t>
      </w:r>
      <w:r w:rsidR="00FF5791" w:rsidRPr="00D869E3">
        <w:rPr>
          <w:rFonts w:ascii="Verdana" w:hAnsi="Verdana"/>
          <w:sz w:val="20"/>
          <w:szCs w:val="20"/>
          <w:lang w:val="en-US"/>
        </w:rPr>
        <w:t>).</w:t>
      </w:r>
      <w:r w:rsidRPr="00D869E3">
        <w:rPr>
          <w:rFonts w:ascii="Verdana" w:hAnsi="Verdana"/>
          <w:sz w:val="20"/>
          <w:szCs w:val="20"/>
          <w:lang w:val="en-US"/>
        </w:rPr>
        <w:t xml:space="preserve"> Although the publication contained bombastic phrases concerning the situation denounced, th</w:t>
      </w:r>
      <w:r w:rsidR="00464BB4" w:rsidRPr="00D869E3">
        <w:rPr>
          <w:rFonts w:ascii="Verdana" w:hAnsi="Verdana"/>
          <w:sz w:val="20"/>
          <w:szCs w:val="20"/>
          <w:lang w:val="en-US"/>
        </w:rPr>
        <w:t>eir content did not exceed the threshold of special protection for the nature of the complaints made i</w:t>
      </w:r>
      <w:r w:rsidR="00225A4A" w:rsidRPr="00D869E3">
        <w:rPr>
          <w:rFonts w:ascii="Verdana" w:hAnsi="Verdana"/>
          <w:sz w:val="20"/>
          <w:szCs w:val="20"/>
          <w:lang w:val="en-US"/>
        </w:rPr>
        <w:t>n</w:t>
      </w:r>
      <w:r w:rsidR="00464BB4" w:rsidRPr="00D869E3">
        <w:rPr>
          <w:rFonts w:ascii="Verdana" w:hAnsi="Verdana"/>
          <w:sz w:val="20"/>
          <w:szCs w:val="20"/>
          <w:lang w:val="en-US"/>
        </w:rPr>
        <w:t xml:space="preserve"> the said context.</w:t>
      </w:r>
      <w:r w:rsidR="009B6CB7" w:rsidRPr="00D869E3">
        <w:rPr>
          <w:rFonts w:ascii="Verdana" w:hAnsi="Verdana"/>
          <w:sz w:val="20"/>
          <w:szCs w:val="20"/>
          <w:vertAlign w:val="superscript"/>
          <w:lang w:val="en-US"/>
        </w:rPr>
        <w:footnoteReference w:id="156"/>
      </w:r>
    </w:p>
    <w:p w14:paraId="57C95F0E" w14:textId="77777777" w:rsidR="00C92868" w:rsidRPr="00D869E3" w:rsidRDefault="00C92868" w:rsidP="005D0F69">
      <w:pPr>
        <w:contextualSpacing/>
        <w:rPr>
          <w:rFonts w:ascii="Verdana" w:hAnsi="Verdana"/>
          <w:sz w:val="20"/>
          <w:szCs w:val="20"/>
          <w:lang w:val="en-US"/>
        </w:rPr>
      </w:pPr>
    </w:p>
    <w:p w14:paraId="7502E8BE" w14:textId="42F3EA9C" w:rsidR="00C01305" w:rsidRPr="00D869E3" w:rsidRDefault="00897912" w:rsidP="005B3D37">
      <w:pPr>
        <w:pStyle w:val="Ttulo3"/>
        <w:ind w:left="360"/>
        <w:rPr>
          <w:i/>
          <w:lang w:val="en-US"/>
        </w:rPr>
      </w:pPr>
      <w:bookmarkStart w:id="47" w:name="_Toc29114135"/>
      <w:r w:rsidRPr="00D869E3">
        <w:rPr>
          <w:i/>
          <w:lang w:val="en-US"/>
        </w:rPr>
        <w:t xml:space="preserve">1.2.2. </w:t>
      </w:r>
      <w:r w:rsidR="00840D15" w:rsidRPr="00D869E3">
        <w:rPr>
          <w:i/>
          <w:lang w:val="en-US"/>
        </w:rPr>
        <w:t>Legality and purpose</w:t>
      </w:r>
      <w:bookmarkEnd w:id="47"/>
    </w:p>
    <w:p w14:paraId="0BA7B371" w14:textId="42263B6F" w:rsidR="00C01305" w:rsidRPr="00D869E3" w:rsidRDefault="00C01305" w:rsidP="00C01305">
      <w:pPr>
        <w:ind w:left="1440"/>
        <w:contextualSpacing/>
        <w:rPr>
          <w:rFonts w:ascii="Verdana" w:hAnsi="Verdana"/>
          <w:sz w:val="20"/>
          <w:szCs w:val="20"/>
          <w:lang w:val="en-US"/>
        </w:rPr>
      </w:pPr>
    </w:p>
    <w:p w14:paraId="450851B1" w14:textId="05678A62" w:rsidR="00C464D5" w:rsidRPr="00D869E3" w:rsidRDefault="00840D15" w:rsidP="003F1022">
      <w:pPr>
        <w:pStyle w:val="Prrafodelista"/>
        <w:numPr>
          <w:ilvl w:val="0"/>
          <w:numId w:val="1"/>
        </w:numPr>
        <w:ind w:left="0" w:firstLine="0"/>
        <w:jc w:val="both"/>
        <w:rPr>
          <w:rFonts w:ascii="Verdana" w:hAnsi="Verdana"/>
          <w:b/>
          <w:sz w:val="20"/>
          <w:szCs w:val="20"/>
          <w:lang w:val="en-US"/>
        </w:rPr>
      </w:pPr>
      <w:r w:rsidRPr="00D869E3">
        <w:rPr>
          <w:rFonts w:ascii="Verdana" w:hAnsi="Verdana"/>
          <w:sz w:val="20"/>
          <w:szCs w:val="20"/>
          <w:lang w:val="en-US"/>
        </w:rPr>
        <w:t>According to</w:t>
      </w:r>
      <w:r w:rsidR="00EF57BA" w:rsidRPr="00D869E3">
        <w:rPr>
          <w:rFonts w:ascii="Verdana" w:hAnsi="Verdana"/>
          <w:sz w:val="20"/>
          <w:szCs w:val="20"/>
          <w:lang w:val="en-US"/>
        </w:rPr>
        <w:t xml:space="preserve"> </w:t>
      </w:r>
      <w:r w:rsidR="00447C65" w:rsidRPr="00D869E3">
        <w:rPr>
          <w:rFonts w:ascii="Verdana" w:hAnsi="Verdana"/>
          <w:sz w:val="20"/>
          <w:szCs w:val="20"/>
          <w:lang w:val="en-US"/>
        </w:rPr>
        <w:t>Article</w:t>
      </w:r>
      <w:r w:rsidR="00EF57BA" w:rsidRPr="00D869E3">
        <w:rPr>
          <w:rFonts w:ascii="Verdana" w:hAnsi="Verdana"/>
          <w:sz w:val="20"/>
          <w:szCs w:val="20"/>
          <w:lang w:val="en-US"/>
        </w:rPr>
        <w:t xml:space="preserve"> </w:t>
      </w:r>
      <w:r w:rsidR="00966115" w:rsidRPr="00D869E3">
        <w:rPr>
          <w:rFonts w:ascii="Verdana" w:hAnsi="Verdana"/>
          <w:sz w:val="20"/>
          <w:szCs w:val="20"/>
          <w:lang w:val="en-US"/>
        </w:rPr>
        <w:t>13(2)</w:t>
      </w:r>
      <w:r w:rsidR="00EF57BA" w:rsidRPr="00D869E3">
        <w:rPr>
          <w:rFonts w:ascii="Verdana" w:hAnsi="Verdana"/>
          <w:sz w:val="20"/>
          <w:szCs w:val="20"/>
          <w:lang w:val="en-US"/>
        </w:rPr>
        <w:t xml:space="preserve">, </w:t>
      </w:r>
      <w:r w:rsidR="003F1022" w:rsidRPr="00D869E3">
        <w:rPr>
          <w:rFonts w:ascii="Verdana" w:hAnsi="Verdana"/>
          <w:sz w:val="20"/>
          <w:szCs w:val="20"/>
          <w:lang w:val="en-US"/>
        </w:rPr>
        <w:t>to evaluate whether a restriction of a right established in the American Convention is permitted in light of this treaty it is necessary to analyze whether the restrictive measure complies with the requirement of legality. This means that the general circumstances and conditions that authorize restrictions of a human right must be clearly established by law, in both the formal and the substantial sense.</w:t>
      </w:r>
      <w:r w:rsidR="00FF1171" w:rsidRPr="00D869E3">
        <w:rPr>
          <w:rStyle w:val="Refdenotaalpie"/>
          <w:szCs w:val="20"/>
          <w:lang w:val="en-US"/>
        </w:rPr>
        <w:footnoteReference w:id="157"/>
      </w:r>
      <w:r w:rsidR="00FF1171" w:rsidRPr="00D869E3">
        <w:rPr>
          <w:rFonts w:ascii="Verdana" w:hAnsi="Verdana"/>
          <w:sz w:val="20"/>
          <w:szCs w:val="20"/>
          <w:lang w:val="en-US"/>
        </w:rPr>
        <w:t xml:space="preserve"> </w:t>
      </w:r>
    </w:p>
    <w:p w14:paraId="3FAF4880" w14:textId="77777777" w:rsidR="00C464D5" w:rsidRPr="00D869E3" w:rsidRDefault="00C464D5" w:rsidP="00CB5A95">
      <w:pPr>
        <w:pStyle w:val="Prrafodelista"/>
        <w:ind w:left="0"/>
        <w:jc w:val="both"/>
        <w:rPr>
          <w:rFonts w:ascii="Verdana" w:hAnsi="Verdana"/>
          <w:b/>
          <w:sz w:val="20"/>
          <w:szCs w:val="20"/>
          <w:lang w:val="en-US"/>
        </w:rPr>
      </w:pPr>
    </w:p>
    <w:p w14:paraId="499BF4FD" w14:textId="52164D4E" w:rsidR="00620DC9" w:rsidRPr="00D869E3" w:rsidRDefault="003F1022" w:rsidP="003F1022">
      <w:pPr>
        <w:pStyle w:val="Prrafodelista"/>
        <w:numPr>
          <w:ilvl w:val="0"/>
          <w:numId w:val="1"/>
        </w:numPr>
        <w:ind w:left="0" w:firstLine="0"/>
        <w:jc w:val="both"/>
        <w:rPr>
          <w:rFonts w:ascii="Verdana" w:hAnsi="Verdana"/>
          <w:b/>
          <w:sz w:val="20"/>
          <w:szCs w:val="20"/>
          <w:lang w:val="en-US"/>
        </w:rPr>
      </w:pPr>
      <w:r w:rsidRPr="00D869E3">
        <w:rPr>
          <w:rFonts w:ascii="Verdana" w:hAnsi="Verdana"/>
          <w:sz w:val="20"/>
          <w:lang w:val="en-US"/>
        </w:rPr>
        <w:t xml:space="preserve">Regarding </w:t>
      </w:r>
      <w:r w:rsidR="00620DC9" w:rsidRPr="00D869E3">
        <w:rPr>
          <w:rFonts w:ascii="Verdana" w:hAnsi="Verdana"/>
          <w:sz w:val="20"/>
          <w:lang w:val="en-US"/>
        </w:rPr>
        <w:t>restrictions of a criminal nature</w:t>
      </w:r>
      <w:r w:rsidRPr="00D869E3">
        <w:rPr>
          <w:rFonts w:ascii="Verdana" w:hAnsi="Verdana"/>
          <w:sz w:val="20"/>
          <w:lang w:val="en-US"/>
        </w:rPr>
        <w:t xml:space="preserve">, the Court has established that it is necessary to abide strictly by the requirements </w:t>
      </w:r>
      <w:r w:rsidR="003E4AF2" w:rsidRPr="00D869E3">
        <w:rPr>
          <w:rFonts w:ascii="Verdana" w:hAnsi="Verdana"/>
          <w:sz w:val="20"/>
          <w:lang w:val="en-US"/>
        </w:rPr>
        <w:t xml:space="preserve">that are </w:t>
      </w:r>
      <w:r w:rsidRPr="00D869E3">
        <w:rPr>
          <w:rFonts w:ascii="Verdana" w:hAnsi="Verdana"/>
          <w:sz w:val="20"/>
          <w:lang w:val="en-US"/>
        </w:rPr>
        <w:t>characteristic of the definition of the crime in order to comply with the principle of legality.</w:t>
      </w:r>
      <w:r w:rsidR="00FF1171" w:rsidRPr="00D869E3">
        <w:rPr>
          <w:rFonts w:ascii="Verdana" w:hAnsi="Verdana"/>
          <w:sz w:val="20"/>
          <w:szCs w:val="20"/>
          <w:vertAlign w:val="superscript"/>
          <w:lang w:val="en-US"/>
        </w:rPr>
        <w:footnoteReference w:id="158"/>
      </w:r>
      <w:r w:rsidR="00FF1171" w:rsidRPr="00D869E3">
        <w:rPr>
          <w:rFonts w:ascii="Verdana" w:hAnsi="Verdana"/>
          <w:sz w:val="20"/>
          <w:szCs w:val="20"/>
          <w:lang w:val="en-US"/>
        </w:rPr>
        <w:t xml:space="preserve"> </w:t>
      </w:r>
      <w:r w:rsidRPr="00D869E3">
        <w:rPr>
          <w:rFonts w:ascii="Verdana" w:hAnsi="Verdana"/>
          <w:sz w:val="20"/>
          <w:szCs w:val="20"/>
          <w:lang w:val="en-US"/>
        </w:rPr>
        <w:t xml:space="preserve">However, the Court notes that the law applied </w:t>
      </w:r>
      <w:r w:rsidR="003E4AF2" w:rsidRPr="00D869E3">
        <w:rPr>
          <w:rFonts w:ascii="Verdana" w:hAnsi="Verdana"/>
          <w:sz w:val="20"/>
          <w:szCs w:val="20"/>
          <w:lang w:val="en-US"/>
        </w:rPr>
        <w:t>to</w:t>
      </w:r>
      <w:r w:rsidRPr="00D869E3">
        <w:rPr>
          <w:rFonts w:ascii="Verdana" w:hAnsi="Verdana"/>
          <w:sz w:val="20"/>
          <w:szCs w:val="20"/>
          <w:lang w:val="en-US"/>
        </w:rPr>
        <w:t xml:space="preserve"> justif</w:t>
      </w:r>
      <w:r w:rsidR="003E4AF2" w:rsidRPr="00D869E3">
        <w:rPr>
          <w:rFonts w:ascii="Verdana" w:hAnsi="Verdana"/>
          <w:sz w:val="20"/>
          <w:szCs w:val="20"/>
          <w:lang w:val="en-US"/>
        </w:rPr>
        <w:t xml:space="preserve">y </w:t>
      </w:r>
      <w:r w:rsidRPr="00D869E3">
        <w:rPr>
          <w:rFonts w:ascii="Verdana" w:hAnsi="Verdana"/>
          <w:sz w:val="20"/>
          <w:szCs w:val="20"/>
          <w:lang w:val="en-US"/>
        </w:rPr>
        <w:t>Mr. Lagos del Campo</w:t>
      </w:r>
      <w:r w:rsidR="003E4AF2" w:rsidRPr="00D869E3">
        <w:rPr>
          <w:rFonts w:ascii="Verdana" w:hAnsi="Verdana"/>
          <w:sz w:val="20"/>
          <w:szCs w:val="20"/>
          <w:lang w:val="en-US"/>
        </w:rPr>
        <w:t>’s dismissal</w:t>
      </w:r>
      <w:r w:rsidRPr="00D869E3">
        <w:rPr>
          <w:rFonts w:ascii="Verdana" w:hAnsi="Verdana"/>
          <w:sz w:val="20"/>
          <w:szCs w:val="20"/>
          <w:lang w:val="en-US"/>
        </w:rPr>
        <w:t xml:space="preserve"> was not of a criminal nature, but rather a labor law</w:t>
      </w:r>
      <w:r w:rsidR="003E4AF2" w:rsidRPr="00D869E3">
        <w:rPr>
          <w:rFonts w:ascii="Verdana" w:hAnsi="Verdana"/>
          <w:sz w:val="20"/>
          <w:szCs w:val="20"/>
          <w:lang w:val="en-US"/>
        </w:rPr>
        <w:t>.</w:t>
      </w:r>
      <w:r w:rsidRPr="00D869E3">
        <w:rPr>
          <w:rFonts w:ascii="Verdana" w:hAnsi="Verdana"/>
          <w:sz w:val="20"/>
          <w:szCs w:val="20"/>
          <w:lang w:val="en-US"/>
        </w:rPr>
        <w:t xml:space="preserve"> </w:t>
      </w:r>
      <w:r w:rsidR="003E4AF2" w:rsidRPr="00D869E3">
        <w:rPr>
          <w:rFonts w:ascii="Verdana" w:hAnsi="Verdana"/>
          <w:sz w:val="20"/>
          <w:szCs w:val="20"/>
          <w:lang w:val="en-US"/>
        </w:rPr>
        <w:t>T</w:t>
      </w:r>
      <w:r w:rsidRPr="00D869E3">
        <w:rPr>
          <w:rFonts w:ascii="Verdana" w:hAnsi="Verdana"/>
          <w:sz w:val="20"/>
          <w:szCs w:val="20"/>
          <w:lang w:val="en-US"/>
        </w:rPr>
        <w:t xml:space="preserve">herefore, it considers that compliance with the requirement of legality </w:t>
      </w:r>
      <w:r w:rsidR="003E4AF2" w:rsidRPr="00D869E3">
        <w:rPr>
          <w:rFonts w:ascii="Verdana" w:hAnsi="Verdana"/>
          <w:sz w:val="20"/>
          <w:szCs w:val="20"/>
          <w:lang w:val="en-US"/>
        </w:rPr>
        <w:t>does not require the same</w:t>
      </w:r>
      <w:r w:rsidRPr="00D869E3">
        <w:rPr>
          <w:rFonts w:ascii="Verdana" w:hAnsi="Verdana"/>
          <w:sz w:val="20"/>
          <w:szCs w:val="20"/>
          <w:lang w:val="en-US"/>
        </w:rPr>
        <w:t xml:space="preserve"> evaluation </w:t>
      </w:r>
      <w:r w:rsidR="003E4AF2" w:rsidRPr="00D869E3">
        <w:rPr>
          <w:rFonts w:ascii="Verdana" w:hAnsi="Verdana"/>
          <w:sz w:val="20"/>
          <w:szCs w:val="20"/>
          <w:lang w:val="en-US"/>
        </w:rPr>
        <w:t>as</w:t>
      </w:r>
      <w:r w:rsidRPr="00D869E3">
        <w:rPr>
          <w:rFonts w:ascii="Verdana" w:hAnsi="Verdana"/>
          <w:sz w:val="20"/>
          <w:szCs w:val="20"/>
          <w:lang w:val="en-US"/>
        </w:rPr>
        <w:t xml:space="preserve"> that made in cases that involve the </w:t>
      </w:r>
      <w:r w:rsidR="003E4AF2" w:rsidRPr="00D869E3">
        <w:rPr>
          <w:rFonts w:ascii="Verdana" w:hAnsi="Verdana"/>
          <w:sz w:val="20"/>
          <w:szCs w:val="20"/>
          <w:lang w:val="en-US"/>
        </w:rPr>
        <w:t>violation</w:t>
      </w:r>
      <w:r w:rsidRPr="00D869E3">
        <w:rPr>
          <w:rFonts w:ascii="Verdana" w:hAnsi="Verdana"/>
          <w:sz w:val="20"/>
          <w:szCs w:val="20"/>
          <w:lang w:val="en-US"/>
        </w:rPr>
        <w:t xml:space="preserve"> of rights protected by criminal law</w:t>
      </w:r>
      <w:r w:rsidR="003E4AF2" w:rsidRPr="00D869E3">
        <w:rPr>
          <w:rFonts w:ascii="Verdana" w:hAnsi="Verdana"/>
          <w:sz w:val="20"/>
          <w:szCs w:val="20"/>
          <w:lang w:val="en-US"/>
        </w:rPr>
        <w:t xml:space="preserve"> </w:t>
      </w:r>
      <w:r w:rsidR="00620DC9" w:rsidRPr="00D869E3">
        <w:rPr>
          <w:rFonts w:ascii="Verdana" w:hAnsi="Verdana"/>
          <w:sz w:val="20"/>
          <w:szCs w:val="20"/>
          <w:lang w:val="en-US"/>
        </w:rPr>
        <w:t>because, as th</w:t>
      </w:r>
      <w:r w:rsidR="003E4AF2" w:rsidRPr="00D869E3">
        <w:rPr>
          <w:rFonts w:ascii="Verdana" w:hAnsi="Verdana"/>
          <w:sz w:val="20"/>
          <w:szCs w:val="20"/>
          <w:lang w:val="en-US"/>
        </w:rPr>
        <w:t>e</w:t>
      </w:r>
      <w:r w:rsidR="00620DC9" w:rsidRPr="00D869E3">
        <w:rPr>
          <w:rFonts w:ascii="Verdana" w:hAnsi="Verdana"/>
          <w:sz w:val="20"/>
          <w:szCs w:val="20"/>
          <w:lang w:val="en-US"/>
        </w:rPr>
        <w:t xml:space="preserve"> Court has indicated when evaluating compliance with the requirement of legality in cases that do not involve criminal matters, “the degree of precision required of domestic legislation depends significantly on the subject matter.</w:t>
      </w:r>
      <w:r w:rsidR="006436CA" w:rsidRPr="00D869E3">
        <w:rPr>
          <w:rFonts w:ascii="Verdana" w:hAnsi="Verdana"/>
          <w:sz w:val="20"/>
          <w:szCs w:val="20"/>
          <w:lang w:val="en-US"/>
        </w:rPr>
        <w:t>”</w:t>
      </w:r>
      <w:r w:rsidR="00FF1171" w:rsidRPr="00D869E3">
        <w:rPr>
          <w:rFonts w:ascii="Verdana" w:hAnsi="Verdana"/>
          <w:sz w:val="20"/>
          <w:szCs w:val="20"/>
          <w:vertAlign w:val="superscript"/>
          <w:lang w:val="en-US"/>
        </w:rPr>
        <w:footnoteReference w:id="159"/>
      </w:r>
      <w:r w:rsidR="00620DC9" w:rsidRPr="00D869E3">
        <w:rPr>
          <w:rFonts w:ascii="Verdana" w:hAnsi="Verdana"/>
          <w:sz w:val="20"/>
          <w:szCs w:val="20"/>
          <w:lang w:val="en-US"/>
        </w:rPr>
        <w:t xml:space="preserve"> Thus, the same degree of precision cannot be required for all legal norms that establish restrictions of a right protected by the Convention because:</w:t>
      </w:r>
    </w:p>
    <w:p w14:paraId="5F4FB881" w14:textId="77777777" w:rsidR="00FF1171" w:rsidRPr="00D869E3" w:rsidRDefault="00FF1171" w:rsidP="00FF1171">
      <w:pPr>
        <w:contextualSpacing/>
        <w:jc w:val="both"/>
        <w:rPr>
          <w:rFonts w:ascii="Verdana" w:hAnsi="Verdana"/>
          <w:b/>
          <w:sz w:val="20"/>
          <w:szCs w:val="20"/>
          <w:lang w:val="en-US"/>
        </w:rPr>
      </w:pPr>
    </w:p>
    <w:p w14:paraId="4E030920" w14:textId="27D587C4" w:rsidR="00FF1171" w:rsidRPr="00D869E3" w:rsidRDefault="00FF1171" w:rsidP="00225A4A">
      <w:pPr>
        <w:ind w:left="720" w:right="566"/>
        <w:jc w:val="both"/>
        <w:rPr>
          <w:rFonts w:ascii="Verdana" w:hAnsi="Verdana" w:cs="Arial"/>
          <w:sz w:val="18"/>
          <w:szCs w:val="18"/>
          <w:lang w:val="en-US"/>
        </w:rPr>
      </w:pPr>
      <w:r w:rsidRPr="00D869E3">
        <w:rPr>
          <w:rFonts w:ascii="Verdana" w:hAnsi="Verdana"/>
          <w:sz w:val="20"/>
          <w:szCs w:val="20"/>
          <w:lang w:val="en-US"/>
        </w:rPr>
        <w:t>[</w:t>
      </w:r>
      <w:r w:rsidR="00620DC9" w:rsidRPr="00D869E3">
        <w:rPr>
          <w:rFonts w:ascii="Verdana" w:hAnsi="Verdana"/>
          <w:sz w:val="18"/>
          <w:szCs w:val="20"/>
          <w:lang w:val="en-US"/>
        </w:rPr>
        <w:t>T</w:t>
      </w:r>
      <w:r w:rsidRPr="00D869E3">
        <w:rPr>
          <w:rFonts w:ascii="Verdana" w:hAnsi="Verdana"/>
          <w:sz w:val="18"/>
          <w:szCs w:val="20"/>
          <w:lang w:val="en-US"/>
        </w:rPr>
        <w:t>]</w:t>
      </w:r>
      <w:r w:rsidR="00620DC9" w:rsidRPr="00D869E3">
        <w:rPr>
          <w:rFonts w:ascii="Verdana" w:hAnsi="Verdana" w:cs="Arial"/>
          <w:sz w:val="18"/>
          <w:szCs w:val="18"/>
          <w:lang w:val="en-US"/>
        </w:rPr>
        <w:t xml:space="preserve">he law must be formulated with sufficient precision to enable people to regulate their conduct so as to be able to predict </w:t>
      </w:r>
      <w:r w:rsidR="00225A4A" w:rsidRPr="00D869E3">
        <w:rPr>
          <w:rFonts w:ascii="Verdana" w:hAnsi="Verdana" w:cs="Arial"/>
          <w:sz w:val="18"/>
          <w:szCs w:val="18"/>
          <w:lang w:val="en-US"/>
        </w:rPr>
        <w:t>the consequences that a given action may entail to</w:t>
      </w:r>
      <w:r w:rsidR="00620DC9" w:rsidRPr="00D869E3">
        <w:rPr>
          <w:rFonts w:ascii="Verdana" w:hAnsi="Verdana" w:cs="Arial"/>
          <w:sz w:val="18"/>
          <w:szCs w:val="18"/>
          <w:lang w:val="en-US"/>
        </w:rPr>
        <w:t xml:space="preserve"> a degree that is reasonable under the circumstances. As has been noted, while the certainty of the law is highly desirable, it may bring with it excessive rigidity. On the other hand, the law must be able to remain in force despite changing circumstances. Consequently, many laws are formulated in terms, that to a greater or lesser extent, are vague and whose interpretation and application are questions of practice.</w:t>
      </w:r>
      <w:r w:rsidRPr="00D869E3">
        <w:rPr>
          <w:rFonts w:ascii="Verdana" w:hAnsi="Verdana"/>
          <w:sz w:val="18"/>
          <w:szCs w:val="20"/>
          <w:vertAlign w:val="superscript"/>
          <w:lang w:val="en-US"/>
        </w:rPr>
        <w:footnoteReference w:id="160"/>
      </w:r>
    </w:p>
    <w:p w14:paraId="4A185EFF" w14:textId="77777777" w:rsidR="003E4AF2" w:rsidRPr="00D869E3" w:rsidRDefault="003E4AF2" w:rsidP="003E4AF2">
      <w:pPr>
        <w:ind w:left="720" w:right="714"/>
        <w:jc w:val="both"/>
        <w:rPr>
          <w:rFonts w:ascii="Verdana" w:hAnsi="Verdana"/>
          <w:sz w:val="18"/>
          <w:szCs w:val="20"/>
          <w:lang w:val="en-US"/>
        </w:rPr>
      </w:pPr>
    </w:p>
    <w:p w14:paraId="4290F8D4" w14:textId="68BA9FFE" w:rsidR="003E4AF2" w:rsidRPr="00D869E3" w:rsidRDefault="003E4AF2" w:rsidP="00E66DD7">
      <w:pPr>
        <w:numPr>
          <w:ilvl w:val="0"/>
          <w:numId w:val="1"/>
        </w:numPr>
        <w:ind w:left="0" w:firstLine="0"/>
        <w:contextualSpacing/>
        <w:jc w:val="both"/>
        <w:rPr>
          <w:rFonts w:ascii="Verdana" w:hAnsi="Verdana"/>
          <w:b/>
          <w:sz w:val="20"/>
          <w:szCs w:val="20"/>
          <w:lang w:val="en-US"/>
        </w:rPr>
      </w:pPr>
      <w:r w:rsidRPr="00D869E3">
        <w:rPr>
          <w:rFonts w:ascii="Verdana" w:hAnsi="Verdana"/>
          <w:sz w:val="20"/>
          <w:szCs w:val="20"/>
          <w:lang w:val="en-US"/>
        </w:rPr>
        <w:t>In addition,</w:t>
      </w:r>
      <w:r w:rsidR="00D74FDD" w:rsidRPr="00D869E3">
        <w:rPr>
          <w:rFonts w:ascii="Verdana" w:hAnsi="Verdana"/>
          <w:sz w:val="20"/>
          <w:szCs w:val="20"/>
          <w:lang w:val="en-US"/>
        </w:rPr>
        <w:t xml:space="preserve"> </w:t>
      </w:r>
      <w:r w:rsidR="00447C65" w:rsidRPr="00D869E3">
        <w:rPr>
          <w:rFonts w:ascii="Verdana" w:hAnsi="Verdana"/>
          <w:sz w:val="20"/>
          <w:szCs w:val="20"/>
          <w:lang w:val="en-US"/>
        </w:rPr>
        <w:t>the Court</w:t>
      </w:r>
      <w:r w:rsidRPr="00D869E3">
        <w:rPr>
          <w:rFonts w:ascii="Verdana" w:hAnsi="Verdana"/>
          <w:sz w:val="20"/>
          <w:szCs w:val="20"/>
          <w:lang w:val="en-US"/>
        </w:rPr>
        <w:t xml:space="preserve"> notes that the </w:t>
      </w:r>
      <w:r w:rsidR="00225A4A" w:rsidRPr="00D869E3">
        <w:rPr>
          <w:rFonts w:ascii="Verdana" w:hAnsi="Verdana"/>
          <w:sz w:val="20"/>
          <w:szCs w:val="20"/>
          <w:lang w:val="en-US"/>
        </w:rPr>
        <w:t>law</w:t>
      </w:r>
      <w:r w:rsidRPr="00D869E3">
        <w:rPr>
          <w:rFonts w:ascii="Verdana" w:hAnsi="Verdana"/>
          <w:sz w:val="20"/>
          <w:szCs w:val="20"/>
          <w:lang w:val="en-US"/>
        </w:rPr>
        <w:t xml:space="preserve"> examined was designed to protect a legitimate purpose that was compatible with </w:t>
      </w:r>
      <w:r w:rsidR="00447C65" w:rsidRPr="00D869E3">
        <w:rPr>
          <w:rFonts w:ascii="Verdana" w:hAnsi="Verdana"/>
          <w:sz w:val="20"/>
          <w:szCs w:val="20"/>
          <w:lang w:val="en-US"/>
        </w:rPr>
        <w:t>the Convention</w:t>
      </w:r>
      <w:r w:rsidR="00D74FDD" w:rsidRPr="00D869E3">
        <w:rPr>
          <w:rFonts w:ascii="Verdana" w:hAnsi="Verdana"/>
          <w:sz w:val="20"/>
          <w:szCs w:val="20"/>
          <w:lang w:val="en-US"/>
        </w:rPr>
        <w:t xml:space="preserve">, </w:t>
      </w:r>
      <w:r w:rsidRPr="00D869E3">
        <w:rPr>
          <w:rFonts w:ascii="Verdana" w:hAnsi="Verdana"/>
          <w:sz w:val="20"/>
          <w:szCs w:val="20"/>
          <w:lang w:val="en-US"/>
        </w:rPr>
        <w:t xml:space="preserve">which is the protection of the honor and dignity of the employers and other workers in company or in the workplace. </w:t>
      </w:r>
      <w:r w:rsidR="00075E68" w:rsidRPr="00D869E3">
        <w:rPr>
          <w:rFonts w:ascii="Verdana" w:hAnsi="Verdana"/>
          <w:sz w:val="20"/>
          <w:szCs w:val="20"/>
          <w:lang w:val="en-US"/>
        </w:rPr>
        <w:t>In this regard</w:t>
      </w:r>
      <w:r w:rsidR="00D74FDD" w:rsidRPr="00D869E3">
        <w:rPr>
          <w:rFonts w:ascii="Verdana" w:hAnsi="Verdana"/>
          <w:sz w:val="20"/>
          <w:szCs w:val="20"/>
          <w:lang w:val="en-US"/>
        </w:rPr>
        <w:t xml:space="preserve">, </w:t>
      </w:r>
      <w:r w:rsidRPr="00D869E3">
        <w:rPr>
          <w:rFonts w:ascii="Verdana" w:hAnsi="Verdana"/>
          <w:sz w:val="20"/>
          <w:szCs w:val="20"/>
          <w:lang w:val="en-US"/>
        </w:rPr>
        <w:t xml:space="preserve">the Court considers that the fact that paragraph (h) </w:t>
      </w:r>
      <w:r w:rsidR="00687684" w:rsidRPr="00D869E3">
        <w:rPr>
          <w:rFonts w:ascii="Verdana" w:hAnsi="Verdana"/>
          <w:sz w:val="20"/>
          <w:szCs w:val="20"/>
          <w:lang w:val="en-US"/>
        </w:rPr>
        <w:t xml:space="preserve">of </w:t>
      </w:r>
      <w:r w:rsidRPr="00D869E3">
        <w:rPr>
          <w:rFonts w:ascii="Verdana" w:hAnsi="Verdana"/>
          <w:sz w:val="20"/>
          <w:szCs w:val="20"/>
          <w:lang w:val="en-US"/>
        </w:rPr>
        <w:t>a</w:t>
      </w:r>
      <w:r w:rsidR="00687684" w:rsidRPr="00D869E3">
        <w:rPr>
          <w:rFonts w:ascii="Verdana" w:hAnsi="Verdana"/>
          <w:sz w:val="20"/>
          <w:szCs w:val="20"/>
          <w:lang w:val="en-US"/>
        </w:rPr>
        <w:t>rticle</w:t>
      </w:r>
      <w:r w:rsidR="00D74FDD" w:rsidRPr="00D869E3">
        <w:rPr>
          <w:rFonts w:ascii="Verdana" w:hAnsi="Verdana"/>
          <w:sz w:val="20"/>
          <w:szCs w:val="20"/>
          <w:lang w:val="en-US"/>
        </w:rPr>
        <w:t xml:space="preserve"> 5 </w:t>
      </w:r>
      <w:r w:rsidRPr="00D869E3">
        <w:rPr>
          <w:rFonts w:ascii="Verdana" w:hAnsi="Verdana"/>
          <w:sz w:val="20"/>
          <w:szCs w:val="20"/>
          <w:lang w:val="en-US"/>
        </w:rPr>
        <w:t>of</w:t>
      </w:r>
      <w:r w:rsidR="00D74FDD" w:rsidRPr="00D869E3">
        <w:rPr>
          <w:rFonts w:ascii="Verdana" w:hAnsi="Verdana"/>
          <w:sz w:val="20"/>
          <w:szCs w:val="20"/>
          <w:lang w:val="en-US"/>
        </w:rPr>
        <w:t xml:space="preserve"> </w:t>
      </w:r>
      <w:r w:rsidR="00852CCA" w:rsidRPr="00D869E3">
        <w:rPr>
          <w:rFonts w:ascii="Verdana" w:hAnsi="Verdana"/>
          <w:sz w:val="20"/>
          <w:szCs w:val="20"/>
          <w:lang w:val="en-US"/>
        </w:rPr>
        <w:t>Law</w:t>
      </w:r>
      <w:r w:rsidR="00D74FDD" w:rsidRPr="00D869E3">
        <w:rPr>
          <w:rFonts w:ascii="Verdana" w:hAnsi="Verdana"/>
          <w:sz w:val="20"/>
          <w:szCs w:val="20"/>
          <w:lang w:val="en-US"/>
        </w:rPr>
        <w:t xml:space="preserve"> 24514 </w:t>
      </w:r>
      <w:r w:rsidRPr="00D869E3">
        <w:rPr>
          <w:rFonts w:ascii="Verdana" w:hAnsi="Verdana"/>
          <w:sz w:val="20"/>
          <w:szCs w:val="20"/>
          <w:lang w:val="en-US"/>
        </w:rPr>
        <w:t xml:space="preserve">does not expressly establish a delimitation of its application to protect statements of public interest, or those statements made by workers’ representatives in the exercise of their functions, is not </w:t>
      </w:r>
      <w:r w:rsidRPr="00D869E3">
        <w:rPr>
          <w:rFonts w:ascii="Verdana" w:hAnsi="Verdana"/>
          <w:i/>
          <w:iCs/>
          <w:sz w:val="20"/>
          <w:szCs w:val="20"/>
          <w:lang w:val="en-US"/>
        </w:rPr>
        <w:t>per se</w:t>
      </w:r>
      <w:r w:rsidRPr="00D869E3">
        <w:rPr>
          <w:rFonts w:ascii="Verdana" w:hAnsi="Verdana"/>
          <w:sz w:val="20"/>
          <w:szCs w:val="20"/>
          <w:lang w:val="en-US"/>
        </w:rPr>
        <w:t xml:space="preserve"> incompatible with the Convention. This is because the State is not obliged to make an exhaustive determination</w:t>
      </w:r>
      <w:r w:rsidR="00225A4A" w:rsidRPr="00D869E3">
        <w:rPr>
          <w:rFonts w:ascii="Verdana" w:hAnsi="Verdana"/>
          <w:sz w:val="20"/>
          <w:szCs w:val="20"/>
          <w:lang w:val="en-US"/>
        </w:rPr>
        <w:t xml:space="preserve"> in the law</w:t>
      </w:r>
      <w:r w:rsidRPr="00D869E3">
        <w:rPr>
          <w:rFonts w:ascii="Verdana" w:hAnsi="Verdana"/>
          <w:sz w:val="20"/>
          <w:szCs w:val="20"/>
          <w:lang w:val="en-US"/>
        </w:rPr>
        <w:t xml:space="preserve"> of which statements require special protection; rather, it will be the authorities responsible for its enforcement that must ensure the protection of other rights that are in play, in keeping with the legitimate purposes of the norm, by an adequate control of legality.</w:t>
      </w:r>
    </w:p>
    <w:p w14:paraId="343C0AE2" w14:textId="010D3BC8" w:rsidR="00FF1171" w:rsidRPr="00D869E3" w:rsidRDefault="00FF1171" w:rsidP="005D0F69">
      <w:pPr>
        <w:contextualSpacing/>
        <w:jc w:val="both"/>
        <w:rPr>
          <w:rFonts w:ascii="Verdana" w:hAnsi="Verdana"/>
          <w:b/>
          <w:sz w:val="20"/>
          <w:szCs w:val="20"/>
          <w:lang w:val="en-US"/>
        </w:rPr>
      </w:pPr>
    </w:p>
    <w:p w14:paraId="181D8924" w14:textId="2E9F38B7" w:rsidR="00D74FDD" w:rsidRPr="00D869E3" w:rsidRDefault="009E2BA6" w:rsidP="00303670">
      <w:pPr>
        <w:pStyle w:val="Prrafodelista"/>
        <w:numPr>
          <w:ilvl w:val="0"/>
          <w:numId w:val="1"/>
        </w:numPr>
        <w:ind w:left="0" w:firstLine="0"/>
        <w:jc w:val="both"/>
        <w:rPr>
          <w:rFonts w:ascii="Verdana" w:hAnsi="Verdana"/>
          <w:sz w:val="20"/>
          <w:lang w:val="en-US"/>
        </w:rPr>
      </w:pPr>
      <w:r w:rsidRPr="00D869E3">
        <w:rPr>
          <w:rFonts w:ascii="Verdana" w:hAnsi="Verdana"/>
          <w:sz w:val="20"/>
          <w:szCs w:val="20"/>
          <w:lang w:val="en-US"/>
        </w:rPr>
        <w:t>In this regard</w:t>
      </w:r>
      <w:r w:rsidR="00FF1171" w:rsidRPr="00D869E3">
        <w:rPr>
          <w:rFonts w:ascii="Verdana" w:hAnsi="Verdana"/>
          <w:sz w:val="20"/>
          <w:szCs w:val="20"/>
          <w:lang w:val="en-US"/>
        </w:rPr>
        <w:t xml:space="preserve">, </w:t>
      </w:r>
      <w:r w:rsidR="00447C65" w:rsidRPr="00D869E3">
        <w:rPr>
          <w:rFonts w:ascii="Verdana" w:hAnsi="Verdana"/>
          <w:sz w:val="20"/>
          <w:szCs w:val="20"/>
          <w:lang w:val="en-US"/>
        </w:rPr>
        <w:t>the Court</w:t>
      </w:r>
      <w:r w:rsidR="00FF1171" w:rsidRPr="00D869E3">
        <w:rPr>
          <w:rFonts w:ascii="Verdana" w:hAnsi="Verdana"/>
          <w:sz w:val="20"/>
          <w:szCs w:val="20"/>
          <w:lang w:val="en-US"/>
        </w:rPr>
        <w:t xml:space="preserve"> </w:t>
      </w:r>
      <w:r w:rsidR="00303670" w:rsidRPr="00D869E3">
        <w:rPr>
          <w:rFonts w:ascii="Verdana" w:hAnsi="Verdana"/>
          <w:sz w:val="20"/>
          <w:szCs w:val="20"/>
          <w:lang w:val="en-US"/>
        </w:rPr>
        <w:t>recalls that</w:t>
      </w:r>
      <w:r w:rsidR="00FF1171" w:rsidRPr="00D869E3">
        <w:rPr>
          <w:rFonts w:ascii="Verdana" w:hAnsi="Verdana"/>
          <w:sz w:val="20"/>
          <w:szCs w:val="20"/>
          <w:lang w:val="en-US"/>
        </w:rPr>
        <w:t xml:space="preserve">, </w:t>
      </w:r>
      <w:r w:rsidR="00303670" w:rsidRPr="00D869E3">
        <w:rPr>
          <w:rFonts w:ascii="Verdana" w:hAnsi="Verdana"/>
          <w:sz w:val="20"/>
          <w:szCs w:val="20"/>
          <w:lang w:val="en-US"/>
        </w:rPr>
        <w:t>under</w:t>
      </w:r>
      <w:r w:rsidR="00687684" w:rsidRPr="00D869E3">
        <w:rPr>
          <w:rFonts w:ascii="Verdana" w:hAnsi="Verdana"/>
          <w:sz w:val="20"/>
          <w:szCs w:val="20"/>
          <w:lang w:val="en-US"/>
        </w:rPr>
        <w:t xml:space="preserve"> Article</w:t>
      </w:r>
      <w:r w:rsidR="00FF1171" w:rsidRPr="00D869E3">
        <w:rPr>
          <w:rFonts w:ascii="Verdana" w:hAnsi="Verdana"/>
          <w:sz w:val="20"/>
          <w:szCs w:val="20"/>
          <w:lang w:val="en-US"/>
        </w:rPr>
        <w:t xml:space="preserve"> 2</w:t>
      </w:r>
      <w:r w:rsidR="00447C65" w:rsidRPr="00D869E3">
        <w:rPr>
          <w:rFonts w:ascii="Verdana" w:hAnsi="Verdana"/>
          <w:sz w:val="20"/>
          <w:szCs w:val="20"/>
          <w:lang w:val="en-US"/>
        </w:rPr>
        <w:t xml:space="preserve"> of the Convention</w:t>
      </w:r>
      <w:r w:rsidR="00FF1171" w:rsidRPr="00D869E3">
        <w:rPr>
          <w:rFonts w:ascii="Verdana" w:hAnsi="Verdana"/>
          <w:sz w:val="20"/>
          <w:szCs w:val="20"/>
          <w:lang w:val="en-US"/>
        </w:rPr>
        <w:t xml:space="preserve">, </w:t>
      </w:r>
      <w:r w:rsidR="00303670" w:rsidRPr="00D869E3">
        <w:rPr>
          <w:rFonts w:ascii="Verdana" w:hAnsi="Verdana"/>
          <w:sz w:val="20"/>
          <w:szCs w:val="20"/>
          <w:lang w:val="en-US"/>
        </w:rPr>
        <w:t xml:space="preserve">States have the obligation to implement actions leading to the effective observance of the rights protected by the Convention, because the existence of a law does not, in itself, ensure that it is enforced </w:t>
      </w:r>
      <w:r w:rsidR="00303670" w:rsidRPr="00D869E3">
        <w:rPr>
          <w:rFonts w:ascii="Verdana" w:hAnsi="Verdana"/>
          <w:sz w:val="20"/>
          <w:szCs w:val="20"/>
          <w:lang w:val="en-US"/>
        </w:rPr>
        <w:lastRenderedPageBreak/>
        <w:t>adequately. Thus, the Court has indicated that it is necessary that the application of laws or their interpretation, as jurisdictional practices and an expression of state public order, is adapted to the purpose sought by</w:t>
      </w:r>
      <w:r w:rsidR="00303670" w:rsidRPr="00D869E3">
        <w:rPr>
          <w:rFonts w:ascii="Verdana" w:hAnsi="Verdana"/>
          <w:sz w:val="20"/>
          <w:lang w:val="en-US"/>
        </w:rPr>
        <w:t xml:space="preserve"> </w:t>
      </w:r>
      <w:r w:rsidR="00447C65" w:rsidRPr="00D869E3">
        <w:rPr>
          <w:rFonts w:ascii="Verdana" w:hAnsi="Verdana"/>
          <w:sz w:val="20"/>
          <w:szCs w:val="20"/>
          <w:lang w:val="en-US"/>
        </w:rPr>
        <w:t>Article</w:t>
      </w:r>
      <w:r w:rsidR="00FF1171" w:rsidRPr="00D869E3">
        <w:rPr>
          <w:rFonts w:ascii="Verdana" w:hAnsi="Verdana"/>
          <w:sz w:val="20"/>
          <w:szCs w:val="20"/>
          <w:lang w:val="en-US"/>
        </w:rPr>
        <w:t xml:space="preserve"> 2</w:t>
      </w:r>
      <w:r w:rsidR="00447C65" w:rsidRPr="00D869E3">
        <w:rPr>
          <w:rFonts w:ascii="Verdana" w:hAnsi="Verdana"/>
          <w:sz w:val="20"/>
          <w:szCs w:val="20"/>
          <w:lang w:val="en-US"/>
        </w:rPr>
        <w:t xml:space="preserve"> of the Convention</w:t>
      </w:r>
      <w:r w:rsidR="00303670" w:rsidRPr="00D869E3">
        <w:rPr>
          <w:rFonts w:ascii="Verdana" w:hAnsi="Verdana"/>
          <w:sz w:val="20"/>
          <w:szCs w:val="20"/>
          <w:lang w:val="en-US"/>
        </w:rPr>
        <w:t>.</w:t>
      </w:r>
      <w:r w:rsidR="00FF1171" w:rsidRPr="00D869E3">
        <w:rPr>
          <w:rFonts w:ascii="Verdana" w:hAnsi="Verdana"/>
          <w:sz w:val="20"/>
          <w:szCs w:val="20"/>
          <w:vertAlign w:val="superscript"/>
          <w:lang w:val="en-US"/>
        </w:rPr>
        <w:footnoteReference w:id="161"/>
      </w:r>
      <w:r w:rsidR="00FF1171" w:rsidRPr="00D869E3">
        <w:rPr>
          <w:rFonts w:ascii="Verdana" w:hAnsi="Verdana"/>
          <w:sz w:val="20"/>
          <w:szCs w:val="20"/>
          <w:lang w:val="en-US"/>
        </w:rPr>
        <w:t xml:space="preserve"> </w:t>
      </w:r>
      <w:r w:rsidR="00303670" w:rsidRPr="00D869E3">
        <w:rPr>
          <w:rFonts w:ascii="Verdana" w:hAnsi="Verdana"/>
          <w:sz w:val="20"/>
          <w:szCs w:val="20"/>
          <w:lang w:val="en-US"/>
        </w:rPr>
        <w:t xml:space="preserve">Accordingly, even though </w:t>
      </w:r>
      <w:r w:rsidR="00447C65" w:rsidRPr="00D869E3">
        <w:rPr>
          <w:rFonts w:ascii="Verdana" w:hAnsi="Verdana"/>
          <w:sz w:val="20"/>
          <w:szCs w:val="20"/>
          <w:lang w:val="en-US"/>
        </w:rPr>
        <w:t>the Court</w:t>
      </w:r>
      <w:r w:rsidR="00FF1171" w:rsidRPr="00D869E3">
        <w:rPr>
          <w:rFonts w:ascii="Verdana" w:hAnsi="Verdana"/>
          <w:sz w:val="20"/>
          <w:szCs w:val="20"/>
          <w:lang w:val="en-US"/>
        </w:rPr>
        <w:t xml:space="preserve"> </w:t>
      </w:r>
      <w:r w:rsidR="00303670" w:rsidRPr="00D869E3">
        <w:rPr>
          <w:rFonts w:ascii="Verdana" w:hAnsi="Verdana"/>
          <w:sz w:val="20"/>
          <w:szCs w:val="20"/>
          <w:lang w:val="en-US"/>
        </w:rPr>
        <w:t>finds that paragraph</w:t>
      </w:r>
      <w:r w:rsidR="00FF1171" w:rsidRPr="00D869E3">
        <w:rPr>
          <w:rFonts w:ascii="Verdana" w:hAnsi="Verdana"/>
          <w:sz w:val="20"/>
          <w:szCs w:val="20"/>
          <w:lang w:val="en-US"/>
        </w:rPr>
        <w:t xml:space="preserve"> </w:t>
      </w:r>
      <w:r w:rsidR="00303670" w:rsidRPr="00D869E3">
        <w:rPr>
          <w:rFonts w:ascii="Verdana" w:hAnsi="Verdana"/>
          <w:sz w:val="20"/>
          <w:szCs w:val="20"/>
          <w:lang w:val="en-US"/>
        </w:rPr>
        <w:t>(</w:t>
      </w:r>
      <w:r w:rsidR="00FF1171" w:rsidRPr="00D869E3">
        <w:rPr>
          <w:rFonts w:ascii="Verdana" w:hAnsi="Verdana"/>
          <w:sz w:val="20"/>
          <w:szCs w:val="20"/>
          <w:lang w:val="en-US"/>
        </w:rPr>
        <w:t xml:space="preserve">h) </w:t>
      </w:r>
      <w:r w:rsidR="00687684" w:rsidRPr="00D869E3">
        <w:rPr>
          <w:rFonts w:ascii="Verdana" w:hAnsi="Verdana"/>
          <w:sz w:val="20"/>
          <w:szCs w:val="20"/>
          <w:lang w:val="en-US"/>
        </w:rPr>
        <w:t>of Article</w:t>
      </w:r>
      <w:r w:rsidR="00FF1171" w:rsidRPr="00D869E3">
        <w:rPr>
          <w:rFonts w:ascii="Verdana" w:hAnsi="Verdana"/>
          <w:sz w:val="20"/>
          <w:szCs w:val="20"/>
          <w:lang w:val="en-US"/>
        </w:rPr>
        <w:t xml:space="preserve"> 5 </w:t>
      </w:r>
      <w:r w:rsidR="00303670" w:rsidRPr="00D869E3">
        <w:rPr>
          <w:rFonts w:ascii="Verdana" w:hAnsi="Verdana"/>
          <w:sz w:val="20"/>
          <w:szCs w:val="20"/>
          <w:lang w:val="en-US"/>
        </w:rPr>
        <w:t>of</w:t>
      </w:r>
      <w:r w:rsidR="00FF1171" w:rsidRPr="00D869E3">
        <w:rPr>
          <w:rFonts w:ascii="Verdana" w:hAnsi="Verdana"/>
          <w:sz w:val="20"/>
          <w:szCs w:val="20"/>
          <w:lang w:val="en-US"/>
        </w:rPr>
        <w:t xml:space="preserve"> </w:t>
      </w:r>
      <w:r w:rsidR="00852CCA" w:rsidRPr="00D869E3">
        <w:rPr>
          <w:rFonts w:ascii="Verdana" w:hAnsi="Verdana"/>
          <w:sz w:val="20"/>
          <w:szCs w:val="20"/>
          <w:lang w:val="en-US"/>
        </w:rPr>
        <w:t>Law</w:t>
      </w:r>
      <w:r w:rsidR="00FF1171" w:rsidRPr="00D869E3">
        <w:rPr>
          <w:rFonts w:ascii="Verdana" w:hAnsi="Verdana"/>
          <w:sz w:val="20"/>
          <w:szCs w:val="20"/>
          <w:lang w:val="en-US"/>
        </w:rPr>
        <w:t xml:space="preserve"> 24514 </w:t>
      </w:r>
      <w:r w:rsidR="00303670" w:rsidRPr="00D869E3">
        <w:rPr>
          <w:rFonts w:ascii="Verdana" w:hAnsi="Verdana"/>
          <w:sz w:val="20"/>
          <w:szCs w:val="20"/>
          <w:lang w:val="en-US"/>
        </w:rPr>
        <w:t>did not</w:t>
      </w:r>
      <w:r w:rsidR="00FF1171" w:rsidRPr="00D869E3">
        <w:rPr>
          <w:rFonts w:ascii="Verdana" w:hAnsi="Verdana"/>
          <w:sz w:val="20"/>
          <w:szCs w:val="20"/>
          <w:lang w:val="en-US"/>
        </w:rPr>
        <w:t xml:space="preserve"> </w:t>
      </w:r>
      <w:r w:rsidR="00FF1171" w:rsidRPr="00D869E3">
        <w:rPr>
          <w:rFonts w:ascii="Verdana" w:hAnsi="Verdana"/>
          <w:i/>
          <w:sz w:val="20"/>
          <w:szCs w:val="20"/>
          <w:lang w:val="en-US"/>
        </w:rPr>
        <w:t xml:space="preserve">per se </w:t>
      </w:r>
      <w:r w:rsidR="00303670" w:rsidRPr="00D869E3">
        <w:rPr>
          <w:rFonts w:ascii="Verdana" w:hAnsi="Verdana"/>
          <w:sz w:val="20"/>
          <w:szCs w:val="20"/>
          <w:lang w:val="en-US"/>
        </w:rPr>
        <w:t xml:space="preserve">violate </w:t>
      </w:r>
      <w:r w:rsidR="00447C65" w:rsidRPr="00D869E3">
        <w:rPr>
          <w:rFonts w:ascii="Verdana" w:hAnsi="Verdana"/>
          <w:sz w:val="20"/>
          <w:szCs w:val="20"/>
          <w:lang w:val="en-US"/>
        </w:rPr>
        <w:t>Article</w:t>
      </w:r>
      <w:r w:rsidR="00CC31D1" w:rsidRPr="00D869E3">
        <w:rPr>
          <w:rFonts w:ascii="Verdana" w:hAnsi="Verdana"/>
          <w:sz w:val="20"/>
          <w:szCs w:val="20"/>
          <w:lang w:val="en-US"/>
        </w:rPr>
        <w:t xml:space="preserve"> </w:t>
      </w:r>
      <w:r w:rsidR="00966115" w:rsidRPr="00D869E3">
        <w:rPr>
          <w:rFonts w:ascii="Verdana" w:hAnsi="Verdana"/>
          <w:sz w:val="20"/>
          <w:szCs w:val="20"/>
          <w:lang w:val="en-US"/>
        </w:rPr>
        <w:t>13(2)</w:t>
      </w:r>
      <w:r w:rsidR="00447C65" w:rsidRPr="00D869E3">
        <w:rPr>
          <w:rFonts w:ascii="Verdana" w:hAnsi="Verdana"/>
          <w:sz w:val="20"/>
          <w:szCs w:val="20"/>
          <w:lang w:val="en-US"/>
        </w:rPr>
        <w:t xml:space="preserve"> of the American Convention</w:t>
      </w:r>
      <w:r w:rsidR="00FF1171" w:rsidRPr="00D869E3">
        <w:rPr>
          <w:rFonts w:ascii="Verdana" w:hAnsi="Verdana"/>
          <w:sz w:val="20"/>
          <w:szCs w:val="20"/>
          <w:lang w:val="en-US"/>
        </w:rPr>
        <w:t xml:space="preserve">, </w:t>
      </w:r>
      <w:r w:rsidR="00303670" w:rsidRPr="00D869E3">
        <w:rPr>
          <w:rFonts w:ascii="Verdana" w:hAnsi="Verdana"/>
          <w:sz w:val="20"/>
          <w:szCs w:val="20"/>
          <w:lang w:val="en-US"/>
        </w:rPr>
        <w:t>this did not exempt the authorities from ensuring that</w:t>
      </w:r>
      <w:r w:rsidR="00225A4A" w:rsidRPr="00D869E3">
        <w:rPr>
          <w:rFonts w:ascii="Verdana" w:hAnsi="Verdana"/>
          <w:sz w:val="20"/>
          <w:szCs w:val="20"/>
          <w:lang w:val="en-US"/>
        </w:rPr>
        <w:t xml:space="preserve"> </w:t>
      </w:r>
      <w:r w:rsidR="00303670" w:rsidRPr="00D869E3">
        <w:rPr>
          <w:rFonts w:ascii="Verdana" w:hAnsi="Verdana"/>
          <w:sz w:val="20"/>
          <w:szCs w:val="20"/>
          <w:lang w:val="en-US"/>
        </w:rPr>
        <w:t xml:space="preserve">this provision was </w:t>
      </w:r>
      <w:r w:rsidR="00225A4A" w:rsidRPr="00D869E3">
        <w:rPr>
          <w:rFonts w:ascii="Verdana" w:hAnsi="Verdana"/>
          <w:sz w:val="20"/>
          <w:szCs w:val="20"/>
          <w:lang w:val="en-US"/>
        </w:rPr>
        <w:t>applied</w:t>
      </w:r>
      <w:r w:rsidR="00303670" w:rsidRPr="00D869E3">
        <w:rPr>
          <w:rFonts w:ascii="Verdana" w:hAnsi="Verdana"/>
          <w:sz w:val="20"/>
          <w:szCs w:val="20"/>
          <w:lang w:val="en-US"/>
        </w:rPr>
        <w:t xml:space="preserve"> with due consideration for the other constitutional and treaty-based rights of the workers and their</w:t>
      </w:r>
      <w:r w:rsidR="00303670" w:rsidRPr="00D869E3">
        <w:rPr>
          <w:rFonts w:ascii="Verdana" w:hAnsi="Verdana"/>
          <w:sz w:val="20"/>
          <w:lang w:val="en-US"/>
        </w:rPr>
        <w:t xml:space="preserve"> </w:t>
      </w:r>
      <w:r w:rsidR="001E44D3" w:rsidRPr="00D869E3">
        <w:rPr>
          <w:rFonts w:ascii="Verdana" w:hAnsi="Verdana"/>
          <w:sz w:val="20"/>
          <w:szCs w:val="20"/>
          <w:lang w:val="en-US"/>
        </w:rPr>
        <w:t>representatives</w:t>
      </w:r>
      <w:r w:rsidR="00CC31D1" w:rsidRPr="00D869E3">
        <w:rPr>
          <w:rFonts w:ascii="Verdana" w:hAnsi="Verdana"/>
          <w:sz w:val="20"/>
          <w:szCs w:val="20"/>
          <w:lang w:val="en-US"/>
        </w:rPr>
        <w:t xml:space="preserve"> (</w:t>
      </w:r>
      <w:r w:rsidR="00CC31D1" w:rsidRPr="00D869E3">
        <w:rPr>
          <w:rFonts w:ascii="Verdana" w:hAnsi="Verdana"/>
          <w:i/>
          <w:sz w:val="20"/>
          <w:szCs w:val="20"/>
          <w:lang w:val="en-US"/>
        </w:rPr>
        <w:t>infra</w:t>
      </w:r>
      <w:r w:rsidR="00CC31D1" w:rsidRPr="00D869E3">
        <w:rPr>
          <w:rFonts w:ascii="Verdana" w:hAnsi="Verdana"/>
          <w:sz w:val="20"/>
          <w:szCs w:val="20"/>
          <w:lang w:val="en-US"/>
        </w:rPr>
        <w:t xml:space="preserve">, </w:t>
      </w:r>
      <w:r w:rsidR="0087339F" w:rsidRPr="00D869E3">
        <w:rPr>
          <w:rFonts w:ascii="Verdana" w:hAnsi="Verdana"/>
          <w:sz w:val="20"/>
          <w:szCs w:val="20"/>
          <w:lang w:val="en-US"/>
        </w:rPr>
        <w:t>para.</w:t>
      </w:r>
      <w:r w:rsidR="00CC31D1" w:rsidRPr="00D869E3">
        <w:rPr>
          <w:rFonts w:ascii="Verdana" w:hAnsi="Verdana"/>
          <w:sz w:val="20"/>
          <w:szCs w:val="20"/>
          <w:lang w:val="en-US"/>
        </w:rPr>
        <w:t xml:space="preserve"> </w:t>
      </w:r>
      <w:r w:rsidR="0010653B" w:rsidRPr="00D869E3">
        <w:rPr>
          <w:rFonts w:ascii="Verdana" w:hAnsi="Verdana"/>
          <w:sz w:val="20"/>
          <w:szCs w:val="20"/>
          <w:lang w:val="en-US"/>
        </w:rPr>
        <w:t>12</w:t>
      </w:r>
      <w:r w:rsidR="000023EA" w:rsidRPr="00D869E3">
        <w:rPr>
          <w:rFonts w:ascii="Verdana" w:hAnsi="Verdana"/>
          <w:sz w:val="20"/>
          <w:szCs w:val="20"/>
          <w:lang w:val="en-US"/>
        </w:rPr>
        <w:t>9</w:t>
      </w:r>
      <w:r w:rsidR="00CC31D1" w:rsidRPr="00D869E3">
        <w:rPr>
          <w:rFonts w:ascii="Verdana" w:hAnsi="Verdana"/>
          <w:sz w:val="20"/>
          <w:szCs w:val="20"/>
          <w:lang w:val="en-US"/>
        </w:rPr>
        <w:t>).</w:t>
      </w:r>
    </w:p>
    <w:p w14:paraId="30BCC8FB" w14:textId="77777777" w:rsidR="00D74FDD" w:rsidRPr="00D869E3" w:rsidRDefault="00D74FDD" w:rsidP="005D0F69">
      <w:pPr>
        <w:pStyle w:val="Prrafodelista"/>
        <w:ind w:left="0"/>
        <w:jc w:val="both"/>
        <w:rPr>
          <w:rFonts w:ascii="Verdana" w:hAnsi="Verdana"/>
          <w:sz w:val="20"/>
          <w:lang w:val="en-US"/>
        </w:rPr>
      </w:pPr>
    </w:p>
    <w:p w14:paraId="3B9BB79D" w14:textId="6DD1477F" w:rsidR="00C01305" w:rsidRPr="00D869E3" w:rsidRDefault="00303670" w:rsidP="00303670">
      <w:pPr>
        <w:pStyle w:val="Prrafodelista"/>
        <w:numPr>
          <w:ilvl w:val="0"/>
          <w:numId w:val="1"/>
        </w:numPr>
        <w:ind w:left="0" w:firstLine="0"/>
        <w:jc w:val="both"/>
        <w:rPr>
          <w:rFonts w:ascii="Verdana" w:hAnsi="Verdana"/>
          <w:sz w:val="20"/>
          <w:lang w:val="en-US"/>
        </w:rPr>
      </w:pPr>
      <w:r w:rsidRPr="00D869E3">
        <w:rPr>
          <w:rFonts w:ascii="Verdana" w:hAnsi="Verdana"/>
          <w:sz w:val="20"/>
          <w:szCs w:val="20"/>
          <w:lang w:val="en-US"/>
        </w:rPr>
        <w:t xml:space="preserve">Consequently </w:t>
      </w:r>
      <w:r w:rsidR="00447C65" w:rsidRPr="00D869E3">
        <w:rPr>
          <w:rFonts w:ascii="Verdana" w:hAnsi="Verdana"/>
          <w:sz w:val="20"/>
          <w:szCs w:val="20"/>
          <w:lang w:val="en-US"/>
        </w:rPr>
        <w:t>the Court</w:t>
      </w:r>
      <w:r w:rsidR="00D74FDD" w:rsidRPr="00D869E3">
        <w:rPr>
          <w:rFonts w:ascii="Verdana" w:hAnsi="Verdana"/>
          <w:sz w:val="20"/>
          <w:szCs w:val="20"/>
          <w:lang w:val="en-US"/>
        </w:rPr>
        <w:t xml:space="preserve"> </w:t>
      </w:r>
      <w:r w:rsidRPr="00D869E3">
        <w:rPr>
          <w:rFonts w:ascii="Verdana" w:hAnsi="Verdana"/>
          <w:sz w:val="20"/>
          <w:szCs w:val="20"/>
          <w:lang w:val="en-US"/>
        </w:rPr>
        <w:t>considers that</w:t>
      </w:r>
      <w:r w:rsidR="00D74FDD" w:rsidRPr="00D869E3">
        <w:rPr>
          <w:rFonts w:ascii="Verdana" w:hAnsi="Verdana"/>
          <w:sz w:val="20"/>
          <w:szCs w:val="20"/>
          <w:lang w:val="en-US"/>
        </w:rPr>
        <w:t xml:space="preserve"> </w:t>
      </w:r>
      <w:r w:rsidRPr="00D869E3">
        <w:rPr>
          <w:rFonts w:ascii="Verdana" w:hAnsi="Verdana"/>
          <w:sz w:val="20"/>
          <w:szCs w:val="20"/>
          <w:lang w:val="en-US"/>
        </w:rPr>
        <w:t xml:space="preserve">paragraph (h) of Article 5 of </w:t>
      </w:r>
      <w:r w:rsidR="00852CCA" w:rsidRPr="00D869E3">
        <w:rPr>
          <w:rFonts w:ascii="Verdana" w:hAnsi="Verdana"/>
          <w:sz w:val="20"/>
          <w:szCs w:val="20"/>
          <w:lang w:val="en-US"/>
        </w:rPr>
        <w:t>Law</w:t>
      </w:r>
      <w:r w:rsidR="00D74FDD" w:rsidRPr="00D869E3">
        <w:rPr>
          <w:rFonts w:ascii="Verdana" w:hAnsi="Verdana"/>
          <w:sz w:val="20"/>
          <w:szCs w:val="20"/>
          <w:lang w:val="en-US"/>
        </w:rPr>
        <w:t xml:space="preserve"> 24514 </w:t>
      </w:r>
      <w:r w:rsidRPr="00D869E3">
        <w:rPr>
          <w:rFonts w:ascii="Verdana" w:hAnsi="Verdana"/>
          <w:sz w:val="20"/>
          <w:szCs w:val="20"/>
          <w:lang w:val="en-US"/>
        </w:rPr>
        <w:t xml:space="preserve">does not, </w:t>
      </w:r>
      <w:r w:rsidRPr="00D869E3">
        <w:rPr>
          <w:rFonts w:ascii="Verdana" w:hAnsi="Verdana"/>
          <w:i/>
          <w:iCs/>
          <w:sz w:val="20"/>
          <w:szCs w:val="20"/>
          <w:lang w:val="en-US"/>
        </w:rPr>
        <w:t>per se</w:t>
      </w:r>
      <w:r w:rsidR="00FA7B6F" w:rsidRPr="00D869E3">
        <w:rPr>
          <w:rFonts w:ascii="Verdana" w:hAnsi="Verdana"/>
          <w:i/>
          <w:iCs/>
          <w:sz w:val="20"/>
          <w:szCs w:val="20"/>
          <w:lang w:val="en-US"/>
        </w:rPr>
        <w:t>,</w:t>
      </w:r>
      <w:r w:rsidRPr="00D869E3">
        <w:rPr>
          <w:rFonts w:ascii="Verdana" w:hAnsi="Verdana"/>
          <w:sz w:val="20"/>
          <w:szCs w:val="20"/>
          <w:lang w:val="en-US"/>
        </w:rPr>
        <w:t xml:space="preserve"> violate </w:t>
      </w:r>
      <w:r w:rsidR="00447C65" w:rsidRPr="00D869E3">
        <w:rPr>
          <w:rFonts w:ascii="Verdana" w:hAnsi="Verdana"/>
          <w:sz w:val="20"/>
          <w:szCs w:val="20"/>
          <w:lang w:val="en-US"/>
        </w:rPr>
        <w:t>Article</w:t>
      </w:r>
      <w:r w:rsidR="00261A99" w:rsidRPr="00D869E3">
        <w:rPr>
          <w:rFonts w:ascii="Verdana" w:hAnsi="Verdana"/>
          <w:sz w:val="20"/>
          <w:szCs w:val="20"/>
          <w:lang w:val="en-US"/>
        </w:rPr>
        <w:t xml:space="preserve"> </w:t>
      </w:r>
      <w:r w:rsidR="00966115" w:rsidRPr="00D869E3">
        <w:rPr>
          <w:rFonts w:ascii="Verdana" w:hAnsi="Verdana"/>
          <w:sz w:val="20"/>
          <w:szCs w:val="20"/>
          <w:lang w:val="en-US"/>
        </w:rPr>
        <w:t>13(2)</w:t>
      </w:r>
      <w:r w:rsidR="00447C65" w:rsidRPr="00D869E3">
        <w:rPr>
          <w:rFonts w:ascii="Verdana" w:hAnsi="Verdana"/>
          <w:i/>
          <w:sz w:val="20"/>
          <w:szCs w:val="20"/>
          <w:lang w:val="en-US"/>
        </w:rPr>
        <w:t xml:space="preserve"> </w:t>
      </w:r>
      <w:r w:rsidR="00447C65" w:rsidRPr="00D869E3">
        <w:rPr>
          <w:rFonts w:ascii="Verdana" w:hAnsi="Verdana"/>
          <w:iCs/>
          <w:sz w:val="20"/>
          <w:szCs w:val="20"/>
          <w:lang w:val="en-US"/>
        </w:rPr>
        <w:t>of the</w:t>
      </w:r>
      <w:r w:rsidR="00447C65" w:rsidRPr="00D869E3">
        <w:rPr>
          <w:rFonts w:ascii="Verdana" w:hAnsi="Verdana"/>
          <w:i/>
          <w:sz w:val="20"/>
          <w:szCs w:val="20"/>
          <w:lang w:val="en-US"/>
        </w:rPr>
        <w:t xml:space="preserve"> </w:t>
      </w:r>
      <w:r w:rsidR="00447C65" w:rsidRPr="00D869E3">
        <w:rPr>
          <w:rFonts w:ascii="Verdana" w:hAnsi="Verdana"/>
          <w:sz w:val="20"/>
          <w:szCs w:val="20"/>
          <w:lang w:val="en-US"/>
        </w:rPr>
        <w:t>American Convention</w:t>
      </w:r>
      <w:r w:rsidR="00687684" w:rsidRPr="00D869E3">
        <w:rPr>
          <w:rFonts w:ascii="Verdana" w:hAnsi="Verdana"/>
          <w:sz w:val="20"/>
          <w:szCs w:val="20"/>
          <w:lang w:val="en-US"/>
        </w:rPr>
        <w:t xml:space="preserve"> and </w:t>
      </w:r>
      <w:r w:rsidRPr="00D869E3">
        <w:rPr>
          <w:rFonts w:ascii="Verdana" w:hAnsi="Verdana"/>
          <w:sz w:val="20"/>
          <w:szCs w:val="20"/>
          <w:lang w:val="en-US"/>
        </w:rPr>
        <w:t xml:space="preserve">that, therefore, it </w:t>
      </w:r>
      <w:r w:rsidR="00FA7B6F" w:rsidRPr="00D869E3">
        <w:rPr>
          <w:rFonts w:ascii="Verdana" w:hAnsi="Verdana"/>
          <w:sz w:val="20"/>
          <w:szCs w:val="20"/>
          <w:lang w:val="en-US"/>
        </w:rPr>
        <w:t>had</w:t>
      </w:r>
      <w:r w:rsidRPr="00D869E3">
        <w:rPr>
          <w:rFonts w:ascii="Verdana" w:hAnsi="Verdana"/>
          <w:sz w:val="20"/>
          <w:szCs w:val="20"/>
          <w:lang w:val="en-US"/>
        </w:rPr>
        <w:t xml:space="preserve"> a valid </w:t>
      </w:r>
      <w:r w:rsidR="00FA7B6F" w:rsidRPr="00D869E3">
        <w:rPr>
          <w:rFonts w:ascii="Verdana" w:hAnsi="Verdana"/>
          <w:sz w:val="20"/>
          <w:szCs w:val="20"/>
          <w:lang w:val="en-US"/>
        </w:rPr>
        <w:t xml:space="preserve">purpose </w:t>
      </w:r>
      <w:r w:rsidRPr="00D869E3">
        <w:rPr>
          <w:rFonts w:ascii="Verdana" w:hAnsi="Verdana"/>
          <w:sz w:val="20"/>
          <w:szCs w:val="20"/>
          <w:lang w:val="en-US"/>
        </w:rPr>
        <w:t xml:space="preserve">in light of </w:t>
      </w:r>
      <w:r w:rsidR="00447C65" w:rsidRPr="00D869E3">
        <w:rPr>
          <w:rFonts w:ascii="Verdana" w:hAnsi="Verdana"/>
          <w:sz w:val="20"/>
          <w:szCs w:val="20"/>
          <w:lang w:val="en-US"/>
        </w:rPr>
        <w:t>the Convention</w:t>
      </w:r>
      <w:r w:rsidR="00687684" w:rsidRPr="00D869E3">
        <w:rPr>
          <w:rFonts w:ascii="Verdana" w:hAnsi="Verdana"/>
          <w:sz w:val="20"/>
          <w:szCs w:val="20"/>
          <w:lang w:val="en-US"/>
        </w:rPr>
        <w:t xml:space="preserve"> and </w:t>
      </w:r>
      <w:r w:rsidRPr="00D869E3">
        <w:rPr>
          <w:rFonts w:ascii="Verdana" w:hAnsi="Verdana"/>
          <w:sz w:val="20"/>
          <w:szCs w:val="20"/>
          <w:lang w:val="en-US"/>
        </w:rPr>
        <w:t xml:space="preserve">thus did not violate the requirement of legality. </w:t>
      </w:r>
    </w:p>
    <w:p w14:paraId="6B1A32BD" w14:textId="77777777" w:rsidR="00303670" w:rsidRPr="00D869E3" w:rsidRDefault="00303670" w:rsidP="00303670">
      <w:pPr>
        <w:pStyle w:val="Prrafodelista"/>
        <w:ind w:left="0"/>
        <w:jc w:val="both"/>
        <w:rPr>
          <w:rFonts w:ascii="Verdana" w:hAnsi="Verdana"/>
          <w:sz w:val="20"/>
          <w:lang w:val="en-US"/>
        </w:rPr>
      </w:pPr>
    </w:p>
    <w:p w14:paraId="4949392E" w14:textId="78D5B7BB" w:rsidR="00C01305" w:rsidRPr="00D869E3" w:rsidRDefault="00897912" w:rsidP="005B3D37">
      <w:pPr>
        <w:pStyle w:val="Ttulo3"/>
        <w:ind w:left="360"/>
        <w:rPr>
          <w:i/>
          <w:lang w:val="en-US"/>
        </w:rPr>
      </w:pPr>
      <w:bookmarkStart w:id="48" w:name="_Toc29114136"/>
      <w:r w:rsidRPr="00D869E3">
        <w:rPr>
          <w:i/>
          <w:lang w:val="en-US"/>
        </w:rPr>
        <w:t xml:space="preserve">1.2.3. </w:t>
      </w:r>
      <w:r w:rsidR="00303670" w:rsidRPr="00D869E3">
        <w:rPr>
          <w:i/>
          <w:lang w:val="en-US"/>
        </w:rPr>
        <w:t xml:space="preserve">Necessity for the restriction and </w:t>
      </w:r>
      <w:r w:rsidR="00C913C6" w:rsidRPr="00D869E3">
        <w:rPr>
          <w:i/>
          <w:lang w:val="en-US"/>
        </w:rPr>
        <w:t>obligation to state reasons</w:t>
      </w:r>
      <w:bookmarkEnd w:id="48"/>
    </w:p>
    <w:p w14:paraId="1923828A" w14:textId="77777777" w:rsidR="00C01305" w:rsidRPr="00D869E3" w:rsidRDefault="00C01305" w:rsidP="00C01305">
      <w:pPr>
        <w:ind w:left="1440"/>
        <w:contextualSpacing/>
        <w:jc w:val="both"/>
        <w:rPr>
          <w:rFonts w:ascii="Verdana" w:hAnsi="Verdana"/>
          <w:i/>
          <w:sz w:val="20"/>
          <w:szCs w:val="20"/>
          <w:lang w:val="en-US"/>
        </w:rPr>
      </w:pPr>
    </w:p>
    <w:p w14:paraId="5D2F19B6" w14:textId="14DFC4A5" w:rsidR="00C01305" w:rsidRPr="00D869E3" w:rsidRDefault="00447C65" w:rsidP="006F7E52">
      <w:pPr>
        <w:numPr>
          <w:ilvl w:val="0"/>
          <w:numId w:val="1"/>
        </w:numPr>
        <w:ind w:left="0" w:firstLine="0"/>
        <w:contextualSpacing/>
        <w:jc w:val="both"/>
        <w:rPr>
          <w:rFonts w:ascii="Verdana" w:hAnsi="Verdana"/>
          <w:szCs w:val="20"/>
          <w:lang w:val="en-US"/>
        </w:rPr>
      </w:pPr>
      <w:r w:rsidRPr="00D869E3">
        <w:rPr>
          <w:rFonts w:ascii="Verdana" w:hAnsi="Verdana"/>
          <w:sz w:val="20"/>
          <w:szCs w:val="20"/>
          <w:lang w:val="en-US"/>
        </w:rPr>
        <w:t>The Court</w:t>
      </w:r>
      <w:r w:rsidR="00C01305" w:rsidRPr="00D869E3">
        <w:rPr>
          <w:rFonts w:ascii="Verdana" w:hAnsi="Verdana"/>
          <w:sz w:val="20"/>
          <w:szCs w:val="20"/>
          <w:lang w:val="en-US"/>
        </w:rPr>
        <w:t xml:space="preserve"> </w:t>
      </w:r>
      <w:r w:rsidR="002F5C4C" w:rsidRPr="00D869E3">
        <w:rPr>
          <w:rFonts w:ascii="Verdana" w:hAnsi="Verdana"/>
          <w:sz w:val="20"/>
          <w:szCs w:val="20"/>
          <w:lang w:val="en-US"/>
        </w:rPr>
        <w:t>ha</w:t>
      </w:r>
      <w:r w:rsidR="00303670" w:rsidRPr="00D869E3">
        <w:rPr>
          <w:rFonts w:ascii="Verdana" w:hAnsi="Verdana"/>
          <w:sz w:val="20"/>
          <w:szCs w:val="20"/>
          <w:lang w:val="en-US"/>
        </w:rPr>
        <w:t>s</w:t>
      </w:r>
      <w:r w:rsidR="002F5C4C" w:rsidRPr="00D869E3">
        <w:rPr>
          <w:rFonts w:ascii="Verdana" w:hAnsi="Verdana"/>
          <w:sz w:val="20"/>
          <w:szCs w:val="20"/>
          <w:lang w:val="en-US"/>
        </w:rPr>
        <w:t xml:space="preserve"> </w:t>
      </w:r>
      <w:r w:rsidR="00C913C6" w:rsidRPr="00D869E3">
        <w:rPr>
          <w:rFonts w:ascii="Verdana" w:hAnsi="Verdana"/>
          <w:sz w:val="20"/>
          <w:szCs w:val="20"/>
          <w:lang w:val="en-US"/>
        </w:rPr>
        <w:t>established the standard</w:t>
      </w:r>
      <w:r w:rsidR="006F7E52" w:rsidRPr="00D869E3">
        <w:rPr>
          <w:rFonts w:ascii="Verdana" w:hAnsi="Verdana"/>
          <w:sz w:val="20"/>
          <w:szCs w:val="20"/>
          <w:lang w:val="en-US"/>
        </w:rPr>
        <w:t xml:space="preserve"> that</w:t>
      </w:r>
      <w:r w:rsidR="00C913C6" w:rsidRPr="00D869E3">
        <w:rPr>
          <w:rFonts w:ascii="Verdana" w:hAnsi="Verdana"/>
          <w:sz w:val="20"/>
          <w:szCs w:val="20"/>
          <w:lang w:val="en-US"/>
        </w:rPr>
        <w:t>,</w:t>
      </w:r>
      <w:r w:rsidR="006F7E52" w:rsidRPr="00D869E3">
        <w:rPr>
          <w:rFonts w:ascii="Verdana" w:hAnsi="Verdana"/>
          <w:sz w:val="20"/>
          <w:szCs w:val="20"/>
          <w:lang w:val="en-US"/>
        </w:rPr>
        <w:t xml:space="preserve"> “for a restriction of freedom of expression to be compatible with </w:t>
      </w:r>
      <w:r w:rsidRPr="00D869E3">
        <w:rPr>
          <w:rFonts w:ascii="Verdana" w:hAnsi="Verdana"/>
          <w:sz w:val="20"/>
          <w:szCs w:val="20"/>
          <w:lang w:val="en-US"/>
        </w:rPr>
        <w:t>the American Convention</w:t>
      </w:r>
      <w:r w:rsidR="00C01305" w:rsidRPr="00D869E3">
        <w:rPr>
          <w:rFonts w:ascii="Verdana" w:hAnsi="Verdana"/>
          <w:sz w:val="20"/>
          <w:szCs w:val="20"/>
          <w:lang w:val="en-US"/>
        </w:rPr>
        <w:t xml:space="preserve">, </w:t>
      </w:r>
      <w:r w:rsidR="006F7E52" w:rsidRPr="00D869E3">
        <w:rPr>
          <w:rFonts w:ascii="Verdana" w:hAnsi="Verdana"/>
          <w:sz w:val="20"/>
          <w:szCs w:val="20"/>
          <w:lang w:val="en-US"/>
        </w:rPr>
        <w:t>it must be necessary in a democratic society, understanding by ‘necessary’ the existence of an essential social need that would justify the restriction.</w:t>
      </w:r>
      <w:r w:rsidR="00C913C6" w:rsidRPr="00D869E3">
        <w:rPr>
          <w:rFonts w:ascii="Verdana" w:hAnsi="Verdana"/>
          <w:sz w:val="20"/>
          <w:szCs w:val="20"/>
          <w:lang w:val="en-US"/>
        </w:rPr>
        <w:t>”</w:t>
      </w:r>
      <w:r w:rsidR="00C01305" w:rsidRPr="00D869E3">
        <w:rPr>
          <w:rFonts w:ascii="Verdana" w:hAnsi="Verdana"/>
          <w:sz w:val="20"/>
          <w:szCs w:val="20"/>
          <w:vertAlign w:val="superscript"/>
          <w:lang w:val="en-US"/>
        </w:rPr>
        <w:footnoteReference w:id="162"/>
      </w:r>
      <w:r w:rsidR="006F7E52" w:rsidRPr="00D869E3">
        <w:rPr>
          <w:rFonts w:ascii="Verdana" w:hAnsi="Verdana"/>
          <w:sz w:val="20"/>
          <w:szCs w:val="20"/>
          <w:lang w:val="en-US"/>
        </w:rPr>
        <w:t xml:space="preserve"> Specifically, the Court must determine whether, in light of all the circumstances, the sanction imposed on </w:t>
      </w:r>
      <w:r w:rsidR="00687684" w:rsidRPr="00D869E3">
        <w:rPr>
          <w:rFonts w:ascii="Verdana" w:hAnsi="Verdana"/>
          <w:sz w:val="20"/>
          <w:szCs w:val="20"/>
          <w:lang w:val="en-US"/>
        </w:rPr>
        <w:t>the presumed victim</w:t>
      </w:r>
      <w:r w:rsidR="00473B78" w:rsidRPr="00D869E3">
        <w:rPr>
          <w:rFonts w:ascii="Verdana" w:hAnsi="Verdana"/>
          <w:sz w:val="20"/>
          <w:szCs w:val="20"/>
          <w:lang w:val="en-US"/>
        </w:rPr>
        <w:t xml:space="preserve"> </w:t>
      </w:r>
      <w:r w:rsidR="006F7E52" w:rsidRPr="00D869E3">
        <w:rPr>
          <w:rFonts w:ascii="Verdana" w:hAnsi="Verdana"/>
          <w:sz w:val="20"/>
          <w:szCs w:val="20"/>
          <w:lang w:val="en-US"/>
        </w:rPr>
        <w:t>was proportionate to the legitimate purpose sought,</w:t>
      </w:r>
      <w:r w:rsidR="00473B78" w:rsidRPr="00D869E3">
        <w:rPr>
          <w:rFonts w:ascii="Verdana" w:hAnsi="Verdana"/>
          <w:sz w:val="20"/>
          <w:szCs w:val="20"/>
          <w:vertAlign w:val="superscript"/>
          <w:lang w:val="en-US"/>
        </w:rPr>
        <w:footnoteReference w:id="163"/>
      </w:r>
      <w:r w:rsidR="00687684" w:rsidRPr="00D869E3">
        <w:rPr>
          <w:rFonts w:ascii="Verdana" w:hAnsi="Verdana"/>
          <w:sz w:val="20"/>
          <w:szCs w:val="20"/>
          <w:lang w:val="en-US"/>
        </w:rPr>
        <w:t xml:space="preserve"> and </w:t>
      </w:r>
      <w:r w:rsidR="006F7E52" w:rsidRPr="00D869E3">
        <w:rPr>
          <w:rFonts w:ascii="Verdana" w:hAnsi="Verdana"/>
          <w:sz w:val="20"/>
          <w:szCs w:val="20"/>
          <w:lang w:val="en-US"/>
        </w:rPr>
        <w:t xml:space="preserve">whether the </w:t>
      </w:r>
      <w:r w:rsidR="00DC5BC7" w:rsidRPr="00D869E3">
        <w:rPr>
          <w:rFonts w:ascii="Verdana" w:hAnsi="Verdana"/>
          <w:sz w:val="20"/>
          <w:szCs w:val="20"/>
          <w:lang w:val="en-US"/>
        </w:rPr>
        <w:t>reasons</w:t>
      </w:r>
      <w:r w:rsidR="006F7E52" w:rsidRPr="00D869E3">
        <w:rPr>
          <w:rFonts w:ascii="Verdana" w:hAnsi="Verdana"/>
          <w:sz w:val="20"/>
          <w:szCs w:val="20"/>
          <w:lang w:val="en-US"/>
        </w:rPr>
        <w:t xml:space="preserve"> given by the internal authorities to justify it were pertinent and sufficient.</w:t>
      </w:r>
      <w:r w:rsidR="00473B78" w:rsidRPr="00D869E3">
        <w:rPr>
          <w:rStyle w:val="Refdenotaalpie"/>
          <w:szCs w:val="20"/>
          <w:lang w:val="en-US"/>
        </w:rPr>
        <w:footnoteReference w:id="164"/>
      </w:r>
    </w:p>
    <w:p w14:paraId="0E4EB35F" w14:textId="77777777" w:rsidR="005967AA" w:rsidRPr="00D869E3" w:rsidRDefault="005967AA" w:rsidP="005967AA">
      <w:pPr>
        <w:contextualSpacing/>
        <w:jc w:val="both"/>
        <w:rPr>
          <w:rFonts w:ascii="Verdana" w:hAnsi="Verdana"/>
          <w:szCs w:val="20"/>
          <w:lang w:val="en-US"/>
        </w:rPr>
      </w:pPr>
    </w:p>
    <w:p w14:paraId="370320A9" w14:textId="171109D0" w:rsidR="00AA54B8" w:rsidRPr="00D869E3" w:rsidRDefault="00075E68" w:rsidP="00E66DD7">
      <w:pPr>
        <w:numPr>
          <w:ilvl w:val="0"/>
          <w:numId w:val="1"/>
        </w:numPr>
        <w:ind w:left="0" w:firstLine="0"/>
        <w:contextualSpacing/>
        <w:jc w:val="both"/>
        <w:rPr>
          <w:rFonts w:ascii="Verdana" w:hAnsi="Verdana"/>
          <w:sz w:val="20"/>
          <w:szCs w:val="20"/>
          <w:lang w:val="en-US"/>
        </w:rPr>
      </w:pPr>
      <w:r w:rsidRPr="00D869E3">
        <w:rPr>
          <w:rFonts w:ascii="Verdana" w:hAnsi="Verdana"/>
          <w:sz w:val="20"/>
          <w:szCs w:val="20"/>
          <w:lang w:val="en-US"/>
        </w:rPr>
        <w:t>In this regard</w:t>
      </w:r>
      <w:r w:rsidR="00C01305" w:rsidRPr="00D869E3">
        <w:rPr>
          <w:rFonts w:ascii="Verdana" w:hAnsi="Verdana"/>
          <w:sz w:val="20"/>
          <w:szCs w:val="20"/>
          <w:lang w:val="en-US"/>
        </w:rPr>
        <w:t xml:space="preserve">, </w:t>
      </w:r>
      <w:r w:rsidR="00447C65" w:rsidRPr="00D869E3">
        <w:rPr>
          <w:rFonts w:ascii="Verdana" w:hAnsi="Verdana"/>
          <w:sz w:val="20"/>
          <w:szCs w:val="20"/>
          <w:lang w:val="en-US"/>
        </w:rPr>
        <w:t>the Court</w:t>
      </w:r>
      <w:r w:rsidR="00C01305" w:rsidRPr="00D869E3">
        <w:rPr>
          <w:rFonts w:ascii="Verdana" w:hAnsi="Verdana"/>
          <w:sz w:val="20"/>
          <w:szCs w:val="20"/>
          <w:lang w:val="en-US"/>
        </w:rPr>
        <w:t xml:space="preserve"> </w:t>
      </w:r>
      <w:r w:rsidR="00DC5BC7" w:rsidRPr="00D869E3">
        <w:rPr>
          <w:rFonts w:ascii="Verdana" w:hAnsi="Verdana"/>
          <w:sz w:val="20"/>
          <w:szCs w:val="20"/>
          <w:lang w:val="en-US"/>
        </w:rPr>
        <w:t>understand that dismissal is probably the maximum penalty in the employment relationship;</w:t>
      </w:r>
      <w:r w:rsidR="00C01305" w:rsidRPr="00D869E3">
        <w:rPr>
          <w:rFonts w:ascii="Verdana" w:hAnsi="Verdana"/>
          <w:sz w:val="20"/>
          <w:szCs w:val="20"/>
          <w:vertAlign w:val="superscript"/>
          <w:lang w:val="en-US"/>
        </w:rPr>
        <w:footnoteReference w:id="165"/>
      </w:r>
      <w:r w:rsidR="00DC5BC7" w:rsidRPr="00D869E3">
        <w:rPr>
          <w:rFonts w:ascii="Verdana" w:hAnsi="Verdana"/>
          <w:sz w:val="20"/>
          <w:szCs w:val="20"/>
          <w:lang w:val="en-US"/>
        </w:rPr>
        <w:t xml:space="preserve"> therefore, it must respond to an imperative need in relation to </w:t>
      </w:r>
      <w:r w:rsidR="00A62EA8" w:rsidRPr="00D869E3">
        <w:rPr>
          <w:rFonts w:ascii="Verdana" w:hAnsi="Verdana"/>
          <w:sz w:val="20"/>
          <w:szCs w:val="20"/>
          <w:lang w:val="en-US"/>
        </w:rPr>
        <w:t>freedom of expression</w:t>
      </w:r>
      <w:r w:rsidR="00687684" w:rsidRPr="00D869E3">
        <w:rPr>
          <w:rFonts w:ascii="Verdana" w:hAnsi="Verdana"/>
          <w:sz w:val="20"/>
          <w:szCs w:val="20"/>
          <w:lang w:val="en-US"/>
        </w:rPr>
        <w:t xml:space="preserve"> and </w:t>
      </w:r>
      <w:r w:rsidR="00DC5BC7" w:rsidRPr="00D869E3">
        <w:rPr>
          <w:rFonts w:ascii="Verdana" w:hAnsi="Verdana"/>
          <w:sz w:val="20"/>
          <w:szCs w:val="20"/>
          <w:lang w:val="en-US"/>
        </w:rPr>
        <w:t>it must be duly justified</w:t>
      </w:r>
      <w:r w:rsidR="00C01305" w:rsidRPr="00D869E3">
        <w:rPr>
          <w:rFonts w:ascii="Verdana" w:hAnsi="Verdana"/>
          <w:sz w:val="20"/>
          <w:szCs w:val="20"/>
          <w:lang w:val="en-US"/>
        </w:rPr>
        <w:t xml:space="preserve"> (</w:t>
      </w:r>
      <w:r w:rsidR="006436CA" w:rsidRPr="00D869E3">
        <w:rPr>
          <w:rFonts w:ascii="Verdana" w:hAnsi="Verdana"/>
          <w:sz w:val="20"/>
          <w:szCs w:val="20"/>
          <w:lang w:val="en-US"/>
        </w:rPr>
        <w:t>“</w:t>
      </w:r>
      <w:r w:rsidR="00C01305" w:rsidRPr="00D869E3">
        <w:rPr>
          <w:rFonts w:ascii="Verdana" w:hAnsi="Verdana"/>
          <w:sz w:val="20"/>
          <w:szCs w:val="20"/>
          <w:lang w:val="en-US"/>
        </w:rPr>
        <w:t>justifi</w:t>
      </w:r>
      <w:r w:rsidR="00DC5BC7" w:rsidRPr="00D869E3">
        <w:rPr>
          <w:rFonts w:ascii="Verdana" w:hAnsi="Verdana"/>
          <w:sz w:val="20"/>
          <w:szCs w:val="20"/>
          <w:lang w:val="en-US"/>
        </w:rPr>
        <w:t>ed dismissal</w:t>
      </w:r>
      <w:r w:rsidR="006436CA" w:rsidRPr="00D869E3">
        <w:rPr>
          <w:rFonts w:ascii="Verdana" w:hAnsi="Verdana"/>
          <w:sz w:val="20"/>
          <w:szCs w:val="20"/>
          <w:lang w:val="en-US"/>
        </w:rPr>
        <w:t>”</w:t>
      </w:r>
      <w:r w:rsidR="00C01305" w:rsidRPr="00D869E3">
        <w:rPr>
          <w:rFonts w:ascii="Verdana" w:hAnsi="Verdana"/>
          <w:sz w:val="20"/>
          <w:szCs w:val="20"/>
          <w:lang w:val="en-US"/>
        </w:rPr>
        <w:t>)</w:t>
      </w:r>
      <w:r w:rsidR="00C01305" w:rsidRPr="00D869E3">
        <w:rPr>
          <w:rFonts w:ascii="Verdana" w:hAnsi="Verdana"/>
          <w:sz w:val="20"/>
          <w:szCs w:val="20"/>
          <w:vertAlign w:val="superscript"/>
          <w:lang w:val="en-US"/>
        </w:rPr>
        <w:footnoteReference w:id="166"/>
      </w:r>
      <w:r w:rsidR="00C01305" w:rsidRPr="00D869E3">
        <w:rPr>
          <w:rFonts w:ascii="Verdana" w:hAnsi="Verdana"/>
          <w:sz w:val="20"/>
          <w:szCs w:val="20"/>
          <w:lang w:val="en-US"/>
        </w:rPr>
        <w:t xml:space="preserve">. </w:t>
      </w:r>
    </w:p>
    <w:p w14:paraId="2538095C" w14:textId="0649B586" w:rsidR="00A528A6" w:rsidRPr="00D869E3" w:rsidRDefault="00A528A6" w:rsidP="005D0F69">
      <w:pPr>
        <w:contextualSpacing/>
        <w:jc w:val="both"/>
        <w:rPr>
          <w:rFonts w:ascii="Verdana" w:hAnsi="Verdana"/>
          <w:sz w:val="20"/>
          <w:szCs w:val="20"/>
          <w:lang w:val="en-US"/>
        </w:rPr>
      </w:pPr>
    </w:p>
    <w:p w14:paraId="16363821" w14:textId="6EAF921D" w:rsidR="00C01305" w:rsidRPr="00D869E3" w:rsidRDefault="00075E68" w:rsidP="00DC5BC7">
      <w:pPr>
        <w:numPr>
          <w:ilvl w:val="0"/>
          <w:numId w:val="1"/>
        </w:numPr>
        <w:ind w:left="0" w:firstLine="0"/>
        <w:contextualSpacing/>
        <w:jc w:val="both"/>
        <w:rPr>
          <w:rFonts w:ascii="Verdana" w:hAnsi="Verdana"/>
          <w:sz w:val="20"/>
          <w:szCs w:val="20"/>
          <w:lang w:val="en-US"/>
        </w:rPr>
      </w:pPr>
      <w:r w:rsidRPr="00D869E3">
        <w:rPr>
          <w:rFonts w:ascii="Verdana" w:hAnsi="Verdana"/>
          <w:sz w:val="20"/>
          <w:szCs w:val="20"/>
          <w:lang w:val="en-US"/>
        </w:rPr>
        <w:t>In this regard</w:t>
      </w:r>
      <w:r w:rsidR="00C01305" w:rsidRPr="00D869E3">
        <w:rPr>
          <w:rFonts w:ascii="Verdana" w:hAnsi="Verdana"/>
          <w:sz w:val="20"/>
          <w:szCs w:val="20"/>
          <w:lang w:val="en-US"/>
        </w:rPr>
        <w:t>,</w:t>
      </w:r>
      <w:r w:rsidR="00DC5BC7" w:rsidRPr="00D869E3">
        <w:rPr>
          <w:rFonts w:ascii="Verdana" w:hAnsi="Verdana"/>
          <w:sz w:val="20"/>
          <w:szCs w:val="20"/>
          <w:lang w:val="en-US"/>
        </w:rPr>
        <w:t xml:space="preserve"> paragraphs 5 and 6 of</w:t>
      </w:r>
      <w:r w:rsidR="00C01305" w:rsidRPr="00D869E3">
        <w:rPr>
          <w:rFonts w:ascii="Verdana" w:hAnsi="Verdana"/>
          <w:sz w:val="20"/>
          <w:szCs w:val="20"/>
          <w:lang w:val="en-US"/>
        </w:rPr>
        <w:t xml:space="preserve"> </w:t>
      </w:r>
      <w:r w:rsidR="00DC5BC7" w:rsidRPr="00D869E3">
        <w:rPr>
          <w:rFonts w:ascii="Verdana" w:hAnsi="Verdana"/>
          <w:sz w:val="20"/>
          <w:szCs w:val="20"/>
          <w:lang w:val="en-US"/>
        </w:rPr>
        <w:t>ILO</w:t>
      </w:r>
      <w:r w:rsidR="00C01305" w:rsidRPr="00D869E3">
        <w:rPr>
          <w:rFonts w:ascii="Verdana" w:hAnsi="Verdana"/>
          <w:sz w:val="20"/>
          <w:szCs w:val="20"/>
          <w:lang w:val="en-US"/>
        </w:rPr>
        <w:t xml:space="preserve"> </w:t>
      </w:r>
      <w:r w:rsidR="00B86291" w:rsidRPr="00D869E3">
        <w:rPr>
          <w:rFonts w:ascii="Verdana" w:hAnsi="Verdana"/>
          <w:sz w:val="20"/>
          <w:szCs w:val="20"/>
          <w:lang w:val="en-US"/>
        </w:rPr>
        <w:t>R</w:t>
      </w:r>
      <w:r w:rsidR="00C01305" w:rsidRPr="00D869E3">
        <w:rPr>
          <w:rFonts w:ascii="Verdana" w:hAnsi="Verdana"/>
          <w:sz w:val="20"/>
          <w:szCs w:val="20"/>
          <w:lang w:val="en-US"/>
        </w:rPr>
        <w:t>ecom</w:t>
      </w:r>
      <w:r w:rsidR="00DC5BC7" w:rsidRPr="00D869E3">
        <w:rPr>
          <w:rFonts w:ascii="Verdana" w:hAnsi="Verdana"/>
          <w:sz w:val="20"/>
          <w:szCs w:val="20"/>
          <w:lang w:val="en-US"/>
        </w:rPr>
        <w:t>mendation</w:t>
      </w:r>
      <w:r w:rsidR="00C01305" w:rsidRPr="00D869E3">
        <w:rPr>
          <w:rFonts w:ascii="Verdana" w:hAnsi="Verdana"/>
          <w:sz w:val="20"/>
          <w:szCs w:val="20"/>
          <w:lang w:val="en-US"/>
        </w:rPr>
        <w:t xml:space="preserve"> No. 143 </w:t>
      </w:r>
      <w:r w:rsidR="00DC5BC7" w:rsidRPr="00D869E3">
        <w:rPr>
          <w:rFonts w:ascii="Verdana" w:hAnsi="Verdana"/>
          <w:sz w:val="20"/>
          <w:szCs w:val="20"/>
          <w:lang w:val="en-US"/>
        </w:rPr>
        <w:t>on Workers’ Representatives are relevant when establishing “the special protection that workers’ representatives should have against any act prejudicial to them, including dismissal, based on their status as workers’ representatives, among other matters, insofar as they act in conformity with existing laws or collective agreements or other jointly agreed arrangements.”</w:t>
      </w:r>
      <w:r w:rsidR="00C01305" w:rsidRPr="00D869E3">
        <w:rPr>
          <w:rFonts w:ascii="Verdana" w:hAnsi="Verdana"/>
          <w:sz w:val="20"/>
          <w:szCs w:val="20"/>
          <w:vertAlign w:val="superscript"/>
          <w:lang w:val="en-US"/>
        </w:rPr>
        <w:footnoteReference w:id="167"/>
      </w:r>
      <w:r w:rsidR="00C01305" w:rsidRPr="00D869E3">
        <w:rPr>
          <w:rFonts w:ascii="Verdana" w:hAnsi="Verdana"/>
          <w:sz w:val="20"/>
          <w:szCs w:val="20"/>
          <w:lang w:val="en-US"/>
        </w:rPr>
        <w:t xml:space="preserve"> </w:t>
      </w:r>
    </w:p>
    <w:p w14:paraId="3913FC57" w14:textId="77777777" w:rsidR="00C01305" w:rsidRPr="00D869E3" w:rsidRDefault="00C01305" w:rsidP="00CA58EF">
      <w:pPr>
        <w:contextualSpacing/>
        <w:jc w:val="both"/>
        <w:rPr>
          <w:rFonts w:ascii="Verdana" w:hAnsi="Verdana"/>
          <w:sz w:val="20"/>
          <w:szCs w:val="20"/>
          <w:lang w:val="en-US"/>
        </w:rPr>
      </w:pPr>
    </w:p>
    <w:p w14:paraId="4EC471D7" w14:textId="303C0AFD" w:rsidR="00C01305" w:rsidRPr="00D869E3" w:rsidRDefault="00DC5BC7" w:rsidP="00E66DD7">
      <w:pPr>
        <w:numPr>
          <w:ilvl w:val="0"/>
          <w:numId w:val="1"/>
        </w:numPr>
        <w:shd w:val="clear" w:color="auto" w:fill="FFFFFF"/>
        <w:ind w:left="0" w:firstLine="0"/>
        <w:contextualSpacing/>
        <w:jc w:val="both"/>
        <w:rPr>
          <w:rFonts w:ascii="Verdana" w:hAnsi="Verdana"/>
          <w:b/>
          <w:sz w:val="20"/>
          <w:szCs w:val="20"/>
          <w:lang w:val="en-US"/>
        </w:rPr>
      </w:pPr>
      <w:r w:rsidRPr="00D869E3">
        <w:rPr>
          <w:rFonts w:ascii="Verdana" w:hAnsi="Verdana"/>
          <w:sz w:val="20"/>
          <w:szCs w:val="20"/>
          <w:lang w:val="en-US"/>
        </w:rPr>
        <w:t xml:space="preserve">First, in this case, </w:t>
      </w:r>
      <w:r w:rsidR="00341FEB" w:rsidRPr="00D869E3">
        <w:rPr>
          <w:rFonts w:ascii="Verdana" w:hAnsi="Verdana"/>
          <w:sz w:val="20"/>
          <w:szCs w:val="20"/>
          <w:lang w:val="en-US"/>
        </w:rPr>
        <w:t xml:space="preserve">in a letter informing him of his dismissal, the employer considered that Mr. </w:t>
      </w:r>
      <w:r w:rsidR="001E44D3" w:rsidRPr="00D869E3">
        <w:rPr>
          <w:rFonts w:ascii="Verdana" w:hAnsi="Verdana"/>
          <w:sz w:val="20"/>
          <w:szCs w:val="20"/>
          <w:lang w:val="en-US"/>
        </w:rPr>
        <w:t>Lagos del Campo</w:t>
      </w:r>
      <w:r w:rsidR="002F5C4C" w:rsidRPr="00D869E3">
        <w:rPr>
          <w:rFonts w:ascii="Verdana" w:hAnsi="Verdana"/>
          <w:sz w:val="20"/>
          <w:szCs w:val="20"/>
          <w:lang w:val="en-US"/>
        </w:rPr>
        <w:t xml:space="preserve"> </w:t>
      </w:r>
      <w:r w:rsidR="00341FEB" w:rsidRPr="00D869E3">
        <w:rPr>
          <w:rFonts w:ascii="Verdana" w:hAnsi="Verdana"/>
          <w:sz w:val="20"/>
          <w:szCs w:val="20"/>
          <w:lang w:val="en-US"/>
        </w:rPr>
        <w:t xml:space="preserve">had not disproved the charges against him, so that it was in order to </w:t>
      </w:r>
      <w:r w:rsidR="003A34C7" w:rsidRPr="00D869E3">
        <w:rPr>
          <w:rFonts w:ascii="Verdana" w:hAnsi="Verdana"/>
          <w:sz w:val="20"/>
          <w:szCs w:val="20"/>
          <w:lang w:val="en-US"/>
        </w:rPr>
        <w:t>sanction him with</w:t>
      </w:r>
      <w:r w:rsidR="00341FEB" w:rsidRPr="00D869E3">
        <w:rPr>
          <w:rFonts w:ascii="Verdana" w:hAnsi="Verdana"/>
          <w:sz w:val="20"/>
          <w:szCs w:val="20"/>
          <w:lang w:val="en-US"/>
        </w:rPr>
        <w:t xml:space="preserve"> dismissal, pursuant to the procedure established in </w:t>
      </w:r>
      <w:r w:rsidR="00447C65" w:rsidRPr="00D869E3">
        <w:rPr>
          <w:rFonts w:ascii="Verdana" w:hAnsi="Verdana"/>
          <w:sz w:val="20"/>
          <w:szCs w:val="20"/>
          <w:lang w:val="en-US"/>
        </w:rPr>
        <w:t>Article</w:t>
      </w:r>
      <w:r w:rsidR="00C01305" w:rsidRPr="00D869E3">
        <w:rPr>
          <w:rFonts w:ascii="Verdana" w:hAnsi="Verdana"/>
          <w:sz w:val="20"/>
          <w:szCs w:val="20"/>
          <w:lang w:val="en-US"/>
        </w:rPr>
        <w:t xml:space="preserve"> 6 </w:t>
      </w:r>
      <w:r w:rsidR="00C30192" w:rsidRPr="00D869E3">
        <w:rPr>
          <w:rFonts w:ascii="Verdana" w:hAnsi="Verdana"/>
          <w:sz w:val="20"/>
          <w:szCs w:val="20"/>
          <w:lang w:val="en-US"/>
        </w:rPr>
        <w:t>of the Decree</w:t>
      </w:r>
      <w:r w:rsidR="0003030B" w:rsidRPr="00D869E3">
        <w:rPr>
          <w:rFonts w:ascii="Verdana" w:hAnsi="Verdana"/>
          <w:sz w:val="20"/>
          <w:szCs w:val="20"/>
          <w:lang w:val="en-US"/>
        </w:rPr>
        <w:t>-Law</w:t>
      </w:r>
      <w:r w:rsidR="00C01305" w:rsidRPr="00D869E3">
        <w:rPr>
          <w:rFonts w:ascii="Verdana" w:hAnsi="Verdana"/>
          <w:sz w:val="20"/>
          <w:szCs w:val="20"/>
          <w:lang w:val="en-US"/>
        </w:rPr>
        <w:t xml:space="preserve"> (</w:t>
      </w:r>
      <w:r w:rsidR="00224537" w:rsidRPr="00D869E3">
        <w:rPr>
          <w:rFonts w:ascii="Verdana" w:hAnsi="Verdana"/>
          <w:i/>
          <w:sz w:val="20"/>
          <w:szCs w:val="20"/>
          <w:lang w:val="en-US"/>
        </w:rPr>
        <w:t>supra</w:t>
      </w:r>
      <w:r w:rsidR="00C01305" w:rsidRPr="00D869E3">
        <w:rPr>
          <w:rFonts w:ascii="Verdana" w:hAnsi="Verdana"/>
          <w:sz w:val="20"/>
          <w:szCs w:val="20"/>
          <w:lang w:val="en-US"/>
        </w:rPr>
        <w:t xml:space="preserve">, </w:t>
      </w:r>
      <w:r w:rsidR="0087339F" w:rsidRPr="00D869E3">
        <w:rPr>
          <w:rFonts w:ascii="Verdana" w:hAnsi="Verdana"/>
          <w:sz w:val="20"/>
          <w:szCs w:val="20"/>
          <w:lang w:val="en-US"/>
        </w:rPr>
        <w:t>para.</w:t>
      </w:r>
      <w:r w:rsidR="00C01305" w:rsidRPr="00D869E3">
        <w:rPr>
          <w:rFonts w:ascii="Verdana" w:hAnsi="Verdana"/>
          <w:sz w:val="20"/>
          <w:szCs w:val="20"/>
          <w:lang w:val="en-US"/>
        </w:rPr>
        <w:t xml:space="preserve"> </w:t>
      </w:r>
      <w:r w:rsidR="00332EE5" w:rsidRPr="00D869E3">
        <w:rPr>
          <w:rFonts w:ascii="Verdana" w:hAnsi="Verdana"/>
          <w:sz w:val="20"/>
          <w:szCs w:val="20"/>
          <w:lang w:val="en-US"/>
        </w:rPr>
        <w:t>55</w:t>
      </w:r>
      <w:r w:rsidR="00C01305" w:rsidRPr="00D869E3">
        <w:rPr>
          <w:rFonts w:ascii="Verdana" w:hAnsi="Verdana"/>
          <w:sz w:val="20"/>
          <w:szCs w:val="20"/>
          <w:lang w:val="en-US"/>
        </w:rPr>
        <w:t xml:space="preserve">), </w:t>
      </w:r>
      <w:r w:rsidR="00341FEB" w:rsidRPr="00D869E3">
        <w:rPr>
          <w:rFonts w:ascii="Verdana" w:hAnsi="Verdana"/>
          <w:sz w:val="20"/>
          <w:szCs w:val="20"/>
          <w:lang w:val="en-US"/>
        </w:rPr>
        <w:t xml:space="preserve">informing the administrative labor authority, and with the corresponding consequences </w:t>
      </w:r>
      <w:r w:rsidR="00C01305" w:rsidRPr="00D869E3">
        <w:rPr>
          <w:rFonts w:ascii="Verdana" w:hAnsi="Verdana"/>
          <w:sz w:val="20"/>
          <w:szCs w:val="20"/>
          <w:lang w:val="en-US"/>
        </w:rPr>
        <w:t>(</w:t>
      </w:r>
      <w:r w:rsidR="004868B2" w:rsidRPr="00D869E3">
        <w:rPr>
          <w:rFonts w:ascii="Verdana" w:hAnsi="Verdana"/>
          <w:i/>
          <w:sz w:val="20"/>
          <w:szCs w:val="20"/>
          <w:lang w:val="en-US"/>
        </w:rPr>
        <w:t>supra</w:t>
      </w:r>
      <w:r w:rsidR="00C01305" w:rsidRPr="00D869E3">
        <w:rPr>
          <w:rFonts w:ascii="Verdana" w:hAnsi="Verdana"/>
          <w:sz w:val="20"/>
          <w:szCs w:val="20"/>
          <w:lang w:val="en-US"/>
        </w:rPr>
        <w:t xml:space="preserve">, </w:t>
      </w:r>
      <w:r w:rsidR="0087339F" w:rsidRPr="00D869E3">
        <w:rPr>
          <w:rFonts w:ascii="Verdana" w:hAnsi="Verdana"/>
          <w:sz w:val="20"/>
          <w:szCs w:val="20"/>
          <w:lang w:val="en-US"/>
        </w:rPr>
        <w:t>para.</w:t>
      </w:r>
      <w:r w:rsidR="00C01305" w:rsidRPr="00D869E3">
        <w:rPr>
          <w:rFonts w:ascii="Verdana" w:hAnsi="Verdana"/>
          <w:sz w:val="20"/>
          <w:szCs w:val="20"/>
          <w:lang w:val="en-US"/>
        </w:rPr>
        <w:t xml:space="preserve"> </w:t>
      </w:r>
      <w:r w:rsidR="00332EE5" w:rsidRPr="00D869E3">
        <w:rPr>
          <w:rFonts w:ascii="Verdana" w:hAnsi="Verdana"/>
          <w:sz w:val="20"/>
          <w:szCs w:val="20"/>
          <w:lang w:val="en-US"/>
        </w:rPr>
        <w:t>57</w:t>
      </w:r>
      <w:r w:rsidR="00C01305" w:rsidRPr="00D869E3">
        <w:rPr>
          <w:rFonts w:ascii="Verdana" w:hAnsi="Verdana"/>
          <w:sz w:val="20"/>
          <w:szCs w:val="20"/>
          <w:lang w:val="en-US"/>
        </w:rPr>
        <w:t xml:space="preserve">). </w:t>
      </w:r>
    </w:p>
    <w:p w14:paraId="615035F2" w14:textId="77777777" w:rsidR="00C01305" w:rsidRPr="00D869E3" w:rsidRDefault="00C01305" w:rsidP="00CA58EF">
      <w:pPr>
        <w:contextualSpacing/>
        <w:rPr>
          <w:rFonts w:ascii="Verdana" w:hAnsi="Verdana"/>
          <w:b/>
          <w:sz w:val="20"/>
          <w:szCs w:val="20"/>
          <w:lang w:val="en-US"/>
        </w:rPr>
      </w:pPr>
    </w:p>
    <w:p w14:paraId="5D3273E2" w14:textId="6640D371" w:rsidR="00C01305" w:rsidRPr="00D869E3" w:rsidRDefault="00341FEB" w:rsidP="00E66DD7">
      <w:pPr>
        <w:numPr>
          <w:ilvl w:val="0"/>
          <w:numId w:val="1"/>
        </w:numPr>
        <w:shd w:val="clear" w:color="auto" w:fill="FFFFFF"/>
        <w:ind w:left="0" w:firstLine="0"/>
        <w:contextualSpacing/>
        <w:jc w:val="both"/>
        <w:rPr>
          <w:rFonts w:ascii="Verdana" w:hAnsi="Verdana"/>
          <w:sz w:val="20"/>
          <w:szCs w:val="20"/>
          <w:lang w:val="en-US"/>
        </w:rPr>
      </w:pPr>
      <w:r w:rsidRPr="00D869E3">
        <w:rPr>
          <w:rFonts w:ascii="Verdana" w:hAnsi="Verdana"/>
          <w:sz w:val="20"/>
          <w:szCs w:val="20"/>
          <w:lang w:val="en-US"/>
        </w:rPr>
        <w:t>In a complaint dated</w:t>
      </w:r>
      <w:r w:rsidR="002F5C4C" w:rsidRPr="00D869E3">
        <w:rPr>
          <w:rFonts w:ascii="Verdana" w:hAnsi="Verdana"/>
          <w:sz w:val="20"/>
          <w:szCs w:val="20"/>
          <w:lang w:val="en-US"/>
        </w:rPr>
        <w:t xml:space="preserve"> </w:t>
      </w:r>
      <w:r w:rsidRPr="00D869E3">
        <w:rPr>
          <w:rFonts w:ascii="Verdana" w:hAnsi="Verdana"/>
          <w:sz w:val="20"/>
          <w:szCs w:val="20"/>
          <w:lang w:val="en-US"/>
        </w:rPr>
        <w:t>July 26,</w:t>
      </w:r>
      <w:r w:rsidR="002F5C4C" w:rsidRPr="00D869E3">
        <w:rPr>
          <w:rFonts w:ascii="Verdana" w:hAnsi="Verdana"/>
          <w:sz w:val="20"/>
          <w:szCs w:val="20"/>
          <w:lang w:val="en-US"/>
        </w:rPr>
        <w:t xml:space="preserve"> 1989</w:t>
      </w:r>
      <w:r w:rsidRPr="00D869E3">
        <w:rPr>
          <w:rFonts w:ascii="Verdana" w:hAnsi="Verdana"/>
          <w:sz w:val="20"/>
          <w:szCs w:val="20"/>
          <w:lang w:val="en-US"/>
        </w:rPr>
        <w:t>,</w:t>
      </w:r>
      <w:r w:rsidR="002F5C4C" w:rsidRPr="00D869E3">
        <w:rPr>
          <w:rFonts w:ascii="Verdana" w:hAnsi="Verdana"/>
          <w:sz w:val="20"/>
          <w:szCs w:val="20"/>
          <w:lang w:val="en-US"/>
        </w:rPr>
        <w:t xml:space="preserve"> </w:t>
      </w:r>
      <w:r w:rsidR="001E44D3" w:rsidRPr="00D869E3">
        <w:rPr>
          <w:rFonts w:ascii="Verdana" w:hAnsi="Verdana"/>
          <w:sz w:val="20"/>
          <w:szCs w:val="20"/>
          <w:lang w:val="en-US"/>
        </w:rPr>
        <w:t>Mr. Lagos del Campo</w:t>
      </w:r>
      <w:r w:rsidR="00C01305" w:rsidRPr="00D869E3">
        <w:rPr>
          <w:rFonts w:ascii="Verdana" w:hAnsi="Verdana"/>
          <w:sz w:val="20"/>
          <w:szCs w:val="20"/>
          <w:lang w:val="en-US"/>
        </w:rPr>
        <w:t xml:space="preserve"> </w:t>
      </w:r>
      <w:r w:rsidRPr="00D869E3">
        <w:rPr>
          <w:rFonts w:ascii="Verdana" w:hAnsi="Verdana"/>
          <w:sz w:val="20"/>
          <w:szCs w:val="20"/>
          <w:lang w:val="en-US"/>
        </w:rPr>
        <w:t>contested the dismissal as</w:t>
      </w:r>
      <w:r w:rsidR="00C01305" w:rsidRPr="00D869E3">
        <w:rPr>
          <w:rFonts w:ascii="Verdana" w:hAnsi="Verdana"/>
          <w:sz w:val="20"/>
          <w:szCs w:val="20"/>
          <w:lang w:val="en-US"/>
        </w:rPr>
        <w:t xml:space="preserve"> </w:t>
      </w:r>
      <w:r w:rsidR="006436CA" w:rsidRPr="00D869E3">
        <w:rPr>
          <w:rFonts w:ascii="Verdana" w:hAnsi="Verdana"/>
          <w:sz w:val="20"/>
          <w:szCs w:val="20"/>
          <w:lang w:val="en-US"/>
        </w:rPr>
        <w:t>“</w:t>
      </w:r>
      <w:r w:rsidRPr="00D869E3">
        <w:rPr>
          <w:rFonts w:ascii="Verdana" w:hAnsi="Verdana"/>
          <w:sz w:val="20"/>
          <w:szCs w:val="20"/>
          <w:lang w:val="en-US"/>
        </w:rPr>
        <w:t>unjustified and</w:t>
      </w:r>
      <w:r w:rsidR="00C01305" w:rsidRPr="00D869E3">
        <w:rPr>
          <w:rFonts w:ascii="Verdana" w:hAnsi="Verdana"/>
          <w:sz w:val="20"/>
          <w:szCs w:val="20"/>
          <w:lang w:val="en-US"/>
        </w:rPr>
        <w:t xml:space="preserve"> </w:t>
      </w:r>
      <w:r w:rsidR="004806A6" w:rsidRPr="00D869E3">
        <w:rPr>
          <w:rFonts w:ascii="Verdana" w:hAnsi="Verdana"/>
          <w:sz w:val="20"/>
          <w:szCs w:val="20"/>
          <w:lang w:val="en-US"/>
        </w:rPr>
        <w:t>unfair</w:t>
      </w:r>
      <w:r w:rsidR="003A34C7" w:rsidRPr="00D869E3">
        <w:rPr>
          <w:rFonts w:ascii="Verdana" w:hAnsi="Verdana"/>
          <w:sz w:val="20"/>
          <w:szCs w:val="20"/>
          <w:lang w:val="en-US"/>
        </w:rPr>
        <w:t>,</w:t>
      </w:r>
      <w:r w:rsidR="006436CA" w:rsidRPr="00D869E3">
        <w:rPr>
          <w:rFonts w:ascii="Verdana" w:hAnsi="Verdana"/>
          <w:sz w:val="20"/>
          <w:szCs w:val="20"/>
          <w:lang w:val="en-US"/>
        </w:rPr>
        <w:t>”</w:t>
      </w:r>
      <w:r w:rsidRPr="00D869E3">
        <w:rPr>
          <w:rFonts w:ascii="Verdana" w:hAnsi="Verdana"/>
          <w:sz w:val="20"/>
          <w:szCs w:val="20"/>
          <w:lang w:val="en-US"/>
        </w:rPr>
        <w:t xml:space="preserve"> </w:t>
      </w:r>
      <w:r w:rsidR="003A34C7" w:rsidRPr="00D869E3">
        <w:rPr>
          <w:rFonts w:ascii="Verdana" w:hAnsi="Verdana"/>
          <w:sz w:val="20"/>
          <w:szCs w:val="20"/>
          <w:lang w:val="en-US"/>
        </w:rPr>
        <w:t>A</w:t>
      </w:r>
      <w:r w:rsidRPr="00D869E3">
        <w:rPr>
          <w:rFonts w:ascii="Verdana" w:hAnsi="Verdana"/>
          <w:sz w:val="20"/>
          <w:szCs w:val="20"/>
          <w:lang w:val="en-US"/>
        </w:rPr>
        <w:t xml:space="preserve">ccordingly, Peru’s labor jurisdiction was called on to assess the necessity of the restriction imposed, and </w:t>
      </w:r>
      <w:r w:rsidR="003A34C7" w:rsidRPr="00D869E3">
        <w:rPr>
          <w:rFonts w:ascii="Verdana" w:hAnsi="Verdana"/>
          <w:sz w:val="20"/>
          <w:szCs w:val="20"/>
          <w:lang w:val="en-US"/>
        </w:rPr>
        <w:t xml:space="preserve">was </w:t>
      </w:r>
      <w:r w:rsidRPr="00D869E3">
        <w:rPr>
          <w:rFonts w:ascii="Verdana" w:hAnsi="Verdana"/>
          <w:sz w:val="20"/>
          <w:szCs w:val="20"/>
          <w:lang w:val="en-US"/>
        </w:rPr>
        <w:t xml:space="preserve">expressly asked to evaluate the necessity of applying the penalty </w:t>
      </w:r>
      <w:r w:rsidR="00C01305" w:rsidRPr="00D869E3">
        <w:rPr>
          <w:rFonts w:ascii="Verdana" w:hAnsi="Verdana"/>
          <w:sz w:val="20"/>
          <w:szCs w:val="20"/>
          <w:lang w:val="en-US"/>
        </w:rPr>
        <w:t>(</w:t>
      </w:r>
      <w:r w:rsidR="00224537" w:rsidRPr="00D869E3">
        <w:rPr>
          <w:rFonts w:ascii="Verdana" w:hAnsi="Verdana"/>
          <w:i/>
          <w:sz w:val="20"/>
          <w:szCs w:val="20"/>
          <w:lang w:val="en-US"/>
        </w:rPr>
        <w:t>supra</w:t>
      </w:r>
      <w:r w:rsidR="00C01305" w:rsidRPr="00D869E3">
        <w:rPr>
          <w:rFonts w:ascii="Verdana" w:hAnsi="Verdana"/>
          <w:sz w:val="20"/>
          <w:szCs w:val="20"/>
          <w:lang w:val="en-US"/>
        </w:rPr>
        <w:t xml:space="preserve">, </w:t>
      </w:r>
      <w:r w:rsidR="0087339F" w:rsidRPr="00D869E3">
        <w:rPr>
          <w:rFonts w:ascii="Verdana" w:hAnsi="Verdana"/>
          <w:sz w:val="20"/>
          <w:szCs w:val="20"/>
          <w:lang w:val="en-US"/>
        </w:rPr>
        <w:t>para.</w:t>
      </w:r>
      <w:r w:rsidR="00C01305" w:rsidRPr="00D869E3">
        <w:rPr>
          <w:rFonts w:ascii="Verdana" w:hAnsi="Verdana"/>
          <w:sz w:val="20"/>
          <w:szCs w:val="20"/>
          <w:lang w:val="en-US"/>
        </w:rPr>
        <w:t xml:space="preserve"> </w:t>
      </w:r>
      <w:r w:rsidR="000023EA" w:rsidRPr="00D869E3">
        <w:rPr>
          <w:rFonts w:ascii="Verdana" w:hAnsi="Verdana"/>
          <w:sz w:val="20"/>
          <w:szCs w:val="20"/>
          <w:lang w:val="en-US"/>
        </w:rPr>
        <w:t>58</w:t>
      </w:r>
      <w:r w:rsidR="00C01305" w:rsidRPr="00D869E3">
        <w:rPr>
          <w:rFonts w:ascii="Verdana" w:hAnsi="Verdana"/>
          <w:sz w:val="20"/>
          <w:szCs w:val="20"/>
          <w:lang w:val="en-US"/>
        </w:rPr>
        <w:t xml:space="preserve">). </w:t>
      </w:r>
    </w:p>
    <w:p w14:paraId="3042D1F6" w14:textId="77777777" w:rsidR="00625FAD" w:rsidRPr="00D869E3" w:rsidRDefault="00625FAD" w:rsidP="00CB5A95">
      <w:pPr>
        <w:pStyle w:val="Prrafodelista"/>
        <w:rPr>
          <w:rFonts w:ascii="Verdana" w:hAnsi="Verdana"/>
          <w:sz w:val="20"/>
          <w:szCs w:val="20"/>
          <w:lang w:val="en-US"/>
        </w:rPr>
      </w:pPr>
    </w:p>
    <w:p w14:paraId="110EFEB0" w14:textId="4B664D59" w:rsidR="00625FAD" w:rsidRPr="00D869E3" w:rsidRDefault="00341FEB" w:rsidP="00341FEB">
      <w:pPr>
        <w:numPr>
          <w:ilvl w:val="0"/>
          <w:numId w:val="1"/>
        </w:numPr>
        <w:shd w:val="clear" w:color="auto" w:fill="FFFFFF"/>
        <w:ind w:left="0" w:firstLine="0"/>
        <w:contextualSpacing/>
        <w:jc w:val="both"/>
        <w:rPr>
          <w:rFonts w:ascii="Verdana" w:hAnsi="Verdana"/>
          <w:sz w:val="20"/>
          <w:szCs w:val="20"/>
          <w:lang w:val="en-US"/>
        </w:rPr>
      </w:pPr>
      <w:r w:rsidRPr="00D869E3">
        <w:rPr>
          <w:rFonts w:ascii="Verdana" w:hAnsi="Verdana"/>
          <w:kern w:val="1"/>
          <w:sz w:val="20"/>
          <w:szCs w:val="20"/>
          <w:lang w:val="en-US"/>
        </w:rPr>
        <w:t>In consequence,</w:t>
      </w:r>
      <w:r w:rsidR="00625FAD" w:rsidRPr="00D869E3">
        <w:rPr>
          <w:rFonts w:ascii="Verdana" w:hAnsi="Verdana"/>
          <w:kern w:val="1"/>
          <w:sz w:val="20"/>
          <w:szCs w:val="20"/>
          <w:lang w:val="en-US"/>
        </w:rPr>
        <w:t xml:space="preserve"> </w:t>
      </w:r>
      <w:r w:rsidR="003506CC" w:rsidRPr="00D869E3">
        <w:rPr>
          <w:rFonts w:ascii="Verdana" w:hAnsi="Verdana"/>
          <w:kern w:val="1"/>
          <w:sz w:val="20"/>
          <w:szCs w:val="20"/>
          <w:lang w:val="en-US"/>
        </w:rPr>
        <w:t>the Second Labor Court</w:t>
      </w:r>
      <w:r w:rsidRPr="00D869E3">
        <w:rPr>
          <w:rFonts w:ascii="Verdana" w:hAnsi="Verdana"/>
          <w:sz w:val="20"/>
          <w:szCs w:val="20"/>
          <w:lang w:val="en-US"/>
        </w:rPr>
        <w:t xml:space="preserve">, which evaluated the dismissal, indicated that “in reiterated final </w:t>
      </w:r>
      <w:r w:rsidR="003A34C7" w:rsidRPr="00D869E3">
        <w:rPr>
          <w:rFonts w:ascii="Verdana" w:hAnsi="Verdana"/>
          <w:sz w:val="20"/>
          <w:szCs w:val="20"/>
          <w:lang w:val="en-US"/>
        </w:rPr>
        <w:t>judgments</w:t>
      </w:r>
      <w:r w:rsidRPr="00D869E3">
        <w:rPr>
          <w:rFonts w:ascii="Verdana" w:hAnsi="Verdana"/>
          <w:sz w:val="20"/>
          <w:szCs w:val="20"/>
          <w:lang w:val="en-US"/>
        </w:rPr>
        <w:t xml:space="preserve"> of this Court […] it has been established that the worker who makes statements or whose opinions published in newspapers offend</w:t>
      </w:r>
      <w:r w:rsidR="003A34C7" w:rsidRPr="00D869E3">
        <w:rPr>
          <w:rFonts w:ascii="Verdana" w:hAnsi="Verdana"/>
          <w:sz w:val="20"/>
          <w:szCs w:val="20"/>
          <w:lang w:val="en-US"/>
        </w:rPr>
        <w:t>s</w:t>
      </w:r>
      <w:r w:rsidRPr="00D869E3">
        <w:rPr>
          <w:rFonts w:ascii="Verdana" w:hAnsi="Verdana"/>
          <w:sz w:val="20"/>
          <w:szCs w:val="20"/>
          <w:lang w:val="en-US"/>
        </w:rPr>
        <w:t xml:space="preserve"> the honor and image of the employer commits the serious offense established </w:t>
      </w:r>
      <w:r w:rsidRPr="00D869E3">
        <w:rPr>
          <w:rFonts w:ascii="Verdana" w:hAnsi="Verdana"/>
          <w:kern w:val="1"/>
          <w:sz w:val="20"/>
          <w:szCs w:val="20"/>
          <w:lang w:val="en-US"/>
        </w:rPr>
        <w:t>in paragraphs</w:t>
      </w:r>
      <w:r w:rsidR="00625FAD" w:rsidRPr="00D869E3">
        <w:rPr>
          <w:rFonts w:ascii="Verdana" w:hAnsi="Verdana"/>
          <w:kern w:val="1"/>
          <w:sz w:val="20"/>
          <w:szCs w:val="20"/>
          <w:lang w:val="en-US"/>
        </w:rPr>
        <w:t xml:space="preserve"> </w:t>
      </w:r>
      <w:r w:rsidRPr="00D869E3">
        <w:rPr>
          <w:rFonts w:ascii="Verdana" w:hAnsi="Verdana"/>
          <w:kern w:val="1"/>
          <w:sz w:val="20"/>
          <w:szCs w:val="20"/>
          <w:lang w:val="en-US"/>
        </w:rPr>
        <w:t>(</w:t>
      </w:r>
      <w:r w:rsidR="00625FAD" w:rsidRPr="00D869E3">
        <w:rPr>
          <w:rFonts w:ascii="Verdana" w:hAnsi="Verdana"/>
          <w:kern w:val="1"/>
          <w:sz w:val="20"/>
          <w:szCs w:val="20"/>
          <w:lang w:val="en-US"/>
        </w:rPr>
        <w:t>a)</w:t>
      </w:r>
      <w:r w:rsidR="00687684" w:rsidRPr="00D869E3">
        <w:rPr>
          <w:rFonts w:ascii="Verdana" w:hAnsi="Verdana"/>
          <w:kern w:val="1"/>
          <w:sz w:val="20"/>
          <w:szCs w:val="20"/>
          <w:lang w:val="en-US"/>
        </w:rPr>
        <w:t xml:space="preserve"> and </w:t>
      </w:r>
      <w:r w:rsidRPr="00D869E3">
        <w:rPr>
          <w:rFonts w:ascii="Verdana" w:hAnsi="Verdana"/>
          <w:kern w:val="1"/>
          <w:sz w:val="20"/>
          <w:szCs w:val="20"/>
          <w:lang w:val="en-US"/>
        </w:rPr>
        <w:t>(</w:t>
      </w:r>
      <w:r w:rsidR="00625FAD" w:rsidRPr="00D869E3">
        <w:rPr>
          <w:rFonts w:ascii="Verdana" w:hAnsi="Verdana"/>
          <w:kern w:val="1"/>
          <w:sz w:val="20"/>
          <w:szCs w:val="20"/>
          <w:lang w:val="en-US"/>
        </w:rPr>
        <w:t xml:space="preserve">h) </w:t>
      </w:r>
      <w:r w:rsidR="00687684" w:rsidRPr="00D869E3">
        <w:rPr>
          <w:rFonts w:ascii="Verdana" w:hAnsi="Verdana"/>
          <w:kern w:val="1"/>
          <w:sz w:val="20"/>
          <w:szCs w:val="20"/>
          <w:lang w:val="en-US"/>
        </w:rPr>
        <w:t>of Article</w:t>
      </w:r>
      <w:r w:rsidR="00625FAD" w:rsidRPr="00D869E3">
        <w:rPr>
          <w:rFonts w:ascii="Verdana" w:hAnsi="Verdana"/>
          <w:kern w:val="1"/>
          <w:sz w:val="20"/>
          <w:szCs w:val="20"/>
          <w:lang w:val="en-US"/>
        </w:rPr>
        <w:t xml:space="preserve"> 5 </w:t>
      </w:r>
      <w:r w:rsidRPr="00D869E3">
        <w:rPr>
          <w:rFonts w:ascii="Verdana" w:hAnsi="Verdana"/>
          <w:kern w:val="1"/>
          <w:sz w:val="20"/>
          <w:szCs w:val="20"/>
          <w:lang w:val="en-US"/>
        </w:rPr>
        <w:t>of</w:t>
      </w:r>
      <w:r w:rsidR="00625FAD" w:rsidRPr="00D869E3">
        <w:rPr>
          <w:rFonts w:ascii="Verdana" w:hAnsi="Verdana"/>
          <w:kern w:val="1"/>
          <w:sz w:val="20"/>
          <w:szCs w:val="20"/>
          <w:lang w:val="en-US"/>
        </w:rPr>
        <w:t xml:space="preserve"> </w:t>
      </w:r>
      <w:r w:rsidR="00852CCA" w:rsidRPr="00D869E3">
        <w:rPr>
          <w:rFonts w:ascii="Verdana" w:hAnsi="Verdana"/>
          <w:kern w:val="1"/>
          <w:sz w:val="20"/>
          <w:szCs w:val="20"/>
          <w:lang w:val="en-US"/>
        </w:rPr>
        <w:t>Law</w:t>
      </w:r>
      <w:r w:rsidR="00625FAD" w:rsidRPr="00D869E3">
        <w:rPr>
          <w:rFonts w:ascii="Verdana" w:hAnsi="Verdana"/>
          <w:kern w:val="1"/>
          <w:sz w:val="20"/>
          <w:szCs w:val="20"/>
          <w:lang w:val="en-US"/>
        </w:rPr>
        <w:t xml:space="preserve"> 24514</w:t>
      </w:r>
      <w:r w:rsidRPr="00D869E3">
        <w:rPr>
          <w:rFonts w:ascii="Verdana" w:hAnsi="Verdana"/>
          <w:kern w:val="1"/>
          <w:sz w:val="20"/>
          <w:szCs w:val="20"/>
          <w:lang w:val="en-US"/>
        </w:rPr>
        <w:t xml:space="preserve">.” In addition, after quoting some lines from the interview in dispute it concluded that “the offensive words indicated in the preceding paragraph constitute[d] serious insubordination or </w:t>
      </w:r>
      <w:r w:rsidR="00440D99" w:rsidRPr="00D869E3">
        <w:rPr>
          <w:rFonts w:ascii="Verdana" w:hAnsi="Verdana"/>
          <w:kern w:val="1"/>
          <w:sz w:val="20"/>
          <w:szCs w:val="20"/>
          <w:lang w:val="en-US"/>
        </w:rPr>
        <w:t xml:space="preserve">serious verbal </w:t>
      </w:r>
      <w:r w:rsidR="009D2A11" w:rsidRPr="00D869E3">
        <w:rPr>
          <w:rFonts w:ascii="Verdana" w:hAnsi="Verdana"/>
          <w:kern w:val="1"/>
          <w:sz w:val="20"/>
          <w:szCs w:val="20"/>
          <w:lang w:val="en-US"/>
        </w:rPr>
        <w:t>misconduct</w:t>
      </w:r>
      <w:r w:rsidR="00440D99" w:rsidRPr="00D869E3">
        <w:rPr>
          <w:rFonts w:ascii="Verdana" w:hAnsi="Verdana"/>
          <w:kern w:val="1"/>
          <w:sz w:val="20"/>
          <w:szCs w:val="20"/>
          <w:lang w:val="en-US"/>
        </w:rPr>
        <w:t xml:space="preserve"> against the employer, </w:t>
      </w:r>
      <w:r w:rsidR="003A34C7" w:rsidRPr="00D869E3">
        <w:rPr>
          <w:rFonts w:ascii="Verdana" w:hAnsi="Verdana"/>
          <w:kern w:val="1"/>
          <w:sz w:val="20"/>
          <w:szCs w:val="20"/>
          <w:lang w:val="en-US"/>
        </w:rPr>
        <w:t>its</w:t>
      </w:r>
      <w:r w:rsidR="00440D99" w:rsidRPr="00D869E3">
        <w:rPr>
          <w:rFonts w:ascii="Verdana" w:hAnsi="Verdana"/>
          <w:kern w:val="1"/>
          <w:sz w:val="20"/>
          <w:szCs w:val="20"/>
          <w:lang w:val="en-US"/>
        </w:rPr>
        <w:t xml:space="preserve"> representatives and co-workers, as the newspaper statements of the plaintiff referred to members of the Board of Directors and co-workers in his workplace.</w:t>
      </w:r>
      <w:r w:rsidR="006436CA" w:rsidRPr="00D869E3">
        <w:rPr>
          <w:rFonts w:ascii="Verdana" w:hAnsi="Verdana"/>
          <w:sz w:val="20"/>
          <w:szCs w:val="20"/>
          <w:lang w:val="en-US"/>
        </w:rPr>
        <w:t>”</w:t>
      </w:r>
      <w:r w:rsidR="00625FAD" w:rsidRPr="00D869E3">
        <w:rPr>
          <w:rFonts w:ascii="Verdana" w:hAnsi="Verdana"/>
          <w:sz w:val="20"/>
          <w:szCs w:val="20"/>
          <w:vertAlign w:val="superscript"/>
          <w:lang w:val="en-US"/>
        </w:rPr>
        <w:footnoteReference w:id="168"/>
      </w:r>
      <w:r w:rsidR="00440D99" w:rsidRPr="00D869E3">
        <w:rPr>
          <w:rFonts w:ascii="Verdana" w:hAnsi="Verdana"/>
          <w:sz w:val="20"/>
          <w:szCs w:val="20"/>
          <w:lang w:val="en-US"/>
        </w:rPr>
        <w:t xml:space="preserve"> </w:t>
      </w:r>
      <w:r w:rsidR="003A34C7" w:rsidRPr="00D869E3">
        <w:rPr>
          <w:rFonts w:ascii="Verdana" w:hAnsi="Verdana"/>
          <w:sz w:val="20"/>
          <w:szCs w:val="20"/>
          <w:lang w:val="en-US"/>
        </w:rPr>
        <w:t>It also</w:t>
      </w:r>
      <w:r w:rsidR="00440D99" w:rsidRPr="00D869E3">
        <w:rPr>
          <w:rFonts w:ascii="Verdana" w:hAnsi="Verdana"/>
          <w:sz w:val="20"/>
          <w:szCs w:val="20"/>
          <w:lang w:val="en-US"/>
        </w:rPr>
        <w:t xml:space="preserve"> indicated that “the Constitution guarantees </w:t>
      </w:r>
      <w:r w:rsidR="00A62EA8" w:rsidRPr="00D869E3">
        <w:rPr>
          <w:rFonts w:ascii="Verdana" w:hAnsi="Verdana"/>
          <w:kern w:val="1"/>
          <w:sz w:val="20"/>
          <w:szCs w:val="20"/>
          <w:lang w:val="en-US"/>
        </w:rPr>
        <w:t>freedom of expression</w:t>
      </w:r>
      <w:r w:rsidR="00625FAD" w:rsidRPr="00D869E3">
        <w:rPr>
          <w:rFonts w:ascii="Verdana" w:hAnsi="Verdana"/>
          <w:kern w:val="1"/>
          <w:sz w:val="20"/>
          <w:szCs w:val="20"/>
          <w:lang w:val="en-US"/>
        </w:rPr>
        <w:t xml:space="preserve">, </w:t>
      </w:r>
      <w:r w:rsidR="00440D99" w:rsidRPr="00D869E3">
        <w:rPr>
          <w:rFonts w:ascii="Verdana" w:hAnsi="Verdana"/>
          <w:kern w:val="1"/>
          <w:sz w:val="20"/>
          <w:szCs w:val="20"/>
          <w:lang w:val="en-US"/>
        </w:rPr>
        <w:t>but not to offend the honor and dignity of senior members of the employer’s company.</w:t>
      </w:r>
      <w:r w:rsidR="006436CA" w:rsidRPr="00D869E3">
        <w:rPr>
          <w:rFonts w:ascii="Verdana" w:hAnsi="Verdana"/>
          <w:kern w:val="1"/>
          <w:sz w:val="20"/>
          <w:szCs w:val="20"/>
          <w:lang w:val="en-US"/>
        </w:rPr>
        <w:t>”</w:t>
      </w:r>
      <w:r w:rsidR="00473B78" w:rsidRPr="00D869E3">
        <w:rPr>
          <w:rFonts w:ascii="Verdana" w:hAnsi="Verdana"/>
          <w:kern w:val="1"/>
          <w:sz w:val="20"/>
          <w:szCs w:val="20"/>
          <w:lang w:val="en-US"/>
        </w:rPr>
        <w:t xml:space="preserve"> </w:t>
      </w:r>
    </w:p>
    <w:p w14:paraId="73947F50" w14:textId="77777777" w:rsidR="00C01305" w:rsidRPr="00D869E3" w:rsidRDefault="00C01305" w:rsidP="00CA58EF">
      <w:pPr>
        <w:shd w:val="clear" w:color="auto" w:fill="FFFFFF"/>
        <w:contextualSpacing/>
        <w:jc w:val="both"/>
        <w:rPr>
          <w:rFonts w:ascii="Verdana" w:hAnsi="Verdana"/>
          <w:b/>
          <w:sz w:val="20"/>
          <w:szCs w:val="20"/>
          <w:lang w:val="en-US"/>
        </w:rPr>
      </w:pPr>
    </w:p>
    <w:p w14:paraId="507AC225" w14:textId="22CEB1B0" w:rsidR="00E6716F" w:rsidRPr="00D869E3" w:rsidRDefault="00C01305" w:rsidP="007E7865">
      <w:pPr>
        <w:numPr>
          <w:ilvl w:val="0"/>
          <w:numId w:val="1"/>
        </w:numPr>
        <w:shd w:val="clear" w:color="auto" w:fill="FFFFFF"/>
        <w:ind w:left="0" w:firstLine="0"/>
        <w:contextualSpacing/>
        <w:jc w:val="both"/>
        <w:rPr>
          <w:rFonts w:ascii="Verdana" w:hAnsi="Verdana"/>
          <w:sz w:val="20"/>
          <w:szCs w:val="20"/>
          <w:lang w:val="en-US"/>
        </w:rPr>
      </w:pPr>
      <w:r w:rsidRPr="00D869E3">
        <w:rPr>
          <w:rFonts w:ascii="Verdana" w:hAnsi="Verdana"/>
          <w:sz w:val="20"/>
          <w:szCs w:val="20"/>
          <w:lang w:val="en-US"/>
        </w:rPr>
        <w:t>Re</w:t>
      </w:r>
      <w:r w:rsidR="000D2957" w:rsidRPr="00D869E3">
        <w:rPr>
          <w:rFonts w:ascii="Verdana" w:hAnsi="Verdana"/>
          <w:sz w:val="20"/>
          <w:szCs w:val="20"/>
          <w:lang w:val="en-US"/>
        </w:rPr>
        <w:t>garding the requirement of necessity in relation to the sanction imposed</w:t>
      </w:r>
      <w:r w:rsidRPr="00D869E3">
        <w:rPr>
          <w:rFonts w:ascii="Verdana" w:hAnsi="Verdana"/>
          <w:sz w:val="20"/>
          <w:szCs w:val="20"/>
          <w:lang w:val="en-US"/>
        </w:rPr>
        <w:t xml:space="preserve">, </w:t>
      </w:r>
      <w:r w:rsidR="00447C65" w:rsidRPr="00D869E3">
        <w:rPr>
          <w:rFonts w:ascii="Verdana" w:hAnsi="Verdana"/>
          <w:sz w:val="20"/>
          <w:szCs w:val="20"/>
          <w:lang w:val="en-US"/>
        </w:rPr>
        <w:t>the Court</w:t>
      </w:r>
      <w:r w:rsidRPr="00D869E3">
        <w:rPr>
          <w:rFonts w:ascii="Verdana" w:hAnsi="Verdana"/>
          <w:sz w:val="20"/>
          <w:szCs w:val="20"/>
          <w:lang w:val="en-US"/>
        </w:rPr>
        <w:t xml:space="preserve"> not</w:t>
      </w:r>
      <w:r w:rsidR="000D2957" w:rsidRPr="00D869E3">
        <w:rPr>
          <w:rFonts w:ascii="Verdana" w:hAnsi="Verdana"/>
          <w:sz w:val="20"/>
          <w:szCs w:val="20"/>
          <w:lang w:val="en-US"/>
        </w:rPr>
        <w:t>es that</w:t>
      </w:r>
      <w:r w:rsidRPr="00D869E3">
        <w:rPr>
          <w:rFonts w:ascii="Verdana" w:hAnsi="Verdana"/>
          <w:sz w:val="20"/>
          <w:szCs w:val="20"/>
          <w:lang w:val="en-US"/>
        </w:rPr>
        <w:t xml:space="preserve"> </w:t>
      </w:r>
      <w:r w:rsidR="00447C65" w:rsidRPr="00D869E3">
        <w:rPr>
          <w:rFonts w:ascii="Verdana" w:hAnsi="Verdana"/>
          <w:sz w:val="20"/>
          <w:szCs w:val="20"/>
          <w:lang w:val="en-US"/>
        </w:rPr>
        <w:t>the State</w:t>
      </w:r>
      <w:r w:rsidRPr="00D869E3">
        <w:rPr>
          <w:rFonts w:ascii="Verdana" w:hAnsi="Verdana"/>
          <w:sz w:val="20"/>
          <w:szCs w:val="20"/>
          <w:lang w:val="en-US"/>
        </w:rPr>
        <w:t xml:space="preserve">, </w:t>
      </w:r>
      <w:r w:rsidR="000D2957" w:rsidRPr="00D869E3">
        <w:rPr>
          <w:rFonts w:ascii="Verdana" w:hAnsi="Verdana"/>
          <w:sz w:val="20"/>
          <w:szCs w:val="20"/>
          <w:lang w:val="en-US"/>
        </w:rPr>
        <w:t>through</w:t>
      </w:r>
      <w:r w:rsidR="003506CC" w:rsidRPr="00D869E3">
        <w:rPr>
          <w:rFonts w:ascii="Verdana" w:hAnsi="Verdana"/>
          <w:sz w:val="20"/>
          <w:szCs w:val="20"/>
          <w:lang w:val="en-US"/>
        </w:rPr>
        <w:t xml:space="preserve"> the Second Labor Court</w:t>
      </w:r>
      <w:r w:rsidR="000D2957" w:rsidRPr="00D869E3">
        <w:rPr>
          <w:rFonts w:ascii="Verdana" w:hAnsi="Verdana"/>
          <w:sz w:val="20"/>
          <w:szCs w:val="20"/>
          <w:lang w:val="en-US"/>
        </w:rPr>
        <w:t>, which delivered the final decision, did not consider the following fundamental elements in its analysis: (</w:t>
      </w:r>
      <w:r w:rsidRPr="00D869E3">
        <w:rPr>
          <w:rFonts w:ascii="Verdana" w:hAnsi="Verdana"/>
          <w:sz w:val="20"/>
          <w:szCs w:val="20"/>
          <w:lang w:val="en-US"/>
        </w:rPr>
        <w:t xml:space="preserve">i) </w:t>
      </w:r>
      <w:r w:rsidR="001E44D3" w:rsidRPr="00D869E3">
        <w:rPr>
          <w:rFonts w:ascii="Verdana" w:hAnsi="Verdana"/>
          <w:sz w:val="20"/>
          <w:szCs w:val="20"/>
          <w:lang w:val="en-US"/>
        </w:rPr>
        <w:t>Mr. Lagos del Campo</w:t>
      </w:r>
      <w:r w:rsidRPr="00D869E3">
        <w:rPr>
          <w:rFonts w:ascii="Verdana" w:hAnsi="Verdana"/>
          <w:sz w:val="20"/>
          <w:szCs w:val="20"/>
          <w:lang w:val="en-US"/>
        </w:rPr>
        <w:t xml:space="preserve"> </w:t>
      </w:r>
      <w:r w:rsidR="000D2957" w:rsidRPr="00D869E3">
        <w:rPr>
          <w:rFonts w:ascii="Verdana" w:hAnsi="Verdana"/>
          <w:sz w:val="20"/>
          <w:szCs w:val="20"/>
          <w:lang w:val="en-US"/>
        </w:rPr>
        <w:t xml:space="preserve">was a representative elected by the workers and was acting in exercise of his mandate </w:t>
      </w:r>
      <w:r w:rsidRPr="00D869E3">
        <w:rPr>
          <w:rFonts w:ascii="Verdana" w:hAnsi="Verdana"/>
          <w:sz w:val="20"/>
          <w:szCs w:val="20"/>
          <w:lang w:val="en-US"/>
        </w:rPr>
        <w:t>(</w:t>
      </w:r>
      <w:r w:rsidR="00224537" w:rsidRPr="00D869E3">
        <w:rPr>
          <w:rFonts w:ascii="Verdana" w:hAnsi="Verdana"/>
          <w:i/>
          <w:sz w:val="20"/>
          <w:szCs w:val="20"/>
          <w:lang w:val="en-US"/>
        </w:rPr>
        <w:t>supra</w:t>
      </w:r>
      <w:r w:rsidR="00FC6BA5" w:rsidRPr="00D869E3">
        <w:rPr>
          <w:rFonts w:ascii="Verdana" w:hAnsi="Verdana"/>
          <w:i/>
          <w:sz w:val="20"/>
          <w:szCs w:val="20"/>
          <w:lang w:val="en-US"/>
        </w:rPr>
        <w:t xml:space="preserve"> </w:t>
      </w:r>
      <w:r w:rsidR="0087339F" w:rsidRPr="00D869E3">
        <w:rPr>
          <w:rFonts w:ascii="Verdana" w:hAnsi="Verdana"/>
          <w:sz w:val="20"/>
          <w:szCs w:val="20"/>
          <w:lang w:val="en-US"/>
        </w:rPr>
        <w:t>para.</w:t>
      </w:r>
      <w:r w:rsidRPr="00D869E3">
        <w:rPr>
          <w:rFonts w:ascii="Verdana" w:hAnsi="Verdana"/>
          <w:sz w:val="20"/>
          <w:szCs w:val="20"/>
          <w:lang w:val="en-US"/>
        </w:rPr>
        <w:t xml:space="preserve"> </w:t>
      </w:r>
      <w:r w:rsidR="00050C63" w:rsidRPr="00D869E3">
        <w:rPr>
          <w:rFonts w:ascii="Verdana" w:hAnsi="Verdana"/>
          <w:sz w:val="20"/>
          <w:szCs w:val="20"/>
          <w:lang w:val="en-US"/>
        </w:rPr>
        <w:t>10</w:t>
      </w:r>
      <w:r w:rsidR="000023EA" w:rsidRPr="00D869E3">
        <w:rPr>
          <w:rFonts w:ascii="Verdana" w:hAnsi="Verdana"/>
          <w:sz w:val="20"/>
          <w:szCs w:val="20"/>
          <w:lang w:val="en-US"/>
        </w:rPr>
        <w:t>8</w:t>
      </w:r>
      <w:r w:rsidRPr="00D869E3">
        <w:rPr>
          <w:rFonts w:ascii="Verdana" w:hAnsi="Verdana"/>
          <w:sz w:val="20"/>
          <w:szCs w:val="20"/>
          <w:lang w:val="en-US"/>
        </w:rPr>
        <w:t xml:space="preserve">); </w:t>
      </w:r>
      <w:r w:rsidR="000D2957" w:rsidRPr="00D869E3">
        <w:rPr>
          <w:rFonts w:ascii="Verdana" w:hAnsi="Verdana"/>
          <w:sz w:val="20"/>
          <w:szCs w:val="20"/>
          <w:lang w:val="en-US"/>
        </w:rPr>
        <w:t>(</w:t>
      </w:r>
      <w:r w:rsidRPr="00D869E3">
        <w:rPr>
          <w:rFonts w:ascii="Verdana" w:hAnsi="Verdana"/>
          <w:sz w:val="20"/>
          <w:szCs w:val="20"/>
          <w:lang w:val="en-US"/>
        </w:rPr>
        <w:t xml:space="preserve">ii) </w:t>
      </w:r>
      <w:r w:rsidR="000D2957" w:rsidRPr="00D869E3">
        <w:rPr>
          <w:rFonts w:ascii="Verdana" w:hAnsi="Verdana"/>
          <w:sz w:val="20"/>
          <w:szCs w:val="20"/>
          <w:lang w:val="en-US"/>
        </w:rPr>
        <w:t>his statements were made in the context of his functions and of an electoral debate and, consequently, were of general and collective interest; (iii) his statements were subject to enhanced protection in the exercise of his functions; (iv)</w:t>
      </w:r>
      <w:r w:rsidRPr="00D869E3">
        <w:rPr>
          <w:rFonts w:ascii="Verdana" w:hAnsi="Verdana"/>
          <w:sz w:val="20"/>
          <w:szCs w:val="20"/>
          <w:lang w:val="en-US"/>
        </w:rPr>
        <w:t xml:space="preserve"> </w:t>
      </w:r>
      <w:r w:rsidR="000D2957" w:rsidRPr="00D869E3">
        <w:rPr>
          <w:rFonts w:ascii="Verdana" w:hAnsi="Verdana"/>
          <w:sz w:val="20"/>
          <w:szCs w:val="20"/>
          <w:lang w:val="en-US"/>
        </w:rPr>
        <w:t>the statements</w:t>
      </w:r>
      <w:r w:rsidR="003A34C7" w:rsidRPr="00D869E3">
        <w:rPr>
          <w:rFonts w:ascii="Verdana" w:hAnsi="Verdana"/>
          <w:sz w:val="20"/>
          <w:szCs w:val="20"/>
          <w:lang w:val="en-US"/>
        </w:rPr>
        <w:t xml:space="preserve"> were not of such import that they</w:t>
      </w:r>
      <w:r w:rsidR="000D2957" w:rsidRPr="00D869E3">
        <w:rPr>
          <w:rFonts w:ascii="Verdana" w:hAnsi="Verdana"/>
          <w:sz w:val="20"/>
          <w:szCs w:val="20"/>
          <w:lang w:val="en-US"/>
        </w:rPr>
        <w:t xml:space="preserve"> exceed</w:t>
      </w:r>
      <w:r w:rsidR="003A34C7" w:rsidRPr="00D869E3">
        <w:rPr>
          <w:rFonts w:ascii="Verdana" w:hAnsi="Verdana"/>
          <w:sz w:val="20"/>
          <w:szCs w:val="20"/>
          <w:lang w:val="en-US"/>
        </w:rPr>
        <w:t>ed</w:t>
      </w:r>
      <w:r w:rsidR="000D2957" w:rsidRPr="00D869E3">
        <w:rPr>
          <w:rFonts w:ascii="Verdana" w:hAnsi="Verdana"/>
          <w:sz w:val="20"/>
          <w:szCs w:val="20"/>
          <w:lang w:val="en-US"/>
        </w:rPr>
        <w:t xml:space="preserve"> the threshold of protection in view of the electoral and labor context, and (v) it was not proved that there was an overriding ne</w:t>
      </w:r>
      <w:r w:rsidR="001B0492" w:rsidRPr="00D869E3">
        <w:rPr>
          <w:rFonts w:ascii="Verdana" w:hAnsi="Verdana"/>
          <w:sz w:val="20"/>
          <w:szCs w:val="20"/>
          <w:lang w:val="en-US"/>
        </w:rPr>
        <w:t>cessity</w:t>
      </w:r>
      <w:r w:rsidR="000D2957" w:rsidRPr="00D869E3">
        <w:rPr>
          <w:rFonts w:ascii="Verdana" w:hAnsi="Verdana"/>
          <w:sz w:val="20"/>
          <w:szCs w:val="20"/>
          <w:lang w:val="en-US"/>
        </w:rPr>
        <w:t xml:space="preserve"> to protect the rights to reputation and honor in this specific case. Even though </w:t>
      </w:r>
      <w:r w:rsidR="00A62EA8" w:rsidRPr="00D869E3">
        <w:rPr>
          <w:rFonts w:ascii="Verdana" w:hAnsi="Verdana"/>
          <w:kern w:val="1"/>
          <w:sz w:val="20"/>
          <w:szCs w:val="20"/>
          <w:lang w:val="en-US"/>
        </w:rPr>
        <w:t>freedom of expression</w:t>
      </w:r>
      <w:r w:rsidR="003A34C7" w:rsidRPr="00D869E3">
        <w:rPr>
          <w:rFonts w:ascii="Verdana" w:hAnsi="Verdana"/>
          <w:kern w:val="1"/>
          <w:sz w:val="20"/>
          <w:szCs w:val="20"/>
          <w:lang w:val="en-US"/>
        </w:rPr>
        <w:t xml:space="preserve"> was explicitly mentioned</w:t>
      </w:r>
      <w:r w:rsidR="00473B78" w:rsidRPr="00D869E3">
        <w:rPr>
          <w:rFonts w:ascii="Verdana" w:hAnsi="Verdana"/>
          <w:kern w:val="1"/>
          <w:sz w:val="20"/>
          <w:szCs w:val="20"/>
          <w:lang w:val="en-US"/>
        </w:rPr>
        <w:t xml:space="preserve">, </w:t>
      </w:r>
      <w:r w:rsidR="007E7865" w:rsidRPr="00D869E3">
        <w:rPr>
          <w:rFonts w:ascii="Verdana" w:hAnsi="Verdana"/>
          <w:kern w:val="1"/>
          <w:sz w:val="20"/>
          <w:szCs w:val="20"/>
          <w:lang w:val="en-US"/>
        </w:rPr>
        <w:t xml:space="preserve">the ruling does not indicate that either the rights in play or their consequences had been weighed in light of the requirement of necessity </w:t>
      </w:r>
      <w:r w:rsidR="00473B78" w:rsidRPr="00D869E3">
        <w:rPr>
          <w:rFonts w:ascii="Verdana" w:hAnsi="Verdana"/>
          <w:kern w:val="1"/>
          <w:sz w:val="20"/>
          <w:szCs w:val="20"/>
          <w:lang w:val="en-US"/>
        </w:rPr>
        <w:t>(</w:t>
      </w:r>
      <w:r w:rsidR="00224537" w:rsidRPr="00D869E3">
        <w:rPr>
          <w:rFonts w:ascii="Verdana" w:hAnsi="Verdana"/>
          <w:i/>
          <w:kern w:val="1"/>
          <w:sz w:val="20"/>
          <w:szCs w:val="20"/>
          <w:lang w:val="en-US"/>
        </w:rPr>
        <w:t>supra</w:t>
      </w:r>
      <w:r w:rsidR="00473B78" w:rsidRPr="00D869E3">
        <w:rPr>
          <w:rFonts w:ascii="Verdana" w:hAnsi="Verdana"/>
          <w:kern w:val="1"/>
          <w:sz w:val="20"/>
          <w:szCs w:val="20"/>
          <w:lang w:val="en-US"/>
        </w:rPr>
        <w:t xml:space="preserve">, </w:t>
      </w:r>
      <w:r w:rsidR="0087339F" w:rsidRPr="00D869E3">
        <w:rPr>
          <w:rFonts w:ascii="Verdana" w:hAnsi="Verdana"/>
          <w:kern w:val="1"/>
          <w:sz w:val="20"/>
          <w:szCs w:val="20"/>
          <w:lang w:val="en-US"/>
        </w:rPr>
        <w:t>para.</w:t>
      </w:r>
      <w:r w:rsidR="00473B78" w:rsidRPr="00D869E3">
        <w:rPr>
          <w:rFonts w:ascii="Verdana" w:hAnsi="Verdana"/>
          <w:kern w:val="1"/>
          <w:sz w:val="20"/>
          <w:szCs w:val="20"/>
          <w:lang w:val="en-US"/>
        </w:rPr>
        <w:t xml:space="preserve"> </w:t>
      </w:r>
      <w:r w:rsidR="00050C63" w:rsidRPr="00D869E3">
        <w:rPr>
          <w:rFonts w:ascii="Verdana" w:hAnsi="Verdana"/>
          <w:kern w:val="1"/>
          <w:sz w:val="20"/>
          <w:szCs w:val="20"/>
          <w:lang w:val="en-US"/>
        </w:rPr>
        <w:t>1</w:t>
      </w:r>
      <w:r w:rsidR="000023EA" w:rsidRPr="00D869E3">
        <w:rPr>
          <w:rFonts w:ascii="Verdana" w:hAnsi="Verdana"/>
          <w:kern w:val="1"/>
          <w:sz w:val="20"/>
          <w:szCs w:val="20"/>
          <w:lang w:val="en-US"/>
        </w:rPr>
        <w:t>24</w:t>
      </w:r>
      <w:r w:rsidR="00473B78" w:rsidRPr="00D869E3">
        <w:rPr>
          <w:rFonts w:ascii="Verdana" w:hAnsi="Verdana"/>
          <w:kern w:val="1"/>
          <w:sz w:val="20"/>
          <w:szCs w:val="20"/>
          <w:lang w:val="en-US"/>
        </w:rPr>
        <w:t>) (</w:t>
      </w:r>
      <w:r w:rsidR="003A34C7" w:rsidRPr="00D869E3">
        <w:rPr>
          <w:rFonts w:ascii="Verdana" w:hAnsi="Verdana"/>
          <w:kern w:val="1"/>
          <w:sz w:val="20"/>
          <w:szCs w:val="20"/>
          <w:lang w:val="en-US"/>
        </w:rPr>
        <w:t>specifically</w:t>
      </w:r>
      <w:r w:rsidR="007E7865" w:rsidRPr="00D869E3">
        <w:rPr>
          <w:rFonts w:ascii="Verdana" w:hAnsi="Verdana"/>
          <w:kern w:val="1"/>
          <w:sz w:val="20"/>
          <w:szCs w:val="20"/>
          <w:lang w:val="en-US"/>
        </w:rPr>
        <w:t xml:space="preserve"> established by</w:t>
      </w:r>
      <w:r w:rsidR="00473B78" w:rsidRPr="00D869E3">
        <w:rPr>
          <w:rFonts w:ascii="Verdana" w:hAnsi="Verdana"/>
          <w:kern w:val="1"/>
          <w:sz w:val="20"/>
          <w:szCs w:val="20"/>
          <w:lang w:val="en-US"/>
        </w:rPr>
        <w:t xml:space="preserve"> </w:t>
      </w:r>
      <w:r w:rsidR="00447C65" w:rsidRPr="00D869E3">
        <w:rPr>
          <w:rFonts w:ascii="Verdana" w:hAnsi="Verdana"/>
          <w:kern w:val="1"/>
          <w:sz w:val="20"/>
          <w:szCs w:val="20"/>
          <w:lang w:val="en-US"/>
        </w:rPr>
        <w:t>Article</w:t>
      </w:r>
      <w:r w:rsidR="00473B78" w:rsidRPr="00D869E3">
        <w:rPr>
          <w:rFonts w:ascii="Verdana" w:hAnsi="Verdana"/>
          <w:kern w:val="1"/>
          <w:sz w:val="20"/>
          <w:szCs w:val="20"/>
          <w:lang w:val="en-US"/>
        </w:rPr>
        <w:t xml:space="preserve"> </w:t>
      </w:r>
      <w:r w:rsidR="00966115" w:rsidRPr="00D869E3">
        <w:rPr>
          <w:rFonts w:ascii="Verdana" w:hAnsi="Verdana"/>
          <w:kern w:val="1"/>
          <w:sz w:val="20"/>
          <w:szCs w:val="20"/>
          <w:lang w:val="en-US"/>
        </w:rPr>
        <w:t>13(2)</w:t>
      </w:r>
      <w:r w:rsidR="00447C65" w:rsidRPr="00D869E3">
        <w:rPr>
          <w:rFonts w:ascii="Verdana" w:hAnsi="Verdana"/>
          <w:kern w:val="1"/>
          <w:sz w:val="20"/>
          <w:szCs w:val="20"/>
          <w:lang w:val="en-US"/>
        </w:rPr>
        <w:t xml:space="preserve"> of the American Convention</w:t>
      </w:r>
      <w:r w:rsidR="00473B78" w:rsidRPr="00D869E3">
        <w:rPr>
          <w:rFonts w:ascii="Verdana" w:hAnsi="Verdana"/>
          <w:kern w:val="1"/>
          <w:sz w:val="20"/>
          <w:szCs w:val="20"/>
          <w:lang w:val="en-US"/>
        </w:rPr>
        <w:t xml:space="preserve">). </w:t>
      </w:r>
      <w:r w:rsidR="007E7865" w:rsidRPr="00D869E3">
        <w:rPr>
          <w:rFonts w:ascii="Verdana" w:hAnsi="Verdana"/>
          <w:kern w:val="1"/>
          <w:sz w:val="20"/>
          <w:szCs w:val="20"/>
          <w:lang w:val="en-US"/>
        </w:rPr>
        <w:t xml:space="preserve">Moreover, the arguments that justified the first instance decision were not disproved, in order to make it essential to reverse it. Consequently, the heavy </w:t>
      </w:r>
      <w:r w:rsidR="003A34C7" w:rsidRPr="00D869E3">
        <w:rPr>
          <w:rFonts w:ascii="Verdana" w:hAnsi="Verdana"/>
          <w:kern w:val="1"/>
          <w:sz w:val="20"/>
          <w:szCs w:val="20"/>
          <w:lang w:val="en-US"/>
        </w:rPr>
        <w:t>penalty</w:t>
      </w:r>
      <w:r w:rsidR="007E7865" w:rsidRPr="00D869E3">
        <w:rPr>
          <w:rFonts w:ascii="Verdana" w:hAnsi="Verdana"/>
          <w:kern w:val="1"/>
          <w:sz w:val="20"/>
          <w:szCs w:val="20"/>
          <w:lang w:val="en-US"/>
        </w:rPr>
        <w:t xml:space="preserve"> of dismissal was </w:t>
      </w:r>
      <w:r w:rsidR="00D329A8" w:rsidRPr="00D869E3">
        <w:rPr>
          <w:rFonts w:ascii="Verdana" w:hAnsi="Verdana"/>
          <w:kern w:val="1"/>
          <w:sz w:val="20"/>
          <w:szCs w:val="20"/>
          <w:lang w:val="en-US"/>
        </w:rPr>
        <w:t>ratifie</w:t>
      </w:r>
      <w:r w:rsidR="007E7865" w:rsidRPr="00D869E3">
        <w:rPr>
          <w:rFonts w:ascii="Verdana" w:hAnsi="Verdana"/>
          <w:kern w:val="1"/>
          <w:sz w:val="20"/>
          <w:szCs w:val="20"/>
          <w:lang w:val="en-US"/>
        </w:rPr>
        <w:t>d by that court without considering these fundamental elements of special protection</w:t>
      </w:r>
      <w:r w:rsidR="00CD0F88" w:rsidRPr="00D869E3">
        <w:rPr>
          <w:rFonts w:ascii="Verdana" w:hAnsi="Verdana"/>
          <w:sz w:val="20"/>
          <w:szCs w:val="20"/>
          <w:lang w:val="en-US"/>
        </w:rPr>
        <w:t xml:space="preserve"> (</w:t>
      </w:r>
      <w:r w:rsidR="00224537" w:rsidRPr="00D869E3">
        <w:rPr>
          <w:rFonts w:ascii="Verdana" w:hAnsi="Verdana"/>
          <w:i/>
          <w:sz w:val="20"/>
          <w:szCs w:val="20"/>
          <w:lang w:val="en-US"/>
        </w:rPr>
        <w:t>supra</w:t>
      </w:r>
      <w:r w:rsidR="00CD0F88" w:rsidRPr="00D869E3">
        <w:rPr>
          <w:rFonts w:ascii="Verdana" w:hAnsi="Verdana"/>
          <w:sz w:val="20"/>
          <w:szCs w:val="20"/>
          <w:lang w:val="en-US"/>
        </w:rPr>
        <w:t xml:space="preserve"> </w:t>
      </w:r>
      <w:r w:rsidR="0087339F" w:rsidRPr="00D869E3">
        <w:rPr>
          <w:rFonts w:ascii="Verdana" w:hAnsi="Verdana"/>
          <w:sz w:val="20"/>
          <w:szCs w:val="20"/>
          <w:lang w:val="en-US"/>
        </w:rPr>
        <w:t>paras.</w:t>
      </w:r>
      <w:r w:rsidR="00CD0F88" w:rsidRPr="00D869E3">
        <w:rPr>
          <w:rFonts w:ascii="Verdana" w:hAnsi="Verdana"/>
          <w:sz w:val="20"/>
          <w:szCs w:val="20"/>
          <w:lang w:val="en-US"/>
        </w:rPr>
        <w:t xml:space="preserve"> </w:t>
      </w:r>
      <w:r w:rsidR="00050C63" w:rsidRPr="00D869E3">
        <w:rPr>
          <w:rFonts w:ascii="Verdana" w:hAnsi="Verdana"/>
          <w:sz w:val="20"/>
          <w:szCs w:val="20"/>
          <w:lang w:val="en-US"/>
        </w:rPr>
        <w:t>1</w:t>
      </w:r>
      <w:r w:rsidR="00587B73" w:rsidRPr="00D869E3">
        <w:rPr>
          <w:rFonts w:ascii="Verdana" w:hAnsi="Verdana"/>
          <w:sz w:val="20"/>
          <w:szCs w:val="20"/>
          <w:lang w:val="en-US"/>
        </w:rPr>
        <w:t>08</w:t>
      </w:r>
      <w:r w:rsidR="00687684" w:rsidRPr="00D869E3">
        <w:rPr>
          <w:rFonts w:ascii="Verdana" w:hAnsi="Verdana"/>
          <w:sz w:val="20"/>
          <w:szCs w:val="20"/>
          <w:lang w:val="en-US"/>
        </w:rPr>
        <w:t xml:space="preserve"> and </w:t>
      </w:r>
      <w:r w:rsidR="00587B73" w:rsidRPr="00D869E3">
        <w:rPr>
          <w:rFonts w:ascii="Verdana" w:hAnsi="Verdana"/>
          <w:sz w:val="20"/>
          <w:szCs w:val="20"/>
          <w:lang w:val="en-US"/>
        </w:rPr>
        <w:t>116</w:t>
      </w:r>
      <w:r w:rsidR="00CD0F88" w:rsidRPr="00D869E3">
        <w:rPr>
          <w:rFonts w:ascii="Verdana" w:hAnsi="Verdana"/>
          <w:sz w:val="20"/>
          <w:szCs w:val="20"/>
          <w:lang w:val="en-US"/>
        </w:rPr>
        <w:t>)</w:t>
      </w:r>
      <w:r w:rsidR="00024BA4" w:rsidRPr="00D869E3">
        <w:rPr>
          <w:rFonts w:ascii="Verdana" w:hAnsi="Verdana"/>
          <w:sz w:val="20"/>
          <w:szCs w:val="20"/>
          <w:lang w:val="en-US"/>
        </w:rPr>
        <w:t>,</w:t>
      </w:r>
      <w:r w:rsidR="00197772" w:rsidRPr="00D869E3">
        <w:rPr>
          <w:rFonts w:ascii="Verdana" w:hAnsi="Verdana"/>
          <w:sz w:val="20"/>
          <w:szCs w:val="20"/>
          <w:lang w:val="en-US"/>
        </w:rPr>
        <w:t xml:space="preserve"> </w:t>
      </w:r>
      <w:r w:rsidR="007E7865" w:rsidRPr="00D869E3">
        <w:rPr>
          <w:rFonts w:ascii="Verdana" w:hAnsi="Verdana"/>
          <w:sz w:val="20"/>
          <w:szCs w:val="20"/>
          <w:lang w:val="en-US"/>
        </w:rPr>
        <w:t>so that the sanction imposed was unnecessary in the specific case</w:t>
      </w:r>
      <w:r w:rsidR="00024BA4" w:rsidRPr="00D869E3">
        <w:rPr>
          <w:rFonts w:ascii="Verdana" w:hAnsi="Verdana"/>
          <w:sz w:val="20"/>
          <w:szCs w:val="20"/>
          <w:lang w:val="en-US"/>
        </w:rPr>
        <w:t xml:space="preserve">. </w:t>
      </w:r>
    </w:p>
    <w:p w14:paraId="14B85B96" w14:textId="77777777" w:rsidR="00197772" w:rsidRPr="00D869E3" w:rsidRDefault="00197772" w:rsidP="005D0F69">
      <w:pPr>
        <w:shd w:val="clear" w:color="auto" w:fill="FFFFFF"/>
        <w:contextualSpacing/>
        <w:jc w:val="both"/>
        <w:rPr>
          <w:rFonts w:ascii="Verdana" w:hAnsi="Verdana"/>
          <w:sz w:val="20"/>
          <w:szCs w:val="20"/>
          <w:lang w:val="en-US"/>
        </w:rPr>
      </w:pPr>
    </w:p>
    <w:p w14:paraId="4D57C80A" w14:textId="7844DF70" w:rsidR="00197772" w:rsidRPr="00D869E3" w:rsidRDefault="007E7865" w:rsidP="00AE7AD7">
      <w:pPr>
        <w:numPr>
          <w:ilvl w:val="0"/>
          <w:numId w:val="1"/>
        </w:numPr>
        <w:shd w:val="clear" w:color="auto" w:fill="FFFFFF"/>
        <w:ind w:left="0" w:firstLine="0"/>
        <w:contextualSpacing/>
        <w:jc w:val="both"/>
        <w:rPr>
          <w:rFonts w:ascii="Verdana" w:hAnsi="Verdana"/>
          <w:sz w:val="20"/>
          <w:szCs w:val="20"/>
          <w:lang w:val="en-US"/>
        </w:rPr>
      </w:pPr>
      <w:r w:rsidRPr="00D869E3">
        <w:rPr>
          <w:rFonts w:ascii="Verdana" w:hAnsi="Verdana"/>
          <w:sz w:val="20"/>
          <w:szCs w:val="20"/>
          <w:lang w:val="en-US"/>
        </w:rPr>
        <w:t xml:space="preserve">Accordingly, the Court finds that the ruling of the </w:t>
      </w:r>
      <w:r w:rsidR="00DB128C" w:rsidRPr="00D869E3">
        <w:rPr>
          <w:rFonts w:ascii="Verdana" w:hAnsi="Verdana"/>
          <w:sz w:val="20"/>
          <w:szCs w:val="20"/>
          <w:lang w:val="en-US"/>
        </w:rPr>
        <w:t>Second</w:t>
      </w:r>
      <w:r w:rsidR="00197772" w:rsidRPr="00D869E3">
        <w:rPr>
          <w:rFonts w:ascii="Verdana" w:hAnsi="Verdana"/>
          <w:sz w:val="20"/>
          <w:szCs w:val="20"/>
          <w:lang w:val="en-US"/>
        </w:rPr>
        <w:t xml:space="preserve"> </w:t>
      </w:r>
      <w:r w:rsidR="003506CC" w:rsidRPr="00D869E3">
        <w:rPr>
          <w:rFonts w:ascii="Verdana" w:hAnsi="Verdana"/>
          <w:sz w:val="20"/>
          <w:szCs w:val="20"/>
          <w:lang w:val="en-US"/>
        </w:rPr>
        <w:t>Labor Court</w:t>
      </w:r>
      <w:r w:rsidR="00197772" w:rsidRPr="00D869E3">
        <w:rPr>
          <w:rFonts w:ascii="Verdana" w:hAnsi="Verdana"/>
          <w:sz w:val="20"/>
          <w:szCs w:val="20"/>
          <w:lang w:val="en-US"/>
        </w:rPr>
        <w:t xml:space="preserve"> </w:t>
      </w:r>
      <w:r w:rsidR="00414544" w:rsidRPr="00D869E3">
        <w:rPr>
          <w:rFonts w:ascii="Verdana" w:hAnsi="Verdana"/>
          <w:sz w:val="20"/>
          <w:szCs w:val="20"/>
          <w:lang w:val="en-US"/>
        </w:rPr>
        <w:t xml:space="preserve">failed to </w:t>
      </w:r>
      <w:r w:rsidR="003A34C7" w:rsidRPr="00D869E3">
        <w:rPr>
          <w:rFonts w:ascii="Verdana" w:hAnsi="Verdana"/>
          <w:sz w:val="20"/>
          <w:szCs w:val="20"/>
          <w:lang w:val="en-US"/>
        </w:rPr>
        <w:t>state the reasons for the decision</w:t>
      </w:r>
      <w:r w:rsidR="00197772" w:rsidRPr="00D869E3">
        <w:rPr>
          <w:rStyle w:val="Refdenotaalpie"/>
          <w:szCs w:val="20"/>
          <w:lang w:val="en-US"/>
        </w:rPr>
        <w:footnoteReference w:id="169"/>
      </w:r>
      <w:r w:rsidR="00197772" w:rsidRPr="00D869E3">
        <w:rPr>
          <w:rFonts w:ascii="Verdana" w:hAnsi="Verdana"/>
          <w:sz w:val="20"/>
          <w:szCs w:val="20"/>
          <w:lang w:val="en-US"/>
        </w:rPr>
        <w:t xml:space="preserve"> </w:t>
      </w:r>
      <w:r w:rsidRPr="00D869E3">
        <w:rPr>
          <w:rFonts w:ascii="Verdana" w:hAnsi="Verdana"/>
          <w:sz w:val="20"/>
          <w:szCs w:val="20"/>
          <w:lang w:val="en-US"/>
        </w:rPr>
        <w:t>that would have analyzed the rights in play in light of the above-</w:t>
      </w:r>
      <w:r w:rsidRPr="00D869E3">
        <w:rPr>
          <w:rFonts w:ascii="Verdana" w:hAnsi="Verdana"/>
          <w:sz w:val="20"/>
          <w:szCs w:val="20"/>
          <w:lang w:val="en-US"/>
        </w:rPr>
        <w:lastRenderedPageBreak/>
        <w:t xml:space="preserve">mentioned elements, and would have assessed the arguments of the parties and the decision that was reversed. Therefore, the </w:t>
      </w:r>
      <w:r w:rsidR="00414544" w:rsidRPr="00D869E3">
        <w:rPr>
          <w:rFonts w:ascii="Verdana" w:hAnsi="Verdana"/>
          <w:sz w:val="20"/>
          <w:szCs w:val="20"/>
          <w:lang w:val="en-US"/>
        </w:rPr>
        <w:t xml:space="preserve">failure to </w:t>
      </w:r>
      <w:r w:rsidR="00AE7AD7" w:rsidRPr="00D869E3">
        <w:rPr>
          <w:rFonts w:ascii="Verdana" w:hAnsi="Verdana"/>
          <w:sz w:val="20"/>
          <w:szCs w:val="20"/>
          <w:lang w:val="en-US"/>
        </w:rPr>
        <w:t xml:space="preserve">provide a </w:t>
      </w:r>
      <w:r w:rsidR="00414544" w:rsidRPr="00D869E3">
        <w:rPr>
          <w:rFonts w:ascii="Verdana" w:hAnsi="Verdana"/>
          <w:sz w:val="20"/>
          <w:szCs w:val="20"/>
          <w:lang w:val="en-US"/>
        </w:rPr>
        <w:t>state</w:t>
      </w:r>
      <w:r w:rsidR="00AE7AD7" w:rsidRPr="00D869E3">
        <w:rPr>
          <w:rFonts w:ascii="Verdana" w:hAnsi="Verdana"/>
          <w:sz w:val="20"/>
          <w:szCs w:val="20"/>
          <w:lang w:val="en-US"/>
        </w:rPr>
        <w:t>ment of</w:t>
      </w:r>
      <w:r w:rsidR="00414544" w:rsidRPr="00D869E3">
        <w:rPr>
          <w:rFonts w:ascii="Verdana" w:hAnsi="Verdana"/>
          <w:sz w:val="20"/>
          <w:szCs w:val="20"/>
          <w:lang w:val="en-US"/>
        </w:rPr>
        <w:t xml:space="preserve"> reasons</w:t>
      </w:r>
      <w:r w:rsidRPr="00D869E3">
        <w:rPr>
          <w:rFonts w:ascii="Verdana" w:hAnsi="Verdana"/>
          <w:sz w:val="20"/>
          <w:szCs w:val="20"/>
          <w:lang w:val="en-US"/>
        </w:rPr>
        <w:t xml:space="preserve"> had a direct impact on due process, because that court failed to provide the legal</w:t>
      </w:r>
      <w:r w:rsidR="00414544" w:rsidRPr="00D869E3">
        <w:rPr>
          <w:rFonts w:ascii="Verdana" w:hAnsi="Verdana"/>
          <w:sz w:val="20"/>
          <w:szCs w:val="20"/>
          <w:lang w:val="en-US"/>
        </w:rPr>
        <w:t xml:space="preserve"> grounds substantiating it</w:t>
      </w:r>
      <w:r w:rsidR="00AE7AD7" w:rsidRPr="00D869E3">
        <w:rPr>
          <w:rFonts w:ascii="Verdana" w:hAnsi="Verdana"/>
          <w:sz w:val="20"/>
          <w:szCs w:val="20"/>
          <w:lang w:val="en-US"/>
        </w:rPr>
        <w:t>s</w:t>
      </w:r>
      <w:r w:rsidR="00414544" w:rsidRPr="00D869E3">
        <w:rPr>
          <w:rFonts w:ascii="Verdana" w:hAnsi="Verdana"/>
          <w:sz w:val="20"/>
          <w:szCs w:val="20"/>
          <w:lang w:val="en-US"/>
        </w:rPr>
        <w:t xml:space="preserve"> decision to</w:t>
      </w:r>
      <w:r w:rsidRPr="00D869E3">
        <w:rPr>
          <w:rFonts w:ascii="Verdana" w:hAnsi="Verdana"/>
          <w:sz w:val="20"/>
          <w:szCs w:val="20"/>
          <w:lang w:val="en-US"/>
        </w:rPr>
        <w:t xml:space="preserve"> </w:t>
      </w:r>
      <w:r w:rsidR="00AE7AD7" w:rsidRPr="00D869E3">
        <w:rPr>
          <w:rFonts w:ascii="Verdana" w:hAnsi="Verdana"/>
          <w:sz w:val="20"/>
          <w:szCs w:val="20"/>
          <w:lang w:val="en-US"/>
        </w:rPr>
        <w:t>ratify</w:t>
      </w:r>
      <w:r w:rsidRPr="00D869E3">
        <w:rPr>
          <w:rFonts w:ascii="Verdana" w:hAnsi="Verdana"/>
          <w:sz w:val="20"/>
          <w:szCs w:val="20"/>
          <w:lang w:val="en-US"/>
        </w:rPr>
        <w:t xml:space="preserve"> the dismissal of </w:t>
      </w:r>
      <w:r w:rsidR="00E6309B" w:rsidRPr="00D869E3">
        <w:rPr>
          <w:rFonts w:ascii="Verdana" w:hAnsi="Verdana"/>
          <w:sz w:val="20"/>
          <w:szCs w:val="20"/>
          <w:lang w:val="en-US"/>
        </w:rPr>
        <w:t>Mr.</w:t>
      </w:r>
      <w:r w:rsidR="001E44D3" w:rsidRPr="00D869E3">
        <w:rPr>
          <w:rFonts w:ascii="Verdana" w:hAnsi="Verdana"/>
          <w:sz w:val="20"/>
          <w:szCs w:val="20"/>
          <w:lang w:val="en-US"/>
        </w:rPr>
        <w:t xml:space="preserve"> Lagos del Campo</w:t>
      </w:r>
      <w:r w:rsidR="00197772" w:rsidRPr="00D869E3">
        <w:rPr>
          <w:rFonts w:ascii="Verdana" w:hAnsi="Verdana"/>
          <w:sz w:val="20"/>
          <w:szCs w:val="20"/>
          <w:lang w:val="en-US"/>
        </w:rPr>
        <w:t xml:space="preserve"> </w:t>
      </w:r>
      <w:r w:rsidRPr="00D869E3">
        <w:rPr>
          <w:rFonts w:ascii="Verdana" w:hAnsi="Verdana"/>
          <w:sz w:val="20"/>
          <w:szCs w:val="20"/>
          <w:lang w:val="en-US"/>
        </w:rPr>
        <w:t>in the context described above</w:t>
      </w:r>
      <w:r w:rsidR="00197772" w:rsidRPr="00D869E3">
        <w:rPr>
          <w:rFonts w:ascii="Verdana" w:hAnsi="Verdana"/>
          <w:sz w:val="20"/>
          <w:szCs w:val="20"/>
          <w:lang w:val="en-US"/>
        </w:rPr>
        <w:t>.</w:t>
      </w:r>
    </w:p>
    <w:p w14:paraId="41EDB291" w14:textId="77777777" w:rsidR="00C01305" w:rsidRPr="00D869E3" w:rsidRDefault="00C01305" w:rsidP="00CA58EF">
      <w:pPr>
        <w:contextualSpacing/>
        <w:jc w:val="both"/>
        <w:rPr>
          <w:rFonts w:ascii="Verdana" w:hAnsi="Verdana"/>
          <w:sz w:val="20"/>
          <w:szCs w:val="20"/>
          <w:lang w:val="en-US"/>
        </w:rPr>
      </w:pPr>
    </w:p>
    <w:p w14:paraId="753BCAF7" w14:textId="3F3C3FDE" w:rsidR="00365853" w:rsidRPr="00D869E3" w:rsidRDefault="007E7865" w:rsidP="00991C3F">
      <w:pPr>
        <w:numPr>
          <w:ilvl w:val="0"/>
          <w:numId w:val="1"/>
        </w:numPr>
        <w:ind w:left="0" w:hanging="11"/>
        <w:contextualSpacing/>
        <w:jc w:val="both"/>
        <w:rPr>
          <w:rFonts w:ascii="Verdana" w:hAnsi="Verdana"/>
          <w:sz w:val="20"/>
          <w:szCs w:val="20"/>
          <w:lang w:val="en-US"/>
        </w:rPr>
      </w:pPr>
      <w:r w:rsidRPr="00D869E3">
        <w:rPr>
          <w:rFonts w:ascii="Verdana" w:hAnsi="Verdana" w:cs="Arial"/>
          <w:snapToGrid w:val="0"/>
          <w:sz w:val="20"/>
          <w:szCs w:val="20"/>
          <w:lang w:val="en-US" w:eastAsia="es-ES"/>
        </w:rPr>
        <w:t xml:space="preserve">Based on the above, the Court concludes that the State endorsed a restriction of </w:t>
      </w:r>
      <w:r w:rsidR="00414B6B" w:rsidRPr="00D869E3">
        <w:rPr>
          <w:rFonts w:ascii="Verdana" w:hAnsi="Verdana"/>
          <w:color w:val="000000"/>
          <w:sz w:val="20"/>
          <w:lang w:val="en-US"/>
        </w:rPr>
        <w:t xml:space="preserve">the right </w:t>
      </w:r>
      <w:r w:rsidR="00636C30" w:rsidRPr="00D869E3">
        <w:rPr>
          <w:rFonts w:ascii="Verdana" w:hAnsi="Verdana"/>
          <w:color w:val="000000"/>
          <w:sz w:val="20"/>
          <w:lang w:val="en-US"/>
        </w:rPr>
        <w:t xml:space="preserve">to freedom of thought and expression </w:t>
      </w:r>
      <w:r w:rsidR="00E6309B" w:rsidRPr="00D869E3">
        <w:rPr>
          <w:rFonts w:ascii="Verdana" w:hAnsi="Verdana"/>
          <w:color w:val="000000"/>
          <w:sz w:val="20"/>
          <w:lang w:val="en-US"/>
        </w:rPr>
        <w:t>of Mr.</w:t>
      </w:r>
      <w:r w:rsidR="001E44D3" w:rsidRPr="00D869E3">
        <w:rPr>
          <w:rFonts w:ascii="Verdana" w:hAnsi="Verdana"/>
          <w:color w:val="000000"/>
          <w:sz w:val="20"/>
          <w:lang w:val="en-US"/>
        </w:rPr>
        <w:t xml:space="preserve"> Lagos del Campo</w:t>
      </w:r>
      <w:r w:rsidR="005967AA" w:rsidRPr="00D869E3">
        <w:rPr>
          <w:rFonts w:ascii="Verdana" w:hAnsi="Verdana"/>
          <w:sz w:val="20"/>
          <w:lang w:val="en-US"/>
        </w:rPr>
        <w:t xml:space="preserve">, </w:t>
      </w:r>
      <w:r w:rsidRPr="00D869E3">
        <w:rPr>
          <w:rFonts w:ascii="Verdana" w:hAnsi="Verdana"/>
          <w:sz w:val="20"/>
          <w:lang w:val="en-US"/>
        </w:rPr>
        <w:t xml:space="preserve">by an unnecessary sanction in relation to the objective sought and without a due justification. </w:t>
      </w:r>
      <w:r w:rsidR="00991C3F" w:rsidRPr="00D869E3">
        <w:rPr>
          <w:rFonts w:ascii="Verdana" w:hAnsi="Verdana"/>
          <w:sz w:val="20"/>
          <w:lang w:val="en-US"/>
        </w:rPr>
        <w:t xml:space="preserve">This was because, based on the circumstances of this case, there was no </w:t>
      </w:r>
      <w:r w:rsidR="001B0492" w:rsidRPr="00D869E3">
        <w:rPr>
          <w:rFonts w:ascii="Verdana" w:hAnsi="Verdana"/>
          <w:sz w:val="20"/>
          <w:lang w:val="en-US"/>
        </w:rPr>
        <w:t>overriding</w:t>
      </w:r>
      <w:r w:rsidR="00991C3F" w:rsidRPr="00D869E3">
        <w:rPr>
          <w:rFonts w:ascii="Verdana" w:hAnsi="Verdana"/>
          <w:sz w:val="20"/>
          <w:lang w:val="en-US"/>
        </w:rPr>
        <w:t xml:space="preserve"> necessity that would have justified the dismissal of </w:t>
      </w:r>
      <w:r w:rsidR="00E6309B" w:rsidRPr="00D869E3">
        <w:rPr>
          <w:rFonts w:ascii="Verdana" w:hAnsi="Verdana"/>
          <w:sz w:val="20"/>
          <w:lang w:val="en-US"/>
        </w:rPr>
        <w:t>Mr.</w:t>
      </w:r>
      <w:r w:rsidR="001E44D3" w:rsidRPr="00D869E3">
        <w:rPr>
          <w:rFonts w:ascii="Verdana" w:hAnsi="Verdana"/>
          <w:sz w:val="20"/>
          <w:lang w:val="en-US"/>
        </w:rPr>
        <w:t xml:space="preserve"> Lagos del Campo</w:t>
      </w:r>
      <w:r w:rsidR="00C01305" w:rsidRPr="00D869E3">
        <w:rPr>
          <w:rFonts w:ascii="Verdana" w:hAnsi="Verdana"/>
          <w:sz w:val="20"/>
          <w:lang w:val="en-US"/>
        </w:rPr>
        <w:t xml:space="preserve">. </w:t>
      </w:r>
      <w:r w:rsidR="00731ADA" w:rsidRPr="00D869E3">
        <w:rPr>
          <w:rFonts w:ascii="Verdana" w:hAnsi="Verdana"/>
          <w:sz w:val="20"/>
          <w:lang w:val="en-US"/>
        </w:rPr>
        <w:t>I</w:t>
      </w:r>
      <w:r w:rsidR="00C01305" w:rsidRPr="00D869E3">
        <w:rPr>
          <w:rFonts w:ascii="Verdana" w:hAnsi="Verdana"/>
          <w:sz w:val="20"/>
          <w:lang w:val="en-US"/>
        </w:rPr>
        <w:t xml:space="preserve">n particular, </w:t>
      </w:r>
      <w:r w:rsidR="00991C3F" w:rsidRPr="00D869E3">
        <w:rPr>
          <w:rFonts w:ascii="Verdana" w:hAnsi="Verdana"/>
          <w:sz w:val="20"/>
          <w:lang w:val="en-US"/>
        </w:rPr>
        <w:t>his</w:t>
      </w:r>
      <w:r w:rsidR="00637639" w:rsidRPr="00D869E3">
        <w:rPr>
          <w:rFonts w:ascii="Verdana" w:hAnsi="Verdana"/>
          <w:sz w:val="20"/>
          <w:lang w:val="en-US"/>
        </w:rPr>
        <w:t xml:space="preserve"> </w:t>
      </w:r>
      <w:r w:rsidR="00A62EA8" w:rsidRPr="00D869E3">
        <w:rPr>
          <w:rFonts w:ascii="Verdana" w:hAnsi="Verdana"/>
          <w:sz w:val="20"/>
          <w:lang w:val="en-US"/>
        </w:rPr>
        <w:t>freedom of expression</w:t>
      </w:r>
      <w:r w:rsidR="00C01305" w:rsidRPr="00D869E3">
        <w:rPr>
          <w:rFonts w:ascii="Verdana" w:hAnsi="Verdana"/>
          <w:sz w:val="20"/>
          <w:lang w:val="en-US"/>
        </w:rPr>
        <w:t xml:space="preserve"> </w:t>
      </w:r>
      <w:r w:rsidR="00991C3F" w:rsidRPr="00D869E3">
        <w:rPr>
          <w:rFonts w:ascii="Verdana" w:hAnsi="Verdana"/>
          <w:sz w:val="20"/>
          <w:lang w:val="en-US"/>
        </w:rPr>
        <w:t xml:space="preserve">was restricted without taking into consideration that his statements referred to matters of general interest, as part of his remit, and were protected also by his capacity </w:t>
      </w:r>
      <w:r w:rsidR="00D329A8" w:rsidRPr="00D869E3">
        <w:rPr>
          <w:rFonts w:ascii="Verdana" w:hAnsi="Verdana"/>
          <w:sz w:val="20"/>
          <w:lang w:val="en-US"/>
        </w:rPr>
        <w:t>as</w:t>
      </w:r>
      <w:r w:rsidR="00991C3F" w:rsidRPr="00D869E3">
        <w:rPr>
          <w:rFonts w:ascii="Verdana" w:hAnsi="Verdana"/>
          <w:sz w:val="20"/>
          <w:lang w:val="en-US"/>
        </w:rPr>
        <w:t xml:space="preserve"> a workers’ representative</w:t>
      </w:r>
      <w:r w:rsidR="00D329A8" w:rsidRPr="00D869E3">
        <w:rPr>
          <w:rFonts w:ascii="Verdana" w:hAnsi="Verdana"/>
          <w:sz w:val="20"/>
          <w:lang w:val="en-US"/>
        </w:rPr>
        <w:t>,</w:t>
      </w:r>
      <w:r w:rsidR="00991C3F" w:rsidRPr="00D869E3">
        <w:rPr>
          <w:rFonts w:ascii="Verdana" w:hAnsi="Verdana"/>
          <w:sz w:val="20"/>
          <w:szCs w:val="20"/>
          <w:lang w:val="en-US"/>
        </w:rPr>
        <w:t xml:space="preserve"> </w:t>
      </w:r>
      <w:r w:rsidR="00C66688" w:rsidRPr="00D869E3">
        <w:rPr>
          <w:rFonts w:ascii="Verdana" w:hAnsi="Verdana"/>
          <w:sz w:val="20"/>
          <w:lang w:val="en-US"/>
        </w:rPr>
        <w:t xml:space="preserve">as </w:t>
      </w:r>
      <w:r w:rsidR="001B0492" w:rsidRPr="00D869E3">
        <w:rPr>
          <w:rFonts w:ascii="Verdana" w:hAnsi="Verdana"/>
          <w:sz w:val="20"/>
          <w:lang w:val="en-US"/>
        </w:rPr>
        <w:t>president of the Electoral</w:t>
      </w:r>
      <w:r w:rsidR="00EA232B" w:rsidRPr="00D869E3">
        <w:rPr>
          <w:rFonts w:ascii="Verdana" w:hAnsi="Verdana"/>
          <w:sz w:val="20"/>
          <w:lang w:val="en-US"/>
        </w:rPr>
        <w:t xml:space="preserve"> Committee</w:t>
      </w:r>
      <w:r w:rsidR="00C01305" w:rsidRPr="00D869E3">
        <w:rPr>
          <w:rFonts w:ascii="Verdana" w:hAnsi="Verdana"/>
          <w:sz w:val="20"/>
          <w:lang w:val="en-US"/>
        </w:rPr>
        <w:t xml:space="preserve">. </w:t>
      </w:r>
      <w:r w:rsidR="00991C3F" w:rsidRPr="00D869E3">
        <w:rPr>
          <w:rFonts w:ascii="Verdana" w:hAnsi="Verdana"/>
          <w:sz w:val="20"/>
          <w:lang w:val="en-US"/>
        </w:rPr>
        <w:t>Therefore</w:t>
      </w:r>
      <w:r w:rsidR="00637639" w:rsidRPr="00D869E3">
        <w:rPr>
          <w:rFonts w:ascii="Verdana" w:hAnsi="Verdana"/>
          <w:sz w:val="20"/>
          <w:lang w:val="en-US"/>
        </w:rPr>
        <w:t>,</w:t>
      </w:r>
      <w:r w:rsidR="003F44BE" w:rsidRPr="00D869E3">
        <w:rPr>
          <w:rFonts w:ascii="Verdana" w:hAnsi="Verdana"/>
          <w:sz w:val="20"/>
          <w:lang w:val="en-US"/>
        </w:rPr>
        <w:t xml:space="preserve"> </w:t>
      </w:r>
      <w:r w:rsidR="00447C65" w:rsidRPr="00D869E3">
        <w:rPr>
          <w:rFonts w:ascii="Verdana" w:hAnsi="Verdana"/>
          <w:sz w:val="20"/>
          <w:lang w:val="en-US"/>
        </w:rPr>
        <w:t xml:space="preserve">the </w:t>
      </w:r>
      <w:r w:rsidR="00991C3F" w:rsidRPr="00D869E3">
        <w:rPr>
          <w:rFonts w:ascii="Verdana" w:hAnsi="Verdana"/>
          <w:sz w:val="20"/>
          <w:lang w:val="en-US"/>
        </w:rPr>
        <w:t xml:space="preserve">Peruvian </w:t>
      </w:r>
      <w:r w:rsidR="00447C65" w:rsidRPr="00D869E3">
        <w:rPr>
          <w:rFonts w:ascii="Verdana" w:hAnsi="Verdana"/>
          <w:sz w:val="20"/>
          <w:lang w:val="en-US"/>
        </w:rPr>
        <w:t>State</w:t>
      </w:r>
      <w:r w:rsidR="003F44BE" w:rsidRPr="00D869E3">
        <w:rPr>
          <w:rFonts w:ascii="Verdana" w:hAnsi="Verdana"/>
          <w:sz w:val="20"/>
          <w:lang w:val="en-US"/>
        </w:rPr>
        <w:t xml:space="preserve"> </w:t>
      </w:r>
      <w:r w:rsidR="00991C3F" w:rsidRPr="00D869E3">
        <w:rPr>
          <w:rFonts w:ascii="Verdana" w:hAnsi="Verdana"/>
          <w:sz w:val="20"/>
          <w:lang w:val="en-US"/>
        </w:rPr>
        <w:t>violated</w:t>
      </w:r>
      <w:r w:rsidR="003F44BE" w:rsidRPr="00D869E3">
        <w:rPr>
          <w:rFonts w:ascii="Verdana" w:hAnsi="Verdana"/>
          <w:color w:val="000000"/>
          <w:sz w:val="20"/>
          <w:lang w:val="en-US"/>
        </w:rPr>
        <w:t xml:space="preserve"> </w:t>
      </w:r>
      <w:r w:rsidR="00447C65" w:rsidRPr="00D869E3">
        <w:rPr>
          <w:rFonts w:ascii="Verdana" w:hAnsi="Verdana"/>
          <w:color w:val="000000"/>
          <w:sz w:val="20"/>
          <w:lang w:val="en-US"/>
        </w:rPr>
        <w:t>Articles</w:t>
      </w:r>
      <w:r w:rsidR="00C01305" w:rsidRPr="00D869E3">
        <w:rPr>
          <w:rFonts w:ascii="Verdana" w:hAnsi="Verdana"/>
          <w:color w:val="000000"/>
          <w:sz w:val="20"/>
          <w:lang w:val="en-US"/>
        </w:rPr>
        <w:t xml:space="preserve"> </w:t>
      </w:r>
      <w:r w:rsidR="00966115" w:rsidRPr="00D869E3">
        <w:rPr>
          <w:rFonts w:ascii="Verdana" w:hAnsi="Verdana"/>
          <w:color w:val="000000"/>
          <w:sz w:val="20"/>
          <w:lang w:val="en-US"/>
        </w:rPr>
        <w:t>13(2)</w:t>
      </w:r>
      <w:r w:rsidR="00687684" w:rsidRPr="00D869E3">
        <w:rPr>
          <w:rFonts w:ascii="Verdana" w:hAnsi="Verdana"/>
          <w:color w:val="000000"/>
          <w:sz w:val="20"/>
          <w:lang w:val="en-US"/>
        </w:rPr>
        <w:t xml:space="preserve"> and </w:t>
      </w:r>
      <w:r w:rsidR="00C01305" w:rsidRPr="00D869E3">
        <w:rPr>
          <w:rFonts w:ascii="Verdana" w:hAnsi="Verdana"/>
          <w:color w:val="000000"/>
          <w:sz w:val="20"/>
          <w:lang w:val="en-US"/>
        </w:rPr>
        <w:t>8</w:t>
      </w:r>
      <w:r w:rsidR="00991C3F" w:rsidRPr="00D869E3">
        <w:rPr>
          <w:rFonts w:ascii="Verdana" w:hAnsi="Verdana"/>
          <w:color w:val="000000"/>
          <w:sz w:val="20"/>
          <w:lang w:val="en-US"/>
        </w:rPr>
        <w:t>(</w:t>
      </w:r>
      <w:r w:rsidR="00C01305" w:rsidRPr="00D869E3">
        <w:rPr>
          <w:rFonts w:ascii="Verdana" w:hAnsi="Verdana"/>
          <w:color w:val="000000"/>
          <w:sz w:val="20"/>
          <w:lang w:val="en-US"/>
        </w:rPr>
        <w:t>2</w:t>
      </w:r>
      <w:r w:rsidR="00991C3F" w:rsidRPr="00D869E3">
        <w:rPr>
          <w:rFonts w:ascii="Verdana" w:hAnsi="Verdana"/>
          <w:color w:val="000000"/>
          <w:sz w:val="20"/>
          <w:lang w:val="en-US"/>
        </w:rPr>
        <w:t xml:space="preserve">) </w:t>
      </w:r>
      <w:r w:rsidR="00447C65" w:rsidRPr="00D869E3">
        <w:rPr>
          <w:rFonts w:ascii="Verdana" w:hAnsi="Verdana"/>
          <w:color w:val="000000"/>
          <w:sz w:val="20"/>
          <w:lang w:val="en-US"/>
        </w:rPr>
        <w:t>of the American Convention</w:t>
      </w:r>
      <w:r w:rsidR="0050364F" w:rsidRPr="00D869E3">
        <w:rPr>
          <w:rFonts w:ascii="Verdana" w:hAnsi="Verdana"/>
          <w:color w:val="000000"/>
          <w:sz w:val="20"/>
          <w:lang w:val="en-US"/>
        </w:rPr>
        <w:t xml:space="preserve">, </w:t>
      </w:r>
      <w:r w:rsidR="00991C3F" w:rsidRPr="00D869E3">
        <w:rPr>
          <w:rFonts w:ascii="Verdana" w:hAnsi="Verdana"/>
          <w:color w:val="000000"/>
          <w:sz w:val="20"/>
          <w:lang w:val="en-US"/>
        </w:rPr>
        <w:t>to the detriment of</w:t>
      </w:r>
      <w:r w:rsidR="00687684" w:rsidRPr="00D869E3">
        <w:rPr>
          <w:rFonts w:ascii="Verdana" w:hAnsi="Verdana"/>
          <w:color w:val="000000"/>
          <w:sz w:val="20"/>
          <w:lang w:val="en-US"/>
        </w:rPr>
        <w:t xml:space="preserve"> Mr. Lagos</w:t>
      </w:r>
      <w:r w:rsidR="00C01305" w:rsidRPr="00D869E3">
        <w:rPr>
          <w:rFonts w:ascii="Verdana" w:hAnsi="Verdana"/>
          <w:color w:val="000000"/>
          <w:sz w:val="20"/>
          <w:lang w:val="en-US"/>
        </w:rPr>
        <w:t xml:space="preserve"> del Campo.</w:t>
      </w:r>
    </w:p>
    <w:p w14:paraId="5960277C" w14:textId="77777777" w:rsidR="00365853" w:rsidRPr="00D869E3" w:rsidRDefault="00365853" w:rsidP="00CB5A95">
      <w:pPr>
        <w:contextualSpacing/>
        <w:jc w:val="both"/>
        <w:rPr>
          <w:rFonts w:ascii="Verdana" w:hAnsi="Verdana"/>
          <w:color w:val="000000"/>
          <w:sz w:val="20"/>
          <w:lang w:val="en-US"/>
        </w:rPr>
      </w:pPr>
    </w:p>
    <w:p w14:paraId="34B236BC" w14:textId="3A7AFD66" w:rsidR="0088700B" w:rsidRPr="00D869E3" w:rsidRDefault="00636C30" w:rsidP="00E66DD7">
      <w:pPr>
        <w:pStyle w:val="Ttulo3"/>
        <w:numPr>
          <w:ilvl w:val="0"/>
          <w:numId w:val="11"/>
        </w:numPr>
        <w:ind w:left="714" w:hanging="357"/>
        <w:rPr>
          <w:b w:val="0"/>
          <w:i/>
          <w:szCs w:val="20"/>
          <w:lang w:val="en-US"/>
        </w:rPr>
      </w:pPr>
      <w:bookmarkStart w:id="49" w:name="_Toc29114137"/>
      <w:r w:rsidRPr="00D869E3">
        <w:rPr>
          <w:i/>
          <w:szCs w:val="20"/>
          <w:lang w:val="en-US"/>
        </w:rPr>
        <w:t>Violation of job</w:t>
      </w:r>
      <w:r w:rsidR="00731ADA" w:rsidRPr="00D869E3">
        <w:rPr>
          <w:i/>
          <w:szCs w:val="20"/>
          <w:lang w:val="en-US"/>
        </w:rPr>
        <w:t xml:space="preserve"> security</w:t>
      </w:r>
      <w:bookmarkEnd w:id="49"/>
      <w:r w:rsidR="00731ADA" w:rsidRPr="00D869E3">
        <w:rPr>
          <w:i/>
          <w:szCs w:val="20"/>
          <w:lang w:val="en-US"/>
        </w:rPr>
        <w:t xml:space="preserve"> </w:t>
      </w:r>
    </w:p>
    <w:p w14:paraId="33EA8E08" w14:textId="77777777" w:rsidR="0088700B" w:rsidRPr="00D869E3" w:rsidRDefault="0088700B" w:rsidP="00801513">
      <w:pPr>
        <w:tabs>
          <w:tab w:val="left" w:pos="426"/>
        </w:tabs>
        <w:rPr>
          <w:rFonts w:ascii="Verdana" w:hAnsi="Verdana"/>
          <w:sz w:val="20"/>
          <w:szCs w:val="20"/>
          <w:lang w:val="en-US"/>
        </w:rPr>
      </w:pPr>
    </w:p>
    <w:p w14:paraId="4857AA8A" w14:textId="194B0CFD" w:rsidR="0088700B" w:rsidRPr="00D869E3" w:rsidRDefault="00731ADA" w:rsidP="00E66DD7">
      <w:pPr>
        <w:pStyle w:val="Ttulo3"/>
        <w:numPr>
          <w:ilvl w:val="1"/>
          <w:numId w:val="11"/>
        </w:numPr>
        <w:ind w:hanging="229"/>
        <w:rPr>
          <w:i/>
          <w:szCs w:val="20"/>
          <w:lang w:val="en-US"/>
        </w:rPr>
      </w:pPr>
      <w:bookmarkStart w:id="50" w:name="_Toc29114138"/>
      <w:r w:rsidRPr="00D869E3">
        <w:rPr>
          <w:i/>
          <w:color w:val="000000"/>
          <w:szCs w:val="20"/>
          <w:lang w:val="en-US"/>
        </w:rPr>
        <w:t>Arguments on labor rights</w:t>
      </w:r>
      <w:bookmarkEnd w:id="50"/>
    </w:p>
    <w:p w14:paraId="66363D9B" w14:textId="77777777" w:rsidR="0088700B" w:rsidRPr="00D869E3" w:rsidRDefault="0088700B" w:rsidP="0088700B">
      <w:pPr>
        <w:ind w:left="1068"/>
        <w:contextualSpacing/>
        <w:jc w:val="both"/>
        <w:rPr>
          <w:rFonts w:ascii="Verdana" w:hAnsi="Verdana"/>
          <w:b/>
          <w:i/>
          <w:sz w:val="20"/>
          <w:szCs w:val="20"/>
          <w:lang w:val="en-US"/>
        </w:rPr>
      </w:pPr>
    </w:p>
    <w:p w14:paraId="49E65C78" w14:textId="2C7A17B4" w:rsidR="0088700B" w:rsidRPr="00D869E3" w:rsidRDefault="00636C30" w:rsidP="00E66DD7">
      <w:pPr>
        <w:numPr>
          <w:ilvl w:val="0"/>
          <w:numId w:val="1"/>
        </w:numPr>
        <w:ind w:left="0" w:firstLine="0"/>
        <w:contextualSpacing/>
        <w:jc w:val="both"/>
        <w:rPr>
          <w:rFonts w:ascii="Verdana" w:hAnsi="Verdana"/>
          <w:b/>
          <w:sz w:val="20"/>
          <w:szCs w:val="20"/>
          <w:lang w:val="en-US"/>
        </w:rPr>
      </w:pPr>
      <w:r w:rsidRPr="00D869E3">
        <w:rPr>
          <w:rFonts w:ascii="Verdana" w:hAnsi="Verdana"/>
          <w:sz w:val="20"/>
          <w:szCs w:val="20"/>
          <w:lang w:val="en-US"/>
        </w:rPr>
        <w:t>In this case</w:t>
      </w:r>
      <w:r w:rsidR="0088700B" w:rsidRPr="00D869E3">
        <w:rPr>
          <w:rFonts w:ascii="Verdana" w:hAnsi="Verdana"/>
          <w:sz w:val="20"/>
          <w:szCs w:val="20"/>
          <w:lang w:val="en-US"/>
        </w:rPr>
        <w:t xml:space="preserve">, </w:t>
      </w:r>
      <w:r w:rsidR="00447C65" w:rsidRPr="00D869E3">
        <w:rPr>
          <w:rFonts w:ascii="Verdana" w:hAnsi="Verdana"/>
          <w:sz w:val="20"/>
          <w:szCs w:val="20"/>
          <w:lang w:val="en-US"/>
        </w:rPr>
        <w:t>the Court</w:t>
      </w:r>
      <w:r w:rsidR="0088700B" w:rsidRPr="00D869E3">
        <w:rPr>
          <w:rFonts w:ascii="Verdana" w:hAnsi="Verdana"/>
          <w:sz w:val="20"/>
          <w:szCs w:val="20"/>
          <w:lang w:val="en-US"/>
        </w:rPr>
        <w:t xml:space="preserve"> not</w:t>
      </w:r>
      <w:r w:rsidR="00991C3F" w:rsidRPr="00D869E3">
        <w:rPr>
          <w:rFonts w:ascii="Verdana" w:hAnsi="Verdana"/>
          <w:sz w:val="20"/>
          <w:szCs w:val="20"/>
          <w:lang w:val="en-US"/>
        </w:rPr>
        <w:t xml:space="preserve">es that, in the litigation before this Court, neither </w:t>
      </w:r>
      <w:r w:rsidR="00687684" w:rsidRPr="00D869E3">
        <w:rPr>
          <w:rFonts w:ascii="Verdana" w:hAnsi="Verdana"/>
          <w:sz w:val="20"/>
          <w:szCs w:val="20"/>
          <w:lang w:val="en-US"/>
        </w:rPr>
        <w:t>the representatives</w:t>
      </w:r>
      <w:r w:rsidR="0088700B" w:rsidRPr="00D869E3">
        <w:rPr>
          <w:rFonts w:ascii="Verdana" w:hAnsi="Verdana"/>
          <w:sz w:val="20"/>
          <w:szCs w:val="20"/>
          <w:lang w:val="en-US"/>
        </w:rPr>
        <w:t xml:space="preserve"> n</w:t>
      </w:r>
      <w:r w:rsidR="00991C3F" w:rsidRPr="00D869E3">
        <w:rPr>
          <w:rFonts w:ascii="Verdana" w:hAnsi="Verdana"/>
          <w:sz w:val="20"/>
          <w:szCs w:val="20"/>
          <w:lang w:val="en-US"/>
        </w:rPr>
        <w:t>or</w:t>
      </w:r>
      <w:r w:rsidR="0088700B" w:rsidRPr="00D869E3">
        <w:rPr>
          <w:rFonts w:ascii="Verdana" w:hAnsi="Verdana"/>
          <w:sz w:val="20"/>
          <w:szCs w:val="20"/>
          <w:lang w:val="en-US"/>
        </w:rPr>
        <w:t xml:space="preserve"> </w:t>
      </w:r>
      <w:r w:rsidR="00447C65" w:rsidRPr="00D869E3">
        <w:rPr>
          <w:rFonts w:ascii="Verdana" w:hAnsi="Verdana"/>
          <w:sz w:val="20"/>
          <w:szCs w:val="20"/>
          <w:lang w:val="en-US"/>
        </w:rPr>
        <w:t>the Commission</w:t>
      </w:r>
      <w:r w:rsidR="0088700B" w:rsidRPr="00D869E3">
        <w:rPr>
          <w:rFonts w:ascii="Verdana" w:hAnsi="Verdana"/>
          <w:sz w:val="20"/>
          <w:szCs w:val="20"/>
          <w:lang w:val="en-US"/>
        </w:rPr>
        <w:t xml:space="preserve"> </w:t>
      </w:r>
      <w:r w:rsidR="00991C3F" w:rsidRPr="00D869E3">
        <w:rPr>
          <w:rFonts w:ascii="Verdana" w:hAnsi="Verdana"/>
          <w:sz w:val="20"/>
          <w:szCs w:val="20"/>
          <w:lang w:val="en-US"/>
        </w:rPr>
        <w:t xml:space="preserve">expressly mentioned the presumed violation of labor rights in light of </w:t>
      </w:r>
      <w:r w:rsidR="00447C65" w:rsidRPr="00D869E3">
        <w:rPr>
          <w:rFonts w:ascii="Verdana" w:hAnsi="Verdana"/>
          <w:sz w:val="20"/>
          <w:szCs w:val="20"/>
          <w:lang w:val="en-US"/>
        </w:rPr>
        <w:t>the American Convention</w:t>
      </w:r>
      <w:r w:rsidR="0088700B" w:rsidRPr="00D869E3">
        <w:rPr>
          <w:rFonts w:ascii="Verdana" w:hAnsi="Verdana"/>
          <w:sz w:val="20"/>
          <w:szCs w:val="20"/>
          <w:lang w:val="en-US"/>
        </w:rPr>
        <w:t xml:space="preserve">. </w:t>
      </w:r>
      <w:r w:rsidR="00991C3F" w:rsidRPr="00D869E3">
        <w:rPr>
          <w:rFonts w:ascii="Verdana" w:hAnsi="Verdana"/>
          <w:sz w:val="20"/>
          <w:szCs w:val="20"/>
          <w:lang w:val="en-US"/>
        </w:rPr>
        <w:t>However, the Court has noted that, in all the instance</w:t>
      </w:r>
      <w:r w:rsidR="00D329A8" w:rsidRPr="00D869E3">
        <w:rPr>
          <w:rFonts w:ascii="Verdana" w:hAnsi="Verdana"/>
          <w:sz w:val="20"/>
          <w:szCs w:val="20"/>
          <w:lang w:val="en-US"/>
        </w:rPr>
        <w:t>s</w:t>
      </w:r>
      <w:r w:rsidR="00991C3F" w:rsidRPr="00D869E3">
        <w:rPr>
          <w:rFonts w:ascii="Verdana" w:hAnsi="Verdana"/>
          <w:sz w:val="20"/>
          <w:szCs w:val="20"/>
          <w:lang w:val="en-US"/>
        </w:rPr>
        <w:t xml:space="preserve">, both at the domestic level and </w:t>
      </w:r>
      <w:r w:rsidR="00966115" w:rsidRPr="00D869E3">
        <w:rPr>
          <w:rFonts w:ascii="Verdana" w:hAnsi="Verdana"/>
          <w:sz w:val="20"/>
          <w:szCs w:val="20"/>
          <w:lang w:val="en-US"/>
        </w:rPr>
        <w:t>before the</w:t>
      </w:r>
      <w:r w:rsidR="00447C65" w:rsidRPr="00D869E3">
        <w:rPr>
          <w:rFonts w:ascii="Verdana" w:hAnsi="Verdana"/>
          <w:sz w:val="20"/>
          <w:szCs w:val="20"/>
          <w:lang w:val="en-US"/>
        </w:rPr>
        <w:t xml:space="preserve"> Commission</w:t>
      </w:r>
      <w:r w:rsidR="00E41369" w:rsidRPr="00D869E3">
        <w:rPr>
          <w:rFonts w:ascii="Verdana" w:hAnsi="Verdana"/>
          <w:sz w:val="20"/>
          <w:szCs w:val="20"/>
          <w:lang w:val="en-US"/>
        </w:rPr>
        <w:t>,</w:t>
      </w:r>
      <w:r w:rsidR="00991C3F" w:rsidRPr="00D869E3">
        <w:rPr>
          <w:rFonts w:ascii="Verdana" w:hAnsi="Verdana"/>
          <w:sz w:val="20"/>
          <w:szCs w:val="20"/>
          <w:lang w:val="en-US"/>
        </w:rPr>
        <w:t xml:space="preserve"> the presumed victim</w:t>
      </w:r>
      <w:r w:rsidR="0088700B" w:rsidRPr="00D869E3">
        <w:rPr>
          <w:rFonts w:ascii="Verdana" w:hAnsi="Verdana"/>
          <w:sz w:val="20"/>
          <w:szCs w:val="20"/>
          <w:lang w:val="en-US"/>
        </w:rPr>
        <w:t xml:space="preserve"> </w:t>
      </w:r>
      <w:r w:rsidR="00991C3F" w:rsidRPr="00D869E3">
        <w:rPr>
          <w:rFonts w:ascii="Verdana" w:hAnsi="Verdana"/>
          <w:sz w:val="20"/>
          <w:szCs w:val="20"/>
          <w:lang w:val="en-US"/>
        </w:rPr>
        <w:t xml:space="preserve">repeatedly alleged that his labor rights had been violated, in particular </w:t>
      </w:r>
      <w:r w:rsidR="00D329A8" w:rsidRPr="00D869E3">
        <w:rPr>
          <w:rFonts w:ascii="Verdana" w:hAnsi="Verdana"/>
          <w:sz w:val="20"/>
          <w:szCs w:val="20"/>
          <w:lang w:val="en-US"/>
        </w:rPr>
        <w:t xml:space="preserve">his right </w:t>
      </w:r>
      <w:r w:rsidR="00991C3F" w:rsidRPr="00D869E3">
        <w:rPr>
          <w:rFonts w:ascii="Verdana" w:hAnsi="Verdana"/>
          <w:sz w:val="20"/>
          <w:szCs w:val="20"/>
          <w:lang w:val="en-US"/>
        </w:rPr>
        <w:t xml:space="preserve">to </w:t>
      </w:r>
      <w:r w:rsidR="00731ADA" w:rsidRPr="00D869E3">
        <w:rPr>
          <w:rFonts w:ascii="Verdana" w:hAnsi="Verdana"/>
          <w:sz w:val="20"/>
          <w:szCs w:val="20"/>
          <w:lang w:val="en-US"/>
        </w:rPr>
        <w:t>job security</w:t>
      </w:r>
      <w:r w:rsidR="0088700B" w:rsidRPr="00D869E3">
        <w:rPr>
          <w:rFonts w:ascii="Verdana" w:hAnsi="Verdana"/>
          <w:sz w:val="20"/>
          <w:szCs w:val="20"/>
          <w:lang w:val="en-US"/>
        </w:rPr>
        <w:t xml:space="preserve">, </w:t>
      </w:r>
      <w:r w:rsidR="00991C3F" w:rsidRPr="00D869E3">
        <w:rPr>
          <w:rFonts w:ascii="Verdana" w:hAnsi="Verdana"/>
          <w:sz w:val="20"/>
          <w:szCs w:val="20"/>
          <w:lang w:val="en-US"/>
        </w:rPr>
        <w:t>and also the consequences of the dismissal</w:t>
      </w:r>
      <w:r w:rsidR="0088700B" w:rsidRPr="00D869E3">
        <w:rPr>
          <w:rFonts w:ascii="Verdana" w:hAnsi="Verdana"/>
          <w:sz w:val="20"/>
          <w:szCs w:val="20"/>
          <w:lang w:val="en-US"/>
        </w:rPr>
        <w:t xml:space="preserve">. </w:t>
      </w:r>
      <w:r w:rsidR="00D329A8" w:rsidRPr="00D869E3">
        <w:rPr>
          <w:rFonts w:ascii="Verdana" w:hAnsi="Verdana"/>
          <w:sz w:val="20"/>
          <w:szCs w:val="20"/>
          <w:lang w:val="en-US"/>
        </w:rPr>
        <w:t>For instance:</w:t>
      </w:r>
      <w:r w:rsidR="0088700B" w:rsidRPr="00D869E3">
        <w:rPr>
          <w:rStyle w:val="Refdenotaalpie"/>
          <w:szCs w:val="20"/>
          <w:lang w:val="en-US"/>
        </w:rPr>
        <w:footnoteReference w:id="170"/>
      </w:r>
      <w:r w:rsidR="0088700B" w:rsidRPr="00D869E3">
        <w:rPr>
          <w:rFonts w:ascii="Verdana" w:hAnsi="Verdana"/>
          <w:sz w:val="20"/>
          <w:szCs w:val="20"/>
          <w:lang w:val="en-US"/>
        </w:rPr>
        <w:t xml:space="preserve"> </w:t>
      </w:r>
    </w:p>
    <w:p w14:paraId="2576366C" w14:textId="77777777" w:rsidR="0088700B" w:rsidRPr="00D869E3" w:rsidRDefault="0088700B" w:rsidP="0088700B">
      <w:pPr>
        <w:jc w:val="both"/>
        <w:rPr>
          <w:rFonts w:ascii="Verdana" w:hAnsi="Verdana"/>
          <w:sz w:val="18"/>
          <w:szCs w:val="20"/>
          <w:lang w:val="en-US"/>
        </w:rPr>
      </w:pPr>
    </w:p>
    <w:p w14:paraId="40F800AE" w14:textId="4665155B" w:rsidR="00417290" w:rsidRPr="00D869E3" w:rsidRDefault="00DF2008" w:rsidP="00E66DD7">
      <w:pPr>
        <w:pStyle w:val="Prrafodelista"/>
        <w:numPr>
          <w:ilvl w:val="2"/>
          <w:numId w:val="21"/>
        </w:numPr>
        <w:ind w:left="851" w:firstLine="0"/>
        <w:jc w:val="both"/>
        <w:rPr>
          <w:rFonts w:ascii="Verdana" w:hAnsi="Verdana"/>
          <w:b/>
          <w:sz w:val="18"/>
          <w:szCs w:val="18"/>
          <w:lang w:val="en-US"/>
        </w:rPr>
      </w:pPr>
      <w:r w:rsidRPr="00D869E3">
        <w:rPr>
          <w:rFonts w:ascii="Verdana" w:hAnsi="Verdana"/>
          <w:sz w:val="18"/>
          <w:szCs w:val="20"/>
          <w:lang w:val="en-US"/>
        </w:rPr>
        <w:t>In a communication</w:t>
      </w:r>
      <w:r w:rsidR="0088700B" w:rsidRPr="00D869E3">
        <w:rPr>
          <w:rFonts w:ascii="Verdana" w:hAnsi="Verdana"/>
          <w:sz w:val="18"/>
          <w:szCs w:val="20"/>
          <w:lang w:val="en-US"/>
        </w:rPr>
        <w:t xml:space="preserve"> </w:t>
      </w:r>
      <w:r w:rsidR="00414544" w:rsidRPr="00D869E3">
        <w:rPr>
          <w:rFonts w:ascii="Verdana" w:hAnsi="Verdana"/>
          <w:sz w:val="18"/>
          <w:szCs w:val="20"/>
          <w:lang w:val="en-US"/>
        </w:rPr>
        <w:t>of October 13,</w:t>
      </w:r>
      <w:r w:rsidR="0088700B" w:rsidRPr="00D869E3">
        <w:rPr>
          <w:rFonts w:ascii="Verdana" w:hAnsi="Verdana"/>
          <w:sz w:val="18"/>
          <w:szCs w:val="20"/>
          <w:lang w:val="en-US"/>
        </w:rPr>
        <w:t xml:space="preserve"> 1993, </w:t>
      </w:r>
      <w:r w:rsidR="00414544" w:rsidRPr="00D869E3">
        <w:rPr>
          <w:rFonts w:ascii="Verdana" w:hAnsi="Verdana"/>
          <w:sz w:val="18"/>
          <w:szCs w:val="20"/>
          <w:lang w:val="en-US"/>
        </w:rPr>
        <w:t>addressed to the</w:t>
      </w:r>
      <w:r w:rsidR="0088700B" w:rsidRPr="00D869E3">
        <w:rPr>
          <w:rFonts w:ascii="Verdana" w:hAnsi="Verdana"/>
          <w:sz w:val="18"/>
          <w:szCs w:val="20"/>
          <w:lang w:val="en-US"/>
        </w:rPr>
        <w:t xml:space="preserve"> </w:t>
      </w:r>
      <w:r w:rsidR="00447C65" w:rsidRPr="00D869E3">
        <w:rPr>
          <w:rFonts w:ascii="Verdana" w:hAnsi="Verdana"/>
          <w:sz w:val="18"/>
          <w:szCs w:val="20"/>
          <w:lang w:val="en-US"/>
        </w:rPr>
        <w:t>President of the Inter-American Commission</w:t>
      </w:r>
      <w:r w:rsidR="0088700B" w:rsidRPr="00D869E3">
        <w:rPr>
          <w:rFonts w:ascii="Verdana" w:hAnsi="Verdana"/>
          <w:sz w:val="18"/>
          <w:szCs w:val="20"/>
          <w:lang w:val="en-US"/>
        </w:rPr>
        <w:t xml:space="preserve">, </w:t>
      </w:r>
      <w:r w:rsidR="00414544" w:rsidRPr="00D869E3">
        <w:rPr>
          <w:rFonts w:ascii="Verdana" w:hAnsi="Verdana"/>
          <w:sz w:val="18"/>
          <w:szCs w:val="20"/>
          <w:lang w:val="en-US"/>
        </w:rPr>
        <w:t xml:space="preserve">and received in the OAS offices in Peru on </w:t>
      </w:r>
      <w:r w:rsidR="00937F08" w:rsidRPr="00D869E3">
        <w:rPr>
          <w:rFonts w:ascii="Verdana" w:hAnsi="Verdana"/>
          <w:sz w:val="18"/>
          <w:szCs w:val="20"/>
          <w:lang w:val="en-US"/>
        </w:rPr>
        <w:t>O</w:t>
      </w:r>
      <w:r w:rsidR="00414544" w:rsidRPr="00D869E3">
        <w:rPr>
          <w:rFonts w:ascii="Verdana" w:hAnsi="Verdana"/>
          <w:sz w:val="18"/>
          <w:szCs w:val="20"/>
          <w:lang w:val="en-US"/>
        </w:rPr>
        <w:t xml:space="preserve">ctober 14, </w:t>
      </w:r>
      <w:r w:rsidR="0088700B" w:rsidRPr="00D869E3">
        <w:rPr>
          <w:rFonts w:ascii="Verdana" w:hAnsi="Verdana"/>
          <w:sz w:val="18"/>
          <w:szCs w:val="20"/>
          <w:lang w:val="en-US"/>
        </w:rPr>
        <w:t xml:space="preserve">1993, </w:t>
      </w:r>
      <w:r w:rsidR="001E44D3" w:rsidRPr="00D869E3">
        <w:rPr>
          <w:rFonts w:ascii="Verdana" w:hAnsi="Verdana"/>
          <w:sz w:val="18"/>
          <w:szCs w:val="20"/>
          <w:lang w:val="en-US"/>
        </w:rPr>
        <w:t>Mr. Lagos del Campo</w:t>
      </w:r>
      <w:r w:rsidR="0088700B" w:rsidRPr="00D869E3">
        <w:rPr>
          <w:rFonts w:ascii="Verdana" w:hAnsi="Verdana"/>
          <w:sz w:val="18"/>
          <w:szCs w:val="20"/>
          <w:lang w:val="en-US"/>
        </w:rPr>
        <w:t xml:space="preserve"> </w:t>
      </w:r>
      <w:r w:rsidR="00414544" w:rsidRPr="00D869E3">
        <w:rPr>
          <w:rFonts w:ascii="Verdana" w:hAnsi="Verdana"/>
          <w:sz w:val="18"/>
          <w:szCs w:val="20"/>
          <w:lang w:val="en-US"/>
        </w:rPr>
        <w:t xml:space="preserve">stated that, </w:t>
      </w:r>
      <w:r w:rsidR="00417290" w:rsidRPr="00D869E3">
        <w:rPr>
          <w:rFonts w:ascii="Verdana" w:hAnsi="Verdana"/>
          <w:sz w:val="18"/>
          <w:szCs w:val="20"/>
          <w:lang w:val="en-US"/>
        </w:rPr>
        <w:t xml:space="preserve">in the judgment delivered by </w:t>
      </w:r>
      <w:r w:rsidR="003506CC" w:rsidRPr="00D869E3">
        <w:rPr>
          <w:rFonts w:ascii="Verdana" w:hAnsi="Verdana"/>
          <w:sz w:val="18"/>
          <w:szCs w:val="20"/>
          <w:lang w:val="en-US"/>
        </w:rPr>
        <w:t xml:space="preserve">the </w:t>
      </w:r>
      <w:r w:rsidR="00966115" w:rsidRPr="00D869E3">
        <w:rPr>
          <w:rFonts w:ascii="Verdana" w:hAnsi="Verdana"/>
          <w:sz w:val="18"/>
          <w:szCs w:val="20"/>
          <w:lang w:val="en-US"/>
        </w:rPr>
        <w:t>Second Labor Court</w:t>
      </w:r>
      <w:r w:rsidR="0088700B" w:rsidRPr="00D869E3">
        <w:rPr>
          <w:rFonts w:ascii="Verdana" w:hAnsi="Verdana"/>
          <w:sz w:val="18"/>
          <w:szCs w:val="20"/>
          <w:lang w:val="en-US"/>
        </w:rPr>
        <w:t xml:space="preserve"> </w:t>
      </w:r>
      <w:r w:rsidR="006436CA" w:rsidRPr="00D869E3">
        <w:rPr>
          <w:rFonts w:ascii="Verdana" w:hAnsi="Verdana"/>
          <w:sz w:val="18"/>
          <w:szCs w:val="20"/>
          <w:lang w:val="en-US"/>
        </w:rPr>
        <w:t>“</w:t>
      </w:r>
      <w:r w:rsidR="0088700B" w:rsidRPr="00D869E3">
        <w:rPr>
          <w:rFonts w:ascii="Verdana" w:hAnsi="Verdana"/>
          <w:sz w:val="18"/>
          <w:szCs w:val="20"/>
          <w:lang w:val="en-US"/>
        </w:rPr>
        <w:t>[</w:t>
      </w:r>
      <w:r w:rsidR="00417290" w:rsidRPr="00D869E3">
        <w:rPr>
          <w:rFonts w:ascii="Verdana" w:hAnsi="Verdana"/>
          <w:sz w:val="18"/>
          <w:szCs w:val="20"/>
          <w:lang w:val="en-US"/>
        </w:rPr>
        <w:t>there were</w:t>
      </w:r>
      <w:r w:rsidR="0088700B" w:rsidRPr="00D869E3">
        <w:rPr>
          <w:rFonts w:ascii="Verdana" w:hAnsi="Verdana"/>
          <w:sz w:val="18"/>
          <w:szCs w:val="20"/>
          <w:lang w:val="en-US"/>
        </w:rPr>
        <w:t xml:space="preserve">] </w:t>
      </w:r>
      <w:r w:rsidR="00417290" w:rsidRPr="00D869E3">
        <w:rPr>
          <w:rFonts w:ascii="Verdana" w:hAnsi="Verdana"/>
          <w:sz w:val="18"/>
          <w:szCs w:val="20"/>
          <w:lang w:val="en-US"/>
        </w:rPr>
        <w:t xml:space="preserve">procedural irregularities that </w:t>
      </w:r>
      <w:r w:rsidR="00D329A8" w:rsidRPr="00D869E3">
        <w:rPr>
          <w:rFonts w:ascii="Verdana" w:hAnsi="Verdana"/>
          <w:sz w:val="18"/>
          <w:szCs w:val="20"/>
          <w:lang w:val="en-US"/>
        </w:rPr>
        <w:t>infringed</w:t>
      </w:r>
      <w:r w:rsidR="00417290" w:rsidRPr="00D869E3">
        <w:rPr>
          <w:rFonts w:ascii="Verdana" w:hAnsi="Verdana"/>
          <w:sz w:val="18"/>
          <w:szCs w:val="20"/>
          <w:lang w:val="en-US"/>
        </w:rPr>
        <w:t xml:space="preserve"> [his] judicial protection, thus </w:t>
      </w:r>
      <w:r w:rsidR="00417290" w:rsidRPr="00D869E3">
        <w:rPr>
          <w:rFonts w:ascii="Verdana" w:hAnsi="Verdana"/>
          <w:sz w:val="18"/>
          <w:szCs w:val="18"/>
          <w:lang w:val="en-US"/>
        </w:rPr>
        <w:t>violating the provisions of [his] country’s Constitution that guarantee</w:t>
      </w:r>
      <w:r w:rsidR="00D329A8" w:rsidRPr="00D869E3">
        <w:rPr>
          <w:rFonts w:ascii="Verdana" w:hAnsi="Verdana"/>
          <w:sz w:val="18"/>
          <w:szCs w:val="18"/>
          <w:lang w:val="en-US"/>
        </w:rPr>
        <w:t>d</w:t>
      </w:r>
      <w:r w:rsidR="00417290" w:rsidRPr="00D869E3">
        <w:rPr>
          <w:rFonts w:ascii="Verdana" w:hAnsi="Verdana"/>
          <w:sz w:val="18"/>
          <w:szCs w:val="18"/>
          <w:lang w:val="en-US"/>
        </w:rPr>
        <w:t xml:space="preserve"> to every Peruvian citizen </w:t>
      </w:r>
      <w:r w:rsidR="00417290" w:rsidRPr="00D869E3">
        <w:rPr>
          <w:rFonts w:ascii="Verdana" w:hAnsi="Verdana"/>
          <w:i/>
          <w:iCs/>
          <w:sz w:val="18"/>
          <w:szCs w:val="18"/>
          <w:lang w:val="en-US"/>
        </w:rPr>
        <w:t xml:space="preserve">the right to due process of law and </w:t>
      </w:r>
      <w:r w:rsidR="00417290" w:rsidRPr="00D869E3">
        <w:rPr>
          <w:rFonts w:ascii="Verdana" w:hAnsi="Verdana"/>
          <w:b/>
          <w:bCs/>
          <w:i/>
          <w:iCs/>
          <w:sz w:val="18"/>
          <w:szCs w:val="18"/>
          <w:lang w:val="en-US"/>
        </w:rPr>
        <w:t xml:space="preserve">the right to work.” </w:t>
      </w:r>
      <w:r w:rsidR="00937F08" w:rsidRPr="00D869E3">
        <w:rPr>
          <w:rFonts w:ascii="Verdana" w:hAnsi="Verdana"/>
          <w:sz w:val="18"/>
          <w:szCs w:val="18"/>
          <w:lang w:val="en-US"/>
        </w:rPr>
        <w:t>In annex 1 to this communication, the petitioner clarified, among other matters, that his “</w:t>
      </w:r>
      <w:r w:rsidR="00937F08" w:rsidRPr="00D869E3">
        <w:rPr>
          <w:rFonts w:ascii="Verdana" w:hAnsi="Verdana"/>
          <w:b/>
          <w:bCs/>
          <w:i/>
          <w:iCs/>
          <w:sz w:val="18"/>
          <w:szCs w:val="18"/>
          <w:lang w:val="en-US"/>
        </w:rPr>
        <w:t>right to job s</w:t>
      </w:r>
      <w:r w:rsidR="00D329A8" w:rsidRPr="00D869E3">
        <w:rPr>
          <w:rFonts w:ascii="Verdana" w:hAnsi="Verdana"/>
          <w:b/>
          <w:bCs/>
          <w:i/>
          <w:iCs/>
          <w:sz w:val="18"/>
          <w:szCs w:val="18"/>
          <w:lang w:val="en-US"/>
        </w:rPr>
        <w:t>ecurit</w:t>
      </w:r>
      <w:r w:rsidR="00937F08" w:rsidRPr="00D869E3">
        <w:rPr>
          <w:rFonts w:ascii="Verdana" w:hAnsi="Verdana"/>
          <w:b/>
          <w:bCs/>
          <w:i/>
          <w:iCs/>
          <w:sz w:val="18"/>
          <w:szCs w:val="18"/>
          <w:lang w:val="en-US"/>
        </w:rPr>
        <w:t>y</w:t>
      </w:r>
      <w:r w:rsidR="00937F08" w:rsidRPr="00D869E3">
        <w:rPr>
          <w:rFonts w:ascii="Verdana" w:hAnsi="Verdana"/>
          <w:sz w:val="18"/>
          <w:szCs w:val="18"/>
          <w:lang w:val="en-US"/>
        </w:rPr>
        <w:t xml:space="preserve"> indicated in article 48 of the Constitution and articles 27 and 26 of the proposed new constitution” had been violated.”</w:t>
      </w:r>
      <w:r w:rsidR="00937F08" w:rsidRPr="00D869E3">
        <w:rPr>
          <w:rStyle w:val="Refdenotaalpie"/>
          <w:sz w:val="18"/>
          <w:szCs w:val="18"/>
          <w:lang w:val="en-US"/>
        </w:rPr>
        <w:footnoteReference w:id="171"/>
      </w:r>
    </w:p>
    <w:p w14:paraId="385F1219" w14:textId="77777777" w:rsidR="0088700B" w:rsidRPr="00D869E3" w:rsidRDefault="0088700B" w:rsidP="0088700B">
      <w:pPr>
        <w:pStyle w:val="Prrafodelista"/>
        <w:ind w:left="851"/>
        <w:jc w:val="both"/>
        <w:rPr>
          <w:rFonts w:ascii="Verdana" w:hAnsi="Verdana"/>
          <w:b/>
          <w:sz w:val="18"/>
          <w:szCs w:val="20"/>
          <w:lang w:val="en-US"/>
        </w:rPr>
      </w:pPr>
    </w:p>
    <w:p w14:paraId="32462CF6" w14:textId="09658B1B" w:rsidR="0088700B" w:rsidRPr="00D869E3" w:rsidRDefault="00DF2008" w:rsidP="00F9732F">
      <w:pPr>
        <w:pStyle w:val="Prrafodelista"/>
        <w:numPr>
          <w:ilvl w:val="2"/>
          <w:numId w:val="21"/>
        </w:numPr>
        <w:ind w:left="851" w:firstLine="0"/>
        <w:jc w:val="both"/>
        <w:rPr>
          <w:rFonts w:ascii="Verdana" w:hAnsi="Verdana"/>
          <w:b/>
          <w:sz w:val="18"/>
          <w:szCs w:val="20"/>
          <w:lang w:val="en-US"/>
        </w:rPr>
      </w:pPr>
      <w:r w:rsidRPr="00D869E3">
        <w:rPr>
          <w:rFonts w:ascii="Verdana" w:hAnsi="Verdana"/>
          <w:sz w:val="18"/>
          <w:szCs w:val="20"/>
          <w:lang w:val="en-US"/>
        </w:rPr>
        <w:t>In a communication</w:t>
      </w:r>
      <w:r w:rsidR="0088700B" w:rsidRPr="00D869E3">
        <w:rPr>
          <w:rFonts w:ascii="Verdana" w:hAnsi="Verdana"/>
          <w:sz w:val="18"/>
          <w:szCs w:val="20"/>
          <w:lang w:val="en-US"/>
        </w:rPr>
        <w:t xml:space="preserve"> </w:t>
      </w:r>
      <w:r w:rsidR="00D329A8" w:rsidRPr="00D869E3">
        <w:rPr>
          <w:rFonts w:ascii="Verdana" w:hAnsi="Verdana"/>
          <w:sz w:val="18"/>
          <w:szCs w:val="20"/>
          <w:lang w:val="en-US"/>
        </w:rPr>
        <w:t>dated</w:t>
      </w:r>
      <w:r w:rsidR="00937F08" w:rsidRPr="00D869E3">
        <w:rPr>
          <w:rFonts w:ascii="Verdana" w:hAnsi="Verdana"/>
          <w:sz w:val="18"/>
          <w:szCs w:val="20"/>
          <w:lang w:val="en-US"/>
        </w:rPr>
        <w:t xml:space="preserve"> September 30,</w:t>
      </w:r>
      <w:r w:rsidR="0088700B" w:rsidRPr="00D869E3">
        <w:rPr>
          <w:rFonts w:ascii="Verdana" w:hAnsi="Verdana"/>
          <w:sz w:val="18"/>
          <w:szCs w:val="20"/>
          <w:lang w:val="en-US"/>
        </w:rPr>
        <w:t xml:space="preserve"> 1994, </w:t>
      </w:r>
      <w:r w:rsidR="00D329A8" w:rsidRPr="00D869E3">
        <w:rPr>
          <w:rFonts w:ascii="Verdana" w:hAnsi="Verdana"/>
          <w:sz w:val="18"/>
          <w:szCs w:val="20"/>
          <w:lang w:val="en-US"/>
        </w:rPr>
        <w:t xml:space="preserve">addressed to the Inter-American Commission </w:t>
      </w:r>
      <w:r w:rsidR="00937F08" w:rsidRPr="00D869E3">
        <w:rPr>
          <w:rFonts w:ascii="Verdana" w:hAnsi="Verdana"/>
          <w:sz w:val="18"/>
          <w:szCs w:val="20"/>
          <w:lang w:val="en-US"/>
        </w:rPr>
        <w:t>and received in the OAS offices in Peru on October 4,</w:t>
      </w:r>
      <w:r w:rsidR="0088700B" w:rsidRPr="00D869E3">
        <w:rPr>
          <w:rFonts w:ascii="Verdana" w:hAnsi="Verdana"/>
          <w:sz w:val="18"/>
          <w:szCs w:val="20"/>
          <w:lang w:val="en-US"/>
        </w:rPr>
        <w:t xml:space="preserve"> 1994, </w:t>
      </w:r>
      <w:r w:rsidR="00937F08" w:rsidRPr="00D869E3">
        <w:rPr>
          <w:rFonts w:ascii="Verdana" w:hAnsi="Verdana"/>
          <w:sz w:val="18"/>
          <w:szCs w:val="20"/>
          <w:lang w:val="en-US"/>
        </w:rPr>
        <w:t xml:space="preserve">the petitioner stated </w:t>
      </w:r>
      <w:r w:rsidR="00F9732F" w:rsidRPr="00D869E3">
        <w:rPr>
          <w:rFonts w:ascii="Verdana" w:hAnsi="Verdana"/>
          <w:sz w:val="18"/>
          <w:szCs w:val="20"/>
          <w:lang w:val="en-US"/>
        </w:rPr>
        <w:t xml:space="preserve">that “the violation of [his] constitutional and human rights, such as </w:t>
      </w:r>
      <w:r w:rsidR="000B2E5E" w:rsidRPr="00D869E3">
        <w:rPr>
          <w:rFonts w:ascii="Verdana" w:hAnsi="Verdana"/>
          <w:i/>
          <w:sz w:val="18"/>
          <w:szCs w:val="20"/>
          <w:lang w:val="en-US"/>
        </w:rPr>
        <w:t>the right to</w:t>
      </w:r>
      <w:r w:rsidR="00F9732F" w:rsidRPr="00D869E3">
        <w:rPr>
          <w:rFonts w:ascii="Verdana" w:hAnsi="Verdana"/>
          <w:i/>
          <w:sz w:val="18"/>
          <w:szCs w:val="20"/>
          <w:lang w:val="en-US"/>
        </w:rPr>
        <w:t xml:space="preserve"> a fair trial and </w:t>
      </w:r>
      <w:r w:rsidR="00F9732F" w:rsidRPr="00D869E3">
        <w:rPr>
          <w:rFonts w:ascii="Verdana" w:hAnsi="Verdana"/>
          <w:b/>
          <w:bCs/>
          <w:i/>
          <w:sz w:val="18"/>
          <w:szCs w:val="20"/>
          <w:lang w:val="en-US"/>
        </w:rPr>
        <w:lastRenderedPageBreak/>
        <w:t>the right to work</w:t>
      </w:r>
      <w:r w:rsidR="0088700B" w:rsidRPr="00D869E3">
        <w:rPr>
          <w:rFonts w:ascii="Verdana" w:hAnsi="Verdana"/>
          <w:b/>
          <w:bCs/>
          <w:i/>
          <w:sz w:val="18"/>
          <w:szCs w:val="20"/>
          <w:lang w:val="en-US"/>
        </w:rPr>
        <w:t xml:space="preserve"> </w:t>
      </w:r>
      <w:r w:rsidR="00F9732F" w:rsidRPr="00D869E3">
        <w:rPr>
          <w:rFonts w:ascii="Verdana" w:hAnsi="Verdana"/>
          <w:sz w:val="18"/>
          <w:szCs w:val="20"/>
          <w:lang w:val="en-US"/>
        </w:rPr>
        <w:t xml:space="preserve">that the senior authorities of [his] country were aware of, [and] up until [then] there [had not been] any judicial action or </w:t>
      </w:r>
      <w:r w:rsidR="00BC22FA" w:rsidRPr="00D869E3">
        <w:rPr>
          <w:rFonts w:ascii="Verdana" w:hAnsi="Verdana"/>
          <w:sz w:val="18"/>
          <w:szCs w:val="20"/>
          <w:lang w:val="en-US"/>
        </w:rPr>
        <w:t>justice</w:t>
      </w:r>
      <w:r w:rsidR="00F9732F" w:rsidRPr="00D869E3">
        <w:rPr>
          <w:rFonts w:ascii="Verdana" w:hAnsi="Verdana"/>
          <w:sz w:val="18"/>
          <w:szCs w:val="20"/>
          <w:lang w:val="en-US"/>
        </w:rPr>
        <w:t xml:space="preserve"> </w:t>
      </w:r>
      <w:r w:rsidR="0088700B" w:rsidRPr="00D869E3">
        <w:rPr>
          <w:rFonts w:ascii="Verdana" w:hAnsi="Verdana"/>
          <w:sz w:val="18"/>
          <w:szCs w:val="20"/>
          <w:lang w:val="en-US"/>
        </w:rPr>
        <w:t>[…]</w:t>
      </w:r>
      <w:r w:rsidR="00F9732F" w:rsidRPr="00D869E3">
        <w:rPr>
          <w:rFonts w:ascii="Verdana" w:hAnsi="Verdana"/>
          <w:sz w:val="18"/>
          <w:szCs w:val="20"/>
          <w:lang w:val="en-US"/>
        </w:rPr>
        <w:t>.</w:t>
      </w:r>
      <w:r w:rsidR="006436CA" w:rsidRPr="00D869E3">
        <w:rPr>
          <w:rFonts w:ascii="Verdana" w:hAnsi="Verdana"/>
          <w:sz w:val="18"/>
          <w:szCs w:val="20"/>
          <w:lang w:val="en-US"/>
        </w:rPr>
        <w:t>”</w:t>
      </w:r>
      <w:r w:rsidR="0088700B" w:rsidRPr="00D869E3">
        <w:rPr>
          <w:rStyle w:val="Refdenotaalpie"/>
          <w:sz w:val="18"/>
          <w:szCs w:val="20"/>
          <w:lang w:val="en-US"/>
        </w:rPr>
        <w:footnoteReference w:id="172"/>
      </w:r>
    </w:p>
    <w:p w14:paraId="4937B814" w14:textId="77777777" w:rsidR="0088700B" w:rsidRPr="00D869E3" w:rsidRDefault="0088700B" w:rsidP="0088700B">
      <w:pPr>
        <w:ind w:left="851"/>
        <w:jc w:val="both"/>
        <w:rPr>
          <w:rFonts w:ascii="Verdana" w:hAnsi="Verdana"/>
          <w:b/>
          <w:sz w:val="18"/>
          <w:szCs w:val="20"/>
          <w:lang w:val="en-US"/>
        </w:rPr>
      </w:pPr>
    </w:p>
    <w:p w14:paraId="799DA184" w14:textId="25964DC5" w:rsidR="0088700B" w:rsidRPr="00D869E3" w:rsidRDefault="00DF2008" w:rsidP="00E66DD7">
      <w:pPr>
        <w:pStyle w:val="Prrafodelista"/>
        <w:numPr>
          <w:ilvl w:val="2"/>
          <w:numId w:val="21"/>
        </w:numPr>
        <w:ind w:left="851" w:firstLine="0"/>
        <w:jc w:val="both"/>
        <w:rPr>
          <w:rFonts w:ascii="Verdana" w:hAnsi="Verdana"/>
          <w:b/>
          <w:sz w:val="18"/>
          <w:szCs w:val="20"/>
          <w:lang w:val="en-US"/>
        </w:rPr>
      </w:pPr>
      <w:r w:rsidRPr="00D869E3">
        <w:rPr>
          <w:rFonts w:ascii="Verdana" w:hAnsi="Verdana"/>
          <w:sz w:val="18"/>
          <w:szCs w:val="20"/>
          <w:lang w:val="en-US"/>
        </w:rPr>
        <w:t>In a communication</w:t>
      </w:r>
      <w:r w:rsidR="0088700B" w:rsidRPr="00D869E3">
        <w:rPr>
          <w:rFonts w:ascii="Verdana" w:hAnsi="Verdana"/>
          <w:sz w:val="18"/>
          <w:szCs w:val="20"/>
          <w:lang w:val="en-US"/>
        </w:rPr>
        <w:t xml:space="preserve"> </w:t>
      </w:r>
      <w:r w:rsidR="00F9732F" w:rsidRPr="00D869E3">
        <w:rPr>
          <w:rFonts w:ascii="Verdana" w:hAnsi="Verdana"/>
          <w:sz w:val="18"/>
          <w:szCs w:val="20"/>
          <w:lang w:val="en-US"/>
        </w:rPr>
        <w:t>of the</w:t>
      </w:r>
      <w:r w:rsidR="0088700B" w:rsidRPr="00D869E3">
        <w:rPr>
          <w:rFonts w:ascii="Verdana" w:hAnsi="Verdana"/>
          <w:sz w:val="18"/>
          <w:szCs w:val="20"/>
          <w:lang w:val="en-US"/>
        </w:rPr>
        <w:t xml:space="preserve"> </w:t>
      </w:r>
      <w:r w:rsidR="00F9732F" w:rsidRPr="00D869E3">
        <w:rPr>
          <w:rFonts w:ascii="Verdana" w:hAnsi="Verdana"/>
          <w:sz w:val="18"/>
          <w:szCs w:val="20"/>
          <w:lang w:val="en-US"/>
        </w:rPr>
        <w:t xml:space="preserve">Workers’ </w:t>
      </w:r>
      <w:r w:rsidR="0088700B" w:rsidRPr="00D869E3">
        <w:rPr>
          <w:rFonts w:ascii="Verdana" w:hAnsi="Verdana"/>
          <w:sz w:val="18"/>
          <w:szCs w:val="20"/>
          <w:lang w:val="en-US"/>
        </w:rPr>
        <w:t>Federa</w:t>
      </w:r>
      <w:r w:rsidR="00F9732F" w:rsidRPr="00D869E3">
        <w:rPr>
          <w:rFonts w:ascii="Verdana" w:hAnsi="Verdana"/>
          <w:sz w:val="18"/>
          <w:szCs w:val="20"/>
          <w:lang w:val="en-US"/>
        </w:rPr>
        <w:t xml:space="preserve">tion of the Metallurgical Industry of Peru </w:t>
      </w:r>
      <w:r w:rsidR="0088700B" w:rsidRPr="00D869E3">
        <w:rPr>
          <w:rFonts w:ascii="Verdana" w:hAnsi="Verdana"/>
          <w:sz w:val="18"/>
          <w:szCs w:val="20"/>
          <w:lang w:val="en-US"/>
        </w:rPr>
        <w:t xml:space="preserve">(FETIMP) </w:t>
      </w:r>
      <w:r w:rsidR="00F9732F" w:rsidRPr="00D869E3">
        <w:rPr>
          <w:rFonts w:ascii="Verdana" w:hAnsi="Verdana"/>
          <w:sz w:val="18"/>
          <w:szCs w:val="20"/>
          <w:lang w:val="en-US"/>
        </w:rPr>
        <w:t>on behalf</w:t>
      </w:r>
      <w:r w:rsidR="0088700B" w:rsidRPr="00D869E3">
        <w:rPr>
          <w:rFonts w:ascii="Verdana" w:hAnsi="Verdana"/>
          <w:sz w:val="18"/>
          <w:szCs w:val="20"/>
          <w:lang w:val="en-US"/>
        </w:rPr>
        <w:t xml:space="preserve"> </w:t>
      </w:r>
      <w:r w:rsidR="00E6309B" w:rsidRPr="00D869E3">
        <w:rPr>
          <w:rFonts w:ascii="Verdana" w:hAnsi="Verdana"/>
          <w:sz w:val="18"/>
          <w:szCs w:val="20"/>
          <w:lang w:val="en-US"/>
        </w:rPr>
        <w:t>of Mr.</w:t>
      </w:r>
      <w:r w:rsidR="001E44D3" w:rsidRPr="00D869E3">
        <w:rPr>
          <w:rFonts w:ascii="Verdana" w:hAnsi="Verdana"/>
          <w:sz w:val="18"/>
          <w:szCs w:val="20"/>
          <w:lang w:val="en-US"/>
        </w:rPr>
        <w:t xml:space="preserve"> Lagos del Campo</w:t>
      </w:r>
      <w:r w:rsidR="0088700B" w:rsidRPr="00D869E3">
        <w:rPr>
          <w:rFonts w:ascii="Verdana" w:hAnsi="Verdana"/>
          <w:sz w:val="18"/>
          <w:szCs w:val="20"/>
          <w:lang w:val="en-US"/>
        </w:rPr>
        <w:t xml:space="preserve">, </w:t>
      </w:r>
      <w:r w:rsidR="00F9732F" w:rsidRPr="00D869E3">
        <w:rPr>
          <w:rFonts w:ascii="Verdana" w:hAnsi="Verdana"/>
          <w:sz w:val="18"/>
          <w:szCs w:val="20"/>
          <w:lang w:val="en-US"/>
        </w:rPr>
        <w:t>addressed to the</w:t>
      </w:r>
      <w:r w:rsidR="0088700B" w:rsidRPr="00D869E3">
        <w:rPr>
          <w:rFonts w:ascii="Verdana" w:hAnsi="Verdana"/>
          <w:sz w:val="18"/>
          <w:szCs w:val="20"/>
          <w:lang w:val="en-US"/>
        </w:rPr>
        <w:t xml:space="preserve"> </w:t>
      </w:r>
      <w:r w:rsidR="00447C65" w:rsidRPr="00D869E3">
        <w:rPr>
          <w:rFonts w:ascii="Verdana" w:hAnsi="Verdana"/>
          <w:sz w:val="18"/>
          <w:szCs w:val="20"/>
          <w:lang w:val="en-US"/>
        </w:rPr>
        <w:t>President of the Inter-American Commission</w:t>
      </w:r>
      <w:r w:rsidR="0088700B" w:rsidRPr="00D869E3">
        <w:rPr>
          <w:rFonts w:ascii="Verdana" w:hAnsi="Verdana"/>
          <w:sz w:val="18"/>
          <w:szCs w:val="20"/>
          <w:lang w:val="en-US"/>
        </w:rPr>
        <w:t xml:space="preserve"> </w:t>
      </w:r>
      <w:r w:rsidR="00F9732F" w:rsidRPr="00D869E3">
        <w:rPr>
          <w:rFonts w:ascii="Verdana" w:hAnsi="Verdana"/>
          <w:sz w:val="18"/>
          <w:szCs w:val="20"/>
          <w:lang w:val="en-US"/>
        </w:rPr>
        <w:t>dated June 4,</w:t>
      </w:r>
      <w:r w:rsidR="0088700B" w:rsidRPr="00D869E3">
        <w:rPr>
          <w:rFonts w:ascii="Verdana" w:hAnsi="Verdana"/>
          <w:sz w:val="18"/>
          <w:szCs w:val="20"/>
          <w:lang w:val="en-US"/>
        </w:rPr>
        <w:t xml:space="preserve"> 1997</w:t>
      </w:r>
      <w:r w:rsidR="00F9732F" w:rsidRPr="00D869E3">
        <w:rPr>
          <w:rFonts w:ascii="Verdana" w:hAnsi="Verdana"/>
          <w:sz w:val="18"/>
          <w:szCs w:val="20"/>
          <w:lang w:val="en-US"/>
        </w:rPr>
        <w:t>,</w:t>
      </w:r>
      <w:r w:rsidR="00687684" w:rsidRPr="00D869E3">
        <w:rPr>
          <w:rFonts w:ascii="Verdana" w:hAnsi="Verdana"/>
          <w:sz w:val="18"/>
          <w:szCs w:val="20"/>
          <w:lang w:val="en-US"/>
        </w:rPr>
        <w:t xml:space="preserve"> and </w:t>
      </w:r>
      <w:r w:rsidR="00F9732F" w:rsidRPr="00D869E3">
        <w:rPr>
          <w:rFonts w:ascii="Verdana" w:hAnsi="Verdana"/>
          <w:sz w:val="18"/>
          <w:szCs w:val="20"/>
          <w:lang w:val="en-US"/>
        </w:rPr>
        <w:t>received by the Commission on</w:t>
      </w:r>
      <w:r w:rsidR="0088700B" w:rsidRPr="00D869E3">
        <w:rPr>
          <w:rFonts w:ascii="Verdana" w:hAnsi="Verdana"/>
          <w:sz w:val="18"/>
          <w:szCs w:val="20"/>
          <w:lang w:val="en-US"/>
        </w:rPr>
        <w:t xml:space="preserve"> </w:t>
      </w:r>
      <w:r w:rsidR="00687684" w:rsidRPr="00D869E3">
        <w:rPr>
          <w:rFonts w:ascii="Verdana" w:hAnsi="Verdana"/>
          <w:sz w:val="18"/>
          <w:szCs w:val="20"/>
          <w:lang w:val="en-US"/>
        </w:rPr>
        <w:t>August 5,</w:t>
      </w:r>
      <w:r w:rsidR="0088700B" w:rsidRPr="00D869E3">
        <w:rPr>
          <w:rFonts w:ascii="Verdana" w:hAnsi="Verdana"/>
          <w:sz w:val="18"/>
          <w:szCs w:val="20"/>
          <w:lang w:val="en-US"/>
        </w:rPr>
        <w:t xml:space="preserve"> 1998,</w:t>
      </w:r>
      <w:r w:rsidR="00F9732F" w:rsidRPr="00D869E3">
        <w:rPr>
          <w:rFonts w:ascii="Verdana" w:hAnsi="Verdana"/>
          <w:sz w:val="18"/>
          <w:szCs w:val="20"/>
          <w:lang w:val="en-US"/>
        </w:rPr>
        <w:t xml:space="preserve"> the Federation “describe[d] the case of the Peruvian citizen and member of [its] union organization, Mr.</w:t>
      </w:r>
      <w:r w:rsidR="0088700B" w:rsidRPr="00D869E3">
        <w:rPr>
          <w:rFonts w:ascii="Verdana" w:hAnsi="Verdana"/>
          <w:sz w:val="18"/>
          <w:szCs w:val="20"/>
          <w:lang w:val="en-US"/>
        </w:rPr>
        <w:t xml:space="preserve"> Lagos del Campo, </w:t>
      </w:r>
      <w:r w:rsidR="00F9732F" w:rsidRPr="00D869E3">
        <w:rPr>
          <w:rFonts w:ascii="Verdana" w:hAnsi="Verdana"/>
          <w:sz w:val="18"/>
          <w:szCs w:val="20"/>
          <w:lang w:val="en-US"/>
        </w:rPr>
        <w:t>who was</w:t>
      </w:r>
      <w:r w:rsidR="00E41369" w:rsidRPr="00D869E3">
        <w:rPr>
          <w:rFonts w:ascii="Verdana" w:hAnsi="Verdana"/>
          <w:sz w:val="18"/>
          <w:szCs w:val="20"/>
          <w:lang w:val="en-US"/>
        </w:rPr>
        <w:t xml:space="preserve"> […]</w:t>
      </w:r>
      <w:r w:rsidR="0088700B" w:rsidRPr="00D869E3">
        <w:rPr>
          <w:rFonts w:ascii="Verdana" w:hAnsi="Verdana"/>
          <w:sz w:val="18"/>
          <w:szCs w:val="20"/>
          <w:lang w:val="en-US"/>
        </w:rPr>
        <w:t xml:space="preserve"> </w:t>
      </w:r>
      <w:r w:rsidR="00F9732F" w:rsidRPr="00D869E3">
        <w:rPr>
          <w:rFonts w:ascii="Verdana" w:hAnsi="Verdana"/>
          <w:i/>
          <w:sz w:val="18"/>
          <w:szCs w:val="20"/>
          <w:lang w:val="en-US"/>
        </w:rPr>
        <w:t>u</w:t>
      </w:r>
      <w:r w:rsidR="0088700B" w:rsidRPr="00D869E3">
        <w:rPr>
          <w:rFonts w:ascii="Verdana" w:hAnsi="Verdana"/>
          <w:i/>
          <w:sz w:val="18"/>
          <w:szCs w:val="20"/>
          <w:lang w:val="en-US"/>
        </w:rPr>
        <w:t>njust</w:t>
      </w:r>
      <w:r w:rsidR="00F9732F" w:rsidRPr="00D869E3">
        <w:rPr>
          <w:rFonts w:ascii="Verdana" w:hAnsi="Verdana"/>
          <w:i/>
          <w:sz w:val="18"/>
          <w:szCs w:val="20"/>
          <w:lang w:val="en-US"/>
        </w:rPr>
        <w:t xml:space="preserve">ly dismissed from his workplace </w:t>
      </w:r>
      <w:r w:rsidR="00F9732F" w:rsidRPr="00D869E3">
        <w:rPr>
          <w:rFonts w:ascii="Verdana" w:hAnsi="Verdana"/>
          <w:sz w:val="18"/>
          <w:szCs w:val="20"/>
          <w:lang w:val="en-US"/>
        </w:rPr>
        <w:t>in</w:t>
      </w:r>
      <w:r w:rsidR="0088700B" w:rsidRPr="00D869E3">
        <w:rPr>
          <w:rFonts w:ascii="Verdana" w:hAnsi="Verdana"/>
          <w:sz w:val="18"/>
          <w:szCs w:val="20"/>
          <w:lang w:val="en-US"/>
        </w:rPr>
        <w:t xml:space="preserve"> CEPER PIRELLI, S.A. </w:t>
      </w:r>
      <w:r w:rsidR="00F9732F" w:rsidRPr="00D869E3">
        <w:rPr>
          <w:rFonts w:ascii="Verdana" w:hAnsi="Verdana"/>
          <w:sz w:val="18"/>
          <w:szCs w:val="20"/>
          <w:lang w:val="en-US"/>
        </w:rPr>
        <w:t>on</w:t>
      </w:r>
      <w:r w:rsidR="0088700B" w:rsidRPr="00D869E3">
        <w:rPr>
          <w:rFonts w:ascii="Verdana" w:hAnsi="Verdana"/>
          <w:sz w:val="18"/>
          <w:szCs w:val="20"/>
          <w:lang w:val="en-US"/>
        </w:rPr>
        <w:t xml:space="preserve"> </w:t>
      </w:r>
      <w:r w:rsidR="00852CCA" w:rsidRPr="00D869E3">
        <w:rPr>
          <w:rFonts w:ascii="Verdana" w:hAnsi="Verdana"/>
          <w:sz w:val="18"/>
          <w:szCs w:val="20"/>
          <w:lang w:val="en-US"/>
        </w:rPr>
        <w:t>June 26,</w:t>
      </w:r>
      <w:r w:rsidR="0088700B" w:rsidRPr="00D869E3">
        <w:rPr>
          <w:rFonts w:ascii="Verdana" w:hAnsi="Verdana"/>
          <w:sz w:val="18"/>
          <w:szCs w:val="20"/>
          <w:lang w:val="en-US"/>
        </w:rPr>
        <w:t xml:space="preserve"> 1989. </w:t>
      </w:r>
      <w:r w:rsidR="00F9732F" w:rsidRPr="00D869E3">
        <w:rPr>
          <w:rFonts w:ascii="Verdana" w:hAnsi="Verdana"/>
          <w:sz w:val="18"/>
          <w:szCs w:val="20"/>
          <w:lang w:val="en-US"/>
        </w:rPr>
        <w:t xml:space="preserve">He was a victim of poor administration of justice when he had recourse to the domestic courts and, is still demanding a response to application for amparo No. </w:t>
      </w:r>
      <w:r w:rsidR="0088700B" w:rsidRPr="00D869E3">
        <w:rPr>
          <w:rFonts w:ascii="Verdana" w:hAnsi="Verdana"/>
          <w:sz w:val="18"/>
          <w:szCs w:val="20"/>
          <w:lang w:val="en-US"/>
        </w:rPr>
        <w:t>2651-91</w:t>
      </w:r>
      <w:r w:rsidR="00F9732F" w:rsidRPr="00D869E3">
        <w:rPr>
          <w:rFonts w:ascii="Verdana" w:hAnsi="Verdana"/>
          <w:sz w:val="18"/>
          <w:szCs w:val="20"/>
          <w:lang w:val="en-US"/>
        </w:rPr>
        <w:t>.</w:t>
      </w:r>
      <w:r w:rsidR="006436CA" w:rsidRPr="00D869E3">
        <w:rPr>
          <w:rFonts w:ascii="Verdana" w:hAnsi="Verdana"/>
          <w:sz w:val="18"/>
          <w:szCs w:val="20"/>
          <w:lang w:val="en-US"/>
        </w:rPr>
        <w:t>”</w:t>
      </w:r>
      <w:r w:rsidR="0088700B" w:rsidRPr="00D869E3">
        <w:rPr>
          <w:rFonts w:ascii="Verdana" w:hAnsi="Verdana"/>
          <w:sz w:val="18"/>
          <w:szCs w:val="20"/>
          <w:lang w:val="en-US"/>
        </w:rPr>
        <w:t xml:space="preserve"> </w:t>
      </w:r>
      <w:r w:rsidR="00F9732F" w:rsidRPr="00D869E3">
        <w:rPr>
          <w:rFonts w:ascii="Verdana" w:hAnsi="Verdana"/>
          <w:sz w:val="18"/>
          <w:szCs w:val="20"/>
          <w:lang w:val="en-US"/>
        </w:rPr>
        <w:t xml:space="preserve">It also mentioned that, at that date, no answer had been received to the letter sent to </w:t>
      </w:r>
      <w:r w:rsidR="00447C65" w:rsidRPr="00D869E3">
        <w:rPr>
          <w:rFonts w:ascii="Verdana" w:hAnsi="Verdana"/>
          <w:sz w:val="18"/>
          <w:szCs w:val="20"/>
          <w:lang w:val="en-US"/>
        </w:rPr>
        <w:t>the Commission</w:t>
      </w:r>
      <w:r w:rsidR="0088700B" w:rsidRPr="00D869E3">
        <w:rPr>
          <w:rFonts w:ascii="Verdana" w:hAnsi="Verdana"/>
          <w:sz w:val="18"/>
          <w:szCs w:val="20"/>
          <w:lang w:val="en-US"/>
        </w:rPr>
        <w:t xml:space="preserve"> </w:t>
      </w:r>
      <w:r w:rsidR="00F9732F" w:rsidRPr="00D869E3">
        <w:rPr>
          <w:rFonts w:ascii="Verdana" w:hAnsi="Verdana"/>
          <w:sz w:val="18"/>
          <w:szCs w:val="20"/>
          <w:lang w:val="en-US"/>
        </w:rPr>
        <w:t>on October 14,</w:t>
      </w:r>
      <w:r w:rsidR="0088700B" w:rsidRPr="00D869E3">
        <w:rPr>
          <w:rFonts w:ascii="Verdana" w:hAnsi="Verdana"/>
          <w:sz w:val="18"/>
          <w:szCs w:val="20"/>
          <w:lang w:val="en-US"/>
        </w:rPr>
        <w:t xml:space="preserve"> 1993, </w:t>
      </w:r>
      <w:r w:rsidR="00B00B10" w:rsidRPr="00D869E3">
        <w:rPr>
          <w:rFonts w:ascii="Verdana" w:hAnsi="Verdana"/>
          <w:sz w:val="18"/>
          <w:szCs w:val="20"/>
          <w:lang w:val="en-US"/>
        </w:rPr>
        <w:t>through the OAS Office in</w:t>
      </w:r>
      <w:r w:rsidR="0088700B" w:rsidRPr="00D869E3">
        <w:rPr>
          <w:rFonts w:ascii="Verdana" w:hAnsi="Verdana"/>
          <w:sz w:val="18"/>
          <w:szCs w:val="20"/>
          <w:lang w:val="en-US"/>
        </w:rPr>
        <w:t xml:space="preserve"> Lima</w:t>
      </w:r>
      <w:r w:rsidR="00B00B10" w:rsidRPr="00D869E3">
        <w:rPr>
          <w:rFonts w:ascii="Verdana" w:hAnsi="Verdana"/>
          <w:sz w:val="18"/>
          <w:szCs w:val="20"/>
          <w:lang w:val="en-US"/>
        </w:rPr>
        <w:t>.</w:t>
      </w:r>
      <w:r w:rsidR="0088700B" w:rsidRPr="00D869E3">
        <w:rPr>
          <w:rStyle w:val="Refdenotaalpie"/>
          <w:sz w:val="18"/>
          <w:szCs w:val="20"/>
          <w:lang w:val="en-US"/>
        </w:rPr>
        <w:footnoteReference w:id="173"/>
      </w:r>
    </w:p>
    <w:p w14:paraId="2F4A4562" w14:textId="77777777" w:rsidR="0088700B" w:rsidRPr="00D869E3" w:rsidRDefault="0088700B" w:rsidP="0088700B">
      <w:pPr>
        <w:ind w:left="851"/>
        <w:jc w:val="both"/>
        <w:rPr>
          <w:rFonts w:ascii="Verdana" w:hAnsi="Verdana"/>
          <w:b/>
          <w:sz w:val="18"/>
          <w:szCs w:val="20"/>
          <w:lang w:val="en-US"/>
        </w:rPr>
      </w:pPr>
    </w:p>
    <w:p w14:paraId="4F5480D1" w14:textId="778DC2E2" w:rsidR="0088700B" w:rsidRPr="00D869E3" w:rsidRDefault="00B00B10" w:rsidP="00E66DD7">
      <w:pPr>
        <w:pStyle w:val="Prrafodelista"/>
        <w:numPr>
          <w:ilvl w:val="2"/>
          <w:numId w:val="21"/>
        </w:numPr>
        <w:ind w:left="851" w:firstLine="0"/>
        <w:jc w:val="both"/>
        <w:rPr>
          <w:rFonts w:ascii="Verdana" w:hAnsi="Verdana"/>
          <w:b/>
          <w:sz w:val="18"/>
          <w:szCs w:val="20"/>
          <w:lang w:val="en-US"/>
        </w:rPr>
      </w:pPr>
      <w:r w:rsidRPr="00D869E3">
        <w:rPr>
          <w:rFonts w:ascii="Verdana" w:hAnsi="Verdana"/>
          <w:sz w:val="18"/>
          <w:szCs w:val="20"/>
          <w:lang w:val="en-US"/>
        </w:rPr>
        <w:t>In a petition addressed to</w:t>
      </w:r>
      <w:r w:rsidR="0088700B" w:rsidRPr="00D869E3">
        <w:rPr>
          <w:rFonts w:ascii="Verdana" w:hAnsi="Verdana"/>
          <w:sz w:val="18"/>
          <w:szCs w:val="20"/>
          <w:lang w:val="en-US"/>
        </w:rPr>
        <w:t xml:space="preserve"> </w:t>
      </w:r>
      <w:r w:rsidR="00447C65" w:rsidRPr="00D869E3">
        <w:rPr>
          <w:rFonts w:ascii="Verdana" w:hAnsi="Verdana"/>
          <w:sz w:val="18"/>
          <w:szCs w:val="20"/>
          <w:lang w:val="en-US"/>
        </w:rPr>
        <w:t>the Commission</w:t>
      </w:r>
      <w:r w:rsidR="0088700B" w:rsidRPr="00D869E3">
        <w:rPr>
          <w:rFonts w:ascii="Verdana" w:hAnsi="Verdana"/>
          <w:sz w:val="18"/>
          <w:szCs w:val="20"/>
          <w:lang w:val="en-US"/>
        </w:rPr>
        <w:t xml:space="preserve"> </w:t>
      </w:r>
      <w:r w:rsidRPr="00D869E3">
        <w:rPr>
          <w:rFonts w:ascii="Verdana" w:hAnsi="Verdana"/>
          <w:sz w:val="18"/>
          <w:szCs w:val="20"/>
          <w:lang w:val="en-US"/>
        </w:rPr>
        <w:t>on June 30,</w:t>
      </w:r>
      <w:r w:rsidR="0088700B" w:rsidRPr="00D869E3">
        <w:rPr>
          <w:rFonts w:ascii="Verdana" w:hAnsi="Verdana"/>
          <w:sz w:val="18"/>
          <w:szCs w:val="20"/>
          <w:lang w:val="en-US"/>
        </w:rPr>
        <w:t xml:space="preserve"> 1997, </w:t>
      </w:r>
      <w:r w:rsidR="001E44D3" w:rsidRPr="00D869E3">
        <w:rPr>
          <w:rFonts w:ascii="Verdana" w:hAnsi="Verdana"/>
          <w:sz w:val="18"/>
          <w:szCs w:val="20"/>
          <w:lang w:val="en-US"/>
        </w:rPr>
        <w:t>Mr. Lagos del Campo</w:t>
      </w:r>
      <w:r w:rsidR="0088700B" w:rsidRPr="00D869E3">
        <w:rPr>
          <w:rFonts w:ascii="Verdana" w:hAnsi="Verdana"/>
          <w:sz w:val="18"/>
          <w:szCs w:val="20"/>
          <w:lang w:val="en-US"/>
        </w:rPr>
        <w:t xml:space="preserve"> </w:t>
      </w:r>
      <w:r w:rsidR="006436CA" w:rsidRPr="00D869E3">
        <w:rPr>
          <w:rFonts w:ascii="Verdana" w:hAnsi="Verdana"/>
          <w:sz w:val="18"/>
          <w:szCs w:val="20"/>
          <w:lang w:val="en-US"/>
        </w:rPr>
        <w:t>“</w:t>
      </w:r>
      <w:r w:rsidRPr="00D869E3">
        <w:rPr>
          <w:rFonts w:ascii="Verdana" w:hAnsi="Verdana"/>
          <w:sz w:val="18"/>
          <w:szCs w:val="20"/>
          <w:lang w:val="en-US"/>
        </w:rPr>
        <w:t xml:space="preserve">file[d] a </w:t>
      </w:r>
      <w:r w:rsidR="00BC22FA" w:rsidRPr="00D869E3">
        <w:rPr>
          <w:rFonts w:ascii="Verdana" w:hAnsi="Verdana"/>
          <w:sz w:val="18"/>
          <w:szCs w:val="20"/>
          <w:lang w:val="en-US"/>
        </w:rPr>
        <w:t>complaint</w:t>
      </w:r>
      <w:r w:rsidRPr="00D869E3">
        <w:rPr>
          <w:rFonts w:ascii="Verdana" w:hAnsi="Verdana"/>
          <w:sz w:val="18"/>
          <w:szCs w:val="20"/>
          <w:lang w:val="en-US"/>
        </w:rPr>
        <w:t xml:space="preserve"> of a human rights violation against the Peruvian Government for violating </w:t>
      </w:r>
      <w:r w:rsidR="000B2E5E" w:rsidRPr="00D869E3">
        <w:rPr>
          <w:rFonts w:ascii="Verdana" w:hAnsi="Verdana"/>
          <w:sz w:val="18"/>
          <w:szCs w:val="20"/>
          <w:lang w:val="en-US"/>
        </w:rPr>
        <w:t xml:space="preserve">the </w:t>
      </w:r>
      <w:r w:rsidR="000B2E5E" w:rsidRPr="00D869E3">
        <w:rPr>
          <w:rFonts w:ascii="Verdana" w:hAnsi="Verdana"/>
          <w:i/>
          <w:iCs/>
          <w:sz w:val="18"/>
          <w:szCs w:val="20"/>
          <w:lang w:val="en-US"/>
        </w:rPr>
        <w:t>right to</w:t>
      </w:r>
      <w:r w:rsidR="0088700B" w:rsidRPr="00D869E3">
        <w:rPr>
          <w:rFonts w:ascii="Verdana" w:hAnsi="Verdana"/>
          <w:i/>
          <w:sz w:val="18"/>
          <w:szCs w:val="20"/>
          <w:lang w:val="en-US"/>
        </w:rPr>
        <w:t xml:space="preserve"> </w:t>
      </w:r>
      <w:r w:rsidRPr="00D869E3">
        <w:rPr>
          <w:rFonts w:ascii="Verdana" w:hAnsi="Verdana"/>
          <w:i/>
          <w:sz w:val="18"/>
          <w:szCs w:val="20"/>
          <w:lang w:val="en-US"/>
        </w:rPr>
        <w:t>equal protection of the law</w:t>
      </w:r>
      <w:r w:rsidR="0088700B" w:rsidRPr="00D869E3">
        <w:rPr>
          <w:rFonts w:ascii="Verdana" w:hAnsi="Verdana"/>
          <w:i/>
          <w:sz w:val="18"/>
          <w:szCs w:val="20"/>
          <w:lang w:val="en-US"/>
        </w:rPr>
        <w:t xml:space="preserve"> (</w:t>
      </w:r>
      <w:r w:rsidRPr="00D869E3">
        <w:rPr>
          <w:rFonts w:ascii="Verdana" w:hAnsi="Verdana"/>
          <w:i/>
          <w:sz w:val="18"/>
          <w:szCs w:val="20"/>
          <w:lang w:val="en-US"/>
        </w:rPr>
        <w:t>Art.</w:t>
      </w:r>
      <w:r w:rsidR="0088700B" w:rsidRPr="00D869E3">
        <w:rPr>
          <w:rFonts w:ascii="Verdana" w:hAnsi="Verdana"/>
          <w:i/>
          <w:sz w:val="18"/>
          <w:szCs w:val="20"/>
          <w:lang w:val="en-US"/>
        </w:rPr>
        <w:t xml:space="preserve"> 22)</w:t>
      </w:r>
      <w:r w:rsidR="00687684" w:rsidRPr="00D869E3">
        <w:rPr>
          <w:rFonts w:ascii="Verdana" w:hAnsi="Verdana"/>
          <w:i/>
          <w:sz w:val="18"/>
          <w:szCs w:val="20"/>
          <w:lang w:val="en-US"/>
        </w:rPr>
        <w:t xml:space="preserve"> and </w:t>
      </w:r>
      <w:r w:rsidRPr="00D869E3">
        <w:rPr>
          <w:rFonts w:ascii="Verdana" w:hAnsi="Verdana"/>
          <w:i/>
          <w:sz w:val="18"/>
          <w:szCs w:val="20"/>
          <w:lang w:val="en-US"/>
        </w:rPr>
        <w:t>also</w:t>
      </w:r>
      <w:r w:rsidR="0088700B" w:rsidRPr="00D869E3">
        <w:rPr>
          <w:rFonts w:ascii="Verdana" w:hAnsi="Verdana"/>
          <w:i/>
          <w:sz w:val="18"/>
          <w:szCs w:val="20"/>
          <w:lang w:val="en-US"/>
        </w:rPr>
        <w:t xml:space="preserve"> </w:t>
      </w:r>
      <w:r w:rsidR="000B2E5E" w:rsidRPr="00D869E3">
        <w:rPr>
          <w:rFonts w:ascii="Verdana" w:hAnsi="Verdana"/>
          <w:i/>
          <w:sz w:val="18"/>
          <w:szCs w:val="20"/>
          <w:lang w:val="en-US"/>
        </w:rPr>
        <w:t>the right to</w:t>
      </w:r>
      <w:r w:rsidR="0088700B" w:rsidRPr="00D869E3">
        <w:rPr>
          <w:rFonts w:ascii="Verdana" w:hAnsi="Verdana"/>
          <w:i/>
          <w:sz w:val="18"/>
          <w:szCs w:val="20"/>
          <w:lang w:val="en-US"/>
        </w:rPr>
        <w:t xml:space="preserve"> judicial </w:t>
      </w:r>
      <w:r w:rsidRPr="00D869E3">
        <w:rPr>
          <w:rFonts w:ascii="Verdana" w:hAnsi="Verdana"/>
          <w:i/>
          <w:sz w:val="18"/>
          <w:szCs w:val="20"/>
          <w:lang w:val="en-US"/>
        </w:rPr>
        <w:t xml:space="preserve">protection against violations of fundamental rights (Art. 23) </w:t>
      </w:r>
      <w:r w:rsidR="0088700B" w:rsidRPr="00D869E3">
        <w:rPr>
          <w:rFonts w:ascii="Verdana" w:hAnsi="Verdana"/>
          <w:i/>
          <w:sz w:val="18"/>
          <w:szCs w:val="20"/>
          <w:lang w:val="en-US"/>
        </w:rPr>
        <w:t>[…]</w:t>
      </w:r>
      <w:r w:rsidRPr="00D869E3">
        <w:rPr>
          <w:rFonts w:ascii="Verdana" w:hAnsi="Verdana"/>
          <w:i/>
          <w:sz w:val="18"/>
          <w:szCs w:val="20"/>
          <w:lang w:val="en-US"/>
        </w:rPr>
        <w:t>.</w:t>
      </w:r>
      <w:r w:rsidR="006436CA" w:rsidRPr="00D869E3">
        <w:rPr>
          <w:rFonts w:ascii="Verdana" w:hAnsi="Verdana"/>
          <w:i/>
          <w:sz w:val="18"/>
          <w:szCs w:val="20"/>
          <w:lang w:val="en-US"/>
        </w:rPr>
        <w:t>”</w:t>
      </w:r>
      <w:r w:rsidR="0088700B" w:rsidRPr="00D869E3">
        <w:rPr>
          <w:rFonts w:ascii="Verdana" w:hAnsi="Verdana"/>
          <w:sz w:val="18"/>
          <w:szCs w:val="20"/>
          <w:lang w:val="en-US"/>
        </w:rPr>
        <w:t xml:space="preserve"> </w:t>
      </w:r>
      <w:r w:rsidRPr="00D869E3">
        <w:rPr>
          <w:rFonts w:ascii="Verdana" w:hAnsi="Verdana"/>
          <w:sz w:val="18"/>
          <w:szCs w:val="20"/>
          <w:lang w:val="en-US"/>
        </w:rPr>
        <w:t xml:space="preserve">He also asked that the petition be admitted and processed </w:t>
      </w:r>
      <w:r w:rsidR="006436CA" w:rsidRPr="00D869E3">
        <w:rPr>
          <w:rFonts w:ascii="Verdana" w:hAnsi="Verdana"/>
          <w:sz w:val="18"/>
          <w:szCs w:val="20"/>
          <w:lang w:val="en-US"/>
        </w:rPr>
        <w:t>“</w:t>
      </w:r>
      <w:r w:rsidRPr="00D869E3">
        <w:rPr>
          <w:rFonts w:ascii="Verdana" w:hAnsi="Verdana"/>
          <w:b/>
          <w:sz w:val="18"/>
          <w:szCs w:val="20"/>
          <w:lang w:val="en-US"/>
        </w:rPr>
        <w:t>to achieve the re-establishment of [his] rights to equal protection of the law, due process, and the right to work</w:t>
      </w:r>
      <w:r w:rsidR="0088700B" w:rsidRPr="00D869E3">
        <w:rPr>
          <w:rFonts w:ascii="Verdana" w:hAnsi="Verdana"/>
          <w:i/>
          <w:sz w:val="18"/>
          <w:szCs w:val="20"/>
          <w:lang w:val="en-US"/>
        </w:rPr>
        <w:t>,</w:t>
      </w:r>
      <w:r w:rsidR="0088700B" w:rsidRPr="00D869E3">
        <w:rPr>
          <w:rFonts w:ascii="Verdana" w:hAnsi="Verdana"/>
          <w:sz w:val="18"/>
          <w:szCs w:val="20"/>
          <w:lang w:val="en-US"/>
        </w:rPr>
        <w:t xml:space="preserve"> </w:t>
      </w:r>
      <w:r w:rsidRPr="00D869E3">
        <w:rPr>
          <w:rFonts w:ascii="Verdana" w:hAnsi="Verdana"/>
          <w:sz w:val="18"/>
          <w:szCs w:val="20"/>
          <w:lang w:val="en-US"/>
        </w:rPr>
        <w:t xml:space="preserve">which [had been] violated by </w:t>
      </w:r>
      <w:r w:rsidR="003506CC" w:rsidRPr="00D869E3">
        <w:rPr>
          <w:rFonts w:ascii="Verdana" w:hAnsi="Verdana"/>
          <w:sz w:val="18"/>
          <w:szCs w:val="20"/>
          <w:lang w:val="en-US"/>
        </w:rPr>
        <w:t>the Second Labor Court</w:t>
      </w:r>
      <w:r w:rsidR="00687684" w:rsidRPr="00D869E3">
        <w:rPr>
          <w:rFonts w:ascii="Verdana" w:hAnsi="Verdana"/>
          <w:sz w:val="18"/>
          <w:szCs w:val="20"/>
          <w:lang w:val="en-US"/>
        </w:rPr>
        <w:t xml:space="preserve"> and </w:t>
      </w:r>
      <w:r w:rsidR="0088700B" w:rsidRPr="00D869E3">
        <w:rPr>
          <w:rFonts w:ascii="Verdana" w:hAnsi="Verdana"/>
          <w:sz w:val="18"/>
          <w:szCs w:val="20"/>
          <w:lang w:val="en-US"/>
        </w:rPr>
        <w:t>CC.LL.,</w:t>
      </w:r>
      <w:r w:rsidRPr="00D869E3">
        <w:rPr>
          <w:rFonts w:ascii="Verdana" w:hAnsi="Verdana"/>
          <w:sz w:val="18"/>
          <w:szCs w:val="20"/>
          <w:lang w:val="en-US"/>
        </w:rPr>
        <w:t xml:space="preserve"> by the decision resulting from an irregular process</w:t>
      </w:r>
      <w:r w:rsidR="0088700B" w:rsidRPr="00D869E3">
        <w:rPr>
          <w:rFonts w:ascii="Verdana" w:hAnsi="Verdana"/>
          <w:sz w:val="18"/>
          <w:szCs w:val="20"/>
          <w:lang w:val="en-US"/>
        </w:rPr>
        <w:t xml:space="preserve"> […]</w:t>
      </w:r>
      <w:r w:rsidR="006436CA" w:rsidRPr="00D869E3">
        <w:rPr>
          <w:rFonts w:ascii="Verdana" w:hAnsi="Verdana"/>
          <w:sz w:val="18"/>
          <w:szCs w:val="20"/>
          <w:lang w:val="en-US"/>
        </w:rPr>
        <w:t>”</w:t>
      </w:r>
      <w:r w:rsidR="0088700B" w:rsidRPr="00D869E3">
        <w:rPr>
          <w:rStyle w:val="Refdenotaalpie"/>
          <w:sz w:val="18"/>
          <w:szCs w:val="20"/>
          <w:lang w:val="en-US"/>
        </w:rPr>
        <w:footnoteReference w:id="174"/>
      </w:r>
      <w:r w:rsidR="00E41369" w:rsidRPr="00D869E3">
        <w:rPr>
          <w:rFonts w:ascii="Verdana" w:hAnsi="Verdana"/>
          <w:sz w:val="18"/>
          <w:szCs w:val="20"/>
          <w:lang w:val="en-US"/>
        </w:rPr>
        <w:t>.</w:t>
      </w:r>
    </w:p>
    <w:p w14:paraId="77DE9EF3" w14:textId="77777777" w:rsidR="0088700B" w:rsidRPr="00D869E3" w:rsidRDefault="0088700B" w:rsidP="0088700B">
      <w:pPr>
        <w:ind w:left="851"/>
        <w:jc w:val="both"/>
        <w:rPr>
          <w:rFonts w:ascii="Verdana" w:hAnsi="Verdana"/>
          <w:b/>
          <w:sz w:val="18"/>
          <w:szCs w:val="20"/>
          <w:lang w:val="en-US"/>
        </w:rPr>
      </w:pPr>
    </w:p>
    <w:p w14:paraId="3284C5FE" w14:textId="74B1DD4A" w:rsidR="0088700B" w:rsidRPr="00D869E3" w:rsidRDefault="00BC22FA" w:rsidP="00E66DD7">
      <w:pPr>
        <w:pStyle w:val="Prrafodelista"/>
        <w:numPr>
          <w:ilvl w:val="2"/>
          <w:numId w:val="21"/>
        </w:numPr>
        <w:ind w:left="851" w:firstLine="0"/>
        <w:jc w:val="both"/>
        <w:rPr>
          <w:rFonts w:ascii="Verdana" w:hAnsi="Verdana"/>
          <w:b/>
          <w:sz w:val="18"/>
          <w:szCs w:val="20"/>
          <w:lang w:val="en-US"/>
        </w:rPr>
      </w:pPr>
      <w:r w:rsidRPr="00D869E3">
        <w:rPr>
          <w:rFonts w:ascii="Verdana" w:hAnsi="Verdana"/>
          <w:sz w:val="18"/>
          <w:szCs w:val="20"/>
          <w:lang w:val="en-US"/>
        </w:rPr>
        <w:t>T</w:t>
      </w:r>
      <w:r w:rsidR="00447C65" w:rsidRPr="00D869E3">
        <w:rPr>
          <w:rFonts w:ascii="Verdana" w:hAnsi="Verdana"/>
          <w:sz w:val="18"/>
          <w:szCs w:val="20"/>
          <w:lang w:val="en-US"/>
        </w:rPr>
        <w:t>he Commission</w:t>
      </w:r>
      <w:r w:rsidR="0061456F" w:rsidRPr="00D869E3">
        <w:rPr>
          <w:rFonts w:ascii="Verdana" w:hAnsi="Verdana"/>
          <w:sz w:val="18"/>
          <w:szCs w:val="20"/>
          <w:lang w:val="en-US"/>
        </w:rPr>
        <w:t xml:space="preserve"> responded to</w:t>
      </w:r>
      <w:r w:rsidR="00EE0BD4" w:rsidRPr="00D869E3">
        <w:rPr>
          <w:rFonts w:ascii="Verdana" w:hAnsi="Verdana"/>
          <w:sz w:val="18"/>
          <w:szCs w:val="20"/>
          <w:lang w:val="en-US"/>
        </w:rPr>
        <w:t xml:space="preserve"> Mr. Lagos</w:t>
      </w:r>
      <w:r w:rsidR="0088700B" w:rsidRPr="00D869E3">
        <w:rPr>
          <w:rFonts w:ascii="Verdana" w:hAnsi="Verdana"/>
          <w:sz w:val="18"/>
          <w:szCs w:val="20"/>
          <w:lang w:val="en-US"/>
        </w:rPr>
        <w:t xml:space="preserve"> del Campo </w:t>
      </w:r>
      <w:r w:rsidR="0061456F" w:rsidRPr="00D869E3">
        <w:rPr>
          <w:rFonts w:ascii="Verdana" w:hAnsi="Verdana"/>
          <w:sz w:val="18"/>
          <w:szCs w:val="20"/>
          <w:lang w:val="en-US"/>
        </w:rPr>
        <w:t>i</w:t>
      </w:r>
      <w:r w:rsidR="00DF2008" w:rsidRPr="00D869E3">
        <w:rPr>
          <w:rFonts w:ascii="Verdana" w:hAnsi="Verdana"/>
          <w:sz w:val="18"/>
          <w:szCs w:val="20"/>
          <w:lang w:val="en-US"/>
        </w:rPr>
        <w:t>n a communication</w:t>
      </w:r>
      <w:r w:rsidR="00E41369" w:rsidRPr="00D869E3">
        <w:rPr>
          <w:rFonts w:ascii="Verdana" w:hAnsi="Verdana"/>
          <w:sz w:val="18"/>
          <w:szCs w:val="20"/>
          <w:lang w:val="en-US"/>
        </w:rPr>
        <w:t xml:space="preserve"> </w:t>
      </w:r>
      <w:r w:rsidR="0061456F" w:rsidRPr="00D869E3">
        <w:rPr>
          <w:rFonts w:ascii="Verdana" w:hAnsi="Verdana"/>
          <w:sz w:val="18"/>
          <w:szCs w:val="20"/>
          <w:lang w:val="en-US"/>
        </w:rPr>
        <w:t xml:space="preserve">of September 2, </w:t>
      </w:r>
      <w:r w:rsidR="0088700B" w:rsidRPr="00D869E3">
        <w:rPr>
          <w:rFonts w:ascii="Verdana" w:hAnsi="Verdana"/>
          <w:sz w:val="18"/>
          <w:szCs w:val="20"/>
          <w:lang w:val="en-US"/>
        </w:rPr>
        <w:t>1997</w:t>
      </w:r>
      <w:r w:rsidR="00E41369" w:rsidRPr="00D869E3">
        <w:rPr>
          <w:rFonts w:ascii="Verdana" w:hAnsi="Verdana"/>
          <w:sz w:val="18"/>
          <w:szCs w:val="20"/>
          <w:lang w:val="en-US"/>
        </w:rPr>
        <w:t>,</w:t>
      </w:r>
      <w:r w:rsidR="0088700B" w:rsidRPr="00D869E3">
        <w:rPr>
          <w:rFonts w:ascii="Verdana" w:hAnsi="Verdana"/>
          <w:sz w:val="18"/>
          <w:szCs w:val="20"/>
          <w:lang w:val="en-US"/>
        </w:rPr>
        <w:t xml:space="preserve"> </w:t>
      </w:r>
      <w:r w:rsidR="0061456F" w:rsidRPr="00D869E3">
        <w:rPr>
          <w:rFonts w:ascii="Verdana" w:hAnsi="Verdana"/>
          <w:sz w:val="18"/>
          <w:szCs w:val="20"/>
          <w:lang w:val="en-US"/>
        </w:rPr>
        <w:t>received on September 24,</w:t>
      </w:r>
      <w:r w:rsidR="0088700B" w:rsidRPr="00D869E3">
        <w:rPr>
          <w:rFonts w:ascii="Verdana" w:hAnsi="Verdana"/>
          <w:sz w:val="18"/>
          <w:szCs w:val="20"/>
          <w:lang w:val="en-US"/>
        </w:rPr>
        <w:t xml:space="preserve"> 1997</w:t>
      </w:r>
      <w:r w:rsidR="0061456F" w:rsidRPr="00D869E3">
        <w:rPr>
          <w:rFonts w:ascii="Verdana" w:hAnsi="Verdana"/>
          <w:sz w:val="18"/>
          <w:szCs w:val="20"/>
          <w:lang w:val="en-US"/>
        </w:rPr>
        <w:t>, by the</w:t>
      </w:r>
      <w:r w:rsidR="0088700B" w:rsidRPr="00D869E3">
        <w:rPr>
          <w:rFonts w:ascii="Verdana" w:hAnsi="Verdana"/>
          <w:sz w:val="18"/>
          <w:szCs w:val="20"/>
          <w:lang w:val="en-US"/>
        </w:rPr>
        <w:t xml:space="preserve"> FETIMP</w:t>
      </w:r>
      <w:r w:rsidR="008E18C3" w:rsidRPr="00D869E3">
        <w:rPr>
          <w:rFonts w:ascii="Verdana" w:hAnsi="Verdana"/>
          <w:sz w:val="18"/>
          <w:szCs w:val="20"/>
          <w:lang w:val="en-US"/>
        </w:rPr>
        <w:t>,</w:t>
      </w:r>
      <w:r w:rsidR="00687684" w:rsidRPr="00D869E3">
        <w:rPr>
          <w:rFonts w:ascii="Verdana" w:hAnsi="Verdana"/>
          <w:sz w:val="18"/>
          <w:szCs w:val="20"/>
          <w:lang w:val="en-US"/>
        </w:rPr>
        <w:t xml:space="preserve"> </w:t>
      </w:r>
      <w:r w:rsidR="0061456F" w:rsidRPr="00D869E3">
        <w:rPr>
          <w:rFonts w:ascii="Verdana" w:hAnsi="Verdana"/>
          <w:sz w:val="18"/>
          <w:szCs w:val="20"/>
          <w:lang w:val="en-US"/>
        </w:rPr>
        <w:t xml:space="preserve">in which the </w:t>
      </w:r>
      <w:r w:rsidR="00447C65" w:rsidRPr="00D869E3">
        <w:rPr>
          <w:rFonts w:ascii="Verdana" w:hAnsi="Verdana"/>
          <w:sz w:val="18"/>
          <w:szCs w:val="20"/>
          <w:lang w:val="en-US"/>
        </w:rPr>
        <w:t>Commission</w:t>
      </w:r>
      <w:r w:rsidR="0088700B" w:rsidRPr="00D869E3">
        <w:rPr>
          <w:rFonts w:ascii="Verdana" w:hAnsi="Verdana"/>
          <w:sz w:val="18"/>
          <w:szCs w:val="20"/>
          <w:lang w:val="en-US"/>
        </w:rPr>
        <w:t xml:space="preserve"> </w:t>
      </w:r>
      <w:r w:rsidR="0061456F" w:rsidRPr="00D869E3">
        <w:rPr>
          <w:rFonts w:ascii="Verdana" w:hAnsi="Verdana"/>
          <w:sz w:val="18"/>
          <w:szCs w:val="20"/>
          <w:lang w:val="en-US"/>
        </w:rPr>
        <w:t xml:space="preserve">advised the petitioner that </w:t>
      </w:r>
      <w:r w:rsidR="00E747CD" w:rsidRPr="00D869E3">
        <w:rPr>
          <w:rFonts w:ascii="Verdana" w:hAnsi="Verdana"/>
          <w:sz w:val="18"/>
          <w:szCs w:val="20"/>
          <w:lang w:val="en-US"/>
        </w:rPr>
        <w:t xml:space="preserve">his petition had “not met the requirements established in </w:t>
      </w:r>
      <w:r w:rsidR="00447C65" w:rsidRPr="00D869E3">
        <w:rPr>
          <w:rFonts w:ascii="Verdana" w:hAnsi="Verdana"/>
          <w:sz w:val="18"/>
          <w:szCs w:val="20"/>
          <w:lang w:val="en-US"/>
        </w:rPr>
        <w:t>the</w:t>
      </w:r>
      <w:r w:rsidR="00E747CD" w:rsidRPr="00D869E3">
        <w:rPr>
          <w:rFonts w:ascii="Verdana" w:hAnsi="Verdana"/>
          <w:sz w:val="18"/>
          <w:szCs w:val="20"/>
          <w:lang w:val="en-US"/>
        </w:rPr>
        <w:t xml:space="preserve"> [IACHR]</w:t>
      </w:r>
      <w:r w:rsidR="00447C65" w:rsidRPr="00D869E3">
        <w:rPr>
          <w:rFonts w:ascii="Verdana" w:hAnsi="Verdana"/>
          <w:sz w:val="18"/>
          <w:szCs w:val="20"/>
          <w:lang w:val="en-US"/>
        </w:rPr>
        <w:t xml:space="preserve"> Rules of Procedure</w:t>
      </w:r>
      <w:r w:rsidR="00E747CD" w:rsidRPr="00D869E3">
        <w:rPr>
          <w:rFonts w:ascii="Verdana" w:hAnsi="Verdana"/>
          <w:sz w:val="18"/>
          <w:szCs w:val="20"/>
          <w:lang w:val="en-US"/>
        </w:rPr>
        <w:t xml:space="preserve">, in particular </w:t>
      </w:r>
      <w:r w:rsidR="00447C65" w:rsidRPr="00D869E3">
        <w:rPr>
          <w:rFonts w:ascii="Verdana" w:hAnsi="Verdana"/>
          <w:sz w:val="18"/>
          <w:szCs w:val="20"/>
          <w:lang w:val="en-US"/>
        </w:rPr>
        <w:t>Articles</w:t>
      </w:r>
      <w:r w:rsidR="0088700B" w:rsidRPr="00D869E3">
        <w:rPr>
          <w:rFonts w:ascii="Verdana" w:hAnsi="Verdana"/>
          <w:sz w:val="18"/>
          <w:szCs w:val="20"/>
          <w:lang w:val="en-US"/>
        </w:rPr>
        <w:t xml:space="preserve"> 32, 33, 34</w:t>
      </w:r>
      <w:r w:rsidR="00687684" w:rsidRPr="00D869E3">
        <w:rPr>
          <w:rFonts w:ascii="Verdana" w:hAnsi="Verdana"/>
          <w:sz w:val="18"/>
          <w:szCs w:val="20"/>
          <w:lang w:val="en-US"/>
        </w:rPr>
        <w:t xml:space="preserve"> and </w:t>
      </w:r>
      <w:r w:rsidR="0088700B" w:rsidRPr="00D869E3">
        <w:rPr>
          <w:rFonts w:ascii="Verdana" w:hAnsi="Verdana"/>
          <w:sz w:val="18"/>
          <w:szCs w:val="20"/>
          <w:lang w:val="en-US"/>
        </w:rPr>
        <w:t>37</w:t>
      </w:r>
      <w:r w:rsidR="00E41369" w:rsidRPr="00D869E3">
        <w:rPr>
          <w:rFonts w:ascii="Verdana" w:hAnsi="Verdana"/>
          <w:sz w:val="18"/>
          <w:szCs w:val="20"/>
          <w:lang w:val="en-US"/>
        </w:rPr>
        <w:t xml:space="preserve"> [</w:t>
      </w:r>
      <w:r w:rsidR="0088700B" w:rsidRPr="00D869E3">
        <w:rPr>
          <w:rFonts w:ascii="Verdana" w:hAnsi="Verdana"/>
          <w:sz w:val="18"/>
          <w:szCs w:val="20"/>
          <w:lang w:val="en-US"/>
        </w:rPr>
        <w:t>…</w:t>
      </w:r>
      <w:r w:rsidR="00E41369" w:rsidRPr="00D869E3">
        <w:rPr>
          <w:rFonts w:ascii="Verdana" w:hAnsi="Verdana"/>
          <w:sz w:val="18"/>
          <w:szCs w:val="20"/>
          <w:lang w:val="en-US"/>
        </w:rPr>
        <w:t>]</w:t>
      </w:r>
      <w:r w:rsidR="00E747CD" w:rsidRPr="00D869E3">
        <w:rPr>
          <w:rFonts w:ascii="Verdana" w:hAnsi="Verdana"/>
          <w:sz w:val="18"/>
          <w:szCs w:val="20"/>
          <w:lang w:val="en-US"/>
        </w:rPr>
        <w:t>.</w:t>
      </w:r>
      <w:r w:rsidR="006436CA" w:rsidRPr="00D869E3">
        <w:rPr>
          <w:rFonts w:ascii="Verdana" w:hAnsi="Verdana"/>
          <w:sz w:val="18"/>
          <w:szCs w:val="20"/>
          <w:lang w:val="en-US"/>
        </w:rPr>
        <w:t>”</w:t>
      </w:r>
      <w:r w:rsidR="00E747CD" w:rsidRPr="00D869E3">
        <w:rPr>
          <w:rFonts w:ascii="Verdana" w:hAnsi="Verdana"/>
          <w:sz w:val="18"/>
          <w:szCs w:val="20"/>
          <w:lang w:val="en-US"/>
        </w:rPr>
        <w:t xml:space="preserve"> The Commission also asked the petitioner to </w:t>
      </w:r>
      <w:r w:rsidRPr="00D869E3">
        <w:rPr>
          <w:rFonts w:ascii="Verdana" w:hAnsi="Verdana"/>
          <w:sz w:val="18"/>
          <w:szCs w:val="20"/>
          <w:lang w:val="en-US"/>
        </w:rPr>
        <w:t>indicate</w:t>
      </w:r>
      <w:r w:rsidR="00E747CD" w:rsidRPr="00D869E3">
        <w:rPr>
          <w:rFonts w:ascii="Verdana" w:hAnsi="Verdana"/>
          <w:sz w:val="18"/>
          <w:szCs w:val="20"/>
          <w:lang w:val="en-US"/>
        </w:rPr>
        <w:t xml:space="preserve"> the facts and the articles of the Convention that he considered had been violated, and the final judgment of the domestic jurisdiction.</w:t>
      </w:r>
      <w:r w:rsidR="0088700B" w:rsidRPr="00D869E3">
        <w:rPr>
          <w:rStyle w:val="Refdenotaalpie"/>
          <w:sz w:val="18"/>
          <w:szCs w:val="20"/>
          <w:lang w:val="en-US"/>
        </w:rPr>
        <w:footnoteReference w:id="175"/>
      </w:r>
    </w:p>
    <w:p w14:paraId="2AAC628A" w14:textId="77777777" w:rsidR="0088700B" w:rsidRPr="00D869E3" w:rsidRDefault="0088700B" w:rsidP="0088700B">
      <w:pPr>
        <w:ind w:left="851"/>
        <w:jc w:val="both"/>
        <w:rPr>
          <w:rFonts w:ascii="Verdana" w:hAnsi="Verdana"/>
          <w:b/>
          <w:sz w:val="18"/>
          <w:szCs w:val="20"/>
          <w:lang w:val="en-US"/>
        </w:rPr>
      </w:pPr>
    </w:p>
    <w:p w14:paraId="324D03A1" w14:textId="5CB1DCF4" w:rsidR="0088700B" w:rsidRPr="00D869E3" w:rsidRDefault="00E747CD" w:rsidP="00E66DD7">
      <w:pPr>
        <w:pStyle w:val="Prrafodelista"/>
        <w:numPr>
          <w:ilvl w:val="2"/>
          <w:numId w:val="21"/>
        </w:numPr>
        <w:ind w:left="851" w:firstLine="0"/>
        <w:jc w:val="both"/>
        <w:rPr>
          <w:rFonts w:ascii="Verdana" w:hAnsi="Verdana"/>
          <w:b/>
          <w:sz w:val="18"/>
          <w:szCs w:val="20"/>
          <w:lang w:val="en-US"/>
        </w:rPr>
      </w:pPr>
      <w:r w:rsidRPr="00D869E3">
        <w:rPr>
          <w:rFonts w:ascii="Verdana" w:hAnsi="Verdana"/>
          <w:sz w:val="18"/>
          <w:szCs w:val="20"/>
          <w:lang w:val="en-US"/>
        </w:rPr>
        <w:t xml:space="preserve">In an “updated and regularized” petition dated July 22, 1998, addressed to the </w:t>
      </w:r>
      <w:r w:rsidR="00447C65" w:rsidRPr="00D869E3">
        <w:rPr>
          <w:rFonts w:ascii="Verdana" w:hAnsi="Verdana"/>
          <w:sz w:val="18"/>
          <w:szCs w:val="20"/>
          <w:lang w:val="en-US"/>
        </w:rPr>
        <w:t>President of the Inter-American Commission</w:t>
      </w:r>
      <w:r w:rsidR="0088700B" w:rsidRPr="00D869E3">
        <w:rPr>
          <w:rFonts w:ascii="Verdana" w:hAnsi="Verdana"/>
          <w:sz w:val="18"/>
          <w:szCs w:val="20"/>
          <w:lang w:val="en-US"/>
        </w:rPr>
        <w:t xml:space="preserve"> (</w:t>
      </w:r>
      <w:r w:rsidRPr="00D869E3">
        <w:rPr>
          <w:rFonts w:ascii="Verdana" w:hAnsi="Verdana"/>
          <w:sz w:val="18"/>
          <w:szCs w:val="20"/>
          <w:lang w:val="en-US"/>
        </w:rPr>
        <w:t>which does not indicate the date on which it was received</w:t>
      </w:r>
      <w:r w:rsidR="0088700B" w:rsidRPr="00D869E3">
        <w:rPr>
          <w:rFonts w:ascii="Verdana" w:hAnsi="Verdana"/>
          <w:sz w:val="18"/>
          <w:szCs w:val="20"/>
          <w:lang w:val="en-US"/>
        </w:rPr>
        <w:t xml:space="preserve">), </w:t>
      </w:r>
      <w:r w:rsidR="001E44D3" w:rsidRPr="00D869E3">
        <w:rPr>
          <w:rFonts w:ascii="Verdana" w:hAnsi="Verdana"/>
          <w:sz w:val="18"/>
          <w:szCs w:val="20"/>
          <w:lang w:val="en-US"/>
        </w:rPr>
        <w:t>Mr. Lagos del Campo</w:t>
      </w:r>
      <w:r w:rsidR="0088700B" w:rsidRPr="00D869E3">
        <w:rPr>
          <w:rFonts w:ascii="Verdana" w:hAnsi="Verdana"/>
          <w:sz w:val="18"/>
          <w:szCs w:val="20"/>
          <w:lang w:val="en-US"/>
        </w:rPr>
        <w:t xml:space="preserve"> </w:t>
      </w:r>
      <w:r w:rsidRPr="00D869E3">
        <w:rPr>
          <w:rFonts w:ascii="Verdana" w:hAnsi="Verdana"/>
          <w:sz w:val="18"/>
          <w:szCs w:val="20"/>
          <w:lang w:val="en-US"/>
        </w:rPr>
        <w:t>stated</w:t>
      </w:r>
      <w:r w:rsidR="0088700B" w:rsidRPr="00D869E3">
        <w:rPr>
          <w:rFonts w:ascii="Verdana" w:hAnsi="Verdana"/>
          <w:sz w:val="18"/>
          <w:szCs w:val="20"/>
          <w:lang w:val="en-US"/>
        </w:rPr>
        <w:t xml:space="preserve"> </w:t>
      </w:r>
      <w:r w:rsidR="006436CA" w:rsidRPr="00D869E3">
        <w:rPr>
          <w:rFonts w:ascii="Verdana" w:hAnsi="Verdana"/>
          <w:sz w:val="18"/>
          <w:szCs w:val="20"/>
          <w:lang w:val="en-US"/>
        </w:rPr>
        <w:t>“</w:t>
      </w:r>
      <w:r w:rsidR="00E41369" w:rsidRPr="00D869E3">
        <w:rPr>
          <w:rFonts w:ascii="Verdana" w:hAnsi="Verdana"/>
          <w:sz w:val="18"/>
          <w:szCs w:val="20"/>
          <w:lang w:val="en-US"/>
        </w:rPr>
        <w:t>[</w:t>
      </w:r>
      <w:r w:rsidRPr="00D869E3">
        <w:rPr>
          <w:rFonts w:ascii="Verdana" w:hAnsi="Verdana"/>
          <w:sz w:val="18"/>
          <w:szCs w:val="20"/>
          <w:lang w:val="en-US"/>
        </w:rPr>
        <w:t>t</w:t>
      </w:r>
      <w:r w:rsidR="00E41369" w:rsidRPr="00D869E3">
        <w:rPr>
          <w:rFonts w:ascii="Verdana" w:hAnsi="Verdana"/>
          <w:sz w:val="18"/>
          <w:szCs w:val="20"/>
          <w:lang w:val="en-US"/>
        </w:rPr>
        <w:t>]</w:t>
      </w:r>
      <w:r w:rsidRPr="00D869E3">
        <w:rPr>
          <w:rFonts w:ascii="Verdana" w:hAnsi="Verdana"/>
          <w:sz w:val="18"/>
          <w:szCs w:val="20"/>
          <w:lang w:val="en-US"/>
        </w:rPr>
        <w:t xml:space="preserve">hat, pursuant to the provisions of </w:t>
      </w:r>
      <w:r w:rsidR="00447C65" w:rsidRPr="00D869E3">
        <w:rPr>
          <w:rFonts w:ascii="Verdana" w:hAnsi="Verdana"/>
          <w:sz w:val="18"/>
          <w:szCs w:val="20"/>
          <w:lang w:val="en-US"/>
        </w:rPr>
        <w:t>the American Convention</w:t>
      </w:r>
      <w:r w:rsidR="0088700B" w:rsidRPr="00D869E3">
        <w:rPr>
          <w:rFonts w:ascii="Verdana" w:hAnsi="Verdana"/>
          <w:sz w:val="18"/>
          <w:szCs w:val="20"/>
          <w:lang w:val="en-US"/>
        </w:rPr>
        <w:t xml:space="preserve"> </w:t>
      </w:r>
      <w:r w:rsidRPr="00D869E3">
        <w:rPr>
          <w:rFonts w:ascii="Verdana" w:hAnsi="Verdana"/>
          <w:sz w:val="18"/>
          <w:szCs w:val="20"/>
          <w:lang w:val="en-US"/>
        </w:rPr>
        <w:t xml:space="preserve">on </w:t>
      </w:r>
      <w:r w:rsidR="00B443B4" w:rsidRPr="00D869E3">
        <w:rPr>
          <w:rFonts w:ascii="Verdana" w:hAnsi="Verdana"/>
          <w:sz w:val="18"/>
          <w:szCs w:val="20"/>
          <w:lang w:val="en-US"/>
        </w:rPr>
        <w:t xml:space="preserve">Human </w:t>
      </w:r>
      <w:r w:rsidRPr="00D869E3">
        <w:rPr>
          <w:rFonts w:ascii="Verdana" w:hAnsi="Verdana"/>
          <w:sz w:val="18"/>
          <w:szCs w:val="20"/>
          <w:lang w:val="en-US"/>
        </w:rPr>
        <w:t>R</w:t>
      </w:r>
      <w:r w:rsidR="00B443B4" w:rsidRPr="00D869E3">
        <w:rPr>
          <w:rFonts w:ascii="Verdana" w:hAnsi="Verdana"/>
          <w:sz w:val="18"/>
          <w:szCs w:val="20"/>
          <w:lang w:val="en-US"/>
        </w:rPr>
        <w:t>ights</w:t>
      </w:r>
      <w:r w:rsidRPr="00D869E3">
        <w:rPr>
          <w:rFonts w:ascii="Verdana" w:hAnsi="Verdana"/>
          <w:sz w:val="18"/>
          <w:szCs w:val="20"/>
          <w:lang w:val="en-US"/>
        </w:rPr>
        <w:t xml:space="preserve">, which [his] country had ratified, [he was] lodging a complaint of violation of human rights against the Peruvian Government because it had violated </w:t>
      </w:r>
      <w:r w:rsidRPr="00D869E3">
        <w:rPr>
          <w:rFonts w:ascii="Verdana" w:hAnsi="Verdana"/>
          <w:i/>
          <w:iCs/>
          <w:sz w:val="18"/>
          <w:szCs w:val="20"/>
          <w:lang w:val="en-US"/>
        </w:rPr>
        <w:t>the right to</w:t>
      </w:r>
      <w:r w:rsidRPr="00D869E3">
        <w:rPr>
          <w:rFonts w:ascii="Verdana" w:hAnsi="Verdana"/>
          <w:i/>
          <w:sz w:val="18"/>
          <w:szCs w:val="20"/>
          <w:lang w:val="en-US"/>
        </w:rPr>
        <w:t xml:space="preserve"> equal protection of the law (Art. 22) and also the right to judicial protection against violations of fundamental rights (Art. 23</w:t>
      </w:r>
      <w:r w:rsidR="0088700B" w:rsidRPr="00D869E3">
        <w:rPr>
          <w:rFonts w:ascii="Verdana" w:hAnsi="Verdana"/>
          <w:i/>
          <w:sz w:val="18"/>
          <w:szCs w:val="20"/>
          <w:lang w:val="en-US"/>
        </w:rPr>
        <w:t>) […]</w:t>
      </w:r>
      <w:r w:rsidRPr="00D869E3">
        <w:rPr>
          <w:rFonts w:ascii="Verdana" w:hAnsi="Verdana"/>
          <w:i/>
          <w:sz w:val="18"/>
          <w:szCs w:val="20"/>
          <w:lang w:val="en-US"/>
        </w:rPr>
        <w:t>.</w:t>
      </w:r>
      <w:r w:rsidR="006436CA" w:rsidRPr="00D869E3">
        <w:rPr>
          <w:rFonts w:ascii="Verdana" w:hAnsi="Verdana"/>
          <w:sz w:val="18"/>
          <w:szCs w:val="20"/>
          <w:lang w:val="en-US"/>
        </w:rPr>
        <w:t>”</w:t>
      </w:r>
      <w:r w:rsidR="0088700B" w:rsidRPr="00D869E3">
        <w:rPr>
          <w:rFonts w:ascii="Verdana" w:hAnsi="Verdana"/>
          <w:sz w:val="18"/>
          <w:szCs w:val="20"/>
          <w:lang w:val="en-US"/>
        </w:rPr>
        <w:t xml:space="preserve"> </w:t>
      </w:r>
      <w:r w:rsidRPr="00D869E3">
        <w:rPr>
          <w:rFonts w:ascii="Verdana" w:hAnsi="Verdana"/>
          <w:sz w:val="18"/>
          <w:szCs w:val="20"/>
          <w:lang w:val="en-US"/>
        </w:rPr>
        <w:t xml:space="preserve">In the same document, the petitioner asked for the petition also to be admitted and processed </w:t>
      </w:r>
      <w:r w:rsidR="006436CA" w:rsidRPr="00D869E3">
        <w:rPr>
          <w:rFonts w:ascii="Verdana" w:hAnsi="Verdana"/>
          <w:sz w:val="18"/>
          <w:szCs w:val="20"/>
          <w:lang w:val="en-US"/>
        </w:rPr>
        <w:t>“</w:t>
      </w:r>
      <w:r w:rsidRPr="00D869E3">
        <w:rPr>
          <w:rFonts w:ascii="Verdana" w:hAnsi="Verdana"/>
          <w:i/>
          <w:sz w:val="18"/>
          <w:szCs w:val="20"/>
          <w:lang w:val="en-US"/>
        </w:rPr>
        <w:t>to re-establish</w:t>
      </w:r>
      <w:r w:rsidR="0088700B" w:rsidRPr="00D869E3">
        <w:rPr>
          <w:rFonts w:ascii="Verdana" w:hAnsi="Verdana"/>
          <w:i/>
          <w:sz w:val="18"/>
          <w:szCs w:val="20"/>
          <w:lang w:val="en-US"/>
        </w:rPr>
        <w:t xml:space="preserve"> [</w:t>
      </w:r>
      <w:r w:rsidRPr="00D869E3">
        <w:rPr>
          <w:rFonts w:ascii="Verdana" w:hAnsi="Verdana"/>
          <w:i/>
          <w:sz w:val="18"/>
          <w:szCs w:val="20"/>
          <w:lang w:val="en-US"/>
        </w:rPr>
        <w:t>his</w:t>
      </w:r>
      <w:r w:rsidR="0088700B" w:rsidRPr="00D869E3">
        <w:rPr>
          <w:rFonts w:ascii="Verdana" w:hAnsi="Verdana"/>
          <w:i/>
          <w:sz w:val="18"/>
          <w:szCs w:val="20"/>
          <w:lang w:val="en-US"/>
        </w:rPr>
        <w:t xml:space="preserve">] </w:t>
      </w:r>
      <w:r w:rsidRPr="00D869E3">
        <w:rPr>
          <w:rFonts w:ascii="Verdana" w:hAnsi="Verdana"/>
          <w:i/>
          <w:sz w:val="18"/>
          <w:szCs w:val="20"/>
          <w:lang w:val="en-US"/>
        </w:rPr>
        <w:t xml:space="preserve">rights to equal protection of the law, due process and </w:t>
      </w:r>
      <w:r w:rsidR="00A157F5" w:rsidRPr="00D869E3">
        <w:rPr>
          <w:rFonts w:ascii="Verdana" w:hAnsi="Verdana"/>
          <w:b/>
          <w:bCs/>
          <w:i/>
          <w:sz w:val="18"/>
          <w:szCs w:val="20"/>
          <w:lang w:val="en-US"/>
        </w:rPr>
        <w:t xml:space="preserve">the </w:t>
      </w:r>
      <w:r w:rsidR="000B2E5E" w:rsidRPr="00D869E3">
        <w:rPr>
          <w:rFonts w:ascii="Verdana" w:hAnsi="Verdana"/>
          <w:b/>
          <w:bCs/>
          <w:i/>
          <w:sz w:val="18"/>
          <w:szCs w:val="20"/>
          <w:lang w:val="en-US"/>
        </w:rPr>
        <w:t>right to</w:t>
      </w:r>
      <w:r w:rsidRPr="00D869E3">
        <w:rPr>
          <w:rFonts w:ascii="Verdana" w:hAnsi="Verdana"/>
          <w:b/>
          <w:bCs/>
          <w:i/>
          <w:sz w:val="18"/>
          <w:szCs w:val="20"/>
          <w:lang w:val="en-US"/>
        </w:rPr>
        <w:t xml:space="preserve"> work</w:t>
      </w:r>
      <w:r w:rsidRPr="00D869E3">
        <w:rPr>
          <w:rFonts w:ascii="Verdana" w:hAnsi="Verdana"/>
          <w:i/>
          <w:sz w:val="18"/>
          <w:szCs w:val="20"/>
          <w:lang w:val="en-US"/>
        </w:rPr>
        <w:t xml:space="preserve">, </w:t>
      </w:r>
      <w:r w:rsidRPr="00D869E3">
        <w:rPr>
          <w:rFonts w:ascii="Verdana" w:hAnsi="Verdana"/>
          <w:sz w:val="18"/>
          <w:szCs w:val="20"/>
          <w:lang w:val="en-US"/>
        </w:rPr>
        <w:t>which [had been] violated by</w:t>
      </w:r>
      <w:r w:rsidR="0088700B" w:rsidRPr="00D869E3">
        <w:rPr>
          <w:rFonts w:ascii="Verdana" w:hAnsi="Verdana"/>
          <w:sz w:val="18"/>
          <w:szCs w:val="20"/>
          <w:lang w:val="en-US"/>
        </w:rPr>
        <w:t xml:space="preserve"> </w:t>
      </w:r>
      <w:r w:rsidR="003506CC" w:rsidRPr="00D869E3">
        <w:rPr>
          <w:rFonts w:ascii="Verdana" w:hAnsi="Verdana"/>
          <w:sz w:val="18"/>
          <w:szCs w:val="20"/>
          <w:lang w:val="en-US"/>
        </w:rPr>
        <w:t xml:space="preserve">the </w:t>
      </w:r>
      <w:r w:rsidR="00966115" w:rsidRPr="00D869E3">
        <w:rPr>
          <w:rFonts w:ascii="Verdana" w:hAnsi="Verdana"/>
          <w:sz w:val="18"/>
          <w:szCs w:val="20"/>
          <w:lang w:val="en-US"/>
        </w:rPr>
        <w:t>Second Labor Court</w:t>
      </w:r>
      <w:r w:rsidR="00687684" w:rsidRPr="00D869E3">
        <w:rPr>
          <w:rFonts w:ascii="Verdana" w:hAnsi="Verdana"/>
          <w:sz w:val="18"/>
          <w:szCs w:val="20"/>
          <w:lang w:val="en-US"/>
        </w:rPr>
        <w:t xml:space="preserve"> and </w:t>
      </w:r>
      <w:r w:rsidR="0088700B" w:rsidRPr="00D869E3">
        <w:rPr>
          <w:rFonts w:ascii="Verdana" w:hAnsi="Verdana"/>
          <w:sz w:val="18"/>
          <w:szCs w:val="20"/>
          <w:lang w:val="en-US"/>
        </w:rPr>
        <w:t xml:space="preserve">CC.LL., </w:t>
      </w:r>
      <w:r w:rsidRPr="00D869E3">
        <w:rPr>
          <w:rFonts w:ascii="Verdana" w:hAnsi="Verdana"/>
          <w:sz w:val="18"/>
          <w:szCs w:val="20"/>
          <w:lang w:val="en-US"/>
        </w:rPr>
        <w:t>by the decision resulting from an irregular process</w:t>
      </w:r>
      <w:r w:rsidR="0088700B" w:rsidRPr="00D869E3">
        <w:rPr>
          <w:rFonts w:ascii="Verdana" w:hAnsi="Verdana"/>
          <w:sz w:val="18"/>
          <w:szCs w:val="20"/>
          <w:lang w:val="en-US"/>
        </w:rPr>
        <w:t xml:space="preserve"> […]</w:t>
      </w:r>
      <w:r w:rsidRPr="00D869E3">
        <w:rPr>
          <w:rFonts w:ascii="Verdana" w:hAnsi="Verdana"/>
          <w:sz w:val="18"/>
          <w:szCs w:val="20"/>
          <w:lang w:val="en-US"/>
        </w:rPr>
        <w:t>.</w:t>
      </w:r>
      <w:r w:rsidR="006436CA" w:rsidRPr="00D869E3">
        <w:rPr>
          <w:rFonts w:ascii="Verdana" w:hAnsi="Verdana"/>
          <w:sz w:val="18"/>
          <w:szCs w:val="20"/>
          <w:lang w:val="en-US"/>
        </w:rPr>
        <w:t>”</w:t>
      </w:r>
      <w:r w:rsidR="0088700B" w:rsidRPr="00D869E3">
        <w:rPr>
          <w:rStyle w:val="Refdenotaalpie"/>
          <w:sz w:val="18"/>
          <w:szCs w:val="20"/>
          <w:lang w:val="en-US"/>
        </w:rPr>
        <w:footnoteReference w:id="176"/>
      </w:r>
    </w:p>
    <w:p w14:paraId="4F90F381" w14:textId="77777777" w:rsidR="0088700B" w:rsidRPr="00D869E3" w:rsidRDefault="0088700B" w:rsidP="0088700B">
      <w:pPr>
        <w:ind w:left="851"/>
        <w:jc w:val="both"/>
        <w:rPr>
          <w:rFonts w:ascii="Verdana" w:hAnsi="Verdana"/>
          <w:b/>
          <w:sz w:val="18"/>
          <w:szCs w:val="20"/>
          <w:lang w:val="en-US"/>
        </w:rPr>
      </w:pPr>
    </w:p>
    <w:p w14:paraId="06DA88AA" w14:textId="107755E0" w:rsidR="0088700B" w:rsidRPr="00D869E3" w:rsidRDefault="00DE1777" w:rsidP="00E66DD7">
      <w:pPr>
        <w:pStyle w:val="Prrafodelista"/>
        <w:numPr>
          <w:ilvl w:val="2"/>
          <w:numId w:val="21"/>
        </w:numPr>
        <w:ind w:left="851" w:firstLine="0"/>
        <w:jc w:val="both"/>
        <w:rPr>
          <w:rFonts w:ascii="Verdana" w:hAnsi="Verdana"/>
          <w:b/>
          <w:sz w:val="18"/>
          <w:szCs w:val="20"/>
          <w:lang w:val="en-US"/>
        </w:rPr>
      </w:pPr>
      <w:r w:rsidRPr="00D869E3">
        <w:rPr>
          <w:rFonts w:ascii="Verdana" w:hAnsi="Verdana"/>
          <w:sz w:val="18"/>
          <w:szCs w:val="20"/>
          <w:lang w:val="en-US"/>
        </w:rPr>
        <w:t xml:space="preserve">In the petition addressed to the Executive Secretary </w:t>
      </w:r>
      <w:r w:rsidR="00447C65" w:rsidRPr="00D869E3">
        <w:rPr>
          <w:rFonts w:ascii="Verdana" w:hAnsi="Verdana"/>
          <w:sz w:val="18"/>
          <w:szCs w:val="20"/>
          <w:lang w:val="en-US"/>
        </w:rPr>
        <w:t>of the Commission</w:t>
      </w:r>
      <w:r w:rsidR="0088700B" w:rsidRPr="00D869E3">
        <w:rPr>
          <w:rFonts w:ascii="Verdana" w:hAnsi="Verdana"/>
          <w:sz w:val="18"/>
          <w:szCs w:val="20"/>
          <w:lang w:val="en-US"/>
        </w:rPr>
        <w:t xml:space="preserve"> </w:t>
      </w:r>
      <w:r w:rsidRPr="00D869E3">
        <w:rPr>
          <w:rFonts w:ascii="Verdana" w:hAnsi="Verdana"/>
          <w:sz w:val="18"/>
          <w:szCs w:val="20"/>
          <w:lang w:val="en-US"/>
        </w:rPr>
        <w:t>on January 21,</w:t>
      </w:r>
      <w:r w:rsidR="0088700B" w:rsidRPr="00D869E3">
        <w:rPr>
          <w:rFonts w:ascii="Verdana" w:hAnsi="Verdana"/>
          <w:sz w:val="18"/>
          <w:szCs w:val="20"/>
          <w:lang w:val="en-US"/>
        </w:rPr>
        <w:t xml:space="preserve"> 2002, re</w:t>
      </w:r>
      <w:r w:rsidRPr="00D869E3">
        <w:rPr>
          <w:rFonts w:ascii="Verdana" w:hAnsi="Verdana"/>
          <w:sz w:val="18"/>
          <w:szCs w:val="20"/>
          <w:lang w:val="en-US"/>
        </w:rPr>
        <w:t xml:space="preserve">ceive by </w:t>
      </w:r>
      <w:r w:rsidR="00447C65" w:rsidRPr="00D869E3">
        <w:rPr>
          <w:rFonts w:ascii="Verdana" w:hAnsi="Verdana"/>
          <w:sz w:val="18"/>
          <w:szCs w:val="20"/>
          <w:lang w:val="en-US"/>
        </w:rPr>
        <w:t>the Commission</w:t>
      </w:r>
      <w:r w:rsidRPr="00D869E3">
        <w:rPr>
          <w:rFonts w:ascii="Verdana" w:hAnsi="Verdana"/>
          <w:sz w:val="18"/>
          <w:szCs w:val="20"/>
          <w:lang w:val="en-US"/>
        </w:rPr>
        <w:t xml:space="preserve"> on the same date</w:t>
      </w:r>
      <w:r w:rsidR="0088700B" w:rsidRPr="00D869E3">
        <w:rPr>
          <w:rFonts w:ascii="Verdana" w:hAnsi="Verdana"/>
          <w:sz w:val="18"/>
          <w:szCs w:val="20"/>
          <w:lang w:val="en-US"/>
        </w:rPr>
        <w:t xml:space="preserve">, </w:t>
      </w:r>
      <w:r w:rsidRPr="00D869E3">
        <w:rPr>
          <w:rFonts w:ascii="Verdana" w:hAnsi="Verdana"/>
          <w:sz w:val="18"/>
          <w:szCs w:val="20"/>
          <w:lang w:val="en-US"/>
        </w:rPr>
        <w:t>the petitioner stated that</w:t>
      </w:r>
      <w:r w:rsidR="0088700B" w:rsidRPr="00D869E3">
        <w:rPr>
          <w:rFonts w:ascii="Verdana" w:hAnsi="Verdana"/>
          <w:sz w:val="18"/>
          <w:szCs w:val="20"/>
          <w:lang w:val="en-US"/>
        </w:rPr>
        <w:t xml:space="preserve"> </w:t>
      </w:r>
      <w:r w:rsidR="006436CA" w:rsidRPr="00D869E3">
        <w:rPr>
          <w:rFonts w:ascii="Verdana" w:hAnsi="Verdana"/>
          <w:sz w:val="18"/>
          <w:szCs w:val="20"/>
          <w:lang w:val="en-US"/>
        </w:rPr>
        <w:t>“</w:t>
      </w:r>
      <w:r w:rsidRPr="00D869E3">
        <w:rPr>
          <w:rFonts w:ascii="Verdana" w:hAnsi="Verdana"/>
          <w:sz w:val="18"/>
          <w:szCs w:val="20"/>
          <w:lang w:val="en-US"/>
        </w:rPr>
        <w:t xml:space="preserve">the competent authorities and public opinion in general [were] fully aware of </w:t>
      </w:r>
      <w:r w:rsidR="007013E2" w:rsidRPr="00D869E3">
        <w:rPr>
          <w:rFonts w:ascii="Verdana" w:hAnsi="Verdana"/>
          <w:sz w:val="18"/>
          <w:szCs w:val="20"/>
          <w:lang w:val="en-US"/>
        </w:rPr>
        <w:t>the violation</w:t>
      </w:r>
      <w:r w:rsidR="0088700B" w:rsidRPr="00D869E3">
        <w:rPr>
          <w:rFonts w:ascii="Verdana" w:hAnsi="Verdana"/>
          <w:sz w:val="18"/>
          <w:szCs w:val="20"/>
          <w:lang w:val="en-US"/>
        </w:rPr>
        <w:t xml:space="preserve"> </w:t>
      </w:r>
      <w:r w:rsidRPr="00D869E3">
        <w:rPr>
          <w:rFonts w:ascii="Verdana" w:hAnsi="Verdana"/>
          <w:sz w:val="18"/>
          <w:szCs w:val="20"/>
          <w:lang w:val="en-US"/>
        </w:rPr>
        <w:t>of</w:t>
      </w:r>
      <w:r w:rsidR="0088700B" w:rsidRPr="00D869E3">
        <w:rPr>
          <w:rFonts w:ascii="Verdana" w:hAnsi="Verdana"/>
          <w:sz w:val="18"/>
          <w:szCs w:val="20"/>
          <w:lang w:val="en-US"/>
        </w:rPr>
        <w:t xml:space="preserve"> [</w:t>
      </w:r>
      <w:r w:rsidRPr="00D869E3">
        <w:rPr>
          <w:rFonts w:ascii="Verdana" w:hAnsi="Verdana"/>
          <w:sz w:val="18"/>
          <w:szCs w:val="20"/>
          <w:lang w:val="en-US"/>
        </w:rPr>
        <w:t>his</w:t>
      </w:r>
      <w:r w:rsidR="0088700B" w:rsidRPr="00D869E3">
        <w:rPr>
          <w:rFonts w:ascii="Verdana" w:hAnsi="Verdana"/>
          <w:sz w:val="18"/>
          <w:szCs w:val="20"/>
          <w:lang w:val="en-US"/>
        </w:rPr>
        <w:t xml:space="preserve">] </w:t>
      </w:r>
      <w:r w:rsidRPr="00D869E3">
        <w:rPr>
          <w:rFonts w:ascii="Verdana" w:hAnsi="Verdana"/>
          <w:sz w:val="18"/>
          <w:szCs w:val="20"/>
          <w:lang w:val="en-US"/>
        </w:rPr>
        <w:t xml:space="preserve">constitutional and human rights: </w:t>
      </w:r>
      <w:r w:rsidR="000B2E5E" w:rsidRPr="00D869E3">
        <w:rPr>
          <w:rFonts w:ascii="Verdana" w:hAnsi="Verdana"/>
          <w:i/>
          <w:sz w:val="18"/>
          <w:szCs w:val="20"/>
          <w:lang w:val="en-US"/>
        </w:rPr>
        <w:t>the right to</w:t>
      </w:r>
      <w:r w:rsidRPr="00D869E3">
        <w:rPr>
          <w:rFonts w:ascii="Verdana" w:hAnsi="Verdana"/>
          <w:i/>
          <w:sz w:val="18"/>
          <w:szCs w:val="20"/>
          <w:lang w:val="en-US"/>
        </w:rPr>
        <w:t xml:space="preserve"> a fair trial and </w:t>
      </w:r>
      <w:r w:rsidRPr="00D869E3">
        <w:rPr>
          <w:rFonts w:ascii="Verdana" w:hAnsi="Verdana"/>
          <w:b/>
          <w:bCs/>
          <w:i/>
          <w:sz w:val="18"/>
          <w:szCs w:val="20"/>
          <w:lang w:val="en-US"/>
        </w:rPr>
        <w:t>the right to work</w:t>
      </w:r>
      <w:r w:rsidRPr="00D869E3">
        <w:rPr>
          <w:rFonts w:ascii="Verdana" w:hAnsi="Verdana"/>
          <w:i/>
          <w:sz w:val="18"/>
          <w:szCs w:val="20"/>
          <w:lang w:val="en-US"/>
        </w:rPr>
        <w:t>.</w:t>
      </w:r>
      <w:r w:rsidR="006436CA" w:rsidRPr="00D869E3">
        <w:rPr>
          <w:rFonts w:ascii="Verdana" w:hAnsi="Verdana"/>
          <w:sz w:val="18"/>
          <w:szCs w:val="20"/>
          <w:lang w:val="en-US"/>
        </w:rPr>
        <w:t>”</w:t>
      </w:r>
      <w:r w:rsidR="0088700B" w:rsidRPr="00D869E3">
        <w:rPr>
          <w:rStyle w:val="Refdenotaalpie"/>
          <w:sz w:val="18"/>
          <w:szCs w:val="20"/>
          <w:lang w:val="en-US"/>
        </w:rPr>
        <w:footnoteReference w:id="177"/>
      </w:r>
      <w:r w:rsidR="0088700B" w:rsidRPr="00D869E3">
        <w:rPr>
          <w:rFonts w:ascii="Verdana" w:hAnsi="Verdana"/>
          <w:sz w:val="18"/>
          <w:szCs w:val="20"/>
          <w:lang w:val="en-US"/>
        </w:rPr>
        <w:t xml:space="preserve"> </w:t>
      </w:r>
    </w:p>
    <w:p w14:paraId="08B98B59" w14:textId="77777777" w:rsidR="0088700B" w:rsidRPr="00D869E3" w:rsidRDefault="0088700B" w:rsidP="0088700B">
      <w:pPr>
        <w:ind w:left="851"/>
        <w:jc w:val="both"/>
        <w:rPr>
          <w:rFonts w:ascii="Verdana" w:hAnsi="Verdana"/>
          <w:b/>
          <w:sz w:val="18"/>
          <w:szCs w:val="20"/>
          <w:lang w:val="en-US"/>
        </w:rPr>
      </w:pPr>
    </w:p>
    <w:p w14:paraId="5123818A" w14:textId="33DA3F1C" w:rsidR="0088700B" w:rsidRPr="00D869E3" w:rsidRDefault="00DF2008" w:rsidP="00E66DD7">
      <w:pPr>
        <w:pStyle w:val="Prrafodelista"/>
        <w:numPr>
          <w:ilvl w:val="2"/>
          <w:numId w:val="21"/>
        </w:numPr>
        <w:ind w:left="851" w:firstLine="0"/>
        <w:jc w:val="both"/>
        <w:rPr>
          <w:rFonts w:ascii="Verdana" w:hAnsi="Verdana"/>
          <w:sz w:val="18"/>
          <w:szCs w:val="20"/>
          <w:lang w:val="en-US"/>
        </w:rPr>
      </w:pPr>
      <w:r w:rsidRPr="00D869E3">
        <w:rPr>
          <w:rFonts w:ascii="Verdana" w:hAnsi="Verdana"/>
          <w:sz w:val="18"/>
          <w:szCs w:val="20"/>
          <w:lang w:val="en-US"/>
        </w:rPr>
        <w:t>In a communication</w:t>
      </w:r>
      <w:r w:rsidR="0088700B" w:rsidRPr="00D869E3">
        <w:rPr>
          <w:rFonts w:ascii="Verdana" w:hAnsi="Verdana"/>
          <w:sz w:val="18"/>
          <w:szCs w:val="20"/>
          <w:lang w:val="en-US"/>
        </w:rPr>
        <w:t xml:space="preserve"> </w:t>
      </w:r>
      <w:r w:rsidR="00DE1777" w:rsidRPr="00D869E3">
        <w:rPr>
          <w:rFonts w:ascii="Verdana" w:hAnsi="Verdana"/>
          <w:sz w:val="18"/>
          <w:szCs w:val="20"/>
          <w:lang w:val="en-US"/>
        </w:rPr>
        <w:t>of February 20,</w:t>
      </w:r>
      <w:r w:rsidR="0088700B" w:rsidRPr="00D869E3">
        <w:rPr>
          <w:rFonts w:ascii="Verdana" w:hAnsi="Verdana"/>
          <w:sz w:val="18"/>
          <w:szCs w:val="20"/>
          <w:lang w:val="en-US"/>
        </w:rPr>
        <w:t xml:space="preserve"> 2003</w:t>
      </w:r>
      <w:r w:rsidR="00DE1777" w:rsidRPr="00D869E3">
        <w:rPr>
          <w:rFonts w:ascii="Verdana" w:hAnsi="Verdana"/>
          <w:sz w:val="18"/>
          <w:szCs w:val="20"/>
          <w:lang w:val="en-US"/>
        </w:rPr>
        <w:t xml:space="preserve">, addressed to the </w:t>
      </w:r>
      <w:r w:rsidR="00447C65" w:rsidRPr="00D869E3">
        <w:rPr>
          <w:rFonts w:ascii="Verdana" w:hAnsi="Verdana"/>
          <w:sz w:val="18"/>
          <w:szCs w:val="20"/>
          <w:lang w:val="en-US"/>
        </w:rPr>
        <w:t>President of the Commission</w:t>
      </w:r>
      <w:r w:rsidR="0088700B" w:rsidRPr="00D869E3">
        <w:rPr>
          <w:rFonts w:ascii="Verdana" w:hAnsi="Verdana"/>
          <w:sz w:val="18"/>
          <w:szCs w:val="20"/>
          <w:lang w:val="en-US"/>
        </w:rPr>
        <w:t xml:space="preserve">, </w:t>
      </w:r>
      <w:r w:rsidR="00DE1777" w:rsidRPr="00D869E3">
        <w:rPr>
          <w:rFonts w:ascii="Verdana" w:hAnsi="Verdana"/>
          <w:sz w:val="18"/>
          <w:szCs w:val="20"/>
          <w:lang w:val="en-US"/>
        </w:rPr>
        <w:t xml:space="preserve">and received on February 26, </w:t>
      </w:r>
      <w:r w:rsidR="0088700B" w:rsidRPr="00D869E3">
        <w:rPr>
          <w:rFonts w:ascii="Verdana" w:hAnsi="Verdana"/>
          <w:sz w:val="18"/>
          <w:szCs w:val="20"/>
          <w:lang w:val="en-US"/>
        </w:rPr>
        <w:t xml:space="preserve">2003, </w:t>
      </w:r>
      <w:r w:rsidR="001E44D3" w:rsidRPr="00D869E3">
        <w:rPr>
          <w:rFonts w:ascii="Verdana" w:hAnsi="Verdana"/>
          <w:sz w:val="18"/>
          <w:szCs w:val="20"/>
          <w:lang w:val="en-US"/>
        </w:rPr>
        <w:t>Mr. Lagos del Campo</w:t>
      </w:r>
      <w:r w:rsidR="0088700B" w:rsidRPr="00D869E3">
        <w:rPr>
          <w:rFonts w:ascii="Verdana" w:hAnsi="Verdana"/>
          <w:sz w:val="18"/>
          <w:szCs w:val="20"/>
          <w:lang w:val="en-US"/>
        </w:rPr>
        <w:t xml:space="preserve"> </w:t>
      </w:r>
      <w:r w:rsidR="00DE1777" w:rsidRPr="00D869E3">
        <w:rPr>
          <w:rFonts w:ascii="Verdana" w:hAnsi="Verdana"/>
          <w:sz w:val="18"/>
          <w:szCs w:val="20"/>
          <w:lang w:val="en-US"/>
        </w:rPr>
        <w:t>stated that,</w:t>
      </w:r>
      <w:r w:rsidR="0088700B" w:rsidRPr="00D869E3">
        <w:rPr>
          <w:rFonts w:ascii="Verdana" w:hAnsi="Verdana"/>
          <w:sz w:val="18"/>
          <w:szCs w:val="20"/>
          <w:lang w:val="en-US"/>
        </w:rPr>
        <w:t xml:space="preserve"> </w:t>
      </w:r>
      <w:r w:rsidR="006436CA" w:rsidRPr="00D869E3">
        <w:rPr>
          <w:rFonts w:ascii="Verdana" w:hAnsi="Verdana"/>
          <w:sz w:val="18"/>
          <w:szCs w:val="20"/>
          <w:lang w:val="en-US"/>
        </w:rPr>
        <w:t>“</w:t>
      </w:r>
      <w:r w:rsidR="00DE1777" w:rsidRPr="00D869E3">
        <w:rPr>
          <w:rFonts w:ascii="Verdana" w:hAnsi="Verdana"/>
          <w:sz w:val="18"/>
          <w:szCs w:val="20"/>
          <w:lang w:val="en-US"/>
        </w:rPr>
        <w:t>as the updated and regularized petition of July 23, 1998, [had] opportunely substantiated before the international jurisdiction that you preside, in Peru there had been a flagrant violation of [his] human rights ; to wit</w:t>
      </w:r>
      <w:r w:rsidR="00FF7414" w:rsidRPr="00D869E3">
        <w:rPr>
          <w:rFonts w:ascii="Verdana" w:hAnsi="Verdana"/>
          <w:sz w:val="18"/>
          <w:szCs w:val="20"/>
          <w:lang w:val="en-US"/>
        </w:rPr>
        <w:t>:</w:t>
      </w:r>
      <w:r w:rsidR="0088700B" w:rsidRPr="00D869E3">
        <w:rPr>
          <w:rFonts w:ascii="Verdana" w:hAnsi="Verdana"/>
          <w:sz w:val="18"/>
          <w:szCs w:val="20"/>
          <w:lang w:val="en-US"/>
        </w:rPr>
        <w:t xml:space="preserve"> </w:t>
      </w:r>
      <w:r w:rsidR="00DE1777" w:rsidRPr="00D869E3">
        <w:rPr>
          <w:rFonts w:ascii="Verdana" w:hAnsi="Verdana"/>
          <w:i/>
          <w:sz w:val="18"/>
          <w:szCs w:val="20"/>
          <w:lang w:val="en-US"/>
        </w:rPr>
        <w:t xml:space="preserve">the right to be heard by a competent court, the right of equal protection of the law, the right </w:t>
      </w:r>
      <w:r w:rsidR="00DE1777" w:rsidRPr="00D869E3">
        <w:rPr>
          <w:rFonts w:ascii="Verdana" w:hAnsi="Verdana"/>
          <w:i/>
          <w:sz w:val="18"/>
          <w:szCs w:val="20"/>
          <w:lang w:val="en-US"/>
        </w:rPr>
        <w:lastRenderedPageBreak/>
        <w:t xml:space="preserve">to protection of the family, the </w:t>
      </w:r>
      <w:r w:rsidR="00CC766D" w:rsidRPr="00D869E3">
        <w:rPr>
          <w:rFonts w:ascii="Verdana" w:hAnsi="Verdana"/>
          <w:i/>
          <w:sz w:val="18"/>
          <w:szCs w:val="20"/>
          <w:lang w:val="en-US"/>
        </w:rPr>
        <w:t>right to</w:t>
      </w:r>
      <w:r w:rsidR="0088700B" w:rsidRPr="00D869E3">
        <w:rPr>
          <w:rFonts w:ascii="Verdana" w:hAnsi="Verdana"/>
          <w:i/>
          <w:sz w:val="18"/>
          <w:szCs w:val="20"/>
          <w:lang w:val="en-US"/>
        </w:rPr>
        <w:t xml:space="preserve"> judicial</w:t>
      </w:r>
      <w:r w:rsidR="00DE1777" w:rsidRPr="00D869E3">
        <w:rPr>
          <w:rFonts w:ascii="Verdana" w:hAnsi="Verdana"/>
          <w:i/>
          <w:sz w:val="18"/>
          <w:szCs w:val="20"/>
          <w:lang w:val="en-US"/>
        </w:rPr>
        <w:t xml:space="preserve"> protection against the violation of fundamental rights </w:t>
      </w:r>
      <w:r w:rsidR="00687684" w:rsidRPr="00D869E3">
        <w:rPr>
          <w:rFonts w:ascii="Verdana" w:hAnsi="Verdana"/>
          <w:i/>
          <w:sz w:val="18"/>
          <w:szCs w:val="20"/>
          <w:lang w:val="en-US"/>
        </w:rPr>
        <w:t>and</w:t>
      </w:r>
      <w:r w:rsidR="00DE1777" w:rsidRPr="00D869E3">
        <w:rPr>
          <w:rFonts w:ascii="Verdana" w:hAnsi="Verdana"/>
          <w:i/>
          <w:sz w:val="18"/>
          <w:szCs w:val="20"/>
          <w:lang w:val="en-US"/>
        </w:rPr>
        <w:t xml:space="preserve"> the</w:t>
      </w:r>
      <w:r w:rsidR="00687684" w:rsidRPr="00D869E3">
        <w:rPr>
          <w:rFonts w:ascii="Verdana" w:hAnsi="Verdana"/>
          <w:i/>
          <w:sz w:val="18"/>
          <w:szCs w:val="20"/>
          <w:lang w:val="en-US"/>
        </w:rPr>
        <w:t xml:space="preserve"> </w:t>
      </w:r>
      <w:r w:rsidR="00DE1777" w:rsidRPr="00D869E3">
        <w:rPr>
          <w:rFonts w:ascii="Verdana" w:hAnsi="Verdana"/>
          <w:b/>
          <w:i/>
          <w:sz w:val="18"/>
          <w:szCs w:val="20"/>
          <w:lang w:val="en-US"/>
        </w:rPr>
        <w:t>right to work</w:t>
      </w:r>
      <w:r w:rsidR="003F425B" w:rsidRPr="00D869E3">
        <w:rPr>
          <w:rFonts w:ascii="Verdana" w:hAnsi="Verdana"/>
          <w:sz w:val="18"/>
          <w:szCs w:val="20"/>
          <w:lang w:val="en-US"/>
        </w:rPr>
        <w:t xml:space="preserve">, rights protected by </w:t>
      </w:r>
      <w:r w:rsidR="00447C65" w:rsidRPr="00D869E3">
        <w:rPr>
          <w:rFonts w:ascii="Verdana" w:hAnsi="Verdana"/>
          <w:sz w:val="18"/>
          <w:szCs w:val="20"/>
          <w:lang w:val="en-US"/>
        </w:rPr>
        <w:t>the American Convention on Human Rights</w:t>
      </w:r>
      <w:r w:rsidR="0088700B" w:rsidRPr="00D869E3">
        <w:rPr>
          <w:rFonts w:ascii="Verdana" w:hAnsi="Verdana"/>
          <w:sz w:val="18"/>
          <w:szCs w:val="20"/>
          <w:lang w:val="en-US"/>
        </w:rPr>
        <w:t xml:space="preserve">, </w:t>
      </w:r>
      <w:r w:rsidR="003F425B" w:rsidRPr="00D869E3">
        <w:rPr>
          <w:rFonts w:ascii="Verdana" w:hAnsi="Verdana"/>
          <w:sz w:val="18"/>
          <w:szCs w:val="20"/>
          <w:lang w:val="en-US"/>
        </w:rPr>
        <w:t xml:space="preserve">the Additional </w:t>
      </w:r>
      <w:r w:rsidR="00FF7414" w:rsidRPr="00D869E3">
        <w:rPr>
          <w:rFonts w:ascii="Verdana" w:hAnsi="Verdana"/>
          <w:sz w:val="18"/>
          <w:szCs w:val="20"/>
          <w:lang w:val="en-US"/>
        </w:rPr>
        <w:t>P</w:t>
      </w:r>
      <w:r w:rsidR="0088700B" w:rsidRPr="00D869E3">
        <w:rPr>
          <w:rFonts w:ascii="Verdana" w:hAnsi="Verdana"/>
          <w:sz w:val="18"/>
          <w:szCs w:val="20"/>
          <w:lang w:val="en-US"/>
        </w:rPr>
        <w:t>rotocol</w:t>
      </w:r>
      <w:r w:rsidR="003F425B" w:rsidRPr="00D869E3">
        <w:rPr>
          <w:rFonts w:ascii="Verdana" w:hAnsi="Verdana"/>
          <w:sz w:val="18"/>
          <w:szCs w:val="20"/>
          <w:lang w:val="en-US"/>
        </w:rPr>
        <w:t xml:space="preserve"> to </w:t>
      </w:r>
      <w:r w:rsidR="00447C65" w:rsidRPr="00D869E3">
        <w:rPr>
          <w:rFonts w:ascii="Verdana" w:hAnsi="Verdana"/>
          <w:sz w:val="18"/>
          <w:szCs w:val="20"/>
          <w:lang w:val="en-US"/>
        </w:rPr>
        <w:t>the American Convention on Human Rights</w:t>
      </w:r>
      <w:r w:rsidR="0088700B" w:rsidRPr="00D869E3">
        <w:rPr>
          <w:rFonts w:ascii="Verdana" w:hAnsi="Verdana"/>
          <w:sz w:val="18"/>
          <w:szCs w:val="20"/>
          <w:lang w:val="en-US"/>
        </w:rPr>
        <w:t xml:space="preserve"> </w:t>
      </w:r>
      <w:r w:rsidR="003F425B" w:rsidRPr="00D869E3">
        <w:rPr>
          <w:rFonts w:ascii="Verdana" w:hAnsi="Verdana"/>
          <w:sz w:val="18"/>
          <w:szCs w:val="20"/>
          <w:lang w:val="en-US"/>
        </w:rPr>
        <w:t>in the Area of Economic, Social and Cultural Rights, ‘</w:t>
      </w:r>
      <w:r w:rsidR="0088700B" w:rsidRPr="00D869E3">
        <w:rPr>
          <w:rFonts w:ascii="Verdana" w:hAnsi="Verdana"/>
          <w:sz w:val="18"/>
          <w:szCs w:val="20"/>
          <w:lang w:val="en-US"/>
        </w:rPr>
        <w:t>Protocol</w:t>
      </w:r>
      <w:r w:rsidR="003F425B" w:rsidRPr="00D869E3">
        <w:rPr>
          <w:rFonts w:ascii="Verdana" w:hAnsi="Verdana"/>
          <w:sz w:val="18"/>
          <w:szCs w:val="20"/>
          <w:lang w:val="en-US"/>
        </w:rPr>
        <w:t xml:space="preserve"> of</w:t>
      </w:r>
      <w:r w:rsidR="0088700B" w:rsidRPr="00D869E3">
        <w:rPr>
          <w:rFonts w:ascii="Verdana" w:hAnsi="Verdana"/>
          <w:sz w:val="18"/>
          <w:szCs w:val="20"/>
          <w:lang w:val="en-US"/>
        </w:rPr>
        <w:t xml:space="preserve"> San Salvador,</w:t>
      </w:r>
      <w:r w:rsidR="003F425B" w:rsidRPr="00D869E3">
        <w:rPr>
          <w:rFonts w:ascii="Verdana" w:hAnsi="Verdana"/>
          <w:sz w:val="18"/>
          <w:szCs w:val="20"/>
          <w:lang w:val="en-US"/>
        </w:rPr>
        <w:t>’</w:t>
      </w:r>
      <w:r w:rsidR="00687684" w:rsidRPr="00D869E3">
        <w:rPr>
          <w:rFonts w:ascii="Verdana" w:hAnsi="Verdana"/>
          <w:sz w:val="18"/>
          <w:szCs w:val="20"/>
          <w:lang w:val="en-US"/>
        </w:rPr>
        <w:t xml:space="preserve"> and </w:t>
      </w:r>
      <w:r w:rsidR="0088700B" w:rsidRPr="00D869E3">
        <w:rPr>
          <w:rFonts w:ascii="Verdana" w:hAnsi="Verdana"/>
          <w:sz w:val="18"/>
          <w:szCs w:val="20"/>
          <w:lang w:val="en-US"/>
        </w:rPr>
        <w:t>ot</w:t>
      </w:r>
      <w:r w:rsidR="003F425B" w:rsidRPr="00D869E3">
        <w:rPr>
          <w:rFonts w:ascii="Verdana" w:hAnsi="Verdana"/>
          <w:sz w:val="18"/>
          <w:szCs w:val="20"/>
          <w:lang w:val="en-US"/>
        </w:rPr>
        <w:t>her international human rights instruments.</w:t>
      </w:r>
      <w:r w:rsidR="006436CA" w:rsidRPr="00D869E3">
        <w:rPr>
          <w:rFonts w:ascii="Verdana" w:hAnsi="Verdana"/>
          <w:sz w:val="18"/>
          <w:szCs w:val="20"/>
          <w:lang w:val="en-US"/>
        </w:rPr>
        <w:t>”</w:t>
      </w:r>
      <w:r w:rsidR="0088700B" w:rsidRPr="00D869E3">
        <w:rPr>
          <w:rStyle w:val="Refdenotaalpie"/>
          <w:sz w:val="18"/>
          <w:szCs w:val="20"/>
          <w:lang w:val="en-US"/>
        </w:rPr>
        <w:footnoteReference w:id="178"/>
      </w:r>
    </w:p>
    <w:p w14:paraId="5A2D6B6A" w14:textId="77777777" w:rsidR="0088700B" w:rsidRPr="00D869E3" w:rsidRDefault="0088700B" w:rsidP="0088700B">
      <w:pPr>
        <w:jc w:val="both"/>
        <w:rPr>
          <w:rFonts w:ascii="Verdana" w:hAnsi="Verdana"/>
          <w:sz w:val="18"/>
          <w:szCs w:val="20"/>
          <w:lang w:val="en-US"/>
        </w:rPr>
      </w:pPr>
    </w:p>
    <w:p w14:paraId="1B7EAB02" w14:textId="52C2292A" w:rsidR="0088700B" w:rsidRPr="00D869E3" w:rsidRDefault="00687684" w:rsidP="00E66DD7">
      <w:pPr>
        <w:pStyle w:val="Prrafodelista"/>
        <w:numPr>
          <w:ilvl w:val="2"/>
          <w:numId w:val="21"/>
        </w:numPr>
        <w:ind w:left="851" w:firstLine="0"/>
        <w:jc w:val="both"/>
        <w:rPr>
          <w:rFonts w:ascii="Verdana" w:hAnsi="Verdana"/>
          <w:sz w:val="18"/>
          <w:szCs w:val="20"/>
          <w:lang w:val="en-US"/>
        </w:rPr>
      </w:pPr>
      <w:r w:rsidRPr="00D869E3">
        <w:rPr>
          <w:rFonts w:ascii="Verdana" w:hAnsi="Verdana"/>
          <w:sz w:val="18"/>
          <w:szCs w:val="20"/>
          <w:lang w:val="en-US"/>
        </w:rPr>
        <w:t>Report</w:t>
      </w:r>
      <w:r w:rsidR="0088700B" w:rsidRPr="00D869E3">
        <w:rPr>
          <w:rFonts w:ascii="Verdana" w:hAnsi="Verdana"/>
          <w:sz w:val="18"/>
          <w:szCs w:val="20"/>
          <w:lang w:val="en-US"/>
        </w:rPr>
        <w:t>s No</w:t>
      </w:r>
      <w:r w:rsidR="003F425B" w:rsidRPr="00D869E3">
        <w:rPr>
          <w:rFonts w:ascii="Verdana" w:hAnsi="Verdana"/>
          <w:sz w:val="18"/>
          <w:szCs w:val="20"/>
          <w:lang w:val="en-US"/>
        </w:rPr>
        <w:t>s</w:t>
      </w:r>
      <w:r w:rsidR="0088700B" w:rsidRPr="00D869E3">
        <w:rPr>
          <w:rFonts w:ascii="Verdana" w:hAnsi="Verdana"/>
          <w:sz w:val="18"/>
          <w:szCs w:val="20"/>
          <w:lang w:val="en-US"/>
        </w:rPr>
        <w:t xml:space="preserve">. </w:t>
      </w:r>
      <w:r w:rsidR="0088700B" w:rsidRPr="00D869E3">
        <w:rPr>
          <w:rFonts w:ascii="Verdana" w:hAnsi="Verdana"/>
          <w:bCs/>
          <w:sz w:val="18"/>
          <w:szCs w:val="20"/>
          <w:lang w:val="en-US"/>
        </w:rPr>
        <w:t>21-2003-JUS/CNDH-SE</w:t>
      </w:r>
      <w:r w:rsidRPr="00D869E3">
        <w:rPr>
          <w:rFonts w:ascii="Verdana" w:hAnsi="Verdana"/>
          <w:bCs/>
          <w:sz w:val="18"/>
          <w:szCs w:val="20"/>
          <w:lang w:val="en-US"/>
        </w:rPr>
        <w:t xml:space="preserve"> and </w:t>
      </w:r>
      <w:r w:rsidR="0088700B" w:rsidRPr="00D869E3">
        <w:rPr>
          <w:rFonts w:ascii="Verdana" w:hAnsi="Verdana"/>
          <w:sz w:val="18"/>
          <w:szCs w:val="20"/>
          <w:lang w:val="en-US"/>
        </w:rPr>
        <w:t xml:space="preserve">57-2007-JUS/CNDH/SE/CESAPI </w:t>
      </w:r>
      <w:r w:rsidR="003F425B" w:rsidRPr="00D869E3">
        <w:rPr>
          <w:rFonts w:ascii="Verdana" w:hAnsi="Verdana"/>
          <w:sz w:val="18"/>
          <w:szCs w:val="20"/>
          <w:lang w:val="en-US"/>
        </w:rPr>
        <w:t xml:space="preserve">of the Executive Secretariat of the National Human Rights Council of Peru </w:t>
      </w:r>
      <w:r w:rsidR="0088700B" w:rsidRPr="00D869E3">
        <w:rPr>
          <w:rFonts w:ascii="Verdana" w:hAnsi="Verdana"/>
          <w:sz w:val="18"/>
          <w:szCs w:val="20"/>
          <w:lang w:val="en-US"/>
        </w:rPr>
        <w:t>(</w:t>
      </w:r>
      <w:r w:rsidR="00447C65" w:rsidRPr="00D869E3">
        <w:rPr>
          <w:rFonts w:ascii="Verdana" w:hAnsi="Verdana"/>
          <w:sz w:val="18"/>
          <w:szCs w:val="20"/>
          <w:lang w:val="en-US"/>
        </w:rPr>
        <w:t>the State</w:t>
      </w:r>
      <w:r w:rsidR="0088700B" w:rsidRPr="00D869E3">
        <w:rPr>
          <w:rFonts w:ascii="Verdana" w:hAnsi="Verdana"/>
          <w:sz w:val="18"/>
          <w:szCs w:val="20"/>
          <w:lang w:val="en-US"/>
        </w:rPr>
        <w:t xml:space="preserve">) </w:t>
      </w:r>
      <w:r w:rsidR="003F425B" w:rsidRPr="00D869E3">
        <w:rPr>
          <w:rFonts w:ascii="Verdana" w:hAnsi="Verdana"/>
          <w:sz w:val="18"/>
          <w:szCs w:val="20"/>
          <w:lang w:val="en-US"/>
        </w:rPr>
        <w:t>dated March 7,</w:t>
      </w:r>
      <w:r w:rsidR="0088700B" w:rsidRPr="00D869E3">
        <w:rPr>
          <w:rFonts w:ascii="Verdana" w:hAnsi="Verdana"/>
          <w:sz w:val="18"/>
          <w:szCs w:val="20"/>
          <w:lang w:val="en-US"/>
        </w:rPr>
        <w:t xml:space="preserve"> 2003</w:t>
      </w:r>
      <w:r w:rsidR="003F425B" w:rsidRPr="00D869E3">
        <w:rPr>
          <w:rFonts w:ascii="Verdana" w:hAnsi="Verdana"/>
          <w:sz w:val="18"/>
          <w:szCs w:val="20"/>
          <w:lang w:val="en-US"/>
        </w:rPr>
        <w:t>,</w:t>
      </w:r>
      <w:r w:rsidRPr="00D869E3">
        <w:rPr>
          <w:rFonts w:ascii="Verdana" w:hAnsi="Verdana"/>
          <w:sz w:val="18"/>
          <w:szCs w:val="20"/>
          <w:lang w:val="en-US"/>
        </w:rPr>
        <w:t xml:space="preserve"> and </w:t>
      </w:r>
      <w:r w:rsidR="003F425B" w:rsidRPr="00D869E3">
        <w:rPr>
          <w:rFonts w:ascii="Verdana" w:hAnsi="Verdana"/>
          <w:sz w:val="18"/>
          <w:szCs w:val="20"/>
          <w:lang w:val="en-US"/>
        </w:rPr>
        <w:t>May 15,</w:t>
      </w:r>
      <w:r w:rsidR="0088700B" w:rsidRPr="00D869E3">
        <w:rPr>
          <w:rFonts w:ascii="Verdana" w:hAnsi="Verdana"/>
          <w:sz w:val="18"/>
          <w:szCs w:val="20"/>
          <w:lang w:val="en-US"/>
        </w:rPr>
        <w:t xml:space="preserve"> 2007, </w:t>
      </w:r>
      <w:r w:rsidR="003F425B" w:rsidRPr="00D869E3">
        <w:rPr>
          <w:rFonts w:ascii="Verdana" w:hAnsi="Verdana"/>
          <w:sz w:val="18"/>
          <w:szCs w:val="20"/>
          <w:lang w:val="en-US"/>
        </w:rPr>
        <w:t>indicated in the section on “Grounds for the petition or rights presumably violated” that</w:t>
      </w:r>
      <w:r w:rsidR="005A0EB4" w:rsidRPr="00D869E3">
        <w:rPr>
          <w:rFonts w:ascii="Verdana" w:hAnsi="Verdana"/>
          <w:sz w:val="18"/>
          <w:szCs w:val="20"/>
          <w:lang w:val="en-US"/>
        </w:rPr>
        <w:t>, in the petition lodged before the IACHR,</w:t>
      </w:r>
      <w:r w:rsidR="003F425B" w:rsidRPr="00D869E3">
        <w:rPr>
          <w:rFonts w:ascii="Verdana" w:hAnsi="Verdana"/>
          <w:sz w:val="18"/>
          <w:szCs w:val="20"/>
          <w:lang w:val="en-US"/>
        </w:rPr>
        <w:t xml:space="preserve"> </w:t>
      </w:r>
      <w:r w:rsidR="001E44D3" w:rsidRPr="00D869E3">
        <w:rPr>
          <w:rFonts w:ascii="Verdana" w:hAnsi="Verdana"/>
          <w:sz w:val="18"/>
          <w:szCs w:val="20"/>
          <w:lang w:val="en-US"/>
        </w:rPr>
        <w:t>Mr. Lagos del Campo</w:t>
      </w:r>
      <w:r w:rsidR="0088700B" w:rsidRPr="00D869E3">
        <w:rPr>
          <w:rFonts w:ascii="Verdana" w:hAnsi="Verdana"/>
          <w:sz w:val="18"/>
          <w:szCs w:val="20"/>
          <w:lang w:val="en-US"/>
        </w:rPr>
        <w:t xml:space="preserve"> </w:t>
      </w:r>
      <w:r w:rsidR="005A0EB4" w:rsidRPr="00D869E3">
        <w:rPr>
          <w:rFonts w:ascii="Verdana" w:hAnsi="Verdana"/>
          <w:sz w:val="18"/>
          <w:szCs w:val="20"/>
          <w:lang w:val="en-US"/>
        </w:rPr>
        <w:t xml:space="preserve">had requested “immediate </w:t>
      </w:r>
      <w:r w:rsidR="005A0EB4" w:rsidRPr="00D869E3">
        <w:rPr>
          <w:rFonts w:ascii="Verdana" w:hAnsi="Verdana"/>
          <w:i/>
          <w:iCs/>
          <w:sz w:val="18"/>
          <w:szCs w:val="20"/>
          <w:lang w:val="en-US"/>
        </w:rPr>
        <w:t>reinstatement in his job</w:t>
      </w:r>
      <w:r w:rsidR="005A0EB4" w:rsidRPr="00D869E3">
        <w:rPr>
          <w:rFonts w:ascii="Verdana" w:hAnsi="Verdana"/>
          <w:sz w:val="18"/>
          <w:szCs w:val="20"/>
          <w:lang w:val="en-US"/>
        </w:rPr>
        <w:t xml:space="preserve"> </w:t>
      </w:r>
      <w:r w:rsidR="005833C9" w:rsidRPr="00D869E3">
        <w:rPr>
          <w:rFonts w:ascii="Verdana" w:hAnsi="Verdana"/>
          <w:sz w:val="18"/>
          <w:szCs w:val="20"/>
          <w:lang w:val="en-US"/>
        </w:rPr>
        <w:t>at</w:t>
      </w:r>
      <w:r w:rsidR="005A0EB4" w:rsidRPr="00D869E3">
        <w:rPr>
          <w:rFonts w:ascii="Verdana" w:hAnsi="Verdana"/>
          <w:sz w:val="18"/>
          <w:szCs w:val="20"/>
          <w:lang w:val="en-US"/>
        </w:rPr>
        <w:t xml:space="preserve"> </w:t>
      </w:r>
      <w:r w:rsidR="0088700B" w:rsidRPr="00D869E3">
        <w:rPr>
          <w:rFonts w:ascii="Verdana" w:hAnsi="Verdana"/>
          <w:sz w:val="18"/>
          <w:szCs w:val="20"/>
          <w:lang w:val="en-US"/>
        </w:rPr>
        <w:t xml:space="preserve">CEPER-PIRELLI, </w:t>
      </w:r>
      <w:r w:rsidR="005A0EB4" w:rsidRPr="00D869E3">
        <w:rPr>
          <w:rFonts w:ascii="Verdana" w:hAnsi="Verdana"/>
          <w:sz w:val="18"/>
          <w:szCs w:val="20"/>
          <w:lang w:val="en-US"/>
        </w:rPr>
        <w:t>with the corresponding salary and benefits.</w:t>
      </w:r>
      <w:r w:rsidR="006436CA" w:rsidRPr="00D869E3">
        <w:rPr>
          <w:rFonts w:ascii="Verdana" w:hAnsi="Verdana"/>
          <w:sz w:val="18"/>
          <w:szCs w:val="20"/>
          <w:lang w:val="en-US"/>
        </w:rPr>
        <w:t>”</w:t>
      </w:r>
      <w:r w:rsidR="0088700B" w:rsidRPr="00D869E3">
        <w:rPr>
          <w:rStyle w:val="Refdenotaalpie"/>
          <w:sz w:val="18"/>
          <w:szCs w:val="18"/>
          <w:lang w:val="en-US"/>
        </w:rPr>
        <w:footnoteReference w:id="179"/>
      </w:r>
    </w:p>
    <w:p w14:paraId="65733BF9" w14:textId="77777777" w:rsidR="0088700B" w:rsidRPr="00D869E3" w:rsidRDefault="0088700B" w:rsidP="0088700B">
      <w:pPr>
        <w:pStyle w:val="Prrafodelista"/>
        <w:ind w:left="851"/>
        <w:rPr>
          <w:rFonts w:ascii="Verdana" w:hAnsi="Verdana"/>
          <w:sz w:val="18"/>
          <w:szCs w:val="20"/>
          <w:lang w:val="en-US"/>
        </w:rPr>
      </w:pPr>
    </w:p>
    <w:p w14:paraId="10D0ADE8" w14:textId="581A12C2" w:rsidR="0088700B" w:rsidRPr="00D869E3" w:rsidRDefault="005A0EB4" w:rsidP="00E66DD7">
      <w:pPr>
        <w:pStyle w:val="Prrafodelista"/>
        <w:numPr>
          <w:ilvl w:val="2"/>
          <w:numId w:val="21"/>
        </w:numPr>
        <w:ind w:left="851" w:firstLine="0"/>
        <w:jc w:val="both"/>
        <w:rPr>
          <w:rFonts w:ascii="Verdana" w:hAnsi="Verdana"/>
          <w:sz w:val="18"/>
          <w:szCs w:val="20"/>
          <w:lang w:val="en-US"/>
        </w:rPr>
      </w:pPr>
      <w:r w:rsidRPr="00D869E3">
        <w:rPr>
          <w:rFonts w:ascii="Verdana" w:hAnsi="Verdana"/>
          <w:sz w:val="18"/>
          <w:szCs w:val="20"/>
          <w:lang w:val="en-US"/>
        </w:rPr>
        <w:t>A</w:t>
      </w:r>
      <w:r w:rsidR="003F425B" w:rsidRPr="00D869E3">
        <w:rPr>
          <w:rFonts w:ascii="Verdana" w:hAnsi="Verdana"/>
          <w:sz w:val="18"/>
          <w:szCs w:val="20"/>
          <w:lang w:val="en-US"/>
        </w:rPr>
        <w:t xml:space="preserve"> communication</w:t>
      </w:r>
      <w:r w:rsidR="00447C65" w:rsidRPr="00D869E3">
        <w:rPr>
          <w:rFonts w:ascii="Verdana" w:hAnsi="Verdana"/>
          <w:sz w:val="18"/>
          <w:szCs w:val="20"/>
          <w:lang w:val="en-US"/>
        </w:rPr>
        <w:t xml:space="preserve"> of the Commission</w:t>
      </w:r>
      <w:r w:rsidR="0088700B" w:rsidRPr="00D869E3">
        <w:rPr>
          <w:rFonts w:ascii="Verdana" w:hAnsi="Verdana"/>
          <w:sz w:val="18"/>
          <w:szCs w:val="20"/>
          <w:lang w:val="en-US"/>
        </w:rPr>
        <w:t xml:space="preserve"> </w:t>
      </w:r>
      <w:r w:rsidRPr="00D869E3">
        <w:rPr>
          <w:rFonts w:ascii="Verdana" w:hAnsi="Verdana"/>
          <w:sz w:val="18"/>
          <w:szCs w:val="20"/>
          <w:lang w:val="en-US"/>
        </w:rPr>
        <w:t>of November 12,</w:t>
      </w:r>
      <w:r w:rsidR="0088700B" w:rsidRPr="00D869E3">
        <w:rPr>
          <w:rFonts w:ascii="Verdana" w:hAnsi="Verdana"/>
          <w:sz w:val="18"/>
          <w:szCs w:val="20"/>
          <w:lang w:val="en-US"/>
        </w:rPr>
        <w:t xml:space="preserve"> 2010</w:t>
      </w:r>
      <w:r w:rsidRPr="00D869E3">
        <w:rPr>
          <w:rFonts w:ascii="Verdana" w:hAnsi="Verdana"/>
          <w:sz w:val="18"/>
          <w:szCs w:val="20"/>
          <w:lang w:val="en-US"/>
        </w:rPr>
        <w:t>,</w:t>
      </w:r>
      <w:r w:rsidR="0088700B" w:rsidRPr="00D869E3">
        <w:rPr>
          <w:rFonts w:ascii="Verdana" w:hAnsi="Verdana"/>
          <w:sz w:val="18"/>
          <w:szCs w:val="20"/>
          <w:lang w:val="en-US"/>
        </w:rPr>
        <w:t xml:space="preserve"> </w:t>
      </w:r>
      <w:r w:rsidRPr="00D869E3">
        <w:rPr>
          <w:rFonts w:ascii="Verdana" w:hAnsi="Verdana"/>
          <w:sz w:val="18"/>
          <w:szCs w:val="20"/>
          <w:lang w:val="en-US"/>
        </w:rPr>
        <w:t>addressed to Mr.</w:t>
      </w:r>
      <w:r w:rsidR="0088700B" w:rsidRPr="00D869E3">
        <w:rPr>
          <w:rFonts w:ascii="Verdana" w:hAnsi="Verdana"/>
          <w:sz w:val="18"/>
          <w:szCs w:val="20"/>
          <w:lang w:val="en-US"/>
        </w:rPr>
        <w:t xml:space="preserve"> Lagos del Campo</w:t>
      </w:r>
      <w:r w:rsidRPr="00D869E3">
        <w:rPr>
          <w:rFonts w:ascii="Verdana" w:hAnsi="Verdana"/>
          <w:sz w:val="18"/>
          <w:szCs w:val="20"/>
          <w:lang w:val="en-US"/>
        </w:rPr>
        <w:t xml:space="preserve">, indicated </w:t>
      </w:r>
      <w:r w:rsidR="006436CA" w:rsidRPr="00D869E3">
        <w:rPr>
          <w:rFonts w:ascii="Verdana" w:hAnsi="Verdana"/>
          <w:sz w:val="18"/>
          <w:szCs w:val="20"/>
          <w:lang w:val="en-US"/>
        </w:rPr>
        <w:t>“</w:t>
      </w:r>
      <w:r w:rsidRPr="00D869E3">
        <w:rPr>
          <w:rFonts w:ascii="Verdana" w:hAnsi="Verdana"/>
          <w:sz w:val="18"/>
          <w:szCs w:val="20"/>
          <w:lang w:val="en-US"/>
        </w:rPr>
        <w:t>that</w:t>
      </w:r>
      <w:r w:rsidR="0088700B" w:rsidRPr="00D869E3">
        <w:rPr>
          <w:rFonts w:ascii="Verdana" w:hAnsi="Verdana"/>
          <w:sz w:val="18"/>
          <w:szCs w:val="20"/>
          <w:lang w:val="en-US"/>
        </w:rPr>
        <w:t xml:space="preserve"> </w:t>
      </w:r>
      <w:r w:rsidR="00447C65" w:rsidRPr="00D869E3">
        <w:rPr>
          <w:rFonts w:ascii="Verdana" w:hAnsi="Verdana"/>
          <w:sz w:val="18"/>
          <w:szCs w:val="20"/>
          <w:lang w:val="en-US"/>
        </w:rPr>
        <w:t>the Commission</w:t>
      </w:r>
      <w:r w:rsidR="0088700B" w:rsidRPr="00D869E3">
        <w:rPr>
          <w:rFonts w:ascii="Verdana" w:hAnsi="Verdana"/>
          <w:sz w:val="18"/>
          <w:szCs w:val="20"/>
          <w:lang w:val="en-US"/>
        </w:rPr>
        <w:t xml:space="preserve"> […</w:t>
      </w:r>
      <w:r w:rsidRPr="00D869E3">
        <w:rPr>
          <w:rFonts w:ascii="Verdana" w:hAnsi="Verdana"/>
          <w:sz w:val="18"/>
          <w:szCs w:val="20"/>
          <w:lang w:val="en-US"/>
        </w:rPr>
        <w:t>had</w:t>
      </w:r>
      <w:r w:rsidR="0088700B" w:rsidRPr="00D869E3">
        <w:rPr>
          <w:rFonts w:ascii="Verdana" w:hAnsi="Verdana"/>
          <w:sz w:val="18"/>
          <w:szCs w:val="20"/>
          <w:lang w:val="en-US"/>
        </w:rPr>
        <w:t>]</w:t>
      </w:r>
      <w:r w:rsidR="008644E8" w:rsidRPr="00D869E3">
        <w:rPr>
          <w:rFonts w:ascii="Verdana" w:hAnsi="Verdana"/>
          <w:sz w:val="18"/>
          <w:szCs w:val="20"/>
          <w:lang w:val="en-US"/>
        </w:rPr>
        <w:t xml:space="preserve"> </w:t>
      </w:r>
      <w:r w:rsidR="0088700B" w:rsidRPr="00D869E3">
        <w:rPr>
          <w:rFonts w:ascii="Verdana" w:hAnsi="Verdana"/>
          <w:sz w:val="18"/>
          <w:szCs w:val="20"/>
          <w:lang w:val="en-US"/>
        </w:rPr>
        <w:t>examin</w:t>
      </w:r>
      <w:r w:rsidRPr="00D869E3">
        <w:rPr>
          <w:rFonts w:ascii="Verdana" w:hAnsi="Verdana"/>
          <w:sz w:val="18"/>
          <w:szCs w:val="20"/>
          <w:lang w:val="en-US"/>
        </w:rPr>
        <w:t>ed</w:t>
      </w:r>
      <w:r w:rsidR="0088700B" w:rsidRPr="00D869E3">
        <w:rPr>
          <w:rFonts w:ascii="Verdana" w:hAnsi="Verdana"/>
          <w:sz w:val="18"/>
          <w:szCs w:val="20"/>
          <w:lang w:val="en-US"/>
        </w:rPr>
        <w:t xml:space="preserve"> </w:t>
      </w:r>
      <w:r w:rsidRPr="00D869E3">
        <w:rPr>
          <w:rFonts w:ascii="Verdana" w:hAnsi="Verdana"/>
          <w:sz w:val="18"/>
          <w:szCs w:val="20"/>
          <w:lang w:val="en-US"/>
        </w:rPr>
        <w:t xml:space="preserve">petition No. </w:t>
      </w:r>
      <w:r w:rsidR="0088700B" w:rsidRPr="00D869E3">
        <w:rPr>
          <w:rFonts w:ascii="Verdana" w:hAnsi="Verdana"/>
          <w:sz w:val="18"/>
          <w:szCs w:val="20"/>
          <w:lang w:val="en-US"/>
        </w:rPr>
        <w:t>459-97</w:t>
      </w:r>
      <w:r w:rsidR="00687684" w:rsidRPr="00D869E3">
        <w:rPr>
          <w:rFonts w:ascii="Verdana" w:hAnsi="Verdana"/>
          <w:sz w:val="18"/>
          <w:szCs w:val="20"/>
          <w:lang w:val="en-US"/>
        </w:rPr>
        <w:t xml:space="preserve"> and </w:t>
      </w:r>
      <w:r w:rsidRPr="00D869E3">
        <w:rPr>
          <w:rFonts w:ascii="Verdana" w:hAnsi="Verdana"/>
          <w:sz w:val="18"/>
          <w:szCs w:val="20"/>
          <w:lang w:val="en-US"/>
        </w:rPr>
        <w:t>[had] adopted Admissibility Report No.</w:t>
      </w:r>
      <w:r w:rsidR="0088700B" w:rsidRPr="00D869E3">
        <w:rPr>
          <w:rFonts w:ascii="Verdana" w:hAnsi="Verdana"/>
          <w:sz w:val="18"/>
          <w:szCs w:val="20"/>
          <w:lang w:val="en-US"/>
        </w:rPr>
        <w:t xml:space="preserve"> 152/10 </w:t>
      </w:r>
      <w:r w:rsidR="00687684" w:rsidRPr="00D869E3">
        <w:rPr>
          <w:rFonts w:ascii="Verdana" w:hAnsi="Verdana"/>
          <w:sz w:val="18"/>
          <w:szCs w:val="20"/>
          <w:lang w:val="en-US"/>
        </w:rPr>
        <w:t>on November 1,</w:t>
      </w:r>
      <w:r w:rsidR="0088700B" w:rsidRPr="00D869E3">
        <w:rPr>
          <w:rFonts w:ascii="Verdana" w:hAnsi="Verdana"/>
          <w:sz w:val="18"/>
          <w:szCs w:val="20"/>
          <w:lang w:val="en-US"/>
        </w:rPr>
        <w:t xml:space="preserve"> 2010</w:t>
      </w:r>
      <w:r w:rsidR="00857C27" w:rsidRPr="00D869E3">
        <w:rPr>
          <w:rFonts w:ascii="Verdana" w:hAnsi="Verdana"/>
          <w:sz w:val="18"/>
          <w:szCs w:val="20"/>
          <w:lang w:val="en-US"/>
        </w:rPr>
        <w:t>.</w:t>
      </w:r>
      <w:r w:rsidR="0088700B" w:rsidRPr="00D869E3">
        <w:rPr>
          <w:rFonts w:ascii="Verdana" w:hAnsi="Verdana"/>
          <w:sz w:val="18"/>
          <w:szCs w:val="20"/>
          <w:lang w:val="en-US"/>
        </w:rPr>
        <w:t xml:space="preserve"> […] </w:t>
      </w:r>
      <w:r w:rsidR="00EB2E3C" w:rsidRPr="00D869E3">
        <w:rPr>
          <w:rFonts w:ascii="Verdana" w:hAnsi="Verdana"/>
          <w:sz w:val="18"/>
          <w:szCs w:val="20"/>
          <w:lang w:val="en-US"/>
        </w:rPr>
        <w:t>Pursuant to a</w:t>
      </w:r>
      <w:r w:rsidR="00447C65" w:rsidRPr="00D869E3">
        <w:rPr>
          <w:rFonts w:ascii="Verdana" w:hAnsi="Verdana"/>
          <w:sz w:val="18"/>
          <w:szCs w:val="20"/>
          <w:lang w:val="en-US"/>
        </w:rPr>
        <w:t>rticle</w:t>
      </w:r>
      <w:r w:rsidR="0088700B" w:rsidRPr="00D869E3">
        <w:rPr>
          <w:rFonts w:ascii="Verdana" w:hAnsi="Verdana"/>
          <w:sz w:val="18"/>
          <w:szCs w:val="20"/>
          <w:lang w:val="en-US"/>
        </w:rPr>
        <w:t xml:space="preserve"> 37(1) </w:t>
      </w:r>
      <w:r w:rsidR="00EB2E3C" w:rsidRPr="00D869E3">
        <w:rPr>
          <w:rFonts w:ascii="Verdana" w:hAnsi="Verdana"/>
          <w:sz w:val="18"/>
          <w:szCs w:val="20"/>
          <w:lang w:val="en-US"/>
        </w:rPr>
        <w:t xml:space="preserve">of its Rules of Procedure, </w:t>
      </w:r>
      <w:r w:rsidR="00EE0BD4" w:rsidRPr="00D869E3">
        <w:rPr>
          <w:rFonts w:ascii="Verdana" w:hAnsi="Verdana"/>
          <w:sz w:val="18"/>
          <w:szCs w:val="20"/>
          <w:lang w:val="en-US"/>
        </w:rPr>
        <w:t>the IACHR</w:t>
      </w:r>
      <w:r w:rsidR="0088700B" w:rsidRPr="00D869E3">
        <w:rPr>
          <w:rFonts w:ascii="Verdana" w:hAnsi="Verdana"/>
          <w:sz w:val="18"/>
          <w:szCs w:val="20"/>
          <w:lang w:val="en-US"/>
        </w:rPr>
        <w:t xml:space="preserve"> </w:t>
      </w:r>
      <w:r w:rsidR="00EB2E3C" w:rsidRPr="00D869E3">
        <w:rPr>
          <w:rFonts w:ascii="Verdana" w:hAnsi="Verdana"/>
          <w:sz w:val="18"/>
          <w:szCs w:val="20"/>
          <w:lang w:val="en-US"/>
        </w:rPr>
        <w:t>establishe[d] a time frame of three months from the date of transmission of th[e] communication for presentation of any additional observations on the merits of the matter.</w:t>
      </w:r>
      <w:r w:rsidR="006436CA" w:rsidRPr="00D869E3">
        <w:rPr>
          <w:rFonts w:ascii="Verdana" w:hAnsi="Verdana"/>
          <w:sz w:val="18"/>
          <w:szCs w:val="20"/>
          <w:lang w:val="en-US"/>
        </w:rPr>
        <w:t>”</w:t>
      </w:r>
      <w:r w:rsidR="0088700B" w:rsidRPr="00D869E3">
        <w:rPr>
          <w:rStyle w:val="Refdenotaalpie"/>
          <w:sz w:val="18"/>
          <w:szCs w:val="20"/>
          <w:lang w:val="en-US"/>
        </w:rPr>
        <w:footnoteReference w:id="180"/>
      </w:r>
    </w:p>
    <w:p w14:paraId="30AC46B8" w14:textId="77777777" w:rsidR="0088700B" w:rsidRPr="00D869E3" w:rsidRDefault="0088700B" w:rsidP="0088700B">
      <w:pPr>
        <w:ind w:left="851"/>
        <w:jc w:val="both"/>
        <w:rPr>
          <w:rFonts w:ascii="Verdana" w:hAnsi="Verdana"/>
          <w:sz w:val="18"/>
          <w:szCs w:val="20"/>
          <w:lang w:val="en-US"/>
        </w:rPr>
      </w:pPr>
    </w:p>
    <w:p w14:paraId="5C21C57A" w14:textId="0FD97D30" w:rsidR="0088700B" w:rsidRPr="00D869E3" w:rsidRDefault="003F425B" w:rsidP="00E66DD7">
      <w:pPr>
        <w:pStyle w:val="Prrafodelista"/>
        <w:numPr>
          <w:ilvl w:val="2"/>
          <w:numId w:val="21"/>
        </w:numPr>
        <w:ind w:left="851" w:firstLine="0"/>
        <w:jc w:val="both"/>
        <w:rPr>
          <w:rFonts w:ascii="Verdana" w:hAnsi="Verdana"/>
          <w:sz w:val="18"/>
          <w:szCs w:val="20"/>
          <w:lang w:val="en-US"/>
        </w:rPr>
      </w:pPr>
      <w:r w:rsidRPr="00D869E3">
        <w:rPr>
          <w:rFonts w:ascii="Verdana" w:hAnsi="Verdana"/>
          <w:sz w:val="18"/>
          <w:szCs w:val="20"/>
          <w:lang w:val="en-US"/>
        </w:rPr>
        <w:t xml:space="preserve">In </w:t>
      </w:r>
      <w:r w:rsidR="00687684" w:rsidRPr="00D869E3">
        <w:rPr>
          <w:rFonts w:ascii="Verdana" w:hAnsi="Verdana"/>
          <w:sz w:val="18"/>
          <w:szCs w:val="20"/>
          <w:lang w:val="en-US"/>
        </w:rPr>
        <w:t>Admissibility Report</w:t>
      </w:r>
      <w:r w:rsidR="0088700B" w:rsidRPr="00D869E3">
        <w:rPr>
          <w:rFonts w:ascii="Verdana" w:hAnsi="Verdana"/>
          <w:sz w:val="18"/>
          <w:szCs w:val="20"/>
          <w:lang w:val="en-US"/>
        </w:rPr>
        <w:t xml:space="preserve"> </w:t>
      </w:r>
      <w:r w:rsidR="00857C27" w:rsidRPr="00D869E3">
        <w:rPr>
          <w:rFonts w:ascii="Verdana" w:hAnsi="Verdana"/>
          <w:sz w:val="18"/>
          <w:szCs w:val="20"/>
          <w:lang w:val="en-US"/>
        </w:rPr>
        <w:t xml:space="preserve">No. </w:t>
      </w:r>
      <w:r w:rsidR="0088700B" w:rsidRPr="00D869E3">
        <w:rPr>
          <w:rFonts w:ascii="Verdana" w:hAnsi="Verdana"/>
          <w:sz w:val="18"/>
          <w:szCs w:val="20"/>
          <w:lang w:val="en-US"/>
        </w:rPr>
        <w:t>152/10, peti</w:t>
      </w:r>
      <w:r w:rsidR="00EB2E3C" w:rsidRPr="00D869E3">
        <w:rPr>
          <w:rFonts w:ascii="Verdana" w:hAnsi="Verdana"/>
          <w:sz w:val="18"/>
          <w:szCs w:val="20"/>
          <w:lang w:val="en-US"/>
        </w:rPr>
        <w:t>tion</w:t>
      </w:r>
      <w:r w:rsidR="0088700B" w:rsidRPr="00D869E3">
        <w:rPr>
          <w:rFonts w:ascii="Verdana" w:hAnsi="Verdana"/>
          <w:sz w:val="18"/>
          <w:szCs w:val="20"/>
          <w:lang w:val="en-US"/>
        </w:rPr>
        <w:t xml:space="preserve"> 459-97, </w:t>
      </w:r>
      <w:r w:rsidR="00EB2E3C" w:rsidRPr="00D869E3">
        <w:rPr>
          <w:rFonts w:ascii="Verdana" w:hAnsi="Verdana"/>
          <w:sz w:val="18"/>
          <w:szCs w:val="20"/>
          <w:lang w:val="en-US"/>
        </w:rPr>
        <w:t>adopted on</w:t>
      </w:r>
      <w:r w:rsidR="00687684" w:rsidRPr="00D869E3">
        <w:rPr>
          <w:rFonts w:ascii="Verdana" w:hAnsi="Verdana"/>
          <w:sz w:val="18"/>
          <w:szCs w:val="20"/>
          <w:lang w:val="en-US"/>
        </w:rPr>
        <w:t xml:space="preserve"> November 1,</w:t>
      </w:r>
      <w:r w:rsidR="0088700B" w:rsidRPr="00D869E3">
        <w:rPr>
          <w:rFonts w:ascii="Verdana" w:hAnsi="Verdana"/>
          <w:sz w:val="18"/>
          <w:szCs w:val="20"/>
          <w:lang w:val="en-US"/>
        </w:rPr>
        <w:t xml:space="preserve"> 2010, </w:t>
      </w:r>
      <w:r w:rsidR="00EE0BD4" w:rsidRPr="00D869E3">
        <w:rPr>
          <w:rFonts w:ascii="Verdana" w:hAnsi="Verdana"/>
          <w:sz w:val="18"/>
          <w:szCs w:val="20"/>
          <w:lang w:val="en-US"/>
        </w:rPr>
        <w:t>the IACHR</w:t>
      </w:r>
      <w:r w:rsidR="0088700B" w:rsidRPr="00D869E3">
        <w:rPr>
          <w:rFonts w:ascii="Verdana" w:hAnsi="Verdana"/>
          <w:sz w:val="18"/>
          <w:szCs w:val="20"/>
          <w:lang w:val="en-US"/>
        </w:rPr>
        <w:t xml:space="preserve"> decid</w:t>
      </w:r>
      <w:r w:rsidR="00EB2E3C" w:rsidRPr="00D869E3">
        <w:rPr>
          <w:rFonts w:ascii="Verdana" w:hAnsi="Verdana"/>
          <w:sz w:val="18"/>
          <w:szCs w:val="20"/>
          <w:lang w:val="en-US"/>
        </w:rPr>
        <w:t>ed</w:t>
      </w:r>
      <w:r w:rsidR="0088700B" w:rsidRPr="00D869E3">
        <w:rPr>
          <w:rFonts w:ascii="Verdana" w:hAnsi="Verdana"/>
          <w:sz w:val="18"/>
          <w:szCs w:val="20"/>
          <w:lang w:val="en-US"/>
        </w:rPr>
        <w:t xml:space="preserve"> </w:t>
      </w:r>
      <w:r w:rsidR="006436CA" w:rsidRPr="00D869E3">
        <w:rPr>
          <w:rFonts w:ascii="Verdana" w:hAnsi="Verdana"/>
          <w:sz w:val="18"/>
          <w:szCs w:val="20"/>
          <w:lang w:val="en-US"/>
        </w:rPr>
        <w:t>“</w:t>
      </w:r>
      <w:r w:rsidR="00857C27" w:rsidRPr="00D869E3">
        <w:rPr>
          <w:rFonts w:ascii="Verdana" w:hAnsi="Verdana"/>
          <w:sz w:val="18"/>
          <w:szCs w:val="20"/>
          <w:lang w:val="en-US"/>
        </w:rPr>
        <w:t>[</w:t>
      </w:r>
      <w:r w:rsidR="00CA1A50" w:rsidRPr="00D869E3">
        <w:rPr>
          <w:rFonts w:ascii="Verdana" w:hAnsi="Verdana"/>
          <w:sz w:val="18"/>
          <w:szCs w:val="20"/>
          <w:lang w:val="en-US"/>
        </w:rPr>
        <w:t>t</w:t>
      </w:r>
      <w:r w:rsidR="00857C27" w:rsidRPr="00D869E3">
        <w:rPr>
          <w:rFonts w:ascii="Verdana" w:hAnsi="Verdana"/>
          <w:sz w:val="18"/>
          <w:szCs w:val="20"/>
          <w:lang w:val="en-US"/>
        </w:rPr>
        <w:t>]</w:t>
      </w:r>
      <w:r w:rsidR="00CA1A50" w:rsidRPr="00D869E3">
        <w:rPr>
          <w:rFonts w:ascii="Verdana" w:hAnsi="Verdana"/>
          <w:sz w:val="18"/>
          <w:szCs w:val="20"/>
          <w:lang w:val="en-US"/>
        </w:rPr>
        <w:t xml:space="preserve">o declare this case admissible with regard to the alleged violations of the rights recognized in </w:t>
      </w:r>
      <w:r w:rsidR="00447C65" w:rsidRPr="00D869E3">
        <w:rPr>
          <w:rFonts w:ascii="Verdana" w:hAnsi="Verdana"/>
          <w:sz w:val="18"/>
          <w:szCs w:val="20"/>
          <w:lang w:val="en-US"/>
        </w:rPr>
        <w:t>Articles</w:t>
      </w:r>
      <w:r w:rsidR="0088700B" w:rsidRPr="00D869E3">
        <w:rPr>
          <w:rFonts w:ascii="Verdana" w:hAnsi="Verdana"/>
          <w:sz w:val="18"/>
          <w:szCs w:val="20"/>
          <w:lang w:val="en-US"/>
        </w:rPr>
        <w:t xml:space="preserve"> 8</w:t>
      </w:r>
      <w:r w:rsidR="00687684" w:rsidRPr="00D869E3">
        <w:rPr>
          <w:rFonts w:ascii="Verdana" w:hAnsi="Verdana"/>
          <w:sz w:val="18"/>
          <w:szCs w:val="20"/>
          <w:lang w:val="en-US"/>
        </w:rPr>
        <w:t xml:space="preserve"> and </w:t>
      </w:r>
      <w:r w:rsidR="0088700B" w:rsidRPr="00D869E3">
        <w:rPr>
          <w:rFonts w:ascii="Verdana" w:hAnsi="Verdana"/>
          <w:sz w:val="18"/>
          <w:szCs w:val="20"/>
          <w:lang w:val="en-US"/>
        </w:rPr>
        <w:t xml:space="preserve">13 </w:t>
      </w:r>
      <w:r w:rsidR="00CA1A50" w:rsidRPr="00D869E3">
        <w:rPr>
          <w:rFonts w:ascii="Verdana" w:hAnsi="Verdana"/>
          <w:sz w:val="18"/>
          <w:szCs w:val="20"/>
          <w:lang w:val="en-US"/>
        </w:rPr>
        <w:t>in conjunction with Article</w:t>
      </w:r>
      <w:r w:rsidR="0088700B" w:rsidRPr="00D869E3">
        <w:rPr>
          <w:rFonts w:ascii="Verdana" w:hAnsi="Verdana"/>
          <w:sz w:val="18"/>
          <w:szCs w:val="20"/>
          <w:lang w:val="en-US"/>
        </w:rPr>
        <w:t xml:space="preserve"> 1(1)</w:t>
      </w:r>
      <w:r w:rsidR="00447C65" w:rsidRPr="00D869E3">
        <w:rPr>
          <w:rFonts w:ascii="Verdana" w:hAnsi="Verdana"/>
          <w:sz w:val="18"/>
          <w:szCs w:val="20"/>
          <w:lang w:val="en-US"/>
        </w:rPr>
        <w:t xml:space="preserve"> of the American Convention</w:t>
      </w:r>
      <w:r w:rsidR="0088700B" w:rsidRPr="00D869E3">
        <w:rPr>
          <w:rFonts w:ascii="Verdana" w:hAnsi="Verdana"/>
          <w:sz w:val="18"/>
          <w:szCs w:val="20"/>
          <w:lang w:val="en-US"/>
        </w:rPr>
        <w:t>.</w:t>
      </w:r>
      <w:r w:rsidR="00CA1A50" w:rsidRPr="00D869E3">
        <w:rPr>
          <w:rFonts w:ascii="Verdana" w:hAnsi="Verdana"/>
          <w:sz w:val="18"/>
          <w:szCs w:val="20"/>
          <w:lang w:val="en-US"/>
        </w:rPr>
        <w:t xml:space="preserve">” However, </w:t>
      </w:r>
      <w:r w:rsidR="00447C65" w:rsidRPr="00D869E3">
        <w:rPr>
          <w:rFonts w:ascii="Verdana" w:hAnsi="Verdana"/>
          <w:sz w:val="18"/>
          <w:szCs w:val="20"/>
          <w:lang w:val="en-US"/>
        </w:rPr>
        <w:t>the Commission</w:t>
      </w:r>
      <w:r w:rsidR="0088700B" w:rsidRPr="00D869E3">
        <w:rPr>
          <w:rFonts w:ascii="Verdana" w:hAnsi="Verdana"/>
          <w:sz w:val="18"/>
          <w:szCs w:val="20"/>
          <w:lang w:val="en-US"/>
        </w:rPr>
        <w:t xml:space="preserve"> </w:t>
      </w:r>
      <w:r w:rsidR="00CA1A50" w:rsidRPr="00D869E3">
        <w:rPr>
          <w:rFonts w:ascii="Verdana" w:hAnsi="Verdana"/>
          <w:sz w:val="18"/>
          <w:szCs w:val="20"/>
          <w:lang w:val="en-US"/>
        </w:rPr>
        <w:t>decided “[t]o declare inadmis</w:t>
      </w:r>
      <w:r w:rsidR="005833C9" w:rsidRPr="00D869E3">
        <w:rPr>
          <w:rFonts w:ascii="Verdana" w:hAnsi="Verdana"/>
          <w:sz w:val="18"/>
          <w:szCs w:val="20"/>
          <w:lang w:val="en-US"/>
        </w:rPr>
        <w:t>s</w:t>
      </w:r>
      <w:r w:rsidR="00CA1A50" w:rsidRPr="00D869E3">
        <w:rPr>
          <w:rFonts w:ascii="Verdana" w:hAnsi="Verdana"/>
          <w:sz w:val="18"/>
          <w:szCs w:val="20"/>
          <w:lang w:val="en-US"/>
        </w:rPr>
        <w:t xml:space="preserve">ible the arguments regarding the alleged characterization of violations of </w:t>
      </w:r>
      <w:r w:rsidR="00447C65" w:rsidRPr="00D869E3">
        <w:rPr>
          <w:rFonts w:ascii="Verdana" w:hAnsi="Verdana"/>
          <w:sz w:val="18"/>
          <w:szCs w:val="20"/>
          <w:lang w:val="en-US"/>
        </w:rPr>
        <w:t>Articles</w:t>
      </w:r>
      <w:r w:rsidR="0088700B" w:rsidRPr="00D869E3">
        <w:rPr>
          <w:rFonts w:ascii="Verdana" w:hAnsi="Verdana"/>
          <w:sz w:val="18"/>
          <w:szCs w:val="20"/>
          <w:lang w:val="en-US"/>
        </w:rPr>
        <w:t xml:space="preserve"> 24</w:t>
      </w:r>
      <w:r w:rsidR="00687684" w:rsidRPr="00D869E3">
        <w:rPr>
          <w:rFonts w:ascii="Verdana" w:hAnsi="Verdana"/>
          <w:sz w:val="18"/>
          <w:szCs w:val="20"/>
          <w:lang w:val="en-US"/>
        </w:rPr>
        <w:t xml:space="preserve"> and </w:t>
      </w:r>
      <w:r w:rsidR="0088700B" w:rsidRPr="00D869E3">
        <w:rPr>
          <w:rFonts w:ascii="Verdana" w:hAnsi="Verdana"/>
          <w:sz w:val="18"/>
          <w:szCs w:val="20"/>
          <w:lang w:val="en-US"/>
        </w:rPr>
        <w:t>25</w:t>
      </w:r>
      <w:r w:rsidR="00CA1A50" w:rsidRPr="00D869E3">
        <w:rPr>
          <w:rFonts w:ascii="Verdana" w:hAnsi="Verdana"/>
          <w:sz w:val="18"/>
          <w:szCs w:val="20"/>
          <w:lang w:val="en-US"/>
        </w:rPr>
        <w:t>.</w:t>
      </w:r>
      <w:r w:rsidR="006436CA" w:rsidRPr="00D869E3">
        <w:rPr>
          <w:rFonts w:ascii="Verdana" w:hAnsi="Verdana"/>
          <w:sz w:val="18"/>
          <w:szCs w:val="20"/>
          <w:lang w:val="en-US"/>
        </w:rPr>
        <w:t>”</w:t>
      </w:r>
      <w:r w:rsidR="0088700B" w:rsidRPr="00D869E3">
        <w:rPr>
          <w:rStyle w:val="Refdenotaalpie"/>
          <w:sz w:val="18"/>
          <w:szCs w:val="20"/>
          <w:lang w:val="en-US"/>
        </w:rPr>
        <w:footnoteReference w:id="181"/>
      </w:r>
      <w:r w:rsidR="00CA1A50" w:rsidRPr="00D869E3">
        <w:rPr>
          <w:rFonts w:ascii="Verdana" w:hAnsi="Verdana"/>
          <w:sz w:val="18"/>
          <w:szCs w:val="20"/>
          <w:lang w:val="en-US"/>
        </w:rPr>
        <w:t xml:space="preserve"> In paragraph</w:t>
      </w:r>
      <w:r w:rsidR="0088700B" w:rsidRPr="00D869E3">
        <w:rPr>
          <w:rFonts w:ascii="Verdana" w:hAnsi="Verdana"/>
          <w:sz w:val="18"/>
          <w:szCs w:val="20"/>
          <w:lang w:val="en-US"/>
        </w:rPr>
        <w:t xml:space="preserve"> 15 </w:t>
      </w:r>
      <w:r w:rsidR="00CA1A50" w:rsidRPr="00D869E3">
        <w:rPr>
          <w:rFonts w:ascii="Verdana" w:hAnsi="Verdana"/>
          <w:sz w:val="18"/>
          <w:szCs w:val="20"/>
          <w:lang w:val="en-US"/>
        </w:rPr>
        <w:t xml:space="preserve">of the </w:t>
      </w:r>
      <w:r w:rsidR="00687684" w:rsidRPr="00D869E3">
        <w:rPr>
          <w:rFonts w:ascii="Verdana" w:hAnsi="Verdana"/>
          <w:sz w:val="18"/>
          <w:szCs w:val="20"/>
          <w:lang w:val="en-US"/>
        </w:rPr>
        <w:t>Admissibility Report</w:t>
      </w:r>
      <w:r w:rsidR="0088700B" w:rsidRPr="00D869E3">
        <w:rPr>
          <w:rFonts w:ascii="Verdana" w:hAnsi="Verdana"/>
          <w:sz w:val="18"/>
          <w:szCs w:val="20"/>
          <w:lang w:val="en-US"/>
        </w:rPr>
        <w:t xml:space="preserve">, </w:t>
      </w:r>
      <w:r w:rsidR="00447C65" w:rsidRPr="00D869E3">
        <w:rPr>
          <w:rFonts w:ascii="Verdana" w:hAnsi="Verdana"/>
          <w:sz w:val="18"/>
          <w:szCs w:val="20"/>
          <w:lang w:val="en-US"/>
        </w:rPr>
        <w:t>the Commission</w:t>
      </w:r>
      <w:r w:rsidR="0088700B" w:rsidRPr="00D869E3">
        <w:rPr>
          <w:rFonts w:ascii="Verdana" w:hAnsi="Verdana"/>
          <w:sz w:val="18"/>
          <w:szCs w:val="20"/>
          <w:lang w:val="en-US"/>
        </w:rPr>
        <w:t xml:space="preserve"> </w:t>
      </w:r>
      <w:r w:rsidR="00CA1A50" w:rsidRPr="00D869E3">
        <w:rPr>
          <w:rFonts w:ascii="Verdana" w:hAnsi="Verdana"/>
          <w:sz w:val="18"/>
          <w:szCs w:val="20"/>
          <w:lang w:val="en-US"/>
        </w:rPr>
        <w:t>indicated that</w:t>
      </w:r>
      <w:r w:rsidR="0088700B" w:rsidRPr="00D869E3">
        <w:rPr>
          <w:rFonts w:ascii="Verdana" w:hAnsi="Verdana"/>
          <w:sz w:val="18"/>
          <w:szCs w:val="20"/>
          <w:lang w:val="en-US"/>
        </w:rPr>
        <w:t xml:space="preserve">: </w:t>
      </w:r>
    </w:p>
    <w:p w14:paraId="16A1C1D9" w14:textId="77777777" w:rsidR="0088700B" w:rsidRPr="00D869E3" w:rsidRDefault="0088700B" w:rsidP="0088700B">
      <w:pPr>
        <w:pStyle w:val="Prrafodelista"/>
        <w:rPr>
          <w:rFonts w:ascii="Verdana" w:hAnsi="Verdana"/>
          <w:sz w:val="16"/>
          <w:szCs w:val="20"/>
          <w:lang w:val="en-US"/>
        </w:rPr>
      </w:pPr>
    </w:p>
    <w:p w14:paraId="2B68BA67" w14:textId="12331351" w:rsidR="002E365F" w:rsidRPr="00D869E3" w:rsidRDefault="006436CA" w:rsidP="002E365F">
      <w:pPr>
        <w:autoSpaceDE w:val="0"/>
        <w:autoSpaceDN w:val="0"/>
        <w:adjustRightInd w:val="0"/>
        <w:ind w:left="1440" w:right="386"/>
        <w:jc w:val="both"/>
        <w:rPr>
          <w:rFonts w:ascii="Verdana" w:eastAsiaTheme="minorHAnsi" w:hAnsi="Verdana" w:cs="Arial"/>
          <w:sz w:val="16"/>
          <w:szCs w:val="16"/>
          <w:lang w:val="en-US"/>
        </w:rPr>
      </w:pPr>
      <w:r w:rsidRPr="00D869E3">
        <w:rPr>
          <w:rFonts w:ascii="Verdana" w:hAnsi="Verdana"/>
          <w:sz w:val="16"/>
          <w:szCs w:val="20"/>
          <w:lang w:val="en-US"/>
        </w:rPr>
        <w:t>“</w:t>
      </w:r>
      <w:r w:rsidR="002E365F" w:rsidRPr="00D869E3">
        <w:rPr>
          <w:rFonts w:ascii="Verdana" w:eastAsiaTheme="minorHAnsi" w:hAnsi="Verdana" w:cs="Arial"/>
          <w:sz w:val="16"/>
          <w:szCs w:val="16"/>
          <w:lang w:val="en-US"/>
        </w:rPr>
        <w:t xml:space="preserve">The petitioner believed that his right to due process enshrined in Article 8 of the American Convention was violated in connection with Article 14(1) of the International Covenant on Civil and Political Rights, </w:t>
      </w:r>
      <w:r w:rsidR="002E365F" w:rsidRPr="00D869E3">
        <w:rPr>
          <w:rFonts w:ascii="Verdana" w:eastAsiaTheme="minorHAnsi" w:hAnsi="Verdana" w:cs="Arial"/>
          <w:b/>
          <w:bCs/>
          <w:i/>
          <w:iCs/>
          <w:sz w:val="16"/>
          <w:szCs w:val="16"/>
          <w:lang w:val="en-US"/>
        </w:rPr>
        <w:t>the right to work</w:t>
      </w:r>
      <w:r w:rsidR="002E365F" w:rsidRPr="00D869E3">
        <w:rPr>
          <w:rFonts w:ascii="Verdana" w:eastAsiaTheme="minorHAnsi" w:hAnsi="Verdana" w:cs="Arial"/>
          <w:sz w:val="16"/>
          <w:szCs w:val="16"/>
          <w:lang w:val="en-US"/>
        </w:rPr>
        <w:t>, the right to equality before the law, and the right to judicial protection. The petitioner likewise indicates that, according to Article 39 of the Amparo Law, in conjunction with Article 303 of the Constitution, his constitutional rights were violated.</w:t>
      </w:r>
    </w:p>
    <w:p w14:paraId="628F8FA2" w14:textId="77777777" w:rsidR="0088700B" w:rsidRPr="00D869E3" w:rsidRDefault="0088700B" w:rsidP="0088700B">
      <w:pPr>
        <w:pStyle w:val="Prrafodelista"/>
        <w:ind w:left="1440"/>
        <w:jc w:val="both"/>
        <w:rPr>
          <w:rFonts w:ascii="Verdana" w:hAnsi="Verdana"/>
          <w:sz w:val="18"/>
          <w:szCs w:val="20"/>
          <w:lang w:val="en-US"/>
        </w:rPr>
      </w:pPr>
    </w:p>
    <w:p w14:paraId="38862B25" w14:textId="5660CEB7" w:rsidR="0088700B" w:rsidRPr="00D869E3" w:rsidRDefault="0088700B" w:rsidP="00E66DD7">
      <w:pPr>
        <w:pStyle w:val="Prrafodelista"/>
        <w:numPr>
          <w:ilvl w:val="2"/>
          <w:numId w:val="21"/>
        </w:numPr>
        <w:ind w:left="851" w:firstLine="0"/>
        <w:jc w:val="both"/>
        <w:rPr>
          <w:rFonts w:ascii="Verdana" w:hAnsi="Verdana"/>
          <w:sz w:val="18"/>
          <w:szCs w:val="20"/>
          <w:lang w:val="en-US"/>
        </w:rPr>
      </w:pPr>
      <w:r w:rsidRPr="00D869E3">
        <w:rPr>
          <w:rFonts w:ascii="Verdana" w:hAnsi="Verdana"/>
          <w:sz w:val="18"/>
          <w:szCs w:val="20"/>
          <w:lang w:val="en-US"/>
        </w:rPr>
        <w:t xml:space="preserve"> </w:t>
      </w:r>
      <w:r w:rsidR="002E365F" w:rsidRPr="00D869E3">
        <w:rPr>
          <w:rFonts w:ascii="Verdana" w:hAnsi="Verdana"/>
          <w:sz w:val="18"/>
          <w:szCs w:val="20"/>
          <w:lang w:val="en-US"/>
        </w:rPr>
        <w:t>The brief of</w:t>
      </w:r>
      <w:r w:rsidR="00D3263C" w:rsidRPr="00D869E3">
        <w:rPr>
          <w:rFonts w:ascii="Verdana" w:hAnsi="Verdana"/>
          <w:sz w:val="18"/>
          <w:szCs w:val="20"/>
          <w:lang w:val="en-US"/>
        </w:rPr>
        <w:t xml:space="preserve"> </w:t>
      </w:r>
      <w:r w:rsidRPr="00D869E3">
        <w:rPr>
          <w:rFonts w:ascii="Verdana" w:hAnsi="Verdana"/>
          <w:sz w:val="18"/>
          <w:szCs w:val="20"/>
          <w:lang w:val="en-US"/>
        </w:rPr>
        <w:t>APRODEH</w:t>
      </w:r>
      <w:r w:rsidR="00857C27" w:rsidRPr="00D869E3">
        <w:rPr>
          <w:rFonts w:ascii="Verdana" w:hAnsi="Verdana"/>
          <w:sz w:val="18"/>
          <w:szCs w:val="20"/>
          <w:lang w:val="en-US"/>
        </w:rPr>
        <w:t>,</w:t>
      </w:r>
      <w:r w:rsidRPr="00D869E3">
        <w:rPr>
          <w:rFonts w:ascii="Verdana" w:hAnsi="Verdana"/>
          <w:sz w:val="18"/>
          <w:szCs w:val="20"/>
          <w:lang w:val="en-US"/>
        </w:rPr>
        <w:t xml:space="preserve"> </w:t>
      </w:r>
      <w:r w:rsidR="002E365F" w:rsidRPr="00D869E3">
        <w:rPr>
          <w:rFonts w:ascii="Verdana" w:hAnsi="Verdana"/>
          <w:sz w:val="18"/>
          <w:szCs w:val="20"/>
          <w:lang w:val="en-US"/>
        </w:rPr>
        <w:t>on behalf of</w:t>
      </w:r>
      <w:r w:rsidR="00E6309B" w:rsidRPr="00D869E3">
        <w:rPr>
          <w:rFonts w:ascii="Verdana" w:hAnsi="Verdana"/>
          <w:sz w:val="18"/>
          <w:szCs w:val="20"/>
          <w:lang w:val="en-US"/>
        </w:rPr>
        <w:t xml:space="preserve"> Mr.</w:t>
      </w:r>
      <w:r w:rsidR="001E44D3" w:rsidRPr="00D869E3">
        <w:rPr>
          <w:rFonts w:ascii="Verdana" w:hAnsi="Verdana"/>
          <w:sz w:val="18"/>
          <w:szCs w:val="20"/>
          <w:lang w:val="en-US"/>
        </w:rPr>
        <w:t xml:space="preserve"> Lagos del Campo</w:t>
      </w:r>
      <w:r w:rsidR="002E365F" w:rsidRPr="00D869E3">
        <w:rPr>
          <w:rFonts w:ascii="Verdana" w:hAnsi="Verdana"/>
          <w:sz w:val="18"/>
          <w:szCs w:val="20"/>
          <w:lang w:val="en-US"/>
        </w:rPr>
        <w:t>,</w:t>
      </w:r>
      <w:r w:rsidRPr="00D869E3">
        <w:rPr>
          <w:rFonts w:ascii="Verdana" w:hAnsi="Verdana"/>
          <w:sz w:val="18"/>
          <w:szCs w:val="20"/>
          <w:lang w:val="en-US"/>
        </w:rPr>
        <w:t xml:space="preserve"> </w:t>
      </w:r>
      <w:r w:rsidR="002E365F" w:rsidRPr="00D869E3">
        <w:rPr>
          <w:rFonts w:ascii="Verdana" w:hAnsi="Verdana"/>
          <w:sz w:val="18"/>
          <w:szCs w:val="20"/>
          <w:lang w:val="en-US"/>
        </w:rPr>
        <w:t>dated March 16,</w:t>
      </w:r>
      <w:r w:rsidRPr="00D869E3">
        <w:rPr>
          <w:rFonts w:ascii="Verdana" w:hAnsi="Verdana"/>
          <w:sz w:val="18"/>
          <w:szCs w:val="20"/>
          <w:lang w:val="en-US"/>
        </w:rPr>
        <w:t xml:space="preserve"> 2011, </w:t>
      </w:r>
      <w:r w:rsidR="002E365F" w:rsidRPr="00D869E3">
        <w:rPr>
          <w:rFonts w:ascii="Verdana" w:hAnsi="Verdana"/>
          <w:sz w:val="18"/>
          <w:szCs w:val="20"/>
          <w:lang w:val="en-US"/>
        </w:rPr>
        <w:t xml:space="preserve">addressed to the </w:t>
      </w:r>
      <w:r w:rsidR="00447C65" w:rsidRPr="00D869E3">
        <w:rPr>
          <w:rFonts w:ascii="Verdana" w:hAnsi="Verdana"/>
          <w:sz w:val="18"/>
          <w:szCs w:val="20"/>
          <w:lang w:val="en-US"/>
        </w:rPr>
        <w:t>Commission</w:t>
      </w:r>
      <w:r w:rsidR="002E365F" w:rsidRPr="00D869E3">
        <w:rPr>
          <w:rFonts w:ascii="Verdana" w:hAnsi="Verdana"/>
          <w:sz w:val="18"/>
          <w:szCs w:val="20"/>
          <w:lang w:val="en-US"/>
        </w:rPr>
        <w:t>’s Executive Secretary</w:t>
      </w:r>
      <w:r w:rsidRPr="00D869E3">
        <w:rPr>
          <w:rFonts w:ascii="Verdana" w:hAnsi="Verdana"/>
          <w:sz w:val="18"/>
          <w:szCs w:val="20"/>
          <w:lang w:val="en-US"/>
        </w:rPr>
        <w:t xml:space="preserve"> </w:t>
      </w:r>
      <w:r w:rsidR="002E365F" w:rsidRPr="00D869E3">
        <w:rPr>
          <w:rFonts w:ascii="Verdana" w:hAnsi="Verdana"/>
          <w:sz w:val="18"/>
          <w:szCs w:val="20"/>
          <w:lang w:val="en-US"/>
        </w:rPr>
        <w:t>and received on March</w:t>
      </w:r>
      <w:r w:rsidRPr="00D869E3">
        <w:rPr>
          <w:rFonts w:ascii="Verdana" w:hAnsi="Verdana"/>
          <w:sz w:val="18"/>
          <w:szCs w:val="20"/>
          <w:lang w:val="en-US"/>
        </w:rPr>
        <w:t xml:space="preserve"> 24</w:t>
      </w:r>
      <w:r w:rsidR="002E365F" w:rsidRPr="00D869E3">
        <w:rPr>
          <w:rFonts w:ascii="Verdana" w:hAnsi="Verdana"/>
          <w:sz w:val="18"/>
          <w:szCs w:val="20"/>
          <w:lang w:val="en-US"/>
        </w:rPr>
        <w:t xml:space="preserve">, </w:t>
      </w:r>
      <w:r w:rsidRPr="00D869E3">
        <w:rPr>
          <w:rFonts w:ascii="Verdana" w:hAnsi="Verdana"/>
          <w:sz w:val="18"/>
          <w:szCs w:val="20"/>
          <w:lang w:val="en-US"/>
        </w:rPr>
        <w:t xml:space="preserve">2011, </w:t>
      </w:r>
      <w:r w:rsidR="002E365F" w:rsidRPr="00D869E3">
        <w:rPr>
          <w:rFonts w:ascii="Verdana" w:hAnsi="Verdana"/>
          <w:sz w:val="18"/>
          <w:szCs w:val="20"/>
          <w:lang w:val="en-US"/>
        </w:rPr>
        <w:t xml:space="preserve">indicated that it presented observations on the </w:t>
      </w:r>
      <w:r w:rsidR="00687684" w:rsidRPr="00D869E3">
        <w:rPr>
          <w:rFonts w:ascii="Verdana" w:hAnsi="Verdana"/>
          <w:sz w:val="18"/>
          <w:szCs w:val="20"/>
          <w:lang w:val="en-US"/>
        </w:rPr>
        <w:t>Admissibility Report</w:t>
      </w:r>
      <w:r w:rsidRPr="00D869E3">
        <w:rPr>
          <w:rFonts w:ascii="Verdana" w:hAnsi="Verdana"/>
          <w:sz w:val="18"/>
          <w:szCs w:val="20"/>
          <w:lang w:val="en-US"/>
        </w:rPr>
        <w:t xml:space="preserve">. </w:t>
      </w:r>
      <w:r w:rsidR="002E365F" w:rsidRPr="00D869E3">
        <w:rPr>
          <w:rFonts w:ascii="Verdana" w:hAnsi="Verdana"/>
          <w:sz w:val="18"/>
          <w:szCs w:val="20"/>
          <w:lang w:val="en-US"/>
        </w:rPr>
        <w:t xml:space="preserve">In the part with requests, it </w:t>
      </w:r>
      <w:r w:rsidR="00BC22FA" w:rsidRPr="00D869E3">
        <w:rPr>
          <w:rFonts w:ascii="Verdana" w:hAnsi="Verdana"/>
          <w:sz w:val="18"/>
          <w:szCs w:val="20"/>
          <w:lang w:val="en-US"/>
        </w:rPr>
        <w:t>asked</w:t>
      </w:r>
      <w:r w:rsidR="002E365F" w:rsidRPr="00D869E3">
        <w:rPr>
          <w:rFonts w:ascii="Verdana" w:hAnsi="Verdana"/>
          <w:sz w:val="18"/>
          <w:szCs w:val="20"/>
          <w:lang w:val="en-US"/>
        </w:rPr>
        <w:t xml:space="preserve"> “[t]hat, based on these conclusions, the State be required: (a) to </w:t>
      </w:r>
      <w:r w:rsidRPr="00D869E3">
        <w:rPr>
          <w:rFonts w:ascii="Verdana" w:hAnsi="Verdana"/>
          <w:sz w:val="18"/>
          <w:szCs w:val="20"/>
          <w:lang w:val="en-US"/>
        </w:rPr>
        <w:t>facilita</w:t>
      </w:r>
      <w:r w:rsidR="002E365F" w:rsidRPr="00D869E3">
        <w:rPr>
          <w:rFonts w:ascii="Verdana" w:hAnsi="Verdana"/>
          <w:sz w:val="18"/>
          <w:szCs w:val="20"/>
          <w:lang w:val="en-US"/>
        </w:rPr>
        <w:t>te the conditions for</w:t>
      </w:r>
      <w:r w:rsidRPr="00D869E3">
        <w:rPr>
          <w:rFonts w:ascii="Verdana" w:hAnsi="Verdana"/>
          <w:sz w:val="18"/>
          <w:szCs w:val="20"/>
          <w:lang w:val="en-US"/>
        </w:rPr>
        <w:t xml:space="preserve"> Alfredo Lagos del Campo </w:t>
      </w:r>
      <w:r w:rsidR="002E365F" w:rsidRPr="00D869E3">
        <w:rPr>
          <w:rFonts w:ascii="Verdana" w:hAnsi="Verdana"/>
          <w:sz w:val="18"/>
          <w:szCs w:val="20"/>
          <w:lang w:val="en-US"/>
        </w:rPr>
        <w:t xml:space="preserve">to be able to take the necessary steps to recover </w:t>
      </w:r>
      <w:r w:rsidR="002E365F" w:rsidRPr="00D869E3">
        <w:rPr>
          <w:rFonts w:ascii="Verdana" w:hAnsi="Verdana"/>
          <w:b/>
          <w:i/>
          <w:sz w:val="18"/>
          <w:szCs w:val="20"/>
          <w:lang w:val="en-US"/>
        </w:rPr>
        <w:t>the use and enjoyment of his labor rights,</w:t>
      </w:r>
      <w:r w:rsidR="00687684" w:rsidRPr="00D869E3">
        <w:rPr>
          <w:rFonts w:ascii="Verdana" w:hAnsi="Verdana"/>
          <w:b/>
          <w:i/>
          <w:sz w:val="18"/>
          <w:szCs w:val="20"/>
          <w:lang w:val="en-US"/>
        </w:rPr>
        <w:t xml:space="preserve"> </w:t>
      </w:r>
      <w:r w:rsidR="002E365F" w:rsidRPr="00D869E3">
        <w:rPr>
          <w:rFonts w:ascii="Verdana" w:hAnsi="Verdana"/>
          <w:sz w:val="18"/>
          <w:szCs w:val="20"/>
          <w:lang w:val="en-US"/>
        </w:rPr>
        <w:t>lost as a result of his dismissal</w:t>
      </w:r>
      <w:r w:rsidRPr="00D869E3">
        <w:rPr>
          <w:rFonts w:ascii="Verdana" w:hAnsi="Verdana"/>
          <w:sz w:val="18"/>
          <w:szCs w:val="20"/>
          <w:lang w:val="en-US"/>
        </w:rPr>
        <w:t xml:space="preserve"> […]</w:t>
      </w:r>
      <w:r w:rsidR="002E365F" w:rsidRPr="00D869E3">
        <w:rPr>
          <w:rFonts w:ascii="Verdana" w:hAnsi="Verdana"/>
          <w:sz w:val="18"/>
          <w:szCs w:val="20"/>
          <w:lang w:val="en-US"/>
        </w:rPr>
        <w:t>.</w:t>
      </w:r>
      <w:r w:rsidR="006436CA" w:rsidRPr="00D869E3">
        <w:rPr>
          <w:rFonts w:ascii="Verdana" w:hAnsi="Verdana"/>
          <w:sz w:val="18"/>
          <w:szCs w:val="20"/>
          <w:lang w:val="en-US"/>
        </w:rPr>
        <w:t>”</w:t>
      </w:r>
      <w:r w:rsidRPr="00D869E3">
        <w:rPr>
          <w:rStyle w:val="Refdenotaalpie"/>
          <w:sz w:val="18"/>
          <w:szCs w:val="20"/>
          <w:lang w:val="en-US"/>
        </w:rPr>
        <w:footnoteReference w:id="182"/>
      </w:r>
    </w:p>
    <w:p w14:paraId="0E31F67F" w14:textId="77777777" w:rsidR="0088700B" w:rsidRPr="00D869E3" w:rsidRDefault="0088700B" w:rsidP="0088700B">
      <w:pPr>
        <w:pStyle w:val="Prrafodelista"/>
        <w:ind w:left="851"/>
        <w:jc w:val="both"/>
        <w:rPr>
          <w:rFonts w:ascii="Verdana" w:hAnsi="Verdana"/>
          <w:sz w:val="18"/>
          <w:szCs w:val="20"/>
          <w:lang w:val="en-US"/>
        </w:rPr>
      </w:pPr>
    </w:p>
    <w:p w14:paraId="2DCA27A0" w14:textId="3B087CB0" w:rsidR="0088700B" w:rsidRPr="00D869E3" w:rsidRDefault="005833C9" w:rsidP="005833C9">
      <w:pPr>
        <w:numPr>
          <w:ilvl w:val="0"/>
          <w:numId w:val="1"/>
        </w:numPr>
        <w:ind w:left="0" w:firstLine="0"/>
        <w:contextualSpacing/>
        <w:jc w:val="both"/>
        <w:rPr>
          <w:rFonts w:ascii="Verdana" w:hAnsi="Verdana"/>
          <w:sz w:val="20"/>
          <w:szCs w:val="20"/>
          <w:lang w:val="en-US"/>
        </w:rPr>
      </w:pPr>
      <w:r w:rsidRPr="00D869E3">
        <w:rPr>
          <w:rFonts w:ascii="Verdana" w:hAnsi="Verdana"/>
          <w:sz w:val="20"/>
          <w:szCs w:val="20"/>
          <w:lang w:val="en-US"/>
        </w:rPr>
        <w:t>Based on all the above, this Court has verified that, starting with the first communications he sent to the Commission, the petitioner requested protection of his rights “</w:t>
      </w:r>
      <w:r w:rsidRPr="00D869E3">
        <w:rPr>
          <w:rFonts w:ascii="Verdana" w:hAnsi="Verdana"/>
          <w:i/>
          <w:iCs/>
          <w:sz w:val="20"/>
          <w:szCs w:val="20"/>
          <w:lang w:val="en-US"/>
        </w:rPr>
        <w:t>to a fair trial (due process) and the right to work</w:t>
      </w:r>
      <w:r w:rsidRPr="00D869E3">
        <w:rPr>
          <w:rFonts w:ascii="Verdana" w:hAnsi="Verdana"/>
          <w:sz w:val="20"/>
          <w:szCs w:val="20"/>
          <w:lang w:val="en-US"/>
        </w:rPr>
        <w:t xml:space="preserve">.” Also, the State indicated expressly that, in the petition he lodged before the Commission, </w:t>
      </w:r>
      <w:r w:rsidR="001E44D3" w:rsidRPr="00D869E3">
        <w:rPr>
          <w:rFonts w:ascii="Verdana" w:hAnsi="Verdana"/>
          <w:sz w:val="20"/>
          <w:szCs w:val="20"/>
          <w:lang w:val="en-US"/>
        </w:rPr>
        <w:t>Mr. Lagos del Campo</w:t>
      </w:r>
      <w:r w:rsidRPr="00D869E3">
        <w:rPr>
          <w:rFonts w:ascii="Verdana" w:hAnsi="Verdana"/>
          <w:sz w:val="20"/>
          <w:szCs w:val="20"/>
          <w:lang w:val="en-US"/>
        </w:rPr>
        <w:t xml:space="preserve"> requested “immediate </w:t>
      </w:r>
      <w:r w:rsidRPr="00D869E3">
        <w:rPr>
          <w:rFonts w:ascii="Verdana" w:hAnsi="Verdana"/>
          <w:i/>
          <w:iCs/>
          <w:sz w:val="20"/>
          <w:szCs w:val="20"/>
          <w:lang w:val="en-US"/>
        </w:rPr>
        <w:t>reinstatement in his job</w:t>
      </w:r>
      <w:r w:rsidRPr="00D869E3">
        <w:rPr>
          <w:rFonts w:ascii="Verdana" w:hAnsi="Verdana"/>
          <w:sz w:val="20"/>
          <w:szCs w:val="20"/>
          <w:lang w:val="en-US"/>
        </w:rPr>
        <w:t xml:space="preserve"> at CEPER-PIRELLI, with the corresponding salary and benefits.</w:t>
      </w:r>
      <w:r w:rsidR="006436CA" w:rsidRPr="00D869E3">
        <w:rPr>
          <w:rFonts w:ascii="Verdana" w:hAnsi="Verdana"/>
          <w:sz w:val="20"/>
          <w:szCs w:val="20"/>
          <w:lang w:val="en-US"/>
        </w:rPr>
        <w:t>”</w:t>
      </w:r>
    </w:p>
    <w:p w14:paraId="3F5EF586" w14:textId="77777777" w:rsidR="0088700B" w:rsidRPr="00D869E3" w:rsidRDefault="0088700B" w:rsidP="0088700B">
      <w:pPr>
        <w:contextualSpacing/>
        <w:jc w:val="both"/>
        <w:rPr>
          <w:rFonts w:ascii="Verdana" w:hAnsi="Verdana"/>
          <w:sz w:val="20"/>
          <w:szCs w:val="20"/>
          <w:lang w:val="en-US"/>
        </w:rPr>
      </w:pPr>
    </w:p>
    <w:p w14:paraId="38FDEBB3" w14:textId="175339B1" w:rsidR="0088700B" w:rsidRPr="00D869E3" w:rsidRDefault="00447C65" w:rsidP="005833C9">
      <w:pPr>
        <w:numPr>
          <w:ilvl w:val="0"/>
          <w:numId w:val="1"/>
        </w:numPr>
        <w:ind w:left="0" w:firstLine="0"/>
        <w:contextualSpacing/>
        <w:jc w:val="both"/>
        <w:rPr>
          <w:rFonts w:ascii="Verdana" w:hAnsi="Verdana"/>
          <w:sz w:val="20"/>
          <w:szCs w:val="20"/>
          <w:lang w:val="en-US"/>
        </w:rPr>
      </w:pPr>
      <w:r w:rsidRPr="00D869E3">
        <w:rPr>
          <w:rFonts w:ascii="Verdana" w:hAnsi="Verdana"/>
          <w:sz w:val="20"/>
          <w:szCs w:val="20"/>
          <w:lang w:val="en-US"/>
        </w:rPr>
        <w:t>The Court</w:t>
      </w:r>
      <w:r w:rsidR="0088700B" w:rsidRPr="00D869E3">
        <w:rPr>
          <w:rFonts w:ascii="Verdana" w:hAnsi="Verdana"/>
          <w:sz w:val="20"/>
          <w:szCs w:val="20"/>
          <w:lang w:val="en-US"/>
        </w:rPr>
        <w:t xml:space="preserve"> </w:t>
      </w:r>
      <w:r w:rsidR="00595D0B" w:rsidRPr="00D869E3">
        <w:rPr>
          <w:rFonts w:ascii="Verdana" w:hAnsi="Verdana"/>
          <w:sz w:val="20"/>
          <w:szCs w:val="20"/>
          <w:lang w:val="en-US"/>
        </w:rPr>
        <w:t>points out</w:t>
      </w:r>
      <w:r w:rsidR="005833C9" w:rsidRPr="00D869E3">
        <w:rPr>
          <w:rFonts w:ascii="Verdana" w:hAnsi="Verdana"/>
          <w:sz w:val="20"/>
          <w:szCs w:val="20"/>
          <w:lang w:val="en-US"/>
        </w:rPr>
        <w:t xml:space="preserve"> that although</w:t>
      </w:r>
      <w:r w:rsidR="0088700B" w:rsidRPr="00D869E3">
        <w:rPr>
          <w:rFonts w:ascii="Verdana" w:hAnsi="Verdana"/>
          <w:sz w:val="20"/>
          <w:szCs w:val="20"/>
          <w:lang w:val="en-US"/>
        </w:rPr>
        <w:t xml:space="preserve"> </w:t>
      </w:r>
      <w:r w:rsidRPr="00D869E3">
        <w:rPr>
          <w:rFonts w:ascii="Verdana" w:hAnsi="Verdana"/>
          <w:sz w:val="20"/>
          <w:szCs w:val="20"/>
          <w:lang w:val="en-US"/>
        </w:rPr>
        <w:t>the Commission</w:t>
      </w:r>
      <w:r w:rsidR="005833C9" w:rsidRPr="00D869E3">
        <w:rPr>
          <w:rFonts w:ascii="Verdana" w:hAnsi="Verdana"/>
          <w:sz w:val="20"/>
          <w:szCs w:val="20"/>
          <w:lang w:val="en-US"/>
        </w:rPr>
        <w:t xml:space="preserve"> noted this request in its </w:t>
      </w:r>
      <w:r w:rsidR="00687684" w:rsidRPr="00D869E3">
        <w:rPr>
          <w:rFonts w:ascii="Verdana" w:hAnsi="Verdana"/>
          <w:sz w:val="20"/>
          <w:szCs w:val="20"/>
          <w:lang w:val="en-US"/>
        </w:rPr>
        <w:t>Admissibility Report</w:t>
      </w:r>
      <w:r w:rsidR="0088700B" w:rsidRPr="00D869E3">
        <w:rPr>
          <w:rFonts w:ascii="Verdana" w:hAnsi="Verdana"/>
          <w:sz w:val="20"/>
          <w:szCs w:val="20"/>
          <w:lang w:val="en-US"/>
        </w:rPr>
        <w:t xml:space="preserve"> (</w:t>
      </w:r>
      <w:r w:rsidR="0088700B" w:rsidRPr="00D869E3">
        <w:rPr>
          <w:rFonts w:ascii="Verdana" w:hAnsi="Verdana"/>
          <w:i/>
          <w:sz w:val="20"/>
          <w:szCs w:val="20"/>
          <w:lang w:val="en-US"/>
        </w:rPr>
        <w:t>supra,</w:t>
      </w:r>
      <w:r w:rsidR="0088700B" w:rsidRPr="00D869E3">
        <w:rPr>
          <w:rFonts w:ascii="Verdana" w:hAnsi="Verdana"/>
          <w:sz w:val="20"/>
          <w:szCs w:val="20"/>
          <w:lang w:val="en-US"/>
        </w:rPr>
        <w:t xml:space="preserve"> </w:t>
      </w:r>
      <w:r w:rsidR="0087339F" w:rsidRPr="00D869E3">
        <w:rPr>
          <w:rFonts w:ascii="Verdana" w:hAnsi="Verdana"/>
          <w:sz w:val="20"/>
          <w:szCs w:val="20"/>
          <w:lang w:val="en-US"/>
        </w:rPr>
        <w:t>para.</w:t>
      </w:r>
      <w:r w:rsidR="00587B73" w:rsidRPr="00D869E3">
        <w:rPr>
          <w:rFonts w:ascii="Verdana" w:hAnsi="Verdana"/>
          <w:sz w:val="20"/>
          <w:szCs w:val="20"/>
          <w:lang w:val="en-US"/>
        </w:rPr>
        <w:t xml:space="preserve"> 133</w:t>
      </w:r>
      <w:r w:rsidR="005833C9" w:rsidRPr="00D869E3">
        <w:rPr>
          <w:rFonts w:ascii="Verdana" w:hAnsi="Verdana"/>
          <w:sz w:val="20"/>
          <w:szCs w:val="20"/>
          <w:lang w:val="en-US"/>
        </w:rPr>
        <w:t xml:space="preserve"> (</w:t>
      </w:r>
      <w:r w:rsidR="0088700B" w:rsidRPr="00D869E3">
        <w:rPr>
          <w:rFonts w:ascii="Verdana" w:hAnsi="Verdana"/>
          <w:sz w:val="20"/>
          <w:szCs w:val="20"/>
          <w:lang w:val="en-US"/>
        </w:rPr>
        <w:t>k</w:t>
      </w:r>
      <w:r w:rsidR="005833C9" w:rsidRPr="00D869E3">
        <w:rPr>
          <w:rFonts w:ascii="Verdana" w:hAnsi="Verdana"/>
          <w:sz w:val="20"/>
          <w:szCs w:val="20"/>
          <w:lang w:val="en-US"/>
        </w:rPr>
        <w:t>)</w:t>
      </w:r>
      <w:r w:rsidR="0088700B" w:rsidRPr="00D869E3">
        <w:rPr>
          <w:rFonts w:ascii="Verdana" w:hAnsi="Verdana"/>
          <w:sz w:val="20"/>
          <w:szCs w:val="20"/>
          <w:lang w:val="en-US"/>
        </w:rPr>
        <w:t>)</w:t>
      </w:r>
      <w:r w:rsidR="005833C9" w:rsidRPr="00D869E3">
        <w:rPr>
          <w:rFonts w:ascii="Verdana" w:hAnsi="Verdana"/>
          <w:sz w:val="20"/>
          <w:szCs w:val="20"/>
          <w:lang w:val="en-US"/>
        </w:rPr>
        <w:t xml:space="preserve">, it failed to rule on the alleged right to work and its possible </w:t>
      </w:r>
      <w:r w:rsidR="005833C9" w:rsidRPr="00D869E3">
        <w:rPr>
          <w:rFonts w:ascii="Verdana" w:hAnsi="Verdana"/>
          <w:sz w:val="20"/>
          <w:szCs w:val="20"/>
          <w:lang w:val="en-US"/>
        </w:rPr>
        <w:lastRenderedPageBreak/>
        <w:t xml:space="preserve">admissibility. The Court also notes that, from the early stage, the State was aware of this claim by </w:t>
      </w:r>
      <w:r w:rsidR="00687684" w:rsidRPr="00D869E3">
        <w:rPr>
          <w:rFonts w:ascii="Verdana" w:hAnsi="Verdana"/>
          <w:sz w:val="20"/>
          <w:szCs w:val="20"/>
          <w:lang w:val="en-US"/>
        </w:rPr>
        <w:t>the presumed victim</w:t>
      </w:r>
      <w:r w:rsidR="0088700B" w:rsidRPr="00D869E3">
        <w:rPr>
          <w:rFonts w:ascii="Verdana" w:hAnsi="Verdana"/>
          <w:sz w:val="20"/>
          <w:szCs w:val="20"/>
          <w:lang w:val="en-US"/>
        </w:rPr>
        <w:t xml:space="preserve"> (</w:t>
      </w:r>
      <w:r w:rsidR="0088700B" w:rsidRPr="00D869E3">
        <w:rPr>
          <w:rFonts w:ascii="Verdana" w:hAnsi="Verdana"/>
          <w:i/>
          <w:sz w:val="20"/>
          <w:szCs w:val="20"/>
          <w:lang w:val="en-US"/>
        </w:rPr>
        <w:t>supra</w:t>
      </w:r>
      <w:r w:rsidR="0088700B" w:rsidRPr="00D869E3">
        <w:rPr>
          <w:rFonts w:ascii="Verdana" w:hAnsi="Verdana"/>
          <w:sz w:val="20"/>
          <w:szCs w:val="20"/>
          <w:lang w:val="en-US"/>
        </w:rPr>
        <w:t xml:space="preserve">, </w:t>
      </w:r>
      <w:r w:rsidR="0087339F" w:rsidRPr="00D869E3">
        <w:rPr>
          <w:rFonts w:ascii="Verdana" w:hAnsi="Verdana"/>
          <w:sz w:val="20"/>
          <w:szCs w:val="20"/>
          <w:lang w:val="en-US"/>
        </w:rPr>
        <w:t>para.</w:t>
      </w:r>
      <w:r w:rsidR="00587B73" w:rsidRPr="00D869E3">
        <w:rPr>
          <w:rFonts w:ascii="Verdana" w:hAnsi="Verdana"/>
          <w:sz w:val="20"/>
          <w:szCs w:val="20"/>
          <w:lang w:val="en-US"/>
        </w:rPr>
        <w:t xml:space="preserve"> 133</w:t>
      </w:r>
      <w:r w:rsidR="005833C9" w:rsidRPr="00D869E3">
        <w:rPr>
          <w:rFonts w:ascii="Verdana" w:hAnsi="Verdana"/>
          <w:sz w:val="20"/>
          <w:szCs w:val="20"/>
          <w:lang w:val="en-US"/>
        </w:rPr>
        <w:t>(</w:t>
      </w:r>
      <w:r w:rsidR="0088700B" w:rsidRPr="00D869E3">
        <w:rPr>
          <w:rFonts w:ascii="Verdana" w:hAnsi="Verdana"/>
          <w:sz w:val="20"/>
          <w:szCs w:val="20"/>
          <w:lang w:val="en-US"/>
        </w:rPr>
        <w:t>i</w:t>
      </w:r>
      <w:r w:rsidR="005833C9" w:rsidRPr="00D869E3">
        <w:rPr>
          <w:rFonts w:ascii="Verdana" w:hAnsi="Verdana"/>
          <w:sz w:val="20"/>
          <w:szCs w:val="20"/>
          <w:lang w:val="en-US"/>
        </w:rPr>
        <w:t>)</w:t>
      </w:r>
      <w:r w:rsidR="0088700B" w:rsidRPr="00D869E3">
        <w:rPr>
          <w:rFonts w:ascii="Verdana" w:hAnsi="Verdana"/>
          <w:sz w:val="20"/>
          <w:szCs w:val="20"/>
          <w:lang w:val="en-US"/>
        </w:rPr>
        <w:t xml:space="preserve">), </w:t>
      </w:r>
      <w:r w:rsidR="005833C9" w:rsidRPr="00D869E3">
        <w:rPr>
          <w:rFonts w:ascii="Verdana" w:hAnsi="Verdana"/>
          <w:sz w:val="20"/>
          <w:szCs w:val="20"/>
          <w:lang w:val="en-US"/>
        </w:rPr>
        <w:t xml:space="preserve">which is also evident in the factual framework presented by </w:t>
      </w:r>
      <w:r w:rsidRPr="00D869E3">
        <w:rPr>
          <w:rFonts w:ascii="Verdana" w:hAnsi="Verdana"/>
          <w:sz w:val="20"/>
          <w:szCs w:val="20"/>
          <w:lang w:val="en-US"/>
        </w:rPr>
        <w:t>the Commission</w:t>
      </w:r>
      <w:r w:rsidR="0088700B" w:rsidRPr="00D869E3">
        <w:rPr>
          <w:rFonts w:ascii="Verdana" w:hAnsi="Verdana"/>
          <w:sz w:val="20"/>
          <w:szCs w:val="20"/>
          <w:lang w:val="en-US"/>
        </w:rPr>
        <w:t xml:space="preserve">. </w:t>
      </w:r>
    </w:p>
    <w:p w14:paraId="0047F997" w14:textId="77777777" w:rsidR="0088700B" w:rsidRPr="00D869E3" w:rsidRDefault="0088700B" w:rsidP="0088700B">
      <w:pPr>
        <w:contextualSpacing/>
        <w:jc w:val="both"/>
        <w:rPr>
          <w:rFonts w:ascii="Verdana" w:hAnsi="Verdana"/>
          <w:sz w:val="20"/>
          <w:szCs w:val="20"/>
          <w:lang w:val="en-US"/>
        </w:rPr>
      </w:pPr>
    </w:p>
    <w:p w14:paraId="643EB4E0" w14:textId="4F7FFE5C" w:rsidR="0088700B" w:rsidRPr="00D869E3" w:rsidRDefault="00075E68" w:rsidP="00E66DD7">
      <w:pPr>
        <w:numPr>
          <w:ilvl w:val="0"/>
          <w:numId w:val="1"/>
        </w:numPr>
        <w:ind w:left="0" w:firstLine="0"/>
        <w:contextualSpacing/>
        <w:jc w:val="both"/>
        <w:rPr>
          <w:rFonts w:ascii="Verdana" w:hAnsi="Verdana"/>
          <w:sz w:val="20"/>
          <w:szCs w:val="20"/>
          <w:lang w:val="en-US"/>
        </w:rPr>
      </w:pPr>
      <w:r w:rsidRPr="00D869E3">
        <w:rPr>
          <w:rFonts w:ascii="Verdana" w:hAnsi="Verdana"/>
          <w:sz w:val="20"/>
          <w:szCs w:val="20"/>
          <w:lang w:val="en-US"/>
        </w:rPr>
        <w:t>In this regard</w:t>
      </w:r>
      <w:r w:rsidR="0088700B" w:rsidRPr="00D869E3">
        <w:rPr>
          <w:rFonts w:ascii="Verdana" w:hAnsi="Verdana"/>
          <w:sz w:val="20"/>
          <w:szCs w:val="20"/>
          <w:lang w:val="en-US"/>
        </w:rPr>
        <w:t xml:space="preserve">, </w:t>
      </w:r>
      <w:r w:rsidR="00447C65" w:rsidRPr="00D869E3">
        <w:rPr>
          <w:rFonts w:ascii="Verdana" w:hAnsi="Verdana"/>
          <w:sz w:val="20"/>
          <w:szCs w:val="20"/>
          <w:lang w:val="en-US"/>
        </w:rPr>
        <w:t>the State</w:t>
      </w:r>
      <w:r w:rsidR="0088700B" w:rsidRPr="00D869E3">
        <w:rPr>
          <w:rFonts w:ascii="Verdana" w:hAnsi="Verdana"/>
          <w:sz w:val="20"/>
          <w:szCs w:val="20"/>
          <w:lang w:val="en-US"/>
        </w:rPr>
        <w:t xml:space="preserve"> </w:t>
      </w:r>
      <w:r w:rsidR="005833C9" w:rsidRPr="00D869E3">
        <w:rPr>
          <w:rFonts w:ascii="Verdana" w:hAnsi="Verdana"/>
          <w:sz w:val="20"/>
          <w:szCs w:val="20"/>
          <w:lang w:val="en-US"/>
        </w:rPr>
        <w:t>expressly indicated</w:t>
      </w:r>
      <w:r w:rsidR="00966115" w:rsidRPr="00D869E3">
        <w:rPr>
          <w:rFonts w:ascii="Verdana" w:hAnsi="Verdana"/>
          <w:sz w:val="20"/>
          <w:szCs w:val="20"/>
          <w:lang w:val="en-US"/>
        </w:rPr>
        <w:t xml:space="preserve"> before the</w:t>
      </w:r>
      <w:r w:rsidR="00447C65" w:rsidRPr="00D869E3">
        <w:rPr>
          <w:rFonts w:ascii="Verdana" w:hAnsi="Verdana"/>
          <w:sz w:val="20"/>
          <w:szCs w:val="20"/>
          <w:lang w:val="en-US"/>
        </w:rPr>
        <w:t xml:space="preserve"> Court</w:t>
      </w:r>
      <w:r w:rsidR="0088700B" w:rsidRPr="00D869E3">
        <w:rPr>
          <w:rFonts w:ascii="Verdana" w:hAnsi="Verdana"/>
          <w:sz w:val="20"/>
          <w:szCs w:val="20"/>
          <w:lang w:val="en-US"/>
        </w:rPr>
        <w:t xml:space="preserve"> </w:t>
      </w:r>
      <w:r w:rsidR="005833C9" w:rsidRPr="00D869E3">
        <w:rPr>
          <w:rFonts w:ascii="Verdana" w:hAnsi="Verdana"/>
          <w:sz w:val="20"/>
          <w:szCs w:val="20"/>
          <w:lang w:val="en-US"/>
        </w:rPr>
        <w:t>that</w:t>
      </w:r>
      <w:r w:rsidR="0088700B" w:rsidRPr="00D869E3">
        <w:rPr>
          <w:rFonts w:ascii="Verdana" w:hAnsi="Verdana"/>
          <w:sz w:val="20"/>
          <w:szCs w:val="20"/>
          <w:lang w:val="en-US"/>
        </w:rPr>
        <w:t xml:space="preserve">: </w:t>
      </w:r>
    </w:p>
    <w:p w14:paraId="54ADD6DB" w14:textId="77777777" w:rsidR="0088700B" w:rsidRPr="00D869E3" w:rsidRDefault="0088700B" w:rsidP="0088700B">
      <w:pPr>
        <w:contextualSpacing/>
        <w:jc w:val="both"/>
        <w:rPr>
          <w:rFonts w:ascii="Verdana" w:hAnsi="Verdana"/>
          <w:sz w:val="20"/>
          <w:szCs w:val="20"/>
          <w:lang w:val="en-US"/>
        </w:rPr>
      </w:pPr>
    </w:p>
    <w:p w14:paraId="2C1883D9" w14:textId="75FF4134" w:rsidR="0088700B" w:rsidRPr="00D869E3" w:rsidRDefault="0088700B" w:rsidP="00595D0B">
      <w:pPr>
        <w:ind w:left="720" w:right="476"/>
        <w:contextualSpacing/>
        <w:jc w:val="both"/>
        <w:rPr>
          <w:rFonts w:ascii="Verdana" w:hAnsi="Verdana"/>
          <w:sz w:val="18"/>
          <w:szCs w:val="20"/>
          <w:lang w:val="en-US"/>
        </w:rPr>
      </w:pPr>
      <w:r w:rsidRPr="00D869E3">
        <w:rPr>
          <w:rFonts w:ascii="Verdana" w:hAnsi="Verdana"/>
          <w:sz w:val="18"/>
          <w:szCs w:val="20"/>
          <w:lang w:val="en-US"/>
        </w:rPr>
        <w:t xml:space="preserve"> </w:t>
      </w:r>
      <w:r w:rsidR="006436CA" w:rsidRPr="00D869E3">
        <w:rPr>
          <w:rFonts w:ascii="Verdana" w:hAnsi="Verdana"/>
          <w:sz w:val="18"/>
          <w:szCs w:val="20"/>
          <w:lang w:val="en-US"/>
        </w:rPr>
        <w:t>“</w:t>
      </w:r>
      <w:r w:rsidR="005833C9" w:rsidRPr="00D869E3">
        <w:rPr>
          <w:rFonts w:ascii="Verdana" w:hAnsi="Verdana"/>
          <w:sz w:val="18"/>
          <w:szCs w:val="20"/>
          <w:lang w:val="en-US"/>
        </w:rPr>
        <w:t xml:space="preserve">The whole dispute [is] centered on </w:t>
      </w:r>
      <w:r w:rsidR="00E6309B" w:rsidRPr="00D869E3">
        <w:rPr>
          <w:rFonts w:ascii="Verdana" w:hAnsi="Verdana"/>
          <w:sz w:val="18"/>
          <w:szCs w:val="20"/>
          <w:lang w:val="en-US"/>
        </w:rPr>
        <w:t>Mr.</w:t>
      </w:r>
      <w:r w:rsidR="001E44D3" w:rsidRPr="00D869E3">
        <w:rPr>
          <w:rFonts w:ascii="Verdana" w:hAnsi="Verdana"/>
          <w:sz w:val="18"/>
          <w:szCs w:val="20"/>
          <w:lang w:val="en-US"/>
        </w:rPr>
        <w:t xml:space="preserve"> Lagos del Campo</w:t>
      </w:r>
      <w:r w:rsidR="005833C9" w:rsidRPr="00D869E3">
        <w:rPr>
          <w:rFonts w:ascii="Verdana" w:hAnsi="Verdana"/>
          <w:sz w:val="18"/>
          <w:szCs w:val="20"/>
          <w:lang w:val="en-US"/>
        </w:rPr>
        <w:t>’s dismissal by</w:t>
      </w:r>
      <w:r w:rsidRPr="00D869E3">
        <w:rPr>
          <w:rFonts w:ascii="Verdana" w:hAnsi="Verdana"/>
          <w:sz w:val="18"/>
          <w:szCs w:val="20"/>
          <w:lang w:val="en-US"/>
        </w:rPr>
        <w:t xml:space="preserve"> Ceper-Pirelli, </w:t>
      </w:r>
      <w:r w:rsidR="005833C9" w:rsidRPr="00D869E3">
        <w:rPr>
          <w:rFonts w:ascii="Verdana" w:hAnsi="Verdana"/>
          <w:sz w:val="18"/>
          <w:szCs w:val="20"/>
          <w:lang w:val="en-US"/>
        </w:rPr>
        <w:t>becau</w:t>
      </w:r>
      <w:r w:rsidR="00595D0B" w:rsidRPr="00D869E3">
        <w:rPr>
          <w:rFonts w:ascii="Verdana" w:hAnsi="Verdana"/>
          <w:sz w:val="18"/>
          <w:szCs w:val="20"/>
          <w:lang w:val="en-US"/>
        </w:rPr>
        <w:t>s</w:t>
      </w:r>
      <w:r w:rsidR="005833C9" w:rsidRPr="00D869E3">
        <w:rPr>
          <w:rFonts w:ascii="Verdana" w:hAnsi="Verdana"/>
          <w:sz w:val="18"/>
          <w:szCs w:val="20"/>
          <w:lang w:val="en-US"/>
        </w:rPr>
        <w:t>e he committed an offense that was established in a</w:t>
      </w:r>
      <w:r w:rsidR="00447C65" w:rsidRPr="00D869E3">
        <w:rPr>
          <w:rFonts w:ascii="Verdana" w:hAnsi="Verdana"/>
          <w:sz w:val="18"/>
          <w:szCs w:val="20"/>
          <w:lang w:val="en-US"/>
        </w:rPr>
        <w:t>rticle</w:t>
      </w:r>
      <w:r w:rsidRPr="00D869E3">
        <w:rPr>
          <w:rFonts w:ascii="Verdana" w:hAnsi="Verdana"/>
          <w:sz w:val="18"/>
          <w:szCs w:val="20"/>
          <w:lang w:val="en-US"/>
        </w:rPr>
        <w:t xml:space="preserve"> 5</w:t>
      </w:r>
      <w:r w:rsidR="005833C9" w:rsidRPr="00D869E3">
        <w:rPr>
          <w:rFonts w:ascii="Verdana" w:hAnsi="Verdana"/>
          <w:sz w:val="18"/>
          <w:szCs w:val="20"/>
          <w:lang w:val="en-US"/>
        </w:rPr>
        <w:t>(</w:t>
      </w:r>
      <w:r w:rsidRPr="00D869E3">
        <w:rPr>
          <w:rFonts w:ascii="Verdana" w:hAnsi="Verdana"/>
          <w:sz w:val="18"/>
          <w:szCs w:val="20"/>
          <w:lang w:val="en-US"/>
        </w:rPr>
        <w:t>a)</w:t>
      </w:r>
      <w:r w:rsidR="00687684" w:rsidRPr="00D869E3">
        <w:rPr>
          <w:rFonts w:ascii="Verdana" w:hAnsi="Verdana"/>
          <w:sz w:val="18"/>
          <w:szCs w:val="20"/>
          <w:lang w:val="en-US"/>
        </w:rPr>
        <w:t xml:space="preserve"> and </w:t>
      </w:r>
      <w:r w:rsidR="005833C9" w:rsidRPr="00D869E3">
        <w:rPr>
          <w:rFonts w:ascii="Verdana" w:hAnsi="Verdana"/>
          <w:sz w:val="18"/>
          <w:szCs w:val="20"/>
          <w:lang w:val="en-US"/>
        </w:rPr>
        <w:t>(</w:t>
      </w:r>
      <w:r w:rsidRPr="00D869E3">
        <w:rPr>
          <w:rFonts w:ascii="Verdana" w:hAnsi="Verdana"/>
          <w:sz w:val="18"/>
          <w:szCs w:val="20"/>
          <w:lang w:val="en-US"/>
        </w:rPr>
        <w:t xml:space="preserve">h) </w:t>
      </w:r>
      <w:r w:rsidR="005833C9" w:rsidRPr="00D869E3">
        <w:rPr>
          <w:rFonts w:ascii="Verdana" w:hAnsi="Verdana"/>
          <w:sz w:val="18"/>
          <w:szCs w:val="20"/>
          <w:lang w:val="en-US"/>
        </w:rPr>
        <w:t>of</w:t>
      </w:r>
      <w:r w:rsidRPr="00D869E3">
        <w:rPr>
          <w:rFonts w:ascii="Verdana" w:hAnsi="Verdana"/>
          <w:sz w:val="18"/>
          <w:szCs w:val="20"/>
          <w:lang w:val="en-US"/>
        </w:rPr>
        <w:t xml:space="preserve"> </w:t>
      </w:r>
      <w:r w:rsidR="00852CCA" w:rsidRPr="00D869E3">
        <w:rPr>
          <w:rFonts w:ascii="Verdana" w:hAnsi="Verdana"/>
          <w:sz w:val="18"/>
          <w:szCs w:val="20"/>
          <w:lang w:val="en-US"/>
        </w:rPr>
        <w:t>Law</w:t>
      </w:r>
      <w:r w:rsidRPr="00D869E3">
        <w:rPr>
          <w:rFonts w:ascii="Verdana" w:hAnsi="Verdana"/>
          <w:sz w:val="18"/>
          <w:szCs w:val="20"/>
          <w:lang w:val="en-US"/>
        </w:rPr>
        <w:t xml:space="preserve"> </w:t>
      </w:r>
      <w:r w:rsidR="005833C9" w:rsidRPr="00D869E3">
        <w:rPr>
          <w:rFonts w:ascii="Verdana" w:hAnsi="Verdana"/>
          <w:sz w:val="18"/>
          <w:szCs w:val="20"/>
          <w:lang w:val="en-US"/>
        </w:rPr>
        <w:t>No.</w:t>
      </w:r>
      <w:r w:rsidRPr="00D869E3">
        <w:rPr>
          <w:rFonts w:ascii="Verdana" w:hAnsi="Verdana"/>
          <w:sz w:val="18"/>
          <w:szCs w:val="20"/>
          <w:lang w:val="en-US"/>
        </w:rPr>
        <w:t xml:space="preserve"> 24514 – </w:t>
      </w:r>
      <w:r w:rsidR="004806A6" w:rsidRPr="00D869E3">
        <w:rPr>
          <w:rFonts w:ascii="Verdana" w:hAnsi="Verdana"/>
          <w:sz w:val="18"/>
          <w:szCs w:val="20"/>
          <w:lang w:val="en-US"/>
        </w:rPr>
        <w:t xml:space="preserve">the law that regulates the right to job security” </w:t>
      </w:r>
      <w:r w:rsidRPr="00D869E3">
        <w:rPr>
          <w:rFonts w:ascii="Verdana" w:hAnsi="Verdana"/>
          <w:sz w:val="18"/>
          <w:szCs w:val="20"/>
          <w:lang w:val="en-US"/>
        </w:rPr>
        <w:t>(</w:t>
      </w:r>
      <w:r w:rsidR="00A674A7" w:rsidRPr="00D869E3">
        <w:rPr>
          <w:rFonts w:ascii="Verdana" w:hAnsi="Verdana"/>
          <w:sz w:val="18"/>
          <w:szCs w:val="20"/>
          <w:lang w:val="en-US"/>
        </w:rPr>
        <w:t>merits</w:t>
      </w:r>
      <w:r w:rsidR="004806A6" w:rsidRPr="00D869E3">
        <w:rPr>
          <w:rFonts w:ascii="Verdana" w:hAnsi="Verdana"/>
          <w:sz w:val="18"/>
          <w:szCs w:val="20"/>
          <w:lang w:val="en-US"/>
        </w:rPr>
        <w:t xml:space="preserve"> file</w:t>
      </w:r>
      <w:r w:rsidRPr="00D869E3">
        <w:rPr>
          <w:rFonts w:ascii="Verdana" w:hAnsi="Verdana"/>
          <w:sz w:val="18"/>
          <w:szCs w:val="20"/>
          <w:lang w:val="en-US"/>
        </w:rPr>
        <w:t>, f</w:t>
      </w:r>
      <w:r w:rsidR="00DE5D83" w:rsidRPr="00D869E3">
        <w:rPr>
          <w:rFonts w:ascii="Verdana" w:hAnsi="Verdana"/>
          <w:sz w:val="18"/>
          <w:szCs w:val="20"/>
          <w:lang w:val="en-US"/>
        </w:rPr>
        <w:t>olio</w:t>
      </w:r>
      <w:r w:rsidRPr="00D869E3">
        <w:rPr>
          <w:rFonts w:ascii="Verdana" w:hAnsi="Verdana"/>
          <w:sz w:val="18"/>
          <w:szCs w:val="20"/>
          <w:lang w:val="en-US"/>
        </w:rPr>
        <w:t xml:space="preserve"> 224). </w:t>
      </w:r>
      <w:r w:rsidR="004806A6" w:rsidRPr="00D869E3">
        <w:rPr>
          <w:rFonts w:ascii="Verdana" w:hAnsi="Verdana"/>
          <w:color w:val="000000"/>
          <w:sz w:val="18"/>
          <w:szCs w:val="20"/>
          <w:lang w:val="en-US"/>
        </w:rPr>
        <w:t>During the</w:t>
      </w:r>
      <w:r w:rsidRPr="00D869E3">
        <w:rPr>
          <w:rFonts w:ascii="Verdana" w:hAnsi="Verdana"/>
          <w:color w:val="000000"/>
          <w:sz w:val="18"/>
          <w:szCs w:val="20"/>
          <w:lang w:val="en-US"/>
        </w:rPr>
        <w:t xml:space="preserve"> </w:t>
      </w:r>
      <w:r w:rsidR="001E44D3" w:rsidRPr="00D869E3">
        <w:rPr>
          <w:rFonts w:ascii="Verdana" w:hAnsi="Verdana"/>
          <w:color w:val="000000"/>
          <w:sz w:val="18"/>
          <w:szCs w:val="20"/>
          <w:lang w:val="en-US"/>
        </w:rPr>
        <w:t>public hearing</w:t>
      </w:r>
      <w:r w:rsidRPr="00D869E3">
        <w:rPr>
          <w:rFonts w:ascii="Verdana" w:hAnsi="Verdana"/>
          <w:color w:val="000000"/>
          <w:sz w:val="18"/>
          <w:szCs w:val="20"/>
          <w:lang w:val="en-US"/>
        </w:rPr>
        <w:t xml:space="preserve">, </w:t>
      </w:r>
      <w:r w:rsidR="00447C65" w:rsidRPr="00D869E3">
        <w:rPr>
          <w:rFonts w:ascii="Verdana" w:hAnsi="Verdana"/>
          <w:color w:val="000000"/>
          <w:sz w:val="18"/>
          <w:szCs w:val="20"/>
          <w:lang w:val="en-US"/>
        </w:rPr>
        <w:t>the State</w:t>
      </w:r>
      <w:r w:rsidRPr="00D869E3">
        <w:rPr>
          <w:rFonts w:ascii="Verdana" w:hAnsi="Verdana"/>
          <w:color w:val="000000"/>
          <w:sz w:val="18"/>
          <w:szCs w:val="20"/>
          <w:lang w:val="en-US"/>
        </w:rPr>
        <w:t xml:space="preserve"> consider</w:t>
      </w:r>
      <w:r w:rsidR="004806A6" w:rsidRPr="00D869E3">
        <w:rPr>
          <w:rFonts w:ascii="Verdana" w:hAnsi="Verdana"/>
          <w:color w:val="000000"/>
          <w:sz w:val="18"/>
          <w:szCs w:val="20"/>
          <w:lang w:val="en-US"/>
        </w:rPr>
        <w:t xml:space="preserve">ed that the case related to a context in which </w:t>
      </w:r>
      <w:r w:rsidR="00595D0B" w:rsidRPr="00D869E3">
        <w:rPr>
          <w:rFonts w:ascii="Verdana" w:hAnsi="Verdana"/>
          <w:color w:val="000000"/>
          <w:sz w:val="18"/>
          <w:szCs w:val="20"/>
          <w:lang w:val="en-US"/>
        </w:rPr>
        <w:t>the</w:t>
      </w:r>
      <w:r w:rsidR="004806A6" w:rsidRPr="00D869E3">
        <w:rPr>
          <w:rFonts w:ascii="Verdana" w:hAnsi="Verdana"/>
          <w:color w:val="000000"/>
          <w:sz w:val="18"/>
          <w:szCs w:val="20"/>
          <w:lang w:val="en-US"/>
        </w:rPr>
        <w:t xml:space="preserve"> “labor </w:t>
      </w:r>
      <w:r w:rsidR="00595D0B" w:rsidRPr="00D869E3">
        <w:rPr>
          <w:rFonts w:ascii="Verdana" w:hAnsi="Verdana"/>
          <w:color w:val="000000"/>
          <w:sz w:val="18"/>
          <w:szCs w:val="20"/>
          <w:lang w:val="en-US"/>
        </w:rPr>
        <w:t>laws were</w:t>
      </w:r>
      <w:r w:rsidR="004806A6" w:rsidRPr="00D869E3">
        <w:rPr>
          <w:rFonts w:ascii="Verdana" w:hAnsi="Verdana"/>
          <w:color w:val="000000"/>
          <w:sz w:val="18"/>
          <w:szCs w:val="20"/>
          <w:lang w:val="en-US"/>
        </w:rPr>
        <w:t xml:space="preserve"> highly protective of the worker,” because “</w:t>
      </w:r>
      <w:r w:rsidR="00595D0B" w:rsidRPr="00D869E3">
        <w:rPr>
          <w:rFonts w:ascii="Verdana" w:hAnsi="Verdana"/>
          <w:color w:val="000000"/>
          <w:sz w:val="18"/>
          <w:szCs w:val="20"/>
          <w:lang w:val="en-US"/>
        </w:rPr>
        <w:t>they</w:t>
      </w:r>
      <w:r w:rsidR="004806A6" w:rsidRPr="00D869E3">
        <w:rPr>
          <w:rFonts w:ascii="Verdana" w:hAnsi="Verdana"/>
          <w:color w:val="000000"/>
          <w:sz w:val="18"/>
          <w:szCs w:val="20"/>
          <w:lang w:val="en-US"/>
        </w:rPr>
        <w:t xml:space="preserve"> provided a legal means of absolute protection of the workers’ </w:t>
      </w:r>
      <w:r w:rsidR="00065A47" w:rsidRPr="00D869E3">
        <w:rPr>
          <w:rFonts w:ascii="Verdana" w:hAnsi="Verdana"/>
          <w:color w:val="000000"/>
          <w:sz w:val="18"/>
          <w:szCs w:val="20"/>
          <w:lang w:val="en-US"/>
        </w:rPr>
        <w:t>job security</w:t>
      </w:r>
      <w:r w:rsidR="004806A6" w:rsidRPr="00D869E3">
        <w:rPr>
          <w:rFonts w:ascii="Verdana" w:hAnsi="Verdana"/>
          <w:color w:val="000000"/>
          <w:sz w:val="18"/>
          <w:szCs w:val="20"/>
          <w:lang w:val="en-US"/>
        </w:rPr>
        <w:t>.”</w:t>
      </w:r>
    </w:p>
    <w:p w14:paraId="4386F213" w14:textId="77777777" w:rsidR="0088700B" w:rsidRPr="00D869E3" w:rsidRDefault="0088700B" w:rsidP="0088700B">
      <w:pPr>
        <w:contextualSpacing/>
        <w:jc w:val="both"/>
        <w:rPr>
          <w:rFonts w:ascii="Verdana" w:hAnsi="Verdana"/>
          <w:sz w:val="20"/>
          <w:szCs w:val="20"/>
          <w:lang w:val="en-US"/>
        </w:rPr>
      </w:pPr>
    </w:p>
    <w:p w14:paraId="2B019F5E" w14:textId="51AC1E93" w:rsidR="0088700B" w:rsidRPr="00D869E3" w:rsidRDefault="004806A6" w:rsidP="00E66DD7">
      <w:pPr>
        <w:numPr>
          <w:ilvl w:val="0"/>
          <w:numId w:val="1"/>
        </w:numPr>
        <w:ind w:left="0" w:firstLine="0"/>
        <w:contextualSpacing/>
        <w:jc w:val="both"/>
        <w:rPr>
          <w:rFonts w:ascii="Verdana" w:hAnsi="Verdana"/>
          <w:b/>
          <w:sz w:val="20"/>
          <w:szCs w:val="20"/>
          <w:lang w:val="en-US"/>
        </w:rPr>
      </w:pPr>
      <w:r w:rsidRPr="00D869E3">
        <w:rPr>
          <w:rFonts w:ascii="Verdana" w:hAnsi="Verdana"/>
          <w:sz w:val="20"/>
          <w:szCs w:val="20"/>
          <w:lang w:val="en-US"/>
        </w:rPr>
        <w:t xml:space="preserve">Consequently, the Court notes that the facts corresponding to the dismissal </w:t>
      </w:r>
      <w:r w:rsidR="00E6309B" w:rsidRPr="00D869E3">
        <w:rPr>
          <w:rFonts w:ascii="Verdana" w:hAnsi="Verdana"/>
          <w:sz w:val="20"/>
          <w:szCs w:val="20"/>
          <w:lang w:val="en-US"/>
        </w:rPr>
        <w:t>of Mr.</w:t>
      </w:r>
      <w:r w:rsidR="001E44D3" w:rsidRPr="00D869E3">
        <w:rPr>
          <w:rFonts w:ascii="Verdana" w:hAnsi="Verdana"/>
          <w:sz w:val="20"/>
          <w:szCs w:val="20"/>
          <w:lang w:val="en-US"/>
        </w:rPr>
        <w:t xml:space="preserve"> Lagos del Campo</w:t>
      </w:r>
      <w:r w:rsidR="0088700B" w:rsidRPr="00D869E3">
        <w:rPr>
          <w:rFonts w:ascii="Verdana" w:hAnsi="Verdana"/>
          <w:sz w:val="20"/>
          <w:szCs w:val="20"/>
          <w:lang w:val="en-US"/>
        </w:rPr>
        <w:t xml:space="preserve"> ha</w:t>
      </w:r>
      <w:r w:rsidRPr="00D869E3">
        <w:rPr>
          <w:rFonts w:ascii="Verdana" w:hAnsi="Verdana"/>
          <w:sz w:val="20"/>
          <w:szCs w:val="20"/>
          <w:lang w:val="en-US"/>
        </w:rPr>
        <w:t>ve constantly been aired before the domestic judicial instances,</w:t>
      </w:r>
      <w:r w:rsidR="0088700B" w:rsidRPr="00D869E3">
        <w:rPr>
          <w:rStyle w:val="Refdenotaalpie"/>
          <w:szCs w:val="20"/>
          <w:lang w:val="en-US"/>
        </w:rPr>
        <w:footnoteReference w:id="183"/>
      </w:r>
      <w:r w:rsidRPr="00D869E3">
        <w:rPr>
          <w:rFonts w:ascii="Verdana" w:hAnsi="Verdana"/>
          <w:sz w:val="20"/>
          <w:szCs w:val="20"/>
          <w:lang w:val="en-US"/>
        </w:rPr>
        <w:t xml:space="preserve"> and also in the proceedings </w:t>
      </w:r>
      <w:r w:rsidR="00966115" w:rsidRPr="00D869E3">
        <w:rPr>
          <w:rFonts w:ascii="Verdana" w:hAnsi="Verdana"/>
          <w:sz w:val="20"/>
          <w:szCs w:val="20"/>
          <w:lang w:val="en-US"/>
        </w:rPr>
        <w:t>before the</w:t>
      </w:r>
      <w:r w:rsidR="00671B14" w:rsidRPr="00D869E3">
        <w:rPr>
          <w:rFonts w:ascii="Verdana" w:hAnsi="Verdana"/>
          <w:sz w:val="20"/>
          <w:szCs w:val="20"/>
          <w:lang w:val="en-US"/>
        </w:rPr>
        <w:t xml:space="preserve"> inter-American system</w:t>
      </w:r>
      <w:r w:rsidR="0088700B" w:rsidRPr="00D869E3">
        <w:rPr>
          <w:rStyle w:val="Refdenotaalpie"/>
          <w:szCs w:val="20"/>
          <w:lang w:val="en-US"/>
        </w:rPr>
        <w:footnoteReference w:id="184"/>
      </w:r>
      <w:r w:rsidR="000909C0" w:rsidRPr="00D869E3">
        <w:rPr>
          <w:rFonts w:ascii="Verdana" w:hAnsi="Verdana"/>
          <w:sz w:val="20"/>
          <w:szCs w:val="20"/>
          <w:lang w:val="en-US"/>
        </w:rPr>
        <w:t xml:space="preserve"> (</w:t>
      </w:r>
      <w:r w:rsidR="000909C0" w:rsidRPr="00D869E3">
        <w:rPr>
          <w:rFonts w:ascii="Verdana" w:hAnsi="Verdana"/>
          <w:i/>
          <w:sz w:val="20"/>
          <w:szCs w:val="20"/>
          <w:lang w:val="en-US"/>
        </w:rPr>
        <w:t>supra</w:t>
      </w:r>
      <w:r w:rsidR="000909C0" w:rsidRPr="00D869E3">
        <w:rPr>
          <w:rFonts w:ascii="Verdana" w:hAnsi="Verdana"/>
          <w:sz w:val="20"/>
          <w:szCs w:val="20"/>
          <w:lang w:val="en-US"/>
        </w:rPr>
        <w:t xml:space="preserve">, </w:t>
      </w:r>
      <w:r w:rsidR="0087339F" w:rsidRPr="00D869E3">
        <w:rPr>
          <w:rFonts w:ascii="Verdana" w:hAnsi="Verdana"/>
          <w:sz w:val="20"/>
          <w:szCs w:val="20"/>
          <w:lang w:val="en-US"/>
        </w:rPr>
        <w:t>para.</w:t>
      </w:r>
      <w:r w:rsidR="000909C0" w:rsidRPr="00D869E3">
        <w:rPr>
          <w:rFonts w:ascii="Verdana" w:hAnsi="Verdana"/>
          <w:sz w:val="20"/>
          <w:szCs w:val="20"/>
          <w:lang w:val="en-US"/>
        </w:rPr>
        <w:t xml:space="preserve"> 133)</w:t>
      </w:r>
      <w:r w:rsidRPr="00D869E3">
        <w:rPr>
          <w:rFonts w:ascii="Verdana" w:hAnsi="Verdana"/>
          <w:sz w:val="20"/>
          <w:szCs w:val="20"/>
          <w:lang w:val="en-US"/>
        </w:rPr>
        <w:t xml:space="preserve">. Moreover, the argument on the right to work was repeatedly substantiated by the petitioner as of the initial procedural stages </w:t>
      </w:r>
      <w:r w:rsidR="00966115" w:rsidRPr="00D869E3">
        <w:rPr>
          <w:rFonts w:ascii="Verdana" w:hAnsi="Verdana"/>
          <w:sz w:val="20"/>
          <w:szCs w:val="20"/>
          <w:lang w:val="en-US"/>
        </w:rPr>
        <w:t>before the</w:t>
      </w:r>
      <w:r w:rsidR="00447C65" w:rsidRPr="00D869E3">
        <w:rPr>
          <w:rFonts w:ascii="Verdana" w:hAnsi="Verdana"/>
          <w:sz w:val="20"/>
          <w:szCs w:val="20"/>
          <w:lang w:val="en-US"/>
        </w:rPr>
        <w:t xml:space="preserve"> Commission</w:t>
      </w:r>
      <w:r w:rsidR="0088700B" w:rsidRPr="00D869E3">
        <w:rPr>
          <w:rFonts w:ascii="Verdana" w:hAnsi="Verdana"/>
          <w:sz w:val="20"/>
          <w:szCs w:val="20"/>
          <w:lang w:val="en-US"/>
        </w:rPr>
        <w:t xml:space="preserve">. </w:t>
      </w:r>
      <w:r w:rsidR="00075E68" w:rsidRPr="00D869E3">
        <w:rPr>
          <w:rFonts w:ascii="Verdana" w:hAnsi="Verdana"/>
          <w:sz w:val="20"/>
          <w:szCs w:val="20"/>
          <w:lang w:val="en-US"/>
        </w:rPr>
        <w:t>In this regard</w:t>
      </w:r>
      <w:r w:rsidR="0088700B" w:rsidRPr="00D869E3">
        <w:rPr>
          <w:rFonts w:ascii="Verdana" w:hAnsi="Verdana"/>
          <w:sz w:val="20"/>
          <w:szCs w:val="20"/>
          <w:lang w:val="en-US"/>
        </w:rPr>
        <w:t xml:space="preserve">, </w:t>
      </w:r>
      <w:r w:rsidRPr="00D869E3">
        <w:rPr>
          <w:rFonts w:ascii="Verdana" w:hAnsi="Verdana"/>
          <w:sz w:val="20"/>
          <w:szCs w:val="20"/>
          <w:lang w:val="en-US"/>
        </w:rPr>
        <w:t>the parties have had abundant possibilities of referring to the scope of the rights involved in the facts analyzed.</w:t>
      </w:r>
      <w:r w:rsidR="0088700B" w:rsidRPr="00D869E3">
        <w:rPr>
          <w:rFonts w:ascii="Verdana" w:hAnsi="Verdana"/>
          <w:sz w:val="20"/>
          <w:szCs w:val="20"/>
          <w:vertAlign w:val="superscript"/>
          <w:lang w:val="en-US"/>
        </w:rPr>
        <w:footnoteReference w:id="185"/>
      </w:r>
      <w:r w:rsidR="0088700B" w:rsidRPr="00D869E3">
        <w:rPr>
          <w:rFonts w:ascii="Verdana" w:hAnsi="Verdana"/>
          <w:sz w:val="20"/>
          <w:szCs w:val="20"/>
          <w:lang w:val="en-US"/>
        </w:rPr>
        <w:t xml:space="preserve"> </w:t>
      </w:r>
    </w:p>
    <w:p w14:paraId="784B922A" w14:textId="77777777" w:rsidR="0088700B" w:rsidRPr="00D869E3" w:rsidRDefault="0088700B" w:rsidP="0088700B">
      <w:pPr>
        <w:contextualSpacing/>
        <w:jc w:val="both"/>
        <w:rPr>
          <w:rFonts w:ascii="Verdana" w:hAnsi="Verdana"/>
          <w:b/>
          <w:color w:val="800000"/>
          <w:sz w:val="20"/>
          <w:szCs w:val="20"/>
          <w:lang w:val="en-US"/>
        </w:rPr>
      </w:pPr>
    </w:p>
    <w:p w14:paraId="7FAAFD35" w14:textId="3222669B" w:rsidR="00032FC5" w:rsidRPr="00D869E3" w:rsidRDefault="00636C30" w:rsidP="00E66DD7">
      <w:pPr>
        <w:numPr>
          <w:ilvl w:val="0"/>
          <w:numId w:val="1"/>
        </w:numPr>
        <w:ind w:left="0" w:firstLine="0"/>
        <w:contextualSpacing/>
        <w:jc w:val="both"/>
        <w:rPr>
          <w:rFonts w:ascii="Verdana" w:hAnsi="Verdana"/>
          <w:sz w:val="20"/>
          <w:szCs w:val="20"/>
          <w:lang w:val="en-US"/>
        </w:rPr>
      </w:pPr>
      <w:r w:rsidRPr="00D869E3">
        <w:rPr>
          <w:rFonts w:ascii="Verdana" w:hAnsi="Verdana"/>
          <w:sz w:val="20"/>
          <w:szCs w:val="20"/>
          <w:lang w:val="en-US"/>
        </w:rPr>
        <w:t>In addition</w:t>
      </w:r>
      <w:r w:rsidR="0088700B" w:rsidRPr="00D869E3">
        <w:rPr>
          <w:rFonts w:ascii="Verdana" w:hAnsi="Verdana"/>
          <w:sz w:val="20"/>
          <w:szCs w:val="20"/>
          <w:lang w:val="en-US"/>
        </w:rPr>
        <w:t xml:space="preserve">, </w:t>
      </w:r>
      <w:r w:rsidR="00447C65" w:rsidRPr="00D869E3">
        <w:rPr>
          <w:rFonts w:ascii="Verdana" w:hAnsi="Verdana"/>
          <w:sz w:val="20"/>
          <w:szCs w:val="20"/>
          <w:lang w:val="en-US"/>
        </w:rPr>
        <w:t>the Court</w:t>
      </w:r>
      <w:r w:rsidR="0088700B" w:rsidRPr="00D869E3">
        <w:rPr>
          <w:rFonts w:ascii="Verdana" w:hAnsi="Verdana"/>
          <w:sz w:val="20"/>
          <w:szCs w:val="20"/>
          <w:lang w:val="en-US"/>
        </w:rPr>
        <w:t xml:space="preserve"> not</w:t>
      </w:r>
      <w:r w:rsidRPr="00D869E3">
        <w:rPr>
          <w:rFonts w:ascii="Verdana" w:hAnsi="Verdana"/>
          <w:sz w:val="20"/>
          <w:szCs w:val="20"/>
          <w:lang w:val="en-US"/>
        </w:rPr>
        <w:t xml:space="preserve">es that both the </w:t>
      </w:r>
      <w:r w:rsidR="003531AF" w:rsidRPr="00D869E3">
        <w:rPr>
          <w:rFonts w:ascii="Verdana" w:hAnsi="Verdana" w:cs="Arial Narrow"/>
          <w:color w:val="000000"/>
          <w:sz w:val="20"/>
          <w:szCs w:val="20"/>
          <w:lang w:val="en-US" w:eastAsia="es-MX"/>
        </w:rPr>
        <w:t xml:space="preserve">1979 </w:t>
      </w:r>
      <w:r w:rsidRPr="00D869E3">
        <w:rPr>
          <w:rFonts w:ascii="Verdana" w:hAnsi="Verdana" w:cs="Arial Narrow"/>
          <w:color w:val="000000"/>
          <w:sz w:val="20"/>
          <w:szCs w:val="20"/>
          <w:lang w:val="en-US" w:eastAsia="es-MX"/>
        </w:rPr>
        <w:t xml:space="preserve">and the 1993 </w:t>
      </w:r>
      <w:r w:rsidR="003531AF" w:rsidRPr="00D869E3">
        <w:rPr>
          <w:rFonts w:ascii="Verdana" w:hAnsi="Verdana" w:cs="Arial Narrow"/>
          <w:color w:val="000000"/>
          <w:sz w:val="20"/>
          <w:szCs w:val="20"/>
          <w:lang w:val="en-US" w:eastAsia="es-MX"/>
        </w:rPr>
        <w:t>Constitution</w:t>
      </w:r>
      <w:r w:rsidR="0088700B" w:rsidRPr="00D869E3">
        <w:rPr>
          <w:rFonts w:ascii="Verdana" w:hAnsi="Verdana" w:cs="Arial Narrow"/>
          <w:color w:val="000000"/>
          <w:sz w:val="20"/>
          <w:szCs w:val="20"/>
          <w:lang w:val="en-US" w:eastAsia="es-MX"/>
        </w:rPr>
        <w:t xml:space="preserve"> </w:t>
      </w:r>
      <w:r w:rsidRPr="00D869E3">
        <w:rPr>
          <w:rFonts w:ascii="Verdana" w:hAnsi="Verdana" w:cs="Arial Narrow"/>
          <w:color w:val="000000"/>
          <w:sz w:val="20"/>
          <w:szCs w:val="20"/>
          <w:lang w:val="en-US" w:eastAsia="es-MX"/>
        </w:rPr>
        <w:t>of</w:t>
      </w:r>
      <w:r w:rsidR="0088700B" w:rsidRPr="00D869E3">
        <w:rPr>
          <w:rFonts w:ascii="Verdana" w:hAnsi="Verdana" w:cs="Arial Narrow"/>
          <w:color w:val="000000"/>
          <w:sz w:val="20"/>
          <w:szCs w:val="20"/>
          <w:lang w:val="en-US" w:eastAsia="es-MX"/>
        </w:rPr>
        <w:t xml:space="preserve"> </w:t>
      </w:r>
      <w:r w:rsidR="00447C65" w:rsidRPr="00D869E3">
        <w:rPr>
          <w:rFonts w:ascii="Verdana" w:hAnsi="Verdana" w:cs="Arial Narrow"/>
          <w:color w:val="000000"/>
          <w:sz w:val="20"/>
          <w:szCs w:val="20"/>
          <w:lang w:val="en-US" w:eastAsia="es-MX"/>
        </w:rPr>
        <w:t>Peru</w:t>
      </w:r>
      <w:r w:rsidR="0088700B" w:rsidRPr="00D869E3">
        <w:rPr>
          <w:rFonts w:ascii="Verdana" w:hAnsi="Verdana" w:cs="Arial Narrow"/>
          <w:color w:val="000000"/>
          <w:sz w:val="20"/>
          <w:szCs w:val="20"/>
          <w:lang w:val="en-US" w:eastAsia="es-MX"/>
        </w:rPr>
        <w:t>,</w:t>
      </w:r>
      <w:r w:rsidR="00687684" w:rsidRPr="00D869E3">
        <w:rPr>
          <w:rFonts w:ascii="Verdana" w:hAnsi="Verdana" w:cs="Arial Narrow"/>
          <w:color w:val="000000"/>
          <w:sz w:val="20"/>
          <w:szCs w:val="20"/>
          <w:lang w:val="en-US" w:eastAsia="es-MX"/>
        </w:rPr>
        <w:t xml:space="preserve"> and</w:t>
      </w:r>
      <w:r w:rsidRPr="00D869E3">
        <w:rPr>
          <w:rFonts w:ascii="Verdana" w:hAnsi="Verdana" w:cs="Arial Narrow"/>
          <w:color w:val="000000"/>
          <w:sz w:val="20"/>
          <w:szCs w:val="20"/>
          <w:lang w:val="en-US" w:eastAsia="es-MX"/>
        </w:rPr>
        <w:t xml:space="preserve"> labor laws at the time of the facts, explicitly recognized the right to job security,</w:t>
      </w:r>
      <w:r w:rsidR="0088700B" w:rsidRPr="00D869E3">
        <w:rPr>
          <w:rStyle w:val="Refdenotaalpie"/>
          <w:rFonts w:cs="Arial Narrow"/>
          <w:color w:val="000000"/>
          <w:szCs w:val="20"/>
          <w:lang w:val="en-US" w:eastAsia="es-MX"/>
        </w:rPr>
        <w:footnoteReference w:id="186"/>
      </w:r>
      <w:r w:rsidRPr="00D869E3">
        <w:rPr>
          <w:rFonts w:ascii="Verdana" w:hAnsi="Verdana" w:cs="Arial Narrow"/>
          <w:color w:val="000000"/>
          <w:sz w:val="20"/>
          <w:szCs w:val="20"/>
          <w:lang w:val="en-US" w:eastAsia="es-MX"/>
        </w:rPr>
        <w:t xml:space="preserve"> as follows</w:t>
      </w:r>
      <w:r w:rsidR="0088700B" w:rsidRPr="00D869E3">
        <w:rPr>
          <w:rFonts w:ascii="Verdana" w:hAnsi="Verdana" w:cs="Arial Narrow"/>
          <w:color w:val="000000"/>
          <w:sz w:val="20"/>
          <w:szCs w:val="20"/>
          <w:lang w:val="en-US" w:eastAsia="es-MX"/>
        </w:rPr>
        <w:t xml:space="preserve">: </w:t>
      </w:r>
    </w:p>
    <w:p w14:paraId="7BB2B268" w14:textId="77777777" w:rsidR="0088700B" w:rsidRPr="00D869E3" w:rsidRDefault="0088700B" w:rsidP="0088700B">
      <w:pPr>
        <w:pStyle w:val="Prrafodelista"/>
        <w:ind w:left="540" w:right="332"/>
        <w:jc w:val="both"/>
        <w:rPr>
          <w:rFonts w:ascii="Verdana" w:hAnsi="Verdana" w:cs="Arial Narrow"/>
          <w:color w:val="000000"/>
          <w:sz w:val="18"/>
          <w:szCs w:val="20"/>
          <w:lang w:val="en-US" w:eastAsia="es-MX"/>
        </w:rPr>
      </w:pPr>
    </w:p>
    <w:p w14:paraId="117329BC" w14:textId="46279E74" w:rsidR="0088700B" w:rsidRPr="00D869E3" w:rsidRDefault="003531AF" w:rsidP="00595D0B">
      <w:pPr>
        <w:pStyle w:val="Prrafodelista"/>
        <w:ind w:left="540" w:right="566"/>
        <w:jc w:val="both"/>
        <w:rPr>
          <w:rFonts w:ascii="Verdana" w:hAnsi="Verdana"/>
          <w:lang w:val="en-US"/>
        </w:rPr>
      </w:pPr>
      <w:r w:rsidRPr="00D869E3">
        <w:rPr>
          <w:rFonts w:ascii="Verdana" w:hAnsi="Verdana" w:cs="Arial Narrow"/>
          <w:color w:val="000000"/>
          <w:sz w:val="18"/>
          <w:szCs w:val="20"/>
          <w:lang w:val="en-US" w:eastAsia="es-MX"/>
        </w:rPr>
        <w:t>1979 Constitution</w:t>
      </w:r>
      <w:r w:rsidR="0088700B" w:rsidRPr="00D869E3">
        <w:rPr>
          <w:rFonts w:ascii="Verdana" w:hAnsi="Verdana" w:cs="Arial Narrow"/>
          <w:color w:val="000000"/>
          <w:sz w:val="18"/>
          <w:szCs w:val="20"/>
          <w:lang w:val="en-US" w:eastAsia="es-MX"/>
        </w:rPr>
        <w:t xml:space="preserve">. </w:t>
      </w:r>
      <w:r w:rsidR="00447C65" w:rsidRPr="00D869E3">
        <w:rPr>
          <w:rFonts w:ascii="Verdana" w:hAnsi="Verdana" w:cs="Arial Narrow"/>
          <w:color w:val="000000"/>
          <w:sz w:val="18"/>
          <w:szCs w:val="20"/>
          <w:lang w:val="en-US" w:eastAsia="es-MX"/>
        </w:rPr>
        <w:t>Article</w:t>
      </w:r>
      <w:r w:rsidR="0088700B" w:rsidRPr="00D869E3">
        <w:rPr>
          <w:rFonts w:ascii="Verdana" w:hAnsi="Verdana" w:cs="Arial Narrow"/>
          <w:color w:val="000000"/>
          <w:sz w:val="18"/>
          <w:szCs w:val="20"/>
          <w:lang w:val="en-US" w:eastAsia="es-MX"/>
        </w:rPr>
        <w:t xml:space="preserve"> 48. </w:t>
      </w:r>
      <w:r w:rsidR="006436CA" w:rsidRPr="00D869E3">
        <w:rPr>
          <w:rFonts w:ascii="Verdana" w:hAnsi="Verdana" w:cs="Arial Narrow"/>
          <w:color w:val="000000"/>
          <w:sz w:val="18"/>
          <w:szCs w:val="20"/>
          <w:lang w:val="en-US" w:eastAsia="es-MX"/>
        </w:rPr>
        <w:t>“</w:t>
      </w:r>
      <w:r w:rsidR="00447C65" w:rsidRPr="00D869E3">
        <w:rPr>
          <w:rFonts w:ascii="Verdana" w:hAnsi="Verdana" w:cs="Arial Narrow"/>
          <w:color w:val="000000"/>
          <w:sz w:val="18"/>
          <w:szCs w:val="20"/>
          <w:lang w:val="en-US" w:eastAsia="es-MX"/>
        </w:rPr>
        <w:t>The State</w:t>
      </w:r>
      <w:r w:rsidR="0088700B" w:rsidRPr="00D869E3">
        <w:rPr>
          <w:rFonts w:ascii="Verdana" w:hAnsi="Verdana" w:cs="Arial Narrow"/>
          <w:color w:val="000000"/>
          <w:sz w:val="18"/>
          <w:szCs w:val="20"/>
          <w:lang w:val="en-US" w:eastAsia="es-MX"/>
        </w:rPr>
        <w:t xml:space="preserve"> reco</w:t>
      </w:r>
      <w:r w:rsidR="004806A6" w:rsidRPr="00D869E3">
        <w:rPr>
          <w:rFonts w:ascii="Verdana" w:hAnsi="Verdana" w:cs="Arial Narrow"/>
          <w:color w:val="000000"/>
          <w:sz w:val="18"/>
          <w:szCs w:val="20"/>
          <w:lang w:val="en-US" w:eastAsia="es-MX"/>
        </w:rPr>
        <w:t xml:space="preserve">gnizes the right to </w:t>
      </w:r>
      <w:r w:rsidR="00595D0B" w:rsidRPr="00D869E3">
        <w:rPr>
          <w:rFonts w:ascii="Verdana" w:hAnsi="Verdana" w:cs="Arial Narrow"/>
          <w:color w:val="000000"/>
          <w:sz w:val="18"/>
          <w:szCs w:val="20"/>
          <w:lang w:val="en-US" w:eastAsia="es-MX"/>
        </w:rPr>
        <w:t>job security</w:t>
      </w:r>
      <w:r w:rsidR="004806A6" w:rsidRPr="00D869E3">
        <w:rPr>
          <w:rFonts w:ascii="Verdana" w:hAnsi="Verdana" w:cs="Arial Narrow"/>
          <w:color w:val="000000"/>
          <w:sz w:val="18"/>
          <w:szCs w:val="20"/>
          <w:lang w:val="en-US" w:eastAsia="es-MX"/>
        </w:rPr>
        <w:t xml:space="preserve">. The employee may only be dismissed for just cause, </w:t>
      </w:r>
      <w:r w:rsidR="00595D0B" w:rsidRPr="00D869E3">
        <w:rPr>
          <w:rFonts w:ascii="Verdana" w:hAnsi="Verdana" w:cs="Arial Narrow"/>
          <w:color w:val="000000"/>
          <w:sz w:val="18"/>
          <w:szCs w:val="20"/>
          <w:lang w:val="en-US" w:eastAsia="es-MX"/>
        </w:rPr>
        <w:t>established</w:t>
      </w:r>
      <w:r w:rsidR="004806A6" w:rsidRPr="00D869E3">
        <w:rPr>
          <w:rFonts w:ascii="Verdana" w:hAnsi="Verdana" w:cs="Arial Narrow"/>
          <w:color w:val="000000"/>
          <w:sz w:val="18"/>
          <w:szCs w:val="20"/>
          <w:lang w:val="en-US" w:eastAsia="es-MX"/>
        </w:rPr>
        <w:t xml:space="preserve"> </w:t>
      </w:r>
      <w:r w:rsidR="00B6692E" w:rsidRPr="00D869E3">
        <w:rPr>
          <w:rFonts w:ascii="Verdana" w:hAnsi="Verdana" w:cs="Arial Narrow"/>
          <w:color w:val="000000"/>
          <w:sz w:val="18"/>
          <w:szCs w:val="20"/>
          <w:lang w:val="en-US" w:eastAsia="es-MX"/>
        </w:rPr>
        <w:t>by</w:t>
      </w:r>
      <w:r w:rsidR="004806A6" w:rsidRPr="00D869E3">
        <w:rPr>
          <w:rFonts w:ascii="Verdana" w:hAnsi="Verdana" w:cs="Arial Narrow"/>
          <w:color w:val="000000"/>
          <w:sz w:val="18"/>
          <w:szCs w:val="20"/>
          <w:lang w:val="en-US" w:eastAsia="es-MX"/>
        </w:rPr>
        <w:t xml:space="preserve"> law and duly prove</w:t>
      </w:r>
      <w:r w:rsidR="00B6692E" w:rsidRPr="00D869E3">
        <w:rPr>
          <w:rFonts w:ascii="Verdana" w:hAnsi="Verdana" w:cs="Arial Narrow"/>
          <w:color w:val="000000"/>
          <w:sz w:val="18"/>
          <w:szCs w:val="20"/>
          <w:lang w:val="en-US" w:eastAsia="es-MX"/>
        </w:rPr>
        <w:t>n</w:t>
      </w:r>
      <w:r w:rsidR="004806A6" w:rsidRPr="00D869E3">
        <w:rPr>
          <w:rFonts w:ascii="Verdana" w:hAnsi="Verdana" w:cs="Arial Narrow"/>
          <w:color w:val="000000"/>
          <w:sz w:val="18"/>
          <w:szCs w:val="20"/>
          <w:lang w:val="en-US" w:eastAsia="es-MX"/>
        </w:rPr>
        <w:t>.”</w:t>
      </w:r>
    </w:p>
    <w:p w14:paraId="0A14BEA2" w14:textId="77777777" w:rsidR="0088700B" w:rsidRPr="00D869E3" w:rsidRDefault="0088700B" w:rsidP="0088700B">
      <w:pPr>
        <w:contextualSpacing/>
        <w:jc w:val="both"/>
        <w:rPr>
          <w:rFonts w:ascii="Verdana" w:hAnsi="Verdana"/>
          <w:b/>
          <w:sz w:val="20"/>
          <w:szCs w:val="20"/>
          <w:lang w:val="en-US"/>
        </w:rPr>
      </w:pPr>
    </w:p>
    <w:p w14:paraId="338B5CEE" w14:textId="3BB7B23A" w:rsidR="00753933" w:rsidRPr="00D869E3" w:rsidRDefault="002E51C1" w:rsidP="002E51C1">
      <w:pPr>
        <w:numPr>
          <w:ilvl w:val="0"/>
          <w:numId w:val="1"/>
        </w:numPr>
        <w:ind w:left="0" w:firstLine="0"/>
        <w:contextualSpacing/>
        <w:jc w:val="both"/>
        <w:rPr>
          <w:rFonts w:ascii="Verdana" w:hAnsi="Verdana"/>
          <w:bCs/>
          <w:color w:val="000000"/>
          <w:sz w:val="20"/>
          <w:szCs w:val="20"/>
          <w:lang w:val="en-US"/>
        </w:rPr>
      </w:pPr>
      <w:r w:rsidRPr="00D869E3">
        <w:rPr>
          <w:rFonts w:ascii="Verdana" w:hAnsi="Verdana"/>
          <w:sz w:val="20"/>
          <w:szCs w:val="20"/>
          <w:lang w:val="en-US"/>
        </w:rPr>
        <w:t xml:space="preserve">Consequently, this Court has competence – in light </w:t>
      </w:r>
      <w:r w:rsidR="00447C65" w:rsidRPr="00D869E3">
        <w:rPr>
          <w:rFonts w:ascii="Verdana" w:hAnsi="Verdana"/>
          <w:sz w:val="20"/>
          <w:szCs w:val="20"/>
          <w:lang w:val="en-US"/>
        </w:rPr>
        <w:t>of the American Convention</w:t>
      </w:r>
      <w:r w:rsidR="00687684" w:rsidRPr="00D869E3">
        <w:rPr>
          <w:rFonts w:ascii="Verdana" w:hAnsi="Verdana"/>
          <w:sz w:val="20"/>
          <w:szCs w:val="20"/>
          <w:lang w:val="en-US"/>
        </w:rPr>
        <w:t xml:space="preserve"> and </w:t>
      </w:r>
      <w:r w:rsidRPr="00D869E3">
        <w:rPr>
          <w:rFonts w:ascii="Verdana" w:hAnsi="Verdana"/>
          <w:sz w:val="20"/>
          <w:szCs w:val="20"/>
          <w:lang w:val="en-US"/>
        </w:rPr>
        <w:t xml:space="preserve">based on the </w:t>
      </w:r>
      <w:r w:rsidR="005B0EF8" w:rsidRPr="00D869E3">
        <w:rPr>
          <w:rFonts w:ascii="Verdana" w:hAnsi="Verdana"/>
          <w:i/>
          <w:sz w:val="20"/>
          <w:szCs w:val="20"/>
          <w:lang w:val="en-US"/>
        </w:rPr>
        <w:t>iura novit curia</w:t>
      </w:r>
      <w:r w:rsidRPr="00D869E3">
        <w:rPr>
          <w:rFonts w:ascii="Verdana" w:hAnsi="Verdana"/>
          <w:sz w:val="20"/>
          <w:szCs w:val="20"/>
          <w:lang w:val="en-US"/>
        </w:rPr>
        <w:t xml:space="preserve"> principle, which is firmly supported by international jurisprudence</w:t>
      </w:r>
      <w:r w:rsidR="00052EDE" w:rsidRPr="00D869E3">
        <w:rPr>
          <w:rStyle w:val="Refdenotaalpie"/>
          <w:szCs w:val="20"/>
          <w:lang w:val="en-US"/>
        </w:rPr>
        <w:footnoteReference w:id="187"/>
      </w:r>
      <w:r w:rsidR="005B0EF8" w:rsidRPr="00D869E3">
        <w:rPr>
          <w:rFonts w:ascii="Verdana" w:hAnsi="Verdana"/>
          <w:sz w:val="20"/>
          <w:szCs w:val="20"/>
          <w:lang w:val="en-US"/>
        </w:rPr>
        <w:t xml:space="preserve"> </w:t>
      </w:r>
      <w:r w:rsidRPr="00D869E3">
        <w:rPr>
          <w:rFonts w:ascii="Verdana" w:hAnsi="Verdana"/>
          <w:sz w:val="20"/>
          <w:szCs w:val="20"/>
          <w:lang w:val="en-US"/>
        </w:rPr>
        <w:t xml:space="preserve">– to examine the possible violation of articles of the Convention that have not been alleged in the briefs submitted to it, in the understanding that the parties have had the opportunity to express their respective positions in relation to the facts that substantiate them, and as </w:t>
      </w:r>
      <w:r w:rsidR="00595D0B" w:rsidRPr="00D869E3">
        <w:rPr>
          <w:rFonts w:ascii="Verdana" w:hAnsi="Verdana"/>
          <w:sz w:val="20"/>
          <w:szCs w:val="20"/>
          <w:lang w:val="en-US"/>
        </w:rPr>
        <w:t>it</w:t>
      </w:r>
      <w:r w:rsidRPr="00D869E3">
        <w:rPr>
          <w:rFonts w:ascii="Verdana" w:hAnsi="Verdana"/>
          <w:sz w:val="20"/>
          <w:szCs w:val="20"/>
          <w:lang w:val="en-US"/>
        </w:rPr>
        <w:t xml:space="preserve"> has on numerous occasions.</w:t>
      </w:r>
      <w:r w:rsidR="005B0EF8" w:rsidRPr="00D869E3">
        <w:rPr>
          <w:rFonts w:ascii="Verdana" w:hAnsi="Verdana"/>
          <w:sz w:val="20"/>
          <w:szCs w:val="20"/>
          <w:vertAlign w:val="superscript"/>
          <w:lang w:val="en-US"/>
        </w:rPr>
        <w:footnoteReference w:id="188"/>
      </w:r>
    </w:p>
    <w:p w14:paraId="1CEB8AF8" w14:textId="77777777" w:rsidR="00032FC5" w:rsidRPr="00D869E3" w:rsidRDefault="00032FC5" w:rsidP="00801513">
      <w:pPr>
        <w:contextualSpacing/>
        <w:jc w:val="both"/>
        <w:rPr>
          <w:rFonts w:ascii="Verdana" w:hAnsi="Verdana"/>
          <w:b/>
          <w:sz w:val="20"/>
          <w:szCs w:val="20"/>
          <w:lang w:val="en-US"/>
        </w:rPr>
      </w:pPr>
    </w:p>
    <w:p w14:paraId="71A22A03" w14:textId="20A911EF" w:rsidR="00032FC5" w:rsidRPr="00D869E3" w:rsidRDefault="002E51C1" w:rsidP="00E66DD7">
      <w:pPr>
        <w:numPr>
          <w:ilvl w:val="0"/>
          <w:numId w:val="1"/>
        </w:numPr>
        <w:ind w:left="0" w:firstLine="0"/>
        <w:contextualSpacing/>
        <w:jc w:val="both"/>
        <w:rPr>
          <w:rFonts w:ascii="Verdana" w:hAnsi="Verdana"/>
          <w:sz w:val="20"/>
          <w:szCs w:val="20"/>
          <w:lang w:val="en-US"/>
        </w:rPr>
      </w:pPr>
      <w:r w:rsidRPr="00D869E3">
        <w:rPr>
          <w:rFonts w:ascii="Verdana" w:hAnsi="Verdana"/>
          <w:bCs/>
          <w:color w:val="000000"/>
          <w:sz w:val="20"/>
          <w:szCs w:val="20"/>
          <w:lang w:val="en-US"/>
        </w:rPr>
        <w:t xml:space="preserve">Therefore, for the purposes of this case, in light </w:t>
      </w:r>
      <w:r w:rsidR="00687684" w:rsidRPr="00D869E3">
        <w:rPr>
          <w:rFonts w:ascii="Verdana" w:hAnsi="Verdana"/>
          <w:bCs/>
          <w:color w:val="000000"/>
          <w:sz w:val="20"/>
          <w:szCs w:val="20"/>
          <w:lang w:val="en-US"/>
        </w:rPr>
        <w:t>of Article</w:t>
      </w:r>
      <w:r w:rsidR="00032FC5" w:rsidRPr="00D869E3">
        <w:rPr>
          <w:rFonts w:ascii="Verdana" w:hAnsi="Verdana"/>
          <w:bCs/>
          <w:color w:val="000000"/>
          <w:sz w:val="20"/>
          <w:szCs w:val="20"/>
          <w:lang w:val="en-US"/>
        </w:rPr>
        <w:t xml:space="preserve"> 29</w:t>
      </w:r>
      <w:r w:rsidR="00447C65" w:rsidRPr="00D869E3">
        <w:rPr>
          <w:rFonts w:ascii="Verdana" w:hAnsi="Verdana"/>
          <w:bCs/>
          <w:color w:val="000000"/>
          <w:sz w:val="20"/>
          <w:szCs w:val="20"/>
          <w:lang w:val="en-US"/>
        </w:rPr>
        <w:t xml:space="preserve"> of the American Convention</w:t>
      </w:r>
      <w:r w:rsidRPr="00D869E3">
        <w:rPr>
          <w:rFonts w:ascii="Verdana" w:hAnsi="Verdana"/>
          <w:bCs/>
          <w:color w:val="000000"/>
          <w:sz w:val="20"/>
          <w:szCs w:val="20"/>
          <w:lang w:val="en-US"/>
        </w:rPr>
        <w:t>,</w:t>
      </w:r>
      <w:r w:rsidR="00032FC5" w:rsidRPr="00D869E3">
        <w:rPr>
          <w:rStyle w:val="Refdenotaalpie"/>
          <w:rFonts w:cs="Helvetica"/>
          <w:szCs w:val="20"/>
          <w:lang w:val="en-US"/>
        </w:rPr>
        <w:footnoteReference w:id="189"/>
      </w:r>
      <w:r w:rsidR="00032FC5" w:rsidRPr="00D869E3">
        <w:rPr>
          <w:rFonts w:ascii="Verdana" w:hAnsi="Verdana"/>
          <w:bCs/>
          <w:color w:val="000000"/>
          <w:sz w:val="20"/>
          <w:szCs w:val="20"/>
          <w:lang w:val="en-US"/>
        </w:rPr>
        <w:t xml:space="preserve"> </w:t>
      </w:r>
      <w:r w:rsidR="00447C65" w:rsidRPr="00D869E3">
        <w:rPr>
          <w:rFonts w:ascii="Verdana" w:hAnsi="Verdana"/>
          <w:bCs/>
          <w:color w:val="000000"/>
          <w:sz w:val="20"/>
          <w:szCs w:val="20"/>
          <w:lang w:val="en-US"/>
        </w:rPr>
        <w:t>the Court</w:t>
      </w:r>
      <w:r w:rsidR="00032FC5" w:rsidRPr="00D869E3">
        <w:rPr>
          <w:rFonts w:ascii="Verdana" w:hAnsi="Verdana" w:cs="Verdana"/>
          <w:sz w:val="20"/>
          <w:szCs w:val="20"/>
          <w:lang w:val="en-US" w:eastAsia="es-MX"/>
        </w:rPr>
        <w:t xml:space="preserve"> </w:t>
      </w:r>
      <w:r w:rsidRPr="00D869E3">
        <w:rPr>
          <w:rFonts w:ascii="Verdana" w:hAnsi="Verdana" w:cs="Verdana"/>
          <w:sz w:val="20"/>
          <w:szCs w:val="20"/>
          <w:lang w:val="en-US" w:eastAsia="es-MX"/>
        </w:rPr>
        <w:t xml:space="preserve">will now examine the scope of </w:t>
      </w:r>
      <w:r w:rsidR="00A157F5" w:rsidRPr="00D869E3">
        <w:rPr>
          <w:rFonts w:ascii="Verdana" w:hAnsi="Verdana"/>
          <w:bCs/>
          <w:color w:val="000000"/>
          <w:sz w:val="20"/>
          <w:szCs w:val="20"/>
          <w:lang w:val="en-US"/>
        </w:rPr>
        <w:t xml:space="preserve">the </w:t>
      </w:r>
      <w:r w:rsidR="000B2E5E" w:rsidRPr="00D869E3">
        <w:rPr>
          <w:rFonts w:ascii="Verdana" w:hAnsi="Verdana"/>
          <w:bCs/>
          <w:color w:val="000000"/>
          <w:sz w:val="20"/>
          <w:szCs w:val="20"/>
          <w:lang w:val="en-US"/>
        </w:rPr>
        <w:t xml:space="preserve">right </w:t>
      </w:r>
      <w:r w:rsidR="003531AF" w:rsidRPr="00D869E3">
        <w:rPr>
          <w:rFonts w:ascii="Verdana" w:hAnsi="Verdana"/>
          <w:bCs/>
          <w:color w:val="000000"/>
          <w:sz w:val="20"/>
          <w:szCs w:val="20"/>
          <w:lang w:val="en-US"/>
        </w:rPr>
        <w:t xml:space="preserve">to job security </w:t>
      </w:r>
      <w:r w:rsidRPr="00D869E3">
        <w:rPr>
          <w:rFonts w:ascii="Verdana" w:hAnsi="Verdana"/>
          <w:bCs/>
          <w:color w:val="000000"/>
          <w:sz w:val="20"/>
          <w:szCs w:val="20"/>
          <w:lang w:val="en-US"/>
        </w:rPr>
        <w:t>pursuant to</w:t>
      </w:r>
      <w:r w:rsidR="00032FC5" w:rsidRPr="00D869E3">
        <w:rPr>
          <w:rFonts w:ascii="Verdana" w:hAnsi="Verdana"/>
          <w:bCs/>
          <w:color w:val="000000"/>
          <w:sz w:val="20"/>
          <w:szCs w:val="20"/>
          <w:lang w:val="en-US"/>
        </w:rPr>
        <w:t xml:space="preserve"> </w:t>
      </w:r>
      <w:r w:rsidR="00447C65" w:rsidRPr="00D869E3">
        <w:rPr>
          <w:rFonts w:ascii="Verdana" w:hAnsi="Verdana"/>
          <w:bCs/>
          <w:color w:val="000000"/>
          <w:sz w:val="20"/>
          <w:szCs w:val="20"/>
          <w:lang w:val="en-US"/>
        </w:rPr>
        <w:t>Article</w:t>
      </w:r>
      <w:r w:rsidR="00032FC5" w:rsidRPr="00D869E3">
        <w:rPr>
          <w:rFonts w:ascii="Verdana" w:hAnsi="Verdana"/>
          <w:bCs/>
          <w:color w:val="000000"/>
          <w:sz w:val="20"/>
          <w:szCs w:val="20"/>
          <w:lang w:val="en-US"/>
        </w:rPr>
        <w:t xml:space="preserve"> 26</w:t>
      </w:r>
      <w:r w:rsidR="00447C65" w:rsidRPr="00D869E3">
        <w:rPr>
          <w:rFonts w:ascii="Verdana" w:hAnsi="Verdana"/>
          <w:bCs/>
          <w:color w:val="000000"/>
          <w:sz w:val="20"/>
          <w:szCs w:val="20"/>
          <w:lang w:val="en-US"/>
        </w:rPr>
        <w:t xml:space="preserve"> of the American Convention</w:t>
      </w:r>
      <w:r w:rsidR="00032FC5" w:rsidRPr="00D869E3">
        <w:rPr>
          <w:rFonts w:ascii="Verdana" w:hAnsi="Verdana"/>
          <w:bCs/>
          <w:color w:val="000000"/>
          <w:sz w:val="20"/>
          <w:szCs w:val="20"/>
          <w:lang w:val="en-US"/>
        </w:rPr>
        <w:t>.</w:t>
      </w:r>
    </w:p>
    <w:p w14:paraId="70954F4C" w14:textId="77777777" w:rsidR="0088700B" w:rsidRPr="00D869E3" w:rsidRDefault="0088700B" w:rsidP="00032FC5">
      <w:pPr>
        <w:contextualSpacing/>
        <w:jc w:val="both"/>
        <w:rPr>
          <w:rFonts w:ascii="Verdana" w:hAnsi="Verdana"/>
          <w:lang w:val="en-US"/>
        </w:rPr>
      </w:pPr>
    </w:p>
    <w:p w14:paraId="4D99F36F" w14:textId="00D9C548" w:rsidR="00032FC5" w:rsidRPr="00D869E3" w:rsidRDefault="000B2E5E" w:rsidP="00E66DD7">
      <w:pPr>
        <w:pStyle w:val="Ttulo3"/>
        <w:numPr>
          <w:ilvl w:val="1"/>
          <w:numId w:val="11"/>
        </w:numPr>
        <w:ind w:hanging="229"/>
        <w:rPr>
          <w:i/>
          <w:color w:val="000000"/>
          <w:szCs w:val="20"/>
          <w:lang w:val="en-US"/>
        </w:rPr>
      </w:pPr>
      <w:bookmarkStart w:id="51" w:name="_Toc29114139"/>
      <w:r w:rsidRPr="00D869E3">
        <w:rPr>
          <w:i/>
          <w:color w:val="000000"/>
          <w:szCs w:val="20"/>
          <w:lang w:val="en-US"/>
        </w:rPr>
        <w:t xml:space="preserve">The </w:t>
      </w:r>
      <w:r w:rsidR="00B43D72" w:rsidRPr="00D869E3">
        <w:rPr>
          <w:i/>
          <w:color w:val="000000"/>
          <w:szCs w:val="20"/>
          <w:lang w:val="en-US"/>
        </w:rPr>
        <w:t>right to job security as a protected right</w:t>
      </w:r>
      <w:bookmarkEnd w:id="51"/>
    </w:p>
    <w:p w14:paraId="261CC50A" w14:textId="77777777" w:rsidR="00032FC5" w:rsidRPr="00D869E3" w:rsidRDefault="00032FC5" w:rsidP="00032FC5">
      <w:pPr>
        <w:ind w:left="720"/>
        <w:contextualSpacing/>
        <w:jc w:val="both"/>
        <w:rPr>
          <w:rFonts w:ascii="Verdana" w:hAnsi="Verdana"/>
          <w:sz w:val="20"/>
          <w:szCs w:val="20"/>
          <w:lang w:val="en-US"/>
        </w:rPr>
      </w:pPr>
    </w:p>
    <w:p w14:paraId="38BFD0B3" w14:textId="23615F7A" w:rsidR="00032FC5" w:rsidRPr="00D869E3" w:rsidRDefault="0073572D" w:rsidP="00E66DD7">
      <w:pPr>
        <w:numPr>
          <w:ilvl w:val="0"/>
          <w:numId w:val="1"/>
        </w:numPr>
        <w:ind w:left="0" w:firstLine="0"/>
        <w:contextualSpacing/>
        <w:jc w:val="both"/>
        <w:rPr>
          <w:rFonts w:ascii="Verdana" w:hAnsi="Verdana"/>
          <w:color w:val="000000"/>
          <w:sz w:val="20"/>
          <w:szCs w:val="20"/>
          <w:lang w:val="en-US"/>
        </w:rPr>
      </w:pPr>
      <w:r w:rsidRPr="00D869E3">
        <w:rPr>
          <w:rFonts w:ascii="Verdana" w:hAnsi="Verdana"/>
          <w:sz w:val="20"/>
          <w:szCs w:val="20"/>
          <w:lang w:val="en-US"/>
        </w:rPr>
        <w:t xml:space="preserve">The Court has repeatedly maintained the interdependence and indivisibility of civil and political rights and economic, social and cultural rights, because they should all be understood integrally as human rights, without any </w:t>
      </w:r>
      <w:r w:rsidR="00850750" w:rsidRPr="00D869E3">
        <w:rPr>
          <w:rFonts w:ascii="Verdana" w:hAnsi="Verdana"/>
          <w:sz w:val="20"/>
          <w:szCs w:val="20"/>
          <w:lang w:val="en-US"/>
        </w:rPr>
        <w:t xml:space="preserve">specific </w:t>
      </w:r>
      <w:r w:rsidRPr="00D869E3">
        <w:rPr>
          <w:rFonts w:ascii="Verdana" w:hAnsi="Verdana"/>
          <w:sz w:val="20"/>
          <w:szCs w:val="20"/>
          <w:lang w:val="en-US"/>
        </w:rPr>
        <w:t>hierarchy, and be enforceable in all cases before the competent authorities</w:t>
      </w:r>
      <w:r w:rsidRPr="00D869E3">
        <w:rPr>
          <w:rFonts w:ascii="Verdana" w:hAnsi="Verdana" w:cs="Verdana"/>
          <w:sz w:val="20"/>
          <w:szCs w:val="20"/>
          <w:lang w:val="en-US" w:eastAsia="es-MX"/>
        </w:rPr>
        <w:t>.</w:t>
      </w:r>
      <w:r w:rsidR="00032FC5" w:rsidRPr="00D869E3">
        <w:rPr>
          <w:rStyle w:val="Refdenotaalpie"/>
          <w:rFonts w:cs="Verdana"/>
          <w:szCs w:val="20"/>
          <w:lang w:val="en-US" w:eastAsia="es-MX"/>
        </w:rPr>
        <w:footnoteReference w:id="190"/>
      </w:r>
    </w:p>
    <w:p w14:paraId="31B6221E" w14:textId="77777777" w:rsidR="00032FC5" w:rsidRPr="00D869E3" w:rsidRDefault="00032FC5" w:rsidP="00032FC5">
      <w:pPr>
        <w:contextualSpacing/>
        <w:jc w:val="both"/>
        <w:rPr>
          <w:rFonts w:ascii="Verdana" w:hAnsi="Verdana"/>
          <w:color w:val="000000"/>
          <w:sz w:val="20"/>
          <w:szCs w:val="20"/>
          <w:lang w:val="en-US"/>
        </w:rPr>
      </w:pPr>
    </w:p>
    <w:p w14:paraId="3347B07E" w14:textId="16C822A5" w:rsidR="00032FC5" w:rsidRPr="00D869E3" w:rsidRDefault="0073572D" w:rsidP="00E66DD7">
      <w:pPr>
        <w:numPr>
          <w:ilvl w:val="0"/>
          <w:numId w:val="1"/>
        </w:numPr>
        <w:ind w:left="0" w:firstLine="0"/>
        <w:contextualSpacing/>
        <w:jc w:val="both"/>
        <w:rPr>
          <w:rFonts w:ascii="Verdana" w:hAnsi="Verdana"/>
          <w:b/>
          <w:sz w:val="20"/>
          <w:szCs w:val="20"/>
          <w:lang w:val="en-US"/>
        </w:rPr>
      </w:pPr>
      <w:r w:rsidRPr="00D869E3">
        <w:rPr>
          <w:rFonts w:ascii="Verdana" w:hAnsi="Verdana"/>
          <w:sz w:val="20"/>
          <w:szCs w:val="20"/>
          <w:lang w:val="en-US"/>
        </w:rPr>
        <w:t xml:space="preserve">As indicated in the case of </w:t>
      </w:r>
      <w:r w:rsidR="00447C65" w:rsidRPr="00D869E3">
        <w:rPr>
          <w:rFonts w:ascii="Verdana" w:hAnsi="Verdana"/>
          <w:i/>
          <w:sz w:val="20"/>
          <w:szCs w:val="20"/>
          <w:lang w:val="en-US"/>
        </w:rPr>
        <w:t>Case of</w:t>
      </w:r>
      <w:r w:rsidR="00032FC5" w:rsidRPr="00D869E3">
        <w:rPr>
          <w:rFonts w:ascii="Verdana" w:hAnsi="Verdana"/>
          <w:i/>
          <w:sz w:val="20"/>
          <w:szCs w:val="20"/>
          <w:lang w:val="en-US"/>
        </w:rPr>
        <w:t xml:space="preserve"> Acevedo Buendía</w:t>
      </w:r>
      <w:r w:rsidR="00687684" w:rsidRPr="00D869E3">
        <w:rPr>
          <w:rFonts w:ascii="Verdana" w:hAnsi="Verdana"/>
          <w:i/>
          <w:sz w:val="20"/>
          <w:szCs w:val="20"/>
          <w:lang w:val="en-US"/>
        </w:rPr>
        <w:t xml:space="preserve"> </w:t>
      </w:r>
      <w:r w:rsidR="00B43D72" w:rsidRPr="00D869E3">
        <w:rPr>
          <w:rFonts w:ascii="Verdana" w:hAnsi="Verdana"/>
          <w:i/>
          <w:sz w:val="20"/>
          <w:szCs w:val="20"/>
          <w:lang w:val="en-US"/>
        </w:rPr>
        <w:t>et al.</w:t>
      </w:r>
      <w:r w:rsidR="00032FC5" w:rsidRPr="00D869E3">
        <w:rPr>
          <w:rFonts w:ascii="Verdana" w:hAnsi="Verdana"/>
          <w:i/>
          <w:sz w:val="20"/>
          <w:szCs w:val="20"/>
          <w:lang w:val="en-US"/>
        </w:rPr>
        <w:t xml:space="preserve"> </w:t>
      </w:r>
      <w:r w:rsidR="00447C65" w:rsidRPr="00D869E3">
        <w:rPr>
          <w:rFonts w:ascii="Verdana" w:hAnsi="Verdana"/>
          <w:i/>
          <w:sz w:val="20"/>
          <w:szCs w:val="20"/>
          <w:lang w:val="en-US"/>
        </w:rPr>
        <w:t>v.</w:t>
      </w:r>
      <w:r w:rsidR="00032FC5" w:rsidRPr="00D869E3">
        <w:rPr>
          <w:rFonts w:ascii="Verdana" w:hAnsi="Verdana"/>
          <w:i/>
          <w:sz w:val="20"/>
          <w:szCs w:val="20"/>
          <w:lang w:val="en-US"/>
        </w:rPr>
        <w:t xml:space="preserve"> </w:t>
      </w:r>
      <w:r w:rsidR="00447C65" w:rsidRPr="00D869E3">
        <w:rPr>
          <w:rFonts w:ascii="Verdana" w:hAnsi="Verdana"/>
          <w:i/>
          <w:sz w:val="20"/>
          <w:szCs w:val="20"/>
          <w:lang w:val="en-US"/>
        </w:rPr>
        <w:t>Peru</w:t>
      </w:r>
      <w:r w:rsidRPr="00D869E3">
        <w:rPr>
          <w:rFonts w:ascii="Verdana" w:hAnsi="Verdana"/>
          <w:i/>
          <w:sz w:val="20"/>
          <w:szCs w:val="20"/>
          <w:lang w:val="en-US"/>
        </w:rPr>
        <w:t>,</w:t>
      </w:r>
      <w:r w:rsidR="00032FC5" w:rsidRPr="00D869E3">
        <w:rPr>
          <w:rStyle w:val="Refdenotaalpie"/>
          <w:szCs w:val="20"/>
          <w:lang w:val="en-US"/>
        </w:rPr>
        <w:footnoteReference w:id="191"/>
      </w:r>
      <w:r w:rsidR="00032FC5" w:rsidRPr="00D869E3">
        <w:rPr>
          <w:rFonts w:ascii="Verdana" w:hAnsi="Verdana"/>
          <w:i/>
          <w:sz w:val="20"/>
          <w:szCs w:val="20"/>
          <w:lang w:val="en-US"/>
        </w:rPr>
        <w:t xml:space="preserve"> </w:t>
      </w:r>
      <w:r w:rsidRPr="00D869E3">
        <w:rPr>
          <w:rFonts w:ascii="Verdana" w:hAnsi="Verdana"/>
          <w:sz w:val="20"/>
          <w:szCs w:val="20"/>
          <w:lang w:val="en-US"/>
        </w:rPr>
        <w:t>the Court has the authority to decide any dispute concerning its jurisdiction.</w:t>
      </w:r>
      <w:r w:rsidR="00032FC5" w:rsidRPr="00D869E3">
        <w:rPr>
          <w:rStyle w:val="Refdenotaalpie"/>
          <w:rFonts w:cs="Verdana"/>
          <w:szCs w:val="20"/>
          <w:lang w:val="en-US" w:eastAsia="es-MX"/>
        </w:rPr>
        <w:footnoteReference w:id="192"/>
      </w:r>
      <w:r w:rsidR="00032FC5" w:rsidRPr="00D869E3">
        <w:rPr>
          <w:rFonts w:ascii="Verdana" w:hAnsi="Verdana" w:cs="Verdana"/>
          <w:sz w:val="20"/>
          <w:szCs w:val="20"/>
          <w:lang w:val="en-US" w:eastAsia="es-MX"/>
        </w:rPr>
        <w:t xml:space="preserve"> </w:t>
      </w:r>
      <w:r w:rsidRPr="00D869E3">
        <w:rPr>
          <w:rFonts w:ascii="Verdana" w:hAnsi="Verdana"/>
          <w:sz w:val="20"/>
          <w:szCs w:val="20"/>
          <w:lang w:val="en-US"/>
        </w:rPr>
        <w:t>Thus, the Court has previously asserted that the broad terms in which the Convention was drafted signify that the Court exercises full jurisdiction over all its articles and provisions.</w:t>
      </w:r>
      <w:r w:rsidR="00032FC5" w:rsidRPr="00D869E3">
        <w:rPr>
          <w:rStyle w:val="Refdenotaalpie"/>
          <w:rFonts w:cs="Verdana"/>
          <w:szCs w:val="20"/>
          <w:lang w:val="en-US" w:eastAsia="es-MX"/>
        </w:rPr>
        <w:footnoteReference w:id="193"/>
      </w:r>
      <w:r w:rsidR="00032FC5" w:rsidRPr="00D869E3">
        <w:rPr>
          <w:rFonts w:ascii="Verdana" w:hAnsi="Verdana" w:cs="Verdana"/>
          <w:sz w:val="20"/>
          <w:szCs w:val="20"/>
          <w:lang w:val="en-US" w:eastAsia="es-MX"/>
        </w:rPr>
        <w:t xml:space="preserve"> </w:t>
      </w:r>
      <w:r w:rsidRPr="00D869E3">
        <w:rPr>
          <w:rFonts w:ascii="Verdana" w:hAnsi="Verdana"/>
          <w:sz w:val="20"/>
          <w:szCs w:val="20"/>
          <w:lang w:val="en-US"/>
        </w:rPr>
        <w:t>It should also be noted that although Article 26 appears in Chapter III of the Convention, entitled “Economic, Social and Cultural Rights,” it is also located in Part I of this instrument, entitled “State Obligations and Rights Protected” and, consequently, it is subject to the general obligations contained in Articles 1(1) and 2 in Chapter I (entitled “General Obligations”), as  also are  Articles 3 to 25 that appear in Chapter II (entitled “Civil and Political Rights”).</w:t>
      </w:r>
      <w:r w:rsidR="00412DA2" w:rsidRPr="00D869E3">
        <w:rPr>
          <w:rStyle w:val="Refdenotaalpie"/>
          <w:rFonts w:cs="Verdana"/>
          <w:szCs w:val="20"/>
          <w:lang w:val="en-US"/>
        </w:rPr>
        <w:footnoteReference w:id="194"/>
      </w:r>
    </w:p>
    <w:p w14:paraId="604A9236" w14:textId="77777777" w:rsidR="00032FC5" w:rsidRPr="00D869E3" w:rsidRDefault="00032FC5" w:rsidP="00032FC5">
      <w:pPr>
        <w:contextualSpacing/>
        <w:jc w:val="both"/>
        <w:rPr>
          <w:rFonts w:ascii="Verdana" w:hAnsi="Verdana"/>
          <w:b/>
          <w:sz w:val="20"/>
          <w:szCs w:val="20"/>
          <w:lang w:val="en-US"/>
        </w:rPr>
      </w:pPr>
    </w:p>
    <w:p w14:paraId="27D8038D" w14:textId="2CAAF30D" w:rsidR="00032FC5" w:rsidRPr="00D869E3" w:rsidRDefault="0073572D" w:rsidP="00E66DD7">
      <w:pPr>
        <w:numPr>
          <w:ilvl w:val="0"/>
          <w:numId w:val="1"/>
        </w:numPr>
        <w:ind w:left="0" w:firstLine="0"/>
        <w:contextualSpacing/>
        <w:jc w:val="both"/>
        <w:rPr>
          <w:rFonts w:ascii="Verdana" w:hAnsi="Verdana"/>
          <w:color w:val="000000"/>
          <w:sz w:val="20"/>
          <w:szCs w:val="20"/>
          <w:lang w:val="en-US"/>
        </w:rPr>
      </w:pPr>
      <w:r w:rsidRPr="00D869E3">
        <w:rPr>
          <w:rFonts w:ascii="Verdana" w:hAnsi="Verdana"/>
          <w:sz w:val="20"/>
          <w:szCs w:val="20"/>
          <w:lang w:val="en-US"/>
        </w:rPr>
        <w:t xml:space="preserve">Regarding the specific labor rights protected by Article 26 of the American Convention, the Court observed that the wording indicates that these are right derived from the economic, social, educational, scientific, and cultural standards set forth in the OAS Charter. In this </w:t>
      </w:r>
      <w:r w:rsidRPr="00D869E3">
        <w:rPr>
          <w:rFonts w:ascii="Verdana" w:hAnsi="Verdana"/>
          <w:sz w:val="20"/>
          <w:szCs w:val="20"/>
          <w:lang w:val="en-US"/>
        </w:rPr>
        <w:lastRenderedPageBreak/>
        <w:t>regard, Articles 45(b) and (c),</w:t>
      </w:r>
      <w:r w:rsidR="00032FC5" w:rsidRPr="00D869E3">
        <w:rPr>
          <w:rStyle w:val="Refdenotaalpie"/>
          <w:color w:val="000000"/>
          <w:szCs w:val="20"/>
          <w:lang w:val="en-US"/>
        </w:rPr>
        <w:footnoteReference w:id="195"/>
      </w:r>
      <w:r w:rsidR="00032FC5" w:rsidRPr="00D869E3">
        <w:rPr>
          <w:rFonts w:ascii="Verdana" w:hAnsi="Verdana"/>
          <w:color w:val="000000"/>
          <w:sz w:val="20"/>
          <w:szCs w:val="20"/>
          <w:lang w:val="en-US"/>
        </w:rPr>
        <w:t xml:space="preserve"> 46</w:t>
      </w:r>
      <w:r w:rsidR="00032FC5" w:rsidRPr="00D869E3">
        <w:rPr>
          <w:rStyle w:val="Refdenotaalpie"/>
          <w:color w:val="000000"/>
          <w:szCs w:val="20"/>
          <w:lang w:val="en-US"/>
        </w:rPr>
        <w:footnoteReference w:id="196"/>
      </w:r>
      <w:r w:rsidR="00687684" w:rsidRPr="00D869E3">
        <w:rPr>
          <w:rFonts w:ascii="Verdana" w:hAnsi="Verdana"/>
          <w:color w:val="000000"/>
          <w:sz w:val="20"/>
          <w:szCs w:val="20"/>
          <w:lang w:val="en-US"/>
        </w:rPr>
        <w:t xml:space="preserve"> and </w:t>
      </w:r>
      <w:r w:rsidR="00032FC5" w:rsidRPr="00D869E3">
        <w:rPr>
          <w:rFonts w:ascii="Verdana" w:hAnsi="Verdana"/>
          <w:color w:val="000000"/>
          <w:sz w:val="20"/>
          <w:szCs w:val="20"/>
          <w:lang w:val="en-US"/>
        </w:rPr>
        <w:t>34.g</w:t>
      </w:r>
      <w:r w:rsidR="00032FC5" w:rsidRPr="00D869E3">
        <w:rPr>
          <w:rStyle w:val="Refdenotaalpie"/>
          <w:color w:val="000000"/>
          <w:szCs w:val="20"/>
          <w:lang w:val="en-US"/>
        </w:rPr>
        <w:footnoteReference w:id="197"/>
      </w:r>
      <w:r w:rsidR="00032FC5" w:rsidRPr="00D869E3">
        <w:rPr>
          <w:rFonts w:ascii="Verdana" w:hAnsi="Verdana"/>
          <w:color w:val="000000"/>
          <w:sz w:val="20"/>
          <w:szCs w:val="20"/>
          <w:lang w:val="en-US"/>
        </w:rPr>
        <w:t xml:space="preserve"> </w:t>
      </w:r>
      <w:r w:rsidRPr="00D869E3">
        <w:rPr>
          <w:rFonts w:ascii="Verdana" w:hAnsi="Verdana"/>
          <w:sz w:val="20"/>
          <w:szCs w:val="20"/>
          <w:lang w:val="en-US"/>
        </w:rPr>
        <w:t>of the Charter establish that “[w]ork is a right and a social duty,” and that this should be performed with “fair wages, employment opportunities, and acceptable working conditions for all.” The</w:t>
      </w:r>
      <w:r w:rsidR="001D03B7" w:rsidRPr="00D869E3">
        <w:rPr>
          <w:rFonts w:ascii="Verdana" w:hAnsi="Verdana"/>
          <w:sz w:val="20"/>
          <w:szCs w:val="20"/>
          <w:lang w:val="en-US"/>
        </w:rPr>
        <w:t>se articles</w:t>
      </w:r>
      <w:r w:rsidRPr="00D869E3">
        <w:rPr>
          <w:rFonts w:ascii="Verdana" w:hAnsi="Verdana"/>
          <w:sz w:val="20"/>
          <w:szCs w:val="20"/>
          <w:lang w:val="en-US"/>
        </w:rPr>
        <w:t xml:space="preserve"> also establish the right of workers to “associate themselves freely for the defense and promotion of their interests.” In addition, they indicate that State must “harmonize the social legislation” for the protection of such rights. In its Advisory Opinion OC-10/89, the Court indicated that</w:t>
      </w:r>
      <w:r w:rsidR="00E02E02" w:rsidRPr="00D869E3">
        <w:rPr>
          <w:rFonts w:ascii="Verdana" w:hAnsi="Verdana"/>
          <w:sz w:val="20"/>
          <w:szCs w:val="20"/>
          <w:lang w:val="en-US"/>
        </w:rPr>
        <w:t>:</w:t>
      </w:r>
    </w:p>
    <w:p w14:paraId="250CFB36" w14:textId="77777777" w:rsidR="00032FC5" w:rsidRPr="00D869E3" w:rsidRDefault="00032FC5" w:rsidP="00032FC5">
      <w:pPr>
        <w:contextualSpacing/>
        <w:jc w:val="both"/>
        <w:rPr>
          <w:rFonts w:ascii="Verdana" w:hAnsi="Verdana"/>
          <w:color w:val="000000"/>
          <w:sz w:val="20"/>
          <w:szCs w:val="20"/>
          <w:lang w:val="en-US"/>
        </w:rPr>
      </w:pPr>
    </w:p>
    <w:p w14:paraId="7E0E08ED" w14:textId="5D4DB940" w:rsidR="00032FC5" w:rsidRPr="00D869E3" w:rsidRDefault="00032FC5" w:rsidP="00032FC5">
      <w:pPr>
        <w:autoSpaceDE w:val="0"/>
        <w:autoSpaceDN w:val="0"/>
        <w:adjustRightInd w:val="0"/>
        <w:ind w:left="708" w:right="390"/>
        <w:jc w:val="both"/>
        <w:rPr>
          <w:rFonts w:ascii="Verdana" w:eastAsiaTheme="minorHAnsi" w:hAnsi="Verdana" w:cs="Verdana"/>
          <w:sz w:val="18"/>
          <w:szCs w:val="18"/>
          <w:lang w:val="en-US"/>
        </w:rPr>
      </w:pPr>
      <w:r w:rsidRPr="00D869E3">
        <w:rPr>
          <w:rFonts w:ascii="Verdana" w:eastAsiaTheme="minorHAnsi" w:hAnsi="Verdana" w:cs="Verdana"/>
          <w:sz w:val="18"/>
          <w:szCs w:val="20"/>
          <w:lang w:val="en-US"/>
        </w:rPr>
        <w:t xml:space="preserve">[…] </w:t>
      </w:r>
      <w:r w:rsidR="0073572D" w:rsidRPr="00D869E3">
        <w:rPr>
          <w:rFonts w:ascii="Verdana" w:eastAsia="Times New Roman" w:hAnsi="Verdana" w:cs="Arial"/>
          <w:sz w:val="18"/>
          <w:szCs w:val="18"/>
          <w:lang w:val="en-US"/>
        </w:rPr>
        <w:t>The member States of the Organization have signaled their agreement that the Declaration contains and defines the fundamental human rights referred to in the Charter. Thus, the Charter of the Organization cannot be interpreted and applied as far as human rights are concerned without relating its norms, consistent with the practice of the organs of the OAS, to the corresponding provisions of the Declaration</w:t>
      </w:r>
      <w:r w:rsidR="00886C14" w:rsidRPr="00D869E3">
        <w:rPr>
          <w:rFonts w:ascii="Verdana" w:eastAsiaTheme="minorHAnsi" w:hAnsi="Verdana" w:cs="Verdana"/>
          <w:sz w:val="18"/>
          <w:szCs w:val="18"/>
          <w:lang w:val="en-US"/>
        </w:rPr>
        <w:t>.</w:t>
      </w:r>
      <w:r w:rsidRPr="00D869E3">
        <w:rPr>
          <w:rStyle w:val="Refdenotaalpie"/>
          <w:rFonts w:eastAsiaTheme="minorHAnsi" w:cs="Verdana"/>
          <w:sz w:val="18"/>
          <w:szCs w:val="18"/>
          <w:lang w:val="en-US"/>
        </w:rPr>
        <w:footnoteReference w:id="198"/>
      </w:r>
    </w:p>
    <w:p w14:paraId="7B7962C8" w14:textId="77777777" w:rsidR="00032FC5" w:rsidRPr="00D869E3" w:rsidRDefault="00032FC5" w:rsidP="00032FC5">
      <w:pPr>
        <w:contextualSpacing/>
        <w:jc w:val="both"/>
        <w:rPr>
          <w:rFonts w:ascii="Verdana" w:hAnsi="Verdana" w:cs="Verdana"/>
          <w:sz w:val="18"/>
          <w:szCs w:val="18"/>
          <w:lang w:val="en-US" w:eastAsia="es-MX"/>
        </w:rPr>
      </w:pPr>
    </w:p>
    <w:p w14:paraId="2FED2EE7" w14:textId="74C545FB" w:rsidR="00886C14" w:rsidRPr="00D869E3" w:rsidRDefault="00075E68" w:rsidP="00886C14">
      <w:pPr>
        <w:numPr>
          <w:ilvl w:val="0"/>
          <w:numId w:val="1"/>
        </w:numPr>
        <w:ind w:left="0" w:firstLine="0"/>
        <w:contextualSpacing/>
        <w:jc w:val="both"/>
        <w:rPr>
          <w:rFonts w:ascii="Verdana" w:hAnsi="Verdana"/>
          <w:strike/>
          <w:color w:val="000000"/>
          <w:sz w:val="20"/>
          <w:szCs w:val="20"/>
          <w:lang w:val="en-US"/>
        </w:rPr>
      </w:pPr>
      <w:r w:rsidRPr="00D869E3">
        <w:rPr>
          <w:rFonts w:ascii="Verdana" w:hAnsi="Verdana" w:cs="Verdana"/>
          <w:sz w:val="20"/>
          <w:szCs w:val="20"/>
          <w:lang w:val="en-US" w:eastAsia="es-MX"/>
        </w:rPr>
        <w:t>In this regard</w:t>
      </w:r>
      <w:r w:rsidR="00032FC5" w:rsidRPr="00D869E3">
        <w:rPr>
          <w:rFonts w:ascii="Verdana" w:hAnsi="Verdana"/>
          <w:color w:val="000000"/>
          <w:sz w:val="20"/>
          <w:szCs w:val="20"/>
          <w:lang w:val="en-US"/>
        </w:rPr>
        <w:t xml:space="preserve">, </w:t>
      </w:r>
      <w:r w:rsidR="00447C65" w:rsidRPr="00D869E3">
        <w:rPr>
          <w:rFonts w:ascii="Verdana" w:hAnsi="Verdana"/>
          <w:color w:val="000000"/>
          <w:sz w:val="20"/>
          <w:szCs w:val="20"/>
          <w:lang w:val="en-US"/>
        </w:rPr>
        <w:t>Article</w:t>
      </w:r>
      <w:r w:rsidR="00032FC5" w:rsidRPr="00D869E3">
        <w:rPr>
          <w:rFonts w:ascii="Verdana" w:hAnsi="Verdana"/>
          <w:color w:val="000000"/>
          <w:sz w:val="20"/>
          <w:szCs w:val="20"/>
          <w:lang w:val="en-US"/>
        </w:rPr>
        <w:t xml:space="preserve"> XIV </w:t>
      </w:r>
      <w:r w:rsidR="00886C14" w:rsidRPr="00D869E3">
        <w:rPr>
          <w:rFonts w:ascii="Verdana" w:hAnsi="Verdana"/>
          <w:sz w:val="20"/>
          <w:szCs w:val="20"/>
          <w:lang w:val="en-US"/>
        </w:rPr>
        <w:t>of the American Declaration stipulates that: “[e]very person has the right to work, under proper conditions, and to follow his vocation freely.” This provision is relevant to define the scope of Article 26, because “the American Declaration constitutes, as applicable and in relation to the OAS Charter, a source of international obligations.</w:t>
      </w:r>
      <w:r w:rsidR="006436CA" w:rsidRPr="00D869E3">
        <w:rPr>
          <w:rFonts w:ascii="Verdana" w:hAnsi="Verdana"/>
          <w:color w:val="000000"/>
          <w:sz w:val="20"/>
          <w:szCs w:val="20"/>
          <w:lang w:val="en-US"/>
        </w:rPr>
        <w:t>”</w:t>
      </w:r>
      <w:r w:rsidR="00032FC5" w:rsidRPr="00D869E3">
        <w:rPr>
          <w:rStyle w:val="Refdenotaalpie"/>
          <w:color w:val="000000"/>
          <w:szCs w:val="20"/>
          <w:lang w:val="en-US"/>
        </w:rPr>
        <w:footnoteReference w:id="199"/>
      </w:r>
      <w:r w:rsidR="00032FC5" w:rsidRPr="00D869E3">
        <w:rPr>
          <w:rFonts w:ascii="Verdana" w:hAnsi="Verdana"/>
          <w:color w:val="000000"/>
          <w:sz w:val="20"/>
          <w:szCs w:val="20"/>
          <w:lang w:val="en-US"/>
        </w:rPr>
        <w:t xml:space="preserve"> </w:t>
      </w:r>
      <w:r w:rsidR="00886C14" w:rsidRPr="00D869E3">
        <w:rPr>
          <w:rFonts w:ascii="Verdana" w:hAnsi="Verdana"/>
          <w:sz w:val="20"/>
          <w:szCs w:val="20"/>
          <w:lang w:val="en-US"/>
        </w:rPr>
        <w:t>Furthermore, Article 29(d) of the American Convention expressly establishes that “no provision of this Convention shall be interpreted as: […] (d) excluding or limiting the effect that the American Declaration of the Rights and Duties of Man and other international acts of the same nature have.”</w:t>
      </w:r>
    </w:p>
    <w:p w14:paraId="06A3E64C" w14:textId="77777777" w:rsidR="00032FC5" w:rsidRPr="00D869E3" w:rsidRDefault="00032FC5" w:rsidP="00032FC5">
      <w:pPr>
        <w:contextualSpacing/>
        <w:jc w:val="both"/>
        <w:rPr>
          <w:rFonts w:ascii="Verdana" w:hAnsi="Verdana"/>
          <w:sz w:val="20"/>
          <w:szCs w:val="20"/>
          <w:lang w:val="en-US"/>
        </w:rPr>
      </w:pPr>
    </w:p>
    <w:p w14:paraId="58C6974C" w14:textId="7A23E6DD" w:rsidR="00032FC5" w:rsidRPr="00D869E3" w:rsidRDefault="00886C14" w:rsidP="00E66DD7">
      <w:pPr>
        <w:numPr>
          <w:ilvl w:val="0"/>
          <w:numId w:val="1"/>
        </w:numPr>
        <w:ind w:left="0" w:firstLine="0"/>
        <w:contextualSpacing/>
        <w:jc w:val="both"/>
        <w:rPr>
          <w:rFonts w:ascii="Verdana" w:hAnsi="Verdana"/>
          <w:color w:val="000000"/>
          <w:sz w:val="20"/>
          <w:szCs w:val="20"/>
          <w:lang w:val="en-US"/>
        </w:rPr>
      </w:pPr>
      <w:r w:rsidRPr="00D869E3">
        <w:rPr>
          <w:rFonts w:ascii="Verdana" w:hAnsi="Verdana"/>
          <w:sz w:val="20"/>
          <w:szCs w:val="20"/>
          <w:lang w:val="en-US"/>
        </w:rPr>
        <w:t>In addition to derivation of the right to work based on an interpretation of Article 26 in relation to the OAS Charter, together with the American Declaration, the right to work is explicitly recognized in different domestic laws of the States in the region,</w:t>
      </w:r>
      <w:r w:rsidR="00032FC5" w:rsidRPr="00D869E3">
        <w:rPr>
          <w:rStyle w:val="Refdenotaalpie"/>
          <w:iCs/>
          <w:szCs w:val="20"/>
          <w:bdr w:val="none" w:sz="0" w:space="0" w:color="auto" w:frame="1"/>
          <w:lang w:val="en-US"/>
        </w:rPr>
        <w:footnoteReference w:id="200"/>
      </w:r>
      <w:r w:rsidRPr="00D869E3">
        <w:rPr>
          <w:rFonts w:ascii="Verdana" w:hAnsi="Verdana"/>
          <w:iCs/>
          <w:sz w:val="20"/>
          <w:szCs w:val="20"/>
          <w:bdr w:val="none" w:sz="0" w:space="0" w:color="auto" w:frame="1"/>
          <w:lang w:val="en-US"/>
        </w:rPr>
        <w:t xml:space="preserve"> as</w:t>
      </w:r>
      <w:r w:rsidR="00032FC5" w:rsidRPr="00D869E3">
        <w:rPr>
          <w:rFonts w:ascii="Verdana" w:hAnsi="Verdana"/>
          <w:iCs/>
          <w:sz w:val="20"/>
          <w:szCs w:val="20"/>
          <w:bdr w:val="none" w:sz="0" w:space="0" w:color="auto" w:frame="1"/>
          <w:lang w:val="en-US"/>
        </w:rPr>
        <w:t xml:space="preserve"> </w:t>
      </w:r>
      <w:r w:rsidRPr="00D869E3">
        <w:rPr>
          <w:rFonts w:ascii="Verdana" w:hAnsi="Verdana"/>
          <w:sz w:val="20"/>
          <w:szCs w:val="20"/>
          <w:lang w:val="en-US"/>
        </w:rPr>
        <w:t xml:space="preserve">well as in a vast international </w:t>
      </w:r>
      <w:r w:rsidRPr="00D869E3">
        <w:rPr>
          <w:rFonts w:ascii="Verdana" w:hAnsi="Verdana"/>
          <w:i/>
          <w:sz w:val="20"/>
          <w:szCs w:val="20"/>
          <w:lang w:val="en-US"/>
        </w:rPr>
        <w:t>corpus iuris; inter alia</w:t>
      </w:r>
      <w:r w:rsidRPr="00D869E3">
        <w:rPr>
          <w:rFonts w:ascii="Verdana" w:hAnsi="Verdana"/>
          <w:sz w:val="20"/>
          <w:szCs w:val="20"/>
          <w:lang w:val="en-US"/>
        </w:rPr>
        <w:t xml:space="preserve">: </w:t>
      </w:r>
      <w:r w:rsidR="001D03B7" w:rsidRPr="00D869E3">
        <w:rPr>
          <w:rFonts w:ascii="Verdana" w:hAnsi="Verdana"/>
          <w:sz w:val="20"/>
          <w:szCs w:val="20"/>
          <w:lang w:val="en-US"/>
        </w:rPr>
        <w:t>A</w:t>
      </w:r>
      <w:r w:rsidRPr="00D869E3">
        <w:rPr>
          <w:rFonts w:ascii="Verdana" w:hAnsi="Verdana"/>
          <w:sz w:val="20"/>
          <w:szCs w:val="20"/>
          <w:lang w:val="en-US"/>
        </w:rPr>
        <w:t xml:space="preserve">rticle 6 of the International Covenant on Economic, Social </w:t>
      </w:r>
      <w:r w:rsidRPr="00D869E3">
        <w:rPr>
          <w:rFonts w:ascii="Verdana" w:hAnsi="Verdana"/>
          <w:sz w:val="20"/>
          <w:szCs w:val="20"/>
          <w:lang w:val="en-US"/>
        </w:rPr>
        <w:lastRenderedPageBreak/>
        <w:t>and Cultural Rights;</w:t>
      </w:r>
      <w:r w:rsidR="00032FC5" w:rsidRPr="00D869E3">
        <w:rPr>
          <w:rStyle w:val="Refdenotaalpie"/>
          <w:szCs w:val="20"/>
          <w:lang w:val="en-US"/>
        </w:rPr>
        <w:footnoteReference w:id="201"/>
      </w:r>
      <w:r w:rsidR="00032FC5" w:rsidRPr="00D869E3">
        <w:rPr>
          <w:rFonts w:ascii="Verdana" w:hAnsi="Verdana"/>
          <w:sz w:val="20"/>
          <w:szCs w:val="20"/>
          <w:lang w:val="en-US"/>
        </w:rPr>
        <w:t xml:space="preserve"> </w:t>
      </w:r>
      <w:r w:rsidR="00447C65" w:rsidRPr="00D869E3">
        <w:rPr>
          <w:rFonts w:ascii="Verdana" w:hAnsi="Verdana"/>
          <w:sz w:val="20"/>
          <w:szCs w:val="20"/>
          <w:lang w:val="en-US"/>
        </w:rPr>
        <w:t>Article</w:t>
      </w:r>
      <w:r w:rsidR="00032FC5" w:rsidRPr="00D869E3">
        <w:rPr>
          <w:rFonts w:ascii="Verdana" w:hAnsi="Verdana"/>
          <w:sz w:val="20"/>
          <w:szCs w:val="20"/>
          <w:lang w:val="en-US"/>
        </w:rPr>
        <w:t xml:space="preserve"> 23 </w:t>
      </w:r>
      <w:r w:rsidRPr="00D869E3">
        <w:rPr>
          <w:rFonts w:ascii="Verdana" w:hAnsi="Verdana"/>
          <w:sz w:val="20"/>
          <w:szCs w:val="20"/>
          <w:lang w:val="en-US"/>
        </w:rPr>
        <w:t>of the Universal Declaration of Human Rights;</w:t>
      </w:r>
      <w:r w:rsidR="00032FC5" w:rsidRPr="00D869E3">
        <w:rPr>
          <w:rStyle w:val="Refdenotaalpie"/>
          <w:szCs w:val="20"/>
          <w:lang w:val="en-US"/>
        </w:rPr>
        <w:footnoteReference w:id="202"/>
      </w:r>
      <w:r w:rsidR="00032FC5" w:rsidRPr="00D869E3">
        <w:rPr>
          <w:rFonts w:ascii="Verdana" w:hAnsi="Verdana"/>
          <w:sz w:val="20"/>
          <w:szCs w:val="20"/>
          <w:lang w:val="en-US"/>
        </w:rPr>
        <w:t xml:space="preserve"> </w:t>
      </w:r>
      <w:r w:rsidR="00447C65" w:rsidRPr="00D869E3">
        <w:rPr>
          <w:rFonts w:ascii="Verdana" w:hAnsi="Verdana"/>
          <w:sz w:val="20"/>
          <w:szCs w:val="20"/>
          <w:lang w:val="en-US"/>
        </w:rPr>
        <w:t>Article</w:t>
      </w:r>
      <w:r w:rsidR="009B31A2" w:rsidRPr="00D869E3">
        <w:rPr>
          <w:rFonts w:ascii="Verdana" w:hAnsi="Verdana"/>
          <w:sz w:val="20"/>
          <w:szCs w:val="20"/>
          <w:lang w:val="en-US"/>
        </w:rPr>
        <w:t>s 7 and</w:t>
      </w:r>
      <w:r w:rsidR="00687684" w:rsidRPr="00D869E3">
        <w:rPr>
          <w:rFonts w:ascii="Verdana" w:hAnsi="Verdana"/>
          <w:sz w:val="20"/>
          <w:szCs w:val="20"/>
          <w:lang w:val="en-US"/>
        </w:rPr>
        <w:t xml:space="preserve"> </w:t>
      </w:r>
      <w:r w:rsidR="00032FC5" w:rsidRPr="00D869E3">
        <w:rPr>
          <w:rFonts w:ascii="Verdana" w:hAnsi="Verdana"/>
          <w:sz w:val="20"/>
          <w:szCs w:val="20"/>
          <w:lang w:val="en-US"/>
        </w:rPr>
        <w:t xml:space="preserve">8 </w:t>
      </w:r>
      <w:r w:rsidR="00EF28DD" w:rsidRPr="00D869E3">
        <w:rPr>
          <w:rFonts w:ascii="Verdana" w:hAnsi="Verdana"/>
          <w:sz w:val="20"/>
          <w:szCs w:val="20"/>
          <w:lang w:val="en-US"/>
        </w:rPr>
        <w:t>of</w:t>
      </w:r>
      <w:r w:rsidR="00032FC5" w:rsidRPr="00D869E3">
        <w:rPr>
          <w:rFonts w:ascii="Verdana" w:hAnsi="Verdana"/>
          <w:sz w:val="20"/>
          <w:szCs w:val="20"/>
          <w:lang w:val="en-US"/>
        </w:rPr>
        <w:t xml:space="preserve"> </w:t>
      </w:r>
      <w:r w:rsidR="00A25801" w:rsidRPr="00D869E3">
        <w:rPr>
          <w:rFonts w:ascii="Verdana" w:hAnsi="Verdana"/>
          <w:sz w:val="20"/>
          <w:szCs w:val="20"/>
          <w:lang w:val="en-US"/>
        </w:rPr>
        <w:t>the Social Charter of the Americas,</w:t>
      </w:r>
      <w:r w:rsidR="00032FC5" w:rsidRPr="00D869E3">
        <w:rPr>
          <w:rStyle w:val="Refdenotaalpie"/>
          <w:szCs w:val="20"/>
          <w:lang w:val="en-US"/>
        </w:rPr>
        <w:footnoteReference w:id="203"/>
      </w:r>
      <w:r w:rsidR="00032FC5" w:rsidRPr="00D869E3">
        <w:rPr>
          <w:rFonts w:ascii="Verdana" w:hAnsi="Verdana"/>
          <w:sz w:val="20"/>
          <w:szCs w:val="20"/>
          <w:lang w:val="en-US"/>
        </w:rPr>
        <w:t xml:space="preserve"> </w:t>
      </w:r>
      <w:r w:rsidR="00447C65" w:rsidRPr="00D869E3">
        <w:rPr>
          <w:rFonts w:ascii="Verdana" w:hAnsi="Verdana"/>
          <w:sz w:val="20"/>
          <w:szCs w:val="20"/>
          <w:lang w:val="en-US"/>
        </w:rPr>
        <w:t>Articles</w:t>
      </w:r>
      <w:r w:rsidR="00032FC5" w:rsidRPr="00D869E3">
        <w:rPr>
          <w:rFonts w:ascii="Verdana" w:hAnsi="Verdana"/>
          <w:sz w:val="20"/>
          <w:szCs w:val="20"/>
          <w:lang w:val="en-US"/>
        </w:rPr>
        <w:t xml:space="preserve"> 6</w:t>
      </w:r>
      <w:r w:rsidR="00687684" w:rsidRPr="00D869E3">
        <w:rPr>
          <w:rFonts w:ascii="Verdana" w:hAnsi="Verdana"/>
          <w:sz w:val="20"/>
          <w:szCs w:val="20"/>
          <w:lang w:val="en-US"/>
        </w:rPr>
        <w:t xml:space="preserve"> and </w:t>
      </w:r>
      <w:r w:rsidR="00032FC5" w:rsidRPr="00D869E3">
        <w:rPr>
          <w:rFonts w:ascii="Verdana" w:hAnsi="Verdana"/>
          <w:sz w:val="20"/>
          <w:szCs w:val="20"/>
          <w:lang w:val="en-US"/>
        </w:rPr>
        <w:t xml:space="preserve">7 </w:t>
      </w:r>
      <w:r w:rsidR="00A25801" w:rsidRPr="00D869E3">
        <w:rPr>
          <w:rFonts w:ascii="Verdana" w:hAnsi="Verdana"/>
          <w:sz w:val="20"/>
          <w:szCs w:val="20"/>
          <w:lang w:val="en-US"/>
        </w:rPr>
        <w:t xml:space="preserve">of the Additional Protocol to </w:t>
      </w:r>
      <w:r w:rsidR="00447C65" w:rsidRPr="00D869E3">
        <w:rPr>
          <w:rFonts w:ascii="Verdana" w:hAnsi="Verdana"/>
          <w:sz w:val="20"/>
          <w:szCs w:val="20"/>
          <w:lang w:val="en-US"/>
        </w:rPr>
        <w:t xml:space="preserve">the American </w:t>
      </w:r>
      <w:r w:rsidR="00A25801" w:rsidRPr="00D869E3">
        <w:rPr>
          <w:rFonts w:ascii="Verdana" w:hAnsi="Verdana"/>
          <w:sz w:val="20"/>
          <w:szCs w:val="20"/>
          <w:lang w:val="en-US"/>
        </w:rPr>
        <w:t>Convention in the Area of Economic, Social and Cultural Rights,</w:t>
      </w:r>
      <w:r w:rsidR="00032FC5" w:rsidRPr="00D869E3">
        <w:rPr>
          <w:rStyle w:val="Refdenotaalpie"/>
          <w:szCs w:val="20"/>
          <w:lang w:val="en-US"/>
        </w:rPr>
        <w:footnoteReference w:id="204"/>
      </w:r>
      <w:r w:rsidR="00032FC5" w:rsidRPr="00D869E3">
        <w:rPr>
          <w:rFonts w:ascii="Verdana" w:hAnsi="Verdana"/>
          <w:sz w:val="20"/>
          <w:szCs w:val="20"/>
          <w:lang w:val="en-US"/>
        </w:rPr>
        <w:t xml:space="preserve"> </w:t>
      </w:r>
      <w:r w:rsidR="00447C65" w:rsidRPr="00D869E3">
        <w:rPr>
          <w:rFonts w:ascii="Verdana" w:hAnsi="Verdana"/>
          <w:sz w:val="20"/>
          <w:szCs w:val="20"/>
          <w:lang w:val="en-US"/>
        </w:rPr>
        <w:t>Article</w:t>
      </w:r>
      <w:r w:rsidR="00032FC5" w:rsidRPr="00D869E3">
        <w:rPr>
          <w:rFonts w:ascii="Verdana" w:hAnsi="Verdana"/>
          <w:sz w:val="20"/>
          <w:szCs w:val="20"/>
          <w:lang w:val="en-US"/>
        </w:rPr>
        <w:t xml:space="preserve"> 11</w:t>
      </w:r>
      <w:r w:rsidR="00447C65" w:rsidRPr="00D869E3">
        <w:rPr>
          <w:rFonts w:ascii="Verdana" w:hAnsi="Verdana"/>
          <w:sz w:val="20"/>
          <w:szCs w:val="20"/>
          <w:lang w:val="en-US"/>
        </w:rPr>
        <w:t xml:space="preserve"> of the Convention</w:t>
      </w:r>
      <w:r w:rsidR="00032FC5" w:rsidRPr="00D869E3">
        <w:rPr>
          <w:rFonts w:ascii="Verdana" w:hAnsi="Verdana"/>
          <w:sz w:val="20"/>
          <w:szCs w:val="20"/>
          <w:lang w:val="en-US"/>
        </w:rPr>
        <w:t xml:space="preserve"> </w:t>
      </w:r>
      <w:r w:rsidR="00A25801" w:rsidRPr="00D869E3">
        <w:rPr>
          <w:rFonts w:ascii="Verdana" w:hAnsi="Verdana"/>
          <w:sz w:val="20"/>
          <w:szCs w:val="20"/>
          <w:lang w:val="en-US"/>
        </w:rPr>
        <w:t>on the Elimination of All Forms of Discrimination against Women,</w:t>
      </w:r>
      <w:r w:rsidR="00032FC5" w:rsidRPr="00D869E3">
        <w:rPr>
          <w:rStyle w:val="Refdenotaalpie"/>
          <w:szCs w:val="20"/>
          <w:lang w:val="en-US"/>
        </w:rPr>
        <w:footnoteReference w:id="205"/>
      </w:r>
      <w:r w:rsidR="00032FC5" w:rsidRPr="00D869E3">
        <w:rPr>
          <w:rFonts w:ascii="Verdana" w:hAnsi="Verdana"/>
          <w:sz w:val="20"/>
          <w:szCs w:val="20"/>
          <w:lang w:val="en-US"/>
        </w:rPr>
        <w:t xml:space="preserve"> </w:t>
      </w:r>
      <w:r w:rsidR="00447C65" w:rsidRPr="00D869E3">
        <w:rPr>
          <w:rFonts w:ascii="Verdana" w:hAnsi="Verdana"/>
          <w:sz w:val="20"/>
          <w:szCs w:val="20"/>
          <w:lang w:val="en-US"/>
        </w:rPr>
        <w:t>Article</w:t>
      </w:r>
      <w:r w:rsidR="00032FC5" w:rsidRPr="00D869E3">
        <w:rPr>
          <w:rFonts w:ascii="Verdana" w:hAnsi="Verdana"/>
          <w:sz w:val="20"/>
          <w:szCs w:val="20"/>
          <w:lang w:val="en-US"/>
        </w:rPr>
        <w:t xml:space="preserve"> 32</w:t>
      </w:r>
      <w:r w:rsidR="00A25801" w:rsidRPr="00D869E3">
        <w:rPr>
          <w:rFonts w:ascii="Verdana" w:hAnsi="Verdana"/>
          <w:sz w:val="20"/>
          <w:szCs w:val="20"/>
          <w:lang w:val="en-US"/>
        </w:rPr>
        <w:t>(</w:t>
      </w:r>
      <w:r w:rsidR="00032FC5" w:rsidRPr="00D869E3">
        <w:rPr>
          <w:rFonts w:ascii="Verdana" w:hAnsi="Verdana"/>
          <w:sz w:val="20"/>
          <w:szCs w:val="20"/>
          <w:lang w:val="en-US"/>
        </w:rPr>
        <w:t>1</w:t>
      </w:r>
      <w:r w:rsidR="00A25801" w:rsidRPr="00D869E3">
        <w:rPr>
          <w:rFonts w:ascii="Verdana" w:hAnsi="Verdana"/>
          <w:sz w:val="20"/>
          <w:szCs w:val="20"/>
          <w:lang w:val="en-US"/>
        </w:rPr>
        <w:t>)</w:t>
      </w:r>
      <w:r w:rsidR="00447C65" w:rsidRPr="00D869E3">
        <w:rPr>
          <w:rFonts w:ascii="Verdana" w:hAnsi="Verdana"/>
          <w:sz w:val="20"/>
          <w:szCs w:val="20"/>
          <w:lang w:val="en-US"/>
        </w:rPr>
        <w:t xml:space="preserve"> of the Convention</w:t>
      </w:r>
      <w:r w:rsidR="00032FC5" w:rsidRPr="00D869E3">
        <w:rPr>
          <w:rFonts w:ascii="Verdana" w:hAnsi="Verdana"/>
          <w:sz w:val="20"/>
          <w:szCs w:val="20"/>
          <w:lang w:val="en-US"/>
        </w:rPr>
        <w:t xml:space="preserve"> </w:t>
      </w:r>
      <w:r w:rsidR="00A25801" w:rsidRPr="00D869E3">
        <w:rPr>
          <w:rFonts w:ascii="Verdana" w:hAnsi="Verdana"/>
          <w:sz w:val="20"/>
          <w:szCs w:val="20"/>
          <w:lang w:val="en-US"/>
        </w:rPr>
        <w:t>on the Rights of the Child</w:t>
      </w:r>
      <w:r w:rsidRPr="00D869E3">
        <w:rPr>
          <w:rFonts w:ascii="Verdana" w:hAnsi="Verdana"/>
          <w:sz w:val="20"/>
          <w:szCs w:val="20"/>
          <w:lang w:val="en-US"/>
        </w:rPr>
        <w:t>;</w:t>
      </w:r>
      <w:r w:rsidR="00032FC5" w:rsidRPr="00D869E3">
        <w:rPr>
          <w:rStyle w:val="Refdenotaalpie"/>
          <w:szCs w:val="20"/>
          <w:lang w:val="en-US"/>
        </w:rPr>
        <w:footnoteReference w:id="206"/>
      </w:r>
      <w:r w:rsidR="00A25801" w:rsidRPr="00D869E3">
        <w:rPr>
          <w:rFonts w:ascii="Verdana" w:hAnsi="Verdana"/>
          <w:sz w:val="20"/>
          <w:szCs w:val="20"/>
          <w:lang w:val="en-US"/>
        </w:rPr>
        <w:t xml:space="preserve"> </w:t>
      </w:r>
      <w:r w:rsidR="00447C65" w:rsidRPr="00D869E3">
        <w:rPr>
          <w:rFonts w:ascii="Verdana" w:hAnsi="Verdana"/>
          <w:sz w:val="20"/>
          <w:szCs w:val="20"/>
          <w:lang w:val="en-US"/>
        </w:rPr>
        <w:t>Article</w:t>
      </w:r>
      <w:r w:rsidR="00E606B9" w:rsidRPr="00D869E3">
        <w:rPr>
          <w:rFonts w:ascii="Verdana" w:hAnsi="Verdana"/>
          <w:sz w:val="20"/>
          <w:szCs w:val="20"/>
          <w:lang w:val="en-US"/>
        </w:rPr>
        <w:t xml:space="preserve"> 1</w:t>
      </w:r>
      <w:r w:rsidR="00032FC5" w:rsidRPr="00D869E3">
        <w:rPr>
          <w:rFonts w:ascii="Verdana" w:hAnsi="Verdana"/>
          <w:sz w:val="20"/>
          <w:szCs w:val="20"/>
          <w:lang w:val="en-US"/>
        </w:rPr>
        <w:t xml:space="preserve"> </w:t>
      </w:r>
      <w:r w:rsidR="00A25801" w:rsidRPr="00D869E3">
        <w:rPr>
          <w:rFonts w:ascii="Verdana" w:hAnsi="Verdana"/>
          <w:sz w:val="20"/>
          <w:szCs w:val="20"/>
          <w:lang w:val="en-US"/>
        </w:rPr>
        <w:t>of the</w:t>
      </w:r>
      <w:r w:rsidR="00032FC5" w:rsidRPr="00D869E3">
        <w:rPr>
          <w:rFonts w:ascii="Verdana" w:hAnsi="Verdana"/>
          <w:sz w:val="20"/>
          <w:szCs w:val="20"/>
          <w:lang w:val="en-US"/>
        </w:rPr>
        <w:t xml:space="preserve"> </w:t>
      </w:r>
      <w:r w:rsidR="00A25801" w:rsidRPr="00D869E3">
        <w:rPr>
          <w:rFonts w:ascii="Verdana" w:hAnsi="Verdana"/>
          <w:sz w:val="20"/>
          <w:szCs w:val="20"/>
          <w:lang w:val="en-US"/>
        </w:rPr>
        <w:t>European Social Charter</w:t>
      </w:r>
      <w:r w:rsidR="00032FC5" w:rsidRPr="00D869E3">
        <w:rPr>
          <w:rStyle w:val="Refdenotaalpie"/>
          <w:szCs w:val="20"/>
          <w:lang w:val="en-US"/>
        </w:rPr>
        <w:footnoteReference w:id="207"/>
      </w:r>
      <w:r w:rsidR="00687684" w:rsidRPr="00D869E3">
        <w:rPr>
          <w:rFonts w:ascii="Verdana" w:hAnsi="Verdana"/>
          <w:sz w:val="20"/>
          <w:szCs w:val="20"/>
          <w:lang w:val="en-US"/>
        </w:rPr>
        <w:t xml:space="preserve"> and </w:t>
      </w:r>
      <w:r w:rsidR="00447C65" w:rsidRPr="00D869E3">
        <w:rPr>
          <w:rFonts w:ascii="Verdana" w:hAnsi="Verdana"/>
          <w:sz w:val="20"/>
          <w:szCs w:val="20"/>
          <w:lang w:val="en-US"/>
        </w:rPr>
        <w:t>Article</w:t>
      </w:r>
      <w:r w:rsidR="00032FC5" w:rsidRPr="00D869E3">
        <w:rPr>
          <w:rFonts w:ascii="Verdana" w:hAnsi="Verdana"/>
          <w:sz w:val="20"/>
          <w:szCs w:val="20"/>
          <w:lang w:val="en-US"/>
        </w:rPr>
        <w:t xml:space="preserve"> 15 </w:t>
      </w:r>
      <w:r w:rsidR="00A25801" w:rsidRPr="00D869E3">
        <w:rPr>
          <w:rFonts w:ascii="Verdana" w:hAnsi="Verdana"/>
          <w:sz w:val="20"/>
          <w:szCs w:val="20"/>
          <w:lang w:val="en-US"/>
        </w:rPr>
        <w:t>of the</w:t>
      </w:r>
      <w:r w:rsidR="00032FC5" w:rsidRPr="00D869E3">
        <w:rPr>
          <w:rFonts w:ascii="Verdana" w:hAnsi="Verdana"/>
          <w:sz w:val="20"/>
          <w:szCs w:val="20"/>
          <w:lang w:val="en-US"/>
        </w:rPr>
        <w:t xml:space="preserve"> </w:t>
      </w:r>
      <w:r w:rsidR="00A25801" w:rsidRPr="00D869E3">
        <w:rPr>
          <w:rFonts w:ascii="Verdana" w:hAnsi="Verdana"/>
          <w:sz w:val="20"/>
          <w:szCs w:val="20"/>
          <w:lang w:val="en-US"/>
        </w:rPr>
        <w:t>African Charter on Human and Peoples’ Rights.</w:t>
      </w:r>
      <w:r w:rsidR="00032FC5" w:rsidRPr="00D869E3">
        <w:rPr>
          <w:rStyle w:val="Refdenotaalpie"/>
          <w:szCs w:val="20"/>
          <w:lang w:val="en-US"/>
        </w:rPr>
        <w:footnoteReference w:id="208"/>
      </w:r>
    </w:p>
    <w:p w14:paraId="55A72676" w14:textId="77777777" w:rsidR="00032FC5" w:rsidRPr="00D869E3" w:rsidRDefault="00032FC5" w:rsidP="00032FC5">
      <w:pPr>
        <w:contextualSpacing/>
        <w:jc w:val="both"/>
        <w:rPr>
          <w:rFonts w:ascii="Verdana" w:hAnsi="Verdana"/>
          <w:color w:val="000000"/>
          <w:sz w:val="20"/>
          <w:szCs w:val="20"/>
          <w:lang w:val="en-US"/>
        </w:rPr>
      </w:pPr>
    </w:p>
    <w:p w14:paraId="27F3C63F" w14:textId="4E5CA704" w:rsidR="008221EB" w:rsidRPr="00D869E3" w:rsidRDefault="008221EB" w:rsidP="00E66DD7">
      <w:pPr>
        <w:numPr>
          <w:ilvl w:val="0"/>
          <w:numId w:val="1"/>
        </w:numPr>
        <w:ind w:left="0" w:firstLine="0"/>
        <w:contextualSpacing/>
        <w:jc w:val="both"/>
        <w:rPr>
          <w:rFonts w:ascii="Verdana" w:hAnsi="Verdana"/>
          <w:color w:val="000000"/>
          <w:sz w:val="20"/>
          <w:szCs w:val="20"/>
          <w:lang w:val="en-US"/>
        </w:rPr>
      </w:pPr>
      <w:r w:rsidRPr="00D869E3">
        <w:rPr>
          <w:rFonts w:ascii="Verdana" w:hAnsi="Verdana"/>
          <w:sz w:val="20"/>
          <w:szCs w:val="20"/>
          <w:lang w:val="en-US"/>
        </w:rPr>
        <w:t>Consequently, when analyzing the meaning and scope of Article 26 of the Convention in this case, the Court will take into account, in light of the general rules of interpretation established in Article 29(b), (c) and (d) of this instrument,</w:t>
      </w:r>
      <w:r w:rsidRPr="00D869E3">
        <w:rPr>
          <w:rStyle w:val="Refdenotaalpie"/>
          <w:rFonts w:cs="Verdana"/>
          <w:szCs w:val="20"/>
          <w:lang w:val="en-US"/>
        </w:rPr>
        <w:footnoteReference w:id="209"/>
      </w:r>
      <w:r w:rsidRPr="00D869E3">
        <w:rPr>
          <w:rFonts w:ascii="Verdana" w:hAnsi="Verdana"/>
          <w:sz w:val="20"/>
          <w:szCs w:val="20"/>
          <w:lang w:val="en-US"/>
        </w:rPr>
        <w:t xml:space="preserve"> the aforementioned protection of job security</w:t>
      </w:r>
      <w:r w:rsidRPr="00D869E3">
        <w:rPr>
          <w:rStyle w:val="Refdenotaalpie"/>
          <w:rFonts w:cs="Verdana"/>
          <w:szCs w:val="20"/>
          <w:lang w:val="en-US"/>
        </w:rPr>
        <w:footnoteReference w:id="210"/>
      </w:r>
      <w:r w:rsidRPr="00D869E3">
        <w:rPr>
          <w:rFonts w:ascii="Verdana" w:hAnsi="Verdana"/>
          <w:sz w:val="20"/>
          <w:szCs w:val="20"/>
          <w:lang w:val="en-US"/>
        </w:rPr>
        <w:t xml:space="preserve"> as applicable to the specific case</w:t>
      </w:r>
      <w:r w:rsidR="001D03B7" w:rsidRPr="00D869E3">
        <w:rPr>
          <w:rFonts w:ascii="Verdana" w:hAnsi="Verdana"/>
          <w:sz w:val="20"/>
          <w:szCs w:val="20"/>
          <w:lang w:val="en-US"/>
        </w:rPr>
        <w:t>.</w:t>
      </w:r>
    </w:p>
    <w:p w14:paraId="7D4FFFB8" w14:textId="77777777" w:rsidR="00032FC5" w:rsidRPr="00D869E3" w:rsidRDefault="00032FC5" w:rsidP="00032FC5">
      <w:pPr>
        <w:contextualSpacing/>
        <w:jc w:val="both"/>
        <w:rPr>
          <w:rFonts w:ascii="Verdana" w:hAnsi="Verdana"/>
          <w:sz w:val="20"/>
          <w:szCs w:val="20"/>
          <w:lang w:val="en-US"/>
        </w:rPr>
      </w:pPr>
    </w:p>
    <w:p w14:paraId="011223C5" w14:textId="45CF2DFB" w:rsidR="00032FC5" w:rsidRPr="00D869E3" w:rsidRDefault="00075E68" w:rsidP="008221EB">
      <w:pPr>
        <w:numPr>
          <w:ilvl w:val="0"/>
          <w:numId w:val="1"/>
        </w:numPr>
        <w:ind w:left="0" w:firstLine="0"/>
        <w:contextualSpacing/>
        <w:jc w:val="both"/>
        <w:rPr>
          <w:rFonts w:ascii="Verdana" w:hAnsi="Verdana"/>
          <w:color w:val="000000"/>
          <w:sz w:val="20"/>
          <w:szCs w:val="20"/>
          <w:lang w:val="en-US"/>
        </w:rPr>
      </w:pPr>
      <w:r w:rsidRPr="00D869E3">
        <w:rPr>
          <w:rFonts w:ascii="Verdana" w:hAnsi="Verdana"/>
          <w:sz w:val="20"/>
          <w:szCs w:val="20"/>
          <w:lang w:val="en-US"/>
        </w:rPr>
        <w:t>In this regard</w:t>
      </w:r>
      <w:r w:rsidR="00032FC5" w:rsidRPr="00D869E3">
        <w:rPr>
          <w:rFonts w:ascii="Verdana" w:hAnsi="Verdana"/>
          <w:sz w:val="20"/>
          <w:szCs w:val="20"/>
          <w:lang w:val="en-US"/>
        </w:rPr>
        <w:t xml:space="preserve">, </w:t>
      </w:r>
      <w:r w:rsidR="007013E2" w:rsidRPr="00D869E3">
        <w:rPr>
          <w:rFonts w:ascii="Verdana" w:hAnsi="Verdana"/>
          <w:color w:val="000000"/>
          <w:sz w:val="20"/>
          <w:szCs w:val="20"/>
          <w:lang w:val="en-US"/>
        </w:rPr>
        <w:t>the Committee on Economic, Social and Cultural Rights</w:t>
      </w:r>
      <w:r w:rsidR="00032FC5" w:rsidRPr="00D869E3">
        <w:rPr>
          <w:rFonts w:ascii="Verdana" w:hAnsi="Verdana" w:cs="TimesNewRoman"/>
          <w:color w:val="000000"/>
          <w:sz w:val="20"/>
          <w:szCs w:val="20"/>
          <w:lang w:val="en-US" w:eastAsia="es-CR"/>
        </w:rPr>
        <w:t xml:space="preserve">, </w:t>
      </w:r>
      <w:r w:rsidR="008221EB" w:rsidRPr="00D869E3">
        <w:rPr>
          <w:rFonts w:ascii="Verdana" w:hAnsi="Verdana"/>
          <w:sz w:val="20"/>
          <w:szCs w:val="20"/>
          <w:lang w:val="en-US"/>
        </w:rPr>
        <w:t>in its General Comment No. 18 on the right to work, indicated that this included “the right not to be deprived of work unfairly.</w:t>
      </w:r>
      <w:r w:rsidR="006436CA" w:rsidRPr="00D869E3">
        <w:rPr>
          <w:rFonts w:ascii="Verdana" w:hAnsi="Verdana"/>
          <w:color w:val="000000"/>
          <w:sz w:val="20"/>
          <w:szCs w:val="20"/>
          <w:lang w:val="en-US" w:eastAsia="es-CR"/>
        </w:rPr>
        <w:t>”</w:t>
      </w:r>
      <w:r w:rsidR="00032FC5" w:rsidRPr="00D869E3">
        <w:rPr>
          <w:rStyle w:val="Refdenotaalpie"/>
          <w:rFonts w:cs="TimesNewRoman"/>
          <w:color w:val="000000"/>
          <w:szCs w:val="20"/>
          <w:lang w:val="en-US" w:eastAsia="es-CR"/>
        </w:rPr>
        <w:footnoteReference w:id="211"/>
      </w:r>
      <w:r w:rsidR="008221EB" w:rsidRPr="00D869E3">
        <w:rPr>
          <w:rFonts w:ascii="Verdana" w:hAnsi="Verdana"/>
          <w:color w:val="000000"/>
          <w:sz w:val="20"/>
          <w:szCs w:val="20"/>
          <w:lang w:val="en-US"/>
        </w:rPr>
        <w:t xml:space="preserve"> </w:t>
      </w:r>
      <w:r w:rsidR="008221EB" w:rsidRPr="00D869E3">
        <w:rPr>
          <w:rFonts w:ascii="Verdana" w:hAnsi="Verdana"/>
          <w:sz w:val="20"/>
          <w:szCs w:val="20"/>
          <w:lang w:val="en-US"/>
        </w:rPr>
        <w:t>It has also indicated that “[v]iolations of the obligation to protect follow from the failure of States parties to take all necessary measures to safeguard persons within their jurisdiction from infringements of the right to work by third parties,” which include “failure to protect workers against unlawful dismissal.</w:t>
      </w:r>
      <w:r w:rsidR="006436CA" w:rsidRPr="00D869E3">
        <w:rPr>
          <w:rFonts w:ascii="Verdana" w:hAnsi="Verdana"/>
          <w:color w:val="000000"/>
          <w:sz w:val="20"/>
          <w:szCs w:val="20"/>
          <w:lang w:val="en-US" w:eastAsia="es-CR"/>
        </w:rPr>
        <w:t>”</w:t>
      </w:r>
      <w:r w:rsidR="00032FC5" w:rsidRPr="00D869E3">
        <w:rPr>
          <w:rStyle w:val="Refdenotaalpie"/>
          <w:color w:val="000000"/>
          <w:szCs w:val="20"/>
          <w:lang w:val="en-US" w:eastAsia="es-CR"/>
        </w:rPr>
        <w:footnoteReference w:id="212"/>
      </w:r>
    </w:p>
    <w:p w14:paraId="2FF2DBAA" w14:textId="77777777" w:rsidR="00032FC5" w:rsidRPr="00D869E3" w:rsidRDefault="00032FC5" w:rsidP="00032FC5">
      <w:pPr>
        <w:contextualSpacing/>
        <w:jc w:val="both"/>
        <w:rPr>
          <w:rFonts w:ascii="Verdana" w:hAnsi="Verdana"/>
          <w:color w:val="000000"/>
          <w:sz w:val="20"/>
          <w:szCs w:val="20"/>
          <w:lang w:val="en-US" w:eastAsia="es-CR"/>
        </w:rPr>
      </w:pPr>
    </w:p>
    <w:p w14:paraId="12E1CAD9" w14:textId="40DC9F3B" w:rsidR="00032FC5" w:rsidRPr="00D869E3" w:rsidRDefault="008221EB" w:rsidP="008221EB">
      <w:pPr>
        <w:numPr>
          <w:ilvl w:val="0"/>
          <w:numId w:val="1"/>
        </w:numPr>
        <w:ind w:left="0" w:firstLine="0"/>
        <w:contextualSpacing/>
        <w:jc w:val="both"/>
        <w:rPr>
          <w:rFonts w:ascii="Verdana" w:hAnsi="Verdana"/>
          <w:color w:val="000000"/>
          <w:sz w:val="20"/>
          <w:szCs w:val="20"/>
          <w:lang w:val="en-US"/>
        </w:rPr>
      </w:pPr>
      <w:r w:rsidRPr="00D869E3">
        <w:rPr>
          <w:rFonts w:ascii="Verdana" w:hAnsi="Verdana"/>
          <w:sz w:val="20"/>
          <w:szCs w:val="20"/>
          <w:lang w:val="en-US"/>
        </w:rPr>
        <w:t xml:space="preserve">For example, Convention 158 of the International Labour Organization (ILO) on termination of employment </w:t>
      </w:r>
      <w:r w:rsidR="00032FC5" w:rsidRPr="00D869E3">
        <w:rPr>
          <w:rFonts w:ascii="Verdana" w:hAnsi="Verdana" w:cs="TimesNewRoman"/>
          <w:sz w:val="20"/>
          <w:szCs w:val="20"/>
          <w:lang w:val="en-US" w:eastAsia="es-CR"/>
        </w:rPr>
        <w:t>(1982)</w:t>
      </w:r>
      <w:r w:rsidRPr="00D869E3">
        <w:rPr>
          <w:rFonts w:ascii="Verdana" w:hAnsi="Verdana" w:cs="TimesNewRoman"/>
          <w:sz w:val="20"/>
          <w:szCs w:val="20"/>
          <w:lang w:val="en-US" w:eastAsia="es-CR"/>
        </w:rPr>
        <w:t>,</w:t>
      </w:r>
      <w:r w:rsidR="00032FC5" w:rsidRPr="00D869E3">
        <w:rPr>
          <w:rStyle w:val="Refdenotaalpie"/>
          <w:rFonts w:cs="TimesNewRoman"/>
          <w:szCs w:val="20"/>
          <w:lang w:val="en-US" w:eastAsia="es-CR"/>
        </w:rPr>
        <w:footnoteReference w:id="213"/>
      </w:r>
      <w:r w:rsidR="00032FC5" w:rsidRPr="00D869E3">
        <w:rPr>
          <w:rFonts w:ascii="Verdana" w:hAnsi="Verdana" w:cs="TimesNewRoman"/>
          <w:sz w:val="20"/>
          <w:szCs w:val="20"/>
          <w:lang w:val="en-US" w:eastAsia="es-CR"/>
        </w:rPr>
        <w:t xml:space="preserve"> </w:t>
      </w:r>
      <w:r w:rsidRPr="00D869E3">
        <w:rPr>
          <w:rFonts w:ascii="Verdana" w:hAnsi="Verdana"/>
          <w:sz w:val="20"/>
          <w:szCs w:val="20"/>
          <w:lang w:val="en-US"/>
        </w:rPr>
        <w:t>establishes that the right to work includes the lawfulness of termination in its article 4</w:t>
      </w:r>
      <w:r w:rsidR="000125F4" w:rsidRPr="00D869E3">
        <w:rPr>
          <w:rStyle w:val="Refdenotaalpie"/>
          <w:rFonts w:cs="TimesNewRoman"/>
          <w:szCs w:val="20"/>
          <w:lang w:val="en-US" w:eastAsia="es-CR"/>
        </w:rPr>
        <w:footnoteReference w:id="214"/>
      </w:r>
      <w:r w:rsidRPr="00D869E3">
        <w:rPr>
          <w:rFonts w:ascii="Verdana" w:hAnsi="Verdana"/>
          <w:sz w:val="20"/>
          <w:szCs w:val="20"/>
          <w:lang w:val="en-US"/>
        </w:rPr>
        <w:t xml:space="preserve"> but stipulates, in particular, the need to provide “a valid reason for such termination”</w:t>
      </w:r>
      <w:r w:rsidR="000125F4" w:rsidRPr="00D869E3">
        <w:rPr>
          <w:rStyle w:val="Refdenotaalpie"/>
          <w:rFonts w:cs="TimesNewRoman"/>
          <w:szCs w:val="20"/>
          <w:lang w:val="en-US" w:eastAsia="es-CR"/>
        </w:rPr>
        <w:footnoteReference w:id="215"/>
      </w:r>
      <w:r w:rsidRPr="00D869E3">
        <w:rPr>
          <w:rFonts w:ascii="Verdana" w:hAnsi="Verdana"/>
          <w:sz w:val="20"/>
          <w:szCs w:val="20"/>
          <w:lang w:val="en-US"/>
        </w:rPr>
        <w:t xml:space="preserve"> as well as the right to effective legal remedies in case of an unjustifiable termination. Likewise, ILO Recommendation No. 143</w:t>
      </w:r>
      <w:r w:rsidR="007422B9" w:rsidRPr="00D869E3">
        <w:rPr>
          <w:rStyle w:val="Refdenotaalpie"/>
          <w:szCs w:val="20"/>
          <w:lang w:val="en-US" w:eastAsia="es-CR"/>
        </w:rPr>
        <w:footnoteReference w:id="216"/>
      </w:r>
      <w:r w:rsidR="00A63061" w:rsidRPr="00D869E3">
        <w:rPr>
          <w:rFonts w:ascii="Verdana" w:hAnsi="Verdana" w:cs="TimesNewRoman"/>
          <w:sz w:val="20"/>
          <w:szCs w:val="20"/>
          <w:lang w:val="en-US" w:eastAsia="es-CR"/>
        </w:rPr>
        <w:t xml:space="preserve"> </w:t>
      </w:r>
      <w:r w:rsidRPr="00D869E3">
        <w:rPr>
          <w:rFonts w:ascii="Verdana" w:hAnsi="Verdana"/>
          <w:sz w:val="20"/>
          <w:szCs w:val="20"/>
          <w:lang w:val="en-US"/>
        </w:rPr>
        <w:t>on workers’ representatives requires that appropriate measures be taken and resources made available for the protection of the workers’ representatives.</w:t>
      </w:r>
      <w:r w:rsidR="00A63061" w:rsidRPr="00D869E3">
        <w:rPr>
          <w:rFonts w:ascii="Verdana" w:hAnsi="Verdana" w:cs="TimesNewRoman"/>
          <w:sz w:val="20"/>
          <w:szCs w:val="20"/>
          <w:lang w:val="en-US" w:eastAsia="es-CR"/>
        </w:rPr>
        <w:t xml:space="preserve"> (</w:t>
      </w:r>
      <w:r w:rsidR="00A63061" w:rsidRPr="00D869E3">
        <w:rPr>
          <w:rFonts w:ascii="Verdana" w:hAnsi="Verdana" w:cs="TimesNewRoman"/>
          <w:i/>
          <w:sz w:val="20"/>
          <w:szCs w:val="20"/>
          <w:lang w:val="en-US" w:eastAsia="es-CR"/>
        </w:rPr>
        <w:t>supra</w:t>
      </w:r>
      <w:r w:rsidR="00A63061" w:rsidRPr="00D869E3">
        <w:rPr>
          <w:rFonts w:ascii="Verdana" w:hAnsi="Verdana" w:cs="TimesNewRoman"/>
          <w:sz w:val="20"/>
          <w:szCs w:val="20"/>
          <w:lang w:val="en-US" w:eastAsia="es-CR"/>
        </w:rPr>
        <w:t xml:space="preserve">, </w:t>
      </w:r>
      <w:r w:rsidR="0087339F" w:rsidRPr="00D869E3">
        <w:rPr>
          <w:rFonts w:ascii="Verdana" w:hAnsi="Verdana" w:cs="TimesNewRoman"/>
          <w:sz w:val="20"/>
          <w:szCs w:val="20"/>
          <w:lang w:val="en-US" w:eastAsia="es-CR"/>
        </w:rPr>
        <w:t>para.</w:t>
      </w:r>
      <w:r w:rsidR="00A63061" w:rsidRPr="00D869E3">
        <w:rPr>
          <w:rFonts w:ascii="Verdana" w:hAnsi="Verdana" w:cs="TimesNewRoman"/>
          <w:sz w:val="20"/>
          <w:szCs w:val="20"/>
          <w:lang w:val="en-US" w:eastAsia="es-CR"/>
        </w:rPr>
        <w:t xml:space="preserve"> </w:t>
      </w:r>
      <w:r w:rsidR="004B01AC" w:rsidRPr="00D869E3">
        <w:rPr>
          <w:rFonts w:ascii="Verdana" w:hAnsi="Verdana" w:cs="TimesNewRoman"/>
          <w:sz w:val="20"/>
          <w:szCs w:val="20"/>
          <w:lang w:val="en-US" w:eastAsia="es-CR"/>
        </w:rPr>
        <w:t>126</w:t>
      </w:r>
      <w:r w:rsidR="00A63061" w:rsidRPr="00D869E3">
        <w:rPr>
          <w:rFonts w:ascii="Verdana" w:hAnsi="Verdana" w:cs="TimesNewRoman"/>
          <w:sz w:val="20"/>
          <w:szCs w:val="20"/>
          <w:lang w:val="en-US" w:eastAsia="es-CR"/>
        </w:rPr>
        <w:t>)</w:t>
      </w:r>
      <w:r w:rsidRPr="00D869E3">
        <w:rPr>
          <w:rFonts w:ascii="Verdana" w:hAnsi="Verdana" w:cs="TimesNewRoman"/>
          <w:sz w:val="20"/>
          <w:szCs w:val="20"/>
          <w:lang w:val="en-US" w:eastAsia="es-CR"/>
        </w:rPr>
        <w:t>.</w:t>
      </w:r>
      <w:r w:rsidR="000125F4" w:rsidRPr="00D869E3">
        <w:rPr>
          <w:rStyle w:val="Refdenotaalpie"/>
          <w:szCs w:val="20"/>
          <w:lang w:val="en-US" w:eastAsia="es-CR"/>
        </w:rPr>
        <w:footnoteReference w:id="217"/>
      </w:r>
    </w:p>
    <w:p w14:paraId="7B2FADC0" w14:textId="77777777" w:rsidR="00032FC5" w:rsidRPr="00D869E3" w:rsidRDefault="00032FC5" w:rsidP="00032FC5">
      <w:pPr>
        <w:contextualSpacing/>
        <w:jc w:val="both"/>
        <w:rPr>
          <w:rFonts w:ascii="Verdana" w:hAnsi="Verdana"/>
          <w:color w:val="000000"/>
          <w:sz w:val="20"/>
          <w:szCs w:val="20"/>
          <w:lang w:val="en-US"/>
        </w:rPr>
      </w:pPr>
    </w:p>
    <w:p w14:paraId="6F2988CF" w14:textId="2A105B13" w:rsidR="00032FC5" w:rsidRPr="00D869E3" w:rsidRDefault="008221EB" w:rsidP="008221EB">
      <w:pPr>
        <w:numPr>
          <w:ilvl w:val="0"/>
          <w:numId w:val="1"/>
        </w:numPr>
        <w:ind w:left="0" w:firstLine="0"/>
        <w:contextualSpacing/>
        <w:jc w:val="both"/>
        <w:rPr>
          <w:rFonts w:ascii="Verdana" w:hAnsi="Verdana"/>
          <w:sz w:val="20"/>
          <w:szCs w:val="20"/>
          <w:lang w:val="en-US"/>
        </w:rPr>
      </w:pPr>
      <w:r w:rsidRPr="00D869E3">
        <w:rPr>
          <w:rFonts w:ascii="Verdana" w:hAnsi="Verdana"/>
          <w:sz w:val="20"/>
          <w:szCs w:val="20"/>
          <w:lang w:val="en-US"/>
        </w:rPr>
        <w:t xml:space="preserve">In correlation to the above, it can be understood that, in the private sphere, the state obligation to protect the right to </w:t>
      </w:r>
      <w:r w:rsidR="003F11AA" w:rsidRPr="00D869E3">
        <w:rPr>
          <w:rFonts w:ascii="Verdana" w:hAnsi="Verdana"/>
          <w:sz w:val="20"/>
          <w:szCs w:val="20"/>
          <w:lang w:val="en-US"/>
        </w:rPr>
        <w:t>job security</w:t>
      </w:r>
      <w:r w:rsidRPr="00D869E3">
        <w:rPr>
          <w:rFonts w:ascii="Verdana" w:hAnsi="Verdana"/>
          <w:sz w:val="20"/>
          <w:szCs w:val="20"/>
          <w:lang w:val="en-US"/>
        </w:rPr>
        <w:t xml:space="preserve"> results, in principle, in the following duties: (a) to adopt the appropriate measures for the due regulation and monitoring</w:t>
      </w:r>
      <w:r w:rsidR="000125F4" w:rsidRPr="00D869E3">
        <w:rPr>
          <w:rStyle w:val="Refdenotaalpie"/>
          <w:color w:val="000000"/>
          <w:szCs w:val="20"/>
          <w:lang w:val="en-US"/>
        </w:rPr>
        <w:footnoteReference w:id="218"/>
      </w:r>
      <w:r w:rsidRPr="00D869E3">
        <w:rPr>
          <w:rFonts w:ascii="Verdana" w:hAnsi="Verdana"/>
          <w:sz w:val="20"/>
          <w:szCs w:val="20"/>
          <w:lang w:val="en-US"/>
        </w:rPr>
        <w:t xml:space="preserve"> of this right; (b) to </w:t>
      </w:r>
      <w:r w:rsidRPr="00D869E3">
        <w:rPr>
          <w:rFonts w:ascii="Verdana" w:hAnsi="Verdana"/>
          <w:sz w:val="20"/>
          <w:szCs w:val="20"/>
          <w:lang w:val="en-US"/>
        </w:rPr>
        <w:lastRenderedPageBreak/>
        <w:t>protect the workers against unjustified dismissal</w:t>
      </w:r>
      <w:r w:rsidR="008B38F5" w:rsidRPr="00D869E3">
        <w:rPr>
          <w:rFonts w:ascii="Verdana" w:hAnsi="Verdana"/>
          <w:sz w:val="20"/>
          <w:szCs w:val="20"/>
          <w:lang w:val="en-US"/>
        </w:rPr>
        <w:t xml:space="preserve"> through its competent organs</w:t>
      </w:r>
      <w:r w:rsidRPr="00D869E3">
        <w:rPr>
          <w:rFonts w:ascii="Verdana" w:hAnsi="Verdana"/>
          <w:sz w:val="20"/>
          <w:szCs w:val="20"/>
          <w:lang w:val="en-US"/>
        </w:rPr>
        <w:t>; (c) in case of unjustified dismissal, to rectify the situation (either by reinstatement or, if appropriate, by compensation and other social benefits established in domestic law). Consequently, (d) the State should provide effective grievance mechanisms in cases of unjustified dismissal, to ensure access to justice and the effective judicial protection of such rights</w:t>
      </w:r>
      <w:r w:rsidR="00815B20" w:rsidRPr="00D869E3">
        <w:rPr>
          <w:rFonts w:ascii="Verdana" w:hAnsi="Verdana"/>
          <w:color w:val="000000"/>
          <w:sz w:val="20"/>
          <w:szCs w:val="20"/>
          <w:lang w:val="en-US"/>
        </w:rPr>
        <w:t xml:space="preserve"> (</w:t>
      </w:r>
      <w:r w:rsidR="00815B20" w:rsidRPr="00D869E3">
        <w:rPr>
          <w:rFonts w:ascii="Verdana" w:hAnsi="Verdana"/>
          <w:i/>
          <w:color w:val="000000"/>
          <w:sz w:val="20"/>
          <w:szCs w:val="20"/>
          <w:lang w:val="en-US"/>
        </w:rPr>
        <w:t>infra</w:t>
      </w:r>
      <w:r w:rsidR="00815B20" w:rsidRPr="00D869E3">
        <w:rPr>
          <w:rFonts w:ascii="Verdana" w:hAnsi="Verdana"/>
          <w:color w:val="000000"/>
          <w:sz w:val="20"/>
          <w:szCs w:val="20"/>
          <w:lang w:val="en-US"/>
        </w:rPr>
        <w:t xml:space="preserve">, </w:t>
      </w:r>
      <w:r w:rsidR="0087339F" w:rsidRPr="00D869E3">
        <w:rPr>
          <w:rFonts w:ascii="Verdana" w:hAnsi="Verdana"/>
          <w:color w:val="000000"/>
          <w:sz w:val="20"/>
          <w:szCs w:val="20"/>
          <w:lang w:val="en-US"/>
        </w:rPr>
        <w:t>paras.</w:t>
      </w:r>
      <w:r w:rsidR="000E13A2" w:rsidRPr="00D869E3">
        <w:rPr>
          <w:rFonts w:ascii="Verdana" w:hAnsi="Verdana"/>
          <w:color w:val="000000"/>
          <w:sz w:val="20"/>
          <w:szCs w:val="20"/>
          <w:lang w:val="en-US"/>
        </w:rPr>
        <w:t xml:space="preserve"> 174</w:t>
      </w:r>
      <w:r w:rsidR="00DD5817" w:rsidRPr="00D869E3">
        <w:rPr>
          <w:rFonts w:ascii="Verdana" w:hAnsi="Verdana"/>
          <w:color w:val="000000"/>
          <w:sz w:val="20"/>
          <w:szCs w:val="20"/>
          <w:lang w:val="en-US"/>
        </w:rPr>
        <w:t>, 176</w:t>
      </w:r>
      <w:r w:rsidR="00687684" w:rsidRPr="00D869E3">
        <w:rPr>
          <w:rFonts w:ascii="Verdana" w:hAnsi="Verdana"/>
          <w:color w:val="000000"/>
          <w:sz w:val="20"/>
          <w:szCs w:val="20"/>
          <w:lang w:val="en-US"/>
        </w:rPr>
        <w:t xml:space="preserve"> and </w:t>
      </w:r>
      <w:r w:rsidR="00DD5817" w:rsidRPr="00D869E3">
        <w:rPr>
          <w:rFonts w:ascii="Verdana" w:hAnsi="Verdana"/>
          <w:color w:val="000000"/>
          <w:sz w:val="20"/>
          <w:szCs w:val="20"/>
          <w:lang w:val="en-US"/>
        </w:rPr>
        <w:t>180</w:t>
      </w:r>
      <w:r w:rsidR="000E13A2" w:rsidRPr="00D869E3">
        <w:rPr>
          <w:rFonts w:ascii="Verdana" w:hAnsi="Verdana"/>
          <w:color w:val="000000"/>
          <w:sz w:val="20"/>
          <w:szCs w:val="20"/>
          <w:lang w:val="en-US"/>
        </w:rPr>
        <w:t>)</w:t>
      </w:r>
      <w:r w:rsidR="00032FC5" w:rsidRPr="00D869E3">
        <w:rPr>
          <w:rFonts w:ascii="Verdana" w:hAnsi="Verdana"/>
          <w:color w:val="000000"/>
          <w:sz w:val="20"/>
          <w:szCs w:val="20"/>
          <w:lang w:val="en-US"/>
        </w:rPr>
        <w:t>.</w:t>
      </w:r>
    </w:p>
    <w:p w14:paraId="27725E91" w14:textId="77777777" w:rsidR="00032FC5" w:rsidRPr="00D869E3" w:rsidRDefault="00032FC5" w:rsidP="00032FC5">
      <w:pPr>
        <w:contextualSpacing/>
        <w:jc w:val="both"/>
        <w:rPr>
          <w:rFonts w:ascii="Verdana" w:hAnsi="Verdana"/>
          <w:color w:val="000000"/>
          <w:sz w:val="20"/>
          <w:lang w:val="en-US"/>
        </w:rPr>
      </w:pPr>
    </w:p>
    <w:p w14:paraId="69A2B3C5" w14:textId="4DAB8428" w:rsidR="00032FC5" w:rsidRPr="00D869E3" w:rsidRDefault="008221EB" w:rsidP="00E66DD7">
      <w:pPr>
        <w:numPr>
          <w:ilvl w:val="0"/>
          <w:numId w:val="1"/>
        </w:numPr>
        <w:ind w:left="0" w:firstLine="0"/>
        <w:contextualSpacing/>
        <w:jc w:val="both"/>
        <w:rPr>
          <w:rFonts w:ascii="Verdana" w:hAnsi="Verdana"/>
          <w:strike/>
          <w:sz w:val="20"/>
          <w:szCs w:val="20"/>
          <w:lang w:val="en-US"/>
        </w:rPr>
      </w:pPr>
      <w:r w:rsidRPr="00D869E3">
        <w:rPr>
          <w:rFonts w:ascii="Verdana" w:hAnsi="Verdana"/>
          <w:sz w:val="20"/>
          <w:szCs w:val="20"/>
          <w:lang w:val="en-US"/>
        </w:rPr>
        <w:t xml:space="preserve">It should be noted that </w:t>
      </w:r>
      <w:r w:rsidR="00761589" w:rsidRPr="00D869E3">
        <w:rPr>
          <w:rFonts w:ascii="Verdana" w:hAnsi="Verdana"/>
          <w:sz w:val="20"/>
          <w:szCs w:val="20"/>
          <w:lang w:val="en-US"/>
        </w:rPr>
        <w:t>job security</w:t>
      </w:r>
      <w:r w:rsidRPr="00D869E3">
        <w:rPr>
          <w:rFonts w:ascii="Verdana" w:hAnsi="Verdana"/>
          <w:sz w:val="20"/>
          <w:szCs w:val="20"/>
          <w:lang w:val="en-US"/>
        </w:rPr>
        <w:t xml:space="preserve"> does not consist in an unrestricted permanence in the post; but rather, to respect this right, among other measures, by granting due guarantees of protection to the worker so that, if he or she is dismissed this is with justification, which means that the employer must provide sufficient reasons to impose this sanction with the due guarantees, and that the worker may appeal this decision before the domestic authorities, who must verify that the justification given is not arbitrary or unlawful.</w:t>
      </w:r>
    </w:p>
    <w:p w14:paraId="21D77744" w14:textId="77777777" w:rsidR="00032FC5" w:rsidRPr="00D869E3" w:rsidRDefault="00032FC5" w:rsidP="00032FC5">
      <w:pPr>
        <w:contextualSpacing/>
        <w:jc w:val="both"/>
        <w:rPr>
          <w:rFonts w:ascii="Verdana" w:hAnsi="Verdana"/>
          <w:strike/>
          <w:sz w:val="20"/>
          <w:szCs w:val="20"/>
          <w:lang w:val="en-US"/>
        </w:rPr>
      </w:pPr>
    </w:p>
    <w:p w14:paraId="6207385A" w14:textId="05E35867" w:rsidR="00032FC5" w:rsidRPr="00D869E3" w:rsidRDefault="00E21A02" w:rsidP="00875485">
      <w:pPr>
        <w:numPr>
          <w:ilvl w:val="0"/>
          <w:numId w:val="1"/>
        </w:numPr>
        <w:ind w:left="0" w:firstLine="0"/>
        <w:contextualSpacing/>
        <w:jc w:val="both"/>
        <w:rPr>
          <w:rFonts w:ascii="Verdana" w:hAnsi="Verdana"/>
          <w:sz w:val="20"/>
          <w:szCs w:val="20"/>
          <w:lang w:val="en-US"/>
        </w:rPr>
      </w:pPr>
      <w:r w:rsidRPr="00D869E3">
        <w:rPr>
          <w:rFonts w:ascii="Verdana" w:hAnsi="Verdana"/>
          <w:color w:val="000000"/>
          <w:sz w:val="20"/>
          <w:szCs w:val="20"/>
          <w:lang w:val="en-US"/>
        </w:rPr>
        <w:t>In this specific case</w:t>
      </w:r>
      <w:r w:rsidR="00032FC5" w:rsidRPr="00D869E3">
        <w:rPr>
          <w:rFonts w:ascii="Verdana" w:hAnsi="Verdana"/>
          <w:color w:val="000000"/>
          <w:sz w:val="20"/>
          <w:szCs w:val="20"/>
          <w:lang w:val="en-US"/>
        </w:rPr>
        <w:t xml:space="preserve">, </w:t>
      </w:r>
      <w:r w:rsidR="001E44D3" w:rsidRPr="00D869E3">
        <w:rPr>
          <w:rFonts w:ascii="Verdana" w:hAnsi="Verdana"/>
          <w:color w:val="000000"/>
          <w:sz w:val="20"/>
          <w:szCs w:val="20"/>
          <w:lang w:val="en-US"/>
        </w:rPr>
        <w:t>Mr. Lagos del Campo</w:t>
      </w:r>
      <w:r w:rsidR="00032FC5" w:rsidRPr="00D869E3">
        <w:rPr>
          <w:rFonts w:ascii="Verdana" w:hAnsi="Verdana"/>
          <w:color w:val="000000"/>
          <w:sz w:val="20"/>
          <w:szCs w:val="20"/>
          <w:lang w:val="en-US"/>
        </w:rPr>
        <w:t xml:space="preserve"> ha</w:t>
      </w:r>
      <w:r w:rsidR="000F6922" w:rsidRPr="00D869E3">
        <w:rPr>
          <w:rFonts w:ascii="Verdana" w:hAnsi="Verdana"/>
          <w:color w:val="000000"/>
          <w:sz w:val="20"/>
          <w:szCs w:val="20"/>
          <w:lang w:val="en-US"/>
        </w:rPr>
        <w:t xml:space="preserve">d been employed by the </w:t>
      </w:r>
      <w:r w:rsidR="009C4862" w:rsidRPr="00D869E3">
        <w:rPr>
          <w:rFonts w:ascii="Verdana" w:hAnsi="Verdana"/>
          <w:color w:val="000000"/>
          <w:sz w:val="20"/>
          <w:szCs w:val="20"/>
          <w:lang w:val="en-US"/>
        </w:rPr>
        <w:t>aforementioned</w:t>
      </w:r>
      <w:r w:rsidR="000F6922" w:rsidRPr="00D869E3">
        <w:rPr>
          <w:rFonts w:ascii="Verdana" w:hAnsi="Verdana"/>
          <w:color w:val="000000"/>
          <w:sz w:val="20"/>
          <w:szCs w:val="20"/>
          <w:lang w:val="en-US"/>
        </w:rPr>
        <w:t xml:space="preserve"> company as a manual worker for approximately 13 years and, at the time of the facts, he was </w:t>
      </w:r>
      <w:r w:rsidR="001B0492" w:rsidRPr="00D869E3">
        <w:rPr>
          <w:rFonts w:ascii="Verdana" w:hAnsi="Verdana"/>
          <w:color w:val="000000"/>
          <w:sz w:val="20"/>
          <w:szCs w:val="20"/>
          <w:lang w:val="en-US"/>
        </w:rPr>
        <w:t>president of the Electoral</w:t>
      </w:r>
      <w:r w:rsidR="00EA232B" w:rsidRPr="00D869E3">
        <w:rPr>
          <w:rFonts w:ascii="Verdana" w:hAnsi="Verdana"/>
          <w:color w:val="000000"/>
          <w:sz w:val="20"/>
          <w:szCs w:val="20"/>
          <w:lang w:val="en-US"/>
        </w:rPr>
        <w:t xml:space="preserve"> Committee of the</w:t>
      </w:r>
      <w:r w:rsidR="000F6922" w:rsidRPr="00D869E3">
        <w:rPr>
          <w:rFonts w:ascii="Verdana" w:hAnsi="Verdana"/>
          <w:color w:val="000000"/>
          <w:sz w:val="20"/>
          <w:szCs w:val="20"/>
          <w:lang w:val="en-US"/>
        </w:rPr>
        <w:t xml:space="preserve"> company’s</w:t>
      </w:r>
      <w:r w:rsidR="00EA232B" w:rsidRPr="00D869E3">
        <w:rPr>
          <w:rFonts w:ascii="Verdana" w:hAnsi="Verdana"/>
          <w:color w:val="000000"/>
          <w:sz w:val="20"/>
          <w:szCs w:val="20"/>
          <w:lang w:val="en-US"/>
        </w:rPr>
        <w:t xml:space="preserve"> Industrial Community</w:t>
      </w:r>
      <w:r w:rsidR="00032FC5" w:rsidRPr="00D869E3">
        <w:rPr>
          <w:rFonts w:ascii="Verdana" w:hAnsi="Verdana"/>
          <w:color w:val="000000"/>
          <w:sz w:val="20"/>
          <w:szCs w:val="20"/>
          <w:lang w:val="en-US"/>
        </w:rPr>
        <w:t xml:space="preserve"> </w:t>
      </w:r>
      <w:r w:rsidR="000F6922" w:rsidRPr="00D869E3">
        <w:rPr>
          <w:rFonts w:ascii="Verdana" w:hAnsi="Verdana"/>
          <w:color w:val="000000"/>
          <w:sz w:val="20"/>
          <w:szCs w:val="20"/>
          <w:lang w:val="en-US"/>
        </w:rPr>
        <w:t xml:space="preserve">and the delegate </w:t>
      </w:r>
      <w:r w:rsidR="009C4862" w:rsidRPr="00D869E3">
        <w:rPr>
          <w:rFonts w:ascii="Verdana" w:hAnsi="Verdana"/>
          <w:color w:val="000000"/>
          <w:sz w:val="20"/>
          <w:szCs w:val="20"/>
          <w:lang w:val="en-US"/>
        </w:rPr>
        <w:t>to</w:t>
      </w:r>
      <w:r w:rsidR="000F6922" w:rsidRPr="00D869E3">
        <w:rPr>
          <w:rFonts w:ascii="Verdana" w:hAnsi="Verdana"/>
          <w:color w:val="000000"/>
          <w:sz w:val="20"/>
          <w:szCs w:val="20"/>
          <w:lang w:val="en-US"/>
        </w:rPr>
        <w:t xml:space="preserve"> </w:t>
      </w:r>
      <w:r w:rsidR="00032FC5" w:rsidRPr="00D869E3">
        <w:rPr>
          <w:rFonts w:ascii="Verdana" w:hAnsi="Verdana"/>
          <w:color w:val="000000"/>
          <w:sz w:val="20"/>
          <w:szCs w:val="20"/>
          <w:lang w:val="en-US"/>
        </w:rPr>
        <w:t xml:space="preserve">CONACI. </w:t>
      </w:r>
      <w:r w:rsidR="000F6922" w:rsidRPr="00D869E3">
        <w:rPr>
          <w:rFonts w:ascii="Verdana" w:hAnsi="Verdana"/>
          <w:color w:val="000000"/>
          <w:sz w:val="20"/>
          <w:szCs w:val="20"/>
          <w:lang w:val="en-US"/>
        </w:rPr>
        <w:t>Based on statements made during an interview published in “La Razón” in the context of internal elections,</w:t>
      </w:r>
      <w:r w:rsidR="009C4862" w:rsidRPr="00D869E3">
        <w:rPr>
          <w:rFonts w:ascii="Verdana" w:hAnsi="Verdana"/>
          <w:color w:val="000000"/>
          <w:sz w:val="20"/>
          <w:szCs w:val="20"/>
          <w:lang w:val="en-US"/>
        </w:rPr>
        <w:t xml:space="preserve"> Mr. Lagos del Campo </w:t>
      </w:r>
      <w:r w:rsidR="000F6922" w:rsidRPr="00D869E3">
        <w:rPr>
          <w:rFonts w:ascii="Verdana" w:hAnsi="Verdana"/>
          <w:color w:val="000000"/>
          <w:sz w:val="20"/>
          <w:szCs w:val="20"/>
          <w:lang w:val="en-US"/>
        </w:rPr>
        <w:t xml:space="preserve">was dismissed for having committed a serious verbal offense against </w:t>
      </w:r>
      <w:r w:rsidR="009C4862" w:rsidRPr="00D869E3">
        <w:rPr>
          <w:rFonts w:ascii="Verdana" w:hAnsi="Verdana"/>
          <w:color w:val="000000"/>
          <w:sz w:val="20"/>
          <w:szCs w:val="20"/>
          <w:lang w:val="en-US"/>
        </w:rPr>
        <w:t>his</w:t>
      </w:r>
      <w:r w:rsidR="000F6922" w:rsidRPr="00D869E3">
        <w:rPr>
          <w:rFonts w:ascii="Verdana" w:hAnsi="Verdana"/>
          <w:color w:val="000000"/>
          <w:sz w:val="20"/>
          <w:szCs w:val="20"/>
          <w:lang w:val="en-US"/>
        </w:rPr>
        <w:t xml:space="preserve"> employer</w:t>
      </w:r>
      <w:r w:rsidR="00032FC5" w:rsidRPr="00D869E3">
        <w:rPr>
          <w:rFonts w:ascii="Verdana" w:hAnsi="Verdana"/>
          <w:color w:val="000000"/>
          <w:sz w:val="20"/>
          <w:szCs w:val="20"/>
          <w:lang w:val="en-US"/>
        </w:rPr>
        <w:t xml:space="preserve">. </w:t>
      </w:r>
      <w:r w:rsidR="009C4862" w:rsidRPr="00D869E3">
        <w:rPr>
          <w:rFonts w:ascii="Verdana" w:hAnsi="Verdana"/>
          <w:color w:val="000000"/>
          <w:sz w:val="20"/>
          <w:szCs w:val="20"/>
          <w:lang w:val="en-US"/>
        </w:rPr>
        <w:t>He</w:t>
      </w:r>
      <w:r w:rsidR="00032FC5" w:rsidRPr="00D869E3">
        <w:rPr>
          <w:rFonts w:ascii="Verdana" w:hAnsi="Verdana"/>
          <w:color w:val="000000"/>
          <w:sz w:val="20"/>
          <w:szCs w:val="20"/>
          <w:lang w:val="en-US"/>
        </w:rPr>
        <w:t xml:space="preserve"> </w:t>
      </w:r>
      <w:r w:rsidR="000F6922" w:rsidRPr="00D869E3">
        <w:rPr>
          <w:rFonts w:ascii="Verdana" w:hAnsi="Verdana"/>
          <w:color w:val="000000"/>
          <w:sz w:val="20"/>
          <w:szCs w:val="20"/>
          <w:lang w:val="en-US"/>
        </w:rPr>
        <w:t xml:space="preserve">contested this decision before the competent organs, </w:t>
      </w:r>
      <w:r w:rsidR="00875485" w:rsidRPr="00D869E3">
        <w:rPr>
          <w:rFonts w:ascii="Verdana" w:hAnsi="Verdana"/>
          <w:color w:val="000000"/>
          <w:sz w:val="20"/>
          <w:szCs w:val="20"/>
          <w:lang w:val="en-US"/>
        </w:rPr>
        <w:t xml:space="preserve">but it was </w:t>
      </w:r>
      <w:r w:rsidR="00D329A8" w:rsidRPr="00D869E3">
        <w:rPr>
          <w:rFonts w:ascii="Verdana" w:hAnsi="Verdana"/>
          <w:color w:val="000000"/>
          <w:sz w:val="20"/>
          <w:szCs w:val="20"/>
          <w:lang w:val="en-US"/>
        </w:rPr>
        <w:t>ratifie</w:t>
      </w:r>
      <w:r w:rsidR="00875485" w:rsidRPr="00D869E3">
        <w:rPr>
          <w:rFonts w:ascii="Verdana" w:hAnsi="Verdana"/>
          <w:color w:val="000000"/>
          <w:sz w:val="20"/>
          <w:szCs w:val="20"/>
          <w:lang w:val="en-US"/>
        </w:rPr>
        <w:t xml:space="preserve">d in second instance, considering that he had been dismissed for a justified reason. </w:t>
      </w:r>
      <w:r w:rsidR="009C4862" w:rsidRPr="00D869E3">
        <w:rPr>
          <w:rFonts w:ascii="Verdana" w:hAnsi="Verdana"/>
          <w:color w:val="000000"/>
          <w:sz w:val="20"/>
          <w:szCs w:val="20"/>
          <w:lang w:val="en-US"/>
        </w:rPr>
        <w:t>He appealed this</w:t>
      </w:r>
      <w:r w:rsidR="00875485" w:rsidRPr="00D869E3">
        <w:rPr>
          <w:rFonts w:ascii="Verdana" w:hAnsi="Verdana"/>
          <w:color w:val="000000"/>
          <w:sz w:val="20"/>
          <w:szCs w:val="20"/>
          <w:lang w:val="en-US"/>
        </w:rPr>
        <w:t xml:space="preserve"> decision before various domestic instances, without finding protection, particularly for his right to job security, alleging </w:t>
      </w:r>
      <w:r w:rsidR="009C4862" w:rsidRPr="00D869E3">
        <w:rPr>
          <w:rFonts w:ascii="Verdana" w:hAnsi="Verdana"/>
          <w:color w:val="000000"/>
          <w:sz w:val="20"/>
          <w:szCs w:val="20"/>
          <w:lang w:val="en-US"/>
        </w:rPr>
        <w:t>that the</w:t>
      </w:r>
      <w:r w:rsidR="00875485" w:rsidRPr="00D869E3">
        <w:rPr>
          <w:rFonts w:ascii="Verdana" w:hAnsi="Verdana"/>
          <w:color w:val="000000"/>
          <w:sz w:val="20"/>
          <w:szCs w:val="20"/>
          <w:lang w:val="en-US"/>
        </w:rPr>
        <w:t xml:space="preserve"> reasons for </w:t>
      </w:r>
      <w:r w:rsidR="009C4862" w:rsidRPr="00D869E3">
        <w:rPr>
          <w:rFonts w:ascii="Verdana" w:hAnsi="Verdana"/>
          <w:color w:val="000000"/>
          <w:sz w:val="20"/>
          <w:szCs w:val="20"/>
          <w:lang w:val="en-US"/>
        </w:rPr>
        <w:t>his</w:t>
      </w:r>
      <w:r w:rsidR="00875485" w:rsidRPr="00D869E3">
        <w:rPr>
          <w:rFonts w:ascii="Verdana" w:hAnsi="Verdana"/>
          <w:color w:val="000000"/>
          <w:sz w:val="20"/>
          <w:szCs w:val="20"/>
          <w:lang w:val="en-US"/>
        </w:rPr>
        <w:t xml:space="preserve"> dismissal </w:t>
      </w:r>
      <w:r w:rsidR="009C4862" w:rsidRPr="00D869E3">
        <w:rPr>
          <w:rFonts w:ascii="Verdana" w:hAnsi="Verdana"/>
          <w:color w:val="000000"/>
          <w:sz w:val="20"/>
          <w:szCs w:val="20"/>
          <w:lang w:val="en-US"/>
        </w:rPr>
        <w:t xml:space="preserve">were unjustified </w:t>
      </w:r>
      <w:r w:rsidR="00875485" w:rsidRPr="00D869E3">
        <w:rPr>
          <w:rFonts w:ascii="Verdana" w:hAnsi="Verdana"/>
          <w:color w:val="000000"/>
          <w:sz w:val="20"/>
          <w:szCs w:val="20"/>
          <w:lang w:val="en-US"/>
        </w:rPr>
        <w:t xml:space="preserve">or </w:t>
      </w:r>
      <w:r w:rsidR="009C4862" w:rsidRPr="00D869E3">
        <w:rPr>
          <w:rFonts w:ascii="Verdana" w:hAnsi="Verdana"/>
          <w:color w:val="000000"/>
          <w:sz w:val="20"/>
          <w:szCs w:val="20"/>
          <w:lang w:val="en-US"/>
        </w:rPr>
        <w:t xml:space="preserve">unwarranted </w:t>
      </w:r>
      <w:r w:rsidR="00875485" w:rsidRPr="00D869E3">
        <w:rPr>
          <w:rFonts w:ascii="Verdana" w:hAnsi="Verdana"/>
          <w:color w:val="000000"/>
          <w:sz w:val="20"/>
          <w:szCs w:val="20"/>
          <w:lang w:val="en-US"/>
        </w:rPr>
        <w:t xml:space="preserve">and that due process had been </w:t>
      </w:r>
      <w:r w:rsidR="00A9654F" w:rsidRPr="00D869E3">
        <w:rPr>
          <w:rFonts w:ascii="Verdana" w:hAnsi="Verdana"/>
          <w:color w:val="000000"/>
          <w:sz w:val="20"/>
          <w:szCs w:val="20"/>
          <w:lang w:val="en-US"/>
        </w:rPr>
        <w:t>violat</w:t>
      </w:r>
      <w:r w:rsidR="00875485" w:rsidRPr="00D869E3">
        <w:rPr>
          <w:rFonts w:ascii="Verdana" w:hAnsi="Verdana"/>
          <w:color w:val="000000"/>
          <w:sz w:val="20"/>
          <w:szCs w:val="20"/>
          <w:lang w:val="en-US"/>
        </w:rPr>
        <w:t xml:space="preserve">ed. </w:t>
      </w:r>
      <w:r w:rsidR="00A9654F" w:rsidRPr="00D869E3">
        <w:rPr>
          <w:rFonts w:ascii="Verdana" w:hAnsi="Verdana"/>
          <w:color w:val="000000"/>
          <w:sz w:val="20"/>
          <w:szCs w:val="20"/>
          <w:lang w:val="en-US"/>
        </w:rPr>
        <w:t>That is to say</w:t>
      </w:r>
      <w:r w:rsidR="00875485" w:rsidRPr="00D869E3">
        <w:rPr>
          <w:rFonts w:ascii="Verdana" w:hAnsi="Verdana"/>
          <w:color w:val="000000"/>
          <w:sz w:val="20"/>
          <w:szCs w:val="20"/>
          <w:lang w:val="en-US"/>
        </w:rPr>
        <w:t>, in light of the arbitrary dismissal by the company</w:t>
      </w:r>
      <w:r w:rsidR="00032FC5" w:rsidRPr="00D869E3">
        <w:rPr>
          <w:rFonts w:ascii="Verdana" w:hAnsi="Verdana"/>
          <w:color w:val="000000"/>
          <w:sz w:val="20"/>
          <w:szCs w:val="20"/>
          <w:lang w:val="en-US"/>
        </w:rPr>
        <w:t xml:space="preserve"> (</w:t>
      </w:r>
      <w:r w:rsidR="00032FC5" w:rsidRPr="00D869E3">
        <w:rPr>
          <w:rFonts w:ascii="Verdana" w:hAnsi="Verdana"/>
          <w:i/>
          <w:color w:val="000000"/>
          <w:sz w:val="20"/>
          <w:szCs w:val="20"/>
          <w:lang w:val="en-US"/>
        </w:rPr>
        <w:t>supra</w:t>
      </w:r>
      <w:r w:rsidR="00032FC5" w:rsidRPr="00D869E3">
        <w:rPr>
          <w:rFonts w:ascii="Verdana" w:hAnsi="Verdana"/>
          <w:color w:val="000000"/>
          <w:sz w:val="20"/>
          <w:szCs w:val="20"/>
          <w:lang w:val="en-US"/>
        </w:rPr>
        <w:t xml:space="preserve">, </w:t>
      </w:r>
      <w:r w:rsidR="0087339F" w:rsidRPr="00D869E3">
        <w:rPr>
          <w:rFonts w:ascii="Verdana" w:hAnsi="Verdana"/>
          <w:color w:val="000000"/>
          <w:sz w:val="20"/>
          <w:szCs w:val="20"/>
          <w:lang w:val="en-US"/>
        </w:rPr>
        <w:t>para.</w:t>
      </w:r>
      <w:r w:rsidR="00032FC5" w:rsidRPr="00D869E3">
        <w:rPr>
          <w:rFonts w:ascii="Verdana" w:hAnsi="Verdana"/>
          <w:color w:val="000000"/>
          <w:sz w:val="20"/>
          <w:szCs w:val="20"/>
          <w:lang w:val="en-US"/>
        </w:rPr>
        <w:t xml:space="preserve"> </w:t>
      </w:r>
      <w:r w:rsidR="00D97397" w:rsidRPr="00D869E3">
        <w:rPr>
          <w:rFonts w:ascii="Verdana" w:hAnsi="Verdana"/>
          <w:color w:val="000000"/>
          <w:sz w:val="20"/>
          <w:szCs w:val="20"/>
          <w:lang w:val="en-US"/>
        </w:rPr>
        <w:t>132</w:t>
      </w:r>
      <w:r w:rsidR="00032FC5" w:rsidRPr="00D869E3">
        <w:rPr>
          <w:rFonts w:ascii="Verdana" w:hAnsi="Verdana"/>
          <w:color w:val="000000"/>
          <w:sz w:val="20"/>
          <w:szCs w:val="20"/>
          <w:lang w:val="en-US"/>
        </w:rPr>
        <w:t xml:space="preserve">) </w:t>
      </w:r>
      <w:r w:rsidR="00447C65" w:rsidRPr="00D869E3">
        <w:rPr>
          <w:rFonts w:ascii="Verdana" w:hAnsi="Verdana"/>
          <w:color w:val="000000"/>
          <w:sz w:val="20"/>
          <w:szCs w:val="20"/>
          <w:lang w:val="en-US"/>
        </w:rPr>
        <w:t>the State</w:t>
      </w:r>
      <w:r w:rsidR="00032FC5" w:rsidRPr="00D869E3">
        <w:rPr>
          <w:rFonts w:ascii="Verdana" w:hAnsi="Verdana"/>
          <w:color w:val="000000"/>
          <w:sz w:val="20"/>
          <w:szCs w:val="20"/>
          <w:lang w:val="en-US"/>
        </w:rPr>
        <w:t xml:space="preserve"> </w:t>
      </w:r>
      <w:r w:rsidR="00875485" w:rsidRPr="00D869E3">
        <w:rPr>
          <w:rFonts w:ascii="Verdana" w:hAnsi="Verdana"/>
          <w:color w:val="000000"/>
          <w:sz w:val="20"/>
          <w:szCs w:val="20"/>
          <w:lang w:val="en-US"/>
        </w:rPr>
        <w:t xml:space="preserve">failed to adopt adequate measures to protect the violation of the right to work by third parties. </w:t>
      </w:r>
      <w:r w:rsidR="00A9654F" w:rsidRPr="00D869E3">
        <w:rPr>
          <w:rFonts w:ascii="Verdana" w:hAnsi="Verdana"/>
          <w:color w:val="000000"/>
          <w:sz w:val="20"/>
          <w:szCs w:val="20"/>
          <w:lang w:val="en-US"/>
        </w:rPr>
        <w:t>Thus</w:t>
      </w:r>
      <w:r w:rsidR="00875485" w:rsidRPr="00D869E3">
        <w:rPr>
          <w:rFonts w:ascii="Verdana" w:hAnsi="Verdana"/>
          <w:color w:val="000000"/>
          <w:sz w:val="20"/>
          <w:szCs w:val="20"/>
          <w:lang w:val="en-US"/>
        </w:rPr>
        <w:t xml:space="preserve">, </w:t>
      </w:r>
      <w:r w:rsidR="00A9654F" w:rsidRPr="00D869E3">
        <w:rPr>
          <w:rFonts w:ascii="Verdana" w:hAnsi="Verdana"/>
          <w:color w:val="000000"/>
          <w:sz w:val="20"/>
          <w:szCs w:val="20"/>
          <w:lang w:val="en-US"/>
        </w:rPr>
        <w:t>Mr. Lagos del Campo</w:t>
      </w:r>
      <w:r w:rsidR="00875485" w:rsidRPr="00D869E3">
        <w:rPr>
          <w:rFonts w:ascii="Verdana" w:hAnsi="Verdana"/>
          <w:color w:val="000000"/>
          <w:sz w:val="20"/>
          <w:szCs w:val="20"/>
          <w:lang w:val="en-US"/>
        </w:rPr>
        <w:t xml:space="preserve"> was not reinstated in his job and did not receive any compensation or the corresponding benefits.</w:t>
      </w:r>
    </w:p>
    <w:p w14:paraId="4A09CDEE" w14:textId="77777777" w:rsidR="00032FC5" w:rsidRPr="00D869E3" w:rsidRDefault="00032FC5" w:rsidP="00032FC5">
      <w:pPr>
        <w:contextualSpacing/>
        <w:jc w:val="both"/>
        <w:rPr>
          <w:rFonts w:ascii="Verdana" w:hAnsi="Verdana"/>
          <w:sz w:val="20"/>
          <w:szCs w:val="20"/>
          <w:lang w:val="en-US"/>
        </w:rPr>
      </w:pPr>
    </w:p>
    <w:p w14:paraId="752DF940" w14:textId="721C9C2C" w:rsidR="00032FC5" w:rsidRPr="00D869E3" w:rsidRDefault="00A9654F" w:rsidP="00E66DD7">
      <w:pPr>
        <w:numPr>
          <w:ilvl w:val="0"/>
          <w:numId w:val="1"/>
        </w:numPr>
        <w:ind w:left="0" w:firstLine="0"/>
        <w:contextualSpacing/>
        <w:jc w:val="both"/>
        <w:rPr>
          <w:rFonts w:ascii="Verdana" w:hAnsi="Verdana"/>
          <w:sz w:val="20"/>
          <w:szCs w:val="20"/>
          <w:lang w:val="en-US"/>
        </w:rPr>
      </w:pPr>
      <w:r w:rsidRPr="00D869E3">
        <w:rPr>
          <w:rFonts w:ascii="Verdana" w:hAnsi="Verdana"/>
          <w:sz w:val="20"/>
          <w:szCs w:val="20"/>
          <w:lang w:val="en-US"/>
        </w:rPr>
        <w:t>Consequently</w:t>
      </w:r>
      <w:r w:rsidR="00875485" w:rsidRPr="00D869E3">
        <w:rPr>
          <w:rFonts w:ascii="Verdana" w:hAnsi="Verdana"/>
          <w:sz w:val="20"/>
          <w:szCs w:val="20"/>
          <w:lang w:val="en-US"/>
        </w:rPr>
        <w:t xml:space="preserve">, </w:t>
      </w:r>
      <w:r w:rsidR="001E44D3" w:rsidRPr="00D869E3">
        <w:rPr>
          <w:rFonts w:ascii="Verdana" w:hAnsi="Verdana"/>
          <w:sz w:val="20"/>
          <w:szCs w:val="20"/>
          <w:lang w:val="en-US"/>
        </w:rPr>
        <w:t>Mr. Lagos del Campo</w:t>
      </w:r>
      <w:r w:rsidR="00032FC5" w:rsidRPr="00D869E3">
        <w:rPr>
          <w:rFonts w:ascii="Verdana" w:hAnsi="Verdana"/>
          <w:sz w:val="20"/>
          <w:szCs w:val="20"/>
          <w:lang w:val="en-US"/>
        </w:rPr>
        <w:t xml:space="preserve"> </w:t>
      </w:r>
      <w:r w:rsidR="00875485" w:rsidRPr="00D869E3">
        <w:rPr>
          <w:rFonts w:ascii="Verdana" w:hAnsi="Verdana"/>
          <w:sz w:val="20"/>
          <w:szCs w:val="20"/>
          <w:lang w:val="en-US"/>
        </w:rPr>
        <w:t>lost his job, the possibility of a retirement pensi</w:t>
      </w:r>
      <w:r w:rsidR="00501FE4" w:rsidRPr="00D869E3">
        <w:rPr>
          <w:rFonts w:ascii="Verdana" w:hAnsi="Verdana"/>
          <w:sz w:val="20"/>
          <w:szCs w:val="20"/>
          <w:lang w:val="en-US"/>
        </w:rPr>
        <w:t>o</w:t>
      </w:r>
      <w:r w:rsidR="00875485" w:rsidRPr="00D869E3">
        <w:rPr>
          <w:rFonts w:ascii="Verdana" w:hAnsi="Verdana"/>
          <w:sz w:val="20"/>
          <w:szCs w:val="20"/>
          <w:lang w:val="en-US"/>
        </w:rPr>
        <w:t>n, and also the exercise of his rights as a workers’ representative</w:t>
      </w:r>
      <w:r w:rsidR="00032FC5" w:rsidRPr="00D869E3">
        <w:rPr>
          <w:rFonts w:ascii="Verdana" w:hAnsi="Verdana"/>
          <w:sz w:val="20"/>
          <w:szCs w:val="20"/>
          <w:lang w:val="en-US"/>
        </w:rPr>
        <w:t xml:space="preserve">. </w:t>
      </w:r>
      <w:r w:rsidR="00E679D0" w:rsidRPr="00D869E3">
        <w:rPr>
          <w:rFonts w:ascii="Verdana" w:hAnsi="Verdana"/>
          <w:sz w:val="20"/>
          <w:szCs w:val="20"/>
          <w:lang w:val="en-US"/>
        </w:rPr>
        <w:t xml:space="preserve">This also had an impact on his professional, personal and family life </w:t>
      </w:r>
      <w:r w:rsidR="00032FC5" w:rsidRPr="00D869E3">
        <w:rPr>
          <w:rFonts w:ascii="Verdana" w:hAnsi="Verdana"/>
          <w:sz w:val="20"/>
          <w:szCs w:val="20"/>
          <w:lang w:val="en-US"/>
        </w:rPr>
        <w:t>(</w:t>
      </w:r>
      <w:r w:rsidR="00032FC5" w:rsidRPr="00D869E3">
        <w:rPr>
          <w:rFonts w:ascii="Verdana" w:hAnsi="Verdana"/>
          <w:i/>
          <w:sz w:val="20"/>
          <w:szCs w:val="20"/>
          <w:lang w:val="en-US"/>
        </w:rPr>
        <w:t>supra,</w:t>
      </w:r>
      <w:r w:rsidR="00032FC5" w:rsidRPr="00D869E3">
        <w:rPr>
          <w:rFonts w:ascii="Verdana" w:hAnsi="Verdana"/>
          <w:sz w:val="20"/>
          <w:szCs w:val="20"/>
          <w:lang w:val="en-US"/>
        </w:rPr>
        <w:t xml:space="preserve"> </w:t>
      </w:r>
      <w:r w:rsidR="0087339F" w:rsidRPr="00D869E3">
        <w:rPr>
          <w:rFonts w:ascii="Verdana" w:hAnsi="Verdana"/>
          <w:sz w:val="20"/>
          <w:szCs w:val="20"/>
          <w:lang w:val="en-US"/>
        </w:rPr>
        <w:t>para.</w:t>
      </w:r>
      <w:r w:rsidR="00032FC5" w:rsidRPr="00D869E3">
        <w:rPr>
          <w:rFonts w:ascii="Verdana" w:hAnsi="Verdana"/>
          <w:sz w:val="20"/>
          <w:szCs w:val="20"/>
          <w:lang w:val="en-US"/>
        </w:rPr>
        <w:t xml:space="preserve"> 72). </w:t>
      </w:r>
      <w:r w:rsidR="00075E68" w:rsidRPr="00D869E3">
        <w:rPr>
          <w:rFonts w:ascii="Verdana" w:hAnsi="Verdana"/>
          <w:sz w:val="20"/>
          <w:szCs w:val="20"/>
          <w:lang w:val="en-US"/>
        </w:rPr>
        <w:t>In this regard</w:t>
      </w:r>
      <w:r w:rsidR="00032FC5" w:rsidRPr="00D869E3">
        <w:rPr>
          <w:rFonts w:ascii="Verdana" w:hAnsi="Verdana"/>
          <w:sz w:val="20"/>
          <w:szCs w:val="20"/>
          <w:lang w:val="en-US"/>
        </w:rPr>
        <w:t xml:space="preserve">, </w:t>
      </w:r>
      <w:r w:rsidR="00E679D0" w:rsidRPr="00D869E3">
        <w:rPr>
          <w:rFonts w:ascii="Verdana" w:hAnsi="Verdana"/>
          <w:sz w:val="20"/>
          <w:szCs w:val="20"/>
          <w:lang w:val="en-US"/>
        </w:rPr>
        <w:t>during the</w:t>
      </w:r>
      <w:r w:rsidR="00032FC5" w:rsidRPr="00D869E3">
        <w:rPr>
          <w:rFonts w:ascii="Verdana" w:hAnsi="Verdana"/>
          <w:sz w:val="20"/>
          <w:szCs w:val="20"/>
          <w:lang w:val="en-US"/>
        </w:rPr>
        <w:t xml:space="preserve"> </w:t>
      </w:r>
      <w:r w:rsidR="001E44D3" w:rsidRPr="00D869E3">
        <w:rPr>
          <w:rFonts w:ascii="Verdana" w:hAnsi="Verdana"/>
          <w:sz w:val="20"/>
          <w:szCs w:val="20"/>
          <w:lang w:val="en-US"/>
        </w:rPr>
        <w:t>public hearing</w:t>
      </w:r>
      <w:r w:rsidR="00966115" w:rsidRPr="00D869E3">
        <w:rPr>
          <w:rFonts w:ascii="Verdana" w:hAnsi="Verdana"/>
          <w:sz w:val="20"/>
          <w:szCs w:val="20"/>
          <w:lang w:val="en-US"/>
        </w:rPr>
        <w:t xml:space="preserve"> before the</w:t>
      </w:r>
      <w:r w:rsidR="00447C65" w:rsidRPr="00D869E3">
        <w:rPr>
          <w:rFonts w:ascii="Verdana" w:hAnsi="Verdana"/>
          <w:sz w:val="20"/>
          <w:szCs w:val="20"/>
          <w:lang w:val="en-US"/>
        </w:rPr>
        <w:t xml:space="preserve"> Court</w:t>
      </w:r>
      <w:r w:rsidR="00E679D0" w:rsidRPr="00D869E3">
        <w:rPr>
          <w:rFonts w:ascii="Verdana" w:hAnsi="Verdana"/>
          <w:sz w:val="20"/>
          <w:szCs w:val="20"/>
          <w:lang w:val="en-US"/>
        </w:rPr>
        <w:t>, Mr. Lagos del Campo stated that the following were among the consequences of his dismissal</w:t>
      </w:r>
      <w:r w:rsidR="00032FC5" w:rsidRPr="00D869E3">
        <w:rPr>
          <w:rFonts w:ascii="Verdana" w:hAnsi="Verdana"/>
          <w:sz w:val="20"/>
          <w:szCs w:val="20"/>
          <w:lang w:val="en-US"/>
        </w:rPr>
        <w:t xml:space="preserve">: </w:t>
      </w:r>
    </w:p>
    <w:p w14:paraId="7FC00BA0" w14:textId="6DBB6323" w:rsidR="00032FC5" w:rsidRPr="00D869E3" w:rsidRDefault="000002AB" w:rsidP="00801513">
      <w:pPr>
        <w:tabs>
          <w:tab w:val="left" w:pos="974"/>
        </w:tabs>
        <w:contextualSpacing/>
        <w:jc w:val="both"/>
        <w:rPr>
          <w:rFonts w:ascii="Verdana" w:hAnsi="Verdana"/>
          <w:sz w:val="20"/>
          <w:szCs w:val="20"/>
          <w:lang w:val="en-US"/>
        </w:rPr>
      </w:pPr>
      <w:r w:rsidRPr="00D869E3">
        <w:rPr>
          <w:rFonts w:ascii="Verdana" w:hAnsi="Verdana"/>
          <w:sz w:val="20"/>
          <w:szCs w:val="20"/>
          <w:lang w:val="en-US"/>
        </w:rPr>
        <w:tab/>
      </w:r>
    </w:p>
    <w:p w14:paraId="3C3A25A8" w14:textId="2FED9C33" w:rsidR="00E679D0" w:rsidRPr="00D869E3" w:rsidRDefault="00032FC5" w:rsidP="00032FC5">
      <w:pPr>
        <w:ind w:left="720" w:right="720"/>
        <w:jc w:val="both"/>
        <w:rPr>
          <w:rFonts w:ascii="Verdana" w:hAnsi="Verdana"/>
          <w:sz w:val="18"/>
          <w:szCs w:val="18"/>
          <w:lang w:val="en-US"/>
        </w:rPr>
      </w:pPr>
      <w:r w:rsidRPr="00D869E3">
        <w:rPr>
          <w:rFonts w:ascii="Verdana" w:hAnsi="Verdana"/>
          <w:sz w:val="18"/>
          <w:szCs w:val="18"/>
          <w:lang w:val="en-US"/>
        </w:rPr>
        <w:t>[</w:t>
      </w:r>
      <w:r w:rsidR="00E679D0" w:rsidRPr="00D869E3">
        <w:rPr>
          <w:rFonts w:ascii="Verdana" w:hAnsi="Verdana"/>
          <w:sz w:val="18"/>
          <w:szCs w:val="18"/>
          <w:lang w:val="en-US"/>
        </w:rPr>
        <w:t>He was unable to obtain a pension because,] according to the law, [he needed to work] five more years in order to obtain a decent pension to be able to survive; but all that was violated because [he] did not meet the requirement of the President’s law. […] During th</w:t>
      </w:r>
      <w:r w:rsidR="00A9654F" w:rsidRPr="00D869E3">
        <w:rPr>
          <w:rFonts w:ascii="Verdana" w:hAnsi="Verdana"/>
          <w:sz w:val="18"/>
          <w:szCs w:val="18"/>
          <w:lang w:val="en-US"/>
        </w:rPr>
        <w:t>at Government’s</w:t>
      </w:r>
      <w:r w:rsidR="00E679D0" w:rsidRPr="00D869E3">
        <w:rPr>
          <w:rFonts w:ascii="Verdana" w:hAnsi="Verdana"/>
          <w:sz w:val="18"/>
          <w:szCs w:val="18"/>
          <w:lang w:val="en-US"/>
        </w:rPr>
        <w:t xml:space="preserve"> dictatorship […]</w:t>
      </w:r>
      <w:r w:rsidR="00A9654F" w:rsidRPr="00D869E3">
        <w:rPr>
          <w:rFonts w:ascii="Verdana" w:hAnsi="Verdana"/>
          <w:sz w:val="18"/>
          <w:szCs w:val="18"/>
          <w:lang w:val="en-US"/>
        </w:rPr>
        <w:t>, u</w:t>
      </w:r>
      <w:r w:rsidR="00E679D0" w:rsidRPr="00D869E3">
        <w:rPr>
          <w:rFonts w:ascii="Verdana" w:hAnsi="Verdana"/>
          <w:sz w:val="18"/>
          <w:szCs w:val="18"/>
          <w:lang w:val="en-US"/>
        </w:rPr>
        <w:t>nfortunately, any citizen or worker who was over 50 years of age no longer had access to any company or well-paid job.</w:t>
      </w:r>
      <w:r w:rsidR="005C675A" w:rsidRPr="00D869E3">
        <w:rPr>
          <w:rFonts w:ascii="Verdana" w:hAnsi="Verdana"/>
          <w:sz w:val="18"/>
          <w:szCs w:val="18"/>
          <w:lang w:val="en-US"/>
        </w:rPr>
        <w:t xml:space="preserve"> [… Furthermore,] after so many long years of suffering, of trying to obtain justice at the national level, </w:t>
      </w:r>
      <w:r w:rsidR="00A9654F" w:rsidRPr="00D869E3">
        <w:rPr>
          <w:rFonts w:ascii="Verdana" w:hAnsi="Verdana"/>
          <w:sz w:val="18"/>
          <w:szCs w:val="18"/>
          <w:lang w:val="en-US"/>
        </w:rPr>
        <w:t>during</w:t>
      </w:r>
      <w:r w:rsidR="005C675A" w:rsidRPr="00D869E3">
        <w:rPr>
          <w:rFonts w:ascii="Verdana" w:hAnsi="Verdana"/>
          <w:sz w:val="18"/>
          <w:szCs w:val="18"/>
          <w:lang w:val="en-US"/>
        </w:rPr>
        <w:t xml:space="preserve"> this international case, […, in 2015, he had] experienced [health problems].</w:t>
      </w:r>
    </w:p>
    <w:p w14:paraId="3E556B3B" w14:textId="77777777" w:rsidR="00032FC5" w:rsidRPr="00D869E3" w:rsidRDefault="00032FC5" w:rsidP="00032FC5">
      <w:pPr>
        <w:ind w:left="720" w:right="720"/>
        <w:jc w:val="both"/>
        <w:rPr>
          <w:rFonts w:ascii="Verdana" w:hAnsi="Verdana"/>
          <w:sz w:val="18"/>
          <w:szCs w:val="18"/>
          <w:lang w:val="en-US"/>
        </w:rPr>
      </w:pPr>
    </w:p>
    <w:p w14:paraId="2C2F610A" w14:textId="33E3EF3B" w:rsidR="0059018A" w:rsidRPr="00D869E3" w:rsidRDefault="005C675A" w:rsidP="005C675A">
      <w:pPr>
        <w:numPr>
          <w:ilvl w:val="0"/>
          <w:numId w:val="1"/>
        </w:numPr>
        <w:ind w:left="0" w:firstLine="0"/>
        <w:contextualSpacing/>
        <w:jc w:val="both"/>
        <w:rPr>
          <w:rFonts w:ascii="Verdana" w:hAnsi="Verdana"/>
          <w:sz w:val="20"/>
          <w:szCs w:val="20"/>
          <w:lang w:val="en-US"/>
        </w:rPr>
      </w:pPr>
      <w:r w:rsidRPr="00D869E3">
        <w:rPr>
          <w:rFonts w:ascii="Verdana" w:hAnsi="Verdana"/>
          <w:color w:val="000000"/>
          <w:sz w:val="20"/>
          <w:szCs w:val="20"/>
          <w:lang w:val="en-US"/>
        </w:rPr>
        <w:t xml:space="preserve">Based on the foregoing, the Court concludes that, owing to his arbitrary dismissal, </w:t>
      </w:r>
      <w:r w:rsidR="00E6309B" w:rsidRPr="00D869E3">
        <w:rPr>
          <w:rFonts w:ascii="Verdana" w:hAnsi="Verdana"/>
          <w:color w:val="000000"/>
          <w:sz w:val="20"/>
          <w:szCs w:val="20"/>
          <w:lang w:val="en-US"/>
        </w:rPr>
        <w:t>Mr.</w:t>
      </w:r>
      <w:r w:rsidR="001E44D3" w:rsidRPr="00D869E3">
        <w:rPr>
          <w:rFonts w:ascii="Verdana" w:hAnsi="Verdana"/>
          <w:color w:val="000000"/>
          <w:sz w:val="20"/>
          <w:szCs w:val="20"/>
          <w:lang w:val="en-US"/>
        </w:rPr>
        <w:t xml:space="preserve"> Lagos del Campo</w:t>
      </w:r>
      <w:r w:rsidRPr="00D869E3">
        <w:rPr>
          <w:rFonts w:ascii="Verdana" w:hAnsi="Verdana"/>
          <w:color w:val="000000"/>
          <w:sz w:val="20"/>
          <w:szCs w:val="20"/>
          <w:lang w:val="en-US"/>
        </w:rPr>
        <w:t xml:space="preserve"> was deprived of his employment and other benefits resulting from social security</w:t>
      </w:r>
      <w:r w:rsidR="00A9654F" w:rsidRPr="00D869E3">
        <w:rPr>
          <w:rFonts w:ascii="Verdana" w:hAnsi="Verdana"/>
          <w:color w:val="000000"/>
          <w:sz w:val="20"/>
          <w:szCs w:val="20"/>
          <w:lang w:val="en-US"/>
        </w:rPr>
        <w:t>.</w:t>
      </w:r>
      <w:r w:rsidRPr="00D869E3">
        <w:rPr>
          <w:rFonts w:ascii="Verdana" w:hAnsi="Verdana"/>
          <w:color w:val="000000"/>
          <w:sz w:val="20"/>
          <w:szCs w:val="20"/>
          <w:lang w:val="en-US"/>
        </w:rPr>
        <w:t xml:space="preserve"> </w:t>
      </w:r>
      <w:r w:rsidR="00A9654F" w:rsidRPr="00D869E3">
        <w:rPr>
          <w:rFonts w:ascii="Verdana" w:hAnsi="Verdana"/>
          <w:color w:val="000000"/>
          <w:sz w:val="20"/>
          <w:szCs w:val="20"/>
          <w:lang w:val="en-US"/>
        </w:rPr>
        <w:t>T</w:t>
      </w:r>
      <w:r w:rsidRPr="00D869E3">
        <w:rPr>
          <w:rFonts w:ascii="Verdana" w:hAnsi="Verdana"/>
          <w:color w:val="000000"/>
          <w:sz w:val="20"/>
          <w:szCs w:val="20"/>
          <w:lang w:val="en-US"/>
        </w:rPr>
        <w:t xml:space="preserve">herefore, the Peruvian State failed to protect his right to job security, in interpretation </w:t>
      </w:r>
      <w:r w:rsidR="00687684" w:rsidRPr="00D869E3">
        <w:rPr>
          <w:rFonts w:ascii="Verdana" w:hAnsi="Verdana"/>
          <w:color w:val="000000"/>
          <w:sz w:val="20"/>
          <w:szCs w:val="20"/>
          <w:lang w:val="en-US"/>
        </w:rPr>
        <w:t>of Article</w:t>
      </w:r>
      <w:r w:rsidR="00CB7CCB" w:rsidRPr="00D869E3">
        <w:rPr>
          <w:rFonts w:ascii="Verdana" w:hAnsi="Verdana"/>
          <w:color w:val="000000"/>
          <w:sz w:val="20"/>
          <w:szCs w:val="20"/>
          <w:lang w:val="en-US"/>
        </w:rPr>
        <w:t xml:space="preserve"> 26</w:t>
      </w:r>
      <w:r w:rsidR="00447C65" w:rsidRPr="00D869E3">
        <w:rPr>
          <w:rFonts w:ascii="Verdana" w:hAnsi="Verdana"/>
          <w:color w:val="000000"/>
          <w:sz w:val="20"/>
          <w:szCs w:val="20"/>
          <w:lang w:val="en-US"/>
        </w:rPr>
        <w:t xml:space="preserve"> of the American Convention</w:t>
      </w:r>
      <w:r w:rsidR="00CB7CCB" w:rsidRPr="00D869E3">
        <w:rPr>
          <w:rFonts w:ascii="Verdana" w:hAnsi="Verdana"/>
          <w:color w:val="000000"/>
          <w:sz w:val="20"/>
          <w:szCs w:val="20"/>
          <w:lang w:val="en-US"/>
        </w:rPr>
        <w:t xml:space="preserve">, </w:t>
      </w:r>
      <w:r w:rsidR="00BB61A6" w:rsidRPr="00D869E3">
        <w:rPr>
          <w:rFonts w:ascii="Verdana" w:hAnsi="Verdana"/>
          <w:color w:val="000000"/>
          <w:sz w:val="20"/>
          <w:szCs w:val="20"/>
          <w:lang w:val="en-US"/>
        </w:rPr>
        <w:t>in relation to</w:t>
      </w:r>
      <w:r w:rsidR="00CB7CCB" w:rsidRPr="00D869E3">
        <w:rPr>
          <w:rFonts w:ascii="Verdana" w:hAnsi="Verdana"/>
          <w:color w:val="000000"/>
          <w:sz w:val="20"/>
          <w:szCs w:val="20"/>
          <w:lang w:val="en-US"/>
        </w:rPr>
        <w:t xml:space="preserve"> </w:t>
      </w:r>
      <w:r w:rsidR="00687684" w:rsidRPr="00D869E3">
        <w:rPr>
          <w:rFonts w:ascii="Verdana" w:hAnsi="Verdana"/>
          <w:color w:val="000000"/>
          <w:sz w:val="20"/>
          <w:szCs w:val="20"/>
          <w:lang w:val="en-US"/>
        </w:rPr>
        <w:t>Articles 1(1)</w:t>
      </w:r>
      <w:r w:rsidR="00E606B9" w:rsidRPr="00D869E3">
        <w:rPr>
          <w:rFonts w:ascii="Verdana" w:hAnsi="Verdana"/>
          <w:color w:val="000000"/>
          <w:sz w:val="20"/>
          <w:szCs w:val="20"/>
          <w:lang w:val="en-US"/>
        </w:rPr>
        <w:t xml:space="preserve">, 13, </w:t>
      </w:r>
      <w:r w:rsidR="00CB7CCB" w:rsidRPr="00D869E3">
        <w:rPr>
          <w:rFonts w:ascii="Verdana" w:hAnsi="Verdana"/>
          <w:color w:val="000000"/>
          <w:sz w:val="20"/>
          <w:szCs w:val="20"/>
          <w:lang w:val="en-US"/>
        </w:rPr>
        <w:t>8</w:t>
      </w:r>
      <w:r w:rsidR="00687684" w:rsidRPr="00D869E3">
        <w:rPr>
          <w:rFonts w:ascii="Verdana" w:hAnsi="Verdana"/>
          <w:color w:val="000000"/>
          <w:sz w:val="20"/>
          <w:szCs w:val="20"/>
          <w:lang w:val="en-US"/>
        </w:rPr>
        <w:t xml:space="preserve"> and </w:t>
      </w:r>
      <w:r w:rsidR="00E606B9" w:rsidRPr="00D869E3">
        <w:rPr>
          <w:rFonts w:ascii="Verdana" w:hAnsi="Verdana"/>
          <w:color w:val="000000"/>
          <w:sz w:val="20"/>
          <w:szCs w:val="20"/>
          <w:lang w:val="en-US"/>
        </w:rPr>
        <w:t>16</w:t>
      </w:r>
      <w:r w:rsidR="00CB7CCB" w:rsidRPr="00D869E3">
        <w:rPr>
          <w:rFonts w:ascii="Verdana" w:hAnsi="Verdana"/>
          <w:color w:val="000000"/>
          <w:sz w:val="20"/>
          <w:szCs w:val="20"/>
          <w:lang w:val="en-US"/>
        </w:rPr>
        <w:t xml:space="preserve"> </w:t>
      </w:r>
      <w:r w:rsidR="00351902" w:rsidRPr="00D869E3">
        <w:rPr>
          <w:rFonts w:ascii="Verdana" w:hAnsi="Verdana"/>
          <w:color w:val="000000"/>
          <w:sz w:val="20"/>
          <w:szCs w:val="20"/>
          <w:lang w:val="en-US"/>
        </w:rPr>
        <w:t>of this instrument</w:t>
      </w:r>
      <w:r w:rsidR="00CB7CCB" w:rsidRPr="00D869E3">
        <w:rPr>
          <w:rFonts w:ascii="Verdana" w:hAnsi="Verdana"/>
          <w:color w:val="000000"/>
          <w:sz w:val="20"/>
          <w:szCs w:val="20"/>
          <w:lang w:val="en-US"/>
        </w:rPr>
        <w:t xml:space="preserve">, </w:t>
      </w:r>
      <w:r w:rsidRPr="00D869E3">
        <w:rPr>
          <w:rFonts w:ascii="Verdana" w:hAnsi="Verdana"/>
          <w:color w:val="000000"/>
          <w:sz w:val="20"/>
          <w:szCs w:val="20"/>
          <w:lang w:val="en-US"/>
        </w:rPr>
        <w:t>to the detriment of</w:t>
      </w:r>
      <w:r w:rsidR="00687684" w:rsidRPr="00D869E3">
        <w:rPr>
          <w:rFonts w:ascii="Verdana" w:hAnsi="Verdana"/>
          <w:color w:val="000000"/>
          <w:sz w:val="20"/>
          <w:szCs w:val="20"/>
          <w:lang w:val="en-US"/>
        </w:rPr>
        <w:t xml:space="preserve"> Mr. Lagos</w:t>
      </w:r>
      <w:r w:rsidR="00CB7CCB" w:rsidRPr="00D869E3">
        <w:rPr>
          <w:rFonts w:ascii="Verdana" w:hAnsi="Verdana"/>
          <w:color w:val="000000"/>
          <w:sz w:val="20"/>
          <w:szCs w:val="20"/>
          <w:lang w:val="en-US"/>
        </w:rPr>
        <w:t xml:space="preserve"> del Campo</w:t>
      </w:r>
      <w:r w:rsidR="00E606B9" w:rsidRPr="00D869E3">
        <w:rPr>
          <w:rFonts w:ascii="Verdana" w:hAnsi="Verdana"/>
          <w:color w:val="000000"/>
          <w:sz w:val="20"/>
          <w:szCs w:val="20"/>
          <w:lang w:val="en-US"/>
        </w:rPr>
        <w:t>.</w:t>
      </w:r>
    </w:p>
    <w:p w14:paraId="32995751" w14:textId="6179199B" w:rsidR="0059018A" w:rsidRPr="00D869E3" w:rsidRDefault="00CB7CCB" w:rsidP="00801513">
      <w:pPr>
        <w:contextualSpacing/>
        <w:jc w:val="both"/>
        <w:rPr>
          <w:rFonts w:ascii="Verdana" w:hAnsi="Verdana"/>
          <w:b/>
          <w:sz w:val="20"/>
          <w:szCs w:val="20"/>
          <w:lang w:val="en-US"/>
        </w:rPr>
      </w:pPr>
      <w:r w:rsidRPr="00D869E3" w:rsidDel="00CB7CCB">
        <w:rPr>
          <w:rFonts w:ascii="Verdana" w:hAnsi="Verdana"/>
          <w:b/>
          <w:color w:val="000000"/>
          <w:sz w:val="20"/>
          <w:szCs w:val="20"/>
          <w:lang w:val="en-US"/>
        </w:rPr>
        <w:t xml:space="preserve"> </w:t>
      </w:r>
    </w:p>
    <w:p w14:paraId="4532E36C" w14:textId="1AB31690" w:rsidR="00793256" w:rsidRPr="00D869E3" w:rsidRDefault="005C675A" w:rsidP="005C675A">
      <w:pPr>
        <w:numPr>
          <w:ilvl w:val="0"/>
          <w:numId w:val="1"/>
        </w:numPr>
        <w:ind w:left="0" w:firstLine="0"/>
        <w:contextualSpacing/>
        <w:jc w:val="both"/>
        <w:rPr>
          <w:rFonts w:ascii="Verdana" w:hAnsi="Verdana"/>
          <w:bCs/>
          <w:sz w:val="20"/>
          <w:szCs w:val="20"/>
          <w:lang w:val="en-US"/>
        </w:rPr>
      </w:pPr>
      <w:r w:rsidRPr="00D869E3">
        <w:rPr>
          <w:rFonts w:ascii="Verdana" w:hAnsi="Verdana"/>
          <w:color w:val="000000"/>
          <w:sz w:val="20"/>
          <w:szCs w:val="20"/>
          <w:lang w:val="en-US"/>
        </w:rPr>
        <w:t xml:space="preserve">Lastly, it should be pointed out that </w:t>
      </w:r>
      <w:r w:rsidR="00447C65" w:rsidRPr="00D869E3">
        <w:rPr>
          <w:rFonts w:ascii="Verdana" w:hAnsi="Verdana"/>
          <w:bCs/>
          <w:color w:val="000000"/>
          <w:sz w:val="20"/>
          <w:szCs w:val="20"/>
          <w:lang w:val="en-US"/>
        </w:rPr>
        <w:t>the Court</w:t>
      </w:r>
      <w:r w:rsidR="00793256" w:rsidRPr="00D869E3">
        <w:rPr>
          <w:rFonts w:ascii="Verdana" w:hAnsi="Verdana"/>
          <w:bCs/>
          <w:color w:val="000000"/>
          <w:sz w:val="20"/>
          <w:szCs w:val="20"/>
          <w:lang w:val="en-US"/>
        </w:rPr>
        <w:t xml:space="preserve"> </w:t>
      </w:r>
      <w:r w:rsidR="00793256" w:rsidRPr="00D869E3">
        <w:rPr>
          <w:rFonts w:ascii="Verdana" w:hAnsi="Verdana"/>
          <w:bCs/>
          <w:sz w:val="20"/>
          <w:szCs w:val="20"/>
          <w:lang w:val="en-US"/>
        </w:rPr>
        <w:t>ha</w:t>
      </w:r>
      <w:r w:rsidRPr="00D869E3">
        <w:rPr>
          <w:rFonts w:ascii="Verdana" w:hAnsi="Verdana"/>
          <w:bCs/>
          <w:sz w:val="20"/>
          <w:szCs w:val="20"/>
          <w:lang w:val="en-US"/>
        </w:rPr>
        <w:t>s established previously that it has jurisdiction to examine and decide disputes relating to</w:t>
      </w:r>
      <w:r w:rsidR="00793256" w:rsidRPr="00D869E3">
        <w:rPr>
          <w:rFonts w:ascii="Verdana" w:hAnsi="Verdana"/>
          <w:bCs/>
          <w:sz w:val="20"/>
          <w:szCs w:val="20"/>
          <w:lang w:val="en-US"/>
        </w:rPr>
        <w:t xml:space="preserve"> </w:t>
      </w:r>
      <w:r w:rsidR="00447C65" w:rsidRPr="00D869E3">
        <w:rPr>
          <w:rFonts w:ascii="Verdana" w:hAnsi="Verdana"/>
          <w:bCs/>
          <w:sz w:val="20"/>
          <w:szCs w:val="20"/>
          <w:lang w:val="en-US"/>
        </w:rPr>
        <w:t>Article</w:t>
      </w:r>
      <w:r w:rsidR="00793256" w:rsidRPr="00D869E3">
        <w:rPr>
          <w:rFonts w:ascii="Verdana" w:hAnsi="Verdana"/>
          <w:bCs/>
          <w:sz w:val="20"/>
          <w:szCs w:val="20"/>
          <w:lang w:val="en-US"/>
        </w:rPr>
        <w:t xml:space="preserve"> 26</w:t>
      </w:r>
      <w:r w:rsidR="00447C65" w:rsidRPr="00D869E3">
        <w:rPr>
          <w:rFonts w:ascii="Verdana" w:hAnsi="Verdana"/>
          <w:bCs/>
          <w:sz w:val="20"/>
          <w:szCs w:val="20"/>
          <w:lang w:val="en-US"/>
        </w:rPr>
        <w:t xml:space="preserve"> of the American Convention</w:t>
      </w:r>
      <w:r w:rsidR="00793256" w:rsidRPr="00D869E3">
        <w:rPr>
          <w:rFonts w:ascii="Verdana" w:hAnsi="Verdana"/>
          <w:bCs/>
          <w:sz w:val="20"/>
          <w:szCs w:val="20"/>
          <w:lang w:val="en-US"/>
        </w:rPr>
        <w:t xml:space="preserve">, </w:t>
      </w:r>
      <w:r w:rsidRPr="00D869E3">
        <w:rPr>
          <w:rFonts w:ascii="Verdana" w:hAnsi="Verdana"/>
          <w:bCs/>
          <w:sz w:val="20"/>
          <w:szCs w:val="20"/>
          <w:lang w:val="en-US"/>
        </w:rPr>
        <w:t>as an integral part of the rights named in it</w:t>
      </w:r>
      <w:r w:rsidR="00A9654F" w:rsidRPr="00D869E3">
        <w:rPr>
          <w:rFonts w:ascii="Verdana" w:hAnsi="Verdana"/>
          <w:bCs/>
          <w:sz w:val="20"/>
          <w:szCs w:val="20"/>
          <w:lang w:val="en-US"/>
        </w:rPr>
        <w:t xml:space="preserve"> and, regarding</w:t>
      </w:r>
      <w:r w:rsidRPr="00D869E3">
        <w:rPr>
          <w:rFonts w:ascii="Verdana" w:hAnsi="Verdana"/>
          <w:bCs/>
          <w:sz w:val="20"/>
          <w:szCs w:val="20"/>
          <w:lang w:val="en-US"/>
        </w:rPr>
        <w:t xml:space="preserve"> which</w:t>
      </w:r>
      <w:r w:rsidR="00A9654F" w:rsidRPr="00D869E3">
        <w:rPr>
          <w:rFonts w:ascii="Verdana" w:hAnsi="Verdana"/>
          <w:bCs/>
          <w:sz w:val="20"/>
          <w:szCs w:val="20"/>
          <w:lang w:val="en-US"/>
        </w:rPr>
        <w:t>,</w:t>
      </w:r>
      <w:r w:rsidRPr="00D869E3">
        <w:rPr>
          <w:rFonts w:ascii="Verdana" w:hAnsi="Verdana"/>
          <w:bCs/>
          <w:sz w:val="20"/>
          <w:szCs w:val="20"/>
          <w:lang w:val="en-US"/>
        </w:rPr>
        <w:t xml:space="preserve"> </w:t>
      </w:r>
      <w:r w:rsidR="00687684" w:rsidRPr="00D869E3">
        <w:rPr>
          <w:rFonts w:ascii="Verdana" w:hAnsi="Verdana"/>
          <w:bCs/>
          <w:sz w:val="20"/>
          <w:szCs w:val="20"/>
          <w:lang w:val="en-US"/>
        </w:rPr>
        <w:t>Article 1(1)</w:t>
      </w:r>
      <w:r w:rsidR="00793256" w:rsidRPr="00D869E3">
        <w:rPr>
          <w:rFonts w:ascii="Verdana" w:hAnsi="Verdana"/>
          <w:bCs/>
          <w:sz w:val="20"/>
          <w:szCs w:val="20"/>
          <w:lang w:val="en-US"/>
        </w:rPr>
        <w:t xml:space="preserve"> </w:t>
      </w:r>
      <w:r w:rsidR="00A9654F" w:rsidRPr="00D869E3">
        <w:rPr>
          <w:rFonts w:ascii="Verdana" w:hAnsi="Verdana"/>
          <w:bCs/>
          <w:sz w:val="20"/>
          <w:szCs w:val="20"/>
          <w:lang w:val="en-US"/>
        </w:rPr>
        <w:t>establishes</w:t>
      </w:r>
      <w:r w:rsidRPr="00D869E3">
        <w:rPr>
          <w:rFonts w:ascii="Verdana" w:hAnsi="Verdana"/>
          <w:bCs/>
          <w:sz w:val="20"/>
          <w:szCs w:val="20"/>
          <w:lang w:val="en-US"/>
        </w:rPr>
        <w:t xml:space="preserve"> the general obligations</w:t>
      </w:r>
      <w:r w:rsidR="00A9654F" w:rsidRPr="00D869E3">
        <w:rPr>
          <w:rFonts w:ascii="Verdana" w:hAnsi="Verdana"/>
          <w:bCs/>
          <w:sz w:val="20"/>
          <w:szCs w:val="20"/>
          <w:lang w:val="en-US"/>
        </w:rPr>
        <w:t xml:space="preserve"> of the States</w:t>
      </w:r>
      <w:r w:rsidRPr="00D869E3">
        <w:rPr>
          <w:rFonts w:ascii="Verdana" w:hAnsi="Verdana"/>
          <w:bCs/>
          <w:sz w:val="20"/>
          <w:szCs w:val="20"/>
          <w:lang w:val="en-US"/>
        </w:rPr>
        <w:t xml:space="preserve"> to respect and to ensure rights </w:t>
      </w:r>
      <w:r w:rsidR="00793256" w:rsidRPr="00D869E3">
        <w:rPr>
          <w:rFonts w:ascii="Verdana" w:hAnsi="Verdana"/>
          <w:bCs/>
          <w:sz w:val="20"/>
          <w:szCs w:val="20"/>
          <w:lang w:val="en-US"/>
        </w:rPr>
        <w:t>(</w:t>
      </w:r>
      <w:r w:rsidR="00793256" w:rsidRPr="00D869E3">
        <w:rPr>
          <w:rFonts w:ascii="Verdana" w:hAnsi="Verdana"/>
          <w:bCs/>
          <w:i/>
          <w:iCs/>
          <w:sz w:val="20"/>
          <w:szCs w:val="20"/>
          <w:lang w:val="en-US"/>
        </w:rPr>
        <w:t xml:space="preserve">supra </w:t>
      </w:r>
      <w:r w:rsidR="0087339F" w:rsidRPr="00D869E3">
        <w:rPr>
          <w:rFonts w:ascii="Verdana" w:hAnsi="Verdana"/>
          <w:bCs/>
          <w:sz w:val="20"/>
          <w:szCs w:val="20"/>
          <w:lang w:val="en-US"/>
        </w:rPr>
        <w:t>para.</w:t>
      </w:r>
      <w:r w:rsidR="00793256" w:rsidRPr="00D869E3">
        <w:rPr>
          <w:rFonts w:ascii="Verdana" w:hAnsi="Verdana"/>
          <w:bCs/>
          <w:sz w:val="20"/>
          <w:szCs w:val="20"/>
          <w:lang w:val="en-US"/>
        </w:rPr>
        <w:t xml:space="preserve"> </w:t>
      </w:r>
      <w:r w:rsidR="008638D8" w:rsidRPr="00D869E3">
        <w:rPr>
          <w:rFonts w:ascii="Verdana" w:hAnsi="Verdana"/>
          <w:bCs/>
          <w:sz w:val="20"/>
          <w:szCs w:val="20"/>
          <w:lang w:val="en-US"/>
        </w:rPr>
        <w:t>1</w:t>
      </w:r>
      <w:r w:rsidR="00B31162" w:rsidRPr="00D869E3">
        <w:rPr>
          <w:rFonts w:ascii="Verdana" w:hAnsi="Verdana"/>
          <w:bCs/>
          <w:sz w:val="20"/>
          <w:szCs w:val="20"/>
          <w:lang w:val="en-US"/>
        </w:rPr>
        <w:t>42</w:t>
      </w:r>
      <w:r w:rsidR="00793256" w:rsidRPr="00D869E3">
        <w:rPr>
          <w:rFonts w:ascii="Verdana" w:hAnsi="Verdana"/>
          <w:bCs/>
          <w:sz w:val="20"/>
          <w:szCs w:val="20"/>
          <w:lang w:val="en-US"/>
        </w:rPr>
        <w:t xml:space="preserve">). </w:t>
      </w:r>
      <w:r w:rsidRPr="00D869E3">
        <w:rPr>
          <w:rFonts w:ascii="Verdana" w:hAnsi="Verdana"/>
          <w:bCs/>
          <w:sz w:val="20"/>
          <w:szCs w:val="20"/>
          <w:lang w:val="en-US"/>
        </w:rPr>
        <w:t>The</w:t>
      </w:r>
      <w:r w:rsidR="00447C65" w:rsidRPr="00D869E3">
        <w:rPr>
          <w:rFonts w:ascii="Verdana" w:hAnsi="Verdana"/>
          <w:bCs/>
          <w:sz w:val="20"/>
          <w:szCs w:val="20"/>
          <w:lang w:val="en-US"/>
        </w:rPr>
        <w:t xml:space="preserve"> Court</w:t>
      </w:r>
      <w:r w:rsidR="00793256" w:rsidRPr="00D869E3">
        <w:rPr>
          <w:rFonts w:ascii="Verdana" w:hAnsi="Verdana"/>
          <w:bCs/>
          <w:sz w:val="20"/>
          <w:szCs w:val="20"/>
          <w:lang w:val="en-US"/>
        </w:rPr>
        <w:t xml:space="preserve"> ha</w:t>
      </w:r>
      <w:r w:rsidRPr="00D869E3">
        <w:rPr>
          <w:rFonts w:ascii="Verdana" w:hAnsi="Verdana"/>
          <w:bCs/>
          <w:sz w:val="20"/>
          <w:szCs w:val="20"/>
          <w:lang w:val="en-US"/>
        </w:rPr>
        <w:t>s also developed important case law on this matter, in light of different articles of the Convention. On this basis, th</w:t>
      </w:r>
      <w:r w:rsidR="00A9654F" w:rsidRPr="00D869E3">
        <w:rPr>
          <w:rFonts w:ascii="Verdana" w:hAnsi="Verdana"/>
          <w:bCs/>
          <w:sz w:val="20"/>
          <w:szCs w:val="20"/>
          <w:lang w:val="en-US"/>
        </w:rPr>
        <w:t>e present</w:t>
      </w:r>
      <w:r w:rsidRPr="00D869E3">
        <w:rPr>
          <w:rFonts w:ascii="Verdana" w:hAnsi="Verdana"/>
          <w:bCs/>
          <w:sz w:val="20"/>
          <w:szCs w:val="20"/>
          <w:lang w:val="en-US"/>
        </w:rPr>
        <w:t xml:space="preserve"> judgment develops and substantiates a specific </w:t>
      </w:r>
      <w:r w:rsidR="00FE7426" w:rsidRPr="00D869E3">
        <w:rPr>
          <w:rFonts w:ascii="Verdana" w:hAnsi="Verdana"/>
          <w:bCs/>
          <w:sz w:val="20"/>
          <w:szCs w:val="20"/>
          <w:lang w:val="en-US"/>
        </w:rPr>
        <w:lastRenderedPageBreak/>
        <w:t>condemnation</w:t>
      </w:r>
      <w:r w:rsidRPr="00D869E3">
        <w:rPr>
          <w:rFonts w:ascii="Verdana" w:hAnsi="Verdana"/>
          <w:bCs/>
          <w:sz w:val="20"/>
          <w:szCs w:val="20"/>
          <w:lang w:val="en-US"/>
        </w:rPr>
        <w:t xml:space="preserve"> for </w:t>
      </w:r>
      <w:r w:rsidR="007013E2" w:rsidRPr="00D869E3">
        <w:rPr>
          <w:rFonts w:ascii="Verdana" w:hAnsi="Verdana"/>
          <w:bCs/>
          <w:sz w:val="20"/>
          <w:szCs w:val="20"/>
          <w:lang w:val="en-US"/>
        </w:rPr>
        <w:t>the violation</w:t>
      </w:r>
      <w:r w:rsidR="00793256" w:rsidRPr="00D869E3">
        <w:rPr>
          <w:rFonts w:ascii="Verdana" w:hAnsi="Verdana"/>
          <w:bCs/>
          <w:sz w:val="20"/>
          <w:szCs w:val="20"/>
          <w:lang w:val="en-US"/>
        </w:rPr>
        <w:t xml:space="preserve"> </w:t>
      </w:r>
      <w:r w:rsidR="00687684" w:rsidRPr="00D869E3">
        <w:rPr>
          <w:rFonts w:ascii="Verdana" w:hAnsi="Verdana"/>
          <w:bCs/>
          <w:sz w:val="20"/>
          <w:szCs w:val="20"/>
          <w:lang w:val="en-US"/>
        </w:rPr>
        <w:t>of Article</w:t>
      </w:r>
      <w:r w:rsidR="00793256" w:rsidRPr="00D869E3">
        <w:rPr>
          <w:rFonts w:ascii="Verdana" w:hAnsi="Verdana"/>
          <w:bCs/>
          <w:sz w:val="20"/>
          <w:szCs w:val="20"/>
          <w:lang w:val="en-US"/>
        </w:rPr>
        <w:t xml:space="preserve"> 26</w:t>
      </w:r>
      <w:r w:rsidR="00447C65" w:rsidRPr="00D869E3">
        <w:rPr>
          <w:rFonts w:ascii="Verdana" w:hAnsi="Verdana"/>
          <w:bCs/>
          <w:sz w:val="20"/>
          <w:szCs w:val="20"/>
          <w:lang w:val="en-US"/>
        </w:rPr>
        <w:t xml:space="preserve"> of the American Convention on Human Rights</w:t>
      </w:r>
      <w:r w:rsidR="00793256" w:rsidRPr="00D869E3">
        <w:rPr>
          <w:rFonts w:ascii="Verdana" w:hAnsi="Verdana"/>
          <w:bCs/>
          <w:sz w:val="20"/>
          <w:szCs w:val="20"/>
          <w:lang w:val="en-US"/>
        </w:rPr>
        <w:t xml:space="preserve">, </w:t>
      </w:r>
      <w:r w:rsidRPr="00D869E3">
        <w:rPr>
          <w:rFonts w:ascii="Verdana" w:hAnsi="Verdana"/>
          <w:bCs/>
          <w:sz w:val="20"/>
          <w:szCs w:val="20"/>
          <w:lang w:val="en-US"/>
        </w:rPr>
        <w:t>established in</w:t>
      </w:r>
      <w:r w:rsidR="00793256" w:rsidRPr="00D869E3">
        <w:rPr>
          <w:rFonts w:ascii="Verdana" w:hAnsi="Verdana"/>
          <w:bCs/>
          <w:sz w:val="20"/>
          <w:szCs w:val="20"/>
          <w:lang w:val="en-US"/>
        </w:rPr>
        <w:t xml:space="preserve"> </w:t>
      </w:r>
      <w:r w:rsidR="00CC766D" w:rsidRPr="00D869E3">
        <w:rPr>
          <w:rFonts w:ascii="Verdana" w:hAnsi="Verdana"/>
          <w:bCs/>
          <w:sz w:val="20"/>
          <w:szCs w:val="20"/>
          <w:lang w:val="en-US"/>
        </w:rPr>
        <w:t>Chapter</w:t>
      </w:r>
      <w:r w:rsidR="00793256" w:rsidRPr="00D869E3">
        <w:rPr>
          <w:rFonts w:ascii="Verdana" w:hAnsi="Verdana"/>
          <w:bCs/>
          <w:sz w:val="20"/>
          <w:szCs w:val="20"/>
          <w:lang w:val="en-US"/>
        </w:rPr>
        <w:t xml:space="preserve"> III</w:t>
      </w:r>
      <w:r w:rsidRPr="00D869E3">
        <w:rPr>
          <w:rFonts w:ascii="Verdana" w:hAnsi="Verdana"/>
          <w:bCs/>
          <w:sz w:val="20"/>
          <w:szCs w:val="20"/>
          <w:lang w:val="en-US"/>
        </w:rPr>
        <w:t xml:space="preserve"> of this treaty</w:t>
      </w:r>
      <w:r w:rsidR="00094281" w:rsidRPr="00D869E3">
        <w:rPr>
          <w:rFonts w:ascii="Verdana" w:hAnsi="Verdana"/>
          <w:bCs/>
          <w:sz w:val="20"/>
          <w:szCs w:val="20"/>
          <w:lang w:val="en-US"/>
        </w:rPr>
        <w:t>,</w:t>
      </w:r>
      <w:r w:rsidR="00793256" w:rsidRPr="00D869E3">
        <w:rPr>
          <w:rFonts w:ascii="Verdana" w:hAnsi="Verdana"/>
          <w:bCs/>
          <w:sz w:val="20"/>
          <w:szCs w:val="20"/>
          <w:lang w:val="en-US"/>
        </w:rPr>
        <w:t xml:space="preserve"> </w:t>
      </w:r>
      <w:r w:rsidRPr="00D869E3">
        <w:rPr>
          <w:rFonts w:ascii="Verdana" w:hAnsi="Verdana"/>
          <w:bCs/>
          <w:sz w:val="20"/>
          <w:szCs w:val="20"/>
          <w:lang w:val="en-US"/>
        </w:rPr>
        <w:t>entitled Economic, Social and Cultural Rights</w:t>
      </w:r>
      <w:r w:rsidR="001625FE" w:rsidRPr="00D869E3">
        <w:rPr>
          <w:rFonts w:ascii="Verdana" w:hAnsi="Verdana"/>
          <w:bCs/>
          <w:sz w:val="20"/>
          <w:szCs w:val="20"/>
          <w:lang w:val="en-US"/>
        </w:rPr>
        <w:t>.</w:t>
      </w:r>
    </w:p>
    <w:p w14:paraId="460CD428" w14:textId="58BEB930" w:rsidR="00032FC5" w:rsidRPr="00D869E3" w:rsidRDefault="00032FC5" w:rsidP="00801513">
      <w:pPr>
        <w:contextualSpacing/>
        <w:jc w:val="both"/>
        <w:rPr>
          <w:rFonts w:ascii="Verdana" w:hAnsi="Verdana"/>
          <w:color w:val="000000"/>
          <w:sz w:val="20"/>
          <w:szCs w:val="20"/>
          <w:lang w:val="en-US"/>
        </w:rPr>
      </w:pPr>
    </w:p>
    <w:p w14:paraId="3B7B8378" w14:textId="386B49E3" w:rsidR="00032FC5" w:rsidRPr="00D869E3" w:rsidRDefault="00E21A02" w:rsidP="00E66DD7">
      <w:pPr>
        <w:pStyle w:val="Ttulo3"/>
        <w:numPr>
          <w:ilvl w:val="0"/>
          <w:numId w:val="11"/>
        </w:numPr>
        <w:ind w:left="714" w:hanging="357"/>
        <w:rPr>
          <w:i/>
          <w:lang w:val="en-US"/>
        </w:rPr>
      </w:pPr>
      <w:bookmarkStart w:id="52" w:name="_Toc29114140"/>
      <w:r w:rsidRPr="00D869E3">
        <w:rPr>
          <w:i/>
          <w:lang w:val="en-US"/>
        </w:rPr>
        <w:t>Violations of freedom</w:t>
      </w:r>
      <w:r w:rsidR="00351902" w:rsidRPr="00D869E3">
        <w:rPr>
          <w:i/>
          <w:lang w:val="en-US"/>
        </w:rPr>
        <w:t xml:space="preserve"> of association</w:t>
      </w:r>
      <w:bookmarkEnd w:id="52"/>
      <w:r w:rsidR="00032FC5" w:rsidRPr="00D869E3">
        <w:rPr>
          <w:i/>
          <w:lang w:val="en-US"/>
        </w:rPr>
        <w:t xml:space="preserve"> </w:t>
      </w:r>
    </w:p>
    <w:p w14:paraId="0C6F6F5C" w14:textId="77777777" w:rsidR="00032FC5" w:rsidRPr="00D869E3" w:rsidRDefault="00032FC5" w:rsidP="00032FC5">
      <w:pPr>
        <w:rPr>
          <w:rFonts w:ascii="Verdana" w:hAnsi="Verdana"/>
          <w:sz w:val="20"/>
          <w:szCs w:val="20"/>
          <w:lang w:val="en-US"/>
        </w:rPr>
      </w:pPr>
    </w:p>
    <w:p w14:paraId="2A0FCAF4" w14:textId="1AE4A1C3" w:rsidR="00032FC5" w:rsidRPr="00D869E3" w:rsidRDefault="00447C65" w:rsidP="00E66DD7">
      <w:pPr>
        <w:numPr>
          <w:ilvl w:val="0"/>
          <w:numId w:val="1"/>
        </w:numPr>
        <w:ind w:left="0" w:firstLine="0"/>
        <w:contextualSpacing/>
        <w:jc w:val="both"/>
        <w:rPr>
          <w:rFonts w:ascii="Verdana" w:hAnsi="Verdana"/>
          <w:b/>
          <w:sz w:val="20"/>
          <w:szCs w:val="20"/>
          <w:lang w:val="en-US"/>
        </w:rPr>
      </w:pPr>
      <w:r w:rsidRPr="00D869E3">
        <w:rPr>
          <w:rFonts w:ascii="Verdana" w:hAnsi="Verdana"/>
          <w:sz w:val="20"/>
          <w:szCs w:val="20"/>
          <w:lang w:val="en-US"/>
        </w:rPr>
        <w:t>Article</w:t>
      </w:r>
      <w:r w:rsidR="00032FC5" w:rsidRPr="00D869E3">
        <w:rPr>
          <w:rFonts w:ascii="Verdana" w:hAnsi="Verdana"/>
          <w:sz w:val="20"/>
          <w:szCs w:val="20"/>
          <w:lang w:val="en-US"/>
        </w:rPr>
        <w:t xml:space="preserve"> </w:t>
      </w:r>
      <w:r w:rsidR="00687684" w:rsidRPr="00D869E3">
        <w:rPr>
          <w:rFonts w:ascii="Verdana" w:hAnsi="Verdana"/>
          <w:sz w:val="20"/>
          <w:szCs w:val="20"/>
          <w:lang w:val="en-US"/>
        </w:rPr>
        <w:t>16(1)</w:t>
      </w:r>
      <w:r w:rsidR="00032FC5" w:rsidRPr="00D869E3">
        <w:rPr>
          <w:rFonts w:ascii="Verdana" w:hAnsi="Verdana"/>
          <w:sz w:val="20"/>
          <w:szCs w:val="20"/>
          <w:lang w:val="en-US"/>
        </w:rPr>
        <w:t xml:space="preserve"> </w:t>
      </w:r>
      <w:r w:rsidR="008221EB" w:rsidRPr="00D869E3">
        <w:rPr>
          <w:rFonts w:ascii="Verdana" w:hAnsi="Verdana"/>
          <w:sz w:val="20"/>
          <w:szCs w:val="20"/>
          <w:lang w:val="en-US"/>
        </w:rPr>
        <w:t>recognizes the right to associate freely for ideological, religious, political, economic, labor, social, cultural, sports, or other purposes. The right to freedom of association is characterized by enabling individuals to create or take part in entities or organizations in order to act collectively to achieve very diverse objectives, provided these are legitimate.</w:t>
      </w:r>
      <w:r w:rsidR="00032FC5" w:rsidRPr="00D869E3">
        <w:rPr>
          <w:rFonts w:ascii="Verdana" w:hAnsi="Verdana"/>
          <w:sz w:val="20"/>
          <w:szCs w:val="20"/>
          <w:vertAlign w:val="superscript"/>
          <w:lang w:val="en-US"/>
        </w:rPr>
        <w:footnoteReference w:id="219"/>
      </w:r>
      <w:r w:rsidR="00032FC5" w:rsidRPr="00D869E3">
        <w:rPr>
          <w:rFonts w:ascii="Verdana" w:hAnsi="Verdana"/>
          <w:sz w:val="20"/>
          <w:szCs w:val="20"/>
          <w:lang w:val="en-US"/>
        </w:rPr>
        <w:t xml:space="preserve"> </w:t>
      </w:r>
      <w:r w:rsidRPr="00D869E3">
        <w:rPr>
          <w:rFonts w:ascii="Verdana" w:hAnsi="Verdana"/>
          <w:sz w:val="20"/>
          <w:szCs w:val="20"/>
          <w:lang w:val="en-US"/>
        </w:rPr>
        <w:t>The Court</w:t>
      </w:r>
      <w:r w:rsidR="00032FC5" w:rsidRPr="00D869E3">
        <w:rPr>
          <w:rFonts w:ascii="Verdana" w:hAnsi="Verdana"/>
          <w:sz w:val="20"/>
          <w:szCs w:val="20"/>
          <w:lang w:val="en-US"/>
        </w:rPr>
        <w:t xml:space="preserve"> </w:t>
      </w:r>
      <w:r w:rsidR="008221EB" w:rsidRPr="00D869E3">
        <w:rPr>
          <w:rFonts w:ascii="Verdana" w:hAnsi="Verdana"/>
          <w:sz w:val="20"/>
          <w:szCs w:val="20"/>
          <w:lang w:val="en-US"/>
        </w:rPr>
        <w:t>has established that those persons who are subject to the jurisdiction of the States Parties have the right to associate freely with others, without the intervention of the public authorities limiting or obstructing the exercise of the said right. This signifies that they have the right to associate in order to seek the common attainment of a lawful goal, and the correlative negative obligation of the State not to exert pressure or interfere so as to change or denature this goal.</w:t>
      </w:r>
      <w:r w:rsidR="00032FC5" w:rsidRPr="00D869E3">
        <w:rPr>
          <w:rFonts w:ascii="Verdana" w:hAnsi="Verdana"/>
          <w:sz w:val="20"/>
          <w:szCs w:val="20"/>
          <w:vertAlign w:val="superscript"/>
          <w:lang w:val="en-US"/>
        </w:rPr>
        <w:footnoteReference w:id="220"/>
      </w:r>
      <w:r w:rsidR="00032FC5" w:rsidRPr="00D869E3">
        <w:rPr>
          <w:rFonts w:ascii="Verdana" w:hAnsi="Verdana"/>
          <w:b/>
          <w:sz w:val="20"/>
          <w:szCs w:val="20"/>
          <w:lang w:val="en-US"/>
        </w:rPr>
        <w:t xml:space="preserve"> </w:t>
      </w:r>
      <w:r w:rsidR="008221EB" w:rsidRPr="00D869E3">
        <w:rPr>
          <w:rFonts w:ascii="Verdana" w:hAnsi="Verdana"/>
          <w:sz w:val="20"/>
          <w:szCs w:val="20"/>
          <w:lang w:val="en-US"/>
        </w:rPr>
        <w:t xml:space="preserve">Additionally, the Court has observed that positive obligations also arise from freedom of association; these are to prevent attacks against this right, protect those who exercise it, and investigate any violations </w:t>
      </w:r>
      <w:r w:rsidR="00B4644D" w:rsidRPr="00D869E3">
        <w:rPr>
          <w:rFonts w:ascii="Verdana" w:hAnsi="Verdana"/>
          <w:sz w:val="20"/>
          <w:szCs w:val="20"/>
          <w:lang w:val="en-US"/>
        </w:rPr>
        <w:t>against</w:t>
      </w:r>
      <w:r w:rsidR="008221EB" w:rsidRPr="00D869E3">
        <w:rPr>
          <w:rFonts w:ascii="Verdana" w:hAnsi="Verdana"/>
          <w:sz w:val="20"/>
          <w:szCs w:val="20"/>
          <w:lang w:val="en-US"/>
        </w:rPr>
        <w:t xml:space="preserve"> it. These positive obligations must be met even in the </w:t>
      </w:r>
      <w:r w:rsidR="00B4644D" w:rsidRPr="00D869E3">
        <w:rPr>
          <w:rFonts w:ascii="Verdana" w:hAnsi="Verdana"/>
          <w:sz w:val="20"/>
          <w:szCs w:val="20"/>
          <w:lang w:val="en-US"/>
        </w:rPr>
        <w:t>context</w:t>
      </w:r>
      <w:r w:rsidR="008221EB" w:rsidRPr="00D869E3">
        <w:rPr>
          <w:rFonts w:ascii="Verdana" w:hAnsi="Verdana"/>
          <w:sz w:val="20"/>
          <w:szCs w:val="20"/>
          <w:lang w:val="en-US"/>
        </w:rPr>
        <w:t xml:space="preserve"> of relations between private individuals, if a</w:t>
      </w:r>
      <w:r w:rsidR="00B4644D" w:rsidRPr="00D869E3">
        <w:rPr>
          <w:rFonts w:ascii="Verdana" w:hAnsi="Verdana"/>
          <w:sz w:val="20"/>
          <w:szCs w:val="20"/>
          <w:lang w:val="en-US"/>
        </w:rPr>
        <w:t>p</w:t>
      </w:r>
      <w:r w:rsidR="008221EB" w:rsidRPr="00D869E3">
        <w:rPr>
          <w:rFonts w:ascii="Verdana" w:hAnsi="Verdana"/>
          <w:sz w:val="20"/>
          <w:szCs w:val="20"/>
          <w:lang w:val="en-US"/>
        </w:rPr>
        <w:t>p</w:t>
      </w:r>
      <w:r w:rsidR="00B4644D" w:rsidRPr="00D869E3">
        <w:rPr>
          <w:rFonts w:ascii="Verdana" w:hAnsi="Verdana"/>
          <w:sz w:val="20"/>
          <w:szCs w:val="20"/>
          <w:lang w:val="en-US"/>
        </w:rPr>
        <w:t>licabl</w:t>
      </w:r>
      <w:r w:rsidR="008221EB" w:rsidRPr="00D869E3">
        <w:rPr>
          <w:rFonts w:ascii="Verdana" w:hAnsi="Verdana"/>
          <w:sz w:val="20"/>
          <w:szCs w:val="20"/>
          <w:lang w:val="en-US"/>
        </w:rPr>
        <w:t>e.</w:t>
      </w:r>
      <w:r w:rsidR="00032FC5" w:rsidRPr="00D869E3">
        <w:rPr>
          <w:rFonts w:ascii="Verdana" w:hAnsi="Verdana"/>
          <w:sz w:val="20"/>
          <w:szCs w:val="20"/>
          <w:vertAlign w:val="superscript"/>
          <w:lang w:val="en-US"/>
        </w:rPr>
        <w:footnoteReference w:id="221"/>
      </w:r>
      <w:r w:rsidR="00032FC5" w:rsidRPr="00D869E3">
        <w:rPr>
          <w:rFonts w:ascii="Verdana" w:hAnsi="Verdana"/>
          <w:sz w:val="20"/>
          <w:szCs w:val="20"/>
          <w:lang w:val="en-US"/>
        </w:rPr>
        <w:t xml:space="preserve"> </w:t>
      </w:r>
    </w:p>
    <w:p w14:paraId="3AE9C4C3" w14:textId="77777777" w:rsidR="00032FC5" w:rsidRPr="00D869E3" w:rsidRDefault="00032FC5" w:rsidP="00032FC5">
      <w:pPr>
        <w:contextualSpacing/>
        <w:jc w:val="both"/>
        <w:rPr>
          <w:rFonts w:ascii="Verdana" w:hAnsi="Verdana"/>
          <w:b/>
          <w:sz w:val="20"/>
          <w:szCs w:val="20"/>
          <w:lang w:val="en-US"/>
        </w:rPr>
      </w:pPr>
    </w:p>
    <w:p w14:paraId="352E49AD" w14:textId="70C9F4A0" w:rsidR="00032FC5" w:rsidRPr="00D869E3" w:rsidRDefault="008221EB" w:rsidP="00E66DD7">
      <w:pPr>
        <w:numPr>
          <w:ilvl w:val="0"/>
          <w:numId w:val="1"/>
        </w:numPr>
        <w:ind w:left="0" w:firstLine="0"/>
        <w:contextualSpacing/>
        <w:jc w:val="both"/>
        <w:rPr>
          <w:rFonts w:ascii="Verdana" w:hAnsi="Verdana"/>
          <w:b/>
          <w:sz w:val="20"/>
          <w:szCs w:val="20"/>
          <w:lang w:val="en-US"/>
        </w:rPr>
      </w:pPr>
      <w:r w:rsidRPr="00D869E3">
        <w:rPr>
          <w:rFonts w:ascii="Verdana" w:hAnsi="Verdana"/>
          <w:sz w:val="20"/>
          <w:szCs w:val="20"/>
          <w:lang w:val="en-US"/>
        </w:rPr>
        <w:t xml:space="preserve">In labor matters, the Court has established that freedom of association protects the </w:t>
      </w:r>
      <w:r w:rsidR="00BB5C6E" w:rsidRPr="00D869E3">
        <w:rPr>
          <w:rFonts w:ascii="Verdana" w:hAnsi="Verdana"/>
          <w:sz w:val="20"/>
          <w:szCs w:val="20"/>
          <w:lang w:val="en-US"/>
        </w:rPr>
        <w:t>ability</w:t>
      </w:r>
      <w:r w:rsidRPr="00D869E3">
        <w:rPr>
          <w:rFonts w:ascii="Verdana" w:hAnsi="Verdana"/>
          <w:sz w:val="20"/>
          <w:szCs w:val="20"/>
          <w:lang w:val="en-US"/>
        </w:rPr>
        <w:t xml:space="preserve"> to constitute labor unions and implement their internal structure, activities and programs of action, without the intervention of the public authorities limiting or hindering the exercise of this right.</w:t>
      </w:r>
      <w:r w:rsidR="00032FC5" w:rsidRPr="00D869E3">
        <w:rPr>
          <w:rFonts w:ascii="Verdana" w:hAnsi="Verdana"/>
          <w:sz w:val="20"/>
          <w:szCs w:val="20"/>
          <w:vertAlign w:val="superscript"/>
          <w:lang w:val="en-US"/>
        </w:rPr>
        <w:footnoteReference w:id="222"/>
      </w:r>
      <w:r w:rsidR="00032FC5" w:rsidRPr="00D869E3">
        <w:rPr>
          <w:rFonts w:ascii="Verdana" w:hAnsi="Verdana"/>
          <w:sz w:val="20"/>
          <w:szCs w:val="20"/>
          <w:lang w:val="en-US"/>
        </w:rPr>
        <w:t xml:space="preserve"> </w:t>
      </w:r>
      <w:r w:rsidRPr="00D869E3">
        <w:rPr>
          <w:rFonts w:ascii="Verdana" w:hAnsi="Verdana"/>
          <w:sz w:val="20"/>
          <w:szCs w:val="20"/>
          <w:lang w:val="en-US"/>
        </w:rPr>
        <w:t>This freedom also supposes that each individual may determine, without any coercion whatsoever, whether he or she wishes to form part of the association</w:t>
      </w:r>
      <w:r w:rsidR="00647AF2" w:rsidRPr="00D869E3">
        <w:rPr>
          <w:rFonts w:ascii="Verdana" w:hAnsi="Verdana"/>
          <w:sz w:val="20"/>
          <w:szCs w:val="20"/>
          <w:lang w:val="en-US"/>
        </w:rPr>
        <w:t>.</w:t>
      </w:r>
      <w:r w:rsidR="00032FC5" w:rsidRPr="00D869E3">
        <w:rPr>
          <w:rFonts w:ascii="Verdana" w:hAnsi="Verdana"/>
          <w:sz w:val="20"/>
          <w:szCs w:val="20"/>
          <w:vertAlign w:val="superscript"/>
          <w:lang w:val="en-US"/>
        </w:rPr>
        <w:footnoteReference w:id="223"/>
      </w:r>
      <w:r w:rsidR="00032FC5" w:rsidRPr="00D869E3">
        <w:rPr>
          <w:rFonts w:ascii="Verdana" w:hAnsi="Verdana"/>
          <w:sz w:val="20"/>
          <w:szCs w:val="20"/>
          <w:lang w:val="en-US"/>
        </w:rPr>
        <w:t xml:space="preserve"> </w:t>
      </w:r>
      <w:r w:rsidR="00647AF2" w:rsidRPr="00D869E3">
        <w:rPr>
          <w:rFonts w:ascii="Verdana" w:hAnsi="Verdana"/>
          <w:sz w:val="20"/>
          <w:szCs w:val="20"/>
          <w:lang w:val="en-US"/>
        </w:rPr>
        <w:t xml:space="preserve">In addition, the State has the obligation to guarantee that everyone can exercise freely their freedom </w:t>
      </w:r>
      <w:r w:rsidR="00BB5C6E" w:rsidRPr="00D869E3">
        <w:rPr>
          <w:rFonts w:ascii="Verdana" w:hAnsi="Verdana"/>
          <w:sz w:val="20"/>
          <w:szCs w:val="20"/>
          <w:lang w:val="en-US"/>
        </w:rPr>
        <w:t xml:space="preserve">of association </w:t>
      </w:r>
      <w:r w:rsidR="00647AF2" w:rsidRPr="00D869E3">
        <w:rPr>
          <w:rFonts w:ascii="Verdana" w:hAnsi="Verdana"/>
          <w:sz w:val="20"/>
          <w:szCs w:val="20"/>
          <w:lang w:val="en-US"/>
        </w:rPr>
        <w:t>without fear that they will be subject to any kind of violence because, to the contrary, the ability of groups of people to organize themselves to protect their interests could be reduced.</w:t>
      </w:r>
      <w:r w:rsidR="00032FC5" w:rsidRPr="00D869E3">
        <w:rPr>
          <w:rFonts w:ascii="Verdana" w:hAnsi="Verdana"/>
          <w:sz w:val="20"/>
          <w:szCs w:val="20"/>
          <w:vertAlign w:val="superscript"/>
          <w:lang w:val="en-US"/>
        </w:rPr>
        <w:footnoteReference w:id="224"/>
      </w:r>
      <w:r w:rsidR="00647AF2" w:rsidRPr="00D869E3">
        <w:rPr>
          <w:rFonts w:ascii="Verdana" w:hAnsi="Verdana"/>
          <w:sz w:val="20"/>
          <w:szCs w:val="20"/>
          <w:lang w:val="en-US"/>
        </w:rPr>
        <w:t xml:space="preserve"> </w:t>
      </w:r>
      <w:r w:rsidR="00075E68" w:rsidRPr="00D869E3">
        <w:rPr>
          <w:rFonts w:ascii="Verdana" w:hAnsi="Verdana"/>
          <w:sz w:val="20"/>
          <w:szCs w:val="20"/>
          <w:lang w:val="en-US"/>
        </w:rPr>
        <w:t>In this regard</w:t>
      </w:r>
      <w:r w:rsidR="00032FC5" w:rsidRPr="00D869E3">
        <w:rPr>
          <w:rFonts w:ascii="Verdana" w:hAnsi="Verdana"/>
          <w:sz w:val="20"/>
          <w:szCs w:val="20"/>
          <w:lang w:val="en-US"/>
        </w:rPr>
        <w:t xml:space="preserve">, </w:t>
      </w:r>
      <w:r w:rsidR="00447C65" w:rsidRPr="00D869E3">
        <w:rPr>
          <w:rFonts w:ascii="Verdana" w:hAnsi="Verdana"/>
          <w:sz w:val="20"/>
          <w:szCs w:val="20"/>
          <w:lang w:val="en-US"/>
        </w:rPr>
        <w:t>the Court</w:t>
      </w:r>
      <w:r w:rsidR="00032FC5" w:rsidRPr="00D869E3">
        <w:rPr>
          <w:rFonts w:ascii="Verdana" w:hAnsi="Verdana"/>
          <w:sz w:val="20"/>
          <w:szCs w:val="20"/>
          <w:lang w:val="en-US"/>
        </w:rPr>
        <w:t xml:space="preserve"> </w:t>
      </w:r>
      <w:r w:rsidR="00647AF2" w:rsidRPr="00D869E3">
        <w:rPr>
          <w:rFonts w:ascii="Verdana" w:hAnsi="Verdana"/>
          <w:sz w:val="20"/>
          <w:szCs w:val="20"/>
          <w:lang w:val="en-US"/>
        </w:rPr>
        <w:t xml:space="preserve">has stressed </w:t>
      </w:r>
      <w:r w:rsidR="00BB5C6E" w:rsidRPr="00D869E3">
        <w:rPr>
          <w:rFonts w:ascii="Verdana" w:hAnsi="Verdana"/>
          <w:sz w:val="20"/>
          <w:szCs w:val="20"/>
          <w:lang w:val="en-US"/>
        </w:rPr>
        <w:t xml:space="preserve"> labor-related</w:t>
      </w:r>
      <w:r w:rsidR="00647AF2" w:rsidRPr="00D869E3">
        <w:rPr>
          <w:rFonts w:ascii="Verdana" w:hAnsi="Verdana"/>
          <w:sz w:val="20"/>
          <w:szCs w:val="20"/>
          <w:lang w:val="en-US"/>
        </w:rPr>
        <w:t xml:space="preserve"> freedom of association</w:t>
      </w:r>
      <w:r w:rsidR="00BB5C6E" w:rsidRPr="00D869E3">
        <w:rPr>
          <w:rFonts w:ascii="Verdana" w:hAnsi="Verdana"/>
          <w:sz w:val="20"/>
          <w:szCs w:val="20"/>
          <w:lang w:val="en-US"/>
        </w:rPr>
        <w:t xml:space="preserve"> </w:t>
      </w:r>
      <w:r w:rsidR="00647AF2" w:rsidRPr="00D869E3">
        <w:rPr>
          <w:rFonts w:ascii="Verdana" w:hAnsi="Verdana"/>
          <w:sz w:val="20"/>
          <w:szCs w:val="20"/>
          <w:lang w:val="en-US"/>
        </w:rPr>
        <w:t xml:space="preserve">“is not exhausted with the theoretical recognition of the right to </w:t>
      </w:r>
      <w:r w:rsidR="00BB5C6E" w:rsidRPr="00D869E3">
        <w:rPr>
          <w:rFonts w:ascii="Verdana" w:hAnsi="Verdana"/>
          <w:sz w:val="20"/>
          <w:szCs w:val="20"/>
          <w:lang w:val="en-US"/>
        </w:rPr>
        <w:t>constitute</w:t>
      </w:r>
      <w:r w:rsidR="00647AF2" w:rsidRPr="00D869E3">
        <w:rPr>
          <w:rFonts w:ascii="Verdana" w:hAnsi="Verdana"/>
          <w:sz w:val="20"/>
          <w:szCs w:val="20"/>
          <w:lang w:val="en-US"/>
        </w:rPr>
        <w:t xml:space="preserve"> (unions), but also includes, inseparably, the right to exercise this freedom.”</w:t>
      </w:r>
      <w:r w:rsidR="00032FC5" w:rsidRPr="00D869E3">
        <w:rPr>
          <w:rFonts w:ascii="Verdana" w:hAnsi="Verdana"/>
          <w:sz w:val="20"/>
          <w:szCs w:val="20"/>
          <w:vertAlign w:val="superscript"/>
          <w:lang w:val="en-US"/>
        </w:rPr>
        <w:footnoteReference w:id="225"/>
      </w:r>
    </w:p>
    <w:p w14:paraId="70654B84" w14:textId="77777777" w:rsidR="00647AF2" w:rsidRPr="00D869E3" w:rsidRDefault="00647AF2" w:rsidP="00647AF2">
      <w:pPr>
        <w:pStyle w:val="Prrafodelista"/>
        <w:rPr>
          <w:rFonts w:ascii="Verdana" w:hAnsi="Verdana"/>
          <w:b/>
          <w:sz w:val="20"/>
          <w:szCs w:val="20"/>
          <w:lang w:val="en-US"/>
        </w:rPr>
      </w:pPr>
    </w:p>
    <w:p w14:paraId="1E2B0D1F" w14:textId="69A7877E" w:rsidR="00032FC5" w:rsidRPr="00D869E3" w:rsidRDefault="00BB61A6" w:rsidP="00647AF2">
      <w:pPr>
        <w:numPr>
          <w:ilvl w:val="0"/>
          <w:numId w:val="1"/>
        </w:numPr>
        <w:ind w:left="0" w:firstLine="0"/>
        <w:contextualSpacing/>
        <w:jc w:val="both"/>
        <w:rPr>
          <w:rFonts w:ascii="Verdana" w:hAnsi="Verdana"/>
          <w:b/>
          <w:sz w:val="20"/>
          <w:szCs w:val="20"/>
          <w:lang w:val="en-US"/>
        </w:rPr>
      </w:pPr>
      <w:r w:rsidRPr="00D869E3">
        <w:rPr>
          <w:rFonts w:ascii="Verdana" w:hAnsi="Verdana"/>
          <w:sz w:val="20"/>
          <w:szCs w:val="20"/>
          <w:lang w:val="en-US"/>
        </w:rPr>
        <w:t xml:space="preserve">In </w:t>
      </w:r>
      <w:r w:rsidR="00647AF2" w:rsidRPr="00D869E3">
        <w:rPr>
          <w:rFonts w:ascii="Verdana" w:hAnsi="Verdana"/>
          <w:sz w:val="20"/>
          <w:szCs w:val="20"/>
          <w:lang w:val="en-US"/>
        </w:rPr>
        <w:t xml:space="preserve">this regard, the Court finds that the protection of the right to </w:t>
      </w:r>
      <w:r w:rsidR="00BB5C6E" w:rsidRPr="00D869E3">
        <w:rPr>
          <w:rFonts w:ascii="Verdana" w:hAnsi="Verdana"/>
          <w:sz w:val="20"/>
          <w:szCs w:val="20"/>
          <w:lang w:val="en-US"/>
        </w:rPr>
        <w:t xml:space="preserve">labor-related </w:t>
      </w:r>
      <w:r w:rsidR="00647AF2" w:rsidRPr="00D869E3">
        <w:rPr>
          <w:rFonts w:ascii="Verdana" w:hAnsi="Verdana"/>
          <w:sz w:val="20"/>
          <w:szCs w:val="20"/>
          <w:lang w:val="en-US"/>
        </w:rPr>
        <w:t xml:space="preserve">freedom of association is subsumed </w:t>
      </w:r>
      <w:r w:rsidR="00BB5C6E" w:rsidRPr="00D869E3">
        <w:rPr>
          <w:rFonts w:ascii="Verdana" w:hAnsi="Verdana"/>
          <w:sz w:val="20"/>
          <w:szCs w:val="20"/>
          <w:lang w:val="en-US"/>
        </w:rPr>
        <w:t xml:space="preserve">not only </w:t>
      </w:r>
      <w:r w:rsidR="00647AF2" w:rsidRPr="00D869E3">
        <w:rPr>
          <w:rFonts w:ascii="Verdana" w:hAnsi="Verdana"/>
          <w:sz w:val="20"/>
          <w:szCs w:val="20"/>
          <w:lang w:val="en-US"/>
        </w:rPr>
        <w:t>in the protection of labor unions, their members and their representatives. Indeed, unions and their representatives enjoy specific protection for the proper performance of their functions because, as the Court has established in its case law</w:t>
      </w:r>
      <w:r w:rsidR="00032FC5" w:rsidRPr="00D869E3">
        <w:rPr>
          <w:rFonts w:ascii="Verdana" w:hAnsi="Verdana"/>
          <w:sz w:val="20"/>
          <w:szCs w:val="20"/>
          <w:vertAlign w:val="superscript"/>
          <w:lang w:val="en-US"/>
        </w:rPr>
        <w:footnoteReference w:id="226"/>
      </w:r>
      <w:r w:rsidR="00687684" w:rsidRPr="00D869E3">
        <w:rPr>
          <w:rFonts w:ascii="Verdana" w:hAnsi="Verdana"/>
          <w:sz w:val="20"/>
          <w:szCs w:val="20"/>
          <w:lang w:val="en-US"/>
        </w:rPr>
        <w:t xml:space="preserve"> and </w:t>
      </w:r>
      <w:r w:rsidR="00647AF2" w:rsidRPr="00D869E3">
        <w:rPr>
          <w:rFonts w:ascii="Verdana" w:hAnsi="Verdana"/>
          <w:sz w:val="20"/>
          <w:szCs w:val="20"/>
          <w:lang w:val="en-US"/>
        </w:rPr>
        <w:t>as can be observed in different international instruments,</w:t>
      </w:r>
      <w:r w:rsidR="00032FC5" w:rsidRPr="00D869E3">
        <w:rPr>
          <w:rFonts w:ascii="Verdana" w:hAnsi="Verdana"/>
          <w:sz w:val="20"/>
          <w:szCs w:val="20"/>
          <w:vertAlign w:val="superscript"/>
          <w:lang w:val="en-US"/>
        </w:rPr>
        <w:footnoteReference w:id="227"/>
      </w:r>
      <w:r w:rsidR="00032FC5" w:rsidRPr="00D869E3">
        <w:rPr>
          <w:rFonts w:ascii="Verdana" w:hAnsi="Verdana"/>
          <w:sz w:val="20"/>
          <w:szCs w:val="20"/>
          <w:lang w:val="en-US"/>
        </w:rPr>
        <w:t xml:space="preserve"> </w:t>
      </w:r>
      <w:r w:rsidR="00647AF2" w:rsidRPr="00D869E3">
        <w:rPr>
          <w:rFonts w:ascii="Verdana" w:hAnsi="Verdana"/>
          <w:sz w:val="20"/>
          <w:szCs w:val="20"/>
          <w:lang w:val="en-US"/>
        </w:rPr>
        <w:t xml:space="preserve">including Article 8 of the Protocol of San Salvador, freedom of association in union matters is extremely important to </w:t>
      </w:r>
      <w:r w:rsidR="00647AF2" w:rsidRPr="00D869E3">
        <w:rPr>
          <w:rFonts w:ascii="Verdana" w:hAnsi="Verdana"/>
          <w:sz w:val="20"/>
          <w:szCs w:val="20"/>
          <w:lang w:val="en-US"/>
        </w:rPr>
        <w:lastRenderedPageBreak/>
        <w:t xml:space="preserve">defend the legitimate interests of the workers and is included in the human rights </w:t>
      </w:r>
      <w:r w:rsidR="00647AF2" w:rsidRPr="00D869E3">
        <w:rPr>
          <w:rFonts w:ascii="Verdana" w:hAnsi="Verdana"/>
          <w:i/>
          <w:sz w:val="20"/>
          <w:szCs w:val="20"/>
          <w:lang w:val="en-US"/>
        </w:rPr>
        <w:t>corpus juris</w:t>
      </w:r>
      <w:r w:rsidR="00647AF2" w:rsidRPr="00D869E3">
        <w:rPr>
          <w:rFonts w:ascii="Verdana" w:hAnsi="Verdana"/>
          <w:sz w:val="20"/>
          <w:szCs w:val="20"/>
          <w:lang w:val="en-US"/>
        </w:rPr>
        <w:t>.</w:t>
      </w:r>
      <w:r w:rsidR="00032FC5" w:rsidRPr="00D869E3">
        <w:rPr>
          <w:rFonts w:ascii="Verdana" w:hAnsi="Verdana"/>
          <w:sz w:val="20"/>
          <w:szCs w:val="20"/>
          <w:vertAlign w:val="superscript"/>
          <w:lang w:val="en-US"/>
        </w:rPr>
        <w:footnoteReference w:id="228"/>
      </w:r>
      <w:r w:rsidR="00032FC5" w:rsidRPr="00D869E3">
        <w:rPr>
          <w:rFonts w:ascii="Verdana" w:hAnsi="Verdana"/>
          <w:b/>
          <w:sz w:val="20"/>
          <w:szCs w:val="20"/>
          <w:lang w:val="en-US"/>
        </w:rPr>
        <w:t xml:space="preserve"> </w:t>
      </w:r>
      <w:r w:rsidR="00647AF2" w:rsidRPr="00D869E3">
        <w:rPr>
          <w:rFonts w:ascii="Verdana" w:hAnsi="Verdana"/>
          <w:sz w:val="20"/>
          <w:szCs w:val="20"/>
          <w:lang w:val="en-US"/>
        </w:rPr>
        <w:t xml:space="preserve">Moreover, the importance that States have recognized to union rights is reflected in the fact that Article 19 of the Protocol of San Salvador gives the Court competence to rule on violations of the </w:t>
      </w:r>
      <w:r w:rsidR="00BB5C6E" w:rsidRPr="00D869E3">
        <w:rPr>
          <w:rFonts w:ascii="Verdana" w:hAnsi="Verdana"/>
          <w:sz w:val="20"/>
          <w:szCs w:val="20"/>
          <w:lang w:val="en-US"/>
        </w:rPr>
        <w:t>S</w:t>
      </w:r>
      <w:r w:rsidR="00647AF2" w:rsidRPr="00D869E3">
        <w:rPr>
          <w:rFonts w:ascii="Verdana" w:hAnsi="Verdana"/>
          <w:sz w:val="20"/>
          <w:szCs w:val="20"/>
          <w:lang w:val="en-US"/>
        </w:rPr>
        <w:t>tate obligation to allow labor unions, federations and confederations to function freely.</w:t>
      </w:r>
      <w:r w:rsidR="00032FC5" w:rsidRPr="00D869E3">
        <w:rPr>
          <w:rFonts w:ascii="Verdana" w:hAnsi="Verdana"/>
          <w:sz w:val="20"/>
          <w:szCs w:val="20"/>
          <w:vertAlign w:val="superscript"/>
          <w:lang w:val="en-US"/>
        </w:rPr>
        <w:footnoteReference w:id="229"/>
      </w:r>
    </w:p>
    <w:p w14:paraId="10C9546B" w14:textId="77777777" w:rsidR="00647AF2" w:rsidRPr="00D869E3" w:rsidRDefault="00647AF2" w:rsidP="00647AF2">
      <w:pPr>
        <w:pStyle w:val="Prrafodelista"/>
        <w:rPr>
          <w:rFonts w:ascii="Verdana" w:hAnsi="Verdana"/>
          <w:b/>
          <w:sz w:val="20"/>
          <w:szCs w:val="20"/>
          <w:lang w:val="en-US"/>
        </w:rPr>
      </w:pPr>
    </w:p>
    <w:p w14:paraId="0FF80A99" w14:textId="167E0A06" w:rsidR="004205B3" w:rsidRPr="00D869E3" w:rsidRDefault="00647AF2" w:rsidP="007406F9">
      <w:pPr>
        <w:numPr>
          <w:ilvl w:val="0"/>
          <w:numId w:val="1"/>
        </w:numPr>
        <w:ind w:left="0" w:firstLine="0"/>
        <w:contextualSpacing/>
        <w:jc w:val="both"/>
        <w:rPr>
          <w:rFonts w:ascii="Verdana" w:hAnsi="Verdana"/>
          <w:b/>
          <w:sz w:val="20"/>
          <w:szCs w:val="20"/>
          <w:lang w:val="en-US"/>
        </w:rPr>
      </w:pPr>
      <w:r w:rsidRPr="00D869E3">
        <w:rPr>
          <w:rFonts w:ascii="Verdana" w:hAnsi="Verdana"/>
          <w:sz w:val="20"/>
          <w:szCs w:val="20"/>
          <w:lang w:val="en-US"/>
        </w:rPr>
        <w:t>However, the protection recognized to the right to freedom of association in</w:t>
      </w:r>
      <w:r w:rsidR="008A6FFA" w:rsidRPr="00D869E3">
        <w:rPr>
          <w:rFonts w:ascii="Verdana" w:hAnsi="Verdana"/>
          <w:sz w:val="20"/>
          <w:szCs w:val="20"/>
          <w:lang w:val="en-US"/>
        </w:rPr>
        <w:t xml:space="preserve"> the context of</w:t>
      </w:r>
      <w:r w:rsidRPr="00D869E3">
        <w:rPr>
          <w:rFonts w:ascii="Verdana" w:hAnsi="Verdana"/>
          <w:sz w:val="20"/>
          <w:szCs w:val="20"/>
          <w:lang w:val="en-US"/>
        </w:rPr>
        <w:t xml:space="preserve"> labor extends to organizations that, even though their nature differs from that of labor unions, seek to represent the legitimate interests of workers. This protection is derived from Article 16 of the American Convention, which protects freedom of association for any purpose, as well as from other international instruments that recognize special protection to freedom of association to protect the interests of workers, without specifying that this protection is restricted to the labor union sphere.</w:t>
      </w:r>
      <w:r w:rsidR="00032FC5" w:rsidRPr="00D869E3">
        <w:rPr>
          <w:rFonts w:ascii="Verdana" w:hAnsi="Verdana"/>
          <w:sz w:val="20"/>
          <w:szCs w:val="20"/>
          <w:vertAlign w:val="superscript"/>
          <w:lang w:val="en-US"/>
        </w:rPr>
        <w:footnoteReference w:id="230"/>
      </w:r>
      <w:r w:rsidR="00032FC5" w:rsidRPr="00D869E3">
        <w:rPr>
          <w:rFonts w:ascii="Verdana" w:hAnsi="Verdana"/>
          <w:sz w:val="20"/>
          <w:szCs w:val="20"/>
          <w:lang w:val="en-US"/>
        </w:rPr>
        <w:t xml:space="preserve"> </w:t>
      </w:r>
      <w:r w:rsidRPr="00D869E3">
        <w:rPr>
          <w:rFonts w:ascii="Verdana" w:hAnsi="Verdana"/>
          <w:sz w:val="20"/>
          <w:szCs w:val="20"/>
          <w:lang w:val="en-US"/>
        </w:rPr>
        <w:t xml:space="preserve">Thus Article 26 of the American Convention, which relates to the economic, social, educational, scientific and cultural standards set forth in the Charter of the Organization of American States, recognizes the right of employers and workers to associate freely for the defense and promotion of their interests. Additionally, the Preamble to the Inter-American Democratic Charter recognizes that the right of workers to associate themselves freely for the defense and promotion of their interests is fundamental to the </w:t>
      </w:r>
      <w:r w:rsidR="000258D5" w:rsidRPr="00D869E3">
        <w:rPr>
          <w:rFonts w:ascii="Verdana" w:hAnsi="Verdana"/>
          <w:sz w:val="20"/>
          <w:szCs w:val="20"/>
          <w:lang w:val="en-US"/>
        </w:rPr>
        <w:t>achievement</w:t>
      </w:r>
      <w:r w:rsidRPr="00D869E3">
        <w:rPr>
          <w:rFonts w:ascii="Verdana" w:hAnsi="Verdana"/>
          <w:sz w:val="20"/>
          <w:szCs w:val="20"/>
          <w:lang w:val="en-US"/>
        </w:rPr>
        <w:t xml:space="preserve"> of democratic ideals.</w:t>
      </w:r>
    </w:p>
    <w:p w14:paraId="52AE0B2C" w14:textId="77777777" w:rsidR="007406F9" w:rsidRPr="00D869E3" w:rsidRDefault="007406F9" w:rsidP="007406F9">
      <w:pPr>
        <w:contextualSpacing/>
        <w:jc w:val="both"/>
        <w:rPr>
          <w:rFonts w:ascii="Verdana" w:hAnsi="Verdana"/>
          <w:b/>
          <w:sz w:val="20"/>
          <w:szCs w:val="20"/>
          <w:lang w:val="en-US"/>
        </w:rPr>
      </w:pPr>
    </w:p>
    <w:p w14:paraId="126C354A" w14:textId="06A1DCEE" w:rsidR="00032FC5" w:rsidRPr="00D869E3" w:rsidRDefault="007406F9" w:rsidP="007406F9">
      <w:pPr>
        <w:numPr>
          <w:ilvl w:val="0"/>
          <w:numId w:val="1"/>
        </w:numPr>
        <w:ind w:left="0" w:firstLine="0"/>
        <w:contextualSpacing/>
        <w:jc w:val="both"/>
        <w:rPr>
          <w:rFonts w:ascii="Verdana" w:hAnsi="Verdana"/>
          <w:b/>
          <w:sz w:val="20"/>
          <w:szCs w:val="20"/>
          <w:lang w:val="en-US"/>
        </w:rPr>
      </w:pPr>
      <w:r w:rsidRPr="00D869E3">
        <w:rPr>
          <w:rFonts w:ascii="Verdana" w:hAnsi="Verdana"/>
          <w:sz w:val="20"/>
          <w:szCs w:val="20"/>
          <w:lang w:val="en-US"/>
        </w:rPr>
        <w:t xml:space="preserve">These principles </w:t>
      </w:r>
      <w:r w:rsidR="000258D5" w:rsidRPr="00D869E3">
        <w:rPr>
          <w:rFonts w:ascii="Verdana" w:hAnsi="Verdana"/>
          <w:sz w:val="20"/>
          <w:szCs w:val="20"/>
          <w:lang w:val="en-US"/>
        </w:rPr>
        <w:t>concur</w:t>
      </w:r>
      <w:r w:rsidRPr="00D869E3">
        <w:rPr>
          <w:rFonts w:ascii="Verdana" w:hAnsi="Verdana"/>
          <w:sz w:val="20"/>
          <w:szCs w:val="20"/>
          <w:lang w:val="en-US"/>
        </w:rPr>
        <w:t xml:space="preserve"> with the protection recognized by the ILO, which has clarified that the expression “workers’ representatives” includes those recognized as such under domestic law or practice, whether union representatives or “elected representatives, namely, representatives who are freely elected by the workers of the undertaking in accordance with the provisions of national laws or regulations or of collective agreements and whose functions do not include activities which are recognized as the exclusive prerogative of trade unions in the country concerned.</w:t>
      </w:r>
      <w:r w:rsidR="006436CA" w:rsidRPr="00D869E3">
        <w:rPr>
          <w:rFonts w:ascii="Verdana" w:hAnsi="Verdana"/>
          <w:sz w:val="20"/>
          <w:szCs w:val="20"/>
          <w:lang w:val="en-US"/>
        </w:rPr>
        <w:t>”</w:t>
      </w:r>
      <w:r w:rsidR="00032FC5" w:rsidRPr="00D869E3">
        <w:rPr>
          <w:rFonts w:ascii="Verdana" w:hAnsi="Verdana"/>
          <w:sz w:val="20"/>
          <w:szCs w:val="20"/>
          <w:vertAlign w:val="superscript"/>
          <w:lang w:val="en-US"/>
        </w:rPr>
        <w:footnoteReference w:id="231"/>
      </w:r>
      <w:r w:rsidR="00032FC5" w:rsidRPr="00D869E3">
        <w:rPr>
          <w:rFonts w:ascii="Verdana" w:hAnsi="Verdana"/>
          <w:sz w:val="20"/>
          <w:szCs w:val="20"/>
          <w:lang w:val="en-US"/>
        </w:rPr>
        <w:t xml:space="preserve"> </w:t>
      </w:r>
    </w:p>
    <w:p w14:paraId="12741BCB" w14:textId="77777777" w:rsidR="007406F9" w:rsidRPr="00D869E3" w:rsidRDefault="007406F9" w:rsidP="007406F9">
      <w:pPr>
        <w:pStyle w:val="Prrafodelista"/>
        <w:rPr>
          <w:rFonts w:ascii="Verdana" w:hAnsi="Verdana"/>
          <w:b/>
          <w:sz w:val="20"/>
          <w:szCs w:val="20"/>
          <w:lang w:val="en-US"/>
        </w:rPr>
      </w:pPr>
    </w:p>
    <w:p w14:paraId="62163FF8" w14:textId="482FCB81" w:rsidR="00032FC5" w:rsidRPr="00D869E3" w:rsidRDefault="007406F9" w:rsidP="007406F9">
      <w:pPr>
        <w:numPr>
          <w:ilvl w:val="0"/>
          <w:numId w:val="1"/>
        </w:numPr>
        <w:ind w:left="0" w:firstLine="0"/>
        <w:contextualSpacing/>
        <w:jc w:val="both"/>
        <w:rPr>
          <w:rFonts w:ascii="Verdana" w:hAnsi="Verdana"/>
          <w:b/>
          <w:sz w:val="20"/>
          <w:szCs w:val="20"/>
          <w:lang w:val="en-US"/>
        </w:rPr>
      </w:pPr>
      <w:r w:rsidRPr="00D869E3">
        <w:rPr>
          <w:rFonts w:ascii="Verdana" w:hAnsi="Verdana"/>
          <w:sz w:val="20"/>
          <w:szCs w:val="20"/>
          <w:lang w:val="en-US"/>
        </w:rPr>
        <w:t>Similarly, it has been interpreted that the representatives of the workers of an undertaking should enjoy effective protection against any act that could prejudice them, including dismissal based on their condition as</w:t>
      </w:r>
      <w:r w:rsidR="001625FE" w:rsidRPr="00D869E3">
        <w:rPr>
          <w:rFonts w:ascii="Verdana" w:hAnsi="Verdana"/>
          <w:sz w:val="20"/>
          <w:szCs w:val="20"/>
          <w:lang w:val="en-US"/>
        </w:rPr>
        <w:t xml:space="preserve"> workers’</w:t>
      </w:r>
      <w:r w:rsidRPr="00D869E3">
        <w:rPr>
          <w:rFonts w:ascii="Verdana" w:hAnsi="Verdana"/>
          <w:sz w:val="20"/>
          <w:szCs w:val="20"/>
          <w:lang w:val="en-US"/>
        </w:rPr>
        <w:t xml:space="preserve"> representatives, or on their activities arising from this representation.</w:t>
      </w:r>
      <w:r w:rsidR="00032FC5" w:rsidRPr="00D869E3">
        <w:rPr>
          <w:rFonts w:ascii="Verdana" w:hAnsi="Verdana"/>
          <w:sz w:val="20"/>
          <w:szCs w:val="20"/>
          <w:vertAlign w:val="superscript"/>
          <w:lang w:val="en-US"/>
        </w:rPr>
        <w:footnoteReference w:id="232"/>
      </w:r>
      <w:r w:rsidR="00032FC5" w:rsidRPr="00D869E3">
        <w:rPr>
          <w:rFonts w:ascii="Verdana" w:eastAsia="Times New Roman" w:hAnsi="Verdana" w:cs="Arial"/>
          <w:sz w:val="20"/>
          <w:szCs w:val="20"/>
          <w:lang w:val="en-US"/>
        </w:rPr>
        <w:t xml:space="preserve"> </w:t>
      </w:r>
      <w:r w:rsidRPr="00D869E3">
        <w:rPr>
          <w:rFonts w:ascii="Verdana" w:hAnsi="Verdana"/>
          <w:sz w:val="20"/>
          <w:szCs w:val="20"/>
          <w:lang w:val="en-US"/>
        </w:rPr>
        <w:t>Also, the national authorities must ensure that disproportionate penalties do not dissuade the representatives from seeking to express and defend the workers’ interests.</w:t>
      </w:r>
      <w:r w:rsidR="00032FC5" w:rsidRPr="00D869E3">
        <w:rPr>
          <w:rFonts w:ascii="Verdana" w:hAnsi="Verdana"/>
          <w:sz w:val="20"/>
          <w:szCs w:val="20"/>
          <w:vertAlign w:val="superscript"/>
          <w:lang w:val="en-US"/>
        </w:rPr>
        <w:footnoteReference w:id="233"/>
      </w:r>
    </w:p>
    <w:p w14:paraId="0AA0F207" w14:textId="77777777" w:rsidR="00032FC5" w:rsidRPr="00D869E3" w:rsidRDefault="00032FC5" w:rsidP="00032FC5">
      <w:pPr>
        <w:pStyle w:val="Prrafodelista"/>
        <w:rPr>
          <w:rFonts w:ascii="Verdana" w:hAnsi="Verdana"/>
          <w:sz w:val="20"/>
          <w:szCs w:val="20"/>
          <w:lang w:val="en-US"/>
        </w:rPr>
      </w:pPr>
    </w:p>
    <w:p w14:paraId="5B719D5B" w14:textId="592E3198" w:rsidR="00032FC5" w:rsidRPr="00D869E3" w:rsidRDefault="001625FE" w:rsidP="001625FE">
      <w:pPr>
        <w:numPr>
          <w:ilvl w:val="0"/>
          <w:numId w:val="1"/>
        </w:numPr>
        <w:ind w:left="0" w:firstLine="0"/>
        <w:contextualSpacing/>
        <w:jc w:val="both"/>
        <w:rPr>
          <w:rFonts w:ascii="Verdana" w:hAnsi="Verdana"/>
          <w:b/>
          <w:sz w:val="20"/>
          <w:szCs w:val="20"/>
          <w:lang w:val="en-US"/>
        </w:rPr>
      </w:pPr>
      <w:r w:rsidRPr="00D869E3">
        <w:rPr>
          <w:rFonts w:ascii="Verdana" w:hAnsi="Verdana"/>
          <w:sz w:val="20"/>
          <w:szCs w:val="20"/>
          <w:lang w:val="en-US"/>
        </w:rPr>
        <w:t>O</w:t>
      </w:r>
      <w:r w:rsidR="00032FC5" w:rsidRPr="00D869E3">
        <w:rPr>
          <w:rFonts w:ascii="Verdana" w:hAnsi="Verdana"/>
          <w:sz w:val="20"/>
          <w:szCs w:val="20"/>
          <w:lang w:val="en-US"/>
        </w:rPr>
        <w:t>n</w:t>
      </w:r>
      <w:r w:rsidRPr="00D869E3">
        <w:rPr>
          <w:rFonts w:ascii="Verdana" w:hAnsi="Verdana"/>
          <w:sz w:val="20"/>
          <w:szCs w:val="20"/>
          <w:lang w:val="en-US"/>
        </w:rPr>
        <w:t xml:space="preserve"> this</w:t>
      </w:r>
      <w:r w:rsidR="00032FC5" w:rsidRPr="00D869E3">
        <w:rPr>
          <w:rFonts w:ascii="Verdana" w:hAnsi="Verdana"/>
          <w:sz w:val="20"/>
          <w:szCs w:val="20"/>
          <w:lang w:val="en-US"/>
        </w:rPr>
        <w:t xml:space="preserve"> </w:t>
      </w:r>
      <w:r w:rsidRPr="00D869E3">
        <w:rPr>
          <w:rFonts w:ascii="Verdana" w:hAnsi="Verdana"/>
          <w:sz w:val="20"/>
          <w:szCs w:val="20"/>
          <w:lang w:val="en-US"/>
        </w:rPr>
        <w:t>point,</w:t>
      </w:r>
      <w:r w:rsidR="00032FC5" w:rsidRPr="00D869E3">
        <w:rPr>
          <w:rFonts w:ascii="Verdana" w:hAnsi="Verdana"/>
          <w:sz w:val="20"/>
          <w:szCs w:val="20"/>
          <w:lang w:val="en-US"/>
        </w:rPr>
        <w:t xml:space="preserve"> </w:t>
      </w:r>
      <w:r w:rsidR="00447C65" w:rsidRPr="00D869E3">
        <w:rPr>
          <w:rFonts w:ascii="Verdana" w:hAnsi="Verdana"/>
          <w:sz w:val="20"/>
          <w:szCs w:val="20"/>
          <w:lang w:val="en-US"/>
        </w:rPr>
        <w:t>the Court</w:t>
      </w:r>
      <w:r w:rsidR="00032FC5" w:rsidRPr="00D869E3">
        <w:rPr>
          <w:rFonts w:ascii="Verdana" w:hAnsi="Verdana"/>
          <w:sz w:val="20"/>
          <w:szCs w:val="20"/>
          <w:lang w:val="en-US"/>
        </w:rPr>
        <w:t xml:space="preserve"> </w:t>
      </w:r>
      <w:r w:rsidRPr="00D869E3">
        <w:rPr>
          <w:rFonts w:ascii="Verdana" w:hAnsi="Verdana"/>
          <w:sz w:val="20"/>
          <w:szCs w:val="20"/>
          <w:lang w:val="en-US"/>
        </w:rPr>
        <w:t xml:space="preserve">has verified that </w:t>
      </w:r>
      <w:r w:rsidR="001E44D3" w:rsidRPr="00D869E3">
        <w:rPr>
          <w:rFonts w:ascii="Verdana" w:hAnsi="Verdana"/>
          <w:sz w:val="20"/>
          <w:szCs w:val="20"/>
          <w:lang w:val="en-US"/>
        </w:rPr>
        <w:t>Mr. Lagos del Campo</w:t>
      </w:r>
      <w:r w:rsidR="00032FC5" w:rsidRPr="00D869E3">
        <w:rPr>
          <w:rFonts w:ascii="Verdana" w:hAnsi="Verdana"/>
          <w:sz w:val="20"/>
          <w:szCs w:val="20"/>
          <w:lang w:val="en-US"/>
        </w:rPr>
        <w:t xml:space="preserve"> </w:t>
      </w:r>
      <w:r w:rsidRPr="00D869E3">
        <w:rPr>
          <w:rFonts w:ascii="Verdana" w:hAnsi="Verdana"/>
          <w:sz w:val="20"/>
          <w:szCs w:val="20"/>
          <w:lang w:val="en-US"/>
        </w:rPr>
        <w:t>was dismissed owing to the complaints made in the context of an electoral process that the presumed victim, together with other workers, were called on to supervise. Additionally, it is a proven fact that, as a result of his dismissal</w:t>
      </w:r>
      <w:r w:rsidR="00032FC5" w:rsidRPr="00D869E3">
        <w:rPr>
          <w:rFonts w:ascii="Verdana" w:hAnsi="Verdana"/>
          <w:sz w:val="20"/>
          <w:szCs w:val="20"/>
          <w:lang w:val="en-US"/>
        </w:rPr>
        <w:t xml:space="preserve">, </w:t>
      </w:r>
      <w:r w:rsidR="001E44D3" w:rsidRPr="00D869E3">
        <w:rPr>
          <w:rFonts w:ascii="Verdana" w:hAnsi="Verdana"/>
          <w:sz w:val="20"/>
          <w:szCs w:val="20"/>
          <w:lang w:val="en-US"/>
        </w:rPr>
        <w:t>Mr. Lagos del Campo</w:t>
      </w:r>
      <w:r w:rsidR="00032FC5" w:rsidRPr="00D869E3">
        <w:rPr>
          <w:rFonts w:ascii="Verdana" w:hAnsi="Verdana"/>
          <w:sz w:val="20"/>
          <w:szCs w:val="20"/>
          <w:lang w:val="en-US"/>
        </w:rPr>
        <w:t xml:space="preserve"> </w:t>
      </w:r>
      <w:r w:rsidRPr="00D869E3">
        <w:rPr>
          <w:rFonts w:ascii="Verdana" w:hAnsi="Verdana"/>
          <w:sz w:val="20"/>
          <w:szCs w:val="20"/>
          <w:lang w:val="en-US"/>
        </w:rPr>
        <w:t>was unable to continue his work representing the work</w:t>
      </w:r>
      <w:r w:rsidR="000258D5" w:rsidRPr="00D869E3">
        <w:rPr>
          <w:rFonts w:ascii="Verdana" w:hAnsi="Verdana"/>
          <w:sz w:val="20"/>
          <w:szCs w:val="20"/>
          <w:lang w:val="en-US"/>
        </w:rPr>
        <w:t>ers</w:t>
      </w:r>
      <w:r w:rsidRPr="00D869E3">
        <w:rPr>
          <w:rFonts w:ascii="Verdana" w:hAnsi="Verdana"/>
          <w:sz w:val="20"/>
          <w:szCs w:val="20"/>
          <w:lang w:val="en-US"/>
        </w:rPr>
        <w:t xml:space="preserve"> </w:t>
      </w:r>
      <w:r w:rsidRPr="00D869E3">
        <w:rPr>
          <w:rFonts w:ascii="Verdana" w:hAnsi="Verdana"/>
          <w:sz w:val="20"/>
          <w:szCs w:val="20"/>
          <w:lang w:val="en-US"/>
        </w:rPr>
        <w:lastRenderedPageBreak/>
        <w:t xml:space="preserve">on </w:t>
      </w:r>
      <w:r w:rsidR="00EA232B" w:rsidRPr="00D869E3">
        <w:rPr>
          <w:rFonts w:ascii="Verdana" w:hAnsi="Verdana"/>
          <w:sz w:val="20"/>
          <w:szCs w:val="20"/>
          <w:lang w:val="en-US"/>
        </w:rPr>
        <w:t>the Electoral Committee</w:t>
      </w:r>
      <w:r w:rsidR="00032FC5" w:rsidRPr="00D869E3">
        <w:rPr>
          <w:rFonts w:ascii="Verdana" w:hAnsi="Verdana"/>
          <w:sz w:val="20"/>
          <w:szCs w:val="20"/>
          <w:lang w:val="en-US"/>
        </w:rPr>
        <w:t xml:space="preserve">, </w:t>
      </w:r>
      <w:r w:rsidRPr="00D869E3">
        <w:rPr>
          <w:rFonts w:ascii="Verdana" w:hAnsi="Verdana"/>
          <w:sz w:val="20"/>
          <w:szCs w:val="20"/>
          <w:lang w:val="en-US"/>
        </w:rPr>
        <w:t xml:space="preserve">and could not even attend a meeting that he himself, in the exercise of his functions, had convened on June 27, </w:t>
      </w:r>
      <w:r w:rsidR="00032FC5" w:rsidRPr="00D869E3">
        <w:rPr>
          <w:rFonts w:ascii="Verdana" w:hAnsi="Verdana"/>
          <w:sz w:val="20"/>
          <w:szCs w:val="20"/>
          <w:lang w:val="en-US"/>
        </w:rPr>
        <w:t>1989</w:t>
      </w:r>
      <w:r w:rsidRPr="00D869E3">
        <w:rPr>
          <w:rFonts w:ascii="Verdana" w:hAnsi="Verdana"/>
          <w:sz w:val="20"/>
          <w:szCs w:val="20"/>
          <w:lang w:val="en-US"/>
        </w:rPr>
        <w:t>, before being dismissed</w:t>
      </w:r>
      <w:r w:rsidR="00032FC5" w:rsidRPr="00D869E3">
        <w:rPr>
          <w:rFonts w:ascii="Verdana" w:hAnsi="Verdana"/>
          <w:sz w:val="16"/>
          <w:szCs w:val="20"/>
          <w:lang w:val="en-US"/>
        </w:rPr>
        <w:t xml:space="preserve"> </w:t>
      </w:r>
      <w:r w:rsidR="00032FC5" w:rsidRPr="00D869E3">
        <w:rPr>
          <w:rFonts w:ascii="Verdana" w:hAnsi="Verdana"/>
          <w:sz w:val="20"/>
          <w:szCs w:val="20"/>
          <w:lang w:val="en-US"/>
        </w:rPr>
        <w:t>(</w:t>
      </w:r>
      <w:r w:rsidR="00032FC5" w:rsidRPr="00D869E3">
        <w:rPr>
          <w:rFonts w:ascii="Verdana" w:hAnsi="Verdana"/>
          <w:i/>
          <w:sz w:val="20"/>
          <w:szCs w:val="20"/>
          <w:lang w:val="en-US"/>
        </w:rPr>
        <w:t>supra</w:t>
      </w:r>
      <w:r w:rsidR="00032FC5" w:rsidRPr="00D869E3">
        <w:rPr>
          <w:rFonts w:ascii="Verdana" w:hAnsi="Verdana"/>
          <w:sz w:val="20"/>
          <w:szCs w:val="20"/>
          <w:lang w:val="en-US"/>
        </w:rPr>
        <w:t xml:space="preserve">, </w:t>
      </w:r>
      <w:r w:rsidR="0087339F" w:rsidRPr="00D869E3">
        <w:rPr>
          <w:rFonts w:ascii="Verdana" w:hAnsi="Verdana"/>
          <w:sz w:val="20"/>
          <w:szCs w:val="20"/>
          <w:lang w:val="en-US"/>
        </w:rPr>
        <w:t>para.</w:t>
      </w:r>
      <w:r w:rsidR="003E79D2" w:rsidRPr="00D869E3">
        <w:rPr>
          <w:rFonts w:ascii="Verdana" w:hAnsi="Verdana"/>
          <w:sz w:val="20"/>
          <w:szCs w:val="20"/>
          <w:lang w:val="en-US"/>
        </w:rPr>
        <w:t xml:space="preserve"> 53</w:t>
      </w:r>
      <w:r w:rsidR="00032FC5" w:rsidRPr="00D869E3">
        <w:rPr>
          <w:rFonts w:ascii="Verdana" w:hAnsi="Verdana"/>
          <w:sz w:val="20"/>
          <w:szCs w:val="20"/>
          <w:lang w:val="en-US"/>
        </w:rPr>
        <w:t>)</w:t>
      </w:r>
      <w:r w:rsidRPr="00D869E3">
        <w:rPr>
          <w:rFonts w:ascii="Verdana" w:hAnsi="Verdana"/>
          <w:sz w:val="20"/>
          <w:szCs w:val="20"/>
          <w:lang w:val="en-US"/>
        </w:rPr>
        <w:t>; also he was not</w:t>
      </w:r>
      <w:r w:rsidR="000258D5" w:rsidRPr="00D869E3">
        <w:rPr>
          <w:rFonts w:ascii="Verdana" w:hAnsi="Verdana"/>
          <w:sz w:val="20"/>
          <w:szCs w:val="20"/>
          <w:lang w:val="en-US"/>
        </w:rPr>
        <w:t xml:space="preserve"> </w:t>
      </w:r>
      <w:r w:rsidRPr="00D869E3">
        <w:rPr>
          <w:rFonts w:ascii="Verdana" w:hAnsi="Verdana"/>
          <w:sz w:val="20"/>
          <w:szCs w:val="20"/>
          <w:lang w:val="en-US"/>
        </w:rPr>
        <w:t xml:space="preserve">able to continue being a member of </w:t>
      </w:r>
      <w:r w:rsidR="00EA232B" w:rsidRPr="00D869E3">
        <w:rPr>
          <w:rFonts w:ascii="Verdana" w:hAnsi="Verdana"/>
          <w:sz w:val="20"/>
          <w:szCs w:val="20"/>
          <w:lang w:val="en-US"/>
        </w:rPr>
        <w:t xml:space="preserve">the Industrial </w:t>
      </w:r>
      <w:r w:rsidR="00D13E32" w:rsidRPr="00D869E3">
        <w:rPr>
          <w:rFonts w:ascii="Verdana" w:hAnsi="Verdana"/>
          <w:sz w:val="20"/>
          <w:szCs w:val="20"/>
          <w:lang w:val="en-US"/>
        </w:rPr>
        <w:t>Community since</w:t>
      </w:r>
      <w:r w:rsidRPr="00D869E3">
        <w:rPr>
          <w:rFonts w:ascii="Verdana" w:hAnsi="Verdana"/>
          <w:sz w:val="20"/>
          <w:szCs w:val="20"/>
          <w:lang w:val="en-US"/>
        </w:rPr>
        <w:t xml:space="preserve"> he no longer worked for the company. </w:t>
      </w:r>
      <w:r w:rsidR="00075E68" w:rsidRPr="00D869E3">
        <w:rPr>
          <w:rFonts w:ascii="Verdana" w:hAnsi="Verdana"/>
          <w:sz w:val="20"/>
          <w:szCs w:val="20"/>
          <w:lang w:val="en-US"/>
        </w:rPr>
        <w:t>In this regard</w:t>
      </w:r>
      <w:r w:rsidR="00032FC5" w:rsidRPr="00D869E3">
        <w:rPr>
          <w:rFonts w:ascii="Verdana" w:hAnsi="Verdana"/>
          <w:sz w:val="20"/>
          <w:szCs w:val="20"/>
          <w:lang w:val="en-US"/>
        </w:rPr>
        <w:t xml:space="preserve">, </w:t>
      </w:r>
      <w:r w:rsidR="00447C65" w:rsidRPr="00D869E3">
        <w:rPr>
          <w:rFonts w:ascii="Verdana" w:hAnsi="Verdana"/>
          <w:sz w:val="20"/>
          <w:szCs w:val="20"/>
          <w:lang w:val="en-US"/>
        </w:rPr>
        <w:t>the Court</w:t>
      </w:r>
      <w:r w:rsidR="00032FC5" w:rsidRPr="00D869E3">
        <w:rPr>
          <w:rFonts w:ascii="Verdana" w:hAnsi="Verdana"/>
          <w:sz w:val="20"/>
          <w:szCs w:val="20"/>
          <w:lang w:val="en-US"/>
        </w:rPr>
        <w:t xml:space="preserve"> </w:t>
      </w:r>
      <w:r w:rsidRPr="00D869E3">
        <w:rPr>
          <w:rFonts w:ascii="Verdana" w:hAnsi="Verdana"/>
          <w:sz w:val="20"/>
          <w:szCs w:val="20"/>
          <w:lang w:val="en-US"/>
        </w:rPr>
        <w:t>notes that</w:t>
      </w:r>
      <w:r w:rsidR="00032FC5" w:rsidRPr="00D869E3">
        <w:rPr>
          <w:rFonts w:ascii="Verdana" w:hAnsi="Verdana"/>
          <w:sz w:val="20"/>
          <w:szCs w:val="20"/>
          <w:lang w:val="en-US"/>
        </w:rPr>
        <w:t xml:space="preserve"> </w:t>
      </w:r>
      <w:r w:rsidR="003506CC" w:rsidRPr="00D869E3">
        <w:rPr>
          <w:rFonts w:ascii="Verdana" w:hAnsi="Verdana"/>
          <w:sz w:val="20"/>
          <w:szCs w:val="20"/>
          <w:lang w:val="en-US"/>
        </w:rPr>
        <w:t xml:space="preserve">the </w:t>
      </w:r>
      <w:r w:rsidR="00966115" w:rsidRPr="00D869E3">
        <w:rPr>
          <w:rFonts w:ascii="Verdana" w:hAnsi="Verdana"/>
          <w:sz w:val="20"/>
          <w:szCs w:val="20"/>
          <w:lang w:val="en-US"/>
        </w:rPr>
        <w:t>Second Labor Court</w:t>
      </w:r>
      <w:r w:rsidR="009D37C8" w:rsidRPr="00D869E3">
        <w:rPr>
          <w:rFonts w:ascii="Verdana" w:hAnsi="Verdana"/>
          <w:sz w:val="20"/>
          <w:szCs w:val="20"/>
          <w:lang w:val="en-US"/>
        </w:rPr>
        <w:t xml:space="preserve"> of Lima</w:t>
      </w:r>
      <w:r w:rsidR="00032FC5" w:rsidRPr="00D869E3">
        <w:rPr>
          <w:rFonts w:ascii="Verdana" w:hAnsi="Verdana"/>
          <w:sz w:val="20"/>
          <w:szCs w:val="20"/>
          <w:lang w:val="en-US"/>
        </w:rPr>
        <w:t xml:space="preserve">, </w:t>
      </w:r>
      <w:r w:rsidRPr="00D869E3">
        <w:rPr>
          <w:rFonts w:ascii="Verdana" w:hAnsi="Verdana"/>
          <w:sz w:val="20"/>
          <w:szCs w:val="20"/>
          <w:lang w:val="en-US"/>
        </w:rPr>
        <w:t>in its decision</w:t>
      </w:r>
      <w:r w:rsidR="00447C65" w:rsidRPr="00D869E3">
        <w:rPr>
          <w:rFonts w:ascii="Verdana" w:hAnsi="Verdana"/>
          <w:sz w:val="20"/>
          <w:szCs w:val="20"/>
          <w:lang w:val="en-US"/>
        </w:rPr>
        <w:t xml:space="preserve"> of</w:t>
      </w:r>
      <w:r w:rsidR="00032FC5" w:rsidRPr="00D869E3">
        <w:rPr>
          <w:rFonts w:ascii="Verdana" w:hAnsi="Verdana"/>
          <w:sz w:val="20"/>
          <w:szCs w:val="20"/>
          <w:lang w:val="en-US"/>
        </w:rPr>
        <w:t xml:space="preserve"> </w:t>
      </w:r>
      <w:r w:rsidR="001E3B42" w:rsidRPr="00D869E3">
        <w:rPr>
          <w:rFonts w:ascii="Verdana" w:hAnsi="Verdana"/>
          <w:sz w:val="20"/>
          <w:szCs w:val="20"/>
          <w:lang w:val="en-US"/>
        </w:rPr>
        <w:t>August 8,</w:t>
      </w:r>
      <w:r w:rsidR="00032FC5" w:rsidRPr="00D869E3">
        <w:rPr>
          <w:rFonts w:ascii="Verdana" w:hAnsi="Verdana"/>
          <w:sz w:val="20"/>
          <w:szCs w:val="20"/>
          <w:lang w:val="en-US"/>
        </w:rPr>
        <w:t xml:space="preserve"> 1991</w:t>
      </w:r>
      <w:r w:rsidRPr="00D869E3">
        <w:rPr>
          <w:rFonts w:ascii="Verdana" w:hAnsi="Verdana"/>
          <w:sz w:val="20"/>
          <w:szCs w:val="20"/>
          <w:lang w:val="en-US"/>
        </w:rPr>
        <w:t xml:space="preserve">, in which it classified the presumed victim’s dismissal as </w:t>
      </w:r>
      <w:r w:rsidR="00446B52" w:rsidRPr="00D869E3">
        <w:rPr>
          <w:rFonts w:ascii="Verdana" w:hAnsi="Verdana"/>
          <w:sz w:val="20"/>
          <w:szCs w:val="20"/>
          <w:lang w:val="en-US"/>
        </w:rPr>
        <w:t xml:space="preserve"> </w:t>
      </w:r>
      <w:r w:rsidR="006436CA" w:rsidRPr="00D869E3">
        <w:rPr>
          <w:rFonts w:ascii="Verdana" w:hAnsi="Verdana"/>
          <w:sz w:val="20"/>
          <w:szCs w:val="20"/>
          <w:lang w:val="en-US"/>
        </w:rPr>
        <w:t>“</w:t>
      </w:r>
      <w:r w:rsidR="00032FC5" w:rsidRPr="00D869E3">
        <w:rPr>
          <w:rFonts w:ascii="Verdana" w:hAnsi="Verdana"/>
          <w:sz w:val="20"/>
          <w:szCs w:val="20"/>
          <w:lang w:val="en-US"/>
        </w:rPr>
        <w:t>legal</w:t>
      </w:r>
      <w:r w:rsidR="00687684" w:rsidRPr="00D869E3">
        <w:rPr>
          <w:rFonts w:ascii="Verdana" w:hAnsi="Verdana"/>
          <w:sz w:val="20"/>
          <w:szCs w:val="20"/>
          <w:lang w:val="en-US"/>
        </w:rPr>
        <w:t xml:space="preserve"> and </w:t>
      </w:r>
      <w:r w:rsidR="00032FC5" w:rsidRPr="00D869E3">
        <w:rPr>
          <w:rFonts w:ascii="Verdana" w:hAnsi="Verdana"/>
          <w:sz w:val="20"/>
          <w:szCs w:val="20"/>
          <w:lang w:val="en-US"/>
        </w:rPr>
        <w:t>justifi</w:t>
      </w:r>
      <w:r w:rsidRPr="00D869E3">
        <w:rPr>
          <w:rFonts w:ascii="Verdana" w:hAnsi="Verdana"/>
          <w:sz w:val="20"/>
          <w:szCs w:val="20"/>
          <w:lang w:val="en-US"/>
        </w:rPr>
        <w:t>ed</w:t>
      </w:r>
      <w:r w:rsidR="006436CA" w:rsidRPr="00D869E3">
        <w:rPr>
          <w:rFonts w:ascii="Verdana" w:hAnsi="Verdana"/>
          <w:sz w:val="20"/>
          <w:szCs w:val="20"/>
          <w:lang w:val="en-US"/>
        </w:rPr>
        <w:t>”</w:t>
      </w:r>
      <w:r w:rsidR="00032FC5" w:rsidRPr="00D869E3">
        <w:rPr>
          <w:rFonts w:ascii="Verdana" w:hAnsi="Verdana"/>
          <w:sz w:val="20"/>
          <w:szCs w:val="20"/>
          <w:lang w:val="en-US"/>
        </w:rPr>
        <w:t xml:space="preserve"> (</w:t>
      </w:r>
      <w:r w:rsidR="00032FC5" w:rsidRPr="00D869E3">
        <w:rPr>
          <w:rFonts w:ascii="Verdana" w:hAnsi="Verdana"/>
          <w:i/>
          <w:sz w:val="20"/>
          <w:szCs w:val="20"/>
          <w:lang w:val="en-US"/>
        </w:rPr>
        <w:t>supra</w:t>
      </w:r>
      <w:r w:rsidR="00032FC5" w:rsidRPr="00D869E3">
        <w:rPr>
          <w:rFonts w:ascii="Verdana" w:hAnsi="Verdana"/>
          <w:sz w:val="20"/>
          <w:szCs w:val="20"/>
          <w:lang w:val="en-US"/>
        </w:rPr>
        <w:t xml:space="preserve"> </w:t>
      </w:r>
      <w:r w:rsidR="0087339F" w:rsidRPr="00D869E3">
        <w:rPr>
          <w:rFonts w:ascii="Verdana" w:hAnsi="Verdana"/>
          <w:sz w:val="20"/>
          <w:szCs w:val="20"/>
          <w:lang w:val="en-US"/>
        </w:rPr>
        <w:t>para.</w:t>
      </w:r>
      <w:r w:rsidR="003E79D2" w:rsidRPr="00D869E3">
        <w:rPr>
          <w:rFonts w:ascii="Verdana" w:hAnsi="Verdana"/>
          <w:sz w:val="20"/>
          <w:szCs w:val="20"/>
          <w:lang w:val="en-US"/>
        </w:rPr>
        <w:t xml:space="preserve"> 60</w:t>
      </w:r>
      <w:r w:rsidR="00032FC5" w:rsidRPr="00D869E3">
        <w:rPr>
          <w:rFonts w:ascii="Verdana" w:hAnsi="Verdana"/>
          <w:sz w:val="20"/>
          <w:szCs w:val="20"/>
          <w:lang w:val="en-US"/>
        </w:rPr>
        <w:t xml:space="preserve">), </w:t>
      </w:r>
      <w:r w:rsidR="00D329A8" w:rsidRPr="00D869E3">
        <w:rPr>
          <w:rFonts w:ascii="Verdana" w:hAnsi="Verdana"/>
          <w:sz w:val="20"/>
          <w:szCs w:val="20"/>
          <w:lang w:val="en-US"/>
        </w:rPr>
        <w:t>ratifie</w:t>
      </w:r>
      <w:r w:rsidRPr="00D869E3">
        <w:rPr>
          <w:rFonts w:ascii="Verdana" w:hAnsi="Verdana"/>
          <w:sz w:val="20"/>
          <w:szCs w:val="20"/>
          <w:lang w:val="en-US"/>
        </w:rPr>
        <w:t xml:space="preserve">d a sanction that had an impact on the possibility </w:t>
      </w:r>
      <w:r w:rsidR="00E6309B" w:rsidRPr="00D869E3">
        <w:rPr>
          <w:rFonts w:ascii="Verdana" w:hAnsi="Verdana"/>
          <w:sz w:val="20"/>
          <w:szCs w:val="20"/>
          <w:lang w:val="en-US"/>
        </w:rPr>
        <w:t>of Mr.</w:t>
      </w:r>
      <w:r w:rsidR="001E44D3" w:rsidRPr="00D869E3">
        <w:rPr>
          <w:rFonts w:ascii="Verdana" w:hAnsi="Verdana"/>
          <w:sz w:val="20"/>
          <w:szCs w:val="20"/>
          <w:lang w:val="en-US"/>
        </w:rPr>
        <w:t xml:space="preserve"> Lagos del Campo</w:t>
      </w:r>
      <w:r w:rsidR="00032FC5" w:rsidRPr="00D869E3">
        <w:rPr>
          <w:rFonts w:ascii="Verdana" w:hAnsi="Verdana"/>
          <w:sz w:val="20"/>
          <w:szCs w:val="20"/>
          <w:lang w:val="en-US"/>
        </w:rPr>
        <w:t xml:space="preserve"> </w:t>
      </w:r>
      <w:r w:rsidRPr="00D869E3">
        <w:rPr>
          <w:rFonts w:ascii="Verdana" w:hAnsi="Verdana"/>
          <w:sz w:val="20"/>
          <w:szCs w:val="20"/>
          <w:lang w:val="en-US"/>
        </w:rPr>
        <w:t>being able to continue to work for the said company and to represent the interests of the other workers.</w:t>
      </w:r>
    </w:p>
    <w:p w14:paraId="6B05BFD6" w14:textId="77777777" w:rsidR="007406F9" w:rsidRPr="00D869E3" w:rsidRDefault="007406F9" w:rsidP="007406F9">
      <w:pPr>
        <w:pStyle w:val="Prrafodelista"/>
        <w:rPr>
          <w:rFonts w:ascii="Verdana" w:hAnsi="Verdana"/>
          <w:b/>
          <w:sz w:val="20"/>
          <w:szCs w:val="20"/>
          <w:lang w:val="en-US"/>
        </w:rPr>
      </w:pPr>
    </w:p>
    <w:p w14:paraId="32D7D447" w14:textId="6BDB2088" w:rsidR="00032FC5" w:rsidRPr="00D869E3" w:rsidRDefault="007406F9" w:rsidP="007406F9">
      <w:pPr>
        <w:numPr>
          <w:ilvl w:val="0"/>
          <w:numId w:val="1"/>
        </w:numPr>
        <w:ind w:left="0" w:firstLine="0"/>
        <w:contextualSpacing/>
        <w:jc w:val="both"/>
        <w:rPr>
          <w:rFonts w:ascii="Verdana" w:hAnsi="Verdana"/>
          <w:b/>
          <w:sz w:val="20"/>
          <w:szCs w:val="20"/>
          <w:lang w:val="en-US"/>
        </w:rPr>
      </w:pPr>
      <w:r w:rsidRPr="00D869E3">
        <w:rPr>
          <w:rFonts w:ascii="Verdana" w:hAnsi="Verdana"/>
          <w:sz w:val="20"/>
          <w:szCs w:val="20"/>
          <w:lang w:val="en-US"/>
        </w:rPr>
        <w:t xml:space="preserve">In addition, the Court has established that freedom of association has two dimensions, because it relates both to the right of the individual to associate freely and </w:t>
      </w:r>
      <w:r w:rsidR="000258D5" w:rsidRPr="00D869E3">
        <w:rPr>
          <w:rFonts w:ascii="Verdana" w:hAnsi="Verdana"/>
          <w:sz w:val="20"/>
          <w:szCs w:val="20"/>
          <w:lang w:val="en-US"/>
        </w:rPr>
        <w:t xml:space="preserve">to </w:t>
      </w:r>
      <w:r w:rsidRPr="00D869E3">
        <w:rPr>
          <w:rFonts w:ascii="Verdana" w:hAnsi="Verdana"/>
          <w:sz w:val="20"/>
          <w:szCs w:val="20"/>
          <w:lang w:val="en-US"/>
        </w:rPr>
        <w:t>use the appropriate means to exercise this freedom, and to the right of the members of a group to achieve certain objectives together and to benefit from them.</w:t>
      </w:r>
      <w:r w:rsidR="00032FC5" w:rsidRPr="00D869E3">
        <w:rPr>
          <w:rStyle w:val="Refdenotaalpie"/>
          <w:szCs w:val="20"/>
          <w:lang w:val="en-US"/>
        </w:rPr>
        <w:footnoteReference w:id="234"/>
      </w:r>
      <w:r w:rsidR="00032FC5" w:rsidRPr="00D869E3">
        <w:rPr>
          <w:rFonts w:ascii="Verdana" w:hAnsi="Verdana"/>
          <w:sz w:val="20"/>
          <w:szCs w:val="20"/>
          <w:lang w:val="en-US"/>
        </w:rPr>
        <w:t xml:space="preserve"> </w:t>
      </w:r>
      <w:r w:rsidRPr="00D869E3">
        <w:rPr>
          <w:rFonts w:ascii="Verdana" w:hAnsi="Verdana"/>
          <w:sz w:val="20"/>
          <w:szCs w:val="20"/>
          <w:lang w:val="en-US"/>
        </w:rPr>
        <w:t>The Court has also established that the rights derived from representing the interests of a group are twofold, because they relate both to the right of the individual who exercises the mandate or appointment, and the right of the collectivity to be represented, so that the violation of the right of the former (the representative) results in the violation of the right of the latter (the person or collectivity represented).</w:t>
      </w:r>
      <w:r w:rsidR="00032FC5" w:rsidRPr="00D869E3">
        <w:rPr>
          <w:rFonts w:ascii="Verdana" w:hAnsi="Verdana"/>
          <w:sz w:val="20"/>
          <w:vertAlign w:val="superscript"/>
          <w:lang w:val="en-US"/>
        </w:rPr>
        <w:footnoteReference w:id="235"/>
      </w:r>
      <w:r w:rsidR="00032FC5" w:rsidRPr="00D869E3">
        <w:rPr>
          <w:rFonts w:ascii="Verdana" w:hAnsi="Verdana"/>
          <w:sz w:val="20"/>
          <w:szCs w:val="20"/>
          <w:lang w:val="en-US"/>
        </w:rPr>
        <w:t xml:space="preserve"> </w:t>
      </w:r>
      <w:r w:rsidR="00C01535" w:rsidRPr="00D869E3">
        <w:rPr>
          <w:rFonts w:ascii="Verdana" w:hAnsi="Verdana"/>
          <w:sz w:val="20"/>
          <w:szCs w:val="20"/>
          <w:lang w:val="en-US"/>
        </w:rPr>
        <w:t xml:space="preserve">Consequently, the Court finds that the dismissal </w:t>
      </w:r>
      <w:r w:rsidR="00E6309B" w:rsidRPr="00D869E3">
        <w:rPr>
          <w:rFonts w:ascii="Verdana" w:hAnsi="Verdana"/>
          <w:sz w:val="20"/>
          <w:szCs w:val="20"/>
          <w:lang w:val="en-US"/>
        </w:rPr>
        <w:t>of Mr.</w:t>
      </w:r>
      <w:r w:rsidR="001E44D3" w:rsidRPr="00D869E3">
        <w:rPr>
          <w:rFonts w:ascii="Verdana" w:hAnsi="Verdana"/>
          <w:sz w:val="20"/>
          <w:szCs w:val="20"/>
          <w:lang w:val="en-US"/>
        </w:rPr>
        <w:t xml:space="preserve"> Lagos del Campo</w:t>
      </w:r>
      <w:r w:rsidR="00032FC5" w:rsidRPr="00D869E3">
        <w:rPr>
          <w:rFonts w:ascii="Verdana" w:hAnsi="Verdana"/>
          <w:sz w:val="20"/>
          <w:szCs w:val="20"/>
          <w:lang w:val="en-US"/>
        </w:rPr>
        <w:t xml:space="preserve"> </w:t>
      </w:r>
      <w:r w:rsidR="00C01535" w:rsidRPr="00D869E3">
        <w:rPr>
          <w:rFonts w:ascii="Verdana" w:hAnsi="Verdana"/>
          <w:sz w:val="20"/>
          <w:szCs w:val="20"/>
          <w:lang w:val="en-US"/>
        </w:rPr>
        <w:t>transcended</w:t>
      </w:r>
      <w:r w:rsidR="00032FC5" w:rsidRPr="00D869E3">
        <w:rPr>
          <w:rFonts w:ascii="Verdana" w:hAnsi="Verdana"/>
          <w:sz w:val="20"/>
          <w:szCs w:val="20"/>
          <w:lang w:val="en-US"/>
        </w:rPr>
        <w:t xml:space="preserve"> </w:t>
      </w:r>
      <w:r w:rsidR="007013E2" w:rsidRPr="00D869E3">
        <w:rPr>
          <w:rFonts w:ascii="Verdana" w:hAnsi="Verdana"/>
          <w:sz w:val="20"/>
          <w:szCs w:val="20"/>
          <w:lang w:val="en-US"/>
        </w:rPr>
        <w:t>the violation</w:t>
      </w:r>
      <w:r w:rsidR="00032FC5" w:rsidRPr="00D869E3">
        <w:rPr>
          <w:rFonts w:ascii="Verdana" w:hAnsi="Verdana"/>
          <w:sz w:val="20"/>
          <w:szCs w:val="20"/>
          <w:lang w:val="en-US"/>
        </w:rPr>
        <w:t xml:space="preserve"> </w:t>
      </w:r>
      <w:r w:rsidR="00C01535" w:rsidRPr="00D869E3">
        <w:rPr>
          <w:rFonts w:ascii="Verdana" w:hAnsi="Verdana"/>
          <w:sz w:val="20"/>
          <w:szCs w:val="20"/>
          <w:lang w:val="en-US"/>
        </w:rPr>
        <w:t xml:space="preserve">of his individual right to </w:t>
      </w:r>
      <w:r w:rsidR="00351902" w:rsidRPr="00D869E3">
        <w:rPr>
          <w:rFonts w:ascii="Verdana" w:hAnsi="Verdana"/>
          <w:sz w:val="20"/>
          <w:szCs w:val="20"/>
          <w:lang w:val="en-US"/>
        </w:rPr>
        <w:t>freedom of association</w:t>
      </w:r>
      <w:r w:rsidR="00032FC5" w:rsidRPr="00D869E3">
        <w:rPr>
          <w:rFonts w:ascii="Verdana" w:hAnsi="Verdana"/>
          <w:sz w:val="20"/>
          <w:szCs w:val="20"/>
          <w:lang w:val="en-US"/>
        </w:rPr>
        <w:t xml:space="preserve">, </w:t>
      </w:r>
      <w:r w:rsidR="00C01535" w:rsidRPr="00D869E3">
        <w:rPr>
          <w:rFonts w:ascii="Verdana" w:hAnsi="Verdana"/>
          <w:sz w:val="20"/>
          <w:szCs w:val="20"/>
          <w:lang w:val="en-US"/>
        </w:rPr>
        <w:t xml:space="preserve">because it deprived the workers </w:t>
      </w:r>
      <w:r w:rsidR="00EA232B" w:rsidRPr="00D869E3">
        <w:rPr>
          <w:rFonts w:ascii="Verdana" w:hAnsi="Verdana"/>
          <w:sz w:val="20"/>
          <w:szCs w:val="20"/>
          <w:lang w:val="en-US"/>
        </w:rPr>
        <w:t>of the Industrial Community</w:t>
      </w:r>
      <w:r w:rsidR="00032FC5" w:rsidRPr="00D869E3">
        <w:rPr>
          <w:rFonts w:ascii="Verdana" w:hAnsi="Verdana"/>
          <w:sz w:val="20"/>
          <w:szCs w:val="20"/>
          <w:lang w:val="en-US"/>
        </w:rPr>
        <w:t xml:space="preserve"> </w:t>
      </w:r>
      <w:r w:rsidR="00C01535" w:rsidRPr="00D869E3">
        <w:rPr>
          <w:rFonts w:ascii="Verdana" w:hAnsi="Verdana"/>
          <w:sz w:val="20"/>
          <w:szCs w:val="20"/>
          <w:lang w:val="en-US"/>
        </w:rPr>
        <w:t xml:space="preserve">of the representation of one of their leaders, especially in the election </w:t>
      </w:r>
      <w:r w:rsidR="00D2027E" w:rsidRPr="00D869E3">
        <w:rPr>
          <w:rFonts w:ascii="Verdana" w:hAnsi="Verdana"/>
          <w:sz w:val="20"/>
          <w:szCs w:val="20"/>
          <w:lang w:val="en-US"/>
        </w:rPr>
        <w:t xml:space="preserve">that should have been held under his supervision </w:t>
      </w:r>
      <w:r w:rsidR="00C66688" w:rsidRPr="00D869E3">
        <w:rPr>
          <w:rFonts w:ascii="Verdana" w:hAnsi="Verdana"/>
          <w:sz w:val="20"/>
          <w:szCs w:val="20"/>
          <w:lang w:val="en-US"/>
        </w:rPr>
        <w:t xml:space="preserve">as </w:t>
      </w:r>
      <w:r w:rsidR="001B0492" w:rsidRPr="00D869E3">
        <w:rPr>
          <w:rFonts w:ascii="Verdana" w:hAnsi="Verdana"/>
          <w:sz w:val="20"/>
          <w:szCs w:val="20"/>
          <w:lang w:val="en-US"/>
        </w:rPr>
        <w:t>president of the Electoral</w:t>
      </w:r>
      <w:r w:rsidR="00EA232B" w:rsidRPr="00D869E3">
        <w:rPr>
          <w:rFonts w:ascii="Verdana" w:hAnsi="Verdana"/>
          <w:sz w:val="20"/>
          <w:szCs w:val="20"/>
          <w:lang w:val="en-US"/>
        </w:rPr>
        <w:t xml:space="preserve"> Committee</w:t>
      </w:r>
      <w:r w:rsidR="00032FC5" w:rsidRPr="00D869E3">
        <w:rPr>
          <w:rFonts w:ascii="Verdana" w:hAnsi="Verdana"/>
          <w:sz w:val="20"/>
          <w:szCs w:val="20"/>
          <w:lang w:val="en-US"/>
        </w:rPr>
        <w:t xml:space="preserve">. </w:t>
      </w:r>
      <w:r w:rsidR="00D2027E" w:rsidRPr="00D869E3">
        <w:rPr>
          <w:rFonts w:ascii="Verdana" w:hAnsi="Verdana"/>
          <w:sz w:val="20"/>
          <w:szCs w:val="20"/>
          <w:lang w:val="en-US"/>
        </w:rPr>
        <w:t>T</w:t>
      </w:r>
      <w:r w:rsidR="00447C65" w:rsidRPr="00D869E3">
        <w:rPr>
          <w:rFonts w:ascii="Verdana" w:hAnsi="Verdana"/>
          <w:sz w:val="20"/>
          <w:szCs w:val="20"/>
          <w:lang w:val="en-US"/>
        </w:rPr>
        <w:t>he Court</w:t>
      </w:r>
      <w:r w:rsidR="00032FC5" w:rsidRPr="00D869E3">
        <w:rPr>
          <w:rFonts w:ascii="Verdana" w:hAnsi="Verdana"/>
          <w:sz w:val="20"/>
          <w:szCs w:val="20"/>
          <w:lang w:val="en-US"/>
        </w:rPr>
        <w:t xml:space="preserve"> </w:t>
      </w:r>
      <w:r w:rsidR="00D2027E" w:rsidRPr="00D869E3">
        <w:rPr>
          <w:rFonts w:ascii="Verdana" w:hAnsi="Verdana"/>
          <w:sz w:val="20"/>
          <w:szCs w:val="20"/>
          <w:lang w:val="en-US"/>
        </w:rPr>
        <w:t xml:space="preserve">also notes that, since </w:t>
      </w:r>
      <w:r w:rsidR="00E6309B" w:rsidRPr="00D869E3">
        <w:rPr>
          <w:rFonts w:ascii="Verdana" w:hAnsi="Verdana"/>
          <w:sz w:val="20"/>
          <w:szCs w:val="20"/>
          <w:lang w:val="en-US"/>
        </w:rPr>
        <w:t>Mr.</w:t>
      </w:r>
      <w:r w:rsidR="001E44D3" w:rsidRPr="00D869E3">
        <w:rPr>
          <w:rFonts w:ascii="Verdana" w:hAnsi="Verdana"/>
          <w:sz w:val="20"/>
          <w:szCs w:val="20"/>
          <w:lang w:val="en-US"/>
        </w:rPr>
        <w:t xml:space="preserve"> Lagos del Campo</w:t>
      </w:r>
      <w:r w:rsidR="00D2027E" w:rsidRPr="00D869E3">
        <w:rPr>
          <w:rFonts w:ascii="Verdana" w:hAnsi="Verdana"/>
          <w:sz w:val="20"/>
          <w:szCs w:val="20"/>
          <w:lang w:val="en-US"/>
        </w:rPr>
        <w:t>’s dismissal was carried out in reprisal for his representation work, this could have had a</w:t>
      </w:r>
      <w:r w:rsidR="000258D5" w:rsidRPr="00D869E3">
        <w:rPr>
          <w:rFonts w:ascii="Verdana" w:hAnsi="Verdana"/>
          <w:sz w:val="20"/>
          <w:szCs w:val="20"/>
          <w:lang w:val="en-US"/>
        </w:rPr>
        <w:t>n</w:t>
      </w:r>
      <w:r w:rsidR="00D2027E" w:rsidRPr="00D869E3">
        <w:rPr>
          <w:rFonts w:ascii="Verdana" w:hAnsi="Verdana"/>
          <w:sz w:val="20"/>
          <w:szCs w:val="20"/>
          <w:lang w:val="en-US"/>
        </w:rPr>
        <w:t xml:space="preserve"> intimidating and threatening impact o</w:t>
      </w:r>
      <w:r w:rsidR="000258D5" w:rsidRPr="00D869E3">
        <w:rPr>
          <w:rFonts w:ascii="Verdana" w:hAnsi="Verdana"/>
          <w:sz w:val="20"/>
          <w:szCs w:val="20"/>
          <w:lang w:val="en-US"/>
        </w:rPr>
        <w:t>n</w:t>
      </w:r>
      <w:r w:rsidR="00D2027E" w:rsidRPr="00D869E3">
        <w:rPr>
          <w:rFonts w:ascii="Verdana" w:hAnsi="Verdana"/>
          <w:sz w:val="20"/>
          <w:szCs w:val="20"/>
          <w:lang w:val="en-US"/>
        </w:rPr>
        <w:t xml:space="preserve"> the other members </w:t>
      </w:r>
      <w:r w:rsidR="00EA232B" w:rsidRPr="00D869E3">
        <w:rPr>
          <w:rFonts w:ascii="Verdana" w:hAnsi="Verdana"/>
          <w:sz w:val="20"/>
          <w:szCs w:val="20"/>
          <w:lang w:val="en-US"/>
        </w:rPr>
        <w:t>of the Industrial Community</w:t>
      </w:r>
      <w:r w:rsidR="00032FC5" w:rsidRPr="00D869E3">
        <w:rPr>
          <w:rFonts w:ascii="Verdana" w:hAnsi="Verdana"/>
          <w:sz w:val="20"/>
          <w:szCs w:val="20"/>
          <w:lang w:val="en-US"/>
        </w:rPr>
        <w:t xml:space="preserve">. </w:t>
      </w:r>
    </w:p>
    <w:p w14:paraId="1CF7836F" w14:textId="77777777" w:rsidR="00032FC5" w:rsidRPr="00D869E3" w:rsidRDefault="00032FC5" w:rsidP="00032FC5">
      <w:pPr>
        <w:pStyle w:val="Prrafodelista"/>
        <w:rPr>
          <w:rFonts w:ascii="Verdana" w:hAnsi="Verdana"/>
          <w:sz w:val="20"/>
          <w:szCs w:val="20"/>
          <w:lang w:val="en-US"/>
        </w:rPr>
      </w:pPr>
    </w:p>
    <w:p w14:paraId="6E769401" w14:textId="4006C4BC" w:rsidR="00032FC5" w:rsidRPr="00D869E3" w:rsidRDefault="00EB74BF" w:rsidP="00E66DD7">
      <w:pPr>
        <w:numPr>
          <w:ilvl w:val="0"/>
          <w:numId w:val="1"/>
        </w:numPr>
        <w:ind w:left="0" w:firstLine="0"/>
        <w:contextualSpacing/>
        <w:jc w:val="both"/>
        <w:rPr>
          <w:rFonts w:ascii="Verdana" w:hAnsi="Verdana"/>
          <w:b/>
          <w:sz w:val="20"/>
          <w:szCs w:val="20"/>
          <w:lang w:val="en-US"/>
        </w:rPr>
      </w:pPr>
      <w:r w:rsidRPr="00D869E3">
        <w:rPr>
          <w:rFonts w:ascii="Verdana" w:hAnsi="Verdana"/>
          <w:sz w:val="20"/>
          <w:szCs w:val="20"/>
          <w:lang w:val="en-US"/>
        </w:rPr>
        <w:t xml:space="preserve">Based on the above, the Court concludes that the State is responsible for </w:t>
      </w:r>
      <w:r w:rsidR="007013E2" w:rsidRPr="00D869E3">
        <w:rPr>
          <w:rFonts w:ascii="Verdana" w:hAnsi="Verdana"/>
          <w:sz w:val="20"/>
          <w:szCs w:val="20"/>
          <w:lang w:val="en-US"/>
        </w:rPr>
        <w:t>the violation</w:t>
      </w:r>
      <w:r w:rsidR="00032FC5" w:rsidRPr="00D869E3">
        <w:rPr>
          <w:rFonts w:ascii="Verdana" w:hAnsi="Verdana"/>
          <w:sz w:val="20"/>
          <w:szCs w:val="20"/>
          <w:lang w:val="en-US"/>
        </w:rPr>
        <w:t xml:space="preserve"> </w:t>
      </w:r>
      <w:r w:rsidR="00687684" w:rsidRPr="00D869E3">
        <w:rPr>
          <w:rFonts w:ascii="Verdana" w:hAnsi="Verdana"/>
          <w:sz w:val="20"/>
          <w:szCs w:val="20"/>
          <w:lang w:val="en-US"/>
        </w:rPr>
        <w:t>of Article</w:t>
      </w:r>
      <w:r w:rsidRPr="00D869E3">
        <w:rPr>
          <w:rFonts w:ascii="Verdana" w:hAnsi="Verdana"/>
          <w:sz w:val="20"/>
          <w:szCs w:val="20"/>
          <w:lang w:val="en-US"/>
        </w:rPr>
        <w:t>s</w:t>
      </w:r>
      <w:r w:rsidR="00032FC5" w:rsidRPr="00D869E3">
        <w:rPr>
          <w:rFonts w:ascii="Verdana" w:hAnsi="Verdana"/>
          <w:sz w:val="20"/>
          <w:szCs w:val="20"/>
          <w:lang w:val="en-US"/>
        </w:rPr>
        <w:t xml:space="preserve"> </w:t>
      </w:r>
      <w:r w:rsidR="00687684" w:rsidRPr="00D869E3">
        <w:rPr>
          <w:rFonts w:ascii="Verdana" w:hAnsi="Verdana"/>
          <w:sz w:val="20"/>
          <w:szCs w:val="20"/>
          <w:lang w:val="en-US"/>
        </w:rPr>
        <w:t xml:space="preserve">16(1) and </w:t>
      </w:r>
      <w:r w:rsidR="00032FC5" w:rsidRPr="00D869E3">
        <w:rPr>
          <w:rFonts w:ascii="Verdana" w:hAnsi="Verdana"/>
          <w:sz w:val="20"/>
          <w:szCs w:val="20"/>
          <w:lang w:val="en-US"/>
        </w:rPr>
        <w:t xml:space="preserve">26 </w:t>
      </w:r>
      <w:r w:rsidR="00BB61A6" w:rsidRPr="00D869E3">
        <w:rPr>
          <w:rFonts w:ascii="Verdana" w:hAnsi="Verdana"/>
          <w:sz w:val="20"/>
          <w:szCs w:val="20"/>
          <w:lang w:val="en-US"/>
        </w:rPr>
        <w:t>in relation to</w:t>
      </w:r>
      <w:r w:rsidR="00032FC5" w:rsidRPr="00D869E3">
        <w:rPr>
          <w:rFonts w:ascii="Verdana" w:hAnsi="Verdana"/>
          <w:sz w:val="20"/>
          <w:szCs w:val="20"/>
          <w:lang w:val="en-US"/>
        </w:rPr>
        <w:t xml:space="preserve"> </w:t>
      </w:r>
      <w:r w:rsidR="00687684" w:rsidRPr="00D869E3">
        <w:rPr>
          <w:rFonts w:ascii="Verdana" w:hAnsi="Verdana"/>
          <w:sz w:val="20"/>
          <w:szCs w:val="20"/>
          <w:lang w:val="en-US"/>
        </w:rPr>
        <w:t>Articles 1(1)</w:t>
      </w:r>
      <w:r w:rsidR="00062C2B" w:rsidRPr="00D869E3">
        <w:rPr>
          <w:rFonts w:ascii="Verdana" w:hAnsi="Verdana"/>
          <w:sz w:val="20"/>
          <w:szCs w:val="20"/>
          <w:lang w:val="en-US"/>
        </w:rPr>
        <w:t>, 13</w:t>
      </w:r>
      <w:r w:rsidR="00687684" w:rsidRPr="00D869E3">
        <w:rPr>
          <w:rFonts w:ascii="Verdana" w:hAnsi="Verdana"/>
          <w:sz w:val="20"/>
          <w:szCs w:val="20"/>
          <w:lang w:val="en-US"/>
        </w:rPr>
        <w:t xml:space="preserve"> and </w:t>
      </w:r>
      <w:r w:rsidR="00062C2B" w:rsidRPr="00D869E3">
        <w:rPr>
          <w:rFonts w:ascii="Verdana" w:hAnsi="Verdana"/>
          <w:sz w:val="20"/>
          <w:szCs w:val="20"/>
          <w:lang w:val="en-US"/>
        </w:rPr>
        <w:t>8</w:t>
      </w:r>
      <w:r w:rsidR="00447C65" w:rsidRPr="00D869E3">
        <w:rPr>
          <w:rFonts w:ascii="Verdana" w:hAnsi="Verdana"/>
          <w:sz w:val="20"/>
          <w:szCs w:val="20"/>
          <w:lang w:val="en-US"/>
        </w:rPr>
        <w:t xml:space="preserve"> of the American Convention</w:t>
      </w:r>
      <w:r w:rsidR="00032FC5" w:rsidRPr="00D869E3">
        <w:rPr>
          <w:rFonts w:ascii="Verdana" w:hAnsi="Verdana"/>
          <w:sz w:val="20"/>
          <w:szCs w:val="20"/>
          <w:lang w:val="en-US"/>
        </w:rPr>
        <w:t xml:space="preserve">, </w:t>
      </w:r>
      <w:r w:rsidRPr="00D869E3">
        <w:rPr>
          <w:rFonts w:ascii="Verdana" w:hAnsi="Verdana"/>
          <w:sz w:val="20"/>
          <w:szCs w:val="20"/>
          <w:lang w:val="en-US"/>
        </w:rPr>
        <w:t xml:space="preserve">to the detriment of </w:t>
      </w:r>
      <w:r w:rsidR="00687684" w:rsidRPr="00D869E3">
        <w:rPr>
          <w:rFonts w:ascii="Verdana" w:hAnsi="Verdana"/>
          <w:sz w:val="20"/>
          <w:szCs w:val="20"/>
          <w:lang w:val="en-US"/>
        </w:rPr>
        <w:t>Mr. Lagos</w:t>
      </w:r>
      <w:r w:rsidR="00032FC5" w:rsidRPr="00D869E3">
        <w:rPr>
          <w:rFonts w:ascii="Verdana" w:hAnsi="Verdana"/>
          <w:sz w:val="20"/>
          <w:szCs w:val="20"/>
          <w:lang w:val="en-US"/>
        </w:rPr>
        <w:t xml:space="preserve"> del Campo.</w:t>
      </w:r>
    </w:p>
    <w:p w14:paraId="42D6D54E" w14:textId="77777777" w:rsidR="0088700B" w:rsidRPr="00D869E3" w:rsidRDefault="0088700B" w:rsidP="0088700B">
      <w:pPr>
        <w:contextualSpacing/>
        <w:jc w:val="both"/>
        <w:rPr>
          <w:rFonts w:ascii="Verdana" w:hAnsi="Verdana"/>
          <w:color w:val="000000"/>
          <w:sz w:val="20"/>
          <w:lang w:val="en-US"/>
        </w:rPr>
      </w:pPr>
    </w:p>
    <w:p w14:paraId="01915554" w14:textId="631B1A2F" w:rsidR="003F0DD6" w:rsidRPr="00D869E3" w:rsidRDefault="007A4CF1" w:rsidP="00E66DD7">
      <w:pPr>
        <w:pStyle w:val="Ttulo3"/>
        <w:numPr>
          <w:ilvl w:val="0"/>
          <w:numId w:val="11"/>
        </w:numPr>
        <w:ind w:left="714" w:hanging="357"/>
        <w:rPr>
          <w:i/>
          <w:lang w:val="en-US"/>
        </w:rPr>
      </w:pPr>
      <w:bookmarkStart w:id="53" w:name="_Toc29114141"/>
      <w:r w:rsidRPr="00D869E3">
        <w:rPr>
          <w:i/>
          <w:lang w:val="en-US"/>
        </w:rPr>
        <w:t xml:space="preserve">Domestic </w:t>
      </w:r>
      <w:r w:rsidR="008E0F63" w:rsidRPr="00D869E3">
        <w:rPr>
          <w:i/>
          <w:lang w:val="en-US"/>
        </w:rPr>
        <w:t>l</w:t>
      </w:r>
      <w:r w:rsidRPr="00D869E3">
        <w:rPr>
          <w:i/>
          <w:lang w:val="en-US"/>
        </w:rPr>
        <w:t xml:space="preserve">egal </w:t>
      </w:r>
      <w:r w:rsidR="008E0F63" w:rsidRPr="00D869E3">
        <w:rPr>
          <w:i/>
          <w:lang w:val="en-US"/>
        </w:rPr>
        <w:t>e</w:t>
      </w:r>
      <w:r w:rsidRPr="00D869E3">
        <w:rPr>
          <w:i/>
          <w:lang w:val="en-US"/>
        </w:rPr>
        <w:t>ffects</w:t>
      </w:r>
      <w:bookmarkEnd w:id="53"/>
    </w:p>
    <w:p w14:paraId="080BB964" w14:textId="77777777" w:rsidR="00FF1171" w:rsidRPr="00D869E3" w:rsidRDefault="00FF1171" w:rsidP="00CB5A95">
      <w:pPr>
        <w:jc w:val="both"/>
        <w:rPr>
          <w:rFonts w:ascii="Verdana" w:hAnsi="Verdana"/>
          <w:color w:val="000000"/>
          <w:sz w:val="20"/>
          <w:lang w:val="en-US"/>
        </w:rPr>
      </w:pPr>
    </w:p>
    <w:p w14:paraId="159AAB1A" w14:textId="3D488DFF" w:rsidR="00470F22" w:rsidRPr="00D869E3" w:rsidRDefault="00BB61A6" w:rsidP="00E66DD7">
      <w:pPr>
        <w:numPr>
          <w:ilvl w:val="0"/>
          <w:numId w:val="1"/>
        </w:numPr>
        <w:ind w:left="0" w:firstLine="0"/>
        <w:contextualSpacing/>
        <w:jc w:val="both"/>
        <w:rPr>
          <w:rFonts w:ascii="Verdana" w:hAnsi="Verdana"/>
          <w:sz w:val="20"/>
          <w:szCs w:val="20"/>
          <w:lang w:val="en-US"/>
        </w:rPr>
      </w:pPr>
      <w:r w:rsidRPr="00D869E3">
        <w:rPr>
          <w:rFonts w:ascii="Verdana" w:hAnsi="Verdana"/>
          <w:sz w:val="20"/>
          <w:szCs w:val="20"/>
          <w:lang w:val="en-US" w:eastAsia="es-ES"/>
        </w:rPr>
        <w:t>In relation to</w:t>
      </w:r>
      <w:r w:rsidR="00FF1171" w:rsidRPr="00D869E3">
        <w:rPr>
          <w:rFonts w:ascii="Verdana" w:hAnsi="Verdana"/>
          <w:sz w:val="20"/>
          <w:szCs w:val="20"/>
          <w:lang w:val="en-US"/>
        </w:rPr>
        <w:t xml:space="preserve"> </w:t>
      </w:r>
      <w:r w:rsidR="002C19F3" w:rsidRPr="00D869E3">
        <w:rPr>
          <w:rFonts w:ascii="Verdana" w:hAnsi="Verdana"/>
          <w:sz w:val="20"/>
          <w:szCs w:val="20"/>
          <w:lang w:val="en-US"/>
        </w:rPr>
        <w:t xml:space="preserve">the argument concerning </w:t>
      </w:r>
      <w:r w:rsidR="00687684" w:rsidRPr="00D869E3">
        <w:rPr>
          <w:rFonts w:ascii="Verdana" w:hAnsi="Verdana"/>
          <w:sz w:val="20"/>
          <w:szCs w:val="20"/>
          <w:lang w:val="en-US"/>
        </w:rPr>
        <w:t>Article</w:t>
      </w:r>
      <w:r w:rsidR="00FF1171" w:rsidRPr="00D869E3">
        <w:rPr>
          <w:rFonts w:ascii="Verdana" w:hAnsi="Verdana"/>
          <w:sz w:val="20"/>
          <w:szCs w:val="20"/>
          <w:lang w:val="en-US"/>
        </w:rPr>
        <w:t xml:space="preserve"> 5</w:t>
      </w:r>
      <w:r w:rsidR="000258D5" w:rsidRPr="00D869E3">
        <w:rPr>
          <w:rFonts w:ascii="Verdana" w:hAnsi="Verdana"/>
          <w:sz w:val="20"/>
          <w:szCs w:val="20"/>
          <w:lang w:val="en-US"/>
        </w:rPr>
        <w:t>(h)</w:t>
      </w:r>
      <w:r w:rsidR="00FF1171" w:rsidRPr="00D869E3">
        <w:rPr>
          <w:rFonts w:ascii="Verdana" w:hAnsi="Verdana"/>
          <w:sz w:val="20"/>
          <w:szCs w:val="20"/>
          <w:lang w:val="en-US"/>
        </w:rPr>
        <w:t xml:space="preserve"> </w:t>
      </w:r>
      <w:r w:rsidR="002C19F3" w:rsidRPr="00D869E3">
        <w:rPr>
          <w:rFonts w:ascii="Verdana" w:hAnsi="Verdana"/>
          <w:sz w:val="20"/>
          <w:szCs w:val="20"/>
          <w:lang w:val="en-US"/>
        </w:rPr>
        <w:t>of</w:t>
      </w:r>
      <w:r w:rsidR="008B63E1" w:rsidRPr="00D869E3">
        <w:rPr>
          <w:rFonts w:ascii="Verdana" w:hAnsi="Verdana"/>
          <w:sz w:val="20"/>
          <w:szCs w:val="20"/>
          <w:lang w:val="en-US"/>
        </w:rPr>
        <w:t xml:space="preserve"> Law </w:t>
      </w:r>
      <w:r w:rsidR="00FF1171" w:rsidRPr="00D869E3">
        <w:rPr>
          <w:rFonts w:ascii="Verdana" w:hAnsi="Verdana"/>
          <w:sz w:val="20"/>
          <w:szCs w:val="20"/>
          <w:lang w:val="en-US"/>
        </w:rPr>
        <w:t>No. 24514 (</w:t>
      </w:r>
      <w:r w:rsidR="00224537" w:rsidRPr="00D869E3">
        <w:rPr>
          <w:rFonts w:ascii="Verdana" w:hAnsi="Verdana"/>
          <w:i/>
          <w:sz w:val="20"/>
          <w:szCs w:val="20"/>
          <w:lang w:val="en-US"/>
        </w:rPr>
        <w:t>supra</w:t>
      </w:r>
      <w:r w:rsidR="00FF1171" w:rsidRPr="00D869E3">
        <w:rPr>
          <w:rFonts w:ascii="Verdana" w:hAnsi="Verdana"/>
          <w:sz w:val="20"/>
          <w:szCs w:val="20"/>
          <w:lang w:val="en-US"/>
        </w:rPr>
        <w:t xml:space="preserve"> </w:t>
      </w:r>
      <w:r w:rsidR="0087339F" w:rsidRPr="00D869E3">
        <w:rPr>
          <w:rFonts w:ascii="Verdana" w:hAnsi="Verdana"/>
          <w:sz w:val="20"/>
          <w:szCs w:val="20"/>
          <w:lang w:val="en-US"/>
        </w:rPr>
        <w:t>paras.</w:t>
      </w:r>
      <w:r w:rsidR="003E79D2" w:rsidRPr="00D869E3">
        <w:rPr>
          <w:rFonts w:ascii="Verdana" w:hAnsi="Verdana"/>
          <w:sz w:val="20"/>
          <w:szCs w:val="20"/>
          <w:lang w:val="en-US"/>
        </w:rPr>
        <w:t xml:space="preserve"> </w:t>
      </w:r>
      <w:r w:rsidR="00161225" w:rsidRPr="00D869E3">
        <w:rPr>
          <w:rFonts w:ascii="Verdana" w:hAnsi="Verdana"/>
          <w:sz w:val="20"/>
          <w:szCs w:val="20"/>
          <w:lang w:val="en-US"/>
        </w:rPr>
        <w:t>85</w:t>
      </w:r>
      <w:r w:rsidR="00687684" w:rsidRPr="00D869E3">
        <w:rPr>
          <w:rFonts w:ascii="Verdana" w:hAnsi="Verdana"/>
          <w:sz w:val="20"/>
          <w:szCs w:val="20"/>
          <w:lang w:val="en-US"/>
        </w:rPr>
        <w:t xml:space="preserve"> and </w:t>
      </w:r>
      <w:r w:rsidR="00161225" w:rsidRPr="00D869E3">
        <w:rPr>
          <w:rFonts w:ascii="Verdana" w:hAnsi="Verdana"/>
          <w:sz w:val="20"/>
          <w:szCs w:val="20"/>
          <w:lang w:val="en-US"/>
        </w:rPr>
        <w:t>86</w:t>
      </w:r>
      <w:r w:rsidR="00FF1171" w:rsidRPr="00D869E3">
        <w:rPr>
          <w:rFonts w:ascii="Verdana" w:hAnsi="Verdana"/>
          <w:sz w:val="20"/>
          <w:szCs w:val="20"/>
          <w:lang w:val="en-US"/>
        </w:rPr>
        <w:t xml:space="preserve">), </w:t>
      </w:r>
      <w:r w:rsidR="002C19F3" w:rsidRPr="00D869E3">
        <w:rPr>
          <w:rFonts w:ascii="Verdana" w:hAnsi="Verdana"/>
          <w:sz w:val="20"/>
          <w:szCs w:val="20"/>
          <w:lang w:val="en-US"/>
        </w:rPr>
        <w:t>in force at the time o</w:t>
      </w:r>
      <w:r w:rsidR="000258D5" w:rsidRPr="00D869E3">
        <w:rPr>
          <w:rFonts w:ascii="Verdana" w:hAnsi="Verdana"/>
          <w:sz w:val="20"/>
          <w:szCs w:val="20"/>
          <w:lang w:val="en-US"/>
        </w:rPr>
        <w:t>f</w:t>
      </w:r>
      <w:r w:rsidR="002C19F3" w:rsidRPr="00D869E3">
        <w:rPr>
          <w:rFonts w:ascii="Verdana" w:hAnsi="Verdana"/>
          <w:sz w:val="20"/>
          <w:szCs w:val="20"/>
          <w:lang w:val="en-US"/>
        </w:rPr>
        <w:t xml:space="preserve"> the facts, based on the reasons given in the preceding section </w:t>
      </w:r>
      <w:r w:rsidR="00FF1171" w:rsidRPr="00D869E3">
        <w:rPr>
          <w:rFonts w:ascii="Verdana" w:hAnsi="Verdana"/>
          <w:sz w:val="20"/>
          <w:szCs w:val="20"/>
          <w:lang w:val="en-US"/>
        </w:rPr>
        <w:t>(</w:t>
      </w:r>
      <w:r w:rsidR="00224537" w:rsidRPr="00D869E3">
        <w:rPr>
          <w:rFonts w:ascii="Verdana" w:hAnsi="Verdana"/>
          <w:i/>
          <w:sz w:val="20"/>
          <w:szCs w:val="20"/>
          <w:lang w:val="en-US"/>
        </w:rPr>
        <w:t>supra</w:t>
      </w:r>
      <w:r w:rsidR="00FF1171" w:rsidRPr="00D869E3">
        <w:rPr>
          <w:rFonts w:ascii="Verdana" w:hAnsi="Verdana"/>
          <w:sz w:val="20"/>
          <w:szCs w:val="20"/>
          <w:lang w:val="en-US"/>
        </w:rPr>
        <w:t xml:space="preserve"> </w:t>
      </w:r>
      <w:r w:rsidR="0087339F" w:rsidRPr="00D869E3">
        <w:rPr>
          <w:rFonts w:ascii="Verdana" w:hAnsi="Verdana"/>
          <w:sz w:val="20"/>
          <w:szCs w:val="20"/>
          <w:lang w:val="en-US"/>
        </w:rPr>
        <w:t>para.</w:t>
      </w:r>
      <w:r w:rsidR="00161225" w:rsidRPr="00D869E3">
        <w:rPr>
          <w:rFonts w:ascii="Verdana" w:hAnsi="Verdana"/>
          <w:sz w:val="20"/>
          <w:szCs w:val="20"/>
          <w:lang w:val="en-US"/>
        </w:rPr>
        <w:t xml:space="preserve"> 123</w:t>
      </w:r>
      <w:r w:rsidR="003E79D2" w:rsidRPr="00D869E3">
        <w:rPr>
          <w:rFonts w:ascii="Verdana" w:hAnsi="Verdana"/>
          <w:sz w:val="20"/>
          <w:szCs w:val="20"/>
          <w:lang w:val="en-US"/>
        </w:rPr>
        <w:t xml:space="preserve"> </w:t>
      </w:r>
      <w:r w:rsidR="00FF1171" w:rsidRPr="00D869E3">
        <w:rPr>
          <w:rFonts w:ascii="Verdana" w:hAnsi="Verdana"/>
          <w:sz w:val="20"/>
          <w:szCs w:val="20"/>
          <w:lang w:val="en-US"/>
        </w:rPr>
        <w:t xml:space="preserve">), </w:t>
      </w:r>
      <w:r w:rsidR="00447C65" w:rsidRPr="00D869E3">
        <w:rPr>
          <w:rFonts w:ascii="Verdana" w:hAnsi="Verdana"/>
          <w:sz w:val="20"/>
          <w:szCs w:val="20"/>
          <w:lang w:val="en-US"/>
        </w:rPr>
        <w:t>the Court</w:t>
      </w:r>
      <w:r w:rsidR="00FF1171" w:rsidRPr="00D869E3">
        <w:rPr>
          <w:rFonts w:ascii="Verdana" w:hAnsi="Verdana"/>
          <w:sz w:val="20"/>
          <w:szCs w:val="20"/>
          <w:lang w:val="en-US"/>
        </w:rPr>
        <w:t xml:space="preserve"> conclu</w:t>
      </w:r>
      <w:r w:rsidR="002C19F3" w:rsidRPr="00D869E3">
        <w:rPr>
          <w:rFonts w:ascii="Verdana" w:hAnsi="Verdana"/>
          <w:sz w:val="20"/>
          <w:szCs w:val="20"/>
          <w:lang w:val="en-US"/>
        </w:rPr>
        <w:t>d</w:t>
      </w:r>
      <w:r w:rsidR="000C6082" w:rsidRPr="00D869E3">
        <w:rPr>
          <w:rFonts w:ascii="Verdana" w:hAnsi="Verdana"/>
          <w:sz w:val="20"/>
          <w:szCs w:val="20"/>
          <w:lang w:val="en-US"/>
        </w:rPr>
        <w:t>e</w:t>
      </w:r>
      <w:r w:rsidR="002C19F3" w:rsidRPr="00D869E3">
        <w:rPr>
          <w:rFonts w:ascii="Verdana" w:hAnsi="Verdana"/>
          <w:sz w:val="20"/>
          <w:szCs w:val="20"/>
          <w:lang w:val="en-US"/>
        </w:rPr>
        <w:t>s that the State is not responsible for</w:t>
      </w:r>
      <w:r w:rsidR="00FF1171" w:rsidRPr="00D869E3">
        <w:rPr>
          <w:rFonts w:ascii="Verdana" w:hAnsi="Verdana"/>
          <w:sz w:val="20"/>
          <w:szCs w:val="20"/>
          <w:lang w:val="en-US"/>
        </w:rPr>
        <w:t xml:space="preserve"> </w:t>
      </w:r>
      <w:r w:rsidR="007013E2" w:rsidRPr="00D869E3">
        <w:rPr>
          <w:rFonts w:ascii="Verdana" w:hAnsi="Verdana"/>
          <w:sz w:val="20"/>
          <w:szCs w:val="20"/>
          <w:lang w:val="en-US"/>
        </w:rPr>
        <w:t>the violation</w:t>
      </w:r>
      <w:r w:rsidR="00FF1171" w:rsidRPr="00D869E3">
        <w:rPr>
          <w:rFonts w:ascii="Verdana" w:hAnsi="Verdana"/>
          <w:sz w:val="20"/>
          <w:szCs w:val="20"/>
          <w:lang w:val="en-US"/>
        </w:rPr>
        <w:t xml:space="preserve"> </w:t>
      </w:r>
      <w:r w:rsidR="002C19F3" w:rsidRPr="00D869E3">
        <w:rPr>
          <w:rFonts w:ascii="Verdana" w:hAnsi="Verdana"/>
          <w:sz w:val="20"/>
          <w:szCs w:val="20"/>
          <w:lang w:val="en-US"/>
        </w:rPr>
        <w:t>of</w:t>
      </w:r>
      <w:r w:rsidR="00FF1171" w:rsidRPr="00D869E3">
        <w:rPr>
          <w:rFonts w:ascii="Verdana" w:hAnsi="Verdana"/>
          <w:sz w:val="20"/>
          <w:szCs w:val="20"/>
          <w:lang w:val="en-US"/>
        </w:rPr>
        <w:t xml:space="preserve"> </w:t>
      </w:r>
      <w:r w:rsidR="00447C65" w:rsidRPr="00D869E3">
        <w:rPr>
          <w:rFonts w:ascii="Verdana" w:hAnsi="Verdana"/>
          <w:sz w:val="20"/>
          <w:szCs w:val="20"/>
          <w:lang w:val="en-US"/>
        </w:rPr>
        <w:t>Article</w:t>
      </w:r>
      <w:r w:rsidR="00FF1171" w:rsidRPr="00D869E3">
        <w:rPr>
          <w:rFonts w:ascii="Verdana" w:hAnsi="Verdana"/>
          <w:sz w:val="20"/>
          <w:szCs w:val="20"/>
          <w:lang w:val="en-US"/>
        </w:rPr>
        <w:t xml:space="preserve"> 2</w:t>
      </w:r>
      <w:r w:rsidR="00447C65" w:rsidRPr="00D869E3">
        <w:rPr>
          <w:rFonts w:ascii="Verdana" w:hAnsi="Verdana"/>
          <w:sz w:val="20"/>
          <w:szCs w:val="20"/>
          <w:lang w:val="en-US"/>
        </w:rPr>
        <w:t xml:space="preserve"> of the Convention</w:t>
      </w:r>
      <w:r w:rsidR="00FF1171" w:rsidRPr="00D869E3">
        <w:rPr>
          <w:rFonts w:ascii="Verdana" w:hAnsi="Verdana"/>
          <w:sz w:val="20"/>
          <w:szCs w:val="20"/>
          <w:lang w:val="en-US"/>
        </w:rPr>
        <w:t xml:space="preserve">. </w:t>
      </w:r>
    </w:p>
    <w:p w14:paraId="037FAAA1" w14:textId="77777777" w:rsidR="00470F22" w:rsidRPr="00D869E3" w:rsidRDefault="00470F22" w:rsidP="005D0F69">
      <w:pPr>
        <w:contextualSpacing/>
        <w:jc w:val="both"/>
        <w:rPr>
          <w:rFonts w:ascii="Verdana" w:hAnsi="Verdana"/>
          <w:sz w:val="20"/>
          <w:szCs w:val="20"/>
          <w:lang w:val="en-US"/>
        </w:rPr>
      </w:pPr>
    </w:p>
    <w:p w14:paraId="2293C6CA" w14:textId="5733E9E6" w:rsidR="00470F22" w:rsidRPr="00D869E3" w:rsidRDefault="002C19F3" w:rsidP="002C19F3">
      <w:pPr>
        <w:numPr>
          <w:ilvl w:val="0"/>
          <w:numId w:val="1"/>
        </w:numPr>
        <w:ind w:left="0" w:firstLine="0"/>
        <w:contextualSpacing/>
        <w:jc w:val="both"/>
        <w:rPr>
          <w:rFonts w:ascii="Verdana" w:hAnsi="Verdana"/>
          <w:sz w:val="20"/>
          <w:szCs w:val="20"/>
          <w:lang w:val="en-US"/>
        </w:rPr>
      </w:pPr>
      <w:r w:rsidRPr="00D869E3">
        <w:rPr>
          <w:rFonts w:ascii="Verdana" w:hAnsi="Verdana"/>
          <w:sz w:val="20"/>
          <w:szCs w:val="20"/>
          <w:lang w:val="en-US"/>
        </w:rPr>
        <w:t xml:space="preserve">Regarding the argument concerning the law currently in force, </w:t>
      </w:r>
      <w:r w:rsidR="000258D5" w:rsidRPr="00D869E3">
        <w:rPr>
          <w:rFonts w:ascii="Verdana" w:hAnsi="Verdana"/>
          <w:sz w:val="20"/>
          <w:szCs w:val="20"/>
          <w:lang w:val="en-US"/>
        </w:rPr>
        <w:t xml:space="preserve">in </w:t>
      </w:r>
      <w:r w:rsidRPr="00D869E3">
        <w:rPr>
          <w:rFonts w:ascii="Verdana" w:hAnsi="Verdana"/>
          <w:sz w:val="20"/>
          <w:szCs w:val="20"/>
          <w:lang w:val="en-US"/>
        </w:rPr>
        <w:t>relati</w:t>
      </w:r>
      <w:r w:rsidR="000258D5" w:rsidRPr="00D869E3">
        <w:rPr>
          <w:rFonts w:ascii="Verdana" w:hAnsi="Verdana"/>
          <w:sz w:val="20"/>
          <w:szCs w:val="20"/>
          <w:lang w:val="en-US"/>
        </w:rPr>
        <w:t>on</w:t>
      </w:r>
      <w:r w:rsidRPr="00D869E3">
        <w:rPr>
          <w:rFonts w:ascii="Verdana" w:hAnsi="Verdana"/>
          <w:sz w:val="20"/>
          <w:szCs w:val="20"/>
          <w:lang w:val="en-US"/>
        </w:rPr>
        <w:t xml:space="preserve"> to article 25 of </w:t>
      </w:r>
      <w:r w:rsidR="008B63E1" w:rsidRPr="00D869E3">
        <w:rPr>
          <w:rFonts w:ascii="Verdana" w:hAnsi="Verdana"/>
          <w:sz w:val="20"/>
          <w:szCs w:val="20"/>
          <w:lang w:val="en-US"/>
        </w:rPr>
        <w:t>Legislative Decree</w:t>
      </w:r>
      <w:r w:rsidR="00FF1171" w:rsidRPr="00D869E3">
        <w:rPr>
          <w:rFonts w:ascii="Verdana" w:hAnsi="Verdana"/>
          <w:sz w:val="20"/>
          <w:szCs w:val="20"/>
          <w:lang w:val="en-US"/>
        </w:rPr>
        <w:t xml:space="preserve"> No. 728 </w:t>
      </w:r>
      <w:r w:rsidRPr="00D869E3">
        <w:rPr>
          <w:rFonts w:ascii="Verdana" w:hAnsi="Verdana"/>
          <w:sz w:val="20"/>
          <w:szCs w:val="20"/>
          <w:lang w:val="en-US"/>
        </w:rPr>
        <w:t>o</w:t>
      </w:r>
      <w:r w:rsidR="000258D5" w:rsidRPr="00D869E3">
        <w:rPr>
          <w:rFonts w:ascii="Verdana" w:hAnsi="Verdana"/>
          <w:sz w:val="20"/>
          <w:szCs w:val="20"/>
          <w:lang w:val="en-US"/>
        </w:rPr>
        <w:t>f</w:t>
      </w:r>
      <w:r w:rsidRPr="00D869E3">
        <w:rPr>
          <w:rFonts w:ascii="Verdana" w:hAnsi="Verdana"/>
          <w:sz w:val="20"/>
          <w:szCs w:val="20"/>
          <w:lang w:val="en-US"/>
        </w:rPr>
        <w:t xml:space="preserve"> March 27,</w:t>
      </w:r>
      <w:r w:rsidR="00FF1171" w:rsidRPr="00D869E3">
        <w:rPr>
          <w:rFonts w:ascii="Verdana" w:hAnsi="Verdana"/>
          <w:sz w:val="20"/>
          <w:szCs w:val="20"/>
          <w:lang w:val="en-US"/>
        </w:rPr>
        <w:t xml:space="preserve"> 1997 (</w:t>
      </w:r>
      <w:r w:rsidR="00224537" w:rsidRPr="00D869E3">
        <w:rPr>
          <w:rFonts w:ascii="Verdana" w:hAnsi="Verdana"/>
          <w:i/>
          <w:sz w:val="20"/>
          <w:szCs w:val="20"/>
          <w:lang w:val="en-US"/>
        </w:rPr>
        <w:t>supra</w:t>
      </w:r>
      <w:r w:rsidR="00FF1171" w:rsidRPr="00D869E3">
        <w:rPr>
          <w:rFonts w:ascii="Verdana" w:hAnsi="Verdana"/>
          <w:sz w:val="20"/>
          <w:szCs w:val="20"/>
          <w:lang w:val="en-US"/>
        </w:rPr>
        <w:t xml:space="preserve"> </w:t>
      </w:r>
      <w:r w:rsidR="0087339F" w:rsidRPr="00D869E3">
        <w:rPr>
          <w:rFonts w:ascii="Verdana" w:hAnsi="Verdana"/>
          <w:sz w:val="20"/>
          <w:szCs w:val="20"/>
          <w:lang w:val="en-US"/>
        </w:rPr>
        <w:t>para.</w:t>
      </w:r>
      <w:r w:rsidR="003E79D2" w:rsidRPr="00D869E3">
        <w:rPr>
          <w:rFonts w:ascii="Verdana" w:hAnsi="Verdana"/>
          <w:sz w:val="20"/>
          <w:szCs w:val="20"/>
          <w:lang w:val="en-US"/>
        </w:rPr>
        <w:t xml:space="preserve"> 86</w:t>
      </w:r>
      <w:r w:rsidR="00FF1171" w:rsidRPr="00D869E3">
        <w:rPr>
          <w:rFonts w:ascii="Verdana" w:hAnsi="Verdana"/>
          <w:sz w:val="20"/>
          <w:szCs w:val="20"/>
          <w:lang w:val="en-US"/>
        </w:rPr>
        <w:t xml:space="preserve">), </w:t>
      </w:r>
      <w:r w:rsidR="00447C65" w:rsidRPr="00D869E3">
        <w:rPr>
          <w:rFonts w:ascii="Verdana" w:hAnsi="Verdana"/>
          <w:sz w:val="20"/>
          <w:szCs w:val="20"/>
          <w:lang w:val="en-US"/>
        </w:rPr>
        <w:t>the Court</w:t>
      </w:r>
      <w:r w:rsidR="00FF1171" w:rsidRPr="00D869E3">
        <w:rPr>
          <w:rFonts w:ascii="Verdana" w:hAnsi="Verdana"/>
          <w:sz w:val="20"/>
          <w:szCs w:val="20"/>
          <w:lang w:val="en-US"/>
        </w:rPr>
        <w:t xml:space="preserve"> </w:t>
      </w:r>
      <w:r w:rsidRPr="00D869E3">
        <w:rPr>
          <w:rFonts w:ascii="Verdana" w:hAnsi="Verdana"/>
          <w:sz w:val="20"/>
          <w:szCs w:val="20"/>
          <w:lang w:val="en-US"/>
        </w:rPr>
        <w:t xml:space="preserve">notes that this law derogated </w:t>
      </w:r>
      <w:r w:rsidR="00852CCA" w:rsidRPr="00D869E3">
        <w:rPr>
          <w:rFonts w:ascii="Verdana" w:hAnsi="Verdana"/>
          <w:sz w:val="20"/>
          <w:szCs w:val="20"/>
          <w:lang w:val="en-US"/>
        </w:rPr>
        <w:t>Law</w:t>
      </w:r>
      <w:r w:rsidR="00FF1171" w:rsidRPr="00D869E3">
        <w:rPr>
          <w:rFonts w:ascii="Verdana" w:hAnsi="Verdana"/>
          <w:sz w:val="20"/>
          <w:szCs w:val="20"/>
          <w:lang w:val="en-US"/>
        </w:rPr>
        <w:t xml:space="preserve"> No. 24514 </w:t>
      </w:r>
      <w:r w:rsidRPr="00D869E3">
        <w:rPr>
          <w:rFonts w:ascii="Verdana" w:hAnsi="Verdana"/>
          <w:sz w:val="20"/>
          <w:szCs w:val="20"/>
          <w:lang w:val="en-US"/>
        </w:rPr>
        <w:t>of June 5,</w:t>
      </w:r>
      <w:r w:rsidR="00FF1171" w:rsidRPr="00D869E3">
        <w:rPr>
          <w:rFonts w:ascii="Verdana" w:hAnsi="Verdana"/>
          <w:sz w:val="20"/>
          <w:szCs w:val="20"/>
          <w:lang w:val="en-US"/>
        </w:rPr>
        <w:t xml:space="preserve"> 1986 (</w:t>
      </w:r>
      <w:r w:rsidR="00224537" w:rsidRPr="00D869E3">
        <w:rPr>
          <w:rFonts w:ascii="Verdana" w:hAnsi="Verdana"/>
          <w:i/>
          <w:sz w:val="20"/>
          <w:szCs w:val="20"/>
          <w:lang w:val="en-US"/>
        </w:rPr>
        <w:t>supra</w:t>
      </w:r>
      <w:r w:rsidR="00FF1171" w:rsidRPr="00D869E3">
        <w:rPr>
          <w:rFonts w:ascii="Verdana" w:hAnsi="Verdana"/>
          <w:sz w:val="20"/>
          <w:szCs w:val="20"/>
          <w:lang w:val="en-US"/>
        </w:rPr>
        <w:t xml:space="preserve"> </w:t>
      </w:r>
      <w:r w:rsidR="0087339F" w:rsidRPr="00D869E3">
        <w:rPr>
          <w:rFonts w:ascii="Verdana" w:hAnsi="Verdana"/>
          <w:sz w:val="20"/>
          <w:szCs w:val="20"/>
          <w:lang w:val="en-US"/>
        </w:rPr>
        <w:t>para.</w:t>
      </w:r>
      <w:r w:rsidR="00FF1171" w:rsidRPr="00D869E3">
        <w:rPr>
          <w:rFonts w:ascii="Verdana" w:hAnsi="Verdana"/>
          <w:sz w:val="20"/>
          <w:szCs w:val="20"/>
          <w:lang w:val="en-US"/>
        </w:rPr>
        <w:t xml:space="preserve"> </w:t>
      </w:r>
      <w:r w:rsidR="00A31238" w:rsidRPr="00D869E3">
        <w:rPr>
          <w:rFonts w:ascii="Verdana" w:hAnsi="Verdana"/>
          <w:sz w:val="20"/>
          <w:szCs w:val="20"/>
          <w:lang w:val="en-US"/>
        </w:rPr>
        <w:t>55</w:t>
      </w:r>
      <w:r w:rsidR="00FF1171" w:rsidRPr="00D869E3">
        <w:rPr>
          <w:rFonts w:ascii="Verdana" w:hAnsi="Verdana"/>
          <w:sz w:val="20"/>
          <w:szCs w:val="20"/>
          <w:lang w:val="en-US"/>
        </w:rPr>
        <w:t>),</w:t>
      </w:r>
      <w:r w:rsidR="00687684" w:rsidRPr="00D869E3">
        <w:rPr>
          <w:rFonts w:ascii="Verdana" w:hAnsi="Verdana"/>
          <w:sz w:val="20"/>
          <w:szCs w:val="20"/>
          <w:lang w:val="en-US"/>
        </w:rPr>
        <w:t xml:space="preserve"> </w:t>
      </w:r>
      <w:r w:rsidRPr="00D869E3">
        <w:rPr>
          <w:rFonts w:ascii="Verdana" w:hAnsi="Verdana"/>
          <w:sz w:val="20"/>
          <w:szCs w:val="20"/>
          <w:lang w:val="en-US"/>
        </w:rPr>
        <w:t xml:space="preserve">that it was not applied to the facts of this case, and </w:t>
      </w:r>
      <w:r w:rsidR="000258D5" w:rsidRPr="00D869E3">
        <w:rPr>
          <w:rFonts w:ascii="Verdana" w:hAnsi="Verdana"/>
          <w:sz w:val="20"/>
          <w:szCs w:val="20"/>
          <w:lang w:val="en-US"/>
        </w:rPr>
        <w:t xml:space="preserve">that </w:t>
      </w:r>
      <w:r w:rsidRPr="00D869E3">
        <w:rPr>
          <w:rFonts w:ascii="Verdana" w:hAnsi="Verdana"/>
          <w:sz w:val="20"/>
          <w:szCs w:val="20"/>
          <w:lang w:val="en-US"/>
        </w:rPr>
        <w:t xml:space="preserve">this was expressly recognized by </w:t>
      </w:r>
      <w:r w:rsidR="00687684" w:rsidRPr="00D869E3">
        <w:rPr>
          <w:rFonts w:ascii="Verdana" w:hAnsi="Verdana"/>
          <w:sz w:val="20"/>
          <w:szCs w:val="20"/>
          <w:lang w:val="en-US"/>
        </w:rPr>
        <w:t>the representatives</w:t>
      </w:r>
      <w:r w:rsidR="00FF1171" w:rsidRPr="00D869E3">
        <w:rPr>
          <w:rFonts w:ascii="Verdana" w:hAnsi="Verdana"/>
          <w:sz w:val="20"/>
          <w:szCs w:val="20"/>
          <w:lang w:val="en-US"/>
        </w:rPr>
        <w:t xml:space="preserve">. </w:t>
      </w:r>
      <w:r w:rsidR="00075E68" w:rsidRPr="00D869E3">
        <w:rPr>
          <w:rFonts w:ascii="Verdana" w:hAnsi="Verdana"/>
          <w:sz w:val="20"/>
          <w:szCs w:val="20"/>
          <w:lang w:val="en-US"/>
        </w:rPr>
        <w:t>In this regard</w:t>
      </w:r>
      <w:r w:rsidR="00FF1171" w:rsidRPr="00D869E3">
        <w:rPr>
          <w:rFonts w:ascii="Verdana" w:hAnsi="Verdana"/>
          <w:sz w:val="20"/>
          <w:szCs w:val="20"/>
          <w:lang w:val="en-US"/>
        </w:rPr>
        <w:t xml:space="preserve">, </w:t>
      </w:r>
      <w:r w:rsidR="00447C65" w:rsidRPr="00D869E3">
        <w:rPr>
          <w:rFonts w:ascii="Verdana" w:hAnsi="Verdana"/>
          <w:sz w:val="20"/>
          <w:szCs w:val="20"/>
          <w:lang w:val="en-US"/>
        </w:rPr>
        <w:t>the Court</w:t>
      </w:r>
      <w:r w:rsidR="00FF1171" w:rsidRPr="00D869E3">
        <w:rPr>
          <w:rFonts w:ascii="Verdana" w:hAnsi="Verdana"/>
          <w:sz w:val="20"/>
          <w:szCs w:val="20"/>
          <w:lang w:val="en-US"/>
        </w:rPr>
        <w:t xml:space="preserve"> </w:t>
      </w:r>
      <w:r w:rsidRPr="00D869E3">
        <w:rPr>
          <w:rFonts w:ascii="Verdana" w:hAnsi="Verdana"/>
          <w:sz w:val="20"/>
          <w:szCs w:val="20"/>
          <w:lang w:val="en-US"/>
        </w:rPr>
        <w:t xml:space="preserve">considers that it does not have to issue a ruling or make an analysis </w:t>
      </w:r>
      <w:r w:rsidR="00351902" w:rsidRPr="00D869E3">
        <w:rPr>
          <w:rFonts w:ascii="Verdana" w:hAnsi="Verdana"/>
          <w:sz w:val="20"/>
          <w:szCs w:val="20"/>
          <w:lang w:val="en-US"/>
        </w:rPr>
        <w:t>of this instrument</w:t>
      </w:r>
      <w:r w:rsidR="00FF1171" w:rsidRPr="00D869E3">
        <w:rPr>
          <w:rFonts w:ascii="Verdana" w:hAnsi="Verdana"/>
          <w:sz w:val="20"/>
          <w:szCs w:val="20"/>
          <w:lang w:val="en-US"/>
        </w:rPr>
        <w:t xml:space="preserve">, </w:t>
      </w:r>
      <w:r w:rsidRPr="00D869E3">
        <w:rPr>
          <w:rFonts w:ascii="Verdana" w:hAnsi="Verdana"/>
          <w:sz w:val="20"/>
          <w:szCs w:val="20"/>
          <w:lang w:val="en-US"/>
        </w:rPr>
        <w:t>because the purpose of its contentious jurisdiction is not to review domestic laws in abstract.</w:t>
      </w:r>
      <w:r w:rsidR="00FF1171" w:rsidRPr="00D869E3">
        <w:rPr>
          <w:rFonts w:ascii="Verdana" w:hAnsi="Verdana"/>
          <w:sz w:val="20"/>
          <w:szCs w:val="20"/>
          <w:vertAlign w:val="superscript"/>
          <w:lang w:val="en-US"/>
        </w:rPr>
        <w:footnoteReference w:id="236"/>
      </w:r>
      <w:r w:rsidR="00FF1171" w:rsidRPr="00D869E3">
        <w:rPr>
          <w:rFonts w:ascii="Verdana" w:hAnsi="Verdana"/>
          <w:sz w:val="20"/>
          <w:szCs w:val="20"/>
          <w:lang w:val="en-US"/>
        </w:rPr>
        <w:t xml:space="preserve"> </w:t>
      </w:r>
    </w:p>
    <w:p w14:paraId="14B0DB9B" w14:textId="77777777" w:rsidR="00470F22" w:rsidRPr="00D869E3" w:rsidRDefault="00470F22" w:rsidP="005D0F69">
      <w:pPr>
        <w:contextualSpacing/>
        <w:jc w:val="both"/>
        <w:rPr>
          <w:rFonts w:ascii="Verdana" w:hAnsi="Verdana"/>
          <w:sz w:val="20"/>
          <w:szCs w:val="20"/>
          <w:lang w:val="en-US"/>
        </w:rPr>
      </w:pPr>
    </w:p>
    <w:p w14:paraId="111CC83D" w14:textId="331E4D22" w:rsidR="00CB7CCB" w:rsidRPr="00D869E3" w:rsidRDefault="00B44B46" w:rsidP="00E66DD7">
      <w:pPr>
        <w:pStyle w:val="Ttulo3"/>
        <w:numPr>
          <w:ilvl w:val="0"/>
          <w:numId w:val="11"/>
        </w:numPr>
        <w:ind w:left="714" w:hanging="357"/>
        <w:rPr>
          <w:szCs w:val="20"/>
          <w:lang w:val="en-US"/>
        </w:rPr>
      </w:pPr>
      <w:bookmarkStart w:id="54" w:name="_Toc29114142"/>
      <w:r w:rsidRPr="00D869E3">
        <w:rPr>
          <w:i/>
          <w:lang w:val="en-US"/>
        </w:rPr>
        <w:t>General conclusion</w:t>
      </w:r>
      <w:bookmarkEnd w:id="54"/>
      <w:r w:rsidR="00CB7CCB" w:rsidRPr="00D869E3">
        <w:rPr>
          <w:i/>
          <w:lang w:val="en-US"/>
        </w:rPr>
        <w:t xml:space="preserve"> </w:t>
      </w:r>
    </w:p>
    <w:p w14:paraId="786E01EE" w14:textId="77777777" w:rsidR="00CB7CCB" w:rsidRPr="00D869E3" w:rsidRDefault="00CB7CCB" w:rsidP="005D0F69">
      <w:pPr>
        <w:contextualSpacing/>
        <w:jc w:val="both"/>
        <w:rPr>
          <w:rFonts w:ascii="Verdana" w:hAnsi="Verdana"/>
          <w:sz w:val="20"/>
          <w:szCs w:val="20"/>
          <w:lang w:val="en-US"/>
        </w:rPr>
      </w:pPr>
    </w:p>
    <w:p w14:paraId="5FE8938E" w14:textId="15160204" w:rsidR="00CB7CCB" w:rsidRPr="00D869E3" w:rsidRDefault="002C19F3" w:rsidP="00E66DD7">
      <w:pPr>
        <w:numPr>
          <w:ilvl w:val="0"/>
          <w:numId w:val="1"/>
        </w:numPr>
        <w:ind w:left="0" w:firstLine="0"/>
        <w:contextualSpacing/>
        <w:jc w:val="both"/>
        <w:rPr>
          <w:rFonts w:ascii="Verdana" w:hAnsi="Verdana"/>
          <w:sz w:val="20"/>
          <w:szCs w:val="20"/>
          <w:lang w:val="en-US"/>
        </w:rPr>
      </w:pPr>
      <w:r w:rsidRPr="00D869E3">
        <w:rPr>
          <w:rFonts w:ascii="Verdana" w:hAnsi="Verdana"/>
          <w:color w:val="000000"/>
          <w:sz w:val="20"/>
          <w:szCs w:val="20"/>
          <w:lang w:val="en-US"/>
        </w:rPr>
        <w:t>Therefore</w:t>
      </w:r>
      <w:r w:rsidR="00CB7CCB" w:rsidRPr="00D869E3">
        <w:rPr>
          <w:rFonts w:ascii="Verdana" w:hAnsi="Verdana"/>
          <w:color w:val="000000"/>
          <w:sz w:val="20"/>
          <w:szCs w:val="20"/>
          <w:lang w:val="en-US"/>
        </w:rPr>
        <w:t xml:space="preserve">, </w:t>
      </w:r>
      <w:r w:rsidR="00447C65" w:rsidRPr="00D869E3">
        <w:rPr>
          <w:rFonts w:ascii="Verdana" w:hAnsi="Verdana"/>
          <w:color w:val="000000"/>
          <w:sz w:val="20"/>
          <w:szCs w:val="20"/>
          <w:lang w:val="en-US"/>
        </w:rPr>
        <w:t>the Court</w:t>
      </w:r>
      <w:r w:rsidR="00CB7CCB" w:rsidRPr="00D869E3">
        <w:rPr>
          <w:rFonts w:ascii="Verdana" w:hAnsi="Verdana"/>
          <w:color w:val="000000"/>
          <w:sz w:val="20"/>
          <w:szCs w:val="20"/>
          <w:lang w:val="en-US"/>
        </w:rPr>
        <w:t xml:space="preserve"> </w:t>
      </w:r>
      <w:r w:rsidRPr="00D869E3">
        <w:rPr>
          <w:rFonts w:ascii="Verdana" w:hAnsi="Verdana"/>
          <w:color w:val="000000"/>
          <w:sz w:val="20"/>
          <w:szCs w:val="20"/>
          <w:lang w:val="en-US"/>
        </w:rPr>
        <w:t>finds that</w:t>
      </w:r>
      <w:r w:rsidR="00C05656" w:rsidRPr="00D869E3">
        <w:rPr>
          <w:rFonts w:ascii="Verdana" w:hAnsi="Verdana"/>
          <w:color w:val="000000"/>
          <w:sz w:val="20"/>
          <w:szCs w:val="20"/>
          <w:lang w:val="en-US"/>
        </w:rPr>
        <w:t xml:space="preserve"> </w:t>
      </w:r>
      <w:r w:rsidR="00447C65" w:rsidRPr="00D869E3">
        <w:rPr>
          <w:rFonts w:ascii="Verdana" w:hAnsi="Verdana"/>
          <w:color w:val="000000"/>
          <w:sz w:val="20"/>
          <w:szCs w:val="20"/>
          <w:lang w:val="en-US"/>
        </w:rPr>
        <w:t>the State</w:t>
      </w:r>
      <w:r w:rsidR="00C05656" w:rsidRPr="00D869E3">
        <w:rPr>
          <w:rFonts w:ascii="Verdana" w:hAnsi="Verdana"/>
          <w:color w:val="000000"/>
          <w:sz w:val="20"/>
          <w:szCs w:val="20"/>
          <w:lang w:val="en-US"/>
        </w:rPr>
        <w:t xml:space="preserve">, </w:t>
      </w:r>
      <w:r w:rsidRPr="00D869E3">
        <w:rPr>
          <w:rFonts w:ascii="Verdana" w:hAnsi="Verdana"/>
          <w:color w:val="000000"/>
          <w:sz w:val="20"/>
          <w:szCs w:val="20"/>
          <w:lang w:val="en-US"/>
        </w:rPr>
        <w:t>based on the dismissal</w:t>
      </w:r>
      <w:r w:rsidR="009D44FB" w:rsidRPr="00D869E3">
        <w:rPr>
          <w:rFonts w:ascii="Verdana" w:hAnsi="Verdana"/>
          <w:color w:val="000000"/>
          <w:sz w:val="20"/>
          <w:szCs w:val="20"/>
          <w:lang w:val="en-US"/>
        </w:rPr>
        <w:t xml:space="preserve"> </w:t>
      </w:r>
      <w:r w:rsidR="00E6309B" w:rsidRPr="00D869E3">
        <w:rPr>
          <w:rFonts w:ascii="Verdana" w:hAnsi="Verdana"/>
          <w:color w:val="000000"/>
          <w:sz w:val="20"/>
          <w:szCs w:val="20"/>
          <w:lang w:val="en-US"/>
        </w:rPr>
        <w:t>of Mr.</w:t>
      </w:r>
      <w:r w:rsidR="001E44D3" w:rsidRPr="00D869E3">
        <w:rPr>
          <w:rFonts w:ascii="Verdana" w:hAnsi="Verdana"/>
          <w:color w:val="000000"/>
          <w:sz w:val="20"/>
          <w:szCs w:val="20"/>
          <w:lang w:val="en-US"/>
        </w:rPr>
        <w:t xml:space="preserve"> Lagos del Campo</w:t>
      </w:r>
      <w:r w:rsidR="009D44FB" w:rsidRPr="00D869E3">
        <w:rPr>
          <w:rFonts w:ascii="Verdana" w:hAnsi="Verdana"/>
          <w:color w:val="000000"/>
          <w:sz w:val="20"/>
          <w:szCs w:val="20"/>
          <w:lang w:val="en-US"/>
        </w:rPr>
        <w:t xml:space="preserve"> </w:t>
      </w:r>
      <w:r w:rsidRPr="00D869E3">
        <w:rPr>
          <w:rFonts w:ascii="Verdana" w:hAnsi="Verdana"/>
          <w:color w:val="000000"/>
          <w:sz w:val="20"/>
          <w:szCs w:val="20"/>
          <w:lang w:val="en-US"/>
        </w:rPr>
        <w:t xml:space="preserve">from his job, violated his rights to job security </w:t>
      </w:r>
      <w:r w:rsidR="009D44FB" w:rsidRPr="00D869E3">
        <w:rPr>
          <w:rFonts w:ascii="Verdana" w:hAnsi="Verdana"/>
          <w:color w:val="000000"/>
          <w:sz w:val="20"/>
          <w:szCs w:val="20"/>
          <w:lang w:val="en-US"/>
        </w:rPr>
        <w:t>(</w:t>
      </w:r>
      <w:r w:rsidR="00447C65" w:rsidRPr="00D869E3">
        <w:rPr>
          <w:rFonts w:ascii="Verdana" w:hAnsi="Verdana"/>
          <w:color w:val="000000"/>
          <w:sz w:val="20"/>
          <w:szCs w:val="20"/>
          <w:lang w:val="en-US"/>
        </w:rPr>
        <w:t>Article</w:t>
      </w:r>
      <w:r w:rsidR="009D44FB" w:rsidRPr="00D869E3">
        <w:rPr>
          <w:rFonts w:ascii="Verdana" w:hAnsi="Verdana"/>
          <w:color w:val="000000"/>
          <w:sz w:val="20"/>
          <w:szCs w:val="20"/>
          <w:lang w:val="en-US"/>
        </w:rPr>
        <w:t xml:space="preserve"> 26 </w:t>
      </w:r>
      <w:r w:rsidR="00BB61A6" w:rsidRPr="00D869E3">
        <w:rPr>
          <w:rFonts w:ascii="Verdana" w:hAnsi="Verdana"/>
          <w:color w:val="000000"/>
          <w:sz w:val="20"/>
          <w:szCs w:val="20"/>
          <w:lang w:val="en-US"/>
        </w:rPr>
        <w:t>in relation to</w:t>
      </w:r>
      <w:r w:rsidR="009D44FB" w:rsidRPr="00D869E3">
        <w:rPr>
          <w:rFonts w:ascii="Verdana" w:hAnsi="Verdana"/>
          <w:color w:val="000000"/>
          <w:sz w:val="20"/>
          <w:szCs w:val="20"/>
          <w:lang w:val="en-US"/>
        </w:rPr>
        <w:t xml:space="preserve"> </w:t>
      </w:r>
      <w:r w:rsidR="00687684" w:rsidRPr="00D869E3">
        <w:rPr>
          <w:rFonts w:ascii="Verdana" w:hAnsi="Verdana"/>
          <w:color w:val="000000"/>
          <w:sz w:val="20"/>
          <w:szCs w:val="20"/>
          <w:lang w:val="en-US"/>
        </w:rPr>
        <w:t>Articles 1(1)</w:t>
      </w:r>
      <w:r w:rsidR="009D44FB" w:rsidRPr="00D869E3">
        <w:rPr>
          <w:rFonts w:ascii="Verdana" w:hAnsi="Verdana"/>
          <w:color w:val="000000"/>
          <w:sz w:val="20"/>
          <w:szCs w:val="20"/>
          <w:lang w:val="en-US"/>
        </w:rPr>
        <w:t>, 13, 8</w:t>
      </w:r>
      <w:r w:rsidR="00687684" w:rsidRPr="00D869E3">
        <w:rPr>
          <w:rFonts w:ascii="Verdana" w:hAnsi="Verdana"/>
          <w:color w:val="000000"/>
          <w:sz w:val="20"/>
          <w:szCs w:val="20"/>
          <w:lang w:val="en-US"/>
        </w:rPr>
        <w:t xml:space="preserve"> and </w:t>
      </w:r>
      <w:r w:rsidR="009D44FB" w:rsidRPr="00D869E3">
        <w:rPr>
          <w:rFonts w:ascii="Verdana" w:hAnsi="Verdana"/>
          <w:color w:val="000000"/>
          <w:sz w:val="20"/>
          <w:szCs w:val="20"/>
          <w:lang w:val="en-US"/>
        </w:rPr>
        <w:lastRenderedPageBreak/>
        <w:t>16</w:t>
      </w:r>
      <w:r w:rsidR="00447C65" w:rsidRPr="00D869E3">
        <w:rPr>
          <w:rFonts w:ascii="Verdana" w:hAnsi="Verdana"/>
          <w:color w:val="000000"/>
          <w:sz w:val="20"/>
          <w:szCs w:val="20"/>
          <w:lang w:val="en-US"/>
        </w:rPr>
        <w:t xml:space="preserve"> of the Convention</w:t>
      </w:r>
      <w:r w:rsidR="009D44FB" w:rsidRPr="00D869E3">
        <w:rPr>
          <w:rFonts w:ascii="Verdana" w:hAnsi="Verdana"/>
          <w:color w:val="000000"/>
          <w:sz w:val="20"/>
          <w:szCs w:val="20"/>
          <w:lang w:val="en-US"/>
        </w:rPr>
        <w:t>)</w:t>
      </w:r>
      <w:r w:rsidR="00687684" w:rsidRPr="00D869E3">
        <w:rPr>
          <w:rFonts w:ascii="Verdana" w:hAnsi="Verdana"/>
          <w:color w:val="000000"/>
          <w:sz w:val="20"/>
          <w:szCs w:val="20"/>
          <w:lang w:val="en-US"/>
        </w:rPr>
        <w:t xml:space="preserve"> and </w:t>
      </w:r>
      <w:r w:rsidRPr="00D869E3">
        <w:rPr>
          <w:rFonts w:ascii="Verdana" w:hAnsi="Verdana"/>
          <w:color w:val="000000"/>
          <w:sz w:val="20"/>
          <w:szCs w:val="20"/>
          <w:lang w:val="en-US"/>
        </w:rPr>
        <w:t>to</w:t>
      </w:r>
      <w:r w:rsidR="00C05656" w:rsidRPr="00D869E3">
        <w:rPr>
          <w:rFonts w:ascii="Verdana" w:hAnsi="Verdana"/>
          <w:color w:val="000000"/>
          <w:sz w:val="20"/>
          <w:szCs w:val="20"/>
          <w:lang w:val="en-US"/>
        </w:rPr>
        <w:t xml:space="preserve"> </w:t>
      </w:r>
      <w:r w:rsidR="00A62EA8" w:rsidRPr="00D869E3">
        <w:rPr>
          <w:rFonts w:ascii="Verdana" w:hAnsi="Verdana"/>
          <w:color w:val="000000"/>
          <w:sz w:val="20"/>
          <w:szCs w:val="20"/>
          <w:lang w:val="en-US"/>
        </w:rPr>
        <w:t>freedom of expression</w:t>
      </w:r>
      <w:r w:rsidR="00C05656" w:rsidRPr="00D869E3">
        <w:rPr>
          <w:rFonts w:ascii="Verdana" w:hAnsi="Verdana"/>
          <w:color w:val="000000"/>
          <w:sz w:val="20"/>
          <w:szCs w:val="20"/>
          <w:lang w:val="en-US"/>
        </w:rPr>
        <w:t xml:space="preserve"> (</w:t>
      </w:r>
      <w:r w:rsidR="00447C65" w:rsidRPr="00D869E3">
        <w:rPr>
          <w:rFonts w:ascii="Verdana" w:hAnsi="Verdana"/>
          <w:color w:val="000000"/>
          <w:sz w:val="20"/>
          <w:szCs w:val="20"/>
          <w:lang w:val="en-US"/>
        </w:rPr>
        <w:t>Article</w:t>
      </w:r>
      <w:r w:rsidR="00C05656" w:rsidRPr="00D869E3">
        <w:rPr>
          <w:rFonts w:ascii="Verdana" w:hAnsi="Verdana"/>
          <w:color w:val="000000"/>
          <w:sz w:val="20"/>
          <w:szCs w:val="20"/>
          <w:lang w:val="en-US"/>
        </w:rPr>
        <w:t>s 13</w:t>
      </w:r>
      <w:r w:rsidR="00687684" w:rsidRPr="00D869E3">
        <w:rPr>
          <w:rFonts w:ascii="Verdana" w:hAnsi="Verdana"/>
          <w:color w:val="000000"/>
          <w:sz w:val="20"/>
          <w:szCs w:val="20"/>
          <w:lang w:val="en-US"/>
        </w:rPr>
        <w:t xml:space="preserve"> and </w:t>
      </w:r>
      <w:r w:rsidR="00C05656" w:rsidRPr="00D869E3">
        <w:rPr>
          <w:rFonts w:ascii="Verdana" w:hAnsi="Verdana"/>
          <w:color w:val="000000"/>
          <w:sz w:val="20"/>
          <w:szCs w:val="20"/>
          <w:lang w:val="en-US"/>
        </w:rPr>
        <w:t>8</w:t>
      </w:r>
      <w:r w:rsidR="0067646F" w:rsidRPr="00D869E3">
        <w:rPr>
          <w:rFonts w:ascii="Verdana" w:hAnsi="Verdana"/>
          <w:color w:val="000000"/>
          <w:sz w:val="20"/>
          <w:szCs w:val="20"/>
          <w:lang w:val="en-US"/>
        </w:rPr>
        <w:t xml:space="preserve"> </w:t>
      </w:r>
      <w:r w:rsidR="00BB61A6" w:rsidRPr="00D869E3">
        <w:rPr>
          <w:rFonts w:ascii="Verdana" w:hAnsi="Verdana"/>
          <w:color w:val="000000"/>
          <w:sz w:val="20"/>
          <w:szCs w:val="20"/>
          <w:lang w:val="en-US"/>
        </w:rPr>
        <w:t>in relation to</w:t>
      </w:r>
      <w:r w:rsidR="0067646F" w:rsidRPr="00D869E3">
        <w:rPr>
          <w:rFonts w:ascii="Verdana" w:hAnsi="Verdana"/>
          <w:color w:val="000000"/>
          <w:sz w:val="20"/>
          <w:szCs w:val="20"/>
          <w:lang w:val="en-US"/>
        </w:rPr>
        <w:t xml:space="preserve"> </w:t>
      </w:r>
      <w:r w:rsidR="00687684" w:rsidRPr="00D869E3">
        <w:rPr>
          <w:rFonts w:ascii="Verdana" w:hAnsi="Verdana"/>
          <w:color w:val="000000"/>
          <w:sz w:val="20"/>
          <w:szCs w:val="20"/>
          <w:lang w:val="en-US"/>
        </w:rPr>
        <w:t xml:space="preserve">Article 1(1) </w:t>
      </w:r>
      <w:r w:rsidR="00447C65" w:rsidRPr="00D869E3">
        <w:rPr>
          <w:rFonts w:ascii="Verdana" w:hAnsi="Verdana"/>
          <w:color w:val="000000"/>
          <w:sz w:val="20"/>
          <w:szCs w:val="20"/>
          <w:lang w:val="en-US"/>
        </w:rPr>
        <w:t>of the Convention</w:t>
      </w:r>
      <w:r w:rsidR="00C05656" w:rsidRPr="00D869E3">
        <w:rPr>
          <w:rFonts w:ascii="Verdana" w:hAnsi="Verdana"/>
          <w:color w:val="000000"/>
          <w:sz w:val="20"/>
          <w:szCs w:val="20"/>
          <w:lang w:val="en-US"/>
        </w:rPr>
        <w:t>).</w:t>
      </w:r>
      <w:r w:rsidR="009D44FB" w:rsidRPr="00D869E3">
        <w:rPr>
          <w:rFonts w:ascii="Verdana" w:hAnsi="Verdana"/>
          <w:color w:val="000000"/>
          <w:sz w:val="20"/>
          <w:szCs w:val="20"/>
          <w:lang w:val="en-US"/>
        </w:rPr>
        <w:t xml:space="preserve"> </w:t>
      </w:r>
      <w:r w:rsidRPr="00D869E3">
        <w:rPr>
          <w:rFonts w:ascii="Verdana" w:hAnsi="Verdana"/>
          <w:color w:val="000000"/>
          <w:sz w:val="20"/>
          <w:szCs w:val="20"/>
          <w:lang w:val="en-US"/>
        </w:rPr>
        <w:t>This</w:t>
      </w:r>
      <w:r w:rsidR="009D5355" w:rsidRPr="00D869E3">
        <w:rPr>
          <w:rFonts w:ascii="Verdana" w:hAnsi="Verdana"/>
          <w:color w:val="000000"/>
          <w:sz w:val="20"/>
          <w:szCs w:val="20"/>
          <w:lang w:val="en-US"/>
        </w:rPr>
        <w:t xml:space="preserve"> had </w:t>
      </w:r>
      <w:r w:rsidR="000258D5" w:rsidRPr="00D869E3">
        <w:rPr>
          <w:rFonts w:ascii="Verdana" w:hAnsi="Verdana"/>
          <w:color w:val="000000"/>
          <w:sz w:val="20"/>
          <w:szCs w:val="20"/>
          <w:lang w:val="en-US"/>
        </w:rPr>
        <w:t>repercussions</w:t>
      </w:r>
      <w:r w:rsidR="009D5355" w:rsidRPr="00D869E3">
        <w:rPr>
          <w:rFonts w:ascii="Verdana" w:hAnsi="Verdana"/>
          <w:color w:val="000000"/>
          <w:sz w:val="20"/>
          <w:szCs w:val="20"/>
          <w:lang w:val="en-US"/>
        </w:rPr>
        <w:t xml:space="preserve"> on his labor representation and right to freedom of association</w:t>
      </w:r>
      <w:r w:rsidR="00747383" w:rsidRPr="00D869E3">
        <w:rPr>
          <w:rFonts w:ascii="Verdana" w:hAnsi="Verdana"/>
          <w:color w:val="000000"/>
          <w:sz w:val="20"/>
          <w:szCs w:val="20"/>
          <w:lang w:val="en-US"/>
        </w:rPr>
        <w:t xml:space="preserve"> (</w:t>
      </w:r>
      <w:r w:rsidR="00447C65" w:rsidRPr="00D869E3">
        <w:rPr>
          <w:rFonts w:ascii="Verdana" w:hAnsi="Verdana"/>
          <w:color w:val="000000"/>
          <w:sz w:val="20"/>
          <w:szCs w:val="20"/>
          <w:lang w:val="en-US"/>
        </w:rPr>
        <w:t>Article</w:t>
      </w:r>
      <w:r w:rsidR="00C05656" w:rsidRPr="00D869E3">
        <w:rPr>
          <w:rFonts w:ascii="Verdana" w:hAnsi="Verdana"/>
          <w:color w:val="000000"/>
          <w:sz w:val="20"/>
          <w:szCs w:val="20"/>
          <w:lang w:val="en-US"/>
        </w:rPr>
        <w:t>s</w:t>
      </w:r>
      <w:r w:rsidR="00747383" w:rsidRPr="00D869E3">
        <w:rPr>
          <w:rFonts w:ascii="Verdana" w:hAnsi="Verdana"/>
          <w:color w:val="000000"/>
          <w:sz w:val="20"/>
          <w:szCs w:val="20"/>
          <w:lang w:val="en-US"/>
        </w:rPr>
        <w:t xml:space="preserve"> 16</w:t>
      </w:r>
      <w:r w:rsidR="00687684" w:rsidRPr="00D869E3">
        <w:rPr>
          <w:rFonts w:ascii="Verdana" w:hAnsi="Verdana"/>
          <w:color w:val="000000"/>
          <w:sz w:val="20"/>
          <w:szCs w:val="20"/>
          <w:lang w:val="en-US"/>
        </w:rPr>
        <w:t xml:space="preserve"> and </w:t>
      </w:r>
      <w:r w:rsidR="008F1812" w:rsidRPr="00D869E3">
        <w:rPr>
          <w:rFonts w:ascii="Verdana" w:hAnsi="Verdana"/>
          <w:color w:val="000000"/>
          <w:sz w:val="20"/>
          <w:szCs w:val="20"/>
          <w:lang w:val="en-US"/>
        </w:rPr>
        <w:t xml:space="preserve">26 </w:t>
      </w:r>
      <w:r w:rsidR="00BB61A6" w:rsidRPr="00D869E3">
        <w:rPr>
          <w:rFonts w:ascii="Verdana" w:hAnsi="Verdana"/>
          <w:color w:val="000000"/>
          <w:sz w:val="20"/>
          <w:szCs w:val="20"/>
          <w:lang w:val="en-US"/>
        </w:rPr>
        <w:t>in relation to</w:t>
      </w:r>
      <w:r w:rsidR="009D44FB" w:rsidRPr="00D869E3">
        <w:rPr>
          <w:rFonts w:ascii="Verdana" w:hAnsi="Verdana"/>
          <w:color w:val="000000"/>
          <w:sz w:val="20"/>
          <w:szCs w:val="20"/>
          <w:lang w:val="en-US"/>
        </w:rPr>
        <w:t xml:space="preserve"> </w:t>
      </w:r>
      <w:r w:rsidR="009D5355" w:rsidRPr="00D869E3">
        <w:rPr>
          <w:rFonts w:ascii="Verdana" w:hAnsi="Verdana"/>
          <w:color w:val="000000"/>
          <w:sz w:val="20"/>
          <w:szCs w:val="20"/>
          <w:lang w:val="en-US"/>
        </w:rPr>
        <w:t xml:space="preserve">Article </w:t>
      </w:r>
      <w:r w:rsidR="009D44FB" w:rsidRPr="00D869E3">
        <w:rPr>
          <w:rFonts w:ascii="Verdana" w:hAnsi="Verdana"/>
          <w:color w:val="000000"/>
          <w:sz w:val="20"/>
          <w:szCs w:val="20"/>
          <w:lang w:val="en-US"/>
        </w:rPr>
        <w:t>1</w:t>
      </w:r>
      <w:r w:rsidR="009D5355" w:rsidRPr="00D869E3">
        <w:rPr>
          <w:rFonts w:ascii="Verdana" w:hAnsi="Verdana"/>
          <w:color w:val="000000"/>
          <w:sz w:val="20"/>
          <w:szCs w:val="20"/>
          <w:lang w:val="en-US"/>
        </w:rPr>
        <w:t>(</w:t>
      </w:r>
      <w:r w:rsidR="009D44FB" w:rsidRPr="00D869E3">
        <w:rPr>
          <w:rFonts w:ascii="Verdana" w:hAnsi="Verdana"/>
          <w:color w:val="000000"/>
          <w:sz w:val="20"/>
          <w:szCs w:val="20"/>
          <w:lang w:val="en-US"/>
        </w:rPr>
        <w:t>1</w:t>
      </w:r>
      <w:r w:rsidR="009D5355" w:rsidRPr="00D869E3">
        <w:rPr>
          <w:rFonts w:ascii="Verdana" w:hAnsi="Verdana"/>
          <w:color w:val="000000"/>
          <w:sz w:val="20"/>
          <w:szCs w:val="20"/>
          <w:lang w:val="en-US"/>
        </w:rPr>
        <w:t>)</w:t>
      </w:r>
      <w:r w:rsidR="009D44FB" w:rsidRPr="00D869E3">
        <w:rPr>
          <w:rFonts w:ascii="Verdana" w:hAnsi="Verdana"/>
          <w:color w:val="000000"/>
          <w:sz w:val="20"/>
          <w:szCs w:val="20"/>
          <w:lang w:val="en-US"/>
        </w:rPr>
        <w:t>, 13</w:t>
      </w:r>
      <w:r w:rsidR="00687684" w:rsidRPr="00D869E3">
        <w:rPr>
          <w:rFonts w:ascii="Verdana" w:hAnsi="Verdana"/>
          <w:color w:val="000000"/>
          <w:sz w:val="20"/>
          <w:szCs w:val="20"/>
          <w:lang w:val="en-US"/>
        </w:rPr>
        <w:t xml:space="preserve"> and </w:t>
      </w:r>
      <w:r w:rsidR="009D44FB" w:rsidRPr="00D869E3">
        <w:rPr>
          <w:rFonts w:ascii="Verdana" w:hAnsi="Verdana"/>
          <w:color w:val="000000"/>
          <w:sz w:val="20"/>
          <w:szCs w:val="20"/>
          <w:lang w:val="en-US"/>
        </w:rPr>
        <w:t>8</w:t>
      </w:r>
      <w:r w:rsidR="00447C65" w:rsidRPr="00D869E3">
        <w:rPr>
          <w:rFonts w:ascii="Verdana" w:hAnsi="Verdana"/>
          <w:color w:val="000000"/>
          <w:sz w:val="20"/>
          <w:szCs w:val="20"/>
          <w:lang w:val="en-US"/>
        </w:rPr>
        <w:t xml:space="preserve"> of the Convention</w:t>
      </w:r>
      <w:r w:rsidR="00747383" w:rsidRPr="00D869E3">
        <w:rPr>
          <w:rFonts w:ascii="Verdana" w:hAnsi="Verdana"/>
          <w:color w:val="000000"/>
          <w:sz w:val="20"/>
          <w:szCs w:val="20"/>
          <w:lang w:val="en-US"/>
        </w:rPr>
        <w:t xml:space="preserve">), </w:t>
      </w:r>
      <w:r w:rsidR="009D5355" w:rsidRPr="00D869E3">
        <w:rPr>
          <w:rFonts w:ascii="Verdana" w:hAnsi="Verdana"/>
          <w:color w:val="000000"/>
          <w:sz w:val="20"/>
          <w:szCs w:val="20"/>
          <w:lang w:val="en-US"/>
        </w:rPr>
        <w:t>which had an impact on his professional, personal and family life</w:t>
      </w:r>
      <w:r w:rsidR="00747383" w:rsidRPr="00D869E3">
        <w:rPr>
          <w:rFonts w:ascii="Verdana" w:hAnsi="Verdana"/>
          <w:color w:val="000000"/>
          <w:sz w:val="20"/>
          <w:szCs w:val="20"/>
          <w:lang w:val="en-US"/>
        </w:rPr>
        <w:t xml:space="preserve">. </w:t>
      </w:r>
    </w:p>
    <w:p w14:paraId="14F47D2C" w14:textId="77777777" w:rsidR="00747383" w:rsidRPr="00D869E3" w:rsidRDefault="00747383" w:rsidP="005D0F69">
      <w:pPr>
        <w:contextualSpacing/>
        <w:jc w:val="both"/>
        <w:rPr>
          <w:rFonts w:ascii="Verdana" w:hAnsi="Verdana"/>
          <w:sz w:val="20"/>
          <w:szCs w:val="20"/>
          <w:lang w:val="en-US"/>
        </w:rPr>
      </w:pPr>
    </w:p>
    <w:p w14:paraId="3AFABC2A" w14:textId="77DD2F7F" w:rsidR="00747383" w:rsidRPr="00D869E3" w:rsidRDefault="00747383" w:rsidP="00333304">
      <w:pPr>
        <w:pStyle w:val="Ttulo1"/>
        <w:tabs>
          <w:tab w:val="left" w:pos="851"/>
        </w:tabs>
        <w:spacing w:before="0"/>
        <w:jc w:val="center"/>
        <w:rPr>
          <w:rFonts w:cs="Verdana"/>
          <w:b w:val="0"/>
          <w:caps/>
          <w:snapToGrid w:val="0"/>
          <w:szCs w:val="20"/>
          <w:lang w:val="en-US"/>
        </w:rPr>
      </w:pPr>
      <w:bookmarkStart w:id="55" w:name="_Toc29114143"/>
      <w:r w:rsidRPr="00D869E3">
        <w:rPr>
          <w:rFonts w:cs="Verdana"/>
          <w:caps/>
          <w:snapToGrid w:val="0"/>
          <w:szCs w:val="20"/>
          <w:lang w:val="en-US"/>
        </w:rPr>
        <w:t>VII-2</w:t>
      </w:r>
      <w:bookmarkEnd w:id="55"/>
    </w:p>
    <w:p w14:paraId="40116482" w14:textId="13CA44C8" w:rsidR="00747383" w:rsidRPr="00D869E3" w:rsidRDefault="00B44B46" w:rsidP="00333304">
      <w:pPr>
        <w:pStyle w:val="Ttulo1"/>
        <w:tabs>
          <w:tab w:val="left" w:pos="851"/>
        </w:tabs>
        <w:spacing w:before="0"/>
        <w:jc w:val="center"/>
        <w:rPr>
          <w:rFonts w:cs="Verdana"/>
          <w:b w:val="0"/>
          <w:bCs w:val="0"/>
          <w:caps/>
          <w:snapToGrid w:val="0"/>
          <w:szCs w:val="20"/>
          <w:lang w:val="en-US"/>
        </w:rPr>
      </w:pPr>
      <w:bookmarkStart w:id="56" w:name="_Toc29114144"/>
      <w:r w:rsidRPr="00D869E3">
        <w:rPr>
          <w:rFonts w:cs="Verdana"/>
          <w:caps/>
          <w:snapToGrid w:val="0"/>
          <w:szCs w:val="20"/>
          <w:lang w:val="en-US"/>
        </w:rPr>
        <w:t>ACCESS TO JUSTICE</w:t>
      </w:r>
      <w:bookmarkEnd w:id="56"/>
      <w:r w:rsidR="00747383" w:rsidRPr="00D869E3">
        <w:rPr>
          <w:rFonts w:cs="Verdana"/>
          <w:caps/>
          <w:snapToGrid w:val="0"/>
          <w:szCs w:val="20"/>
          <w:lang w:val="en-US"/>
        </w:rPr>
        <w:t xml:space="preserve"> </w:t>
      </w:r>
    </w:p>
    <w:p w14:paraId="7649B37A" w14:textId="33886191" w:rsidR="00747383" w:rsidRPr="00D869E3" w:rsidRDefault="00747383" w:rsidP="00333304">
      <w:pPr>
        <w:pStyle w:val="Ttulo1"/>
        <w:tabs>
          <w:tab w:val="left" w:pos="851"/>
        </w:tabs>
        <w:spacing w:before="0"/>
        <w:jc w:val="center"/>
        <w:rPr>
          <w:rFonts w:cs="Verdana"/>
          <w:b w:val="0"/>
          <w:bCs w:val="0"/>
          <w:caps/>
          <w:snapToGrid w:val="0"/>
          <w:szCs w:val="20"/>
          <w:lang w:val="en-US"/>
        </w:rPr>
      </w:pPr>
      <w:bookmarkStart w:id="57" w:name="_Toc29114145"/>
      <w:r w:rsidRPr="00D869E3">
        <w:rPr>
          <w:rFonts w:cs="Verdana"/>
          <w:caps/>
          <w:snapToGrid w:val="0"/>
          <w:szCs w:val="20"/>
          <w:lang w:val="en-US"/>
        </w:rPr>
        <w:t>(</w:t>
      </w:r>
      <w:r w:rsidR="00DF1382" w:rsidRPr="00D869E3">
        <w:rPr>
          <w:rFonts w:cs="Verdana"/>
          <w:caps/>
          <w:snapToGrid w:val="0"/>
          <w:szCs w:val="20"/>
          <w:lang w:val="en-US"/>
        </w:rPr>
        <w:t>ARTICLES</w:t>
      </w:r>
      <w:r w:rsidRPr="00D869E3">
        <w:rPr>
          <w:rFonts w:cs="Verdana"/>
          <w:caps/>
          <w:snapToGrid w:val="0"/>
          <w:szCs w:val="20"/>
          <w:lang w:val="en-US"/>
        </w:rPr>
        <w:t xml:space="preserve"> 8</w:t>
      </w:r>
      <w:r w:rsidR="00687684" w:rsidRPr="00D869E3">
        <w:rPr>
          <w:rFonts w:cs="Verdana"/>
          <w:caps/>
          <w:snapToGrid w:val="0"/>
          <w:szCs w:val="20"/>
          <w:lang w:val="en-US"/>
        </w:rPr>
        <w:t xml:space="preserve"> and </w:t>
      </w:r>
      <w:r w:rsidRPr="00D869E3">
        <w:rPr>
          <w:rFonts w:cs="Verdana"/>
          <w:caps/>
          <w:snapToGrid w:val="0"/>
          <w:szCs w:val="20"/>
          <w:lang w:val="en-US"/>
        </w:rPr>
        <w:t xml:space="preserve">25 </w:t>
      </w:r>
      <w:r w:rsidR="00B44B46" w:rsidRPr="00D869E3">
        <w:rPr>
          <w:rFonts w:cs="Verdana"/>
          <w:caps/>
          <w:snapToGrid w:val="0"/>
          <w:szCs w:val="20"/>
          <w:lang w:val="en-US"/>
        </w:rPr>
        <w:t>OF THE AMERICAN CONVENTION</w:t>
      </w:r>
      <w:r w:rsidRPr="00D869E3">
        <w:rPr>
          <w:rFonts w:cs="Verdana"/>
          <w:caps/>
          <w:snapToGrid w:val="0"/>
          <w:szCs w:val="20"/>
          <w:lang w:val="en-US"/>
        </w:rPr>
        <w:t>A)</w:t>
      </w:r>
      <w:bookmarkEnd w:id="57"/>
    </w:p>
    <w:p w14:paraId="54D436C3" w14:textId="77777777" w:rsidR="00747383" w:rsidRPr="00D869E3" w:rsidRDefault="00747383" w:rsidP="005D0F69">
      <w:pPr>
        <w:contextualSpacing/>
        <w:jc w:val="both"/>
        <w:rPr>
          <w:rFonts w:ascii="Verdana" w:hAnsi="Verdana"/>
          <w:sz w:val="20"/>
          <w:szCs w:val="20"/>
          <w:lang w:val="en-US"/>
        </w:rPr>
      </w:pPr>
    </w:p>
    <w:p w14:paraId="4B155468" w14:textId="3531A978" w:rsidR="00E66DD7" w:rsidRPr="00D869E3" w:rsidRDefault="00966115" w:rsidP="00E66DD7">
      <w:pPr>
        <w:pStyle w:val="Ttulo2"/>
        <w:numPr>
          <w:ilvl w:val="0"/>
          <w:numId w:val="23"/>
        </w:numPr>
        <w:rPr>
          <w:i/>
          <w:szCs w:val="20"/>
          <w:lang w:val="en-US"/>
        </w:rPr>
      </w:pPr>
      <w:bookmarkStart w:id="58" w:name="_Toc464140128"/>
      <w:bookmarkStart w:id="59" w:name="_Toc29114146"/>
      <w:r w:rsidRPr="00D869E3">
        <w:rPr>
          <w:i/>
          <w:szCs w:val="20"/>
          <w:lang w:val="en-US"/>
        </w:rPr>
        <w:t>Arguments of the parties</w:t>
      </w:r>
      <w:r w:rsidR="00687684" w:rsidRPr="00D869E3">
        <w:rPr>
          <w:i/>
          <w:szCs w:val="20"/>
          <w:lang w:val="en-US"/>
        </w:rPr>
        <w:t xml:space="preserve"> and </w:t>
      </w:r>
      <w:r w:rsidR="00447C65" w:rsidRPr="00D869E3">
        <w:rPr>
          <w:i/>
          <w:szCs w:val="20"/>
          <w:lang w:val="en-US"/>
        </w:rPr>
        <w:t>of the Commission</w:t>
      </w:r>
      <w:bookmarkEnd w:id="58"/>
      <w:bookmarkEnd w:id="59"/>
    </w:p>
    <w:p w14:paraId="0C53F68C" w14:textId="77777777" w:rsidR="00E66DD7" w:rsidRPr="00D869E3" w:rsidRDefault="00E66DD7" w:rsidP="00E66DD7">
      <w:pPr>
        <w:rPr>
          <w:rFonts w:ascii="Verdana" w:hAnsi="Verdana"/>
          <w:sz w:val="20"/>
          <w:szCs w:val="20"/>
          <w:lang w:val="en-US"/>
        </w:rPr>
      </w:pPr>
    </w:p>
    <w:p w14:paraId="29F65974" w14:textId="194938FE" w:rsidR="00E66DD7" w:rsidRPr="00D869E3" w:rsidRDefault="00687684" w:rsidP="00901386">
      <w:pPr>
        <w:numPr>
          <w:ilvl w:val="0"/>
          <w:numId w:val="1"/>
        </w:numPr>
        <w:ind w:left="0" w:firstLine="0"/>
        <w:contextualSpacing/>
        <w:jc w:val="both"/>
        <w:rPr>
          <w:rFonts w:ascii="Verdana" w:hAnsi="Verdana"/>
          <w:sz w:val="20"/>
          <w:szCs w:val="20"/>
          <w:lang w:val="en-US"/>
        </w:rPr>
      </w:pPr>
      <w:r w:rsidRPr="00D869E3">
        <w:rPr>
          <w:rFonts w:ascii="Verdana" w:hAnsi="Verdana"/>
          <w:sz w:val="20"/>
          <w:szCs w:val="20"/>
          <w:lang w:val="en-US"/>
        </w:rPr>
        <w:t xml:space="preserve">The </w:t>
      </w:r>
      <w:r w:rsidRPr="00D869E3">
        <w:rPr>
          <w:rFonts w:ascii="Verdana" w:hAnsi="Verdana"/>
          <w:b/>
          <w:bCs/>
          <w:i/>
          <w:iCs/>
          <w:sz w:val="20"/>
          <w:szCs w:val="20"/>
          <w:lang w:val="en-US"/>
        </w:rPr>
        <w:t>representatives</w:t>
      </w:r>
      <w:r w:rsidR="00E66DD7" w:rsidRPr="00D869E3">
        <w:rPr>
          <w:rFonts w:ascii="Verdana" w:hAnsi="Verdana"/>
          <w:sz w:val="20"/>
          <w:szCs w:val="20"/>
          <w:lang w:val="en-US"/>
        </w:rPr>
        <w:t xml:space="preserve"> al</w:t>
      </w:r>
      <w:r w:rsidR="007E67ED" w:rsidRPr="00D869E3">
        <w:rPr>
          <w:rFonts w:ascii="Verdana" w:hAnsi="Verdana"/>
          <w:sz w:val="20"/>
          <w:szCs w:val="20"/>
          <w:lang w:val="en-US"/>
        </w:rPr>
        <w:t>leged</w:t>
      </w:r>
      <w:r w:rsidR="00E66DD7" w:rsidRPr="00D869E3">
        <w:rPr>
          <w:rFonts w:ascii="Verdana" w:hAnsi="Verdana"/>
          <w:sz w:val="20"/>
          <w:szCs w:val="20"/>
          <w:lang w:val="en-US"/>
        </w:rPr>
        <w:t xml:space="preserve"> </w:t>
      </w:r>
      <w:r w:rsidR="007013E2" w:rsidRPr="00D869E3">
        <w:rPr>
          <w:rFonts w:ascii="Verdana" w:hAnsi="Verdana"/>
          <w:sz w:val="20"/>
          <w:szCs w:val="20"/>
          <w:lang w:val="en-US"/>
        </w:rPr>
        <w:t>the violation</w:t>
      </w:r>
      <w:r w:rsidR="00E66DD7" w:rsidRPr="00D869E3">
        <w:rPr>
          <w:rFonts w:ascii="Verdana" w:hAnsi="Verdana"/>
          <w:sz w:val="20"/>
          <w:szCs w:val="20"/>
          <w:lang w:val="en-US"/>
        </w:rPr>
        <w:t xml:space="preserve"> </w:t>
      </w:r>
      <w:r w:rsidRPr="00D869E3">
        <w:rPr>
          <w:rFonts w:ascii="Verdana" w:hAnsi="Verdana"/>
          <w:sz w:val="20"/>
          <w:szCs w:val="20"/>
          <w:lang w:val="en-US"/>
        </w:rPr>
        <w:t>of Article</w:t>
      </w:r>
      <w:r w:rsidR="00E66DD7" w:rsidRPr="00D869E3">
        <w:rPr>
          <w:rFonts w:ascii="Verdana" w:hAnsi="Verdana"/>
          <w:sz w:val="20"/>
          <w:szCs w:val="20"/>
          <w:lang w:val="en-US"/>
        </w:rPr>
        <w:t xml:space="preserve"> 8</w:t>
      </w:r>
      <w:r w:rsidR="00447C65" w:rsidRPr="00D869E3">
        <w:rPr>
          <w:rFonts w:ascii="Verdana" w:hAnsi="Verdana"/>
          <w:sz w:val="20"/>
          <w:szCs w:val="20"/>
          <w:lang w:val="en-US"/>
        </w:rPr>
        <w:t xml:space="preserve"> of the Convention</w:t>
      </w:r>
      <w:r w:rsidR="00E66DD7" w:rsidRPr="00D869E3">
        <w:rPr>
          <w:rFonts w:ascii="Verdana" w:hAnsi="Verdana"/>
          <w:sz w:val="20"/>
          <w:szCs w:val="20"/>
          <w:lang w:val="en-US"/>
        </w:rPr>
        <w:t>, particula</w:t>
      </w:r>
      <w:r w:rsidR="007E67ED" w:rsidRPr="00D869E3">
        <w:rPr>
          <w:rFonts w:ascii="Verdana" w:hAnsi="Verdana"/>
          <w:sz w:val="20"/>
          <w:szCs w:val="20"/>
          <w:lang w:val="en-US"/>
        </w:rPr>
        <w:t>rly</w:t>
      </w:r>
      <w:r w:rsidR="00E66DD7" w:rsidRPr="00D869E3">
        <w:rPr>
          <w:rFonts w:ascii="Verdana" w:hAnsi="Verdana"/>
          <w:sz w:val="20"/>
          <w:szCs w:val="20"/>
          <w:lang w:val="en-US"/>
        </w:rPr>
        <w:t xml:space="preserve"> </w:t>
      </w:r>
      <w:r w:rsidR="007E67ED" w:rsidRPr="00D869E3">
        <w:rPr>
          <w:rFonts w:ascii="Verdana" w:hAnsi="Verdana"/>
          <w:sz w:val="20"/>
          <w:szCs w:val="20"/>
          <w:lang w:val="en-US"/>
        </w:rPr>
        <w:t xml:space="preserve">in relation to the </w:t>
      </w:r>
      <w:r w:rsidR="000B2E5E" w:rsidRPr="00D869E3">
        <w:rPr>
          <w:rFonts w:ascii="Verdana" w:hAnsi="Verdana"/>
          <w:sz w:val="20"/>
          <w:szCs w:val="20"/>
          <w:lang w:val="en-US"/>
        </w:rPr>
        <w:t>right to</w:t>
      </w:r>
      <w:r w:rsidR="007E67ED" w:rsidRPr="00D869E3">
        <w:rPr>
          <w:rFonts w:ascii="Verdana" w:hAnsi="Verdana"/>
          <w:sz w:val="20"/>
          <w:szCs w:val="20"/>
          <w:lang w:val="en-US"/>
        </w:rPr>
        <w:t xml:space="preserve"> </w:t>
      </w:r>
      <w:r w:rsidR="00CF1D7C" w:rsidRPr="00D869E3">
        <w:rPr>
          <w:rFonts w:ascii="Verdana" w:hAnsi="Verdana"/>
          <w:sz w:val="20"/>
          <w:szCs w:val="20"/>
          <w:lang w:val="en-US"/>
        </w:rPr>
        <w:t>appeal</w:t>
      </w:r>
      <w:r w:rsidR="007E67ED" w:rsidRPr="00D869E3">
        <w:rPr>
          <w:rFonts w:ascii="Verdana" w:hAnsi="Verdana"/>
          <w:sz w:val="20"/>
          <w:szCs w:val="20"/>
          <w:lang w:val="en-US"/>
        </w:rPr>
        <w:t xml:space="preserve"> </w:t>
      </w:r>
      <w:r w:rsidR="00CF1D7C" w:rsidRPr="00D869E3">
        <w:rPr>
          <w:rFonts w:ascii="Verdana" w:hAnsi="Verdana"/>
          <w:sz w:val="20"/>
          <w:szCs w:val="20"/>
          <w:lang w:val="en-US"/>
        </w:rPr>
        <w:t>a judgment</w:t>
      </w:r>
      <w:r w:rsidR="007E67ED" w:rsidRPr="00D869E3">
        <w:rPr>
          <w:rFonts w:ascii="Verdana" w:hAnsi="Verdana"/>
          <w:sz w:val="20"/>
          <w:szCs w:val="20"/>
          <w:lang w:val="en-US"/>
        </w:rPr>
        <w:t xml:space="preserve">. </w:t>
      </w:r>
      <w:r w:rsidR="00075E68" w:rsidRPr="00D869E3">
        <w:rPr>
          <w:rFonts w:ascii="Verdana" w:hAnsi="Verdana"/>
          <w:sz w:val="20"/>
          <w:szCs w:val="20"/>
          <w:lang w:val="en-US"/>
        </w:rPr>
        <w:t>In this regard</w:t>
      </w:r>
      <w:r w:rsidR="00E66DD7" w:rsidRPr="00D869E3">
        <w:rPr>
          <w:rFonts w:ascii="Verdana" w:hAnsi="Verdana"/>
          <w:sz w:val="20"/>
          <w:szCs w:val="20"/>
          <w:lang w:val="en-US"/>
        </w:rPr>
        <w:t xml:space="preserve">, </w:t>
      </w:r>
      <w:r w:rsidR="007E67ED" w:rsidRPr="00D869E3">
        <w:rPr>
          <w:rFonts w:ascii="Verdana" w:hAnsi="Verdana"/>
          <w:sz w:val="20"/>
          <w:szCs w:val="20"/>
          <w:lang w:val="en-US"/>
        </w:rPr>
        <w:t xml:space="preserve">they referred to the actions taken by </w:t>
      </w:r>
      <w:r w:rsidR="001E44D3" w:rsidRPr="00D869E3">
        <w:rPr>
          <w:rFonts w:ascii="Verdana" w:hAnsi="Verdana"/>
          <w:sz w:val="20"/>
          <w:szCs w:val="20"/>
          <w:lang w:val="en-US"/>
        </w:rPr>
        <w:t>Mr. Lagos del Campo</w:t>
      </w:r>
      <w:r w:rsidR="00E66DD7" w:rsidRPr="00D869E3">
        <w:rPr>
          <w:rFonts w:ascii="Verdana" w:hAnsi="Verdana"/>
          <w:sz w:val="20"/>
          <w:szCs w:val="20"/>
          <w:lang w:val="en-US"/>
        </w:rPr>
        <w:t xml:space="preserve"> </w:t>
      </w:r>
      <w:r w:rsidR="007E67ED" w:rsidRPr="00D869E3">
        <w:rPr>
          <w:rFonts w:ascii="Verdana" w:hAnsi="Verdana"/>
          <w:sz w:val="20"/>
          <w:szCs w:val="20"/>
          <w:lang w:val="en-US"/>
        </w:rPr>
        <w:t>as a result of his dismissal, when “he took various measures addressed, first, to obtai</w:t>
      </w:r>
      <w:r w:rsidR="00CF1D7C" w:rsidRPr="00D869E3">
        <w:rPr>
          <w:rFonts w:ascii="Verdana" w:hAnsi="Verdana"/>
          <w:sz w:val="20"/>
          <w:szCs w:val="20"/>
          <w:lang w:val="en-US"/>
        </w:rPr>
        <w:t>n</w:t>
      </w:r>
      <w:r w:rsidR="007E67ED" w:rsidRPr="00D869E3">
        <w:rPr>
          <w:rFonts w:ascii="Verdana" w:hAnsi="Verdana"/>
          <w:sz w:val="20"/>
          <w:szCs w:val="20"/>
          <w:lang w:val="en-US"/>
        </w:rPr>
        <w:t xml:space="preserve"> reinstatement in his job […].” They then referred to the different actions filed by </w:t>
      </w:r>
      <w:r w:rsidR="001E44D3" w:rsidRPr="00D869E3">
        <w:rPr>
          <w:rFonts w:ascii="Verdana" w:hAnsi="Verdana"/>
          <w:sz w:val="20"/>
          <w:szCs w:val="20"/>
          <w:lang w:val="en-US"/>
        </w:rPr>
        <w:t>Mr. Lagos del Campo</w:t>
      </w:r>
      <w:r w:rsidR="00E66DD7" w:rsidRPr="00D869E3">
        <w:rPr>
          <w:rFonts w:ascii="Verdana" w:hAnsi="Verdana"/>
          <w:sz w:val="20"/>
          <w:szCs w:val="20"/>
          <w:lang w:val="en-US"/>
        </w:rPr>
        <w:t xml:space="preserve">, </w:t>
      </w:r>
      <w:r w:rsidR="007E67ED" w:rsidRPr="00D869E3">
        <w:rPr>
          <w:rFonts w:ascii="Verdana" w:hAnsi="Verdana"/>
          <w:sz w:val="20"/>
          <w:szCs w:val="20"/>
          <w:lang w:val="en-US"/>
        </w:rPr>
        <w:t xml:space="preserve">in which he alleged </w:t>
      </w:r>
      <w:r w:rsidR="007013E2" w:rsidRPr="00D869E3">
        <w:rPr>
          <w:rFonts w:ascii="Verdana" w:hAnsi="Verdana"/>
          <w:sz w:val="20"/>
          <w:szCs w:val="20"/>
          <w:lang w:val="en-US"/>
        </w:rPr>
        <w:t>the violation</w:t>
      </w:r>
      <w:r w:rsidR="00E66DD7" w:rsidRPr="00D869E3">
        <w:rPr>
          <w:rFonts w:ascii="Verdana" w:hAnsi="Verdana"/>
          <w:sz w:val="20"/>
          <w:szCs w:val="20"/>
          <w:lang w:val="en-US"/>
        </w:rPr>
        <w:t xml:space="preserve"> </w:t>
      </w:r>
      <w:r w:rsidR="007E67ED" w:rsidRPr="00D869E3">
        <w:rPr>
          <w:rFonts w:ascii="Verdana" w:hAnsi="Verdana"/>
          <w:sz w:val="20"/>
          <w:szCs w:val="20"/>
          <w:lang w:val="en-US"/>
        </w:rPr>
        <w:t xml:space="preserve">of his right to job security </w:t>
      </w:r>
      <w:r w:rsidRPr="00D869E3">
        <w:rPr>
          <w:rFonts w:ascii="Verdana" w:hAnsi="Verdana"/>
          <w:sz w:val="20"/>
          <w:szCs w:val="20"/>
          <w:lang w:val="en-US"/>
        </w:rPr>
        <w:t xml:space="preserve">and </w:t>
      </w:r>
      <w:r w:rsidR="007E67ED" w:rsidRPr="00D869E3">
        <w:rPr>
          <w:rFonts w:ascii="Verdana" w:hAnsi="Verdana"/>
          <w:sz w:val="20"/>
          <w:szCs w:val="20"/>
          <w:lang w:val="en-US"/>
        </w:rPr>
        <w:t>to due process of law established in</w:t>
      </w:r>
      <w:r w:rsidR="00E66DD7" w:rsidRPr="00D869E3">
        <w:rPr>
          <w:rFonts w:ascii="Verdana" w:hAnsi="Verdana"/>
          <w:sz w:val="20"/>
          <w:szCs w:val="20"/>
          <w:lang w:val="en-US"/>
        </w:rPr>
        <w:t xml:space="preserve"> </w:t>
      </w:r>
      <w:r w:rsidR="007E67ED" w:rsidRPr="00D869E3">
        <w:rPr>
          <w:rFonts w:ascii="Verdana" w:hAnsi="Verdana"/>
          <w:sz w:val="20"/>
          <w:szCs w:val="20"/>
          <w:lang w:val="en-US"/>
        </w:rPr>
        <w:t>a</w:t>
      </w:r>
      <w:r w:rsidR="00447C65" w:rsidRPr="00D869E3">
        <w:rPr>
          <w:rFonts w:ascii="Verdana" w:hAnsi="Verdana"/>
          <w:sz w:val="20"/>
          <w:szCs w:val="20"/>
          <w:lang w:val="en-US"/>
        </w:rPr>
        <w:t>rticles</w:t>
      </w:r>
      <w:r w:rsidR="00E66DD7" w:rsidRPr="00D869E3">
        <w:rPr>
          <w:rFonts w:ascii="Verdana" w:hAnsi="Verdana"/>
          <w:sz w:val="20"/>
          <w:szCs w:val="20"/>
          <w:lang w:val="en-US"/>
        </w:rPr>
        <w:t xml:space="preserve"> 48</w:t>
      </w:r>
      <w:r w:rsidRPr="00D869E3">
        <w:rPr>
          <w:rFonts w:ascii="Verdana" w:hAnsi="Verdana"/>
          <w:sz w:val="20"/>
          <w:szCs w:val="20"/>
          <w:lang w:val="en-US"/>
        </w:rPr>
        <w:t xml:space="preserve"> and </w:t>
      </w:r>
      <w:r w:rsidR="00E66DD7" w:rsidRPr="00D869E3">
        <w:rPr>
          <w:rFonts w:ascii="Verdana" w:hAnsi="Verdana"/>
          <w:sz w:val="20"/>
          <w:szCs w:val="20"/>
          <w:lang w:val="en-US"/>
        </w:rPr>
        <w:t xml:space="preserve">233 </w:t>
      </w:r>
      <w:r w:rsidR="001E3B42" w:rsidRPr="00D869E3">
        <w:rPr>
          <w:rFonts w:ascii="Verdana" w:hAnsi="Verdana"/>
          <w:sz w:val="20"/>
          <w:szCs w:val="20"/>
          <w:lang w:val="en-US"/>
        </w:rPr>
        <w:t>of the Constitution</w:t>
      </w:r>
      <w:r w:rsidR="00CF1D7C" w:rsidRPr="00D869E3">
        <w:rPr>
          <w:rFonts w:ascii="Verdana" w:hAnsi="Verdana"/>
          <w:sz w:val="20"/>
          <w:szCs w:val="20"/>
          <w:lang w:val="en-US"/>
        </w:rPr>
        <w:t>,</w:t>
      </w:r>
      <w:r w:rsidRPr="00D869E3">
        <w:rPr>
          <w:rFonts w:ascii="Verdana" w:hAnsi="Verdana"/>
          <w:sz w:val="20"/>
          <w:szCs w:val="20"/>
          <w:lang w:val="en-US"/>
        </w:rPr>
        <w:t xml:space="preserve"> and </w:t>
      </w:r>
      <w:r w:rsidR="007E67ED" w:rsidRPr="00D869E3">
        <w:rPr>
          <w:rFonts w:ascii="Verdana" w:hAnsi="Verdana"/>
          <w:sz w:val="20"/>
          <w:szCs w:val="20"/>
          <w:lang w:val="en-US"/>
        </w:rPr>
        <w:t xml:space="preserve">requested the annulment of the second instance decision claiming that it had been arbitrary. They added that on </w:t>
      </w:r>
      <w:r w:rsidR="001E3B42" w:rsidRPr="00D869E3">
        <w:rPr>
          <w:rFonts w:ascii="Verdana" w:hAnsi="Verdana"/>
          <w:sz w:val="20"/>
          <w:szCs w:val="20"/>
          <w:lang w:val="en-US"/>
        </w:rPr>
        <w:t xml:space="preserve">August </w:t>
      </w:r>
      <w:r w:rsidR="007E67ED" w:rsidRPr="00D869E3">
        <w:rPr>
          <w:rFonts w:ascii="Verdana" w:hAnsi="Verdana"/>
          <w:sz w:val="20"/>
          <w:szCs w:val="20"/>
          <w:lang w:val="en-US"/>
        </w:rPr>
        <w:t>1</w:t>
      </w:r>
      <w:r w:rsidR="001E3B42" w:rsidRPr="00D869E3">
        <w:rPr>
          <w:rFonts w:ascii="Verdana" w:hAnsi="Verdana"/>
          <w:sz w:val="20"/>
          <w:szCs w:val="20"/>
          <w:lang w:val="en-US"/>
        </w:rPr>
        <w:t>3,</w:t>
      </w:r>
      <w:r w:rsidR="00E66DD7" w:rsidRPr="00D869E3">
        <w:rPr>
          <w:rFonts w:ascii="Verdana" w:hAnsi="Verdana"/>
          <w:sz w:val="20"/>
          <w:szCs w:val="20"/>
          <w:lang w:val="en-US"/>
        </w:rPr>
        <w:t xml:space="preserve"> 1992, </w:t>
      </w:r>
      <w:r w:rsidR="00EB5E2E" w:rsidRPr="00D869E3">
        <w:rPr>
          <w:rFonts w:ascii="Verdana" w:hAnsi="Verdana"/>
          <w:sz w:val="20"/>
          <w:szCs w:val="20"/>
          <w:lang w:val="en-US"/>
        </w:rPr>
        <w:t>the Fifth Civil Chamber</w:t>
      </w:r>
      <w:r w:rsidR="00E66DD7" w:rsidRPr="00D869E3">
        <w:rPr>
          <w:rFonts w:ascii="Verdana" w:hAnsi="Verdana"/>
          <w:sz w:val="20"/>
          <w:szCs w:val="20"/>
          <w:lang w:val="en-US"/>
        </w:rPr>
        <w:t xml:space="preserve"> </w:t>
      </w:r>
      <w:r w:rsidR="007E67ED" w:rsidRPr="00D869E3">
        <w:rPr>
          <w:rFonts w:ascii="Verdana" w:hAnsi="Verdana"/>
          <w:sz w:val="20"/>
          <w:szCs w:val="20"/>
          <w:lang w:val="en-US"/>
        </w:rPr>
        <w:t>decided to declare that the application for amparo was inadmissible without considering that the Second Labor Court’s failure to process Mr. Lagos del Campo’s brief constituted a breach of due process. They also indicated that, during the amparo proceedings, the Constitutional and Social Chamber</w:t>
      </w:r>
      <w:r w:rsidR="006B3CE6" w:rsidRPr="00D869E3">
        <w:rPr>
          <w:rFonts w:ascii="Verdana" w:hAnsi="Verdana"/>
          <w:sz w:val="20"/>
          <w:szCs w:val="20"/>
          <w:lang w:val="en-US"/>
        </w:rPr>
        <w:t xml:space="preserve"> decided to declare that the said decision was valid, which also violated the obligation to give a reasoned judgment, because it merely reproduced the arguments of the Public Prosecution Service. They added that </w:t>
      </w:r>
      <w:r w:rsidR="001E44D3" w:rsidRPr="00D869E3">
        <w:rPr>
          <w:rFonts w:ascii="Verdana" w:hAnsi="Verdana"/>
          <w:sz w:val="20"/>
          <w:szCs w:val="20"/>
          <w:lang w:val="en-US"/>
        </w:rPr>
        <w:t>Mr. Lagos del Campo</w:t>
      </w:r>
      <w:r w:rsidR="00E66DD7" w:rsidRPr="00D869E3">
        <w:rPr>
          <w:rFonts w:ascii="Verdana" w:hAnsi="Verdana"/>
          <w:sz w:val="20"/>
          <w:szCs w:val="20"/>
          <w:lang w:val="en-US"/>
        </w:rPr>
        <w:t xml:space="preserve"> </w:t>
      </w:r>
      <w:r w:rsidR="006B3CE6" w:rsidRPr="00D869E3">
        <w:rPr>
          <w:rFonts w:ascii="Verdana" w:hAnsi="Verdana"/>
          <w:sz w:val="20"/>
          <w:szCs w:val="20"/>
          <w:lang w:val="en-US"/>
        </w:rPr>
        <w:t>was unable to contest the judicial decisions because</w:t>
      </w:r>
      <w:r w:rsidR="00E66DD7" w:rsidRPr="00D869E3">
        <w:rPr>
          <w:rFonts w:ascii="Verdana" w:hAnsi="Verdana"/>
          <w:sz w:val="20"/>
          <w:szCs w:val="20"/>
          <w:lang w:val="en-US"/>
        </w:rPr>
        <w:t xml:space="preserve"> </w:t>
      </w:r>
      <w:r w:rsidR="00447C65" w:rsidRPr="00D869E3">
        <w:rPr>
          <w:rFonts w:ascii="Verdana" w:hAnsi="Verdana"/>
          <w:sz w:val="20"/>
          <w:szCs w:val="20"/>
          <w:lang w:val="en-US"/>
        </w:rPr>
        <w:t xml:space="preserve">the </w:t>
      </w:r>
      <w:r w:rsidR="00EE0BD4" w:rsidRPr="00D869E3">
        <w:rPr>
          <w:rFonts w:ascii="Verdana" w:hAnsi="Verdana"/>
          <w:sz w:val="20"/>
          <w:szCs w:val="20"/>
          <w:lang w:val="en-US"/>
        </w:rPr>
        <w:t>Court of Constitutional Guarantees</w:t>
      </w:r>
      <w:r w:rsidR="006B3CE6" w:rsidRPr="00D869E3">
        <w:rPr>
          <w:rFonts w:ascii="Verdana" w:hAnsi="Verdana"/>
          <w:sz w:val="20"/>
          <w:szCs w:val="20"/>
          <w:lang w:val="en-US"/>
        </w:rPr>
        <w:t xml:space="preserve"> had been suspended</w:t>
      </w:r>
      <w:r w:rsidR="00E66DD7" w:rsidRPr="00D869E3">
        <w:rPr>
          <w:rFonts w:ascii="Verdana" w:hAnsi="Verdana"/>
          <w:sz w:val="20"/>
          <w:szCs w:val="20"/>
          <w:lang w:val="en-US"/>
        </w:rPr>
        <w:t xml:space="preserve"> </w:t>
      </w:r>
      <w:r w:rsidR="006B3CE6" w:rsidRPr="00D869E3">
        <w:rPr>
          <w:rFonts w:ascii="Verdana" w:hAnsi="Verdana"/>
          <w:sz w:val="20"/>
          <w:szCs w:val="20"/>
          <w:lang w:val="en-US"/>
        </w:rPr>
        <w:t>following the 1992 coup d’état</w:t>
      </w:r>
      <w:r w:rsidR="00E66DD7" w:rsidRPr="00D869E3">
        <w:rPr>
          <w:rFonts w:ascii="Verdana" w:hAnsi="Verdana"/>
          <w:sz w:val="20"/>
          <w:szCs w:val="20"/>
          <w:lang w:val="en-US"/>
        </w:rPr>
        <w:t xml:space="preserve"> </w:t>
      </w:r>
      <w:r w:rsidR="006B3CE6" w:rsidRPr="00D869E3">
        <w:rPr>
          <w:rFonts w:ascii="Verdana" w:hAnsi="Verdana"/>
          <w:sz w:val="20"/>
          <w:szCs w:val="20"/>
          <w:lang w:val="en-US"/>
        </w:rPr>
        <w:t>by</w:t>
      </w:r>
      <w:r w:rsidR="00E66DD7" w:rsidRPr="00D869E3">
        <w:rPr>
          <w:rFonts w:ascii="Verdana" w:hAnsi="Verdana"/>
          <w:sz w:val="20"/>
          <w:szCs w:val="20"/>
          <w:lang w:val="en-US"/>
        </w:rPr>
        <w:t xml:space="preserve"> Alberto Fujimori </w:t>
      </w:r>
      <w:r w:rsidRPr="00D869E3">
        <w:rPr>
          <w:rFonts w:ascii="Verdana" w:hAnsi="Verdana"/>
          <w:sz w:val="20"/>
          <w:szCs w:val="20"/>
          <w:lang w:val="en-US"/>
        </w:rPr>
        <w:t xml:space="preserve">and </w:t>
      </w:r>
      <w:r w:rsidR="006B3CE6" w:rsidRPr="00D869E3">
        <w:rPr>
          <w:rFonts w:ascii="Verdana" w:hAnsi="Verdana"/>
          <w:sz w:val="20"/>
          <w:szCs w:val="20"/>
          <w:lang w:val="en-US"/>
        </w:rPr>
        <w:t xml:space="preserve">the removal of the justices </w:t>
      </w:r>
      <w:r w:rsidR="00447C65" w:rsidRPr="00D869E3">
        <w:rPr>
          <w:rFonts w:ascii="Verdana" w:hAnsi="Verdana"/>
          <w:sz w:val="20"/>
          <w:szCs w:val="20"/>
          <w:lang w:val="en-US"/>
        </w:rPr>
        <w:t xml:space="preserve">of the </w:t>
      </w:r>
      <w:r w:rsidR="00674572" w:rsidRPr="00D869E3">
        <w:rPr>
          <w:rFonts w:ascii="Verdana" w:hAnsi="Verdana"/>
          <w:sz w:val="20"/>
          <w:szCs w:val="20"/>
          <w:lang w:val="en-US"/>
        </w:rPr>
        <w:t>Constitutional Court</w:t>
      </w:r>
      <w:r w:rsidR="00E66DD7" w:rsidRPr="00D869E3">
        <w:rPr>
          <w:rFonts w:ascii="Verdana" w:hAnsi="Verdana"/>
          <w:sz w:val="20"/>
          <w:szCs w:val="20"/>
          <w:lang w:val="en-US"/>
        </w:rPr>
        <w:t xml:space="preserve">. </w:t>
      </w:r>
      <w:r w:rsidR="006B3CE6" w:rsidRPr="00D869E3">
        <w:rPr>
          <w:rFonts w:ascii="Verdana" w:hAnsi="Verdana"/>
          <w:sz w:val="20"/>
          <w:szCs w:val="20"/>
          <w:lang w:val="en-US"/>
        </w:rPr>
        <w:t xml:space="preserve">They also indicated that, when </w:t>
      </w:r>
      <w:r w:rsidR="00447C65" w:rsidRPr="00D869E3">
        <w:rPr>
          <w:rFonts w:ascii="Verdana" w:hAnsi="Verdana"/>
          <w:sz w:val="20"/>
          <w:szCs w:val="20"/>
          <w:lang w:val="en-US"/>
        </w:rPr>
        <w:t xml:space="preserve">the </w:t>
      </w:r>
      <w:r w:rsidR="00674572" w:rsidRPr="00D869E3">
        <w:rPr>
          <w:rFonts w:ascii="Verdana" w:hAnsi="Verdana"/>
          <w:sz w:val="20"/>
          <w:szCs w:val="20"/>
          <w:lang w:val="en-US"/>
        </w:rPr>
        <w:t>Constitutional Court</w:t>
      </w:r>
      <w:r w:rsidR="00E66DD7" w:rsidRPr="00D869E3">
        <w:rPr>
          <w:rFonts w:ascii="Verdana" w:hAnsi="Verdana"/>
          <w:sz w:val="20"/>
          <w:szCs w:val="20"/>
          <w:lang w:val="en-US"/>
        </w:rPr>
        <w:t xml:space="preserve"> </w:t>
      </w:r>
      <w:r w:rsidR="006B3CE6" w:rsidRPr="00D869E3">
        <w:rPr>
          <w:rFonts w:ascii="Verdana" w:hAnsi="Verdana"/>
          <w:sz w:val="20"/>
          <w:szCs w:val="20"/>
          <w:lang w:val="en-US"/>
        </w:rPr>
        <w:t>was re-established in</w:t>
      </w:r>
      <w:r w:rsidR="00E66DD7" w:rsidRPr="00D869E3">
        <w:rPr>
          <w:rFonts w:ascii="Verdana" w:hAnsi="Verdana"/>
          <w:sz w:val="20"/>
          <w:szCs w:val="20"/>
          <w:lang w:val="en-US"/>
        </w:rPr>
        <w:t xml:space="preserve"> 1996, </w:t>
      </w:r>
      <w:r w:rsidR="001E44D3" w:rsidRPr="00D869E3">
        <w:rPr>
          <w:rFonts w:ascii="Verdana" w:hAnsi="Verdana"/>
          <w:sz w:val="20"/>
          <w:szCs w:val="20"/>
          <w:lang w:val="en-US"/>
        </w:rPr>
        <w:t>Mr. Lagos del Campo</w:t>
      </w:r>
      <w:r w:rsidR="00E66DD7" w:rsidRPr="00D869E3">
        <w:rPr>
          <w:rFonts w:ascii="Verdana" w:hAnsi="Verdana"/>
          <w:sz w:val="20"/>
          <w:szCs w:val="20"/>
          <w:lang w:val="en-US"/>
        </w:rPr>
        <w:t xml:space="preserve"> </w:t>
      </w:r>
      <w:r w:rsidR="006B3CE6" w:rsidRPr="00D869E3">
        <w:rPr>
          <w:rFonts w:ascii="Verdana" w:hAnsi="Verdana"/>
          <w:sz w:val="20"/>
          <w:szCs w:val="20"/>
          <w:lang w:val="en-US"/>
        </w:rPr>
        <w:t>requested that the amparo proceedings be raised before that court but</w:t>
      </w:r>
      <w:r w:rsidR="00E1338C" w:rsidRPr="00D869E3">
        <w:rPr>
          <w:rFonts w:ascii="Verdana" w:hAnsi="Verdana"/>
          <w:sz w:val="20"/>
          <w:szCs w:val="20"/>
          <w:lang w:val="en-US"/>
        </w:rPr>
        <w:t>,</w:t>
      </w:r>
      <w:r w:rsidR="006B3CE6" w:rsidRPr="00D869E3">
        <w:rPr>
          <w:rFonts w:ascii="Verdana" w:hAnsi="Verdana"/>
          <w:sz w:val="20"/>
          <w:szCs w:val="20"/>
          <w:lang w:val="en-US"/>
        </w:rPr>
        <w:t xml:space="preserve"> “incredibly</w:t>
      </w:r>
      <w:r w:rsidR="00E1338C" w:rsidRPr="00D869E3">
        <w:rPr>
          <w:rFonts w:ascii="Verdana" w:hAnsi="Verdana"/>
          <w:sz w:val="20"/>
          <w:szCs w:val="20"/>
          <w:lang w:val="en-US"/>
        </w:rPr>
        <w:t>,</w:t>
      </w:r>
      <w:r w:rsidR="006B3CE6" w:rsidRPr="00D869E3">
        <w:rPr>
          <w:rFonts w:ascii="Verdana" w:hAnsi="Verdana"/>
          <w:sz w:val="20"/>
          <w:szCs w:val="20"/>
          <w:lang w:val="en-US"/>
        </w:rPr>
        <w:t xml:space="preserve">” </w:t>
      </w:r>
      <w:r w:rsidR="009D37C8" w:rsidRPr="00D869E3">
        <w:rPr>
          <w:rFonts w:ascii="Verdana" w:hAnsi="Verdana"/>
          <w:sz w:val="20"/>
          <w:szCs w:val="20"/>
          <w:lang w:val="en-US"/>
        </w:rPr>
        <w:t>the Third Specialized Civil Chamber</w:t>
      </w:r>
      <w:r w:rsidR="00E66DD7" w:rsidRPr="00D869E3">
        <w:rPr>
          <w:rFonts w:ascii="Verdana" w:hAnsi="Verdana"/>
          <w:sz w:val="20"/>
          <w:szCs w:val="20"/>
          <w:lang w:val="en-US"/>
        </w:rPr>
        <w:t xml:space="preserve"> declar</w:t>
      </w:r>
      <w:r w:rsidR="006B3CE6" w:rsidRPr="00D869E3">
        <w:rPr>
          <w:rFonts w:ascii="Verdana" w:hAnsi="Verdana"/>
          <w:sz w:val="20"/>
          <w:szCs w:val="20"/>
          <w:lang w:val="en-US"/>
        </w:rPr>
        <w:t xml:space="preserve">ed his request inadmissible, requiring that he file a cassation appeal, “which was not available at that time owing to the cessation of the justices who were members </w:t>
      </w:r>
      <w:r w:rsidR="00447C65" w:rsidRPr="00D869E3">
        <w:rPr>
          <w:rFonts w:ascii="Verdana" w:hAnsi="Verdana"/>
          <w:sz w:val="20"/>
          <w:szCs w:val="20"/>
          <w:lang w:val="en-US"/>
        </w:rPr>
        <w:t xml:space="preserve">of the </w:t>
      </w:r>
      <w:r w:rsidR="00EE0BD4" w:rsidRPr="00D869E3">
        <w:rPr>
          <w:rFonts w:ascii="Verdana" w:hAnsi="Verdana"/>
          <w:sz w:val="20"/>
          <w:szCs w:val="20"/>
          <w:lang w:val="en-US"/>
        </w:rPr>
        <w:t>Court of Constitutional Guarantees</w:t>
      </w:r>
      <w:r w:rsidR="00E66DD7" w:rsidRPr="00D869E3">
        <w:rPr>
          <w:rFonts w:ascii="Verdana" w:hAnsi="Verdana"/>
          <w:sz w:val="20"/>
          <w:szCs w:val="20"/>
          <w:lang w:val="en-US"/>
        </w:rPr>
        <w:t xml:space="preserve">, </w:t>
      </w:r>
      <w:r w:rsidR="00E1338C" w:rsidRPr="00D869E3">
        <w:rPr>
          <w:rFonts w:ascii="Verdana" w:hAnsi="Verdana"/>
          <w:sz w:val="20"/>
          <w:szCs w:val="20"/>
          <w:lang w:val="en-US"/>
        </w:rPr>
        <w:t>therefore violating his right to contest judicial decisions.</w:t>
      </w:r>
    </w:p>
    <w:p w14:paraId="1078D91F" w14:textId="77777777" w:rsidR="00535D1F" w:rsidRPr="00D869E3" w:rsidRDefault="00535D1F" w:rsidP="00535D1F">
      <w:pPr>
        <w:contextualSpacing/>
        <w:jc w:val="both"/>
        <w:rPr>
          <w:rFonts w:ascii="Verdana" w:hAnsi="Verdana"/>
          <w:sz w:val="20"/>
          <w:szCs w:val="20"/>
          <w:lang w:val="en-US"/>
        </w:rPr>
      </w:pPr>
    </w:p>
    <w:p w14:paraId="6AD26D9C" w14:textId="7127951A" w:rsidR="00E66DD7" w:rsidRPr="00D869E3" w:rsidRDefault="00447C65" w:rsidP="00CA421A">
      <w:pPr>
        <w:numPr>
          <w:ilvl w:val="0"/>
          <w:numId w:val="1"/>
        </w:numPr>
        <w:ind w:left="0" w:firstLine="0"/>
        <w:contextualSpacing/>
        <w:jc w:val="both"/>
        <w:rPr>
          <w:rFonts w:ascii="Verdana" w:hAnsi="Verdana"/>
          <w:b/>
          <w:sz w:val="20"/>
          <w:szCs w:val="20"/>
          <w:lang w:val="en-US"/>
        </w:rPr>
      </w:pPr>
      <w:r w:rsidRPr="00D869E3">
        <w:rPr>
          <w:rFonts w:ascii="Verdana" w:hAnsi="Verdana"/>
          <w:sz w:val="20"/>
          <w:szCs w:val="20"/>
          <w:lang w:val="en-US"/>
        </w:rPr>
        <w:t xml:space="preserve">The </w:t>
      </w:r>
      <w:r w:rsidRPr="00D869E3">
        <w:rPr>
          <w:rFonts w:ascii="Verdana" w:hAnsi="Verdana"/>
          <w:b/>
          <w:bCs/>
          <w:i/>
          <w:iCs/>
          <w:sz w:val="20"/>
          <w:szCs w:val="20"/>
          <w:lang w:val="en-US"/>
        </w:rPr>
        <w:t>State</w:t>
      </w:r>
      <w:r w:rsidR="00E66DD7" w:rsidRPr="00D869E3">
        <w:rPr>
          <w:rFonts w:ascii="Verdana" w:hAnsi="Verdana"/>
          <w:b/>
          <w:i/>
          <w:sz w:val="20"/>
          <w:szCs w:val="20"/>
          <w:lang w:val="en-US"/>
        </w:rPr>
        <w:t xml:space="preserve"> </w:t>
      </w:r>
      <w:r w:rsidR="00E1338C" w:rsidRPr="00D869E3">
        <w:rPr>
          <w:rFonts w:ascii="Verdana" w:hAnsi="Verdana"/>
          <w:sz w:val="20"/>
          <w:szCs w:val="20"/>
          <w:lang w:val="en-US"/>
        </w:rPr>
        <w:t>indicated that</w:t>
      </w:r>
      <w:r w:rsidR="00E66DD7" w:rsidRPr="00D869E3">
        <w:rPr>
          <w:rFonts w:ascii="Verdana" w:hAnsi="Verdana"/>
          <w:sz w:val="20"/>
          <w:szCs w:val="20"/>
          <w:lang w:val="en-US"/>
        </w:rPr>
        <w:t xml:space="preserve"> </w:t>
      </w:r>
      <w:r w:rsidR="000B2E5E" w:rsidRPr="00D869E3">
        <w:rPr>
          <w:rFonts w:ascii="Verdana" w:hAnsi="Verdana"/>
          <w:sz w:val="20"/>
          <w:szCs w:val="20"/>
          <w:lang w:val="en-US"/>
        </w:rPr>
        <w:t>the right to</w:t>
      </w:r>
      <w:r w:rsidR="00E1338C" w:rsidRPr="00D869E3">
        <w:rPr>
          <w:rFonts w:ascii="Verdana" w:hAnsi="Verdana"/>
          <w:sz w:val="20"/>
          <w:szCs w:val="20"/>
          <w:lang w:val="en-US"/>
        </w:rPr>
        <w:t xml:space="preserve"> contest judicial decisions did not form part of the dispute submitted by</w:t>
      </w:r>
      <w:r w:rsidR="00E66DD7" w:rsidRPr="00D869E3">
        <w:rPr>
          <w:rFonts w:ascii="Verdana" w:hAnsi="Verdana"/>
          <w:sz w:val="20"/>
          <w:szCs w:val="20"/>
          <w:lang w:val="en-US"/>
        </w:rPr>
        <w:t xml:space="preserve"> </w:t>
      </w:r>
      <w:r w:rsidRPr="00D869E3">
        <w:rPr>
          <w:rFonts w:ascii="Verdana" w:hAnsi="Verdana"/>
          <w:sz w:val="20"/>
          <w:szCs w:val="20"/>
          <w:lang w:val="en-US"/>
        </w:rPr>
        <w:t>the Commission</w:t>
      </w:r>
      <w:r w:rsidR="00E66DD7" w:rsidRPr="00D869E3">
        <w:rPr>
          <w:rFonts w:ascii="Verdana" w:hAnsi="Verdana"/>
          <w:sz w:val="20"/>
          <w:szCs w:val="20"/>
          <w:lang w:val="en-US"/>
        </w:rPr>
        <w:t xml:space="preserve">. </w:t>
      </w:r>
      <w:r w:rsidR="00E1338C" w:rsidRPr="00D869E3">
        <w:rPr>
          <w:rFonts w:ascii="Verdana" w:hAnsi="Verdana"/>
          <w:sz w:val="20"/>
          <w:szCs w:val="20"/>
          <w:lang w:val="en-US"/>
        </w:rPr>
        <w:t xml:space="preserve">However, it clarified that, with regard to the </w:t>
      </w:r>
      <w:r w:rsidR="00031A38" w:rsidRPr="00D869E3">
        <w:rPr>
          <w:rFonts w:ascii="Verdana" w:hAnsi="Verdana"/>
          <w:sz w:val="20"/>
          <w:szCs w:val="20"/>
          <w:lang w:val="en-US"/>
        </w:rPr>
        <w:t xml:space="preserve">appeal for annulment </w:t>
      </w:r>
      <w:r w:rsidR="00E1338C" w:rsidRPr="00D869E3">
        <w:rPr>
          <w:rFonts w:ascii="Verdana" w:hAnsi="Verdana"/>
          <w:sz w:val="20"/>
          <w:szCs w:val="20"/>
          <w:lang w:val="en-US"/>
        </w:rPr>
        <w:t xml:space="preserve">filed on September 2, </w:t>
      </w:r>
      <w:r w:rsidR="00E66DD7" w:rsidRPr="00D869E3">
        <w:rPr>
          <w:rFonts w:ascii="Verdana" w:hAnsi="Verdana"/>
          <w:sz w:val="20"/>
          <w:szCs w:val="20"/>
          <w:lang w:val="en-US"/>
        </w:rPr>
        <w:t xml:space="preserve">1991, </w:t>
      </w:r>
      <w:r w:rsidR="003506CC" w:rsidRPr="00D869E3">
        <w:rPr>
          <w:rFonts w:ascii="Verdana" w:hAnsi="Verdana"/>
          <w:sz w:val="20"/>
          <w:szCs w:val="20"/>
          <w:lang w:val="en-US"/>
        </w:rPr>
        <w:t>the Second Labor Court</w:t>
      </w:r>
      <w:r w:rsidR="00E66DD7" w:rsidRPr="00D869E3">
        <w:rPr>
          <w:rFonts w:ascii="Verdana" w:hAnsi="Verdana"/>
          <w:sz w:val="20"/>
          <w:szCs w:val="20"/>
          <w:lang w:val="en-US"/>
        </w:rPr>
        <w:t xml:space="preserve"> </w:t>
      </w:r>
      <w:r w:rsidR="00E1338C" w:rsidRPr="00D869E3">
        <w:rPr>
          <w:rFonts w:ascii="Verdana" w:hAnsi="Verdana"/>
          <w:sz w:val="20"/>
          <w:szCs w:val="20"/>
          <w:lang w:val="en-US"/>
        </w:rPr>
        <w:t>had stated that none of the causes established in article 1085 of the Code of Civil Procedure had been identified and, therefore, declared that nullification was not admissible. Furthermore, the Habeas Corpus and Amparo Law established that the appeal for annulment should be filed before the Supreme Court of Justice</w:t>
      </w:r>
      <w:r w:rsidR="00E66DD7" w:rsidRPr="00D869E3">
        <w:rPr>
          <w:rFonts w:ascii="Verdana" w:hAnsi="Verdana"/>
          <w:sz w:val="20"/>
          <w:szCs w:val="20"/>
          <w:lang w:val="en-US"/>
        </w:rPr>
        <w:t xml:space="preserve">. </w:t>
      </w:r>
      <w:r w:rsidR="00075E68" w:rsidRPr="00D869E3">
        <w:rPr>
          <w:rFonts w:ascii="Verdana" w:hAnsi="Verdana"/>
          <w:sz w:val="20"/>
          <w:szCs w:val="20"/>
          <w:lang w:val="en-US"/>
        </w:rPr>
        <w:t>In this regard</w:t>
      </w:r>
      <w:r w:rsidR="00E66DD7" w:rsidRPr="00D869E3">
        <w:rPr>
          <w:rFonts w:ascii="Verdana" w:hAnsi="Verdana"/>
          <w:sz w:val="20"/>
          <w:szCs w:val="20"/>
          <w:lang w:val="en-US"/>
        </w:rPr>
        <w:t xml:space="preserve">, </w:t>
      </w:r>
      <w:r w:rsidR="00312792" w:rsidRPr="00D869E3">
        <w:rPr>
          <w:rFonts w:ascii="Verdana" w:hAnsi="Verdana"/>
          <w:sz w:val="20"/>
          <w:szCs w:val="20"/>
          <w:lang w:val="en-US"/>
        </w:rPr>
        <w:t>Mr. Lagos</w:t>
      </w:r>
      <w:r w:rsidR="00E66DD7" w:rsidRPr="00D869E3">
        <w:rPr>
          <w:rFonts w:ascii="Verdana" w:hAnsi="Verdana"/>
          <w:sz w:val="20"/>
          <w:szCs w:val="20"/>
          <w:lang w:val="en-US"/>
        </w:rPr>
        <w:t xml:space="preserve"> </w:t>
      </w:r>
      <w:r w:rsidR="00E1338C" w:rsidRPr="00D869E3">
        <w:rPr>
          <w:rFonts w:ascii="Verdana" w:hAnsi="Verdana"/>
          <w:sz w:val="20"/>
          <w:szCs w:val="20"/>
          <w:lang w:val="en-US"/>
        </w:rPr>
        <w:t xml:space="preserve">filed this </w:t>
      </w:r>
      <w:r w:rsidR="00031A38" w:rsidRPr="00D869E3">
        <w:rPr>
          <w:rFonts w:ascii="Verdana" w:hAnsi="Verdana"/>
          <w:sz w:val="20"/>
          <w:szCs w:val="20"/>
          <w:lang w:val="en-US"/>
        </w:rPr>
        <w:t>appeal</w:t>
      </w:r>
      <w:r w:rsidR="00E1338C" w:rsidRPr="00D869E3">
        <w:rPr>
          <w:rFonts w:ascii="Verdana" w:hAnsi="Verdana"/>
          <w:sz w:val="20"/>
          <w:szCs w:val="20"/>
          <w:lang w:val="en-US"/>
        </w:rPr>
        <w:t xml:space="preserve"> on</w:t>
      </w:r>
      <w:r w:rsidR="00E66DD7" w:rsidRPr="00D869E3">
        <w:rPr>
          <w:rFonts w:ascii="Verdana" w:hAnsi="Verdana"/>
          <w:sz w:val="20"/>
          <w:szCs w:val="20"/>
          <w:lang w:val="en-US"/>
        </w:rPr>
        <w:t xml:space="preserve"> </w:t>
      </w:r>
      <w:r w:rsidR="001E3B42" w:rsidRPr="00D869E3">
        <w:rPr>
          <w:rFonts w:ascii="Verdana" w:hAnsi="Verdana"/>
          <w:sz w:val="20"/>
          <w:szCs w:val="20"/>
          <w:lang w:val="en-US"/>
        </w:rPr>
        <w:t>August 26,</w:t>
      </w:r>
      <w:r w:rsidR="00E66DD7" w:rsidRPr="00D869E3">
        <w:rPr>
          <w:rFonts w:ascii="Verdana" w:hAnsi="Verdana"/>
          <w:sz w:val="20"/>
          <w:szCs w:val="20"/>
          <w:lang w:val="en-US"/>
        </w:rPr>
        <w:t xml:space="preserve"> 1992. </w:t>
      </w:r>
      <w:r w:rsidR="00674572" w:rsidRPr="00D869E3">
        <w:rPr>
          <w:rFonts w:ascii="Verdana" w:hAnsi="Verdana"/>
          <w:sz w:val="20"/>
          <w:szCs w:val="20"/>
          <w:lang w:val="en-US"/>
        </w:rPr>
        <w:t>The Constitutional and Social Chamber</w:t>
      </w:r>
      <w:r w:rsidRPr="00D869E3">
        <w:rPr>
          <w:rFonts w:ascii="Verdana" w:hAnsi="Verdana"/>
          <w:sz w:val="20"/>
          <w:szCs w:val="20"/>
          <w:lang w:val="en-US"/>
        </w:rPr>
        <w:t xml:space="preserve"> of the </w:t>
      </w:r>
      <w:r w:rsidR="00EB5E2E" w:rsidRPr="00D869E3">
        <w:rPr>
          <w:rFonts w:ascii="Verdana" w:hAnsi="Verdana"/>
          <w:sz w:val="20"/>
          <w:szCs w:val="20"/>
          <w:lang w:val="en-US"/>
        </w:rPr>
        <w:t>Supreme Court</w:t>
      </w:r>
      <w:r w:rsidR="00E66DD7" w:rsidRPr="00D869E3">
        <w:rPr>
          <w:rFonts w:ascii="Verdana" w:hAnsi="Verdana"/>
          <w:sz w:val="20"/>
          <w:szCs w:val="20"/>
          <w:lang w:val="en-US"/>
        </w:rPr>
        <w:t xml:space="preserve"> </w:t>
      </w:r>
      <w:r w:rsidR="00E1338C" w:rsidRPr="00D869E3">
        <w:rPr>
          <w:rFonts w:ascii="Verdana" w:hAnsi="Verdana"/>
          <w:sz w:val="20"/>
          <w:szCs w:val="20"/>
          <w:lang w:val="en-US"/>
        </w:rPr>
        <w:t xml:space="preserve">ruled on this remedy on March 15, 1993, declaring that annulment was not admissible. In light of the dismissal of the appeal for annulment, he should have filed the appeal for cassation in relation to the judicial decisions rejecting applications for amparo, </w:t>
      </w:r>
      <w:r w:rsidR="00CA421A" w:rsidRPr="00D869E3">
        <w:rPr>
          <w:rFonts w:ascii="Verdana" w:hAnsi="Verdana"/>
          <w:sz w:val="20"/>
          <w:szCs w:val="20"/>
          <w:lang w:val="en-US"/>
        </w:rPr>
        <w:t>and this appeal should have been filed within 15 days of the decision rejecting the application. The Third Specialized Civil Chamber’s ruling of June 24, 1997, determined that the time frame for filing the cassation had expired. And this was so because</w:t>
      </w:r>
      <w:r w:rsidR="00031A38" w:rsidRPr="00D869E3">
        <w:rPr>
          <w:rFonts w:ascii="Verdana" w:hAnsi="Verdana"/>
          <w:sz w:val="20"/>
          <w:szCs w:val="20"/>
          <w:lang w:val="en-US"/>
        </w:rPr>
        <w:t>,</w:t>
      </w:r>
      <w:r w:rsidR="00CA421A" w:rsidRPr="00D869E3">
        <w:rPr>
          <w:rFonts w:ascii="Verdana" w:hAnsi="Verdana"/>
          <w:sz w:val="20"/>
          <w:szCs w:val="20"/>
          <w:lang w:val="en-US"/>
        </w:rPr>
        <w:t xml:space="preserve"> </w:t>
      </w:r>
      <w:r w:rsidR="00031A38" w:rsidRPr="00D869E3">
        <w:rPr>
          <w:rFonts w:ascii="Verdana" w:hAnsi="Verdana"/>
          <w:sz w:val="20"/>
          <w:szCs w:val="20"/>
          <w:lang w:val="en-US"/>
        </w:rPr>
        <w:t xml:space="preserve">even </w:t>
      </w:r>
      <w:r w:rsidR="00CA421A" w:rsidRPr="00D869E3">
        <w:rPr>
          <w:rFonts w:ascii="Verdana" w:hAnsi="Verdana"/>
          <w:sz w:val="20"/>
          <w:szCs w:val="20"/>
          <w:lang w:val="en-US"/>
        </w:rPr>
        <w:t>though the Court of Constitutional Guarantees was not functioning, those cassation appeals that had been filed opportunely at the time when the presumed victim should have filed his appeal, were decided by the Constitutional Court years later. Regarding the appeals filed by</w:t>
      </w:r>
      <w:r w:rsidR="00CA421A" w:rsidRPr="00D869E3">
        <w:rPr>
          <w:rFonts w:ascii="Verdana" w:hAnsi="Verdana"/>
          <w:b/>
          <w:sz w:val="20"/>
          <w:szCs w:val="20"/>
          <w:lang w:val="en-US"/>
        </w:rPr>
        <w:t xml:space="preserve"> </w:t>
      </w:r>
      <w:r w:rsidR="001E44D3" w:rsidRPr="00D869E3">
        <w:rPr>
          <w:rFonts w:ascii="Verdana" w:hAnsi="Verdana"/>
          <w:sz w:val="20"/>
          <w:szCs w:val="20"/>
          <w:lang w:val="en-US"/>
        </w:rPr>
        <w:t>Mr. Lagos del Campo</w:t>
      </w:r>
      <w:r w:rsidR="00966115" w:rsidRPr="00D869E3">
        <w:rPr>
          <w:rFonts w:ascii="Verdana" w:hAnsi="Verdana"/>
          <w:sz w:val="20"/>
          <w:szCs w:val="20"/>
          <w:lang w:val="en-US"/>
        </w:rPr>
        <w:t xml:space="preserve"> before the</w:t>
      </w:r>
      <w:r w:rsidR="00EB5E2E" w:rsidRPr="00D869E3">
        <w:rPr>
          <w:rFonts w:ascii="Verdana" w:hAnsi="Verdana"/>
          <w:sz w:val="20"/>
          <w:szCs w:val="20"/>
          <w:lang w:val="en-US"/>
        </w:rPr>
        <w:t xml:space="preserve"> Social and Constitutional Law Chamber</w:t>
      </w:r>
      <w:r w:rsidR="00687684" w:rsidRPr="00D869E3">
        <w:rPr>
          <w:rFonts w:ascii="Verdana" w:hAnsi="Verdana"/>
          <w:sz w:val="20"/>
          <w:szCs w:val="20"/>
          <w:lang w:val="en-US"/>
        </w:rPr>
        <w:t xml:space="preserve"> and </w:t>
      </w:r>
      <w:r w:rsidRPr="00D869E3">
        <w:rPr>
          <w:rFonts w:ascii="Verdana" w:hAnsi="Verdana"/>
          <w:sz w:val="20"/>
          <w:szCs w:val="20"/>
          <w:lang w:val="en-US"/>
        </w:rPr>
        <w:t xml:space="preserve">the </w:t>
      </w:r>
      <w:r w:rsidR="00EB5E2E" w:rsidRPr="00D869E3">
        <w:rPr>
          <w:rFonts w:ascii="Verdana" w:hAnsi="Verdana"/>
          <w:sz w:val="20"/>
          <w:szCs w:val="20"/>
          <w:lang w:val="en-US"/>
        </w:rPr>
        <w:t>Supreme Court</w:t>
      </w:r>
      <w:r w:rsidR="00E66DD7" w:rsidRPr="00D869E3">
        <w:rPr>
          <w:rFonts w:ascii="Verdana" w:hAnsi="Verdana"/>
          <w:sz w:val="20"/>
          <w:szCs w:val="20"/>
          <w:lang w:val="en-US"/>
        </w:rPr>
        <w:t xml:space="preserve">, </w:t>
      </w:r>
      <w:r w:rsidRPr="00D869E3">
        <w:rPr>
          <w:rFonts w:ascii="Verdana" w:hAnsi="Verdana"/>
          <w:sz w:val="20"/>
          <w:szCs w:val="20"/>
          <w:lang w:val="en-US"/>
        </w:rPr>
        <w:t>the State</w:t>
      </w:r>
      <w:r w:rsidR="00E66DD7" w:rsidRPr="00D869E3">
        <w:rPr>
          <w:rFonts w:ascii="Verdana" w:hAnsi="Verdana"/>
          <w:sz w:val="20"/>
          <w:szCs w:val="20"/>
          <w:lang w:val="en-US"/>
        </w:rPr>
        <w:t xml:space="preserve"> </w:t>
      </w:r>
      <w:r w:rsidR="00CA421A" w:rsidRPr="00D869E3">
        <w:rPr>
          <w:rFonts w:ascii="Verdana" w:hAnsi="Verdana"/>
          <w:sz w:val="20"/>
          <w:szCs w:val="20"/>
          <w:lang w:val="en-US"/>
        </w:rPr>
        <w:t xml:space="preserve">argued that the appeal for review and reconsideration was not established in Peruvian </w:t>
      </w:r>
      <w:r w:rsidR="00031A38" w:rsidRPr="00D869E3">
        <w:rPr>
          <w:rFonts w:ascii="Verdana" w:hAnsi="Verdana"/>
          <w:sz w:val="20"/>
          <w:szCs w:val="20"/>
          <w:lang w:val="en-US"/>
        </w:rPr>
        <w:t>legislation</w:t>
      </w:r>
      <w:r w:rsidR="00CA421A" w:rsidRPr="00D869E3">
        <w:rPr>
          <w:rFonts w:ascii="Verdana" w:hAnsi="Verdana"/>
          <w:sz w:val="20"/>
          <w:szCs w:val="20"/>
          <w:lang w:val="en-US"/>
        </w:rPr>
        <w:t xml:space="preserve"> in the context of labor proceedings; therefore, it was logical to conclude that the filing of an appeal that was not established by law was inherently inadmissible and the same could be said for the appeals filed on March 30 and April 28, 1993. In addition, the State </w:t>
      </w:r>
      <w:r w:rsidR="00CA421A" w:rsidRPr="00D869E3">
        <w:rPr>
          <w:rFonts w:ascii="Verdana" w:hAnsi="Verdana"/>
          <w:sz w:val="20"/>
          <w:szCs w:val="20"/>
          <w:lang w:val="en-US"/>
        </w:rPr>
        <w:lastRenderedPageBreak/>
        <w:t>underlined that, regarding the appeals filed after July 1996, these “were not established by law or were subject to the statute of limitations; therefore, it was foreseeable that they would be ineffective.” The State indicated that many of the appeals filed had serious flaws in their elaboration and with regard to compliance with procedural requirements</w:t>
      </w:r>
      <w:r w:rsidR="00D858A4" w:rsidRPr="00D869E3">
        <w:rPr>
          <w:rFonts w:ascii="Verdana" w:hAnsi="Verdana"/>
          <w:sz w:val="20"/>
          <w:szCs w:val="20"/>
          <w:lang w:val="en-US"/>
        </w:rPr>
        <w:t>; in other words, they were preordained to be declared inadmissible immediately</w:t>
      </w:r>
      <w:r w:rsidR="00EE4766" w:rsidRPr="00D869E3">
        <w:rPr>
          <w:rFonts w:ascii="Verdana" w:hAnsi="Verdana"/>
          <w:sz w:val="20"/>
          <w:szCs w:val="20"/>
          <w:lang w:val="en-US"/>
        </w:rPr>
        <w:t xml:space="preserve"> </w:t>
      </w:r>
      <w:r w:rsidR="0013567C" w:rsidRPr="00D869E3">
        <w:rPr>
          <w:rFonts w:ascii="Verdana" w:hAnsi="Verdana"/>
          <w:sz w:val="20"/>
          <w:szCs w:val="20"/>
          <w:lang w:val="en-US"/>
        </w:rPr>
        <w:t>[…]</w:t>
      </w:r>
      <w:r w:rsidR="00D858A4" w:rsidRPr="00D869E3">
        <w:rPr>
          <w:rFonts w:ascii="Verdana" w:hAnsi="Verdana"/>
          <w:sz w:val="20"/>
          <w:szCs w:val="20"/>
          <w:lang w:val="en-US"/>
        </w:rPr>
        <w:t>.</w:t>
      </w:r>
      <w:r w:rsidR="006436CA" w:rsidRPr="00D869E3">
        <w:rPr>
          <w:rFonts w:ascii="Verdana" w:hAnsi="Verdana"/>
          <w:sz w:val="20"/>
          <w:szCs w:val="20"/>
          <w:lang w:val="en-US"/>
        </w:rPr>
        <w:t>”</w:t>
      </w:r>
      <w:r w:rsidR="00E66DD7" w:rsidRPr="00D869E3">
        <w:rPr>
          <w:rFonts w:ascii="Verdana" w:hAnsi="Verdana"/>
          <w:sz w:val="20"/>
          <w:szCs w:val="20"/>
          <w:lang w:val="en-US"/>
        </w:rPr>
        <w:t xml:space="preserve"> </w:t>
      </w:r>
    </w:p>
    <w:p w14:paraId="25C3FBE6" w14:textId="77777777" w:rsidR="00E66DD7" w:rsidRPr="00D869E3" w:rsidRDefault="00E66DD7" w:rsidP="00E66DD7">
      <w:pPr>
        <w:jc w:val="both"/>
        <w:rPr>
          <w:rFonts w:ascii="Verdana" w:hAnsi="Verdana"/>
          <w:b/>
          <w:sz w:val="20"/>
          <w:szCs w:val="20"/>
          <w:lang w:val="en-US"/>
        </w:rPr>
      </w:pPr>
    </w:p>
    <w:p w14:paraId="6AA3748E" w14:textId="76E069A2" w:rsidR="00E66DD7" w:rsidRPr="00D869E3" w:rsidRDefault="00447C65" w:rsidP="00E66DD7">
      <w:pPr>
        <w:numPr>
          <w:ilvl w:val="0"/>
          <w:numId w:val="1"/>
        </w:numPr>
        <w:ind w:left="0" w:firstLine="0"/>
        <w:contextualSpacing/>
        <w:jc w:val="both"/>
        <w:rPr>
          <w:rFonts w:ascii="Verdana" w:hAnsi="Verdana"/>
          <w:sz w:val="20"/>
          <w:szCs w:val="20"/>
          <w:lang w:val="en-US"/>
        </w:rPr>
      </w:pPr>
      <w:r w:rsidRPr="00D869E3">
        <w:rPr>
          <w:rFonts w:ascii="Verdana" w:hAnsi="Verdana"/>
          <w:sz w:val="20"/>
          <w:szCs w:val="20"/>
          <w:lang w:val="en-US"/>
        </w:rPr>
        <w:t xml:space="preserve">The </w:t>
      </w:r>
      <w:r w:rsidRPr="00D869E3">
        <w:rPr>
          <w:rFonts w:ascii="Verdana" w:hAnsi="Verdana"/>
          <w:b/>
          <w:bCs/>
          <w:i/>
          <w:iCs/>
          <w:sz w:val="20"/>
          <w:szCs w:val="20"/>
          <w:lang w:val="en-US"/>
        </w:rPr>
        <w:t>Commission</w:t>
      </w:r>
      <w:r w:rsidR="00E66DD7" w:rsidRPr="00D869E3">
        <w:rPr>
          <w:rFonts w:ascii="Verdana" w:hAnsi="Verdana"/>
          <w:sz w:val="20"/>
          <w:szCs w:val="20"/>
          <w:lang w:val="en-US"/>
        </w:rPr>
        <w:t xml:space="preserve"> </w:t>
      </w:r>
      <w:r w:rsidR="00D858A4" w:rsidRPr="00D869E3">
        <w:rPr>
          <w:rFonts w:ascii="Verdana" w:hAnsi="Verdana"/>
          <w:sz w:val="20"/>
          <w:szCs w:val="20"/>
          <w:lang w:val="en-US"/>
        </w:rPr>
        <w:t>did not address this matter</w:t>
      </w:r>
      <w:r w:rsidR="00E66DD7" w:rsidRPr="00D869E3">
        <w:rPr>
          <w:rFonts w:ascii="Verdana" w:hAnsi="Verdana"/>
          <w:sz w:val="20"/>
          <w:szCs w:val="20"/>
          <w:lang w:val="en-US"/>
        </w:rPr>
        <w:t xml:space="preserve">. </w:t>
      </w:r>
    </w:p>
    <w:p w14:paraId="1BBB48CD" w14:textId="77777777" w:rsidR="00E66DD7" w:rsidRPr="00D869E3" w:rsidRDefault="00E66DD7" w:rsidP="00E66DD7">
      <w:pPr>
        <w:jc w:val="both"/>
        <w:rPr>
          <w:rFonts w:ascii="Verdana" w:hAnsi="Verdana"/>
          <w:b/>
          <w:i/>
          <w:sz w:val="20"/>
          <w:szCs w:val="20"/>
          <w:lang w:val="en-US"/>
        </w:rPr>
      </w:pPr>
    </w:p>
    <w:p w14:paraId="7AE49272" w14:textId="704DF32E" w:rsidR="00E66DD7" w:rsidRPr="00D869E3" w:rsidRDefault="001D1B96" w:rsidP="00E66DD7">
      <w:pPr>
        <w:pStyle w:val="Ttulo2"/>
        <w:numPr>
          <w:ilvl w:val="0"/>
          <w:numId w:val="23"/>
        </w:numPr>
        <w:rPr>
          <w:i/>
          <w:szCs w:val="20"/>
          <w:lang w:val="en-US"/>
        </w:rPr>
      </w:pPr>
      <w:bookmarkStart w:id="60" w:name="_Toc29114147"/>
      <w:r w:rsidRPr="00D869E3">
        <w:rPr>
          <w:i/>
          <w:szCs w:val="20"/>
          <w:lang w:val="en-US"/>
        </w:rPr>
        <w:t>Considerations</w:t>
      </w:r>
      <w:r w:rsidR="00447C65" w:rsidRPr="00D869E3">
        <w:rPr>
          <w:i/>
          <w:szCs w:val="20"/>
          <w:lang w:val="en-US"/>
        </w:rPr>
        <w:t xml:space="preserve"> of the Court</w:t>
      </w:r>
      <w:bookmarkEnd w:id="60"/>
    </w:p>
    <w:p w14:paraId="2DD3258A" w14:textId="77777777" w:rsidR="00E66DD7" w:rsidRPr="00D869E3" w:rsidRDefault="00E66DD7" w:rsidP="00E66DD7">
      <w:pPr>
        <w:contextualSpacing/>
        <w:jc w:val="both"/>
        <w:rPr>
          <w:rFonts w:ascii="Verdana" w:hAnsi="Verdana"/>
          <w:sz w:val="20"/>
          <w:szCs w:val="20"/>
          <w:lang w:val="en-US"/>
        </w:rPr>
      </w:pPr>
    </w:p>
    <w:p w14:paraId="638CB34A" w14:textId="2BCC7D8A" w:rsidR="00E66DD7" w:rsidRPr="00D869E3" w:rsidRDefault="00447C65" w:rsidP="00901386">
      <w:pPr>
        <w:numPr>
          <w:ilvl w:val="0"/>
          <w:numId w:val="1"/>
        </w:numPr>
        <w:ind w:left="0" w:firstLine="0"/>
        <w:contextualSpacing/>
        <w:jc w:val="both"/>
        <w:rPr>
          <w:rFonts w:ascii="Verdana" w:hAnsi="Verdana"/>
          <w:b/>
          <w:sz w:val="20"/>
          <w:szCs w:val="20"/>
          <w:lang w:val="en-US"/>
        </w:rPr>
      </w:pPr>
      <w:r w:rsidRPr="00D869E3">
        <w:rPr>
          <w:rFonts w:ascii="Verdana" w:hAnsi="Verdana"/>
          <w:sz w:val="20"/>
          <w:szCs w:val="20"/>
          <w:lang w:val="en-US"/>
        </w:rPr>
        <w:t>The Court</w:t>
      </w:r>
      <w:r w:rsidR="00E66DD7" w:rsidRPr="00D869E3">
        <w:rPr>
          <w:rFonts w:ascii="Verdana" w:hAnsi="Verdana"/>
          <w:sz w:val="20"/>
          <w:szCs w:val="20"/>
          <w:lang w:val="en-US"/>
        </w:rPr>
        <w:t xml:space="preserve"> rec</w:t>
      </w:r>
      <w:r w:rsidR="00D858A4" w:rsidRPr="00D869E3">
        <w:rPr>
          <w:rFonts w:ascii="Verdana" w:hAnsi="Verdana"/>
          <w:sz w:val="20"/>
          <w:szCs w:val="20"/>
          <w:lang w:val="en-US"/>
        </w:rPr>
        <w:t xml:space="preserve">alls that, with the second instance decision, the State annulled the judgment of the lower court and declared that </w:t>
      </w:r>
      <w:r w:rsidR="00E6309B" w:rsidRPr="00D869E3">
        <w:rPr>
          <w:rFonts w:ascii="Verdana" w:hAnsi="Verdana"/>
          <w:sz w:val="20"/>
          <w:szCs w:val="20"/>
          <w:lang w:val="en-US"/>
        </w:rPr>
        <w:t>Mr.</w:t>
      </w:r>
      <w:r w:rsidR="001E44D3" w:rsidRPr="00D869E3">
        <w:rPr>
          <w:rFonts w:ascii="Verdana" w:hAnsi="Verdana"/>
          <w:sz w:val="20"/>
          <w:szCs w:val="20"/>
          <w:lang w:val="en-US"/>
        </w:rPr>
        <w:t xml:space="preserve"> Lagos del Campo</w:t>
      </w:r>
      <w:r w:rsidR="00D858A4" w:rsidRPr="00D869E3">
        <w:rPr>
          <w:rFonts w:ascii="Verdana" w:hAnsi="Verdana"/>
          <w:sz w:val="20"/>
          <w:szCs w:val="20"/>
          <w:lang w:val="en-US"/>
        </w:rPr>
        <w:t>’s dismissal was “justified.” Consequently, he had recourse to different courts in order to assert his rights</w:t>
      </w:r>
      <w:r w:rsidR="00E66DD7" w:rsidRPr="00D869E3">
        <w:rPr>
          <w:rFonts w:ascii="Verdana" w:hAnsi="Verdana"/>
          <w:sz w:val="20"/>
          <w:szCs w:val="20"/>
          <w:lang w:val="en-US"/>
        </w:rPr>
        <w:t xml:space="preserve"> (</w:t>
      </w:r>
      <w:r w:rsidR="00E66DD7" w:rsidRPr="00D869E3">
        <w:rPr>
          <w:rFonts w:ascii="Verdana" w:hAnsi="Verdana"/>
          <w:i/>
          <w:sz w:val="20"/>
          <w:szCs w:val="20"/>
          <w:lang w:val="en-US"/>
        </w:rPr>
        <w:t>supra</w:t>
      </w:r>
      <w:r w:rsidR="00E66DD7" w:rsidRPr="00D869E3">
        <w:rPr>
          <w:rFonts w:ascii="Verdana" w:hAnsi="Verdana"/>
          <w:sz w:val="20"/>
          <w:szCs w:val="20"/>
          <w:lang w:val="en-US"/>
        </w:rPr>
        <w:t xml:space="preserve"> </w:t>
      </w:r>
      <w:r w:rsidR="0087339F" w:rsidRPr="00D869E3">
        <w:rPr>
          <w:rFonts w:ascii="Verdana" w:hAnsi="Verdana"/>
          <w:sz w:val="20"/>
          <w:szCs w:val="20"/>
          <w:lang w:val="en-US"/>
        </w:rPr>
        <w:t>paras.</w:t>
      </w:r>
      <w:r w:rsidR="00E66DD7" w:rsidRPr="00D869E3">
        <w:rPr>
          <w:rFonts w:ascii="Verdana" w:hAnsi="Verdana"/>
          <w:sz w:val="20"/>
          <w:szCs w:val="20"/>
          <w:lang w:val="en-US"/>
        </w:rPr>
        <w:t xml:space="preserve"> </w:t>
      </w:r>
      <w:r w:rsidR="00444E07" w:rsidRPr="00D869E3">
        <w:rPr>
          <w:rFonts w:ascii="Verdana" w:hAnsi="Verdana"/>
          <w:sz w:val="20"/>
          <w:szCs w:val="20"/>
          <w:lang w:val="en-US"/>
        </w:rPr>
        <w:t xml:space="preserve">63 </w:t>
      </w:r>
      <w:r w:rsidR="00D858A4" w:rsidRPr="00D869E3">
        <w:rPr>
          <w:rFonts w:ascii="Verdana" w:hAnsi="Verdana"/>
          <w:sz w:val="20"/>
          <w:szCs w:val="20"/>
          <w:lang w:val="en-US"/>
        </w:rPr>
        <w:t>to</w:t>
      </w:r>
      <w:r w:rsidR="00444E07" w:rsidRPr="00D869E3">
        <w:rPr>
          <w:rFonts w:ascii="Verdana" w:hAnsi="Verdana"/>
          <w:sz w:val="20"/>
          <w:szCs w:val="20"/>
          <w:lang w:val="en-US"/>
        </w:rPr>
        <w:t xml:space="preserve"> 70). </w:t>
      </w:r>
      <w:r w:rsidR="00BB61A6" w:rsidRPr="00D869E3">
        <w:rPr>
          <w:rFonts w:ascii="Verdana" w:hAnsi="Verdana"/>
          <w:sz w:val="20"/>
          <w:szCs w:val="20"/>
          <w:lang w:val="en-US"/>
        </w:rPr>
        <w:t xml:space="preserve">In </w:t>
      </w:r>
      <w:r w:rsidR="00D858A4" w:rsidRPr="00D869E3">
        <w:rPr>
          <w:rFonts w:ascii="Verdana" w:hAnsi="Verdana"/>
          <w:sz w:val="20"/>
          <w:szCs w:val="20"/>
          <w:lang w:val="en-US"/>
        </w:rPr>
        <w:t xml:space="preserve">this regard, the dispute in this section consists in determining whether </w:t>
      </w:r>
      <w:r w:rsidR="001E44D3" w:rsidRPr="00D869E3">
        <w:rPr>
          <w:rFonts w:ascii="Verdana" w:hAnsi="Verdana"/>
          <w:sz w:val="20"/>
          <w:szCs w:val="20"/>
          <w:lang w:val="en-US"/>
        </w:rPr>
        <w:t>Mr. Lagos del Campo</w:t>
      </w:r>
      <w:r w:rsidR="00D858A4" w:rsidRPr="00D869E3">
        <w:rPr>
          <w:rFonts w:ascii="Verdana" w:hAnsi="Verdana"/>
          <w:sz w:val="20"/>
          <w:szCs w:val="20"/>
          <w:lang w:val="en-US"/>
        </w:rPr>
        <w:t xml:space="preserve"> had </w:t>
      </w:r>
      <w:r w:rsidR="00031A38" w:rsidRPr="00D869E3">
        <w:rPr>
          <w:rFonts w:ascii="Verdana" w:hAnsi="Verdana"/>
          <w:sz w:val="20"/>
          <w:szCs w:val="20"/>
          <w:lang w:val="en-US"/>
        </w:rPr>
        <w:t>a</w:t>
      </w:r>
      <w:r w:rsidR="00D858A4" w:rsidRPr="00D869E3">
        <w:rPr>
          <w:rFonts w:ascii="Verdana" w:hAnsi="Verdana"/>
          <w:sz w:val="20"/>
          <w:szCs w:val="20"/>
          <w:lang w:val="en-US"/>
        </w:rPr>
        <w:t xml:space="preserve">ccess to justice to protect his labor rights, in particular </w:t>
      </w:r>
      <w:r w:rsidR="000B2E5E" w:rsidRPr="00D869E3">
        <w:rPr>
          <w:rFonts w:ascii="Verdana" w:hAnsi="Verdana"/>
          <w:sz w:val="20"/>
          <w:szCs w:val="20"/>
          <w:lang w:val="en-US"/>
        </w:rPr>
        <w:t>the right to</w:t>
      </w:r>
      <w:r w:rsidR="00E66DD7" w:rsidRPr="00D869E3">
        <w:rPr>
          <w:rFonts w:ascii="Verdana" w:hAnsi="Verdana"/>
          <w:sz w:val="20"/>
          <w:szCs w:val="20"/>
          <w:lang w:val="en-US"/>
        </w:rPr>
        <w:t xml:space="preserve"> </w:t>
      </w:r>
      <w:r w:rsidR="00D858A4" w:rsidRPr="00D869E3">
        <w:rPr>
          <w:rFonts w:ascii="Verdana" w:hAnsi="Verdana"/>
          <w:sz w:val="20"/>
          <w:szCs w:val="20"/>
          <w:lang w:val="en-US"/>
        </w:rPr>
        <w:t>job security in light of his dismissal, a right recognized in the State’s domestic laws.</w:t>
      </w:r>
    </w:p>
    <w:p w14:paraId="4FB86FB4" w14:textId="77777777" w:rsidR="00D858A4" w:rsidRPr="00D869E3" w:rsidRDefault="00D858A4" w:rsidP="00D858A4">
      <w:pPr>
        <w:contextualSpacing/>
        <w:jc w:val="both"/>
        <w:rPr>
          <w:rFonts w:ascii="Verdana" w:hAnsi="Verdana"/>
          <w:b/>
          <w:sz w:val="20"/>
          <w:szCs w:val="20"/>
          <w:lang w:val="en-US"/>
        </w:rPr>
      </w:pPr>
    </w:p>
    <w:p w14:paraId="27C709B5" w14:textId="473D44E0" w:rsidR="00E66DD7" w:rsidRPr="00D869E3" w:rsidRDefault="00D858A4" w:rsidP="00E66DD7">
      <w:pPr>
        <w:numPr>
          <w:ilvl w:val="0"/>
          <w:numId w:val="1"/>
        </w:numPr>
        <w:ind w:left="0" w:firstLine="0"/>
        <w:contextualSpacing/>
        <w:jc w:val="both"/>
        <w:rPr>
          <w:rFonts w:ascii="Verdana" w:hAnsi="Verdana"/>
          <w:b/>
          <w:sz w:val="20"/>
          <w:szCs w:val="20"/>
          <w:lang w:val="en-US"/>
        </w:rPr>
      </w:pPr>
      <w:r w:rsidRPr="00D869E3">
        <w:rPr>
          <w:rFonts w:ascii="Verdana" w:hAnsi="Verdana"/>
          <w:sz w:val="20"/>
          <w:szCs w:val="20"/>
          <w:lang w:val="en-US"/>
        </w:rPr>
        <w:t>In the instant case</w:t>
      </w:r>
      <w:r w:rsidR="00E66DD7" w:rsidRPr="00D869E3">
        <w:rPr>
          <w:rFonts w:ascii="Verdana" w:hAnsi="Verdana"/>
          <w:sz w:val="20"/>
          <w:szCs w:val="20"/>
          <w:lang w:val="en-US"/>
        </w:rPr>
        <w:t xml:space="preserve">, </w:t>
      </w:r>
      <w:r w:rsidRPr="00D869E3">
        <w:rPr>
          <w:rFonts w:ascii="Verdana" w:hAnsi="Verdana"/>
          <w:sz w:val="20"/>
          <w:szCs w:val="20"/>
          <w:lang w:val="en-US"/>
        </w:rPr>
        <w:t>although</w:t>
      </w:r>
      <w:r w:rsidR="005D293B" w:rsidRPr="00D869E3">
        <w:rPr>
          <w:rFonts w:ascii="Verdana" w:hAnsi="Verdana"/>
          <w:sz w:val="20"/>
          <w:szCs w:val="20"/>
          <w:lang w:val="en-US"/>
        </w:rPr>
        <w:t>,</w:t>
      </w:r>
      <w:r w:rsidRPr="00D869E3">
        <w:rPr>
          <w:rFonts w:ascii="Verdana" w:hAnsi="Verdana"/>
          <w:sz w:val="20"/>
          <w:szCs w:val="20"/>
          <w:lang w:val="en-US"/>
        </w:rPr>
        <w:t xml:space="preserve"> before this Court</w:t>
      </w:r>
      <w:r w:rsidR="005D293B" w:rsidRPr="00D869E3">
        <w:rPr>
          <w:rFonts w:ascii="Verdana" w:hAnsi="Verdana"/>
          <w:sz w:val="20"/>
          <w:szCs w:val="20"/>
          <w:lang w:val="en-US"/>
        </w:rPr>
        <w:t>,</w:t>
      </w:r>
      <w:r w:rsidR="00E66DD7" w:rsidRPr="00D869E3">
        <w:rPr>
          <w:rFonts w:ascii="Verdana" w:hAnsi="Verdana"/>
          <w:sz w:val="20"/>
          <w:szCs w:val="20"/>
          <w:vertAlign w:val="superscript"/>
          <w:lang w:val="en-US"/>
        </w:rPr>
        <w:footnoteReference w:id="237"/>
      </w:r>
      <w:r w:rsidR="00E66DD7" w:rsidRPr="00D869E3">
        <w:rPr>
          <w:rFonts w:ascii="Verdana" w:hAnsi="Verdana"/>
          <w:sz w:val="20"/>
          <w:szCs w:val="20"/>
          <w:lang w:val="en-US"/>
        </w:rPr>
        <w:t xml:space="preserve"> </w:t>
      </w:r>
      <w:r w:rsidR="00740A0C" w:rsidRPr="00D869E3">
        <w:rPr>
          <w:rFonts w:ascii="Verdana" w:hAnsi="Verdana"/>
          <w:sz w:val="20"/>
          <w:szCs w:val="20"/>
          <w:lang w:val="en-US"/>
        </w:rPr>
        <w:t xml:space="preserve">the representatives have alluded to the absence of a remedy to contest the final judgment under Article 8 of the Convention, the Court finds that, based on the </w:t>
      </w:r>
      <w:r w:rsidR="00E66DD7" w:rsidRPr="00D869E3">
        <w:rPr>
          <w:rFonts w:ascii="Verdana" w:hAnsi="Verdana"/>
          <w:i/>
          <w:sz w:val="20"/>
          <w:szCs w:val="20"/>
          <w:lang w:val="en-US"/>
        </w:rPr>
        <w:t xml:space="preserve">iura novit curia </w:t>
      </w:r>
      <w:r w:rsidR="00740A0C" w:rsidRPr="00D869E3">
        <w:rPr>
          <w:rFonts w:ascii="Verdana" w:hAnsi="Verdana"/>
          <w:iCs/>
          <w:sz w:val="20"/>
          <w:szCs w:val="20"/>
          <w:lang w:val="en-US"/>
        </w:rPr>
        <w:t xml:space="preserve">principle </w:t>
      </w:r>
      <w:r w:rsidR="00E66DD7" w:rsidRPr="00D869E3">
        <w:rPr>
          <w:rFonts w:ascii="Verdana" w:hAnsi="Verdana"/>
          <w:iCs/>
          <w:sz w:val="20"/>
          <w:szCs w:val="20"/>
          <w:lang w:val="en-US"/>
        </w:rPr>
        <w:t>(</w:t>
      </w:r>
      <w:r w:rsidR="00E66DD7" w:rsidRPr="00D869E3">
        <w:rPr>
          <w:rFonts w:ascii="Verdana" w:hAnsi="Verdana"/>
          <w:i/>
          <w:sz w:val="20"/>
          <w:szCs w:val="20"/>
          <w:lang w:val="en-US"/>
        </w:rPr>
        <w:t>supra,</w:t>
      </w:r>
      <w:r w:rsidR="00E66DD7" w:rsidRPr="00D869E3">
        <w:rPr>
          <w:rFonts w:ascii="Verdana" w:hAnsi="Verdana"/>
          <w:sz w:val="20"/>
          <w:szCs w:val="20"/>
          <w:lang w:val="en-US"/>
        </w:rPr>
        <w:t xml:space="preserve"> </w:t>
      </w:r>
      <w:r w:rsidR="0087339F" w:rsidRPr="00D869E3">
        <w:rPr>
          <w:rFonts w:ascii="Verdana" w:hAnsi="Verdana"/>
          <w:sz w:val="20"/>
          <w:szCs w:val="20"/>
          <w:lang w:val="en-US"/>
        </w:rPr>
        <w:t>para.</w:t>
      </w:r>
      <w:r w:rsidR="00DD5817" w:rsidRPr="00D869E3">
        <w:rPr>
          <w:rFonts w:ascii="Verdana" w:hAnsi="Verdana"/>
          <w:sz w:val="20"/>
          <w:szCs w:val="20"/>
          <w:lang w:val="en-US"/>
        </w:rPr>
        <w:t xml:space="preserve"> </w:t>
      </w:r>
      <w:r w:rsidR="00444E07" w:rsidRPr="00D869E3">
        <w:rPr>
          <w:rFonts w:ascii="Verdana" w:hAnsi="Verdana"/>
          <w:sz w:val="20"/>
          <w:szCs w:val="20"/>
          <w:lang w:val="en-US"/>
        </w:rPr>
        <w:t>139</w:t>
      </w:r>
      <w:r w:rsidR="00E66DD7" w:rsidRPr="00D869E3">
        <w:rPr>
          <w:rFonts w:ascii="Verdana" w:hAnsi="Verdana"/>
          <w:i/>
          <w:sz w:val="20"/>
          <w:szCs w:val="20"/>
          <w:lang w:val="en-US"/>
        </w:rPr>
        <w:t xml:space="preserve">), </w:t>
      </w:r>
      <w:r w:rsidR="00740A0C" w:rsidRPr="00D869E3">
        <w:rPr>
          <w:rFonts w:ascii="Verdana" w:hAnsi="Verdana"/>
          <w:sz w:val="20"/>
          <w:szCs w:val="20"/>
          <w:lang w:val="en-US"/>
        </w:rPr>
        <w:t xml:space="preserve">the said arguments relating to the appeals made following the final decision </w:t>
      </w:r>
      <w:r w:rsidR="003506CC" w:rsidRPr="00D869E3">
        <w:rPr>
          <w:rFonts w:ascii="Verdana" w:hAnsi="Verdana"/>
          <w:sz w:val="20"/>
          <w:szCs w:val="20"/>
          <w:lang w:val="en-US"/>
        </w:rPr>
        <w:t xml:space="preserve">of the </w:t>
      </w:r>
      <w:r w:rsidR="00966115" w:rsidRPr="00D869E3">
        <w:rPr>
          <w:rFonts w:ascii="Verdana" w:hAnsi="Verdana"/>
          <w:sz w:val="20"/>
          <w:szCs w:val="20"/>
          <w:lang w:val="en-US"/>
        </w:rPr>
        <w:t>Second Labor Court</w:t>
      </w:r>
      <w:r w:rsidR="00E66DD7" w:rsidRPr="00D869E3">
        <w:rPr>
          <w:rFonts w:ascii="Verdana" w:hAnsi="Verdana"/>
          <w:sz w:val="20"/>
          <w:szCs w:val="20"/>
          <w:lang w:val="en-US"/>
        </w:rPr>
        <w:t xml:space="preserve">, </w:t>
      </w:r>
      <w:r w:rsidR="00740A0C" w:rsidRPr="00D869E3">
        <w:rPr>
          <w:rFonts w:ascii="Verdana" w:hAnsi="Verdana"/>
          <w:sz w:val="20"/>
          <w:szCs w:val="20"/>
          <w:lang w:val="en-US"/>
        </w:rPr>
        <w:t xml:space="preserve">should be analyzed in light of </w:t>
      </w:r>
      <w:r w:rsidR="00447C65" w:rsidRPr="00D869E3">
        <w:rPr>
          <w:rFonts w:ascii="Verdana" w:hAnsi="Verdana"/>
          <w:sz w:val="20"/>
          <w:szCs w:val="20"/>
          <w:lang w:val="en-US"/>
        </w:rPr>
        <w:t>Articles</w:t>
      </w:r>
      <w:r w:rsidR="00E66DD7" w:rsidRPr="00D869E3">
        <w:rPr>
          <w:rFonts w:ascii="Verdana" w:hAnsi="Verdana"/>
          <w:sz w:val="20"/>
          <w:szCs w:val="20"/>
          <w:lang w:val="en-US"/>
        </w:rPr>
        <w:t xml:space="preserve"> 8</w:t>
      </w:r>
      <w:r w:rsidR="00687684" w:rsidRPr="00D869E3">
        <w:rPr>
          <w:rFonts w:ascii="Verdana" w:hAnsi="Verdana"/>
          <w:sz w:val="20"/>
          <w:szCs w:val="20"/>
          <w:lang w:val="en-US"/>
        </w:rPr>
        <w:t xml:space="preserve"> and </w:t>
      </w:r>
      <w:r w:rsidR="00E66DD7" w:rsidRPr="00D869E3">
        <w:rPr>
          <w:rFonts w:ascii="Verdana" w:hAnsi="Verdana"/>
          <w:sz w:val="20"/>
          <w:szCs w:val="20"/>
          <w:lang w:val="en-US"/>
        </w:rPr>
        <w:t>25 (</w:t>
      </w:r>
      <w:r w:rsidR="00740A0C" w:rsidRPr="00D869E3">
        <w:rPr>
          <w:rFonts w:ascii="Verdana" w:hAnsi="Verdana"/>
          <w:sz w:val="20"/>
          <w:szCs w:val="20"/>
          <w:lang w:val="en-US"/>
        </w:rPr>
        <w:t>access to justice</w:t>
      </w:r>
      <w:r w:rsidR="00E66DD7" w:rsidRPr="00D869E3">
        <w:rPr>
          <w:rFonts w:ascii="Verdana" w:hAnsi="Verdana"/>
          <w:sz w:val="20"/>
          <w:szCs w:val="20"/>
          <w:lang w:val="en-US"/>
        </w:rPr>
        <w:t>)</w:t>
      </w:r>
      <w:r w:rsidR="00447C65" w:rsidRPr="00D869E3">
        <w:rPr>
          <w:rFonts w:ascii="Verdana" w:hAnsi="Verdana"/>
          <w:sz w:val="20"/>
          <w:szCs w:val="20"/>
          <w:lang w:val="en-US"/>
        </w:rPr>
        <w:t xml:space="preserve"> of the American Convention</w:t>
      </w:r>
      <w:r w:rsidR="00E66DD7" w:rsidRPr="00D869E3">
        <w:rPr>
          <w:rFonts w:ascii="Verdana" w:hAnsi="Verdana" w:cs="Arial"/>
          <w:sz w:val="20"/>
          <w:szCs w:val="20"/>
          <w:lang w:val="en-US"/>
        </w:rPr>
        <w:t>.</w:t>
      </w:r>
    </w:p>
    <w:p w14:paraId="19CC26D8" w14:textId="77777777" w:rsidR="00E66DD7" w:rsidRPr="00D869E3" w:rsidRDefault="00E66DD7" w:rsidP="00E66DD7">
      <w:pPr>
        <w:contextualSpacing/>
        <w:jc w:val="both"/>
        <w:rPr>
          <w:rFonts w:ascii="Verdana" w:hAnsi="Verdana"/>
          <w:b/>
          <w:sz w:val="20"/>
          <w:szCs w:val="20"/>
          <w:lang w:val="en-US"/>
        </w:rPr>
      </w:pPr>
    </w:p>
    <w:p w14:paraId="47FAE7E3" w14:textId="60285504" w:rsidR="00E66DD7" w:rsidRPr="00D869E3" w:rsidRDefault="00075E68" w:rsidP="00E66DD7">
      <w:pPr>
        <w:numPr>
          <w:ilvl w:val="0"/>
          <w:numId w:val="1"/>
        </w:numPr>
        <w:ind w:left="0" w:firstLine="0"/>
        <w:contextualSpacing/>
        <w:jc w:val="both"/>
        <w:rPr>
          <w:rFonts w:ascii="Verdana" w:hAnsi="Verdana"/>
          <w:sz w:val="20"/>
          <w:szCs w:val="20"/>
          <w:lang w:val="en-US"/>
        </w:rPr>
      </w:pPr>
      <w:r w:rsidRPr="00D869E3">
        <w:rPr>
          <w:rFonts w:ascii="Verdana" w:hAnsi="Verdana"/>
          <w:sz w:val="20"/>
          <w:szCs w:val="20"/>
          <w:lang w:val="en-US"/>
        </w:rPr>
        <w:t>In this regard</w:t>
      </w:r>
      <w:r w:rsidR="00E66DD7" w:rsidRPr="00D869E3">
        <w:rPr>
          <w:rFonts w:ascii="Verdana" w:hAnsi="Verdana"/>
          <w:sz w:val="20"/>
          <w:szCs w:val="20"/>
          <w:lang w:val="en-US"/>
        </w:rPr>
        <w:t xml:space="preserve">, </w:t>
      </w:r>
      <w:r w:rsidR="00447C65" w:rsidRPr="00D869E3">
        <w:rPr>
          <w:rFonts w:ascii="Verdana" w:hAnsi="Verdana"/>
          <w:sz w:val="20"/>
          <w:szCs w:val="20"/>
          <w:lang w:val="en-US"/>
        </w:rPr>
        <w:t>the Court</w:t>
      </w:r>
      <w:r w:rsidR="00E66DD7" w:rsidRPr="00D869E3">
        <w:rPr>
          <w:rFonts w:ascii="Verdana" w:hAnsi="Verdana"/>
          <w:sz w:val="20"/>
          <w:szCs w:val="20"/>
          <w:lang w:val="en-US"/>
        </w:rPr>
        <w:t xml:space="preserve"> </w:t>
      </w:r>
      <w:r w:rsidR="00740A0C" w:rsidRPr="00D869E3">
        <w:rPr>
          <w:rFonts w:ascii="Verdana" w:hAnsi="Verdana"/>
          <w:sz w:val="20"/>
          <w:szCs w:val="20"/>
          <w:lang w:val="en-US"/>
        </w:rPr>
        <w:t xml:space="preserve">notes that the facts relating to this analysis have been aired constantly starting with the </w:t>
      </w:r>
      <w:r w:rsidR="005D293B" w:rsidRPr="00D869E3">
        <w:rPr>
          <w:rFonts w:ascii="Verdana" w:hAnsi="Verdana"/>
          <w:sz w:val="20"/>
          <w:szCs w:val="20"/>
          <w:lang w:val="en-US"/>
        </w:rPr>
        <w:t xml:space="preserve">domestic </w:t>
      </w:r>
      <w:r w:rsidR="00740A0C" w:rsidRPr="00D869E3">
        <w:rPr>
          <w:rFonts w:ascii="Verdana" w:hAnsi="Verdana"/>
          <w:sz w:val="20"/>
          <w:szCs w:val="20"/>
          <w:lang w:val="en-US"/>
        </w:rPr>
        <w:t>proce</w:t>
      </w:r>
      <w:r w:rsidR="005D293B" w:rsidRPr="00D869E3">
        <w:rPr>
          <w:rFonts w:ascii="Verdana" w:hAnsi="Verdana"/>
          <w:sz w:val="20"/>
          <w:szCs w:val="20"/>
          <w:lang w:val="en-US"/>
        </w:rPr>
        <w:t>edings</w:t>
      </w:r>
      <w:r w:rsidR="00E66DD7" w:rsidRPr="00D869E3">
        <w:rPr>
          <w:rFonts w:ascii="Verdana" w:hAnsi="Verdana"/>
          <w:sz w:val="20"/>
          <w:szCs w:val="20"/>
          <w:vertAlign w:val="superscript"/>
          <w:lang w:val="en-US"/>
        </w:rPr>
        <w:footnoteReference w:id="238"/>
      </w:r>
      <w:r w:rsidR="00E66DD7" w:rsidRPr="00D869E3">
        <w:rPr>
          <w:rFonts w:ascii="Verdana" w:hAnsi="Verdana"/>
          <w:sz w:val="20"/>
          <w:szCs w:val="20"/>
          <w:lang w:val="en-US"/>
        </w:rPr>
        <w:t xml:space="preserve"> </w:t>
      </w:r>
      <w:r w:rsidR="00740A0C" w:rsidRPr="00D869E3">
        <w:rPr>
          <w:rFonts w:ascii="Verdana" w:hAnsi="Verdana"/>
          <w:sz w:val="20"/>
          <w:szCs w:val="20"/>
          <w:lang w:val="en-US"/>
        </w:rPr>
        <w:t>and as of the very first petitions</w:t>
      </w:r>
      <w:r w:rsidR="00966115" w:rsidRPr="00D869E3">
        <w:rPr>
          <w:rFonts w:ascii="Verdana" w:hAnsi="Verdana"/>
          <w:sz w:val="20"/>
          <w:szCs w:val="20"/>
          <w:lang w:val="en-US"/>
        </w:rPr>
        <w:t xml:space="preserve"> before the</w:t>
      </w:r>
      <w:r w:rsidR="00671B14" w:rsidRPr="00D869E3">
        <w:rPr>
          <w:rFonts w:ascii="Verdana" w:hAnsi="Verdana"/>
          <w:sz w:val="20"/>
          <w:szCs w:val="20"/>
          <w:lang w:val="en-US"/>
        </w:rPr>
        <w:t xml:space="preserve"> inter-American system</w:t>
      </w:r>
      <w:r w:rsidR="00E66DD7" w:rsidRPr="00D869E3">
        <w:rPr>
          <w:rFonts w:ascii="Verdana" w:hAnsi="Verdana"/>
          <w:sz w:val="20"/>
          <w:szCs w:val="20"/>
          <w:lang w:val="en-US"/>
        </w:rPr>
        <w:t xml:space="preserve"> (</w:t>
      </w:r>
      <w:r w:rsidR="00730D77" w:rsidRPr="00D869E3">
        <w:rPr>
          <w:rFonts w:ascii="Verdana" w:hAnsi="Verdana"/>
          <w:sz w:val="20"/>
          <w:szCs w:val="20"/>
          <w:lang w:val="en-US"/>
        </w:rPr>
        <w:t xml:space="preserve">supra, </w:t>
      </w:r>
      <w:r w:rsidR="0087339F" w:rsidRPr="00D869E3">
        <w:rPr>
          <w:rFonts w:ascii="Verdana" w:hAnsi="Verdana"/>
          <w:sz w:val="20"/>
          <w:szCs w:val="20"/>
          <w:lang w:val="en-US"/>
        </w:rPr>
        <w:t>para.</w:t>
      </w:r>
      <w:r w:rsidR="00E66DD7" w:rsidRPr="00D869E3">
        <w:rPr>
          <w:rFonts w:ascii="Verdana" w:hAnsi="Verdana"/>
          <w:sz w:val="20"/>
          <w:szCs w:val="20"/>
          <w:lang w:val="en-US"/>
        </w:rPr>
        <w:t xml:space="preserve"> </w:t>
      </w:r>
      <w:r w:rsidR="00444E07" w:rsidRPr="00D869E3">
        <w:rPr>
          <w:rFonts w:ascii="Verdana" w:hAnsi="Verdana"/>
          <w:sz w:val="20"/>
          <w:szCs w:val="20"/>
          <w:lang w:val="en-US"/>
        </w:rPr>
        <w:t>133)</w:t>
      </w:r>
      <w:r w:rsidR="00740A0C" w:rsidRPr="00D869E3">
        <w:rPr>
          <w:rFonts w:ascii="Verdana" w:hAnsi="Verdana"/>
          <w:sz w:val="20"/>
          <w:szCs w:val="20"/>
          <w:lang w:val="en-US"/>
        </w:rPr>
        <w:t>.</w:t>
      </w:r>
      <w:r w:rsidR="00444E07" w:rsidRPr="00D869E3">
        <w:rPr>
          <w:rFonts w:ascii="Verdana" w:hAnsi="Verdana"/>
          <w:sz w:val="20"/>
          <w:szCs w:val="20"/>
          <w:vertAlign w:val="superscript"/>
          <w:lang w:val="en-US"/>
        </w:rPr>
        <w:footnoteReference w:id="239"/>
      </w:r>
      <w:r w:rsidR="00444E07" w:rsidRPr="00D869E3">
        <w:rPr>
          <w:rFonts w:ascii="Verdana" w:hAnsi="Verdana"/>
          <w:sz w:val="20"/>
          <w:szCs w:val="20"/>
          <w:lang w:val="en-US"/>
        </w:rPr>
        <w:t xml:space="preserve"> </w:t>
      </w:r>
      <w:r w:rsidRPr="00D869E3">
        <w:rPr>
          <w:rFonts w:ascii="Verdana" w:hAnsi="Verdana"/>
          <w:sz w:val="20"/>
          <w:szCs w:val="20"/>
          <w:lang w:val="en-US"/>
        </w:rPr>
        <w:t>In this regard</w:t>
      </w:r>
      <w:r w:rsidR="00E66DD7" w:rsidRPr="00D869E3">
        <w:rPr>
          <w:rFonts w:ascii="Verdana" w:hAnsi="Verdana"/>
          <w:sz w:val="20"/>
          <w:szCs w:val="20"/>
          <w:lang w:val="en-US"/>
        </w:rPr>
        <w:t xml:space="preserve">, </w:t>
      </w:r>
      <w:r w:rsidR="00740A0C" w:rsidRPr="00D869E3">
        <w:rPr>
          <w:rFonts w:ascii="Verdana" w:hAnsi="Verdana"/>
          <w:sz w:val="20"/>
          <w:szCs w:val="20"/>
          <w:lang w:val="en-US"/>
        </w:rPr>
        <w:t>the parties have had abundant possibilities of referring to the scope of the rights affected by the facts analyzed.</w:t>
      </w:r>
    </w:p>
    <w:p w14:paraId="7F9ECAE0" w14:textId="77777777" w:rsidR="00E66DD7" w:rsidRPr="00D869E3" w:rsidRDefault="00E66DD7" w:rsidP="00E66DD7">
      <w:pPr>
        <w:contextualSpacing/>
        <w:jc w:val="both"/>
        <w:rPr>
          <w:rFonts w:ascii="Verdana" w:hAnsi="Verdana"/>
          <w:b/>
          <w:sz w:val="20"/>
          <w:szCs w:val="20"/>
          <w:lang w:val="en-US"/>
        </w:rPr>
      </w:pPr>
    </w:p>
    <w:p w14:paraId="09D9E44C" w14:textId="05036E1B" w:rsidR="00E66DD7" w:rsidRPr="00D869E3" w:rsidRDefault="00B44B46" w:rsidP="00F656E0">
      <w:pPr>
        <w:pStyle w:val="Ttulo3"/>
        <w:numPr>
          <w:ilvl w:val="0"/>
          <w:numId w:val="24"/>
        </w:numPr>
        <w:jc w:val="both"/>
        <w:rPr>
          <w:i/>
          <w:szCs w:val="20"/>
          <w:lang w:val="en-US"/>
        </w:rPr>
      </w:pPr>
      <w:bookmarkStart w:id="61" w:name="_Toc29114148"/>
      <w:r w:rsidRPr="00D869E3">
        <w:rPr>
          <w:rFonts w:cs="Verdana"/>
          <w:i/>
          <w:szCs w:val="20"/>
          <w:lang w:val="en-US" w:eastAsia="es-MX"/>
        </w:rPr>
        <w:t>Access to justice to protect job security as a right recognized in the Constitution</w:t>
      </w:r>
      <w:bookmarkEnd w:id="61"/>
    </w:p>
    <w:p w14:paraId="0717E0E6" w14:textId="77777777" w:rsidR="00E66DD7" w:rsidRPr="00D869E3" w:rsidRDefault="00E66DD7" w:rsidP="00E66DD7">
      <w:pPr>
        <w:contextualSpacing/>
        <w:jc w:val="both"/>
        <w:rPr>
          <w:rFonts w:ascii="Verdana" w:hAnsi="Verdana"/>
          <w:sz w:val="20"/>
          <w:szCs w:val="20"/>
          <w:lang w:val="en-US"/>
        </w:rPr>
      </w:pPr>
    </w:p>
    <w:p w14:paraId="3A1B8E41" w14:textId="697ADB3C" w:rsidR="00E66DD7" w:rsidRPr="00D869E3" w:rsidRDefault="00447C65" w:rsidP="00E66DD7">
      <w:pPr>
        <w:numPr>
          <w:ilvl w:val="0"/>
          <w:numId w:val="1"/>
        </w:numPr>
        <w:ind w:left="0" w:firstLine="0"/>
        <w:contextualSpacing/>
        <w:jc w:val="both"/>
        <w:rPr>
          <w:rFonts w:ascii="Verdana" w:hAnsi="Verdana"/>
          <w:sz w:val="20"/>
          <w:szCs w:val="20"/>
          <w:lang w:val="en-US"/>
        </w:rPr>
      </w:pPr>
      <w:r w:rsidRPr="00D869E3">
        <w:rPr>
          <w:rFonts w:ascii="Verdana" w:hAnsi="Verdana"/>
          <w:sz w:val="20"/>
          <w:szCs w:val="20"/>
          <w:lang w:val="en-US"/>
        </w:rPr>
        <w:t>Article</w:t>
      </w:r>
      <w:r w:rsidR="00E66DD7" w:rsidRPr="00D869E3">
        <w:rPr>
          <w:rFonts w:ascii="Verdana" w:hAnsi="Verdana"/>
          <w:sz w:val="20"/>
          <w:szCs w:val="20"/>
          <w:lang w:val="en-US"/>
        </w:rPr>
        <w:t xml:space="preserve"> 25</w:t>
      </w:r>
      <w:r w:rsidRPr="00D869E3">
        <w:rPr>
          <w:rFonts w:ascii="Verdana" w:hAnsi="Verdana"/>
          <w:sz w:val="20"/>
          <w:szCs w:val="20"/>
          <w:lang w:val="en-US"/>
        </w:rPr>
        <w:t xml:space="preserve"> of the Convention</w:t>
      </w:r>
      <w:r w:rsidR="002C4F7B" w:rsidRPr="00D869E3">
        <w:rPr>
          <w:rFonts w:ascii="Verdana" w:hAnsi="Verdana"/>
          <w:sz w:val="20"/>
          <w:szCs w:val="20"/>
          <w:lang w:val="en-US"/>
        </w:rPr>
        <w:t xml:space="preserve"> </w:t>
      </w:r>
      <w:r w:rsidR="00DE1546" w:rsidRPr="00D869E3">
        <w:rPr>
          <w:rFonts w:ascii="Verdana" w:hAnsi="Verdana"/>
          <w:sz w:val="20"/>
          <w:szCs w:val="20"/>
          <w:lang w:val="en-US"/>
        </w:rPr>
        <w:t>indicates expressly that</w:t>
      </w:r>
      <w:r w:rsidR="00E66DD7" w:rsidRPr="00D869E3">
        <w:rPr>
          <w:rFonts w:ascii="Verdana" w:hAnsi="Verdana"/>
          <w:sz w:val="20"/>
          <w:szCs w:val="20"/>
          <w:lang w:val="en-US"/>
        </w:rPr>
        <w:t xml:space="preserve">: </w:t>
      </w:r>
    </w:p>
    <w:p w14:paraId="7348BAED" w14:textId="77777777" w:rsidR="002C4F7B" w:rsidRPr="00D869E3" w:rsidRDefault="002C4F7B" w:rsidP="00B06027">
      <w:pPr>
        <w:contextualSpacing/>
        <w:jc w:val="both"/>
        <w:rPr>
          <w:rFonts w:ascii="Verdana" w:hAnsi="Verdana"/>
          <w:sz w:val="20"/>
          <w:szCs w:val="20"/>
          <w:lang w:val="en-US"/>
        </w:rPr>
      </w:pPr>
    </w:p>
    <w:p w14:paraId="4E2D1E04" w14:textId="7AF00ABF" w:rsidR="00E66DD7" w:rsidRPr="00D869E3" w:rsidRDefault="00DE1546" w:rsidP="00334B6C">
      <w:pPr>
        <w:numPr>
          <w:ilvl w:val="0"/>
          <w:numId w:val="22"/>
        </w:numPr>
        <w:tabs>
          <w:tab w:val="left" w:pos="993"/>
        </w:tabs>
        <w:ind w:left="567" w:right="335" w:firstLine="0"/>
        <w:contextualSpacing/>
        <w:jc w:val="both"/>
        <w:rPr>
          <w:rFonts w:ascii="Verdana" w:eastAsia="Times New Roman" w:hAnsi="Verdana" w:cs="Tahoma"/>
          <w:color w:val="000000"/>
          <w:sz w:val="18"/>
          <w:szCs w:val="18"/>
          <w:lang w:val="en-US" w:eastAsia="es-MX"/>
        </w:rPr>
      </w:pPr>
      <w:r w:rsidRPr="00D869E3">
        <w:rPr>
          <w:rFonts w:ascii="Verdana" w:hAnsi="Verdana"/>
          <w:spacing w:val="-3"/>
          <w:sz w:val="18"/>
          <w:szCs w:val="18"/>
          <w:lang w:val="en-US"/>
        </w:rPr>
        <w:t>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p w14:paraId="33E56774" w14:textId="77777777" w:rsidR="00E66DD7" w:rsidRPr="00D869E3" w:rsidRDefault="00E66DD7" w:rsidP="00334B6C">
      <w:pPr>
        <w:tabs>
          <w:tab w:val="left" w:pos="993"/>
        </w:tabs>
        <w:ind w:left="567" w:right="335"/>
        <w:contextualSpacing/>
        <w:jc w:val="both"/>
        <w:rPr>
          <w:rFonts w:ascii="Verdana" w:eastAsia="Times New Roman" w:hAnsi="Verdana" w:cs="Tahoma"/>
          <w:color w:val="000000"/>
          <w:sz w:val="18"/>
          <w:szCs w:val="18"/>
          <w:lang w:val="en-US" w:eastAsia="es-MX"/>
        </w:rPr>
      </w:pPr>
    </w:p>
    <w:p w14:paraId="02BEAB7B" w14:textId="37B9188C" w:rsidR="00E66DD7" w:rsidRPr="00D869E3" w:rsidRDefault="00DE1546" w:rsidP="00334B6C">
      <w:pPr>
        <w:numPr>
          <w:ilvl w:val="0"/>
          <w:numId w:val="22"/>
        </w:numPr>
        <w:tabs>
          <w:tab w:val="left" w:pos="993"/>
        </w:tabs>
        <w:ind w:left="567" w:right="335" w:firstLine="0"/>
        <w:contextualSpacing/>
        <w:jc w:val="both"/>
        <w:rPr>
          <w:rFonts w:ascii="Verdana" w:eastAsia="Times New Roman" w:hAnsi="Verdana" w:cs="Tahoma"/>
          <w:color w:val="000000"/>
          <w:sz w:val="18"/>
          <w:szCs w:val="18"/>
          <w:lang w:val="en-US" w:eastAsia="es-MX"/>
        </w:rPr>
      </w:pPr>
      <w:r w:rsidRPr="00D869E3">
        <w:rPr>
          <w:rFonts w:ascii="Verdana" w:hAnsi="Verdana"/>
          <w:spacing w:val="-3"/>
          <w:sz w:val="18"/>
          <w:szCs w:val="18"/>
          <w:lang w:val="en-US"/>
        </w:rPr>
        <w:t>The States Parties undertake</w:t>
      </w:r>
      <w:r w:rsidR="00E66DD7" w:rsidRPr="00D869E3">
        <w:rPr>
          <w:rFonts w:ascii="Verdana" w:eastAsia="Times New Roman" w:hAnsi="Verdana" w:cs="Tahoma"/>
          <w:color w:val="000000"/>
          <w:sz w:val="18"/>
          <w:szCs w:val="18"/>
          <w:lang w:val="en-US" w:eastAsia="es-MX"/>
        </w:rPr>
        <w:t xml:space="preserve">: </w:t>
      </w:r>
    </w:p>
    <w:p w14:paraId="67C53518" w14:textId="65D938D2" w:rsidR="00E66DD7" w:rsidRPr="00D869E3" w:rsidRDefault="00DE1546" w:rsidP="00334B6C">
      <w:pPr>
        <w:tabs>
          <w:tab w:val="left" w:pos="993"/>
        </w:tabs>
        <w:ind w:left="567" w:right="335"/>
        <w:contextualSpacing/>
        <w:jc w:val="both"/>
        <w:rPr>
          <w:rFonts w:ascii="Verdana" w:eastAsia="Times New Roman" w:hAnsi="Verdana" w:cs="Tahoma"/>
          <w:color w:val="000000"/>
          <w:sz w:val="18"/>
          <w:szCs w:val="18"/>
          <w:lang w:val="en-US" w:eastAsia="es-MX"/>
        </w:rPr>
      </w:pPr>
      <w:r w:rsidRPr="00D869E3">
        <w:rPr>
          <w:rFonts w:ascii="Verdana" w:eastAsia="Times New Roman" w:hAnsi="Verdana" w:cs="Tahoma"/>
          <w:color w:val="000000"/>
          <w:sz w:val="18"/>
          <w:szCs w:val="18"/>
          <w:lang w:val="en-US" w:eastAsia="es-MX"/>
        </w:rPr>
        <w:t>(</w:t>
      </w:r>
      <w:r w:rsidR="00E66DD7" w:rsidRPr="00D869E3">
        <w:rPr>
          <w:rFonts w:ascii="Verdana" w:eastAsia="Times New Roman" w:hAnsi="Verdana" w:cs="Tahoma"/>
          <w:color w:val="000000"/>
          <w:sz w:val="18"/>
          <w:szCs w:val="18"/>
          <w:lang w:val="en-US" w:eastAsia="es-MX"/>
        </w:rPr>
        <w:t xml:space="preserve">a) </w:t>
      </w:r>
      <w:r w:rsidRPr="00D869E3">
        <w:rPr>
          <w:rFonts w:ascii="Verdana" w:hAnsi="Verdana"/>
          <w:spacing w:val="-3"/>
          <w:sz w:val="18"/>
          <w:szCs w:val="18"/>
          <w:lang w:val="en-US"/>
        </w:rPr>
        <w:t>to ensure that any person claiming such remedy shall have his rights determined by the competent authority provided for by the legal system of the State</w:t>
      </w:r>
      <w:r w:rsidR="00E66DD7" w:rsidRPr="00D869E3">
        <w:rPr>
          <w:rFonts w:ascii="Verdana" w:eastAsia="Times New Roman" w:hAnsi="Verdana" w:cs="Tahoma"/>
          <w:color w:val="000000"/>
          <w:sz w:val="18"/>
          <w:szCs w:val="18"/>
          <w:lang w:val="en-US" w:eastAsia="es-MX"/>
        </w:rPr>
        <w:t>;</w:t>
      </w:r>
      <w:r w:rsidR="00E358F5" w:rsidRPr="00D869E3">
        <w:rPr>
          <w:rFonts w:ascii="Verdana" w:eastAsia="Times New Roman" w:hAnsi="Verdana" w:cs="Tahoma"/>
          <w:color w:val="000000"/>
          <w:sz w:val="18"/>
          <w:szCs w:val="18"/>
          <w:lang w:val="en-US" w:eastAsia="es-MX"/>
        </w:rPr>
        <w:t xml:space="preserve"> […]</w:t>
      </w:r>
    </w:p>
    <w:p w14:paraId="1392C865" w14:textId="77777777" w:rsidR="00E66DD7" w:rsidRPr="00D869E3" w:rsidRDefault="00E66DD7" w:rsidP="00E66DD7">
      <w:pPr>
        <w:contextualSpacing/>
        <w:jc w:val="both"/>
        <w:rPr>
          <w:rFonts w:ascii="Verdana" w:hAnsi="Verdana"/>
          <w:sz w:val="20"/>
          <w:szCs w:val="20"/>
          <w:lang w:val="en-US"/>
        </w:rPr>
      </w:pPr>
    </w:p>
    <w:p w14:paraId="011E79AD" w14:textId="39EAA015" w:rsidR="00E66DD7" w:rsidRPr="00D869E3" w:rsidRDefault="00901386" w:rsidP="00E66DD7">
      <w:pPr>
        <w:numPr>
          <w:ilvl w:val="0"/>
          <w:numId w:val="1"/>
        </w:numPr>
        <w:ind w:left="0" w:firstLine="0"/>
        <w:contextualSpacing/>
        <w:jc w:val="both"/>
        <w:rPr>
          <w:rFonts w:ascii="Verdana" w:hAnsi="Verdana"/>
          <w:sz w:val="20"/>
          <w:szCs w:val="20"/>
          <w:lang w:val="en-US"/>
        </w:rPr>
      </w:pPr>
      <w:r w:rsidRPr="00D869E3">
        <w:rPr>
          <w:rFonts w:ascii="Verdana" w:hAnsi="Verdana" w:cs="Helvetica"/>
          <w:sz w:val="20"/>
          <w:szCs w:val="20"/>
          <w:lang w:val="en-US"/>
        </w:rPr>
        <w:lastRenderedPageBreak/>
        <w:t>This Court</w:t>
      </w:r>
      <w:r w:rsidR="00E66DD7" w:rsidRPr="00D869E3">
        <w:rPr>
          <w:rFonts w:ascii="Verdana" w:hAnsi="Verdana" w:cs="Helvetica"/>
          <w:sz w:val="20"/>
          <w:szCs w:val="20"/>
          <w:lang w:val="en-US"/>
        </w:rPr>
        <w:t xml:space="preserve"> ha</w:t>
      </w:r>
      <w:r w:rsidRPr="00D869E3">
        <w:rPr>
          <w:rFonts w:ascii="Verdana" w:hAnsi="Verdana" w:cs="Helvetica"/>
          <w:sz w:val="20"/>
          <w:szCs w:val="20"/>
          <w:lang w:val="en-US"/>
        </w:rPr>
        <w:t>s declared that judicial protection</w:t>
      </w:r>
      <w:r w:rsidR="00E66DD7" w:rsidRPr="00D869E3">
        <w:rPr>
          <w:rFonts w:ascii="Verdana" w:hAnsi="Verdana" w:cs="Helvetica"/>
          <w:sz w:val="20"/>
          <w:szCs w:val="20"/>
          <w:lang w:val="en-US"/>
        </w:rPr>
        <w:t xml:space="preserve">, </w:t>
      </w:r>
      <w:r w:rsidR="006436CA" w:rsidRPr="00D869E3">
        <w:rPr>
          <w:rFonts w:ascii="Verdana" w:hAnsi="Verdana" w:cs="Helvetica"/>
          <w:sz w:val="20"/>
          <w:szCs w:val="20"/>
          <w:lang w:val="en-US"/>
        </w:rPr>
        <w:t>“</w:t>
      </w:r>
      <w:r w:rsidRPr="00D869E3">
        <w:rPr>
          <w:rFonts w:ascii="Verdana" w:hAnsi="Verdana" w:cs="Helvetica"/>
          <w:sz w:val="20"/>
          <w:szCs w:val="20"/>
          <w:lang w:val="en-US"/>
        </w:rPr>
        <w:t>is one of the basic pillars</w:t>
      </w:r>
      <w:r w:rsidR="00447C65" w:rsidRPr="00D869E3">
        <w:rPr>
          <w:rFonts w:ascii="Verdana" w:hAnsi="Verdana" w:cs="Helvetica"/>
          <w:sz w:val="20"/>
          <w:szCs w:val="20"/>
          <w:lang w:val="en-US"/>
        </w:rPr>
        <w:t xml:space="preserve"> of the American Convention</w:t>
      </w:r>
      <w:r w:rsidR="00687684" w:rsidRPr="00D869E3">
        <w:rPr>
          <w:rFonts w:ascii="Verdana" w:hAnsi="Verdana" w:cs="Helvetica"/>
          <w:sz w:val="20"/>
          <w:szCs w:val="20"/>
          <w:lang w:val="en-US"/>
        </w:rPr>
        <w:t xml:space="preserve"> and </w:t>
      </w:r>
      <w:r w:rsidRPr="00D869E3">
        <w:rPr>
          <w:rFonts w:ascii="Verdana" w:hAnsi="Verdana" w:cs="Helvetica"/>
          <w:sz w:val="20"/>
          <w:szCs w:val="20"/>
          <w:lang w:val="en-US"/>
        </w:rPr>
        <w:t>of the rule of law in a democratic society</w:t>
      </w:r>
      <w:r w:rsidR="00065A47" w:rsidRPr="00D869E3">
        <w:rPr>
          <w:rFonts w:ascii="Verdana" w:hAnsi="Verdana" w:cs="Helvetica"/>
          <w:sz w:val="20"/>
          <w:szCs w:val="20"/>
          <w:lang w:val="en-US"/>
        </w:rPr>
        <w:t>,</w:t>
      </w:r>
      <w:r w:rsidRPr="00D869E3">
        <w:rPr>
          <w:rFonts w:ascii="Verdana" w:hAnsi="Verdana" w:cs="Helvetica"/>
          <w:sz w:val="20"/>
          <w:szCs w:val="20"/>
          <w:lang w:val="en-US"/>
        </w:rPr>
        <w:t>”</w:t>
      </w:r>
      <w:r w:rsidR="00E66DD7" w:rsidRPr="00D869E3">
        <w:rPr>
          <w:rFonts w:ascii="Verdana" w:hAnsi="Verdana" w:cs="Helvetica"/>
          <w:sz w:val="20"/>
          <w:szCs w:val="20"/>
          <w:vertAlign w:val="superscript"/>
          <w:lang w:val="en-US"/>
        </w:rPr>
        <w:footnoteReference w:id="240"/>
      </w:r>
      <w:r w:rsidR="00E66DD7" w:rsidRPr="00D869E3">
        <w:rPr>
          <w:rFonts w:ascii="Verdana" w:hAnsi="Verdana"/>
          <w:sz w:val="20"/>
          <w:szCs w:val="20"/>
          <w:lang w:val="en-US"/>
        </w:rPr>
        <w:t xml:space="preserve"> </w:t>
      </w:r>
      <w:r w:rsidR="00065A47" w:rsidRPr="00D869E3">
        <w:rPr>
          <w:rFonts w:ascii="Verdana" w:hAnsi="Verdana" w:cs="Helvetica"/>
          <w:sz w:val="20"/>
          <w:szCs w:val="20"/>
          <w:lang w:val="en-US"/>
        </w:rPr>
        <w:t>and</w:t>
      </w:r>
      <w:r w:rsidR="00E66DD7" w:rsidRPr="00D869E3">
        <w:rPr>
          <w:rFonts w:ascii="Verdana" w:hAnsi="Verdana"/>
          <w:sz w:val="20"/>
          <w:szCs w:val="20"/>
          <w:lang w:val="en-US"/>
        </w:rPr>
        <w:t xml:space="preserve"> ha</w:t>
      </w:r>
      <w:r w:rsidRPr="00D869E3">
        <w:rPr>
          <w:rFonts w:ascii="Verdana" w:hAnsi="Verdana"/>
          <w:sz w:val="20"/>
          <w:szCs w:val="20"/>
          <w:lang w:val="en-US"/>
        </w:rPr>
        <w:t>s indicated that</w:t>
      </w:r>
      <w:r w:rsidR="00E66DD7" w:rsidRPr="00D869E3">
        <w:rPr>
          <w:rFonts w:ascii="Verdana" w:hAnsi="Verdana"/>
          <w:sz w:val="20"/>
          <w:szCs w:val="20"/>
          <w:lang w:val="en-US"/>
        </w:rPr>
        <w:t xml:space="preserve"> </w:t>
      </w:r>
      <w:r w:rsidR="006436CA" w:rsidRPr="00D869E3">
        <w:rPr>
          <w:rFonts w:ascii="Verdana" w:hAnsi="Verdana"/>
          <w:sz w:val="20"/>
          <w:szCs w:val="20"/>
          <w:lang w:val="en-US"/>
        </w:rPr>
        <w:t>“</w:t>
      </w:r>
      <w:r w:rsidR="00447C65" w:rsidRPr="00D869E3">
        <w:rPr>
          <w:rFonts w:ascii="Verdana" w:hAnsi="Verdana"/>
          <w:sz w:val="20"/>
          <w:szCs w:val="20"/>
          <w:lang w:val="en-US"/>
        </w:rPr>
        <w:t>Articles</w:t>
      </w:r>
      <w:r w:rsidR="00E66DD7" w:rsidRPr="00D869E3">
        <w:rPr>
          <w:rFonts w:ascii="Verdana" w:hAnsi="Verdana"/>
          <w:sz w:val="20"/>
          <w:szCs w:val="20"/>
          <w:lang w:val="en-US"/>
        </w:rPr>
        <w:t xml:space="preserve"> 8</w:t>
      </w:r>
      <w:r w:rsidR="00687684" w:rsidRPr="00D869E3">
        <w:rPr>
          <w:rFonts w:ascii="Verdana" w:hAnsi="Verdana"/>
          <w:sz w:val="20"/>
          <w:szCs w:val="20"/>
          <w:lang w:val="en-US"/>
        </w:rPr>
        <w:t xml:space="preserve"> and </w:t>
      </w:r>
      <w:r w:rsidR="00E66DD7" w:rsidRPr="00D869E3">
        <w:rPr>
          <w:rFonts w:ascii="Verdana" w:hAnsi="Verdana"/>
          <w:sz w:val="20"/>
          <w:szCs w:val="20"/>
          <w:lang w:val="en-US"/>
        </w:rPr>
        <w:t>25</w:t>
      </w:r>
      <w:r w:rsidR="00447C65" w:rsidRPr="00D869E3">
        <w:rPr>
          <w:rFonts w:ascii="Verdana" w:hAnsi="Verdana"/>
          <w:sz w:val="20"/>
          <w:szCs w:val="20"/>
          <w:lang w:val="en-US"/>
        </w:rPr>
        <w:t xml:space="preserve"> of the Convention</w:t>
      </w:r>
      <w:r w:rsidR="00E66DD7" w:rsidRPr="00D869E3">
        <w:rPr>
          <w:rFonts w:ascii="Verdana" w:hAnsi="Verdana"/>
          <w:sz w:val="20"/>
          <w:szCs w:val="20"/>
          <w:lang w:val="en-US"/>
        </w:rPr>
        <w:t xml:space="preserve"> </w:t>
      </w:r>
      <w:r w:rsidRPr="00D869E3">
        <w:rPr>
          <w:rFonts w:ascii="Verdana" w:hAnsi="Verdana"/>
          <w:sz w:val="20"/>
          <w:szCs w:val="20"/>
          <w:lang w:val="en-US"/>
        </w:rPr>
        <w:t xml:space="preserve">also establish </w:t>
      </w:r>
      <w:r w:rsidR="000B2E5E" w:rsidRPr="00D869E3">
        <w:rPr>
          <w:rFonts w:ascii="Verdana" w:hAnsi="Verdana"/>
          <w:sz w:val="20"/>
          <w:szCs w:val="20"/>
          <w:lang w:val="en-US"/>
        </w:rPr>
        <w:t xml:space="preserve">the right </w:t>
      </w:r>
      <w:r w:rsidRPr="00D869E3">
        <w:rPr>
          <w:rFonts w:ascii="Verdana" w:hAnsi="Verdana"/>
          <w:sz w:val="20"/>
          <w:szCs w:val="20"/>
          <w:lang w:val="en-US"/>
        </w:rPr>
        <w:t>of</w:t>
      </w:r>
      <w:r w:rsidR="00E66DD7" w:rsidRPr="00D869E3">
        <w:rPr>
          <w:rFonts w:ascii="Verdana" w:hAnsi="Verdana"/>
          <w:sz w:val="20"/>
          <w:szCs w:val="20"/>
          <w:lang w:val="en-US"/>
        </w:rPr>
        <w:t xml:space="preserve"> </w:t>
      </w:r>
      <w:r w:rsidRPr="00D869E3">
        <w:rPr>
          <w:rFonts w:ascii="Verdana" w:hAnsi="Verdana" w:cs="Helvetica"/>
          <w:sz w:val="20"/>
          <w:szCs w:val="20"/>
          <w:lang w:val="en-US"/>
        </w:rPr>
        <w:t>access to justice</w:t>
      </w:r>
      <w:r w:rsidR="00E66DD7" w:rsidRPr="00D869E3">
        <w:rPr>
          <w:rFonts w:ascii="Verdana" w:hAnsi="Verdana"/>
          <w:sz w:val="20"/>
          <w:szCs w:val="20"/>
          <w:lang w:val="en-US"/>
        </w:rPr>
        <w:t xml:space="preserve">, </w:t>
      </w:r>
      <w:r w:rsidRPr="00D869E3">
        <w:rPr>
          <w:rFonts w:ascii="Verdana" w:hAnsi="Verdana"/>
          <w:sz w:val="20"/>
          <w:szCs w:val="20"/>
          <w:lang w:val="en-US"/>
        </w:rPr>
        <w:t>a peremptory norm of international law.”</w:t>
      </w:r>
      <w:r w:rsidR="00E66DD7" w:rsidRPr="00D869E3">
        <w:rPr>
          <w:rFonts w:ascii="Verdana" w:hAnsi="Verdana"/>
          <w:sz w:val="20"/>
          <w:szCs w:val="20"/>
          <w:vertAlign w:val="superscript"/>
          <w:lang w:val="en-US"/>
        </w:rPr>
        <w:footnoteReference w:id="241"/>
      </w:r>
      <w:r w:rsidRPr="00D869E3">
        <w:rPr>
          <w:rFonts w:ascii="Verdana" w:hAnsi="Verdana"/>
          <w:sz w:val="20"/>
          <w:szCs w:val="20"/>
          <w:lang w:val="en-US"/>
        </w:rPr>
        <w:t xml:space="preserve"> </w:t>
      </w:r>
      <w:r w:rsidR="00065A47" w:rsidRPr="00D869E3">
        <w:rPr>
          <w:rFonts w:ascii="Verdana" w:hAnsi="Verdana"/>
          <w:sz w:val="20"/>
          <w:szCs w:val="20"/>
          <w:lang w:val="en-US"/>
        </w:rPr>
        <w:t>In addition</w:t>
      </w:r>
      <w:r w:rsidRPr="00D869E3">
        <w:rPr>
          <w:rFonts w:ascii="Verdana" w:hAnsi="Verdana"/>
          <w:sz w:val="20"/>
          <w:szCs w:val="20"/>
          <w:lang w:val="en-US"/>
        </w:rPr>
        <w:t xml:space="preserve">, the principle of effective </w:t>
      </w:r>
      <w:r w:rsidRPr="00D869E3">
        <w:rPr>
          <w:rFonts w:ascii="Verdana" w:hAnsi="Verdana" w:cs="Helvetica"/>
          <w:sz w:val="20"/>
          <w:szCs w:val="20"/>
          <w:lang w:val="en-US"/>
        </w:rPr>
        <w:t>judicial protection requires that judicial proceedings are accessible to the parties, without any undue obstacles or delays, so that they may achieve their purpose promptly, simply and fully.</w:t>
      </w:r>
      <w:r w:rsidR="00E66DD7" w:rsidRPr="00D869E3">
        <w:rPr>
          <w:rFonts w:ascii="Verdana" w:hAnsi="Verdana" w:cs="Helvetica"/>
          <w:sz w:val="20"/>
          <w:szCs w:val="20"/>
          <w:vertAlign w:val="superscript"/>
          <w:lang w:val="en-US"/>
        </w:rPr>
        <w:footnoteReference w:id="242"/>
      </w:r>
      <w:r w:rsidRPr="00D869E3">
        <w:rPr>
          <w:rFonts w:ascii="Verdana" w:hAnsi="Verdana" w:cs="Helvetica"/>
          <w:sz w:val="20"/>
          <w:szCs w:val="20"/>
          <w:lang w:val="en-US"/>
        </w:rPr>
        <w:t xml:space="preserve"> </w:t>
      </w:r>
      <w:r w:rsidR="00065A47" w:rsidRPr="00D869E3">
        <w:rPr>
          <w:rFonts w:ascii="Verdana" w:hAnsi="Verdana" w:cs="Helvetica"/>
          <w:sz w:val="20"/>
          <w:szCs w:val="20"/>
          <w:lang w:val="en-US"/>
        </w:rPr>
        <w:t>Furthermore</w:t>
      </w:r>
      <w:r w:rsidRPr="00D869E3">
        <w:rPr>
          <w:rFonts w:ascii="Verdana" w:hAnsi="Verdana" w:cs="Helvetica"/>
          <w:sz w:val="20"/>
          <w:szCs w:val="20"/>
          <w:lang w:val="en-US"/>
        </w:rPr>
        <w:t xml:space="preserve">, the Court has indicated that </w:t>
      </w:r>
      <w:r w:rsidR="00447C65" w:rsidRPr="00D869E3">
        <w:rPr>
          <w:rFonts w:ascii="Verdana" w:hAnsi="Verdana" w:cs="Helvetica"/>
          <w:sz w:val="20"/>
          <w:szCs w:val="20"/>
          <w:lang w:val="en-US"/>
        </w:rPr>
        <w:t>Article</w:t>
      </w:r>
      <w:r w:rsidR="00E66DD7" w:rsidRPr="00D869E3">
        <w:rPr>
          <w:rFonts w:ascii="Verdana" w:hAnsi="Verdana" w:cs="Helvetica"/>
          <w:sz w:val="20"/>
          <w:szCs w:val="20"/>
          <w:lang w:val="en-US"/>
        </w:rPr>
        <w:t xml:space="preserve"> </w:t>
      </w:r>
      <w:r w:rsidRPr="00D869E3">
        <w:rPr>
          <w:rFonts w:ascii="Verdana" w:hAnsi="Verdana" w:cs="Helvetica"/>
          <w:sz w:val="20"/>
          <w:szCs w:val="20"/>
          <w:lang w:val="en-US"/>
        </w:rPr>
        <w:t>25(1)</w:t>
      </w:r>
      <w:r w:rsidR="00447C65" w:rsidRPr="00D869E3">
        <w:rPr>
          <w:rFonts w:ascii="Verdana" w:hAnsi="Verdana" w:cs="Helvetica"/>
          <w:sz w:val="20"/>
          <w:szCs w:val="20"/>
          <w:lang w:val="en-US"/>
        </w:rPr>
        <w:t xml:space="preserve"> of the Convention</w:t>
      </w:r>
      <w:r w:rsidR="00E66DD7" w:rsidRPr="00D869E3">
        <w:rPr>
          <w:rFonts w:ascii="Verdana" w:hAnsi="Verdana" w:cs="Helvetica"/>
          <w:sz w:val="20"/>
          <w:szCs w:val="20"/>
          <w:lang w:val="en-US"/>
        </w:rPr>
        <w:t xml:space="preserve"> </w:t>
      </w:r>
      <w:r w:rsidRPr="00D869E3">
        <w:rPr>
          <w:rFonts w:ascii="Verdana" w:hAnsi="Verdana" w:cs="Helvetica"/>
          <w:sz w:val="20"/>
          <w:szCs w:val="20"/>
          <w:lang w:val="en-US"/>
        </w:rPr>
        <w:t>establishes</w:t>
      </w:r>
      <w:r w:rsidR="00E66DD7" w:rsidRPr="00D869E3">
        <w:rPr>
          <w:rFonts w:ascii="Verdana" w:hAnsi="Verdana" w:cs="Helvetica"/>
          <w:sz w:val="20"/>
          <w:szCs w:val="20"/>
          <w:lang w:val="en-US"/>
        </w:rPr>
        <w:t xml:space="preserve"> </w:t>
      </w:r>
      <w:r w:rsidRPr="00D869E3">
        <w:rPr>
          <w:rFonts w:ascii="Verdana" w:hAnsi="Verdana" w:cs="Helvetica"/>
          <w:sz w:val="20"/>
          <w:szCs w:val="20"/>
          <w:lang w:val="en-US"/>
        </w:rPr>
        <w:t>the obligation</w:t>
      </w:r>
      <w:r w:rsidR="00E66DD7" w:rsidRPr="00D869E3">
        <w:rPr>
          <w:rFonts w:ascii="Verdana" w:hAnsi="Verdana" w:cs="Helvetica"/>
          <w:sz w:val="20"/>
          <w:szCs w:val="20"/>
          <w:lang w:val="en-US"/>
        </w:rPr>
        <w:t xml:space="preserve"> </w:t>
      </w:r>
      <w:r w:rsidRPr="00D869E3">
        <w:rPr>
          <w:rFonts w:ascii="Verdana" w:hAnsi="Verdana" w:cs="Helvetica"/>
          <w:sz w:val="20"/>
          <w:szCs w:val="20"/>
          <w:lang w:val="en-US"/>
        </w:rPr>
        <w:t>of the</w:t>
      </w:r>
      <w:r w:rsidR="00E66DD7" w:rsidRPr="00D869E3">
        <w:rPr>
          <w:rFonts w:ascii="Verdana" w:hAnsi="Verdana" w:cs="Helvetica"/>
          <w:sz w:val="20"/>
          <w:szCs w:val="20"/>
          <w:lang w:val="en-US"/>
        </w:rPr>
        <w:t xml:space="preserve"> </w:t>
      </w:r>
      <w:r w:rsidR="00B443B4" w:rsidRPr="00D869E3">
        <w:rPr>
          <w:rFonts w:ascii="Verdana" w:hAnsi="Verdana" w:cs="Helvetica"/>
          <w:sz w:val="20"/>
          <w:szCs w:val="20"/>
          <w:lang w:val="en-US"/>
        </w:rPr>
        <w:t>States Parties</w:t>
      </w:r>
      <w:r w:rsidR="00E66DD7" w:rsidRPr="00D869E3">
        <w:rPr>
          <w:rFonts w:ascii="Verdana" w:hAnsi="Verdana" w:cs="Helvetica"/>
          <w:sz w:val="20"/>
          <w:szCs w:val="20"/>
          <w:lang w:val="en-US"/>
        </w:rPr>
        <w:t xml:space="preserve"> </w:t>
      </w:r>
      <w:r w:rsidRPr="00D869E3">
        <w:rPr>
          <w:rFonts w:ascii="Verdana" w:hAnsi="Verdana" w:cs="Helvetica"/>
          <w:sz w:val="20"/>
          <w:szCs w:val="20"/>
          <w:lang w:val="en-US"/>
        </w:rPr>
        <w:t xml:space="preserve">to ensure to everyone subject to their jurisdiction an effective judicial remedy against acts that </w:t>
      </w:r>
      <w:r w:rsidR="00065A47" w:rsidRPr="00D869E3">
        <w:rPr>
          <w:rFonts w:ascii="Verdana" w:hAnsi="Verdana" w:cs="Helvetica"/>
          <w:sz w:val="20"/>
          <w:szCs w:val="20"/>
          <w:lang w:val="en-US"/>
        </w:rPr>
        <w:t xml:space="preserve">have </w:t>
      </w:r>
      <w:r w:rsidRPr="00D869E3">
        <w:rPr>
          <w:rFonts w:ascii="Verdana" w:hAnsi="Verdana" w:cs="Helvetica"/>
          <w:sz w:val="20"/>
          <w:szCs w:val="20"/>
          <w:lang w:val="en-US"/>
        </w:rPr>
        <w:t>violate</w:t>
      </w:r>
      <w:r w:rsidR="00065A47" w:rsidRPr="00D869E3">
        <w:rPr>
          <w:rFonts w:ascii="Verdana" w:hAnsi="Verdana" w:cs="Helvetica"/>
          <w:sz w:val="20"/>
          <w:szCs w:val="20"/>
          <w:lang w:val="en-US"/>
        </w:rPr>
        <w:t>d</w:t>
      </w:r>
      <w:r w:rsidRPr="00D869E3">
        <w:rPr>
          <w:rFonts w:ascii="Verdana" w:hAnsi="Verdana" w:cs="Helvetica"/>
          <w:sz w:val="20"/>
          <w:szCs w:val="20"/>
          <w:lang w:val="en-US"/>
        </w:rPr>
        <w:t xml:space="preserve"> their fundamental rights,</w:t>
      </w:r>
      <w:r w:rsidR="0013567C" w:rsidRPr="00D869E3">
        <w:rPr>
          <w:rFonts w:ascii="Verdana" w:hAnsi="Verdana" w:cs="Helvetica"/>
          <w:sz w:val="20"/>
          <w:szCs w:val="20"/>
          <w:vertAlign w:val="superscript"/>
          <w:lang w:val="en-US"/>
        </w:rPr>
        <w:footnoteReference w:id="243"/>
      </w:r>
      <w:r w:rsidRPr="00D869E3">
        <w:rPr>
          <w:rFonts w:ascii="Verdana" w:hAnsi="Verdana" w:cs="Helvetica"/>
          <w:sz w:val="20"/>
          <w:szCs w:val="20"/>
          <w:lang w:val="en-US"/>
        </w:rPr>
        <w:t xml:space="preserve"> </w:t>
      </w:r>
      <w:r w:rsidR="00065A47" w:rsidRPr="00D869E3">
        <w:rPr>
          <w:rFonts w:ascii="Verdana" w:hAnsi="Verdana" w:cs="Helvetica"/>
          <w:sz w:val="20"/>
          <w:szCs w:val="20"/>
          <w:lang w:val="en-US"/>
        </w:rPr>
        <w:t xml:space="preserve">which </w:t>
      </w:r>
      <w:r w:rsidRPr="00D869E3">
        <w:rPr>
          <w:rFonts w:ascii="Verdana" w:hAnsi="Verdana" w:cs="Helvetica"/>
          <w:sz w:val="20"/>
          <w:szCs w:val="20"/>
          <w:lang w:val="en-US"/>
        </w:rPr>
        <w:t>are recognized in either the Constitution, or the laws or the Convention.</w:t>
      </w:r>
      <w:r w:rsidR="00E66DD7" w:rsidRPr="00D869E3">
        <w:rPr>
          <w:rFonts w:ascii="Verdana" w:hAnsi="Verdana" w:cs="Helvetica"/>
          <w:sz w:val="20"/>
          <w:szCs w:val="20"/>
          <w:vertAlign w:val="superscript"/>
          <w:lang w:val="en-US"/>
        </w:rPr>
        <w:footnoteReference w:id="244"/>
      </w:r>
      <w:r w:rsidR="00E66DD7" w:rsidRPr="00D869E3">
        <w:rPr>
          <w:rFonts w:ascii="Verdana" w:hAnsi="Verdana" w:cs="Helvetica"/>
          <w:sz w:val="20"/>
          <w:szCs w:val="20"/>
          <w:lang w:val="en-US"/>
        </w:rPr>
        <w:t xml:space="preserve"> </w:t>
      </w:r>
    </w:p>
    <w:p w14:paraId="092E910E" w14:textId="77777777" w:rsidR="00E66DD7" w:rsidRPr="00D869E3" w:rsidRDefault="00E66DD7" w:rsidP="00E66DD7">
      <w:pPr>
        <w:contextualSpacing/>
        <w:jc w:val="both"/>
        <w:rPr>
          <w:rFonts w:ascii="Verdana" w:hAnsi="Verdana" w:cs="Helvetica"/>
          <w:sz w:val="20"/>
          <w:szCs w:val="20"/>
          <w:lang w:val="en-US"/>
        </w:rPr>
      </w:pPr>
    </w:p>
    <w:p w14:paraId="5A7F8A32" w14:textId="3D51F214" w:rsidR="00E66DD7" w:rsidRPr="00D869E3" w:rsidRDefault="008A0E87" w:rsidP="00E66DD7">
      <w:pPr>
        <w:numPr>
          <w:ilvl w:val="0"/>
          <w:numId w:val="1"/>
        </w:numPr>
        <w:ind w:left="0" w:firstLine="0"/>
        <w:contextualSpacing/>
        <w:jc w:val="both"/>
        <w:rPr>
          <w:rFonts w:ascii="Verdana" w:hAnsi="Verdana"/>
          <w:sz w:val="20"/>
          <w:szCs w:val="20"/>
          <w:lang w:val="en-US"/>
        </w:rPr>
      </w:pPr>
      <w:r w:rsidRPr="00D869E3">
        <w:rPr>
          <w:rFonts w:ascii="Verdana" w:hAnsi="Verdana"/>
          <w:sz w:val="20"/>
          <w:szCs w:val="20"/>
          <w:lang w:val="en-US"/>
        </w:rPr>
        <w:t xml:space="preserve">As already mentioned, both the </w:t>
      </w:r>
      <w:r w:rsidR="003531AF" w:rsidRPr="00D869E3">
        <w:rPr>
          <w:rFonts w:ascii="Verdana" w:hAnsi="Verdana" w:cs="Arial Narrow"/>
          <w:color w:val="000000"/>
          <w:sz w:val="20"/>
          <w:szCs w:val="20"/>
          <w:lang w:val="en-US" w:eastAsia="es-MX"/>
        </w:rPr>
        <w:t>1979</w:t>
      </w:r>
      <w:r w:rsidRPr="00D869E3">
        <w:rPr>
          <w:rFonts w:ascii="Verdana" w:hAnsi="Verdana" w:cs="Arial Narrow"/>
          <w:color w:val="000000"/>
          <w:sz w:val="20"/>
          <w:szCs w:val="20"/>
          <w:lang w:val="en-US" w:eastAsia="es-MX"/>
        </w:rPr>
        <w:t xml:space="preserve"> and the 1993</w:t>
      </w:r>
      <w:r w:rsidR="003531AF" w:rsidRPr="00D869E3">
        <w:rPr>
          <w:rFonts w:ascii="Verdana" w:hAnsi="Verdana" w:cs="Arial Narrow"/>
          <w:color w:val="000000"/>
          <w:sz w:val="20"/>
          <w:szCs w:val="20"/>
          <w:lang w:val="en-US" w:eastAsia="es-MX"/>
        </w:rPr>
        <w:t xml:space="preserve"> Constitution</w:t>
      </w:r>
      <w:r w:rsidRPr="00D869E3">
        <w:rPr>
          <w:rFonts w:ascii="Verdana" w:hAnsi="Verdana" w:cs="Arial Narrow"/>
          <w:color w:val="000000"/>
          <w:sz w:val="20"/>
          <w:szCs w:val="20"/>
          <w:lang w:val="en-US" w:eastAsia="es-MX"/>
        </w:rPr>
        <w:t>s</w:t>
      </w:r>
      <w:r w:rsidR="00E66DD7" w:rsidRPr="00D869E3">
        <w:rPr>
          <w:rFonts w:ascii="Verdana" w:hAnsi="Verdana" w:cs="Arial Narrow"/>
          <w:color w:val="000000"/>
          <w:sz w:val="20"/>
          <w:szCs w:val="20"/>
          <w:lang w:val="en-US" w:eastAsia="es-MX"/>
        </w:rPr>
        <w:t xml:space="preserve"> </w:t>
      </w:r>
      <w:r w:rsidRPr="00D869E3">
        <w:rPr>
          <w:rFonts w:ascii="Verdana" w:hAnsi="Verdana" w:cs="Arial Narrow"/>
          <w:color w:val="000000"/>
          <w:sz w:val="20"/>
          <w:szCs w:val="20"/>
          <w:lang w:val="en-US" w:eastAsia="es-MX"/>
        </w:rPr>
        <w:t>of</w:t>
      </w:r>
      <w:r w:rsidR="00E66DD7" w:rsidRPr="00D869E3">
        <w:rPr>
          <w:rFonts w:ascii="Verdana" w:hAnsi="Verdana" w:cs="Arial Narrow"/>
          <w:color w:val="000000"/>
          <w:sz w:val="20"/>
          <w:szCs w:val="20"/>
          <w:lang w:val="en-US" w:eastAsia="es-MX"/>
        </w:rPr>
        <w:t xml:space="preserve"> </w:t>
      </w:r>
      <w:r w:rsidR="00447C65" w:rsidRPr="00D869E3">
        <w:rPr>
          <w:rFonts w:ascii="Verdana" w:hAnsi="Verdana" w:cs="Arial Narrow"/>
          <w:color w:val="000000"/>
          <w:sz w:val="20"/>
          <w:szCs w:val="20"/>
          <w:lang w:val="en-US" w:eastAsia="es-MX"/>
        </w:rPr>
        <w:t>Peru</w:t>
      </w:r>
      <w:r w:rsidR="00E66DD7" w:rsidRPr="00D869E3">
        <w:rPr>
          <w:rFonts w:ascii="Verdana" w:hAnsi="Verdana" w:cs="Arial Narrow"/>
          <w:color w:val="000000"/>
          <w:sz w:val="20"/>
          <w:szCs w:val="20"/>
          <w:lang w:val="en-US" w:eastAsia="es-MX"/>
        </w:rPr>
        <w:t>,</w:t>
      </w:r>
      <w:r w:rsidR="00687684" w:rsidRPr="00D869E3">
        <w:rPr>
          <w:rFonts w:ascii="Verdana" w:hAnsi="Verdana" w:cs="Arial Narrow"/>
          <w:color w:val="000000"/>
          <w:sz w:val="20"/>
          <w:szCs w:val="20"/>
          <w:lang w:val="en-US" w:eastAsia="es-MX"/>
        </w:rPr>
        <w:t xml:space="preserve"> and</w:t>
      </w:r>
      <w:r w:rsidRPr="00D869E3">
        <w:rPr>
          <w:rFonts w:ascii="Verdana" w:hAnsi="Verdana" w:cs="Arial Narrow"/>
          <w:color w:val="000000"/>
          <w:sz w:val="20"/>
          <w:szCs w:val="20"/>
          <w:lang w:val="en-US" w:eastAsia="es-MX"/>
        </w:rPr>
        <w:t xml:space="preserve"> the labor laws at the time of the facts</w:t>
      </w:r>
      <w:r w:rsidR="00065A47" w:rsidRPr="00D869E3">
        <w:rPr>
          <w:rFonts w:ascii="Verdana" w:hAnsi="Verdana" w:cs="Arial Narrow"/>
          <w:color w:val="000000"/>
          <w:sz w:val="20"/>
          <w:szCs w:val="20"/>
          <w:lang w:val="en-US" w:eastAsia="es-MX"/>
        </w:rPr>
        <w:t>,</w:t>
      </w:r>
      <w:r w:rsidRPr="00D869E3">
        <w:rPr>
          <w:rFonts w:ascii="Verdana" w:hAnsi="Verdana" w:cs="Arial Narrow"/>
          <w:color w:val="000000"/>
          <w:sz w:val="20"/>
          <w:szCs w:val="20"/>
          <w:lang w:val="en-US" w:eastAsia="es-MX"/>
        </w:rPr>
        <w:t xml:space="preserve"> explicitly </w:t>
      </w:r>
      <w:r w:rsidR="00065A47" w:rsidRPr="00D869E3">
        <w:rPr>
          <w:rFonts w:ascii="Verdana" w:hAnsi="Verdana" w:cs="Arial Narrow"/>
          <w:color w:val="000000"/>
          <w:sz w:val="20"/>
          <w:szCs w:val="20"/>
          <w:lang w:val="en-US" w:eastAsia="es-MX"/>
        </w:rPr>
        <w:t xml:space="preserve">recognized </w:t>
      </w:r>
      <w:r w:rsidRPr="00D869E3">
        <w:rPr>
          <w:rFonts w:ascii="Verdana" w:hAnsi="Verdana" w:cs="Arial Narrow"/>
          <w:color w:val="000000"/>
          <w:sz w:val="20"/>
          <w:szCs w:val="20"/>
          <w:lang w:val="en-US" w:eastAsia="es-MX"/>
        </w:rPr>
        <w:t>the right to job security</w:t>
      </w:r>
      <w:r w:rsidR="00E66DD7" w:rsidRPr="00D869E3">
        <w:rPr>
          <w:rFonts w:ascii="Verdana" w:hAnsi="Verdana" w:cs="Arial Narrow"/>
          <w:color w:val="000000"/>
          <w:sz w:val="20"/>
          <w:szCs w:val="20"/>
          <w:vertAlign w:val="superscript"/>
          <w:lang w:val="en-US" w:eastAsia="es-MX"/>
        </w:rPr>
        <w:footnoteReference w:id="245"/>
      </w:r>
      <w:r w:rsidR="00E66DD7" w:rsidRPr="00D869E3">
        <w:rPr>
          <w:rFonts w:ascii="Verdana" w:hAnsi="Verdana" w:cs="Arial Narrow"/>
          <w:color w:val="000000"/>
          <w:sz w:val="20"/>
          <w:szCs w:val="20"/>
          <w:lang w:val="en-US" w:eastAsia="es-MX"/>
        </w:rPr>
        <w:t xml:space="preserve"> (</w:t>
      </w:r>
      <w:r w:rsidR="00E66DD7" w:rsidRPr="00D869E3">
        <w:rPr>
          <w:rFonts w:ascii="Verdana" w:hAnsi="Verdana" w:cs="Arial Narrow"/>
          <w:i/>
          <w:color w:val="000000"/>
          <w:sz w:val="20"/>
          <w:szCs w:val="20"/>
          <w:lang w:val="en-US" w:eastAsia="es-MX"/>
        </w:rPr>
        <w:t>supra</w:t>
      </w:r>
      <w:r w:rsidR="00E66DD7" w:rsidRPr="00D869E3">
        <w:rPr>
          <w:rFonts w:ascii="Verdana" w:hAnsi="Verdana" w:cs="Arial Narrow"/>
          <w:color w:val="000000"/>
          <w:sz w:val="20"/>
          <w:szCs w:val="20"/>
          <w:lang w:val="en-US" w:eastAsia="es-MX"/>
        </w:rPr>
        <w:t xml:space="preserve">, </w:t>
      </w:r>
      <w:r w:rsidR="0087339F" w:rsidRPr="00D869E3">
        <w:rPr>
          <w:rFonts w:ascii="Verdana" w:hAnsi="Verdana" w:cs="Arial Narrow"/>
          <w:color w:val="000000"/>
          <w:sz w:val="20"/>
          <w:szCs w:val="20"/>
          <w:lang w:val="en-US" w:eastAsia="es-MX"/>
        </w:rPr>
        <w:t>para.</w:t>
      </w:r>
      <w:r w:rsidR="00E66DD7" w:rsidRPr="00D869E3">
        <w:rPr>
          <w:rFonts w:ascii="Verdana" w:hAnsi="Verdana" w:cs="Arial Narrow"/>
          <w:color w:val="000000"/>
          <w:sz w:val="20"/>
          <w:szCs w:val="20"/>
          <w:lang w:val="en-US" w:eastAsia="es-MX"/>
        </w:rPr>
        <w:t xml:space="preserve"> </w:t>
      </w:r>
      <w:r w:rsidR="00444E07" w:rsidRPr="00D869E3">
        <w:rPr>
          <w:rFonts w:ascii="Verdana" w:hAnsi="Verdana" w:cs="Arial Narrow"/>
          <w:color w:val="000000"/>
          <w:sz w:val="20"/>
          <w:szCs w:val="20"/>
          <w:lang w:val="en-US" w:eastAsia="es-MX"/>
        </w:rPr>
        <w:t>138).</w:t>
      </w:r>
    </w:p>
    <w:p w14:paraId="69E589C6" w14:textId="77777777" w:rsidR="00E66DD7" w:rsidRPr="00D869E3" w:rsidRDefault="00E66DD7" w:rsidP="00E66DD7">
      <w:pPr>
        <w:contextualSpacing/>
        <w:jc w:val="both"/>
        <w:rPr>
          <w:rFonts w:ascii="Verdana" w:hAnsi="Verdana"/>
          <w:sz w:val="20"/>
          <w:szCs w:val="20"/>
          <w:lang w:val="en-US"/>
        </w:rPr>
      </w:pPr>
    </w:p>
    <w:p w14:paraId="25E35EDA" w14:textId="707080F7" w:rsidR="00E66DD7" w:rsidRPr="00D869E3" w:rsidRDefault="008A0E87" w:rsidP="008A0E87">
      <w:pPr>
        <w:numPr>
          <w:ilvl w:val="0"/>
          <w:numId w:val="1"/>
        </w:numPr>
        <w:ind w:left="0" w:firstLine="0"/>
        <w:contextualSpacing/>
        <w:jc w:val="both"/>
        <w:rPr>
          <w:rFonts w:ascii="Verdana" w:hAnsi="Verdana"/>
          <w:sz w:val="20"/>
          <w:szCs w:val="20"/>
          <w:lang w:val="en-US"/>
        </w:rPr>
      </w:pPr>
      <w:r w:rsidRPr="00D869E3">
        <w:rPr>
          <w:rFonts w:ascii="Verdana" w:hAnsi="Verdana"/>
          <w:sz w:val="20"/>
          <w:szCs w:val="20"/>
          <w:lang w:val="en-US"/>
        </w:rPr>
        <w:t xml:space="preserve">In this regard, the Court’s case law has identified a close connection between the scope of the rights recognized in </w:t>
      </w:r>
      <w:r w:rsidR="00447C65" w:rsidRPr="00D869E3">
        <w:rPr>
          <w:rFonts w:ascii="Verdana" w:hAnsi="Verdana"/>
          <w:color w:val="000000"/>
          <w:sz w:val="20"/>
          <w:szCs w:val="20"/>
          <w:lang w:val="en-US"/>
        </w:rPr>
        <w:t>Articles</w:t>
      </w:r>
      <w:r w:rsidR="00E66DD7" w:rsidRPr="00D869E3">
        <w:rPr>
          <w:rFonts w:ascii="Verdana" w:hAnsi="Verdana"/>
          <w:color w:val="000000"/>
          <w:sz w:val="20"/>
          <w:szCs w:val="20"/>
          <w:lang w:val="en-US"/>
        </w:rPr>
        <w:t xml:space="preserve"> 8</w:t>
      </w:r>
      <w:r w:rsidR="00687684" w:rsidRPr="00D869E3">
        <w:rPr>
          <w:rFonts w:ascii="Verdana" w:hAnsi="Verdana"/>
          <w:color w:val="000000"/>
          <w:sz w:val="20"/>
          <w:szCs w:val="20"/>
          <w:lang w:val="en-US"/>
        </w:rPr>
        <w:t xml:space="preserve"> and </w:t>
      </w:r>
      <w:r w:rsidR="00E66DD7" w:rsidRPr="00D869E3">
        <w:rPr>
          <w:rFonts w:ascii="Verdana" w:hAnsi="Verdana"/>
          <w:color w:val="000000"/>
          <w:sz w:val="20"/>
          <w:szCs w:val="20"/>
          <w:lang w:val="en-US"/>
        </w:rPr>
        <w:t>25</w:t>
      </w:r>
      <w:r w:rsidR="00447C65" w:rsidRPr="00D869E3">
        <w:rPr>
          <w:rFonts w:ascii="Verdana" w:hAnsi="Verdana"/>
          <w:color w:val="000000"/>
          <w:sz w:val="20"/>
          <w:szCs w:val="20"/>
          <w:lang w:val="en-US"/>
        </w:rPr>
        <w:t xml:space="preserve"> of the American Convention</w:t>
      </w:r>
      <w:r w:rsidR="00E66DD7" w:rsidRPr="00D869E3">
        <w:rPr>
          <w:rFonts w:ascii="Verdana" w:hAnsi="Verdana"/>
          <w:color w:val="000000"/>
          <w:sz w:val="20"/>
          <w:szCs w:val="20"/>
          <w:lang w:val="en-US"/>
        </w:rPr>
        <w:t xml:space="preserve">. </w:t>
      </w:r>
      <w:r w:rsidRPr="00D869E3">
        <w:rPr>
          <w:rFonts w:ascii="Verdana" w:hAnsi="Verdana"/>
          <w:color w:val="000000"/>
          <w:sz w:val="20"/>
          <w:szCs w:val="20"/>
          <w:lang w:val="en-US"/>
        </w:rPr>
        <w:t xml:space="preserve">Thus, it has established that States have </w:t>
      </w:r>
      <w:r w:rsidR="00901386" w:rsidRPr="00D869E3">
        <w:rPr>
          <w:rFonts w:ascii="Verdana" w:hAnsi="Verdana"/>
          <w:color w:val="000000"/>
          <w:sz w:val="20"/>
          <w:szCs w:val="20"/>
          <w:lang w:val="en-US"/>
        </w:rPr>
        <w:t>the obligation</w:t>
      </w:r>
      <w:r w:rsidR="00E66DD7" w:rsidRPr="00D869E3">
        <w:rPr>
          <w:rFonts w:ascii="Verdana" w:hAnsi="Verdana"/>
          <w:color w:val="000000"/>
          <w:sz w:val="20"/>
          <w:szCs w:val="20"/>
          <w:lang w:val="en-US"/>
        </w:rPr>
        <w:t xml:space="preserve"> </w:t>
      </w:r>
      <w:r w:rsidRPr="00D869E3">
        <w:rPr>
          <w:rFonts w:ascii="Verdana" w:hAnsi="Verdana"/>
          <w:color w:val="000000"/>
          <w:sz w:val="20"/>
          <w:szCs w:val="20"/>
          <w:lang w:val="en-US"/>
        </w:rPr>
        <w:t xml:space="preserve">to design and legislate effective remedies for the comprehensive protection of </w:t>
      </w:r>
      <w:r w:rsidR="00B443B4" w:rsidRPr="00D869E3">
        <w:rPr>
          <w:rFonts w:ascii="Verdana" w:hAnsi="Verdana"/>
          <w:color w:val="000000"/>
          <w:sz w:val="20"/>
          <w:szCs w:val="20"/>
          <w:lang w:val="en-US"/>
        </w:rPr>
        <w:t>human rights</w:t>
      </w:r>
      <w:r w:rsidR="00E66DD7" w:rsidRPr="00D869E3">
        <w:rPr>
          <w:rFonts w:ascii="Verdana" w:hAnsi="Verdana"/>
          <w:color w:val="000000"/>
          <w:sz w:val="20"/>
          <w:szCs w:val="20"/>
          <w:lang w:val="en-US"/>
        </w:rPr>
        <w:t xml:space="preserve">, </w:t>
      </w:r>
      <w:r w:rsidRPr="00D869E3">
        <w:rPr>
          <w:rFonts w:ascii="Verdana" w:hAnsi="Verdana"/>
          <w:color w:val="000000"/>
          <w:sz w:val="20"/>
          <w:szCs w:val="20"/>
          <w:lang w:val="en-US"/>
        </w:rPr>
        <w:t>but also</w:t>
      </w:r>
      <w:r w:rsidR="00E66DD7" w:rsidRPr="00D869E3">
        <w:rPr>
          <w:rFonts w:ascii="Verdana" w:hAnsi="Verdana"/>
          <w:color w:val="000000"/>
          <w:sz w:val="20"/>
          <w:szCs w:val="20"/>
          <w:lang w:val="en-US"/>
        </w:rPr>
        <w:t xml:space="preserve"> </w:t>
      </w:r>
      <w:r w:rsidR="00901386" w:rsidRPr="00D869E3">
        <w:rPr>
          <w:rFonts w:ascii="Verdana" w:hAnsi="Verdana"/>
          <w:color w:val="000000"/>
          <w:sz w:val="20"/>
          <w:szCs w:val="20"/>
          <w:lang w:val="en-US"/>
        </w:rPr>
        <w:t>the obligation</w:t>
      </w:r>
      <w:r w:rsidR="00E66DD7" w:rsidRPr="00D869E3">
        <w:rPr>
          <w:rFonts w:ascii="Verdana" w:hAnsi="Verdana"/>
          <w:color w:val="000000"/>
          <w:sz w:val="20"/>
          <w:szCs w:val="20"/>
          <w:lang w:val="en-US"/>
        </w:rPr>
        <w:t xml:space="preserve"> </w:t>
      </w:r>
      <w:r w:rsidRPr="00D869E3">
        <w:rPr>
          <w:rFonts w:ascii="Verdana" w:hAnsi="Verdana"/>
          <w:color w:val="000000"/>
          <w:sz w:val="20"/>
          <w:szCs w:val="20"/>
          <w:lang w:val="en-US"/>
        </w:rPr>
        <w:t>to ensure the due application of these remedies by their judicial authorities in proceedings that respect adequate guarantees,</w:t>
      </w:r>
      <w:r w:rsidR="00E66DD7" w:rsidRPr="00D869E3">
        <w:rPr>
          <w:rFonts w:ascii="Verdana" w:hAnsi="Verdana"/>
          <w:color w:val="000000"/>
          <w:sz w:val="20"/>
          <w:szCs w:val="20"/>
          <w:vertAlign w:val="superscript"/>
          <w:lang w:val="en-US"/>
        </w:rPr>
        <w:footnoteReference w:id="246"/>
      </w:r>
      <w:r w:rsidR="00687684" w:rsidRPr="00D869E3">
        <w:rPr>
          <w:rFonts w:ascii="Verdana" w:hAnsi="Verdana" w:cs="Helvetica"/>
          <w:sz w:val="20"/>
          <w:szCs w:val="20"/>
          <w:lang w:val="en-US"/>
        </w:rPr>
        <w:t xml:space="preserve"> </w:t>
      </w:r>
      <w:r w:rsidRPr="00D869E3">
        <w:rPr>
          <w:rFonts w:ascii="Verdana" w:hAnsi="Verdana" w:cs="Helvetica"/>
          <w:sz w:val="20"/>
          <w:szCs w:val="20"/>
          <w:lang w:val="en-US"/>
        </w:rPr>
        <w:t xml:space="preserve">and these must be </w:t>
      </w:r>
      <w:r w:rsidR="00FF034F" w:rsidRPr="00D869E3">
        <w:rPr>
          <w:rFonts w:ascii="Verdana" w:hAnsi="Verdana" w:cs="Helvetica"/>
          <w:sz w:val="20"/>
          <w:szCs w:val="20"/>
          <w:lang w:val="en-US"/>
        </w:rPr>
        <w:t xml:space="preserve"> conducted</w:t>
      </w:r>
      <w:r w:rsidRPr="00D869E3">
        <w:rPr>
          <w:rFonts w:ascii="Verdana" w:hAnsi="Verdana" w:cs="Helvetica"/>
          <w:sz w:val="20"/>
          <w:szCs w:val="20"/>
          <w:lang w:val="en-US"/>
        </w:rPr>
        <w:t xml:space="preserve"> </w:t>
      </w:r>
      <w:r w:rsidR="00FF034F" w:rsidRPr="00D869E3">
        <w:rPr>
          <w:rFonts w:ascii="Verdana" w:hAnsi="Verdana" w:cs="Helvetica"/>
          <w:sz w:val="20"/>
          <w:szCs w:val="20"/>
          <w:lang w:val="en-US"/>
        </w:rPr>
        <w:t>in keeping with</w:t>
      </w:r>
      <w:r w:rsidRPr="00D869E3">
        <w:rPr>
          <w:rFonts w:ascii="Verdana" w:hAnsi="Verdana" w:cs="Helvetica"/>
          <w:sz w:val="20"/>
          <w:szCs w:val="20"/>
          <w:lang w:val="en-US"/>
        </w:rPr>
        <w:t xml:space="preserve"> the rules of due process of law.</w:t>
      </w:r>
      <w:r w:rsidR="00E66DD7" w:rsidRPr="00D869E3">
        <w:rPr>
          <w:rFonts w:ascii="Verdana" w:hAnsi="Verdana" w:cs="Helvetica"/>
          <w:sz w:val="20"/>
          <w:szCs w:val="20"/>
          <w:vertAlign w:val="superscript"/>
          <w:lang w:val="en-US"/>
        </w:rPr>
        <w:footnoteReference w:id="247"/>
      </w:r>
      <w:r w:rsidR="00E66DD7" w:rsidRPr="00D869E3">
        <w:rPr>
          <w:rFonts w:ascii="Verdana" w:hAnsi="Verdana" w:cs="Helvetica"/>
          <w:sz w:val="20"/>
          <w:szCs w:val="20"/>
          <w:lang w:val="en-US"/>
        </w:rPr>
        <w:t xml:space="preserve"> </w:t>
      </w:r>
      <w:r w:rsidRPr="00D869E3">
        <w:rPr>
          <w:rFonts w:ascii="Verdana" w:hAnsi="Verdana" w:cs="Helvetica"/>
          <w:sz w:val="20"/>
          <w:szCs w:val="20"/>
          <w:lang w:val="en-US"/>
        </w:rPr>
        <w:t>Thus, an effective remedy means that the competent authority’s analysis of a judicial remedy cannot be reduced to a mere formality; rather it must examine the reasons cited by the plaintiff and rule on them expressly.</w:t>
      </w:r>
      <w:r w:rsidR="00E66DD7" w:rsidRPr="00D869E3">
        <w:rPr>
          <w:rFonts w:ascii="Verdana" w:hAnsi="Verdana" w:cs="Helvetica"/>
          <w:sz w:val="20"/>
          <w:szCs w:val="20"/>
          <w:vertAlign w:val="superscript"/>
          <w:lang w:val="en-US"/>
        </w:rPr>
        <w:footnoteReference w:id="248"/>
      </w:r>
      <w:r w:rsidRPr="00D869E3">
        <w:rPr>
          <w:rFonts w:ascii="Verdana" w:hAnsi="Verdana" w:cs="Helvetica"/>
          <w:sz w:val="20"/>
          <w:szCs w:val="20"/>
          <w:lang w:val="en-US"/>
        </w:rPr>
        <w:t xml:space="preserve"> Accordingly, this effectiveness supposes that, in addition to the formal existence of remedies, these must provide results or </w:t>
      </w:r>
      <w:r w:rsidR="00FF034F" w:rsidRPr="00D869E3">
        <w:rPr>
          <w:rFonts w:ascii="Verdana" w:hAnsi="Verdana" w:cs="Helvetica"/>
          <w:sz w:val="20"/>
          <w:szCs w:val="20"/>
          <w:lang w:val="en-US"/>
        </w:rPr>
        <w:t>answers</w:t>
      </w:r>
      <w:r w:rsidRPr="00D869E3">
        <w:rPr>
          <w:rFonts w:ascii="Verdana" w:hAnsi="Verdana" w:cs="Helvetica"/>
          <w:sz w:val="20"/>
          <w:szCs w:val="20"/>
          <w:lang w:val="en-US"/>
        </w:rPr>
        <w:t xml:space="preserve"> to the violations of rights established in either</w:t>
      </w:r>
      <w:r w:rsidR="00E66DD7" w:rsidRPr="00D869E3">
        <w:rPr>
          <w:rFonts w:ascii="Verdana" w:hAnsi="Verdana" w:cs="Helvetica"/>
          <w:sz w:val="20"/>
          <w:szCs w:val="20"/>
          <w:lang w:val="en-US"/>
        </w:rPr>
        <w:t xml:space="preserve"> </w:t>
      </w:r>
      <w:r w:rsidR="00447C65" w:rsidRPr="00D869E3">
        <w:rPr>
          <w:rFonts w:ascii="Verdana" w:hAnsi="Verdana" w:cs="Helvetica"/>
          <w:sz w:val="20"/>
          <w:szCs w:val="20"/>
          <w:lang w:val="en-US"/>
        </w:rPr>
        <w:t>the Convention</w:t>
      </w:r>
      <w:r w:rsidRPr="00D869E3">
        <w:rPr>
          <w:rFonts w:ascii="Verdana" w:hAnsi="Verdana" w:cs="Helvetica"/>
          <w:sz w:val="20"/>
          <w:szCs w:val="20"/>
          <w:lang w:val="en-US"/>
        </w:rPr>
        <w:t xml:space="preserve"> or</w:t>
      </w:r>
      <w:r w:rsidR="00E66DD7" w:rsidRPr="00D869E3">
        <w:rPr>
          <w:rFonts w:ascii="Verdana" w:hAnsi="Verdana" w:cs="Helvetica"/>
          <w:sz w:val="20"/>
          <w:szCs w:val="20"/>
          <w:lang w:val="en-US"/>
        </w:rPr>
        <w:t xml:space="preserve"> </w:t>
      </w:r>
      <w:r w:rsidRPr="00D869E3">
        <w:rPr>
          <w:rFonts w:ascii="Verdana" w:hAnsi="Verdana" w:cs="Helvetica"/>
          <w:sz w:val="20"/>
          <w:szCs w:val="20"/>
          <w:lang w:val="en-US"/>
        </w:rPr>
        <w:t>the Constitution or by law</w:t>
      </w:r>
      <w:r w:rsidR="00E66DD7" w:rsidRPr="00D869E3">
        <w:rPr>
          <w:rFonts w:ascii="Verdana" w:hAnsi="Verdana" w:cs="Helvetica"/>
          <w:sz w:val="20"/>
          <w:szCs w:val="20"/>
          <w:lang w:val="en-US"/>
        </w:rPr>
        <w:t xml:space="preserve">. </w:t>
      </w:r>
    </w:p>
    <w:p w14:paraId="1EBA9695" w14:textId="77777777" w:rsidR="00E66DD7" w:rsidRPr="00D869E3" w:rsidRDefault="00E66DD7" w:rsidP="00E66DD7">
      <w:pPr>
        <w:contextualSpacing/>
        <w:jc w:val="both"/>
        <w:rPr>
          <w:rFonts w:ascii="Verdana" w:hAnsi="Verdana"/>
          <w:sz w:val="20"/>
          <w:szCs w:val="20"/>
          <w:lang w:val="en-US"/>
        </w:rPr>
      </w:pPr>
    </w:p>
    <w:p w14:paraId="772F8D3F" w14:textId="640D07C1" w:rsidR="00E66DD7" w:rsidRPr="00D869E3" w:rsidRDefault="008A0E87" w:rsidP="00E66DD7">
      <w:pPr>
        <w:numPr>
          <w:ilvl w:val="0"/>
          <w:numId w:val="1"/>
        </w:numPr>
        <w:ind w:left="0" w:firstLine="0"/>
        <w:contextualSpacing/>
        <w:jc w:val="both"/>
        <w:rPr>
          <w:rFonts w:ascii="Verdana" w:hAnsi="Verdana"/>
          <w:sz w:val="20"/>
          <w:szCs w:val="20"/>
          <w:lang w:val="en-US"/>
        </w:rPr>
      </w:pPr>
      <w:r w:rsidRPr="00D869E3">
        <w:rPr>
          <w:rFonts w:ascii="Verdana" w:hAnsi="Verdana"/>
          <w:sz w:val="20"/>
          <w:szCs w:val="20"/>
          <w:lang w:val="en-US"/>
        </w:rPr>
        <w:t>The Court will now analyze whether</w:t>
      </w:r>
      <w:r w:rsidR="00FF034F" w:rsidRPr="00D869E3">
        <w:rPr>
          <w:rFonts w:ascii="Verdana" w:hAnsi="Verdana"/>
          <w:sz w:val="20"/>
          <w:szCs w:val="20"/>
          <w:lang w:val="en-US"/>
        </w:rPr>
        <w:t>, based on his dismissal,</w:t>
      </w:r>
      <w:r w:rsidRPr="00D869E3">
        <w:rPr>
          <w:rFonts w:ascii="Verdana" w:hAnsi="Verdana"/>
          <w:sz w:val="20"/>
          <w:szCs w:val="20"/>
          <w:lang w:val="en-US"/>
        </w:rPr>
        <w:t xml:space="preserve"> </w:t>
      </w:r>
      <w:r w:rsidR="00EE0BD4" w:rsidRPr="00D869E3">
        <w:rPr>
          <w:rFonts w:ascii="Verdana" w:hAnsi="Verdana"/>
          <w:sz w:val="20"/>
          <w:szCs w:val="20"/>
          <w:lang w:val="en-US"/>
        </w:rPr>
        <w:t>Mr. Lagos</w:t>
      </w:r>
      <w:r w:rsidR="00E66DD7" w:rsidRPr="00D869E3">
        <w:rPr>
          <w:rFonts w:ascii="Verdana" w:hAnsi="Verdana"/>
          <w:sz w:val="20"/>
          <w:szCs w:val="20"/>
          <w:lang w:val="en-US"/>
        </w:rPr>
        <w:t xml:space="preserve"> del Campo </w:t>
      </w:r>
      <w:r w:rsidRPr="00D869E3">
        <w:rPr>
          <w:rFonts w:ascii="Verdana" w:hAnsi="Verdana"/>
          <w:sz w:val="20"/>
          <w:szCs w:val="20"/>
          <w:lang w:val="en-US"/>
        </w:rPr>
        <w:t>was guarantee</w:t>
      </w:r>
      <w:r w:rsidR="00FF034F" w:rsidRPr="00D869E3">
        <w:rPr>
          <w:rFonts w:ascii="Verdana" w:hAnsi="Verdana"/>
          <w:sz w:val="20"/>
          <w:szCs w:val="20"/>
          <w:lang w:val="en-US"/>
        </w:rPr>
        <w:t>d</w:t>
      </w:r>
      <w:r w:rsidR="00E66DD7" w:rsidRPr="00D869E3">
        <w:rPr>
          <w:rFonts w:ascii="Verdana" w:hAnsi="Verdana"/>
          <w:sz w:val="20"/>
          <w:szCs w:val="20"/>
          <w:lang w:val="en-US"/>
        </w:rPr>
        <w:t xml:space="preserve"> </w:t>
      </w:r>
      <w:r w:rsidR="00901386" w:rsidRPr="00D869E3">
        <w:rPr>
          <w:rFonts w:ascii="Verdana" w:hAnsi="Verdana"/>
          <w:sz w:val="20"/>
          <w:szCs w:val="20"/>
          <w:lang w:val="en-US"/>
        </w:rPr>
        <w:t>access to justice</w:t>
      </w:r>
      <w:r w:rsidR="00E66DD7" w:rsidRPr="00D869E3">
        <w:rPr>
          <w:rFonts w:ascii="Verdana" w:hAnsi="Verdana"/>
          <w:sz w:val="20"/>
          <w:szCs w:val="20"/>
          <w:lang w:val="en-US"/>
        </w:rPr>
        <w:t xml:space="preserve"> </w:t>
      </w:r>
      <w:r w:rsidR="00A91C7C" w:rsidRPr="00D869E3">
        <w:rPr>
          <w:rFonts w:ascii="Verdana" w:hAnsi="Verdana"/>
          <w:sz w:val="20"/>
          <w:szCs w:val="20"/>
          <w:lang w:val="en-US"/>
        </w:rPr>
        <w:t>in relation to the rights alleged at the appeals stage.</w:t>
      </w:r>
    </w:p>
    <w:p w14:paraId="764A8FC9" w14:textId="77777777" w:rsidR="00E66DD7" w:rsidRPr="00D869E3" w:rsidRDefault="00E66DD7" w:rsidP="00E66DD7">
      <w:pPr>
        <w:contextualSpacing/>
        <w:jc w:val="both"/>
        <w:rPr>
          <w:rFonts w:ascii="Verdana" w:hAnsi="Verdana" w:cs="Helvetica"/>
          <w:sz w:val="20"/>
          <w:szCs w:val="20"/>
          <w:lang w:val="en-US"/>
        </w:rPr>
      </w:pPr>
    </w:p>
    <w:p w14:paraId="257B136C" w14:textId="381F9789" w:rsidR="00E66DD7" w:rsidRPr="00D869E3" w:rsidRDefault="00447C65" w:rsidP="00E66DD7">
      <w:pPr>
        <w:numPr>
          <w:ilvl w:val="0"/>
          <w:numId w:val="1"/>
        </w:numPr>
        <w:ind w:left="0" w:firstLine="0"/>
        <w:contextualSpacing/>
        <w:jc w:val="both"/>
        <w:rPr>
          <w:rFonts w:ascii="Verdana" w:hAnsi="Verdana"/>
          <w:sz w:val="20"/>
          <w:szCs w:val="20"/>
          <w:lang w:val="en-US"/>
        </w:rPr>
      </w:pPr>
      <w:r w:rsidRPr="00D869E3">
        <w:rPr>
          <w:rFonts w:ascii="Verdana" w:hAnsi="Verdana"/>
          <w:sz w:val="20"/>
          <w:szCs w:val="20"/>
          <w:lang w:val="en-US"/>
        </w:rPr>
        <w:t>The Court</w:t>
      </w:r>
      <w:r w:rsidR="00E66DD7" w:rsidRPr="00D869E3">
        <w:rPr>
          <w:rFonts w:ascii="Verdana" w:hAnsi="Verdana"/>
          <w:sz w:val="20"/>
          <w:szCs w:val="20"/>
          <w:lang w:val="en-US"/>
        </w:rPr>
        <w:t xml:space="preserve"> rec</w:t>
      </w:r>
      <w:r w:rsidR="00D23E42" w:rsidRPr="00D869E3">
        <w:rPr>
          <w:rFonts w:ascii="Verdana" w:hAnsi="Verdana"/>
          <w:sz w:val="20"/>
          <w:szCs w:val="20"/>
          <w:lang w:val="en-US"/>
        </w:rPr>
        <w:t xml:space="preserve">alls that, in light of the decision of the trial judge of June 25, 1991, that the dismissal was unjustified, Ceper-Pirelli filed an appeal before the </w:t>
      </w:r>
      <w:r w:rsidR="00DB128C" w:rsidRPr="00D869E3">
        <w:rPr>
          <w:rFonts w:ascii="Verdana" w:hAnsi="Verdana"/>
          <w:sz w:val="20"/>
          <w:szCs w:val="20"/>
          <w:lang w:val="en-US"/>
        </w:rPr>
        <w:t>Second</w:t>
      </w:r>
      <w:r w:rsidR="00E66DD7" w:rsidRPr="00D869E3">
        <w:rPr>
          <w:rFonts w:ascii="Verdana" w:hAnsi="Verdana"/>
          <w:sz w:val="20"/>
          <w:szCs w:val="20"/>
          <w:lang w:val="en-US"/>
        </w:rPr>
        <w:t xml:space="preserve"> </w:t>
      </w:r>
      <w:r w:rsidR="003506CC" w:rsidRPr="00D869E3">
        <w:rPr>
          <w:rFonts w:ascii="Verdana" w:hAnsi="Verdana"/>
          <w:sz w:val="20"/>
          <w:szCs w:val="20"/>
          <w:lang w:val="en-US"/>
        </w:rPr>
        <w:t>Labor Court</w:t>
      </w:r>
      <w:r w:rsidR="00D23E42" w:rsidRPr="00D869E3">
        <w:rPr>
          <w:rFonts w:ascii="Verdana" w:hAnsi="Verdana"/>
          <w:sz w:val="20"/>
          <w:szCs w:val="20"/>
          <w:lang w:val="en-US"/>
        </w:rPr>
        <w:t xml:space="preserve"> to revoke the first instance judgment.</w:t>
      </w:r>
      <w:r w:rsidR="00E66DD7" w:rsidRPr="00D869E3">
        <w:rPr>
          <w:rFonts w:ascii="Verdana" w:hAnsi="Verdana"/>
          <w:sz w:val="20"/>
          <w:szCs w:val="20"/>
          <w:vertAlign w:val="superscript"/>
          <w:lang w:val="en-US"/>
        </w:rPr>
        <w:footnoteReference w:id="249"/>
      </w:r>
      <w:r w:rsidR="00E66DD7" w:rsidRPr="00D869E3">
        <w:rPr>
          <w:rFonts w:ascii="Verdana" w:hAnsi="Verdana"/>
          <w:sz w:val="20"/>
          <w:szCs w:val="20"/>
          <w:lang w:val="en-US"/>
        </w:rPr>
        <w:t xml:space="preserve"> </w:t>
      </w:r>
      <w:r w:rsidR="00D23E42" w:rsidRPr="00D869E3">
        <w:rPr>
          <w:rFonts w:ascii="Verdana" w:hAnsi="Verdana"/>
          <w:sz w:val="20"/>
          <w:szCs w:val="20"/>
          <w:lang w:val="en-US"/>
        </w:rPr>
        <w:t>That same day,</w:t>
      </w:r>
      <w:r w:rsidR="00E66DD7" w:rsidRPr="00D869E3">
        <w:rPr>
          <w:rFonts w:ascii="Verdana" w:hAnsi="Verdana"/>
          <w:sz w:val="20"/>
          <w:szCs w:val="20"/>
          <w:lang w:val="en-US"/>
        </w:rPr>
        <w:t xml:space="preserve"> </w:t>
      </w:r>
      <w:r w:rsidR="003506CC" w:rsidRPr="00D869E3">
        <w:rPr>
          <w:rFonts w:ascii="Verdana" w:hAnsi="Verdana"/>
          <w:sz w:val="20"/>
          <w:szCs w:val="20"/>
          <w:lang w:val="en-US"/>
        </w:rPr>
        <w:t>the Second Labor Court</w:t>
      </w:r>
      <w:r w:rsidR="00D23E42" w:rsidRPr="00D869E3">
        <w:rPr>
          <w:rFonts w:ascii="Verdana" w:hAnsi="Verdana"/>
          <w:sz w:val="20"/>
          <w:szCs w:val="20"/>
          <w:lang w:val="en-US"/>
        </w:rPr>
        <w:t xml:space="preserve"> heard the oral </w:t>
      </w:r>
      <w:r w:rsidR="00FF034F" w:rsidRPr="00D869E3">
        <w:rPr>
          <w:rFonts w:ascii="Verdana" w:hAnsi="Verdana"/>
          <w:sz w:val="20"/>
          <w:szCs w:val="20"/>
          <w:lang w:val="en-US"/>
        </w:rPr>
        <w:t>submissions</w:t>
      </w:r>
      <w:r w:rsidR="00E66DD7" w:rsidRPr="00D869E3">
        <w:rPr>
          <w:rFonts w:ascii="Verdana" w:hAnsi="Verdana"/>
          <w:sz w:val="20"/>
          <w:szCs w:val="20"/>
          <w:lang w:val="en-US"/>
        </w:rPr>
        <w:t xml:space="preserve"> </w:t>
      </w:r>
      <w:r w:rsidR="00687684" w:rsidRPr="00D869E3">
        <w:rPr>
          <w:rFonts w:ascii="Verdana" w:hAnsi="Verdana"/>
          <w:sz w:val="20"/>
          <w:szCs w:val="20"/>
          <w:lang w:val="en-US"/>
        </w:rPr>
        <w:t>of the</w:t>
      </w:r>
      <w:r w:rsidR="00D23E42" w:rsidRPr="00D869E3">
        <w:rPr>
          <w:rFonts w:ascii="Verdana" w:hAnsi="Verdana"/>
          <w:sz w:val="20"/>
          <w:szCs w:val="20"/>
          <w:lang w:val="en-US"/>
        </w:rPr>
        <w:t xml:space="preserve"> company’s</w:t>
      </w:r>
      <w:r w:rsidR="00687684" w:rsidRPr="00D869E3">
        <w:rPr>
          <w:rFonts w:ascii="Verdana" w:hAnsi="Verdana"/>
          <w:sz w:val="20"/>
          <w:szCs w:val="20"/>
          <w:lang w:val="en-US"/>
        </w:rPr>
        <w:t xml:space="preserve"> representatives</w:t>
      </w:r>
      <w:r w:rsidR="00E66DD7" w:rsidRPr="00D869E3">
        <w:rPr>
          <w:rFonts w:ascii="Verdana" w:hAnsi="Verdana"/>
          <w:sz w:val="20"/>
          <w:szCs w:val="20"/>
          <w:lang w:val="en-US"/>
        </w:rPr>
        <w:t xml:space="preserve">. </w:t>
      </w:r>
      <w:r w:rsidR="00D23E42" w:rsidRPr="00D869E3">
        <w:rPr>
          <w:rFonts w:ascii="Verdana" w:hAnsi="Verdana"/>
          <w:sz w:val="20"/>
          <w:szCs w:val="20"/>
          <w:lang w:val="en-US"/>
        </w:rPr>
        <w:t>Subsequently, the company presented two briefs on June 25 and July 3, 1991, which were processed on July 15, 1991</w:t>
      </w:r>
      <w:r w:rsidR="00E66DD7" w:rsidRPr="00D869E3">
        <w:rPr>
          <w:rFonts w:ascii="Verdana" w:hAnsi="Verdana"/>
          <w:sz w:val="20"/>
          <w:szCs w:val="20"/>
          <w:lang w:val="en-US"/>
        </w:rPr>
        <w:t xml:space="preserve">. </w:t>
      </w:r>
      <w:r w:rsidR="001E44D3" w:rsidRPr="00D869E3">
        <w:rPr>
          <w:rFonts w:ascii="Verdana" w:hAnsi="Verdana"/>
          <w:sz w:val="20"/>
          <w:szCs w:val="20"/>
          <w:lang w:val="en-US"/>
        </w:rPr>
        <w:t>Mr. Lagos del Campo</w:t>
      </w:r>
      <w:r w:rsidR="00E66DD7" w:rsidRPr="00D869E3">
        <w:rPr>
          <w:rFonts w:ascii="Verdana" w:hAnsi="Verdana"/>
          <w:sz w:val="20"/>
          <w:szCs w:val="20"/>
          <w:lang w:val="en-US"/>
        </w:rPr>
        <w:t xml:space="preserve"> </w:t>
      </w:r>
      <w:r w:rsidR="00D23E42" w:rsidRPr="00D869E3">
        <w:rPr>
          <w:rFonts w:ascii="Verdana" w:hAnsi="Verdana"/>
          <w:sz w:val="20"/>
          <w:szCs w:val="20"/>
          <w:lang w:val="en-US"/>
        </w:rPr>
        <w:t>received the respective notification on July 23,</w:t>
      </w:r>
      <w:r w:rsidR="00E66DD7" w:rsidRPr="00D869E3">
        <w:rPr>
          <w:rFonts w:ascii="Verdana" w:hAnsi="Verdana"/>
          <w:sz w:val="20"/>
          <w:szCs w:val="20"/>
          <w:lang w:val="en-US"/>
        </w:rPr>
        <w:t xml:space="preserve"> 1991. </w:t>
      </w:r>
    </w:p>
    <w:p w14:paraId="7DA4E462" w14:textId="77777777" w:rsidR="00E66DD7" w:rsidRPr="00D869E3" w:rsidRDefault="00E66DD7" w:rsidP="00E66DD7">
      <w:pPr>
        <w:contextualSpacing/>
        <w:jc w:val="both"/>
        <w:rPr>
          <w:rFonts w:ascii="Verdana" w:hAnsi="Verdana"/>
          <w:sz w:val="20"/>
          <w:szCs w:val="20"/>
          <w:lang w:val="en-US"/>
        </w:rPr>
      </w:pPr>
    </w:p>
    <w:p w14:paraId="39DA6EC0" w14:textId="2E579739" w:rsidR="00E66DD7" w:rsidRPr="00D869E3" w:rsidRDefault="001E44D3" w:rsidP="00E66DD7">
      <w:pPr>
        <w:numPr>
          <w:ilvl w:val="0"/>
          <w:numId w:val="1"/>
        </w:numPr>
        <w:ind w:left="0" w:firstLine="0"/>
        <w:contextualSpacing/>
        <w:jc w:val="both"/>
        <w:rPr>
          <w:rFonts w:ascii="Verdana" w:hAnsi="Verdana"/>
          <w:sz w:val="20"/>
          <w:szCs w:val="20"/>
          <w:lang w:val="en-US"/>
        </w:rPr>
      </w:pPr>
      <w:r w:rsidRPr="00D869E3">
        <w:rPr>
          <w:rFonts w:ascii="Verdana" w:hAnsi="Verdana"/>
          <w:sz w:val="20"/>
          <w:szCs w:val="20"/>
          <w:lang w:val="en-US"/>
        </w:rPr>
        <w:t>Mr. Lagos del Campo</w:t>
      </w:r>
      <w:r w:rsidR="00E66DD7" w:rsidRPr="00D869E3">
        <w:rPr>
          <w:rFonts w:ascii="Verdana" w:hAnsi="Verdana"/>
          <w:sz w:val="20"/>
          <w:szCs w:val="20"/>
          <w:lang w:val="en-US"/>
        </w:rPr>
        <w:t xml:space="preserve"> </w:t>
      </w:r>
      <w:r w:rsidR="00D23E42" w:rsidRPr="00D869E3">
        <w:rPr>
          <w:rFonts w:ascii="Verdana" w:hAnsi="Verdana"/>
          <w:sz w:val="20"/>
          <w:szCs w:val="20"/>
          <w:lang w:val="en-US"/>
        </w:rPr>
        <w:t>submitted his answer to those briefs to the Second Labor Court on August 1, 1991.</w:t>
      </w:r>
      <w:r w:rsidR="00E66DD7" w:rsidRPr="00D869E3">
        <w:rPr>
          <w:rFonts w:ascii="Verdana" w:hAnsi="Verdana"/>
          <w:sz w:val="20"/>
          <w:szCs w:val="20"/>
          <w:vertAlign w:val="superscript"/>
          <w:lang w:val="en-US"/>
        </w:rPr>
        <w:footnoteReference w:id="250"/>
      </w:r>
      <w:r w:rsidR="00D23E42" w:rsidRPr="00D869E3">
        <w:rPr>
          <w:rFonts w:ascii="Verdana" w:hAnsi="Verdana"/>
          <w:sz w:val="20"/>
          <w:szCs w:val="20"/>
          <w:lang w:val="en-US"/>
        </w:rPr>
        <w:t xml:space="preserve"> However, his brief was only processed by </w:t>
      </w:r>
      <w:r w:rsidR="00447C65" w:rsidRPr="00D869E3">
        <w:rPr>
          <w:rFonts w:ascii="Verdana" w:hAnsi="Verdana"/>
          <w:sz w:val="20"/>
          <w:szCs w:val="20"/>
          <w:lang w:val="en-US"/>
        </w:rPr>
        <w:t xml:space="preserve">the </w:t>
      </w:r>
      <w:r w:rsidR="003506CC" w:rsidRPr="00D869E3">
        <w:rPr>
          <w:rFonts w:ascii="Verdana" w:hAnsi="Verdana"/>
          <w:sz w:val="20"/>
          <w:szCs w:val="20"/>
          <w:lang w:val="en-US"/>
        </w:rPr>
        <w:t>Labor Court</w:t>
      </w:r>
      <w:r w:rsidR="00E66DD7" w:rsidRPr="00D869E3">
        <w:rPr>
          <w:rFonts w:ascii="Verdana" w:hAnsi="Verdana"/>
          <w:sz w:val="20"/>
          <w:szCs w:val="20"/>
          <w:lang w:val="en-US"/>
        </w:rPr>
        <w:t xml:space="preserve"> </w:t>
      </w:r>
      <w:r w:rsidR="00D23E42" w:rsidRPr="00D869E3">
        <w:rPr>
          <w:rFonts w:ascii="Verdana" w:hAnsi="Verdana"/>
          <w:sz w:val="20"/>
          <w:szCs w:val="20"/>
          <w:lang w:val="en-US"/>
        </w:rPr>
        <w:t>on August 9,</w:t>
      </w:r>
      <w:r w:rsidR="00E66DD7" w:rsidRPr="00D869E3">
        <w:rPr>
          <w:rFonts w:ascii="Verdana" w:hAnsi="Verdana"/>
          <w:sz w:val="20"/>
          <w:szCs w:val="20"/>
          <w:lang w:val="en-US"/>
        </w:rPr>
        <w:t xml:space="preserve"> 1991, </w:t>
      </w:r>
      <w:r w:rsidR="00D23E42" w:rsidRPr="00D869E3">
        <w:rPr>
          <w:rFonts w:ascii="Verdana" w:hAnsi="Verdana"/>
          <w:sz w:val="20"/>
          <w:szCs w:val="20"/>
          <w:lang w:val="en-US"/>
        </w:rPr>
        <w:t>after it had delivered judgment deciding to revoke the first instance judgment</w:t>
      </w:r>
      <w:r w:rsidR="00E66DD7" w:rsidRPr="00D869E3">
        <w:rPr>
          <w:rFonts w:ascii="Verdana" w:hAnsi="Verdana"/>
          <w:sz w:val="20"/>
          <w:szCs w:val="20"/>
          <w:lang w:val="en-US"/>
        </w:rPr>
        <w:t xml:space="preserve"> (</w:t>
      </w:r>
      <w:r w:rsidR="001E3B42" w:rsidRPr="00D869E3">
        <w:rPr>
          <w:rFonts w:ascii="Verdana" w:hAnsi="Verdana"/>
          <w:sz w:val="20"/>
          <w:szCs w:val="20"/>
          <w:lang w:val="en-US"/>
        </w:rPr>
        <w:t>August 8,</w:t>
      </w:r>
      <w:r w:rsidR="00E66DD7" w:rsidRPr="00D869E3">
        <w:rPr>
          <w:rFonts w:ascii="Verdana" w:hAnsi="Verdana"/>
          <w:sz w:val="20"/>
          <w:szCs w:val="20"/>
          <w:lang w:val="en-US"/>
        </w:rPr>
        <w:t xml:space="preserve"> 1991).</w:t>
      </w:r>
    </w:p>
    <w:p w14:paraId="0BD78BDA" w14:textId="77777777" w:rsidR="00E66DD7" w:rsidRPr="00D869E3" w:rsidRDefault="00E66DD7" w:rsidP="00E66DD7">
      <w:pPr>
        <w:contextualSpacing/>
        <w:jc w:val="both"/>
        <w:rPr>
          <w:rFonts w:ascii="Verdana" w:hAnsi="Verdana"/>
          <w:sz w:val="20"/>
          <w:szCs w:val="20"/>
          <w:lang w:val="en-US"/>
        </w:rPr>
      </w:pPr>
    </w:p>
    <w:p w14:paraId="671CE456" w14:textId="2299AEA5" w:rsidR="00E66DD7" w:rsidRPr="00D869E3" w:rsidRDefault="00075E68" w:rsidP="00D77CB3">
      <w:pPr>
        <w:numPr>
          <w:ilvl w:val="0"/>
          <w:numId w:val="1"/>
        </w:numPr>
        <w:ind w:left="0" w:firstLine="0"/>
        <w:contextualSpacing/>
        <w:jc w:val="both"/>
        <w:rPr>
          <w:rFonts w:ascii="Verdana" w:hAnsi="Verdana"/>
          <w:sz w:val="20"/>
          <w:szCs w:val="20"/>
          <w:lang w:val="en-US"/>
        </w:rPr>
      </w:pPr>
      <w:r w:rsidRPr="00D869E3">
        <w:rPr>
          <w:rFonts w:ascii="Verdana" w:hAnsi="Verdana"/>
          <w:sz w:val="20"/>
          <w:szCs w:val="20"/>
          <w:lang w:val="en-US"/>
        </w:rPr>
        <w:t>In this regard</w:t>
      </w:r>
      <w:r w:rsidR="00E66DD7" w:rsidRPr="00D869E3">
        <w:rPr>
          <w:rFonts w:ascii="Verdana" w:hAnsi="Verdana"/>
          <w:sz w:val="20"/>
          <w:szCs w:val="20"/>
          <w:lang w:val="en-US"/>
        </w:rPr>
        <w:t xml:space="preserve">, </w:t>
      </w:r>
      <w:r w:rsidR="00447C65" w:rsidRPr="00D869E3">
        <w:rPr>
          <w:rFonts w:ascii="Verdana" w:hAnsi="Verdana"/>
          <w:sz w:val="20"/>
          <w:szCs w:val="20"/>
          <w:lang w:val="en-US"/>
        </w:rPr>
        <w:t>the Court</w:t>
      </w:r>
      <w:r w:rsidR="00E66DD7" w:rsidRPr="00D869E3">
        <w:rPr>
          <w:rFonts w:ascii="Verdana" w:hAnsi="Verdana"/>
          <w:sz w:val="20"/>
          <w:szCs w:val="20"/>
          <w:lang w:val="en-US"/>
        </w:rPr>
        <w:t xml:space="preserve"> reitera</w:t>
      </w:r>
      <w:r w:rsidR="00D77CB3" w:rsidRPr="00D869E3">
        <w:rPr>
          <w:rFonts w:ascii="Verdana" w:hAnsi="Verdana"/>
          <w:sz w:val="20"/>
          <w:szCs w:val="20"/>
          <w:lang w:val="en-US"/>
        </w:rPr>
        <w:t>tes that States have the obligation to ensure the effectiveness of the said remedies with adequate guarantees and with rules to ensure due process of law</w:t>
      </w:r>
      <w:r w:rsidR="00AF0B80" w:rsidRPr="00D869E3">
        <w:rPr>
          <w:rFonts w:ascii="Verdana" w:hAnsi="Verdana"/>
          <w:sz w:val="20"/>
          <w:szCs w:val="20"/>
          <w:lang w:val="en-US"/>
        </w:rPr>
        <w:t xml:space="preserve"> (</w:t>
      </w:r>
      <w:r w:rsidR="00AF0B80" w:rsidRPr="00D869E3">
        <w:rPr>
          <w:rFonts w:ascii="Verdana" w:hAnsi="Verdana"/>
          <w:i/>
          <w:sz w:val="20"/>
          <w:szCs w:val="20"/>
          <w:lang w:val="en-US"/>
        </w:rPr>
        <w:t>supra</w:t>
      </w:r>
      <w:r w:rsidR="00AF0B80" w:rsidRPr="00D869E3">
        <w:rPr>
          <w:rFonts w:ascii="Verdana" w:hAnsi="Verdana"/>
          <w:sz w:val="20"/>
          <w:szCs w:val="20"/>
          <w:lang w:val="en-US"/>
        </w:rPr>
        <w:t xml:space="preserve">, </w:t>
      </w:r>
      <w:r w:rsidR="0087339F" w:rsidRPr="00D869E3">
        <w:rPr>
          <w:rFonts w:ascii="Verdana" w:hAnsi="Verdana"/>
          <w:sz w:val="20"/>
          <w:szCs w:val="20"/>
          <w:lang w:val="en-US"/>
        </w:rPr>
        <w:t>para.</w:t>
      </w:r>
      <w:r w:rsidR="00AF0B80" w:rsidRPr="00D869E3">
        <w:rPr>
          <w:rFonts w:ascii="Verdana" w:hAnsi="Verdana"/>
          <w:sz w:val="20"/>
          <w:szCs w:val="20"/>
          <w:lang w:val="en-US"/>
        </w:rPr>
        <w:t xml:space="preserve"> 76)</w:t>
      </w:r>
      <w:r w:rsidR="00E66DD7" w:rsidRPr="00D869E3">
        <w:rPr>
          <w:rFonts w:ascii="Verdana" w:hAnsi="Verdana"/>
          <w:sz w:val="20"/>
          <w:szCs w:val="20"/>
          <w:lang w:val="en-US"/>
        </w:rPr>
        <w:t>.</w:t>
      </w:r>
      <w:r w:rsidR="00E66DD7" w:rsidRPr="00D869E3">
        <w:rPr>
          <w:rFonts w:ascii="Verdana" w:hAnsi="Verdana"/>
          <w:color w:val="000000"/>
          <w:sz w:val="20"/>
          <w:szCs w:val="20"/>
          <w:lang w:val="en-US"/>
        </w:rPr>
        <w:t xml:space="preserve"> </w:t>
      </w:r>
      <w:r w:rsidR="00D77CB3" w:rsidRPr="00D869E3">
        <w:rPr>
          <w:rFonts w:ascii="Verdana" w:hAnsi="Verdana"/>
          <w:color w:val="000000"/>
          <w:sz w:val="20"/>
          <w:szCs w:val="20"/>
          <w:lang w:val="en-US"/>
        </w:rPr>
        <w:t>It should be pointed out that, pursuant to a</w:t>
      </w:r>
      <w:r w:rsidR="00447C65" w:rsidRPr="00D869E3">
        <w:rPr>
          <w:rFonts w:ascii="Verdana" w:hAnsi="Verdana"/>
          <w:color w:val="000000"/>
          <w:sz w:val="20"/>
          <w:szCs w:val="20"/>
          <w:lang w:val="en-US"/>
        </w:rPr>
        <w:t>rticle</w:t>
      </w:r>
      <w:r w:rsidR="00E66DD7" w:rsidRPr="00D869E3">
        <w:rPr>
          <w:rFonts w:ascii="Verdana" w:hAnsi="Verdana"/>
          <w:sz w:val="20"/>
          <w:szCs w:val="20"/>
          <w:lang w:val="en-US"/>
        </w:rPr>
        <w:t xml:space="preserve"> 233 </w:t>
      </w:r>
      <w:r w:rsidR="001E3B42" w:rsidRPr="00D869E3">
        <w:rPr>
          <w:rFonts w:ascii="Verdana" w:hAnsi="Verdana"/>
          <w:sz w:val="20"/>
          <w:szCs w:val="20"/>
          <w:lang w:val="en-US"/>
        </w:rPr>
        <w:t xml:space="preserve">of the </w:t>
      </w:r>
      <w:r w:rsidR="00D77CB3" w:rsidRPr="00D869E3">
        <w:rPr>
          <w:rFonts w:ascii="Verdana" w:hAnsi="Verdana"/>
          <w:sz w:val="20"/>
          <w:szCs w:val="20"/>
          <w:lang w:val="en-US"/>
        </w:rPr>
        <w:t xml:space="preserve">1979 Peruvian </w:t>
      </w:r>
      <w:r w:rsidR="001E3B42" w:rsidRPr="00D869E3">
        <w:rPr>
          <w:rFonts w:ascii="Verdana" w:hAnsi="Verdana"/>
          <w:sz w:val="20"/>
          <w:szCs w:val="20"/>
          <w:lang w:val="en-US"/>
        </w:rPr>
        <w:t>Constitution</w:t>
      </w:r>
      <w:r w:rsidR="00D77CB3" w:rsidRPr="00D869E3">
        <w:rPr>
          <w:rFonts w:ascii="Verdana" w:hAnsi="Verdana"/>
          <w:sz w:val="20"/>
          <w:szCs w:val="20"/>
          <w:lang w:val="en-US"/>
        </w:rPr>
        <w:t>, the proper administration of justice required “</w:t>
      </w:r>
      <w:r w:rsidR="00FF034F" w:rsidRPr="00D869E3">
        <w:rPr>
          <w:rFonts w:ascii="Verdana" w:hAnsi="Verdana"/>
          <w:sz w:val="20"/>
          <w:szCs w:val="20"/>
          <w:lang w:val="en-US"/>
        </w:rPr>
        <w:t>the</w:t>
      </w:r>
      <w:r w:rsidR="00D77CB3" w:rsidRPr="00D869E3">
        <w:rPr>
          <w:rFonts w:ascii="Verdana" w:hAnsi="Verdana"/>
          <w:sz w:val="20"/>
          <w:szCs w:val="20"/>
          <w:lang w:val="en-US"/>
        </w:rPr>
        <w:t xml:space="preserve"> statement of the reasons for the decisions, in all instances, that expressly mention[ed] the applicable law and the grounds that substantiate</w:t>
      </w:r>
      <w:r w:rsidR="009B63FE" w:rsidRPr="00D869E3">
        <w:rPr>
          <w:rFonts w:ascii="Verdana" w:hAnsi="Verdana"/>
          <w:sz w:val="20"/>
          <w:szCs w:val="20"/>
          <w:lang w:val="en-US"/>
        </w:rPr>
        <w:t>[d]</w:t>
      </w:r>
      <w:r w:rsidR="00C76F05" w:rsidRPr="00D869E3">
        <w:rPr>
          <w:rFonts w:ascii="Verdana" w:hAnsi="Verdana"/>
          <w:sz w:val="20"/>
          <w:szCs w:val="20"/>
          <w:lang w:val="en-US"/>
        </w:rPr>
        <w:t xml:space="preserve"> them.</w:t>
      </w:r>
      <w:r w:rsidR="00D77CB3" w:rsidRPr="00D869E3">
        <w:rPr>
          <w:rFonts w:ascii="Verdana" w:hAnsi="Verdana"/>
          <w:sz w:val="20"/>
          <w:szCs w:val="20"/>
          <w:lang w:val="en-US"/>
        </w:rPr>
        <w:t>”</w:t>
      </w:r>
      <w:r w:rsidR="00E66DD7" w:rsidRPr="00D869E3">
        <w:rPr>
          <w:rFonts w:ascii="Verdana" w:hAnsi="Verdana"/>
          <w:color w:val="000000"/>
          <w:sz w:val="20"/>
          <w:szCs w:val="20"/>
          <w:vertAlign w:val="superscript"/>
          <w:lang w:val="en-US"/>
        </w:rPr>
        <w:footnoteReference w:id="251"/>
      </w:r>
    </w:p>
    <w:p w14:paraId="5A70B5A5" w14:textId="77777777" w:rsidR="00E66DD7" w:rsidRPr="00D869E3" w:rsidRDefault="00E66DD7" w:rsidP="00E66DD7">
      <w:pPr>
        <w:contextualSpacing/>
        <w:jc w:val="both"/>
        <w:rPr>
          <w:rFonts w:ascii="Verdana" w:hAnsi="Verdana"/>
          <w:sz w:val="20"/>
          <w:szCs w:val="20"/>
          <w:lang w:val="en-US"/>
        </w:rPr>
      </w:pPr>
    </w:p>
    <w:p w14:paraId="0A83B126" w14:textId="3317CC3F" w:rsidR="009B63FE" w:rsidRPr="00D869E3" w:rsidRDefault="00447C65" w:rsidP="00E66DD7">
      <w:pPr>
        <w:numPr>
          <w:ilvl w:val="0"/>
          <w:numId w:val="1"/>
        </w:numPr>
        <w:ind w:left="0" w:firstLine="0"/>
        <w:contextualSpacing/>
        <w:jc w:val="both"/>
        <w:rPr>
          <w:rFonts w:ascii="Verdana" w:hAnsi="Verdana"/>
          <w:sz w:val="20"/>
          <w:szCs w:val="20"/>
          <w:lang w:val="en-US"/>
        </w:rPr>
      </w:pPr>
      <w:r w:rsidRPr="00D869E3">
        <w:rPr>
          <w:rFonts w:ascii="Verdana" w:hAnsi="Verdana"/>
          <w:sz w:val="20"/>
          <w:szCs w:val="20"/>
          <w:lang w:val="en-US"/>
        </w:rPr>
        <w:t>The Court</w:t>
      </w:r>
      <w:r w:rsidR="00E66DD7" w:rsidRPr="00D869E3">
        <w:rPr>
          <w:rFonts w:ascii="Verdana" w:hAnsi="Verdana"/>
          <w:sz w:val="20"/>
          <w:szCs w:val="20"/>
          <w:lang w:val="en-US"/>
        </w:rPr>
        <w:t xml:space="preserve"> not</w:t>
      </w:r>
      <w:r w:rsidR="009B63FE" w:rsidRPr="00D869E3">
        <w:rPr>
          <w:rFonts w:ascii="Verdana" w:hAnsi="Verdana"/>
          <w:sz w:val="20"/>
          <w:szCs w:val="20"/>
          <w:lang w:val="en-US"/>
        </w:rPr>
        <w:t xml:space="preserve">es that, at the domestic level, </w:t>
      </w:r>
      <w:r w:rsidR="001E44D3" w:rsidRPr="00D869E3">
        <w:rPr>
          <w:rFonts w:ascii="Verdana" w:hAnsi="Verdana"/>
          <w:sz w:val="20"/>
          <w:szCs w:val="20"/>
          <w:lang w:val="en-US"/>
        </w:rPr>
        <w:t>Mr. Lagos del Campo</w:t>
      </w:r>
      <w:r w:rsidR="00E66DD7" w:rsidRPr="00D869E3">
        <w:rPr>
          <w:rFonts w:ascii="Verdana" w:hAnsi="Verdana"/>
          <w:sz w:val="20"/>
          <w:szCs w:val="20"/>
          <w:lang w:val="en-US"/>
        </w:rPr>
        <w:t xml:space="preserve"> </w:t>
      </w:r>
      <w:r w:rsidR="009B63FE" w:rsidRPr="00D869E3">
        <w:rPr>
          <w:rFonts w:ascii="Verdana" w:hAnsi="Verdana"/>
          <w:sz w:val="20"/>
          <w:szCs w:val="20"/>
          <w:lang w:val="en-US"/>
        </w:rPr>
        <w:t xml:space="preserve">filed at least seven appeals and several requests before the judicial organs of </w:t>
      </w:r>
      <w:r w:rsidRPr="00D869E3">
        <w:rPr>
          <w:rFonts w:ascii="Verdana" w:hAnsi="Verdana"/>
          <w:sz w:val="20"/>
          <w:szCs w:val="20"/>
          <w:lang w:val="en-US"/>
        </w:rPr>
        <w:t>Peru</w:t>
      </w:r>
      <w:r w:rsidR="00E66DD7" w:rsidRPr="00D869E3">
        <w:rPr>
          <w:rFonts w:ascii="Verdana" w:hAnsi="Verdana"/>
          <w:sz w:val="20"/>
          <w:szCs w:val="20"/>
          <w:vertAlign w:val="superscript"/>
          <w:lang w:val="en-US"/>
        </w:rPr>
        <w:footnoteReference w:id="252"/>
      </w:r>
      <w:r w:rsidR="009B63FE" w:rsidRPr="00D869E3">
        <w:rPr>
          <w:rFonts w:ascii="Verdana" w:hAnsi="Verdana"/>
          <w:sz w:val="20"/>
          <w:szCs w:val="20"/>
          <w:lang w:val="en-US"/>
        </w:rPr>
        <w:t xml:space="preserve"> </w:t>
      </w:r>
      <w:r w:rsidR="009B63FE" w:rsidRPr="00D869E3">
        <w:rPr>
          <w:rFonts w:ascii="Verdana" w:hAnsi="Verdana"/>
          <w:sz w:val="20"/>
          <w:szCs w:val="20"/>
          <w:lang w:val="en-US"/>
        </w:rPr>
        <w:softHyphen/>
        <w:t xml:space="preserve">– all of which were rejected for different procedural reasons – by which he tried to have the judgment that </w:t>
      </w:r>
      <w:r w:rsidR="00D329A8" w:rsidRPr="00D869E3">
        <w:rPr>
          <w:rFonts w:ascii="Verdana" w:hAnsi="Verdana"/>
          <w:sz w:val="20"/>
          <w:szCs w:val="20"/>
          <w:lang w:val="en-US"/>
        </w:rPr>
        <w:t>ratifie</w:t>
      </w:r>
      <w:r w:rsidR="009B63FE" w:rsidRPr="00D869E3">
        <w:rPr>
          <w:rFonts w:ascii="Verdana" w:hAnsi="Verdana"/>
          <w:sz w:val="20"/>
          <w:szCs w:val="20"/>
          <w:lang w:val="en-US"/>
        </w:rPr>
        <w:t xml:space="preserve">d the alleged unjustified dismissal annulled, referring, in particular, to his constitutional rights </w:t>
      </w:r>
      <w:r w:rsidR="009B63FE" w:rsidRPr="00D869E3">
        <w:rPr>
          <w:rFonts w:ascii="Verdana" w:hAnsi="Verdana"/>
          <w:i/>
          <w:iCs/>
          <w:sz w:val="20"/>
          <w:szCs w:val="20"/>
          <w:lang w:val="en-US"/>
        </w:rPr>
        <w:t>to job security and due process</w:t>
      </w:r>
      <w:r w:rsidR="009B63FE" w:rsidRPr="00D869E3">
        <w:rPr>
          <w:rFonts w:ascii="Verdana" w:hAnsi="Verdana"/>
          <w:sz w:val="20"/>
          <w:szCs w:val="20"/>
          <w:lang w:val="en-US"/>
        </w:rPr>
        <w:t>. This Court finds that the filing of the appeals for annulment and amparo at the appeal stage were particularly pertinent. In this regard, the Court points out the following relevant omissions in relation to these remedies.</w:t>
      </w:r>
    </w:p>
    <w:p w14:paraId="5137D201" w14:textId="77777777" w:rsidR="00E66DD7" w:rsidRPr="00D869E3" w:rsidRDefault="00E66DD7" w:rsidP="00E66DD7">
      <w:pPr>
        <w:contextualSpacing/>
        <w:jc w:val="both"/>
        <w:rPr>
          <w:rFonts w:ascii="Verdana" w:hAnsi="Verdana"/>
          <w:sz w:val="20"/>
          <w:szCs w:val="20"/>
          <w:lang w:val="en-US"/>
        </w:rPr>
      </w:pPr>
    </w:p>
    <w:p w14:paraId="65805BF5" w14:textId="0B402B00" w:rsidR="00E66DD7" w:rsidRPr="00D869E3" w:rsidRDefault="009B63FE" w:rsidP="00CA0001">
      <w:pPr>
        <w:numPr>
          <w:ilvl w:val="0"/>
          <w:numId w:val="1"/>
        </w:numPr>
        <w:ind w:left="0" w:firstLine="0"/>
        <w:contextualSpacing/>
        <w:jc w:val="both"/>
        <w:rPr>
          <w:rFonts w:ascii="Verdana" w:hAnsi="Verdana"/>
          <w:sz w:val="20"/>
          <w:szCs w:val="20"/>
          <w:lang w:val="en-US"/>
        </w:rPr>
      </w:pPr>
      <w:r w:rsidRPr="00D869E3">
        <w:rPr>
          <w:rFonts w:ascii="Verdana" w:hAnsi="Verdana"/>
          <w:sz w:val="20"/>
          <w:szCs w:val="20"/>
          <w:lang w:val="en-US"/>
        </w:rPr>
        <w:t xml:space="preserve">First, </w:t>
      </w:r>
      <w:r w:rsidR="00C76F05" w:rsidRPr="00D869E3">
        <w:rPr>
          <w:rFonts w:ascii="Verdana" w:hAnsi="Verdana"/>
          <w:sz w:val="20"/>
          <w:szCs w:val="20"/>
          <w:lang w:val="en-US"/>
        </w:rPr>
        <w:t>in view of the fact that</w:t>
      </w:r>
      <w:r w:rsidRPr="00D869E3">
        <w:rPr>
          <w:rFonts w:ascii="Verdana" w:hAnsi="Verdana"/>
          <w:sz w:val="20"/>
          <w:szCs w:val="20"/>
          <w:lang w:val="en-US"/>
        </w:rPr>
        <w:t xml:space="preserve"> his defense brief of August 1, 1991, before the Second Court</w:t>
      </w:r>
      <w:r w:rsidR="00C76F05" w:rsidRPr="00D869E3">
        <w:rPr>
          <w:rFonts w:ascii="Verdana" w:hAnsi="Verdana"/>
          <w:sz w:val="20"/>
          <w:szCs w:val="20"/>
          <w:lang w:val="en-US"/>
        </w:rPr>
        <w:t xml:space="preserve"> – </w:t>
      </w:r>
      <w:r w:rsidRPr="00D869E3">
        <w:rPr>
          <w:rFonts w:ascii="Verdana" w:hAnsi="Verdana"/>
          <w:sz w:val="20"/>
          <w:szCs w:val="20"/>
          <w:lang w:val="en-US"/>
        </w:rPr>
        <w:t xml:space="preserve">in which he alleged </w:t>
      </w:r>
      <w:r w:rsidR="00C76F05" w:rsidRPr="00D869E3">
        <w:rPr>
          <w:rFonts w:ascii="Verdana" w:hAnsi="Verdana"/>
          <w:sz w:val="20"/>
          <w:szCs w:val="20"/>
          <w:lang w:val="en-US"/>
        </w:rPr>
        <w:t xml:space="preserve">that </w:t>
      </w:r>
      <w:r w:rsidRPr="00D869E3">
        <w:rPr>
          <w:rFonts w:ascii="Verdana" w:hAnsi="Verdana"/>
          <w:sz w:val="20"/>
          <w:szCs w:val="20"/>
          <w:lang w:val="en-US"/>
        </w:rPr>
        <w:t xml:space="preserve">the reasons for </w:t>
      </w:r>
      <w:r w:rsidR="00C76F05" w:rsidRPr="00D869E3">
        <w:rPr>
          <w:rFonts w:ascii="Verdana" w:hAnsi="Verdana"/>
          <w:sz w:val="20"/>
          <w:szCs w:val="20"/>
          <w:lang w:val="en-US"/>
        </w:rPr>
        <w:t>his</w:t>
      </w:r>
      <w:r w:rsidRPr="00D869E3">
        <w:rPr>
          <w:rFonts w:ascii="Verdana" w:hAnsi="Verdana"/>
          <w:sz w:val="20"/>
          <w:szCs w:val="20"/>
          <w:lang w:val="en-US"/>
        </w:rPr>
        <w:t xml:space="preserve"> dismissal</w:t>
      </w:r>
      <w:r w:rsidR="00C76F05" w:rsidRPr="00D869E3">
        <w:rPr>
          <w:rFonts w:ascii="Verdana" w:hAnsi="Verdana"/>
          <w:sz w:val="20"/>
          <w:szCs w:val="20"/>
          <w:lang w:val="en-US"/>
        </w:rPr>
        <w:t xml:space="preserve"> were unjustified – was</w:t>
      </w:r>
      <w:r w:rsidRPr="00D869E3">
        <w:rPr>
          <w:rFonts w:ascii="Verdana" w:hAnsi="Verdana"/>
          <w:sz w:val="20"/>
          <w:szCs w:val="20"/>
          <w:lang w:val="en-US"/>
        </w:rPr>
        <w:t xml:space="preserve"> not taken into consideration</w:t>
      </w:r>
      <w:r w:rsidR="00C76F05" w:rsidRPr="00D869E3">
        <w:rPr>
          <w:rFonts w:ascii="Verdana" w:hAnsi="Verdana"/>
          <w:sz w:val="20"/>
          <w:szCs w:val="20"/>
          <w:lang w:val="en-US"/>
        </w:rPr>
        <w:t>,</w:t>
      </w:r>
      <w:r w:rsidRPr="00D869E3">
        <w:rPr>
          <w:rFonts w:ascii="Verdana" w:hAnsi="Verdana"/>
          <w:sz w:val="20"/>
          <w:szCs w:val="20"/>
          <w:lang w:val="en-US"/>
        </w:rPr>
        <w:t xml:space="preserve"> in violation of article 9 of Supreme Decree 03-80-TR,</w:t>
      </w:r>
      <w:r w:rsidRPr="00D869E3">
        <w:rPr>
          <w:rFonts w:ascii="Verdana" w:hAnsi="Verdana"/>
          <w:sz w:val="20"/>
          <w:szCs w:val="20"/>
          <w:vertAlign w:val="superscript"/>
          <w:lang w:val="en-US"/>
        </w:rPr>
        <w:footnoteReference w:id="253"/>
      </w:r>
      <w:r w:rsidRPr="00D869E3">
        <w:rPr>
          <w:rFonts w:ascii="Verdana" w:hAnsi="Verdana"/>
          <w:sz w:val="20"/>
          <w:szCs w:val="20"/>
          <w:lang w:val="en-US"/>
        </w:rPr>
        <w:t xml:space="preserve"> Mr. Lagos continued </w:t>
      </w:r>
      <w:r w:rsidRPr="00D869E3">
        <w:rPr>
          <w:rFonts w:ascii="Verdana" w:hAnsi="Verdana"/>
          <w:sz w:val="20"/>
          <w:szCs w:val="20"/>
          <w:lang w:val="en-US"/>
        </w:rPr>
        <w:lastRenderedPageBreak/>
        <w:t xml:space="preserve">contesting this omission before different </w:t>
      </w:r>
      <w:r w:rsidR="00C76F05" w:rsidRPr="00D869E3">
        <w:rPr>
          <w:rFonts w:ascii="Verdana" w:hAnsi="Verdana"/>
          <w:sz w:val="20"/>
          <w:szCs w:val="20"/>
          <w:lang w:val="en-US"/>
        </w:rPr>
        <w:t>courts</w:t>
      </w:r>
      <w:r w:rsidRPr="00D869E3">
        <w:rPr>
          <w:rFonts w:ascii="Verdana" w:hAnsi="Verdana"/>
          <w:sz w:val="20"/>
          <w:szCs w:val="20"/>
          <w:lang w:val="en-US"/>
        </w:rPr>
        <w:t xml:space="preserve">. This Court notes that, in light of the appeal for annulment </w:t>
      </w:r>
      <w:r w:rsidR="000D2B93" w:rsidRPr="00D869E3">
        <w:rPr>
          <w:rFonts w:ascii="Verdana" w:hAnsi="Verdana"/>
          <w:sz w:val="20"/>
          <w:szCs w:val="20"/>
          <w:lang w:val="en-US"/>
        </w:rPr>
        <w:t xml:space="preserve">which was </w:t>
      </w:r>
      <w:r w:rsidRPr="00D869E3">
        <w:rPr>
          <w:rFonts w:ascii="Verdana" w:hAnsi="Verdana"/>
          <w:sz w:val="20"/>
          <w:szCs w:val="20"/>
          <w:lang w:val="en-US"/>
        </w:rPr>
        <w:t>established in Supreme Decree 03-80-TR (</w:t>
      </w:r>
      <w:r w:rsidRPr="00D869E3">
        <w:rPr>
          <w:rFonts w:ascii="Verdana" w:hAnsi="Verdana"/>
          <w:i/>
          <w:sz w:val="20"/>
          <w:szCs w:val="20"/>
          <w:lang w:val="en-US"/>
        </w:rPr>
        <w:t>supra</w:t>
      </w:r>
      <w:r w:rsidRPr="00D869E3">
        <w:rPr>
          <w:rFonts w:ascii="Verdana" w:hAnsi="Verdana"/>
          <w:sz w:val="20"/>
          <w:szCs w:val="20"/>
          <w:lang w:val="en-US"/>
        </w:rPr>
        <w:t xml:space="preserve">, para. 62), the court that </w:t>
      </w:r>
      <w:r w:rsidR="00D329A8" w:rsidRPr="00D869E3">
        <w:rPr>
          <w:rFonts w:ascii="Verdana" w:hAnsi="Verdana"/>
          <w:sz w:val="20"/>
          <w:szCs w:val="20"/>
          <w:lang w:val="en-US"/>
        </w:rPr>
        <w:t>ratifie</w:t>
      </w:r>
      <w:r w:rsidRPr="00D869E3">
        <w:rPr>
          <w:rFonts w:ascii="Verdana" w:hAnsi="Verdana"/>
          <w:sz w:val="20"/>
          <w:szCs w:val="20"/>
          <w:lang w:val="en-US"/>
        </w:rPr>
        <w:t>d the dismissal merely indicated that none of the causes for annulment had been</w:t>
      </w:r>
      <w:r w:rsidR="00CA0001" w:rsidRPr="00D869E3">
        <w:rPr>
          <w:rFonts w:ascii="Verdana" w:hAnsi="Verdana"/>
          <w:sz w:val="20"/>
          <w:szCs w:val="20"/>
          <w:lang w:val="en-US"/>
        </w:rPr>
        <w:t xml:space="preserve"> met, without any further reasoning and without ruling on Mr. Lagos del Campo’s arguments or his constitutional rights. Subsequently, in the case of the application for amparo</w:t>
      </w:r>
      <w:r w:rsidR="00E66DD7" w:rsidRPr="00D869E3">
        <w:rPr>
          <w:rFonts w:ascii="Verdana" w:hAnsi="Verdana"/>
          <w:sz w:val="20"/>
          <w:szCs w:val="20"/>
          <w:lang w:val="en-US"/>
        </w:rPr>
        <w:t xml:space="preserve">, </w:t>
      </w:r>
      <w:r w:rsidR="001E3B42" w:rsidRPr="00D869E3">
        <w:rPr>
          <w:rFonts w:ascii="Verdana" w:hAnsi="Verdana" w:cs="Verdana"/>
          <w:color w:val="000000"/>
          <w:sz w:val="20"/>
          <w:szCs w:val="20"/>
          <w:lang w:val="en-US"/>
        </w:rPr>
        <w:t>the Fifth Civil Chamber of the Superior Court of</w:t>
      </w:r>
      <w:r w:rsidR="00E66DD7" w:rsidRPr="00D869E3">
        <w:rPr>
          <w:rFonts w:ascii="Verdana" w:hAnsi="Verdana" w:cs="Verdana"/>
          <w:color w:val="000000"/>
          <w:sz w:val="20"/>
          <w:szCs w:val="20"/>
          <w:lang w:val="en-US"/>
        </w:rPr>
        <w:t xml:space="preserve"> Lima </w:t>
      </w:r>
      <w:r w:rsidR="00CA0001" w:rsidRPr="00D869E3">
        <w:rPr>
          <w:rFonts w:ascii="Verdana" w:hAnsi="Verdana" w:cs="Verdana"/>
          <w:color w:val="000000"/>
          <w:sz w:val="20"/>
          <w:szCs w:val="20"/>
          <w:lang w:val="en-US"/>
        </w:rPr>
        <w:t>indicated that the said a</w:t>
      </w:r>
      <w:r w:rsidR="001B7816" w:rsidRPr="00D869E3">
        <w:rPr>
          <w:rFonts w:ascii="Verdana" w:hAnsi="Verdana" w:cs="Verdana"/>
          <w:color w:val="000000"/>
          <w:sz w:val="20"/>
          <w:szCs w:val="20"/>
          <w:lang w:val="en-US"/>
        </w:rPr>
        <w:t>nswering brief</w:t>
      </w:r>
      <w:r w:rsidR="00E66DD7" w:rsidRPr="00D869E3">
        <w:rPr>
          <w:rFonts w:ascii="Verdana" w:hAnsi="Verdana" w:cs="Verdana"/>
          <w:color w:val="000000"/>
          <w:sz w:val="20"/>
          <w:szCs w:val="20"/>
          <w:lang w:val="en-US"/>
        </w:rPr>
        <w:t xml:space="preserve"> </w:t>
      </w:r>
      <w:r w:rsidR="00CA0001" w:rsidRPr="00D869E3">
        <w:rPr>
          <w:rFonts w:ascii="Verdana" w:hAnsi="Verdana" w:cs="Verdana"/>
          <w:color w:val="000000"/>
          <w:sz w:val="20"/>
          <w:szCs w:val="20"/>
          <w:lang w:val="en-US"/>
        </w:rPr>
        <w:t xml:space="preserve">only </w:t>
      </w:r>
      <w:r w:rsidR="000D2B93" w:rsidRPr="00D869E3">
        <w:rPr>
          <w:rFonts w:ascii="Verdana" w:hAnsi="Verdana" w:cs="Verdana"/>
          <w:color w:val="000000"/>
          <w:sz w:val="20"/>
          <w:szCs w:val="20"/>
          <w:lang w:val="en-US"/>
        </w:rPr>
        <w:t>contained</w:t>
      </w:r>
      <w:r w:rsidR="00CA0001" w:rsidRPr="00D869E3">
        <w:rPr>
          <w:rFonts w:ascii="Verdana" w:hAnsi="Verdana" w:cs="Verdana"/>
          <w:color w:val="000000"/>
          <w:sz w:val="20"/>
          <w:szCs w:val="20"/>
          <w:lang w:val="en-US"/>
        </w:rPr>
        <w:t xml:space="preserve"> arguments and not evidence. The omission was also expressly alleged </w:t>
      </w:r>
      <w:r w:rsidR="00966115" w:rsidRPr="00D869E3">
        <w:rPr>
          <w:rFonts w:ascii="Verdana" w:hAnsi="Verdana" w:cs="Verdana"/>
          <w:color w:val="000000"/>
          <w:sz w:val="20"/>
          <w:szCs w:val="20"/>
          <w:lang w:val="en-US"/>
        </w:rPr>
        <w:t>before the</w:t>
      </w:r>
      <w:r w:rsidR="00EB5E2E" w:rsidRPr="00D869E3">
        <w:rPr>
          <w:rFonts w:ascii="Verdana" w:hAnsi="Verdana" w:cs="Verdana"/>
          <w:color w:val="000000"/>
          <w:sz w:val="20"/>
          <w:szCs w:val="20"/>
          <w:lang w:val="en-US"/>
        </w:rPr>
        <w:t xml:space="preserve"> Social and Constitutional Law Chamber</w:t>
      </w:r>
      <w:r w:rsidR="00447C65" w:rsidRPr="00D869E3">
        <w:rPr>
          <w:rFonts w:ascii="Verdana" w:hAnsi="Verdana"/>
          <w:sz w:val="20"/>
          <w:szCs w:val="20"/>
          <w:lang w:val="en-US"/>
        </w:rPr>
        <w:t xml:space="preserve"> of the </w:t>
      </w:r>
      <w:r w:rsidR="00EB5E2E" w:rsidRPr="00D869E3">
        <w:rPr>
          <w:rFonts w:ascii="Verdana" w:hAnsi="Verdana"/>
          <w:sz w:val="20"/>
          <w:szCs w:val="20"/>
          <w:lang w:val="en-US"/>
        </w:rPr>
        <w:t>Supreme Court</w:t>
      </w:r>
      <w:r w:rsidR="00E66DD7" w:rsidRPr="00D869E3">
        <w:rPr>
          <w:rFonts w:ascii="Verdana" w:hAnsi="Verdana"/>
          <w:sz w:val="20"/>
          <w:szCs w:val="20"/>
          <w:lang w:val="en-US"/>
        </w:rPr>
        <w:t xml:space="preserve">, </w:t>
      </w:r>
      <w:r w:rsidR="00CA0001" w:rsidRPr="00D869E3">
        <w:rPr>
          <w:rFonts w:ascii="Verdana" w:hAnsi="Verdana"/>
          <w:sz w:val="20"/>
          <w:szCs w:val="20"/>
          <w:lang w:val="en-US"/>
        </w:rPr>
        <w:t xml:space="preserve">which did not rule in this regard. The Court notes that, according to the evidence provided in the instant case, when deciding the appeal, </w:t>
      </w:r>
      <w:r w:rsidR="00CA0001" w:rsidRPr="00D869E3">
        <w:rPr>
          <w:rFonts w:ascii="Verdana" w:hAnsi="Verdana" w:cs="Verdana"/>
          <w:sz w:val="20"/>
          <w:szCs w:val="20"/>
          <w:lang w:val="en-US"/>
        </w:rPr>
        <w:t>the Second Labor Court did not assess the brief filed by Mr. Lagos del Campo or his arguments</w:t>
      </w:r>
      <w:r w:rsidR="000D2B93" w:rsidRPr="00D869E3">
        <w:rPr>
          <w:rFonts w:ascii="Verdana" w:hAnsi="Verdana" w:cs="Verdana"/>
          <w:sz w:val="20"/>
          <w:szCs w:val="20"/>
          <w:lang w:val="en-US"/>
        </w:rPr>
        <w:t xml:space="preserve"> concerning the rights allegedly violated in light of the dismissal</w:t>
      </w:r>
      <w:r w:rsidR="00CA0001" w:rsidRPr="00D869E3">
        <w:rPr>
          <w:rFonts w:ascii="Verdana" w:hAnsi="Verdana" w:cs="Verdana"/>
          <w:sz w:val="20"/>
          <w:szCs w:val="20"/>
          <w:lang w:val="en-US"/>
        </w:rPr>
        <w:t xml:space="preserve">, thus violating the adversarial principle </w:t>
      </w:r>
      <w:r w:rsidR="00E66DD7" w:rsidRPr="00D869E3">
        <w:rPr>
          <w:rFonts w:ascii="Verdana" w:hAnsi="Verdana"/>
          <w:sz w:val="20"/>
          <w:szCs w:val="20"/>
          <w:lang w:val="en-US"/>
        </w:rPr>
        <w:t>(</w:t>
      </w:r>
      <w:r w:rsidR="00E66DD7" w:rsidRPr="00D869E3">
        <w:rPr>
          <w:rFonts w:ascii="Verdana" w:hAnsi="Verdana"/>
          <w:i/>
          <w:sz w:val="20"/>
          <w:szCs w:val="20"/>
          <w:lang w:val="en-US"/>
        </w:rPr>
        <w:t xml:space="preserve">supra </w:t>
      </w:r>
      <w:r w:rsidR="0087339F" w:rsidRPr="00D869E3">
        <w:rPr>
          <w:rFonts w:ascii="Verdana" w:hAnsi="Verdana"/>
          <w:sz w:val="20"/>
          <w:szCs w:val="20"/>
          <w:lang w:val="en-US"/>
        </w:rPr>
        <w:t>para.</w:t>
      </w:r>
      <w:r w:rsidR="00446B52" w:rsidRPr="00D869E3">
        <w:rPr>
          <w:rFonts w:ascii="Verdana" w:hAnsi="Verdana"/>
          <w:sz w:val="20"/>
          <w:szCs w:val="20"/>
          <w:lang w:val="en-US"/>
        </w:rPr>
        <w:t xml:space="preserve"> </w:t>
      </w:r>
      <w:r w:rsidR="00AF0B80" w:rsidRPr="00D869E3">
        <w:rPr>
          <w:rFonts w:ascii="Verdana" w:hAnsi="Verdana"/>
          <w:sz w:val="20"/>
          <w:szCs w:val="20"/>
          <w:lang w:val="en-US"/>
        </w:rPr>
        <w:t>66</w:t>
      </w:r>
      <w:r w:rsidR="00E66DD7" w:rsidRPr="00D869E3">
        <w:rPr>
          <w:rFonts w:ascii="Verdana" w:hAnsi="Verdana"/>
          <w:sz w:val="20"/>
          <w:szCs w:val="20"/>
          <w:lang w:val="en-US"/>
        </w:rPr>
        <w:t>)</w:t>
      </w:r>
      <w:r w:rsidR="00E66DD7" w:rsidRPr="00D869E3">
        <w:rPr>
          <w:rFonts w:ascii="Verdana" w:hAnsi="Verdana" w:cs="Verdana"/>
          <w:sz w:val="20"/>
          <w:szCs w:val="20"/>
          <w:lang w:val="en-US"/>
        </w:rPr>
        <w:t>.</w:t>
      </w:r>
    </w:p>
    <w:p w14:paraId="0854BFEA" w14:textId="77777777" w:rsidR="00E66DD7" w:rsidRPr="00D869E3" w:rsidRDefault="00E66DD7" w:rsidP="00E66DD7">
      <w:pPr>
        <w:contextualSpacing/>
        <w:jc w:val="both"/>
        <w:rPr>
          <w:rFonts w:ascii="Verdana" w:hAnsi="Verdana" w:cs="Verdana"/>
          <w:color w:val="000000"/>
          <w:sz w:val="20"/>
          <w:szCs w:val="20"/>
          <w:lang w:val="en-US"/>
        </w:rPr>
      </w:pPr>
    </w:p>
    <w:p w14:paraId="36533BCA" w14:textId="2609B84B" w:rsidR="00E66DD7" w:rsidRPr="00D869E3" w:rsidRDefault="00DB128C" w:rsidP="00E66DD7">
      <w:pPr>
        <w:numPr>
          <w:ilvl w:val="0"/>
          <w:numId w:val="1"/>
        </w:numPr>
        <w:ind w:left="0" w:firstLine="0"/>
        <w:contextualSpacing/>
        <w:jc w:val="both"/>
        <w:rPr>
          <w:rFonts w:ascii="Verdana" w:hAnsi="Verdana"/>
          <w:sz w:val="20"/>
          <w:szCs w:val="20"/>
          <w:lang w:val="en-US"/>
        </w:rPr>
      </w:pPr>
      <w:r w:rsidRPr="00D869E3">
        <w:rPr>
          <w:rFonts w:ascii="Verdana" w:hAnsi="Verdana" w:cs="Verdana"/>
          <w:color w:val="000000"/>
          <w:sz w:val="20"/>
          <w:szCs w:val="20"/>
          <w:lang w:val="en-US"/>
        </w:rPr>
        <w:t>Second</w:t>
      </w:r>
      <w:r w:rsidR="00E66DD7" w:rsidRPr="00D869E3">
        <w:rPr>
          <w:rFonts w:ascii="Verdana" w:hAnsi="Verdana" w:cs="Verdana"/>
          <w:color w:val="000000"/>
          <w:sz w:val="20"/>
          <w:szCs w:val="20"/>
          <w:lang w:val="en-US"/>
        </w:rPr>
        <w:t xml:space="preserve">, </w:t>
      </w:r>
      <w:r w:rsidR="00312792" w:rsidRPr="00D869E3">
        <w:rPr>
          <w:rFonts w:ascii="Verdana" w:hAnsi="Verdana" w:cs="Verdana"/>
          <w:color w:val="000000"/>
          <w:sz w:val="20"/>
          <w:szCs w:val="20"/>
          <w:lang w:val="en-US"/>
        </w:rPr>
        <w:t>Mr. Lagos</w:t>
      </w:r>
      <w:r w:rsidR="00E66DD7" w:rsidRPr="00D869E3">
        <w:rPr>
          <w:rFonts w:ascii="Verdana" w:hAnsi="Verdana" w:cs="Verdana"/>
          <w:color w:val="000000"/>
          <w:sz w:val="20"/>
          <w:szCs w:val="20"/>
          <w:lang w:val="en-US"/>
        </w:rPr>
        <w:t xml:space="preserve"> </w:t>
      </w:r>
      <w:r w:rsidR="00CA0001" w:rsidRPr="00D869E3">
        <w:rPr>
          <w:rFonts w:ascii="Verdana" w:hAnsi="Verdana" w:cs="Verdana"/>
          <w:color w:val="000000"/>
          <w:sz w:val="20"/>
          <w:szCs w:val="20"/>
          <w:lang w:val="en-US"/>
        </w:rPr>
        <w:t xml:space="preserve">filed a first application for </w:t>
      </w:r>
      <w:r w:rsidR="00E66DD7" w:rsidRPr="00D869E3">
        <w:rPr>
          <w:rFonts w:ascii="Verdana" w:hAnsi="Verdana" w:cs="Verdana"/>
          <w:color w:val="000000"/>
          <w:sz w:val="20"/>
          <w:szCs w:val="20"/>
          <w:lang w:val="en-US"/>
        </w:rPr>
        <w:t>amparo (1991)</w:t>
      </w:r>
      <w:r w:rsidR="00966115" w:rsidRPr="00D869E3">
        <w:rPr>
          <w:rFonts w:ascii="Verdana" w:hAnsi="Verdana" w:cs="Verdana"/>
          <w:color w:val="000000"/>
          <w:sz w:val="20"/>
          <w:szCs w:val="20"/>
          <w:lang w:val="en-US"/>
        </w:rPr>
        <w:t xml:space="preserve"> before the</w:t>
      </w:r>
      <w:r w:rsidR="001E3B42" w:rsidRPr="00D869E3">
        <w:rPr>
          <w:rFonts w:ascii="Verdana" w:hAnsi="Verdana"/>
          <w:color w:val="000000"/>
          <w:sz w:val="20"/>
          <w:szCs w:val="20"/>
          <w:lang w:val="en-US"/>
        </w:rPr>
        <w:t xml:space="preserve"> Civil Chamber of the Superior Court</w:t>
      </w:r>
      <w:r w:rsidR="009D37C8" w:rsidRPr="00D869E3">
        <w:rPr>
          <w:rFonts w:ascii="Verdana" w:hAnsi="Verdana"/>
          <w:color w:val="000000"/>
          <w:sz w:val="20"/>
          <w:szCs w:val="20"/>
          <w:lang w:val="en-US"/>
        </w:rPr>
        <w:t xml:space="preserve"> of Lima</w:t>
      </w:r>
      <w:r w:rsidR="00E66DD7" w:rsidRPr="00D869E3">
        <w:rPr>
          <w:rFonts w:ascii="Verdana" w:hAnsi="Verdana"/>
          <w:color w:val="000000"/>
          <w:sz w:val="20"/>
          <w:szCs w:val="20"/>
          <w:lang w:val="en-US"/>
        </w:rPr>
        <w:t xml:space="preserve"> </w:t>
      </w:r>
      <w:r w:rsidR="00CA0001" w:rsidRPr="00D869E3">
        <w:rPr>
          <w:rFonts w:ascii="Verdana" w:hAnsi="Verdana"/>
          <w:color w:val="000000"/>
          <w:sz w:val="20"/>
          <w:szCs w:val="20"/>
          <w:lang w:val="en-US"/>
        </w:rPr>
        <w:t xml:space="preserve">in which he alleged, among other matters, violations of his </w:t>
      </w:r>
      <w:r w:rsidR="00CC766D" w:rsidRPr="00D869E3">
        <w:rPr>
          <w:rFonts w:ascii="Verdana" w:hAnsi="Verdana"/>
          <w:color w:val="000000"/>
          <w:sz w:val="20"/>
          <w:szCs w:val="20"/>
          <w:lang w:val="en-US"/>
        </w:rPr>
        <w:t>right to</w:t>
      </w:r>
      <w:r w:rsidR="00E66DD7" w:rsidRPr="00D869E3">
        <w:rPr>
          <w:rFonts w:ascii="Verdana" w:hAnsi="Verdana"/>
          <w:color w:val="000000"/>
          <w:sz w:val="20"/>
          <w:szCs w:val="20"/>
          <w:lang w:val="en-US"/>
        </w:rPr>
        <w:t xml:space="preserve"> </w:t>
      </w:r>
      <w:r w:rsidR="00CA0001" w:rsidRPr="00D869E3">
        <w:rPr>
          <w:rFonts w:ascii="Verdana" w:hAnsi="Verdana"/>
          <w:color w:val="000000"/>
          <w:sz w:val="20"/>
          <w:szCs w:val="20"/>
          <w:lang w:val="en-US"/>
        </w:rPr>
        <w:t xml:space="preserve">job security </w:t>
      </w:r>
      <w:r w:rsidR="00687684" w:rsidRPr="00D869E3">
        <w:rPr>
          <w:rFonts w:ascii="Verdana" w:hAnsi="Verdana"/>
          <w:color w:val="000000"/>
          <w:sz w:val="20"/>
          <w:szCs w:val="20"/>
          <w:lang w:val="en-US"/>
        </w:rPr>
        <w:t xml:space="preserve">and </w:t>
      </w:r>
      <w:r w:rsidR="00CA0001" w:rsidRPr="00D869E3">
        <w:rPr>
          <w:rFonts w:ascii="Verdana" w:hAnsi="Verdana"/>
          <w:color w:val="000000"/>
          <w:sz w:val="20"/>
          <w:szCs w:val="20"/>
          <w:lang w:val="en-US"/>
        </w:rPr>
        <w:t>due process of law, established in a</w:t>
      </w:r>
      <w:r w:rsidR="00447C65" w:rsidRPr="00D869E3">
        <w:rPr>
          <w:rFonts w:ascii="Verdana" w:hAnsi="Verdana"/>
          <w:color w:val="000000"/>
          <w:sz w:val="20"/>
          <w:szCs w:val="20"/>
          <w:lang w:val="en-US"/>
        </w:rPr>
        <w:t>rticles</w:t>
      </w:r>
      <w:r w:rsidR="00E66DD7" w:rsidRPr="00D869E3">
        <w:rPr>
          <w:rFonts w:ascii="Verdana" w:hAnsi="Verdana"/>
          <w:color w:val="000000"/>
          <w:sz w:val="20"/>
          <w:szCs w:val="20"/>
          <w:lang w:val="en-US"/>
        </w:rPr>
        <w:t xml:space="preserve"> 48</w:t>
      </w:r>
      <w:r w:rsidR="00687684" w:rsidRPr="00D869E3">
        <w:rPr>
          <w:rFonts w:ascii="Verdana" w:hAnsi="Verdana"/>
          <w:color w:val="000000"/>
          <w:sz w:val="20"/>
          <w:szCs w:val="20"/>
          <w:lang w:val="en-US"/>
        </w:rPr>
        <w:t xml:space="preserve"> and </w:t>
      </w:r>
      <w:r w:rsidR="00E66DD7" w:rsidRPr="00D869E3">
        <w:rPr>
          <w:rFonts w:ascii="Verdana" w:hAnsi="Verdana"/>
          <w:color w:val="000000"/>
          <w:sz w:val="20"/>
          <w:szCs w:val="20"/>
          <w:lang w:val="en-US"/>
        </w:rPr>
        <w:t xml:space="preserve">233 </w:t>
      </w:r>
      <w:r w:rsidR="001E3B42" w:rsidRPr="00D869E3">
        <w:rPr>
          <w:rFonts w:ascii="Verdana" w:hAnsi="Verdana"/>
          <w:color w:val="000000"/>
          <w:sz w:val="20"/>
          <w:szCs w:val="20"/>
          <w:lang w:val="en-US"/>
        </w:rPr>
        <w:t>of the Constitution</w:t>
      </w:r>
      <w:r w:rsidR="00E66DD7" w:rsidRPr="00D869E3">
        <w:rPr>
          <w:rFonts w:ascii="Verdana" w:hAnsi="Verdana"/>
          <w:color w:val="000000"/>
          <w:sz w:val="20"/>
          <w:szCs w:val="20"/>
          <w:lang w:val="en-US"/>
        </w:rPr>
        <w:t xml:space="preserve">. </w:t>
      </w:r>
      <w:r w:rsidR="00CA0001" w:rsidRPr="00D869E3">
        <w:rPr>
          <w:rFonts w:ascii="Verdana" w:hAnsi="Verdana"/>
          <w:color w:val="000000"/>
          <w:sz w:val="20"/>
          <w:szCs w:val="20"/>
          <w:lang w:val="en-US"/>
        </w:rPr>
        <w:t xml:space="preserve">The </w:t>
      </w:r>
      <w:r w:rsidR="00D901B1" w:rsidRPr="00D869E3">
        <w:rPr>
          <w:rFonts w:ascii="Verdana" w:hAnsi="Verdana"/>
          <w:color w:val="000000"/>
          <w:sz w:val="20"/>
          <w:szCs w:val="20"/>
          <w:lang w:val="en-US"/>
        </w:rPr>
        <w:t>Civil</w:t>
      </w:r>
      <w:r w:rsidR="00CA0001" w:rsidRPr="00D869E3">
        <w:rPr>
          <w:rFonts w:ascii="Verdana" w:hAnsi="Verdana"/>
          <w:color w:val="000000"/>
          <w:sz w:val="20"/>
          <w:szCs w:val="20"/>
          <w:lang w:val="en-US"/>
        </w:rPr>
        <w:t xml:space="preserve"> Chamber </w:t>
      </w:r>
      <w:r w:rsidR="00D901B1" w:rsidRPr="00D869E3">
        <w:rPr>
          <w:rFonts w:ascii="Verdana" w:hAnsi="Verdana"/>
          <w:color w:val="000000"/>
          <w:sz w:val="20"/>
          <w:szCs w:val="20"/>
          <w:lang w:val="en-US"/>
        </w:rPr>
        <w:t>failed to</w:t>
      </w:r>
      <w:r w:rsidR="00CA0001" w:rsidRPr="00D869E3">
        <w:rPr>
          <w:rFonts w:ascii="Verdana" w:hAnsi="Verdana"/>
          <w:color w:val="000000"/>
          <w:sz w:val="20"/>
          <w:szCs w:val="20"/>
          <w:lang w:val="en-US"/>
        </w:rPr>
        <w:t xml:space="preserve"> decide the allegations relat</w:t>
      </w:r>
      <w:r w:rsidR="00D901B1" w:rsidRPr="00D869E3">
        <w:rPr>
          <w:rFonts w:ascii="Verdana" w:hAnsi="Verdana"/>
          <w:color w:val="000000"/>
          <w:sz w:val="20"/>
          <w:szCs w:val="20"/>
          <w:lang w:val="en-US"/>
        </w:rPr>
        <w:t>ing</w:t>
      </w:r>
      <w:r w:rsidR="00CA0001" w:rsidRPr="00D869E3">
        <w:rPr>
          <w:rFonts w:ascii="Verdana" w:hAnsi="Verdana"/>
          <w:color w:val="000000"/>
          <w:sz w:val="20"/>
          <w:szCs w:val="20"/>
          <w:lang w:val="en-US"/>
        </w:rPr>
        <w:t xml:space="preserve"> to the substantive (constitutional) rights, </w:t>
      </w:r>
      <w:r w:rsidR="00D901B1" w:rsidRPr="00D869E3">
        <w:rPr>
          <w:rFonts w:ascii="Verdana" w:hAnsi="Verdana"/>
          <w:color w:val="000000"/>
          <w:sz w:val="20"/>
          <w:szCs w:val="20"/>
          <w:lang w:val="en-US"/>
        </w:rPr>
        <w:t>and</w:t>
      </w:r>
      <w:r w:rsidR="00CA0001" w:rsidRPr="00D869E3">
        <w:rPr>
          <w:rFonts w:ascii="Verdana" w:hAnsi="Verdana"/>
          <w:color w:val="000000"/>
          <w:sz w:val="20"/>
          <w:szCs w:val="20"/>
          <w:lang w:val="en-US"/>
        </w:rPr>
        <w:t xml:space="preserve"> merely indicated that it had not determined a violation of due process and, therefore, declared the appeal inadmissible </w:t>
      </w:r>
      <w:r w:rsidR="00E66DD7" w:rsidRPr="00D869E3">
        <w:rPr>
          <w:rFonts w:ascii="Verdana" w:hAnsi="Verdana"/>
          <w:color w:val="000000"/>
          <w:sz w:val="20"/>
          <w:szCs w:val="20"/>
          <w:lang w:val="en-US"/>
        </w:rPr>
        <w:t>(</w:t>
      </w:r>
      <w:r w:rsidR="00E66DD7" w:rsidRPr="00D869E3">
        <w:rPr>
          <w:rFonts w:ascii="Verdana" w:hAnsi="Verdana"/>
          <w:i/>
          <w:color w:val="000000"/>
          <w:sz w:val="20"/>
          <w:szCs w:val="20"/>
          <w:lang w:val="en-US"/>
        </w:rPr>
        <w:t>supra</w:t>
      </w:r>
      <w:r w:rsidR="00E66DD7" w:rsidRPr="00D869E3">
        <w:rPr>
          <w:rFonts w:ascii="Verdana" w:hAnsi="Verdana"/>
          <w:color w:val="000000"/>
          <w:sz w:val="20"/>
          <w:szCs w:val="20"/>
          <w:lang w:val="en-US"/>
        </w:rPr>
        <w:t xml:space="preserve">, </w:t>
      </w:r>
      <w:r w:rsidR="0087339F" w:rsidRPr="00D869E3">
        <w:rPr>
          <w:rFonts w:ascii="Verdana" w:hAnsi="Verdana"/>
          <w:color w:val="000000"/>
          <w:sz w:val="20"/>
          <w:szCs w:val="20"/>
          <w:lang w:val="en-US"/>
        </w:rPr>
        <w:t>para.</w:t>
      </w:r>
      <w:r w:rsidR="00E66DD7" w:rsidRPr="00D869E3">
        <w:rPr>
          <w:rFonts w:ascii="Verdana" w:hAnsi="Verdana"/>
          <w:color w:val="000000"/>
          <w:sz w:val="20"/>
          <w:szCs w:val="20"/>
          <w:lang w:val="en-US"/>
        </w:rPr>
        <w:t xml:space="preserve"> </w:t>
      </w:r>
      <w:r w:rsidR="00AF0B80" w:rsidRPr="00D869E3">
        <w:rPr>
          <w:rFonts w:ascii="Verdana" w:hAnsi="Verdana"/>
          <w:color w:val="000000"/>
          <w:sz w:val="20"/>
          <w:szCs w:val="20"/>
          <w:lang w:val="en-US"/>
        </w:rPr>
        <w:t xml:space="preserve">63). </w:t>
      </w:r>
      <w:r w:rsidR="00075E68" w:rsidRPr="00D869E3">
        <w:rPr>
          <w:rFonts w:ascii="Verdana" w:hAnsi="Verdana"/>
          <w:sz w:val="20"/>
          <w:szCs w:val="20"/>
          <w:lang w:val="en-US"/>
        </w:rPr>
        <w:t>In this regard</w:t>
      </w:r>
      <w:r w:rsidR="00E66DD7" w:rsidRPr="00D869E3">
        <w:rPr>
          <w:rFonts w:ascii="Verdana" w:hAnsi="Verdana"/>
          <w:sz w:val="20"/>
          <w:szCs w:val="20"/>
          <w:lang w:val="en-US"/>
        </w:rPr>
        <w:t xml:space="preserve">, </w:t>
      </w:r>
      <w:r w:rsidR="00CA0001" w:rsidRPr="00D869E3">
        <w:rPr>
          <w:rFonts w:ascii="Verdana" w:hAnsi="Verdana"/>
          <w:sz w:val="20"/>
          <w:szCs w:val="20"/>
          <w:lang w:val="en-US"/>
        </w:rPr>
        <w:t>a</w:t>
      </w:r>
      <w:r w:rsidR="00E542A7" w:rsidRPr="00D869E3">
        <w:rPr>
          <w:rFonts w:ascii="Verdana" w:hAnsi="Verdana"/>
          <w:sz w:val="20"/>
          <w:szCs w:val="20"/>
          <w:lang w:val="en-US"/>
        </w:rPr>
        <w:t>rticle</w:t>
      </w:r>
      <w:r w:rsidR="00E66DD7" w:rsidRPr="00D869E3">
        <w:rPr>
          <w:rFonts w:ascii="Verdana" w:hAnsi="Verdana"/>
          <w:sz w:val="20"/>
          <w:szCs w:val="20"/>
          <w:lang w:val="en-US"/>
        </w:rPr>
        <w:t xml:space="preserve"> 295 </w:t>
      </w:r>
      <w:r w:rsidR="001E3B42" w:rsidRPr="00D869E3">
        <w:rPr>
          <w:rFonts w:ascii="Verdana" w:hAnsi="Verdana"/>
          <w:sz w:val="20"/>
          <w:szCs w:val="20"/>
          <w:lang w:val="en-US"/>
        </w:rPr>
        <w:t>of the Constitution</w:t>
      </w:r>
      <w:r w:rsidR="00E66DD7" w:rsidRPr="00D869E3">
        <w:rPr>
          <w:rFonts w:ascii="Verdana" w:hAnsi="Verdana"/>
          <w:sz w:val="20"/>
          <w:szCs w:val="20"/>
          <w:vertAlign w:val="superscript"/>
          <w:lang w:val="en-US"/>
        </w:rPr>
        <w:footnoteReference w:id="254"/>
      </w:r>
      <w:r w:rsidR="00E66DD7" w:rsidRPr="00D869E3">
        <w:rPr>
          <w:rFonts w:ascii="Verdana" w:hAnsi="Verdana"/>
          <w:sz w:val="20"/>
          <w:szCs w:val="20"/>
          <w:lang w:val="en-US"/>
        </w:rPr>
        <w:t xml:space="preserve"> </w:t>
      </w:r>
      <w:r w:rsidR="00CA0001" w:rsidRPr="00D869E3">
        <w:rPr>
          <w:rFonts w:ascii="Verdana" w:hAnsi="Verdana"/>
          <w:sz w:val="20"/>
          <w:szCs w:val="20"/>
          <w:lang w:val="en-US"/>
        </w:rPr>
        <w:t>establishes the application for amparo, the purpose of which is to protect the rights recognized in the Constitution</w:t>
      </w:r>
      <w:r w:rsidR="00E66DD7" w:rsidRPr="00D869E3">
        <w:rPr>
          <w:rFonts w:ascii="Verdana" w:hAnsi="Verdana"/>
          <w:sz w:val="20"/>
          <w:szCs w:val="20"/>
          <w:lang w:val="en-US"/>
        </w:rPr>
        <w:t>.</w:t>
      </w:r>
    </w:p>
    <w:p w14:paraId="32298EAC" w14:textId="01949346" w:rsidR="00E66DD7" w:rsidRPr="00D869E3" w:rsidRDefault="00E66DD7" w:rsidP="00E66DD7">
      <w:pPr>
        <w:contextualSpacing/>
        <w:jc w:val="both"/>
        <w:rPr>
          <w:rFonts w:ascii="Verdana" w:hAnsi="Verdana"/>
          <w:color w:val="000000"/>
          <w:sz w:val="20"/>
          <w:szCs w:val="20"/>
          <w:lang w:val="en-US"/>
        </w:rPr>
      </w:pPr>
    </w:p>
    <w:p w14:paraId="7F533199" w14:textId="531B4E84" w:rsidR="00E66DD7" w:rsidRPr="00D869E3" w:rsidRDefault="00134E25" w:rsidP="00134E25">
      <w:pPr>
        <w:numPr>
          <w:ilvl w:val="0"/>
          <w:numId w:val="1"/>
        </w:numPr>
        <w:ind w:left="0" w:firstLine="0"/>
        <w:contextualSpacing/>
        <w:jc w:val="both"/>
        <w:rPr>
          <w:rFonts w:ascii="Verdana" w:hAnsi="Verdana"/>
          <w:sz w:val="20"/>
          <w:szCs w:val="20"/>
          <w:lang w:val="en-US"/>
        </w:rPr>
      </w:pPr>
      <w:r w:rsidRPr="00D869E3">
        <w:rPr>
          <w:rFonts w:ascii="Verdana" w:hAnsi="Verdana"/>
          <w:color w:val="000000"/>
          <w:sz w:val="20"/>
          <w:szCs w:val="20"/>
          <w:lang w:val="en-US"/>
        </w:rPr>
        <w:t>Thus</w:t>
      </w:r>
      <w:r w:rsidR="00E66DD7" w:rsidRPr="00D869E3">
        <w:rPr>
          <w:rFonts w:ascii="Verdana" w:hAnsi="Verdana"/>
          <w:color w:val="000000"/>
          <w:sz w:val="20"/>
          <w:szCs w:val="20"/>
          <w:lang w:val="en-US"/>
        </w:rPr>
        <w:t xml:space="preserve">, </w:t>
      </w:r>
      <w:r w:rsidR="00447C65" w:rsidRPr="00D869E3">
        <w:rPr>
          <w:rFonts w:ascii="Verdana" w:hAnsi="Verdana"/>
          <w:color w:val="000000"/>
          <w:sz w:val="20"/>
          <w:szCs w:val="20"/>
          <w:lang w:val="en-US"/>
        </w:rPr>
        <w:t>the Court</w:t>
      </w:r>
      <w:r w:rsidR="00E66DD7" w:rsidRPr="00D869E3">
        <w:rPr>
          <w:rFonts w:ascii="Verdana" w:hAnsi="Verdana"/>
          <w:color w:val="000000"/>
          <w:sz w:val="20"/>
          <w:szCs w:val="20"/>
          <w:lang w:val="en-US"/>
        </w:rPr>
        <w:t xml:space="preserve"> </w:t>
      </w:r>
      <w:r w:rsidRPr="00D869E3">
        <w:rPr>
          <w:rFonts w:ascii="Verdana" w:hAnsi="Verdana"/>
          <w:color w:val="000000"/>
          <w:sz w:val="20"/>
          <w:szCs w:val="20"/>
          <w:lang w:val="en-US"/>
        </w:rPr>
        <w:t xml:space="preserve">considers that, even though the remedy of amparo was designed to protect constitutional rights, in this case the failure to consider the </w:t>
      </w:r>
      <w:r w:rsidRPr="00D869E3">
        <w:rPr>
          <w:rFonts w:ascii="Verdana" w:hAnsi="Verdana"/>
          <w:i/>
          <w:iCs/>
          <w:color w:val="000000"/>
          <w:sz w:val="20"/>
          <w:szCs w:val="20"/>
          <w:lang w:val="en-US"/>
        </w:rPr>
        <w:t>rights to job security and due process</w:t>
      </w:r>
      <w:r w:rsidRPr="00D869E3">
        <w:rPr>
          <w:rFonts w:ascii="Verdana" w:hAnsi="Verdana"/>
          <w:color w:val="000000"/>
          <w:sz w:val="20"/>
          <w:szCs w:val="20"/>
          <w:lang w:val="en-US"/>
        </w:rPr>
        <w:t xml:space="preserve"> prevented the application for amparo from producing the result for which it </w:t>
      </w:r>
      <w:r w:rsidR="00D901B1" w:rsidRPr="00D869E3">
        <w:rPr>
          <w:rFonts w:ascii="Verdana" w:hAnsi="Verdana"/>
          <w:color w:val="000000"/>
          <w:sz w:val="20"/>
          <w:szCs w:val="20"/>
          <w:lang w:val="en-US"/>
        </w:rPr>
        <w:t>w</w:t>
      </w:r>
      <w:r w:rsidRPr="00D869E3">
        <w:rPr>
          <w:rFonts w:ascii="Verdana" w:hAnsi="Verdana"/>
          <w:color w:val="000000"/>
          <w:sz w:val="20"/>
          <w:szCs w:val="20"/>
          <w:lang w:val="en-US"/>
        </w:rPr>
        <w:t>as conceived.</w:t>
      </w:r>
      <w:r w:rsidR="00E66DD7" w:rsidRPr="00D869E3">
        <w:rPr>
          <w:rFonts w:ascii="Verdana" w:hAnsi="Verdana"/>
          <w:color w:val="000000"/>
          <w:sz w:val="20"/>
          <w:szCs w:val="20"/>
          <w:vertAlign w:val="superscript"/>
          <w:lang w:val="en-US"/>
        </w:rPr>
        <w:footnoteReference w:id="255"/>
      </w:r>
      <w:r w:rsidR="00E66DD7" w:rsidRPr="00D869E3">
        <w:rPr>
          <w:rFonts w:ascii="Verdana" w:hAnsi="Verdana"/>
          <w:color w:val="000000"/>
          <w:sz w:val="20"/>
          <w:szCs w:val="20"/>
          <w:lang w:val="en-US"/>
        </w:rPr>
        <w:t xml:space="preserve"> </w:t>
      </w:r>
      <w:r w:rsidR="00075E68" w:rsidRPr="00D869E3">
        <w:rPr>
          <w:rFonts w:ascii="Verdana" w:hAnsi="Verdana" w:cs="Verdana"/>
          <w:sz w:val="20"/>
          <w:szCs w:val="20"/>
          <w:lang w:val="en-US"/>
        </w:rPr>
        <w:t>In this regard</w:t>
      </w:r>
      <w:r w:rsidR="00E66DD7" w:rsidRPr="00D869E3">
        <w:rPr>
          <w:rFonts w:ascii="Verdana" w:hAnsi="Verdana" w:cs="Verdana"/>
          <w:sz w:val="20"/>
          <w:szCs w:val="20"/>
          <w:lang w:val="en-US"/>
        </w:rPr>
        <w:t xml:space="preserve">, </w:t>
      </w:r>
      <w:r w:rsidR="00447C65" w:rsidRPr="00D869E3">
        <w:rPr>
          <w:rFonts w:ascii="Verdana" w:hAnsi="Verdana" w:cs="Verdana"/>
          <w:sz w:val="20"/>
          <w:szCs w:val="20"/>
          <w:lang w:val="en-US"/>
        </w:rPr>
        <w:t>the Court</w:t>
      </w:r>
      <w:r w:rsidR="00E66DD7" w:rsidRPr="00D869E3">
        <w:rPr>
          <w:rFonts w:ascii="Verdana" w:hAnsi="Verdana" w:cs="Verdana"/>
          <w:sz w:val="20"/>
          <w:szCs w:val="20"/>
          <w:lang w:val="en-US"/>
        </w:rPr>
        <w:t xml:space="preserve"> ha</w:t>
      </w:r>
      <w:r w:rsidRPr="00D869E3">
        <w:rPr>
          <w:rFonts w:ascii="Verdana" w:hAnsi="Verdana" w:cs="Verdana"/>
          <w:sz w:val="20"/>
          <w:szCs w:val="20"/>
          <w:lang w:val="en-US"/>
        </w:rPr>
        <w:t xml:space="preserve">s indicated that the analysis </w:t>
      </w:r>
      <w:r w:rsidR="00D901B1" w:rsidRPr="00D869E3">
        <w:rPr>
          <w:rFonts w:ascii="Verdana" w:hAnsi="Verdana" w:cs="Verdana"/>
          <w:sz w:val="20"/>
          <w:szCs w:val="20"/>
          <w:lang w:val="en-US"/>
        </w:rPr>
        <w:t>that</w:t>
      </w:r>
      <w:r w:rsidRPr="00D869E3">
        <w:rPr>
          <w:rFonts w:ascii="Verdana" w:hAnsi="Verdana" w:cs="Verdana"/>
          <w:sz w:val="20"/>
          <w:szCs w:val="20"/>
          <w:lang w:val="en-US"/>
        </w:rPr>
        <w:t xml:space="preserve"> the competent authority </w:t>
      </w:r>
      <w:r w:rsidR="00D901B1" w:rsidRPr="00D869E3">
        <w:rPr>
          <w:rFonts w:ascii="Verdana" w:hAnsi="Verdana" w:cs="Verdana"/>
          <w:sz w:val="20"/>
          <w:szCs w:val="20"/>
          <w:lang w:val="en-US"/>
        </w:rPr>
        <w:t xml:space="preserve">makes </w:t>
      </w:r>
      <w:r w:rsidRPr="00D869E3">
        <w:rPr>
          <w:rFonts w:ascii="Verdana" w:hAnsi="Verdana" w:cs="Verdana"/>
          <w:sz w:val="20"/>
          <w:szCs w:val="20"/>
          <w:lang w:val="en-US"/>
        </w:rPr>
        <w:t xml:space="preserve">of a judicial appeal – </w:t>
      </w:r>
      <w:r w:rsidR="00D901B1" w:rsidRPr="00D869E3">
        <w:rPr>
          <w:rFonts w:ascii="Verdana" w:hAnsi="Verdana" w:cs="Verdana"/>
          <w:sz w:val="20"/>
          <w:szCs w:val="20"/>
          <w:lang w:val="en-US"/>
        </w:rPr>
        <w:t>which</w:t>
      </w:r>
      <w:r w:rsidRPr="00D869E3">
        <w:rPr>
          <w:rFonts w:ascii="Verdana" w:hAnsi="Verdana" w:cs="Verdana"/>
          <w:sz w:val="20"/>
          <w:szCs w:val="20"/>
          <w:lang w:val="en-US"/>
        </w:rPr>
        <w:t xml:space="preserve"> contests constitutional rights such as job security and the right to due process – cannot be reduced to a mere formality and omit arguments </w:t>
      </w:r>
      <w:r w:rsidR="00D901B1" w:rsidRPr="00D869E3">
        <w:rPr>
          <w:rFonts w:ascii="Verdana" w:hAnsi="Verdana" w:cs="Verdana"/>
          <w:sz w:val="20"/>
          <w:szCs w:val="20"/>
          <w:lang w:val="en-US"/>
        </w:rPr>
        <w:t>submitted by</w:t>
      </w:r>
      <w:r w:rsidRPr="00D869E3">
        <w:rPr>
          <w:rFonts w:ascii="Verdana" w:hAnsi="Verdana" w:cs="Verdana"/>
          <w:sz w:val="20"/>
          <w:szCs w:val="20"/>
          <w:lang w:val="en-US"/>
        </w:rPr>
        <w:t xml:space="preserve"> the parties, because it must examine their reasons and rule on them pursuant to the </w:t>
      </w:r>
      <w:r w:rsidR="00FF19D3" w:rsidRPr="00D869E3">
        <w:rPr>
          <w:rFonts w:ascii="Verdana" w:hAnsi="Verdana" w:cs="Verdana"/>
          <w:sz w:val="20"/>
          <w:szCs w:val="20"/>
          <w:lang w:val="en-US"/>
        </w:rPr>
        <w:t>standards</w:t>
      </w:r>
      <w:r w:rsidRPr="00D869E3">
        <w:rPr>
          <w:rFonts w:ascii="Verdana" w:hAnsi="Verdana" w:cs="Verdana"/>
          <w:sz w:val="20"/>
          <w:szCs w:val="20"/>
          <w:lang w:val="en-US"/>
        </w:rPr>
        <w:t xml:space="preserve"> established by</w:t>
      </w:r>
      <w:r w:rsidRPr="00D869E3">
        <w:rPr>
          <w:rFonts w:ascii="Verdana" w:hAnsi="Verdana"/>
          <w:sz w:val="20"/>
          <w:szCs w:val="20"/>
          <w:lang w:val="en-US"/>
        </w:rPr>
        <w:t xml:space="preserve"> </w:t>
      </w:r>
      <w:r w:rsidR="00447C65" w:rsidRPr="00D869E3">
        <w:rPr>
          <w:rFonts w:ascii="Verdana" w:hAnsi="Verdana" w:cs="Verdana"/>
          <w:sz w:val="20"/>
          <w:szCs w:val="20"/>
          <w:lang w:val="en-US"/>
        </w:rPr>
        <w:t>the American Convention</w:t>
      </w:r>
      <w:r w:rsidRPr="00D869E3">
        <w:rPr>
          <w:rFonts w:ascii="Verdana" w:hAnsi="Verdana" w:cs="Verdana"/>
          <w:sz w:val="20"/>
          <w:szCs w:val="20"/>
          <w:lang w:val="en-US"/>
        </w:rPr>
        <w:t>.</w:t>
      </w:r>
      <w:r w:rsidR="00E66DD7" w:rsidRPr="00D869E3">
        <w:rPr>
          <w:rFonts w:ascii="Verdana" w:hAnsi="Verdana" w:cs="Verdana"/>
          <w:sz w:val="20"/>
          <w:szCs w:val="20"/>
          <w:vertAlign w:val="superscript"/>
          <w:lang w:val="en-US"/>
        </w:rPr>
        <w:footnoteReference w:id="256"/>
      </w:r>
    </w:p>
    <w:p w14:paraId="35A2C7F9" w14:textId="77777777" w:rsidR="00E66DD7" w:rsidRPr="00D869E3" w:rsidRDefault="00E66DD7" w:rsidP="00E66DD7">
      <w:pPr>
        <w:contextualSpacing/>
        <w:jc w:val="both"/>
        <w:rPr>
          <w:rFonts w:ascii="Verdana" w:hAnsi="Verdana"/>
          <w:color w:val="000000"/>
          <w:sz w:val="20"/>
          <w:szCs w:val="20"/>
          <w:lang w:val="en-US"/>
        </w:rPr>
      </w:pPr>
    </w:p>
    <w:p w14:paraId="40DE6C01" w14:textId="6FC63217" w:rsidR="00E66DD7" w:rsidRPr="00D869E3" w:rsidRDefault="00134E25" w:rsidP="00134E25">
      <w:pPr>
        <w:numPr>
          <w:ilvl w:val="0"/>
          <w:numId w:val="1"/>
        </w:numPr>
        <w:ind w:left="0" w:firstLine="0"/>
        <w:contextualSpacing/>
        <w:jc w:val="both"/>
        <w:rPr>
          <w:rFonts w:ascii="Verdana" w:hAnsi="Verdana" w:cs="Verdana"/>
          <w:sz w:val="20"/>
          <w:szCs w:val="20"/>
          <w:lang w:val="en-US"/>
        </w:rPr>
      </w:pPr>
      <w:r w:rsidRPr="00D869E3">
        <w:rPr>
          <w:rFonts w:ascii="Verdana" w:hAnsi="Verdana"/>
          <w:color w:val="000000"/>
          <w:sz w:val="20"/>
          <w:szCs w:val="20"/>
          <w:lang w:val="en-US"/>
        </w:rPr>
        <w:t>Third</w:t>
      </w:r>
      <w:r w:rsidR="00E66DD7" w:rsidRPr="00D869E3">
        <w:rPr>
          <w:rFonts w:ascii="Verdana" w:hAnsi="Verdana"/>
          <w:color w:val="000000"/>
          <w:sz w:val="20"/>
          <w:szCs w:val="20"/>
          <w:lang w:val="en-US"/>
        </w:rPr>
        <w:t xml:space="preserve">, </w:t>
      </w:r>
      <w:r w:rsidR="00312792" w:rsidRPr="00D869E3">
        <w:rPr>
          <w:rFonts w:ascii="Verdana" w:hAnsi="Verdana"/>
          <w:color w:val="000000"/>
          <w:sz w:val="20"/>
          <w:szCs w:val="20"/>
          <w:lang w:val="en-US"/>
        </w:rPr>
        <w:t>Mr. Lagos</w:t>
      </w:r>
      <w:r w:rsidR="00E66DD7" w:rsidRPr="00D869E3">
        <w:rPr>
          <w:rFonts w:ascii="Verdana" w:hAnsi="Verdana"/>
          <w:color w:val="000000"/>
          <w:sz w:val="20"/>
          <w:szCs w:val="20"/>
          <w:lang w:val="en-US"/>
        </w:rPr>
        <w:t xml:space="preserve"> </w:t>
      </w:r>
      <w:r w:rsidRPr="00D869E3">
        <w:rPr>
          <w:rFonts w:ascii="Verdana" w:hAnsi="Verdana"/>
          <w:color w:val="000000"/>
          <w:sz w:val="20"/>
          <w:szCs w:val="20"/>
          <w:lang w:val="en-US"/>
        </w:rPr>
        <w:t xml:space="preserve">filed another </w:t>
      </w:r>
      <w:r w:rsidR="008817D4" w:rsidRPr="00D869E3">
        <w:rPr>
          <w:rFonts w:ascii="Verdana" w:hAnsi="Verdana"/>
          <w:color w:val="000000"/>
          <w:sz w:val="20"/>
          <w:szCs w:val="20"/>
          <w:lang w:val="en-US"/>
        </w:rPr>
        <w:t>appeal for annulment</w:t>
      </w:r>
      <w:r w:rsidR="00E66DD7" w:rsidRPr="00D869E3">
        <w:rPr>
          <w:rFonts w:ascii="Verdana" w:hAnsi="Verdana"/>
          <w:color w:val="000000"/>
          <w:sz w:val="20"/>
          <w:szCs w:val="20"/>
          <w:lang w:val="en-US"/>
        </w:rPr>
        <w:t xml:space="preserve"> (1993)</w:t>
      </w:r>
      <w:r w:rsidR="00966115" w:rsidRPr="00D869E3">
        <w:rPr>
          <w:rFonts w:ascii="Verdana" w:hAnsi="Verdana"/>
          <w:color w:val="000000"/>
          <w:sz w:val="20"/>
          <w:szCs w:val="20"/>
          <w:lang w:val="en-US"/>
        </w:rPr>
        <w:t xml:space="preserve"> before the</w:t>
      </w:r>
      <w:r w:rsidR="00674572" w:rsidRPr="00D869E3">
        <w:rPr>
          <w:rFonts w:ascii="Verdana" w:hAnsi="Verdana" w:cs="Verdana"/>
          <w:sz w:val="20"/>
          <w:szCs w:val="20"/>
          <w:lang w:val="en-US"/>
        </w:rPr>
        <w:t xml:space="preserve"> Constitutional and Social Chamber</w:t>
      </w:r>
      <w:r w:rsidR="00447C65" w:rsidRPr="00D869E3">
        <w:rPr>
          <w:rFonts w:ascii="Verdana" w:hAnsi="Verdana" w:cs="Verdana"/>
          <w:sz w:val="20"/>
          <w:szCs w:val="20"/>
          <w:lang w:val="en-US"/>
        </w:rPr>
        <w:t xml:space="preserve"> of the </w:t>
      </w:r>
      <w:r w:rsidR="00EB5E2E" w:rsidRPr="00D869E3">
        <w:rPr>
          <w:rFonts w:ascii="Verdana" w:hAnsi="Verdana" w:cs="Verdana"/>
          <w:sz w:val="20"/>
          <w:szCs w:val="20"/>
          <w:lang w:val="en-US"/>
        </w:rPr>
        <w:t>Supreme Court</w:t>
      </w:r>
      <w:r w:rsidR="00E66DD7" w:rsidRPr="00D869E3">
        <w:rPr>
          <w:rFonts w:ascii="Verdana" w:hAnsi="Verdana" w:cs="Verdana"/>
          <w:sz w:val="20"/>
          <w:szCs w:val="20"/>
          <w:lang w:val="en-US"/>
        </w:rPr>
        <w:t xml:space="preserve">, </w:t>
      </w:r>
      <w:r w:rsidRPr="00D869E3">
        <w:rPr>
          <w:rFonts w:ascii="Verdana" w:hAnsi="Verdana" w:cs="Verdana"/>
          <w:sz w:val="20"/>
          <w:szCs w:val="20"/>
          <w:lang w:val="en-US"/>
        </w:rPr>
        <w:t>which declared that the j</w:t>
      </w:r>
      <w:r w:rsidR="00447C65" w:rsidRPr="00D869E3">
        <w:rPr>
          <w:rFonts w:ascii="Verdana" w:hAnsi="Verdana" w:cs="Verdana"/>
          <w:sz w:val="20"/>
          <w:szCs w:val="20"/>
          <w:lang w:val="en-US"/>
        </w:rPr>
        <w:t>udgment of</w:t>
      </w:r>
      <w:r w:rsidR="00E66DD7" w:rsidRPr="00D869E3">
        <w:rPr>
          <w:rFonts w:ascii="Verdana" w:hAnsi="Verdana" w:cs="Verdana"/>
          <w:sz w:val="20"/>
          <w:szCs w:val="20"/>
          <w:lang w:val="en-US"/>
        </w:rPr>
        <w:t xml:space="preserve"> </w:t>
      </w:r>
      <w:r w:rsidR="00EB5E2E" w:rsidRPr="00D869E3">
        <w:rPr>
          <w:rFonts w:ascii="Verdana" w:hAnsi="Verdana" w:cs="Verdana"/>
          <w:sz w:val="20"/>
          <w:szCs w:val="20"/>
          <w:lang w:val="en-US"/>
        </w:rPr>
        <w:t>the Fifth Civil Chamber</w:t>
      </w:r>
      <w:r w:rsidRPr="00D869E3">
        <w:rPr>
          <w:rFonts w:ascii="Verdana" w:hAnsi="Verdana" w:cs="Verdana"/>
          <w:sz w:val="20"/>
          <w:szCs w:val="20"/>
          <w:lang w:val="en-US"/>
        </w:rPr>
        <w:t xml:space="preserve"> was valid</w:t>
      </w:r>
      <w:r w:rsidR="00E66DD7" w:rsidRPr="00D869E3">
        <w:rPr>
          <w:rFonts w:ascii="Verdana" w:hAnsi="Verdana" w:cs="Verdana"/>
          <w:sz w:val="20"/>
          <w:szCs w:val="20"/>
          <w:lang w:val="en-US"/>
        </w:rPr>
        <w:t xml:space="preserve">. </w:t>
      </w:r>
      <w:r w:rsidRPr="00D869E3">
        <w:rPr>
          <w:rFonts w:ascii="Verdana" w:hAnsi="Verdana" w:cs="Verdana"/>
          <w:sz w:val="20"/>
          <w:szCs w:val="20"/>
          <w:lang w:val="en-US"/>
        </w:rPr>
        <w:t>In its decision of</w:t>
      </w:r>
      <w:r w:rsidR="00E66DD7" w:rsidRPr="00D869E3">
        <w:rPr>
          <w:rFonts w:ascii="Verdana" w:hAnsi="Verdana" w:cs="Verdana"/>
          <w:sz w:val="20"/>
          <w:szCs w:val="20"/>
          <w:lang w:val="en-US"/>
        </w:rPr>
        <w:t xml:space="preserve"> </w:t>
      </w:r>
      <w:r w:rsidR="009D24D8" w:rsidRPr="00D869E3">
        <w:rPr>
          <w:rFonts w:ascii="Verdana" w:hAnsi="Verdana" w:cs="Verdana"/>
          <w:sz w:val="20"/>
          <w:szCs w:val="20"/>
          <w:lang w:val="en-US"/>
        </w:rPr>
        <w:t>March 15</w:t>
      </w:r>
      <w:r w:rsidR="006F7F35" w:rsidRPr="00D869E3">
        <w:rPr>
          <w:rFonts w:ascii="Verdana" w:hAnsi="Verdana" w:cs="Verdana"/>
          <w:sz w:val="20"/>
          <w:szCs w:val="20"/>
          <w:lang w:val="en-US"/>
        </w:rPr>
        <w:t>,</w:t>
      </w:r>
      <w:r w:rsidR="00E66DD7" w:rsidRPr="00D869E3">
        <w:rPr>
          <w:rFonts w:ascii="Verdana" w:hAnsi="Verdana" w:cs="Verdana"/>
          <w:sz w:val="20"/>
          <w:szCs w:val="20"/>
          <w:lang w:val="en-US"/>
        </w:rPr>
        <w:t xml:space="preserve"> 1993</w:t>
      </w:r>
      <w:r w:rsidRPr="00D869E3">
        <w:rPr>
          <w:rFonts w:ascii="Verdana" w:hAnsi="Verdana" w:cs="Verdana"/>
          <w:sz w:val="20"/>
          <w:szCs w:val="20"/>
          <w:lang w:val="en-US"/>
        </w:rPr>
        <w:t>, the Chamber merely indicated “that</w:t>
      </w:r>
      <w:r w:rsidR="00FF19D3" w:rsidRPr="00D869E3">
        <w:rPr>
          <w:rFonts w:ascii="Verdana" w:hAnsi="Verdana" w:cs="Verdana"/>
          <w:sz w:val="20"/>
          <w:szCs w:val="20"/>
          <w:lang w:val="en-US"/>
        </w:rPr>
        <w:t>,</w:t>
      </w:r>
      <w:r w:rsidRPr="00D869E3">
        <w:rPr>
          <w:rFonts w:ascii="Verdana" w:hAnsi="Verdana" w:cs="Verdana"/>
          <w:sz w:val="20"/>
          <w:szCs w:val="20"/>
          <w:lang w:val="en-US"/>
        </w:rPr>
        <w:t xml:space="preserve"> pursuant to the arguments of the [Supreme] Prosecutor [for Administrative Disputes, and taking into account] his reasoning, [it] declare[d] that the judgment was valid.” </w:t>
      </w:r>
      <w:r w:rsidR="00FF19D3" w:rsidRPr="00D869E3">
        <w:rPr>
          <w:rFonts w:ascii="Verdana" w:hAnsi="Verdana" w:cs="Verdana"/>
          <w:sz w:val="20"/>
          <w:szCs w:val="20"/>
          <w:lang w:val="en-US"/>
        </w:rPr>
        <w:t>The</w:t>
      </w:r>
      <w:r w:rsidR="006301C3" w:rsidRPr="00D869E3">
        <w:rPr>
          <w:rFonts w:ascii="Verdana" w:hAnsi="Verdana" w:cs="Verdana"/>
          <w:sz w:val="20"/>
          <w:szCs w:val="20"/>
          <w:lang w:val="en-US"/>
        </w:rPr>
        <w:t xml:space="preserve"> prosecutor</w:t>
      </w:r>
      <w:r w:rsidR="00FF19D3" w:rsidRPr="00D869E3">
        <w:rPr>
          <w:rFonts w:ascii="Verdana" w:hAnsi="Verdana" w:cs="Verdana"/>
          <w:sz w:val="20"/>
          <w:szCs w:val="20"/>
          <w:lang w:val="en-US"/>
        </w:rPr>
        <w:t>’s opinion</w:t>
      </w:r>
      <w:r w:rsidR="006301C3" w:rsidRPr="00D869E3">
        <w:rPr>
          <w:rFonts w:ascii="Verdana" w:hAnsi="Verdana" w:cs="Verdana"/>
          <w:sz w:val="20"/>
          <w:szCs w:val="20"/>
          <w:lang w:val="en-US"/>
        </w:rPr>
        <w:t xml:space="preserve"> indicated that “t</w:t>
      </w:r>
      <w:r w:rsidR="006301C3" w:rsidRPr="00D869E3">
        <w:rPr>
          <w:rFonts w:ascii="Verdana" w:hAnsi="Verdana"/>
          <w:sz w:val="20"/>
          <w:szCs w:val="20"/>
          <w:lang w:val="en-US"/>
        </w:rPr>
        <w:t xml:space="preserve">he judicial decisions of the Labor and Labor Communities Jurisdiction that </w:t>
      </w:r>
      <w:r w:rsidR="00FF19D3" w:rsidRPr="00D869E3">
        <w:rPr>
          <w:rFonts w:ascii="Verdana" w:hAnsi="Verdana"/>
          <w:sz w:val="20"/>
          <w:szCs w:val="20"/>
          <w:lang w:val="en-US"/>
        </w:rPr>
        <w:t>are final</w:t>
      </w:r>
      <w:r w:rsidR="006301C3" w:rsidRPr="00D869E3">
        <w:rPr>
          <w:rFonts w:ascii="Verdana" w:hAnsi="Verdana"/>
          <w:sz w:val="20"/>
          <w:szCs w:val="20"/>
          <w:lang w:val="en-US"/>
        </w:rPr>
        <w:t xml:space="preserve"> and enforceable have the authority of </w:t>
      </w:r>
      <w:r w:rsidR="006301C3" w:rsidRPr="00D869E3">
        <w:rPr>
          <w:rFonts w:ascii="Verdana" w:hAnsi="Verdana"/>
          <w:i/>
          <w:iCs/>
          <w:sz w:val="20"/>
          <w:szCs w:val="20"/>
          <w:lang w:val="en-US"/>
        </w:rPr>
        <w:t>res judicata</w:t>
      </w:r>
      <w:r w:rsidR="006301C3" w:rsidRPr="00D869E3">
        <w:rPr>
          <w:rFonts w:ascii="Verdana" w:hAnsi="Verdana"/>
          <w:sz w:val="20"/>
          <w:szCs w:val="20"/>
          <w:lang w:val="en-US"/>
        </w:rPr>
        <w:t xml:space="preserve">”; therefore, to review such a decision would entail reviving a defunct proceeding and, consequently, an infringement of </w:t>
      </w:r>
      <w:r w:rsidR="006301C3" w:rsidRPr="00D869E3">
        <w:rPr>
          <w:rFonts w:ascii="Verdana" w:hAnsi="Verdana"/>
          <w:i/>
          <w:iCs/>
          <w:sz w:val="20"/>
          <w:szCs w:val="20"/>
          <w:lang w:val="en-US"/>
        </w:rPr>
        <w:t>res judicata</w:t>
      </w:r>
      <w:r w:rsidR="006301C3" w:rsidRPr="00D869E3">
        <w:rPr>
          <w:rFonts w:ascii="Verdana" w:hAnsi="Verdana"/>
          <w:sz w:val="20"/>
          <w:szCs w:val="20"/>
          <w:lang w:val="en-US"/>
        </w:rPr>
        <w:t>.</w:t>
      </w:r>
      <w:r w:rsidR="006301C3" w:rsidRPr="00D869E3">
        <w:rPr>
          <w:rFonts w:ascii="Verdana" w:hAnsi="Verdana" w:cs="Verdana"/>
          <w:sz w:val="20"/>
          <w:szCs w:val="20"/>
          <w:lang w:val="en-US"/>
        </w:rPr>
        <w:t xml:space="preserve"> </w:t>
      </w:r>
      <w:r w:rsidR="00075E68" w:rsidRPr="00D869E3">
        <w:rPr>
          <w:rFonts w:ascii="Verdana" w:hAnsi="Verdana" w:cs="Verdana"/>
          <w:sz w:val="20"/>
          <w:szCs w:val="20"/>
          <w:lang w:val="en-US"/>
        </w:rPr>
        <w:t>In this regard</w:t>
      </w:r>
      <w:r w:rsidR="00E66DD7" w:rsidRPr="00D869E3">
        <w:rPr>
          <w:rFonts w:ascii="Verdana" w:hAnsi="Verdana" w:cs="Verdana"/>
          <w:sz w:val="20"/>
          <w:szCs w:val="20"/>
          <w:lang w:val="en-US"/>
        </w:rPr>
        <w:t xml:space="preserve">, </w:t>
      </w:r>
      <w:r w:rsidR="00447C65" w:rsidRPr="00D869E3">
        <w:rPr>
          <w:rFonts w:ascii="Verdana" w:hAnsi="Verdana" w:cs="Verdana"/>
          <w:sz w:val="20"/>
          <w:szCs w:val="20"/>
          <w:lang w:val="en-US"/>
        </w:rPr>
        <w:t>the Court</w:t>
      </w:r>
      <w:r w:rsidR="00E66DD7" w:rsidRPr="00D869E3">
        <w:rPr>
          <w:rFonts w:ascii="Verdana" w:hAnsi="Verdana" w:cs="Verdana"/>
          <w:sz w:val="20"/>
          <w:szCs w:val="20"/>
          <w:lang w:val="en-US"/>
        </w:rPr>
        <w:t xml:space="preserve"> not</w:t>
      </w:r>
      <w:r w:rsidR="006301C3" w:rsidRPr="00D869E3">
        <w:rPr>
          <w:rFonts w:ascii="Verdana" w:hAnsi="Verdana" w:cs="Verdana"/>
          <w:sz w:val="20"/>
          <w:szCs w:val="20"/>
          <w:lang w:val="en-US"/>
        </w:rPr>
        <w:t xml:space="preserve">es that, according to this decision, following </w:t>
      </w:r>
      <w:r w:rsidR="00FF19D3" w:rsidRPr="00D869E3">
        <w:rPr>
          <w:rFonts w:ascii="Verdana" w:hAnsi="Verdana" w:cs="Verdana"/>
          <w:sz w:val="20"/>
          <w:szCs w:val="20"/>
          <w:lang w:val="en-US"/>
        </w:rPr>
        <w:t>an</w:t>
      </w:r>
      <w:r w:rsidR="006301C3" w:rsidRPr="00D869E3">
        <w:rPr>
          <w:rFonts w:ascii="Verdana" w:hAnsi="Verdana" w:cs="Verdana"/>
          <w:sz w:val="20"/>
          <w:szCs w:val="20"/>
          <w:lang w:val="en-US"/>
        </w:rPr>
        <w:t xml:space="preserve"> appeal </w:t>
      </w:r>
      <w:r w:rsidR="00FF19D3" w:rsidRPr="00D869E3">
        <w:rPr>
          <w:rFonts w:ascii="Verdana" w:hAnsi="Verdana" w:cs="Verdana"/>
          <w:sz w:val="20"/>
          <w:szCs w:val="20"/>
          <w:lang w:val="en-US"/>
        </w:rPr>
        <w:t>i</w:t>
      </w:r>
      <w:r w:rsidR="006301C3" w:rsidRPr="00D869E3">
        <w:rPr>
          <w:rFonts w:ascii="Verdana" w:hAnsi="Verdana" w:cs="Verdana"/>
          <w:sz w:val="20"/>
          <w:szCs w:val="20"/>
          <w:lang w:val="en-US"/>
        </w:rPr>
        <w:t>n a labor matter, there was no possibility of reviewing or contesting key aspects of the final decision</w:t>
      </w:r>
      <w:r w:rsidR="00E66DD7" w:rsidRPr="00D869E3">
        <w:rPr>
          <w:rFonts w:ascii="Verdana" w:hAnsi="Verdana" w:cs="Verdana"/>
          <w:sz w:val="20"/>
          <w:szCs w:val="20"/>
          <w:lang w:val="en-US"/>
        </w:rPr>
        <w:t>.</w:t>
      </w:r>
    </w:p>
    <w:p w14:paraId="2FE24652" w14:textId="77777777" w:rsidR="00E66DD7" w:rsidRPr="00D869E3" w:rsidRDefault="00E66DD7" w:rsidP="00E66DD7">
      <w:pPr>
        <w:contextualSpacing/>
        <w:jc w:val="both"/>
        <w:rPr>
          <w:rFonts w:ascii="Verdana" w:hAnsi="Verdana" w:cs="Verdana"/>
          <w:color w:val="000000"/>
          <w:sz w:val="20"/>
          <w:szCs w:val="20"/>
          <w:lang w:val="en-US"/>
        </w:rPr>
      </w:pPr>
    </w:p>
    <w:p w14:paraId="16B0771B" w14:textId="4611A390" w:rsidR="00E66DD7" w:rsidRPr="00D869E3" w:rsidRDefault="00C27D92" w:rsidP="00E66DD7">
      <w:pPr>
        <w:numPr>
          <w:ilvl w:val="0"/>
          <w:numId w:val="1"/>
        </w:numPr>
        <w:ind w:left="0" w:firstLine="0"/>
        <w:contextualSpacing/>
        <w:jc w:val="both"/>
        <w:rPr>
          <w:rFonts w:ascii="Verdana" w:hAnsi="Verdana" w:cs="Arial"/>
          <w:sz w:val="20"/>
          <w:szCs w:val="20"/>
          <w:lang w:val="en-US"/>
        </w:rPr>
      </w:pPr>
      <w:r w:rsidRPr="00D869E3">
        <w:rPr>
          <w:rFonts w:ascii="Verdana" w:hAnsi="Verdana" w:cs="Verdana"/>
          <w:color w:val="000000"/>
          <w:sz w:val="20"/>
          <w:szCs w:val="20"/>
          <w:lang w:val="en-US"/>
        </w:rPr>
        <w:t>Fourth</w:t>
      </w:r>
      <w:r w:rsidR="00E66DD7" w:rsidRPr="00D869E3">
        <w:rPr>
          <w:rFonts w:ascii="Verdana" w:hAnsi="Verdana" w:cs="Verdana"/>
          <w:color w:val="000000"/>
          <w:sz w:val="20"/>
          <w:szCs w:val="20"/>
          <w:lang w:val="en-US"/>
        </w:rPr>
        <w:t>,</w:t>
      </w:r>
      <w:r w:rsidRPr="00D869E3">
        <w:rPr>
          <w:rFonts w:ascii="Verdana" w:hAnsi="Verdana" w:cs="Verdana"/>
          <w:color w:val="000000"/>
          <w:sz w:val="20"/>
          <w:szCs w:val="20"/>
          <w:lang w:val="en-US"/>
        </w:rPr>
        <w:t xml:space="preserve"> after his application for amparo was rejected in </w:t>
      </w:r>
      <w:r w:rsidR="00E66DD7" w:rsidRPr="00D869E3">
        <w:rPr>
          <w:rFonts w:ascii="Verdana" w:hAnsi="Verdana" w:cs="Verdana"/>
          <w:color w:val="000000"/>
          <w:sz w:val="20"/>
          <w:szCs w:val="20"/>
          <w:lang w:val="en-US"/>
        </w:rPr>
        <w:t xml:space="preserve">1992, </w:t>
      </w:r>
      <w:r w:rsidR="001E44D3" w:rsidRPr="00D869E3">
        <w:rPr>
          <w:rFonts w:ascii="Verdana" w:hAnsi="Verdana" w:cs="Verdana"/>
          <w:color w:val="000000"/>
          <w:sz w:val="20"/>
          <w:szCs w:val="20"/>
          <w:lang w:val="en-US"/>
        </w:rPr>
        <w:t>Mr. Lagos del Campo</w:t>
      </w:r>
      <w:r w:rsidR="00E66DD7" w:rsidRPr="00D869E3">
        <w:rPr>
          <w:rFonts w:ascii="Verdana" w:hAnsi="Verdana" w:cs="Verdana"/>
          <w:color w:val="000000"/>
          <w:sz w:val="20"/>
          <w:szCs w:val="20"/>
          <w:lang w:val="en-US"/>
        </w:rPr>
        <w:t xml:space="preserve"> continu</w:t>
      </w:r>
      <w:r w:rsidRPr="00D869E3">
        <w:rPr>
          <w:rFonts w:ascii="Verdana" w:hAnsi="Verdana" w:cs="Verdana"/>
          <w:color w:val="000000"/>
          <w:sz w:val="20"/>
          <w:szCs w:val="20"/>
          <w:lang w:val="en-US"/>
        </w:rPr>
        <w:t xml:space="preserve">ed filing appeals. Following the establishment of </w:t>
      </w:r>
      <w:r w:rsidR="00447C65" w:rsidRPr="00D869E3">
        <w:rPr>
          <w:rFonts w:ascii="Verdana" w:hAnsi="Verdana"/>
          <w:color w:val="000000"/>
          <w:sz w:val="20"/>
          <w:szCs w:val="20"/>
          <w:lang w:val="en-US"/>
        </w:rPr>
        <w:t xml:space="preserve">the </w:t>
      </w:r>
      <w:r w:rsidR="00674572" w:rsidRPr="00D869E3">
        <w:rPr>
          <w:rFonts w:ascii="Verdana" w:hAnsi="Verdana"/>
          <w:color w:val="000000"/>
          <w:sz w:val="20"/>
          <w:szCs w:val="20"/>
          <w:lang w:val="en-US"/>
        </w:rPr>
        <w:t>Constitutional Court</w:t>
      </w:r>
      <w:r w:rsidR="00E66DD7" w:rsidRPr="00D869E3">
        <w:rPr>
          <w:rFonts w:ascii="Verdana" w:hAnsi="Verdana"/>
          <w:color w:val="000000"/>
          <w:sz w:val="20"/>
          <w:szCs w:val="20"/>
          <w:lang w:val="en-US"/>
        </w:rPr>
        <w:t xml:space="preserve"> </w:t>
      </w:r>
      <w:r w:rsidRPr="00D869E3">
        <w:rPr>
          <w:rFonts w:ascii="Verdana" w:hAnsi="Verdana"/>
          <w:color w:val="000000"/>
          <w:sz w:val="20"/>
          <w:szCs w:val="20"/>
          <w:lang w:val="en-US"/>
        </w:rPr>
        <w:t>i</w:t>
      </w:r>
      <w:r w:rsidR="00E66DD7" w:rsidRPr="00D869E3">
        <w:rPr>
          <w:rFonts w:ascii="Verdana" w:hAnsi="Verdana"/>
          <w:color w:val="000000"/>
          <w:sz w:val="20"/>
          <w:szCs w:val="20"/>
          <w:lang w:val="en-US"/>
        </w:rPr>
        <w:t xml:space="preserve">n 1996, </w:t>
      </w:r>
      <w:r w:rsidRPr="00D869E3">
        <w:rPr>
          <w:rFonts w:ascii="Verdana" w:hAnsi="Verdana"/>
          <w:color w:val="000000"/>
          <w:sz w:val="20"/>
          <w:szCs w:val="20"/>
          <w:lang w:val="en-US"/>
        </w:rPr>
        <w:t xml:space="preserve">he requested that the amparo proceedings be raised before that court, but </w:t>
      </w:r>
      <w:r w:rsidR="009D37C8" w:rsidRPr="00D869E3">
        <w:rPr>
          <w:rFonts w:ascii="Verdana" w:hAnsi="Verdana"/>
          <w:color w:val="000000"/>
          <w:sz w:val="20"/>
          <w:szCs w:val="20"/>
          <w:lang w:val="en-US"/>
        </w:rPr>
        <w:t>the Third Specialized Civil Chamber</w:t>
      </w:r>
      <w:r w:rsidR="00E66DD7" w:rsidRPr="00D869E3">
        <w:rPr>
          <w:rFonts w:ascii="Verdana" w:hAnsi="Verdana"/>
          <w:color w:val="000000"/>
          <w:sz w:val="20"/>
          <w:szCs w:val="20"/>
          <w:lang w:val="en-US"/>
        </w:rPr>
        <w:t xml:space="preserve"> declar</w:t>
      </w:r>
      <w:r w:rsidRPr="00D869E3">
        <w:rPr>
          <w:rFonts w:ascii="Verdana" w:hAnsi="Verdana"/>
          <w:color w:val="000000"/>
          <w:sz w:val="20"/>
          <w:szCs w:val="20"/>
          <w:lang w:val="en-US"/>
        </w:rPr>
        <w:t xml:space="preserve">ed his request inadmissible, and indicated that he should have filed a cassation appeal within 15 days of the rejection </w:t>
      </w:r>
      <w:r w:rsidR="00E66DD7" w:rsidRPr="00D869E3">
        <w:rPr>
          <w:rFonts w:ascii="Verdana" w:hAnsi="Verdana"/>
          <w:color w:val="000000"/>
          <w:sz w:val="20"/>
          <w:szCs w:val="20"/>
          <w:lang w:val="en-US"/>
        </w:rPr>
        <w:t>(</w:t>
      </w:r>
      <w:r w:rsidR="001E3B42" w:rsidRPr="00D869E3">
        <w:rPr>
          <w:rFonts w:ascii="Verdana" w:hAnsi="Verdana"/>
          <w:color w:val="000000"/>
          <w:sz w:val="20"/>
          <w:szCs w:val="20"/>
          <w:lang w:val="en-US"/>
        </w:rPr>
        <w:t>August 3,</w:t>
      </w:r>
      <w:r w:rsidR="00E66DD7" w:rsidRPr="00D869E3">
        <w:rPr>
          <w:rFonts w:ascii="Verdana" w:hAnsi="Verdana"/>
          <w:color w:val="000000"/>
          <w:sz w:val="20"/>
          <w:szCs w:val="20"/>
          <w:lang w:val="en-US"/>
        </w:rPr>
        <w:t xml:space="preserve"> 1992). </w:t>
      </w:r>
    </w:p>
    <w:p w14:paraId="0AD60CF2" w14:textId="77777777" w:rsidR="00E66DD7" w:rsidRPr="00D869E3" w:rsidRDefault="00E66DD7" w:rsidP="00E66DD7">
      <w:pPr>
        <w:contextualSpacing/>
        <w:jc w:val="both"/>
        <w:rPr>
          <w:rFonts w:ascii="Verdana" w:hAnsi="Verdana" w:cs="Arial"/>
          <w:sz w:val="20"/>
          <w:szCs w:val="20"/>
          <w:lang w:val="en-US"/>
        </w:rPr>
      </w:pPr>
    </w:p>
    <w:p w14:paraId="50BB53FD" w14:textId="63BB976D" w:rsidR="00E66DD7" w:rsidRPr="00D869E3" w:rsidRDefault="00075E68" w:rsidP="00E66DD7">
      <w:pPr>
        <w:numPr>
          <w:ilvl w:val="0"/>
          <w:numId w:val="1"/>
        </w:numPr>
        <w:ind w:left="0" w:firstLine="0"/>
        <w:contextualSpacing/>
        <w:jc w:val="both"/>
        <w:rPr>
          <w:rFonts w:ascii="Verdana" w:hAnsi="Verdana" w:cs="Arial"/>
          <w:sz w:val="20"/>
          <w:szCs w:val="20"/>
          <w:lang w:val="en-US"/>
        </w:rPr>
      </w:pPr>
      <w:r w:rsidRPr="00D869E3">
        <w:rPr>
          <w:rFonts w:ascii="Verdana" w:hAnsi="Verdana"/>
          <w:color w:val="000000"/>
          <w:sz w:val="20"/>
          <w:szCs w:val="20"/>
          <w:lang w:val="en-US"/>
        </w:rPr>
        <w:t>In this regard</w:t>
      </w:r>
      <w:r w:rsidR="00E66DD7" w:rsidRPr="00D869E3">
        <w:rPr>
          <w:rFonts w:ascii="Verdana" w:hAnsi="Verdana"/>
          <w:color w:val="000000"/>
          <w:sz w:val="20"/>
          <w:szCs w:val="20"/>
          <w:lang w:val="en-US"/>
        </w:rPr>
        <w:t xml:space="preserve">, </w:t>
      </w:r>
      <w:r w:rsidR="00447C65" w:rsidRPr="00D869E3">
        <w:rPr>
          <w:rFonts w:ascii="Verdana" w:hAnsi="Verdana"/>
          <w:color w:val="000000"/>
          <w:sz w:val="20"/>
          <w:szCs w:val="20"/>
          <w:lang w:val="en-US"/>
        </w:rPr>
        <w:t>the Court</w:t>
      </w:r>
      <w:r w:rsidR="00E66DD7" w:rsidRPr="00D869E3">
        <w:rPr>
          <w:rFonts w:ascii="Verdana" w:hAnsi="Verdana"/>
          <w:color w:val="000000"/>
          <w:sz w:val="20"/>
          <w:szCs w:val="20"/>
          <w:lang w:val="en-US"/>
        </w:rPr>
        <w:t xml:space="preserve"> not</w:t>
      </w:r>
      <w:r w:rsidR="00C27D92" w:rsidRPr="00D869E3">
        <w:rPr>
          <w:rFonts w:ascii="Verdana" w:hAnsi="Verdana"/>
          <w:color w:val="000000"/>
          <w:sz w:val="20"/>
          <w:szCs w:val="20"/>
          <w:lang w:val="en-US"/>
        </w:rPr>
        <w:t>es that, when the application for amparo was rejected,</w:t>
      </w:r>
      <w:r w:rsidR="00E66DD7" w:rsidRPr="00D869E3">
        <w:rPr>
          <w:rFonts w:ascii="Verdana" w:hAnsi="Verdana"/>
          <w:color w:val="000000"/>
          <w:sz w:val="20"/>
          <w:szCs w:val="20"/>
          <w:lang w:val="en-US"/>
        </w:rPr>
        <w:t xml:space="preserve"> </w:t>
      </w:r>
      <w:r w:rsidR="00447C65" w:rsidRPr="00D869E3">
        <w:rPr>
          <w:rFonts w:ascii="Verdana" w:hAnsi="Verdana" w:cs="Arial"/>
          <w:sz w:val="20"/>
          <w:szCs w:val="20"/>
          <w:lang w:val="en-US"/>
        </w:rPr>
        <w:t xml:space="preserve">the </w:t>
      </w:r>
      <w:r w:rsidR="00EE0BD4" w:rsidRPr="00D869E3">
        <w:rPr>
          <w:rFonts w:ascii="Verdana" w:hAnsi="Verdana" w:cs="Arial"/>
          <w:sz w:val="20"/>
          <w:szCs w:val="20"/>
          <w:lang w:val="en-US"/>
        </w:rPr>
        <w:t>Court of Constitutional Guarantees</w:t>
      </w:r>
      <w:r w:rsidR="00E66DD7" w:rsidRPr="00D869E3">
        <w:rPr>
          <w:rFonts w:ascii="Verdana" w:hAnsi="Verdana" w:cs="Arial"/>
          <w:sz w:val="20"/>
          <w:szCs w:val="20"/>
          <w:lang w:val="en-US"/>
        </w:rPr>
        <w:t xml:space="preserve"> </w:t>
      </w:r>
      <w:r w:rsidR="00C27D92" w:rsidRPr="00D869E3">
        <w:rPr>
          <w:rFonts w:ascii="Verdana" w:hAnsi="Verdana" w:cs="Arial"/>
          <w:sz w:val="20"/>
          <w:szCs w:val="20"/>
          <w:lang w:val="en-US"/>
        </w:rPr>
        <w:t>had been suspen</w:t>
      </w:r>
      <w:r w:rsidR="00162D2F" w:rsidRPr="00D869E3">
        <w:rPr>
          <w:rFonts w:ascii="Verdana" w:hAnsi="Verdana" w:cs="Arial"/>
          <w:sz w:val="20"/>
          <w:szCs w:val="20"/>
          <w:lang w:val="en-US"/>
        </w:rPr>
        <w:t>d</w:t>
      </w:r>
      <w:r w:rsidR="00C27D92" w:rsidRPr="00D869E3">
        <w:rPr>
          <w:rFonts w:ascii="Verdana" w:hAnsi="Verdana" w:cs="Arial"/>
          <w:sz w:val="20"/>
          <w:szCs w:val="20"/>
          <w:lang w:val="en-US"/>
        </w:rPr>
        <w:t xml:space="preserve">ed, owing to the dismissal of the justices by </w:t>
      </w:r>
      <w:r w:rsidR="00E66DD7" w:rsidRPr="00D869E3">
        <w:rPr>
          <w:rFonts w:ascii="Verdana" w:hAnsi="Verdana" w:cs="Arial"/>
          <w:sz w:val="20"/>
          <w:szCs w:val="20"/>
          <w:lang w:val="en-US"/>
        </w:rPr>
        <w:t>Decre</w:t>
      </w:r>
      <w:r w:rsidR="00162D2F" w:rsidRPr="00D869E3">
        <w:rPr>
          <w:rFonts w:ascii="Verdana" w:hAnsi="Verdana" w:cs="Arial"/>
          <w:sz w:val="20"/>
          <w:szCs w:val="20"/>
          <w:lang w:val="en-US"/>
        </w:rPr>
        <w:t>e</w:t>
      </w:r>
      <w:r w:rsidR="00E66DD7" w:rsidRPr="00D869E3">
        <w:rPr>
          <w:rFonts w:ascii="Verdana" w:hAnsi="Verdana" w:cs="Arial"/>
          <w:sz w:val="20"/>
          <w:szCs w:val="20"/>
          <w:lang w:val="en-US"/>
        </w:rPr>
        <w:t xml:space="preserve"> </w:t>
      </w:r>
      <w:r w:rsidR="00852CCA" w:rsidRPr="00D869E3">
        <w:rPr>
          <w:rFonts w:ascii="Verdana" w:hAnsi="Verdana" w:cs="Arial"/>
          <w:sz w:val="20"/>
          <w:szCs w:val="20"/>
          <w:lang w:val="en-US"/>
        </w:rPr>
        <w:t>Law</w:t>
      </w:r>
      <w:r w:rsidR="00E66DD7" w:rsidRPr="00D869E3">
        <w:rPr>
          <w:rFonts w:ascii="Verdana" w:hAnsi="Verdana" w:cs="Arial"/>
          <w:sz w:val="20"/>
          <w:szCs w:val="20"/>
          <w:lang w:val="en-US"/>
        </w:rPr>
        <w:t xml:space="preserve"> No. 25422 </w:t>
      </w:r>
      <w:r w:rsidR="00C27D92" w:rsidRPr="00D869E3">
        <w:rPr>
          <w:rFonts w:ascii="Verdana" w:hAnsi="Verdana" w:cs="Arial"/>
          <w:sz w:val="20"/>
          <w:szCs w:val="20"/>
          <w:lang w:val="en-US"/>
        </w:rPr>
        <w:t>of April 9,</w:t>
      </w:r>
      <w:r w:rsidR="00E66DD7" w:rsidRPr="00D869E3">
        <w:rPr>
          <w:rFonts w:ascii="Verdana" w:hAnsi="Verdana" w:cs="Arial"/>
          <w:sz w:val="20"/>
          <w:szCs w:val="20"/>
          <w:lang w:val="en-US"/>
        </w:rPr>
        <w:t xml:space="preserve"> 1992</w:t>
      </w:r>
      <w:r w:rsidR="00C27D92" w:rsidRPr="00D869E3">
        <w:rPr>
          <w:rFonts w:ascii="Verdana" w:hAnsi="Verdana" w:cs="Arial"/>
          <w:sz w:val="20"/>
          <w:szCs w:val="20"/>
          <w:lang w:val="en-US"/>
        </w:rPr>
        <w:t>.</w:t>
      </w:r>
      <w:r w:rsidR="00E66DD7" w:rsidRPr="00D869E3">
        <w:rPr>
          <w:rFonts w:ascii="Verdana" w:hAnsi="Verdana" w:cs="Verdana"/>
          <w:color w:val="000000"/>
          <w:sz w:val="20"/>
          <w:szCs w:val="20"/>
          <w:vertAlign w:val="superscript"/>
          <w:lang w:val="en-US"/>
        </w:rPr>
        <w:footnoteReference w:id="257"/>
      </w:r>
      <w:r w:rsidR="00C27D92" w:rsidRPr="00D869E3">
        <w:rPr>
          <w:rFonts w:ascii="Verdana" w:hAnsi="Verdana" w:cs="Arial"/>
          <w:sz w:val="20"/>
          <w:szCs w:val="20"/>
          <w:lang w:val="en-US"/>
        </w:rPr>
        <w:t xml:space="preserve"> Consequently, </w:t>
      </w:r>
      <w:r w:rsidR="00162D2F" w:rsidRPr="00D869E3">
        <w:rPr>
          <w:rFonts w:ascii="Verdana" w:hAnsi="Verdana" w:cs="Arial"/>
          <w:sz w:val="20"/>
          <w:szCs w:val="20"/>
          <w:lang w:val="en-US"/>
        </w:rPr>
        <w:t xml:space="preserve">the victim could not be required to exhaust a remedy that, at the time of the facts, was not available or that it would be illusory to exhaust, because </w:t>
      </w:r>
      <w:r w:rsidR="00FF19D3" w:rsidRPr="00D869E3">
        <w:rPr>
          <w:rFonts w:ascii="Verdana" w:hAnsi="Verdana" w:cs="Arial"/>
          <w:sz w:val="20"/>
          <w:szCs w:val="20"/>
          <w:lang w:val="en-US"/>
        </w:rPr>
        <w:t>t</w:t>
      </w:r>
      <w:r w:rsidR="00162D2F" w:rsidRPr="00D869E3">
        <w:rPr>
          <w:rFonts w:ascii="Verdana" w:hAnsi="Verdana" w:cs="Arial"/>
          <w:sz w:val="20"/>
          <w:szCs w:val="20"/>
          <w:lang w:val="en-US"/>
        </w:rPr>
        <w:t xml:space="preserve">he court was not functioning </w:t>
      </w:r>
      <w:r w:rsidR="00E66DD7" w:rsidRPr="00D869E3">
        <w:rPr>
          <w:rFonts w:ascii="Verdana" w:hAnsi="Verdana" w:cs="Verdana"/>
          <w:color w:val="000000"/>
          <w:sz w:val="20"/>
          <w:szCs w:val="20"/>
          <w:lang w:val="en-US"/>
        </w:rPr>
        <w:t>(</w:t>
      </w:r>
      <w:r w:rsidR="00447C65" w:rsidRPr="00D869E3">
        <w:rPr>
          <w:rFonts w:ascii="Verdana" w:hAnsi="Verdana" w:cs="Verdana"/>
          <w:color w:val="000000"/>
          <w:sz w:val="20"/>
          <w:szCs w:val="20"/>
          <w:lang w:val="en-US"/>
        </w:rPr>
        <w:t>Article</w:t>
      </w:r>
      <w:r w:rsidR="00E66DD7" w:rsidRPr="00D869E3">
        <w:rPr>
          <w:rFonts w:ascii="Verdana" w:hAnsi="Verdana" w:cs="Verdana"/>
          <w:color w:val="000000"/>
          <w:sz w:val="20"/>
          <w:szCs w:val="20"/>
          <w:lang w:val="en-US"/>
        </w:rPr>
        <w:t xml:space="preserve"> 46</w:t>
      </w:r>
      <w:r w:rsidR="00162D2F" w:rsidRPr="00D869E3">
        <w:rPr>
          <w:rFonts w:ascii="Verdana" w:hAnsi="Verdana" w:cs="Verdana"/>
          <w:color w:val="000000"/>
          <w:sz w:val="20"/>
          <w:szCs w:val="20"/>
          <w:lang w:val="en-US"/>
        </w:rPr>
        <w:t>(</w:t>
      </w:r>
      <w:r w:rsidR="00E66DD7" w:rsidRPr="00D869E3">
        <w:rPr>
          <w:rFonts w:ascii="Verdana" w:hAnsi="Verdana" w:cs="Verdana"/>
          <w:color w:val="000000"/>
          <w:sz w:val="20"/>
          <w:szCs w:val="20"/>
          <w:lang w:val="en-US"/>
        </w:rPr>
        <w:t>2</w:t>
      </w:r>
      <w:r w:rsidR="00162D2F" w:rsidRPr="00D869E3">
        <w:rPr>
          <w:rFonts w:ascii="Verdana" w:hAnsi="Verdana" w:cs="Verdana"/>
          <w:color w:val="000000"/>
          <w:sz w:val="20"/>
          <w:szCs w:val="20"/>
          <w:lang w:val="en-US"/>
        </w:rPr>
        <w:t>)(</w:t>
      </w:r>
      <w:r w:rsidR="00E66DD7" w:rsidRPr="00D869E3">
        <w:rPr>
          <w:rFonts w:ascii="Verdana" w:hAnsi="Verdana" w:cs="Verdana"/>
          <w:color w:val="000000"/>
          <w:sz w:val="20"/>
          <w:szCs w:val="20"/>
          <w:lang w:val="en-US"/>
        </w:rPr>
        <w:t>b</w:t>
      </w:r>
      <w:r w:rsidR="00162D2F" w:rsidRPr="00D869E3">
        <w:rPr>
          <w:rFonts w:ascii="Verdana" w:hAnsi="Verdana" w:cs="Verdana"/>
          <w:color w:val="000000"/>
          <w:sz w:val="20"/>
          <w:szCs w:val="20"/>
          <w:lang w:val="en-US"/>
        </w:rPr>
        <w:t>)</w:t>
      </w:r>
      <w:r w:rsidR="00447C65" w:rsidRPr="00D869E3">
        <w:rPr>
          <w:rFonts w:ascii="Verdana" w:hAnsi="Verdana" w:cs="Verdana"/>
          <w:color w:val="000000"/>
          <w:sz w:val="20"/>
          <w:szCs w:val="20"/>
          <w:lang w:val="en-US"/>
        </w:rPr>
        <w:t xml:space="preserve"> of the Convention</w:t>
      </w:r>
      <w:r w:rsidR="00E66DD7" w:rsidRPr="00D869E3">
        <w:rPr>
          <w:rFonts w:ascii="Verdana" w:hAnsi="Verdana" w:cs="Verdana"/>
          <w:color w:val="000000"/>
          <w:sz w:val="20"/>
          <w:szCs w:val="20"/>
          <w:vertAlign w:val="superscript"/>
          <w:lang w:val="en-US"/>
        </w:rPr>
        <w:footnoteReference w:id="258"/>
      </w:r>
      <w:r w:rsidR="00E66DD7" w:rsidRPr="00D869E3">
        <w:rPr>
          <w:rFonts w:ascii="Verdana" w:hAnsi="Verdana" w:cs="Verdana"/>
          <w:color w:val="000000"/>
          <w:sz w:val="20"/>
          <w:szCs w:val="20"/>
          <w:lang w:val="en-US"/>
        </w:rPr>
        <w:t>).</w:t>
      </w:r>
      <w:r w:rsidR="00E66DD7" w:rsidRPr="00D869E3">
        <w:rPr>
          <w:rFonts w:ascii="Verdana" w:hAnsi="Verdana" w:cs="Arial"/>
          <w:sz w:val="20"/>
          <w:szCs w:val="20"/>
          <w:lang w:val="en-US"/>
        </w:rPr>
        <w:t xml:space="preserve"> </w:t>
      </w:r>
    </w:p>
    <w:p w14:paraId="3D91F3F7" w14:textId="77777777" w:rsidR="00E66DD7" w:rsidRPr="00D869E3" w:rsidRDefault="00E66DD7" w:rsidP="00E66DD7">
      <w:pPr>
        <w:contextualSpacing/>
        <w:jc w:val="both"/>
        <w:rPr>
          <w:rFonts w:ascii="Verdana" w:hAnsi="Verdana" w:cs="Arial"/>
          <w:sz w:val="20"/>
          <w:szCs w:val="20"/>
          <w:lang w:val="en-US"/>
        </w:rPr>
      </w:pPr>
    </w:p>
    <w:p w14:paraId="23492984" w14:textId="7297639A" w:rsidR="00E66DD7" w:rsidRPr="00D869E3" w:rsidRDefault="00447C65" w:rsidP="007F5545">
      <w:pPr>
        <w:numPr>
          <w:ilvl w:val="0"/>
          <w:numId w:val="1"/>
        </w:numPr>
        <w:ind w:left="0" w:firstLine="0"/>
        <w:contextualSpacing/>
        <w:jc w:val="both"/>
        <w:rPr>
          <w:rFonts w:ascii="Verdana" w:hAnsi="Verdana"/>
          <w:sz w:val="20"/>
          <w:szCs w:val="20"/>
          <w:lang w:val="en-US"/>
        </w:rPr>
      </w:pPr>
      <w:r w:rsidRPr="00D869E3">
        <w:rPr>
          <w:rFonts w:ascii="Verdana" w:hAnsi="Verdana" w:cs="Verdana"/>
          <w:sz w:val="20"/>
          <w:szCs w:val="20"/>
          <w:lang w:val="en-US"/>
        </w:rPr>
        <w:t>The Court</w:t>
      </w:r>
      <w:r w:rsidR="00E66DD7" w:rsidRPr="00D869E3">
        <w:rPr>
          <w:rFonts w:ascii="Verdana" w:hAnsi="Verdana" w:cs="Verdana"/>
          <w:sz w:val="20"/>
          <w:szCs w:val="20"/>
          <w:lang w:val="en-US"/>
        </w:rPr>
        <w:t xml:space="preserve"> rec</w:t>
      </w:r>
      <w:r w:rsidR="007F5545" w:rsidRPr="00D869E3">
        <w:rPr>
          <w:rFonts w:ascii="Verdana" w:hAnsi="Verdana" w:cs="Verdana"/>
          <w:sz w:val="20"/>
          <w:szCs w:val="20"/>
          <w:lang w:val="en-US"/>
        </w:rPr>
        <w:t xml:space="preserve">alls that the inexistence of an effective remedy </w:t>
      </w:r>
      <w:r w:rsidR="00B40C62" w:rsidRPr="00D869E3">
        <w:rPr>
          <w:rFonts w:ascii="Verdana" w:hAnsi="Verdana" w:cs="Verdana"/>
          <w:sz w:val="20"/>
          <w:szCs w:val="20"/>
          <w:lang w:val="en-US"/>
        </w:rPr>
        <w:t>for</w:t>
      </w:r>
      <w:r w:rsidR="007F5545" w:rsidRPr="00D869E3">
        <w:rPr>
          <w:rFonts w:ascii="Verdana" w:hAnsi="Verdana" w:cs="Verdana"/>
          <w:sz w:val="20"/>
          <w:szCs w:val="20"/>
          <w:lang w:val="en-US"/>
        </w:rPr>
        <w:t xml:space="preserve"> violations of the rights recognized in the Convention constitutes </w:t>
      </w:r>
      <w:r w:rsidR="00B40C62" w:rsidRPr="00D869E3">
        <w:rPr>
          <w:rFonts w:ascii="Verdana" w:hAnsi="Verdana" w:cs="Verdana"/>
          <w:sz w:val="20"/>
          <w:szCs w:val="20"/>
          <w:lang w:val="en-US"/>
        </w:rPr>
        <w:t>a breach</w:t>
      </w:r>
      <w:r w:rsidR="007F5545" w:rsidRPr="00D869E3">
        <w:rPr>
          <w:rFonts w:ascii="Verdana" w:hAnsi="Verdana" w:cs="Verdana"/>
          <w:sz w:val="20"/>
          <w:szCs w:val="20"/>
          <w:lang w:val="en-US"/>
        </w:rPr>
        <w:t xml:space="preserve"> of this instrument by the State Party. Thus, it should be emphasized that, for such a remedy to exist, it is not enough that it is established by the Constitution or the law or that it is formally admissible; rather it must be truly appropriate to establish whether a violation of human rights has been committed and to provide the necessary means to remedy this. Those remedies that, owing to the general situation of the country or even the particular circumstances of a case</w:t>
      </w:r>
      <w:r w:rsidR="00B40C62" w:rsidRPr="00D869E3">
        <w:rPr>
          <w:rFonts w:ascii="Verdana" w:hAnsi="Verdana" w:cs="Verdana"/>
          <w:sz w:val="20"/>
          <w:szCs w:val="20"/>
          <w:lang w:val="en-US"/>
        </w:rPr>
        <w:t>,</w:t>
      </w:r>
      <w:r w:rsidR="007F5545" w:rsidRPr="00D869E3">
        <w:rPr>
          <w:rFonts w:ascii="Verdana" w:hAnsi="Verdana" w:cs="Verdana"/>
          <w:sz w:val="20"/>
          <w:szCs w:val="20"/>
          <w:lang w:val="en-US"/>
        </w:rPr>
        <w:t xml:space="preserve"> are unrealistic cannot be considered effective.</w:t>
      </w:r>
      <w:r w:rsidR="00E66DD7" w:rsidRPr="00D869E3">
        <w:rPr>
          <w:rFonts w:ascii="Verdana" w:hAnsi="Verdana" w:cs="Verdana"/>
          <w:sz w:val="20"/>
          <w:szCs w:val="20"/>
          <w:vertAlign w:val="superscript"/>
          <w:lang w:val="en-US"/>
        </w:rPr>
        <w:footnoteReference w:id="259"/>
      </w:r>
    </w:p>
    <w:p w14:paraId="012FAFD7" w14:textId="77777777" w:rsidR="00E66DD7" w:rsidRPr="00D869E3" w:rsidRDefault="00E66DD7" w:rsidP="00E66DD7">
      <w:pPr>
        <w:contextualSpacing/>
        <w:jc w:val="both"/>
        <w:rPr>
          <w:rFonts w:ascii="Verdana" w:hAnsi="Verdana"/>
          <w:sz w:val="20"/>
          <w:szCs w:val="20"/>
          <w:lang w:val="en-US"/>
        </w:rPr>
      </w:pPr>
    </w:p>
    <w:p w14:paraId="42761CE4" w14:textId="742A1723" w:rsidR="007F5545" w:rsidRPr="00D869E3" w:rsidRDefault="007F5545" w:rsidP="00E66DD7">
      <w:pPr>
        <w:numPr>
          <w:ilvl w:val="0"/>
          <w:numId w:val="1"/>
        </w:numPr>
        <w:ind w:left="0" w:firstLine="0"/>
        <w:contextualSpacing/>
        <w:jc w:val="both"/>
        <w:rPr>
          <w:rFonts w:ascii="Verdana" w:hAnsi="Verdana"/>
          <w:sz w:val="20"/>
          <w:szCs w:val="20"/>
          <w:lang w:val="en-US"/>
        </w:rPr>
      </w:pPr>
      <w:r w:rsidRPr="00D869E3">
        <w:rPr>
          <w:rFonts w:ascii="Verdana" w:hAnsi="Verdana"/>
          <w:sz w:val="20"/>
          <w:szCs w:val="20"/>
          <w:lang w:val="en-US"/>
        </w:rPr>
        <w:t>It is relevant to mention that the penalty established in th</w:t>
      </w:r>
      <w:r w:rsidR="00B40C62" w:rsidRPr="00D869E3">
        <w:rPr>
          <w:rFonts w:ascii="Verdana" w:hAnsi="Verdana"/>
          <w:sz w:val="20"/>
          <w:szCs w:val="20"/>
          <w:lang w:val="en-US"/>
        </w:rPr>
        <w:t>is</w:t>
      </w:r>
      <w:r w:rsidRPr="00D869E3">
        <w:rPr>
          <w:rFonts w:ascii="Verdana" w:hAnsi="Verdana"/>
          <w:sz w:val="20"/>
          <w:szCs w:val="20"/>
          <w:lang w:val="en-US"/>
        </w:rPr>
        <w:t xml:space="preserve"> case was the maximum established by labor legislation</w:t>
      </w:r>
      <w:r w:rsidR="00B40C62" w:rsidRPr="00D869E3">
        <w:rPr>
          <w:rFonts w:ascii="Verdana" w:hAnsi="Verdana"/>
          <w:sz w:val="20"/>
          <w:szCs w:val="20"/>
          <w:lang w:val="en-US"/>
        </w:rPr>
        <w:t xml:space="preserve">: </w:t>
      </w:r>
      <w:r w:rsidRPr="00D869E3">
        <w:rPr>
          <w:rFonts w:ascii="Verdana" w:hAnsi="Verdana"/>
          <w:sz w:val="20"/>
          <w:szCs w:val="20"/>
          <w:lang w:val="en-US"/>
        </w:rPr>
        <w:t>justified or legal dismissal</w:t>
      </w:r>
      <w:r w:rsidR="00B40C62" w:rsidRPr="00D869E3">
        <w:rPr>
          <w:rFonts w:ascii="Verdana" w:hAnsi="Verdana"/>
          <w:sz w:val="20"/>
          <w:szCs w:val="20"/>
          <w:lang w:val="en-US"/>
        </w:rPr>
        <w:t>,</w:t>
      </w:r>
      <w:r w:rsidRPr="00D869E3">
        <w:rPr>
          <w:rFonts w:ascii="Verdana" w:hAnsi="Verdana"/>
          <w:sz w:val="20"/>
          <w:szCs w:val="20"/>
          <w:lang w:val="en-US"/>
        </w:rPr>
        <w:t xml:space="preserve"> in which</w:t>
      </w:r>
      <w:r w:rsidR="00B40C62" w:rsidRPr="00D869E3">
        <w:rPr>
          <w:rFonts w:ascii="Verdana" w:hAnsi="Verdana"/>
          <w:sz w:val="20"/>
          <w:szCs w:val="20"/>
          <w:lang w:val="en-US"/>
        </w:rPr>
        <w:t xml:space="preserve"> the </w:t>
      </w:r>
      <w:r w:rsidRPr="00D869E3">
        <w:rPr>
          <w:rFonts w:ascii="Verdana" w:hAnsi="Verdana"/>
          <w:sz w:val="20"/>
          <w:szCs w:val="20"/>
          <w:lang w:val="en-US"/>
        </w:rPr>
        <w:t>sanction</w:t>
      </w:r>
      <w:r w:rsidR="00B40C62" w:rsidRPr="00D869E3">
        <w:rPr>
          <w:rFonts w:ascii="Verdana" w:hAnsi="Verdana"/>
          <w:sz w:val="20"/>
          <w:szCs w:val="20"/>
          <w:lang w:val="en-US"/>
        </w:rPr>
        <w:t xml:space="preserve"> terminated</w:t>
      </w:r>
      <w:r w:rsidRPr="00D869E3">
        <w:rPr>
          <w:rFonts w:ascii="Verdana" w:hAnsi="Verdana"/>
          <w:sz w:val="20"/>
          <w:szCs w:val="20"/>
          <w:lang w:val="en-US"/>
        </w:rPr>
        <w:t xml:space="preserve"> the</w:t>
      </w:r>
      <w:r w:rsidR="00B40C62" w:rsidRPr="00D869E3">
        <w:rPr>
          <w:rFonts w:ascii="Verdana" w:hAnsi="Verdana"/>
          <w:sz w:val="20"/>
          <w:szCs w:val="20"/>
          <w:lang w:val="en-US"/>
        </w:rPr>
        <w:t xml:space="preserve"> individual’s</w:t>
      </w:r>
      <w:r w:rsidRPr="00D869E3">
        <w:rPr>
          <w:rFonts w:ascii="Verdana" w:hAnsi="Verdana"/>
          <w:sz w:val="20"/>
          <w:szCs w:val="20"/>
          <w:lang w:val="en-US"/>
        </w:rPr>
        <w:t xml:space="preserve"> status as a worker</w:t>
      </w:r>
      <w:r w:rsidR="00B40C62" w:rsidRPr="00D869E3">
        <w:rPr>
          <w:rFonts w:ascii="Verdana" w:hAnsi="Verdana"/>
          <w:sz w:val="20"/>
          <w:szCs w:val="20"/>
          <w:lang w:val="en-US"/>
        </w:rPr>
        <w:t>. In other words,</w:t>
      </w:r>
      <w:r w:rsidRPr="00D869E3">
        <w:rPr>
          <w:rFonts w:ascii="Verdana" w:hAnsi="Verdana"/>
          <w:sz w:val="20"/>
          <w:szCs w:val="20"/>
          <w:lang w:val="en-US"/>
        </w:rPr>
        <w:t xml:space="preserve"> he </w:t>
      </w:r>
      <w:r w:rsidR="00B40C62" w:rsidRPr="00D869E3">
        <w:rPr>
          <w:rFonts w:ascii="Verdana" w:hAnsi="Verdana"/>
          <w:sz w:val="20"/>
          <w:szCs w:val="20"/>
          <w:lang w:val="en-US"/>
        </w:rPr>
        <w:t>was</w:t>
      </w:r>
      <w:r w:rsidRPr="00D869E3">
        <w:rPr>
          <w:rFonts w:ascii="Verdana" w:hAnsi="Verdana"/>
          <w:sz w:val="20"/>
          <w:szCs w:val="20"/>
          <w:lang w:val="en-US"/>
        </w:rPr>
        <w:t xml:space="preserve"> expelled from a </w:t>
      </w:r>
      <w:r w:rsidR="00B40C62" w:rsidRPr="00D869E3">
        <w:rPr>
          <w:rFonts w:ascii="Verdana" w:hAnsi="Verdana"/>
          <w:sz w:val="20"/>
          <w:szCs w:val="20"/>
          <w:lang w:val="en-US"/>
        </w:rPr>
        <w:t xml:space="preserve">specific </w:t>
      </w:r>
      <w:r w:rsidRPr="00D869E3">
        <w:rPr>
          <w:rFonts w:ascii="Verdana" w:hAnsi="Verdana"/>
          <w:sz w:val="20"/>
          <w:szCs w:val="20"/>
          <w:lang w:val="en-US"/>
        </w:rPr>
        <w:t>category and deprived of a fundamental right that, at times, is even essential for survival and the realization of other rights. The arbitrary harm to job security may even affect a person’s subjective identity and even exceed this affecting third parties concerned.</w:t>
      </w:r>
    </w:p>
    <w:p w14:paraId="568747FE" w14:textId="77777777" w:rsidR="00E66DD7" w:rsidRPr="00D869E3" w:rsidRDefault="00E66DD7" w:rsidP="00E66DD7">
      <w:pPr>
        <w:contextualSpacing/>
        <w:jc w:val="both"/>
        <w:rPr>
          <w:rFonts w:ascii="Verdana" w:hAnsi="Verdana"/>
          <w:sz w:val="20"/>
          <w:szCs w:val="20"/>
          <w:lang w:val="en-US"/>
        </w:rPr>
      </w:pPr>
    </w:p>
    <w:p w14:paraId="1EE1D034" w14:textId="54923935" w:rsidR="00E66DD7" w:rsidRPr="00D869E3" w:rsidRDefault="007F5545" w:rsidP="002C57C4">
      <w:pPr>
        <w:numPr>
          <w:ilvl w:val="0"/>
          <w:numId w:val="1"/>
        </w:numPr>
        <w:ind w:left="0" w:firstLine="0"/>
        <w:contextualSpacing/>
        <w:jc w:val="both"/>
        <w:rPr>
          <w:rFonts w:ascii="Verdana" w:hAnsi="Verdana"/>
          <w:sz w:val="20"/>
          <w:szCs w:val="20"/>
          <w:lang w:val="en-US"/>
        </w:rPr>
      </w:pPr>
      <w:r w:rsidRPr="00D869E3">
        <w:rPr>
          <w:rFonts w:ascii="Verdana" w:hAnsi="Verdana"/>
          <w:sz w:val="20"/>
          <w:szCs w:val="20"/>
          <w:lang w:val="en-US"/>
        </w:rPr>
        <w:t xml:space="preserve">Although any dismissal </w:t>
      </w:r>
      <w:r w:rsidR="000B71FF" w:rsidRPr="00D869E3">
        <w:rPr>
          <w:rFonts w:ascii="Verdana" w:hAnsi="Verdana"/>
          <w:sz w:val="20"/>
          <w:szCs w:val="20"/>
          <w:lang w:val="en-US"/>
        </w:rPr>
        <w:t>entails</w:t>
      </w:r>
      <w:r w:rsidRPr="00D869E3">
        <w:rPr>
          <w:rFonts w:ascii="Verdana" w:hAnsi="Verdana"/>
          <w:sz w:val="20"/>
          <w:szCs w:val="20"/>
          <w:lang w:val="en-US"/>
        </w:rPr>
        <w:t xml:space="preserve"> a </w:t>
      </w:r>
      <w:r w:rsidR="000B71FF" w:rsidRPr="00D869E3">
        <w:rPr>
          <w:rFonts w:ascii="Verdana" w:hAnsi="Verdana"/>
          <w:sz w:val="20"/>
          <w:szCs w:val="20"/>
          <w:lang w:val="en-US"/>
        </w:rPr>
        <w:t>sanction</w:t>
      </w:r>
      <w:r w:rsidRPr="00D869E3">
        <w:rPr>
          <w:rFonts w:ascii="Verdana" w:hAnsi="Verdana"/>
          <w:sz w:val="20"/>
          <w:szCs w:val="20"/>
          <w:lang w:val="en-US"/>
        </w:rPr>
        <w:t xml:space="preserve"> of the greatest severity, the Court underscores that, in some cases, it has particular characteristics </w:t>
      </w:r>
      <w:r w:rsidR="000B71FF" w:rsidRPr="00D869E3">
        <w:rPr>
          <w:rFonts w:ascii="Verdana" w:hAnsi="Verdana"/>
          <w:sz w:val="20"/>
          <w:szCs w:val="20"/>
          <w:lang w:val="en-US"/>
        </w:rPr>
        <w:t>that entail</w:t>
      </w:r>
      <w:r w:rsidRPr="00D869E3">
        <w:rPr>
          <w:rFonts w:ascii="Verdana" w:hAnsi="Verdana"/>
          <w:sz w:val="20"/>
          <w:szCs w:val="20"/>
          <w:lang w:val="en-US"/>
        </w:rPr>
        <w:t xml:space="preserve"> greater or special severity</w:t>
      </w:r>
      <w:r w:rsidR="000B71FF" w:rsidRPr="00D869E3">
        <w:rPr>
          <w:rFonts w:ascii="Verdana" w:hAnsi="Verdana"/>
          <w:sz w:val="20"/>
          <w:szCs w:val="20"/>
          <w:lang w:val="en-US"/>
        </w:rPr>
        <w:t xml:space="preserve"> as a punishment that</w:t>
      </w:r>
      <w:r w:rsidRPr="00D869E3">
        <w:rPr>
          <w:rFonts w:ascii="Verdana" w:hAnsi="Verdana"/>
          <w:sz w:val="20"/>
          <w:szCs w:val="20"/>
          <w:lang w:val="en-US"/>
        </w:rPr>
        <w:t xml:space="preserve"> require</w:t>
      </w:r>
      <w:r w:rsidR="000B71FF" w:rsidRPr="00D869E3">
        <w:rPr>
          <w:rFonts w:ascii="Verdana" w:hAnsi="Verdana"/>
          <w:sz w:val="20"/>
          <w:szCs w:val="20"/>
          <w:lang w:val="en-US"/>
        </w:rPr>
        <w:t xml:space="preserve"> full</w:t>
      </w:r>
      <w:r w:rsidRPr="00D869E3">
        <w:rPr>
          <w:rFonts w:ascii="Verdana" w:hAnsi="Verdana"/>
          <w:sz w:val="20"/>
          <w:szCs w:val="20"/>
          <w:lang w:val="en-US"/>
        </w:rPr>
        <w:t xml:space="preserve"> judicial protection. In this case, the particular </w:t>
      </w:r>
      <w:r w:rsidR="002C57C4" w:rsidRPr="00D869E3">
        <w:rPr>
          <w:rFonts w:ascii="Verdana" w:hAnsi="Verdana"/>
          <w:sz w:val="20"/>
          <w:szCs w:val="20"/>
          <w:lang w:val="en-US"/>
        </w:rPr>
        <w:t xml:space="preserve">severity of the punishment of dismissal </w:t>
      </w:r>
      <w:r w:rsidR="000B71FF" w:rsidRPr="00D869E3">
        <w:rPr>
          <w:rFonts w:ascii="Verdana" w:hAnsi="Verdana"/>
          <w:sz w:val="20"/>
          <w:szCs w:val="20"/>
          <w:lang w:val="en-US"/>
        </w:rPr>
        <w:t>arises</w:t>
      </w:r>
      <w:r w:rsidR="002C57C4" w:rsidRPr="00D869E3">
        <w:rPr>
          <w:rFonts w:ascii="Verdana" w:hAnsi="Verdana"/>
          <w:sz w:val="20"/>
          <w:szCs w:val="20"/>
          <w:lang w:val="en-US"/>
        </w:rPr>
        <w:t xml:space="preserve"> because the harm to job security was reinforced by the presumed victim’s condition as a democratically elected representative and by </w:t>
      </w:r>
      <w:r w:rsidR="007013E2" w:rsidRPr="00D869E3">
        <w:rPr>
          <w:rFonts w:ascii="Verdana" w:hAnsi="Verdana"/>
          <w:sz w:val="20"/>
          <w:szCs w:val="20"/>
          <w:lang w:val="en-US"/>
        </w:rPr>
        <w:t>the violation</w:t>
      </w:r>
      <w:r w:rsidR="00A157F5" w:rsidRPr="00D869E3">
        <w:rPr>
          <w:rFonts w:ascii="Verdana" w:hAnsi="Verdana"/>
          <w:sz w:val="20"/>
          <w:szCs w:val="20"/>
          <w:lang w:val="en-US"/>
        </w:rPr>
        <w:t xml:space="preserve"> of the </w:t>
      </w:r>
      <w:r w:rsidR="000B2E5E" w:rsidRPr="00D869E3">
        <w:rPr>
          <w:rFonts w:ascii="Verdana" w:hAnsi="Verdana"/>
          <w:sz w:val="20"/>
          <w:szCs w:val="20"/>
          <w:lang w:val="en-US"/>
        </w:rPr>
        <w:t>right to</w:t>
      </w:r>
      <w:r w:rsidR="00E66DD7" w:rsidRPr="00D869E3">
        <w:rPr>
          <w:rFonts w:ascii="Verdana" w:hAnsi="Verdana"/>
          <w:sz w:val="20"/>
          <w:szCs w:val="20"/>
          <w:lang w:val="en-US"/>
        </w:rPr>
        <w:t xml:space="preserve"> expres</w:t>
      </w:r>
      <w:r w:rsidR="002C57C4" w:rsidRPr="00D869E3">
        <w:rPr>
          <w:rFonts w:ascii="Verdana" w:hAnsi="Verdana"/>
          <w:sz w:val="20"/>
          <w:szCs w:val="20"/>
          <w:lang w:val="en-US"/>
        </w:rPr>
        <w:t xml:space="preserve">s his ideas freely. </w:t>
      </w:r>
    </w:p>
    <w:p w14:paraId="57FD0C7E" w14:textId="77777777" w:rsidR="00E66DD7" w:rsidRPr="00D869E3" w:rsidRDefault="00E66DD7" w:rsidP="00E66DD7">
      <w:pPr>
        <w:contextualSpacing/>
        <w:jc w:val="both"/>
        <w:rPr>
          <w:rFonts w:ascii="Verdana" w:hAnsi="Verdana"/>
          <w:sz w:val="20"/>
          <w:szCs w:val="20"/>
          <w:lang w:val="en-US"/>
        </w:rPr>
      </w:pPr>
    </w:p>
    <w:p w14:paraId="21D5210E" w14:textId="720EEE47" w:rsidR="00E66DD7" w:rsidRPr="00D869E3" w:rsidRDefault="00B44B46" w:rsidP="00E66DD7">
      <w:pPr>
        <w:pStyle w:val="Ttulo3"/>
        <w:numPr>
          <w:ilvl w:val="0"/>
          <w:numId w:val="24"/>
        </w:numPr>
        <w:rPr>
          <w:i/>
          <w:szCs w:val="20"/>
          <w:lang w:val="en-US"/>
        </w:rPr>
      </w:pPr>
      <w:bookmarkStart w:id="62" w:name="_Toc29114149"/>
      <w:r w:rsidRPr="00D869E3">
        <w:rPr>
          <w:i/>
          <w:szCs w:val="20"/>
          <w:lang w:val="en-US"/>
        </w:rPr>
        <w:t>Conclusion</w:t>
      </w:r>
      <w:bookmarkEnd w:id="62"/>
    </w:p>
    <w:p w14:paraId="0861E36A" w14:textId="77777777" w:rsidR="00E66DD7" w:rsidRPr="00D869E3" w:rsidRDefault="00E66DD7" w:rsidP="00E66DD7">
      <w:pPr>
        <w:contextualSpacing/>
        <w:jc w:val="both"/>
        <w:rPr>
          <w:rFonts w:ascii="Verdana" w:hAnsi="Verdana"/>
          <w:sz w:val="20"/>
          <w:szCs w:val="20"/>
          <w:lang w:val="en-US"/>
        </w:rPr>
      </w:pPr>
    </w:p>
    <w:p w14:paraId="336CC57D" w14:textId="121BCB50" w:rsidR="00D9601C" w:rsidRPr="00D869E3" w:rsidRDefault="002C57C4" w:rsidP="002C57C4">
      <w:pPr>
        <w:numPr>
          <w:ilvl w:val="0"/>
          <w:numId w:val="1"/>
        </w:numPr>
        <w:ind w:left="0" w:firstLine="0"/>
        <w:contextualSpacing/>
        <w:jc w:val="both"/>
        <w:rPr>
          <w:rFonts w:ascii="Verdana" w:hAnsi="Verdana"/>
          <w:sz w:val="22"/>
          <w:szCs w:val="22"/>
          <w:lang w:val="en-US"/>
        </w:rPr>
      </w:pPr>
      <w:r w:rsidRPr="00D869E3">
        <w:rPr>
          <w:rFonts w:ascii="Verdana" w:hAnsi="Verdana"/>
          <w:sz w:val="20"/>
          <w:szCs w:val="20"/>
          <w:lang w:val="en-US"/>
        </w:rPr>
        <w:lastRenderedPageBreak/>
        <w:t xml:space="preserve">Based on the above, it has been </w:t>
      </w:r>
      <w:r w:rsidR="000B71FF" w:rsidRPr="00D869E3">
        <w:rPr>
          <w:rFonts w:ascii="Verdana" w:hAnsi="Verdana"/>
          <w:sz w:val="20"/>
          <w:szCs w:val="20"/>
          <w:lang w:val="en-US"/>
        </w:rPr>
        <w:t>established</w:t>
      </w:r>
      <w:r w:rsidRPr="00D869E3">
        <w:rPr>
          <w:rFonts w:ascii="Verdana" w:hAnsi="Verdana"/>
          <w:sz w:val="20"/>
          <w:szCs w:val="20"/>
          <w:lang w:val="en-US"/>
        </w:rPr>
        <w:t xml:space="preserve"> that: (i) the second instance</w:t>
      </w:r>
      <w:r w:rsidR="000B71FF" w:rsidRPr="00D869E3">
        <w:rPr>
          <w:rFonts w:ascii="Verdana" w:hAnsi="Verdana"/>
          <w:sz w:val="20"/>
          <w:szCs w:val="20"/>
          <w:lang w:val="en-US"/>
        </w:rPr>
        <w:t xml:space="preserve"> proceedings</w:t>
      </w:r>
      <w:r w:rsidRPr="00D869E3">
        <w:rPr>
          <w:rFonts w:ascii="Verdana" w:hAnsi="Verdana"/>
          <w:sz w:val="20"/>
          <w:szCs w:val="20"/>
          <w:lang w:val="en-US"/>
        </w:rPr>
        <w:t xml:space="preserve"> failed to assess the victim’s defense arguments, and </w:t>
      </w:r>
      <w:r w:rsidR="000B71FF" w:rsidRPr="00D869E3">
        <w:rPr>
          <w:rFonts w:ascii="Verdana" w:hAnsi="Verdana"/>
          <w:sz w:val="20"/>
          <w:szCs w:val="20"/>
          <w:lang w:val="en-US"/>
        </w:rPr>
        <w:t>several other</w:t>
      </w:r>
      <w:r w:rsidRPr="00D869E3">
        <w:rPr>
          <w:rFonts w:ascii="Verdana" w:hAnsi="Verdana"/>
          <w:sz w:val="20"/>
          <w:szCs w:val="20"/>
          <w:lang w:val="en-US"/>
        </w:rPr>
        <w:t xml:space="preserve"> courts failed to correct this; (ii) the first</w:t>
      </w:r>
      <w:r w:rsidRPr="00D869E3">
        <w:rPr>
          <w:rFonts w:ascii="Verdana" w:hAnsi="Verdana"/>
          <w:sz w:val="22"/>
          <w:szCs w:val="22"/>
          <w:lang w:val="en-US"/>
        </w:rPr>
        <w:t xml:space="preserve"> </w:t>
      </w:r>
      <w:r w:rsidR="008817D4" w:rsidRPr="00D869E3">
        <w:rPr>
          <w:rFonts w:ascii="Verdana" w:hAnsi="Verdana"/>
          <w:sz w:val="20"/>
          <w:szCs w:val="20"/>
          <w:lang w:val="en-US"/>
        </w:rPr>
        <w:t>appeal for annulment</w:t>
      </w:r>
      <w:r w:rsidR="00E66DD7" w:rsidRPr="00D869E3">
        <w:rPr>
          <w:rFonts w:ascii="Verdana" w:hAnsi="Verdana"/>
          <w:sz w:val="20"/>
          <w:szCs w:val="20"/>
          <w:lang w:val="en-US"/>
        </w:rPr>
        <w:t xml:space="preserve"> </w:t>
      </w:r>
      <w:r w:rsidRPr="00D869E3">
        <w:rPr>
          <w:rFonts w:ascii="Verdana" w:hAnsi="Verdana"/>
          <w:sz w:val="20"/>
          <w:szCs w:val="20"/>
          <w:lang w:val="en-US"/>
        </w:rPr>
        <w:t xml:space="preserve">was heard and rejected by the same court that had </w:t>
      </w:r>
      <w:r w:rsidR="00D329A8" w:rsidRPr="00D869E3">
        <w:rPr>
          <w:rFonts w:ascii="Verdana" w:hAnsi="Verdana"/>
          <w:sz w:val="20"/>
          <w:szCs w:val="20"/>
          <w:lang w:val="en-US"/>
        </w:rPr>
        <w:t>ratifie</w:t>
      </w:r>
      <w:r w:rsidRPr="00D869E3">
        <w:rPr>
          <w:rFonts w:ascii="Verdana" w:hAnsi="Verdana"/>
          <w:sz w:val="20"/>
          <w:szCs w:val="20"/>
          <w:lang w:val="en-US"/>
        </w:rPr>
        <w:t>d the dismissal; (iii) the amparo proceedings did not rule on the substantive (constitutional) rights alleged by Mr. Lagos del Campo, considering that th</w:t>
      </w:r>
      <w:r w:rsidR="000B71FF" w:rsidRPr="00D869E3">
        <w:rPr>
          <w:rFonts w:ascii="Verdana" w:hAnsi="Verdana"/>
          <w:sz w:val="20"/>
          <w:szCs w:val="20"/>
          <w:lang w:val="en-US"/>
        </w:rPr>
        <w:t>e matter</w:t>
      </w:r>
      <w:r w:rsidRPr="00D869E3">
        <w:rPr>
          <w:rFonts w:ascii="Verdana" w:hAnsi="Verdana"/>
          <w:sz w:val="20"/>
          <w:szCs w:val="20"/>
          <w:lang w:val="en-US"/>
        </w:rPr>
        <w:t xml:space="preserve"> was </w:t>
      </w:r>
      <w:r w:rsidRPr="00D869E3">
        <w:rPr>
          <w:rFonts w:ascii="Verdana" w:hAnsi="Verdana"/>
          <w:i/>
          <w:iCs/>
          <w:sz w:val="20"/>
          <w:szCs w:val="20"/>
          <w:lang w:val="en-US"/>
        </w:rPr>
        <w:t>res judicata</w:t>
      </w:r>
      <w:r w:rsidRPr="00D869E3">
        <w:rPr>
          <w:rFonts w:ascii="Verdana" w:hAnsi="Verdana"/>
          <w:sz w:val="20"/>
          <w:szCs w:val="20"/>
          <w:lang w:val="en-US"/>
        </w:rPr>
        <w:t>, and (iv) he was required to exhaust a remedy that, at the time of the facts, was illusory. Therefore, this Court finds that the State violated</w:t>
      </w:r>
      <w:r w:rsidRPr="00D869E3">
        <w:rPr>
          <w:rFonts w:ascii="Verdana" w:hAnsi="Verdana"/>
          <w:sz w:val="22"/>
          <w:szCs w:val="22"/>
          <w:lang w:val="en-US"/>
        </w:rPr>
        <w:t xml:space="preserve"> </w:t>
      </w:r>
      <w:r w:rsidR="00447C65" w:rsidRPr="00D869E3">
        <w:rPr>
          <w:rFonts w:ascii="Verdana" w:hAnsi="Verdana" w:cs="Verdana"/>
          <w:sz w:val="20"/>
          <w:szCs w:val="20"/>
          <w:lang w:val="en-US"/>
        </w:rPr>
        <w:t>Articles</w:t>
      </w:r>
      <w:r w:rsidR="00E66DD7" w:rsidRPr="00D869E3">
        <w:rPr>
          <w:rFonts w:ascii="Verdana" w:hAnsi="Verdana" w:cs="Verdana"/>
          <w:sz w:val="20"/>
          <w:szCs w:val="20"/>
          <w:lang w:val="en-US"/>
        </w:rPr>
        <w:t xml:space="preserve"> </w:t>
      </w:r>
      <w:r w:rsidR="00687684" w:rsidRPr="00D869E3">
        <w:rPr>
          <w:rFonts w:ascii="Verdana" w:hAnsi="Verdana" w:cs="Verdana"/>
          <w:sz w:val="20"/>
          <w:szCs w:val="20"/>
          <w:lang w:val="en-US"/>
        </w:rPr>
        <w:t xml:space="preserve">8(1) and </w:t>
      </w:r>
      <w:r w:rsidR="00901386" w:rsidRPr="00D869E3">
        <w:rPr>
          <w:rFonts w:ascii="Verdana" w:hAnsi="Verdana" w:cs="Verdana"/>
          <w:sz w:val="20"/>
          <w:szCs w:val="20"/>
          <w:lang w:val="en-US"/>
        </w:rPr>
        <w:t>25(1)</w:t>
      </w:r>
      <w:r w:rsidR="00E66DD7" w:rsidRPr="00D869E3">
        <w:rPr>
          <w:rFonts w:ascii="Verdana" w:hAnsi="Verdana" w:cs="Verdana"/>
          <w:sz w:val="20"/>
          <w:szCs w:val="20"/>
          <w:lang w:val="en-US"/>
        </w:rPr>
        <w:t xml:space="preserve"> </w:t>
      </w:r>
      <w:r w:rsidRPr="00D869E3">
        <w:rPr>
          <w:rFonts w:ascii="Verdana" w:hAnsi="Verdana" w:cs="Verdana"/>
          <w:sz w:val="20"/>
          <w:szCs w:val="20"/>
          <w:lang w:val="en-US"/>
        </w:rPr>
        <w:t>of the American Convention</w:t>
      </w:r>
      <w:r w:rsidR="00E66DD7" w:rsidRPr="00D869E3">
        <w:rPr>
          <w:rFonts w:ascii="Verdana" w:hAnsi="Verdana" w:cs="Verdana"/>
          <w:sz w:val="20"/>
          <w:szCs w:val="20"/>
          <w:lang w:val="en-US"/>
        </w:rPr>
        <w:t xml:space="preserve">, </w:t>
      </w:r>
      <w:r w:rsidR="00BB61A6" w:rsidRPr="00D869E3">
        <w:rPr>
          <w:rFonts w:ascii="Verdana" w:hAnsi="Verdana" w:cs="Verdana"/>
          <w:sz w:val="20"/>
          <w:szCs w:val="20"/>
          <w:lang w:val="en-US"/>
        </w:rPr>
        <w:t>in relation to</w:t>
      </w:r>
      <w:r w:rsidR="00E66DD7" w:rsidRPr="00D869E3">
        <w:rPr>
          <w:rFonts w:ascii="Verdana" w:hAnsi="Verdana" w:cs="Verdana"/>
          <w:sz w:val="20"/>
          <w:szCs w:val="20"/>
          <w:lang w:val="en-US"/>
        </w:rPr>
        <w:t xml:space="preserve"> </w:t>
      </w:r>
      <w:r w:rsidR="00687684" w:rsidRPr="00D869E3">
        <w:rPr>
          <w:rFonts w:ascii="Verdana" w:hAnsi="Verdana" w:cs="Verdana"/>
          <w:sz w:val="20"/>
          <w:szCs w:val="20"/>
          <w:lang w:val="en-US"/>
        </w:rPr>
        <w:t>Article 1(1)</w:t>
      </w:r>
      <w:r w:rsidR="00334B6C" w:rsidRPr="00D869E3">
        <w:rPr>
          <w:rFonts w:ascii="Verdana" w:hAnsi="Verdana" w:cs="Verdana"/>
          <w:sz w:val="20"/>
          <w:szCs w:val="20"/>
          <w:lang w:val="en-US"/>
        </w:rPr>
        <w:t xml:space="preserve"> </w:t>
      </w:r>
      <w:r w:rsidR="00351902" w:rsidRPr="00D869E3">
        <w:rPr>
          <w:rFonts w:ascii="Verdana" w:hAnsi="Verdana" w:cs="Verdana"/>
          <w:sz w:val="20"/>
          <w:szCs w:val="20"/>
          <w:lang w:val="en-US"/>
        </w:rPr>
        <w:t>of this instrument</w:t>
      </w:r>
      <w:r w:rsidR="001D4D46" w:rsidRPr="00D869E3">
        <w:rPr>
          <w:rFonts w:ascii="Verdana" w:hAnsi="Verdana" w:cs="Verdana"/>
          <w:sz w:val="20"/>
          <w:szCs w:val="20"/>
          <w:lang w:val="en-US"/>
        </w:rPr>
        <w:t xml:space="preserve">, </w:t>
      </w:r>
      <w:r w:rsidRPr="00D869E3">
        <w:rPr>
          <w:rFonts w:ascii="Verdana" w:hAnsi="Verdana" w:cs="Verdana"/>
          <w:sz w:val="20"/>
          <w:szCs w:val="20"/>
          <w:lang w:val="en-US"/>
        </w:rPr>
        <w:t>to the detriment of</w:t>
      </w:r>
      <w:r w:rsidR="00687684" w:rsidRPr="00D869E3">
        <w:rPr>
          <w:rFonts w:ascii="Verdana" w:hAnsi="Verdana" w:cs="Verdana"/>
          <w:sz w:val="20"/>
          <w:szCs w:val="20"/>
          <w:lang w:val="en-US"/>
        </w:rPr>
        <w:t xml:space="preserve"> Mr. Lagos</w:t>
      </w:r>
      <w:r w:rsidR="00E66DD7" w:rsidRPr="00D869E3">
        <w:rPr>
          <w:rFonts w:ascii="Verdana" w:hAnsi="Verdana" w:cs="Verdana"/>
          <w:sz w:val="20"/>
          <w:szCs w:val="20"/>
          <w:lang w:val="en-US"/>
        </w:rPr>
        <w:t xml:space="preserve"> del Campo. </w:t>
      </w:r>
    </w:p>
    <w:p w14:paraId="44DA5CA7" w14:textId="77777777" w:rsidR="00880261" w:rsidRPr="00D869E3" w:rsidRDefault="00880261" w:rsidP="00DF09C1">
      <w:pPr>
        <w:contextualSpacing/>
        <w:jc w:val="both"/>
        <w:rPr>
          <w:rFonts w:ascii="Verdana" w:hAnsi="Verdana" w:cs="Verdana"/>
          <w:spacing w:val="-2"/>
          <w:sz w:val="20"/>
          <w:szCs w:val="20"/>
          <w:lang w:val="en-US"/>
        </w:rPr>
      </w:pPr>
    </w:p>
    <w:p w14:paraId="1CC83FE7" w14:textId="6A756ED2" w:rsidR="009C5D55" w:rsidRPr="00D869E3" w:rsidRDefault="00374FC9" w:rsidP="00C0187C">
      <w:pPr>
        <w:pStyle w:val="Ttulo1"/>
        <w:tabs>
          <w:tab w:val="left" w:pos="851"/>
        </w:tabs>
        <w:spacing w:before="0"/>
        <w:jc w:val="center"/>
        <w:rPr>
          <w:rFonts w:cs="Verdana"/>
          <w:caps/>
          <w:snapToGrid w:val="0"/>
          <w:szCs w:val="20"/>
          <w:lang w:val="en-US"/>
        </w:rPr>
      </w:pPr>
      <w:bookmarkStart w:id="63" w:name="_Toc29114150"/>
      <w:r w:rsidRPr="00D869E3">
        <w:rPr>
          <w:rFonts w:cs="Verdana"/>
          <w:caps/>
          <w:snapToGrid w:val="0"/>
          <w:szCs w:val="20"/>
          <w:lang w:val="en-US"/>
        </w:rPr>
        <w:t>VIII</w:t>
      </w:r>
      <w:bookmarkEnd w:id="63"/>
    </w:p>
    <w:p w14:paraId="4948543D" w14:textId="2BF3A700" w:rsidR="009C5D55" w:rsidRPr="00D869E3" w:rsidRDefault="00B44B46" w:rsidP="00C0187C">
      <w:pPr>
        <w:pStyle w:val="Ttulo1"/>
        <w:tabs>
          <w:tab w:val="left" w:pos="851"/>
        </w:tabs>
        <w:spacing w:before="0"/>
        <w:jc w:val="center"/>
        <w:rPr>
          <w:rFonts w:cs="Verdana"/>
          <w:caps/>
          <w:snapToGrid w:val="0"/>
          <w:szCs w:val="20"/>
          <w:lang w:val="en-US"/>
        </w:rPr>
      </w:pPr>
      <w:bookmarkStart w:id="64" w:name="_Toc29114151"/>
      <w:r w:rsidRPr="00D869E3">
        <w:rPr>
          <w:rFonts w:cs="Verdana"/>
          <w:caps/>
          <w:snapToGrid w:val="0"/>
          <w:szCs w:val="20"/>
          <w:lang w:val="en-US"/>
        </w:rPr>
        <w:t>REPARATIONS</w:t>
      </w:r>
      <w:bookmarkEnd w:id="64"/>
    </w:p>
    <w:p w14:paraId="76D48166" w14:textId="6F338472" w:rsidR="009C5D55" w:rsidRPr="00D869E3" w:rsidRDefault="009C5D55" w:rsidP="00C0187C">
      <w:pPr>
        <w:pStyle w:val="Ttulo1"/>
        <w:tabs>
          <w:tab w:val="left" w:pos="851"/>
        </w:tabs>
        <w:spacing w:before="0"/>
        <w:jc w:val="center"/>
        <w:rPr>
          <w:rFonts w:cs="Verdana"/>
          <w:caps/>
          <w:snapToGrid w:val="0"/>
          <w:szCs w:val="20"/>
          <w:lang w:val="en-US"/>
        </w:rPr>
      </w:pPr>
      <w:bookmarkStart w:id="65" w:name="_Toc29114152"/>
      <w:r w:rsidRPr="00D869E3">
        <w:rPr>
          <w:rFonts w:cs="Verdana"/>
          <w:caps/>
          <w:snapToGrid w:val="0"/>
          <w:szCs w:val="20"/>
          <w:lang w:val="en-US"/>
        </w:rPr>
        <w:t>(Ap</w:t>
      </w:r>
      <w:r w:rsidR="0008054E" w:rsidRPr="00D869E3">
        <w:rPr>
          <w:rFonts w:cs="Verdana"/>
          <w:caps/>
          <w:snapToGrid w:val="0"/>
          <w:szCs w:val="20"/>
          <w:lang w:val="en-US"/>
        </w:rPr>
        <w:t>PLICATIO</w:t>
      </w:r>
      <w:r w:rsidRPr="00D869E3">
        <w:rPr>
          <w:rFonts w:cs="Verdana"/>
          <w:caps/>
          <w:snapToGrid w:val="0"/>
          <w:szCs w:val="20"/>
          <w:lang w:val="en-US"/>
        </w:rPr>
        <w:t xml:space="preserve">n </w:t>
      </w:r>
      <w:r w:rsidR="00687684" w:rsidRPr="00D869E3">
        <w:rPr>
          <w:rFonts w:cs="Verdana"/>
          <w:caps/>
          <w:snapToGrid w:val="0"/>
          <w:szCs w:val="20"/>
          <w:lang w:val="en-US"/>
        </w:rPr>
        <w:t>of Article</w:t>
      </w:r>
      <w:r w:rsidRPr="00D869E3">
        <w:rPr>
          <w:rFonts w:cs="Verdana"/>
          <w:caps/>
          <w:snapToGrid w:val="0"/>
          <w:szCs w:val="20"/>
          <w:lang w:val="en-US"/>
        </w:rPr>
        <w:t xml:space="preserve"> </w:t>
      </w:r>
      <w:r w:rsidR="00447C65" w:rsidRPr="00D869E3">
        <w:rPr>
          <w:rFonts w:cs="Verdana"/>
          <w:caps/>
          <w:snapToGrid w:val="0"/>
          <w:szCs w:val="20"/>
          <w:lang w:val="en-US"/>
        </w:rPr>
        <w:t>63(1) of the American Convention</w:t>
      </w:r>
      <w:r w:rsidRPr="00D869E3">
        <w:rPr>
          <w:rFonts w:cs="Verdana"/>
          <w:caps/>
          <w:snapToGrid w:val="0"/>
          <w:szCs w:val="20"/>
          <w:lang w:val="en-US"/>
        </w:rPr>
        <w:t>)</w:t>
      </w:r>
      <w:bookmarkEnd w:id="65"/>
    </w:p>
    <w:p w14:paraId="51750CB5" w14:textId="77777777" w:rsidR="009C5D55" w:rsidRPr="00D869E3" w:rsidRDefault="009C5D55" w:rsidP="009C5D55">
      <w:pPr>
        <w:widowControl w:val="0"/>
        <w:tabs>
          <w:tab w:val="center" w:pos="567"/>
        </w:tabs>
        <w:autoSpaceDE w:val="0"/>
        <w:autoSpaceDN w:val="0"/>
        <w:adjustRightInd w:val="0"/>
        <w:ind w:right="-90"/>
        <w:contextualSpacing/>
        <w:jc w:val="both"/>
        <w:rPr>
          <w:rFonts w:ascii="Verdana" w:hAnsi="Verdana"/>
          <w:sz w:val="20"/>
          <w:szCs w:val="20"/>
          <w:lang w:val="en-US"/>
        </w:rPr>
      </w:pPr>
    </w:p>
    <w:p w14:paraId="12754FC0" w14:textId="08580F06" w:rsidR="009C5D55" w:rsidRPr="00D869E3" w:rsidRDefault="002C57C4" w:rsidP="00E66DD7">
      <w:pPr>
        <w:widowControl w:val="0"/>
        <w:numPr>
          <w:ilvl w:val="0"/>
          <w:numId w:val="1"/>
        </w:numPr>
        <w:tabs>
          <w:tab w:val="center" w:pos="0"/>
        </w:tabs>
        <w:autoSpaceDE w:val="0"/>
        <w:autoSpaceDN w:val="0"/>
        <w:adjustRightInd w:val="0"/>
        <w:ind w:left="0" w:firstLine="0"/>
        <w:contextualSpacing/>
        <w:jc w:val="both"/>
        <w:rPr>
          <w:rFonts w:ascii="Verdana" w:hAnsi="Verdana"/>
          <w:sz w:val="20"/>
          <w:szCs w:val="20"/>
          <w:lang w:val="en-US"/>
        </w:rPr>
      </w:pPr>
      <w:r w:rsidRPr="00D869E3">
        <w:rPr>
          <w:rFonts w:ascii="Verdana" w:hAnsi="Verdana"/>
          <w:sz w:val="20"/>
          <w:szCs w:val="20"/>
          <w:lang w:val="en-US" w:bidi="en-US"/>
        </w:rPr>
        <w:t>Based on the provisions of</w:t>
      </w:r>
      <w:r w:rsidR="009C5D55" w:rsidRPr="00D869E3">
        <w:rPr>
          <w:rFonts w:ascii="Verdana" w:hAnsi="Verdana"/>
          <w:sz w:val="20"/>
          <w:szCs w:val="20"/>
          <w:lang w:val="en-US" w:bidi="en-US"/>
        </w:rPr>
        <w:t xml:space="preserve"> </w:t>
      </w:r>
      <w:r w:rsidR="00447C65" w:rsidRPr="00D869E3">
        <w:rPr>
          <w:rFonts w:ascii="Verdana" w:hAnsi="Verdana"/>
          <w:sz w:val="20"/>
          <w:szCs w:val="20"/>
          <w:lang w:val="en-US" w:bidi="en-US"/>
        </w:rPr>
        <w:t>Article</w:t>
      </w:r>
      <w:r w:rsidR="009C5D55" w:rsidRPr="00D869E3">
        <w:rPr>
          <w:rFonts w:ascii="Verdana" w:hAnsi="Verdana"/>
          <w:sz w:val="20"/>
          <w:szCs w:val="20"/>
          <w:lang w:val="en-US" w:bidi="en-US"/>
        </w:rPr>
        <w:t xml:space="preserve"> </w:t>
      </w:r>
      <w:r w:rsidR="00447C65" w:rsidRPr="00D869E3">
        <w:rPr>
          <w:rFonts w:ascii="Verdana" w:hAnsi="Verdana"/>
          <w:sz w:val="20"/>
          <w:szCs w:val="20"/>
          <w:lang w:val="en-US" w:bidi="en-US"/>
        </w:rPr>
        <w:t>63(1) of the American Convention</w:t>
      </w:r>
      <w:r w:rsidRPr="00D869E3">
        <w:rPr>
          <w:rFonts w:ascii="Verdana" w:hAnsi="Verdana"/>
          <w:sz w:val="20"/>
          <w:szCs w:val="20"/>
          <w:lang w:val="en-US" w:bidi="en-US"/>
        </w:rPr>
        <w:t>,</w:t>
      </w:r>
      <w:r w:rsidR="009C5D55" w:rsidRPr="00D869E3">
        <w:rPr>
          <w:rFonts w:ascii="Verdana" w:hAnsi="Verdana"/>
          <w:caps/>
          <w:sz w:val="20"/>
          <w:szCs w:val="20"/>
          <w:vertAlign w:val="superscript"/>
          <w:lang w:val="en-US"/>
        </w:rPr>
        <w:footnoteReference w:id="260"/>
      </w:r>
      <w:r w:rsidR="009C5D55" w:rsidRPr="00D869E3">
        <w:rPr>
          <w:rFonts w:ascii="Verdana" w:hAnsi="Verdana"/>
          <w:sz w:val="20"/>
          <w:szCs w:val="20"/>
          <w:lang w:val="en-US" w:bidi="en-US"/>
        </w:rPr>
        <w:t xml:space="preserve"> </w:t>
      </w:r>
      <w:r w:rsidR="00447C65" w:rsidRPr="00D869E3">
        <w:rPr>
          <w:rFonts w:ascii="Verdana" w:hAnsi="Verdana"/>
          <w:sz w:val="20"/>
          <w:szCs w:val="20"/>
          <w:lang w:val="en-US" w:bidi="en-US"/>
        </w:rPr>
        <w:t>the Court</w:t>
      </w:r>
      <w:r w:rsidR="009C5D55" w:rsidRPr="00D869E3">
        <w:rPr>
          <w:rFonts w:ascii="Verdana" w:hAnsi="Verdana"/>
          <w:sz w:val="20"/>
          <w:szCs w:val="20"/>
          <w:lang w:val="en-US" w:bidi="en-US"/>
        </w:rPr>
        <w:t xml:space="preserve"> ha</w:t>
      </w:r>
      <w:r w:rsidRPr="00D869E3">
        <w:rPr>
          <w:rFonts w:ascii="Verdana" w:hAnsi="Verdana"/>
          <w:sz w:val="20"/>
          <w:szCs w:val="20"/>
          <w:lang w:val="en-US" w:bidi="en-US"/>
        </w:rPr>
        <w:t>s indicated that an</w:t>
      </w:r>
      <w:r w:rsidR="000B71FF" w:rsidRPr="00D869E3">
        <w:rPr>
          <w:rFonts w:ascii="Verdana" w:hAnsi="Verdana"/>
          <w:sz w:val="20"/>
          <w:szCs w:val="20"/>
          <w:lang w:val="en-US" w:bidi="en-US"/>
        </w:rPr>
        <w:t>y</w:t>
      </w:r>
      <w:r w:rsidRPr="00D869E3">
        <w:rPr>
          <w:rFonts w:ascii="Verdana" w:hAnsi="Verdana"/>
          <w:sz w:val="20"/>
          <w:szCs w:val="20"/>
          <w:lang w:val="en-US" w:bidi="en-US"/>
        </w:rPr>
        <w:t xml:space="preserve"> violation of an international obligation that has produced harm entails the obligation to repair it adequately, and that this provisions “reflects a customary norm that is one of the fundamental principles of contemporary international law o</w:t>
      </w:r>
      <w:r w:rsidR="009751B3" w:rsidRPr="00D869E3">
        <w:rPr>
          <w:rFonts w:ascii="Verdana" w:hAnsi="Verdana"/>
          <w:sz w:val="20"/>
          <w:szCs w:val="20"/>
          <w:lang w:val="en-US" w:bidi="en-US"/>
        </w:rPr>
        <w:t>n</w:t>
      </w:r>
      <w:r w:rsidRPr="00D869E3">
        <w:rPr>
          <w:rFonts w:ascii="Verdana" w:hAnsi="Verdana"/>
          <w:sz w:val="20"/>
          <w:szCs w:val="20"/>
          <w:lang w:val="en-US" w:bidi="en-US"/>
        </w:rPr>
        <w:t xml:space="preserve"> State responsibility.</w:t>
      </w:r>
      <w:r w:rsidR="006436CA" w:rsidRPr="00D869E3">
        <w:rPr>
          <w:rFonts w:ascii="Verdana" w:hAnsi="Verdana"/>
          <w:sz w:val="20"/>
          <w:szCs w:val="20"/>
          <w:lang w:val="en-US" w:bidi="en-US"/>
        </w:rPr>
        <w:t>”</w:t>
      </w:r>
      <w:r w:rsidR="009C5D55" w:rsidRPr="00D869E3">
        <w:rPr>
          <w:rFonts w:ascii="Verdana" w:hAnsi="Verdana"/>
          <w:sz w:val="20"/>
          <w:szCs w:val="20"/>
          <w:vertAlign w:val="superscript"/>
          <w:lang w:val="en-US"/>
        </w:rPr>
        <w:footnoteReference w:id="261"/>
      </w:r>
      <w:r w:rsidR="009C5D55" w:rsidRPr="00D869E3">
        <w:rPr>
          <w:rFonts w:ascii="Verdana" w:hAnsi="Verdana"/>
          <w:sz w:val="20"/>
          <w:szCs w:val="20"/>
          <w:lang w:val="en-US" w:bidi="en-US"/>
        </w:rPr>
        <w:t xml:space="preserve"> </w:t>
      </w:r>
    </w:p>
    <w:p w14:paraId="398143FB" w14:textId="77777777" w:rsidR="009C5D55" w:rsidRPr="00D869E3" w:rsidRDefault="009C5D55" w:rsidP="00C0187C">
      <w:pPr>
        <w:tabs>
          <w:tab w:val="center" w:pos="0"/>
        </w:tabs>
        <w:contextualSpacing/>
        <w:rPr>
          <w:rFonts w:ascii="Verdana" w:hAnsi="Verdana"/>
          <w:sz w:val="20"/>
          <w:szCs w:val="20"/>
          <w:lang w:val="en-US" w:bidi="en-US"/>
        </w:rPr>
      </w:pPr>
    </w:p>
    <w:p w14:paraId="2F19B5BF" w14:textId="6865F45E" w:rsidR="009C5D55" w:rsidRPr="00D869E3" w:rsidRDefault="00447C65" w:rsidP="00E66DD7">
      <w:pPr>
        <w:widowControl w:val="0"/>
        <w:numPr>
          <w:ilvl w:val="0"/>
          <w:numId w:val="1"/>
        </w:numPr>
        <w:tabs>
          <w:tab w:val="center" w:pos="0"/>
        </w:tabs>
        <w:autoSpaceDE w:val="0"/>
        <w:autoSpaceDN w:val="0"/>
        <w:adjustRightInd w:val="0"/>
        <w:ind w:left="0" w:firstLine="0"/>
        <w:contextualSpacing/>
        <w:jc w:val="both"/>
        <w:rPr>
          <w:rFonts w:ascii="Verdana" w:hAnsi="Verdana"/>
          <w:sz w:val="20"/>
          <w:szCs w:val="20"/>
          <w:lang w:val="en-US"/>
        </w:rPr>
      </w:pPr>
      <w:r w:rsidRPr="00D869E3">
        <w:rPr>
          <w:rFonts w:ascii="Verdana" w:hAnsi="Verdana"/>
          <w:sz w:val="20"/>
          <w:szCs w:val="20"/>
          <w:lang w:val="en-US" w:bidi="en-US"/>
        </w:rPr>
        <w:t>The Court</w:t>
      </w:r>
      <w:r w:rsidR="009C5D55" w:rsidRPr="00D869E3">
        <w:rPr>
          <w:rFonts w:ascii="Verdana" w:hAnsi="Verdana"/>
          <w:sz w:val="20"/>
          <w:szCs w:val="20"/>
          <w:lang w:val="en-US" w:bidi="en-US"/>
        </w:rPr>
        <w:t xml:space="preserve"> ha</w:t>
      </w:r>
      <w:r w:rsidR="003C6CFD" w:rsidRPr="00D869E3">
        <w:rPr>
          <w:rFonts w:ascii="Verdana" w:hAnsi="Verdana"/>
          <w:sz w:val="20"/>
          <w:szCs w:val="20"/>
          <w:lang w:val="en-US" w:bidi="en-US"/>
        </w:rPr>
        <w:t>s established that reparations should have a causal nexus to the facts of the case, the violations that have been declared, the harm proved, and the measures requested to redress the respective harm. Therefore, the Court must analyze the concurrence of these factors to rule appropriately and pursuant to the law.</w:t>
      </w:r>
      <w:r w:rsidR="009C5D55" w:rsidRPr="00D869E3">
        <w:rPr>
          <w:rFonts w:ascii="Verdana" w:hAnsi="Verdana"/>
          <w:sz w:val="20"/>
          <w:szCs w:val="20"/>
          <w:vertAlign w:val="superscript"/>
          <w:lang w:val="en-US" w:bidi="en-US"/>
        </w:rPr>
        <w:footnoteReference w:id="262"/>
      </w:r>
      <w:r w:rsidR="009C5D55" w:rsidRPr="00D869E3">
        <w:rPr>
          <w:rFonts w:ascii="Verdana" w:hAnsi="Verdana"/>
          <w:sz w:val="20"/>
          <w:szCs w:val="20"/>
          <w:lang w:val="en-US"/>
        </w:rPr>
        <w:t xml:space="preserve"> </w:t>
      </w:r>
    </w:p>
    <w:p w14:paraId="085E37C2" w14:textId="77777777" w:rsidR="009C5D55" w:rsidRPr="00D869E3" w:rsidRDefault="009C5D55" w:rsidP="00C0187C">
      <w:pPr>
        <w:widowControl w:val="0"/>
        <w:tabs>
          <w:tab w:val="center" w:pos="0"/>
          <w:tab w:val="center" w:pos="567"/>
        </w:tabs>
        <w:autoSpaceDE w:val="0"/>
        <w:autoSpaceDN w:val="0"/>
        <w:adjustRightInd w:val="0"/>
        <w:contextualSpacing/>
        <w:jc w:val="both"/>
        <w:rPr>
          <w:rFonts w:ascii="Verdana" w:hAnsi="Verdana"/>
          <w:sz w:val="20"/>
          <w:szCs w:val="20"/>
          <w:lang w:val="en-US"/>
        </w:rPr>
      </w:pPr>
    </w:p>
    <w:p w14:paraId="218DB903" w14:textId="35451C2B" w:rsidR="009C5D55" w:rsidRPr="00D869E3" w:rsidRDefault="003C6CFD" w:rsidP="003C6CFD">
      <w:pPr>
        <w:widowControl w:val="0"/>
        <w:numPr>
          <w:ilvl w:val="0"/>
          <w:numId w:val="1"/>
        </w:numPr>
        <w:tabs>
          <w:tab w:val="center" w:pos="0"/>
          <w:tab w:val="center" w:pos="720"/>
        </w:tabs>
        <w:autoSpaceDE w:val="0"/>
        <w:autoSpaceDN w:val="0"/>
        <w:adjustRightInd w:val="0"/>
        <w:ind w:left="0" w:firstLine="0"/>
        <w:contextualSpacing/>
        <w:jc w:val="both"/>
        <w:rPr>
          <w:rFonts w:ascii="Verdana" w:hAnsi="Verdana"/>
          <w:sz w:val="20"/>
          <w:szCs w:val="20"/>
          <w:lang w:val="en-US"/>
        </w:rPr>
      </w:pPr>
      <w:r w:rsidRPr="00D869E3">
        <w:rPr>
          <w:rFonts w:ascii="Verdana" w:hAnsi="Verdana"/>
          <w:sz w:val="20"/>
          <w:szCs w:val="20"/>
          <w:lang w:val="en-US" w:bidi="en-US"/>
        </w:rPr>
        <w:t>Reparation of the harm caused by the violation of an international obligation requires, whenever pos</w:t>
      </w:r>
      <w:r w:rsidR="000B71FF" w:rsidRPr="00D869E3">
        <w:rPr>
          <w:rFonts w:ascii="Verdana" w:hAnsi="Verdana"/>
          <w:sz w:val="20"/>
          <w:szCs w:val="20"/>
          <w:lang w:val="en-US" w:bidi="en-US"/>
        </w:rPr>
        <w:t>s</w:t>
      </w:r>
      <w:r w:rsidRPr="00D869E3">
        <w:rPr>
          <w:rFonts w:ascii="Verdana" w:hAnsi="Verdana"/>
          <w:sz w:val="20"/>
          <w:szCs w:val="20"/>
          <w:lang w:val="en-US" w:bidi="en-US"/>
        </w:rPr>
        <w:t>ible, full restitution, which consists in the re-establishment of the previous situation. If this is not feasible, the Court will determine measures to ensure the violated rights and to redress the consequences of the violations.</w:t>
      </w:r>
      <w:r w:rsidR="009C5D55" w:rsidRPr="00D869E3">
        <w:rPr>
          <w:rFonts w:ascii="Verdana" w:eastAsia="MS Mincho" w:hAnsi="Verdana"/>
          <w:sz w:val="20"/>
          <w:szCs w:val="20"/>
          <w:vertAlign w:val="superscript"/>
          <w:lang w:val="en-US"/>
        </w:rPr>
        <w:footnoteReference w:id="263"/>
      </w:r>
      <w:r w:rsidR="009C5D55" w:rsidRPr="00D869E3">
        <w:rPr>
          <w:rFonts w:ascii="Verdana" w:hAnsi="Verdana"/>
          <w:sz w:val="20"/>
          <w:szCs w:val="20"/>
          <w:lang w:val="en-US"/>
        </w:rPr>
        <w:t xml:space="preserve"> </w:t>
      </w:r>
    </w:p>
    <w:p w14:paraId="54FF7005" w14:textId="77777777" w:rsidR="009C5D55" w:rsidRPr="00D869E3" w:rsidRDefault="009C5D55" w:rsidP="003C6CFD">
      <w:pPr>
        <w:tabs>
          <w:tab w:val="center" w:pos="0"/>
          <w:tab w:val="center" w:pos="720"/>
        </w:tabs>
        <w:contextualSpacing/>
        <w:rPr>
          <w:rFonts w:ascii="Verdana" w:hAnsi="Verdana"/>
          <w:sz w:val="20"/>
          <w:szCs w:val="20"/>
          <w:lang w:val="en-US" w:bidi="en-US"/>
        </w:rPr>
      </w:pPr>
    </w:p>
    <w:p w14:paraId="6679580A" w14:textId="37565FEF" w:rsidR="009C5D55" w:rsidRPr="00D869E3" w:rsidRDefault="003C6CFD" w:rsidP="003C6CFD">
      <w:pPr>
        <w:widowControl w:val="0"/>
        <w:numPr>
          <w:ilvl w:val="0"/>
          <w:numId w:val="1"/>
        </w:numPr>
        <w:tabs>
          <w:tab w:val="center" w:pos="0"/>
          <w:tab w:val="center" w:pos="720"/>
        </w:tabs>
        <w:autoSpaceDE w:val="0"/>
        <w:autoSpaceDN w:val="0"/>
        <w:adjustRightInd w:val="0"/>
        <w:ind w:left="0" w:firstLine="0"/>
        <w:contextualSpacing/>
        <w:jc w:val="both"/>
        <w:rPr>
          <w:rFonts w:ascii="Verdana" w:hAnsi="Verdana"/>
          <w:sz w:val="20"/>
          <w:szCs w:val="20"/>
          <w:lang w:val="en-US"/>
        </w:rPr>
      </w:pPr>
      <w:r w:rsidRPr="00D869E3">
        <w:rPr>
          <w:rFonts w:ascii="Verdana" w:hAnsi="Verdana"/>
          <w:sz w:val="20"/>
          <w:szCs w:val="20"/>
          <w:lang w:val="en-US" w:bidi="en-US"/>
        </w:rPr>
        <w:t>Based on the violation</w:t>
      </w:r>
      <w:r w:rsidR="000B71FF" w:rsidRPr="00D869E3">
        <w:rPr>
          <w:rFonts w:ascii="Verdana" w:hAnsi="Verdana"/>
          <w:sz w:val="20"/>
          <w:szCs w:val="20"/>
          <w:lang w:val="en-US" w:bidi="en-US"/>
        </w:rPr>
        <w:t>s</w:t>
      </w:r>
      <w:r w:rsidRPr="00D869E3">
        <w:rPr>
          <w:rFonts w:ascii="Verdana" w:hAnsi="Verdana"/>
          <w:sz w:val="20"/>
          <w:szCs w:val="20"/>
          <w:lang w:val="en-US" w:bidi="en-US"/>
        </w:rPr>
        <w:t xml:space="preserve"> of the Convention declared in the previous chapters, the Court will proceed to examine the claims submitted by </w:t>
      </w:r>
      <w:r w:rsidR="00447C65" w:rsidRPr="00D869E3">
        <w:rPr>
          <w:rFonts w:ascii="Verdana" w:hAnsi="Verdana"/>
          <w:sz w:val="20"/>
          <w:szCs w:val="20"/>
          <w:lang w:val="en-US" w:bidi="en-US"/>
        </w:rPr>
        <w:t>the Commission</w:t>
      </w:r>
      <w:r w:rsidR="00687684" w:rsidRPr="00D869E3">
        <w:rPr>
          <w:rFonts w:ascii="Verdana" w:hAnsi="Verdana"/>
          <w:sz w:val="20"/>
          <w:szCs w:val="20"/>
          <w:lang w:val="en-US" w:bidi="en-US"/>
        </w:rPr>
        <w:t xml:space="preserve"> and the representatives</w:t>
      </w:r>
      <w:r w:rsidR="009C5D55" w:rsidRPr="00D869E3">
        <w:rPr>
          <w:rFonts w:ascii="Verdana" w:hAnsi="Verdana"/>
          <w:sz w:val="20"/>
          <w:szCs w:val="20"/>
          <w:lang w:val="en-US" w:bidi="en-US"/>
        </w:rPr>
        <w:t>, as</w:t>
      </w:r>
      <w:r w:rsidRPr="00D869E3">
        <w:rPr>
          <w:rFonts w:ascii="Verdana" w:hAnsi="Verdana"/>
          <w:sz w:val="20"/>
          <w:szCs w:val="20"/>
          <w:lang w:val="en-US" w:bidi="en-US"/>
        </w:rPr>
        <w:t xml:space="preserve"> well as the arguments </w:t>
      </w:r>
      <w:r w:rsidR="00447C65" w:rsidRPr="00D869E3">
        <w:rPr>
          <w:rFonts w:ascii="Verdana" w:hAnsi="Verdana"/>
          <w:sz w:val="20"/>
          <w:szCs w:val="20"/>
          <w:lang w:val="en-US" w:bidi="en-US"/>
        </w:rPr>
        <w:t>of the State</w:t>
      </w:r>
      <w:r w:rsidR="009C5D55" w:rsidRPr="00D869E3">
        <w:rPr>
          <w:rFonts w:ascii="Verdana" w:hAnsi="Verdana"/>
          <w:sz w:val="20"/>
          <w:szCs w:val="20"/>
          <w:lang w:val="en-US" w:bidi="en-US"/>
        </w:rPr>
        <w:t xml:space="preserve">, </w:t>
      </w:r>
      <w:r w:rsidRPr="00D869E3">
        <w:rPr>
          <w:rFonts w:ascii="Verdana" w:hAnsi="Verdana"/>
          <w:sz w:val="20"/>
          <w:szCs w:val="20"/>
          <w:lang w:val="en-US" w:bidi="en-US"/>
        </w:rPr>
        <w:t>in light of the criteria established in its case law concerning the nature and scope of the obligation to make reparation,</w:t>
      </w:r>
      <w:r w:rsidR="009C5D55" w:rsidRPr="00D869E3">
        <w:rPr>
          <w:rFonts w:ascii="Verdana" w:hAnsi="Verdana"/>
          <w:sz w:val="20"/>
          <w:szCs w:val="20"/>
          <w:vertAlign w:val="superscript"/>
          <w:lang w:val="en-US" w:bidi="en-US"/>
        </w:rPr>
        <w:footnoteReference w:id="264"/>
      </w:r>
      <w:r w:rsidRPr="00D869E3">
        <w:rPr>
          <w:rFonts w:ascii="Verdana" w:hAnsi="Verdana"/>
          <w:sz w:val="20"/>
          <w:szCs w:val="20"/>
          <w:lang w:val="en-US" w:bidi="en-US"/>
        </w:rPr>
        <w:t xml:space="preserve"> in order to establish measures addressed at redressing the harm caused to the victim</w:t>
      </w:r>
      <w:r w:rsidR="009C5D55" w:rsidRPr="00D869E3">
        <w:rPr>
          <w:rFonts w:ascii="Verdana" w:hAnsi="Verdana"/>
          <w:sz w:val="20"/>
          <w:szCs w:val="20"/>
          <w:lang w:val="en-US" w:bidi="en-US"/>
        </w:rPr>
        <w:t>.</w:t>
      </w:r>
      <w:r w:rsidR="009C5D55" w:rsidRPr="00D869E3">
        <w:rPr>
          <w:rFonts w:ascii="Verdana" w:hAnsi="Verdana"/>
          <w:sz w:val="20"/>
          <w:szCs w:val="20"/>
          <w:lang w:val="en-US"/>
        </w:rPr>
        <w:t xml:space="preserve"> </w:t>
      </w:r>
    </w:p>
    <w:p w14:paraId="58336ADF" w14:textId="77777777" w:rsidR="009C5D55" w:rsidRPr="00D869E3" w:rsidRDefault="009C5D55" w:rsidP="009C5D55">
      <w:pPr>
        <w:rPr>
          <w:rFonts w:ascii="Verdana" w:hAnsi="Verdana"/>
          <w:sz w:val="20"/>
          <w:szCs w:val="20"/>
          <w:lang w:val="en-US"/>
        </w:rPr>
      </w:pPr>
    </w:p>
    <w:p w14:paraId="4797D4CA" w14:textId="4502FA46" w:rsidR="009C5D55" w:rsidRPr="00D869E3" w:rsidRDefault="00B44B46" w:rsidP="00E66DD7">
      <w:pPr>
        <w:pStyle w:val="Ttulo2"/>
        <w:numPr>
          <w:ilvl w:val="0"/>
          <w:numId w:val="13"/>
        </w:numPr>
        <w:rPr>
          <w:b w:val="0"/>
          <w:bCs w:val="0"/>
          <w:i/>
          <w:szCs w:val="20"/>
          <w:lang w:val="en-US"/>
        </w:rPr>
      </w:pPr>
      <w:bookmarkStart w:id="66" w:name="_Toc29114153"/>
      <w:r w:rsidRPr="00D869E3">
        <w:rPr>
          <w:i/>
          <w:szCs w:val="20"/>
          <w:lang w:val="en-US"/>
        </w:rPr>
        <w:t>Injured party</w:t>
      </w:r>
      <w:bookmarkEnd w:id="66"/>
    </w:p>
    <w:p w14:paraId="26CB12D0" w14:textId="77777777" w:rsidR="009C5D55" w:rsidRPr="00D869E3" w:rsidRDefault="009C5D55" w:rsidP="009C5D55">
      <w:pPr>
        <w:contextualSpacing/>
        <w:rPr>
          <w:rFonts w:ascii="Verdana" w:eastAsia="Batang" w:hAnsi="Verdana"/>
          <w:color w:val="000000"/>
          <w:sz w:val="20"/>
          <w:szCs w:val="20"/>
          <w:lang w:val="en-US"/>
        </w:rPr>
      </w:pPr>
    </w:p>
    <w:p w14:paraId="579D8FB3" w14:textId="67348C1A" w:rsidR="009C5D55" w:rsidRPr="00D869E3" w:rsidRDefault="00447C65" w:rsidP="00E66DD7">
      <w:pPr>
        <w:widowControl w:val="0"/>
        <w:numPr>
          <w:ilvl w:val="0"/>
          <w:numId w:val="1"/>
        </w:numPr>
        <w:tabs>
          <w:tab w:val="center" w:pos="0"/>
        </w:tabs>
        <w:autoSpaceDE w:val="0"/>
        <w:autoSpaceDN w:val="0"/>
        <w:adjustRightInd w:val="0"/>
        <w:ind w:left="0" w:firstLine="0"/>
        <w:contextualSpacing/>
        <w:jc w:val="both"/>
        <w:rPr>
          <w:rFonts w:ascii="Verdana" w:hAnsi="Verdana"/>
          <w:sz w:val="20"/>
          <w:szCs w:val="20"/>
          <w:lang w:val="en-US"/>
        </w:rPr>
      </w:pPr>
      <w:r w:rsidRPr="00D869E3">
        <w:rPr>
          <w:rFonts w:ascii="Verdana" w:eastAsia="Batang" w:hAnsi="Verdana"/>
          <w:color w:val="000000"/>
          <w:sz w:val="20"/>
          <w:szCs w:val="20"/>
          <w:lang w:val="en-US"/>
        </w:rPr>
        <w:t>The Court</w:t>
      </w:r>
      <w:r w:rsidR="009C5D55" w:rsidRPr="00D869E3">
        <w:rPr>
          <w:rFonts w:ascii="Verdana" w:eastAsia="Batang" w:hAnsi="Verdana"/>
          <w:color w:val="000000"/>
          <w:sz w:val="20"/>
          <w:szCs w:val="20"/>
          <w:lang w:val="en-US"/>
        </w:rPr>
        <w:t xml:space="preserve"> con</w:t>
      </w:r>
      <w:r w:rsidR="003C6CFD" w:rsidRPr="00D869E3">
        <w:rPr>
          <w:rFonts w:ascii="Verdana" w:eastAsia="Batang" w:hAnsi="Verdana"/>
          <w:color w:val="000000"/>
          <w:sz w:val="20"/>
          <w:szCs w:val="20"/>
          <w:lang w:val="en-US"/>
        </w:rPr>
        <w:t xml:space="preserve">firms that, in accordance with </w:t>
      </w:r>
      <w:r w:rsidR="00687684" w:rsidRPr="00D869E3">
        <w:rPr>
          <w:rFonts w:ascii="Verdana" w:eastAsia="Batang" w:hAnsi="Verdana"/>
          <w:color w:val="000000"/>
          <w:sz w:val="20"/>
          <w:szCs w:val="20"/>
          <w:lang w:val="en-US"/>
        </w:rPr>
        <w:t>Article</w:t>
      </w:r>
      <w:r w:rsidR="009C5D55" w:rsidRPr="00D869E3">
        <w:rPr>
          <w:rFonts w:ascii="Verdana" w:eastAsia="Batang" w:hAnsi="Verdana"/>
          <w:color w:val="000000"/>
          <w:sz w:val="20"/>
          <w:szCs w:val="20"/>
          <w:lang w:val="en-US"/>
        </w:rPr>
        <w:t xml:space="preserve"> 35</w:t>
      </w:r>
      <w:r w:rsidR="003C6CFD" w:rsidRPr="00D869E3">
        <w:rPr>
          <w:rFonts w:ascii="Verdana" w:eastAsia="Batang" w:hAnsi="Verdana"/>
          <w:color w:val="000000"/>
          <w:sz w:val="20"/>
          <w:szCs w:val="20"/>
          <w:lang w:val="en-US"/>
        </w:rPr>
        <w:t>(</w:t>
      </w:r>
      <w:r w:rsidR="009C5D55" w:rsidRPr="00D869E3">
        <w:rPr>
          <w:rFonts w:ascii="Verdana" w:eastAsia="Batang" w:hAnsi="Verdana"/>
          <w:color w:val="000000"/>
          <w:sz w:val="20"/>
          <w:szCs w:val="20"/>
          <w:lang w:val="en-US"/>
        </w:rPr>
        <w:t>1</w:t>
      </w:r>
      <w:r w:rsidR="003C6CFD" w:rsidRPr="00D869E3">
        <w:rPr>
          <w:rFonts w:ascii="Verdana" w:eastAsia="Batang" w:hAnsi="Verdana"/>
          <w:color w:val="000000"/>
          <w:sz w:val="20"/>
          <w:szCs w:val="20"/>
          <w:lang w:val="en-US"/>
        </w:rPr>
        <w:t>)</w:t>
      </w:r>
      <w:r w:rsidRPr="00D869E3">
        <w:rPr>
          <w:rFonts w:ascii="Verdana" w:eastAsia="Batang" w:hAnsi="Verdana"/>
          <w:color w:val="000000"/>
          <w:sz w:val="20"/>
          <w:szCs w:val="20"/>
          <w:lang w:val="en-US"/>
        </w:rPr>
        <w:t xml:space="preserve"> of the Rules of Procedure</w:t>
      </w:r>
      <w:r w:rsidR="009C5D55" w:rsidRPr="00D869E3">
        <w:rPr>
          <w:rFonts w:ascii="Verdana" w:eastAsia="Batang" w:hAnsi="Verdana"/>
          <w:color w:val="000000"/>
          <w:sz w:val="20"/>
          <w:szCs w:val="20"/>
          <w:lang w:val="en-US"/>
        </w:rPr>
        <w:t xml:space="preserve">, </w:t>
      </w:r>
      <w:r w:rsidR="003C6CFD" w:rsidRPr="00D869E3">
        <w:rPr>
          <w:rFonts w:ascii="Verdana" w:eastAsia="Batang" w:hAnsi="Verdana"/>
          <w:color w:val="000000"/>
          <w:sz w:val="20"/>
          <w:szCs w:val="20"/>
          <w:lang w:val="en-US"/>
        </w:rPr>
        <w:t>only</w:t>
      </w:r>
      <w:r w:rsidR="009C5D55" w:rsidRPr="00D869E3">
        <w:rPr>
          <w:rFonts w:ascii="Verdana" w:eastAsia="Batang" w:hAnsi="Verdana"/>
          <w:color w:val="000000"/>
          <w:sz w:val="20"/>
          <w:szCs w:val="20"/>
          <w:lang w:val="en-US"/>
        </w:rPr>
        <w:t xml:space="preserve"> </w:t>
      </w:r>
      <w:r w:rsidR="00334B6C" w:rsidRPr="00D869E3">
        <w:rPr>
          <w:rFonts w:ascii="Verdana" w:eastAsia="Batang" w:hAnsi="Verdana"/>
          <w:color w:val="000000"/>
          <w:sz w:val="20"/>
          <w:szCs w:val="20"/>
          <w:lang w:val="en-US"/>
        </w:rPr>
        <w:t xml:space="preserve">Alfredo </w:t>
      </w:r>
      <w:r w:rsidR="009C5D55" w:rsidRPr="00D869E3">
        <w:rPr>
          <w:rFonts w:ascii="Verdana" w:eastAsia="Batang" w:hAnsi="Verdana"/>
          <w:color w:val="000000"/>
          <w:sz w:val="20"/>
          <w:szCs w:val="20"/>
          <w:lang w:val="en-US"/>
        </w:rPr>
        <w:t>Lagos del Campo</w:t>
      </w:r>
      <w:r w:rsidR="003C6CFD" w:rsidRPr="00D869E3">
        <w:rPr>
          <w:rFonts w:ascii="Verdana" w:eastAsia="Batang" w:hAnsi="Verdana"/>
          <w:color w:val="000000"/>
          <w:sz w:val="20"/>
          <w:szCs w:val="20"/>
          <w:lang w:val="en-US"/>
        </w:rPr>
        <w:t xml:space="preserve">, in his capacity as victim of the violations declared in this judgment, will be considered </w:t>
      </w:r>
      <w:r w:rsidR="00002A87" w:rsidRPr="00D869E3">
        <w:rPr>
          <w:rFonts w:ascii="Verdana" w:eastAsia="Batang" w:hAnsi="Verdana"/>
          <w:color w:val="000000"/>
          <w:sz w:val="20"/>
          <w:szCs w:val="20"/>
          <w:lang w:val="en-US"/>
        </w:rPr>
        <w:t>a</w:t>
      </w:r>
      <w:r w:rsidR="003C6CFD" w:rsidRPr="00D869E3">
        <w:rPr>
          <w:rFonts w:ascii="Verdana" w:eastAsia="Batang" w:hAnsi="Verdana"/>
          <w:color w:val="000000"/>
          <w:sz w:val="20"/>
          <w:szCs w:val="20"/>
          <w:lang w:val="en-US"/>
        </w:rPr>
        <w:t xml:space="preserve"> beneficiary of the reparations ordered by the Court. Consequently, the </w:t>
      </w:r>
      <w:r w:rsidR="003C6CFD" w:rsidRPr="00D869E3">
        <w:rPr>
          <w:rFonts w:ascii="Verdana" w:eastAsia="Batang" w:hAnsi="Verdana"/>
          <w:color w:val="000000"/>
          <w:sz w:val="20"/>
          <w:szCs w:val="20"/>
          <w:lang w:val="en-US"/>
        </w:rPr>
        <w:lastRenderedPageBreak/>
        <w:t>Court will not refer to the arguments that sought reparations for other individuals</w:t>
      </w:r>
      <w:r w:rsidR="009C5D55" w:rsidRPr="00D869E3">
        <w:rPr>
          <w:rFonts w:ascii="Verdana" w:hAnsi="Verdana"/>
          <w:sz w:val="20"/>
          <w:szCs w:val="20"/>
          <w:lang w:val="en-US"/>
        </w:rPr>
        <w:t xml:space="preserve">. </w:t>
      </w:r>
    </w:p>
    <w:p w14:paraId="529EB392" w14:textId="77777777" w:rsidR="009C5D55" w:rsidRPr="00D869E3" w:rsidRDefault="009C5D55" w:rsidP="009C5D55">
      <w:pPr>
        <w:widowControl w:val="0"/>
        <w:tabs>
          <w:tab w:val="center" w:pos="567"/>
        </w:tabs>
        <w:autoSpaceDE w:val="0"/>
        <w:autoSpaceDN w:val="0"/>
        <w:adjustRightInd w:val="0"/>
        <w:ind w:left="360" w:right="-90"/>
        <w:contextualSpacing/>
        <w:jc w:val="both"/>
        <w:rPr>
          <w:rFonts w:ascii="Verdana" w:hAnsi="Verdana"/>
          <w:sz w:val="20"/>
          <w:szCs w:val="20"/>
          <w:lang w:val="en-US"/>
        </w:rPr>
      </w:pPr>
    </w:p>
    <w:p w14:paraId="2D5BD74F" w14:textId="6936C3FF" w:rsidR="009C5D55" w:rsidRPr="00D869E3" w:rsidRDefault="00B44B46" w:rsidP="00E66DD7">
      <w:pPr>
        <w:pStyle w:val="Ttulo2"/>
        <w:numPr>
          <w:ilvl w:val="0"/>
          <w:numId w:val="13"/>
        </w:numPr>
        <w:rPr>
          <w:i/>
          <w:szCs w:val="20"/>
          <w:lang w:val="en-US"/>
        </w:rPr>
      </w:pPr>
      <w:bookmarkStart w:id="67" w:name="_Toc29114154"/>
      <w:r w:rsidRPr="00D869E3">
        <w:rPr>
          <w:i/>
          <w:szCs w:val="20"/>
          <w:lang w:val="en-US"/>
        </w:rPr>
        <w:t>Measures of satisfaction</w:t>
      </w:r>
      <w:bookmarkEnd w:id="67"/>
    </w:p>
    <w:p w14:paraId="375FC16C" w14:textId="77777777" w:rsidR="009C5D55" w:rsidRPr="00D869E3" w:rsidRDefault="009C5D55" w:rsidP="009C5D55">
      <w:pPr>
        <w:contextualSpacing/>
        <w:rPr>
          <w:rFonts w:ascii="Verdana" w:hAnsi="Verdana"/>
          <w:sz w:val="20"/>
          <w:szCs w:val="20"/>
          <w:lang w:val="en-US"/>
        </w:rPr>
      </w:pPr>
    </w:p>
    <w:p w14:paraId="303754C4" w14:textId="56B5D61B" w:rsidR="00A63638" w:rsidRPr="00D869E3" w:rsidRDefault="00B44B46" w:rsidP="00E66DD7">
      <w:pPr>
        <w:pStyle w:val="Ttulo3"/>
        <w:numPr>
          <w:ilvl w:val="0"/>
          <w:numId w:val="14"/>
        </w:numPr>
        <w:rPr>
          <w:i/>
          <w:lang w:val="en-US"/>
        </w:rPr>
      </w:pPr>
      <w:bookmarkStart w:id="68" w:name="_Toc29114155"/>
      <w:r w:rsidRPr="00D869E3">
        <w:rPr>
          <w:i/>
          <w:lang w:val="en-US"/>
        </w:rPr>
        <w:t>Publications</w:t>
      </w:r>
      <w:bookmarkEnd w:id="68"/>
    </w:p>
    <w:p w14:paraId="396158A0" w14:textId="77777777" w:rsidR="00A63638" w:rsidRPr="00D869E3" w:rsidRDefault="00A63638" w:rsidP="009C5D55">
      <w:pPr>
        <w:contextualSpacing/>
        <w:rPr>
          <w:rFonts w:ascii="Verdana" w:hAnsi="Verdana"/>
          <w:sz w:val="20"/>
          <w:szCs w:val="20"/>
          <w:lang w:val="en-US"/>
        </w:rPr>
      </w:pPr>
    </w:p>
    <w:p w14:paraId="508575A2" w14:textId="50FC5B98" w:rsidR="003C6CFD" w:rsidRPr="00D869E3" w:rsidRDefault="00687684" w:rsidP="00E66DD7">
      <w:pPr>
        <w:widowControl w:val="0"/>
        <w:numPr>
          <w:ilvl w:val="0"/>
          <w:numId w:val="1"/>
        </w:numPr>
        <w:tabs>
          <w:tab w:val="center" w:pos="0"/>
        </w:tabs>
        <w:autoSpaceDE w:val="0"/>
        <w:autoSpaceDN w:val="0"/>
        <w:adjustRightInd w:val="0"/>
        <w:ind w:left="0" w:firstLine="0"/>
        <w:contextualSpacing/>
        <w:jc w:val="both"/>
        <w:rPr>
          <w:rFonts w:ascii="Verdana" w:hAnsi="Verdana" w:cstheme="minorBidi"/>
          <w:bCs/>
          <w:sz w:val="20"/>
          <w:szCs w:val="20"/>
          <w:lang w:val="en-US"/>
        </w:rPr>
      </w:pPr>
      <w:r w:rsidRPr="00D869E3">
        <w:rPr>
          <w:rFonts w:ascii="Verdana" w:hAnsi="Verdana" w:cstheme="minorBidi"/>
          <w:bCs/>
          <w:sz w:val="20"/>
          <w:szCs w:val="20"/>
          <w:lang w:val="en-US"/>
        </w:rPr>
        <w:t xml:space="preserve">The </w:t>
      </w:r>
      <w:r w:rsidRPr="00D869E3">
        <w:rPr>
          <w:rFonts w:ascii="Verdana" w:hAnsi="Verdana" w:cstheme="minorBidi"/>
          <w:b/>
          <w:i/>
          <w:iCs/>
          <w:sz w:val="20"/>
          <w:szCs w:val="20"/>
          <w:lang w:val="en-US"/>
        </w:rPr>
        <w:t>representatives</w:t>
      </w:r>
      <w:r w:rsidR="009C5D55" w:rsidRPr="00D869E3">
        <w:rPr>
          <w:rFonts w:ascii="Verdana" w:hAnsi="Verdana" w:cstheme="minorBidi"/>
          <w:bCs/>
          <w:i/>
          <w:sz w:val="20"/>
          <w:szCs w:val="20"/>
          <w:lang w:val="en-US"/>
        </w:rPr>
        <w:t xml:space="preserve"> </w:t>
      </w:r>
      <w:r w:rsidR="003C6CFD" w:rsidRPr="00D869E3">
        <w:rPr>
          <w:rFonts w:ascii="Verdana" w:hAnsi="Verdana" w:cstheme="minorBidi"/>
          <w:bCs/>
          <w:sz w:val="20"/>
          <w:szCs w:val="20"/>
          <w:lang w:val="en-US"/>
        </w:rPr>
        <w:t>asked that the Court’s judgment be published in the Official Gazette and in a national newspaper withi</w:t>
      </w:r>
      <w:r w:rsidR="004A2BD6" w:rsidRPr="00D869E3">
        <w:rPr>
          <w:rFonts w:ascii="Verdana" w:hAnsi="Verdana" w:cstheme="minorBidi"/>
          <w:bCs/>
          <w:sz w:val="20"/>
          <w:szCs w:val="20"/>
          <w:lang w:val="en-US"/>
        </w:rPr>
        <w:t>n</w:t>
      </w:r>
      <w:r w:rsidR="003C6CFD" w:rsidRPr="00D869E3">
        <w:rPr>
          <w:rFonts w:ascii="Verdana" w:hAnsi="Verdana" w:cstheme="minorBidi"/>
          <w:bCs/>
          <w:sz w:val="20"/>
          <w:szCs w:val="20"/>
          <w:lang w:val="en-US"/>
        </w:rPr>
        <w:t xml:space="preserve"> six months, as well as on the website of the Ministry of Justice and Human Rights</w:t>
      </w:r>
      <w:r w:rsidR="004A2BD6" w:rsidRPr="00D869E3">
        <w:rPr>
          <w:rFonts w:ascii="Verdana" w:hAnsi="Verdana" w:cstheme="minorBidi"/>
          <w:bCs/>
          <w:sz w:val="20"/>
          <w:szCs w:val="20"/>
          <w:lang w:val="en-US"/>
        </w:rPr>
        <w:t xml:space="preserve">, at no more than three links from the main webpage, and that it remain there until the judgment had been executed fully. In particular, they asked that, at the very least, the sections </w:t>
      </w:r>
      <w:r w:rsidR="00804E37" w:rsidRPr="00D869E3">
        <w:rPr>
          <w:rFonts w:ascii="Verdana" w:hAnsi="Verdana" w:cstheme="minorBidi"/>
          <w:bCs/>
          <w:sz w:val="20"/>
          <w:szCs w:val="20"/>
          <w:lang w:val="en-US"/>
        </w:rPr>
        <w:t xml:space="preserve">of the judgment </w:t>
      </w:r>
      <w:r w:rsidR="004A2BD6" w:rsidRPr="00D869E3">
        <w:rPr>
          <w:rFonts w:ascii="Verdana" w:hAnsi="Verdana" w:cstheme="minorBidi"/>
          <w:bCs/>
          <w:sz w:val="20"/>
          <w:szCs w:val="20"/>
          <w:lang w:val="en-US"/>
        </w:rPr>
        <w:t>on context, proven facts and the operative paragraphs be published.</w:t>
      </w:r>
    </w:p>
    <w:p w14:paraId="702466FC" w14:textId="77777777" w:rsidR="009C5D55" w:rsidRPr="00D869E3" w:rsidRDefault="009C5D55" w:rsidP="009C5D55">
      <w:pPr>
        <w:widowControl w:val="0"/>
        <w:tabs>
          <w:tab w:val="center" w:pos="0"/>
        </w:tabs>
        <w:autoSpaceDE w:val="0"/>
        <w:autoSpaceDN w:val="0"/>
        <w:adjustRightInd w:val="0"/>
        <w:contextualSpacing/>
        <w:jc w:val="both"/>
        <w:rPr>
          <w:rFonts w:ascii="Verdana" w:hAnsi="Verdana"/>
          <w:sz w:val="20"/>
          <w:szCs w:val="20"/>
          <w:lang w:val="en-US"/>
        </w:rPr>
      </w:pPr>
    </w:p>
    <w:p w14:paraId="3F8FB9EC" w14:textId="54CE4EA2" w:rsidR="009C5D55" w:rsidRPr="00D869E3" w:rsidRDefault="00447C65" w:rsidP="00804E37">
      <w:pPr>
        <w:widowControl w:val="0"/>
        <w:numPr>
          <w:ilvl w:val="0"/>
          <w:numId w:val="1"/>
        </w:numPr>
        <w:tabs>
          <w:tab w:val="center" w:pos="0"/>
        </w:tabs>
        <w:autoSpaceDE w:val="0"/>
        <w:autoSpaceDN w:val="0"/>
        <w:adjustRightInd w:val="0"/>
        <w:ind w:left="0" w:firstLine="0"/>
        <w:contextualSpacing/>
        <w:jc w:val="both"/>
        <w:rPr>
          <w:rFonts w:ascii="Verdana" w:hAnsi="Verdana"/>
          <w:sz w:val="20"/>
          <w:szCs w:val="20"/>
          <w:lang w:val="en-US"/>
        </w:rPr>
      </w:pPr>
      <w:r w:rsidRPr="00D869E3">
        <w:rPr>
          <w:rFonts w:ascii="Verdana" w:hAnsi="Verdana"/>
          <w:sz w:val="20"/>
          <w:szCs w:val="20"/>
          <w:lang w:val="en-US"/>
        </w:rPr>
        <w:t xml:space="preserve">The </w:t>
      </w:r>
      <w:r w:rsidRPr="00D869E3">
        <w:rPr>
          <w:rFonts w:ascii="Verdana" w:hAnsi="Verdana"/>
          <w:b/>
          <w:bCs/>
          <w:i/>
          <w:iCs/>
          <w:sz w:val="20"/>
          <w:szCs w:val="20"/>
          <w:lang w:val="en-US"/>
        </w:rPr>
        <w:t>State</w:t>
      </w:r>
      <w:r w:rsidR="009C5D55" w:rsidRPr="00D869E3">
        <w:rPr>
          <w:rFonts w:ascii="Verdana" w:hAnsi="Verdana"/>
          <w:sz w:val="20"/>
          <w:szCs w:val="20"/>
          <w:lang w:val="en-US"/>
        </w:rPr>
        <w:t xml:space="preserve"> </w:t>
      </w:r>
      <w:r w:rsidR="00804E37" w:rsidRPr="00D869E3">
        <w:rPr>
          <w:rFonts w:ascii="Verdana" w:hAnsi="Verdana"/>
          <w:sz w:val="20"/>
          <w:szCs w:val="20"/>
          <w:lang w:val="en-US"/>
        </w:rPr>
        <w:t xml:space="preserve">indicated that it was not appropriate to grant the publication of the judgment as a reparation because there were no facts that the publication would clarify. However, should the Court order this, the inclusion of the context of the internal armed conflict experienced by Peru between 1980 and 2000 was not appropriate, because it was not part of the factual framework established by the </w:t>
      </w:r>
      <w:r w:rsidR="00687684" w:rsidRPr="00D869E3">
        <w:rPr>
          <w:rFonts w:ascii="Verdana" w:hAnsi="Verdana"/>
          <w:sz w:val="20"/>
          <w:szCs w:val="20"/>
          <w:lang w:val="en-US"/>
        </w:rPr>
        <w:t>Merits Report</w:t>
      </w:r>
      <w:r w:rsidR="00A07203" w:rsidRPr="00D869E3">
        <w:rPr>
          <w:rFonts w:ascii="Verdana" w:hAnsi="Verdana"/>
          <w:sz w:val="20"/>
          <w:szCs w:val="20"/>
          <w:lang w:val="en-US"/>
        </w:rPr>
        <w:t xml:space="preserve">. </w:t>
      </w:r>
      <w:r w:rsidR="00A347F5" w:rsidRPr="00D869E3">
        <w:rPr>
          <w:rFonts w:ascii="Verdana" w:hAnsi="Verdana"/>
          <w:sz w:val="20"/>
          <w:szCs w:val="20"/>
          <w:lang w:val="en-US"/>
        </w:rPr>
        <w:t>Furthermore it was not incumbent on a Ministry of the Executive to make the publication because the said publication had always fallen within the State’s legitimate margin of discretion</w:t>
      </w:r>
      <w:r w:rsidR="00A07203" w:rsidRPr="00D869E3">
        <w:rPr>
          <w:rFonts w:ascii="Verdana" w:hAnsi="Verdana"/>
          <w:sz w:val="20"/>
          <w:szCs w:val="20"/>
          <w:lang w:val="en-US"/>
        </w:rPr>
        <w:t>.</w:t>
      </w:r>
    </w:p>
    <w:p w14:paraId="07DC6DA0" w14:textId="77777777" w:rsidR="009C5D55" w:rsidRPr="00D869E3" w:rsidRDefault="009C5D55" w:rsidP="009C5D55">
      <w:pPr>
        <w:widowControl w:val="0"/>
        <w:tabs>
          <w:tab w:val="center" w:pos="0"/>
        </w:tabs>
        <w:autoSpaceDE w:val="0"/>
        <w:autoSpaceDN w:val="0"/>
        <w:adjustRightInd w:val="0"/>
        <w:contextualSpacing/>
        <w:jc w:val="both"/>
        <w:rPr>
          <w:rFonts w:ascii="Verdana" w:hAnsi="Verdana"/>
          <w:sz w:val="20"/>
          <w:szCs w:val="20"/>
          <w:lang w:val="en-US"/>
        </w:rPr>
      </w:pPr>
    </w:p>
    <w:p w14:paraId="2E665344" w14:textId="3A7FE256" w:rsidR="009C5D55" w:rsidRPr="00D869E3" w:rsidRDefault="00447C65" w:rsidP="00E66DD7">
      <w:pPr>
        <w:widowControl w:val="0"/>
        <w:numPr>
          <w:ilvl w:val="0"/>
          <w:numId w:val="1"/>
        </w:numPr>
        <w:tabs>
          <w:tab w:val="center" w:pos="0"/>
        </w:tabs>
        <w:autoSpaceDE w:val="0"/>
        <w:autoSpaceDN w:val="0"/>
        <w:adjustRightInd w:val="0"/>
        <w:ind w:left="0" w:firstLine="0"/>
        <w:contextualSpacing/>
        <w:jc w:val="both"/>
        <w:rPr>
          <w:rFonts w:ascii="Verdana" w:hAnsi="Verdana"/>
          <w:sz w:val="20"/>
          <w:szCs w:val="20"/>
          <w:lang w:val="en-US"/>
        </w:rPr>
      </w:pPr>
      <w:r w:rsidRPr="00D869E3">
        <w:rPr>
          <w:rFonts w:ascii="Verdana" w:hAnsi="Verdana"/>
          <w:sz w:val="20"/>
          <w:szCs w:val="20"/>
          <w:lang w:val="en-US"/>
        </w:rPr>
        <w:t xml:space="preserve">The </w:t>
      </w:r>
      <w:r w:rsidRPr="00D869E3">
        <w:rPr>
          <w:rFonts w:ascii="Verdana" w:hAnsi="Verdana"/>
          <w:b/>
          <w:bCs/>
          <w:i/>
          <w:iCs/>
          <w:sz w:val="20"/>
          <w:szCs w:val="20"/>
          <w:lang w:val="en-US"/>
        </w:rPr>
        <w:t>Commission</w:t>
      </w:r>
      <w:r w:rsidR="009C5D55" w:rsidRPr="00D869E3">
        <w:rPr>
          <w:rFonts w:ascii="Verdana" w:hAnsi="Verdana"/>
          <w:sz w:val="20"/>
          <w:szCs w:val="20"/>
          <w:lang w:val="en-US"/>
        </w:rPr>
        <w:t xml:space="preserve"> </w:t>
      </w:r>
      <w:r w:rsidR="00A347F5" w:rsidRPr="00D869E3">
        <w:rPr>
          <w:rFonts w:ascii="Verdana" w:hAnsi="Verdana"/>
          <w:sz w:val="20"/>
          <w:szCs w:val="20"/>
          <w:lang w:val="en-US"/>
        </w:rPr>
        <w:t>made no mention of this measure</w:t>
      </w:r>
      <w:r w:rsidR="009C5D55" w:rsidRPr="00D869E3">
        <w:rPr>
          <w:rFonts w:ascii="Verdana" w:hAnsi="Verdana"/>
          <w:sz w:val="20"/>
          <w:szCs w:val="20"/>
          <w:lang w:val="en-US"/>
        </w:rPr>
        <w:t>.</w:t>
      </w:r>
    </w:p>
    <w:p w14:paraId="3BA3DEE0" w14:textId="77777777" w:rsidR="009C5D55" w:rsidRPr="00D869E3" w:rsidRDefault="009C5D55" w:rsidP="009C5D55">
      <w:pPr>
        <w:contextualSpacing/>
        <w:rPr>
          <w:rFonts w:ascii="Verdana" w:hAnsi="Verdana"/>
          <w:sz w:val="20"/>
          <w:szCs w:val="20"/>
          <w:lang w:val="en-US"/>
        </w:rPr>
      </w:pPr>
    </w:p>
    <w:p w14:paraId="18AA15CA" w14:textId="27E668AC" w:rsidR="009C5D55" w:rsidRPr="00D869E3" w:rsidRDefault="00075E68" w:rsidP="00A347F5">
      <w:pPr>
        <w:widowControl w:val="0"/>
        <w:numPr>
          <w:ilvl w:val="0"/>
          <w:numId w:val="1"/>
        </w:numPr>
        <w:autoSpaceDE w:val="0"/>
        <w:autoSpaceDN w:val="0"/>
        <w:adjustRightInd w:val="0"/>
        <w:ind w:left="0" w:firstLine="0"/>
        <w:contextualSpacing/>
        <w:jc w:val="both"/>
        <w:rPr>
          <w:rFonts w:ascii="Verdana" w:hAnsi="Verdana"/>
          <w:sz w:val="20"/>
          <w:szCs w:val="20"/>
          <w:lang w:val="en-US"/>
        </w:rPr>
      </w:pPr>
      <w:r w:rsidRPr="00D869E3">
        <w:rPr>
          <w:rFonts w:ascii="Verdana" w:hAnsi="Verdana"/>
          <w:sz w:val="20"/>
          <w:szCs w:val="20"/>
          <w:lang w:val="en-US"/>
        </w:rPr>
        <w:t>In this regard</w:t>
      </w:r>
      <w:r w:rsidR="009C5D55" w:rsidRPr="00D869E3">
        <w:rPr>
          <w:rFonts w:ascii="Verdana" w:hAnsi="Verdana"/>
          <w:sz w:val="20"/>
          <w:szCs w:val="20"/>
          <w:lang w:val="en-US"/>
        </w:rPr>
        <w:t xml:space="preserve">, </w:t>
      </w:r>
      <w:r w:rsidR="00447C65" w:rsidRPr="00D869E3">
        <w:rPr>
          <w:rFonts w:ascii="Verdana" w:hAnsi="Verdana"/>
          <w:sz w:val="20"/>
          <w:szCs w:val="20"/>
          <w:lang w:val="en-US"/>
        </w:rPr>
        <w:t>the Court</w:t>
      </w:r>
      <w:r w:rsidR="009C5D55" w:rsidRPr="00D869E3">
        <w:rPr>
          <w:rFonts w:ascii="Verdana" w:hAnsi="Verdana"/>
          <w:sz w:val="20"/>
          <w:szCs w:val="20"/>
          <w:lang w:val="en-US"/>
        </w:rPr>
        <w:t xml:space="preserve"> </w:t>
      </w:r>
      <w:r w:rsidR="00A347F5" w:rsidRPr="00D869E3">
        <w:rPr>
          <w:rFonts w:ascii="Verdana" w:hAnsi="Verdana"/>
          <w:sz w:val="20"/>
          <w:szCs w:val="20"/>
          <w:lang w:val="en-US"/>
        </w:rPr>
        <w:t>considers, as it has in other cases,</w:t>
      </w:r>
      <w:r w:rsidR="009C5D55" w:rsidRPr="00D869E3">
        <w:rPr>
          <w:rFonts w:ascii="Verdana" w:hAnsi="Verdana"/>
          <w:sz w:val="20"/>
          <w:szCs w:val="20"/>
          <w:vertAlign w:val="superscript"/>
          <w:lang w:val="en-US"/>
        </w:rPr>
        <w:footnoteReference w:id="265"/>
      </w:r>
      <w:r w:rsidR="00A347F5" w:rsidRPr="00D869E3">
        <w:rPr>
          <w:rFonts w:ascii="Verdana" w:hAnsi="Verdana"/>
          <w:sz w:val="20"/>
          <w:szCs w:val="20"/>
          <w:lang w:val="en-US"/>
        </w:rPr>
        <w:t xml:space="preserve"> that the State must publish, within six months of notification of this judgment: (a) the official summary of this judgment prepared by the Court, once, in the Official Gazette, in an appropriate and legible font size; (b) the official summary of this judgment prepared by the Court, once, in a national newspaper with widespread circulation, in an appropriate and legible font size, a</w:t>
      </w:r>
      <w:r w:rsidR="00F75DF3" w:rsidRPr="00D869E3">
        <w:rPr>
          <w:rFonts w:ascii="Verdana" w:hAnsi="Verdana"/>
          <w:sz w:val="20"/>
          <w:szCs w:val="20"/>
          <w:lang w:val="en-US"/>
        </w:rPr>
        <w:t>n</w:t>
      </w:r>
      <w:r w:rsidR="00A347F5" w:rsidRPr="00D869E3">
        <w:rPr>
          <w:rFonts w:ascii="Verdana" w:hAnsi="Verdana"/>
          <w:sz w:val="20"/>
          <w:szCs w:val="20"/>
          <w:lang w:val="en-US"/>
        </w:rPr>
        <w:t>d (c) this judgment in full, available for one year, on an official website accessible to the public from the site’s home page</w:t>
      </w:r>
      <w:r w:rsidR="009C5D55" w:rsidRPr="00D869E3">
        <w:rPr>
          <w:rFonts w:ascii="Verdana" w:hAnsi="Verdana"/>
          <w:sz w:val="20"/>
          <w:szCs w:val="20"/>
          <w:lang w:val="en-US"/>
        </w:rPr>
        <w:t>.</w:t>
      </w:r>
    </w:p>
    <w:p w14:paraId="501294C3" w14:textId="77777777" w:rsidR="009C5D55" w:rsidRPr="00D869E3" w:rsidRDefault="009C5D55" w:rsidP="009C5D55">
      <w:pPr>
        <w:widowControl w:val="0"/>
        <w:tabs>
          <w:tab w:val="center" w:pos="567"/>
        </w:tabs>
        <w:autoSpaceDE w:val="0"/>
        <w:autoSpaceDN w:val="0"/>
        <w:adjustRightInd w:val="0"/>
        <w:contextualSpacing/>
        <w:jc w:val="both"/>
        <w:rPr>
          <w:rFonts w:ascii="Verdana" w:hAnsi="Verdana"/>
          <w:sz w:val="20"/>
          <w:szCs w:val="20"/>
          <w:lang w:val="en-US"/>
        </w:rPr>
      </w:pPr>
    </w:p>
    <w:p w14:paraId="0325815D" w14:textId="3B78A7F3" w:rsidR="009C5D55" w:rsidRPr="00D869E3" w:rsidRDefault="00447C65" w:rsidP="0008054E">
      <w:pPr>
        <w:widowControl w:val="0"/>
        <w:numPr>
          <w:ilvl w:val="0"/>
          <w:numId w:val="1"/>
        </w:numPr>
        <w:autoSpaceDE w:val="0"/>
        <w:autoSpaceDN w:val="0"/>
        <w:adjustRightInd w:val="0"/>
        <w:ind w:left="0" w:firstLine="0"/>
        <w:contextualSpacing/>
        <w:jc w:val="both"/>
        <w:rPr>
          <w:rFonts w:ascii="Verdana" w:hAnsi="Verdana"/>
          <w:b/>
          <w:sz w:val="20"/>
          <w:szCs w:val="20"/>
          <w:lang w:val="en-US"/>
        </w:rPr>
      </w:pPr>
      <w:r w:rsidRPr="00D869E3">
        <w:rPr>
          <w:rFonts w:ascii="Verdana" w:hAnsi="Verdana"/>
          <w:sz w:val="20"/>
          <w:szCs w:val="20"/>
          <w:lang w:val="en-US"/>
        </w:rPr>
        <w:t>The State</w:t>
      </w:r>
      <w:r w:rsidR="009C5D55" w:rsidRPr="00D869E3">
        <w:rPr>
          <w:rFonts w:ascii="Verdana" w:hAnsi="Verdana"/>
          <w:sz w:val="20"/>
          <w:szCs w:val="20"/>
          <w:lang w:val="en-US"/>
        </w:rPr>
        <w:t xml:space="preserve"> </w:t>
      </w:r>
      <w:r w:rsidR="00A347F5" w:rsidRPr="00D869E3">
        <w:rPr>
          <w:rFonts w:ascii="Verdana" w:hAnsi="Verdana"/>
          <w:sz w:val="20"/>
          <w:szCs w:val="20"/>
          <w:lang w:val="en-US"/>
        </w:rPr>
        <w:t>must advise the Court immediately when it has made each of the publications ordered, irrespective of the one-year time frame for presenting its first report established in the thirteenth operative paragraph of the judgment</w:t>
      </w:r>
      <w:r w:rsidR="009C5D55" w:rsidRPr="00D869E3">
        <w:rPr>
          <w:rFonts w:ascii="Verdana" w:hAnsi="Verdana"/>
          <w:sz w:val="20"/>
          <w:szCs w:val="20"/>
          <w:lang w:val="en-US"/>
        </w:rPr>
        <w:t>.</w:t>
      </w:r>
    </w:p>
    <w:p w14:paraId="0960716B" w14:textId="6251EBE8" w:rsidR="00564925" w:rsidRPr="00D869E3" w:rsidRDefault="00564925" w:rsidP="005D0F69">
      <w:pPr>
        <w:widowControl w:val="0"/>
        <w:tabs>
          <w:tab w:val="center" w:pos="567"/>
        </w:tabs>
        <w:autoSpaceDE w:val="0"/>
        <w:autoSpaceDN w:val="0"/>
        <w:adjustRightInd w:val="0"/>
        <w:contextualSpacing/>
        <w:jc w:val="both"/>
        <w:rPr>
          <w:rFonts w:ascii="Verdana" w:eastAsiaTheme="minorHAnsi" w:hAnsi="Verdana" w:cstheme="minorBidi"/>
          <w:sz w:val="20"/>
          <w:szCs w:val="20"/>
          <w:lang w:val="en-US"/>
        </w:rPr>
      </w:pPr>
    </w:p>
    <w:p w14:paraId="3D8A5977" w14:textId="7B988DFC" w:rsidR="00564925" w:rsidRPr="00D869E3" w:rsidRDefault="00B44B46" w:rsidP="00E66DD7">
      <w:pPr>
        <w:pStyle w:val="Ttulo2"/>
        <w:numPr>
          <w:ilvl w:val="0"/>
          <w:numId w:val="13"/>
        </w:numPr>
        <w:rPr>
          <w:i/>
          <w:szCs w:val="20"/>
          <w:lang w:val="en-US"/>
        </w:rPr>
      </w:pPr>
      <w:bookmarkStart w:id="69" w:name="_Toc29114156"/>
      <w:r w:rsidRPr="00D869E3">
        <w:rPr>
          <w:i/>
          <w:szCs w:val="20"/>
          <w:lang w:val="en-US"/>
        </w:rPr>
        <w:t>Other measures requested</w:t>
      </w:r>
      <w:bookmarkEnd w:id="69"/>
    </w:p>
    <w:p w14:paraId="1AB68A0F" w14:textId="77777777" w:rsidR="003F07AD" w:rsidRPr="00D869E3" w:rsidRDefault="003F07AD" w:rsidP="005D0F69">
      <w:pPr>
        <w:widowControl w:val="0"/>
        <w:tabs>
          <w:tab w:val="center" w:pos="567"/>
        </w:tabs>
        <w:autoSpaceDE w:val="0"/>
        <w:autoSpaceDN w:val="0"/>
        <w:adjustRightInd w:val="0"/>
        <w:contextualSpacing/>
        <w:jc w:val="both"/>
        <w:rPr>
          <w:rFonts w:ascii="Verdana" w:eastAsiaTheme="minorHAnsi" w:hAnsi="Verdana" w:cstheme="minorBidi"/>
          <w:sz w:val="20"/>
          <w:szCs w:val="20"/>
          <w:lang w:val="en-US"/>
        </w:rPr>
      </w:pPr>
    </w:p>
    <w:p w14:paraId="0A71BC24" w14:textId="194F276D" w:rsidR="000C6082" w:rsidRPr="00D869E3" w:rsidRDefault="00A347F5" w:rsidP="0008054E">
      <w:pPr>
        <w:widowControl w:val="0"/>
        <w:numPr>
          <w:ilvl w:val="0"/>
          <w:numId w:val="1"/>
        </w:numPr>
        <w:tabs>
          <w:tab w:val="center" w:pos="720"/>
          <w:tab w:val="num" w:pos="840"/>
        </w:tabs>
        <w:autoSpaceDE w:val="0"/>
        <w:autoSpaceDN w:val="0"/>
        <w:adjustRightInd w:val="0"/>
        <w:ind w:left="0" w:firstLine="0"/>
        <w:contextualSpacing/>
        <w:jc w:val="both"/>
        <w:rPr>
          <w:rFonts w:ascii="Verdana" w:eastAsiaTheme="minorHAnsi" w:hAnsi="Verdana" w:cstheme="minorBidi"/>
          <w:sz w:val="20"/>
          <w:szCs w:val="20"/>
          <w:lang w:val="en-US"/>
        </w:rPr>
      </w:pPr>
      <w:r w:rsidRPr="00D869E3">
        <w:rPr>
          <w:rFonts w:ascii="Verdana" w:eastAsiaTheme="minorHAnsi" w:hAnsi="Verdana" w:cstheme="minorBidi"/>
          <w:sz w:val="20"/>
          <w:szCs w:val="20"/>
          <w:lang w:val="en-US"/>
        </w:rPr>
        <w:t>International case law and, in particular, that of this Court, has established repeatedly that the judgment constitutes, in itself, a form of reparation. Nevertheless, the Court notes the other measures requested by the parties and will rule in this regard.</w:t>
      </w:r>
    </w:p>
    <w:p w14:paraId="4474E3C0" w14:textId="77777777" w:rsidR="000C6082" w:rsidRPr="00D869E3" w:rsidRDefault="000C6082" w:rsidP="0008054E">
      <w:pPr>
        <w:widowControl w:val="0"/>
        <w:tabs>
          <w:tab w:val="center" w:pos="720"/>
        </w:tabs>
        <w:autoSpaceDE w:val="0"/>
        <w:autoSpaceDN w:val="0"/>
        <w:adjustRightInd w:val="0"/>
        <w:contextualSpacing/>
        <w:jc w:val="both"/>
        <w:rPr>
          <w:rFonts w:ascii="Verdana" w:eastAsiaTheme="minorHAnsi" w:hAnsi="Verdana" w:cstheme="minorBidi"/>
          <w:sz w:val="20"/>
          <w:szCs w:val="20"/>
          <w:lang w:val="en-US"/>
        </w:rPr>
      </w:pPr>
    </w:p>
    <w:p w14:paraId="25808425" w14:textId="516B96F9" w:rsidR="00BD65C5" w:rsidRPr="00D869E3" w:rsidRDefault="00A347F5" w:rsidP="0008054E">
      <w:pPr>
        <w:widowControl w:val="0"/>
        <w:numPr>
          <w:ilvl w:val="0"/>
          <w:numId w:val="1"/>
        </w:numPr>
        <w:tabs>
          <w:tab w:val="center" w:pos="720"/>
          <w:tab w:val="num" w:pos="840"/>
        </w:tabs>
        <w:autoSpaceDE w:val="0"/>
        <w:autoSpaceDN w:val="0"/>
        <w:adjustRightInd w:val="0"/>
        <w:ind w:left="0" w:firstLine="0"/>
        <w:contextualSpacing/>
        <w:jc w:val="both"/>
        <w:rPr>
          <w:rFonts w:ascii="Verdana" w:eastAsiaTheme="minorHAnsi" w:hAnsi="Verdana" w:cstheme="minorBidi"/>
          <w:sz w:val="20"/>
          <w:szCs w:val="20"/>
          <w:lang w:val="en-US"/>
        </w:rPr>
      </w:pPr>
      <w:r w:rsidRPr="00D869E3">
        <w:rPr>
          <w:rFonts w:ascii="Verdana" w:eastAsiaTheme="minorHAnsi" w:hAnsi="Verdana" w:cstheme="minorBidi"/>
          <w:sz w:val="20"/>
          <w:szCs w:val="20"/>
          <w:lang w:val="en-US"/>
        </w:rPr>
        <w:t>Regarding the other</w:t>
      </w:r>
      <w:r w:rsidR="003F07AD" w:rsidRPr="00D869E3">
        <w:rPr>
          <w:rFonts w:ascii="Verdana" w:eastAsiaTheme="minorHAnsi" w:hAnsi="Verdana" w:cstheme="minorBidi"/>
          <w:sz w:val="20"/>
          <w:szCs w:val="20"/>
          <w:lang w:val="en-US"/>
        </w:rPr>
        <w:t xml:space="preserve"> </w:t>
      </w:r>
      <w:r w:rsidRPr="00D869E3">
        <w:rPr>
          <w:rFonts w:ascii="Verdana" w:eastAsiaTheme="minorHAnsi" w:hAnsi="Verdana" w:cstheme="minorBidi"/>
          <w:sz w:val="20"/>
          <w:szCs w:val="20"/>
          <w:lang w:val="en-US"/>
        </w:rPr>
        <w:t>m</w:t>
      </w:r>
      <w:r w:rsidR="00B44B46" w:rsidRPr="00D869E3">
        <w:rPr>
          <w:rFonts w:ascii="Verdana" w:eastAsiaTheme="minorHAnsi" w:hAnsi="Verdana" w:cstheme="minorBidi"/>
          <w:sz w:val="20"/>
          <w:szCs w:val="20"/>
          <w:lang w:val="en-US"/>
        </w:rPr>
        <w:t>easures of satisfaction</w:t>
      </w:r>
      <w:r w:rsidR="003F07AD" w:rsidRPr="00D869E3">
        <w:rPr>
          <w:rFonts w:ascii="Verdana" w:eastAsiaTheme="minorHAnsi" w:hAnsi="Verdana" w:cstheme="minorBidi"/>
          <w:sz w:val="20"/>
          <w:szCs w:val="20"/>
          <w:lang w:val="en-US"/>
        </w:rPr>
        <w:t xml:space="preserve"> </w:t>
      </w:r>
      <w:r w:rsidRPr="00D869E3">
        <w:rPr>
          <w:rFonts w:ascii="Verdana" w:eastAsiaTheme="minorHAnsi" w:hAnsi="Verdana" w:cstheme="minorBidi"/>
          <w:sz w:val="20"/>
          <w:szCs w:val="20"/>
          <w:lang w:val="en-US"/>
        </w:rPr>
        <w:t>requested</w:t>
      </w:r>
      <w:r w:rsidR="003F07AD" w:rsidRPr="00D869E3">
        <w:rPr>
          <w:rFonts w:ascii="Verdana" w:eastAsiaTheme="minorHAnsi" w:hAnsi="Verdana" w:cstheme="minorBidi"/>
          <w:sz w:val="20"/>
          <w:szCs w:val="20"/>
          <w:lang w:val="en-US"/>
        </w:rPr>
        <w:t xml:space="preserve">, </w:t>
      </w:r>
      <w:r w:rsidR="00687684" w:rsidRPr="00D869E3">
        <w:rPr>
          <w:rFonts w:ascii="Verdana" w:eastAsiaTheme="minorHAnsi" w:hAnsi="Verdana" w:cstheme="minorBidi"/>
          <w:sz w:val="20"/>
          <w:szCs w:val="20"/>
          <w:lang w:val="en-US"/>
        </w:rPr>
        <w:t xml:space="preserve">the </w:t>
      </w:r>
      <w:r w:rsidR="00687684" w:rsidRPr="00D869E3">
        <w:rPr>
          <w:rFonts w:ascii="Verdana" w:eastAsiaTheme="minorHAnsi" w:hAnsi="Verdana" w:cstheme="minorBidi"/>
          <w:b/>
          <w:bCs/>
          <w:i/>
          <w:iCs/>
          <w:sz w:val="20"/>
          <w:szCs w:val="20"/>
          <w:lang w:val="en-US"/>
        </w:rPr>
        <w:t>representatives</w:t>
      </w:r>
      <w:r w:rsidR="00564925" w:rsidRPr="00D869E3">
        <w:rPr>
          <w:rFonts w:ascii="Verdana" w:eastAsiaTheme="minorHAnsi" w:hAnsi="Verdana" w:cstheme="minorBidi"/>
          <w:sz w:val="20"/>
          <w:szCs w:val="20"/>
          <w:lang w:val="en-US"/>
        </w:rPr>
        <w:t xml:space="preserve"> </w:t>
      </w:r>
      <w:r w:rsidRPr="00D869E3">
        <w:rPr>
          <w:rFonts w:ascii="Verdana" w:eastAsiaTheme="minorHAnsi" w:hAnsi="Verdana" w:cstheme="minorBidi"/>
          <w:sz w:val="20"/>
          <w:szCs w:val="20"/>
          <w:lang w:val="en-US"/>
        </w:rPr>
        <w:t>asked that the State organize an act during which its most senior authorities would make a public apology</w:t>
      </w:r>
      <w:r w:rsidR="00564925" w:rsidRPr="00D869E3">
        <w:rPr>
          <w:rFonts w:ascii="Verdana" w:eastAsiaTheme="minorHAnsi" w:hAnsi="Verdana" w:cstheme="minorBidi"/>
          <w:sz w:val="20"/>
          <w:szCs w:val="20"/>
          <w:lang w:val="en-US"/>
        </w:rPr>
        <w:t xml:space="preserve">. </w:t>
      </w:r>
      <w:r w:rsidR="00447C65" w:rsidRPr="00D869E3">
        <w:rPr>
          <w:rFonts w:ascii="Verdana" w:eastAsiaTheme="minorHAnsi" w:hAnsi="Verdana" w:cstheme="minorBidi"/>
          <w:sz w:val="20"/>
          <w:szCs w:val="20"/>
          <w:lang w:val="en-US"/>
        </w:rPr>
        <w:t xml:space="preserve">The </w:t>
      </w:r>
      <w:r w:rsidR="00447C65" w:rsidRPr="00D869E3">
        <w:rPr>
          <w:rFonts w:ascii="Verdana" w:eastAsiaTheme="minorHAnsi" w:hAnsi="Verdana" w:cstheme="minorBidi"/>
          <w:b/>
          <w:bCs/>
          <w:i/>
          <w:iCs/>
          <w:sz w:val="20"/>
          <w:szCs w:val="20"/>
          <w:lang w:val="en-US"/>
        </w:rPr>
        <w:t>State</w:t>
      </w:r>
      <w:r w:rsidR="00564925" w:rsidRPr="00D869E3">
        <w:rPr>
          <w:rFonts w:ascii="Verdana" w:eastAsiaTheme="minorHAnsi" w:hAnsi="Verdana" w:cstheme="minorBidi"/>
          <w:sz w:val="20"/>
          <w:szCs w:val="20"/>
          <w:lang w:val="en-US"/>
        </w:rPr>
        <w:t xml:space="preserve"> </w:t>
      </w:r>
      <w:r w:rsidRPr="00D869E3">
        <w:rPr>
          <w:rFonts w:ascii="Verdana" w:eastAsiaTheme="minorHAnsi" w:hAnsi="Verdana" w:cstheme="minorBidi"/>
          <w:sz w:val="20"/>
          <w:szCs w:val="20"/>
          <w:lang w:val="en-US"/>
        </w:rPr>
        <w:t xml:space="preserve">argued that </w:t>
      </w:r>
      <w:r w:rsidR="00BD65C5" w:rsidRPr="00D869E3">
        <w:rPr>
          <w:rFonts w:ascii="Verdana" w:eastAsiaTheme="minorHAnsi" w:hAnsi="Verdana" w:cstheme="minorBidi"/>
          <w:sz w:val="20"/>
          <w:szCs w:val="20"/>
          <w:lang w:val="en-US"/>
        </w:rPr>
        <w:t xml:space="preserve">the Court had not ordered a public act of apology in the case of </w:t>
      </w:r>
      <w:r w:rsidR="00564925" w:rsidRPr="00D869E3">
        <w:rPr>
          <w:rFonts w:ascii="Verdana" w:eastAsiaTheme="minorHAnsi" w:hAnsi="Verdana" w:cstheme="minorBidi"/>
          <w:i/>
          <w:iCs/>
          <w:sz w:val="20"/>
          <w:szCs w:val="20"/>
          <w:lang w:val="en-US"/>
        </w:rPr>
        <w:t>Aguado Alfaro</w:t>
      </w:r>
      <w:r w:rsidR="00A07203" w:rsidRPr="00D869E3">
        <w:rPr>
          <w:rFonts w:ascii="Verdana" w:eastAsiaTheme="minorHAnsi" w:hAnsi="Verdana" w:cstheme="minorBidi"/>
          <w:sz w:val="20"/>
          <w:szCs w:val="20"/>
          <w:lang w:val="en-US"/>
        </w:rPr>
        <w:t xml:space="preserve"> (</w:t>
      </w:r>
      <w:r w:rsidR="00BD65C5" w:rsidRPr="00D869E3">
        <w:rPr>
          <w:rFonts w:ascii="Verdana" w:hAnsi="Verdana"/>
          <w:i/>
          <w:sz w:val="20"/>
          <w:szCs w:val="20"/>
          <w:lang w:val="en-US"/>
        </w:rPr>
        <w:t xml:space="preserve">Dismissed Congressional Employees </w:t>
      </w:r>
      <w:r w:rsidR="00447C65" w:rsidRPr="00D869E3">
        <w:rPr>
          <w:rFonts w:ascii="Verdana" w:hAnsi="Verdana"/>
          <w:i/>
          <w:sz w:val="20"/>
          <w:szCs w:val="20"/>
          <w:lang w:val="en-US"/>
        </w:rPr>
        <w:t>v.</w:t>
      </w:r>
      <w:r w:rsidR="00A07203" w:rsidRPr="00D869E3">
        <w:rPr>
          <w:rFonts w:ascii="Verdana" w:hAnsi="Verdana"/>
          <w:i/>
          <w:sz w:val="20"/>
          <w:szCs w:val="20"/>
          <w:lang w:val="en-US"/>
        </w:rPr>
        <w:t xml:space="preserve"> </w:t>
      </w:r>
      <w:r w:rsidR="00447C65" w:rsidRPr="00D869E3">
        <w:rPr>
          <w:rFonts w:ascii="Verdana" w:hAnsi="Verdana"/>
          <w:i/>
          <w:sz w:val="20"/>
          <w:szCs w:val="20"/>
          <w:lang w:val="en-US"/>
        </w:rPr>
        <w:t>Peru</w:t>
      </w:r>
      <w:r w:rsidR="00A07203" w:rsidRPr="00D869E3">
        <w:rPr>
          <w:rFonts w:ascii="Verdana" w:hAnsi="Verdana"/>
          <w:sz w:val="20"/>
          <w:szCs w:val="20"/>
          <w:lang w:val="en-US"/>
        </w:rPr>
        <w:t xml:space="preserve"> </w:t>
      </w:r>
      <w:r w:rsidR="00BD65C5" w:rsidRPr="00D869E3">
        <w:rPr>
          <w:rFonts w:ascii="Verdana" w:hAnsi="Verdana"/>
          <w:sz w:val="20"/>
          <w:szCs w:val="20"/>
          <w:lang w:val="en-US"/>
        </w:rPr>
        <w:t>of November 24,</w:t>
      </w:r>
      <w:r w:rsidR="00A07203" w:rsidRPr="00D869E3">
        <w:rPr>
          <w:rFonts w:ascii="Verdana" w:hAnsi="Verdana"/>
          <w:sz w:val="20"/>
          <w:szCs w:val="20"/>
          <w:lang w:val="en-US"/>
        </w:rPr>
        <w:t xml:space="preserve"> 2006</w:t>
      </w:r>
      <w:r w:rsidR="00BD65C5" w:rsidRPr="00D869E3">
        <w:rPr>
          <w:rFonts w:ascii="Verdana" w:hAnsi="Verdana"/>
          <w:sz w:val="20"/>
          <w:szCs w:val="20"/>
          <w:lang w:val="en-US"/>
        </w:rPr>
        <w:t>)</w:t>
      </w:r>
      <w:r w:rsidR="00564925" w:rsidRPr="00D869E3">
        <w:rPr>
          <w:rFonts w:ascii="Verdana" w:eastAsiaTheme="minorHAnsi" w:hAnsi="Verdana" w:cstheme="minorBidi"/>
          <w:sz w:val="20"/>
          <w:szCs w:val="20"/>
          <w:lang w:val="en-US"/>
        </w:rPr>
        <w:t xml:space="preserve">, </w:t>
      </w:r>
      <w:r w:rsidR="00BD65C5" w:rsidRPr="00D869E3">
        <w:rPr>
          <w:rFonts w:ascii="Verdana" w:eastAsiaTheme="minorHAnsi" w:hAnsi="Verdana" w:cstheme="minorBidi"/>
          <w:sz w:val="20"/>
          <w:szCs w:val="20"/>
          <w:lang w:val="en-US"/>
        </w:rPr>
        <w:t>which concerned a collective dismissal; thus, with greater justification, it was not appropriate to organize an act in this case in which the presumed victim is a single individual.</w:t>
      </w:r>
    </w:p>
    <w:p w14:paraId="6807B2FA" w14:textId="77777777" w:rsidR="00232AA2" w:rsidRPr="00D869E3" w:rsidRDefault="00232AA2" w:rsidP="0008054E">
      <w:pPr>
        <w:widowControl w:val="0"/>
        <w:tabs>
          <w:tab w:val="center" w:pos="720"/>
        </w:tabs>
        <w:autoSpaceDE w:val="0"/>
        <w:autoSpaceDN w:val="0"/>
        <w:adjustRightInd w:val="0"/>
        <w:contextualSpacing/>
        <w:jc w:val="both"/>
        <w:rPr>
          <w:rFonts w:ascii="Verdana" w:eastAsiaTheme="minorHAnsi" w:hAnsi="Verdana" w:cstheme="minorBidi"/>
          <w:sz w:val="20"/>
          <w:szCs w:val="20"/>
          <w:lang w:val="en-US"/>
        </w:rPr>
      </w:pPr>
    </w:p>
    <w:p w14:paraId="5512710C" w14:textId="6E1ED053" w:rsidR="0062065E" w:rsidRPr="00D869E3" w:rsidRDefault="00BD65C5" w:rsidP="0008054E">
      <w:pPr>
        <w:widowControl w:val="0"/>
        <w:numPr>
          <w:ilvl w:val="0"/>
          <w:numId w:val="1"/>
        </w:numPr>
        <w:tabs>
          <w:tab w:val="center" w:pos="720"/>
          <w:tab w:val="num" w:pos="840"/>
        </w:tabs>
        <w:autoSpaceDE w:val="0"/>
        <w:autoSpaceDN w:val="0"/>
        <w:adjustRightInd w:val="0"/>
        <w:ind w:left="0" w:firstLine="0"/>
        <w:contextualSpacing/>
        <w:jc w:val="both"/>
        <w:rPr>
          <w:rFonts w:ascii="Verdana" w:eastAsiaTheme="minorHAnsi" w:hAnsi="Verdana" w:cstheme="minorBidi"/>
          <w:sz w:val="20"/>
          <w:szCs w:val="20"/>
          <w:lang w:val="en-US"/>
        </w:rPr>
      </w:pPr>
      <w:r w:rsidRPr="00D869E3">
        <w:rPr>
          <w:rFonts w:ascii="Verdana" w:eastAsiaTheme="minorHAnsi" w:hAnsi="Verdana" w:cstheme="minorBidi"/>
          <w:sz w:val="20"/>
          <w:szCs w:val="20"/>
          <w:lang w:val="en-US"/>
        </w:rPr>
        <w:t>In this specific case</w:t>
      </w:r>
      <w:r w:rsidR="00564925" w:rsidRPr="00D869E3">
        <w:rPr>
          <w:rFonts w:ascii="Verdana" w:eastAsiaTheme="minorHAnsi" w:hAnsi="Verdana" w:cstheme="minorBidi"/>
          <w:sz w:val="20"/>
          <w:szCs w:val="20"/>
          <w:lang w:val="en-US"/>
        </w:rPr>
        <w:t xml:space="preserve">, </w:t>
      </w:r>
      <w:r w:rsidR="00447C65" w:rsidRPr="00D869E3">
        <w:rPr>
          <w:rFonts w:ascii="Verdana" w:eastAsiaTheme="minorHAnsi" w:hAnsi="Verdana" w:cstheme="minorBidi"/>
          <w:sz w:val="20"/>
          <w:szCs w:val="20"/>
          <w:lang w:val="en-US"/>
        </w:rPr>
        <w:t>the Court</w:t>
      </w:r>
      <w:r w:rsidR="00564925" w:rsidRPr="00D869E3">
        <w:rPr>
          <w:rFonts w:ascii="Verdana" w:eastAsiaTheme="minorHAnsi" w:hAnsi="Verdana" w:cstheme="minorBidi"/>
          <w:sz w:val="20"/>
          <w:szCs w:val="20"/>
          <w:lang w:val="en-US"/>
        </w:rPr>
        <w:t xml:space="preserve"> consider</w:t>
      </w:r>
      <w:r w:rsidRPr="00D869E3">
        <w:rPr>
          <w:rFonts w:ascii="Verdana" w:eastAsiaTheme="minorHAnsi" w:hAnsi="Verdana" w:cstheme="minorBidi"/>
          <w:sz w:val="20"/>
          <w:szCs w:val="20"/>
          <w:lang w:val="en-US"/>
        </w:rPr>
        <w:t>s that the delivery of this judgment and its publication in different media are sufficient and adequate m</w:t>
      </w:r>
      <w:r w:rsidR="00B44B46" w:rsidRPr="00D869E3">
        <w:rPr>
          <w:rFonts w:ascii="Verdana" w:eastAsiaTheme="minorHAnsi" w:hAnsi="Verdana" w:cstheme="minorBidi"/>
          <w:sz w:val="20"/>
          <w:szCs w:val="20"/>
          <w:lang w:val="en-US"/>
        </w:rPr>
        <w:t>easures of satisfaction</w:t>
      </w:r>
      <w:r w:rsidRPr="00D869E3">
        <w:rPr>
          <w:rFonts w:ascii="Verdana" w:eastAsiaTheme="minorHAnsi" w:hAnsi="Verdana" w:cstheme="minorBidi"/>
          <w:sz w:val="20"/>
          <w:szCs w:val="20"/>
          <w:lang w:val="en-US"/>
        </w:rPr>
        <w:t xml:space="preserve"> to remedy </w:t>
      </w:r>
      <w:r w:rsidRPr="00D869E3">
        <w:rPr>
          <w:rFonts w:ascii="Verdana" w:eastAsiaTheme="minorHAnsi" w:hAnsi="Verdana" w:cstheme="minorBidi"/>
          <w:sz w:val="20"/>
          <w:szCs w:val="20"/>
          <w:lang w:val="en-US"/>
        </w:rPr>
        <w:lastRenderedPageBreak/>
        <w:t>the violations against the victim and to comply with the purpose indicated by</w:t>
      </w:r>
      <w:r w:rsidR="00564925" w:rsidRPr="00D869E3">
        <w:rPr>
          <w:rFonts w:ascii="Verdana" w:eastAsiaTheme="minorHAnsi" w:hAnsi="Verdana" w:cstheme="minorBidi"/>
          <w:sz w:val="20"/>
          <w:szCs w:val="20"/>
          <w:lang w:val="en-US"/>
        </w:rPr>
        <w:t xml:space="preserve"> </w:t>
      </w:r>
      <w:r w:rsidR="00687684" w:rsidRPr="00D869E3">
        <w:rPr>
          <w:rFonts w:ascii="Verdana" w:eastAsiaTheme="minorHAnsi" w:hAnsi="Verdana" w:cstheme="minorBidi"/>
          <w:sz w:val="20"/>
          <w:szCs w:val="20"/>
          <w:lang w:val="en-US"/>
        </w:rPr>
        <w:t>the representatives</w:t>
      </w:r>
      <w:r w:rsidR="00564925" w:rsidRPr="00D869E3">
        <w:rPr>
          <w:rFonts w:ascii="Verdana" w:eastAsiaTheme="minorHAnsi" w:hAnsi="Verdana" w:cstheme="minorBidi"/>
          <w:sz w:val="20"/>
          <w:szCs w:val="20"/>
          <w:lang w:val="en-US"/>
        </w:rPr>
        <w:t xml:space="preserve">. </w:t>
      </w:r>
    </w:p>
    <w:p w14:paraId="1ADD8032" w14:textId="77777777" w:rsidR="00EB3278" w:rsidRPr="00D869E3" w:rsidRDefault="00EB3278" w:rsidP="005D0F69">
      <w:pPr>
        <w:widowControl w:val="0"/>
        <w:tabs>
          <w:tab w:val="center" w:pos="567"/>
        </w:tabs>
        <w:autoSpaceDE w:val="0"/>
        <w:autoSpaceDN w:val="0"/>
        <w:adjustRightInd w:val="0"/>
        <w:contextualSpacing/>
        <w:jc w:val="both"/>
        <w:rPr>
          <w:rFonts w:ascii="Verdana" w:eastAsiaTheme="minorHAnsi" w:hAnsi="Verdana" w:cstheme="minorBidi"/>
          <w:sz w:val="20"/>
          <w:szCs w:val="20"/>
          <w:lang w:val="en-US"/>
        </w:rPr>
      </w:pPr>
    </w:p>
    <w:p w14:paraId="33F80647" w14:textId="0B77D9D6" w:rsidR="00530F28" w:rsidRPr="00D869E3" w:rsidRDefault="003F07AD" w:rsidP="00530F28">
      <w:pPr>
        <w:widowControl w:val="0"/>
        <w:numPr>
          <w:ilvl w:val="0"/>
          <w:numId w:val="1"/>
        </w:numPr>
        <w:tabs>
          <w:tab w:val="center" w:pos="0"/>
        </w:tabs>
        <w:autoSpaceDE w:val="0"/>
        <w:autoSpaceDN w:val="0"/>
        <w:adjustRightInd w:val="0"/>
        <w:ind w:left="0" w:firstLine="0"/>
        <w:contextualSpacing/>
        <w:jc w:val="both"/>
        <w:rPr>
          <w:rFonts w:ascii="Verdana" w:eastAsiaTheme="minorHAnsi" w:hAnsi="Verdana" w:cstheme="minorBidi"/>
          <w:sz w:val="20"/>
          <w:szCs w:val="20"/>
          <w:lang w:val="en-US"/>
        </w:rPr>
      </w:pPr>
      <w:r w:rsidRPr="00D869E3">
        <w:rPr>
          <w:rFonts w:ascii="Verdana" w:eastAsiaTheme="minorHAnsi" w:hAnsi="Verdana" w:cstheme="minorBidi"/>
          <w:sz w:val="20"/>
          <w:szCs w:val="20"/>
          <w:lang w:val="en-US"/>
        </w:rPr>
        <w:t>Re</w:t>
      </w:r>
      <w:r w:rsidR="00BD65C5" w:rsidRPr="00D869E3">
        <w:rPr>
          <w:rFonts w:ascii="Verdana" w:eastAsiaTheme="minorHAnsi" w:hAnsi="Verdana" w:cstheme="minorBidi"/>
          <w:sz w:val="20"/>
          <w:szCs w:val="20"/>
          <w:lang w:val="en-US"/>
        </w:rPr>
        <w:t xml:space="preserve">garding the measures of </w:t>
      </w:r>
      <w:r w:rsidRPr="00D869E3">
        <w:rPr>
          <w:rFonts w:ascii="Verdana" w:eastAsiaTheme="minorHAnsi" w:hAnsi="Verdana" w:cstheme="minorBidi"/>
          <w:i/>
          <w:sz w:val="20"/>
          <w:szCs w:val="20"/>
          <w:lang w:val="en-US"/>
        </w:rPr>
        <w:t>rehabilita</w:t>
      </w:r>
      <w:r w:rsidR="00BD65C5" w:rsidRPr="00D869E3">
        <w:rPr>
          <w:rFonts w:ascii="Verdana" w:eastAsiaTheme="minorHAnsi" w:hAnsi="Verdana" w:cstheme="minorBidi"/>
          <w:i/>
          <w:sz w:val="20"/>
          <w:szCs w:val="20"/>
          <w:lang w:val="en-US"/>
        </w:rPr>
        <w:t>tio</w:t>
      </w:r>
      <w:r w:rsidRPr="00D869E3">
        <w:rPr>
          <w:rFonts w:ascii="Verdana" w:eastAsiaTheme="minorHAnsi" w:hAnsi="Verdana" w:cstheme="minorBidi"/>
          <w:i/>
          <w:sz w:val="20"/>
          <w:szCs w:val="20"/>
          <w:lang w:val="en-US"/>
        </w:rPr>
        <w:t>n</w:t>
      </w:r>
      <w:r w:rsidRPr="00D869E3">
        <w:rPr>
          <w:rFonts w:ascii="Verdana" w:eastAsiaTheme="minorHAnsi" w:hAnsi="Verdana" w:cstheme="minorBidi"/>
          <w:sz w:val="20"/>
          <w:szCs w:val="20"/>
          <w:lang w:val="en-US"/>
        </w:rPr>
        <w:t xml:space="preserve"> </w:t>
      </w:r>
      <w:r w:rsidR="00BD65C5" w:rsidRPr="00D869E3">
        <w:rPr>
          <w:rFonts w:ascii="Verdana" w:eastAsiaTheme="minorHAnsi" w:hAnsi="Verdana" w:cstheme="minorBidi"/>
          <w:sz w:val="20"/>
          <w:szCs w:val="20"/>
          <w:lang w:val="en-US"/>
        </w:rPr>
        <w:t>requested</w:t>
      </w:r>
      <w:r w:rsidRPr="00D869E3">
        <w:rPr>
          <w:rFonts w:ascii="Verdana" w:eastAsiaTheme="minorHAnsi" w:hAnsi="Verdana" w:cstheme="minorBidi"/>
          <w:sz w:val="20"/>
          <w:szCs w:val="20"/>
          <w:lang w:val="en-US"/>
        </w:rPr>
        <w:t xml:space="preserve">, </w:t>
      </w:r>
      <w:r w:rsidR="00687684" w:rsidRPr="00D869E3">
        <w:rPr>
          <w:rFonts w:ascii="Verdana" w:eastAsiaTheme="minorHAnsi" w:hAnsi="Verdana" w:cstheme="minorBidi"/>
          <w:sz w:val="20"/>
          <w:szCs w:val="20"/>
          <w:lang w:val="en-US"/>
        </w:rPr>
        <w:t xml:space="preserve">the </w:t>
      </w:r>
      <w:r w:rsidR="00687684" w:rsidRPr="00D869E3">
        <w:rPr>
          <w:rFonts w:ascii="Verdana" w:eastAsiaTheme="minorHAnsi" w:hAnsi="Verdana" w:cstheme="minorBidi"/>
          <w:b/>
          <w:bCs/>
          <w:i/>
          <w:iCs/>
          <w:sz w:val="20"/>
          <w:szCs w:val="20"/>
          <w:lang w:val="en-US"/>
        </w:rPr>
        <w:t>representatives</w:t>
      </w:r>
      <w:r w:rsidR="00EB3278" w:rsidRPr="00D869E3">
        <w:rPr>
          <w:rFonts w:ascii="Verdana" w:eastAsiaTheme="minorHAnsi" w:hAnsi="Verdana" w:cstheme="minorBidi"/>
          <w:sz w:val="20"/>
          <w:szCs w:val="20"/>
          <w:lang w:val="en-US"/>
        </w:rPr>
        <w:t xml:space="preserve"> </w:t>
      </w:r>
      <w:r w:rsidR="00BD65C5" w:rsidRPr="00D869E3">
        <w:rPr>
          <w:rFonts w:ascii="Verdana" w:eastAsiaTheme="minorHAnsi" w:hAnsi="Verdana" w:cstheme="minorBidi"/>
          <w:sz w:val="20"/>
          <w:szCs w:val="20"/>
          <w:lang w:val="en-US"/>
        </w:rPr>
        <w:t xml:space="preserve">asked that the State guarantee permanent medical and psychological treatment, free of charge, for the victim and his family. During the hearing and in their </w:t>
      </w:r>
      <w:r w:rsidR="000E7A82" w:rsidRPr="00D869E3">
        <w:rPr>
          <w:rFonts w:ascii="Verdana" w:eastAsiaTheme="minorHAnsi" w:hAnsi="Verdana" w:cstheme="minorBidi"/>
          <w:sz w:val="20"/>
          <w:szCs w:val="20"/>
          <w:lang w:val="en-US"/>
        </w:rPr>
        <w:t>final written arguments</w:t>
      </w:r>
      <w:r w:rsidR="00EB3278" w:rsidRPr="00D869E3">
        <w:rPr>
          <w:rFonts w:ascii="Verdana" w:eastAsiaTheme="minorHAnsi" w:hAnsi="Verdana" w:cstheme="minorBidi"/>
          <w:sz w:val="20"/>
          <w:szCs w:val="20"/>
          <w:lang w:val="en-US"/>
        </w:rPr>
        <w:t xml:space="preserve">, </w:t>
      </w:r>
      <w:r w:rsidR="00687684" w:rsidRPr="00D869E3">
        <w:rPr>
          <w:rFonts w:ascii="Verdana" w:eastAsiaTheme="minorHAnsi" w:hAnsi="Verdana" w:cstheme="minorBidi"/>
          <w:sz w:val="20"/>
          <w:szCs w:val="20"/>
          <w:lang w:val="en-US"/>
        </w:rPr>
        <w:t>the representatives</w:t>
      </w:r>
      <w:r w:rsidR="00EB3278" w:rsidRPr="00D869E3">
        <w:rPr>
          <w:rFonts w:ascii="Verdana" w:eastAsiaTheme="minorHAnsi" w:hAnsi="Verdana" w:cstheme="minorBidi"/>
          <w:sz w:val="20"/>
          <w:szCs w:val="20"/>
          <w:lang w:val="en-US"/>
        </w:rPr>
        <w:t xml:space="preserve"> </w:t>
      </w:r>
      <w:r w:rsidR="00BD65C5" w:rsidRPr="00D869E3">
        <w:rPr>
          <w:rFonts w:ascii="Verdana" w:eastAsiaTheme="minorHAnsi" w:hAnsi="Verdana" w:cstheme="minorBidi"/>
          <w:sz w:val="20"/>
          <w:szCs w:val="20"/>
          <w:lang w:val="en-US"/>
        </w:rPr>
        <w:t xml:space="preserve">indicated – reiterating the opinion of </w:t>
      </w:r>
      <w:r w:rsidR="001E44D3" w:rsidRPr="00D869E3">
        <w:rPr>
          <w:rFonts w:ascii="Verdana" w:eastAsiaTheme="minorHAnsi" w:hAnsi="Verdana" w:cstheme="minorBidi"/>
          <w:sz w:val="20"/>
          <w:szCs w:val="20"/>
          <w:lang w:val="en-US"/>
        </w:rPr>
        <w:t>expert witness</w:t>
      </w:r>
      <w:r w:rsidR="00EB3278" w:rsidRPr="00D869E3">
        <w:rPr>
          <w:rFonts w:ascii="Verdana" w:eastAsiaTheme="minorHAnsi" w:hAnsi="Verdana" w:cstheme="minorBidi"/>
          <w:sz w:val="20"/>
          <w:szCs w:val="20"/>
          <w:lang w:val="en-US"/>
        </w:rPr>
        <w:t xml:space="preserve"> Carlos Jibaja Zárate</w:t>
      </w:r>
      <w:r w:rsidR="00BD65C5" w:rsidRPr="00D869E3">
        <w:rPr>
          <w:rFonts w:ascii="Verdana" w:eastAsiaTheme="minorHAnsi" w:hAnsi="Verdana" w:cstheme="minorBidi"/>
          <w:sz w:val="20"/>
          <w:szCs w:val="20"/>
          <w:lang w:val="en-US"/>
        </w:rPr>
        <w:t xml:space="preserve"> – that the conditions of his dismissal and the violation of his human rights, as well as the impossibility of obtaining justice to date, have been significant sources of stress, anxiety and worry that, over the years</w:t>
      </w:r>
      <w:r w:rsidR="00E03A7E" w:rsidRPr="00D869E3">
        <w:rPr>
          <w:rFonts w:ascii="Verdana" w:eastAsiaTheme="minorHAnsi" w:hAnsi="Verdana" w:cstheme="minorBidi"/>
          <w:sz w:val="20"/>
          <w:szCs w:val="20"/>
          <w:lang w:val="en-US"/>
        </w:rPr>
        <w:t>,</w:t>
      </w:r>
      <w:r w:rsidR="00BD65C5" w:rsidRPr="00D869E3">
        <w:rPr>
          <w:rFonts w:ascii="Verdana" w:eastAsiaTheme="minorHAnsi" w:hAnsi="Verdana" w:cstheme="minorBidi"/>
          <w:sz w:val="20"/>
          <w:szCs w:val="20"/>
          <w:lang w:val="en-US"/>
        </w:rPr>
        <w:t xml:space="preserve"> have affected Mr. Lagos del Campo’s health. They indicated that, currently, Mr. Lagos del Campo’s health is not good, owing to his age but, above all, </w:t>
      </w:r>
      <w:r w:rsidR="00530F28" w:rsidRPr="00D869E3">
        <w:rPr>
          <w:rFonts w:ascii="Verdana" w:eastAsiaTheme="minorHAnsi" w:hAnsi="Verdana" w:cstheme="minorBidi"/>
          <w:sz w:val="20"/>
          <w:szCs w:val="20"/>
          <w:lang w:val="en-US"/>
        </w:rPr>
        <w:t>since his</w:t>
      </w:r>
      <w:r w:rsidR="00530F28" w:rsidRPr="00D869E3">
        <w:rPr>
          <w:rFonts w:ascii="Verdana" w:hAnsi="Verdana"/>
          <w:lang w:val="en-US"/>
        </w:rPr>
        <w:t xml:space="preserve"> </w:t>
      </w:r>
      <w:r w:rsidR="00530F28" w:rsidRPr="00D869E3">
        <w:rPr>
          <w:rFonts w:ascii="Verdana" w:hAnsi="Verdana"/>
          <w:sz w:val="20"/>
          <w:szCs w:val="20"/>
          <w:lang w:val="en-US"/>
        </w:rPr>
        <w:t>hemorrhagic stroke</w:t>
      </w:r>
      <w:r w:rsidR="00A07203" w:rsidRPr="00D869E3">
        <w:rPr>
          <w:rFonts w:ascii="Verdana" w:eastAsiaTheme="minorHAnsi" w:hAnsi="Verdana" w:cstheme="minorBidi"/>
          <w:sz w:val="20"/>
          <w:szCs w:val="20"/>
          <w:lang w:val="en-US"/>
        </w:rPr>
        <w:t xml:space="preserve">. </w:t>
      </w:r>
      <w:r w:rsidR="00447C65" w:rsidRPr="00D869E3">
        <w:rPr>
          <w:rFonts w:ascii="Verdana" w:eastAsiaTheme="minorHAnsi" w:hAnsi="Verdana" w:cstheme="minorBidi"/>
          <w:sz w:val="20"/>
          <w:szCs w:val="20"/>
          <w:lang w:val="en-US"/>
        </w:rPr>
        <w:t xml:space="preserve">The </w:t>
      </w:r>
      <w:r w:rsidR="00447C65" w:rsidRPr="00D869E3">
        <w:rPr>
          <w:rFonts w:ascii="Verdana" w:eastAsiaTheme="minorHAnsi" w:hAnsi="Verdana" w:cstheme="minorBidi"/>
          <w:b/>
          <w:bCs/>
          <w:i/>
          <w:iCs/>
          <w:sz w:val="20"/>
          <w:szCs w:val="20"/>
          <w:lang w:val="en-US"/>
        </w:rPr>
        <w:t>State</w:t>
      </w:r>
      <w:r w:rsidR="00EB3278" w:rsidRPr="00D869E3">
        <w:rPr>
          <w:rFonts w:ascii="Verdana" w:eastAsiaTheme="minorHAnsi" w:hAnsi="Verdana" w:cstheme="minorBidi"/>
          <w:sz w:val="20"/>
          <w:szCs w:val="20"/>
          <w:lang w:val="en-US"/>
        </w:rPr>
        <w:t xml:space="preserve"> </w:t>
      </w:r>
      <w:r w:rsidR="00530F28" w:rsidRPr="00D869E3">
        <w:rPr>
          <w:rFonts w:ascii="Verdana" w:eastAsiaTheme="minorHAnsi" w:hAnsi="Verdana" w:cstheme="minorBidi"/>
          <w:sz w:val="20"/>
          <w:szCs w:val="20"/>
          <w:lang w:val="en-US"/>
        </w:rPr>
        <w:t xml:space="preserve">argued that there was no causal nexus between the acts or omissions attributed to the State and the family situation. The allegation that Mr. Lagos del Campo had experienced stigmatization had no basis in the facts, and had not been revealed in specific circumstances. It also indicated that, in other cases relating to dismissals, medical and psychological treatment had not been granted. Despite this, in Peru, people living in poverty received free medical and psychological care. Lastly, in its </w:t>
      </w:r>
      <w:r w:rsidR="000E7A82" w:rsidRPr="00D869E3">
        <w:rPr>
          <w:rFonts w:ascii="Verdana" w:eastAsiaTheme="minorHAnsi" w:hAnsi="Verdana" w:cstheme="minorBidi"/>
          <w:sz w:val="20"/>
          <w:szCs w:val="20"/>
          <w:lang w:val="en-US"/>
        </w:rPr>
        <w:t>final written arguments</w:t>
      </w:r>
      <w:r w:rsidR="00530F28" w:rsidRPr="00D869E3">
        <w:rPr>
          <w:rFonts w:ascii="Verdana" w:eastAsiaTheme="minorHAnsi" w:hAnsi="Verdana" w:cstheme="minorBidi"/>
          <w:sz w:val="20"/>
          <w:szCs w:val="20"/>
          <w:lang w:val="en-US"/>
        </w:rPr>
        <w:t>,</w:t>
      </w:r>
      <w:r w:rsidR="00EB3278" w:rsidRPr="00D869E3">
        <w:rPr>
          <w:rFonts w:ascii="Verdana" w:eastAsiaTheme="minorHAnsi" w:hAnsi="Verdana" w:cstheme="minorBidi"/>
          <w:sz w:val="20"/>
          <w:szCs w:val="20"/>
          <w:lang w:val="en-US"/>
        </w:rPr>
        <w:t xml:space="preserve"> </w:t>
      </w:r>
      <w:r w:rsidR="00447C65" w:rsidRPr="00D869E3">
        <w:rPr>
          <w:rFonts w:ascii="Verdana" w:eastAsiaTheme="minorHAnsi" w:hAnsi="Verdana" w:cstheme="minorBidi"/>
          <w:sz w:val="20"/>
          <w:szCs w:val="20"/>
          <w:lang w:val="en-US"/>
        </w:rPr>
        <w:t>the State</w:t>
      </w:r>
      <w:r w:rsidR="00EB3278" w:rsidRPr="00D869E3">
        <w:rPr>
          <w:rFonts w:ascii="Verdana" w:eastAsiaTheme="minorHAnsi" w:hAnsi="Verdana" w:cstheme="minorBidi"/>
          <w:sz w:val="20"/>
          <w:szCs w:val="20"/>
          <w:lang w:val="en-US"/>
        </w:rPr>
        <w:t xml:space="preserve"> </w:t>
      </w:r>
      <w:r w:rsidR="00530F28" w:rsidRPr="00D869E3">
        <w:rPr>
          <w:rFonts w:ascii="Verdana" w:eastAsiaTheme="minorHAnsi" w:hAnsi="Verdana" w:cstheme="minorBidi"/>
          <w:sz w:val="20"/>
          <w:szCs w:val="20"/>
          <w:lang w:val="en-US"/>
        </w:rPr>
        <w:t xml:space="preserve">indicated that, </w:t>
      </w:r>
      <w:r w:rsidR="00BB61A6" w:rsidRPr="00D869E3">
        <w:rPr>
          <w:rFonts w:ascii="Verdana" w:eastAsiaTheme="minorHAnsi" w:hAnsi="Verdana" w:cstheme="minorBidi"/>
          <w:sz w:val="20"/>
          <w:szCs w:val="20"/>
          <w:lang w:val="en-US"/>
        </w:rPr>
        <w:t>in relation to</w:t>
      </w:r>
      <w:r w:rsidR="00EB3278" w:rsidRPr="00D869E3">
        <w:rPr>
          <w:rFonts w:ascii="Verdana" w:eastAsiaTheme="minorHAnsi" w:hAnsi="Verdana" w:cstheme="minorBidi"/>
          <w:sz w:val="20"/>
          <w:szCs w:val="20"/>
          <w:lang w:val="en-US"/>
        </w:rPr>
        <w:t xml:space="preserve"> </w:t>
      </w:r>
      <w:r w:rsidR="00530F28" w:rsidRPr="00D869E3">
        <w:rPr>
          <w:rFonts w:ascii="Verdana" w:eastAsiaTheme="minorHAnsi" w:hAnsi="Verdana" w:cstheme="minorBidi"/>
          <w:sz w:val="20"/>
          <w:szCs w:val="20"/>
          <w:lang w:val="en-US"/>
        </w:rPr>
        <w:t xml:space="preserve">the deterioration in </w:t>
      </w:r>
      <w:r w:rsidR="00E6309B" w:rsidRPr="00D869E3">
        <w:rPr>
          <w:rFonts w:ascii="Verdana" w:eastAsiaTheme="minorHAnsi" w:hAnsi="Verdana" w:cstheme="minorBidi"/>
          <w:sz w:val="20"/>
          <w:szCs w:val="20"/>
          <w:lang w:val="en-US"/>
        </w:rPr>
        <w:t>Mr.</w:t>
      </w:r>
      <w:r w:rsidR="001E44D3" w:rsidRPr="00D869E3">
        <w:rPr>
          <w:rFonts w:ascii="Verdana" w:eastAsiaTheme="minorHAnsi" w:hAnsi="Verdana" w:cstheme="minorBidi"/>
          <w:sz w:val="20"/>
          <w:szCs w:val="20"/>
          <w:lang w:val="en-US"/>
        </w:rPr>
        <w:t xml:space="preserve"> Lagos del Campo</w:t>
      </w:r>
      <w:r w:rsidR="00530F28" w:rsidRPr="00D869E3">
        <w:rPr>
          <w:rFonts w:ascii="Verdana" w:eastAsiaTheme="minorHAnsi" w:hAnsi="Verdana" w:cstheme="minorBidi"/>
          <w:sz w:val="20"/>
          <w:szCs w:val="20"/>
          <w:lang w:val="en-US"/>
        </w:rPr>
        <w:t>’s health, his situation following the stroke had not been proved or the existence of a diagnosis by a neurologist that could prove, scientifically, that the alleged episode of the stroke was due to this case.</w:t>
      </w:r>
    </w:p>
    <w:p w14:paraId="0E88D00B" w14:textId="77777777" w:rsidR="00232AA2" w:rsidRPr="00D869E3" w:rsidRDefault="00232AA2" w:rsidP="005D0F69">
      <w:pPr>
        <w:widowControl w:val="0"/>
        <w:tabs>
          <w:tab w:val="center" w:pos="0"/>
        </w:tabs>
        <w:autoSpaceDE w:val="0"/>
        <w:autoSpaceDN w:val="0"/>
        <w:adjustRightInd w:val="0"/>
        <w:contextualSpacing/>
        <w:jc w:val="both"/>
        <w:rPr>
          <w:rFonts w:ascii="Verdana" w:eastAsiaTheme="minorHAnsi" w:hAnsi="Verdana" w:cstheme="minorBidi"/>
          <w:sz w:val="20"/>
          <w:szCs w:val="20"/>
          <w:lang w:val="en-US"/>
        </w:rPr>
      </w:pPr>
    </w:p>
    <w:p w14:paraId="316EFDF6" w14:textId="50831029" w:rsidR="00232AA2" w:rsidRPr="00D869E3" w:rsidRDefault="00530F28" w:rsidP="00530F28">
      <w:pPr>
        <w:widowControl w:val="0"/>
        <w:numPr>
          <w:ilvl w:val="0"/>
          <w:numId w:val="1"/>
        </w:numPr>
        <w:tabs>
          <w:tab w:val="center" w:pos="0"/>
        </w:tabs>
        <w:autoSpaceDE w:val="0"/>
        <w:autoSpaceDN w:val="0"/>
        <w:adjustRightInd w:val="0"/>
        <w:ind w:left="0" w:firstLine="0"/>
        <w:contextualSpacing/>
        <w:jc w:val="both"/>
        <w:rPr>
          <w:rFonts w:ascii="Verdana" w:eastAsiaTheme="minorHAnsi" w:hAnsi="Verdana" w:cstheme="minorBidi"/>
          <w:sz w:val="20"/>
          <w:szCs w:val="20"/>
          <w:lang w:val="en-US"/>
        </w:rPr>
      </w:pPr>
      <w:r w:rsidRPr="00D869E3">
        <w:rPr>
          <w:rFonts w:ascii="Verdana" w:eastAsiaTheme="minorHAnsi" w:hAnsi="Verdana" w:cstheme="minorBidi"/>
          <w:sz w:val="20"/>
          <w:szCs w:val="20"/>
          <w:lang w:val="en-US"/>
        </w:rPr>
        <w:t>In the instant case</w:t>
      </w:r>
      <w:r w:rsidR="00EB3278" w:rsidRPr="00D869E3">
        <w:rPr>
          <w:rFonts w:ascii="Verdana" w:eastAsiaTheme="minorHAnsi" w:hAnsi="Verdana" w:cstheme="minorBidi"/>
          <w:sz w:val="20"/>
          <w:szCs w:val="20"/>
          <w:lang w:val="en-US"/>
        </w:rPr>
        <w:t xml:space="preserve">, </w:t>
      </w:r>
      <w:r w:rsidR="00447C65" w:rsidRPr="00D869E3">
        <w:rPr>
          <w:rFonts w:ascii="Verdana" w:eastAsiaTheme="minorHAnsi" w:hAnsi="Verdana" w:cstheme="minorBidi"/>
          <w:sz w:val="20"/>
          <w:szCs w:val="20"/>
          <w:lang w:val="en-US"/>
        </w:rPr>
        <w:t>the Court</w:t>
      </w:r>
      <w:r w:rsidR="00EB3278" w:rsidRPr="00D869E3">
        <w:rPr>
          <w:rFonts w:ascii="Verdana" w:eastAsiaTheme="minorHAnsi" w:hAnsi="Verdana" w:cstheme="minorBidi"/>
          <w:sz w:val="20"/>
          <w:szCs w:val="20"/>
          <w:lang w:val="en-US"/>
        </w:rPr>
        <w:t xml:space="preserve"> </w:t>
      </w:r>
      <w:r w:rsidRPr="00D869E3">
        <w:rPr>
          <w:rFonts w:ascii="Verdana" w:eastAsiaTheme="minorHAnsi" w:hAnsi="Verdana" w:cstheme="minorBidi"/>
          <w:sz w:val="20"/>
          <w:szCs w:val="20"/>
          <w:lang w:val="en-US"/>
        </w:rPr>
        <w:t xml:space="preserve">notes that, although there is a causal nexus between the facts of the case and the problems suffered by Mr. Lagos, especially the psychological effects, it considers that, in response to </w:t>
      </w:r>
      <w:r w:rsidR="00687684" w:rsidRPr="00D869E3">
        <w:rPr>
          <w:rFonts w:ascii="Verdana" w:eastAsiaTheme="minorHAnsi" w:hAnsi="Verdana" w:cstheme="minorBidi"/>
          <w:sz w:val="20"/>
          <w:szCs w:val="20"/>
          <w:lang w:val="en-US"/>
        </w:rPr>
        <w:t>the representatives</w:t>
      </w:r>
      <w:r w:rsidRPr="00D869E3">
        <w:rPr>
          <w:rFonts w:ascii="Verdana" w:eastAsiaTheme="minorHAnsi" w:hAnsi="Verdana" w:cstheme="minorBidi"/>
          <w:sz w:val="20"/>
          <w:szCs w:val="20"/>
          <w:lang w:val="en-US"/>
        </w:rPr>
        <w:t xml:space="preserve">’ request and based on the time that has elapsed, in this case it is not in order to require the State to provide adequate treatment, and that this item </w:t>
      </w:r>
      <w:r w:rsidR="009E17AA" w:rsidRPr="00D869E3">
        <w:rPr>
          <w:rFonts w:ascii="Verdana" w:eastAsiaTheme="minorHAnsi" w:hAnsi="Verdana" w:cstheme="minorBidi"/>
          <w:sz w:val="20"/>
          <w:szCs w:val="20"/>
          <w:lang w:val="en-US"/>
        </w:rPr>
        <w:t xml:space="preserve">may be considered under the heading of compensation for </w:t>
      </w:r>
      <w:r w:rsidR="00B44B46" w:rsidRPr="00D869E3">
        <w:rPr>
          <w:rFonts w:ascii="Verdana" w:eastAsiaTheme="minorHAnsi" w:hAnsi="Verdana" w:cstheme="minorBidi"/>
          <w:sz w:val="20"/>
          <w:szCs w:val="20"/>
          <w:lang w:val="en-US"/>
        </w:rPr>
        <w:t>non-pecuniary damage</w:t>
      </w:r>
      <w:r w:rsidR="0033330B" w:rsidRPr="00D869E3">
        <w:rPr>
          <w:rFonts w:ascii="Verdana" w:eastAsiaTheme="minorHAnsi" w:hAnsi="Verdana" w:cstheme="minorBidi"/>
          <w:sz w:val="20"/>
          <w:szCs w:val="20"/>
          <w:lang w:val="en-US"/>
        </w:rPr>
        <w:t>.</w:t>
      </w:r>
      <w:r w:rsidR="0062065E" w:rsidRPr="00D869E3">
        <w:rPr>
          <w:rFonts w:ascii="Verdana" w:eastAsiaTheme="minorHAnsi" w:hAnsi="Verdana" w:cstheme="minorBidi"/>
          <w:sz w:val="20"/>
          <w:szCs w:val="20"/>
          <w:lang w:val="en-US"/>
        </w:rPr>
        <w:t xml:space="preserve"> </w:t>
      </w:r>
      <w:r w:rsidR="009E17AA" w:rsidRPr="00D869E3">
        <w:rPr>
          <w:rFonts w:ascii="Verdana" w:eastAsiaTheme="minorHAnsi" w:hAnsi="Verdana" w:cstheme="minorBidi"/>
          <w:sz w:val="20"/>
          <w:szCs w:val="20"/>
          <w:lang w:val="en-US"/>
        </w:rPr>
        <w:t xml:space="preserve">Regarding the physical harm, the Court does not find that a causal nexus </w:t>
      </w:r>
      <w:r w:rsidR="00823E88" w:rsidRPr="00D869E3">
        <w:rPr>
          <w:rFonts w:ascii="Verdana" w:eastAsiaTheme="minorHAnsi" w:hAnsi="Verdana" w:cstheme="minorBidi"/>
          <w:sz w:val="20"/>
          <w:szCs w:val="20"/>
          <w:lang w:val="en-US"/>
        </w:rPr>
        <w:t>with the violations declared</w:t>
      </w:r>
      <w:r w:rsidR="00E03A7E" w:rsidRPr="00D869E3">
        <w:rPr>
          <w:rFonts w:ascii="Verdana" w:eastAsiaTheme="minorHAnsi" w:hAnsi="Verdana" w:cstheme="minorBidi"/>
          <w:sz w:val="20"/>
          <w:szCs w:val="20"/>
          <w:lang w:val="en-US"/>
        </w:rPr>
        <w:t xml:space="preserve"> has been proved</w:t>
      </w:r>
      <w:r w:rsidR="0062065E" w:rsidRPr="00D869E3">
        <w:rPr>
          <w:rFonts w:ascii="Verdana" w:eastAsiaTheme="minorHAnsi" w:hAnsi="Verdana" w:cstheme="minorBidi"/>
          <w:sz w:val="20"/>
          <w:szCs w:val="20"/>
          <w:lang w:val="en-US"/>
        </w:rPr>
        <w:t xml:space="preserve">. </w:t>
      </w:r>
    </w:p>
    <w:p w14:paraId="32AA849F" w14:textId="77777777" w:rsidR="00232AA2" w:rsidRPr="00D869E3" w:rsidRDefault="00232AA2" w:rsidP="005D0F69">
      <w:pPr>
        <w:widowControl w:val="0"/>
        <w:tabs>
          <w:tab w:val="center" w:pos="0"/>
        </w:tabs>
        <w:autoSpaceDE w:val="0"/>
        <w:autoSpaceDN w:val="0"/>
        <w:adjustRightInd w:val="0"/>
        <w:contextualSpacing/>
        <w:jc w:val="both"/>
        <w:rPr>
          <w:rFonts w:ascii="Verdana" w:eastAsiaTheme="minorHAnsi" w:hAnsi="Verdana" w:cstheme="minorBidi"/>
          <w:sz w:val="20"/>
          <w:szCs w:val="20"/>
          <w:lang w:val="en-US"/>
        </w:rPr>
      </w:pPr>
    </w:p>
    <w:p w14:paraId="52D863FB" w14:textId="2EC8CED8" w:rsidR="00190091" w:rsidRPr="00D869E3" w:rsidRDefault="00BB61A6" w:rsidP="00190091">
      <w:pPr>
        <w:widowControl w:val="0"/>
        <w:numPr>
          <w:ilvl w:val="0"/>
          <w:numId w:val="1"/>
        </w:numPr>
        <w:tabs>
          <w:tab w:val="center" w:pos="0"/>
        </w:tabs>
        <w:autoSpaceDE w:val="0"/>
        <w:autoSpaceDN w:val="0"/>
        <w:adjustRightInd w:val="0"/>
        <w:ind w:left="0" w:firstLine="0"/>
        <w:contextualSpacing/>
        <w:jc w:val="both"/>
        <w:rPr>
          <w:rFonts w:ascii="Verdana" w:eastAsiaTheme="minorHAnsi" w:hAnsi="Verdana" w:cstheme="minorBidi"/>
          <w:sz w:val="20"/>
          <w:szCs w:val="20"/>
          <w:lang w:val="en-US"/>
        </w:rPr>
      </w:pPr>
      <w:r w:rsidRPr="00D869E3">
        <w:rPr>
          <w:rFonts w:ascii="Verdana" w:eastAsiaTheme="minorHAnsi" w:hAnsi="Verdana" w:cstheme="minorBidi"/>
          <w:sz w:val="20"/>
          <w:szCs w:val="20"/>
          <w:lang w:val="en-US"/>
        </w:rPr>
        <w:t>In relation to</w:t>
      </w:r>
      <w:r w:rsidR="003F07AD" w:rsidRPr="00D869E3">
        <w:rPr>
          <w:rFonts w:ascii="Verdana" w:eastAsiaTheme="minorHAnsi" w:hAnsi="Verdana" w:cstheme="minorBidi"/>
          <w:sz w:val="20"/>
          <w:szCs w:val="20"/>
          <w:lang w:val="en-US"/>
        </w:rPr>
        <w:t xml:space="preserve"> </w:t>
      </w:r>
      <w:r w:rsidR="0062065E" w:rsidRPr="00D869E3">
        <w:rPr>
          <w:rFonts w:ascii="Verdana" w:eastAsiaTheme="minorHAnsi" w:hAnsi="Verdana" w:cstheme="minorBidi"/>
          <w:i/>
          <w:sz w:val="20"/>
          <w:szCs w:val="20"/>
          <w:lang w:val="en-US"/>
        </w:rPr>
        <w:t>g</w:t>
      </w:r>
      <w:r w:rsidR="00823E88" w:rsidRPr="00D869E3">
        <w:rPr>
          <w:rFonts w:ascii="Verdana" w:eastAsiaTheme="minorHAnsi" w:hAnsi="Verdana" w:cstheme="minorBidi"/>
          <w:i/>
          <w:sz w:val="20"/>
          <w:szCs w:val="20"/>
          <w:lang w:val="en-US"/>
        </w:rPr>
        <w:t>uarantees of non-repetition,</w:t>
      </w:r>
      <w:r w:rsidR="003F07AD" w:rsidRPr="00D869E3">
        <w:rPr>
          <w:rFonts w:ascii="Verdana" w:eastAsiaTheme="minorHAnsi" w:hAnsi="Verdana" w:cstheme="minorBidi"/>
          <w:sz w:val="20"/>
          <w:szCs w:val="20"/>
          <w:lang w:val="en-US"/>
        </w:rPr>
        <w:t xml:space="preserve"> </w:t>
      </w:r>
      <w:r w:rsidR="00447C65" w:rsidRPr="00D869E3">
        <w:rPr>
          <w:rFonts w:ascii="Verdana" w:eastAsiaTheme="minorHAnsi" w:hAnsi="Verdana" w:cstheme="minorBidi"/>
          <w:sz w:val="20"/>
          <w:szCs w:val="20"/>
          <w:lang w:val="en-US"/>
        </w:rPr>
        <w:t xml:space="preserve">the </w:t>
      </w:r>
      <w:r w:rsidR="00447C65" w:rsidRPr="00D869E3">
        <w:rPr>
          <w:rFonts w:ascii="Verdana" w:eastAsiaTheme="minorHAnsi" w:hAnsi="Verdana" w:cstheme="minorBidi"/>
          <w:b/>
          <w:bCs/>
          <w:i/>
          <w:iCs/>
          <w:sz w:val="20"/>
          <w:szCs w:val="20"/>
          <w:lang w:val="en-US"/>
        </w:rPr>
        <w:t>Commission</w:t>
      </w:r>
      <w:r w:rsidR="00232AA2" w:rsidRPr="00D869E3">
        <w:rPr>
          <w:rFonts w:ascii="Verdana" w:eastAsiaTheme="minorHAnsi" w:hAnsi="Verdana" w:cstheme="minorBidi"/>
          <w:sz w:val="20"/>
          <w:szCs w:val="20"/>
          <w:lang w:val="en-US"/>
        </w:rPr>
        <w:t xml:space="preserve"> </w:t>
      </w:r>
      <w:r w:rsidR="0062065E" w:rsidRPr="00D869E3">
        <w:rPr>
          <w:rFonts w:ascii="Verdana" w:eastAsiaTheme="minorHAnsi" w:hAnsi="Verdana" w:cstheme="minorBidi"/>
          <w:sz w:val="20"/>
          <w:szCs w:val="20"/>
          <w:lang w:val="en-US"/>
        </w:rPr>
        <w:t>requ</w:t>
      </w:r>
      <w:r w:rsidR="00823E88" w:rsidRPr="00D869E3">
        <w:rPr>
          <w:rFonts w:ascii="Verdana" w:eastAsiaTheme="minorHAnsi" w:hAnsi="Verdana" w:cstheme="minorBidi"/>
          <w:sz w:val="20"/>
          <w:szCs w:val="20"/>
          <w:lang w:val="en-US"/>
        </w:rPr>
        <w:t>ested the adoption of measures of non-repetition to guarantee that workers’</w:t>
      </w:r>
      <w:r w:rsidR="00687684" w:rsidRPr="00D869E3">
        <w:rPr>
          <w:rFonts w:ascii="Verdana" w:eastAsiaTheme="minorHAnsi" w:hAnsi="Verdana" w:cstheme="minorBidi"/>
          <w:sz w:val="20"/>
          <w:szCs w:val="20"/>
          <w:lang w:val="en-US"/>
        </w:rPr>
        <w:t xml:space="preserve"> representatives</w:t>
      </w:r>
      <w:r w:rsidR="00232AA2" w:rsidRPr="00D869E3">
        <w:rPr>
          <w:rFonts w:ascii="Verdana" w:eastAsiaTheme="minorHAnsi" w:hAnsi="Verdana" w:cstheme="minorBidi"/>
          <w:sz w:val="20"/>
          <w:szCs w:val="20"/>
          <w:lang w:val="en-US"/>
        </w:rPr>
        <w:t xml:space="preserve"> </w:t>
      </w:r>
      <w:r w:rsidR="00823E88" w:rsidRPr="00D869E3">
        <w:rPr>
          <w:rFonts w:ascii="Verdana" w:eastAsiaTheme="minorHAnsi" w:hAnsi="Verdana" w:cstheme="minorBidi"/>
          <w:sz w:val="20"/>
          <w:szCs w:val="20"/>
          <w:lang w:val="en-US"/>
        </w:rPr>
        <w:t>and union leaders may enjoy their</w:t>
      </w:r>
      <w:r w:rsidR="00232AA2" w:rsidRPr="00D869E3">
        <w:rPr>
          <w:rFonts w:ascii="Verdana" w:eastAsiaTheme="minorHAnsi" w:hAnsi="Verdana" w:cstheme="minorBidi"/>
          <w:sz w:val="20"/>
          <w:szCs w:val="20"/>
          <w:lang w:val="en-US"/>
        </w:rPr>
        <w:t xml:space="preserve"> </w:t>
      </w:r>
      <w:r w:rsidR="00C82C0C" w:rsidRPr="00D869E3">
        <w:rPr>
          <w:rFonts w:ascii="Verdana" w:eastAsiaTheme="minorHAnsi" w:hAnsi="Verdana" w:cstheme="minorBidi"/>
          <w:sz w:val="20"/>
          <w:szCs w:val="20"/>
          <w:lang w:val="en-US"/>
        </w:rPr>
        <w:t>right to freedom</w:t>
      </w:r>
      <w:r w:rsidR="00A62EA8" w:rsidRPr="00D869E3">
        <w:rPr>
          <w:rFonts w:ascii="Verdana" w:eastAsiaTheme="minorHAnsi" w:hAnsi="Verdana" w:cstheme="minorBidi"/>
          <w:sz w:val="20"/>
          <w:szCs w:val="20"/>
          <w:lang w:val="en-US"/>
        </w:rPr>
        <w:t xml:space="preserve"> of expression</w:t>
      </w:r>
      <w:r w:rsidR="00232AA2" w:rsidRPr="00D869E3">
        <w:rPr>
          <w:rFonts w:ascii="Verdana" w:eastAsiaTheme="minorHAnsi" w:hAnsi="Verdana" w:cstheme="minorBidi"/>
          <w:sz w:val="20"/>
          <w:szCs w:val="20"/>
          <w:lang w:val="en-US"/>
        </w:rPr>
        <w:t xml:space="preserve">, </w:t>
      </w:r>
      <w:r w:rsidR="00823E88" w:rsidRPr="00D869E3">
        <w:rPr>
          <w:rFonts w:ascii="Verdana" w:eastAsiaTheme="minorHAnsi" w:hAnsi="Verdana" w:cstheme="minorBidi"/>
          <w:sz w:val="20"/>
          <w:szCs w:val="20"/>
          <w:lang w:val="en-US"/>
        </w:rPr>
        <w:t xml:space="preserve">in accordance with the standards established in the </w:t>
      </w:r>
      <w:r w:rsidR="00687684" w:rsidRPr="00D869E3">
        <w:rPr>
          <w:rFonts w:ascii="Verdana" w:eastAsiaTheme="minorHAnsi" w:hAnsi="Verdana" w:cstheme="minorBidi"/>
          <w:sz w:val="20"/>
          <w:szCs w:val="20"/>
          <w:lang w:val="en-US"/>
        </w:rPr>
        <w:t>Merits Report</w:t>
      </w:r>
      <w:r w:rsidR="00232AA2" w:rsidRPr="00D869E3">
        <w:rPr>
          <w:rFonts w:ascii="Verdana" w:eastAsiaTheme="minorHAnsi" w:hAnsi="Verdana" w:cstheme="minorBidi"/>
          <w:sz w:val="20"/>
          <w:szCs w:val="20"/>
          <w:lang w:val="en-US"/>
        </w:rPr>
        <w:t>, a</w:t>
      </w:r>
      <w:r w:rsidR="00823E88" w:rsidRPr="00D869E3">
        <w:rPr>
          <w:rFonts w:ascii="Verdana" w:eastAsiaTheme="minorHAnsi" w:hAnsi="Verdana" w:cstheme="minorBidi"/>
          <w:sz w:val="20"/>
          <w:szCs w:val="20"/>
          <w:lang w:val="en-US"/>
        </w:rPr>
        <w:t xml:space="preserve">nd also the adoption of measures to ensure that the laws and their interpretation by the domestic courts are consistent with the principles established by international human rights law with respect to </w:t>
      </w:r>
      <w:r w:rsidR="00A62EA8" w:rsidRPr="00D869E3">
        <w:rPr>
          <w:rFonts w:ascii="Verdana" w:eastAsiaTheme="minorHAnsi" w:hAnsi="Verdana" w:cstheme="minorBidi"/>
          <w:sz w:val="20"/>
          <w:szCs w:val="20"/>
          <w:lang w:val="en-US"/>
        </w:rPr>
        <w:t>freedom of expression</w:t>
      </w:r>
      <w:r w:rsidR="00232AA2" w:rsidRPr="00D869E3">
        <w:rPr>
          <w:rFonts w:ascii="Verdana" w:eastAsiaTheme="minorHAnsi" w:hAnsi="Verdana" w:cstheme="minorBidi"/>
          <w:sz w:val="20"/>
          <w:szCs w:val="20"/>
          <w:lang w:val="en-US"/>
        </w:rPr>
        <w:t xml:space="preserve"> </w:t>
      </w:r>
      <w:r w:rsidR="00823E88" w:rsidRPr="00D869E3">
        <w:rPr>
          <w:rFonts w:ascii="Verdana" w:eastAsiaTheme="minorHAnsi" w:hAnsi="Verdana" w:cstheme="minorBidi"/>
          <w:sz w:val="20"/>
          <w:szCs w:val="20"/>
          <w:lang w:val="en-US"/>
        </w:rPr>
        <w:t xml:space="preserve">in labor-related contexts. </w:t>
      </w:r>
      <w:r w:rsidR="00687684" w:rsidRPr="00D869E3">
        <w:rPr>
          <w:rFonts w:ascii="Verdana" w:eastAsiaTheme="minorHAnsi" w:hAnsi="Verdana" w:cstheme="minorBidi"/>
          <w:sz w:val="20"/>
          <w:szCs w:val="20"/>
          <w:lang w:val="en-US"/>
        </w:rPr>
        <w:t xml:space="preserve">The </w:t>
      </w:r>
      <w:r w:rsidR="00687684" w:rsidRPr="00D869E3">
        <w:rPr>
          <w:rFonts w:ascii="Verdana" w:eastAsiaTheme="minorHAnsi" w:hAnsi="Verdana" w:cstheme="minorBidi"/>
          <w:b/>
          <w:bCs/>
          <w:i/>
          <w:iCs/>
          <w:sz w:val="20"/>
          <w:szCs w:val="20"/>
          <w:lang w:val="en-US"/>
        </w:rPr>
        <w:t>representatives</w:t>
      </w:r>
      <w:r w:rsidR="00232AA2" w:rsidRPr="00D869E3">
        <w:rPr>
          <w:rFonts w:ascii="Verdana" w:eastAsiaTheme="minorHAnsi" w:hAnsi="Verdana" w:cstheme="minorBidi"/>
          <w:sz w:val="20"/>
          <w:szCs w:val="20"/>
          <w:lang w:val="en-US"/>
        </w:rPr>
        <w:t xml:space="preserve"> </w:t>
      </w:r>
      <w:r w:rsidR="00190091" w:rsidRPr="00D869E3">
        <w:rPr>
          <w:rFonts w:ascii="Verdana" w:eastAsiaTheme="minorHAnsi" w:hAnsi="Verdana" w:cstheme="minorBidi"/>
          <w:sz w:val="20"/>
          <w:szCs w:val="20"/>
          <w:lang w:val="en-US"/>
        </w:rPr>
        <w:t xml:space="preserve">also </w:t>
      </w:r>
      <w:r w:rsidR="00823E88" w:rsidRPr="00D869E3">
        <w:rPr>
          <w:rFonts w:ascii="Verdana" w:eastAsiaTheme="minorHAnsi" w:hAnsi="Verdana" w:cstheme="minorBidi"/>
          <w:sz w:val="20"/>
          <w:szCs w:val="20"/>
          <w:lang w:val="en-US"/>
        </w:rPr>
        <w:t>asked</w:t>
      </w:r>
      <w:r w:rsidR="00232AA2" w:rsidRPr="00D869E3">
        <w:rPr>
          <w:rFonts w:ascii="Verdana" w:eastAsiaTheme="minorHAnsi" w:hAnsi="Verdana" w:cstheme="minorBidi"/>
          <w:sz w:val="20"/>
          <w:szCs w:val="20"/>
          <w:lang w:val="en-US"/>
        </w:rPr>
        <w:t xml:space="preserve"> </w:t>
      </w:r>
      <w:r w:rsidR="00447C65" w:rsidRPr="00D869E3">
        <w:rPr>
          <w:rFonts w:ascii="Verdana" w:eastAsiaTheme="minorHAnsi" w:hAnsi="Verdana" w:cstheme="minorBidi"/>
          <w:sz w:val="20"/>
          <w:szCs w:val="20"/>
          <w:lang w:val="en-US"/>
        </w:rPr>
        <w:t>the Court</w:t>
      </w:r>
      <w:r w:rsidR="00232AA2" w:rsidRPr="00D869E3">
        <w:rPr>
          <w:rFonts w:ascii="Verdana" w:eastAsiaTheme="minorHAnsi" w:hAnsi="Verdana" w:cstheme="minorBidi"/>
          <w:sz w:val="20"/>
          <w:szCs w:val="20"/>
          <w:lang w:val="en-US"/>
        </w:rPr>
        <w:t xml:space="preserve"> </w:t>
      </w:r>
      <w:r w:rsidR="00823E88" w:rsidRPr="00D869E3">
        <w:rPr>
          <w:rFonts w:ascii="Verdana" w:eastAsiaTheme="minorHAnsi" w:hAnsi="Verdana" w:cstheme="minorBidi"/>
          <w:sz w:val="20"/>
          <w:szCs w:val="20"/>
          <w:lang w:val="en-US"/>
        </w:rPr>
        <w:t>to order</w:t>
      </w:r>
      <w:r w:rsidR="00190091" w:rsidRPr="00D869E3">
        <w:rPr>
          <w:rFonts w:ascii="Verdana" w:eastAsiaTheme="minorHAnsi" w:hAnsi="Verdana" w:cstheme="minorBidi"/>
          <w:sz w:val="20"/>
          <w:szCs w:val="20"/>
          <w:lang w:val="en-US"/>
        </w:rPr>
        <w:t xml:space="preserve"> the State to ensure that workers’ representatives and union leaders may enjoy their right to freedom of expression, in accordance with the standards established in the Merits Report, and to adopt measures to ensure that the laws and their interpretation by the domestic courts are consistent with the principles established by international human rights law with respect to freedom of expression in labor-related contexts. In particular, the representatives referred to the Commission</w:t>
      </w:r>
      <w:r w:rsidR="00E03A7E" w:rsidRPr="00D869E3">
        <w:rPr>
          <w:rFonts w:ascii="Verdana" w:eastAsiaTheme="minorHAnsi" w:hAnsi="Verdana" w:cstheme="minorBidi"/>
          <w:sz w:val="20"/>
          <w:szCs w:val="20"/>
          <w:lang w:val="en-US"/>
        </w:rPr>
        <w:t>’s considerations</w:t>
      </w:r>
      <w:r w:rsidR="00190091" w:rsidRPr="00D869E3">
        <w:rPr>
          <w:rFonts w:ascii="Verdana" w:eastAsiaTheme="minorHAnsi" w:hAnsi="Verdana" w:cstheme="minorBidi"/>
          <w:sz w:val="20"/>
          <w:szCs w:val="20"/>
          <w:lang w:val="en-US"/>
        </w:rPr>
        <w:t xml:space="preserve"> </w:t>
      </w:r>
      <w:r w:rsidR="00E03A7E" w:rsidRPr="00D869E3">
        <w:rPr>
          <w:rFonts w:ascii="Verdana" w:eastAsiaTheme="minorHAnsi" w:hAnsi="Verdana" w:cstheme="minorBidi"/>
          <w:sz w:val="20"/>
          <w:szCs w:val="20"/>
          <w:lang w:val="en-US"/>
        </w:rPr>
        <w:t xml:space="preserve">in its Merits Report </w:t>
      </w:r>
      <w:r w:rsidR="00190091" w:rsidRPr="00D869E3">
        <w:rPr>
          <w:rFonts w:ascii="Verdana" w:eastAsiaTheme="minorHAnsi" w:hAnsi="Verdana" w:cstheme="minorBidi"/>
          <w:sz w:val="20"/>
          <w:szCs w:val="20"/>
          <w:lang w:val="en-US"/>
        </w:rPr>
        <w:t xml:space="preserve">with regard to Legislative Decree 24514; specifically, that the decree was vague and imprecise and allegedly failed to comply with </w:t>
      </w:r>
      <w:r w:rsidR="00687684" w:rsidRPr="00D869E3">
        <w:rPr>
          <w:rFonts w:ascii="Verdana" w:eastAsiaTheme="minorHAnsi" w:hAnsi="Verdana" w:cstheme="minorBidi"/>
          <w:sz w:val="20"/>
          <w:szCs w:val="20"/>
          <w:lang w:val="en-US"/>
        </w:rPr>
        <w:t>Article</w:t>
      </w:r>
      <w:r w:rsidR="00E54DBC" w:rsidRPr="00D869E3">
        <w:rPr>
          <w:rFonts w:ascii="Verdana" w:eastAsiaTheme="minorHAnsi" w:hAnsi="Verdana" w:cstheme="minorBidi"/>
          <w:sz w:val="20"/>
          <w:szCs w:val="20"/>
          <w:lang w:val="en-US"/>
        </w:rPr>
        <w:t xml:space="preserve"> 2</w:t>
      </w:r>
      <w:r w:rsidR="00447C65" w:rsidRPr="00D869E3">
        <w:rPr>
          <w:rFonts w:ascii="Verdana" w:eastAsiaTheme="minorHAnsi" w:hAnsi="Verdana" w:cstheme="minorBidi"/>
          <w:sz w:val="20"/>
          <w:szCs w:val="20"/>
          <w:lang w:val="en-US"/>
        </w:rPr>
        <w:t xml:space="preserve"> of the Convention</w:t>
      </w:r>
      <w:r w:rsidR="00232AA2" w:rsidRPr="00D869E3">
        <w:rPr>
          <w:rFonts w:ascii="Verdana" w:eastAsiaTheme="minorHAnsi" w:hAnsi="Verdana" w:cstheme="minorBidi"/>
          <w:sz w:val="20"/>
          <w:szCs w:val="20"/>
          <w:lang w:val="en-US"/>
        </w:rPr>
        <w:t xml:space="preserve">. </w:t>
      </w:r>
      <w:r w:rsidR="00447C65" w:rsidRPr="00D869E3">
        <w:rPr>
          <w:rFonts w:ascii="Verdana" w:eastAsiaTheme="minorHAnsi" w:hAnsi="Verdana" w:cstheme="minorBidi"/>
          <w:sz w:val="20"/>
          <w:szCs w:val="20"/>
          <w:lang w:val="en-US"/>
        </w:rPr>
        <w:t xml:space="preserve">The </w:t>
      </w:r>
      <w:r w:rsidR="00447C65" w:rsidRPr="00D869E3">
        <w:rPr>
          <w:rFonts w:ascii="Verdana" w:eastAsiaTheme="minorHAnsi" w:hAnsi="Verdana" w:cstheme="minorBidi"/>
          <w:b/>
          <w:bCs/>
          <w:i/>
          <w:iCs/>
          <w:sz w:val="20"/>
          <w:szCs w:val="20"/>
          <w:lang w:val="en-US"/>
        </w:rPr>
        <w:t>State</w:t>
      </w:r>
      <w:r w:rsidR="00232AA2" w:rsidRPr="00D869E3">
        <w:rPr>
          <w:rFonts w:ascii="Verdana" w:eastAsiaTheme="minorHAnsi" w:hAnsi="Verdana" w:cstheme="minorBidi"/>
          <w:sz w:val="20"/>
          <w:szCs w:val="20"/>
          <w:lang w:val="en-US"/>
        </w:rPr>
        <w:t xml:space="preserve"> </w:t>
      </w:r>
      <w:r w:rsidR="00190091" w:rsidRPr="00D869E3">
        <w:rPr>
          <w:rFonts w:ascii="Verdana" w:eastAsiaTheme="minorHAnsi" w:hAnsi="Verdana" w:cstheme="minorBidi"/>
          <w:sz w:val="20"/>
          <w:szCs w:val="20"/>
          <w:lang w:val="en-US"/>
        </w:rPr>
        <w:t xml:space="preserve">argued that its right to defend itself had been </w:t>
      </w:r>
      <w:r w:rsidR="00E03A7E" w:rsidRPr="00D869E3">
        <w:rPr>
          <w:rFonts w:ascii="Verdana" w:eastAsiaTheme="minorHAnsi" w:hAnsi="Verdana" w:cstheme="minorBidi"/>
          <w:sz w:val="20"/>
          <w:szCs w:val="20"/>
          <w:lang w:val="en-US"/>
        </w:rPr>
        <w:t>contravened</w:t>
      </w:r>
      <w:r w:rsidR="00190091" w:rsidRPr="00D869E3">
        <w:rPr>
          <w:rFonts w:ascii="Verdana" w:eastAsiaTheme="minorHAnsi" w:hAnsi="Verdana" w:cstheme="minorBidi"/>
          <w:sz w:val="20"/>
          <w:szCs w:val="20"/>
          <w:lang w:val="en-US"/>
        </w:rPr>
        <w:t xml:space="preserve"> because it had not had the real possibility of knowing the specific type of measure it was required to adopt, </w:t>
      </w:r>
      <w:r w:rsidR="00E03A7E" w:rsidRPr="00D869E3">
        <w:rPr>
          <w:rFonts w:ascii="Verdana" w:eastAsiaTheme="minorHAnsi" w:hAnsi="Verdana" w:cstheme="minorBidi"/>
          <w:sz w:val="20"/>
          <w:szCs w:val="20"/>
          <w:lang w:val="en-US"/>
        </w:rPr>
        <w:t>since</w:t>
      </w:r>
      <w:r w:rsidR="00190091" w:rsidRPr="00D869E3">
        <w:rPr>
          <w:rFonts w:ascii="Verdana" w:eastAsiaTheme="minorHAnsi" w:hAnsi="Verdana" w:cstheme="minorBidi"/>
          <w:sz w:val="20"/>
          <w:szCs w:val="20"/>
          <w:lang w:val="en-US"/>
        </w:rPr>
        <w:t xml:space="preserve"> the Commission had not indicated the specific measures that the State should implement.</w:t>
      </w:r>
    </w:p>
    <w:p w14:paraId="1237851B" w14:textId="77777777" w:rsidR="00232AA2" w:rsidRPr="00D869E3" w:rsidRDefault="00232AA2" w:rsidP="00232AA2">
      <w:pPr>
        <w:widowControl w:val="0"/>
        <w:tabs>
          <w:tab w:val="center" w:pos="567"/>
        </w:tabs>
        <w:autoSpaceDE w:val="0"/>
        <w:autoSpaceDN w:val="0"/>
        <w:adjustRightInd w:val="0"/>
        <w:contextualSpacing/>
        <w:jc w:val="both"/>
        <w:rPr>
          <w:rFonts w:ascii="Verdana" w:eastAsiaTheme="minorHAnsi" w:hAnsi="Verdana" w:cstheme="minorBidi"/>
          <w:sz w:val="20"/>
          <w:szCs w:val="20"/>
          <w:lang w:val="en-US"/>
        </w:rPr>
      </w:pPr>
    </w:p>
    <w:p w14:paraId="6DAFCDE3" w14:textId="58A5EAB1" w:rsidR="00190091" w:rsidRPr="00D869E3" w:rsidRDefault="00447C65" w:rsidP="00190091">
      <w:pPr>
        <w:widowControl w:val="0"/>
        <w:numPr>
          <w:ilvl w:val="0"/>
          <w:numId w:val="1"/>
        </w:numPr>
        <w:tabs>
          <w:tab w:val="center" w:pos="0"/>
        </w:tabs>
        <w:autoSpaceDE w:val="0"/>
        <w:autoSpaceDN w:val="0"/>
        <w:adjustRightInd w:val="0"/>
        <w:ind w:left="0" w:firstLine="0"/>
        <w:contextualSpacing/>
        <w:jc w:val="both"/>
        <w:rPr>
          <w:rFonts w:ascii="Verdana" w:eastAsiaTheme="minorHAnsi" w:hAnsi="Verdana" w:cstheme="minorBidi"/>
          <w:sz w:val="20"/>
          <w:szCs w:val="20"/>
          <w:lang w:val="en-US"/>
        </w:rPr>
      </w:pPr>
      <w:r w:rsidRPr="00D869E3">
        <w:rPr>
          <w:rFonts w:ascii="Verdana" w:eastAsiaTheme="minorHAnsi" w:hAnsi="Verdana" w:cstheme="minorBidi"/>
          <w:sz w:val="20"/>
          <w:szCs w:val="20"/>
          <w:lang w:val="en-US"/>
        </w:rPr>
        <w:t>The Court</w:t>
      </w:r>
      <w:r w:rsidR="00A57AE0" w:rsidRPr="00D869E3">
        <w:rPr>
          <w:rFonts w:ascii="Verdana" w:eastAsiaTheme="minorHAnsi" w:hAnsi="Verdana" w:cstheme="minorBidi"/>
          <w:sz w:val="20"/>
          <w:szCs w:val="20"/>
          <w:lang w:val="en-US"/>
        </w:rPr>
        <w:t xml:space="preserve"> </w:t>
      </w:r>
      <w:r w:rsidR="00A07203" w:rsidRPr="00D869E3">
        <w:rPr>
          <w:rFonts w:ascii="Verdana" w:eastAsiaTheme="minorHAnsi" w:hAnsi="Verdana" w:cstheme="minorBidi"/>
          <w:sz w:val="20"/>
          <w:szCs w:val="20"/>
          <w:lang w:val="en-US"/>
        </w:rPr>
        <w:t>not</w:t>
      </w:r>
      <w:r w:rsidR="00190091" w:rsidRPr="00D869E3">
        <w:rPr>
          <w:rFonts w:ascii="Verdana" w:eastAsiaTheme="minorHAnsi" w:hAnsi="Verdana" w:cstheme="minorBidi"/>
          <w:sz w:val="20"/>
          <w:szCs w:val="20"/>
          <w:lang w:val="en-US"/>
        </w:rPr>
        <w:t>es that neither</w:t>
      </w:r>
      <w:r w:rsidR="00A57AE0" w:rsidRPr="00D869E3">
        <w:rPr>
          <w:rFonts w:ascii="Verdana" w:eastAsiaTheme="minorHAnsi" w:hAnsi="Verdana" w:cstheme="minorBidi"/>
          <w:sz w:val="20"/>
          <w:szCs w:val="20"/>
          <w:lang w:val="en-US"/>
        </w:rPr>
        <w:t xml:space="preserve"> </w:t>
      </w:r>
      <w:r w:rsidR="00687684" w:rsidRPr="00D869E3">
        <w:rPr>
          <w:rFonts w:ascii="Verdana" w:eastAsiaTheme="minorHAnsi" w:hAnsi="Verdana" w:cstheme="minorBidi"/>
          <w:sz w:val="20"/>
          <w:szCs w:val="20"/>
          <w:lang w:val="en-US"/>
        </w:rPr>
        <w:t>the representatives</w:t>
      </w:r>
      <w:r w:rsidR="00A57AE0" w:rsidRPr="00D869E3">
        <w:rPr>
          <w:rFonts w:ascii="Verdana" w:eastAsiaTheme="minorHAnsi" w:hAnsi="Verdana" w:cstheme="minorBidi"/>
          <w:sz w:val="20"/>
          <w:szCs w:val="20"/>
          <w:lang w:val="en-US"/>
        </w:rPr>
        <w:t xml:space="preserve"> n</w:t>
      </w:r>
      <w:r w:rsidR="00190091" w:rsidRPr="00D869E3">
        <w:rPr>
          <w:rFonts w:ascii="Verdana" w:eastAsiaTheme="minorHAnsi" w:hAnsi="Verdana" w:cstheme="minorBidi"/>
          <w:sz w:val="20"/>
          <w:szCs w:val="20"/>
          <w:lang w:val="en-US"/>
        </w:rPr>
        <w:t>or</w:t>
      </w:r>
      <w:r w:rsidR="00A57AE0" w:rsidRPr="00D869E3">
        <w:rPr>
          <w:rFonts w:ascii="Verdana" w:eastAsiaTheme="minorHAnsi" w:hAnsi="Verdana" w:cstheme="minorBidi"/>
          <w:sz w:val="20"/>
          <w:szCs w:val="20"/>
          <w:lang w:val="en-US"/>
        </w:rPr>
        <w:t xml:space="preserve"> </w:t>
      </w:r>
      <w:r w:rsidRPr="00D869E3">
        <w:rPr>
          <w:rFonts w:ascii="Verdana" w:eastAsiaTheme="minorHAnsi" w:hAnsi="Verdana" w:cstheme="minorBidi"/>
          <w:sz w:val="20"/>
          <w:szCs w:val="20"/>
          <w:lang w:val="en-US"/>
        </w:rPr>
        <w:t>the Commission</w:t>
      </w:r>
      <w:r w:rsidR="00190091" w:rsidRPr="00D869E3">
        <w:rPr>
          <w:rFonts w:ascii="Verdana" w:eastAsiaTheme="minorHAnsi" w:hAnsi="Verdana" w:cstheme="minorBidi"/>
          <w:sz w:val="20"/>
          <w:szCs w:val="20"/>
          <w:lang w:val="en-US"/>
        </w:rPr>
        <w:t xml:space="preserve"> indicated the precise scope of the measures that the State should adopt. However, in this case, the Court concludes that paragraph (h) of article 5 of Law 24514 was not, </w:t>
      </w:r>
      <w:r w:rsidR="00190091" w:rsidRPr="00D869E3">
        <w:rPr>
          <w:rFonts w:ascii="Verdana" w:eastAsiaTheme="minorHAnsi" w:hAnsi="Verdana" w:cstheme="minorBidi"/>
          <w:i/>
          <w:sz w:val="20"/>
          <w:szCs w:val="20"/>
          <w:lang w:val="en-US"/>
        </w:rPr>
        <w:t xml:space="preserve">per se, </w:t>
      </w:r>
      <w:r w:rsidR="00190091" w:rsidRPr="00D869E3">
        <w:rPr>
          <w:rFonts w:ascii="Verdana" w:eastAsiaTheme="minorHAnsi" w:hAnsi="Verdana" w:cstheme="minorBidi"/>
          <w:sz w:val="20"/>
          <w:szCs w:val="20"/>
          <w:lang w:val="en-US"/>
        </w:rPr>
        <w:t>incompatible with the requirement of legality of Article 13(2) of the Convention. In addition, it has determined that it was not appropriate to rule on the compatibility of the norm that is currently in force</w:t>
      </w:r>
      <w:r w:rsidR="0062065E" w:rsidRPr="00D869E3">
        <w:rPr>
          <w:rFonts w:ascii="Verdana" w:eastAsiaTheme="minorHAnsi" w:hAnsi="Verdana" w:cstheme="minorBidi"/>
          <w:sz w:val="20"/>
          <w:szCs w:val="20"/>
          <w:lang w:val="en-US"/>
        </w:rPr>
        <w:t xml:space="preserve"> </w:t>
      </w:r>
      <w:r w:rsidR="00232AA2" w:rsidRPr="00D869E3">
        <w:rPr>
          <w:rFonts w:ascii="Verdana" w:eastAsiaTheme="minorHAnsi" w:hAnsi="Verdana" w:cstheme="minorBidi"/>
          <w:sz w:val="20"/>
          <w:szCs w:val="20"/>
          <w:lang w:val="en-US"/>
        </w:rPr>
        <w:t>(</w:t>
      </w:r>
      <w:r w:rsidR="00224537" w:rsidRPr="00D869E3">
        <w:rPr>
          <w:rFonts w:ascii="Verdana" w:eastAsiaTheme="minorHAnsi" w:hAnsi="Verdana" w:cstheme="minorBidi"/>
          <w:i/>
          <w:sz w:val="20"/>
          <w:szCs w:val="20"/>
          <w:lang w:val="en-US"/>
        </w:rPr>
        <w:t>supra</w:t>
      </w:r>
      <w:r w:rsidR="00232AA2" w:rsidRPr="00D869E3">
        <w:rPr>
          <w:rFonts w:ascii="Verdana" w:eastAsiaTheme="minorHAnsi" w:hAnsi="Verdana" w:cstheme="minorBidi"/>
          <w:sz w:val="20"/>
          <w:szCs w:val="20"/>
          <w:lang w:val="en-US"/>
        </w:rPr>
        <w:t xml:space="preserve"> </w:t>
      </w:r>
      <w:r w:rsidR="0087339F" w:rsidRPr="00D869E3">
        <w:rPr>
          <w:rFonts w:ascii="Verdana" w:eastAsiaTheme="minorHAnsi" w:hAnsi="Verdana" w:cstheme="minorBidi"/>
          <w:sz w:val="20"/>
          <w:szCs w:val="20"/>
          <w:lang w:val="en-US"/>
        </w:rPr>
        <w:t>para.</w:t>
      </w:r>
      <w:r w:rsidR="00B31162" w:rsidRPr="00D869E3">
        <w:rPr>
          <w:rFonts w:ascii="Verdana" w:eastAsiaTheme="minorHAnsi" w:hAnsi="Verdana" w:cstheme="minorBidi"/>
          <w:sz w:val="20"/>
          <w:szCs w:val="20"/>
          <w:lang w:val="en-US"/>
        </w:rPr>
        <w:t xml:space="preserve"> 165</w:t>
      </w:r>
      <w:r w:rsidR="00232AA2" w:rsidRPr="00D869E3">
        <w:rPr>
          <w:rFonts w:ascii="Verdana" w:eastAsiaTheme="minorHAnsi" w:hAnsi="Verdana" w:cstheme="minorBidi"/>
          <w:sz w:val="20"/>
          <w:szCs w:val="20"/>
          <w:lang w:val="en-US"/>
        </w:rPr>
        <w:t xml:space="preserve">). </w:t>
      </w:r>
      <w:r w:rsidR="00190091" w:rsidRPr="00D869E3">
        <w:rPr>
          <w:rFonts w:ascii="Verdana" w:eastAsiaTheme="minorHAnsi" w:hAnsi="Verdana" w:cstheme="minorBidi"/>
          <w:sz w:val="20"/>
          <w:szCs w:val="20"/>
          <w:lang w:val="en-US"/>
        </w:rPr>
        <w:t xml:space="preserve">Consequently, in this case, it is not admissible to order the adoption, amendment or adaptation of specific provisions of domestic law. However, this is without prejudice to the </w:t>
      </w:r>
      <w:r w:rsidR="00190091" w:rsidRPr="00D869E3">
        <w:rPr>
          <w:rFonts w:ascii="Verdana" w:eastAsiaTheme="minorHAnsi" w:hAnsi="Verdana" w:cstheme="minorBidi"/>
          <w:sz w:val="20"/>
          <w:szCs w:val="20"/>
          <w:lang w:val="en-US"/>
        </w:rPr>
        <w:lastRenderedPageBreak/>
        <w:t>provisions of paragraph 122 of this judgment.</w:t>
      </w:r>
    </w:p>
    <w:p w14:paraId="04CD50C9" w14:textId="77777777" w:rsidR="000C6082" w:rsidRPr="00D869E3" w:rsidRDefault="000C6082" w:rsidP="000C6082">
      <w:pPr>
        <w:rPr>
          <w:rFonts w:ascii="Verdana" w:hAnsi="Verdana"/>
          <w:lang w:val="en-US"/>
        </w:rPr>
      </w:pPr>
    </w:p>
    <w:p w14:paraId="2BB1E4E7" w14:textId="31EDA237" w:rsidR="000C6082" w:rsidRPr="00D869E3" w:rsidRDefault="00190091" w:rsidP="00E66DD7">
      <w:pPr>
        <w:widowControl w:val="0"/>
        <w:numPr>
          <w:ilvl w:val="0"/>
          <w:numId w:val="1"/>
        </w:numPr>
        <w:tabs>
          <w:tab w:val="center" w:pos="567"/>
          <w:tab w:val="num" w:pos="840"/>
        </w:tabs>
        <w:autoSpaceDE w:val="0"/>
        <w:autoSpaceDN w:val="0"/>
        <w:adjustRightInd w:val="0"/>
        <w:ind w:left="0" w:firstLine="0"/>
        <w:contextualSpacing/>
        <w:jc w:val="both"/>
        <w:rPr>
          <w:rFonts w:ascii="Verdana" w:eastAsiaTheme="minorHAnsi" w:hAnsi="Verdana" w:cstheme="minorBidi"/>
          <w:sz w:val="20"/>
          <w:szCs w:val="20"/>
          <w:lang w:val="en-US"/>
        </w:rPr>
      </w:pPr>
      <w:r w:rsidRPr="00D869E3">
        <w:rPr>
          <w:rFonts w:ascii="Verdana" w:eastAsiaTheme="minorHAnsi" w:hAnsi="Verdana" w:cstheme="minorBidi"/>
          <w:sz w:val="20"/>
          <w:szCs w:val="20"/>
          <w:lang w:val="en-US"/>
        </w:rPr>
        <w:t>I</w:t>
      </w:r>
      <w:r w:rsidR="000C6082" w:rsidRPr="00D869E3">
        <w:rPr>
          <w:rFonts w:ascii="Verdana" w:eastAsiaTheme="minorHAnsi" w:hAnsi="Verdana" w:cstheme="minorBidi"/>
          <w:sz w:val="20"/>
          <w:szCs w:val="20"/>
          <w:lang w:val="en-US"/>
        </w:rPr>
        <w:t xml:space="preserve">n </w:t>
      </w:r>
      <w:r w:rsidRPr="00D869E3">
        <w:rPr>
          <w:rFonts w:ascii="Verdana" w:eastAsiaTheme="minorHAnsi" w:hAnsi="Verdana" w:cstheme="minorBidi"/>
          <w:sz w:val="20"/>
          <w:szCs w:val="20"/>
          <w:lang w:val="en-US"/>
        </w:rPr>
        <w:t>c</w:t>
      </w:r>
      <w:r w:rsidR="00B44B46" w:rsidRPr="00D869E3">
        <w:rPr>
          <w:rFonts w:ascii="Verdana" w:eastAsiaTheme="minorHAnsi" w:hAnsi="Verdana" w:cstheme="minorBidi"/>
          <w:sz w:val="20"/>
          <w:szCs w:val="20"/>
          <w:lang w:val="en-US"/>
        </w:rPr>
        <w:t>onclusion</w:t>
      </w:r>
      <w:r w:rsidR="000C6082" w:rsidRPr="00D869E3">
        <w:rPr>
          <w:rFonts w:ascii="Verdana" w:eastAsiaTheme="minorHAnsi" w:hAnsi="Verdana" w:cstheme="minorBidi"/>
          <w:sz w:val="20"/>
          <w:szCs w:val="20"/>
          <w:lang w:val="en-US"/>
        </w:rPr>
        <w:t xml:space="preserve">, </w:t>
      </w:r>
      <w:r w:rsidR="00447C65" w:rsidRPr="00D869E3">
        <w:rPr>
          <w:rFonts w:ascii="Verdana" w:eastAsiaTheme="minorHAnsi" w:hAnsi="Verdana" w:cstheme="minorBidi"/>
          <w:sz w:val="20"/>
          <w:szCs w:val="20"/>
          <w:lang w:val="en-US"/>
        </w:rPr>
        <w:t>the Court</w:t>
      </w:r>
      <w:r w:rsidR="000C6082" w:rsidRPr="00D869E3">
        <w:rPr>
          <w:rFonts w:ascii="Verdana" w:eastAsiaTheme="minorHAnsi" w:hAnsi="Verdana" w:cstheme="minorBidi"/>
          <w:sz w:val="20"/>
          <w:szCs w:val="20"/>
          <w:lang w:val="en-US"/>
        </w:rPr>
        <w:t xml:space="preserve"> reitera</w:t>
      </w:r>
      <w:r w:rsidRPr="00D869E3">
        <w:rPr>
          <w:rFonts w:ascii="Verdana" w:eastAsiaTheme="minorHAnsi" w:hAnsi="Verdana" w:cstheme="minorBidi"/>
          <w:sz w:val="20"/>
          <w:szCs w:val="20"/>
          <w:lang w:val="en-US"/>
        </w:rPr>
        <w:t xml:space="preserve">tes that the delivery of this judgment and </w:t>
      </w:r>
      <w:r w:rsidR="00E03A7E" w:rsidRPr="00D869E3">
        <w:rPr>
          <w:rFonts w:ascii="Verdana" w:eastAsiaTheme="minorHAnsi" w:hAnsi="Verdana" w:cstheme="minorBidi"/>
          <w:sz w:val="20"/>
          <w:szCs w:val="20"/>
          <w:lang w:val="en-US"/>
        </w:rPr>
        <w:t xml:space="preserve">the </w:t>
      </w:r>
      <w:r w:rsidRPr="00D869E3">
        <w:rPr>
          <w:rFonts w:ascii="Verdana" w:eastAsiaTheme="minorHAnsi" w:hAnsi="Verdana" w:cstheme="minorBidi"/>
          <w:sz w:val="20"/>
          <w:szCs w:val="20"/>
          <w:lang w:val="en-US"/>
        </w:rPr>
        <w:t>repar</w:t>
      </w:r>
      <w:r w:rsidR="00FF777F" w:rsidRPr="00D869E3">
        <w:rPr>
          <w:rFonts w:ascii="Verdana" w:eastAsiaTheme="minorHAnsi" w:hAnsi="Verdana" w:cstheme="minorBidi"/>
          <w:sz w:val="20"/>
          <w:szCs w:val="20"/>
          <w:lang w:val="en-US"/>
        </w:rPr>
        <w:t>a</w:t>
      </w:r>
      <w:r w:rsidRPr="00D869E3">
        <w:rPr>
          <w:rFonts w:ascii="Verdana" w:eastAsiaTheme="minorHAnsi" w:hAnsi="Verdana" w:cstheme="minorBidi"/>
          <w:sz w:val="20"/>
          <w:szCs w:val="20"/>
          <w:lang w:val="en-US"/>
        </w:rPr>
        <w:t xml:space="preserve">tions ordered in this chapter are sufficient and adequate to remedy the violations suffered by the victim, so that it does not find it </w:t>
      </w:r>
      <w:r w:rsidR="00FF777F" w:rsidRPr="00D869E3">
        <w:rPr>
          <w:rFonts w:ascii="Verdana" w:eastAsiaTheme="minorHAnsi" w:hAnsi="Verdana" w:cstheme="minorBidi"/>
          <w:sz w:val="20"/>
          <w:szCs w:val="20"/>
          <w:lang w:val="en-US"/>
        </w:rPr>
        <w:t>n</w:t>
      </w:r>
      <w:r w:rsidRPr="00D869E3">
        <w:rPr>
          <w:rFonts w:ascii="Verdana" w:eastAsiaTheme="minorHAnsi" w:hAnsi="Verdana" w:cstheme="minorBidi"/>
          <w:sz w:val="20"/>
          <w:szCs w:val="20"/>
          <w:lang w:val="en-US"/>
        </w:rPr>
        <w:t>ecessary to order other measures</w:t>
      </w:r>
      <w:r w:rsidR="00FF777F" w:rsidRPr="00D869E3">
        <w:rPr>
          <w:rFonts w:ascii="Verdana" w:eastAsiaTheme="minorHAnsi" w:hAnsi="Verdana" w:cstheme="minorBidi"/>
          <w:sz w:val="20"/>
          <w:szCs w:val="20"/>
          <w:lang w:val="en-US"/>
        </w:rPr>
        <w:t xml:space="preserve"> of a comprehensive nature. </w:t>
      </w:r>
    </w:p>
    <w:p w14:paraId="008DD2F4" w14:textId="77777777" w:rsidR="00564925" w:rsidRPr="00D869E3" w:rsidRDefault="00564925" w:rsidP="005D0F69">
      <w:pPr>
        <w:rPr>
          <w:rFonts w:ascii="Verdana" w:hAnsi="Verdana"/>
          <w:lang w:val="en-US"/>
        </w:rPr>
      </w:pPr>
    </w:p>
    <w:p w14:paraId="3B1794ED" w14:textId="5CEE7822" w:rsidR="009C5D55" w:rsidRPr="00D869E3" w:rsidRDefault="00B44B46" w:rsidP="00E66DD7">
      <w:pPr>
        <w:pStyle w:val="Ttulo2"/>
        <w:numPr>
          <w:ilvl w:val="0"/>
          <w:numId w:val="13"/>
        </w:numPr>
        <w:rPr>
          <w:b w:val="0"/>
          <w:bCs w:val="0"/>
          <w:i/>
          <w:szCs w:val="20"/>
          <w:lang w:val="en-US"/>
        </w:rPr>
      </w:pPr>
      <w:bookmarkStart w:id="70" w:name="_Toc29114157"/>
      <w:r w:rsidRPr="00D869E3">
        <w:rPr>
          <w:i/>
          <w:szCs w:val="20"/>
          <w:lang w:val="en-US"/>
        </w:rPr>
        <w:t>Compensation</w:t>
      </w:r>
      <w:bookmarkEnd w:id="70"/>
    </w:p>
    <w:p w14:paraId="12B92CBB" w14:textId="77777777" w:rsidR="009C5D55" w:rsidRPr="00D869E3" w:rsidRDefault="009C5D55" w:rsidP="009C5D55">
      <w:pPr>
        <w:contextualSpacing/>
        <w:jc w:val="both"/>
        <w:rPr>
          <w:rFonts w:ascii="Verdana" w:hAnsi="Verdana"/>
          <w:sz w:val="20"/>
          <w:szCs w:val="20"/>
          <w:lang w:val="en-US"/>
        </w:rPr>
      </w:pPr>
    </w:p>
    <w:p w14:paraId="64F5B33C" w14:textId="079C9203" w:rsidR="009C5D55" w:rsidRPr="00D869E3" w:rsidRDefault="00B44B46" w:rsidP="00E66DD7">
      <w:pPr>
        <w:pStyle w:val="Ttulo3"/>
        <w:numPr>
          <w:ilvl w:val="0"/>
          <w:numId w:val="15"/>
        </w:numPr>
        <w:rPr>
          <w:i/>
          <w:lang w:val="en-US"/>
        </w:rPr>
      </w:pPr>
      <w:bookmarkStart w:id="71" w:name="_Toc29114158"/>
      <w:r w:rsidRPr="00D869E3">
        <w:rPr>
          <w:i/>
          <w:lang w:val="en-US"/>
        </w:rPr>
        <w:t>Pecuniary damage</w:t>
      </w:r>
      <w:bookmarkEnd w:id="71"/>
    </w:p>
    <w:p w14:paraId="40E9F291" w14:textId="77777777" w:rsidR="009C5D55" w:rsidRPr="00D869E3" w:rsidRDefault="009C5D55" w:rsidP="009C5D55">
      <w:pPr>
        <w:rPr>
          <w:rFonts w:ascii="Verdana" w:hAnsi="Verdana"/>
          <w:sz w:val="20"/>
          <w:szCs w:val="20"/>
          <w:lang w:val="en-US"/>
        </w:rPr>
      </w:pPr>
    </w:p>
    <w:p w14:paraId="6A0B827C" w14:textId="3D133E54" w:rsidR="009C5D55" w:rsidRPr="00D869E3" w:rsidRDefault="00447C65" w:rsidP="00E66DD7">
      <w:pPr>
        <w:widowControl w:val="0"/>
        <w:numPr>
          <w:ilvl w:val="0"/>
          <w:numId w:val="1"/>
        </w:numPr>
        <w:tabs>
          <w:tab w:val="center" w:pos="0"/>
        </w:tabs>
        <w:autoSpaceDE w:val="0"/>
        <w:autoSpaceDN w:val="0"/>
        <w:adjustRightInd w:val="0"/>
        <w:ind w:left="0" w:firstLine="0"/>
        <w:contextualSpacing/>
        <w:jc w:val="both"/>
        <w:rPr>
          <w:rFonts w:ascii="Verdana" w:hAnsi="Verdana"/>
          <w:sz w:val="20"/>
          <w:szCs w:val="20"/>
          <w:lang w:val="en-US"/>
        </w:rPr>
      </w:pPr>
      <w:r w:rsidRPr="00D869E3">
        <w:rPr>
          <w:rFonts w:ascii="Verdana" w:hAnsi="Verdana"/>
          <w:sz w:val="20"/>
          <w:szCs w:val="20"/>
          <w:lang w:val="en-US"/>
        </w:rPr>
        <w:t xml:space="preserve">The </w:t>
      </w:r>
      <w:r w:rsidRPr="00D869E3">
        <w:rPr>
          <w:rFonts w:ascii="Verdana" w:hAnsi="Verdana"/>
          <w:b/>
          <w:bCs/>
          <w:i/>
          <w:iCs/>
          <w:sz w:val="20"/>
          <w:szCs w:val="20"/>
          <w:lang w:val="en-US"/>
        </w:rPr>
        <w:t>Commission</w:t>
      </w:r>
      <w:r w:rsidR="009C5D55" w:rsidRPr="00D869E3">
        <w:rPr>
          <w:rFonts w:ascii="Verdana" w:hAnsi="Verdana"/>
          <w:sz w:val="20"/>
          <w:szCs w:val="20"/>
          <w:lang w:val="en-US"/>
        </w:rPr>
        <w:t xml:space="preserve"> </w:t>
      </w:r>
      <w:r w:rsidR="0008054E" w:rsidRPr="00D869E3">
        <w:rPr>
          <w:rFonts w:ascii="Verdana" w:hAnsi="Verdana"/>
          <w:sz w:val="20"/>
          <w:szCs w:val="20"/>
          <w:lang w:val="en-US"/>
        </w:rPr>
        <w:t xml:space="preserve">asked the Court to </w:t>
      </w:r>
      <w:r w:rsidR="004926D0" w:rsidRPr="00D869E3">
        <w:rPr>
          <w:rFonts w:ascii="Verdana" w:hAnsi="Verdana"/>
          <w:sz w:val="20"/>
          <w:szCs w:val="20"/>
          <w:lang w:val="en-US"/>
        </w:rPr>
        <w:t>establish both pecuniary and non-pecuniary damage as part of the reparation.</w:t>
      </w:r>
    </w:p>
    <w:p w14:paraId="5699B8C5" w14:textId="77777777" w:rsidR="009C5D55" w:rsidRPr="00D869E3" w:rsidRDefault="009C5D55" w:rsidP="009C5D55">
      <w:pPr>
        <w:widowControl w:val="0"/>
        <w:tabs>
          <w:tab w:val="center" w:pos="0"/>
        </w:tabs>
        <w:autoSpaceDE w:val="0"/>
        <w:autoSpaceDN w:val="0"/>
        <w:adjustRightInd w:val="0"/>
        <w:contextualSpacing/>
        <w:jc w:val="both"/>
        <w:rPr>
          <w:rFonts w:ascii="Verdana" w:hAnsi="Verdana"/>
          <w:sz w:val="20"/>
          <w:szCs w:val="20"/>
          <w:lang w:val="en-US"/>
        </w:rPr>
      </w:pPr>
    </w:p>
    <w:p w14:paraId="625242B8" w14:textId="7CF05FCE" w:rsidR="009C5D55" w:rsidRPr="00D869E3" w:rsidRDefault="00C549C0" w:rsidP="00C549C0">
      <w:pPr>
        <w:widowControl w:val="0"/>
        <w:numPr>
          <w:ilvl w:val="0"/>
          <w:numId w:val="1"/>
        </w:numPr>
        <w:tabs>
          <w:tab w:val="center" w:pos="0"/>
        </w:tabs>
        <w:autoSpaceDE w:val="0"/>
        <w:autoSpaceDN w:val="0"/>
        <w:adjustRightInd w:val="0"/>
        <w:ind w:left="0" w:firstLine="0"/>
        <w:contextualSpacing/>
        <w:jc w:val="both"/>
        <w:rPr>
          <w:rFonts w:ascii="Verdana" w:hAnsi="Verdana"/>
          <w:sz w:val="20"/>
          <w:szCs w:val="20"/>
          <w:lang w:val="en-US"/>
        </w:rPr>
      </w:pPr>
      <w:r w:rsidRPr="00D869E3">
        <w:rPr>
          <w:rFonts w:ascii="Verdana" w:hAnsi="Verdana"/>
          <w:sz w:val="20"/>
          <w:szCs w:val="20"/>
          <w:lang w:val="en-US"/>
        </w:rPr>
        <w:t xml:space="preserve">The </w:t>
      </w:r>
      <w:r w:rsidR="00687684" w:rsidRPr="00D869E3">
        <w:rPr>
          <w:rFonts w:ascii="Verdana" w:hAnsi="Verdana"/>
          <w:b/>
          <w:bCs/>
          <w:i/>
          <w:iCs/>
          <w:sz w:val="20"/>
          <w:szCs w:val="20"/>
          <w:lang w:val="en-US"/>
        </w:rPr>
        <w:t>representatives</w:t>
      </w:r>
      <w:r w:rsidR="009C5D55" w:rsidRPr="00D869E3">
        <w:rPr>
          <w:rFonts w:ascii="Verdana" w:hAnsi="Verdana"/>
          <w:b/>
          <w:i/>
          <w:sz w:val="20"/>
          <w:szCs w:val="20"/>
          <w:lang w:val="en-US"/>
        </w:rPr>
        <w:t xml:space="preserve"> </w:t>
      </w:r>
      <w:r w:rsidRPr="00D869E3">
        <w:rPr>
          <w:rFonts w:ascii="Verdana" w:hAnsi="Verdana"/>
          <w:sz w:val="20"/>
          <w:szCs w:val="20"/>
          <w:lang w:val="en-US"/>
        </w:rPr>
        <w:t xml:space="preserve">asked for compensation for the expenses incurred by the victim in his search for justice with a sum established based on equity. They also asked that a sum be established for loss of earnings, in equity, considering that Mr. Lagos del Campo had not been reinstated in his  job, curtailing his labor rights. </w:t>
      </w:r>
      <w:r w:rsidR="00075E68" w:rsidRPr="00D869E3">
        <w:rPr>
          <w:rFonts w:ascii="Verdana" w:hAnsi="Verdana"/>
          <w:sz w:val="20"/>
          <w:szCs w:val="20"/>
          <w:lang w:val="en-US"/>
        </w:rPr>
        <w:t>In this regard</w:t>
      </w:r>
      <w:r w:rsidR="00925FE5" w:rsidRPr="00D869E3">
        <w:rPr>
          <w:rFonts w:ascii="Verdana" w:hAnsi="Verdana"/>
          <w:sz w:val="20"/>
          <w:szCs w:val="20"/>
          <w:lang w:val="en-US"/>
        </w:rPr>
        <w:t xml:space="preserve">, </w:t>
      </w:r>
      <w:r w:rsidRPr="00D869E3">
        <w:rPr>
          <w:rFonts w:ascii="Verdana" w:hAnsi="Verdana"/>
          <w:sz w:val="20"/>
          <w:szCs w:val="20"/>
          <w:lang w:val="en-US"/>
        </w:rPr>
        <w:t xml:space="preserve">during the hearing, </w:t>
      </w:r>
      <w:r w:rsidR="00687684" w:rsidRPr="00D869E3">
        <w:rPr>
          <w:rFonts w:ascii="Verdana" w:hAnsi="Verdana"/>
          <w:sz w:val="20"/>
          <w:szCs w:val="20"/>
          <w:lang w:val="en-US"/>
        </w:rPr>
        <w:t>the representatives</w:t>
      </w:r>
      <w:r w:rsidR="00925FE5" w:rsidRPr="00D869E3">
        <w:rPr>
          <w:rFonts w:ascii="Verdana" w:hAnsi="Verdana"/>
          <w:sz w:val="20"/>
          <w:szCs w:val="20"/>
          <w:lang w:val="en-US"/>
        </w:rPr>
        <w:t xml:space="preserve"> al</w:t>
      </w:r>
      <w:r w:rsidRPr="00D869E3">
        <w:rPr>
          <w:rFonts w:ascii="Verdana" w:hAnsi="Verdana"/>
          <w:sz w:val="20"/>
          <w:szCs w:val="20"/>
          <w:lang w:val="en-US"/>
        </w:rPr>
        <w:t xml:space="preserve">leged that </w:t>
      </w:r>
      <w:r w:rsidR="001E44D3" w:rsidRPr="00D869E3">
        <w:rPr>
          <w:rFonts w:ascii="Verdana" w:hAnsi="Verdana"/>
          <w:sz w:val="20"/>
          <w:szCs w:val="20"/>
          <w:lang w:val="en-US"/>
        </w:rPr>
        <w:t>Mr. Lagos del Campo</w:t>
      </w:r>
      <w:r w:rsidR="00925FE5" w:rsidRPr="00D869E3">
        <w:rPr>
          <w:rFonts w:ascii="Verdana" w:hAnsi="Verdana"/>
          <w:sz w:val="20"/>
          <w:szCs w:val="20"/>
          <w:lang w:val="en-US"/>
        </w:rPr>
        <w:t xml:space="preserve"> </w:t>
      </w:r>
      <w:r w:rsidR="00E03A7E" w:rsidRPr="00D869E3">
        <w:rPr>
          <w:rFonts w:ascii="Verdana" w:hAnsi="Verdana"/>
          <w:sz w:val="20"/>
          <w:szCs w:val="20"/>
          <w:lang w:val="en-US"/>
        </w:rPr>
        <w:t>was</w:t>
      </w:r>
      <w:r w:rsidRPr="00D869E3">
        <w:rPr>
          <w:rFonts w:ascii="Verdana" w:hAnsi="Verdana"/>
          <w:sz w:val="20"/>
          <w:szCs w:val="20"/>
          <w:lang w:val="en-US"/>
        </w:rPr>
        <w:t xml:space="preserve"> not old enough to have access to a legitimate pension, or health insurance, as this </w:t>
      </w:r>
      <w:r w:rsidR="00E03A7E" w:rsidRPr="00D869E3">
        <w:rPr>
          <w:rFonts w:ascii="Verdana" w:hAnsi="Verdana"/>
          <w:sz w:val="20"/>
          <w:szCs w:val="20"/>
          <w:lang w:val="en-US"/>
        </w:rPr>
        <w:t>expectation</w:t>
      </w:r>
      <w:r w:rsidRPr="00D869E3">
        <w:rPr>
          <w:rFonts w:ascii="Verdana" w:hAnsi="Verdana"/>
          <w:sz w:val="20"/>
          <w:szCs w:val="20"/>
          <w:lang w:val="en-US"/>
        </w:rPr>
        <w:t xml:space="preserve"> </w:t>
      </w:r>
      <w:r w:rsidR="00E03A7E" w:rsidRPr="00D869E3">
        <w:rPr>
          <w:rFonts w:ascii="Verdana" w:hAnsi="Verdana"/>
          <w:sz w:val="20"/>
          <w:szCs w:val="20"/>
          <w:lang w:val="en-US"/>
        </w:rPr>
        <w:t>was</w:t>
      </w:r>
      <w:r w:rsidRPr="00D869E3">
        <w:rPr>
          <w:rFonts w:ascii="Verdana" w:hAnsi="Verdana"/>
          <w:sz w:val="20"/>
          <w:szCs w:val="20"/>
          <w:lang w:val="en-US"/>
        </w:rPr>
        <w:t xml:space="preserve"> destroyed as a result of the dismissal. In their </w:t>
      </w:r>
      <w:r w:rsidR="000E7A82" w:rsidRPr="00D869E3">
        <w:rPr>
          <w:rFonts w:ascii="Verdana" w:hAnsi="Verdana"/>
          <w:sz w:val="20"/>
          <w:szCs w:val="20"/>
          <w:lang w:val="en-US"/>
        </w:rPr>
        <w:t>final written arguments</w:t>
      </w:r>
      <w:r w:rsidR="009C5D55" w:rsidRPr="00D869E3">
        <w:rPr>
          <w:rFonts w:ascii="Verdana" w:hAnsi="Verdana"/>
          <w:sz w:val="20"/>
          <w:szCs w:val="20"/>
          <w:lang w:val="en-US"/>
        </w:rPr>
        <w:t xml:space="preserve">, </w:t>
      </w:r>
      <w:r w:rsidR="00687684" w:rsidRPr="00D869E3">
        <w:rPr>
          <w:rFonts w:ascii="Verdana" w:hAnsi="Verdana"/>
          <w:sz w:val="20"/>
          <w:szCs w:val="20"/>
          <w:lang w:val="en-US"/>
        </w:rPr>
        <w:t>the representatives</w:t>
      </w:r>
      <w:r w:rsidR="009C5D55" w:rsidRPr="00D869E3">
        <w:rPr>
          <w:rFonts w:ascii="Verdana" w:hAnsi="Verdana"/>
          <w:sz w:val="20"/>
          <w:szCs w:val="20"/>
          <w:lang w:val="en-US"/>
        </w:rPr>
        <w:t xml:space="preserve"> </w:t>
      </w:r>
      <w:r w:rsidRPr="00D869E3">
        <w:rPr>
          <w:rFonts w:ascii="Verdana" w:hAnsi="Verdana"/>
          <w:sz w:val="20"/>
          <w:szCs w:val="20"/>
          <w:lang w:val="en-US"/>
        </w:rPr>
        <w:t xml:space="preserve">indicated, since the expenses incurred by </w:t>
      </w:r>
      <w:r w:rsidR="001E44D3" w:rsidRPr="00D869E3">
        <w:rPr>
          <w:rFonts w:ascii="Verdana" w:hAnsi="Verdana"/>
          <w:sz w:val="20"/>
          <w:szCs w:val="20"/>
          <w:lang w:val="en-US"/>
        </w:rPr>
        <w:t>Mr. Lagos del Campo</w:t>
      </w:r>
      <w:r w:rsidR="009C5D55" w:rsidRPr="00D869E3">
        <w:rPr>
          <w:rFonts w:ascii="Verdana" w:hAnsi="Verdana"/>
          <w:sz w:val="20"/>
          <w:szCs w:val="20"/>
          <w:lang w:val="en-US"/>
        </w:rPr>
        <w:t xml:space="preserve"> </w:t>
      </w:r>
      <w:r w:rsidRPr="00D869E3">
        <w:rPr>
          <w:rFonts w:ascii="Verdana" w:hAnsi="Verdana"/>
          <w:sz w:val="20"/>
          <w:szCs w:val="20"/>
          <w:lang w:val="en-US"/>
        </w:rPr>
        <w:t xml:space="preserve">had taken place over a period of almost 28 years, </w:t>
      </w:r>
      <w:r w:rsidR="001E44D3" w:rsidRPr="00D869E3">
        <w:rPr>
          <w:rFonts w:ascii="Verdana" w:hAnsi="Verdana"/>
          <w:sz w:val="20"/>
          <w:szCs w:val="20"/>
          <w:lang w:val="en-US"/>
        </w:rPr>
        <w:t>Mr. Lagos del Campo</w:t>
      </w:r>
      <w:r w:rsidR="009C5D55" w:rsidRPr="00D869E3">
        <w:rPr>
          <w:rFonts w:ascii="Verdana" w:hAnsi="Verdana"/>
          <w:sz w:val="20"/>
          <w:szCs w:val="20"/>
          <w:lang w:val="en-US"/>
        </w:rPr>
        <w:t xml:space="preserve"> </w:t>
      </w:r>
      <w:r w:rsidRPr="00D869E3">
        <w:rPr>
          <w:rFonts w:ascii="Verdana" w:hAnsi="Verdana"/>
          <w:sz w:val="20"/>
          <w:szCs w:val="20"/>
          <w:lang w:val="en-US"/>
        </w:rPr>
        <w:t>ha</w:t>
      </w:r>
      <w:r w:rsidR="00E03A7E" w:rsidRPr="00D869E3">
        <w:rPr>
          <w:rFonts w:ascii="Verdana" w:hAnsi="Verdana"/>
          <w:sz w:val="20"/>
          <w:szCs w:val="20"/>
          <w:lang w:val="en-US"/>
        </w:rPr>
        <w:t>d</w:t>
      </w:r>
      <w:r w:rsidRPr="00D869E3">
        <w:rPr>
          <w:rFonts w:ascii="Verdana" w:hAnsi="Verdana"/>
          <w:sz w:val="20"/>
          <w:szCs w:val="20"/>
          <w:lang w:val="en-US"/>
        </w:rPr>
        <w:t xml:space="preserve"> not kept the vouchers.</w:t>
      </w:r>
      <w:r w:rsidR="00925FE5" w:rsidRPr="00D869E3">
        <w:rPr>
          <w:rFonts w:ascii="Verdana" w:hAnsi="Verdana"/>
          <w:sz w:val="20"/>
          <w:szCs w:val="20"/>
          <w:lang w:val="en-US"/>
        </w:rPr>
        <w:t xml:space="preserve"> </w:t>
      </w:r>
    </w:p>
    <w:p w14:paraId="08D66EEE" w14:textId="77777777" w:rsidR="009C5D55" w:rsidRPr="00D869E3" w:rsidRDefault="009C5D55" w:rsidP="009C5D55">
      <w:pPr>
        <w:widowControl w:val="0"/>
        <w:tabs>
          <w:tab w:val="center" w:pos="0"/>
        </w:tabs>
        <w:autoSpaceDE w:val="0"/>
        <w:autoSpaceDN w:val="0"/>
        <w:adjustRightInd w:val="0"/>
        <w:contextualSpacing/>
        <w:jc w:val="both"/>
        <w:rPr>
          <w:rFonts w:ascii="Verdana" w:hAnsi="Verdana"/>
          <w:sz w:val="20"/>
          <w:szCs w:val="20"/>
          <w:lang w:val="en-US"/>
        </w:rPr>
      </w:pPr>
    </w:p>
    <w:p w14:paraId="256A4B06" w14:textId="54BAC215" w:rsidR="009C5D55" w:rsidRPr="00D869E3" w:rsidRDefault="00447C65" w:rsidP="00523BC0">
      <w:pPr>
        <w:widowControl w:val="0"/>
        <w:numPr>
          <w:ilvl w:val="0"/>
          <w:numId w:val="1"/>
        </w:numPr>
        <w:tabs>
          <w:tab w:val="center" w:pos="0"/>
        </w:tabs>
        <w:autoSpaceDE w:val="0"/>
        <w:autoSpaceDN w:val="0"/>
        <w:adjustRightInd w:val="0"/>
        <w:ind w:left="0" w:firstLine="0"/>
        <w:contextualSpacing/>
        <w:jc w:val="both"/>
        <w:rPr>
          <w:rFonts w:ascii="Verdana" w:hAnsi="Verdana"/>
          <w:sz w:val="18"/>
          <w:szCs w:val="20"/>
          <w:lang w:val="en-US"/>
        </w:rPr>
      </w:pPr>
      <w:r w:rsidRPr="00D869E3">
        <w:rPr>
          <w:rFonts w:ascii="Verdana" w:hAnsi="Verdana"/>
          <w:sz w:val="20"/>
          <w:szCs w:val="20"/>
          <w:lang w:val="en-US"/>
        </w:rPr>
        <w:t xml:space="preserve">The </w:t>
      </w:r>
      <w:r w:rsidRPr="00D869E3">
        <w:rPr>
          <w:rFonts w:ascii="Verdana" w:hAnsi="Verdana"/>
          <w:b/>
          <w:bCs/>
          <w:i/>
          <w:iCs/>
          <w:sz w:val="20"/>
          <w:szCs w:val="20"/>
          <w:lang w:val="en-US"/>
        </w:rPr>
        <w:t>State</w:t>
      </w:r>
      <w:r w:rsidR="009C5D55" w:rsidRPr="00D869E3">
        <w:rPr>
          <w:rFonts w:ascii="Verdana" w:hAnsi="Verdana"/>
          <w:sz w:val="20"/>
          <w:szCs w:val="20"/>
          <w:lang w:val="en-US"/>
        </w:rPr>
        <w:t xml:space="preserve"> </w:t>
      </w:r>
      <w:r w:rsidR="00523BC0" w:rsidRPr="00D869E3">
        <w:rPr>
          <w:rFonts w:ascii="Verdana" w:hAnsi="Verdana"/>
          <w:sz w:val="20"/>
          <w:szCs w:val="20"/>
          <w:lang w:val="en-US"/>
        </w:rPr>
        <w:t>argued that</w:t>
      </w:r>
      <w:r w:rsidR="009C5D55" w:rsidRPr="00D869E3">
        <w:rPr>
          <w:rFonts w:ascii="Verdana" w:hAnsi="Verdana"/>
          <w:sz w:val="20"/>
          <w:szCs w:val="20"/>
          <w:lang w:val="en-US"/>
        </w:rPr>
        <w:t xml:space="preserve"> </w:t>
      </w:r>
      <w:r w:rsidR="00687684" w:rsidRPr="00D869E3">
        <w:rPr>
          <w:rFonts w:ascii="Verdana" w:hAnsi="Verdana"/>
          <w:sz w:val="20"/>
          <w:szCs w:val="20"/>
          <w:lang w:val="en-US"/>
        </w:rPr>
        <w:t>the representatives</w:t>
      </w:r>
      <w:r w:rsidR="00E03A7E" w:rsidRPr="00D869E3">
        <w:rPr>
          <w:rFonts w:ascii="Verdana" w:hAnsi="Verdana"/>
          <w:sz w:val="20"/>
          <w:szCs w:val="20"/>
          <w:lang w:val="en-US"/>
        </w:rPr>
        <w:t xml:space="preserve"> had</w:t>
      </w:r>
      <w:r w:rsidR="009C5D55" w:rsidRPr="00D869E3">
        <w:rPr>
          <w:rFonts w:ascii="Verdana" w:hAnsi="Verdana"/>
          <w:sz w:val="20"/>
          <w:szCs w:val="20"/>
          <w:lang w:val="en-US"/>
        </w:rPr>
        <w:t xml:space="preserve"> </w:t>
      </w:r>
      <w:r w:rsidR="00523BC0" w:rsidRPr="00D869E3">
        <w:rPr>
          <w:rFonts w:ascii="Verdana" w:hAnsi="Verdana"/>
          <w:sz w:val="20"/>
          <w:szCs w:val="20"/>
          <w:lang w:val="en-US"/>
        </w:rPr>
        <w:t>failed to indicate the causal nexus between the acts and omissions of the State and the alleged harm. It a</w:t>
      </w:r>
      <w:r w:rsidR="00E03A7E" w:rsidRPr="00D869E3">
        <w:rPr>
          <w:rFonts w:ascii="Verdana" w:hAnsi="Verdana"/>
          <w:sz w:val="20"/>
          <w:szCs w:val="20"/>
          <w:lang w:val="en-US"/>
        </w:rPr>
        <w:t>rgued</w:t>
      </w:r>
      <w:r w:rsidR="00523BC0" w:rsidRPr="00D869E3">
        <w:rPr>
          <w:rFonts w:ascii="Verdana" w:hAnsi="Verdana"/>
          <w:sz w:val="20"/>
          <w:szCs w:val="20"/>
          <w:lang w:val="en-US"/>
        </w:rPr>
        <w:t xml:space="preserve"> that it was not possible to compensate general and unreasonable allegations; moreover, amparo and labor proceedings were free in Peru. It also argued that the source of work was private, not public, so that the State </w:t>
      </w:r>
      <w:r w:rsidR="00E03A7E" w:rsidRPr="00D869E3">
        <w:rPr>
          <w:rFonts w:ascii="Verdana" w:hAnsi="Verdana"/>
          <w:sz w:val="20"/>
          <w:szCs w:val="20"/>
          <w:lang w:val="en-US"/>
        </w:rPr>
        <w:t xml:space="preserve">did not </w:t>
      </w:r>
      <w:r w:rsidR="00523BC0" w:rsidRPr="00D869E3">
        <w:rPr>
          <w:rFonts w:ascii="Verdana" w:hAnsi="Verdana"/>
          <w:sz w:val="20"/>
          <w:szCs w:val="20"/>
          <w:lang w:val="en-US"/>
        </w:rPr>
        <w:t xml:space="preserve">owe the presumed victim </w:t>
      </w:r>
      <w:r w:rsidR="00E03A7E" w:rsidRPr="00D869E3">
        <w:rPr>
          <w:rFonts w:ascii="Verdana" w:hAnsi="Verdana"/>
          <w:sz w:val="20"/>
          <w:szCs w:val="20"/>
          <w:lang w:val="en-US"/>
        </w:rPr>
        <w:t>any</w:t>
      </w:r>
      <w:r w:rsidR="00523BC0" w:rsidRPr="00D869E3">
        <w:rPr>
          <w:rFonts w:ascii="Verdana" w:hAnsi="Verdana"/>
          <w:sz w:val="20"/>
          <w:szCs w:val="20"/>
          <w:lang w:val="en-US"/>
        </w:rPr>
        <w:t>thing. Regarding loss of earnings, it argued that it was not appropriate to examine harm arising from a violation of his right to work, because the dispute centered on a violation of his right to free expression. It also alleged that no arguments or evidence had been presented concerning the salary that the</w:t>
      </w:r>
      <w:r w:rsidR="00523BC0" w:rsidRPr="00D869E3">
        <w:rPr>
          <w:rFonts w:ascii="Verdana" w:hAnsi="Verdana"/>
          <w:sz w:val="18"/>
          <w:szCs w:val="20"/>
          <w:lang w:val="en-US"/>
        </w:rPr>
        <w:t xml:space="preserve"> </w:t>
      </w:r>
      <w:r w:rsidR="00687684" w:rsidRPr="00D869E3">
        <w:rPr>
          <w:rFonts w:ascii="Verdana" w:hAnsi="Verdana"/>
          <w:sz w:val="20"/>
          <w:szCs w:val="20"/>
          <w:lang w:val="en-US"/>
        </w:rPr>
        <w:t>presumed victim</w:t>
      </w:r>
      <w:r w:rsidR="00523BC0" w:rsidRPr="00D869E3">
        <w:rPr>
          <w:rFonts w:ascii="Verdana" w:hAnsi="Verdana"/>
          <w:sz w:val="20"/>
          <w:szCs w:val="20"/>
          <w:lang w:val="en-US"/>
        </w:rPr>
        <w:t xml:space="preserve"> </w:t>
      </w:r>
      <w:r w:rsidR="00B13B7D" w:rsidRPr="00D869E3">
        <w:rPr>
          <w:rFonts w:ascii="Verdana" w:hAnsi="Verdana"/>
          <w:sz w:val="20"/>
          <w:szCs w:val="20"/>
          <w:lang w:val="en-US"/>
        </w:rPr>
        <w:t xml:space="preserve">had </w:t>
      </w:r>
      <w:r w:rsidR="00523BC0" w:rsidRPr="00D869E3">
        <w:rPr>
          <w:rFonts w:ascii="Verdana" w:hAnsi="Verdana"/>
          <w:sz w:val="20"/>
          <w:szCs w:val="20"/>
          <w:lang w:val="en-US"/>
        </w:rPr>
        <w:t>received</w:t>
      </w:r>
      <w:r w:rsidR="009C5D55" w:rsidRPr="00D869E3">
        <w:rPr>
          <w:rFonts w:ascii="Verdana" w:hAnsi="Verdana"/>
          <w:sz w:val="20"/>
          <w:szCs w:val="20"/>
          <w:lang w:val="en-US"/>
        </w:rPr>
        <w:t xml:space="preserve">. </w:t>
      </w:r>
      <w:r w:rsidR="00BB61A6" w:rsidRPr="00D869E3">
        <w:rPr>
          <w:rFonts w:ascii="Verdana" w:hAnsi="Verdana"/>
          <w:sz w:val="20"/>
          <w:szCs w:val="20"/>
          <w:lang w:val="en-US"/>
        </w:rPr>
        <w:t>In relation to</w:t>
      </w:r>
      <w:r w:rsidR="00523BC0" w:rsidRPr="00D869E3">
        <w:rPr>
          <w:rFonts w:ascii="Verdana" w:hAnsi="Verdana"/>
          <w:sz w:val="20"/>
          <w:szCs w:val="20"/>
          <w:lang w:val="en-US"/>
        </w:rPr>
        <w:t xml:space="preserve"> Mr. Lagos del Campo</w:t>
      </w:r>
      <w:r w:rsidR="00B13B7D" w:rsidRPr="00D869E3">
        <w:rPr>
          <w:rFonts w:ascii="Verdana" w:hAnsi="Verdana"/>
          <w:sz w:val="20"/>
          <w:szCs w:val="20"/>
          <w:lang w:val="en-US"/>
        </w:rPr>
        <w:t>’s rights</w:t>
      </w:r>
      <w:r w:rsidR="00523BC0" w:rsidRPr="00D869E3">
        <w:rPr>
          <w:rFonts w:ascii="Verdana" w:hAnsi="Verdana"/>
          <w:sz w:val="20"/>
          <w:szCs w:val="20"/>
          <w:lang w:val="en-US"/>
        </w:rPr>
        <w:t xml:space="preserve"> to retirement and to a pension, in its final arguments, </w:t>
      </w:r>
      <w:r w:rsidRPr="00D869E3">
        <w:rPr>
          <w:rFonts w:ascii="Verdana" w:hAnsi="Verdana"/>
          <w:sz w:val="20"/>
          <w:szCs w:val="20"/>
          <w:lang w:val="en-US"/>
        </w:rPr>
        <w:t>the State</w:t>
      </w:r>
      <w:r w:rsidR="00274C5F" w:rsidRPr="00D869E3">
        <w:rPr>
          <w:rFonts w:ascii="Verdana" w:hAnsi="Verdana"/>
          <w:sz w:val="20"/>
          <w:szCs w:val="20"/>
          <w:lang w:val="en-US"/>
        </w:rPr>
        <w:t xml:space="preserve"> observ</w:t>
      </w:r>
      <w:r w:rsidR="00523BC0" w:rsidRPr="00D869E3">
        <w:rPr>
          <w:rFonts w:ascii="Verdana" w:hAnsi="Verdana"/>
          <w:sz w:val="20"/>
          <w:szCs w:val="20"/>
          <w:lang w:val="en-US"/>
        </w:rPr>
        <w:t>ed that</w:t>
      </w:r>
      <w:r w:rsidR="00B13B7D" w:rsidRPr="00D869E3">
        <w:rPr>
          <w:rFonts w:ascii="Verdana" w:hAnsi="Verdana"/>
          <w:sz w:val="20"/>
          <w:szCs w:val="20"/>
          <w:lang w:val="en-US"/>
        </w:rPr>
        <w:t xml:space="preserve"> </w:t>
      </w:r>
      <w:r w:rsidR="00687684" w:rsidRPr="00D869E3">
        <w:rPr>
          <w:rFonts w:ascii="Verdana" w:hAnsi="Verdana"/>
          <w:sz w:val="20"/>
          <w:szCs w:val="20"/>
          <w:lang w:val="en-US"/>
        </w:rPr>
        <w:t>the representatives</w:t>
      </w:r>
      <w:r w:rsidR="00274C5F" w:rsidRPr="00D869E3">
        <w:rPr>
          <w:rFonts w:ascii="Verdana" w:hAnsi="Verdana"/>
          <w:sz w:val="20"/>
          <w:szCs w:val="20"/>
          <w:lang w:val="en-US"/>
        </w:rPr>
        <w:t xml:space="preserve"> </w:t>
      </w:r>
      <w:r w:rsidR="00523BC0" w:rsidRPr="00D869E3">
        <w:rPr>
          <w:rFonts w:ascii="Verdana" w:hAnsi="Verdana"/>
          <w:sz w:val="20"/>
          <w:szCs w:val="20"/>
          <w:lang w:val="en-US"/>
        </w:rPr>
        <w:t xml:space="preserve">had not provided any arguments or evidence in </w:t>
      </w:r>
      <w:r w:rsidR="00075E68" w:rsidRPr="00D869E3">
        <w:rPr>
          <w:rFonts w:ascii="Verdana" w:hAnsi="Verdana"/>
          <w:sz w:val="20"/>
          <w:szCs w:val="20"/>
          <w:lang w:val="en-US"/>
        </w:rPr>
        <w:t>this regard</w:t>
      </w:r>
      <w:r w:rsidR="00B13B7D" w:rsidRPr="00D869E3">
        <w:rPr>
          <w:rFonts w:ascii="Verdana" w:hAnsi="Verdana"/>
          <w:sz w:val="20"/>
          <w:szCs w:val="20"/>
          <w:lang w:val="en-US"/>
        </w:rPr>
        <w:t xml:space="preserve"> in the motions and pleadings brief</w:t>
      </w:r>
      <w:r w:rsidR="00274C5F" w:rsidRPr="00D869E3">
        <w:rPr>
          <w:rFonts w:ascii="Verdana" w:hAnsi="Verdana"/>
          <w:sz w:val="20"/>
          <w:szCs w:val="20"/>
          <w:lang w:val="en-US"/>
        </w:rPr>
        <w:t xml:space="preserve">. </w:t>
      </w:r>
    </w:p>
    <w:p w14:paraId="79CCDF3F" w14:textId="77777777" w:rsidR="009C5D55" w:rsidRPr="00D869E3" w:rsidRDefault="009C5D55" w:rsidP="009C5D55">
      <w:pPr>
        <w:widowControl w:val="0"/>
        <w:tabs>
          <w:tab w:val="center" w:pos="0"/>
        </w:tabs>
        <w:autoSpaceDE w:val="0"/>
        <w:autoSpaceDN w:val="0"/>
        <w:adjustRightInd w:val="0"/>
        <w:contextualSpacing/>
        <w:jc w:val="both"/>
        <w:rPr>
          <w:rFonts w:ascii="Verdana" w:hAnsi="Verdana"/>
          <w:sz w:val="20"/>
          <w:szCs w:val="20"/>
          <w:lang w:val="en-US"/>
        </w:rPr>
      </w:pPr>
    </w:p>
    <w:p w14:paraId="439D6B53" w14:textId="35D3A883" w:rsidR="009C5D55" w:rsidRPr="00D869E3" w:rsidRDefault="00447C65" w:rsidP="00523BC0">
      <w:pPr>
        <w:widowControl w:val="0"/>
        <w:numPr>
          <w:ilvl w:val="0"/>
          <w:numId w:val="1"/>
        </w:numPr>
        <w:tabs>
          <w:tab w:val="center" w:pos="0"/>
        </w:tabs>
        <w:autoSpaceDE w:val="0"/>
        <w:autoSpaceDN w:val="0"/>
        <w:adjustRightInd w:val="0"/>
        <w:ind w:left="0" w:firstLine="0"/>
        <w:contextualSpacing/>
        <w:jc w:val="both"/>
        <w:rPr>
          <w:rFonts w:ascii="Verdana" w:hAnsi="Verdana"/>
          <w:lang w:val="en-US"/>
        </w:rPr>
      </w:pPr>
      <w:r w:rsidRPr="00D869E3">
        <w:rPr>
          <w:rFonts w:ascii="Verdana" w:hAnsi="Verdana"/>
          <w:sz w:val="20"/>
          <w:szCs w:val="20"/>
          <w:lang w:val="en-US"/>
        </w:rPr>
        <w:t>The Court</w:t>
      </w:r>
      <w:r w:rsidR="009C5D55" w:rsidRPr="00D869E3">
        <w:rPr>
          <w:rFonts w:ascii="Verdana" w:hAnsi="Verdana"/>
          <w:sz w:val="20"/>
          <w:szCs w:val="20"/>
          <w:lang w:val="en-US"/>
        </w:rPr>
        <w:t xml:space="preserve"> ha</w:t>
      </w:r>
      <w:r w:rsidR="00523BC0" w:rsidRPr="00D869E3">
        <w:rPr>
          <w:rFonts w:ascii="Verdana" w:hAnsi="Verdana"/>
          <w:sz w:val="20"/>
          <w:szCs w:val="20"/>
          <w:lang w:val="en-US"/>
        </w:rPr>
        <w:t>s developed the concepts of</w:t>
      </w:r>
      <w:r w:rsidR="009C5D55" w:rsidRPr="00D869E3">
        <w:rPr>
          <w:rFonts w:ascii="Verdana" w:hAnsi="Verdana"/>
          <w:sz w:val="20"/>
          <w:szCs w:val="20"/>
          <w:lang w:val="en-US"/>
        </w:rPr>
        <w:t xml:space="preserve"> </w:t>
      </w:r>
      <w:r w:rsidR="00B44B46" w:rsidRPr="00D869E3">
        <w:rPr>
          <w:rFonts w:ascii="Verdana" w:hAnsi="Verdana"/>
          <w:sz w:val="20"/>
          <w:szCs w:val="20"/>
          <w:lang w:val="en-US"/>
        </w:rPr>
        <w:t>pecuniary</w:t>
      </w:r>
      <w:r w:rsidR="009C5D55" w:rsidRPr="00D869E3">
        <w:rPr>
          <w:rFonts w:ascii="Verdana" w:hAnsi="Verdana"/>
          <w:sz w:val="20"/>
          <w:szCs w:val="20"/>
          <w:vertAlign w:val="superscript"/>
          <w:lang w:val="en-US"/>
        </w:rPr>
        <w:footnoteReference w:id="266"/>
      </w:r>
      <w:r w:rsidR="009C5D55" w:rsidRPr="00D869E3">
        <w:rPr>
          <w:rFonts w:ascii="Verdana" w:hAnsi="Verdana"/>
          <w:sz w:val="20"/>
          <w:szCs w:val="20"/>
          <w:lang w:val="en-US"/>
        </w:rPr>
        <w:t xml:space="preserve"> </w:t>
      </w:r>
      <w:r w:rsidR="00523BC0" w:rsidRPr="00D869E3">
        <w:rPr>
          <w:rFonts w:ascii="Verdana" w:hAnsi="Verdana"/>
          <w:sz w:val="20"/>
          <w:szCs w:val="20"/>
          <w:lang w:val="en-US"/>
        </w:rPr>
        <w:t>and non-pecuniary damage</w:t>
      </w:r>
      <w:r w:rsidR="009C5D55" w:rsidRPr="00D869E3">
        <w:rPr>
          <w:rFonts w:ascii="Verdana" w:hAnsi="Verdana"/>
          <w:bCs/>
          <w:sz w:val="20"/>
          <w:szCs w:val="20"/>
          <w:vertAlign w:val="superscript"/>
          <w:lang w:val="en-US"/>
        </w:rPr>
        <w:footnoteReference w:id="267"/>
      </w:r>
      <w:r w:rsidR="00687684" w:rsidRPr="00D869E3">
        <w:rPr>
          <w:rFonts w:ascii="Verdana" w:hAnsi="Verdana"/>
          <w:sz w:val="20"/>
          <w:szCs w:val="20"/>
          <w:lang w:val="en-US"/>
        </w:rPr>
        <w:t xml:space="preserve"> and </w:t>
      </w:r>
      <w:r w:rsidR="00523BC0" w:rsidRPr="00D869E3">
        <w:rPr>
          <w:rFonts w:ascii="Verdana" w:hAnsi="Verdana"/>
          <w:sz w:val="20"/>
          <w:szCs w:val="20"/>
          <w:lang w:val="en-US"/>
        </w:rPr>
        <w:t xml:space="preserve">the situations in which they should be compensated. In </w:t>
      </w:r>
      <w:r w:rsidR="009C5D55" w:rsidRPr="00D869E3">
        <w:rPr>
          <w:rFonts w:ascii="Verdana" w:hAnsi="Verdana"/>
          <w:sz w:val="20"/>
          <w:szCs w:val="20"/>
          <w:lang w:val="en-US"/>
        </w:rPr>
        <w:t>particular,</w:t>
      </w:r>
      <w:r w:rsidR="009C5D55" w:rsidRPr="00D869E3">
        <w:rPr>
          <w:rFonts w:ascii="Verdana" w:hAnsi="Verdana"/>
          <w:b/>
          <w:i/>
          <w:sz w:val="20"/>
          <w:szCs w:val="20"/>
          <w:lang w:val="en-US"/>
        </w:rPr>
        <w:t xml:space="preserve"> </w:t>
      </w:r>
      <w:r w:rsidR="00523BC0" w:rsidRPr="00D869E3">
        <w:rPr>
          <w:rFonts w:ascii="Verdana" w:hAnsi="Verdana" w:cs="Verdana"/>
          <w:sz w:val="20"/>
          <w:szCs w:val="20"/>
          <w:lang w:val="en-US" w:bidi="en-US"/>
        </w:rPr>
        <w:t>in its case law, t</w:t>
      </w:r>
      <w:r w:rsidRPr="00D869E3">
        <w:rPr>
          <w:rFonts w:ascii="Verdana" w:hAnsi="Verdana" w:cs="Verdana"/>
          <w:sz w:val="20"/>
          <w:szCs w:val="20"/>
          <w:lang w:val="en-US" w:bidi="en-US"/>
        </w:rPr>
        <w:t>he Court</w:t>
      </w:r>
      <w:r w:rsidR="009C5D55" w:rsidRPr="00D869E3">
        <w:rPr>
          <w:rFonts w:ascii="Verdana" w:hAnsi="Verdana" w:cs="Verdana"/>
          <w:sz w:val="20"/>
          <w:szCs w:val="20"/>
          <w:lang w:val="en-US" w:bidi="en-US"/>
        </w:rPr>
        <w:t xml:space="preserve"> ha</w:t>
      </w:r>
      <w:r w:rsidR="00523BC0" w:rsidRPr="00D869E3">
        <w:rPr>
          <w:rFonts w:ascii="Verdana" w:hAnsi="Verdana" w:cs="Verdana"/>
          <w:sz w:val="20"/>
          <w:szCs w:val="20"/>
          <w:lang w:val="en-US" w:bidi="en-US"/>
        </w:rPr>
        <w:t>s developed the concept of</w:t>
      </w:r>
      <w:r w:rsidR="009C5D55" w:rsidRPr="00D869E3">
        <w:rPr>
          <w:rFonts w:ascii="Verdana" w:hAnsi="Verdana" w:cs="Verdana"/>
          <w:sz w:val="20"/>
          <w:szCs w:val="20"/>
          <w:lang w:val="en-US" w:bidi="en-US"/>
        </w:rPr>
        <w:t xml:space="preserve"> </w:t>
      </w:r>
      <w:r w:rsidR="00B44B46" w:rsidRPr="00D869E3">
        <w:rPr>
          <w:rFonts w:ascii="Verdana" w:hAnsi="Verdana" w:cs="Verdana"/>
          <w:sz w:val="20"/>
          <w:szCs w:val="20"/>
          <w:lang w:val="en-US" w:bidi="en-US"/>
        </w:rPr>
        <w:t>pecuniary damage</w:t>
      </w:r>
      <w:r w:rsidR="00687684" w:rsidRPr="00D869E3">
        <w:rPr>
          <w:rFonts w:ascii="Verdana" w:hAnsi="Verdana" w:cs="Verdana"/>
          <w:sz w:val="20"/>
          <w:szCs w:val="20"/>
          <w:lang w:val="en-US" w:bidi="en-US"/>
        </w:rPr>
        <w:t xml:space="preserve"> and </w:t>
      </w:r>
      <w:r w:rsidR="009C5D55" w:rsidRPr="00D869E3">
        <w:rPr>
          <w:rFonts w:ascii="Verdana" w:hAnsi="Verdana"/>
          <w:bCs/>
          <w:sz w:val="20"/>
          <w:szCs w:val="20"/>
          <w:lang w:val="en-US"/>
        </w:rPr>
        <w:t>ha</w:t>
      </w:r>
      <w:r w:rsidR="00523BC0" w:rsidRPr="00D869E3">
        <w:rPr>
          <w:rFonts w:ascii="Verdana" w:hAnsi="Verdana"/>
          <w:bCs/>
          <w:sz w:val="20"/>
          <w:szCs w:val="20"/>
          <w:lang w:val="en-US"/>
        </w:rPr>
        <w:t>s established that this supposes “the loss or detriment to the victims’ income, the expenses incurred as a result of the facts, and the consequences of a pecuniary nature that have a causal nexus to the facts of the case.</w:t>
      </w:r>
      <w:r w:rsidR="006436CA" w:rsidRPr="00D869E3">
        <w:rPr>
          <w:rFonts w:ascii="Verdana" w:hAnsi="Verdana"/>
          <w:bCs/>
          <w:sz w:val="20"/>
          <w:szCs w:val="20"/>
          <w:lang w:val="en-US"/>
        </w:rPr>
        <w:t>”</w:t>
      </w:r>
      <w:r w:rsidR="00341FCF" w:rsidRPr="00D869E3">
        <w:rPr>
          <w:rStyle w:val="Refdenotaalpie"/>
          <w:bCs/>
          <w:szCs w:val="20"/>
          <w:lang w:val="en-US"/>
        </w:rPr>
        <w:footnoteReference w:id="268"/>
      </w:r>
      <w:r w:rsidR="009C5D55" w:rsidRPr="00D869E3">
        <w:rPr>
          <w:rFonts w:ascii="Verdana" w:hAnsi="Verdana"/>
          <w:bCs/>
          <w:sz w:val="20"/>
          <w:szCs w:val="20"/>
          <w:lang w:val="en-US"/>
        </w:rPr>
        <w:t xml:space="preserve"> </w:t>
      </w:r>
      <w:r w:rsidR="00E56813" w:rsidRPr="00D869E3">
        <w:rPr>
          <w:rFonts w:ascii="Verdana" w:hAnsi="Verdana"/>
          <w:bCs/>
          <w:sz w:val="20"/>
          <w:szCs w:val="20"/>
          <w:lang w:val="en-US"/>
        </w:rPr>
        <w:t>On this basis, the Court will determine the pertinence of granting pecuniary reparations and the respective sums owed in this case.</w:t>
      </w:r>
    </w:p>
    <w:p w14:paraId="092B1729" w14:textId="77777777" w:rsidR="009C5D55" w:rsidRPr="00D869E3" w:rsidRDefault="009C5D55" w:rsidP="009C5D55">
      <w:pPr>
        <w:widowControl w:val="0"/>
        <w:tabs>
          <w:tab w:val="center" w:pos="0"/>
        </w:tabs>
        <w:autoSpaceDE w:val="0"/>
        <w:autoSpaceDN w:val="0"/>
        <w:adjustRightInd w:val="0"/>
        <w:contextualSpacing/>
        <w:jc w:val="both"/>
        <w:rPr>
          <w:rFonts w:ascii="Verdana" w:hAnsi="Verdana"/>
          <w:sz w:val="20"/>
          <w:szCs w:val="20"/>
          <w:lang w:val="en-US"/>
        </w:rPr>
      </w:pPr>
    </w:p>
    <w:p w14:paraId="552448B9" w14:textId="09A4F3C9" w:rsidR="009C5D55" w:rsidRPr="00D869E3" w:rsidRDefault="00E56813" w:rsidP="00E66DD7">
      <w:pPr>
        <w:widowControl w:val="0"/>
        <w:numPr>
          <w:ilvl w:val="0"/>
          <w:numId w:val="1"/>
        </w:numPr>
        <w:tabs>
          <w:tab w:val="center" w:pos="0"/>
        </w:tabs>
        <w:autoSpaceDE w:val="0"/>
        <w:autoSpaceDN w:val="0"/>
        <w:adjustRightInd w:val="0"/>
        <w:ind w:left="0" w:firstLine="0"/>
        <w:contextualSpacing/>
        <w:jc w:val="both"/>
        <w:rPr>
          <w:rFonts w:ascii="Verdana" w:hAnsi="Verdana"/>
          <w:sz w:val="20"/>
          <w:szCs w:val="20"/>
          <w:lang w:val="en-US"/>
        </w:rPr>
      </w:pPr>
      <w:r w:rsidRPr="00D869E3">
        <w:rPr>
          <w:rFonts w:ascii="Verdana" w:hAnsi="Verdana"/>
          <w:sz w:val="20"/>
          <w:szCs w:val="20"/>
          <w:lang w:val="en-US"/>
        </w:rPr>
        <w:t>In the case of</w:t>
      </w:r>
      <w:r w:rsidR="009C5D55" w:rsidRPr="00D869E3">
        <w:rPr>
          <w:rFonts w:ascii="Verdana" w:hAnsi="Verdana"/>
          <w:sz w:val="20"/>
          <w:szCs w:val="20"/>
          <w:lang w:val="en-US"/>
        </w:rPr>
        <w:t xml:space="preserve"> </w:t>
      </w:r>
      <w:r w:rsidRPr="00D869E3">
        <w:rPr>
          <w:rFonts w:ascii="Verdana" w:hAnsi="Verdana"/>
          <w:i/>
          <w:sz w:val="20"/>
          <w:szCs w:val="20"/>
          <w:lang w:val="en-US"/>
        </w:rPr>
        <w:t>indirect damage,</w:t>
      </w:r>
      <w:r w:rsidR="009C5D55" w:rsidRPr="00D869E3">
        <w:rPr>
          <w:rFonts w:ascii="Verdana" w:hAnsi="Verdana"/>
          <w:i/>
          <w:sz w:val="20"/>
          <w:szCs w:val="20"/>
          <w:lang w:val="en-US"/>
        </w:rPr>
        <w:t xml:space="preserve"> </w:t>
      </w:r>
      <w:r w:rsidR="00901386" w:rsidRPr="00D869E3">
        <w:rPr>
          <w:rFonts w:ascii="Verdana" w:hAnsi="Verdana"/>
          <w:sz w:val="20"/>
          <w:szCs w:val="20"/>
          <w:lang w:val="en-US"/>
        </w:rPr>
        <w:t>th</w:t>
      </w:r>
      <w:r w:rsidR="00B13B7D" w:rsidRPr="00D869E3">
        <w:rPr>
          <w:rFonts w:ascii="Verdana" w:hAnsi="Verdana"/>
          <w:sz w:val="20"/>
          <w:szCs w:val="20"/>
          <w:lang w:val="en-US"/>
        </w:rPr>
        <w:t>e</w:t>
      </w:r>
      <w:r w:rsidR="00901386" w:rsidRPr="00D869E3">
        <w:rPr>
          <w:rFonts w:ascii="Verdana" w:hAnsi="Verdana"/>
          <w:sz w:val="20"/>
          <w:szCs w:val="20"/>
          <w:lang w:val="en-US"/>
        </w:rPr>
        <w:t xml:space="preserve"> Court</w:t>
      </w:r>
      <w:r w:rsidR="009C5D55" w:rsidRPr="00D869E3">
        <w:rPr>
          <w:rFonts w:ascii="Verdana" w:hAnsi="Verdana"/>
          <w:sz w:val="20"/>
          <w:szCs w:val="20"/>
          <w:lang w:val="en-US"/>
        </w:rPr>
        <w:t xml:space="preserve"> consider</w:t>
      </w:r>
      <w:r w:rsidRPr="00D869E3">
        <w:rPr>
          <w:rFonts w:ascii="Verdana" w:hAnsi="Verdana"/>
          <w:sz w:val="20"/>
          <w:szCs w:val="20"/>
          <w:lang w:val="en-US"/>
        </w:rPr>
        <w:t xml:space="preserve">s that </w:t>
      </w:r>
      <w:r w:rsidR="00687684" w:rsidRPr="00D869E3">
        <w:rPr>
          <w:rFonts w:ascii="Verdana" w:hAnsi="Verdana"/>
          <w:sz w:val="20"/>
          <w:szCs w:val="20"/>
          <w:lang w:val="en-US"/>
        </w:rPr>
        <w:t>the representatives</w:t>
      </w:r>
      <w:r w:rsidRPr="00D869E3">
        <w:rPr>
          <w:rFonts w:ascii="Verdana" w:hAnsi="Verdana"/>
          <w:sz w:val="20"/>
          <w:szCs w:val="20"/>
          <w:lang w:val="en-US"/>
        </w:rPr>
        <w:t>’ claim refers to the expenses incurred by</w:t>
      </w:r>
      <w:r w:rsidR="00F535E6" w:rsidRPr="00D869E3">
        <w:rPr>
          <w:rFonts w:ascii="Verdana" w:hAnsi="Verdana"/>
          <w:sz w:val="20"/>
          <w:szCs w:val="20"/>
          <w:lang w:val="en-US"/>
        </w:rPr>
        <w:t xml:space="preserve"> </w:t>
      </w:r>
      <w:r w:rsidR="001E44D3" w:rsidRPr="00D869E3">
        <w:rPr>
          <w:rFonts w:ascii="Verdana" w:hAnsi="Verdana"/>
          <w:sz w:val="20"/>
          <w:szCs w:val="20"/>
          <w:lang w:val="en-US"/>
        </w:rPr>
        <w:t>Mr. Lagos del Campo</w:t>
      </w:r>
      <w:r w:rsidR="00F535E6" w:rsidRPr="00D869E3">
        <w:rPr>
          <w:rFonts w:ascii="Verdana" w:hAnsi="Verdana"/>
          <w:sz w:val="20"/>
          <w:szCs w:val="20"/>
          <w:lang w:val="en-US"/>
        </w:rPr>
        <w:t xml:space="preserve"> </w:t>
      </w:r>
      <w:r w:rsidRPr="00D869E3">
        <w:rPr>
          <w:rFonts w:ascii="Verdana" w:hAnsi="Verdana"/>
          <w:sz w:val="20"/>
          <w:szCs w:val="20"/>
          <w:lang w:val="en-US"/>
        </w:rPr>
        <w:t>in the domestic judicial proceedings, so that this will be analyzed in the section on</w:t>
      </w:r>
      <w:r w:rsidR="00F535E6" w:rsidRPr="00D869E3">
        <w:rPr>
          <w:rFonts w:ascii="Verdana" w:hAnsi="Verdana"/>
          <w:sz w:val="20"/>
          <w:szCs w:val="20"/>
          <w:lang w:val="en-US"/>
        </w:rPr>
        <w:t xml:space="preserve"> </w:t>
      </w:r>
      <w:r w:rsidR="006436CA" w:rsidRPr="00D869E3">
        <w:rPr>
          <w:rFonts w:ascii="Verdana" w:hAnsi="Verdana"/>
          <w:sz w:val="20"/>
          <w:szCs w:val="20"/>
          <w:lang w:val="en-US"/>
        </w:rPr>
        <w:t>“</w:t>
      </w:r>
      <w:r w:rsidR="00B44B46" w:rsidRPr="00D869E3">
        <w:rPr>
          <w:rFonts w:ascii="Verdana" w:hAnsi="Verdana"/>
          <w:sz w:val="20"/>
          <w:szCs w:val="20"/>
          <w:lang w:val="en-US"/>
        </w:rPr>
        <w:t xml:space="preserve">costs and </w:t>
      </w:r>
      <w:r w:rsidRPr="00D869E3">
        <w:rPr>
          <w:rFonts w:ascii="Verdana" w:hAnsi="Verdana"/>
          <w:sz w:val="20"/>
          <w:szCs w:val="20"/>
          <w:lang w:val="en-US"/>
        </w:rPr>
        <w:t>expenses</w:t>
      </w:r>
      <w:r w:rsidR="006436CA" w:rsidRPr="00D869E3">
        <w:rPr>
          <w:rFonts w:ascii="Verdana" w:hAnsi="Verdana"/>
          <w:sz w:val="20"/>
          <w:szCs w:val="20"/>
          <w:lang w:val="en-US"/>
        </w:rPr>
        <w:t>”</w:t>
      </w:r>
      <w:r w:rsidR="00F535E6" w:rsidRPr="00D869E3">
        <w:rPr>
          <w:rFonts w:ascii="Verdana" w:hAnsi="Verdana"/>
          <w:sz w:val="20"/>
          <w:szCs w:val="20"/>
          <w:lang w:val="en-US"/>
        </w:rPr>
        <w:t xml:space="preserve"> (</w:t>
      </w:r>
      <w:r w:rsidR="00F535E6" w:rsidRPr="00D869E3">
        <w:rPr>
          <w:rFonts w:ascii="Verdana" w:hAnsi="Verdana"/>
          <w:i/>
          <w:sz w:val="20"/>
          <w:szCs w:val="20"/>
          <w:lang w:val="en-US"/>
        </w:rPr>
        <w:t>infra</w:t>
      </w:r>
      <w:r w:rsidR="00F535E6" w:rsidRPr="00D869E3">
        <w:rPr>
          <w:rFonts w:ascii="Verdana" w:hAnsi="Verdana"/>
          <w:sz w:val="20"/>
          <w:szCs w:val="20"/>
          <w:lang w:val="en-US"/>
        </w:rPr>
        <w:t xml:space="preserve">, </w:t>
      </w:r>
      <w:r w:rsidR="0087339F" w:rsidRPr="00D869E3">
        <w:rPr>
          <w:rFonts w:ascii="Verdana" w:hAnsi="Verdana"/>
          <w:sz w:val="20"/>
          <w:szCs w:val="20"/>
          <w:lang w:val="en-US"/>
        </w:rPr>
        <w:t>paras.</w:t>
      </w:r>
      <w:r w:rsidR="00315E10" w:rsidRPr="00D869E3">
        <w:rPr>
          <w:rFonts w:ascii="Verdana" w:hAnsi="Verdana"/>
          <w:sz w:val="20"/>
          <w:szCs w:val="20"/>
          <w:lang w:val="en-US"/>
        </w:rPr>
        <w:t xml:space="preserve"> 223 </w:t>
      </w:r>
      <w:r w:rsidRPr="00D869E3">
        <w:rPr>
          <w:rFonts w:ascii="Verdana" w:hAnsi="Verdana"/>
          <w:sz w:val="20"/>
          <w:szCs w:val="20"/>
          <w:lang w:val="en-US"/>
        </w:rPr>
        <w:t>to</w:t>
      </w:r>
      <w:r w:rsidR="00315E10" w:rsidRPr="00D869E3">
        <w:rPr>
          <w:rFonts w:ascii="Verdana" w:hAnsi="Verdana"/>
          <w:sz w:val="20"/>
          <w:szCs w:val="20"/>
          <w:lang w:val="en-US"/>
        </w:rPr>
        <w:t xml:space="preserve"> 227</w:t>
      </w:r>
      <w:r w:rsidR="00F535E6" w:rsidRPr="00D869E3">
        <w:rPr>
          <w:rFonts w:ascii="Verdana" w:hAnsi="Verdana"/>
          <w:sz w:val="20"/>
          <w:szCs w:val="20"/>
          <w:lang w:val="en-US"/>
        </w:rPr>
        <w:t>)</w:t>
      </w:r>
      <w:r w:rsidR="009C5D55" w:rsidRPr="00D869E3">
        <w:rPr>
          <w:rFonts w:ascii="Verdana" w:hAnsi="Verdana"/>
          <w:sz w:val="20"/>
          <w:szCs w:val="20"/>
          <w:lang w:val="en-US"/>
        </w:rPr>
        <w:t>.</w:t>
      </w:r>
    </w:p>
    <w:p w14:paraId="6C06D053" w14:textId="77777777" w:rsidR="009C5D55" w:rsidRPr="00D869E3" w:rsidRDefault="009C5D55" w:rsidP="009C5D55">
      <w:pPr>
        <w:widowControl w:val="0"/>
        <w:tabs>
          <w:tab w:val="center" w:pos="567"/>
        </w:tabs>
        <w:autoSpaceDE w:val="0"/>
        <w:autoSpaceDN w:val="0"/>
        <w:adjustRightInd w:val="0"/>
        <w:contextualSpacing/>
        <w:jc w:val="both"/>
        <w:rPr>
          <w:rFonts w:ascii="Verdana" w:hAnsi="Verdana"/>
          <w:sz w:val="20"/>
          <w:szCs w:val="20"/>
          <w:lang w:val="en-US"/>
        </w:rPr>
      </w:pPr>
    </w:p>
    <w:p w14:paraId="5C72E84D" w14:textId="4A6705A5" w:rsidR="009C5D55" w:rsidRPr="00D869E3" w:rsidRDefault="00E56813" w:rsidP="00E56813">
      <w:pPr>
        <w:widowControl w:val="0"/>
        <w:numPr>
          <w:ilvl w:val="0"/>
          <w:numId w:val="1"/>
        </w:numPr>
        <w:tabs>
          <w:tab w:val="center" w:pos="0"/>
        </w:tabs>
        <w:autoSpaceDE w:val="0"/>
        <w:autoSpaceDN w:val="0"/>
        <w:adjustRightInd w:val="0"/>
        <w:ind w:left="0" w:firstLine="0"/>
        <w:contextualSpacing/>
        <w:jc w:val="both"/>
        <w:rPr>
          <w:rFonts w:ascii="Verdana" w:hAnsi="Verdana"/>
          <w:sz w:val="20"/>
          <w:szCs w:val="20"/>
          <w:u w:val="single"/>
          <w:lang w:val="en-US"/>
        </w:rPr>
      </w:pPr>
      <w:r w:rsidRPr="00D869E3">
        <w:rPr>
          <w:rFonts w:ascii="Verdana" w:hAnsi="Verdana"/>
          <w:sz w:val="20"/>
          <w:szCs w:val="20"/>
          <w:lang w:val="en-US"/>
        </w:rPr>
        <w:t>With regard to</w:t>
      </w:r>
      <w:r w:rsidR="009C5D55" w:rsidRPr="00D869E3">
        <w:rPr>
          <w:rFonts w:ascii="Verdana" w:hAnsi="Verdana"/>
          <w:sz w:val="20"/>
          <w:szCs w:val="20"/>
          <w:lang w:val="en-US"/>
        </w:rPr>
        <w:t xml:space="preserve"> </w:t>
      </w:r>
      <w:r w:rsidRPr="00D869E3">
        <w:rPr>
          <w:rFonts w:ascii="Verdana" w:hAnsi="Verdana"/>
          <w:i/>
          <w:sz w:val="20"/>
          <w:szCs w:val="20"/>
          <w:lang w:val="en-US"/>
        </w:rPr>
        <w:t>loss of earnings</w:t>
      </w:r>
      <w:r w:rsidR="009C5D55" w:rsidRPr="00D869E3">
        <w:rPr>
          <w:rFonts w:ascii="Verdana" w:hAnsi="Verdana"/>
          <w:sz w:val="20"/>
          <w:szCs w:val="20"/>
          <w:lang w:val="en-US"/>
        </w:rPr>
        <w:t xml:space="preserve">, </w:t>
      </w:r>
      <w:r w:rsidR="00901386" w:rsidRPr="00D869E3">
        <w:rPr>
          <w:rFonts w:ascii="Verdana" w:hAnsi="Verdana"/>
          <w:sz w:val="20"/>
          <w:szCs w:val="20"/>
          <w:lang w:val="en-US"/>
        </w:rPr>
        <w:t>th</w:t>
      </w:r>
      <w:r w:rsidR="00B13B7D" w:rsidRPr="00D869E3">
        <w:rPr>
          <w:rFonts w:ascii="Verdana" w:hAnsi="Verdana"/>
          <w:sz w:val="20"/>
          <w:szCs w:val="20"/>
          <w:lang w:val="en-US"/>
        </w:rPr>
        <w:t>e</w:t>
      </w:r>
      <w:r w:rsidR="00901386" w:rsidRPr="00D869E3">
        <w:rPr>
          <w:rFonts w:ascii="Verdana" w:hAnsi="Verdana"/>
          <w:sz w:val="20"/>
          <w:szCs w:val="20"/>
          <w:lang w:val="en-US"/>
        </w:rPr>
        <w:t xml:space="preserve"> Court</w:t>
      </w:r>
      <w:r w:rsidR="009C5D55" w:rsidRPr="00D869E3">
        <w:rPr>
          <w:rFonts w:ascii="Verdana" w:hAnsi="Verdana"/>
          <w:sz w:val="20"/>
          <w:szCs w:val="20"/>
          <w:lang w:val="en-US"/>
        </w:rPr>
        <w:t xml:space="preserve"> observ</w:t>
      </w:r>
      <w:r w:rsidRPr="00D869E3">
        <w:rPr>
          <w:rFonts w:ascii="Verdana" w:hAnsi="Verdana"/>
          <w:sz w:val="20"/>
          <w:szCs w:val="20"/>
          <w:lang w:val="en-US"/>
        </w:rPr>
        <w:t>es that</w:t>
      </w:r>
      <w:r w:rsidR="009C5D55" w:rsidRPr="00D869E3">
        <w:rPr>
          <w:rFonts w:ascii="Verdana" w:hAnsi="Verdana"/>
          <w:sz w:val="20"/>
          <w:szCs w:val="20"/>
          <w:lang w:val="en-US"/>
        </w:rPr>
        <w:t xml:space="preserve"> </w:t>
      </w:r>
      <w:r w:rsidR="00687684" w:rsidRPr="00D869E3">
        <w:rPr>
          <w:rFonts w:ascii="Verdana" w:hAnsi="Verdana"/>
          <w:sz w:val="20"/>
          <w:szCs w:val="20"/>
          <w:lang w:val="en-US"/>
        </w:rPr>
        <w:t>the representatives</w:t>
      </w:r>
      <w:r w:rsidR="009C5D55" w:rsidRPr="00D869E3">
        <w:rPr>
          <w:rFonts w:ascii="Verdana" w:hAnsi="Verdana"/>
          <w:sz w:val="20"/>
          <w:szCs w:val="20"/>
          <w:lang w:val="en-US"/>
        </w:rPr>
        <w:t xml:space="preserve"> </w:t>
      </w:r>
      <w:r w:rsidRPr="00D869E3">
        <w:rPr>
          <w:rFonts w:ascii="Verdana" w:hAnsi="Verdana"/>
          <w:sz w:val="20"/>
          <w:szCs w:val="20"/>
          <w:lang w:val="en-US"/>
        </w:rPr>
        <w:t xml:space="preserve">merely indicated that </w:t>
      </w:r>
      <w:r w:rsidR="006436CA" w:rsidRPr="00D869E3">
        <w:rPr>
          <w:rFonts w:ascii="Verdana" w:hAnsi="Verdana"/>
          <w:sz w:val="20"/>
          <w:szCs w:val="20"/>
          <w:lang w:val="en-US"/>
        </w:rPr>
        <w:t>“</w:t>
      </w:r>
      <w:r w:rsidR="001E44D3" w:rsidRPr="00D869E3">
        <w:rPr>
          <w:rFonts w:ascii="Verdana" w:hAnsi="Verdana"/>
          <w:sz w:val="20"/>
          <w:szCs w:val="20"/>
          <w:lang w:val="en-US"/>
        </w:rPr>
        <w:t>Mr. Lagos del Campo</w:t>
      </w:r>
      <w:r w:rsidR="009C5D55" w:rsidRPr="00D869E3">
        <w:rPr>
          <w:rFonts w:ascii="Verdana" w:hAnsi="Verdana"/>
          <w:sz w:val="20"/>
          <w:szCs w:val="20"/>
          <w:lang w:val="en-US"/>
        </w:rPr>
        <w:t xml:space="preserve"> </w:t>
      </w:r>
      <w:r w:rsidRPr="00D869E3">
        <w:rPr>
          <w:rFonts w:ascii="Verdana" w:hAnsi="Verdana"/>
          <w:sz w:val="20"/>
          <w:szCs w:val="20"/>
          <w:lang w:val="en-US"/>
        </w:rPr>
        <w:t xml:space="preserve">was not reinstated in his job, and this curtailed his labor rights and, consequently, his social rights and benefits”; however, they did not provide specific evidence of the salary that Mr. Lagos del Campo received before the facts in their motions and pleadings brief, and the Court does not have specific information on the time that he was unemployed and the economic impact arising from the facts of this case. Despite this, the Court notes that, </w:t>
      </w:r>
      <w:r w:rsidR="00F4667D" w:rsidRPr="00D869E3">
        <w:rPr>
          <w:rFonts w:ascii="Verdana" w:hAnsi="Verdana"/>
          <w:sz w:val="20"/>
          <w:szCs w:val="20"/>
          <w:lang w:val="en-US"/>
        </w:rPr>
        <w:t xml:space="preserve">annex </w:t>
      </w:r>
      <w:r w:rsidR="009C5D55" w:rsidRPr="00D869E3">
        <w:rPr>
          <w:rFonts w:ascii="Verdana" w:hAnsi="Verdana"/>
          <w:sz w:val="20"/>
          <w:szCs w:val="20"/>
          <w:lang w:val="en-US"/>
        </w:rPr>
        <w:t xml:space="preserve">2 </w:t>
      </w:r>
      <w:r w:rsidR="002D3638" w:rsidRPr="00D869E3">
        <w:rPr>
          <w:rFonts w:ascii="Verdana" w:hAnsi="Verdana"/>
          <w:sz w:val="20"/>
          <w:szCs w:val="20"/>
          <w:lang w:val="en-US"/>
        </w:rPr>
        <w:t>of</w:t>
      </w:r>
      <w:r w:rsidRPr="00D869E3">
        <w:rPr>
          <w:rFonts w:ascii="Verdana" w:hAnsi="Verdana"/>
          <w:sz w:val="20"/>
          <w:szCs w:val="20"/>
          <w:lang w:val="en-US"/>
        </w:rPr>
        <w:t xml:space="preserve"> the</w:t>
      </w:r>
      <w:r w:rsidR="009C5D55" w:rsidRPr="00D869E3">
        <w:rPr>
          <w:rFonts w:ascii="Verdana" w:hAnsi="Verdana"/>
          <w:sz w:val="20"/>
          <w:szCs w:val="20"/>
          <w:lang w:val="en-US"/>
        </w:rPr>
        <w:t xml:space="preserve"> </w:t>
      </w:r>
      <w:r w:rsidR="00687684" w:rsidRPr="00D869E3">
        <w:rPr>
          <w:rFonts w:ascii="Verdana" w:hAnsi="Verdana"/>
          <w:sz w:val="20"/>
          <w:szCs w:val="20"/>
          <w:lang w:val="en-US"/>
        </w:rPr>
        <w:t>Merits Report</w:t>
      </w:r>
      <w:r w:rsidR="009C5D55" w:rsidRPr="00D869E3">
        <w:rPr>
          <w:rFonts w:ascii="Verdana" w:hAnsi="Verdana"/>
          <w:sz w:val="20"/>
          <w:szCs w:val="20"/>
          <w:lang w:val="en-US"/>
        </w:rPr>
        <w:t xml:space="preserve"> </w:t>
      </w:r>
      <w:r w:rsidRPr="00D869E3">
        <w:rPr>
          <w:rFonts w:ascii="Verdana" w:hAnsi="Verdana"/>
          <w:sz w:val="20"/>
          <w:szCs w:val="20"/>
          <w:lang w:val="en-US"/>
        </w:rPr>
        <w:t xml:space="preserve">consists of </w:t>
      </w:r>
      <w:r w:rsidR="006436CA" w:rsidRPr="00D869E3">
        <w:rPr>
          <w:rFonts w:ascii="Verdana" w:hAnsi="Verdana"/>
          <w:sz w:val="20"/>
          <w:szCs w:val="20"/>
          <w:lang w:val="en-US"/>
        </w:rPr>
        <w:t>“</w:t>
      </w:r>
      <w:r w:rsidRPr="00D869E3">
        <w:rPr>
          <w:rFonts w:ascii="Verdana" w:hAnsi="Verdana"/>
          <w:sz w:val="20"/>
          <w:szCs w:val="20"/>
          <w:lang w:val="en-US"/>
        </w:rPr>
        <w:t>the</w:t>
      </w:r>
      <w:r w:rsidR="009C5D55" w:rsidRPr="00D869E3">
        <w:rPr>
          <w:rFonts w:ascii="Verdana" w:hAnsi="Verdana"/>
          <w:sz w:val="20"/>
          <w:szCs w:val="20"/>
          <w:lang w:val="en-US"/>
        </w:rPr>
        <w:t xml:space="preserve"> </w:t>
      </w:r>
      <w:r w:rsidRPr="00D869E3">
        <w:rPr>
          <w:rFonts w:ascii="Verdana" w:hAnsi="Verdana"/>
          <w:sz w:val="20"/>
          <w:szCs w:val="20"/>
          <w:lang w:val="en-US"/>
        </w:rPr>
        <w:t>p</w:t>
      </w:r>
      <w:r w:rsidR="00D76516" w:rsidRPr="00D869E3">
        <w:rPr>
          <w:rFonts w:ascii="Verdana" w:hAnsi="Verdana"/>
          <w:sz w:val="20"/>
          <w:szCs w:val="20"/>
          <w:lang w:val="en-US"/>
        </w:rPr>
        <w:t>ay slip</w:t>
      </w:r>
      <w:r w:rsidR="009C5D55" w:rsidRPr="00D869E3">
        <w:rPr>
          <w:rFonts w:ascii="Verdana" w:hAnsi="Verdana"/>
          <w:sz w:val="20"/>
          <w:szCs w:val="20"/>
          <w:lang w:val="en-US"/>
        </w:rPr>
        <w:t xml:space="preserve"> </w:t>
      </w:r>
      <w:r w:rsidR="00E6309B" w:rsidRPr="00D869E3">
        <w:rPr>
          <w:rFonts w:ascii="Verdana" w:hAnsi="Verdana"/>
          <w:sz w:val="20"/>
          <w:szCs w:val="20"/>
          <w:lang w:val="en-US"/>
        </w:rPr>
        <w:t>of Mr.</w:t>
      </w:r>
      <w:r w:rsidR="001E44D3" w:rsidRPr="00D869E3">
        <w:rPr>
          <w:rFonts w:ascii="Verdana" w:hAnsi="Verdana"/>
          <w:sz w:val="20"/>
          <w:szCs w:val="20"/>
          <w:lang w:val="en-US"/>
        </w:rPr>
        <w:t xml:space="preserve"> Lagos del Campo</w:t>
      </w:r>
      <w:r w:rsidR="009C5D55" w:rsidRPr="00D869E3">
        <w:rPr>
          <w:rFonts w:ascii="Verdana" w:hAnsi="Verdana"/>
          <w:sz w:val="20"/>
          <w:szCs w:val="20"/>
          <w:lang w:val="en-US"/>
        </w:rPr>
        <w:t xml:space="preserve">. </w:t>
      </w:r>
      <w:r w:rsidRPr="00D869E3">
        <w:rPr>
          <w:rFonts w:ascii="Verdana" w:hAnsi="Verdana"/>
          <w:sz w:val="20"/>
          <w:szCs w:val="20"/>
          <w:lang w:val="en-US"/>
        </w:rPr>
        <w:t>Week of June</w:t>
      </w:r>
      <w:r w:rsidR="009C5D55" w:rsidRPr="00D869E3">
        <w:rPr>
          <w:rFonts w:ascii="Verdana" w:hAnsi="Verdana"/>
          <w:sz w:val="20"/>
          <w:szCs w:val="20"/>
          <w:lang w:val="en-US"/>
        </w:rPr>
        <w:t xml:space="preserve"> 26 </w:t>
      </w:r>
      <w:r w:rsidRPr="00D869E3">
        <w:rPr>
          <w:rFonts w:ascii="Verdana" w:hAnsi="Verdana"/>
          <w:sz w:val="20"/>
          <w:szCs w:val="20"/>
          <w:lang w:val="en-US"/>
        </w:rPr>
        <w:t>to July</w:t>
      </w:r>
      <w:r w:rsidR="009C5D55" w:rsidRPr="00D869E3">
        <w:rPr>
          <w:rFonts w:ascii="Verdana" w:hAnsi="Verdana"/>
          <w:sz w:val="20"/>
          <w:szCs w:val="20"/>
          <w:lang w:val="en-US"/>
        </w:rPr>
        <w:t xml:space="preserve"> 2</w:t>
      </w:r>
      <w:r w:rsidRPr="00D869E3">
        <w:rPr>
          <w:rFonts w:ascii="Verdana" w:hAnsi="Verdana"/>
          <w:sz w:val="20"/>
          <w:szCs w:val="20"/>
          <w:lang w:val="en-US"/>
        </w:rPr>
        <w:t xml:space="preserve">, </w:t>
      </w:r>
      <w:r w:rsidR="009C5D55" w:rsidRPr="00D869E3">
        <w:rPr>
          <w:rFonts w:ascii="Verdana" w:hAnsi="Verdana"/>
          <w:sz w:val="20"/>
          <w:szCs w:val="20"/>
          <w:lang w:val="en-US"/>
        </w:rPr>
        <w:t>1989</w:t>
      </w:r>
      <w:r w:rsidRPr="00D869E3">
        <w:rPr>
          <w:rFonts w:ascii="Verdana" w:hAnsi="Verdana"/>
          <w:sz w:val="20"/>
          <w:szCs w:val="20"/>
          <w:lang w:val="en-US"/>
        </w:rPr>
        <w:t>,</w:t>
      </w:r>
      <w:r w:rsidR="006436CA" w:rsidRPr="00D869E3">
        <w:rPr>
          <w:rFonts w:ascii="Verdana" w:hAnsi="Verdana"/>
          <w:sz w:val="20"/>
          <w:szCs w:val="20"/>
          <w:lang w:val="en-US"/>
        </w:rPr>
        <w:t>”</w:t>
      </w:r>
      <w:r w:rsidR="00687684" w:rsidRPr="00D869E3">
        <w:rPr>
          <w:rFonts w:ascii="Verdana" w:hAnsi="Verdana"/>
          <w:sz w:val="20"/>
          <w:szCs w:val="20"/>
          <w:lang w:val="en-US"/>
        </w:rPr>
        <w:t xml:space="preserve"> and </w:t>
      </w:r>
      <w:r w:rsidR="00F4667D" w:rsidRPr="00D869E3">
        <w:rPr>
          <w:rFonts w:ascii="Verdana" w:hAnsi="Verdana"/>
          <w:sz w:val="20"/>
          <w:szCs w:val="20"/>
          <w:lang w:val="en-US"/>
        </w:rPr>
        <w:t xml:space="preserve">annex </w:t>
      </w:r>
      <w:r w:rsidR="009C5D55" w:rsidRPr="00D869E3">
        <w:rPr>
          <w:rFonts w:ascii="Verdana" w:hAnsi="Verdana"/>
          <w:sz w:val="20"/>
          <w:szCs w:val="20"/>
          <w:lang w:val="en-US"/>
        </w:rPr>
        <w:t xml:space="preserve">8 </w:t>
      </w:r>
      <w:r w:rsidR="002D3638" w:rsidRPr="00D869E3">
        <w:rPr>
          <w:rFonts w:ascii="Verdana" w:hAnsi="Verdana"/>
          <w:sz w:val="20"/>
          <w:szCs w:val="20"/>
          <w:lang w:val="en-US"/>
        </w:rPr>
        <w:t>of</w:t>
      </w:r>
      <w:r w:rsidRPr="00D869E3">
        <w:rPr>
          <w:rFonts w:ascii="Verdana" w:hAnsi="Verdana"/>
          <w:sz w:val="20"/>
          <w:szCs w:val="20"/>
          <w:lang w:val="en-US"/>
        </w:rPr>
        <w:t xml:space="preserve"> the</w:t>
      </w:r>
      <w:r w:rsidR="009C5D55" w:rsidRPr="00D869E3">
        <w:rPr>
          <w:rFonts w:ascii="Verdana" w:hAnsi="Verdana"/>
          <w:sz w:val="20"/>
          <w:szCs w:val="20"/>
          <w:lang w:val="en-US"/>
        </w:rPr>
        <w:t xml:space="preserve"> </w:t>
      </w:r>
      <w:r w:rsidR="00687684" w:rsidRPr="00D869E3">
        <w:rPr>
          <w:rFonts w:ascii="Verdana" w:hAnsi="Verdana"/>
          <w:sz w:val="20"/>
          <w:szCs w:val="20"/>
          <w:lang w:val="en-US"/>
        </w:rPr>
        <w:t>Merits Report</w:t>
      </w:r>
      <w:r w:rsidR="009C5D55" w:rsidRPr="00D869E3">
        <w:rPr>
          <w:rFonts w:ascii="Verdana" w:hAnsi="Verdana"/>
          <w:sz w:val="20"/>
          <w:szCs w:val="20"/>
          <w:lang w:val="en-US"/>
        </w:rPr>
        <w:t xml:space="preserve"> </w:t>
      </w:r>
      <w:r w:rsidR="002D3638" w:rsidRPr="00D869E3">
        <w:rPr>
          <w:rFonts w:ascii="Verdana" w:hAnsi="Verdana"/>
          <w:sz w:val="20"/>
          <w:szCs w:val="20"/>
          <w:lang w:val="en-US"/>
        </w:rPr>
        <w:t xml:space="preserve">contains the decision of the judge </w:t>
      </w:r>
      <w:r w:rsidR="003506CC" w:rsidRPr="00D869E3">
        <w:rPr>
          <w:rFonts w:ascii="Verdana" w:hAnsi="Verdana"/>
          <w:sz w:val="20"/>
          <w:szCs w:val="20"/>
          <w:lang w:val="en-US"/>
        </w:rPr>
        <w:t>of the Fifteenth Labor Court</w:t>
      </w:r>
      <w:r w:rsidR="009C5D55" w:rsidRPr="00D869E3">
        <w:rPr>
          <w:rFonts w:ascii="Verdana" w:hAnsi="Verdana"/>
          <w:sz w:val="20"/>
          <w:szCs w:val="20"/>
          <w:lang w:val="en-US"/>
        </w:rPr>
        <w:t xml:space="preserve"> </w:t>
      </w:r>
      <w:r w:rsidR="002D3638" w:rsidRPr="00D869E3">
        <w:rPr>
          <w:rFonts w:ascii="Verdana" w:hAnsi="Verdana"/>
          <w:sz w:val="20"/>
          <w:szCs w:val="20"/>
          <w:lang w:val="en-US"/>
        </w:rPr>
        <w:t>of</w:t>
      </w:r>
      <w:r w:rsidR="009C5D55" w:rsidRPr="00D869E3">
        <w:rPr>
          <w:rFonts w:ascii="Verdana" w:hAnsi="Verdana"/>
          <w:sz w:val="20"/>
          <w:szCs w:val="20"/>
          <w:lang w:val="en-US"/>
        </w:rPr>
        <w:t xml:space="preserve"> Lima </w:t>
      </w:r>
      <w:r w:rsidR="002D3638" w:rsidRPr="00D869E3">
        <w:rPr>
          <w:rFonts w:ascii="Verdana" w:hAnsi="Verdana"/>
          <w:sz w:val="20"/>
          <w:szCs w:val="20"/>
          <w:lang w:val="en-US"/>
        </w:rPr>
        <w:t>of</w:t>
      </w:r>
      <w:r w:rsidR="009C5D55" w:rsidRPr="00D869E3">
        <w:rPr>
          <w:rFonts w:ascii="Verdana" w:hAnsi="Verdana"/>
          <w:sz w:val="20"/>
          <w:szCs w:val="20"/>
          <w:lang w:val="en-US"/>
        </w:rPr>
        <w:t xml:space="preserve"> </w:t>
      </w:r>
      <w:r w:rsidR="006F7F35" w:rsidRPr="00D869E3">
        <w:rPr>
          <w:rFonts w:ascii="Verdana" w:hAnsi="Verdana"/>
          <w:sz w:val="20"/>
          <w:szCs w:val="20"/>
          <w:lang w:val="en-US"/>
        </w:rPr>
        <w:t>March 5,</w:t>
      </w:r>
      <w:r w:rsidR="009C5D55" w:rsidRPr="00D869E3">
        <w:rPr>
          <w:rFonts w:ascii="Verdana" w:hAnsi="Verdana"/>
          <w:sz w:val="20"/>
          <w:szCs w:val="20"/>
          <w:lang w:val="en-US"/>
        </w:rPr>
        <w:t xml:space="preserve"> 1991</w:t>
      </w:r>
      <w:r w:rsidR="002D3638" w:rsidRPr="00D869E3">
        <w:rPr>
          <w:rFonts w:ascii="Verdana" w:hAnsi="Verdana"/>
          <w:sz w:val="20"/>
          <w:szCs w:val="20"/>
          <w:lang w:val="en-US"/>
        </w:rPr>
        <w:t xml:space="preserve">, which records that, at the time of the facts, Mr. Lagos received as his last day’s wage the sum of </w:t>
      </w:r>
      <w:r w:rsidR="00215464" w:rsidRPr="00D869E3">
        <w:rPr>
          <w:rFonts w:ascii="Verdana" w:hAnsi="Verdana"/>
          <w:sz w:val="20"/>
          <w:szCs w:val="20"/>
          <w:lang w:val="en-US"/>
        </w:rPr>
        <w:t>19,258</w:t>
      </w:r>
      <w:r w:rsidR="008846D2" w:rsidRPr="00D869E3">
        <w:rPr>
          <w:rFonts w:ascii="Verdana" w:hAnsi="Verdana"/>
          <w:sz w:val="20"/>
          <w:szCs w:val="20"/>
          <w:lang w:val="en-US"/>
        </w:rPr>
        <w:t>.53</w:t>
      </w:r>
      <w:r w:rsidR="00215464" w:rsidRPr="00D869E3">
        <w:rPr>
          <w:rFonts w:ascii="Verdana" w:hAnsi="Verdana"/>
          <w:sz w:val="20"/>
          <w:szCs w:val="20"/>
          <w:lang w:val="en-US"/>
        </w:rPr>
        <w:t xml:space="preserve"> Intis</w:t>
      </w:r>
      <w:r w:rsidR="002D3638" w:rsidRPr="00D869E3">
        <w:rPr>
          <w:rFonts w:ascii="Verdana" w:hAnsi="Verdana"/>
          <w:sz w:val="20"/>
          <w:szCs w:val="20"/>
          <w:lang w:val="en-US"/>
        </w:rPr>
        <w:t>.</w:t>
      </w:r>
      <w:r w:rsidR="00215464" w:rsidRPr="00D869E3">
        <w:rPr>
          <w:rStyle w:val="Refdenotaalpie"/>
          <w:szCs w:val="20"/>
          <w:lang w:val="en-US"/>
        </w:rPr>
        <w:footnoteReference w:id="269"/>
      </w:r>
      <w:r w:rsidR="009C5D55" w:rsidRPr="00D869E3">
        <w:rPr>
          <w:rFonts w:ascii="Verdana" w:hAnsi="Verdana"/>
          <w:sz w:val="20"/>
          <w:szCs w:val="20"/>
          <w:lang w:val="en-US"/>
        </w:rPr>
        <w:t xml:space="preserve"> </w:t>
      </w:r>
      <w:r w:rsidR="00447C65" w:rsidRPr="00D869E3">
        <w:rPr>
          <w:rFonts w:ascii="Verdana" w:hAnsi="Verdana"/>
          <w:sz w:val="20"/>
          <w:szCs w:val="20"/>
          <w:lang w:val="en-US"/>
        </w:rPr>
        <w:t>The Court</w:t>
      </w:r>
      <w:r w:rsidR="003B4ECF" w:rsidRPr="00D869E3">
        <w:rPr>
          <w:rFonts w:ascii="Verdana" w:hAnsi="Verdana"/>
          <w:sz w:val="20"/>
          <w:szCs w:val="20"/>
          <w:lang w:val="en-US"/>
        </w:rPr>
        <w:t xml:space="preserve"> </w:t>
      </w:r>
      <w:r w:rsidR="002D3638" w:rsidRPr="00D869E3">
        <w:rPr>
          <w:rFonts w:ascii="Verdana" w:hAnsi="Verdana"/>
          <w:sz w:val="20"/>
          <w:szCs w:val="20"/>
          <w:lang w:val="en-US"/>
        </w:rPr>
        <w:t>finds that, owing to the dismissal and lack of judicial protection, the victim found himself in a difficult</w:t>
      </w:r>
      <w:r w:rsidR="00B13B7D" w:rsidRPr="00D869E3">
        <w:rPr>
          <w:rFonts w:ascii="Verdana" w:hAnsi="Verdana"/>
          <w:sz w:val="20"/>
          <w:szCs w:val="20"/>
          <w:lang w:val="en-US"/>
        </w:rPr>
        <w:t>ies</w:t>
      </w:r>
      <w:r w:rsidR="002D3638" w:rsidRPr="00D869E3">
        <w:rPr>
          <w:rFonts w:ascii="Verdana" w:hAnsi="Verdana"/>
          <w:sz w:val="20"/>
          <w:szCs w:val="20"/>
          <w:lang w:val="en-US"/>
        </w:rPr>
        <w:t xml:space="preserve"> </w:t>
      </w:r>
      <w:r w:rsidR="00B13B7D" w:rsidRPr="00D869E3">
        <w:rPr>
          <w:rFonts w:ascii="Verdana" w:hAnsi="Verdana"/>
          <w:sz w:val="20"/>
          <w:szCs w:val="20"/>
          <w:lang w:val="en-US"/>
        </w:rPr>
        <w:t>with regard to</w:t>
      </w:r>
      <w:r w:rsidR="002D3638" w:rsidRPr="00D869E3">
        <w:rPr>
          <w:rFonts w:ascii="Verdana" w:hAnsi="Verdana"/>
          <w:sz w:val="20"/>
          <w:szCs w:val="20"/>
          <w:lang w:val="en-US"/>
        </w:rPr>
        <w:t xml:space="preserve"> his employment situation, </w:t>
      </w:r>
      <w:r w:rsidR="00B13B7D" w:rsidRPr="00D869E3">
        <w:rPr>
          <w:rFonts w:ascii="Verdana" w:hAnsi="Verdana"/>
          <w:sz w:val="20"/>
          <w:szCs w:val="20"/>
          <w:lang w:val="en-US"/>
        </w:rPr>
        <w:t>and this</w:t>
      </w:r>
      <w:r w:rsidR="002D3638" w:rsidRPr="00D869E3">
        <w:rPr>
          <w:rFonts w:ascii="Verdana" w:hAnsi="Verdana"/>
          <w:sz w:val="20"/>
          <w:szCs w:val="20"/>
          <w:lang w:val="en-US"/>
        </w:rPr>
        <w:t xml:space="preserve"> affected his living conditions. Therefore, the Court finds that he shall be granted the sum of </w:t>
      </w:r>
      <w:r w:rsidR="00215464" w:rsidRPr="00D869E3">
        <w:rPr>
          <w:rFonts w:ascii="Verdana" w:hAnsi="Verdana"/>
          <w:sz w:val="20"/>
          <w:szCs w:val="20"/>
          <w:lang w:val="en-US"/>
        </w:rPr>
        <w:t>U</w:t>
      </w:r>
      <w:r w:rsidR="002D3638" w:rsidRPr="00D869E3">
        <w:rPr>
          <w:rFonts w:ascii="Verdana" w:hAnsi="Verdana"/>
          <w:sz w:val="20"/>
          <w:szCs w:val="20"/>
          <w:lang w:val="en-US"/>
        </w:rPr>
        <w:t>S</w:t>
      </w:r>
      <w:r w:rsidR="00215464" w:rsidRPr="00D869E3">
        <w:rPr>
          <w:rFonts w:ascii="Verdana" w:hAnsi="Verdana"/>
          <w:sz w:val="20"/>
          <w:szCs w:val="20"/>
          <w:lang w:val="en-US"/>
        </w:rPr>
        <w:t>$2</w:t>
      </w:r>
      <w:r w:rsidR="00A57AE0" w:rsidRPr="00D869E3">
        <w:rPr>
          <w:rFonts w:ascii="Verdana" w:hAnsi="Verdana"/>
          <w:sz w:val="20"/>
          <w:szCs w:val="20"/>
          <w:lang w:val="en-US"/>
        </w:rPr>
        <w:t>8</w:t>
      </w:r>
      <w:r w:rsidR="00215464" w:rsidRPr="00D869E3">
        <w:rPr>
          <w:rFonts w:ascii="Verdana" w:hAnsi="Verdana"/>
          <w:sz w:val="20"/>
          <w:szCs w:val="20"/>
          <w:lang w:val="en-US"/>
        </w:rPr>
        <w:t>,</w:t>
      </w:r>
      <w:r w:rsidR="00A57AE0" w:rsidRPr="00D869E3">
        <w:rPr>
          <w:rFonts w:ascii="Verdana" w:hAnsi="Verdana"/>
          <w:sz w:val="20"/>
          <w:szCs w:val="20"/>
          <w:lang w:val="en-US"/>
        </w:rPr>
        <w:t>000</w:t>
      </w:r>
      <w:r w:rsidR="00215464" w:rsidRPr="00D869E3">
        <w:rPr>
          <w:rFonts w:ascii="Verdana" w:hAnsi="Verdana"/>
          <w:sz w:val="20"/>
          <w:szCs w:val="20"/>
          <w:lang w:val="en-US"/>
        </w:rPr>
        <w:t xml:space="preserve"> (</w:t>
      </w:r>
      <w:r w:rsidR="002D3638" w:rsidRPr="00D869E3">
        <w:rPr>
          <w:rFonts w:ascii="Verdana" w:hAnsi="Verdana"/>
          <w:sz w:val="20"/>
          <w:szCs w:val="20"/>
          <w:lang w:val="en-US"/>
        </w:rPr>
        <w:t>twenty-eight</w:t>
      </w:r>
      <w:r w:rsidR="00A57AE0" w:rsidRPr="00D869E3">
        <w:rPr>
          <w:rFonts w:ascii="Verdana" w:hAnsi="Verdana"/>
          <w:sz w:val="20"/>
          <w:szCs w:val="20"/>
          <w:lang w:val="en-US"/>
        </w:rPr>
        <w:t xml:space="preserve"> </w:t>
      </w:r>
      <w:r w:rsidR="004926D0" w:rsidRPr="00D869E3">
        <w:rPr>
          <w:rFonts w:ascii="Verdana" w:hAnsi="Verdana"/>
          <w:sz w:val="20"/>
          <w:szCs w:val="20"/>
          <w:lang w:val="en-US"/>
        </w:rPr>
        <w:t>thousand United States dollars</w:t>
      </w:r>
      <w:r w:rsidR="00215464" w:rsidRPr="00D869E3">
        <w:rPr>
          <w:rFonts w:ascii="Verdana" w:hAnsi="Verdana"/>
          <w:sz w:val="20"/>
          <w:szCs w:val="20"/>
          <w:lang w:val="en-US"/>
        </w:rPr>
        <w:t>)</w:t>
      </w:r>
      <w:r w:rsidR="009C5D55" w:rsidRPr="00D869E3">
        <w:rPr>
          <w:rFonts w:ascii="Verdana" w:hAnsi="Verdana"/>
          <w:sz w:val="20"/>
          <w:szCs w:val="20"/>
          <w:lang w:val="en-US"/>
        </w:rPr>
        <w:t>.</w:t>
      </w:r>
    </w:p>
    <w:p w14:paraId="3F46BE3F" w14:textId="77777777" w:rsidR="009C5D55" w:rsidRPr="00D869E3" w:rsidRDefault="009C5D55" w:rsidP="009C5D55">
      <w:pPr>
        <w:widowControl w:val="0"/>
        <w:tabs>
          <w:tab w:val="center" w:pos="0"/>
        </w:tabs>
        <w:autoSpaceDE w:val="0"/>
        <w:autoSpaceDN w:val="0"/>
        <w:adjustRightInd w:val="0"/>
        <w:contextualSpacing/>
        <w:jc w:val="both"/>
        <w:rPr>
          <w:rFonts w:ascii="Verdana" w:hAnsi="Verdana"/>
          <w:sz w:val="20"/>
          <w:szCs w:val="20"/>
          <w:lang w:val="en-US"/>
        </w:rPr>
      </w:pPr>
    </w:p>
    <w:p w14:paraId="3F1C7CA9" w14:textId="593A2D71" w:rsidR="007C10CE" w:rsidRPr="00D869E3" w:rsidRDefault="00E60DEC" w:rsidP="00E60DEC">
      <w:pPr>
        <w:widowControl w:val="0"/>
        <w:numPr>
          <w:ilvl w:val="0"/>
          <w:numId w:val="1"/>
        </w:numPr>
        <w:tabs>
          <w:tab w:val="center" w:pos="720"/>
        </w:tabs>
        <w:autoSpaceDE w:val="0"/>
        <w:autoSpaceDN w:val="0"/>
        <w:adjustRightInd w:val="0"/>
        <w:ind w:left="0" w:firstLine="0"/>
        <w:jc w:val="both"/>
        <w:rPr>
          <w:rFonts w:ascii="Verdana" w:hAnsi="Verdana"/>
          <w:sz w:val="20"/>
          <w:szCs w:val="20"/>
          <w:lang w:val="en-US"/>
        </w:rPr>
      </w:pPr>
      <w:r w:rsidRPr="00D869E3">
        <w:rPr>
          <w:rFonts w:ascii="Verdana" w:hAnsi="Verdana"/>
          <w:sz w:val="20"/>
          <w:szCs w:val="20"/>
          <w:lang w:val="en-US"/>
        </w:rPr>
        <w:t xml:space="preserve">Regarding the arguments concerning </w:t>
      </w:r>
      <w:r w:rsidR="00E6309B" w:rsidRPr="00D869E3">
        <w:rPr>
          <w:rFonts w:ascii="Verdana" w:hAnsi="Verdana"/>
          <w:sz w:val="20"/>
          <w:szCs w:val="20"/>
          <w:lang w:val="en-US"/>
        </w:rPr>
        <w:t>Mr.</w:t>
      </w:r>
      <w:r w:rsidR="001E44D3" w:rsidRPr="00D869E3">
        <w:rPr>
          <w:rFonts w:ascii="Verdana" w:hAnsi="Verdana"/>
          <w:sz w:val="20"/>
          <w:szCs w:val="20"/>
          <w:lang w:val="en-US"/>
        </w:rPr>
        <w:t xml:space="preserve"> Lagos del Campo</w:t>
      </w:r>
      <w:r w:rsidRPr="00D869E3">
        <w:rPr>
          <w:rFonts w:ascii="Verdana" w:hAnsi="Verdana"/>
          <w:sz w:val="20"/>
          <w:szCs w:val="20"/>
          <w:lang w:val="en-US"/>
        </w:rPr>
        <w:t xml:space="preserve">’s </w:t>
      </w:r>
      <w:r w:rsidR="00B13B7D" w:rsidRPr="00D869E3">
        <w:rPr>
          <w:rFonts w:ascii="Verdana" w:hAnsi="Verdana"/>
          <w:sz w:val="20"/>
          <w:szCs w:val="20"/>
          <w:lang w:val="en-US"/>
        </w:rPr>
        <w:t>a</w:t>
      </w:r>
      <w:r w:rsidRPr="00D869E3">
        <w:rPr>
          <w:rFonts w:ascii="Verdana" w:hAnsi="Verdana"/>
          <w:sz w:val="20"/>
          <w:szCs w:val="20"/>
          <w:lang w:val="en-US"/>
        </w:rPr>
        <w:t xml:space="preserve">ccess to a legitimate retirement pension, the Court finds that, as a result of the violations that have been established </w:t>
      </w:r>
      <w:r w:rsidR="00B13B7D" w:rsidRPr="00D869E3">
        <w:rPr>
          <w:rFonts w:ascii="Verdana" w:hAnsi="Verdana"/>
          <w:sz w:val="20"/>
          <w:szCs w:val="20"/>
          <w:lang w:val="en-US"/>
        </w:rPr>
        <w:t>stemming from</w:t>
      </w:r>
      <w:r w:rsidRPr="00D869E3">
        <w:rPr>
          <w:rFonts w:ascii="Verdana" w:hAnsi="Verdana"/>
          <w:sz w:val="20"/>
          <w:szCs w:val="20"/>
          <w:lang w:val="en-US"/>
        </w:rPr>
        <w:t xml:space="preserve"> </w:t>
      </w:r>
      <w:r w:rsidR="00B13B7D" w:rsidRPr="00D869E3">
        <w:rPr>
          <w:rFonts w:ascii="Verdana" w:hAnsi="Verdana"/>
          <w:sz w:val="20"/>
          <w:szCs w:val="20"/>
          <w:lang w:val="en-US"/>
        </w:rPr>
        <w:t>his</w:t>
      </w:r>
      <w:r w:rsidRPr="00D869E3">
        <w:rPr>
          <w:rFonts w:ascii="Verdana" w:hAnsi="Verdana"/>
          <w:sz w:val="20"/>
          <w:szCs w:val="20"/>
          <w:lang w:val="en-US"/>
        </w:rPr>
        <w:t xml:space="preserve"> arbitrary dismissal, the violation of job security, and the subsequent lack of judicial protection, </w:t>
      </w:r>
      <w:r w:rsidR="001E44D3" w:rsidRPr="00D869E3">
        <w:rPr>
          <w:rFonts w:ascii="Verdana" w:hAnsi="Verdana"/>
          <w:sz w:val="20"/>
          <w:szCs w:val="20"/>
          <w:lang w:val="en-US"/>
        </w:rPr>
        <w:t>Mr. Lagos del Campo</w:t>
      </w:r>
      <w:r w:rsidR="007C10CE" w:rsidRPr="00D869E3">
        <w:rPr>
          <w:rFonts w:ascii="Verdana" w:hAnsi="Verdana"/>
          <w:sz w:val="20"/>
          <w:szCs w:val="20"/>
          <w:lang w:val="en-US"/>
        </w:rPr>
        <w:t xml:space="preserve"> </w:t>
      </w:r>
      <w:r w:rsidRPr="00D869E3">
        <w:rPr>
          <w:rFonts w:ascii="Verdana" w:hAnsi="Verdana"/>
          <w:sz w:val="20"/>
          <w:szCs w:val="20"/>
          <w:lang w:val="en-US"/>
        </w:rPr>
        <w:t xml:space="preserve">lost the possibility of having access to a pension and social benefits. Consequently, the Court </w:t>
      </w:r>
      <w:r w:rsidR="00B13B7D" w:rsidRPr="00D869E3">
        <w:rPr>
          <w:rFonts w:ascii="Verdana" w:hAnsi="Verdana"/>
          <w:sz w:val="20"/>
          <w:szCs w:val="20"/>
          <w:lang w:val="en-US"/>
        </w:rPr>
        <w:t>finds</w:t>
      </w:r>
      <w:r w:rsidRPr="00D869E3">
        <w:rPr>
          <w:rFonts w:ascii="Verdana" w:hAnsi="Verdana"/>
          <w:sz w:val="20"/>
          <w:szCs w:val="20"/>
          <w:lang w:val="en-US"/>
        </w:rPr>
        <w:t xml:space="preserve"> that he shall be granted the reasonable sum of </w:t>
      </w:r>
      <w:r w:rsidR="007C10CE" w:rsidRPr="00D869E3">
        <w:rPr>
          <w:rFonts w:ascii="Verdana" w:hAnsi="Verdana"/>
          <w:sz w:val="20"/>
          <w:szCs w:val="20"/>
          <w:lang w:val="en-US"/>
        </w:rPr>
        <w:t>US$30,000 (</w:t>
      </w:r>
      <w:r w:rsidRPr="00D869E3">
        <w:rPr>
          <w:rFonts w:ascii="Verdana" w:hAnsi="Verdana"/>
          <w:sz w:val="20"/>
          <w:szCs w:val="20"/>
          <w:lang w:val="en-US"/>
        </w:rPr>
        <w:t>thirty</w:t>
      </w:r>
      <w:r w:rsidR="007C10CE" w:rsidRPr="00D869E3">
        <w:rPr>
          <w:rFonts w:ascii="Verdana" w:hAnsi="Verdana"/>
          <w:sz w:val="20"/>
          <w:szCs w:val="20"/>
          <w:lang w:val="en-US"/>
        </w:rPr>
        <w:t xml:space="preserve"> </w:t>
      </w:r>
      <w:r w:rsidR="004926D0" w:rsidRPr="00D869E3">
        <w:rPr>
          <w:rFonts w:ascii="Verdana" w:hAnsi="Verdana"/>
          <w:sz w:val="20"/>
          <w:szCs w:val="20"/>
          <w:lang w:val="en-US"/>
        </w:rPr>
        <w:t>thousand United States dollars</w:t>
      </w:r>
      <w:r w:rsidR="007C10CE" w:rsidRPr="00D869E3">
        <w:rPr>
          <w:rFonts w:ascii="Verdana" w:hAnsi="Verdana"/>
          <w:sz w:val="20"/>
          <w:szCs w:val="20"/>
          <w:lang w:val="en-US"/>
        </w:rPr>
        <w:t>).</w:t>
      </w:r>
    </w:p>
    <w:p w14:paraId="3EDD25E8" w14:textId="77777777" w:rsidR="003610EB" w:rsidRPr="00D869E3" w:rsidRDefault="003610EB" w:rsidP="009C5D55">
      <w:pPr>
        <w:contextualSpacing/>
        <w:jc w:val="both"/>
        <w:rPr>
          <w:rFonts w:ascii="Verdana" w:hAnsi="Verdana"/>
          <w:sz w:val="20"/>
          <w:szCs w:val="20"/>
          <w:lang w:val="en-US"/>
        </w:rPr>
      </w:pPr>
    </w:p>
    <w:p w14:paraId="508E288B" w14:textId="475D3522" w:rsidR="009C5D55" w:rsidRPr="00D869E3" w:rsidRDefault="00B44B46" w:rsidP="00E66DD7">
      <w:pPr>
        <w:pStyle w:val="Ttulo3"/>
        <w:numPr>
          <w:ilvl w:val="0"/>
          <w:numId w:val="15"/>
        </w:numPr>
        <w:rPr>
          <w:i/>
          <w:lang w:val="en-US"/>
        </w:rPr>
      </w:pPr>
      <w:bookmarkStart w:id="72" w:name="_Toc29114159"/>
      <w:r w:rsidRPr="00D869E3">
        <w:rPr>
          <w:i/>
          <w:lang w:val="en-US"/>
        </w:rPr>
        <w:t>Non-pecuniary damage</w:t>
      </w:r>
      <w:bookmarkEnd w:id="72"/>
    </w:p>
    <w:p w14:paraId="78B63848" w14:textId="77777777" w:rsidR="009C5D55" w:rsidRPr="00D869E3" w:rsidRDefault="009C5D55" w:rsidP="009C5D55">
      <w:pPr>
        <w:contextualSpacing/>
        <w:rPr>
          <w:rFonts w:ascii="Verdana" w:hAnsi="Verdana"/>
          <w:sz w:val="20"/>
          <w:szCs w:val="20"/>
          <w:lang w:val="en-US"/>
        </w:rPr>
      </w:pPr>
    </w:p>
    <w:p w14:paraId="43236ADA" w14:textId="788070E3" w:rsidR="000A123A" w:rsidRPr="00D869E3" w:rsidRDefault="00447C65" w:rsidP="00E60DEC">
      <w:pPr>
        <w:numPr>
          <w:ilvl w:val="0"/>
          <w:numId w:val="1"/>
        </w:numPr>
        <w:ind w:left="0" w:firstLine="0"/>
        <w:contextualSpacing/>
        <w:jc w:val="both"/>
        <w:rPr>
          <w:rFonts w:ascii="Verdana" w:hAnsi="Verdana"/>
          <w:sz w:val="20"/>
          <w:szCs w:val="20"/>
          <w:lang w:val="en-US"/>
        </w:rPr>
      </w:pPr>
      <w:r w:rsidRPr="00D869E3">
        <w:rPr>
          <w:rFonts w:ascii="Verdana" w:hAnsi="Verdana"/>
          <w:sz w:val="20"/>
          <w:szCs w:val="20"/>
          <w:lang w:val="en-US"/>
        </w:rPr>
        <w:t xml:space="preserve">The </w:t>
      </w:r>
      <w:r w:rsidRPr="00D869E3">
        <w:rPr>
          <w:rFonts w:ascii="Verdana" w:hAnsi="Verdana"/>
          <w:b/>
          <w:bCs/>
          <w:i/>
          <w:iCs/>
          <w:sz w:val="20"/>
          <w:szCs w:val="20"/>
          <w:lang w:val="en-US"/>
        </w:rPr>
        <w:t>Commission</w:t>
      </w:r>
      <w:r w:rsidR="009C5D55" w:rsidRPr="00D869E3">
        <w:rPr>
          <w:rFonts w:ascii="Verdana" w:hAnsi="Verdana"/>
          <w:sz w:val="20"/>
          <w:szCs w:val="20"/>
          <w:lang w:val="en-US"/>
        </w:rPr>
        <w:t xml:space="preserve"> </w:t>
      </w:r>
      <w:r w:rsidR="00E60DEC" w:rsidRPr="00D869E3">
        <w:rPr>
          <w:rFonts w:ascii="Verdana" w:hAnsi="Verdana"/>
          <w:sz w:val="20"/>
          <w:szCs w:val="20"/>
          <w:lang w:val="en-US"/>
        </w:rPr>
        <w:t xml:space="preserve">requested that both </w:t>
      </w:r>
      <w:r w:rsidR="00B44B46" w:rsidRPr="00D869E3">
        <w:rPr>
          <w:rFonts w:ascii="Verdana" w:hAnsi="Verdana"/>
          <w:sz w:val="20"/>
          <w:szCs w:val="20"/>
          <w:lang w:val="en-US"/>
        </w:rPr>
        <w:t xml:space="preserve">pecuniary </w:t>
      </w:r>
      <w:r w:rsidR="00E60DEC" w:rsidRPr="00D869E3">
        <w:rPr>
          <w:rFonts w:ascii="Verdana" w:hAnsi="Verdana"/>
          <w:sz w:val="20"/>
          <w:szCs w:val="20"/>
          <w:lang w:val="en-US"/>
        </w:rPr>
        <w:t xml:space="preserve">and non-pecuniary </w:t>
      </w:r>
      <w:r w:rsidR="00B44B46" w:rsidRPr="00D869E3">
        <w:rPr>
          <w:rFonts w:ascii="Verdana" w:hAnsi="Verdana"/>
          <w:sz w:val="20"/>
          <w:szCs w:val="20"/>
          <w:lang w:val="en-US"/>
        </w:rPr>
        <w:t>damage</w:t>
      </w:r>
      <w:r w:rsidR="009C5D55" w:rsidRPr="00D869E3">
        <w:rPr>
          <w:rFonts w:ascii="Verdana" w:hAnsi="Verdana"/>
          <w:sz w:val="20"/>
          <w:szCs w:val="20"/>
          <w:lang w:val="en-US"/>
        </w:rPr>
        <w:t xml:space="preserve"> </w:t>
      </w:r>
      <w:r w:rsidR="00E60DEC" w:rsidRPr="00D869E3">
        <w:rPr>
          <w:rFonts w:ascii="Verdana" w:hAnsi="Verdana"/>
          <w:sz w:val="20"/>
          <w:szCs w:val="20"/>
          <w:lang w:val="en-US"/>
        </w:rPr>
        <w:t>be included in the reparation</w:t>
      </w:r>
      <w:r w:rsidR="000A123A" w:rsidRPr="00D869E3">
        <w:rPr>
          <w:rFonts w:ascii="Verdana" w:hAnsi="Verdana"/>
          <w:sz w:val="20"/>
          <w:szCs w:val="20"/>
          <w:lang w:val="en-US"/>
        </w:rPr>
        <w:t>.</w:t>
      </w:r>
    </w:p>
    <w:p w14:paraId="28354AC8" w14:textId="77777777" w:rsidR="009C5D55" w:rsidRPr="00D869E3" w:rsidRDefault="009C5D55" w:rsidP="000A123A">
      <w:pPr>
        <w:contextualSpacing/>
        <w:rPr>
          <w:rFonts w:ascii="Verdana" w:hAnsi="Verdana"/>
          <w:sz w:val="20"/>
          <w:szCs w:val="20"/>
          <w:lang w:val="en-US"/>
        </w:rPr>
      </w:pPr>
    </w:p>
    <w:p w14:paraId="71428BCC" w14:textId="425ED91B" w:rsidR="00E60DEC" w:rsidRPr="00D869E3" w:rsidRDefault="00687684" w:rsidP="00E60DEC">
      <w:pPr>
        <w:widowControl w:val="0"/>
        <w:numPr>
          <w:ilvl w:val="0"/>
          <w:numId w:val="1"/>
        </w:numPr>
        <w:tabs>
          <w:tab w:val="center" w:pos="720"/>
        </w:tabs>
        <w:autoSpaceDE w:val="0"/>
        <w:autoSpaceDN w:val="0"/>
        <w:adjustRightInd w:val="0"/>
        <w:ind w:left="0" w:firstLine="0"/>
        <w:contextualSpacing/>
        <w:jc w:val="both"/>
        <w:rPr>
          <w:rFonts w:ascii="Verdana" w:hAnsi="Verdana"/>
          <w:sz w:val="20"/>
          <w:szCs w:val="20"/>
          <w:lang w:val="en-US"/>
        </w:rPr>
      </w:pPr>
      <w:r w:rsidRPr="00D869E3">
        <w:rPr>
          <w:rFonts w:ascii="Verdana" w:hAnsi="Verdana"/>
          <w:sz w:val="20"/>
          <w:szCs w:val="20"/>
          <w:lang w:val="en-US"/>
        </w:rPr>
        <w:t>The</w:t>
      </w:r>
      <w:r w:rsidRPr="00D869E3">
        <w:rPr>
          <w:rFonts w:ascii="Verdana" w:hAnsi="Verdana"/>
          <w:b/>
          <w:bCs/>
          <w:i/>
          <w:iCs/>
          <w:sz w:val="20"/>
          <w:szCs w:val="20"/>
          <w:lang w:val="en-US"/>
        </w:rPr>
        <w:t xml:space="preserve"> representatives</w:t>
      </w:r>
      <w:r w:rsidR="009C5D55" w:rsidRPr="00D869E3">
        <w:rPr>
          <w:rFonts w:ascii="Verdana" w:hAnsi="Verdana"/>
          <w:sz w:val="20"/>
          <w:szCs w:val="20"/>
          <w:lang w:val="en-US"/>
        </w:rPr>
        <w:t xml:space="preserve"> </w:t>
      </w:r>
      <w:r w:rsidR="00E60DEC" w:rsidRPr="00D869E3">
        <w:rPr>
          <w:rFonts w:ascii="Verdana" w:hAnsi="Verdana"/>
          <w:sz w:val="20"/>
          <w:szCs w:val="20"/>
          <w:lang w:val="en-US"/>
        </w:rPr>
        <w:t xml:space="preserve">asked the Court to establish, in equity, reparation </w:t>
      </w:r>
      <w:r w:rsidR="00B13B7D" w:rsidRPr="00D869E3">
        <w:rPr>
          <w:rFonts w:ascii="Verdana" w:hAnsi="Verdana"/>
          <w:sz w:val="20"/>
          <w:szCs w:val="20"/>
          <w:lang w:val="en-US"/>
        </w:rPr>
        <w:t>for</w:t>
      </w:r>
      <w:r w:rsidR="00E60DEC" w:rsidRPr="00D869E3">
        <w:rPr>
          <w:rFonts w:ascii="Verdana" w:hAnsi="Verdana"/>
          <w:sz w:val="20"/>
          <w:szCs w:val="20"/>
          <w:lang w:val="en-US"/>
        </w:rPr>
        <w:t xml:space="preserve"> non-pecuniary damage, because the violation suffered by both the victim and his family had harsh consequences and signified serious mental and moral harm for each of them, especially the victim.</w:t>
      </w:r>
    </w:p>
    <w:p w14:paraId="2F093001" w14:textId="77777777" w:rsidR="009C5D55" w:rsidRPr="00D869E3" w:rsidRDefault="009C5D55" w:rsidP="00E60DEC">
      <w:pPr>
        <w:tabs>
          <w:tab w:val="center" w:pos="720"/>
        </w:tabs>
        <w:contextualSpacing/>
        <w:rPr>
          <w:rFonts w:ascii="Verdana" w:hAnsi="Verdana"/>
          <w:sz w:val="20"/>
          <w:szCs w:val="20"/>
          <w:lang w:val="en-US"/>
        </w:rPr>
      </w:pPr>
    </w:p>
    <w:p w14:paraId="11E7ECBA" w14:textId="535F1318" w:rsidR="00E60DEC" w:rsidRPr="00D869E3" w:rsidRDefault="00447C65" w:rsidP="00E60DEC">
      <w:pPr>
        <w:widowControl w:val="0"/>
        <w:numPr>
          <w:ilvl w:val="0"/>
          <w:numId w:val="1"/>
        </w:numPr>
        <w:tabs>
          <w:tab w:val="center" w:pos="720"/>
        </w:tabs>
        <w:autoSpaceDE w:val="0"/>
        <w:autoSpaceDN w:val="0"/>
        <w:adjustRightInd w:val="0"/>
        <w:ind w:left="0" w:firstLine="0"/>
        <w:contextualSpacing/>
        <w:jc w:val="both"/>
        <w:rPr>
          <w:rFonts w:ascii="Verdana" w:hAnsi="Verdana"/>
          <w:sz w:val="20"/>
          <w:szCs w:val="20"/>
          <w:lang w:val="en-US"/>
        </w:rPr>
      </w:pPr>
      <w:r w:rsidRPr="00D869E3">
        <w:rPr>
          <w:rFonts w:ascii="Verdana" w:hAnsi="Verdana"/>
          <w:sz w:val="20"/>
          <w:szCs w:val="20"/>
          <w:lang w:val="en-US"/>
        </w:rPr>
        <w:t xml:space="preserve">The </w:t>
      </w:r>
      <w:r w:rsidRPr="00D869E3">
        <w:rPr>
          <w:rFonts w:ascii="Verdana" w:hAnsi="Verdana"/>
          <w:b/>
          <w:bCs/>
          <w:i/>
          <w:iCs/>
          <w:sz w:val="20"/>
          <w:szCs w:val="20"/>
          <w:lang w:val="en-US"/>
        </w:rPr>
        <w:t>State</w:t>
      </w:r>
      <w:r w:rsidR="009C5D55" w:rsidRPr="00D869E3">
        <w:rPr>
          <w:rFonts w:ascii="Verdana" w:hAnsi="Verdana"/>
          <w:sz w:val="20"/>
          <w:szCs w:val="20"/>
          <w:lang w:val="en-US"/>
        </w:rPr>
        <w:t xml:space="preserve"> </w:t>
      </w:r>
      <w:r w:rsidR="00E60DEC" w:rsidRPr="00D869E3">
        <w:rPr>
          <w:rFonts w:ascii="Verdana" w:hAnsi="Verdana"/>
          <w:sz w:val="20"/>
          <w:szCs w:val="20"/>
          <w:lang w:val="en-US"/>
        </w:rPr>
        <w:t>argued that the criteri</w:t>
      </w:r>
      <w:r w:rsidR="00097299" w:rsidRPr="00D869E3">
        <w:rPr>
          <w:rFonts w:ascii="Verdana" w:hAnsi="Verdana"/>
          <w:sz w:val="20"/>
          <w:szCs w:val="20"/>
          <w:lang w:val="en-US"/>
        </w:rPr>
        <w:t>a</w:t>
      </w:r>
      <w:r w:rsidR="00E60DEC" w:rsidRPr="00D869E3">
        <w:rPr>
          <w:rFonts w:ascii="Verdana" w:hAnsi="Verdana"/>
          <w:sz w:val="20"/>
          <w:szCs w:val="20"/>
          <w:lang w:val="en-US"/>
        </w:rPr>
        <w:t xml:space="preserve"> cited by </w:t>
      </w:r>
      <w:r w:rsidR="00687684" w:rsidRPr="00D869E3">
        <w:rPr>
          <w:rFonts w:ascii="Verdana" w:hAnsi="Verdana"/>
          <w:sz w:val="20"/>
          <w:szCs w:val="20"/>
          <w:lang w:val="en-US"/>
        </w:rPr>
        <w:t>the representatives</w:t>
      </w:r>
      <w:r w:rsidR="009C5D55" w:rsidRPr="00D869E3">
        <w:rPr>
          <w:rFonts w:ascii="Verdana" w:hAnsi="Verdana"/>
          <w:sz w:val="20"/>
          <w:szCs w:val="20"/>
          <w:lang w:val="en-US"/>
        </w:rPr>
        <w:t xml:space="preserve"> </w:t>
      </w:r>
      <w:r w:rsidR="00E60DEC" w:rsidRPr="00D869E3">
        <w:rPr>
          <w:rFonts w:ascii="Verdana" w:hAnsi="Verdana"/>
          <w:sz w:val="20"/>
          <w:szCs w:val="20"/>
          <w:lang w:val="en-US"/>
        </w:rPr>
        <w:t>was based on case law that was unrelated to the facts of this case, because</w:t>
      </w:r>
      <w:r w:rsidR="00097299" w:rsidRPr="00D869E3">
        <w:rPr>
          <w:rFonts w:ascii="Verdana" w:hAnsi="Verdana"/>
          <w:sz w:val="20"/>
          <w:szCs w:val="20"/>
          <w:lang w:val="en-US"/>
        </w:rPr>
        <w:t xml:space="preserve"> the case did not involve an egregious violation of human rights or the presumed violation of a right belong</w:t>
      </w:r>
      <w:r w:rsidR="00B13B7D" w:rsidRPr="00D869E3">
        <w:rPr>
          <w:rFonts w:ascii="Verdana" w:hAnsi="Verdana"/>
          <w:sz w:val="20"/>
          <w:szCs w:val="20"/>
          <w:lang w:val="en-US"/>
        </w:rPr>
        <w:t>ing</w:t>
      </w:r>
      <w:r w:rsidR="00097299" w:rsidRPr="00D869E3">
        <w:rPr>
          <w:rFonts w:ascii="Verdana" w:hAnsi="Verdana"/>
          <w:sz w:val="20"/>
          <w:szCs w:val="20"/>
          <w:lang w:val="en-US"/>
        </w:rPr>
        <w:t xml:space="preserve"> to the “hard core” of human rights. Therefore, based on the violations in this case, the non-pecuniary damage would be of another nature and less serious than in the case of egregious human rights violations.</w:t>
      </w:r>
    </w:p>
    <w:p w14:paraId="63C638E0" w14:textId="77777777" w:rsidR="009C5D55" w:rsidRPr="00D869E3" w:rsidRDefault="009C5D55" w:rsidP="009C5D55">
      <w:pPr>
        <w:widowControl w:val="0"/>
        <w:tabs>
          <w:tab w:val="center" w:pos="567"/>
        </w:tabs>
        <w:autoSpaceDE w:val="0"/>
        <w:autoSpaceDN w:val="0"/>
        <w:adjustRightInd w:val="0"/>
        <w:contextualSpacing/>
        <w:jc w:val="both"/>
        <w:rPr>
          <w:rFonts w:ascii="Verdana" w:hAnsi="Verdana"/>
          <w:sz w:val="20"/>
          <w:szCs w:val="20"/>
          <w:lang w:val="en-US"/>
        </w:rPr>
      </w:pPr>
    </w:p>
    <w:p w14:paraId="5741FA6E" w14:textId="06368947" w:rsidR="009C5D55" w:rsidRPr="00D869E3" w:rsidRDefault="00097299" w:rsidP="00097299">
      <w:pPr>
        <w:widowControl w:val="0"/>
        <w:numPr>
          <w:ilvl w:val="0"/>
          <w:numId w:val="1"/>
        </w:numPr>
        <w:tabs>
          <w:tab w:val="center" w:pos="720"/>
        </w:tabs>
        <w:autoSpaceDE w:val="0"/>
        <w:autoSpaceDN w:val="0"/>
        <w:adjustRightInd w:val="0"/>
        <w:ind w:left="0" w:firstLine="0"/>
        <w:contextualSpacing/>
        <w:jc w:val="both"/>
        <w:rPr>
          <w:rFonts w:ascii="Verdana" w:hAnsi="Verdana"/>
          <w:sz w:val="20"/>
          <w:szCs w:val="20"/>
          <w:lang w:val="en-US"/>
        </w:rPr>
      </w:pPr>
      <w:r w:rsidRPr="00D869E3">
        <w:rPr>
          <w:rFonts w:ascii="Verdana" w:hAnsi="Verdana" w:cs="Verdana"/>
          <w:sz w:val="20"/>
          <w:szCs w:val="20"/>
          <w:lang w:val="en-US" w:bidi="en-US"/>
        </w:rPr>
        <w:t>In its case law, t</w:t>
      </w:r>
      <w:r w:rsidR="00447C65" w:rsidRPr="00D869E3">
        <w:rPr>
          <w:rFonts w:ascii="Verdana" w:hAnsi="Verdana" w:cs="Verdana"/>
          <w:sz w:val="20"/>
          <w:szCs w:val="20"/>
          <w:lang w:val="en-US" w:bidi="en-US"/>
        </w:rPr>
        <w:t>he Court</w:t>
      </w:r>
      <w:r w:rsidR="009C5D55" w:rsidRPr="00D869E3">
        <w:rPr>
          <w:rFonts w:ascii="Verdana" w:hAnsi="Verdana" w:cs="Verdana"/>
          <w:sz w:val="20"/>
          <w:szCs w:val="20"/>
          <w:lang w:val="en-US" w:bidi="en-US"/>
        </w:rPr>
        <w:t xml:space="preserve"> ha</w:t>
      </w:r>
      <w:r w:rsidRPr="00D869E3">
        <w:rPr>
          <w:rFonts w:ascii="Verdana" w:hAnsi="Verdana" w:cs="Verdana"/>
          <w:sz w:val="20"/>
          <w:szCs w:val="20"/>
          <w:lang w:val="en-US" w:bidi="en-US"/>
        </w:rPr>
        <w:t xml:space="preserve">s developed the concept of </w:t>
      </w:r>
      <w:r w:rsidR="00B44B46" w:rsidRPr="00D869E3">
        <w:rPr>
          <w:rFonts w:ascii="Verdana" w:hAnsi="Verdana" w:cs="Verdana"/>
          <w:sz w:val="20"/>
          <w:szCs w:val="20"/>
          <w:lang w:val="en-US" w:bidi="en-US"/>
        </w:rPr>
        <w:t>non-pecuniary damage</w:t>
      </w:r>
      <w:r w:rsidR="00687684" w:rsidRPr="00D869E3">
        <w:rPr>
          <w:rFonts w:ascii="Verdana" w:hAnsi="Verdana" w:cs="Verdana"/>
          <w:sz w:val="20"/>
          <w:szCs w:val="20"/>
          <w:lang w:val="en-US" w:bidi="en-US"/>
        </w:rPr>
        <w:t xml:space="preserve"> and </w:t>
      </w:r>
      <w:r w:rsidR="009C5D55" w:rsidRPr="00D869E3">
        <w:rPr>
          <w:rFonts w:ascii="Verdana" w:hAnsi="Verdana"/>
          <w:sz w:val="20"/>
          <w:szCs w:val="20"/>
          <w:lang w:val="en-US"/>
        </w:rPr>
        <w:t>ha</w:t>
      </w:r>
      <w:r w:rsidRPr="00D869E3">
        <w:rPr>
          <w:rFonts w:ascii="Verdana" w:hAnsi="Verdana"/>
          <w:sz w:val="20"/>
          <w:szCs w:val="20"/>
          <w:lang w:val="en-US"/>
        </w:rPr>
        <w:t>s established that this “may include both the suffering and affliction caused to the direct victim and his family, the impairment of values that are of great significance for the individual, and also any changes, of a non-pecuniary nature, in the living conditions of the victim or his family.</w:t>
      </w:r>
      <w:r w:rsidR="006436CA" w:rsidRPr="00D869E3">
        <w:rPr>
          <w:rFonts w:ascii="Verdana" w:hAnsi="Verdana"/>
          <w:sz w:val="20"/>
          <w:szCs w:val="20"/>
          <w:lang w:val="en-US"/>
        </w:rPr>
        <w:t>”</w:t>
      </w:r>
      <w:r w:rsidR="009C5D55" w:rsidRPr="00D869E3">
        <w:rPr>
          <w:rFonts w:ascii="Verdana" w:hAnsi="Verdana"/>
          <w:sz w:val="20"/>
          <w:szCs w:val="20"/>
          <w:vertAlign w:val="superscript"/>
          <w:lang w:val="en-US"/>
        </w:rPr>
        <w:footnoteReference w:id="270"/>
      </w:r>
      <w:r w:rsidRPr="00D869E3">
        <w:rPr>
          <w:rFonts w:ascii="Verdana" w:hAnsi="Verdana" w:cs="Verdana"/>
          <w:sz w:val="20"/>
          <w:szCs w:val="20"/>
          <w:lang w:val="en-US" w:bidi="en-US"/>
        </w:rPr>
        <w:t xml:space="preserve"> Th</w:t>
      </w:r>
      <w:r w:rsidR="00232B57" w:rsidRPr="00D869E3">
        <w:rPr>
          <w:rFonts w:ascii="Verdana" w:hAnsi="Verdana" w:cs="Verdana"/>
          <w:sz w:val="20"/>
          <w:szCs w:val="20"/>
          <w:lang w:val="en-US" w:bidi="en-US"/>
        </w:rPr>
        <w:t>e said</w:t>
      </w:r>
      <w:r w:rsidRPr="00D869E3">
        <w:rPr>
          <w:rFonts w:ascii="Verdana" w:hAnsi="Verdana" w:cs="Verdana"/>
          <w:sz w:val="20"/>
          <w:szCs w:val="20"/>
          <w:lang w:val="en-US" w:bidi="en-US"/>
        </w:rPr>
        <w:t xml:space="preserve"> harm must be proved in cases such as this one.</w:t>
      </w:r>
    </w:p>
    <w:p w14:paraId="201B599B" w14:textId="77777777" w:rsidR="00097299" w:rsidRPr="00D869E3" w:rsidRDefault="00097299" w:rsidP="00097299">
      <w:pPr>
        <w:widowControl w:val="0"/>
        <w:tabs>
          <w:tab w:val="center" w:pos="720"/>
        </w:tabs>
        <w:autoSpaceDE w:val="0"/>
        <w:autoSpaceDN w:val="0"/>
        <w:adjustRightInd w:val="0"/>
        <w:contextualSpacing/>
        <w:jc w:val="both"/>
        <w:rPr>
          <w:rFonts w:ascii="Verdana" w:hAnsi="Verdana"/>
          <w:sz w:val="20"/>
          <w:szCs w:val="20"/>
          <w:lang w:val="en-US"/>
        </w:rPr>
      </w:pPr>
    </w:p>
    <w:p w14:paraId="659E110D" w14:textId="4A317A00" w:rsidR="00FF2083" w:rsidRPr="00D869E3" w:rsidRDefault="00447C65" w:rsidP="00097299">
      <w:pPr>
        <w:widowControl w:val="0"/>
        <w:numPr>
          <w:ilvl w:val="0"/>
          <w:numId w:val="1"/>
        </w:numPr>
        <w:tabs>
          <w:tab w:val="center" w:pos="0"/>
        </w:tabs>
        <w:autoSpaceDE w:val="0"/>
        <w:autoSpaceDN w:val="0"/>
        <w:adjustRightInd w:val="0"/>
        <w:ind w:left="0" w:firstLine="0"/>
        <w:contextualSpacing/>
        <w:jc w:val="both"/>
        <w:rPr>
          <w:rFonts w:ascii="Verdana" w:hAnsi="Verdana"/>
          <w:sz w:val="20"/>
          <w:szCs w:val="20"/>
          <w:lang w:val="en-US"/>
        </w:rPr>
      </w:pPr>
      <w:r w:rsidRPr="00D869E3">
        <w:rPr>
          <w:rFonts w:ascii="Verdana" w:hAnsi="Verdana" w:cs="Tahoma"/>
          <w:color w:val="000000"/>
          <w:sz w:val="20"/>
          <w:szCs w:val="20"/>
          <w:lang w:val="en-US"/>
        </w:rPr>
        <w:t>The Court</w:t>
      </w:r>
      <w:r w:rsidR="009C5D55" w:rsidRPr="00D869E3">
        <w:rPr>
          <w:rFonts w:ascii="Verdana" w:hAnsi="Verdana"/>
          <w:sz w:val="20"/>
          <w:szCs w:val="20"/>
          <w:lang w:val="en-US"/>
        </w:rPr>
        <w:t xml:space="preserve"> t</w:t>
      </w:r>
      <w:r w:rsidR="00097299" w:rsidRPr="00D869E3">
        <w:rPr>
          <w:rFonts w:ascii="Verdana" w:hAnsi="Verdana"/>
          <w:sz w:val="20"/>
          <w:szCs w:val="20"/>
          <w:lang w:val="en-US"/>
        </w:rPr>
        <w:t xml:space="preserve">akes into consideration that </w:t>
      </w:r>
      <w:r w:rsidR="001E44D3" w:rsidRPr="00D869E3">
        <w:rPr>
          <w:rFonts w:ascii="Verdana" w:hAnsi="Verdana"/>
          <w:sz w:val="20"/>
          <w:szCs w:val="20"/>
          <w:lang w:val="en-US"/>
        </w:rPr>
        <w:t>Mr. Lagos del Campo</w:t>
      </w:r>
      <w:r w:rsidR="009C5D55" w:rsidRPr="00D869E3">
        <w:rPr>
          <w:rFonts w:ascii="Verdana" w:hAnsi="Verdana"/>
          <w:sz w:val="20"/>
          <w:szCs w:val="20"/>
          <w:lang w:val="en-US"/>
        </w:rPr>
        <w:t xml:space="preserve"> </w:t>
      </w:r>
      <w:r w:rsidR="00097299" w:rsidRPr="00D869E3">
        <w:rPr>
          <w:rFonts w:ascii="Verdana" w:hAnsi="Verdana"/>
          <w:sz w:val="20"/>
          <w:szCs w:val="20"/>
          <w:lang w:val="en-US"/>
        </w:rPr>
        <w:t xml:space="preserve">was declared a victim </w:t>
      </w:r>
      <w:r w:rsidR="00EA232B" w:rsidRPr="00D869E3">
        <w:rPr>
          <w:rFonts w:ascii="Verdana" w:hAnsi="Verdana"/>
          <w:sz w:val="20"/>
          <w:szCs w:val="20"/>
          <w:lang w:val="en-US"/>
        </w:rPr>
        <w:t xml:space="preserve">of the </w:t>
      </w:r>
      <w:r w:rsidR="007013E2" w:rsidRPr="00D869E3">
        <w:rPr>
          <w:rFonts w:ascii="Verdana" w:hAnsi="Verdana"/>
          <w:sz w:val="20"/>
          <w:szCs w:val="20"/>
          <w:lang w:val="en-US"/>
        </w:rPr>
        <w:t>violation</w:t>
      </w:r>
      <w:r w:rsidR="009C5D55" w:rsidRPr="00D869E3">
        <w:rPr>
          <w:rFonts w:ascii="Verdana" w:hAnsi="Verdana"/>
          <w:sz w:val="20"/>
          <w:szCs w:val="20"/>
          <w:lang w:val="en-US"/>
        </w:rPr>
        <w:t xml:space="preserve"> </w:t>
      </w:r>
      <w:r w:rsidR="00097299" w:rsidRPr="00D869E3">
        <w:rPr>
          <w:rFonts w:ascii="Verdana" w:hAnsi="Verdana"/>
          <w:sz w:val="20"/>
          <w:szCs w:val="20"/>
          <w:lang w:val="en-US"/>
        </w:rPr>
        <w:t>of</w:t>
      </w:r>
      <w:r w:rsidR="009C5D55" w:rsidRPr="00D869E3">
        <w:rPr>
          <w:rFonts w:ascii="Verdana" w:hAnsi="Verdana"/>
          <w:sz w:val="20"/>
          <w:szCs w:val="20"/>
          <w:lang w:val="en-US"/>
        </w:rPr>
        <w:t xml:space="preserve"> </w:t>
      </w:r>
      <w:r w:rsidRPr="00D869E3">
        <w:rPr>
          <w:rFonts w:ascii="Verdana" w:hAnsi="Verdana"/>
          <w:sz w:val="20"/>
          <w:szCs w:val="20"/>
          <w:lang w:val="en-US"/>
        </w:rPr>
        <w:t>Articles</w:t>
      </w:r>
      <w:r w:rsidR="009C5D55" w:rsidRPr="00D869E3">
        <w:rPr>
          <w:rFonts w:ascii="Verdana" w:hAnsi="Verdana"/>
          <w:sz w:val="20"/>
          <w:szCs w:val="20"/>
          <w:lang w:val="en-US"/>
        </w:rPr>
        <w:t xml:space="preserve"> </w:t>
      </w:r>
      <w:r w:rsidR="00F830E9" w:rsidRPr="00D869E3">
        <w:rPr>
          <w:rFonts w:ascii="Verdana" w:hAnsi="Verdana"/>
          <w:sz w:val="20"/>
          <w:szCs w:val="20"/>
          <w:lang w:val="en-US"/>
        </w:rPr>
        <w:t>13, 8, 26, 16</w:t>
      </w:r>
      <w:r w:rsidR="00687684" w:rsidRPr="00D869E3">
        <w:rPr>
          <w:rFonts w:ascii="Verdana" w:hAnsi="Verdana"/>
          <w:sz w:val="20"/>
          <w:szCs w:val="20"/>
          <w:lang w:val="en-US"/>
        </w:rPr>
        <w:t xml:space="preserve"> and </w:t>
      </w:r>
      <w:r w:rsidR="00F830E9" w:rsidRPr="00D869E3">
        <w:rPr>
          <w:rFonts w:ascii="Verdana" w:hAnsi="Verdana"/>
          <w:sz w:val="20"/>
          <w:szCs w:val="20"/>
          <w:lang w:val="en-US"/>
        </w:rPr>
        <w:t>25</w:t>
      </w:r>
      <w:r w:rsidR="00097299" w:rsidRPr="00D869E3">
        <w:rPr>
          <w:rFonts w:ascii="Verdana" w:hAnsi="Verdana"/>
          <w:sz w:val="20"/>
          <w:szCs w:val="20"/>
          <w:lang w:val="en-US"/>
        </w:rPr>
        <w:t xml:space="preserve"> of the Convention</w:t>
      </w:r>
      <w:r w:rsidR="009C5D55" w:rsidRPr="00D869E3">
        <w:rPr>
          <w:rFonts w:ascii="Verdana" w:hAnsi="Verdana"/>
          <w:sz w:val="20"/>
          <w:szCs w:val="20"/>
          <w:lang w:val="en-US"/>
        </w:rPr>
        <w:t xml:space="preserve">. </w:t>
      </w:r>
      <w:r w:rsidR="00097299" w:rsidRPr="00D869E3">
        <w:rPr>
          <w:rFonts w:ascii="Verdana" w:hAnsi="Verdana"/>
          <w:sz w:val="20"/>
          <w:szCs w:val="20"/>
          <w:lang w:val="en-US"/>
        </w:rPr>
        <w:t>These violations resulted in evident harm: the victim was diagnosed with the clinical disorder, classified by the</w:t>
      </w:r>
      <w:r w:rsidR="00232B57" w:rsidRPr="00D869E3">
        <w:rPr>
          <w:rFonts w:ascii="Verdana" w:hAnsi="Verdana"/>
          <w:sz w:val="20"/>
          <w:szCs w:val="20"/>
          <w:lang w:val="en-US"/>
        </w:rPr>
        <w:t xml:space="preserve"> </w:t>
      </w:r>
      <w:r w:rsidR="00097299" w:rsidRPr="00D869E3">
        <w:rPr>
          <w:rFonts w:ascii="Verdana" w:hAnsi="Verdana"/>
          <w:sz w:val="20"/>
          <w:szCs w:val="20"/>
          <w:lang w:val="en-US"/>
        </w:rPr>
        <w:t>ICD-10 [</w:t>
      </w:r>
      <w:r w:rsidR="00232B57" w:rsidRPr="00D869E3">
        <w:rPr>
          <w:rFonts w:ascii="Verdana" w:hAnsi="Verdana"/>
          <w:sz w:val="20"/>
          <w:szCs w:val="20"/>
          <w:lang w:val="en-US"/>
        </w:rPr>
        <w:t xml:space="preserve">Translator’s note: </w:t>
      </w:r>
      <w:r w:rsidR="00097299" w:rsidRPr="00D869E3">
        <w:rPr>
          <w:rStyle w:val="e24kjd"/>
          <w:rFonts w:ascii="Verdana" w:hAnsi="Verdana"/>
          <w:sz w:val="20"/>
          <w:szCs w:val="20"/>
          <w:lang w:val="en-US"/>
        </w:rPr>
        <w:t>the 10th revision of the International Statistical Classification of Diseases and Related Health Problems]</w:t>
      </w:r>
      <w:r w:rsidR="0032208A" w:rsidRPr="00D869E3">
        <w:rPr>
          <w:rStyle w:val="e24kjd"/>
          <w:rFonts w:ascii="Verdana" w:hAnsi="Verdana"/>
          <w:sz w:val="20"/>
          <w:szCs w:val="20"/>
          <w:lang w:val="en-US"/>
        </w:rPr>
        <w:t xml:space="preserve"> as a persistent personality disorder following a traumatic and/or catastrophic experience, </w:t>
      </w:r>
      <w:r w:rsidR="00232B57" w:rsidRPr="00D869E3">
        <w:rPr>
          <w:rStyle w:val="e24kjd"/>
          <w:rFonts w:ascii="Verdana" w:hAnsi="Verdana"/>
          <w:sz w:val="20"/>
          <w:szCs w:val="20"/>
          <w:lang w:val="en-US"/>
        </w:rPr>
        <w:t>following</w:t>
      </w:r>
      <w:r w:rsidR="0032208A" w:rsidRPr="00D869E3">
        <w:rPr>
          <w:rStyle w:val="e24kjd"/>
          <w:rFonts w:ascii="Verdana" w:hAnsi="Verdana"/>
          <w:sz w:val="20"/>
          <w:szCs w:val="20"/>
          <w:lang w:val="en-US"/>
        </w:rPr>
        <w:t xml:space="preserve"> the situation denounced and the prolonged judicial proceedings.</w:t>
      </w:r>
      <w:r w:rsidR="009C5D55" w:rsidRPr="00D869E3">
        <w:rPr>
          <w:rFonts w:ascii="Verdana" w:hAnsi="Verdana"/>
          <w:sz w:val="20"/>
          <w:szCs w:val="20"/>
          <w:vertAlign w:val="superscript"/>
          <w:lang w:val="en-US"/>
        </w:rPr>
        <w:footnoteReference w:id="271"/>
      </w:r>
      <w:r w:rsidR="009C5D55" w:rsidRPr="00D869E3">
        <w:rPr>
          <w:rFonts w:ascii="Verdana" w:hAnsi="Verdana"/>
          <w:sz w:val="20"/>
          <w:szCs w:val="20"/>
          <w:lang w:val="en-US"/>
        </w:rPr>
        <w:t xml:space="preserve"> </w:t>
      </w:r>
      <w:r w:rsidR="0032208A" w:rsidRPr="00D869E3">
        <w:rPr>
          <w:rFonts w:ascii="Verdana" w:hAnsi="Verdana"/>
          <w:sz w:val="20"/>
          <w:szCs w:val="20"/>
          <w:lang w:val="en-US"/>
        </w:rPr>
        <w:t xml:space="preserve">Moreover, it has been proved that his dismissal and the violation of his </w:t>
      </w:r>
      <w:r w:rsidR="00B443B4" w:rsidRPr="00D869E3">
        <w:rPr>
          <w:rFonts w:ascii="Verdana" w:hAnsi="Verdana"/>
          <w:sz w:val="20"/>
          <w:szCs w:val="20"/>
          <w:lang w:val="en-US"/>
        </w:rPr>
        <w:t>human rights</w:t>
      </w:r>
      <w:r w:rsidR="009C5D55" w:rsidRPr="00D869E3">
        <w:rPr>
          <w:rFonts w:ascii="Verdana" w:hAnsi="Verdana"/>
          <w:sz w:val="20"/>
          <w:szCs w:val="20"/>
          <w:lang w:val="en-US"/>
        </w:rPr>
        <w:t>, as</w:t>
      </w:r>
      <w:r w:rsidR="0032208A" w:rsidRPr="00D869E3">
        <w:rPr>
          <w:rFonts w:ascii="Verdana" w:hAnsi="Verdana"/>
          <w:sz w:val="20"/>
          <w:szCs w:val="20"/>
          <w:lang w:val="en-US"/>
        </w:rPr>
        <w:t xml:space="preserve"> well as the impossibility of obtaining justice to date, have been significant sources of stress, anxiety and worr</w:t>
      </w:r>
      <w:r w:rsidR="00232B57" w:rsidRPr="00D869E3">
        <w:rPr>
          <w:rFonts w:ascii="Verdana" w:hAnsi="Verdana"/>
          <w:sz w:val="20"/>
          <w:szCs w:val="20"/>
          <w:lang w:val="en-US"/>
        </w:rPr>
        <w:t>y and</w:t>
      </w:r>
      <w:r w:rsidR="0032208A" w:rsidRPr="00D869E3">
        <w:rPr>
          <w:rFonts w:ascii="Verdana" w:hAnsi="Verdana"/>
          <w:sz w:val="20"/>
          <w:szCs w:val="20"/>
          <w:lang w:val="en-US"/>
        </w:rPr>
        <w:t xml:space="preserve">, with the passage of time, </w:t>
      </w:r>
      <w:r w:rsidR="00232B57" w:rsidRPr="00D869E3">
        <w:rPr>
          <w:rFonts w:ascii="Verdana" w:hAnsi="Verdana"/>
          <w:sz w:val="20"/>
          <w:szCs w:val="20"/>
          <w:lang w:val="en-US"/>
        </w:rPr>
        <w:t xml:space="preserve">this </w:t>
      </w:r>
      <w:r w:rsidR="0032208A" w:rsidRPr="00D869E3">
        <w:rPr>
          <w:rFonts w:ascii="Verdana" w:hAnsi="Verdana"/>
          <w:sz w:val="20"/>
          <w:szCs w:val="20"/>
          <w:lang w:val="en-US"/>
        </w:rPr>
        <w:t xml:space="preserve">has affected </w:t>
      </w:r>
      <w:r w:rsidR="00E6309B" w:rsidRPr="00D869E3">
        <w:rPr>
          <w:rFonts w:ascii="Verdana" w:hAnsi="Verdana"/>
          <w:sz w:val="20"/>
          <w:szCs w:val="20"/>
          <w:lang w:val="en-US"/>
        </w:rPr>
        <w:t>Mr.</w:t>
      </w:r>
      <w:r w:rsidR="001E44D3" w:rsidRPr="00D869E3">
        <w:rPr>
          <w:rFonts w:ascii="Verdana" w:hAnsi="Verdana"/>
          <w:sz w:val="20"/>
          <w:szCs w:val="20"/>
          <w:lang w:val="en-US"/>
        </w:rPr>
        <w:t xml:space="preserve"> Lagos del Campo</w:t>
      </w:r>
      <w:r w:rsidR="0032208A" w:rsidRPr="00D869E3">
        <w:rPr>
          <w:rFonts w:ascii="Verdana" w:hAnsi="Verdana"/>
          <w:sz w:val="20"/>
          <w:szCs w:val="20"/>
          <w:lang w:val="en-US"/>
        </w:rPr>
        <w:t>’s health</w:t>
      </w:r>
      <w:r w:rsidR="009C5D55" w:rsidRPr="00D869E3">
        <w:rPr>
          <w:rFonts w:ascii="Verdana" w:hAnsi="Verdana"/>
          <w:sz w:val="20"/>
          <w:szCs w:val="20"/>
          <w:lang w:val="en-US"/>
        </w:rPr>
        <w:t>.</w:t>
      </w:r>
    </w:p>
    <w:p w14:paraId="131A265F" w14:textId="77777777" w:rsidR="00FF2083" w:rsidRPr="00D869E3" w:rsidRDefault="00FF2083" w:rsidP="00FF2083">
      <w:pPr>
        <w:widowControl w:val="0"/>
        <w:tabs>
          <w:tab w:val="center" w:pos="0"/>
        </w:tabs>
        <w:autoSpaceDE w:val="0"/>
        <w:autoSpaceDN w:val="0"/>
        <w:adjustRightInd w:val="0"/>
        <w:contextualSpacing/>
        <w:jc w:val="both"/>
        <w:rPr>
          <w:rFonts w:ascii="Verdana" w:hAnsi="Verdana"/>
          <w:sz w:val="20"/>
          <w:szCs w:val="20"/>
          <w:lang w:val="en-US"/>
        </w:rPr>
      </w:pPr>
    </w:p>
    <w:p w14:paraId="67638406" w14:textId="6432DCC9" w:rsidR="003610EB" w:rsidRPr="00D869E3" w:rsidRDefault="0032208A" w:rsidP="00E66DD7">
      <w:pPr>
        <w:widowControl w:val="0"/>
        <w:numPr>
          <w:ilvl w:val="0"/>
          <w:numId w:val="1"/>
        </w:numPr>
        <w:tabs>
          <w:tab w:val="center" w:pos="0"/>
        </w:tabs>
        <w:autoSpaceDE w:val="0"/>
        <w:autoSpaceDN w:val="0"/>
        <w:adjustRightInd w:val="0"/>
        <w:ind w:left="0" w:firstLine="0"/>
        <w:contextualSpacing/>
        <w:jc w:val="both"/>
        <w:rPr>
          <w:rFonts w:ascii="Verdana" w:hAnsi="Verdana"/>
          <w:sz w:val="20"/>
          <w:szCs w:val="20"/>
          <w:lang w:val="en-US"/>
        </w:rPr>
      </w:pPr>
      <w:r w:rsidRPr="00D869E3">
        <w:rPr>
          <w:rFonts w:ascii="Verdana" w:hAnsi="Verdana"/>
          <w:sz w:val="20"/>
          <w:szCs w:val="20"/>
          <w:lang w:val="en-US"/>
        </w:rPr>
        <w:t xml:space="preserve">As a result of these violations, the Court finds it pertinent to establish, in equity, compensation for </w:t>
      </w:r>
      <w:r w:rsidR="00B44B46" w:rsidRPr="00D869E3">
        <w:rPr>
          <w:rFonts w:ascii="Verdana" w:hAnsi="Verdana"/>
          <w:sz w:val="20"/>
          <w:szCs w:val="20"/>
          <w:lang w:val="en-US"/>
        </w:rPr>
        <w:t>non-pecuniary damage</w:t>
      </w:r>
      <w:r w:rsidR="009C5D55" w:rsidRPr="00D869E3">
        <w:rPr>
          <w:rFonts w:ascii="Verdana" w:hAnsi="Verdana"/>
          <w:sz w:val="20"/>
          <w:szCs w:val="20"/>
          <w:lang w:val="en-US"/>
        </w:rPr>
        <w:t xml:space="preserve"> </w:t>
      </w:r>
      <w:r w:rsidRPr="00D869E3">
        <w:rPr>
          <w:rFonts w:ascii="Verdana" w:hAnsi="Verdana"/>
          <w:sz w:val="20"/>
          <w:szCs w:val="20"/>
          <w:lang w:val="en-US"/>
        </w:rPr>
        <w:t>of</w:t>
      </w:r>
      <w:r w:rsidR="009C5D55" w:rsidRPr="00D869E3">
        <w:rPr>
          <w:rFonts w:ascii="Verdana" w:hAnsi="Verdana"/>
          <w:sz w:val="20"/>
          <w:szCs w:val="20"/>
          <w:lang w:val="en-US"/>
        </w:rPr>
        <w:t xml:space="preserve"> </w:t>
      </w:r>
      <w:r w:rsidR="007C10CE" w:rsidRPr="00D869E3">
        <w:rPr>
          <w:rFonts w:ascii="Verdana" w:hAnsi="Verdana"/>
          <w:sz w:val="20"/>
          <w:szCs w:val="20"/>
          <w:lang w:val="en-US"/>
        </w:rPr>
        <w:t>US$20,000 (</w:t>
      </w:r>
      <w:r w:rsidRPr="00D869E3">
        <w:rPr>
          <w:rFonts w:ascii="Verdana" w:hAnsi="Verdana"/>
          <w:sz w:val="20"/>
          <w:szCs w:val="20"/>
          <w:lang w:val="en-US"/>
        </w:rPr>
        <w:t>twenty</w:t>
      </w:r>
      <w:r w:rsidR="007C10CE" w:rsidRPr="00D869E3">
        <w:rPr>
          <w:rFonts w:ascii="Verdana" w:hAnsi="Verdana"/>
          <w:sz w:val="20"/>
          <w:szCs w:val="20"/>
          <w:lang w:val="en-US"/>
        </w:rPr>
        <w:t xml:space="preserve"> </w:t>
      </w:r>
      <w:r w:rsidR="004926D0" w:rsidRPr="00D869E3">
        <w:rPr>
          <w:rFonts w:ascii="Verdana" w:hAnsi="Verdana"/>
          <w:sz w:val="20"/>
          <w:szCs w:val="20"/>
          <w:lang w:val="en-US"/>
        </w:rPr>
        <w:t>thousand United States dollars</w:t>
      </w:r>
      <w:r w:rsidR="007C10CE" w:rsidRPr="00D869E3">
        <w:rPr>
          <w:rFonts w:ascii="Verdana" w:hAnsi="Verdana"/>
          <w:sz w:val="20"/>
          <w:szCs w:val="20"/>
          <w:lang w:val="en-US"/>
        </w:rPr>
        <w:t>).</w:t>
      </w:r>
      <w:r w:rsidR="009C5D55" w:rsidRPr="00D869E3">
        <w:rPr>
          <w:rFonts w:ascii="Verdana" w:hAnsi="Verdana"/>
          <w:sz w:val="20"/>
          <w:szCs w:val="20"/>
          <w:lang w:val="en-US"/>
        </w:rPr>
        <w:t xml:space="preserve"> </w:t>
      </w:r>
    </w:p>
    <w:p w14:paraId="26E799AB" w14:textId="77777777" w:rsidR="009C5D55" w:rsidRPr="00D869E3" w:rsidRDefault="009C5D55" w:rsidP="009C5D55">
      <w:pPr>
        <w:rPr>
          <w:rFonts w:ascii="Verdana" w:hAnsi="Verdana"/>
          <w:sz w:val="20"/>
          <w:szCs w:val="20"/>
          <w:lang w:val="en-US"/>
        </w:rPr>
      </w:pPr>
    </w:p>
    <w:p w14:paraId="1DFEEBD2" w14:textId="395EBA58" w:rsidR="009C5D55" w:rsidRPr="00D869E3" w:rsidRDefault="00B44B46" w:rsidP="00E66DD7">
      <w:pPr>
        <w:pStyle w:val="Ttulo2"/>
        <w:numPr>
          <w:ilvl w:val="0"/>
          <w:numId w:val="13"/>
        </w:numPr>
        <w:rPr>
          <w:i/>
          <w:szCs w:val="20"/>
          <w:lang w:val="en-US"/>
        </w:rPr>
      </w:pPr>
      <w:bookmarkStart w:id="73" w:name="_Toc29114160"/>
      <w:r w:rsidRPr="00D869E3">
        <w:rPr>
          <w:i/>
          <w:szCs w:val="20"/>
          <w:lang w:val="en-US"/>
        </w:rPr>
        <w:t>Costs and expenses</w:t>
      </w:r>
      <w:bookmarkEnd w:id="73"/>
    </w:p>
    <w:p w14:paraId="57A9A1B1" w14:textId="77777777" w:rsidR="009C5D55" w:rsidRPr="00D869E3" w:rsidRDefault="009C5D55" w:rsidP="009C5D55">
      <w:pPr>
        <w:rPr>
          <w:rFonts w:ascii="Verdana" w:hAnsi="Verdana"/>
          <w:sz w:val="20"/>
          <w:szCs w:val="20"/>
          <w:lang w:val="en-US"/>
        </w:rPr>
      </w:pPr>
    </w:p>
    <w:p w14:paraId="21ACEB4E" w14:textId="0723F51D" w:rsidR="009C5D55" w:rsidRPr="00D869E3" w:rsidRDefault="00687684" w:rsidP="00E66DD7">
      <w:pPr>
        <w:widowControl w:val="0"/>
        <w:numPr>
          <w:ilvl w:val="0"/>
          <w:numId w:val="1"/>
        </w:numPr>
        <w:tabs>
          <w:tab w:val="center" w:pos="0"/>
        </w:tabs>
        <w:autoSpaceDE w:val="0"/>
        <w:autoSpaceDN w:val="0"/>
        <w:adjustRightInd w:val="0"/>
        <w:ind w:left="0" w:firstLine="0"/>
        <w:contextualSpacing/>
        <w:jc w:val="both"/>
        <w:rPr>
          <w:rFonts w:ascii="Verdana" w:hAnsi="Verdana"/>
          <w:sz w:val="20"/>
          <w:szCs w:val="20"/>
          <w:lang w:val="en-US"/>
        </w:rPr>
      </w:pPr>
      <w:r w:rsidRPr="00D869E3">
        <w:rPr>
          <w:rFonts w:ascii="Verdana" w:hAnsi="Verdana"/>
          <w:sz w:val="20"/>
          <w:szCs w:val="20"/>
          <w:lang w:val="en-US"/>
        </w:rPr>
        <w:t xml:space="preserve">The </w:t>
      </w:r>
      <w:r w:rsidRPr="00D869E3">
        <w:rPr>
          <w:rFonts w:ascii="Verdana" w:hAnsi="Verdana"/>
          <w:b/>
          <w:bCs/>
          <w:i/>
          <w:iCs/>
          <w:sz w:val="20"/>
          <w:szCs w:val="20"/>
          <w:lang w:val="en-US"/>
        </w:rPr>
        <w:t>representatives</w:t>
      </w:r>
      <w:r w:rsidR="009C5D55" w:rsidRPr="00D869E3">
        <w:rPr>
          <w:rFonts w:ascii="Verdana" w:hAnsi="Verdana"/>
          <w:b/>
          <w:i/>
          <w:sz w:val="20"/>
          <w:szCs w:val="20"/>
          <w:lang w:val="en-US"/>
        </w:rPr>
        <w:t xml:space="preserve"> </w:t>
      </w:r>
      <w:r w:rsidR="0032208A" w:rsidRPr="00D869E3">
        <w:rPr>
          <w:rFonts w:ascii="Verdana" w:hAnsi="Verdana"/>
          <w:sz w:val="20"/>
          <w:szCs w:val="20"/>
          <w:lang w:val="en-US"/>
        </w:rPr>
        <w:t>explained that</w:t>
      </w:r>
      <w:r w:rsidR="009C5D55" w:rsidRPr="00D869E3">
        <w:rPr>
          <w:rFonts w:ascii="Verdana" w:hAnsi="Verdana"/>
          <w:sz w:val="20"/>
          <w:szCs w:val="20"/>
          <w:lang w:val="en-US"/>
        </w:rPr>
        <w:t xml:space="preserve"> </w:t>
      </w:r>
      <w:r w:rsidR="001E44D3" w:rsidRPr="00D869E3">
        <w:rPr>
          <w:rFonts w:ascii="Verdana" w:hAnsi="Verdana"/>
          <w:sz w:val="20"/>
          <w:szCs w:val="20"/>
          <w:lang w:val="en-US"/>
        </w:rPr>
        <w:t>Mr. Lagos del Campo</w:t>
      </w:r>
      <w:r w:rsidR="009C5D55" w:rsidRPr="00D869E3">
        <w:rPr>
          <w:rFonts w:ascii="Verdana" w:hAnsi="Verdana"/>
          <w:sz w:val="20"/>
          <w:szCs w:val="20"/>
          <w:lang w:val="en-US"/>
        </w:rPr>
        <w:t xml:space="preserve"> incurr</w:t>
      </w:r>
      <w:r w:rsidR="0032208A" w:rsidRPr="00D869E3">
        <w:rPr>
          <w:rFonts w:ascii="Verdana" w:hAnsi="Verdana"/>
          <w:sz w:val="20"/>
          <w:szCs w:val="20"/>
          <w:lang w:val="en-US"/>
        </w:rPr>
        <w:t xml:space="preserve">ed expenses in the different judicial proceedings, including when he had recourse to </w:t>
      </w:r>
      <w:r w:rsidR="00447C65" w:rsidRPr="00D869E3">
        <w:rPr>
          <w:rFonts w:ascii="Verdana" w:hAnsi="Verdana"/>
          <w:sz w:val="20"/>
          <w:szCs w:val="20"/>
          <w:lang w:val="en-US"/>
        </w:rPr>
        <w:t>the Commission</w:t>
      </w:r>
      <w:r w:rsidR="009C5D55" w:rsidRPr="00D869E3">
        <w:rPr>
          <w:rFonts w:ascii="Verdana" w:hAnsi="Verdana"/>
          <w:sz w:val="20"/>
          <w:szCs w:val="20"/>
          <w:lang w:val="en-US"/>
        </w:rPr>
        <w:t xml:space="preserve">. </w:t>
      </w:r>
      <w:r w:rsidR="0032208A" w:rsidRPr="00D869E3">
        <w:rPr>
          <w:rFonts w:ascii="Verdana" w:hAnsi="Verdana"/>
          <w:sz w:val="20"/>
          <w:szCs w:val="20"/>
          <w:lang w:val="en-US"/>
        </w:rPr>
        <w:t xml:space="preserve">Later, he was sponsored by </w:t>
      </w:r>
      <w:r w:rsidR="009C5D55" w:rsidRPr="00D869E3">
        <w:rPr>
          <w:rFonts w:ascii="Verdana" w:hAnsi="Verdana"/>
          <w:sz w:val="20"/>
          <w:szCs w:val="20"/>
          <w:lang w:val="en-US"/>
        </w:rPr>
        <w:t xml:space="preserve">APRODEH. </w:t>
      </w:r>
      <w:r w:rsidR="005401CF" w:rsidRPr="00D869E3">
        <w:rPr>
          <w:rFonts w:ascii="Verdana" w:hAnsi="Verdana"/>
          <w:sz w:val="20"/>
          <w:szCs w:val="20"/>
          <w:lang w:val="en-US"/>
        </w:rPr>
        <w:t>Accordingly, they asked</w:t>
      </w:r>
      <w:r w:rsidR="009C5D55" w:rsidRPr="00D869E3">
        <w:rPr>
          <w:rFonts w:ascii="Verdana" w:hAnsi="Verdana"/>
          <w:sz w:val="20"/>
          <w:szCs w:val="20"/>
          <w:lang w:val="en-US"/>
        </w:rPr>
        <w:t xml:space="preserve"> </w:t>
      </w:r>
      <w:r w:rsidR="00447C65" w:rsidRPr="00D869E3">
        <w:rPr>
          <w:rFonts w:ascii="Verdana" w:hAnsi="Verdana"/>
          <w:sz w:val="20"/>
          <w:szCs w:val="20"/>
          <w:lang w:val="en-US"/>
        </w:rPr>
        <w:t>the Court</w:t>
      </w:r>
      <w:r w:rsidR="005401CF" w:rsidRPr="00D869E3">
        <w:rPr>
          <w:rFonts w:ascii="Verdana" w:hAnsi="Verdana"/>
          <w:sz w:val="20"/>
          <w:szCs w:val="20"/>
          <w:lang w:val="en-US"/>
        </w:rPr>
        <w:t xml:space="preserve"> to establish, in equity, </w:t>
      </w:r>
      <w:r w:rsidR="00A02C61" w:rsidRPr="00D869E3">
        <w:rPr>
          <w:rFonts w:ascii="Verdana" w:hAnsi="Verdana"/>
          <w:sz w:val="20"/>
          <w:szCs w:val="20"/>
          <w:lang w:val="en-US"/>
        </w:rPr>
        <w:t>an</w:t>
      </w:r>
      <w:r w:rsidR="005401CF" w:rsidRPr="00D869E3">
        <w:rPr>
          <w:rFonts w:ascii="Verdana" w:hAnsi="Verdana"/>
          <w:sz w:val="20"/>
          <w:szCs w:val="20"/>
          <w:lang w:val="en-US"/>
        </w:rPr>
        <w:t xml:space="preserve"> amount for expenses corresponding </w:t>
      </w:r>
      <w:r w:rsidR="00EE0BD4" w:rsidRPr="00D869E3">
        <w:rPr>
          <w:rFonts w:ascii="Verdana" w:hAnsi="Verdana"/>
          <w:sz w:val="20"/>
          <w:szCs w:val="20"/>
          <w:lang w:val="en-US"/>
        </w:rPr>
        <w:t>to Mr. Lagos</w:t>
      </w:r>
      <w:r w:rsidR="009C5D55" w:rsidRPr="00D869E3">
        <w:rPr>
          <w:rFonts w:ascii="Verdana" w:hAnsi="Verdana"/>
          <w:sz w:val="20"/>
          <w:szCs w:val="20"/>
          <w:lang w:val="en-US"/>
        </w:rPr>
        <w:t xml:space="preserve"> del Campo,</w:t>
      </w:r>
      <w:r w:rsidRPr="00D869E3">
        <w:rPr>
          <w:rFonts w:ascii="Verdana" w:hAnsi="Verdana"/>
          <w:sz w:val="20"/>
          <w:szCs w:val="20"/>
          <w:lang w:val="en-US"/>
        </w:rPr>
        <w:t xml:space="preserve"> </w:t>
      </w:r>
      <w:r w:rsidR="005401CF" w:rsidRPr="00D869E3">
        <w:rPr>
          <w:rFonts w:ascii="Verdana" w:hAnsi="Verdana"/>
          <w:sz w:val="20"/>
          <w:szCs w:val="20"/>
          <w:lang w:val="en-US"/>
        </w:rPr>
        <w:t xml:space="preserve">and </w:t>
      </w:r>
      <w:r w:rsidR="00A02C61" w:rsidRPr="00D869E3">
        <w:rPr>
          <w:rFonts w:ascii="Verdana" w:hAnsi="Verdana"/>
          <w:sz w:val="20"/>
          <w:szCs w:val="20"/>
          <w:lang w:val="en-US"/>
        </w:rPr>
        <w:t xml:space="preserve">those </w:t>
      </w:r>
      <w:r w:rsidR="005401CF" w:rsidRPr="00D869E3">
        <w:rPr>
          <w:rFonts w:ascii="Verdana" w:hAnsi="Verdana"/>
          <w:sz w:val="20"/>
          <w:szCs w:val="20"/>
          <w:lang w:val="en-US"/>
        </w:rPr>
        <w:t>corresponding to</w:t>
      </w:r>
      <w:r w:rsidR="009C5D55" w:rsidRPr="00D869E3">
        <w:rPr>
          <w:rFonts w:ascii="Verdana" w:hAnsi="Verdana"/>
          <w:sz w:val="20"/>
          <w:szCs w:val="20"/>
          <w:lang w:val="en-US"/>
        </w:rPr>
        <w:t xml:space="preserve"> APRODEH </w:t>
      </w:r>
      <w:r w:rsidR="005401CF" w:rsidRPr="00D869E3">
        <w:rPr>
          <w:rFonts w:ascii="Verdana" w:hAnsi="Verdana"/>
          <w:sz w:val="20"/>
          <w:szCs w:val="20"/>
          <w:lang w:val="en-US"/>
        </w:rPr>
        <w:t>as the victim’s representatives. They also asked to be given the opportunity to present amounts and vouchers for future expenses at the corresponding procedural stage.</w:t>
      </w:r>
      <w:r w:rsidR="00012864" w:rsidRPr="00D869E3">
        <w:rPr>
          <w:rStyle w:val="Refdenotaalpie"/>
          <w:szCs w:val="20"/>
          <w:lang w:val="en-US"/>
        </w:rPr>
        <w:footnoteReference w:id="272"/>
      </w:r>
      <w:r w:rsidR="007D7DF2" w:rsidRPr="00D869E3">
        <w:rPr>
          <w:rFonts w:ascii="Verdana" w:hAnsi="Verdana"/>
          <w:sz w:val="20"/>
          <w:szCs w:val="20"/>
          <w:lang w:val="en-US"/>
        </w:rPr>
        <w:t xml:space="preserve"> </w:t>
      </w:r>
      <w:r w:rsidR="009C5D55" w:rsidRPr="00D869E3">
        <w:rPr>
          <w:rFonts w:ascii="Verdana" w:hAnsi="Verdana"/>
          <w:sz w:val="20"/>
          <w:szCs w:val="20"/>
          <w:lang w:val="en-US"/>
        </w:rPr>
        <w:t xml:space="preserve"> </w:t>
      </w:r>
    </w:p>
    <w:p w14:paraId="01CBC750" w14:textId="77777777" w:rsidR="009C5D55" w:rsidRPr="00D869E3" w:rsidRDefault="009C5D55" w:rsidP="009C5D55">
      <w:pPr>
        <w:widowControl w:val="0"/>
        <w:tabs>
          <w:tab w:val="center" w:pos="0"/>
        </w:tabs>
        <w:autoSpaceDE w:val="0"/>
        <w:autoSpaceDN w:val="0"/>
        <w:adjustRightInd w:val="0"/>
        <w:contextualSpacing/>
        <w:jc w:val="both"/>
        <w:rPr>
          <w:rFonts w:ascii="Verdana" w:hAnsi="Verdana"/>
          <w:sz w:val="20"/>
          <w:szCs w:val="20"/>
          <w:lang w:val="en-US"/>
        </w:rPr>
      </w:pPr>
    </w:p>
    <w:p w14:paraId="68999DCB" w14:textId="13757EA7" w:rsidR="005401CF" w:rsidRPr="00D869E3" w:rsidRDefault="00447C65" w:rsidP="00E66DD7">
      <w:pPr>
        <w:widowControl w:val="0"/>
        <w:numPr>
          <w:ilvl w:val="0"/>
          <w:numId w:val="1"/>
        </w:numPr>
        <w:tabs>
          <w:tab w:val="center" w:pos="0"/>
        </w:tabs>
        <w:autoSpaceDE w:val="0"/>
        <w:autoSpaceDN w:val="0"/>
        <w:adjustRightInd w:val="0"/>
        <w:ind w:left="0" w:firstLine="0"/>
        <w:contextualSpacing/>
        <w:jc w:val="both"/>
        <w:rPr>
          <w:rFonts w:ascii="Verdana" w:hAnsi="Verdana"/>
          <w:sz w:val="20"/>
          <w:szCs w:val="20"/>
          <w:lang w:val="en-US"/>
        </w:rPr>
      </w:pPr>
      <w:r w:rsidRPr="00D869E3">
        <w:rPr>
          <w:rFonts w:ascii="Verdana" w:hAnsi="Verdana"/>
          <w:sz w:val="20"/>
          <w:szCs w:val="20"/>
          <w:lang w:val="en-US"/>
        </w:rPr>
        <w:t>The</w:t>
      </w:r>
      <w:r w:rsidRPr="00D869E3">
        <w:rPr>
          <w:rFonts w:ascii="Verdana" w:hAnsi="Verdana"/>
          <w:b/>
          <w:bCs/>
          <w:i/>
          <w:iCs/>
          <w:sz w:val="20"/>
          <w:szCs w:val="20"/>
          <w:lang w:val="en-US"/>
        </w:rPr>
        <w:t xml:space="preserve"> State</w:t>
      </w:r>
      <w:r w:rsidR="009C5D55" w:rsidRPr="00D869E3">
        <w:rPr>
          <w:rFonts w:ascii="Verdana" w:hAnsi="Verdana"/>
          <w:sz w:val="20"/>
          <w:szCs w:val="20"/>
          <w:lang w:val="en-US"/>
        </w:rPr>
        <w:t xml:space="preserve"> </w:t>
      </w:r>
      <w:r w:rsidR="005401CF" w:rsidRPr="00D869E3">
        <w:rPr>
          <w:rFonts w:ascii="Verdana" w:hAnsi="Verdana"/>
          <w:sz w:val="20"/>
          <w:szCs w:val="20"/>
          <w:lang w:val="en-US"/>
        </w:rPr>
        <w:t>argued that vouchers must be submitted in order to obtain reimbursement of costs and expenses. Regarding future expenditure, it indicated that the representative’s request appeared reasonable, but it reserved the right to examine the expenses at the corresponding procedural opportunity.</w:t>
      </w:r>
    </w:p>
    <w:p w14:paraId="6F54E3A0" w14:textId="77777777" w:rsidR="009C5D55" w:rsidRPr="00D869E3" w:rsidRDefault="009C5D55" w:rsidP="009C5D55">
      <w:pPr>
        <w:widowControl w:val="0"/>
        <w:tabs>
          <w:tab w:val="center" w:pos="0"/>
        </w:tabs>
        <w:autoSpaceDE w:val="0"/>
        <w:autoSpaceDN w:val="0"/>
        <w:adjustRightInd w:val="0"/>
        <w:contextualSpacing/>
        <w:jc w:val="both"/>
        <w:rPr>
          <w:rFonts w:ascii="Verdana" w:hAnsi="Verdana"/>
          <w:sz w:val="20"/>
          <w:szCs w:val="20"/>
          <w:lang w:val="en-US"/>
        </w:rPr>
      </w:pPr>
    </w:p>
    <w:p w14:paraId="26AD6CD4" w14:textId="1B262C04" w:rsidR="009C5D55" w:rsidRPr="00D869E3" w:rsidRDefault="00447C65" w:rsidP="0061303F">
      <w:pPr>
        <w:widowControl w:val="0"/>
        <w:numPr>
          <w:ilvl w:val="0"/>
          <w:numId w:val="1"/>
        </w:numPr>
        <w:tabs>
          <w:tab w:val="center" w:pos="0"/>
        </w:tabs>
        <w:autoSpaceDE w:val="0"/>
        <w:autoSpaceDN w:val="0"/>
        <w:adjustRightInd w:val="0"/>
        <w:ind w:left="0" w:firstLine="0"/>
        <w:contextualSpacing/>
        <w:jc w:val="both"/>
        <w:rPr>
          <w:rFonts w:ascii="Verdana" w:hAnsi="Verdana"/>
          <w:sz w:val="20"/>
          <w:szCs w:val="20"/>
          <w:lang w:val="en-US"/>
        </w:rPr>
      </w:pPr>
      <w:r w:rsidRPr="00D869E3">
        <w:rPr>
          <w:rFonts w:ascii="Verdana" w:hAnsi="Verdana"/>
          <w:sz w:val="20"/>
          <w:szCs w:val="20"/>
          <w:lang w:val="en-US"/>
        </w:rPr>
        <w:t>The Court</w:t>
      </w:r>
      <w:r w:rsidR="009C5D55" w:rsidRPr="00D869E3">
        <w:rPr>
          <w:rFonts w:ascii="Verdana" w:hAnsi="Verdana"/>
          <w:sz w:val="20"/>
          <w:szCs w:val="20"/>
          <w:lang w:val="en-US"/>
        </w:rPr>
        <w:t xml:space="preserve"> reitera</w:t>
      </w:r>
      <w:r w:rsidR="0061303F" w:rsidRPr="00D869E3">
        <w:rPr>
          <w:rFonts w:ascii="Verdana" w:hAnsi="Verdana"/>
          <w:sz w:val="20"/>
          <w:szCs w:val="20"/>
          <w:lang w:val="en-US"/>
        </w:rPr>
        <w:t>tes that, pursuant to its case law,</w:t>
      </w:r>
      <w:r w:rsidR="009C5D55" w:rsidRPr="00D869E3">
        <w:rPr>
          <w:rFonts w:ascii="Verdana" w:hAnsi="Verdana"/>
          <w:sz w:val="20"/>
          <w:szCs w:val="20"/>
          <w:vertAlign w:val="superscript"/>
          <w:lang w:val="en-US"/>
        </w:rPr>
        <w:footnoteReference w:id="273"/>
      </w:r>
      <w:r w:rsidR="009C5D55" w:rsidRPr="00D869E3">
        <w:rPr>
          <w:rFonts w:ascii="Verdana" w:hAnsi="Verdana"/>
          <w:sz w:val="20"/>
          <w:szCs w:val="20"/>
          <w:lang w:val="en-US"/>
        </w:rPr>
        <w:t xml:space="preserve"> </w:t>
      </w:r>
      <w:r w:rsidR="00B44B46" w:rsidRPr="00D869E3">
        <w:rPr>
          <w:rFonts w:ascii="Verdana" w:hAnsi="Verdana"/>
          <w:sz w:val="20"/>
          <w:szCs w:val="20"/>
          <w:lang w:val="en-US"/>
        </w:rPr>
        <w:t xml:space="preserve">costs and </w:t>
      </w:r>
      <w:r w:rsidR="00E56813" w:rsidRPr="00D869E3">
        <w:rPr>
          <w:rFonts w:ascii="Verdana" w:hAnsi="Verdana"/>
          <w:sz w:val="20"/>
          <w:szCs w:val="20"/>
          <w:lang w:val="en-US"/>
        </w:rPr>
        <w:t>expenses</w:t>
      </w:r>
      <w:r w:rsidR="009C5D55" w:rsidRPr="00D869E3">
        <w:rPr>
          <w:rFonts w:ascii="Verdana" w:hAnsi="Verdana"/>
          <w:sz w:val="20"/>
          <w:szCs w:val="20"/>
          <w:lang w:val="en-US"/>
        </w:rPr>
        <w:t xml:space="preserve"> </w:t>
      </w:r>
      <w:r w:rsidR="0061303F" w:rsidRPr="00D869E3">
        <w:rPr>
          <w:rFonts w:ascii="Verdana" w:hAnsi="Verdana"/>
          <w:sz w:val="20"/>
          <w:szCs w:val="20"/>
          <w:lang w:val="en-US"/>
        </w:rPr>
        <w:t xml:space="preserve">form part of the concept of reparation, because the efforts made by the victims to obtain justice at both the national and the international level involve disbursements that should be compensated when the international responsibility of the State has been declared in a judgment. Regarding the reimbursement of costs and expenses, it is for the Court to make a prudent assessment of their scope, which includes the expenses arising before the authorities of the domestic jurisdiction and also those incurred in the course of the proceedings </w:t>
      </w:r>
      <w:r w:rsidR="00966115" w:rsidRPr="00D869E3">
        <w:rPr>
          <w:rFonts w:ascii="Verdana" w:hAnsi="Verdana"/>
          <w:sz w:val="20"/>
          <w:szCs w:val="20"/>
          <w:lang w:val="en-US"/>
        </w:rPr>
        <w:t>before the</w:t>
      </w:r>
      <w:r w:rsidR="00671B14" w:rsidRPr="00D869E3">
        <w:rPr>
          <w:rFonts w:ascii="Verdana" w:hAnsi="Verdana"/>
          <w:sz w:val="20"/>
          <w:szCs w:val="20"/>
          <w:lang w:val="en-US"/>
        </w:rPr>
        <w:t xml:space="preserve"> inter-American system</w:t>
      </w:r>
      <w:r w:rsidR="009C5D55" w:rsidRPr="00D869E3">
        <w:rPr>
          <w:rFonts w:ascii="Verdana" w:hAnsi="Verdana"/>
          <w:sz w:val="20"/>
          <w:szCs w:val="20"/>
          <w:lang w:val="en-US"/>
        </w:rPr>
        <w:t>, t</w:t>
      </w:r>
      <w:r w:rsidR="0061303F" w:rsidRPr="00D869E3">
        <w:rPr>
          <w:rFonts w:ascii="Verdana" w:hAnsi="Verdana"/>
          <w:sz w:val="20"/>
          <w:szCs w:val="20"/>
          <w:lang w:val="en-US"/>
        </w:rPr>
        <w:t xml:space="preserve">aking into account the circumstances of the specific case and the nature of the international jurisdiction for the protection of human rights. This assessment </w:t>
      </w:r>
      <w:r w:rsidR="00A02C61" w:rsidRPr="00D869E3">
        <w:rPr>
          <w:rFonts w:ascii="Verdana" w:hAnsi="Verdana"/>
          <w:sz w:val="20"/>
          <w:szCs w:val="20"/>
          <w:lang w:val="en-US"/>
        </w:rPr>
        <w:t>must</w:t>
      </w:r>
      <w:r w:rsidR="0061303F" w:rsidRPr="00D869E3">
        <w:rPr>
          <w:rFonts w:ascii="Verdana" w:hAnsi="Verdana"/>
          <w:sz w:val="20"/>
          <w:szCs w:val="20"/>
          <w:lang w:val="en-US"/>
        </w:rPr>
        <w:t xml:space="preserve"> be made taking into account the expenses indicated by the parties, provided that the</w:t>
      </w:r>
      <w:r w:rsidR="009C5D55" w:rsidRPr="00D869E3">
        <w:rPr>
          <w:rFonts w:ascii="Verdana" w:hAnsi="Verdana"/>
          <w:sz w:val="20"/>
          <w:szCs w:val="20"/>
          <w:lang w:val="en-US"/>
        </w:rPr>
        <w:t xml:space="preserve"> </w:t>
      </w:r>
      <w:r w:rsidR="009C5D55" w:rsidRPr="00D869E3">
        <w:rPr>
          <w:rFonts w:ascii="Verdana" w:hAnsi="Verdana"/>
          <w:i/>
          <w:sz w:val="20"/>
          <w:szCs w:val="20"/>
          <w:lang w:val="en-US"/>
        </w:rPr>
        <w:t>quantum</w:t>
      </w:r>
      <w:r w:rsidR="009C5D55" w:rsidRPr="00D869E3">
        <w:rPr>
          <w:rFonts w:ascii="Verdana" w:hAnsi="Verdana"/>
          <w:sz w:val="20"/>
          <w:szCs w:val="20"/>
          <w:lang w:val="en-US"/>
        </w:rPr>
        <w:t xml:space="preserve"> </w:t>
      </w:r>
      <w:r w:rsidR="00A02C61" w:rsidRPr="00D869E3">
        <w:rPr>
          <w:rFonts w:ascii="Verdana" w:hAnsi="Verdana"/>
          <w:sz w:val="20"/>
          <w:szCs w:val="20"/>
          <w:lang w:val="en-US"/>
        </w:rPr>
        <w:t>is</w:t>
      </w:r>
      <w:r w:rsidR="0061303F" w:rsidRPr="00D869E3">
        <w:rPr>
          <w:rFonts w:ascii="Verdana" w:hAnsi="Verdana"/>
          <w:sz w:val="20"/>
          <w:szCs w:val="20"/>
          <w:lang w:val="en-US"/>
        </w:rPr>
        <w:t xml:space="preserve"> reasonable.</w:t>
      </w:r>
      <w:r w:rsidR="009C5D55" w:rsidRPr="00D869E3">
        <w:rPr>
          <w:rFonts w:ascii="Verdana" w:hAnsi="Verdana"/>
          <w:sz w:val="20"/>
          <w:szCs w:val="20"/>
          <w:vertAlign w:val="superscript"/>
          <w:lang w:val="en-US"/>
        </w:rPr>
        <w:footnoteReference w:id="274"/>
      </w:r>
      <w:r w:rsidR="009C5D55" w:rsidRPr="00D869E3">
        <w:rPr>
          <w:rFonts w:ascii="Verdana" w:hAnsi="Verdana"/>
          <w:sz w:val="20"/>
          <w:szCs w:val="20"/>
          <w:lang w:val="en-US"/>
        </w:rPr>
        <w:t xml:space="preserve"> </w:t>
      </w:r>
    </w:p>
    <w:p w14:paraId="6634C37A" w14:textId="77777777" w:rsidR="009C5D55" w:rsidRPr="00D869E3" w:rsidRDefault="009C5D55" w:rsidP="009C5D55">
      <w:pPr>
        <w:contextualSpacing/>
        <w:rPr>
          <w:rFonts w:ascii="Verdana" w:hAnsi="Verdana"/>
          <w:sz w:val="20"/>
          <w:szCs w:val="20"/>
          <w:lang w:val="en-US"/>
        </w:rPr>
      </w:pPr>
    </w:p>
    <w:p w14:paraId="113BFD95" w14:textId="48BEC322" w:rsidR="009C5D55" w:rsidRPr="00D869E3" w:rsidRDefault="0061303F" w:rsidP="008A451A">
      <w:pPr>
        <w:widowControl w:val="0"/>
        <w:numPr>
          <w:ilvl w:val="0"/>
          <w:numId w:val="1"/>
        </w:numPr>
        <w:tabs>
          <w:tab w:val="center" w:pos="0"/>
        </w:tabs>
        <w:autoSpaceDE w:val="0"/>
        <w:autoSpaceDN w:val="0"/>
        <w:adjustRightInd w:val="0"/>
        <w:ind w:left="0" w:firstLine="0"/>
        <w:contextualSpacing/>
        <w:jc w:val="both"/>
        <w:rPr>
          <w:rFonts w:ascii="Verdana" w:hAnsi="Verdana"/>
          <w:sz w:val="20"/>
          <w:szCs w:val="20"/>
          <w:lang w:val="en-US"/>
        </w:rPr>
      </w:pPr>
      <w:r w:rsidRPr="00D869E3">
        <w:rPr>
          <w:rFonts w:ascii="Verdana" w:hAnsi="Verdana"/>
          <w:sz w:val="20"/>
          <w:szCs w:val="20"/>
          <w:lang w:val="en-US"/>
        </w:rPr>
        <w:t xml:space="preserve">The Court has indicated that “the claims of the victims or their representatives </w:t>
      </w:r>
      <w:r w:rsidR="00CC6A08" w:rsidRPr="00D869E3">
        <w:rPr>
          <w:rFonts w:ascii="Verdana" w:hAnsi="Verdana"/>
          <w:sz w:val="20"/>
          <w:szCs w:val="20"/>
          <w:lang w:val="en-US"/>
        </w:rPr>
        <w:t>for</w:t>
      </w:r>
      <w:r w:rsidRPr="00D869E3">
        <w:rPr>
          <w:rFonts w:ascii="Verdana" w:hAnsi="Verdana"/>
          <w:sz w:val="20"/>
          <w:szCs w:val="20"/>
          <w:lang w:val="en-US"/>
        </w:rPr>
        <w:t xml:space="preserve"> costs and expenses, and the </w:t>
      </w:r>
      <w:r w:rsidR="00CC6A08" w:rsidRPr="00D869E3">
        <w:rPr>
          <w:rFonts w:ascii="Verdana" w:hAnsi="Verdana"/>
          <w:sz w:val="20"/>
          <w:szCs w:val="20"/>
          <w:lang w:val="en-US"/>
        </w:rPr>
        <w:t xml:space="preserve">supporting </w:t>
      </w:r>
      <w:r w:rsidRPr="00D869E3">
        <w:rPr>
          <w:rFonts w:ascii="Verdana" w:hAnsi="Verdana"/>
          <w:sz w:val="20"/>
          <w:szCs w:val="20"/>
          <w:lang w:val="en-US"/>
        </w:rPr>
        <w:t xml:space="preserve">evidence, </w:t>
      </w:r>
      <w:r w:rsidR="00CC6A08" w:rsidRPr="00D869E3">
        <w:rPr>
          <w:rFonts w:ascii="Verdana" w:hAnsi="Verdana"/>
          <w:sz w:val="20"/>
          <w:szCs w:val="20"/>
          <w:lang w:val="en-US"/>
        </w:rPr>
        <w:t>must</w:t>
      </w:r>
      <w:r w:rsidRPr="00D869E3">
        <w:rPr>
          <w:rFonts w:ascii="Verdana" w:hAnsi="Verdana"/>
          <w:sz w:val="20"/>
          <w:szCs w:val="20"/>
          <w:lang w:val="en-US"/>
        </w:rPr>
        <w:t xml:space="preserve"> be presented to the Court at the first procedural opportunity granted to them; that is, in the </w:t>
      </w:r>
      <w:r w:rsidRPr="00D869E3">
        <w:rPr>
          <w:rFonts w:ascii="Verdana" w:eastAsia="Verdana" w:hAnsi="Verdana" w:cs="Verdana"/>
          <w:spacing w:val="-1"/>
          <w:sz w:val="20"/>
          <w:szCs w:val="20"/>
          <w:lang w:val="en-US"/>
        </w:rPr>
        <w:t>motions and pleadings brief</w:t>
      </w:r>
      <w:r w:rsidRPr="00D869E3">
        <w:rPr>
          <w:rFonts w:ascii="Verdana" w:eastAsia="Verdana" w:hAnsi="Verdana" w:cs="Verdana"/>
          <w:sz w:val="20"/>
          <w:szCs w:val="20"/>
          <w:lang w:val="en-US"/>
        </w:rPr>
        <w:t xml:space="preserve">, without prejudice to those claims being updated subsequently, with the new costs and expenses arising </w:t>
      </w:r>
      <w:r w:rsidRPr="00D869E3">
        <w:rPr>
          <w:rFonts w:ascii="Verdana" w:eastAsia="Verdana" w:hAnsi="Verdana" w:cs="Verdana"/>
          <w:sz w:val="20"/>
          <w:szCs w:val="20"/>
          <w:lang w:val="en-US"/>
        </w:rPr>
        <w:lastRenderedPageBreak/>
        <w:t>from the proceedings before</w:t>
      </w:r>
      <w:r w:rsidRPr="00D869E3">
        <w:rPr>
          <w:rFonts w:ascii="Verdana" w:hAnsi="Verdana"/>
          <w:sz w:val="20"/>
          <w:szCs w:val="20"/>
          <w:lang w:val="en-US"/>
        </w:rPr>
        <w:t xml:space="preserve"> </w:t>
      </w:r>
      <w:r w:rsidR="00901386" w:rsidRPr="00D869E3">
        <w:rPr>
          <w:rFonts w:ascii="Verdana" w:eastAsia="Verdana" w:hAnsi="Verdana" w:cs="Verdana"/>
          <w:spacing w:val="-1"/>
          <w:sz w:val="20"/>
          <w:szCs w:val="20"/>
          <w:lang w:val="en-US"/>
        </w:rPr>
        <w:t>this Court</w:t>
      </w:r>
      <w:r w:rsidRPr="00D869E3">
        <w:rPr>
          <w:rFonts w:ascii="Verdana" w:eastAsia="Verdana" w:hAnsi="Verdana" w:cs="Verdana"/>
          <w:spacing w:val="-1"/>
          <w:sz w:val="20"/>
          <w:szCs w:val="20"/>
          <w:lang w:val="en-US"/>
        </w:rPr>
        <w:t>.</w:t>
      </w:r>
      <w:r w:rsidR="006436CA" w:rsidRPr="00D869E3">
        <w:rPr>
          <w:rFonts w:ascii="Verdana" w:eastAsia="Verdana" w:hAnsi="Verdana" w:cs="Verdana"/>
          <w:spacing w:val="11"/>
          <w:sz w:val="20"/>
          <w:szCs w:val="20"/>
          <w:lang w:val="en-US"/>
        </w:rPr>
        <w:t>”</w:t>
      </w:r>
      <w:r w:rsidR="009C5D55" w:rsidRPr="00D869E3">
        <w:rPr>
          <w:rFonts w:ascii="Verdana" w:eastAsia="Verdana" w:hAnsi="Verdana" w:cs="Verdana"/>
          <w:spacing w:val="11"/>
          <w:sz w:val="20"/>
          <w:szCs w:val="20"/>
          <w:vertAlign w:val="superscript"/>
          <w:lang w:val="en-US"/>
        </w:rPr>
        <w:footnoteReference w:id="275"/>
      </w:r>
      <w:r w:rsidRPr="00D869E3">
        <w:rPr>
          <w:rFonts w:ascii="Verdana" w:eastAsia="Verdana" w:hAnsi="Verdana" w:cs="Verdana"/>
          <w:sz w:val="20"/>
          <w:szCs w:val="20"/>
          <w:lang w:val="en-US"/>
        </w:rPr>
        <w:t xml:space="preserve"> Furthermore, the Court reiterates that it is not sufficient to merely forward</w:t>
      </w:r>
      <w:r w:rsidR="008A451A" w:rsidRPr="00D869E3">
        <w:rPr>
          <w:rFonts w:ascii="Verdana" w:eastAsia="Verdana" w:hAnsi="Verdana" w:cs="Verdana"/>
          <w:sz w:val="20"/>
          <w:szCs w:val="20"/>
          <w:lang w:val="en-US"/>
        </w:rPr>
        <w:t xml:space="preserve"> the probative documents; rather, the parties are required to include arguments that relate the evidence to the fact it represents and, in the case of alleged financial disbursements, t</w:t>
      </w:r>
      <w:r w:rsidR="00CC6A08" w:rsidRPr="00D869E3">
        <w:rPr>
          <w:rFonts w:ascii="Verdana" w:eastAsia="Verdana" w:hAnsi="Verdana" w:cs="Verdana"/>
          <w:sz w:val="20"/>
          <w:szCs w:val="20"/>
          <w:lang w:val="en-US"/>
        </w:rPr>
        <w:t>hat</w:t>
      </w:r>
      <w:r w:rsidR="008A451A" w:rsidRPr="00D869E3">
        <w:rPr>
          <w:rFonts w:ascii="Verdana" w:eastAsia="Verdana" w:hAnsi="Verdana" w:cs="Verdana"/>
          <w:sz w:val="20"/>
          <w:szCs w:val="20"/>
          <w:lang w:val="en-US"/>
        </w:rPr>
        <w:t xml:space="preserve"> establish clearly the items and their justification.</w:t>
      </w:r>
      <w:r w:rsidR="009C5D55" w:rsidRPr="00D869E3">
        <w:rPr>
          <w:rFonts w:ascii="Verdana" w:eastAsia="Verdana" w:hAnsi="Verdana" w:cs="Verdana"/>
          <w:spacing w:val="7"/>
          <w:sz w:val="20"/>
          <w:szCs w:val="20"/>
          <w:vertAlign w:val="superscript"/>
          <w:lang w:val="en-US"/>
        </w:rPr>
        <w:footnoteReference w:id="276"/>
      </w:r>
      <w:r w:rsidR="009C5D55" w:rsidRPr="00D869E3">
        <w:rPr>
          <w:rFonts w:ascii="Verdana" w:hAnsi="Verdana"/>
          <w:sz w:val="20"/>
          <w:szCs w:val="20"/>
          <w:lang w:val="en-US"/>
        </w:rPr>
        <w:t xml:space="preserve"> </w:t>
      </w:r>
    </w:p>
    <w:p w14:paraId="457C03F0" w14:textId="77777777" w:rsidR="009C5D55" w:rsidRPr="00D869E3" w:rsidRDefault="009C5D55" w:rsidP="009C5D55">
      <w:pPr>
        <w:widowControl w:val="0"/>
        <w:tabs>
          <w:tab w:val="center" w:pos="0"/>
        </w:tabs>
        <w:autoSpaceDE w:val="0"/>
        <w:autoSpaceDN w:val="0"/>
        <w:adjustRightInd w:val="0"/>
        <w:contextualSpacing/>
        <w:jc w:val="both"/>
        <w:rPr>
          <w:rFonts w:ascii="Verdana" w:hAnsi="Verdana"/>
          <w:lang w:val="en-US"/>
        </w:rPr>
      </w:pPr>
    </w:p>
    <w:p w14:paraId="41AFDA9D" w14:textId="1EA16014" w:rsidR="009C5D55" w:rsidRPr="00D869E3" w:rsidRDefault="008A451A" w:rsidP="008A451A">
      <w:pPr>
        <w:widowControl w:val="0"/>
        <w:numPr>
          <w:ilvl w:val="0"/>
          <w:numId w:val="1"/>
        </w:numPr>
        <w:tabs>
          <w:tab w:val="center" w:pos="0"/>
        </w:tabs>
        <w:autoSpaceDE w:val="0"/>
        <w:autoSpaceDN w:val="0"/>
        <w:adjustRightInd w:val="0"/>
        <w:ind w:left="0" w:firstLine="0"/>
        <w:contextualSpacing/>
        <w:jc w:val="both"/>
        <w:rPr>
          <w:rFonts w:ascii="Verdana" w:hAnsi="Verdana"/>
          <w:sz w:val="20"/>
          <w:szCs w:val="20"/>
          <w:lang w:val="en-US"/>
        </w:rPr>
      </w:pPr>
      <w:r w:rsidRPr="00D869E3">
        <w:rPr>
          <w:rFonts w:ascii="Verdana" w:hAnsi="Verdana"/>
          <w:sz w:val="20"/>
          <w:szCs w:val="20"/>
          <w:lang w:val="en-US"/>
        </w:rPr>
        <w:t>In the instant case</w:t>
      </w:r>
      <w:r w:rsidR="009C5D55" w:rsidRPr="00D869E3">
        <w:rPr>
          <w:rFonts w:ascii="Verdana" w:hAnsi="Verdana"/>
          <w:color w:val="000000"/>
          <w:sz w:val="20"/>
          <w:szCs w:val="20"/>
          <w:lang w:val="en-US"/>
        </w:rPr>
        <w:t xml:space="preserve">, </w:t>
      </w:r>
      <w:r w:rsidR="00447C65" w:rsidRPr="00D869E3">
        <w:rPr>
          <w:rFonts w:ascii="Verdana" w:hAnsi="Verdana"/>
          <w:color w:val="000000"/>
          <w:sz w:val="20"/>
          <w:szCs w:val="20"/>
          <w:lang w:val="en-US"/>
        </w:rPr>
        <w:t>the Court</w:t>
      </w:r>
      <w:r w:rsidR="009C5D55" w:rsidRPr="00D869E3">
        <w:rPr>
          <w:rFonts w:ascii="Verdana" w:hAnsi="Verdana"/>
          <w:color w:val="000000"/>
          <w:sz w:val="20"/>
          <w:szCs w:val="20"/>
          <w:lang w:val="en-US"/>
        </w:rPr>
        <w:t xml:space="preserve"> </w:t>
      </w:r>
      <w:r w:rsidRPr="00D869E3">
        <w:rPr>
          <w:rFonts w:ascii="Verdana" w:hAnsi="Verdana"/>
          <w:color w:val="000000"/>
          <w:sz w:val="20"/>
          <w:szCs w:val="20"/>
          <w:lang w:val="en-US"/>
        </w:rPr>
        <w:t>notes that</w:t>
      </w:r>
      <w:r w:rsidR="009C5D55" w:rsidRPr="00D869E3">
        <w:rPr>
          <w:rFonts w:ascii="Verdana" w:hAnsi="Verdana"/>
          <w:color w:val="000000"/>
          <w:sz w:val="20"/>
          <w:szCs w:val="20"/>
          <w:lang w:val="en-US"/>
        </w:rPr>
        <w:t xml:space="preserve"> </w:t>
      </w:r>
      <w:r w:rsidR="00687684" w:rsidRPr="00D869E3">
        <w:rPr>
          <w:rFonts w:ascii="Verdana" w:hAnsi="Verdana"/>
          <w:color w:val="000000"/>
          <w:sz w:val="20"/>
          <w:szCs w:val="20"/>
          <w:lang w:val="en-US"/>
        </w:rPr>
        <w:t>the representatives</w:t>
      </w:r>
      <w:r w:rsidR="009C5D55" w:rsidRPr="00D869E3">
        <w:rPr>
          <w:rFonts w:ascii="Verdana" w:hAnsi="Verdana"/>
          <w:color w:val="000000"/>
          <w:sz w:val="20"/>
          <w:szCs w:val="20"/>
          <w:lang w:val="en-US"/>
        </w:rPr>
        <w:t xml:space="preserve"> </w:t>
      </w:r>
      <w:r w:rsidRPr="00D869E3">
        <w:rPr>
          <w:rFonts w:ascii="Verdana" w:hAnsi="Verdana"/>
          <w:color w:val="000000"/>
          <w:sz w:val="20"/>
          <w:szCs w:val="20"/>
          <w:lang w:val="en-US"/>
        </w:rPr>
        <w:t xml:space="preserve">did not </w:t>
      </w:r>
      <w:r w:rsidR="00CC6A08" w:rsidRPr="00D869E3">
        <w:rPr>
          <w:rFonts w:ascii="Verdana" w:hAnsi="Verdana"/>
          <w:color w:val="000000"/>
          <w:sz w:val="20"/>
          <w:szCs w:val="20"/>
          <w:lang w:val="en-US"/>
        </w:rPr>
        <w:t>indicate</w:t>
      </w:r>
      <w:r w:rsidRPr="00D869E3">
        <w:rPr>
          <w:rFonts w:ascii="Verdana" w:hAnsi="Verdana"/>
          <w:color w:val="000000"/>
          <w:sz w:val="20"/>
          <w:szCs w:val="20"/>
          <w:lang w:val="en-US"/>
        </w:rPr>
        <w:t xml:space="preserve"> the amount of the expenditure incurred during the litigation at the </w:t>
      </w:r>
      <w:r w:rsidR="00CC6A08" w:rsidRPr="00D869E3">
        <w:rPr>
          <w:rFonts w:ascii="Verdana" w:hAnsi="Verdana"/>
          <w:color w:val="000000"/>
          <w:sz w:val="20"/>
          <w:szCs w:val="20"/>
          <w:lang w:val="en-US"/>
        </w:rPr>
        <w:t>domestic</w:t>
      </w:r>
      <w:r w:rsidRPr="00D869E3">
        <w:rPr>
          <w:rFonts w:ascii="Verdana" w:hAnsi="Verdana"/>
          <w:color w:val="000000"/>
          <w:sz w:val="20"/>
          <w:szCs w:val="20"/>
          <w:lang w:val="en-US"/>
        </w:rPr>
        <w:t xml:space="preserve"> level, and did not provide any evidence in this regard, because the facts occurred approximately 28 years ago and the domestic proceedings began in 1998; </w:t>
      </w:r>
      <w:r w:rsidR="00CC6A08" w:rsidRPr="00D869E3">
        <w:rPr>
          <w:rFonts w:ascii="Verdana" w:hAnsi="Verdana"/>
          <w:color w:val="000000"/>
          <w:sz w:val="20"/>
          <w:szCs w:val="20"/>
          <w:lang w:val="en-US"/>
        </w:rPr>
        <w:t>that is</w:t>
      </w:r>
      <w:r w:rsidRPr="00D869E3">
        <w:rPr>
          <w:rFonts w:ascii="Verdana" w:hAnsi="Verdana"/>
          <w:color w:val="000000"/>
          <w:sz w:val="20"/>
          <w:szCs w:val="20"/>
          <w:lang w:val="en-US"/>
        </w:rPr>
        <w:t xml:space="preserve">, approximately 19 years ago. </w:t>
      </w:r>
      <w:r w:rsidR="006B7D3C" w:rsidRPr="00D869E3">
        <w:rPr>
          <w:rFonts w:ascii="Verdana" w:hAnsi="Verdana"/>
          <w:color w:val="000000"/>
          <w:sz w:val="20"/>
          <w:szCs w:val="20"/>
          <w:lang w:val="en-US"/>
        </w:rPr>
        <w:t>Therefore</w:t>
      </w:r>
      <w:r w:rsidRPr="00D869E3">
        <w:rPr>
          <w:rFonts w:ascii="Verdana" w:hAnsi="Verdana"/>
          <w:color w:val="000000"/>
          <w:sz w:val="20"/>
          <w:szCs w:val="20"/>
          <w:lang w:val="en-US"/>
        </w:rPr>
        <w:t xml:space="preserve">, the Court </w:t>
      </w:r>
      <w:r w:rsidR="00CC6A08" w:rsidRPr="00D869E3">
        <w:rPr>
          <w:rFonts w:ascii="Verdana" w:hAnsi="Verdana"/>
          <w:color w:val="000000"/>
          <w:sz w:val="20"/>
          <w:szCs w:val="20"/>
          <w:lang w:val="en-US"/>
        </w:rPr>
        <w:t>has no</w:t>
      </w:r>
      <w:r w:rsidRPr="00D869E3">
        <w:rPr>
          <w:rFonts w:ascii="Verdana" w:hAnsi="Verdana"/>
          <w:color w:val="000000"/>
          <w:sz w:val="20"/>
          <w:szCs w:val="20"/>
          <w:lang w:val="en-US"/>
        </w:rPr>
        <w:t xml:space="preserve"> evidence to determine the expen</w:t>
      </w:r>
      <w:r w:rsidR="00CC6A08" w:rsidRPr="00D869E3">
        <w:rPr>
          <w:rFonts w:ascii="Verdana" w:hAnsi="Verdana"/>
          <w:color w:val="000000"/>
          <w:sz w:val="20"/>
          <w:szCs w:val="20"/>
          <w:lang w:val="en-US"/>
        </w:rPr>
        <w:t>ses incurred</w:t>
      </w:r>
      <w:r w:rsidRPr="00D869E3">
        <w:rPr>
          <w:rFonts w:ascii="Verdana" w:hAnsi="Verdana"/>
          <w:color w:val="000000"/>
          <w:sz w:val="20"/>
          <w:szCs w:val="20"/>
          <w:lang w:val="en-US"/>
        </w:rPr>
        <w:t xml:space="preserve">. Regarding the expenses incurred by the </w:t>
      </w:r>
      <w:r w:rsidRPr="00D869E3">
        <w:rPr>
          <w:rFonts w:ascii="Verdana" w:hAnsi="Verdana"/>
          <w:i/>
          <w:iCs/>
          <w:color w:val="000000"/>
          <w:sz w:val="20"/>
          <w:szCs w:val="20"/>
          <w:lang w:val="en-US"/>
        </w:rPr>
        <w:t xml:space="preserve">Asociación Pro </w:t>
      </w:r>
      <w:r w:rsidR="00881A39" w:rsidRPr="00D869E3">
        <w:rPr>
          <w:rFonts w:ascii="Verdana" w:hAnsi="Verdana"/>
          <w:i/>
          <w:iCs/>
          <w:color w:val="000000"/>
          <w:sz w:val="20"/>
          <w:szCs w:val="20"/>
          <w:lang w:val="en-US"/>
        </w:rPr>
        <w:t>Rights</w:t>
      </w:r>
      <w:r w:rsidRPr="00D869E3">
        <w:rPr>
          <w:rFonts w:ascii="Verdana" w:hAnsi="Verdana"/>
          <w:i/>
          <w:iCs/>
          <w:color w:val="000000"/>
          <w:sz w:val="20"/>
          <w:szCs w:val="20"/>
          <w:lang w:val="en-US"/>
        </w:rPr>
        <w:t xml:space="preserve"> Humanos</w:t>
      </w:r>
      <w:r w:rsidRPr="00D869E3">
        <w:rPr>
          <w:rFonts w:ascii="Verdana" w:hAnsi="Verdana"/>
          <w:color w:val="000000"/>
          <w:sz w:val="20"/>
          <w:szCs w:val="20"/>
          <w:lang w:val="en-US"/>
        </w:rPr>
        <w:t xml:space="preserve"> (APRODEH) during the international proceedings, no evidence was provided to establish these. However, the Court considers </w:t>
      </w:r>
      <w:r w:rsidR="00CC6A08" w:rsidRPr="00D869E3">
        <w:rPr>
          <w:rFonts w:ascii="Verdana" w:hAnsi="Verdana"/>
          <w:color w:val="000000"/>
          <w:sz w:val="20"/>
          <w:szCs w:val="20"/>
          <w:lang w:val="en-US"/>
        </w:rPr>
        <w:t>it</w:t>
      </w:r>
      <w:r w:rsidRPr="00D869E3">
        <w:rPr>
          <w:rFonts w:ascii="Verdana" w:hAnsi="Verdana"/>
          <w:color w:val="000000"/>
          <w:sz w:val="20"/>
          <w:szCs w:val="20"/>
          <w:lang w:val="en-US"/>
        </w:rPr>
        <w:t xml:space="preserve"> reasonable to suppose that </w:t>
      </w:r>
      <w:r w:rsidR="00CC6A08" w:rsidRPr="00D869E3">
        <w:rPr>
          <w:rFonts w:ascii="Verdana" w:hAnsi="Verdana"/>
          <w:color w:val="000000"/>
          <w:sz w:val="20"/>
          <w:szCs w:val="20"/>
          <w:lang w:val="en-US"/>
        </w:rPr>
        <w:t xml:space="preserve">the victim made financial disbursements </w:t>
      </w:r>
      <w:r w:rsidRPr="00D869E3">
        <w:rPr>
          <w:rFonts w:ascii="Verdana" w:hAnsi="Verdana"/>
          <w:color w:val="000000"/>
          <w:sz w:val="20"/>
          <w:szCs w:val="20"/>
          <w:lang w:val="en-US"/>
        </w:rPr>
        <w:t xml:space="preserve">during the years this case was processed before the internal jurisdiction. </w:t>
      </w:r>
      <w:r w:rsidR="00CC6A08" w:rsidRPr="00D869E3">
        <w:rPr>
          <w:rFonts w:ascii="Verdana" w:hAnsi="Verdana"/>
          <w:color w:val="000000"/>
          <w:sz w:val="20"/>
          <w:szCs w:val="20"/>
          <w:lang w:val="en-US"/>
        </w:rPr>
        <w:t>T</w:t>
      </w:r>
      <w:r w:rsidRPr="00D869E3">
        <w:rPr>
          <w:rFonts w:ascii="Verdana" w:hAnsi="Verdana"/>
          <w:color w:val="000000"/>
          <w:sz w:val="20"/>
          <w:szCs w:val="20"/>
          <w:lang w:val="en-US"/>
        </w:rPr>
        <w:t>he Court also finds it reasonable that</w:t>
      </w:r>
      <w:r w:rsidRPr="00D869E3">
        <w:rPr>
          <w:rFonts w:ascii="Verdana" w:hAnsi="Verdana"/>
          <w:sz w:val="20"/>
          <w:szCs w:val="20"/>
          <w:lang w:val="en-US"/>
        </w:rPr>
        <w:t xml:space="preserve"> </w:t>
      </w:r>
      <w:r w:rsidR="001E44D3" w:rsidRPr="00D869E3">
        <w:rPr>
          <w:rFonts w:ascii="Verdana" w:hAnsi="Verdana"/>
          <w:color w:val="000000"/>
          <w:sz w:val="20"/>
          <w:szCs w:val="20"/>
          <w:lang w:val="en-US"/>
        </w:rPr>
        <w:t>Mr. Lagos del Campo</w:t>
      </w:r>
      <w:r w:rsidR="00687684" w:rsidRPr="00D869E3">
        <w:rPr>
          <w:rFonts w:ascii="Verdana" w:hAnsi="Verdana"/>
          <w:color w:val="000000"/>
          <w:sz w:val="20"/>
          <w:szCs w:val="20"/>
          <w:lang w:val="en-US"/>
        </w:rPr>
        <w:t xml:space="preserve"> and </w:t>
      </w:r>
      <w:r w:rsidR="001E44D3" w:rsidRPr="00D869E3">
        <w:rPr>
          <w:rFonts w:ascii="Verdana" w:hAnsi="Verdana"/>
          <w:color w:val="000000"/>
          <w:sz w:val="20"/>
          <w:szCs w:val="20"/>
          <w:lang w:val="en-US"/>
        </w:rPr>
        <w:t>his representatives</w:t>
      </w:r>
      <w:r w:rsidR="009C5D55" w:rsidRPr="00D869E3">
        <w:rPr>
          <w:rFonts w:ascii="Verdana" w:hAnsi="Verdana"/>
          <w:color w:val="000000"/>
          <w:sz w:val="20"/>
          <w:szCs w:val="20"/>
          <w:lang w:val="en-US"/>
        </w:rPr>
        <w:t xml:space="preserve"> ha</w:t>
      </w:r>
      <w:r w:rsidRPr="00D869E3">
        <w:rPr>
          <w:rFonts w:ascii="Verdana" w:hAnsi="Verdana"/>
          <w:color w:val="000000"/>
          <w:sz w:val="20"/>
          <w:szCs w:val="20"/>
          <w:lang w:val="en-US"/>
        </w:rPr>
        <w:t xml:space="preserve">ve incurred different expenses such as for honoraria, gathering of evidence, transportation, </w:t>
      </w:r>
      <w:r w:rsidR="004136CD" w:rsidRPr="00D869E3">
        <w:rPr>
          <w:rFonts w:ascii="Verdana" w:hAnsi="Verdana"/>
          <w:color w:val="000000"/>
          <w:sz w:val="20"/>
          <w:szCs w:val="20"/>
          <w:lang w:val="en-US"/>
        </w:rPr>
        <w:t xml:space="preserve">and </w:t>
      </w:r>
      <w:r w:rsidRPr="00D869E3">
        <w:rPr>
          <w:rFonts w:ascii="Verdana" w:hAnsi="Verdana"/>
          <w:color w:val="000000"/>
          <w:sz w:val="20"/>
          <w:szCs w:val="20"/>
          <w:lang w:val="en-US"/>
        </w:rPr>
        <w:t xml:space="preserve">communication services </w:t>
      </w:r>
      <w:r w:rsidR="004136CD" w:rsidRPr="00D869E3">
        <w:rPr>
          <w:rFonts w:ascii="Verdana" w:hAnsi="Verdana"/>
          <w:color w:val="000000"/>
          <w:sz w:val="20"/>
          <w:szCs w:val="20"/>
          <w:lang w:val="en-US"/>
        </w:rPr>
        <w:t xml:space="preserve">during the international processing of this case. </w:t>
      </w:r>
      <w:r w:rsidR="006B7D3C" w:rsidRPr="00D869E3">
        <w:rPr>
          <w:rFonts w:ascii="Verdana" w:hAnsi="Verdana"/>
          <w:sz w:val="20"/>
          <w:szCs w:val="20"/>
          <w:lang w:val="en-US"/>
        </w:rPr>
        <w:t>Consequently</w:t>
      </w:r>
      <w:r w:rsidR="009C5D55" w:rsidRPr="00D869E3">
        <w:rPr>
          <w:rFonts w:ascii="Verdana" w:hAnsi="Verdana"/>
          <w:sz w:val="20"/>
          <w:szCs w:val="20"/>
          <w:lang w:val="en-US"/>
        </w:rPr>
        <w:t xml:space="preserve">, </w:t>
      </w:r>
      <w:r w:rsidR="00447C65" w:rsidRPr="00D869E3">
        <w:rPr>
          <w:rFonts w:ascii="Verdana" w:hAnsi="Verdana"/>
          <w:sz w:val="20"/>
          <w:szCs w:val="20"/>
          <w:lang w:val="en-US"/>
        </w:rPr>
        <w:t>the Court</w:t>
      </w:r>
      <w:r w:rsidR="009C5D55" w:rsidRPr="00D869E3">
        <w:rPr>
          <w:rFonts w:ascii="Verdana" w:hAnsi="Verdana"/>
          <w:sz w:val="20"/>
          <w:szCs w:val="20"/>
          <w:lang w:val="en-US"/>
        </w:rPr>
        <w:t xml:space="preserve"> decide</w:t>
      </w:r>
      <w:r w:rsidR="006B7D3C" w:rsidRPr="00D869E3">
        <w:rPr>
          <w:rFonts w:ascii="Verdana" w:hAnsi="Verdana"/>
          <w:sz w:val="20"/>
          <w:szCs w:val="20"/>
          <w:lang w:val="en-US"/>
        </w:rPr>
        <w:t>s to establish the reasonable amount</w:t>
      </w:r>
      <w:r w:rsidR="009C5D55" w:rsidRPr="00D869E3">
        <w:rPr>
          <w:rFonts w:ascii="Verdana" w:hAnsi="Verdana"/>
          <w:sz w:val="20"/>
          <w:szCs w:val="20"/>
          <w:lang w:val="en-US"/>
        </w:rPr>
        <w:t xml:space="preserve"> </w:t>
      </w:r>
      <w:r w:rsidR="006B7D3C" w:rsidRPr="00D869E3">
        <w:rPr>
          <w:rFonts w:ascii="Verdana" w:hAnsi="Verdana"/>
          <w:sz w:val="20"/>
          <w:szCs w:val="20"/>
          <w:lang w:val="en-US"/>
        </w:rPr>
        <w:t>of</w:t>
      </w:r>
      <w:r w:rsidR="009C5D55" w:rsidRPr="00D869E3">
        <w:rPr>
          <w:rFonts w:ascii="Verdana" w:hAnsi="Verdana"/>
          <w:sz w:val="20"/>
          <w:szCs w:val="20"/>
          <w:lang w:val="en-US"/>
        </w:rPr>
        <w:t xml:space="preserve"> </w:t>
      </w:r>
      <w:r w:rsidR="007C10CE" w:rsidRPr="00D869E3">
        <w:rPr>
          <w:rFonts w:ascii="Verdana" w:hAnsi="Verdana"/>
          <w:sz w:val="20"/>
          <w:szCs w:val="20"/>
          <w:lang w:val="en-US"/>
        </w:rPr>
        <w:t>US$20,000 (</w:t>
      </w:r>
      <w:r w:rsidR="006B7D3C" w:rsidRPr="00D869E3">
        <w:rPr>
          <w:rFonts w:ascii="Verdana" w:hAnsi="Verdana"/>
          <w:sz w:val="20"/>
          <w:szCs w:val="20"/>
          <w:lang w:val="en-US"/>
        </w:rPr>
        <w:t>twenty</w:t>
      </w:r>
      <w:r w:rsidR="007C10CE" w:rsidRPr="00D869E3">
        <w:rPr>
          <w:rFonts w:ascii="Verdana" w:hAnsi="Verdana"/>
          <w:sz w:val="20"/>
          <w:szCs w:val="20"/>
          <w:lang w:val="en-US"/>
        </w:rPr>
        <w:t xml:space="preserve"> </w:t>
      </w:r>
      <w:r w:rsidR="004926D0" w:rsidRPr="00D869E3">
        <w:rPr>
          <w:rFonts w:ascii="Verdana" w:hAnsi="Verdana"/>
          <w:sz w:val="20"/>
          <w:szCs w:val="20"/>
          <w:lang w:val="en-US"/>
        </w:rPr>
        <w:t>thousand United States dollars</w:t>
      </w:r>
      <w:r w:rsidR="007C10CE" w:rsidRPr="00D869E3">
        <w:rPr>
          <w:rFonts w:ascii="Verdana" w:hAnsi="Verdana"/>
          <w:sz w:val="20"/>
          <w:szCs w:val="20"/>
          <w:lang w:val="en-US"/>
        </w:rPr>
        <w:t xml:space="preserve">) </w:t>
      </w:r>
      <w:r w:rsidR="006B7D3C" w:rsidRPr="00D869E3">
        <w:rPr>
          <w:rFonts w:ascii="Verdana" w:hAnsi="Verdana"/>
          <w:sz w:val="20"/>
          <w:szCs w:val="20"/>
          <w:lang w:val="en-US"/>
        </w:rPr>
        <w:t xml:space="preserve">for the work carried out in the litigation of this case, which must be delivered </w:t>
      </w:r>
      <w:r w:rsidR="00EE0BD4" w:rsidRPr="00D869E3">
        <w:rPr>
          <w:rFonts w:ascii="Verdana" w:hAnsi="Verdana"/>
          <w:sz w:val="20"/>
          <w:szCs w:val="20"/>
          <w:lang w:val="en-US"/>
        </w:rPr>
        <w:t>to Mr. Lagos</w:t>
      </w:r>
      <w:r w:rsidR="00E4380F" w:rsidRPr="00D869E3">
        <w:rPr>
          <w:rFonts w:ascii="Verdana" w:hAnsi="Verdana"/>
          <w:sz w:val="20"/>
          <w:szCs w:val="20"/>
          <w:lang w:val="en-US"/>
        </w:rPr>
        <w:t xml:space="preserve"> del Campo, </w:t>
      </w:r>
      <w:r w:rsidR="006B7D3C" w:rsidRPr="00D869E3">
        <w:rPr>
          <w:rFonts w:ascii="Verdana" w:hAnsi="Verdana"/>
          <w:sz w:val="20"/>
          <w:szCs w:val="20"/>
          <w:lang w:val="en-US"/>
        </w:rPr>
        <w:t xml:space="preserve">who </w:t>
      </w:r>
      <w:r w:rsidR="00616FBB" w:rsidRPr="00D869E3">
        <w:rPr>
          <w:rFonts w:ascii="Verdana" w:hAnsi="Verdana"/>
          <w:sz w:val="20"/>
          <w:szCs w:val="20"/>
          <w:lang w:val="en-US"/>
        </w:rPr>
        <w:t>shall</w:t>
      </w:r>
      <w:r w:rsidR="006B7D3C" w:rsidRPr="00D869E3">
        <w:rPr>
          <w:rFonts w:ascii="Verdana" w:hAnsi="Verdana"/>
          <w:sz w:val="20"/>
          <w:szCs w:val="20"/>
          <w:lang w:val="en-US"/>
        </w:rPr>
        <w:t xml:space="preserve"> deliver the corresponding sum </w:t>
      </w:r>
      <w:r w:rsidR="00CC6A08" w:rsidRPr="00D869E3">
        <w:rPr>
          <w:rFonts w:ascii="Verdana" w:hAnsi="Verdana"/>
          <w:sz w:val="20"/>
          <w:szCs w:val="20"/>
          <w:lang w:val="en-US"/>
        </w:rPr>
        <w:t xml:space="preserve">to his representatives </w:t>
      </w:r>
      <w:r w:rsidR="006B7D3C" w:rsidRPr="00D869E3">
        <w:rPr>
          <w:rFonts w:ascii="Verdana" w:hAnsi="Verdana"/>
          <w:sz w:val="20"/>
          <w:szCs w:val="20"/>
          <w:lang w:val="en-US"/>
        </w:rPr>
        <w:t>based on the assistance they have provided</w:t>
      </w:r>
      <w:r w:rsidR="009C5D55" w:rsidRPr="00D869E3">
        <w:rPr>
          <w:rFonts w:ascii="Verdana" w:hAnsi="Verdana"/>
          <w:sz w:val="20"/>
          <w:szCs w:val="20"/>
          <w:lang w:val="en-US"/>
        </w:rPr>
        <w:t xml:space="preserve">. </w:t>
      </w:r>
    </w:p>
    <w:p w14:paraId="12629D5E" w14:textId="77777777" w:rsidR="009C5D55" w:rsidRPr="00D869E3" w:rsidRDefault="009C5D55" w:rsidP="009C5D55">
      <w:pPr>
        <w:rPr>
          <w:rFonts w:ascii="Verdana" w:hAnsi="Verdana"/>
          <w:sz w:val="20"/>
          <w:szCs w:val="20"/>
          <w:lang w:val="en-US"/>
        </w:rPr>
      </w:pPr>
    </w:p>
    <w:p w14:paraId="6C3BDAF0" w14:textId="198D852F" w:rsidR="009C5D55" w:rsidRPr="00D869E3" w:rsidRDefault="00B44B46" w:rsidP="00E66DD7">
      <w:pPr>
        <w:pStyle w:val="Ttulo2"/>
        <w:numPr>
          <w:ilvl w:val="0"/>
          <w:numId w:val="13"/>
        </w:numPr>
        <w:rPr>
          <w:i/>
          <w:lang w:val="en-US"/>
        </w:rPr>
      </w:pPr>
      <w:bookmarkStart w:id="74" w:name="_Toc29114161"/>
      <w:r w:rsidRPr="00D869E3">
        <w:rPr>
          <w:i/>
          <w:lang w:val="en-US"/>
        </w:rPr>
        <w:t>Reimbursement of expenditure to the</w:t>
      </w:r>
      <w:r w:rsidR="009C5D55" w:rsidRPr="00D869E3">
        <w:rPr>
          <w:i/>
          <w:lang w:val="en-US"/>
        </w:rPr>
        <w:t xml:space="preserve"> </w:t>
      </w:r>
      <w:r w:rsidR="00CE3F0D" w:rsidRPr="00D869E3">
        <w:rPr>
          <w:i/>
          <w:lang w:val="en-US"/>
        </w:rPr>
        <w:t>Victims’ Legal Assistance Fund</w:t>
      </w:r>
      <w:bookmarkEnd w:id="74"/>
    </w:p>
    <w:p w14:paraId="4F4B2771" w14:textId="77777777" w:rsidR="009C5D55" w:rsidRPr="00D869E3" w:rsidRDefault="009C5D55" w:rsidP="009C5D55">
      <w:pPr>
        <w:autoSpaceDE w:val="0"/>
        <w:autoSpaceDN w:val="0"/>
        <w:adjustRightInd w:val="0"/>
        <w:ind w:right="49"/>
        <w:contextualSpacing/>
        <w:jc w:val="both"/>
        <w:rPr>
          <w:rFonts w:ascii="Verdana" w:hAnsi="Verdana" w:cs="Verdana"/>
          <w:sz w:val="20"/>
          <w:szCs w:val="20"/>
          <w:lang w:val="en-US"/>
        </w:rPr>
      </w:pPr>
    </w:p>
    <w:p w14:paraId="1134F671" w14:textId="17599091" w:rsidR="009C5D55" w:rsidRPr="00D869E3" w:rsidRDefault="009C5D55" w:rsidP="006B7D3C">
      <w:pPr>
        <w:widowControl w:val="0"/>
        <w:numPr>
          <w:ilvl w:val="0"/>
          <w:numId w:val="1"/>
        </w:numPr>
        <w:tabs>
          <w:tab w:val="center" w:pos="0"/>
        </w:tabs>
        <w:autoSpaceDE w:val="0"/>
        <w:autoSpaceDN w:val="0"/>
        <w:adjustRightInd w:val="0"/>
        <w:ind w:left="0" w:firstLine="0"/>
        <w:contextualSpacing/>
        <w:jc w:val="both"/>
        <w:rPr>
          <w:rFonts w:ascii="Verdana" w:hAnsi="Verdana" w:cs="Verdana"/>
          <w:color w:val="000000"/>
          <w:sz w:val="20"/>
          <w:szCs w:val="20"/>
          <w:lang w:val="en-US"/>
        </w:rPr>
      </w:pPr>
      <w:r w:rsidRPr="00D869E3">
        <w:rPr>
          <w:rFonts w:ascii="Verdana" w:hAnsi="Verdana" w:cs="Verdana"/>
          <w:color w:val="000000"/>
          <w:sz w:val="20"/>
          <w:szCs w:val="20"/>
          <w:lang w:val="en-US"/>
        </w:rPr>
        <w:t xml:space="preserve"> </w:t>
      </w:r>
      <w:r w:rsidR="006B7D3C" w:rsidRPr="00D869E3">
        <w:rPr>
          <w:rFonts w:ascii="Verdana" w:hAnsi="Verdana" w:cs="Verdana"/>
          <w:color w:val="000000"/>
          <w:sz w:val="20"/>
          <w:szCs w:val="20"/>
          <w:lang w:val="en-US"/>
        </w:rPr>
        <w:t xml:space="preserve">The victim requested access to the </w:t>
      </w:r>
      <w:r w:rsidR="00CE3F0D" w:rsidRPr="00D869E3">
        <w:rPr>
          <w:rFonts w:ascii="Verdana" w:hAnsi="Verdana" w:cs="Verdana"/>
          <w:color w:val="000000"/>
          <w:sz w:val="20"/>
          <w:szCs w:val="20"/>
          <w:lang w:val="en-US"/>
        </w:rPr>
        <w:t xml:space="preserve">Court’s </w:t>
      </w:r>
      <w:r w:rsidR="00616FBB" w:rsidRPr="00D869E3">
        <w:rPr>
          <w:rFonts w:ascii="Verdana" w:hAnsi="Verdana" w:cs="Verdana"/>
          <w:color w:val="000000"/>
          <w:sz w:val="20"/>
          <w:szCs w:val="20"/>
          <w:lang w:val="en-US"/>
        </w:rPr>
        <w:t xml:space="preserve">Legal </w:t>
      </w:r>
      <w:r w:rsidR="00CE3F0D" w:rsidRPr="00D869E3">
        <w:rPr>
          <w:rFonts w:ascii="Verdana" w:hAnsi="Verdana" w:cs="Verdana"/>
          <w:color w:val="000000"/>
          <w:sz w:val="20"/>
          <w:szCs w:val="20"/>
          <w:lang w:val="en-US"/>
        </w:rPr>
        <w:t>Assistance Fund</w:t>
      </w:r>
      <w:r w:rsidR="006B7D3C" w:rsidRPr="00D869E3">
        <w:rPr>
          <w:rFonts w:ascii="Verdana" w:hAnsi="Verdana" w:cs="Verdana"/>
          <w:color w:val="000000"/>
          <w:sz w:val="20"/>
          <w:szCs w:val="20"/>
          <w:lang w:val="en-US"/>
        </w:rPr>
        <w:t>.</w:t>
      </w:r>
      <w:r w:rsidR="006B7D3C" w:rsidRPr="00D869E3">
        <w:rPr>
          <w:rFonts w:ascii="Verdana" w:hAnsi="Verdana" w:cs="Verdana"/>
          <w:b/>
          <w:color w:val="000000"/>
          <w:sz w:val="20"/>
          <w:szCs w:val="20"/>
          <w:lang w:val="en-US"/>
        </w:rPr>
        <w:t xml:space="preserve"> </w:t>
      </w:r>
      <w:r w:rsidR="006B7D3C" w:rsidRPr="00D869E3">
        <w:rPr>
          <w:rFonts w:ascii="Verdana" w:hAnsi="Verdana" w:cs="Verdana"/>
          <w:bCs/>
          <w:color w:val="000000"/>
          <w:sz w:val="20"/>
          <w:szCs w:val="20"/>
          <w:lang w:val="en-US"/>
        </w:rPr>
        <w:t>In an o</w:t>
      </w:r>
      <w:r w:rsidR="006B7D3C" w:rsidRPr="00D869E3">
        <w:rPr>
          <w:rFonts w:ascii="Verdana" w:hAnsi="Verdana" w:cs="Verdana"/>
          <w:color w:val="000000"/>
          <w:sz w:val="20"/>
          <w:szCs w:val="20"/>
          <w:lang w:val="en-US"/>
        </w:rPr>
        <w:t xml:space="preserve">rder of the President of July 14, 2016, it was established that the financial assistance would be allocated to cover, </w:t>
      </w:r>
      <w:r w:rsidR="006B7D3C" w:rsidRPr="00D869E3">
        <w:rPr>
          <w:rFonts w:ascii="Verdana" w:hAnsi="Verdana" w:cs="Verdana"/>
          <w:i/>
          <w:iCs/>
          <w:color w:val="000000"/>
          <w:sz w:val="20"/>
          <w:szCs w:val="20"/>
          <w:lang w:val="en-US"/>
        </w:rPr>
        <w:t>inter alia</w:t>
      </w:r>
      <w:r w:rsidR="006B7D3C" w:rsidRPr="00D869E3">
        <w:rPr>
          <w:rFonts w:ascii="Verdana" w:hAnsi="Verdana" w:cs="Verdana"/>
          <w:color w:val="000000"/>
          <w:sz w:val="20"/>
          <w:szCs w:val="20"/>
          <w:lang w:val="en-US"/>
        </w:rPr>
        <w:t xml:space="preserve">, the necessary travel and accommodation expenses for the victim to attend the public hearing, </w:t>
      </w:r>
      <w:r w:rsidR="00BA37EC" w:rsidRPr="00D869E3">
        <w:rPr>
          <w:rFonts w:ascii="Verdana" w:hAnsi="Verdana" w:cs="Verdana"/>
          <w:color w:val="000000"/>
          <w:sz w:val="20"/>
          <w:szCs w:val="20"/>
          <w:lang w:val="en-US"/>
        </w:rPr>
        <w:t xml:space="preserve">and the expenses relating to the preparation and mailing of the affidavit of </w:t>
      </w:r>
      <w:r w:rsidR="001E44D3" w:rsidRPr="00D869E3">
        <w:rPr>
          <w:rFonts w:ascii="Verdana" w:hAnsi="Verdana" w:cs="Verdana"/>
          <w:color w:val="000000"/>
          <w:sz w:val="20"/>
          <w:szCs w:val="20"/>
          <w:lang w:val="en-US"/>
        </w:rPr>
        <w:t>expert witness</w:t>
      </w:r>
      <w:r w:rsidRPr="00D869E3">
        <w:rPr>
          <w:rFonts w:ascii="Verdana" w:hAnsi="Verdana" w:cs="Verdana"/>
          <w:color w:val="000000"/>
          <w:sz w:val="20"/>
          <w:szCs w:val="20"/>
          <w:lang w:val="en-US"/>
        </w:rPr>
        <w:t xml:space="preserve"> Carlos Jibaja Zárate</w:t>
      </w:r>
      <w:r w:rsidR="00BA37EC" w:rsidRPr="00D869E3">
        <w:rPr>
          <w:rFonts w:ascii="Verdana" w:hAnsi="Verdana" w:cs="Verdana"/>
          <w:color w:val="000000"/>
          <w:sz w:val="20"/>
          <w:szCs w:val="20"/>
          <w:lang w:val="en-US"/>
        </w:rPr>
        <w:t>.</w:t>
      </w:r>
      <w:r w:rsidRPr="00D869E3">
        <w:rPr>
          <w:rFonts w:ascii="Verdana" w:hAnsi="Verdana" w:cs="Verdana"/>
          <w:color w:val="000000"/>
          <w:sz w:val="20"/>
          <w:szCs w:val="20"/>
          <w:vertAlign w:val="superscript"/>
          <w:lang w:val="en-US"/>
        </w:rPr>
        <w:footnoteReference w:id="277"/>
      </w:r>
    </w:p>
    <w:p w14:paraId="37DEFF1B" w14:textId="77777777" w:rsidR="009C5D55" w:rsidRPr="00D869E3" w:rsidRDefault="009C5D55" w:rsidP="009C5D55">
      <w:pPr>
        <w:tabs>
          <w:tab w:val="center" w:pos="0"/>
        </w:tabs>
        <w:autoSpaceDE w:val="0"/>
        <w:autoSpaceDN w:val="0"/>
        <w:adjustRightInd w:val="0"/>
        <w:jc w:val="both"/>
        <w:rPr>
          <w:rFonts w:ascii="Verdana" w:hAnsi="Verdana" w:cs="Verdana"/>
          <w:color w:val="000000"/>
          <w:sz w:val="20"/>
          <w:szCs w:val="20"/>
          <w:lang w:val="en-US"/>
        </w:rPr>
      </w:pPr>
    </w:p>
    <w:p w14:paraId="2FCEC5F3" w14:textId="022A6DD4" w:rsidR="009C5D55" w:rsidRPr="00D869E3" w:rsidRDefault="009C5D55" w:rsidP="00715661">
      <w:pPr>
        <w:widowControl w:val="0"/>
        <w:numPr>
          <w:ilvl w:val="0"/>
          <w:numId w:val="1"/>
        </w:numPr>
        <w:tabs>
          <w:tab w:val="center" w:pos="0"/>
        </w:tabs>
        <w:autoSpaceDE w:val="0"/>
        <w:autoSpaceDN w:val="0"/>
        <w:adjustRightInd w:val="0"/>
        <w:ind w:left="0" w:firstLine="0"/>
        <w:contextualSpacing/>
        <w:jc w:val="both"/>
        <w:rPr>
          <w:rFonts w:ascii="Verdana" w:hAnsi="Verdana"/>
          <w:sz w:val="20"/>
          <w:szCs w:val="20"/>
          <w:lang w:val="en-US"/>
        </w:rPr>
      </w:pPr>
      <w:r w:rsidRPr="00D869E3">
        <w:rPr>
          <w:rFonts w:ascii="Verdana" w:hAnsi="Verdana" w:cs="Verdana"/>
          <w:color w:val="000000"/>
          <w:sz w:val="20"/>
          <w:szCs w:val="20"/>
          <w:lang w:val="en-US"/>
        </w:rPr>
        <w:t xml:space="preserve"> </w:t>
      </w:r>
      <w:r w:rsidR="00101A57" w:rsidRPr="00D869E3">
        <w:rPr>
          <w:rFonts w:ascii="Verdana" w:hAnsi="Verdana" w:cs="Verdana"/>
          <w:color w:val="000000"/>
          <w:sz w:val="20"/>
          <w:szCs w:val="20"/>
          <w:lang w:val="en-US"/>
        </w:rPr>
        <w:t>In a Secretariat note of April 7,</w:t>
      </w:r>
      <w:r w:rsidR="0056094E" w:rsidRPr="00D869E3">
        <w:rPr>
          <w:rFonts w:ascii="Verdana" w:hAnsi="Verdana" w:cs="Verdana"/>
          <w:sz w:val="20"/>
          <w:szCs w:val="20"/>
          <w:lang w:val="en-US"/>
        </w:rPr>
        <w:t xml:space="preserve"> 201</w:t>
      </w:r>
      <w:r w:rsidR="00D9490E" w:rsidRPr="00D869E3">
        <w:rPr>
          <w:rFonts w:ascii="Verdana" w:hAnsi="Verdana" w:cs="Verdana"/>
          <w:sz w:val="20"/>
          <w:szCs w:val="20"/>
          <w:lang w:val="en-US"/>
        </w:rPr>
        <w:t>7</w:t>
      </w:r>
      <w:r w:rsidRPr="00D869E3">
        <w:rPr>
          <w:rFonts w:ascii="Verdana" w:hAnsi="Verdana" w:cs="Verdana"/>
          <w:sz w:val="20"/>
          <w:szCs w:val="20"/>
          <w:lang w:val="en-US"/>
        </w:rPr>
        <w:t xml:space="preserve">, </w:t>
      </w:r>
      <w:r w:rsidR="00101A57" w:rsidRPr="00D869E3">
        <w:rPr>
          <w:rFonts w:ascii="Verdana" w:hAnsi="Verdana" w:cs="Verdana"/>
          <w:sz w:val="20"/>
          <w:szCs w:val="20"/>
          <w:lang w:val="en-US"/>
        </w:rPr>
        <w:t>a report on the disbursements made from the Victims’ Assistance Fund in this case</w:t>
      </w:r>
      <w:r w:rsidR="00616FBB" w:rsidRPr="00D869E3">
        <w:rPr>
          <w:rFonts w:ascii="Verdana" w:hAnsi="Verdana" w:cs="Verdana"/>
          <w:sz w:val="20"/>
          <w:szCs w:val="20"/>
          <w:lang w:val="en-US"/>
        </w:rPr>
        <w:t>, which</w:t>
      </w:r>
      <w:r w:rsidR="00101A57" w:rsidRPr="00D869E3">
        <w:rPr>
          <w:rFonts w:ascii="Verdana" w:hAnsi="Verdana" w:cs="Verdana"/>
          <w:sz w:val="20"/>
          <w:szCs w:val="20"/>
          <w:lang w:val="en-US"/>
        </w:rPr>
        <w:t xml:space="preserve"> amounted to </w:t>
      </w:r>
      <w:r w:rsidRPr="00D869E3">
        <w:rPr>
          <w:rFonts w:ascii="Verdana" w:hAnsi="Verdana" w:cs="Verdana"/>
          <w:color w:val="000000"/>
          <w:sz w:val="20"/>
          <w:szCs w:val="20"/>
          <w:lang w:val="en-US"/>
        </w:rPr>
        <w:t>US</w:t>
      </w:r>
      <w:r w:rsidR="00616FBB" w:rsidRPr="00D869E3">
        <w:rPr>
          <w:rFonts w:ascii="Verdana" w:hAnsi="Verdana" w:cs="Verdana"/>
          <w:color w:val="000000"/>
          <w:sz w:val="20"/>
          <w:szCs w:val="20"/>
          <w:lang w:val="en-US"/>
        </w:rPr>
        <w:t>$</w:t>
      </w:r>
      <w:r w:rsidRPr="00D869E3">
        <w:rPr>
          <w:rFonts w:ascii="Verdana" w:hAnsi="Verdana" w:cs="Verdana"/>
          <w:sz w:val="20"/>
          <w:szCs w:val="20"/>
          <w:lang w:val="en-US"/>
        </w:rPr>
        <w:t>1,336.81 (</w:t>
      </w:r>
      <w:r w:rsidR="00101A57" w:rsidRPr="00D869E3">
        <w:rPr>
          <w:rFonts w:ascii="Verdana" w:hAnsi="Verdana" w:cs="Verdana"/>
          <w:sz w:val="20"/>
          <w:szCs w:val="20"/>
          <w:lang w:val="en-US"/>
        </w:rPr>
        <w:t>one thousand three hundred and thirty-six United States dollars and eighty-one cents</w:t>
      </w:r>
      <w:r w:rsidRPr="00D869E3">
        <w:rPr>
          <w:rFonts w:ascii="Verdana" w:hAnsi="Verdana" w:cs="Verdana"/>
          <w:sz w:val="20"/>
          <w:szCs w:val="20"/>
          <w:lang w:val="en-US"/>
        </w:rPr>
        <w:t>)</w:t>
      </w:r>
      <w:r w:rsidR="00616FBB" w:rsidRPr="00D869E3">
        <w:rPr>
          <w:rFonts w:ascii="Verdana" w:hAnsi="Verdana" w:cs="Verdana"/>
          <w:sz w:val="20"/>
          <w:szCs w:val="20"/>
          <w:lang w:val="en-US"/>
        </w:rPr>
        <w:t>,</w:t>
      </w:r>
      <w:r w:rsidRPr="00D869E3">
        <w:rPr>
          <w:rFonts w:ascii="Verdana" w:hAnsi="Verdana"/>
          <w:sz w:val="20"/>
          <w:szCs w:val="20"/>
          <w:vertAlign w:val="superscript"/>
          <w:lang w:val="en-US"/>
        </w:rPr>
        <w:footnoteReference w:id="278"/>
      </w:r>
      <w:r w:rsidRPr="00D869E3">
        <w:rPr>
          <w:rFonts w:ascii="Verdana" w:hAnsi="Verdana" w:cs="Verdana"/>
          <w:sz w:val="20"/>
          <w:szCs w:val="20"/>
          <w:lang w:val="en-US"/>
        </w:rPr>
        <w:t xml:space="preserve"> </w:t>
      </w:r>
      <w:r w:rsidR="00616FBB" w:rsidRPr="00D869E3">
        <w:rPr>
          <w:rFonts w:ascii="Verdana" w:hAnsi="Verdana" w:cs="Verdana"/>
          <w:sz w:val="20"/>
          <w:szCs w:val="20"/>
          <w:lang w:val="en-US"/>
        </w:rPr>
        <w:t xml:space="preserve">was sent to the State. </w:t>
      </w:r>
      <w:r w:rsidR="00616FBB" w:rsidRPr="00D869E3">
        <w:rPr>
          <w:rFonts w:ascii="Verdana" w:hAnsi="Verdana" w:cs="Verdana"/>
          <w:color w:val="000000"/>
          <w:sz w:val="20"/>
          <w:szCs w:val="20"/>
          <w:lang w:val="en-US"/>
        </w:rPr>
        <w:t>P</w:t>
      </w:r>
      <w:r w:rsidR="00101A57" w:rsidRPr="00D869E3">
        <w:rPr>
          <w:rFonts w:ascii="Verdana" w:hAnsi="Verdana" w:cs="Verdana"/>
          <w:color w:val="000000"/>
          <w:sz w:val="20"/>
          <w:szCs w:val="20"/>
          <w:lang w:val="en-US"/>
        </w:rPr>
        <w:t xml:space="preserve">ursuant to </w:t>
      </w:r>
      <w:r w:rsidR="00616FBB" w:rsidRPr="00D869E3">
        <w:rPr>
          <w:rFonts w:ascii="Verdana" w:hAnsi="Verdana" w:cs="Verdana"/>
          <w:color w:val="000000"/>
          <w:sz w:val="20"/>
          <w:szCs w:val="20"/>
          <w:lang w:val="en-US"/>
        </w:rPr>
        <w:t>a</w:t>
      </w:r>
      <w:r w:rsidR="00447C65" w:rsidRPr="00D869E3">
        <w:rPr>
          <w:rFonts w:ascii="Verdana" w:hAnsi="Verdana" w:cs="Verdana"/>
          <w:color w:val="000000"/>
          <w:sz w:val="20"/>
          <w:szCs w:val="20"/>
          <w:lang w:val="en-US"/>
        </w:rPr>
        <w:t>rticle</w:t>
      </w:r>
      <w:r w:rsidRPr="00D869E3">
        <w:rPr>
          <w:rFonts w:ascii="Verdana" w:hAnsi="Verdana" w:cs="Verdana"/>
          <w:color w:val="000000"/>
          <w:sz w:val="20"/>
          <w:szCs w:val="20"/>
          <w:lang w:val="en-US"/>
        </w:rPr>
        <w:t xml:space="preserve"> 5</w:t>
      </w:r>
      <w:r w:rsidR="00447C65" w:rsidRPr="00D869E3">
        <w:rPr>
          <w:rFonts w:ascii="Verdana" w:hAnsi="Verdana" w:cs="Verdana"/>
          <w:color w:val="000000"/>
          <w:sz w:val="20"/>
          <w:szCs w:val="20"/>
          <w:lang w:val="en-US"/>
        </w:rPr>
        <w:t xml:space="preserve"> of the Rules </w:t>
      </w:r>
      <w:r w:rsidR="00101A57" w:rsidRPr="00D869E3">
        <w:rPr>
          <w:rFonts w:ascii="Verdana" w:hAnsi="Verdana" w:cs="Verdana"/>
          <w:color w:val="000000"/>
          <w:sz w:val="20"/>
          <w:szCs w:val="20"/>
          <w:lang w:val="en-US"/>
        </w:rPr>
        <w:t xml:space="preserve">for the Operation of this Fund, Peru was granted a </w:t>
      </w:r>
      <w:r w:rsidR="00616FBB" w:rsidRPr="00D869E3">
        <w:rPr>
          <w:rFonts w:ascii="Verdana" w:hAnsi="Verdana" w:cs="Verdana"/>
          <w:color w:val="000000"/>
          <w:sz w:val="20"/>
          <w:szCs w:val="20"/>
          <w:lang w:val="en-US"/>
        </w:rPr>
        <w:t xml:space="preserve">specific </w:t>
      </w:r>
      <w:r w:rsidR="00101A57" w:rsidRPr="00D869E3">
        <w:rPr>
          <w:rFonts w:ascii="Verdana" w:hAnsi="Verdana" w:cs="Verdana"/>
          <w:color w:val="000000"/>
          <w:sz w:val="20"/>
          <w:szCs w:val="20"/>
          <w:lang w:val="en-US"/>
        </w:rPr>
        <w:t>time frame for presenting any observations it deemed pertinent,</w:t>
      </w:r>
      <w:r w:rsidR="005B3D37" w:rsidRPr="00D869E3">
        <w:rPr>
          <w:rStyle w:val="Refdenotaalpie"/>
          <w:szCs w:val="20"/>
          <w:lang w:val="en-US"/>
        </w:rPr>
        <w:footnoteReference w:id="279"/>
      </w:r>
      <w:r w:rsidR="00101A57" w:rsidRPr="00D869E3">
        <w:rPr>
          <w:rFonts w:ascii="Verdana" w:hAnsi="Verdana" w:cs="Verdana"/>
          <w:color w:val="000000"/>
          <w:sz w:val="20"/>
          <w:szCs w:val="20"/>
          <w:lang w:val="en-US"/>
        </w:rPr>
        <w:t xml:space="preserve"> and advised that th</w:t>
      </w:r>
      <w:r w:rsidR="00616FBB" w:rsidRPr="00D869E3">
        <w:rPr>
          <w:rFonts w:ascii="Verdana" w:hAnsi="Verdana" w:cs="Verdana"/>
          <w:color w:val="000000"/>
          <w:sz w:val="20"/>
          <w:szCs w:val="20"/>
          <w:lang w:val="en-US"/>
        </w:rPr>
        <w:t>e said</w:t>
      </w:r>
      <w:r w:rsidR="00101A57" w:rsidRPr="00D869E3">
        <w:rPr>
          <w:rFonts w:ascii="Verdana" w:hAnsi="Verdana" w:cs="Verdana"/>
          <w:color w:val="000000"/>
          <w:sz w:val="20"/>
          <w:szCs w:val="20"/>
          <w:lang w:val="en-US"/>
        </w:rPr>
        <w:t xml:space="preserve"> </w:t>
      </w:r>
      <w:r w:rsidR="00101A57" w:rsidRPr="00D869E3">
        <w:rPr>
          <w:rFonts w:ascii="Verdana" w:hAnsi="Verdana" w:cs="Verdana"/>
          <w:color w:val="000000"/>
          <w:sz w:val="20"/>
          <w:szCs w:val="20"/>
          <w:lang w:val="en-US"/>
        </w:rPr>
        <w:lastRenderedPageBreak/>
        <w:t xml:space="preserve">amount must be reimbursed within 90 days of notification of this judgment. </w:t>
      </w:r>
      <w:r w:rsidR="005B3D37" w:rsidRPr="00D869E3">
        <w:rPr>
          <w:rFonts w:ascii="Verdana" w:hAnsi="Verdana" w:cs="Verdana"/>
          <w:sz w:val="20"/>
          <w:szCs w:val="20"/>
          <w:lang w:val="en-US"/>
        </w:rPr>
        <w:t xml:space="preserve"> </w:t>
      </w:r>
    </w:p>
    <w:p w14:paraId="20EE1496" w14:textId="77777777" w:rsidR="00101A57" w:rsidRPr="00D869E3" w:rsidRDefault="00101A57" w:rsidP="00101A57">
      <w:pPr>
        <w:widowControl w:val="0"/>
        <w:tabs>
          <w:tab w:val="center" w:pos="0"/>
        </w:tabs>
        <w:autoSpaceDE w:val="0"/>
        <w:autoSpaceDN w:val="0"/>
        <w:adjustRightInd w:val="0"/>
        <w:contextualSpacing/>
        <w:jc w:val="both"/>
        <w:rPr>
          <w:rFonts w:ascii="Verdana" w:hAnsi="Verdana"/>
          <w:sz w:val="20"/>
          <w:szCs w:val="20"/>
          <w:lang w:val="en-US"/>
        </w:rPr>
      </w:pPr>
    </w:p>
    <w:p w14:paraId="2A8CC263" w14:textId="328B97E5" w:rsidR="009C5D55" w:rsidRPr="00D869E3" w:rsidRDefault="00B44B46" w:rsidP="00E66DD7">
      <w:pPr>
        <w:pStyle w:val="Ttulo2"/>
        <w:numPr>
          <w:ilvl w:val="0"/>
          <w:numId w:val="13"/>
        </w:numPr>
        <w:rPr>
          <w:i/>
          <w:szCs w:val="20"/>
          <w:lang w:val="en-US"/>
        </w:rPr>
      </w:pPr>
      <w:bookmarkStart w:id="75" w:name="_Toc29114162"/>
      <w:r w:rsidRPr="00D869E3">
        <w:rPr>
          <w:i/>
          <w:szCs w:val="20"/>
          <w:lang w:val="en-US"/>
        </w:rPr>
        <w:t>Method of complying with the payments ordered</w:t>
      </w:r>
      <w:bookmarkEnd w:id="75"/>
    </w:p>
    <w:p w14:paraId="750A1D66" w14:textId="77777777" w:rsidR="009C5D55" w:rsidRPr="00D869E3" w:rsidRDefault="009C5D55" w:rsidP="009C5D55">
      <w:pPr>
        <w:rPr>
          <w:rFonts w:ascii="Verdana" w:hAnsi="Verdana"/>
          <w:sz w:val="20"/>
          <w:szCs w:val="20"/>
          <w:lang w:val="en-US"/>
        </w:rPr>
      </w:pPr>
    </w:p>
    <w:p w14:paraId="15883925" w14:textId="428ECC3C" w:rsidR="00101A57" w:rsidRPr="00D869E3" w:rsidRDefault="00447C65" w:rsidP="00616FBB">
      <w:pPr>
        <w:widowControl w:val="0"/>
        <w:numPr>
          <w:ilvl w:val="0"/>
          <w:numId w:val="1"/>
        </w:numPr>
        <w:tabs>
          <w:tab w:val="center" w:pos="720"/>
        </w:tabs>
        <w:autoSpaceDE w:val="0"/>
        <w:autoSpaceDN w:val="0"/>
        <w:adjustRightInd w:val="0"/>
        <w:ind w:left="0" w:firstLine="0"/>
        <w:contextualSpacing/>
        <w:jc w:val="both"/>
        <w:rPr>
          <w:rFonts w:ascii="Verdana" w:hAnsi="Verdana"/>
          <w:sz w:val="20"/>
          <w:szCs w:val="20"/>
          <w:lang w:val="en-US"/>
        </w:rPr>
      </w:pPr>
      <w:r w:rsidRPr="00D869E3">
        <w:rPr>
          <w:rFonts w:ascii="Verdana" w:hAnsi="Verdana"/>
          <w:sz w:val="20"/>
          <w:szCs w:val="20"/>
          <w:lang w:val="en-US"/>
        </w:rPr>
        <w:t>The State</w:t>
      </w:r>
      <w:r w:rsidR="009C5D55" w:rsidRPr="00D869E3">
        <w:rPr>
          <w:rFonts w:ascii="Verdana" w:hAnsi="Verdana"/>
          <w:sz w:val="20"/>
          <w:szCs w:val="20"/>
          <w:lang w:val="en-US"/>
        </w:rPr>
        <w:t xml:space="preserve"> </w:t>
      </w:r>
      <w:r w:rsidR="00616FBB" w:rsidRPr="00D869E3">
        <w:rPr>
          <w:rFonts w:ascii="Verdana" w:hAnsi="Verdana"/>
          <w:sz w:val="20"/>
          <w:szCs w:val="20"/>
          <w:lang w:val="en-US"/>
        </w:rPr>
        <w:t>shall</w:t>
      </w:r>
      <w:r w:rsidR="00101A57" w:rsidRPr="00D869E3">
        <w:rPr>
          <w:rFonts w:ascii="Verdana" w:hAnsi="Verdana"/>
          <w:sz w:val="20"/>
          <w:szCs w:val="20"/>
          <w:lang w:val="en-US"/>
        </w:rPr>
        <w:t xml:space="preserve"> make the payments of compensation for pecuniary and non-pecuniary damage and to reimburse costs and expenses established in this judgment directly to the person indicated herein, within one year of notification of this judgment in accordance with the following paragraphs</w:t>
      </w:r>
      <w:r w:rsidR="009F315A" w:rsidRPr="00D869E3">
        <w:rPr>
          <w:rFonts w:ascii="Verdana" w:hAnsi="Verdana"/>
          <w:sz w:val="20"/>
          <w:szCs w:val="20"/>
          <w:lang w:val="en-US"/>
        </w:rPr>
        <w:t>.</w:t>
      </w:r>
    </w:p>
    <w:p w14:paraId="78952A33" w14:textId="77777777" w:rsidR="009F315A" w:rsidRPr="00D869E3" w:rsidRDefault="009F315A" w:rsidP="009F315A">
      <w:pPr>
        <w:widowControl w:val="0"/>
        <w:tabs>
          <w:tab w:val="center" w:pos="567"/>
        </w:tabs>
        <w:autoSpaceDE w:val="0"/>
        <w:autoSpaceDN w:val="0"/>
        <w:adjustRightInd w:val="0"/>
        <w:contextualSpacing/>
        <w:jc w:val="both"/>
        <w:rPr>
          <w:rFonts w:ascii="Verdana" w:hAnsi="Verdana"/>
          <w:sz w:val="20"/>
          <w:szCs w:val="20"/>
          <w:lang w:val="en-US"/>
        </w:rPr>
      </w:pPr>
    </w:p>
    <w:p w14:paraId="4C459860" w14:textId="737BDF3A" w:rsidR="009F315A" w:rsidRPr="00D869E3" w:rsidRDefault="009F315A" w:rsidP="009F315A">
      <w:pPr>
        <w:widowControl w:val="0"/>
        <w:numPr>
          <w:ilvl w:val="0"/>
          <w:numId w:val="1"/>
        </w:numPr>
        <w:tabs>
          <w:tab w:val="center" w:pos="720"/>
        </w:tabs>
        <w:autoSpaceDE w:val="0"/>
        <w:autoSpaceDN w:val="0"/>
        <w:adjustRightInd w:val="0"/>
        <w:ind w:left="0" w:firstLine="0"/>
        <w:contextualSpacing/>
        <w:jc w:val="both"/>
        <w:rPr>
          <w:rFonts w:ascii="Verdana" w:hAnsi="Verdana"/>
          <w:sz w:val="20"/>
          <w:szCs w:val="20"/>
          <w:lang w:val="en-US"/>
        </w:rPr>
      </w:pPr>
      <w:r w:rsidRPr="00D869E3">
        <w:rPr>
          <w:rFonts w:ascii="Verdana" w:hAnsi="Verdana"/>
          <w:sz w:val="20"/>
          <w:szCs w:val="20"/>
          <w:lang w:val="en-US"/>
        </w:rPr>
        <w:t>If the beneficiary is deceased or dies before he receives the respective compensation, this shall be delivered directly to his heirs, pursuant to the applicable domestic law.</w:t>
      </w:r>
    </w:p>
    <w:p w14:paraId="3513E15D" w14:textId="77777777" w:rsidR="009C5D55" w:rsidRPr="00D869E3" w:rsidRDefault="009C5D55" w:rsidP="00101A57">
      <w:pPr>
        <w:tabs>
          <w:tab w:val="center" w:pos="720"/>
        </w:tabs>
        <w:contextualSpacing/>
        <w:rPr>
          <w:rFonts w:ascii="Verdana" w:hAnsi="Verdana"/>
          <w:sz w:val="20"/>
          <w:szCs w:val="20"/>
          <w:lang w:val="en-US"/>
        </w:rPr>
      </w:pPr>
    </w:p>
    <w:p w14:paraId="7E932AF5" w14:textId="35EE9A7B" w:rsidR="009F315A" w:rsidRPr="00D869E3" w:rsidRDefault="00447C65" w:rsidP="009F315A">
      <w:pPr>
        <w:widowControl w:val="0"/>
        <w:numPr>
          <w:ilvl w:val="0"/>
          <w:numId w:val="1"/>
        </w:numPr>
        <w:tabs>
          <w:tab w:val="center" w:pos="720"/>
        </w:tabs>
        <w:autoSpaceDE w:val="0"/>
        <w:autoSpaceDN w:val="0"/>
        <w:adjustRightInd w:val="0"/>
        <w:ind w:left="0" w:firstLine="0"/>
        <w:contextualSpacing/>
        <w:jc w:val="both"/>
        <w:rPr>
          <w:rFonts w:ascii="Verdana" w:hAnsi="Verdana"/>
          <w:sz w:val="20"/>
          <w:szCs w:val="20"/>
          <w:lang w:val="en-US"/>
        </w:rPr>
      </w:pPr>
      <w:r w:rsidRPr="00D869E3">
        <w:rPr>
          <w:rFonts w:ascii="Verdana" w:hAnsi="Verdana"/>
          <w:sz w:val="20"/>
          <w:szCs w:val="20"/>
          <w:lang w:val="en-US"/>
        </w:rPr>
        <w:t>The State</w:t>
      </w:r>
      <w:r w:rsidR="009C5D55" w:rsidRPr="00D869E3">
        <w:rPr>
          <w:rFonts w:ascii="Verdana" w:hAnsi="Verdana"/>
          <w:sz w:val="20"/>
          <w:szCs w:val="20"/>
          <w:lang w:val="en-US"/>
        </w:rPr>
        <w:t xml:space="preserve"> </w:t>
      </w:r>
      <w:r w:rsidR="00616FBB" w:rsidRPr="00D869E3">
        <w:rPr>
          <w:rFonts w:ascii="Verdana" w:hAnsi="Verdana"/>
          <w:sz w:val="20"/>
          <w:szCs w:val="20"/>
          <w:lang w:val="en-US"/>
        </w:rPr>
        <w:t>shall</w:t>
      </w:r>
      <w:r w:rsidR="009F315A" w:rsidRPr="00D869E3">
        <w:rPr>
          <w:rFonts w:ascii="Verdana" w:hAnsi="Verdana"/>
          <w:sz w:val="20"/>
          <w:szCs w:val="20"/>
          <w:lang w:val="en-US"/>
        </w:rPr>
        <w:t xml:space="preserve"> comply with its monetary obligations by payment in </w:t>
      </w:r>
      <w:r w:rsidR="004926D0" w:rsidRPr="00D869E3">
        <w:rPr>
          <w:rFonts w:ascii="Verdana" w:hAnsi="Verdana"/>
          <w:sz w:val="20"/>
          <w:szCs w:val="20"/>
          <w:lang w:val="en-US"/>
        </w:rPr>
        <w:t>United States dollars</w:t>
      </w:r>
      <w:r w:rsidR="009C5D55" w:rsidRPr="00D869E3">
        <w:rPr>
          <w:rFonts w:ascii="Verdana" w:hAnsi="Verdana"/>
          <w:sz w:val="20"/>
          <w:szCs w:val="20"/>
          <w:lang w:val="en-US"/>
        </w:rPr>
        <w:t xml:space="preserve"> o</w:t>
      </w:r>
      <w:r w:rsidR="009F315A" w:rsidRPr="00D869E3">
        <w:rPr>
          <w:rFonts w:ascii="Verdana" w:hAnsi="Verdana"/>
          <w:sz w:val="20"/>
          <w:szCs w:val="20"/>
          <w:lang w:val="en-US"/>
        </w:rPr>
        <w:t xml:space="preserve">r the equivalent in Peruvian currency, using the </w:t>
      </w:r>
      <w:r w:rsidR="00616FBB" w:rsidRPr="00D869E3">
        <w:rPr>
          <w:rFonts w:ascii="Verdana" w:hAnsi="Verdana"/>
          <w:sz w:val="20"/>
          <w:szCs w:val="20"/>
          <w:lang w:val="en-US"/>
        </w:rPr>
        <w:t>e</w:t>
      </w:r>
      <w:r w:rsidR="009F315A" w:rsidRPr="00D869E3">
        <w:rPr>
          <w:rFonts w:ascii="Verdana" w:hAnsi="Verdana"/>
          <w:sz w:val="20"/>
          <w:szCs w:val="20"/>
          <w:lang w:val="en-US"/>
        </w:rPr>
        <w:t>xchange rate in force on the New York Stock Exchange (United States of America), on the day before payment to make the respective calculation.</w:t>
      </w:r>
    </w:p>
    <w:p w14:paraId="2693D81E" w14:textId="77777777" w:rsidR="009C5D55" w:rsidRPr="00D869E3" w:rsidRDefault="009C5D55" w:rsidP="00101A57">
      <w:pPr>
        <w:tabs>
          <w:tab w:val="center" w:pos="720"/>
        </w:tabs>
        <w:contextualSpacing/>
        <w:rPr>
          <w:rFonts w:ascii="Verdana" w:hAnsi="Verdana"/>
          <w:sz w:val="20"/>
          <w:szCs w:val="20"/>
          <w:lang w:val="en-US"/>
        </w:rPr>
      </w:pPr>
    </w:p>
    <w:p w14:paraId="3838B651" w14:textId="53549EFC" w:rsidR="009F315A" w:rsidRPr="00D869E3" w:rsidRDefault="009F315A" w:rsidP="00101A57">
      <w:pPr>
        <w:widowControl w:val="0"/>
        <w:numPr>
          <w:ilvl w:val="0"/>
          <w:numId w:val="1"/>
        </w:numPr>
        <w:tabs>
          <w:tab w:val="center" w:pos="720"/>
        </w:tabs>
        <w:autoSpaceDE w:val="0"/>
        <w:autoSpaceDN w:val="0"/>
        <w:adjustRightInd w:val="0"/>
        <w:ind w:left="0" w:firstLine="0"/>
        <w:contextualSpacing/>
        <w:jc w:val="both"/>
        <w:rPr>
          <w:rFonts w:ascii="Verdana" w:hAnsi="Verdana"/>
          <w:sz w:val="20"/>
          <w:szCs w:val="20"/>
          <w:lang w:val="en-US"/>
        </w:rPr>
      </w:pPr>
      <w:r w:rsidRPr="00D869E3">
        <w:rPr>
          <w:rFonts w:ascii="Verdana" w:hAnsi="Verdana"/>
          <w:sz w:val="20"/>
          <w:szCs w:val="20"/>
          <w:lang w:val="en-US"/>
        </w:rPr>
        <w:t>If, for reasons that can be attributed to the beneficiary of the compensation or his heirs, it is not possible to pay the amounts established within the time frame indicated, the State shall deposit the said amounts in his favor in a deposit account or certificate in a solvent Peruvian financial institution, in United States dollars, and in the most favorable financial conditions permitted by banking law and practice. If the corresponding compensation is not claimed after ten years, the sums shall be returned to the State with the interest accrued.</w:t>
      </w:r>
    </w:p>
    <w:p w14:paraId="49894BA0" w14:textId="77777777" w:rsidR="009F315A" w:rsidRPr="00D869E3" w:rsidRDefault="009F315A" w:rsidP="009F315A">
      <w:pPr>
        <w:pStyle w:val="Prrafodelista"/>
        <w:rPr>
          <w:rFonts w:ascii="Verdana" w:hAnsi="Verdana"/>
          <w:sz w:val="20"/>
          <w:szCs w:val="20"/>
          <w:lang w:val="en-US"/>
        </w:rPr>
      </w:pPr>
    </w:p>
    <w:p w14:paraId="3625EA7A" w14:textId="03209BEE" w:rsidR="009F315A" w:rsidRPr="00D869E3" w:rsidRDefault="009F315A" w:rsidP="009F315A">
      <w:pPr>
        <w:widowControl w:val="0"/>
        <w:numPr>
          <w:ilvl w:val="0"/>
          <w:numId w:val="1"/>
        </w:numPr>
        <w:tabs>
          <w:tab w:val="center" w:pos="720"/>
        </w:tabs>
        <w:autoSpaceDE w:val="0"/>
        <w:autoSpaceDN w:val="0"/>
        <w:adjustRightInd w:val="0"/>
        <w:ind w:left="0" w:firstLine="0"/>
        <w:contextualSpacing/>
        <w:jc w:val="both"/>
        <w:rPr>
          <w:rFonts w:ascii="Verdana" w:hAnsi="Verdana"/>
          <w:sz w:val="20"/>
          <w:szCs w:val="20"/>
          <w:lang w:val="en-US"/>
        </w:rPr>
      </w:pPr>
      <w:r w:rsidRPr="00D869E3">
        <w:rPr>
          <w:rFonts w:ascii="Verdana" w:hAnsi="Verdana"/>
          <w:sz w:val="20"/>
          <w:szCs w:val="20"/>
          <w:lang w:val="en-US"/>
        </w:rPr>
        <w:t xml:space="preserve">The amounts established in this judgment as compensation for non-pecuniary damage and to reimburse costs and expenses shall be delivered to the persons indicated in full, as established in this judgment, without any deductions arising from possible taxes or charges. </w:t>
      </w:r>
    </w:p>
    <w:p w14:paraId="33EC7CEA" w14:textId="77777777" w:rsidR="009C5D55" w:rsidRPr="00D869E3" w:rsidRDefault="009C5D55" w:rsidP="009F315A">
      <w:pPr>
        <w:widowControl w:val="0"/>
        <w:tabs>
          <w:tab w:val="center" w:pos="720"/>
        </w:tabs>
        <w:autoSpaceDE w:val="0"/>
        <w:autoSpaceDN w:val="0"/>
        <w:adjustRightInd w:val="0"/>
        <w:contextualSpacing/>
        <w:jc w:val="both"/>
        <w:rPr>
          <w:rFonts w:ascii="Verdana" w:hAnsi="Verdana"/>
          <w:sz w:val="20"/>
          <w:szCs w:val="20"/>
          <w:lang w:val="en-US"/>
        </w:rPr>
      </w:pPr>
    </w:p>
    <w:p w14:paraId="0CE4DC62" w14:textId="1E2BF7E7" w:rsidR="00C4628D" w:rsidRPr="00D869E3" w:rsidRDefault="009F315A" w:rsidP="009F315A">
      <w:pPr>
        <w:widowControl w:val="0"/>
        <w:numPr>
          <w:ilvl w:val="0"/>
          <w:numId w:val="1"/>
        </w:numPr>
        <w:tabs>
          <w:tab w:val="center" w:pos="720"/>
        </w:tabs>
        <w:autoSpaceDE w:val="0"/>
        <w:autoSpaceDN w:val="0"/>
        <w:adjustRightInd w:val="0"/>
        <w:ind w:left="0" w:firstLine="0"/>
        <w:contextualSpacing/>
        <w:jc w:val="both"/>
        <w:rPr>
          <w:rFonts w:ascii="Verdana" w:hAnsi="Verdana"/>
          <w:lang w:val="en-US"/>
        </w:rPr>
      </w:pPr>
      <w:r w:rsidRPr="00D869E3">
        <w:rPr>
          <w:rFonts w:ascii="Verdana" w:hAnsi="Verdana"/>
          <w:spacing w:val="-2"/>
          <w:sz w:val="20"/>
          <w:szCs w:val="20"/>
          <w:lang w:val="en-US"/>
        </w:rPr>
        <w:t xml:space="preserve">If the State </w:t>
      </w:r>
      <w:r w:rsidR="00C4628D" w:rsidRPr="00D869E3">
        <w:rPr>
          <w:rFonts w:ascii="Verdana" w:hAnsi="Verdana"/>
          <w:sz w:val="20"/>
          <w:szCs w:val="20"/>
          <w:lang w:val="en-US"/>
        </w:rPr>
        <w:t xml:space="preserve">should fall in arrears, including in the </w:t>
      </w:r>
      <w:r w:rsidR="00C4628D" w:rsidRPr="00D869E3">
        <w:rPr>
          <w:rFonts w:ascii="Verdana" w:hAnsi="Verdana" w:cs="Verdana"/>
          <w:sz w:val="20"/>
          <w:szCs w:val="20"/>
          <w:lang w:val="en-US"/>
        </w:rPr>
        <w:t>reimbursement of disbursements to the Victims’ Legal Assistance Fund</w:t>
      </w:r>
      <w:r w:rsidR="00C4628D" w:rsidRPr="00D869E3">
        <w:rPr>
          <w:rFonts w:ascii="Verdana" w:hAnsi="Verdana"/>
          <w:sz w:val="20"/>
          <w:szCs w:val="20"/>
          <w:lang w:val="en-US"/>
        </w:rPr>
        <w:t>, it shall pay interest on the amount ow</w:t>
      </w:r>
      <w:r w:rsidR="00616FBB" w:rsidRPr="00D869E3">
        <w:rPr>
          <w:rFonts w:ascii="Verdana" w:hAnsi="Verdana"/>
          <w:sz w:val="20"/>
          <w:szCs w:val="20"/>
          <w:lang w:val="en-US"/>
        </w:rPr>
        <w:t>ing</w:t>
      </w:r>
      <w:r w:rsidR="00C4628D" w:rsidRPr="00D869E3">
        <w:rPr>
          <w:rFonts w:ascii="Verdana" w:hAnsi="Verdana"/>
          <w:sz w:val="20"/>
          <w:szCs w:val="20"/>
          <w:lang w:val="en-US"/>
        </w:rPr>
        <w:t xml:space="preserve"> corresponding to banking interest on arrears in </w:t>
      </w:r>
      <w:r w:rsidR="00C4628D" w:rsidRPr="00D869E3">
        <w:rPr>
          <w:rFonts w:ascii="Verdana" w:hAnsi="Verdana"/>
          <w:spacing w:val="-2"/>
          <w:sz w:val="20"/>
          <w:szCs w:val="20"/>
          <w:lang w:val="en-US"/>
        </w:rPr>
        <w:t>the Republic of Peru.</w:t>
      </w:r>
    </w:p>
    <w:p w14:paraId="2248DCE9" w14:textId="77777777" w:rsidR="006A2D03" w:rsidRPr="00D869E3" w:rsidRDefault="006A2D03">
      <w:pPr>
        <w:spacing w:after="200" w:line="276" w:lineRule="auto"/>
        <w:rPr>
          <w:rFonts w:ascii="Verdana" w:eastAsia="Times New Roman" w:hAnsi="Verdana" w:cs="Verdana"/>
          <w:b/>
          <w:bCs/>
          <w:caps/>
          <w:snapToGrid w:val="0"/>
          <w:sz w:val="20"/>
          <w:szCs w:val="20"/>
          <w:lang w:val="en-US"/>
        </w:rPr>
      </w:pPr>
    </w:p>
    <w:p w14:paraId="70FC005A" w14:textId="12654A69" w:rsidR="00324758" w:rsidRPr="00D869E3" w:rsidRDefault="00374FC9" w:rsidP="00324758">
      <w:pPr>
        <w:pStyle w:val="Ttulo1"/>
        <w:tabs>
          <w:tab w:val="left" w:pos="851"/>
        </w:tabs>
        <w:spacing w:before="0"/>
        <w:jc w:val="center"/>
        <w:rPr>
          <w:rFonts w:cs="Verdana"/>
          <w:caps/>
          <w:snapToGrid w:val="0"/>
          <w:szCs w:val="20"/>
          <w:lang w:val="en-US"/>
        </w:rPr>
      </w:pPr>
      <w:bookmarkStart w:id="76" w:name="_Toc29114163"/>
      <w:r w:rsidRPr="00D869E3">
        <w:rPr>
          <w:rFonts w:cs="Verdana"/>
          <w:caps/>
          <w:snapToGrid w:val="0"/>
          <w:szCs w:val="20"/>
          <w:lang w:val="en-US"/>
        </w:rPr>
        <w:t>I</w:t>
      </w:r>
      <w:r w:rsidR="00324758" w:rsidRPr="00D869E3">
        <w:rPr>
          <w:rFonts w:cs="Verdana"/>
          <w:caps/>
          <w:snapToGrid w:val="0"/>
          <w:szCs w:val="20"/>
          <w:lang w:val="en-US"/>
        </w:rPr>
        <w:t>X</w:t>
      </w:r>
      <w:r w:rsidR="00324758" w:rsidRPr="00D869E3">
        <w:rPr>
          <w:rFonts w:cs="Verdana"/>
          <w:caps/>
          <w:snapToGrid w:val="0"/>
          <w:szCs w:val="20"/>
          <w:lang w:val="en-US"/>
        </w:rPr>
        <w:br/>
      </w:r>
      <w:r w:rsidR="009D0AA1" w:rsidRPr="00D869E3">
        <w:rPr>
          <w:rFonts w:cs="Verdana"/>
          <w:caps/>
          <w:snapToGrid w:val="0"/>
          <w:szCs w:val="20"/>
          <w:lang w:val="en-US"/>
        </w:rPr>
        <w:t>OPERATIVE PARAGRAPHS</w:t>
      </w:r>
      <w:bookmarkEnd w:id="76"/>
    </w:p>
    <w:p w14:paraId="0EA67230" w14:textId="2962A6F7" w:rsidR="00324758" w:rsidRPr="00D869E3" w:rsidRDefault="009D0AA1" w:rsidP="00324758">
      <w:pPr>
        <w:pStyle w:val="Prrafodelista2"/>
        <w:tabs>
          <w:tab w:val="left" w:pos="0"/>
          <w:tab w:val="num" w:pos="12305"/>
        </w:tabs>
        <w:ind w:left="0" w:right="-90"/>
        <w:jc w:val="both"/>
        <w:rPr>
          <w:lang w:val="en-US"/>
        </w:rPr>
      </w:pPr>
      <w:r w:rsidRPr="00D869E3">
        <w:rPr>
          <w:lang w:val="en-US"/>
        </w:rPr>
        <w:t>Therefore</w:t>
      </w:r>
      <w:r w:rsidR="00324758" w:rsidRPr="00D869E3">
        <w:rPr>
          <w:lang w:val="en-US"/>
        </w:rPr>
        <w:t>,</w:t>
      </w:r>
    </w:p>
    <w:p w14:paraId="227747B9" w14:textId="77777777" w:rsidR="00324758" w:rsidRPr="00D869E3" w:rsidRDefault="00324758" w:rsidP="00541607">
      <w:pPr>
        <w:pStyle w:val="Prrafodelista2"/>
        <w:tabs>
          <w:tab w:val="left" w:pos="720"/>
        </w:tabs>
        <w:ind w:left="0" w:right="-90"/>
        <w:contextualSpacing/>
        <w:rPr>
          <w:lang w:val="en-US"/>
        </w:rPr>
      </w:pPr>
    </w:p>
    <w:p w14:paraId="55074518" w14:textId="48AC0C8D" w:rsidR="00324758" w:rsidRPr="00D869E3" w:rsidRDefault="00447C65" w:rsidP="00324758">
      <w:pPr>
        <w:pStyle w:val="Prrafodelista2"/>
        <w:tabs>
          <w:tab w:val="left" w:pos="720"/>
        </w:tabs>
        <w:ind w:left="0" w:right="-90"/>
        <w:contextualSpacing/>
        <w:rPr>
          <w:lang w:val="en-US"/>
        </w:rPr>
      </w:pPr>
      <w:r w:rsidRPr="00D869E3">
        <w:rPr>
          <w:b/>
          <w:bCs/>
          <w:lang w:val="en-US"/>
        </w:rPr>
        <w:t>THE COURT</w:t>
      </w:r>
    </w:p>
    <w:p w14:paraId="12F28F1A" w14:textId="77777777" w:rsidR="00324758" w:rsidRPr="00D869E3" w:rsidRDefault="00324758" w:rsidP="00324758">
      <w:pPr>
        <w:pStyle w:val="Prrafodelista2"/>
        <w:tabs>
          <w:tab w:val="left" w:pos="720"/>
        </w:tabs>
        <w:ind w:left="0" w:right="-90"/>
        <w:contextualSpacing/>
        <w:rPr>
          <w:lang w:val="en-US"/>
        </w:rPr>
      </w:pPr>
    </w:p>
    <w:p w14:paraId="7E6882B4" w14:textId="2E9B4FE7" w:rsidR="00324758" w:rsidRPr="00D869E3" w:rsidRDefault="00324758" w:rsidP="00324758">
      <w:pPr>
        <w:pStyle w:val="Prrafodelista2"/>
        <w:tabs>
          <w:tab w:val="left" w:pos="720"/>
        </w:tabs>
        <w:ind w:left="0" w:right="-90"/>
        <w:contextualSpacing/>
        <w:rPr>
          <w:b/>
          <w:lang w:val="en-US"/>
        </w:rPr>
      </w:pPr>
      <w:r w:rsidRPr="00D869E3">
        <w:rPr>
          <w:b/>
          <w:lang w:val="en-US"/>
        </w:rPr>
        <w:t>DECIDE</w:t>
      </w:r>
      <w:r w:rsidR="009D0AA1" w:rsidRPr="00D869E3">
        <w:rPr>
          <w:b/>
          <w:lang w:val="en-US"/>
        </w:rPr>
        <w:t>S</w:t>
      </w:r>
      <w:r w:rsidRPr="00D869E3">
        <w:rPr>
          <w:b/>
          <w:lang w:val="en-US"/>
        </w:rPr>
        <w:t>,</w:t>
      </w:r>
    </w:p>
    <w:p w14:paraId="0A6B1E51" w14:textId="77777777" w:rsidR="00324758" w:rsidRPr="00D869E3" w:rsidRDefault="00324758" w:rsidP="00324758">
      <w:pPr>
        <w:pStyle w:val="Prrafodelista2"/>
        <w:tabs>
          <w:tab w:val="left" w:pos="720"/>
        </w:tabs>
        <w:ind w:left="0" w:right="-90"/>
        <w:contextualSpacing/>
        <w:rPr>
          <w:lang w:val="en-US"/>
        </w:rPr>
      </w:pPr>
      <w:r w:rsidRPr="00D869E3">
        <w:rPr>
          <w:lang w:val="en-US"/>
        </w:rPr>
        <w:t xml:space="preserve"> </w:t>
      </w:r>
    </w:p>
    <w:p w14:paraId="4A76C4B2" w14:textId="17552990" w:rsidR="00324758" w:rsidRPr="00D869E3" w:rsidRDefault="009D0AA1" w:rsidP="00324758">
      <w:pPr>
        <w:pStyle w:val="Prrafodelista2"/>
        <w:tabs>
          <w:tab w:val="left" w:pos="720"/>
        </w:tabs>
        <w:ind w:left="0" w:right="-90"/>
        <w:contextualSpacing/>
        <w:rPr>
          <w:lang w:val="en-US"/>
        </w:rPr>
      </w:pPr>
      <w:r w:rsidRPr="00D869E3">
        <w:rPr>
          <w:lang w:val="en-US"/>
        </w:rPr>
        <w:t>Unanimously</w:t>
      </w:r>
      <w:r w:rsidR="002E2250" w:rsidRPr="00D869E3">
        <w:rPr>
          <w:lang w:val="en-US"/>
        </w:rPr>
        <w:t>:</w:t>
      </w:r>
    </w:p>
    <w:p w14:paraId="4964AE24" w14:textId="77777777" w:rsidR="00324758" w:rsidRPr="00D869E3" w:rsidRDefault="00324758" w:rsidP="00B0111A">
      <w:pPr>
        <w:pStyle w:val="Prrafodelista2"/>
        <w:tabs>
          <w:tab w:val="left" w:pos="720"/>
        </w:tabs>
        <w:ind w:left="0" w:right="-90"/>
        <w:contextualSpacing/>
        <w:rPr>
          <w:lang w:val="en-US"/>
        </w:rPr>
      </w:pPr>
    </w:p>
    <w:p w14:paraId="2FC04342" w14:textId="246B4BC0" w:rsidR="00B0111A" w:rsidRPr="00D869E3" w:rsidRDefault="00180CED" w:rsidP="00C44F02">
      <w:pPr>
        <w:pStyle w:val="Prrafodelista"/>
        <w:widowControl w:val="0"/>
        <w:numPr>
          <w:ilvl w:val="0"/>
          <w:numId w:val="16"/>
        </w:numPr>
        <w:tabs>
          <w:tab w:val="center" w:pos="720"/>
        </w:tabs>
        <w:autoSpaceDE w:val="0"/>
        <w:autoSpaceDN w:val="0"/>
        <w:adjustRightInd w:val="0"/>
        <w:ind w:left="0" w:right="-90" w:hanging="11"/>
        <w:jc w:val="both"/>
        <w:rPr>
          <w:rFonts w:ascii="Verdana" w:hAnsi="Verdana"/>
          <w:sz w:val="20"/>
          <w:szCs w:val="20"/>
          <w:lang w:val="en-US"/>
        </w:rPr>
      </w:pPr>
      <w:r w:rsidRPr="00D869E3">
        <w:rPr>
          <w:rFonts w:ascii="Verdana" w:hAnsi="Verdana"/>
          <w:sz w:val="20"/>
          <w:szCs w:val="20"/>
          <w:lang w:val="en-US"/>
        </w:rPr>
        <w:t xml:space="preserve">To reject the objections filed by the State concerning control of legality in relation to the </w:t>
      </w:r>
      <w:r w:rsidR="00687684" w:rsidRPr="00D869E3">
        <w:rPr>
          <w:rFonts w:ascii="Verdana" w:hAnsi="Verdana"/>
          <w:sz w:val="20"/>
          <w:szCs w:val="20"/>
          <w:lang w:val="en-US"/>
        </w:rPr>
        <w:t>Admissibility Report</w:t>
      </w:r>
      <w:r w:rsidR="00175E75" w:rsidRPr="00D869E3">
        <w:rPr>
          <w:rFonts w:ascii="Verdana" w:hAnsi="Verdana"/>
          <w:sz w:val="20"/>
          <w:szCs w:val="20"/>
          <w:lang w:val="en-US"/>
        </w:rPr>
        <w:t xml:space="preserve"> </w:t>
      </w:r>
      <w:r w:rsidRPr="00D869E3">
        <w:rPr>
          <w:rFonts w:ascii="Verdana" w:hAnsi="Verdana"/>
          <w:sz w:val="20"/>
          <w:szCs w:val="20"/>
          <w:lang w:val="en-US"/>
        </w:rPr>
        <w:t>of</w:t>
      </w:r>
      <w:r w:rsidR="00175E75" w:rsidRPr="00D869E3">
        <w:rPr>
          <w:rFonts w:ascii="Verdana" w:hAnsi="Verdana"/>
          <w:sz w:val="20"/>
          <w:szCs w:val="20"/>
          <w:lang w:val="en-US"/>
        </w:rPr>
        <w:t xml:space="preserve"> </w:t>
      </w:r>
      <w:r w:rsidR="00447C65" w:rsidRPr="00D869E3">
        <w:rPr>
          <w:rFonts w:ascii="Verdana" w:hAnsi="Verdana"/>
          <w:sz w:val="20"/>
          <w:szCs w:val="20"/>
          <w:lang w:val="en-US"/>
        </w:rPr>
        <w:t>the Commission</w:t>
      </w:r>
      <w:r w:rsidR="00D214EC" w:rsidRPr="00D869E3">
        <w:rPr>
          <w:rFonts w:ascii="Verdana" w:hAnsi="Verdana"/>
          <w:sz w:val="20"/>
          <w:szCs w:val="20"/>
          <w:lang w:val="en-US"/>
        </w:rPr>
        <w:t>,</w:t>
      </w:r>
      <w:r w:rsidR="00175E75" w:rsidRPr="00D869E3">
        <w:rPr>
          <w:rFonts w:ascii="Verdana" w:hAnsi="Verdana"/>
          <w:sz w:val="20"/>
          <w:szCs w:val="20"/>
          <w:lang w:val="en-US"/>
        </w:rPr>
        <w:t xml:space="preserve"> </w:t>
      </w:r>
      <w:r w:rsidRPr="00D869E3">
        <w:rPr>
          <w:rFonts w:ascii="Verdana" w:hAnsi="Verdana"/>
          <w:sz w:val="20"/>
          <w:szCs w:val="20"/>
          <w:lang w:val="en-US"/>
        </w:rPr>
        <w:t>the alleged failure to exhaust domestic remedies, and the lack of competence</w:t>
      </w:r>
      <w:r w:rsidR="00447C65" w:rsidRPr="00D869E3">
        <w:rPr>
          <w:rFonts w:ascii="Verdana" w:hAnsi="Verdana"/>
          <w:sz w:val="20"/>
          <w:szCs w:val="20"/>
          <w:lang w:val="en-US"/>
        </w:rPr>
        <w:t xml:space="preserve"> of the Commission</w:t>
      </w:r>
      <w:r w:rsidR="002A08A9" w:rsidRPr="00D869E3">
        <w:rPr>
          <w:rFonts w:ascii="Verdana" w:hAnsi="Verdana"/>
          <w:sz w:val="20"/>
          <w:szCs w:val="20"/>
          <w:lang w:val="en-US"/>
        </w:rPr>
        <w:t>,</w:t>
      </w:r>
      <w:r w:rsidR="00B0111A" w:rsidRPr="00D869E3">
        <w:rPr>
          <w:rFonts w:ascii="Verdana" w:hAnsi="Verdana"/>
          <w:sz w:val="20"/>
          <w:szCs w:val="20"/>
          <w:lang w:val="en-US"/>
        </w:rPr>
        <w:t xml:space="preserve"> </w:t>
      </w:r>
      <w:r w:rsidR="00351902" w:rsidRPr="00D869E3">
        <w:rPr>
          <w:rFonts w:ascii="Verdana" w:hAnsi="Verdana"/>
          <w:sz w:val="20"/>
          <w:szCs w:val="20"/>
          <w:lang w:val="en-US"/>
        </w:rPr>
        <w:t>pursuant to paragraphs</w:t>
      </w:r>
      <w:r w:rsidR="00882FB7" w:rsidRPr="00D869E3">
        <w:rPr>
          <w:rFonts w:ascii="Verdana" w:hAnsi="Verdana"/>
          <w:sz w:val="20"/>
          <w:szCs w:val="20"/>
          <w:lang w:val="en-US"/>
        </w:rPr>
        <w:t xml:space="preserve"> 17</w:t>
      </w:r>
      <w:r w:rsidR="00687684" w:rsidRPr="00D869E3">
        <w:rPr>
          <w:rFonts w:ascii="Verdana" w:hAnsi="Verdana"/>
          <w:sz w:val="20"/>
          <w:szCs w:val="20"/>
          <w:lang w:val="en-US"/>
        </w:rPr>
        <w:t xml:space="preserve"> and </w:t>
      </w:r>
      <w:r w:rsidR="00882FB7" w:rsidRPr="00D869E3">
        <w:rPr>
          <w:rFonts w:ascii="Verdana" w:hAnsi="Verdana"/>
          <w:sz w:val="20"/>
          <w:szCs w:val="20"/>
          <w:lang w:val="en-US"/>
        </w:rPr>
        <w:t>18</w:t>
      </w:r>
      <w:r w:rsidR="00B0111A" w:rsidRPr="00D869E3">
        <w:rPr>
          <w:rFonts w:ascii="Verdana" w:hAnsi="Verdana"/>
          <w:sz w:val="20"/>
          <w:szCs w:val="20"/>
          <w:lang w:val="en-US"/>
        </w:rPr>
        <w:t xml:space="preserve"> </w:t>
      </w:r>
      <w:r w:rsidRPr="00D869E3">
        <w:rPr>
          <w:rFonts w:ascii="Verdana" w:hAnsi="Verdana"/>
          <w:sz w:val="20"/>
          <w:szCs w:val="20"/>
          <w:lang w:val="en-US"/>
        </w:rPr>
        <w:t>of this judgment</w:t>
      </w:r>
      <w:r w:rsidR="00B0111A" w:rsidRPr="00D869E3">
        <w:rPr>
          <w:rFonts w:ascii="Verdana" w:hAnsi="Verdana"/>
          <w:sz w:val="20"/>
          <w:szCs w:val="20"/>
          <w:lang w:val="en-US"/>
        </w:rPr>
        <w:t>.</w:t>
      </w:r>
    </w:p>
    <w:p w14:paraId="791D9F3F" w14:textId="77777777" w:rsidR="00324758" w:rsidRPr="00D869E3" w:rsidRDefault="00324758" w:rsidP="005B3D37">
      <w:pPr>
        <w:pStyle w:val="NormalNumbered"/>
        <w:numPr>
          <w:ilvl w:val="0"/>
          <w:numId w:val="0"/>
        </w:numPr>
        <w:rPr>
          <w:lang w:val="en-US"/>
        </w:rPr>
      </w:pPr>
    </w:p>
    <w:p w14:paraId="0177D8E8" w14:textId="20D5C859" w:rsidR="00CB46A0" w:rsidRPr="00D869E3" w:rsidRDefault="00180CED" w:rsidP="00C44F02">
      <w:pPr>
        <w:pStyle w:val="Prrafodelista"/>
        <w:widowControl w:val="0"/>
        <w:numPr>
          <w:ilvl w:val="0"/>
          <w:numId w:val="16"/>
        </w:numPr>
        <w:tabs>
          <w:tab w:val="center" w:pos="720"/>
        </w:tabs>
        <w:autoSpaceDE w:val="0"/>
        <w:autoSpaceDN w:val="0"/>
        <w:adjustRightInd w:val="0"/>
        <w:ind w:left="0" w:right="-90" w:hanging="11"/>
        <w:jc w:val="both"/>
        <w:rPr>
          <w:rFonts w:ascii="Verdana" w:hAnsi="Verdana"/>
          <w:sz w:val="20"/>
          <w:szCs w:val="20"/>
          <w:lang w:val="en-US"/>
        </w:rPr>
      </w:pPr>
      <w:r w:rsidRPr="00D869E3">
        <w:rPr>
          <w:rFonts w:ascii="Verdana" w:hAnsi="Verdana"/>
          <w:sz w:val="20"/>
          <w:szCs w:val="20"/>
          <w:lang w:val="en-US"/>
        </w:rPr>
        <w:t xml:space="preserve">To reject the objection filed by the State concerning the inclusion </w:t>
      </w:r>
      <w:r w:rsidR="00687684" w:rsidRPr="00D869E3">
        <w:rPr>
          <w:rFonts w:ascii="Verdana" w:hAnsi="Verdana"/>
          <w:sz w:val="20"/>
          <w:szCs w:val="20"/>
          <w:lang w:val="en-US"/>
        </w:rPr>
        <w:t>of Article</w:t>
      </w:r>
      <w:r w:rsidR="00CB46A0" w:rsidRPr="00D869E3">
        <w:rPr>
          <w:rFonts w:ascii="Verdana" w:hAnsi="Verdana"/>
          <w:sz w:val="20"/>
          <w:szCs w:val="20"/>
          <w:lang w:val="en-US"/>
        </w:rPr>
        <w:t xml:space="preserve"> 16</w:t>
      </w:r>
      <w:r w:rsidR="00447C65" w:rsidRPr="00D869E3">
        <w:rPr>
          <w:rFonts w:ascii="Verdana" w:hAnsi="Verdana"/>
          <w:sz w:val="20"/>
          <w:szCs w:val="20"/>
          <w:lang w:val="en-US"/>
        </w:rPr>
        <w:t xml:space="preserve"> of the Convention</w:t>
      </w:r>
      <w:r w:rsidR="00CB46A0" w:rsidRPr="00D869E3">
        <w:rPr>
          <w:rFonts w:ascii="Verdana" w:hAnsi="Verdana"/>
          <w:sz w:val="20"/>
          <w:szCs w:val="20"/>
          <w:lang w:val="en-US"/>
        </w:rPr>
        <w:t xml:space="preserve"> </w:t>
      </w:r>
      <w:r w:rsidRPr="00D869E3">
        <w:rPr>
          <w:rFonts w:ascii="Verdana" w:hAnsi="Verdana"/>
          <w:sz w:val="20"/>
          <w:szCs w:val="20"/>
          <w:lang w:val="en-US"/>
        </w:rPr>
        <w:t>in the</w:t>
      </w:r>
      <w:r w:rsidR="00CB46A0" w:rsidRPr="00D869E3">
        <w:rPr>
          <w:rFonts w:ascii="Verdana" w:hAnsi="Verdana"/>
          <w:sz w:val="20"/>
          <w:szCs w:val="20"/>
          <w:lang w:val="en-US"/>
        </w:rPr>
        <w:t xml:space="preserve"> </w:t>
      </w:r>
      <w:r w:rsidR="00687684" w:rsidRPr="00D869E3">
        <w:rPr>
          <w:rFonts w:ascii="Verdana" w:hAnsi="Verdana"/>
          <w:sz w:val="20"/>
          <w:szCs w:val="20"/>
          <w:lang w:val="en-US"/>
        </w:rPr>
        <w:t>Merits Report</w:t>
      </w:r>
      <w:r w:rsidR="00CB46A0" w:rsidRPr="00D869E3">
        <w:rPr>
          <w:rFonts w:ascii="Verdana" w:hAnsi="Verdana"/>
          <w:sz w:val="20"/>
          <w:szCs w:val="20"/>
          <w:lang w:val="en-US"/>
        </w:rPr>
        <w:t xml:space="preserve">, </w:t>
      </w:r>
      <w:r w:rsidR="00351902" w:rsidRPr="00D869E3">
        <w:rPr>
          <w:rFonts w:ascii="Verdana" w:hAnsi="Verdana"/>
          <w:sz w:val="20"/>
          <w:szCs w:val="20"/>
          <w:lang w:val="en-US"/>
        </w:rPr>
        <w:t>pursuant to paragraphs</w:t>
      </w:r>
      <w:r w:rsidR="00CB46A0" w:rsidRPr="00D869E3">
        <w:rPr>
          <w:rFonts w:ascii="Verdana" w:hAnsi="Verdana"/>
          <w:sz w:val="20"/>
          <w:szCs w:val="20"/>
          <w:lang w:val="en-US"/>
        </w:rPr>
        <w:t xml:space="preserve"> </w:t>
      </w:r>
      <w:r w:rsidR="00882FB7" w:rsidRPr="00D869E3">
        <w:rPr>
          <w:rFonts w:ascii="Verdana" w:hAnsi="Verdana"/>
          <w:sz w:val="20"/>
          <w:szCs w:val="20"/>
          <w:lang w:val="en-US"/>
        </w:rPr>
        <w:t xml:space="preserve">20 </w:t>
      </w:r>
      <w:r w:rsidRPr="00D869E3">
        <w:rPr>
          <w:rFonts w:ascii="Verdana" w:hAnsi="Verdana"/>
          <w:sz w:val="20"/>
          <w:szCs w:val="20"/>
          <w:lang w:val="en-US"/>
        </w:rPr>
        <w:t>to</w:t>
      </w:r>
      <w:r w:rsidR="00882FB7" w:rsidRPr="00D869E3">
        <w:rPr>
          <w:rFonts w:ascii="Verdana" w:hAnsi="Verdana"/>
          <w:sz w:val="20"/>
          <w:szCs w:val="20"/>
          <w:lang w:val="en-US"/>
        </w:rPr>
        <w:t xml:space="preserve"> 23</w:t>
      </w:r>
      <w:r w:rsidR="00CB46A0" w:rsidRPr="00D869E3">
        <w:rPr>
          <w:rFonts w:ascii="Verdana" w:hAnsi="Verdana"/>
          <w:sz w:val="20"/>
          <w:szCs w:val="20"/>
          <w:lang w:val="en-US"/>
        </w:rPr>
        <w:t xml:space="preserve"> </w:t>
      </w:r>
      <w:r w:rsidRPr="00D869E3">
        <w:rPr>
          <w:rFonts w:ascii="Verdana" w:hAnsi="Verdana"/>
          <w:sz w:val="20"/>
          <w:szCs w:val="20"/>
          <w:lang w:val="en-US"/>
        </w:rPr>
        <w:t>of this judgment</w:t>
      </w:r>
      <w:r w:rsidR="00CB46A0" w:rsidRPr="00D869E3">
        <w:rPr>
          <w:rFonts w:ascii="Verdana" w:hAnsi="Verdana"/>
          <w:sz w:val="20"/>
          <w:szCs w:val="20"/>
          <w:lang w:val="en-US"/>
        </w:rPr>
        <w:t xml:space="preserve">. </w:t>
      </w:r>
    </w:p>
    <w:p w14:paraId="72C0D6D9" w14:textId="77777777" w:rsidR="00CB46A0" w:rsidRPr="00D869E3" w:rsidRDefault="00CB46A0" w:rsidP="00C44F02">
      <w:pPr>
        <w:pStyle w:val="Prrafodelista"/>
        <w:widowControl w:val="0"/>
        <w:tabs>
          <w:tab w:val="center" w:pos="720"/>
        </w:tabs>
        <w:autoSpaceDE w:val="0"/>
        <w:autoSpaceDN w:val="0"/>
        <w:adjustRightInd w:val="0"/>
        <w:ind w:left="0" w:right="-90"/>
        <w:jc w:val="both"/>
        <w:rPr>
          <w:rFonts w:ascii="Verdana" w:hAnsi="Verdana"/>
          <w:sz w:val="20"/>
          <w:szCs w:val="20"/>
          <w:lang w:val="en-US"/>
        </w:rPr>
      </w:pPr>
    </w:p>
    <w:p w14:paraId="4A28213D" w14:textId="607790BA" w:rsidR="00CB46A0" w:rsidRPr="00D869E3" w:rsidRDefault="00180CED" w:rsidP="00C44F02">
      <w:pPr>
        <w:pStyle w:val="Prrafodelista"/>
        <w:widowControl w:val="0"/>
        <w:numPr>
          <w:ilvl w:val="0"/>
          <w:numId w:val="16"/>
        </w:numPr>
        <w:tabs>
          <w:tab w:val="center" w:pos="720"/>
        </w:tabs>
        <w:autoSpaceDE w:val="0"/>
        <w:autoSpaceDN w:val="0"/>
        <w:adjustRightInd w:val="0"/>
        <w:ind w:left="0" w:right="-90" w:hanging="11"/>
        <w:jc w:val="both"/>
        <w:rPr>
          <w:rFonts w:ascii="Verdana" w:hAnsi="Verdana"/>
          <w:sz w:val="20"/>
          <w:szCs w:val="20"/>
          <w:lang w:val="en-US"/>
        </w:rPr>
      </w:pPr>
      <w:r w:rsidRPr="00D869E3">
        <w:rPr>
          <w:rFonts w:ascii="Verdana" w:hAnsi="Verdana"/>
          <w:sz w:val="20"/>
          <w:szCs w:val="20"/>
          <w:lang w:val="en-US"/>
        </w:rPr>
        <w:t>To reject the objections filed by the State concerning the temporal delimitation of the analysis of judicial actions and the factual framework, and</w:t>
      </w:r>
      <w:r w:rsidR="00616FBB" w:rsidRPr="00D869E3">
        <w:rPr>
          <w:rFonts w:ascii="Verdana" w:hAnsi="Verdana"/>
          <w:sz w:val="20"/>
          <w:szCs w:val="20"/>
          <w:lang w:val="en-US"/>
        </w:rPr>
        <w:t xml:space="preserve"> the</w:t>
      </w:r>
      <w:r w:rsidRPr="00D869E3">
        <w:rPr>
          <w:rFonts w:ascii="Verdana" w:hAnsi="Verdana"/>
          <w:sz w:val="20"/>
          <w:szCs w:val="20"/>
          <w:lang w:val="en-US"/>
        </w:rPr>
        <w:t xml:space="preserve"> inclusion of violations that were not included in the </w:t>
      </w:r>
      <w:r w:rsidR="00687684" w:rsidRPr="00D869E3">
        <w:rPr>
          <w:rFonts w:ascii="Verdana" w:hAnsi="Verdana"/>
          <w:sz w:val="20"/>
          <w:szCs w:val="20"/>
          <w:lang w:val="en-US"/>
        </w:rPr>
        <w:t>Merits Report</w:t>
      </w:r>
      <w:r w:rsidR="00CB46A0" w:rsidRPr="00D869E3">
        <w:rPr>
          <w:rFonts w:ascii="Verdana" w:hAnsi="Verdana"/>
          <w:sz w:val="20"/>
          <w:szCs w:val="20"/>
          <w:lang w:val="en-US"/>
        </w:rPr>
        <w:t xml:space="preserve">, </w:t>
      </w:r>
      <w:r w:rsidR="00351902" w:rsidRPr="00D869E3">
        <w:rPr>
          <w:rFonts w:ascii="Verdana" w:hAnsi="Verdana"/>
          <w:sz w:val="20"/>
          <w:szCs w:val="20"/>
          <w:lang w:val="en-US"/>
        </w:rPr>
        <w:t>pursuant to paragraphs</w:t>
      </w:r>
      <w:r w:rsidR="00CB46A0" w:rsidRPr="00D869E3">
        <w:rPr>
          <w:rFonts w:ascii="Verdana" w:hAnsi="Verdana"/>
          <w:sz w:val="20"/>
          <w:szCs w:val="20"/>
          <w:lang w:val="en-US"/>
        </w:rPr>
        <w:t xml:space="preserve"> </w:t>
      </w:r>
      <w:r w:rsidR="00882FB7" w:rsidRPr="00D869E3">
        <w:rPr>
          <w:rFonts w:ascii="Verdana" w:hAnsi="Verdana"/>
          <w:sz w:val="20"/>
          <w:szCs w:val="20"/>
          <w:lang w:val="en-US"/>
        </w:rPr>
        <w:t>24</w:t>
      </w:r>
      <w:r w:rsidR="00687684" w:rsidRPr="00D869E3">
        <w:rPr>
          <w:rFonts w:ascii="Verdana" w:hAnsi="Verdana"/>
          <w:sz w:val="20"/>
          <w:szCs w:val="20"/>
          <w:lang w:val="en-US"/>
        </w:rPr>
        <w:t xml:space="preserve"> and </w:t>
      </w:r>
      <w:r w:rsidR="00882FB7" w:rsidRPr="00D869E3">
        <w:rPr>
          <w:rFonts w:ascii="Verdana" w:hAnsi="Verdana"/>
          <w:sz w:val="20"/>
          <w:szCs w:val="20"/>
          <w:lang w:val="en-US"/>
        </w:rPr>
        <w:t>25</w:t>
      </w:r>
      <w:r w:rsidR="00CB46A0" w:rsidRPr="00D869E3">
        <w:rPr>
          <w:rFonts w:ascii="Verdana" w:hAnsi="Verdana"/>
          <w:sz w:val="20"/>
          <w:szCs w:val="20"/>
          <w:lang w:val="en-US"/>
        </w:rPr>
        <w:t xml:space="preserve"> </w:t>
      </w:r>
      <w:r w:rsidRPr="00D869E3">
        <w:rPr>
          <w:rFonts w:ascii="Verdana" w:hAnsi="Verdana"/>
          <w:sz w:val="20"/>
          <w:szCs w:val="20"/>
          <w:lang w:val="en-US"/>
        </w:rPr>
        <w:t>of this judgment</w:t>
      </w:r>
      <w:r w:rsidR="00CB46A0" w:rsidRPr="00D869E3">
        <w:rPr>
          <w:rFonts w:ascii="Verdana" w:hAnsi="Verdana"/>
          <w:sz w:val="20"/>
          <w:szCs w:val="20"/>
          <w:lang w:val="en-US"/>
        </w:rPr>
        <w:t>.</w:t>
      </w:r>
    </w:p>
    <w:p w14:paraId="5C5AA247" w14:textId="77777777" w:rsidR="00324758" w:rsidRPr="00D869E3" w:rsidRDefault="00324758" w:rsidP="00324758">
      <w:pPr>
        <w:pStyle w:val="Prrafodelista2"/>
        <w:tabs>
          <w:tab w:val="left" w:pos="720"/>
        </w:tabs>
        <w:ind w:left="0" w:right="-90"/>
        <w:contextualSpacing/>
        <w:rPr>
          <w:b/>
          <w:bCs/>
          <w:lang w:val="en-US"/>
        </w:rPr>
      </w:pPr>
    </w:p>
    <w:p w14:paraId="1C107622" w14:textId="6D914EDB" w:rsidR="00324758" w:rsidRPr="00D869E3" w:rsidRDefault="00324758" w:rsidP="00324758">
      <w:pPr>
        <w:pStyle w:val="Prrafodelista2"/>
        <w:tabs>
          <w:tab w:val="left" w:pos="720"/>
        </w:tabs>
        <w:ind w:left="0" w:right="-90"/>
        <w:contextualSpacing/>
        <w:rPr>
          <w:lang w:val="en-US"/>
        </w:rPr>
      </w:pPr>
      <w:r w:rsidRPr="00D869E3">
        <w:rPr>
          <w:b/>
          <w:bCs/>
          <w:lang w:val="en-US"/>
        </w:rPr>
        <w:lastRenderedPageBreak/>
        <w:t>DECLAR</w:t>
      </w:r>
      <w:r w:rsidR="009D0AA1" w:rsidRPr="00D869E3">
        <w:rPr>
          <w:b/>
          <w:bCs/>
          <w:lang w:val="en-US"/>
        </w:rPr>
        <w:t>ES</w:t>
      </w:r>
      <w:r w:rsidRPr="00D869E3">
        <w:rPr>
          <w:b/>
          <w:bCs/>
          <w:lang w:val="en-US"/>
        </w:rPr>
        <w:t xml:space="preserve">: </w:t>
      </w:r>
    </w:p>
    <w:p w14:paraId="3E90AA5A" w14:textId="77777777" w:rsidR="00324758" w:rsidRPr="00D869E3" w:rsidRDefault="00324758" w:rsidP="00324758">
      <w:pPr>
        <w:pStyle w:val="Prrafodelista2"/>
        <w:tabs>
          <w:tab w:val="left" w:pos="720"/>
        </w:tabs>
        <w:ind w:left="0" w:right="-90"/>
        <w:contextualSpacing/>
        <w:rPr>
          <w:lang w:val="en-US"/>
        </w:rPr>
      </w:pPr>
    </w:p>
    <w:p w14:paraId="4EE41AC8" w14:textId="0917DBA3" w:rsidR="00324758" w:rsidRPr="00D869E3" w:rsidRDefault="009D0AA1" w:rsidP="00324758">
      <w:pPr>
        <w:pStyle w:val="Prrafodelista2"/>
        <w:ind w:left="0" w:right="-90"/>
        <w:contextualSpacing/>
        <w:rPr>
          <w:lang w:val="en-US"/>
        </w:rPr>
      </w:pPr>
      <w:r w:rsidRPr="00D869E3">
        <w:rPr>
          <w:lang w:val="en-US"/>
        </w:rPr>
        <w:t>Unanimously, that</w:t>
      </w:r>
      <w:r w:rsidR="00324758" w:rsidRPr="00D869E3">
        <w:rPr>
          <w:lang w:val="en-US"/>
        </w:rPr>
        <w:t>:</w:t>
      </w:r>
    </w:p>
    <w:p w14:paraId="1FE44D90" w14:textId="77777777" w:rsidR="00324758" w:rsidRPr="00D869E3" w:rsidRDefault="00324758" w:rsidP="00324758">
      <w:pPr>
        <w:pStyle w:val="Prrafodelista2"/>
        <w:ind w:left="0" w:right="-90"/>
        <w:contextualSpacing/>
        <w:rPr>
          <w:lang w:val="en-US"/>
        </w:rPr>
      </w:pPr>
    </w:p>
    <w:p w14:paraId="5B278E9C" w14:textId="4A6E9813" w:rsidR="00401656" w:rsidRPr="00D869E3" w:rsidRDefault="00447C65" w:rsidP="00C44F02">
      <w:pPr>
        <w:pStyle w:val="Prrafodelista"/>
        <w:widowControl w:val="0"/>
        <w:numPr>
          <w:ilvl w:val="0"/>
          <w:numId w:val="16"/>
        </w:numPr>
        <w:tabs>
          <w:tab w:val="center" w:pos="720"/>
        </w:tabs>
        <w:autoSpaceDE w:val="0"/>
        <w:autoSpaceDN w:val="0"/>
        <w:adjustRightInd w:val="0"/>
        <w:ind w:left="0" w:right="-90" w:hanging="11"/>
        <w:jc w:val="both"/>
        <w:rPr>
          <w:rFonts w:ascii="Verdana" w:hAnsi="Verdana"/>
          <w:sz w:val="20"/>
          <w:szCs w:val="20"/>
          <w:lang w:val="en-US"/>
        </w:rPr>
      </w:pPr>
      <w:r w:rsidRPr="00D869E3">
        <w:rPr>
          <w:rFonts w:ascii="Verdana" w:hAnsi="Verdana"/>
          <w:sz w:val="20"/>
          <w:szCs w:val="20"/>
          <w:lang w:val="en-US"/>
        </w:rPr>
        <w:t>The State</w:t>
      </w:r>
      <w:r w:rsidR="00BF0FD7" w:rsidRPr="00D869E3">
        <w:rPr>
          <w:rFonts w:ascii="Verdana" w:hAnsi="Verdana"/>
          <w:sz w:val="20"/>
          <w:szCs w:val="20"/>
          <w:lang w:val="en-US"/>
        </w:rPr>
        <w:t xml:space="preserve"> </w:t>
      </w:r>
      <w:r w:rsidR="00180CED" w:rsidRPr="00D869E3">
        <w:rPr>
          <w:rFonts w:ascii="Verdana" w:hAnsi="Verdana"/>
          <w:sz w:val="20"/>
          <w:szCs w:val="20"/>
          <w:lang w:val="en-US"/>
        </w:rPr>
        <w:t>is responsible for</w:t>
      </w:r>
      <w:r w:rsidR="00BF0FD7" w:rsidRPr="00D869E3">
        <w:rPr>
          <w:rFonts w:ascii="Verdana" w:hAnsi="Verdana"/>
          <w:sz w:val="20"/>
          <w:szCs w:val="20"/>
          <w:lang w:val="en-US"/>
        </w:rPr>
        <w:t xml:space="preserve"> </w:t>
      </w:r>
      <w:r w:rsidR="007013E2" w:rsidRPr="00D869E3">
        <w:rPr>
          <w:rFonts w:ascii="Verdana" w:hAnsi="Verdana"/>
          <w:sz w:val="20"/>
          <w:szCs w:val="20"/>
          <w:lang w:val="en-US"/>
        </w:rPr>
        <w:t>the violation</w:t>
      </w:r>
      <w:r w:rsidR="00BF0FD7" w:rsidRPr="00D869E3">
        <w:rPr>
          <w:rFonts w:ascii="Verdana" w:hAnsi="Verdana"/>
          <w:sz w:val="20"/>
          <w:szCs w:val="20"/>
          <w:lang w:val="en-US"/>
        </w:rPr>
        <w:t xml:space="preserve"> </w:t>
      </w:r>
      <w:r w:rsidR="00180CED" w:rsidRPr="00D869E3">
        <w:rPr>
          <w:rFonts w:ascii="Verdana" w:hAnsi="Verdana"/>
          <w:sz w:val="20"/>
          <w:szCs w:val="20"/>
          <w:lang w:val="en-US"/>
        </w:rPr>
        <w:t>of the rights to freedom of thought and expression and to judicial guarantees</w:t>
      </w:r>
      <w:r w:rsidR="00401656" w:rsidRPr="00D869E3">
        <w:rPr>
          <w:rFonts w:ascii="Verdana" w:hAnsi="Verdana"/>
          <w:sz w:val="20"/>
          <w:szCs w:val="20"/>
          <w:lang w:val="en-US"/>
        </w:rPr>
        <w:t xml:space="preserve"> </w:t>
      </w:r>
      <w:r w:rsidR="00180CED" w:rsidRPr="00D869E3">
        <w:rPr>
          <w:rFonts w:ascii="Verdana" w:hAnsi="Verdana"/>
          <w:sz w:val="20"/>
          <w:szCs w:val="20"/>
          <w:lang w:val="en-US"/>
        </w:rPr>
        <w:t>recognized in</w:t>
      </w:r>
      <w:r w:rsidR="00401656" w:rsidRPr="00D869E3">
        <w:rPr>
          <w:rFonts w:ascii="Verdana" w:hAnsi="Verdana"/>
          <w:sz w:val="20"/>
          <w:szCs w:val="20"/>
          <w:lang w:val="en-US"/>
        </w:rPr>
        <w:t xml:space="preserve"> </w:t>
      </w:r>
      <w:r w:rsidRPr="00D869E3">
        <w:rPr>
          <w:rFonts w:ascii="Verdana" w:hAnsi="Verdana"/>
          <w:sz w:val="20"/>
          <w:szCs w:val="20"/>
          <w:lang w:val="en-US"/>
        </w:rPr>
        <w:t>Articles</w:t>
      </w:r>
      <w:r w:rsidR="00401656" w:rsidRPr="00D869E3">
        <w:rPr>
          <w:rFonts w:ascii="Verdana" w:hAnsi="Verdana"/>
          <w:sz w:val="20"/>
          <w:szCs w:val="20"/>
          <w:lang w:val="en-US"/>
        </w:rPr>
        <w:t xml:space="preserve"> </w:t>
      </w:r>
      <w:r w:rsidR="00966115" w:rsidRPr="00D869E3">
        <w:rPr>
          <w:rFonts w:ascii="Verdana" w:hAnsi="Verdana"/>
          <w:sz w:val="20"/>
          <w:szCs w:val="20"/>
          <w:lang w:val="en-US"/>
        </w:rPr>
        <w:t>13(2)</w:t>
      </w:r>
      <w:r w:rsidR="00687684" w:rsidRPr="00D869E3">
        <w:rPr>
          <w:rFonts w:ascii="Verdana" w:hAnsi="Verdana"/>
          <w:sz w:val="20"/>
          <w:szCs w:val="20"/>
          <w:lang w:val="en-US"/>
        </w:rPr>
        <w:t xml:space="preserve"> and </w:t>
      </w:r>
      <w:r w:rsidR="00401656" w:rsidRPr="00D869E3">
        <w:rPr>
          <w:rFonts w:ascii="Verdana" w:hAnsi="Verdana"/>
          <w:sz w:val="20"/>
          <w:szCs w:val="20"/>
          <w:lang w:val="en-US"/>
        </w:rPr>
        <w:t>8</w:t>
      </w:r>
      <w:r w:rsidR="00180CED" w:rsidRPr="00D869E3">
        <w:rPr>
          <w:rFonts w:ascii="Verdana" w:hAnsi="Verdana"/>
          <w:sz w:val="20"/>
          <w:szCs w:val="20"/>
          <w:lang w:val="en-US"/>
        </w:rPr>
        <w:t>(</w:t>
      </w:r>
      <w:r w:rsidR="00401656" w:rsidRPr="00D869E3">
        <w:rPr>
          <w:rFonts w:ascii="Verdana" w:hAnsi="Verdana"/>
          <w:sz w:val="20"/>
          <w:szCs w:val="20"/>
          <w:lang w:val="en-US"/>
        </w:rPr>
        <w:t>2</w:t>
      </w:r>
      <w:r w:rsidR="00180CED" w:rsidRPr="00D869E3">
        <w:rPr>
          <w:rFonts w:ascii="Verdana" w:hAnsi="Verdana"/>
          <w:sz w:val="20"/>
          <w:szCs w:val="20"/>
          <w:lang w:val="en-US"/>
        </w:rPr>
        <w:t>)</w:t>
      </w:r>
      <w:r w:rsidRPr="00D869E3">
        <w:rPr>
          <w:rFonts w:ascii="Verdana" w:hAnsi="Verdana"/>
          <w:sz w:val="20"/>
          <w:szCs w:val="20"/>
          <w:lang w:val="en-US"/>
        </w:rPr>
        <w:t xml:space="preserve"> of the American Convention</w:t>
      </w:r>
      <w:r w:rsidR="00401656" w:rsidRPr="00D869E3">
        <w:rPr>
          <w:rFonts w:ascii="Verdana" w:hAnsi="Verdana"/>
          <w:sz w:val="20"/>
          <w:szCs w:val="20"/>
          <w:lang w:val="en-US"/>
        </w:rPr>
        <w:t xml:space="preserve">, </w:t>
      </w:r>
      <w:r w:rsidR="00BB61A6" w:rsidRPr="00D869E3">
        <w:rPr>
          <w:rFonts w:ascii="Verdana" w:hAnsi="Verdana"/>
          <w:sz w:val="20"/>
          <w:lang w:val="en-US"/>
        </w:rPr>
        <w:t>in relation to</w:t>
      </w:r>
      <w:r w:rsidR="00401656" w:rsidRPr="00D869E3">
        <w:rPr>
          <w:rFonts w:ascii="Verdana" w:hAnsi="Verdana"/>
          <w:sz w:val="20"/>
          <w:lang w:val="en-US"/>
        </w:rPr>
        <w:t xml:space="preserve"> </w:t>
      </w:r>
      <w:r w:rsidR="00687684" w:rsidRPr="00D869E3">
        <w:rPr>
          <w:rFonts w:ascii="Verdana" w:hAnsi="Verdana"/>
          <w:sz w:val="20"/>
          <w:lang w:val="en-US"/>
        </w:rPr>
        <w:t>Article 1(1)</w:t>
      </w:r>
      <w:r w:rsidR="00401656" w:rsidRPr="00D869E3">
        <w:rPr>
          <w:rFonts w:ascii="Verdana" w:hAnsi="Verdana"/>
          <w:sz w:val="20"/>
          <w:lang w:val="en-US"/>
        </w:rPr>
        <w:t xml:space="preserve"> </w:t>
      </w:r>
      <w:r w:rsidR="00351902" w:rsidRPr="00D869E3">
        <w:rPr>
          <w:rFonts w:ascii="Verdana" w:hAnsi="Verdana"/>
          <w:sz w:val="20"/>
          <w:lang w:val="en-US"/>
        </w:rPr>
        <w:t>of this instrument</w:t>
      </w:r>
      <w:r w:rsidR="00401656" w:rsidRPr="00D869E3">
        <w:rPr>
          <w:rFonts w:ascii="Verdana" w:hAnsi="Verdana"/>
          <w:sz w:val="20"/>
          <w:lang w:val="en-US"/>
        </w:rPr>
        <w:t xml:space="preserve">, </w:t>
      </w:r>
      <w:r w:rsidR="00180CED" w:rsidRPr="00D869E3">
        <w:rPr>
          <w:rFonts w:ascii="Verdana" w:hAnsi="Verdana"/>
          <w:sz w:val="20"/>
          <w:lang w:val="en-US"/>
        </w:rPr>
        <w:t>to the detriment of</w:t>
      </w:r>
      <w:r w:rsidR="00687684" w:rsidRPr="00D869E3">
        <w:rPr>
          <w:rFonts w:ascii="Verdana" w:hAnsi="Verdana"/>
          <w:sz w:val="20"/>
          <w:lang w:val="en-US"/>
        </w:rPr>
        <w:t xml:space="preserve"> Mr. Lagos</w:t>
      </w:r>
      <w:r w:rsidR="00401656" w:rsidRPr="00D869E3">
        <w:rPr>
          <w:rFonts w:ascii="Verdana" w:hAnsi="Verdana"/>
          <w:sz w:val="20"/>
          <w:lang w:val="en-US"/>
        </w:rPr>
        <w:t xml:space="preserve"> del Campo, </w:t>
      </w:r>
      <w:r w:rsidR="00351902" w:rsidRPr="00D869E3">
        <w:rPr>
          <w:rFonts w:ascii="Verdana" w:hAnsi="Verdana"/>
          <w:sz w:val="20"/>
          <w:szCs w:val="20"/>
          <w:lang w:val="en-US"/>
        </w:rPr>
        <w:t>pursuant to paragraphs</w:t>
      </w:r>
      <w:r w:rsidR="00882FB7" w:rsidRPr="00D869E3">
        <w:rPr>
          <w:rFonts w:ascii="Verdana" w:hAnsi="Verdana"/>
          <w:sz w:val="20"/>
          <w:szCs w:val="20"/>
          <w:lang w:val="en-US"/>
        </w:rPr>
        <w:t xml:space="preserve"> 88 </w:t>
      </w:r>
      <w:r w:rsidR="00180CED" w:rsidRPr="00D869E3">
        <w:rPr>
          <w:rFonts w:ascii="Verdana" w:hAnsi="Verdana"/>
          <w:sz w:val="20"/>
          <w:szCs w:val="20"/>
          <w:lang w:val="en-US"/>
        </w:rPr>
        <w:t>to</w:t>
      </w:r>
      <w:r w:rsidR="00882FB7" w:rsidRPr="00D869E3">
        <w:rPr>
          <w:rFonts w:ascii="Verdana" w:hAnsi="Verdana"/>
          <w:sz w:val="20"/>
          <w:szCs w:val="20"/>
          <w:lang w:val="en-US"/>
        </w:rPr>
        <w:t xml:space="preserve"> 132</w:t>
      </w:r>
      <w:r w:rsidR="00401656" w:rsidRPr="00D869E3">
        <w:rPr>
          <w:rFonts w:ascii="Verdana" w:hAnsi="Verdana"/>
          <w:sz w:val="20"/>
          <w:szCs w:val="20"/>
          <w:lang w:val="en-US"/>
        </w:rPr>
        <w:t xml:space="preserve"> </w:t>
      </w:r>
      <w:r w:rsidR="00180CED" w:rsidRPr="00D869E3">
        <w:rPr>
          <w:rFonts w:ascii="Verdana" w:hAnsi="Verdana"/>
          <w:sz w:val="20"/>
          <w:szCs w:val="20"/>
          <w:lang w:val="en-US"/>
        </w:rPr>
        <w:t>of this judgment</w:t>
      </w:r>
      <w:r w:rsidR="00401656" w:rsidRPr="00D869E3">
        <w:rPr>
          <w:rFonts w:ascii="Verdana" w:hAnsi="Verdana"/>
          <w:sz w:val="20"/>
          <w:szCs w:val="20"/>
          <w:lang w:val="en-US"/>
        </w:rPr>
        <w:t>.</w:t>
      </w:r>
    </w:p>
    <w:p w14:paraId="32E196EB" w14:textId="77777777" w:rsidR="00401656" w:rsidRPr="00D869E3" w:rsidRDefault="00401656" w:rsidP="00B06027">
      <w:pPr>
        <w:pStyle w:val="Prrafodelista"/>
        <w:widowControl w:val="0"/>
        <w:tabs>
          <w:tab w:val="center" w:pos="567"/>
        </w:tabs>
        <w:autoSpaceDE w:val="0"/>
        <w:autoSpaceDN w:val="0"/>
        <w:adjustRightInd w:val="0"/>
        <w:ind w:left="0" w:right="-90"/>
        <w:jc w:val="both"/>
        <w:rPr>
          <w:rFonts w:ascii="Verdana" w:hAnsi="Verdana"/>
          <w:sz w:val="20"/>
          <w:szCs w:val="20"/>
          <w:lang w:val="en-US"/>
        </w:rPr>
      </w:pPr>
    </w:p>
    <w:p w14:paraId="183C3021" w14:textId="332E5DDF" w:rsidR="000828BB" w:rsidRPr="00D869E3" w:rsidRDefault="00180CED" w:rsidP="000828BB">
      <w:pPr>
        <w:pStyle w:val="Prrafodelista2"/>
        <w:ind w:left="0" w:right="-90"/>
        <w:contextualSpacing/>
        <w:rPr>
          <w:lang w:val="en-US"/>
        </w:rPr>
      </w:pPr>
      <w:r w:rsidRPr="00D869E3">
        <w:rPr>
          <w:lang w:val="en-US"/>
        </w:rPr>
        <w:t>By five votes to two, that:</w:t>
      </w:r>
    </w:p>
    <w:p w14:paraId="0EBB81A4" w14:textId="77777777" w:rsidR="000828BB" w:rsidRPr="00D869E3" w:rsidRDefault="000828BB" w:rsidP="00B06027">
      <w:pPr>
        <w:pStyle w:val="Prrafodelista"/>
        <w:widowControl w:val="0"/>
        <w:tabs>
          <w:tab w:val="center" w:pos="567"/>
        </w:tabs>
        <w:autoSpaceDE w:val="0"/>
        <w:autoSpaceDN w:val="0"/>
        <w:adjustRightInd w:val="0"/>
        <w:ind w:left="0" w:right="-90"/>
        <w:jc w:val="both"/>
        <w:rPr>
          <w:rFonts w:ascii="Verdana" w:hAnsi="Verdana"/>
          <w:sz w:val="20"/>
          <w:szCs w:val="20"/>
          <w:lang w:val="en-US"/>
        </w:rPr>
      </w:pPr>
    </w:p>
    <w:p w14:paraId="4BD94EDF" w14:textId="3DDC183D" w:rsidR="009212EA" w:rsidRPr="00D869E3" w:rsidRDefault="009212EA" w:rsidP="009212EA">
      <w:pPr>
        <w:pStyle w:val="Prrafodelista"/>
        <w:widowControl w:val="0"/>
        <w:numPr>
          <w:ilvl w:val="0"/>
          <w:numId w:val="16"/>
        </w:numPr>
        <w:tabs>
          <w:tab w:val="center" w:pos="720"/>
        </w:tabs>
        <w:autoSpaceDE w:val="0"/>
        <w:autoSpaceDN w:val="0"/>
        <w:adjustRightInd w:val="0"/>
        <w:ind w:left="0" w:right="-90" w:hanging="11"/>
        <w:jc w:val="both"/>
        <w:rPr>
          <w:rFonts w:ascii="Verdana" w:hAnsi="Verdana"/>
          <w:sz w:val="20"/>
          <w:szCs w:val="20"/>
          <w:lang w:val="en-US"/>
        </w:rPr>
      </w:pPr>
      <w:r w:rsidRPr="00D869E3">
        <w:rPr>
          <w:rFonts w:ascii="Verdana" w:hAnsi="Verdana"/>
          <w:sz w:val="20"/>
          <w:szCs w:val="20"/>
          <w:lang w:val="en-US"/>
        </w:rPr>
        <w:t xml:space="preserve">The State is responsible for the violation of the right to job security, recognized in Article 26 of the American Convention, in relation to Articles 1(1), 13, 8 and 16 of this instrument, </w:t>
      </w:r>
      <w:r w:rsidR="00180CED" w:rsidRPr="00D869E3">
        <w:rPr>
          <w:rFonts w:ascii="Verdana" w:hAnsi="Verdana"/>
          <w:sz w:val="20"/>
          <w:lang w:val="en-US"/>
        </w:rPr>
        <w:t xml:space="preserve">to the detriment of </w:t>
      </w:r>
      <w:r w:rsidRPr="00D869E3">
        <w:rPr>
          <w:rFonts w:ascii="Verdana" w:hAnsi="Verdana"/>
          <w:sz w:val="20"/>
          <w:szCs w:val="20"/>
          <w:lang w:val="en-US"/>
        </w:rPr>
        <w:t>Mr. Lagos del Campo, pursuant to paragraphs 133 to 154 and 166 of this judgment.”</w:t>
      </w:r>
    </w:p>
    <w:p w14:paraId="44FE7137" w14:textId="77777777" w:rsidR="009212EA" w:rsidRPr="00D869E3" w:rsidRDefault="009212EA" w:rsidP="009212EA">
      <w:pPr>
        <w:pStyle w:val="Prrafodelista"/>
        <w:widowControl w:val="0"/>
        <w:tabs>
          <w:tab w:val="center" w:pos="720"/>
        </w:tabs>
        <w:autoSpaceDE w:val="0"/>
        <w:autoSpaceDN w:val="0"/>
        <w:adjustRightInd w:val="0"/>
        <w:ind w:left="0" w:right="-90"/>
        <w:jc w:val="both"/>
        <w:rPr>
          <w:rFonts w:ascii="Verdana" w:hAnsi="Verdana"/>
          <w:sz w:val="20"/>
          <w:szCs w:val="20"/>
          <w:lang w:val="en-US"/>
        </w:rPr>
      </w:pPr>
    </w:p>
    <w:p w14:paraId="67ACDB5F" w14:textId="2ED75D91" w:rsidR="009212EA" w:rsidRPr="00D869E3" w:rsidRDefault="009212EA" w:rsidP="00C44F02">
      <w:pPr>
        <w:pStyle w:val="Prrafodelista"/>
        <w:widowControl w:val="0"/>
        <w:numPr>
          <w:ilvl w:val="0"/>
          <w:numId w:val="16"/>
        </w:numPr>
        <w:tabs>
          <w:tab w:val="center" w:pos="720"/>
        </w:tabs>
        <w:autoSpaceDE w:val="0"/>
        <w:autoSpaceDN w:val="0"/>
        <w:adjustRightInd w:val="0"/>
        <w:ind w:left="0" w:right="-90" w:hanging="11"/>
        <w:jc w:val="both"/>
        <w:rPr>
          <w:rFonts w:ascii="Verdana" w:hAnsi="Verdana"/>
          <w:sz w:val="20"/>
          <w:szCs w:val="20"/>
          <w:lang w:val="en-US"/>
        </w:rPr>
      </w:pPr>
      <w:r w:rsidRPr="00D869E3">
        <w:rPr>
          <w:rFonts w:ascii="Verdana" w:hAnsi="Verdana"/>
          <w:sz w:val="20"/>
          <w:szCs w:val="20"/>
          <w:lang w:val="en-US"/>
        </w:rPr>
        <w:t xml:space="preserve">The State is responsible for the violation of the right to freedom of association, recognized in Articles 16 and 26 of the American Convention, in relation to Articles 1(1), 13 and 8 of this instrument, </w:t>
      </w:r>
      <w:r w:rsidR="00180CED" w:rsidRPr="00D869E3">
        <w:rPr>
          <w:rFonts w:ascii="Verdana" w:hAnsi="Verdana"/>
          <w:sz w:val="20"/>
          <w:lang w:val="en-US"/>
        </w:rPr>
        <w:t xml:space="preserve">to the detriment of </w:t>
      </w:r>
      <w:r w:rsidRPr="00D869E3">
        <w:rPr>
          <w:rFonts w:ascii="Verdana" w:hAnsi="Verdana"/>
          <w:sz w:val="20"/>
          <w:szCs w:val="20"/>
          <w:lang w:val="en-US"/>
        </w:rPr>
        <w:t>Mr. Lagos del Campo, pursuant to paragraphs 155 to 163 of this judgment.</w:t>
      </w:r>
    </w:p>
    <w:p w14:paraId="508B3B6B" w14:textId="77777777" w:rsidR="00F830E9" w:rsidRPr="00D869E3" w:rsidRDefault="00F830E9" w:rsidP="00C44F02">
      <w:pPr>
        <w:pStyle w:val="Prrafodelista"/>
        <w:widowControl w:val="0"/>
        <w:tabs>
          <w:tab w:val="center" w:pos="567"/>
          <w:tab w:val="center" w:pos="720"/>
        </w:tabs>
        <w:autoSpaceDE w:val="0"/>
        <w:autoSpaceDN w:val="0"/>
        <w:adjustRightInd w:val="0"/>
        <w:ind w:left="0" w:right="-90"/>
        <w:jc w:val="both"/>
        <w:rPr>
          <w:rFonts w:ascii="Verdana" w:hAnsi="Verdana"/>
          <w:sz w:val="20"/>
          <w:szCs w:val="20"/>
          <w:lang w:val="en-US"/>
        </w:rPr>
      </w:pPr>
    </w:p>
    <w:p w14:paraId="12D783D3" w14:textId="66563240" w:rsidR="002E2250" w:rsidRPr="00D869E3" w:rsidRDefault="009212EA" w:rsidP="00C44F02">
      <w:pPr>
        <w:pStyle w:val="Prrafodelista"/>
        <w:widowControl w:val="0"/>
        <w:tabs>
          <w:tab w:val="center" w:pos="567"/>
          <w:tab w:val="center" w:pos="720"/>
        </w:tabs>
        <w:autoSpaceDE w:val="0"/>
        <w:autoSpaceDN w:val="0"/>
        <w:adjustRightInd w:val="0"/>
        <w:ind w:left="0" w:right="-90"/>
        <w:jc w:val="both"/>
        <w:rPr>
          <w:rFonts w:ascii="Verdana" w:hAnsi="Verdana"/>
          <w:sz w:val="20"/>
          <w:szCs w:val="20"/>
          <w:lang w:val="en-US"/>
        </w:rPr>
      </w:pPr>
      <w:r w:rsidRPr="00D869E3">
        <w:rPr>
          <w:rFonts w:ascii="Verdana" w:hAnsi="Verdana"/>
          <w:sz w:val="20"/>
          <w:szCs w:val="20"/>
          <w:lang w:val="en-US"/>
        </w:rPr>
        <w:t>Dissenting Judges</w:t>
      </w:r>
      <w:r w:rsidR="002E2250" w:rsidRPr="00D869E3">
        <w:rPr>
          <w:rFonts w:ascii="Verdana" w:hAnsi="Verdana"/>
          <w:sz w:val="20"/>
          <w:szCs w:val="20"/>
          <w:lang w:val="en-US"/>
        </w:rPr>
        <w:t xml:space="preserve"> Eduardo Vio Grossi</w:t>
      </w:r>
      <w:r w:rsidR="00687684" w:rsidRPr="00D869E3">
        <w:rPr>
          <w:rFonts w:ascii="Verdana" w:hAnsi="Verdana"/>
          <w:sz w:val="20"/>
          <w:szCs w:val="20"/>
          <w:lang w:val="en-US"/>
        </w:rPr>
        <w:t xml:space="preserve"> and </w:t>
      </w:r>
      <w:r w:rsidR="002E2250" w:rsidRPr="00D869E3">
        <w:rPr>
          <w:rFonts w:ascii="Verdana" w:hAnsi="Verdana"/>
          <w:sz w:val="20"/>
          <w:szCs w:val="20"/>
          <w:lang w:val="en-US"/>
        </w:rPr>
        <w:t>Humberto Antonio Sierra Porto</w:t>
      </w:r>
      <w:r w:rsidR="002F31BD" w:rsidRPr="00D869E3">
        <w:rPr>
          <w:rFonts w:ascii="Verdana" w:hAnsi="Verdana"/>
          <w:sz w:val="20"/>
          <w:szCs w:val="20"/>
          <w:lang w:val="en-US"/>
        </w:rPr>
        <w:t>.</w:t>
      </w:r>
    </w:p>
    <w:p w14:paraId="4DFA470A" w14:textId="77777777" w:rsidR="00B74567" w:rsidRPr="00D869E3" w:rsidRDefault="00B74567" w:rsidP="00C44F02">
      <w:pPr>
        <w:pStyle w:val="Prrafodelista2"/>
        <w:tabs>
          <w:tab w:val="center" w:pos="720"/>
        </w:tabs>
        <w:ind w:left="0" w:right="-90"/>
        <w:contextualSpacing/>
        <w:rPr>
          <w:lang w:val="en-US"/>
        </w:rPr>
      </w:pPr>
    </w:p>
    <w:p w14:paraId="218F1C80" w14:textId="65ACCC5D" w:rsidR="000828BB" w:rsidRPr="00D869E3" w:rsidRDefault="009D0AA1" w:rsidP="00C44F02">
      <w:pPr>
        <w:pStyle w:val="Prrafodelista2"/>
        <w:tabs>
          <w:tab w:val="center" w:pos="720"/>
        </w:tabs>
        <w:ind w:left="0" w:right="-90"/>
        <w:contextualSpacing/>
        <w:rPr>
          <w:lang w:val="en-US"/>
        </w:rPr>
      </w:pPr>
      <w:r w:rsidRPr="00D869E3">
        <w:rPr>
          <w:lang w:val="en-US"/>
        </w:rPr>
        <w:t>Unanimously, that</w:t>
      </w:r>
      <w:r w:rsidR="000828BB" w:rsidRPr="00D869E3">
        <w:rPr>
          <w:lang w:val="en-US"/>
        </w:rPr>
        <w:t>:</w:t>
      </w:r>
    </w:p>
    <w:p w14:paraId="040D59EF" w14:textId="77777777" w:rsidR="000828BB" w:rsidRPr="00D869E3" w:rsidRDefault="000828BB" w:rsidP="00C44F02">
      <w:pPr>
        <w:pStyle w:val="Prrafodelista"/>
        <w:widowControl w:val="0"/>
        <w:tabs>
          <w:tab w:val="center" w:pos="567"/>
          <w:tab w:val="center" w:pos="720"/>
        </w:tabs>
        <w:autoSpaceDE w:val="0"/>
        <w:autoSpaceDN w:val="0"/>
        <w:adjustRightInd w:val="0"/>
        <w:ind w:left="0" w:right="-90"/>
        <w:jc w:val="both"/>
        <w:rPr>
          <w:rFonts w:ascii="Verdana" w:hAnsi="Verdana"/>
          <w:sz w:val="20"/>
          <w:szCs w:val="20"/>
          <w:lang w:val="en-US"/>
        </w:rPr>
      </w:pPr>
    </w:p>
    <w:p w14:paraId="02DB419B" w14:textId="6000A412" w:rsidR="00F830E9" w:rsidRPr="00D869E3" w:rsidRDefault="00447C65" w:rsidP="00C44F02">
      <w:pPr>
        <w:pStyle w:val="Prrafodelista"/>
        <w:widowControl w:val="0"/>
        <w:numPr>
          <w:ilvl w:val="0"/>
          <w:numId w:val="16"/>
        </w:numPr>
        <w:tabs>
          <w:tab w:val="center" w:pos="720"/>
        </w:tabs>
        <w:autoSpaceDE w:val="0"/>
        <w:autoSpaceDN w:val="0"/>
        <w:adjustRightInd w:val="0"/>
        <w:ind w:left="0" w:right="-90" w:hanging="11"/>
        <w:jc w:val="both"/>
        <w:rPr>
          <w:rFonts w:ascii="Verdana" w:hAnsi="Verdana"/>
          <w:sz w:val="20"/>
          <w:szCs w:val="20"/>
          <w:lang w:val="en-US"/>
        </w:rPr>
      </w:pPr>
      <w:r w:rsidRPr="00D869E3">
        <w:rPr>
          <w:rFonts w:ascii="Verdana" w:hAnsi="Verdana"/>
          <w:sz w:val="20"/>
          <w:szCs w:val="20"/>
          <w:lang w:val="en-US"/>
        </w:rPr>
        <w:t>The State</w:t>
      </w:r>
      <w:r w:rsidR="00F830E9" w:rsidRPr="00D869E3">
        <w:rPr>
          <w:rFonts w:ascii="Verdana" w:hAnsi="Verdana"/>
          <w:sz w:val="20"/>
          <w:szCs w:val="20"/>
          <w:lang w:val="en-US"/>
        </w:rPr>
        <w:t xml:space="preserve"> </w:t>
      </w:r>
      <w:r w:rsidR="00180CED" w:rsidRPr="00D869E3">
        <w:rPr>
          <w:rFonts w:ascii="Verdana" w:hAnsi="Verdana"/>
          <w:sz w:val="20"/>
          <w:szCs w:val="20"/>
          <w:lang w:val="en-US"/>
        </w:rPr>
        <w:t>is responsible for</w:t>
      </w:r>
      <w:r w:rsidR="00F830E9" w:rsidRPr="00D869E3">
        <w:rPr>
          <w:rFonts w:ascii="Verdana" w:hAnsi="Verdana"/>
          <w:sz w:val="20"/>
          <w:szCs w:val="20"/>
          <w:lang w:val="en-US"/>
        </w:rPr>
        <w:t xml:space="preserve"> </w:t>
      </w:r>
      <w:r w:rsidR="007013E2" w:rsidRPr="00D869E3">
        <w:rPr>
          <w:rFonts w:ascii="Verdana" w:hAnsi="Verdana"/>
          <w:sz w:val="20"/>
          <w:szCs w:val="20"/>
          <w:lang w:val="en-US"/>
        </w:rPr>
        <w:t>the violation</w:t>
      </w:r>
      <w:r w:rsidR="00F830E9" w:rsidRPr="00D869E3">
        <w:rPr>
          <w:rFonts w:ascii="Verdana" w:hAnsi="Verdana"/>
          <w:sz w:val="20"/>
          <w:szCs w:val="20"/>
          <w:lang w:val="en-US"/>
        </w:rPr>
        <w:t xml:space="preserve"> </w:t>
      </w:r>
      <w:r w:rsidR="00180CED" w:rsidRPr="00D869E3">
        <w:rPr>
          <w:rFonts w:ascii="Verdana" w:hAnsi="Verdana"/>
          <w:sz w:val="20"/>
          <w:szCs w:val="20"/>
          <w:lang w:val="en-US"/>
        </w:rPr>
        <w:t>of the right</w:t>
      </w:r>
      <w:r w:rsidR="00616FBB" w:rsidRPr="00D869E3">
        <w:rPr>
          <w:rFonts w:ascii="Verdana" w:hAnsi="Verdana"/>
          <w:sz w:val="20"/>
          <w:szCs w:val="20"/>
          <w:lang w:val="en-US"/>
        </w:rPr>
        <w:t>s</w:t>
      </w:r>
      <w:r w:rsidR="00180CED" w:rsidRPr="00D869E3">
        <w:rPr>
          <w:rFonts w:ascii="Verdana" w:hAnsi="Verdana"/>
          <w:sz w:val="20"/>
          <w:szCs w:val="20"/>
          <w:lang w:val="en-US"/>
        </w:rPr>
        <w:t xml:space="preserve"> to </w:t>
      </w:r>
      <w:r w:rsidR="00901386" w:rsidRPr="00D869E3">
        <w:rPr>
          <w:rFonts w:ascii="Verdana" w:hAnsi="Verdana"/>
          <w:sz w:val="20"/>
          <w:szCs w:val="20"/>
          <w:lang w:val="en-US"/>
        </w:rPr>
        <w:t>judicial protection</w:t>
      </w:r>
      <w:r w:rsidR="00687684" w:rsidRPr="00D869E3">
        <w:rPr>
          <w:rFonts w:ascii="Verdana" w:hAnsi="Verdana"/>
          <w:sz w:val="20"/>
          <w:szCs w:val="20"/>
          <w:lang w:val="en-US"/>
        </w:rPr>
        <w:t xml:space="preserve"> and</w:t>
      </w:r>
      <w:r w:rsidR="00180CED" w:rsidRPr="00D869E3">
        <w:rPr>
          <w:rFonts w:ascii="Verdana" w:hAnsi="Verdana"/>
          <w:sz w:val="20"/>
          <w:szCs w:val="20"/>
          <w:lang w:val="en-US"/>
        </w:rPr>
        <w:t xml:space="preserve"> </w:t>
      </w:r>
      <w:r w:rsidR="00616FBB" w:rsidRPr="00D869E3">
        <w:rPr>
          <w:rFonts w:ascii="Verdana" w:hAnsi="Verdana"/>
          <w:sz w:val="20"/>
          <w:szCs w:val="20"/>
          <w:lang w:val="en-US"/>
        </w:rPr>
        <w:t xml:space="preserve">to </w:t>
      </w:r>
      <w:r w:rsidR="00180CED" w:rsidRPr="00D869E3">
        <w:rPr>
          <w:rFonts w:ascii="Verdana" w:hAnsi="Verdana"/>
          <w:sz w:val="20"/>
          <w:szCs w:val="20"/>
          <w:lang w:val="en-US"/>
        </w:rPr>
        <w:t xml:space="preserve">a fair trial, in accordance with </w:t>
      </w:r>
      <w:r w:rsidRPr="00D869E3">
        <w:rPr>
          <w:rFonts w:ascii="Verdana" w:hAnsi="Verdana"/>
          <w:sz w:val="20"/>
          <w:szCs w:val="20"/>
          <w:lang w:val="en-US"/>
        </w:rPr>
        <w:t>Articles</w:t>
      </w:r>
      <w:r w:rsidR="00D9601C" w:rsidRPr="00D869E3">
        <w:rPr>
          <w:rFonts w:ascii="Verdana" w:hAnsi="Verdana"/>
          <w:sz w:val="20"/>
          <w:szCs w:val="20"/>
          <w:lang w:val="en-US"/>
        </w:rPr>
        <w:t xml:space="preserve"> 8</w:t>
      </w:r>
      <w:r w:rsidR="00687684" w:rsidRPr="00D869E3">
        <w:rPr>
          <w:rFonts w:ascii="Verdana" w:hAnsi="Verdana"/>
          <w:sz w:val="20"/>
          <w:szCs w:val="20"/>
          <w:lang w:val="en-US"/>
        </w:rPr>
        <w:t xml:space="preserve"> and </w:t>
      </w:r>
      <w:r w:rsidR="00D9601C" w:rsidRPr="00D869E3">
        <w:rPr>
          <w:rFonts w:ascii="Verdana" w:hAnsi="Verdana"/>
          <w:sz w:val="20"/>
          <w:szCs w:val="20"/>
          <w:lang w:val="en-US"/>
        </w:rPr>
        <w:t>25</w:t>
      </w:r>
      <w:r w:rsidRPr="00D869E3">
        <w:rPr>
          <w:rFonts w:ascii="Verdana" w:hAnsi="Verdana"/>
          <w:sz w:val="20"/>
          <w:szCs w:val="20"/>
          <w:lang w:val="en-US"/>
        </w:rPr>
        <w:t xml:space="preserve"> of the American Convention</w:t>
      </w:r>
      <w:r w:rsidR="00D9601C" w:rsidRPr="00D869E3">
        <w:rPr>
          <w:rFonts w:ascii="Verdana" w:hAnsi="Verdana"/>
          <w:sz w:val="20"/>
          <w:szCs w:val="20"/>
          <w:lang w:val="en-US"/>
        </w:rPr>
        <w:t xml:space="preserve">, </w:t>
      </w:r>
      <w:r w:rsidR="00BB61A6" w:rsidRPr="00D869E3">
        <w:rPr>
          <w:rFonts w:ascii="Verdana" w:hAnsi="Verdana"/>
          <w:sz w:val="20"/>
          <w:lang w:val="en-US"/>
        </w:rPr>
        <w:t>in relation to</w:t>
      </w:r>
      <w:r w:rsidR="00D9601C" w:rsidRPr="00D869E3">
        <w:rPr>
          <w:rFonts w:ascii="Verdana" w:hAnsi="Verdana"/>
          <w:sz w:val="20"/>
          <w:lang w:val="en-US"/>
        </w:rPr>
        <w:t xml:space="preserve"> </w:t>
      </w:r>
      <w:r w:rsidR="00687684" w:rsidRPr="00D869E3">
        <w:rPr>
          <w:rFonts w:ascii="Verdana" w:hAnsi="Verdana"/>
          <w:sz w:val="20"/>
          <w:lang w:val="en-US"/>
        </w:rPr>
        <w:t>Article 1(1)</w:t>
      </w:r>
      <w:r w:rsidR="00D9601C" w:rsidRPr="00D869E3">
        <w:rPr>
          <w:rFonts w:ascii="Verdana" w:hAnsi="Verdana"/>
          <w:sz w:val="20"/>
          <w:lang w:val="en-US"/>
        </w:rPr>
        <w:t xml:space="preserve"> </w:t>
      </w:r>
      <w:r w:rsidR="00351902" w:rsidRPr="00D869E3">
        <w:rPr>
          <w:rFonts w:ascii="Verdana" w:hAnsi="Verdana"/>
          <w:sz w:val="20"/>
          <w:lang w:val="en-US"/>
        </w:rPr>
        <w:t>of this instrument</w:t>
      </w:r>
      <w:r w:rsidR="00D9601C" w:rsidRPr="00D869E3">
        <w:rPr>
          <w:rFonts w:ascii="Verdana" w:hAnsi="Verdana"/>
          <w:sz w:val="20"/>
          <w:lang w:val="en-US"/>
        </w:rPr>
        <w:t xml:space="preserve">, </w:t>
      </w:r>
      <w:r w:rsidR="00180CED" w:rsidRPr="00D869E3">
        <w:rPr>
          <w:rFonts w:ascii="Verdana" w:hAnsi="Verdana"/>
          <w:sz w:val="20"/>
          <w:lang w:val="en-US"/>
        </w:rPr>
        <w:t xml:space="preserve">to the detriment of </w:t>
      </w:r>
      <w:r w:rsidR="00687684" w:rsidRPr="00D869E3">
        <w:rPr>
          <w:rFonts w:ascii="Verdana" w:hAnsi="Verdana"/>
          <w:sz w:val="20"/>
          <w:lang w:val="en-US"/>
        </w:rPr>
        <w:t>Mr. Lagos</w:t>
      </w:r>
      <w:r w:rsidR="00D9601C" w:rsidRPr="00D869E3">
        <w:rPr>
          <w:rFonts w:ascii="Verdana" w:hAnsi="Verdana"/>
          <w:sz w:val="20"/>
          <w:lang w:val="en-US"/>
        </w:rPr>
        <w:t xml:space="preserve"> del Campo, </w:t>
      </w:r>
      <w:r w:rsidR="00351902" w:rsidRPr="00D869E3">
        <w:rPr>
          <w:rFonts w:ascii="Verdana" w:hAnsi="Verdana"/>
          <w:sz w:val="20"/>
          <w:szCs w:val="20"/>
          <w:lang w:val="en-US"/>
        </w:rPr>
        <w:t>pursuant to paragraphs</w:t>
      </w:r>
      <w:r w:rsidR="00882FB7" w:rsidRPr="00D869E3">
        <w:rPr>
          <w:rFonts w:ascii="Verdana" w:hAnsi="Verdana"/>
          <w:sz w:val="20"/>
          <w:szCs w:val="20"/>
          <w:lang w:val="en-US"/>
        </w:rPr>
        <w:t xml:space="preserve"> 170 </w:t>
      </w:r>
      <w:r w:rsidR="00180CED" w:rsidRPr="00D869E3">
        <w:rPr>
          <w:rFonts w:ascii="Verdana" w:hAnsi="Verdana"/>
          <w:sz w:val="20"/>
          <w:szCs w:val="20"/>
          <w:lang w:val="en-US"/>
        </w:rPr>
        <w:t>to</w:t>
      </w:r>
      <w:r w:rsidR="00882FB7" w:rsidRPr="00D869E3">
        <w:rPr>
          <w:rFonts w:ascii="Verdana" w:hAnsi="Verdana"/>
          <w:sz w:val="20"/>
          <w:szCs w:val="20"/>
          <w:lang w:val="en-US"/>
        </w:rPr>
        <w:t xml:space="preserve"> 191</w:t>
      </w:r>
      <w:r w:rsidR="00D9601C" w:rsidRPr="00D869E3">
        <w:rPr>
          <w:rFonts w:ascii="Verdana" w:hAnsi="Verdana"/>
          <w:sz w:val="20"/>
          <w:szCs w:val="20"/>
          <w:lang w:val="en-US"/>
        </w:rPr>
        <w:t xml:space="preserve"> </w:t>
      </w:r>
      <w:r w:rsidR="00180CED" w:rsidRPr="00D869E3">
        <w:rPr>
          <w:rFonts w:ascii="Verdana" w:hAnsi="Verdana"/>
          <w:sz w:val="20"/>
          <w:szCs w:val="20"/>
          <w:lang w:val="en-US"/>
        </w:rPr>
        <w:t>of this judgment</w:t>
      </w:r>
      <w:r w:rsidR="00D9601C" w:rsidRPr="00D869E3">
        <w:rPr>
          <w:rFonts w:ascii="Verdana" w:hAnsi="Verdana"/>
          <w:sz w:val="20"/>
          <w:szCs w:val="20"/>
          <w:lang w:val="en-US"/>
        </w:rPr>
        <w:t>.</w:t>
      </w:r>
    </w:p>
    <w:p w14:paraId="378EBB57" w14:textId="77777777" w:rsidR="00324758" w:rsidRPr="00D869E3" w:rsidRDefault="00324758" w:rsidP="00C44F02">
      <w:pPr>
        <w:pStyle w:val="Prrafodelista"/>
        <w:widowControl w:val="0"/>
        <w:tabs>
          <w:tab w:val="center" w:pos="720"/>
        </w:tabs>
        <w:autoSpaceDE w:val="0"/>
        <w:autoSpaceDN w:val="0"/>
        <w:adjustRightInd w:val="0"/>
        <w:ind w:left="0" w:right="-90"/>
        <w:jc w:val="both"/>
        <w:rPr>
          <w:rFonts w:ascii="Verdana" w:hAnsi="Verdana"/>
          <w:sz w:val="20"/>
          <w:szCs w:val="20"/>
          <w:lang w:val="en-US"/>
        </w:rPr>
      </w:pPr>
    </w:p>
    <w:p w14:paraId="1E46EF5A" w14:textId="644AB947" w:rsidR="00172797" w:rsidRPr="00D869E3" w:rsidRDefault="00447C65" w:rsidP="00C44F02">
      <w:pPr>
        <w:pStyle w:val="Prrafodelista"/>
        <w:widowControl w:val="0"/>
        <w:numPr>
          <w:ilvl w:val="0"/>
          <w:numId w:val="16"/>
        </w:numPr>
        <w:tabs>
          <w:tab w:val="center" w:pos="720"/>
        </w:tabs>
        <w:autoSpaceDE w:val="0"/>
        <w:autoSpaceDN w:val="0"/>
        <w:adjustRightInd w:val="0"/>
        <w:ind w:left="0" w:right="-90" w:hanging="11"/>
        <w:jc w:val="both"/>
        <w:rPr>
          <w:rFonts w:ascii="Verdana" w:hAnsi="Verdana"/>
          <w:sz w:val="20"/>
          <w:szCs w:val="20"/>
          <w:lang w:val="en-US"/>
        </w:rPr>
      </w:pPr>
      <w:r w:rsidRPr="00D869E3">
        <w:rPr>
          <w:rFonts w:ascii="Verdana" w:hAnsi="Verdana"/>
          <w:sz w:val="20"/>
          <w:szCs w:val="20"/>
          <w:lang w:val="en-US"/>
        </w:rPr>
        <w:t>The State</w:t>
      </w:r>
      <w:r w:rsidR="00487AE7" w:rsidRPr="00D869E3">
        <w:rPr>
          <w:rFonts w:ascii="Verdana" w:hAnsi="Verdana"/>
          <w:sz w:val="20"/>
          <w:szCs w:val="20"/>
          <w:lang w:val="en-US"/>
        </w:rPr>
        <w:t xml:space="preserve"> </w:t>
      </w:r>
      <w:r w:rsidR="00180CED" w:rsidRPr="00D869E3">
        <w:rPr>
          <w:rFonts w:ascii="Verdana" w:hAnsi="Verdana"/>
          <w:sz w:val="20"/>
          <w:szCs w:val="20"/>
          <w:lang w:val="en-US"/>
        </w:rPr>
        <w:t>is not responsible for</w:t>
      </w:r>
      <w:r w:rsidR="00487AE7" w:rsidRPr="00D869E3">
        <w:rPr>
          <w:rFonts w:ascii="Verdana" w:hAnsi="Verdana"/>
          <w:sz w:val="20"/>
          <w:szCs w:val="20"/>
          <w:lang w:val="en-US"/>
        </w:rPr>
        <w:t xml:space="preserve"> </w:t>
      </w:r>
      <w:r w:rsidR="007013E2" w:rsidRPr="00D869E3">
        <w:rPr>
          <w:rFonts w:ascii="Verdana" w:hAnsi="Verdana"/>
          <w:sz w:val="20"/>
          <w:szCs w:val="20"/>
          <w:lang w:val="en-US"/>
        </w:rPr>
        <w:t>the violation</w:t>
      </w:r>
      <w:r w:rsidR="00487AE7" w:rsidRPr="00D869E3">
        <w:rPr>
          <w:rFonts w:ascii="Verdana" w:hAnsi="Verdana"/>
          <w:sz w:val="20"/>
          <w:szCs w:val="20"/>
          <w:lang w:val="en-US"/>
        </w:rPr>
        <w:t xml:space="preserve"> </w:t>
      </w:r>
      <w:r w:rsidR="00180CED" w:rsidRPr="00D869E3">
        <w:rPr>
          <w:rFonts w:ascii="Verdana" w:hAnsi="Verdana"/>
          <w:sz w:val="20"/>
          <w:szCs w:val="20"/>
          <w:lang w:val="en-US"/>
        </w:rPr>
        <w:t>of</w:t>
      </w:r>
      <w:r w:rsidR="00487AE7" w:rsidRPr="00D869E3">
        <w:rPr>
          <w:rFonts w:ascii="Verdana" w:hAnsi="Verdana"/>
          <w:sz w:val="20"/>
          <w:szCs w:val="20"/>
          <w:lang w:val="en-US"/>
        </w:rPr>
        <w:t xml:space="preserve"> </w:t>
      </w:r>
      <w:r w:rsidRPr="00D869E3">
        <w:rPr>
          <w:rFonts w:ascii="Verdana" w:hAnsi="Verdana"/>
          <w:sz w:val="20"/>
          <w:szCs w:val="20"/>
          <w:lang w:val="en-US"/>
        </w:rPr>
        <w:t>Article</w:t>
      </w:r>
      <w:r w:rsidR="00487AE7" w:rsidRPr="00D869E3">
        <w:rPr>
          <w:rFonts w:ascii="Verdana" w:hAnsi="Verdana"/>
          <w:sz w:val="20"/>
          <w:szCs w:val="20"/>
          <w:lang w:val="en-US"/>
        </w:rPr>
        <w:t xml:space="preserve"> 2</w:t>
      </w:r>
      <w:r w:rsidRPr="00D869E3">
        <w:rPr>
          <w:rFonts w:ascii="Verdana" w:hAnsi="Verdana"/>
          <w:sz w:val="20"/>
          <w:szCs w:val="20"/>
          <w:lang w:val="en-US"/>
        </w:rPr>
        <w:t xml:space="preserve"> of the Convention</w:t>
      </w:r>
      <w:r w:rsidR="00487AE7" w:rsidRPr="00D869E3">
        <w:rPr>
          <w:rFonts w:ascii="Verdana" w:hAnsi="Verdana"/>
          <w:sz w:val="20"/>
          <w:szCs w:val="20"/>
          <w:lang w:val="en-US"/>
        </w:rPr>
        <w:t xml:space="preserve">, </w:t>
      </w:r>
      <w:r w:rsidR="00180CED" w:rsidRPr="00D869E3">
        <w:rPr>
          <w:rFonts w:ascii="Verdana" w:hAnsi="Verdana"/>
          <w:sz w:val="20"/>
          <w:szCs w:val="20"/>
          <w:lang w:val="en-US"/>
        </w:rPr>
        <w:t>in relation to paragraph (</w:t>
      </w:r>
      <w:r w:rsidR="00487AE7" w:rsidRPr="00D869E3">
        <w:rPr>
          <w:rFonts w:ascii="Verdana" w:hAnsi="Verdana"/>
          <w:sz w:val="20"/>
          <w:szCs w:val="20"/>
          <w:lang w:val="en-US"/>
        </w:rPr>
        <w:t xml:space="preserve">h) </w:t>
      </w:r>
      <w:r w:rsidR="00687684" w:rsidRPr="00D869E3">
        <w:rPr>
          <w:rFonts w:ascii="Verdana" w:hAnsi="Verdana"/>
          <w:sz w:val="20"/>
          <w:szCs w:val="20"/>
          <w:lang w:val="en-US"/>
        </w:rPr>
        <w:t xml:space="preserve">of </w:t>
      </w:r>
      <w:r w:rsidR="00180CED" w:rsidRPr="00D869E3">
        <w:rPr>
          <w:rFonts w:ascii="Verdana" w:hAnsi="Verdana"/>
          <w:sz w:val="20"/>
          <w:szCs w:val="20"/>
          <w:lang w:val="en-US"/>
        </w:rPr>
        <w:t>a</w:t>
      </w:r>
      <w:r w:rsidR="00687684" w:rsidRPr="00D869E3">
        <w:rPr>
          <w:rFonts w:ascii="Verdana" w:hAnsi="Verdana"/>
          <w:sz w:val="20"/>
          <w:szCs w:val="20"/>
          <w:lang w:val="en-US"/>
        </w:rPr>
        <w:t>rticle</w:t>
      </w:r>
      <w:r w:rsidR="00487AE7" w:rsidRPr="00D869E3">
        <w:rPr>
          <w:rFonts w:ascii="Verdana" w:hAnsi="Verdana"/>
          <w:sz w:val="20"/>
          <w:szCs w:val="20"/>
          <w:lang w:val="en-US"/>
        </w:rPr>
        <w:t xml:space="preserve"> 5 </w:t>
      </w:r>
      <w:r w:rsidR="00180CED" w:rsidRPr="00D869E3">
        <w:rPr>
          <w:rFonts w:ascii="Verdana" w:hAnsi="Verdana"/>
          <w:sz w:val="20"/>
          <w:szCs w:val="20"/>
          <w:lang w:val="en-US"/>
        </w:rPr>
        <w:t>of</w:t>
      </w:r>
      <w:r w:rsidR="00487AE7" w:rsidRPr="00D869E3">
        <w:rPr>
          <w:rFonts w:ascii="Verdana" w:hAnsi="Verdana"/>
          <w:sz w:val="20"/>
          <w:szCs w:val="20"/>
          <w:lang w:val="en-US"/>
        </w:rPr>
        <w:t xml:space="preserve"> </w:t>
      </w:r>
      <w:r w:rsidR="00852CCA" w:rsidRPr="00D869E3">
        <w:rPr>
          <w:rFonts w:ascii="Verdana" w:hAnsi="Verdana"/>
          <w:sz w:val="20"/>
          <w:szCs w:val="20"/>
          <w:lang w:val="en-US"/>
        </w:rPr>
        <w:t>Law</w:t>
      </w:r>
      <w:r w:rsidR="00487AE7" w:rsidRPr="00D869E3">
        <w:rPr>
          <w:rFonts w:ascii="Verdana" w:hAnsi="Verdana"/>
          <w:sz w:val="20"/>
          <w:szCs w:val="20"/>
          <w:lang w:val="en-US"/>
        </w:rPr>
        <w:t xml:space="preserve"> 24514</w:t>
      </w:r>
      <w:r w:rsidR="00687684" w:rsidRPr="00D869E3">
        <w:rPr>
          <w:rFonts w:ascii="Verdana" w:hAnsi="Verdana"/>
          <w:sz w:val="20"/>
          <w:szCs w:val="20"/>
          <w:lang w:val="en-US"/>
        </w:rPr>
        <w:t xml:space="preserve"> and </w:t>
      </w:r>
      <w:r w:rsidR="00180CED" w:rsidRPr="00D869E3">
        <w:rPr>
          <w:rFonts w:ascii="Verdana" w:hAnsi="Verdana"/>
          <w:sz w:val="20"/>
          <w:szCs w:val="20"/>
          <w:lang w:val="en-US"/>
        </w:rPr>
        <w:t>a</w:t>
      </w:r>
      <w:r w:rsidRPr="00D869E3">
        <w:rPr>
          <w:rFonts w:ascii="Verdana" w:hAnsi="Verdana"/>
          <w:sz w:val="20"/>
          <w:szCs w:val="20"/>
          <w:lang w:val="en-US"/>
        </w:rPr>
        <w:t>rticle</w:t>
      </w:r>
      <w:r w:rsidR="00487AE7" w:rsidRPr="00D869E3">
        <w:rPr>
          <w:rFonts w:ascii="Verdana" w:hAnsi="Verdana"/>
          <w:sz w:val="20"/>
          <w:szCs w:val="20"/>
          <w:lang w:val="en-US"/>
        </w:rPr>
        <w:t xml:space="preserve"> 25 </w:t>
      </w:r>
      <w:r w:rsidR="00180CED" w:rsidRPr="00D869E3">
        <w:rPr>
          <w:rFonts w:ascii="Verdana" w:hAnsi="Verdana"/>
          <w:sz w:val="20"/>
          <w:szCs w:val="20"/>
          <w:lang w:val="en-US"/>
        </w:rPr>
        <w:t xml:space="preserve">of </w:t>
      </w:r>
      <w:r w:rsidR="008B63E1" w:rsidRPr="00D869E3">
        <w:rPr>
          <w:rFonts w:ascii="Verdana" w:hAnsi="Verdana"/>
          <w:sz w:val="20"/>
          <w:szCs w:val="20"/>
          <w:lang w:val="en-US"/>
        </w:rPr>
        <w:t>Legislative Decree</w:t>
      </w:r>
      <w:r w:rsidR="00487AE7" w:rsidRPr="00D869E3">
        <w:rPr>
          <w:rFonts w:ascii="Verdana" w:hAnsi="Verdana"/>
          <w:sz w:val="20"/>
          <w:szCs w:val="20"/>
          <w:lang w:val="en-US"/>
        </w:rPr>
        <w:t xml:space="preserve"> No. 728, </w:t>
      </w:r>
      <w:r w:rsidR="00351902" w:rsidRPr="00D869E3">
        <w:rPr>
          <w:rFonts w:ascii="Verdana" w:hAnsi="Verdana"/>
          <w:sz w:val="20"/>
          <w:szCs w:val="20"/>
          <w:lang w:val="en-US"/>
        </w:rPr>
        <w:t>pursuant to paragraphs</w:t>
      </w:r>
      <w:r w:rsidR="00882FB7" w:rsidRPr="00D869E3">
        <w:rPr>
          <w:rFonts w:ascii="Verdana" w:hAnsi="Verdana"/>
          <w:sz w:val="20"/>
          <w:szCs w:val="20"/>
          <w:lang w:val="en-US"/>
        </w:rPr>
        <w:t xml:space="preserve"> 164 a</w:t>
      </w:r>
      <w:r w:rsidR="00180CED" w:rsidRPr="00D869E3">
        <w:rPr>
          <w:rFonts w:ascii="Verdana" w:hAnsi="Verdana"/>
          <w:sz w:val="20"/>
          <w:szCs w:val="20"/>
          <w:lang w:val="en-US"/>
        </w:rPr>
        <w:t>nd</w:t>
      </w:r>
      <w:r w:rsidR="00882FB7" w:rsidRPr="00D869E3">
        <w:rPr>
          <w:rFonts w:ascii="Verdana" w:hAnsi="Verdana"/>
          <w:sz w:val="20"/>
          <w:szCs w:val="20"/>
          <w:lang w:val="en-US"/>
        </w:rPr>
        <w:t xml:space="preserve"> 165</w:t>
      </w:r>
      <w:r w:rsidR="00487AE7" w:rsidRPr="00D869E3">
        <w:rPr>
          <w:rFonts w:ascii="Verdana" w:hAnsi="Verdana"/>
          <w:sz w:val="20"/>
          <w:szCs w:val="20"/>
          <w:lang w:val="en-US"/>
        </w:rPr>
        <w:t xml:space="preserve"> </w:t>
      </w:r>
      <w:r w:rsidR="00180CED" w:rsidRPr="00D869E3">
        <w:rPr>
          <w:rFonts w:ascii="Verdana" w:hAnsi="Verdana"/>
          <w:sz w:val="20"/>
          <w:szCs w:val="20"/>
          <w:lang w:val="en-US"/>
        </w:rPr>
        <w:t>of this judgment</w:t>
      </w:r>
      <w:r w:rsidR="00487AE7" w:rsidRPr="00D869E3">
        <w:rPr>
          <w:rFonts w:ascii="Verdana" w:hAnsi="Verdana"/>
          <w:sz w:val="20"/>
          <w:szCs w:val="20"/>
          <w:lang w:val="en-US"/>
        </w:rPr>
        <w:t>.</w:t>
      </w:r>
      <w:r w:rsidR="0015750D" w:rsidRPr="00D869E3">
        <w:rPr>
          <w:rFonts w:ascii="Verdana" w:hAnsi="Verdana"/>
          <w:sz w:val="20"/>
          <w:szCs w:val="20"/>
          <w:lang w:val="en-US"/>
        </w:rPr>
        <w:t xml:space="preserve"> </w:t>
      </w:r>
    </w:p>
    <w:p w14:paraId="164820F7" w14:textId="77777777" w:rsidR="00172797" w:rsidRPr="00D869E3" w:rsidRDefault="00172797" w:rsidP="00324758">
      <w:pPr>
        <w:pStyle w:val="Prrafodelista"/>
        <w:widowControl w:val="0"/>
        <w:tabs>
          <w:tab w:val="center" w:pos="567"/>
        </w:tabs>
        <w:autoSpaceDE w:val="0"/>
        <w:autoSpaceDN w:val="0"/>
        <w:adjustRightInd w:val="0"/>
        <w:ind w:left="0" w:right="-90"/>
        <w:jc w:val="both"/>
        <w:rPr>
          <w:rFonts w:ascii="Verdana" w:hAnsi="Verdana"/>
          <w:sz w:val="20"/>
          <w:szCs w:val="20"/>
          <w:lang w:val="en-US"/>
        </w:rPr>
      </w:pPr>
    </w:p>
    <w:p w14:paraId="53D7D436" w14:textId="720BECE4" w:rsidR="00324758" w:rsidRPr="00D869E3" w:rsidRDefault="00180CED" w:rsidP="00324758">
      <w:pPr>
        <w:pStyle w:val="Prrafodelista2"/>
        <w:tabs>
          <w:tab w:val="left" w:pos="720"/>
        </w:tabs>
        <w:ind w:left="0" w:right="-90"/>
        <w:contextualSpacing/>
        <w:jc w:val="both"/>
        <w:rPr>
          <w:b/>
          <w:bCs/>
          <w:lang w:val="en-US"/>
        </w:rPr>
      </w:pPr>
      <w:r w:rsidRPr="00D869E3">
        <w:rPr>
          <w:b/>
          <w:bCs/>
          <w:lang w:val="en-US"/>
        </w:rPr>
        <w:t>AND ESTABLISHES:</w:t>
      </w:r>
    </w:p>
    <w:p w14:paraId="19F501AC" w14:textId="77777777" w:rsidR="00324758" w:rsidRPr="00D869E3" w:rsidRDefault="00324758" w:rsidP="00324758">
      <w:pPr>
        <w:pStyle w:val="Prrafodelista2"/>
        <w:tabs>
          <w:tab w:val="left" w:pos="720"/>
        </w:tabs>
        <w:ind w:left="0" w:right="-90"/>
        <w:contextualSpacing/>
        <w:jc w:val="both"/>
        <w:rPr>
          <w:b/>
          <w:bCs/>
          <w:lang w:val="en-US"/>
        </w:rPr>
      </w:pPr>
    </w:p>
    <w:p w14:paraId="1B7C0778" w14:textId="4E8BD665" w:rsidR="000828BB" w:rsidRPr="00D869E3" w:rsidRDefault="009D0AA1" w:rsidP="000828BB">
      <w:pPr>
        <w:pStyle w:val="Prrafodelista2"/>
        <w:ind w:left="0" w:right="-90"/>
        <w:contextualSpacing/>
        <w:rPr>
          <w:lang w:val="en-US"/>
        </w:rPr>
      </w:pPr>
      <w:r w:rsidRPr="00D869E3">
        <w:rPr>
          <w:lang w:val="en-US"/>
        </w:rPr>
        <w:t>Unanimously, that</w:t>
      </w:r>
      <w:r w:rsidR="000828BB" w:rsidRPr="00D869E3">
        <w:rPr>
          <w:lang w:val="en-US"/>
        </w:rPr>
        <w:t>:</w:t>
      </w:r>
    </w:p>
    <w:p w14:paraId="24A509FA" w14:textId="77777777" w:rsidR="00324758" w:rsidRPr="00D869E3" w:rsidRDefault="00324758" w:rsidP="00324758">
      <w:pPr>
        <w:pStyle w:val="Prrafodelista"/>
        <w:widowControl w:val="0"/>
        <w:tabs>
          <w:tab w:val="center" w:pos="567"/>
        </w:tabs>
        <w:autoSpaceDE w:val="0"/>
        <w:autoSpaceDN w:val="0"/>
        <w:adjustRightInd w:val="0"/>
        <w:ind w:left="0" w:right="-90"/>
        <w:jc w:val="both"/>
        <w:rPr>
          <w:rFonts w:ascii="Verdana" w:hAnsi="Verdana"/>
          <w:sz w:val="20"/>
          <w:szCs w:val="20"/>
          <w:lang w:val="en-US"/>
        </w:rPr>
      </w:pPr>
    </w:p>
    <w:p w14:paraId="5C2D69EC" w14:textId="595F86D6" w:rsidR="00324758" w:rsidRPr="00D869E3" w:rsidRDefault="00180CED" w:rsidP="00C44F02">
      <w:pPr>
        <w:pStyle w:val="Prrafodelista"/>
        <w:widowControl w:val="0"/>
        <w:numPr>
          <w:ilvl w:val="0"/>
          <w:numId w:val="16"/>
        </w:numPr>
        <w:tabs>
          <w:tab w:val="center" w:pos="720"/>
        </w:tabs>
        <w:autoSpaceDE w:val="0"/>
        <w:autoSpaceDN w:val="0"/>
        <w:adjustRightInd w:val="0"/>
        <w:ind w:left="0" w:right="-90" w:hanging="11"/>
        <w:jc w:val="both"/>
        <w:rPr>
          <w:rFonts w:ascii="Verdana" w:hAnsi="Verdana"/>
          <w:sz w:val="20"/>
          <w:szCs w:val="20"/>
          <w:lang w:val="en-US"/>
        </w:rPr>
      </w:pPr>
      <w:r w:rsidRPr="00D869E3">
        <w:rPr>
          <w:rFonts w:ascii="Verdana" w:hAnsi="Verdana"/>
          <w:sz w:val="20"/>
          <w:szCs w:val="20"/>
          <w:lang w:val="en-US"/>
        </w:rPr>
        <w:t xml:space="preserve">This judgment constitutes, </w:t>
      </w:r>
      <w:r w:rsidRPr="00D869E3">
        <w:rPr>
          <w:rFonts w:ascii="Verdana" w:hAnsi="Verdana"/>
          <w:i/>
          <w:iCs/>
          <w:sz w:val="20"/>
          <w:szCs w:val="20"/>
          <w:lang w:val="en-US"/>
        </w:rPr>
        <w:t>per se</w:t>
      </w:r>
      <w:r w:rsidRPr="00D869E3">
        <w:rPr>
          <w:rFonts w:ascii="Verdana" w:hAnsi="Verdana"/>
          <w:sz w:val="20"/>
          <w:szCs w:val="20"/>
          <w:lang w:val="en-US"/>
        </w:rPr>
        <w:t>, a form of reparation.</w:t>
      </w:r>
    </w:p>
    <w:p w14:paraId="7CB57BE1" w14:textId="77777777" w:rsidR="00180CED" w:rsidRPr="00D869E3" w:rsidRDefault="00180CED" w:rsidP="00C44F02">
      <w:pPr>
        <w:pStyle w:val="Prrafodelista"/>
        <w:widowControl w:val="0"/>
        <w:tabs>
          <w:tab w:val="center" w:pos="720"/>
        </w:tabs>
        <w:autoSpaceDE w:val="0"/>
        <w:autoSpaceDN w:val="0"/>
        <w:adjustRightInd w:val="0"/>
        <w:ind w:left="0" w:right="-90"/>
        <w:jc w:val="both"/>
        <w:rPr>
          <w:rFonts w:ascii="Verdana" w:hAnsi="Verdana"/>
          <w:sz w:val="20"/>
          <w:szCs w:val="20"/>
          <w:lang w:val="en-US"/>
        </w:rPr>
      </w:pPr>
    </w:p>
    <w:p w14:paraId="5545656A" w14:textId="3BC36199" w:rsidR="00324758" w:rsidRPr="00D869E3" w:rsidRDefault="00447C65" w:rsidP="00C44F02">
      <w:pPr>
        <w:pStyle w:val="Prrafodelista"/>
        <w:widowControl w:val="0"/>
        <w:numPr>
          <w:ilvl w:val="0"/>
          <w:numId w:val="16"/>
        </w:numPr>
        <w:tabs>
          <w:tab w:val="center" w:pos="720"/>
        </w:tabs>
        <w:autoSpaceDE w:val="0"/>
        <w:autoSpaceDN w:val="0"/>
        <w:adjustRightInd w:val="0"/>
        <w:ind w:left="0" w:right="-90" w:hanging="11"/>
        <w:jc w:val="both"/>
        <w:rPr>
          <w:rFonts w:ascii="Verdana" w:hAnsi="Verdana"/>
          <w:sz w:val="20"/>
          <w:szCs w:val="20"/>
          <w:lang w:val="en-US"/>
        </w:rPr>
      </w:pPr>
      <w:r w:rsidRPr="00D869E3">
        <w:rPr>
          <w:rFonts w:ascii="Verdana" w:hAnsi="Verdana"/>
          <w:sz w:val="20"/>
          <w:szCs w:val="20"/>
          <w:lang w:val="en-US"/>
        </w:rPr>
        <w:t>The State</w:t>
      </w:r>
      <w:r w:rsidR="00324758" w:rsidRPr="00D869E3">
        <w:rPr>
          <w:rFonts w:ascii="Verdana" w:hAnsi="Verdana"/>
          <w:sz w:val="20"/>
          <w:szCs w:val="20"/>
          <w:lang w:val="en-US"/>
        </w:rPr>
        <w:t xml:space="preserve"> </w:t>
      </w:r>
      <w:r w:rsidR="00180CED" w:rsidRPr="00D869E3">
        <w:rPr>
          <w:rFonts w:ascii="Verdana" w:hAnsi="Verdana"/>
          <w:sz w:val="20"/>
          <w:szCs w:val="20"/>
          <w:lang w:val="en-US"/>
        </w:rPr>
        <w:t>shall make the p</w:t>
      </w:r>
      <w:r w:rsidR="00B44B46" w:rsidRPr="00D869E3">
        <w:rPr>
          <w:rFonts w:ascii="Verdana" w:hAnsi="Verdana"/>
          <w:sz w:val="20"/>
          <w:szCs w:val="20"/>
          <w:lang w:val="en-US"/>
        </w:rPr>
        <w:t>ublications</w:t>
      </w:r>
      <w:r w:rsidR="00882FB7" w:rsidRPr="00D869E3">
        <w:rPr>
          <w:rFonts w:ascii="Verdana" w:hAnsi="Verdana"/>
          <w:sz w:val="20"/>
          <w:szCs w:val="20"/>
          <w:lang w:val="en-US"/>
        </w:rPr>
        <w:t xml:space="preserve"> </w:t>
      </w:r>
      <w:r w:rsidR="00180CED" w:rsidRPr="00D869E3">
        <w:rPr>
          <w:rFonts w:ascii="Verdana" w:hAnsi="Verdana"/>
          <w:sz w:val="20"/>
          <w:szCs w:val="20"/>
          <w:lang w:val="en-US"/>
        </w:rPr>
        <w:t>indicated in paragraph</w:t>
      </w:r>
      <w:r w:rsidR="00882FB7" w:rsidRPr="00D869E3">
        <w:rPr>
          <w:rFonts w:ascii="Verdana" w:hAnsi="Verdana"/>
          <w:sz w:val="20"/>
          <w:szCs w:val="20"/>
          <w:lang w:val="en-US"/>
        </w:rPr>
        <w:t xml:space="preserve"> 200</w:t>
      </w:r>
      <w:r w:rsidR="00324758" w:rsidRPr="00D869E3">
        <w:rPr>
          <w:rFonts w:ascii="Verdana" w:hAnsi="Verdana"/>
          <w:sz w:val="20"/>
          <w:szCs w:val="20"/>
          <w:lang w:val="en-US"/>
        </w:rPr>
        <w:t xml:space="preserve"> </w:t>
      </w:r>
      <w:r w:rsidR="00180CED" w:rsidRPr="00D869E3">
        <w:rPr>
          <w:rFonts w:ascii="Verdana" w:hAnsi="Verdana"/>
          <w:sz w:val="20"/>
          <w:szCs w:val="20"/>
          <w:lang w:val="en-US"/>
        </w:rPr>
        <w:t xml:space="preserve">and advise </w:t>
      </w:r>
      <w:r w:rsidR="00901386" w:rsidRPr="00D869E3">
        <w:rPr>
          <w:rFonts w:ascii="Verdana" w:hAnsi="Verdana"/>
          <w:sz w:val="20"/>
          <w:szCs w:val="20"/>
          <w:lang w:val="en-US"/>
        </w:rPr>
        <w:t>this Court</w:t>
      </w:r>
      <w:r w:rsidR="00180CED" w:rsidRPr="00D869E3">
        <w:rPr>
          <w:rFonts w:ascii="Verdana" w:hAnsi="Verdana"/>
          <w:sz w:val="20"/>
          <w:szCs w:val="20"/>
          <w:lang w:val="en-US"/>
        </w:rPr>
        <w:t xml:space="preserve"> immediately, as indicated in paragraph</w:t>
      </w:r>
      <w:r w:rsidR="00882FB7" w:rsidRPr="00D869E3">
        <w:rPr>
          <w:rFonts w:ascii="Verdana" w:hAnsi="Verdana"/>
          <w:sz w:val="20"/>
          <w:szCs w:val="20"/>
          <w:lang w:val="en-US"/>
        </w:rPr>
        <w:t xml:space="preserve"> 201</w:t>
      </w:r>
      <w:r w:rsidR="00324758" w:rsidRPr="00D869E3">
        <w:rPr>
          <w:rFonts w:ascii="Verdana" w:hAnsi="Verdana"/>
          <w:sz w:val="20"/>
          <w:szCs w:val="20"/>
          <w:lang w:val="en-US"/>
        </w:rPr>
        <w:t xml:space="preserve"> </w:t>
      </w:r>
      <w:r w:rsidR="00180CED" w:rsidRPr="00D869E3">
        <w:rPr>
          <w:rFonts w:ascii="Verdana" w:hAnsi="Verdana"/>
          <w:sz w:val="20"/>
          <w:szCs w:val="20"/>
          <w:lang w:val="en-US"/>
        </w:rPr>
        <w:t>of this judgment</w:t>
      </w:r>
      <w:r w:rsidR="00324758" w:rsidRPr="00D869E3">
        <w:rPr>
          <w:rFonts w:ascii="Verdana" w:hAnsi="Verdana"/>
          <w:sz w:val="20"/>
          <w:szCs w:val="20"/>
          <w:lang w:val="en-US"/>
        </w:rPr>
        <w:t>.</w:t>
      </w:r>
    </w:p>
    <w:p w14:paraId="625075D0" w14:textId="77777777" w:rsidR="00324758" w:rsidRPr="00D869E3" w:rsidRDefault="00324758" w:rsidP="00C44F02">
      <w:pPr>
        <w:pStyle w:val="Prrafodelista"/>
        <w:widowControl w:val="0"/>
        <w:tabs>
          <w:tab w:val="center" w:pos="720"/>
        </w:tabs>
        <w:autoSpaceDE w:val="0"/>
        <w:autoSpaceDN w:val="0"/>
        <w:adjustRightInd w:val="0"/>
        <w:ind w:left="0" w:right="-90"/>
        <w:jc w:val="both"/>
        <w:rPr>
          <w:rFonts w:ascii="Verdana" w:hAnsi="Verdana"/>
          <w:sz w:val="20"/>
          <w:szCs w:val="20"/>
          <w:lang w:val="en-US"/>
        </w:rPr>
      </w:pPr>
    </w:p>
    <w:p w14:paraId="43C49264" w14:textId="2AD2B408" w:rsidR="00324758" w:rsidRPr="00D869E3" w:rsidRDefault="00447C65" w:rsidP="00C44F02">
      <w:pPr>
        <w:pStyle w:val="Prrafodelista"/>
        <w:widowControl w:val="0"/>
        <w:numPr>
          <w:ilvl w:val="0"/>
          <w:numId w:val="16"/>
        </w:numPr>
        <w:tabs>
          <w:tab w:val="center" w:pos="720"/>
        </w:tabs>
        <w:autoSpaceDE w:val="0"/>
        <w:autoSpaceDN w:val="0"/>
        <w:adjustRightInd w:val="0"/>
        <w:ind w:left="0" w:right="-90" w:hanging="11"/>
        <w:jc w:val="both"/>
        <w:rPr>
          <w:rFonts w:ascii="Verdana" w:hAnsi="Verdana"/>
          <w:sz w:val="20"/>
          <w:szCs w:val="20"/>
          <w:lang w:val="en-US"/>
        </w:rPr>
      </w:pPr>
      <w:r w:rsidRPr="00D869E3">
        <w:rPr>
          <w:rFonts w:ascii="Verdana" w:hAnsi="Verdana"/>
          <w:sz w:val="20"/>
          <w:szCs w:val="20"/>
          <w:lang w:val="en-US"/>
        </w:rPr>
        <w:t>The State</w:t>
      </w:r>
      <w:r w:rsidR="00324758" w:rsidRPr="00D869E3">
        <w:rPr>
          <w:rFonts w:ascii="Verdana" w:hAnsi="Verdana"/>
          <w:sz w:val="20"/>
          <w:szCs w:val="20"/>
          <w:lang w:val="en-US"/>
        </w:rPr>
        <w:t xml:space="preserve"> </w:t>
      </w:r>
      <w:r w:rsidR="00397193" w:rsidRPr="00D869E3">
        <w:rPr>
          <w:rFonts w:ascii="Verdana" w:hAnsi="Verdana"/>
          <w:sz w:val="20"/>
          <w:szCs w:val="20"/>
          <w:lang w:val="en-US"/>
        </w:rPr>
        <w:t>shall</w:t>
      </w:r>
      <w:r w:rsidR="00180CED" w:rsidRPr="00D869E3">
        <w:rPr>
          <w:rFonts w:ascii="Verdana" w:hAnsi="Verdana"/>
          <w:sz w:val="20"/>
          <w:szCs w:val="20"/>
          <w:lang w:val="en-US"/>
        </w:rPr>
        <w:t xml:space="preserve"> pay the amounts established in paragraphs</w:t>
      </w:r>
      <w:r w:rsidR="00324758" w:rsidRPr="00D869E3">
        <w:rPr>
          <w:rFonts w:ascii="Verdana" w:hAnsi="Verdana"/>
          <w:sz w:val="20"/>
          <w:szCs w:val="20"/>
          <w:lang w:val="en-US"/>
        </w:rPr>
        <w:t xml:space="preserve"> </w:t>
      </w:r>
      <w:r w:rsidR="00882FB7" w:rsidRPr="00D869E3">
        <w:rPr>
          <w:rFonts w:ascii="Verdana" w:hAnsi="Verdana"/>
          <w:sz w:val="20"/>
          <w:szCs w:val="20"/>
          <w:lang w:val="en-US"/>
        </w:rPr>
        <w:t>215, 216, 222</w:t>
      </w:r>
      <w:r w:rsidR="00687684" w:rsidRPr="00D869E3">
        <w:rPr>
          <w:rFonts w:ascii="Verdana" w:hAnsi="Verdana"/>
          <w:sz w:val="20"/>
          <w:szCs w:val="20"/>
          <w:lang w:val="en-US"/>
        </w:rPr>
        <w:t xml:space="preserve"> and </w:t>
      </w:r>
      <w:r w:rsidR="00882FB7" w:rsidRPr="00D869E3">
        <w:rPr>
          <w:rFonts w:ascii="Verdana" w:hAnsi="Verdana"/>
          <w:sz w:val="20"/>
          <w:szCs w:val="20"/>
          <w:lang w:val="en-US"/>
        </w:rPr>
        <w:t>227</w:t>
      </w:r>
      <w:r w:rsidR="00324758" w:rsidRPr="00D869E3">
        <w:rPr>
          <w:rFonts w:ascii="Verdana" w:hAnsi="Verdana"/>
          <w:sz w:val="20"/>
          <w:szCs w:val="20"/>
          <w:lang w:val="en-US"/>
        </w:rPr>
        <w:t xml:space="preserve"> </w:t>
      </w:r>
      <w:r w:rsidR="00180CED" w:rsidRPr="00D869E3">
        <w:rPr>
          <w:rFonts w:ascii="Verdana" w:hAnsi="Verdana"/>
          <w:sz w:val="20"/>
          <w:szCs w:val="20"/>
          <w:lang w:val="en-US"/>
        </w:rPr>
        <w:t>of this judgment</w:t>
      </w:r>
      <w:r w:rsidR="00324758" w:rsidRPr="00D869E3">
        <w:rPr>
          <w:rFonts w:ascii="Verdana" w:hAnsi="Verdana"/>
          <w:sz w:val="20"/>
          <w:szCs w:val="20"/>
          <w:lang w:val="en-US"/>
        </w:rPr>
        <w:t xml:space="preserve">, </w:t>
      </w:r>
      <w:r w:rsidR="00180CED" w:rsidRPr="00D869E3">
        <w:rPr>
          <w:rFonts w:ascii="Verdana" w:hAnsi="Verdana"/>
          <w:sz w:val="20"/>
          <w:szCs w:val="20"/>
          <w:lang w:val="en-US"/>
        </w:rPr>
        <w:t xml:space="preserve">as compensation for </w:t>
      </w:r>
      <w:r w:rsidR="00B44B46" w:rsidRPr="00D869E3">
        <w:rPr>
          <w:rFonts w:ascii="Verdana" w:hAnsi="Verdana"/>
          <w:sz w:val="20"/>
          <w:szCs w:val="20"/>
          <w:lang w:val="en-US"/>
        </w:rPr>
        <w:t>pecuniary damage</w:t>
      </w:r>
      <w:r w:rsidR="00FF2083" w:rsidRPr="00D869E3">
        <w:rPr>
          <w:rFonts w:ascii="Verdana" w:hAnsi="Verdana"/>
          <w:sz w:val="20"/>
          <w:szCs w:val="20"/>
          <w:lang w:val="en-US"/>
        </w:rPr>
        <w:t xml:space="preserve"> </w:t>
      </w:r>
      <w:r w:rsidR="00180CED" w:rsidRPr="00D869E3">
        <w:rPr>
          <w:rFonts w:ascii="Verdana" w:hAnsi="Verdana"/>
          <w:sz w:val="20"/>
          <w:szCs w:val="20"/>
          <w:lang w:val="en-US"/>
        </w:rPr>
        <w:t xml:space="preserve">and non-pecuniary damage and to reimburse </w:t>
      </w:r>
      <w:r w:rsidR="00FF2083" w:rsidRPr="00D869E3">
        <w:rPr>
          <w:rFonts w:ascii="Verdana" w:hAnsi="Verdana"/>
          <w:sz w:val="20"/>
          <w:szCs w:val="20"/>
          <w:lang w:val="en-US"/>
        </w:rPr>
        <w:t xml:space="preserve"> </w:t>
      </w:r>
      <w:r w:rsidR="00B44B46" w:rsidRPr="00D869E3">
        <w:rPr>
          <w:rFonts w:ascii="Verdana" w:hAnsi="Verdana"/>
          <w:sz w:val="20"/>
          <w:szCs w:val="20"/>
          <w:lang w:val="en-US"/>
        </w:rPr>
        <w:t xml:space="preserve">costs and </w:t>
      </w:r>
      <w:r w:rsidR="00E56813" w:rsidRPr="00D869E3">
        <w:rPr>
          <w:rFonts w:ascii="Verdana" w:hAnsi="Verdana"/>
          <w:sz w:val="20"/>
          <w:szCs w:val="20"/>
          <w:lang w:val="en-US"/>
        </w:rPr>
        <w:t>expenses</w:t>
      </w:r>
      <w:r w:rsidR="00324758" w:rsidRPr="00D869E3">
        <w:rPr>
          <w:rFonts w:ascii="Verdana" w:hAnsi="Verdana"/>
          <w:sz w:val="20"/>
          <w:szCs w:val="20"/>
          <w:lang w:val="en-US"/>
        </w:rPr>
        <w:t xml:space="preserve">, </w:t>
      </w:r>
      <w:r w:rsidR="00180CED" w:rsidRPr="00D869E3">
        <w:rPr>
          <w:rFonts w:ascii="Verdana" w:hAnsi="Verdana"/>
          <w:sz w:val="20"/>
          <w:szCs w:val="20"/>
          <w:lang w:val="en-US"/>
        </w:rPr>
        <w:t xml:space="preserve">in the terms of those paragraphs and </w:t>
      </w:r>
      <w:r w:rsidR="00397193" w:rsidRPr="00D869E3">
        <w:rPr>
          <w:rFonts w:ascii="Verdana" w:hAnsi="Verdana"/>
          <w:sz w:val="20"/>
          <w:szCs w:val="20"/>
          <w:lang w:val="en-US"/>
        </w:rPr>
        <w:t xml:space="preserve">also of </w:t>
      </w:r>
      <w:r w:rsidR="00180CED" w:rsidRPr="00D869E3">
        <w:rPr>
          <w:rFonts w:ascii="Verdana" w:hAnsi="Verdana"/>
          <w:sz w:val="20"/>
          <w:szCs w:val="20"/>
          <w:lang w:val="en-US"/>
        </w:rPr>
        <w:t>paragraphs</w:t>
      </w:r>
      <w:r w:rsidR="00604459" w:rsidRPr="00D869E3">
        <w:rPr>
          <w:rFonts w:ascii="Verdana" w:hAnsi="Verdana"/>
          <w:sz w:val="20"/>
          <w:szCs w:val="20"/>
          <w:lang w:val="en-US"/>
        </w:rPr>
        <w:t xml:space="preserve"> </w:t>
      </w:r>
      <w:r w:rsidR="00882FB7" w:rsidRPr="00D869E3">
        <w:rPr>
          <w:rFonts w:ascii="Verdana" w:hAnsi="Verdana"/>
          <w:sz w:val="20"/>
          <w:szCs w:val="20"/>
          <w:lang w:val="en-US"/>
        </w:rPr>
        <w:t xml:space="preserve">230 </w:t>
      </w:r>
      <w:r w:rsidR="00397193" w:rsidRPr="00D869E3">
        <w:rPr>
          <w:rFonts w:ascii="Verdana" w:hAnsi="Verdana"/>
          <w:sz w:val="20"/>
          <w:szCs w:val="20"/>
          <w:lang w:val="en-US"/>
        </w:rPr>
        <w:t>to</w:t>
      </w:r>
      <w:r w:rsidR="00882FB7" w:rsidRPr="00D869E3">
        <w:rPr>
          <w:rFonts w:ascii="Verdana" w:hAnsi="Verdana"/>
          <w:sz w:val="20"/>
          <w:szCs w:val="20"/>
          <w:lang w:val="en-US"/>
        </w:rPr>
        <w:t xml:space="preserve"> 235 </w:t>
      </w:r>
      <w:r w:rsidR="00180CED" w:rsidRPr="00D869E3">
        <w:rPr>
          <w:rFonts w:ascii="Verdana" w:hAnsi="Verdana"/>
          <w:sz w:val="20"/>
          <w:szCs w:val="20"/>
          <w:lang w:val="en-US"/>
        </w:rPr>
        <w:t>of this judgment</w:t>
      </w:r>
      <w:r w:rsidR="00324758" w:rsidRPr="00D869E3">
        <w:rPr>
          <w:rFonts w:ascii="Verdana" w:hAnsi="Verdana"/>
          <w:sz w:val="20"/>
          <w:szCs w:val="20"/>
          <w:lang w:val="en-US"/>
        </w:rPr>
        <w:t>.</w:t>
      </w:r>
    </w:p>
    <w:p w14:paraId="6730DA65" w14:textId="77777777" w:rsidR="00324758" w:rsidRPr="00D869E3" w:rsidRDefault="00324758" w:rsidP="00324758">
      <w:pPr>
        <w:pStyle w:val="Prrafodelista"/>
        <w:widowControl w:val="0"/>
        <w:tabs>
          <w:tab w:val="center" w:pos="567"/>
        </w:tabs>
        <w:autoSpaceDE w:val="0"/>
        <w:autoSpaceDN w:val="0"/>
        <w:adjustRightInd w:val="0"/>
        <w:ind w:left="0" w:right="-90"/>
        <w:jc w:val="both"/>
        <w:rPr>
          <w:rFonts w:ascii="Verdana" w:hAnsi="Verdana"/>
          <w:sz w:val="20"/>
          <w:szCs w:val="20"/>
          <w:lang w:val="en-US"/>
        </w:rPr>
      </w:pPr>
    </w:p>
    <w:p w14:paraId="58374D40" w14:textId="348D76DE" w:rsidR="00324758" w:rsidRPr="00D869E3" w:rsidRDefault="00447C65" w:rsidP="00C44F02">
      <w:pPr>
        <w:pStyle w:val="Prrafodelista"/>
        <w:widowControl w:val="0"/>
        <w:numPr>
          <w:ilvl w:val="0"/>
          <w:numId w:val="16"/>
        </w:numPr>
        <w:tabs>
          <w:tab w:val="center" w:pos="720"/>
        </w:tabs>
        <w:autoSpaceDE w:val="0"/>
        <w:autoSpaceDN w:val="0"/>
        <w:adjustRightInd w:val="0"/>
        <w:ind w:left="0" w:right="-90" w:hanging="11"/>
        <w:jc w:val="both"/>
        <w:rPr>
          <w:rFonts w:ascii="Verdana" w:hAnsi="Verdana"/>
          <w:sz w:val="20"/>
          <w:szCs w:val="20"/>
          <w:lang w:val="en-US"/>
        </w:rPr>
      </w:pPr>
      <w:r w:rsidRPr="00D869E3">
        <w:rPr>
          <w:rFonts w:ascii="Verdana" w:hAnsi="Verdana"/>
          <w:sz w:val="20"/>
          <w:szCs w:val="20"/>
          <w:lang w:val="en-US"/>
        </w:rPr>
        <w:t>The State</w:t>
      </w:r>
      <w:r w:rsidR="00324758" w:rsidRPr="00D869E3">
        <w:rPr>
          <w:rFonts w:ascii="Verdana" w:hAnsi="Verdana"/>
          <w:sz w:val="20"/>
          <w:szCs w:val="20"/>
          <w:lang w:val="en-US"/>
        </w:rPr>
        <w:t xml:space="preserve"> </w:t>
      </w:r>
      <w:r w:rsidR="00397193" w:rsidRPr="00D869E3">
        <w:rPr>
          <w:rFonts w:ascii="Verdana" w:hAnsi="Verdana"/>
          <w:sz w:val="20"/>
          <w:szCs w:val="20"/>
          <w:lang w:val="en-US"/>
        </w:rPr>
        <w:t>shall reimburse</w:t>
      </w:r>
      <w:r w:rsidR="00C44F02" w:rsidRPr="00D869E3">
        <w:rPr>
          <w:rFonts w:ascii="Verdana" w:hAnsi="Verdana"/>
          <w:sz w:val="20"/>
          <w:szCs w:val="20"/>
          <w:lang w:val="en-US"/>
        </w:rPr>
        <w:t xml:space="preserve"> the</w:t>
      </w:r>
      <w:r w:rsidR="00324758" w:rsidRPr="00D869E3">
        <w:rPr>
          <w:rFonts w:ascii="Verdana" w:hAnsi="Verdana"/>
          <w:sz w:val="20"/>
          <w:szCs w:val="20"/>
          <w:lang w:val="en-US"/>
        </w:rPr>
        <w:t xml:space="preserve"> </w:t>
      </w:r>
      <w:r w:rsidR="00CE3F0D" w:rsidRPr="00D869E3">
        <w:rPr>
          <w:rFonts w:ascii="Verdana" w:hAnsi="Verdana"/>
          <w:sz w:val="20"/>
          <w:szCs w:val="20"/>
          <w:lang w:val="en-US"/>
        </w:rPr>
        <w:t>Victims’ Legal Assistance Fund</w:t>
      </w:r>
      <w:r w:rsidRPr="00D869E3">
        <w:rPr>
          <w:rFonts w:ascii="Verdana" w:hAnsi="Verdana"/>
          <w:sz w:val="20"/>
          <w:szCs w:val="20"/>
          <w:lang w:val="en-US"/>
        </w:rPr>
        <w:t xml:space="preserve"> of the Inter-American Court of Human Rights</w:t>
      </w:r>
      <w:r w:rsidR="00324758" w:rsidRPr="00D869E3">
        <w:rPr>
          <w:rFonts w:ascii="Verdana" w:hAnsi="Verdana"/>
          <w:sz w:val="20"/>
          <w:szCs w:val="20"/>
          <w:lang w:val="en-US"/>
        </w:rPr>
        <w:t xml:space="preserve"> </w:t>
      </w:r>
      <w:r w:rsidR="00397193" w:rsidRPr="00D869E3">
        <w:rPr>
          <w:rFonts w:ascii="Verdana" w:hAnsi="Verdana"/>
          <w:sz w:val="20"/>
          <w:szCs w:val="20"/>
          <w:lang w:val="en-US"/>
        </w:rPr>
        <w:t xml:space="preserve">the amount disbursed during the processing of this case, pursuant to </w:t>
      </w:r>
      <w:r w:rsidR="00180CED" w:rsidRPr="00D869E3">
        <w:rPr>
          <w:rFonts w:ascii="Verdana" w:hAnsi="Verdana"/>
          <w:sz w:val="20"/>
          <w:szCs w:val="20"/>
          <w:lang w:val="en-US"/>
        </w:rPr>
        <w:t>paragraph</w:t>
      </w:r>
      <w:r w:rsidR="00882FB7" w:rsidRPr="00D869E3">
        <w:rPr>
          <w:rFonts w:ascii="Verdana" w:hAnsi="Verdana"/>
          <w:sz w:val="20"/>
          <w:szCs w:val="20"/>
          <w:lang w:val="en-US"/>
        </w:rPr>
        <w:t xml:space="preserve"> 229</w:t>
      </w:r>
      <w:r w:rsidR="00324758" w:rsidRPr="00D869E3">
        <w:rPr>
          <w:rFonts w:ascii="Verdana" w:hAnsi="Verdana"/>
          <w:sz w:val="20"/>
          <w:szCs w:val="20"/>
          <w:lang w:val="en-US"/>
        </w:rPr>
        <w:t xml:space="preserve"> </w:t>
      </w:r>
      <w:r w:rsidR="00180CED" w:rsidRPr="00D869E3">
        <w:rPr>
          <w:rFonts w:ascii="Verdana" w:hAnsi="Verdana"/>
          <w:sz w:val="20"/>
          <w:szCs w:val="20"/>
          <w:lang w:val="en-US"/>
        </w:rPr>
        <w:t>of this judgment</w:t>
      </w:r>
      <w:r w:rsidR="00324758" w:rsidRPr="00D869E3">
        <w:rPr>
          <w:rFonts w:ascii="Verdana" w:hAnsi="Verdana"/>
          <w:sz w:val="20"/>
          <w:szCs w:val="20"/>
          <w:lang w:val="en-US"/>
        </w:rPr>
        <w:t>.</w:t>
      </w:r>
    </w:p>
    <w:p w14:paraId="5C9B740E" w14:textId="77777777" w:rsidR="00324758" w:rsidRPr="00D869E3" w:rsidRDefault="00324758" w:rsidP="00C44F02">
      <w:pPr>
        <w:pStyle w:val="Prrafodelista"/>
        <w:widowControl w:val="0"/>
        <w:tabs>
          <w:tab w:val="center" w:pos="720"/>
        </w:tabs>
        <w:autoSpaceDE w:val="0"/>
        <w:autoSpaceDN w:val="0"/>
        <w:adjustRightInd w:val="0"/>
        <w:ind w:left="0" w:right="-90"/>
        <w:jc w:val="both"/>
        <w:rPr>
          <w:rFonts w:ascii="Verdana" w:hAnsi="Verdana"/>
          <w:sz w:val="20"/>
          <w:szCs w:val="20"/>
          <w:lang w:val="en-US"/>
        </w:rPr>
      </w:pPr>
    </w:p>
    <w:p w14:paraId="52C014D3" w14:textId="7A59DF27" w:rsidR="00324758" w:rsidRPr="00D869E3" w:rsidRDefault="00447C65" w:rsidP="00C44F02">
      <w:pPr>
        <w:pStyle w:val="Prrafodelista"/>
        <w:widowControl w:val="0"/>
        <w:numPr>
          <w:ilvl w:val="0"/>
          <w:numId w:val="16"/>
        </w:numPr>
        <w:tabs>
          <w:tab w:val="center" w:pos="720"/>
        </w:tabs>
        <w:autoSpaceDE w:val="0"/>
        <w:autoSpaceDN w:val="0"/>
        <w:adjustRightInd w:val="0"/>
        <w:ind w:left="0" w:right="-90" w:hanging="11"/>
        <w:jc w:val="both"/>
        <w:rPr>
          <w:rFonts w:ascii="Verdana" w:hAnsi="Verdana"/>
          <w:sz w:val="20"/>
          <w:szCs w:val="20"/>
          <w:lang w:val="en-US"/>
        </w:rPr>
      </w:pPr>
      <w:r w:rsidRPr="00D869E3">
        <w:rPr>
          <w:rFonts w:ascii="Verdana" w:hAnsi="Verdana"/>
          <w:sz w:val="20"/>
          <w:szCs w:val="20"/>
          <w:lang w:val="en-US"/>
        </w:rPr>
        <w:t>The State</w:t>
      </w:r>
      <w:r w:rsidR="00324758" w:rsidRPr="00D869E3">
        <w:rPr>
          <w:rFonts w:ascii="Verdana" w:hAnsi="Verdana"/>
          <w:sz w:val="20"/>
          <w:szCs w:val="20"/>
          <w:lang w:val="en-US"/>
        </w:rPr>
        <w:t xml:space="preserve"> </w:t>
      </w:r>
      <w:r w:rsidR="00397193" w:rsidRPr="00D869E3">
        <w:rPr>
          <w:rFonts w:ascii="Verdana" w:hAnsi="Verdana"/>
          <w:sz w:val="20"/>
          <w:szCs w:val="20"/>
          <w:lang w:val="en-US"/>
        </w:rPr>
        <w:t>shall, within one year of notification</w:t>
      </w:r>
      <w:r w:rsidR="00324758" w:rsidRPr="00D869E3">
        <w:rPr>
          <w:rFonts w:ascii="Verdana" w:hAnsi="Verdana"/>
          <w:sz w:val="20"/>
          <w:szCs w:val="20"/>
          <w:lang w:val="en-US"/>
        </w:rPr>
        <w:t xml:space="preserve"> </w:t>
      </w:r>
      <w:r w:rsidR="00180CED" w:rsidRPr="00D869E3">
        <w:rPr>
          <w:rFonts w:ascii="Verdana" w:hAnsi="Verdana"/>
          <w:sz w:val="20"/>
          <w:szCs w:val="20"/>
          <w:lang w:val="en-US"/>
        </w:rPr>
        <w:t>of this judgment</w:t>
      </w:r>
      <w:r w:rsidR="00324758" w:rsidRPr="00D869E3">
        <w:rPr>
          <w:rFonts w:ascii="Verdana" w:hAnsi="Verdana"/>
          <w:sz w:val="20"/>
          <w:szCs w:val="20"/>
          <w:lang w:val="en-US"/>
        </w:rPr>
        <w:t xml:space="preserve">, </w:t>
      </w:r>
      <w:r w:rsidR="00397193" w:rsidRPr="00D869E3">
        <w:rPr>
          <w:rFonts w:ascii="Verdana" w:hAnsi="Verdana"/>
          <w:sz w:val="20"/>
          <w:szCs w:val="20"/>
          <w:lang w:val="en-US"/>
        </w:rPr>
        <w:t xml:space="preserve">provide the Court with a report on the measures adopted to comply with it, without prejudice to the provisions of </w:t>
      </w:r>
      <w:r w:rsidR="00180CED" w:rsidRPr="00D869E3">
        <w:rPr>
          <w:rFonts w:ascii="Verdana" w:hAnsi="Verdana"/>
          <w:sz w:val="20"/>
          <w:szCs w:val="20"/>
          <w:lang w:val="en-US"/>
        </w:rPr>
        <w:lastRenderedPageBreak/>
        <w:t>paragraph</w:t>
      </w:r>
      <w:r w:rsidR="00882FB7" w:rsidRPr="00D869E3">
        <w:rPr>
          <w:rFonts w:ascii="Verdana" w:hAnsi="Verdana"/>
          <w:sz w:val="20"/>
          <w:szCs w:val="20"/>
          <w:lang w:val="en-US"/>
        </w:rPr>
        <w:t xml:space="preserve"> 201</w:t>
      </w:r>
      <w:r w:rsidR="00324758" w:rsidRPr="00D869E3">
        <w:rPr>
          <w:rFonts w:ascii="Verdana" w:hAnsi="Verdana"/>
          <w:sz w:val="20"/>
          <w:szCs w:val="20"/>
          <w:lang w:val="en-US"/>
        </w:rPr>
        <w:t xml:space="preserve"> </w:t>
      </w:r>
      <w:r w:rsidR="00180CED" w:rsidRPr="00D869E3">
        <w:rPr>
          <w:rFonts w:ascii="Verdana" w:hAnsi="Verdana"/>
          <w:sz w:val="20"/>
          <w:szCs w:val="20"/>
          <w:lang w:val="en-US"/>
        </w:rPr>
        <w:t>of this judgment</w:t>
      </w:r>
      <w:r w:rsidR="00324758" w:rsidRPr="00D869E3">
        <w:rPr>
          <w:rFonts w:ascii="Verdana" w:hAnsi="Verdana"/>
          <w:sz w:val="20"/>
          <w:szCs w:val="20"/>
          <w:lang w:val="en-US"/>
        </w:rPr>
        <w:t>.</w:t>
      </w:r>
    </w:p>
    <w:p w14:paraId="2DEBD764" w14:textId="77777777" w:rsidR="00324758" w:rsidRPr="00D869E3" w:rsidRDefault="00324758" w:rsidP="00C44F02">
      <w:pPr>
        <w:pStyle w:val="Prrafodelista"/>
        <w:widowControl w:val="0"/>
        <w:tabs>
          <w:tab w:val="center" w:pos="720"/>
        </w:tabs>
        <w:autoSpaceDE w:val="0"/>
        <w:autoSpaceDN w:val="0"/>
        <w:adjustRightInd w:val="0"/>
        <w:ind w:left="0" w:right="-90"/>
        <w:jc w:val="both"/>
        <w:rPr>
          <w:rFonts w:ascii="Verdana" w:hAnsi="Verdana"/>
          <w:sz w:val="20"/>
          <w:szCs w:val="20"/>
          <w:lang w:val="en-US"/>
        </w:rPr>
      </w:pPr>
    </w:p>
    <w:p w14:paraId="4BB2F104" w14:textId="07F9783F" w:rsidR="00324758" w:rsidRPr="00D869E3" w:rsidRDefault="00447C65" w:rsidP="00C44F02">
      <w:pPr>
        <w:pStyle w:val="Prrafodelista"/>
        <w:widowControl w:val="0"/>
        <w:numPr>
          <w:ilvl w:val="0"/>
          <w:numId w:val="16"/>
        </w:numPr>
        <w:tabs>
          <w:tab w:val="center" w:pos="720"/>
        </w:tabs>
        <w:autoSpaceDE w:val="0"/>
        <w:autoSpaceDN w:val="0"/>
        <w:adjustRightInd w:val="0"/>
        <w:ind w:left="0" w:right="-90" w:hanging="11"/>
        <w:jc w:val="both"/>
        <w:rPr>
          <w:rFonts w:ascii="Verdana" w:hAnsi="Verdana"/>
          <w:sz w:val="20"/>
          <w:szCs w:val="20"/>
          <w:lang w:val="en-US"/>
        </w:rPr>
      </w:pPr>
      <w:r w:rsidRPr="00D869E3">
        <w:rPr>
          <w:rFonts w:ascii="Verdana" w:hAnsi="Verdana"/>
          <w:sz w:val="20"/>
          <w:szCs w:val="20"/>
          <w:lang w:val="en-US"/>
        </w:rPr>
        <w:t>The Court</w:t>
      </w:r>
      <w:r w:rsidR="00324758" w:rsidRPr="00D869E3">
        <w:rPr>
          <w:rFonts w:ascii="Verdana" w:hAnsi="Verdana"/>
          <w:sz w:val="20"/>
          <w:szCs w:val="20"/>
          <w:lang w:val="en-US"/>
        </w:rPr>
        <w:t xml:space="preserve"> </w:t>
      </w:r>
      <w:r w:rsidR="00397193" w:rsidRPr="00D869E3">
        <w:rPr>
          <w:rFonts w:ascii="Verdana" w:hAnsi="Verdana"/>
          <w:sz w:val="20"/>
          <w:szCs w:val="20"/>
          <w:lang w:val="en-US"/>
        </w:rPr>
        <w:t xml:space="preserve">will monitor full compliance with </w:t>
      </w:r>
      <w:r w:rsidR="00180CED" w:rsidRPr="00D869E3">
        <w:rPr>
          <w:rFonts w:ascii="Verdana" w:hAnsi="Verdana"/>
          <w:sz w:val="20"/>
          <w:szCs w:val="20"/>
          <w:lang w:val="en-US"/>
        </w:rPr>
        <w:t>this judgment</w:t>
      </w:r>
      <w:r w:rsidR="00324758" w:rsidRPr="00D869E3">
        <w:rPr>
          <w:rFonts w:ascii="Verdana" w:hAnsi="Verdana"/>
          <w:sz w:val="20"/>
          <w:szCs w:val="20"/>
          <w:lang w:val="en-US"/>
        </w:rPr>
        <w:t xml:space="preserve">, </w:t>
      </w:r>
      <w:r w:rsidR="00397193" w:rsidRPr="00D869E3">
        <w:rPr>
          <w:rFonts w:ascii="Verdana" w:hAnsi="Verdana"/>
          <w:sz w:val="20"/>
          <w:szCs w:val="20"/>
          <w:lang w:val="en-US"/>
        </w:rPr>
        <w:t>in exercise of its attributes and in fulfillment of its obligations under</w:t>
      </w:r>
      <w:r w:rsidR="00324758" w:rsidRPr="00D869E3">
        <w:rPr>
          <w:rFonts w:ascii="Verdana" w:hAnsi="Verdana"/>
          <w:sz w:val="20"/>
          <w:szCs w:val="20"/>
          <w:lang w:val="en-US"/>
        </w:rPr>
        <w:t xml:space="preserve"> </w:t>
      </w:r>
      <w:r w:rsidRPr="00D869E3">
        <w:rPr>
          <w:rFonts w:ascii="Verdana" w:hAnsi="Verdana"/>
          <w:sz w:val="20"/>
          <w:szCs w:val="20"/>
          <w:lang w:val="en-US"/>
        </w:rPr>
        <w:t>the American Convention on Human Rights</w:t>
      </w:r>
      <w:r w:rsidR="00324758" w:rsidRPr="00D869E3">
        <w:rPr>
          <w:rFonts w:ascii="Verdana" w:hAnsi="Verdana"/>
          <w:sz w:val="20"/>
          <w:szCs w:val="20"/>
          <w:lang w:val="en-US"/>
        </w:rPr>
        <w:t>,</w:t>
      </w:r>
      <w:r w:rsidR="00687684" w:rsidRPr="00D869E3">
        <w:rPr>
          <w:rFonts w:ascii="Verdana" w:hAnsi="Verdana"/>
          <w:sz w:val="20"/>
          <w:szCs w:val="20"/>
          <w:lang w:val="en-US"/>
        </w:rPr>
        <w:t xml:space="preserve"> and </w:t>
      </w:r>
      <w:r w:rsidR="00397193" w:rsidRPr="00D869E3">
        <w:rPr>
          <w:rFonts w:ascii="Verdana" w:hAnsi="Verdana"/>
          <w:sz w:val="20"/>
          <w:szCs w:val="20"/>
          <w:lang w:val="en-US"/>
        </w:rPr>
        <w:t>will close this case when the State has complied fully with its provisions</w:t>
      </w:r>
      <w:r w:rsidR="00324758" w:rsidRPr="00D869E3">
        <w:rPr>
          <w:rFonts w:ascii="Verdana" w:hAnsi="Verdana"/>
          <w:sz w:val="20"/>
          <w:szCs w:val="20"/>
          <w:lang w:val="en-US"/>
        </w:rPr>
        <w:t>.</w:t>
      </w:r>
    </w:p>
    <w:p w14:paraId="05A85B24" w14:textId="77777777" w:rsidR="006A2D03" w:rsidRPr="00D869E3" w:rsidRDefault="006A2D03" w:rsidP="00324758">
      <w:pPr>
        <w:pStyle w:val="Prrafodelista"/>
        <w:widowControl w:val="0"/>
        <w:tabs>
          <w:tab w:val="center" w:pos="567"/>
        </w:tabs>
        <w:autoSpaceDE w:val="0"/>
        <w:autoSpaceDN w:val="0"/>
        <w:adjustRightInd w:val="0"/>
        <w:ind w:left="0" w:right="-90"/>
        <w:jc w:val="both"/>
        <w:rPr>
          <w:rFonts w:ascii="Verdana" w:hAnsi="Verdana"/>
          <w:sz w:val="20"/>
          <w:szCs w:val="20"/>
          <w:lang w:val="en-US"/>
        </w:rPr>
      </w:pPr>
    </w:p>
    <w:p w14:paraId="268D88C3" w14:textId="03B22A12" w:rsidR="003F1454" w:rsidRPr="00D869E3" w:rsidRDefault="00971D34" w:rsidP="00324758">
      <w:pPr>
        <w:pStyle w:val="Prrafodelista"/>
        <w:widowControl w:val="0"/>
        <w:tabs>
          <w:tab w:val="center" w:pos="567"/>
        </w:tabs>
        <w:autoSpaceDE w:val="0"/>
        <w:autoSpaceDN w:val="0"/>
        <w:adjustRightInd w:val="0"/>
        <w:ind w:left="0" w:right="-90"/>
        <w:jc w:val="both"/>
        <w:rPr>
          <w:rFonts w:ascii="Verdana" w:hAnsi="Verdana"/>
          <w:sz w:val="20"/>
          <w:szCs w:val="20"/>
          <w:lang w:val="en-US"/>
        </w:rPr>
      </w:pPr>
      <w:r w:rsidRPr="00D869E3">
        <w:rPr>
          <w:rFonts w:ascii="Verdana" w:hAnsi="Verdana"/>
          <w:sz w:val="20"/>
          <w:szCs w:val="20"/>
          <w:lang w:val="en-US"/>
        </w:rPr>
        <w:t>Judges</w:t>
      </w:r>
      <w:r w:rsidR="003F1454" w:rsidRPr="00D869E3">
        <w:rPr>
          <w:rFonts w:ascii="Verdana" w:hAnsi="Verdana"/>
          <w:sz w:val="20"/>
          <w:szCs w:val="20"/>
          <w:lang w:val="en-US"/>
        </w:rPr>
        <w:t xml:space="preserve"> Roberto F. Caldas</w:t>
      </w:r>
      <w:r w:rsidR="00687684" w:rsidRPr="00D869E3">
        <w:rPr>
          <w:rFonts w:ascii="Verdana" w:hAnsi="Verdana"/>
          <w:sz w:val="20"/>
          <w:szCs w:val="20"/>
          <w:lang w:val="en-US"/>
        </w:rPr>
        <w:t xml:space="preserve"> and </w:t>
      </w:r>
      <w:r w:rsidR="003F1454" w:rsidRPr="00D869E3">
        <w:rPr>
          <w:rFonts w:ascii="Verdana" w:hAnsi="Verdana"/>
          <w:sz w:val="20"/>
          <w:szCs w:val="20"/>
          <w:lang w:val="en-US"/>
        </w:rPr>
        <w:t>Eduardo Ferrer Mac-Gregor Poisot</w:t>
      </w:r>
      <w:r w:rsidRPr="00D869E3">
        <w:rPr>
          <w:rFonts w:ascii="Verdana" w:hAnsi="Verdana"/>
          <w:sz w:val="20"/>
          <w:szCs w:val="20"/>
          <w:lang w:val="en-US"/>
        </w:rPr>
        <w:t xml:space="preserve"> advised</w:t>
      </w:r>
      <w:r w:rsidR="00730D77" w:rsidRPr="00D869E3">
        <w:rPr>
          <w:rFonts w:ascii="Verdana" w:hAnsi="Verdana"/>
          <w:sz w:val="20"/>
          <w:szCs w:val="20"/>
          <w:lang w:val="en-US"/>
        </w:rPr>
        <w:t xml:space="preserve"> </w:t>
      </w:r>
      <w:r w:rsidR="00447C65" w:rsidRPr="00D869E3">
        <w:rPr>
          <w:rFonts w:ascii="Verdana" w:hAnsi="Verdana"/>
          <w:sz w:val="20"/>
          <w:szCs w:val="20"/>
          <w:lang w:val="en-US"/>
        </w:rPr>
        <w:t>the Court</w:t>
      </w:r>
      <w:r w:rsidR="0044649E" w:rsidRPr="00D869E3">
        <w:rPr>
          <w:rFonts w:ascii="Verdana" w:hAnsi="Verdana"/>
          <w:sz w:val="20"/>
          <w:szCs w:val="20"/>
          <w:lang w:val="en-US"/>
        </w:rPr>
        <w:t xml:space="preserve"> </w:t>
      </w:r>
      <w:r w:rsidRPr="00D869E3">
        <w:rPr>
          <w:rFonts w:ascii="Verdana" w:hAnsi="Verdana"/>
          <w:sz w:val="20"/>
          <w:szCs w:val="20"/>
          <w:lang w:val="en-US"/>
        </w:rPr>
        <w:t xml:space="preserve">of their individual concurring opinions, and Judges </w:t>
      </w:r>
      <w:r w:rsidR="003F1454" w:rsidRPr="00D869E3">
        <w:rPr>
          <w:rFonts w:ascii="Verdana" w:hAnsi="Verdana"/>
          <w:sz w:val="20"/>
          <w:szCs w:val="20"/>
          <w:lang w:val="en-US"/>
        </w:rPr>
        <w:t>Eduardo Vio Grossi</w:t>
      </w:r>
      <w:r w:rsidR="00687684" w:rsidRPr="00D869E3">
        <w:rPr>
          <w:rFonts w:ascii="Verdana" w:hAnsi="Verdana"/>
          <w:sz w:val="20"/>
          <w:szCs w:val="20"/>
          <w:lang w:val="en-US"/>
        </w:rPr>
        <w:t xml:space="preserve"> and </w:t>
      </w:r>
      <w:r w:rsidR="003F1454" w:rsidRPr="00D869E3">
        <w:rPr>
          <w:rFonts w:ascii="Verdana" w:hAnsi="Verdana"/>
          <w:sz w:val="20"/>
          <w:szCs w:val="20"/>
          <w:lang w:val="en-US"/>
        </w:rPr>
        <w:t>Humberto A</w:t>
      </w:r>
      <w:r w:rsidR="0044649E" w:rsidRPr="00D869E3">
        <w:rPr>
          <w:rFonts w:ascii="Verdana" w:hAnsi="Verdana"/>
          <w:sz w:val="20"/>
          <w:szCs w:val="20"/>
          <w:lang w:val="en-US"/>
        </w:rPr>
        <w:t>ntonio</w:t>
      </w:r>
      <w:r w:rsidR="003F1454" w:rsidRPr="00D869E3">
        <w:rPr>
          <w:rFonts w:ascii="Verdana" w:hAnsi="Verdana"/>
          <w:sz w:val="20"/>
          <w:szCs w:val="20"/>
          <w:lang w:val="en-US"/>
        </w:rPr>
        <w:t xml:space="preserve"> Sierra Porto, </w:t>
      </w:r>
      <w:r w:rsidRPr="00D869E3">
        <w:rPr>
          <w:rFonts w:ascii="Verdana" w:hAnsi="Verdana"/>
          <w:sz w:val="20"/>
          <w:szCs w:val="20"/>
          <w:lang w:val="en-US"/>
        </w:rPr>
        <w:t>of their individual partially dissenting opinions, which are attached to this judgment.</w:t>
      </w:r>
    </w:p>
    <w:p w14:paraId="5DFC262F" w14:textId="77777777" w:rsidR="009A3098" w:rsidRPr="00D869E3" w:rsidRDefault="009A3098" w:rsidP="00324758">
      <w:pPr>
        <w:pStyle w:val="Prrafodelista"/>
        <w:widowControl w:val="0"/>
        <w:tabs>
          <w:tab w:val="center" w:pos="567"/>
        </w:tabs>
        <w:autoSpaceDE w:val="0"/>
        <w:autoSpaceDN w:val="0"/>
        <w:adjustRightInd w:val="0"/>
        <w:ind w:left="0" w:right="-90"/>
        <w:jc w:val="both"/>
        <w:rPr>
          <w:rFonts w:ascii="Verdana" w:hAnsi="Verdana"/>
          <w:sz w:val="20"/>
          <w:szCs w:val="20"/>
          <w:lang w:val="en-US"/>
        </w:rPr>
      </w:pPr>
    </w:p>
    <w:p w14:paraId="2211D111" w14:textId="717F1945" w:rsidR="00324758" w:rsidRPr="00D869E3" w:rsidRDefault="00971D34" w:rsidP="00324758">
      <w:pPr>
        <w:pStyle w:val="Prrafodelista"/>
        <w:widowControl w:val="0"/>
        <w:tabs>
          <w:tab w:val="center" w:pos="567"/>
        </w:tabs>
        <w:autoSpaceDE w:val="0"/>
        <w:autoSpaceDN w:val="0"/>
        <w:adjustRightInd w:val="0"/>
        <w:ind w:left="0" w:right="-90"/>
        <w:jc w:val="both"/>
        <w:rPr>
          <w:rFonts w:ascii="Verdana" w:hAnsi="Verdana"/>
          <w:sz w:val="20"/>
          <w:szCs w:val="20"/>
          <w:lang w:val="en-US"/>
        </w:rPr>
      </w:pPr>
      <w:r w:rsidRPr="00D869E3">
        <w:rPr>
          <w:rFonts w:ascii="Verdana" w:hAnsi="Verdana"/>
          <w:sz w:val="20"/>
          <w:szCs w:val="20"/>
          <w:lang w:val="en-US"/>
        </w:rPr>
        <w:t xml:space="preserve">DONE, at </w:t>
      </w:r>
      <w:r w:rsidR="00324758" w:rsidRPr="00D869E3">
        <w:rPr>
          <w:rFonts w:ascii="Verdana" w:hAnsi="Verdana"/>
          <w:sz w:val="20"/>
          <w:szCs w:val="20"/>
          <w:lang w:val="en-US"/>
        </w:rPr>
        <w:t>San José, Costa Ri</w:t>
      </w:r>
      <w:r w:rsidR="00326D8F" w:rsidRPr="00D869E3">
        <w:rPr>
          <w:rFonts w:ascii="Verdana" w:hAnsi="Verdana"/>
          <w:sz w:val="20"/>
          <w:szCs w:val="20"/>
          <w:lang w:val="en-US"/>
        </w:rPr>
        <w:t xml:space="preserve">ca, </w:t>
      </w:r>
      <w:r w:rsidRPr="00D869E3">
        <w:rPr>
          <w:rFonts w:ascii="Verdana" w:hAnsi="Verdana"/>
          <w:sz w:val="20"/>
          <w:szCs w:val="20"/>
          <w:lang w:val="en-US"/>
        </w:rPr>
        <w:t>on</w:t>
      </w:r>
      <w:r w:rsidR="00431AE6" w:rsidRPr="00D869E3">
        <w:rPr>
          <w:rFonts w:ascii="Verdana" w:hAnsi="Verdana"/>
          <w:sz w:val="20"/>
          <w:szCs w:val="20"/>
          <w:lang w:val="en-US"/>
        </w:rPr>
        <w:t xml:space="preserve"> </w:t>
      </w:r>
      <w:r w:rsidR="00447C65" w:rsidRPr="00D869E3">
        <w:rPr>
          <w:rFonts w:ascii="Verdana" w:hAnsi="Verdana"/>
          <w:sz w:val="20"/>
          <w:szCs w:val="20"/>
          <w:lang w:val="en-US"/>
        </w:rPr>
        <w:t>August 31,</w:t>
      </w:r>
      <w:r w:rsidR="00326D8F" w:rsidRPr="00D869E3">
        <w:rPr>
          <w:rFonts w:ascii="Verdana" w:hAnsi="Verdana"/>
          <w:sz w:val="20"/>
          <w:szCs w:val="20"/>
          <w:lang w:val="en-US"/>
        </w:rPr>
        <w:t xml:space="preserve"> 2017</w:t>
      </w:r>
      <w:r w:rsidRPr="00D869E3">
        <w:rPr>
          <w:rFonts w:ascii="Verdana" w:hAnsi="Verdana"/>
          <w:sz w:val="20"/>
          <w:szCs w:val="20"/>
          <w:lang w:val="en-US"/>
        </w:rPr>
        <w:t>, in the Spanish language.</w:t>
      </w:r>
    </w:p>
    <w:p w14:paraId="208E4801" w14:textId="77777777" w:rsidR="00324758" w:rsidRPr="00D869E3" w:rsidRDefault="00324758" w:rsidP="00324758">
      <w:pPr>
        <w:pStyle w:val="Prrafodelista"/>
        <w:widowControl w:val="0"/>
        <w:tabs>
          <w:tab w:val="center" w:pos="567"/>
        </w:tabs>
        <w:autoSpaceDE w:val="0"/>
        <w:autoSpaceDN w:val="0"/>
        <w:adjustRightInd w:val="0"/>
        <w:ind w:left="0" w:right="-90"/>
        <w:jc w:val="both"/>
        <w:rPr>
          <w:rFonts w:ascii="Verdana" w:hAnsi="Verdana"/>
          <w:sz w:val="20"/>
          <w:szCs w:val="20"/>
          <w:lang w:val="en-US"/>
        </w:rPr>
      </w:pPr>
    </w:p>
    <w:p w14:paraId="1036AD72" w14:textId="6ED06507" w:rsidR="0060277E" w:rsidRPr="00D869E3" w:rsidRDefault="0060277E">
      <w:pPr>
        <w:spacing w:after="200" w:line="276" w:lineRule="auto"/>
        <w:rPr>
          <w:rFonts w:ascii="Verdana" w:hAnsi="Verdana"/>
          <w:sz w:val="20"/>
          <w:szCs w:val="20"/>
          <w:lang w:val="en-US"/>
        </w:rPr>
      </w:pPr>
      <w:r w:rsidRPr="00D869E3">
        <w:rPr>
          <w:rFonts w:ascii="Verdana" w:hAnsi="Verdana"/>
          <w:sz w:val="20"/>
          <w:szCs w:val="20"/>
          <w:lang w:val="en-US"/>
        </w:rPr>
        <w:br w:type="page"/>
      </w:r>
    </w:p>
    <w:p w14:paraId="3B814277" w14:textId="332B5248" w:rsidR="0060277E" w:rsidRPr="00D869E3" w:rsidRDefault="00003343" w:rsidP="0060277E">
      <w:pPr>
        <w:jc w:val="both"/>
        <w:rPr>
          <w:rFonts w:ascii="Verdana" w:hAnsi="Verdana"/>
          <w:sz w:val="20"/>
          <w:lang w:val="en-US"/>
        </w:rPr>
      </w:pPr>
      <w:r w:rsidRPr="00D869E3">
        <w:rPr>
          <w:rFonts w:ascii="Verdana" w:hAnsi="Verdana"/>
          <w:sz w:val="20"/>
          <w:lang w:val="en-US"/>
        </w:rPr>
        <w:lastRenderedPageBreak/>
        <w:t>I/A Court HR</w:t>
      </w:r>
      <w:r w:rsidR="0060277E" w:rsidRPr="00D869E3">
        <w:rPr>
          <w:rFonts w:ascii="Verdana" w:hAnsi="Verdana"/>
          <w:sz w:val="20"/>
          <w:lang w:val="en-US"/>
        </w:rPr>
        <w:t xml:space="preserve">. </w:t>
      </w:r>
      <w:r w:rsidR="00447C65" w:rsidRPr="00D869E3">
        <w:rPr>
          <w:rFonts w:ascii="Verdana" w:hAnsi="Verdana"/>
          <w:sz w:val="20"/>
          <w:lang w:val="en-US"/>
        </w:rPr>
        <w:t>Case of</w:t>
      </w:r>
      <w:r w:rsidR="0060277E" w:rsidRPr="00D869E3">
        <w:rPr>
          <w:rFonts w:ascii="Verdana" w:hAnsi="Verdana"/>
          <w:sz w:val="20"/>
          <w:lang w:val="en-US"/>
        </w:rPr>
        <w:t xml:space="preserve"> </w:t>
      </w:r>
      <w:r w:rsidR="0060277E" w:rsidRPr="00D869E3">
        <w:rPr>
          <w:rFonts w:ascii="Verdana" w:hAnsi="Verdana"/>
          <w:i/>
          <w:sz w:val="20"/>
          <w:lang w:val="en-US"/>
        </w:rPr>
        <w:t xml:space="preserve">Lagos del Campo </w:t>
      </w:r>
      <w:r w:rsidR="00447C65" w:rsidRPr="00D869E3">
        <w:rPr>
          <w:rFonts w:ascii="Verdana" w:hAnsi="Verdana"/>
          <w:i/>
          <w:sz w:val="20"/>
          <w:lang w:val="en-US"/>
        </w:rPr>
        <w:t>v.</w:t>
      </w:r>
      <w:r w:rsidR="0060277E" w:rsidRPr="00D869E3">
        <w:rPr>
          <w:rFonts w:ascii="Verdana" w:hAnsi="Verdana"/>
          <w:i/>
          <w:sz w:val="20"/>
          <w:lang w:val="en-US"/>
        </w:rPr>
        <w:t xml:space="preserve"> </w:t>
      </w:r>
      <w:r w:rsidR="00447C65" w:rsidRPr="00D869E3">
        <w:rPr>
          <w:rFonts w:ascii="Verdana" w:hAnsi="Verdana"/>
          <w:i/>
          <w:sz w:val="20"/>
          <w:lang w:val="en-US"/>
        </w:rPr>
        <w:t>Peru</w:t>
      </w:r>
      <w:r w:rsidR="0060277E" w:rsidRPr="00D869E3">
        <w:rPr>
          <w:rFonts w:ascii="Verdana" w:hAnsi="Verdana"/>
          <w:sz w:val="20"/>
          <w:lang w:val="en-US"/>
        </w:rPr>
        <w:t xml:space="preserve">. </w:t>
      </w:r>
      <w:r w:rsidR="00447C65" w:rsidRPr="00D869E3">
        <w:rPr>
          <w:rFonts w:ascii="Verdana" w:hAnsi="Verdana"/>
          <w:sz w:val="20"/>
          <w:lang w:val="en-US"/>
        </w:rPr>
        <w:t>Preliminary objections, merits, reparations and costs</w:t>
      </w:r>
      <w:r w:rsidR="0060277E" w:rsidRPr="00D869E3">
        <w:rPr>
          <w:rFonts w:ascii="Verdana" w:hAnsi="Verdana"/>
          <w:sz w:val="20"/>
          <w:lang w:val="en-US"/>
        </w:rPr>
        <w:t xml:space="preserve">. </w:t>
      </w:r>
      <w:r w:rsidR="00447C65" w:rsidRPr="00D869E3">
        <w:rPr>
          <w:rFonts w:ascii="Verdana" w:hAnsi="Verdana"/>
          <w:sz w:val="20"/>
          <w:lang w:val="en-US"/>
        </w:rPr>
        <w:t>Judgment of</w:t>
      </w:r>
      <w:r w:rsidR="0060277E" w:rsidRPr="00D869E3">
        <w:rPr>
          <w:rFonts w:ascii="Verdana" w:hAnsi="Verdana"/>
          <w:sz w:val="20"/>
          <w:lang w:val="en-US"/>
        </w:rPr>
        <w:t xml:space="preserve"> </w:t>
      </w:r>
      <w:r w:rsidR="00447C65" w:rsidRPr="00D869E3">
        <w:rPr>
          <w:rFonts w:ascii="Verdana" w:hAnsi="Verdana"/>
          <w:sz w:val="20"/>
          <w:lang w:val="en-US"/>
        </w:rPr>
        <w:t>August 31,</w:t>
      </w:r>
      <w:r w:rsidR="0060277E" w:rsidRPr="00D869E3">
        <w:rPr>
          <w:rFonts w:ascii="Verdana" w:hAnsi="Verdana"/>
          <w:sz w:val="20"/>
          <w:lang w:val="en-US"/>
        </w:rPr>
        <w:t xml:space="preserve"> 2017.</w:t>
      </w:r>
    </w:p>
    <w:p w14:paraId="68DFA7F2" w14:textId="77777777" w:rsidR="0060277E" w:rsidRPr="00D869E3" w:rsidRDefault="0060277E" w:rsidP="0060277E">
      <w:pPr>
        <w:rPr>
          <w:rFonts w:ascii="Verdana" w:hAnsi="Verdana"/>
          <w:sz w:val="20"/>
          <w:lang w:val="en-US"/>
        </w:rPr>
      </w:pPr>
    </w:p>
    <w:p w14:paraId="673ACB26" w14:textId="77777777" w:rsidR="0060277E" w:rsidRPr="00D869E3" w:rsidRDefault="0060277E" w:rsidP="0060277E">
      <w:pPr>
        <w:rPr>
          <w:rFonts w:ascii="Verdana" w:hAnsi="Verdana"/>
          <w:sz w:val="20"/>
          <w:lang w:val="en-US"/>
        </w:rPr>
      </w:pPr>
    </w:p>
    <w:p w14:paraId="559061A5" w14:textId="77777777" w:rsidR="0060277E" w:rsidRPr="00D869E3" w:rsidRDefault="0060277E" w:rsidP="0060277E">
      <w:pPr>
        <w:rPr>
          <w:rFonts w:ascii="Verdana" w:hAnsi="Verdana"/>
          <w:sz w:val="20"/>
          <w:lang w:val="en-US"/>
        </w:rPr>
      </w:pPr>
    </w:p>
    <w:p w14:paraId="1EFEE5EA" w14:textId="77777777" w:rsidR="0060277E" w:rsidRPr="00D869E3" w:rsidRDefault="0060277E" w:rsidP="0060277E">
      <w:pPr>
        <w:rPr>
          <w:rFonts w:ascii="Verdana" w:hAnsi="Verdana"/>
          <w:sz w:val="20"/>
          <w:lang w:val="en-US"/>
        </w:rPr>
      </w:pPr>
    </w:p>
    <w:p w14:paraId="33C6F5DC" w14:textId="77777777" w:rsidR="0060277E" w:rsidRPr="00D869E3" w:rsidRDefault="0060277E" w:rsidP="0060277E">
      <w:pPr>
        <w:rPr>
          <w:rFonts w:ascii="Verdana" w:hAnsi="Verdana"/>
          <w:sz w:val="20"/>
          <w:lang w:val="en-US"/>
        </w:rPr>
      </w:pPr>
    </w:p>
    <w:p w14:paraId="72D2C712" w14:textId="77777777" w:rsidR="0060277E" w:rsidRPr="00D869E3" w:rsidRDefault="0060277E" w:rsidP="0060277E">
      <w:pPr>
        <w:jc w:val="center"/>
        <w:rPr>
          <w:rFonts w:ascii="Verdana" w:hAnsi="Verdana"/>
          <w:sz w:val="20"/>
          <w:lang w:val="en-US"/>
        </w:rPr>
      </w:pPr>
      <w:r w:rsidRPr="00D869E3">
        <w:rPr>
          <w:rFonts w:ascii="Verdana" w:hAnsi="Verdana"/>
          <w:sz w:val="20"/>
          <w:lang w:val="en-US"/>
        </w:rPr>
        <w:t>Roberto F. Caldas</w:t>
      </w:r>
    </w:p>
    <w:p w14:paraId="1B2BE8B0" w14:textId="7D435130" w:rsidR="0060277E" w:rsidRPr="00D869E3" w:rsidRDefault="00447C65" w:rsidP="0060277E">
      <w:pPr>
        <w:jc w:val="center"/>
        <w:rPr>
          <w:rFonts w:ascii="Verdana" w:hAnsi="Verdana"/>
          <w:sz w:val="20"/>
          <w:lang w:val="en-US"/>
        </w:rPr>
      </w:pPr>
      <w:r w:rsidRPr="00D869E3">
        <w:rPr>
          <w:rFonts w:ascii="Verdana" w:hAnsi="Verdana"/>
          <w:sz w:val="20"/>
          <w:lang w:val="en-US"/>
        </w:rPr>
        <w:t>President</w:t>
      </w:r>
      <w:r w:rsidR="0060277E" w:rsidRPr="00D869E3">
        <w:rPr>
          <w:rFonts w:ascii="Verdana" w:hAnsi="Verdana"/>
          <w:sz w:val="20"/>
          <w:lang w:val="en-US"/>
        </w:rPr>
        <w:t xml:space="preserve"> </w:t>
      </w:r>
    </w:p>
    <w:p w14:paraId="7E8A7808" w14:textId="77777777" w:rsidR="0060277E" w:rsidRPr="00D869E3" w:rsidRDefault="0060277E" w:rsidP="0060277E">
      <w:pPr>
        <w:jc w:val="both"/>
        <w:rPr>
          <w:rFonts w:ascii="Verdana" w:hAnsi="Verdana"/>
          <w:sz w:val="20"/>
          <w:lang w:val="en-US"/>
        </w:rPr>
      </w:pPr>
    </w:p>
    <w:p w14:paraId="212BD1C8" w14:textId="77777777" w:rsidR="0060277E" w:rsidRPr="00D869E3" w:rsidRDefault="0060277E" w:rsidP="0060277E">
      <w:pPr>
        <w:jc w:val="both"/>
        <w:rPr>
          <w:rFonts w:ascii="Verdana" w:hAnsi="Verdana"/>
          <w:sz w:val="20"/>
          <w:lang w:val="en-US"/>
        </w:rPr>
      </w:pPr>
    </w:p>
    <w:p w14:paraId="291B9756" w14:textId="77777777" w:rsidR="0060277E" w:rsidRPr="00D869E3" w:rsidRDefault="0060277E" w:rsidP="0060277E">
      <w:pPr>
        <w:jc w:val="both"/>
        <w:rPr>
          <w:rFonts w:ascii="Verdana" w:hAnsi="Verdana"/>
          <w:sz w:val="20"/>
          <w:lang w:val="en-US"/>
        </w:rPr>
      </w:pPr>
    </w:p>
    <w:p w14:paraId="22898221" w14:textId="77777777" w:rsidR="0060277E" w:rsidRPr="00D869E3" w:rsidRDefault="0060277E" w:rsidP="0060277E">
      <w:pPr>
        <w:jc w:val="both"/>
        <w:rPr>
          <w:rFonts w:ascii="Verdana" w:hAnsi="Verdana"/>
          <w:sz w:val="20"/>
          <w:lang w:val="en-US"/>
        </w:rPr>
      </w:pPr>
    </w:p>
    <w:p w14:paraId="1051F532" w14:textId="77777777" w:rsidR="0060277E" w:rsidRPr="00D869E3" w:rsidRDefault="0060277E" w:rsidP="0060277E">
      <w:pPr>
        <w:jc w:val="both"/>
        <w:rPr>
          <w:rFonts w:ascii="Verdana" w:hAnsi="Verdana"/>
          <w:sz w:val="20"/>
          <w:lang w:val="en-US"/>
        </w:rPr>
      </w:pPr>
    </w:p>
    <w:p w14:paraId="33384466" w14:textId="77777777" w:rsidR="0060277E" w:rsidRPr="00D869E3" w:rsidRDefault="0060277E" w:rsidP="0060277E">
      <w:pPr>
        <w:jc w:val="both"/>
        <w:rPr>
          <w:rFonts w:ascii="Verdana" w:hAnsi="Verdana"/>
          <w:sz w:val="20"/>
          <w:lang w:val="en-US"/>
        </w:rPr>
      </w:pPr>
      <w:r w:rsidRPr="00D869E3">
        <w:rPr>
          <w:rFonts w:ascii="Verdana" w:hAnsi="Verdana"/>
          <w:sz w:val="20"/>
          <w:lang w:val="en-US"/>
        </w:rPr>
        <w:t>Eduardo Ferrer Mac-Gregor Poisot</w:t>
      </w:r>
      <w:r w:rsidRPr="00D869E3">
        <w:rPr>
          <w:rFonts w:ascii="Verdana" w:hAnsi="Verdana"/>
          <w:sz w:val="20"/>
          <w:lang w:val="en-US"/>
        </w:rPr>
        <w:tab/>
      </w:r>
      <w:r w:rsidRPr="00D869E3">
        <w:rPr>
          <w:rFonts w:ascii="Verdana" w:hAnsi="Verdana"/>
          <w:sz w:val="20"/>
          <w:lang w:val="en-US"/>
        </w:rPr>
        <w:tab/>
      </w:r>
      <w:r w:rsidRPr="00D869E3">
        <w:rPr>
          <w:rFonts w:ascii="Verdana" w:hAnsi="Verdana"/>
          <w:sz w:val="20"/>
          <w:lang w:val="en-US"/>
        </w:rPr>
        <w:tab/>
      </w:r>
      <w:r w:rsidRPr="00D869E3">
        <w:rPr>
          <w:rFonts w:ascii="Verdana" w:hAnsi="Verdana"/>
          <w:sz w:val="20"/>
          <w:lang w:val="en-US"/>
        </w:rPr>
        <w:tab/>
      </w:r>
      <w:r w:rsidRPr="00D869E3">
        <w:rPr>
          <w:rFonts w:ascii="Verdana" w:hAnsi="Verdana"/>
          <w:sz w:val="20"/>
          <w:lang w:val="en-US"/>
        </w:rPr>
        <w:tab/>
      </w:r>
      <w:r w:rsidRPr="00D869E3">
        <w:rPr>
          <w:rFonts w:ascii="Verdana" w:hAnsi="Verdana"/>
          <w:sz w:val="20"/>
          <w:lang w:val="en-US"/>
        </w:rPr>
        <w:tab/>
        <w:t xml:space="preserve">    Eduardo Vio Grossi</w:t>
      </w:r>
    </w:p>
    <w:p w14:paraId="10A4D09A" w14:textId="77777777" w:rsidR="0060277E" w:rsidRPr="00D869E3" w:rsidRDefault="0060277E" w:rsidP="0060277E">
      <w:pPr>
        <w:jc w:val="both"/>
        <w:rPr>
          <w:rFonts w:ascii="Verdana" w:hAnsi="Verdana"/>
          <w:sz w:val="20"/>
          <w:lang w:val="en-US"/>
        </w:rPr>
      </w:pPr>
    </w:p>
    <w:p w14:paraId="1DE36BBB" w14:textId="77777777" w:rsidR="0060277E" w:rsidRPr="00D869E3" w:rsidRDefault="0060277E" w:rsidP="0060277E">
      <w:pPr>
        <w:jc w:val="both"/>
        <w:rPr>
          <w:rFonts w:ascii="Verdana" w:hAnsi="Verdana"/>
          <w:sz w:val="20"/>
          <w:lang w:val="en-US"/>
        </w:rPr>
      </w:pPr>
    </w:p>
    <w:p w14:paraId="38A898DC" w14:textId="77777777" w:rsidR="0060277E" w:rsidRPr="00D869E3" w:rsidRDefault="0060277E" w:rsidP="0060277E">
      <w:pPr>
        <w:jc w:val="both"/>
        <w:rPr>
          <w:rFonts w:ascii="Verdana" w:hAnsi="Verdana"/>
          <w:sz w:val="20"/>
          <w:lang w:val="en-US"/>
        </w:rPr>
      </w:pPr>
    </w:p>
    <w:p w14:paraId="36FD050B" w14:textId="77777777" w:rsidR="0060277E" w:rsidRPr="00D869E3" w:rsidRDefault="0060277E" w:rsidP="0060277E">
      <w:pPr>
        <w:jc w:val="both"/>
        <w:rPr>
          <w:rFonts w:ascii="Verdana" w:hAnsi="Verdana"/>
          <w:sz w:val="20"/>
          <w:lang w:val="en-US"/>
        </w:rPr>
      </w:pPr>
    </w:p>
    <w:p w14:paraId="23B737A9" w14:textId="77777777" w:rsidR="0060277E" w:rsidRPr="00D869E3" w:rsidRDefault="0060277E" w:rsidP="0060277E">
      <w:pPr>
        <w:jc w:val="both"/>
        <w:rPr>
          <w:rFonts w:ascii="Verdana" w:hAnsi="Verdana"/>
          <w:sz w:val="20"/>
          <w:lang w:val="en-US"/>
        </w:rPr>
      </w:pPr>
    </w:p>
    <w:p w14:paraId="46DF1EDE" w14:textId="77777777" w:rsidR="0060277E" w:rsidRPr="00D869E3" w:rsidRDefault="0060277E" w:rsidP="0060277E">
      <w:pPr>
        <w:jc w:val="both"/>
        <w:rPr>
          <w:rFonts w:ascii="Verdana" w:hAnsi="Verdana"/>
          <w:sz w:val="20"/>
          <w:lang w:val="es-CR"/>
        </w:rPr>
      </w:pPr>
      <w:r w:rsidRPr="00D869E3">
        <w:rPr>
          <w:rFonts w:ascii="Verdana" w:hAnsi="Verdana"/>
          <w:sz w:val="20"/>
          <w:lang w:val="es-CR"/>
        </w:rPr>
        <w:t>Humberto A. Sierra Porto</w:t>
      </w:r>
      <w:r w:rsidRPr="00D869E3">
        <w:rPr>
          <w:rFonts w:ascii="Verdana" w:hAnsi="Verdana"/>
          <w:sz w:val="20"/>
          <w:lang w:val="es-CR"/>
        </w:rPr>
        <w:tab/>
      </w:r>
      <w:r w:rsidRPr="00D869E3">
        <w:rPr>
          <w:rFonts w:ascii="Verdana" w:hAnsi="Verdana"/>
          <w:sz w:val="20"/>
          <w:lang w:val="es-CR"/>
        </w:rPr>
        <w:tab/>
      </w:r>
      <w:r w:rsidRPr="00D869E3">
        <w:rPr>
          <w:rFonts w:ascii="Verdana" w:hAnsi="Verdana"/>
          <w:sz w:val="20"/>
          <w:lang w:val="es-CR"/>
        </w:rPr>
        <w:tab/>
      </w:r>
      <w:r w:rsidRPr="00D869E3">
        <w:rPr>
          <w:rFonts w:ascii="Verdana" w:hAnsi="Verdana"/>
          <w:sz w:val="20"/>
          <w:lang w:val="es-CR"/>
        </w:rPr>
        <w:tab/>
      </w:r>
      <w:r w:rsidRPr="00D869E3">
        <w:rPr>
          <w:rFonts w:ascii="Verdana" w:hAnsi="Verdana"/>
          <w:sz w:val="20"/>
          <w:lang w:val="es-CR"/>
        </w:rPr>
        <w:tab/>
      </w:r>
      <w:r w:rsidRPr="00D869E3">
        <w:rPr>
          <w:rFonts w:ascii="Verdana" w:hAnsi="Verdana"/>
          <w:sz w:val="20"/>
          <w:lang w:val="es-CR"/>
        </w:rPr>
        <w:tab/>
      </w:r>
      <w:r w:rsidRPr="00D869E3">
        <w:rPr>
          <w:rFonts w:ascii="Verdana" w:hAnsi="Verdana"/>
          <w:sz w:val="20"/>
          <w:lang w:val="es-CR"/>
        </w:rPr>
        <w:tab/>
        <w:t xml:space="preserve"> Elizabeth Odio Benito</w:t>
      </w:r>
    </w:p>
    <w:p w14:paraId="78B007A2" w14:textId="77777777" w:rsidR="0060277E" w:rsidRPr="00D869E3" w:rsidRDefault="0060277E" w:rsidP="0060277E">
      <w:pPr>
        <w:jc w:val="center"/>
        <w:rPr>
          <w:rFonts w:ascii="Verdana" w:hAnsi="Verdana"/>
          <w:sz w:val="20"/>
          <w:lang w:val="es-CR"/>
        </w:rPr>
      </w:pPr>
    </w:p>
    <w:p w14:paraId="1421BBA7" w14:textId="77777777" w:rsidR="0060277E" w:rsidRPr="00D869E3" w:rsidRDefault="0060277E" w:rsidP="0060277E">
      <w:pPr>
        <w:jc w:val="center"/>
        <w:rPr>
          <w:rFonts w:ascii="Verdana" w:hAnsi="Verdana"/>
          <w:sz w:val="20"/>
          <w:lang w:val="es-CR"/>
        </w:rPr>
      </w:pPr>
    </w:p>
    <w:p w14:paraId="6D28BB6C" w14:textId="77777777" w:rsidR="0060277E" w:rsidRPr="00D869E3" w:rsidRDefault="0060277E" w:rsidP="0060277E">
      <w:pPr>
        <w:jc w:val="center"/>
        <w:rPr>
          <w:rFonts w:ascii="Verdana" w:hAnsi="Verdana"/>
          <w:sz w:val="20"/>
          <w:lang w:val="es-CR"/>
        </w:rPr>
      </w:pPr>
    </w:p>
    <w:p w14:paraId="4EAB228F" w14:textId="77777777" w:rsidR="0060277E" w:rsidRPr="00D869E3" w:rsidRDefault="0060277E" w:rsidP="0060277E">
      <w:pPr>
        <w:jc w:val="center"/>
        <w:rPr>
          <w:rFonts w:ascii="Verdana" w:hAnsi="Verdana"/>
          <w:sz w:val="20"/>
          <w:lang w:val="es-CR"/>
        </w:rPr>
      </w:pPr>
    </w:p>
    <w:p w14:paraId="16599940" w14:textId="77777777" w:rsidR="0060277E" w:rsidRPr="00D869E3" w:rsidRDefault="0060277E" w:rsidP="0060277E">
      <w:pPr>
        <w:rPr>
          <w:rFonts w:ascii="Verdana" w:hAnsi="Verdana"/>
          <w:sz w:val="20"/>
          <w:lang w:val="es-CR"/>
        </w:rPr>
      </w:pPr>
      <w:r w:rsidRPr="00D869E3">
        <w:rPr>
          <w:rFonts w:ascii="Verdana" w:hAnsi="Verdana"/>
          <w:sz w:val="20"/>
          <w:lang w:val="es-CR"/>
        </w:rPr>
        <w:tab/>
      </w:r>
      <w:r w:rsidRPr="00D869E3">
        <w:rPr>
          <w:rFonts w:ascii="Verdana" w:hAnsi="Verdana"/>
          <w:sz w:val="20"/>
          <w:lang w:val="es-CR"/>
        </w:rPr>
        <w:tab/>
      </w:r>
    </w:p>
    <w:p w14:paraId="0658E2CD" w14:textId="77777777" w:rsidR="0060277E" w:rsidRPr="00D869E3" w:rsidRDefault="0060277E" w:rsidP="0060277E">
      <w:pPr>
        <w:rPr>
          <w:rFonts w:ascii="Verdana" w:hAnsi="Verdana"/>
          <w:sz w:val="20"/>
          <w:lang w:val="es-CR"/>
        </w:rPr>
      </w:pPr>
      <w:r w:rsidRPr="00D869E3">
        <w:rPr>
          <w:rFonts w:ascii="Verdana" w:hAnsi="Verdana"/>
          <w:sz w:val="20"/>
          <w:lang w:val="es-CR"/>
        </w:rPr>
        <w:t>Eugenio Raúl Zaffaroni</w:t>
      </w:r>
      <w:r w:rsidRPr="00D869E3">
        <w:rPr>
          <w:rFonts w:ascii="Verdana" w:hAnsi="Verdana"/>
          <w:sz w:val="20"/>
          <w:lang w:val="es-CR"/>
        </w:rPr>
        <w:tab/>
      </w:r>
      <w:r w:rsidRPr="00D869E3">
        <w:rPr>
          <w:rFonts w:ascii="Verdana" w:hAnsi="Verdana"/>
          <w:sz w:val="20"/>
          <w:lang w:val="es-CR"/>
        </w:rPr>
        <w:tab/>
      </w:r>
      <w:r w:rsidRPr="00D869E3">
        <w:rPr>
          <w:rFonts w:ascii="Verdana" w:hAnsi="Verdana"/>
          <w:sz w:val="20"/>
          <w:lang w:val="es-CR"/>
        </w:rPr>
        <w:tab/>
      </w:r>
      <w:r w:rsidRPr="00D869E3">
        <w:rPr>
          <w:rFonts w:ascii="Verdana" w:hAnsi="Verdana"/>
          <w:sz w:val="20"/>
          <w:lang w:val="es-CR"/>
        </w:rPr>
        <w:tab/>
      </w:r>
      <w:r w:rsidRPr="00D869E3">
        <w:rPr>
          <w:rFonts w:ascii="Verdana" w:hAnsi="Verdana"/>
          <w:sz w:val="20"/>
          <w:lang w:val="es-CR"/>
        </w:rPr>
        <w:tab/>
        <w:t xml:space="preserve">                L. Patricio Pazmiño Freire</w:t>
      </w:r>
    </w:p>
    <w:p w14:paraId="1B018EF1" w14:textId="77777777" w:rsidR="0060277E" w:rsidRPr="00D869E3" w:rsidRDefault="0060277E" w:rsidP="0060277E">
      <w:pPr>
        <w:rPr>
          <w:rFonts w:ascii="Verdana" w:hAnsi="Verdana"/>
          <w:sz w:val="20"/>
          <w:lang w:val="es-CR"/>
        </w:rPr>
      </w:pPr>
      <w:r w:rsidRPr="00D869E3">
        <w:rPr>
          <w:rFonts w:ascii="Verdana" w:hAnsi="Verdana"/>
          <w:sz w:val="20"/>
          <w:lang w:val="es-CR"/>
        </w:rPr>
        <w:tab/>
      </w:r>
      <w:r w:rsidRPr="00D869E3">
        <w:rPr>
          <w:rFonts w:ascii="Verdana" w:hAnsi="Verdana"/>
          <w:sz w:val="20"/>
          <w:lang w:val="es-CR"/>
        </w:rPr>
        <w:tab/>
      </w:r>
      <w:r w:rsidRPr="00D869E3">
        <w:rPr>
          <w:rFonts w:ascii="Verdana" w:hAnsi="Verdana"/>
          <w:sz w:val="20"/>
          <w:lang w:val="es-CR"/>
        </w:rPr>
        <w:tab/>
      </w:r>
    </w:p>
    <w:p w14:paraId="25D57D6F" w14:textId="77777777" w:rsidR="0060277E" w:rsidRPr="00D869E3" w:rsidRDefault="0060277E" w:rsidP="0060277E">
      <w:pPr>
        <w:rPr>
          <w:rFonts w:ascii="Verdana" w:hAnsi="Verdana"/>
          <w:sz w:val="20"/>
          <w:lang w:val="es-CR"/>
        </w:rPr>
      </w:pPr>
    </w:p>
    <w:p w14:paraId="0A39C28D" w14:textId="77777777" w:rsidR="0060277E" w:rsidRPr="00D869E3" w:rsidRDefault="0060277E" w:rsidP="0060277E">
      <w:pPr>
        <w:rPr>
          <w:rFonts w:ascii="Verdana" w:hAnsi="Verdana"/>
          <w:sz w:val="20"/>
          <w:lang w:val="es-CR"/>
        </w:rPr>
      </w:pPr>
    </w:p>
    <w:p w14:paraId="64E949AD" w14:textId="77777777" w:rsidR="0060277E" w:rsidRPr="00D869E3" w:rsidRDefault="0060277E" w:rsidP="0060277E">
      <w:pPr>
        <w:tabs>
          <w:tab w:val="left" w:pos="8460"/>
          <w:tab w:val="left" w:pos="8640"/>
        </w:tabs>
        <w:jc w:val="both"/>
        <w:rPr>
          <w:rFonts w:ascii="Verdana" w:hAnsi="Verdana"/>
          <w:sz w:val="20"/>
          <w:lang w:val="es-CR"/>
        </w:rPr>
      </w:pPr>
    </w:p>
    <w:p w14:paraId="64BC635D" w14:textId="77777777" w:rsidR="0060277E" w:rsidRPr="00D869E3" w:rsidRDefault="0060277E" w:rsidP="0060277E">
      <w:pPr>
        <w:tabs>
          <w:tab w:val="left" w:pos="8460"/>
          <w:tab w:val="left" w:pos="8640"/>
        </w:tabs>
        <w:jc w:val="both"/>
        <w:rPr>
          <w:rFonts w:ascii="Verdana" w:hAnsi="Verdana"/>
          <w:sz w:val="20"/>
          <w:lang w:val="es-CR"/>
        </w:rPr>
      </w:pPr>
    </w:p>
    <w:p w14:paraId="2A3CC7BE" w14:textId="77777777" w:rsidR="0060277E" w:rsidRPr="00D869E3" w:rsidRDefault="0060277E" w:rsidP="0060277E">
      <w:pPr>
        <w:tabs>
          <w:tab w:val="left" w:pos="8460"/>
          <w:tab w:val="left" w:pos="8640"/>
        </w:tabs>
        <w:jc w:val="center"/>
        <w:rPr>
          <w:rFonts w:ascii="Verdana" w:hAnsi="Verdana"/>
          <w:sz w:val="20"/>
          <w:lang w:val="es-CR"/>
        </w:rPr>
      </w:pPr>
      <w:r w:rsidRPr="00D869E3">
        <w:rPr>
          <w:rFonts w:ascii="Verdana" w:hAnsi="Verdana"/>
          <w:sz w:val="20"/>
          <w:lang w:val="es-CR"/>
        </w:rPr>
        <w:t>Pablo Saavedra Alessandri</w:t>
      </w:r>
    </w:p>
    <w:p w14:paraId="78C79F82" w14:textId="19F54DBC" w:rsidR="0060277E" w:rsidRPr="00D869E3" w:rsidRDefault="0060277E" w:rsidP="0060277E">
      <w:pPr>
        <w:tabs>
          <w:tab w:val="left" w:pos="8460"/>
          <w:tab w:val="left" w:pos="8640"/>
        </w:tabs>
        <w:jc w:val="center"/>
        <w:rPr>
          <w:rFonts w:ascii="Verdana" w:hAnsi="Verdana"/>
          <w:sz w:val="20"/>
          <w:lang w:val="es-CR"/>
        </w:rPr>
      </w:pPr>
      <w:proofErr w:type="spellStart"/>
      <w:r w:rsidRPr="00D869E3">
        <w:rPr>
          <w:rFonts w:ascii="Verdana" w:hAnsi="Verdana"/>
          <w:sz w:val="20"/>
          <w:lang w:val="es-CR"/>
        </w:rPr>
        <w:t>Secretar</w:t>
      </w:r>
      <w:r w:rsidR="00003343" w:rsidRPr="00D869E3">
        <w:rPr>
          <w:rFonts w:ascii="Verdana" w:hAnsi="Verdana"/>
          <w:sz w:val="20"/>
          <w:lang w:val="es-CR"/>
        </w:rPr>
        <w:t>y</w:t>
      </w:r>
      <w:proofErr w:type="spellEnd"/>
    </w:p>
    <w:p w14:paraId="1D3F361D" w14:textId="77777777" w:rsidR="0060277E" w:rsidRPr="00D869E3" w:rsidRDefault="0060277E" w:rsidP="0060277E">
      <w:pPr>
        <w:tabs>
          <w:tab w:val="left" w:pos="8460"/>
          <w:tab w:val="left" w:pos="8640"/>
        </w:tabs>
        <w:jc w:val="both"/>
        <w:rPr>
          <w:rFonts w:ascii="Verdana" w:hAnsi="Verdana"/>
          <w:sz w:val="20"/>
          <w:lang w:val="es-CR"/>
        </w:rPr>
      </w:pPr>
    </w:p>
    <w:p w14:paraId="1D0BC1FE" w14:textId="77777777" w:rsidR="0060277E" w:rsidRPr="00D869E3" w:rsidRDefault="0060277E" w:rsidP="0060277E">
      <w:pPr>
        <w:jc w:val="both"/>
        <w:rPr>
          <w:rFonts w:ascii="Verdana" w:hAnsi="Verdana"/>
          <w:sz w:val="20"/>
          <w:lang w:val="es-CR"/>
        </w:rPr>
      </w:pPr>
    </w:p>
    <w:p w14:paraId="671DDD60" w14:textId="27C7E144" w:rsidR="0060277E" w:rsidRPr="00D869E3" w:rsidRDefault="00003343" w:rsidP="0060277E">
      <w:pPr>
        <w:tabs>
          <w:tab w:val="left" w:pos="8460"/>
          <w:tab w:val="left" w:pos="8640"/>
        </w:tabs>
        <w:jc w:val="both"/>
        <w:rPr>
          <w:rFonts w:ascii="Verdana" w:hAnsi="Verdana"/>
          <w:sz w:val="20"/>
          <w:lang w:val="es-CR"/>
        </w:rPr>
      </w:pPr>
      <w:r w:rsidRPr="00D869E3">
        <w:rPr>
          <w:rFonts w:ascii="Verdana" w:hAnsi="Verdana"/>
          <w:sz w:val="20"/>
          <w:lang w:val="es-CR"/>
        </w:rPr>
        <w:t xml:space="preserve">So </w:t>
      </w:r>
      <w:proofErr w:type="spellStart"/>
      <w:r w:rsidRPr="00D869E3">
        <w:rPr>
          <w:rFonts w:ascii="Verdana" w:hAnsi="Verdana"/>
          <w:sz w:val="20"/>
          <w:lang w:val="es-CR"/>
        </w:rPr>
        <w:t>ordered</w:t>
      </w:r>
      <w:proofErr w:type="spellEnd"/>
      <w:r w:rsidR="0060277E" w:rsidRPr="00D869E3">
        <w:rPr>
          <w:rFonts w:ascii="Verdana" w:hAnsi="Verdana"/>
          <w:sz w:val="20"/>
          <w:lang w:val="es-CR"/>
        </w:rPr>
        <w:t>,</w:t>
      </w:r>
    </w:p>
    <w:p w14:paraId="7FC29D3D" w14:textId="77777777" w:rsidR="0060277E" w:rsidRPr="00D869E3" w:rsidRDefault="0060277E" w:rsidP="0060277E">
      <w:pPr>
        <w:tabs>
          <w:tab w:val="left" w:pos="8460"/>
          <w:tab w:val="left" w:pos="8640"/>
        </w:tabs>
        <w:jc w:val="both"/>
        <w:rPr>
          <w:rFonts w:ascii="Verdana" w:hAnsi="Verdana"/>
          <w:sz w:val="20"/>
          <w:lang w:val="es-CR"/>
        </w:rPr>
      </w:pPr>
    </w:p>
    <w:p w14:paraId="6817268B" w14:textId="77777777" w:rsidR="0060277E" w:rsidRPr="00D869E3" w:rsidRDefault="0060277E" w:rsidP="0060277E">
      <w:pPr>
        <w:tabs>
          <w:tab w:val="left" w:pos="8460"/>
          <w:tab w:val="left" w:pos="8640"/>
        </w:tabs>
        <w:jc w:val="both"/>
        <w:rPr>
          <w:rFonts w:ascii="Verdana" w:hAnsi="Verdana"/>
          <w:sz w:val="20"/>
          <w:lang w:val="es-CR"/>
        </w:rPr>
      </w:pPr>
    </w:p>
    <w:p w14:paraId="5B2E8639" w14:textId="77777777" w:rsidR="0060277E" w:rsidRPr="00D869E3" w:rsidRDefault="0060277E" w:rsidP="0060277E">
      <w:pPr>
        <w:tabs>
          <w:tab w:val="left" w:pos="8460"/>
          <w:tab w:val="left" w:pos="8640"/>
        </w:tabs>
        <w:jc w:val="both"/>
        <w:rPr>
          <w:rFonts w:ascii="Verdana" w:hAnsi="Verdana"/>
          <w:sz w:val="20"/>
          <w:lang w:val="es-CR"/>
        </w:rPr>
      </w:pPr>
    </w:p>
    <w:p w14:paraId="22E02FD8" w14:textId="77777777" w:rsidR="0060277E" w:rsidRPr="00D869E3" w:rsidRDefault="0060277E" w:rsidP="0060277E">
      <w:pPr>
        <w:tabs>
          <w:tab w:val="left" w:pos="8460"/>
          <w:tab w:val="left" w:pos="8640"/>
        </w:tabs>
        <w:jc w:val="both"/>
        <w:rPr>
          <w:rFonts w:ascii="Verdana" w:hAnsi="Verdana"/>
          <w:sz w:val="20"/>
          <w:lang w:val="es-CR"/>
        </w:rPr>
      </w:pPr>
    </w:p>
    <w:p w14:paraId="0D9843F8" w14:textId="77777777" w:rsidR="0060277E" w:rsidRPr="00D869E3" w:rsidRDefault="0060277E" w:rsidP="0060277E">
      <w:pPr>
        <w:ind w:firstLine="720"/>
        <w:jc w:val="right"/>
        <w:rPr>
          <w:rFonts w:ascii="Verdana" w:hAnsi="Verdana"/>
          <w:sz w:val="20"/>
          <w:lang w:val="es-CR"/>
        </w:rPr>
      </w:pPr>
      <w:r w:rsidRPr="00D869E3">
        <w:rPr>
          <w:rFonts w:ascii="Verdana" w:hAnsi="Verdana"/>
          <w:sz w:val="20"/>
          <w:lang w:val="es-CR"/>
        </w:rPr>
        <w:t xml:space="preserve">                  Roberto F. Caldas</w:t>
      </w:r>
    </w:p>
    <w:p w14:paraId="2574340C" w14:textId="6D3AA1CF" w:rsidR="0060277E" w:rsidRPr="00D869E3" w:rsidRDefault="00447C65" w:rsidP="0060277E">
      <w:pPr>
        <w:ind w:right="360"/>
        <w:jc w:val="right"/>
        <w:rPr>
          <w:rFonts w:ascii="Verdana" w:hAnsi="Verdana"/>
          <w:sz w:val="20"/>
          <w:lang w:val="es-CR"/>
        </w:rPr>
      </w:pPr>
      <w:proofErr w:type="spellStart"/>
      <w:r w:rsidRPr="00D869E3">
        <w:rPr>
          <w:rFonts w:ascii="Verdana" w:hAnsi="Verdana"/>
          <w:sz w:val="20"/>
          <w:lang w:val="es-CR"/>
        </w:rPr>
        <w:t>President</w:t>
      </w:r>
      <w:proofErr w:type="spellEnd"/>
      <w:r w:rsidR="0060277E" w:rsidRPr="00D869E3">
        <w:rPr>
          <w:rFonts w:ascii="Verdana" w:hAnsi="Verdana"/>
          <w:sz w:val="20"/>
          <w:lang w:val="es-CR"/>
        </w:rPr>
        <w:t xml:space="preserve"> </w:t>
      </w:r>
    </w:p>
    <w:p w14:paraId="75FD779D" w14:textId="77777777" w:rsidR="0060277E" w:rsidRPr="00D869E3" w:rsidRDefault="0060277E" w:rsidP="0060277E">
      <w:pPr>
        <w:tabs>
          <w:tab w:val="left" w:pos="8460"/>
          <w:tab w:val="left" w:pos="8640"/>
        </w:tabs>
        <w:jc w:val="both"/>
        <w:rPr>
          <w:rFonts w:ascii="Verdana" w:hAnsi="Verdana"/>
          <w:sz w:val="20"/>
          <w:lang w:val="es-CR"/>
        </w:rPr>
      </w:pPr>
    </w:p>
    <w:p w14:paraId="17E2B846" w14:textId="77777777" w:rsidR="0060277E" w:rsidRPr="00D869E3" w:rsidRDefault="0060277E" w:rsidP="0060277E">
      <w:pPr>
        <w:tabs>
          <w:tab w:val="left" w:pos="8460"/>
          <w:tab w:val="left" w:pos="8640"/>
        </w:tabs>
        <w:jc w:val="both"/>
        <w:rPr>
          <w:rFonts w:ascii="Verdana" w:hAnsi="Verdana"/>
          <w:sz w:val="20"/>
          <w:lang w:val="es-CR"/>
        </w:rPr>
      </w:pPr>
    </w:p>
    <w:p w14:paraId="6FC42108" w14:textId="77777777" w:rsidR="0060277E" w:rsidRPr="00D869E3" w:rsidRDefault="0060277E" w:rsidP="0060277E">
      <w:pPr>
        <w:tabs>
          <w:tab w:val="left" w:pos="8460"/>
          <w:tab w:val="left" w:pos="8640"/>
        </w:tabs>
        <w:jc w:val="both"/>
        <w:rPr>
          <w:rFonts w:ascii="Verdana" w:hAnsi="Verdana"/>
          <w:sz w:val="20"/>
          <w:lang w:val="es-CR"/>
        </w:rPr>
      </w:pPr>
    </w:p>
    <w:p w14:paraId="5234144F" w14:textId="77777777" w:rsidR="0060277E" w:rsidRPr="00D869E3" w:rsidRDefault="0060277E" w:rsidP="0060277E">
      <w:pPr>
        <w:tabs>
          <w:tab w:val="left" w:pos="8460"/>
          <w:tab w:val="left" w:pos="8640"/>
        </w:tabs>
        <w:jc w:val="both"/>
        <w:rPr>
          <w:rFonts w:ascii="Verdana" w:hAnsi="Verdana"/>
          <w:sz w:val="20"/>
          <w:lang w:val="es-CR"/>
        </w:rPr>
      </w:pPr>
    </w:p>
    <w:p w14:paraId="32FC03D3" w14:textId="77777777" w:rsidR="0060277E" w:rsidRPr="00D869E3" w:rsidRDefault="0060277E" w:rsidP="0060277E">
      <w:pPr>
        <w:tabs>
          <w:tab w:val="left" w:pos="8460"/>
          <w:tab w:val="left" w:pos="8640"/>
        </w:tabs>
        <w:jc w:val="both"/>
        <w:rPr>
          <w:rFonts w:ascii="Verdana" w:hAnsi="Verdana"/>
          <w:sz w:val="20"/>
          <w:lang w:val="es-CR"/>
        </w:rPr>
      </w:pPr>
      <w:r w:rsidRPr="00D869E3">
        <w:rPr>
          <w:rFonts w:ascii="Verdana" w:hAnsi="Verdana"/>
          <w:sz w:val="20"/>
          <w:lang w:val="es-CR"/>
        </w:rPr>
        <w:t>Pablo Saavedra Alessandri</w:t>
      </w:r>
    </w:p>
    <w:p w14:paraId="092B896D" w14:textId="4A207582" w:rsidR="0060277E" w:rsidRPr="00D869E3" w:rsidRDefault="0060277E" w:rsidP="0060277E">
      <w:pPr>
        <w:tabs>
          <w:tab w:val="left" w:pos="8640"/>
        </w:tabs>
        <w:ind w:left="720"/>
        <w:rPr>
          <w:rFonts w:ascii="Verdana" w:hAnsi="Verdana"/>
          <w:sz w:val="20"/>
          <w:lang w:val="es-CR"/>
        </w:rPr>
      </w:pPr>
      <w:r w:rsidRPr="00D869E3">
        <w:rPr>
          <w:rFonts w:ascii="Verdana" w:hAnsi="Verdana"/>
          <w:sz w:val="20"/>
          <w:lang w:val="es-CR"/>
        </w:rPr>
        <w:t xml:space="preserve">  </w:t>
      </w:r>
      <w:proofErr w:type="spellStart"/>
      <w:r w:rsidRPr="00D869E3">
        <w:rPr>
          <w:rFonts w:ascii="Verdana" w:hAnsi="Verdana"/>
          <w:sz w:val="20"/>
          <w:lang w:val="es-CR"/>
        </w:rPr>
        <w:t>Secretar</w:t>
      </w:r>
      <w:r w:rsidR="00003343" w:rsidRPr="00D869E3">
        <w:rPr>
          <w:rFonts w:ascii="Verdana" w:hAnsi="Verdana"/>
          <w:sz w:val="20"/>
          <w:lang w:val="es-CR"/>
        </w:rPr>
        <w:t>y</w:t>
      </w:r>
      <w:proofErr w:type="spellEnd"/>
    </w:p>
    <w:p w14:paraId="6643D0EB" w14:textId="77777777" w:rsidR="0060277E" w:rsidRPr="00D869E3" w:rsidRDefault="0060277E" w:rsidP="0060277E">
      <w:pPr>
        <w:tabs>
          <w:tab w:val="left" w:pos="8640"/>
        </w:tabs>
        <w:ind w:left="720"/>
        <w:rPr>
          <w:rFonts w:ascii="Verdana" w:hAnsi="Verdana"/>
          <w:sz w:val="20"/>
          <w:lang w:val="es-CR"/>
        </w:rPr>
      </w:pPr>
    </w:p>
    <w:p w14:paraId="352D4674" w14:textId="77777777" w:rsidR="00F83E8F" w:rsidRPr="00D869E3" w:rsidRDefault="00F83E8F" w:rsidP="0060277E">
      <w:pPr>
        <w:tabs>
          <w:tab w:val="left" w:pos="8640"/>
        </w:tabs>
        <w:ind w:left="720"/>
        <w:rPr>
          <w:rFonts w:ascii="Verdana" w:hAnsi="Verdana"/>
          <w:sz w:val="20"/>
          <w:lang w:val="es-CR"/>
        </w:rPr>
        <w:sectPr w:rsidR="00F83E8F" w:rsidRPr="00D869E3" w:rsidSect="00957B44">
          <w:headerReference w:type="default" r:id="rId11"/>
          <w:pgSz w:w="12240" w:h="15840" w:code="1"/>
          <w:pgMar w:top="1247" w:right="1247" w:bottom="1247" w:left="1247" w:header="709" w:footer="709" w:gutter="0"/>
          <w:cols w:space="708"/>
          <w:titlePg/>
          <w:docGrid w:linePitch="360"/>
        </w:sectPr>
      </w:pPr>
    </w:p>
    <w:p w14:paraId="54BDDBA4" w14:textId="77777777" w:rsidR="00F83E8F" w:rsidRPr="00D869E3" w:rsidRDefault="00F83E8F" w:rsidP="00F83E8F">
      <w:pPr>
        <w:jc w:val="both"/>
        <w:outlineLvl w:val="0"/>
        <w:rPr>
          <w:rFonts w:ascii="Verdana" w:eastAsia="Verdana" w:hAnsi="Verdana" w:cs="Verdana"/>
          <w:b/>
          <w:bCs/>
          <w:szCs w:val="20"/>
          <w:lang w:val="es-CR"/>
        </w:rPr>
      </w:pPr>
    </w:p>
    <w:p w14:paraId="12A00975" w14:textId="77777777" w:rsidR="00F83E8F" w:rsidRPr="00D869E3" w:rsidRDefault="00F83E8F" w:rsidP="00F83E8F">
      <w:pPr>
        <w:outlineLvl w:val="0"/>
        <w:rPr>
          <w:rFonts w:ascii="Verdana" w:eastAsia="Verdana" w:hAnsi="Verdana" w:cs="Verdana"/>
          <w:b/>
          <w:bCs/>
          <w:szCs w:val="20"/>
          <w:lang w:val="es-CR"/>
        </w:rPr>
      </w:pPr>
    </w:p>
    <w:p w14:paraId="2097900B" w14:textId="62A60731" w:rsidR="00F83E8F" w:rsidRPr="00D869E3" w:rsidRDefault="00715661" w:rsidP="00F83E8F">
      <w:pPr>
        <w:jc w:val="center"/>
        <w:outlineLvl w:val="0"/>
        <w:rPr>
          <w:rFonts w:ascii="Verdana" w:eastAsia="Verdana" w:hAnsi="Verdana" w:cs="Verdana"/>
          <w:b/>
          <w:bCs/>
          <w:lang w:val="es-CR"/>
        </w:rPr>
      </w:pPr>
      <w:bookmarkStart w:id="77" w:name="_Toc29114164"/>
      <w:r w:rsidRPr="00D869E3">
        <w:rPr>
          <w:rFonts w:ascii="Verdana" w:eastAsia="Verdana" w:hAnsi="Verdana" w:cs="Verdana"/>
          <w:b/>
          <w:bCs/>
          <w:lang w:val="es-CR"/>
        </w:rPr>
        <w:t>SEPARATE OPINION OF JUDGE</w:t>
      </w:r>
      <w:r w:rsidR="00F83E8F" w:rsidRPr="00D869E3">
        <w:rPr>
          <w:rFonts w:ascii="Verdana" w:eastAsia="Verdana" w:hAnsi="Verdana" w:cs="Verdana"/>
          <w:b/>
          <w:bCs/>
          <w:lang w:val="es-CR"/>
        </w:rPr>
        <w:t xml:space="preserve"> ROBERTO F. CALDAS</w:t>
      </w:r>
      <w:bookmarkEnd w:id="77"/>
    </w:p>
    <w:p w14:paraId="717DB4DC" w14:textId="77777777" w:rsidR="00F83E8F" w:rsidRPr="00D869E3" w:rsidRDefault="00F83E8F" w:rsidP="00F83E8F">
      <w:pPr>
        <w:jc w:val="center"/>
        <w:outlineLvl w:val="0"/>
        <w:rPr>
          <w:rFonts w:ascii="Verdana" w:hAnsi="Verdana"/>
          <w:lang w:val="es-CR"/>
        </w:rPr>
      </w:pPr>
    </w:p>
    <w:p w14:paraId="7E9044F8" w14:textId="5C1BC0E7" w:rsidR="00F83E8F" w:rsidRPr="00D869E3" w:rsidRDefault="00715661" w:rsidP="00F83E8F">
      <w:pPr>
        <w:jc w:val="center"/>
        <w:outlineLvl w:val="0"/>
        <w:rPr>
          <w:rFonts w:ascii="Verdana" w:eastAsia="Verdana" w:hAnsi="Verdana" w:cs="Verdana"/>
          <w:b/>
          <w:bCs/>
          <w:lang w:val="en-US"/>
        </w:rPr>
      </w:pPr>
      <w:bookmarkStart w:id="78" w:name="_Toc29114165"/>
      <w:r w:rsidRPr="00D869E3">
        <w:rPr>
          <w:rFonts w:ascii="Verdana" w:eastAsia="Verdana" w:hAnsi="Verdana" w:cs="Verdana"/>
          <w:b/>
          <w:bCs/>
          <w:lang w:val="en-US"/>
        </w:rPr>
        <w:t xml:space="preserve">INTER-AMERICAN COURT OF HUMAN </w:t>
      </w:r>
      <w:r w:rsidR="00B443B4" w:rsidRPr="00D869E3">
        <w:rPr>
          <w:rFonts w:ascii="Verdana" w:eastAsia="Verdana" w:hAnsi="Verdana" w:cs="Verdana"/>
          <w:b/>
          <w:bCs/>
          <w:lang w:val="en-US"/>
        </w:rPr>
        <w:t>RIGHTS</w:t>
      </w:r>
      <w:bookmarkEnd w:id="78"/>
    </w:p>
    <w:p w14:paraId="7FB2D141" w14:textId="77777777" w:rsidR="00F83E8F" w:rsidRPr="00D869E3" w:rsidRDefault="00F83E8F" w:rsidP="00F83E8F">
      <w:pPr>
        <w:jc w:val="center"/>
        <w:outlineLvl w:val="0"/>
        <w:rPr>
          <w:rFonts w:ascii="Verdana" w:hAnsi="Verdana"/>
          <w:lang w:val="en-US"/>
        </w:rPr>
      </w:pPr>
    </w:p>
    <w:p w14:paraId="0A12B1DD" w14:textId="49E2B298" w:rsidR="00F83E8F" w:rsidRPr="00D869E3" w:rsidRDefault="00F83E8F" w:rsidP="00F83E8F">
      <w:pPr>
        <w:ind w:hanging="1418"/>
        <w:jc w:val="center"/>
        <w:outlineLvl w:val="0"/>
        <w:rPr>
          <w:rFonts w:ascii="Verdana" w:hAnsi="Verdana"/>
          <w:lang w:val="es-CR"/>
        </w:rPr>
      </w:pPr>
      <w:bookmarkStart w:id="79" w:name="_Toc29114166"/>
      <w:r w:rsidRPr="00D869E3">
        <w:rPr>
          <w:rFonts w:ascii="Verdana" w:hAnsi="Verdana"/>
          <w:b/>
          <w:bCs/>
          <w:lang w:val="es-CR"/>
        </w:rPr>
        <w:t>CAS</w:t>
      </w:r>
      <w:r w:rsidR="00715661" w:rsidRPr="00D869E3">
        <w:rPr>
          <w:rFonts w:ascii="Verdana" w:hAnsi="Verdana"/>
          <w:b/>
          <w:bCs/>
          <w:lang w:val="es-CR"/>
        </w:rPr>
        <w:t>E OF</w:t>
      </w:r>
      <w:r w:rsidRPr="00D869E3">
        <w:rPr>
          <w:rFonts w:ascii="Verdana" w:hAnsi="Verdana"/>
          <w:b/>
          <w:bCs/>
          <w:lang w:val="es-CR"/>
        </w:rPr>
        <w:t xml:space="preserve"> LAGOS DEL CAMPO </w:t>
      </w:r>
      <w:r w:rsidR="00715661" w:rsidRPr="00D869E3">
        <w:rPr>
          <w:rFonts w:ascii="Verdana" w:hAnsi="Verdana"/>
          <w:b/>
          <w:bCs/>
          <w:i/>
          <w:iCs/>
          <w:lang w:val="es-CR"/>
        </w:rPr>
        <w:t>v</w:t>
      </w:r>
      <w:r w:rsidR="00447C65" w:rsidRPr="00D869E3">
        <w:rPr>
          <w:rFonts w:ascii="Verdana" w:hAnsi="Verdana"/>
          <w:b/>
          <w:bCs/>
          <w:i/>
          <w:iCs/>
          <w:lang w:val="es-CR"/>
        </w:rPr>
        <w:t>.</w:t>
      </w:r>
      <w:r w:rsidRPr="00D869E3">
        <w:rPr>
          <w:rFonts w:ascii="Verdana" w:hAnsi="Verdana"/>
          <w:b/>
          <w:bCs/>
          <w:lang w:val="es-CR"/>
        </w:rPr>
        <w:t xml:space="preserve"> PERU</w:t>
      </w:r>
      <w:bookmarkEnd w:id="79"/>
    </w:p>
    <w:p w14:paraId="0A3E1985" w14:textId="77777777" w:rsidR="00F83E8F" w:rsidRPr="00D869E3" w:rsidRDefault="00F83E8F" w:rsidP="00F83E8F">
      <w:pPr>
        <w:tabs>
          <w:tab w:val="left" w:pos="5580"/>
          <w:tab w:val="left" w:pos="6750"/>
        </w:tabs>
        <w:jc w:val="center"/>
        <w:rPr>
          <w:rFonts w:ascii="Verdana" w:hAnsi="Verdana"/>
          <w:b/>
          <w:lang w:val="es-CR"/>
        </w:rPr>
      </w:pPr>
    </w:p>
    <w:p w14:paraId="0B65B991" w14:textId="7145597D" w:rsidR="00F83E8F" w:rsidRPr="00D869E3" w:rsidRDefault="00447C65" w:rsidP="00F83E8F">
      <w:pPr>
        <w:jc w:val="center"/>
        <w:outlineLvl w:val="0"/>
        <w:rPr>
          <w:rFonts w:ascii="Verdana" w:hAnsi="Verdana"/>
          <w:b/>
          <w:lang w:val="en-US"/>
        </w:rPr>
      </w:pPr>
      <w:bookmarkStart w:id="80" w:name="_Toc29114167"/>
      <w:r w:rsidRPr="00D869E3">
        <w:rPr>
          <w:rFonts w:ascii="Verdana" w:hAnsi="Verdana"/>
          <w:b/>
          <w:lang w:val="en-US"/>
        </w:rPr>
        <w:t>JUDGMENT OF</w:t>
      </w:r>
      <w:r w:rsidR="00F83E8F" w:rsidRPr="00D869E3">
        <w:rPr>
          <w:rFonts w:ascii="Verdana" w:hAnsi="Verdana"/>
          <w:b/>
          <w:lang w:val="en-US"/>
        </w:rPr>
        <w:t xml:space="preserve"> </w:t>
      </w:r>
      <w:r w:rsidR="00715661" w:rsidRPr="00D869E3">
        <w:rPr>
          <w:rFonts w:ascii="Verdana" w:hAnsi="Verdana"/>
          <w:b/>
          <w:lang w:val="en-US"/>
        </w:rPr>
        <w:t>AUGUST</w:t>
      </w:r>
      <w:r w:rsidRPr="00D869E3">
        <w:rPr>
          <w:rFonts w:ascii="Verdana" w:hAnsi="Verdana"/>
          <w:b/>
          <w:lang w:val="en-US"/>
        </w:rPr>
        <w:t xml:space="preserve"> 31,</w:t>
      </w:r>
      <w:r w:rsidR="00F83E8F" w:rsidRPr="00D869E3">
        <w:rPr>
          <w:rFonts w:ascii="Verdana" w:hAnsi="Verdana"/>
          <w:b/>
          <w:lang w:val="en-US"/>
        </w:rPr>
        <w:t xml:space="preserve"> 2017</w:t>
      </w:r>
      <w:bookmarkEnd w:id="80"/>
    </w:p>
    <w:p w14:paraId="588CB6A2" w14:textId="648EA034" w:rsidR="00F83E8F" w:rsidRPr="00D869E3" w:rsidRDefault="00F83E8F" w:rsidP="00F83E8F">
      <w:pPr>
        <w:jc w:val="center"/>
        <w:rPr>
          <w:rFonts w:ascii="Verdana" w:hAnsi="Verdana"/>
          <w:b/>
          <w:i/>
          <w:lang w:val="en-US"/>
        </w:rPr>
      </w:pPr>
      <w:r w:rsidRPr="00D869E3">
        <w:rPr>
          <w:rFonts w:ascii="Verdana" w:hAnsi="Verdana"/>
          <w:b/>
          <w:i/>
          <w:lang w:val="en-US"/>
        </w:rPr>
        <w:t>(</w:t>
      </w:r>
      <w:r w:rsidR="00447C65" w:rsidRPr="00D869E3">
        <w:rPr>
          <w:rFonts w:ascii="Verdana" w:hAnsi="Verdana"/>
          <w:b/>
          <w:i/>
          <w:lang w:val="en-US"/>
        </w:rPr>
        <w:t>Preliminary objections, merits, reparations and costs</w:t>
      </w:r>
      <w:r w:rsidRPr="00D869E3">
        <w:rPr>
          <w:rFonts w:ascii="Verdana" w:hAnsi="Verdana"/>
          <w:b/>
          <w:i/>
          <w:lang w:val="en-US"/>
        </w:rPr>
        <w:t>)</w:t>
      </w:r>
    </w:p>
    <w:p w14:paraId="4EA4D045" w14:textId="23D6C614" w:rsidR="00715661" w:rsidRPr="00D869E3" w:rsidRDefault="00715661" w:rsidP="00F83E8F">
      <w:pPr>
        <w:jc w:val="center"/>
        <w:rPr>
          <w:rFonts w:ascii="Verdana" w:hAnsi="Verdana"/>
          <w:b/>
          <w:i/>
          <w:lang w:val="en-US"/>
        </w:rPr>
      </w:pPr>
    </w:p>
    <w:p w14:paraId="0179AD09" w14:textId="77777777" w:rsidR="00715661" w:rsidRPr="00D869E3" w:rsidRDefault="00715661" w:rsidP="00F83E8F">
      <w:pPr>
        <w:jc w:val="center"/>
        <w:rPr>
          <w:rFonts w:ascii="Verdana" w:hAnsi="Verdana"/>
          <w:b/>
          <w:i/>
          <w:lang w:val="en-US"/>
        </w:rPr>
      </w:pPr>
    </w:p>
    <w:p w14:paraId="29473F37" w14:textId="77777777" w:rsidR="00F83E8F" w:rsidRPr="00D869E3" w:rsidRDefault="00F83E8F" w:rsidP="00F83E8F">
      <w:pPr>
        <w:jc w:val="center"/>
        <w:rPr>
          <w:rFonts w:ascii="Verdana" w:hAnsi="Verdana"/>
          <w:b/>
          <w:i/>
          <w:szCs w:val="20"/>
          <w:lang w:val="en-US"/>
        </w:rPr>
      </w:pPr>
    </w:p>
    <w:p w14:paraId="2D50FD12" w14:textId="77777777" w:rsidR="00F83E8F" w:rsidRPr="00D869E3" w:rsidRDefault="00F83E8F" w:rsidP="00F83E8F">
      <w:pPr>
        <w:rPr>
          <w:rFonts w:ascii="Verdana" w:hAnsi="Verdana"/>
          <w:vanish/>
          <w:szCs w:val="20"/>
          <w:lang w:val="en-US"/>
        </w:rPr>
      </w:pPr>
    </w:p>
    <w:p w14:paraId="17095815" w14:textId="2AC27FCC" w:rsidR="00F83E8F" w:rsidRPr="00D869E3" w:rsidRDefault="00F83E8F" w:rsidP="00F83E8F">
      <w:pPr>
        <w:pStyle w:val="Prrafodelista"/>
        <w:numPr>
          <w:ilvl w:val="0"/>
          <w:numId w:val="25"/>
        </w:numPr>
        <w:ind w:left="0"/>
        <w:jc w:val="center"/>
        <w:rPr>
          <w:rFonts w:ascii="Verdana" w:hAnsi="Verdana"/>
          <w:b/>
          <w:sz w:val="20"/>
          <w:szCs w:val="20"/>
          <w:u w:val="single"/>
          <w:lang w:val="en-US"/>
        </w:rPr>
      </w:pPr>
      <w:r w:rsidRPr="00D869E3">
        <w:rPr>
          <w:rFonts w:ascii="Verdana" w:hAnsi="Verdana"/>
          <w:b/>
          <w:sz w:val="20"/>
          <w:szCs w:val="20"/>
          <w:u w:val="single"/>
          <w:lang w:val="en-US"/>
        </w:rPr>
        <w:t>Introduc</w:t>
      </w:r>
      <w:r w:rsidR="00715661" w:rsidRPr="00D869E3">
        <w:rPr>
          <w:rFonts w:ascii="Verdana" w:hAnsi="Verdana"/>
          <w:b/>
          <w:sz w:val="20"/>
          <w:szCs w:val="20"/>
          <w:u w:val="single"/>
          <w:lang w:val="en-US"/>
        </w:rPr>
        <w:t>tion and relevance of the judgment</w:t>
      </w:r>
    </w:p>
    <w:p w14:paraId="5C84EE7A" w14:textId="77777777" w:rsidR="00F83E8F" w:rsidRPr="00D869E3" w:rsidRDefault="00F83E8F" w:rsidP="00F83E8F">
      <w:pPr>
        <w:pStyle w:val="Prrafodelista"/>
        <w:ind w:left="0"/>
        <w:rPr>
          <w:rFonts w:ascii="Verdana" w:hAnsi="Verdana"/>
          <w:b/>
          <w:sz w:val="20"/>
          <w:szCs w:val="20"/>
          <w:u w:val="single"/>
          <w:lang w:val="en-US"/>
        </w:rPr>
      </w:pPr>
    </w:p>
    <w:p w14:paraId="17E83909" w14:textId="7F163A32" w:rsidR="00707ADC" w:rsidRPr="00D869E3" w:rsidRDefault="00715661" w:rsidP="00707ADC">
      <w:pPr>
        <w:pStyle w:val="Prrafodelista"/>
        <w:numPr>
          <w:ilvl w:val="0"/>
          <w:numId w:val="26"/>
        </w:numPr>
        <w:ind w:left="0" w:firstLine="0"/>
        <w:jc w:val="both"/>
        <w:rPr>
          <w:rFonts w:ascii="Verdana" w:hAnsi="Verdana"/>
          <w:sz w:val="20"/>
          <w:szCs w:val="20"/>
          <w:lang w:val="en-US"/>
        </w:rPr>
      </w:pPr>
      <w:r w:rsidRPr="00D869E3">
        <w:rPr>
          <w:rFonts w:ascii="Verdana" w:hAnsi="Verdana"/>
          <w:sz w:val="20"/>
          <w:szCs w:val="20"/>
          <w:lang w:val="en-US"/>
        </w:rPr>
        <w:t>This is a historic decision that represents an important step forward in case law</w:t>
      </w:r>
      <w:r w:rsidR="00356FC4" w:rsidRPr="00D869E3">
        <w:rPr>
          <w:rFonts w:ascii="Verdana" w:hAnsi="Verdana"/>
          <w:sz w:val="20"/>
          <w:szCs w:val="20"/>
          <w:lang w:val="en-US"/>
        </w:rPr>
        <w:t>.</w:t>
      </w:r>
      <w:r w:rsidR="00707ADC" w:rsidRPr="00D869E3">
        <w:rPr>
          <w:rFonts w:ascii="Verdana" w:hAnsi="Verdana"/>
          <w:sz w:val="20"/>
          <w:szCs w:val="20"/>
          <w:lang w:val="en-US"/>
        </w:rPr>
        <w:t xml:space="preserve"> </w:t>
      </w:r>
      <w:r w:rsidR="00356FC4" w:rsidRPr="00D869E3">
        <w:rPr>
          <w:rFonts w:ascii="Verdana" w:hAnsi="Verdana"/>
          <w:sz w:val="20"/>
          <w:szCs w:val="20"/>
          <w:lang w:val="en-US"/>
        </w:rPr>
        <w:t>E</w:t>
      </w:r>
      <w:r w:rsidR="00707ADC" w:rsidRPr="00D869E3">
        <w:rPr>
          <w:rFonts w:ascii="Verdana" w:hAnsi="Verdana"/>
          <w:sz w:val="20"/>
          <w:szCs w:val="20"/>
          <w:lang w:val="en-US"/>
        </w:rPr>
        <w:t>ven though it has taken time</w:t>
      </w:r>
      <w:r w:rsidR="00356FC4" w:rsidRPr="00D869E3">
        <w:rPr>
          <w:rFonts w:ascii="Verdana" w:hAnsi="Verdana"/>
          <w:sz w:val="20"/>
          <w:szCs w:val="20"/>
          <w:lang w:val="en-US"/>
        </w:rPr>
        <w:t>, it</w:t>
      </w:r>
      <w:r w:rsidR="00707ADC" w:rsidRPr="00D869E3">
        <w:rPr>
          <w:rFonts w:ascii="Verdana" w:hAnsi="Verdana"/>
          <w:sz w:val="20"/>
          <w:szCs w:val="20"/>
          <w:lang w:val="en-US"/>
        </w:rPr>
        <w:t xml:space="preserve"> </w:t>
      </w:r>
      <w:r w:rsidR="00356FC4" w:rsidRPr="00D869E3">
        <w:rPr>
          <w:rFonts w:ascii="Verdana" w:hAnsi="Verdana"/>
          <w:sz w:val="20"/>
          <w:szCs w:val="20"/>
          <w:lang w:val="en-US"/>
        </w:rPr>
        <w:t xml:space="preserve">is a step </w:t>
      </w:r>
      <w:r w:rsidR="00F30F3C" w:rsidRPr="00D869E3">
        <w:rPr>
          <w:rFonts w:ascii="Verdana" w:hAnsi="Verdana"/>
          <w:sz w:val="20"/>
          <w:szCs w:val="20"/>
          <w:lang w:val="en-US"/>
        </w:rPr>
        <w:t>with regard to</w:t>
      </w:r>
      <w:r w:rsidR="00707ADC" w:rsidRPr="00D869E3">
        <w:rPr>
          <w:rFonts w:ascii="Verdana" w:hAnsi="Verdana"/>
          <w:sz w:val="20"/>
          <w:szCs w:val="20"/>
          <w:lang w:val="en-US"/>
        </w:rPr>
        <w:t xml:space="preserve"> the justiciability of the economic, social, cultural and environmental rights (hereinafter “the ESCER”)</w:t>
      </w:r>
      <w:r w:rsidR="00F83E8F" w:rsidRPr="00D869E3">
        <w:rPr>
          <w:rStyle w:val="Refdenotaalpie"/>
          <w:lang w:val="en-US"/>
        </w:rPr>
        <w:footnoteReference w:id="280"/>
      </w:r>
      <w:r w:rsidR="00356FC4" w:rsidRPr="00D869E3">
        <w:rPr>
          <w:rFonts w:ascii="Verdana" w:hAnsi="Verdana"/>
          <w:sz w:val="20"/>
          <w:szCs w:val="20"/>
          <w:lang w:val="en-US"/>
        </w:rPr>
        <w:t xml:space="preserve"> that has been duly studied, reflected on, weighed and worked on over many years</w:t>
      </w:r>
      <w:r w:rsidR="00F83E8F" w:rsidRPr="00D869E3">
        <w:rPr>
          <w:rFonts w:ascii="Verdana" w:hAnsi="Verdana"/>
          <w:sz w:val="20"/>
          <w:szCs w:val="20"/>
          <w:lang w:val="en-US"/>
        </w:rPr>
        <w:t xml:space="preserve"> </w:t>
      </w:r>
      <w:r w:rsidR="00707ADC" w:rsidRPr="00D869E3">
        <w:rPr>
          <w:rFonts w:ascii="Verdana" w:hAnsi="Verdana"/>
          <w:sz w:val="20"/>
          <w:szCs w:val="20"/>
          <w:lang w:val="en-US"/>
        </w:rPr>
        <w:t xml:space="preserve">by diverse panels of judges of this Court </w:t>
      </w:r>
      <w:r w:rsidR="00356FC4" w:rsidRPr="00D869E3">
        <w:rPr>
          <w:rFonts w:ascii="Verdana" w:hAnsi="Verdana"/>
          <w:sz w:val="20"/>
          <w:szCs w:val="20"/>
          <w:lang w:val="en-US"/>
        </w:rPr>
        <w:t>in</w:t>
      </w:r>
      <w:r w:rsidR="00707ADC" w:rsidRPr="00D869E3">
        <w:rPr>
          <w:rFonts w:ascii="Verdana" w:hAnsi="Verdana"/>
          <w:sz w:val="20"/>
          <w:szCs w:val="20"/>
          <w:lang w:val="en-US"/>
        </w:rPr>
        <w:t xml:space="preserve"> San José, </w:t>
      </w:r>
      <w:r w:rsidR="00356FC4" w:rsidRPr="00D869E3">
        <w:rPr>
          <w:rFonts w:ascii="Verdana" w:hAnsi="Verdana"/>
          <w:sz w:val="20"/>
          <w:szCs w:val="20"/>
          <w:lang w:val="en-US"/>
        </w:rPr>
        <w:t>as has</w:t>
      </w:r>
      <w:r w:rsidR="00707ADC" w:rsidRPr="00D869E3">
        <w:rPr>
          <w:rFonts w:ascii="Verdana" w:hAnsi="Verdana"/>
          <w:sz w:val="20"/>
          <w:szCs w:val="20"/>
          <w:lang w:val="en-US"/>
        </w:rPr>
        <w:t xml:space="preserve"> th</w:t>
      </w:r>
      <w:r w:rsidR="00356FC4" w:rsidRPr="00D869E3">
        <w:rPr>
          <w:rFonts w:ascii="Verdana" w:hAnsi="Verdana"/>
          <w:sz w:val="20"/>
          <w:szCs w:val="20"/>
          <w:lang w:val="en-US"/>
        </w:rPr>
        <w:t>is d</w:t>
      </w:r>
      <w:r w:rsidR="00707ADC" w:rsidRPr="00D869E3">
        <w:rPr>
          <w:rFonts w:ascii="Verdana" w:hAnsi="Verdana"/>
          <w:sz w:val="20"/>
          <w:szCs w:val="20"/>
          <w:lang w:val="en-US"/>
        </w:rPr>
        <w:t>ecision to declare, for the first time in</w:t>
      </w:r>
      <w:r w:rsidR="00356FC4" w:rsidRPr="00D869E3">
        <w:rPr>
          <w:rFonts w:ascii="Verdana" w:hAnsi="Verdana"/>
          <w:sz w:val="20"/>
          <w:szCs w:val="20"/>
          <w:lang w:val="en-US"/>
        </w:rPr>
        <w:t xml:space="preserve"> the history of</w:t>
      </w:r>
      <w:r w:rsidR="00707ADC" w:rsidRPr="00D869E3">
        <w:rPr>
          <w:rFonts w:ascii="Verdana" w:hAnsi="Verdana"/>
          <w:sz w:val="20"/>
          <w:szCs w:val="20"/>
          <w:lang w:val="en-US"/>
        </w:rPr>
        <w:t xml:space="preserve"> its case law, the violation of </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 26</w:t>
      </w:r>
      <w:r w:rsidR="00447C65" w:rsidRPr="00D869E3">
        <w:rPr>
          <w:rFonts w:ascii="Verdana" w:hAnsi="Verdana"/>
          <w:sz w:val="20"/>
          <w:szCs w:val="20"/>
          <w:lang w:val="en-US"/>
        </w:rPr>
        <w:t xml:space="preserve"> of the American Convention on Human Rights</w:t>
      </w:r>
      <w:r w:rsidR="00F83E8F" w:rsidRPr="00D869E3">
        <w:rPr>
          <w:rFonts w:ascii="Verdana" w:hAnsi="Verdana" w:cs="System Font Regular"/>
          <w:sz w:val="20"/>
          <w:szCs w:val="20"/>
          <w:lang w:val="en-US"/>
        </w:rPr>
        <w:t xml:space="preserve"> </w:t>
      </w:r>
      <w:r w:rsidR="00F83E8F" w:rsidRPr="00D869E3">
        <w:rPr>
          <w:rFonts w:ascii="Verdana" w:hAnsi="Verdana"/>
          <w:sz w:val="20"/>
          <w:szCs w:val="20"/>
          <w:lang w:val="en-US"/>
        </w:rPr>
        <w:t>(</w:t>
      </w:r>
      <w:r w:rsidR="00447C65" w:rsidRPr="00D869E3">
        <w:rPr>
          <w:rFonts w:ascii="Verdana" w:hAnsi="Verdana"/>
          <w:sz w:val="20"/>
          <w:szCs w:val="20"/>
          <w:lang w:val="en-US"/>
        </w:rPr>
        <w:t>hereinafter</w:t>
      </w:r>
      <w:r w:rsidR="00F83E8F" w:rsidRPr="00D869E3">
        <w:rPr>
          <w:rFonts w:ascii="Verdana" w:hAnsi="Verdana"/>
          <w:sz w:val="20"/>
          <w:szCs w:val="20"/>
          <w:lang w:val="en-US"/>
        </w:rPr>
        <w:t xml:space="preserve"> </w:t>
      </w:r>
      <w:r w:rsidR="006436CA" w:rsidRPr="00D869E3">
        <w:rPr>
          <w:rFonts w:ascii="Verdana" w:hAnsi="Verdana"/>
          <w:sz w:val="20"/>
          <w:szCs w:val="20"/>
          <w:lang w:val="en-US"/>
        </w:rPr>
        <w:t>“</w:t>
      </w:r>
      <w:r w:rsidR="00447C65" w:rsidRPr="00D869E3">
        <w:rPr>
          <w:rFonts w:ascii="Verdana" w:hAnsi="Verdana"/>
          <w:sz w:val="20"/>
          <w:szCs w:val="20"/>
          <w:lang w:val="en-US"/>
        </w:rPr>
        <w:t>the Convention</w:t>
      </w:r>
      <w:r w:rsidR="006436CA" w:rsidRPr="00D869E3">
        <w:rPr>
          <w:rFonts w:ascii="Verdana" w:hAnsi="Verdana"/>
          <w:sz w:val="20"/>
          <w:szCs w:val="20"/>
          <w:lang w:val="en-US"/>
        </w:rPr>
        <w:t>”</w:t>
      </w:r>
      <w:r w:rsidR="00F83E8F" w:rsidRPr="00D869E3">
        <w:rPr>
          <w:rFonts w:ascii="Verdana" w:hAnsi="Verdana"/>
          <w:sz w:val="20"/>
          <w:szCs w:val="20"/>
          <w:lang w:val="en-US"/>
        </w:rPr>
        <w:t xml:space="preserve"> o</w:t>
      </w:r>
      <w:r w:rsidR="00707ADC" w:rsidRPr="00D869E3">
        <w:rPr>
          <w:rFonts w:ascii="Verdana" w:hAnsi="Verdana"/>
          <w:sz w:val="20"/>
          <w:szCs w:val="20"/>
          <w:lang w:val="en-US"/>
        </w:rPr>
        <w:t>r</w:t>
      </w:r>
      <w:r w:rsidR="00F83E8F" w:rsidRPr="00D869E3">
        <w:rPr>
          <w:rFonts w:ascii="Verdana" w:hAnsi="Verdana"/>
          <w:sz w:val="20"/>
          <w:szCs w:val="20"/>
          <w:lang w:val="en-US"/>
        </w:rPr>
        <w:t xml:space="preserve"> </w:t>
      </w:r>
      <w:r w:rsidR="006436CA" w:rsidRPr="00D869E3">
        <w:rPr>
          <w:rFonts w:ascii="Verdana" w:hAnsi="Verdana"/>
          <w:sz w:val="20"/>
          <w:szCs w:val="20"/>
          <w:lang w:val="en-US"/>
        </w:rPr>
        <w:t>“</w:t>
      </w:r>
      <w:r w:rsidR="00707ADC" w:rsidRPr="00D869E3">
        <w:rPr>
          <w:rFonts w:ascii="Verdana" w:hAnsi="Verdana"/>
          <w:sz w:val="20"/>
          <w:szCs w:val="20"/>
          <w:lang w:val="en-US"/>
        </w:rPr>
        <w:t>the ACHR</w:t>
      </w:r>
      <w:r w:rsidR="006436CA" w:rsidRPr="00D869E3">
        <w:rPr>
          <w:rFonts w:ascii="Verdana" w:hAnsi="Verdana"/>
          <w:sz w:val="20"/>
          <w:szCs w:val="20"/>
          <w:lang w:val="en-US"/>
        </w:rPr>
        <w:t>”</w:t>
      </w:r>
      <w:r w:rsidR="00F83E8F" w:rsidRPr="00D869E3">
        <w:rPr>
          <w:rFonts w:ascii="Verdana" w:hAnsi="Verdana"/>
          <w:sz w:val="20"/>
          <w:szCs w:val="20"/>
          <w:lang w:val="en-US"/>
        </w:rPr>
        <w:t xml:space="preserve">). </w:t>
      </w:r>
      <w:r w:rsidR="00707ADC" w:rsidRPr="00D869E3">
        <w:rPr>
          <w:rFonts w:ascii="Verdana" w:hAnsi="Verdana"/>
          <w:sz w:val="20"/>
          <w:szCs w:val="20"/>
          <w:lang w:val="en-US"/>
        </w:rPr>
        <w:t xml:space="preserve">This decision has been taken in such a mature and deliberate manner that I find it important to reflect on the </w:t>
      </w:r>
      <w:r w:rsidR="00356FC4" w:rsidRPr="00D869E3">
        <w:rPr>
          <w:rFonts w:ascii="Verdana" w:hAnsi="Verdana"/>
          <w:sz w:val="20"/>
          <w:szCs w:val="20"/>
          <w:lang w:val="en-US"/>
        </w:rPr>
        <w:t>combined</w:t>
      </w:r>
      <w:r w:rsidR="00707ADC" w:rsidRPr="00D869E3">
        <w:rPr>
          <w:rFonts w:ascii="Verdana" w:hAnsi="Verdana"/>
          <w:sz w:val="20"/>
          <w:szCs w:val="20"/>
          <w:lang w:val="en-US"/>
        </w:rPr>
        <w:t xml:space="preserve"> </w:t>
      </w:r>
      <w:r w:rsidR="00356FC4" w:rsidRPr="00D869E3">
        <w:rPr>
          <w:rFonts w:ascii="Verdana" w:hAnsi="Verdana"/>
          <w:sz w:val="20"/>
          <w:szCs w:val="20"/>
          <w:lang w:val="en-US"/>
        </w:rPr>
        <w:t>strength</w:t>
      </w:r>
      <w:r w:rsidR="00707ADC" w:rsidRPr="00D869E3">
        <w:rPr>
          <w:rFonts w:ascii="Verdana" w:hAnsi="Verdana"/>
          <w:sz w:val="20"/>
          <w:szCs w:val="20"/>
          <w:lang w:val="en-US"/>
        </w:rPr>
        <w:t xml:space="preserve"> of all the panels of judges that have now reached the same conclusion. </w:t>
      </w:r>
      <w:r w:rsidR="00356FC4" w:rsidRPr="00D869E3">
        <w:rPr>
          <w:rFonts w:ascii="Verdana" w:hAnsi="Verdana"/>
          <w:sz w:val="20"/>
          <w:szCs w:val="20"/>
          <w:lang w:val="en-US"/>
        </w:rPr>
        <w:t>Al</w:t>
      </w:r>
      <w:r w:rsidR="00707ADC" w:rsidRPr="00D869E3">
        <w:rPr>
          <w:rFonts w:ascii="Verdana" w:hAnsi="Verdana"/>
          <w:sz w:val="20"/>
          <w:szCs w:val="20"/>
          <w:lang w:val="en-US"/>
        </w:rPr>
        <w:t>though a significant majority</w:t>
      </w:r>
      <w:r w:rsidR="00356FC4" w:rsidRPr="00D869E3">
        <w:rPr>
          <w:rFonts w:ascii="Verdana" w:hAnsi="Verdana"/>
          <w:sz w:val="20"/>
          <w:szCs w:val="20"/>
          <w:lang w:val="en-US"/>
        </w:rPr>
        <w:t xml:space="preserve"> of the Court</w:t>
      </w:r>
      <w:r w:rsidR="00707ADC" w:rsidRPr="00D869E3">
        <w:rPr>
          <w:rFonts w:ascii="Verdana" w:hAnsi="Verdana"/>
          <w:sz w:val="20"/>
          <w:szCs w:val="20"/>
          <w:lang w:val="en-US"/>
        </w:rPr>
        <w:t xml:space="preserve"> voted in favor (five votes to two), we believe that it will still take some time to achieve the always desirable unanimity owing to the different </w:t>
      </w:r>
      <w:r w:rsidR="00356FC4" w:rsidRPr="00D869E3">
        <w:rPr>
          <w:rFonts w:ascii="Verdana" w:hAnsi="Verdana"/>
          <w:sz w:val="20"/>
          <w:szCs w:val="20"/>
          <w:lang w:val="en-US"/>
        </w:rPr>
        <w:t>backgrounds</w:t>
      </w:r>
      <w:r w:rsidR="00707ADC" w:rsidRPr="00D869E3">
        <w:rPr>
          <w:rFonts w:ascii="Verdana" w:hAnsi="Verdana"/>
          <w:sz w:val="20"/>
          <w:szCs w:val="20"/>
          <w:lang w:val="en-US"/>
        </w:rPr>
        <w:t xml:space="preserve"> or national experiences.  </w:t>
      </w:r>
    </w:p>
    <w:p w14:paraId="6E74CF36" w14:textId="77777777" w:rsidR="00F83E8F" w:rsidRPr="00D869E3" w:rsidRDefault="00F83E8F" w:rsidP="00F83E8F">
      <w:pPr>
        <w:pStyle w:val="Prrafodelista"/>
        <w:ind w:left="0"/>
        <w:jc w:val="both"/>
        <w:rPr>
          <w:rFonts w:ascii="Verdana" w:hAnsi="Verdana"/>
          <w:sz w:val="20"/>
          <w:szCs w:val="20"/>
          <w:lang w:val="en-US"/>
        </w:rPr>
      </w:pPr>
    </w:p>
    <w:p w14:paraId="123E38B1" w14:textId="29D1A604" w:rsidR="00F83E8F" w:rsidRPr="00D869E3" w:rsidRDefault="00707ADC" w:rsidP="00707ADC">
      <w:pPr>
        <w:pStyle w:val="Prrafodelista"/>
        <w:numPr>
          <w:ilvl w:val="0"/>
          <w:numId w:val="26"/>
        </w:numPr>
        <w:ind w:left="0" w:firstLine="0"/>
        <w:jc w:val="both"/>
        <w:rPr>
          <w:rFonts w:ascii="Verdana" w:hAnsi="Verdana"/>
          <w:sz w:val="20"/>
          <w:szCs w:val="20"/>
          <w:lang w:val="en-US"/>
        </w:rPr>
      </w:pPr>
      <w:r w:rsidRPr="00D869E3">
        <w:rPr>
          <w:rFonts w:ascii="Verdana" w:hAnsi="Verdana"/>
          <w:sz w:val="20"/>
          <w:szCs w:val="20"/>
          <w:lang w:val="en-US"/>
        </w:rPr>
        <w:t xml:space="preserve">However, it should be clearly understood that </w:t>
      </w:r>
      <w:r w:rsidR="00447C65" w:rsidRPr="00D869E3">
        <w:rPr>
          <w:rFonts w:ascii="Verdana" w:hAnsi="Verdana"/>
          <w:sz w:val="20"/>
          <w:szCs w:val="20"/>
          <w:lang w:val="en-US"/>
        </w:rPr>
        <w:t>the Inter-American Court</w:t>
      </w:r>
      <w:r w:rsidRPr="00D869E3">
        <w:rPr>
          <w:rFonts w:ascii="Verdana" w:hAnsi="Verdana"/>
          <w:sz w:val="20"/>
          <w:szCs w:val="20"/>
          <w:lang w:val="en-US"/>
        </w:rPr>
        <w:t xml:space="preserve"> has been protecting the ESCER for many years. The Court</w:t>
      </w:r>
      <w:r w:rsidR="00F708AE" w:rsidRPr="00D869E3">
        <w:rPr>
          <w:rFonts w:ascii="Verdana" w:hAnsi="Verdana"/>
          <w:sz w:val="20"/>
          <w:szCs w:val="20"/>
          <w:lang w:val="en-US"/>
        </w:rPr>
        <w:t xml:space="preserve"> has been doing </w:t>
      </w:r>
      <w:r w:rsidR="00F30F3C" w:rsidRPr="00D869E3">
        <w:rPr>
          <w:rFonts w:ascii="Verdana" w:hAnsi="Verdana"/>
          <w:sz w:val="20"/>
          <w:szCs w:val="20"/>
          <w:lang w:val="en-US"/>
        </w:rPr>
        <w:t>so</w:t>
      </w:r>
      <w:r w:rsidR="00F708AE" w:rsidRPr="00D869E3">
        <w:rPr>
          <w:rFonts w:ascii="Verdana" w:hAnsi="Verdana"/>
          <w:sz w:val="20"/>
          <w:szCs w:val="20"/>
          <w:lang w:val="en-US"/>
        </w:rPr>
        <w:t xml:space="preserve"> </w:t>
      </w:r>
      <w:r w:rsidR="00F30F3C" w:rsidRPr="00D869E3">
        <w:rPr>
          <w:rFonts w:ascii="Verdana" w:hAnsi="Verdana"/>
          <w:sz w:val="20"/>
          <w:szCs w:val="20"/>
          <w:lang w:val="en-US"/>
        </w:rPr>
        <w:t>by considering the respective ESCER</w:t>
      </w:r>
      <w:r w:rsidR="00F708AE" w:rsidRPr="00D869E3">
        <w:rPr>
          <w:rFonts w:ascii="Verdana" w:hAnsi="Verdana"/>
          <w:sz w:val="20"/>
          <w:szCs w:val="20"/>
          <w:lang w:val="en-US"/>
        </w:rPr>
        <w:t xml:space="preserve"> a secondary or indirect right of a civil or political right, when in many cases it was really the main right claimed. Thus, to date, many</w:t>
      </w:r>
      <w:r w:rsidR="00F30F3C" w:rsidRPr="00D869E3">
        <w:rPr>
          <w:rFonts w:ascii="Verdana" w:hAnsi="Verdana"/>
          <w:sz w:val="20"/>
          <w:szCs w:val="20"/>
          <w:lang w:val="en-US"/>
        </w:rPr>
        <w:t xml:space="preserve"> people</w:t>
      </w:r>
      <w:r w:rsidR="00F708AE" w:rsidRPr="00D869E3">
        <w:rPr>
          <w:rFonts w:ascii="Verdana" w:hAnsi="Verdana"/>
          <w:sz w:val="20"/>
          <w:szCs w:val="20"/>
          <w:lang w:val="en-US"/>
        </w:rPr>
        <w:t>, including jurists, consider</w:t>
      </w:r>
      <w:r w:rsidR="00F30F3C" w:rsidRPr="00D869E3">
        <w:rPr>
          <w:rFonts w:ascii="Verdana" w:hAnsi="Verdana"/>
          <w:sz w:val="20"/>
          <w:szCs w:val="20"/>
          <w:lang w:val="en-US"/>
        </w:rPr>
        <w:t>ed</w:t>
      </w:r>
      <w:r w:rsidR="00F708AE" w:rsidRPr="00D869E3">
        <w:rPr>
          <w:rFonts w:ascii="Verdana" w:hAnsi="Verdana"/>
          <w:sz w:val="20"/>
          <w:szCs w:val="20"/>
          <w:lang w:val="en-US"/>
        </w:rPr>
        <w:t xml:space="preserve"> that there was no point in submitting a direct petition on the ESCER to </w:t>
      </w:r>
      <w:r w:rsidR="00671B14" w:rsidRPr="00D869E3">
        <w:rPr>
          <w:rFonts w:ascii="Verdana" w:hAnsi="Verdana"/>
          <w:sz w:val="20"/>
          <w:szCs w:val="20"/>
          <w:lang w:val="en-US"/>
        </w:rPr>
        <w:t>the inter-American system</w:t>
      </w:r>
      <w:r w:rsidR="00F83E8F" w:rsidRPr="00D869E3">
        <w:rPr>
          <w:rFonts w:ascii="Verdana" w:hAnsi="Verdana"/>
          <w:sz w:val="20"/>
          <w:szCs w:val="20"/>
          <w:lang w:val="en-US"/>
        </w:rPr>
        <w:t xml:space="preserve">. </w:t>
      </w:r>
    </w:p>
    <w:p w14:paraId="78118B54" w14:textId="77777777" w:rsidR="00F83E8F" w:rsidRPr="00D869E3" w:rsidRDefault="00F83E8F" w:rsidP="00F83E8F">
      <w:pPr>
        <w:pStyle w:val="Prrafodelista"/>
        <w:ind w:left="0"/>
        <w:jc w:val="both"/>
        <w:rPr>
          <w:rFonts w:ascii="Verdana" w:hAnsi="Verdana"/>
          <w:sz w:val="20"/>
          <w:szCs w:val="20"/>
          <w:lang w:val="en-US"/>
        </w:rPr>
      </w:pPr>
    </w:p>
    <w:p w14:paraId="541B1C16" w14:textId="0E7669B3" w:rsidR="00F83E8F" w:rsidRPr="00D869E3" w:rsidRDefault="00F708AE" w:rsidP="00F83E8F">
      <w:pPr>
        <w:pStyle w:val="Prrafodelista"/>
        <w:numPr>
          <w:ilvl w:val="0"/>
          <w:numId w:val="26"/>
        </w:numPr>
        <w:ind w:left="0" w:firstLine="0"/>
        <w:jc w:val="both"/>
        <w:rPr>
          <w:rFonts w:ascii="Verdana" w:hAnsi="Verdana"/>
          <w:sz w:val="20"/>
          <w:szCs w:val="20"/>
          <w:lang w:val="en-US"/>
        </w:rPr>
      </w:pPr>
      <w:r w:rsidRPr="00D869E3">
        <w:rPr>
          <w:rFonts w:ascii="Verdana" w:hAnsi="Verdana"/>
          <w:sz w:val="20"/>
          <w:szCs w:val="20"/>
          <w:lang w:val="en-US"/>
        </w:rPr>
        <w:t xml:space="preserve">By this separate opinion, in which I </w:t>
      </w:r>
      <w:r w:rsidR="00F30F3C" w:rsidRPr="00D869E3">
        <w:rPr>
          <w:rFonts w:ascii="Verdana" w:hAnsi="Verdana"/>
          <w:sz w:val="20"/>
          <w:szCs w:val="20"/>
          <w:lang w:val="en-US"/>
        </w:rPr>
        <w:t xml:space="preserve">fully </w:t>
      </w:r>
      <w:r w:rsidRPr="00D869E3">
        <w:rPr>
          <w:rFonts w:ascii="Verdana" w:hAnsi="Verdana"/>
          <w:sz w:val="20"/>
          <w:szCs w:val="20"/>
          <w:lang w:val="en-US"/>
        </w:rPr>
        <w:t xml:space="preserve">share the conclusions reached by this Inter-American Court of </w:t>
      </w:r>
      <w:r w:rsidR="00B443B4" w:rsidRPr="00D869E3">
        <w:rPr>
          <w:rFonts w:ascii="Verdana" w:hAnsi="Verdana"/>
          <w:sz w:val="20"/>
          <w:szCs w:val="20"/>
          <w:lang w:val="en-US"/>
        </w:rPr>
        <w:t xml:space="preserve">Human </w:t>
      </w:r>
      <w:r w:rsidRPr="00D869E3">
        <w:rPr>
          <w:rFonts w:ascii="Verdana" w:hAnsi="Verdana"/>
          <w:sz w:val="20"/>
          <w:szCs w:val="20"/>
          <w:lang w:val="en-US"/>
        </w:rPr>
        <w:t>R</w:t>
      </w:r>
      <w:r w:rsidR="00B443B4" w:rsidRPr="00D869E3">
        <w:rPr>
          <w:rFonts w:ascii="Verdana" w:hAnsi="Verdana"/>
          <w:sz w:val="20"/>
          <w:szCs w:val="20"/>
          <w:lang w:val="en-US"/>
        </w:rPr>
        <w:t>ights</w:t>
      </w:r>
      <w:r w:rsidR="00F83E8F" w:rsidRPr="00D869E3">
        <w:rPr>
          <w:rFonts w:ascii="Verdana" w:hAnsi="Verdana"/>
          <w:sz w:val="20"/>
          <w:szCs w:val="20"/>
          <w:lang w:val="en-US"/>
        </w:rPr>
        <w:t xml:space="preserve"> (</w:t>
      </w:r>
      <w:r w:rsidR="00447C65" w:rsidRPr="00D869E3">
        <w:rPr>
          <w:rFonts w:ascii="Verdana" w:hAnsi="Verdana"/>
          <w:sz w:val="20"/>
          <w:szCs w:val="20"/>
          <w:lang w:val="en-US"/>
        </w:rPr>
        <w:t>hereinafter</w:t>
      </w:r>
      <w:r w:rsidR="00F83E8F" w:rsidRPr="00D869E3">
        <w:rPr>
          <w:rFonts w:ascii="Verdana" w:hAnsi="Verdana"/>
          <w:sz w:val="20"/>
          <w:szCs w:val="20"/>
          <w:lang w:val="en-US"/>
        </w:rPr>
        <w:t xml:space="preserve"> </w:t>
      </w:r>
      <w:r w:rsidR="006436CA" w:rsidRPr="00D869E3">
        <w:rPr>
          <w:rFonts w:ascii="Verdana" w:hAnsi="Verdana"/>
          <w:sz w:val="20"/>
          <w:szCs w:val="20"/>
          <w:lang w:val="en-US"/>
        </w:rPr>
        <w:t>“</w:t>
      </w:r>
      <w:r w:rsidRPr="00D869E3">
        <w:rPr>
          <w:rFonts w:ascii="Verdana" w:hAnsi="Verdana"/>
          <w:sz w:val="20"/>
          <w:szCs w:val="20"/>
          <w:lang w:val="en-US"/>
        </w:rPr>
        <w:t>the Court</w:t>
      </w:r>
      <w:r w:rsidR="006436CA" w:rsidRPr="00D869E3">
        <w:rPr>
          <w:rFonts w:ascii="Verdana" w:hAnsi="Verdana"/>
          <w:sz w:val="20"/>
          <w:szCs w:val="20"/>
          <w:lang w:val="en-US"/>
        </w:rPr>
        <w:t>”</w:t>
      </w:r>
      <w:r w:rsidR="00F83E8F" w:rsidRPr="00D869E3">
        <w:rPr>
          <w:rFonts w:ascii="Verdana" w:hAnsi="Verdana"/>
          <w:sz w:val="20"/>
          <w:szCs w:val="20"/>
          <w:lang w:val="en-US"/>
        </w:rPr>
        <w:t>)</w:t>
      </w:r>
      <w:r w:rsidR="00687684" w:rsidRPr="00D869E3">
        <w:rPr>
          <w:rFonts w:ascii="Verdana" w:hAnsi="Verdana"/>
          <w:sz w:val="20"/>
          <w:szCs w:val="20"/>
          <w:lang w:val="en-US"/>
        </w:rPr>
        <w:t xml:space="preserve"> and </w:t>
      </w:r>
      <w:r w:rsidRPr="00D869E3">
        <w:rPr>
          <w:rFonts w:ascii="Verdana" w:hAnsi="Verdana"/>
          <w:sz w:val="20"/>
          <w:szCs w:val="20"/>
          <w:lang w:val="en-US"/>
        </w:rPr>
        <w:t xml:space="preserve">the reparations resulting from them, I express my </w:t>
      </w:r>
      <w:r w:rsidR="00F30F3C" w:rsidRPr="00D869E3">
        <w:rPr>
          <w:rFonts w:ascii="Verdana" w:hAnsi="Verdana"/>
          <w:sz w:val="20"/>
          <w:szCs w:val="20"/>
          <w:lang w:val="en-US"/>
        </w:rPr>
        <w:t>support for</w:t>
      </w:r>
      <w:r w:rsidRPr="00D869E3">
        <w:rPr>
          <w:rFonts w:ascii="Verdana" w:hAnsi="Verdana"/>
          <w:sz w:val="20"/>
          <w:szCs w:val="20"/>
          <w:lang w:val="en-US"/>
        </w:rPr>
        <w:t xml:space="preserve"> this judgment, merely differing on the issue of the breadth of a simple – but still important – procedural matter concerning the application of the </w:t>
      </w:r>
      <w:r w:rsidR="00F83E8F" w:rsidRPr="00D869E3">
        <w:rPr>
          <w:rFonts w:ascii="Verdana" w:hAnsi="Verdana"/>
          <w:i/>
          <w:sz w:val="20"/>
          <w:szCs w:val="20"/>
          <w:lang w:val="en-US"/>
        </w:rPr>
        <w:t>iura novit curi</w:t>
      </w:r>
      <w:r w:rsidR="00F83E8F" w:rsidRPr="00D869E3">
        <w:rPr>
          <w:rFonts w:ascii="Verdana" w:hAnsi="Verdana"/>
          <w:sz w:val="20"/>
          <w:szCs w:val="20"/>
          <w:lang w:val="en-US"/>
        </w:rPr>
        <w:t>a</w:t>
      </w:r>
      <w:r w:rsidRPr="00D869E3">
        <w:rPr>
          <w:rFonts w:ascii="Verdana" w:hAnsi="Verdana"/>
          <w:sz w:val="20"/>
          <w:szCs w:val="20"/>
          <w:lang w:val="en-US"/>
        </w:rPr>
        <w:t xml:space="preserve"> principle.</w:t>
      </w:r>
    </w:p>
    <w:p w14:paraId="2F115A86" w14:textId="77777777" w:rsidR="00F83E8F" w:rsidRPr="00D869E3" w:rsidRDefault="00F83E8F" w:rsidP="00F83E8F">
      <w:pPr>
        <w:pStyle w:val="Prrafodelista"/>
        <w:ind w:left="0"/>
        <w:jc w:val="both"/>
        <w:rPr>
          <w:rFonts w:ascii="Verdana" w:hAnsi="Verdana"/>
          <w:sz w:val="20"/>
          <w:szCs w:val="20"/>
          <w:lang w:val="en-US"/>
        </w:rPr>
      </w:pPr>
    </w:p>
    <w:p w14:paraId="47CA9B0C" w14:textId="30B3AB4B" w:rsidR="00F83E8F" w:rsidRPr="00D869E3" w:rsidRDefault="00F708AE" w:rsidP="00F83E8F">
      <w:pPr>
        <w:pStyle w:val="Prrafodelista"/>
        <w:numPr>
          <w:ilvl w:val="0"/>
          <w:numId w:val="26"/>
        </w:numPr>
        <w:ind w:left="0" w:firstLine="0"/>
        <w:jc w:val="both"/>
        <w:rPr>
          <w:rFonts w:ascii="Verdana" w:hAnsi="Verdana"/>
          <w:sz w:val="20"/>
          <w:szCs w:val="20"/>
          <w:lang w:val="en-US"/>
        </w:rPr>
      </w:pPr>
      <w:r w:rsidRPr="00D869E3">
        <w:rPr>
          <w:rFonts w:ascii="Verdana" w:hAnsi="Verdana"/>
          <w:sz w:val="20"/>
          <w:szCs w:val="20"/>
          <w:lang w:val="en-US"/>
        </w:rPr>
        <w:t xml:space="preserve">Notwithstanding other advances </w:t>
      </w:r>
      <w:r w:rsidR="00F30F3C" w:rsidRPr="00D869E3">
        <w:rPr>
          <w:rFonts w:ascii="Verdana" w:hAnsi="Verdana"/>
          <w:sz w:val="20"/>
          <w:szCs w:val="20"/>
          <w:lang w:val="en-US"/>
        </w:rPr>
        <w:t xml:space="preserve">to be described below, </w:t>
      </w:r>
      <w:r w:rsidRPr="00D869E3">
        <w:rPr>
          <w:rFonts w:ascii="Verdana" w:hAnsi="Verdana"/>
          <w:sz w:val="20"/>
          <w:szCs w:val="20"/>
          <w:lang w:val="en-US"/>
        </w:rPr>
        <w:t>I would like to emphasize that, with this milestone judgment, the right to work and, particularly, job security, is reco</w:t>
      </w:r>
      <w:r w:rsidR="00CD528A" w:rsidRPr="00D869E3">
        <w:rPr>
          <w:rFonts w:ascii="Verdana" w:hAnsi="Verdana"/>
          <w:sz w:val="20"/>
          <w:szCs w:val="20"/>
          <w:lang w:val="en-US"/>
        </w:rPr>
        <w:t>g</w:t>
      </w:r>
      <w:r w:rsidRPr="00D869E3">
        <w:rPr>
          <w:rFonts w:ascii="Verdana" w:hAnsi="Verdana"/>
          <w:sz w:val="20"/>
          <w:szCs w:val="20"/>
          <w:lang w:val="en-US"/>
        </w:rPr>
        <w:t>nized as an autonomous righ</w:t>
      </w:r>
      <w:r w:rsidR="00F30F3C" w:rsidRPr="00D869E3">
        <w:rPr>
          <w:rFonts w:ascii="Verdana" w:hAnsi="Verdana"/>
          <w:sz w:val="20"/>
          <w:szCs w:val="20"/>
          <w:lang w:val="en-US"/>
        </w:rPr>
        <w:t>t. Thus,</w:t>
      </w:r>
      <w:r w:rsidRPr="00D869E3">
        <w:rPr>
          <w:rFonts w:ascii="Verdana" w:hAnsi="Verdana"/>
          <w:sz w:val="20"/>
          <w:szCs w:val="20"/>
          <w:lang w:val="en-US"/>
        </w:rPr>
        <w:t xml:space="preserve"> it is the first occasion </w:t>
      </w:r>
      <w:r w:rsidR="00F30F3C" w:rsidRPr="00D869E3">
        <w:rPr>
          <w:rFonts w:ascii="Verdana" w:hAnsi="Verdana"/>
          <w:sz w:val="20"/>
          <w:szCs w:val="20"/>
          <w:lang w:val="en-US"/>
        </w:rPr>
        <w:t>on which</w:t>
      </w:r>
      <w:r w:rsidR="00F83E8F" w:rsidRPr="00D869E3">
        <w:rPr>
          <w:rFonts w:ascii="Verdana" w:hAnsi="Verdana"/>
          <w:sz w:val="20"/>
          <w:szCs w:val="20"/>
          <w:lang w:val="en-US"/>
        </w:rPr>
        <w:t xml:space="preserve"> </w:t>
      </w:r>
      <w:r w:rsidR="00671B14" w:rsidRPr="00D869E3">
        <w:rPr>
          <w:rFonts w:ascii="Verdana" w:hAnsi="Verdana"/>
          <w:sz w:val="20"/>
          <w:szCs w:val="20"/>
          <w:lang w:val="en-US"/>
        </w:rPr>
        <w:t>the Inter-American Court</w:t>
      </w:r>
      <w:r w:rsidR="00F83E8F" w:rsidRPr="00D869E3">
        <w:rPr>
          <w:rFonts w:ascii="Verdana" w:hAnsi="Verdana"/>
          <w:sz w:val="20"/>
          <w:szCs w:val="20"/>
          <w:lang w:val="en-US"/>
        </w:rPr>
        <w:t xml:space="preserve"> declar</w:t>
      </w:r>
      <w:r w:rsidR="00CD528A" w:rsidRPr="00D869E3">
        <w:rPr>
          <w:rFonts w:ascii="Verdana" w:hAnsi="Verdana"/>
          <w:sz w:val="20"/>
          <w:szCs w:val="20"/>
          <w:lang w:val="en-US"/>
        </w:rPr>
        <w:t>es</w:t>
      </w:r>
      <w:r w:rsidR="00F83E8F" w:rsidRPr="00D869E3">
        <w:rPr>
          <w:rFonts w:ascii="Verdana" w:hAnsi="Verdana"/>
          <w:sz w:val="20"/>
          <w:szCs w:val="20"/>
          <w:lang w:val="en-US"/>
        </w:rPr>
        <w:t xml:space="preserve"> </w:t>
      </w:r>
      <w:r w:rsidR="00CD528A" w:rsidRPr="00D869E3">
        <w:rPr>
          <w:rFonts w:ascii="Verdana" w:hAnsi="Verdana"/>
          <w:sz w:val="20"/>
          <w:szCs w:val="20"/>
          <w:lang w:val="en-US"/>
        </w:rPr>
        <w:t>that</w:t>
      </w:r>
      <w:r w:rsidR="00F83E8F" w:rsidRPr="00D869E3">
        <w:rPr>
          <w:rFonts w:ascii="Verdana" w:hAnsi="Verdana"/>
          <w:sz w:val="20"/>
          <w:szCs w:val="20"/>
          <w:lang w:val="en-US"/>
        </w:rPr>
        <w:t xml:space="preserve"> </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 26</w:t>
      </w:r>
      <w:r w:rsidR="00447C65" w:rsidRPr="00D869E3">
        <w:rPr>
          <w:rFonts w:ascii="Verdana" w:hAnsi="Verdana"/>
          <w:sz w:val="20"/>
          <w:szCs w:val="20"/>
          <w:lang w:val="en-US"/>
        </w:rPr>
        <w:t xml:space="preserve"> of the American Convention</w:t>
      </w:r>
      <w:r w:rsidR="00687684" w:rsidRPr="00D869E3">
        <w:rPr>
          <w:rFonts w:ascii="Verdana" w:hAnsi="Verdana" w:cs="System Font Regular"/>
          <w:sz w:val="20"/>
          <w:szCs w:val="20"/>
          <w:lang w:val="en-US"/>
        </w:rPr>
        <w:t xml:space="preserve"> and </w:t>
      </w:r>
      <w:r w:rsidR="00CD528A" w:rsidRPr="00D869E3">
        <w:rPr>
          <w:rFonts w:ascii="Verdana" w:hAnsi="Verdana"/>
          <w:sz w:val="20"/>
          <w:szCs w:val="20"/>
          <w:lang w:val="en-US"/>
        </w:rPr>
        <w:t>the rights derived from it are justiciable.</w:t>
      </w:r>
    </w:p>
    <w:p w14:paraId="42AB096E" w14:textId="77777777" w:rsidR="00F83E8F" w:rsidRPr="00D869E3" w:rsidRDefault="00F83E8F" w:rsidP="00F83E8F">
      <w:pPr>
        <w:pStyle w:val="Prrafodelista"/>
        <w:rPr>
          <w:rFonts w:ascii="Verdana" w:hAnsi="Verdana"/>
          <w:sz w:val="20"/>
          <w:szCs w:val="20"/>
          <w:lang w:val="en-US"/>
        </w:rPr>
      </w:pPr>
    </w:p>
    <w:p w14:paraId="36959448" w14:textId="77777777" w:rsidR="00F83E8F" w:rsidRPr="00D869E3" w:rsidRDefault="00F83E8F" w:rsidP="00F83E8F">
      <w:pPr>
        <w:pStyle w:val="Prrafodelista"/>
        <w:ind w:left="0"/>
        <w:jc w:val="both"/>
        <w:rPr>
          <w:rFonts w:ascii="Verdana" w:hAnsi="Verdana"/>
          <w:sz w:val="20"/>
          <w:szCs w:val="20"/>
          <w:lang w:val="en-US"/>
        </w:rPr>
      </w:pPr>
    </w:p>
    <w:p w14:paraId="23666766" w14:textId="349E2580" w:rsidR="00F83E8F" w:rsidRPr="00D869E3" w:rsidRDefault="001570BC" w:rsidP="001570BC">
      <w:pPr>
        <w:pStyle w:val="Prrafodelista"/>
        <w:numPr>
          <w:ilvl w:val="0"/>
          <w:numId w:val="26"/>
        </w:numPr>
        <w:ind w:left="0" w:firstLine="0"/>
        <w:jc w:val="both"/>
        <w:rPr>
          <w:rFonts w:ascii="Verdana" w:hAnsi="Verdana"/>
          <w:sz w:val="20"/>
          <w:szCs w:val="20"/>
          <w:lang w:val="en-US"/>
        </w:rPr>
      </w:pPr>
      <w:r w:rsidRPr="00D869E3">
        <w:rPr>
          <w:rFonts w:ascii="Verdana" w:hAnsi="Verdana"/>
          <w:sz w:val="20"/>
          <w:szCs w:val="20"/>
          <w:lang w:val="en-US"/>
        </w:rPr>
        <w:t xml:space="preserve">I would also underscore the innovative treatment that this judgment has accorded to the different issues examined, such as the freedoms of expression and association, and access to justice, in order to guarantee </w:t>
      </w:r>
      <w:r w:rsidR="00E373CE" w:rsidRPr="00D869E3">
        <w:rPr>
          <w:rFonts w:ascii="Verdana" w:hAnsi="Verdana"/>
          <w:sz w:val="20"/>
          <w:szCs w:val="20"/>
          <w:lang w:val="en-US"/>
        </w:rPr>
        <w:t>workers’</w:t>
      </w:r>
      <w:r w:rsidRPr="00D869E3">
        <w:rPr>
          <w:rFonts w:ascii="Verdana" w:hAnsi="Verdana"/>
          <w:sz w:val="20"/>
          <w:szCs w:val="20"/>
          <w:lang w:val="en-US"/>
        </w:rPr>
        <w:t xml:space="preserve"> rights</w:t>
      </w:r>
      <w:r w:rsidR="00E373CE" w:rsidRPr="00D869E3">
        <w:rPr>
          <w:rFonts w:ascii="Verdana" w:hAnsi="Verdana"/>
          <w:sz w:val="20"/>
          <w:szCs w:val="20"/>
          <w:lang w:val="en-US"/>
        </w:rPr>
        <w:t xml:space="preserve"> </w:t>
      </w:r>
      <w:r w:rsidRPr="00D869E3">
        <w:rPr>
          <w:rFonts w:ascii="Verdana" w:hAnsi="Verdana"/>
          <w:sz w:val="20"/>
          <w:szCs w:val="20"/>
          <w:lang w:val="en-US"/>
        </w:rPr>
        <w:t>– particularly, in a case originated in the private sector – and thus effective judicial protection for such rights, the lack of which also violated the obligation to ensure the substantive rights analyzed in the judgment</w:t>
      </w:r>
      <w:r w:rsidR="00F83E8F" w:rsidRPr="00D869E3">
        <w:rPr>
          <w:rFonts w:ascii="Verdana" w:hAnsi="Verdana"/>
          <w:sz w:val="20"/>
          <w:szCs w:val="20"/>
          <w:lang w:val="en-US"/>
        </w:rPr>
        <w:t>.</w:t>
      </w:r>
    </w:p>
    <w:p w14:paraId="2A997458" w14:textId="77777777" w:rsidR="00F83E8F" w:rsidRPr="00D869E3" w:rsidRDefault="00F83E8F" w:rsidP="00F83E8F">
      <w:pPr>
        <w:pStyle w:val="Prrafodelista"/>
        <w:ind w:left="0"/>
        <w:jc w:val="both"/>
        <w:rPr>
          <w:rFonts w:ascii="Verdana" w:hAnsi="Verdana"/>
          <w:sz w:val="20"/>
          <w:szCs w:val="20"/>
          <w:lang w:val="en-US"/>
        </w:rPr>
      </w:pPr>
    </w:p>
    <w:p w14:paraId="30B79532" w14:textId="3F7940AD" w:rsidR="0029022D" w:rsidRPr="00D869E3" w:rsidRDefault="001570BC" w:rsidP="0029022D">
      <w:pPr>
        <w:pStyle w:val="Prrafodelista"/>
        <w:numPr>
          <w:ilvl w:val="0"/>
          <w:numId w:val="26"/>
        </w:numPr>
        <w:ind w:left="0" w:firstLine="0"/>
        <w:jc w:val="both"/>
        <w:rPr>
          <w:rFonts w:ascii="Verdana" w:hAnsi="Verdana"/>
          <w:sz w:val="20"/>
          <w:szCs w:val="20"/>
          <w:lang w:val="en-US"/>
        </w:rPr>
      </w:pPr>
      <w:r w:rsidRPr="00D869E3">
        <w:rPr>
          <w:rFonts w:ascii="Verdana" w:hAnsi="Verdana"/>
          <w:sz w:val="20"/>
          <w:szCs w:val="20"/>
          <w:lang w:val="en-US"/>
        </w:rPr>
        <w:t>But, above all, I consider that it is especially relevant to emphasize the historic decision taken by the Court when declaring the justiciability of the ESCER under Article 26</w:t>
      </w:r>
      <w:r w:rsidR="00813D8D" w:rsidRPr="00D869E3">
        <w:rPr>
          <w:rFonts w:ascii="Verdana" w:hAnsi="Verdana"/>
          <w:sz w:val="20"/>
          <w:szCs w:val="20"/>
          <w:lang w:val="en-US"/>
        </w:rPr>
        <w:t xml:space="preserve"> </w:t>
      </w:r>
      <w:r w:rsidR="00BB61A6" w:rsidRPr="00D869E3">
        <w:rPr>
          <w:rFonts w:ascii="Verdana" w:hAnsi="Verdana"/>
          <w:sz w:val="20"/>
          <w:szCs w:val="20"/>
          <w:lang w:val="en-US"/>
        </w:rPr>
        <w:t>in relation to</w:t>
      </w:r>
      <w:r w:rsidR="00F83E8F" w:rsidRPr="00D869E3">
        <w:rPr>
          <w:rFonts w:ascii="Verdana" w:hAnsi="Verdana"/>
          <w:sz w:val="20"/>
          <w:szCs w:val="20"/>
          <w:lang w:val="en-US"/>
        </w:rPr>
        <w:t xml:space="preserve"> </w:t>
      </w:r>
      <w:r w:rsidR="00813D8D" w:rsidRPr="00D869E3">
        <w:rPr>
          <w:rFonts w:ascii="Verdana" w:hAnsi="Verdana"/>
          <w:sz w:val="20"/>
          <w:szCs w:val="20"/>
          <w:lang w:val="en-US"/>
        </w:rPr>
        <w:t>the obligations contained in</w:t>
      </w:r>
      <w:r w:rsidR="00F83E8F" w:rsidRPr="00D869E3">
        <w:rPr>
          <w:rFonts w:ascii="Verdana" w:hAnsi="Verdana"/>
          <w:sz w:val="20"/>
          <w:szCs w:val="20"/>
          <w:lang w:val="en-US"/>
        </w:rPr>
        <w:t xml:space="preserve"> </w:t>
      </w:r>
      <w:r w:rsidR="00687684" w:rsidRPr="00D869E3">
        <w:rPr>
          <w:rFonts w:ascii="Verdana" w:hAnsi="Verdana"/>
          <w:sz w:val="20"/>
          <w:szCs w:val="20"/>
          <w:lang w:val="en-US"/>
        </w:rPr>
        <w:t xml:space="preserve">Articles 1(1) and </w:t>
      </w:r>
      <w:r w:rsidR="00F83E8F" w:rsidRPr="00D869E3">
        <w:rPr>
          <w:rFonts w:ascii="Verdana" w:hAnsi="Verdana"/>
          <w:sz w:val="20"/>
          <w:szCs w:val="20"/>
          <w:lang w:val="en-US"/>
        </w:rPr>
        <w:t>2</w:t>
      </w:r>
      <w:r w:rsidR="00447C65" w:rsidRPr="00D869E3">
        <w:rPr>
          <w:rFonts w:ascii="Verdana" w:hAnsi="Verdana"/>
          <w:sz w:val="20"/>
          <w:szCs w:val="20"/>
          <w:lang w:val="en-US"/>
        </w:rPr>
        <w:t xml:space="preserve"> of the American Convention</w:t>
      </w:r>
      <w:r w:rsidR="00F83E8F" w:rsidRPr="00D869E3">
        <w:rPr>
          <w:rFonts w:ascii="Verdana" w:hAnsi="Verdana"/>
          <w:sz w:val="20"/>
          <w:szCs w:val="20"/>
          <w:lang w:val="en-US"/>
        </w:rPr>
        <w:t xml:space="preserve">. </w:t>
      </w:r>
      <w:r w:rsidR="00813D8D" w:rsidRPr="00D869E3">
        <w:rPr>
          <w:rFonts w:ascii="Verdana" w:hAnsi="Verdana"/>
          <w:sz w:val="20"/>
          <w:szCs w:val="20"/>
          <w:lang w:val="en-US"/>
        </w:rPr>
        <w:t xml:space="preserve">As mentioned in </w:t>
      </w:r>
      <w:r w:rsidR="00180CED" w:rsidRPr="00D869E3">
        <w:rPr>
          <w:rFonts w:ascii="Verdana" w:hAnsi="Verdana"/>
          <w:sz w:val="20"/>
          <w:szCs w:val="20"/>
          <w:lang w:val="en-US"/>
        </w:rPr>
        <w:t>paragraph</w:t>
      </w:r>
      <w:r w:rsidR="00F83E8F" w:rsidRPr="00D869E3">
        <w:rPr>
          <w:rFonts w:ascii="Verdana" w:hAnsi="Verdana"/>
          <w:sz w:val="20"/>
          <w:szCs w:val="20"/>
          <w:lang w:val="en-US"/>
        </w:rPr>
        <w:t xml:space="preserve"> 154 </w:t>
      </w:r>
      <w:r w:rsidR="00813D8D" w:rsidRPr="00D869E3">
        <w:rPr>
          <w:rFonts w:ascii="Verdana" w:hAnsi="Verdana"/>
          <w:sz w:val="20"/>
          <w:szCs w:val="20"/>
          <w:lang w:val="en-US"/>
        </w:rPr>
        <w:t>of the judgment</w:t>
      </w:r>
      <w:r w:rsidR="00F83E8F" w:rsidRPr="00D869E3">
        <w:rPr>
          <w:rFonts w:ascii="Verdana" w:hAnsi="Verdana"/>
          <w:sz w:val="20"/>
          <w:szCs w:val="20"/>
          <w:lang w:val="en-US"/>
        </w:rPr>
        <w:t xml:space="preserve">, </w:t>
      </w:r>
      <w:r w:rsidR="0029022D" w:rsidRPr="00D869E3">
        <w:rPr>
          <w:rFonts w:ascii="Verdana" w:hAnsi="Verdana"/>
          <w:sz w:val="20"/>
          <w:szCs w:val="20"/>
          <w:lang w:val="en-US"/>
        </w:rPr>
        <w:t xml:space="preserve">this precedent develops and substantiates the first precedent on this issue and thus opens the way to the interpretation of other rights derived from </w:t>
      </w:r>
      <w:r w:rsidR="00687684" w:rsidRPr="00D869E3">
        <w:rPr>
          <w:rFonts w:ascii="Verdana" w:hAnsi="Verdana"/>
          <w:sz w:val="20"/>
          <w:szCs w:val="20"/>
          <w:lang w:val="en-US"/>
        </w:rPr>
        <w:t>Article</w:t>
      </w:r>
      <w:r w:rsidR="00F83E8F" w:rsidRPr="00D869E3">
        <w:rPr>
          <w:rFonts w:ascii="Verdana" w:hAnsi="Verdana"/>
          <w:sz w:val="20"/>
          <w:szCs w:val="20"/>
          <w:lang w:val="en-US"/>
        </w:rPr>
        <w:t xml:space="preserve"> 26</w:t>
      </w:r>
      <w:r w:rsidR="00447C65" w:rsidRPr="00D869E3">
        <w:rPr>
          <w:rFonts w:ascii="Verdana" w:hAnsi="Verdana"/>
          <w:sz w:val="20"/>
          <w:szCs w:val="20"/>
          <w:lang w:val="en-US"/>
        </w:rPr>
        <w:t xml:space="preserve"> of the Convention</w:t>
      </w:r>
      <w:r w:rsidR="00F83E8F" w:rsidRPr="00D869E3">
        <w:rPr>
          <w:rFonts w:ascii="Verdana" w:hAnsi="Verdana"/>
          <w:sz w:val="20"/>
          <w:szCs w:val="20"/>
          <w:lang w:val="en-US"/>
        </w:rPr>
        <w:t xml:space="preserve">. </w:t>
      </w:r>
      <w:r w:rsidR="0029022D" w:rsidRPr="00D869E3">
        <w:rPr>
          <w:rFonts w:ascii="Verdana" w:hAnsi="Verdana"/>
          <w:sz w:val="20"/>
          <w:szCs w:val="20"/>
          <w:lang w:val="en-US"/>
        </w:rPr>
        <w:t>Although</w:t>
      </w:r>
      <w:r w:rsidR="00F83E8F" w:rsidRPr="00D869E3">
        <w:rPr>
          <w:rFonts w:ascii="Verdana" w:hAnsi="Verdana"/>
          <w:sz w:val="20"/>
          <w:szCs w:val="20"/>
          <w:lang w:val="en-US"/>
        </w:rPr>
        <w:t xml:space="preserve"> </w:t>
      </w:r>
      <w:r w:rsidR="00447C65" w:rsidRPr="00D869E3">
        <w:rPr>
          <w:rFonts w:ascii="Verdana" w:hAnsi="Verdana"/>
          <w:sz w:val="20"/>
          <w:szCs w:val="20"/>
          <w:lang w:val="en-US"/>
        </w:rPr>
        <w:t>the American Convention</w:t>
      </w:r>
      <w:r w:rsidR="00E373CE" w:rsidRPr="00D869E3">
        <w:rPr>
          <w:rFonts w:ascii="Verdana" w:hAnsi="Verdana"/>
          <w:sz w:val="20"/>
          <w:szCs w:val="20"/>
          <w:lang w:val="en-US"/>
        </w:rPr>
        <w:t xml:space="preserve">, which this Court has jurisdiction </w:t>
      </w:r>
      <w:r w:rsidR="0029022D" w:rsidRPr="00D869E3">
        <w:rPr>
          <w:rFonts w:ascii="Verdana" w:hAnsi="Verdana"/>
          <w:sz w:val="20"/>
          <w:szCs w:val="20"/>
          <w:lang w:val="en-US"/>
        </w:rPr>
        <w:t>to interpret</w:t>
      </w:r>
      <w:r w:rsidR="00E373CE" w:rsidRPr="00D869E3">
        <w:rPr>
          <w:rFonts w:ascii="Verdana" w:hAnsi="Verdana"/>
          <w:sz w:val="20"/>
          <w:szCs w:val="20"/>
          <w:lang w:val="en-US"/>
        </w:rPr>
        <w:t>,</w:t>
      </w:r>
      <w:r w:rsidR="0029022D" w:rsidRPr="00D869E3">
        <w:rPr>
          <w:rFonts w:ascii="Verdana" w:hAnsi="Verdana"/>
          <w:sz w:val="20"/>
          <w:szCs w:val="20"/>
          <w:lang w:val="en-US"/>
        </w:rPr>
        <w:t xml:space="preserve"> was adopted in 1969, the possibility contained in its text that it be interpreted </w:t>
      </w:r>
      <w:r w:rsidR="00E373CE" w:rsidRPr="00D869E3">
        <w:rPr>
          <w:rFonts w:ascii="Verdana" w:hAnsi="Verdana"/>
          <w:sz w:val="20"/>
          <w:szCs w:val="20"/>
          <w:lang w:val="en-US"/>
        </w:rPr>
        <w:t xml:space="preserve">in an </w:t>
      </w:r>
      <w:r w:rsidR="0029022D" w:rsidRPr="00D869E3">
        <w:rPr>
          <w:rFonts w:ascii="Verdana" w:hAnsi="Verdana"/>
          <w:sz w:val="20"/>
          <w:szCs w:val="20"/>
          <w:lang w:val="en-US"/>
        </w:rPr>
        <w:t>evolutive</w:t>
      </w:r>
      <w:r w:rsidR="00E373CE" w:rsidRPr="00D869E3">
        <w:rPr>
          <w:rFonts w:ascii="Verdana" w:hAnsi="Verdana"/>
          <w:sz w:val="20"/>
          <w:szCs w:val="20"/>
          <w:lang w:val="en-US"/>
        </w:rPr>
        <w:t xml:space="preserve"> manner</w:t>
      </w:r>
      <w:r w:rsidR="0029022D" w:rsidRPr="00D869E3">
        <w:rPr>
          <w:rFonts w:ascii="Verdana" w:hAnsi="Verdana"/>
          <w:sz w:val="20"/>
          <w:szCs w:val="20"/>
          <w:lang w:val="en-US"/>
        </w:rPr>
        <w:t xml:space="preserve"> with regard to the economic and social norms, and regarding the education</w:t>
      </w:r>
      <w:r w:rsidR="00E373CE" w:rsidRPr="00D869E3">
        <w:rPr>
          <w:rFonts w:ascii="Verdana" w:hAnsi="Verdana"/>
          <w:sz w:val="20"/>
          <w:szCs w:val="20"/>
          <w:lang w:val="en-US"/>
        </w:rPr>
        <w:t>al</w:t>
      </w:r>
      <w:r w:rsidR="0029022D" w:rsidRPr="00D869E3">
        <w:rPr>
          <w:rFonts w:ascii="Verdana" w:hAnsi="Verdana"/>
          <w:sz w:val="20"/>
          <w:szCs w:val="20"/>
          <w:lang w:val="en-US"/>
        </w:rPr>
        <w:t>, scien</w:t>
      </w:r>
      <w:r w:rsidR="00E373CE" w:rsidRPr="00D869E3">
        <w:rPr>
          <w:rFonts w:ascii="Verdana" w:hAnsi="Verdana"/>
          <w:sz w:val="20"/>
          <w:szCs w:val="20"/>
          <w:lang w:val="en-US"/>
        </w:rPr>
        <w:t>tific</w:t>
      </w:r>
      <w:r w:rsidR="0029022D" w:rsidRPr="00D869E3">
        <w:rPr>
          <w:rFonts w:ascii="Verdana" w:hAnsi="Verdana"/>
          <w:sz w:val="20"/>
          <w:szCs w:val="20"/>
          <w:lang w:val="en-US"/>
        </w:rPr>
        <w:t>, cultur</w:t>
      </w:r>
      <w:r w:rsidR="00E373CE" w:rsidRPr="00D869E3">
        <w:rPr>
          <w:rFonts w:ascii="Verdana" w:hAnsi="Verdana"/>
          <w:sz w:val="20"/>
          <w:szCs w:val="20"/>
          <w:lang w:val="en-US"/>
        </w:rPr>
        <w:t>al</w:t>
      </w:r>
      <w:r w:rsidR="0029022D" w:rsidRPr="00D869E3">
        <w:rPr>
          <w:rFonts w:ascii="Verdana" w:hAnsi="Verdana"/>
          <w:sz w:val="20"/>
          <w:szCs w:val="20"/>
          <w:lang w:val="en-US"/>
        </w:rPr>
        <w:t xml:space="preserve"> and environment</w:t>
      </w:r>
      <w:r w:rsidR="00E373CE" w:rsidRPr="00D869E3">
        <w:rPr>
          <w:rFonts w:ascii="Verdana" w:hAnsi="Verdana"/>
          <w:sz w:val="20"/>
          <w:szCs w:val="20"/>
          <w:lang w:val="en-US"/>
        </w:rPr>
        <w:t>al standards</w:t>
      </w:r>
      <w:r w:rsidR="0029022D" w:rsidRPr="00D869E3">
        <w:rPr>
          <w:rFonts w:ascii="Verdana" w:hAnsi="Verdana"/>
          <w:sz w:val="20"/>
          <w:szCs w:val="20"/>
          <w:lang w:val="en-US"/>
        </w:rPr>
        <w:t xml:space="preserve"> </w:t>
      </w:r>
      <w:r w:rsidR="00E373CE" w:rsidRPr="00D869E3">
        <w:rPr>
          <w:rFonts w:ascii="Verdana" w:hAnsi="Verdana"/>
          <w:sz w:val="20"/>
          <w:szCs w:val="20"/>
          <w:lang w:val="en-US"/>
        </w:rPr>
        <w:t>set forth</w:t>
      </w:r>
      <w:r w:rsidR="0029022D" w:rsidRPr="00D869E3">
        <w:rPr>
          <w:rFonts w:ascii="Verdana" w:hAnsi="Verdana"/>
          <w:sz w:val="20"/>
          <w:szCs w:val="20"/>
          <w:lang w:val="en-US"/>
        </w:rPr>
        <w:t xml:space="preserve"> in the OAS Charter in light of </w:t>
      </w:r>
      <w:r w:rsidR="00687684" w:rsidRPr="00D869E3">
        <w:rPr>
          <w:rFonts w:ascii="Verdana" w:hAnsi="Verdana"/>
          <w:sz w:val="20"/>
          <w:szCs w:val="20"/>
          <w:lang w:val="en-US"/>
        </w:rPr>
        <w:t>Article</w:t>
      </w:r>
      <w:r w:rsidR="00F83E8F" w:rsidRPr="00D869E3">
        <w:rPr>
          <w:rFonts w:ascii="Verdana" w:hAnsi="Verdana"/>
          <w:sz w:val="20"/>
          <w:szCs w:val="20"/>
          <w:lang w:val="en-US"/>
        </w:rPr>
        <w:t xml:space="preserve"> 29 </w:t>
      </w:r>
      <w:r w:rsidR="0029022D" w:rsidRPr="00D869E3">
        <w:rPr>
          <w:rFonts w:ascii="Verdana" w:hAnsi="Verdana"/>
          <w:sz w:val="20"/>
          <w:szCs w:val="20"/>
          <w:lang w:val="en-US"/>
        </w:rPr>
        <w:t>of the Convention was of great relevance for the Court, finally, to tak</w:t>
      </w:r>
      <w:r w:rsidR="00E373CE" w:rsidRPr="00D869E3">
        <w:rPr>
          <w:rFonts w:ascii="Verdana" w:hAnsi="Verdana"/>
          <w:sz w:val="20"/>
          <w:szCs w:val="20"/>
          <w:lang w:val="en-US"/>
        </w:rPr>
        <w:t>e</w:t>
      </w:r>
      <w:r w:rsidR="0029022D" w:rsidRPr="00D869E3">
        <w:rPr>
          <w:rFonts w:ascii="Verdana" w:hAnsi="Verdana"/>
          <w:sz w:val="20"/>
          <w:szCs w:val="20"/>
          <w:lang w:val="en-US"/>
        </w:rPr>
        <w:t xml:space="preserve"> this step forward in the consolidation of the interdependence and comprehensiveness of human rights.</w:t>
      </w:r>
    </w:p>
    <w:p w14:paraId="0DE35E2F" w14:textId="77777777" w:rsidR="0029022D" w:rsidRPr="00D869E3" w:rsidRDefault="0029022D" w:rsidP="0029022D">
      <w:pPr>
        <w:pStyle w:val="Prrafodelista"/>
        <w:rPr>
          <w:rFonts w:ascii="Verdana" w:hAnsi="Verdana"/>
          <w:sz w:val="20"/>
          <w:szCs w:val="20"/>
          <w:lang w:val="en-US"/>
        </w:rPr>
      </w:pPr>
    </w:p>
    <w:p w14:paraId="6D2013ED" w14:textId="2D233520" w:rsidR="00F83E8F" w:rsidRPr="00D869E3" w:rsidRDefault="0029022D" w:rsidP="0029022D">
      <w:pPr>
        <w:pStyle w:val="Prrafodelista"/>
        <w:numPr>
          <w:ilvl w:val="0"/>
          <w:numId w:val="26"/>
        </w:numPr>
        <w:ind w:left="0" w:firstLine="0"/>
        <w:jc w:val="both"/>
        <w:rPr>
          <w:rFonts w:ascii="Verdana" w:hAnsi="Verdana"/>
          <w:sz w:val="20"/>
          <w:szCs w:val="20"/>
          <w:lang w:val="en-US"/>
        </w:rPr>
      </w:pPr>
      <w:r w:rsidRPr="00D869E3">
        <w:rPr>
          <w:rFonts w:ascii="Verdana" w:hAnsi="Verdana"/>
          <w:sz w:val="20"/>
          <w:szCs w:val="20"/>
          <w:lang w:val="en-US"/>
        </w:rPr>
        <w:t>It is essential to stress the importance of this precedent because it goes beyond the inter-American system</w:t>
      </w:r>
      <w:r w:rsidR="00E373CE" w:rsidRPr="00D869E3">
        <w:rPr>
          <w:rFonts w:ascii="Verdana" w:hAnsi="Verdana"/>
          <w:sz w:val="20"/>
          <w:szCs w:val="20"/>
          <w:lang w:val="en-US"/>
        </w:rPr>
        <w:t>.</w:t>
      </w:r>
      <w:r w:rsidRPr="00D869E3">
        <w:rPr>
          <w:rFonts w:ascii="Verdana" w:hAnsi="Verdana"/>
          <w:sz w:val="20"/>
          <w:szCs w:val="20"/>
          <w:lang w:val="en-US"/>
        </w:rPr>
        <w:t xml:space="preserve"> </w:t>
      </w:r>
      <w:r w:rsidR="00E373CE" w:rsidRPr="00D869E3">
        <w:rPr>
          <w:rFonts w:ascii="Verdana" w:hAnsi="Verdana"/>
          <w:sz w:val="20"/>
          <w:szCs w:val="20"/>
          <w:lang w:val="en-US"/>
        </w:rPr>
        <w:t>I</w:t>
      </w:r>
      <w:r w:rsidRPr="00D869E3">
        <w:rPr>
          <w:rFonts w:ascii="Verdana" w:hAnsi="Verdana"/>
          <w:sz w:val="20"/>
          <w:szCs w:val="20"/>
          <w:lang w:val="en-US"/>
        </w:rPr>
        <w:t xml:space="preserve">t provides an excellent example of judicial dialogue </w:t>
      </w:r>
      <w:r w:rsidR="00E373CE" w:rsidRPr="00D869E3">
        <w:rPr>
          <w:rFonts w:ascii="Verdana" w:hAnsi="Verdana"/>
          <w:sz w:val="20"/>
          <w:szCs w:val="20"/>
          <w:lang w:val="en-US"/>
        </w:rPr>
        <w:t xml:space="preserve">in which </w:t>
      </w:r>
      <w:r w:rsidRPr="00D869E3">
        <w:rPr>
          <w:rFonts w:ascii="Verdana" w:hAnsi="Verdana"/>
          <w:sz w:val="20"/>
          <w:szCs w:val="20"/>
          <w:lang w:val="en-US"/>
        </w:rPr>
        <w:t xml:space="preserve">judicial decisions in the domestic sphere </w:t>
      </w:r>
      <w:r w:rsidR="00954C3E" w:rsidRPr="00D869E3">
        <w:rPr>
          <w:rFonts w:ascii="Verdana" w:hAnsi="Verdana"/>
          <w:sz w:val="20"/>
          <w:szCs w:val="20"/>
          <w:lang w:val="en-US"/>
        </w:rPr>
        <w:t>that</w:t>
      </w:r>
      <w:r w:rsidRPr="00D869E3">
        <w:rPr>
          <w:rFonts w:ascii="Verdana" w:hAnsi="Verdana"/>
          <w:sz w:val="20"/>
          <w:szCs w:val="20"/>
          <w:lang w:val="en-US"/>
        </w:rPr>
        <w:t xml:space="preserve"> have already recognized the justiciability of the </w:t>
      </w:r>
      <w:r w:rsidR="00671B14" w:rsidRPr="00D869E3">
        <w:rPr>
          <w:rFonts w:ascii="Verdana" w:hAnsi="Verdana"/>
          <w:sz w:val="20"/>
          <w:szCs w:val="20"/>
          <w:lang w:val="en-US"/>
        </w:rPr>
        <w:t>ESCER</w:t>
      </w:r>
      <w:r w:rsidR="00F83E8F" w:rsidRPr="00D869E3">
        <w:rPr>
          <w:rStyle w:val="Refdenotaalpie"/>
          <w:lang w:val="en-US"/>
        </w:rPr>
        <w:footnoteReference w:id="281"/>
      </w:r>
      <w:r w:rsidR="00F83E8F" w:rsidRPr="00D869E3">
        <w:rPr>
          <w:rFonts w:ascii="Verdana" w:hAnsi="Verdana"/>
          <w:sz w:val="20"/>
          <w:szCs w:val="20"/>
          <w:lang w:val="en-US"/>
        </w:rPr>
        <w:t xml:space="preserve"> </w:t>
      </w:r>
      <w:r w:rsidR="00E373CE" w:rsidRPr="00D869E3">
        <w:rPr>
          <w:rFonts w:ascii="Verdana" w:hAnsi="Verdana"/>
          <w:sz w:val="20"/>
          <w:szCs w:val="20"/>
          <w:lang w:val="en-US"/>
        </w:rPr>
        <w:t xml:space="preserve">add </w:t>
      </w:r>
      <w:r w:rsidRPr="00D869E3">
        <w:rPr>
          <w:rFonts w:ascii="Verdana" w:hAnsi="Verdana"/>
          <w:sz w:val="20"/>
          <w:szCs w:val="20"/>
          <w:lang w:val="en-US"/>
        </w:rPr>
        <w:t xml:space="preserve">to </w:t>
      </w:r>
      <w:r w:rsidR="00E373CE" w:rsidRPr="00D869E3">
        <w:rPr>
          <w:rFonts w:ascii="Verdana" w:hAnsi="Verdana"/>
          <w:sz w:val="20"/>
          <w:szCs w:val="20"/>
          <w:lang w:val="en-US"/>
        </w:rPr>
        <w:t>such</w:t>
      </w:r>
      <w:r w:rsidRPr="00D869E3">
        <w:rPr>
          <w:rFonts w:ascii="Verdana" w:hAnsi="Verdana"/>
          <w:sz w:val="20"/>
          <w:szCs w:val="20"/>
          <w:lang w:val="en-US"/>
        </w:rPr>
        <w:t xml:space="preserve"> decision</w:t>
      </w:r>
      <w:r w:rsidR="00954C3E" w:rsidRPr="00D869E3">
        <w:rPr>
          <w:rFonts w:ascii="Verdana" w:hAnsi="Verdana"/>
          <w:sz w:val="20"/>
          <w:szCs w:val="20"/>
          <w:lang w:val="en-US"/>
        </w:rPr>
        <w:t>s</w:t>
      </w:r>
      <w:r w:rsidRPr="00D869E3">
        <w:rPr>
          <w:rFonts w:ascii="Verdana" w:hAnsi="Verdana"/>
          <w:sz w:val="20"/>
          <w:szCs w:val="20"/>
          <w:lang w:val="en-US"/>
        </w:rPr>
        <w:t xml:space="preserve"> in the international sphere. In </w:t>
      </w:r>
      <w:r w:rsidR="00954C3E" w:rsidRPr="00D869E3">
        <w:rPr>
          <w:rFonts w:ascii="Verdana" w:hAnsi="Verdana"/>
          <w:sz w:val="20"/>
          <w:szCs w:val="20"/>
          <w:lang w:val="en-US"/>
        </w:rPr>
        <w:t>taking this decision</w:t>
      </w:r>
      <w:r w:rsidRPr="00D869E3">
        <w:rPr>
          <w:rFonts w:ascii="Verdana" w:hAnsi="Verdana"/>
          <w:sz w:val="20"/>
          <w:szCs w:val="20"/>
          <w:lang w:val="en-US"/>
        </w:rPr>
        <w:t xml:space="preserve">, </w:t>
      </w:r>
      <w:r w:rsidR="00447C65" w:rsidRPr="00D869E3">
        <w:rPr>
          <w:rFonts w:ascii="Verdana" w:hAnsi="Verdana"/>
          <w:sz w:val="20"/>
          <w:szCs w:val="20"/>
          <w:lang w:val="en-US"/>
        </w:rPr>
        <w:t>the Inter-American Court</w:t>
      </w:r>
      <w:r w:rsidR="00F83E8F" w:rsidRPr="00D869E3">
        <w:rPr>
          <w:rFonts w:ascii="Verdana" w:hAnsi="Verdana"/>
          <w:sz w:val="20"/>
          <w:szCs w:val="20"/>
          <w:lang w:val="en-US"/>
        </w:rPr>
        <w:t xml:space="preserve"> </w:t>
      </w:r>
      <w:r w:rsidRPr="00D869E3">
        <w:rPr>
          <w:rFonts w:ascii="Verdana" w:hAnsi="Verdana"/>
          <w:sz w:val="20"/>
          <w:szCs w:val="20"/>
          <w:lang w:val="en-US"/>
        </w:rPr>
        <w:t>r</w:t>
      </w:r>
      <w:r w:rsidR="00954C3E" w:rsidRPr="00D869E3">
        <w:rPr>
          <w:rFonts w:ascii="Verdana" w:hAnsi="Verdana"/>
          <w:sz w:val="20"/>
          <w:szCs w:val="20"/>
          <w:lang w:val="en-US"/>
        </w:rPr>
        <w:t>e</w:t>
      </w:r>
      <w:r w:rsidRPr="00D869E3">
        <w:rPr>
          <w:rFonts w:ascii="Verdana" w:hAnsi="Verdana"/>
          <w:sz w:val="20"/>
          <w:szCs w:val="20"/>
          <w:lang w:val="en-US"/>
        </w:rPr>
        <w:t xml:space="preserve">veals that it </w:t>
      </w:r>
      <w:r w:rsidR="00954C3E" w:rsidRPr="00D869E3">
        <w:rPr>
          <w:rFonts w:ascii="Verdana" w:hAnsi="Verdana"/>
          <w:sz w:val="20"/>
          <w:szCs w:val="20"/>
          <w:lang w:val="en-US"/>
        </w:rPr>
        <w:t>heeds</w:t>
      </w:r>
      <w:r w:rsidRPr="00D869E3">
        <w:rPr>
          <w:rFonts w:ascii="Verdana" w:hAnsi="Verdana"/>
          <w:sz w:val="20"/>
          <w:szCs w:val="20"/>
          <w:lang w:val="en-US"/>
        </w:rPr>
        <w:t xml:space="preserve"> the domestic and constitutional jurisdictions and raises this necessary recognition to the sphere of international human rights law.</w:t>
      </w:r>
    </w:p>
    <w:p w14:paraId="02A968D5" w14:textId="77777777" w:rsidR="00F83E8F" w:rsidRPr="00D869E3" w:rsidRDefault="00F83E8F" w:rsidP="00F83E8F">
      <w:pPr>
        <w:pStyle w:val="Prrafodelista"/>
        <w:ind w:left="0"/>
        <w:jc w:val="both"/>
        <w:rPr>
          <w:rFonts w:ascii="Verdana" w:hAnsi="Verdana"/>
          <w:sz w:val="20"/>
          <w:szCs w:val="20"/>
          <w:lang w:val="en-US"/>
        </w:rPr>
      </w:pPr>
    </w:p>
    <w:p w14:paraId="38275EEA" w14:textId="1C49799B" w:rsidR="00F83E8F" w:rsidRPr="00D869E3" w:rsidRDefault="0029022D" w:rsidP="00F83E8F">
      <w:pPr>
        <w:pStyle w:val="Prrafodelista"/>
        <w:numPr>
          <w:ilvl w:val="0"/>
          <w:numId w:val="26"/>
        </w:numPr>
        <w:ind w:left="0" w:firstLine="0"/>
        <w:jc w:val="both"/>
        <w:rPr>
          <w:rFonts w:ascii="Verdana" w:hAnsi="Verdana"/>
          <w:sz w:val="20"/>
          <w:szCs w:val="20"/>
          <w:lang w:val="en-US"/>
        </w:rPr>
      </w:pPr>
      <w:r w:rsidRPr="00D869E3">
        <w:rPr>
          <w:rFonts w:ascii="Verdana" w:hAnsi="Verdana"/>
          <w:sz w:val="20"/>
          <w:szCs w:val="20"/>
          <w:lang w:val="en-US"/>
        </w:rPr>
        <w:t>I will no</w:t>
      </w:r>
      <w:r w:rsidR="00954C3E" w:rsidRPr="00D869E3">
        <w:rPr>
          <w:rFonts w:ascii="Verdana" w:hAnsi="Verdana"/>
          <w:sz w:val="20"/>
          <w:szCs w:val="20"/>
          <w:lang w:val="en-US"/>
        </w:rPr>
        <w:t>w</w:t>
      </w:r>
      <w:r w:rsidRPr="00D869E3">
        <w:rPr>
          <w:rFonts w:ascii="Verdana" w:hAnsi="Verdana"/>
          <w:sz w:val="20"/>
          <w:szCs w:val="20"/>
          <w:lang w:val="en-US"/>
        </w:rPr>
        <w:t xml:space="preserve"> develop the following addition</w:t>
      </w:r>
      <w:r w:rsidR="00954C3E" w:rsidRPr="00D869E3">
        <w:rPr>
          <w:rFonts w:ascii="Verdana" w:hAnsi="Verdana"/>
          <w:sz w:val="20"/>
          <w:szCs w:val="20"/>
          <w:lang w:val="en-US"/>
        </w:rPr>
        <w:t>al</w:t>
      </w:r>
      <w:r w:rsidRPr="00D869E3">
        <w:rPr>
          <w:rFonts w:ascii="Verdana" w:hAnsi="Verdana"/>
          <w:sz w:val="20"/>
          <w:szCs w:val="20"/>
          <w:lang w:val="en-US"/>
        </w:rPr>
        <w:t xml:space="preserve"> points to be considered: </w:t>
      </w:r>
      <w:r w:rsidR="00F83E8F" w:rsidRPr="00D869E3">
        <w:rPr>
          <w:rFonts w:ascii="Verdana" w:hAnsi="Verdana"/>
          <w:i/>
          <w:sz w:val="20"/>
          <w:szCs w:val="20"/>
          <w:lang w:val="en-US"/>
        </w:rPr>
        <w:t>Iura novit curia</w:t>
      </w:r>
      <w:r w:rsidR="00687684" w:rsidRPr="00D869E3">
        <w:rPr>
          <w:rFonts w:ascii="Verdana" w:hAnsi="Verdana"/>
          <w:sz w:val="20"/>
          <w:szCs w:val="20"/>
          <w:lang w:val="en-US"/>
        </w:rPr>
        <w:t xml:space="preserve"> and </w:t>
      </w:r>
      <w:r w:rsidRPr="00D869E3">
        <w:rPr>
          <w:rFonts w:ascii="Verdana" w:hAnsi="Verdana"/>
          <w:sz w:val="20"/>
          <w:szCs w:val="20"/>
          <w:lang w:val="en-US"/>
        </w:rPr>
        <w:t>t</w:t>
      </w:r>
      <w:r w:rsidR="000B2E5E" w:rsidRPr="00D869E3">
        <w:rPr>
          <w:rFonts w:ascii="Verdana" w:hAnsi="Verdana"/>
          <w:sz w:val="20"/>
          <w:szCs w:val="20"/>
          <w:lang w:val="en-US"/>
        </w:rPr>
        <w:t xml:space="preserve">he right </w:t>
      </w:r>
      <w:r w:rsidRPr="00D869E3">
        <w:rPr>
          <w:rFonts w:ascii="Verdana" w:hAnsi="Verdana"/>
          <w:sz w:val="20"/>
          <w:szCs w:val="20"/>
          <w:lang w:val="en-US"/>
        </w:rPr>
        <w:t>to work protected by</w:t>
      </w:r>
      <w:r w:rsidR="00F83E8F" w:rsidRPr="00D869E3">
        <w:rPr>
          <w:rFonts w:ascii="Verdana" w:hAnsi="Verdana"/>
          <w:sz w:val="20"/>
          <w:szCs w:val="20"/>
          <w:lang w:val="en-US"/>
        </w:rPr>
        <w:t xml:space="preserve"> </w:t>
      </w:r>
      <w:r w:rsidR="00447C65" w:rsidRPr="00D869E3">
        <w:rPr>
          <w:rFonts w:ascii="Verdana" w:hAnsi="Verdana"/>
          <w:sz w:val="20"/>
          <w:szCs w:val="20"/>
          <w:lang w:val="en-US"/>
        </w:rPr>
        <w:t>Articles</w:t>
      </w:r>
      <w:r w:rsidR="00F83E8F" w:rsidRPr="00D869E3">
        <w:rPr>
          <w:rFonts w:ascii="Verdana" w:hAnsi="Verdana"/>
          <w:sz w:val="20"/>
          <w:szCs w:val="20"/>
          <w:lang w:val="en-US"/>
        </w:rPr>
        <w:t xml:space="preserve"> 26</w:t>
      </w:r>
      <w:r w:rsidR="00687684" w:rsidRPr="00D869E3">
        <w:rPr>
          <w:rFonts w:ascii="Verdana" w:hAnsi="Verdana"/>
          <w:sz w:val="20"/>
          <w:szCs w:val="20"/>
          <w:lang w:val="en-US"/>
        </w:rPr>
        <w:t xml:space="preserve"> and </w:t>
      </w:r>
      <w:r w:rsidR="00F83E8F" w:rsidRPr="00D869E3">
        <w:rPr>
          <w:rFonts w:ascii="Verdana" w:hAnsi="Verdana"/>
          <w:sz w:val="20"/>
          <w:szCs w:val="20"/>
          <w:lang w:val="en-US"/>
        </w:rPr>
        <w:t>25</w:t>
      </w:r>
      <w:r w:rsidR="00447C65" w:rsidRPr="00D869E3">
        <w:rPr>
          <w:rFonts w:ascii="Verdana" w:hAnsi="Verdana"/>
          <w:sz w:val="20"/>
          <w:szCs w:val="20"/>
          <w:lang w:val="en-US"/>
        </w:rPr>
        <w:t xml:space="preserve"> of the Convention</w:t>
      </w:r>
      <w:r w:rsidR="00F83E8F" w:rsidRPr="00D869E3">
        <w:rPr>
          <w:rFonts w:ascii="Verdana" w:hAnsi="Verdana"/>
          <w:sz w:val="20"/>
          <w:szCs w:val="20"/>
          <w:lang w:val="en-US"/>
        </w:rPr>
        <w:t xml:space="preserve">. </w:t>
      </w:r>
    </w:p>
    <w:p w14:paraId="5970FEF1" w14:textId="77777777" w:rsidR="00F83E8F" w:rsidRPr="00D869E3" w:rsidRDefault="00F83E8F" w:rsidP="00F83E8F">
      <w:pPr>
        <w:pStyle w:val="Prrafodelista"/>
        <w:ind w:left="0"/>
        <w:jc w:val="both"/>
        <w:rPr>
          <w:rFonts w:ascii="Verdana" w:hAnsi="Verdana"/>
          <w:sz w:val="20"/>
          <w:szCs w:val="20"/>
          <w:lang w:val="en-US"/>
        </w:rPr>
      </w:pPr>
    </w:p>
    <w:p w14:paraId="5EF13C6A" w14:textId="77777777" w:rsidR="00F83E8F" w:rsidRPr="00D869E3" w:rsidRDefault="00F83E8F" w:rsidP="00F83E8F">
      <w:pPr>
        <w:pStyle w:val="Style1"/>
        <w:spacing w:after="0" w:line="240" w:lineRule="auto"/>
        <w:ind w:left="0"/>
        <w:rPr>
          <w:i/>
          <w:lang w:val="en-US"/>
        </w:rPr>
      </w:pPr>
      <w:r w:rsidRPr="00D869E3">
        <w:rPr>
          <w:i/>
          <w:lang w:val="en-US"/>
        </w:rPr>
        <w:t>Iura novit curia</w:t>
      </w:r>
    </w:p>
    <w:p w14:paraId="67A798AE" w14:textId="77777777" w:rsidR="00F83E8F" w:rsidRPr="00D869E3" w:rsidRDefault="00F83E8F" w:rsidP="00F83E8F">
      <w:pPr>
        <w:pStyle w:val="Style1"/>
        <w:numPr>
          <w:ilvl w:val="0"/>
          <w:numId w:val="0"/>
        </w:numPr>
        <w:spacing w:after="0" w:line="240" w:lineRule="auto"/>
        <w:jc w:val="both"/>
        <w:rPr>
          <w:i/>
          <w:lang w:val="en-US"/>
        </w:rPr>
      </w:pPr>
    </w:p>
    <w:p w14:paraId="47CABF01" w14:textId="48A53FAA" w:rsidR="00D859A4" w:rsidRPr="00D869E3" w:rsidRDefault="00C5557A" w:rsidP="00D859A4">
      <w:pPr>
        <w:pStyle w:val="Style1"/>
        <w:numPr>
          <w:ilvl w:val="0"/>
          <w:numId w:val="26"/>
        </w:numPr>
        <w:spacing w:after="0" w:line="240" w:lineRule="auto"/>
        <w:ind w:left="0" w:firstLine="0"/>
        <w:jc w:val="both"/>
        <w:rPr>
          <w:lang w:val="en-US"/>
        </w:rPr>
      </w:pPr>
      <w:r w:rsidRPr="00D869E3">
        <w:rPr>
          <w:b w:val="0"/>
          <w:u w:val="none"/>
          <w:lang w:val="en-US"/>
        </w:rPr>
        <w:t xml:space="preserve">I would like to emphasize a point that, in my opinion, is crucial as regards the application of the </w:t>
      </w:r>
      <w:r w:rsidR="00F83E8F" w:rsidRPr="00D869E3">
        <w:rPr>
          <w:b w:val="0"/>
          <w:i/>
          <w:u w:val="none"/>
          <w:lang w:val="en-US"/>
        </w:rPr>
        <w:t>iuria novit curia</w:t>
      </w:r>
      <w:r w:rsidR="00F83E8F" w:rsidRPr="00D869E3">
        <w:rPr>
          <w:b w:val="0"/>
          <w:u w:val="none"/>
          <w:lang w:val="en-US"/>
        </w:rPr>
        <w:t xml:space="preserve"> </w:t>
      </w:r>
      <w:r w:rsidRPr="00D869E3">
        <w:rPr>
          <w:b w:val="0"/>
          <w:u w:val="none"/>
          <w:lang w:val="en-US"/>
        </w:rPr>
        <w:t>principle in this specific case</w:t>
      </w:r>
      <w:r w:rsidR="00954C3E" w:rsidRPr="00D869E3">
        <w:rPr>
          <w:b w:val="0"/>
          <w:u w:val="none"/>
          <w:lang w:val="en-US"/>
        </w:rPr>
        <w:t>, regarding</w:t>
      </w:r>
      <w:r w:rsidR="00B708E6" w:rsidRPr="00D869E3">
        <w:rPr>
          <w:b w:val="0"/>
          <w:u w:val="none"/>
          <w:lang w:val="en-US"/>
        </w:rPr>
        <w:t xml:space="preserve"> which I </w:t>
      </w:r>
      <w:r w:rsidR="00D859A4" w:rsidRPr="00D869E3">
        <w:rPr>
          <w:b w:val="0"/>
          <w:u w:val="none"/>
          <w:lang w:val="en-US"/>
        </w:rPr>
        <w:t xml:space="preserve">differ on its need in this case. I have joined the majority of my colleagues who decided to use the </w:t>
      </w:r>
      <w:r w:rsidR="00D859A4" w:rsidRPr="00D869E3">
        <w:rPr>
          <w:b w:val="0"/>
          <w:i/>
          <w:u w:val="none"/>
          <w:lang w:val="en-US"/>
        </w:rPr>
        <w:t>iuria novit curia</w:t>
      </w:r>
      <w:r w:rsidR="00D859A4" w:rsidRPr="00D869E3">
        <w:rPr>
          <w:b w:val="0"/>
          <w:u w:val="none"/>
          <w:lang w:val="en-US"/>
        </w:rPr>
        <w:t xml:space="preserve"> principle to examine the matter. I decided to </w:t>
      </w:r>
      <w:r w:rsidR="00954C3E" w:rsidRPr="00D869E3">
        <w:rPr>
          <w:b w:val="0"/>
          <w:u w:val="none"/>
          <w:lang w:val="en-US"/>
        </w:rPr>
        <w:t>vote with them</w:t>
      </w:r>
      <w:r w:rsidR="00D859A4" w:rsidRPr="00D869E3">
        <w:rPr>
          <w:b w:val="0"/>
          <w:u w:val="none"/>
          <w:lang w:val="en-US"/>
        </w:rPr>
        <w:t xml:space="preserve"> because</w:t>
      </w:r>
      <w:r w:rsidR="00954C3E" w:rsidRPr="00D869E3">
        <w:rPr>
          <w:b w:val="0"/>
          <w:u w:val="none"/>
          <w:lang w:val="en-US"/>
        </w:rPr>
        <w:t xml:space="preserve"> </w:t>
      </w:r>
      <w:r w:rsidR="00D859A4" w:rsidRPr="00D869E3">
        <w:rPr>
          <w:b w:val="0"/>
          <w:u w:val="none"/>
          <w:lang w:val="en-US"/>
        </w:rPr>
        <w:t xml:space="preserve">I </w:t>
      </w:r>
      <w:r w:rsidR="00954C3E" w:rsidRPr="00D869E3">
        <w:rPr>
          <w:b w:val="0"/>
          <w:u w:val="none"/>
          <w:lang w:val="en-US"/>
        </w:rPr>
        <w:t>accepted</w:t>
      </w:r>
      <w:r w:rsidR="00D859A4" w:rsidRPr="00D869E3">
        <w:rPr>
          <w:b w:val="0"/>
          <w:u w:val="none"/>
          <w:lang w:val="en-US"/>
        </w:rPr>
        <w:t xml:space="preserve"> the argument and considered </w:t>
      </w:r>
      <w:r w:rsidR="00954C3E" w:rsidRPr="00D869E3">
        <w:rPr>
          <w:b w:val="0"/>
          <w:u w:val="none"/>
          <w:lang w:val="en-US"/>
        </w:rPr>
        <w:t>that</w:t>
      </w:r>
      <w:r w:rsidR="00D859A4" w:rsidRPr="00D869E3">
        <w:rPr>
          <w:b w:val="0"/>
          <w:u w:val="none"/>
          <w:lang w:val="en-US"/>
        </w:rPr>
        <w:t xml:space="preserve"> labor rights</w:t>
      </w:r>
      <w:r w:rsidR="00954C3E" w:rsidRPr="00D869E3">
        <w:rPr>
          <w:b w:val="0"/>
          <w:u w:val="none"/>
          <w:lang w:val="en-US"/>
        </w:rPr>
        <w:t xml:space="preserve"> had been violated</w:t>
      </w:r>
      <w:r w:rsidR="00D859A4" w:rsidRPr="00D869E3">
        <w:rPr>
          <w:b w:val="0"/>
          <w:u w:val="none"/>
          <w:lang w:val="en-US"/>
        </w:rPr>
        <w:t xml:space="preserve">, </w:t>
      </w:r>
      <w:r w:rsidR="00954C3E" w:rsidRPr="00D869E3">
        <w:rPr>
          <w:b w:val="0"/>
          <w:u w:val="none"/>
          <w:lang w:val="en-US"/>
        </w:rPr>
        <w:t>and even</w:t>
      </w:r>
      <w:r w:rsidR="00D859A4" w:rsidRPr="00D869E3">
        <w:rPr>
          <w:b w:val="0"/>
          <w:u w:val="none"/>
          <w:lang w:val="en-US"/>
        </w:rPr>
        <w:t xml:space="preserve"> because I </w:t>
      </w:r>
      <w:r w:rsidR="00954C3E" w:rsidRPr="00D869E3">
        <w:rPr>
          <w:b w:val="0"/>
          <w:u w:val="none"/>
          <w:lang w:val="en-US"/>
        </w:rPr>
        <w:t>believe</w:t>
      </w:r>
      <w:r w:rsidR="00D859A4" w:rsidRPr="00D869E3">
        <w:rPr>
          <w:b w:val="0"/>
          <w:u w:val="none"/>
          <w:lang w:val="en-US"/>
        </w:rPr>
        <w:t xml:space="preserve"> that it was not even necessary to apply this principle, In th</w:t>
      </w:r>
      <w:r w:rsidR="00954C3E" w:rsidRPr="00D869E3">
        <w:rPr>
          <w:b w:val="0"/>
          <w:u w:val="none"/>
          <w:lang w:val="en-US"/>
        </w:rPr>
        <w:t>e instant</w:t>
      </w:r>
      <w:r w:rsidR="00D859A4" w:rsidRPr="00D869E3">
        <w:rPr>
          <w:b w:val="0"/>
          <w:u w:val="none"/>
          <w:lang w:val="en-US"/>
        </w:rPr>
        <w:t xml:space="preserve"> case, it was not necessary to apply the principle to examine and declare </w:t>
      </w:r>
      <w:r w:rsidR="00954C3E" w:rsidRPr="00D869E3">
        <w:rPr>
          <w:b w:val="0"/>
          <w:u w:val="none"/>
          <w:lang w:val="en-US"/>
        </w:rPr>
        <w:t xml:space="preserve">that </w:t>
      </w:r>
      <w:r w:rsidR="00D859A4" w:rsidRPr="00D869E3">
        <w:rPr>
          <w:b w:val="0"/>
          <w:u w:val="none"/>
          <w:lang w:val="en-US"/>
        </w:rPr>
        <w:t xml:space="preserve">the right to work </w:t>
      </w:r>
      <w:r w:rsidR="00954C3E" w:rsidRPr="00D869E3">
        <w:rPr>
          <w:b w:val="0"/>
          <w:u w:val="none"/>
          <w:lang w:val="en-US"/>
        </w:rPr>
        <w:t xml:space="preserve">had been </w:t>
      </w:r>
      <w:r w:rsidR="00D859A4" w:rsidRPr="00D869E3">
        <w:rPr>
          <w:b w:val="0"/>
          <w:u w:val="none"/>
          <w:lang w:val="en-US"/>
        </w:rPr>
        <w:t xml:space="preserve">violated, because the victim </w:t>
      </w:r>
      <w:r w:rsidR="00954C3E" w:rsidRPr="00D869E3">
        <w:rPr>
          <w:b w:val="0"/>
          <w:u w:val="none"/>
          <w:lang w:val="en-US"/>
        </w:rPr>
        <w:t xml:space="preserve">himself </w:t>
      </w:r>
      <w:r w:rsidR="00D859A4" w:rsidRPr="00D869E3">
        <w:rPr>
          <w:b w:val="0"/>
          <w:u w:val="none"/>
          <w:lang w:val="en-US"/>
        </w:rPr>
        <w:t xml:space="preserve">had already claimed violation of the right to work and to job security without having indicated the specific article </w:t>
      </w:r>
      <w:r w:rsidR="00447C65" w:rsidRPr="00D869E3">
        <w:rPr>
          <w:b w:val="0"/>
          <w:u w:val="none"/>
          <w:lang w:val="en-US"/>
        </w:rPr>
        <w:t>of the American Convention</w:t>
      </w:r>
      <w:r w:rsidR="00D859A4" w:rsidRPr="00D869E3">
        <w:rPr>
          <w:b w:val="0"/>
          <w:u w:val="none"/>
          <w:lang w:val="en-US"/>
        </w:rPr>
        <w:t xml:space="preserve"> that had been violated.</w:t>
      </w:r>
    </w:p>
    <w:p w14:paraId="47657BEB" w14:textId="281EFC88" w:rsidR="00F83E8F" w:rsidRPr="00D869E3" w:rsidRDefault="00D859A4" w:rsidP="00D859A4">
      <w:pPr>
        <w:pStyle w:val="Style1"/>
        <w:numPr>
          <w:ilvl w:val="0"/>
          <w:numId w:val="0"/>
        </w:numPr>
        <w:spacing w:after="0" w:line="240" w:lineRule="auto"/>
        <w:jc w:val="both"/>
        <w:rPr>
          <w:lang w:val="en-US"/>
        </w:rPr>
      </w:pPr>
      <w:r w:rsidRPr="00D869E3">
        <w:rPr>
          <w:lang w:val="en-US"/>
        </w:rPr>
        <w:t xml:space="preserve"> </w:t>
      </w:r>
    </w:p>
    <w:p w14:paraId="1B4FB98B" w14:textId="1A9A0F22" w:rsidR="00F83E8F" w:rsidRPr="00D869E3" w:rsidRDefault="00D859A4" w:rsidP="000C55DD">
      <w:pPr>
        <w:pStyle w:val="Style1"/>
        <w:numPr>
          <w:ilvl w:val="0"/>
          <w:numId w:val="26"/>
        </w:numPr>
        <w:spacing w:after="0" w:line="240" w:lineRule="auto"/>
        <w:ind w:left="0" w:firstLine="0"/>
        <w:jc w:val="both"/>
        <w:rPr>
          <w:u w:val="none"/>
          <w:lang w:val="en-US"/>
        </w:rPr>
      </w:pPr>
      <w:r w:rsidRPr="00D869E3">
        <w:rPr>
          <w:b w:val="0"/>
          <w:iCs/>
          <w:u w:val="none"/>
          <w:lang w:val="en-US"/>
        </w:rPr>
        <w:t xml:space="preserve">The Latin phrase </w:t>
      </w:r>
      <w:r w:rsidR="006436CA" w:rsidRPr="00D869E3">
        <w:rPr>
          <w:b w:val="0"/>
          <w:i/>
          <w:u w:val="none"/>
          <w:lang w:val="en-US"/>
        </w:rPr>
        <w:t>“</w:t>
      </w:r>
      <w:r w:rsidRPr="00D869E3">
        <w:rPr>
          <w:b w:val="0"/>
          <w:i/>
          <w:u w:val="none"/>
          <w:lang w:val="en-US"/>
        </w:rPr>
        <w:t>i</w:t>
      </w:r>
      <w:r w:rsidR="00F83E8F" w:rsidRPr="00D869E3">
        <w:rPr>
          <w:b w:val="0"/>
          <w:i/>
          <w:u w:val="none"/>
          <w:lang w:val="en-US"/>
        </w:rPr>
        <w:t>ura novit curia</w:t>
      </w:r>
      <w:r w:rsidR="006436CA" w:rsidRPr="00D869E3">
        <w:rPr>
          <w:b w:val="0"/>
          <w:i/>
          <w:u w:val="none"/>
          <w:lang w:val="en-US"/>
        </w:rPr>
        <w:t>”</w:t>
      </w:r>
      <w:r w:rsidR="00F83E8F" w:rsidRPr="00D869E3">
        <w:rPr>
          <w:b w:val="0"/>
          <w:u w:val="none"/>
          <w:lang w:val="en-US"/>
        </w:rPr>
        <w:t xml:space="preserve"> </w:t>
      </w:r>
      <w:r w:rsidRPr="00D869E3">
        <w:rPr>
          <w:b w:val="0"/>
          <w:u w:val="none"/>
          <w:lang w:val="en-US"/>
        </w:rPr>
        <w:t xml:space="preserve">signifies </w:t>
      </w:r>
      <w:r w:rsidR="006436CA" w:rsidRPr="00D869E3">
        <w:rPr>
          <w:b w:val="0"/>
          <w:u w:val="none"/>
          <w:lang w:val="en-US"/>
        </w:rPr>
        <w:t>“</w:t>
      </w:r>
      <w:r w:rsidR="00447C65" w:rsidRPr="00D869E3">
        <w:rPr>
          <w:b w:val="0"/>
          <w:u w:val="none"/>
          <w:lang w:val="en-US"/>
        </w:rPr>
        <w:t>the Court</w:t>
      </w:r>
      <w:r w:rsidR="00F83E8F" w:rsidRPr="00D869E3">
        <w:rPr>
          <w:b w:val="0"/>
          <w:u w:val="none"/>
          <w:lang w:val="en-US"/>
        </w:rPr>
        <w:t xml:space="preserve"> </w:t>
      </w:r>
      <w:r w:rsidRPr="00D869E3">
        <w:rPr>
          <w:b w:val="0"/>
          <w:u w:val="none"/>
          <w:lang w:val="en-US"/>
        </w:rPr>
        <w:t>knows the law.</w:t>
      </w:r>
      <w:r w:rsidR="006436CA" w:rsidRPr="00D869E3">
        <w:rPr>
          <w:b w:val="0"/>
          <w:u w:val="none"/>
          <w:lang w:val="en-US"/>
        </w:rPr>
        <w:t>”</w:t>
      </w:r>
      <w:r w:rsidR="00F83E8F" w:rsidRPr="00D869E3">
        <w:rPr>
          <w:b w:val="0"/>
          <w:u w:val="none"/>
          <w:lang w:val="en-US"/>
        </w:rPr>
        <w:t xml:space="preserve"> </w:t>
      </w:r>
      <w:r w:rsidRPr="00D869E3">
        <w:rPr>
          <w:b w:val="0"/>
          <w:u w:val="none"/>
          <w:lang w:val="en-US"/>
        </w:rPr>
        <w:t xml:space="preserve">In other words, the party who resorts to the courts </w:t>
      </w:r>
      <w:r w:rsidR="00FC25FA" w:rsidRPr="00D869E3">
        <w:rPr>
          <w:b w:val="0"/>
          <w:u w:val="none"/>
          <w:lang w:val="en-US"/>
        </w:rPr>
        <w:t>with a petition</w:t>
      </w:r>
      <w:r w:rsidRPr="00D869E3">
        <w:rPr>
          <w:b w:val="0"/>
          <w:u w:val="none"/>
          <w:lang w:val="en-US"/>
        </w:rPr>
        <w:t xml:space="preserve"> and submits the facts</w:t>
      </w:r>
      <w:r w:rsidR="00FC25FA" w:rsidRPr="00D869E3">
        <w:rPr>
          <w:b w:val="0"/>
          <w:u w:val="none"/>
          <w:lang w:val="en-US"/>
        </w:rPr>
        <w:t xml:space="preserve"> – just </w:t>
      </w:r>
      <w:r w:rsidRPr="00D869E3">
        <w:rPr>
          <w:b w:val="0"/>
          <w:u w:val="none"/>
          <w:lang w:val="en-US"/>
        </w:rPr>
        <w:t>the facts</w:t>
      </w:r>
      <w:r w:rsidR="00FC25FA" w:rsidRPr="00D869E3">
        <w:rPr>
          <w:b w:val="0"/>
          <w:u w:val="none"/>
          <w:lang w:val="en-US"/>
        </w:rPr>
        <w:t xml:space="preserve"> – has </w:t>
      </w:r>
      <w:r w:rsidRPr="00D869E3">
        <w:rPr>
          <w:b w:val="0"/>
          <w:u w:val="none"/>
          <w:lang w:val="en-US"/>
        </w:rPr>
        <w:t>the legitimate expectation that the judge or court will examine the matter and apply the law.</w:t>
      </w:r>
      <w:r w:rsidR="000C55DD" w:rsidRPr="00D869E3">
        <w:rPr>
          <w:u w:val="none"/>
          <w:lang w:val="en-US"/>
        </w:rPr>
        <w:t xml:space="preserve"> </w:t>
      </w:r>
      <w:r w:rsidRPr="00D869E3">
        <w:rPr>
          <w:b w:val="0"/>
          <w:u w:val="none"/>
          <w:lang w:val="en-US"/>
        </w:rPr>
        <w:t xml:space="preserve">It </w:t>
      </w:r>
      <w:r w:rsidR="000C55DD" w:rsidRPr="00D869E3">
        <w:rPr>
          <w:b w:val="0"/>
          <w:u w:val="none"/>
          <w:lang w:val="en-US"/>
        </w:rPr>
        <w:t>follows</w:t>
      </w:r>
      <w:r w:rsidRPr="00D869E3">
        <w:rPr>
          <w:b w:val="0"/>
          <w:u w:val="none"/>
          <w:lang w:val="en-US"/>
        </w:rPr>
        <w:t xml:space="preserve"> the same legal logic as another similar principle </w:t>
      </w:r>
      <w:r w:rsidR="006436CA" w:rsidRPr="00D869E3">
        <w:rPr>
          <w:b w:val="0"/>
          <w:u w:val="none"/>
          <w:lang w:val="en-US"/>
        </w:rPr>
        <w:t>“</w:t>
      </w:r>
      <w:r w:rsidR="00F83E8F" w:rsidRPr="00D869E3">
        <w:rPr>
          <w:b w:val="0"/>
          <w:i/>
          <w:u w:val="none"/>
          <w:lang w:val="en-US"/>
        </w:rPr>
        <w:t>mihi factum, dabo tibi ius</w:t>
      </w:r>
      <w:r w:rsidR="006436CA" w:rsidRPr="00D869E3">
        <w:rPr>
          <w:b w:val="0"/>
          <w:u w:val="none"/>
          <w:lang w:val="en-US"/>
        </w:rPr>
        <w:t>”</w:t>
      </w:r>
      <w:r w:rsidR="00F83E8F" w:rsidRPr="00D869E3">
        <w:rPr>
          <w:b w:val="0"/>
          <w:u w:val="none"/>
          <w:lang w:val="en-US"/>
        </w:rPr>
        <w:t xml:space="preserve"> (</w:t>
      </w:r>
      <w:r w:rsidRPr="00D869E3">
        <w:rPr>
          <w:rStyle w:val="st"/>
          <w:b w:val="0"/>
          <w:bCs/>
          <w:u w:val="none"/>
          <w:lang w:val="en-US"/>
        </w:rPr>
        <w:t xml:space="preserve">give me </w:t>
      </w:r>
      <w:r w:rsidRPr="00D869E3">
        <w:rPr>
          <w:rStyle w:val="st"/>
          <w:b w:val="0"/>
          <w:bCs/>
          <w:u w:val="none"/>
          <w:lang w:val="en-US"/>
        </w:rPr>
        <w:lastRenderedPageBreak/>
        <w:t>the facts, I will give you law</w:t>
      </w:r>
      <w:r w:rsidR="00F83E8F" w:rsidRPr="00D869E3">
        <w:rPr>
          <w:b w:val="0"/>
          <w:u w:val="none"/>
          <w:lang w:val="en-US"/>
        </w:rPr>
        <w:t xml:space="preserve">). </w:t>
      </w:r>
      <w:r w:rsidRPr="00D869E3">
        <w:rPr>
          <w:b w:val="0"/>
          <w:u w:val="none"/>
          <w:lang w:val="en-US"/>
        </w:rPr>
        <w:t>These princ</w:t>
      </w:r>
      <w:r w:rsidR="000C55DD" w:rsidRPr="00D869E3">
        <w:rPr>
          <w:b w:val="0"/>
          <w:u w:val="none"/>
          <w:lang w:val="en-US"/>
        </w:rPr>
        <w:t>ip</w:t>
      </w:r>
      <w:r w:rsidRPr="00D869E3">
        <w:rPr>
          <w:b w:val="0"/>
          <w:u w:val="none"/>
          <w:lang w:val="en-US"/>
        </w:rPr>
        <w:t xml:space="preserve">les are coherent with the broad judicial protection that </w:t>
      </w:r>
      <w:r w:rsidR="00FC25FA" w:rsidRPr="00D869E3">
        <w:rPr>
          <w:b w:val="0"/>
          <w:u w:val="none"/>
          <w:lang w:val="en-US"/>
        </w:rPr>
        <w:t xml:space="preserve">is </w:t>
      </w:r>
      <w:r w:rsidRPr="00D869E3">
        <w:rPr>
          <w:b w:val="0"/>
          <w:u w:val="none"/>
          <w:lang w:val="en-US"/>
        </w:rPr>
        <w:t>especially valid and applicable by a human rights court</w:t>
      </w:r>
      <w:r w:rsidR="00F83E8F" w:rsidRPr="00D869E3">
        <w:rPr>
          <w:b w:val="0"/>
          <w:u w:val="none"/>
          <w:lang w:val="en-US"/>
        </w:rPr>
        <w:t>.</w:t>
      </w:r>
    </w:p>
    <w:p w14:paraId="5C8DD4CC" w14:textId="77777777" w:rsidR="00F83E8F" w:rsidRPr="00D869E3" w:rsidRDefault="00F83E8F" w:rsidP="00F83E8F">
      <w:pPr>
        <w:rPr>
          <w:rFonts w:ascii="Verdana" w:hAnsi="Verdana"/>
          <w:szCs w:val="20"/>
          <w:lang w:val="en-US"/>
        </w:rPr>
      </w:pPr>
    </w:p>
    <w:p w14:paraId="48298501" w14:textId="7CDAB4C8" w:rsidR="00F83E8F" w:rsidRPr="00D869E3" w:rsidRDefault="00F83E8F" w:rsidP="00F83E8F">
      <w:pPr>
        <w:pStyle w:val="Style1"/>
        <w:numPr>
          <w:ilvl w:val="0"/>
          <w:numId w:val="0"/>
        </w:numPr>
        <w:spacing w:after="0" w:line="240" w:lineRule="auto"/>
        <w:jc w:val="both"/>
        <w:rPr>
          <w:b w:val="0"/>
          <w:u w:val="none"/>
          <w:lang w:val="en-US"/>
        </w:rPr>
      </w:pPr>
      <w:r w:rsidRPr="00D869E3">
        <w:rPr>
          <w:b w:val="0"/>
          <w:u w:val="none"/>
          <w:lang w:val="en-US"/>
        </w:rPr>
        <w:t>11.</w:t>
      </w:r>
      <w:r w:rsidRPr="00D869E3">
        <w:rPr>
          <w:b w:val="0"/>
          <w:u w:val="none"/>
          <w:lang w:val="en-US"/>
        </w:rPr>
        <w:tab/>
      </w:r>
      <w:r w:rsidR="000C55DD" w:rsidRPr="00D869E3">
        <w:rPr>
          <w:b w:val="0"/>
          <w:u w:val="none"/>
          <w:lang w:val="en-US"/>
        </w:rPr>
        <w:t>In other words, in certain circumstances, the Court must accept that the facts are sufficient to form the basis for a claim without the interested party expressly alleg</w:t>
      </w:r>
      <w:r w:rsidR="00FC25FA" w:rsidRPr="00D869E3">
        <w:rPr>
          <w:b w:val="0"/>
          <w:u w:val="none"/>
          <w:lang w:val="en-US"/>
        </w:rPr>
        <w:t>ing</w:t>
      </w:r>
      <w:r w:rsidR="000C55DD" w:rsidRPr="00D869E3">
        <w:rPr>
          <w:b w:val="0"/>
          <w:u w:val="none"/>
          <w:lang w:val="en-US"/>
        </w:rPr>
        <w:t xml:space="preserve"> </w:t>
      </w:r>
      <w:r w:rsidR="007013E2" w:rsidRPr="00D869E3">
        <w:rPr>
          <w:b w:val="0"/>
          <w:u w:val="none"/>
          <w:lang w:val="en-US"/>
        </w:rPr>
        <w:t>the violation</w:t>
      </w:r>
      <w:r w:rsidRPr="00D869E3">
        <w:rPr>
          <w:b w:val="0"/>
          <w:u w:val="none"/>
          <w:lang w:val="en-US"/>
        </w:rPr>
        <w:t xml:space="preserve"> </w:t>
      </w:r>
      <w:r w:rsidR="000C55DD" w:rsidRPr="00D869E3">
        <w:rPr>
          <w:b w:val="0"/>
          <w:u w:val="none"/>
          <w:lang w:val="en-US"/>
        </w:rPr>
        <w:t>of a specific a</w:t>
      </w:r>
      <w:r w:rsidR="00447C65" w:rsidRPr="00D869E3">
        <w:rPr>
          <w:b w:val="0"/>
          <w:u w:val="none"/>
          <w:lang w:val="en-US"/>
        </w:rPr>
        <w:t>rticle</w:t>
      </w:r>
      <w:r w:rsidRPr="00D869E3">
        <w:rPr>
          <w:b w:val="0"/>
          <w:u w:val="none"/>
          <w:lang w:val="en-US"/>
        </w:rPr>
        <w:t xml:space="preserve"> </w:t>
      </w:r>
      <w:r w:rsidR="000C55DD" w:rsidRPr="00D869E3">
        <w:rPr>
          <w:b w:val="0"/>
          <w:u w:val="none"/>
          <w:lang w:val="en-US"/>
        </w:rPr>
        <w:t>or provision of the law</w:t>
      </w:r>
      <w:r w:rsidRPr="00D869E3">
        <w:rPr>
          <w:b w:val="0"/>
          <w:u w:val="none"/>
          <w:lang w:val="en-US"/>
        </w:rPr>
        <w:t xml:space="preserve">. </w:t>
      </w:r>
      <w:r w:rsidR="00FC25FA" w:rsidRPr="00D869E3">
        <w:rPr>
          <w:b w:val="0"/>
          <w:u w:val="none"/>
          <w:lang w:val="en-US"/>
        </w:rPr>
        <w:t>And especially</w:t>
      </w:r>
      <w:r w:rsidR="000C55DD" w:rsidRPr="00D869E3">
        <w:rPr>
          <w:b w:val="0"/>
          <w:u w:val="none"/>
          <w:lang w:val="en-US"/>
        </w:rPr>
        <w:t xml:space="preserve"> when the other party (in this case, the State) has had the opportunity to </w:t>
      </w:r>
      <w:r w:rsidR="00FC25FA" w:rsidRPr="00D869E3">
        <w:rPr>
          <w:b w:val="0"/>
          <w:u w:val="none"/>
          <w:lang w:val="en-US"/>
        </w:rPr>
        <w:t>contest</w:t>
      </w:r>
      <w:r w:rsidR="000C55DD" w:rsidRPr="00D869E3">
        <w:rPr>
          <w:b w:val="0"/>
          <w:u w:val="none"/>
          <w:lang w:val="en-US"/>
        </w:rPr>
        <w:t xml:space="preserve"> or to </w:t>
      </w:r>
      <w:r w:rsidR="00FC25FA" w:rsidRPr="00D869E3">
        <w:rPr>
          <w:b w:val="0"/>
          <w:u w:val="none"/>
          <w:lang w:val="en-US"/>
        </w:rPr>
        <w:t>respond to</w:t>
      </w:r>
      <w:r w:rsidR="000C55DD" w:rsidRPr="00D869E3">
        <w:rPr>
          <w:b w:val="0"/>
          <w:u w:val="none"/>
          <w:lang w:val="en-US"/>
        </w:rPr>
        <w:t xml:space="preserve"> the allegation, respecting the adversarial principle. </w:t>
      </w:r>
      <w:r w:rsidRPr="00D869E3">
        <w:rPr>
          <w:b w:val="0"/>
          <w:u w:val="none"/>
          <w:lang w:val="en-US"/>
        </w:rPr>
        <w:t xml:space="preserve"> </w:t>
      </w:r>
    </w:p>
    <w:p w14:paraId="7BE04A9B" w14:textId="77777777" w:rsidR="00F83E8F" w:rsidRPr="00D869E3" w:rsidRDefault="00F83E8F" w:rsidP="00F83E8F">
      <w:pPr>
        <w:pStyle w:val="Style1"/>
        <w:numPr>
          <w:ilvl w:val="0"/>
          <w:numId w:val="0"/>
        </w:numPr>
        <w:spacing w:after="0" w:line="240" w:lineRule="auto"/>
        <w:jc w:val="both"/>
        <w:rPr>
          <w:lang w:val="en-US"/>
        </w:rPr>
      </w:pPr>
    </w:p>
    <w:p w14:paraId="669B14F1" w14:textId="4C5BC2A5" w:rsidR="00F83E8F" w:rsidRPr="00D869E3" w:rsidRDefault="000C55DD" w:rsidP="00F83E8F">
      <w:pPr>
        <w:pStyle w:val="Style1"/>
        <w:numPr>
          <w:ilvl w:val="0"/>
          <w:numId w:val="27"/>
        </w:numPr>
        <w:spacing w:after="0" w:line="240" w:lineRule="auto"/>
        <w:ind w:left="0" w:firstLine="0"/>
        <w:jc w:val="both"/>
        <w:rPr>
          <w:lang w:val="en-US"/>
        </w:rPr>
      </w:pPr>
      <w:r w:rsidRPr="00D869E3">
        <w:rPr>
          <w:b w:val="0"/>
          <w:u w:val="none"/>
          <w:lang w:val="en-US"/>
        </w:rPr>
        <w:t>As mentioned in</w:t>
      </w:r>
      <w:r w:rsidR="00F83E8F" w:rsidRPr="00D869E3">
        <w:rPr>
          <w:b w:val="0"/>
          <w:u w:val="none"/>
          <w:lang w:val="en-US"/>
        </w:rPr>
        <w:t xml:space="preserve"> </w:t>
      </w:r>
      <w:r w:rsidR="00180CED" w:rsidRPr="00D869E3">
        <w:rPr>
          <w:b w:val="0"/>
          <w:u w:val="none"/>
          <w:lang w:val="en-US"/>
        </w:rPr>
        <w:t>paragraph</w:t>
      </w:r>
      <w:r w:rsidR="00F83E8F" w:rsidRPr="00D869E3">
        <w:rPr>
          <w:b w:val="0"/>
          <w:u w:val="none"/>
          <w:lang w:val="en-US"/>
        </w:rPr>
        <w:t xml:space="preserve"> 133 </w:t>
      </w:r>
      <w:r w:rsidRPr="00D869E3">
        <w:rPr>
          <w:b w:val="0"/>
          <w:u w:val="none"/>
          <w:lang w:val="en-US"/>
        </w:rPr>
        <w:t>of the judgment</w:t>
      </w:r>
      <w:r w:rsidR="00F83E8F" w:rsidRPr="00D869E3">
        <w:rPr>
          <w:b w:val="0"/>
          <w:u w:val="none"/>
          <w:lang w:val="en-US"/>
        </w:rPr>
        <w:t xml:space="preserve">, </w:t>
      </w:r>
      <w:r w:rsidR="00447C65" w:rsidRPr="00D869E3">
        <w:rPr>
          <w:b w:val="0"/>
          <w:u w:val="none"/>
          <w:lang w:val="en-US"/>
        </w:rPr>
        <w:t>the Court</w:t>
      </w:r>
      <w:r w:rsidR="00F83E8F" w:rsidRPr="00D869E3">
        <w:rPr>
          <w:b w:val="0"/>
          <w:u w:val="none"/>
          <w:lang w:val="en-US"/>
        </w:rPr>
        <w:t xml:space="preserve"> </w:t>
      </w:r>
      <w:r w:rsidR="00FC25FA" w:rsidRPr="00D869E3">
        <w:rPr>
          <w:b w:val="0"/>
          <w:u w:val="none"/>
          <w:lang w:val="en-US"/>
        </w:rPr>
        <w:t>noted</w:t>
      </w:r>
      <w:r w:rsidRPr="00D869E3">
        <w:rPr>
          <w:b w:val="0"/>
          <w:u w:val="none"/>
          <w:lang w:val="en-US"/>
        </w:rPr>
        <w:t xml:space="preserve"> that, in this case, neither </w:t>
      </w:r>
      <w:r w:rsidR="00FC25FA" w:rsidRPr="00D869E3">
        <w:rPr>
          <w:b w:val="0"/>
          <w:u w:val="none"/>
          <w:lang w:val="en-US"/>
        </w:rPr>
        <w:t>the representatives nor the Commission</w:t>
      </w:r>
      <w:r w:rsidRPr="00D869E3">
        <w:rPr>
          <w:b w:val="0"/>
          <w:u w:val="none"/>
          <w:lang w:val="en-US"/>
        </w:rPr>
        <w:t xml:space="preserve"> expressly mentioned </w:t>
      </w:r>
      <w:r w:rsidR="007013E2" w:rsidRPr="00D869E3">
        <w:rPr>
          <w:b w:val="0"/>
          <w:u w:val="none"/>
          <w:lang w:val="en-US"/>
        </w:rPr>
        <w:t>the violation</w:t>
      </w:r>
      <w:r w:rsidR="00F83E8F" w:rsidRPr="00D869E3">
        <w:rPr>
          <w:b w:val="0"/>
          <w:u w:val="none"/>
          <w:lang w:val="en-US"/>
        </w:rPr>
        <w:t xml:space="preserve"> </w:t>
      </w:r>
      <w:r w:rsidRPr="00D869E3">
        <w:rPr>
          <w:b w:val="0"/>
          <w:u w:val="none"/>
          <w:lang w:val="en-US"/>
        </w:rPr>
        <w:t xml:space="preserve">of labor rights </w:t>
      </w:r>
      <w:r w:rsidR="00BB61A6" w:rsidRPr="00D869E3">
        <w:rPr>
          <w:b w:val="0"/>
          <w:u w:val="none"/>
          <w:lang w:val="en-US"/>
        </w:rPr>
        <w:t>in relation to</w:t>
      </w:r>
      <w:r w:rsidR="00F83E8F" w:rsidRPr="00D869E3">
        <w:rPr>
          <w:b w:val="0"/>
          <w:u w:val="none"/>
          <w:lang w:val="en-US"/>
        </w:rPr>
        <w:t xml:space="preserve"> </w:t>
      </w:r>
      <w:r w:rsidRPr="00D869E3">
        <w:rPr>
          <w:b w:val="0"/>
          <w:u w:val="none"/>
          <w:lang w:val="en-US"/>
        </w:rPr>
        <w:t>a</w:t>
      </w:r>
      <w:r w:rsidR="00447C65" w:rsidRPr="00D869E3">
        <w:rPr>
          <w:b w:val="0"/>
          <w:u w:val="none"/>
          <w:lang w:val="en-US"/>
        </w:rPr>
        <w:t>rticles of the Convention</w:t>
      </w:r>
      <w:r w:rsidR="00F83E8F" w:rsidRPr="00D869E3">
        <w:rPr>
          <w:b w:val="0"/>
          <w:u w:val="none"/>
          <w:lang w:val="en-US"/>
        </w:rPr>
        <w:t xml:space="preserve">. </w:t>
      </w:r>
      <w:r w:rsidRPr="00D869E3">
        <w:rPr>
          <w:b w:val="0"/>
          <w:u w:val="none"/>
          <w:lang w:val="en-US"/>
        </w:rPr>
        <w:t>However, it emphasized that the victim had repeatedly alleged before the domestic courts</w:t>
      </w:r>
      <w:r w:rsidR="00687684" w:rsidRPr="00D869E3">
        <w:rPr>
          <w:b w:val="0"/>
          <w:u w:val="none"/>
          <w:lang w:val="en-US"/>
        </w:rPr>
        <w:t xml:space="preserve"> and</w:t>
      </w:r>
      <w:r w:rsidR="00966115" w:rsidRPr="00D869E3">
        <w:rPr>
          <w:b w:val="0"/>
          <w:u w:val="none"/>
          <w:lang w:val="en-US"/>
        </w:rPr>
        <w:t xml:space="preserve"> before the</w:t>
      </w:r>
      <w:r w:rsidR="00447C65" w:rsidRPr="00D869E3">
        <w:rPr>
          <w:b w:val="0"/>
          <w:u w:val="none"/>
          <w:lang w:val="en-US"/>
        </w:rPr>
        <w:t xml:space="preserve"> Inter-American Commission on Human Rights</w:t>
      </w:r>
      <w:r w:rsidR="00F83E8F" w:rsidRPr="00D869E3">
        <w:rPr>
          <w:b w:val="0"/>
          <w:u w:val="none"/>
          <w:lang w:val="en-US"/>
        </w:rPr>
        <w:t xml:space="preserve"> (</w:t>
      </w:r>
      <w:r w:rsidR="00447C65" w:rsidRPr="00D869E3">
        <w:rPr>
          <w:b w:val="0"/>
          <w:u w:val="none"/>
          <w:lang w:val="en-US"/>
        </w:rPr>
        <w:t>hereinafter</w:t>
      </w:r>
      <w:r w:rsidR="00F83E8F" w:rsidRPr="00D869E3">
        <w:rPr>
          <w:b w:val="0"/>
          <w:u w:val="none"/>
          <w:lang w:val="en-US"/>
        </w:rPr>
        <w:t xml:space="preserve"> </w:t>
      </w:r>
      <w:r w:rsidR="006436CA" w:rsidRPr="00D869E3">
        <w:rPr>
          <w:b w:val="0"/>
          <w:u w:val="none"/>
          <w:lang w:val="en-US"/>
        </w:rPr>
        <w:t>“</w:t>
      </w:r>
      <w:r w:rsidRPr="00D869E3">
        <w:rPr>
          <w:b w:val="0"/>
          <w:u w:val="none"/>
          <w:lang w:val="en-US"/>
        </w:rPr>
        <w:t>the Commission</w:t>
      </w:r>
      <w:r w:rsidR="006436CA" w:rsidRPr="00D869E3">
        <w:rPr>
          <w:b w:val="0"/>
          <w:u w:val="none"/>
          <w:lang w:val="en-US"/>
        </w:rPr>
        <w:t>”</w:t>
      </w:r>
      <w:r w:rsidR="00F83E8F" w:rsidRPr="00D869E3">
        <w:rPr>
          <w:b w:val="0"/>
          <w:u w:val="none"/>
          <w:lang w:val="en-US"/>
        </w:rPr>
        <w:t xml:space="preserve"> o</w:t>
      </w:r>
      <w:r w:rsidRPr="00D869E3">
        <w:rPr>
          <w:b w:val="0"/>
          <w:u w:val="none"/>
          <w:lang w:val="en-US"/>
        </w:rPr>
        <w:t>r</w:t>
      </w:r>
      <w:r w:rsidR="00F83E8F" w:rsidRPr="00D869E3">
        <w:rPr>
          <w:b w:val="0"/>
          <w:u w:val="none"/>
          <w:lang w:val="en-US"/>
        </w:rPr>
        <w:t xml:space="preserve"> </w:t>
      </w:r>
      <w:r w:rsidR="006436CA" w:rsidRPr="00D869E3">
        <w:rPr>
          <w:b w:val="0"/>
          <w:u w:val="none"/>
          <w:lang w:val="en-US"/>
        </w:rPr>
        <w:t>“</w:t>
      </w:r>
      <w:r w:rsidRPr="00D869E3">
        <w:rPr>
          <w:b w:val="0"/>
          <w:u w:val="none"/>
          <w:lang w:val="en-US"/>
        </w:rPr>
        <w:t>the IACHR</w:t>
      </w:r>
      <w:r w:rsidR="006436CA" w:rsidRPr="00D869E3">
        <w:rPr>
          <w:b w:val="0"/>
          <w:u w:val="none"/>
          <w:lang w:val="en-US"/>
        </w:rPr>
        <w:t>”</w:t>
      </w:r>
      <w:r w:rsidR="00F83E8F" w:rsidRPr="00D869E3">
        <w:rPr>
          <w:b w:val="0"/>
          <w:u w:val="none"/>
          <w:lang w:val="en-US"/>
        </w:rPr>
        <w:t xml:space="preserve">) </w:t>
      </w:r>
      <w:r w:rsidR="007013E2" w:rsidRPr="00D869E3">
        <w:rPr>
          <w:b w:val="0"/>
          <w:u w:val="none"/>
          <w:lang w:val="en-US"/>
        </w:rPr>
        <w:t>the violation</w:t>
      </w:r>
      <w:r w:rsidR="00F83E8F" w:rsidRPr="00D869E3">
        <w:rPr>
          <w:b w:val="0"/>
          <w:u w:val="none"/>
          <w:lang w:val="en-US"/>
        </w:rPr>
        <w:t xml:space="preserve"> </w:t>
      </w:r>
      <w:r w:rsidRPr="00D869E3">
        <w:rPr>
          <w:b w:val="0"/>
          <w:u w:val="none"/>
          <w:lang w:val="en-US"/>
        </w:rPr>
        <w:t>of his labor rights, particularly to job security, as well as the consequences of the dismissal.</w:t>
      </w:r>
    </w:p>
    <w:p w14:paraId="667F4C52" w14:textId="77777777" w:rsidR="00F83E8F" w:rsidRPr="00D869E3" w:rsidRDefault="00F83E8F" w:rsidP="00F83E8F">
      <w:pPr>
        <w:rPr>
          <w:rFonts w:ascii="Verdana" w:hAnsi="Verdana"/>
          <w:szCs w:val="20"/>
          <w:lang w:val="en-US"/>
        </w:rPr>
      </w:pPr>
    </w:p>
    <w:p w14:paraId="3C9FDFC6" w14:textId="4B0382E9" w:rsidR="00F83E8F" w:rsidRPr="00D869E3" w:rsidRDefault="00075E68" w:rsidP="000C55DD">
      <w:pPr>
        <w:pStyle w:val="Style1"/>
        <w:numPr>
          <w:ilvl w:val="0"/>
          <w:numId w:val="27"/>
        </w:numPr>
        <w:spacing w:after="0" w:line="240" w:lineRule="auto"/>
        <w:ind w:left="0" w:firstLine="0"/>
        <w:jc w:val="both"/>
        <w:rPr>
          <w:lang w:val="en-US"/>
        </w:rPr>
      </w:pPr>
      <w:r w:rsidRPr="00D869E3">
        <w:rPr>
          <w:b w:val="0"/>
          <w:u w:val="none"/>
          <w:lang w:val="en-US"/>
        </w:rPr>
        <w:t>In this regard</w:t>
      </w:r>
      <w:r w:rsidR="00F83E8F" w:rsidRPr="00D869E3">
        <w:rPr>
          <w:b w:val="0"/>
          <w:u w:val="none"/>
          <w:lang w:val="en-US"/>
        </w:rPr>
        <w:t xml:space="preserve">, </w:t>
      </w:r>
      <w:r w:rsidR="000C55DD" w:rsidRPr="00D869E3">
        <w:rPr>
          <w:b w:val="0"/>
          <w:u w:val="none"/>
          <w:lang w:val="en-US"/>
        </w:rPr>
        <w:t xml:space="preserve">the victim mentioned the violation of his right to work and to job security in at least seven briefs in the domestic jurisdiction. </w:t>
      </w:r>
      <w:r w:rsidR="00FC25FA" w:rsidRPr="00D869E3">
        <w:rPr>
          <w:b w:val="0"/>
          <w:u w:val="none"/>
          <w:lang w:val="en-US"/>
        </w:rPr>
        <w:t>Also, o</w:t>
      </w:r>
      <w:r w:rsidR="000C55DD" w:rsidRPr="00D869E3">
        <w:rPr>
          <w:b w:val="0"/>
          <w:u w:val="none"/>
          <w:lang w:val="en-US"/>
        </w:rPr>
        <w:t>n nine different occasions, the briefs submitted to the Commission mention the violation of his rights as a worker</w:t>
      </w:r>
      <w:r w:rsidR="00F83E8F" w:rsidRPr="00D869E3">
        <w:rPr>
          <w:b w:val="0"/>
          <w:u w:val="none"/>
          <w:lang w:val="en-US"/>
        </w:rPr>
        <w:t xml:space="preserve"> (p</w:t>
      </w:r>
      <w:r w:rsidR="000C55DD" w:rsidRPr="00D869E3">
        <w:rPr>
          <w:b w:val="0"/>
          <w:u w:val="none"/>
          <w:lang w:val="en-US"/>
        </w:rPr>
        <w:t>aras.</w:t>
      </w:r>
      <w:r w:rsidR="00F83E8F" w:rsidRPr="00D869E3">
        <w:rPr>
          <w:b w:val="0"/>
          <w:u w:val="none"/>
          <w:lang w:val="en-US"/>
        </w:rPr>
        <w:t xml:space="preserve"> 133 </w:t>
      </w:r>
      <w:r w:rsidR="000C55DD" w:rsidRPr="00D869E3">
        <w:rPr>
          <w:b w:val="0"/>
          <w:u w:val="none"/>
          <w:lang w:val="en-US"/>
        </w:rPr>
        <w:t>to</w:t>
      </w:r>
      <w:r w:rsidR="00F83E8F" w:rsidRPr="00D869E3">
        <w:rPr>
          <w:b w:val="0"/>
          <w:u w:val="none"/>
          <w:lang w:val="en-US"/>
        </w:rPr>
        <w:t xml:space="preserve"> 135 </w:t>
      </w:r>
      <w:r w:rsidR="000C55DD" w:rsidRPr="00D869E3">
        <w:rPr>
          <w:b w:val="0"/>
          <w:u w:val="none"/>
          <w:lang w:val="en-US"/>
        </w:rPr>
        <w:t>of the judgment</w:t>
      </w:r>
      <w:r w:rsidR="00F83E8F" w:rsidRPr="00D869E3">
        <w:rPr>
          <w:b w:val="0"/>
          <w:u w:val="none"/>
          <w:lang w:val="en-US"/>
        </w:rPr>
        <w:t xml:space="preserve">). </w:t>
      </w:r>
      <w:r w:rsidR="000C55DD" w:rsidRPr="00D869E3">
        <w:rPr>
          <w:b w:val="0"/>
          <w:u w:val="none"/>
          <w:lang w:val="en-US"/>
        </w:rPr>
        <w:t>Consequently</w:t>
      </w:r>
      <w:r w:rsidR="00F83E8F" w:rsidRPr="00D869E3">
        <w:rPr>
          <w:b w:val="0"/>
          <w:u w:val="none"/>
          <w:lang w:val="en-US"/>
        </w:rPr>
        <w:t xml:space="preserve">, </w:t>
      </w:r>
      <w:r w:rsidR="00447C65" w:rsidRPr="00D869E3">
        <w:rPr>
          <w:b w:val="0"/>
          <w:u w:val="none"/>
          <w:lang w:val="en-US"/>
        </w:rPr>
        <w:t>the Court</w:t>
      </w:r>
      <w:r w:rsidR="00F83E8F" w:rsidRPr="00D869E3">
        <w:rPr>
          <w:b w:val="0"/>
          <w:u w:val="none"/>
          <w:lang w:val="en-US"/>
        </w:rPr>
        <w:t xml:space="preserve"> consider</w:t>
      </w:r>
      <w:r w:rsidR="000C55DD" w:rsidRPr="00D869E3">
        <w:rPr>
          <w:b w:val="0"/>
          <w:u w:val="none"/>
          <w:lang w:val="en-US"/>
        </w:rPr>
        <w:t xml:space="preserve">ed that the facts </w:t>
      </w:r>
      <w:r w:rsidR="00FC25FA" w:rsidRPr="00D869E3">
        <w:rPr>
          <w:b w:val="0"/>
          <w:u w:val="none"/>
          <w:lang w:val="en-US"/>
        </w:rPr>
        <w:t>surrounding</w:t>
      </w:r>
      <w:r w:rsidR="000C55DD" w:rsidRPr="00D869E3">
        <w:rPr>
          <w:b w:val="0"/>
          <w:u w:val="none"/>
          <w:lang w:val="en-US"/>
        </w:rPr>
        <w:t xml:space="preserve"> the dismissal had always been </w:t>
      </w:r>
      <w:r w:rsidR="009A1856" w:rsidRPr="00D869E3">
        <w:rPr>
          <w:b w:val="0"/>
          <w:u w:val="none"/>
          <w:lang w:val="en-US"/>
        </w:rPr>
        <w:t xml:space="preserve">indicated before the Peruvian courts </w:t>
      </w:r>
      <w:r w:rsidR="00687684" w:rsidRPr="00D869E3">
        <w:rPr>
          <w:b w:val="0"/>
          <w:u w:val="none"/>
          <w:lang w:val="en-US"/>
        </w:rPr>
        <w:t>and</w:t>
      </w:r>
      <w:r w:rsidR="00966115" w:rsidRPr="00D869E3">
        <w:rPr>
          <w:b w:val="0"/>
          <w:u w:val="none"/>
          <w:lang w:val="en-US"/>
        </w:rPr>
        <w:t xml:space="preserve"> before the</w:t>
      </w:r>
      <w:r w:rsidR="00EE0BD4" w:rsidRPr="00D869E3">
        <w:rPr>
          <w:b w:val="0"/>
          <w:u w:val="none"/>
          <w:lang w:val="en-US"/>
        </w:rPr>
        <w:t xml:space="preserve"> IACHR</w:t>
      </w:r>
      <w:r w:rsidR="00F83E8F" w:rsidRPr="00D869E3">
        <w:rPr>
          <w:b w:val="0"/>
          <w:u w:val="none"/>
          <w:lang w:val="en-US"/>
        </w:rPr>
        <w:t xml:space="preserve"> (</w:t>
      </w:r>
      <w:r w:rsidR="0087339F" w:rsidRPr="00D869E3">
        <w:rPr>
          <w:b w:val="0"/>
          <w:u w:val="none"/>
          <w:lang w:val="en-US"/>
        </w:rPr>
        <w:t>para.</w:t>
      </w:r>
      <w:r w:rsidR="00F83E8F" w:rsidRPr="00D869E3">
        <w:rPr>
          <w:b w:val="0"/>
          <w:u w:val="none"/>
          <w:lang w:val="en-US"/>
        </w:rPr>
        <w:t xml:space="preserve"> 137 </w:t>
      </w:r>
      <w:r w:rsidR="000C55DD" w:rsidRPr="00D869E3">
        <w:rPr>
          <w:b w:val="0"/>
          <w:u w:val="none"/>
          <w:lang w:val="en-US"/>
        </w:rPr>
        <w:t>of the judgment</w:t>
      </w:r>
      <w:r w:rsidR="00F83E8F" w:rsidRPr="00D869E3">
        <w:rPr>
          <w:b w:val="0"/>
          <w:u w:val="none"/>
          <w:lang w:val="en-US"/>
        </w:rPr>
        <w:t>).</w:t>
      </w:r>
    </w:p>
    <w:p w14:paraId="5C587DAE" w14:textId="77777777" w:rsidR="00F83E8F" w:rsidRPr="00D869E3" w:rsidRDefault="00F83E8F" w:rsidP="00F83E8F">
      <w:pPr>
        <w:rPr>
          <w:rFonts w:ascii="Verdana" w:hAnsi="Verdana"/>
          <w:szCs w:val="20"/>
          <w:lang w:val="en-US"/>
        </w:rPr>
      </w:pPr>
    </w:p>
    <w:p w14:paraId="7F584F25" w14:textId="2C6DAAF3" w:rsidR="009A1856" w:rsidRPr="00D869E3" w:rsidRDefault="00447C65" w:rsidP="00F83E8F">
      <w:pPr>
        <w:pStyle w:val="Style1"/>
        <w:numPr>
          <w:ilvl w:val="0"/>
          <w:numId w:val="27"/>
        </w:numPr>
        <w:spacing w:after="0" w:line="240" w:lineRule="auto"/>
        <w:ind w:left="0" w:firstLine="0"/>
        <w:jc w:val="both"/>
        <w:rPr>
          <w:b w:val="0"/>
          <w:u w:val="none"/>
          <w:lang w:val="en-US"/>
        </w:rPr>
      </w:pPr>
      <w:r w:rsidRPr="00D869E3">
        <w:rPr>
          <w:b w:val="0"/>
          <w:u w:val="none"/>
          <w:lang w:val="en-US"/>
        </w:rPr>
        <w:t>The Court</w:t>
      </w:r>
      <w:r w:rsidR="00F83E8F" w:rsidRPr="00D869E3">
        <w:rPr>
          <w:b w:val="0"/>
          <w:u w:val="none"/>
          <w:lang w:val="en-US"/>
        </w:rPr>
        <w:t xml:space="preserve"> decid</w:t>
      </w:r>
      <w:r w:rsidR="009A1856" w:rsidRPr="00D869E3">
        <w:rPr>
          <w:b w:val="0"/>
          <w:u w:val="none"/>
          <w:lang w:val="en-US"/>
        </w:rPr>
        <w:t>ed that it should cite the</w:t>
      </w:r>
      <w:r w:rsidR="00F83E8F" w:rsidRPr="00D869E3">
        <w:rPr>
          <w:b w:val="0"/>
          <w:u w:val="none"/>
          <w:lang w:val="en-US"/>
        </w:rPr>
        <w:t xml:space="preserve"> </w:t>
      </w:r>
      <w:r w:rsidR="00F83E8F" w:rsidRPr="00D869E3">
        <w:rPr>
          <w:b w:val="0"/>
          <w:i/>
          <w:iCs/>
          <w:u w:val="none"/>
          <w:lang w:val="en-US"/>
        </w:rPr>
        <w:t>iura novit curia</w:t>
      </w:r>
      <w:r w:rsidR="009A1856" w:rsidRPr="00D869E3">
        <w:rPr>
          <w:b w:val="0"/>
          <w:u w:val="none"/>
          <w:lang w:val="en-US"/>
        </w:rPr>
        <w:t xml:space="preserve"> principle</w:t>
      </w:r>
      <w:r w:rsidR="00F83E8F" w:rsidRPr="00D869E3">
        <w:rPr>
          <w:b w:val="0"/>
          <w:u w:val="none"/>
          <w:lang w:val="en-US"/>
        </w:rPr>
        <w:t xml:space="preserve"> </w:t>
      </w:r>
      <w:r w:rsidR="009A1856" w:rsidRPr="00D869E3">
        <w:rPr>
          <w:b w:val="0"/>
          <w:u w:val="none"/>
          <w:lang w:val="en-US"/>
        </w:rPr>
        <w:t xml:space="preserve">in order to rule on </w:t>
      </w:r>
      <w:r w:rsidR="007013E2" w:rsidRPr="00D869E3">
        <w:rPr>
          <w:b w:val="0"/>
          <w:u w:val="none"/>
          <w:lang w:val="en-US"/>
        </w:rPr>
        <w:t>the violation</w:t>
      </w:r>
      <w:r w:rsidR="00A157F5" w:rsidRPr="00D869E3">
        <w:rPr>
          <w:b w:val="0"/>
          <w:u w:val="none"/>
          <w:lang w:val="en-US"/>
        </w:rPr>
        <w:t xml:space="preserve"> of the </w:t>
      </w:r>
      <w:r w:rsidR="000B2E5E" w:rsidRPr="00D869E3">
        <w:rPr>
          <w:b w:val="0"/>
          <w:u w:val="none"/>
          <w:lang w:val="en-US"/>
        </w:rPr>
        <w:t xml:space="preserve">right </w:t>
      </w:r>
      <w:r w:rsidR="009A1856" w:rsidRPr="00D869E3">
        <w:rPr>
          <w:b w:val="0"/>
          <w:u w:val="none"/>
          <w:lang w:val="en-US"/>
        </w:rPr>
        <w:t>to work</w:t>
      </w:r>
      <w:r w:rsidR="00687684" w:rsidRPr="00D869E3">
        <w:rPr>
          <w:b w:val="0"/>
          <w:u w:val="none"/>
          <w:lang w:val="en-US"/>
        </w:rPr>
        <w:t xml:space="preserve"> and </w:t>
      </w:r>
      <w:r w:rsidR="009A1856" w:rsidRPr="00D869E3">
        <w:rPr>
          <w:b w:val="0"/>
          <w:u w:val="none"/>
          <w:lang w:val="en-US"/>
        </w:rPr>
        <w:t>to job security based on</w:t>
      </w:r>
      <w:r w:rsidR="00F83E8F" w:rsidRPr="00D869E3">
        <w:rPr>
          <w:b w:val="0"/>
          <w:u w:val="none"/>
          <w:lang w:val="en-US"/>
        </w:rPr>
        <w:t xml:space="preserve"> </w:t>
      </w:r>
      <w:r w:rsidRPr="00D869E3">
        <w:rPr>
          <w:b w:val="0"/>
          <w:u w:val="none"/>
          <w:lang w:val="en-US"/>
        </w:rPr>
        <w:t>Article</w:t>
      </w:r>
      <w:r w:rsidR="00F83E8F" w:rsidRPr="00D869E3">
        <w:rPr>
          <w:b w:val="0"/>
          <w:u w:val="none"/>
          <w:lang w:val="en-US"/>
        </w:rPr>
        <w:t xml:space="preserve"> 26</w:t>
      </w:r>
      <w:r w:rsidRPr="00D869E3">
        <w:rPr>
          <w:b w:val="0"/>
          <w:u w:val="none"/>
          <w:lang w:val="en-US"/>
        </w:rPr>
        <w:t xml:space="preserve"> of the Convention</w:t>
      </w:r>
      <w:r w:rsidR="00F83E8F" w:rsidRPr="00D869E3">
        <w:rPr>
          <w:b w:val="0"/>
          <w:u w:val="none"/>
          <w:lang w:val="en-US"/>
        </w:rPr>
        <w:t xml:space="preserve">. </w:t>
      </w:r>
      <w:r w:rsidR="009A1856" w:rsidRPr="00D869E3">
        <w:rPr>
          <w:b w:val="0"/>
          <w:u w:val="none"/>
          <w:lang w:val="en-US"/>
        </w:rPr>
        <w:t xml:space="preserve">However, I disagree with this </w:t>
      </w:r>
      <w:r w:rsidR="00FC25FA" w:rsidRPr="00D869E3">
        <w:rPr>
          <w:b w:val="0"/>
          <w:u w:val="none"/>
          <w:lang w:val="en-US"/>
        </w:rPr>
        <w:t>decision</w:t>
      </w:r>
      <w:r w:rsidR="009A1856" w:rsidRPr="00D869E3">
        <w:rPr>
          <w:b w:val="0"/>
          <w:u w:val="none"/>
          <w:lang w:val="en-US"/>
        </w:rPr>
        <w:t xml:space="preserve"> </w:t>
      </w:r>
      <w:r w:rsidR="00FC25FA" w:rsidRPr="00D869E3">
        <w:rPr>
          <w:b w:val="0"/>
          <w:u w:val="none"/>
          <w:lang w:val="en-US"/>
        </w:rPr>
        <w:t>as</w:t>
      </w:r>
      <w:r w:rsidR="009A1856" w:rsidRPr="00D869E3">
        <w:rPr>
          <w:b w:val="0"/>
          <w:u w:val="none"/>
          <w:lang w:val="en-US"/>
        </w:rPr>
        <w:t xml:space="preserve"> I consider it unnecessary because the </w:t>
      </w:r>
      <w:r w:rsidR="009A1856" w:rsidRPr="00D869E3">
        <w:rPr>
          <w:b w:val="0"/>
          <w:i/>
          <w:iCs/>
          <w:u w:val="none"/>
          <w:lang w:val="en-US"/>
        </w:rPr>
        <w:t>iura novit curia</w:t>
      </w:r>
      <w:r w:rsidR="009A1856" w:rsidRPr="00D869E3">
        <w:rPr>
          <w:b w:val="0"/>
          <w:u w:val="none"/>
          <w:lang w:val="en-US"/>
        </w:rPr>
        <w:t xml:space="preserve"> principle is applicable only when </w:t>
      </w:r>
      <w:r w:rsidR="00FC25FA" w:rsidRPr="00D869E3">
        <w:rPr>
          <w:b w:val="0"/>
          <w:u w:val="none"/>
          <w:lang w:val="en-US"/>
        </w:rPr>
        <w:t>a</w:t>
      </w:r>
      <w:r w:rsidR="009A1856" w:rsidRPr="00D869E3">
        <w:rPr>
          <w:b w:val="0"/>
          <w:u w:val="none"/>
          <w:lang w:val="en-US"/>
        </w:rPr>
        <w:t xml:space="preserve"> fact is alleged without alleging the law</w:t>
      </w:r>
      <w:r w:rsidR="00FC25FA" w:rsidRPr="00D869E3">
        <w:rPr>
          <w:b w:val="0"/>
          <w:u w:val="none"/>
          <w:lang w:val="en-US"/>
        </w:rPr>
        <w:t xml:space="preserve"> while,</w:t>
      </w:r>
      <w:r w:rsidR="009A1856" w:rsidRPr="00D869E3">
        <w:rPr>
          <w:b w:val="0"/>
          <w:u w:val="none"/>
          <w:lang w:val="en-US"/>
        </w:rPr>
        <w:t xml:space="preserve"> in this case, the law was alleged, and therefore the </w:t>
      </w:r>
      <w:r w:rsidR="00FC25FA" w:rsidRPr="00D869E3">
        <w:rPr>
          <w:b w:val="0"/>
          <w:u w:val="none"/>
          <w:lang w:val="en-US"/>
        </w:rPr>
        <w:t xml:space="preserve">claim </w:t>
      </w:r>
      <w:r w:rsidR="009A1856" w:rsidRPr="00D869E3">
        <w:rPr>
          <w:b w:val="0"/>
          <w:u w:val="none"/>
          <w:lang w:val="en-US"/>
        </w:rPr>
        <w:t xml:space="preserve">and its form are absolutely </w:t>
      </w:r>
      <w:r w:rsidR="00263A21" w:rsidRPr="00D869E3">
        <w:rPr>
          <w:b w:val="0"/>
          <w:u w:val="none"/>
          <w:lang w:val="en-US"/>
        </w:rPr>
        <w:t>appropriate</w:t>
      </w:r>
      <w:r w:rsidR="009A1856" w:rsidRPr="00D869E3">
        <w:rPr>
          <w:b w:val="0"/>
          <w:u w:val="none"/>
          <w:lang w:val="en-US"/>
        </w:rPr>
        <w:t>.</w:t>
      </w:r>
    </w:p>
    <w:p w14:paraId="579728BB" w14:textId="77777777" w:rsidR="00F83E8F" w:rsidRPr="00D869E3" w:rsidRDefault="00F83E8F" w:rsidP="00F83E8F">
      <w:pPr>
        <w:rPr>
          <w:rFonts w:ascii="Verdana" w:hAnsi="Verdana"/>
          <w:szCs w:val="20"/>
          <w:lang w:val="en-US"/>
        </w:rPr>
      </w:pPr>
    </w:p>
    <w:p w14:paraId="5D027170" w14:textId="75E8F4BD" w:rsidR="00F83E8F" w:rsidRPr="00D869E3" w:rsidRDefault="009A1856" w:rsidP="009A1856">
      <w:pPr>
        <w:pStyle w:val="Style1"/>
        <w:numPr>
          <w:ilvl w:val="0"/>
          <w:numId w:val="27"/>
        </w:numPr>
        <w:spacing w:after="0" w:line="240" w:lineRule="auto"/>
        <w:ind w:left="0" w:firstLine="0"/>
        <w:jc w:val="both"/>
        <w:rPr>
          <w:lang w:val="en-US"/>
        </w:rPr>
      </w:pPr>
      <w:r w:rsidRPr="00D869E3">
        <w:rPr>
          <w:b w:val="0"/>
          <w:u w:val="none"/>
          <w:lang w:val="en-US"/>
        </w:rPr>
        <w:t>It would be unreasonable to require the parties t</w:t>
      </w:r>
      <w:r w:rsidR="00263A21" w:rsidRPr="00D869E3">
        <w:rPr>
          <w:b w:val="0"/>
          <w:u w:val="none"/>
          <w:lang w:val="en-US"/>
        </w:rPr>
        <w:t>o</w:t>
      </w:r>
      <w:r w:rsidRPr="00D869E3">
        <w:rPr>
          <w:b w:val="0"/>
          <w:u w:val="none"/>
          <w:lang w:val="en-US"/>
        </w:rPr>
        <w:t xml:space="preserve"> allege, concurrently, before a non-judicial or quasi-judicial organs such as the Inter-American Commission the facts, the rights and also specific articles of the law or international norm, </w:t>
      </w:r>
      <w:r w:rsidR="00263A21" w:rsidRPr="00D869E3">
        <w:rPr>
          <w:b w:val="0"/>
          <w:u w:val="none"/>
          <w:lang w:val="en-US"/>
        </w:rPr>
        <w:t>as this</w:t>
      </w:r>
      <w:r w:rsidRPr="00D869E3">
        <w:rPr>
          <w:b w:val="0"/>
          <w:u w:val="none"/>
          <w:lang w:val="en-US"/>
        </w:rPr>
        <w:t xml:space="preserve"> could result in </w:t>
      </w:r>
      <w:r w:rsidR="00263A21" w:rsidRPr="00D869E3">
        <w:rPr>
          <w:b w:val="0"/>
          <w:u w:val="none"/>
          <w:lang w:val="en-US"/>
        </w:rPr>
        <w:t>a violation</w:t>
      </w:r>
      <w:r w:rsidRPr="00D869E3">
        <w:rPr>
          <w:b w:val="0"/>
          <w:u w:val="none"/>
          <w:lang w:val="en-US"/>
        </w:rPr>
        <w:t xml:space="preserve"> of the right to a simple and prompt remedy established in</w:t>
      </w:r>
      <w:r w:rsidRPr="00D869E3">
        <w:rPr>
          <w:b w:val="0"/>
          <w:bCs/>
          <w:u w:val="none"/>
          <w:lang w:val="en-US"/>
        </w:rPr>
        <w:t xml:space="preserve"> </w:t>
      </w:r>
      <w:r w:rsidR="00447C65" w:rsidRPr="00D869E3">
        <w:rPr>
          <w:b w:val="0"/>
          <w:u w:val="none"/>
          <w:lang w:val="en-US"/>
        </w:rPr>
        <w:t>Article</w:t>
      </w:r>
      <w:r w:rsidR="00F83E8F" w:rsidRPr="00D869E3">
        <w:rPr>
          <w:b w:val="0"/>
          <w:u w:val="none"/>
          <w:lang w:val="en-US"/>
        </w:rPr>
        <w:t xml:space="preserve"> 25</w:t>
      </w:r>
      <w:r w:rsidR="00447C65" w:rsidRPr="00D869E3">
        <w:rPr>
          <w:b w:val="0"/>
          <w:u w:val="none"/>
          <w:lang w:val="en-US"/>
        </w:rPr>
        <w:t xml:space="preserve"> of the Convention</w:t>
      </w:r>
      <w:r w:rsidR="00F83E8F" w:rsidRPr="00D869E3">
        <w:rPr>
          <w:b w:val="0"/>
          <w:u w:val="none"/>
          <w:lang w:val="en-US"/>
        </w:rPr>
        <w:t>.</w:t>
      </w:r>
    </w:p>
    <w:p w14:paraId="41C6B7EB" w14:textId="77777777" w:rsidR="00F83E8F" w:rsidRPr="00D869E3" w:rsidRDefault="00F83E8F" w:rsidP="00F83E8F">
      <w:pPr>
        <w:rPr>
          <w:rFonts w:ascii="Verdana" w:hAnsi="Verdana"/>
          <w:szCs w:val="20"/>
          <w:lang w:val="en-US"/>
        </w:rPr>
      </w:pPr>
    </w:p>
    <w:p w14:paraId="210EFCD5" w14:textId="5021FD95" w:rsidR="009A1856" w:rsidRPr="00D869E3" w:rsidRDefault="009A1856" w:rsidP="009A1856">
      <w:pPr>
        <w:pStyle w:val="Style1"/>
        <w:numPr>
          <w:ilvl w:val="0"/>
          <w:numId w:val="27"/>
        </w:numPr>
        <w:spacing w:after="0" w:line="240" w:lineRule="auto"/>
        <w:ind w:left="0" w:firstLine="0"/>
        <w:jc w:val="both"/>
        <w:rPr>
          <w:lang w:val="en-US"/>
        </w:rPr>
      </w:pPr>
      <w:r w:rsidRPr="00D869E3">
        <w:rPr>
          <w:b w:val="0"/>
          <w:u w:val="none"/>
          <w:lang w:val="en-US"/>
        </w:rPr>
        <w:t xml:space="preserve">In this specific case, it was the victim himself who, on repeated occasions, cited these rights (and not </w:t>
      </w:r>
      <w:r w:rsidR="00263A21" w:rsidRPr="00D869E3">
        <w:rPr>
          <w:b w:val="0"/>
          <w:u w:val="none"/>
          <w:lang w:val="en-US"/>
        </w:rPr>
        <w:t>merely</w:t>
      </w:r>
      <w:r w:rsidRPr="00D869E3">
        <w:rPr>
          <w:b w:val="0"/>
          <w:u w:val="none"/>
          <w:lang w:val="en-US"/>
        </w:rPr>
        <w:t xml:space="preserve"> facts), </w:t>
      </w:r>
      <w:r w:rsidR="00263A21" w:rsidRPr="00D869E3">
        <w:rPr>
          <w:b w:val="0"/>
          <w:u w:val="none"/>
          <w:lang w:val="en-US"/>
        </w:rPr>
        <w:t>which</w:t>
      </w:r>
      <w:r w:rsidRPr="00D869E3">
        <w:rPr>
          <w:b w:val="0"/>
          <w:u w:val="none"/>
          <w:lang w:val="en-US"/>
        </w:rPr>
        <w:t xml:space="preserve"> were ignored by</w:t>
      </w:r>
      <w:r w:rsidRPr="00D869E3">
        <w:rPr>
          <w:b w:val="0"/>
          <w:bCs/>
          <w:u w:val="none"/>
          <w:lang w:val="en-US"/>
        </w:rPr>
        <w:t xml:space="preserve"> </w:t>
      </w:r>
      <w:r w:rsidR="00447C65" w:rsidRPr="00D869E3">
        <w:rPr>
          <w:b w:val="0"/>
          <w:u w:val="none"/>
          <w:lang w:val="en-US"/>
        </w:rPr>
        <w:t>the Commission</w:t>
      </w:r>
      <w:r w:rsidRPr="00D869E3">
        <w:rPr>
          <w:b w:val="0"/>
          <w:u w:val="none"/>
          <w:lang w:val="en-US"/>
        </w:rPr>
        <w:t>.</w:t>
      </w:r>
      <w:r w:rsidR="00F83E8F" w:rsidRPr="00D869E3">
        <w:rPr>
          <w:rStyle w:val="Refdenotaalpie"/>
          <w:rFonts w:eastAsiaTheme="majorEastAsia"/>
          <w:b w:val="0"/>
          <w:bCs/>
          <w:u w:val="none"/>
          <w:lang w:val="en-US"/>
        </w:rPr>
        <w:footnoteReference w:id="282"/>
      </w:r>
      <w:r w:rsidR="00F83E8F" w:rsidRPr="00D869E3">
        <w:rPr>
          <w:b w:val="0"/>
          <w:u w:val="none"/>
          <w:lang w:val="en-US"/>
        </w:rPr>
        <w:t xml:space="preserve"> </w:t>
      </w:r>
      <w:r w:rsidRPr="00D869E3">
        <w:rPr>
          <w:b w:val="0"/>
          <w:u w:val="none"/>
          <w:lang w:val="en-US"/>
        </w:rPr>
        <w:t xml:space="preserve">However, pursuant to a systematic interpretation with practical effects of the treaty and its organs of application, the Court </w:t>
      </w:r>
      <w:r w:rsidR="00263A21" w:rsidRPr="00D869E3">
        <w:rPr>
          <w:b w:val="0"/>
          <w:u w:val="none"/>
          <w:lang w:val="en-US"/>
        </w:rPr>
        <w:t>is empowered</w:t>
      </w:r>
      <w:r w:rsidRPr="00D869E3">
        <w:rPr>
          <w:b w:val="0"/>
          <w:u w:val="none"/>
          <w:lang w:val="en-US"/>
        </w:rPr>
        <w:t xml:space="preserve"> to assess and provide a meaning to the initial petition </w:t>
      </w:r>
      <w:r w:rsidR="00263A21" w:rsidRPr="00D869E3">
        <w:rPr>
          <w:b w:val="0"/>
          <w:u w:val="none"/>
          <w:lang w:val="en-US"/>
        </w:rPr>
        <w:t>that contains</w:t>
      </w:r>
      <w:r w:rsidR="00B508DA" w:rsidRPr="00D869E3">
        <w:rPr>
          <w:b w:val="0"/>
          <w:u w:val="none"/>
          <w:lang w:val="en-US"/>
        </w:rPr>
        <w:t xml:space="preserve"> the claim for justice of the victim who has recourse to the inter-American system.</w:t>
      </w:r>
    </w:p>
    <w:p w14:paraId="01F25CA1" w14:textId="77777777" w:rsidR="00F83E8F" w:rsidRPr="00D869E3" w:rsidRDefault="00F83E8F" w:rsidP="00F83E8F">
      <w:pPr>
        <w:rPr>
          <w:rFonts w:ascii="Verdana" w:hAnsi="Verdana"/>
          <w:szCs w:val="20"/>
          <w:lang w:val="en-US"/>
        </w:rPr>
      </w:pPr>
    </w:p>
    <w:p w14:paraId="49D83805" w14:textId="321CD956" w:rsidR="00F83E8F" w:rsidRPr="00D869E3" w:rsidRDefault="00B508DA" w:rsidP="00F83E8F">
      <w:pPr>
        <w:pStyle w:val="Style1"/>
        <w:numPr>
          <w:ilvl w:val="0"/>
          <w:numId w:val="27"/>
        </w:numPr>
        <w:spacing w:after="0" w:line="240" w:lineRule="auto"/>
        <w:ind w:left="0" w:firstLine="0"/>
        <w:jc w:val="both"/>
        <w:rPr>
          <w:lang w:val="en-US"/>
        </w:rPr>
      </w:pPr>
      <w:r w:rsidRPr="00D869E3">
        <w:rPr>
          <w:b w:val="0"/>
          <w:u w:val="none"/>
          <w:lang w:val="en-US"/>
        </w:rPr>
        <w:t>Thus, the rights alleged by the victim must also be assessed by the Court, without this meaning</w:t>
      </w:r>
      <w:r w:rsidR="00263A21" w:rsidRPr="00D869E3">
        <w:rPr>
          <w:b w:val="0"/>
          <w:u w:val="none"/>
          <w:lang w:val="en-US"/>
        </w:rPr>
        <w:t xml:space="preserve"> that it is</w:t>
      </w:r>
      <w:r w:rsidRPr="00D869E3">
        <w:rPr>
          <w:b w:val="0"/>
          <w:u w:val="none"/>
          <w:lang w:val="en-US"/>
        </w:rPr>
        <w:t xml:space="preserve"> exceeding procedural limits. This is because the initial petition is the most immediate </w:t>
      </w:r>
      <w:r w:rsidR="00263A21" w:rsidRPr="00D869E3">
        <w:rPr>
          <w:b w:val="0"/>
          <w:u w:val="none"/>
          <w:lang w:val="en-US"/>
        </w:rPr>
        <w:t>expression</w:t>
      </w:r>
      <w:r w:rsidRPr="00D869E3">
        <w:rPr>
          <w:b w:val="0"/>
          <w:u w:val="none"/>
          <w:lang w:val="en-US"/>
        </w:rPr>
        <w:t xml:space="preserve"> of the petitioner’s voice.</w:t>
      </w:r>
    </w:p>
    <w:p w14:paraId="06EA061E" w14:textId="77777777" w:rsidR="00F83E8F" w:rsidRPr="00D869E3" w:rsidRDefault="00F83E8F" w:rsidP="00F83E8F">
      <w:pPr>
        <w:rPr>
          <w:rFonts w:ascii="Verdana" w:hAnsi="Verdana"/>
          <w:szCs w:val="20"/>
          <w:lang w:val="en-US"/>
        </w:rPr>
      </w:pPr>
    </w:p>
    <w:p w14:paraId="5AF95F66" w14:textId="4DD50C89" w:rsidR="00F83E8F" w:rsidRPr="00D869E3" w:rsidRDefault="00075E68" w:rsidP="00F83E8F">
      <w:pPr>
        <w:pStyle w:val="Style1"/>
        <w:numPr>
          <w:ilvl w:val="0"/>
          <w:numId w:val="27"/>
        </w:numPr>
        <w:spacing w:after="0" w:line="240" w:lineRule="auto"/>
        <w:ind w:left="0" w:firstLine="0"/>
        <w:jc w:val="both"/>
        <w:rPr>
          <w:lang w:val="en-US"/>
        </w:rPr>
      </w:pPr>
      <w:r w:rsidRPr="00D869E3">
        <w:rPr>
          <w:b w:val="0"/>
          <w:u w:val="none"/>
          <w:lang w:val="en-US"/>
        </w:rPr>
        <w:t>In this regard</w:t>
      </w:r>
      <w:r w:rsidR="00F83E8F" w:rsidRPr="00D869E3">
        <w:rPr>
          <w:b w:val="0"/>
          <w:u w:val="none"/>
          <w:lang w:val="en-US"/>
        </w:rPr>
        <w:t>, ot</w:t>
      </w:r>
      <w:r w:rsidR="00B508DA" w:rsidRPr="00D869E3">
        <w:rPr>
          <w:b w:val="0"/>
          <w:u w:val="none"/>
          <w:lang w:val="en-US"/>
        </w:rPr>
        <w:t xml:space="preserve">her international organs have responded to the essential arguments of the victims by expressly qualifying them, even if they have not necessarily cited the specific right and without expressly mentioning the </w:t>
      </w:r>
      <w:r w:rsidR="00F83E8F" w:rsidRPr="00D869E3">
        <w:rPr>
          <w:b w:val="0"/>
          <w:i/>
          <w:u w:val="none"/>
          <w:lang w:val="en-US"/>
        </w:rPr>
        <w:t>iura novit curia</w:t>
      </w:r>
      <w:r w:rsidR="00B508DA" w:rsidRPr="00D869E3">
        <w:rPr>
          <w:b w:val="0"/>
          <w:i/>
          <w:u w:val="none"/>
          <w:lang w:val="en-US"/>
        </w:rPr>
        <w:t xml:space="preserve"> </w:t>
      </w:r>
      <w:r w:rsidR="00B508DA" w:rsidRPr="00D869E3">
        <w:rPr>
          <w:b w:val="0"/>
          <w:iCs/>
          <w:u w:val="none"/>
          <w:lang w:val="en-US"/>
        </w:rPr>
        <w:t>principle.</w:t>
      </w:r>
      <w:r w:rsidR="00F83E8F" w:rsidRPr="00D869E3">
        <w:rPr>
          <w:rStyle w:val="Refdenotaalpie"/>
          <w:rFonts w:eastAsiaTheme="majorEastAsia"/>
          <w:b w:val="0"/>
          <w:bCs/>
          <w:iCs/>
          <w:u w:val="none"/>
          <w:lang w:val="en-US"/>
        </w:rPr>
        <w:footnoteReference w:id="283"/>
      </w:r>
      <w:r w:rsidR="00F83E8F" w:rsidRPr="00D869E3">
        <w:rPr>
          <w:b w:val="0"/>
          <w:bCs/>
          <w:iCs/>
          <w:u w:val="none"/>
          <w:lang w:val="en-US"/>
        </w:rPr>
        <w:t xml:space="preserve"> </w:t>
      </w:r>
    </w:p>
    <w:p w14:paraId="2BCDB63B" w14:textId="77777777" w:rsidR="00F83E8F" w:rsidRPr="00D869E3" w:rsidRDefault="00F83E8F" w:rsidP="00F83E8F">
      <w:pPr>
        <w:pStyle w:val="Style1"/>
        <w:numPr>
          <w:ilvl w:val="0"/>
          <w:numId w:val="0"/>
        </w:numPr>
        <w:spacing w:after="0" w:line="240" w:lineRule="auto"/>
        <w:jc w:val="both"/>
        <w:rPr>
          <w:lang w:val="en-US"/>
        </w:rPr>
      </w:pPr>
    </w:p>
    <w:p w14:paraId="0DD4B7AC" w14:textId="23F06B05" w:rsidR="00F83E8F" w:rsidRPr="00D869E3" w:rsidRDefault="00301DBE" w:rsidP="00F83E8F">
      <w:pPr>
        <w:pStyle w:val="Style1"/>
        <w:numPr>
          <w:ilvl w:val="0"/>
          <w:numId w:val="27"/>
        </w:numPr>
        <w:spacing w:after="0" w:line="240" w:lineRule="auto"/>
        <w:ind w:left="0" w:firstLine="0"/>
        <w:jc w:val="both"/>
        <w:rPr>
          <w:lang w:val="en-US"/>
        </w:rPr>
      </w:pPr>
      <w:r w:rsidRPr="00D869E3">
        <w:rPr>
          <w:b w:val="0"/>
          <w:u w:val="none"/>
          <w:lang w:val="en-US"/>
        </w:rPr>
        <w:t xml:space="preserve">Thus, it is evident that the main purpose of the petitioner, Mr. </w:t>
      </w:r>
      <w:r w:rsidR="00F83E8F" w:rsidRPr="00D869E3">
        <w:rPr>
          <w:b w:val="0"/>
          <w:u w:val="none"/>
          <w:lang w:val="en-US"/>
        </w:rPr>
        <w:t>Lagos del Campo</w:t>
      </w:r>
      <w:r w:rsidRPr="00D869E3">
        <w:rPr>
          <w:b w:val="0"/>
          <w:u w:val="none"/>
          <w:lang w:val="en-US"/>
        </w:rPr>
        <w:t>, was always the protection of his labor rights, seeking re-establishment of those rights.</w:t>
      </w:r>
    </w:p>
    <w:p w14:paraId="34970AD7" w14:textId="77777777" w:rsidR="00F83E8F" w:rsidRPr="00D869E3" w:rsidRDefault="00F83E8F" w:rsidP="00F83E8F">
      <w:pPr>
        <w:rPr>
          <w:rFonts w:ascii="Verdana" w:hAnsi="Verdana"/>
          <w:szCs w:val="20"/>
          <w:lang w:val="en-US"/>
        </w:rPr>
      </w:pPr>
    </w:p>
    <w:p w14:paraId="2187AD47" w14:textId="4A58F231" w:rsidR="00F83E8F" w:rsidRPr="00D869E3" w:rsidRDefault="000B2E5E" w:rsidP="00F83E8F">
      <w:pPr>
        <w:pStyle w:val="Style1"/>
        <w:spacing w:after="0" w:line="240" w:lineRule="auto"/>
        <w:ind w:left="0" w:firstLine="0"/>
        <w:rPr>
          <w:lang w:val="en-US"/>
        </w:rPr>
      </w:pPr>
      <w:r w:rsidRPr="00D869E3">
        <w:rPr>
          <w:lang w:val="en-US"/>
        </w:rPr>
        <w:t xml:space="preserve">The </w:t>
      </w:r>
      <w:r w:rsidR="00301DBE" w:rsidRPr="00D869E3">
        <w:rPr>
          <w:lang w:val="en-US"/>
        </w:rPr>
        <w:t>right to work</w:t>
      </w:r>
      <w:r w:rsidR="00F83E8F" w:rsidRPr="00D869E3">
        <w:rPr>
          <w:lang w:val="en-US"/>
        </w:rPr>
        <w:t xml:space="preserve"> </w:t>
      </w:r>
      <w:r w:rsidR="00301DBE" w:rsidRPr="00D869E3">
        <w:rPr>
          <w:lang w:val="en-US"/>
        </w:rPr>
        <w:t>protected by</w:t>
      </w:r>
      <w:r w:rsidR="00F83E8F" w:rsidRPr="00D869E3">
        <w:rPr>
          <w:lang w:val="en-US"/>
        </w:rPr>
        <w:t xml:space="preserve"> </w:t>
      </w:r>
      <w:r w:rsidR="00447C65" w:rsidRPr="00D869E3">
        <w:rPr>
          <w:lang w:val="en-US"/>
        </w:rPr>
        <w:t>Articles</w:t>
      </w:r>
      <w:r w:rsidR="00F83E8F" w:rsidRPr="00D869E3">
        <w:rPr>
          <w:lang w:val="en-US"/>
        </w:rPr>
        <w:t xml:space="preserve"> 26</w:t>
      </w:r>
      <w:r w:rsidR="00687684" w:rsidRPr="00D869E3">
        <w:rPr>
          <w:lang w:val="en-US"/>
        </w:rPr>
        <w:t xml:space="preserve"> and </w:t>
      </w:r>
      <w:r w:rsidR="00F83E8F" w:rsidRPr="00D869E3">
        <w:rPr>
          <w:lang w:val="en-US"/>
        </w:rPr>
        <w:t>25</w:t>
      </w:r>
      <w:r w:rsidR="00447C65" w:rsidRPr="00D869E3">
        <w:rPr>
          <w:lang w:val="en-US"/>
        </w:rPr>
        <w:t xml:space="preserve"> of the Convention</w:t>
      </w:r>
    </w:p>
    <w:p w14:paraId="6D0F4818" w14:textId="77777777" w:rsidR="00F83E8F" w:rsidRPr="00D869E3" w:rsidRDefault="00F83E8F" w:rsidP="00F83E8F">
      <w:pPr>
        <w:pStyle w:val="Style1"/>
        <w:numPr>
          <w:ilvl w:val="0"/>
          <w:numId w:val="0"/>
        </w:numPr>
        <w:spacing w:after="0" w:line="240" w:lineRule="auto"/>
        <w:ind w:hanging="720"/>
        <w:jc w:val="both"/>
        <w:rPr>
          <w:lang w:val="en-US"/>
        </w:rPr>
      </w:pPr>
    </w:p>
    <w:p w14:paraId="30A8336E" w14:textId="14B6F8C0" w:rsidR="00301DBE" w:rsidRPr="00D869E3" w:rsidRDefault="00301DBE" w:rsidP="00F83E8F">
      <w:pPr>
        <w:pStyle w:val="Prrafodelista"/>
        <w:numPr>
          <w:ilvl w:val="0"/>
          <w:numId w:val="27"/>
        </w:numPr>
        <w:ind w:left="0" w:firstLine="0"/>
        <w:jc w:val="both"/>
        <w:rPr>
          <w:rFonts w:ascii="Verdana" w:hAnsi="Verdana"/>
          <w:sz w:val="20"/>
          <w:szCs w:val="20"/>
          <w:lang w:val="en-US"/>
        </w:rPr>
      </w:pPr>
      <w:r w:rsidRPr="00D869E3">
        <w:rPr>
          <w:rFonts w:ascii="Verdana" w:hAnsi="Verdana"/>
          <w:sz w:val="20"/>
          <w:szCs w:val="20"/>
          <w:lang w:val="en-US"/>
        </w:rPr>
        <w:t xml:space="preserve">I would point out that in the </w:t>
      </w:r>
      <w:r w:rsidR="00447C65" w:rsidRPr="00D869E3">
        <w:rPr>
          <w:rFonts w:ascii="Verdana" w:hAnsi="Verdana"/>
          <w:i/>
          <w:sz w:val="20"/>
          <w:szCs w:val="20"/>
          <w:lang w:val="en-US"/>
        </w:rPr>
        <w:t>Case</w:t>
      </w:r>
      <w:r w:rsidRPr="00D869E3">
        <w:rPr>
          <w:rFonts w:ascii="Verdana" w:hAnsi="Verdana"/>
          <w:i/>
          <w:sz w:val="20"/>
          <w:szCs w:val="20"/>
          <w:lang w:val="en-US"/>
        </w:rPr>
        <w:t>s</w:t>
      </w:r>
      <w:r w:rsidR="00447C65" w:rsidRPr="00D869E3">
        <w:rPr>
          <w:rFonts w:ascii="Verdana" w:hAnsi="Verdana"/>
          <w:i/>
          <w:sz w:val="20"/>
          <w:szCs w:val="20"/>
          <w:lang w:val="en-US"/>
        </w:rPr>
        <w:t xml:space="preserve"> of</w:t>
      </w:r>
      <w:r w:rsidR="00F83E8F" w:rsidRPr="00D869E3">
        <w:rPr>
          <w:rFonts w:ascii="Verdana" w:hAnsi="Verdana"/>
          <w:i/>
          <w:sz w:val="20"/>
          <w:szCs w:val="20"/>
          <w:lang w:val="en-US"/>
        </w:rPr>
        <w:t xml:space="preserve"> Canales Huapaya</w:t>
      </w:r>
      <w:r w:rsidRPr="00D869E3">
        <w:rPr>
          <w:rFonts w:ascii="Verdana" w:hAnsi="Verdana"/>
          <w:i/>
          <w:sz w:val="20"/>
          <w:szCs w:val="20"/>
          <w:lang w:val="en-US"/>
        </w:rPr>
        <w:t xml:space="preserve"> et al.</w:t>
      </w:r>
      <w:r w:rsidR="00F83E8F" w:rsidRPr="00D869E3">
        <w:rPr>
          <w:rFonts w:ascii="Verdana" w:hAnsi="Verdana"/>
          <w:i/>
          <w:sz w:val="20"/>
          <w:szCs w:val="20"/>
          <w:lang w:val="en-US"/>
        </w:rPr>
        <w:t xml:space="preserve"> </w:t>
      </w:r>
      <w:r w:rsidR="00447C65" w:rsidRPr="00D869E3">
        <w:rPr>
          <w:rFonts w:ascii="Verdana" w:hAnsi="Verdana"/>
          <w:i/>
          <w:sz w:val="20"/>
          <w:szCs w:val="20"/>
          <w:lang w:val="en-US"/>
        </w:rPr>
        <w:t>v.</w:t>
      </w:r>
      <w:r w:rsidR="00F83E8F" w:rsidRPr="00D869E3">
        <w:rPr>
          <w:rFonts w:ascii="Verdana" w:hAnsi="Verdana"/>
          <w:i/>
          <w:sz w:val="20"/>
          <w:szCs w:val="20"/>
          <w:lang w:val="en-US"/>
        </w:rPr>
        <w:t xml:space="preserve"> </w:t>
      </w:r>
      <w:r w:rsidR="00447C65" w:rsidRPr="00D869E3">
        <w:rPr>
          <w:rFonts w:ascii="Verdana" w:hAnsi="Verdana"/>
          <w:i/>
          <w:sz w:val="20"/>
          <w:szCs w:val="20"/>
          <w:lang w:val="en-US"/>
        </w:rPr>
        <w:t>Peru</w:t>
      </w:r>
      <w:r w:rsidR="00687684" w:rsidRPr="00D869E3">
        <w:rPr>
          <w:rFonts w:ascii="Verdana" w:hAnsi="Verdana"/>
          <w:i/>
          <w:sz w:val="20"/>
          <w:szCs w:val="20"/>
          <w:lang w:val="en-US"/>
        </w:rPr>
        <w:t xml:space="preserve"> </w:t>
      </w:r>
      <w:r w:rsidR="00687684" w:rsidRPr="00D869E3">
        <w:rPr>
          <w:rFonts w:ascii="Verdana" w:hAnsi="Verdana"/>
          <w:iCs/>
          <w:sz w:val="20"/>
          <w:szCs w:val="20"/>
          <w:lang w:val="en-US"/>
        </w:rPr>
        <w:t>and</w:t>
      </w:r>
      <w:r w:rsidR="00687684" w:rsidRPr="00D869E3">
        <w:rPr>
          <w:rFonts w:ascii="Verdana" w:hAnsi="Verdana"/>
          <w:i/>
          <w:sz w:val="20"/>
          <w:szCs w:val="20"/>
          <w:lang w:val="en-US"/>
        </w:rPr>
        <w:t xml:space="preserve"> </w:t>
      </w:r>
      <w:r w:rsidR="00F83E8F" w:rsidRPr="00D869E3">
        <w:rPr>
          <w:rFonts w:ascii="Verdana" w:hAnsi="Verdana"/>
          <w:i/>
          <w:sz w:val="20"/>
          <w:szCs w:val="20"/>
          <w:lang w:val="en-US"/>
        </w:rPr>
        <w:t>Chinchilla Sandoval</w:t>
      </w:r>
      <w:r w:rsidR="00687684" w:rsidRPr="00D869E3">
        <w:rPr>
          <w:rFonts w:ascii="Verdana" w:hAnsi="Verdana"/>
          <w:i/>
          <w:sz w:val="20"/>
          <w:szCs w:val="20"/>
          <w:lang w:val="en-US"/>
        </w:rPr>
        <w:t xml:space="preserve"> </w:t>
      </w:r>
      <w:r w:rsidRPr="00D869E3">
        <w:rPr>
          <w:rFonts w:ascii="Verdana" w:hAnsi="Verdana"/>
          <w:i/>
          <w:sz w:val="20"/>
          <w:szCs w:val="20"/>
          <w:lang w:val="en-US"/>
        </w:rPr>
        <w:t>et al.</w:t>
      </w:r>
      <w:r w:rsidR="00F83E8F" w:rsidRPr="00D869E3">
        <w:rPr>
          <w:rFonts w:ascii="Verdana" w:hAnsi="Verdana"/>
          <w:i/>
          <w:sz w:val="20"/>
          <w:szCs w:val="20"/>
          <w:lang w:val="en-US"/>
        </w:rPr>
        <w:t xml:space="preserve"> </w:t>
      </w:r>
      <w:r w:rsidR="00447C65" w:rsidRPr="00D869E3">
        <w:rPr>
          <w:rFonts w:ascii="Verdana" w:hAnsi="Verdana"/>
          <w:i/>
          <w:sz w:val="20"/>
          <w:szCs w:val="20"/>
          <w:lang w:val="en-US"/>
        </w:rPr>
        <w:t>v.</w:t>
      </w:r>
      <w:r w:rsidR="00F83E8F" w:rsidRPr="00D869E3">
        <w:rPr>
          <w:rFonts w:ascii="Verdana" w:hAnsi="Verdana"/>
          <w:i/>
          <w:sz w:val="20"/>
          <w:szCs w:val="20"/>
          <w:lang w:val="en-US"/>
        </w:rPr>
        <w:t xml:space="preserve"> Guatemala,</w:t>
      </w:r>
      <w:r w:rsidR="00F83E8F" w:rsidRPr="00D869E3">
        <w:rPr>
          <w:rFonts w:ascii="Verdana" w:hAnsi="Verdana"/>
          <w:sz w:val="20"/>
          <w:szCs w:val="20"/>
          <w:lang w:val="en-US"/>
        </w:rPr>
        <w:t xml:space="preserve"> </w:t>
      </w:r>
      <w:r w:rsidRPr="00D869E3">
        <w:rPr>
          <w:rFonts w:ascii="Verdana" w:hAnsi="Verdana"/>
          <w:sz w:val="20"/>
          <w:szCs w:val="20"/>
          <w:lang w:val="en-US"/>
        </w:rPr>
        <w:t xml:space="preserve">I expressed my opinion on the justiciability of the rights derived from </w:t>
      </w:r>
      <w:r w:rsidR="00687684" w:rsidRPr="00D869E3">
        <w:rPr>
          <w:rFonts w:ascii="Verdana" w:hAnsi="Verdana"/>
          <w:sz w:val="20"/>
          <w:szCs w:val="20"/>
          <w:lang w:val="en-US"/>
        </w:rPr>
        <w:t>Article</w:t>
      </w:r>
      <w:r w:rsidR="00F83E8F" w:rsidRPr="00D869E3">
        <w:rPr>
          <w:rFonts w:ascii="Verdana" w:hAnsi="Verdana"/>
          <w:sz w:val="20"/>
          <w:szCs w:val="20"/>
          <w:lang w:val="en-US"/>
        </w:rPr>
        <w:t xml:space="preserve"> 26</w:t>
      </w:r>
      <w:r w:rsidR="00447C65" w:rsidRPr="00D869E3">
        <w:rPr>
          <w:rFonts w:ascii="Verdana" w:hAnsi="Verdana"/>
          <w:sz w:val="20"/>
          <w:szCs w:val="20"/>
          <w:lang w:val="en-US"/>
        </w:rPr>
        <w:t xml:space="preserve"> of the Convention</w:t>
      </w:r>
      <w:r w:rsidR="00F83E8F" w:rsidRPr="00D869E3">
        <w:rPr>
          <w:rFonts w:ascii="Verdana" w:hAnsi="Verdana"/>
          <w:sz w:val="20"/>
          <w:szCs w:val="20"/>
          <w:lang w:val="en-US"/>
        </w:rPr>
        <w:t xml:space="preserve">. </w:t>
      </w:r>
      <w:r w:rsidRPr="00D869E3">
        <w:rPr>
          <w:rFonts w:ascii="Verdana" w:hAnsi="Verdana"/>
          <w:sz w:val="20"/>
          <w:szCs w:val="20"/>
          <w:lang w:val="en-US"/>
        </w:rPr>
        <w:t>I</w:t>
      </w:r>
      <w:r w:rsidR="00F83E8F" w:rsidRPr="00D869E3">
        <w:rPr>
          <w:rFonts w:ascii="Verdana" w:hAnsi="Verdana"/>
          <w:sz w:val="20"/>
          <w:szCs w:val="20"/>
          <w:lang w:val="en-US"/>
        </w:rPr>
        <w:t xml:space="preserve">n particular, </w:t>
      </w:r>
      <w:r w:rsidRPr="00D869E3">
        <w:rPr>
          <w:rFonts w:ascii="Verdana" w:hAnsi="Verdana"/>
          <w:sz w:val="20"/>
          <w:szCs w:val="20"/>
          <w:lang w:val="en-US"/>
        </w:rPr>
        <w:t xml:space="preserve">in the dissenting opinion I submitted </w:t>
      </w:r>
      <w:r w:rsidR="00A4750D" w:rsidRPr="00D869E3">
        <w:rPr>
          <w:rFonts w:ascii="Verdana" w:hAnsi="Verdana"/>
          <w:sz w:val="20"/>
          <w:szCs w:val="20"/>
          <w:lang w:val="en-US"/>
        </w:rPr>
        <w:t>together</w:t>
      </w:r>
      <w:r w:rsidRPr="00D869E3">
        <w:rPr>
          <w:rFonts w:ascii="Verdana" w:hAnsi="Verdana"/>
          <w:sz w:val="20"/>
          <w:szCs w:val="20"/>
          <w:lang w:val="en-US"/>
        </w:rPr>
        <w:t xml:space="preserve"> with </w:t>
      </w:r>
      <w:r w:rsidR="00447C65" w:rsidRPr="00D869E3">
        <w:rPr>
          <w:rFonts w:ascii="Verdana" w:hAnsi="Verdana"/>
          <w:sz w:val="20"/>
          <w:szCs w:val="20"/>
          <w:lang w:val="en-US"/>
        </w:rPr>
        <w:t>Judge</w:t>
      </w:r>
      <w:r w:rsidR="00F83E8F" w:rsidRPr="00D869E3">
        <w:rPr>
          <w:rFonts w:ascii="Verdana" w:hAnsi="Verdana"/>
          <w:sz w:val="20"/>
          <w:szCs w:val="20"/>
          <w:lang w:val="en-US"/>
        </w:rPr>
        <w:t xml:space="preserve"> Ferrer Mac-Gregor Poisot </w:t>
      </w:r>
      <w:r w:rsidRPr="00D869E3">
        <w:rPr>
          <w:rFonts w:ascii="Verdana" w:hAnsi="Verdana"/>
          <w:sz w:val="20"/>
          <w:szCs w:val="20"/>
          <w:lang w:val="en-US"/>
        </w:rPr>
        <w:t>in the</w:t>
      </w:r>
      <w:r w:rsidR="00F83E8F" w:rsidRPr="00D869E3">
        <w:rPr>
          <w:rFonts w:ascii="Verdana" w:hAnsi="Verdana"/>
          <w:sz w:val="20"/>
          <w:szCs w:val="20"/>
          <w:lang w:val="en-US"/>
        </w:rPr>
        <w:t xml:space="preserve"> </w:t>
      </w:r>
      <w:r w:rsidR="00447C65" w:rsidRPr="00D869E3">
        <w:rPr>
          <w:rFonts w:ascii="Verdana" w:hAnsi="Verdana"/>
          <w:i/>
          <w:sz w:val="20"/>
          <w:szCs w:val="20"/>
          <w:lang w:val="en-US"/>
        </w:rPr>
        <w:t>Case of</w:t>
      </w:r>
      <w:r w:rsidR="00F83E8F" w:rsidRPr="00D869E3">
        <w:rPr>
          <w:rFonts w:ascii="Verdana" w:hAnsi="Verdana"/>
          <w:i/>
          <w:sz w:val="20"/>
          <w:szCs w:val="20"/>
          <w:lang w:val="en-US"/>
        </w:rPr>
        <w:t xml:space="preserve"> Canales Huapaya</w:t>
      </w:r>
      <w:r w:rsidR="00687684" w:rsidRPr="00D869E3">
        <w:rPr>
          <w:rFonts w:ascii="Verdana" w:hAnsi="Verdana"/>
          <w:i/>
          <w:sz w:val="20"/>
          <w:szCs w:val="20"/>
          <w:lang w:val="en-US"/>
        </w:rPr>
        <w:t xml:space="preserve"> </w:t>
      </w:r>
      <w:r w:rsidRPr="00D869E3">
        <w:rPr>
          <w:rFonts w:ascii="Verdana" w:hAnsi="Verdana"/>
          <w:i/>
          <w:sz w:val="20"/>
          <w:szCs w:val="20"/>
          <w:lang w:val="en-US"/>
        </w:rPr>
        <w:t>et al.</w:t>
      </w:r>
      <w:r w:rsidR="00F83E8F" w:rsidRPr="00D869E3">
        <w:rPr>
          <w:rFonts w:ascii="Verdana" w:hAnsi="Verdana"/>
          <w:i/>
          <w:sz w:val="20"/>
          <w:szCs w:val="20"/>
          <w:lang w:val="en-US"/>
        </w:rPr>
        <w:t xml:space="preserve"> </w:t>
      </w:r>
      <w:r w:rsidR="00447C65" w:rsidRPr="00D869E3">
        <w:rPr>
          <w:rFonts w:ascii="Verdana" w:hAnsi="Verdana"/>
          <w:i/>
          <w:sz w:val="20"/>
          <w:szCs w:val="20"/>
          <w:lang w:val="en-US"/>
        </w:rPr>
        <w:t>v.</w:t>
      </w:r>
      <w:r w:rsidR="00F83E8F" w:rsidRPr="00D869E3">
        <w:rPr>
          <w:rFonts w:ascii="Verdana" w:hAnsi="Verdana"/>
          <w:i/>
          <w:sz w:val="20"/>
          <w:szCs w:val="20"/>
          <w:lang w:val="en-US"/>
        </w:rPr>
        <w:t xml:space="preserve"> </w:t>
      </w:r>
      <w:r w:rsidR="00447C65" w:rsidRPr="00D869E3">
        <w:rPr>
          <w:rFonts w:ascii="Verdana" w:hAnsi="Verdana"/>
          <w:i/>
          <w:sz w:val="20"/>
          <w:szCs w:val="20"/>
          <w:lang w:val="en-US"/>
        </w:rPr>
        <w:t>Peru</w:t>
      </w:r>
      <w:r w:rsidRPr="00D869E3">
        <w:rPr>
          <w:rFonts w:ascii="Verdana" w:hAnsi="Verdana"/>
          <w:i/>
          <w:sz w:val="20"/>
          <w:szCs w:val="20"/>
          <w:lang w:val="en-US"/>
        </w:rPr>
        <w:t>,</w:t>
      </w:r>
      <w:r w:rsidR="00F83E8F" w:rsidRPr="00D869E3">
        <w:rPr>
          <w:rFonts w:ascii="Verdana" w:hAnsi="Verdana"/>
          <w:sz w:val="20"/>
          <w:szCs w:val="20"/>
          <w:lang w:val="en-US"/>
        </w:rPr>
        <w:t xml:space="preserve"> </w:t>
      </w:r>
      <w:r w:rsidRPr="00D869E3">
        <w:rPr>
          <w:rFonts w:ascii="Verdana" w:hAnsi="Verdana"/>
          <w:sz w:val="20"/>
          <w:szCs w:val="20"/>
          <w:lang w:val="en-US"/>
        </w:rPr>
        <w:t xml:space="preserve">we underlined the need to make an evolutive interpretation of the scope of the rights established in </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 26 </w:t>
      </w:r>
      <w:r w:rsidRPr="00D869E3">
        <w:rPr>
          <w:rFonts w:ascii="Verdana" w:hAnsi="Verdana"/>
          <w:sz w:val="20"/>
          <w:szCs w:val="20"/>
          <w:lang w:val="en-US"/>
        </w:rPr>
        <w:t>of the Convention, and to examine the justiciability of the right to work more thoroughly. In addition, we noted that the right to work is regulated in most Constitutions of the member countries of the Organization of American States. Furthermore, we emphasized that the right to work did not involve an absolute right, and thus it could have limits. In that opinion, we considered that Peru had violated the right to work of the victims and we stated that the right to work was an autonomous right under comparative law.</w:t>
      </w:r>
    </w:p>
    <w:p w14:paraId="0556ED49" w14:textId="77777777" w:rsidR="00F83E8F" w:rsidRPr="00D869E3" w:rsidRDefault="00F83E8F" w:rsidP="00F83E8F">
      <w:pPr>
        <w:rPr>
          <w:rFonts w:ascii="Verdana" w:hAnsi="Verdana"/>
          <w:szCs w:val="20"/>
          <w:lang w:val="en-US"/>
        </w:rPr>
      </w:pPr>
    </w:p>
    <w:p w14:paraId="72D9B580" w14:textId="398AA953" w:rsidR="00F83E8F" w:rsidRPr="00D869E3" w:rsidRDefault="00301DBE" w:rsidP="00301DBE">
      <w:pPr>
        <w:pStyle w:val="Prrafodelista"/>
        <w:numPr>
          <w:ilvl w:val="0"/>
          <w:numId w:val="27"/>
        </w:numPr>
        <w:ind w:left="0" w:firstLine="0"/>
        <w:jc w:val="both"/>
        <w:rPr>
          <w:rFonts w:ascii="Verdana" w:hAnsi="Verdana"/>
          <w:sz w:val="20"/>
          <w:szCs w:val="20"/>
          <w:lang w:val="en-US"/>
        </w:rPr>
      </w:pPr>
      <w:r w:rsidRPr="00D869E3">
        <w:rPr>
          <w:rFonts w:ascii="Verdana" w:hAnsi="Verdana"/>
          <w:sz w:val="20"/>
          <w:szCs w:val="20"/>
          <w:lang w:val="en-US"/>
        </w:rPr>
        <w:t xml:space="preserve">Meanwhile, in my separate opinion in the case of </w:t>
      </w:r>
      <w:r w:rsidR="00F83E8F" w:rsidRPr="00D869E3">
        <w:rPr>
          <w:rFonts w:ascii="Verdana" w:hAnsi="Verdana"/>
          <w:i/>
          <w:sz w:val="20"/>
          <w:szCs w:val="20"/>
          <w:lang w:val="en-US"/>
        </w:rPr>
        <w:t>Chinchilla Sandoval</w:t>
      </w:r>
      <w:r w:rsidR="00687684" w:rsidRPr="00D869E3">
        <w:rPr>
          <w:rFonts w:ascii="Verdana" w:hAnsi="Verdana"/>
          <w:i/>
          <w:sz w:val="20"/>
          <w:szCs w:val="20"/>
          <w:lang w:val="en-US"/>
        </w:rPr>
        <w:t xml:space="preserve"> </w:t>
      </w:r>
      <w:r w:rsidRPr="00D869E3">
        <w:rPr>
          <w:rFonts w:ascii="Verdana" w:hAnsi="Verdana"/>
          <w:i/>
          <w:sz w:val="20"/>
          <w:szCs w:val="20"/>
          <w:lang w:val="en-US"/>
        </w:rPr>
        <w:t>et al. v.</w:t>
      </w:r>
      <w:r w:rsidR="00F83E8F" w:rsidRPr="00D869E3">
        <w:rPr>
          <w:rFonts w:ascii="Verdana" w:hAnsi="Verdana"/>
          <w:i/>
          <w:sz w:val="20"/>
          <w:szCs w:val="20"/>
          <w:lang w:val="en-US"/>
        </w:rPr>
        <w:t xml:space="preserve"> Guatemala</w:t>
      </w:r>
      <w:r w:rsidR="00F83E8F" w:rsidRPr="00D869E3">
        <w:rPr>
          <w:rFonts w:ascii="Verdana" w:hAnsi="Verdana"/>
          <w:sz w:val="20"/>
          <w:szCs w:val="20"/>
          <w:lang w:val="en-US"/>
        </w:rPr>
        <w:t xml:space="preserve">, </w:t>
      </w:r>
      <w:r w:rsidRPr="00D869E3">
        <w:rPr>
          <w:rFonts w:ascii="Verdana" w:hAnsi="Verdana"/>
          <w:sz w:val="20"/>
          <w:szCs w:val="20"/>
          <w:lang w:val="en-US"/>
        </w:rPr>
        <w:t xml:space="preserve">I indicated that the jurisdictional protection of the right to health should be more explicit and direct than merely reiterating its protection in relation to the rights to life and to personal integrity. In addition, I mentioned that the Court and the American continent were prepared to make the ESCER justiciable and, thus, possible victims could understand that the </w:t>
      </w:r>
      <w:r w:rsidR="00671B14" w:rsidRPr="00D869E3">
        <w:rPr>
          <w:rFonts w:ascii="Verdana" w:hAnsi="Verdana"/>
          <w:sz w:val="20"/>
          <w:szCs w:val="20"/>
          <w:lang w:val="en-US"/>
        </w:rPr>
        <w:t>inter-American system</w:t>
      </w:r>
      <w:r w:rsidR="00F83E8F" w:rsidRPr="00D869E3">
        <w:rPr>
          <w:rFonts w:ascii="Verdana" w:hAnsi="Verdana"/>
          <w:sz w:val="20"/>
          <w:szCs w:val="20"/>
          <w:lang w:val="en-US"/>
        </w:rPr>
        <w:t xml:space="preserve"> </w:t>
      </w:r>
      <w:r w:rsidR="00A4750D" w:rsidRPr="00D869E3">
        <w:rPr>
          <w:rFonts w:ascii="Verdana" w:hAnsi="Verdana"/>
          <w:sz w:val="20"/>
          <w:szCs w:val="20"/>
          <w:lang w:val="en-US"/>
        </w:rPr>
        <w:t>was</w:t>
      </w:r>
      <w:r w:rsidRPr="00D869E3">
        <w:rPr>
          <w:rFonts w:ascii="Verdana" w:hAnsi="Verdana"/>
          <w:sz w:val="20"/>
          <w:szCs w:val="20"/>
          <w:lang w:val="en-US"/>
        </w:rPr>
        <w:t xml:space="preserve"> a channel open to those who need to realize such rights. </w:t>
      </w:r>
    </w:p>
    <w:p w14:paraId="2514E13E" w14:textId="77777777" w:rsidR="00F83E8F" w:rsidRPr="00D869E3" w:rsidRDefault="00F83E8F" w:rsidP="00F83E8F">
      <w:pPr>
        <w:rPr>
          <w:rFonts w:ascii="Verdana" w:hAnsi="Verdana"/>
          <w:szCs w:val="20"/>
          <w:lang w:val="en-US"/>
        </w:rPr>
      </w:pPr>
    </w:p>
    <w:p w14:paraId="2D11D706" w14:textId="5715C0DE" w:rsidR="00F83E8F" w:rsidRPr="00D869E3" w:rsidRDefault="00301DBE" w:rsidP="00F83E8F">
      <w:pPr>
        <w:pStyle w:val="Prrafodelista"/>
        <w:numPr>
          <w:ilvl w:val="0"/>
          <w:numId w:val="27"/>
        </w:numPr>
        <w:ind w:left="0" w:firstLine="0"/>
        <w:jc w:val="both"/>
        <w:rPr>
          <w:rFonts w:ascii="Verdana" w:hAnsi="Verdana"/>
          <w:sz w:val="20"/>
          <w:szCs w:val="20"/>
          <w:lang w:val="en-US"/>
        </w:rPr>
      </w:pPr>
      <w:r w:rsidRPr="00D869E3">
        <w:rPr>
          <w:rFonts w:ascii="Verdana" w:hAnsi="Verdana"/>
          <w:sz w:val="20"/>
          <w:szCs w:val="20"/>
          <w:lang w:val="en-US"/>
        </w:rPr>
        <w:lastRenderedPageBreak/>
        <w:t xml:space="preserve">Thus, it is very relevant to reiterate that </w:t>
      </w:r>
      <w:r w:rsidR="000B2E5E" w:rsidRPr="00D869E3">
        <w:rPr>
          <w:rFonts w:ascii="Verdana" w:hAnsi="Verdana"/>
          <w:sz w:val="20"/>
          <w:szCs w:val="20"/>
          <w:lang w:val="en-US"/>
        </w:rPr>
        <w:t xml:space="preserve">the </w:t>
      </w:r>
      <w:r w:rsidRPr="00D869E3">
        <w:rPr>
          <w:rFonts w:ascii="Verdana" w:hAnsi="Verdana"/>
          <w:sz w:val="20"/>
          <w:szCs w:val="20"/>
          <w:lang w:val="en-US"/>
        </w:rPr>
        <w:t>right to work</w:t>
      </w:r>
      <w:r w:rsidR="00F83E8F" w:rsidRPr="00D869E3">
        <w:rPr>
          <w:rFonts w:ascii="Verdana" w:hAnsi="Verdana"/>
          <w:sz w:val="20"/>
          <w:szCs w:val="20"/>
          <w:lang w:val="en-US"/>
        </w:rPr>
        <w:t xml:space="preserve"> </w:t>
      </w:r>
      <w:r w:rsidRPr="00D869E3">
        <w:rPr>
          <w:rFonts w:ascii="Verdana" w:hAnsi="Verdana"/>
          <w:sz w:val="20"/>
          <w:szCs w:val="20"/>
          <w:lang w:val="en-US"/>
        </w:rPr>
        <w:t>is a right that is regulated by most Constitutions of the OAS member countries, either explicitly, implicitly with other precepts</w:t>
      </w:r>
      <w:r w:rsidR="00A4750D" w:rsidRPr="00D869E3">
        <w:rPr>
          <w:rFonts w:ascii="Verdana" w:hAnsi="Verdana"/>
          <w:sz w:val="20"/>
          <w:szCs w:val="20"/>
          <w:lang w:val="en-US"/>
        </w:rPr>
        <w:t>,</w:t>
      </w:r>
      <w:r w:rsidRPr="00D869E3">
        <w:rPr>
          <w:rFonts w:ascii="Verdana" w:hAnsi="Verdana"/>
          <w:sz w:val="20"/>
          <w:szCs w:val="20"/>
          <w:lang w:val="en-US"/>
        </w:rPr>
        <w:t xml:space="preserve"> or by the incorporation of international treaties. In the case of Peru, </w:t>
      </w:r>
      <w:r w:rsidR="000B2E5E" w:rsidRPr="00D869E3">
        <w:rPr>
          <w:rFonts w:ascii="Verdana" w:hAnsi="Verdana"/>
          <w:sz w:val="20"/>
          <w:szCs w:val="20"/>
          <w:lang w:val="en-US"/>
        </w:rPr>
        <w:t>the righ</w:t>
      </w:r>
      <w:r w:rsidRPr="00D869E3">
        <w:rPr>
          <w:rFonts w:ascii="Verdana" w:hAnsi="Verdana"/>
          <w:sz w:val="20"/>
          <w:szCs w:val="20"/>
          <w:lang w:val="en-US"/>
        </w:rPr>
        <w:t xml:space="preserve">t to job security was regulated in its Constitution at the time of the facts and at the present time </w:t>
      </w:r>
      <w:r w:rsidR="00F83E8F" w:rsidRPr="00D869E3">
        <w:rPr>
          <w:rFonts w:ascii="Verdana" w:hAnsi="Verdana"/>
          <w:sz w:val="20"/>
          <w:szCs w:val="20"/>
          <w:lang w:val="en-US"/>
        </w:rPr>
        <w:t>(</w:t>
      </w:r>
      <w:r w:rsidR="0087339F" w:rsidRPr="00D869E3">
        <w:rPr>
          <w:rFonts w:ascii="Verdana" w:hAnsi="Verdana"/>
          <w:sz w:val="20"/>
          <w:szCs w:val="20"/>
          <w:lang w:val="en-US"/>
        </w:rPr>
        <w:t>para.</w:t>
      </w:r>
      <w:r w:rsidR="00F83E8F" w:rsidRPr="00D869E3">
        <w:rPr>
          <w:rFonts w:ascii="Verdana" w:hAnsi="Verdana"/>
          <w:sz w:val="20"/>
          <w:szCs w:val="20"/>
          <w:lang w:val="en-US"/>
        </w:rPr>
        <w:t xml:space="preserve"> 138 </w:t>
      </w:r>
      <w:r w:rsidR="000C55DD" w:rsidRPr="00D869E3">
        <w:rPr>
          <w:rFonts w:ascii="Verdana" w:hAnsi="Verdana"/>
          <w:sz w:val="20"/>
          <w:szCs w:val="20"/>
          <w:lang w:val="en-US"/>
        </w:rPr>
        <w:t>of the judgment</w:t>
      </w:r>
      <w:r w:rsidR="00F83E8F" w:rsidRPr="00D869E3">
        <w:rPr>
          <w:rFonts w:ascii="Verdana" w:hAnsi="Verdana"/>
          <w:sz w:val="20"/>
          <w:szCs w:val="20"/>
          <w:lang w:val="en-US"/>
        </w:rPr>
        <w:t xml:space="preserve">). </w:t>
      </w:r>
    </w:p>
    <w:p w14:paraId="2072D04E" w14:textId="77777777" w:rsidR="00F83E8F" w:rsidRPr="00D869E3" w:rsidRDefault="00F83E8F" w:rsidP="00F83E8F">
      <w:pPr>
        <w:rPr>
          <w:rFonts w:ascii="Verdana" w:hAnsi="Verdana"/>
          <w:szCs w:val="20"/>
          <w:lang w:val="en-US"/>
        </w:rPr>
      </w:pPr>
    </w:p>
    <w:p w14:paraId="6FAE12FB" w14:textId="7894EDD8" w:rsidR="00F83E8F" w:rsidRPr="00D869E3" w:rsidRDefault="00301DBE" w:rsidP="00301DBE">
      <w:pPr>
        <w:pStyle w:val="Prrafodelista"/>
        <w:numPr>
          <w:ilvl w:val="0"/>
          <w:numId w:val="27"/>
        </w:numPr>
        <w:ind w:left="0" w:firstLine="0"/>
        <w:jc w:val="both"/>
        <w:rPr>
          <w:rFonts w:ascii="Verdana" w:hAnsi="Verdana"/>
          <w:sz w:val="20"/>
          <w:szCs w:val="20"/>
          <w:lang w:val="en-US"/>
        </w:rPr>
      </w:pPr>
      <w:r w:rsidRPr="00D869E3">
        <w:rPr>
          <w:rFonts w:ascii="Verdana" w:hAnsi="Verdana"/>
          <w:sz w:val="20"/>
          <w:szCs w:val="20"/>
          <w:lang w:val="en-US"/>
        </w:rPr>
        <w:t xml:space="preserve">Based on the above, it is pertinent to mention that </w:t>
      </w:r>
      <w:r w:rsidR="000B2E5E" w:rsidRPr="00D869E3">
        <w:rPr>
          <w:rFonts w:ascii="Verdana" w:hAnsi="Verdana"/>
          <w:sz w:val="20"/>
          <w:szCs w:val="20"/>
          <w:lang w:val="en-US"/>
        </w:rPr>
        <w:t xml:space="preserve">the </w:t>
      </w:r>
      <w:r w:rsidRPr="00D869E3">
        <w:rPr>
          <w:rFonts w:ascii="Verdana" w:hAnsi="Verdana"/>
          <w:sz w:val="20"/>
          <w:szCs w:val="20"/>
          <w:lang w:val="en-US"/>
        </w:rPr>
        <w:t>right to work</w:t>
      </w:r>
      <w:r w:rsidR="00F83E8F" w:rsidRPr="00D869E3">
        <w:rPr>
          <w:rFonts w:ascii="Verdana" w:hAnsi="Verdana"/>
          <w:sz w:val="20"/>
          <w:szCs w:val="20"/>
          <w:lang w:val="en-US"/>
        </w:rPr>
        <w:t xml:space="preserve"> </w:t>
      </w:r>
      <w:r w:rsidRPr="00D869E3">
        <w:rPr>
          <w:rFonts w:ascii="Verdana" w:hAnsi="Verdana"/>
          <w:sz w:val="20"/>
          <w:szCs w:val="20"/>
          <w:lang w:val="en-US"/>
        </w:rPr>
        <w:t xml:space="preserve">is not a new or emerging right. To the contrary, it consists in a right that is solidly consolidated and has been recognized for a long time in the countries of the region, as established in </w:t>
      </w:r>
      <w:r w:rsidR="00180CED" w:rsidRPr="00D869E3">
        <w:rPr>
          <w:rFonts w:ascii="Verdana" w:hAnsi="Verdana"/>
          <w:sz w:val="20"/>
          <w:szCs w:val="20"/>
          <w:lang w:val="en-US"/>
        </w:rPr>
        <w:t>paragraph</w:t>
      </w:r>
      <w:r w:rsidR="00F83E8F" w:rsidRPr="00D869E3">
        <w:rPr>
          <w:rFonts w:ascii="Verdana" w:hAnsi="Verdana"/>
          <w:sz w:val="20"/>
          <w:szCs w:val="20"/>
          <w:lang w:val="en-US"/>
        </w:rPr>
        <w:t xml:space="preserve"> 145 </w:t>
      </w:r>
      <w:r w:rsidR="000C55DD" w:rsidRPr="00D869E3">
        <w:rPr>
          <w:rFonts w:ascii="Verdana" w:hAnsi="Verdana"/>
          <w:sz w:val="20"/>
          <w:szCs w:val="20"/>
          <w:lang w:val="en-US"/>
        </w:rPr>
        <w:t>of the judgment</w:t>
      </w:r>
      <w:r w:rsidR="00F83E8F" w:rsidRPr="00D869E3">
        <w:rPr>
          <w:rFonts w:ascii="Verdana" w:hAnsi="Verdana"/>
          <w:sz w:val="20"/>
          <w:szCs w:val="20"/>
          <w:lang w:val="en-US"/>
        </w:rPr>
        <w:t xml:space="preserve">. </w:t>
      </w:r>
      <w:r w:rsidRPr="00D869E3">
        <w:rPr>
          <w:rFonts w:ascii="Verdana" w:hAnsi="Verdana"/>
          <w:sz w:val="20"/>
          <w:szCs w:val="20"/>
          <w:lang w:val="en-US"/>
        </w:rPr>
        <w:t>Similarly, the different States of the Americas have established domestic labor courts to protect the rights of workers and, in many case</w:t>
      </w:r>
      <w:r w:rsidR="00A4750D" w:rsidRPr="00D869E3">
        <w:rPr>
          <w:rFonts w:ascii="Verdana" w:hAnsi="Verdana"/>
          <w:sz w:val="20"/>
          <w:szCs w:val="20"/>
          <w:lang w:val="en-US"/>
        </w:rPr>
        <w:t>s</w:t>
      </w:r>
      <w:r w:rsidRPr="00D869E3">
        <w:rPr>
          <w:rFonts w:ascii="Verdana" w:hAnsi="Verdana"/>
          <w:sz w:val="20"/>
          <w:szCs w:val="20"/>
          <w:lang w:val="en-US"/>
        </w:rPr>
        <w:t>, this may lead to proce</w:t>
      </w:r>
      <w:r w:rsidR="006F6FD2" w:rsidRPr="00D869E3">
        <w:rPr>
          <w:rFonts w:ascii="Verdana" w:hAnsi="Verdana"/>
          <w:sz w:val="20"/>
          <w:szCs w:val="20"/>
          <w:lang w:val="en-US"/>
        </w:rPr>
        <w:t>edings that even reach a country’s highest courts. Consequently, the recognition of the autonomy of the right to work as an autonomous human right protected by the American Convention should not have significant effects in the domestic sphere of the countries that, for decades, have protected this right at the domestic level; rather, it contributes to strengthening the mechanisms to guarantee its effectiveness. This is also evident from the need to guarantee judicial protection</w:t>
      </w:r>
      <w:r w:rsidR="00F83E8F" w:rsidRPr="00D869E3">
        <w:rPr>
          <w:rFonts w:ascii="Verdana" w:hAnsi="Verdana"/>
          <w:sz w:val="20"/>
          <w:szCs w:val="20"/>
          <w:lang w:val="en-US"/>
        </w:rPr>
        <w:t xml:space="preserve"> (</w:t>
      </w:r>
      <w:r w:rsidR="00901386" w:rsidRPr="00D869E3">
        <w:rPr>
          <w:rFonts w:ascii="Verdana" w:hAnsi="Verdana"/>
          <w:sz w:val="20"/>
          <w:szCs w:val="20"/>
          <w:lang w:val="en-US"/>
        </w:rPr>
        <w:t>access to justice</w:t>
      </w:r>
      <w:r w:rsidR="00F83E8F" w:rsidRPr="00D869E3">
        <w:rPr>
          <w:rFonts w:ascii="Verdana" w:hAnsi="Verdana"/>
          <w:sz w:val="20"/>
          <w:szCs w:val="20"/>
          <w:lang w:val="en-US"/>
        </w:rPr>
        <w:t xml:space="preserve">) </w:t>
      </w:r>
      <w:r w:rsidR="006F6FD2" w:rsidRPr="00D869E3">
        <w:rPr>
          <w:rFonts w:ascii="Verdana" w:hAnsi="Verdana"/>
          <w:sz w:val="20"/>
          <w:szCs w:val="20"/>
          <w:lang w:val="en-US"/>
        </w:rPr>
        <w:t xml:space="preserve">to the rights recognized in domestic laws, as established in </w:t>
      </w:r>
      <w:r w:rsidR="00447C65" w:rsidRPr="00D869E3">
        <w:rPr>
          <w:rFonts w:ascii="Verdana" w:hAnsi="Verdana"/>
          <w:sz w:val="20"/>
          <w:szCs w:val="20"/>
          <w:lang w:val="en-US"/>
        </w:rPr>
        <w:t>Articles</w:t>
      </w:r>
      <w:r w:rsidR="00F83E8F" w:rsidRPr="00D869E3">
        <w:rPr>
          <w:rFonts w:ascii="Verdana" w:hAnsi="Verdana"/>
          <w:sz w:val="20"/>
          <w:szCs w:val="20"/>
          <w:lang w:val="en-US"/>
        </w:rPr>
        <w:t xml:space="preserve"> 25</w:t>
      </w:r>
      <w:r w:rsidR="00687684" w:rsidRPr="00D869E3">
        <w:rPr>
          <w:rFonts w:ascii="Verdana" w:hAnsi="Verdana"/>
          <w:sz w:val="20"/>
          <w:szCs w:val="20"/>
          <w:lang w:val="en-US"/>
        </w:rPr>
        <w:t xml:space="preserve"> and </w:t>
      </w:r>
      <w:r w:rsidR="00F83E8F" w:rsidRPr="00D869E3">
        <w:rPr>
          <w:rFonts w:ascii="Verdana" w:hAnsi="Verdana"/>
          <w:sz w:val="20"/>
          <w:szCs w:val="20"/>
          <w:lang w:val="en-US"/>
        </w:rPr>
        <w:t xml:space="preserve">29 </w:t>
      </w:r>
      <w:r w:rsidR="006F6FD2" w:rsidRPr="00D869E3">
        <w:rPr>
          <w:rFonts w:ascii="Verdana" w:hAnsi="Verdana"/>
          <w:sz w:val="20"/>
          <w:szCs w:val="20"/>
          <w:lang w:val="en-US"/>
        </w:rPr>
        <w:t xml:space="preserve">of the American Convention </w:t>
      </w:r>
      <w:r w:rsidR="00F83E8F" w:rsidRPr="00D869E3">
        <w:rPr>
          <w:rFonts w:ascii="Verdana" w:hAnsi="Verdana"/>
          <w:sz w:val="20"/>
          <w:szCs w:val="20"/>
          <w:lang w:val="en-US"/>
        </w:rPr>
        <w:t>(</w:t>
      </w:r>
      <w:r w:rsidR="0087339F" w:rsidRPr="00D869E3">
        <w:rPr>
          <w:rFonts w:ascii="Verdana" w:hAnsi="Verdana"/>
          <w:sz w:val="20"/>
          <w:szCs w:val="20"/>
          <w:lang w:val="en-US"/>
        </w:rPr>
        <w:t>paras.</w:t>
      </w:r>
      <w:r w:rsidR="00F83E8F" w:rsidRPr="00D869E3">
        <w:rPr>
          <w:rFonts w:ascii="Verdana" w:hAnsi="Verdana"/>
          <w:sz w:val="20"/>
          <w:szCs w:val="20"/>
          <w:lang w:val="en-US"/>
        </w:rPr>
        <w:t xml:space="preserve"> 173 </w:t>
      </w:r>
      <w:r w:rsidR="006F6FD2" w:rsidRPr="00D869E3">
        <w:rPr>
          <w:rFonts w:ascii="Verdana" w:hAnsi="Verdana"/>
          <w:sz w:val="20"/>
          <w:szCs w:val="20"/>
          <w:lang w:val="en-US"/>
        </w:rPr>
        <w:t>to</w:t>
      </w:r>
      <w:r w:rsidR="00F83E8F" w:rsidRPr="00D869E3">
        <w:rPr>
          <w:rFonts w:ascii="Verdana" w:hAnsi="Verdana"/>
          <w:sz w:val="20"/>
          <w:szCs w:val="20"/>
          <w:lang w:val="en-US"/>
        </w:rPr>
        <w:t xml:space="preserve"> 176 </w:t>
      </w:r>
      <w:r w:rsidR="000C55DD" w:rsidRPr="00D869E3">
        <w:rPr>
          <w:rFonts w:ascii="Verdana" w:hAnsi="Verdana"/>
          <w:sz w:val="20"/>
          <w:szCs w:val="20"/>
          <w:lang w:val="en-US"/>
        </w:rPr>
        <w:t>of the judgment</w:t>
      </w:r>
      <w:r w:rsidR="00F83E8F" w:rsidRPr="00D869E3">
        <w:rPr>
          <w:rFonts w:ascii="Verdana" w:hAnsi="Verdana"/>
          <w:sz w:val="20"/>
          <w:szCs w:val="20"/>
          <w:lang w:val="en-US"/>
        </w:rPr>
        <w:t>).</w:t>
      </w:r>
    </w:p>
    <w:p w14:paraId="041B0E70" w14:textId="77777777" w:rsidR="00F83E8F" w:rsidRPr="00D869E3" w:rsidRDefault="00F83E8F" w:rsidP="00F83E8F">
      <w:pPr>
        <w:pStyle w:val="Prrafodelista"/>
        <w:ind w:left="0"/>
        <w:jc w:val="both"/>
        <w:rPr>
          <w:rFonts w:ascii="Verdana" w:hAnsi="Verdana"/>
          <w:sz w:val="20"/>
          <w:szCs w:val="20"/>
          <w:lang w:val="en-US"/>
        </w:rPr>
      </w:pPr>
    </w:p>
    <w:p w14:paraId="1D059DB4" w14:textId="5D0DCA91" w:rsidR="00F83E8F" w:rsidRPr="00D869E3" w:rsidRDefault="00075E68" w:rsidP="00F83E8F">
      <w:pPr>
        <w:pStyle w:val="Prrafodelista"/>
        <w:numPr>
          <w:ilvl w:val="0"/>
          <w:numId w:val="27"/>
        </w:numPr>
        <w:ind w:left="0" w:firstLine="0"/>
        <w:jc w:val="both"/>
        <w:rPr>
          <w:rFonts w:ascii="Verdana" w:hAnsi="Verdana"/>
          <w:sz w:val="20"/>
          <w:szCs w:val="20"/>
          <w:lang w:val="en-US"/>
        </w:rPr>
      </w:pPr>
      <w:r w:rsidRPr="00D869E3">
        <w:rPr>
          <w:rFonts w:ascii="Verdana" w:hAnsi="Verdana"/>
          <w:sz w:val="20"/>
          <w:szCs w:val="20"/>
          <w:lang w:val="en-US"/>
        </w:rPr>
        <w:t>In this regard</w:t>
      </w:r>
      <w:r w:rsidR="006F6FD2" w:rsidRPr="00D869E3">
        <w:rPr>
          <w:rFonts w:ascii="Verdana" w:hAnsi="Verdana"/>
          <w:sz w:val="20"/>
          <w:szCs w:val="20"/>
          <w:lang w:val="en-US"/>
        </w:rPr>
        <w:t>,</w:t>
      </w:r>
      <w:r w:rsidR="00F83E8F" w:rsidRPr="00D869E3">
        <w:rPr>
          <w:rFonts w:ascii="Verdana" w:hAnsi="Verdana"/>
          <w:sz w:val="20"/>
          <w:szCs w:val="20"/>
          <w:lang w:val="en-US"/>
        </w:rPr>
        <w:t xml:space="preserve"> </w:t>
      </w:r>
      <w:r w:rsidR="0087339F" w:rsidRPr="00D869E3">
        <w:rPr>
          <w:rFonts w:ascii="Verdana" w:hAnsi="Verdana"/>
          <w:sz w:val="20"/>
          <w:szCs w:val="20"/>
          <w:lang w:val="en-US"/>
        </w:rPr>
        <w:t>the Preamble</w:t>
      </w:r>
      <w:r w:rsidR="00447C65" w:rsidRPr="00D869E3">
        <w:rPr>
          <w:rFonts w:ascii="Verdana" w:hAnsi="Verdana"/>
          <w:sz w:val="20"/>
          <w:szCs w:val="20"/>
          <w:lang w:val="en-US"/>
        </w:rPr>
        <w:t xml:space="preserve"> </w:t>
      </w:r>
      <w:r w:rsidR="006F6FD2" w:rsidRPr="00D869E3">
        <w:rPr>
          <w:rFonts w:ascii="Verdana" w:hAnsi="Verdana"/>
          <w:sz w:val="20"/>
          <w:szCs w:val="20"/>
          <w:lang w:val="en-US"/>
        </w:rPr>
        <w:t>to</w:t>
      </w:r>
      <w:r w:rsidR="00447C65" w:rsidRPr="00D869E3">
        <w:rPr>
          <w:rFonts w:ascii="Verdana" w:hAnsi="Verdana"/>
          <w:sz w:val="20"/>
          <w:szCs w:val="20"/>
          <w:lang w:val="en-US"/>
        </w:rPr>
        <w:t xml:space="preserve"> the American Convention</w:t>
      </w:r>
      <w:r w:rsidR="00F83E8F" w:rsidRPr="00D869E3">
        <w:rPr>
          <w:rFonts w:ascii="Verdana" w:hAnsi="Verdana"/>
          <w:sz w:val="20"/>
          <w:szCs w:val="20"/>
          <w:lang w:val="en-US"/>
        </w:rPr>
        <w:t xml:space="preserve"> (1969) </w:t>
      </w:r>
      <w:r w:rsidR="006F6FD2" w:rsidRPr="00D869E3">
        <w:rPr>
          <w:rFonts w:ascii="Verdana" w:hAnsi="Verdana"/>
          <w:sz w:val="20"/>
          <w:szCs w:val="20"/>
          <w:lang w:val="en-US"/>
        </w:rPr>
        <w:t xml:space="preserve">clearly establishes the inclusiveness and validity </w:t>
      </w:r>
      <w:r w:rsidR="00EA232B" w:rsidRPr="00D869E3">
        <w:rPr>
          <w:rFonts w:ascii="Verdana" w:hAnsi="Verdana"/>
          <w:sz w:val="20"/>
          <w:szCs w:val="20"/>
          <w:lang w:val="en-US"/>
        </w:rPr>
        <w:t xml:space="preserve">of the </w:t>
      </w:r>
      <w:r w:rsidR="00671B14" w:rsidRPr="00D869E3">
        <w:rPr>
          <w:rFonts w:ascii="Verdana" w:hAnsi="Verdana"/>
          <w:sz w:val="20"/>
          <w:szCs w:val="20"/>
          <w:lang w:val="en-US"/>
        </w:rPr>
        <w:t>ESCER</w:t>
      </w:r>
      <w:r w:rsidR="00F83E8F" w:rsidRPr="00D869E3">
        <w:rPr>
          <w:rFonts w:ascii="Verdana" w:hAnsi="Verdana"/>
          <w:sz w:val="20"/>
          <w:szCs w:val="20"/>
          <w:lang w:val="en-US"/>
        </w:rPr>
        <w:t xml:space="preserve">: </w:t>
      </w:r>
    </w:p>
    <w:p w14:paraId="7B7FD303" w14:textId="77777777" w:rsidR="00F83E8F" w:rsidRPr="00D869E3" w:rsidRDefault="00F83E8F" w:rsidP="00F83E8F">
      <w:pPr>
        <w:pStyle w:val="Prrafodelista"/>
        <w:ind w:left="0"/>
        <w:rPr>
          <w:rFonts w:ascii="Verdana" w:hAnsi="Verdana"/>
          <w:sz w:val="20"/>
          <w:szCs w:val="20"/>
          <w:lang w:val="en-US"/>
        </w:rPr>
      </w:pPr>
    </w:p>
    <w:p w14:paraId="5481A93D" w14:textId="5307233E" w:rsidR="006F6FD2" w:rsidRPr="00D869E3" w:rsidRDefault="006436CA" w:rsidP="00F83E8F">
      <w:pPr>
        <w:pStyle w:val="Prrafodelista"/>
        <w:ind w:right="720"/>
        <w:jc w:val="both"/>
        <w:rPr>
          <w:rFonts w:ascii="Verdana" w:hAnsi="Verdana"/>
          <w:spacing w:val="-3"/>
          <w:sz w:val="16"/>
          <w:szCs w:val="16"/>
          <w:lang w:val="en-US"/>
        </w:rPr>
      </w:pPr>
      <w:r w:rsidRPr="00D869E3">
        <w:rPr>
          <w:rFonts w:ascii="Verdana" w:hAnsi="Verdana"/>
          <w:sz w:val="16"/>
          <w:szCs w:val="16"/>
          <w:lang w:val="en-US"/>
        </w:rPr>
        <w:t>“</w:t>
      </w:r>
      <w:r w:rsidR="00F83E8F" w:rsidRPr="00D869E3">
        <w:rPr>
          <w:rFonts w:ascii="Verdana" w:hAnsi="Verdana"/>
          <w:sz w:val="16"/>
          <w:szCs w:val="16"/>
          <w:lang w:val="en-US"/>
        </w:rPr>
        <w:t xml:space="preserve">[…] </w:t>
      </w:r>
      <w:r w:rsidR="006F6FD2" w:rsidRPr="00D869E3">
        <w:rPr>
          <w:rFonts w:ascii="Verdana" w:hAnsi="Verdana"/>
          <w:spacing w:val="-3"/>
          <w:sz w:val="16"/>
          <w:szCs w:val="16"/>
          <w:lang w:val="en-US"/>
        </w:rPr>
        <w:t xml:space="preserve">Reiterating that, in accordance with the Universal Declaration of Human Rights, the ideal of free men enjoying freedom from fear and want can be achieved only if conditions are created whereby everyone may </w:t>
      </w:r>
      <w:r w:rsidR="006F6FD2" w:rsidRPr="00D869E3">
        <w:rPr>
          <w:rFonts w:ascii="Verdana" w:hAnsi="Verdana"/>
          <w:b/>
          <w:bCs/>
          <w:i/>
          <w:iCs/>
          <w:spacing w:val="-3"/>
          <w:sz w:val="16"/>
          <w:szCs w:val="16"/>
          <w:lang w:val="en-US"/>
        </w:rPr>
        <w:t xml:space="preserve">enjoy his economic, social, and cultural rights, as well as his civil and political rights, </w:t>
      </w:r>
      <w:r w:rsidR="006F6FD2" w:rsidRPr="00D869E3">
        <w:rPr>
          <w:rFonts w:ascii="Verdana" w:hAnsi="Verdana"/>
          <w:spacing w:val="-3"/>
          <w:sz w:val="16"/>
          <w:szCs w:val="16"/>
          <w:lang w:val="en-US"/>
        </w:rPr>
        <w:t>and</w:t>
      </w:r>
    </w:p>
    <w:p w14:paraId="63224836" w14:textId="77777777" w:rsidR="006F6FD2" w:rsidRPr="00D869E3" w:rsidRDefault="006F6FD2" w:rsidP="00F83E8F">
      <w:pPr>
        <w:pStyle w:val="Prrafodelista"/>
        <w:ind w:right="720"/>
        <w:jc w:val="both"/>
        <w:rPr>
          <w:rFonts w:ascii="Verdana" w:hAnsi="Verdana"/>
          <w:spacing w:val="-3"/>
          <w:sz w:val="16"/>
          <w:szCs w:val="16"/>
          <w:lang w:val="en-US"/>
        </w:rPr>
      </w:pPr>
    </w:p>
    <w:p w14:paraId="56B3F7C2" w14:textId="1D8B108A" w:rsidR="00F83E8F" w:rsidRPr="00D869E3" w:rsidRDefault="006F6FD2" w:rsidP="00B05098">
      <w:pPr>
        <w:pStyle w:val="Prrafodelista"/>
        <w:ind w:right="656"/>
        <w:jc w:val="both"/>
        <w:rPr>
          <w:rFonts w:ascii="Verdana" w:hAnsi="Verdana"/>
          <w:spacing w:val="-3"/>
          <w:sz w:val="16"/>
          <w:szCs w:val="16"/>
          <w:lang w:val="en-US"/>
        </w:rPr>
      </w:pPr>
      <w:r w:rsidRPr="00D869E3">
        <w:rPr>
          <w:rFonts w:ascii="Verdana" w:hAnsi="Verdana"/>
          <w:spacing w:val="-3"/>
          <w:sz w:val="16"/>
          <w:szCs w:val="16"/>
          <w:lang w:val="en-US"/>
        </w:rPr>
        <w:t>Considering that the Third Special Inter</w:t>
      </w:r>
      <w:r w:rsidRPr="00D869E3">
        <w:rPr>
          <w:rFonts w:ascii="Verdana" w:hAnsi="Verdana"/>
          <w:spacing w:val="-3"/>
          <w:sz w:val="16"/>
          <w:szCs w:val="16"/>
          <w:lang w:val="en-US"/>
        </w:rPr>
        <w:noBreakHyphen/>
        <w:t xml:space="preserve">American Conference (Buenos Aires, 1967) approved the incorporation into the Charter of the Organization itself of </w:t>
      </w:r>
      <w:r w:rsidRPr="00D869E3">
        <w:rPr>
          <w:rFonts w:ascii="Verdana" w:hAnsi="Verdana"/>
          <w:b/>
          <w:bCs/>
          <w:i/>
          <w:iCs/>
          <w:spacing w:val="-3"/>
          <w:sz w:val="16"/>
          <w:szCs w:val="16"/>
          <w:lang w:val="en-US"/>
        </w:rPr>
        <w:t xml:space="preserve">broader standards with respect to economic, social, and educational rights </w:t>
      </w:r>
      <w:r w:rsidRPr="00D869E3">
        <w:rPr>
          <w:rFonts w:ascii="Verdana" w:hAnsi="Verdana"/>
          <w:spacing w:val="-3"/>
          <w:sz w:val="16"/>
          <w:szCs w:val="16"/>
          <w:lang w:val="en-US"/>
        </w:rPr>
        <w:t>and resolved that an inter</w:t>
      </w:r>
      <w:r w:rsidRPr="00D869E3">
        <w:rPr>
          <w:rFonts w:ascii="Verdana" w:hAnsi="Verdana"/>
          <w:spacing w:val="-3"/>
          <w:sz w:val="16"/>
          <w:szCs w:val="16"/>
          <w:lang w:val="en-US"/>
        </w:rPr>
        <w:noBreakHyphen/>
        <w:t>American convention on human rights should determine the structure, competence, and procedure of the organs responsible for these matters</w:t>
      </w:r>
      <w:r w:rsidR="00F83E8F" w:rsidRPr="00D869E3">
        <w:rPr>
          <w:rFonts w:ascii="Verdana" w:hAnsi="Verdana"/>
          <w:sz w:val="16"/>
          <w:szCs w:val="16"/>
          <w:lang w:val="en-US"/>
        </w:rPr>
        <w:t xml:space="preserve"> […]</w:t>
      </w:r>
      <w:r w:rsidRPr="00D869E3">
        <w:rPr>
          <w:rFonts w:ascii="Verdana" w:hAnsi="Verdana"/>
          <w:sz w:val="16"/>
          <w:szCs w:val="16"/>
          <w:lang w:val="en-US"/>
        </w:rPr>
        <w:t>.</w:t>
      </w:r>
      <w:r w:rsidR="006436CA" w:rsidRPr="00D869E3">
        <w:rPr>
          <w:rFonts w:ascii="Verdana" w:hAnsi="Verdana"/>
          <w:sz w:val="16"/>
          <w:szCs w:val="16"/>
          <w:lang w:val="en-US"/>
        </w:rPr>
        <w:t>”</w:t>
      </w:r>
      <w:r w:rsidR="00F83E8F" w:rsidRPr="00D869E3">
        <w:rPr>
          <w:rStyle w:val="Refdenotaalpie"/>
          <w:sz w:val="16"/>
          <w:szCs w:val="16"/>
          <w:lang w:val="en-US"/>
        </w:rPr>
        <w:footnoteReference w:id="284"/>
      </w:r>
    </w:p>
    <w:p w14:paraId="5134A73D" w14:textId="77777777" w:rsidR="00F83E8F" w:rsidRPr="00D869E3" w:rsidRDefault="00F83E8F" w:rsidP="00F83E8F">
      <w:pPr>
        <w:pStyle w:val="Prrafodelista"/>
        <w:ind w:left="0"/>
        <w:jc w:val="both"/>
        <w:rPr>
          <w:rFonts w:ascii="Verdana" w:hAnsi="Verdana"/>
          <w:sz w:val="20"/>
          <w:szCs w:val="20"/>
          <w:lang w:val="en-US"/>
        </w:rPr>
      </w:pPr>
    </w:p>
    <w:p w14:paraId="6C00C039" w14:textId="600D557A" w:rsidR="00F83E8F" w:rsidRPr="00D869E3" w:rsidRDefault="006F6FD2" w:rsidP="00F83E8F">
      <w:pPr>
        <w:pStyle w:val="Prrafodelista"/>
        <w:numPr>
          <w:ilvl w:val="0"/>
          <w:numId w:val="27"/>
        </w:numPr>
        <w:ind w:left="0" w:firstLine="0"/>
        <w:jc w:val="both"/>
        <w:rPr>
          <w:rFonts w:ascii="Verdana" w:hAnsi="Verdana"/>
          <w:sz w:val="20"/>
          <w:szCs w:val="20"/>
          <w:lang w:val="en-US"/>
        </w:rPr>
      </w:pPr>
      <w:r w:rsidRPr="00D869E3">
        <w:rPr>
          <w:rFonts w:ascii="Verdana" w:hAnsi="Verdana"/>
          <w:sz w:val="20"/>
          <w:szCs w:val="20"/>
          <w:lang w:val="en-US"/>
        </w:rPr>
        <w:t xml:space="preserve">In addition, to the provisions of the American Convention, and reaffirming this purpose, in 2012, the States of the Americas adopted, unanimously, </w:t>
      </w:r>
      <w:r w:rsidR="00A25801" w:rsidRPr="00D869E3">
        <w:rPr>
          <w:rFonts w:ascii="Verdana" w:hAnsi="Verdana"/>
          <w:sz w:val="20"/>
          <w:szCs w:val="20"/>
          <w:lang w:val="en-US"/>
        </w:rPr>
        <w:t>the Social Charter of the Americas</w:t>
      </w:r>
      <w:r w:rsidR="00F83E8F" w:rsidRPr="00D869E3">
        <w:rPr>
          <w:rFonts w:ascii="Verdana" w:hAnsi="Verdana"/>
          <w:sz w:val="20"/>
          <w:szCs w:val="20"/>
          <w:lang w:val="en-US"/>
        </w:rPr>
        <w:t xml:space="preserve"> </w:t>
      </w:r>
      <w:r w:rsidRPr="00D869E3">
        <w:rPr>
          <w:rFonts w:ascii="Verdana" w:hAnsi="Verdana"/>
          <w:sz w:val="20"/>
          <w:szCs w:val="20"/>
          <w:lang w:val="en-US"/>
        </w:rPr>
        <w:t>with the clear purpose established in its Preamble</w:t>
      </w:r>
      <w:r w:rsidR="00A4750D" w:rsidRPr="00D869E3">
        <w:rPr>
          <w:rFonts w:ascii="Verdana" w:hAnsi="Verdana"/>
          <w:sz w:val="20"/>
          <w:szCs w:val="20"/>
          <w:lang w:val="en-US"/>
        </w:rPr>
        <w:t>:</w:t>
      </w:r>
    </w:p>
    <w:p w14:paraId="73DB4E94" w14:textId="77777777" w:rsidR="00F83E8F" w:rsidRPr="00D869E3" w:rsidRDefault="00F83E8F" w:rsidP="00F83E8F">
      <w:pPr>
        <w:pStyle w:val="Prrafodelista"/>
        <w:ind w:left="0"/>
        <w:jc w:val="both"/>
        <w:rPr>
          <w:rFonts w:ascii="Verdana" w:hAnsi="Verdana"/>
          <w:sz w:val="20"/>
          <w:szCs w:val="20"/>
          <w:lang w:val="en-US"/>
        </w:rPr>
      </w:pPr>
    </w:p>
    <w:p w14:paraId="3054A6E7" w14:textId="35CD5380" w:rsidR="00B05098" w:rsidRPr="00D869E3" w:rsidRDefault="00B05098" w:rsidP="00B05098">
      <w:pPr>
        <w:ind w:left="720" w:right="656"/>
        <w:jc w:val="both"/>
        <w:rPr>
          <w:rFonts w:ascii="Verdana" w:eastAsia="Times New Roman" w:hAnsi="Verdana"/>
          <w:b/>
          <w:i/>
          <w:iCs/>
          <w:color w:val="000000"/>
          <w:sz w:val="16"/>
          <w:szCs w:val="16"/>
          <w:lang w:val="en-US"/>
        </w:rPr>
      </w:pPr>
      <w:r w:rsidRPr="00D869E3">
        <w:rPr>
          <w:rFonts w:ascii="Verdana" w:hAnsi="Verdana"/>
          <w:b/>
          <w:i/>
          <w:iCs/>
          <w:color w:val="000000"/>
          <w:sz w:val="16"/>
          <w:szCs w:val="16"/>
          <w:lang w:val="en-US"/>
        </w:rPr>
        <w:t>Recognizing the need to strengthen the inter-American system with an instrument to guide action and partnership-for-development activities designed to promote integral development and observance of economic, social, and cultural rights, as well as the elimination of poverty and inequality.</w:t>
      </w:r>
    </w:p>
    <w:p w14:paraId="3FA1A788" w14:textId="77777777" w:rsidR="00F83E8F" w:rsidRPr="00D869E3" w:rsidRDefault="00F83E8F" w:rsidP="00F83E8F">
      <w:pPr>
        <w:rPr>
          <w:rFonts w:ascii="Verdana" w:hAnsi="Verdana"/>
          <w:szCs w:val="20"/>
          <w:lang w:val="en-US"/>
        </w:rPr>
      </w:pPr>
    </w:p>
    <w:p w14:paraId="26CA881E" w14:textId="3D80F5A1" w:rsidR="00B05098" w:rsidRPr="00D869E3" w:rsidRDefault="00B05098" w:rsidP="00F83E8F">
      <w:pPr>
        <w:pStyle w:val="Prrafodelista"/>
        <w:numPr>
          <w:ilvl w:val="0"/>
          <w:numId w:val="27"/>
        </w:numPr>
        <w:ind w:left="0" w:firstLine="0"/>
        <w:jc w:val="both"/>
        <w:rPr>
          <w:rFonts w:ascii="Verdana" w:hAnsi="Verdana"/>
          <w:sz w:val="20"/>
          <w:szCs w:val="20"/>
          <w:lang w:val="en-US"/>
        </w:rPr>
      </w:pPr>
      <w:r w:rsidRPr="00D869E3">
        <w:rPr>
          <w:rFonts w:ascii="Verdana" w:hAnsi="Verdana"/>
          <w:sz w:val="20"/>
          <w:szCs w:val="20"/>
          <w:lang w:val="en-US"/>
        </w:rPr>
        <w:t>Therefore, all these social and State efforts addressed at strengthening the implementation of the ESCER would not be reasonable if the Inter-American Court continued to examine these rights only indirectly, even when they were the main issue of the victim’s petition and of the whole proceedings, as in this case.</w:t>
      </w:r>
    </w:p>
    <w:p w14:paraId="4E2FD8E4" w14:textId="77777777" w:rsidR="00F83E8F" w:rsidRPr="00D869E3" w:rsidRDefault="00F83E8F" w:rsidP="00F83E8F">
      <w:pPr>
        <w:rPr>
          <w:rFonts w:ascii="Verdana" w:hAnsi="Verdana"/>
          <w:szCs w:val="20"/>
          <w:lang w:val="en-US"/>
        </w:rPr>
      </w:pPr>
    </w:p>
    <w:p w14:paraId="1CA08955" w14:textId="42ABFF17" w:rsidR="00F83E8F" w:rsidRPr="00D869E3" w:rsidRDefault="00B05098" w:rsidP="00B05098">
      <w:pPr>
        <w:pStyle w:val="Prrafodelista"/>
        <w:numPr>
          <w:ilvl w:val="0"/>
          <w:numId w:val="27"/>
        </w:numPr>
        <w:ind w:left="0" w:firstLine="0"/>
        <w:jc w:val="both"/>
        <w:rPr>
          <w:rFonts w:ascii="Verdana" w:hAnsi="Verdana"/>
          <w:sz w:val="20"/>
          <w:szCs w:val="20"/>
          <w:lang w:val="en-US"/>
        </w:rPr>
      </w:pPr>
      <w:r w:rsidRPr="00D869E3">
        <w:rPr>
          <w:rFonts w:ascii="Verdana" w:hAnsi="Verdana"/>
          <w:sz w:val="20"/>
          <w:szCs w:val="20"/>
          <w:lang w:val="en-US"/>
        </w:rPr>
        <w:t>Indeed</w:t>
      </w:r>
      <w:r w:rsidR="00F83E8F" w:rsidRPr="00D869E3">
        <w:rPr>
          <w:rFonts w:ascii="Verdana" w:hAnsi="Verdana"/>
          <w:sz w:val="20"/>
          <w:szCs w:val="20"/>
          <w:lang w:val="en-US"/>
        </w:rPr>
        <w:t xml:space="preserve">, </w:t>
      </w:r>
      <w:r w:rsidR="000B2E5E" w:rsidRPr="00D869E3">
        <w:rPr>
          <w:rFonts w:ascii="Verdana" w:hAnsi="Verdana"/>
          <w:sz w:val="20"/>
          <w:szCs w:val="20"/>
          <w:lang w:val="en-US"/>
        </w:rPr>
        <w:t xml:space="preserve">the </w:t>
      </w:r>
      <w:r w:rsidR="00301DBE" w:rsidRPr="00D869E3">
        <w:rPr>
          <w:rFonts w:ascii="Verdana" w:hAnsi="Verdana"/>
          <w:sz w:val="20"/>
          <w:szCs w:val="20"/>
          <w:lang w:val="en-US"/>
        </w:rPr>
        <w:t>right to work</w:t>
      </w:r>
      <w:r w:rsidR="00F83E8F" w:rsidRPr="00D869E3">
        <w:rPr>
          <w:rFonts w:ascii="Verdana" w:hAnsi="Verdana"/>
          <w:sz w:val="20"/>
          <w:szCs w:val="20"/>
          <w:lang w:val="en-US"/>
        </w:rPr>
        <w:t xml:space="preserve"> ha</w:t>
      </w:r>
      <w:r w:rsidRPr="00D869E3">
        <w:rPr>
          <w:rFonts w:ascii="Verdana" w:hAnsi="Verdana"/>
          <w:sz w:val="20"/>
          <w:szCs w:val="20"/>
          <w:lang w:val="en-US"/>
        </w:rPr>
        <w:t xml:space="preserve">s been recognized in different international instruments and in contemporary constitutional texts as one of the basic elements for the full realization of human rights, in their two dimensions: that of the so-called civil and political rights, and that </w:t>
      </w:r>
      <w:r w:rsidR="00EA232B" w:rsidRPr="00D869E3">
        <w:rPr>
          <w:rFonts w:ascii="Verdana" w:hAnsi="Verdana"/>
          <w:sz w:val="20"/>
          <w:szCs w:val="20"/>
          <w:lang w:val="en-US"/>
        </w:rPr>
        <w:t xml:space="preserve">of the </w:t>
      </w:r>
      <w:r w:rsidR="00170AA6" w:rsidRPr="00D869E3">
        <w:rPr>
          <w:rFonts w:ascii="Verdana" w:hAnsi="Verdana"/>
          <w:sz w:val="20"/>
          <w:szCs w:val="20"/>
          <w:lang w:val="en-US"/>
        </w:rPr>
        <w:t>social</w:t>
      </w:r>
      <w:r w:rsidRPr="00D869E3">
        <w:rPr>
          <w:rFonts w:ascii="Verdana" w:hAnsi="Verdana"/>
          <w:sz w:val="20"/>
          <w:szCs w:val="20"/>
          <w:lang w:val="en-US"/>
        </w:rPr>
        <w:t>, economic, cultural and environmental</w:t>
      </w:r>
      <w:r w:rsidR="00170AA6" w:rsidRPr="00D869E3">
        <w:rPr>
          <w:rFonts w:ascii="Verdana" w:hAnsi="Verdana"/>
          <w:sz w:val="20"/>
          <w:szCs w:val="20"/>
          <w:lang w:val="en-US"/>
        </w:rPr>
        <w:t xml:space="preserve"> rights</w:t>
      </w:r>
      <w:r w:rsidRPr="00D869E3">
        <w:rPr>
          <w:rFonts w:ascii="Verdana" w:hAnsi="Verdana"/>
          <w:sz w:val="20"/>
          <w:szCs w:val="20"/>
          <w:lang w:val="en-US"/>
        </w:rPr>
        <w:t xml:space="preserve">. As an essential element of social </w:t>
      </w:r>
      <w:r w:rsidRPr="00D869E3">
        <w:rPr>
          <w:rFonts w:ascii="Verdana" w:hAnsi="Verdana"/>
          <w:sz w:val="20"/>
          <w:szCs w:val="20"/>
          <w:lang w:val="en-US"/>
        </w:rPr>
        <w:lastRenderedPageBreak/>
        <w:t xml:space="preserve">integration and a material presumption </w:t>
      </w:r>
      <w:r w:rsidR="00A4750D" w:rsidRPr="00D869E3">
        <w:rPr>
          <w:rFonts w:ascii="Verdana" w:hAnsi="Verdana"/>
          <w:sz w:val="20"/>
          <w:szCs w:val="20"/>
          <w:lang w:val="en-US"/>
        </w:rPr>
        <w:t>on</w:t>
      </w:r>
      <w:r w:rsidRPr="00D869E3">
        <w:rPr>
          <w:rFonts w:ascii="Verdana" w:hAnsi="Verdana"/>
          <w:sz w:val="20"/>
          <w:szCs w:val="20"/>
          <w:lang w:val="en-US"/>
        </w:rPr>
        <w:t xml:space="preserve"> the existence of those rights, work should be, in itself, definitively incorporated into the normative rationale of </w:t>
      </w:r>
      <w:r w:rsidR="00B443B4" w:rsidRPr="00D869E3">
        <w:rPr>
          <w:rFonts w:ascii="Verdana" w:hAnsi="Verdana"/>
          <w:sz w:val="20"/>
          <w:szCs w:val="20"/>
          <w:lang w:val="en-US"/>
        </w:rPr>
        <w:t>human rights</w:t>
      </w:r>
      <w:r w:rsidR="00F83E8F" w:rsidRPr="00D869E3">
        <w:rPr>
          <w:rFonts w:ascii="Verdana" w:hAnsi="Verdana"/>
          <w:sz w:val="20"/>
          <w:szCs w:val="20"/>
          <w:lang w:val="en-US"/>
        </w:rPr>
        <w:t xml:space="preserve">. </w:t>
      </w:r>
    </w:p>
    <w:p w14:paraId="55C147F0" w14:textId="77777777" w:rsidR="00F83E8F" w:rsidRPr="00D869E3" w:rsidRDefault="00F83E8F" w:rsidP="00F83E8F">
      <w:pPr>
        <w:rPr>
          <w:rFonts w:ascii="Verdana" w:hAnsi="Verdana"/>
          <w:szCs w:val="20"/>
          <w:lang w:val="en-US"/>
        </w:rPr>
      </w:pPr>
    </w:p>
    <w:p w14:paraId="72F195A8" w14:textId="22FC3D22" w:rsidR="00F83E8F" w:rsidRPr="00D869E3" w:rsidRDefault="008633AC" w:rsidP="00F83E8F">
      <w:pPr>
        <w:pStyle w:val="Prrafodelista"/>
        <w:numPr>
          <w:ilvl w:val="0"/>
          <w:numId w:val="27"/>
        </w:numPr>
        <w:ind w:left="0" w:firstLine="0"/>
        <w:jc w:val="both"/>
        <w:rPr>
          <w:rFonts w:ascii="Verdana" w:hAnsi="Verdana"/>
          <w:sz w:val="20"/>
          <w:szCs w:val="20"/>
          <w:lang w:val="en-US"/>
        </w:rPr>
      </w:pPr>
      <w:r w:rsidRPr="00D869E3">
        <w:rPr>
          <w:rFonts w:ascii="Verdana" w:hAnsi="Verdana"/>
          <w:sz w:val="20"/>
          <w:szCs w:val="20"/>
          <w:lang w:val="en-US"/>
        </w:rPr>
        <w:t xml:space="preserve">Notwithstanding the above, it is appropriate to recall the considerations in our opinion in the </w:t>
      </w:r>
      <w:r w:rsidR="00447C65" w:rsidRPr="00D869E3">
        <w:rPr>
          <w:rFonts w:ascii="Verdana" w:hAnsi="Verdana"/>
          <w:i/>
          <w:sz w:val="20"/>
          <w:szCs w:val="20"/>
          <w:lang w:val="en-US"/>
        </w:rPr>
        <w:t>Case of</w:t>
      </w:r>
      <w:r w:rsidR="00F83E8F" w:rsidRPr="00D869E3">
        <w:rPr>
          <w:rFonts w:ascii="Verdana" w:hAnsi="Verdana"/>
          <w:i/>
          <w:sz w:val="20"/>
          <w:szCs w:val="20"/>
          <w:lang w:val="en-US"/>
        </w:rPr>
        <w:t xml:space="preserve"> Canales Huapaya</w:t>
      </w:r>
      <w:r w:rsidR="00687684" w:rsidRPr="00D869E3">
        <w:rPr>
          <w:rFonts w:ascii="Verdana" w:hAnsi="Verdana"/>
          <w:i/>
          <w:sz w:val="20"/>
          <w:szCs w:val="20"/>
          <w:lang w:val="en-US"/>
        </w:rPr>
        <w:t xml:space="preserve"> </w:t>
      </w:r>
      <w:r w:rsidR="00301DBE" w:rsidRPr="00D869E3">
        <w:rPr>
          <w:rFonts w:ascii="Verdana" w:hAnsi="Verdana"/>
          <w:i/>
          <w:sz w:val="20"/>
          <w:szCs w:val="20"/>
          <w:lang w:val="en-US"/>
        </w:rPr>
        <w:t>et al. v.</w:t>
      </w:r>
      <w:r w:rsidR="00F83E8F" w:rsidRPr="00D869E3">
        <w:rPr>
          <w:rFonts w:ascii="Verdana" w:hAnsi="Verdana"/>
          <w:i/>
          <w:sz w:val="20"/>
          <w:szCs w:val="20"/>
          <w:lang w:val="en-US"/>
        </w:rPr>
        <w:t xml:space="preserve"> </w:t>
      </w:r>
      <w:r w:rsidR="00447C65" w:rsidRPr="00D869E3">
        <w:rPr>
          <w:rFonts w:ascii="Verdana" w:hAnsi="Verdana"/>
          <w:i/>
          <w:sz w:val="20"/>
          <w:szCs w:val="20"/>
          <w:lang w:val="en-US"/>
        </w:rPr>
        <w:t>Peru</w:t>
      </w:r>
      <w:r w:rsidR="00F83E8F" w:rsidRPr="00D869E3">
        <w:rPr>
          <w:rFonts w:ascii="Verdana" w:hAnsi="Verdana"/>
          <w:i/>
          <w:sz w:val="20"/>
          <w:szCs w:val="20"/>
          <w:lang w:val="en-US"/>
        </w:rPr>
        <w:t xml:space="preserve"> </w:t>
      </w:r>
      <w:r w:rsidRPr="00D869E3">
        <w:rPr>
          <w:rFonts w:ascii="Verdana" w:hAnsi="Verdana"/>
          <w:sz w:val="20"/>
          <w:szCs w:val="20"/>
          <w:lang w:val="en-US"/>
        </w:rPr>
        <w:t xml:space="preserve">on the scope </w:t>
      </w:r>
      <w:r w:rsidR="00A157F5" w:rsidRPr="00D869E3">
        <w:rPr>
          <w:rFonts w:ascii="Verdana" w:hAnsi="Verdana"/>
          <w:sz w:val="20"/>
          <w:szCs w:val="20"/>
          <w:lang w:val="en-US"/>
        </w:rPr>
        <w:t xml:space="preserve">of the </w:t>
      </w:r>
      <w:r w:rsidR="00301DBE" w:rsidRPr="00D869E3">
        <w:rPr>
          <w:rFonts w:ascii="Verdana" w:hAnsi="Verdana"/>
          <w:sz w:val="20"/>
          <w:szCs w:val="20"/>
          <w:lang w:val="en-US"/>
        </w:rPr>
        <w:t>right to work</w:t>
      </w:r>
      <w:r w:rsidR="00F83E8F" w:rsidRPr="00D869E3">
        <w:rPr>
          <w:rFonts w:ascii="Verdana" w:hAnsi="Verdana"/>
          <w:sz w:val="20"/>
          <w:szCs w:val="20"/>
          <w:lang w:val="en-US"/>
        </w:rPr>
        <w:t xml:space="preserve"> </w:t>
      </w:r>
      <w:r w:rsidRPr="00D869E3">
        <w:rPr>
          <w:rFonts w:ascii="Verdana" w:hAnsi="Verdana"/>
          <w:sz w:val="20"/>
          <w:szCs w:val="20"/>
          <w:lang w:val="en-US"/>
        </w:rPr>
        <w:t xml:space="preserve">in light </w:t>
      </w:r>
      <w:r w:rsidR="00447C65" w:rsidRPr="00D869E3">
        <w:rPr>
          <w:rFonts w:ascii="Verdana" w:hAnsi="Verdana"/>
          <w:sz w:val="20"/>
          <w:szCs w:val="20"/>
          <w:lang w:val="en-US"/>
        </w:rPr>
        <w:t>of the Convention</w:t>
      </w:r>
      <w:r w:rsidR="000B1116" w:rsidRPr="00D869E3">
        <w:rPr>
          <w:rFonts w:ascii="Verdana" w:hAnsi="Verdana"/>
          <w:sz w:val="20"/>
          <w:szCs w:val="20"/>
          <w:lang w:val="en-US"/>
        </w:rPr>
        <w:t>, that</w:t>
      </w:r>
      <w:r w:rsidRPr="00D869E3">
        <w:rPr>
          <w:rFonts w:ascii="Verdana" w:hAnsi="Verdana"/>
          <w:sz w:val="20"/>
          <w:szCs w:val="20"/>
          <w:lang w:val="en-US"/>
        </w:rPr>
        <w:t>:</w:t>
      </w:r>
      <w:r w:rsidR="00F83E8F" w:rsidRPr="00D869E3">
        <w:rPr>
          <w:rFonts w:ascii="Verdana" w:hAnsi="Verdana"/>
          <w:sz w:val="20"/>
          <w:szCs w:val="20"/>
          <w:lang w:val="en-US"/>
        </w:rPr>
        <w:t xml:space="preserve"> </w:t>
      </w:r>
      <w:r w:rsidR="006436CA" w:rsidRPr="00D869E3">
        <w:rPr>
          <w:rFonts w:ascii="Verdana" w:hAnsi="Verdana"/>
          <w:sz w:val="20"/>
          <w:szCs w:val="20"/>
          <w:lang w:val="en-US"/>
        </w:rPr>
        <w:t>“</w:t>
      </w:r>
      <w:r w:rsidRPr="00D869E3">
        <w:rPr>
          <w:rFonts w:ascii="Verdana" w:hAnsi="Verdana"/>
          <w:sz w:val="20"/>
          <w:szCs w:val="20"/>
          <w:lang w:val="en-US"/>
        </w:rPr>
        <w:t xml:space="preserve">this understanding </w:t>
      </w:r>
      <w:r w:rsidR="00A157F5" w:rsidRPr="00D869E3">
        <w:rPr>
          <w:rFonts w:ascii="Verdana" w:hAnsi="Verdana"/>
          <w:sz w:val="20"/>
          <w:szCs w:val="20"/>
          <w:lang w:val="en-US"/>
        </w:rPr>
        <w:t xml:space="preserve">of the </w:t>
      </w:r>
      <w:r w:rsidR="00301DBE" w:rsidRPr="00D869E3">
        <w:rPr>
          <w:rFonts w:ascii="Verdana" w:hAnsi="Verdana"/>
          <w:sz w:val="20"/>
          <w:szCs w:val="20"/>
          <w:lang w:val="en-US"/>
        </w:rPr>
        <w:t>right to work</w:t>
      </w:r>
      <w:r w:rsidR="00F83E8F" w:rsidRPr="00D869E3">
        <w:rPr>
          <w:rFonts w:ascii="Verdana" w:hAnsi="Verdana"/>
          <w:sz w:val="20"/>
          <w:szCs w:val="20"/>
          <w:lang w:val="en-US"/>
        </w:rPr>
        <w:t xml:space="preserve"> </w:t>
      </w:r>
      <w:r w:rsidRPr="00D869E3">
        <w:rPr>
          <w:rFonts w:ascii="Verdana" w:hAnsi="Verdana"/>
          <w:sz w:val="20"/>
          <w:szCs w:val="20"/>
          <w:lang w:val="en-US"/>
        </w:rPr>
        <w:t>as directly fundamental in the States</w:t>
      </w:r>
      <w:r w:rsidR="000B1116" w:rsidRPr="00D869E3">
        <w:rPr>
          <w:rFonts w:ascii="Verdana" w:hAnsi="Verdana"/>
          <w:sz w:val="20"/>
          <w:szCs w:val="20"/>
          <w:lang w:val="en-US"/>
        </w:rPr>
        <w:t>,</w:t>
      </w:r>
      <w:r w:rsidRPr="00D869E3">
        <w:rPr>
          <w:rFonts w:ascii="Verdana" w:hAnsi="Verdana"/>
          <w:sz w:val="20"/>
          <w:szCs w:val="20"/>
          <w:lang w:val="en-US"/>
        </w:rPr>
        <w:t xml:space="preserve"> or of the direct justiciability </w:t>
      </w:r>
      <w:r w:rsidR="00A157F5" w:rsidRPr="00D869E3">
        <w:rPr>
          <w:rFonts w:ascii="Verdana" w:hAnsi="Verdana"/>
          <w:sz w:val="20"/>
          <w:szCs w:val="20"/>
          <w:lang w:val="en-US"/>
        </w:rPr>
        <w:t xml:space="preserve">of the </w:t>
      </w:r>
      <w:r w:rsidR="00301DBE" w:rsidRPr="00D869E3">
        <w:rPr>
          <w:rFonts w:ascii="Verdana" w:hAnsi="Verdana"/>
          <w:sz w:val="20"/>
          <w:szCs w:val="20"/>
          <w:lang w:val="en-US"/>
        </w:rPr>
        <w:t>right to work</w:t>
      </w:r>
      <w:r w:rsidR="00F83E8F" w:rsidRPr="00D869E3">
        <w:rPr>
          <w:rFonts w:ascii="Verdana" w:hAnsi="Verdana"/>
          <w:sz w:val="20"/>
          <w:szCs w:val="20"/>
          <w:lang w:val="en-US"/>
        </w:rPr>
        <w:t xml:space="preserve"> </w:t>
      </w:r>
      <w:r w:rsidRPr="00D869E3">
        <w:rPr>
          <w:rFonts w:ascii="Verdana" w:hAnsi="Verdana"/>
          <w:sz w:val="20"/>
          <w:szCs w:val="20"/>
          <w:lang w:val="en-US"/>
        </w:rPr>
        <w:t>under</w:t>
      </w:r>
      <w:r w:rsidR="00447C65" w:rsidRPr="00D869E3">
        <w:rPr>
          <w:rFonts w:ascii="Verdana" w:hAnsi="Verdana"/>
          <w:sz w:val="20"/>
          <w:szCs w:val="20"/>
          <w:lang w:val="en-US"/>
        </w:rPr>
        <w:t xml:space="preserve"> the American Convention</w:t>
      </w:r>
      <w:r w:rsidR="00F83E8F" w:rsidRPr="00D869E3">
        <w:rPr>
          <w:rFonts w:ascii="Verdana" w:hAnsi="Verdana"/>
          <w:sz w:val="20"/>
          <w:szCs w:val="20"/>
          <w:lang w:val="en-US"/>
        </w:rPr>
        <w:t xml:space="preserve">, </w:t>
      </w:r>
      <w:r w:rsidRPr="00D869E3">
        <w:rPr>
          <w:rFonts w:ascii="Verdana" w:hAnsi="Verdana"/>
          <w:sz w:val="20"/>
          <w:szCs w:val="20"/>
          <w:lang w:val="en-US"/>
        </w:rPr>
        <w:t xml:space="preserve">does not mean understanding </w:t>
      </w:r>
      <w:r w:rsidR="00A157F5" w:rsidRPr="00D869E3">
        <w:rPr>
          <w:rFonts w:ascii="Verdana" w:hAnsi="Verdana"/>
          <w:sz w:val="20"/>
          <w:szCs w:val="20"/>
          <w:lang w:val="en-US"/>
        </w:rPr>
        <w:t xml:space="preserve">the </w:t>
      </w:r>
      <w:r w:rsidR="00301DBE" w:rsidRPr="00D869E3">
        <w:rPr>
          <w:rFonts w:ascii="Verdana" w:hAnsi="Verdana"/>
          <w:sz w:val="20"/>
          <w:szCs w:val="20"/>
          <w:lang w:val="en-US"/>
        </w:rPr>
        <w:t>right to work</w:t>
      </w:r>
      <w:r w:rsidR="00F83E8F" w:rsidRPr="00D869E3">
        <w:rPr>
          <w:rFonts w:ascii="Verdana" w:hAnsi="Verdana"/>
          <w:sz w:val="20"/>
          <w:szCs w:val="20"/>
          <w:lang w:val="en-US"/>
        </w:rPr>
        <w:t xml:space="preserve"> </w:t>
      </w:r>
      <w:r w:rsidRPr="00D869E3">
        <w:rPr>
          <w:rFonts w:ascii="Verdana" w:hAnsi="Verdana"/>
          <w:sz w:val="20"/>
          <w:szCs w:val="20"/>
          <w:lang w:val="en-US"/>
        </w:rPr>
        <w:t>as an absolute right, as a right without limits, or that it must be protected every time it is cited.” Also, each time a presumed victim alleges that a right has been violated, the Court analyzes the obligations of the State to guarantee and to ensure rights in each specific case.</w:t>
      </w:r>
    </w:p>
    <w:p w14:paraId="39073535" w14:textId="77777777" w:rsidR="00F83E8F" w:rsidRPr="00D869E3" w:rsidRDefault="00F83E8F" w:rsidP="00F83E8F">
      <w:pPr>
        <w:pStyle w:val="Prrafodelista"/>
        <w:ind w:left="0"/>
        <w:jc w:val="both"/>
        <w:rPr>
          <w:rFonts w:ascii="Verdana" w:hAnsi="Verdana"/>
          <w:sz w:val="20"/>
          <w:szCs w:val="20"/>
          <w:lang w:val="en-US"/>
        </w:rPr>
      </w:pPr>
    </w:p>
    <w:p w14:paraId="649110BD" w14:textId="78257F5C" w:rsidR="00F83E8F" w:rsidRPr="00D869E3" w:rsidRDefault="008633AC" w:rsidP="00F83E8F">
      <w:pPr>
        <w:pStyle w:val="Style1"/>
        <w:spacing w:after="0" w:line="240" w:lineRule="auto"/>
        <w:ind w:left="0"/>
        <w:rPr>
          <w:lang w:val="en-US"/>
        </w:rPr>
      </w:pPr>
      <w:r w:rsidRPr="00D869E3">
        <w:rPr>
          <w:lang w:val="en-US"/>
        </w:rPr>
        <w:t>Final c</w:t>
      </w:r>
      <w:r w:rsidR="001D1B96" w:rsidRPr="00D869E3">
        <w:rPr>
          <w:lang w:val="en-US"/>
        </w:rPr>
        <w:t>onsiderations</w:t>
      </w:r>
    </w:p>
    <w:p w14:paraId="2C3BFE60" w14:textId="77777777" w:rsidR="00F83E8F" w:rsidRPr="00D869E3" w:rsidRDefault="00F83E8F" w:rsidP="00F83E8F">
      <w:pPr>
        <w:pStyle w:val="Style1"/>
        <w:numPr>
          <w:ilvl w:val="0"/>
          <w:numId w:val="0"/>
        </w:numPr>
        <w:spacing w:after="0" w:line="240" w:lineRule="auto"/>
        <w:jc w:val="both"/>
        <w:rPr>
          <w:lang w:val="en-US"/>
        </w:rPr>
      </w:pPr>
    </w:p>
    <w:p w14:paraId="149A68F1" w14:textId="35B157EA" w:rsidR="00F83E8F" w:rsidRPr="00D869E3" w:rsidRDefault="00877BD9" w:rsidP="00877BD9">
      <w:pPr>
        <w:pStyle w:val="Prrafodelista"/>
        <w:numPr>
          <w:ilvl w:val="0"/>
          <w:numId w:val="27"/>
        </w:numPr>
        <w:ind w:left="0" w:firstLine="0"/>
        <w:jc w:val="both"/>
        <w:rPr>
          <w:rFonts w:ascii="Verdana" w:hAnsi="Verdana"/>
          <w:sz w:val="20"/>
          <w:szCs w:val="20"/>
          <w:lang w:val="en-US"/>
        </w:rPr>
      </w:pPr>
      <w:r w:rsidRPr="00D869E3">
        <w:rPr>
          <w:rFonts w:ascii="Verdana" w:hAnsi="Verdana"/>
          <w:sz w:val="20"/>
          <w:szCs w:val="20"/>
          <w:lang w:val="en-US"/>
        </w:rPr>
        <w:t xml:space="preserve">Based on the above, I reaffirm my </w:t>
      </w:r>
      <w:r w:rsidR="000B1116" w:rsidRPr="00D869E3">
        <w:rPr>
          <w:rFonts w:ascii="Verdana" w:hAnsi="Verdana"/>
          <w:sz w:val="20"/>
          <w:szCs w:val="20"/>
          <w:lang w:val="en-US"/>
        </w:rPr>
        <w:t>support for</w:t>
      </w:r>
      <w:r w:rsidRPr="00D869E3">
        <w:rPr>
          <w:rFonts w:ascii="Verdana" w:hAnsi="Verdana"/>
          <w:sz w:val="20"/>
          <w:szCs w:val="20"/>
          <w:lang w:val="en-US"/>
        </w:rPr>
        <w:t xml:space="preserve"> this important judgment, with the simple procedural exception that, in my opinion, in this case it was not necessary to apply the </w:t>
      </w:r>
      <w:r w:rsidRPr="00D869E3">
        <w:rPr>
          <w:rFonts w:ascii="Verdana" w:hAnsi="Verdana"/>
          <w:i/>
          <w:sz w:val="20"/>
          <w:szCs w:val="20"/>
          <w:lang w:val="en-US"/>
        </w:rPr>
        <w:t xml:space="preserve">iura novit curia </w:t>
      </w:r>
      <w:r w:rsidRPr="00D869E3">
        <w:rPr>
          <w:rFonts w:ascii="Verdana" w:hAnsi="Verdana"/>
          <w:sz w:val="20"/>
          <w:szCs w:val="20"/>
          <w:lang w:val="en-US"/>
        </w:rPr>
        <w:t xml:space="preserve">principle to be able to declare </w:t>
      </w:r>
      <w:r w:rsidR="007013E2" w:rsidRPr="00D869E3">
        <w:rPr>
          <w:rFonts w:ascii="Verdana" w:hAnsi="Verdana"/>
          <w:sz w:val="20"/>
          <w:szCs w:val="20"/>
          <w:lang w:val="en-US"/>
        </w:rPr>
        <w:t>the violation</w:t>
      </w:r>
      <w:r w:rsidR="00F83E8F" w:rsidRPr="00D869E3">
        <w:rPr>
          <w:rFonts w:ascii="Verdana" w:hAnsi="Verdana"/>
          <w:sz w:val="20"/>
          <w:szCs w:val="20"/>
          <w:lang w:val="en-US"/>
        </w:rPr>
        <w:t xml:space="preserve"> </w:t>
      </w:r>
      <w:r w:rsidR="00687684" w:rsidRPr="00D869E3">
        <w:rPr>
          <w:rFonts w:ascii="Verdana" w:hAnsi="Verdana"/>
          <w:sz w:val="20"/>
          <w:szCs w:val="20"/>
          <w:lang w:val="en-US"/>
        </w:rPr>
        <w:t>of Article</w:t>
      </w:r>
      <w:r w:rsidR="00F83E8F" w:rsidRPr="00D869E3">
        <w:rPr>
          <w:rFonts w:ascii="Verdana" w:hAnsi="Verdana"/>
          <w:sz w:val="20"/>
          <w:szCs w:val="20"/>
          <w:lang w:val="en-US"/>
        </w:rPr>
        <w:t xml:space="preserve"> 26 </w:t>
      </w:r>
      <w:r w:rsidRPr="00D869E3">
        <w:rPr>
          <w:rFonts w:ascii="Verdana" w:hAnsi="Verdana"/>
          <w:sz w:val="20"/>
          <w:szCs w:val="20"/>
          <w:lang w:val="en-US"/>
        </w:rPr>
        <w:t>of the Convention.  This detail does not change the result. I repeat that this Court has take</w:t>
      </w:r>
      <w:r w:rsidR="00F2424F" w:rsidRPr="00D869E3">
        <w:rPr>
          <w:rFonts w:ascii="Verdana" w:hAnsi="Verdana"/>
          <w:sz w:val="20"/>
          <w:szCs w:val="20"/>
          <w:lang w:val="en-US"/>
        </w:rPr>
        <w:t>n</w:t>
      </w:r>
      <w:r w:rsidRPr="00D869E3">
        <w:rPr>
          <w:rFonts w:ascii="Verdana" w:hAnsi="Verdana"/>
          <w:sz w:val="20"/>
          <w:szCs w:val="20"/>
          <w:lang w:val="en-US"/>
        </w:rPr>
        <w:t xml:space="preserve"> a significant and historic step forward by declaring the justic</w:t>
      </w:r>
      <w:r w:rsidR="00F2424F" w:rsidRPr="00D869E3">
        <w:rPr>
          <w:rFonts w:ascii="Verdana" w:hAnsi="Verdana"/>
          <w:sz w:val="20"/>
          <w:szCs w:val="20"/>
          <w:lang w:val="en-US"/>
        </w:rPr>
        <w:t xml:space="preserve">iable nature of the right to work and of job security and, with this, a new era for the </w:t>
      </w:r>
      <w:r w:rsidR="000B1116" w:rsidRPr="00D869E3">
        <w:rPr>
          <w:rFonts w:ascii="Verdana" w:hAnsi="Verdana"/>
          <w:sz w:val="20"/>
          <w:szCs w:val="20"/>
          <w:lang w:val="en-US"/>
        </w:rPr>
        <w:t xml:space="preserve">more comprehensive </w:t>
      </w:r>
      <w:r w:rsidR="00F2424F" w:rsidRPr="00D869E3">
        <w:rPr>
          <w:rFonts w:ascii="Verdana" w:hAnsi="Verdana"/>
          <w:sz w:val="20"/>
          <w:szCs w:val="20"/>
          <w:lang w:val="en-US"/>
        </w:rPr>
        <w:t xml:space="preserve">protection of all </w:t>
      </w:r>
      <w:r w:rsidR="000B1116" w:rsidRPr="00D869E3">
        <w:rPr>
          <w:rFonts w:ascii="Verdana" w:hAnsi="Verdana"/>
          <w:sz w:val="20"/>
          <w:szCs w:val="20"/>
          <w:lang w:val="en-US"/>
        </w:rPr>
        <w:t xml:space="preserve">interdependent and indivisible human rights. </w:t>
      </w:r>
    </w:p>
    <w:p w14:paraId="02B8A4A5" w14:textId="77777777" w:rsidR="00F83E8F" w:rsidRPr="00D869E3" w:rsidRDefault="00F83E8F" w:rsidP="00F83E8F">
      <w:pPr>
        <w:rPr>
          <w:rFonts w:ascii="Verdana" w:hAnsi="Verdana"/>
          <w:sz w:val="20"/>
          <w:szCs w:val="20"/>
          <w:lang w:val="en-US"/>
        </w:rPr>
      </w:pPr>
    </w:p>
    <w:p w14:paraId="0090FF2C" w14:textId="77777777" w:rsidR="00F83E8F" w:rsidRPr="00D869E3" w:rsidRDefault="00F83E8F" w:rsidP="00F83E8F">
      <w:pPr>
        <w:rPr>
          <w:rFonts w:ascii="Verdana" w:hAnsi="Verdana"/>
          <w:sz w:val="20"/>
          <w:szCs w:val="20"/>
          <w:lang w:val="en-US"/>
        </w:rPr>
      </w:pPr>
    </w:p>
    <w:p w14:paraId="5599FB6D" w14:textId="77777777" w:rsidR="00F83E8F" w:rsidRPr="00D869E3" w:rsidRDefault="00F83E8F" w:rsidP="00F83E8F">
      <w:pPr>
        <w:rPr>
          <w:rFonts w:ascii="Verdana" w:hAnsi="Verdana"/>
          <w:sz w:val="20"/>
          <w:szCs w:val="20"/>
          <w:lang w:val="en-US"/>
        </w:rPr>
      </w:pPr>
    </w:p>
    <w:p w14:paraId="0F4F572B" w14:textId="017E7A70" w:rsidR="00F83E8F" w:rsidRPr="00D869E3" w:rsidRDefault="00F83E8F" w:rsidP="00F83E8F">
      <w:pPr>
        <w:rPr>
          <w:rFonts w:ascii="Verdana" w:hAnsi="Verdana"/>
          <w:sz w:val="20"/>
          <w:szCs w:val="20"/>
          <w:lang w:val="en-US"/>
        </w:rPr>
      </w:pPr>
    </w:p>
    <w:p w14:paraId="71CFB36E" w14:textId="77777777" w:rsidR="00F83E8F" w:rsidRPr="00D869E3" w:rsidRDefault="00F83E8F" w:rsidP="00F83E8F">
      <w:pPr>
        <w:pStyle w:val="NormalWeb"/>
        <w:spacing w:before="0" w:beforeAutospacing="0" w:after="0" w:afterAutospacing="0"/>
        <w:ind w:right="720"/>
        <w:jc w:val="right"/>
        <w:rPr>
          <w:rFonts w:ascii="Verdana" w:eastAsia="Calibri" w:hAnsi="Verdana"/>
          <w:sz w:val="20"/>
          <w:szCs w:val="20"/>
          <w:lang w:eastAsia="en-US"/>
        </w:rPr>
      </w:pPr>
      <w:r w:rsidRPr="00D869E3">
        <w:rPr>
          <w:rFonts w:ascii="Verdana" w:eastAsia="Calibri" w:hAnsi="Verdana"/>
          <w:sz w:val="20"/>
          <w:szCs w:val="20"/>
          <w:lang w:eastAsia="en-US"/>
        </w:rPr>
        <w:t>Roberto F. Caldas</w:t>
      </w:r>
    </w:p>
    <w:p w14:paraId="4823869C" w14:textId="29160AA8" w:rsidR="00F83E8F" w:rsidRPr="00D869E3" w:rsidRDefault="00447C65" w:rsidP="00F83E8F">
      <w:pPr>
        <w:pStyle w:val="NormalWeb"/>
        <w:spacing w:before="0" w:beforeAutospacing="0" w:after="0" w:afterAutospacing="0"/>
        <w:ind w:right="990"/>
        <w:jc w:val="right"/>
        <w:rPr>
          <w:rFonts w:ascii="Verdana" w:eastAsia="Calibri" w:hAnsi="Verdana"/>
          <w:sz w:val="20"/>
          <w:szCs w:val="20"/>
          <w:lang w:eastAsia="en-US"/>
        </w:rPr>
      </w:pPr>
      <w:proofErr w:type="spellStart"/>
      <w:r w:rsidRPr="00D869E3">
        <w:rPr>
          <w:rFonts w:ascii="Verdana" w:eastAsia="Calibri" w:hAnsi="Verdana"/>
          <w:sz w:val="20"/>
          <w:szCs w:val="20"/>
          <w:lang w:eastAsia="en-US"/>
        </w:rPr>
        <w:t>President</w:t>
      </w:r>
      <w:proofErr w:type="spellEnd"/>
    </w:p>
    <w:p w14:paraId="15EFEE0F" w14:textId="77777777" w:rsidR="00F83E8F" w:rsidRPr="00D869E3" w:rsidRDefault="00F83E8F" w:rsidP="00F83E8F">
      <w:pPr>
        <w:rPr>
          <w:rFonts w:ascii="Verdana" w:hAnsi="Verdana"/>
          <w:sz w:val="20"/>
          <w:szCs w:val="20"/>
          <w:lang w:val="es-CR"/>
        </w:rPr>
      </w:pPr>
    </w:p>
    <w:p w14:paraId="308C71B1" w14:textId="77777777" w:rsidR="00F83E8F" w:rsidRPr="00D869E3" w:rsidRDefault="00F83E8F" w:rsidP="00F83E8F">
      <w:pPr>
        <w:rPr>
          <w:rFonts w:ascii="Verdana" w:hAnsi="Verdana"/>
          <w:sz w:val="20"/>
          <w:szCs w:val="20"/>
          <w:lang w:val="es-CR"/>
        </w:rPr>
      </w:pPr>
    </w:p>
    <w:p w14:paraId="16F26EA4" w14:textId="77777777" w:rsidR="00F83E8F" w:rsidRPr="00D869E3" w:rsidRDefault="00F83E8F" w:rsidP="00F83E8F">
      <w:pPr>
        <w:rPr>
          <w:rFonts w:ascii="Verdana" w:hAnsi="Verdana"/>
          <w:sz w:val="20"/>
          <w:szCs w:val="20"/>
          <w:lang w:val="es-CR"/>
        </w:rPr>
      </w:pPr>
    </w:p>
    <w:p w14:paraId="6D8B4D29" w14:textId="77777777" w:rsidR="00F83E8F" w:rsidRPr="00D869E3" w:rsidRDefault="00F83E8F" w:rsidP="00F83E8F">
      <w:pPr>
        <w:rPr>
          <w:rFonts w:ascii="Verdana" w:hAnsi="Verdana"/>
          <w:sz w:val="20"/>
          <w:szCs w:val="20"/>
          <w:lang w:val="es-CR"/>
        </w:rPr>
      </w:pPr>
    </w:p>
    <w:p w14:paraId="141C17F5" w14:textId="77777777" w:rsidR="00F83E8F" w:rsidRPr="00D869E3" w:rsidRDefault="00F83E8F" w:rsidP="00F83E8F">
      <w:pPr>
        <w:rPr>
          <w:rFonts w:ascii="Verdana" w:hAnsi="Verdana"/>
          <w:sz w:val="20"/>
          <w:szCs w:val="20"/>
          <w:lang w:val="es-CR"/>
        </w:rPr>
      </w:pPr>
      <w:r w:rsidRPr="00D869E3">
        <w:rPr>
          <w:rFonts w:ascii="Verdana" w:hAnsi="Verdana"/>
          <w:sz w:val="20"/>
          <w:szCs w:val="20"/>
          <w:lang w:val="es-CR"/>
        </w:rPr>
        <w:t>Pablo Saavedra Alessandri</w:t>
      </w:r>
    </w:p>
    <w:p w14:paraId="14CFC170" w14:textId="49738312" w:rsidR="00F83E8F" w:rsidRPr="00D869E3" w:rsidRDefault="00F83E8F" w:rsidP="00F83E8F">
      <w:pPr>
        <w:ind w:firstLine="720"/>
        <w:rPr>
          <w:rFonts w:ascii="Verdana" w:hAnsi="Verdana"/>
          <w:sz w:val="20"/>
          <w:szCs w:val="20"/>
          <w:lang w:val="en-US"/>
        </w:rPr>
      </w:pPr>
      <w:r w:rsidRPr="00D869E3">
        <w:rPr>
          <w:rFonts w:ascii="Verdana" w:hAnsi="Verdana"/>
          <w:sz w:val="20"/>
          <w:szCs w:val="20"/>
          <w:lang w:val="es-CR"/>
        </w:rPr>
        <w:t xml:space="preserve">  </w:t>
      </w:r>
      <w:r w:rsidRPr="00D869E3">
        <w:rPr>
          <w:rFonts w:ascii="Verdana" w:hAnsi="Verdana"/>
          <w:sz w:val="20"/>
          <w:szCs w:val="20"/>
          <w:lang w:val="en-US"/>
        </w:rPr>
        <w:t>Secretar</w:t>
      </w:r>
      <w:r w:rsidR="0072147D" w:rsidRPr="00D869E3">
        <w:rPr>
          <w:rFonts w:ascii="Verdana" w:hAnsi="Verdana"/>
          <w:sz w:val="20"/>
          <w:szCs w:val="20"/>
          <w:lang w:val="en-US"/>
        </w:rPr>
        <w:t>y</w:t>
      </w:r>
    </w:p>
    <w:p w14:paraId="013C9858" w14:textId="77777777" w:rsidR="00F83E8F" w:rsidRPr="00D869E3" w:rsidRDefault="00F83E8F" w:rsidP="00F83E8F">
      <w:pPr>
        <w:ind w:firstLine="720"/>
        <w:rPr>
          <w:rFonts w:ascii="Verdana" w:hAnsi="Verdana"/>
          <w:szCs w:val="20"/>
          <w:lang w:val="en-US"/>
        </w:rPr>
      </w:pPr>
    </w:p>
    <w:p w14:paraId="26F8DFC5" w14:textId="77777777" w:rsidR="00F83E8F" w:rsidRPr="00D869E3" w:rsidRDefault="00F83E8F" w:rsidP="00C16A26">
      <w:pPr>
        <w:rPr>
          <w:rFonts w:ascii="Verdana" w:hAnsi="Verdana" w:cs="Arial"/>
          <w:szCs w:val="20"/>
          <w:lang w:val="en-US"/>
        </w:rPr>
        <w:sectPr w:rsidR="00F83E8F" w:rsidRPr="00D869E3" w:rsidSect="00F83E8F">
          <w:footnotePr>
            <w:numRestart w:val="eachSect"/>
          </w:footnotePr>
          <w:pgSz w:w="12240" w:h="15840" w:code="1"/>
          <w:pgMar w:top="1247" w:right="1247" w:bottom="1247" w:left="1247" w:header="709" w:footer="709" w:gutter="0"/>
          <w:pgNumType w:start="1"/>
          <w:cols w:space="708"/>
          <w:titlePg/>
          <w:docGrid w:linePitch="360"/>
        </w:sectPr>
      </w:pPr>
    </w:p>
    <w:p w14:paraId="1ABDB6EE" w14:textId="24CFB286" w:rsidR="00F83E8F" w:rsidRPr="00D869E3" w:rsidRDefault="00170AA6" w:rsidP="001B0492">
      <w:pPr>
        <w:jc w:val="center"/>
        <w:rPr>
          <w:rFonts w:ascii="Verdana" w:hAnsi="Verdana"/>
          <w:b/>
          <w:caps/>
          <w:sz w:val="20"/>
          <w:szCs w:val="20"/>
          <w:lang w:val="en-US"/>
        </w:rPr>
      </w:pPr>
      <w:r w:rsidRPr="00D869E3">
        <w:rPr>
          <w:rFonts w:ascii="Verdana" w:hAnsi="Verdana"/>
          <w:b/>
          <w:caps/>
          <w:sz w:val="20"/>
          <w:szCs w:val="20"/>
          <w:lang w:val="en-US"/>
        </w:rPr>
        <w:lastRenderedPageBreak/>
        <w:t>CONCURRING OPINION OF</w:t>
      </w:r>
    </w:p>
    <w:p w14:paraId="7B1F88AC" w14:textId="6F7469CE" w:rsidR="00F83E8F" w:rsidRPr="00D869E3" w:rsidRDefault="00F83E8F" w:rsidP="00F83E8F">
      <w:pPr>
        <w:jc w:val="center"/>
        <w:rPr>
          <w:rFonts w:ascii="Verdana" w:hAnsi="Verdana"/>
          <w:b/>
          <w:caps/>
          <w:sz w:val="20"/>
          <w:szCs w:val="20"/>
          <w:lang w:val="en-US"/>
        </w:rPr>
      </w:pPr>
      <w:r w:rsidRPr="00D869E3">
        <w:rPr>
          <w:rFonts w:ascii="Verdana" w:hAnsi="Verdana"/>
          <w:b/>
          <w:caps/>
          <w:sz w:val="20"/>
          <w:szCs w:val="20"/>
          <w:lang w:val="en-US"/>
        </w:rPr>
        <w:t>JU</w:t>
      </w:r>
      <w:r w:rsidR="00170AA6" w:rsidRPr="00D869E3">
        <w:rPr>
          <w:rFonts w:ascii="Verdana" w:hAnsi="Verdana"/>
          <w:b/>
          <w:caps/>
          <w:sz w:val="20"/>
          <w:szCs w:val="20"/>
          <w:lang w:val="en-US"/>
        </w:rPr>
        <w:t>DGE</w:t>
      </w:r>
      <w:r w:rsidRPr="00D869E3">
        <w:rPr>
          <w:rFonts w:ascii="Verdana" w:hAnsi="Verdana"/>
          <w:b/>
          <w:caps/>
          <w:sz w:val="20"/>
          <w:szCs w:val="20"/>
          <w:lang w:val="en-US"/>
        </w:rPr>
        <w:t xml:space="preserve"> EDUARDO FERRER MAC-GREGOR POISOT</w:t>
      </w:r>
    </w:p>
    <w:p w14:paraId="03CB21E1" w14:textId="77777777" w:rsidR="00F83E8F" w:rsidRPr="00D869E3" w:rsidRDefault="00F83E8F" w:rsidP="00F83E8F">
      <w:pPr>
        <w:jc w:val="center"/>
        <w:rPr>
          <w:rFonts w:ascii="Verdana" w:hAnsi="Verdana"/>
          <w:caps/>
          <w:sz w:val="20"/>
          <w:szCs w:val="20"/>
          <w:lang w:val="en-US"/>
        </w:rPr>
      </w:pPr>
    </w:p>
    <w:p w14:paraId="22DF5DBA" w14:textId="69681C75" w:rsidR="00F83E8F" w:rsidRPr="00D869E3" w:rsidRDefault="00F83E8F" w:rsidP="00F83E8F">
      <w:pPr>
        <w:jc w:val="center"/>
        <w:rPr>
          <w:rFonts w:ascii="Verdana" w:hAnsi="Verdana"/>
          <w:b/>
          <w:i/>
          <w:caps/>
          <w:sz w:val="20"/>
          <w:szCs w:val="20"/>
          <w:u w:val="single"/>
          <w:lang w:val="es-CR"/>
        </w:rPr>
      </w:pPr>
      <w:r w:rsidRPr="00D869E3">
        <w:rPr>
          <w:rFonts w:ascii="Verdana" w:hAnsi="Verdana"/>
          <w:b/>
          <w:i/>
          <w:caps/>
          <w:sz w:val="20"/>
          <w:szCs w:val="20"/>
          <w:u w:val="single"/>
          <w:lang w:val="es-CR"/>
        </w:rPr>
        <w:t>cas</w:t>
      </w:r>
      <w:r w:rsidR="00170AA6" w:rsidRPr="00D869E3">
        <w:rPr>
          <w:rFonts w:ascii="Verdana" w:hAnsi="Verdana"/>
          <w:b/>
          <w:i/>
          <w:caps/>
          <w:sz w:val="20"/>
          <w:szCs w:val="20"/>
          <w:u w:val="single"/>
          <w:lang w:val="es-CR"/>
        </w:rPr>
        <w:t>E OF</w:t>
      </w:r>
      <w:r w:rsidRPr="00D869E3">
        <w:rPr>
          <w:rFonts w:ascii="Verdana" w:hAnsi="Verdana"/>
          <w:b/>
          <w:i/>
          <w:caps/>
          <w:sz w:val="20"/>
          <w:szCs w:val="20"/>
          <w:u w:val="single"/>
          <w:lang w:val="es-CR"/>
        </w:rPr>
        <w:t xml:space="preserve"> lagos del cAmpo v. </w:t>
      </w:r>
      <w:r w:rsidR="00447C65" w:rsidRPr="00D869E3">
        <w:rPr>
          <w:rFonts w:ascii="Verdana" w:hAnsi="Verdana"/>
          <w:b/>
          <w:i/>
          <w:caps/>
          <w:sz w:val="20"/>
          <w:szCs w:val="20"/>
          <w:u w:val="single"/>
          <w:lang w:val="es-CR"/>
        </w:rPr>
        <w:t>Peru</w:t>
      </w:r>
      <w:r w:rsidRPr="00D869E3">
        <w:rPr>
          <w:rFonts w:ascii="Verdana" w:hAnsi="Verdana"/>
          <w:b/>
          <w:i/>
          <w:caps/>
          <w:sz w:val="20"/>
          <w:szCs w:val="20"/>
          <w:u w:val="single"/>
          <w:lang w:val="es-CR"/>
        </w:rPr>
        <w:t xml:space="preserve"> </w:t>
      </w:r>
    </w:p>
    <w:p w14:paraId="6E1B69C1" w14:textId="77777777" w:rsidR="00F83E8F" w:rsidRPr="00D869E3" w:rsidRDefault="00F83E8F" w:rsidP="00F83E8F">
      <w:pPr>
        <w:jc w:val="center"/>
        <w:rPr>
          <w:rFonts w:ascii="Verdana" w:hAnsi="Verdana"/>
          <w:b/>
          <w:caps/>
          <w:sz w:val="20"/>
          <w:szCs w:val="20"/>
          <w:lang w:val="es-CR"/>
        </w:rPr>
      </w:pPr>
    </w:p>
    <w:p w14:paraId="2CB5125E" w14:textId="6A710007" w:rsidR="00F83E8F" w:rsidRPr="00D869E3" w:rsidRDefault="00447C65" w:rsidP="00F83E8F">
      <w:pPr>
        <w:jc w:val="center"/>
        <w:rPr>
          <w:rFonts w:ascii="Verdana" w:hAnsi="Verdana"/>
          <w:b/>
          <w:caps/>
          <w:sz w:val="18"/>
          <w:szCs w:val="18"/>
          <w:lang w:val="en-US"/>
        </w:rPr>
      </w:pPr>
      <w:r w:rsidRPr="00D869E3">
        <w:rPr>
          <w:rFonts w:ascii="Verdana" w:hAnsi="Verdana"/>
          <w:b/>
          <w:caps/>
          <w:sz w:val="18"/>
          <w:szCs w:val="18"/>
          <w:lang w:val="en-US"/>
        </w:rPr>
        <w:t>Judgment of</w:t>
      </w:r>
      <w:r w:rsidR="00F83E8F" w:rsidRPr="00D869E3">
        <w:rPr>
          <w:rFonts w:ascii="Verdana" w:hAnsi="Verdana"/>
          <w:b/>
          <w:caps/>
          <w:sz w:val="18"/>
          <w:szCs w:val="18"/>
          <w:lang w:val="en-US"/>
        </w:rPr>
        <w:t xml:space="preserve"> </w:t>
      </w:r>
      <w:r w:rsidRPr="00D869E3">
        <w:rPr>
          <w:rFonts w:ascii="Verdana" w:hAnsi="Verdana"/>
          <w:b/>
          <w:caps/>
          <w:sz w:val="18"/>
          <w:szCs w:val="18"/>
          <w:lang w:val="en-US"/>
        </w:rPr>
        <w:t>August 31,</w:t>
      </w:r>
      <w:r w:rsidR="00F83E8F" w:rsidRPr="00D869E3">
        <w:rPr>
          <w:rFonts w:ascii="Verdana" w:hAnsi="Verdana"/>
          <w:b/>
          <w:caps/>
          <w:sz w:val="18"/>
          <w:szCs w:val="18"/>
          <w:lang w:val="en-US"/>
        </w:rPr>
        <w:t xml:space="preserve"> 2017</w:t>
      </w:r>
    </w:p>
    <w:p w14:paraId="398E605D" w14:textId="555C596F" w:rsidR="00F83E8F" w:rsidRPr="00D869E3" w:rsidRDefault="00F83E8F" w:rsidP="00F83E8F">
      <w:pPr>
        <w:widowControl w:val="0"/>
        <w:autoSpaceDE w:val="0"/>
        <w:autoSpaceDN w:val="0"/>
        <w:adjustRightInd w:val="0"/>
        <w:jc w:val="center"/>
        <w:rPr>
          <w:rFonts w:ascii="Verdana" w:hAnsi="Verdana"/>
          <w:b/>
          <w:i/>
          <w:caps/>
          <w:sz w:val="18"/>
          <w:szCs w:val="18"/>
          <w:lang w:val="en-US"/>
        </w:rPr>
      </w:pPr>
      <w:r w:rsidRPr="00D869E3">
        <w:rPr>
          <w:rFonts w:ascii="Verdana" w:hAnsi="Verdana"/>
          <w:b/>
          <w:i/>
          <w:caps/>
          <w:sz w:val="18"/>
          <w:szCs w:val="18"/>
          <w:lang w:val="en-US"/>
        </w:rPr>
        <w:t>(</w:t>
      </w:r>
      <w:r w:rsidR="00447C65" w:rsidRPr="00D869E3">
        <w:rPr>
          <w:rFonts w:ascii="Verdana" w:hAnsi="Verdana"/>
          <w:b/>
          <w:i/>
          <w:caps/>
          <w:sz w:val="18"/>
          <w:szCs w:val="18"/>
          <w:lang w:val="en-US"/>
        </w:rPr>
        <w:t>Preliminary objections, merits, reparations and costs</w:t>
      </w:r>
      <w:r w:rsidRPr="00D869E3">
        <w:rPr>
          <w:rFonts w:ascii="Verdana" w:hAnsi="Verdana"/>
          <w:b/>
          <w:i/>
          <w:caps/>
          <w:sz w:val="18"/>
          <w:szCs w:val="18"/>
          <w:lang w:val="en-US"/>
        </w:rPr>
        <w:t>)</w:t>
      </w:r>
    </w:p>
    <w:p w14:paraId="26139CD0" w14:textId="058EE89D" w:rsidR="00F83E8F" w:rsidRPr="00D869E3" w:rsidRDefault="00F83E8F" w:rsidP="00F83E8F">
      <w:pPr>
        <w:widowControl w:val="0"/>
        <w:autoSpaceDE w:val="0"/>
        <w:autoSpaceDN w:val="0"/>
        <w:adjustRightInd w:val="0"/>
        <w:rPr>
          <w:rFonts w:ascii="Verdana" w:hAnsi="Verdana"/>
          <w:i/>
          <w:sz w:val="20"/>
          <w:szCs w:val="20"/>
          <w:lang w:val="en-US"/>
        </w:rPr>
      </w:pPr>
    </w:p>
    <w:p w14:paraId="567E8176" w14:textId="77777777" w:rsidR="007E674E" w:rsidRPr="00D869E3" w:rsidRDefault="007E674E" w:rsidP="00F83E8F">
      <w:pPr>
        <w:widowControl w:val="0"/>
        <w:autoSpaceDE w:val="0"/>
        <w:autoSpaceDN w:val="0"/>
        <w:adjustRightInd w:val="0"/>
        <w:rPr>
          <w:rFonts w:ascii="Verdana" w:hAnsi="Verdana"/>
          <w:i/>
          <w:sz w:val="20"/>
          <w:szCs w:val="20"/>
          <w:lang w:val="en-US"/>
        </w:rPr>
      </w:pPr>
    </w:p>
    <w:p w14:paraId="0BFAF90E" w14:textId="62AFA1F2" w:rsidR="00F83E8F" w:rsidRPr="00D869E3" w:rsidRDefault="00170AA6" w:rsidP="00170AA6">
      <w:pPr>
        <w:widowControl w:val="0"/>
        <w:autoSpaceDE w:val="0"/>
        <w:autoSpaceDN w:val="0"/>
        <w:adjustRightInd w:val="0"/>
        <w:jc w:val="center"/>
        <w:rPr>
          <w:rFonts w:ascii="Verdana" w:hAnsi="Verdana"/>
          <w:i/>
          <w:sz w:val="20"/>
          <w:szCs w:val="20"/>
          <w:lang w:val="en-US"/>
        </w:rPr>
      </w:pPr>
      <w:r w:rsidRPr="00D869E3">
        <w:rPr>
          <w:rFonts w:ascii="Verdana" w:hAnsi="Verdana"/>
          <w:i/>
          <w:sz w:val="20"/>
          <w:szCs w:val="20"/>
          <w:lang w:val="en-US"/>
        </w:rPr>
        <w:t>THE DIRECT JUSTICIABILITY OF ECONOMIC, SOCIAL, CULTURAL AND ENVIRONMENTAL RIGHTS: A NEW STAGE IN INTER-AMERICAN CASE LAW</w:t>
      </w:r>
    </w:p>
    <w:p w14:paraId="36314E3A" w14:textId="77777777" w:rsidR="00F83E8F" w:rsidRPr="00D869E3" w:rsidRDefault="00F83E8F" w:rsidP="00F83E8F">
      <w:pPr>
        <w:widowControl w:val="0"/>
        <w:autoSpaceDE w:val="0"/>
        <w:autoSpaceDN w:val="0"/>
        <w:adjustRightInd w:val="0"/>
        <w:jc w:val="center"/>
        <w:rPr>
          <w:rFonts w:ascii="Verdana" w:hAnsi="Verdana"/>
          <w:b/>
          <w:sz w:val="20"/>
          <w:szCs w:val="20"/>
          <w:lang w:val="en-US"/>
        </w:rPr>
      </w:pPr>
    </w:p>
    <w:p w14:paraId="1C92CD21" w14:textId="6A17A5EF" w:rsidR="00F83E8F" w:rsidRPr="00D869E3" w:rsidRDefault="00170AA6" w:rsidP="00E70701">
      <w:pPr>
        <w:pStyle w:val="Prrafodelista"/>
        <w:widowControl w:val="0"/>
        <w:numPr>
          <w:ilvl w:val="0"/>
          <w:numId w:val="28"/>
        </w:numPr>
        <w:autoSpaceDE w:val="0"/>
        <w:autoSpaceDN w:val="0"/>
        <w:adjustRightInd w:val="0"/>
        <w:ind w:left="0" w:firstLine="0"/>
        <w:jc w:val="both"/>
        <w:rPr>
          <w:rFonts w:ascii="Verdana" w:hAnsi="Verdana"/>
          <w:sz w:val="20"/>
          <w:szCs w:val="20"/>
          <w:lang w:val="en-US"/>
        </w:rPr>
      </w:pPr>
      <w:r w:rsidRPr="00D869E3">
        <w:rPr>
          <w:rFonts w:ascii="Verdana" w:hAnsi="Verdana"/>
          <w:sz w:val="20"/>
          <w:szCs w:val="20"/>
          <w:lang w:val="en-US"/>
        </w:rPr>
        <w:t>The case of</w:t>
      </w:r>
      <w:r w:rsidR="00F83E8F" w:rsidRPr="00D869E3">
        <w:rPr>
          <w:rFonts w:ascii="Verdana" w:hAnsi="Verdana"/>
          <w:sz w:val="20"/>
          <w:szCs w:val="20"/>
          <w:lang w:val="en-US"/>
        </w:rPr>
        <w:t xml:space="preserve"> </w:t>
      </w:r>
      <w:r w:rsidR="00F83E8F" w:rsidRPr="00D869E3">
        <w:rPr>
          <w:rFonts w:ascii="Verdana" w:hAnsi="Verdana"/>
          <w:i/>
          <w:sz w:val="20"/>
          <w:szCs w:val="20"/>
          <w:lang w:val="en-US"/>
        </w:rPr>
        <w:t xml:space="preserve">Lagos del Campos </w:t>
      </w:r>
      <w:r w:rsidR="00447C65" w:rsidRPr="00D869E3">
        <w:rPr>
          <w:rFonts w:ascii="Verdana" w:hAnsi="Verdana"/>
          <w:i/>
          <w:sz w:val="20"/>
          <w:szCs w:val="20"/>
          <w:lang w:val="en-US"/>
        </w:rPr>
        <w:t>v.</w:t>
      </w:r>
      <w:r w:rsidR="00F83E8F" w:rsidRPr="00D869E3">
        <w:rPr>
          <w:rFonts w:ascii="Verdana" w:hAnsi="Verdana"/>
          <w:i/>
          <w:sz w:val="20"/>
          <w:szCs w:val="20"/>
          <w:lang w:val="en-US"/>
        </w:rPr>
        <w:t xml:space="preserve"> </w:t>
      </w:r>
      <w:r w:rsidR="00447C65" w:rsidRPr="00D869E3">
        <w:rPr>
          <w:rFonts w:ascii="Verdana" w:hAnsi="Verdana"/>
          <w:i/>
          <w:sz w:val="20"/>
          <w:szCs w:val="20"/>
          <w:lang w:val="en-US"/>
        </w:rPr>
        <w:t>Peru</w:t>
      </w:r>
      <w:r w:rsidR="00F83E8F" w:rsidRPr="00D869E3">
        <w:rPr>
          <w:rFonts w:ascii="Verdana" w:hAnsi="Verdana"/>
          <w:i/>
          <w:sz w:val="20"/>
          <w:szCs w:val="20"/>
          <w:lang w:val="en-US"/>
        </w:rPr>
        <w:t xml:space="preserve"> </w:t>
      </w:r>
      <w:r w:rsidRPr="00D869E3">
        <w:rPr>
          <w:rFonts w:ascii="Verdana" w:hAnsi="Verdana"/>
          <w:sz w:val="20"/>
          <w:szCs w:val="20"/>
          <w:lang w:val="en-US"/>
        </w:rPr>
        <w:t xml:space="preserve">opens a new and promising horizon for </w:t>
      </w:r>
      <w:r w:rsidR="00671B14" w:rsidRPr="00D869E3">
        <w:rPr>
          <w:rFonts w:ascii="Verdana" w:hAnsi="Verdana"/>
          <w:sz w:val="20"/>
          <w:szCs w:val="20"/>
          <w:lang w:val="en-US"/>
        </w:rPr>
        <w:t xml:space="preserve">the inter-American </w:t>
      </w:r>
      <w:r w:rsidRPr="00D869E3">
        <w:rPr>
          <w:rFonts w:ascii="Verdana" w:hAnsi="Verdana"/>
          <w:sz w:val="20"/>
          <w:szCs w:val="20"/>
          <w:lang w:val="en-US"/>
        </w:rPr>
        <w:t xml:space="preserve">human rights </w:t>
      </w:r>
      <w:r w:rsidR="00671B14" w:rsidRPr="00D869E3">
        <w:rPr>
          <w:rFonts w:ascii="Verdana" w:hAnsi="Verdana"/>
          <w:sz w:val="20"/>
          <w:szCs w:val="20"/>
          <w:lang w:val="en-US"/>
        </w:rPr>
        <w:t>system</w:t>
      </w:r>
      <w:r w:rsidR="00F83E8F" w:rsidRPr="00D869E3">
        <w:rPr>
          <w:rFonts w:ascii="Verdana" w:hAnsi="Verdana"/>
          <w:sz w:val="20"/>
          <w:szCs w:val="20"/>
          <w:lang w:val="en-US"/>
        </w:rPr>
        <w:t xml:space="preserve">. </w:t>
      </w:r>
      <w:r w:rsidRPr="00D869E3">
        <w:rPr>
          <w:rFonts w:ascii="Verdana" w:hAnsi="Verdana"/>
          <w:sz w:val="20"/>
          <w:szCs w:val="20"/>
          <w:lang w:val="en-US"/>
        </w:rPr>
        <w:t>This is due to the evolutive interpretation</w:t>
      </w:r>
      <w:r w:rsidR="00F83E8F" w:rsidRPr="00D869E3">
        <w:rPr>
          <w:rStyle w:val="Refdenotaalpie"/>
          <w:szCs w:val="20"/>
          <w:lang w:val="en-US"/>
        </w:rPr>
        <w:footnoteReference w:id="285"/>
      </w:r>
      <w:r w:rsidR="00F83E8F" w:rsidRPr="00D869E3">
        <w:rPr>
          <w:rFonts w:ascii="Verdana" w:hAnsi="Verdana"/>
          <w:sz w:val="20"/>
          <w:szCs w:val="20"/>
          <w:lang w:val="en-US"/>
        </w:rPr>
        <w:t xml:space="preserve"> </w:t>
      </w:r>
      <w:r w:rsidRPr="00D869E3">
        <w:rPr>
          <w:rFonts w:ascii="Verdana" w:hAnsi="Verdana"/>
          <w:sz w:val="20"/>
          <w:szCs w:val="20"/>
          <w:lang w:val="en-US"/>
        </w:rPr>
        <w:t>that</w:t>
      </w:r>
      <w:r w:rsidR="00F83E8F" w:rsidRPr="00D869E3">
        <w:rPr>
          <w:rFonts w:ascii="Verdana" w:hAnsi="Verdana"/>
          <w:sz w:val="20"/>
          <w:szCs w:val="20"/>
          <w:lang w:val="en-US"/>
        </w:rPr>
        <w:t xml:space="preserve"> </w:t>
      </w:r>
      <w:r w:rsidR="00447C65" w:rsidRPr="00D869E3">
        <w:rPr>
          <w:rFonts w:ascii="Verdana" w:hAnsi="Verdana"/>
          <w:sz w:val="20"/>
          <w:szCs w:val="20"/>
          <w:lang w:val="en-US"/>
        </w:rPr>
        <w:t>the Inter-American Court of Human Rights</w:t>
      </w:r>
      <w:r w:rsidR="00F83E8F" w:rsidRPr="00D869E3">
        <w:rPr>
          <w:rFonts w:ascii="Verdana" w:hAnsi="Verdana"/>
          <w:sz w:val="20"/>
          <w:szCs w:val="20"/>
          <w:lang w:val="en-US"/>
        </w:rPr>
        <w:t xml:space="preserve"> (</w:t>
      </w:r>
      <w:r w:rsidR="00447C65" w:rsidRPr="00D869E3">
        <w:rPr>
          <w:rFonts w:ascii="Verdana" w:hAnsi="Verdana"/>
          <w:sz w:val="20"/>
          <w:szCs w:val="20"/>
          <w:lang w:val="en-US"/>
        </w:rPr>
        <w:t>hereinafter</w:t>
      </w:r>
      <w:r w:rsidR="00F83E8F" w:rsidRPr="00D869E3">
        <w:rPr>
          <w:rFonts w:ascii="Verdana" w:hAnsi="Verdana"/>
          <w:sz w:val="20"/>
          <w:szCs w:val="20"/>
          <w:lang w:val="en-US"/>
        </w:rPr>
        <w:t xml:space="preserve"> </w:t>
      </w:r>
      <w:r w:rsidR="006436CA" w:rsidRPr="00D869E3">
        <w:rPr>
          <w:rFonts w:ascii="Verdana" w:hAnsi="Verdana"/>
          <w:sz w:val="20"/>
          <w:szCs w:val="20"/>
          <w:lang w:val="en-US"/>
        </w:rPr>
        <w:t>“</w:t>
      </w:r>
      <w:r w:rsidR="00671B14" w:rsidRPr="00D869E3">
        <w:rPr>
          <w:rFonts w:ascii="Verdana" w:hAnsi="Verdana"/>
          <w:sz w:val="20"/>
          <w:szCs w:val="20"/>
          <w:lang w:val="en-US"/>
        </w:rPr>
        <w:t>the Inter-American Court</w:t>
      </w:r>
      <w:r w:rsidR="006436CA" w:rsidRPr="00D869E3">
        <w:rPr>
          <w:rFonts w:ascii="Verdana" w:hAnsi="Verdana"/>
          <w:sz w:val="20"/>
          <w:szCs w:val="20"/>
          <w:lang w:val="en-US"/>
        </w:rPr>
        <w:t>”</w:t>
      </w:r>
      <w:r w:rsidRPr="00D869E3">
        <w:rPr>
          <w:rFonts w:ascii="Verdana" w:hAnsi="Verdana"/>
          <w:sz w:val="20"/>
          <w:szCs w:val="20"/>
          <w:lang w:val="en-US"/>
        </w:rPr>
        <w:t xml:space="preserve"> or </w:t>
      </w:r>
      <w:r w:rsidR="006436CA" w:rsidRPr="00D869E3">
        <w:rPr>
          <w:rFonts w:ascii="Verdana" w:hAnsi="Verdana"/>
          <w:sz w:val="20"/>
          <w:szCs w:val="20"/>
          <w:lang w:val="en-US"/>
        </w:rPr>
        <w:t>“</w:t>
      </w:r>
      <w:r w:rsidRPr="00D869E3">
        <w:rPr>
          <w:rFonts w:ascii="Verdana" w:hAnsi="Verdana"/>
          <w:sz w:val="20"/>
          <w:szCs w:val="20"/>
          <w:lang w:val="en-US"/>
        </w:rPr>
        <w:t>the Court</w:t>
      </w:r>
      <w:r w:rsidR="006436CA" w:rsidRPr="00D869E3">
        <w:rPr>
          <w:rFonts w:ascii="Verdana" w:hAnsi="Verdana"/>
          <w:sz w:val="20"/>
          <w:szCs w:val="20"/>
          <w:lang w:val="en-US"/>
        </w:rPr>
        <w:t>”</w:t>
      </w:r>
      <w:r w:rsidRPr="00D869E3">
        <w:rPr>
          <w:rFonts w:ascii="Verdana" w:hAnsi="Verdana"/>
          <w:sz w:val="20"/>
          <w:szCs w:val="20"/>
          <w:lang w:val="en-US"/>
        </w:rPr>
        <w:t xml:space="preserve">) </w:t>
      </w:r>
      <w:r w:rsidR="001B0492" w:rsidRPr="00D869E3">
        <w:rPr>
          <w:rFonts w:ascii="Verdana" w:hAnsi="Verdana"/>
          <w:sz w:val="20"/>
          <w:szCs w:val="20"/>
          <w:lang w:val="en-US"/>
        </w:rPr>
        <w:t>has made</w:t>
      </w:r>
      <w:r w:rsidR="00F83E8F" w:rsidRPr="00D869E3">
        <w:rPr>
          <w:rFonts w:ascii="Verdana" w:hAnsi="Verdana"/>
          <w:sz w:val="20"/>
          <w:szCs w:val="20"/>
          <w:lang w:val="en-US"/>
        </w:rPr>
        <w:t xml:space="preserve"> </w:t>
      </w:r>
      <w:r w:rsidR="00687684" w:rsidRPr="00D869E3">
        <w:rPr>
          <w:rFonts w:ascii="Verdana" w:hAnsi="Verdana"/>
          <w:sz w:val="20"/>
          <w:szCs w:val="20"/>
          <w:lang w:val="en-US"/>
        </w:rPr>
        <w:t>of Article</w:t>
      </w:r>
      <w:r w:rsidR="00F83E8F" w:rsidRPr="00D869E3">
        <w:rPr>
          <w:rFonts w:ascii="Verdana" w:hAnsi="Verdana"/>
          <w:sz w:val="20"/>
          <w:szCs w:val="20"/>
          <w:lang w:val="en-US"/>
        </w:rPr>
        <w:t xml:space="preserve"> 26</w:t>
      </w:r>
      <w:r w:rsidR="00447C65" w:rsidRPr="00D869E3">
        <w:rPr>
          <w:rFonts w:ascii="Verdana" w:hAnsi="Verdana"/>
          <w:sz w:val="20"/>
          <w:szCs w:val="20"/>
          <w:lang w:val="en-US"/>
        </w:rPr>
        <w:t xml:space="preserve"> of the American Convention on Human Rights</w:t>
      </w:r>
      <w:r w:rsidR="00F83E8F" w:rsidRPr="00D869E3">
        <w:rPr>
          <w:rFonts w:ascii="Verdana" w:hAnsi="Verdana"/>
          <w:sz w:val="20"/>
          <w:szCs w:val="20"/>
          <w:lang w:val="en-US"/>
        </w:rPr>
        <w:t xml:space="preserve"> (</w:t>
      </w:r>
      <w:r w:rsidR="00447C65" w:rsidRPr="00D869E3">
        <w:rPr>
          <w:rFonts w:ascii="Verdana" w:hAnsi="Verdana"/>
          <w:sz w:val="20"/>
          <w:szCs w:val="20"/>
          <w:lang w:val="en-US"/>
        </w:rPr>
        <w:t>hereinafter</w:t>
      </w:r>
      <w:r w:rsidR="00F83E8F" w:rsidRPr="00D869E3">
        <w:rPr>
          <w:rFonts w:ascii="Verdana" w:hAnsi="Verdana"/>
          <w:sz w:val="20"/>
          <w:szCs w:val="20"/>
          <w:lang w:val="en-US"/>
        </w:rPr>
        <w:t xml:space="preserve"> </w:t>
      </w:r>
      <w:r w:rsidR="006436CA" w:rsidRPr="00D869E3">
        <w:rPr>
          <w:rFonts w:ascii="Verdana" w:hAnsi="Verdana"/>
          <w:sz w:val="20"/>
          <w:szCs w:val="20"/>
          <w:lang w:val="en-US"/>
        </w:rPr>
        <w:t>“</w:t>
      </w:r>
      <w:r w:rsidRPr="00D869E3">
        <w:rPr>
          <w:rFonts w:ascii="Verdana" w:hAnsi="Verdana"/>
          <w:sz w:val="20"/>
          <w:szCs w:val="20"/>
          <w:lang w:val="en-US"/>
        </w:rPr>
        <w:t>the</w:t>
      </w:r>
      <w:r w:rsidR="00F83E8F" w:rsidRPr="00D869E3">
        <w:rPr>
          <w:rFonts w:ascii="Verdana" w:hAnsi="Verdana"/>
          <w:sz w:val="20"/>
          <w:szCs w:val="20"/>
          <w:lang w:val="en-US"/>
        </w:rPr>
        <w:t xml:space="preserve"> American</w:t>
      </w:r>
      <w:r w:rsidRPr="00D869E3">
        <w:rPr>
          <w:rFonts w:ascii="Verdana" w:hAnsi="Verdana"/>
          <w:sz w:val="20"/>
          <w:szCs w:val="20"/>
          <w:lang w:val="en-US"/>
        </w:rPr>
        <w:t xml:space="preserve"> Convention</w:t>
      </w:r>
      <w:r w:rsidR="006436CA" w:rsidRPr="00D869E3">
        <w:rPr>
          <w:rFonts w:ascii="Verdana" w:hAnsi="Verdana"/>
          <w:sz w:val="20"/>
          <w:szCs w:val="20"/>
          <w:lang w:val="en-US"/>
        </w:rPr>
        <w:t>”</w:t>
      </w:r>
      <w:r w:rsidR="00F83E8F" w:rsidRPr="00D869E3">
        <w:rPr>
          <w:rFonts w:ascii="Verdana" w:hAnsi="Verdana"/>
          <w:sz w:val="20"/>
          <w:szCs w:val="20"/>
          <w:lang w:val="en-US"/>
        </w:rPr>
        <w:t xml:space="preserve"> o</w:t>
      </w:r>
      <w:r w:rsidRPr="00D869E3">
        <w:rPr>
          <w:rFonts w:ascii="Verdana" w:hAnsi="Verdana"/>
          <w:sz w:val="20"/>
          <w:szCs w:val="20"/>
          <w:lang w:val="en-US"/>
        </w:rPr>
        <w:t>r</w:t>
      </w:r>
      <w:r w:rsidR="00F83E8F" w:rsidRPr="00D869E3">
        <w:rPr>
          <w:rFonts w:ascii="Verdana" w:hAnsi="Verdana"/>
          <w:sz w:val="20"/>
          <w:szCs w:val="20"/>
          <w:lang w:val="en-US"/>
        </w:rPr>
        <w:t xml:space="preserve"> </w:t>
      </w:r>
      <w:r w:rsidR="006436CA" w:rsidRPr="00D869E3">
        <w:rPr>
          <w:rFonts w:ascii="Verdana" w:hAnsi="Verdana"/>
          <w:sz w:val="20"/>
          <w:szCs w:val="20"/>
          <w:lang w:val="en-US"/>
        </w:rPr>
        <w:t>“</w:t>
      </w:r>
      <w:r w:rsidRPr="00D869E3">
        <w:rPr>
          <w:rFonts w:ascii="Verdana" w:hAnsi="Verdana"/>
          <w:sz w:val="20"/>
          <w:szCs w:val="20"/>
          <w:lang w:val="en-US"/>
        </w:rPr>
        <w:t xml:space="preserve">the </w:t>
      </w:r>
      <w:r w:rsidR="00671B14" w:rsidRPr="00D869E3">
        <w:rPr>
          <w:rFonts w:ascii="Verdana" w:hAnsi="Verdana"/>
          <w:sz w:val="20"/>
          <w:szCs w:val="20"/>
          <w:lang w:val="en-US"/>
        </w:rPr>
        <w:t>Pact of San José</w:t>
      </w:r>
      <w:r w:rsidR="006436CA" w:rsidRPr="00D869E3">
        <w:rPr>
          <w:rFonts w:ascii="Verdana" w:hAnsi="Verdana"/>
          <w:sz w:val="20"/>
          <w:szCs w:val="20"/>
          <w:lang w:val="en-US"/>
        </w:rPr>
        <w:t>”</w:t>
      </w:r>
      <w:r w:rsidR="00F83E8F" w:rsidRPr="00D869E3">
        <w:rPr>
          <w:rFonts w:ascii="Verdana" w:hAnsi="Verdana"/>
          <w:sz w:val="20"/>
          <w:szCs w:val="20"/>
          <w:lang w:val="en-US"/>
        </w:rPr>
        <w:t xml:space="preserve">). </w:t>
      </w:r>
      <w:r w:rsidRPr="00D869E3">
        <w:rPr>
          <w:rFonts w:ascii="Verdana" w:hAnsi="Verdana"/>
          <w:sz w:val="20"/>
          <w:szCs w:val="20"/>
          <w:lang w:val="en-US"/>
        </w:rPr>
        <w:t>And, particula</w:t>
      </w:r>
      <w:r w:rsidR="007E674E" w:rsidRPr="00D869E3">
        <w:rPr>
          <w:rFonts w:ascii="Verdana" w:hAnsi="Verdana"/>
          <w:sz w:val="20"/>
          <w:szCs w:val="20"/>
          <w:lang w:val="en-US"/>
        </w:rPr>
        <w:t>r</w:t>
      </w:r>
      <w:r w:rsidRPr="00D869E3">
        <w:rPr>
          <w:rFonts w:ascii="Verdana" w:hAnsi="Verdana"/>
          <w:sz w:val="20"/>
          <w:szCs w:val="20"/>
          <w:lang w:val="en-US"/>
        </w:rPr>
        <w:t xml:space="preserve">ly, </w:t>
      </w:r>
      <w:r w:rsidR="001B0492" w:rsidRPr="00D869E3">
        <w:rPr>
          <w:rFonts w:ascii="Verdana" w:hAnsi="Verdana"/>
          <w:sz w:val="20"/>
          <w:szCs w:val="20"/>
          <w:lang w:val="en-US"/>
        </w:rPr>
        <w:t>to</w:t>
      </w:r>
      <w:r w:rsidRPr="00D869E3">
        <w:rPr>
          <w:rFonts w:ascii="Verdana" w:hAnsi="Verdana"/>
          <w:sz w:val="20"/>
          <w:szCs w:val="20"/>
          <w:lang w:val="en-US"/>
        </w:rPr>
        <w:t xml:space="preserve"> the step taken towards the full and direct justiciability of the economic, social, cul</w:t>
      </w:r>
      <w:r w:rsidR="007E674E" w:rsidRPr="00D869E3">
        <w:rPr>
          <w:rFonts w:ascii="Verdana" w:hAnsi="Verdana"/>
          <w:sz w:val="20"/>
          <w:szCs w:val="20"/>
          <w:lang w:val="en-US"/>
        </w:rPr>
        <w:t>tur</w:t>
      </w:r>
      <w:r w:rsidRPr="00D869E3">
        <w:rPr>
          <w:rFonts w:ascii="Verdana" w:hAnsi="Verdana"/>
          <w:sz w:val="20"/>
          <w:szCs w:val="20"/>
          <w:lang w:val="en-US"/>
        </w:rPr>
        <w:t xml:space="preserve">al and environmental rights </w:t>
      </w:r>
      <w:r w:rsidR="00F83E8F" w:rsidRPr="00D869E3">
        <w:rPr>
          <w:rFonts w:ascii="Verdana" w:hAnsi="Verdana"/>
          <w:sz w:val="20"/>
          <w:szCs w:val="20"/>
          <w:lang w:val="en-US"/>
        </w:rPr>
        <w:t>(</w:t>
      </w:r>
      <w:r w:rsidR="00447C65" w:rsidRPr="00D869E3">
        <w:rPr>
          <w:rFonts w:ascii="Verdana" w:hAnsi="Verdana"/>
          <w:sz w:val="20"/>
          <w:szCs w:val="20"/>
          <w:lang w:val="en-US"/>
        </w:rPr>
        <w:t>hereinafter</w:t>
      </w:r>
      <w:r w:rsidR="00F83E8F" w:rsidRPr="00D869E3">
        <w:rPr>
          <w:rFonts w:ascii="Verdana" w:hAnsi="Verdana"/>
          <w:sz w:val="20"/>
          <w:szCs w:val="20"/>
          <w:lang w:val="en-US"/>
        </w:rPr>
        <w:t xml:space="preserve"> </w:t>
      </w:r>
      <w:r w:rsidR="006436CA" w:rsidRPr="00D869E3">
        <w:rPr>
          <w:rFonts w:ascii="Verdana" w:hAnsi="Verdana"/>
          <w:sz w:val="20"/>
          <w:szCs w:val="20"/>
          <w:lang w:val="en-US"/>
        </w:rPr>
        <w:t>“</w:t>
      </w:r>
      <w:r w:rsidR="00671B14" w:rsidRPr="00D869E3">
        <w:rPr>
          <w:rFonts w:ascii="Verdana" w:hAnsi="Verdana"/>
          <w:sz w:val="20"/>
          <w:szCs w:val="20"/>
          <w:lang w:val="en-US"/>
        </w:rPr>
        <w:t>the ESCER</w:t>
      </w:r>
      <w:r w:rsidR="006436CA" w:rsidRPr="00D869E3">
        <w:rPr>
          <w:rFonts w:ascii="Verdana" w:hAnsi="Verdana"/>
          <w:sz w:val="20"/>
          <w:szCs w:val="20"/>
          <w:lang w:val="en-US"/>
        </w:rPr>
        <w:t>”</w:t>
      </w:r>
      <w:r w:rsidR="00F83E8F" w:rsidRPr="00D869E3">
        <w:rPr>
          <w:rFonts w:ascii="Verdana" w:hAnsi="Verdana"/>
          <w:sz w:val="20"/>
          <w:szCs w:val="20"/>
          <w:lang w:val="en-US"/>
        </w:rPr>
        <w:t xml:space="preserve"> o</w:t>
      </w:r>
      <w:r w:rsidRPr="00D869E3">
        <w:rPr>
          <w:rFonts w:ascii="Verdana" w:hAnsi="Verdana"/>
          <w:sz w:val="20"/>
          <w:szCs w:val="20"/>
          <w:lang w:val="en-US"/>
        </w:rPr>
        <w:t>r</w:t>
      </w:r>
      <w:r w:rsidR="00F83E8F" w:rsidRPr="00D869E3">
        <w:rPr>
          <w:rFonts w:ascii="Verdana" w:hAnsi="Verdana"/>
          <w:sz w:val="20"/>
          <w:szCs w:val="20"/>
          <w:lang w:val="en-US"/>
        </w:rPr>
        <w:t xml:space="preserve"> </w:t>
      </w:r>
      <w:r w:rsidR="006436CA" w:rsidRPr="00D869E3">
        <w:rPr>
          <w:rFonts w:ascii="Verdana" w:hAnsi="Verdana"/>
          <w:sz w:val="20"/>
          <w:szCs w:val="20"/>
          <w:lang w:val="en-US"/>
        </w:rPr>
        <w:t>“</w:t>
      </w:r>
      <w:r w:rsidRPr="00D869E3">
        <w:rPr>
          <w:rFonts w:ascii="Verdana" w:hAnsi="Verdana"/>
          <w:sz w:val="20"/>
          <w:szCs w:val="20"/>
          <w:lang w:val="en-US"/>
        </w:rPr>
        <w:t>the social rights</w:t>
      </w:r>
      <w:r w:rsidR="006436CA" w:rsidRPr="00D869E3">
        <w:rPr>
          <w:rFonts w:ascii="Verdana" w:hAnsi="Verdana"/>
          <w:sz w:val="20"/>
          <w:szCs w:val="20"/>
          <w:lang w:val="en-US"/>
        </w:rPr>
        <w:t>”</w:t>
      </w:r>
      <w:r w:rsidR="00F83E8F" w:rsidRPr="00D869E3">
        <w:rPr>
          <w:rFonts w:ascii="Verdana" w:hAnsi="Verdana"/>
          <w:sz w:val="20"/>
          <w:szCs w:val="20"/>
          <w:lang w:val="en-US"/>
        </w:rPr>
        <w:t xml:space="preserve">). </w:t>
      </w:r>
    </w:p>
    <w:p w14:paraId="46D43E75" w14:textId="77777777" w:rsidR="00F83E8F" w:rsidRPr="00D869E3" w:rsidRDefault="00F83E8F" w:rsidP="00F83E8F">
      <w:pPr>
        <w:pStyle w:val="Prrafodelista"/>
        <w:widowControl w:val="0"/>
        <w:autoSpaceDE w:val="0"/>
        <w:autoSpaceDN w:val="0"/>
        <w:adjustRightInd w:val="0"/>
        <w:ind w:left="0"/>
        <w:jc w:val="both"/>
        <w:rPr>
          <w:rFonts w:ascii="Verdana" w:hAnsi="Verdana"/>
          <w:sz w:val="20"/>
          <w:szCs w:val="20"/>
          <w:lang w:val="en-US"/>
        </w:rPr>
      </w:pPr>
    </w:p>
    <w:p w14:paraId="0A19F2A0" w14:textId="0C10AFEA" w:rsidR="00F83E8F" w:rsidRPr="00D869E3" w:rsidRDefault="007E674E" w:rsidP="00F83E8F">
      <w:pPr>
        <w:pStyle w:val="Prrafodelista"/>
        <w:widowControl w:val="0"/>
        <w:numPr>
          <w:ilvl w:val="0"/>
          <w:numId w:val="28"/>
        </w:numPr>
        <w:autoSpaceDE w:val="0"/>
        <w:autoSpaceDN w:val="0"/>
        <w:adjustRightInd w:val="0"/>
        <w:ind w:left="0" w:firstLine="0"/>
        <w:jc w:val="both"/>
        <w:rPr>
          <w:rFonts w:ascii="Verdana" w:hAnsi="Verdana"/>
          <w:sz w:val="20"/>
          <w:szCs w:val="20"/>
          <w:lang w:val="en-US"/>
        </w:rPr>
      </w:pPr>
      <w:r w:rsidRPr="00D869E3">
        <w:rPr>
          <w:rFonts w:ascii="Verdana" w:hAnsi="Verdana"/>
          <w:sz w:val="20"/>
          <w:szCs w:val="20"/>
          <w:u w:val="single"/>
          <w:lang w:val="en-US"/>
        </w:rPr>
        <w:t>First</w:t>
      </w:r>
      <w:r w:rsidR="00F83E8F" w:rsidRPr="00D869E3">
        <w:rPr>
          <w:rFonts w:ascii="Verdana" w:hAnsi="Verdana"/>
          <w:sz w:val="20"/>
          <w:szCs w:val="20"/>
          <w:lang w:val="en-US"/>
        </w:rPr>
        <w:t xml:space="preserve">, </w:t>
      </w:r>
      <w:r w:rsidRPr="00D869E3">
        <w:rPr>
          <w:rFonts w:ascii="Verdana" w:hAnsi="Verdana"/>
          <w:sz w:val="20"/>
          <w:szCs w:val="20"/>
          <w:lang w:val="en-US"/>
        </w:rPr>
        <w:t xml:space="preserve">the judgment approaches </w:t>
      </w:r>
      <w:r w:rsidR="007013E2" w:rsidRPr="00D869E3">
        <w:rPr>
          <w:rFonts w:ascii="Verdana" w:hAnsi="Verdana"/>
          <w:sz w:val="20"/>
          <w:szCs w:val="20"/>
          <w:lang w:val="en-US"/>
        </w:rPr>
        <w:t>the violation</w:t>
      </w:r>
      <w:r w:rsidR="00F83E8F" w:rsidRPr="00D869E3">
        <w:rPr>
          <w:rFonts w:ascii="Verdana" w:hAnsi="Verdana"/>
          <w:sz w:val="20"/>
          <w:szCs w:val="20"/>
          <w:lang w:val="en-US"/>
        </w:rPr>
        <w:t xml:space="preserve"> </w:t>
      </w:r>
      <w:r w:rsidR="005C7DB1" w:rsidRPr="00D869E3">
        <w:rPr>
          <w:rFonts w:ascii="Verdana" w:hAnsi="Verdana"/>
          <w:sz w:val="20"/>
          <w:szCs w:val="20"/>
          <w:lang w:val="en-US"/>
        </w:rPr>
        <w:t>of the</w:t>
      </w:r>
      <w:r w:rsidR="00F83E8F" w:rsidRPr="00D869E3">
        <w:rPr>
          <w:rFonts w:ascii="Verdana" w:hAnsi="Verdana"/>
          <w:sz w:val="20"/>
          <w:szCs w:val="20"/>
          <w:lang w:val="en-US"/>
        </w:rPr>
        <w:t xml:space="preserve"> </w:t>
      </w:r>
      <w:r w:rsidR="00C82C0C" w:rsidRPr="00D869E3">
        <w:rPr>
          <w:rFonts w:ascii="Verdana" w:hAnsi="Verdana"/>
          <w:sz w:val="20"/>
          <w:szCs w:val="20"/>
          <w:lang w:val="en-US"/>
        </w:rPr>
        <w:t>right to freedom</w:t>
      </w:r>
      <w:r w:rsidR="00A62EA8" w:rsidRPr="00D869E3">
        <w:rPr>
          <w:rFonts w:ascii="Verdana" w:hAnsi="Verdana"/>
          <w:sz w:val="20"/>
          <w:szCs w:val="20"/>
          <w:lang w:val="en-US"/>
        </w:rPr>
        <w:t xml:space="preserve"> of </w:t>
      </w:r>
      <w:r w:rsidRPr="00D869E3">
        <w:rPr>
          <w:rFonts w:ascii="Verdana" w:hAnsi="Verdana"/>
          <w:sz w:val="20"/>
          <w:szCs w:val="20"/>
          <w:lang w:val="en-US"/>
        </w:rPr>
        <w:t xml:space="preserve">expression from the </w:t>
      </w:r>
      <w:r w:rsidR="005C7DB1" w:rsidRPr="00D869E3">
        <w:rPr>
          <w:rFonts w:ascii="Verdana" w:hAnsi="Verdana"/>
          <w:sz w:val="20"/>
          <w:szCs w:val="20"/>
          <w:lang w:val="en-US"/>
        </w:rPr>
        <w:t xml:space="preserve">perspective </w:t>
      </w:r>
      <w:r w:rsidRPr="00D869E3">
        <w:rPr>
          <w:rFonts w:ascii="Verdana" w:hAnsi="Verdana"/>
          <w:sz w:val="20"/>
          <w:szCs w:val="20"/>
          <w:lang w:val="en-US"/>
        </w:rPr>
        <w:t>of relations between private individuals in labor contexts – worker/company. The judgment finds that “there was no overriding ne</w:t>
      </w:r>
      <w:r w:rsidR="001B0492" w:rsidRPr="00D869E3">
        <w:rPr>
          <w:rFonts w:ascii="Verdana" w:hAnsi="Verdana"/>
          <w:sz w:val="20"/>
          <w:szCs w:val="20"/>
          <w:lang w:val="en-US"/>
        </w:rPr>
        <w:t>cessity</w:t>
      </w:r>
      <w:r w:rsidRPr="00D869E3">
        <w:rPr>
          <w:rFonts w:ascii="Verdana" w:hAnsi="Verdana"/>
          <w:sz w:val="20"/>
          <w:szCs w:val="20"/>
          <w:lang w:val="en-US"/>
        </w:rPr>
        <w:t xml:space="preserve"> that would have justified the dismissal of </w:t>
      </w:r>
      <w:r w:rsidR="00E6309B" w:rsidRPr="00D869E3">
        <w:rPr>
          <w:rFonts w:ascii="Verdana" w:hAnsi="Verdana"/>
          <w:sz w:val="20"/>
          <w:lang w:val="en-US"/>
        </w:rPr>
        <w:t>Mr.</w:t>
      </w:r>
      <w:r w:rsidR="001E44D3" w:rsidRPr="00D869E3">
        <w:rPr>
          <w:rFonts w:ascii="Verdana" w:hAnsi="Verdana"/>
          <w:sz w:val="20"/>
          <w:lang w:val="en-US"/>
        </w:rPr>
        <w:t xml:space="preserve"> Lagos del Campo</w:t>
      </w:r>
      <w:r w:rsidRPr="00D869E3">
        <w:rPr>
          <w:rFonts w:ascii="Verdana" w:hAnsi="Verdana"/>
          <w:sz w:val="20"/>
          <w:lang w:val="en-US"/>
        </w:rPr>
        <w:t>,</w:t>
      </w:r>
      <w:r w:rsidR="006436CA" w:rsidRPr="00D869E3">
        <w:rPr>
          <w:rFonts w:ascii="Verdana" w:hAnsi="Verdana"/>
          <w:sz w:val="20"/>
          <w:lang w:val="en-US"/>
        </w:rPr>
        <w:t>”</w:t>
      </w:r>
      <w:r w:rsidRPr="00D869E3">
        <w:rPr>
          <w:rFonts w:ascii="Verdana" w:hAnsi="Verdana"/>
          <w:sz w:val="20"/>
          <w:lang w:val="en-US"/>
        </w:rPr>
        <w:t xml:space="preserve"> which occurred owing to his public </w:t>
      </w:r>
      <w:r w:rsidR="004800B8" w:rsidRPr="00D869E3">
        <w:rPr>
          <w:rFonts w:ascii="Verdana" w:hAnsi="Verdana"/>
          <w:sz w:val="20"/>
          <w:lang w:val="en-US"/>
        </w:rPr>
        <w:t>statements</w:t>
      </w:r>
      <w:r w:rsidRPr="00D869E3">
        <w:rPr>
          <w:rFonts w:ascii="Verdana" w:hAnsi="Verdana"/>
          <w:sz w:val="20"/>
          <w:lang w:val="en-US"/>
        </w:rPr>
        <w:t xml:space="preserve"> as a labor leader. </w:t>
      </w:r>
      <w:r w:rsidR="005C7DB1" w:rsidRPr="00D869E3">
        <w:rPr>
          <w:rFonts w:ascii="Verdana" w:hAnsi="Verdana"/>
          <w:sz w:val="20"/>
          <w:lang w:val="en-US"/>
        </w:rPr>
        <w:t>Thus</w:t>
      </w:r>
      <w:r w:rsidRPr="00D869E3">
        <w:rPr>
          <w:rFonts w:ascii="Verdana" w:hAnsi="Verdana"/>
          <w:sz w:val="20"/>
          <w:lang w:val="en-US"/>
        </w:rPr>
        <w:t xml:space="preserve">, his </w:t>
      </w:r>
      <w:r w:rsidR="00A62EA8" w:rsidRPr="00D869E3">
        <w:rPr>
          <w:rFonts w:ascii="Verdana" w:hAnsi="Verdana"/>
          <w:sz w:val="20"/>
          <w:lang w:val="en-US"/>
        </w:rPr>
        <w:t>freedom of expression</w:t>
      </w:r>
      <w:r w:rsidR="00F83E8F" w:rsidRPr="00D869E3">
        <w:rPr>
          <w:rFonts w:ascii="Verdana" w:hAnsi="Verdana"/>
          <w:sz w:val="20"/>
          <w:lang w:val="en-US"/>
        </w:rPr>
        <w:t xml:space="preserve"> </w:t>
      </w:r>
      <w:r w:rsidRPr="00D869E3">
        <w:rPr>
          <w:rFonts w:ascii="Verdana" w:hAnsi="Verdana"/>
          <w:sz w:val="20"/>
          <w:lang w:val="en-US"/>
        </w:rPr>
        <w:t>was restricted without taking into consideration that</w:t>
      </w:r>
      <w:r w:rsidR="001B0492" w:rsidRPr="00D869E3">
        <w:rPr>
          <w:rFonts w:ascii="Verdana" w:hAnsi="Verdana"/>
          <w:sz w:val="20"/>
          <w:lang w:val="en-US"/>
        </w:rPr>
        <w:t>, in essence,</w:t>
      </w:r>
      <w:r w:rsidRPr="00D869E3">
        <w:rPr>
          <w:rFonts w:ascii="Verdana" w:hAnsi="Verdana"/>
          <w:sz w:val="20"/>
          <w:lang w:val="en-US"/>
        </w:rPr>
        <w:t xml:space="preserve"> th</w:t>
      </w:r>
      <w:r w:rsidR="001B0492" w:rsidRPr="00D869E3">
        <w:rPr>
          <w:rFonts w:ascii="Verdana" w:hAnsi="Verdana"/>
          <w:sz w:val="20"/>
          <w:lang w:val="en-US"/>
        </w:rPr>
        <w:t>o</w:t>
      </w:r>
      <w:r w:rsidRPr="00D869E3">
        <w:rPr>
          <w:rFonts w:ascii="Verdana" w:hAnsi="Verdana"/>
          <w:sz w:val="20"/>
          <w:lang w:val="en-US"/>
        </w:rPr>
        <w:t xml:space="preserve">se </w:t>
      </w:r>
      <w:r w:rsidR="004800B8" w:rsidRPr="00D869E3">
        <w:rPr>
          <w:rFonts w:ascii="Verdana" w:hAnsi="Verdana"/>
          <w:sz w:val="20"/>
          <w:lang w:val="en-US"/>
        </w:rPr>
        <w:t>statements</w:t>
      </w:r>
      <w:r w:rsidRPr="00D869E3">
        <w:rPr>
          <w:rFonts w:ascii="Verdana" w:hAnsi="Verdana"/>
          <w:sz w:val="20"/>
          <w:lang w:val="en-US"/>
        </w:rPr>
        <w:t xml:space="preserve"> referred to matter</w:t>
      </w:r>
      <w:r w:rsidR="005C7DB1" w:rsidRPr="00D869E3">
        <w:rPr>
          <w:rFonts w:ascii="Verdana" w:hAnsi="Verdana"/>
          <w:sz w:val="20"/>
          <w:lang w:val="en-US"/>
        </w:rPr>
        <w:t>s</w:t>
      </w:r>
      <w:r w:rsidRPr="00D869E3">
        <w:rPr>
          <w:rFonts w:ascii="Verdana" w:hAnsi="Verdana"/>
          <w:sz w:val="20"/>
          <w:lang w:val="en-US"/>
        </w:rPr>
        <w:t xml:space="preserve"> of general interest </w:t>
      </w:r>
      <w:r w:rsidR="005C7DB1" w:rsidRPr="00D869E3">
        <w:rPr>
          <w:rFonts w:ascii="Verdana" w:hAnsi="Verdana"/>
          <w:sz w:val="20"/>
          <w:lang w:val="en-US"/>
        </w:rPr>
        <w:t>and it was appropriate for</w:t>
      </w:r>
      <w:r w:rsidRPr="00D869E3">
        <w:rPr>
          <w:rFonts w:ascii="Verdana" w:hAnsi="Verdana"/>
          <w:sz w:val="20"/>
          <w:lang w:val="en-US"/>
        </w:rPr>
        <w:t xml:space="preserve"> </w:t>
      </w:r>
      <w:r w:rsidR="00EE0BD4" w:rsidRPr="00D869E3">
        <w:rPr>
          <w:rFonts w:ascii="Verdana" w:hAnsi="Verdana"/>
          <w:sz w:val="20"/>
          <w:lang w:val="en-US"/>
        </w:rPr>
        <w:t>Mr. Lagos</w:t>
      </w:r>
      <w:r w:rsidR="00F83E8F" w:rsidRPr="00D869E3">
        <w:rPr>
          <w:rFonts w:ascii="Verdana" w:hAnsi="Verdana"/>
          <w:sz w:val="20"/>
          <w:lang w:val="en-US"/>
        </w:rPr>
        <w:t xml:space="preserve"> del Campo </w:t>
      </w:r>
      <w:r w:rsidRPr="00D869E3">
        <w:rPr>
          <w:rFonts w:ascii="Verdana" w:hAnsi="Verdana"/>
          <w:sz w:val="20"/>
          <w:lang w:val="en-US"/>
        </w:rPr>
        <w:t>to give</w:t>
      </w:r>
      <w:r w:rsidR="005C7DB1" w:rsidRPr="00D869E3">
        <w:rPr>
          <w:rFonts w:ascii="Verdana" w:hAnsi="Verdana"/>
          <w:sz w:val="20"/>
          <w:lang w:val="en-US"/>
        </w:rPr>
        <w:t xml:space="preserve"> them</w:t>
      </w:r>
      <w:r w:rsidRPr="00D869E3">
        <w:rPr>
          <w:rFonts w:ascii="Verdana" w:hAnsi="Verdana"/>
          <w:sz w:val="20"/>
          <w:lang w:val="en-US"/>
        </w:rPr>
        <w:t xml:space="preserve"> in his capacity as workers’ representative </w:t>
      </w:r>
      <w:r w:rsidR="00687684" w:rsidRPr="00D869E3">
        <w:rPr>
          <w:rFonts w:ascii="Verdana" w:hAnsi="Verdana"/>
          <w:sz w:val="20"/>
          <w:lang w:val="en-US"/>
        </w:rPr>
        <w:t>and</w:t>
      </w:r>
      <w:r w:rsidR="00C66688" w:rsidRPr="00D869E3">
        <w:rPr>
          <w:rFonts w:ascii="Verdana" w:hAnsi="Verdana"/>
          <w:sz w:val="20"/>
          <w:lang w:val="en-US"/>
        </w:rPr>
        <w:t xml:space="preserve"> </w:t>
      </w:r>
      <w:r w:rsidR="001B0492" w:rsidRPr="00D869E3">
        <w:rPr>
          <w:rFonts w:ascii="Verdana" w:hAnsi="Verdana"/>
          <w:sz w:val="20"/>
          <w:lang w:val="en-US"/>
        </w:rPr>
        <w:t>president of the Electoral</w:t>
      </w:r>
      <w:r w:rsidR="00EA232B" w:rsidRPr="00D869E3">
        <w:rPr>
          <w:rFonts w:ascii="Verdana" w:hAnsi="Verdana"/>
          <w:sz w:val="20"/>
          <w:lang w:val="en-US"/>
        </w:rPr>
        <w:t xml:space="preserve"> Committee</w:t>
      </w:r>
      <w:r w:rsidR="00F83E8F" w:rsidRPr="00D869E3">
        <w:rPr>
          <w:rFonts w:ascii="Verdana" w:hAnsi="Verdana"/>
          <w:sz w:val="20"/>
          <w:lang w:val="en-US"/>
        </w:rPr>
        <w:t xml:space="preserve">. </w:t>
      </w:r>
      <w:r w:rsidRPr="00D869E3">
        <w:rPr>
          <w:rFonts w:ascii="Verdana" w:hAnsi="Verdana"/>
          <w:sz w:val="20"/>
          <w:lang w:val="en-US"/>
        </w:rPr>
        <w:t xml:space="preserve">In this regard, the extensive inter-American case law on the right to freedom of thought and expression recognized in </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 13 </w:t>
      </w:r>
      <w:r w:rsidR="00671B14" w:rsidRPr="00D869E3">
        <w:rPr>
          <w:rFonts w:ascii="Verdana" w:hAnsi="Verdana"/>
          <w:sz w:val="20"/>
          <w:szCs w:val="20"/>
          <w:lang w:val="en-US"/>
        </w:rPr>
        <w:t>of the Pact of San José</w:t>
      </w:r>
      <w:r w:rsidR="00F83E8F" w:rsidRPr="00D869E3">
        <w:rPr>
          <w:rStyle w:val="Refdenotaalpie"/>
          <w:rFonts w:cs="Arial"/>
          <w:iCs/>
          <w:szCs w:val="20"/>
          <w:lang w:val="en-US"/>
        </w:rPr>
        <w:footnoteReference w:id="286"/>
      </w:r>
      <w:r w:rsidRPr="00D869E3">
        <w:rPr>
          <w:rFonts w:ascii="Verdana" w:hAnsi="Verdana"/>
          <w:sz w:val="20"/>
          <w:szCs w:val="20"/>
          <w:lang w:val="en-US"/>
        </w:rPr>
        <w:t xml:space="preserve"> was expanded and consolidated</w:t>
      </w:r>
      <w:r w:rsidR="00F83E8F" w:rsidRPr="00D869E3">
        <w:rPr>
          <w:rFonts w:ascii="Verdana" w:hAnsi="Verdana" w:cs="Arial"/>
          <w:sz w:val="20"/>
          <w:szCs w:val="20"/>
          <w:lang w:val="en-US"/>
        </w:rPr>
        <w:t>.</w:t>
      </w:r>
    </w:p>
    <w:p w14:paraId="6C0D8DD9" w14:textId="77777777" w:rsidR="00D379F6" w:rsidRPr="00D869E3" w:rsidRDefault="00D379F6" w:rsidP="00D379F6">
      <w:pPr>
        <w:pStyle w:val="Prrafodelista"/>
        <w:rPr>
          <w:rFonts w:ascii="Verdana" w:hAnsi="Verdana"/>
          <w:sz w:val="20"/>
          <w:szCs w:val="20"/>
          <w:lang w:val="en-US"/>
        </w:rPr>
      </w:pPr>
    </w:p>
    <w:p w14:paraId="0C6A496A" w14:textId="4AA382BF" w:rsidR="00F83E8F" w:rsidRPr="00D869E3" w:rsidRDefault="00DB128C" w:rsidP="00185A57">
      <w:pPr>
        <w:pStyle w:val="Prrafodelista"/>
        <w:widowControl w:val="0"/>
        <w:numPr>
          <w:ilvl w:val="0"/>
          <w:numId w:val="28"/>
        </w:numPr>
        <w:autoSpaceDE w:val="0"/>
        <w:autoSpaceDN w:val="0"/>
        <w:adjustRightInd w:val="0"/>
        <w:ind w:left="0" w:firstLine="0"/>
        <w:jc w:val="both"/>
        <w:rPr>
          <w:rFonts w:ascii="Verdana" w:hAnsi="Verdana"/>
          <w:sz w:val="20"/>
          <w:szCs w:val="20"/>
          <w:lang w:val="en-US"/>
        </w:rPr>
      </w:pPr>
      <w:r w:rsidRPr="00D869E3">
        <w:rPr>
          <w:rFonts w:ascii="Verdana" w:hAnsi="Verdana"/>
          <w:sz w:val="20"/>
          <w:szCs w:val="20"/>
          <w:u w:val="single"/>
          <w:lang w:val="en-US"/>
        </w:rPr>
        <w:t>Second</w:t>
      </w:r>
      <w:r w:rsidR="00F83E8F" w:rsidRPr="00D869E3">
        <w:rPr>
          <w:rFonts w:ascii="Verdana" w:hAnsi="Verdana"/>
          <w:sz w:val="20"/>
          <w:szCs w:val="20"/>
          <w:lang w:val="en-US"/>
        </w:rPr>
        <w:t xml:space="preserve">, </w:t>
      </w:r>
      <w:r w:rsidR="005C7DB1" w:rsidRPr="00D869E3">
        <w:rPr>
          <w:rFonts w:ascii="Verdana" w:hAnsi="Verdana"/>
          <w:sz w:val="20"/>
          <w:szCs w:val="20"/>
          <w:lang w:val="en-US"/>
        </w:rPr>
        <w:t>in this historic judgment, the Court declared,</w:t>
      </w:r>
      <w:r w:rsidR="00F83E8F" w:rsidRPr="00D869E3">
        <w:rPr>
          <w:rStyle w:val="Refdenotaalpie"/>
          <w:szCs w:val="20"/>
          <w:lang w:val="en-US"/>
        </w:rPr>
        <w:footnoteReference w:id="287"/>
      </w:r>
      <w:r w:rsidR="005C7DB1" w:rsidRPr="00D869E3">
        <w:rPr>
          <w:rFonts w:ascii="Verdana" w:hAnsi="Verdana"/>
          <w:sz w:val="20"/>
          <w:szCs w:val="20"/>
          <w:lang w:val="en-US"/>
        </w:rPr>
        <w:t xml:space="preserve"> for the first time, </w:t>
      </w:r>
      <w:r w:rsidR="007013E2" w:rsidRPr="00D869E3">
        <w:rPr>
          <w:rFonts w:ascii="Verdana" w:hAnsi="Verdana"/>
          <w:sz w:val="20"/>
          <w:szCs w:val="20"/>
          <w:lang w:val="en-US"/>
        </w:rPr>
        <w:t>the violation</w:t>
      </w:r>
      <w:r w:rsidR="00F83E8F" w:rsidRPr="00D869E3">
        <w:rPr>
          <w:rFonts w:ascii="Verdana" w:hAnsi="Verdana"/>
          <w:sz w:val="20"/>
          <w:szCs w:val="20"/>
          <w:lang w:val="en-US"/>
        </w:rPr>
        <w:t xml:space="preserve"> </w:t>
      </w:r>
      <w:r w:rsidR="00687684" w:rsidRPr="00D869E3">
        <w:rPr>
          <w:rFonts w:ascii="Verdana" w:hAnsi="Verdana"/>
          <w:sz w:val="20"/>
          <w:szCs w:val="20"/>
          <w:lang w:val="en-US"/>
        </w:rPr>
        <w:t>of Article</w:t>
      </w:r>
      <w:r w:rsidR="00F83E8F" w:rsidRPr="00D869E3">
        <w:rPr>
          <w:rFonts w:ascii="Verdana" w:hAnsi="Verdana"/>
          <w:sz w:val="20"/>
          <w:szCs w:val="20"/>
          <w:lang w:val="en-US"/>
        </w:rPr>
        <w:t xml:space="preserve"> 26</w:t>
      </w:r>
      <w:r w:rsidR="00447C65" w:rsidRPr="00D869E3">
        <w:rPr>
          <w:rFonts w:ascii="Verdana" w:hAnsi="Verdana"/>
          <w:sz w:val="20"/>
          <w:szCs w:val="20"/>
          <w:lang w:val="en-US"/>
        </w:rPr>
        <w:t xml:space="preserve"> of the American Convention</w:t>
      </w:r>
      <w:r w:rsidR="00F83E8F" w:rsidRPr="00D869E3">
        <w:rPr>
          <w:rFonts w:ascii="Verdana" w:hAnsi="Verdana"/>
          <w:sz w:val="20"/>
          <w:szCs w:val="20"/>
          <w:lang w:val="en-US"/>
        </w:rPr>
        <w:t xml:space="preserve"> </w:t>
      </w:r>
      <w:r w:rsidR="00BB61A6" w:rsidRPr="00D869E3">
        <w:rPr>
          <w:rFonts w:ascii="Verdana" w:hAnsi="Verdana"/>
          <w:sz w:val="20"/>
          <w:szCs w:val="20"/>
          <w:lang w:val="en-US"/>
        </w:rPr>
        <w:t>in relation to</w:t>
      </w:r>
      <w:r w:rsidR="00F83E8F" w:rsidRPr="00D869E3">
        <w:rPr>
          <w:rFonts w:ascii="Verdana" w:hAnsi="Verdana"/>
          <w:sz w:val="20"/>
          <w:szCs w:val="20"/>
          <w:lang w:val="en-US"/>
        </w:rPr>
        <w:t xml:space="preserve"> </w:t>
      </w:r>
      <w:r w:rsidR="00687684" w:rsidRPr="00D869E3">
        <w:rPr>
          <w:rFonts w:ascii="Verdana" w:hAnsi="Verdana"/>
          <w:sz w:val="20"/>
          <w:szCs w:val="20"/>
          <w:lang w:val="en-US"/>
        </w:rPr>
        <w:t>Article 1(1)</w:t>
      </w:r>
      <w:r w:rsidR="005C7DB1" w:rsidRPr="00D869E3">
        <w:rPr>
          <w:rFonts w:ascii="Verdana" w:hAnsi="Verdana"/>
          <w:sz w:val="20"/>
          <w:szCs w:val="20"/>
          <w:lang w:val="en-US"/>
        </w:rPr>
        <w:t>,</w:t>
      </w:r>
      <w:r w:rsidR="00F83E8F" w:rsidRPr="00D869E3">
        <w:rPr>
          <w:rStyle w:val="Refdenotaalpie"/>
          <w:szCs w:val="20"/>
          <w:lang w:val="en-US"/>
        </w:rPr>
        <w:footnoteReference w:id="288"/>
      </w:r>
      <w:r w:rsidR="00F83E8F" w:rsidRPr="00D869E3">
        <w:rPr>
          <w:rFonts w:ascii="Verdana" w:hAnsi="Verdana"/>
          <w:sz w:val="20"/>
          <w:szCs w:val="20"/>
          <w:lang w:val="en-US"/>
        </w:rPr>
        <w:t xml:space="preserve"> </w:t>
      </w:r>
      <w:r w:rsidR="005C7DB1" w:rsidRPr="00D869E3">
        <w:rPr>
          <w:rFonts w:ascii="Verdana" w:hAnsi="Verdana"/>
          <w:sz w:val="20"/>
          <w:szCs w:val="20"/>
          <w:lang w:val="en-US"/>
        </w:rPr>
        <w:t xml:space="preserve">owing to the violation of the job security </w:t>
      </w:r>
      <w:r w:rsidR="00E6309B" w:rsidRPr="00D869E3">
        <w:rPr>
          <w:rFonts w:ascii="Verdana" w:hAnsi="Verdana"/>
          <w:sz w:val="20"/>
          <w:szCs w:val="20"/>
          <w:lang w:val="en-US"/>
        </w:rPr>
        <w:t>of Mr.</w:t>
      </w:r>
      <w:r w:rsidR="001E44D3" w:rsidRPr="00D869E3">
        <w:rPr>
          <w:rFonts w:ascii="Verdana" w:hAnsi="Verdana"/>
          <w:sz w:val="20"/>
          <w:szCs w:val="20"/>
          <w:lang w:val="en-US"/>
        </w:rPr>
        <w:t xml:space="preserve"> Lagos del Campo</w:t>
      </w:r>
      <w:r w:rsidR="005C7DB1" w:rsidRPr="00D869E3">
        <w:rPr>
          <w:rFonts w:ascii="Verdana" w:hAnsi="Verdana"/>
          <w:sz w:val="20"/>
          <w:szCs w:val="20"/>
          <w:lang w:val="en-US"/>
        </w:rPr>
        <w:t>.</w:t>
      </w:r>
      <w:r w:rsidR="00F83E8F" w:rsidRPr="00D869E3">
        <w:rPr>
          <w:rStyle w:val="Refdenotaalpie"/>
          <w:szCs w:val="20"/>
          <w:lang w:val="en-US"/>
        </w:rPr>
        <w:footnoteReference w:id="289"/>
      </w:r>
      <w:r w:rsidR="002B7E57" w:rsidRPr="00D869E3">
        <w:rPr>
          <w:rFonts w:ascii="Verdana" w:hAnsi="Verdana"/>
          <w:sz w:val="20"/>
          <w:szCs w:val="20"/>
          <w:lang w:val="en-US"/>
        </w:rPr>
        <w:t xml:space="preserve"> Using an evolutive interpretation and distancing itself from its traditional case law, </w:t>
      </w:r>
      <w:r w:rsidR="00671B14" w:rsidRPr="00D869E3">
        <w:rPr>
          <w:rFonts w:ascii="Verdana" w:hAnsi="Verdana"/>
          <w:bCs/>
          <w:sz w:val="20"/>
          <w:szCs w:val="20"/>
          <w:lang w:val="en-US"/>
        </w:rPr>
        <w:t>the Inter-American Court</w:t>
      </w:r>
      <w:r w:rsidR="00F83E8F" w:rsidRPr="00D869E3">
        <w:rPr>
          <w:rFonts w:ascii="Verdana" w:hAnsi="Verdana"/>
          <w:bCs/>
          <w:sz w:val="20"/>
          <w:szCs w:val="20"/>
          <w:lang w:val="en-US"/>
        </w:rPr>
        <w:t xml:space="preserve"> </w:t>
      </w:r>
      <w:r w:rsidR="00E540A5" w:rsidRPr="00D869E3">
        <w:rPr>
          <w:rFonts w:ascii="Verdana" w:hAnsi="Verdana"/>
          <w:bCs/>
          <w:sz w:val="20"/>
          <w:szCs w:val="20"/>
          <w:lang w:val="en-US"/>
        </w:rPr>
        <w:t>provided</w:t>
      </w:r>
      <w:r w:rsidR="002B7E57" w:rsidRPr="00D869E3">
        <w:rPr>
          <w:rFonts w:ascii="Verdana" w:hAnsi="Verdana"/>
          <w:bCs/>
          <w:sz w:val="20"/>
          <w:szCs w:val="20"/>
          <w:lang w:val="en-US"/>
        </w:rPr>
        <w:t xml:space="preserve"> new normative content to </w:t>
      </w:r>
      <w:r w:rsidR="00447C65" w:rsidRPr="00D869E3">
        <w:rPr>
          <w:rFonts w:ascii="Verdana" w:hAnsi="Verdana"/>
          <w:bCs/>
          <w:sz w:val="20"/>
          <w:szCs w:val="20"/>
          <w:lang w:val="en-US"/>
        </w:rPr>
        <w:t>Article</w:t>
      </w:r>
      <w:r w:rsidR="00F83E8F" w:rsidRPr="00D869E3">
        <w:rPr>
          <w:rFonts w:ascii="Verdana" w:hAnsi="Verdana"/>
          <w:bCs/>
          <w:sz w:val="20"/>
          <w:szCs w:val="20"/>
          <w:lang w:val="en-US"/>
        </w:rPr>
        <w:t xml:space="preserve"> 26 </w:t>
      </w:r>
      <w:r w:rsidR="00671B14" w:rsidRPr="00D869E3">
        <w:rPr>
          <w:rFonts w:ascii="Verdana" w:hAnsi="Verdana"/>
          <w:bCs/>
          <w:sz w:val="20"/>
          <w:szCs w:val="20"/>
          <w:lang w:val="en-US"/>
        </w:rPr>
        <w:t>of the Pact of San José</w:t>
      </w:r>
      <w:r w:rsidR="00F83E8F" w:rsidRPr="00D869E3">
        <w:rPr>
          <w:rFonts w:ascii="Verdana" w:hAnsi="Verdana"/>
          <w:bCs/>
          <w:sz w:val="20"/>
          <w:szCs w:val="20"/>
          <w:lang w:val="en-US"/>
        </w:rPr>
        <w:t xml:space="preserve">, </w:t>
      </w:r>
      <w:r w:rsidR="002B7E57" w:rsidRPr="00D869E3">
        <w:rPr>
          <w:rFonts w:ascii="Verdana" w:hAnsi="Verdana"/>
          <w:bCs/>
          <w:sz w:val="20"/>
          <w:szCs w:val="20"/>
          <w:lang w:val="en-US"/>
        </w:rPr>
        <w:t>read in light of</w:t>
      </w:r>
      <w:r w:rsidR="00687684" w:rsidRPr="00D869E3">
        <w:rPr>
          <w:rFonts w:ascii="Verdana" w:hAnsi="Verdana"/>
          <w:bCs/>
          <w:sz w:val="20"/>
          <w:szCs w:val="20"/>
          <w:lang w:val="en-US"/>
        </w:rPr>
        <w:t xml:space="preserve"> Article</w:t>
      </w:r>
      <w:r w:rsidR="00F83E8F" w:rsidRPr="00D869E3">
        <w:rPr>
          <w:rFonts w:ascii="Verdana" w:hAnsi="Verdana"/>
          <w:bCs/>
          <w:sz w:val="20"/>
          <w:szCs w:val="20"/>
          <w:lang w:val="en-US"/>
        </w:rPr>
        <w:t xml:space="preserve"> 29 </w:t>
      </w:r>
      <w:r w:rsidR="00687684" w:rsidRPr="00D869E3">
        <w:rPr>
          <w:rFonts w:ascii="Verdana" w:hAnsi="Verdana"/>
          <w:bCs/>
          <w:sz w:val="20"/>
          <w:szCs w:val="20"/>
          <w:lang w:val="en-US"/>
        </w:rPr>
        <w:t>of this instrument</w:t>
      </w:r>
      <w:r w:rsidR="00F83E8F" w:rsidRPr="00D869E3">
        <w:rPr>
          <w:rFonts w:ascii="Verdana" w:hAnsi="Verdana"/>
          <w:bCs/>
          <w:sz w:val="20"/>
          <w:szCs w:val="20"/>
          <w:lang w:val="en-US"/>
        </w:rPr>
        <w:t xml:space="preserve">. </w:t>
      </w:r>
      <w:r w:rsidR="002B7E57" w:rsidRPr="00D869E3">
        <w:rPr>
          <w:rFonts w:ascii="Verdana" w:hAnsi="Verdana"/>
          <w:bCs/>
          <w:sz w:val="20"/>
          <w:szCs w:val="20"/>
          <w:lang w:val="en-US"/>
        </w:rPr>
        <w:t xml:space="preserve">Thus, the said article is not merely a programmatic </w:t>
      </w:r>
      <w:r w:rsidR="00E540A5" w:rsidRPr="00D869E3">
        <w:rPr>
          <w:rFonts w:ascii="Verdana" w:hAnsi="Verdana"/>
          <w:bCs/>
          <w:sz w:val="20"/>
          <w:szCs w:val="20"/>
          <w:lang w:val="en-US"/>
        </w:rPr>
        <w:t>standard</w:t>
      </w:r>
      <w:r w:rsidR="002B7E57" w:rsidRPr="00D869E3">
        <w:rPr>
          <w:rFonts w:ascii="Verdana" w:hAnsi="Verdana"/>
          <w:bCs/>
          <w:sz w:val="20"/>
          <w:szCs w:val="20"/>
          <w:lang w:val="en-US"/>
        </w:rPr>
        <w:t xml:space="preserve"> for the States Parties to </w:t>
      </w:r>
      <w:r w:rsidR="00447C65" w:rsidRPr="00D869E3">
        <w:rPr>
          <w:rFonts w:ascii="Verdana" w:hAnsi="Verdana"/>
          <w:bCs/>
          <w:sz w:val="20"/>
          <w:szCs w:val="20"/>
          <w:lang w:val="en-US"/>
        </w:rPr>
        <w:t>the American Convention</w:t>
      </w:r>
      <w:r w:rsidR="00F83E8F" w:rsidRPr="00D869E3">
        <w:rPr>
          <w:rFonts w:ascii="Verdana" w:hAnsi="Verdana"/>
          <w:bCs/>
          <w:sz w:val="20"/>
          <w:szCs w:val="20"/>
          <w:lang w:val="en-US"/>
        </w:rPr>
        <w:t xml:space="preserve">, </w:t>
      </w:r>
      <w:r w:rsidR="002B7E57" w:rsidRPr="00D869E3">
        <w:rPr>
          <w:rFonts w:ascii="Verdana" w:hAnsi="Verdana"/>
          <w:bCs/>
          <w:sz w:val="20"/>
          <w:szCs w:val="20"/>
          <w:lang w:val="en-US"/>
        </w:rPr>
        <w:t xml:space="preserve">but </w:t>
      </w:r>
      <w:r w:rsidR="00E540A5" w:rsidRPr="00D869E3">
        <w:rPr>
          <w:rFonts w:ascii="Verdana" w:hAnsi="Verdana"/>
          <w:bCs/>
          <w:sz w:val="20"/>
          <w:szCs w:val="20"/>
          <w:lang w:val="en-US"/>
        </w:rPr>
        <w:t>rather</w:t>
      </w:r>
      <w:r w:rsidR="002B7E57" w:rsidRPr="00D869E3">
        <w:rPr>
          <w:rFonts w:ascii="Verdana" w:hAnsi="Verdana"/>
          <w:bCs/>
          <w:sz w:val="20"/>
          <w:szCs w:val="20"/>
          <w:lang w:val="en-US"/>
        </w:rPr>
        <w:t xml:space="preserve"> a provision that imposes on the Inter-American Court the obligation to refer to </w:t>
      </w:r>
      <w:r w:rsidR="00317073" w:rsidRPr="00D869E3">
        <w:rPr>
          <w:rFonts w:ascii="Verdana" w:hAnsi="Verdana"/>
          <w:bCs/>
          <w:sz w:val="20"/>
          <w:szCs w:val="20"/>
          <w:lang w:val="en-US"/>
        </w:rPr>
        <w:t>the Charter of the</w:t>
      </w:r>
      <w:r w:rsidR="00F83E8F" w:rsidRPr="00D869E3">
        <w:rPr>
          <w:rFonts w:ascii="Verdana" w:hAnsi="Verdana"/>
          <w:bCs/>
          <w:sz w:val="20"/>
          <w:szCs w:val="20"/>
          <w:lang w:val="en-US"/>
        </w:rPr>
        <w:t xml:space="preserve"> </w:t>
      </w:r>
      <w:r w:rsidR="002B7E57" w:rsidRPr="00D869E3">
        <w:rPr>
          <w:rFonts w:ascii="Verdana" w:hAnsi="Verdana"/>
          <w:bCs/>
          <w:sz w:val="20"/>
          <w:szCs w:val="20"/>
          <w:lang w:val="en-US"/>
        </w:rPr>
        <w:t>Organization of American States</w:t>
      </w:r>
      <w:r w:rsidR="00F83E8F" w:rsidRPr="00D869E3">
        <w:rPr>
          <w:rFonts w:ascii="Verdana" w:hAnsi="Verdana"/>
          <w:bCs/>
          <w:sz w:val="20"/>
          <w:szCs w:val="20"/>
          <w:lang w:val="en-US"/>
        </w:rPr>
        <w:t xml:space="preserve"> (</w:t>
      </w:r>
      <w:r w:rsidR="00447C65" w:rsidRPr="00D869E3">
        <w:rPr>
          <w:rFonts w:ascii="Verdana" w:hAnsi="Verdana"/>
          <w:bCs/>
          <w:sz w:val="20"/>
          <w:szCs w:val="20"/>
          <w:lang w:val="en-US"/>
        </w:rPr>
        <w:t>hereinafter</w:t>
      </w:r>
      <w:r w:rsidR="00F83E8F" w:rsidRPr="00D869E3">
        <w:rPr>
          <w:rFonts w:ascii="Verdana" w:hAnsi="Verdana"/>
          <w:bCs/>
          <w:sz w:val="20"/>
          <w:szCs w:val="20"/>
          <w:lang w:val="en-US"/>
        </w:rPr>
        <w:t xml:space="preserve"> </w:t>
      </w:r>
      <w:r w:rsidR="006436CA" w:rsidRPr="00D869E3">
        <w:rPr>
          <w:rFonts w:ascii="Verdana" w:hAnsi="Verdana"/>
          <w:bCs/>
          <w:sz w:val="20"/>
          <w:szCs w:val="20"/>
          <w:lang w:val="en-US"/>
        </w:rPr>
        <w:t>“</w:t>
      </w:r>
      <w:r w:rsidR="00197983" w:rsidRPr="00D869E3">
        <w:rPr>
          <w:rFonts w:ascii="Verdana" w:hAnsi="Verdana"/>
          <w:bCs/>
          <w:sz w:val="20"/>
          <w:szCs w:val="20"/>
          <w:lang w:val="en-US"/>
        </w:rPr>
        <w:t>the OAS Charter</w:t>
      </w:r>
      <w:r w:rsidR="006436CA" w:rsidRPr="00D869E3">
        <w:rPr>
          <w:rFonts w:ascii="Verdana" w:hAnsi="Verdana"/>
          <w:bCs/>
          <w:sz w:val="20"/>
          <w:szCs w:val="20"/>
          <w:lang w:val="en-US"/>
        </w:rPr>
        <w:t>”</w:t>
      </w:r>
      <w:r w:rsidR="00F83E8F" w:rsidRPr="00D869E3">
        <w:rPr>
          <w:rFonts w:ascii="Verdana" w:hAnsi="Verdana"/>
          <w:bCs/>
          <w:sz w:val="20"/>
          <w:szCs w:val="20"/>
          <w:lang w:val="en-US"/>
        </w:rPr>
        <w:t xml:space="preserve">) </w:t>
      </w:r>
      <w:r w:rsidR="002B7E57" w:rsidRPr="00D869E3">
        <w:rPr>
          <w:rFonts w:ascii="Verdana" w:hAnsi="Verdana"/>
          <w:bCs/>
          <w:sz w:val="20"/>
          <w:szCs w:val="20"/>
          <w:lang w:val="en-US"/>
        </w:rPr>
        <w:t>to achieve the full effectiveness of the rights derived from the economic, social,</w:t>
      </w:r>
      <w:r w:rsidR="002B7E57" w:rsidRPr="00D869E3">
        <w:rPr>
          <w:rFonts w:ascii="Verdana" w:hAnsi="Verdana"/>
          <w:sz w:val="20"/>
          <w:szCs w:val="20"/>
          <w:lang w:val="en-US"/>
        </w:rPr>
        <w:t xml:space="preserve"> educational, scientific, and cultural standards set forth in that Charter.</w:t>
      </w:r>
      <w:r w:rsidR="00F83E8F" w:rsidRPr="00D869E3">
        <w:rPr>
          <w:rStyle w:val="Refdenotaalpie"/>
          <w:bCs/>
          <w:szCs w:val="20"/>
          <w:lang w:val="en-US"/>
        </w:rPr>
        <w:footnoteReference w:id="290"/>
      </w:r>
      <w:r w:rsidR="002B7E57" w:rsidRPr="00D869E3">
        <w:rPr>
          <w:rFonts w:ascii="Verdana" w:hAnsi="Verdana"/>
          <w:bCs/>
          <w:i/>
          <w:sz w:val="20"/>
          <w:szCs w:val="20"/>
          <w:lang w:val="en-US"/>
        </w:rPr>
        <w:t xml:space="preserve"> </w:t>
      </w:r>
      <w:r w:rsidR="002B7E57" w:rsidRPr="00D869E3">
        <w:rPr>
          <w:rFonts w:ascii="Verdana" w:hAnsi="Verdana"/>
          <w:bCs/>
          <w:sz w:val="20"/>
          <w:szCs w:val="20"/>
          <w:lang w:val="en-US"/>
        </w:rPr>
        <w:t xml:space="preserve">I referred to the possibility of considering the ESCER justiciable via </w:t>
      </w:r>
      <w:r w:rsidR="00447C65" w:rsidRPr="00D869E3">
        <w:rPr>
          <w:rFonts w:ascii="Verdana" w:hAnsi="Verdana"/>
          <w:bCs/>
          <w:sz w:val="20"/>
          <w:szCs w:val="20"/>
          <w:lang w:val="en-US"/>
        </w:rPr>
        <w:t>Article</w:t>
      </w:r>
      <w:r w:rsidR="00F83E8F" w:rsidRPr="00D869E3">
        <w:rPr>
          <w:rFonts w:ascii="Verdana" w:hAnsi="Verdana"/>
          <w:bCs/>
          <w:sz w:val="20"/>
          <w:szCs w:val="20"/>
          <w:lang w:val="en-US"/>
        </w:rPr>
        <w:t xml:space="preserve"> 26</w:t>
      </w:r>
      <w:r w:rsidR="00447C65" w:rsidRPr="00D869E3">
        <w:rPr>
          <w:rFonts w:ascii="Verdana" w:hAnsi="Verdana"/>
          <w:bCs/>
          <w:sz w:val="20"/>
          <w:szCs w:val="20"/>
          <w:lang w:val="en-US"/>
        </w:rPr>
        <w:t xml:space="preserve"> of the American Convention</w:t>
      </w:r>
      <w:r w:rsidR="002B7E57" w:rsidRPr="00D869E3">
        <w:rPr>
          <w:rFonts w:ascii="Verdana" w:hAnsi="Verdana"/>
          <w:bCs/>
          <w:sz w:val="20"/>
          <w:szCs w:val="20"/>
          <w:lang w:val="en-US"/>
        </w:rPr>
        <w:t xml:space="preserve"> in the first case that I heard as a judge </w:t>
      </w:r>
      <w:r w:rsidR="00447C65" w:rsidRPr="00D869E3">
        <w:rPr>
          <w:rFonts w:ascii="Verdana" w:hAnsi="Verdana"/>
          <w:bCs/>
          <w:sz w:val="20"/>
          <w:szCs w:val="20"/>
          <w:lang w:val="en-US"/>
        </w:rPr>
        <w:t xml:space="preserve">of </w:t>
      </w:r>
      <w:r w:rsidR="00671B14" w:rsidRPr="00D869E3">
        <w:rPr>
          <w:rFonts w:ascii="Verdana" w:hAnsi="Verdana"/>
          <w:bCs/>
          <w:sz w:val="20"/>
          <w:szCs w:val="20"/>
          <w:lang w:val="en-US"/>
        </w:rPr>
        <w:t>the Inter-American Court</w:t>
      </w:r>
      <w:r w:rsidR="00F83E8F" w:rsidRPr="00D869E3">
        <w:rPr>
          <w:rFonts w:ascii="Verdana" w:hAnsi="Verdana"/>
          <w:bCs/>
          <w:sz w:val="20"/>
          <w:szCs w:val="20"/>
          <w:lang w:val="en-US"/>
        </w:rPr>
        <w:t xml:space="preserve"> </w:t>
      </w:r>
      <w:r w:rsidR="002B7E57" w:rsidRPr="00D869E3">
        <w:rPr>
          <w:rFonts w:ascii="Verdana" w:hAnsi="Verdana"/>
          <w:bCs/>
          <w:sz w:val="20"/>
          <w:szCs w:val="20"/>
          <w:lang w:val="en-US"/>
        </w:rPr>
        <w:t>i</w:t>
      </w:r>
      <w:r w:rsidR="00F83E8F" w:rsidRPr="00D869E3">
        <w:rPr>
          <w:rFonts w:ascii="Verdana" w:hAnsi="Verdana"/>
          <w:bCs/>
          <w:sz w:val="20"/>
          <w:szCs w:val="20"/>
          <w:lang w:val="en-US"/>
        </w:rPr>
        <w:t>n 2013</w:t>
      </w:r>
      <w:r w:rsidR="002B7E57" w:rsidRPr="00D869E3">
        <w:rPr>
          <w:rFonts w:ascii="Verdana" w:hAnsi="Verdana"/>
          <w:bCs/>
          <w:sz w:val="20"/>
          <w:szCs w:val="20"/>
          <w:lang w:val="en-US"/>
        </w:rPr>
        <w:t>.</w:t>
      </w:r>
      <w:r w:rsidR="00F83E8F" w:rsidRPr="00D869E3">
        <w:rPr>
          <w:rStyle w:val="Refdenotaalpie"/>
          <w:szCs w:val="20"/>
          <w:lang w:val="en-US"/>
        </w:rPr>
        <w:footnoteReference w:id="291"/>
      </w:r>
      <w:r w:rsidR="002B7E57" w:rsidRPr="00D869E3">
        <w:rPr>
          <w:rFonts w:ascii="Verdana" w:hAnsi="Verdana"/>
          <w:bCs/>
          <w:sz w:val="20"/>
          <w:szCs w:val="20"/>
          <w:lang w:val="en-US"/>
        </w:rPr>
        <w:t xml:space="preserve"> And I have repeated this in subsequent cases concerning</w:t>
      </w:r>
      <w:r w:rsidR="00F83E8F" w:rsidRPr="00D869E3">
        <w:rPr>
          <w:rFonts w:ascii="Verdana" w:hAnsi="Verdana"/>
          <w:bCs/>
          <w:sz w:val="20"/>
          <w:szCs w:val="20"/>
          <w:lang w:val="en-US"/>
        </w:rPr>
        <w:t xml:space="preserve"> </w:t>
      </w:r>
      <w:r w:rsidR="000B2E5E" w:rsidRPr="00D869E3">
        <w:rPr>
          <w:rFonts w:ascii="Verdana" w:hAnsi="Verdana"/>
          <w:bCs/>
          <w:sz w:val="20"/>
          <w:szCs w:val="20"/>
          <w:lang w:val="en-US"/>
        </w:rPr>
        <w:t>the right to</w:t>
      </w:r>
      <w:r w:rsidR="00F83E8F" w:rsidRPr="00D869E3">
        <w:rPr>
          <w:rFonts w:ascii="Verdana" w:hAnsi="Verdana"/>
          <w:bCs/>
          <w:sz w:val="20"/>
          <w:szCs w:val="20"/>
          <w:lang w:val="en-US"/>
        </w:rPr>
        <w:t xml:space="preserve"> </w:t>
      </w:r>
      <w:r w:rsidR="002B7E57" w:rsidRPr="00D869E3">
        <w:rPr>
          <w:rFonts w:ascii="Verdana" w:hAnsi="Verdana"/>
          <w:bCs/>
          <w:sz w:val="20"/>
          <w:szCs w:val="20"/>
          <w:lang w:val="en-US"/>
        </w:rPr>
        <w:t>health</w:t>
      </w:r>
      <w:r w:rsidR="00F83E8F" w:rsidRPr="00D869E3">
        <w:rPr>
          <w:rFonts w:ascii="Verdana" w:hAnsi="Verdana"/>
          <w:bCs/>
          <w:sz w:val="20"/>
          <w:szCs w:val="20"/>
          <w:lang w:val="en-US"/>
        </w:rPr>
        <w:t xml:space="preserve"> (2015-2016)</w:t>
      </w:r>
      <w:r w:rsidR="002B7E57" w:rsidRPr="00D869E3">
        <w:rPr>
          <w:rFonts w:ascii="Verdana" w:hAnsi="Verdana"/>
          <w:bCs/>
          <w:sz w:val="20"/>
          <w:szCs w:val="20"/>
          <w:lang w:val="en-US"/>
        </w:rPr>
        <w:t>,</w:t>
      </w:r>
      <w:r w:rsidR="00F83E8F" w:rsidRPr="00D869E3">
        <w:rPr>
          <w:rStyle w:val="Refdenotaalpie"/>
          <w:szCs w:val="20"/>
          <w:lang w:val="en-US"/>
        </w:rPr>
        <w:footnoteReference w:id="292"/>
      </w:r>
      <w:r w:rsidR="00F83E8F" w:rsidRPr="00D869E3">
        <w:rPr>
          <w:rFonts w:ascii="Verdana" w:hAnsi="Verdana"/>
          <w:bCs/>
          <w:sz w:val="20"/>
          <w:szCs w:val="20"/>
          <w:lang w:val="en-US"/>
        </w:rPr>
        <w:t xml:space="preserve"> </w:t>
      </w:r>
      <w:r w:rsidR="000B2E5E" w:rsidRPr="00D869E3">
        <w:rPr>
          <w:rFonts w:ascii="Verdana" w:hAnsi="Verdana"/>
          <w:bCs/>
          <w:sz w:val="20"/>
          <w:szCs w:val="20"/>
          <w:lang w:val="en-US"/>
        </w:rPr>
        <w:t xml:space="preserve">the </w:t>
      </w:r>
      <w:r w:rsidR="00301DBE" w:rsidRPr="00D869E3">
        <w:rPr>
          <w:rFonts w:ascii="Verdana" w:hAnsi="Verdana"/>
          <w:bCs/>
          <w:sz w:val="20"/>
          <w:szCs w:val="20"/>
          <w:lang w:val="en-US"/>
        </w:rPr>
        <w:t>right to work</w:t>
      </w:r>
      <w:r w:rsidR="00F83E8F" w:rsidRPr="00D869E3">
        <w:rPr>
          <w:rFonts w:ascii="Verdana" w:hAnsi="Verdana"/>
          <w:bCs/>
          <w:sz w:val="20"/>
          <w:szCs w:val="20"/>
          <w:lang w:val="en-US"/>
        </w:rPr>
        <w:t xml:space="preserve"> (2015)</w:t>
      </w:r>
      <w:r w:rsidR="002B7E57" w:rsidRPr="00D869E3">
        <w:rPr>
          <w:rFonts w:ascii="Verdana" w:hAnsi="Verdana"/>
          <w:bCs/>
          <w:sz w:val="20"/>
          <w:szCs w:val="20"/>
          <w:lang w:val="en-US"/>
        </w:rPr>
        <w:t>,</w:t>
      </w:r>
      <w:r w:rsidR="00F83E8F" w:rsidRPr="00D869E3">
        <w:rPr>
          <w:rStyle w:val="Refdenotaalpie"/>
          <w:szCs w:val="20"/>
          <w:lang w:val="en-US"/>
        </w:rPr>
        <w:footnoteReference w:id="293"/>
      </w:r>
      <w:r w:rsidR="00687684" w:rsidRPr="00D869E3">
        <w:rPr>
          <w:rFonts w:ascii="Verdana" w:hAnsi="Verdana"/>
          <w:bCs/>
          <w:sz w:val="20"/>
          <w:szCs w:val="20"/>
          <w:lang w:val="en-US"/>
        </w:rPr>
        <w:t xml:space="preserve"> and </w:t>
      </w:r>
      <w:r w:rsidR="000B2E5E" w:rsidRPr="00D869E3">
        <w:rPr>
          <w:rFonts w:ascii="Verdana" w:hAnsi="Verdana"/>
          <w:bCs/>
          <w:sz w:val="20"/>
          <w:szCs w:val="20"/>
          <w:lang w:val="en-US"/>
        </w:rPr>
        <w:t>the right to</w:t>
      </w:r>
      <w:r w:rsidR="002B7E57" w:rsidRPr="00D869E3">
        <w:rPr>
          <w:rFonts w:ascii="Verdana" w:hAnsi="Verdana"/>
          <w:bCs/>
          <w:sz w:val="20"/>
          <w:szCs w:val="20"/>
          <w:lang w:val="en-US"/>
        </w:rPr>
        <w:t xml:space="preserve"> decent housing</w:t>
      </w:r>
      <w:r w:rsidR="00F83E8F" w:rsidRPr="00D869E3">
        <w:rPr>
          <w:rFonts w:ascii="Verdana" w:hAnsi="Verdana"/>
          <w:bCs/>
          <w:sz w:val="20"/>
          <w:szCs w:val="20"/>
          <w:lang w:val="en-US"/>
        </w:rPr>
        <w:t xml:space="preserve"> (2016)</w:t>
      </w:r>
      <w:r w:rsidR="002B7E57" w:rsidRPr="00D869E3">
        <w:rPr>
          <w:rFonts w:ascii="Verdana" w:hAnsi="Verdana"/>
          <w:bCs/>
          <w:sz w:val="20"/>
          <w:szCs w:val="20"/>
          <w:lang w:val="en-US"/>
        </w:rPr>
        <w:t>;</w:t>
      </w:r>
      <w:r w:rsidR="00F83E8F" w:rsidRPr="00D869E3">
        <w:rPr>
          <w:rStyle w:val="Refdenotaalpie"/>
          <w:szCs w:val="20"/>
          <w:lang w:val="en-US"/>
        </w:rPr>
        <w:footnoteReference w:id="294"/>
      </w:r>
      <w:r w:rsidR="002B7E57" w:rsidRPr="00D869E3">
        <w:rPr>
          <w:rFonts w:ascii="Verdana" w:hAnsi="Verdana"/>
          <w:bCs/>
          <w:sz w:val="20"/>
          <w:szCs w:val="20"/>
          <w:lang w:val="en-US"/>
        </w:rPr>
        <w:t xml:space="preserve"> matters on which I have had the opportunity to give my opinion to date.</w:t>
      </w:r>
      <w:r w:rsidR="00F83E8F" w:rsidRPr="00D869E3">
        <w:rPr>
          <w:rFonts w:ascii="Verdana" w:hAnsi="Verdana"/>
          <w:bCs/>
          <w:sz w:val="20"/>
          <w:szCs w:val="20"/>
          <w:lang w:val="en-US"/>
        </w:rPr>
        <w:t xml:space="preserve"> </w:t>
      </w:r>
    </w:p>
    <w:p w14:paraId="3E44B9D0" w14:textId="77777777" w:rsidR="002B7E57" w:rsidRPr="00D869E3" w:rsidRDefault="002B7E57" w:rsidP="002B7E57">
      <w:pPr>
        <w:pStyle w:val="Prrafodelista"/>
        <w:widowControl w:val="0"/>
        <w:autoSpaceDE w:val="0"/>
        <w:autoSpaceDN w:val="0"/>
        <w:adjustRightInd w:val="0"/>
        <w:ind w:left="0"/>
        <w:jc w:val="both"/>
        <w:rPr>
          <w:rFonts w:ascii="Verdana" w:hAnsi="Verdana"/>
          <w:sz w:val="20"/>
          <w:szCs w:val="20"/>
          <w:lang w:val="en-US"/>
        </w:rPr>
      </w:pPr>
    </w:p>
    <w:p w14:paraId="648F2639" w14:textId="18265617" w:rsidR="00F83E8F" w:rsidRPr="00D869E3" w:rsidRDefault="002B7E57" w:rsidP="00E70701">
      <w:pPr>
        <w:pStyle w:val="Prrafodelista"/>
        <w:widowControl w:val="0"/>
        <w:numPr>
          <w:ilvl w:val="0"/>
          <w:numId w:val="28"/>
        </w:numPr>
        <w:autoSpaceDE w:val="0"/>
        <w:autoSpaceDN w:val="0"/>
        <w:adjustRightInd w:val="0"/>
        <w:ind w:left="0" w:firstLine="0"/>
        <w:jc w:val="both"/>
        <w:rPr>
          <w:rFonts w:ascii="Verdana" w:hAnsi="Verdana"/>
          <w:sz w:val="20"/>
          <w:szCs w:val="20"/>
          <w:lang w:val="en-US"/>
        </w:rPr>
      </w:pPr>
      <w:r w:rsidRPr="00D869E3">
        <w:rPr>
          <w:rFonts w:ascii="Verdana" w:hAnsi="Verdana"/>
          <w:sz w:val="20"/>
          <w:szCs w:val="20"/>
          <w:lang w:val="en-US"/>
        </w:rPr>
        <w:t>In this way</w:t>
      </w:r>
      <w:r w:rsidR="00F83E8F" w:rsidRPr="00D869E3">
        <w:rPr>
          <w:rFonts w:ascii="Verdana" w:hAnsi="Verdana"/>
          <w:sz w:val="20"/>
          <w:szCs w:val="20"/>
          <w:lang w:val="en-US"/>
        </w:rPr>
        <w:t xml:space="preserve">, </w:t>
      </w:r>
      <w:r w:rsidR="00447C65" w:rsidRPr="00D869E3">
        <w:rPr>
          <w:rFonts w:ascii="Verdana" w:hAnsi="Verdana"/>
          <w:sz w:val="20"/>
          <w:szCs w:val="20"/>
          <w:lang w:val="en-US"/>
        </w:rPr>
        <w:t xml:space="preserve">the </w:t>
      </w:r>
      <w:r w:rsidRPr="00D869E3">
        <w:rPr>
          <w:rFonts w:ascii="Verdana" w:hAnsi="Verdana"/>
          <w:sz w:val="20"/>
          <w:szCs w:val="20"/>
          <w:lang w:val="en-US"/>
        </w:rPr>
        <w:t xml:space="preserve">Inter-American </w:t>
      </w:r>
      <w:r w:rsidR="00447C65" w:rsidRPr="00D869E3">
        <w:rPr>
          <w:rFonts w:ascii="Verdana" w:hAnsi="Verdana"/>
          <w:sz w:val="20"/>
          <w:szCs w:val="20"/>
          <w:lang w:val="en-US"/>
        </w:rPr>
        <w:t>Court</w:t>
      </w:r>
      <w:r w:rsidR="00185A57" w:rsidRPr="00D869E3">
        <w:rPr>
          <w:rFonts w:ascii="Verdana" w:hAnsi="Verdana"/>
          <w:sz w:val="20"/>
          <w:szCs w:val="20"/>
          <w:lang w:val="en-US"/>
        </w:rPr>
        <w:t xml:space="preserve"> </w:t>
      </w:r>
      <w:r w:rsidR="00F83E8F" w:rsidRPr="00D869E3">
        <w:rPr>
          <w:rFonts w:ascii="Verdana" w:hAnsi="Verdana"/>
          <w:sz w:val="20"/>
          <w:szCs w:val="20"/>
          <w:lang w:val="en-US"/>
        </w:rPr>
        <w:t>consider</w:t>
      </w:r>
      <w:r w:rsidRPr="00D869E3">
        <w:rPr>
          <w:rFonts w:ascii="Verdana" w:hAnsi="Verdana"/>
          <w:sz w:val="20"/>
          <w:szCs w:val="20"/>
          <w:lang w:val="en-US"/>
        </w:rPr>
        <w:t>ed</w:t>
      </w:r>
      <w:r w:rsidR="00F83E8F" w:rsidRPr="00D869E3">
        <w:rPr>
          <w:rFonts w:ascii="Verdana" w:hAnsi="Verdana"/>
          <w:sz w:val="20"/>
          <w:szCs w:val="20"/>
          <w:lang w:val="en-US"/>
        </w:rPr>
        <w:t xml:space="preserve"> </w:t>
      </w:r>
      <w:r w:rsidR="000B2E5E" w:rsidRPr="00D869E3">
        <w:rPr>
          <w:rFonts w:ascii="Verdana" w:hAnsi="Verdana"/>
          <w:sz w:val="20"/>
          <w:szCs w:val="20"/>
          <w:lang w:val="en-US"/>
        </w:rPr>
        <w:t>the right to</w:t>
      </w:r>
      <w:r w:rsidR="005C7DB1" w:rsidRPr="00D869E3">
        <w:rPr>
          <w:rFonts w:ascii="Verdana" w:hAnsi="Verdana"/>
          <w:sz w:val="20"/>
          <w:szCs w:val="20"/>
          <w:lang w:val="en-US"/>
        </w:rPr>
        <w:t xml:space="preserve"> job security </w:t>
      </w:r>
      <w:r w:rsidRPr="00D869E3">
        <w:rPr>
          <w:rFonts w:ascii="Verdana" w:hAnsi="Verdana"/>
          <w:sz w:val="20"/>
          <w:szCs w:val="20"/>
          <w:lang w:val="en-US"/>
        </w:rPr>
        <w:t xml:space="preserve">as a right protected by </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 26</w:t>
      </w:r>
      <w:r w:rsidR="00447C65" w:rsidRPr="00D869E3">
        <w:rPr>
          <w:rFonts w:ascii="Verdana" w:hAnsi="Verdana"/>
          <w:sz w:val="20"/>
          <w:szCs w:val="20"/>
          <w:lang w:val="en-US"/>
        </w:rPr>
        <w:t xml:space="preserve"> of the American Convention</w:t>
      </w:r>
      <w:r w:rsidR="00687684" w:rsidRPr="00D869E3">
        <w:rPr>
          <w:rFonts w:ascii="Verdana" w:hAnsi="Verdana"/>
          <w:sz w:val="20"/>
          <w:szCs w:val="20"/>
          <w:lang w:val="en-US"/>
        </w:rPr>
        <w:t xml:space="preserve"> and</w:t>
      </w:r>
      <w:r w:rsidRPr="00D869E3">
        <w:rPr>
          <w:rFonts w:ascii="Verdana" w:hAnsi="Verdana"/>
          <w:sz w:val="20"/>
          <w:szCs w:val="20"/>
          <w:lang w:val="en-US"/>
        </w:rPr>
        <w:t xml:space="preserve">, consequently, declared that the Peruvian State was internationally responsible for failing to adopt adequate measures to protect the violation </w:t>
      </w:r>
      <w:r w:rsidR="00A157F5" w:rsidRPr="00D869E3">
        <w:rPr>
          <w:rFonts w:ascii="Verdana" w:hAnsi="Verdana"/>
          <w:color w:val="000000"/>
          <w:sz w:val="20"/>
          <w:szCs w:val="20"/>
          <w:lang w:val="en-US"/>
        </w:rPr>
        <w:t xml:space="preserve">of the </w:t>
      </w:r>
      <w:r w:rsidR="00301DBE" w:rsidRPr="00D869E3">
        <w:rPr>
          <w:rFonts w:ascii="Verdana" w:hAnsi="Verdana"/>
          <w:color w:val="000000"/>
          <w:sz w:val="20"/>
          <w:szCs w:val="20"/>
          <w:lang w:val="en-US"/>
        </w:rPr>
        <w:t>right to work</w:t>
      </w:r>
      <w:r w:rsidR="00F83E8F" w:rsidRPr="00D869E3">
        <w:rPr>
          <w:rFonts w:ascii="Verdana" w:hAnsi="Verdana"/>
          <w:color w:val="000000"/>
          <w:sz w:val="20"/>
          <w:szCs w:val="20"/>
          <w:lang w:val="en-US"/>
        </w:rPr>
        <w:t xml:space="preserve"> </w:t>
      </w:r>
      <w:r w:rsidR="00185A57" w:rsidRPr="00D869E3">
        <w:rPr>
          <w:rFonts w:ascii="Verdana" w:hAnsi="Verdana"/>
          <w:color w:val="000000"/>
          <w:sz w:val="20"/>
          <w:szCs w:val="20"/>
          <w:lang w:val="en-US"/>
        </w:rPr>
        <w:t>that could be attributed to</w:t>
      </w:r>
      <w:r w:rsidRPr="00D869E3">
        <w:rPr>
          <w:rFonts w:ascii="Verdana" w:hAnsi="Verdana"/>
          <w:color w:val="000000"/>
          <w:sz w:val="20"/>
          <w:szCs w:val="20"/>
          <w:lang w:val="en-US"/>
        </w:rPr>
        <w:t xml:space="preserve"> third parties.</w:t>
      </w:r>
      <w:r w:rsidR="00F83E8F" w:rsidRPr="00D869E3">
        <w:rPr>
          <w:rStyle w:val="Refdenotaalpie"/>
          <w:color w:val="000000"/>
          <w:szCs w:val="20"/>
          <w:lang w:val="en-US"/>
        </w:rPr>
        <w:footnoteReference w:id="295"/>
      </w:r>
      <w:r w:rsidR="00F83E8F" w:rsidRPr="00D869E3">
        <w:rPr>
          <w:rFonts w:ascii="Verdana" w:hAnsi="Verdana"/>
          <w:color w:val="000000"/>
          <w:sz w:val="20"/>
          <w:szCs w:val="20"/>
          <w:lang w:val="en-US"/>
        </w:rPr>
        <w:t xml:space="preserve"> </w:t>
      </w:r>
      <w:r w:rsidRPr="00D869E3">
        <w:rPr>
          <w:rFonts w:ascii="Verdana" w:hAnsi="Verdana"/>
          <w:color w:val="000000"/>
          <w:sz w:val="20"/>
          <w:szCs w:val="20"/>
          <w:lang w:val="en-US"/>
        </w:rPr>
        <w:t>That said, in order to analyze the meaning and scope</w:t>
      </w:r>
      <w:r w:rsidR="00F83E8F" w:rsidRPr="00D869E3">
        <w:rPr>
          <w:rFonts w:ascii="Verdana" w:hAnsi="Verdana"/>
          <w:sz w:val="20"/>
          <w:szCs w:val="20"/>
          <w:lang w:val="en-US"/>
        </w:rPr>
        <w:t xml:space="preserve"> </w:t>
      </w:r>
      <w:r w:rsidR="00687684" w:rsidRPr="00D869E3">
        <w:rPr>
          <w:rFonts w:ascii="Verdana" w:hAnsi="Verdana"/>
          <w:sz w:val="20"/>
          <w:szCs w:val="20"/>
          <w:lang w:val="en-US"/>
        </w:rPr>
        <w:t>of Article</w:t>
      </w:r>
      <w:r w:rsidR="00F83E8F" w:rsidRPr="00D869E3">
        <w:rPr>
          <w:rFonts w:ascii="Verdana" w:hAnsi="Verdana"/>
          <w:sz w:val="20"/>
          <w:szCs w:val="20"/>
          <w:lang w:val="en-US"/>
        </w:rPr>
        <w:t xml:space="preserve"> 26 </w:t>
      </w:r>
      <w:r w:rsidR="00671B14" w:rsidRPr="00D869E3">
        <w:rPr>
          <w:rFonts w:ascii="Verdana" w:hAnsi="Verdana"/>
          <w:sz w:val="20"/>
          <w:szCs w:val="20"/>
          <w:lang w:val="en-US"/>
        </w:rPr>
        <w:t>of the Pact of San José</w:t>
      </w:r>
      <w:r w:rsidR="00F83E8F" w:rsidRPr="00D869E3">
        <w:rPr>
          <w:rFonts w:ascii="Verdana" w:hAnsi="Verdana"/>
          <w:sz w:val="20"/>
          <w:szCs w:val="20"/>
          <w:lang w:val="en-US"/>
        </w:rPr>
        <w:t xml:space="preserve">, </w:t>
      </w:r>
      <w:r w:rsidRPr="00D869E3">
        <w:rPr>
          <w:rFonts w:ascii="Verdana" w:hAnsi="Verdana"/>
          <w:sz w:val="20"/>
          <w:szCs w:val="20"/>
          <w:lang w:val="en-US"/>
        </w:rPr>
        <w:t xml:space="preserve">the Court took into consideration the general rules of interpretation established in </w:t>
      </w:r>
      <w:r w:rsidR="00447C65" w:rsidRPr="00D869E3">
        <w:rPr>
          <w:rFonts w:ascii="Verdana" w:hAnsi="Verdana"/>
          <w:sz w:val="20"/>
          <w:szCs w:val="20"/>
          <w:lang w:val="en-US"/>
        </w:rPr>
        <w:t>Article</w:t>
      </w:r>
      <w:r w:rsidR="00F83E8F" w:rsidRPr="00D869E3">
        <w:rPr>
          <w:rFonts w:ascii="Verdana" w:hAnsi="Verdana" w:cs="Verdana"/>
          <w:sz w:val="20"/>
          <w:szCs w:val="20"/>
          <w:lang w:val="en-US"/>
        </w:rPr>
        <w:t xml:space="preserve"> 29</w:t>
      </w:r>
      <w:r w:rsidRPr="00D869E3">
        <w:rPr>
          <w:rFonts w:ascii="Verdana" w:hAnsi="Verdana" w:cs="Verdana"/>
          <w:sz w:val="20"/>
          <w:szCs w:val="20"/>
          <w:lang w:val="en-US"/>
        </w:rPr>
        <w:t>(</w:t>
      </w:r>
      <w:r w:rsidR="00F83E8F" w:rsidRPr="00D869E3">
        <w:rPr>
          <w:rFonts w:ascii="Verdana" w:hAnsi="Verdana" w:cs="Verdana"/>
          <w:sz w:val="20"/>
          <w:szCs w:val="20"/>
          <w:lang w:val="en-US"/>
        </w:rPr>
        <w:t>b</w:t>
      </w:r>
      <w:r w:rsidRPr="00D869E3">
        <w:rPr>
          <w:rFonts w:ascii="Verdana" w:hAnsi="Verdana" w:cs="Verdana"/>
          <w:sz w:val="20"/>
          <w:szCs w:val="20"/>
          <w:lang w:val="en-US"/>
        </w:rPr>
        <w:t>)</w:t>
      </w:r>
      <w:r w:rsidR="00F83E8F" w:rsidRPr="00D869E3">
        <w:rPr>
          <w:rFonts w:ascii="Verdana" w:hAnsi="Verdana" w:cs="Verdana"/>
          <w:sz w:val="20"/>
          <w:szCs w:val="20"/>
          <w:lang w:val="en-US"/>
        </w:rPr>
        <w:t xml:space="preserve">, </w:t>
      </w:r>
      <w:r w:rsidRPr="00D869E3">
        <w:rPr>
          <w:rFonts w:ascii="Verdana" w:hAnsi="Verdana" w:cs="Verdana"/>
          <w:sz w:val="20"/>
          <w:szCs w:val="20"/>
          <w:lang w:val="en-US"/>
        </w:rPr>
        <w:t>(</w:t>
      </w:r>
      <w:r w:rsidR="00F83E8F" w:rsidRPr="00D869E3">
        <w:rPr>
          <w:rFonts w:ascii="Verdana" w:hAnsi="Verdana" w:cs="Verdana"/>
          <w:sz w:val="20"/>
          <w:szCs w:val="20"/>
          <w:lang w:val="en-US"/>
        </w:rPr>
        <w:t>c</w:t>
      </w:r>
      <w:r w:rsidRPr="00D869E3">
        <w:rPr>
          <w:rFonts w:ascii="Verdana" w:hAnsi="Verdana" w:cs="Verdana"/>
          <w:sz w:val="20"/>
          <w:szCs w:val="20"/>
          <w:lang w:val="en-US"/>
        </w:rPr>
        <w:t>)</w:t>
      </w:r>
      <w:r w:rsidR="00687684" w:rsidRPr="00D869E3">
        <w:rPr>
          <w:rFonts w:ascii="Verdana" w:hAnsi="Verdana" w:cs="Verdana"/>
          <w:sz w:val="20"/>
          <w:szCs w:val="20"/>
          <w:lang w:val="en-US"/>
        </w:rPr>
        <w:t xml:space="preserve"> and </w:t>
      </w:r>
      <w:r w:rsidRPr="00D869E3">
        <w:rPr>
          <w:rFonts w:ascii="Verdana" w:hAnsi="Verdana" w:cs="Verdana"/>
          <w:sz w:val="20"/>
          <w:szCs w:val="20"/>
          <w:lang w:val="en-US"/>
        </w:rPr>
        <w:t>(</w:t>
      </w:r>
      <w:r w:rsidR="00F83E8F" w:rsidRPr="00D869E3">
        <w:rPr>
          <w:rFonts w:ascii="Verdana" w:hAnsi="Verdana" w:cs="Verdana"/>
          <w:sz w:val="20"/>
          <w:szCs w:val="20"/>
          <w:lang w:val="en-US"/>
        </w:rPr>
        <w:t>d</w:t>
      </w:r>
      <w:r w:rsidRPr="00D869E3">
        <w:rPr>
          <w:rFonts w:ascii="Verdana" w:hAnsi="Verdana" w:cs="Verdana"/>
          <w:sz w:val="20"/>
          <w:szCs w:val="20"/>
          <w:lang w:val="en-US"/>
        </w:rPr>
        <w:t xml:space="preserve">) of this treaty and, </w:t>
      </w:r>
      <w:r w:rsidR="00E540A5" w:rsidRPr="00D869E3">
        <w:rPr>
          <w:rFonts w:ascii="Verdana" w:hAnsi="Verdana" w:cs="Verdana"/>
          <w:sz w:val="20"/>
          <w:szCs w:val="20"/>
          <w:lang w:val="en-US"/>
        </w:rPr>
        <w:t>thus</w:t>
      </w:r>
      <w:r w:rsidRPr="00D869E3">
        <w:rPr>
          <w:rFonts w:ascii="Verdana" w:hAnsi="Verdana" w:cs="Verdana"/>
          <w:sz w:val="20"/>
          <w:szCs w:val="20"/>
          <w:lang w:val="en-US"/>
        </w:rPr>
        <w:t xml:space="preserve">, specific labor rights </w:t>
      </w:r>
      <w:r w:rsidR="00E540A5" w:rsidRPr="00D869E3">
        <w:rPr>
          <w:rFonts w:ascii="Verdana" w:hAnsi="Verdana" w:cs="Verdana"/>
          <w:sz w:val="20"/>
          <w:szCs w:val="20"/>
          <w:lang w:val="en-US"/>
        </w:rPr>
        <w:t>were derived from</w:t>
      </w:r>
      <w:r w:rsidRPr="00D869E3">
        <w:rPr>
          <w:rFonts w:ascii="Verdana" w:hAnsi="Verdana" w:cs="Verdana"/>
          <w:sz w:val="20"/>
          <w:szCs w:val="20"/>
          <w:lang w:val="en-US"/>
        </w:rPr>
        <w:t xml:space="preserve"> </w:t>
      </w:r>
      <w:r w:rsidR="00447C65" w:rsidRPr="00D869E3">
        <w:rPr>
          <w:rFonts w:ascii="Verdana" w:hAnsi="Verdana" w:cs="Verdana"/>
          <w:sz w:val="20"/>
          <w:szCs w:val="20"/>
          <w:lang w:val="en-US"/>
        </w:rPr>
        <w:t>Articles</w:t>
      </w:r>
      <w:r w:rsidR="00F83E8F" w:rsidRPr="00D869E3">
        <w:rPr>
          <w:rFonts w:ascii="Verdana" w:hAnsi="Verdana"/>
          <w:color w:val="000000"/>
          <w:sz w:val="20"/>
          <w:szCs w:val="20"/>
          <w:lang w:val="en-US"/>
        </w:rPr>
        <w:t xml:space="preserve"> 34</w:t>
      </w:r>
      <w:r w:rsidRPr="00D869E3">
        <w:rPr>
          <w:rFonts w:ascii="Verdana" w:hAnsi="Verdana"/>
          <w:color w:val="000000"/>
          <w:sz w:val="20"/>
          <w:szCs w:val="20"/>
          <w:lang w:val="en-US"/>
        </w:rPr>
        <w:t>(</w:t>
      </w:r>
      <w:r w:rsidR="00F83E8F" w:rsidRPr="00D869E3">
        <w:rPr>
          <w:rFonts w:ascii="Verdana" w:hAnsi="Verdana"/>
          <w:color w:val="000000"/>
          <w:sz w:val="20"/>
          <w:szCs w:val="20"/>
          <w:lang w:val="en-US"/>
        </w:rPr>
        <w:t>g</w:t>
      </w:r>
      <w:r w:rsidRPr="00D869E3">
        <w:rPr>
          <w:rFonts w:ascii="Verdana" w:hAnsi="Verdana"/>
          <w:color w:val="000000"/>
          <w:sz w:val="20"/>
          <w:szCs w:val="20"/>
          <w:lang w:val="en-US"/>
        </w:rPr>
        <w:t>)</w:t>
      </w:r>
      <w:r w:rsidR="00F83E8F" w:rsidRPr="00D869E3">
        <w:rPr>
          <w:rFonts w:ascii="Verdana" w:hAnsi="Verdana"/>
          <w:color w:val="000000"/>
          <w:sz w:val="20"/>
          <w:szCs w:val="20"/>
          <w:lang w:val="en-US"/>
        </w:rPr>
        <w:t>, 45</w:t>
      </w:r>
      <w:r w:rsidRPr="00D869E3">
        <w:rPr>
          <w:rFonts w:ascii="Verdana" w:hAnsi="Verdana"/>
          <w:color w:val="000000"/>
          <w:sz w:val="20"/>
          <w:szCs w:val="20"/>
          <w:lang w:val="en-US"/>
        </w:rPr>
        <w:t>(</w:t>
      </w:r>
      <w:r w:rsidR="00F83E8F" w:rsidRPr="00D869E3">
        <w:rPr>
          <w:rFonts w:ascii="Verdana" w:hAnsi="Verdana"/>
          <w:color w:val="000000"/>
          <w:sz w:val="20"/>
          <w:szCs w:val="20"/>
          <w:lang w:val="en-US"/>
        </w:rPr>
        <w:t>b</w:t>
      </w:r>
      <w:r w:rsidRPr="00D869E3">
        <w:rPr>
          <w:rFonts w:ascii="Verdana" w:hAnsi="Verdana"/>
          <w:color w:val="000000"/>
          <w:sz w:val="20"/>
          <w:szCs w:val="20"/>
          <w:lang w:val="en-US"/>
        </w:rPr>
        <w:t>)</w:t>
      </w:r>
      <w:r w:rsidR="00687684" w:rsidRPr="00D869E3">
        <w:rPr>
          <w:rFonts w:ascii="Verdana" w:hAnsi="Verdana"/>
          <w:color w:val="000000"/>
          <w:sz w:val="20"/>
          <w:szCs w:val="20"/>
          <w:lang w:val="en-US"/>
        </w:rPr>
        <w:t xml:space="preserve"> and </w:t>
      </w:r>
      <w:r w:rsidRPr="00D869E3">
        <w:rPr>
          <w:rFonts w:ascii="Verdana" w:hAnsi="Verdana"/>
          <w:color w:val="000000"/>
          <w:sz w:val="20"/>
          <w:szCs w:val="20"/>
          <w:lang w:val="en-US"/>
        </w:rPr>
        <w:t>(</w:t>
      </w:r>
      <w:r w:rsidR="00F83E8F" w:rsidRPr="00D869E3">
        <w:rPr>
          <w:rFonts w:ascii="Verdana" w:hAnsi="Verdana"/>
          <w:color w:val="000000"/>
          <w:sz w:val="20"/>
          <w:szCs w:val="20"/>
          <w:lang w:val="en-US"/>
        </w:rPr>
        <w:t>c</w:t>
      </w:r>
      <w:r w:rsidRPr="00D869E3">
        <w:rPr>
          <w:rFonts w:ascii="Verdana" w:hAnsi="Verdana"/>
          <w:color w:val="000000"/>
          <w:sz w:val="20"/>
          <w:szCs w:val="20"/>
          <w:lang w:val="en-US"/>
        </w:rPr>
        <w:t>)</w:t>
      </w:r>
      <w:r w:rsidR="00F83E8F" w:rsidRPr="00D869E3">
        <w:rPr>
          <w:rFonts w:ascii="Verdana" w:hAnsi="Verdana"/>
          <w:color w:val="000000"/>
          <w:sz w:val="20"/>
          <w:szCs w:val="20"/>
          <w:lang w:val="en-US"/>
        </w:rPr>
        <w:t>,</w:t>
      </w:r>
      <w:r w:rsidR="00687684" w:rsidRPr="00D869E3">
        <w:rPr>
          <w:rFonts w:ascii="Verdana" w:hAnsi="Verdana"/>
          <w:color w:val="000000"/>
          <w:sz w:val="20"/>
          <w:szCs w:val="20"/>
          <w:lang w:val="en-US"/>
        </w:rPr>
        <w:t xml:space="preserve"> and </w:t>
      </w:r>
      <w:r w:rsidR="00F83E8F" w:rsidRPr="00D869E3">
        <w:rPr>
          <w:rFonts w:ascii="Verdana" w:hAnsi="Verdana"/>
          <w:color w:val="000000"/>
          <w:sz w:val="20"/>
          <w:szCs w:val="20"/>
          <w:lang w:val="en-US"/>
        </w:rPr>
        <w:t xml:space="preserve">46 </w:t>
      </w:r>
      <w:r w:rsidR="00197983" w:rsidRPr="00D869E3">
        <w:rPr>
          <w:rFonts w:ascii="Verdana" w:hAnsi="Verdana"/>
          <w:color w:val="000000"/>
          <w:sz w:val="20"/>
          <w:szCs w:val="20"/>
          <w:lang w:val="en-US"/>
        </w:rPr>
        <w:t>of the OAS Charter</w:t>
      </w:r>
      <w:r w:rsidRPr="00D869E3">
        <w:rPr>
          <w:rFonts w:ascii="Verdana" w:hAnsi="Verdana"/>
          <w:color w:val="000000"/>
          <w:sz w:val="20"/>
          <w:szCs w:val="20"/>
          <w:lang w:val="en-US"/>
        </w:rPr>
        <w:t>.</w:t>
      </w:r>
      <w:r w:rsidR="00F83E8F" w:rsidRPr="00D869E3">
        <w:rPr>
          <w:rStyle w:val="Refdenotaalpie"/>
          <w:color w:val="000000"/>
          <w:szCs w:val="20"/>
          <w:lang w:val="en-US"/>
        </w:rPr>
        <w:footnoteReference w:id="296"/>
      </w:r>
      <w:r w:rsidR="00F83E8F" w:rsidRPr="00D869E3">
        <w:rPr>
          <w:rFonts w:ascii="Verdana" w:hAnsi="Verdana"/>
          <w:color w:val="000000"/>
          <w:sz w:val="20"/>
          <w:szCs w:val="20"/>
          <w:lang w:val="en-US"/>
        </w:rPr>
        <w:t xml:space="preserve"> </w:t>
      </w:r>
      <w:r w:rsidR="00E540A5" w:rsidRPr="00D869E3">
        <w:rPr>
          <w:rFonts w:ascii="Verdana" w:hAnsi="Verdana"/>
          <w:color w:val="000000"/>
          <w:sz w:val="20"/>
          <w:szCs w:val="20"/>
          <w:lang w:val="en-US"/>
        </w:rPr>
        <w:t>The Court</w:t>
      </w:r>
      <w:r w:rsidR="00185A57" w:rsidRPr="00D869E3">
        <w:rPr>
          <w:rFonts w:ascii="Verdana" w:hAnsi="Verdana"/>
          <w:color w:val="000000"/>
          <w:sz w:val="20"/>
          <w:szCs w:val="20"/>
          <w:lang w:val="en-US"/>
        </w:rPr>
        <w:t xml:space="preserve"> also took into </w:t>
      </w:r>
      <w:r w:rsidR="00E540A5" w:rsidRPr="00D869E3">
        <w:rPr>
          <w:rFonts w:ascii="Verdana" w:hAnsi="Verdana"/>
          <w:color w:val="000000"/>
          <w:sz w:val="20"/>
          <w:szCs w:val="20"/>
          <w:lang w:val="en-US"/>
        </w:rPr>
        <w:t>account</w:t>
      </w:r>
      <w:r w:rsidR="00185A57" w:rsidRPr="00D869E3">
        <w:rPr>
          <w:rFonts w:ascii="Verdana" w:hAnsi="Verdana"/>
          <w:color w:val="000000"/>
          <w:sz w:val="20"/>
          <w:szCs w:val="20"/>
          <w:lang w:val="en-US"/>
        </w:rPr>
        <w:t xml:space="preserve"> the </w:t>
      </w:r>
      <w:r w:rsidR="00360553" w:rsidRPr="00D869E3">
        <w:rPr>
          <w:rFonts w:ascii="Verdana" w:hAnsi="Verdana"/>
          <w:color w:val="000000"/>
          <w:sz w:val="20"/>
          <w:szCs w:val="20"/>
          <w:lang w:val="en-US"/>
        </w:rPr>
        <w:t>American Declaration of the Rights and Duties of Man</w:t>
      </w:r>
      <w:r w:rsidR="00185A57" w:rsidRPr="00D869E3">
        <w:rPr>
          <w:rFonts w:ascii="Verdana" w:hAnsi="Verdana"/>
          <w:color w:val="000000"/>
          <w:sz w:val="20"/>
          <w:szCs w:val="20"/>
          <w:lang w:val="en-US"/>
        </w:rPr>
        <w:t>,</w:t>
      </w:r>
      <w:r w:rsidR="00F83E8F" w:rsidRPr="00D869E3">
        <w:rPr>
          <w:rStyle w:val="Refdenotaalpie"/>
          <w:color w:val="000000"/>
          <w:szCs w:val="20"/>
          <w:lang w:val="en-US"/>
        </w:rPr>
        <w:footnoteReference w:id="297"/>
      </w:r>
      <w:r w:rsidR="00185A57" w:rsidRPr="00D869E3">
        <w:rPr>
          <w:rFonts w:ascii="Verdana" w:hAnsi="Verdana"/>
          <w:color w:val="000000"/>
          <w:sz w:val="20"/>
          <w:szCs w:val="20"/>
          <w:lang w:val="en-US"/>
        </w:rPr>
        <w:t xml:space="preserve"> the explicit acknowledgement of the rights</w:t>
      </w:r>
      <w:r w:rsidR="00E540A5" w:rsidRPr="00D869E3">
        <w:rPr>
          <w:rFonts w:ascii="Verdana" w:hAnsi="Verdana"/>
          <w:color w:val="000000"/>
          <w:sz w:val="20"/>
          <w:szCs w:val="20"/>
          <w:lang w:val="en-US"/>
        </w:rPr>
        <w:t xml:space="preserve"> that were in dispute</w:t>
      </w:r>
      <w:r w:rsidR="00185A57" w:rsidRPr="00D869E3">
        <w:rPr>
          <w:rFonts w:ascii="Verdana" w:hAnsi="Verdana"/>
          <w:color w:val="000000"/>
          <w:sz w:val="20"/>
          <w:szCs w:val="20"/>
          <w:lang w:val="en-US"/>
        </w:rPr>
        <w:t xml:space="preserve"> in the </w:t>
      </w:r>
      <w:r w:rsidR="00185A57" w:rsidRPr="00D869E3">
        <w:rPr>
          <w:rFonts w:ascii="Verdana" w:hAnsi="Verdana"/>
          <w:color w:val="000000"/>
          <w:sz w:val="20"/>
          <w:szCs w:val="20"/>
          <w:lang w:val="en-US"/>
        </w:rPr>
        <w:lastRenderedPageBreak/>
        <w:t>Constitution and laws of Peru (noting regional tendencies), and the vast international</w:t>
      </w:r>
      <w:r w:rsidR="00F83E8F" w:rsidRPr="00D869E3">
        <w:rPr>
          <w:rFonts w:ascii="Verdana" w:hAnsi="Verdana"/>
          <w:color w:val="000000"/>
          <w:sz w:val="20"/>
          <w:szCs w:val="20"/>
          <w:lang w:val="en-US"/>
        </w:rPr>
        <w:t xml:space="preserve"> </w:t>
      </w:r>
      <w:r w:rsidR="00F83E8F" w:rsidRPr="00D869E3">
        <w:rPr>
          <w:rFonts w:ascii="Verdana" w:hAnsi="Verdana"/>
          <w:i/>
          <w:color w:val="000000"/>
          <w:sz w:val="20"/>
          <w:szCs w:val="20"/>
          <w:lang w:val="en-US"/>
        </w:rPr>
        <w:t>corpus iuris</w:t>
      </w:r>
      <w:r w:rsidR="00F83E8F" w:rsidRPr="00D869E3">
        <w:rPr>
          <w:rFonts w:ascii="Verdana" w:hAnsi="Verdana"/>
          <w:color w:val="000000"/>
          <w:sz w:val="20"/>
          <w:szCs w:val="20"/>
          <w:lang w:val="en-US"/>
        </w:rPr>
        <w:t xml:space="preserve"> </w:t>
      </w:r>
      <w:r w:rsidR="00185A57" w:rsidRPr="00D869E3">
        <w:rPr>
          <w:rFonts w:ascii="Verdana" w:hAnsi="Verdana"/>
          <w:color w:val="000000"/>
          <w:sz w:val="20"/>
          <w:szCs w:val="20"/>
          <w:lang w:val="en-US"/>
        </w:rPr>
        <w:t xml:space="preserve">on the matter that has been reflected, for </w:t>
      </w:r>
      <w:r w:rsidR="00075E68" w:rsidRPr="00D869E3">
        <w:rPr>
          <w:rFonts w:ascii="Verdana" w:hAnsi="Verdana"/>
          <w:color w:val="000000"/>
          <w:sz w:val="20"/>
          <w:szCs w:val="20"/>
          <w:lang w:val="en-US"/>
        </w:rPr>
        <w:t>example</w:t>
      </w:r>
      <w:r w:rsidR="00F83E8F" w:rsidRPr="00D869E3">
        <w:rPr>
          <w:rFonts w:ascii="Verdana" w:hAnsi="Verdana"/>
          <w:color w:val="000000"/>
          <w:sz w:val="20"/>
          <w:szCs w:val="20"/>
          <w:lang w:val="en-US"/>
        </w:rPr>
        <w:t xml:space="preserve">, </w:t>
      </w:r>
      <w:r w:rsidR="00185A57" w:rsidRPr="00D869E3">
        <w:rPr>
          <w:rFonts w:ascii="Verdana" w:hAnsi="Verdana"/>
          <w:color w:val="000000"/>
          <w:sz w:val="20"/>
          <w:szCs w:val="20"/>
          <w:lang w:val="en-US"/>
        </w:rPr>
        <w:t>in the United Nations</w:t>
      </w:r>
      <w:r w:rsidR="00F83E8F" w:rsidRPr="00D869E3">
        <w:rPr>
          <w:rFonts w:ascii="Verdana" w:hAnsi="Verdana"/>
          <w:color w:val="000000"/>
          <w:sz w:val="20"/>
          <w:szCs w:val="20"/>
          <w:lang w:val="en-US"/>
        </w:rPr>
        <w:t xml:space="preserve"> 17 </w:t>
      </w:r>
      <w:r w:rsidR="00185A57" w:rsidRPr="00D869E3">
        <w:rPr>
          <w:rFonts w:ascii="Verdana" w:hAnsi="Verdana"/>
          <w:color w:val="000000"/>
          <w:sz w:val="20"/>
          <w:szCs w:val="20"/>
          <w:lang w:val="en-US"/>
        </w:rPr>
        <w:t>Goals for 2030.</w:t>
      </w:r>
      <w:r w:rsidR="00F83E8F" w:rsidRPr="00D869E3">
        <w:rPr>
          <w:rStyle w:val="Refdenotaalpie"/>
          <w:color w:val="000000"/>
          <w:szCs w:val="20"/>
          <w:lang w:val="en-US"/>
        </w:rPr>
        <w:footnoteReference w:id="298"/>
      </w:r>
    </w:p>
    <w:p w14:paraId="62BA33D1" w14:textId="77777777" w:rsidR="00F83E8F" w:rsidRPr="00D869E3" w:rsidRDefault="00F83E8F" w:rsidP="00F83E8F">
      <w:pPr>
        <w:widowControl w:val="0"/>
        <w:autoSpaceDE w:val="0"/>
        <w:autoSpaceDN w:val="0"/>
        <w:adjustRightInd w:val="0"/>
        <w:jc w:val="both"/>
        <w:rPr>
          <w:rFonts w:ascii="Verdana" w:hAnsi="Verdana"/>
          <w:sz w:val="20"/>
          <w:szCs w:val="20"/>
          <w:lang w:val="en-US"/>
        </w:rPr>
      </w:pPr>
    </w:p>
    <w:p w14:paraId="1C62D456" w14:textId="446669D4" w:rsidR="00F83E8F" w:rsidRPr="00D869E3" w:rsidRDefault="00185A57" w:rsidP="00E70701">
      <w:pPr>
        <w:pStyle w:val="Prrafodelista"/>
        <w:widowControl w:val="0"/>
        <w:numPr>
          <w:ilvl w:val="0"/>
          <w:numId w:val="28"/>
        </w:numPr>
        <w:autoSpaceDE w:val="0"/>
        <w:autoSpaceDN w:val="0"/>
        <w:adjustRightInd w:val="0"/>
        <w:ind w:left="0" w:firstLine="0"/>
        <w:jc w:val="both"/>
        <w:rPr>
          <w:rFonts w:ascii="Verdana" w:hAnsi="Verdana"/>
          <w:sz w:val="20"/>
          <w:szCs w:val="20"/>
          <w:lang w:val="en-US"/>
        </w:rPr>
      </w:pPr>
      <w:r w:rsidRPr="00D869E3">
        <w:rPr>
          <w:rFonts w:ascii="Verdana" w:hAnsi="Verdana"/>
          <w:sz w:val="20"/>
          <w:szCs w:val="20"/>
          <w:u w:val="single"/>
          <w:lang w:val="en-US"/>
        </w:rPr>
        <w:t>Third</w:t>
      </w:r>
      <w:r w:rsidR="00F83E8F" w:rsidRPr="00D869E3">
        <w:rPr>
          <w:rFonts w:ascii="Verdana" w:hAnsi="Verdana"/>
          <w:sz w:val="20"/>
          <w:szCs w:val="20"/>
          <w:lang w:val="en-US"/>
        </w:rPr>
        <w:t xml:space="preserve">, </w:t>
      </w:r>
      <w:r w:rsidR="00671B14" w:rsidRPr="00D869E3">
        <w:rPr>
          <w:rFonts w:ascii="Verdana" w:hAnsi="Verdana"/>
          <w:sz w:val="20"/>
          <w:szCs w:val="20"/>
          <w:lang w:val="en-US"/>
        </w:rPr>
        <w:t>the Inter-American Court</w:t>
      </w:r>
      <w:r w:rsidR="00F83E8F" w:rsidRPr="00D869E3">
        <w:rPr>
          <w:rFonts w:ascii="Verdana" w:hAnsi="Verdana"/>
          <w:sz w:val="20"/>
          <w:szCs w:val="20"/>
          <w:lang w:val="en-US"/>
        </w:rPr>
        <w:t xml:space="preserve"> ap</w:t>
      </w:r>
      <w:r w:rsidRPr="00D869E3">
        <w:rPr>
          <w:rFonts w:ascii="Verdana" w:hAnsi="Verdana"/>
          <w:sz w:val="20"/>
          <w:szCs w:val="20"/>
          <w:lang w:val="en-US"/>
        </w:rPr>
        <w:t>plied the protection</w:t>
      </w:r>
      <w:r w:rsidR="00F83E8F" w:rsidRPr="00D869E3">
        <w:rPr>
          <w:rFonts w:ascii="Verdana" w:hAnsi="Verdana"/>
          <w:sz w:val="20"/>
          <w:szCs w:val="20"/>
          <w:lang w:val="en-US"/>
        </w:rPr>
        <w:t xml:space="preserve"> </w:t>
      </w:r>
      <w:r w:rsidR="00687684" w:rsidRPr="00D869E3">
        <w:rPr>
          <w:rFonts w:ascii="Verdana" w:hAnsi="Verdana"/>
          <w:sz w:val="20"/>
          <w:szCs w:val="20"/>
          <w:lang w:val="en-US"/>
        </w:rPr>
        <w:t>of Article</w:t>
      </w:r>
      <w:r w:rsidR="00F83E8F" w:rsidRPr="00D869E3">
        <w:rPr>
          <w:rFonts w:ascii="Verdana" w:hAnsi="Verdana"/>
          <w:sz w:val="20"/>
          <w:szCs w:val="20"/>
          <w:lang w:val="en-US"/>
        </w:rPr>
        <w:t xml:space="preserve"> 16 </w:t>
      </w:r>
      <w:r w:rsidR="00BB61A6" w:rsidRPr="00D869E3">
        <w:rPr>
          <w:rFonts w:ascii="Verdana" w:hAnsi="Verdana"/>
          <w:sz w:val="20"/>
          <w:szCs w:val="20"/>
          <w:lang w:val="en-US"/>
        </w:rPr>
        <w:t>in relation to</w:t>
      </w:r>
      <w:r w:rsidR="00F83E8F" w:rsidRPr="00D869E3">
        <w:rPr>
          <w:rFonts w:ascii="Verdana" w:hAnsi="Verdana"/>
          <w:sz w:val="20"/>
          <w:szCs w:val="20"/>
          <w:lang w:val="en-US"/>
        </w:rPr>
        <w:t xml:space="preserve"> </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 26 </w:t>
      </w:r>
      <w:r w:rsidR="00671B14" w:rsidRPr="00D869E3">
        <w:rPr>
          <w:rFonts w:ascii="Verdana" w:hAnsi="Verdana"/>
          <w:sz w:val="20"/>
          <w:szCs w:val="20"/>
          <w:lang w:val="en-US"/>
        </w:rPr>
        <w:t>of the Pact of San José</w:t>
      </w:r>
      <w:r w:rsidR="00F83E8F" w:rsidRPr="00D869E3">
        <w:rPr>
          <w:rFonts w:ascii="Verdana" w:hAnsi="Verdana"/>
          <w:sz w:val="20"/>
          <w:szCs w:val="20"/>
          <w:lang w:val="en-US"/>
        </w:rPr>
        <w:t xml:space="preserve">, </w:t>
      </w:r>
      <w:r w:rsidRPr="00D869E3">
        <w:rPr>
          <w:rFonts w:ascii="Verdana" w:hAnsi="Verdana"/>
          <w:sz w:val="20"/>
          <w:szCs w:val="20"/>
          <w:lang w:val="en-US"/>
        </w:rPr>
        <w:t>due to the violation of the right to</w:t>
      </w:r>
      <w:r w:rsidR="00AD340D" w:rsidRPr="00D869E3">
        <w:rPr>
          <w:rFonts w:ascii="Verdana" w:hAnsi="Verdana"/>
          <w:sz w:val="20"/>
          <w:szCs w:val="20"/>
          <w:lang w:val="en-US"/>
        </w:rPr>
        <w:t xml:space="preserve"> </w:t>
      </w:r>
      <w:r w:rsidR="0009733A" w:rsidRPr="00D869E3">
        <w:rPr>
          <w:rFonts w:ascii="Verdana" w:hAnsi="Verdana"/>
          <w:i/>
          <w:iCs/>
          <w:sz w:val="20"/>
          <w:szCs w:val="20"/>
          <w:lang w:val="en-US"/>
        </w:rPr>
        <w:t>the</w:t>
      </w:r>
      <w:r w:rsidRPr="00D869E3">
        <w:rPr>
          <w:rFonts w:ascii="Verdana" w:hAnsi="Verdana"/>
          <w:sz w:val="20"/>
          <w:szCs w:val="20"/>
          <w:lang w:val="en-US"/>
        </w:rPr>
        <w:t xml:space="preserve"> </w:t>
      </w:r>
      <w:r w:rsidRPr="00D869E3">
        <w:rPr>
          <w:rFonts w:ascii="Verdana" w:hAnsi="Verdana"/>
          <w:i/>
          <w:sz w:val="20"/>
          <w:szCs w:val="20"/>
          <w:lang w:val="en-US"/>
        </w:rPr>
        <w:t>freedom of association</w:t>
      </w:r>
      <w:r w:rsidR="0009733A" w:rsidRPr="00D869E3">
        <w:rPr>
          <w:rFonts w:ascii="Verdana" w:hAnsi="Verdana"/>
          <w:i/>
          <w:sz w:val="20"/>
          <w:szCs w:val="20"/>
          <w:lang w:val="en-US"/>
        </w:rPr>
        <w:t xml:space="preserve"> of labor</w:t>
      </w:r>
      <w:r w:rsidR="00F83E8F" w:rsidRPr="00D869E3">
        <w:rPr>
          <w:rFonts w:ascii="Verdana" w:hAnsi="Verdana"/>
          <w:i/>
          <w:sz w:val="20"/>
          <w:szCs w:val="20"/>
          <w:lang w:val="en-US"/>
        </w:rPr>
        <w:t>.</w:t>
      </w:r>
      <w:r w:rsidR="00F83E8F" w:rsidRPr="00D869E3">
        <w:rPr>
          <w:rFonts w:ascii="Verdana" w:hAnsi="Verdana"/>
          <w:sz w:val="20"/>
          <w:szCs w:val="20"/>
          <w:lang w:val="en-US"/>
        </w:rPr>
        <w:t xml:space="preserve"> </w:t>
      </w:r>
      <w:r w:rsidRPr="00D869E3">
        <w:rPr>
          <w:rFonts w:ascii="Verdana" w:hAnsi="Verdana"/>
          <w:sz w:val="20"/>
          <w:szCs w:val="20"/>
          <w:lang w:val="en-US"/>
        </w:rPr>
        <w:t>This is of vital importance, bearing in mind that it also constitutes the first occasion on which the Inter-American Court</w:t>
      </w:r>
      <w:r w:rsidR="00F83E8F" w:rsidRPr="00D869E3">
        <w:rPr>
          <w:rFonts w:ascii="Verdana" w:hAnsi="Verdana"/>
          <w:sz w:val="20"/>
          <w:szCs w:val="20"/>
          <w:lang w:val="en-US"/>
        </w:rPr>
        <w:t xml:space="preserve"> </w:t>
      </w:r>
      <w:r w:rsidRPr="00D869E3">
        <w:rPr>
          <w:rFonts w:ascii="Verdana" w:hAnsi="Verdana"/>
          <w:sz w:val="20"/>
          <w:szCs w:val="20"/>
          <w:lang w:val="en-US"/>
        </w:rPr>
        <w:t xml:space="preserve">addresses the protection of </w:t>
      </w:r>
      <w:r w:rsidR="00351902" w:rsidRPr="00D869E3">
        <w:rPr>
          <w:rFonts w:ascii="Verdana" w:hAnsi="Verdana"/>
          <w:sz w:val="20"/>
          <w:szCs w:val="20"/>
          <w:lang w:val="en-US"/>
        </w:rPr>
        <w:t>freedom of association</w:t>
      </w:r>
      <w:r w:rsidR="00F83E8F" w:rsidRPr="00D869E3">
        <w:rPr>
          <w:rFonts w:ascii="Verdana" w:hAnsi="Verdana"/>
          <w:sz w:val="20"/>
          <w:szCs w:val="20"/>
          <w:lang w:val="en-US"/>
        </w:rPr>
        <w:t xml:space="preserve"> </w:t>
      </w:r>
      <w:r w:rsidRPr="00D869E3">
        <w:rPr>
          <w:rFonts w:ascii="Verdana" w:hAnsi="Verdana"/>
          <w:sz w:val="20"/>
          <w:szCs w:val="20"/>
          <w:lang w:val="en-US"/>
        </w:rPr>
        <w:t xml:space="preserve">exclusively with regard to labor matters and not, as in previous cases, only “labor union” matters. Specifically, it is this new aspect of inter-American case law that I </w:t>
      </w:r>
      <w:r w:rsidR="00AD340D" w:rsidRPr="00D869E3">
        <w:rPr>
          <w:rFonts w:ascii="Verdana" w:hAnsi="Verdana"/>
          <w:sz w:val="20"/>
          <w:szCs w:val="20"/>
          <w:lang w:val="en-US"/>
        </w:rPr>
        <w:t>find</w:t>
      </w:r>
      <w:r w:rsidRPr="00D869E3">
        <w:rPr>
          <w:rFonts w:ascii="Verdana" w:hAnsi="Verdana"/>
          <w:sz w:val="20"/>
          <w:szCs w:val="20"/>
          <w:lang w:val="en-US"/>
        </w:rPr>
        <w:t xml:space="preserve"> it pertinent to develop in this opinion.</w:t>
      </w:r>
    </w:p>
    <w:p w14:paraId="1678A0F1" w14:textId="77777777" w:rsidR="00F83E8F" w:rsidRPr="00D869E3" w:rsidRDefault="00F83E8F" w:rsidP="00F83E8F">
      <w:pPr>
        <w:widowControl w:val="0"/>
        <w:autoSpaceDE w:val="0"/>
        <w:autoSpaceDN w:val="0"/>
        <w:adjustRightInd w:val="0"/>
        <w:jc w:val="both"/>
        <w:rPr>
          <w:rFonts w:ascii="Verdana" w:hAnsi="Verdana"/>
          <w:sz w:val="20"/>
          <w:szCs w:val="20"/>
          <w:lang w:val="en-US"/>
        </w:rPr>
      </w:pPr>
    </w:p>
    <w:p w14:paraId="2CC2EBC8" w14:textId="560A062D" w:rsidR="00F83E8F" w:rsidRPr="00D869E3" w:rsidRDefault="00185A57" w:rsidP="00185A57">
      <w:pPr>
        <w:pStyle w:val="Prrafodelista"/>
        <w:widowControl w:val="0"/>
        <w:numPr>
          <w:ilvl w:val="0"/>
          <w:numId w:val="28"/>
        </w:numPr>
        <w:autoSpaceDE w:val="0"/>
        <w:autoSpaceDN w:val="0"/>
        <w:adjustRightInd w:val="0"/>
        <w:ind w:left="0" w:firstLine="0"/>
        <w:jc w:val="both"/>
        <w:rPr>
          <w:rFonts w:ascii="Verdana" w:hAnsi="Verdana"/>
          <w:sz w:val="20"/>
          <w:szCs w:val="20"/>
          <w:lang w:val="en-US"/>
        </w:rPr>
      </w:pPr>
      <w:r w:rsidRPr="00D869E3">
        <w:rPr>
          <w:rFonts w:ascii="Verdana" w:hAnsi="Verdana"/>
          <w:sz w:val="20"/>
          <w:szCs w:val="20"/>
          <w:lang w:val="en-US"/>
        </w:rPr>
        <w:t>In the instant case,</w:t>
      </w:r>
      <w:r w:rsidR="00F83E8F" w:rsidRPr="00D869E3">
        <w:rPr>
          <w:rFonts w:ascii="Verdana" w:hAnsi="Verdana"/>
          <w:sz w:val="20"/>
          <w:szCs w:val="20"/>
          <w:lang w:val="en-US"/>
        </w:rPr>
        <w:t xml:space="preserve"> </w:t>
      </w:r>
      <w:r w:rsidR="00671B14" w:rsidRPr="00D869E3">
        <w:rPr>
          <w:rFonts w:ascii="Verdana" w:hAnsi="Verdana"/>
          <w:sz w:val="20"/>
          <w:szCs w:val="20"/>
          <w:lang w:val="en-US"/>
        </w:rPr>
        <w:t>the Inter-American Court</w:t>
      </w:r>
      <w:r w:rsidR="00F83E8F" w:rsidRPr="00D869E3">
        <w:rPr>
          <w:rFonts w:ascii="Verdana" w:hAnsi="Verdana"/>
          <w:sz w:val="20"/>
          <w:szCs w:val="20"/>
          <w:lang w:val="en-US"/>
        </w:rPr>
        <w:t xml:space="preserve"> a</w:t>
      </w:r>
      <w:r w:rsidRPr="00D869E3">
        <w:rPr>
          <w:rFonts w:ascii="Verdana" w:hAnsi="Verdana"/>
          <w:sz w:val="20"/>
          <w:szCs w:val="20"/>
          <w:lang w:val="en-US"/>
        </w:rPr>
        <w:t xml:space="preserve">ddressed the rights that were violated comprehensively and </w:t>
      </w:r>
      <w:r w:rsidR="00290346" w:rsidRPr="00D869E3">
        <w:rPr>
          <w:rFonts w:ascii="Verdana" w:hAnsi="Verdana"/>
          <w:sz w:val="20"/>
          <w:szCs w:val="20"/>
          <w:lang w:val="en-US"/>
        </w:rPr>
        <w:t xml:space="preserve">collectively, declaring the direct violation of Article 26 of the American Convention. And this contrasted with its previous case law that did this by connectivity with the civil and political rights. Consequently, I concur, in essence, with all the violations declared in the judgment. However, owing to the importance of the decision as regard the full justiciability of the ESCER, I consider it opportune to establish some </w:t>
      </w:r>
      <w:r w:rsidR="00AD340D" w:rsidRPr="00D869E3">
        <w:rPr>
          <w:rFonts w:ascii="Verdana" w:hAnsi="Verdana"/>
          <w:sz w:val="20"/>
          <w:szCs w:val="20"/>
          <w:lang w:val="en-US"/>
        </w:rPr>
        <w:t>elements</w:t>
      </w:r>
      <w:r w:rsidR="00290346" w:rsidRPr="00D869E3">
        <w:rPr>
          <w:rFonts w:ascii="Verdana" w:hAnsi="Verdana"/>
          <w:sz w:val="20"/>
          <w:szCs w:val="20"/>
          <w:lang w:val="en-US"/>
        </w:rPr>
        <w:t xml:space="preserve"> of the </w:t>
      </w:r>
      <w:r w:rsidR="00290346" w:rsidRPr="00D869E3">
        <w:rPr>
          <w:rFonts w:ascii="Verdana" w:hAnsi="Verdana"/>
          <w:i/>
          <w:iCs/>
          <w:sz w:val="20"/>
          <w:szCs w:val="20"/>
          <w:lang w:val="en-US"/>
        </w:rPr>
        <w:t xml:space="preserve">right to freedom of association in labor mattes for the defense and promotion of workers’ interests </w:t>
      </w:r>
      <w:r w:rsidR="00290346" w:rsidRPr="00D869E3">
        <w:rPr>
          <w:rFonts w:ascii="Verdana" w:hAnsi="Verdana"/>
          <w:sz w:val="20"/>
          <w:szCs w:val="20"/>
          <w:lang w:val="en-US"/>
        </w:rPr>
        <w:t xml:space="preserve">under </w:t>
      </w:r>
      <w:r w:rsidR="00447C65" w:rsidRPr="00D869E3">
        <w:rPr>
          <w:rFonts w:ascii="Verdana" w:hAnsi="Verdana"/>
          <w:sz w:val="20"/>
          <w:szCs w:val="20"/>
          <w:lang w:val="en-US"/>
        </w:rPr>
        <w:t>Articles</w:t>
      </w:r>
      <w:r w:rsidR="00F83E8F" w:rsidRPr="00D869E3">
        <w:rPr>
          <w:rFonts w:ascii="Verdana" w:hAnsi="Verdana"/>
          <w:sz w:val="20"/>
          <w:szCs w:val="20"/>
          <w:lang w:val="en-US"/>
        </w:rPr>
        <w:t xml:space="preserve"> 26</w:t>
      </w:r>
      <w:r w:rsidR="00687684" w:rsidRPr="00D869E3">
        <w:rPr>
          <w:rFonts w:ascii="Verdana" w:hAnsi="Verdana"/>
          <w:sz w:val="20"/>
          <w:szCs w:val="20"/>
          <w:lang w:val="en-US"/>
        </w:rPr>
        <w:t xml:space="preserve"> and </w:t>
      </w:r>
      <w:r w:rsidR="00F83E8F" w:rsidRPr="00D869E3">
        <w:rPr>
          <w:rFonts w:ascii="Verdana" w:hAnsi="Verdana"/>
          <w:sz w:val="20"/>
          <w:szCs w:val="20"/>
          <w:lang w:val="en-US"/>
        </w:rPr>
        <w:t>16</w:t>
      </w:r>
      <w:r w:rsidR="00447C65" w:rsidRPr="00D869E3">
        <w:rPr>
          <w:rFonts w:ascii="Verdana" w:hAnsi="Verdana"/>
          <w:sz w:val="20"/>
          <w:szCs w:val="20"/>
          <w:lang w:val="en-US"/>
        </w:rPr>
        <w:t xml:space="preserve"> of the American Convention</w:t>
      </w:r>
      <w:r w:rsidR="00F83E8F" w:rsidRPr="00D869E3">
        <w:rPr>
          <w:rFonts w:ascii="Verdana" w:hAnsi="Verdana"/>
          <w:sz w:val="20"/>
          <w:szCs w:val="20"/>
          <w:lang w:val="en-US"/>
        </w:rPr>
        <w:t xml:space="preserve">. </w:t>
      </w:r>
      <w:r w:rsidR="00290346" w:rsidRPr="00D869E3">
        <w:rPr>
          <w:rFonts w:ascii="Verdana" w:hAnsi="Verdana"/>
          <w:sz w:val="20"/>
          <w:szCs w:val="20"/>
          <w:lang w:val="en-US"/>
        </w:rPr>
        <w:t xml:space="preserve">And, I do so to highlight how different international instruments can act in synergy to delimit the scope of the protection of inter-American social rights through </w:t>
      </w:r>
      <w:r w:rsidR="00671B14" w:rsidRPr="00D869E3">
        <w:rPr>
          <w:rFonts w:ascii="Verdana" w:hAnsi="Verdana"/>
          <w:sz w:val="20"/>
          <w:szCs w:val="20"/>
          <w:lang w:val="en-US"/>
        </w:rPr>
        <w:t>the Pact of San José</w:t>
      </w:r>
      <w:r w:rsidR="00F83E8F" w:rsidRPr="00D869E3">
        <w:rPr>
          <w:rFonts w:ascii="Verdana" w:hAnsi="Verdana"/>
          <w:sz w:val="20"/>
          <w:szCs w:val="20"/>
          <w:lang w:val="en-US"/>
        </w:rPr>
        <w:t xml:space="preserve">. </w:t>
      </w:r>
    </w:p>
    <w:p w14:paraId="4CDC3444" w14:textId="77777777" w:rsidR="00F83E8F" w:rsidRPr="00D869E3" w:rsidRDefault="00F83E8F" w:rsidP="00F83E8F">
      <w:pPr>
        <w:widowControl w:val="0"/>
        <w:autoSpaceDE w:val="0"/>
        <w:autoSpaceDN w:val="0"/>
        <w:adjustRightInd w:val="0"/>
        <w:jc w:val="both"/>
        <w:rPr>
          <w:rFonts w:ascii="Verdana" w:hAnsi="Verdana"/>
          <w:sz w:val="20"/>
          <w:szCs w:val="20"/>
          <w:lang w:val="en-US"/>
        </w:rPr>
      </w:pPr>
    </w:p>
    <w:p w14:paraId="36CE0206" w14:textId="35F08CA4" w:rsidR="00F83E8F" w:rsidRPr="00D869E3" w:rsidRDefault="00F83E8F" w:rsidP="00E70701">
      <w:pPr>
        <w:pStyle w:val="Prrafodelista"/>
        <w:widowControl w:val="0"/>
        <w:numPr>
          <w:ilvl w:val="0"/>
          <w:numId w:val="28"/>
        </w:numPr>
        <w:autoSpaceDE w:val="0"/>
        <w:autoSpaceDN w:val="0"/>
        <w:adjustRightInd w:val="0"/>
        <w:ind w:left="0" w:firstLine="0"/>
        <w:jc w:val="both"/>
        <w:rPr>
          <w:rFonts w:ascii="Verdana" w:hAnsi="Verdana"/>
          <w:b/>
          <w:sz w:val="20"/>
          <w:szCs w:val="20"/>
          <w:lang w:val="en-US"/>
        </w:rPr>
      </w:pPr>
      <w:r w:rsidRPr="00D869E3">
        <w:rPr>
          <w:rFonts w:ascii="Verdana" w:hAnsi="Verdana"/>
          <w:sz w:val="20"/>
          <w:szCs w:val="20"/>
          <w:lang w:val="en-US"/>
        </w:rPr>
        <w:t>T</w:t>
      </w:r>
      <w:r w:rsidR="00290346" w:rsidRPr="00D869E3">
        <w:rPr>
          <w:rFonts w:ascii="Verdana" w:hAnsi="Verdana"/>
          <w:sz w:val="20"/>
          <w:szCs w:val="20"/>
          <w:lang w:val="en-US"/>
        </w:rPr>
        <w:t>aking the foregoing into account, I will now elaborate on</w:t>
      </w:r>
      <w:r w:rsidRPr="00D869E3">
        <w:rPr>
          <w:rFonts w:ascii="Verdana" w:hAnsi="Verdana"/>
          <w:sz w:val="20"/>
          <w:szCs w:val="20"/>
          <w:lang w:val="en-US"/>
        </w:rPr>
        <w:t xml:space="preserve">: </w:t>
      </w:r>
      <w:r w:rsidRPr="00D869E3">
        <w:rPr>
          <w:rFonts w:ascii="Verdana" w:hAnsi="Verdana"/>
          <w:b/>
          <w:bCs/>
          <w:iCs/>
          <w:sz w:val="20"/>
          <w:szCs w:val="20"/>
          <w:lang w:val="en-US"/>
        </w:rPr>
        <w:t>I</w:t>
      </w:r>
      <w:r w:rsidRPr="00D869E3">
        <w:rPr>
          <w:rFonts w:ascii="Verdana" w:hAnsi="Verdana"/>
          <w:bCs/>
          <w:iCs/>
          <w:sz w:val="20"/>
          <w:szCs w:val="20"/>
          <w:lang w:val="en-US"/>
        </w:rPr>
        <w:t xml:space="preserve">. </w:t>
      </w:r>
      <w:r w:rsidR="000944EB" w:rsidRPr="00D869E3">
        <w:rPr>
          <w:rFonts w:ascii="Verdana" w:hAnsi="Verdana"/>
          <w:bCs/>
          <w:iCs/>
          <w:sz w:val="20"/>
          <w:szCs w:val="20"/>
          <w:lang w:val="en-US"/>
        </w:rPr>
        <w:t xml:space="preserve">The justiciability </w:t>
      </w:r>
      <w:r w:rsidR="00A157F5" w:rsidRPr="00D869E3">
        <w:rPr>
          <w:rFonts w:ascii="Verdana" w:hAnsi="Verdana"/>
          <w:bCs/>
          <w:iCs/>
          <w:sz w:val="20"/>
          <w:szCs w:val="20"/>
          <w:lang w:val="en-US"/>
        </w:rPr>
        <w:t xml:space="preserve">of the </w:t>
      </w:r>
      <w:r w:rsidR="00301DBE" w:rsidRPr="00D869E3">
        <w:rPr>
          <w:rFonts w:ascii="Verdana" w:hAnsi="Verdana"/>
          <w:bCs/>
          <w:iCs/>
          <w:sz w:val="20"/>
          <w:szCs w:val="20"/>
          <w:lang w:val="en-US"/>
        </w:rPr>
        <w:t>right to work</w:t>
      </w:r>
      <w:r w:rsidRPr="00D869E3">
        <w:rPr>
          <w:rFonts w:ascii="Verdana" w:hAnsi="Verdana"/>
          <w:bCs/>
          <w:iCs/>
          <w:sz w:val="20"/>
          <w:szCs w:val="20"/>
          <w:lang w:val="en-US"/>
        </w:rPr>
        <w:t xml:space="preserve"> </w:t>
      </w:r>
      <w:r w:rsidR="000944EB" w:rsidRPr="00D869E3">
        <w:rPr>
          <w:rFonts w:ascii="Verdana" w:hAnsi="Verdana"/>
          <w:bCs/>
          <w:iCs/>
          <w:sz w:val="20"/>
          <w:szCs w:val="20"/>
          <w:lang w:val="en-US"/>
        </w:rPr>
        <w:t>using</w:t>
      </w:r>
      <w:r w:rsidRPr="00D869E3">
        <w:rPr>
          <w:rFonts w:ascii="Verdana" w:hAnsi="Verdana"/>
          <w:bCs/>
          <w:iCs/>
          <w:sz w:val="20"/>
          <w:szCs w:val="20"/>
          <w:lang w:val="en-US"/>
        </w:rPr>
        <w:t xml:space="preserve"> </w:t>
      </w:r>
      <w:r w:rsidR="00447C65" w:rsidRPr="00D869E3">
        <w:rPr>
          <w:rFonts w:ascii="Verdana" w:hAnsi="Verdana"/>
          <w:bCs/>
          <w:iCs/>
          <w:sz w:val="20"/>
          <w:szCs w:val="20"/>
          <w:lang w:val="en-US"/>
        </w:rPr>
        <w:t>Article</w:t>
      </w:r>
      <w:r w:rsidRPr="00D869E3">
        <w:rPr>
          <w:rFonts w:ascii="Verdana" w:hAnsi="Verdana"/>
          <w:bCs/>
          <w:iCs/>
          <w:sz w:val="20"/>
          <w:szCs w:val="20"/>
          <w:lang w:val="en-US"/>
        </w:rPr>
        <w:t xml:space="preserve"> 26</w:t>
      </w:r>
      <w:r w:rsidR="00447C65" w:rsidRPr="00D869E3">
        <w:rPr>
          <w:rFonts w:ascii="Verdana" w:hAnsi="Verdana"/>
          <w:bCs/>
          <w:iCs/>
          <w:sz w:val="20"/>
          <w:szCs w:val="20"/>
          <w:lang w:val="en-US"/>
        </w:rPr>
        <w:t xml:space="preserve"> of the American Convention</w:t>
      </w:r>
      <w:r w:rsidR="00687684" w:rsidRPr="00D869E3">
        <w:rPr>
          <w:rFonts w:ascii="Verdana" w:hAnsi="Verdana"/>
          <w:bCs/>
          <w:iCs/>
          <w:sz w:val="20"/>
          <w:szCs w:val="20"/>
          <w:lang w:val="en-US"/>
        </w:rPr>
        <w:t xml:space="preserve"> and </w:t>
      </w:r>
      <w:r w:rsidR="000944EB" w:rsidRPr="00D869E3">
        <w:rPr>
          <w:rFonts w:ascii="Verdana" w:hAnsi="Verdana"/>
          <w:bCs/>
          <w:iCs/>
          <w:sz w:val="20"/>
          <w:szCs w:val="20"/>
          <w:lang w:val="en-US"/>
        </w:rPr>
        <w:t xml:space="preserve">the application of the </w:t>
      </w:r>
      <w:r w:rsidRPr="00D869E3">
        <w:rPr>
          <w:rFonts w:ascii="Verdana" w:hAnsi="Verdana"/>
          <w:bCs/>
          <w:i/>
          <w:iCs/>
          <w:sz w:val="20"/>
          <w:szCs w:val="20"/>
          <w:lang w:val="en-US"/>
        </w:rPr>
        <w:t>iura novit curia</w:t>
      </w:r>
      <w:r w:rsidR="000944EB" w:rsidRPr="00D869E3">
        <w:rPr>
          <w:rFonts w:ascii="Verdana" w:hAnsi="Verdana"/>
          <w:bCs/>
          <w:i/>
          <w:iCs/>
          <w:sz w:val="20"/>
          <w:szCs w:val="20"/>
          <w:lang w:val="en-US"/>
        </w:rPr>
        <w:t xml:space="preserve"> </w:t>
      </w:r>
      <w:r w:rsidR="000944EB" w:rsidRPr="00D869E3">
        <w:rPr>
          <w:rFonts w:ascii="Verdana" w:hAnsi="Verdana"/>
          <w:bCs/>
          <w:iCs/>
          <w:sz w:val="20"/>
          <w:szCs w:val="20"/>
          <w:lang w:val="en-US"/>
        </w:rPr>
        <w:t>principle;</w:t>
      </w:r>
      <w:r w:rsidRPr="00D869E3">
        <w:rPr>
          <w:rFonts w:ascii="Verdana" w:hAnsi="Verdana"/>
          <w:bCs/>
          <w:i/>
          <w:iCs/>
          <w:sz w:val="20"/>
          <w:szCs w:val="20"/>
          <w:lang w:val="en-US"/>
        </w:rPr>
        <w:t xml:space="preserve"> </w:t>
      </w:r>
      <w:r w:rsidRPr="00D869E3">
        <w:rPr>
          <w:rFonts w:ascii="Verdana" w:hAnsi="Verdana"/>
          <w:b/>
          <w:sz w:val="20"/>
          <w:szCs w:val="20"/>
          <w:lang w:val="en-US"/>
        </w:rPr>
        <w:t>II</w:t>
      </w:r>
      <w:r w:rsidRPr="00D869E3">
        <w:rPr>
          <w:rFonts w:ascii="Verdana" w:hAnsi="Verdana"/>
          <w:sz w:val="20"/>
          <w:szCs w:val="20"/>
          <w:lang w:val="en-US"/>
        </w:rPr>
        <w:t>.</w:t>
      </w:r>
      <w:r w:rsidRPr="00D869E3">
        <w:rPr>
          <w:rFonts w:ascii="Verdana" w:hAnsi="Verdana"/>
          <w:bCs/>
          <w:iCs/>
          <w:sz w:val="20"/>
          <w:szCs w:val="20"/>
          <w:lang w:val="en-US"/>
        </w:rPr>
        <w:t xml:space="preserve"> </w:t>
      </w:r>
      <w:r w:rsidR="000944EB" w:rsidRPr="00D869E3">
        <w:rPr>
          <w:rFonts w:ascii="Verdana" w:hAnsi="Verdana"/>
          <w:bCs/>
          <w:iCs/>
          <w:sz w:val="20"/>
          <w:szCs w:val="20"/>
          <w:lang w:val="en-US"/>
        </w:rPr>
        <w:t>The right to freedom of association in the case law</w:t>
      </w:r>
      <w:r w:rsidR="00447C65" w:rsidRPr="00D869E3">
        <w:rPr>
          <w:rFonts w:ascii="Verdana" w:hAnsi="Verdana"/>
          <w:bCs/>
          <w:iCs/>
          <w:sz w:val="20"/>
          <w:szCs w:val="20"/>
          <w:lang w:val="en-US"/>
        </w:rPr>
        <w:t xml:space="preserve"> of </w:t>
      </w:r>
      <w:r w:rsidR="00671B14" w:rsidRPr="00D869E3">
        <w:rPr>
          <w:rFonts w:ascii="Verdana" w:hAnsi="Verdana"/>
          <w:bCs/>
          <w:iCs/>
          <w:sz w:val="20"/>
          <w:szCs w:val="20"/>
          <w:lang w:val="en-US"/>
        </w:rPr>
        <w:t>the Inter-American Court</w:t>
      </w:r>
      <w:r w:rsidRPr="00D869E3">
        <w:rPr>
          <w:rFonts w:ascii="Verdana" w:hAnsi="Verdana"/>
          <w:sz w:val="20"/>
          <w:szCs w:val="20"/>
          <w:lang w:val="en-US"/>
        </w:rPr>
        <w:t xml:space="preserve">.; </w:t>
      </w:r>
      <w:r w:rsidRPr="00D869E3">
        <w:rPr>
          <w:rFonts w:ascii="Verdana" w:hAnsi="Verdana"/>
          <w:b/>
          <w:sz w:val="20"/>
          <w:szCs w:val="20"/>
          <w:lang w:val="en-US"/>
        </w:rPr>
        <w:t>III</w:t>
      </w:r>
      <w:r w:rsidRPr="00D869E3">
        <w:rPr>
          <w:rFonts w:ascii="Verdana" w:hAnsi="Verdana"/>
          <w:sz w:val="20"/>
          <w:szCs w:val="20"/>
          <w:lang w:val="en-US"/>
        </w:rPr>
        <w:t>.</w:t>
      </w:r>
      <w:r w:rsidRPr="00D869E3">
        <w:rPr>
          <w:rFonts w:ascii="Verdana" w:hAnsi="Verdana"/>
          <w:bCs/>
          <w:iCs/>
          <w:sz w:val="20"/>
          <w:szCs w:val="20"/>
          <w:lang w:val="en-US"/>
        </w:rPr>
        <w:t xml:space="preserve"> </w:t>
      </w:r>
      <w:r w:rsidR="000944EB" w:rsidRPr="00D869E3">
        <w:rPr>
          <w:rFonts w:ascii="Verdana" w:hAnsi="Verdana"/>
          <w:bCs/>
          <w:iCs/>
          <w:sz w:val="20"/>
          <w:szCs w:val="20"/>
          <w:lang w:val="en-US"/>
        </w:rPr>
        <w:t xml:space="preserve">The right </w:t>
      </w:r>
      <w:r w:rsidR="005E46C9" w:rsidRPr="00D869E3">
        <w:rPr>
          <w:rFonts w:ascii="Verdana" w:hAnsi="Verdana"/>
          <w:bCs/>
          <w:iCs/>
          <w:sz w:val="20"/>
          <w:szCs w:val="20"/>
          <w:lang w:val="en-US"/>
        </w:rPr>
        <w:t>to</w:t>
      </w:r>
      <w:r w:rsidR="000944EB" w:rsidRPr="00D869E3">
        <w:rPr>
          <w:rFonts w:ascii="Verdana" w:hAnsi="Verdana"/>
          <w:bCs/>
          <w:iCs/>
          <w:sz w:val="20"/>
          <w:szCs w:val="20"/>
          <w:lang w:val="en-US"/>
        </w:rPr>
        <w:t xml:space="preserve"> </w:t>
      </w:r>
      <w:r w:rsidR="00A27804" w:rsidRPr="00D869E3">
        <w:rPr>
          <w:rFonts w:ascii="Verdana" w:hAnsi="Verdana"/>
          <w:bCs/>
          <w:iCs/>
          <w:sz w:val="20"/>
          <w:szCs w:val="20"/>
          <w:lang w:val="en-US"/>
        </w:rPr>
        <w:t>the</w:t>
      </w:r>
      <w:r w:rsidR="005E46C9" w:rsidRPr="00D869E3">
        <w:rPr>
          <w:rFonts w:ascii="Verdana" w:hAnsi="Verdana"/>
          <w:bCs/>
          <w:iCs/>
          <w:sz w:val="20"/>
          <w:szCs w:val="20"/>
          <w:lang w:val="en-US"/>
        </w:rPr>
        <w:t xml:space="preserve"> freedom of</w:t>
      </w:r>
      <w:r w:rsidR="000944EB" w:rsidRPr="00D869E3">
        <w:rPr>
          <w:rFonts w:ascii="Verdana" w:hAnsi="Verdana"/>
          <w:bCs/>
          <w:iCs/>
          <w:sz w:val="20"/>
          <w:szCs w:val="20"/>
          <w:lang w:val="en-US"/>
        </w:rPr>
        <w:t xml:space="preserve"> association</w:t>
      </w:r>
      <w:r w:rsidR="00A27804" w:rsidRPr="00D869E3">
        <w:rPr>
          <w:rFonts w:ascii="Verdana" w:hAnsi="Verdana"/>
          <w:bCs/>
          <w:iCs/>
          <w:sz w:val="20"/>
          <w:szCs w:val="20"/>
          <w:lang w:val="en-US"/>
        </w:rPr>
        <w:t xml:space="preserve"> of labor</w:t>
      </w:r>
      <w:r w:rsidR="000944EB" w:rsidRPr="00D869E3">
        <w:rPr>
          <w:rFonts w:ascii="Verdana" w:hAnsi="Verdana"/>
          <w:bCs/>
          <w:iCs/>
          <w:sz w:val="20"/>
          <w:szCs w:val="20"/>
          <w:lang w:val="en-US"/>
        </w:rPr>
        <w:t xml:space="preserve"> for the protection and promotion of workers’ interests as part</w:t>
      </w:r>
      <w:r w:rsidR="00A157F5" w:rsidRPr="00D869E3">
        <w:rPr>
          <w:rFonts w:ascii="Verdana" w:hAnsi="Verdana"/>
          <w:bCs/>
          <w:iCs/>
          <w:sz w:val="20"/>
          <w:szCs w:val="20"/>
          <w:lang w:val="en-US"/>
        </w:rPr>
        <w:t xml:space="preserve"> of the </w:t>
      </w:r>
      <w:r w:rsidR="00301DBE" w:rsidRPr="00D869E3">
        <w:rPr>
          <w:rFonts w:ascii="Verdana" w:hAnsi="Verdana"/>
          <w:bCs/>
          <w:iCs/>
          <w:sz w:val="20"/>
          <w:szCs w:val="20"/>
          <w:lang w:val="en-US"/>
        </w:rPr>
        <w:t>right to work</w:t>
      </w:r>
      <w:r w:rsidRPr="00D869E3">
        <w:rPr>
          <w:rFonts w:ascii="Verdana" w:hAnsi="Verdana"/>
          <w:bCs/>
          <w:iCs/>
          <w:sz w:val="20"/>
          <w:szCs w:val="20"/>
          <w:lang w:val="en-US"/>
        </w:rPr>
        <w:t>,</w:t>
      </w:r>
      <w:r w:rsidR="00687684" w:rsidRPr="00D869E3">
        <w:rPr>
          <w:rFonts w:ascii="Verdana" w:hAnsi="Verdana"/>
          <w:bCs/>
          <w:i/>
          <w:iCs/>
          <w:sz w:val="20"/>
          <w:szCs w:val="20"/>
          <w:lang w:val="en-US"/>
        </w:rPr>
        <w:t xml:space="preserve"> </w:t>
      </w:r>
      <w:r w:rsidR="00687684" w:rsidRPr="00D869E3">
        <w:rPr>
          <w:rFonts w:ascii="Verdana" w:hAnsi="Verdana"/>
          <w:bCs/>
          <w:sz w:val="20"/>
          <w:szCs w:val="20"/>
          <w:lang w:val="en-US"/>
        </w:rPr>
        <w:t>and</w:t>
      </w:r>
      <w:r w:rsidR="00687684" w:rsidRPr="00D869E3">
        <w:rPr>
          <w:rFonts w:ascii="Verdana" w:hAnsi="Verdana"/>
          <w:bCs/>
          <w:i/>
          <w:iCs/>
          <w:sz w:val="20"/>
          <w:szCs w:val="20"/>
          <w:lang w:val="en-US"/>
        </w:rPr>
        <w:t xml:space="preserve"> </w:t>
      </w:r>
      <w:r w:rsidRPr="00D869E3">
        <w:rPr>
          <w:rFonts w:ascii="Verdana" w:hAnsi="Verdana"/>
          <w:b/>
          <w:sz w:val="20"/>
          <w:szCs w:val="20"/>
          <w:lang w:val="en-US"/>
        </w:rPr>
        <w:t>IV</w:t>
      </w:r>
      <w:r w:rsidRPr="00D869E3">
        <w:rPr>
          <w:rFonts w:ascii="Verdana" w:hAnsi="Verdana"/>
          <w:sz w:val="20"/>
          <w:szCs w:val="20"/>
          <w:lang w:val="en-US"/>
        </w:rPr>
        <w:t>.</w:t>
      </w:r>
      <w:r w:rsidRPr="00D869E3">
        <w:rPr>
          <w:rFonts w:ascii="Verdana" w:hAnsi="Verdana"/>
          <w:bCs/>
          <w:i/>
          <w:iCs/>
          <w:sz w:val="20"/>
          <w:szCs w:val="20"/>
          <w:lang w:val="en-US"/>
        </w:rPr>
        <w:t xml:space="preserve"> </w:t>
      </w:r>
      <w:r w:rsidRPr="00D869E3">
        <w:rPr>
          <w:rFonts w:ascii="Verdana" w:hAnsi="Verdana"/>
          <w:bCs/>
          <w:sz w:val="20"/>
          <w:szCs w:val="20"/>
          <w:lang w:val="en-US"/>
        </w:rPr>
        <w:t>Conclusions.</w:t>
      </w:r>
    </w:p>
    <w:p w14:paraId="18307A8C" w14:textId="77777777" w:rsidR="00F83E8F" w:rsidRPr="00D869E3" w:rsidRDefault="00F83E8F" w:rsidP="00F83E8F">
      <w:pPr>
        <w:widowControl w:val="0"/>
        <w:autoSpaceDE w:val="0"/>
        <w:autoSpaceDN w:val="0"/>
        <w:adjustRightInd w:val="0"/>
        <w:rPr>
          <w:rFonts w:ascii="Verdana" w:hAnsi="Verdana"/>
          <w:sz w:val="20"/>
          <w:szCs w:val="20"/>
          <w:lang w:val="en-US"/>
        </w:rPr>
      </w:pPr>
    </w:p>
    <w:p w14:paraId="16DA0296" w14:textId="5E67516A" w:rsidR="00F83E8F" w:rsidRPr="00D869E3" w:rsidRDefault="00F83E8F" w:rsidP="00F83E8F">
      <w:pPr>
        <w:widowControl w:val="0"/>
        <w:autoSpaceDE w:val="0"/>
        <w:autoSpaceDN w:val="0"/>
        <w:adjustRightInd w:val="0"/>
        <w:jc w:val="center"/>
        <w:rPr>
          <w:rFonts w:ascii="Verdana" w:hAnsi="Verdana"/>
          <w:sz w:val="20"/>
          <w:szCs w:val="20"/>
          <w:lang w:val="en-US"/>
        </w:rPr>
      </w:pPr>
      <w:r w:rsidRPr="00D869E3">
        <w:rPr>
          <w:rFonts w:ascii="Verdana" w:hAnsi="Verdana"/>
          <w:sz w:val="20"/>
          <w:szCs w:val="20"/>
          <w:lang w:val="en-US"/>
        </w:rPr>
        <w:t xml:space="preserve">I.  </w:t>
      </w:r>
      <w:r w:rsidR="000944EB" w:rsidRPr="00D869E3">
        <w:rPr>
          <w:rFonts w:ascii="Verdana" w:hAnsi="Verdana"/>
          <w:bCs/>
          <w:iCs/>
          <w:sz w:val="20"/>
          <w:szCs w:val="20"/>
          <w:lang w:val="en-US"/>
        </w:rPr>
        <w:t xml:space="preserve">THE JUSTICIABILITY OF THE RIGHT TO WORK USING ARTICLE 26 OF THE AMERICAN CONVENTION AND THE APPLICATION OF THE </w:t>
      </w:r>
      <w:r w:rsidR="000944EB" w:rsidRPr="00D869E3">
        <w:rPr>
          <w:rFonts w:ascii="Verdana" w:hAnsi="Verdana"/>
          <w:bCs/>
          <w:i/>
          <w:iCs/>
          <w:sz w:val="20"/>
          <w:szCs w:val="20"/>
          <w:lang w:val="en-US"/>
        </w:rPr>
        <w:t xml:space="preserve">IURA NOVIT CURIA </w:t>
      </w:r>
      <w:r w:rsidR="000944EB" w:rsidRPr="00D869E3">
        <w:rPr>
          <w:rFonts w:ascii="Verdana" w:hAnsi="Verdana"/>
          <w:bCs/>
          <w:iCs/>
          <w:sz w:val="20"/>
          <w:szCs w:val="20"/>
          <w:lang w:val="en-US"/>
        </w:rPr>
        <w:t>PRINCIPLE</w:t>
      </w:r>
    </w:p>
    <w:p w14:paraId="44A1F109" w14:textId="77777777" w:rsidR="00F83E8F" w:rsidRPr="00D869E3" w:rsidRDefault="00F83E8F" w:rsidP="00F83E8F">
      <w:pPr>
        <w:widowControl w:val="0"/>
        <w:autoSpaceDE w:val="0"/>
        <w:autoSpaceDN w:val="0"/>
        <w:adjustRightInd w:val="0"/>
        <w:jc w:val="both"/>
        <w:rPr>
          <w:rFonts w:ascii="Verdana" w:hAnsi="Verdana"/>
          <w:sz w:val="20"/>
          <w:szCs w:val="20"/>
          <w:lang w:val="en-US"/>
        </w:rPr>
      </w:pPr>
    </w:p>
    <w:p w14:paraId="13A8B71F" w14:textId="5C54F7EA" w:rsidR="00F83E8F" w:rsidRPr="00D869E3" w:rsidRDefault="000944EB" w:rsidP="00E70701">
      <w:pPr>
        <w:pStyle w:val="Prrafodelista"/>
        <w:widowControl w:val="0"/>
        <w:numPr>
          <w:ilvl w:val="0"/>
          <w:numId w:val="28"/>
        </w:numPr>
        <w:autoSpaceDE w:val="0"/>
        <w:autoSpaceDN w:val="0"/>
        <w:adjustRightInd w:val="0"/>
        <w:ind w:left="0" w:right="49" w:firstLine="0"/>
        <w:jc w:val="both"/>
        <w:rPr>
          <w:rFonts w:ascii="Verdana" w:hAnsi="Verdana"/>
          <w:sz w:val="20"/>
          <w:szCs w:val="20"/>
          <w:lang w:val="en-US"/>
        </w:rPr>
      </w:pPr>
      <w:r w:rsidRPr="00D869E3">
        <w:rPr>
          <w:rFonts w:ascii="Verdana" w:hAnsi="Verdana"/>
          <w:sz w:val="20"/>
          <w:szCs w:val="20"/>
          <w:lang w:val="en-US"/>
        </w:rPr>
        <w:t xml:space="preserve">As mentioned, in this case </w:t>
      </w:r>
      <w:r w:rsidR="00671B14" w:rsidRPr="00D869E3">
        <w:rPr>
          <w:rFonts w:ascii="Verdana" w:hAnsi="Verdana"/>
          <w:sz w:val="20"/>
          <w:szCs w:val="20"/>
          <w:lang w:val="en-US"/>
        </w:rPr>
        <w:t>the Inter-American Court</w:t>
      </w:r>
      <w:r w:rsidR="00F83E8F" w:rsidRPr="00D869E3">
        <w:rPr>
          <w:rFonts w:ascii="Verdana" w:hAnsi="Verdana"/>
          <w:sz w:val="20"/>
          <w:szCs w:val="20"/>
          <w:lang w:val="en-US"/>
        </w:rPr>
        <w:t xml:space="preserve"> declar</w:t>
      </w:r>
      <w:r w:rsidRPr="00D869E3">
        <w:rPr>
          <w:rFonts w:ascii="Verdana" w:hAnsi="Verdana"/>
          <w:sz w:val="20"/>
          <w:szCs w:val="20"/>
          <w:lang w:val="en-US"/>
        </w:rPr>
        <w:t>ed</w:t>
      </w:r>
      <w:r w:rsidR="00AD340D" w:rsidRPr="00D869E3">
        <w:rPr>
          <w:rFonts w:ascii="Verdana" w:hAnsi="Verdana"/>
          <w:sz w:val="20"/>
          <w:szCs w:val="20"/>
          <w:lang w:val="en-US"/>
        </w:rPr>
        <w:t>,</w:t>
      </w:r>
      <w:r w:rsidRPr="00D869E3">
        <w:rPr>
          <w:rFonts w:ascii="Verdana" w:hAnsi="Verdana"/>
          <w:sz w:val="20"/>
          <w:szCs w:val="20"/>
          <w:lang w:val="en-US"/>
        </w:rPr>
        <w:t xml:space="preserve"> for the first time</w:t>
      </w:r>
      <w:r w:rsidR="00AD340D" w:rsidRPr="00D869E3">
        <w:rPr>
          <w:rFonts w:ascii="Verdana" w:hAnsi="Verdana"/>
          <w:sz w:val="20"/>
          <w:szCs w:val="20"/>
          <w:lang w:val="en-US"/>
        </w:rPr>
        <w:t>,</w:t>
      </w:r>
      <w:r w:rsidRPr="00D869E3">
        <w:rPr>
          <w:rFonts w:ascii="Verdana" w:hAnsi="Verdana"/>
          <w:sz w:val="20"/>
          <w:szCs w:val="20"/>
          <w:lang w:val="en-US"/>
        </w:rPr>
        <w:t xml:space="preserve"> that </w:t>
      </w:r>
      <w:r w:rsidR="00F83E8F" w:rsidRPr="00D869E3">
        <w:rPr>
          <w:rFonts w:ascii="Verdana" w:hAnsi="Verdana"/>
          <w:sz w:val="20"/>
          <w:szCs w:val="20"/>
          <w:lang w:val="en-US"/>
        </w:rPr>
        <w:t xml:space="preserve"> </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 26</w:t>
      </w:r>
      <w:r w:rsidR="00447C65" w:rsidRPr="00D869E3">
        <w:rPr>
          <w:rFonts w:ascii="Verdana" w:hAnsi="Verdana"/>
          <w:sz w:val="20"/>
          <w:szCs w:val="20"/>
          <w:lang w:val="en-US"/>
        </w:rPr>
        <w:t xml:space="preserve"> of the American Convention</w:t>
      </w:r>
      <w:r w:rsidR="002C5EA9" w:rsidRPr="00D869E3">
        <w:rPr>
          <w:rFonts w:ascii="Verdana" w:hAnsi="Verdana"/>
          <w:sz w:val="20"/>
          <w:szCs w:val="20"/>
          <w:lang w:val="en-US"/>
        </w:rPr>
        <w:t xml:space="preserve"> had been violated</w:t>
      </w:r>
      <w:r w:rsidR="00F83E8F" w:rsidRPr="00D869E3">
        <w:rPr>
          <w:rFonts w:ascii="Verdana" w:hAnsi="Verdana"/>
          <w:sz w:val="20"/>
          <w:szCs w:val="20"/>
          <w:lang w:val="en-US"/>
        </w:rPr>
        <w:t xml:space="preserve"> </w:t>
      </w:r>
      <w:r w:rsidR="00BB61A6" w:rsidRPr="00D869E3">
        <w:rPr>
          <w:rFonts w:ascii="Verdana" w:hAnsi="Verdana"/>
          <w:sz w:val="20"/>
          <w:szCs w:val="20"/>
          <w:lang w:val="en-US"/>
        </w:rPr>
        <w:t>in relation to</w:t>
      </w:r>
      <w:r w:rsidR="00F83E8F" w:rsidRPr="00D869E3">
        <w:rPr>
          <w:rFonts w:ascii="Verdana" w:hAnsi="Verdana"/>
          <w:sz w:val="20"/>
          <w:szCs w:val="20"/>
          <w:lang w:val="en-US"/>
        </w:rPr>
        <w:t xml:space="preserve"> </w:t>
      </w:r>
      <w:r w:rsidR="000B2E5E" w:rsidRPr="00D869E3">
        <w:rPr>
          <w:rFonts w:ascii="Verdana" w:hAnsi="Verdana"/>
          <w:sz w:val="20"/>
          <w:szCs w:val="20"/>
          <w:lang w:val="en-US"/>
        </w:rPr>
        <w:t>the rig</w:t>
      </w:r>
      <w:r w:rsidR="002C5EA9" w:rsidRPr="00D869E3">
        <w:rPr>
          <w:rFonts w:ascii="Verdana" w:hAnsi="Verdana"/>
          <w:sz w:val="20"/>
          <w:szCs w:val="20"/>
          <w:lang w:val="en-US"/>
        </w:rPr>
        <w:t>ht to job security</w:t>
      </w:r>
      <w:r w:rsidR="00F83E8F" w:rsidRPr="00D869E3">
        <w:rPr>
          <w:rStyle w:val="Refdenotaalpie"/>
          <w:szCs w:val="20"/>
          <w:lang w:val="en-US"/>
        </w:rPr>
        <w:footnoteReference w:id="299"/>
      </w:r>
      <w:r w:rsidR="00687684" w:rsidRPr="00D869E3">
        <w:rPr>
          <w:rFonts w:ascii="Verdana" w:hAnsi="Verdana"/>
          <w:sz w:val="20"/>
          <w:szCs w:val="20"/>
          <w:lang w:val="en-US"/>
        </w:rPr>
        <w:t xml:space="preserve"> and </w:t>
      </w:r>
      <w:r w:rsidR="000B2E5E" w:rsidRPr="00D869E3">
        <w:rPr>
          <w:rFonts w:ascii="Verdana" w:hAnsi="Verdana"/>
          <w:sz w:val="20"/>
          <w:szCs w:val="20"/>
          <w:lang w:val="en-US"/>
        </w:rPr>
        <w:t>the right to</w:t>
      </w:r>
      <w:r w:rsidR="002C5EA9" w:rsidRPr="00D869E3">
        <w:rPr>
          <w:rFonts w:ascii="Verdana" w:hAnsi="Verdana"/>
          <w:sz w:val="20"/>
          <w:szCs w:val="20"/>
          <w:lang w:val="en-US"/>
        </w:rPr>
        <w:t xml:space="preserve"> freedom of association;</w:t>
      </w:r>
      <w:r w:rsidR="00F83E8F" w:rsidRPr="00D869E3">
        <w:rPr>
          <w:rStyle w:val="Refdenotaalpie"/>
          <w:szCs w:val="20"/>
          <w:lang w:val="en-US"/>
        </w:rPr>
        <w:footnoteReference w:id="300"/>
      </w:r>
      <w:r w:rsidR="00F83E8F" w:rsidRPr="00D869E3">
        <w:rPr>
          <w:rFonts w:ascii="Verdana" w:hAnsi="Verdana"/>
          <w:sz w:val="20"/>
          <w:szCs w:val="20"/>
          <w:lang w:val="en-US"/>
        </w:rPr>
        <w:t xml:space="preserve"> </w:t>
      </w:r>
      <w:r w:rsidR="002C5EA9" w:rsidRPr="00D869E3">
        <w:rPr>
          <w:rFonts w:ascii="Verdana" w:hAnsi="Verdana"/>
          <w:sz w:val="20"/>
          <w:szCs w:val="20"/>
          <w:lang w:val="en-US"/>
        </w:rPr>
        <w:t xml:space="preserve">in both cases invoking the </w:t>
      </w:r>
      <w:r w:rsidR="00F83E8F" w:rsidRPr="00D869E3">
        <w:rPr>
          <w:rFonts w:ascii="Verdana" w:hAnsi="Verdana"/>
          <w:i/>
          <w:sz w:val="20"/>
          <w:szCs w:val="20"/>
          <w:lang w:val="en-US"/>
        </w:rPr>
        <w:t>iura novit curia</w:t>
      </w:r>
      <w:r w:rsidR="002C5EA9" w:rsidRPr="00D869E3">
        <w:rPr>
          <w:rFonts w:ascii="Verdana" w:hAnsi="Verdana"/>
          <w:i/>
          <w:sz w:val="20"/>
          <w:szCs w:val="20"/>
          <w:lang w:val="en-US"/>
        </w:rPr>
        <w:t xml:space="preserve"> </w:t>
      </w:r>
      <w:r w:rsidR="002C5EA9" w:rsidRPr="00D869E3">
        <w:rPr>
          <w:rFonts w:ascii="Verdana" w:hAnsi="Verdana"/>
          <w:sz w:val="20"/>
          <w:szCs w:val="20"/>
          <w:lang w:val="en-US"/>
        </w:rPr>
        <w:t>principle</w:t>
      </w:r>
      <w:r w:rsidR="00F83E8F" w:rsidRPr="00D869E3">
        <w:rPr>
          <w:rFonts w:ascii="Verdana" w:hAnsi="Verdana"/>
          <w:sz w:val="20"/>
          <w:szCs w:val="20"/>
          <w:lang w:val="en-US"/>
        </w:rPr>
        <w:t xml:space="preserve">. </w:t>
      </w:r>
      <w:r w:rsidR="00075E68" w:rsidRPr="00D869E3">
        <w:rPr>
          <w:rFonts w:ascii="Verdana" w:hAnsi="Verdana"/>
          <w:sz w:val="20"/>
          <w:szCs w:val="20"/>
          <w:lang w:val="en-US"/>
        </w:rPr>
        <w:t>In this regard</w:t>
      </w:r>
      <w:r w:rsidR="00F83E8F" w:rsidRPr="00D869E3">
        <w:rPr>
          <w:rFonts w:ascii="Verdana" w:hAnsi="Verdana"/>
          <w:sz w:val="20"/>
          <w:szCs w:val="20"/>
          <w:lang w:val="en-US"/>
        </w:rPr>
        <w:t xml:space="preserve">, </w:t>
      </w:r>
      <w:r w:rsidR="00671B14" w:rsidRPr="00D869E3">
        <w:rPr>
          <w:rFonts w:ascii="Verdana" w:hAnsi="Verdana"/>
          <w:sz w:val="20"/>
          <w:szCs w:val="20"/>
          <w:lang w:val="en-US"/>
        </w:rPr>
        <w:t>the Inter-American Court</w:t>
      </w:r>
      <w:r w:rsidR="00F83E8F" w:rsidRPr="00D869E3">
        <w:rPr>
          <w:rFonts w:ascii="Verdana" w:hAnsi="Verdana"/>
          <w:sz w:val="20"/>
          <w:szCs w:val="20"/>
          <w:lang w:val="en-US"/>
        </w:rPr>
        <w:t xml:space="preserve"> </w:t>
      </w:r>
      <w:r w:rsidR="002C5EA9" w:rsidRPr="00D869E3">
        <w:rPr>
          <w:rFonts w:ascii="Verdana" w:hAnsi="Verdana"/>
          <w:sz w:val="20"/>
          <w:szCs w:val="20"/>
          <w:lang w:val="en-US"/>
        </w:rPr>
        <w:t xml:space="preserve">has established an important precedent for the justiciability </w:t>
      </w:r>
      <w:r w:rsidR="00EA232B" w:rsidRPr="00D869E3">
        <w:rPr>
          <w:rFonts w:ascii="Verdana" w:hAnsi="Verdana"/>
          <w:sz w:val="20"/>
          <w:szCs w:val="20"/>
          <w:lang w:val="en-US"/>
        </w:rPr>
        <w:t xml:space="preserve">of the </w:t>
      </w:r>
      <w:r w:rsidR="00170AA6" w:rsidRPr="00D869E3">
        <w:rPr>
          <w:rFonts w:ascii="Verdana" w:hAnsi="Verdana"/>
          <w:sz w:val="20"/>
          <w:szCs w:val="20"/>
          <w:lang w:val="en-US"/>
        </w:rPr>
        <w:t>social rights</w:t>
      </w:r>
      <w:r w:rsidR="00F83E8F" w:rsidRPr="00D869E3">
        <w:rPr>
          <w:rFonts w:ascii="Verdana" w:hAnsi="Verdana"/>
          <w:sz w:val="20"/>
          <w:szCs w:val="20"/>
          <w:lang w:val="en-US"/>
        </w:rPr>
        <w:t xml:space="preserve"> </w:t>
      </w:r>
      <w:r w:rsidR="002C5EA9" w:rsidRPr="00D869E3">
        <w:rPr>
          <w:rFonts w:ascii="Verdana" w:hAnsi="Verdana"/>
          <w:sz w:val="20"/>
          <w:szCs w:val="20"/>
          <w:lang w:val="en-US"/>
        </w:rPr>
        <w:t>under</w:t>
      </w:r>
      <w:r w:rsidR="00F83E8F" w:rsidRPr="00D869E3">
        <w:rPr>
          <w:rFonts w:ascii="Verdana" w:hAnsi="Verdana"/>
          <w:sz w:val="20"/>
          <w:szCs w:val="20"/>
          <w:lang w:val="en-US"/>
        </w:rPr>
        <w:t xml:space="preserve"> </w:t>
      </w:r>
      <w:r w:rsidR="00671B14" w:rsidRPr="00D869E3">
        <w:rPr>
          <w:rFonts w:ascii="Verdana" w:hAnsi="Verdana"/>
          <w:sz w:val="20"/>
          <w:szCs w:val="20"/>
          <w:lang w:val="en-US"/>
        </w:rPr>
        <w:t>the inter-American system</w:t>
      </w:r>
      <w:r w:rsidR="00F83E8F" w:rsidRPr="00D869E3">
        <w:rPr>
          <w:rFonts w:ascii="Verdana" w:hAnsi="Verdana"/>
          <w:sz w:val="20"/>
          <w:szCs w:val="20"/>
          <w:lang w:val="en-US"/>
        </w:rPr>
        <w:t xml:space="preserve">, </w:t>
      </w:r>
      <w:r w:rsidR="002C5EA9" w:rsidRPr="00D869E3">
        <w:rPr>
          <w:rFonts w:ascii="Verdana" w:hAnsi="Verdana"/>
          <w:sz w:val="20"/>
          <w:szCs w:val="20"/>
          <w:lang w:val="en-US"/>
        </w:rPr>
        <w:t xml:space="preserve">by opening up the possibility that rights which were not expressly established in </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 19</w:t>
      </w:r>
      <w:r w:rsidR="002C5EA9" w:rsidRPr="00D869E3">
        <w:rPr>
          <w:rFonts w:ascii="Verdana" w:hAnsi="Verdana"/>
          <w:sz w:val="20"/>
          <w:szCs w:val="20"/>
          <w:lang w:val="en-US"/>
        </w:rPr>
        <w:t>(</w:t>
      </w:r>
      <w:r w:rsidR="00F83E8F" w:rsidRPr="00D869E3">
        <w:rPr>
          <w:rFonts w:ascii="Verdana" w:hAnsi="Verdana"/>
          <w:sz w:val="20"/>
          <w:szCs w:val="20"/>
          <w:lang w:val="en-US"/>
        </w:rPr>
        <w:t>6</w:t>
      </w:r>
      <w:r w:rsidR="002C5EA9" w:rsidRPr="00D869E3">
        <w:rPr>
          <w:rFonts w:ascii="Verdana" w:hAnsi="Verdana"/>
          <w:sz w:val="20"/>
          <w:szCs w:val="20"/>
          <w:lang w:val="en-US"/>
        </w:rPr>
        <w:t>)</w:t>
      </w:r>
      <w:r w:rsidR="00F83E8F" w:rsidRPr="00D869E3">
        <w:rPr>
          <w:rFonts w:ascii="Verdana" w:hAnsi="Verdana"/>
          <w:sz w:val="20"/>
          <w:szCs w:val="20"/>
          <w:lang w:val="en-US"/>
        </w:rPr>
        <w:t xml:space="preserve"> </w:t>
      </w:r>
      <w:r w:rsidR="00916899" w:rsidRPr="00D869E3">
        <w:rPr>
          <w:rFonts w:ascii="Verdana" w:hAnsi="Verdana"/>
          <w:sz w:val="20"/>
          <w:szCs w:val="20"/>
          <w:lang w:val="en-US"/>
        </w:rPr>
        <w:t>of the Protocol of</w:t>
      </w:r>
      <w:r w:rsidR="00F83E8F" w:rsidRPr="00D869E3">
        <w:rPr>
          <w:rFonts w:ascii="Verdana" w:hAnsi="Verdana"/>
          <w:sz w:val="20"/>
          <w:szCs w:val="20"/>
          <w:lang w:val="en-US"/>
        </w:rPr>
        <w:t xml:space="preserve"> San Salvador</w:t>
      </w:r>
      <w:r w:rsidR="00F83E8F" w:rsidRPr="00D869E3">
        <w:rPr>
          <w:rStyle w:val="Refdenotaalpie"/>
          <w:szCs w:val="20"/>
          <w:lang w:val="en-US"/>
        </w:rPr>
        <w:footnoteReference w:id="301"/>
      </w:r>
      <w:r w:rsidR="00F83E8F" w:rsidRPr="00D869E3">
        <w:rPr>
          <w:rFonts w:ascii="Verdana" w:hAnsi="Verdana"/>
          <w:sz w:val="20"/>
          <w:szCs w:val="20"/>
          <w:lang w:val="en-US"/>
        </w:rPr>
        <w:t xml:space="preserve"> —</w:t>
      </w:r>
      <w:r w:rsidR="002C5EA9" w:rsidRPr="00D869E3">
        <w:rPr>
          <w:rFonts w:ascii="Verdana" w:hAnsi="Verdana"/>
          <w:sz w:val="20"/>
          <w:szCs w:val="20"/>
          <w:lang w:val="en-US"/>
        </w:rPr>
        <w:t xml:space="preserve"> such as</w:t>
      </w:r>
      <w:r w:rsidR="00F83E8F" w:rsidRPr="00D869E3">
        <w:rPr>
          <w:rFonts w:ascii="Verdana" w:hAnsi="Verdana"/>
          <w:sz w:val="20"/>
          <w:szCs w:val="20"/>
          <w:lang w:val="en-US"/>
        </w:rPr>
        <w:t xml:space="preserve"> </w:t>
      </w:r>
      <w:r w:rsidR="000B2E5E" w:rsidRPr="00D869E3">
        <w:rPr>
          <w:rFonts w:ascii="Verdana" w:hAnsi="Verdana"/>
          <w:sz w:val="20"/>
          <w:szCs w:val="20"/>
          <w:lang w:val="en-US"/>
        </w:rPr>
        <w:t xml:space="preserve">the </w:t>
      </w:r>
      <w:r w:rsidR="00301DBE" w:rsidRPr="00D869E3">
        <w:rPr>
          <w:rFonts w:ascii="Verdana" w:hAnsi="Verdana"/>
          <w:sz w:val="20"/>
          <w:szCs w:val="20"/>
          <w:lang w:val="en-US"/>
        </w:rPr>
        <w:t>right to work</w:t>
      </w:r>
      <w:r w:rsidR="00687684" w:rsidRPr="00D869E3">
        <w:rPr>
          <w:rFonts w:ascii="Verdana" w:hAnsi="Verdana"/>
          <w:sz w:val="20"/>
          <w:szCs w:val="20"/>
          <w:lang w:val="en-US"/>
        </w:rPr>
        <w:t xml:space="preserve"> and </w:t>
      </w:r>
      <w:r w:rsidR="002C5EA9" w:rsidRPr="00D869E3">
        <w:rPr>
          <w:rFonts w:ascii="Verdana" w:hAnsi="Verdana"/>
          <w:sz w:val="20"/>
          <w:szCs w:val="20"/>
          <w:lang w:val="en-US"/>
        </w:rPr>
        <w:t xml:space="preserve">its different facets – can be protected directly </w:t>
      </w:r>
      <w:r w:rsidR="004443C5" w:rsidRPr="00D869E3">
        <w:rPr>
          <w:rFonts w:ascii="Verdana" w:hAnsi="Verdana"/>
          <w:sz w:val="20"/>
          <w:szCs w:val="20"/>
          <w:lang w:val="en-US"/>
        </w:rPr>
        <w:t>by</w:t>
      </w:r>
      <w:r w:rsidR="002C5EA9" w:rsidRPr="00D869E3">
        <w:rPr>
          <w:rFonts w:ascii="Verdana" w:hAnsi="Verdana"/>
          <w:sz w:val="20"/>
          <w:szCs w:val="20"/>
          <w:lang w:val="en-US"/>
        </w:rPr>
        <w:t xml:space="preserve"> </w:t>
      </w:r>
      <w:r w:rsidR="00447C65" w:rsidRPr="00D869E3">
        <w:rPr>
          <w:rFonts w:ascii="Verdana" w:hAnsi="Verdana"/>
          <w:sz w:val="20"/>
          <w:szCs w:val="20"/>
          <w:lang w:val="en-US"/>
        </w:rPr>
        <w:t>the American Convention</w:t>
      </w:r>
      <w:r w:rsidR="00F83E8F" w:rsidRPr="00D869E3">
        <w:rPr>
          <w:rFonts w:ascii="Verdana" w:hAnsi="Verdana"/>
          <w:sz w:val="20"/>
          <w:szCs w:val="20"/>
          <w:lang w:val="en-US"/>
        </w:rPr>
        <w:t xml:space="preserve">.  </w:t>
      </w:r>
    </w:p>
    <w:p w14:paraId="4A85D35D" w14:textId="77777777" w:rsidR="00F83E8F" w:rsidRPr="00D869E3" w:rsidRDefault="00F83E8F" w:rsidP="00F83E8F">
      <w:pPr>
        <w:pStyle w:val="Prrafodelista"/>
        <w:widowControl w:val="0"/>
        <w:autoSpaceDE w:val="0"/>
        <w:autoSpaceDN w:val="0"/>
        <w:adjustRightInd w:val="0"/>
        <w:ind w:left="0" w:right="49"/>
        <w:jc w:val="both"/>
        <w:rPr>
          <w:rFonts w:ascii="Verdana" w:hAnsi="Verdana"/>
          <w:sz w:val="20"/>
          <w:szCs w:val="20"/>
          <w:lang w:val="en-US"/>
        </w:rPr>
      </w:pPr>
    </w:p>
    <w:p w14:paraId="0B0A6BFB" w14:textId="7E5FD116" w:rsidR="00F83E8F" w:rsidRPr="00D869E3" w:rsidRDefault="004443C5" w:rsidP="004443C5">
      <w:pPr>
        <w:pStyle w:val="Prrafodelista"/>
        <w:widowControl w:val="0"/>
        <w:numPr>
          <w:ilvl w:val="0"/>
          <w:numId w:val="28"/>
        </w:numPr>
        <w:autoSpaceDE w:val="0"/>
        <w:autoSpaceDN w:val="0"/>
        <w:adjustRightInd w:val="0"/>
        <w:ind w:left="0" w:right="49" w:firstLine="0"/>
        <w:jc w:val="both"/>
        <w:rPr>
          <w:rFonts w:ascii="Verdana" w:hAnsi="Verdana"/>
          <w:sz w:val="20"/>
          <w:szCs w:val="20"/>
          <w:lang w:val="en-US"/>
        </w:rPr>
      </w:pPr>
      <w:r w:rsidRPr="00D869E3">
        <w:rPr>
          <w:rFonts w:ascii="Verdana" w:hAnsi="Verdana"/>
          <w:sz w:val="20"/>
          <w:szCs w:val="20"/>
          <w:lang w:val="en-US"/>
        </w:rPr>
        <w:t>In the judgment</w:t>
      </w:r>
      <w:r w:rsidR="00F83E8F" w:rsidRPr="00D869E3">
        <w:rPr>
          <w:rFonts w:ascii="Verdana" w:hAnsi="Verdana"/>
          <w:sz w:val="20"/>
          <w:szCs w:val="20"/>
          <w:lang w:val="en-US"/>
        </w:rPr>
        <w:t xml:space="preserve">, </w:t>
      </w:r>
      <w:r w:rsidR="00671B14" w:rsidRPr="00D869E3">
        <w:rPr>
          <w:rFonts w:ascii="Verdana" w:hAnsi="Verdana"/>
          <w:sz w:val="20"/>
          <w:szCs w:val="20"/>
          <w:lang w:val="en-US"/>
        </w:rPr>
        <w:t>the Inter-American Court</w:t>
      </w:r>
      <w:r w:rsidR="00F83E8F" w:rsidRPr="00D869E3">
        <w:rPr>
          <w:rFonts w:ascii="Verdana" w:hAnsi="Verdana"/>
          <w:sz w:val="20"/>
          <w:szCs w:val="20"/>
          <w:lang w:val="en-US"/>
        </w:rPr>
        <w:t xml:space="preserve"> </w:t>
      </w:r>
      <w:r w:rsidRPr="00D869E3">
        <w:rPr>
          <w:rFonts w:ascii="Verdana" w:hAnsi="Verdana"/>
          <w:sz w:val="20"/>
          <w:szCs w:val="20"/>
          <w:lang w:val="en-US"/>
        </w:rPr>
        <w:t xml:space="preserve">reinforces the principles of interdependence </w:t>
      </w:r>
      <w:r w:rsidRPr="00D869E3">
        <w:rPr>
          <w:rFonts w:ascii="Verdana" w:hAnsi="Verdana"/>
          <w:sz w:val="20"/>
          <w:szCs w:val="20"/>
          <w:lang w:val="en-US"/>
        </w:rPr>
        <w:lastRenderedPageBreak/>
        <w:t>and indivisibility between the economic, social, cultural and environmental rights and the civil and political rights. And, it does so based on its belief that human rights should be understood comprehensively and collectively, without any hierarchy, and enforceable in all cases before the competent authority.</w:t>
      </w:r>
      <w:r w:rsidR="00F83E8F" w:rsidRPr="00D869E3">
        <w:rPr>
          <w:rStyle w:val="Refdenotaalpie"/>
          <w:rFonts w:cs="Verdana"/>
          <w:szCs w:val="20"/>
          <w:lang w:val="en-US" w:eastAsia="es-MX"/>
        </w:rPr>
        <w:footnoteReference w:id="302"/>
      </w:r>
      <w:r w:rsidRPr="00D869E3">
        <w:rPr>
          <w:rFonts w:ascii="Verdana" w:hAnsi="Verdana" w:cs="Verdana"/>
          <w:sz w:val="20"/>
          <w:szCs w:val="20"/>
          <w:lang w:val="en-US" w:eastAsia="es-MX"/>
        </w:rPr>
        <w:t xml:space="preserve"> In other words, the judgment recognizes that a reciprocal dependency exists between all human rights, which has been incorporated into the international framework of human rights, without establishing a hierarchy or subsuming some rights in the content of others.</w:t>
      </w:r>
      <w:r w:rsidR="00F83E8F" w:rsidRPr="00D869E3">
        <w:rPr>
          <w:rStyle w:val="Refdenotaalpie"/>
          <w:rFonts w:cs="Verdana"/>
          <w:szCs w:val="20"/>
          <w:lang w:val="en-US" w:eastAsia="es-MX"/>
        </w:rPr>
        <w:footnoteReference w:id="303"/>
      </w:r>
    </w:p>
    <w:p w14:paraId="29DD43D1" w14:textId="77777777" w:rsidR="00F83E8F" w:rsidRPr="00D869E3" w:rsidRDefault="00F83E8F" w:rsidP="00F83E8F">
      <w:pPr>
        <w:widowControl w:val="0"/>
        <w:autoSpaceDE w:val="0"/>
        <w:autoSpaceDN w:val="0"/>
        <w:adjustRightInd w:val="0"/>
        <w:ind w:right="49"/>
        <w:jc w:val="both"/>
        <w:rPr>
          <w:rFonts w:ascii="Verdana" w:hAnsi="Verdana"/>
          <w:sz w:val="20"/>
          <w:szCs w:val="20"/>
          <w:lang w:val="en-US"/>
        </w:rPr>
      </w:pPr>
    </w:p>
    <w:p w14:paraId="287F7548" w14:textId="23D3E3ED" w:rsidR="00F83E8F" w:rsidRPr="00D869E3" w:rsidRDefault="004443C5" w:rsidP="004443C5">
      <w:pPr>
        <w:pStyle w:val="Prrafodelista"/>
        <w:widowControl w:val="0"/>
        <w:numPr>
          <w:ilvl w:val="0"/>
          <w:numId w:val="28"/>
        </w:numPr>
        <w:autoSpaceDE w:val="0"/>
        <w:autoSpaceDN w:val="0"/>
        <w:adjustRightInd w:val="0"/>
        <w:ind w:left="0" w:right="49" w:firstLine="0"/>
        <w:jc w:val="both"/>
        <w:rPr>
          <w:rFonts w:ascii="Verdana" w:hAnsi="Verdana"/>
          <w:sz w:val="20"/>
          <w:szCs w:val="20"/>
          <w:lang w:val="en-US"/>
        </w:rPr>
      </w:pPr>
      <w:r w:rsidRPr="00D869E3">
        <w:rPr>
          <w:rFonts w:ascii="Verdana" w:hAnsi="Verdana"/>
          <w:sz w:val="20"/>
          <w:szCs w:val="20"/>
          <w:lang w:val="en-US"/>
        </w:rPr>
        <w:t>Thus, to derive job security as part</w:t>
      </w:r>
      <w:r w:rsidR="00A157F5" w:rsidRPr="00D869E3">
        <w:rPr>
          <w:rFonts w:ascii="Verdana" w:hAnsi="Verdana"/>
          <w:sz w:val="20"/>
          <w:szCs w:val="20"/>
          <w:lang w:val="en-US"/>
        </w:rPr>
        <w:t xml:space="preserve"> of the </w:t>
      </w:r>
      <w:r w:rsidR="00301DBE" w:rsidRPr="00D869E3">
        <w:rPr>
          <w:rFonts w:ascii="Verdana" w:hAnsi="Verdana"/>
          <w:sz w:val="20"/>
          <w:szCs w:val="20"/>
          <w:lang w:val="en-US"/>
        </w:rPr>
        <w:t>right to work</w:t>
      </w:r>
      <w:r w:rsidR="00F83E8F" w:rsidRPr="00D869E3">
        <w:rPr>
          <w:rFonts w:ascii="Verdana" w:hAnsi="Verdana"/>
          <w:sz w:val="20"/>
          <w:szCs w:val="20"/>
          <w:lang w:val="en-US"/>
        </w:rPr>
        <w:t xml:space="preserve"> </w:t>
      </w:r>
      <w:r w:rsidR="009F33F3" w:rsidRPr="00D869E3">
        <w:rPr>
          <w:rFonts w:ascii="Verdana" w:hAnsi="Verdana"/>
          <w:sz w:val="20"/>
          <w:szCs w:val="20"/>
          <w:lang w:val="en-US"/>
        </w:rPr>
        <w:t>using</w:t>
      </w:r>
      <w:r w:rsidR="00F83E8F" w:rsidRPr="00D869E3">
        <w:rPr>
          <w:rFonts w:ascii="Verdana" w:hAnsi="Verdana"/>
          <w:sz w:val="20"/>
          <w:szCs w:val="20"/>
          <w:lang w:val="en-US"/>
        </w:rPr>
        <w:t xml:space="preserve"> </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 26</w:t>
      </w:r>
      <w:r w:rsidR="00447C65" w:rsidRPr="00D869E3">
        <w:rPr>
          <w:rFonts w:ascii="Verdana" w:hAnsi="Verdana"/>
          <w:sz w:val="20"/>
          <w:szCs w:val="20"/>
          <w:lang w:val="en-US"/>
        </w:rPr>
        <w:t xml:space="preserve"> of the American Convention</w:t>
      </w:r>
      <w:r w:rsidR="00F83E8F" w:rsidRPr="00D869E3">
        <w:rPr>
          <w:rFonts w:ascii="Verdana" w:hAnsi="Verdana"/>
          <w:sz w:val="20"/>
          <w:szCs w:val="20"/>
          <w:lang w:val="en-US"/>
        </w:rPr>
        <w:t xml:space="preserve">, </w:t>
      </w:r>
      <w:r w:rsidR="00671B14" w:rsidRPr="00D869E3">
        <w:rPr>
          <w:rFonts w:ascii="Verdana" w:hAnsi="Verdana"/>
          <w:sz w:val="20"/>
          <w:szCs w:val="20"/>
          <w:lang w:val="en-US"/>
        </w:rPr>
        <w:t>the Inter-American Court</w:t>
      </w:r>
      <w:r w:rsidR="00F83E8F" w:rsidRPr="00D869E3">
        <w:rPr>
          <w:rFonts w:ascii="Verdana" w:hAnsi="Verdana"/>
          <w:sz w:val="20"/>
          <w:szCs w:val="20"/>
          <w:lang w:val="en-US"/>
        </w:rPr>
        <w:t xml:space="preserve"> consider</w:t>
      </w:r>
      <w:r w:rsidRPr="00D869E3">
        <w:rPr>
          <w:rFonts w:ascii="Verdana" w:hAnsi="Verdana"/>
          <w:sz w:val="20"/>
          <w:szCs w:val="20"/>
          <w:lang w:val="en-US"/>
        </w:rPr>
        <w:t xml:space="preserve">ed four aspects of special relevance. The first, relating to the rights that may be protected by Article 26 of the American Convention, which are those derived or identified from the economic, social, educational, scientific and cultural </w:t>
      </w:r>
      <w:r w:rsidR="009F33F3" w:rsidRPr="00D869E3">
        <w:rPr>
          <w:rFonts w:ascii="Verdana" w:hAnsi="Verdana"/>
          <w:sz w:val="20"/>
          <w:szCs w:val="20"/>
          <w:lang w:val="en-US"/>
        </w:rPr>
        <w:t>standards</w:t>
      </w:r>
      <w:r w:rsidR="00521B85" w:rsidRPr="00D869E3">
        <w:rPr>
          <w:rFonts w:ascii="Verdana" w:hAnsi="Verdana"/>
          <w:sz w:val="20"/>
          <w:szCs w:val="20"/>
          <w:lang w:val="en-US"/>
        </w:rPr>
        <w:t xml:space="preserve"> contained in the OAS Charter. In particular, for the purposes of the case of </w:t>
      </w:r>
      <w:r w:rsidR="00F83E8F" w:rsidRPr="00D869E3">
        <w:rPr>
          <w:rFonts w:ascii="Verdana" w:hAnsi="Verdana"/>
          <w:i/>
          <w:sz w:val="20"/>
          <w:szCs w:val="20"/>
          <w:lang w:val="en-US"/>
        </w:rPr>
        <w:t xml:space="preserve">Lagos del Campos, </w:t>
      </w:r>
      <w:r w:rsidR="00671B14" w:rsidRPr="00D869E3">
        <w:rPr>
          <w:rFonts w:ascii="Verdana" w:hAnsi="Verdana"/>
          <w:sz w:val="20"/>
          <w:szCs w:val="20"/>
          <w:lang w:val="en-US"/>
        </w:rPr>
        <w:t>the Inter-American Court</w:t>
      </w:r>
      <w:r w:rsidR="00F83E8F" w:rsidRPr="00D869E3">
        <w:rPr>
          <w:rFonts w:ascii="Verdana" w:hAnsi="Verdana"/>
          <w:sz w:val="20"/>
          <w:szCs w:val="20"/>
          <w:lang w:val="en-US"/>
        </w:rPr>
        <w:t xml:space="preserve"> </w:t>
      </w:r>
      <w:r w:rsidR="00521B85" w:rsidRPr="00D869E3">
        <w:rPr>
          <w:rFonts w:ascii="Verdana" w:hAnsi="Verdana"/>
          <w:sz w:val="20"/>
          <w:szCs w:val="20"/>
          <w:lang w:val="en-US"/>
        </w:rPr>
        <w:t>considered that</w:t>
      </w:r>
      <w:r w:rsidR="00F83E8F" w:rsidRPr="00D869E3">
        <w:rPr>
          <w:rFonts w:ascii="Verdana" w:hAnsi="Verdana"/>
          <w:sz w:val="20"/>
          <w:szCs w:val="20"/>
          <w:lang w:val="en-US"/>
        </w:rPr>
        <w:t xml:space="preserve"> </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 34</w:t>
      </w:r>
      <w:r w:rsidR="00521B85" w:rsidRPr="00D869E3">
        <w:rPr>
          <w:rFonts w:ascii="Verdana" w:hAnsi="Verdana"/>
          <w:sz w:val="20"/>
          <w:szCs w:val="20"/>
          <w:lang w:val="en-US"/>
        </w:rPr>
        <w:t>(</w:t>
      </w:r>
      <w:r w:rsidR="00F83E8F" w:rsidRPr="00D869E3">
        <w:rPr>
          <w:rFonts w:ascii="Verdana" w:hAnsi="Verdana"/>
          <w:sz w:val="20"/>
          <w:szCs w:val="20"/>
          <w:lang w:val="en-US"/>
        </w:rPr>
        <w:t xml:space="preserve">g), </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 45</w:t>
      </w:r>
      <w:r w:rsidR="00521B85" w:rsidRPr="00D869E3">
        <w:rPr>
          <w:rFonts w:ascii="Verdana" w:hAnsi="Verdana"/>
          <w:sz w:val="20"/>
          <w:szCs w:val="20"/>
          <w:lang w:val="en-US"/>
        </w:rPr>
        <w:t>(</w:t>
      </w:r>
      <w:r w:rsidR="00F83E8F" w:rsidRPr="00D869E3">
        <w:rPr>
          <w:rFonts w:ascii="Verdana" w:hAnsi="Verdana"/>
          <w:sz w:val="20"/>
          <w:szCs w:val="20"/>
          <w:lang w:val="en-US"/>
        </w:rPr>
        <w:t>b)</w:t>
      </w:r>
      <w:r w:rsidR="00687684" w:rsidRPr="00D869E3">
        <w:rPr>
          <w:rFonts w:ascii="Verdana" w:hAnsi="Verdana"/>
          <w:sz w:val="20"/>
          <w:szCs w:val="20"/>
          <w:lang w:val="en-US"/>
        </w:rPr>
        <w:t xml:space="preserve"> and </w:t>
      </w:r>
      <w:r w:rsidR="00521B85" w:rsidRPr="00D869E3">
        <w:rPr>
          <w:rFonts w:ascii="Verdana" w:hAnsi="Verdana"/>
          <w:sz w:val="20"/>
          <w:szCs w:val="20"/>
          <w:lang w:val="en-US"/>
        </w:rPr>
        <w:t>(</w:t>
      </w:r>
      <w:r w:rsidR="00F83E8F" w:rsidRPr="00D869E3">
        <w:rPr>
          <w:rFonts w:ascii="Verdana" w:hAnsi="Verdana"/>
          <w:sz w:val="20"/>
          <w:szCs w:val="20"/>
          <w:lang w:val="en-US"/>
        </w:rPr>
        <w:t>c),</w:t>
      </w:r>
      <w:r w:rsidR="00687684" w:rsidRPr="00D869E3">
        <w:rPr>
          <w:rFonts w:ascii="Verdana" w:hAnsi="Verdana"/>
          <w:sz w:val="20"/>
          <w:szCs w:val="20"/>
          <w:lang w:val="en-US"/>
        </w:rPr>
        <w:t xml:space="preserve"> and </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 46 </w:t>
      </w:r>
      <w:r w:rsidR="00197983" w:rsidRPr="00D869E3">
        <w:rPr>
          <w:rFonts w:ascii="Verdana" w:hAnsi="Verdana"/>
          <w:sz w:val="20"/>
          <w:szCs w:val="20"/>
          <w:lang w:val="en-US"/>
        </w:rPr>
        <w:t>of the OAS Charter</w:t>
      </w:r>
      <w:r w:rsidR="00F83E8F" w:rsidRPr="00D869E3">
        <w:rPr>
          <w:rFonts w:ascii="Verdana" w:hAnsi="Verdana"/>
          <w:sz w:val="20"/>
          <w:szCs w:val="20"/>
          <w:lang w:val="en-US"/>
        </w:rPr>
        <w:t xml:space="preserve"> </w:t>
      </w:r>
      <w:r w:rsidR="00521B85" w:rsidRPr="00D869E3">
        <w:rPr>
          <w:rFonts w:ascii="Verdana" w:hAnsi="Verdana"/>
          <w:sz w:val="20"/>
          <w:szCs w:val="20"/>
          <w:lang w:val="en-US"/>
        </w:rPr>
        <w:t xml:space="preserve">establish various aspects </w:t>
      </w:r>
      <w:r w:rsidR="00A157F5" w:rsidRPr="00D869E3">
        <w:rPr>
          <w:rFonts w:ascii="Verdana" w:hAnsi="Verdana"/>
          <w:sz w:val="20"/>
          <w:szCs w:val="20"/>
          <w:lang w:val="en-US"/>
        </w:rPr>
        <w:t xml:space="preserve">of the </w:t>
      </w:r>
      <w:r w:rsidR="00301DBE" w:rsidRPr="00D869E3">
        <w:rPr>
          <w:rFonts w:ascii="Verdana" w:hAnsi="Verdana"/>
          <w:sz w:val="20"/>
          <w:szCs w:val="20"/>
          <w:lang w:val="en-US"/>
        </w:rPr>
        <w:t>right to work</w:t>
      </w:r>
      <w:r w:rsidR="00521B85" w:rsidRPr="00D869E3">
        <w:rPr>
          <w:rFonts w:ascii="Verdana" w:hAnsi="Verdana"/>
          <w:sz w:val="20"/>
          <w:szCs w:val="20"/>
          <w:lang w:val="en-US"/>
        </w:rPr>
        <w:t>.</w:t>
      </w:r>
      <w:r w:rsidR="00F83E8F" w:rsidRPr="00D869E3">
        <w:rPr>
          <w:rStyle w:val="Refdenotaalpie"/>
          <w:szCs w:val="20"/>
          <w:lang w:val="en-US"/>
        </w:rPr>
        <w:footnoteReference w:id="304"/>
      </w:r>
      <w:r w:rsidR="00F83E8F" w:rsidRPr="00D869E3">
        <w:rPr>
          <w:rFonts w:ascii="Verdana" w:hAnsi="Verdana"/>
          <w:sz w:val="20"/>
          <w:szCs w:val="20"/>
          <w:lang w:val="en-US"/>
        </w:rPr>
        <w:t xml:space="preserve"> </w:t>
      </w:r>
      <w:r w:rsidR="00521B85" w:rsidRPr="00D869E3">
        <w:rPr>
          <w:rFonts w:ascii="Verdana" w:hAnsi="Verdana"/>
          <w:sz w:val="20"/>
          <w:szCs w:val="20"/>
          <w:lang w:val="en-US"/>
        </w:rPr>
        <w:t>Thus</w:t>
      </w:r>
      <w:r w:rsidR="00F83E8F" w:rsidRPr="00D869E3">
        <w:rPr>
          <w:rFonts w:ascii="Verdana" w:hAnsi="Verdana"/>
          <w:sz w:val="20"/>
          <w:szCs w:val="20"/>
          <w:lang w:val="en-US"/>
        </w:rPr>
        <w:t xml:space="preserve">, </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 26 cont</w:t>
      </w:r>
      <w:r w:rsidR="00521B85" w:rsidRPr="00D869E3">
        <w:rPr>
          <w:rFonts w:ascii="Verdana" w:hAnsi="Verdana"/>
          <w:sz w:val="20"/>
          <w:szCs w:val="20"/>
          <w:lang w:val="en-US"/>
        </w:rPr>
        <w:t xml:space="preserve">ains social rights and is not a mere programmatic norm as some believe. In this regard, I would like to reproduce </w:t>
      </w:r>
      <w:r w:rsidR="009F33F3" w:rsidRPr="00D869E3">
        <w:rPr>
          <w:rFonts w:ascii="Verdana" w:hAnsi="Verdana"/>
          <w:sz w:val="20"/>
          <w:szCs w:val="20"/>
          <w:lang w:val="en-US"/>
        </w:rPr>
        <w:t>part of</w:t>
      </w:r>
      <w:r w:rsidR="00521B85" w:rsidRPr="00D869E3">
        <w:rPr>
          <w:rFonts w:ascii="Verdana" w:hAnsi="Verdana"/>
          <w:sz w:val="20"/>
          <w:szCs w:val="20"/>
          <w:lang w:val="en-US"/>
        </w:rPr>
        <w:t xml:space="preserve"> my Concurring Opinion to the judgment in the </w:t>
      </w:r>
      <w:r w:rsidR="00447C65" w:rsidRPr="00D869E3">
        <w:rPr>
          <w:rFonts w:ascii="Verdana" w:hAnsi="Verdana"/>
          <w:i/>
          <w:sz w:val="20"/>
          <w:szCs w:val="20"/>
          <w:lang w:val="en-US"/>
        </w:rPr>
        <w:t>Case of</w:t>
      </w:r>
      <w:r w:rsidR="00F83E8F" w:rsidRPr="00D869E3">
        <w:rPr>
          <w:rFonts w:ascii="Verdana" w:hAnsi="Verdana"/>
          <w:i/>
          <w:sz w:val="20"/>
          <w:szCs w:val="20"/>
          <w:lang w:val="en-US"/>
        </w:rPr>
        <w:t xml:space="preserve"> Yarce</w:t>
      </w:r>
      <w:r w:rsidR="00687684" w:rsidRPr="00D869E3">
        <w:rPr>
          <w:rFonts w:ascii="Verdana" w:hAnsi="Verdana"/>
          <w:i/>
          <w:sz w:val="20"/>
          <w:szCs w:val="20"/>
          <w:lang w:val="en-US"/>
        </w:rPr>
        <w:t xml:space="preserve"> </w:t>
      </w:r>
      <w:r w:rsidR="00521B85" w:rsidRPr="00D869E3">
        <w:rPr>
          <w:rFonts w:ascii="Verdana" w:hAnsi="Verdana"/>
          <w:i/>
          <w:sz w:val="20"/>
          <w:szCs w:val="20"/>
          <w:lang w:val="en-US"/>
        </w:rPr>
        <w:t>et al.</w:t>
      </w:r>
      <w:r w:rsidR="00F83E8F" w:rsidRPr="00D869E3">
        <w:rPr>
          <w:rFonts w:ascii="Verdana" w:hAnsi="Verdana"/>
          <w:i/>
          <w:sz w:val="20"/>
          <w:szCs w:val="20"/>
          <w:lang w:val="en-US"/>
        </w:rPr>
        <w:t xml:space="preserve"> </w:t>
      </w:r>
      <w:r w:rsidR="00447C65" w:rsidRPr="00D869E3">
        <w:rPr>
          <w:rFonts w:ascii="Verdana" w:hAnsi="Verdana"/>
          <w:i/>
          <w:sz w:val="20"/>
          <w:szCs w:val="20"/>
          <w:lang w:val="en-US"/>
        </w:rPr>
        <w:t>v.</w:t>
      </w:r>
      <w:r w:rsidR="00F83E8F" w:rsidRPr="00D869E3">
        <w:rPr>
          <w:rFonts w:ascii="Verdana" w:hAnsi="Verdana"/>
          <w:i/>
          <w:sz w:val="20"/>
          <w:szCs w:val="20"/>
          <w:lang w:val="en-US"/>
        </w:rPr>
        <w:t xml:space="preserve"> Colombia</w:t>
      </w:r>
      <w:r w:rsidR="00521B85" w:rsidRPr="00D869E3">
        <w:rPr>
          <w:rFonts w:ascii="Verdana" w:hAnsi="Verdana"/>
          <w:i/>
          <w:sz w:val="20"/>
          <w:szCs w:val="20"/>
          <w:lang w:val="en-US"/>
        </w:rPr>
        <w:t>:</w:t>
      </w:r>
      <w:r w:rsidR="00F83E8F" w:rsidRPr="00D869E3">
        <w:rPr>
          <w:rStyle w:val="Refdenotaalpie"/>
          <w:szCs w:val="20"/>
          <w:lang w:val="en-US"/>
        </w:rPr>
        <w:footnoteReference w:id="305"/>
      </w:r>
      <w:r w:rsidR="00F83E8F" w:rsidRPr="00D869E3">
        <w:rPr>
          <w:rFonts w:ascii="Verdana" w:hAnsi="Verdana"/>
          <w:sz w:val="20"/>
          <w:szCs w:val="20"/>
          <w:lang w:val="en-US"/>
        </w:rPr>
        <w:t xml:space="preserve"> </w:t>
      </w:r>
    </w:p>
    <w:p w14:paraId="3CC30227" w14:textId="77777777" w:rsidR="00F83E8F" w:rsidRPr="00D869E3" w:rsidRDefault="00F83E8F" w:rsidP="00F83E8F">
      <w:pPr>
        <w:widowControl w:val="0"/>
        <w:autoSpaceDE w:val="0"/>
        <w:autoSpaceDN w:val="0"/>
        <w:adjustRightInd w:val="0"/>
        <w:ind w:right="49"/>
        <w:jc w:val="both"/>
        <w:rPr>
          <w:rFonts w:ascii="Verdana" w:hAnsi="Verdana"/>
          <w:sz w:val="20"/>
          <w:szCs w:val="20"/>
          <w:lang w:val="en-US"/>
        </w:rPr>
      </w:pPr>
    </w:p>
    <w:p w14:paraId="20367873" w14:textId="11475C69" w:rsidR="00F83E8F" w:rsidRPr="00D869E3" w:rsidRDefault="00F83E8F" w:rsidP="00323675">
      <w:pPr>
        <w:pStyle w:val="Prrafodelista"/>
        <w:ind w:right="738"/>
        <w:contextualSpacing w:val="0"/>
        <w:jc w:val="both"/>
        <w:rPr>
          <w:rFonts w:ascii="Verdana" w:hAnsi="Verdana"/>
          <w:sz w:val="16"/>
          <w:szCs w:val="16"/>
          <w:lang w:val="en-US"/>
        </w:rPr>
      </w:pPr>
      <w:r w:rsidRPr="00D869E3">
        <w:rPr>
          <w:rFonts w:ascii="Verdana" w:hAnsi="Verdana"/>
          <w:sz w:val="16"/>
          <w:szCs w:val="16"/>
          <w:lang w:val="en-US"/>
        </w:rPr>
        <w:t xml:space="preserve">19. </w:t>
      </w:r>
      <w:r w:rsidRPr="00D869E3">
        <w:rPr>
          <w:rFonts w:ascii="Verdana" w:hAnsi="Verdana"/>
          <w:sz w:val="16"/>
          <w:szCs w:val="16"/>
          <w:lang w:val="en-US"/>
        </w:rPr>
        <w:tab/>
      </w:r>
      <w:r w:rsidR="0053101F" w:rsidRPr="00D869E3">
        <w:rPr>
          <w:rFonts w:ascii="Verdana" w:hAnsi="Verdana"/>
          <w:sz w:val="16"/>
          <w:szCs w:val="16"/>
          <w:lang w:val="en-US"/>
        </w:rPr>
        <w:t xml:space="preserve">A recurring argument to try and deny the </w:t>
      </w:r>
      <w:r w:rsidR="00671B14" w:rsidRPr="00D869E3">
        <w:rPr>
          <w:rFonts w:ascii="Verdana" w:hAnsi="Verdana"/>
          <w:sz w:val="16"/>
          <w:szCs w:val="16"/>
          <w:lang w:val="en-US"/>
        </w:rPr>
        <w:t>Inter-American Court</w:t>
      </w:r>
      <w:r w:rsidR="0053101F" w:rsidRPr="00D869E3">
        <w:rPr>
          <w:rFonts w:ascii="Verdana" w:hAnsi="Verdana"/>
          <w:sz w:val="16"/>
          <w:szCs w:val="16"/>
          <w:lang w:val="en-US"/>
        </w:rPr>
        <w:t xml:space="preserve">’s jurisdiction in relation to the “rights” established in </w:t>
      </w:r>
      <w:r w:rsidR="00447C65" w:rsidRPr="00D869E3">
        <w:rPr>
          <w:rFonts w:ascii="Verdana" w:hAnsi="Verdana"/>
          <w:sz w:val="16"/>
          <w:szCs w:val="16"/>
          <w:lang w:val="en-US"/>
        </w:rPr>
        <w:t>Article</w:t>
      </w:r>
      <w:r w:rsidRPr="00D869E3">
        <w:rPr>
          <w:rFonts w:ascii="Verdana" w:hAnsi="Verdana"/>
          <w:sz w:val="16"/>
          <w:szCs w:val="16"/>
          <w:lang w:val="en-US"/>
        </w:rPr>
        <w:t xml:space="preserve"> 26 </w:t>
      </w:r>
      <w:r w:rsidR="0053101F" w:rsidRPr="00D869E3">
        <w:rPr>
          <w:rFonts w:ascii="Verdana" w:hAnsi="Verdana"/>
          <w:sz w:val="16"/>
          <w:szCs w:val="16"/>
          <w:lang w:val="en-US"/>
        </w:rPr>
        <w:t>is based</w:t>
      </w:r>
      <w:r w:rsidR="00323675" w:rsidRPr="00D869E3">
        <w:rPr>
          <w:rFonts w:ascii="Verdana" w:hAnsi="Verdana"/>
          <w:sz w:val="16"/>
          <w:szCs w:val="16"/>
          <w:lang w:val="en-US"/>
        </w:rPr>
        <w:t xml:space="preserve"> </w:t>
      </w:r>
      <w:r w:rsidR="0053101F" w:rsidRPr="00D869E3">
        <w:rPr>
          <w:rFonts w:ascii="Verdana" w:hAnsi="Verdana"/>
          <w:sz w:val="16"/>
          <w:szCs w:val="16"/>
          <w:lang w:val="en-US"/>
        </w:rPr>
        <w:t>on</w:t>
      </w:r>
      <w:r w:rsidR="009F33F3" w:rsidRPr="00D869E3">
        <w:rPr>
          <w:rFonts w:ascii="Verdana" w:hAnsi="Verdana"/>
          <w:sz w:val="16"/>
          <w:szCs w:val="16"/>
          <w:lang w:val="en-US"/>
        </w:rPr>
        <w:t xml:space="preserve"> an</w:t>
      </w:r>
      <w:r w:rsidR="0053101F" w:rsidRPr="00D869E3">
        <w:rPr>
          <w:rFonts w:ascii="Verdana" w:hAnsi="Verdana"/>
          <w:sz w:val="16"/>
          <w:szCs w:val="16"/>
          <w:lang w:val="en-US"/>
        </w:rPr>
        <w:t xml:space="preserve"> understanding that this article does not </w:t>
      </w:r>
      <w:r w:rsidR="00323675" w:rsidRPr="00D869E3">
        <w:rPr>
          <w:rFonts w:ascii="Verdana" w:hAnsi="Verdana"/>
          <w:sz w:val="16"/>
          <w:szCs w:val="16"/>
          <w:lang w:val="en-US"/>
        </w:rPr>
        <w:t xml:space="preserve">truly </w:t>
      </w:r>
      <w:r w:rsidR="0053101F" w:rsidRPr="00D869E3">
        <w:rPr>
          <w:rFonts w:ascii="Verdana" w:hAnsi="Verdana"/>
          <w:sz w:val="16"/>
          <w:szCs w:val="16"/>
          <w:lang w:val="en-US"/>
        </w:rPr>
        <w:t>establish</w:t>
      </w:r>
      <w:r w:rsidR="00323675" w:rsidRPr="00D869E3">
        <w:rPr>
          <w:rFonts w:ascii="Verdana" w:hAnsi="Verdana"/>
          <w:sz w:val="16"/>
          <w:szCs w:val="16"/>
          <w:lang w:val="en-US"/>
        </w:rPr>
        <w:t xml:space="preserve"> “rights,” but merely the commitment to “progressive development”; in other words, a programmatic objective. I consider that this perspective is limited in light of the protection that the </w:t>
      </w:r>
      <w:r w:rsidR="00671B14" w:rsidRPr="00D869E3">
        <w:rPr>
          <w:rFonts w:ascii="Verdana" w:hAnsi="Verdana"/>
          <w:sz w:val="16"/>
          <w:szCs w:val="16"/>
          <w:lang w:val="en-US"/>
        </w:rPr>
        <w:t>inter-American system</w:t>
      </w:r>
      <w:r w:rsidRPr="00D869E3">
        <w:rPr>
          <w:rFonts w:ascii="Verdana" w:hAnsi="Verdana"/>
          <w:sz w:val="16"/>
          <w:szCs w:val="16"/>
          <w:lang w:val="en-US"/>
        </w:rPr>
        <w:t xml:space="preserve"> </w:t>
      </w:r>
      <w:r w:rsidR="00323675" w:rsidRPr="00D869E3">
        <w:rPr>
          <w:rFonts w:ascii="Verdana" w:hAnsi="Verdana"/>
          <w:sz w:val="16"/>
          <w:szCs w:val="16"/>
          <w:lang w:val="en-US"/>
        </w:rPr>
        <w:t>should provide, and therefore do not share this view for different reasons.</w:t>
      </w:r>
    </w:p>
    <w:p w14:paraId="64B784EE" w14:textId="77777777" w:rsidR="00F83E8F" w:rsidRPr="00D869E3" w:rsidRDefault="00F83E8F" w:rsidP="00F83E8F">
      <w:pPr>
        <w:pStyle w:val="Prrafodelista"/>
        <w:ind w:right="738"/>
        <w:contextualSpacing w:val="0"/>
        <w:jc w:val="both"/>
        <w:rPr>
          <w:rFonts w:ascii="Verdana" w:hAnsi="Verdana"/>
          <w:sz w:val="16"/>
          <w:szCs w:val="16"/>
          <w:lang w:val="en-US"/>
        </w:rPr>
      </w:pPr>
    </w:p>
    <w:p w14:paraId="2872567B" w14:textId="59093FFA" w:rsidR="00323675" w:rsidRPr="00D869E3" w:rsidRDefault="00F83E8F" w:rsidP="00F83E8F">
      <w:pPr>
        <w:pStyle w:val="Prrafodelista"/>
        <w:ind w:right="738"/>
        <w:contextualSpacing w:val="0"/>
        <w:jc w:val="both"/>
        <w:rPr>
          <w:rFonts w:ascii="Verdana" w:hAnsi="Verdana"/>
          <w:sz w:val="16"/>
          <w:szCs w:val="16"/>
          <w:lang w:val="en-US"/>
        </w:rPr>
      </w:pPr>
      <w:r w:rsidRPr="00D869E3">
        <w:rPr>
          <w:rFonts w:ascii="Verdana" w:hAnsi="Verdana"/>
          <w:sz w:val="16"/>
          <w:szCs w:val="16"/>
          <w:lang w:val="en-US"/>
        </w:rPr>
        <w:t xml:space="preserve">20. </w:t>
      </w:r>
      <w:r w:rsidRPr="00D869E3">
        <w:rPr>
          <w:rFonts w:ascii="Verdana" w:hAnsi="Verdana"/>
          <w:sz w:val="16"/>
          <w:szCs w:val="16"/>
          <w:lang w:val="en-US"/>
        </w:rPr>
        <w:tab/>
      </w:r>
      <w:r w:rsidR="00323675" w:rsidRPr="00D869E3">
        <w:rPr>
          <w:rFonts w:ascii="Verdana" w:hAnsi="Verdana"/>
          <w:sz w:val="16"/>
          <w:szCs w:val="16"/>
          <w:lang w:val="en-US"/>
        </w:rPr>
        <w:t xml:space="preserve">First, according to the text </w:t>
      </w:r>
      <w:r w:rsidR="00687684" w:rsidRPr="00D869E3">
        <w:rPr>
          <w:rFonts w:ascii="Verdana" w:hAnsi="Verdana"/>
          <w:sz w:val="16"/>
          <w:szCs w:val="16"/>
          <w:lang w:val="en-US"/>
        </w:rPr>
        <w:t>of Article</w:t>
      </w:r>
      <w:r w:rsidRPr="00D869E3">
        <w:rPr>
          <w:rFonts w:ascii="Verdana" w:hAnsi="Verdana"/>
          <w:sz w:val="16"/>
          <w:szCs w:val="16"/>
          <w:lang w:val="en-US"/>
        </w:rPr>
        <w:t xml:space="preserve"> 26, </w:t>
      </w:r>
      <w:r w:rsidR="00323675" w:rsidRPr="00D869E3">
        <w:rPr>
          <w:rFonts w:ascii="Verdana" w:hAnsi="Verdana"/>
          <w:sz w:val="16"/>
          <w:szCs w:val="16"/>
          <w:lang w:val="en-US"/>
        </w:rPr>
        <w:t xml:space="preserve">the commitment to progressive development refers to “rights,” according to the literal meaning of the </w:t>
      </w:r>
      <w:r w:rsidR="009F33F3" w:rsidRPr="00D869E3">
        <w:rPr>
          <w:rFonts w:ascii="Verdana" w:hAnsi="Verdana"/>
          <w:sz w:val="16"/>
          <w:szCs w:val="16"/>
          <w:lang w:val="en-US"/>
        </w:rPr>
        <w:t>article</w:t>
      </w:r>
      <w:r w:rsidR="00323675" w:rsidRPr="00D869E3">
        <w:rPr>
          <w:rFonts w:ascii="Verdana" w:hAnsi="Verdana"/>
          <w:sz w:val="16"/>
          <w:szCs w:val="16"/>
          <w:lang w:val="en-US"/>
        </w:rPr>
        <w:t>; that is, th</w:t>
      </w:r>
      <w:r w:rsidR="009F33F3" w:rsidRPr="00D869E3">
        <w:rPr>
          <w:rFonts w:ascii="Verdana" w:hAnsi="Verdana"/>
          <w:sz w:val="16"/>
          <w:szCs w:val="16"/>
          <w:lang w:val="en-US"/>
        </w:rPr>
        <w:t>e</w:t>
      </w:r>
      <w:r w:rsidR="00323675" w:rsidRPr="00D869E3">
        <w:rPr>
          <w:rFonts w:ascii="Verdana" w:hAnsi="Verdana"/>
          <w:sz w:val="16"/>
          <w:szCs w:val="16"/>
          <w:lang w:val="en-US"/>
        </w:rPr>
        <w:t xml:space="preserve"> obligation could only be established </w:t>
      </w:r>
      <w:r w:rsidR="009F33F3" w:rsidRPr="00D869E3">
        <w:rPr>
          <w:rFonts w:ascii="Verdana" w:hAnsi="Verdana"/>
          <w:sz w:val="16"/>
          <w:szCs w:val="16"/>
          <w:lang w:val="en-US"/>
        </w:rPr>
        <w:t>in</w:t>
      </w:r>
      <w:r w:rsidR="00323675" w:rsidRPr="00D869E3">
        <w:rPr>
          <w:rFonts w:ascii="Verdana" w:hAnsi="Verdana"/>
          <w:sz w:val="16"/>
          <w:szCs w:val="16"/>
          <w:lang w:val="en-US"/>
        </w:rPr>
        <w:t xml:space="preserve"> relation to “rights,” </w:t>
      </w:r>
      <w:r w:rsidR="00881A39" w:rsidRPr="00D869E3">
        <w:rPr>
          <w:rFonts w:ascii="Verdana" w:hAnsi="Verdana"/>
          <w:sz w:val="16"/>
          <w:szCs w:val="16"/>
          <w:lang w:val="en-US"/>
        </w:rPr>
        <w:t xml:space="preserve">so that it is essential to deduce that the </w:t>
      </w:r>
      <w:r w:rsidR="009F33F3" w:rsidRPr="00D869E3">
        <w:rPr>
          <w:rFonts w:ascii="Verdana" w:hAnsi="Verdana"/>
          <w:sz w:val="16"/>
          <w:szCs w:val="16"/>
          <w:lang w:val="en-US"/>
        </w:rPr>
        <w:t>article</w:t>
      </w:r>
      <w:r w:rsidR="00881A39" w:rsidRPr="00D869E3">
        <w:rPr>
          <w:rFonts w:ascii="Verdana" w:hAnsi="Verdana"/>
          <w:sz w:val="16"/>
          <w:szCs w:val="16"/>
          <w:lang w:val="en-US"/>
        </w:rPr>
        <w:t xml:space="preserve"> refers to </w:t>
      </w:r>
      <w:r w:rsidR="00881A39" w:rsidRPr="00D869E3">
        <w:rPr>
          <w:rFonts w:ascii="Verdana" w:hAnsi="Verdana"/>
          <w:sz w:val="16"/>
          <w:szCs w:val="16"/>
          <w:lang w:val="en-US"/>
        </w:rPr>
        <w:br/>
        <w:t>“rights” and not to mere objectives.</w:t>
      </w:r>
    </w:p>
    <w:p w14:paraId="3CC0E94D" w14:textId="77777777" w:rsidR="00F83E8F" w:rsidRPr="00D869E3" w:rsidRDefault="00F83E8F" w:rsidP="00F83E8F">
      <w:pPr>
        <w:pStyle w:val="Prrafodelista"/>
        <w:ind w:right="738"/>
        <w:contextualSpacing w:val="0"/>
        <w:jc w:val="both"/>
        <w:rPr>
          <w:rFonts w:ascii="Verdana" w:hAnsi="Verdana"/>
          <w:sz w:val="16"/>
          <w:szCs w:val="16"/>
          <w:lang w:val="en-US"/>
        </w:rPr>
      </w:pPr>
    </w:p>
    <w:p w14:paraId="4FC2F195" w14:textId="154D8ED9" w:rsidR="00F83E8F" w:rsidRPr="00D869E3" w:rsidRDefault="00F83E8F" w:rsidP="00F83E8F">
      <w:pPr>
        <w:pStyle w:val="Prrafodelista"/>
        <w:ind w:right="738"/>
        <w:contextualSpacing w:val="0"/>
        <w:jc w:val="both"/>
        <w:rPr>
          <w:rFonts w:ascii="Verdana" w:hAnsi="Verdana"/>
          <w:sz w:val="16"/>
          <w:szCs w:val="16"/>
          <w:lang w:val="en-US"/>
        </w:rPr>
      </w:pPr>
      <w:r w:rsidRPr="00D869E3">
        <w:rPr>
          <w:rFonts w:ascii="Verdana" w:hAnsi="Verdana"/>
          <w:sz w:val="16"/>
          <w:szCs w:val="16"/>
          <w:lang w:val="en-US"/>
        </w:rPr>
        <w:t xml:space="preserve">21. </w:t>
      </w:r>
      <w:r w:rsidRPr="00D869E3">
        <w:rPr>
          <w:rFonts w:ascii="Verdana" w:hAnsi="Verdana"/>
          <w:sz w:val="16"/>
          <w:szCs w:val="16"/>
          <w:lang w:val="en-US"/>
        </w:rPr>
        <w:tab/>
      </w:r>
      <w:r w:rsidR="00881A39" w:rsidRPr="00D869E3">
        <w:rPr>
          <w:rFonts w:ascii="Verdana" w:hAnsi="Verdana"/>
          <w:sz w:val="16"/>
          <w:szCs w:val="16"/>
          <w:lang w:val="en-US"/>
        </w:rPr>
        <w:t>This understanding accords with the provisions of</w:t>
      </w:r>
      <w:r w:rsidRPr="00D869E3">
        <w:rPr>
          <w:rFonts w:ascii="Verdana" w:hAnsi="Verdana"/>
          <w:sz w:val="16"/>
          <w:szCs w:val="16"/>
          <w:lang w:val="en-US"/>
        </w:rPr>
        <w:t xml:space="preserve"> </w:t>
      </w:r>
      <w:r w:rsidR="00447C65" w:rsidRPr="00D869E3">
        <w:rPr>
          <w:rFonts w:ascii="Verdana" w:hAnsi="Verdana"/>
          <w:sz w:val="16"/>
          <w:szCs w:val="16"/>
          <w:lang w:val="en-US"/>
        </w:rPr>
        <w:t xml:space="preserve">the </w:t>
      </w:r>
      <w:r w:rsidR="00075E68" w:rsidRPr="00D869E3">
        <w:rPr>
          <w:rFonts w:ascii="Verdana" w:hAnsi="Verdana"/>
          <w:sz w:val="16"/>
          <w:szCs w:val="16"/>
          <w:lang w:val="en-US"/>
        </w:rPr>
        <w:t>Vienna Convention on the Law of Treaties</w:t>
      </w:r>
      <w:r w:rsidRPr="00D869E3">
        <w:rPr>
          <w:rFonts w:ascii="Verdana" w:hAnsi="Verdana"/>
          <w:sz w:val="16"/>
          <w:szCs w:val="16"/>
          <w:lang w:val="en-US"/>
        </w:rPr>
        <w:t>,</w:t>
      </w:r>
      <w:r w:rsidR="00881A39" w:rsidRPr="00D869E3">
        <w:rPr>
          <w:rFonts w:ascii="Verdana" w:hAnsi="Verdana"/>
          <w:sz w:val="16"/>
          <w:szCs w:val="16"/>
          <w:lang w:val="en-US"/>
        </w:rPr>
        <w:t xml:space="preserve"> which requires that a treaty be interpreted “in good faith in accordance with the ordinary meaning to be given to the terms of the treaty in their context and in the light of its object and purpose.</w:t>
      </w:r>
      <w:r w:rsidR="006436CA" w:rsidRPr="00D869E3">
        <w:rPr>
          <w:rFonts w:ascii="Verdana" w:hAnsi="Verdana"/>
          <w:sz w:val="16"/>
          <w:szCs w:val="16"/>
          <w:lang w:val="en-US"/>
        </w:rPr>
        <w:t>”</w:t>
      </w:r>
      <w:r w:rsidRPr="00D869E3">
        <w:rPr>
          <w:rStyle w:val="Refdenotaalpie"/>
          <w:sz w:val="16"/>
          <w:szCs w:val="16"/>
          <w:lang w:val="en-US"/>
        </w:rPr>
        <w:footnoteReference w:id="306"/>
      </w:r>
      <w:r w:rsidRPr="00D869E3">
        <w:rPr>
          <w:rFonts w:ascii="Verdana" w:hAnsi="Verdana"/>
          <w:sz w:val="16"/>
          <w:szCs w:val="16"/>
          <w:lang w:val="en-US"/>
        </w:rPr>
        <w:t xml:space="preserve"> </w:t>
      </w:r>
      <w:r w:rsidR="00881A39" w:rsidRPr="00D869E3">
        <w:rPr>
          <w:rFonts w:ascii="Verdana" w:hAnsi="Verdana"/>
          <w:sz w:val="16"/>
          <w:szCs w:val="16"/>
          <w:lang w:val="en-US"/>
        </w:rPr>
        <w:t>Thus, it is evident that an understanding in good faith of the word</w:t>
      </w:r>
      <w:r w:rsidRPr="00D869E3">
        <w:rPr>
          <w:rFonts w:ascii="Verdana" w:hAnsi="Verdana"/>
          <w:sz w:val="16"/>
          <w:szCs w:val="16"/>
          <w:lang w:val="en-US"/>
        </w:rPr>
        <w:t xml:space="preserve"> </w:t>
      </w:r>
      <w:r w:rsidR="006436CA" w:rsidRPr="00D869E3">
        <w:rPr>
          <w:rFonts w:ascii="Verdana" w:hAnsi="Verdana"/>
          <w:sz w:val="16"/>
          <w:szCs w:val="16"/>
          <w:lang w:val="en-US"/>
        </w:rPr>
        <w:t>“</w:t>
      </w:r>
      <w:r w:rsidR="00881A39" w:rsidRPr="00D869E3">
        <w:rPr>
          <w:rFonts w:ascii="Verdana" w:hAnsi="Verdana"/>
          <w:sz w:val="16"/>
          <w:szCs w:val="16"/>
          <w:lang w:val="en-US"/>
        </w:rPr>
        <w:t>rights</w:t>
      </w:r>
      <w:r w:rsidR="006436CA" w:rsidRPr="00D869E3">
        <w:rPr>
          <w:rFonts w:ascii="Verdana" w:hAnsi="Verdana"/>
          <w:sz w:val="16"/>
          <w:szCs w:val="16"/>
          <w:lang w:val="en-US"/>
        </w:rPr>
        <w:t>”</w:t>
      </w:r>
      <w:r w:rsidRPr="00D869E3">
        <w:rPr>
          <w:rFonts w:ascii="Verdana" w:hAnsi="Verdana"/>
          <w:sz w:val="16"/>
          <w:szCs w:val="16"/>
          <w:lang w:val="en-US"/>
        </w:rPr>
        <w:t xml:space="preserve"> inclu</w:t>
      </w:r>
      <w:r w:rsidR="00881A39" w:rsidRPr="00D869E3">
        <w:rPr>
          <w:rFonts w:ascii="Verdana" w:hAnsi="Verdana"/>
          <w:sz w:val="16"/>
          <w:szCs w:val="16"/>
          <w:lang w:val="en-US"/>
        </w:rPr>
        <w:t xml:space="preserve">ded in the said </w:t>
      </w:r>
      <w:r w:rsidR="00447C65" w:rsidRPr="00D869E3">
        <w:rPr>
          <w:rFonts w:ascii="Verdana" w:hAnsi="Verdana"/>
          <w:sz w:val="16"/>
          <w:szCs w:val="16"/>
          <w:lang w:val="en-US"/>
        </w:rPr>
        <w:t>Article</w:t>
      </w:r>
      <w:r w:rsidRPr="00D869E3">
        <w:rPr>
          <w:rFonts w:ascii="Verdana" w:hAnsi="Verdana"/>
          <w:sz w:val="16"/>
          <w:szCs w:val="16"/>
          <w:lang w:val="en-US"/>
        </w:rPr>
        <w:t xml:space="preserve"> 26, </w:t>
      </w:r>
      <w:r w:rsidR="00881A39" w:rsidRPr="00D869E3">
        <w:rPr>
          <w:rFonts w:ascii="Verdana" w:hAnsi="Verdana"/>
          <w:sz w:val="16"/>
          <w:szCs w:val="16"/>
          <w:lang w:val="en-US"/>
        </w:rPr>
        <w:t>that is</w:t>
      </w:r>
      <w:r w:rsidRPr="00D869E3">
        <w:rPr>
          <w:rFonts w:ascii="Verdana" w:hAnsi="Verdana"/>
          <w:sz w:val="16"/>
          <w:szCs w:val="16"/>
          <w:lang w:val="en-US"/>
        </w:rPr>
        <w:t xml:space="preserve"> </w:t>
      </w:r>
      <w:r w:rsidR="006436CA" w:rsidRPr="00D869E3">
        <w:rPr>
          <w:rFonts w:ascii="Verdana" w:hAnsi="Verdana"/>
          <w:sz w:val="16"/>
          <w:szCs w:val="16"/>
          <w:lang w:val="en-US"/>
        </w:rPr>
        <w:t>“</w:t>
      </w:r>
      <w:r w:rsidR="00881A39" w:rsidRPr="00D869E3">
        <w:rPr>
          <w:rFonts w:ascii="Verdana" w:hAnsi="Verdana"/>
          <w:sz w:val="16"/>
          <w:szCs w:val="16"/>
          <w:lang w:val="en-US"/>
        </w:rPr>
        <w:t>in accordance with the ordinary meaning</w:t>
      </w:r>
      <w:r w:rsidR="006436CA" w:rsidRPr="00D869E3">
        <w:rPr>
          <w:rFonts w:ascii="Verdana" w:hAnsi="Verdana"/>
          <w:sz w:val="16"/>
          <w:szCs w:val="16"/>
          <w:lang w:val="en-US"/>
        </w:rPr>
        <w:t>”</w:t>
      </w:r>
      <w:r w:rsidRPr="00D869E3">
        <w:rPr>
          <w:rFonts w:ascii="Verdana" w:hAnsi="Verdana"/>
          <w:sz w:val="16"/>
          <w:szCs w:val="16"/>
          <w:lang w:val="en-US"/>
        </w:rPr>
        <w:t xml:space="preserve"> </w:t>
      </w:r>
      <w:r w:rsidR="00881A39" w:rsidRPr="00D869E3">
        <w:rPr>
          <w:rFonts w:ascii="Verdana" w:hAnsi="Verdana"/>
          <w:sz w:val="16"/>
          <w:szCs w:val="16"/>
          <w:lang w:val="en-US"/>
        </w:rPr>
        <w:t xml:space="preserve">of the term, indicates that it refers </w:t>
      </w:r>
      <w:r w:rsidR="00881A39" w:rsidRPr="00D869E3">
        <w:rPr>
          <w:rFonts w:ascii="Verdana" w:hAnsi="Verdana"/>
          <w:sz w:val="16"/>
          <w:szCs w:val="16"/>
          <w:lang w:val="en-US"/>
        </w:rPr>
        <w:lastRenderedPageBreak/>
        <w:t>to actual</w:t>
      </w:r>
      <w:r w:rsidRPr="00D869E3">
        <w:rPr>
          <w:rFonts w:ascii="Verdana" w:hAnsi="Verdana"/>
          <w:sz w:val="16"/>
          <w:szCs w:val="16"/>
          <w:lang w:val="en-US"/>
        </w:rPr>
        <w:t xml:space="preserve"> </w:t>
      </w:r>
      <w:r w:rsidR="006436CA" w:rsidRPr="00D869E3">
        <w:rPr>
          <w:rFonts w:ascii="Verdana" w:hAnsi="Verdana"/>
          <w:sz w:val="16"/>
          <w:szCs w:val="16"/>
          <w:lang w:val="en-US"/>
        </w:rPr>
        <w:t>“</w:t>
      </w:r>
      <w:r w:rsidR="00881A39" w:rsidRPr="00D869E3">
        <w:rPr>
          <w:rFonts w:ascii="Verdana" w:hAnsi="Verdana"/>
          <w:sz w:val="16"/>
          <w:szCs w:val="16"/>
          <w:lang w:val="en-US"/>
        </w:rPr>
        <w:t>rights,</w:t>
      </w:r>
      <w:r w:rsidR="006436CA" w:rsidRPr="00D869E3">
        <w:rPr>
          <w:rFonts w:ascii="Verdana" w:hAnsi="Verdana"/>
          <w:sz w:val="16"/>
          <w:szCs w:val="16"/>
          <w:lang w:val="en-US"/>
        </w:rPr>
        <w:t>”</w:t>
      </w:r>
      <w:r w:rsidRPr="00D869E3">
        <w:rPr>
          <w:rFonts w:ascii="Verdana" w:hAnsi="Verdana"/>
          <w:sz w:val="16"/>
          <w:szCs w:val="16"/>
          <w:lang w:val="en-US"/>
        </w:rPr>
        <w:t xml:space="preserve"> </w:t>
      </w:r>
      <w:r w:rsidR="00881A39" w:rsidRPr="00D869E3">
        <w:rPr>
          <w:rFonts w:ascii="Verdana" w:hAnsi="Verdana"/>
          <w:sz w:val="16"/>
          <w:szCs w:val="16"/>
          <w:lang w:val="en-US"/>
        </w:rPr>
        <w:t>of the same nature a</w:t>
      </w:r>
      <w:r w:rsidR="00847D0C" w:rsidRPr="00D869E3">
        <w:rPr>
          <w:rFonts w:ascii="Verdana" w:hAnsi="Verdana"/>
          <w:sz w:val="16"/>
          <w:szCs w:val="16"/>
          <w:lang w:val="en-US"/>
        </w:rPr>
        <w:t>s</w:t>
      </w:r>
      <w:r w:rsidR="00881A39" w:rsidRPr="00D869E3">
        <w:rPr>
          <w:rFonts w:ascii="Verdana" w:hAnsi="Verdana"/>
          <w:sz w:val="16"/>
          <w:szCs w:val="16"/>
          <w:lang w:val="en-US"/>
        </w:rPr>
        <w:t xml:space="preserve"> the </w:t>
      </w:r>
      <w:r w:rsidR="00847D0C" w:rsidRPr="00D869E3">
        <w:rPr>
          <w:rFonts w:ascii="Verdana" w:hAnsi="Verdana"/>
          <w:sz w:val="16"/>
          <w:szCs w:val="16"/>
          <w:lang w:val="en-US"/>
        </w:rPr>
        <w:t>other</w:t>
      </w:r>
      <w:r w:rsidR="00881A39" w:rsidRPr="00D869E3">
        <w:rPr>
          <w:rFonts w:ascii="Verdana" w:hAnsi="Verdana"/>
          <w:sz w:val="16"/>
          <w:szCs w:val="16"/>
          <w:lang w:val="en-US"/>
        </w:rPr>
        <w:t xml:space="preserve"> </w:t>
      </w:r>
      <w:r w:rsidR="006436CA" w:rsidRPr="00D869E3">
        <w:rPr>
          <w:rFonts w:ascii="Verdana" w:hAnsi="Verdana"/>
          <w:sz w:val="16"/>
          <w:szCs w:val="16"/>
          <w:lang w:val="en-US"/>
        </w:rPr>
        <w:t>“</w:t>
      </w:r>
      <w:r w:rsidR="00881A39" w:rsidRPr="00D869E3">
        <w:rPr>
          <w:rFonts w:ascii="Verdana" w:hAnsi="Verdana"/>
          <w:sz w:val="16"/>
          <w:szCs w:val="16"/>
          <w:lang w:val="en-US"/>
        </w:rPr>
        <w:t>rights” mentioned in</w:t>
      </w:r>
      <w:r w:rsidRPr="00D869E3">
        <w:rPr>
          <w:rFonts w:ascii="Verdana" w:hAnsi="Verdana"/>
          <w:sz w:val="16"/>
          <w:szCs w:val="16"/>
          <w:lang w:val="en-US"/>
        </w:rPr>
        <w:t xml:space="preserve"> </w:t>
      </w:r>
      <w:r w:rsidR="00447C65" w:rsidRPr="00D869E3">
        <w:rPr>
          <w:rFonts w:ascii="Verdana" w:hAnsi="Verdana"/>
          <w:sz w:val="16"/>
          <w:szCs w:val="16"/>
          <w:lang w:val="en-US"/>
        </w:rPr>
        <w:t>the American Convention</w:t>
      </w:r>
      <w:r w:rsidRPr="00D869E3">
        <w:rPr>
          <w:rFonts w:ascii="Verdana" w:hAnsi="Verdana"/>
          <w:sz w:val="16"/>
          <w:szCs w:val="16"/>
          <w:lang w:val="en-US"/>
        </w:rPr>
        <w:t xml:space="preserve">. </w:t>
      </w:r>
      <w:r w:rsidR="00881A39" w:rsidRPr="00D869E3">
        <w:rPr>
          <w:rFonts w:ascii="Verdana" w:hAnsi="Verdana"/>
          <w:sz w:val="16"/>
          <w:szCs w:val="16"/>
          <w:lang w:val="en-US"/>
        </w:rPr>
        <w:t xml:space="preserve">This is corroborated when noting that </w:t>
      </w:r>
      <w:r w:rsidR="00447C65" w:rsidRPr="00D869E3">
        <w:rPr>
          <w:rFonts w:ascii="Verdana" w:hAnsi="Verdana"/>
          <w:sz w:val="16"/>
          <w:szCs w:val="16"/>
          <w:lang w:val="en-US"/>
        </w:rPr>
        <w:t>Article</w:t>
      </w:r>
      <w:r w:rsidRPr="00D869E3">
        <w:rPr>
          <w:rFonts w:ascii="Verdana" w:hAnsi="Verdana"/>
          <w:sz w:val="16"/>
          <w:szCs w:val="16"/>
          <w:lang w:val="en-US"/>
        </w:rPr>
        <w:t xml:space="preserve"> 26 </w:t>
      </w:r>
      <w:r w:rsidR="00881A39" w:rsidRPr="00D869E3">
        <w:rPr>
          <w:rFonts w:ascii="Verdana" w:hAnsi="Verdana"/>
          <w:sz w:val="16"/>
          <w:szCs w:val="16"/>
          <w:lang w:val="en-US"/>
        </w:rPr>
        <w:t>is the only</w:t>
      </w:r>
      <w:r w:rsidRPr="00D869E3">
        <w:rPr>
          <w:rFonts w:ascii="Verdana" w:hAnsi="Verdana"/>
          <w:sz w:val="16"/>
          <w:szCs w:val="16"/>
          <w:lang w:val="en-US"/>
        </w:rPr>
        <w:t xml:space="preserve"> </w:t>
      </w:r>
      <w:r w:rsidR="00881A39" w:rsidRPr="00D869E3">
        <w:rPr>
          <w:rFonts w:ascii="Verdana" w:hAnsi="Verdana"/>
          <w:sz w:val="16"/>
          <w:szCs w:val="16"/>
          <w:lang w:val="en-US"/>
        </w:rPr>
        <w:t>a</w:t>
      </w:r>
      <w:r w:rsidR="00447C65" w:rsidRPr="00D869E3">
        <w:rPr>
          <w:rFonts w:ascii="Verdana" w:hAnsi="Verdana"/>
          <w:sz w:val="16"/>
          <w:szCs w:val="16"/>
          <w:lang w:val="en-US"/>
        </w:rPr>
        <w:t>rticle</w:t>
      </w:r>
      <w:r w:rsidR="00881A39" w:rsidRPr="00D869E3">
        <w:rPr>
          <w:rFonts w:ascii="Verdana" w:hAnsi="Verdana"/>
          <w:sz w:val="16"/>
          <w:szCs w:val="16"/>
          <w:lang w:val="en-US"/>
        </w:rPr>
        <w:t xml:space="preserve"> of</w:t>
      </w:r>
      <w:r w:rsidRPr="00D869E3">
        <w:rPr>
          <w:rFonts w:ascii="Verdana" w:hAnsi="Verdana"/>
          <w:sz w:val="16"/>
          <w:szCs w:val="16"/>
          <w:lang w:val="en-US"/>
        </w:rPr>
        <w:t xml:space="preserve"> </w:t>
      </w:r>
      <w:r w:rsidR="00CC766D" w:rsidRPr="00D869E3">
        <w:rPr>
          <w:rFonts w:ascii="Verdana" w:hAnsi="Verdana"/>
          <w:sz w:val="16"/>
          <w:szCs w:val="16"/>
          <w:lang w:val="en-US"/>
        </w:rPr>
        <w:t>Chapter</w:t>
      </w:r>
      <w:r w:rsidRPr="00D869E3">
        <w:rPr>
          <w:rFonts w:ascii="Verdana" w:hAnsi="Verdana"/>
          <w:sz w:val="16"/>
          <w:szCs w:val="16"/>
          <w:lang w:val="en-US"/>
        </w:rPr>
        <w:t xml:space="preserve"> III </w:t>
      </w:r>
      <w:r w:rsidR="00881A39" w:rsidRPr="00D869E3">
        <w:rPr>
          <w:rFonts w:ascii="Verdana" w:hAnsi="Verdana"/>
          <w:sz w:val="16"/>
          <w:szCs w:val="16"/>
          <w:lang w:val="en-US"/>
        </w:rPr>
        <w:t>entitled</w:t>
      </w:r>
      <w:r w:rsidRPr="00D869E3">
        <w:rPr>
          <w:rFonts w:ascii="Verdana" w:hAnsi="Verdana"/>
          <w:sz w:val="16"/>
          <w:szCs w:val="16"/>
          <w:lang w:val="en-US"/>
        </w:rPr>
        <w:t xml:space="preserve"> </w:t>
      </w:r>
      <w:r w:rsidR="006436CA" w:rsidRPr="00D869E3">
        <w:rPr>
          <w:rFonts w:ascii="Verdana" w:hAnsi="Verdana"/>
          <w:sz w:val="16"/>
          <w:szCs w:val="16"/>
          <w:lang w:val="en-US"/>
        </w:rPr>
        <w:t>“</w:t>
      </w:r>
      <w:r w:rsidR="00881A39" w:rsidRPr="00D869E3">
        <w:rPr>
          <w:rFonts w:ascii="Verdana" w:hAnsi="Verdana"/>
          <w:sz w:val="16"/>
          <w:szCs w:val="16"/>
          <w:lang w:val="en-US"/>
        </w:rPr>
        <w:t xml:space="preserve">Economic, Social and Cultural </w:t>
      </w:r>
      <w:r w:rsidR="00881A39" w:rsidRPr="00D869E3">
        <w:rPr>
          <w:rFonts w:ascii="Verdana" w:hAnsi="Verdana"/>
          <w:sz w:val="16"/>
          <w:szCs w:val="16"/>
          <w:u w:val="single"/>
          <w:lang w:val="en-US"/>
        </w:rPr>
        <w:t>Rights</w:t>
      </w:r>
      <w:r w:rsidR="00881A39" w:rsidRPr="00D869E3">
        <w:rPr>
          <w:rFonts w:ascii="Verdana" w:hAnsi="Verdana"/>
          <w:sz w:val="16"/>
          <w:szCs w:val="16"/>
          <w:lang w:val="en-US"/>
        </w:rPr>
        <w:t>.</w:t>
      </w:r>
      <w:r w:rsidR="006436CA" w:rsidRPr="00D869E3">
        <w:rPr>
          <w:rFonts w:ascii="Verdana" w:hAnsi="Verdana"/>
          <w:sz w:val="16"/>
          <w:szCs w:val="16"/>
          <w:lang w:val="en-US"/>
        </w:rPr>
        <w:t>”</w:t>
      </w:r>
      <w:r w:rsidRPr="00D869E3">
        <w:rPr>
          <w:rFonts w:ascii="Verdana" w:hAnsi="Verdana"/>
          <w:sz w:val="16"/>
          <w:szCs w:val="16"/>
          <w:lang w:val="en-US"/>
        </w:rPr>
        <w:t xml:space="preserve"> T</w:t>
      </w:r>
      <w:r w:rsidR="00881A39" w:rsidRPr="00D869E3">
        <w:rPr>
          <w:rFonts w:ascii="Verdana" w:hAnsi="Verdana"/>
          <w:sz w:val="16"/>
          <w:szCs w:val="16"/>
          <w:lang w:val="en-US"/>
        </w:rPr>
        <w:t>his understanding is in keeping with the object and purpose of the treaty, which is the protection of human rights.</w:t>
      </w:r>
    </w:p>
    <w:p w14:paraId="04BACD54" w14:textId="77777777" w:rsidR="00F83E8F" w:rsidRPr="00D869E3" w:rsidRDefault="00F83E8F" w:rsidP="00F83E8F">
      <w:pPr>
        <w:pStyle w:val="Estilo4"/>
        <w:numPr>
          <w:ilvl w:val="0"/>
          <w:numId w:val="0"/>
        </w:numPr>
        <w:spacing w:after="0"/>
        <w:ind w:left="720" w:right="738"/>
        <w:rPr>
          <w:sz w:val="16"/>
          <w:szCs w:val="16"/>
          <w:lang w:val="en-US"/>
        </w:rPr>
      </w:pPr>
    </w:p>
    <w:p w14:paraId="0D63CE16" w14:textId="55E4CDD2" w:rsidR="00F83E8F" w:rsidRPr="00D869E3" w:rsidRDefault="00F83E8F" w:rsidP="00F83E8F">
      <w:pPr>
        <w:pStyle w:val="Estilo4"/>
        <w:numPr>
          <w:ilvl w:val="0"/>
          <w:numId w:val="0"/>
        </w:numPr>
        <w:spacing w:after="0"/>
        <w:ind w:left="720" w:right="738"/>
        <w:rPr>
          <w:sz w:val="16"/>
          <w:szCs w:val="16"/>
          <w:lang w:val="en-US"/>
        </w:rPr>
      </w:pPr>
      <w:r w:rsidRPr="00D869E3">
        <w:rPr>
          <w:sz w:val="16"/>
          <w:szCs w:val="16"/>
          <w:lang w:val="en-US"/>
        </w:rPr>
        <w:t xml:space="preserve">22. </w:t>
      </w:r>
      <w:r w:rsidRPr="00D869E3">
        <w:rPr>
          <w:sz w:val="16"/>
          <w:szCs w:val="16"/>
          <w:lang w:val="en-US"/>
        </w:rPr>
        <w:tab/>
      </w:r>
      <w:r w:rsidR="00881A39" w:rsidRPr="00D869E3">
        <w:rPr>
          <w:sz w:val="16"/>
          <w:szCs w:val="16"/>
          <w:lang w:val="en-US"/>
        </w:rPr>
        <w:t>Thus</w:t>
      </w:r>
      <w:r w:rsidRPr="00D869E3">
        <w:rPr>
          <w:sz w:val="16"/>
          <w:szCs w:val="16"/>
          <w:lang w:val="en-US"/>
        </w:rPr>
        <w:t xml:space="preserve">, </w:t>
      </w:r>
      <w:r w:rsidR="00447C65" w:rsidRPr="00D869E3">
        <w:rPr>
          <w:sz w:val="16"/>
          <w:szCs w:val="16"/>
          <w:lang w:val="en-US"/>
        </w:rPr>
        <w:t>Article</w:t>
      </w:r>
      <w:r w:rsidRPr="00D869E3">
        <w:rPr>
          <w:sz w:val="16"/>
          <w:szCs w:val="16"/>
          <w:lang w:val="en-US"/>
        </w:rPr>
        <w:t xml:space="preserve"> 26 </w:t>
      </w:r>
      <w:r w:rsidR="00881A39" w:rsidRPr="00D869E3">
        <w:rPr>
          <w:sz w:val="16"/>
          <w:szCs w:val="16"/>
          <w:lang w:val="en-US"/>
        </w:rPr>
        <w:t xml:space="preserve">is not merely a programmatic norm for the States Parties to </w:t>
      </w:r>
      <w:r w:rsidR="00447C65" w:rsidRPr="00D869E3">
        <w:rPr>
          <w:sz w:val="16"/>
          <w:szCs w:val="16"/>
          <w:lang w:val="en-US"/>
        </w:rPr>
        <w:t>the American Convention</w:t>
      </w:r>
      <w:r w:rsidR="00881A39" w:rsidRPr="00D869E3">
        <w:rPr>
          <w:sz w:val="16"/>
          <w:szCs w:val="16"/>
          <w:lang w:val="en-US"/>
        </w:rPr>
        <w:t xml:space="preserve">; rather it is a provision that imposes on </w:t>
      </w:r>
      <w:r w:rsidR="00671B14" w:rsidRPr="00D869E3">
        <w:rPr>
          <w:sz w:val="16"/>
          <w:szCs w:val="16"/>
          <w:lang w:val="en-US"/>
        </w:rPr>
        <w:t>the Inter-American</w:t>
      </w:r>
      <w:r w:rsidR="00847D0C" w:rsidRPr="00D869E3">
        <w:rPr>
          <w:sz w:val="16"/>
          <w:szCs w:val="16"/>
          <w:lang w:val="en-US"/>
        </w:rPr>
        <w:t xml:space="preserve"> Court</w:t>
      </w:r>
      <w:r w:rsidR="00881A39" w:rsidRPr="00D869E3">
        <w:rPr>
          <w:sz w:val="16"/>
          <w:szCs w:val="16"/>
          <w:lang w:val="en-US"/>
        </w:rPr>
        <w:t xml:space="preserve"> the duty to derive rights</w:t>
      </w:r>
      <w:r w:rsidRPr="00D869E3">
        <w:rPr>
          <w:sz w:val="16"/>
          <w:szCs w:val="16"/>
          <w:lang w:val="en-US"/>
        </w:rPr>
        <w:t xml:space="preserve"> </w:t>
      </w:r>
      <w:r w:rsidR="00881A39" w:rsidRPr="00D869E3">
        <w:rPr>
          <w:sz w:val="16"/>
          <w:szCs w:val="16"/>
          <w:lang w:val="en-US"/>
        </w:rPr>
        <w:t xml:space="preserve">from the </w:t>
      </w:r>
      <w:r w:rsidR="00847D0C" w:rsidRPr="00D869E3">
        <w:rPr>
          <w:sz w:val="16"/>
          <w:szCs w:val="16"/>
          <w:lang w:val="en-US"/>
        </w:rPr>
        <w:t>articles of</w:t>
      </w:r>
      <w:r w:rsidR="00881A39" w:rsidRPr="00D869E3">
        <w:rPr>
          <w:sz w:val="16"/>
          <w:szCs w:val="16"/>
          <w:lang w:val="en-US"/>
        </w:rPr>
        <w:t xml:space="preserve"> </w:t>
      </w:r>
      <w:r w:rsidR="00197983" w:rsidRPr="00D869E3">
        <w:rPr>
          <w:sz w:val="16"/>
          <w:szCs w:val="16"/>
          <w:lang w:val="en-US"/>
        </w:rPr>
        <w:t>the OAS Charter</w:t>
      </w:r>
      <w:r w:rsidRPr="00D869E3">
        <w:rPr>
          <w:sz w:val="16"/>
          <w:szCs w:val="16"/>
          <w:lang w:val="en-US"/>
        </w:rPr>
        <w:t xml:space="preserve">, </w:t>
      </w:r>
      <w:r w:rsidR="00881A39" w:rsidRPr="00D869E3">
        <w:rPr>
          <w:sz w:val="16"/>
          <w:szCs w:val="16"/>
          <w:lang w:val="en-US"/>
        </w:rPr>
        <w:t>which in this specific case contain rights</w:t>
      </w:r>
      <w:r w:rsidRPr="00D869E3">
        <w:rPr>
          <w:sz w:val="16"/>
          <w:szCs w:val="16"/>
          <w:lang w:val="en-US"/>
        </w:rPr>
        <w:t xml:space="preserve"> </w:t>
      </w:r>
      <w:r w:rsidR="00881A39" w:rsidRPr="00D869E3">
        <w:rPr>
          <w:sz w:val="16"/>
          <w:szCs w:val="16"/>
          <w:lang w:val="en-US"/>
        </w:rPr>
        <w:t>of an economic, social or cultural nature and not mere objectives</w:t>
      </w:r>
      <w:r w:rsidRPr="00D869E3">
        <w:rPr>
          <w:sz w:val="16"/>
          <w:szCs w:val="16"/>
          <w:lang w:val="en-US"/>
        </w:rPr>
        <w:t>. […].</w:t>
      </w:r>
    </w:p>
    <w:p w14:paraId="48E5C8CE" w14:textId="77777777" w:rsidR="00F83E8F" w:rsidRPr="00D869E3" w:rsidRDefault="00F83E8F" w:rsidP="00F83E8F">
      <w:pPr>
        <w:pStyle w:val="Estilo4"/>
        <w:numPr>
          <w:ilvl w:val="0"/>
          <w:numId w:val="0"/>
        </w:numPr>
        <w:spacing w:after="0"/>
        <w:ind w:left="720" w:right="738"/>
        <w:rPr>
          <w:sz w:val="16"/>
          <w:szCs w:val="16"/>
          <w:lang w:val="en-US"/>
        </w:rPr>
      </w:pPr>
    </w:p>
    <w:p w14:paraId="6D1D12EB" w14:textId="199904FF" w:rsidR="00A9671E" w:rsidRPr="00D869E3" w:rsidRDefault="00F83E8F" w:rsidP="00A9671E">
      <w:pPr>
        <w:pStyle w:val="Estilo4"/>
        <w:numPr>
          <w:ilvl w:val="0"/>
          <w:numId w:val="0"/>
        </w:numPr>
        <w:spacing w:after="0"/>
        <w:ind w:left="720" w:right="738"/>
        <w:rPr>
          <w:sz w:val="16"/>
          <w:szCs w:val="16"/>
          <w:lang w:val="en-US"/>
        </w:rPr>
      </w:pPr>
      <w:r w:rsidRPr="00D869E3">
        <w:rPr>
          <w:sz w:val="16"/>
          <w:szCs w:val="16"/>
          <w:lang w:val="en-US"/>
        </w:rPr>
        <w:t xml:space="preserve">23. </w:t>
      </w:r>
      <w:r w:rsidRPr="00D869E3">
        <w:rPr>
          <w:sz w:val="16"/>
          <w:szCs w:val="16"/>
          <w:lang w:val="en-US"/>
        </w:rPr>
        <w:tab/>
      </w:r>
      <w:r w:rsidR="00DB128C" w:rsidRPr="00D869E3">
        <w:rPr>
          <w:sz w:val="16"/>
          <w:szCs w:val="16"/>
          <w:lang w:val="en-US"/>
        </w:rPr>
        <w:t>Second</w:t>
      </w:r>
      <w:r w:rsidRPr="00D869E3">
        <w:rPr>
          <w:sz w:val="16"/>
          <w:szCs w:val="16"/>
          <w:lang w:val="en-US"/>
        </w:rPr>
        <w:t>,</w:t>
      </w:r>
      <w:r w:rsidR="00687684" w:rsidRPr="00D869E3">
        <w:rPr>
          <w:sz w:val="16"/>
          <w:szCs w:val="16"/>
          <w:lang w:val="en-US"/>
        </w:rPr>
        <w:t xml:space="preserve"> and </w:t>
      </w:r>
      <w:r w:rsidR="00881A39" w:rsidRPr="00D869E3">
        <w:rPr>
          <w:sz w:val="16"/>
          <w:szCs w:val="16"/>
          <w:lang w:val="en-US"/>
        </w:rPr>
        <w:t xml:space="preserve">continuing the preceding argument, it cannot be overlooked that </w:t>
      </w:r>
      <w:r w:rsidR="00447C65" w:rsidRPr="00D869E3">
        <w:rPr>
          <w:sz w:val="16"/>
          <w:szCs w:val="16"/>
          <w:lang w:val="en-US"/>
        </w:rPr>
        <w:t>Article</w:t>
      </w:r>
      <w:r w:rsidRPr="00D869E3">
        <w:rPr>
          <w:sz w:val="16"/>
          <w:szCs w:val="16"/>
          <w:lang w:val="en-US"/>
        </w:rPr>
        <w:t xml:space="preserve"> 26</w:t>
      </w:r>
      <w:r w:rsidR="00447C65" w:rsidRPr="00D869E3">
        <w:rPr>
          <w:sz w:val="16"/>
          <w:szCs w:val="16"/>
          <w:lang w:val="en-US"/>
        </w:rPr>
        <w:t xml:space="preserve"> of the American Convention</w:t>
      </w:r>
      <w:r w:rsidRPr="00D869E3">
        <w:rPr>
          <w:sz w:val="16"/>
          <w:szCs w:val="16"/>
          <w:lang w:val="en-US"/>
        </w:rPr>
        <w:t xml:space="preserve"> expres</w:t>
      </w:r>
      <w:r w:rsidR="00881A39" w:rsidRPr="00D869E3">
        <w:rPr>
          <w:sz w:val="16"/>
          <w:szCs w:val="16"/>
          <w:lang w:val="en-US"/>
        </w:rPr>
        <w:t xml:space="preserve">sly indicates that the </w:t>
      </w:r>
      <w:r w:rsidR="00A9671E" w:rsidRPr="00D869E3">
        <w:rPr>
          <w:sz w:val="16"/>
          <w:szCs w:val="16"/>
          <w:lang w:val="en-US"/>
        </w:rPr>
        <w:t xml:space="preserve">rights are derived from the pertinent </w:t>
      </w:r>
      <w:r w:rsidR="00194946" w:rsidRPr="00D869E3">
        <w:rPr>
          <w:sz w:val="16"/>
          <w:szCs w:val="16"/>
          <w:lang w:val="en-US"/>
        </w:rPr>
        <w:t>articles</w:t>
      </w:r>
      <w:r w:rsidR="00A9671E" w:rsidRPr="00D869E3">
        <w:rPr>
          <w:sz w:val="16"/>
          <w:szCs w:val="16"/>
          <w:lang w:val="en-US"/>
        </w:rPr>
        <w:t xml:space="preserve"> </w:t>
      </w:r>
      <w:r w:rsidR="00197983" w:rsidRPr="00D869E3">
        <w:rPr>
          <w:sz w:val="16"/>
          <w:szCs w:val="16"/>
          <w:lang w:val="en-US"/>
        </w:rPr>
        <w:t>of the OAS Charter</w:t>
      </w:r>
      <w:r w:rsidR="00A9671E" w:rsidRPr="00D869E3">
        <w:rPr>
          <w:sz w:val="16"/>
          <w:szCs w:val="16"/>
          <w:lang w:val="en-US"/>
        </w:rPr>
        <w:t>.</w:t>
      </w:r>
      <w:r w:rsidRPr="00D869E3">
        <w:rPr>
          <w:rStyle w:val="Refdenotaalpie"/>
          <w:rFonts w:eastAsiaTheme="majorEastAsia"/>
          <w:sz w:val="16"/>
          <w:szCs w:val="16"/>
          <w:lang w:val="en-US"/>
        </w:rPr>
        <w:footnoteReference w:id="307"/>
      </w:r>
      <w:r w:rsidRPr="00D869E3">
        <w:rPr>
          <w:sz w:val="16"/>
          <w:szCs w:val="16"/>
          <w:lang w:val="en-US"/>
        </w:rPr>
        <w:t xml:space="preserve"> </w:t>
      </w:r>
      <w:r w:rsidR="00A9671E" w:rsidRPr="00D869E3">
        <w:rPr>
          <w:sz w:val="16"/>
          <w:szCs w:val="16"/>
          <w:lang w:val="en-US"/>
        </w:rPr>
        <w:t>The literal meaning is clear:</w:t>
      </w:r>
      <w:r w:rsidRPr="00D869E3">
        <w:rPr>
          <w:rStyle w:val="Refdenotaalpie"/>
          <w:rFonts w:eastAsiaTheme="majorEastAsia"/>
          <w:sz w:val="16"/>
          <w:szCs w:val="16"/>
          <w:lang w:val="en-US"/>
        </w:rPr>
        <w:footnoteReference w:id="308"/>
      </w:r>
      <w:r w:rsidR="00A9671E" w:rsidRPr="00D869E3">
        <w:rPr>
          <w:sz w:val="16"/>
          <w:szCs w:val="16"/>
          <w:lang w:val="en-US"/>
        </w:rPr>
        <w:t xml:space="preserve"> the article does not indicate that, in order to clarify which “rights” Article 26 refers to, it is necessary to identify those rights that are expressly recognized as such in the OAS Charter; to the contrary, this provision indicates – as the main</w:t>
      </w:r>
      <w:r w:rsidR="00283B4A" w:rsidRPr="00D869E3">
        <w:rPr>
          <w:sz w:val="16"/>
          <w:szCs w:val="16"/>
          <w:lang w:val="en-US"/>
        </w:rPr>
        <w:t xml:space="preserve"> provision</w:t>
      </w:r>
      <w:r w:rsidR="00A9671E" w:rsidRPr="00D869E3">
        <w:rPr>
          <w:sz w:val="16"/>
          <w:szCs w:val="16"/>
          <w:lang w:val="en-US"/>
        </w:rPr>
        <w:t xml:space="preserve"> of Article 26 – that there are rights that derive from certain </w:t>
      </w:r>
      <w:r w:rsidR="00194946" w:rsidRPr="00D869E3">
        <w:rPr>
          <w:sz w:val="16"/>
          <w:szCs w:val="16"/>
          <w:lang w:val="en-US"/>
        </w:rPr>
        <w:t>articles</w:t>
      </w:r>
      <w:r w:rsidR="00A9671E" w:rsidRPr="00D869E3">
        <w:rPr>
          <w:sz w:val="16"/>
          <w:szCs w:val="16"/>
          <w:lang w:val="en-US"/>
        </w:rPr>
        <w:t xml:space="preserve"> of the Charter: “</w:t>
      </w:r>
      <w:r w:rsidR="00A9671E" w:rsidRPr="00D869E3">
        <w:rPr>
          <w:spacing w:val="-3"/>
          <w:sz w:val="16"/>
          <w:szCs w:val="16"/>
          <w:lang w:val="en-US"/>
        </w:rPr>
        <w:t xml:space="preserve">the economic, social, educational, scientific, and cultural </w:t>
      </w:r>
      <w:r w:rsidR="00194946" w:rsidRPr="00D869E3">
        <w:rPr>
          <w:spacing w:val="-3"/>
          <w:sz w:val="16"/>
          <w:szCs w:val="16"/>
          <w:lang w:val="en-US"/>
        </w:rPr>
        <w:t>norms</w:t>
      </w:r>
      <w:r w:rsidR="00A9671E" w:rsidRPr="00D869E3">
        <w:rPr>
          <w:spacing w:val="-3"/>
          <w:sz w:val="16"/>
          <w:szCs w:val="16"/>
          <w:lang w:val="en-US"/>
        </w:rPr>
        <w:t xml:space="preserve">.” </w:t>
      </w:r>
    </w:p>
    <w:p w14:paraId="10EED893" w14:textId="77777777" w:rsidR="00F83E8F" w:rsidRPr="00D869E3" w:rsidRDefault="00F83E8F" w:rsidP="00A9671E">
      <w:pPr>
        <w:pStyle w:val="Estilo4"/>
        <w:numPr>
          <w:ilvl w:val="0"/>
          <w:numId w:val="0"/>
        </w:numPr>
        <w:spacing w:after="0"/>
        <w:ind w:right="738"/>
        <w:rPr>
          <w:sz w:val="16"/>
          <w:szCs w:val="16"/>
          <w:lang w:val="en-US"/>
        </w:rPr>
      </w:pPr>
    </w:p>
    <w:p w14:paraId="35F734AD" w14:textId="015F3464" w:rsidR="00F83E8F" w:rsidRPr="00D869E3" w:rsidRDefault="00F83E8F" w:rsidP="00F83E8F">
      <w:pPr>
        <w:pStyle w:val="Estilo4"/>
        <w:numPr>
          <w:ilvl w:val="0"/>
          <w:numId w:val="0"/>
        </w:numPr>
        <w:spacing w:after="0"/>
        <w:ind w:left="720" w:right="738"/>
        <w:rPr>
          <w:sz w:val="16"/>
          <w:szCs w:val="16"/>
          <w:lang w:val="en-US"/>
        </w:rPr>
      </w:pPr>
      <w:r w:rsidRPr="00D869E3">
        <w:rPr>
          <w:sz w:val="16"/>
          <w:szCs w:val="16"/>
        </w:rPr>
        <w:t xml:space="preserve">24. </w:t>
      </w:r>
      <w:r w:rsidRPr="00D869E3">
        <w:rPr>
          <w:sz w:val="16"/>
          <w:szCs w:val="16"/>
        </w:rPr>
        <w:tab/>
      </w:r>
      <w:proofErr w:type="spellStart"/>
      <w:r w:rsidR="00A9671E" w:rsidRPr="00D869E3">
        <w:rPr>
          <w:sz w:val="16"/>
          <w:szCs w:val="16"/>
        </w:rPr>
        <w:t>According</w:t>
      </w:r>
      <w:proofErr w:type="spellEnd"/>
      <w:r w:rsidR="00A9671E" w:rsidRPr="00D869E3">
        <w:rPr>
          <w:sz w:val="16"/>
          <w:szCs w:val="16"/>
        </w:rPr>
        <w:t xml:space="preserve"> </w:t>
      </w:r>
      <w:proofErr w:type="spellStart"/>
      <w:r w:rsidR="00A9671E" w:rsidRPr="00D869E3">
        <w:rPr>
          <w:sz w:val="16"/>
          <w:szCs w:val="16"/>
        </w:rPr>
        <w:t>to</w:t>
      </w:r>
      <w:proofErr w:type="spellEnd"/>
      <w:r w:rsidR="00A9671E" w:rsidRPr="00D869E3">
        <w:rPr>
          <w:sz w:val="16"/>
          <w:szCs w:val="16"/>
        </w:rPr>
        <w:t xml:space="preserve"> </w:t>
      </w:r>
      <w:proofErr w:type="spellStart"/>
      <w:r w:rsidR="00A9671E" w:rsidRPr="00D869E3">
        <w:rPr>
          <w:sz w:val="16"/>
          <w:szCs w:val="16"/>
        </w:rPr>
        <w:t>the</w:t>
      </w:r>
      <w:proofErr w:type="spellEnd"/>
      <w:r w:rsidR="00A9671E" w:rsidRPr="00D869E3">
        <w:rPr>
          <w:sz w:val="16"/>
          <w:szCs w:val="16"/>
        </w:rPr>
        <w:t xml:space="preserve"> </w:t>
      </w:r>
      <w:proofErr w:type="spellStart"/>
      <w:r w:rsidR="00A9671E" w:rsidRPr="00D869E3">
        <w:rPr>
          <w:sz w:val="16"/>
          <w:szCs w:val="16"/>
        </w:rPr>
        <w:t>dictionary</w:t>
      </w:r>
      <w:proofErr w:type="spellEnd"/>
      <w:r w:rsidR="00A9671E" w:rsidRPr="00D869E3">
        <w:rPr>
          <w:sz w:val="16"/>
          <w:szCs w:val="16"/>
        </w:rPr>
        <w:t xml:space="preserve"> of the </w:t>
      </w:r>
      <w:r w:rsidRPr="00D869E3">
        <w:rPr>
          <w:i/>
          <w:iCs/>
          <w:sz w:val="16"/>
          <w:szCs w:val="16"/>
        </w:rPr>
        <w:t>Real Academia Española</w:t>
      </w:r>
      <w:r w:rsidR="00283B4A" w:rsidRPr="00D869E3">
        <w:rPr>
          <w:i/>
          <w:iCs/>
          <w:sz w:val="16"/>
          <w:szCs w:val="16"/>
        </w:rPr>
        <w:t>,</w:t>
      </w:r>
      <w:r w:rsidRPr="00D869E3">
        <w:rPr>
          <w:sz w:val="16"/>
          <w:szCs w:val="16"/>
        </w:rPr>
        <w:t xml:space="preserve"> </w:t>
      </w:r>
      <w:proofErr w:type="spellStart"/>
      <w:r w:rsidR="00283B4A" w:rsidRPr="00D869E3">
        <w:rPr>
          <w:sz w:val="16"/>
          <w:szCs w:val="16"/>
        </w:rPr>
        <w:t>the</w:t>
      </w:r>
      <w:proofErr w:type="spellEnd"/>
      <w:r w:rsidR="00283B4A" w:rsidRPr="00D869E3">
        <w:rPr>
          <w:sz w:val="16"/>
          <w:szCs w:val="16"/>
        </w:rPr>
        <w:t xml:space="preserve"> </w:t>
      </w:r>
      <w:proofErr w:type="spellStart"/>
      <w:r w:rsidR="00283B4A" w:rsidRPr="00D869E3">
        <w:rPr>
          <w:sz w:val="16"/>
          <w:szCs w:val="16"/>
        </w:rPr>
        <w:t>pertinent</w:t>
      </w:r>
      <w:proofErr w:type="spellEnd"/>
      <w:r w:rsidR="00283B4A" w:rsidRPr="00D869E3">
        <w:rPr>
          <w:sz w:val="16"/>
          <w:szCs w:val="16"/>
        </w:rPr>
        <w:t xml:space="preserve"> </w:t>
      </w:r>
      <w:proofErr w:type="spellStart"/>
      <w:r w:rsidR="00283B4A" w:rsidRPr="00D869E3">
        <w:rPr>
          <w:sz w:val="16"/>
          <w:szCs w:val="16"/>
        </w:rPr>
        <w:t>meaning</w:t>
      </w:r>
      <w:proofErr w:type="spellEnd"/>
      <w:r w:rsidR="00283B4A" w:rsidRPr="00D869E3">
        <w:rPr>
          <w:sz w:val="16"/>
          <w:szCs w:val="16"/>
        </w:rPr>
        <w:t xml:space="preserve"> </w:t>
      </w:r>
      <w:proofErr w:type="spellStart"/>
      <w:r w:rsidR="00283B4A" w:rsidRPr="00D869E3">
        <w:rPr>
          <w:sz w:val="16"/>
          <w:szCs w:val="16"/>
        </w:rPr>
        <w:t>of</w:t>
      </w:r>
      <w:proofErr w:type="spellEnd"/>
      <w:r w:rsidR="00283B4A" w:rsidRPr="00D869E3">
        <w:rPr>
          <w:sz w:val="16"/>
          <w:szCs w:val="16"/>
        </w:rPr>
        <w:t xml:space="preserve"> </w:t>
      </w:r>
      <w:r w:rsidR="006436CA" w:rsidRPr="00D869E3">
        <w:rPr>
          <w:sz w:val="16"/>
          <w:szCs w:val="16"/>
        </w:rPr>
        <w:t>“</w:t>
      </w:r>
      <w:r w:rsidRPr="00D869E3">
        <w:rPr>
          <w:i/>
          <w:iCs/>
          <w:sz w:val="16"/>
          <w:szCs w:val="16"/>
        </w:rPr>
        <w:t>deriva</w:t>
      </w:r>
      <w:r w:rsidRPr="00D869E3">
        <w:rPr>
          <w:sz w:val="16"/>
          <w:szCs w:val="16"/>
        </w:rPr>
        <w:t>r</w:t>
      </w:r>
      <w:r w:rsidR="00A9671E" w:rsidRPr="00D869E3">
        <w:rPr>
          <w:sz w:val="16"/>
          <w:szCs w:val="16"/>
        </w:rPr>
        <w:t>,</w:t>
      </w:r>
      <w:r w:rsidR="006436CA" w:rsidRPr="00D869E3">
        <w:rPr>
          <w:sz w:val="16"/>
          <w:szCs w:val="16"/>
        </w:rPr>
        <w:t>”</w:t>
      </w:r>
      <w:r w:rsidRPr="00D869E3">
        <w:rPr>
          <w:sz w:val="16"/>
          <w:szCs w:val="16"/>
        </w:rPr>
        <w:t xml:space="preserve"> </w:t>
      </w:r>
      <w:proofErr w:type="spellStart"/>
      <w:r w:rsidR="00283B4A" w:rsidRPr="00D869E3">
        <w:rPr>
          <w:sz w:val="16"/>
          <w:szCs w:val="16"/>
        </w:rPr>
        <w:t>is</w:t>
      </w:r>
      <w:proofErr w:type="spellEnd"/>
      <w:r w:rsidRPr="00D869E3">
        <w:rPr>
          <w:sz w:val="16"/>
          <w:szCs w:val="16"/>
        </w:rPr>
        <w:t xml:space="preserve">: </w:t>
      </w:r>
      <w:r w:rsidR="006436CA" w:rsidRPr="00D869E3">
        <w:rPr>
          <w:i/>
          <w:iCs/>
          <w:sz w:val="16"/>
          <w:szCs w:val="16"/>
        </w:rPr>
        <w:t>“</w:t>
      </w:r>
      <w:r w:rsidRPr="00D869E3">
        <w:rPr>
          <w:i/>
          <w:iCs/>
          <w:sz w:val="16"/>
          <w:szCs w:val="16"/>
        </w:rPr>
        <w:t>[d]</w:t>
      </w:r>
      <w:r w:rsidRPr="00D869E3">
        <w:rPr>
          <w:rFonts w:eastAsia="Arial Unicode MS" w:cs="Arial Unicode MS"/>
          <w:i/>
          <w:iCs/>
          <w:sz w:val="16"/>
          <w:szCs w:val="16"/>
        </w:rPr>
        <w:t>icho de una cosa: Traer su origen de otra[; d]icho de una palabra: Proceder de cierta base léxica[, y] establecer una relación morfológica o etimológica entre dos voces</w:t>
      </w:r>
      <w:r w:rsidR="00A9671E" w:rsidRPr="00D869E3">
        <w:rPr>
          <w:rFonts w:eastAsia="Arial Unicode MS" w:cs="Arial Unicode MS"/>
          <w:sz w:val="16"/>
          <w:szCs w:val="16"/>
        </w:rPr>
        <w:t>.</w:t>
      </w:r>
      <w:r w:rsidR="006436CA" w:rsidRPr="00D869E3">
        <w:rPr>
          <w:rFonts w:eastAsia="Arial Unicode MS" w:cs="Arial Unicode MS"/>
          <w:sz w:val="16"/>
          <w:szCs w:val="16"/>
        </w:rPr>
        <w:t>”</w:t>
      </w:r>
      <w:r w:rsidRPr="00D869E3">
        <w:rPr>
          <w:rStyle w:val="Refdenotaalpie"/>
          <w:rFonts w:eastAsiaTheme="majorEastAsia"/>
          <w:sz w:val="16"/>
          <w:szCs w:val="16"/>
          <w:lang w:val="en-US"/>
        </w:rPr>
        <w:footnoteReference w:id="309"/>
      </w:r>
      <w:r w:rsidR="00283B4A" w:rsidRPr="00D869E3">
        <w:rPr>
          <w:rFonts w:eastAsia="Arial Unicode MS" w:cs="Arial Unicode MS"/>
          <w:sz w:val="16"/>
          <w:szCs w:val="16"/>
        </w:rPr>
        <w:t xml:space="preserve"> </w:t>
      </w:r>
      <w:r w:rsidR="00283B4A" w:rsidRPr="00D869E3">
        <w:rPr>
          <w:rFonts w:eastAsia="Arial Unicode MS" w:cs="Arial Unicode MS"/>
          <w:sz w:val="16"/>
          <w:szCs w:val="16"/>
          <w:lang w:val="en-US"/>
        </w:rPr>
        <w:t>[</w:t>
      </w:r>
      <w:r w:rsidR="006D67CF" w:rsidRPr="00D869E3">
        <w:rPr>
          <w:rFonts w:eastAsia="Arial Unicode MS" w:cs="Arial Unicode MS"/>
          <w:sz w:val="16"/>
          <w:szCs w:val="16"/>
          <w:lang w:val="en-US"/>
        </w:rPr>
        <w:t>Derive: s</w:t>
      </w:r>
      <w:r w:rsidR="00754CAA" w:rsidRPr="00D869E3">
        <w:rPr>
          <w:rFonts w:eastAsia="Arial Unicode MS" w:cs="Arial Unicode MS"/>
          <w:sz w:val="16"/>
          <w:szCs w:val="16"/>
          <w:lang w:val="en-US"/>
        </w:rPr>
        <w:t>aid o</w:t>
      </w:r>
      <w:r w:rsidR="00283B4A" w:rsidRPr="00D869E3">
        <w:rPr>
          <w:rFonts w:eastAsia="Arial Unicode MS" w:cs="Arial Unicode MS"/>
          <w:sz w:val="16"/>
          <w:szCs w:val="16"/>
          <w:lang w:val="en-US"/>
        </w:rPr>
        <w:t xml:space="preserve">f a thing: originate from something else; </w:t>
      </w:r>
      <w:r w:rsidR="006D67CF" w:rsidRPr="00D869E3">
        <w:rPr>
          <w:rFonts w:eastAsia="Arial Unicode MS" w:cs="Arial Unicode MS"/>
          <w:sz w:val="16"/>
          <w:szCs w:val="16"/>
          <w:lang w:val="en-US"/>
        </w:rPr>
        <w:t xml:space="preserve">said </w:t>
      </w:r>
      <w:r w:rsidR="00283B4A" w:rsidRPr="00D869E3">
        <w:rPr>
          <w:rFonts w:eastAsia="Arial Unicode MS" w:cs="Arial Unicode MS"/>
          <w:sz w:val="16"/>
          <w:szCs w:val="16"/>
          <w:lang w:val="en-US"/>
        </w:rPr>
        <w:t>of a word: proceed from a</w:t>
      </w:r>
      <w:r w:rsidR="006D67CF" w:rsidRPr="00D869E3">
        <w:rPr>
          <w:rFonts w:eastAsia="Arial Unicode MS" w:cs="Arial Unicode MS"/>
          <w:sz w:val="16"/>
          <w:szCs w:val="16"/>
          <w:lang w:val="en-US"/>
        </w:rPr>
        <w:t xml:space="preserve"> specific</w:t>
      </w:r>
      <w:r w:rsidR="00283B4A" w:rsidRPr="00D869E3">
        <w:rPr>
          <w:rFonts w:eastAsia="Arial Unicode MS" w:cs="Arial Unicode MS"/>
          <w:sz w:val="16"/>
          <w:szCs w:val="16"/>
          <w:lang w:val="en-US"/>
        </w:rPr>
        <w:t xml:space="preserve"> lexical basis, and establish a morphological or etymological relationship between two words.]</w:t>
      </w:r>
    </w:p>
    <w:p w14:paraId="67ACB04E" w14:textId="77777777" w:rsidR="00F83E8F" w:rsidRPr="00D869E3" w:rsidRDefault="00F83E8F" w:rsidP="00F83E8F">
      <w:pPr>
        <w:pStyle w:val="Estilo4"/>
        <w:numPr>
          <w:ilvl w:val="0"/>
          <w:numId w:val="0"/>
        </w:numPr>
        <w:spacing w:after="0"/>
        <w:ind w:left="720" w:right="738"/>
        <w:rPr>
          <w:rFonts w:eastAsia="Arial Unicode MS" w:cs="Arial Unicode MS"/>
          <w:sz w:val="16"/>
          <w:szCs w:val="16"/>
          <w:lang w:val="en-US"/>
        </w:rPr>
      </w:pPr>
    </w:p>
    <w:p w14:paraId="66F489E8" w14:textId="3F0B0CC3" w:rsidR="00F83E8F" w:rsidRPr="00D869E3" w:rsidRDefault="00F83E8F" w:rsidP="00ED3FC7">
      <w:pPr>
        <w:pStyle w:val="Estilo4"/>
        <w:numPr>
          <w:ilvl w:val="0"/>
          <w:numId w:val="0"/>
        </w:numPr>
        <w:spacing w:after="0"/>
        <w:ind w:left="720" w:right="738"/>
        <w:rPr>
          <w:rFonts w:eastAsia="Arial Unicode MS" w:cs="Arial Unicode MS"/>
          <w:sz w:val="16"/>
          <w:szCs w:val="16"/>
          <w:lang w:val="en-US"/>
        </w:rPr>
      </w:pPr>
      <w:r w:rsidRPr="00D869E3">
        <w:rPr>
          <w:rFonts w:eastAsia="Arial Unicode MS" w:cs="Arial Unicode MS"/>
          <w:sz w:val="16"/>
          <w:szCs w:val="16"/>
          <w:lang w:val="en-US"/>
        </w:rPr>
        <w:t xml:space="preserve">25. </w:t>
      </w:r>
      <w:r w:rsidRPr="00D869E3">
        <w:rPr>
          <w:rFonts w:eastAsia="Arial Unicode MS" w:cs="Arial Unicode MS"/>
          <w:sz w:val="16"/>
          <w:szCs w:val="16"/>
          <w:lang w:val="en-US"/>
        </w:rPr>
        <w:tab/>
      </w:r>
      <w:r w:rsidR="00283B4A" w:rsidRPr="00D869E3">
        <w:rPr>
          <w:rFonts w:eastAsia="Arial Unicode MS" w:cs="Arial Unicode MS"/>
          <w:sz w:val="16"/>
          <w:szCs w:val="16"/>
          <w:lang w:val="en-US"/>
        </w:rPr>
        <w:t xml:space="preserve">Therefore, the understanding of the rights referred in </w:t>
      </w:r>
      <w:r w:rsidR="00447C65" w:rsidRPr="00D869E3">
        <w:rPr>
          <w:rFonts w:eastAsia="Arial Unicode MS" w:cs="Arial Unicode MS"/>
          <w:sz w:val="16"/>
          <w:szCs w:val="16"/>
          <w:lang w:val="en-US"/>
        </w:rPr>
        <w:t>Article</w:t>
      </w:r>
      <w:r w:rsidRPr="00D869E3">
        <w:rPr>
          <w:rFonts w:eastAsia="Arial Unicode MS" w:cs="Arial Unicode MS"/>
          <w:sz w:val="16"/>
          <w:szCs w:val="16"/>
          <w:lang w:val="en-US"/>
        </w:rPr>
        <w:t xml:space="preserve"> 26</w:t>
      </w:r>
      <w:r w:rsidR="00447C65" w:rsidRPr="00D869E3">
        <w:rPr>
          <w:rFonts w:eastAsia="Arial Unicode MS" w:cs="Arial Unicode MS"/>
          <w:sz w:val="16"/>
          <w:szCs w:val="16"/>
          <w:lang w:val="en-US"/>
        </w:rPr>
        <w:t xml:space="preserve"> of the American Convention</w:t>
      </w:r>
      <w:r w:rsidRPr="00D869E3">
        <w:rPr>
          <w:rFonts w:eastAsia="Arial Unicode MS" w:cs="Arial Unicode MS"/>
          <w:sz w:val="16"/>
          <w:szCs w:val="16"/>
          <w:lang w:val="en-US"/>
        </w:rPr>
        <w:t xml:space="preserve"> s</w:t>
      </w:r>
      <w:r w:rsidR="00283B4A" w:rsidRPr="00D869E3">
        <w:rPr>
          <w:rFonts w:eastAsia="Arial Unicode MS" w:cs="Arial Unicode MS"/>
          <w:sz w:val="16"/>
          <w:szCs w:val="16"/>
          <w:lang w:val="en-US"/>
        </w:rPr>
        <w:t xml:space="preserve">hould not be </w:t>
      </w:r>
      <w:r w:rsidR="006D67CF" w:rsidRPr="00D869E3">
        <w:rPr>
          <w:rFonts w:eastAsia="Arial Unicode MS" w:cs="Arial Unicode MS"/>
          <w:sz w:val="16"/>
          <w:szCs w:val="16"/>
          <w:lang w:val="en-US"/>
        </w:rPr>
        <w:t>restricte</w:t>
      </w:r>
      <w:r w:rsidR="00283B4A" w:rsidRPr="00D869E3">
        <w:rPr>
          <w:rFonts w:eastAsia="Arial Unicode MS" w:cs="Arial Unicode MS"/>
          <w:sz w:val="16"/>
          <w:szCs w:val="16"/>
          <w:lang w:val="en-US"/>
        </w:rPr>
        <w:t xml:space="preserve">d </w:t>
      </w:r>
      <w:r w:rsidR="006D67CF" w:rsidRPr="00D869E3">
        <w:rPr>
          <w:rFonts w:eastAsia="Arial Unicode MS" w:cs="Arial Unicode MS"/>
          <w:sz w:val="16"/>
          <w:szCs w:val="16"/>
          <w:lang w:val="en-US"/>
        </w:rPr>
        <w:t>merely</w:t>
      </w:r>
      <w:r w:rsidR="00283B4A" w:rsidRPr="00D869E3">
        <w:rPr>
          <w:rFonts w:eastAsia="Arial Unicode MS" w:cs="Arial Unicode MS"/>
          <w:sz w:val="16"/>
          <w:szCs w:val="16"/>
          <w:lang w:val="en-US"/>
        </w:rPr>
        <w:t xml:space="preserve"> to those</w:t>
      </w:r>
      <w:r w:rsidR="006D67CF" w:rsidRPr="00D869E3">
        <w:rPr>
          <w:rFonts w:eastAsia="Arial Unicode MS" w:cs="Arial Unicode MS"/>
          <w:sz w:val="16"/>
          <w:szCs w:val="16"/>
          <w:lang w:val="en-US"/>
        </w:rPr>
        <w:t xml:space="preserve"> rights</w:t>
      </w:r>
      <w:r w:rsidR="00283B4A" w:rsidRPr="00D869E3">
        <w:rPr>
          <w:rFonts w:eastAsia="Arial Unicode MS" w:cs="Arial Unicode MS"/>
          <w:sz w:val="16"/>
          <w:szCs w:val="16"/>
          <w:lang w:val="en-US"/>
        </w:rPr>
        <w:t xml:space="preserve"> that can be found literally as such – as </w:t>
      </w:r>
      <w:r w:rsidR="006D67CF" w:rsidRPr="00D869E3">
        <w:rPr>
          <w:rFonts w:eastAsia="Arial Unicode MS" w:cs="Arial Unicode MS"/>
          <w:sz w:val="16"/>
          <w:szCs w:val="16"/>
          <w:lang w:val="en-US"/>
        </w:rPr>
        <w:t xml:space="preserve">the </w:t>
      </w:r>
      <w:r w:rsidR="00283B4A" w:rsidRPr="00D869E3">
        <w:rPr>
          <w:rFonts w:eastAsia="Arial Unicode MS" w:cs="Arial Unicode MS"/>
          <w:sz w:val="16"/>
          <w:szCs w:val="16"/>
          <w:lang w:val="en-US"/>
        </w:rPr>
        <w:t>“right to work” could be understood</w:t>
      </w:r>
      <w:r w:rsidRPr="00D869E3">
        <w:rPr>
          <w:rStyle w:val="Refdenotaalpie"/>
          <w:rFonts w:eastAsia="Arial Unicode MS"/>
          <w:sz w:val="16"/>
          <w:szCs w:val="16"/>
          <w:lang w:val="en-US"/>
        </w:rPr>
        <w:footnoteReference w:id="310"/>
      </w:r>
      <w:r w:rsidRPr="00D869E3">
        <w:rPr>
          <w:rFonts w:eastAsia="Arial Unicode MS" w:cs="Arial Unicode MS"/>
          <w:sz w:val="16"/>
          <w:szCs w:val="16"/>
          <w:lang w:val="en-US"/>
        </w:rPr>
        <w:t xml:space="preserve">— </w:t>
      </w:r>
      <w:r w:rsidR="00283B4A" w:rsidRPr="00D869E3">
        <w:rPr>
          <w:rFonts w:eastAsia="Arial Unicode MS" w:cs="Arial Unicode MS"/>
          <w:sz w:val="16"/>
          <w:szCs w:val="16"/>
          <w:lang w:val="en-US"/>
        </w:rPr>
        <w:t>in the text</w:t>
      </w:r>
      <w:r w:rsidRPr="00D869E3">
        <w:rPr>
          <w:rFonts w:eastAsia="Arial Unicode MS" w:cs="Arial Unicode MS"/>
          <w:sz w:val="16"/>
          <w:szCs w:val="16"/>
          <w:lang w:val="en-US"/>
        </w:rPr>
        <w:t xml:space="preserve"> </w:t>
      </w:r>
      <w:r w:rsidR="00197983" w:rsidRPr="00D869E3">
        <w:rPr>
          <w:rFonts w:eastAsia="Arial Unicode MS" w:cs="Arial Unicode MS"/>
          <w:sz w:val="16"/>
          <w:szCs w:val="16"/>
          <w:lang w:val="en-US"/>
        </w:rPr>
        <w:t>of the OAS Charter</w:t>
      </w:r>
      <w:r w:rsidRPr="00D869E3">
        <w:rPr>
          <w:rFonts w:eastAsia="Arial Unicode MS" w:cs="Arial Unicode MS"/>
          <w:sz w:val="16"/>
          <w:szCs w:val="16"/>
          <w:lang w:val="en-US"/>
        </w:rPr>
        <w:t xml:space="preserve">. </w:t>
      </w:r>
      <w:r w:rsidR="00283B4A" w:rsidRPr="00D869E3">
        <w:rPr>
          <w:rFonts w:eastAsia="Arial Unicode MS" w:cs="Arial Unicode MS"/>
          <w:sz w:val="16"/>
          <w:szCs w:val="16"/>
          <w:lang w:val="en-US"/>
        </w:rPr>
        <w:t xml:space="preserve">To the contrary, a “derivation” should be made from the corresponding </w:t>
      </w:r>
      <w:r w:rsidR="006D67CF" w:rsidRPr="00D869E3">
        <w:rPr>
          <w:rFonts w:eastAsia="Arial Unicode MS" w:cs="Arial Unicode MS"/>
          <w:sz w:val="16"/>
          <w:szCs w:val="16"/>
          <w:lang w:val="en-US"/>
        </w:rPr>
        <w:t>articles mentioned previously</w:t>
      </w:r>
      <w:r w:rsidR="00283B4A" w:rsidRPr="00D869E3">
        <w:rPr>
          <w:rFonts w:eastAsia="Arial Unicode MS" w:cs="Arial Unicode MS"/>
          <w:sz w:val="16"/>
          <w:szCs w:val="16"/>
          <w:lang w:val="en-US"/>
        </w:rPr>
        <w:t xml:space="preserve">: “proceed from a </w:t>
      </w:r>
      <w:r w:rsidR="006D67CF" w:rsidRPr="00D869E3">
        <w:rPr>
          <w:rFonts w:eastAsia="Arial Unicode MS" w:cs="Arial Unicode MS"/>
          <w:sz w:val="16"/>
          <w:szCs w:val="16"/>
          <w:lang w:val="en-US"/>
        </w:rPr>
        <w:t xml:space="preserve">specific </w:t>
      </w:r>
      <w:r w:rsidR="00283B4A" w:rsidRPr="00D869E3">
        <w:rPr>
          <w:rFonts w:eastAsia="Arial Unicode MS" w:cs="Arial Unicode MS"/>
          <w:sz w:val="16"/>
          <w:szCs w:val="16"/>
          <w:lang w:val="en-US"/>
        </w:rPr>
        <w:t xml:space="preserve">lexical basis” to find a right. The text of Article 26, which refers to “rights” derived from </w:t>
      </w:r>
      <w:r w:rsidR="006D67CF" w:rsidRPr="00D869E3">
        <w:rPr>
          <w:rFonts w:eastAsia="Arial Unicode MS" w:cs="Arial Unicode MS"/>
          <w:sz w:val="16"/>
          <w:szCs w:val="16"/>
          <w:lang w:val="en-US"/>
        </w:rPr>
        <w:t>“</w:t>
      </w:r>
      <w:r w:rsidR="00283B4A" w:rsidRPr="00D869E3">
        <w:rPr>
          <w:spacing w:val="-3"/>
          <w:sz w:val="16"/>
          <w:szCs w:val="16"/>
          <w:lang w:val="en-US"/>
        </w:rPr>
        <w:t>the economic, social, educational, scientific, and cultural standards</w:t>
      </w:r>
      <w:r w:rsidR="00ED3FC7" w:rsidRPr="00D869E3">
        <w:rPr>
          <w:spacing w:val="-3"/>
          <w:sz w:val="16"/>
          <w:szCs w:val="16"/>
          <w:lang w:val="en-US"/>
        </w:rPr>
        <w:t xml:space="preserve"> set forth</w:t>
      </w:r>
      <w:r w:rsidR="00283B4A" w:rsidRPr="00D869E3">
        <w:rPr>
          <w:spacing w:val="-3"/>
          <w:sz w:val="16"/>
          <w:szCs w:val="16"/>
          <w:lang w:val="en-US"/>
        </w:rPr>
        <w:t xml:space="preserve"> in the Charter,</w:t>
      </w:r>
      <w:r w:rsidR="00ED3FC7" w:rsidRPr="00D869E3">
        <w:rPr>
          <w:spacing w:val="-3"/>
          <w:sz w:val="16"/>
          <w:szCs w:val="16"/>
          <w:lang w:val="en-US"/>
        </w:rPr>
        <w:t>”</w:t>
      </w:r>
      <w:r w:rsidR="00283B4A" w:rsidRPr="00D869E3">
        <w:rPr>
          <w:spacing w:val="-3"/>
          <w:sz w:val="16"/>
          <w:szCs w:val="16"/>
          <w:lang w:val="en-US"/>
        </w:rPr>
        <w:t xml:space="preserve"> oblig</w:t>
      </w:r>
      <w:r w:rsidR="006D67CF" w:rsidRPr="00D869E3">
        <w:rPr>
          <w:spacing w:val="-3"/>
          <w:sz w:val="16"/>
          <w:szCs w:val="16"/>
          <w:lang w:val="en-US"/>
        </w:rPr>
        <w:t>at</w:t>
      </w:r>
      <w:r w:rsidR="00283B4A" w:rsidRPr="00D869E3">
        <w:rPr>
          <w:spacing w:val="-3"/>
          <w:sz w:val="16"/>
          <w:szCs w:val="16"/>
          <w:lang w:val="en-US"/>
        </w:rPr>
        <w:t>es</w:t>
      </w:r>
      <w:r w:rsidR="00ED3FC7" w:rsidRPr="00D869E3">
        <w:rPr>
          <w:spacing w:val="-3"/>
          <w:sz w:val="16"/>
          <w:szCs w:val="16"/>
          <w:lang w:val="en-US"/>
        </w:rPr>
        <w:t xml:space="preserve"> the interpreter, who cannot disregard the said text and validly maintain that the norms corresponding to </w:t>
      </w:r>
      <w:r w:rsidR="00ED3FC7" w:rsidRPr="00D869E3">
        <w:rPr>
          <w:rFonts w:eastAsia="Arial Unicode MS" w:cs="Arial Unicode MS"/>
          <w:sz w:val="16"/>
          <w:szCs w:val="16"/>
          <w:lang w:val="en-US"/>
        </w:rPr>
        <w:t xml:space="preserve">the OAS Charter do not offer sufficient grounds to “derive” rights, because this is ordered by the text of the Convention. This does not preclude the admissibility of methods of interpretation that </w:t>
      </w:r>
      <w:r w:rsidR="00701B94" w:rsidRPr="00D869E3">
        <w:rPr>
          <w:rFonts w:eastAsia="Arial Unicode MS" w:cs="Arial Unicode MS"/>
          <w:sz w:val="16"/>
          <w:szCs w:val="16"/>
          <w:lang w:val="en-US"/>
        </w:rPr>
        <w:t>entail</w:t>
      </w:r>
      <w:r w:rsidR="00ED3FC7" w:rsidRPr="00D869E3">
        <w:rPr>
          <w:rFonts w:eastAsia="Arial Unicode MS" w:cs="Arial Unicode MS"/>
          <w:sz w:val="16"/>
          <w:szCs w:val="16"/>
          <w:lang w:val="en-US"/>
        </w:rPr>
        <w:t xml:space="preserve"> taking</w:t>
      </w:r>
      <w:r w:rsidR="006D67CF" w:rsidRPr="00D869E3">
        <w:rPr>
          <w:rFonts w:eastAsia="Arial Unicode MS" w:cs="Arial Unicode MS"/>
          <w:sz w:val="16"/>
          <w:szCs w:val="16"/>
          <w:lang w:val="en-US"/>
        </w:rPr>
        <w:t xml:space="preserve"> other norms</w:t>
      </w:r>
      <w:r w:rsidR="00ED3FC7" w:rsidRPr="00D869E3">
        <w:rPr>
          <w:rFonts w:eastAsia="Arial Unicode MS" w:cs="Arial Unicode MS"/>
          <w:sz w:val="16"/>
          <w:szCs w:val="16"/>
          <w:lang w:val="en-US"/>
        </w:rPr>
        <w:t xml:space="preserve"> into consideratio</w:t>
      </w:r>
      <w:r w:rsidR="00701B94" w:rsidRPr="00D869E3">
        <w:rPr>
          <w:rFonts w:eastAsia="Arial Unicode MS" w:cs="Arial Unicode MS"/>
          <w:sz w:val="16"/>
          <w:szCs w:val="16"/>
          <w:lang w:val="en-US"/>
        </w:rPr>
        <w:t>n</w:t>
      </w:r>
      <w:r w:rsidR="00ED3FC7" w:rsidRPr="00D869E3">
        <w:rPr>
          <w:rFonts w:eastAsia="Arial Unicode MS" w:cs="Arial Unicode MS"/>
          <w:sz w:val="16"/>
          <w:szCs w:val="16"/>
          <w:lang w:val="en-US"/>
        </w:rPr>
        <w:t xml:space="preserve">, including the Additional Protocol to </w:t>
      </w:r>
      <w:r w:rsidR="00447C65" w:rsidRPr="00D869E3">
        <w:rPr>
          <w:rFonts w:eastAsia="Arial Unicode MS" w:cs="Arial Unicode MS"/>
          <w:sz w:val="16"/>
          <w:szCs w:val="16"/>
          <w:lang w:val="en-US"/>
        </w:rPr>
        <w:t>the American Convention on Human Rights</w:t>
      </w:r>
      <w:r w:rsidRPr="00D869E3">
        <w:rPr>
          <w:rFonts w:eastAsia="Arial Unicode MS" w:cs="Arial Unicode MS"/>
          <w:sz w:val="16"/>
          <w:szCs w:val="16"/>
          <w:lang w:val="en-US"/>
        </w:rPr>
        <w:t xml:space="preserve"> </w:t>
      </w:r>
      <w:r w:rsidR="00ED3FC7" w:rsidRPr="00D869E3">
        <w:rPr>
          <w:rFonts w:eastAsia="Arial Unicode MS" w:cs="Arial Unicode MS"/>
          <w:sz w:val="16"/>
          <w:szCs w:val="16"/>
          <w:lang w:val="en-US"/>
        </w:rPr>
        <w:t>in the Area of Economic, Social and Cultural</w:t>
      </w:r>
      <w:r w:rsidRPr="00D869E3">
        <w:rPr>
          <w:rFonts w:eastAsia="Arial Unicode MS" w:cs="Arial Unicode MS"/>
          <w:sz w:val="16"/>
          <w:szCs w:val="16"/>
          <w:lang w:val="en-US"/>
        </w:rPr>
        <w:t xml:space="preserve"> </w:t>
      </w:r>
      <w:r w:rsidR="00881A39" w:rsidRPr="00D869E3">
        <w:rPr>
          <w:rFonts w:eastAsia="Arial Unicode MS" w:cs="Arial Unicode MS"/>
          <w:sz w:val="16"/>
          <w:szCs w:val="16"/>
          <w:lang w:val="en-US"/>
        </w:rPr>
        <w:t>Rights</w:t>
      </w:r>
      <w:r w:rsidRPr="00D869E3">
        <w:rPr>
          <w:rFonts w:eastAsia="Arial Unicode MS" w:cs="Arial Unicode MS"/>
          <w:sz w:val="16"/>
          <w:szCs w:val="16"/>
          <w:lang w:val="en-US"/>
        </w:rPr>
        <w:t xml:space="preserve"> </w:t>
      </w:r>
      <w:r w:rsidR="006436CA" w:rsidRPr="00D869E3">
        <w:rPr>
          <w:rFonts w:eastAsia="Arial Unicode MS" w:cs="Arial Unicode MS"/>
          <w:sz w:val="16"/>
          <w:szCs w:val="16"/>
          <w:lang w:val="en-US"/>
        </w:rPr>
        <w:t>“</w:t>
      </w:r>
      <w:r w:rsidRPr="00D869E3">
        <w:rPr>
          <w:rFonts w:eastAsia="Arial Unicode MS" w:cs="Arial Unicode MS"/>
          <w:sz w:val="16"/>
          <w:szCs w:val="16"/>
          <w:lang w:val="en-US"/>
        </w:rPr>
        <w:t xml:space="preserve">Protocol </w:t>
      </w:r>
      <w:r w:rsidR="00ED3FC7" w:rsidRPr="00D869E3">
        <w:rPr>
          <w:rFonts w:eastAsia="Arial Unicode MS" w:cs="Arial Unicode MS"/>
          <w:sz w:val="16"/>
          <w:szCs w:val="16"/>
          <w:lang w:val="en-US"/>
        </w:rPr>
        <w:t>of</w:t>
      </w:r>
      <w:r w:rsidRPr="00D869E3">
        <w:rPr>
          <w:rFonts w:eastAsia="Arial Unicode MS" w:cs="Arial Unicode MS"/>
          <w:sz w:val="16"/>
          <w:szCs w:val="16"/>
          <w:lang w:val="en-US"/>
        </w:rPr>
        <w:t xml:space="preserve"> San Salvador</w:t>
      </w:r>
      <w:r w:rsidR="006436CA" w:rsidRPr="00D869E3">
        <w:rPr>
          <w:rFonts w:eastAsia="Arial Unicode MS" w:cs="Arial Unicode MS"/>
          <w:sz w:val="16"/>
          <w:szCs w:val="16"/>
          <w:lang w:val="en-US"/>
        </w:rPr>
        <w:t>”</w:t>
      </w:r>
      <w:r w:rsidR="00ED3FC7" w:rsidRPr="00D869E3">
        <w:rPr>
          <w:rFonts w:eastAsia="Arial Unicode MS" w:cs="Arial Unicode MS"/>
          <w:sz w:val="16"/>
          <w:szCs w:val="16"/>
          <w:lang w:val="en-US"/>
        </w:rPr>
        <w:t>;</w:t>
      </w:r>
      <w:r w:rsidRPr="00D869E3">
        <w:rPr>
          <w:rStyle w:val="Refdenotaalpie"/>
          <w:rFonts w:eastAsia="Arial Unicode MS"/>
          <w:sz w:val="16"/>
          <w:szCs w:val="16"/>
          <w:lang w:val="en-US"/>
        </w:rPr>
        <w:footnoteReference w:id="311"/>
      </w:r>
      <w:r w:rsidR="00ED3FC7" w:rsidRPr="00D869E3">
        <w:rPr>
          <w:rFonts w:eastAsia="Arial Unicode MS" w:cs="Arial Unicode MS"/>
          <w:sz w:val="16"/>
          <w:szCs w:val="16"/>
          <w:lang w:val="en-US"/>
        </w:rPr>
        <w:t xml:space="preserve"> I have referred to this on other occasions.</w:t>
      </w:r>
    </w:p>
    <w:p w14:paraId="4E5B86DC" w14:textId="77777777" w:rsidR="00F83E8F" w:rsidRPr="00D869E3" w:rsidRDefault="00F83E8F" w:rsidP="00F83E8F">
      <w:pPr>
        <w:pStyle w:val="Estilo4"/>
        <w:numPr>
          <w:ilvl w:val="0"/>
          <w:numId w:val="0"/>
        </w:numPr>
        <w:spacing w:after="0"/>
        <w:ind w:left="720" w:right="738"/>
        <w:rPr>
          <w:sz w:val="16"/>
          <w:szCs w:val="16"/>
          <w:lang w:val="en-US"/>
        </w:rPr>
      </w:pPr>
    </w:p>
    <w:p w14:paraId="2851903F" w14:textId="48153623" w:rsidR="00F83E8F" w:rsidRPr="00D869E3" w:rsidRDefault="00F83E8F" w:rsidP="00ED3FC7">
      <w:pPr>
        <w:pStyle w:val="Estilo4"/>
        <w:numPr>
          <w:ilvl w:val="0"/>
          <w:numId w:val="0"/>
        </w:numPr>
        <w:spacing w:after="0"/>
        <w:ind w:left="720" w:right="738"/>
        <w:rPr>
          <w:rFonts w:eastAsia="Arial Unicode MS" w:cs="Arial Unicode MS"/>
          <w:sz w:val="16"/>
          <w:szCs w:val="16"/>
          <w:lang w:val="en-US"/>
        </w:rPr>
      </w:pPr>
      <w:r w:rsidRPr="00D869E3">
        <w:rPr>
          <w:rFonts w:eastAsia="Arial Unicode MS" w:cs="Arial Unicode MS"/>
          <w:sz w:val="16"/>
          <w:szCs w:val="16"/>
          <w:lang w:val="en-US"/>
        </w:rPr>
        <w:t xml:space="preserve">26. </w:t>
      </w:r>
      <w:r w:rsidRPr="00D869E3">
        <w:rPr>
          <w:rFonts w:eastAsia="Arial Unicode MS" w:cs="Arial Unicode MS"/>
          <w:sz w:val="16"/>
          <w:szCs w:val="16"/>
          <w:lang w:val="en-US"/>
        </w:rPr>
        <w:tab/>
      </w:r>
      <w:r w:rsidR="00ED3FC7" w:rsidRPr="00D869E3">
        <w:rPr>
          <w:rFonts w:eastAsia="Arial Unicode MS" w:cs="Arial Unicode MS"/>
          <w:sz w:val="16"/>
          <w:szCs w:val="16"/>
          <w:lang w:val="en-US"/>
        </w:rPr>
        <w:t xml:space="preserve">The foregoing reveals that the Inter-American Court must make an evolutive and dynamic interpretation and that even though evidently interpretive difficulties </w:t>
      </w:r>
      <w:r w:rsidR="00701B94" w:rsidRPr="00D869E3">
        <w:rPr>
          <w:rFonts w:eastAsia="Arial Unicode MS" w:cs="Arial Unicode MS"/>
          <w:sz w:val="16"/>
          <w:szCs w:val="16"/>
          <w:lang w:val="en-US"/>
        </w:rPr>
        <w:t xml:space="preserve">exist </w:t>
      </w:r>
      <w:r w:rsidR="00ED3FC7" w:rsidRPr="00D869E3">
        <w:rPr>
          <w:rFonts w:eastAsia="Arial Unicode MS" w:cs="Arial Unicode MS"/>
          <w:sz w:val="16"/>
          <w:szCs w:val="16"/>
          <w:lang w:val="en-US"/>
        </w:rPr>
        <w:t xml:space="preserve">owing to the way in which </w:t>
      </w:r>
      <w:r w:rsidR="00447C65" w:rsidRPr="00D869E3">
        <w:rPr>
          <w:rFonts w:eastAsia="Arial Unicode MS" w:cs="Arial Unicode MS"/>
          <w:sz w:val="16"/>
          <w:szCs w:val="16"/>
          <w:lang w:val="en-US"/>
        </w:rPr>
        <w:t>the American Convention</w:t>
      </w:r>
      <w:r w:rsidRPr="00D869E3">
        <w:rPr>
          <w:rFonts w:eastAsia="Arial Unicode MS" w:cs="Arial Unicode MS"/>
          <w:sz w:val="16"/>
          <w:szCs w:val="16"/>
          <w:lang w:val="en-US"/>
        </w:rPr>
        <w:t xml:space="preserve"> ha</w:t>
      </w:r>
      <w:r w:rsidR="00ED3FC7" w:rsidRPr="00D869E3">
        <w:rPr>
          <w:rFonts w:eastAsia="Arial Unicode MS" w:cs="Arial Unicode MS"/>
          <w:sz w:val="16"/>
          <w:szCs w:val="16"/>
          <w:lang w:val="en-US"/>
        </w:rPr>
        <w:t>s</w:t>
      </w:r>
      <w:r w:rsidRPr="00D869E3">
        <w:rPr>
          <w:rFonts w:eastAsia="Arial Unicode MS" w:cs="Arial Unicode MS"/>
          <w:sz w:val="16"/>
          <w:szCs w:val="16"/>
          <w:lang w:val="en-US"/>
        </w:rPr>
        <w:t xml:space="preserve"> establ</w:t>
      </w:r>
      <w:r w:rsidR="00ED3FC7" w:rsidRPr="00D869E3">
        <w:rPr>
          <w:rFonts w:eastAsia="Arial Unicode MS" w:cs="Arial Unicode MS"/>
          <w:sz w:val="16"/>
          <w:szCs w:val="16"/>
          <w:lang w:val="en-US"/>
        </w:rPr>
        <w:t>ished</w:t>
      </w:r>
      <w:r w:rsidRPr="00D869E3">
        <w:rPr>
          <w:rFonts w:eastAsia="Arial Unicode MS" w:cs="Arial Unicode MS"/>
          <w:sz w:val="16"/>
          <w:szCs w:val="16"/>
          <w:lang w:val="en-US"/>
        </w:rPr>
        <w:t xml:space="preserve"> </w:t>
      </w:r>
      <w:r w:rsidR="00ED3FC7" w:rsidRPr="00D869E3">
        <w:rPr>
          <w:rFonts w:eastAsia="Arial Unicode MS" w:cs="Arial Unicode MS"/>
          <w:sz w:val="16"/>
          <w:szCs w:val="16"/>
          <w:lang w:val="en-US"/>
        </w:rPr>
        <w:t>the</w:t>
      </w:r>
      <w:r w:rsidRPr="00D869E3">
        <w:rPr>
          <w:rFonts w:eastAsia="Arial Unicode MS" w:cs="Arial Unicode MS"/>
          <w:sz w:val="16"/>
          <w:szCs w:val="16"/>
          <w:lang w:val="en-US"/>
        </w:rPr>
        <w:t xml:space="preserve"> </w:t>
      </w:r>
      <w:r w:rsidR="00ED3FC7" w:rsidRPr="00D869E3">
        <w:rPr>
          <w:rFonts w:eastAsia="Arial Unicode MS" w:cs="Arial Unicode MS"/>
          <w:sz w:val="16"/>
          <w:szCs w:val="16"/>
          <w:lang w:val="en-US"/>
        </w:rPr>
        <w:t>economic, social and cultural rights</w:t>
      </w:r>
      <w:r w:rsidRPr="00D869E3">
        <w:rPr>
          <w:rFonts w:eastAsia="Arial Unicode MS" w:cs="Arial Unicode MS"/>
          <w:sz w:val="16"/>
          <w:szCs w:val="16"/>
          <w:lang w:val="en-US"/>
        </w:rPr>
        <w:t xml:space="preserve"> </w:t>
      </w:r>
      <w:r w:rsidR="00ED3FC7" w:rsidRPr="00D869E3">
        <w:rPr>
          <w:rFonts w:eastAsia="Arial Unicode MS" w:cs="Arial Unicode MS"/>
          <w:sz w:val="16"/>
          <w:szCs w:val="16"/>
          <w:lang w:val="en-US"/>
        </w:rPr>
        <w:t xml:space="preserve">that it contains, this is not a difficulty that the interpretive and hermeneutic effort cannot overcome. Precisely, it is the function </w:t>
      </w:r>
      <w:r w:rsidRPr="00D869E3">
        <w:rPr>
          <w:rFonts w:eastAsia="Arial Unicode MS" w:cs="Arial Unicode MS"/>
          <w:sz w:val="16"/>
          <w:szCs w:val="16"/>
          <w:lang w:val="en-US"/>
        </w:rPr>
        <w:t xml:space="preserve"> </w:t>
      </w:r>
      <w:r w:rsidR="00447C65" w:rsidRPr="00D869E3">
        <w:rPr>
          <w:rFonts w:eastAsia="Arial Unicode MS" w:cs="Arial Unicode MS"/>
          <w:sz w:val="16"/>
          <w:szCs w:val="16"/>
          <w:lang w:val="en-US"/>
        </w:rPr>
        <w:t xml:space="preserve">of </w:t>
      </w:r>
      <w:r w:rsidR="00671B14" w:rsidRPr="00D869E3">
        <w:rPr>
          <w:rFonts w:eastAsia="Arial Unicode MS" w:cs="Arial Unicode MS"/>
          <w:sz w:val="16"/>
          <w:szCs w:val="16"/>
          <w:lang w:val="en-US"/>
        </w:rPr>
        <w:t>the Inter-American Court</w:t>
      </w:r>
      <w:r w:rsidRPr="00D869E3">
        <w:rPr>
          <w:rFonts w:eastAsia="Arial Unicode MS" w:cs="Arial Unicode MS"/>
          <w:sz w:val="16"/>
          <w:szCs w:val="16"/>
          <w:lang w:val="en-US"/>
        </w:rPr>
        <w:t xml:space="preserve"> </w:t>
      </w:r>
      <w:r w:rsidR="00ED3FC7" w:rsidRPr="00D869E3">
        <w:rPr>
          <w:rFonts w:eastAsia="Arial Unicode MS" w:cs="Arial Unicode MS"/>
          <w:sz w:val="16"/>
          <w:szCs w:val="16"/>
          <w:lang w:val="en-US"/>
        </w:rPr>
        <w:t>to interpret</w:t>
      </w:r>
      <w:r w:rsidR="00447C65" w:rsidRPr="00D869E3">
        <w:rPr>
          <w:rFonts w:eastAsia="Arial Unicode MS" w:cs="Arial Unicode MS"/>
          <w:sz w:val="16"/>
          <w:szCs w:val="16"/>
          <w:lang w:val="en-US"/>
        </w:rPr>
        <w:t xml:space="preserve"> the American Convention</w:t>
      </w:r>
      <w:r w:rsidRPr="00D869E3">
        <w:rPr>
          <w:rFonts w:eastAsia="Arial Unicode MS" w:cs="Arial Unicode MS"/>
          <w:sz w:val="16"/>
          <w:szCs w:val="16"/>
          <w:lang w:val="en-US"/>
        </w:rPr>
        <w:t xml:space="preserve">, </w:t>
      </w:r>
      <w:r w:rsidR="00ED3FC7" w:rsidRPr="00D869E3">
        <w:rPr>
          <w:rFonts w:eastAsia="Arial Unicode MS" w:cs="Arial Unicode MS"/>
          <w:sz w:val="16"/>
          <w:szCs w:val="16"/>
          <w:lang w:val="en-US"/>
        </w:rPr>
        <w:t xml:space="preserve">without excusing itself based on the obscurity, vagueness or ambiguity of the terms of the treaty, and taking into consideration the </w:t>
      </w:r>
      <w:r w:rsidRPr="00D869E3">
        <w:rPr>
          <w:rFonts w:eastAsia="Arial Unicode MS" w:cs="Arial Unicode MS"/>
          <w:i/>
          <w:sz w:val="16"/>
          <w:szCs w:val="16"/>
          <w:lang w:val="en-US"/>
        </w:rPr>
        <w:t>pro persona</w:t>
      </w:r>
      <w:r w:rsidRPr="00D869E3">
        <w:rPr>
          <w:rFonts w:eastAsia="Arial Unicode MS" w:cs="Arial Unicode MS"/>
          <w:sz w:val="16"/>
          <w:szCs w:val="16"/>
          <w:lang w:val="en-US"/>
        </w:rPr>
        <w:t xml:space="preserve"> </w:t>
      </w:r>
      <w:r w:rsidR="00ED3FC7" w:rsidRPr="00D869E3">
        <w:rPr>
          <w:rFonts w:eastAsia="Arial Unicode MS" w:cs="Arial Unicode MS"/>
          <w:sz w:val="16"/>
          <w:szCs w:val="16"/>
          <w:lang w:val="en-US"/>
        </w:rPr>
        <w:t>principle contained in</w:t>
      </w:r>
      <w:r w:rsidRPr="00D869E3">
        <w:rPr>
          <w:rFonts w:eastAsia="Arial Unicode MS" w:cs="Arial Unicode MS"/>
          <w:sz w:val="16"/>
          <w:szCs w:val="16"/>
          <w:lang w:val="en-US"/>
        </w:rPr>
        <w:t xml:space="preserve"> </w:t>
      </w:r>
      <w:r w:rsidR="00447C65" w:rsidRPr="00D869E3">
        <w:rPr>
          <w:rFonts w:eastAsia="Arial Unicode MS" w:cs="Arial Unicode MS"/>
          <w:sz w:val="16"/>
          <w:szCs w:val="16"/>
          <w:lang w:val="en-US"/>
        </w:rPr>
        <w:t>Article</w:t>
      </w:r>
      <w:r w:rsidRPr="00D869E3">
        <w:rPr>
          <w:rFonts w:eastAsia="Arial Unicode MS" w:cs="Arial Unicode MS"/>
          <w:sz w:val="16"/>
          <w:szCs w:val="16"/>
          <w:lang w:val="en-US"/>
        </w:rPr>
        <w:t xml:space="preserve"> 29 </w:t>
      </w:r>
      <w:r w:rsidR="00ED3FC7" w:rsidRPr="00D869E3">
        <w:rPr>
          <w:rFonts w:eastAsia="Arial Unicode MS" w:cs="Arial Unicode MS"/>
          <w:sz w:val="16"/>
          <w:szCs w:val="16"/>
          <w:lang w:val="en-US"/>
        </w:rPr>
        <w:t>of the</w:t>
      </w:r>
      <w:r w:rsidRPr="00D869E3">
        <w:rPr>
          <w:rFonts w:eastAsia="Arial Unicode MS" w:cs="Arial Unicode MS"/>
          <w:sz w:val="16"/>
          <w:szCs w:val="16"/>
          <w:lang w:val="en-US"/>
        </w:rPr>
        <w:t xml:space="preserve"> </w:t>
      </w:r>
      <w:r w:rsidR="00671B14" w:rsidRPr="00D869E3">
        <w:rPr>
          <w:rFonts w:eastAsia="Arial Unicode MS" w:cs="Arial Unicode MS"/>
          <w:sz w:val="16"/>
          <w:szCs w:val="16"/>
          <w:lang w:val="en-US"/>
        </w:rPr>
        <w:t>Pact of San José</w:t>
      </w:r>
      <w:r w:rsidRPr="00D869E3">
        <w:rPr>
          <w:rFonts w:eastAsia="Arial Unicode MS" w:cs="Arial Unicode MS"/>
          <w:sz w:val="16"/>
          <w:szCs w:val="16"/>
          <w:lang w:val="en-US"/>
        </w:rPr>
        <w:t xml:space="preserve">. </w:t>
      </w:r>
    </w:p>
    <w:p w14:paraId="5C17910F" w14:textId="77777777" w:rsidR="00F83E8F" w:rsidRPr="00D869E3" w:rsidRDefault="00F83E8F" w:rsidP="00F83E8F">
      <w:pPr>
        <w:widowControl w:val="0"/>
        <w:autoSpaceDE w:val="0"/>
        <w:autoSpaceDN w:val="0"/>
        <w:adjustRightInd w:val="0"/>
        <w:ind w:right="49"/>
        <w:jc w:val="both"/>
        <w:rPr>
          <w:rFonts w:ascii="Verdana" w:hAnsi="Verdana"/>
          <w:sz w:val="20"/>
          <w:szCs w:val="20"/>
          <w:lang w:val="en-US"/>
        </w:rPr>
      </w:pPr>
    </w:p>
    <w:p w14:paraId="0F24D3EE" w14:textId="7B123B72" w:rsidR="00F83E8F" w:rsidRPr="00D869E3" w:rsidRDefault="00ED3FC7" w:rsidP="00E70701">
      <w:pPr>
        <w:pStyle w:val="Prrafodelista"/>
        <w:widowControl w:val="0"/>
        <w:numPr>
          <w:ilvl w:val="0"/>
          <w:numId w:val="28"/>
        </w:numPr>
        <w:autoSpaceDE w:val="0"/>
        <w:autoSpaceDN w:val="0"/>
        <w:adjustRightInd w:val="0"/>
        <w:ind w:left="0" w:right="49" w:firstLine="0"/>
        <w:jc w:val="both"/>
        <w:rPr>
          <w:rFonts w:ascii="Verdana" w:hAnsi="Verdana"/>
          <w:sz w:val="20"/>
          <w:szCs w:val="20"/>
          <w:lang w:val="en-US"/>
        </w:rPr>
      </w:pPr>
      <w:r w:rsidRPr="00D869E3">
        <w:rPr>
          <w:rFonts w:ascii="Verdana" w:hAnsi="Verdana"/>
          <w:sz w:val="20"/>
          <w:szCs w:val="20"/>
          <w:lang w:val="en-US"/>
        </w:rPr>
        <w:t>The</w:t>
      </w:r>
      <w:r w:rsidR="00F83E8F" w:rsidRPr="00D869E3">
        <w:rPr>
          <w:rFonts w:ascii="Verdana" w:hAnsi="Verdana"/>
          <w:sz w:val="20"/>
          <w:szCs w:val="20"/>
          <w:lang w:val="en-US"/>
        </w:rPr>
        <w:t xml:space="preserve"> </w:t>
      </w:r>
      <w:r w:rsidRPr="00D869E3">
        <w:rPr>
          <w:rFonts w:ascii="Verdana" w:hAnsi="Verdana"/>
          <w:sz w:val="20"/>
          <w:szCs w:val="20"/>
          <w:lang w:val="en-US"/>
        </w:rPr>
        <w:t>s</w:t>
      </w:r>
      <w:r w:rsidR="00DB128C" w:rsidRPr="00D869E3">
        <w:rPr>
          <w:rFonts w:ascii="Verdana" w:hAnsi="Verdana"/>
          <w:sz w:val="20"/>
          <w:szCs w:val="20"/>
          <w:lang w:val="en-US"/>
        </w:rPr>
        <w:t>econd</w:t>
      </w:r>
      <w:r w:rsidR="00F83E8F" w:rsidRPr="00D869E3">
        <w:rPr>
          <w:rFonts w:ascii="Verdana" w:hAnsi="Verdana"/>
          <w:sz w:val="20"/>
          <w:szCs w:val="20"/>
          <w:lang w:val="en-US"/>
        </w:rPr>
        <w:t xml:space="preserve"> </w:t>
      </w:r>
      <w:r w:rsidRPr="00D869E3">
        <w:rPr>
          <w:rFonts w:ascii="Verdana" w:hAnsi="Verdana"/>
          <w:sz w:val="20"/>
          <w:szCs w:val="20"/>
          <w:lang w:val="en-US"/>
        </w:rPr>
        <w:t>relevant aspect relat</w:t>
      </w:r>
      <w:r w:rsidR="00701B94" w:rsidRPr="00D869E3">
        <w:rPr>
          <w:rFonts w:ascii="Verdana" w:hAnsi="Verdana"/>
          <w:sz w:val="20"/>
          <w:szCs w:val="20"/>
          <w:lang w:val="en-US"/>
        </w:rPr>
        <w:t>es</w:t>
      </w:r>
      <w:r w:rsidRPr="00D869E3">
        <w:rPr>
          <w:rFonts w:ascii="Verdana" w:hAnsi="Verdana"/>
          <w:sz w:val="20"/>
          <w:szCs w:val="20"/>
          <w:lang w:val="en-US"/>
        </w:rPr>
        <w:t xml:space="preserve"> to </w:t>
      </w:r>
      <w:r w:rsidR="0087339F" w:rsidRPr="00D869E3">
        <w:rPr>
          <w:rFonts w:ascii="Verdana" w:hAnsi="Verdana"/>
          <w:sz w:val="20"/>
          <w:szCs w:val="20"/>
          <w:lang w:val="en-US"/>
        </w:rPr>
        <w:t>Advisory Opinion</w:t>
      </w:r>
      <w:r w:rsidR="00F83E8F" w:rsidRPr="00D869E3">
        <w:rPr>
          <w:rFonts w:ascii="Verdana" w:hAnsi="Verdana"/>
          <w:sz w:val="20"/>
          <w:szCs w:val="20"/>
          <w:lang w:val="en-US"/>
        </w:rPr>
        <w:t xml:space="preserve"> No. 10 —</w:t>
      </w:r>
      <w:r w:rsidRPr="00D869E3">
        <w:rPr>
          <w:rFonts w:ascii="Verdana" w:hAnsi="Verdana"/>
          <w:sz w:val="20"/>
          <w:szCs w:val="20"/>
          <w:lang w:val="en-US"/>
        </w:rPr>
        <w:t xml:space="preserve"> on the interp</w:t>
      </w:r>
      <w:r w:rsidR="000347A6" w:rsidRPr="00D869E3">
        <w:rPr>
          <w:rFonts w:ascii="Verdana" w:hAnsi="Verdana"/>
          <w:sz w:val="20"/>
          <w:szCs w:val="20"/>
          <w:lang w:val="en-US"/>
        </w:rPr>
        <w:t>re</w:t>
      </w:r>
      <w:r w:rsidRPr="00D869E3">
        <w:rPr>
          <w:rFonts w:ascii="Verdana" w:hAnsi="Verdana"/>
          <w:sz w:val="20"/>
          <w:szCs w:val="20"/>
          <w:lang w:val="en-US"/>
        </w:rPr>
        <w:t xml:space="preserve">tation of the </w:t>
      </w:r>
      <w:r w:rsidR="00360553" w:rsidRPr="00D869E3">
        <w:rPr>
          <w:rFonts w:ascii="Verdana" w:hAnsi="Verdana"/>
          <w:sz w:val="20"/>
          <w:szCs w:val="20"/>
          <w:lang w:val="en-US"/>
        </w:rPr>
        <w:t>American Declaration of the Rights and Duties of Man</w:t>
      </w:r>
      <w:r w:rsidR="00F83E8F" w:rsidRPr="00D869E3">
        <w:rPr>
          <w:rFonts w:ascii="Verdana" w:hAnsi="Verdana"/>
          <w:sz w:val="20"/>
          <w:szCs w:val="20"/>
          <w:lang w:val="en-US"/>
        </w:rPr>
        <w:t xml:space="preserve"> </w:t>
      </w:r>
      <w:r w:rsidR="00FE7426" w:rsidRPr="00D869E3">
        <w:rPr>
          <w:rFonts w:ascii="Verdana" w:hAnsi="Verdana"/>
          <w:sz w:val="20"/>
          <w:szCs w:val="20"/>
          <w:lang w:val="en-US"/>
        </w:rPr>
        <w:t>within the framework</w:t>
      </w:r>
      <w:r w:rsidRPr="00D869E3">
        <w:rPr>
          <w:rFonts w:ascii="Verdana" w:hAnsi="Verdana"/>
          <w:sz w:val="20"/>
          <w:szCs w:val="20"/>
          <w:lang w:val="en-US"/>
        </w:rPr>
        <w:t xml:space="preserve"> of</w:t>
      </w:r>
      <w:r w:rsidR="00687684" w:rsidRPr="00D869E3">
        <w:rPr>
          <w:rFonts w:ascii="Verdana" w:hAnsi="Verdana"/>
          <w:sz w:val="20"/>
          <w:szCs w:val="20"/>
          <w:lang w:val="en-US"/>
        </w:rPr>
        <w:t xml:space="preserve"> Article</w:t>
      </w:r>
      <w:r w:rsidR="00F83E8F" w:rsidRPr="00D869E3">
        <w:rPr>
          <w:rFonts w:ascii="Verdana" w:hAnsi="Verdana"/>
          <w:sz w:val="20"/>
          <w:szCs w:val="20"/>
          <w:lang w:val="en-US"/>
        </w:rPr>
        <w:t xml:space="preserve"> 64</w:t>
      </w:r>
      <w:r w:rsidR="00447C65" w:rsidRPr="00D869E3">
        <w:rPr>
          <w:rFonts w:ascii="Verdana" w:hAnsi="Verdana"/>
          <w:sz w:val="20"/>
          <w:szCs w:val="20"/>
          <w:lang w:val="en-US"/>
        </w:rPr>
        <w:t xml:space="preserve"> of the American Convention</w:t>
      </w:r>
      <w:r w:rsidR="00F83E8F" w:rsidRPr="00D869E3">
        <w:rPr>
          <w:rStyle w:val="Refdenotaalpie"/>
          <w:szCs w:val="20"/>
          <w:lang w:val="en-US"/>
        </w:rPr>
        <w:footnoteReference w:id="312"/>
      </w:r>
      <w:r w:rsidRPr="00D869E3">
        <w:rPr>
          <w:rFonts w:ascii="Verdana" w:hAnsi="Verdana"/>
          <w:sz w:val="20"/>
          <w:szCs w:val="20"/>
          <w:lang w:val="en-US"/>
        </w:rPr>
        <w:t xml:space="preserve"> </w:t>
      </w:r>
      <w:r w:rsidR="00F83E8F" w:rsidRPr="00D869E3">
        <w:rPr>
          <w:rFonts w:ascii="Verdana" w:hAnsi="Verdana"/>
          <w:sz w:val="20"/>
          <w:szCs w:val="20"/>
          <w:lang w:val="en-US"/>
        </w:rPr>
        <w:t xml:space="preserve">— </w:t>
      </w:r>
      <w:r w:rsidR="00FE7426" w:rsidRPr="00D869E3">
        <w:rPr>
          <w:rFonts w:ascii="Verdana" w:hAnsi="Verdana"/>
          <w:sz w:val="20"/>
          <w:szCs w:val="20"/>
          <w:lang w:val="en-US"/>
        </w:rPr>
        <w:t>which</w:t>
      </w:r>
      <w:r w:rsidR="00F83E8F" w:rsidRPr="00D869E3">
        <w:rPr>
          <w:rFonts w:ascii="Verdana" w:hAnsi="Verdana"/>
          <w:sz w:val="20"/>
          <w:szCs w:val="20"/>
          <w:lang w:val="en-US"/>
        </w:rPr>
        <w:t xml:space="preserve"> </w:t>
      </w:r>
      <w:r w:rsidR="00671B14" w:rsidRPr="00D869E3">
        <w:rPr>
          <w:rFonts w:ascii="Verdana" w:hAnsi="Verdana"/>
          <w:sz w:val="20"/>
          <w:szCs w:val="20"/>
          <w:lang w:val="en-US"/>
        </w:rPr>
        <w:t>the Inter-American Court</w:t>
      </w:r>
      <w:r w:rsidR="00FE7426" w:rsidRPr="00D869E3">
        <w:rPr>
          <w:rFonts w:ascii="Verdana" w:hAnsi="Verdana"/>
          <w:sz w:val="20"/>
          <w:szCs w:val="20"/>
          <w:lang w:val="en-US"/>
        </w:rPr>
        <w:t xml:space="preserve"> used when delivering its </w:t>
      </w:r>
      <w:r w:rsidR="00FE7426" w:rsidRPr="00D869E3">
        <w:rPr>
          <w:rFonts w:ascii="Verdana" w:hAnsi="Verdana"/>
          <w:sz w:val="20"/>
          <w:szCs w:val="20"/>
          <w:lang w:val="en-US"/>
        </w:rPr>
        <w:lastRenderedPageBreak/>
        <w:t>judgment.</w:t>
      </w:r>
      <w:r w:rsidR="00F83E8F" w:rsidRPr="00D869E3">
        <w:rPr>
          <w:rFonts w:ascii="Verdana" w:hAnsi="Verdana"/>
          <w:sz w:val="20"/>
          <w:szCs w:val="20"/>
          <w:lang w:val="en-US"/>
        </w:rPr>
        <w:t xml:space="preserve"> </w:t>
      </w:r>
      <w:r w:rsidR="00FE7426" w:rsidRPr="00D869E3">
        <w:rPr>
          <w:rFonts w:ascii="Verdana" w:hAnsi="Verdana"/>
          <w:sz w:val="20"/>
          <w:szCs w:val="20"/>
          <w:lang w:val="en-US"/>
        </w:rPr>
        <w:t xml:space="preserve">This is because, </w:t>
      </w:r>
      <w:r w:rsidR="00701B94" w:rsidRPr="00D869E3">
        <w:rPr>
          <w:rFonts w:ascii="Verdana" w:hAnsi="Verdana"/>
          <w:sz w:val="20"/>
          <w:szCs w:val="20"/>
          <w:lang w:val="en-US"/>
        </w:rPr>
        <w:t>in that opinion</w:t>
      </w:r>
      <w:r w:rsidR="00FE7426" w:rsidRPr="00D869E3">
        <w:rPr>
          <w:rFonts w:ascii="Verdana" w:hAnsi="Verdana"/>
          <w:sz w:val="20"/>
          <w:szCs w:val="20"/>
          <w:lang w:val="en-US"/>
        </w:rPr>
        <w:t xml:space="preserve">, </w:t>
      </w:r>
      <w:r w:rsidR="00185A57" w:rsidRPr="00D869E3">
        <w:rPr>
          <w:rFonts w:ascii="Verdana" w:hAnsi="Verdana"/>
          <w:sz w:val="20"/>
          <w:szCs w:val="20"/>
          <w:lang w:val="en-US"/>
        </w:rPr>
        <w:t>the Inter-American Court</w:t>
      </w:r>
      <w:r w:rsidR="00F83E8F" w:rsidRPr="00D869E3">
        <w:rPr>
          <w:rFonts w:ascii="Verdana" w:hAnsi="Verdana"/>
          <w:sz w:val="20"/>
          <w:szCs w:val="20"/>
          <w:lang w:val="en-US"/>
        </w:rPr>
        <w:t xml:space="preserve"> consider</w:t>
      </w:r>
      <w:r w:rsidR="00FE7426" w:rsidRPr="00D869E3">
        <w:rPr>
          <w:rFonts w:ascii="Verdana" w:hAnsi="Verdana"/>
          <w:sz w:val="20"/>
          <w:szCs w:val="20"/>
          <w:lang w:val="en-US"/>
        </w:rPr>
        <w:t>ed that</w:t>
      </w:r>
      <w:r w:rsidR="00F83E8F" w:rsidRPr="00D869E3">
        <w:rPr>
          <w:rFonts w:ascii="Verdana" w:hAnsi="Verdana"/>
          <w:sz w:val="20"/>
          <w:szCs w:val="20"/>
          <w:lang w:val="en-US"/>
        </w:rPr>
        <w:t xml:space="preserve"> </w:t>
      </w:r>
      <w:r w:rsidR="006436CA" w:rsidRPr="00D869E3">
        <w:rPr>
          <w:rFonts w:ascii="Verdana" w:hAnsi="Verdana"/>
          <w:sz w:val="20"/>
          <w:szCs w:val="20"/>
          <w:lang w:val="en-US"/>
        </w:rPr>
        <w:t>“</w:t>
      </w:r>
      <w:r w:rsidR="00F83E8F" w:rsidRPr="00D869E3">
        <w:rPr>
          <w:rFonts w:ascii="Verdana" w:hAnsi="Verdana"/>
          <w:sz w:val="20"/>
          <w:szCs w:val="20"/>
          <w:lang w:val="en-US"/>
        </w:rPr>
        <w:t>[</w:t>
      </w:r>
      <w:r w:rsidR="00FE7426" w:rsidRPr="00D869E3">
        <w:rPr>
          <w:rFonts w:ascii="Verdana" w:hAnsi="Verdana"/>
          <w:sz w:val="20"/>
          <w:szCs w:val="20"/>
          <w:lang w:val="en-US"/>
        </w:rPr>
        <w:t>t</w:t>
      </w:r>
      <w:r w:rsidR="00F83E8F" w:rsidRPr="00D869E3">
        <w:rPr>
          <w:rFonts w:ascii="Verdana" w:hAnsi="Verdana"/>
          <w:sz w:val="20"/>
          <w:szCs w:val="20"/>
          <w:lang w:val="en-US"/>
        </w:rPr>
        <w:t>]</w:t>
      </w:r>
      <w:r w:rsidR="00FE7426" w:rsidRPr="00D869E3">
        <w:rPr>
          <w:rFonts w:ascii="Verdana" w:hAnsi="Verdana"/>
          <w:sz w:val="20"/>
          <w:szCs w:val="20"/>
          <w:lang w:val="en-US"/>
        </w:rPr>
        <w:t xml:space="preserve">he Member States have understood that the Declaration contains and defines those essential </w:t>
      </w:r>
      <w:r w:rsidR="00B443B4" w:rsidRPr="00D869E3">
        <w:rPr>
          <w:rFonts w:ascii="Verdana" w:eastAsiaTheme="minorHAnsi" w:hAnsi="Verdana" w:cs="Verdana"/>
          <w:sz w:val="20"/>
          <w:szCs w:val="20"/>
          <w:lang w:val="en-US"/>
        </w:rPr>
        <w:t>human rights</w:t>
      </w:r>
      <w:r w:rsidR="00F83E8F" w:rsidRPr="00D869E3">
        <w:rPr>
          <w:rFonts w:ascii="Verdana" w:eastAsiaTheme="minorHAnsi" w:hAnsi="Verdana" w:cs="Verdana"/>
          <w:sz w:val="20"/>
          <w:szCs w:val="20"/>
          <w:lang w:val="en-US"/>
        </w:rPr>
        <w:t xml:space="preserve"> </w:t>
      </w:r>
      <w:r w:rsidR="00FE7426" w:rsidRPr="00D869E3">
        <w:rPr>
          <w:rFonts w:ascii="Verdana" w:eastAsiaTheme="minorHAnsi" w:hAnsi="Verdana" w:cs="Verdana"/>
          <w:sz w:val="20"/>
          <w:szCs w:val="20"/>
          <w:lang w:val="en-US"/>
        </w:rPr>
        <w:t xml:space="preserve">referred to in the Charter </w:t>
      </w:r>
      <w:r w:rsidR="00F83E8F" w:rsidRPr="00D869E3">
        <w:rPr>
          <w:rFonts w:ascii="Verdana" w:eastAsiaTheme="minorHAnsi" w:hAnsi="Verdana" w:cs="Verdana"/>
          <w:sz w:val="20"/>
          <w:szCs w:val="20"/>
          <w:lang w:val="en-US"/>
        </w:rPr>
        <w:t>[…]</w:t>
      </w:r>
      <w:r w:rsidR="00FE7426" w:rsidRPr="00D869E3">
        <w:rPr>
          <w:rFonts w:ascii="Verdana" w:eastAsiaTheme="minorHAnsi" w:hAnsi="Verdana" w:cs="Verdana"/>
          <w:sz w:val="20"/>
          <w:szCs w:val="20"/>
          <w:lang w:val="en-US"/>
        </w:rPr>
        <w:t>.</w:t>
      </w:r>
      <w:r w:rsidR="006436CA" w:rsidRPr="00D869E3">
        <w:rPr>
          <w:rFonts w:ascii="Verdana" w:eastAsiaTheme="minorHAnsi" w:hAnsi="Verdana" w:cs="Verdana"/>
          <w:sz w:val="20"/>
          <w:szCs w:val="20"/>
          <w:lang w:val="en-US"/>
        </w:rPr>
        <w:t>”</w:t>
      </w:r>
      <w:r w:rsidR="00F83E8F" w:rsidRPr="00D869E3">
        <w:rPr>
          <w:rFonts w:ascii="Verdana" w:eastAsiaTheme="minorHAnsi" w:hAnsi="Verdana" w:cs="Verdana"/>
          <w:sz w:val="20"/>
          <w:szCs w:val="20"/>
          <w:lang w:val="en-US"/>
        </w:rPr>
        <w:t xml:space="preserve"> </w:t>
      </w:r>
      <w:r w:rsidR="00FE7426" w:rsidRPr="00D869E3">
        <w:rPr>
          <w:rFonts w:ascii="Verdana" w:eastAsiaTheme="minorHAnsi" w:hAnsi="Verdana" w:cs="Verdana"/>
          <w:sz w:val="20"/>
          <w:szCs w:val="20"/>
          <w:lang w:val="en-US"/>
        </w:rPr>
        <w:t>Thus</w:t>
      </w:r>
      <w:r w:rsidR="00F83E8F" w:rsidRPr="00D869E3">
        <w:rPr>
          <w:rFonts w:ascii="Verdana" w:eastAsiaTheme="minorHAnsi" w:hAnsi="Verdana" w:cs="Verdana"/>
          <w:sz w:val="20"/>
          <w:szCs w:val="20"/>
          <w:lang w:val="en-US"/>
        </w:rPr>
        <w:t xml:space="preserve">, </w:t>
      </w:r>
      <w:r w:rsidR="00671B14" w:rsidRPr="00D869E3">
        <w:rPr>
          <w:rFonts w:ascii="Verdana" w:eastAsiaTheme="minorHAnsi" w:hAnsi="Verdana" w:cs="Verdana"/>
          <w:sz w:val="20"/>
          <w:szCs w:val="20"/>
          <w:lang w:val="en-US"/>
        </w:rPr>
        <w:t>the Inter-American Court</w:t>
      </w:r>
      <w:r w:rsidR="00F83E8F" w:rsidRPr="00D869E3">
        <w:rPr>
          <w:rFonts w:ascii="Verdana" w:eastAsiaTheme="minorHAnsi" w:hAnsi="Verdana" w:cs="Verdana"/>
          <w:sz w:val="20"/>
          <w:szCs w:val="20"/>
          <w:lang w:val="en-US"/>
        </w:rPr>
        <w:t xml:space="preserve"> observ</w:t>
      </w:r>
      <w:r w:rsidR="00FE7426" w:rsidRPr="00D869E3">
        <w:rPr>
          <w:rFonts w:ascii="Verdana" w:eastAsiaTheme="minorHAnsi" w:hAnsi="Verdana" w:cs="Verdana"/>
          <w:sz w:val="20"/>
          <w:szCs w:val="20"/>
          <w:lang w:val="en-US"/>
        </w:rPr>
        <w:t xml:space="preserve">ed that </w:t>
      </w:r>
      <w:r w:rsidR="000B2E5E" w:rsidRPr="00D869E3">
        <w:rPr>
          <w:rFonts w:ascii="Verdana" w:eastAsiaTheme="minorHAnsi" w:hAnsi="Verdana" w:cs="Verdana"/>
          <w:sz w:val="20"/>
          <w:szCs w:val="20"/>
          <w:lang w:val="en-US"/>
        </w:rPr>
        <w:t xml:space="preserve">the </w:t>
      </w:r>
      <w:r w:rsidR="00301DBE" w:rsidRPr="00D869E3">
        <w:rPr>
          <w:rFonts w:ascii="Verdana" w:eastAsiaTheme="minorHAnsi" w:hAnsi="Verdana" w:cs="Verdana"/>
          <w:sz w:val="20"/>
          <w:szCs w:val="20"/>
          <w:lang w:val="en-US"/>
        </w:rPr>
        <w:t>right to work</w:t>
      </w:r>
      <w:r w:rsidR="00F83E8F" w:rsidRPr="00D869E3">
        <w:rPr>
          <w:rFonts w:ascii="Verdana" w:eastAsiaTheme="minorHAnsi" w:hAnsi="Verdana" w:cs="Verdana"/>
          <w:sz w:val="20"/>
          <w:szCs w:val="20"/>
          <w:lang w:val="en-US"/>
        </w:rPr>
        <w:t xml:space="preserve"> </w:t>
      </w:r>
      <w:r w:rsidR="00FE7426" w:rsidRPr="00D869E3">
        <w:rPr>
          <w:rFonts w:ascii="Verdana" w:eastAsiaTheme="minorHAnsi" w:hAnsi="Verdana" w:cs="Verdana"/>
          <w:sz w:val="20"/>
          <w:szCs w:val="20"/>
          <w:lang w:val="en-US"/>
        </w:rPr>
        <w:t>is found in</w:t>
      </w:r>
      <w:r w:rsidR="00F83E8F" w:rsidRPr="00D869E3">
        <w:rPr>
          <w:rFonts w:ascii="Verdana" w:eastAsiaTheme="minorHAnsi" w:hAnsi="Verdana" w:cs="Verdana"/>
          <w:sz w:val="20"/>
          <w:szCs w:val="20"/>
          <w:lang w:val="en-US"/>
        </w:rPr>
        <w:t xml:space="preserve"> </w:t>
      </w:r>
      <w:r w:rsidR="00447C65" w:rsidRPr="00D869E3">
        <w:rPr>
          <w:rFonts w:ascii="Verdana" w:eastAsiaTheme="minorHAnsi" w:hAnsi="Verdana" w:cs="Verdana"/>
          <w:sz w:val="20"/>
          <w:szCs w:val="20"/>
          <w:lang w:val="en-US"/>
        </w:rPr>
        <w:t>Article</w:t>
      </w:r>
      <w:r w:rsidR="00F83E8F" w:rsidRPr="00D869E3">
        <w:rPr>
          <w:rFonts w:ascii="Verdana" w:eastAsiaTheme="minorHAnsi" w:hAnsi="Verdana" w:cs="Verdana"/>
          <w:sz w:val="20"/>
          <w:szCs w:val="20"/>
          <w:lang w:val="en-US"/>
        </w:rPr>
        <w:t xml:space="preserve"> XIV</w:t>
      </w:r>
      <w:r w:rsidR="00FE7426" w:rsidRPr="00D869E3">
        <w:rPr>
          <w:rFonts w:ascii="Verdana" w:eastAsiaTheme="minorHAnsi" w:hAnsi="Verdana" w:cs="Verdana"/>
          <w:sz w:val="20"/>
          <w:szCs w:val="20"/>
          <w:lang w:val="en-US"/>
        </w:rPr>
        <w:t xml:space="preserve"> of the American Declaration.</w:t>
      </w:r>
      <w:r w:rsidR="00F83E8F" w:rsidRPr="00D869E3">
        <w:rPr>
          <w:rStyle w:val="Refdenotaalpie"/>
          <w:rFonts w:eastAsiaTheme="minorHAnsi" w:cs="Verdana"/>
          <w:szCs w:val="20"/>
          <w:lang w:val="en-US"/>
        </w:rPr>
        <w:footnoteReference w:id="313"/>
      </w:r>
      <w:r w:rsidR="00FE7426" w:rsidRPr="00D869E3">
        <w:rPr>
          <w:rFonts w:ascii="Verdana" w:eastAsiaTheme="minorHAnsi" w:hAnsi="Verdana" w:cs="Verdana"/>
          <w:sz w:val="20"/>
          <w:szCs w:val="20"/>
          <w:lang w:val="en-US"/>
        </w:rPr>
        <w:t xml:space="preserve"> The third relevant aspect consists in the national and international </w:t>
      </w:r>
      <w:r w:rsidR="00F83E8F" w:rsidRPr="00D869E3">
        <w:rPr>
          <w:rFonts w:ascii="Verdana" w:eastAsiaTheme="minorHAnsi" w:hAnsi="Verdana" w:cs="Verdana"/>
          <w:i/>
          <w:sz w:val="20"/>
          <w:szCs w:val="20"/>
          <w:lang w:val="en-US"/>
        </w:rPr>
        <w:t>corpus iuris</w:t>
      </w:r>
      <w:r w:rsidR="00F83E8F" w:rsidRPr="00D869E3">
        <w:rPr>
          <w:rFonts w:ascii="Verdana" w:eastAsiaTheme="minorHAnsi" w:hAnsi="Verdana" w:cs="Verdana"/>
          <w:sz w:val="20"/>
          <w:szCs w:val="20"/>
          <w:lang w:val="en-US"/>
        </w:rPr>
        <w:t xml:space="preserve"> </w:t>
      </w:r>
      <w:r w:rsidR="00FE7426" w:rsidRPr="00D869E3">
        <w:rPr>
          <w:rFonts w:ascii="Verdana" w:eastAsiaTheme="minorHAnsi" w:hAnsi="Verdana" w:cs="Verdana"/>
          <w:sz w:val="20"/>
          <w:szCs w:val="20"/>
          <w:lang w:val="en-US"/>
        </w:rPr>
        <w:t xml:space="preserve">that protects </w:t>
      </w:r>
      <w:r w:rsidR="000B2E5E" w:rsidRPr="00D869E3">
        <w:rPr>
          <w:rFonts w:ascii="Verdana" w:eastAsiaTheme="minorHAnsi" w:hAnsi="Verdana" w:cs="Verdana"/>
          <w:sz w:val="20"/>
          <w:szCs w:val="20"/>
          <w:lang w:val="en-US"/>
        </w:rPr>
        <w:t xml:space="preserve">the </w:t>
      </w:r>
      <w:r w:rsidR="00301DBE" w:rsidRPr="00D869E3">
        <w:rPr>
          <w:rFonts w:ascii="Verdana" w:eastAsiaTheme="minorHAnsi" w:hAnsi="Verdana" w:cs="Verdana"/>
          <w:sz w:val="20"/>
          <w:szCs w:val="20"/>
          <w:lang w:val="en-US"/>
        </w:rPr>
        <w:t>right to work</w:t>
      </w:r>
      <w:r w:rsidR="00F83E8F" w:rsidRPr="00D869E3">
        <w:rPr>
          <w:rFonts w:ascii="Verdana" w:eastAsiaTheme="minorHAnsi" w:hAnsi="Verdana" w:cs="Verdana"/>
          <w:sz w:val="20"/>
          <w:szCs w:val="20"/>
          <w:lang w:val="en-US"/>
        </w:rPr>
        <w:t xml:space="preserve"> </w:t>
      </w:r>
      <w:r w:rsidR="00FE7426" w:rsidRPr="00D869E3">
        <w:rPr>
          <w:rFonts w:ascii="Verdana" w:eastAsiaTheme="minorHAnsi" w:hAnsi="Verdana" w:cs="Verdana"/>
          <w:sz w:val="20"/>
          <w:szCs w:val="20"/>
          <w:lang w:val="en-US"/>
        </w:rPr>
        <w:t>as an autonomous right,</w:t>
      </w:r>
      <w:r w:rsidR="00F83E8F" w:rsidRPr="00D869E3">
        <w:rPr>
          <w:rStyle w:val="Refdenotaalpie"/>
          <w:rFonts w:eastAsiaTheme="minorHAnsi" w:cs="Verdana"/>
          <w:szCs w:val="20"/>
          <w:lang w:val="en-US"/>
        </w:rPr>
        <w:footnoteReference w:id="314"/>
      </w:r>
      <w:r w:rsidR="00F83E8F" w:rsidRPr="00D869E3">
        <w:rPr>
          <w:rFonts w:ascii="Verdana" w:eastAsiaTheme="minorHAnsi" w:hAnsi="Verdana" w:cs="Verdana"/>
          <w:sz w:val="20"/>
          <w:szCs w:val="20"/>
          <w:lang w:val="en-US"/>
        </w:rPr>
        <w:t xml:space="preserve"> </w:t>
      </w:r>
      <w:r w:rsidR="00FE7426" w:rsidRPr="00D869E3">
        <w:rPr>
          <w:rFonts w:ascii="Verdana" w:eastAsiaTheme="minorHAnsi" w:hAnsi="Verdana" w:cs="Verdana"/>
          <w:sz w:val="20"/>
          <w:szCs w:val="20"/>
          <w:lang w:val="en-US"/>
        </w:rPr>
        <w:t>and</w:t>
      </w:r>
      <w:r w:rsidR="00F83E8F" w:rsidRPr="00D869E3">
        <w:rPr>
          <w:rFonts w:ascii="Verdana" w:eastAsiaTheme="minorHAnsi" w:hAnsi="Verdana" w:cs="Verdana"/>
          <w:sz w:val="20"/>
          <w:szCs w:val="20"/>
          <w:lang w:val="en-US"/>
        </w:rPr>
        <w:t xml:space="preserve"> </w:t>
      </w:r>
      <w:r w:rsidR="00671B14" w:rsidRPr="00D869E3">
        <w:rPr>
          <w:rFonts w:ascii="Verdana" w:eastAsiaTheme="minorHAnsi" w:hAnsi="Verdana" w:cs="Verdana"/>
          <w:sz w:val="20"/>
          <w:szCs w:val="20"/>
          <w:lang w:val="en-US"/>
        </w:rPr>
        <w:t>the Inter-American Court</w:t>
      </w:r>
      <w:r w:rsidR="00F83E8F" w:rsidRPr="00D869E3">
        <w:rPr>
          <w:rFonts w:ascii="Verdana" w:eastAsiaTheme="minorHAnsi" w:hAnsi="Verdana" w:cs="Verdana"/>
          <w:sz w:val="20"/>
          <w:szCs w:val="20"/>
          <w:lang w:val="en-US"/>
        </w:rPr>
        <w:t xml:space="preserve"> </w:t>
      </w:r>
      <w:r w:rsidR="00FE7426" w:rsidRPr="00D869E3">
        <w:rPr>
          <w:rFonts w:ascii="Verdana" w:eastAsiaTheme="minorHAnsi" w:hAnsi="Verdana" w:cs="Verdana"/>
          <w:sz w:val="20"/>
          <w:szCs w:val="20"/>
          <w:lang w:val="en-US"/>
        </w:rPr>
        <w:t xml:space="preserve">took this into consideration when taking its decision in the instant case. Lastly, the fourth relevant aspect refers to the development of </w:t>
      </w:r>
      <w:r w:rsidR="00A157F5" w:rsidRPr="00D869E3">
        <w:rPr>
          <w:rFonts w:ascii="Verdana" w:eastAsiaTheme="minorHAnsi" w:hAnsi="Verdana" w:cs="Verdana"/>
          <w:sz w:val="20"/>
          <w:szCs w:val="20"/>
          <w:lang w:val="en-US"/>
        </w:rPr>
        <w:t xml:space="preserve">the </w:t>
      </w:r>
      <w:r w:rsidR="000B2E5E" w:rsidRPr="00D869E3">
        <w:rPr>
          <w:rFonts w:ascii="Verdana" w:eastAsiaTheme="minorHAnsi" w:hAnsi="Verdana" w:cs="Verdana"/>
          <w:sz w:val="20"/>
          <w:szCs w:val="20"/>
          <w:lang w:val="en-US"/>
        </w:rPr>
        <w:t xml:space="preserve">right </w:t>
      </w:r>
      <w:r w:rsidR="002C5EA9" w:rsidRPr="00D869E3">
        <w:rPr>
          <w:rFonts w:ascii="Verdana" w:eastAsiaTheme="minorHAnsi" w:hAnsi="Verdana" w:cs="Verdana"/>
          <w:sz w:val="20"/>
          <w:szCs w:val="20"/>
          <w:lang w:val="en-US"/>
        </w:rPr>
        <w:t>to job security</w:t>
      </w:r>
      <w:r w:rsidR="00F83E8F" w:rsidRPr="00D869E3">
        <w:rPr>
          <w:rFonts w:ascii="Verdana" w:eastAsiaTheme="minorHAnsi" w:hAnsi="Verdana" w:cs="Verdana"/>
          <w:sz w:val="20"/>
          <w:szCs w:val="20"/>
          <w:lang w:val="en-US"/>
        </w:rPr>
        <w:t xml:space="preserve"> </w:t>
      </w:r>
      <w:r w:rsidR="00FE7426" w:rsidRPr="00D869E3">
        <w:rPr>
          <w:rFonts w:ascii="Verdana" w:eastAsiaTheme="minorHAnsi" w:hAnsi="Verdana" w:cs="Verdana"/>
          <w:sz w:val="20"/>
          <w:szCs w:val="20"/>
          <w:lang w:val="en-US"/>
        </w:rPr>
        <w:t xml:space="preserve">under the laws of Peru, in the Constitutions </w:t>
      </w:r>
      <w:r w:rsidR="00F83E8F" w:rsidRPr="00D869E3">
        <w:rPr>
          <w:rFonts w:ascii="Verdana" w:eastAsiaTheme="minorHAnsi" w:hAnsi="Verdana" w:cs="Verdana"/>
          <w:sz w:val="20"/>
          <w:szCs w:val="20"/>
          <w:lang w:val="en-US"/>
        </w:rPr>
        <w:t>(</w:t>
      </w:r>
      <w:r w:rsidR="00FE7426" w:rsidRPr="00D869E3">
        <w:rPr>
          <w:rFonts w:ascii="Verdana" w:eastAsiaTheme="minorHAnsi" w:hAnsi="Verdana" w:cs="Verdana"/>
          <w:sz w:val="20"/>
          <w:szCs w:val="20"/>
          <w:lang w:val="en-US"/>
        </w:rPr>
        <w:t>of</w:t>
      </w:r>
      <w:r w:rsidR="00F83E8F" w:rsidRPr="00D869E3">
        <w:rPr>
          <w:rFonts w:ascii="Verdana" w:eastAsiaTheme="minorHAnsi" w:hAnsi="Verdana" w:cs="Verdana"/>
          <w:sz w:val="20"/>
          <w:szCs w:val="20"/>
          <w:lang w:val="en-US"/>
        </w:rPr>
        <w:t xml:space="preserve"> 1979</w:t>
      </w:r>
      <w:r w:rsidR="00687684" w:rsidRPr="00D869E3">
        <w:rPr>
          <w:rFonts w:ascii="Verdana" w:eastAsiaTheme="minorHAnsi" w:hAnsi="Verdana" w:cs="Verdana"/>
          <w:sz w:val="20"/>
          <w:szCs w:val="20"/>
          <w:lang w:val="en-US"/>
        </w:rPr>
        <w:t xml:space="preserve"> and </w:t>
      </w:r>
      <w:r w:rsidR="00F83E8F" w:rsidRPr="00D869E3">
        <w:rPr>
          <w:rFonts w:ascii="Verdana" w:eastAsiaTheme="minorHAnsi" w:hAnsi="Verdana" w:cs="Verdana"/>
          <w:sz w:val="20"/>
          <w:szCs w:val="20"/>
          <w:lang w:val="en-US"/>
        </w:rPr>
        <w:t>1993)</w:t>
      </w:r>
      <w:r w:rsidR="00687684" w:rsidRPr="00D869E3">
        <w:rPr>
          <w:rFonts w:ascii="Verdana" w:eastAsiaTheme="minorHAnsi" w:hAnsi="Verdana" w:cs="Verdana"/>
          <w:sz w:val="20"/>
          <w:szCs w:val="20"/>
          <w:lang w:val="en-US"/>
        </w:rPr>
        <w:t xml:space="preserve"> and </w:t>
      </w:r>
      <w:r w:rsidR="00FE7426" w:rsidRPr="00D869E3">
        <w:rPr>
          <w:rFonts w:ascii="Verdana" w:eastAsiaTheme="minorHAnsi" w:hAnsi="Verdana" w:cs="Verdana"/>
          <w:sz w:val="20"/>
          <w:szCs w:val="20"/>
          <w:lang w:val="en-US"/>
        </w:rPr>
        <w:t>the labor legislation.</w:t>
      </w:r>
      <w:r w:rsidR="00F83E8F" w:rsidRPr="00D869E3">
        <w:rPr>
          <w:rStyle w:val="Refdenotaalpie"/>
          <w:rFonts w:eastAsiaTheme="minorHAnsi" w:cs="Verdana"/>
          <w:szCs w:val="20"/>
          <w:lang w:val="en-US"/>
        </w:rPr>
        <w:footnoteReference w:id="315"/>
      </w:r>
      <w:r w:rsidR="00F83E8F" w:rsidRPr="00D869E3">
        <w:rPr>
          <w:rFonts w:ascii="Verdana" w:eastAsiaTheme="minorHAnsi" w:hAnsi="Verdana" w:cs="Verdana"/>
          <w:sz w:val="20"/>
          <w:szCs w:val="20"/>
          <w:lang w:val="en-US"/>
        </w:rPr>
        <w:t xml:space="preserve">  </w:t>
      </w:r>
    </w:p>
    <w:p w14:paraId="12E2FF05" w14:textId="77777777" w:rsidR="00F83E8F" w:rsidRPr="00D869E3" w:rsidRDefault="00F83E8F" w:rsidP="00F83E8F">
      <w:pPr>
        <w:pStyle w:val="Prrafodelista"/>
        <w:widowControl w:val="0"/>
        <w:autoSpaceDE w:val="0"/>
        <w:autoSpaceDN w:val="0"/>
        <w:adjustRightInd w:val="0"/>
        <w:ind w:left="0" w:right="49"/>
        <w:jc w:val="both"/>
        <w:rPr>
          <w:rFonts w:ascii="Verdana" w:hAnsi="Verdana"/>
          <w:sz w:val="20"/>
          <w:szCs w:val="20"/>
          <w:lang w:val="en-US"/>
        </w:rPr>
      </w:pPr>
    </w:p>
    <w:p w14:paraId="5728AE6F" w14:textId="55E86C46" w:rsidR="00FE7426" w:rsidRPr="00D869E3" w:rsidRDefault="00FE7426" w:rsidP="00E70701">
      <w:pPr>
        <w:pStyle w:val="Prrafodelista"/>
        <w:widowControl w:val="0"/>
        <w:numPr>
          <w:ilvl w:val="0"/>
          <w:numId w:val="28"/>
        </w:numPr>
        <w:autoSpaceDE w:val="0"/>
        <w:autoSpaceDN w:val="0"/>
        <w:adjustRightInd w:val="0"/>
        <w:ind w:left="0" w:right="49" w:firstLine="0"/>
        <w:jc w:val="both"/>
        <w:rPr>
          <w:rFonts w:ascii="Verdana" w:hAnsi="Verdana"/>
          <w:sz w:val="20"/>
          <w:szCs w:val="20"/>
          <w:lang w:val="en-US"/>
        </w:rPr>
      </w:pPr>
      <w:r w:rsidRPr="00D869E3">
        <w:rPr>
          <w:rFonts w:ascii="Verdana" w:eastAsiaTheme="minorHAnsi" w:hAnsi="Verdana" w:cs="Verdana"/>
          <w:sz w:val="20"/>
          <w:szCs w:val="20"/>
          <w:lang w:val="en-US"/>
        </w:rPr>
        <w:t>In addition</w:t>
      </w:r>
      <w:r w:rsidR="00F83E8F" w:rsidRPr="00D869E3">
        <w:rPr>
          <w:rFonts w:ascii="Verdana" w:eastAsiaTheme="minorHAnsi" w:hAnsi="Verdana" w:cs="Verdana"/>
          <w:sz w:val="20"/>
          <w:szCs w:val="20"/>
          <w:lang w:val="en-US"/>
        </w:rPr>
        <w:t>,</w:t>
      </w:r>
      <w:r w:rsidRPr="00D869E3">
        <w:rPr>
          <w:rFonts w:ascii="Verdana" w:eastAsiaTheme="minorHAnsi" w:hAnsi="Verdana" w:cs="Verdana"/>
          <w:sz w:val="20"/>
          <w:szCs w:val="20"/>
          <w:lang w:val="en-US"/>
        </w:rPr>
        <w:t xml:space="preserve"> in the judgment,</w:t>
      </w:r>
      <w:r w:rsidR="00F83E8F" w:rsidRPr="00D869E3">
        <w:rPr>
          <w:rFonts w:ascii="Verdana" w:eastAsiaTheme="minorHAnsi" w:hAnsi="Verdana" w:cs="Verdana"/>
          <w:sz w:val="20"/>
          <w:szCs w:val="20"/>
          <w:lang w:val="en-US"/>
        </w:rPr>
        <w:t xml:space="preserve"> </w:t>
      </w:r>
      <w:r w:rsidR="00185A57" w:rsidRPr="00D869E3">
        <w:rPr>
          <w:rFonts w:ascii="Verdana" w:eastAsiaTheme="minorHAnsi" w:hAnsi="Verdana" w:cs="Verdana"/>
          <w:sz w:val="20"/>
          <w:szCs w:val="20"/>
          <w:lang w:val="en-US"/>
        </w:rPr>
        <w:t>the Inter-American Court</w:t>
      </w:r>
      <w:r w:rsidR="00F83E8F" w:rsidRPr="00D869E3">
        <w:rPr>
          <w:rFonts w:ascii="Verdana" w:eastAsiaTheme="minorHAnsi" w:hAnsi="Verdana" w:cs="Verdana"/>
          <w:sz w:val="20"/>
          <w:szCs w:val="20"/>
          <w:lang w:val="en-US"/>
        </w:rPr>
        <w:t xml:space="preserve"> u</w:t>
      </w:r>
      <w:r w:rsidRPr="00D869E3">
        <w:rPr>
          <w:rFonts w:ascii="Verdana" w:eastAsiaTheme="minorHAnsi" w:hAnsi="Verdana" w:cs="Verdana"/>
          <w:sz w:val="20"/>
          <w:szCs w:val="20"/>
          <w:lang w:val="en-US"/>
        </w:rPr>
        <w:t xml:space="preserve">sed three of the paragraphs of </w:t>
      </w:r>
      <w:r w:rsidR="00687684" w:rsidRPr="00D869E3">
        <w:rPr>
          <w:rFonts w:ascii="Verdana" w:eastAsiaTheme="minorHAnsi" w:hAnsi="Verdana" w:cs="Verdana"/>
          <w:sz w:val="20"/>
          <w:szCs w:val="20"/>
          <w:lang w:val="en-US"/>
        </w:rPr>
        <w:t>Article</w:t>
      </w:r>
      <w:r w:rsidR="00F83E8F" w:rsidRPr="00D869E3">
        <w:rPr>
          <w:rFonts w:ascii="Verdana" w:eastAsiaTheme="minorHAnsi" w:hAnsi="Verdana" w:cs="Verdana"/>
          <w:sz w:val="20"/>
          <w:szCs w:val="20"/>
          <w:lang w:val="en-US"/>
        </w:rPr>
        <w:t xml:space="preserve"> 29 (b, c</w:t>
      </w:r>
      <w:r w:rsidR="00687684" w:rsidRPr="00D869E3">
        <w:rPr>
          <w:rFonts w:ascii="Verdana" w:eastAsiaTheme="minorHAnsi" w:hAnsi="Verdana" w:cs="Verdana"/>
          <w:sz w:val="20"/>
          <w:szCs w:val="20"/>
          <w:lang w:val="en-US"/>
        </w:rPr>
        <w:t xml:space="preserve"> and </w:t>
      </w:r>
      <w:r w:rsidR="00F83E8F" w:rsidRPr="00D869E3">
        <w:rPr>
          <w:rFonts w:ascii="Verdana" w:eastAsiaTheme="minorHAnsi" w:hAnsi="Verdana" w:cs="Verdana"/>
          <w:sz w:val="20"/>
          <w:szCs w:val="20"/>
          <w:lang w:val="en-US"/>
        </w:rPr>
        <w:t>d)</w:t>
      </w:r>
      <w:r w:rsidR="00447C65" w:rsidRPr="00D869E3">
        <w:rPr>
          <w:rFonts w:ascii="Verdana" w:eastAsiaTheme="minorHAnsi" w:hAnsi="Verdana" w:cs="Verdana"/>
          <w:sz w:val="20"/>
          <w:szCs w:val="20"/>
          <w:lang w:val="en-US"/>
        </w:rPr>
        <w:t xml:space="preserve"> of the American Convention</w:t>
      </w:r>
      <w:r w:rsidRPr="00D869E3">
        <w:rPr>
          <w:rFonts w:ascii="Verdana" w:eastAsiaTheme="minorHAnsi" w:hAnsi="Verdana" w:cs="Verdana"/>
          <w:sz w:val="20"/>
          <w:szCs w:val="20"/>
          <w:lang w:val="en-US"/>
        </w:rPr>
        <w:t>.</w:t>
      </w:r>
      <w:r w:rsidR="00F83E8F" w:rsidRPr="00D869E3">
        <w:rPr>
          <w:rStyle w:val="Refdenotaalpie"/>
          <w:rFonts w:eastAsiaTheme="minorHAnsi" w:cs="Verdana"/>
          <w:szCs w:val="20"/>
          <w:lang w:val="en-US"/>
        </w:rPr>
        <w:footnoteReference w:id="316"/>
      </w:r>
      <w:r w:rsidR="00F83E8F" w:rsidRPr="00D869E3">
        <w:rPr>
          <w:rFonts w:ascii="Verdana" w:eastAsiaTheme="minorHAnsi" w:hAnsi="Verdana" w:cs="Verdana"/>
          <w:sz w:val="20"/>
          <w:szCs w:val="20"/>
          <w:lang w:val="en-US"/>
        </w:rPr>
        <w:t xml:space="preserve"> </w:t>
      </w:r>
      <w:r w:rsidRPr="00D869E3">
        <w:rPr>
          <w:rFonts w:ascii="Verdana" w:eastAsiaTheme="minorHAnsi" w:hAnsi="Verdana" w:cs="Verdana"/>
          <w:sz w:val="20"/>
          <w:szCs w:val="20"/>
          <w:lang w:val="en-US"/>
        </w:rPr>
        <w:t xml:space="preserve">In other words, </w:t>
      </w:r>
      <w:r w:rsidR="00671B14" w:rsidRPr="00D869E3">
        <w:rPr>
          <w:rFonts w:ascii="Verdana" w:eastAsiaTheme="minorHAnsi" w:hAnsi="Verdana" w:cs="Verdana"/>
          <w:sz w:val="20"/>
          <w:szCs w:val="20"/>
          <w:lang w:val="en-US"/>
        </w:rPr>
        <w:t>the Inter-American Court</w:t>
      </w:r>
      <w:r w:rsidR="00F83E8F" w:rsidRPr="00D869E3">
        <w:rPr>
          <w:rFonts w:ascii="Verdana" w:eastAsiaTheme="minorHAnsi" w:hAnsi="Verdana" w:cs="Verdana"/>
          <w:sz w:val="20"/>
          <w:szCs w:val="20"/>
          <w:lang w:val="en-US"/>
        </w:rPr>
        <w:t xml:space="preserve"> </w:t>
      </w:r>
      <w:r w:rsidRPr="00D869E3">
        <w:rPr>
          <w:rFonts w:ascii="Verdana" w:eastAsiaTheme="minorHAnsi" w:hAnsi="Verdana" w:cs="Verdana"/>
          <w:sz w:val="20"/>
          <w:szCs w:val="20"/>
          <w:lang w:val="en-US"/>
        </w:rPr>
        <w:t>granted a broader protection derived from the recognition</w:t>
      </w:r>
      <w:r w:rsidR="00A157F5" w:rsidRPr="00D869E3">
        <w:rPr>
          <w:rFonts w:ascii="Verdana" w:eastAsiaTheme="minorHAnsi" w:hAnsi="Verdana" w:cs="Verdana"/>
          <w:sz w:val="20"/>
          <w:szCs w:val="20"/>
          <w:lang w:val="en-US"/>
        </w:rPr>
        <w:t xml:space="preserve"> of the </w:t>
      </w:r>
      <w:r w:rsidR="00301DBE" w:rsidRPr="00D869E3">
        <w:rPr>
          <w:rFonts w:ascii="Verdana" w:eastAsiaTheme="minorHAnsi" w:hAnsi="Verdana" w:cs="Verdana"/>
          <w:sz w:val="20"/>
          <w:szCs w:val="20"/>
          <w:lang w:val="en-US"/>
        </w:rPr>
        <w:t>right to work</w:t>
      </w:r>
      <w:r w:rsidRPr="00D869E3">
        <w:rPr>
          <w:rFonts w:ascii="Verdana" w:eastAsiaTheme="minorHAnsi" w:hAnsi="Verdana" w:cs="Verdana"/>
          <w:sz w:val="20"/>
          <w:szCs w:val="20"/>
          <w:lang w:val="en-US"/>
        </w:rPr>
        <w:t xml:space="preserve"> in both the law and the Constitution of Peru, as well as the rights recognized in any treaty to which the State was a party, and the effects produce by the American Declaration</w:t>
      </w:r>
      <w:r w:rsidR="00F83E8F" w:rsidRPr="00D869E3">
        <w:rPr>
          <w:rFonts w:ascii="Verdana" w:eastAsiaTheme="minorHAnsi" w:hAnsi="Verdana" w:cs="Verdana"/>
          <w:sz w:val="20"/>
          <w:szCs w:val="20"/>
          <w:lang w:val="en-US"/>
        </w:rPr>
        <w:t xml:space="preserve"> </w:t>
      </w:r>
      <w:r w:rsidRPr="00D869E3">
        <w:rPr>
          <w:rFonts w:ascii="Verdana" w:eastAsiaTheme="minorHAnsi" w:hAnsi="Verdana" w:cs="Verdana"/>
          <w:sz w:val="20"/>
          <w:szCs w:val="20"/>
          <w:lang w:val="en-US"/>
        </w:rPr>
        <w:t>o</w:t>
      </w:r>
      <w:r w:rsidR="00701B94" w:rsidRPr="00D869E3">
        <w:rPr>
          <w:rFonts w:ascii="Verdana" w:eastAsiaTheme="minorHAnsi" w:hAnsi="Verdana" w:cs="Verdana"/>
          <w:sz w:val="20"/>
          <w:szCs w:val="20"/>
          <w:lang w:val="en-US"/>
        </w:rPr>
        <w:t>f</w:t>
      </w:r>
      <w:r w:rsidRPr="00D869E3">
        <w:rPr>
          <w:rFonts w:ascii="Verdana" w:eastAsiaTheme="minorHAnsi" w:hAnsi="Verdana" w:cs="Verdana"/>
          <w:sz w:val="20"/>
          <w:szCs w:val="20"/>
          <w:lang w:val="en-US"/>
        </w:rPr>
        <w:t xml:space="preserve"> the Rights and Duties of Man</w:t>
      </w:r>
      <w:r w:rsidR="00F83E8F" w:rsidRPr="00D869E3">
        <w:rPr>
          <w:rFonts w:ascii="Verdana" w:eastAsiaTheme="minorHAnsi" w:hAnsi="Verdana" w:cs="Verdana"/>
          <w:sz w:val="20"/>
          <w:szCs w:val="20"/>
          <w:lang w:val="en-US"/>
        </w:rPr>
        <w:t xml:space="preserve">.  </w:t>
      </w:r>
      <w:r w:rsidRPr="00D869E3">
        <w:rPr>
          <w:rFonts w:ascii="Verdana" w:eastAsiaTheme="minorHAnsi" w:hAnsi="Verdana" w:cs="Verdana"/>
          <w:sz w:val="20"/>
          <w:szCs w:val="20"/>
          <w:lang w:val="en-US"/>
        </w:rPr>
        <w:t xml:space="preserve">In this case, their effect was to delimit the rights that were expressed in the provisions </w:t>
      </w:r>
      <w:r w:rsidR="00197983" w:rsidRPr="00D869E3">
        <w:rPr>
          <w:rFonts w:ascii="Verdana" w:eastAsiaTheme="minorHAnsi" w:hAnsi="Verdana" w:cs="Verdana"/>
          <w:sz w:val="20"/>
          <w:szCs w:val="20"/>
          <w:lang w:val="en-US"/>
        </w:rPr>
        <w:t>of the OAS Charter</w:t>
      </w:r>
      <w:r w:rsidR="00F83E8F" w:rsidRPr="00D869E3">
        <w:rPr>
          <w:rFonts w:ascii="Verdana" w:eastAsiaTheme="minorHAnsi" w:hAnsi="Verdana" w:cs="Verdana"/>
          <w:sz w:val="20"/>
          <w:szCs w:val="20"/>
          <w:lang w:val="en-US"/>
        </w:rPr>
        <w:t xml:space="preserve">. </w:t>
      </w:r>
      <w:r w:rsidRPr="00D869E3">
        <w:rPr>
          <w:rFonts w:ascii="Verdana" w:eastAsiaTheme="minorHAnsi" w:hAnsi="Verdana" w:cs="Verdana"/>
          <w:sz w:val="20"/>
          <w:szCs w:val="20"/>
          <w:lang w:val="en-US"/>
        </w:rPr>
        <w:t xml:space="preserve">It should be stressed that the said three paragraphs do not have, </w:t>
      </w:r>
      <w:r w:rsidR="00F83E8F" w:rsidRPr="00D869E3">
        <w:rPr>
          <w:rFonts w:ascii="Verdana" w:eastAsiaTheme="minorHAnsi" w:hAnsi="Verdana" w:cs="Verdana"/>
          <w:i/>
          <w:sz w:val="20"/>
          <w:szCs w:val="20"/>
          <w:lang w:val="en-US"/>
        </w:rPr>
        <w:t xml:space="preserve">prima facie, </w:t>
      </w:r>
      <w:r w:rsidRPr="00D869E3">
        <w:rPr>
          <w:rFonts w:ascii="Verdana" w:eastAsiaTheme="minorHAnsi" w:hAnsi="Verdana" w:cs="Verdana"/>
          <w:iCs/>
          <w:sz w:val="20"/>
          <w:szCs w:val="20"/>
          <w:lang w:val="en-US"/>
        </w:rPr>
        <w:t>to be concurrent</w:t>
      </w:r>
      <w:r w:rsidRPr="00D869E3">
        <w:rPr>
          <w:rFonts w:ascii="Verdana" w:eastAsiaTheme="minorHAnsi" w:hAnsi="Verdana" w:cs="Verdana"/>
          <w:i/>
          <w:sz w:val="20"/>
          <w:szCs w:val="20"/>
          <w:lang w:val="en-US"/>
        </w:rPr>
        <w:t xml:space="preserve"> </w:t>
      </w:r>
      <w:r w:rsidRPr="00D869E3">
        <w:rPr>
          <w:rFonts w:ascii="Verdana" w:eastAsiaTheme="minorHAnsi" w:hAnsi="Verdana" w:cs="Verdana"/>
          <w:sz w:val="20"/>
          <w:szCs w:val="20"/>
          <w:lang w:val="en-US"/>
        </w:rPr>
        <w:t>to makes</w:t>
      </w:r>
      <w:r w:rsidR="00CC60D4" w:rsidRPr="00D869E3">
        <w:rPr>
          <w:rFonts w:ascii="Verdana" w:eastAsiaTheme="minorHAnsi" w:hAnsi="Verdana" w:cs="Verdana"/>
          <w:sz w:val="20"/>
          <w:szCs w:val="20"/>
          <w:lang w:val="en-US"/>
        </w:rPr>
        <w:t xml:space="preserve"> the social</w:t>
      </w:r>
      <w:r w:rsidRPr="00D869E3">
        <w:rPr>
          <w:rFonts w:ascii="Verdana" w:eastAsiaTheme="minorHAnsi" w:hAnsi="Verdana" w:cs="Verdana"/>
          <w:sz w:val="20"/>
          <w:szCs w:val="20"/>
          <w:lang w:val="en-US"/>
        </w:rPr>
        <w:t xml:space="preserve"> rights justiciable. In other words, perhaps the right is not expressly recognized in domestic law, but it is to be found in an international treaty to which the State is a party. Or, inversely, perhaps the right is not expressly contemplated in the international treaties to which the State is a party, but it is established in domestic law.</w:t>
      </w:r>
    </w:p>
    <w:p w14:paraId="1C0DEFF4" w14:textId="77777777" w:rsidR="00F83E8F" w:rsidRPr="00D869E3" w:rsidRDefault="00F83E8F" w:rsidP="00F83E8F">
      <w:pPr>
        <w:pStyle w:val="Prrafodelista"/>
        <w:widowControl w:val="0"/>
        <w:autoSpaceDE w:val="0"/>
        <w:autoSpaceDN w:val="0"/>
        <w:adjustRightInd w:val="0"/>
        <w:ind w:left="0" w:right="49"/>
        <w:jc w:val="both"/>
        <w:rPr>
          <w:rFonts w:ascii="Verdana" w:hAnsi="Verdana"/>
          <w:sz w:val="20"/>
          <w:szCs w:val="20"/>
          <w:lang w:val="en-US"/>
        </w:rPr>
      </w:pPr>
    </w:p>
    <w:p w14:paraId="5DBB1445" w14:textId="01352E33" w:rsidR="00F83E8F" w:rsidRPr="00D869E3" w:rsidRDefault="00FE7426" w:rsidP="00E70701">
      <w:pPr>
        <w:pStyle w:val="Prrafodelista"/>
        <w:widowControl w:val="0"/>
        <w:numPr>
          <w:ilvl w:val="0"/>
          <w:numId w:val="28"/>
        </w:numPr>
        <w:autoSpaceDE w:val="0"/>
        <w:autoSpaceDN w:val="0"/>
        <w:adjustRightInd w:val="0"/>
        <w:ind w:left="0" w:right="49" w:firstLine="0"/>
        <w:jc w:val="both"/>
        <w:rPr>
          <w:rFonts w:ascii="Verdana" w:hAnsi="Verdana"/>
          <w:sz w:val="20"/>
          <w:szCs w:val="20"/>
          <w:lang w:val="en-US"/>
        </w:rPr>
      </w:pPr>
      <w:r w:rsidRPr="00D869E3">
        <w:rPr>
          <w:rFonts w:ascii="Verdana" w:eastAsiaTheme="minorHAnsi" w:hAnsi="Verdana" w:cs="Verdana"/>
          <w:sz w:val="20"/>
          <w:szCs w:val="20"/>
          <w:lang w:val="en-US"/>
        </w:rPr>
        <w:t>Furthermore, it is necessary to take into consideration the effects of the American Declaration</w:t>
      </w:r>
      <w:r w:rsidR="00F83E8F" w:rsidRPr="00D869E3">
        <w:rPr>
          <w:rFonts w:ascii="Verdana" w:eastAsiaTheme="minorHAnsi" w:hAnsi="Verdana" w:cs="Verdana"/>
          <w:sz w:val="20"/>
          <w:szCs w:val="20"/>
          <w:lang w:val="en-US"/>
        </w:rPr>
        <w:t xml:space="preserve"> </w:t>
      </w:r>
      <w:r w:rsidRPr="00D869E3">
        <w:rPr>
          <w:rFonts w:ascii="Verdana" w:eastAsiaTheme="minorHAnsi" w:hAnsi="Verdana" w:cs="Verdana"/>
          <w:sz w:val="20"/>
          <w:szCs w:val="20"/>
          <w:lang w:val="en-US"/>
        </w:rPr>
        <w:t>o</w:t>
      </w:r>
      <w:r w:rsidR="00701B94" w:rsidRPr="00D869E3">
        <w:rPr>
          <w:rFonts w:ascii="Verdana" w:eastAsiaTheme="minorHAnsi" w:hAnsi="Verdana" w:cs="Verdana"/>
          <w:sz w:val="20"/>
          <w:szCs w:val="20"/>
          <w:lang w:val="en-US"/>
        </w:rPr>
        <w:t>f</w:t>
      </w:r>
      <w:r w:rsidRPr="00D869E3">
        <w:rPr>
          <w:rFonts w:ascii="Verdana" w:eastAsiaTheme="minorHAnsi" w:hAnsi="Verdana" w:cs="Verdana"/>
          <w:sz w:val="20"/>
          <w:szCs w:val="20"/>
          <w:lang w:val="en-US"/>
        </w:rPr>
        <w:t xml:space="preserve"> the Rights and Duties of Man</w:t>
      </w:r>
      <w:r w:rsidR="00F83E8F" w:rsidRPr="00D869E3">
        <w:rPr>
          <w:rFonts w:ascii="Verdana" w:eastAsiaTheme="minorHAnsi" w:hAnsi="Verdana" w:cs="Verdana"/>
          <w:sz w:val="20"/>
          <w:szCs w:val="20"/>
          <w:lang w:val="en-US"/>
        </w:rPr>
        <w:t xml:space="preserve">, </w:t>
      </w:r>
      <w:r w:rsidRPr="00D869E3">
        <w:rPr>
          <w:rFonts w:ascii="Verdana" w:eastAsiaTheme="minorHAnsi" w:hAnsi="Verdana" w:cs="Verdana"/>
          <w:sz w:val="20"/>
          <w:szCs w:val="20"/>
          <w:lang w:val="en-US"/>
        </w:rPr>
        <w:t xml:space="preserve">by the derivation of rights via </w:t>
      </w:r>
      <w:r w:rsidR="00447C65" w:rsidRPr="00D869E3">
        <w:rPr>
          <w:rFonts w:ascii="Verdana" w:eastAsiaTheme="minorHAnsi" w:hAnsi="Verdana" w:cs="Verdana"/>
          <w:sz w:val="20"/>
          <w:szCs w:val="20"/>
          <w:lang w:val="en-US"/>
        </w:rPr>
        <w:t>Article</w:t>
      </w:r>
      <w:r w:rsidR="00F83E8F" w:rsidRPr="00D869E3">
        <w:rPr>
          <w:rFonts w:ascii="Verdana" w:eastAsiaTheme="minorHAnsi" w:hAnsi="Verdana" w:cs="Verdana"/>
          <w:sz w:val="20"/>
          <w:szCs w:val="20"/>
          <w:lang w:val="en-US"/>
        </w:rPr>
        <w:t xml:space="preserve"> 26, </w:t>
      </w:r>
      <w:r w:rsidRPr="00D869E3">
        <w:rPr>
          <w:rFonts w:ascii="Verdana" w:eastAsiaTheme="minorHAnsi" w:hAnsi="Verdana" w:cs="Verdana"/>
          <w:sz w:val="20"/>
          <w:szCs w:val="20"/>
          <w:lang w:val="en-US"/>
        </w:rPr>
        <w:t xml:space="preserve">which delimits more clearly the list of rights </w:t>
      </w:r>
      <w:r w:rsidR="00CC60D4" w:rsidRPr="00D869E3">
        <w:rPr>
          <w:rFonts w:ascii="Verdana" w:eastAsiaTheme="minorHAnsi" w:hAnsi="Verdana" w:cs="Verdana"/>
          <w:sz w:val="20"/>
          <w:szCs w:val="20"/>
          <w:lang w:val="en-US"/>
        </w:rPr>
        <w:t xml:space="preserve">that </w:t>
      </w:r>
      <w:r w:rsidRPr="00D869E3">
        <w:rPr>
          <w:rFonts w:ascii="Verdana" w:eastAsiaTheme="minorHAnsi" w:hAnsi="Verdana" w:cs="Verdana"/>
          <w:sz w:val="20"/>
          <w:szCs w:val="20"/>
          <w:lang w:val="en-US"/>
        </w:rPr>
        <w:t xml:space="preserve">are contained in </w:t>
      </w:r>
      <w:r w:rsidR="00197983" w:rsidRPr="00D869E3">
        <w:rPr>
          <w:rFonts w:ascii="Verdana" w:eastAsiaTheme="minorHAnsi" w:hAnsi="Verdana" w:cs="Verdana"/>
          <w:sz w:val="20"/>
          <w:szCs w:val="20"/>
          <w:lang w:val="en-US"/>
        </w:rPr>
        <w:t>the OAS Charter</w:t>
      </w:r>
      <w:r w:rsidR="00F83E8F" w:rsidRPr="00D869E3">
        <w:rPr>
          <w:rFonts w:ascii="Verdana" w:eastAsiaTheme="minorHAnsi" w:hAnsi="Verdana" w:cs="Verdana"/>
          <w:sz w:val="20"/>
          <w:szCs w:val="20"/>
          <w:lang w:val="en-US"/>
        </w:rPr>
        <w:t xml:space="preserve">. </w:t>
      </w:r>
      <w:r w:rsidRPr="00D869E3">
        <w:rPr>
          <w:rFonts w:ascii="Verdana" w:eastAsiaTheme="minorHAnsi" w:hAnsi="Verdana" w:cs="Verdana"/>
          <w:sz w:val="20"/>
          <w:szCs w:val="20"/>
          <w:lang w:val="en-US"/>
        </w:rPr>
        <w:t xml:space="preserve">Thus, depending on the case and the right analyzed, the Inter-America Court must verify the </w:t>
      </w:r>
      <w:r w:rsidR="00CC60D4" w:rsidRPr="00D869E3">
        <w:rPr>
          <w:rFonts w:ascii="Verdana" w:eastAsiaTheme="minorHAnsi" w:hAnsi="Verdana" w:cs="Verdana"/>
          <w:sz w:val="20"/>
          <w:szCs w:val="20"/>
          <w:lang w:val="en-US"/>
        </w:rPr>
        <w:t>rules</w:t>
      </w:r>
      <w:r w:rsidRPr="00D869E3">
        <w:rPr>
          <w:rFonts w:ascii="Verdana" w:eastAsiaTheme="minorHAnsi" w:hAnsi="Verdana" w:cs="Verdana"/>
          <w:sz w:val="20"/>
          <w:szCs w:val="20"/>
          <w:lang w:val="en-US"/>
        </w:rPr>
        <w:t xml:space="preserve"> of interpretation that should be applied to provide greater protection to the victim and to assess whether or not the social rights </w:t>
      </w:r>
      <w:r w:rsidR="00CC60D4" w:rsidRPr="00D869E3">
        <w:rPr>
          <w:rFonts w:ascii="Verdana" w:eastAsiaTheme="minorHAnsi" w:hAnsi="Verdana" w:cs="Verdana"/>
          <w:sz w:val="20"/>
          <w:szCs w:val="20"/>
          <w:lang w:val="en-US"/>
        </w:rPr>
        <w:t xml:space="preserve">that have been </w:t>
      </w:r>
      <w:r w:rsidRPr="00D869E3">
        <w:rPr>
          <w:rFonts w:ascii="Verdana" w:eastAsiaTheme="minorHAnsi" w:hAnsi="Verdana" w:cs="Verdana"/>
          <w:sz w:val="20"/>
          <w:szCs w:val="20"/>
          <w:lang w:val="en-US"/>
        </w:rPr>
        <w:t xml:space="preserve">alleged have been violated. </w:t>
      </w:r>
    </w:p>
    <w:p w14:paraId="6D05707B" w14:textId="77777777" w:rsidR="00F83E8F" w:rsidRPr="00D869E3" w:rsidRDefault="00F83E8F" w:rsidP="00F83E8F">
      <w:pPr>
        <w:pStyle w:val="Prrafodelista"/>
        <w:widowControl w:val="0"/>
        <w:autoSpaceDE w:val="0"/>
        <w:autoSpaceDN w:val="0"/>
        <w:adjustRightInd w:val="0"/>
        <w:ind w:left="0" w:right="49"/>
        <w:jc w:val="both"/>
        <w:rPr>
          <w:rFonts w:ascii="Verdana" w:hAnsi="Verdana"/>
          <w:sz w:val="20"/>
          <w:szCs w:val="20"/>
          <w:lang w:val="en-US"/>
        </w:rPr>
      </w:pPr>
    </w:p>
    <w:p w14:paraId="04B92196" w14:textId="12376DA4" w:rsidR="00F83E8F" w:rsidRPr="00D869E3" w:rsidRDefault="00F83E8F" w:rsidP="00E70701">
      <w:pPr>
        <w:pStyle w:val="Prrafodelista"/>
        <w:widowControl w:val="0"/>
        <w:numPr>
          <w:ilvl w:val="0"/>
          <w:numId w:val="28"/>
        </w:numPr>
        <w:autoSpaceDE w:val="0"/>
        <w:autoSpaceDN w:val="0"/>
        <w:adjustRightInd w:val="0"/>
        <w:ind w:left="0" w:right="49" w:firstLine="0"/>
        <w:jc w:val="both"/>
        <w:rPr>
          <w:rFonts w:ascii="Verdana" w:hAnsi="Verdana"/>
          <w:sz w:val="20"/>
          <w:szCs w:val="20"/>
          <w:lang w:val="en-US"/>
        </w:rPr>
      </w:pPr>
      <w:r w:rsidRPr="00D869E3">
        <w:rPr>
          <w:rFonts w:ascii="Verdana" w:hAnsi="Verdana"/>
          <w:sz w:val="20"/>
          <w:szCs w:val="20"/>
          <w:lang w:val="en-US"/>
        </w:rPr>
        <w:t>Complement</w:t>
      </w:r>
      <w:r w:rsidR="00FE7426" w:rsidRPr="00D869E3">
        <w:rPr>
          <w:rFonts w:ascii="Verdana" w:hAnsi="Verdana"/>
          <w:sz w:val="20"/>
          <w:szCs w:val="20"/>
          <w:lang w:val="en-US"/>
        </w:rPr>
        <w:t xml:space="preserve">ing this analysis, </w:t>
      </w:r>
      <w:r w:rsidR="00671B14" w:rsidRPr="00D869E3">
        <w:rPr>
          <w:rFonts w:ascii="Verdana" w:hAnsi="Verdana"/>
          <w:sz w:val="20"/>
          <w:szCs w:val="20"/>
          <w:lang w:val="en-US"/>
        </w:rPr>
        <w:t>the Inter-American Court</w:t>
      </w:r>
      <w:r w:rsidRPr="00D869E3">
        <w:rPr>
          <w:rFonts w:ascii="Verdana" w:hAnsi="Verdana"/>
          <w:sz w:val="20"/>
          <w:szCs w:val="20"/>
          <w:lang w:val="en-US"/>
        </w:rPr>
        <w:t xml:space="preserve"> conclu</w:t>
      </w:r>
      <w:r w:rsidR="00FE7426" w:rsidRPr="00D869E3">
        <w:rPr>
          <w:rFonts w:ascii="Verdana" w:hAnsi="Verdana"/>
          <w:sz w:val="20"/>
          <w:szCs w:val="20"/>
          <w:lang w:val="en-US"/>
        </w:rPr>
        <w:t>ded a series of obligations that, in principle</w:t>
      </w:r>
      <w:r w:rsidR="00CC60D4" w:rsidRPr="00D869E3">
        <w:rPr>
          <w:rFonts w:ascii="Verdana" w:hAnsi="Verdana"/>
          <w:sz w:val="20"/>
          <w:szCs w:val="20"/>
          <w:lang w:val="en-US"/>
        </w:rPr>
        <w:t>, result</w:t>
      </w:r>
      <w:r w:rsidR="00FE7426" w:rsidRPr="00D869E3">
        <w:rPr>
          <w:rFonts w:ascii="Verdana" w:hAnsi="Verdana"/>
          <w:sz w:val="20"/>
          <w:szCs w:val="20"/>
          <w:lang w:val="en-US"/>
        </w:rPr>
        <w:t xml:space="preserve"> </w:t>
      </w:r>
      <w:r w:rsidR="00CC60D4" w:rsidRPr="00D869E3">
        <w:rPr>
          <w:rFonts w:ascii="Verdana" w:hAnsi="Verdana"/>
          <w:sz w:val="20"/>
          <w:szCs w:val="20"/>
          <w:lang w:val="en-US"/>
        </w:rPr>
        <w:t>in</w:t>
      </w:r>
      <w:r w:rsidR="00FE7426" w:rsidRPr="00D869E3">
        <w:rPr>
          <w:rFonts w:ascii="Verdana" w:hAnsi="Verdana"/>
          <w:sz w:val="20"/>
          <w:szCs w:val="20"/>
          <w:lang w:val="en-US"/>
        </w:rPr>
        <w:t xml:space="preserve"> the following duties: “(a) to adopt</w:t>
      </w:r>
      <w:r w:rsidRPr="00D869E3">
        <w:rPr>
          <w:rFonts w:ascii="Verdana" w:hAnsi="Verdana"/>
          <w:sz w:val="20"/>
          <w:szCs w:val="20"/>
          <w:lang w:val="en-US"/>
        </w:rPr>
        <w:t xml:space="preserve"> </w:t>
      </w:r>
      <w:r w:rsidR="008B38F5" w:rsidRPr="00D869E3">
        <w:rPr>
          <w:rFonts w:ascii="Verdana" w:hAnsi="Verdana"/>
          <w:sz w:val="20"/>
          <w:szCs w:val="20"/>
          <w:lang w:val="en-US"/>
        </w:rPr>
        <w:t xml:space="preserve">the appropriate measures for the due regulation and monitoring </w:t>
      </w:r>
      <w:r w:rsidRPr="00D869E3">
        <w:rPr>
          <w:rFonts w:ascii="Verdana" w:hAnsi="Verdana"/>
          <w:sz w:val="20"/>
          <w:szCs w:val="20"/>
          <w:lang w:val="en-US"/>
        </w:rPr>
        <w:t>[</w:t>
      </w:r>
      <w:r w:rsidR="008B38F5" w:rsidRPr="00D869E3">
        <w:rPr>
          <w:rFonts w:ascii="Verdana" w:hAnsi="Verdana"/>
          <w:sz w:val="20"/>
          <w:szCs w:val="20"/>
          <w:lang w:val="en-US"/>
        </w:rPr>
        <w:t xml:space="preserve">of </w:t>
      </w:r>
      <w:r w:rsidR="000B2E5E" w:rsidRPr="00D869E3">
        <w:rPr>
          <w:rFonts w:ascii="Verdana" w:hAnsi="Verdana"/>
          <w:sz w:val="20"/>
          <w:szCs w:val="20"/>
          <w:lang w:val="en-US"/>
        </w:rPr>
        <w:t xml:space="preserve">the </w:t>
      </w:r>
      <w:r w:rsidR="00301DBE" w:rsidRPr="00D869E3">
        <w:rPr>
          <w:rFonts w:ascii="Verdana" w:hAnsi="Verdana"/>
          <w:sz w:val="20"/>
          <w:szCs w:val="20"/>
          <w:lang w:val="en-US"/>
        </w:rPr>
        <w:t>right to work</w:t>
      </w:r>
      <w:r w:rsidRPr="00D869E3">
        <w:rPr>
          <w:rFonts w:ascii="Verdana" w:hAnsi="Verdana"/>
          <w:sz w:val="20"/>
          <w:szCs w:val="20"/>
          <w:lang w:val="en-US"/>
        </w:rPr>
        <w:t xml:space="preserve">]; </w:t>
      </w:r>
      <w:r w:rsidR="008B38F5" w:rsidRPr="00D869E3">
        <w:rPr>
          <w:rFonts w:ascii="Verdana" w:hAnsi="Verdana"/>
          <w:sz w:val="20"/>
          <w:szCs w:val="20"/>
          <w:lang w:val="en-US"/>
        </w:rPr>
        <w:t>(</w:t>
      </w:r>
      <w:r w:rsidRPr="00D869E3">
        <w:rPr>
          <w:rFonts w:ascii="Verdana" w:hAnsi="Verdana"/>
          <w:sz w:val="20"/>
          <w:szCs w:val="20"/>
          <w:lang w:val="en-US"/>
        </w:rPr>
        <w:t xml:space="preserve">b) </w:t>
      </w:r>
      <w:r w:rsidR="008B38F5" w:rsidRPr="00D869E3">
        <w:rPr>
          <w:rFonts w:ascii="Verdana" w:hAnsi="Verdana"/>
          <w:sz w:val="20"/>
          <w:szCs w:val="20"/>
          <w:lang w:val="en-US"/>
        </w:rPr>
        <w:t>to protect workers against unjustified dismissal through its competent organs; (</w:t>
      </w:r>
      <w:r w:rsidRPr="00D869E3">
        <w:rPr>
          <w:rFonts w:ascii="Verdana" w:hAnsi="Verdana"/>
          <w:sz w:val="20"/>
          <w:szCs w:val="20"/>
          <w:lang w:val="en-US"/>
        </w:rPr>
        <w:t xml:space="preserve">c) </w:t>
      </w:r>
      <w:r w:rsidR="008B38F5" w:rsidRPr="00D869E3">
        <w:rPr>
          <w:rFonts w:ascii="Verdana" w:hAnsi="Verdana"/>
          <w:sz w:val="20"/>
          <w:szCs w:val="20"/>
          <w:lang w:val="en-US"/>
        </w:rPr>
        <w:t>in case of unjustified dismissal, to rectify the situation (either by reinstatement or, if appropriate, by compensation and other social benefits established in domestic law). Consequently</w:t>
      </w:r>
      <w:r w:rsidRPr="00D869E3">
        <w:rPr>
          <w:rFonts w:ascii="Verdana" w:hAnsi="Verdana"/>
          <w:sz w:val="20"/>
          <w:szCs w:val="20"/>
          <w:lang w:val="en-US"/>
        </w:rPr>
        <w:t xml:space="preserve">, </w:t>
      </w:r>
      <w:r w:rsidR="008B38F5" w:rsidRPr="00D869E3">
        <w:rPr>
          <w:rFonts w:ascii="Verdana" w:hAnsi="Verdana"/>
          <w:sz w:val="20"/>
          <w:szCs w:val="20"/>
          <w:lang w:val="en-US"/>
        </w:rPr>
        <w:t>(d) the State should provide effective grievance mechanisms in cases of unjustified dismissal, to ensure access to justice and the effective judicial protection of such rights</w:t>
      </w:r>
      <w:r w:rsidR="00FE7426" w:rsidRPr="00D869E3">
        <w:rPr>
          <w:rFonts w:ascii="Verdana" w:hAnsi="Verdana"/>
          <w:sz w:val="20"/>
          <w:szCs w:val="20"/>
          <w:lang w:val="en-US"/>
        </w:rPr>
        <w:t>.</w:t>
      </w:r>
      <w:r w:rsidR="006436CA" w:rsidRPr="00D869E3">
        <w:rPr>
          <w:rFonts w:ascii="Verdana" w:hAnsi="Verdana"/>
          <w:sz w:val="20"/>
          <w:szCs w:val="20"/>
          <w:lang w:val="en-US"/>
        </w:rPr>
        <w:t>”</w:t>
      </w:r>
      <w:r w:rsidRPr="00D869E3">
        <w:rPr>
          <w:rStyle w:val="Refdenotaalpie"/>
          <w:szCs w:val="20"/>
          <w:lang w:val="en-US"/>
        </w:rPr>
        <w:footnoteReference w:id="317"/>
      </w:r>
      <w:r w:rsidRPr="00D869E3">
        <w:rPr>
          <w:rFonts w:ascii="Verdana" w:hAnsi="Verdana"/>
          <w:sz w:val="20"/>
          <w:szCs w:val="20"/>
          <w:lang w:val="en-US"/>
        </w:rPr>
        <w:t xml:space="preserve"> </w:t>
      </w:r>
      <w:r w:rsidR="00FE7426" w:rsidRPr="00D869E3">
        <w:rPr>
          <w:rFonts w:ascii="Verdana" w:hAnsi="Verdana"/>
          <w:sz w:val="20"/>
          <w:szCs w:val="20"/>
          <w:lang w:val="en-US"/>
        </w:rPr>
        <w:t xml:space="preserve">In other words, </w:t>
      </w:r>
      <w:r w:rsidR="00671B14" w:rsidRPr="00D869E3">
        <w:rPr>
          <w:rFonts w:ascii="Verdana" w:hAnsi="Verdana"/>
          <w:sz w:val="20"/>
          <w:szCs w:val="20"/>
          <w:lang w:val="en-US"/>
        </w:rPr>
        <w:t>the Inter-American Court</w:t>
      </w:r>
      <w:r w:rsidRPr="00D869E3">
        <w:rPr>
          <w:rFonts w:ascii="Verdana" w:hAnsi="Verdana"/>
          <w:sz w:val="20"/>
          <w:szCs w:val="20"/>
          <w:lang w:val="en-US"/>
        </w:rPr>
        <w:t xml:space="preserve"> identifi</w:t>
      </w:r>
      <w:r w:rsidR="00FE7426" w:rsidRPr="00D869E3">
        <w:rPr>
          <w:rFonts w:ascii="Verdana" w:hAnsi="Verdana"/>
          <w:sz w:val="20"/>
          <w:szCs w:val="20"/>
          <w:lang w:val="en-US"/>
        </w:rPr>
        <w:t xml:space="preserve">ed specific obligations </w:t>
      </w:r>
      <w:r w:rsidR="00BB61A6" w:rsidRPr="00D869E3">
        <w:rPr>
          <w:rFonts w:ascii="Verdana" w:hAnsi="Verdana"/>
          <w:sz w:val="20"/>
          <w:szCs w:val="20"/>
          <w:lang w:val="en-US"/>
        </w:rPr>
        <w:t>in relation to</w:t>
      </w:r>
      <w:r w:rsidRPr="00D869E3">
        <w:rPr>
          <w:rFonts w:ascii="Verdana" w:hAnsi="Verdana"/>
          <w:sz w:val="20"/>
          <w:szCs w:val="20"/>
          <w:lang w:val="en-US"/>
        </w:rPr>
        <w:t xml:space="preserve"> </w:t>
      </w:r>
      <w:r w:rsidR="000B2E5E" w:rsidRPr="00D869E3">
        <w:rPr>
          <w:rFonts w:ascii="Verdana" w:hAnsi="Verdana"/>
          <w:sz w:val="20"/>
          <w:szCs w:val="20"/>
          <w:lang w:val="en-US"/>
        </w:rPr>
        <w:t xml:space="preserve">the </w:t>
      </w:r>
      <w:r w:rsidR="00301DBE" w:rsidRPr="00D869E3">
        <w:rPr>
          <w:rFonts w:ascii="Verdana" w:hAnsi="Verdana"/>
          <w:sz w:val="20"/>
          <w:szCs w:val="20"/>
          <w:lang w:val="en-US"/>
        </w:rPr>
        <w:t xml:space="preserve">right to </w:t>
      </w:r>
      <w:r w:rsidR="00FE7426" w:rsidRPr="00D869E3">
        <w:rPr>
          <w:rFonts w:ascii="Verdana" w:hAnsi="Verdana"/>
          <w:sz w:val="20"/>
          <w:szCs w:val="20"/>
          <w:lang w:val="en-US"/>
        </w:rPr>
        <w:t>work (job security</w:t>
      </w:r>
      <w:r w:rsidRPr="00D869E3">
        <w:rPr>
          <w:rFonts w:ascii="Verdana" w:hAnsi="Verdana"/>
          <w:sz w:val="20"/>
          <w:szCs w:val="20"/>
          <w:lang w:val="en-US"/>
        </w:rPr>
        <w:t xml:space="preserve">). </w:t>
      </w:r>
    </w:p>
    <w:p w14:paraId="4D4A378E" w14:textId="77777777" w:rsidR="00F83E8F" w:rsidRPr="00D869E3" w:rsidRDefault="00F83E8F" w:rsidP="00F83E8F">
      <w:pPr>
        <w:widowControl w:val="0"/>
        <w:autoSpaceDE w:val="0"/>
        <w:autoSpaceDN w:val="0"/>
        <w:adjustRightInd w:val="0"/>
        <w:ind w:right="49"/>
        <w:jc w:val="both"/>
        <w:rPr>
          <w:rFonts w:ascii="Verdana" w:hAnsi="Verdana"/>
          <w:sz w:val="20"/>
          <w:szCs w:val="20"/>
          <w:lang w:val="en-US"/>
        </w:rPr>
      </w:pPr>
    </w:p>
    <w:p w14:paraId="3342280A" w14:textId="747D77A8" w:rsidR="00F83E8F" w:rsidRPr="00D869E3" w:rsidRDefault="00FE7426" w:rsidP="00E70701">
      <w:pPr>
        <w:pStyle w:val="Prrafodelista"/>
        <w:widowControl w:val="0"/>
        <w:numPr>
          <w:ilvl w:val="0"/>
          <w:numId w:val="28"/>
        </w:numPr>
        <w:autoSpaceDE w:val="0"/>
        <w:autoSpaceDN w:val="0"/>
        <w:adjustRightInd w:val="0"/>
        <w:ind w:left="0" w:right="49" w:firstLine="0"/>
        <w:jc w:val="both"/>
        <w:rPr>
          <w:rFonts w:ascii="Verdana" w:hAnsi="Verdana"/>
          <w:sz w:val="20"/>
          <w:szCs w:val="20"/>
          <w:lang w:val="en-US"/>
        </w:rPr>
      </w:pPr>
      <w:r w:rsidRPr="00D869E3">
        <w:rPr>
          <w:rFonts w:ascii="Verdana" w:hAnsi="Verdana"/>
          <w:sz w:val="20"/>
          <w:szCs w:val="20"/>
          <w:lang w:val="en-US"/>
        </w:rPr>
        <w:lastRenderedPageBreak/>
        <w:t>Regarding</w:t>
      </w:r>
      <w:r w:rsidR="00F83E8F" w:rsidRPr="00D869E3">
        <w:rPr>
          <w:rFonts w:ascii="Verdana" w:hAnsi="Verdana"/>
          <w:sz w:val="20"/>
          <w:szCs w:val="20"/>
          <w:lang w:val="en-US"/>
        </w:rPr>
        <w:t xml:space="preserve"> </w:t>
      </w:r>
      <w:r w:rsidR="007013E2" w:rsidRPr="00D869E3">
        <w:rPr>
          <w:rFonts w:ascii="Verdana" w:hAnsi="Verdana"/>
          <w:sz w:val="20"/>
          <w:szCs w:val="20"/>
          <w:lang w:val="en-US"/>
        </w:rPr>
        <w:t>the violation</w:t>
      </w:r>
      <w:r w:rsidR="00A157F5" w:rsidRPr="00D869E3">
        <w:rPr>
          <w:rFonts w:ascii="Verdana" w:hAnsi="Verdana"/>
          <w:sz w:val="20"/>
          <w:szCs w:val="20"/>
          <w:lang w:val="en-US"/>
        </w:rPr>
        <w:t xml:space="preserve"> of the </w:t>
      </w:r>
      <w:r w:rsidR="000B2E5E" w:rsidRPr="00D869E3">
        <w:rPr>
          <w:rFonts w:ascii="Verdana" w:hAnsi="Verdana"/>
          <w:sz w:val="20"/>
          <w:szCs w:val="20"/>
          <w:lang w:val="en-US"/>
        </w:rPr>
        <w:t xml:space="preserve">right </w:t>
      </w:r>
      <w:r w:rsidR="002C5EA9" w:rsidRPr="00D869E3">
        <w:rPr>
          <w:rFonts w:ascii="Verdana" w:hAnsi="Verdana"/>
          <w:sz w:val="20"/>
          <w:szCs w:val="20"/>
          <w:lang w:val="en-US"/>
        </w:rPr>
        <w:t>to job security</w:t>
      </w:r>
      <w:r w:rsidR="00F83E8F" w:rsidRPr="00D869E3">
        <w:rPr>
          <w:rFonts w:ascii="Verdana" w:hAnsi="Verdana"/>
          <w:sz w:val="20"/>
          <w:szCs w:val="20"/>
          <w:lang w:val="en-US"/>
        </w:rPr>
        <w:t xml:space="preserve"> </w:t>
      </w:r>
      <w:r w:rsidRPr="00D869E3">
        <w:rPr>
          <w:rFonts w:ascii="Verdana" w:hAnsi="Verdana"/>
          <w:sz w:val="20"/>
          <w:szCs w:val="20"/>
          <w:lang w:val="en-US"/>
        </w:rPr>
        <w:t>as part</w:t>
      </w:r>
      <w:r w:rsidR="00A157F5" w:rsidRPr="00D869E3">
        <w:rPr>
          <w:rFonts w:ascii="Verdana" w:hAnsi="Verdana"/>
          <w:sz w:val="20"/>
          <w:szCs w:val="20"/>
          <w:lang w:val="en-US"/>
        </w:rPr>
        <w:t xml:space="preserve"> of the </w:t>
      </w:r>
      <w:r w:rsidR="00301DBE" w:rsidRPr="00D869E3">
        <w:rPr>
          <w:rFonts w:ascii="Verdana" w:hAnsi="Verdana"/>
          <w:sz w:val="20"/>
          <w:szCs w:val="20"/>
          <w:lang w:val="en-US"/>
        </w:rPr>
        <w:t>right to work</w:t>
      </w:r>
      <w:r w:rsidR="00F83E8F" w:rsidRPr="00D869E3">
        <w:rPr>
          <w:rFonts w:ascii="Verdana" w:hAnsi="Verdana"/>
          <w:sz w:val="20"/>
          <w:szCs w:val="20"/>
          <w:lang w:val="en-US"/>
        </w:rPr>
        <w:t xml:space="preserve">, </w:t>
      </w:r>
      <w:r w:rsidR="00671B14" w:rsidRPr="00D869E3">
        <w:rPr>
          <w:rFonts w:ascii="Verdana" w:hAnsi="Verdana"/>
          <w:sz w:val="20"/>
          <w:szCs w:val="20"/>
          <w:lang w:val="en-US"/>
        </w:rPr>
        <w:t>the Inter-American Court</w:t>
      </w:r>
      <w:r w:rsidR="00F83E8F" w:rsidRPr="00D869E3">
        <w:rPr>
          <w:rFonts w:ascii="Verdana" w:hAnsi="Verdana"/>
          <w:sz w:val="20"/>
          <w:szCs w:val="20"/>
          <w:lang w:val="en-US"/>
        </w:rPr>
        <w:t xml:space="preserve"> conclu</w:t>
      </w:r>
      <w:r w:rsidRPr="00D869E3">
        <w:rPr>
          <w:rFonts w:ascii="Verdana" w:hAnsi="Verdana"/>
          <w:sz w:val="20"/>
          <w:szCs w:val="20"/>
          <w:lang w:val="en-US"/>
        </w:rPr>
        <w:t>ded that</w:t>
      </w:r>
      <w:r w:rsidR="00F83E8F" w:rsidRPr="00D869E3">
        <w:rPr>
          <w:rFonts w:ascii="Verdana" w:hAnsi="Verdana"/>
          <w:sz w:val="20"/>
          <w:szCs w:val="20"/>
          <w:lang w:val="en-US"/>
        </w:rPr>
        <w:t xml:space="preserve">: </w:t>
      </w:r>
    </w:p>
    <w:p w14:paraId="0C06DF3A" w14:textId="77777777" w:rsidR="00F83E8F" w:rsidRPr="00D869E3" w:rsidRDefault="00F83E8F" w:rsidP="00F83E8F">
      <w:pPr>
        <w:pStyle w:val="Prrafodelista"/>
        <w:widowControl w:val="0"/>
        <w:autoSpaceDE w:val="0"/>
        <w:autoSpaceDN w:val="0"/>
        <w:adjustRightInd w:val="0"/>
        <w:ind w:left="0" w:right="855"/>
        <w:jc w:val="both"/>
        <w:rPr>
          <w:rFonts w:ascii="Verdana" w:hAnsi="Verdana"/>
          <w:sz w:val="16"/>
          <w:szCs w:val="16"/>
          <w:lang w:val="en-US"/>
        </w:rPr>
      </w:pPr>
      <w:r w:rsidRPr="00D869E3">
        <w:rPr>
          <w:rFonts w:ascii="Verdana" w:hAnsi="Verdana"/>
          <w:sz w:val="20"/>
          <w:szCs w:val="20"/>
          <w:lang w:val="en-US"/>
        </w:rPr>
        <w:t xml:space="preserve"> </w:t>
      </w:r>
    </w:p>
    <w:p w14:paraId="7EAE7481" w14:textId="7194DABA" w:rsidR="00F83E8F" w:rsidRPr="00D869E3" w:rsidRDefault="008B38F5" w:rsidP="00E70701">
      <w:pPr>
        <w:pStyle w:val="Prrafodelista"/>
        <w:numPr>
          <w:ilvl w:val="0"/>
          <w:numId w:val="30"/>
        </w:numPr>
        <w:ind w:left="709" w:right="738" w:firstLine="0"/>
        <w:jc w:val="both"/>
        <w:rPr>
          <w:rFonts w:ascii="Verdana" w:hAnsi="Verdana"/>
          <w:sz w:val="16"/>
          <w:szCs w:val="16"/>
          <w:lang w:val="en-US"/>
        </w:rPr>
      </w:pPr>
      <w:r w:rsidRPr="00D869E3">
        <w:rPr>
          <w:rFonts w:ascii="Verdana" w:hAnsi="Verdana"/>
          <w:color w:val="000000"/>
          <w:sz w:val="16"/>
          <w:szCs w:val="16"/>
          <w:lang w:val="en-US"/>
        </w:rPr>
        <w:t xml:space="preserve">In this specific case, Mr. Lagos del Campo had been employed by the aforementioned company as a manual worker for approximately 13 years and, at the time of the facts, he was </w:t>
      </w:r>
      <w:r w:rsidR="001B0492" w:rsidRPr="00D869E3">
        <w:rPr>
          <w:rFonts w:ascii="Verdana" w:hAnsi="Verdana"/>
          <w:color w:val="000000"/>
          <w:sz w:val="16"/>
          <w:szCs w:val="16"/>
          <w:lang w:val="en-US"/>
        </w:rPr>
        <w:t>president of the Electoral</w:t>
      </w:r>
      <w:r w:rsidRPr="00D869E3">
        <w:rPr>
          <w:rFonts w:ascii="Verdana" w:hAnsi="Verdana"/>
          <w:color w:val="000000"/>
          <w:sz w:val="16"/>
          <w:szCs w:val="16"/>
          <w:lang w:val="en-US"/>
        </w:rPr>
        <w:t xml:space="preserve"> Committee of the company’s Industrial Community and the delegate to CONACI. Based on statements made during an interview published in “La Razón” in the context of internal elections, Mr. Lagos del Campo was dismissed for having committed a serious verbal offense against his employer. He contested this decision before the competent organs, but it was ratified in second instance, considering that he had been dismissed for a justified reason. He appealed this decision before various domestic instances, without finding protection, particularly for his right to job security, alleging that the reasons for his dismissal were unjustified or unwarranted and that due process had been violated. That is to say, in light of the arbitrary dismissal by the company (</w:t>
      </w:r>
      <w:r w:rsidRPr="00D869E3">
        <w:rPr>
          <w:rFonts w:ascii="Verdana" w:hAnsi="Verdana"/>
          <w:i/>
          <w:color w:val="000000"/>
          <w:sz w:val="16"/>
          <w:szCs w:val="16"/>
          <w:lang w:val="en-US"/>
        </w:rPr>
        <w:t>supra</w:t>
      </w:r>
      <w:r w:rsidRPr="00D869E3">
        <w:rPr>
          <w:rFonts w:ascii="Verdana" w:hAnsi="Verdana"/>
          <w:color w:val="000000"/>
          <w:sz w:val="16"/>
          <w:szCs w:val="16"/>
          <w:lang w:val="en-US"/>
        </w:rPr>
        <w:t>, para. 132) the State failed to adopt adequate measures to protect the violation of the right to work by third parties. Thus, Mr. Lagos del Campo was not reinstated in his job and did not receive any compensation or the corresponding benefits</w:t>
      </w:r>
      <w:r w:rsidR="00F83E8F" w:rsidRPr="00D869E3">
        <w:rPr>
          <w:rFonts w:ascii="Verdana" w:hAnsi="Verdana"/>
          <w:sz w:val="16"/>
          <w:szCs w:val="16"/>
          <w:lang w:val="en-US"/>
        </w:rPr>
        <w:t xml:space="preserve">. </w:t>
      </w:r>
    </w:p>
    <w:p w14:paraId="05B88129" w14:textId="77777777" w:rsidR="00F83E8F" w:rsidRPr="00D869E3" w:rsidRDefault="00F83E8F" w:rsidP="00F83E8F">
      <w:pPr>
        <w:pStyle w:val="Prrafodelista"/>
        <w:ind w:left="709" w:right="738"/>
        <w:jc w:val="both"/>
        <w:rPr>
          <w:rFonts w:ascii="Verdana" w:hAnsi="Verdana"/>
          <w:sz w:val="16"/>
          <w:szCs w:val="16"/>
          <w:lang w:val="en-US"/>
        </w:rPr>
      </w:pPr>
    </w:p>
    <w:p w14:paraId="123FC4F5" w14:textId="3DE27EC9" w:rsidR="00F83E8F" w:rsidRPr="00D869E3" w:rsidRDefault="008B38F5" w:rsidP="00CC60D4">
      <w:pPr>
        <w:pStyle w:val="Prrafodelista"/>
        <w:numPr>
          <w:ilvl w:val="0"/>
          <w:numId w:val="30"/>
        </w:numPr>
        <w:ind w:left="709" w:right="738" w:firstLine="0"/>
        <w:jc w:val="both"/>
        <w:rPr>
          <w:rFonts w:ascii="Verdana" w:hAnsi="Verdana"/>
          <w:sz w:val="16"/>
          <w:szCs w:val="16"/>
          <w:lang w:val="en-US"/>
        </w:rPr>
      </w:pPr>
      <w:r w:rsidRPr="00D869E3">
        <w:rPr>
          <w:rFonts w:ascii="Verdana" w:hAnsi="Verdana"/>
          <w:sz w:val="16"/>
          <w:szCs w:val="16"/>
          <w:lang w:val="en-US"/>
        </w:rPr>
        <w:t>Consequently, Mr. Lagos del Campo lost his job, the possibility of a retirement pension, and also the exercise of his rights as a workers’ representative. This also had an impact on his professional, personal and family life (</w:t>
      </w:r>
      <w:r w:rsidRPr="00D869E3">
        <w:rPr>
          <w:rFonts w:ascii="Verdana" w:hAnsi="Verdana"/>
          <w:i/>
          <w:sz w:val="16"/>
          <w:szCs w:val="16"/>
          <w:lang w:val="en-US"/>
        </w:rPr>
        <w:t>supra,</w:t>
      </w:r>
      <w:r w:rsidRPr="00D869E3">
        <w:rPr>
          <w:rFonts w:ascii="Verdana" w:hAnsi="Verdana"/>
          <w:sz w:val="16"/>
          <w:szCs w:val="16"/>
          <w:lang w:val="en-US"/>
        </w:rPr>
        <w:t xml:space="preserve"> para. 72).</w:t>
      </w:r>
      <w:r w:rsidRPr="00D869E3">
        <w:rPr>
          <w:rFonts w:ascii="Verdana" w:hAnsi="Verdana"/>
          <w:sz w:val="20"/>
          <w:szCs w:val="20"/>
          <w:lang w:val="en-US"/>
        </w:rPr>
        <w:t xml:space="preserve"> </w:t>
      </w:r>
      <w:r w:rsidR="00F83E8F" w:rsidRPr="00D869E3">
        <w:rPr>
          <w:rFonts w:ascii="Verdana" w:hAnsi="Verdana"/>
          <w:sz w:val="16"/>
          <w:szCs w:val="16"/>
          <w:lang w:val="en-US"/>
        </w:rPr>
        <w:t>[…]</w:t>
      </w:r>
    </w:p>
    <w:p w14:paraId="3373B449" w14:textId="77777777" w:rsidR="00F83E8F" w:rsidRPr="00D869E3" w:rsidRDefault="00F83E8F" w:rsidP="00CC60D4">
      <w:pPr>
        <w:ind w:right="738"/>
        <w:jc w:val="both"/>
        <w:rPr>
          <w:rFonts w:ascii="Verdana" w:hAnsi="Verdana"/>
          <w:b/>
          <w:sz w:val="16"/>
          <w:szCs w:val="16"/>
          <w:lang w:val="en-US"/>
        </w:rPr>
      </w:pPr>
    </w:p>
    <w:p w14:paraId="78D820B8" w14:textId="16AA0DCF" w:rsidR="00F83E8F" w:rsidRPr="00D869E3" w:rsidRDefault="008B38F5" w:rsidP="00CC60D4">
      <w:pPr>
        <w:numPr>
          <w:ilvl w:val="0"/>
          <w:numId w:val="30"/>
        </w:numPr>
        <w:ind w:left="720" w:right="738" w:firstLine="0"/>
        <w:contextualSpacing/>
        <w:jc w:val="both"/>
        <w:rPr>
          <w:rFonts w:ascii="Verdana" w:hAnsi="Verdana"/>
          <w:sz w:val="16"/>
          <w:szCs w:val="16"/>
          <w:lang w:val="en-US"/>
        </w:rPr>
      </w:pPr>
      <w:r w:rsidRPr="00D869E3">
        <w:rPr>
          <w:rFonts w:ascii="Verdana" w:hAnsi="Verdana"/>
          <w:color w:val="000000"/>
          <w:sz w:val="16"/>
          <w:szCs w:val="16"/>
          <w:lang w:val="en-US"/>
        </w:rPr>
        <w:t xml:space="preserve">Based on the foregoing, </w:t>
      </w:r>
      <w:r w:rsidRPr="00D869E3">
        <w:rPr>
          <w:rFonts w:ascii="Verdana" w:hAnsi="Verdana"/>
          <w:color w:val="000000"/>
          <w:sz w:val="16"/>
          <w:szCs w:val="16"/>
          <w:u w:val="single"/>
          <w:lang w:val="en-US"/>
        </w:rPr>
        <w:t>the Court concludes that, owing to his arbitrary dismissal, Mr. Lagos del Campo was deprived of his employment and other benefits resulting from social security</w:t>
      </w:r>
      <w:r w:rsidRPr="00D869E3">
        <w:rPr>
          <w:rFonts w:ascii="Verdana" w:hAnsi="Verdana"/>
          <w:color w:val="000000"/>
          <w:sz w:val="16"/>
          <w:szCs w:val="16"/>
          <w:lang w:val="en-US"/>
        </w:rPr>
        <w:t xml:space="preserve">. Therefore, </w:t>
      </w:r>
      <w:r w:rsidRPr="00D869E3">
        <w:rPr>
          <w:rFonts w:ascii="Verdana" w:hAnsi="Verdana"/>
          <w:b/>
          <w:bCs/>
          <w:color w:val="000000"/>
          <w:sz w:val="16"/>
          <w:szCs w:val="16"/>
          <w:lang w:val="en-US"/>
        </w:rPr>
        <w:t>the Peruvian State failed to protect his right to job security, in interpretation of Article 26 of the American Convention, in relation to Articles 1(1), 13, 8 and 16</w:t>
      </w:r>
      <w:r w:rsidRPr="00D869E3">
        <w:rPr>
          <w:rFonts w:ascii="Verdana" w:hAnsi="Verdana"/>
          <w:color w:val="000000"/>
          <w:sz w:val="16"/>
          <w:szCs w:val="16"/>
          <w:lang w:val="en-US"/>
        </w:rPr>
        <w:t xml:space="preserve"> of this instrument, to the detriment of Mr. Lagos del Campo.</w:t>
      </w:r>
      <w:r w:rsidR="00F83E8F" w:rsidRPr="00D869E3">
        <w:rPr>
          <w:rStyle w:val="Refdenotaalpie"/>
          <w:sz w:val="16"/>
          <w:szCs w:val="16"/>
          <w:lang w:val="en-US"/>
        </w:rPr>
        <w:footnoteReference w:id="318"/>
      </w:r>
    </w:p>
    <w:p w14:paraId="166C28A2" w14:textId="77777777" w:rsidR="00F83E8F" w:rsidRPr="00D869E3" w:rsidRDefault="00F83E8F" w:rsidP="00F83E8F">
      <w:pPr>
        <w:jc w:val="both"/>
        <w:rPr>
          <w:rFonts w:ascii="Verdana" w:hAnsi="Verdana"/>
          <w:sz w:val="20"/>
          <w:szCs w:val="20"/>
          <w:lang w:val="en-US"/>
        </w:rPr>
      </w:pPr>
    </w:p>
    <w:p w14:paraId="4E5F9702" w14:textId="5812AC91" w:rsidR="00F83E8F" w:rsidRPr="00D869E3" w:rsidRDefault="00FE7426" w:rsidP="008B38F5">
      <w:pPr>
        <w:pStyle w:val="Prrafodelista"/>
        <w:numPr>
          <w:ilvl w:val="0"/>
          <w:numId w:val="28"/>
        </w:numPr>
        <w:ind w:left="0" w:firstLine="0"/>
        <w:jc w:val="both"/>
        <w:rPr>
          <w:rFonts w:ascii="Verdana" w:hAnsi="Verdana"/>
          <w:b/>
          <w:bCs/>
          <w:sz w:val="20"/>
          <w:szCs w:val="20"/>
          <w:u w:val="single"/>
          <w:lang w:val="en-US"/>
        </w:rPr>
      </w:pPr>
      <w:r w:rsidRPr="00D869E3">
        <w:rPr>
          <w:rFonts w:ascii="Verdana" w:hAnsi="Verdana"/>
          <w:bCs/>
          <w:sz w:val="20"/>
          <w:szCs w:val="20"/>
          <w:lang w:val="en-US"/>
        </w:rPr>
        <w:t xml:space="preserve">As mentioned in the judgment: </w:t>
      </w:r>
      <w:r w:rsidR="006436CA" w:rsidRPr="00D869E3">
        <w:rPr>
          <w:rFonts w:ascii="Verdana" w:hAnsi="Verdana"/>
          <w:bCs/>
          <w:sz w:val="20"/>
          <w:szCs w:val="20"/>
          <w:lang w:val="en-US"/>
        </w:rPr>
        <w:t>“</w:t>
      </w:r>
      <w:r w:rsidR="00F83E8F" w:rsidRPr="00D869E3">
        <w:rPr>
          <w:rFonts w:ascii="Verdana" w:hAnsi="Verdana"/>
          <w:bCs/>
          <w:sz w:val="20"/>
          <w:szCs w:val="20"/>
          <w:lang w:val="en-US"/>
        </w:rPr>
        <w:t xml:space="preserve">[…] </w:t>
      </w:r>
      <w:r w:rsidR="00447C65" w:rsidRPr="00D869E3">
        <w:rPr>
          <w:rFonts w:ascii="Verdana" w:hAnsi="Verdana"/>
          <w:bCs/>
          <w:sz w:val="20"/>
          <w:szCs w:val="20"/>
          <w:lang w:val="en-US"/>
        </w:rPr>
        <w:t>the Court</w:t>
      </w:r>
      <w:r w:rsidR="00F83E8F" w:rsidRPr="00D869E3">
        <w:rPr>
          <w:rFonts w:ascii="Verdana" w:hAnsi="Verdana"/>
          <w:bCs/>
          <w:sz w:val="20"/>
          <w:szCs w:val="20"/>
          <w:lang w:val="en-US"/>
        </w:rPr>
        <w:t xml:space="preserve"> ha</w:t>
      </w:r>
      <w:r w:rsidR="008B38F5" w:rsidRPr="00D869E3">
        <w:rPr>
          <w:rFonts w:ascii="Verdana" w:hAnsi="Verdana"/>
          <w:bCs/>
          <w:sz w:val="20"/>
          <w:szCs w:val="20"/>
          <w:lang w:val="en-US"/>
        </w:rPr>
        <w:t>s established</w:t>
      </w:r>
      <w:r w:rsidR="00F83E8F" w:rsidRPr="00D869E3">
        <w:rPr>
          <w:rFonts w:ascii="Verdana" w:hAnsi="Verdana"/>
          <w:bCs/>
          <w:sz w:val="20"/>
          <w:szCs w:val="20"/>
          <w:lang w:val="en-US"/>
        </w:rPr>
        <w:t xml:space="preserve"> […] </w:t>
      </w:r>
      <w:r w:rsidR="008B38F5" w:rsidRPr="00D869E3">
        <w:rPr>
          <w:rFonts w:ascii="Verdana" w:hAnsi="Verdana"/>
          <w:bCs/>
          <w:sz w:val="20"/>
          <w:szCs w:val="20"/>
          <w:lang w:val="en-US"/>
        </w:rPr>
        <w:t>that it has jurisdiction to examine and decide disputes relating to Article 26 of the American Convention, as an integral part of the rights named in it and, regarding which, Article 1(1) establishes the general obligations of the States to respect and to ensure rights</w:t>
      </w:r>
      <w:r w:rsidR="00F83E8F" w:rsidRPr="00D869E3">
        <w:rPr>
          <w:rFonts w:ascii="Verdana" w:hAnsi="Verdana"/>
          <w:bCs/>
          <w:sz w:val="20"/>
          <w:szCs w:val="20"/>
          <w:lang w:val="en-US"/>
        </w:rPr>
        <w:t xml:space="preserve"> [</w:t>
      </w:r>
      <w:r w:rsidR="00B235CB" w:rsidRPr="00D869E3">
        <w:rPr>
          <w:rFonts w:ascii="Verdana" w:hAnsi="Verdana"/>
          <w:bCs/>
          <w:sz w:val="20"/>
          <w:szCs w:val="20"/>
          <w:lang w:val="en-US"/>
        </w:rPr>
        <w:t xml:space="preserve">in the </w:t>
      </w:r>
      <w:r w:rsidR="00A811E3" w:rsidRPr="00D869E3">
        <w:rPr>
          <w:rFonts w:ascii="Verdana" w:hAnsi="Verdana"/>
          <w:bCs/>
          <w:sz w:val="20"/>
          <w:szCs w:val="20"/>
          <w:lang w:val="en-US"/>
        </w:rPr>
        <w:t>a</w:t>
      </w:r>
      <w:r w:rsidR="00B235CB" w:rsidRPr="00D869E3">
        <w:rPr>
          <w:rFonts w:ascii="Verdana" w:hAnsi="Verdana"/>
          <w:bCs/>
          <w:sz w:val="20"/>
          <w:szCs w:val="20"/>
          <w:lang w:val="en-US"/>
        </w:rPr>
        <w:t>rea of</w:t>
      </w:r>
      <w:r w:rsidR="00A811E3" w:rsidRPr="00D869E3">
        <w:rPr>
          <w:rFonts w:ascii="Verdana" w:hAnsi="Verdana"/>
          <w:bCs/>
          <w:sz w:val="20"/>
          <w:szCs w:val="20"/>
          <w:lang w:val="en-US"/>
        </w:rPr>
        <w:t xml:space="preserve"> economic, social, cultural and environmental</w:t>
      </w:r>
      <w:r w:rsidR="00F83E8F" w:rsidRPr="00D869E3">
        <w:rPr>
          <w:rFonts w:ascii="Verdana" w:hAnsi="Verdana"/>
          <w:bCs/>
          <w:sz w:val="20"/>
          <w:szCs w:val="20"/>
          <w:lang w:val="en-US"/>
        </w:rPr>
        <w:t xml:space="preserve"> </w:t>
      </w:r>
      <w:r w:rsidR="00881A39" w:rsidRPr="00D869E3">
        <w:rPr>
          <w:rFonts w:ascii="Verdana" w:hAnsi="Verdana"/>
          <w:bCs/>
          <w:sz w:val="20"/>
          <w:szCs w:val="20"/>
          <w:lang w:val="en-US"/>
        </w:rPr>
        <w:t>rights</w:t>
      </w:r>
      <w:r w:rsidR="00F83E8F" w:rsidRPr="00D869E3">
        <w:rPr>
          <w:rFonts w:ascii="Verdana" w:hAnsi="Verdana"/>
          <w:bCs/>
          <w:sz w:val="20"/>
          <w:szCs w:val="20"/>
          <w:lang w:val="en-US"/>
        </w:rPr>
        <w:t xml:space="preserve">]. </w:t>
      </w:r>
      <w:r w:rsidR="00A811E3" w:rsidRPr="00D869E3">
        <w:rPr>
          <w:rFonts w:ascii="Verdana" w:hAnsi="Verdana"/>
          <w:bCs/>
          <w:sz w:val="20"/>
          <w:szCs w:val="20"/>
          <w:lang w:val="en-US"/>
        </w:rPr>
        <w:t>The Court has also developed important case law on this matter, in light of different articles of the Convention</w:t>
      </w:r>
      <w:r w:rsidR="00F83E8F" w:rsidRPr="00D869E3">
        <w:rPr>
          <w:rFonts w:ascii="Verdana" w:hAnsi="Verdana"/>
          <w:bCs/>
          <w:sz w:val="20"/>
          <w:szCs w:val="20"/>
          <w:lang w:val="en-US"/>
        </w:rPr>
        <w:t xml:space="preserve"> […]</w:t>
      </w:r>
      <w:r w:rsidR="00A811E3" w:rsidRPr="00D869E3">
        <w:rPr>
          <w:rFonts w:ascii="Verdana" w:hAnsi="Verdana"/>
          <w:bCs/>
          <w:sz w:val="20"/>
          <w:szCs w:val="20"/>
          <w:lang w:val="en-US"/>
        </w:rPr>
        <w:t>.</w:t>
      </w:r>
      <w:r w:rsidR="006436CA" w:rsidRPr="00D869E3">
        <w:rPr>
          <w:rFonts w:ascii="Verdana" w:hAnsi="Verdana"/>
          <w:bCs/>
          <w:sz w:val="20"/>
          <w:szCs w:val="20"/>
          <w:lang w:val="en-US"/>
        </w:rPr>
        <w:t>”</w:t>
      </w:r>
      <w:r w:rsidR="00687684" w:rsidRPr="00D869E3">
        <w:rPr>
          <w:rFonts w:ascii="Verdana" w:hAnsi="Verdana"/>
          <w:bCs/>
          <w:sz w:val="20"/>
          <w:szCs w:val="20"/>
          <w:lang w:val="en-US"/>
        </w:rPr>
        <w:t xml:space="preserve"> </w:t>
      </w:r>
      <w:r w:rsidR="00A811E3" w:rsidRPr="00D869E3">
        <w:rPr>
          <w:rFonts w:ascii="Verdana" w:hAnsi="Verdana"/>
          <w:bCs/>
          <w:sz w:val="20"/>
          <w:szCs w:val="20"/>
          <w:lang w:val="en-US"/>
        </w:rPr>
        <w:t>A</w:t>
      </w:r>
      <w:r w:rsidR="00687684" w:rsidRPr="00D869E3">
        <w:rPr>
          <w:rFonts w:ascii="Verdana" w:hAnsi="Verdana"/>
          <w:bCs/>
          <w:sz w:val="20"/>
          <w:szCs w:val="20"/>
          <w:lang w:val="en-US"/>
        </w:rPr>
        <w:t>nd</w:t>
      </w:r>
      <w:r w:rsidR="00A811E3" w:rsidRPr="00D869E3">
        <w:rPr>
          <w:rFonts w:ascii="Verdana" w:hAnsi="Verdana"/>
          <w:bCs/>
          <w:sz w:val="20"/>
          <w:szCs w:val="20"/>
          <w:lang w:val="en-US"/>
        </w:rPr>
        <w:t>, it</w:t>
      </w:r>
      <w:r w:rsidR="00687684" w:rsidRPr="00D869E3">
        <w:rPr>
          <w:rFonts w:ascii="Verdana" w:hAnsi="Verdana"/>
          <w:bCs/>
          <w:sz w:val="20"/>
          <w:szCs w:val="20"/>
          <w:lang w:val="en-US"/>
        </w:rPr>
        <w:t xml:space="preserve"> </w:t>
      </w:r>
      <w:r w:rsidR="00F83E8F" w:rsidRPr="00D869E3">
        <w:rPr>
          <w:rFonts w:ascii="Verdana" w:hAnsi="Verdana"/>
          <w:bCs/>
          <w:sz w:val="20"/>
          <w:szCs w:val="20"/>
          <w:lang w:val="en-US"/>
        </w:rPr>
        <w:t>a</w:t>
      </w:r>
      <w:r w:rsidRPr="00D869E3">
        <w:rPr>
          <w:rFonts w:ascii="Verdana" w:hAnsi="Verdana"/>
          <w:bCs/>
          <w:sz w:val="20"/>
          <w:szCs w:val="20"/>
          <w:lang w:val="en-US"/>
        </w:rPr>
        <w:t>dded</w:t>
      </w:r>
      <w:r w:rsidR="00F83E8F" w:rsidRPr="00D869E3">
        <w:rPr>
          <w:rFonts w:ascii="Verdana" w:hAnsi="Verdana"/>
          <w:bCs/>
          <w:sz w:val="20"/>
          <w:szCs w:val="20"/>
          <w:lang w:val="en-US"/>
        </w:rPr>
        <w:t xml:space="preserve">: </w:t>
      </w:r>
    </w:p>
    <w:p w14:paraId="4430FE7E" w14:textId="77777777" w:rsidR="00F83E8F" w:rsidRPr="00D869E3" w:rsidRDefault="00F83E8F" w:rsidP="00F83E8F">
      <w:pPr>
        <w:pStyle w:val="Prrafodelista"/>
        <w:ind w:left="0"/>
        <w:jc w:val="both"/>
        <w:rPr>
          <w:rFonts w:ascii="Verdana" w:hAnsi="Verdana"/>
          <w:b/>
          <w:bCs/>
          <w:sz w:val="20"/>
          <w:szCs w:val="20"/>
          <w:u w:val="single"/>
          <w:lang w:val="en-US"/>
        </w:rPr>
      </w:pPr>
      <w:r w:rsidRPr="00D869E3">
        <w:rPr>
          <w:rFonts w:ascii="Verdana" w:hAnsi="Verdana"/>
          <w:bCs/>
          <w:sz w:val="20"/>
          <w:szCs w:val="20"/>
          <w:lang w:val="en-US"/>
        </w:rPr>
        <w:t xml:space="preserve"> </w:t>
      </w:r>
    </w:p>
    <w:p w14:paraId="26A00EA7" w14:textId="7F3EEA35" w:rsidR="00F83E8F" w:rsidRPr="00D869E3" w:rsidRDefault="00F83E8F" w:rsidP="00F83E8F">
      <w:pPr>
        <w:pStyle w:val="Prrafodelista"/>
        <w:ind w:left="708" w:right="738"/>
        <w:jc w:val="both"/>
        <w:rPr>
          <w:rFonts w:ascii="Verdana" w:hAnsi="Verdana"/>
          <w:bCs/>
          <w:sz w:val="16"/>
          <w:szCs w:val="16"/>
          <w:u w:val="single"/>
          <w:lang w:val="en-US"/>
        </w:rPr>
      </w:pPr>
      <w:r w:rsidRPr="00D869E3">
        <w:rPr>
          <w:rFonts w:ascii="Verdana" w:hAnsi="Verdana"/>
          <w:bCs/>
          <w:sz w:val="16"/>
          <w:szCs w:val="16"/>
          <w:lang w:val="en-US"/>
        </w:rPr>
        <w:t>154. […]</w:t>
      </w:r>
      <w:r w:rsidR="00FE7426" w:rsidRPr="00D869E3">
        <w:rPr>
          <w:rFonts w:ascii="Verdana" w:hAnsi="Verdana"/>
          <w:bCs/>
          <w:sz w:val="16"/>
          <w:szCs w:val="16"/>
          <w:lang w:val="en-US"/>
        </w:rPr>
        <w:t xml:space="preserve"> On this basis, </w:t>
      </w:r>
      <w:r w:rsidR="00FE7426" w:rsidRPr="00D869E3">
        <w:rPr>
          <w:rFonts w:ascii="Verdana" w:hAnsi="Verdana"/>
          <w:b/>
          <w:sz w:val="16"/>
          <w:szCs w:val="16"/>
          <w:lang w:val="en-US"/>
        </w:rPr>
        <w:t>th</w:t>
      </w:r>
      <w:r w:rsidR="008B38F5" w:rsidRPr="00D869E3">
        <w:rPr>
          <w:rFonts w:ascii="Verdana" w:hAnsi="Verdana"/>
          <w:b/>
          <w:sz w:val="16"/>
          <w:szCs w:val="16"/>
          <w:lang w:val="en-US"/>
        </w:rPr>
        <w:t>e present</w:t>
      </w:r>
      <w:r w:rsidR="00FE7426" w:rsidRPr="00D869E3">
        <w:rPr>
          <w:rFonts w:ascii="Verdana" w:hAnsi="Verdana"/>
          <w:b/>
          <w:sz w:val="16"/>
          <w:szCs w:val="16"/>
          <w:lang w:val="en-US"/>
        </w:rPr>
        <w:t xml:space="preserve"> judgment develops and substantiates a specific condemnation for the violation of Article 26 of the American Convention on Human Rights</w:t>
      </w:r>
      <w:r w:rsidR="00FE7426" w:rsidRPr="00D869E3">
        <w:rPr>
          <w:rFonts w:ascii="Verdana" w:hAnsi="Verdana"/>
          <w:bCs/>
          <w:sz w:val="16"/>
          <w:szCs w:val="16"/>
          <w:lang w:val="en-US"/>
        </w:rPr>
        <w:t xml:space="preserve">, </w:t>
      </w:r>
      <w:r w:rsidR="00FE7426" w:rsidRPr="00D869E3">
        <w:rPr>
          <w:rFonts w:ascii="Verdana" w:hAnsi="Verdana"/>
          <w:bCs/>
          <w:i/>
          <w:iCs/>
          <w:sz w:val="16"/>
          <w:szCs w:val="16"/>
          <w:lang w:val="en-US"/>
        </w:rPr>
        <w:t>established in Chapter III of this treaty, entitled Economic, Social and Cultural Rights.</w:t>
      </w:r>
      <w:r w:rsidRPr="00D869E3">
        <w:rPr>
          <w:rStyle w:val="Refdenotaalpie"/>
          <w:bCs/>
          <w:i/>
          <w:sz w:val="16"/>
          <w:szCs w:val="16"/>
          <w:lang w:val="en-US"/>
        </w:rPr>
        <w:footnoteReference w:id="319"/>
      </w:r>
    </w:p>
    <w:p w14:paraId="655EDF34" w14:textId="77777777" w:rsidR="00F83E8F" w:rsidRPr="00D869E3" w:rsidRDefault="00F83E8F" w:rsidP="00F83E8F">
      <w:pPr>
        <w:widowControl w:val="0"/>
        <w:autoSpaceDE w:val="0"/>
        <w:autoSpaceDN w:val="0"/>
        <w:adjustRightInd w:val="0"/>
        <w:ind w:right="49"/>
        <w:jc w:val="both"/>
        <w:rPr>
          <w:rFonts w:ascii="Verdana" w:hAnsi="Verdana"/>
          <w:sz w:val="20"/>
          <w:szCs w:val="20"/>
          <w:lang w:val="en-US"/>
        </w:rPr>
      </w:pPr>
    </w:p>
    <w:p w14:paraId="1DE8A6D1" w14:textId="175648EA" w:rsidR="0051233A" w:rsidRPr="00D869E3" w:rsidRDefault="0051233A" w:rsidP="00E70701">
      <w:pPr>
        <w:pStyle w:val="Prrafodelista"/>
        <w:widowControl w:val="0"/>
        <w:numPr>
          <w:ilvl w:val="0"/>
          <w:numId w:val="28"/>
        </w:numPr>
        <w:autoSpaceDE w:val="0"/>
        <w:autoSpaceDN w:val="0"/>
        <w:adjustRightInd w:val="0"/>
        <w:ind w:left="0" w:right="49" w:firstLine="0"/>
        <w:jc w:val="both"/>
        <w:rPr>
          <w:rFonts w:ascii="Verdana" w:hAnsi="Verdana"/>
          <w:sz w:val="20"/>
          <w:szCs w:val="20"/>
          <w:lang w:val="en-US"/>
        </w:rPr>
      </w:pPr>
      <w:r w:rsidRPr="00D869E3">
        <w:rPr>
          <w:rFonts w:ascii="Verdana" w:hAnsi="Verdana"/>
          <w:sz w:val="20"/>
          <w:szCs w:val="20"/>
          <w:lang w:val="en-US"/>
        </w:rPr>
        <w:t xml:space="preserve">This initial analysis has allowed us to observe that </w:t>
      </w:r>
      <w:r w:rsidR="00671B14" w:rsidRPr="00D869E3">
        <w:rPr>
          <w:rFonts w:ascii="Verdana" w:hAnsi="Verdana"/>
          <w:sz w:val="20"/>
          <w:szCs w:val="20"/>
          <w:lang w:val="en-US"/>
        </w:rPr>
        <w:t>the Inter-American Court</w:t>
      </w:r>
      <w:r w:rsidR="00F83E8F" w:rsidRPr="00D869E3">
        <w:rPr>
          <w:rFonts w:ascii="Verdana" w:hAnsi="Verdana"/>
          <w:sz w:val="20"/>
          <w:szCs w:val="20"/>
          <w:lang w:val="en-US"/>
        </w:rPr>
        <w:t xml:space="preserve"> d</w:t>
      </w:r>
      <w:r w:rsidRPr="00D869E3">
        <w:rPr>
          <w:rFonts w:ascii="Verdana" w:hAnsi="Verdana"/>
          <w:sz w:val="20"/>
          <w:szCs w:val="20"/>
          <w:lang w:val="en-US"/>
        </w:rPr>
        <w:t xml:space="preserve">eveloped </w:t>
      </w:r>
      <w:r w:rsidR="007013E2" w:rsidRPr="00D869E3">
        <w:rPr>
          <w:rFonts w:ascii="Verdana" w:hAnsi="Verdana"/>
          <w:sz w:val="20"/>
          <w:szCs w:val="20"/>
          <w:lang w:val="en-US"/>
        </w:rPr>
        <w:t>the violation</w:t>
      </w:r>
      <w:r w:rsidR="00F83E8F" w:rsidRPr="00D869E3">
        <w:rPr>
          <w:rFonts w:ascii="Verdana" w:hAnsi="Verdana"/>
          <w:sz w:val="20"/>
          <w:szCs w:val="20"/>
          <w:lang w:val="en-US"/>
        </w:rPr>
        <w:t xml:space="preserve"> </w:t>
      </w:r>
      <w:r w:rsidR="00687684" w:rsidRPr="00D869E3">
        <w:rPr>
          <w:rFonts w:ascii="Verdana" w:hAnsi="Verdana"/>
          <w:sz w:val="20"/>
          <w:szCs w:val="20"/>
          <w:lang w:val="en-US"/>
        </w:rPr>
        <w:t>of Article</w:t>
      </w:r>
      <w:r w:rsidR="00F83E8F" w:rsidRPr="00D869E3">
        <w:rPr>
          <w:rFonts w:ascii="Verdana" w:hAnsi="Verdana"/>
          <w:sz w:val="20"/>
          <w:szCs w:val="20"/>
          <w:lang w:val="en-US"/>
        </w:rPr>
        <w:t xml:space="preserve"> 26</w:t>
      </w:r>
      <w:r w:rsidR="00447C65" w:rsidRPr="00D869E3">
        <w:rPr>
          <w:rFonts w:ascii="Verdana" w:hAnsi="Verdana"/>
          <w:sz w:val="20"/>
          <w:szCs w:val="20"/>
          <w:lang w:val="en-US"/>
        </w:rPr>
        <w:t xml:space="preserve"> of the American Convention</w:t>
      </w:r>
      <w:r w:rsidR="00F83E8F" w:rsidRPr="00D869E3">
        <w:rPr>
          <w:rFonts w:ascii="Verdana" w:hAnsi="Verdana"/>
          <w:sz w:val="20"/>
          <w:szCs w:val="20"/>
          <w:lang w:val="en-US"/>
        </w:rPr>
        <w:t xml:space="preserve"> </w:t>
      </w:r>
      <w:r w:rsidRPr="00D869E3">
        <w:rPr>
          <w:rFonts w:ascii="Verdana" w:hAnsi="Verdana"/>
          <w:sz w:val="20"/>
          <w:szCs w:val="20"/>
          <w:lang w:val="en-US"/>
        </w:rPr>
        <w:t>specifically</w:t>
      </w:r>
      <w:r w:rsidR="00F83E8F" w:rsidRPr="00D869E3">
        <w:rPr>
          <w:rFonts w:ascii="Verdana" w:hAnsi="Verdana"/>
          <w:sz w:val="20"/>
          <w:szCs w:val="20"/>
          <w:lang w:val="en-US"/>
        </w:rPr>
        <w:t xml:space="preserve"> </w:t>
      </w:r>
      <w:r w:rsidR="00BB61A6" w:rsidRPr="00D869E3">
        <w:rPr>
          <w:rFonts w:ascii="Verdana" w:hAnsi="Verdana"/>
          <w:sz w:val="20"/>
          <w:szCs w:val="20"/>
          <w:lang w:val="en-US"/>
        </w:rPr>
        <w:t xml:space="preserve">in relation </w:t>
      </w:r>
      <w:r w:rsidR="002C5EA9" w:rsidRPr="00D869E3">
        <w:rPr>
          <w:rFonts w:ascii="Verdana" w:hAnsi="Verdana"/>
          <w:sz w:val="20"/>
          <w:szCs w:val="20"/>
          <w:lang w:val="en-US"/>
        </w:rPr>
        <w:t>to job security</w:t>
      </w:r>
      <w:r w:rsidRPr="00D869E3">
        <w:rPr>
          <w:rFonts w:ascii="Verdana" w:hAnsi="Verdana"/>
          <w:sz w:val="20"/>
          <w:szCs w:val="20"/>
          <w:lang w:val="en-US"/>
        </w:rPr>
        <w:t xml:space="preserve">. In this regard – and this is the essence of this opinion – the same analysis could have been made regarding the violation of the right to freedom of association for the protection and promotion of workers’ interests. In this way, the Court could have established the differences with previous case law </w:t>
      </w:r>
      <w:r w:rsidR="00DB6347" w:rsidRPr="00D869E3">
        <w:rPr>
          <w:rFonts w:ascii="Verdana" w:hAnsi="Verdana"/>
          <w:sz w:val="20"/>
          <w:szCs w:val="20"/>
          <w:lang w:val="en-US"/>
        </w:rPr>
        <w:t>that related to</w:t>
      </w:r>
      <w:r w:rsidRPr="00D869E3">
        <w:rPr>
          <w:rFonts w:ascii="Verdana" w:hAnsi="Verdana"/>
          <w:sz w:val="20"/>
          <w:szCs w:val="20"/>
          <w:lang w:val="en-US"/>
        </w:rPr>
        <w:t xml:space="preserve"> labor unions.</w:t>
      </w:r>
    </w:p>
    <w:p w14:paraId="06D56EF4" w14:textId="77777777" w:rsidR="00F83E8F" w:rsidRPr="00D869E3" w:rsidRDefault="00F83E8F" w:rsidP="00F83E8F">
      <w:pPr>
        <w:pStyle w:val="Prrafodelista"/>
        <w:widowControl w:val="0"/>
        <w:autoSpaceDE w:val="0"/>
        <w:autoSpaceDN w:val="0"/>
        <w:adjustRightInd w:val="0"/>
        <w:ind w:left="0" w:right="49"/>
        <w:jc w:val="both"/>
        <w:rPr>
          <w:rFonts w:ascii="Verdana" w:hAnsi="Verdana"/>
          <w:sz w:val="20"/>
          <w:szCs w:val="20"/>
          <w:lang w:val="en-US"/>
        </w:rPr>
      </w:pPr>
    </w:p>
    <w:p w14:paraId="450E2D14" w14:textId="546579FE" w:rsidR="00F83E8F" w:rsidRPr="00D869E3" w:rsidRDefault="00F83E8F" w:rsidP="00F83E8F">
      <w:pPr>
        <w:pStyle w:val="Prrafodelista"/>
        <w:widowControl w:val="0"/>
        <w:autoSpaceDE w:val="0"/>
        <w:autoSpaceDN w:val="0"/>
        <w:adjustRightInd w:val="0"/>
        <w:ind w:left="0"/>
        <w:jc w:val="center"/>
        <w:rPr>
          <w:rFonts w:ascii="Verdana" w:hAnsi="Verdana"/>
          <w:sz w:val="20"/>
          <w:szCs w:val="20"/>
          <w:lang w:val="en-US"/>
        </w:rPr>
      </w:pPr>
      <w:r w:rsidRPr="00D869E3">
        <w:rPr>
          <w:rFonts w:ascii="Verdana" w:hAnsi="Verdana"/>
          <w:sz w:val="20"/>
          <w:szCs w:val="20"/>
          <w:lang w:val="en-US"/>
        </w:rPr>
        <w:t xml:space="preserve">II.  </w:t>
      </w:r>
      <w:r w:rsidR="000944EB" w:rsidRPr="00D869E3">
        <w:rPr>
          <w:rFonts w:ascii="Verdana" w:hAnsi="Verdana"/>
          <w:sz w:val="20"/>
          <w:szCs w:val="20"/>
          <w:lang w:val="en-US"/>
        </w:rPr>
        <w:t>THE RIGHT TO FREEDOM OF ASSOCIATION IN THE CASE LAW</w:t>
      </w:r>
      <w:r w:rsidRPr="00D869E3">
        <w:rPr>
          <w:rFonts w:ascii="Verdana" w:hAnsi="Verdana"/>
          <w:sz w:val="20"/>
          <w:szCs w:val="20"/>
          <w:lang w:val="en-US"/>
        </w:rPr>
        <w:t xml:space="preserve"> </w:t>
      </w:r>
      <w:r w:rsidR="0051233A" w:rsidRPr="00D869E3">
        <w:rPr>
          <w:rFonts w:ascii="Verdana" w:hAnsi="Verdana"/>
          <w:sz w:val="20"/>
          <w:szCs w:val="20"/>
          <w:lang w:val="en-US"/>
        </w:rPr>
        <w:t>OF THE</w:t>
      </w:r>
      <w:r w:rsidRPr="00D869E3">
        <w:rPr>
          <w:rFonts w:ascii="Verdana" w:hAnsi="Verdana"/>
          <w:sz w:val="20"/>
          <w:szCs w:val="20"/>
          <w:lang w:val="en-US"/>
        </w:rPr>
        <w:t xml:space="preserve"> </w:t>
      </w:r>
    </w:p>
    <w:p w14:paraId="4BE43913" w14:textId="61A1C650" w:rsidR="00F83E8F" w:rsidRPr="00D869E3" w:rsidRDefault="00F83E8F" w:rsidP="00F83E8F">
      <w:pPr>
        <w:pStyle w:val="Prrafodelista"/>
        <w:widowControl w:val="0"/>
        <w:autoSpaceDE w:val="0"/>
        <w:autoSpaceDN w:val="0"/>
        <w:adjustRightInd w:val="0"/>
        <w:ind w:left="0"/>
        <w:jc w:val="center"/>
        <w:rPr>
          <w:rFonts w:ascii="Verdana" w:hAnsi="Verdana"/>
          <w:sz w:val="20"/>
          <w:szCs w:val="20"/>
          <w:lang w:val="en-US"/>
        </w:rPr>
      </w:pPr>
      <w:r w:rsidRPr="00D869E3">
        <w:rPr>
          <w:rFonts w:ascii="Verdana" w:hAnsi="Verdana"/>
          <w:sz w:val="20"/>
          <w:szCs w:val="20"/>
          <w:lang w:val="en-US"/>
        </w:rPr>
        <w:t>INTER</w:t>
      </w:r>
      <w:r w:rsidR="0051233A" w:rsidRPr="00D869E3">
        <w:rPr>
          <w:rFonts w:ascii="Verdana" w:hAnsi="Verdana"/>
          <w:sz w:val="20"/>
          <w:szCs w:val="20"/>
          <w:lang w:val="en-US"/>
        </w:rPr>
        <w:t>-</w:t>
      </w:r>
      <w:r w:rsidRPr="00D869E3">
        <w:rPr>
          <w:rFonts w:ascii="Verdana" w:hAnsi="Verdana"/>
          <w:sz w:val="20"/>
          <w:szCs w:val="20"/>
          <w:lang w:val="en-US"/>
        </w:rPr>
        <w:t>AMERICAN</w:t>
      </w:r>
      <w:r w:rsidR="0051233A" w:rsidRPr="00D869E3">
        <w:rPr>
          <w:rFonts w:ascii="Verdana" w:hAnsi="Verdana"/>
          <w:sz w:val="20"/>
          <w:szCs w:val="20"/>
          <w:lang w:val="en-US"/>
        </w:rPr>
        <w:t xml:space="preserve"> COURT OF </w:t>
      </w:r>
      <w:r w:rsidR="00B443B4" w:rsidRPr="00D869E3">
        <w:rPr>
          <w:rFonts w:ascii="Verdana" w:hAnsi="Verdana"/>
          <w:sz w:val="20"/>
          <w:szCs w:val="20"/>
          <w:lang w:val="en-US"/>
        </w:rPr>
        <w:t>HUMAN RIGHTS</w:t>
      </w:r>
    </w:p>
    <w:p w14:paraId="0D6E5B75" w14:textId="77777777" w:rsidR="00F83E8F" w:rsidRPr="00D869E3" w:rsidRDefault="00F83E8F" w:rsidP="00F83E8F">
      <w:pPr>
        <w:pStyle w:val="Prrafodelista"/>
        <w:widowControl w:val="0"/>
        <w:autoSpaceDE w:val="0"/>
        <w:autoSpaceDN w:val="0"/>
        <w:adjustRightInd w:val="0"/>
        <w:ind w:left="0"/>
        <w:rPr>
          <w:rFonts w:ascii="Verdana" w:hAnsi="Verdana"/>
          <w:sz w:val="20"/>
          <w:szCs w:val="20"/>
          <w:lang w:val="en-US"/>
        </w:rPr>
      </w:pPr>
    </w:p>
    <w:p w14:paraId="5DB74AE7" w14:textId="188CB8C7" w:rsidR="00F83E8F" w:rsidRPr="00D869E3" w:rsidRDefault="00B235CB" w:rsidP="00B235CB">
      <w:pPr>
        <w:pStyle w:val="Prrafodelista"/>
        <w:numPr>
          <w:ilvl w:val="0"/>
          <w:numId w:val="28"/>
        </w:numPr>
        <w:ind w:left="0" w:firstLine="0"/>
        <w:jc w:val="both"/>
        <w:rPr>
          <w:rFonts w:ascii="Verdana" w:hAnsi="Verdana"/>
          <w:sz w:val="20"/>
          <w:szCs w:val="20"/>
          <w:lang w:val="en-US"/>
        </w:rPr>
      </w:pPr>
      <w:r w:rsidRPr="00D869E3">
        <w:rPr>
          <w:rFonts w:ascii="Verdana" w:hAnsi="Verdana"/>
          <w:sz w:val="20"/>
          <w:szCs w:val="20"/>
          <w:lang w:val="en-US"/>
        </w:rPr>
        <w:t>In the Inter-American Court’s case law, the right to</w:t>
      </w:r>
      <w:r w:rsidR="00F83E8F" w:rsidRPr="00D869E3">
        <w:rPr>
          <w:rFonts w:ascii="Verdana" w:hAnsi="Verdana"/>
          <w:sz w:val="20"/>
          <w:szCs w:val="20"/>
          <w:lang w:val="en-US"/>
        </w:rPr>
        <w:t xml:space="preserve"> </w:t>
      </w:r>
      <w:r w:rsidR="006436CA" w:rsidRPr="00D869E3">
        <w:rPr>
          <w:rFonts w:ascii="Verdana" w:hAnsi="Verdana"/>
          <w:sz w:val="20"/>
          <w:szCs w:val="20"/>
          <w:lang w:val="en-US"/>
        </w:rPr>
        <w:t>“</w:t>
      </w:r>
      <w:r w:rsidRPr="00D869E3">
        <w:rPr>
          <w:rFonts w:ascii="Verdana" w:hAnsi="Verdana"/>
          <w:sz w:val="20"/>
          <w:szCs w:val="20"/>
          <w:lang w:val="en-US"/>
        </w:rPr>
        <w:t xml:space="preserve">associate freely for labor purpose” has been addressed only in relation to the issue of labor </w:t>
      </w:r>
      <w:r w:rsidR="00DB6347" w:rsidRPr="00D869E3">
        <w:rPr>
          <w:rFonts w:ascii="Verdana" w:hAnsi="Verdana"/>
          <w:sz w:val="20"/>
          <w:szCs w:val="20"/>
          <w:lang w:val="en-US"/>
        </w:rPr>
        <w:t xml:space="preserve">or trade </w:t>
      </w:r>
      <w:r w:rsidRPr="00D869E3">
        <w:rPr>
          <w:rFonts w:ascii="Verdana" w:hAnsi="Verdana"/>
          <w:sz w:val="20"/>
          <w:szCs w:val="20"/>
          <w:lang w:val="en-US"/>
        </w:rPr>
        <w:t xml:space="preserve">unions; that is, the right to </w:t>
      </w:r>
      <w:r w:rsidR="00DB6347" w:rsidRPr="00D869E3">
        <w:rPr>
          <w:rFonts w:ascii="Verdana" w:hAnsi="Verdana"/>
          <w:sz w:val="20"/>
          <w:szCs w:val="20"/>
          <w:lang w:val="en-US"/>
        </w:rPr>
        <w:t>organize and join trade</w:t>
      </w:r>
      <w:r w:rsidRPr="00D869E3">
        <w:rPr>
          <w:rFonts w:ascii="Verdana" w:hAnsi="Verdana"/>
          <w:sz w:val="20"/>
          <w:szCs w:val="20"/>
          <w:lang w:val="en-US"/>
        </w:rPr>
        <w:t xml:space="preserve"> unions. In addition, it is important to point out that even though Article 19(6) of the Additional Protocol to the American Convention in the Area of Economic, Social and Cultural Rights (hereinafter “the Protocol of San Salvador”) includes the right to </w:t>
      </w:r>
      <w:r w:rsidR="00DB6347" w:rsidRPr="00D869E3">
        <w:rPr>
          <w:rFonts w:ascii="Verdana" w:hAnsi="Verdana"/>
          <w:sz w:val="20"/>
          <w:szCs w:val="20"/>
          <w:lang w:val="en-US"/>
        </w:rPr>
        <w:t>organize and join</w:t>
      </w:r>
      <w:r w:rsidRPr="00D869E3">
        <w:rPr>
          <w:rFonts w:ascii="Verdana" w:hAnsi="Verdana"/>
          <w:sz w:val="20"/>
          <w:szCs w:val="20"/>
          <w:lang w:val="en-US"/>
        </w:rPr>
        <w:t xml:space="preserve"> </w:t>
      </w:r>
      <w:r w:rsidR="00DB6347" w:rsidRPr="00D869E3">
        <w:rPr>
          <w:rFonts w:ascii="Verdana" w:hAnsi="Verdana"/>
          <w:sz w:val="20"/>
          <w:szCs w:val="20"/>
          <w:lang w:val="en-US"/>
        </w:rPr>
        <w:t>trade</w:t>
      </w:r>
      <w:r w:rsidRPr="00D869E3">
        <w:rPr>
          <w:rFonts w:ascii="Verdana" w:hAnsi="Verdana"/>
          <w:sz w:val="20"/>
          <w:szCs w:val="20"/>
          <w:lang w:val="en-US"/>
        </w:rPr>
        <w:t xml:space="preserve"> unions</w:t>
      </w:r>
      <w:r w:rsidR="00F83E8F" w:rsidRPr="00D869E3">
        <w:rPr>
          <w:rFonts w:ascii="Verdana" w:hAnsi="Verdana"/>
          <w:sz w:val="20"/>
          <w:szCs w:val="20"/>
          <w:lang w:val="en-US"/>
        </w:rPr>
        <w:t xml:space="preserve"> (</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 </w:t>
      </w:r>
      <w:r w:rsidR="00687684" w:rsidRPr="00D869E3">
        <w:rPr>
          <w:rFonts w:ascii="Verdana" w:hAnsi="Verdana"/>
          <w:sz w:val="20"/>
          <w:szCs w:val="20"/>
          <w:lang w:val="en-US"/>
        </w:rPr>
        <w:t>8(1)</w:t>
      </w:r>
      <w:r w:rsidRPr="00D869E3">
        <w:rPr>
          <w:rFonts w:ascii="Verdana" w:hAnsi="Verdana"/>
          <w:sz w:val="20"/>
          <w:szCs w:val="20"/>
          <w:lang w:val="en-US"/>
        </w:rPr>
        <w:t>(</w:t>
      </w:r>
      <w:r w:rsidR="00F83E8F" w:rsidRPr="00D869E3">
        <w:rPr>
          <w:rFonts w:ascii="Verdana" w:hAnsi="Verdana"/>
          <w:sz w:val="20"/>
          <w:szCs w:val="20"/>
          <w:lang w:val="en-US"/>
        </w:rPr>
        <w:t>a</w:t>
      </w:r>
      <w:r w:rsidRPr="00D869E3">
        <w:rPr>
          <w:rFonts w:ascii="Verdana" w:hAnsi="Verdana"/>
          <w:sz w:val="20"/>
          <w:szCs w:val="20"/>
          <w:lang w:val="en-US"/>
        </w:rPr>
        <w:t>)</w:t>
      </w:r>
      <w:r w:rsidR="00F83E8F" w:rsidRPr="00D869E3">
        <w:rPr>
          <w:rFonts w:ascii="Verdana" w:hAnsi="Verdana"/>
          <w:sz w:val="20"/>
          <w:szCs w:val="20"/>
          <w:lang w:val="en-US"/>
        </w:rPr>
        <w:t xml:space="preserve"> </w:t>
      </w:r>
      <w:r w:rsidR="00916899" w:rsidRPr="00D869E3">
        <w:rPr>
          <w:rFonts w:ascii="Verdana" w:hAnsi="Verdana"/>
          <w:sz w:val="20"/>
          <w:szCs w:val="20"/>
          <w:lang w:val="en-US"/>
        </w:rPr>
        <w:t>of the Protocol of</w:t>
      </w:r>
      <w:r w:rsidR="00F83E8F" w:rsidRPr="00D869E3">
        <w:rPr>
          <w:rFonts w:ascii="Verdana" w:hAnsi="Verdana"/>
          <w:sz w:val="20"/>
          <w:szCs w:val="20"/>
          <w:lang w:val="en-US"/>
        </w:rPr>
        <w:t xml:space="preserve"> San Salvador) </w:t>
      </w:r>
      <w:r w:rsidRPr="00D869E3">
        <w:rPr>
          <w:rFonts w:ascii="Verdana" w:hAnsi="Verdana"/>
          <w:sz w:val="20"/>
          <w:szCs w:val="20"/>
          <w:lang w:val="en-US"/>
        </w:rPr>
        <w:t>as one of the two rights expressly mentioned as enforceable before organs</w:t>
      </w:r>
      <w:r w:rsidR="00EA232B" w:rsidRPr="00D869E3">
        <w:rPr>
          <w:rFonts w:ascii="Verdana" w:hAnsi="Verdana"/>
          <w:sz w:val="20"/>
          <w:szCs w:val="20"/>
          <w:lang w:val="en-US"/>
        </w:rPr>
        <w:t xml:space="preserve"> of the </w:t>
      </w:r>
      <w:r w:rsidR="00671B14" w:rsidRPr="00D869E3">
        <w:rPr>
          <w:rFonts w:ascii="Verdana" w:hAnsi="Verdana"/>
          <w:sz w:val="20"/>
          <w:szCs w:val="20"/>
          <w:lang w:val="en-US"/>
        </w:rPr>
        <w:t>inter-American system</w:t>
      </w:r>
      <w:r w:rsidR="00F83E8F" w:rsidRPr="00D869E3">
        <w:rPr>
          <w:rFonts w:ascii="Verdana" w:hAnsi="Verdana"/>
          <w:sz w:val="20"/>
          <w:szCs w:val="20"/>
          <w:lang w:val="en-US"/>
        </w:rPr>
        <w:t xml:space="preserve">, </w:t>
      </w:r>
      <w:r w:rsidRPr="00D869E3">
        <w:rPr>
          <w:rFonts w:ascii="Verdana" w:hAnsi="Verdana"/>
          <w:sz w:val="20"/>
          <w:szCs w:val="20"/>
          <w:lang w:val="en-US"/>
        </w:rPr>
        <w:t xml:space="preserve">the previous </w:t>
      </w:r>
      <w:r w:rsidRPr="00D869E3">
        <w:rPr>
          <w:rFonts w:ascii="Verdana" w:hAnsi="Verdana"/>
          <w:sz w:val="20"/>
          <w:szCs w:val="20"/>
          <w:lang w:val="en-US"/>
        </w:rPr>
        <w:lastRenderedPageBreak/>
        <w:t xml:space="preserve">case law </w:t>
      </w:r>
      <w:r w:rsidR="00447C65" w:rsidRPr="00D869E3">
        <w:rPr>
          <w:rFonts w:ascii="Verdana" w:hAnsi="Verdana"/>
          <w:sz w:val="20"/>
          <w:szCs w:val="20"/>
          <w:lang w:val="en-US"/>
        </w:rPr>
        <w:t xml:space="preserve">of </w:t>
      </w:r>
      <w:r w:rsidR="00671B14" w:rsidRPr="00D869E3">
        <w:rPr>
          <w:rFonts w:ascii="Verdana" w:hAnsi="Verdana"/>
          <w:sz w:val="20"/>
          <w:szCs w:val="20"/>
          <w:lang w:val="en-US"/>
        </w:rPr>
        <w:t>the Inter-American Court</w:t>
      </w:r>
      <w:r w:rsidR="00F83E8F" w:rsidRPr="00D869E3">
        <w:rPr>
          <w:rFonts w:ascii="Verdana" w:hAnsi="Verdana"/>
          <w:sz w:val="20"/>
          <w:szCs w:val="20"/>
          <w:lang w:val="en-US"/>
        </w:rPr>
        <w:t xml:space="preserve"> </w:t>
      </w:r>
      <w:r w:rsidRPr="00D869E3">
        <w:rPr>
          <w:rFonts w:ascii="Verdana" w:hAnsi="Verdana"/>
          <w:sz w:val="20"/>
          <w:szCs w:val="20"/>
          <w:lang w:val="en-US"/>
        </w:rPr>
        <w:t xml:space="preserve">subsumed this within the content </w:t>
      </w:r>
      <w:r w:rsidR="00687684" w:rsidRPr="00D869E3">
        <w:rPr>
          <w:rFonts w:ascii="Verdana" w:hAnsi="Verdana"/>
          <w:sz w:val="20"/>
          <w:szCs w:val="20"/>
          <w:lang w:val="en-US"/>
        </w:rPr>
        <w:t>of Article</w:t>
      </w:r>
      <w:r w:rsidR="00F83E8F" w:rsidRPr="00D869E3">
        <w:rPr>
          <w:rFonts w:ascii="Verdana" w:hAnsi="Verdana"/>
          <w:sz w:val="20"/>
          <w:szCs w:val="20"/>
          <w:lang w:val="en-US"/>
        </w:rPr>
        <w:t xml:space="preserve"> 16</w:t>
      </w:r>
      <w:r w:rsidR="00447C65" w:rsidRPr="00D869E3">
        <w:rPr>
          <w:rFonts w:ascii="Verdana" w:hAnsi="Verdana"/>
          <w:sz w:val="20"/>
          <w:szCs w:val="20"/>
          <w:lang w:val="en-US"/>
        </w:rPr>
        <w:t xml:space="preserve"> of the American Convention</w:t>
      </w:r>
      <w:r w:rsidR="00F83E8F" w:rsidRPr="00D869E3">
        <w:rPr>
          <w:rFonts w:ascii="Verdana" w:hAnsi="Verdana"/>
          <w:sz w:val="20"/>
          <w:szCs w:val="20"/>
          <w:lang w:val="en-US"/>
        </w:rPr>
        <w:t xml:space="preserve">. </w:t>
      </w:r>
      <w:r w:rsidR="00075E68" w:rsidRPr="00D869E3">
        <w:rPr>
          <w:rFonts w:ascii="Verdana" w:hAnsi="Verdana"/>
          <w:sz w:val="20"/>
          <w:szCs w:val="20"/>
          <w:lang w:val="en-US"/>
        </w:rPr>
        <w:t>In this regard</w:t>
      </w:r>
      <w:r w:rsidR="00F83E8F" w:rsidRPr="00D869E3">
        <w:rPr>
          <w:rFonts w:ascii="Verdana" w:hAnsi="Verdana"/>
          <w:sz w:val="20"/>
          <w:szCs w:val="20"/>
          <w:lang w:val="en-US"/>
        </w:rPr>
        <w:t xml:space="preserve">, </w:t>
      </w:r>
      <w:r w:rsidRPr="00D869E3">
        <w:rPr>
          <w:rFonts w:ascii="Verdana" w:hAnsi="Verdana"/>
          <w:sz w:val="20"/>
          <w:szCs w:val="20"/>
          <w:lang w:val="en-US"/>
        </w:rPr>
        <w:t>it is illustrative to mention the standards</w:t>
      </w:r>
      <w:r w:rsidR="005201D6" w:rsidRPr="00D869E3">
        <w:rPr>
          <w:rFonts w:ascii="Verdana" w:hAnsi="Verdana"/>
          <w:sz w:val="20"/>
          <w:szCs w:val="20"/>
          <w:lang w:val="en-US"/>
        </w:rPr>
        <w:t xml:space="preserve"> that have been</w:t>
      </w:r>
      <w:r w:rsidRPr="00D869E3">
        <w:rPr>
          <w:rFonts w:ascii="Verdana" w:hAnsi="Verdana"/>
          <w:sz w:val="20"/>
          <w:szCs w:val="20"/>
          <w:lang w:val="en-US"/>
        </w:rPr>
        <w:t xml:space="preserve"> applied to </w:t>
      </w:r>
      <w:r w:rsidR="000F0D48" w:rsidRPr="00D869E3">
        <w:rPr>
          <w:rFonts w:ascii="Verdana" w:hAnsi="Verdana"/>
          <w:sz w:val="20"/>
          <w:szCs w:val="20"/>
          <w:lang w:val="en-US"/>
        </w:rPr>
        <w:t xml:space="preserve">the organization of, and membership in, trade unions </w:t>
      </w:r>
      <w:r w:rsidRPr="00D869E3">
        <w:rPr>
          <w:rFonts w:ascii="Verdana" w:hAnsi="Verdana"/>
          <w:sz w:val="20"/>
          <w:szCs w:val="20"/>
          <w:lang w:val="en-US"/>
        </w:rPr>
        <w:t xml:space="preserve">derived from the </w:t>
      </w:r>
      <w:r w:rsidR="000F0D48" w:rsidRPr="00D869E3">
        <w:rPr>
          <w:rFonts w:ascii="Verdana" w:hAnsi="Verdana"/>
          <w:sz w:val="20"/>
          <w:szCs w:val="20"/>
          <w:lang w:val="en-US"/>
        </w:rPr>
        <w:t>word</w:t>
      </w:r>
      <w:r w:rsidRPr="00D869E3">
        <w:rPr>
          <w:rFonts w:ascii="Verdana" w:hAnsi="Verdana"/>
          <w:sz w:val="20"/>
          <w:szCs w:val="20"/>
          <w:lang w:val="en-US"/>
        </w:rPr>
        <w:t xml:space="preserve"> “labor” in </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 16 </w:t>
      </w:r>
      <w:r w:rsidR="00671B14" w:rsidRPr="00D869E3">
        <w:rPr>
          <w:rFonts w:ascii="Verdana" w:hAnsi="Verdana"/>
          <w:sz w:val="20"/>
          <w:szCs w:val="20"/>
          <w:lang w:val="en-US"/>
        </w:rPr>
        <w:t>of the Pact of San José</w:t>
      </w:r>
      <w:r w:rsidR="00F83E8F" w:rsidRPr="00D869E3">
        <w:rPr>
          <w:rFonts w:ascii="Verdana" w:hAnsi="Verdana"/>
          <w:sz w:val="20"/>
          <w:szCs w:val="20"/>
          <w:lang w:val="en-US"/>
        </w:rPr>
        <w:t>.</w:t>
      </w:r>
    </w:p>
    <w:p w14:paraId="5BC170FC" w14:textId="77777777" w:rsidR="00F83E8F" w:rsidRPr="00D869E3" w:rsidRDefault="00F83E8F" w:rsidP="00F83E8F">
      <w:pPr>
        <w:pStyle w:val="Prrafodelista"/>
        <w:ind w:left="0"/>
        <w:jc w:val="both"/>
        <w:rPr>
          <w:rFonts w:ascii="Verdana" w:hAnsi="Verdana"/>
          <w:sz w:val="20"/>
          <w:szCs w:val="20"/>
          <w:lang w:val="en-US"/>
        </w:rPr>
      </w:pPr>
    </w:p>
    <w:p w14:paraId="2718510F" w14:textId="126EEF1D" w:rsidR="00F83E8F" w:rsidRPr="00D869E3" w:rsidRDefault="000F0D48" w:rsidP="00B235CB">
      <w:pPr>
        <w:pStyle w:val="Prrafodelista"/>
        <w:numPr>
          <w:ilvl w:val="0"/>
          <w:numId w:val="28"/>
        </w:numPr>
        <w:ind w:left="0" w:firstLine="0"/>
        <w:jc w:val="both"/>
        <w:rPr>
          <w:rFonts w:ascii="Verdana" w:hAnsi="Verdana"/>
          <w:sz w:val="20"/>
          <w:szCs w:val="20"/>
          <w:lang w:val="en-US"/>
        </w:rPr>
      </w:pPr>
      <w:r w:rsidRPr="00D869E3">
        <w:rPr>
          <w:rFonts w:ascii="Verdana" w:hAnsi="Verdana"/>
          <w:sz w:val="20"/>
          <w:szCs w:val="20"/>
          <w:lang w:val="en-US"/>
        </w:rPr>
        <w:t>In relation to</w:t>
      </w:r>
      <w:r w:rsidR="00B235CB" w:rsidRPr="00D869E3">
        <w:rPr>
          <w:rFonts w:ascii="Verdana" w:hAnsi="Verdana"/>
          <w:sz w:val="20"/>
          <w:szCs w:val="20"/>
          <w:lang w:val="en-US"/>
        </w:rPr>
        <w:t xml:space="preserve"> the Inter-American Court’s contentious function, the matters </w:t>
      </w:r>
      <w:r w:rsidRPr="00D869E3">
        <w:rPr>
          <w:rFonts w:ascii="Verdana" w:hAnsi="Verdana"/>
          <w:sz w:val="20"/>
          <w:szCs w:val="20"/>
          <w:lang w:val="en-US"/>
        </w:rPr>
        <w:t>concerning</w:t>
      </w:r>
      <w:r w:rsidR="00B235CB" w:rsidRPr="00D869E3">
        <w:rPr>
          <w:rFonts w:ascii="Verdana" w:hAnsi="Verdana"/>
          <w:sz w:val="20"/>
          <w:szCs w:val="20"/>
          <w:lang w:val="en-US"/>
        </w:rPr>
        <w:t xml:space="preserve"> labor </w:t>
      </w:r>
      <w:r w:rsidRPr="00D869E3">
        <w:rPr>
          <w:rFonts w:ascii="Verdana" w:hAnsi="Verdana"/>
          <w:sz w:val="20"/>
          <w:szCs w:val="20"/>
          <w:lang w:val="en-US"/>
        </w:rPr>
        <w:t xml:space="preserve">or trade </w:t>
      </w:r>
      <w:r w:rsidR="00B235CB" w:rsidRPr="00D869E3">
        <w:rPr>
          <w:rFonts w:ascii="Verdana" w:hAnsi="Verdana"/>
          <w:sz w:val="20"/>
          <w:szCs w:val="20"/>
          <w:lang w:val="en-US"/>
        </w:rPr>
        <w:t xml:space="preserve">unions and </w:t>
      </w:r>
      <w:r w:rsidRPr="00D869E3">
        <w:rPr>
          <w:rFonts w:ascii="Verdana" w:hAnsi="Verdana"/>
          <w:sz w:val="20"/>
          <w:szCs w:val="20"/>
          <w:lang w:val="en-US"/>
        </w:rPr>
        <w:t xml:space="preserve">freedom of </w:t>
      </w:r>
      <w:r w:rsidR="00B235CB" w:rsidRPr="00D869E3">
        <w:rPr>
          <w:rFonts w:ascii="Verdana" w:hAnsi="Verdana"/>
          <w:sz w:val="20"/>
          <w:szCs w:val="20"/>
          <w:lang w:val="en-US"/>
        </w:rPr>
        <w:t xml:space="preserve">association submitted to its consideration have referred to </w:t>
      </w:r>
      <w:r w:rsidRPr="00D869E3">
        <w:rPr>
          <w:rFonts w:ascii="Verdana" w:hAnsi="Verdana"/>
          <w:sz w:val="20"/>
          <w:szCs w:val="20"/>
          <w:lang w:val="en-US"/>
        </w:rPr>
        <w:t xml:space="preserve">the </w:t>
      </w:r>
      <w:r w:rsidR="00B235CB" w:rsidRPr="00D869E3">
        <w:rPr>
          <w:rFonts w:ascii="Verdana" w:hAnsi="Verdana"/>
          <w:sz w:val="20"/>
          <w:szCs w:val="20"/>
          <w:lang w:val="en-US"/>
        </w:rPr>
        <w:t xml:space="preserve">dismissal of members of </w:t>
      </w:r>
      <w:r w:rsidRPr="00D869E3">
        <w:rPr>
          <w:rFonts w:ascii="Verdana" w:hAnsi="Verdana"/>
          <w:sz w:val="20"/>
          <w:szCs w:val="20"/>
          <w:lang w:val="en-US"/>
        </w:rPr>
        <w:t>labor</w:t>
      </w:r>
      <w:r w:rsidR="00B235CB" w:rsidRPr="00D869E3">
        <w:rPr>
          <w:rFonts w:ascii="Verdana" w:hAnsi="Verdana"/>
          <w:sz w:val="20"/>
          <w:szCs w:val="20"/>
          <w:lang w:val="en-US"/>
        </w:rPr>
        <w:t xml:space="preserve"> unions and the execution of </w:t>
      </w:r>
      <w:r w:rsidRPr="00D869E3">
        <w:rPr>
          <w:rFonts w:ascii="Verdana" w:hAnsi="Verdana"/>
          <w:sz w:val="20"/>
          <w:szCs w:val="20"/>
          <w:lang w:val="en-US"/>
        </w:rPr>
        <w:t xml:space="preserve">labor </w:t>
      </w:r>
      <w:r w:rsidR="00B235CB" w:rsidRPr="00D869E3">
        <w:rPr>
          <w:rFonts w:ascii="Verdana" w:hAnsi="Verdana"/>
          <w:sz w:val="20"/>
          <w:szCs w:val="20"/>
          <w:lang w:val="en-US"/>
        </w:rPr>
        <w:t xml:space="preserve">union leaders. In the cases of </w:t>
      </w:r>
      <w:r w:rsidR="00F83E8F" w:rsidRPr="00D869E3">
        <w:rPr>
          <w:rFonts w:ascii="Verdana" w:hAnsi="Verdana"/>
          <w:i/>
          <w:sz w:val="20"/>
          <w:szCs w:val="20"/>
          <w:lang w:val="en-US"/>
        </w:rPr>
        <w:t xml:space="preserve">Baena Ricardo </w:t>
      </w:r>
      <w:r w:rsidR="00447C65" w:rsidRPr="00D869E3">
        <w:rPr>
          <w:rFonts w:ascii="Verdana" w:hAnsi="Verdana"/>
          <w:i/>
          <w:sz w:val="20"/>
          <w:szCs w:val="20"/>
          <w:lang w:val="en-US"/>
        </w:rPr>
        <w:t>v.</w:t>
      </w:r>
      <w:r w:rsidR="00F83E8F" w:rsidRPr="00D869E3">
        <w:rPr>
          <w:rFonts w:ascii="Verdana" w:hAnsi="Verdana"/>
          <w:i/>
          <w:sz w:val="20"/>
          <w:szCs w:val="20"/>
          <w:lang w:val="en-US"/>
        </w:rPr>
        <w:t xml:space="preserve"> </w:t>
      </w:r>
      <w:r w:rsidR="00B235CB" w:rsidRPr="00D869E3">
        <w:rPr>
          <w:rFonts w:ascii="Verdana" w:hAnsi="Verdana"/>
          <w:i/>
          <w:sz w:val="20"/>
          <w:szCs w:val="20"/>
          <w:lang w:val="en-US"/>
        </w:rPr>
        <w:t>Panama,</w:t>
      </w:r>
      <w:r w:rsidR="00F83E8F" w:rsidRPr="00D869E3">
        <w:rPr>
          <w:rStyle w:val="Refdenotaalpie"/>
          <w:i/>
          <w:szCs w:val="20"/>
          <w:lang w:val="en-US"/>
        </w:rPr>
        <w:footnoteReference w:id="320"/>
      </w:r>
      <w:r w:rsidR="00F83E8F" w:rsidRPr="00D869E3">
        <w:rPr>
          <w:rFonts w:ascii="Verdana" w:hAnsi="Verdana"/>
          <w:sz w:val="20"/>
          <w:szCs w:val="20"/>
          <w:lang w:val="en-US"/>
        </w:rPr>
        <w:t xml:space="preserve"> </w:t>
      </w:r>
      <w:r w:rsidR="00F83E8F" w:rsidRPr="00D869E3">
        <w:rPr>
          <w:rFonts w:ascii="Verdana" w:hAnsi="Verdana"/>
          <w:i/>
          <w:sz w:val="20"/>
          <w:szCs w:val="20"/>
          <w:lang w:val="en-US"/>
        </w:rPr>
        <w:t xml:space="preserve">Huilca Tecse </w:t>
      </w:r>
      <w:r w:rsidR="00447C65" w:rsidRPr="00D869E3">
        <w:rPr>
          <w:rFonts w:ascii="Verdana" w:hAnsi="Verdana"/>
          <w:i/>
          <w:sz w:val="20"/>
          <w:szCs w:val="20"/>
          <w:lang w:val="en-US"/>
        </w:rPr>
        <w:t>v.</w:t>
      </w:r>
      <w:r w:rsidR="00F83E8F" w:rsidRPr="00D869E3">
        <w:rPr>
          <w:rFonts w:ascii="Verdana" w:hAnsi="Verdana"/>
          <w:i/>
          <w:sz w:val="20"/>
          <w:szCs w:val="20"/>
          <w:lang w:val="en-US"/>
        </w:rPr>
        <w:t xml:space="preserve"> </w:t>
      </w:r>
      <w:r w:rsidR="00447C65" w:rsidRPr="00D869E3">
        <w:rPr>
          <w:rFonts w:ascii="Verdana" w:hAnsi="Verdana"/>
          <w:i/>
          <w:sz w:val="20"/>
          <w:szCs w:val="20"/>
          <w:lang w:val="en-US"/>
        </w:rPr>
        <w:t>Peru</w:t>
      </w:r>
      <w:r w:rsidR="00F83E8F" w:rsidRPr="00D869E3">
        <w:rPr>
          <w:rStyle w:val="Refdenotaalpie"/>
          <w:i/>
          <w:szCs w:val="20"/>
          <w:lang w:val="en-US"/>
        </w:rPr>
        <w:footnoteReference w:id="321"/>
      </w:r>
      <w:r w:rsidR="00687684" w:rsidRPr="00D869E3">
        <w:rPr>
          <w:rFonts w:ascii="Verdana" w:hAnsi="Verdana"/>
          <w:i/>
          <w:sz w:val="20"/>
          <w:szCs w:val="20"/>
          <w:lang w:val="en-US"/>
        </w:rPr>
        <w:t xml:space="preserve"> </w:t>
      </w:r>
      <w:r w:rsidR="00687684" w:rsidRPr="00D869E3">
        <w:rPr>
          <w:rFonts w:ascii="Verdana" w:hAnsi="Verdana"/>
          <w:iCs/>
          <w:sz w:val="20"/>
          <w:szCs w:val="20"/>
          <w:lang w:val="en-US"/>
        </w:rPr>
        <w:t>and</w:t>
      </w:r>
      <w:r w:rsidR="00687684" w:rsidRPr="00D869E3">
        <w:rPr>
          <w:rFonts w:ascii="Verdana" w:hAnsi="Verdana"/>
          <w:i/>
          <w:sz w:val="20"/>
          <w:szCs w:val="20"/>
          <w:lang w:val="en-US"/>
        </w:rPr>
        <w:t xml:space="preserve"> </w:t>
      </w:r>
      <w:r w:rsidR="00F83E8F" w:rsidRPr="00D869E3">
        <w:rPr>
          <w:rFonts w:ascii="Verdana" w:hAnsi="Verdana"/>
          <w:i/>
          <w:sz w:val="20"/>
          <w:szCs w:val="20"/>
          <w:lang w:val="en-US"/>
        </w:rPr>
        <w:t>Cantoral Huamaní</w:t>
      </w:r>
      <w:r w:rsidR="00687684" w:rsidRPr="00D869E3">
        <w:rPr>
          <w:rFonts w:ascii="Verdana" w:hAnsi="Verdana"/>
          <w:i/>
          <w:sz w:val="20"/>
          <w:szCs w:val="20"/>
          <w:lang w:val="en-US"/>
        </w:rPr>
        <w:t xml:space="preserve"> and </w:t>
      </w:r>
      <w:r w:rsidR="00F83E8F" w:rsidRPr="00D869E3">
        <w:rPr>
          <w:rFonts w:ascii="Verdana" w:hAnsi="Verdana"/>
          <w:i/>
          <w:sz w:val="20"/>
          <w:szCs w:val="20"/>
          <w:lang w:val="en-US"/>
        </w:rPr>
        <w:t xml:space="preserve">García Santa Cruz </w:t>
      </w:r>
      <w:r w:rsidR="00447C65" w:rsidRPr="00D869E3">
        <w:rPr>
          <w:rFonts w:ascii="Verdana" w:hAnsi="Verdana"/>
          <w:i/>
          <w:sz w:val="20"/>
          <w:szCs w:val="20"/>
          <w:lang w:val="en-US"/>
        </w:rPr>
        <w:t>v.</w:t>
      </w:r>
      <w:r w:rsidR="00F83E8F" w:rsidRPr="00D869E3">
        <w:rPr>
          <w:rFonts w:ascii="Verdana" w:hAnsi="Verdana"/>
          <w:i/>
          <w:sz w:val="20"/>
          <w:szCs w:val="20"/>
          <w:lang w:val="en-US"/>
        </w:rPr>
        <w:t xml:space="preserve"> </w:t>
      </w:r>
      <w:r w:rsidR="00447C65" w:rsidRPr="00D869E3">
        <w:rPr>
          <w:rFonts w:ascii="Verdana" w:hAnsi="Verdana"/>
          <w:i/>
          <w:sz w:val="20"/>
          <w:szCs w:val="20"/>
          <w:lang w:val="en-US"/>
        </w:rPr>
        <w:t>Peru</w:t>
      </w:r>
      <w:r w:rsidR="00B235CB" w:rsidRPr="00D869E3">
        <w:rPr>
          <w:rFonts w:ascii="Verdana" w:hAnsi="Verdana"/>
          <w:i/>
          <w:sz w:val="20"/>
          <w:szCs w:val="20"/>
          <w:lang w:val="en-US"/>
        </w:rPr>
        <w:t>,</w:t>
      </w:r>
      <w:r w:rsidR="00F83E8F" w:rsidRPr="00D869E3">
        <w:rPr>
          <w:rStyle w:val="Refdenotaalpie"/>
          <w:i/>
          <w:szCs w:val="20"/>
          <w:lang w:val="en-US"/>
        </w:rPr>
        <w:footnoteReference w:id="322"/>
      </w:r>
      <w:r w:rsidR="00F83E8F" w:rsidRPr="00D869E3">
        <w:rPr>
          <w:rFonts w:ascii="Verdana" w:hAnsi="Verdana"/>
          <w:i/>
          <w:sz w:val="20"/>
          <w:szCs w:val="20"/>
          <w:lang w:val="en-US"/>
        </w:rPr>
        <w:t xml:space="preserve"> </w:t>
      </w:r>
      <w:r w:rsidR="00185A57" w:rsidRPr="00D869E3">
        <w:rPr>
          <w:rFonts w:ascii="Verdana" w:hAnsi="Verdana"/>
          <w:sz w:val="20"/>
          <w:szCs w:val="20"/>
          <w:lang w:val="en-US"/>
        </w:rPr>
        <w:t>the Inter-American Court</w:t>
      </w:r>
      <w:r w:rsidR="00F83E8F" w:rsidRPr="00D869E3">
        <w:rPr>
          <w:rFonts w:ascii="Verdana" w:hAnsi="Verdana"/>
          <w:sz w:val="20"/>
          <w:szCs w:val="20"/>
          <w:lang w:val="en-US"/>
        </w:rPr>
        <w:t xml:space="preserve"> </w:t>
      </w:r>
      <w:r w:rsidR="00B235CB" w:rsidRPr="00D869E3">
        <w:rPr>
          <w:rFonts w:ascii="Verdana" w:hAnsi="Verdana"/>
          <w:sz w:val="20"/>
          <w:szCs w:val="20"/>
          <w:lang w:val="en-US"/>
        </w:rPr>
        <w:t>developed the content of the right to associate for “labor” purposes established in</w:t>
      </w:r>
      <w:r w:rsidR="00F83E8F" w:rsidRPr="00D869E3">
        <w:rPr>
          <w:rFonts w:ascii="Verdana" w:hAnsi="Verdana"/>
          <w:sz w:val="20"/>
          <w:szCs w:val="20"/>
          <w:lang w:val="en-US"/>
        </w:rPr>
        <w:t xml:space="preserve"> </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 16</w:t>
      </w:r>
      <w:r w:rsidR="00447C65" w:rsidRPr="00D869E3">
        <w:rPr>
          <w:rFonts w:ascii="Verdana" w:hAnsi="Verdana"/>
          <w:sz w:val="20"/>
          <w:szCs w:val="20"/>
          <w:lang w:val="en-US"/>
        </w:rPr>
        <w:t xml:space="preserve"> of the American Convention</w:t>
      </w:r>
      <w:r w:rsidR="00B235CB" w:rsidRPr="00D869E3">
        <w:rPr>
          <w:rFonts w:ascii="Verdana" w:hAnsi="Verdana"/>
          <w:sz w:val="20"/>
          <w:szCs w:val="20"/>
          <w:lang w:val="en-US"/>
        </w:rPr>
        <w:t xml:space="preserve"> in relation to violations of </w:t>
      </w:r>
      <w:r w:rsidRPr="00D869E3">
        <w:rPr>
          <w:rFonts w:ascii="Verdana" w:hAnsi="Verdana"/>
          <w:sz w:val="20"/>
          <w:szCs w:val="20"/>
          <w:lang w:val="en-US"/>
        </w:rPr>
        <w:t xml:space="preserve">freedom of association in a trade or labor </w:t>
      </w:r>
      <w:r w:rsidR="00B235CB" w:rsidRPr="00D869E3">
        <w:rPr>
          <w:rFonts w:ascii="Verdana" w:hAnsi="Verdana"/>
          <w:sz w:val="20"/>
          <w:szCs w:val="20"/>
          <w:lang w:val="en-US"/>
        </w:rPr>
        <w:t>union.</w:t>
      </w:r>
    </w:p>
    <w:p w14:paraId="6AEA7A4C" w14:textId="77777777" w:rsidR="00F83E8F" w:rsidRPr="00D869E3" w:rsidRDefault="00F83E8F" w:rsidP="00F83E8F">
      <w:pPr>
        <w:pStyle w:val="Prrafodelista"/>
        <w:ind w:left="0"/>
        <w:jc w:val="both"/>
        <w:rPr>
          <w:rFonts w:ascii="Verdana" w:hAnsi="Verdana"/>
          <w:sz w:val="20"/>
          <w:szCs w:val="20"/>
          <w:lang w:val="en-US"/>
        </w:rPr>
      </w:pPr>
    </w:p>
    <w:p w14:paraId="4062AB3F" w14:textId="1A5F5E0B" w:rsidR="00F83E8F" w:rsidRPr="00D869E3" w:rsidRDefault="00B235CB" w:rsidP="00B235CB">
      <w:pPr>
        <w:pStyle w:val="Prrafodelista"/>
        <w:numPr>
          <w:ilvl w:val="0"/>
          <w:numId w:val="28"/>
        </w:numPr>
        <w:ind w:left="0" w:firstLine="0"/>
        <w:jc w:val="both"/>
        <w:rPr>
          <w:rFonts w:ascii="Verdana" w:hAnsi="Verdana"/>
          <w:sz w:val="20"/>
          <w:szCs w:val="20"/>
          <w:lang w:val="en-US"/>
        </w:rPr>
      </w:pPr>
      <w:r w:rsidRPr="00D869E3">
        <w:rPr>
          <w:rFonts w:ascii="Verdana" w:hAnsi="Verdana"/>
          <w:sz w:val="20"/>
          <w:szCs w:val="20"/>
          <w:lang w:val="en-US"/>
        </w:rPr>
        <w:t>In the case of</w:t>
      </w:r>
      <w:r w:rsidR="00F83E8F" w:rsidRPr="00D869E3">
        <w:rPr>
          <w:rFonts w:ascii="Verdana" w:hAnsi="Verdana"/>
          <w:sz w:val="20"/>
          <w:szCs w:val="20"/>
          <w:lang w:val="en-US"/>
        </w:rPr>
        <w:t xml:space="preserve"> </w:t>
      </w:r>
      <w:r w:rsidR="00F83E8F" w:rsidRPr="00D869E3">
        <w:rPr>
          <w:rFonts w:ascii="Verdana" w:hAnsi="Verdana"/>
          <w:i/>
          <w:sz w:val="20"/>
          <w:szCs w:val="20"/>
          <w:lang w:val="en-US"/>
        </w:rPr>
        <w:t xml:space="preserve">Baena Ricardo </w:t>
      </w:r>
      <w:r w:rsidR="001268E2" w:rsidRPr="00D869E3">
        <w:rPr>
          <w:rFonts w:ascii="Verdana" w:hAnsi="Verdana"/>
          <w:i/>
          <w:sz w:val="20"/>
          <w:szCs w:val="20"/>
          <w:lang w:val="en-US"/>
        </w:rPr>
        <w:t>v.</w:t>
      </w:r>
      <w:r w:rsidR="00F83E8F" w:rsidRPr="00D869E3">
        <w:rPr>
          <w:rFonts w:ascii="Verdana" w:hAnsi="Verdana"/>
          <w:i/>
          <w:sz w:val="20"/>
          <w:szCs w:val="20"/>
          <w:lang w:val="en-US"/>
        </w:rPr>
        <w:t xml:space="preserve"> </w:t>
      </w:r>
      <w:r w:rsidRPr="00D869E3">
        <w:rPr>
          <w:rFonts w:ascii="Verdana" w:hAnsi="Verdana"/>
          <w:i/>
          <w:sz w:val="20"/>
          <w:szCs w:val="20"/>
          <w:lang w:val="en-US"/>
        </w:rPr>
        <w:t>Panama</w:t>
      </w:r>
      <w:r w:rsidR="00F83E8F" w:rsidRPr="00D869E3">
        <w:rPr>
          <w:rFonts w:ascii="Verdana" w:hAnsi="Verdana"/>
          <w:sz w:val="20"/>
          <w:szCs w:val="20"/>
          <w:lang w:val="en-US"/>
        </w:rPr>
        <w:t xml:space="preserve">, </w:t>
      </w:r>
      <w:r w:rsidR="00671B14" w:rsidRPr="00D869E3">
        <w:rPr>
          <w:rFonts w:ascii="Verdana" w:hAnsi="Verdana"/>
          <w:sz w:val="20"/>
          <w:szCs w:val="20"/>
          <w:lang w:val="en-US"/>
        </w:rPr>
        <w:t>the Inter-American Court</w:t>
      </w:r>
      <w:r w:rsidR="00F83E8F" w:rsidRPr="00D869E3">
        <w:rPr>
          <w:rFonts w:ascii="Verdana" w:hAnsi="Verdana"/>
          <w:sz w:val="20"/>
          <w:szCs w:val="20"/>
          <w:lang w:val="en-US"/>
        </w:rPr>
        <w:t xml:space="preserve"> consider</w:t>
      </w:r>
      <w:r w:rsidRPr="00D869E3">
        <w:rPr>
          <w:rFonts w:ascii="Verdana" w:hAnsi="Verdana"/>
          <w:sz w:val="20"/>
          <w:szCs w:val="20"/>
          <w:lang w:val="en-US"/>
        </w:rPr>
        <w:t xml:space="preserve">ed that, in order to analyze whether the right to freedom of association had been violated, this should be examined in relation to labor union freedom. Thus, it considered that, in labor unions matters,  freedom of association consisted basically in the ability to constitute labor unions and set in motion their internal structure, activities and program of action, without any intervention by the public authorities that could limit or impair the exercise of the respective right. This freedom also supposed that each person </w:t>
      </w:r>
      <w:r w:rsidR="000F0D48" w:rsidRPr="00D869E3">
        <w:rPr>
          <w:rFonts w:ascii="Verdana" w:hAnsi="Verdana"/>
          <w:sz w:val="20"/>
          <w:szCs w:val="20"/>
          <w:lang w:val="en-US"/>
        </w:rPr>
        <w:t>could</w:t>
      </w:r>
      <w:r w:rsidRPr="00D869E3">
        <w:rPr>
          <w:rFonts w:ascii="Verdana" w:hAnsi="Verdana"/>
          <w:sz w:val="20"/>
          <w:szCs w:val="20"/>
          <w:lang w:val="en-US"/>
        </w:rPr>
        <w:t xml:space="preserve"> determine, without any pressure, whether or not they wish</w:t>
      </w:r>
      <w:r w:rsidR="000F0D48" w:rsidRPr="00D869E3">
        <w:rPr>
          <w:rFonts w:ascii="Verdana" w:hAnsi="Verdana"/>
          <w:sz w:val="20"/>
          <w:szCs w:val="20"/>
          <w:lang w:val="en-US"/>
        </w:rPr>
        <w:t>ed</w:t>
      </w:r>
      <w:r w:rsidRPr="00D869E3">
        <w:rPr>
          <w:rFonts w:ascii="Verdana" w:hAnsi="Verdana"/>
          <w:sz w:val="20"/>
          <w:szCs w:val="20"/>
          <w:lang w:val="en-US"/>
        </w:rPr>
        <w:t xml:space="preserve"> to form part of the association. In other words, this relate</w:t>
      </w:r>
      <w:r w:rsidR="000F0D48" w:rsidRPr="00D869E3">
        <w:rPr>
          <w:rFonts w:ascii="Verdana" w:hAnsi="Verdana"/>
          <w:sz w:val="20"/>
          <w:szCs w:val="20"/>
          <w:lang w:val="en-US"/>
        </w:rPr>
        <w:t>d</w:t>
      </w:r>
      <w:r w:rsidRPr="00D869E3">
        <w:rPr>
          <w:rFonts w:ascii="Verdana" w:hAnsi="Verdana"/>
          <w:sz w:val="20"/>
          <w:szCs w:val="20"/>
          <w:lang w:val="en-US"/>
        </w:rPr>
        <w:t xml:space="preserve"> to the basic right to associate in order to achieve a legitimate purpose without pressure or interference that could alter or denature that purpose.</w:t>
      </w:r>
      <w:r w:rsidR="00F83E8F" w:rsidRPr="00D869E3">
        <w:rPr>
          <w:rStyle w:val="Refdenotaalpie"/>
          <w:szCs w:val="20"/>
          <w:lang w:val="en-US"/>
        </w:rPr>
        <w:footnoteReference w:id="323"/>
      </w:r>
    </w:p>
    <w:p w14:paraId="24507079" w14:textId="77777777" w:rsidR="00F83E8F" w:rsidRPr="00D869E3" w:rsidRDefault="00F83E8F" w:rsidP="00F83E8F">
      <w:pPr>
        <w:jc w:val="both"/>
        <w:rPr>
          <w:rFonts w:ascii="Verdana" w:hAnsi="Verdana"/>
          <w:sz w:val="20"/>
          <w:szCs w:val="20"/>
          <w:lang w:val="en-US"/>
        </w:rPr>
      </w:pPr>
    </w:p>
    <w:p w14:paraId="3CF78A9A" w14:textId="3C72593F" w:rsidR="00F83E8F" w:rsidRPr="00D869E3" w:rsidRDefault="00075E68" w:rsidP="00E70701">
      <w:pPr>
        <w:pStyle w:val="Prrafodelista"/>
        <w:numPr>
          <w:ilvl w:val="0"/>
          <w:numId w:val="28"/>
        </w:numPr>
        <w:ind w:left="0" w:firstLine="0"/>
        <w:jc w:val="both"/>
        <w:rPr>
          <w:rFonts w:ascii="Verdana" w:hAnsi="Verdana"/>
          <w:sz w:val="20"/>
          <w:szCs w:val="20"/>
          <w:lang w:val="en-US"/>
        </w:rPr>
      </w:pPr>
      <w:r w:rsidRPr="00D869E3">
        <w:rPr>
          <w:rFonts w:ascii="Verdana" w:hAnsi="Verdana"/>
          <w:sz w:val="20"/>
          <w:szCs w:val="20"/>
          <w:lang w:val="en-US"/>
        </w:rPr>
        <w:t>In this regard</w:t>
      </w:r>
      <w:r w:rsidR="00F83E8F" w:rsidRPr="00D869E3">
        <w:rPr>
          <w:rFonts w:ascii="Verdana" w:hAnsi="Verdana"/>
          <w:sz w:val="20"/>
          <w:szCs w:val="20"/>
          <w:lang w:val="en-US"/>
        </w:rPr>
        <w:t xml:space="preserve">, </w:t>
      </w:r>
      <w:r w:rsidR="00185A57" w:rsidRPr="00D869E3">
        <w:rPr>
          <w:rFonts w:ascii="Verdana" w:hAnsi="Verdana"/>
          <w:sz w:val="20"/>
          <w:szCs w:val="20"/>
          <w:lang w:val="en-US"/>
        </w:rPr>
        <w:t>the Inter-American Court</w:t>
      </w:r>
      <w:r w:rsidR="00F83E8F" w:rsidRPr="00D869E3">
        <w:rPr>
          <w:rFonts w:ascii="Verdana" w:hAnsi="Verdana"/>
          <w:sz w:val="20"/>
          <w:szCs w:val="20"/>
          <w:lang w:val="en-US"/>
        </w:rPr>
        <w:t xml:space="preserve"> consider</w:t>
      </w:r>
      <w:r w:rsidR="00202DFB" w:rsidRPr="00D869E3">
        <w:rPr>
          <w:rFonts w:ascii="Verdana" w:hAnsi="Verdana"/>
          <w:sz w:val="20"/>
          <w:szCs w:val="20"/>
          <w:lang w:val="en-US"/>
        </w:rPr>
        <w:t>ed</w:t>
      </w:r>
      <w:r w:rsidR="00F83E8F" w:rsidRPr="00D869E3">
        <w:rPr>
          <w:rFonts w:ascii="Verdana" w:hAnsi="Verdana"/>
          <w:sz w:val="20"/>
          <w:szCs w:val="20"/>
          <w:lang w:val="en-US"/>
        </w:rPr>
        <w:t xml:space="preserve"> </w:t>
      </w:r>
      <w:r w:rsidR="00202DFB" w:rsidRPr="00D869E3">
        <w:rPr>
          <w:rFonts w:ascii="Verdana" w:hAnsi="Verdana"/>
          <w:sz w:val="20"/>
          <w:szCs w:val="20"/>
          <w:lang w:val="en-US"/>
        </w:rPr>
        <w:t>that</w:t>
      </w:r>
      <w:r w:rsidR="00F83E8F" w:rsidRPr="00D869E3">
        <w:rPr>
          <w:rFonts w:ascii="Verdana" w:hAnsi="Verdana"/>
          <w:sz w:val="20"/>
          <w:szCs w:val="20"/>
          <w:lang w:val="en-US"/>
        </w:rPr>
        <w:t xml:space="preserve"> </w:t>
      </w:r>
      <w:r w:rsidR="00351902" w:rsidRPr="00D869E3">
        <w:rPr>
          <w:rFonts w:ascii="Verdana" w:hAnsi="Verdana"/>
          <w:sz w:val="20"/>
          <w:szCs w:val="20"/>
          <w:lang w:val="en-US"/>
        </w:rPr>
        <w:t>freedom of association</w:t>
      </w:r>
      <w:r w:rsidR="00F83E8F" w:rsidRPr="00D869E3">
        <w:rPr>
          <w:rFonts w:ascii="Verdana" w:hAnsi="Verdana"/>
          <w:sz w:val="20"/>
          <w:szCs w:val="20"/>
          <w:lang w:val="en-US"/>
        </w:rPr>
        <w:t xml:space="preserve">, </w:t>
      </w:r>
      <w:r w:rsidR="00202DFB" w:rsidRPr="00D869E3">
        <w:rPr>
          <w:rFonts w:ascii="Verdana" w:hAnsi="Verdana"/>
          <w:sz w:val="20"/>
          <w:szCs w:val="20"/>
          <w:lang w:val="en-US"/>
        </w:rPr>
        <w:t xml:space="preserve">in relation to labor unions, was of great importance for the defense of the legitimate interests of workers and was part of the </w:t>
      </w:r>
      <w:r w:rsidR="00F83E8F" w:rsidRPr="00D869E3">
        <w:rPr>
          <w:rFonts w:ascii="Verdana" w:hAnsi="Verdana"/>
          <w:i/>
          <w:sz w:val="20"/>
          <w:szCs w:val="20"/>
          <w:lang w:val="en-US"/>
        </w:rPr>
        <w:t>corpus juris</w:t>
      </w:r>
      <w:r w:rsidR="00F83E8F" w:rsidRPr="00D869E3">
        <w:rPr>
          <w:rFonts w:ascii="Verdana" w:hAnsi="Verdana"/>
          <w:sz w:val="20"/>
          <w:szCs w:val="20"/>
          <w:lang w:val="en-US"/>
        </w:rPr>
        <w:t xml:space="preserve"> </w:t>
      </w:r>
      <w:r w:rsidR="00202DFB" w:rsidRPr="00D869E3">
        <w:rPr>
          <w:rFonts w:ascii="Verdana" w:hAnsi="Verdana"/>
          <w:sz w:val="20"/>
          <w:szCs w:val="20"/>
          <w:lang w:val="en-US"/>
        </w:rPr>
        <w:t>of</w:t>
      </w:r>
      <w:r w:rsidR="00F83E8F" w:rsidRPr="00D869E3">
        <w:rPr>
          <w:rFonts w:ascii="Verdana" w:hAnsi="Verdana"/>
          <w:sz w:val="20"/>
          <w:szCs w:val="20"/>
          <w:lang w:val="en-US"/>
        </w:rPr>
        <w:t xml:space="preserve"> </w:t>
      </w:r>
      <w:r w:rsidR="00B443B4" w:rsidRPr="00D869E3">
        <w:rPr>
          <w:rFonts w:ascii="Verdana" w:hAnsi="Verdana"/>
          <w:sz w:val="20"/>
          <w:szCs w:val="20"/>
          <w:lang w:val="en-US"/>
        </w:rPr>
        <w:t>human rights</w:t>
      </w:r>
      <w:r w:rsidR="00202DFB" w:rsidRPr="00D869E3">
        <w:rPr>
          <w:rFonts w:ascii="Verdana" w:hAnsi="Verdana"/>
          <w:sz w:val="20"/>
          <w:szCs w:val="20"/>
          <w:lang w:val="en-US"/>
        </w:rPr>
        <w:t>.</w:t>
      </w:r>
      <w:r w:rsidR="00F83E8F" w:rsidRPr="00D869E3">
        <w:rPr>
          <w:rStyle w:val="Refdenotaalpie"/>
          <w:szCs w:val="20"/>
          <w:lang w:val="en-US"/>
        </w:rPr>
        <w:footnoteReference w:id="324"/>
      </w:r>
      <w:r w:rsidR="00F83E8F" w:rsidRPr="00D869E3">
        <w:rPr>
          <w:rFonts w:ascii="Verdana" w:hAnsi="Verdana"/>
          <w:sz w:val="20"/>
          <w:szCs w:val="20"/>
          <w:lang w:val="en-US"/>
        </w:rPr>
        <w:t xml:space="preserve"> </w:t>
      </w:r>
      <w:r w:rsidR="00202DFB" w:rsidRPr="00D869E3">
        <w:rPr>
          <w:rFonts w:ascii="Verdana" w:hAnsi="Verdana"/>
          <w:sz w:val="20"/>
          <w:szCs w:val="20"/>
          <w:lang w:val="en-US"/>
        </w:rPr>
        <w:t>In labor matters</w:t>
      </w:r>
      <w:r w:rsidR="00F83E8F" w:rsidRPr="00D869E3">
        <w:rPr>
          <w:rFonts w:ascii="Verdana" w:hAnsi="Verdana"/>
          <w:sz w:val="20"/>
          <w:szCs w:val="20"/>
          <w:lang w:val="en-US"/>
        </w:rPr>
        <w:t xml:space="preserve">, </w:t>
      </w:r>
      <w:r w:rsidR="00351902" w:rsidRPr="00D869E3">
        <w:rPr>
          <w:rFonts w:ascii="Verdana" w:hAnsi="Verdana"/>
          <w:sz w:val="20"/>
          <w:szCs w:val="20"/>
          <w:lang w:val="en-US"/>
        </w:rPr>
        <w:t>freedom of association</w:t>
      </w:r>
      <w:r w:rsidR="00F83E8F" w:rsidRPr="00D869E3">
        <w:rPr>
          <w:rFonts w:ascii="Verdana" w:hAnsi="Verdana"/>
          <w:sz w:val="20"/>
          <w:szCs w:val="20"/>
          <w:lang w:val="en-US"/>
        </w:rPr>
        <w:t xml:space="preserve">, </w:t>
      </w:r>
      <w:r w:rsidR="00202DFB" w:rsidRPr="00D869E3">
        <w:rPr>
          <w:rFonts w:ascii="Verdana" w:hAnsi="Verdana"/>
          <w:sz w:val="20"/>
          <w:szCs w:val="20"/>
          <w:lang w:val="en-US"/>
        </w:rPr>
        <w:t>according to</w:t>
      </w:r>
      <w:r w:rsidR="00687684" w:rsidRPr="00D869E3">
        <w:rPr>
          <w:rFonts w:ascii="Verdana" w:hAnsi="Verdana"/>
          <w:sz w:val="20"/>
          <w:szCs w:val="20"/>
          <w:lang w:val="en-US"/>
        </w:rPr>
        <w:t xml:space="preserve"> Article</w:t>
      </w:r>
      <w:r w:rsidR="00F83E8F" w:rsidRPr="00D869E3">
        <w:rPr>
          <w:rFonts w:ascii="Verdana" w:hAnsi="Verdana"/>
          <w:sz w:val="20"/>
          <w:szCs w:val="20"/>
          <w:lang w:val="en-US"/>
        </w:rPr>
        <w:t xml:space="preserve"> 16</w:t>
      </w:r>
      <w:r w:rsidR="00447C65" w:rsidRPr="00D869E3">
        <w:rPr>
          <w:rFonts w:ascii="Verdana" w:hAnsi="Verdana"/>
          <w:sz w:val="20"/>
          <w:szCs w:val="20"/>
          <w:lang w:val="en-US"/>
        </w:rPr>
        <w:t xml:space="preserve"> of the American Convention</w:t>
      </w:r>
      <w:r w:rsidR="00F83E8F" w:rsidRPr="00D869E3">
        <w:rPr>
          <w:rFonts w:ascii="Verdana" w:hAnsi="Verdana"/>
          <w:sz w:val="20"/>
          <w:szCs w:val="20"/>
          <w:lang w:val="en-US"/>
        </w:rPr>
        <w:t xml:space="preserve">, </w:t>
      </w:r>
      <w:r w:rsidR="00202DFB" w:rsidRPr="00D869E3">
        <w:rPr>
          <w:rFonts w:ascii="Verdana" w:hAnsi="Verdana"/>
          <w:sz w:val="20"/>
          <w:szCs w:val="20"/>
          <w:lang w:val="en-US"/>
        </w:rPr>
        <w:t xml:space="preserve">includes a right and a freedom: </w:t>
      </w:r>
      <w:r w:rsidR="00F83E8F" w:rsidRPr="00D869E3">
        <w:rPr>
          <w:rFonts w:ascii="Verdana" w:hAnsi="Verdana"/>
          <w:sz w:val="20"/>
          <w:szCs w:val="20"/>
          <w:lang w:val="en-US"/>
        </w:rPr>
        <w:t xml:space="preserve">(i) </w:t>
      </w:r>
      <w:r w:rsidR="00202DFB" w:rsidRPr="00D869E3">
        <w:rPr>
          <w:rFonts w:ascii="Verdana" w:hAnsi="Verdana"/>
          <w:sz w:val="20"/>
          <w:szCs w:val="20"/>
          <w:lang w:val="en-US"/>
        </w:rPr>
        <w:t xml:space="preserve">the right to form associations, subject only to the restrictions established in paragraphs 2 and 3 of the said Article </w:t>
      </w:r>
      <w:r w:rsidR="00F83E8F" w:rsidRPr="00D869E3">
        <w:rPr>
          <w:rFonts w:ascii="Verdana" w:hAnsi="Verdana"/>
          <w:sz w:val="20"/>
          <w:szCs w:val="20"/>
          <w:lang w:val="en-US"/>
        </w:rPr>
        <w:t>16</w:t>
      </w:r>
      <w:r w:rsidR="00202DFB" w:rsidRPr="00D869E3">
        <w:rPr>
          <w:rFonts w:ascii="Verdana" w:hAnsi="Verdana"/>
          <w:sz w:val="20"/>
          <w:szCs w:val="20"/>
          <w:lang w:val="en-US"/>
        </w:rPr>
        <w:t>,</w:t>
      </w:r>
      <w:r w:rsidR="00F83E8F" w:rsidRPr="00D869E3">
        <w:rPr>
          <w:rStyle w:val="Refdenotaalpie"/>
          <w:szCs w:val="20"/>
          <w:lang w:val="en-US"/>
        </w:rPr>
        <w:footnoteReference w:id="325"/>
      </w:r>
      <w:r w:rsidR="00687684" w:rsidRPr="00D869E3">
        <w:rPr>
          <w:rFonts w:ascii="Verdana" w:hAnsi="Verdana"/>
          <w:sz w:val="20"/>
          <w:szCs w:val="20"/>
          <w:lang w:val="en-US"/>
        </w:rPr>
        <w:t xml:space="preserve"> and </w:t>
      </w:r>
      <w:r w:rsidR="00F83E8F" w:rsidRPr="00D869E3">
        <w:rPr>
          <w:rFonts w:ascii="Verdana" w:hAnsi="Verdana"/>
          <w:sz w:val="20"/>
          <w:szCs w:val="20"/>
          <w:lang w:val="en-US"/>
        </w:rPr>
        <w:t xml:space="preserve">(ii) </w:t>
      </w:r>
      <w:r w:rsidR="00202DFB" w:rsidRPr="00D869E3">
        <w:rPr>
          <w:rFonts w:ascii="Verdana" w:hAnsi="Verdana"/>
          <w:sz w:val="20"/>
          <w:szCs w:val="20"/>
          <w:lang w:val="en-US"/>
        </w:rPr>
        <w:t>the freedom of everyone not to be compelled or obliged to join a labor union.</w:t>
      </w:r>
      <w:r w:rsidR="00F83E8F" w:rsidRPr="00D869E3">
        <w:rPr>
          <w:rStyle w:val="Refdenotaalpie"/>
          <w:szCs w:val="20"/>
          <w:lang w:val="en-US"/>
        </w:rPr>
        <w:footnoteReference w:id="326"/>
      </w:r>
      <w:r w:rsidR="00F83E8F" w:rsidRPr="00D869E3">
        <w:rPr>
          <w:rFonts w:ascii="Verdana" w:hAnsi="Verdana"/>
          <w:sz w:val="20"/>
          <w:szCs w:val="20"/>
          <w:lang w:val="en-US"/>
        </w:rPr>
        <w:t xml:space="preserve"> </w:t>
      </w:r>
    </w:p>
    <w:p w14:paraId="7F8D1C12" w14:textId="77777777" w:rsidR="00F83E8F" w:rsidRPr="00D869E3" w:rsidRDefault="00F83E8F" w:rsidP="00F83E8F">
      <w:pPr>
        <w:jc w:val="both"/>
        <w:rPr>
          <w:rFonts w:ascii="Verdana" w:hAnsi="Verdana"/>
          <w:sz w:val="20"/>
          <w:szCs w:val="20"/>
          <w:lang w:val="en-US"/>
        </w:rPr>
      </w:pPr>
    </w:p>
    <w:p w14:paraId="637ACE7B" w14:textId="7FF7D117" w:rsidR="00F83E8F" w:rsidRPr="00D869E3" w:rsidRDefault="00202DFB" w:rsidP="008B2ED2">
      <w:pPr>
        <w:pStyle w:val="Prrafodelista"/>
        <w:numPr>
          <w:ilvl w:val="0"/>
          <w:numId w:val="28"/>
        </w:numPr>
        <w:ind w:left="0" w:firstLine="0"/>
        <w:jc w:val="both"/>
        <w:rPr>
          <w:rFonts w:ascii="Verdana" w:hAnsi="Verdana"/>
          <w:sz w:val="20"/>
          <w:szCs w:val="20"/>
          <w:lang w:val="en-US"/>
        </w:rPr>
      </w:pPr>
      <w:r w:rsidRPr="00D869E3">
        <w:rPr>
          <w:rFonts w:ascii="Verdana" w:hAnsi="Verdana"/>
          <w:sz w:val="20"/>
          <w:szCs w:val="20"/>
          <w:lang w:val="en-US"/>
        </w:rPr>
        <w:t>In the case of</w:t>
      </w:r>
      <w:r w:rsidR="00F83E8F" w:rsidRPr="00D869E3">
        <w:rPr>
          <w:rFonts w:ascii="Verdana" w:hAnsi="Verdana"/>
          <w:sz w:val="20"/>
          <w:szCs w:val="20"/>
          <w:lang w:val="en-US"/>
        </w:rPr>
        <w:t xml:space="preserve"> </w:t>
      </w:r>
      <w:r w:rsidR="00F83E8F" w:rsidRPr="00D869E3">
        <w:rPr>
          <w:rFonts w:ascii="Verdana" w:hAnsi="Verdana"/>
          <w:i/>
          <w:sz w:val="20"/>
          <w:szCs w:val="20"/>
          <w:lang w:val="en-US"/>
        </w:rPr>
        <w:t>Huilca Tecse</w:t>
      </w:r>
      <w:r w:rsidR="00F83E8F" w:rsidRPr="00D869E3">
        <w:rPr>
          <w:rFonts w:ascii="Verdana" w:hAnsi="Verdana"/>
          <w:sz w:val="20"/>
          <w:szCs w:val="20"/>
          <w:lang w:val="en-US"/>
        </w:rPr>
        <w:t xml:space="preserve">, </w:t>
      </w:r>
      <w:r w:rsidRPr="00D869E3">
        <w:rPr>
          <w:rFonts w:ascii="Verdana" w:hAnsi="Verdana"/>
          <w:sz w:val="20"/>
          <w:szCs w:val="20"/>
          <w:lang w:val="en-US"/>
        </w:rPr>
        <w:t>following the</w:t>
      </w:r>
      <w:r w:rsidR="000F0D48" w:rsidRPr="00D869E3">
        <w:rPr>
          <w:rFonts w:ascii="Verdana" w:hAnsi="Verdana"/>
          <w:sz w:val="20"/>
          <w:szCs w:val="20"/>
          <w:lang w:val="en-US"/>
        </w:rPr>
        <w:t xml:space="preserve"> Peruvian State’s</w:t>
      </w:r>
      <w:r w:rsidRPr="00D869E3">
        <w:rPr>
          <w:rFonts w:ascii="Verdana" w:hAnsi="Verdana"/>
          <w:sz w:val="20"/>
          <w:szCs w:val="20"/>
          <w:lang w:val="en-US"/>
        </w:rPr>
        <w:t xml:space="preserve"> acknowledgement of international responsibility, </w:t>
      </w:r>
      <w:r w:rsidR="00671B14" w:rsidRPr="00D869E3">
        <w:rPr>
          <w:rFonts w:ascii="Verdana" w:hAnsi="Verdana"/>
          <w:sz w:val="20"/>
          <w:szCs w:val="20"/>
          <w:lang w:val="en-US"/>
        </w:rPr>
        <w:t>the Inter-American Court</w:t>
      </w:r>
      <w:r w:rsidR="00F83E8F" w:rsidRPr="00D869E3">
        <w:rPr>
          <w:rFonts w:ascii="Verdana" w:hAnsi="Verdana"/>
          <w:sz w:val="20"/>
          <w:szCs w:val="20"/>
          <w:lang w:val="en-US"/>
        </w:rPr>
        <w:t xml:space="preserve"> consider</w:t>
      </w:r>
      <w:r w:rsidRPr="00D869E3">
        <w:rPr>
          <w:rFonts w:ascii="Verdana" w:hAnsi="Verdana"/>
          <w:sz w:val="20"/>
          <w:szCs w:val="20"/>
          <w:lang w:val="en-US"/>
        </w:rPr>
        <w:t xml:space="preserve">ed that the extrajudicial execution of </w:t>
      </w:r>
      <w:r w:rsidR="00F83E8F" w:rsidRPr="00D869E3">
        <w:rPr>
          <w:rFonts w:ascii="Verdana" w:hAnsi="Verdana"/>
          <w:sz w:val="20"/>
          <w:szCs w:val="20"/>
          <w:lang w:val="en-US"/>
        </w:rPr>
        <w:t xml:space="preserve">Pedro Huilca Tecse </w:t>
      </w:r>
      <w:r w:rsidR="00F83E8F" w:rsidRPr="00D869E3">
        <w:rPr>
          <w:rFonts w:ascii="Verdana" w:hAnsi="Verdana"/>
          <w:i/>
          <w:sz w:val="20"/>
          <w:szCs w:val="20"/>
          <w:u w:val="single"/>
          <w:lang w:val="en-US"/>
        </w:rPr>
        <w:t>ha</w:t>
      </w:r>
      <w:r w:rsidRPr="00D869E3">
        <w:rPr>
          <w:rFonts w:ascii="Verdana" w:hAnsi="Verdana"/>
          <w:i/>
          <w:sz w:val="20"/>
          <w:szCs w:val="20"/>
          <w:u w:val="single"/>
          <w:lang w:val="en-US"/>
        </w:rPr>
        <w:t>d constituted</w:t>
      </w:r>
      <w:r w:rsidR="000F0D48" w:rsidRPr="00D869E3">
        <w:rPr>
          <w:rFonts w:ascii="Verdana" w:hAnsi="Verdana"/>
          <w:i/>
          <w:sz w:val="20"/>
          <w:szCs w:val="20"/>
          <w:u w:val="single"/>
          <w:lang w:val="en-US"/>
        </w:rPr>
        <w:t xml:space="preserve"> </w:t>
      </w:r>
      <w:r w:rsidRPr="00D869E3">
        <w:rPr>
          <w:rFonts w:ascii="Verdana" w:hAnsi="Verdana"/>
          <w:i/>
          <w:sz w:val="20"/>
          <w:szCs w:val="20"/>
          <w:u w:val="single"/>
          <w:lang w:val="en-US"/>
        </w:rPr>
        <w:t xml:space="preserve">a violation of the content </w:t>
      </w:r>
      <w:r w:rsidR="00A157F5" w:rsidRPr="00D869E3">
        <w:rPr>
          <w:rFonts w:ascii="Verdana" w:hAnsi="Verdana"/>
          <w:i/>
          <w:sz w:val="20"/>
          <w:szCs w:val="20"/>
          <w:u w:val="single"/>
          <w:lang w:val="en-US"/>
        </w:rPr>
        <w:t xml:space="preserve">of the </w:t>
      </w:r>
      <w:r w:rsidR="000B2E5E" w:rsidRPr="00D869E3">
        <w:rPr>
          <w:rFonts w:ascii="Verdana" w:hAnsi="Verdana"/>
          <w:i/>
          <w:sz w:val="20"/>
          <w:szCs w:val="20"/>
          <w:u w:val="single"/>
          <w:lang w:val="en-US"/>
        </w:rPr>
        <w:t>right to</w:t>
      </w:r>
      <w:r w:rsidR="00F83E8F" w:rsidRPr="00D869E3">
        <w:rPr>
          <w:rFonts w:ascii="Verdana" w:hAnsi="Verdana"/>
          <w:i/>
          <w:sz w:val="20"/>
          <w:szCs w:val="20"/>
          <w:u w:val="single"/>
          <w:lang w:val="en-US"/>
        </w:rPr>
        <w:t xml:space="preserve"> </w:t>
      </w:r>
      <w:r w:rsidR="00351902" w:rsidRPr="00D869E3">
        <w:rPr>
          <w:rFonts w:ascii="Verdana" w:hAnsi="Verdana"/>
          <w:i/>
          <w:sz w:val="20"/>
          <w:szCs w:val="20"/>
          <w:u w:val="single"/>
          <w:lang w:val="en-US"/>
        </w:rPr>
        <w:t>freedom of association</w:t>
      </w:r>
      <w:r w:rsidR="00F83E8F" w:rsidRPr="00D869E3">
        <w:rPr>
          <w:rFonts w:ascii="Verdana" w:hAnsi="Verdana"/>
          <w:i/>
          <w:sz w:val="20"/>
          <w:szCs w:val="20"/>
          <w:u w:val="single"/>
          <w:lang w:val="en-US"/>
        </w:rPr>
        <w:t xml:space="preserve">, </w:t>
      </w:r>
      <w:r w:rsidR="00BB61A6" w:rsidRPr="00D869E3">
        <w:rPr>
          <w:rFonts w:ascii="Verdana" w:hAnsi="Verdana"/>
          <w:i/>
          <w:sz w:val="20"/>
          <w:szCs w:val="20"/>
          <w:u w:val="single"/>
          <w:lang w:val="en-US"/>
        </w:rPr>
        <w:t>in relation to</w:t>
      </w:r>
      <w:r w:rsidR="00F83E8F" w:rsidRPr="00D869E3">
        <w:rPr>
          <w:rFonts w:ascii="Verdana" w:hAnsi="Verdana"/>
          <w:i/>
          <w:sz w:val="20"/>
          <w:szCs w:val="20"/>
          <w:u w:val="single"/>
          <w:lang w:val="en-US"/>
        </w:rPr>
        <w:t xml:space="preserve"> </w:t>
      </w:r>
      <w:r w:rsidRPr="00D869E3">
        <w:rPr>
          <w:rFonts w:ascii="Verdana" w:hAnsi="Verdana"/>
          <w:i/>
          <w:sz w:val="20"/>
          <w:szCs w:val="20"/>
          <w:u w:val="single"/>
          <w:lang w:val="en-US"/>
        </w:rPr>
        <w:t>freedom to join a labor union.</w:t>
      </w:r>
      <w:r w:rsidR="00F83E8F" w:rsidRPr="00D869E3">
        <w:rPr>
          <w:rStyle w:val="Refdenotaalpie"/>
          <w:szCs w:val="20"/>
          <w:lang w:val="en-US"/>
        </w:rPr>
        <w:footnoteReference w:id="327"/>
      </w:r>
      <w:r w:rsidR="00F83E8F" w:rsidRPr="00D869E3">
        <w:rPr>
          <w:rFonts w:ascii="Verdana" w:hAnsi="Verdana"/>
          <w:i/>
          <w:sz w:val="20"/>
          <w:szCs w:val="20"/>
          <w:lang w:val="en-US"/>
        </w:rPr>
        <w:t xml:space="preserve"> </w:t>
      </w:r>
      <w:r w:rsidRPr="00D869E3">
        <w:rPr>
          <w:rFonts w:ascii="Verdana" w:hAnsi="Verdana"/>
          <w:sz w:val="20"/>
          <w:szCs w:val="20"/>
          <w:lang w:val="en-US"/>
        </w:rPr>
        <w:t>The</w:t>
      </w:r>
      <w:r w:rsidR="00185A57" w:rsidRPr="00D869E3">
        <w:rPr>
          <w:rFonts w:ascii="Verdana" w:hAnsi="Verdana"/>
          <w:sz w:val="20"/>
          <w:szCs w:val="20"/>
          <w:lang w:val="en-US"/>
        </w:rPr>
        <w:t xml:space="preserve"> Inter-American Court</w:t>
      </w:r>
      <w:r w:rsidR="00F83E8F" w:rsidRPr="00D869E3">
        <w:rPr>
          <w:rFonts w:ascii="Verdana" w:hAnsi="Verdana"/>
          <w:sz w:val="20"/>
          <w:szCs w:val="20"/>
          <w:lang w:val="en-US"/>
        </w:rPr>
        <w:t xml:space="preserve"> </w:t>
      </w:r>
      <w:r w:rsidRPr="00D869E3">
        <w:rPr>
          <w:rFonts w:ascii="Verdana" w:hAnsi="Verdana"/>
          <w:sz w:val="20"/>
          <w:szCs w:val="20"/>
          <w:lang w:val="en-US"/>
        </w:rPr>
        <w:t>also est</w:t>
      </w:r>
      <w:r w:rsidR="00CC4B1B" w:rsidRPr="00D869E3">
        <w:rPr>
          <w:rFonts w:ascii="Verdana" w:hAnsi="Verdana"/>
          <w:sz w:val="20"/>
          <w:szCs w:val="20"/>
          <w:lang w:val="en-US"/>
        </w:rPr>
        <w:t>a</w:t>
      </w:r>
      <w:r w:rsidRPr="00D869E3">
        <w:rPr>
          <w:rFonts w:ascii="Verdana" w:hAnsi="Verdana"/>
          <w:sz w:val="20"/>
          <w:szCs w:val="20"/>
          <w:lang w:val="en-US"/>
        </w:rPr>
        <w:t xml:space="preserve">blished that the execution of a labor union leader, not only restricted the </w:t>
      </w:r>
      <w:r w:rsidR="00351902" w:rsidRPr="00D869E3">
        <w:rPr>
          <w:rFonts w:ascii="Verdana" w:hAnsi="Verdana"/>
          <w:sz w:val="20"/>
          <w:szCs w:val="20"/>
          <w:lang w:val="en-US"/>
        </w:rPr>
        <w:t>freedom of association</w:t>
      </w:r>
      <w:r w:rsidR="00F83E8F" w:rsidRPr="00D869E3">
        <w:rPr>
          <w:rFonts w:ascii="Verdana" w:hAnsi="Verdana"/>
          <w:sz w:val="20"/>
          <w:szCs w:val="20"/>
          <w:lang w:val="en-US"/>
        </w:rPr>
        <w:t xml:space="preserve"> </w:t>
      </w:r>
      <w:r w:rsidRPr="00D869E3">
        <w:rPr>
          <w:rFonts w:ascii="Verdana" w:hAnsi="Verdana"/>
          <w:sz w:val="20"/>
          <w:szCs w:val="20"/>
          <w:lang w:val="en-US"/>
        </w:rPr>
        <w:t xml:space="preserve">of an individual, but also the </w:t>
      </w:r>
      <w:r w:rsidR="008B2ED2" w:rsidRPr="00D869E3">
        <w:rPr>
          <w:rFonts w:ascii="Verdana" w:hAnsi="Verdana"/>
          <w:sz w:val="20"/>
          <w:szCs w:val="20"/>
          <w:lang w:val="en-US"/>
        </w:rPr>
        <w:t xml:space="preserve">right and the freedom of a specific group to associate </w:t>
      </w:r>
      <w:r w:rsidR="008B2ED2" w:rsidRPr="00D869E3">
        <w:rPr>
          <w:rFonts w:ascii="Verdana" w:hAnsi="Verdana"/>
          <w:sz w:val="20"/>
          <w:szCs w:val="20"/>
          <w:lang w:val="en-US"/>
        </w:rPr>
        <w:lastRenderedPageBreak/>
        <w:t xml:space="preserve">freely, without fear, so that the right protected by Article 16 had a special scope and nature. </w:t>
      </w:r>
      <w:r w:rsidR="008B2ED2" w:rsidRPr="00D869E3">
        <w:rPr>
          <w:rFonts w:ascii="Verdana" w:hAnsi="Verdana"/>
          <w:i/>
          <w:iCs/>
          <w:sz w:val="20"/>
          <w:szCs w:val="20"/>
          <w:u w:val="single"/>
          <w:lang w:val="en-US"/>
        </w:rPr>
        <w:t>This revealed the two dimensions of</w:t>
      </w:r>
      <w:r w:rsidR="008B2ED2" w:rsidRPr="00D869E3">
        <w:rPr>
          <w:rFonts w:ascii="Verdana" w:hAnsi="Verdana"/>
          <w:sz w:val="20"/>
          <w:szCs w:val="20"/>
          <w:lang w:val="en-US"/>
        </w:rPr>
        <w:t xml:space="preserve"> </w:t>
      </w:r>
      <w:r w:rsidR="00351902" w:rsidRPr="00D869E3">
        <w:rPr>
          <w:rFonts w:ascii="Verdana" w:hAnsi="Verdana"/>
          <w:i/>
          <w:sz w:val="20"/>
          <w:szCs w:val="20"/>
          <w:u w:val="single"/>
          <w:lang w:val="en-US"/>
        </w:rPr>
        <w:t>freedom of association</w:t>
      </w:r>
      <w:r w:rsidR="008B2ED2" w:rsidRPr="00D869E3">
        <w:rPr>
          <w:rFonts w:ascii="Verdana" w:hAnsi="Verdana"/>
          <w:i/>
          <w:sz w:val="20"/>
          <w:szCs w:val="20"/>
          <w:u w:val="single"/>
          <w:lang w:val="en-US"/>
        </w:rPr>
        <w:t>.</w:t>
      </w:r>
      <w:r w:rsidR="00F83E8F" w:rsidRPr="00D869E3">
        <w:rPr>
          <w:rStyle w:val="Refdenotaalpie"/>
          <w:szCs w:val="20"/>
          <w:lang w:val="en-US"/>
        </w:rPr>
        <w:footnoteReference w:id="328"/>
      </w:r>
    </w:p>
    <w:p w14:paraId="79502CC1" w14:textId="77777777" w:rsidR="00F83E8F" w:rsidRPr="00D869E3" w:rsidRDefault="00F83E8F" w:rsidP="00F83E8F">
      <w:pPr>
        <w:jc w:val="both"/>
        <w:rPr>
          <w:rFonts w:ascii="Verdana" w:hAnsi="Verdana"/>
          <w:i/>
          <w:sz w:val="20"/>
          <w:szCs w:val="20"/>
          <w:u w:val="single"/>
          <w:lang w:val="en-US"/>
        </w:rPr>
      </w:pPr>
    </w:p>
    <w:p w14:paraId="13D1F3C8" w14:textId="35EEDAAE" w:rsidR="00F83E8F" w:rsidRPr="00D869E3" w:rsidRDefault="008B2ED2" w:rsidP="00E70701">
      <w:pPr>
        <w:pStyle w:val="Prrafodelista"/>
        <w:numPr>
          <w:ilvl w:val="0"/>
          <w:numId w:val="28"/>
        </w:numPr>
        <w:ind w:left="0" w:firstLine="0"/>
        <w:jc w:val="both"/>
        <w:rPr>
          <w:rFonts w:ascii="Verdana" w:hAnsi="Verdana"/>
          <w:i/>
          <w:sz w:val="20"/>
          <w:szCs w:val="20"/>
          <w:u w:val="single"/>
          <w:lang w:val="en-US"/>
        </w:rPr>
      </w:pPr>
      <w:r w:rsidRPr="00D869E3">
        <w:rPr>
          <w:rFonts w:ascii="Verdana" w:hAnsi="Verdana"/>
          <w:sz w:val="20"/>
          <w:szCs w:val="20"/>
          <w:lang w:val="en-US"/>
        </w:rPr>
        <w:t xml:space="preserve">Regarding the two dimensions of the right to freedom of association, the individual and the social, </w:t>
      </w:r>
      <w:r w:rsidR="00671B14" w:rsidRPr="00D869E3">
        <w:rPr>
          <w:rFonts w:ascii="Verdana" w:hAnsi="Verdana"/>
          <w:sz w:val="20"/>
          <w:szCs w:val="20"/>
          <w:lang w:val="en-US"/>
        </w:rPr>
        <w:t>the Inter-American Court</w:t>
      </w:r>
      <w:r w:rsidR="00F83E8F" w:rsidRPr="00D869E3">
        <w:rPr>
          <w:rFonts w:ascii="Verdana" w:hAnsi="Verdana"/>
          <w:sz w:val="20"/>
          <w:szCs w:val="20"/>
          <w:lang w:val="en-US"/>
        </w:rPr>
        <w:t xml:space="preserve"> </w:t>
      </w:r>
      <w:r w:rsidRPr="00D869E3">
        <w:rPr>
          <w:rFonts w:ascii="Verdana" w:hAnsi="Verdana"/>
          <w:sz w:val="20"/>
          <w:szCs w:val="20"/>
          <w:lang w:val="en-US"/>
        </w:rPr>
        <w:t>added that</w:t>
      </w:r>
      <w:r w:rsidR="00F83E8F" w:rsidRPr="00D869E3">
        <w:rPr>
          <w:rFonts w:ascii="Verdana" w:hAnsi="Verdana"/>
          <w:sz w:val="20"/>
          <w:szCs w:val="20"/>
          <w:lang w:val="en-US"/>
        </w:rPr>
        <w:t>:</w:t>
      </w:r>
    </w:p>
    <w:p w14:paraId="7882094F" w14:textId="77777777" w:rsidR="00F83E8F" w:rsidRPr="00D869E3" w:rsidRDefault="00F83E8F" w:rsidP="00F83E8F">
      <w:pPr>
        <w:pStyle w:val="Prrafodelista"/>
        <w:ind w:left="0"/>
        <w:jc w:val="both"/>
        <w:rPr>
          <w:rFonts w:ascii="Verdana" w:hAnsi="Verdana"/>
          <w:i/>
          <w:sz w:val="20"/>
          <w:szCs w:val="20"/>
          <w:u w:val="single"/>
          <w:lang w:val="en-US"/>
        </w:rPr>
      </w:pPr>
    </w:p>
    <w:p w14:paraId="16CCF71D" w14:textId="4079E0C6" w:rsidR="008B2ED2" w:rsidRPr="00D869E3" w:rsidRDefault="00F83E8F" w:rsidP="00DC3959">
      <w:pPr>
        <w:ind w:left="709" w:right="738"/>
        <w:jc w:val="both"/>
        <w:rPr>
          <w:rFonts w:ascii="Verdana" w:hAnsi="Verdana" w:cs="Arial"/>
          <w:sz w:val="16"/>
          <w:szCs w:val="16"/>
          <w:lang w:val="en-US"/>
        </w:rPr>
      </w:pPr>
      <w:r w:rsidRPr="00D869E3">
        <w:rPr>
          <w:rFonts w:ascii="Verdana" w:hAnsi="Verdana"/>
          <w:sz w:val="16"/>
          <w:szCs w:val="16"/>
          <w:lang w:val="en-US"/>
        </w:rPr>
        <w:t xml:space="preserve">70. </w:t>
      </w:r>
      <w:r w:rsidR="008B2ED2" w:rsidRPr="00D869E3">
        <w:rPr>
          <w:rFonts w:ascii="Verdana" w:hAnsi="Verdana" w:cs="Arial"/>
          <w:sz w:val="16"/>
          <w:szCs w:val="16"/>
          <w:lang w:val="en-US"/>
        </w:rPr>
        <w:t xml:space="preserve">In its </w:t>
      </w:r>
      <w:r w:rsidR="008B2ED2" w:rsidRPr="00D869E3">
        <w:rPr>
          <w:rFonts w:ascii="Verdana" w:hAnsi="Verdana" w:cs="Arial"/>
          <w:sz w:val="16"/>
          <w:szCs w:val="16"/>
          <w:u w:val="single"/>
          <w:lang w:val="en-US"/>
        </w:rPr>
        <w:t>individual dimension</w:t>
      </w:r>
      <w:r w:rsidR="008B2ED2" w:rsidRPr="00D869E3">
        <w:rPr>
          <w:rFonts w:ascii="Verdana" w:hAnsi="Verdana" w:cs="Arial"/>
          <w:sz w:val="16"/>
          <w:szCs w:val="16"/>
          <w:lang w:val="en-US"/>
        </w:rPr>
        <w:t>, labor-related freedom of association is not exhausted by the theoretical recognition of the right to form trade unions, but also corresponds, inseparably, to the right to use any appropriate means to exercise this freedom. When the Convention proclaims that freedom of association includes the right to freely associate “for [… any] other purpose,” it is emphasizing that the freedom to associate and to pursue certain collective goals are indivisible, so that a limitation of the possibilities of association represents directly, and to the same extent, a limitation of the right of the collectivity to achieve its proposed purposes. Hence the importance of adapting to the Convention the legal regime applicable to trade unions and the State’s actions, or those that occur with it tolerance, that could render this right inoperative in the practice.</w:t>
      </w:r>
    </w:p>
    <w:p w14:paraId="7624FC34" w14:textId="77777777" w:rsidR="00F83E8F" w:rsidRPr="00D869E3" w:rsidRDefault="00F83E8F" w:rsidP="00DC3959">
      <w:pPr>
        <w:ind w:right="738"/>
        <w:jc w:val="both"/>
        <w:rPr>
          <w:rFonts w:ascii="Verdana" w:hAnsi="Verdana"/>
          <w:sz w:val="16"/>
          <w:szCs w:val="16"/>
          <w:lang w:val="en-US"/>
        </w:rPr>
      </w:pPr>
    </w:p>
    <w:p w14:paraId="03EC4749" w14:textId="34871BCE" w:rsidR="00F83E8F" w:rsidRPr="00D869E3" w:rsidRDefault="00F83E8F" w:rsidP="00DC3959">
      <w:pPr>
        <w:ind w:left="709" w:right="738"/>
        <w:jc w:val="both"/>
        <w:rPr>
          <w:rFonts w:ascii="Verdana" w:hAnsi="Verdana"/>
          <w:sz w:val="16"/>
          <w:szCs w:val="16"/>
          <w:lang w:val="en-US"/>
        </w:rPr>
      </w:pPr>
      <w:r w:rsidRPr="00D869E3">
        <w:rPr>
          <w:rFonts w:ascii="Verdana" w:hAnsi="Verdana"/>
          <w:sz w:val="16"/>
          <w:szCs w:val="16"/>
          <w:lang w:val="en-US"/>
        </w:rPr>
        <w:t xml:space="preserve">71. </w:t>
      </w:r>
      <w:r w:rsidR="008B2ED2" w:rsidRPr="00D869E3">
        <w:rPr>
          <w:rFonts w:ascii="Verdana" w:hAnsi="Verdana" w:cs="Arial"/>
          <w:sz w:val="16"/>
          <w:szCs w:val="16"/>
          <w:lang w:val="en-US"/>
        </w:rPr>
        <w:t xml:space="preserve">In its </w:t>
      </w:r>
      <w:r w:rsidR="008B2ED2" w:rsidRPr="00D869E3">
        <w:rPr>
          <w:rFonts w:ascii="Verdana" w:hAnsi="Verdana" w:cs="Arial"/>
          <w:sz w:val="16"/>
          <w:szCs w:val="16"/>
          <w:u w:val="single"/>
          <w:lang w:val="en-US"/>
        </w:rPr>
        <w:t>social dimension</w:t>
      </w:r>
      <w:r w:rsidR="008B2ED2" w:rsidRPr="00D869E3">
        <w:rPr>
          <w:rFonts w:ascii="Verdana" w:hAnsi="Verdana" w:cs="Arial"/>
          <w:sz w:val="16"/>
          <w:szCs w:val="16"/>
          <w:lang w:val="en-US"/>
        </w:rPr>
        <w:t>, freedom of association is a mechanism that allows the members of a labor collectivity or group to achieve certain objectives together and to obtain benefits for themselves.</w:t>
      </w:r>
    </w:p>
    <w:p w14:paraId="0409A121" w14:textId="77777777" w:rsidR="008B2ED2" w:rsidRPr="00D869E3" w:rsidRDefault="008B2ED2" w:rsidP="00DC3959">
      <w:pPr>
        <w:pStyle w:val="Prrafodelista"/>
        <w:ind w:left="709" w:right="738"/>
        <w:jc w:val="both"/>
        <w:rPr>
          <w:rFonts w:ascii="Verdana" w:hAnsi="Verdana"/>
          <w:sz w:val="16"/>
          <w:szCs w:val="16"/>
          <w:lang w:val="en-US"/>
        </w:rPr>
      </w:pPr>
    </w:p>
    <w:p w14:paraId="1A7780AE" w14:textId="452A5F3F" w:rsidR="00F83E8F" w:rsidRPr="00D869E3" w:rsidRDefault="00F83E8F" w:rsidP="00DC3959">
      <w:pPr>
        <w:pStyle w:val="Prrafodelista"/>
        <w:ind w:left="709" w:right="738"/>
        <w:jc w:val="both"/>
        <w:rPr>
          <w:rFonts w:ascii="Verdana" w:hAnsi="Verdana"/>
          <w:sz w:val="16"/>
          <w:szCs w:val="16"/>
          <w:u w:val="single"/>
          <w:lang w:val="en-US"/>
        </w:rPr>
      </w:pPr>
      <w:r w:rsidRPr="00D869E3">
        <w:rPr>
          <w:rFonts w:ascii="Verdana" w:hAnsi="Verdana"/>
          <w:sz w:val="16"/>
          <w:szCs w:val="16"/>
          <w:lang w:val="en-US"/>
        </w:rPr>
        <w:t xml:space="preserve">72. </w:t>
      </w:r>
      <w:r w:rsidR="008B2ED2" w:rsidRPr="00D869E3">
        <w:rPr>
          <w:rFonts w:ascii="Verdana" w:hAnsi="Verdana"/>
          <w:sz w:val="16"/>
          <w:szCs w:val="16"/>
          <w:u w:val="single"/>
          <w:lang w:val="en-US"/>
        </w:rPr>
        <w:t>T</w:t>
      </w:r>
      <w:r w:rsidR="008B2ED2" w:rsidRPr="00D869E3">
        <w:rPr>
          <w:rFonts w:ascii="Verdana" w:hAnsi="Verdana" w:cs="Arial"/>
          <w:sz w:val="16"/>
          <w:szCs w:val="16"/>
          <w:u w:val="single"/>
          <w:lang w:val="en-US"/>
        </w:rPr>
        <w:t>he two above-mentioned dimensions of freedom of association must be guaranteed simultaneously</w:t>
      </w:r>
      <w:r w:rsidR="008B2ED2" w:rsidRPr="00D869E3">
        <w:rPr>
          <w:rFonts w:ascii="Verdana" w:hAnsi="Verdana" w:cs="Arial"/>
          <w:sz w:val="16"/>
          <w:szCs w:val="16"/>
          <w:lang w:val="en-US"/>
        </w:rPr>
        <w:t>, respecting the restrictions allowed in paragraph 2 of Article 16 of the Convention</w:t>
      </w:r>
      <w:r w:rsidR="008B2ED2" w:rsidRPr="00D869E3">
        <w:rPr>
          <w:rFonts w:ascii="Verdana" w:hAnsi="Verdana"/>
          <w:sz w:val="16"/>
          <w:szCs w:val="16"/>
          <w:lang w:val="en-US"/>
        </w:rPr>
        <w:t>.</w:t>
      </w:r>
      <w:r w:rsidRPr="00D869E3">
        <w:rPr>
          <w:rStyle w:val="Refdenotaalpie"/>
          <w:sz w:val="16"/>
          <w:szCs w:val="16"/>
          <w:lang w:val="en-US"/>
        </w:rPr>
        <w:footnoteReference w:id="329"/>
      </w:r>
    </w:p>
    <w:p w14:paraId="75905FC9" w14:textId="77777777" w:rsidR="00F83E8F" w:rsidRPr="00D869E3" w:rsidRDefault="00F83E8F" w:rsidP="00F83E8F">
      <w:pPr>
        <w:jc w:val="both"/>
        <w:rPr>
          <w:rFonts w:ascii="Verdana" w:hAnsi="Verdana"/>
          <w:sz w:val="20"/>
          <w:szCs w:val="20"/>
          <w:u w:val="single"/>
          <w:lang w:val="en-US"/>
        </w:rPr>
      </w:pPr>
    </w:p>
    <w:p w14:paraId="3EB79449" w14:textId="590524AF" w:rsidR="00F83E8F" w:rsidRPr="00D869E3" w:rsidRDefault="008B2ED2" w:rsidP="00E70701">
      <w:pPr>
        <w:pStyle w:val="Prrafodelista"/>
        <w:numPr>
          <w:ilvl w:val="0"/>
          <w:numId w:val="28"/>
        </w:numPr>
        <w:ind w:left="0" w:firstLine="0"/>
        <w:jc w:val="both"/>
        <w:rPr>
          <w:rFonts w:ascii="Verdana" w:hAnsi="Verdana"/>
          <w:i/>
          <w:sz w:val="20"/>
          <w:szCs w:val="20"/>
          <w:lang w:val="en-US"/>
        </w:rPr>
      </w:pPr>
      <w:r w:rsidRPr="00D869E3">
        <w:rPr>
          <w:rFonts w:ascii="Verdana" w:hAnsi="Verdana"/>
          <w:sz w:val="20"/>
          <w:szCs w:val="20"/>
          <w:lang w:val="en-US"/>
        </w:rPr>
        <w:t>In the same case,</w:t>
      </w:r>
      <w:r w:rsidR="00F83E8F" w:rsidRPr="00D869E3">
        <w:rPr>
          <w:rFonts w:ascii="Verdana" w:hAnsi="Verdana"/>
          <w:sz w:val="20"/>
          <w:szCs w:val="20"/>
          <w:lang w:val="en-US"/>
        </w:rPr>
        <w:t xml:space="preserve"> </w:t>
      </w:r>
      <w:r w:rsidR="00671B14" w:rsidRPr="00D869E3">
        <w:rPr>
          <w:rFonts w:ascii="Verdana" w:hAnsi="Verdana"/>
          <w:sz w:val="20"/>
          <w:szCs w:val="20"/>
          <w:lang w:val="en-US"/>
        </w:rPr>
        <w:t>the Inter-American Court</w:t>
      </w:r>
      <w:r w:rsidR="00F83E8F" w:rsidRPr="00D869E3">
        <w:rPr>
          <w:rFonts w:ascii="Verdana" w:hAnsi="Verdana"/>
          <w:sz w:val="20"/>
          <w:szCs w:val="20"/>
          <w:lang w:val="en-US"/>
        </w:rPr>
        <w:t xml:space="preserve"> </w:t>
      </w:r>
      <w:r w:rsidRPr="00D869E3">
        <w:rPr>
          <w:rFonts w:ascii="Verdana" w:hAnsi="Verdana"/>
          <w:sz w:val="20"/>
          <w:szCs w:val="20"/>
          <w:lang w:val="en-US"/>
        </w:rPr>
        <w:t xml:space="preserve">referred, for the first time, to the </w:t>
      </w:r>
      <w:r w:rsidR="00F83E8F" w:rsidRPr="00D869E3">
        <w:rPr>
          <w:rFonts w:ascii="Verdana" w:hAnsi="Verdana"/>
          <w:sz w:val="20"/>
          <w:szCs w:val="20"/>
          <w:lang w:val="en-US"/>
        </w:rPr>
        <w:t>Protocol</w:t>
      </w:r>
      <w:r w:rsidRPr="00D869E3">
        <w:rPr>
          <w:rFonts w:ascii="Verdana" w:hAnsi="Verdana"/>
          <w:sz w:val="20"/>
          <w:szCs w:val="20"/>
          <w:lang w:val="en-US"/>
        </w:rPr>
        <w:t xml:space="preserve"> of</w:t>
      </w:r>
      <w:r w:rsidR="00F83E8F" w:rsidRPr="00D869E3">
        <w:rPr>
          <w:rFonts w:ascii="Verdana" w:hAnsi="Verdana"/>
          <w:sz w:val="20"/>
          <w:szCs w:val="20"/>
          <w:lang w:val="en-US"/>
        </w:rPr>
        <w:t xml:space="preserve"> San Salvador</w:t>
      </w:r>
      <w:r w:rsidR="00687684" w:rsidRPr="00D869E3">
        <w:rPr>
          <w:rFonts w:ascii="Verdana" w:hAnsi="Verdana"/>
          <w:sz w:val="20"/>
          <w:szCs w:val="20"/>
          <w:lang w:val="en-US"/>
        </w:rPr>
        <w:t xml:space="preserve"> and </w:t>
      </w:r>
      <w:r w:rsidRPr="00D869E3">
        <w:rPr>
          <w:rFonts w:ascii="Verdana" w:hAnsi="Verdana"/>
          <w:sz w:val="20"/>
          <w:szCs w:val="20"/>
          <w:lang w:val="en-US"/>
        </w:rPr>
        <w:t>to</w:t>
      </w:r>
      <w:r w:rsidR="00F83E8F" w:rsidRPr="00D869E3">
        <w:rPr>
          <w:rFonts w:ascii="Verdana" w:hAnsi="Verdana"/>
          <w:sz w:val="20"/>
          <w:szCs w:val="20"/>
          <w:lang w:val="en-US"/>
        </w:rPr>
        <w:t xml:space="preserve"> Conven</w:t>
      </w:r>
      <w:r w:rsidRPr="00D869E3">
        <w:rPr>
          <w:rFonts w:ascii="Verdana" w:hAnsi="Verdana"/>
          <w:sz w:val="20"/>
          <w:szCs w:val="20"/>
          <w:lang w:val="en-US"/>
        </w:rPr>
        <w:t>tion</w:t>
      </w:r>
      <w:r w:rsidR="00F83E8F" w:rsidRPr="00D869E3">
        <w:rPr>
          <w:rFonts w:ascii="Verdana" w:hAnsi="Verdana"/>
          <w:sz w:val="20"/>
          <w:szCs w:val="20"/>
          <w:lang w:val="en-US"/>
        </w:rPr>
        <w:t xml:space="preserve"> No. 87 </w:t>
      </w:r>
      <w:r w:rsidRPr="00D869E3">
        <w:rPr>
          <w:rFonts w:ascii="Verdana" w:hAnsi="Verdana"/>
          <w:sz w:val="20"/>
          <w:szCs w:val="20"/>
          <w:lang w:val="en-US"/>
        </w:rPr>
        <w:t xml:space="preserve">of the International Labour Organization, which in their </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s </w:t>
      </w:r>
      <w:r w:rsidR="00687684" w:rsidRPr="00D869E3">
        <w:rPr>
          <w:rFonts w:ascii="Verdana" w:hAnsi="Verdana"/>
          <w:sz w:val="20"/>
          <w:szCs w:val="20"/>
          <w:lang w:val="en-US"/>
        </w:rPr>
        <w:t>8(1)</w:t>
      </w:r>
      <w:r w:rsidRPr="00D869E3">
        <w:rPr>
          <w:rFonts w:ascii="Verdana" w:hAnsi="Verdana"/>
          <w:sz w:val="20"/>
          <w:szCs w:val="20"/>
          <w:lang w:val="en-US"/>
        </w:rPr>
        <w:t>(</w:t>
      </w:r>
      <w:r w:rsidR="00F83E8F" w:rsidRPr="00D869E3">
        <w:rPr>
          <w:rFonts w:ascii="Verdana" w:hAnsi="Verdana"/>
          <w:sz w:val="20"/>
          <w:szCs w:val="20"/>
          <w:lang w:val="en-US"/>
        </w:rPr>
        <w:t>a</w:t>
      </w:r>
      <w:r w:rsidRPr="00D869E3">
        <w:rPr>
          <w:rFonts w:ascii="Verdana" w:hAnsi="Verdana"/>
          <w:sz w:val="20"/>
          <w:szCs w:val="20"/>
          <w:lang w:val="en-US"/>
        </w:rPr>
        <w:t>)</w:t>
      </w:r>
      <w:r w:rsidR="00687684" w:rsidRPr="00D869E3">
        <w:rPr>
          <w:rFonts w:ascii="Verdana" w:hAnsi="Verdana"/>
          <w:sz w:val="20"/>
          <w:szCs w:val="20"/>
          <w:lang w:val="en-US"/>
        </w:rPr>
        <w:t xml:space="preserve"> and </w:t>
      </w:r>
      <w:r w:rsidR="00F83E8F" w:rsidRPr="00D869E3">
        <w:rPr>
          <w:rFonts w:ascii="Verdana" w:hAnsi="Verdana"/>
          <w:sz w:val="20"/>
          <w:szCs w:val="20"/>
          <w:lang w:val="en-US"/>
        </w:rPr>
        <w:t>11, respectiv</w:t>
      </w:r>
      <w:r w:rsidRPr="00D869E3">
        <w:rPr>
          <w:rFonts w:ascii="Verdana" w:hAnsi="Verdana"/>
          <w:sz w:val="20"/>
          <w:szCs w:val="20"/>
          <w:lang w:val="en-US"/>
        </w:rPr>
        <w:t>ely</w:t>
      </w:r>
      <w:r w:rsidR="00F83E8F" w:rsidRPr="00D869E3">
        <w:rPr>
          <w:rFonts w:ascii="Verdana" w:hAnsi="Verdana"/>
          <w:sz w:val="20"/>
          <w:szCs w:val="20"/>
          <w:lang w:val="en-US"/>
        </w:rPr>
        <w:t xml:space="preserve">, </w:t>
      </w:r>
      <w:r w:rsidRPr="00D869E3">
        <w:rPr>
          <w:rFonts w:ascii="Verdana" w:hAnsi="Verdana"/>
          <w:sz w:val="20"/>
          <w:szCs w:val="20"/>
          <w:lang w:val="en-US"/>
        </w:rPr>
        <w:t>include</w:t>
      </w:r>
      <w:r w:rsidR="00F83E8F" w:rsidRPr="00D869E3">
        <w:rPr>
          <w:rFonts w:ascii="Verdana" w:hAnsi="Verdana"/>
          <w:sz w:val="20"/>
          <w:szCs w:val="20"/>
          <w:lang w:val="en-US"/>
        </w:rPr>
        <w:t xml:space="preserve"> </w:t>
      </w:r>
      <w:r w:rsidR="00901386" w:rsidRPr="00D869E3">
        <w:rPr>
          <w:rFonts w:ascii="Verdana" w:hAnsi="Verdana"/>
          <w:sz w:val="20"/>
          <w:szCs w:val="20"/>
          <w:lang w:val="en-US"/>
        </w:rPr>
        <w:t>the obligation</w:t>
      </w:r>
      <w:r w:rsidR="00447C65" w:rsidRPr="00D869E3">
        <w:rPr>
          <w:rFonts w:ascii="Verdana" w:hAnsi="Verdana"/>
          <w:sz w:val="20"/>
          <w:szCs w:val="20"/>
          <w:lang w:val="en-US"/>
        </w:rPr>
        <w:t xml:space="preserve"> of the State</w:t>
      </w:r>
      <w:r w:rsidR="00F83E8F" w:rsidRPr="00D869E3">
        <w:rPr>
          <w:rFonts w:ascii="Verdana" w:hAnsi="Verdana"/>
          <w:sz w:val="20"/>
          <w:szCs w:val="20"/>
          <w:lang w:val="en-US"/>
        </w:rPr>
        <w:t xml:space="preserve"> </w:t>
      </w:r>
      <w:r w:rsidRPr="00D869E3">
        <w:rPr>
          <w:rFonts w:ascii="Verdana" w:hAnsi="Verdana"/>
          <w:sz w:val="20"/>
          <w:szCs w:val="20"/>
          <w:lang w:val="en-US"/>
        </w:rPr>
        <w:t>to allow labor unions, federations and confederations to function freely.</w:t>
      </w:r>
      <w:r w:rsidR="00F83E8F" w:rsidRPr="00D869E3">
        <w:rPr>
          <w:rStyle w:val="Refdenotaalpie"/>
          <w:szCs w:val="20"/>
          <w:lang w:val="en-US"/>
        </w:rPr>
        <w:footnoteReference w:id="330"/>
      </w:r>
      <w:r w:rsidR="00F83E8F" w:rsidRPr="00D869E3">
        <w:rPr>
          <w:rFonts w:ascii="Verdana" w:hAnsi="Verdana"/>
          <w:sz w:val="20"/>
          <w:szCs w:val="20"/>
          <w:lang w:val="en-US"/>
        </w:rPr>
        <w:t xml:space="preserve"> </w:t>
      </w:r>
    </w:p>
    <w:p w14:paraId="23C08E83" w14:textId="77777777" w:rsidR="00F83E8F" w:rsidRPr="00D869E3" w:rsidRDefault="00F83E8F" w:rsidP="00F83E8F">
      <w:pPr>
        <w:pStyle w:val="Prrafodelista"/>
        <w:ind w:left="0"/>
        <w:jc w:val="both"/>
        <w:rPr>
          <w:rFonts w:ascii="Verdana" w:hAnsi="Verdana"/>
          <w:i/>
          <w:sz w:val="20"/>
          <w:szCs w:val="20"/>
          <w:lang w:val="en-US"/>
        </w:rPr>
      </w:pPr>
    </w:p>
    <w:p w14:paraId="2D27F0D6" w14:textId="59DE5398" w:rsidR="00F83E8F" w:rsidRPr="00D869E3" w:rsidRDefault="008B2ED2" w:rsidP="00971A6D">
      <w:pPr>
        <w:pStyle w:val="Prrafodelista"/>
        <w:numPr>
          <w:ilvl w:val="0"/>
          <w:numId w:val="28"/>
        </w:numPr>
        <w:ind w:left="0" w:firstLine="0"/>
        <w:jc w:val="both"/>
        <w:rPr>
          <w:rFonts w:ascii="Verdana" w:hAnsi="Verdana"/>
          <w:i/>
          <w:sz w:val="20"/>
          <w:szCs w:val="20"/>
          <w:lang w:val="en-US"/>
        </w:rPr>
      </w:pPr>
      <w:r w:rsidRPr="00D869E3">
        <w:rPr>
          <w:rFonts w:ascii="Verdana" w:hAnsi="Verdana"/>
          <w:sz w:val="20"/>
          <w:szCs w:val="20"/>
          <w:lang w:val="en-US"/>
        </w:rPr>
        <w:t>In the case of</w:t>
      </w:r>
      <w:r w:rsidR="00F83E8F" w:rsidRPr="00D869E3">
        <w:rPr>
          <w:rFonts w:ascii="Verdana" w:hAnsi="Verdana"/>
          <w:sz w:val="20"/>
          <w:szCs w:val="20"/>
          <w:lang w:val="en-US"/>
        </w:rPr>
        <w:t xml:space="preserve"> </w:t>
      </w:r>
      <w:r w:rsidR="00F83E8F" w:rsidRPr="00D869E3">
        <w:rPr>
          <w:rFonts w:ascii="Verdana" w:hAnsi="Verdana"/>
          <w:i/>
          <w:sz w:val="20"/>
          <w:szCs w:val="20"/>
          <w:lang w:val="en-US"/>
        </w:rPr>
        <w:t>Cantoral Huamaní</w:t>
      </w:r>
      <w:r w:rsidR="00687684" w:rsidRPr="00D869E3">
        <w:rPr>
          <w:rFonts w:ascii="Verdana" w:hAnsi="Verdana"/>
          <w:i/>
          <w:sz w:val="20"/>
          <w:szCs w:val="20"/>
          <w:lang w:val="en-US"/>
        </w:rPr>
        <w:t xml:space="preserve"> and </w:t>
      </w:r>
      <w:r w:rsidR="00F83E8F" w:rsidRPr="00D869E3">
        <w:rPr>
          <w:rFonts w:ascii="Verdana" w:hAnsi="Verdana"/>
          <w:i/>
          <w:sz w:val="20"/>
          <w:szCs w:val="20"/>
          <w:lang w:val="en-US"/>
        </w:rPr>
        <w:t>García Santa Cruz</w:t>
      </w:r>
      <w:r w:rsidR="00F83E8F" w:rsidRPr="00D869E3">
        <w:rPr>
          <w:rFonts w:ascii="Verdana" w:hAnsi="Verdana"/>
          <w:sz w:val="20"/>
          <w:szCs w:val="20"/>
          <w:lang w:val="en-US"/>
        </w:rPr>
        <w:t xml:space="preserve">, </w:t>
      </w:r>
      <w:r w:rsidR="00185A57" w:rsidRPr="00D869E3">
        <w:rPr>
          <w:rFonts w:ascii="Verdana" w:hAnsi="Verdana"/>
          <w:sz w:val="20"/>
          <w:szCs w:val="20"/>
          <w:lang w:val="en-US"/>
        </w:rPr>
        <w:t>the Inter-American Court</w:t>
      </w:r>
      <w:r w:rsidR="00F83E8F" w:rsidRPr="00D869E3">
        <w:rPr>
          <w:rFonts w:ascii="Verdana" w:hAnsi="Verdana"/>
          <w:sz w:val="20"/>
          <w:szCs w:val="20"/>
          <w:lang w:val="en-US"/>
        </w:rPr>
        <w:t xml:space="preserve"> consider</w:t>
      </w:r>
      <w:r w:rsidRPr="00D869E3">
        <w:rPr>
          <w:rFonts w:ascii="Verdana" w:hAnsi="Verdana"/>
          <w:sz w:val="20"/>
          <w:szCs w:val="20"/>
          <w:lang w:val="en-US"/>
        </w:rPr>
        <w:t>ed that</w:t>
      </w:r>
      <w:r w:rsidR="00F83E8F" w:rsidRPr="00D869E3">
        <w:rPr>
          <w:rFonts w:ascii="Verdana" w:hAnsi="Verdana"/>
          <w:sz w:val="20"/>
          <w:szCs w:val="20"/>
          <w:lang w:val="en-US"/>
        </w:rPr>
        <w:t xml:space="preserve"> </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 16 </w:t>
      </w:r>
      <w:r w:rsidR="00671B14" w:rsidRPr="00D869E3">
        <w:rPr>
          <w:rFonts w:ascii="Verdana" w:hAnsi="Verdana"/>
          <w:sz w:val="20"/>
          <w:szCs w:val="20"/>
          <w:lang w:val="en-US"/>
        </w:rPr>
        <w:t>of the Pact of San José</w:t>
      </w:r>
      <w:r w:rsidRPr="00D869E3">
        <w:rPr>
          <w:rFonts w:ascii="Verdana" w:hAnsi="Verdana"/>
          <w:sz w:val="20"/>
          <w:szCs w:val="20"/>
          <w:lang w:val="en-US"/>
        </w:rPr>
        <w:t xml:space="preserve"> had been violated</w:t>
      </w:r>
      <w:r w:rsidR="00971A6D" w:rsidRPr="00D869E3">
        <w:rPr>
          <w:rFonts w:ascii="Verdana" w:hAnsi="Verdana"/>
          <w:sz w:val="20"/>
          <w:szCs w:val="20"/>
          <w:lang w:val="en-US"/>
        </w:rPr>
        <w:t>, because the execution of the victims had an intimidating and frightening effect on the workers members of the Peruvian mining unions. Those executions not only restricted the freedom of a specific group to associate freely without fear, but they affected the freedom of the miners to exercise this right.</w:t>
      </w:r>
      <w:r w:rsidR="00F83E8F" w:rsidRPr="00D869E3">
        <w:rPr>
          <w:rStyle w:val="Refdenotaalpie"/>
          <w:szCs w:val="20"/>
          <w:lang w:val="en-US"/>
        </w:rPr>
        <w:footnoteReference w:id="331"/>
      </w:r>
      <w:r w:rsidR="00F83E8F" w:rsidRPr="00D869E3">
        <w:rPr>
          <w:rFonts w:ascii="Verdana" w:hAnsi="Verdana"/>
          <w:b/>
          <w:sz w:val="20"/>
          <w:szCs w:val="20"/>
          <w:lang w:val="en-US"/>
        </w:rPr>
        <w:t xml:space="preserve"> </w:t>
      </w:r>
      <w:r w:rsidR="00971A6D" w:rsidRPr="00D869E3">
        <w:rPr>
          <w:rFonts w:ascii="Verdana" w:hAnsi="Verdana"/>
          <w:sz w:val="20"/>
          <w:szCs w:val="20"/>
          <w:lang w:val="en-US"/>
        </w:rPr>
        <w:t>I</w:t>
      </w:r>
      <w:r w:rsidR="00F83E8F" w:rsidRPr="00D869E3">
        <w:rPr>
          <w:rFonts w:ascii="Verdana" w:hAnsi="Verdana"/>
          <w:sz w:val="20"/>
          <w:szCs w:val="20"/>
          <w:lang w:val="en-US"/>
        </w:rPr>
        <w:t xml:space="preserve">n </w:t>
      </w:r>
      <w:r w:rsidR="00971A6D" w:rsidRPr="00D869E3">
        <w:rPr>
          <w:rFonts w:ascii="Verdana" w:hAnsi="Verdana"/>
          <w:sz w:val="20"/>
          <w:szCs w:val="20"/>
          <w:lang w:val="en-US"/>
        </w:rPr>
        <w:t>this case,</w:t>
      </w:r>
      <w:r w:rsidR="00F83E8F" w:rsidRPr="00D869E3">
        <w:rPr>
          <w:rFonts w:ascii="Verdana" w:hAnsi="Verdana"/>
          <w:sz w:val="20"/>
          <w:szCs w:val="20"/>
          <w:lang w:val="en-US"/>
        </w:rPr>
        <w:t xml:space="preserve"> </w:t>
      </w:r>
      <w:r w:rsidR="00671B14" w:rsidRPr="00D869E3">
        <w:rPr>
          <w:rFonts w:ascii="Verdana" w:hAnsi="Verdana"/>
          <w:sz w:val="20"/>
          <w:szCs w:val="20"/>
          <w:lang w:val="en-US"/>
        </w:rPr>
        <w:t>the Inter-American Court</w:t>
      </w:r>
      <w:r w:rsidR="00F83E8F" w:rsidRPr="00D869E3">
        <w:rPr>
          <w:rFonts w:ascii="Verdana" w:hAnsi="Verdana"/>
          <w:sz w:val="20"/>
          <w:szCs w:val="20"/>
          <w:lang w:val="en-US"/>
        </w:rPr>
        <w:t xml:space="preserve"> </w:t>
      </w:r>
      <w:r w:rsidR="00971A6D" w:rsidRPr="00D869E3">
        <w:rPr>
          <w:rFonts w:ascii="Verdana" w:hAnsi="Verdana"/>
          <w:sz w:val="20"/>
          <w:szCs w:val="20"/>
          <w:lang w:val="en-US"/>
        </w:rPr>
        <w:t>made a distinction between the two types of obligations (negative and positive) that are present in Article 16, considering that:</w:t>
      </w:r>
    </w:p>
    <w:p w14:paraId="704F12E3" w14:textId="77777777" w:rsidR="00F83E8F" w:rsidRPr="00D869E3" w:rsidRDefault="00F83E8F" w:rsidP="00F83E8F">
      <w:pPr>
        <w:jc w:val="both"/>
        <w:rPr>
          <w:rFonts w:ascii="Verdana" w:hAnsi="Verdana"/>
          <w:i/>
          <w:sz w:val="20"/>
          <w:szCs w:val="20"/>
          <w:lang w:val="en-US"/>
        </w:rPr>
      </w:pPr>
    </w:p>
    <w:p w14:paraId="249483CE" w14:textId="1AEF6E7B" w:rsidR="00F83E8F" w:rsidRPr="00D869E3" w:rsidRDefault="00F83E8F" w:rsidP="00971A6D">
      <w:pPr>
        <w:autoSpaceDE w:val="0"/>
        <w:autoSpaceDN w:val="0"/>
        <w:adjustRightInd w:val="0"/>
        <w:ind w:left="720" w:right="540"/>
        <w:jc w:val="both"/>
        <w:rPr>
          <w:rFonts w:ascii="Verdana" w:eastAsiaTheme="minorHAnsi" w:hAnsi="Verdana" w:cs="Arial"/>
          <w:sz w:val="16"/>
          <w:szCs w:val="16"/>
          <w:lang w:val="en-US"/>
        </w:rPr>
      </w:pPr>
      <w:r w:rsidRPr="00D869E3">
        <w:rPr>
          <w:rFonts w:ascii="Verdana" w:hAnsi="Verdana"/>
          <w:sz w:val="16"/>
          <w:szCs w:val="16"/>
          <w:lang w:val="en-US"/>
        </w:rPr>
        <w:t xml:space="preserve">144.  </w:t>
      </w:r>
      <w:r w:rsidR="00971A6D" w:rsidRPr="00D869E3">
        <w:rPr>
          <w:rFonts w:ascii="Verdana" w:hAnsi="Verdana" w:cs="Arial"/>
          <w:sz w:val="16"/>
          <w:szCs w:val="16"/>
          <w:lang w:val="en-US"/>
        </w:rPr>
        <w:t xml:space="preserve">Article 16(1) of the Convention establishes that those who are subject to the jurisdiction of the States Parties </w:t>
      </w:r>
      <w:r w:rsidR="00971A6D" w:rsidRPr="00D869E3">
        <w:rPr>
          <w:rFonts w:ascii="Verdana" w:hAnsi="Verdana" w:cs="Arial"/>
          <w:sz w:val="16"/>
          <w:szCs w:val="16"/>
          <w:u w:val="single"/>
          <w:lang w:val="en-US"/>
        </w:rPr>
        <w:t xml:space="preserve">have the right to associate freely with other persons, without the intervention of the public authorities limiting or obstructing the exercise of this right. In addition, they have the right and the freedom to associate in order to seek together a lawful purpose, without pressure or interference that can alter or denature this purpose. </w:t>
      </w:r>
      <w:r w:rsidR="00971A6D" w:rsidRPr="00D869E3">
        <w:rPr>
          <w:rFonts w:ascii="Verdana" w:hAnsi="Verdana" w:cs="Arial"/>
          <w:sz w:val="16"/>
          <w:szCs w:val="16"/>
          <w:lang w:val="en-US"/>
        </w:rPr>
        <w:t xml:space="preserve">In addition to these negative obligations, freedom of association </w:t>
      </w:r>
      <w:r w:rsidR="00971A6D" w:rsidRPr="00D869E3">
        <w:rPr>
          <w:rFonts w:ascii="Verdana" w:hAnsi="Verdana" w:cs="Arial"/>
          <w:sz w:val="16"/>
          <w:szCs w:val="16"/>
          <w:u w:val="single"/>
          <w:lang w:val="en-US"/>
        </w:rPr>
        <w:t>also gives rise to positive obligations, such as to prevent attacks on it, to protect those who exercise it, and to investigate violations. These positive obligations must be adopted, even in the sphere of relations between individuals, if the case merits it.</w:t>
      </w:r>
      <w:r w:rsidR="00971A6D" w:rsidRPr="00D869E3">
        <w:rPr>
          <w:rFonts w:ascii="Verdana" w:hAnsi="Verdana" w:cs="Arial"/>
          <w:sz w:val="16"/>
          <w:szCs w:val="16"/>
          <w:lang w:val="en-US"/>
        </w:rPr>
        <w:t xml:space="preserve"> As it has determined in other cases, the Court considers that the sphere of protection of Article 16(1) includes the exercise of the right to organize trade unions.</w:t>
      </w:r>
      <w:r w:rsidRPr="00D869E3">
        <w:rPr>
          <w:rStyle w:val="Refdenotaalpie"/>
          <w:rFonts w:eastAsiaTheme="majorEastAsia"/>
          <w:sz w:val="16"/>
          <w:szCs w:val="16"/>
          <w:lang w:val="en-US"/>
        </w:rPr>
        <w:footnoteReference w:id="332"/>
      </w:r>
      <w:r w:rsidRPr="00D869E3">
        <w:rPr>
          <w:rFonts w:ascii="Verdana" w:hAnsi="Verdana"/>
          <w:sz w:val="16"/>
          <w:szCs w:val="16"/>
          <w:lang w:val="en-US"/>
        </w:rPr>
        <w:t xml:space="preserve"> </w:t>
      </w:r>
    </w:p>
    <w:p w14:paraId="70913A8B" w14:textId="77777777" w:rsidR="00F83E8F" w:rsidRPr="00D869E3" w:rsidRDefault="00F83E8F" w:rsidP="00F83E8F">
      <w:pPr>
        <w:pStyle w:val="NormalWeb"/>
        <w:spacing w:before="0" w:beforeAutospacing="0" w:after="0" w:afterAutospacing="0"/>
        <w:ind w:right="567"/>
        <w:jc w:val="both"/>
        <w:rPr>
          <w:rFonts w:ascii="Verdana" w:hAnsi="Verdana"/>
          <w:sz w:val="16"/>
          <w:szCs w:val="16"/>
          <w:lang w:val="en-US"/>
        </w:rPr>
      </w:pPr>
    </w:p>
    <w:p w14:paraId="0E7FD5FE" w14:textId="63A634AB" w:rsidR="00F83E8F" w:rsidRPr="00D869E3" w:rsidRDefault="00971A6D" w:rsidP="00C25DAC">
      <w:pPr>
        <w:pStyle w:val="Prrafodelista"/>
        <w:widowControl w:val="0"/>
        <w:numPr>
          <w:ilvl w:val="0"/>
          <w:numId w:val="28"/>
        </w:numPr>
        <w:autoSpaceDE w:val="0"/>
        <w:autoSpaceDN w:val="0"/>
        <w:adjustRightInd w:val="0"/>
        <w:ind w:left="0" w:right="49" w:firstLine="0"/>
        <w:jc w:val="both"/>
        <w:rPr>
          <w:rFonts w:ascii="Verdana" w:hAnsi="Verdana"/>
          <w:sz w:val="20"/>
          <w:szCs w:val="20"/>
          <w:lang w:val="en-US"/>
        </w:rPr>
      </w:pPr>
      <w:r w:rsidRPr="00D869E3">
        <w:rPr>
          <w:rFonts w:ascii="Verdana" w:hAnsi="Verdana"/>
          <w:sz w:val="20"/>
          <w:szCs w:val="20"/>
          <w:lang w:val="en-US"/>
        </w:rPr>
        <w:t>Also</w:t>
      </w:r>
      <w:r w:rsidR="00F83E8F" w:rsidRPr="00D869E3">
        <w:rPr>
          <w:rFonts w:ascii="Verdana" w:hAnsi="Verdana"/>
          <w:sz w:val="20"/>
          <w:szCs w:val="20"/>
          <w:lang w:val="en-US"/>
        </w:rPr>
        <w:t xml:space="preserve">, </w:t>
      </w:r>
      <w:r w:rsidRPr="00D869E3">
        <w:rPr>
          <w:rFonts w:ascii="Verdana" w:hAnsi="Verdana"/>
          <w:sz w:val="20"/>
          <w:szCs w:val="20"/>
          <w:lang w:val="en-US"/>
        </w:rPr>
        <w:t>in</w:t>
      </w:r>
      <w:r w:rsidR="00F83E8F" w:rsidRPr="00D869E3">
        <w:rPr>
          <w:rFonts w:ascii="Verdana" w:hAnsi="Verdana"/>
          <w:sz w:val="20"/>
          <w:szCs w:val="20"/>
          <w:lang w:val="en-US"/>
        </w:rPr>
        <w:t xml:space="preserve"> </w:t>
      </w:r>
      <w:r w:rsidR="0087339F" w:rsidRPr="00D869E3">
        <w:rPr>
          <w:rFonts w:ascii="Verdana" w:hAnsi="Verdana"/>
          <w:sz w:val="20"/>
          <w:szCs w:val="20"/>
          <w:lang w:val="en-US"/>
        </w:rPr>
        <w:t>Advisory Opinion</w:t>
      </w:r>
      <w:r w:rsidR="00F83E8F" w:rsidRPr="00D869E3">
        <w:rPr>
          <w:rFonts w:ascii="Verdana" w:hAnsi="Verdana"/>
          <w:sz w:val="20"/>
          <w:szCs w:val="20"/>
          <w:lang w:val="en-US"/>
        </w:rPr>
        <w:t xml:space="preserve"> No. 22 </w:t>
      </w:r>
      <w:r w:rsidRPr="00D869E3">
        <w:rPr>
          <w:rFonts w:ascii="Verdana" w:hAnsi="Verdana"/>
          <w:sz w:val="20"/>
          <w:szCs w:val="20"/>
          <w:lang w:val="en-US"/>
        </w:rPr>
        <w:t>on the</w:t>
      </w:r>
      <w:r w:rsidR="00BC51EE" w:rsidRPr="00D869E3">
        <w:rPr>
          <w:rFonts w:ascii="Verdana" w:hAnsi="Verdana"/>
          <w:sz w:val="20"/>
          <w:szCs w:val="20"/>
          <w:lang w:val="en-US"/>
        </w:rPr>
        <w:t xml:space="preserve"> </w:t>
      </w:r>
      <w:r w:rsidR="00BC51EE" w:rsidRPr="00D869E3">
        <w:rPr>
          <w:rFonts w:ascii="Verdana" w:hAnsi="Verdana"/>
          <w:i/>
          <w:iCs/>
          <w:sz w:val="20"/>
          <w:szCs w:val="20"/>
          <w:lang w:val="en-US"/>
        </w:rPr>
        <w:t xml:space="preserve">Entitlement of Legal Entities to Hold Rights under the Inter-American Human Rights System, </w:t>
      </w:r>
      <w:r w:rsidR="00BC51EE" w:rsidRPr="00D869E3">
        <w:rPr>
          <w:rFonts w:ascii="Verdana" w:hAnsi="Verdana"/>
          <w:sz w:val="20"/>
          <w:szCs w:val="20"/>
          <w:lang w:val="en-US"/>
        </w:rPr>
        <w:t xml:space="preserve">the </w:t>
      </w:r>
      <w:r w:rsidR="00185A57" w:rsidRPr="00D869E3">
        <w:rPr>
          <w:rFonts w:ascii="Verdana" w:hAnsi="Verdana"/>
          <w:sz w:val="20"/>
          <w:szCs w:val="20"/>
          <w:lang w:val="en-US"/>
        </w:rPr>
        <w:t>Inter-American Court</w:t>
      </w:r>
      <w:r w:rsidR="00F83E8F" w:rsidRPr="00D869E3">
        <w:rPr>
          <w:rFonts w:ascii="Verdana" w:hAnsi="Verdana"/>
          <w:sz w:val="20"/>
          <w:szCs w:val="20"/>
          <w:lang w:val="en-US"/>
        </w:rPr>
        <w:t xml:space="preserve"> consider</w:t>
      </w:r>
      <w:r w:rsidRPr="00D869E3">
        <w:rPr>
          <w:rFonts w:ascii="Verdana" w:hAnsi="Verdana"/>
          <w:sz w:val="20"/>
          <w:szCs w:val="20"/>
          <w:lang w:val="en-US"/>
        </w:rPr>
        <w:t>ed that</w:t>
      </w:r>
      <w:r w:rsidR="00F83E8F" w:rsidRPr="00D869E3">
        <w:rPr>
          <w:rFonts w:ascii="Verdana" w:hAnsi="Verdana"/>
          <w:sz w:val="20"/>
          <w:szCs w:val="20"/>
          <w:lang w:val="en-US"/>
        </w:rPr>
        <w:t xml:space="preserve"> </w:t>
      </w:r>
      <w:r w:rsidR="006436CA" w:rsidRPr="00D869E3">
        <w:rPr>
          <w:rFonts w:ascii="Verdana" w:hAnsi="Verdana"/>
          <w:sz w:val="20"/>
          <w:szCs w:val="20"/>
          <w:lang w:val="en-US"/>
        </w:rPr>
        <w:t>“</w:t>
      </w:r>
      <w:r w:rsidRPr="00D869E3">
        <w:rPr>
          <w:rFonts w:ascii="Verdana" w:hAnsi="Verdana"/>
          <w:sz w:val="20"/>
          <w:szCs w:val="20"/>
          <w:lang w:val="en-US"/>
        </w:rPr>
        <w:t>when</w:t>
      </w:r>
      <w:r w:rsidR="00F83E8F" w:rsidRPr="00D869E3">
        <w:rPr>
          <w:rFonts w:ascii="Verdana" w:hAnsi="Verdana"/>
          <w:sz w:val="20"/>
          <w:szCs w:val="20"/>
          <w:lang w:val="en-US"/>
        </w:rPr>
        <w:t xml:space="preserve"> </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 </w:t>
      </w:r>
      <w:r w:rsidR="00687684" w:rsidRPr="00D869E3">
        <w:rPr>
          <w:rFonts w:ascii="Verdana" w:hAnsi="Verdana"/>
          <w:sz w:val="20"/>
          <w:szCs w:val="20"/>
          <w:lang w:val="en-US"/>
        </w:rPr>
        <w:t>8(1)</w:t>
      </w:r>
      <w:r w:rsidRPr="00D869E3">
        <w:rPr>
          <w:rFonts w:ascii="Verdana" w:hAnsi="Verdana"/>
          <w:sz w:val="20"/>
          <w:szCs w:val="20"/>
          <w:lang w:val="en-US"/>
        </w:rPr>
        <w:t>(</w:t>
      </w:r>
      <w:r w:rsidR="00F83E8F" w:rsidRPr="00D869E3">
        <w:rPr>
          <w:rFonts w:ascii="Verdana" w:hAnsi="Verdana"/>
          <w:sz w:val="20"/>
          <w:szCs w:val="20"/>
          <w:lang w:val="en-US"/>
        </w:rPr>
        <w:t>a</w:t>
      </w:r>
      <w:r w:rsidRPr="00D869E3">
        <w:rPr>
          <w:rFonts w:ascii="Verdana" w:hAnsi="Verdana"/>
          <w:sz w:val="20"/>
          <w:szCs w:val="20"/>
          <w:lang w:val="en-US"/>
        </w:rPr>
        <w:t>)</w:t>
      </w:r>
      <w:r w:rsidR="00F83E8F" w:rsidRPr="00D869E3">
        <w:rPr>
          <w:rFonts w:ascii="Verdana" w:hAnsi="Verdana"/>
          <w:sz w:val="20"/>
          <w:szCs w:val="20"/>
          <w:lang w:val="en-US"/>
        </w:rPr>
        <w:t xml:space="preserve"> indica</w:t>
      </w:r>
      <w:r w:rsidRPr="00D869E3">
        <w:rPr>
          <w:rFonts w:ascii="Verdana" w:hAnsi="Verdana"/>
          <w:sz w:val="20"/>
          <w:szCs w:val="20"/>
          <w:lang w:val="en-US"/>
        </w:rPr>
        <w:t>tes that ‘as an extensi</w:t>
      </w:r>
      <w:r w:rsidR="00C25DAC" w:rsidRPr="00D869E3">
        <w:rPr>
          <w:rFonts w:ascii="Verdana" w:hAnsi="Verdana"/>
          <w:sz w:val="20"/>
          <w:szCs w:val="20"/>
          <w:lang w:val="en-US"/>
        </w:rPr>
        <w:t>o</w:t>
      </w:r>
      <w:r w:rsidRPr="00D869E3">
        <w:rPr>
          <w:rFonts w:ascii="Verdana" w:hAnsi="Verdana"/>
          <w:sz w:val="20"/>
          <w:szCs w:val="20"/>
          <w:lang w:val="en-US"/>
        </w:rPr>
        <w:t>n of that right</w:t>
      </w:r>
      <w:r w:rsidR="00C25DAC" w:rsidRPr="00D869E3">
        <w:rPr>
          <w:rFonts w:ascii="Verdana" w:hAnsi="Verdana"/>
          <w:sz w:val="20"/>
          <w:szCs w:val="20"/>
          <w:lang w:val="en-US"/>
        </w:rPr>
        <w:t xml:space="preserve"> [of the workers]</w:t>
      </w:r>
      <w:r w:rsidRPr="00D869E3">
        <w:rPr>
          <w:rFonts w:ascii="Verdana" w:hAnsi="Verdana"/>
          <w:sz w:val="20"/>
          <w:szCs w:val="20"/>
          <w:lang w:val="en-US"/>
        </w:rPr>
        <w:t>, the States Parties shall permit trade uni</w:t>
      </w:r>
      <w:r w:rsidR="00C25DAC" w:rsidRPr="00D869E3">
        <w:rPr>
          <w:rFonts w:ascii="Verdana" w:hAnsi="Verdana"/>
          <w:sz w:val="20"/>
          <w:szCs w:val="20"/>
          <w:lang w:val="en-US"/>
        </w:rPr>
        <w:t>o</w:t>
      </w:r>
      <w:r w:rsidRPr="00D869E3">
        <w:rPr>
          <w:rFonts w:ascii="Verdana" w:hAnsi="Verdana"/>
          <w:sz w:val="20"/>
          <w:szCs w:val="20"/>
          <w:lang w:val="en-US"/>
        </w:rPr>
        <w:t>ns</w:t>
      </w:r>
      <w:r w:rsidR="00C25DAC" w:rsidRPr="00D869E3">
        <w:rPr>
          <w:rFonts w:ascii="Verdana" w:hAnsi="Verdana"/>
          <w:sz w:val="20"/>
          <w:szCs w:val="20"/>
          <w:lang w:val="en-US"/>
        </w:rPr>
        <w:t>,</w:t>
      </w:r>
      <w:r w:rsidRPr="00D869E3">
        <w:rPr>
          <w:rFonts w:ascii="Verdana" w:hAnsi="Verdana"/>
          <w:sz w:val="20"/>
          <w:szCs w:val="20"/>
          <w:lang w:val="en-US"/>
        </w:rPr>
        <w:t xml:space="preserve"> federations </w:t>
      </w:r>
      <w:r w:rsidR="00C25DAC" w:rsidRPr="00D869E3">
        <w:rPr>
          <w:rFonts w:ascii="Verdana" w:hAnsi="Verdana"/>
          <w:sz w:val="20"/>
          <w:szCs w:val="20"/>
          <w:lang w:val="en-US"/>
        </w:rPr>
        <w:t>and</w:t>
      </w:r>
      <w:r w:rsidRPr="00D869E3">
        <w:rPr>
          <w:rFonts w:ascii="Verdana" w:hAnsi="Verdana"/>
          <w:sz w:val="20"/>
          <w:szCs w:val="20"/>
          <w:lang w:val="en-US"/>
        </w:rPr>
        <w:t xml:space="preserve"> confederations</w:t>
      </w:r>
      <w:r w:rsidR="00C25DAC" w:rsidRPr="00D869E3">
        <w:rPr>
          <w:rFonts w:ascii="Verdana" w:hAnsi="Verdana"/>
          <w:sz w:val="20"/>
          <w:szCs w:val="20"/>
          <w:lang w:val="en-US"/>
        </w:rPr>
        <w:t xml:space="preserve"> to function freely, and trade unions to associate and form national federations and confederations and international trade union organizations,’ what the </w:t>
      </w:r>
      <w:r w:rsidR="004860C3" w:rsidRPr="00D869E3">
        <w:rPr>
          <w:rFonts w:ascii="Verdana" w:hAnsi="Verdana"/>
          <w:sz w:val="20"/>
          <w:szCs w:val="20"/>
          <w:lang w:val="en-US"/>
        </w:rPr>
        <w:t>provision</w:t>
      </w:r>
      <w:r w:rsidR="00C25DAC" w:rsidRPr="00D869E3">
        <w:rPr>
          <w:rFonts w:ascii="Verdana" w:hAnsi="Verdana"/>
          <w:sz w:val="20"/>
          <w:szCs w:val="20"/>
          <w:lang w:val="en-US"/>
        </w:rPr>
        <w:t xml:space="preserve"> does is give a broader scope to the right of the workers than the mere fact of being able to organize unions and join the one they choose. The </w:t>
      </w:r>
      <w:r w:rsidR="00C25DAC" w:rsidRPr="00D869E3">
        <w:rPr>
          <w:rFonts w:ascii="Verdana" w:hAnsi="Verdana"/>
          <w:sz w:val="20"/>
          <w:szCs w:val="20"/>
          <w:lang w:val="en-US"/>
        </w:rPr>
        <w:lastRenderedPageBreak/>
        <w:t xml:space="preserve">Inter-American Court achieved this by specifying the minimum means by which the States should guarantee the exercise of this right. Consequently, the right that the provision </w:t>
      </w:r>
      <w:r w:rsidR="004860C3" w:rsidRPr="00D869E3">
        <w:rPr>
          <w:rFonts w:ascii="Verdana" w:hAnsi="Verdana"/>
          <w:sz w:val="20"/>
          <w:szCs w:val="20"/>
          <w:lang w:val="en-US"/>
        </w:rPr>
        <w:t>recognizes</w:t>
      </w:r>
      <w:r w:rsidR="00C25DAC" w:rsidRPr="00D869E3">
        <w:rPr>
          <w:rFonts w:ascii="Verdana" w:hAnsi="Verdana"/>
          <w:sz w:val="20"/>
          <w:szCs w:val="20"/>
          <w:lang w:val="en-US"/>
        </w:rPr>
        <w:t xml:space="preserve"> in favor of the workers establishes a framework </w:t>
      </w:r>
      <w:r w:rsidR="004860C3" w:rsidRPr="00D869E3">
        <w:rPr>
          <w:rFonts w:ascii="Verdana" w:hAnsi="Verdana"/>
          <w:sz w:val="20"/>
          <w:szCs w:val="20"/>
          <w:lang w:val="en-US"/>
        </w:rPr>
        <w:t>under</w:t>
      </w:r>
      <w:r w:rsidR="00C25DAC" w:rsidRPr="00D869E3">
        <w:rPr>
          <w:rFonts w:ascii="Verdana" w:hAnsi="Verdana"/>
          <w:sz w:val="20"/>
          <w:szCs w:val="20"/>
          <w:lang w:val="en-US"/>
        </w:rPr>
        <w:t xml:space="preserve"> which more specific rights are generated for labor or trade unions, federations and confederations as autonomous subjects of rights, the purpose of which is to allow them to be interlocutors for their members</w:t>
      </w:r>
      <w:r w:rsidR="004860C3" w:rsidRPr="00D869E3">
        <w:rPr>
          <w:rFonts w:ascii="Verdana" w:hAnsi="Verdana"/>
          <w:sz w:val="20"/>
          <w:szCs w:val="20"/>
          <w:lang w:val="en-US"/>
        </w:rPr>
        <w:t xml:space="preserve"> and, through this function,</w:t>
      </w:r>
      <w:r w:rsidR="00C25DAC" w:rsidRPr="00D869E3">
        <w:rPr>
          <w:rFonts w:ascii="Verdana" w:hAnsi="Verdana"/>
          <w:sz w:val="20"/>
          <w:szCs w:val="20"/>
          <w:lang w:val="en-US"/>
        </w:rPr>
        <w:t xml:space="preserve"> facilitating a </w:t>
      </w:r>
      <w:r w:rsidR="004860C3" w:rsidRPr="00D869E3">
        <w:rPr>
          <w:rFonts w:ascii="Verdana" w:hAnsi="Verdana"/>
          <w:sz w:val="20"/>
          <w:szCs w:val="20"/>
          <w:lang w:val="en-US"/>
        </w:rPr>
        <w:t>more</w:t>
      </w:r>
      <w:r w:rsidR="00C25DAC" w:rsidRPr="00D869E3">
        <w:rPr>
          <w:rFonts w:ascii="Verdana" w:hAnsi="Verdana"/>
          <w:sz w:val="20"/>
          <w:szCs w:val="20"/>
          <w:lang w:val="en-US"/>
        </w:rPr>
        <w:t xml:space="preserve"> extensive protection and the effective enjoyment of th</w:t>
      </w:r>
      <w:r w:rsidR="004860C3" w:rsidRPr="00D869E3">
        <w:rPr>
          <w:rFonts w:ascii="Verdana" w:hAnsi="Verdana"/>
          <w:sz w:val="20"/>
          <w:szCs w:val="20"/>
          <w:lang w:val="en-US"/>
        </w:rPr>
        <w:t>is</w:t>
      </w:r>
      <w:r w:rsidR="00C25DAC" w:rsidRPr="00D869E3">
        <w:rPr>
          <w:rFonts w:ascii="Verdana" w:hAnsi="Verdana"/>
          <w:sz w:val="20"/>
          <w:szCs w:val="20"/>
          <w:lang w:val="en-US"/>
        </w:rPr>
        <w:t xml:space="preserve"> right of the workers.</w:t>
      </w:r>
      <w:r w:rsidR="006436CA" w:rsidRPr="00D869E3">
        <w:rPr>
          <w:rFonts w:ascii="Verdana" w:hAnsi="Verdana"/>
          <w:sz w:val="20"/>
          <w:szCs w:val="20"/>
          <w:lang w:val="en-US"/>
        </w:rPr>
        <w:t>”</w:t>
      </w:r>
      <w:r w:rsidR="00F83E8F" w:rsidRPr="00D869E3">
        <w:rPr>
          <w:rStyle w:val="Refdenotaalpie"/>
          <w:szCs w:val="20"/>
          <w:lang w:val="en-US"/>
        </w:rPr>
        <w:footnoteReference w:id="333"/>
      </w:r>
      <w:r w:rsidR="00F83E8F" w:rsidRPr="00D869E3">
        <w:rPr>
          <w:rFonts w:ascii="Verdana" w:hAnsi="Verdana"/>
          <w:sz w:val="20"/>
          <w:szCs w:val="20"/>
          <w:lang w:val="en-US"/>
        </w:rPr>
        <w:t xml:space="preserve">  </w:t>
      </w:r>
    </w:p>
    <w:p w14:paraId="59412F8A" w14:textId="77777777" w:rsidR="00F83E8F" w:rsidRPr="00D869E3" w:rsidRDefault="00F83E8F" w:rsidP="00F83E8F">
      <w:pPr>
        <w:pStyle w:val="Prrafodelista"/>
        <w:widowControl w:val="0"/>
        <w:autoSpaceDE w:val="0"/>
        <w:autoSpaceDN w:val="0"/>
        <w:adjustRightInd w:val="0"/>
        <w:ind w:left="0" w:right="49"/>
        <w:jc w:val="both"/>
        <w:rPr>
          <w:rFonts w:ascii="Verdana" w:hAnsi="Verdana"/>
          <w:sz w:val="20"/>
          <w:szCs w:val="20"/>
          <w:lang w:val="en-US"/>
        </w:rPr>
      </w:pPr>
    </w:p>
    <w:p w14:paraId="34C998CD" w14:textId="2291EC5C" w:rsidR="00F83E8F" w:rsidRPr="00D869E3" w:rsidRDefault="00C25DAC" w:rsidP="00DB55F5">
      <w:pPr>
        <w:pStyle w:val="Prrafodelista"/>
        <w:widowControl w:val="0"/>
        <w:numPr>
          <w:ilvl w:val="0"/>
          <w:numId w:val="28"/>
        </w:numPr>
        <w:autoSpaceDE w:val="0"/>
        <w:autoSpaceDN w:val="0"/>
        <w:adjustRightInd w:val="0"/>
        <w:ind w:left="0" w:right="49" w:firstLine="0"/>
        <w:jc w:val="both"/>
        <w:rPr>
          <w:rFonts w:ascii="Verdana" w:hAnsi="Verdana"/>
          <w:sz w:val="20"/>
          <w:szCs w:val="20"/>
          <w:lang w:val="en-US"/>
        </w:rPr>
      </w:pPr>
      <w:r w:rsidRPr="00D869E3">
        <w:rPr>
          <w:rFonts w:ascii="Verdana" w:hAnsi="Verdana"/>
          <w:sz w:val="20"/>
          <w:szCs w:val="20"/>
          <w:lang w:val="en-US"/>
        </w:rPr>
        <w:t xml:space="preserve">In sum, the right to freedom of association </w:t>
      </w:r>
      <w:r w:rsidR="00DB55F5" w:rsidRPr="00D869E3">
        <w:rPr>
          <w:rFonts w:ascii="Verdana" w:hAnsi="Verdana"/>
          <w:sz w:val="20"/>
          <w:szCs w:val="20"/>
          <w:lang w:val="en-US"/>
        </w:rPr>
        <w:t xml:space="preserve">has been protected by connectivity, subsuming it in the right to freedom of association recognized in </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 16</w:t>
      </w:r>
      <w:r w:rsidR="00447C65" w:rsidRPr="00D869E3">
        <w:rPr>
          <w:rFonts w:ascii="Verdana" w:hAnsi="Verdana"/>
          <w:sz w:val="20"/>
          <w:szCs w:val="20"/>
          <w:lang w:val="en-US"/>
        </w:rPr>
        <w:t xml:space="preserve"> of the American Convention</w:t>
      </w:r>
      <w:r w:rsidR="00F83E8F" w:rsidRPr="00D869E3">
        <w:rPr>
          <w:rFonts w:ascii="Verdana" w:hAnsi="Verdana"/>
          <w:sz w:val="20"/>
          <w:szCs w:val="20"/>
          <w:lang w:val="en-US"/>
        </w:rPr>
        <w:t xml:space="preserve"> (</w:t>
      </w:r>
      <w:r w:rsidR="00DB55F5" w:rsidRPr="00D869E3">
        <w:rPr>
          <w:rFonts w:ascii="Verdana" w:hAnsi="Verdana"/>
          <w:sz w:val="20"/>
          <w:szCs w:val="20"/>
          <w:lang w:val="en-US"/>
        </w:rPr>
        <w:t xml:space="preserve">indirect </w:t>
      </w:r>
      <w:r w:rsidR="00F83E8F" w:rsidRPr="00D869E3">
        <w:rPr>
          <w:rFonts w:ascii="Verdana" w:hAnsi="Verdana"/>
          <w:sz w:val="20"/>
          <w:szCs w:val="20"/>
          <w:lang w:val="en-US"/>
        </w:rPr>
        <w:t>justiciabili</w:t>
      </w:r>
      <w:r w:rsidR="00DB55F5" w:rsidRPr="00D869E3">
        <w:rPr>
          <w:rFonts w:ascii="Verdana" w:hAnsi="Verdana"/>
          <w:sz w:val="20"/>
          <w:szCs w:val="20"/>
          <w:lang w:val="en-US"/>
        </w:rPr>
        <w:t xml:space="preserve">ty by connectivity). However, in the instant case, as we shall see in the following section, </w:t>
      </w:r>
      <w:r w:rsidR="00185A57" w:rsidRPr="00D869E3">
        <w:rPr>
          <w:rFonts w:ascii="Verdana" w:hAnsi="Verdana"/>
          <w:sz w:val="20"/>
          <w:szCs w:val="20"/>
          <w:lang w:val="en-US"/>
        </w:rPr>
        <w:t>the Inter-American Court</w:t>
      </w:r>
      <w:r w:rsidR="00DB55F5" w:rsidRPr="00D869E3">
        <w:rPr>
          <w:rFonts w:ascii="Verdana" w:hAnsi="Verdana"/>
          <w:sz w:val="20"/>
          <w:szCs w:val="20"/>
          <w:lang w:val="en-US"/>
        </w:rPr>
        <w:t xml:space="preserve"> extended the protection of labor associations and institutions that are not labor unions and</w:t>
      </w:r>
      <w:r w:rsidR="005E46C9" w:rsidRPr="00D869E3">
        <w:rPr>
          <w:rFonts w:ascii="Verdana" w:hAnsi="Verdana"/>
          <w:sz w:val="20"/>
          <w:szCs w:val="20"/>
          <w:lang w:val="en-US"/>
        </w:rPr>
        <w:t>,</w:t>
      </w:r>
      <w:r w:rsidR="00DB55F5" w:rsidRPr="00D869E3">
        <w:rPr>
          <w:rFonts w:ascii="Verdana" w:hAnsi="Verdana"/>
          <w:sz w:val="20"/>
          <w:szCs w:val="20"/>
          <w:lang w:val="en-US"/>
        </w:rPr>
        <w:t xml:space="preserve"> contrary to the cases referred to above</w:t>
      </w:r>
      <w:r w:rsidR="00F83E8F" w:rsidRPr="00D869E3">
        <w:rPr>
          <w:rFonts w:ascii="Verdana" w:hAnsi="Verdana"/>
          <w:sz w:val="20"/>
          <w:szCs w:val="20"/>
          <w:lang w:val="en-US"/>
        </w:rPr>
        <w:t xml:space="preserve">, </w:t>
      </w:r>
      <w:r w:rsidR="00671B14" w:rsidRPr="00D869E3">
        <w:rPr>
          <w:rFonts w:ascii="Verdana" w:hAnsi="Verdana"/>
          <w:sz w:val="20"/>
          <w:szCs w:val="20"/>
          <w:lang w:val="en-US"/>
        </w:rPr>
        <w:t>the Inter-American Court</w:t>
      </w:r>
      <w:r w:rsidR="00F83E8F" w:rsidRPr="00D869E3">
        <w:rPr>
          <w:rFonts w:ascii="Verdana" w:hAnsi="Verdana"/>
          <w:sz w:val="20"/>
          <w:szCs w:val="20"/>
          <w:lang w:val="en-US"/>
        </w:rPr>
        <w:t xml:space="preserve"> a</w:t>
      </w:r>
      <w:r w:rsidR="00DB55F5" w:rsidRPr="00D869E3">
        <w:rPr>
          <w:rFonts w:ascii="Verdana" w:hAnsi="Verdana"/>
          <w:sz w:val="20"/>
          <w:szCs w:val="20"/>
          <w:lang w:val="en-US"/>
        </w:rPr>
        <w:t>ddressed directly the right to</w:t>
      </w:r>
      <w:r w:rsidR="005E46C9" w:rsidRPr="00D869E3">
        <w:rPr>
          <w:rFonts w:ascii="Verdana" w:hAnsi="Verdana"/>
          <w:sz w:val="20"/>
          <w:szCs w:val="20"/>
          <w:lang w:val="en-US"/>
        </w:rPr>
        <w:t xml:space="preserve"> </w:t>
      </w:r>
      <w:r w:rsidR="0009733A" w:rsidRPr="00D869E3">
        <w:rPr>
          <w:rFonts w:ascii="Verdana" w:hAnsi="Verdana"/>
          <w:sz w:val="20"/>
          <w:szCs w:val="20"/>
          <w:lang w:val="en-US"/>
        </w:rPr>
        <w:t>the</w:t>
      </w:r>
      <w:r w:rsidR="00DB55F5" w:rsidRPr="00D869E3">
        <w:rPr>
          <w:rFonts w:ascii="Verdana" w:hAnsi="Verdana"/>
          <w:sz w:val="20"/>
          <w:szCs w:val="20"/>
          <w:lang w:val="en-US"/>
        </w:rPr>
        <w:t xml:space="preserve"> freedom of association</w:t>
      </w:r>
      <w:r w:rsidR="0009733A" w:rsidRPr="00D869E3">
        <w:rPr>
          <w:rFonts w:ascii="Verdana" w:hAnsi="Verdana"/>
          <w:sz w:val="20"/>
          <w:szCs w:val="20"/>
          <w:lang w:val="en-US"/>
        </w:rPr>
        <w:t xml:space="preserve"> of labor</w:t>
      </w:r>
      <w:r w:rsidR="005E46C9" w:rsidRPr="00D869E3">
        <w:rPr>
          <w:rFonts w:ascii="Verdana" w:hAnsi="Verdana"/>
          <w:sz w:val="20"/>
          <w:szCs w:val="20"/>
          <w:lang w:val="en-US"/>
        </w:rPr>
        <w:t xml:space="preserve"> </w:t>
      </w:r>
      <w:r w:rsidR="00DB55F5" w:rsidRPr="00D869E3">
        <w:rPr>
          <w:rFonts w:ascii="Verdana" w:hAnsi="Verdana"/>
          <w:i/>
          <w:iCs/>
          <w:sz w:val="20"/>
          <w:szCs w:val="20"/>
          <w:lang w:val="en-US"/>
        </w:rPr>
        <w:t>from the perspective</w:t>
      </w:r>
      <w:r w:rsidR="00DB55F5" w:rsidRPr="00D869E3">
        <w:rPr>
          <w:rFonts w:ascii="Verdana" w:hAnsi="Verdana"/>
          <w:sz w:val="20"/>
          <w:szCs w:val="20"/>
          <w:lang w:val="en-US"/>
        </w:rPr>
        <w:t xml:space="preserve"> </w:t>
      </w:r>
      <w:r w:rsidR="00687684" w:rsidRPr="00D869E3">
        <w:rPr>
          <w:rFonts w:ascii="Verdana" w:hAnsi="Verdana"/>
          <w:i/>
          <w:sz w:val="20"/>
          <w:szCs w:val="20"/>
          <w:lang w:val="en-US"/>
        </w:rPr>
        <w:t>of Article</w:t>
      </w:r>
      <w:r w:rsidR="00F83E8F" w:rsidRPr="00D869E3">
        <w:rPr>
          <w:rFonts w:ascii="Verdana" w:hAnsi="Verdana"/>
          <w:i/>
          <w:sz w:val="20"/>
          <w:szCs w:val="20"/>
          <w:lang w:val="en-US"/>
        </w:rPr>
        <w:t xml:space="preserve"> 26</w:t>
      </w:r>
      <w:r w:rsidR="00447C65" w:rsidRPr="00D869E3">
        <w:rPr>
          <w:rFonts w:ascii="Verdana" w:hAnsi="Verdana"/>
          <w:i/>
          <w:sz w:val="20"/>
          <w:szCs w:val="20"/>
          <w:lang w:val="en-US"/>
        </w:rPr>
        <w:t xml:space="preserve"> of the American Convention</w:t>
      </w:r>
      <w:r w:rsidR="00F83E8F" w:rsidRPr="00D869E3">
        <w:rPr>
          <w:rFonts w:ascii="Verdana" w:hAnsi="Verdana"/>
          <w:i/>
          <w:sz w:val="20"/>
          <w:szCs w:val="20"/>
          <w:lang w:val="en-US"/>
        </w:rPr>
        <w:t xml:space="preserve">. </w:t>
      </w:r>
      <w:r w:rsidR="00F83E8F" w:rsidRPr="00D869E3">
        <w:rPr>
          <w:rFonts w:ascii="Verdana" w:hAnsi="Verdana"/>
          <w:sz w:val="20"/>
          <w:szCs w:val="20"/>
          <w:lang w:val="en-US"/>
        </w:rPr>
        <w:t xml:space="preserve"> </w:t>
      </w:r>
    </w:p>
    <w:p w14:paraId="34F7B7E1" w14:textId="77777777" w:rsidR="00F83E8F" w:rsidRPr="00D869E3" w:rsidRDefault="00F83E8F" w:rsidP="00F83E8F">
      <w:pPr>
        <w:widowControl w:val="0"/>
        <w:autoSpaceDE w:val="0"/>
        <w:autoSpaceDN w:val="0"/>
        <w:adjustRightInd w:val="0"/>
        <w:ind w:right="49"/>
        <w:jc w:val="both"/>
        <w:rPr>
          <w:rFonts w:ascii="Verdana" w:hAnsi="Verdana"/>
          <w:sz w:val="20"/>
          <w:szCs w:val="20"/>
          <w:lang w:val="en-US"/>
        </w:rPr>
      </w:pPr>
    </w:p>
    <w:p w14:paraId="1E56108D" w14:textId="063545F4" w:rsidR="00F83E8F" w:rsidRPr="00D869E3" w:rsidRDefault="00F83E8F" w:rsidP="00F83E8F">
      <w:pPr>
        <w:pStyle w:val="Prrafodelista"/>
        <w:widowControl w:val="0"/>
        <w:autoSpaceDE w:val="0"/>
        <w:autoSpaceDN w:val="0"/>
        <w:adjustRightInd w:val="0"/>
        <w:ind w:left="0" w:right="51"/>
        <w:jc w:val="center"/>
        <w:rPr>
          <w:rFonts w:ascii="Verdana" w:hAnsi="Verdana"/>
          <w:b/>
          <w:sz w:val="20"/>
          <w:szCs w:val="20"/>
          <w:lang w:val="en-US"/>
        </w:rPr>
      </w:pPr>
      <w:r w:rsidRPr="00D869E3">
        <w:rPr>
          <w:rFonts w:ascii="Verdana" w:hAnsi="Verdana"/>
          <w:bCs/>
          <w:iCs/>
          <w:sz w:val="20"/>
          <w:szCs w:val="20"/>
          <w:lang w:val="en-US"/>
        </w:rPr>
        <w:t xml:space="preserve">III.  </w:t>
      </w:r>
      <w:r w:rsidR="000944EB" w:rsidRPr="00D869E3">
        <w:rPr>
          <w:rFonts w:ascii="Verdana" w:hAnsi="Verdana"/>
          <w:bCs/>
          <w:iCs/>
          <w:sz w:val="20"/>
          <w:szCs w:val="20"/>
          <w:lang w:val="en-US"/>
        </w:rPr>
        <w:t xml:space="preserve">THE RIGHT </w:t>
      </w:r>
      <w:r w:rsidR="005E46C9" w:rsidRPr="00D869E3">
        <w:rPr>
          <w:rFonts w:ascii="Verdana" w:hAnsi="Verdana"/>
          <w:bCs/>
          <w:iCs/>
          <w:sz w:val="20"/>
          <w:szCs w:val="20"/>
          <w:lang w:val="en-US"/>
        </w:rPr>
        <w:t>TO</w:t>
      </w:r>
      <w:r w:rsidR="000944EB" w:rsidRPr="00D869E3">
        <w:rPr>
          <w:rFonts w:ascii="Verdana" w:hAnsi="Verdana"/>
          <w:bCs/>
          <w:iCs/>
          <w:sz w:val="20"/>
          <w:szCs w:val="20"/>
          <w:lang w:val="en-US"/>
        </w:rPr>
        <w:t xml:space="preserve"> </w:t>
      </w:r>
      <w:r w:rsidR="005E46C9" w:rsidRPr="00D869E3">
        <w:rPr>
          <w:rFonts w:ascii="Verdana" w:hAnsi="Verdana"/>
          <w:bCs/>
          <w:iCs/>
          <w:sz w:val="20"/>
          <w:szCs w:val="20"/>
          <w:lang w:val="en-US"/>
        </w:rPr>
        <w:t xml:space="preserve">THE </w:t>
      </w:r>
      <w:r w:rsidR="002517A8" w:rsidRPr="00D869E3">
        <w:rPr>
          <w:rFonts w:ascii="Verdana" w:hAnsi="Verdana"/>
          <w:bCs/>
          <w:iCs/>
          <w:sz w:val="20"/>
          <w:szCs w:val="20"/>
          <w:lang w:val="en-US"/>
        </w:rPr>
        <w:t xml:space="preserve">FREEDOM OF </w:t>
      </w:r>
      <w:r w:rsidR="000944EB" w:rsidRPr="00D869E3">
        <w:rPr>
          <w:rFonts w:ascii="Verdana" w:hAnsi="Verdana"/>
          <w:bCs/>
          <w:iCs/>
          <w:sz w:val="20"/>
          <w:szCs w:val="20"/>
          <w:lang w:val="en-US"/>
        </w:rPr>
        <w:t xml:space="preserve">ASSOCIATION </w:t>
      </w:r>
      <w:r w:rsidR="005E46C9" w:rsidRPr="00D869E3">
        <w:rPr>
          <w:rFonts w:ascii="Verdana" w:hAnsi="Verdana"/>
          <w:bCs/>
          <w:iCs/>
          <w:sz w:val="20"/>
          <w:szCs w:val="20"/>
          <w:lang w:val="en-US"/>
        </w:rPr>
        <w:t xml:space="preserve">OF LABOR </w:t>
      </w:r>
      <w:r w:rsidR="000944EB" w:rsidRPr="00D869E3">
        <w:rPr>
          <w:rFonts w:ascii="Verdana" w:hAnsi="Verdana"/>
          <w:bCs/>
          <w:iCs/>
          <w:sz w:val="20"/>
          <w:szCs w:val="20"/>
          <w:lang w:val="en-US"/>
        </w:rPr>
        <w:t>FOR THE PROTECTION AND PROMOTION OF WORKERS’ INTERESTS AS PART OF THE RIGHT TO WORK</w:t>
      </w:r>
    </w:p>
    <w:p w14:paraId="66C5B495" w14:textId="77777777" w:rsidR="00F83E8F" w:rsidRPr="00D869E3" w:rsidRDefault="00F83E8F" w:rsidP="00F83E8F">
      <w:pPr>
        <w:pStyle w:val="Prrafodelista"/>
        <w:widowControl w:val="0"/>
        <w:autoSpaceDE w:val="0"/>
        <w:autoSpaceDN w:val="0"/>
        <w:adjustRightInd w:val="0"/>
        <w:ind w:left="0" w:right="51"/>
        <w:rPr>
          <w:rFonts w:ascii="Verdana" w:hAnsi="Verdana"/>
          <w:sz w:val="20"/>
          <w:szCs w:val="20"/>
          <w:lang w:val="en-US"/>
        </w:rPr>
      </w:pPr>
    </w:p>
    <w:p w14:paraId="49AD9D48" w14:textId="2958ABD3" w:rsidR="00F83E8F" w:rsidRPr="00D869E3" w:rsidRDefault="00DB55F5" w:rsidP="00E70701">
      <w:pPr>
        <w:pStyle w:val="Prrafodelista"/>
        <w:widowControl w:val="0"/>
        <w:numPr>
          <w:ilvl w:val="0"/>
          <w:numId w:val="28"/>
        </w:numPr>
        <w:autoSpaceDE w:val="0"/>
        <w:autoSpaceDN w:val="0"/>
        <w:adjustRightInd w:val="0"/>
        <w:ind w:left="0" w:right="49" w:firstLine="0"/>
        <w:jc w:val="both"/>
        <w:rPr>
          <w:rFonts w:ascii="Verdana" w:hAnsi="Verdana"/>
          <w:sz w:val="20"/>
          <w:szCs w:val="20"/>
          <w:lang w:val="en-US"/>
        </w:rPr>
      </w:pPr>
      <w:r w:rsidRPr="00D869E3">
        <w:rPr>
          <w:rFonts w:ascii="Verdana" w:hAnsi="Verdana"/>
          <w:sz w:val="20"/>
          <w:szCs w:val="20"/>
          <w:lang w:val="en-US"/>
        </w:rPr>
        <w:t>In the judgment</w:t>
      </w:r>
      <w:r w:rsidR="00F83E8F" w:rsidRPr="00D869E3">
        <w:rPr>
          <w:rFonts w:ascii="Verdana" w:hAnsi="Verdana"/>
          <w:sz w:val="20"/>
          <w:szCs w:val="20"/>
          <w:lang w:val="en-US"/>
        </w:rPr>
        <w:t xml:space="preserve">, </w:t>
      </w:r>
      <w:r w:rsidR="00671B14" w:rsidRPr="00D869E3">
        <w:rPr>
          <w:rFonts w:ascii="Verdana" w:hAnsi="Verdana"/>
          <w:sz w:val="20"/>
          <w:szCs w:val="20"/>
          <w:lang w:val="en-US"/>
        </w:rPr>
        <w:t>the Inter-American Court</w:t>
      </w:r>
      <w:r w:rsidR="00F83E8F" w:rsidRPr="00D869E3">
        <w:rPr>
          <w:rFonts w:ascii="Verdana" w:hAnsi="Verdana"/>
          <w:sz w:val="20"/>
          <w:szCs w:val="20"/>
          <w:lang w:val="en-US"/>
        </w:rPr>
        <w:t xml:space="preserve"> conclu</w:t>
      </w:r>
      <w:r w:rsidR="00804590" w:rsidRPr="00D869E3">
        <w:rPr>
          <w:rFonts w:ascii="Verdana" w:hAnsi="Verdana"/>
          <w:sz w:val="20"/>
          <w:szCs w:val="20"/>
          <w:lang w:val="en-US"/>
        </w:rPr>
        <w:t>ded that</w:t>
      </w:r>
      <w:r w:rsidR="00F83E8F" w:rsidRPr="00D869E3">
        <w:rPr>
          <w:rFonts w:ascii="Verdana" w:hAnsi="Verdana"/>
          <w:sz w:val="20"/>
          <w:szCs w:val="20"/>
          <w:lang w:val="en-US"/>
        </w:rPr>
        <w:t xml:space="preserve"> </w:t>
      </w:r>
      <w:r w:rsidR="00447C65" w:rsidRPr="00D869E3">
        <w:rPr>
          <w:rFonts w:ascii="Verdana" w:hAnsi="Verdana"/>
          <w:sz w:val="20"/>
          <w:szCs w:val="20"/>
          <w:lang w:val="en-US"/>
        </w:rPr>
        <w:t>Articles</w:t>
      </w:r>
      <w:r w:rsidR="00F83E8F" w:rsidRPr="00D869E3">
        <w:rPr>
          <w:rFonts w:ascii="Verdana" w:hAnsi="Verdana"/>
          <w:sz w:val="20"/>
          <w:szCs w:val="20"/>
          <w:lang w:val="en-US"/>
        </w:rPr>
        <w:t xml:space="preserve"> </w:t>
      </w:r>
      <w:r w:rsidR="00687684" w:rsidRPr="00D869E3">
        <w:rPr>
          <w:rFonts w:ascii="Verdana" w:hAnsi="Verdana"/>
          <w:sz w:val="20"/>
          <w:szCs w:val="20"/>
          <w:lang w:val="en-US"/>
        </w:rPr>
        <w:t xml:space="preserve">16(1) and </w:t>
      </w:r>
      <w:r w:rsidR="00F83E8F" w:rsidRPr="00D869E3">
        <w:rPr>
          <w:rFonts w:ascii="Verdana" w:hAnsi="Verdana"/>
          <w:sz w:val="20"/>
          <w:szCs w:val="20"/>
          <w:lang w:val="en-US"/>
        </w:rPr>
        <w:t>26</w:t>
      </w:r>
      <w:r w:rsidR="00447C65" w:rsidRPr="00D869E3">
        <w:rPr>
          <w:rFonts w:ascii="Verdana" w:hAnsi="Verdana"/>
          <w:sz w:val="20"/>
          <w:szCs w:val="20"/>
          <w:lang w:val="en-US"/>
        </w:rPr>
        <w:t xml:space="preserve"> of the American Convention</w:t>
      </w:r>
      <w:r w:rsidR="00804590" w:rsidRPr="00D869E3">
        <w:rPr>
          <w:rFonts w:ascii="Verdana" w:hAnsi="Verdana"/>
          <w:sz w:val="20"/>
          <w:szCs w:val="20"/>
          <w:lang w:val="en-US"/>
        </w:rPr>
        <w:t xml:space="preserve"> had been violated</w:t>
      </w:r>
      <w:r w:rsidR="00F83E8F" w:rsidRPr="00D869E3">
        <w:rPr>
          <w:rFonts w:ascii="Verdana" w:hAnsi="Verdana"/>
          <w:sz w:val="20"/>
          <w:szCs w:val="20"/>
          <w:lang w:val="en-US"/>
        </w:rPr>
        <w:t xml:space="preserve">, </w:t>
      </w:r>
      <w:r w:rsidR="00BB61A6" w:rsidRPr="00D869E3">
        <w:rPr>
          <w:rFonts w:ascii="Verdana" w:hAnsi="Verdana"/>
          <w:sz w:val="20"/>
          <w:szCs w:val="20"/>
          <w:lang w:val="en-US"/>
        </w:rPr>
        <w:t>in relation to</w:t>
      </w:r>
      <w:r w:rsidR="00F83E8F" w:rsidRPr="00D869E3">
        <w:rPr>
          <w:rFonts w:ascii="Verdana" w:hAnsi="Verdana"/>
          <w:sz w:val="20"/>
          <w:szCs w:val="20"/>
          <w:lang w:val="en-US"/>
        </w:rPr>
        <w:t xml:space="preserve"> </w:t>
      </w:r>
      <w:r w:rsidR="00447C65" w:rsidRPr="00D869E3">
        <w:rPr>
          <w:rFonts w:ascii="Verdana" w:hAnsi="Verdana"/>
          <w:sz w:val="20"/>
          <w:szCs w:val="20"/>
          <w:lang w:val="en-US"/>
        </w:rPr>
        <w:t>Articles</w:t>
      </w:r>
      <w:r w:rsidR="00F83E8F" w:rsidRPr="00D869E3">
        <w:rPr>
          <w:rFonts w:ascii="Verdana" w:hAnsi="Verdana"/>
          <w:sz w:val="20"/>
          <w:szCs w:val="20"/>
          <w:lang w:val="en-US"/>
        </w:rPr>
        <w:t xml:space="preserve"> 8, 11,</w:t>
      </w:r>
      <w:r w:rsidR="00687684" w:rsidRPr="00D869E3">
        <w:rPr>
          <w:rFonts w:ascii="Verdana" w:hAnsi="Verdana"/>
          <w:sz w:val="20"/>
          <w:szCs w:val="20"/>
          <w:lang w:val="en-US"/>
        </w:rPr>
        <w:t xml:space="preserve"> and </w:t>
      </w:r>
      <w:r w:rsidR="00F83E8F" w:rsidRPr="00D869E3">
        <w:rPr>
          <w:rFonts w:ascii="Verdana" w:hAnsi="Verdana"/>
          <w:sz w:val="20"/>
          <w:szCs w:val="20"/>
          <w:lang w:val="en-US"/>
        </w:rPr>
        <w:t xml:space="preserve">13 </w:t>
      </w:r>
      <w:r w:rsidR="00687684" w:rsidRPr="00D869E3">
        <w:rPr>
          <w:rFonts w:ascii="Verdana" w:hAnsi="Verdana"/>
          <w:sz w:val="20"/>
          <w:szCs w:val="20"/>
          <w:lang w:val="en-US"/>
        </w:rPr>
        <w:t>of this instrument</w:t>
      </w:r>
      <w:r w:rsidR="00F83E8F" w:rsidRPr="00D869E3">
        <w:rPr>
          <w:rFonts w:ascii="Verdana" w:hAnsi="Verdana"/>
          <w:sz w:val="20"/>
          <w:szCs w:val="20"/>
          <w:lang w:val="en-US"/>
        </w:rPr>
        <w:t xml:space="preserve">, </w:t>
      </w:r>
      <w:r w:rsidR="00804590" w:rsidRPr="00D869E3">
        <w:rPr>
          <w:rFonts w:ascii="Verdana" w:hAnsi="Verdana"/>
          <w:sz w:val="20"/>
          <w:szCs w:val="20"/>
          <w:lang w:val="en-US"/>
        </w:rPr>
        <w:t xml:space="preserve">to the detriment of </w:t>
      </w:r>
      <w:r w:rsidR="00687684" w:rsidRPr="00D869E3">
        <w:rPr>
          <w:rFonts w:ascii="Verdana" w:hAnsi="Verdana"/>
          <w:sz w:val="20"/>
          <w:szCs w:val="20"/>
          <w:lang w:val="en-US"/>
        </w:rPr>
        <w:t>Mr. Lagos</w:t>
      </w:r>
      <w:r w:rsidR="00F83E8F" w:rsidRPr="00D869E3">
        <w:rPr>
          <w:rFonts w:ascii="Verdana" w:hAnsi="Verdana"/>
          <w:sz w:val="20"/>
          <w:szCs w:val="20"/>
          <w:lang w:val="en-US"/>
        </w:rPr>
        <w:t xml:space="preserve"> del Campos, </w:t>
      </w:r>
      <w:r w:rsidR="00804590" w:rsidRPr="00D869E3">
        <w:rPr>
          <w:rFonts w:ascii="Verdana" w:hAnsi="Verdana"/>
          <w:sz w:val="20"/>
          <w:szCs w:val="20"/>
          <w:lang w:val="en-US"/>
        </w:rPr>
        <w:t>as follows</w:t>
      </w:r>
      <w:r w:rsidR="00F83E8F" w:rsidRPr="00D869E3">
        <w:rPr>
          <w:rFonts w:ascii="Verdana" w:hAnsi="Verdana"/>
          <w:sz w:val="20"/>
          <w:szCs w:val="20"/>
          <w:lang w:val="en-US"/>
        </w:rPr>
        <w:t xml:space="preserve">: </w:t>
      </w:r>
    </w:p>
    <w:p w14:paraId="2477B53D" w14:textId="77777777" w:rsidR="00F83E8F" w:rsidRPr="00D869E3" w:rsidRDefault="00F83E8F" w:rsidP="00F83E8F">
      <w:pPr>
        <w:pStyle w:val="Prrafodelista"/>
        <w:widowControl w:val="0"/>
        <w:autoSpaceDE w:val="0"/>
        <w:autoSpaceDN w:val="0"/>
        <w:adjustRightInd w:val="0"/>
        <w:ind w:left="0" w:right="49"/>
        <w:jc w:val="both"/>
        <w:rPr>
          <w:rFonts w:ascii="Verdana" w:hAnsi="Verdana"/>
          <w:sz w:val="20"/>
          <w:szCs w:val="20"/>
          <w:lang w:val="en-US"/>
        </w:rPr>
      </w:pPr>
    </w:p>
    <w:p w14:paraId="1F70B616" w14:textId="1705FFDC" w:rsidR="00F83E8F" w:rsidRPr="00D869E3" w:rsidRDefault="00F83E8F" w:rsidP="00F83E8F">
      <w:pPr>
        <w:ind w:left="720" w:right="738"/>
        <w:contextualSpacing/>
        <w:jc w:val="both"/>
        <w:rPr>
          <w:rFonts w:ascii="Verdana" w:hAnsi="Verdana"/>
          <w:b/>
          <w:sz w:val="16"/>
          <w:szCs w:val="16"/>
          <w:lang w:val="en-US"/>
        </w:rPr>
      </w:pPr>
      <w:r w:rsidRPr="00D869E3">
        <w:rPr>
          <w:rFonts w:ascii="Verdana" w:hAnsi="Verdana"/>
          <w:sz w:val="16"/>
          <w:szCs w:val="16"/>
          <w:lang w:val="en-US"/>
        </w:rPr>
        <w:t xml:space="preserve">162. […] </w:t>
      </w:r>
      <w:r w:rsidR="00447C65" w:rsidRPr="00D869E3">
        <w:rPr>
          <w:rFonts w:ascii="Verdana" w:hAnsi="Verdana"/>
          <w:sz w:val="16"/>
          <w:szCs w:val="16"/>
          <w:lang w:val="en-US"/>
        </w:rPr>
        <w:t xml:space="preserve">the </w:t>
      </w:r>
      <w:r w:rsidR="00804590" w:rsidRPr="00D869E3">
        <w:rPr>
          <w:rFonts w:ascii="Verdana" w:hAnsi="Verdana"/>
          <w:sz w:val="16"/>
          <w:szCs w:val="16"/>
          <w:lang w:val="en-US"/>
        </w:rPr>
        <w:t xml:space="preserve">Court finds that the dismissal of Mr. Lagos del Campo went beyond the violation of his individual right to freedom of association, because it deprived the workers of the Industrial Community of the representation of one of their leaders, especially in the election that should have been held under his supervision as </w:t>
      </w:r>
      <w:r w:rsidR="001B0492" w:rsidRPr="00D869E3">
        <w:rPr>
          <w:rFonts w:ascii="Verdana" w:hAnsi="Verdana"/>
          <w:sz w:val="16"/>
          <w:szCs w:val="16"/>
          <w:lang w:val="en-US"/>
        </w:rPr>
        <w:t>president of the Electoral</w:t>
      </w:r>
      <w:r w:rsidR="00804590" w:rsidRPr="00D869E3">
        <w:rPr>
          <w:rFonts w:ascii="Verdana" w:hAnsi="Verdana"/>
          <w:sz w:val="20"/>
          <w:szCs w:val="20"/>
          <w:lang w:val="en-US"/>
        </w:rPr>
        <w:t xml:space="preserve"> </w:t>
      </w:r>
      <w:r w:rsidR="00EA232B" w:rsidRPr="00D869E3">
        <w:rPr>
          <w:rFonts w:ascii="Verdana" w:hAnsi="Verdana"/>
          <w:sz w:val="16"/>
          <w:szCs w:val="16"/>
          <w:lang w:val="en-US"/>
        </w:rPr>
        <w:t>Committee</w:t>
      </w:r>
      <w:r w:rsidRPr="00D869E3">
        <w:rPr>
          <w:rFonts w:ascii="Verdana" w:hAnsi="Verdana"/>
          <w:i/>
          <w:sz w:val="16"/>
          <w:szCs w:val="16"/>
          <w:lang w:val="en-US"/>
        </w:rPr>
        <w:t>.</w:t>
      </w:r>
      <w:r w:rsidRPr="00D869E3">
        <w:rPr>
          <w:rFonts w:ascii="Verdana" w:hAnsi="Verdana"/>
          <w:sz w:val="16"/>
          <w:szCs w:val="16"/>
          <w:lang w:val="en-US"/>
        </w:rPr>
        <w:t xml:space="preserve"> </w:t>
      </w:r>
      <w:r w:rsidR="00804590" w:rsidRPr="00D869E3">
        <w:rPr>
          <w:rFonts w:ascii="Verdana" w:hAnsi="Verdana"/>
          <w:sz w:val="16"/>
          <w:szCs w:val="16"/>
          <w:lang w:val="en-US"/>
        </w:rPr>
        <w:t xml:space="preserve">The Court also notes that, since Mr. Lagos del Campo’s dismissal was carried out in reprisal for his task of representation, this could have had an intimidating and threatening impact on the other members of the Industrial Community </w:t>
      </w:r>
      <w:r w:rsidRPr="00D869E3">
        <w:rPr>
          <w:rFonts w:ascii="Verdana" w:hAnsi="Verdana"/>
          <w:sz w:val="16"/>
          <w:szCs w:val="16"/>
          <w:lang w:val="en-US"/>
        </w:rPr>
        <w:t>[…]</w:t>
      </w:r>
      <w:r w:rsidR="00804590" w:rsidRPr="00D869E3">
        <w:rPr>
          <w:rFonts w:ascii="Verdana" w:hAnsi="Verdana"/>
          <w:sz w:val="16"/>
          <w:szCs w:val="16"/>
          <w:lang w:val="en-US"/>
        </w:rPr>
        <w:t>.</w:t>
      </w:r>
      <w:r w:rsidRPr="00D869E3">
        <w:rPr>
          <w:rStyle w:val="Refdenotaalpie"/>
          <w:sz w:val="16"/>
          <w:szCs w:val="16"/>
          <w:lang w:val="en-US"/>
        </w:rPr>
        <w:footnoteReference w:id="334"/>
      </w:r>
      <w:r w:rsidRPr="00D869E3">
        <w:rPr>
          <w:rFonts w:ascii="Verdana" w:hAnsi="Verdana"/>
          <w:sz w:val="16"/>
          <w:szCs w:val="16"/>
          <w:lang w:val="en-US"/>
        </w:rPr>
        <w:t xml:space="preserve"> </w:t>
      </w:r>
    </w:p>
    <w:p w14:paraId="42062410" w14:textId="77777777" w:rsidR="00F83E8F" w:rsidRPr="00D869E3" w:rsidRDefault="00F83E8F" w:rsidP="00F83E8F">
      <w:pPr>
        <w:pStyle w:val="Prrafodelista"/>
        <w:widowControl w:val="0"/>
        <w:autoSpaceDE w:val="0"/>
        <w:autoSpaceDN w:val="0"/>
        <w:adjustRightInd w:val="0"/>
        <w:ind w:left="0" w:right="49"/>
        <w:jc w:val="both"/>
        <w:rPr>
          <w:rFonts w:ascii="Verdana" w:hAnsi="Verdana"/>
          <w:sz w:val="20"/>
          <w:szCs w:val="20"/>
          <w:lang w:val="en-US"/>
        </w:rPr>
      </w:pPr>
    </w:p>
    <w:p w14:paraId="00A24AE4" w14:textId="36E185CB" w:rsidR="00F83E8F" w:rsidRPr="00D869E3" w:rsidRDefault="00075E68" w:rsidP="00804590">
      <w:pPr>
        <w:pStyle w:val="Prrafodelista"/>
        <w:widowControl w:val="0"/>
        <w:numPr>
          <w:ilvl w:val="0"/>
          <w:numId w:val="28"/>
        </w:numPr>
        <w:autoSpaceDE w:val="0"/>
        <w:autoSpaceDN w:val="0"/>
        <w:adjustRightInd w:val="0"/>
        <w:ind w:left="0" w:right="49" w:firstLine="0"/>
        <w:jc w:val="both"/>
        <w:rPr>
          <w:rFonts w:ascii="Verdana" w:hAnsi="Verdana"/>
          <w:sz w:val="20"/>
          <w:szCs w:val="20"/>
          <w:lang w:val="en-US"/>
        </w:rPr>
      </w:pPr>
      <w:r w:rsidRPr="00D869E3">
        <w:rPr>
          <w:rFonts w:ascii="Verdana" w:hAnsi="Verdana"/>
          <w:sz w:val="20"/>
          <w:szCs w:val="20"/>
          <w:lang w:val="en-US"/>
        </w:rPr>
        <w:t>In this regard</w:t>
      </w:r>
      <w:r w:rsidR="00F83E8F" w:rsidRPr="00D869E3">
        <w:rPr>
          <w:rFonts w:ascii="Verdana" w:hAnsi="Verdana"/>
          <w:sz w:val="20"/>
          <w:szCs w:val="20"/>
          <w:lang w:val="en-US"/>
        </w:rPr>
        <w:t xml:space="preserve">, </w:t>
      </w:r>
      <w:r w:rsidR="00804590" w:rsidRPr="00D869E3">
        <w:rPr>
          <w:rFonts w:ascii="Verdana" w:hAnsi="Verdana"/>
          <w:sz w:val="20"/>
          <w:szCs w:val="20"/>
          <w:lang w:val="en-US"/>
        </w:rPr>
        <w:t xml:space="preserve">even though I agree with the judgment, I believe it important to make some clarifications in relation to the violation of the right to </w:t>
      </w:r>
      <w:r w:rsidR="0009733A" w:rsidRPr="00D869E3">
        <w:rPr>
          <w:rFonts w:ascii="Verdana" w:hAnsi="Verdana"/>
          <w:sz w:val="20"/>
          <w:szCs w:val="20"/>
          <w:lang w:val="en-US"/>
        </w:rPr>
        <w:t>freedom of association</w:t>
      </w:r>
      <w:r w:rsidR="00804590" w:rsidRPr="00D869E3">
        <w:rPr>
          <w:rFonts w:ascii="Verdana" w:hAnsi="Verdana"/>
          <w:sz w:val="20"/>
          <w:szCs w:val="20"/>
          <w:lang w:val="en-US"/>
        </w:rPr>
        <w:t xml:space="preserve"> and its impact on labor matters. And this is taking into consideration that the judgment does not </w:t>
      </w:r>
      <w:r w:rsidR="0009733A" w:rsidRPr="00D869E3">
        <w:rPr>
          <w:rFonts w:ascii="Verdana" w:hAnsi="Verdana"/>
          <w:sz w:val="20"/>
          <w:szCs w:val="20"/>
          <w:lang w:val="en-US"/>
        </w:rPr>
        <w:t xml:space="preserve">indicate </w:t>
      </w:r>
      <w:r w:rsidR="00804590" w:rsidRPr="00D869E3">
        <w:rPr>
          <w:rFonts w:ascii="Verdana" w:hAnsi="Verdana"/>
          <w:sz w:val="20"/>
          <w:szCs w:val="20"/>
          <w:lang w:val="en-US"/>
        </w:rPr>
        <w:t xml:space="preserve">the reasons why </w:t>
      </w:r>
      <w:r w:rsidR="0009733A" w:rsidRPr="00D869E3">
        <w:rPr>
          <w:rFonts w:ascii="Verdana" w:hAnsi="Verdana"/>
          <w:sz w:val="20"/>
          <w:szCs w:val="20"/>
          <w:lang w:val="en-US"/>
        </w:rPr>
        <w:t xml:space="preserve">it relates </w:t>
      </w:r>
      <w:r w:rsidR="00804590" w:rsidRPr="00D869E3">
        <w:rPr>
          <w:rFonts w:ascii="Verdana" w:hAnsi="Verdana"/>
          <w:sz w:val="20"/>
          <w:szCs w:val="20"/>
          <w:lang w:val="en-US"/>
        </w:rPr>
        <w:t>Article 26 of the Pact of San José to the</w:t>
      </w:r>
      <w:r w:rsidR="0009733A" w:rsidRPr="00D869E3">
        <w:rPr>
          <w:rFonts w:ascii="Verdana" w:hAnsi="Verdana"/>
          <w:sz w:val="20"/>
          <w:szCs w:val="20"/>
          <w:lang w:val="en-US"/>
        </w:rPr>
        <w:t xml:space="preserve"> labor-related</w:t>
      </w:r>
      <w:r w:rsidR="00804590" w:rsidRPr="00D869E3">
        <w:rPr>
          <w:rFonts w:ascii="Verdana" w:hAnsi="Verdana"/>
          <w:sz w:val="20"/>
          <w:szCs w:val="20"/>
          <w:lang w:val="en-US"/>
        </w:rPr>
        <w:t xml:space="preserve"> right to </w:t>
      </w:r>
      <w:r w:rsidR="0009733A" w:rsidRPr="00D869E3">
        <w:rPr>
          <w:rFonts w:ascii="Verdana" w:hAnsi="Verdana"/>
          <w:sz w:val="20"/>
          <w:szCs w:val="20"/>
          <w:lang w:val="en-US"/>
        </w:rPr>
        <w:t>freedom of association</w:t>
      </w:r>
      <w:r w:rsidR="00804590" w:rsidRPr="00D869E3">
        <w:rPr>
          <w:rFonts w:ascii="Verdana" w:hAnsi="Verdana"/>
          <w:sz w:val="20"/>
          <w:szCs w:val="20"/>
          <w:lang w:val="en-US"/>
        </w:rPr>
        <w:t xml:space="preserve"> </w:t>
      </w:r>
      <w:r w:rsidR="0009733A" w:rsidRPr="00D869E3">
        <w:rPr>
          <w:rFonts w:ascii="Verdana" w:hAnsi="Verdana"/>
          <w:sz w:val="20"/>
          <w:szCs w:val="20"/>
          <w:lang w:val="en-US"/>
        </w:rPr>
        <w:t>f</w:t>
      </w:r>
      <w:r w:rsidR="003E1D24" w:rsidRPr="00D869E3">
        <w:rPr>
          <w:rFonts w:ascii="Verdana" w:hAnsi="Verdana"/>
          <w:sz w:val="20"/>
          <w:szCs w:val="20"/>
          <w:lang w:val="en-US"/>
        </w:rPr>
        <w:t xml:space="preserve">or the protection and promotion of the victim’s interests, contained expressly in </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 45</w:t>
      </w:r>
      <w:r w:rsidR="003E1D24" w:rsidRPr="00D869E3">
        <w:rPr>
          <w:rFonts w:ascii="Verdana" w:hAnsi="Verdana"/>
          <w:sz w:val="20"/>
          <w:szCs w:val="20"/>
          <w:lang w:val="en-US"/>
        </w:rPr>
        <w:t>(c</w:t>
      </w:r>
      <w:r w:rsidR="00F83E8F" w:rsidRPr="00D869E3">
        <w:rPr>
          <w:rFonts w:ascii="Verdana" w:hAnsi="Verdana"/>
          <w:sz w:val="20"/>
          <w:szCs w:val="20"/>
          <w:lang w:val="en-US"/>
        </w:rPr>
        <w:t xml:space="preserve">) </w:t>
      </w:r>
      <w:r w:rsidR="00197983" w:rsidRPr="00D869E3">
        <w:rPr>
          <w:rFonts w:ascii="Verdana" w:hAnsi="Verdana"/>
          <w:sz w:val="20"/>
          <w:szCs w:val="20"/>
          <w:lang w:val="en-US"/>
        </w:rPr>
        <w:t>of the OAS Charter</w:t>
      </w:r>
      <w:r w:rsidR="0009733A" w:rsidRPr="00D869E3">
        <w:rPr>
          <w:rFonts w:ascii="Verdana" w:hAnsi="Verdana"/>
          <w:sz w:val="20"/>
          <w:szCs w:val="20"/>
          <w:lang w:val="en-US"/>
        </w:rPr>
        <w:t>, or</w:t>
      </w:r>
      <w:r w:rsidR="00687684" w:rsidRPr="00D869E3">
        <w:rPr>
          <w:rFonts w:ascii="Verdana" w:hAnsi="Verdana"/>
          <w:sz w:val="20"/>
          <w:szCs w:val="20"/>
          <w:lang w:val="en-US"/>
        </w:rPr>
        <w:t xml:space="preserve"> </w:t>
      </w:r>
      <w:r w:rsidR="003E1D24" w:rsidRPr="00D869E3">
        <w:rPr>
          <w:rFonts w:ascii="Verdana" w:hAnsi="Verdana"/>
          <w:sz w:val="20"/>
          <w:szCs w:val="20"/>
          <w:lang w:val="en-US"/>
        </w:rPr>
        <w:t xml:space="preserve">its relationship to </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 16</w:t>
      </w:r>
      <w:r w:rsidR="00447C65" w:rsidRPr="00D869E3">
        <w:rPr>
          <w:rFonts w:ascii="Verdana" w:hAnsi="Verdana"/>
          <w:sz w:val="20"/>
          <w:szCs w:val="20"/>
          <w:lang w:val="en-US"/>
        </w:rPr>
        <w:t xml:space="preserve"> of the American Convention</w:t>
      </w:r>
      <w:r w:rsidR="003E1D24" w:rsidRPr="00D869E3">
        <w:rPr>
          <w:rFonts w:ascii="Verdana" w:hAnsi="Verdana"/>
          <w:sz w:val="20"/>
          <w:szCs w:val="20"/>
          <w:lang w:val="en-US"/>
        </w:rPr>
        <w:t>.</w:t>
      </w:r>
      <w:r w:rsidR="00F83E8F" w:rsidRPr="00D869E3">
        <w:rPr>
          <w:rStyle w:val="Refdenotaalpie"/>
          <w:szCs w:val="20"/>
          <w:lang w:val="en-US"/>
        </w:rPr>
        <w:footnoteReference w:id="335"/>
      </w:r>
      <w:r w:rsidR="00F83E8F" w:rsidRPr="00D869E3">
        <w:rPr>
          <w:rFonts w:ascii="Verdana" w:hAnsi="Verdana"/>
          <w:sz w:val="20"/>
          <w:szCs w:val="20"/>
          <w:lang w:val="en-US"/>
        </w:rPr>
        <w:t xml:space="preserve"> </w:t>
      </w:r>
    </w:p>
    <w:p w14:paraId="6D1FAE78" w14:textId="77777777" w:rsidR="00F83E8F" w:rsidRPr="00D869E3" w:rsidRDefault="00F83E8F" w:rsidP="00F83E8F">
      <w:pPr>
        <w:pStyle w:val="Prrafodelista"/>
        <w:widowControl w:val="0"/>
        <w:autoSpaceDE w:val="0"/>
        <w:autoSpaceDN w:val="0"/>
        <w:adjustRightInd w:val="0"/>
        <w:ind w:left="0" w:right="49"/>
        <w:jc w:val="both"/>
        <w:rPr>
          <w:rFonts w:ascii="Verdana" w:hAnsi="Verdana"/>
          <w:sz w:val="20"/>
          <w:szCs w:val="20"/>
          <w:lang w:val="en-US"/>
        </w:rPr>
      </w:pPr>
    </w:p>
    <w:p w14:paraId="737520C9" w14:textId="014AC590" w:rsidR="00F83E8F" w:rsidRPr="00D869E3" w:rsidRDefault="003E1D24" w:rsidP="00E70701">
      <w:pPr>
        <w:pStyle w:val="Prrafodelista"/>
        <w:widowControl w:val="0"/>
        <w:numPr>
          <w:ilvl w:val="0"/>
          <w:numId w:val="28"/>
        </w:numPr>
        <w:autoSpaceDE w:val="0"/>
        <w:autoSpaceDN w:val="0"/>
        <w:adjustRightInd w:val="0"/>
        <w:ind w:left="0" w:right="49" w:firstLine="0"/>
        <w:jc w:val="both"/>
        <w:rPr>
          <w:rFonts w:ascii="Verdana" w:hAnsi="Verdana"/>
          <w:sz w:val="20"/>
          <w:szCs w:val="20"/>
          <w:lang w:val="en-US"/>
        </w:rPr>
      </w:pPr>
      <w:r w:rsidRPr="00D869E3">
        <w:rPr>
          <w:rFonts w:ascii="Verdana" w:hAnsi="Verdana"/>
          <w:sz w:val="20"/>
          <w:szCs w:val="20"/>
          <w:lang w:val="en-US"/>
        </w:rPr>
        <w:t>In the instant case</w:t>
      </w:r>
      <w:r w:rsidR="00F83E8F" w:rsidRPr="00D869E3">
        <w:rPr>
          <w:rFonts w:ascii="Verdana" w:hAnsi="Verdana"/>
          <w:sz w:val="20"/>
          <w:szCs w:val="20"/>
          <w:lang w:val="en-US"/>
        </w:rPr>
        <w:t xml:space="preserve">, </w:t>
      </w:r>
      <w:r w:rsidR="00671B14" w:rsidRPr="00D869E3">
        <w:rPr>
          <w:rFonts w:ascii="Verdana" w:hAnsi="Verdana"/>
          <w:sz w:val="20"/>
          <w:szCs w:val="20"/>
          <w:lang w:val="en-US"/>
        </w:rPr>
        <w:t>the Inter-American Court</w:t>
      </w:r>
      <w:r w:rsidR="00F83E8F" w:rsidRPr="00D869E3">
        <w:rPr>
          <w:rFonts w:ascii="Verdana" w:hAnsi="Verdana"/>
          <w:sz w:val="20"/>
          <w:szCs w:val="20"/>
          <w:lang w:val="en-US"/>
        </w:rPr>
        <w:t xml:space="preserve"> reco</w:t>
      </w:r>
      <w:r w:rsidRPr="00D869E3">
        <w:rPr>
          <w:rFonts w:ascii="Verdana" w:hAnsi="Verdana"/>
          <w:sz w:val="20"/>
          <w:szCs w:val="20"/>
          <w:lang w:val="en-US"/>
        </w:rPr>
        <w:t xml:space="preserve">gnized that the issue of freedom of association in relation to labor unions is of particular importance. Moreover, </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 19</w:t>
      </w:r>
      <w:r w:rsidRPr="00D869E3">
        <w:rPr>
          <w:rFonts w:ascii="Verdana" w:hAnsi="Verdana"/>
          <w:sz w:val="20"/>
          <w:szCs w:val="20"/>
          <w:lang w:val="en-US"/>
        </w:rPr>
        <w:t>(</w:t>
      </w:r>
      <w:r w:rsidR="00F83E8F" w:rsidRPr="00D869E3">
        <w:rPr>
          <w:rFonts w:ascii="Verdana" w:hAnsi="Verdana"/>
          <w:sz w:val="20"/>
          <w:szCs w:val="20"/>
          <w:lang w:val="en-US"/>
        </w:rPr>
        <w:t>6</w:t>
      </w:r>
      <w:r w:rsidRPr="00D869E3">
        <w:rPr>
          <w:rFonts w:ascii="Verdana" w:hAnsi="Verdana"/>
          <w:sz w:val="20"/>
          <w:szCs w:val="20"/>
          <w:lang w:val="en-US"/>
        </w:rPr>
        <w:t>)</w:t>
      </w:r>
      <w:r w:rsidR="00F83E8F" w:rsidRPr="00D869E3">
        <w:rPr>
          <w:rFonts w:ascii="Verdana" w:hAnsi="Verdana"/>
          <w:sz w:val="20"/>
          <w:szCs w:val="20"/>
          <w:lang w:val="en-US"/>
        </w:rPr>
        <w:t xml:space="preserve"> </w:t>
      </w:r>
      <w:r w:rsidR="00916899" w:rsidRPr="00D869E3">
        <w:rPr>
          <w:rFonts w:ascii="Verdana" w:hAnsi="Verdana"/>
          <w:sz w:val="20"/>
          <w:szCs w:val="20"/>
          <w:lang w:val="en-US"/>
        </w:rPr>
        <w:t>of the Protocol of</w:t>
      </w:r>
      <w:r w:rsidR="00F83E8F" w:rsidRPr="00D869E3">
        <w:rPr>
          <w:rFonts w:ascii="Verdana" w:hAnsi="Verdana"/>
          <w:sz w:val="20"/>
          <w:szCs w:val="20"/>
          <w:lang w:val="en-US"/>
        </w:rPr>
        <w:t xml:space="preserve"> San Salvador </w:t>
      </w:r>
      <w:r w:rsidRPr="00D869E3">
        <w:rPr>
          <w:rFonts w:ascii="Verdana" w:hAnsi="Verdana"/>
          <w:sz w:val="20"/>
          <w:szCs w:val="20"/>
          <w:lang w:val="en-US"/>
        </w:rPr>
        <w:t xml:space="preserve">confers on </w:t>
      </w:r>
      <w:r w:rsidR="00671B14" w:rsidRPr="00D869E3">
        <w:rPr>
          <w:rFonts w:ascii="Verdana" w:hAnsi="Verdana"/>
          <w:sz w:val="20"/>
          <w:szCs w:val="20"/>
          <w:lang w:val="en-US"/>
        </w:rPr>
        <w:t>the Inter-American Court</w:t>
      </w:r>
      <w:r w:rsidR="00F83E8F" w:rsidRPr="00D869E3">
        <w:rPr>
          <w:rFonts w:ascii="Verdana" w:hAnsi="Verdana"/>
          <w:sz w:val="20"/>
          <w:szCs w:val="20"/>
          <w:lang w:val="en-US"/>
        </w:rPr>
        <w:t xml:space="preserve"> </w:t>
      </w:r>
      <w:r w:rsidRPr="00D869E3">
        <w:rPr>
          <w:rFonts w:ascii="Verdana" w:hAnsi="Verdana"/>
          <w:sz w:val="20"/>
          <w:szCs w:val="20"/>
          <w:lang w:val="en-US"/>
        </w:rPr>
        <w:t xml:space="preserve">the express competence to rule on violations of </w:t>
      </w:r>
      <w:r w:rsidR="00901386" w:rsidRPr="00D869E3">
        <w:rPr>
          <w:rFonts w:ascii="Verdana" w:hAnsi="Verdana"/>
          <w:sz w:val="20"/>
          <w:szCs w:val="20"/>
          <w:lang w:val="en-US"/>
        </w:rPr>
        <w:t xml:space="preserve">the </w:t>
      </w:r>
      <w:r w:rsidRPr="00D869E3">
        <w:rPr>
          <w:rFonts w:ascii="Verdana" w:hAnsi="Verdana"/>
          <w:sz w:val="20"/>
          <w:szCs w:val="20"/>
          <w:lang w:val="en-US"/>
        </w:rPr>
        <w:t xml:space="preserve">State’s </w:t>
      </w:r>
      <w:r w:rsidR="00901386" w:rsidRPr="00D869E3">
        <w:rPr>
          <w:rFonts w:ascii="Verdana" w:hAnsi="Verdana"/>
          <w:sz w:val="20"/>
          <w:szCs w:val="20"/>
          <w:lang w:val="en-US"/>
        </w:rPr>
        <w:t>obligation</w:t>
      </w:r>
      <w:r w:rsidR="00447C65" w:rsidRPr="00D869E3">
        <w:rPr>
          <w:rFonts w:ascii="Verdana" w:hAnsi="Verdana"/>
          <w:sz w:val="20"/>
          <w:szCs w:val="20"/>
          <w:lang w:val="en-US"/>
        </w:rPr>
        <w:t xml:space="preserve"> </w:t>
      </w:r>
      <w:r w:rsidRPr="00D869E3">
        <w:rPr>
          <w:rFonts w:ascii="Verdana" w:hAnsi="Verdana"/>
          <w:sz w:val="20"/>
          <w:szCs w:val="20"/>
          <w:lang w:val="en-US"/>
        </w:rPr>
        <w:t xml:space="preserve">to permit unions, federations and confederations to function freely, as established in </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 </w:t>
      </w:r>
      <w:r w:rsidR="00687684" w:rsidRPr="00D869E3">
        <w:rPr>
          <w:rFonts w:ascii="Verdana" w:hAnsi="Verdana"/>
          <w:sz w:val="20"/>
          <w:szCs w:val="20"/>
          <w:lang w:val="en-US"/>
        </w:rPr>
        <w:t>8(1)</w:t>
      </w:r>
      <w:r w:rsidRPr="00D869E3">
        <w:rPr>
          <w:rFonts w:ascii="Verdana" w:hAnsi="Verdana"/>
          <w:sz w:val="20"/>
          <w:szCs w:val="20"/>
          <w:lang w:val="en-US"/>
        </w:rPr>
        <w:t>(</w:t>
      </w:r>
      <w:r w:rsidR="00F83E8F" w:rsidRPr="00D869E3">
        <w:rPr>
          <w:rFonts w:ascii="Verdana" w:hAnsi="Verdana"/>
          <w:sz w:val="20"/>
          <w:szCs w:val="20"/>
          <w:lang w:val="en-US"/>
        </w:rPr>
        <w:t>a)</w:t>
      </w:r>
      <w:r w:rsidRPr="00D869E3">
        <w:rPr>
          <w:rFonts w:ascii="Verdana" w:hAnsi="Verdana"/>
          <w:sz w:val="20"/>
          <w:szCs w:val="20"/>
          <w:lang w:val="en-US"/>
        </w:rPr>
        <w:t>.</w:t>
      </w:r>
      <w:r w:rsidR="00F83E8F" w:rsidRPr="00D869E3">
        <w:rPr>
          <w:rStyle w:val="Refdenotaalpie"/>
          <w:szCs w:val="20"/>
          <w:lang w:val="en-US"/>
        </w:rPr>
        <w:footnoteReference w:id="336"/>
      </w:r>
      <w:r w:rsidR="00F83E8F" w:rsidRPr="00D869E3">
        <w:rPr>
          <w:rFonts w:ascii="Verdana" w:hAnsi="Verdana"/>
          <w:sz w:val="20"/>
          <w:szCs w:val="20"/>
          <w:lang w:val="en-US"/>
        </w:rPr>
        <w:t xml:space="preserve"> </w:t>
      </w:r>
      <w:r w:rsidRPr="00D869E3">
        <w:rPr>
          <w:rFonts w:ascii="Verdana" w:hAnsi="Verdana"/>
          <w:sz w:val="20"/>
          <w:szCs w:val="20"/>
          <w:lang w:val="en-US"/>
        </w:rPr>
        <w:t>In addition</w:t>
      </w:r>
      <w:r w:rsidR="00F83E8F" w:rsidRPr="00D869E3">
        <w:rPr>
          <w:rFonts w:ascii="Verdana" w:hAnsi="Verdana"/>
          <w:sz w:val="20"/>
          <w:szCs w:val="20"/>
          <w:lang w:val="en-US"/>
        </w:rPr>
        <w:t xml:space="preserve">, </w:t>
      </w:r>
      <w:r w:rsidR="00671B14" w:rsidRPr="00D869E3">
        <w:rPr>
          <w:rFonts w:ascii="Verdana" w:hAnsi="Verdana"/>
          <w:sz w:val="20"/>
          <w:szCs w:val="20"/>
          <w:lang w:val="en-US"/>
        </w:rPr>
        <w:t>the Inter-American Court</w:t>
      </w:r>
      <w:r w:rsidR="00F83E8F" w:rsidRPr="00D869E3">
        <w:rPr>
          <w:rFonts w:ascii="Verdana" w:hAnsi="Verdana"/>
          <w:sz w:val="20"/>
          <w:szCs w:val="20"/>
          <w:lang w:val="en-US"/>
        </w:rPr>
        <w:t xml:space="preserve"> </w:t>
      </w:r>
      <w:r w:rsidR="0009733A" w:rsidRPr="00D869E3">
        <w:rPr>
          <w:rFonts w:ascii="Verdana" w:hAnsi="Verdana"/>
          <w:sz w:val="20"/>
          <w:szCs w:val="20"/>
          <w:lang w:val="en-US"/>
        </w:rPr>
        <w:t>referred to</w:t>
      </w:r>
      <w:r w:rsidRPr="00D869E3">
        <w:rPr>
          <w:rFonts w:ascii="Verdana" w:hAnsi="Verdana"/>
          <w:sz w:val="20"/>
          <w:szCs w:val="20"/>
          <w:lang w:val="en-US"/>
        </w:rPr>
        <w:t xml:space="preserve"> one aspect of labor union rights when it stated that </w:t>
      </w:r>
      <w:r w:rsidR="006436CA" w:rsidRPr="00D869E3">
        <w:rPr>
          <w:rFonts w:ascii="Verdana" w:hAnsi="Verdana"/>
          <w:sz w:val="20"/>
          <w:szCs w:val="20"/>
          <w:lang w:val="en-US"/>
        </w:rPr>
        <w:t>“</w:t>
      </w:r>
      <w:r w:rsidR="00351902" w:rsidRPr="00D869E3">
        <w:rPr>
          <w:rFonts w:ascii="Verdana" w:hAnsi="Verdana"/>
          <w:sz w:val="20"/>
          <w:szCs w:val="20"/>
          <w:lang w:val="en-US"/>
        </w:rPr>
        <w:t>freedom of association</w:t>
      </w:r>
      <w:r w:rsidRPr="00D869E3">
        <w:rPr>
          <w:rFonts w:ascii="Verdana" w:hAnsi="Verdana"/>
          <w:sz w:val="20"/>
          <w:szCs w:val="20"/>
          <w:lang w:val="en-US"/>
        </w:rPr>
        <w:t xml:space="preserve"> in </w:t>
      </w:r>
      <w:r w:rsidRPr="00D869E3">
        <w:rPr>
          <w:rFonts w:ascii="Verdana" w:hAnsi="Verdana"/>
          <w:sz w:val="20"/>
          <w:szCs w:val="20"/>
          <w:lang w:val="en-US"/>
        </w:rPr>
        <w:lastRenderedPageBreak/>
        <w:t xml:space="preserve">relation to labor unions is of the greatest importance for the defense of the legitimate interests of the </w:t>
      </w:r>
      <w:r w:rsidRPr="00D869E3">
        <w:rPr>
          <w:rFonts w:ascii="Verdana" w:hAnsi="Verdana"/>
          <w:sz w:val="20"/>
          <w:szCs w:val="20"/>
          <w:u w:val="single"/>
          <w:lang w:val="en-US"/>
        </w:rPr>
        <w:t>workers</w:t>
      </w:r>
      <w:r w:rsidRPr="00D869E3">
        <w:rPr>
          <w:rFonts w:ascii="Verdana" w:hAnsi="Verdana"/>
          <w:sz w:val="20"/>
          <w:szCs w:val="20"/>
          <w:lang w:val="en-US"/>
        </w:rPr>
        <w:t xml:space="preserve">, and is established in the </w:t>
      </w:r>
      <w:r w:rsidR="00F83E8F" w:rsidRPr="00D869E3">
        <w:rPr>
          <w:rFonts w:ascii="Verdana" w:hAnsi="Verdana"/>
          <w:i/>
          <w:sz w:val="20"/>
          <w:szCs w:val="20"/>
          <w:lang w:val="en-US"/>
        </w:rPr>
        <w:t xml:space="preserve">corpus juris </w:t>
      </w:r>
      <w:r w:rsidRPr="00D869E3">
        <w:rPr>
          <w:rFonts w:ascii="Verdana" w:hAnsi="Verdana"/>
          <w:sz w:val="20"/>
          <w:szCs w:val="20"/>
          <w:lang w:val="en-US"/>
        </w:rPr>
        <w:t>of</w:t>
      </w:r>
      <w:r w:rsidR="00F83E8F" w:rsidRPr="00D869E3">
        <w:rPr>
          <w:rFonts w:ascii="Verdana" w:hAnsi="Verdana"/>
          <w:sz w:val="20"/>
          <w:szCs w:val="20"/>
          <w:lang w:val="en-US"/>
        </w:rPr>
        <w:t xml:space="preserve"> </w:t>
      </w:r>
      <w:r w:rsidR="00B443B4" w:rsidRPr="00D869E3">
        <w:rPr>
          <w:rFonts w:ascii="Verdana" w:hAnsi="Verdana"/>
          <w:sz w:val="20"/>
          <w:szCs w:val="20"/>
          <w:lang w:val="en-US"/>
        </w:rPr>
        <w:t>human rights</w:t>
      </w:r>
      <w:r w:rsidRPr="00D869E3">
        <w:rPr>
          <w:rFonts w:ascii="Verdana" w:hAnsi="Verdana"/>
          <w:sz w:val="20"/>
          <w:szCs w:val="20"/>
          <w:lang w:val="en-US"/>
        </w:rPr>
        <w:t>.</w:t>
      </w:r>
      <w:r w:rsidR="00F83E8F" w:rsidRPr="00D869E3">
        <w:rPr>
          <w:rFonts w:ascii="Verdana" w:hAnsi="Verdana"/>
          <w:sz w:val="20"/>
          <w:szCs w:val="20"/>
          <w:vertAlign w:val="superscript"/>
          <w:lang w:val="en-US"/>
        </w:rPr>
        <w:footnoteReference w:id="337"/>
      </w:r>
      <w:r w:rsidRPr="00D869E3">
        <w:rPr>
          <w:rFonts w:ascii="Verdana" w:hAnsi="Verdana"/>
          <w:sz w:val="20"/>
          <w:szCs w:val="20"/>
          <w:lang w:val="en-US"/>
        </w:rPr>
        <w:t xml:space="preserve"> However,</w:t>
      </w:r>
      <w:r w:rsidR="00F83E8F" w:rsidRPr="00D869E3">
        <w:rPr>
          <w:rFonts w:ascii="Verdana" w:hAnsi="Verdana"/>
          <w:sz w:val="20"/>
          <w:szCs w:val="20"/>
          <w:lang w:val="en-US"/>
        </w:rPr>
        <w:t xml:space="preserve"> </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 </w:t>
      </w:r>
      <w:r w:rsidR="00687684" w:rsidRPr="00D869E3">
        <w:rPr>
          <w:rFonts w:ascii="Verdana" w:hAnsi="Verdana"/>
          <w:sz w:val="20"/>
          <w:szCs w:val="20"/>
          <w:lang w:val="en-US"/>
        </w:rPr>
        <w:t>8(1)</w:t>
      </w:r>
      <w:r w:rsidRPr="00D869E3">
        <w:rPr>
          <w:rFonts w:ascii="Verdana" w:hAnsi="Verdana"/>
          <w:sz w:val="20"/>
          <w:szCs w:val="20"/>
          <w:lang w:val="en-US"/>
        </w:rPr>
        <w:t>(</w:t>
      </w:r>
      <w:r w:rsidR="00F83E8F" w:rsidRPr="00D869E3">
        <w:rPr>
          <w:rFonts w:ascii="Verdana" w:hAnsi="Verdana"/>
          <w:sz w:val="20"/>
          <w:szCs w:val="20"/>
          <w:lang w:val="en-US"/>
        </w:rPr>
        <w:t>a</w:t>
      </w:r>
      <w:r w:rsidRPr="00D869E3">
        <w:rPr>
          <w:rFonts w:ascii="Verdana" w:hAnsi="Verdana"/>
          <w:sz w:val="20"/>
          <w:szCs w:val="20"/>
          <w:lang w:val="en-US"/>
        </w:rPr>
        <w:t>)</w:t>
      </w:r>
      <w:r w:rsidR="00F83E8F" w:rsidRPr="00D869E3">
        <w:rPr>
          <w:rFonts w:ascii="Verdana" w:hAnsi="Verdana"/>
          <w:sz w:val="20"/>
          <w:szCs w:val="20"/>
          <w:lang w:val="en-US"/>
        </w:rPr>
        <w:t xml:space="preserve"> </w:t>
      </w:r>
      <w:r w:rsidR="00916899" w:rsidRPr="00D869E3">
        <w:rPr>
          <w:rFonts w:ascii="Verdana" w:hAnsi="Verdana"/>
          <w:sz w:val="20"/>
          <w:szCs w:val="20"/>
          <w:lang w:val="en-US"/>
        </w:rPr>
        <w:t>of the Protocol of</w:t>
      </w:r>
      <w:r w:rsidR="00F83E8F" w:rsidRPr="00D869E3">
        <w:rPr>
          <w:rFonts w:ascii="Verdana" w:hAnsi="Verdana"/>
          <w:sz w:val="20"/>
          <w:szCs w:val="20"/>
          <w:lang w:val="en-US"/>
        </w:rPr>
        <w:t xml:space="preserve"> San Salvador </w:t>
      </w:r>
      <w:r w:rsidRPr="00D869E3">
        <w:rPr>
          <w:rFonts w:ascii="Verdana" w:hAnsi="Verdana"/>
          <w:sz w:val="20"/>
          <w:szCs w:val="20"/>
          <w:lang w:val="en-US"/>
        </w:rPr>
        <w:t>does not include all the situations in which a violation could be declared when labor union association is affected</w:t>
      </w:r>
      <w:r w:rsidR="00F83E8F" w:rsidRPr="00D869E3">
        <w:rPr>
          <w:rFonts w:ascii="Verdana" w:hAnsi="Verdana"/>
          <w:sz w:val="20"/>
          <w:szCs w:val="20"/>
          <w:lang w:val="en-US"/>
        </w:rPr>
        <w:t xml:space="preserve">. </w:t>
      </w:r>
    </w:p>
    <w:p w14:paraId="6F77B9AD" w14:textId="77777777" w:rsidR="00F83E8F" w:rsidRPr="00D869E3" w:rsidRDefault="00F83E8F" w:rsidP="00F83E8F">
      <w:pPr>
        <w:widowControl w:val="0"/>
        <w:autoSpaceDE w:val="0"/>
        <w:autoSpaceDN w:val="0"/>
        <w:adjustRightInd w:val="0"/>
        <w:ind w:right="49"/>
        <w:jc w:val="both"/>
        <w:rPr>
          <w:rFonts w:ascii="Verdana" w:hAnsi="Verdana"/>
          <w:sz w:val="20"/>
          <w:szCs w:val="20"/>
          <w:lang w:val="en-US"/>
        </w:rPr>
      </w:pPr>
    </w:p>
    <w:p w14:paraId="5F1B0906" w14:textId="0E9E2A45" w:rsidR="00F83E8F" w:rsidRPr="00D869E3" w:rsidRDefault="00075E68" w:rsidP="006A4744">
      <w:pPr>
        <w:pStyle w:val="Prrafodelista"/>
        <w:widowControl w:val="0"/>
        <w:numPr>
          <w:ilvl w:val="0"/>
          <w:numId w:val="28"/>
        </w:numPr>
        <w:autoSpaceDE w:val="0"/>
        <w:autoSpaceDN w:val="0"/>
        <w:adjustRightInd w:val="0"/>
        <w:ind w:left="0" w:right="49" w:firstLine="0"/>
        <w:jc w:val="both"/>
        <w:rPr>
          <w:rFonts w:ascii="Verdana" w:hAnsi="Verdana"/>
          <w:sz w:val="20"/>
          <w:szCs w:val="20"/>
          <w:lang w:val="en-US"/>
        </w:rPr>
      </w:pPr>
      <w:r w:rsidRPr="00D869E3">
        <w:rPr>
          <w:rFonts w:ascii="Verdana" w:hAnsi="Verdana"/>
          <w:sz w:val="20"/>
          <w:szCs w:val="20"/>
          <w:lang w:val="en-US"/>
        </w:rPr>
        <w:t>For example</w:t>
      </w:r>
      <w:r w:rsidR="00F83E8F" w:rsidRPr="00D869E3">
        <w:rPr>
          <w:rFonts w:ascii="Verdana" w:hAnsi="Verdana"/>
          <w:sz w:val="20"/>
          <w:szCs w:val="20"/>
          <w:lang w:val="en-US"/>
        </w:rPr>
        <w:t xml:space="preserve">, </w:t>
      </w:r>
      <w:r w:rsidR="003E1D24" w:rsidRPr="00D869E3">
        <w:rPr>
          <w:rFonts w:ascii="Verdana" w:hAnsi="Verdana"/>
          <w:sz w:val="20"/>
          <w:szCs w:val="20"/>
          <w:lang w:val="en-US"/>
        </w:rPr>
        <w:t>in</w:t>
      </w:r>
      <w:r w:rsidR="00F83E8F" w:rsidRPr="00D869E3">
        <w:rPr>
          <w:rFonts w:ascii="Verdana" w:hAnsi="Verdana"/>
          <w:sz w:val="20"/>
          <w:szCs w:val="20"/>
          <w:lang w:val="en-US"/>
        </w:rPr>
        <w:t xml:space="preserve"> </w:t>
      </w:r>
      <w:r w:rsidR="0087339F" w:rsidRPr="00D869E3">
        <w:rPr>
          <w:rFonts w:ascii="Verdana" w:hAnsi="Verdana"/>
          <w:sz w:val="20"/>
          <w:szCs w:val="20"/>
          <w:lang w:val="en-US"/>
        </w:rPr>
        <w:t>Advisory Opinion</w:t>
      </w:r>
      <w:r w:rsidR="00F83E8F" w:rsidRPr="00D869E3">
        <w:rPr>
          <w:rFonts w:ascii="Verdana" w:hAnsi="Verdana"/>
          <w:sz w:val="20"/>
          <w:szCs w:val="20"/>
          <w:lang w:val="en-US"/>
        </w:rPr>
        <w:t xml:space="preserve"> No. 22 </w:t>
      </w:r>
      <w:r w:rsidR="003E1D24" w:rsidRPr="00D869E3">
        <w:rPr>
          <w:rFonts w:ascii="Verdana" w:hAnsi="Verdana"/>
          <w:sz w:val="20"/>
          <w:szCs w:val="20"/>
          <w:lang w:val="en-US"/>
        </w:rPr>
        <w:t>on</w:t>
      </w:r>
      <w:r w:rsidR="00F83E8F" w:rsidRPr="00D869E3">
        <w:rPr>
          <w:rFonts w:ascii="Verdana" w:hAnsi="Verdana"/>
          <w:sz w:val="20"/>
          <w:szCs w:val="20"/>
          <w:lang w:val="en-US"/>
        </w:rPr>
        <w:t xml:space="preserve"> </w:t>
      </w:r>
      <w:r w:rsidR="00BC51EE" w:rsidRPr="00D869E3">
        <w:rPr>
          <w:rFonts w:ascii="Verdana" w:hAnsi="Verdana"/>
          <w:i/>
          <w:iCs/>
          <w:sz w:val="20"/>
          <w:szCs w:val="20"/>
          <w:lang w:val="en-US"/>
        </w:rPr>
        <w:t>Entitlement of Legal Entities to Hold Rights under the Inter-American Human Rights System</w:t>
      </w:r>
      <w:r w:rsidR="00F83E8F" w:rsidRPr="00D869E3">
        <w:rPr>
          <w:rFonts w:ascii="Verdana" w:hAnsi="Verdana"/>
          <w:sz w:val="20"/>
          <w:szCs w:val="20"/>
          <w:lang w:val="en-US"/>
        </w:rPr>
        <w:t xml:space="preserve">, </w:t>
      </w:r>
      <w:r w:rsidR="003E1D24" w:rsidRPr="00D869E3">
        <w:rPr>
          <w:rFonts w:ascii="Verdana" w:hAnsi="Verdana"/>
          <w:sz w:val="20"/>
          <w:szCs w:val="20"/>
          <w:lang w:val="en-US"/>
        </w:rPr>
        <w:t xml:space="preserve">when establishing the regime of State obligations with regard to trade or labor unions, </w:t>
      </w:r>
      <w:r w:rsidR="00185A57" w:rsidRPr="00D869E3">
        <w:rPr>
          <w:rFonts w:ascii="Verdana" w:hAnsi="Verdana"/>
          <w:sz w:val="20"/>
          <w:szCs w:val="20"/>
          <w:lang w:val="en-US"/>
        </w:rPr>
        <w:t>the Inter-American Court</w:t>
      </w:r>
      <w:r w:rsidR="00F83E8F" w:rsidRPr="00D869E3">
        <w:rPr>
          <w:rFonts w:ascii="Verdana" w:hAnsi="Verdana"/>
          <w:sz w:val="20"/>
          <w:szCs w:val="20"/>
          <w:lang w:val="en-US"/>
        </w:rPr>
        <w:t xml:space="preserve"> </w:t>
      </w:r>
      <w:r w:rsidR="003E1D24" w:rsidRPr="00D869E3">
        <w:rPr>
          <w:rFonts w:ascii="Verdana" w:hAnsi="Verdana"/>
          <w:sz w:val="20"/>
          <w:szCs w:val="20"/>
          <w:lang w:val="en-US"/>
        </w:rPr>
        <w:t xml:space="preserve">did not delimit or establish an exhaustive or </w:t>
      </w:r>
      <w:r w:rsidR="00A54459" w:rsidRPr="00D869E3">
        <w:rPr>
          <w:rFonts w:ascii="Verdana" w:hAnsi="Verdana"/>
          <w:sz w:val="20"/>
          <w:szCs w:val="20"/>
          <w:lang w:val="en-US"/>
        </w:rPr>
        <w:t>restricted</w:t>
      </w:r>
      <w:r w:rsidR="003E1D24" w:rsidRPr="00D869E3">
        <w:rPr>
          <w:rFonts w:ascii="Verdana" w:hAnsi="Verdana"/>
          <w:sz w:val="20"/>
          <w:szCs w:val="20"/>
          <w:lang w:val="en-US"/>
        </w:rPr>
        <w:t xml:space="preserve"> series of rights</w:t>
      </w:r>
      <w:r w:rsidR="00F83E8F" w:rsidRPr="00D869E3">
        <w:rPr>
          <w:rStyle w:val="Refdenotaalpie"/>
          <w:szCs w:val="20"/>
          <w:lang w:val="en-US"/>
        </w:rPr>
        <w:footnoteReference w:id="338"/>
      </w:r>
      <w:r w:rsidR="006A4744" w:rsidRPr="00D869E3">
        <w:rPr>
          <w:rFonts w:ascii="Verdana" w:hAnsi="Verdana"/>
          <w:sz w:val="20"/>
          <w:szCs w:val="20"/>
          <w:lang w:val="en-US"/>
        </w:rPr>
        <w:t xml:space="preserve"> that would be</w:t>
      </w:r>
      <w:r w:rsidR="00F83E8F" w:rsidRPr="00D869E3">
        <w:rPr>
          <w:rFonts w:ascii="Verdana" w:hAnsi="Verdana"/>
          <w:sz w:val="20"/>
          <w:szCs w:val="20"/>
          <w:lang w:val="en-US"/>
        </w:rPr>
        <w:t xml:space="preserve"> </w:t>
      </w:r>
      <w:r w:rsidR="006A4744" w:rsidRPr="00D869E3">
        <w:rPr>
          <w:rFonts w:ascii="Verdana" w:hAnsi="Verdana"/>
          <w:sz w:val="20"/>
          <w:szCs w:val="20"/>
          <w:lang w:val="en-US"/>
        </w:rPr>
        <w:t>contemplated in</w:t>
      </w:r>
      <w:r w:rsidR="00F83E8F" w:rsidRPr="00D869E3">
        <w:rPr>
          <w:rFonts w:ascii="Verdana" w:hAnsi="Verdana"/>
          <w:sz w:val="20"/>
          <w:szCs w:val="20"/>
          <w:lang w:val="en-US"/>
        </w:rPr>
        <w:t xml:space="preserve"> </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 </w:t>
      </w:r>
      <w:r w:rsidR="00687684" w:rsidRPr="00D869E3">
        <w:rPr>
          <w:rFonts w:ascii="Verdana" w:hAnsi="Verdana"/>
          <w:sz w:val="20"/>
          <w:szCs w:val="20"/>
          <w:lang w:val="en-US"/>
        </w:rPr>
        <w:t>8(1)</w:t>
      </w:r>
      <w:r w:rsidR="006A4744" w:rsidRPr="00D869E3">
        <w:rPr>
          <w:rFonts w:ascii="Verdana" w:hAnsi="Verdana"/>
          <w:sz w:val="20"/>
          <w:szCs w:val="20"/>
          <w:lang w:val="en-US"/>
        </w:rPr>
        <w:t>(</w:t>
      </w:r>
      <w:r w:rsidR="00F83E8F" w:rsidRPr="00D869E3">
        <w:rPr>
          <w:rFonts w:ascii="Verdana" w:hAnsi="Verdana"/>
          <w:sz w:val="20"/>
          <w:szCs w:val="20"/>
          <w:lang w:val="en-US"/>
        </w:rPr>
        <w:t>a</w:t>
      </w:r>
      <w:r w:rsidR="006A4744" w:rsidRPr="00D869E3">
        <w:rPr>
          <w:rFonts w:ascii="Verdana" w:hAnsi="Verdana"/>
          <w:sz w:val="20"/>
          <w:szCs w:val="20"/>
          <w:lang w:val="en-US"/>
        </w:rPr>
        <w:t>)</w:t>
      </w:r>
      <w:r w:rsidR="00F83E8F" w:rsidRPr="00D869E3">
        <w:rPr>
          <w:rFonts w:ascii="Verdana" w:hAnsi="Verdana"/>
          <w:sz w:val="20"/>
          <w:szCs w:val="20"/>
          <w:lang w:val="en-US"/>
        </w:rPr>
        <w:t xml:space="preserve"> </w:t>
      </w:r>
      <w:r w:rsidR="00916899" w:rsidRPr="00D869E3">
        <w:rPr>
          <w:rFonts w:ascii="Verdana" w:hAnsi="Verdana"/>
          <w:sz w:val="20"/>
          <w:szCs w:val="20"/>
          <w:lang w:val="en-US"/>
        </w:rPr>
        <w:t>of the Protocol of</w:t>
      </w:r>
      <w:r w:rsidR="00F83E8F" w:rsidRPr="00D869E3">
        <w:rPr>
          <w:rFonts w:ascii="Verdana" w:hAnsi="Verdana"/>
          <w:sz w:val="20"/>
          <w:szCs w:val="20"/>
          <w:lang w:val="en-US"/>
        </w:rPr>
        <w:t xml:space="preserve"> San Salvador. </w:t>
      </w:r>
      <w:r w:rsidR="006A4744" w:rsidRPr="00D869E3">
        <w:rPr>
          <w:rFonts w:ascii="Verdana" w:hAnsi="Verdana"/>
          <w:sz w:val="20"/>
          <w:szCs w:val="20"/>
          <w:lang w:val="en-US"/>
        </w:rPr>
        <w:t xml:space="preserve">Rather, </w:t>
      </w:r>
      <w:r w:rsidR="00671B14" w:rsidRPr="00D869E3">
        <w:rPr>
          <w:rFonts w:ascii="Verdana" w:hAnsi="Verdana"/>
          <w:sz w:val="20"/>
          <w:szCs w:val="20"/>
          <w:lang w:val="en-US"/>
        </w:rPr>
        <w:t>the Inter-American Court</w:t>
      </w:r>
      <w:r w:rsidR="00F83E8F" w:rsidRPr="00D869E3">
        <w:rPr>
          <w:rFonts w:ascii="Verdana" w:hAnsi="Verdana"/>
          <w:sz w:val="20"/>
          <w:szCs w:val="20"/>
          <w:lang w:val="en-US"/>
        </w:rPr>
        <w:t xml:space="preserve"> </w:t>
      </w:r>
      <w:r w:rsidR="006A4744" w:rsidRPr="00D869E3">
        <w:rPr>
          <w:rFonts w:ascii="Verdana" w:hAnsi="Verdana"/>
          <w:sz w:val="20"/>
          <w:szCs w:val="20"/>
          <w:lang w:val="en-US"/>
        </w:rPr>
        <w:t>merely established and interpreted some “examples” of obligations and that, if th</w:t>
      </w:r>
      <w:r w:rsidR="00A54459" w:rsidRPr="00D869E3">
        <w:rPr>
          <w:rFonts w:ascii="Verdana" w:hAnsi="Verdana"/>
          <w:sz w:val="20"/>
          <w:szCs w:val="20"/>
          <w:lang w:val="en-US"/>
        </w:rPr>
        <w:t>o</w:t>
      </w:r>
      <w:r w:rsidR="006A4744" w:rsidRPr="00D869E3">
        <w:rPr>
          <w:rFonts w:ascii="Verdana" w:hAnsi="Verdana"/>
          <w:sz w:val="20"/>
          <w:szCs w:val="20"/>
          <w:lang w:val="en-US"/>
        </w:rPr>
        <w:t xml:space="preserve">se obligations were not respected and ensured, </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 </w:t>
      </w:r>
      <w:r w:rsidR="00687684" w:rsidRPr="00D869E3">
        <w:rPr>
          <w:rFonts w:ascii="Verdana" w:hAnsi="Verdana"/>
          <w:sz w:val="20"/>
          <w:szCs w:val="20"/>
          <w:lang w:val="en-US"/>
        </w:rPr>
        <w:t>8(1)</w:t>
      </w:r>
      <w:r w:rsidR="006A4744" w:rsidRPr="00D869E3">
        <w:rPr>
          <w:rFonts w:ascii="Verdana" w:hAnsi="Verdana"/>
          <w:sz w:val="20"/>
          <w:szCs w:val="20"/>
          <w:lang w:val="en-US"/>
        </w:rPr>
        <w:t>(</w:t>
      </w:r>
      <w:r w:rsidR="00F83E8F" w:rsidRPr="00D869E3">
        <w:rPr>
          <w:rFonts w:ascii="Verdana" w:hAnsi="Verdana"/>
          <w:sz w:val="20"/>
          <w:szCs w:val="20"/>
          <w:lang w:val="en-US"/>
        </w:rPr>
        <w:t>a</w:t>
      </w:r>
      <w:r w:rsidR="006A4744" w:rsidRPr="00D869E3">
        <w:rPr>
          <w:rFonts w:ascii="Verdana" w:hAnsi="Verdana"/>
          <w:sz w:val="20"/>
          <w:szCs w:val="20"/>
          <w:lang w:val="en-US"/>
        </w:rPr>
        <w:t>)</w:t>
      </w:r>
      <w:r w:rsidR="00F83E8F" w:rsidRPr="00D869E3">
        <w:rPr>
          <w:rFonts w:ascii="Verdana" w:hAnsi="Verdana"/>
          <w:sz w:val="20"/>
          <w:szCs w:val="20"/>
          <w:lang w:val="en-US"/>
        </w:rPr>
        <w:t xml:space="preserve"> </w:t>
      </w:r>
      <w:r w:rsidR="006A4744" w:rsidRPr="00D869E3">
        <w:rPr>
          <w:rFonts w:ascii="Verdana" w:hAnsi="Verdana"/>
          <w:sz w:val="20"/>
          <w:szCs w:val="20"/>
          <w:lang w:val="en-US"/>
        </w:rPr>
        <w:t>of the</w:t>
      </w:r>
      <w:r w:rsidR="00F83E8F" w:rsidRPr="00D869E3">
        <w:rPr>
          <w:rFonts w:ascii="Verdana" w:hAnsi="Verdana"/>
          <w:sz w:val="20"/>
          <w:szCs w:val="20"/>
          <w:lang w:val="en-US"/>
        </w:rPr>
        <w:t xml:space="preserve"> Protocol</w:t>
      </w:r>
      <w:r w:rsidR="006A4744" w:rsidRPr="00D869E3">
        <w:rPr>
          <w:rFonts w:ascii="Verdana" w:hAnsi="Verdana"/>
          <w:sz w:val="20"/>
          <w:szCs w:val="20"/>
          <w:lang w:val="en-US"/>
        </w:rPr>
        <w:t xml:space="preserve"> of</w:t>
      </w:r>
      <w:r w:rsidR="00F83E8F" w:rsidRPr="00D869E3">
        <w:rPr>
          <w:rFonts w:ascii="Verdana" w:hAnsi="Verdana"/>
          <w:sz w:val="20"/>
          <w:szCs w:val="20"/>
          <w:lang w:val="en-US"/>
        </w:rPr>
        <w:t xml:space="preserve"> San Salvador</w:t>
      </w:r>
      <w:r w:rsidR="006A4744" w:rsidRPr="00D869E3">
        <w:rPr>
          <w:rFonts w:ascii="Verdana" w:hAnsi="Verdana"/>
          <w:sz w:val="20"/>
          <w:szCs w:val="20"/>
          <w:lang w:val="en-US"/>
        </w:rPr>
        <w:t xml:space="preserve"> could be violated</w:t>
      </w:r>
      <w:r w:rsidR="00F83E8F" w:rsidRPr="00D869E3">
        <w:rPr>
          <w:rFonts w:ascii="Verdana" w:hAnsi="Verdana"/>
          <w:sz w:val="20"/>
          <w:szCs w:val="20"/>
          <w:lang w:val="en-US"/>
        </w:rPr>
        <w:t xml:space="preserve">. </w:t>
      </w:r>
      <w:r w:rsidR="006A4744" w:rsidRPr="00D869E3">
        <w:rPr>
          <w:rFonts w:ascii="Verdana" w:hAnsi="Verdana"/>
          <w:sz w:val="20"/>
          <w:szCs w:val="20"/>
          <w:lang w:val="en-US"/>
        </w:rPr>
        <w:t xml:space="preserve">Thus, </w:t>
      </w:r>
      <w:r w:rsidR="00671B14" w:rsidRPr="00D869E3">
        <w:rPr>
          <w:rFonts w:ascii="Verdana" w:hAnsi="Verdana"/>
          <w:sz w:val="20"/>
          <w:szCs w:val="20"/>
          <w:lang w:val="en-US"/>
        </w:rPr>
        <w:t>the Inter-American Court</w:t>
      </w:r>
      <w:r w:rsidR="00F83E8F" w:rsidRPr="00D869E3">
        <w:rPr>
          <w:rFonts w:ascii="Verdana" w:hAnsi="Verdana"/>
          <w:sz w:val="20"/>
          <w:szCs w:val="20"/>
          <w:lang w:val="en-US"/>
        </w:rPr>
        <w:t xml:space="preserve"> consider</w:t>
      </w:r>
      <w:r w:rsidR="006A4744" w:rsidRPr="00D869E3">
        <w:rPr>
          <w:rFonts w:ascii="Verdana" w:hAnsi="Verdana"/>
          <w:sz w:val="20"/>
          <w:szCs w:val="20"/>
          <w:lang w:val="en-US"/>
        </w:rPr>
        <w:t>ed that</w:t>
      </w:r>
      <w:r w:rsidR="00F83E8F" w:rsidRPr="00D869E3">
        <w:rPr>
          <w:rFonts w:ascii="Verdana" w:hAnsi="Verdana"/>
          <w:sz w:val="20"/>
          <w:szCs w:val="20"/>
          <w:lang w:val="en-US"/>
        </w:rPr>
        <w:t xml:space="preserve">:  </w:t>
      </w:r>
    </w:p>
    <w:p w14:paraId="2B3609AA" w14:textId="77777777" w:rsidR="00F83E8F" w:rsidRPr="00D869E3" w:rsidRDefault="00F83E8F" w:rsidP="00F83E8F">
      <w:pPr>
        <w:pStyle w:val="Prrafodelista"/>
        <w:rPr>
          <w:rFonts w:ascii="Verdana" w:hAnsi="Verdana"/>
          <w:sz w:val="20"/>
          <w:szCs w:val="20"/>
          <w:lang w:val="en-US"/>
        </w:rPr>
      </w:pPr>
    </w:p>
    <w:p w14:paraId="531D9A78" w14:textId="77777777" w:rsidR="00F83E8F" w:rsidRPr="00D869E3" w:rsidRDefault="00F83E8F" w:rsidP="00E70701">
      <w:pPr>
        <w:pStyle w:val="Prrafodelista"/>
        <w:widowControl w:val="0"/>
        <w:numPr>
          <w:ilvl w:val="0"/>
          <w:numId w:val="28"/>
        </w:numPr>
        <w:autoSpaceDE w:val="0"/>
        <w:autoSpaceDN w:val="0"/>
        <w:adjustRightInd w:val="0"/>
        <w:ind w:left="0" w:right="49" w:firstLine="0"/>
        <w:jc w:val="both"/>
        <w:rPr>
          <w:rFonts w:ascii="Verdana" w:hAnsi="Verdana"/>
          <w:sz w:val="20"/>
          <w:szCs w:val="20"/>
          <w:lang w:val="en-US"/>
        </w:rPr>
      </w:pPr>
    </w:p>
    <w:p w14:paraId="31BBD406" w14:textId="30101A84" w:rsidR="00F83E8F" w:rsidRPr="00D869E3" w:rsidRDefault="00F83E8F" w:rsidP="00A54459">
      <w:pPr>
        <w:tabs>
          <w:tab w:val="left" w:pos="8222"/>
        </w:tabs>
        <w:ind w:left="708" w:right="746"/>
        <w:jc w:val="both"/>
        <w:rPr>
          <w:rFonts w:ascii="Verdana" w:hAnsi="Verdana"/>
          <w:sz w:val="16"/>
          <w:szCs w:val="16"/>
          <w:lang w:val="en-US"/>
        </w:rPr>
      </w:pPr>
      <w:r w:rsidRPr="00D869E3">
        <w:rPr>
          <w:rFonts w:ascii="Verdana" w:hAnsi="Verdana"/>
          <w:sz w:val="16"/>
          <w:szCs w:val="16"/>
          <w:lang w:val="en-US"/>
        </w:rPr>
        <w:t>101. Ad</w:t>
      </w:r>
      <w:r w:rsidR="006A4744" w:rsidRPr="00D869E3">
        <w:rPr>
          <w:rFonts w:ascii="Verdana" w:hAnsi="Verdana"/>
          <w:sz w:val="16"/>
          <w:szCs w:val="16"/>
          <w:lang w:val="en-US"/>
        </w:rPr>
        <w:t xml:space="preserve">ditionally, </w:t>
      </w:r>
      <w:r w:rsidR="00447C65" w:rsidRPr="00D869E3">
        <w:rPr>
          <w:rFonts w:ascii="Verdana" w:hAnsi="Verdana"/>
          <w:sz w:val="16"/>
          <w:szCs w:val="16"/>
          <w:lang w:val="en-US"/>
        </w:rPr>
        <w:t>the Court</w:t>
      </w:r>
      <w:r w:rsidRPr="00D869E3">
        <w:rPr>
          <w:rFonts w:ascii="Verdana" w:hAnsi="Verdana"/>
          <w:sz w:val="16"/>
          <w:szCs w:val="16"/>
          <w:lang w:val="en-US"/>
        </w:rPr>
        <w:t xml:space="preserve"> consider</w:t>
      </w:r>
      <w:r w:rsidR="006A4744" w:rsidRPr="00D869E3">
        <w:rPr>
          <w:rFonts w:ascii="Verdana" w:hAnsi="Verdana"/>
          <w:sz w:val="16"/>
          <w:szCs w:val="16"/>
          <w:lang w:val="en-US"/>
        </w:rPr>
        <w:t>s</w:t>
      </w:r>
      <w:r w:rsidRPr="00D869E3">
        <w:rPr>
          <w:rFonts w:ascii="Verdana" w:hAnsi="Verdana"/>
          <w:sz w:val="16"/>
          <w:szCs w:val="16"/>
          <w:lang w:val="en-US"/>
        </w:rPr>
        <w:t xml:space="preserve"> </w:t>
      </w:r>
      <w:r w:rsidR="006A4744" w:rsidRPr="00D869E3">
        <w:rPr>
          <w:rFonts w:ascii="Verdana" w:hAnsi="Verdana"/>
          <w:sz w:val="16"/>
          <w:szCs w:val="16"/>
          <w:lang w:val="en-US"/>
        </w:rPr>
        <w:t>that the</w:t>
      </w:r>
      <w:r w:rsidRPr="00D869E3">
        <w:rPr>
          <w:rFonts w:ascii="Verdana" w:hAnsi="Verdana"/>
          <w:sz w:val="16"/>
          <w:szCs w:val="16"/>
          <w:lang w:val="en-US"/>
        </w:rPr>
        <w:t xml:space="preserve"> </w:t>
      </w:r>
      <w:r w:rsidR="006A4744" w:rsidRPr="00D869E3">
        <w:rPr>
          <w:rFonts w:ascii="Verdana" w:hAnsi="Verdana"/>
          <w:b/>
          <w:sz w:val="16"/>
          <w:szCs w:val="16"/>
          <w:lang w:val="en-US"/>
        </w:rPr>
        <w:t>general o</w:t>
      </w:r>
      <w:r w:rsidRPr="00D869E3">
        <w:rPr>
          <w:rFonts w:ascii="Verdana" w:hAnsi="Verdana"/>
          <w:b/>
          <w:sz w:val="16"/>
          <w:szCs w:val="16"/>
          <w:lang w:val="en-US"/>
        </w:rPr>
        <w:t>bliga</w:t>
      </w:r>
      <w:r w:rsidR="006A4744" w:rsidRPr="00D869E3">
        <w:rPr>
          <w:rFonts w:ascii="Verdana" w:hAnsi="Verdana"/>
          <w:b/>
          <w:sz w:val="16"/>
          <w:szCs w:val="16"/>
          <w:lang w:val="en-US"/>
        </w:rPr>
        <w:t xml:space="preserve">tion of States to ensure </w:t>
      </w:r>
      <w:r w:rsidR="006A4744" w:rsidRPr="00D869E3">
        <w:rPr>
          <w:rFonts w:ascii="Verdana" w:hAnsi="Verdana"/>
          <w:sz w:val="16"/>
          <w:szCs w:val="16"/>
          <w:u w:val="single"/>
          <w:lang w:val="en-US"/>
        </w:rPr>
        <w:t xml:space="preserve">trade union </w:t>
      </w:r>
      <w:r w:rsidR="00881A39" w:rsidRPr="00D869E3">
        <w:rPr>
          <w:rFonts w:ascii="Verdana" w:hAnsi="Verdana"/>
          <w:sz w:val="16"/>
          <w:szCs w:val="16"/>
          <w:u w:val="single"/>
          <w:lang w:val="en-US"/>
        </w:rPr>
        <w:t>rights</w:t>
      </w:r>
      <w:r w:rsidRPr="00D869E3">
        <w:rPr>
          <w:rFonts w:ascii="Verdana" w:hAnsi="Verdana"/>
          <w:sz w:val="16"/>
          <w:szCs w:val="16"/>
          <w:u w:val="single"/>
          <w:lang w:val="en-US"/>
        </w:rPr>
        <w:t xml:space="preserve"> </w:t>
      </w:r>
      <w:r w:rsidR="006A4744" w:rsidRPr="00D869E3">
        <w:rPr>
          <w:rFonts w:ascii="Verdana" w:hAnsi="Verdana"/>
          <w:sz w:val="16"/>
          <w:szCs w:val="16"/>
          <w:u w:val="single"/>
          <w:lang w:val="en-US"/>
        </w:rPr>
        <w:t>contained in</w:t>
      </w:r>
      <w:r w:rsidRPr="00D869E3">
        <w:rPr>
          <w:rFonts w:ascii="Verdana" w:hAnsi="Verdana"/>
          <w:sz w:val="16"/>
          <w:szCs w:val="16"/>
          <w:u w:val="single"/>
          <w:lang w:val="en-US"/>
        </w:rPr>
        <w:t xml:space="preserve"> </w:t>
      </w:r>
      <w:r w:rsidR="006A4744" w:rsidRPr="00D869E3">
        <w:rPr>
          <w:rFonts w:ascii="Verdana" w:hAnsi="Verdana"/>
          <w:sz w:val="16"/>
          <w:szCs w:val="16"/>
          <w:u w:val="single"/>
          <w:lang w:val="en-US"/>
        </w:rPr>
        <w:t>Article</w:t>
      </w:r>
      <w:r w:rsidRPr="00D869E3">
        <w:rPr>
          <w:rFonts w:ascii="Verdana" w:hAnsi="Verdana"/>
          <w:sz w:val="16"/>
          <w:szCs w:val="16"/>
          <w:u w:val="single"/>
          <w:lang w:val="en-US"/>
        </w:rPr>
        <w:t xml:space="preserve"> </w:t>
      </w:r>
      <w:r w:rsidR="00687684" w:rsidRPr="00D869E3">
        <w:rPr>
          <w:rFonts w:ascii="Verdana" w:hAnsi="Verdana"/>
          <w:sz w:val="16"/>
          <w:szCs w:val="16"/>
          <w:u w:val="single"/>
          <w:lang w:val="en-US"/>
        </w:rPr>
        <w:t>8(1)</w:t>
      </w:r>
      <w:r w:rsidR="006A4744" w:rsidRPr="00D869E3">
        <w:rPr>
          <w:rFonts w:ascii="Verdana" w:hAnsi="Verdana"/>
          <w:sz w:val="16"/>
          <w:szCs w:val="16"/>
          <w:u w:val="single"/>
          <w:lang w:val="en-US"/>
        </w:rPr>
        <w:t>(</w:t>
      </w:r>
      <w:r w:rsidRPr="00D869E3">
        <w:rPr>
          <w:rFonts w:ascii="Verdana" w:hAnsi="Verdana"/>
          <w:sz w:val="16"/>
          <w:szCs w:val="16"/>
          <w:u w:val="single"/>
          <w:lang w:val="en-US"/>
        </w:rPr>
        <w:t>a</w:t>
      </w:r>
      <w:r w:rsidR="006A4744" w:rsidRPr="00D869E3">
        <w:rPr>
          <w:rFonts w:ascii="Verdana" w:hAnsi="Verdana"/>
          <w:sz w:val="16"/>
          <w:szCs w:val="16"/>
          <w:u w:val="single"/>
          <w:lang w:val="en-US"/>
        </w:rPr>
        <w:t>) of the Protocol translates into the positive obligations to permit and enco</w:t>
      </w:r>
      <w:r w:rsidR="00A54459" w:rsidRPr="00D869E3">
        <w:rPr>
          <w:rFonts w:ascii="Verdana" w:hAnsi="Verdana"/>
          <w:sz w:val="16"/>
          <w:szCs w:val="16"/>
          <w:u w:val="single"/>
          <w:lang w:val="en-US"/>
        </w:rPr>
        <w:t>u</w:t>
      </w:r>
      <w:r w:rsidR="006A4744" w:rsidRPr="00D869E3">
        <w:rPr>
          <w:rFonts w:ascii="Verdana" w:hAnsi="Verdana"/>
          <w:sz w:val="16"/>
          <w:szCs w:val="16"/>
          <w:u w:val="single"/>
          <w:lang w:val="en-US"/>
        </w:rPr>
        <w:t xml:space="preserve">rage the </w:t>
      </w:r>
      <w:r w:rsidR="00A54459" w:rsidRPr="00D869E3">
        <w:rPr>
          <w:rFonts w:ascii="Verdana" w:hAnsi="Verdana"/>
          <w:sz w:val="16"/>
          <w:szCs w:val="16"/>
          <w:u w:val="single"/>
          <w:lang w:val="en-US"/>
        </w:rPr>
        <w:t>creation</w:t>
      </w:r>
      <w:r w:rsidR="006A4744" w:rsidRPr="00D869E3">
        <w:rPr>
          <w:rFonts w:ascii="Verdana" w:hAnsi="Verdana"/>
          <w:sz w:val="16"/>
          <w:szCs w:val="16"/>
          <w:u w:val="single"/>
          <w:lang w:val="en-US"/>
        </w:rPr>
        <w:t xml:space="preserve"> of appropriate conditions </w:t>
      </w:r>
      <w:r w:rsidR="00A54459" w:rsidRPr="00D869E3">
        <w:rPr>
          <w:rFonts w:ascii="Verdana" w:hAnsi="Verdana"/>
          <w:sz w:val="16"/>
          <w:szCs w:val="16"/>
          <w:u w:val="single"/>
          <w:lang w:val="en-US"/>
        </w:rPr>
        <w:t>to ensure that</w:t>
      </w:r>
      <w:r w:rsidR="006A4744" w:rsidRPr="00D869E3">
        <w:rPr>
          <w:rFonts w:ascii="Verdana" w:hAnsi="Verdana"/>
          <w:sz w:val="16"/>
          <w:szCs w:val="16"/>
          <w:u w:val="single"/>
          <w:lang w:val="en-US"/>
        </w:rPr>
        <w:t xml:space="preserve"> such rights can be realized effectively</w:t>
      </w:r>
      <w:r w:rsidRPr="00D869E3">
        <w:rPr>
          <w:rFonts w:ascii="Verdana" w:hAnsi="Verdana"/>
          <w:sz w:val="16"/>
          <w:szCs w:val="16"/>
          <w:lang w:val="en-US"/>
        </w:rPr>
        <w:t xml:space="preserve">. </w:t>
      </w:r>
      <w:r w:rsidR="00075E68" w:rsidRPr="00D869E3">
        <w:rPr>
          <w:rFonts w:ascii="Verdana" w:hAnsi="Verdana"/>
          <w:sz w:val="16"/>
          <w:szCs w:val="16"/>
          <w:lang w:val="en-US"/>
        </w:rPr>
        <w:t>In this regard</w:t>
      </w:r>
      <w:r w:rsidRPr="00D869E3">
        <w:rPr>
          <w:rFonts w:ascii="Verdana" w:hAnsi="Verdana"/>
          <w:sz w:val="16"/>
          <w:szCs w:val="16"/>
          <w:lang w:val="en-US"/>
        </w:rPr>
        <w:t>,</w:t>
      </w:r>
      <w:r w:rsidRPr="00D869E3">
        <w:rPr>
          <w:rFonts w:ascii="Verdana" w:hAnsi="Verdana"/>
          <w:b/>
          <w:sz w:val="16"/>
          <w:szCs w:val="16"/>
          <w:lang w:val="en-US"/>
        </w:rPr>
        <w:t xml:space="preserve"> </w:t>
      </w:r>
      <w:r w:rsidR="00447C65" w:rsidRPr="00D869E3">
        <w:rPr>
          <w:rFonts w:ascii="Verdana" w:hAnsi="Verdana"/>
          <w:b/>
          <w:sz w:val="16"/>
          <w:szCs w:val="16"/>
          <w:lang w:val="en-US"/>
        </w:rPr>
        <w:t>the Court</w:t>
      </w:r>
      <w:r w:rsidRPr="00D869E3">
        <w:rPr>
          <w:rFonts w:ascii="Verdana" w:hAnsi="Verdana"/>
          <w:b/>
          <w:sz w:val="16"/>
          <w:szCs w:val="16"/>
          <w:lang w:val="en-US"/>
        </w:rPr>
        <w:t xml:space="preserve"> </w:t>
      </w:r>
      <w:r w:rsidR="006A4744" w:rsidRPr="00D869E3">
        <w:rPr>
          <w:rFonts w:ascii="Verdana" w:hAnsi="Verdana"/>
          <w:b/>
          <w:sz w:val="16"/>
          <w:szCs w:val="16"/>
          <w:lang w:val="en-US"/>
        </w:rPr>
        <w:t xml:space="preserve">referred to ILO </w:t>
      </w:r>
      <w:r w:rsidRPr="00D869E3">
        <w:rPr>
          <w:rFonts w:ascii="Verdana" w:hAnsi="Verdana"/>
          <w:b/>
          <w:sz w:val="16"/>
          <w:szCs w:val="16"/>
          <w:lang w:val="en-US"/>
        </w:rPr>
        <w:t>Conven</w:t>
      </w:r>
      <w:r w:rsidR="006A4744" w:rsidRPr="00D869E3">
        <w:rPr>
          <w:rFonts w:ascii="Verdana" w:hAnsi="Verdana"/>
          <w:b/>
          <w:sz w:val="16"/>
          <w:szCs w:val="16"/>
          <w:lang w:val="en-US"/>
        </w:rPr>
        <w:t>tion</w:t>
      </w:r>
      <w:r w:rsidRPr="00D869E3">
        <w:rPr>
          <w:rFonts w:ascii="Verdana" w:hAnsi="Verdana"/>
          <w:b/>
          <w:sz w:val="16"/>
          <w:szCs w:val="16"/>
          <w:lang w:val="en-US"/>
        </w:rPr>
        <w:t xml:space="preserve"> 87 </w:t>
      </w:r>
      <w:r w:rsidR="006A4744" w:rsidRPr="00D869E3">
        <w:rPr>
          <w:rFonts w:ascii="Verdana" w:hAnsi="Verdana"/>
          <w:b/>
          <w:sz w:val="16"/>
          <w:szCs w:val="16"/>
          <w:lang w:val="en-US"/>
        </w:rPr>
        <w:t xml:space="preserve">in order to mention examples </w:t>
      </w:r>
      <w:r w:rsidR="006A4744" w:rsidRPr="00D869E3">
        <w:rPr>
          <w:rFonts w:ascii="Verdana" w:hAnsi="Verdana"/>
          <w:sz w:val="16"/>
          <w:szCs w:val="16"/>
          <w:lang w:val="en-US"/>
        </w:rPr>
        <w:t xml:space="preserve">that illustrate the positive obligations that arise from the general obligation to ensure the rights recognized to trade unions, federations and confederations. </w:t>
      </w:r>
      <w:r w:rsidR="00A54459" w:rsidRPr="00D869E3">
        <w:rPr>
          <w:rFonts w:ascii="Verdana" w:hAnsi="Verdana"/>
          <w:sz w:val="16"/>
          <w:szCs w:val="16"/>
          <w:lang w:val="en-US"/>
        </w:rPr>
        <w:t>Thus</w:t>
      </w:r>
      <w:r w:rsidRPr="00D869E3">
        <w:rPr>
          <w:rFonts w:ascii="Verdana" w:hAnsi="Verdana"/>
          <w:sz w:val="16"/>
          <w:szCs w:val="16"/>
          <w:lang w:val="en-US"/>
        </w:rPr>
        <w:t xml:space="preserve">, </w:t>
      </w:r>
      <w:r w:rsidR="00447C65" w:rsidRPr="00D869E3">
        <w:rPr>
          <w:rFonts w:ascii="Verdana" w:hAnsi="Verdana"/>
          <w:sz w:val="16"/>
          <w:szCs w:val="16"/>
          <w:lang w:val="en-US"/>
        </w:rPr>
        <w:t>the Court</w:t>
      </w:r>
      <w:r w:rsidRPr="00D869E3">
        <w:rPr>
          <w:rFonts w:ascii="Verdana" w:hAnsi="Verdana"/>
          <w:sz w:val="16"/>
          <w:szCs w:val="16"/>
          <w:lang w:val="en-US"/>
        </w:rPr>
        <w:t xml:space="preserve"> not</w:t>
      </w:r>
      <w:r w:rsidR="006A4744" w:rsidRPr="00D869E3">
        <w:rPr>
          <w:rFonts w:ascii="Verdana" w:hAnsi="Verdana"/>
          <w:sz w:val="16"/>
          <w:szCs w:val="16"/>
          <w:lang w:val="en-US"/>
        </w:rPr>
        <w:t>es that Article 3(1) of that Convention establishes the right of workers’ organisations “</w:t>
      </w:r>
      <w:r w:rsidR="006A4744" w:rsidRPr="00D869E3">
        <w:rPr>
          <w:rFonts w:ascii="Verdana" w:hAnsi="Verdana"/>
          <w:sz w:val="16"/>
          <w:szCs w:val="16"/>
          <w:u w:val="single"/>
          <w:lang w:val="en-US"/>
        </w:rPr>
        <w:t>to draw up their constitutions and rules, to elect their representatives in full freedom, to organize their administration and activities and to formulate their programmes</w:t>
      </w:r>
      <w:r w:rsidR="006A4744" w:rsidRPr="00D869E3">
        <w:rPr>
          <w:rFonts w:ascii="Verdana" w:hAnsi="Verdana"/>
          <w:sz w:val="16"/>
          <w:szCs w:val="16"/>
          <w:lang w:val="en-US"/>
        </w:rPr>
        <w:t>.”</w:t>
      </w:r>
      <w:r w:rsidRPr="00D869E3">
        <w:rPr>
          <w:rFonts w:ascii="Verdana" w:hAnsi="Verdana"/>
          <w:sz w:val="16"/>
          <w:szCs w:val="16"/>
          <w:lang w:val="en-US"/>
        </w:rPr>
        <w:t xml:space="preserve"> </w:t>
      </w:r>
    </w:p>
    <w:p w14:paraId="0DC1A946" w14:textId="77777777" w:rsidR="00F83E8F" w:rsidRPr="00D869E3" w:rsidRDefault="00F83E8F" w:rsidP="00A54459">
      <w:pPr>
        <w:tabs>
          <w:tab w:val="left" w:pos="8222"/>
        </w:tabs>
        <w:ind w:left="708" w:right="746"/>
        <w:jc w:val="both"/>
        <w:rPr>
          <w:rFonts w:ascii="Verdana" w:hAnsi="Verdana"/>
          <w:sz w:val="16"/>
          <w:szCs w:val="16"/>
          <w:lang w:val="en-US"/>
        </w:rPr>
      </w:pPr>
    </w:p>
    <w:p w14:paraId="598793A8" w14:textId="1D655695" w:rsidR="00F83E8F" w:rsidRPr="00D869E3" w:rsidRDefault="00F83E8F" w:rsidP="00A54459">
      <w:pPr>
        <w:tabs>
          <w:tab w:val="left" w:pos="8222"/>
        </w:tabs>
        <w:ind w:left="708" w:right="746"/>
        <w:jc w:val="both"/>
        <w:rPr>
          <w:rFonts w:ascii="Verdana" w:hAnsi="Verdana"/>
          <w:bCs/>
          <w:sz w:val="16"/>
          <w:szCs w:val="16"/>
          <w:u w:val="single"/>
          <w:lang w:val="en-US"/>
        </w:rPr>
      </w:pPr>
      <w:r w:rsidRPr="00D869E3">
        <w:rPr>
          <w:rFonts w:ascii="Verdana" w:hAnsi="Verdana"/>
          <w:sz w:val="16"/>
          <w:szCs w:val="16"/>
          <w:lang w:val="en-US"/>
        </w:rPr>
        <w:t xml:space="preserve">102. </w:t>
      </w:r>
      <w:r w:rsidR="006A4744" w:rsidRPr="00D869E3">
        <w:rPr>
          <w:rFonts w:ascii="Verdana" w:hAnsi="Verdana"/>
          <w:sz w:val="16"/>
          <w:szCs w:val="16"/>
          <w:lang w:val="en-US"/>
        </w:rPr>
        <w:t xml:space="preserve">In keeping with the foregoing, </w:t>
      </w:r>
      <w:r w:rsidR="006A4744" w:rsidRPr="00D869E3">
        <w:rPr>
          <w:rFonts w:ascii="Verdana" w:hAnsi="Verdana"/>
          <w:b/>
          <w:sz w:val="16"/>
          <w:szCs w:val="16"/>
          <w:lang w:val="en-US"/>
        </w:rPr>
        <w:t>the general obligation of the States to respect</w:t>
      </w:r>
      <w:r w:rsidRPr="00D869E3">
        <w:rPr>
          <w:rFonts w:ascii="Verdana" w:hAnsi="Verdana"/>
          <w:b/>
          <w:sz w:val="16"/>
          <w:szCs w:val="16"/>
          <w:lang w:val="en-US"/>
        </w:rPr>
        <w:t xml:space="preserve"> </w:t>
      </w:r>
      <w:r w:rsidR="00881A39" w:rsidRPr="00D869E3">
        <w:rPr>
          <w:rFonts w:ascii="Verdana" w:hAnsi="Verdana"/>
          <w:sz w:val="16"/>
          <w:szCs w:val="16"/>
          <w:u w:val="single"/>
          <w:lang w:val="en-US"/>
        </w:rPr>
        <w:t>rights</w:t>
      </w:r>
      <w:r w:rsidRPr="00D869E3">
        <w:rPr>
          <w:rFonts w:ascii="Verdana" w:hAnsi="Verdana"/>
          <w:sz w:val="16"/>
          <w:szCs w:val="16"/>
          <w:u w:val="single"/>
          <w:lang w:val="en-US"/>
        </w:rPr>
        <w:t xml:space="preserve"> </w:t>
      </w:r>
      <w:r w:rsidR="006A4744" w:rsidRPr="00D869E3">
        <w:rPr>
          <w:rFonts w:ascii="Verdana" w:hAnsi="Verdana"/>
          <w:sz w:val="16"/>
          <w:szCs w:val="16"/>
          <w:u w:val="single"/>
          <w:lang w:val="en-US"/>
        </w:rPr>
        <w:t>entails negative obligations</w:t>
      </w:r>
      <w:r w:rsidR="0047382F" w:rsidRPr="00D869E3">
        <w:rPr>
          <w:rFonts w:ascii="Verdana" w:hAnsi="Verdana"/>
          <w:sz w:val="16"/>
          <w:szCs w:val="16"/>
          <w:u w:val="single"/>
          <w:lang w:val="en-US"/>
        </w:rPr>
        <w:t xml:space="preserve"> such as</w:t>
      </w:r>
      <w:r w:rsidR="006A4744" w:rsidRPr="00D869E3">
        <w:rPr>
          <w:rFonts w:ascii="Verdana" w:hAnsi="Verdana"/>
          <w:sz w:val="16"/>
          <w:szCs w:val="16"/>
          <w:u w:val="single"/>
          <w:lang w:val="en-US"/>
        </w:rPr>
        <w:t xml:space="preserve"> refrain</w:t>
      </w:r>
      <w:r w:rsidR="0047382F" w:rsidRPr="00D869E3">
        <w:rPr>
          <w:rFonts w:ascii="Verdana" w:hAnsi="Verdana"/>
          <w:sz w:val="16"/>
          <w:szCs w:val="16"/>
          <w:u w:val="single"/>
          <w:lang w:val="en-US"/>
        </w:rPr>
        <w:t>ing</w:t>
      </w:r>
      <w:r w:rsidR="006A4744" w:rsidRPr="00D869E3">
        <w:rPr>
          <w:rFonts w:ascii="Verdana" w:hAnsi="Verdana"/>
          <w:sz w:val="16"/>
          <w:szCs w:val="16"/>
          <w:u w:val="single"/>
          <w:lang w:val="en-US"/>
        </w:rPr>
        <w:t xml:space="preserve"> from creating legal or political barriers</w:t>
      </w:r>
      <w:r w:rsidR="0047382F" w:rsidRPr="00D869E3">
        <w:rPr>
          <w:rFonts w:ascii="Verdana" w:hAnsi="Verdana"/>
          <w:sz w:val="16"/>
          <w:szCs w:val="16"/>
          <w:u w:val="single"/>
          <w:lang w:val="en-US"/>
        </w:rPr>
        <w:t xml:space="preserve"> that could prevent unions, federations and confederations from being able to function</w:t>
      </w:r>
      <w:r w:rsidR="00A54459" w:rsidRPr="00D869E3">
        <w:rPr>
          <w:rFonts w:ascii="Verdana" w:hAnsi="Verdana"/>
          <w:sz w:val="16"/>
          <w:szCs w:val="16"/>
          <w:u w:val="single"/>
          <w:lang w:val="en-US"/>
        </w:rPr>
        <w:t xml:space="preserve"> freely</w:t>
      </w:r>
      <w:r w:rsidR="0047382F" w:rsidRPr="00D869E3">
        <w:rPr>
          <w:rFonts w:ascii="Verdana" w:hAnsi="Verdana"/>
          <w:sz w:val="16"/>
          <w:szCs w:val="16"/>
          <w:u w:val="single"/>
          <w:lang w:val="en-US"/>
        </w:rPr>
        <w:t xml:space="preserve"> and, </w:t>
      </w:r>
      <w:r w:rsidR="00A54459" w:rsidRPr="00D869E3">
        <w:rPr>
          <w:rFonts w:ascii="Verdana" w:hAnsi="Verdana"/>
          <w:sz w:val="16"/>
          <w:szCs w:val="16"/>
          <w:u w:val="single"/>
          <w:lang w:val="en-US"/>
        </w:rPr>
        <w:t xml:space="preserve">in </w:t>
      </w:r>
      <w:r w:rsidR="0047382F" w:rsidRPr="00D869E3">
        <w:rPr>
          <w:rFonts w:ascii="Verdana" w:hAnsi="Verdana"/>
          <w:sz w:val="16"/>
          <w:szCs w:val="16"/>
          <w:u w:val="single"/>
          <w:lang w:val="en-US"/>
        </w:rPr>
        <w:t>addition, trade unions from being able to associate</w:t>
      </w:r>
      <w:r w:rsidR="0047382F" w:rsidRPr="00D869E3">
        <w:rPr>
          <w:rFonts w:ascii="Verdana" w:hAnsi="Verdana"/>
          <w:sz w:val="16"/>
          <w:szCs w:val="16"/>
          <w:lang w:val="en-US"/>
        </w:rPr>
        <w:t xml:space="preserve">. In this regard, </w:t>
      </w:r>
      <w:r w:rsidR="0047382F" w:rsidRPr="00D869E3">
        <w:rPr>
          <w:rFonts w:ascii="Verdana" w:hAnsi="Verdana"/>
          <w:b/>
          <w:sz w:val="16"/>
          <w:szCs w:val="16"/>
          <w:u w:val="single"/>
          <w:lang w:val="en-US"/>
        </w:rPr>
        <w:t xml:space="preserve">the Court notes that the said Article 3.2 of </w:t>
      </w:r>
      <w:r w:rsidR="00D13E32" w:rsidRPr="00D869E3">
        <w:rPr>
          <w:rFonts w:ascii="Verdana" w:hAnsi="Verdana"/>
          <w:b/>
          <w:sz w:val="16"/>
          <w:szCs w:val="16"/>
          <w:u w:val="single"/>
          <w:lang w:val="en-US"/>
        </w:rPr>
        <w:t>Convention</w:t>
      </w:r>
      <w:r w:rsidR="0047382F" w:rsidRPr="00D869E3">
        <w:rPr>
          <w:rFonts w:ascii="Verdana" w:hAnsi="Verdana"/>
          <w:b/>
          <w:sz w:val="16"/>
          <w:szCs w:val="16"/>
          <w:u w:val="single"/>
          <w:lang w:val="en-US"/>
        </w:rPr>
        <w:t xml:space="preserve"> 87 </w:t>
      </w:r>
      <w:r w:rsidR="0047382F" w:rsidRPr="00D869E3">
        <w:rPr>
          <w:rFonts w:ascii="Verdana" w:hAnsi="Verdana"/>
          <w:bCs/>
          <w:sz w:val="16"/>
          <w:szCs w:val="16"/>
          <w:u w:val="single"/>
          <w:lang w:val="en-US"/>
        </w:rPr>
        <w:t>establishes that “[t]</w:t>
      </w:r>
      <w:r w:rsidR="0047382F" w:rsidRPr="00D869E3">
        <w:rPr>
          <w:rFonts w:ascii="Verdana" w:hAnsi="Verdana"/>
          <w:sz w:val="16"/>
          <w:szCs w:val="16"/>
          <w:u w:val="single"/>
          <w:lang w:val="en-US"/>
        </w:rPr>
        <w:t>he public authorities shall refrain from any interference which would restrict [the rights recognized in the preceding paragraph of the article] or impede the lawful exercise thereof</w:t>
      </w:r>
      <w:r w:rsidR="0047382F" w:rsidRPr="00D869E3">
        <w:rPr>
          <w:rFonts w:ascii="Verdana" w:hAnsi="Verdana"/>
          <w:sz w:val="16"/>
          <w:szCs w:val="16"/>
          <w:lang w:val="en-US"/>
        </w:rPr>
        <w:t>.</w:t>
      </w:r>
      <w:r w:rsidR="006436CA" w:rsidRPr="00D869E3">
        <w:rPr>
          <w:rFonts w:ascii="Verdana" w:hAnsi="Verdana"/>
          <w:sz w:val="16"/>
          <w:szCs w:val="16"/>
          <w:lang w:val="en-US"/>
        </w:rPr>
        <w:t>”</w:t>
      </w:r>
      <w:r w:rsidRPr="00D869E3">
        <w:rPr>
          <w:rStyle w:val="Refdenotaalpie"/>
          <w:sz w:val="16"/>
          <w:szCs w:val="16"/>
          <w:lang w:val="en-US"/>
        </w:rPr>
        <w:footnoteReference w:id="339"/>
      </w:r>
      <w:r w:rsidRPr="00D869E3">
        <w:rPr>
          <w:rFonts w:ascii="Verdana" w:hAnsi="Verdana"/>
          <w:sz w:val="20"/>
          <w:szCs w:val="20"/>
          <w:lang w:val="en-US"/>
        </w:rPr>
        <w:t xml:space="preserve"> </w:t>
      </w:r>
    </w:p>
    <w:p w14:paraId="41387AD5" w14:textId="77777777" w:rsidR="00F83E8F" w:rsidRPr="00D869E3" w:rsidRDefault="00F83E8F" w:rsidP="00F83E8F">
      <w:pPr>
        <w:tabs>
          <w:tab w:val="left" w:pos="8222"/>
        </w:tabs>
        <w:ind w:left="708" w:right="758"/>
        <w:jc w:val="both"/>
        <w:rPr>
          <w:rFonts w:ascii="Verdana" w:hAnsi="Verdana"/>
          <w:sz w:val="16"/>
          <w:szCs w:val="16"/>
          <w:lang w:val="en-US"/>
        </w:rPr>
      </w:pPr>
    </w:p>
    <w:p w14:paraId="2ECD1F50" w14:textId="409D9C73" w:rsidR="00F83E8F" w:rsidRPr="00D869E3" w:rsidRDefault="007E23BB" w:rsidP="007E23BB">
      <w:pPr>
        <w:pStyle w:val="Prrafodelista"/>
        <w:widowControl w:val="0"/>
        <w:numPr>
          <w:ilvl w:val="0"/>
          <w:numId w:val="28"/>
        </w:numPr>
        <w:autoSpaceDE w:val="0"/>
        <w:autoSpaceDN w:val="0"/>
        <w:adjustRightInd w:val="0"/>
        <w:ind w:left="0" w:right="49" w:firstLine="0"/>
        <w:jc w:val="both"/>
        <w:rPr>
          <w:rFonts w:ascii="Verdana" w:hAnsi="Verdana"/>
          <w:sz w:val="20"/>
          <w:szCs w:val="20"/>
          <w:lang w:val="en-US"/>
        </w:rPr>
      </w:pPr>
      <w:r w:rsidRPr="00D869E3">
        <w:rPr>
          <w:rFonts w:ascii="Verdana" w:hAnsi="Verdana"/>
          <w:sz w:val="20"/>
          <w:szCs w:val="20"/>
          <w:lang w:val="en-US"/>
        </w:rPr>
        <w:t>This example</w:t>
      </w:r>
      <w:r w:rsidR="00F83E8F" w:rsidRPr="00D869E3">
        <w:rPr>
          <w:rFonts w:ascii="Verdana" w:hAnsi="Verdana"/>
          <w:sz w:val="20"/>
          <w:szCs w:val="20"/>
          <w:lang w:val="en-US"/>
        </w:rPr>
        <w:t xml:space="preserve"> </w:t>
      </w:r>
      <w:r w:rsidRPr="00D869E3">
        <w:rPr>
          <w:rFonts w:ascii="Verdana" w:hAnsi="Verdana"/>
          <w:sz w:val="20"/>
          <w:szCs w:val="20"/>
          <w:lang w:val="en-US"/>
        </w:rPr>
        <w:t xml:space="preserve">in the area of labor union matters is extremely relevant. Indeed, </w:t>
      </w:r>
      <w:r w:rsidR="00A54459" w:rsidRPr="00D869E3">
        <w:rPr>
          <w:rFonts w:ascii="Verdana" w:hAnsi="Verdana"/>
          <w:sz w:val="20"/>
          <w:szCs w:val="20"/>
          <w:lang w:val="en-US"/>
        </w:rPr>
        <w:t xml:space="preserve">by referring to Article 45(c) of the OAS Charter, </w:t>
      </w:r>
      <w:r w:rsidRPr="00D869E3">
        <w:rPr>
          <w:rFonts w:ascii="Verdana" w:hAnsi="Verdana"/>
          <w:sz w:val="20"/>
          <w:szCs w:val="20"/>
          <w:lang w:val="en-US"/>
        </w:rPr>
        <w:t xml:space="preserve">the judgment in the case of </w:t>
      </w:r>
      <w:r w:rsidRPr="00D869E3">
        <w:rPr>
          <w:rFonts w:ascii="Verdana" w:hAnsi="Verdana"/>
          <w:i/>
          <w:sz w:val="20"/>
          <w:szCs w:val="20"/>
          <w:lang w:val="en-US"/>
        </w:rPr>
        <w:t>Lagos del Campo</w:t>
      </w:r>
      <w:r w:rsidRPr="00D869E3">
        <w:rPr>
          <w:rFonts w:ascii="Verdana" w:hAnsi="Verdana"/>
          <w:sz w:val="20"/>
          <w:szCs w:val="20"/>
          <w:lang w:val="en-US"/>
        </w:rPr>
        <w:t xml:space="preserve"> implicitly accepts – although not in relation to the litigation in th</w:t>
      </w:r>
      <w:r w:rsidR="00A54459" w:rsidRPr="00D869E3">
        <w:rPr>
          <w:rFonts w:ascii="Verdana" w:hAnsi="Verdana"/>
          <w:sz w:val="20"/>
          <w:szCs w:val="20"/>
          <w:lang w:val="en-US"/>
        </w:rPr>
        <w:t>is</w:t>
      </w:r>
      <w:r w:rsidRPr="00D869E3">
        <w:rPr>
          <w:rFonts w:ascii="Verdana" w:hAnsi="Verdana"/>
          <w:sz w:val="20"/>
          <w:szCs w:val="20"/>
          <w:lang w:val="en-US"/>
        </w:rPr>
        <w:t xml:space="preserve"> case –</w:t>
      </w:r>
      <w:r w:rsidR="00A54459" w:rsidRPr="00D869E3">
        <w:rPr>
          <w:rFonts w:ascii="Verdana" w:hAnsi="Verdana"/>
          <w:sz w:val="20"/>
          <w:szCs w:val="20"/>
          <w:lang w:val="en-US"/>
        </w:rPr>
        <w:t xml:space="preserve"> </w:t>
      </w:r>
      <w:r w:rsidRPr="00D869E3">
        <w:rPr>
          <w:rFonts w:ascii="Verdana" w:hAnsi="Verdana"/>
          <w:sz w:val="20"/>
          <w:szCs w:val="20"/>
          <w:lang w:val="en-US"/>
        </w:rPr>
        <w:t xml:space="preserve">that even though </w:t>
      </w:r>
      <w:r w:rsidR="00B235CB" w:rsidRPr="00D869E3">
        <w:rPr>
          <w:rFonts w:ascii="Verdana" w:hAnsi="Verdana"/>
          <w:sz w:val="20"/>
          <w:szCs w:val="20"/>
          <w:lang w:val="en-US"/>
        </w:rPr>
        <w:t>the Protocol of San</w:t>
      </w:r>
      <w:r w:rsidR="00F83E8F" w:rsidRPr="00D869E3">
        <w:rPr>
          <w:rFonts w:ascii="Verdana" w:hAnsi="Verdana"/>
          <w:sz w:val="20"/>
          <w:szCs w:val="20"/>
          <w:lang w:val="en-US"/>
        </w:rPr>
        <w:t xml:space="preserve"> Salvador </w:t>
      </w:r>
      <w:r w:rsidRPr="00D869E3">
        <w:rPr>
          <w:rFonts w:ascii="Verdana" w:hAnsi="Verdana"/>
          <w:sz w:val="20"/>
          <w:szCs w:val="20"/>
          <w:lang w:val="en-US"/>
        </w:rPr>
        <w:t>i</w:t>
      </w:r>
      <w:r w:rsidR="00F83E8F" w:rsidRPr="00D869E3">
        <w:rPr>
          <w:rFonts w:ascii="Verdana" w:hAnsi="Verdana"/>
          <w:sz w:val="20"/>
          <w:szCs w:val="20"/>
          <w:lang w:val="en-US"/>
        </w:rPr>
        <w:t>s</w:t>
      </w:r>
      <w:r w:rsidRPr="00D869E3">
        <w:rPr>
          <w:rFonts w:ascii="Verdana" w:hAnsi="Verdana"/>
          <w:sz w:val="20"/>
          <w:szCs w:val="20"/>
          <w:lang w:val="en-US"/>
        </w:rPr>
        <w:t xml:space="preserve"> the main instrument in the area of ESCER </w:t>
      </w:r>
      <w:r w:rsidR="00A54459" w:rsidRPr="00D869E3">
        <w:rPr>
          <w:rFonts w:ascii="Verdana" w:hAnsi="Verdana"/>
          <w:sz w:val="20"/>
          <w:szCs w:val="20"/>
          <w:lang w:val="en-US"/>
        </w:rPr>
        <w:t>under</w:t>
      </w:r>
      <w:r w:rsidR="00F83E8F" w:rsidRPr="00D869E3">
        <w:rPr>
          <w:rFonts w:ascii="Verdana" w:hAnsi="Verdana"/>
          <w:sz w:val="20"/>
          <w:szCs w:val="20"/>
          <w:lang w:val="en-US"/>
        </w:rPr>
        <w:t xml:space="preserve"> </w:t>
      </w:r>
      <w:r w:rsidR="00671B14" w:rsidRPr="00D869E3">
        <w:rPr>
          <w:rFonts w:ascii="Verdana" w:hAnsi="Verdana"/>
          <w:sz w:val="20"/>
          <w:szCs w:val="20"/>
          <w:lang w:val="en-US"/>
        </w:rPr>
        <w:t>the inter-American system</w:t>
      </w:r>
      <w:r w:rsidR="00F83E8F" w:rsidRPr="00D869E3">
        <w:rPr>
          <w:rFonts w:ascii="Verdana" w:hAnsi="Verdana"/>
          <w:sz w:val="20"/>
          <w:szCs w:val="20"/>
          <w:lang w:val="en-US"/>
        </w:rPr>
        <w:t xml:space="preserve">, </w:t>
      </w:r>
      <w:r w:rsidRPr="00D869E3">
        <w:rPr>
          <w:rFonts w:ascii="Verdana" w:hAnsi="Verdana"/>
          <w:sz w:val="20"/>
          <w:szCs w:val="20"/>
          <w:lang w:val="en-US"/>
        </w:rPr>
        <w:t>when it was drawn up, it did not contemplate exhaustively all the facets and angles of the rights that the said treaty recognized (such as the right of workers to associate freely for the defense and promotion of their interests). Thus, it is the Inter-American Court that, by an evolutive interpretation,</w:t>
      </w:r>
      <w:r w:rsidR="00F83E8F" w:rsidRPr="00D869E3">
        <w:rPr>
          <w:rStyle w:val="Refdenotaalpie"/>
          <w:szCs w:val="20"/>
          <w:lang w:val="en-US"/>
        </w:rPr>
        <w:footnoteReference w:id="340"/>
      </w:r>
      <w:r w:rsidRPr="00D869E3">
        <w:rPr>
          <w:rFonts w:ascii="Verdana" w:hAnsi="Verdana"/>
          <w:sz w:val="20"/>
          <w:szCs w:val="20"/>
          <w:lang w:val="en-US"/>
        </w:rPr>
        <w:t xml:space="preserve"> has</w:t>
      </w:r>
      <w:r w:rsidR="00F83E8F" w:rsidRPr="00D869E3">
        <w:rPr>
          <w:rFonts w:ascii="Verdana" w:hAnsi="Verdana"/>
          <w:sz w:val="20"/>
          <w:szCs w:val="20"/>
          <w:lang w:val="en-US"/>
        </w:rPr>
        <w:t xml:space="preserve"> </w:t>
      </w:r>
      <w:r w:rsidRPr="00D869E3">
        <w:rPr>
          <w:rFonts w:ascii="Verdana" w:hAnsi="Verdana"/>
          <w:sz w:val="20"/>
          <w:szCs w:val="20"/>
          <w:lang w:val="en-US"/>
        </w:rPr>
        <w:t xml:space="preserve">undertaken to determine the </w:t>
      </w:r>
      <w:r w:rsidR="00FC4B86" w:rsidRPr="00D869E3">
        <w:rPr>
          <w:rFonts w:ascii="Verdana" w:hAnsi="Verdana"/>
          <w:sz w:val="20"/>
          <w:szCs w:val="20"/>
          <w:lang w:val="en-US"/>
        </w:rPr>
        <w:t xml:space="preserve">content of the rights and their </w:t>
      </w:r>
      <w:r w:rsidR="00FC4B86" w:rsidRPr="00D869E3">
        <w:rPr>
          <w:rFonts w:ascii="Verdana" w:hAnsi="Verdana"/>
          <w:sz w:val="20"/>
          <w:szCs w:val="20"/>
          <w:lang w:val="en-US"/>
        </w:rPr>
        <w:lastRenderedPageBreak/>
        <w:t>application to specific cases, either economic, social, cultural and environmental</w:t>
      </w:r>
      <w:r w:rsidR="00F83E8F" w:rsidRPr="00D869E3">
        <w:rPr>
          <w:rFonts w:ascii="Verdana" w:hAnsi="Verdana"/>
          <w:sz w:val="20"/>
          <w:szCs w:val="20"/>
          <w:lang w:val="en-US"/>
        </w:rPr>
        <w:t xml:space="preserve"> </w:t>
      </w:r>
      <w:r w:rsidR="00FC4B86" w:rsidRPr="00D869E3">
        <w:rPr>
          <w:rFonts w:ascii="Verdana" w:hAnsi="Verdana"/>
          <w:sz w:val="20"/>
          <w:szCs w:val="20"/>
          <w:lang w:val="en-US"/>
        </w:rPr>
        <w:t xml:space="preserve">rights or civil and political </w:t>
      </w:r>
      <w:r w:rsidR="00881A39" w:rsidRPr="00D869E3">
        <w:rPr>
          <w:rFonts w:ascii="Verdana" w:hAnsi="Verdana"/>
          <w:sz w:val="20"/>
          <w:szCs w:val="20"/>
          <w:lang w:val="en-US"/>
        </w:rPr>
        <w:t>rights</w:t>
      </w:r>
      <w:r w:rsidR="00F83E8F" w:rsidRPr="00D869E3">
        <w:rPr>
          <w:rFonts w:ascii="Verdana" w:hAnsi="Verdana"/>
          <w:sz w:val="20"/>
          <w:szCs w:val="20"/>
          <w:lang w:val="en-US"/>
        </w:rPr>
        <w:t xml:space="preserve"> (determin</w:t>
      </w:r>
      <w:r w:rsidR="00FC4B86" w:rsidRPr="00D869E3">
        <w:rPr>
          <w:rFonts w:ascii="Verdana" w:hAnsi="Verdana"/>
          <w:sz w:val="20"/>
          <w:szCs w:val="20"/>
          <w:lang w:val="en-US"/>
        </w:rPr>
        <w:t xml:space="preserve">ing their content in the </w:t>
      </w:r>
      <w:r w:rsidR="00A54459" w:rsidRPr="00D869E3">
        <w:rPr>
          <w:rFonts w:ascii="Verdana" w:hAnsi="Verdana"/>
          <w:sz w:val="20"/>
          <w:szCs w:val="20"/>
          <w:lang w:val="en-US"/>
        </w:rPr>
        <w:t>particular</w:t>
      </w:r>
      <w:r w:rsidR="00FC4B86" w:rsidRPr="00D869E3">
        <w:rPr>
          <w:rFonts w:ascii="Verdana" w:hAnsi="Verdana"/>
          <w:sz w:val="20"/>
          <w:szCs w:val="20"/>
          <w:lang w:val="en-US"/>
        </w:rPr>
        <w:t xml:space="preserve"> case)</w:t>
      </w:r>
      <w:r w:rsidR="00B753CC" w:rsidRPr="00D869E3">
        <w:rPr>
          <w:rFonts w:ascii="Verdana" w:hAnsi="Verdana"/>
          <w:sz w:val="20"/>
          <w:szCs w:val="20"/>
          <w:lang w:val="en-US"/>
        </w:rPr>
        <w:t>;</w:t>
      </w:r>
      <w:r w:rsidR="00FC4B86" w:rsidRPr="00D869E3">
        <w:rPr>
          <w:rFonts w:ascii="Verdana" w:hAnsi="Verdana"/>
          <w:sz w:val="20"/>
          <w:szCs w:val="20"/>
          <w:lang w:val="en-US"/>
        </w:rPr>
        <w:t xml:space="preserve"> </w:t>
      </w:r>
      <w:r w:rsidR="00B753CC" w:rsidRPr="00D869E3">
        <w:rPr>
          <w:rFonts w:ascii="Verdana" w:hAnsi="Verdana"/>
          <w:sz w:val="20"/>
          <w:szCs w:val="20"/>
          <w:lang w:val="en-US"/>
        </w:rPr>
        <w:t>a</w:t>
      </w:r>
      <w:r w:rsidR="00FC4B86" w:rsidRPr="00D869E3">
        <w:rPr>
          <w:rFonts w:ascii="Verdana" w:hAnsi="Verdana"/>
          <w:sz w:val="20"/>
          <w:szCs w:val="20"/>
          <w:lang w:val="en-US"/>
        </w:rPr>
        <w:t>nd this</w:t>
      </w:r>
      <w:r w:rsidR="00A54459" w:rsidRPr="00D869E3">
        <w:rPr>
          <w:rFonts w:ascii="Verdana" w:hAnsi="Verdana"/>
          <w:sz w:val="20"/>
          <w:szCs w:val="20"/>
          <w:lang w:val="en-US"/>
        </w:rPr>
        <w:t>,</w:t>
      </w:r>
      <w:r w:rsidR="00FC4B86" w:rsidRPr="00D869E3">
        <w:rPr>
          <w:rFonts w:ascii="Verdana" w:hAnsi="Verdana"/>
          <w:sz w:val="20"/>
          <w:szCs w:val="20"/>
          <w:lang w:val="en-US"/>
        </w:rPr>
        <w:t xml:space="preserve"> when any right mentioned above has been violated in relation to the general obligations established in </w:t>
      </w:r>
      <w:r w:rsidR="00447C65" w:rsidRPr="00D869E3">
        <w:rPr>
          <w:rFonts w:ascii="Verdana" w:hAnsi="Verdana"/>
          <w:sz w:val="20"/>
          <w:szCs w:val="20"/>
          <w:lang w:val="en-US"/>
        </w:rPr>
        <w:t>Articles</w:t>
      </w:r>
      <w:r w:rsidR="00F83E8F" w:rsidRPr="00D869E3">
        <w:rPr>
          <w:rFonts w:ascii="Verdana" w:hAnsi="Verdana"/>
          <w:sz w:val="20"/>
          <w:szCs w:val="20"/>
          <w:lang w:val="en-US"/>
        </w:rPr>
        <w:t xml:space="preserve"> 1</w:t>
      </w:r>
      <w:r w:rsidR="00687684" w:rsidRPr="00D869E3">
        <w:rPr>
          <w:rFonts w:ascii="Verdana" w:hAnsi="Verdana"/>
          <w:sz w:val="20"/>
          <w:szCs w:val="20"/>
          <w:lang w:val="en-US"/>
        </w:rPr>
        <w:t xml:space="preserve"> and </w:t>
      </w:r>
      <w:r w:rsidR="00F83E8F" w:rsidRPr="00D869E3">
        <w:rPr>
          <w:rFonts w:ascii="Verdana" w:hAnsi="Verdana"/>
          <w:sz w:val="20"/>
          <w:szCs w:val="20"/>
          <w:lang w:val="en-US"/>
        </w:rPr>
        <w:t>2</w:t>
      </w:r>
      <w:r w:rsidR="00447C65" w:rsidRPr="00D869E3">
        <w:rPr>
          <w:rFonts w:ascii="Verdana" w:hAnsi="Verdana"/>
          <w:sz w:val="20"/>
          <w:szCs w:val="20"/>
          <w:lang w:val="en-US"/>
        </w:rPr>
        <w:t xml:space="preserve"> of the American Convention</w:t>
      </w:r>
      <w:r w:rsidR="00F83E8F" w:rsidRPr="00D869E3">
        <w:rPr>
          <w:rFonts w:ascii="Verdana" w:hAnsi="Verdana"/>
          <w:sz w:val="20"/>
          <w:szCs w:val="20"/>
          <w:lang w:val="en-US"/>
        </w:rPr>
        <w:t xml:space="preserve">, </w:t>
      </w:r>
      <w:r w:rsidR="00FC4B86" w:rsidRPr="00D869E3">
        <w:rPr>
          <w:rFonts w:ascii="Verdana" w:hAnsi="Verdana"/>
          <w:sz w:val="20"/>
          <w:szCs w:val="20"/>
          <w:lang w:val="en-US"/>
        </w:rPr>
        <w:t xml:space="preserve">as has been its consistent practice by resorting to other international instruments to supplement the provisions of </w:t>
      </w:r>
      <w:r w:rsidR="00671B14" w:rsidRPr="00D869E3">
        <w:rPr>
          <w:rFonts w:ascii="Verdana" w:hAnsi="Verdana"/>
          <w:sz w:val="20"/>
          <w:szCs w:val="20"/>
          <w:lang w:val="en-US"/>
        </w:rPr>
        <w:t>the Pact of San José</w:t>
      </w:r>
      <w:r w:rsidR="00F83E8F" w:rsidRPr="00D869E3">
        <w:rPr>
          <w:rStyle w:val="Refdenotaalpie"/>
          <w:szCs w:val="20"/>
          <w:lang w:val="en-US"/>
        </w:rPr>
        <w:footnoteReference w:id="341"/>
      </w:r>
      <w:r w:rsidR="00F83E8F" w:rsidRPr="00D869E3">
        <w:rPr>
          <w:rFonts w:ascii="Verdana" w:hAnsi="Verdana"/>
          <w:sz w:val="20"/>
          <w:szCs w:val="20"/>
          <w:lang w:val="en-US"/>
        </w:rPr>
        <w:t xml:space="preserve"> </w:t>
      </w:r>
      <w:r w:rsidR="00FC4B86" w:rsidRPr="00D869E3">
        <w:rPr>
          <w:rFonts w:ascii="Verdana" w:hAnsi="Verdana"/>
          <w:sz w:val="20"/>
          <w:szCs w:val="20"/>
          <w:lang w:val="en-US"/>
        </w:rPr>
        <w:t>or</w:t>
      </w:r>
      <w:r w:rsidR="00F83E8F" w:rsidRPr="00D869E3">
        <w:rPr>
          <w:rFonts w:ascii="Verdana" w:hAnsi="Verdana"/>
          <w:sz w:val="20"/>
          <w:szCs w:val="20"/>
          <w:lang w:val="en-US"/>
        </w:rPr>
        <w:t xml:space="preserve"> </w:t>
      </w:r>
      <w:r w:rsidR="00B235CB" w:rsidRPr="00D869E3">
        <w:rPr>
          <w:rFonts w:ascii="Verdana" w:hAnsi="Verdana"/>
          <w:sz w:val="20"/>
          <w:szCs w:val="20"/>
          <w:lang w:val="en-US"/>
        </w:rPr>
        <w:t>the Protocol of San</w:t>
      </w:r>
      <w:r w:rsidR="00F83E8F" w:rsidRPr="00D869E3">
        <w:rPr>
          <w:rFonts w:ascii="Verdana" w:hAnsi="Verdana"/>
          <w:sz w:val="20"/>
          <w:szCs w:val="20"/>
          <w:lang w:val="en-US"/>
        </w:rPr>
        <w:t xml:space="preserve"> Salvador</w:t>
      </w:r>
      <w:r w:rsidR="00FC4B86" w:rsidRPr="00D869E3">
        <w:rPr>
          <w:rFonts w:ascii="Verdana" w:hAnsi="Verdana"/>
          <w:sz w:val="20"/>
          <w:szCs w:val="20"/>
          <w:lang w:val="en-US"/>
        </w:rPr>
        <w:t>.</w:t>
      </w:r>
      <w:r w:rsidR="00F83E8F" w:rsidRPr="00D869E3">
        <w:rPr>
          <w:rStyle w:val="Refdenotaalpie"/>
          <w:szCs w:val="20"/>
          <w:lang w:val="en-US"/>
        </w:rPr>
        <w:footnoteReference w:id="342"/>
      </w:r>
      <w:r w:rsidR="00F83E8F" w:rsidRPr="00D869E3">
        <w:rPr>
          <w:rFonts w:ascii="Verdana" w:hAnsi="Verdana"/>
          <w:sz w:val="20"/>
          <w:szCs w:val="20"/>
          <w:lang w:val="en-US"/>
        </w:rPr>
        <w:t xml:space="preserve"> </w:t>
      </w:r>
    </w:p>
    <w:p w14:paraId="0E37030D" w14:textId="77777777" w:rsidR="00F83E8F" w:rsidRPr="00D869E3" w:rsidRDefault="00F83E8F" w:rsidP="00F83E8F">
      <w:pPr>
        <w:pStyle w:val="Prrafodelista"/>
        <w:widowControl w:val="0"/>
        <w:autoSpaceDE w:val="0"/>
        <w:autoSpaceDN w:val="0"/>
        <w:adjustRightInd w:val="0"/>
        <w:ind w:left="0" w:right="49"/>
        <w:jc w:val="both"/>
        <w:rPr>
          <w:rFonts w:ascii="Verdana" w:hAnsi="Verdana"/>
          <w:sz w:val="20"/>
          <w:szCs w:val="20"/>
          <w:lang w:val="en-US"/>
        </w:rPr>
      </w:pPr>
    </w:p>
    <w:p w14:paraId="6F7CCC08" w14:textId="7A6C5F92" w:rsidR="00F83E8F" w:rsidRPr="00D869E3" w:rsidRDefault="00FC4B86" w:rsidP="00FC4B86">
      <w:pPr>
        <w:pStyle w:val="Prrafodelista"/>
        <w:widowControl w:val="0"/>
        <w:numPr>
          <w:ilvl w:val="0"/>
          <w:numId w:val="28"/>
        </w:numPr>
        <w:autoSpaceDE w:val="0"/>
        <w:autoSpaceDN w:val="0"/>
        <w:adjustRightInd w:val="0"/>
        <w:ind w:left="0" w:right="49" w:firstLine="0"/>
        <w:jc w:val="both"/>
        <w:rPr>
          <w:rFonts w:ascii="Verdana" w:hAnsi="Verdana"/>
          <w:sz w:val="20"/>
          <w:szCs w:val="20"/>
          <w:lang w:val="en-US"/>
        </w:rPr>
      </w:pPr>
      <w:r w:rsidRPr="00D869E3">
        <w:rPr>
          <w:rFonts w:ascii="Verdana" w:hAnsi="Verdana"/>
          <w:sz w:val="20"/>
          <w:szCs w:val="20"/>
          <w:lang w:val="en-US"/>
        </w:rPr>
        <w:t xml:space="preserve">In addition, although </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 16</w:t>
      </w:r>
      <w:r w:rsidR="00447C65" w:rsidRPr="00D869E3">
        <w:rPr>
          <w:rFonts w:ascii="Verdana" w:hAnsi="Verdana"/>
          <w:sz w:val="20"/>
          <w:szCs w:val="20"/>
          <w:lang w:val="en-US"/>
        </w:rPr>
        <w:t xml:space="preserve"> of the American Convention</w:t>
      </w:r>
      <w:r w:rsidR="00F83E8F" w:rsidRPr="00D869E3">
        <w:rPr>
          <w:rFonts w:ascii="Verdana" w:hAnsi="Verdana"/>
          <w:sz w:val="20"/>
          <w:szCs w:val="20"/>
          <w:lang w:val="en-US"/>
        </w:rPr>
        <w:t xml:space="preserve"> </w:t>
      </w:r>
      <w:r w:rsidRPr="00D869E3">
        <w:rPr>
          <w:rFonts w:ascii="Verdana" w:hAnsi="Verdana"/>
          <w:sz w:val="20"/>
          <w:szCs w:val="20"/>
          <w:lang w:val="en-US"/>
        </w:rPr>
        <w:t xml:space="preserve">establishes that </w:t>
      </w:r>
      <w:r w:rsidR="006436CA" w:rsidRPr="00D869E3">
        <w:rPr>
          <w:rFonts w:ascii="Verdana" w:hAnsi="Verdana"/>
          <w:sz w:val="20"/>
          <w:szCs w:val="20"/>
          <w:lang w:val="en-US"/>
        </w:rPr>
        <w:t>“</w:t>
      </w:r>
      <w:r w:rsidR="00F83E8F" w:rsidRPr="00D869E3">
        <w:rPr>
          <w:rFonts w:ascii="Verdana" w:hAnsi="Verdana"/>
          <w:sz w:val="20"/>
          <w:szCs w:val="20"/>
          <w:lang w:val="en-US"/>
        </w:rPr>
        <w:t>[</w:t>
      </w:r>
      <w:r w:rsidRPr="00D869E3">
        <w:rPr>
          <w:rFonts w:ascii="Verdana" w:hAnsi="Verdana"/>
          <w:sz w:val="20"/>
          <w:szCs w:val="20"/>
          <w:lang w:val="en-US"/>
        </w:rPr>
        <w:t>e</w:t>
      </w:r>
      <w:r w:rsidR="00F83E8F" w:rsidRPr="00D869E3">
        <w:rPr>
          <w:rFonts w:ascii="Verdana" w:hAnsi="Verdana"/>
          <w:sz w:val="20"/>
          <w:szCs w:val="20"/>
          <w:lang w:val="en-US"/>
        </w:rPr>
        <w:t>]</w:t>
      </w:r>
      <w:r w:rsidRPr="00D869E3">
        <w:rPr>
          <w:rFonts w:ascii="Verdana" w:hAnsi="Verdana"/>
          <w:spacing w:val="-3"/>
          <w:sz w:val="20"/>
          <w:szCs w:val="20"/>
          <w:lang w:val="en-US"/>
        </w:rPr>
        <w:t xml:space="preserve">veryone has the right to </w:t>
      </w:r>
      <w:r w:rsidRPr="00D869E3">
        <w:rPr>
          <w:rFonts w:ascii="Verdana" w:hAnsi="Verdana"/>
          <w:i/>
          <w:iCs/>
          <w:spacing w:val="-3"/>
          <w:sz w:val="20"/>
          <w:szCs w:val="20"/>
          <w:lang w:val="en-US"/>
        </w:rPr>
        <w:t>associate freely for</w:t>
      </w:r>
      <w:r w:rsidRPr="00D869E3">
        <w:rPr>
          <w:rFonts w:ascii="Verdana" w:hAnsi="Verdana"/>
          <w:spacing w:val="-3"/>
          <w:sz w:val="20"/>
          <w:szCs w:val="20"/>
          <w:lang w:val="en-US"/>
        </w:rPr>
        <w:t xml:space="preserve"> […] </w:t>
      </w:r>
      <w:r w:rsidRPr="00D869E3">
        <w:rPr>
          <w:rFonts w:ascii="Verdana" w:hAnsi="Verdana"/>
          <w:i/>
          <w:iCs/>
          <w:spacing w:val="-3"/>
          <w:sz w:val="20"/>
          <w:szCs w:val="20"/>
          <w:lang w:val="en-US"/>
        </w:rPr>
        <w:t>labor</w:t>
      </w:r>
      <w:r w:rsidRPr="00D869E3">
        <w:rPr>
          <w:rFonts w:ascii="Verdana" w:hAnsi="Verdana"/>
          <w:spacing w:val="-3"/>
          <w:sz w:val="20"/>
          <w:szCs w:val="20"/>
          <w:lang w:val="en-US"/>
        </w:rPr>
        <w:t xml:space="preserve"> […] </w:t>
      </w:r>
      <w:r w:rsidRPr="00D869E3">
        <w:rPr>
          <w:rFonts w:ascii="Verdana" w:hAnsi="Verdana"/>
          <w:i/>
          <w:iCs/>
          <w:spacing w:val="-3"/>
          <w:sz w:val="20"/>
          <w:szCs w:val="20"/>
          <w:lang w:val="en-US"/>
        </w:rPr>
        <w:t>purposes,</w:t>
      </w:r>
      <w:r w:rsidRPr="00D869E3">
        <w:rPr>
          <w:rFonts w:ascii="Verdana" w:hAnsi="Verdana"/>
          <w:sz w:val="20"/>
          <w:szCs w:val="20"/>
          <w:lang w:val="en-US"/>
        </w:rPr>
        <w:t xml:space="preserve">” in general, associations are not formed only for labor purposes, but as this article of the Convention itself indicates, there are other types of associations – </w:t>
      </w:r>
      <w:r w:rsidRPr="00D869E3">
        <w:rPr>
          <w:rFonts w:ascii="Verdana" w:hAnsi="Verdana"/>
          <w:spacing w:val="-3"/>
          <w:sz w:val="20"/>
          <w:szCs w:val="20"/>
          <w:lang w:val="en-US"/>
        </w:rPr>
        <w:t xml:space="preserve">ideological, religious, political, economic, social, cultural, sports, or others. I believe that this clarification is of crucial importance, because although, to date, </w:t>
      </w:r>
      <w:r w:rsidRPr="00D869E3">
        <w:rPr>
          <w:rFonts w:ascii="Verdana" w:hAnsi="Verdana"/>
          <w:sz w:val="20"/>
          <w:szCs w:val="20"/>
          <w:lang w:val="en-US"/>
        </w:rPr>
        <w:t>the Inter-American Court</w:t>
      </w:r>
      <w:r w:rsidR="008F1B5B" w:rsidRPr="00D869E3">
        <w:rPr>
          <w:rFonts w:ascii="Verdana" w:hAnsi="Verdana"/>
          <w:sz w:val="20"/>
          <w:szCs w:val="20"/>
          <w:lang w:val="en-US"/>
        </w:rPr>
        <w:t xml:space="preserve"> has declared the violation of the right to freedom of association for “labor” purposes (focused on labor unions), it has never ruled directly on the right to unionize as an autonomous rights under </w:t>
      </w:r>
      <w:r w:rsidR="00B235CB" w:rsidRPr="00D869E3">
        <w:rPr>
          <w:rFonts w:ascii="Verdana" w:hAnsi="Verdana"/>
          <w:sz w:val="20"/>
          <w:szCs w:val="20"/>
          <w:lang w:val="en-US"/>
        </w:rPr>
        <w:t>the Protocol of San</w:t>
      </w:r>
      <w:r w:rsidR="00F83E8F" w:rsidRPr="00D869E3">
        <w:rPr>
          <w:rFonts w:ascii="Verdana" w:hAnsi="Verdana"/>
          <w:sz w:val="20"/>
          <w:szCs w:val="20"/>
          <w:lang w:val="en-US"/>
        </w:rPr>
        <w:t xml:space="preserve"> Salvador,</w:t>
      </w:r>
      <w:r w:rsidR="00687684" w:rsidRPr="00D869E3">
        <w:rPr>
          <w:rFonts w:ascii="Verdana" w:hAnsi="Verdana"/>
          <w:sz w:val="20"/>
          <w:szCs w:val="20"/>
          <w:lang w:val="en-US"/>
        </w:rPr>
        <w:t xml:space="preserve"> and </w:t>
      </w:r>
      <w:r w:rsidR="008F1B5B" w:rsidRPr="00D869E3">
        <w:rPr>
          <w:rFonts w:ascii="Verdana" w:hAnsi="Verdana"/>
          <w:sz w:val="20"/>
          <w:szCs w:val="20"/>
          <w:lang w:val="en-US"/>
        </w:rPr>
        <w:t xml:space="preserve">the different facts that this right encompasses as delineated, to a great extent, in </w:t>
      </w:r>
      <w:r w:rsidR="0087339F" w:rsidRPr="00D869E3">
        <w:rPr>
          <w:rFonts w:ascii="Verdana" w:hAnsi="Verdana"/>
          <w:sz w:val="20"/>
          <w:szCs w:val="20"/>
          <w:lang w:val="en-US"/>
        </w:rPr>
        <w:t>Advisory Opinion</w:t>
      </w:r>
      <w:r w:rsidR="00F83E8F" w:rsidRPr="00D869E3">
        <w:rPr>
          <w:rFonts w:ascii="Verdana" w:hAnsi="Verdana"/>
          <w:sz w:val="20"/>
          <w:szCs w:val="20"/>
          <w:lang w:val="en-US"/>
        </w:rPr>
        <w:t xml:space="preserve"> No. 22. </w:t>
      </w:r>
    </w:p>
    <w:p w14:paraId="21AC4598" w14:textId="77777777" w:rsidR="00F83E8F" w:rsidRPr="00D869E3" w:rsidRDefault="00F83E8F" w:rsidP="00F83E8F">
      <w:pPr>
        <w:pStyle w:val="Prrafodelista"/>
        <w:widowControl w:val="0"/>
        <w:autoSpaceDE w:val="0"/>
        <w:autoSpaceDN w:val="0"/>
        <w:adjustRightInd w:val="0"/>
        <w:ind w:left="0" w:right="49"/>
        <w:jc w:val="both"/>
        <w:rPr>
          <w:rFonts w:ascii="Verdana" w:hAnsi="Verdana"/>
          <w:sz w:val="20"/>
          <w:szCs w:val="20"/>
          <w:lang w:val="en-US"/>
        </w:rPr>
      </w:pPr>
    </w:p>
    <w:p w14:paraId="45B44071" w14:textId="0823A732" w:rsidR="008F1B5B" w:rsidRPr="00D869E3" w:rsidRDefault="008F1B5B" w:rsidP="008F1B5B">
      <w:pPr>
        <w:pStyle w:val="Prrafodelista"/>
        <w:widowControl w:val="0"/>
        <w:numPr>
          <w:ilvl w:val="0"/>
          <w:numId w:val="28"/>
        </w:numPr>
        <w:autoSpaceDE w:val="0"/>
        <w:autoSpaceDN w:val="0"/>
        <w:adjustRightInd w:val="0"/>
        <w:ind w:left="0" w:right="49" w:firstLine="0"/>
        <w:jc w:val="both"/>
        <w:rPr>
          <w:rFonts w:ascii="Verdana" w:hAnsi="Verdana"/>
          <w:sz w:val="20"/>
          <w:szCs w:val="20"/>
          <w:lang w:val="en-US"/>
        </w:rPr>
      </w:pPr>
      <w:r w:rsidRPr="00D869E3">
        <w:rPr>
          <w:rFonts w:ascii="Verdana" w:hAnsi="Verdana"/>
          <w:sz w:val="20"/>
          <w:szCs w:val="20"/>
          <w:lang w:val="en-US"/>
        </w:rPr>
        <w:t>When</w:t>
      </w:r>
      <w:r w:rsidR="00F83E8F" w:rsidRPr="00D869E3">
        <w:rPr>
          <w:rFonts w:ascii="Verdana" w:hAnsi="Verdana"/>
          <w:sz w:val="20"/>
          <w:szCs w:val="20"/>
          <w:lang w:val="en-US"/>
        </w:rPr>
        <w:t xml:space="preserve"> </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 16</w:t>
      </w:r>
      <w:r w:rsidR="00447C65" w:rsidRPr="00D869E3">
        <w:rPr>
          <w:rFonts w:ascii="Verdana" w:hAnsi="Verdana"/>
          <w:sz w:val="20"/>
          <w:szCs w:val="20"/>
          <w:lang w:val="en-US"/>
        </w:rPr>
        <w:t xml:space="preserve"> of the American Convention</w:t>
      </w:r>
      <w:r w:rsidR="00F83E8F" w:rsidRPr="00D869E3">
        <w:rPr>
          <w:rFonts w:ascii="Verdana" w:hAnsi="Verdana"/>
          <w:sz w:val="20"/>
          <w:szCs w:val="20"/>
          <w:lang w:val="en-US"/>
        </w:rPr>
        <w:t xml:space="preserve"> </w:t>
      </w:r>
      <w:r w:rsidRPr="00D869E3">
        <w:rPr>
          <w:rFonts w:ascii="Verdana" w:hAnsi="Verdana"/>
          <w:sz w:val="20"/>
          <w:szCs w:val="20"/>
          <w:lang w:val="en-US"/>
        </w:rPr>
        <w:t xml:space="preserve">establishes “association for labor purposes,” the truth is that “the right to freedom of association” – </w:t>
      </w:r>
      <w:r w:rsidRPr="00D869E3">
        <w:rPr>
          <w:rFonts w:ascii="Verdana" w:hAnsi="Verdana"/>
          <w:i/>
          <w:sz w:val="20"/>
          <w:szCs w:val="20"/>
          <w:lang w:val="en-US"/>
        </w:rPr>
        <w:t>lato sensu –</w:t>
      </w:r>
      <w:r w:rsidRPr="00D869E3">
        <w:rPr>
          <w:rFonts w:ascii="Verdana" w:hAnsi="Verdana"/>
          <w:iCs/>
          <w:sz w:val="20"/>
          <w:szCs w:val="20"/>
          <w:lang w:val="en-US"/>
        </w:rPr>
        <w:t xml:space="preserve"> is, in reality, the genus</w:t>
      </w:r>
      <w:r w:rsidR="00B753CC" w:rsidRPr="00D869E3">
        <w:rPr>
          <w:rFonts w:ascii="Verdana" w:hAnsi="Verdana"/>
          <w:iCs/>
          <w:sz w:val="20"/>
          <w:szCs w:val="20"/>
          <w:lang w:val="en-US"/>
        </w:rPr>
        <w:t>,</w:t>
      </w:r>
      <w:r w:rsidRPr="00D869E3">
        <w:rPr>
          <w:rFonts w:ascii="Verdana" w:hAnsi="Verdana"/>
          <w:iCs/>
          <w:sz w:val="20"/>
          <w:szCs w:val="20"/>
          <w:lang w:val="en-US"/>
        </w:rPr>
        <w:t xml:space="preserve"> </w:t>
      </w:r>
      <w:r w:rsidR="007F7FBD" w:rsidRPr="00D869E3">
        <w:rPr>
          <w:rFonts w:ascii="Verdana" w:hAnsi="Verdana"/>
          <w:iCs/>
          <w:sz w:val="20"/>
          <w:szCs w:val="20"/>
          <w:lang w:val="en-US"/>
        </w:rPr>
        <w:t>s</w:t>
      </w:r>
      <w:r w:rsidRPr="00D869E3">
        <w:rPr>
          <w:rFonts w:ascii="Verdana" w:hAnsi="Verdana"/>
          <w:iCs/>
          <w:sz w:val="20"/>
          <w:szCs w:val="20"/>
          <w:lang w:val="en-US"/>
        </w:rPr>
        <w:t>o that it may have different species</w:t>
      </w:r>
      <w:r w:rsidR="00B753CC" w:rsidRPr="00D869E3">
        <w:rPr>
          <w:rFonts w:ascii="Verdana" w:hAnsi="Verdana"/>
          <w:iCs/>
          <w:sz w:val="20"/>
          <w:szCs w:val="20"/>
          <w:lang w:val="en-US"/>
        </w:rPr>
        <w:t xml:space="preserve"> or </w:t>
      </w:r>
      <w:r w:rsidRPr="00D869E3">
        <w:rPr>
          <w:rFonts w:ascii="Verdana" w:hAnsi="Verdana"/>
          <w:iCs/>
          <w:sz w:val="20"/>
          <w:szCs w:val="20"/>
          <w:lang w:val="en-US"/>
        </w:rPr>
        <w:t xml:space="preserve">associations </w:t>
      </w:r>
      <w:r w:rsidR="00F83E8F" w:rsidRPr="00D869E3">
        <w:rPr>
          <w:rFonts w:ascii="Verdana" w:hAnsi="Verdana"/>
          <w:i/>
          <w:sz w:val="20"/>
          <w:szCs w:val="20"/>
          <w:lang w:val="en-US"/>
        </w:rPr>
        <w:t>stricto sensu</w:t>
      </w:r>
      <w:r w:rsidR="00F83E8F" w:rsidRPr="00D869E3">
        <w:rPr>
          <w:rFonts w:ascii="Verdana" w:hAnsi="Verdana"/>
          <w:sz w:val="20"/>
          <w:szCs w:val="20"/>
          <w:lang w:val="en-US"/>
        </w:rPr>
        <w:t xml:space="preserve"> (labor</w:t>
      </w:r>
      <w:r w:rsidRPr="00D869E3">
        <w:rPr>
          <w:rFonts w:ascii="Verdana" w:hAnsi="Verdana"/>
          <w:sz w:val="20"/>
          <w:szCs w:val="20"/>
          <w:lang w:val="en-US"/>
        </w:rPr>
        <w:t>,</w:t>
      </w:r>
      <w:r w:rsidR="00F83E8F" w:rsidRPr="00D869E3">
        <w:rPr>
          <w:rStyle w:val="Refdenotaalpie"/>
          <w:szCs w:val="20"/>
          <w:lang w:val="en-US"/>
        </w:rPr>
        <w:footnoteReference w:id="343"/>
      </w:r>
      <w:r w:rsidR="00F83E8F" w:rsidRPr="00D869E3">
        <w:rPr>
          <w:rFonts w:ascii="Verdana" w:hAnsi="Verdana"/>
          <w:sz w:val="20"/>
          <w:szCs w:val="20"/>
          <w:lang w:val="en-US"/>
        </w:rPr>
        <w:t xml:space="preserve"> </w:t>
      </w:r>
      <w:r w:rsidRPr="00D869E3">
        <w:rPr>
          <w:rFonts w:ascii="Verdana" w:hAnsi="Verdana"/>
          <w:sz w:val="20"/>
          <w:szCs w:val="20"/>
          <w:lang w:val="en-US"/>
        </w:rPr>
        <w:t xml:space="preserve">trade union, </w:t>
      </w:r>
      <w:r w:rsidRPr="00D869E3">
        <w:rPr>
          <w:rFonts w:ascii="Verdana" w:hAnsi="Verdana"/>
          <w:spacing w:val="-3"/>
          <w:sz w:val="20"/>
          <w:szCs w:val="20"/>
          <w:lang w:val="en-US"/>
        </w:rPr>
        <w:t>ideological, religious, political, economic, social, cultural, sports, or others</w:t>
      </w:r>
      <w:r w:rsidRPr="00D869E3">
        <w:rPr>
          <w:rFonts w:ascii="Verdana" w:hAnsi="Verdana"/>
          <w:sz w:val="20"/>
          <w:szCs w:val="20"/>
          <w:lang w:val="en-US"/>
        </w:rPr>
        <w:t xml:space="preserve">). This distinction provides greater specificity to the right that has been violated and the scope of the area of social rights. </w:t>
      </w:r>
      <w:r w:rsidR="00075E68" w:rsidRPr="00D869E3">
        <w:rPr>
          <w:rFonts w:ascii="Verdana" w:hAnsi="Verdana"/>
          <w:sz w:val="20"/>
          <w:szCs w:val="20"/>
          <w:lang w:val="en-US"/>
        </w:rPr>
        <w:t>For example</w:t>
      </w:r>
      <w:r w:rsidR="00F83E8F" w:rsidRPr="00D869E3">
        <w:rPr>
          <w:rFonts w:ascii="Verdana" w:hAnsi="Verdana"/>
          <w:sz w:val="20"/>
          <w:szCs w:val="20"/>
          <w:lang w:val="en-US"/>
        </w:rPr>
        <w:t xml:space="preserve">, </w:t>
      </w:r>
      <w:r w:rsidRPr="00D869E3">
        <w:rPr>
          <w:rFonts w:ascii="Verdana" w:hAnsi="Verdana"/>
          <w:sz w:val="20"/>
          <w:szCs w:val="20"/>
          <w:lang w:val="en-US"/>
        </w:rPr>
        <w:t xml:space="preserve">while labor associations and trade unions may be protected by the content of social rights, religious or ideological associations </w:t>
      </w:r>
      <w:r w:rsidR="007F7FBD" w:rsidRPr="00D869E3">
        <w:rPr>
          <w:rFonts w:ascii="Verdana" w:hAnsi="Verdana"/>
          <w:sz w:val="20"/>
          <w:szCs w:val="20"/>
          <w:lang w:val="en-US"/>
        </w:rPr>
        <w:t>would fall within the sphere of the content of civil and political rights.</w:t>
      </w:r>
    </w:p>
    <w:p w14:paraId="597BCDBE" w14:textId="77777777" w:rsidR="00F83E8F" w:rsidRPr="00D869E3" w:rsidRDefault="00F83E8F" w:rsidP="00F83E8F">
      <w:pPr>
        <w:pStyle w:val="Prrafodelista"/>
        <w:widowControl w:val="0"/>
        <w:autoSpaceDE w:val="0"/>
        <w:autoSpaceDN w:val="0"/>
        <w:adjustRightInd w:val="0"/>
        <w:ind w:left="0" w:right="49"/>
        <w:jc w:val="both"/>
        <w:rPr>
          <w:rFonts w:ascii="Verdana" w:hAnsi="Verdana"/>
          <w:sz w:val="20"/>
          <w:szCs w:val="20"/>
          <w:lang w:val="en-US"/>
        </w:rPr>
      </w:pPr>
    </w:p>
    <w:p w14:paraId="7D90DD64" w14:textId="34EB940B" w:rsidR="00F83E8F" w:rsidRPr="00D869E3" w:rsidRDefault="00075E68" w:rsidP="00E70701">
      <w:pPr>
        <w:pStyle w:val="NormalWeb"/>
        <w:numPr>
          <w:ilvl w:val="0"/>
          <w:numId w:val="28"/>
        </w:numPr>
        <w:spacing w:before="0" w:beforeAutospacing="0" w:after="0" w:afterAutospacing="0"/>
        <w:ind w:left="0" w:firstLine="0"/>
        <w:jc w:val="both"/>
        <w:rPr>
          <w:rFonts w:ascii="Verdana" w:hAnsi="Verdana"/>
          <w:sz w:val="20"/>
          <w:szCs w:val="20"/>
          <w:lang w:val="en-US"/>
        </w:rPr>
      </w:pPr>
      <w:r w:rsidRPr="00D869E3">
        <w:rPr>
          <w:rFonts w:ascii="Verdana" w:hAnsi="Verdana"/>
          <w:sz w:val="20"/>
          <w:szCs w:val="20"/>
          <w:lang w:val="en-US"/>
        </w:rPr>
        <w:t>In this regard</w:t>
      </w:r>
      <w:r w:rsidR="00F83E8F" w:rsidRPr="00D869E3">
        <w:rPr>
          <w:rFonts w:ascii="Verdana" w:hAnsi="Verdana"/>
          <w:sz w:val="20"/>
          <w:szCs w:val="20"/>
          <w:lang w:val="en-US"/>
        </w:rPr>
        <w:t xml:space="preserve">, </w:t>
      </w:r>
      <w:r w:rsidR="007F7FBD" w:rsidRPr="00D869E3">
        <w:rPr>
          <w:rFonts w:ascii="Verdana" w:hAnsi="Verdana"/>
          <w:sz w:val="20"/>
          <w:szCs w:val="20"/>
          <w:lang w:val="en-US"/>
        </w:rPr>
        <w:t xml:space="preserve">to illustrate the foregoing, it is important to mentioned the case of </w:t>
      </w:r>
      <w:r w:rsidR="00F83E8F" w:rsidRPr="00D869E3">
        <w:rPr>
          <w:rFonts w:ascii="Verdana" w:hAnsi="Verdana"/>
          <w:i/>
          <w:sz w:val="20"/>
          <w:szCs w:val="20"/>
          <w:lang w:val="en-US"/>
        </w:rPr>
        <w:t xml:space="preserve">Kawas Fernández </w:t>
      </w:r>
      <w:r w:rsidR="00447C65" w:rsidRPr="00D869E3">
        <w:rPr>
          <w:rFonts w:ascii="Verdana" w:hAnsi="Verdana"/>
          <w:i/>
          <w:sz w:val="20"/>
          <w:szCs w:val="20"/>
          <w:lang w:val="en-US"/>
        </w:rPr>
        <w:t>v.</w:t>
      </w:r>
      <w:r w:rsidR="00F83E8F" w:rsidRPr="00D869E3">
        <w:rPr>
          <w:rFonts w:ascii="Verdana" w:hAnsi="Verdana"/>
          <w:i/>
          <w:sz w:val="20"/>
          <w:szCs w:val="20"/>
          <w:lang w:val="en-US"/>
        </w:rPr>
        <w:t xml:space="preserve"> Honduras,</w:t>
      </w:r>
      <w:r w:rsidR="00F83E8F" w:rsidRPr="00D869E3">
        <w:rPr>
          <w:rFonts w:ascii="Verdana" w:hAnsi="Verdana"/>
          <w:sz w:val="20"/>
          <w:szCs w:val="20"/>
          <w:lang w:val="en-US"/>
        </w:rPr>
        <w:t xml:space="preserve"> </w:t>
      </w:r>
      <w:r w:rsidR="007F7FBD" w:rsidRPr="00D869E3">
        <w:rPr>
          <w:rFonts w:ascii="Verdana" w:hAnsi="Verdana"/>
          <w:sz w:val="20"/>
          <w:szCs w:val="20"/>
          <w:lang w:val="en-US"/>
        </w:rPr>
        <w:t xml:space="preserve">where </w:t>
      </w:r>
      <w:r w:rsidR="00671B14" w:rsidRPr="00D869E3">
        <w:rPr>
          <w:rFonts w:ascii="Verdana" w:hAnsi="Verdana"/>
          <w:sz w:val="20"/>
          <w:szCs w:val="20"/>
          <w:lang w:val="en-US"/>
        </w:rPr>
        <w:t>the Inter-American Court</w:t>
      </w:r>
      <w:r w:rsidR="00F83E8F" w:rsidRPr="00D869E3">
        <w:rPr>
          <w:rFonts w:ascii="Verdana" w:hAnsi="Verdana"/>
          <w:sz w:val="20"/>
          <w:szCs w:val="20"/>
          <w:lang w:val="en-US"/>
        </w:rPr>
        <w:t xml:space="preserve"> </w:t>
      </w:r>
      <w:r w:rsidR="007F7FBD" w:rsidRPr="00D869E3">
        <w:rPr>
          <w:rFonts w:ascii="Verdana" w:hAnsi="Verdana"/>
          <w:sz w:val="20"/>
          <w:szCs w:val="20"/>
          <w:lang w:val="en-US"/>
        </w:rPr>
        <w:t>declared that</w:t>
      </w:r>
      <w:r w:rsidR="00F83E8F" w:rsidRPr="00D869E3">
        <w:rPr>
          <w:rFonts w:ascii="Verdana" w:hAnsi="Verdana"/>
          <w:sz w:val="20"/>
          <w:szCs w:val="20"/>
          <w:lang w:val="en-US"/>
        </w:rPr>
        <w:t xml:space="preserve"> </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 16</w:t>
      </w:r>
      <w:r w:rsidR="00447C65" w:rsidRPr="00D869E3">
        <w:rPr>
          <w:rFonts w:ascii="Verdana" w:hAnsi="Verdana"/>
          <w:sz w:val="20"/>
          <w:szCs w:val="20"/>
          <w:lang w:val="en-US"/>
        </w:rPr>
        <w:t xml:space="preserve"> of the American Convention</w:t>
      </w:r>
      <w:r w:rsidR="00F83E8F" w:rsidRPr="00D869E3">
        <w:rPr>
          <w:rFonts w:ascii="Verdana" w:hAnsi="Verdana"/>
          <w:sz w:val="20"/>
          <w:szCs w:val="20"/>
          <w:lang w:val="en-US"/>
        </w:rPr>
        <w:t xml:space="preserve"> </w:t>
      </w:r>
      <w:r w:rsidR="007F7FBD" w:rsidRPr="00D869E3">
        <w:rPr>
          <w:rFonts w:ascii="Verdana" w:hAnsi="Verdana"/>
          <w:sz w:val="20"/>
          <w:szCs w:val="20"/>
          <w:lang w:val="en-US"/>
        </w:rPr>
        <w:t xml:space="preserve">had been violated in a non-trade union context. At the time of the facts, </w:t>
      </w:r>
      <w:r w:rsidR="006436CA" w:rsidRPr="00D869E3">
        <w:rPr>
          <w:rFonts w:ascii="Verdana" w:hAnsi="Verdana"/>
          <w:sz w:val="20"/>
          <w:szCs w:val="20"/>
          <w:lang w:val="en-US"/>
        </w:rPr>
        <w:t>“</w:t>
      </w:r>
      <w:r w:rsidR="00F83E8F" w:rsidRPr="00D869E3">
        <w:rPr>
          <w:rFonts w:ascii="Verdana" w:hAnsi="Verdana"/>
          <w:sz w:val="20"/>
          <w:szCs w:val="20"/>
          <w:lang w:val="en-US"/>
        </w:rPr>
        <w:t>Blanca Jeannette Kawas Fernández</w:t>
      </w:r>
      <w:r w:rsidR="007F7FBD" w:rsidRPr="00D869E3">
        <w:rPr>
          <w:rFonts w:ascii="Verdana" w:hAnsi="Verdana" w:cs="Arial"/>
          <w:sz w:val="20"/>
          <w:szCs w:val="20"/>
          <w:lang w:val="en-US"/>
        </w:rPr>
        <w:t xml:space="preserve"> was president of the PROLANSATE foundation, and in that capacity she promoted the establishment of public policies on environmental protection in the department of Atlántida, Honduras, as well as awareness regarding natural resource preservation through education, and reported environmental degradation in the area</w:t>
      </w:r>
      <w:r w:rsidR="007F7FBD" w:rsidRPr="00D869E3">
        <w:rPr>
          <w:rFonts w:ascii="Verdana" w:hAnsi="Verdana"/>
          <w:sz w:val="20"/>
          <w:szCs w:val="20"/>
          <w:lang w:val="en-US"/>
        </w:rPr>
        <w:t>.</w:t>
      </w:r>
      <w:r w:rsidR="006436CA" w:rsidRPr="00D869E3">
        <w:rPr>
          <w:rFonts w:ascii="Verdana" w:hAnsi="Verdana"/>
          <w:sz w:val="20"/>
          <w:szCs w:val="20"/>
          <w:lang w:val="en-US"/>
        </w:rPr>
        <w:t>”</w:t>
      </w:r>
      <w:r w:rsidR="00F83E8F" w:rsidRPr="00D869E3">
        <w:rPr>
          <w:rStyle w:val="Refdenotaalpie"/>
          <w:rFonts w:eastAsiaTheme="majorEastAsia"/>
          <w:szCs w:val="20"/>
          <w:lang w:val="en-US"/>
        </w:rPr>
        <w:footnoteReference w:id="344"/>
      </w:r>
      <w:r w:rsidR="00F83E8F" w:rsidRPr="00D869E3">
        <w:rPr>
          <w:rFonts w:ascii="Verdana" w:hAnsi="Verdana"/>
          <w:sz w:val="20"/>
          <w:szCs w:val="20"/>
          <w:lang w:val="en-US"/>
        </w:rPr>
        <w:t xml:space="preserve"> </w:t>
      </w:r>
      <w:r w:rsidRPr="00D869E3">
        <w:rPr>
          <w:rFonts w:ascii="Verdana" w:hAnsi="Verdana"/>
          <w:sz w:val="20"/>
          <w:szCs w:val="20"/>
          <w:lang w:val="en-US"/>
        </w:rPr>
        <w:t>In this regard</w:t>
      </w:r>
      <w:r w:rsidR="00F83E8F" w:rsidRPr="00D869E3">
        <w:rPr>
          <w:rFonts w:ascii="Verdana" w:hAnsi="Verdana"/>
          <w:sz w:val="20"/>
          <w:szCs w:val="20"/>
          <w:lang w:val="en-US"/>
        </w:rPr>
        <w:t xml:space="preserve">, </w:t>
      </w:r>
      <w:r w:rsidR="007F7FBD" w:rsidRPr="00D869E3">
        <w:rPr>
          <w:rFonts w:ascii="Verdana" w:hAnsi="Verdana"/>
          <w:sz w:val="20"/>
          <w:szCs w:val="20"/>
          <w:lang w:val="en-US"/>
        </w:rPr>
        <w:t>it specified that</w:t>
      </w:r>
      <w:r w:rsidR="00F83E8F" w:rsidRPr="00D869E3">
        <w:rPr>
          <w:rFonts w:ascii="Verdana" w:hAnsi="Verdana"/>
          <w:sz w:val="20"/>
          <w:szCs w:val="20"/>
          <w:lang w:val="en-US"/>
        </w:rPr>
        <w:t xml:space="preserve"> </w:t>
      </w:r>
      <w:r w:rsidR="006436CA" w:rsidRPr="00D869E3">
        <w:rPr>
          <w:rFonts w:ascii="Verdana" w:hAnsi="Verdana"/>
          <w:sz w:val="20"/>
          <w:szCs w:val="20"/>
          <w:lang w:val="en-US"/>
        </w:rPr>
        <w:t>“</w:t>
      </w:r>
      <w:r w:rsidR="00F83E8F" w:rsidRPr="00D869E3">
        <w:rPr>
          <w:rFonts w:ascii="Verdana" w:hAnsi="Verdana"/>
          <w:sz w:val="20"/>
          <w:szCs w:val="20"/>
          <w:lang w:val="en-US"/>
        </w:rPr>
        <w:t>[</w:t>
      </w:r>
      <w:r w:rsidR="00C86693" w:rsidRPr="00D869E3">
        <w:rPr>
          <w:rFonts w:ascii="Verdana" w:hAnsi="Verdana"/>
          <w:sz w:val="20"/>
          <w:szCs w:val="20"/>
          <w:lang w:val="en-US"/>
        </w:rPr>
        <w:t>t</w:t>
      </w:r>
      <w:r w:rsidR="00F83E8F" w:rsidRPr="00D869E3">
        <w:rPr>
          <w:rFonts w:ascii="Verdana" w:hAnsi="Verdana"/>
          <w:sz w:val="20"/>
          <w:szCs w:val="20"/>
          <w:lang w:val="en-US"/>
        </w:rPr>
        <w:t>]</w:t>
      </w:r>
      <w:r w:rsidR="00C86693" w:rsidRPr="00D869E3">
        <w:rPr>
          <w:rFonts w:ascii="Verdana" w:hAnsi="Verdana" w:cs="Arial"/>
          <w:sz w:val="20"/>
          <w:szCs w:val="20"/>
          <w:lang w:val="en-US"/>
        </w:rPr>
        <w:t>he recognition of work in defense of the environment and its connection to human rights is becoming more prominent across the countries of the region, in which an increasing number of incidents have been reported involving</w:t>
      </w:r>
      <w:r w:rsidR="00B753CC" w:rsidRPr="00D869E3">
        <w:rPr>
          <w:rFonts w:ascii="Verdana" w:hAnsi="Verdana" w:cs="Arial"/>
          <w:sz w:val="20"/>
          <w:szCs w:val="20"/>
          <w:lang w:val="en-US"/>
        </w:rPr>
        <w:t xml:space="preserve"> murders and</w:t>
      </w:r>
      <w:r w:rsidR="00C86693" w:rsidRPr="00D869E3">
        <w:rPr>
          <w:rFonts w:ascii="Verdana" w:hAnsi="Verdana" w:cs="Arial"/>
          <w:sz w:val="20"/>
          <w:szCs w:val="20"/>
          <w:lang w:val="en-US"/>
        </w:rPr>
        <w:t xml:space="preserve"> threats and acts of violence against environmentalists owing to their work</w:t>
      </w:r>
      <w:r w:rsidR="00C86693" w:rsidRPr="00D869E3">
        <w:rPr>
          <w:rFonts w:ascii="Verdana" w:hAnsi="Verdana"/>
          <w:sz w:val="20"/>
          <w:szCs w:val="20"/>
          <w:lang w:val="en-US"/>
        </w:rPr>
        <w:t>.</w:t>
      </w:r>
      <w:r w:rsidR="006436CA" w:rsidRPr="00D869E3">
        <w:rPr>
          <w:rFonts w:ascii="Verdana" w:hAnsi="Verdana"/>
          <w:sz w:val="20"/>
          <w:szCs w:val="20"/>
          <w:lang w:val="en-US"/>
        </w:rPr>
        <w:t>”</w:t>
      </w:r>
      <w:r w:rsidR="00F83E8F" w:rsidRPr="00D869E3">
        <w:rPr>
          <w:rStyle w:val="Refdenotaalpie"/>
          <w:rFonts w:eastAsiaTheme="majorEastAsia"/>
          <w:szCs w:val="20"/>
          <w:lang w:val="en-US"/>
        </w:rPr>
        <w:footnoteReference w:id="345"/>
      </w:r>
      <w:r w:rsidR="00C86693" w:rsidRPr="00D869E3">
        <w:rPr>
          <w:rFonts w:ascii="Verdana" w:hAnsi="Verdana"/>
          <w:sz w:val="20"/>
          <w:szCs w:val="20"/>
          <w:lang w:val="en-US"/>
        </w:rPr>
        <w:t xml:space="preserve"> In that case, </w:t>
      </w:r>
      <w:r w:rsidR="00671B14" w:rsidRPr="00D869E3">
        <w:rPr>
          <w:rFonts w:ascii="Verdana" w:hAnsi="Verdana"/>
          <w:sz w:val="20"/>
          <w:szCs w:val="20"/>
          <w:lang w:val="en-US"/>
        </w:rPr>
        <w:t>the Inter-American Court</w:t>
      </w:r>
      <w:r w:rsidR="00F83E8F" w:rsidRPr="00D869E3">
        <w:rPr>
          <w:rFonts w:ascii="Verdana" w:hAnsi="Verdana"/>
          <w:sz w:val="20"/>
          <w:szCs w:val="20"/>
          <w:lang w:val="en-US"/>
        </w:rPr>
        <w:t xml:space="preserve"> consider</w:t>
      </w:r>
      <w:r w:rsidR="00C86693" w:rsidRPr="00D869E3">
        <w:rPr>
          <w:rFonts w:ascii="Verdana" w:hAnsi="Verdana"/>
          <w:sz w:val="20"/>
          <w:szCs w:val="20"/>
          <w:lang w:val="en-US"/>
        </w:rPr>
        <w:t>ed that “Article</w:t>
      </w:r>
      <w:r w:rsidR="00F83E8F" w:rsidRPr="00D869E3">
        <w:rPr>
          <w:rFonts w:ascii="Verdana" w:hAnsi="Verdana"/>
          <w:sz w:val="20"/>
          <w:szCs w:val="20"/>
          <w:lang w:val="en-US"/>
        </w:rPr>
        <w:t xml:space="preserve"> 16 </w:t>
      </w:r>
      <w:r w:rsidR="00C86693" w:rsidRPr="00D869E3">
        <w:rPr>
          <w:rFonts w:ascii="Verdana" w:hAnsi="Verdana" w:cs="Arial"/>
          <w:sz w:val="20"/>
          <w:szCs w:val="20"/>
          <w:lang w:val="en-US"/>
        </w:rPr>
        <w:t xml:space="preserve">of the American Convention also includes the </w:t>
      </w:r>
      <w:r w:rsidR="00C86693" w:rsidRPr="00D869E3">
        <w:rPr>
          <w:rFonts w:ascii="Verdana" w:hAnsi="Verdana" w:cs="Arial"/>
          <w:sz w:val="20"/>
          <w:szCs w:val="20"/>
          <w:u w:val="single"/>
          <w:lang w:val="en-US"/>
        </w:rPr>
        <w:t xml:space="preserve">right of </w:t>
      </w:r>
      <w:r w:rsidR="00C86693" w:rsidRPr="00D869E3">
        <w:rPr>
          <w:rFonts w:ascii="Verdana" w:hAnsi="Verdana" w:cs="Arial"/>
          <w:sz w:val="20"/>
          <w:szCs w:val="20"/>
          <w:u w:val="single"/>
          <w:lang w:val="en-US"/>
        </w:rPr>
        <w:lastRenderedPageBreak/>
        <w:t>individuals to set up and participate freely in non-governmental organizations, associations or groups involved in human rights monitoring, reporting and promotion</w:t>
      </w:r>
      <w:r w:rsidR="00C86693" w:rsidRPr="00D869E3">
        <w:rPr>
          <w:rFonts w:ascii="Verdana" w:hAnsi="Verdana" w:cs="Arial"/>
          <w:sz w:val="20"/>
          <w:szCs w:val="20"/>
          <w:lang w:val="en-US"/>
        </w:rPr>
        <w:t>.</w:t>
      </w:r>
      <w:r w:rsidR="006436CA" w:rsidRPr="00D869E3">
        <w:rPr>
          <w:rFonts w:ascii="Verdana" w:hAnsi="Verdana"/>
          <w:sz w:val="20"/>
          <w:szCs w:val="20"/>
          <w:lang w:val="en-US"/>
        </w:rPr>
        <w:t>”</w:t>
      </w:r>
      <w:r w:rsidR="00F83E8F" w:rsidRPr="00D869E3">
        <w:rPr>
          <w:rStyle w:val="Refdenotaalpie"/>
          <w:rFonts w:eastAsiaTheme="majorEastAsia"/>
          <w:szCs w:val="20"/>
          <w:lang w:val="en-US"/>
        </w:rPr>
        <w:footnoteReference w:id="346"/>
      </w:r>
    </w:p>
    <w:p w14:paraId="398A50B2" w14:textId="77777777" w:rsidR="00F83E8F" w:rsidRPr="00D869E3" w:rsidRDefault="00F83E8F" w:rsidP="00F83E8F">
      <w:pPr>
        <w:pStyle w:val="NormalWeb"/>
        <w:spacing w:before="0" w:beforeAutospacing="0" w:after="0" w:afterAutospacing="0"/>
        <w:ind w:left="360"/>
        <w:jc w:val="both"/>
        <w:rPr>
          <w:rFonts w:ascii="Verdana" w:hAnsi="Verdana"/>
          <w:lang w:val="en-US"/>
        </w:rPr>
      </w:pPr>
    </w:p>
    <w:p w14:paraId="0A4690D0" w14:textId="6A17BF48" w:rsidR="00F83E8F" w:rsidRPr="00D869E3" w:rsidRDefault="00C86693" w:rsidP="00C86693">
      <w:pPr>
        <w:pStyle w:val="Prrafodelista"/>
        <w:widowControl w:val="0"/>
        <w:numPr>
          <w:ilvl w:val="0"/>
          <w:numId w:val="28"/>
        </w:numPr>
        <w:autoSpaceDE w:val="0"/>
        <w:autoSpaceDN w:val="0"/>
        <w:adjustRightInd w:val="0"/>
        <w:ind w:left="0" w:right="49" w:firstLine="0"/>
        <w:jc w:val="both"/>
        <w:rPr>
          <w:rFonts w:ascii="Verdana" w:hAnsi="Verdana"/>
          <w:sz w:val="20"/>
          <w:szCs w:val="20"/>
          <w:lang w:val="en-US"/>
        </w:rPr>
      </w:pPr>
      <w:r w:rsidRPr="00D869E3">
        <w:rPr>
          <w:rFonts w:ascii="Verdana" w:hAnsi="Verdana"/>
          <w:sz w:val="20"/>
          <w:szCs w:val="20"/>
          <w:lang w:val="en-US"/>
        </w:rPr>
        <w:t xml:space="preserve">In the instant case, it has been proved that </w:t>
      </w:r>
      <w:r w:rsidR="001E44D3" w:rsidRPr="00D869E3">
        <w:rPr>
          <w:rFonts w:ascii="Verdana" w:hAnsi="Verdana"/>
          <w:sz w:val="20"/>
          <w:szCs w:val="20"/>
          <w:lang w:val="en-US"/>
        </w:rPr>
        <w:t>Mr. Lagos del Campo</w:t>
      </w:r>
      <w:r w:rsidR="00F83E8F" w:rsidRPr="00D869E3">
        <w:rPr>
          <w:rFonts w:ascii="Verdana" w:hAnsi="Verdana"/>
          <w:sz w:val="20"/>
          <w:szCs w:val="20"/>
          <w:lang w:val="en-US"/>
        </w:rPr>
        <w:t xml:space="preserve"> </w:t>
      </w:r>
      <w:r w:rsidRPr="00D869E3">
        <w:rPr>
          <w:rFonts w:ascii="Verdana" w:hAnsi="Verdana"/>
          <w:sz w:val="20"/>
          <w:szCs w:val="20"/>
          <w:lang w:val="en-US"/>
        </w:rPr>
        <w:t xml:space="preserve">was dismissed owing to </w:t>
      </w:r>
      <w:r w:rsidR="004800B8" w:rsidRPr="00D869E3">
        <w:rPr>
          <w:rFonts w:ascii="Verdana" w:hAnsi="Verdana"/>
          <w:sz w:val="20"/>
          <w:szCs w:val="20"/>
          <w:lang w:val="en-US"/>
        </w:rPr>
        <w:t>statement</w:t>
      </w:r>
      <w:r w:rsidRPr="00D869E3">
        <w:rPr>
          <w:rFonts w:ascii="Verdana" w:hAnsi="Verdana"/>
          <w:sz w:val="20"/>
          <w:szCs w:val="20"/>
          <w:lang w:val="en-US"/>
        </w:rPr>
        <w:t xml:space="preserve">s made in the context of an electoral process that he was called on to </w:t>
      </w:r>
      <w:r w:rsidR="008A6FFA" w:rsidRPr="00D869E3">
        <w:rPr>
          <w:rFonts w:ascii="Verdana" w:hAnsi="Verdana"/>
          <w:sz w:val="20"/>
          <w:szCs w:val="20"/>
          <w:lang w:val="en-US"/>
        </w:rPr>
        <w:t>supervise</w:t>
      </w:r>
      <w:r w:rsidRPr="00D869E3">
        <w:rPr>
          <w:rFonts w:ascii="Verdana" w:hAnsi="Verdana"/>
          <w:sz w:val="20"/>
          <w:szCs w:val="20"/>
          <w:lang w:val="en-US"/>
        </w:rPr>
        <w:t xml:space="preserve"> as part of his responsibilities. In addition, as a result of </w:t>
      </w:r>
      <w:r w:rsidR="008A6FFA" w:rsidRPr="00D869E3">
        <w:rPr>
          <w:rFonts w:ascii="Verdana" w:hAnsi="Verdana"/>
          <w:sz w:val="20"/>
          <w:szCs w:val="20"/>
          <w:lang w:val="en-US"/>
        </w:rPr>
        <w:t>his</w:t>
      </w:r>
      <w:r w:rsidRPr="00D869E3">
        <w:rPr>
          <w:rFonts w:ascii="Verdana" w:hAnsi="Verdana"/>
          <w:sz w:val="20"/>
          <w:szCs w:val="20"/>
          <w:lang w:val="en-US"/>
        </w:rPr>
        <w:t xml:space="preserve"> dismissal, the victim could not continue his work of representing the workers on </w:t>
      </w:r>
      <w:r w:rsidR="00EA232B" w:rsidRPr="00D869E3">
        <w:rPr>
          <w:rFonts w:ascii="Verdana" w:hAnsi="Verdana"/>
          <w:sz w:val="20"/>
          <w:szCs w:val="20"/>
          <w:lang w:val="en-US"/>
        </w:rPr>
        <w:t>the Electoral Committee</w:t>
      </w:r>
      <w:r w:rsidR="00F83E8F" w:rsidRPr="00D869E3">
        <w:rPr>
          <w:rFonts w:ascii="Verdana" w:hAnsi="Verdana"/>
          <w:sz w:val="20"/>
          <w:szCs w:val="20"/>
          <w:lang w:val="en-US"/>
        </w:rPr>
        <w:t xml:space="preserve">. </w:t>
      </w:r>
      <w:r w:rsidRPr="00D869E3">
        <w:rPr>
          <w:rFonts w:ascii="Verdana" w:hAnsi="Verdana"/>
          <w:sz w:val="20"/>
          <w:szCs w:val="20"/>
          <w:lang w:val="en-US"/>
        </w:rPr>
        <w:t xml:space="preserve">In addition, he was unable to continue </w:t>
      </w:r>
      <w:r w:rsidR="008A6FFA" w:rsidRPr="00D869E3">
        <w:rPr>
          <w:rFonts w:ascii="Verdana" w:hAnsi="Verdana"/>
          <w:sz w:val="20"/>
          <w:szCs w:val="20"/>
          <w:lang w:val="en-US"/>
        </w:rPr>
        <w:t>his membership in</w:t>
      </w:r>
      <w:r w:rsidRPr="00D869E3">
        <w:rPr>
          <w:rFonts w:ascii="Verdana" w:hAnsi="Verdana"/>
          <w:sz w:val="20"/>
          <w:szCs w:val="20"/>
          <w:lang w:val="en-US"/>
        </w:rPr>
        <w:t xml:space="preserve"> </w:t>
      </w:r>
      <w:r w:rsidR="00EA232B" w:rsidRPr="00D869E3">
        <w:rPr>
          <w:rFonts w:ascii="Verdana" w:hAnsi="Verdana"/>
          <w:sz w:val="20"/>
          <w:szCs w:val="20"/>
          <w:lang w:val="en-US"/>
        </w:rPr>
        <w:t>the Industrial Community</w:t>
      </w:r>
      <w:r w:rsidR="00F83E8F" w:rsidRPr="00D869E3">
        <w:rPr>
          <w:rFonts w:ascii="Verdana" w:hAnsi="Verdana"/>
          <w:sz w:val="20"/>
          <w:szCs w:val="20"/>
          <w:lang w:val="en-US"/>
        </w:rPr>
        <w:t xml:space="preserve">, </w:t>
      </w:r>
      <w:r w:rsidRPr="00D869E3">
        <w:rPr>
          <w:rFonts w:ascii="Verdana" w:hAnsi="Verdana"/>
          <w:sz w:val="20"/>
          <w:szCs w:val="20"/>
          <w:lang w:val="en-US"/>
        </w:rPr>
        <w:t xml:space="preserve">since he </w:t>
      </w:r>
      <w:r w:rsidR="009073D9" w:rsidRPr="00D869E3">
        <w:rPr>
          <w:rFonts w:ascii="Verdana" w:hAnsi="Verdana"/>
          <w:sz w:val="20"/>
          <w:szCs w:val="20"/>
          <w:lang w:val="en-US"/>
        </w:rPr>
        <w:t>no longer worked for the company, because</w:t>
      </w:r>
      <w:r w:rsidR="00F83E8F" w:rsidRPr="00D869E3">
        <w:rPr>
          <w:rFonts w:ascii="Verdana" w:hAnsi="Verdana"/>
          <w:sz w:val="20"/>
          <w:szCs w:val="20"/>
          <w:lang w:val="en-US"/>
        </w:rPr>
        <w:t xml:space="preserve"> </w:t>
      </w:r>
      <w:r w:rsidR="003506CC" w:rsidRPr="00D869E3">
        <w:rPr>
          <w:rFonts w:ascii="Verdana" w:hAnsi="Verdana"/>
          <w:sz w:val="20"/>
          <w:szCs w:val="20"/>
          <w:lang w:val="en-US"/>
        </w:rPr>
        <w:t xml:space="preserve">the </w:t>
      </w:r>
      <w:r w:rsidR="00966115" w:rsidRPr="00D869E3">
        <w:rPr>
          <w:rFonts w:ascii="Verdana" w:hAnsi="Verdana"/>
          <w:sz w:val="20"/>
          <w:szCs w:val="20"/>
          <w:lang w:val="en-US"/>
        </w:rPr>
        <w:t>Second Labor Court</w:t>
      </w:r>
      <w:r w:rsidR="009D37C8" w:rsidRPr="00D869E3">
        <w:rPr>
          <w:rFonts w:ascii="Verdana" w:hAnsi="Verdana"/>
          <w:sz w:val="20"/>
          <w:szCs w:val="20"/>
          <w:lang w:val="en-US"/>
        </w:rPr>
        <w:t xml:space="preserve"> of Lima</w:t>
      </w:r>
      <w:r w:rsidR="00F83E8F" w:rsidRPr="00D869E3">
        <w:rPr>
          <w:rFonts w:ascii="Verdana" w:hAnsi="Verdana"/>
          <w:sz w:val="20"/>
          <w:szCs w:val="20"/>
          <w:lang w:val="en-US"/>
        </w:rPr>
        <w:t xml:space="preserve"> </w:t>
      </w:r>
      <w:r w:rsidR="009073D9" w:rsidRPr="00D869E3">
        <w:rPr>
          <w:rFonts w:ascii="Verdana" w:hAnsi="Verdana"/>
          <w:sz w:val="20"/>
          <w:szCs w:val="20"/>
          <w:lang w:val="en-US"/>
        </w:rPr>
        <w:t xml:space="preserve">determined that the victim’s dismissal was “legal and justified,” endorsing a sanction that had an impact on the possibility of </w:t>
      </w:r>
      <w:r w:rsidR="00E6309B" w:rsidRPr="00D869E3">
        <w:rPr>
          <w:rFonts w:ascii="Verdana" w:hAnsi="Verdana"/>
          <w:sz w:val="20"/>
          <w:szCs w:val="20"/>
          <w:lang w:val="en-US"/>
        </w:rPr>
        <w:t>Mr.</w:t>
      </w:r>
      <w:r w:rsidR="001E44D3" w:rsidRPr="00D869E3">
        <w:rPr>
          <w:rFonts w:ascii="Verdana" w:hAnsi="Verdana"/>
          <w:sz w:val="20"/>
          <w:szCs w:val="20"/>
          <w:lang w:val="en-US"/>
        </w:rPr>
        <w:t xml:space="preserve"> Lagos del Campo</w:t>
      </w:r>
      <w:r w:rsidR="00F83E8F" w:rsidRPr="00D869E3">
        <w:rPr>
          <w:rFonts w:ascii="Verdana" w:hAnsi="Verdana"/>
          <w:sz w:val="20"/>
          <w:szCs w:val="20"/>
          <w:lang w:val="en-US"/>
        </w:rPr>
        <w:t xml:space="preserve"> </w:t>
      </w:r>
      <w:r w:rsidR="009073D9" w:rsidRPr="00D869E3">
        <w:rPr>
          <w:rFonts w:ascii="Verdana" w:hAnsi="Verdana"/>
          <w:sz w:val="20"/>
          <w:szCs w:val="20"/>
          <w:lang w:val="en-US"/>
        </w:rPr>
        <w:t>being able to continue belonging to that company and representing the interest</w:t>
      </w:r>
      <w:r w:rsidR="008A6FFA" w:rsidRPr="00D869E3">
        <w:rPr>
          <w:rFonts w:ascii="Verdana" w:hAnsi="Verdana"/>
          <w:sz w:val="20"/>
          <w:szCs w:val="20"/>
          <w:lang w:val="en-US"/>
        </w:rPr>
        <w:t>s</w:t>
      </w:r>
      <w:r w:rsidR="009073D9" w:rsidRPr="00D869E3">
        <w:rPr>
          <w:rFonts w:ascii="Verdana" w:hAnsi="Verdana"/>
          <w:sz w:val="20"/>
          <w:szCs w:val="20"/>
          <w:lang w:val="en-US"/>
        </w:rPr>
        <w:t xml:space="preserve"> of the other workers.</w:t>
      </w:r>
      <w:r w:rsidR="00F83E8F" w:rsidRPr="00D869E3">
        <w:rPr>
          <w:rStyle w:val="Refdenotaalpie"/>
          <w:szCs w:val="20"/>
          <w:lang w:val="en-US"/>
        </w:rPr>
        <w:footnoteReference w:id="347"/>
      </w:r>
      <w:r w:rsidR="00F83E8F" w:rsidRPr="00D869E3">
        <w:rPr>
          <w:rFonts w:ascii="Verdana" w:hAnsi="Verdana"/>
          <w:sz w:val="20"/>
          <w:szCs w:val="20"/>
          <w:lang w:val="en-US"/>
        </w:rPr>
        <w:t xml:space="preserve"> </w:t>
      </w:r>
      <w:r w:rsidR="00671B14" w:rsidRPr="00D869E3">
        <w:rPr>
          <w:rFonts w:ascii="Verdana" w:hAnsi="Verdana"/>
          <w:sz w:val="20"/>
          <w:szCs w:val="20"/>
          <w:lang w:val="en-US"/>
        </w:rPr>
        <w:t>The Inter-American Court</w:t>
      </w:r>
      <w:r w:rsidR="00F83E8F" w:rsidRPr="00D869E3">
        <w:rPr>
          <w:rFonts w:ascii="Verdana" w:hAnsi="Verdana"/>
          <w:sz w:val="20"/>
          <w:szCs w:val="20"/>
          <w:lang w:val="en-US"/>
        </w:rPr>
        <w:t xml:space="preserve"> </w:t>
      </w:r>
      <w:r w:rsidR="009073D9" w:rsidRPr="00D869E3">
        <w:rPr>
          <w:rFonts w:ascii="Verdana" w:hAnsi="Verdana"/>
          <w:sz w:val="20"/>
          <w:szCs w:val="20"/>
          <w:lang w:val="en-US"/>
        </w:rPr>
        <w:t>concluded that</w:t>
      </w:r>
      <w:r w:rsidR="00F83E8F" w:rsidRPr="00D869E3">
        <w:rPr>
          <w:rFonts w:ascii="Verdana" w:hAnsi="Verdana"/>
          <w:sz w:val="20"/>
          <w:szCs w:val="20"/>
          <w:lang w:val="en-US"/>
        </w:rPr>
        <w:t xml:space="preserve">: </w:t>
      </w:r>
    </w:p>
    <w:p w14:paraId="502E2E5D" w14:textId="77777777" w:rsidR="00F83E8F" w:rsidRPr="00D869E3" w:rsidRDefault="00F83E8F" w:rsidP="00F83E8F">
      <w:pPr>
        <w:widowControl w:val="0"/>
        <w:autoSpaceDE w:val="0"/>
        <w:autoSpaceDN w:val="0"/>
        <w:adjustRightInd w:val="0"/>
        <w:ind w:right="18"/>
        <w:jc w:val="both"/>
        <w:rPr>
          <w:rFonts w:ascii="Verdana" w:hAnsi="Verdana"/>
          <w:sz w:val="20"/>
          <w:szCs w:val="20"/>
          <w:lang w:val="en-US"/>
        </w:rPr>
      </w:pPr>
    </w:p>
    <w:p w14:paraId="16B58579" w14:textId="0A7D0266" w:rsidR="00F83E8F" w:rsidRPr="00D869E3" w:rsidRDefault="00F83E8F" w:rsidP="00F83E8F">
      <w:pPr>
        <w:autoSpaceDE w:val="0"/>
        <w:autoSpaceDN w:val="0"/>
        <w:adjustRightInd w:val="0"/>
        <w:ind w:left="709" w:right="738"/>
        <w:jc w:val="both"/>
        <w:rPr>
          <w:rFonts w:ascii="Verdana" w:hAnsi="Verdana"/>
          <w:sz w:val="16"/>
          <w:szCs w:val="16"/>
          <w:lang w:val="en-US"/>
        </w:rPr>
      </w:pPr>
      <w:r w:rsidRPr="00D869E3">
        <w:rPr>
          <w:rFonts w:ascii="Verdana" w:hAnsi="Verdana"/>
          <w:sz w:val="16"/>
          <w:szCs w:val="16"/>
          <w:lang w:val="en-US"/>
        </w:rPr>
        <w:t xml:space="preserve">162. </w:t>
      </w:r>
      <w:r w:rsidR="002517A8" w:rsidRPr="00D869E3">
        <w:rPr>
          <w:rFonts w:ascii="Verdana" w:hAnsi="Verdana"/>
          <w:sz w:val="16"/>
          <w:szCs w:val="16"/>
          <w:lang w:val="en-US"/>
        </w:rPr>
        <w:t>In addition, the Court has established that freedom of association has two dimensions, because it relates both to the right of the individual to associate freely and to use the appropriate means to exercise this freedom, and to the right of the members of a group to achieve certain objectives together and to benefit from them. The Court has also established that the rights derived from representing the interests of a group are twofold, because they relate both to the right of the individual who exercises the mandate or appointment, and the right of the collectivity to be represented, so that the violation of the right of the former (the representative) results in the violation of the right of the latter (the person or collectivity represented).</w:t>
      </w:r>
      <w:r w:rsidR="002517A8" w:rsidRPr="00D869E3">
        <w:rPr>
          <w:rFonts w:ascii="Verdana" w:hAnsi="Verdana"/>
          <w:sz w:val="20"/>
          <w:szCs w:val="20"/>
          <w:lang w:val="en-US"/>
        </w:rPr>
        <w:t xml:space="preserve"> </w:t>
      </w:r>
      <w:r w:rsidRPr="00D869E3">
        <w:rPr>
          <w:rFonts w:ascii="Verdana" w:hAnsi="Verdana"/>
          <w:sz w:val="16"/>
          <w:szCs w:val="16"/>
          <w:lang w:val="en-US"/>
        </w:rPr>
        <w:t>[…]</w:t>
      </w:r>
      <w:r w:rsidRPr="00D869E3">
        <w:rPr>
          <w:rStyle w:val="Refdenotaalpie"/>
          <w:sz w:val="16"/>
          <w:szCs w:val="16"/>
          <w:lang w:val="en-US"/>
        </w:rPr>
        <w:footnoteReference w:id="348"/>
      </w:r>
      <w:r w:rsidRPr="00D869E3">
        <w:rPr>
          <w:rFonts w:ascii="Verdana" w:hAnsi="Verdana"/>
          <w:sz w:val="16"/>
          <w:szCs w:val="16"/>
          <w:lang w:val="en-US"/>
        </w:rPr>
        <w:t xml:space="preserve"> </w:t>
      </w:r>
    </w:p>
    <w:p w14:paraId="4CCE24B5" w14:textId="77777777" w:rsidR="00F83E8F" w:rsidRPr="00D869E3" w:rsidRDefault="00F83E8F" w:rsidP="00F83E8F">
      <w:pPr>
        <w:pStyle w:val="Prrafodelista"/>
        <w:widowControl w:val="0"/>
        <w:autoSpaceDE w:val="0"/>
        <w:autoSpaceDN w:val="0"/>
        <w:adjustRightInd w:val="0"/>
        <w:ind w:left="0" w:right="49"/>
        <w:jc w:val="both"/>
        <w:rPr>
          <w:rFonts w:ascii="Verdana" w:hAnsi="Verdana"/>
          <w:sz w:val="20"/>
          <w:szCs w:val="20"/>
          <w:lang w:val="en-US"/>
        </w:rPr>
      </w:pPr>
    </w:p>
    <w:p w14:paraId="5DCD0E87" w14:textId="71E2D6C0" w:rsidR="009073D9" w:rsidRPr="00D869E3" w:rsidRDefault="009073D9" w:rsidP="00E70701">
      <w:pPr>
        <w:pStyle w:val="Prrafodelista"/>
        <w:widowControl w:val="0"/>
        <w:numPr>
          <w:ilvl w:val="0"/>
          <w:numId w:val="28"/>
        </w:numPr>
        <w:autoSpaceDE w:val="0"/>
        <w:autoSpaceDN w:val="0"/>
        <w:adjustRightInd w:val="0"/>
        <w:ind w:left="0" w:right="49" w:firstLine="0"/>
        <w:jc w:val="both"/>
        <w:rPr>
          <w:rFonts w:ascii="Verdana" w:hAnsi="Verdana"/>
          <w:sz w:val="20"/>
          <w:szCs w:val="20"/>
          <w:lang w:val="en-US"/>
        </w:rPr>
      </w:pPr>
      <w:r w:rsidRPr="00D869E3">
        <w:rPr>
          <w:rFonts w:ascii="Verdana" w:hAnsi="Verdana"/>
          <w:sz w:val="20"/>
          <w:szCs w:val="20"/>
          <w:lang w:val="en-US"/>
        </w:rPr>
        <w:t>There can be no doubt that the violations experienced by Mr.</w:t>
      </w:r>
      <w:r w:rsidR="00F83E8F" w:rsidRPr="00D869E3">
        <w:rPr>
          <w:rFonts w:ascii="Verdana" w:hAnsi="Verdana"/>
          <w:sz w:val="20"/>
          <w:szCs w:val="20"/>
          <w:lang w:val="en-US"/>
        </w:rPr>
        <w:t xml:space="preserve"> Campos del Lago </w:t>
      </w:r>
      <w:r w:rsidRPr="00D869E3">
        <w:rPr>
          <w:rFonts w:ascii="Verdana" w:hAnsi="Verdana"/>
          <w:sz w:val="20"/>
          <w:szCs w:val="20"/>
          <w:lang w:val="en-US"/>
        </w:rPr>
        <w:t>do not fall within an analysis of the rights of labor unions, union members or union representatives and their correlative rights. To the contrary, this case has a different particularity than the cases that this Inter-American Court has examined in relation to the right to freedom of association, because Mr. Lagos del Campo was a representative of a workers’ association. Thus, I agree fully with the judgment when it indicates that:</w:t>
      </w:r>
    </w:p>
    <w:p w14:paraId="458E298A" w14:textId="77777777" w:rsidR="00F83E8F" w:rsidRPr="00D869E3" w:rsidRDefault="00F83E8F" w:rsidP="00F83E8F">
      <w:pPr>
        <w:pStyle w:val="Prrafodelista"/>
        <w:widowControl w:val="0"/>
        <w:autoSpaceDE w:val="0"/>
        <w:autoSpaceDN w:val="0"/>
        <w:adjustRightInd w:val="0"/>
        <w:ind w:left="0"/>
        <w:jc w:val="both"/>
        <w:rPr>
          <w:rFonts w:ascii="Verdana" w:hAnsi="Verdana"/>
          <w:sz w:val="20"/>
          <w:szCs w:val="20"/>
          <w:lang w:val="en-US"/>
        </w:rPr>
      </w:pPr>
    </w:p>
    <w:p w14:paraId="79DC7F1A" w14:textId="05855684" w:rsidR="00F83E8F" w:rsidRPr="00D869E3" w:rsidRDefault="00F83E8F" w:rsidP="008A6FFA">
      <w:pPr>
        <w:widowControl w:val="0"/>
        <w:autoSpaceDE w:val="0"/>
        <w:autoSpaceDN w:val="0"/>
        <w:adjustRightInd w:val="0"/>
        <w:ind w:left="709" w:right="738"/>
        <w:jc w:val="both"/>
        <w:rPr>
          <w:rFonts w:ascii="Verdana" w:hAnsi="Verdana"/>
          <w:sz w:val="16"/>
          <w:szCs w:val="16"/>
          <w:lang w:val="en-US"/>
        </w:rPr>
      </w:pPr>
      <w:r w:rsidRPr="00D869E3">
        <w:rPr>
          <w:rFonts w:ascii="Verdana" w:hAnsi="Verdana"/>
          <w:sz w:val="16"/>
          <w:szCs w:val="16"/>
          <w:lang w:val="en-US"/>
        </w:rPr>
        <w:t xml:space="preserve">157. </w:t>
      </w:r>
      <w:r w:rsidR="002517A8" w:rsidRPr="00D869E3">
        <w:rPr>
          <w:rFonts w:ascii="Verdana" w:hAnsi="Verdana"/>
          <w:sz w:val="16"/>
          <w:szCs w:val="16"/>
          <w:lang w:val="en-US"/>
        </w:rPr>
        <w:t>In this regard, the Court finds that the protection of the right to labor-related freedom of association i</w:t>
      </w:r>
      <w:r w:rsidR="002517A8" w:rsidRPr="00D869E3">
        <w:rPr>
          <w:rFonts w:ascii="Verdana" w:hAnsi="Verdana"/>
          <w:sz w:val="16"/>
          <w:szCs w:val="16"/>
          <w:u w:val="single"/>
          <w:lang w:val="en-US"/>
        </w:rPr>
        <w:t>s subsumed not only in the protection of labor unions, their members and their representatives</w:t>
      </w:r>
      <w:r w:rsidR="002517A8" w:rsidRPr="00D869E3">
        <w:rPr>
          <w:rFonts w:ascii="Verdana" w:hAnsi="Verdana"/>
          <w:sz w:val="16"/>
          <w:szCs w:val="16"/>
          <w:lang w:val="en-US"/>
        </w:rPr>
        <w:t>.</w:t>
      </w:r>
      <w:r w:rsidR="002517A8" w:rsidRPr="00D869E3">
        <w:rPr>
          <w:rFonts w:ascii="Verdana" w:hAnsi="Verdana"/>
          <w:sz w:val="20"/>
          <w:szCs w:val="20"/>
          <w:lang w:val="en-US"/>
        </w:rPr>
        <w:t xml:space="preserve"> </w:t>
      </w:r>
      <w:r w:rsidRPr="00D869E3">
        <w:rPr>
          <w:rFonts w:ascii="Verdana" w:hAnsi="Verdana"/>
          <w:sz w:val="16"/>
          <w:szCs w:val="16"/>
          <w:lang w:val="en-US"/>
        </w:rPr>
        <w:t>[…]</w:t>
      </w:r>
    </w:p>
    <w:p w14:paraId="1B04FED6" w14:textId="77777777" w:rsidR="00F83E8F" w:rsidRPr="00D869E3" w:rsidRDefault="00F83E8F" w:rsidP="008A6FFA">
      <w:pPr>
        <w:widowControl w:val="0"/>
        <w:autoSpaceDE w:val="0"/>
        <w:autoSpaceDN w:val="0"/>
        <w:adjustRightInd w:val="0"/>
        <w:ind w:left="709" w:right="738"/>
        <w:jc w:val="both"/>
        <w:rPr>
          <w:rFonts w:ascii="Verdana" w:hAnsi="Verdana"/>
          <w:sz w:val="16"/>
          <w:szCs w:val="16"/>
          <w:lang w:val="en-US"/>
        </w:rPr>
      </w:pPr>
    </w:p>
    <w:p w14:paraId="29B10AEB" w14:textId="30341489" w:rsidR="00F83E8F" w:rsidRPr="00D869E3" w:rsidRDefault="00F83E8F" w:rsidP="008A6FFA">
      <w:pPr>
        <w:pStyle w:val="Prrafodelista"/>
        <w:ind w:right="738"/>
        <w:jc w:val="both"/>
        <w:rPr>
          <w:rFonts w:ascii="Verdana" w:hAnsi="Verdana"/>
          <w:b/>
          <w:sz w:val="20"/>
          <w:szCs w:val="20"/>
          <w:lang w:val="en-US"/>
        </w:rPr>
      </w:pPr>
      <w:r w:rsidRPr="00D869E3">
        <w:rPr>
          <w:rFonts w:ascii="Verdana" w:hAnsi="Verdana"/>
          <w:sz w:val="16"/>
          <w:szCs w:val="16"/>
          <w:lang w:val="en-US"/>
        </w:rPr>
        <w:t xml:space="preserve">158. </w:t>
      </w:r>
      <w:r w:rsidR="002517A8" w:rsidRPr="00D869E3">
        <w:rPr>
          <w:rFonts w:ascii="Verdana" w:hAnsi="Verdana"/>
          <w:sz w:val="16"/>
          <w:szCs w:val="16"/>
          <w:lang w:val="en-US"/>
        </w:rPr>
        <w:t xml:space="preserve">However, </w:t>
      </w:r>
      <w:r w:rsidR="002517A8" w:rsidRPr="00D869E3">
        <w:rPr>
          <w:rFonts w:ascii="Verdana" w:hAnsi="Verdana"/>
          <w:sz w:val="16"/>
          <w:szCs w:val="16"/>
          <w:u w:val="single"/>
          <w:lang w:val="en-US"/>
        </w:rPr>
        <w:t xml:space="preserve">the protection recognized to the right to freedom of association in </w:t>
      </w:r>
      <w:r w:rsidR="008A6FFA" w:rsidRPr="00D869E3">
        <w:rPr>
          <w:rFonts w:ascii="Verdana" w:hAnsi="Verdana"/>
          <w:sz w:val="16"/>
          <w:szCs w:val="16"/>
          <w:u w:val="single"/>
          <w:lang w:val="en-US"/>
        </w:rPr>
        <w:t>the context of l</w:t>
      </w:r>
      <w:r w:rsidR="002517A8" w:rsidRPr="00D869E3">
        <w:rPr>
          <w:rFonts w:ascii="Verdana" w:hAnsi="Verdana"/>
          <w:sz w:val="16"/>
          <w:szCs w:val="16"/>
          <w:u w:val="single"/>
          <w:lang w:val="en-US"/>
        </w:rPr>
        <w:t>abor extends to organizations that, even though their nature differs from that of labor unions, seek to represent the legitimate interests of workers</w:t>
      </w:r>
      <w:r w:rsidR="002517A8" w:rsidRPr="00D869E3">
        <w:rPr>
          <w:rFonts w:ascii="Verdana" w:hAnsi="Verdana"/>
          <w:sz w:val="16"/>
          <w:szCs w:val="16"/>
          <w:lang w:val="en-US"/>
        </w:rPr>
        <w:t xml:space="preserve">. This protection is derived from Article 16 of the American Convention, which protects freedom of association for any purpose, as well as from other international instruments </w:t>
      </w:r>
      <w:r w:rsidR="002517A8" w:rsidRPr="00D869E3">
        <w:rPr>
          <w:rFonts w:ascii="Verdana" w:hAnsi="Verdana"/>
          <w:sz w:val="16"/>
          <w:szCs w:val="16"/>
          <w:u w:val="single"/>
          <w:lang w:val="en-US"/>
        </w:rPr>
        <w:t>that recognize special protection to freedom of association to protect the interests of workers, without specifying that this protection is restricted to the labor union sphere</w:t>
      </w:r>
      <w:r w:rsidR="002517A8" w:rsidRPr="00D869E3">
        <w:rPr>
          <w:rFonts w:ascii="Verdana" w:hAnsi="Verdana"/>
          <w:sz w:val="16"/>
          <w:szCs w:val="16"/>
          <w:lang w:val="en-US"/>
        </w:rPr>
        <w:t xml:space="preserve">. </w:t>
      </w:r>
      <w:r w:rsidRPr="00D869E3">
        <w:rPr>
          <w:rFonts w:ascii="Verdana" w:hAnsi="Verdana"/>
          <w:sz w:val="16"/>
          <w:szCs w:val="16"/>
          <w:lang w:val="en-US"/>
        </w:rPr>
        <w:t>[…]</w:t>
      </w:r>
      <w:r w:rsidRPr="00D869E3">
        <w:rPr>
          <w:rStyle w:val="Refdenotaalpie"/>
          <w:sz w:val="16"/>
          <w:szCs w:val="16"/>
          <w:lang w:val="en-US"/>
        </w:rPr>
        <w:footnoteReference w:id="349"/>
      </w:r>
    </w:p>
    <w:p w14:paraId="07FCB589" w14:textId="77777777" w:rsidR="00F83E8F" w:rsidRPr="00D869E3" w:rsidRDefault="00F83E8F" w:rsidP="00F83E8F">
      <w:pPr>
        <w:widowControl w:val="0"/>
        <w:autoSpaceDE w:val="0"/>
        <w:autoSpaceDN w:val="0"/>
        <w:adjustRightInd w:val="0"/>
        <w:ind w:right="758"/>
        <w:jc w:val="both"/>
        <w:rPr>
          <w:rFonts w:ascii="Verdana" w:hAnsi="Verdana"/>
          <w:sz w:val="16"/>
          <w:szCs w:val="16"/>
          <w:lang w:val="en-US"/>
        </w:rPr>
      </w:pPr>
    </w:p>
    <w:p w14:paraId="04CD0C49" w14:textId="49D7D5D9" w:rsidR="00F83E8F" w:rsidRPr="00D869E3" w:rsidRDefault="009073D9" w:rsidP="00E70701">
      <w:pPr>
        <w:pStyle w:val="Prrafodelista"/>
        <w:widowControl w:val="0"/>
        <w:numPr>
          <w:ilvl w:val="0"/>
          <w:numId w:val="28"/>
        </w:numPr>
        <w:autoSpaceDE w:val="0"/>
        <w:autoSpaceDN w:val="0"/>
        <w:adjustRightInd w:val="0"/>
        <w:ind w:left="0" w:right="49" w:firstLine="0"/>
        <w:jc w:val="both"/>
        <w:rPr>
          <w:rFonts w:ascii="Verdana" w:hAnsi="Verdana"/>
          <w:sz w:val="20"/>
          <w:szCs w:val="20"/>
          <w:lang w:val="en-US"/>
        </w:rPr>
      </w:pPr>
      <w:r w:rsidRPr="00D869E3">
        <w:rPr>
          <w:rFonts w:ascii="Verdana" w:hAnsi="Verdana"/>
          <w:sz w:val="20"/>
          <w:szCs w:val="20"/>
          <w:lang w:val="en-US"/>
        </w:rPr>
        <w:t>Moreover,</w:t>
      </w:r>
      <w:r w:rsidR="00F83E8F" w:rsidRPr="00D869E3">
        <w:rPr>
          <w:rFonts w:ascii="Verdana" w:hAnsi="Verdana"/>
          <w:sz w:val="20"/>
          <w:szCs w:val="20"/>
          <w:lang w:val="en-US"/>
        </w:rPr>
        <w:t xml:space="preserve"> </w:t>
      </w:r>
      <w:r w:rsidR="00671B14" w:rsidRPr="00D869E3">
        <w:rPr>
          <w:rFonts w:ascii="Verdana" w:hAnsi="Verdana"/>
          <w:sz w:val="20"/>
          <w:szCs w:val="20"/>
          <w:lang w:val="en-US"/>
        </w:rPr>
        <w:t>the Inter-American Court</w:t>
      </w:r>
      <w:r w:rsidR="00F83E8F" w:rsidRPr="00D869E3">
        <w:rPr>
          <w:rFonts w:ascii="Verdana" w:hAnsi="Verdana"/>
          <w:sz w:val="20"/>
          <w:szCs w:val="20"/>
          <w:lang w:val="en-US"/>
        </w:rPr>
        <w:t xml:space="preserve"> a</w:t>
      </w:r>
      <w:r w:rsidRPr="00D869E3">
        <w:rPr>
          <w:rFonts w:ascii="Verdana" w:hAnsi="Verdana"/>
          <w:sz w:val="20"/>
          <w:szCs w:val="20"/>
          <w:lang w:val="en-US"/>
        </w:rPr>
        <w:t xml:space="preserve">dded that: </w:t>
      </w:r>
    </w:p>
    <w:p w14:paraId="495CF2E2" w14:textId="77777777" w:rsidR="00F83E8F" w:rsidRPr="00D869E3" w:rsidRDefault="00F83E8F" w:rsidP="00F83E8F">
      <w:pPr>
        <w:pStyle w:val="Prrafodelista"/>
        <w:widowControl w:val="0"/>
        <w:autoSpaceDE w:val="0"/>
        <w:autoSpaceDN w:val="0"/>
        <w:adjustRightInd w:val="0"/>
        <w:ind w:left="0" w:right="49"/>
        <w:jc w:val="both"/>
        <w:rPr>
          <w:rFonts w:ascii="Verdana" w:hAnsi="Verdana"/>
          <w:sz w:val="20"/>
          <w:szCs w:val="20"/>
          <w:lang w:val="en-US"/>
        </w:rPr>
      </w:pPr>
    </w:p>
    <w:p w14:paraId="0DDEA1F2" w14:textId="3A52DA34" w:rsidR="00F83E8F" w:rsidRPr="00D869E3" w:rsidRDefault="00F83E8F" w:rsidP="002517A8">
      <w:pPr>
        <w:pStyle w:val="Prrafodelista"/>
        <w:ind w:left="709" w:right="758"/>
        <w:jc w:val="both"/>
        <w:rPr>
          <w:rFonts w:ascii="Verdana" w:hAnsi="Verdana"/>
          <w:sz w:val="16"/>
          <w:szCs w:val="16"/>
          <w:lang w:val="en-US"/>
        </w:rPr>
      </w:pPr>
      <w:r w:rsidRPr="00D869E3">
        <w:rPr>
          <w:rFonts w:ascii="Verdana" w:hAnsi="Verdana"/>
          <w:sz w:val="16"/>
          <w:szCs w:val="16"/>
          <w:lang w:val="en-US"/>
        </w:rPr>
        <w:t xml:space="preserve">159. </w:t>
      </w:r>
      <w:r w:rsidR="002517A8" w:rsidRPr="00D869E3">
        <w:rPr>
          <w:rFonts w:ascii="Verdana" w:hAnsi="Verdana"/>
          <w:sz w:val="16"/>
          <w:szCs w:val="16"/>
          <w:lang w:val="en-US"/>
        </w:rPr>
        <w:t xml:space="preserve">These principles concur with the protection recognized by the ILO, which has clarified that the expression </w:t>
      </w:r>
      <w:r w:rsidR="002517A8" w:rsidRPr="00D869E3">
        <w:rPr>
          <w:rFonts w:ascii="Verdana" w:hAnsi="Verdana"/>
          <w:b/>
          <w:bCs/>
          <w:sz w:val="16"/>
          <w:szCs w:val="16"/>
          <w:lang w:val="en-US"/>
        </w:rPr>
        <w:t>“</w:t>
      </w:r>
      <w:r w:rsidR="002517A8" w:rsidRPr="00D869E3">
        <w:rPr>
          <w:rFonts w:ascii="Verdana" w:hAnsi="Verdana"/>
          <w:b/>
          <w:bCs/>
          <w:sz w:val="16"/>
          <w:szCs w:val="16"/>
          <w:u w:val="single"/>
          <w:lang w:val="en-US"/>
        </w:rPr>
        <w:t>workers’ representatives</w:t>
      </w:r>
      <w:r w:rsidR="002517A8" w:rsidRPr="00D869E3">
        <w:rPr>
          <w:rFonts w:ascii="Verdana" w:hAnsi="Verdana"/>
          <w:b/>
          <w:bCs/>
          <w:sz w:val="16"/>
          <w:szCs w:val="16"/>
          <w:lang w:val="en-US"/>
        </w:rPr>
        <w:t>” includes those recognized as such under domestic law or practice, whether union representatives or “elected representatives, namely, representatives who are freely elected by the workers of the undertaking in accordance with the provisions of national laws or regulations or of collective agreements and whose functions do not include activities which are recognized as the exclusive prerogative of trade unions in the country concerned</w:t>
      </w:r>
      <w:r w:rsidR="002517A8" w:rsidRPr="00D869E3">
        <w:rPr>
          <w:rFonts w:ascii="Verdana" w:hAnsi="Verdana"/>
          <w:sz w:val="16"/>
          <w:szCs w:val="16"/>
          <w:lang w:val="en-US"/>
        </w:rPr>
        <w:t>.</w:t>
      </w:r>
      <w:r w:rsidR="006436CA" w:rsidRPr="00D869E3">
        <w:rPr>
          <w:rFonts w:ascii="Verdana" w:hAnsi="Verdana"/>
          <w:b/>
          <w:sz w:val="16"/>
          <w:szCs w:val="16"/>
          <w:lang w:val="en-US"/>
        </w:rPr>
        <w:t>”</w:t>
      </w:r>
    </w:p>
    <w:p w14:paraId="30F76C39" w14:textId="77777777" w:rsidR="00F83E8F" w:rsidRPr="00D869E3" w:rsidRDefault="00F83E8F" w:rsidP="00F83E8F">
      <w:pPr>
        <w:pStyle w:val="Prrafodelista"/>
        <w:ind w:left="709" w:right="758"/>
        <w:jc w:val="both"/>
        <w:rPr>
          <w:rFonts w:ascii="Verdana" w:hAnsi="Verdana"/>
          <w:sz w:val="16"/>
          <w:szCs w:val="16"/>
          <w:lang w:val="en-US"/>
        </w:rPr>
      </w:pPr>
    </w:p>
    <w:p w14:paraId="1EFFA019" w14:textId="78330EAB" w:rsidR="00F83E8F" w:rsidRPr="00D869E3" w:rsidRDefault="00F83E8F" w:rsidP="00F83E8F">
      <w:pPr>
        <w:pStyle w:val="Prrafodelista"/>
        <w:ind w:left="709" w:right="758"/>
        <w:jc w:val="both"/>
        <w:rPr>
          <w:rFonts w:ascii="Verdana" w:hAnsi="Verdana"/>
          <w:b/>
          <w:sz w:val="16"/>
          <w:szCs w:val="16"/>
          <w:lang w:val="en-US"/>
        </w:rPr>
      </w:pPr>
      <w:r w:rsidRPr="00D869E3">
        <w:rPr>
          <w:rFonts w:ascii="Verdana" w:hAnsi="Verdana"/>
          <w:sz w:val="16"/>
          <w:szCs w:val="16"/>
          <w:lang w:val="en-US"/>
        </w:rPr>
        <w:t xml:space="preserve">160. </w:t>
      </w:r>
      <w:r w:rsidR="002F2ACD" w:rsidRPr="00D869E3">
        <w:rPr>
          <w:rFonts w:ascii="Verdana" w:hAnsi="Verdana"/>
          <w:sz w:val="16"/>
          <w:szCs w:val="16"/>
          <w:lang w:val="en-US"/>
        </w:rPr>
        <w:t>Similarly, it has been interpreted [by the European Court] that t</w:t>
      </w:r>
      <w:r w:rsidR="002F2ACD" w:rsidRPr="00D869E3">
        <w:rPr>
          <w:rFonts w:ascii="Verdana" w:hAnsi="Verdana"/>
          <w:sz w:val="16"/>
          <w:szCs w:val="16"/>
          <w:u w:val="single"/>
          <w:lang w:val="en-US"/>
        </w:rPr>
        <w:t xml:space="preserve">he representatives of the workers of an undertaking should enjoy effective protection against any act that could prejudice them, including dismissal based on their condition as workers’ representatives, or on their activities </w:t>
      </w:r>
      <w:r w:rsidR="002F2ACD" w:rsidRPr="00D869E3">
        <w:rPr>
          <w:rFonts w:ascii="Verdana" w:hAnsi="Verdana"/>
          <w:sz w:val="16"/>
          <w:szCs w:val="16"/>
          <w:u w:val="single"/>
          <w:lang w:val="en-US"/>
        </w:rPr>
        <w:lastRenderedPageBreak/>
        <w:t>arising from this representation</w:t>
      </w:r>
      <w:r w:rsidR="002F2ACD" w:rsidRPr="00D869E3">
        <w:rPr>
          <w:rFonts w:ascii="Verdana" w:hAnsi="Verdana"/>
          <w:sz w:val="16"/>
          <w:szCs w:val="16"/>
          <w:lang w:val="en-US"/>
        </w:rPr>
        <w:t>. Also, the national authorities must ensure that</w:t>
      </w:r>
      <w:r w:rsidR="002F2ACD" w:rsidRPr="00D869E3">
        <w:rPr>
          <w:rFonts w:ascii="Verdana" w:hAnsi="Verdana"/>
          <w:sz w:val="20"/>
          <w:szCs w:val="20"/>
          <w:lang w:val="en-US"/>
        </w:rPr>
        <w:t xml:space="preserve"> </w:t>
      </w:r>
      <w:r w:rsidR="002F2ACD" w:rsidRPr="00D869E3">
        <w:rPr>
          <w:rFonts w:ascii="Verdana" w:hAnsi="Verdana"/>
          <w:sz w:val="16"/>
          <w:szCs w:val="16"/>
          <w:lang w:val="en-US"/>
        </w:rPr>
        <w:t>disproportionate penalties do not dissuade the representatives from seeking to express and defend the workers’ interests.</w:t>
      </w:r>
      <w:r w:rsidRPr="00D869E3">
        <w:rPr>
          <w:rStyle w:val="Refdenotaalpie"/>
          <w:sz w:val="16"/>
          <w:szCs w:val="16"/>
          <w:lang w:val="en-US"/>
        </w:rPr>
        <w:footnoteReference w:id="350"/>
      </w:r>
      <w:r w:rsidRPr="00D869E3">
        <w:rPr>
          <w:rFonts w:ascii="Verdana" w:hAnsi="Verdana"/>
          <w:sz w:val="16"/>
          <w:szCs w:val="16"/>
          <w:lang w:val="en-US"/>
        </w:rPr>
        <w:t xml:space="preserve"> </w:t>
      </w:r>
    </w:p>
    <w:p w14:paraId="4FADAD4E" w14:textId="77777777" w:rsidR="00F83E8F" w:rsidRPr="00D869E3" w:rsidRDefault="00F83E8F" w:rsidP="00F83E8F">
      <w:pPr>
        <w:widowControl w:val="0"/>
        <w:autoSpaceDE w:val="0"/>
        <w:autoSpaceDN w:val="0"/>
        <w:adjustRightInd w:val="0"/>
        <w:ind w:right="49"/>
        <w:jc w:val="both"/>
        <w:rPr>
          <w:rFonts w:ascii="Verdana" w:hAnsi="Verdana"/>
          <w:sz w:val="20"/>
          <w:szCs w:val="20"/>
          <w:lang w:val="en-US"/>
        </w:rPr>
      </w:pPr>
    </w:p>
    <w:p w14:paraId="54DE7B73" w14:textId="551059B5" w:rsidR="00F83E8F" w:rsidRPr="00D869E3" w:rsidRDefault="009073D9" w:rsidP="00E70701">
      <w:pPr>
        <w:pStyle w:val="Prrafodelista"/>
        <w:widowControl w:val="0"/>
        <w:numPr>
          <w:ilvl w:val="0"/>
          <w:numId w:val="28"/>
        </w:numPr>
        <w:autoSpaceDE w:val="0"/>
        <w:autoSpaceDN w:val="0"/>
        <w:adjustRightInd w:val="0"/>
        <w:ind w:left="0" w:right="49" w:firstLine="0"/>
        <w:jc w:val="both"/>
        <w:rPr>
          <w:rFonts w:ascii="Verdana" w:hAnsi="Verdana"/>
          <w:sz w:val="20"/>
          <w:szCs w:val="20"/>
          <w:lang w:val="en-US"/>
        </w:rPr>
      </w:pPr>
      <w:r w:rsidRPr="00D869E3">
        <w:rPr>
          <w:rFonts w:ascii="Verdana" w:hAnsi="Verdana"/>
          <w:sz w:val="20"/>
          <w:szCs w:val="20"/>
          <w:lang w:val="en-US"/>
        </w:rPr>
        <w:t xml:space="preserve">As can be seen, what </w:t>
      </w:r>
      <w:r w:rsidR="00671B14" w:rsidRPr="00D869E3">
        <w:rPr>
          <w:rFonts w:ascii="Verdana" w:hAnsi="Verdana"/>
          <w:sz w:val="20"/>
          <w:szCs w:val="20"/>
          <w:lang w:val="en-US"/>
        </w:rPr>
        <w:t>the Inter-American Court</w:t>
      </w:r>
      <w:r w:rsidR="00F83E8F" w:rsidRPr="00D869E3">
        <w:rPr>
          <w:rFonts w:ascii="Verdana" w:hAnsi="Verdana"/>
          <w:sz w:val="20"/>
          <w:szCs w:val="20"/>
          <w:lang w:val="en-US"/>
        </w:rPr>
        <w:t xml:space="preserve"> refle</w:t>
      </w:r>
      <w:r w:rsidRPr="00D869E3">
        <w:rPr>
          <w:rFonts w:ascii="Verdana" w:hAnsi="Verdana"/>
          <w:sz w:val="20"/>
          <w:szCs w:val="20"/>
          <w:lang w:val="en-US"/>
        </w:rPr>
        <w:t xml:space="preserve">cts with these findings is that both labor unions and their </w:t>
      </w:r>
      <w:r w:rsidR="001E44D3" w:rsidRPr="00D869E3">
        <w:rPr>
          <w:rFonts w:ascii="Verdana" w:hAnsi="Verdana"/>
          <w:sz w:val="20"/>
          <w:szCs w:val="20"/>
          <w:lang w:val="en-US"/>
        </w:rPr>
        <w:t>representatives</w:t>
      </w:r>
      <w:r w:rsidR="00F83E8F" w:rsidRPr="00D869E3">
        <w:rPr>
          <w:rFonts w:ascii="Verdana" w:hAnsi="Verdana"/>
          <w:sz w:val="20"/>
          <w:szCs w:val="20"/>
          <w:lang w:val="en-US"/>
        </w:rPr>
        <w:t xml:space="preserve">, </w:t>
      </w:r>
      <w:r w:rsidR="008A6FFA" w:rsidRPr="00D869E3">
        <w:rPr>
          <w:rFonts w:ascii="Verdana" w:hAnsi="Verdana"/>
          <w:sz w:val="20"/>
          <w:szCs w:val="20"/>
          <w:lang w:val="en-US"/>
        </w:rPr>
        <w:t>and</w:t>
      </w:r>
      <w:r w:rsidRPr="00D869E3">
        <w:rPr>
          <w:rFonts w:ascii="Verdana" w:hAnsi="Verdana"/>
          <w:sz w:val="20"/>
          <w:szCs w:val="20"/>
          <w:lang w:val="en-US"/>
        </w:rPr>
        <w:t xml:space="preserve"> worker</w:t>
      </w:r>
      <w:r w:rsidR="008A6FFA" w:rsidRPr="00D869E3">
        <w:rPr>
          <w:rFonts w:ascii="Verdana" w:hAnsi="Verdana"/>
          <w:sz w:val="20"/>
          <w:szCs w:val="20"/>
          <w:lang w:val="en-US"/>
        </w:rPr>
        <w:t>s’</w:t>
      </w:r>
      <w:r w:rsidRPr="00D869E3">
        <w:rPr>
          <w:rFonts w:ascii="Verdana" w:hAnsi="Verdana"/>
          <w:sz w:val="20"/>
          <w:szCs w:val="20"/>
          <w:lang w:val="en-US"/>
        </w:rPr>
        <w:t xml:space="preserve"> associations and their </w:t>
      </w:r>
      <w:r w:rsidR="001E44D3" w:rsidRPr="00D869E3">
        <w:rPr>
          <w:rFonts w:ascii="Verdana" w:hAnsi="Verdana"/>
          <w:sz w:val="20"/>
          <w:szCs w:val="20"/>
          <w:lang w:val="en-US"/>
        </w:rPr>
        <w:t>representatives</w:t>
      </w:r>
      <w:r w:rsidR="00F83E8F" w:rsidRPr="00D869E3">
        <w:rPr>
          <w:rFonts w:ascii="Verdana" w:hAnsi="Verdana"/>
          <w:sz w:val="20"/>
          <w:szCs w:val="20"/>
          <w:lang w:val="en-US"/>
        </w:rPr>
        <w:t xml:space="preserve">, </w:t>
      </w:r>
      <w:r w:rsidRPr="00D869E3">
        <w:rPr>
          <w:rFonts w:ascii="Verdana" w:hAnsi="Verdana"/>
          <w:i/>
          <w:sz w:val="20"/>
          <w:szCs w:val="20"/>
          <w:lang w:val="en-US"/>
        </w:rPr>
        <w:t xml:space="preserve">enjoy a specific protection </w:t>
      </w:r>
      <w:r w:rsidRPr="00D869E3">
        <w:rPr>
          <w:rFonts w:ascii="Verdana" w:hAnsi="Verdana"/>
          <w:sz w:val="20"/>
          <w:szCs w:val="20"/>
          <w:lang w:val="en-US"/>
        </w:rPr>
        <w:t>for the proper performance of their functions,</w:t>
      </w:r>
      <w:r w:rsidR="00F83E8F" w:rsidRPr="00D869E3">
        <w:rPr>
          <w:rStyle w:val="Refdenotaalpie"/>
          <w:szCs w:val="20"/>
          <w:lang w:val="en-US"/>
        </w:rPr>
        <w:footnoteReference w:id="351"/>
      </w:r>
      <w:r w:rsidRPr="00D869E3">
        <w:rPr>
          <w:rFonts w:ascii="Verdana" w:hAnsi="Verdana"/>
          <w:sz w:val="20"/>
          <w:szCs w:val="20"/>
          <w:lang w:val="en-US"/>
        </w:rPr>
        <w:t xml:space="preserve"> without any distinction between them. </w:t>
      </w:r>
      <w:r w:rsidR="00075E68" w:rsidRPr="00D869E3">
        <w:rPr>
          <w:rFonts w:ascii="Verdana" w:hAnsi="Verdana"/>
          <w:sz w:val="20"/>
          <w:szCs w:val="20"/>
          <w:lang w:val="en-US"/>
        </w:rPr>
        <w:t>In this regard</w:t>
      </w:r>
      <w:r w:rsidR="00F83E8F" w:rsidRPr="00D869E3">
        <w:rPr>
          <w:rFonts w:ascii="Verdana" w:hAnsi="Verdana"/>
          <w:sz w:val="20"/>
          <w:szCs w:val="20"/>
          <w:lang w:val="en-US"/>
        </w:rPr>
        <w:t xml:space="preserve">, </w:t>
      </w:r>
      <w:r w:rsidR="00671B14" w:rsidRPr="00D869E3">
        <w:rPr>
          <w:rFonts w:ascii="Verdana" w:hAnsi="Verdana"/>
          <w:sz w:val="20"/>
          <w:szCs w:val="20"/>
          <w:lang w:val="en-US"/>
        </w:rPr>
        <w:t>the Inter-American Court</w:t>
      </w:r>
      <w:r w:rsidR="00F83E8F" w:rsidRPr="00D869E3">
        <w:rPr>
          <w:rFonts w:ascii="Verdana" w:hAnsi="Verdana"/>
          <w:sz w:val="20"/>
          <w:szCs w:val="20"/>
          <w:lang w:val="en-US"/>
        </w:rPr>
        <w:t xml:space="preserve"> conclu</w:t>
      </w:r>
      <w:r w:rsidRPr="00D869E3">
        <w:rPr>
          <w:rFonts w:ascii="Verdana" w:hAnsi="Verdana"/>
          <w:sz w:val="20"/>
          <w:szCs w:val="20"/>
          <w:lang w:val="en-US"/>
        </w:rPr>
        <w:t>ded that</w:t>
      </w:r>
      <w:r w:rsidR="00F83E8F" w:rsidRPr="00D869E3">
        <w:rPr>
          <w:rFonts w:ascii="Verdana" w:hAnsi="Verdana"/>
          <w:sz w:val="20"/>
          <w:szCs w:val="20"/>
          <w:lang w:val="en-US"/>
        </w:rPr>
        <w:t xml:space="preserve">: </w:t>
      </w:r>
    </w:p>
    <w:p w14:paraId="7632DD1D" w14:textId="77777777" w:rsidR="00F83E8F" w:rsidRPr="00D869E3" w:rsidRDefault="00F83E8F" w:rsidP="00F83E8F">
      <w:pPr>
        <w:pStyle w:val="Prrafodelista"/>
        <w:widowControl w:val="0"/>
        <w:autoSpaceDE w:val="0"/>
        <w:autoSpaceDN w:val="0"/>
        <w:adjustRightInd w:val="0"/>
        <w:ind w:left="0" w:right="49"/>
        <w:jc w:val="both"/>
        <w:rPr>
          <w:rFonts w:ascii="Verdana" w:hAnsi="Verdana"/>
          <w:sz w:val="20"/>
          <w:szCs w:val="20"/>
          <w:lang w:val="en-US"/>
        </w:rPr>
      </w:pPr>
    </w:p>
    <w:p w14:paraId="5318A9BA" w14:textId="126FAE60" w:rsidR="002F2ACD" w:rsidRPr="00D869E3" w:rsidRDefault="00F83E8F" w:rsidP="00F83E8F">
      <w:pPr>
        <w:pStyle w:val="Prrafodelista"/>
        <w:widowControl w:val="0"/>
        <w:autoSpaceDE w:val="0"/>
        <w:autoSpaceDN w:val="0"/>
        <w:adjustRightInd w:val="0"/>
        <w:ind w:left="708" w:right="758"/>
        <w:jc w:val="both"/>
        <w:rPr>
          <w:rFonts w:ascii="Verdana" w:hAnsi="Verdana"/>
          <w:sz w:val="20"/>
          <w:szCs w:val="20"/>
          <w:lang w:val="en-US"/>
        </w:rPr>
      </w:pPr>
      <w:r w:rsidRPr="00D869E3">
        <w:rPr>
          <w:rFonts w:ascii="Verdana" w:hAnsi="Verdana"/>
          <w:sz w:val="16"/>
          <w:szCs w:val="16"/>
          <w:lang w:val="en-US"/>
        </w:rPr>
        <w:t xml:space="preserve">158. […] </w:t>
      </w:r>
      <w:r w:rsidR="002F2ACD" w:rsidRPr="00D869E3">
        <w:rPr>
          <w:rFonts w:ascii="Verdana" w:hAnsi="Verdana"/>
          <w:sz w:val="16"/>
          <w:szCs w:val="16"/>
          <w:lang w:val="en-US"/>
        </w:rPr>
        <w:t>Thus Article 26 of the American Convention, which relates to the economic, social, educational, scientific and cultural standards set forth in the Charter of the Organization of American States, recognizes the right of employers and workers to associate freely for the defense and promotion of their interests. Additionally, the Preamble to the Inter-American Democratic Charter recognizes that the right of workers to associate themselves freely for the defense and promotion of their interests is fundamental to the achievement of democratic ideals.</w:t>
      </w:r>
    </w:p>
    <w:p w14:paraId="42ACD540" w14:textId="77777777" w:rsidR="00F83E8F" w:rsidRPr="00D869E3" w:rsidRDefault="00F83E8F" w:rsidP="00F83E8F">
      <w:pPr>
        <w:ind w:right="758"/>
        <w:contextualSpacing/>
        <w:jc w:val="both"/>
        <w:rPr>
          <w:rFonts w:ascii="Verdana" w:hAnsi="Verdana"/>
          <w:sz w:val="20"/>
          <w:szCs w:val="20"/>
          <w:lang w:val="en-US"/>
        </w:rPr>
      </w:pPr>
    </w:p>
    <w:p w14:paraId="7B7DD4DC" w14:textId="2E79FA6F" w:rsidR="00F83E8F" w:rsidRPr="00D869E3" w:rsidRDefault="00F83E8F" w:rsidP="00F83E8F">
      <w:pPr>
        <w:ind w:left="708" w:right="758"/>
        <w:contextualSpacing/>
        <w:jc w:val="both"/>
        <w:rPr>
          <w:rFonts w:ascii="Verdana" w:hAnsi="Verdana"/>
          <w:sz w:val="16"/>
          <w:szCs w:val="16"/>
          <w:lang w:val="en-US"/>
        </w:rPr>
      </w:pPr>
      <w:r w:rsidRPr="00D869E3">
        <w:rPr>
          <w:rFonts w:ascii="Verdana" w:hAnsi="Verdana"/>
          <w:sz w:val="16"/>
          <w:szCs w:val="16"/>
          <w:lang w:val="en-US"/>
        </w:rPr>
        <w:t xml:space="preserve">163. </w:t>
      </w:r>
      <w:r w:rsidR="002F2ACD" w:rsidRPr="00D869E3">
        <w:rPr>
          <w:rFonts w:ascii="Verdana" w:hAnsi="Verdana"/>
          <w:sz w:val="16"/>
          <w:szCs w:val="16"/>
          <w:lang w:val="en-US"/>
        </w:rPr>
        <w:t>Based on the above, the Court concludes that the State is responsible for the violation of Articles 16(1) and 26 in relation to Articles 1(1), 13 and 8 of the American Convention, to the detriment of Mr. Lagos del Campo.</w:t>
      </w:r>
      <w:r w:rsidRPr="00D869E3">
        <w:rPr>
          <w:rStyle w:val="Refdenotaalpie"/>
          <w:sz w:val="16"/>
          <w:szCs w:val="16"/>
          <w:lang w:val="en-US"/>
        </w:rPr>
        <w:footnoteReference w:id="352"/>
      </w:r>
    </w:p>
    <w:p w14:paraId="255BE93F" w14:textId="77777777" w:rsidR="00F83E8F" w:rsidRPr="00D869E3" w:rsidRDefault="00F83E8F" w:rsidP="00F83E8F">
      <w:pPr>
        <w:pStyle w:val="Prrafodelista"/>
        <w:widowControl w:val="0"/>
        <w:autoSpaceDE w:val="0"/>
        <w:autoSpaceDN w:val="0"/>
        <w:adjustRightInd w:val="0"/>
        <w:ind w:left="0" w:right="49"/>
        <w:jc w:val="both"/>
        <w:rPr>
          <w:rFonts w:ascii="Verdana" w:hAnsi="Verdana"/>
          <w:sz w:val="20"/>
          <w:szCs w:val="20"/>
          <w:lang w:val="en-US"/>
        </w:rPr>
      </w:pPr>
    </w:p>
    <w:p w14:paraId="520FC9F6" w14:textId="46C3A882" w:rsidR="00F83E8F" w:rsidRPr="00D869E3" w:rsidRDefault="00075E68" w:rsidP="008E40D7">
      <w:pPr>
        <w:pStyle w:val="Prrafodelista"/>
        <w:widowControl w:val="0"/>
        <w:numPr>
          <w:ilvl w:val="0"/>
          <w:numId w:val="28"/>
        </w:numPr>
        <w:autoSpaceDE w:val="0"/>
        <w:autoSpaceDN w:val="0"/>
        <w:adjustRightInd w:val="0"/>
        <w:ind w:left="0" w:right="49" w:firstLine="0"/>
        <w:jc w:val="both"/>
        <w:rPr>
          <w:rFonts w:ascii="Verdana" w:hAnsi="Verdana"/>
          <w:sz w:val="20"/>
          <w:szCs w:val="20"/>
          <w:lang w:val="en-US"/>
        </w:rPr>
      </w:pPr>
      <w:r w:rsidRPr="00D869E3">
        <w:rPr>
          <w:rFonts w:ascii="Verdana" w:hAnsi="Verdana"/>
          <w:sz w:val="20"/>
          <w:szCs w:val="20"/>
          <w:lang w:val="en-US"/>
        </w:rPr>
        <w:t>In this regard</w:t>
      </w:r>
      <w:r w:rsidR="00F83E8F" w:rsidRPr="00D869E3">
        <w:rPr>
          <w:rFonts w:ascii="Verdana" w:hAnsi="Verdana"/>
          <w:sz w:val="20"/>
          <w:szCs w:val="20"/>
          <w:lang w:val="en-US"/>
        </w:rPr>
        <w:t xml:space="preserve">, </w:t>
      </w:r>
      <w:r w:rsidR="008E40D7" w:rsidRPr="00D869E3">
        <w:rPr>
          <w:rFonts w:ascii="Verdana" w:hAnsi="Verdana"/>
          <w:sz w:val="20"/>
          <w:szCs w:val="20"/>
          <w:lang w:val="en-US"/>
        </w:rPr>
        <w:t>the intention is not to establish that</w:t>
      </w:r>
      <w:r w:rsidR="00F83E8F" w:rsidRPr="00D869E3">
        <w:rPr>
          <w:rFonts w:ascii="Verdana" w:hAnsi="Verdana"/>
          <w:sz w:val="20"/>
          <w:szCs w:val="20"/>
          <w:lang w:val="en-US"/>
        </w:rPr>
        <w:t xml:space="preserve"> </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 </w:t>
      </w:r>
      <w:r w:rsidR="00687684" w:rsidRPr="00D869E3">
        <w:rPr>
          <w:rFonts w:ascii="Verdana" w:hAnsi="Verdana"/>
          <w:sz w:val="20"/>
          <w:szCs w:val="20"/>
          <w:lang w:val="en-US"/>
        </w:rPr>
        <w:t>8(1)</w:t>
      </w:r>
      <w:r w:rsidR="009073D9" w:rsidRPr="00D869E3">
        <w:rPr>
          <w:rFonts w:ascii="Verdana" w:hAnsi="Verdana"/>
          <w:sz w:val="20"/>
          <w:szCs w:val="20"/>
          <w:lang w:val="en-US"/>
        </w:rPr>
        <w:t>(</w:t>
      </w:r>
      <w:r w:rsidR="00F83E8F" w:rsidRPr="00D869E3">
        <w:rPr>
          <w:rFonts w:ascii="Verdana" w:hAnsi="Verdana"/>
          <w:sz w:val="20"/>
          <w:szCs w:val="20"/>
          <w:lang w:val="en-US"/>
        </w:rPr>
        <w:t>a</w:t>
      </w:r>
      <w:r w:rsidR="009073D9" w:rsidRPr="00D869E3">
        <w:rPr>
          <w:rFonts w:ascii="Verdana" w:hAnsi="Verdana"/>
          <w:sz w:val="20"/>
          <w:szCs w:val="20"/>
          <w:lang w:val="en-US"/>
        </w:rPr>
        <w:t>)</w:t>
      </w:r>
      <w:r w:rsidR="00F83E8F" w:rsidRPr="00D869E3">
        <w:rPr>
          <w:rFonts w:ascii="Verdana" w:hAnsi="Verdana"/>
          <w:sz w:val="20"/>
          <w:szCs w:val="20"/>
          <w:lang w:val="en-US"/>
        </w:rPr>
        <w:t xml:space="preserve"> </w:t>
      </w:r>
      <w:r w:rsidR="00916899" w:rsidRPr="00D869E3">
        <w:rPr>
          <w:rFonts w:ascii="Verdana" w:hAnsi="Verdana"/>
          <w:sz w:val="20"/>
          <w:szCs w:val="20"/>
          <w:lang w:val="en-US"/>
        </w:rPr>
        <w:t>of the Protocol of</w:t>
      </w:r>
      <w:r w:rsidR="00F83E8F" w:rsidRPr="00D869E3">
        <w:rPr>
          <w:rFonts w:ascii="Verdana" w:hAnsi="Verdana"/>
          <w:sz w:val="20"/>
          <w:szCs w:val="20"/>
          <w:lang w:val="en-US"/>
        </w:rPr>
        <w:t xml:space="preserve"> San Salvador </w:t>
      </w:r>
      <w:r w:rsidR="008E40D7" w:rsidRPr="00D869E3">
        <w:rPr>
          <w:rFonts w:ascii="Verdana" w:hAnsi="Verdana"/>
          <w:sz w:val="20"/>
          <w:szCs w:val="20"/>
          <w:lang w:val="en-US"/>
        </w:rPr>
        <w:t>is applicable</w:t>
      </w:r>
      <w:r w:rsidR="00F83E8F" w:rsidRPr="00D869E3">
        <w:rPr>
          <w:rFonts w:ascii="Verdana" w:hAnsi="Verdana"/>
          <w:sz w:val="20"/>
          <w:szCs w:val="20"/>
          <w:lang w:val="en-US"/>
        </w:rPr>
        <w:t xml:space="preserve">, </w:t>
      </w:r>
      <w:r w:rsidR="008E40D7" w:rsidRPr="00D869E3">
        <w:rPr>
          <w:rFonts w:ascii="Verdana" w:hAnsi="Verdana"/>
          <w:sz w:val="20"/>
          <w:szCs w:val="20"/>
          <w:lang w:val="en-US"/>
        </w:rPr>
        <w:t>through</w:t>
      </w:r>
      <w:r w:rsidR="00F83E8F" w:rsidRPr="00D869E3">
        <w:rPr>
          <w:rFonts w:ascii="Verdana" w:hAnsi="Verdana"/>
          <w:sz w:val="20"/>
          <w:szCs w:val="20"/>
          <w:lang w:val="en-US"/>
        </w:rPr>
        <w:t xml:space="preserve"> </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 19</w:t>
      </w:r>
      <w:r w:rsidR="009073D9" w:rsidRPr="00D869E3">
        <w:rPr>
          <w:rFonts w:ascii="Verdana" w:hAnsi="Verdana"/>
          <w:sz w:val="20"/>
          <w:szCs w:val="20"/>
          <w:lang w:val="en-US"/>
        </w:rPr>
        <w:t>(</w:t>
      </w:r>
      <w:r w:rsidR="00F83E8F" w:rsidRPr="00D869E3">
        <w:rPr>
          <w:rFonts w:ascii="Verdana" w:hAnsi="Verdana"/>
          <w:sz w:val="20"/>
          <w:szCs w:val="20"/>
          <w:lang w:val="en-US"/>
        </w:rPr>
        <w:t>6</w:t>
      </w:r>
      <w:r w:rsidR="009073D9" w:rsidRPr="00D869E3">
        <w:rPr>
          <w:rFonts w:ascii="Verdana" w:hAnsi="Verdana"/>
          <w:sz w:val="20"/>
          <w:szCs w:val="20"/>
          <w:lang w:val="en-US"/>
        </w:rPr>
        <w:t>)</w:t>
      </w:r>
      <w:r w:rsidR="00447C65" w:rsidRPr="00D869E3">
        <w:rPr>
          <w:rFonts w:ascii="Verdana" w:hAnsi="Verdana"/>
          <w:sz w:val="20"/>
          <w:szCs w:val="20"/>
          <w:lang w:val="en-US"/>
        </w:rPr>
        <w:t xml:space="preserve"> of the American Convention</w:t>
      </w:r>
      <w:r w:rsidR="00F83E8F" w:rsidRPr="00D869E3">
        <w:rPr>
          <w:rFonts w:ascii="Verdana" w:hAnsi="Verdana"/>
          <w:sz w:val="20"/>
          <w:szCs w:val="20"/>
          <w:lang w:val="en-US"/>
        </w:rPr>
        <w:t xml:space="preserve">, </w:t>
      </w:r>
      <w:r w:rsidR="008E40D7" w:rsidRPr="00D869E3">
        <w:rPr>
          <w:rFonts w:ascii="Verdana" w:hAnsi="Verdana"/>
          <w:sz w:val="20"/>
          <w:szCs w:val="20"/>
          <w:lang w:val="en-US"/>
        </w:rPr>
        <w:t xml:space="preserve">to the situation of </w:t>
      </w:r>
      <w:r w:rsidR="00E6309B" w:rsidRPr="00D869E3">
        <w:rPr>
          <w:rFonts w:ascii="Verdana" w:hAnsi="Verdana"/>
          <w:sz w:val="20"/>
          <w:szCs w:val="20"/>
          <w:lang w:val="en-US"/>
        </w:rPr>
        <w:t>Mr.</w:t>
      </w:r>
      <w:r w:rsidR="001E44D3" w:rsidRPr="00D869E3">
        <w:rPr>
          <w:rFonts w:ascii="Verdana" w:hAnsi="Verdana"/>
          <w:sz w:val="20"/>
          <w:szCs w:val="20"/>
          <w:lang w:val="en-US"/>
        </w:rPr>
        <w:t xml:space="preserve"> Lagos del Campo</w:t>
      </w:r>
      <w:r w:rsidR="00F83E8F" w:rsidRPr="00D869E3">
        <w:rPr>
          <w:rFonts w:ascii="Verdana" w:hAnsi="Verdana"/>
          <w:sz w:val="20"/>
          <w:szCs w:val="20"/>
          <w:lang w:val="en-US"/>
        </w:rPr>
        <w:t xml:space="preserve">s. </w:t>
      </w:r>
      <w:r w:rsidR="008E40D7" w:rsidRPr="00D869E3">
        <w:rPr>
          <w:rFonts w:ascii="Verdana" w:hAnsi="Verdana"/>
          <w:sz w:val="20"/>
          <w:szCs w:val="20"/>
          <w:lang w:val="en-US"/>
        </w:rPr>
        <w:t xml:space="preserve">This is because this is not a case of a labor union representative acting in the legitimate defense of the interests of union members. To the contrary, the situation of Mr. Lagos del Campos falls within the protection that labor associations and their representatives have </w:t>
      </w:r>
      <w:r w:rsidR="008E40D7" w:rsidRPr="00D869E3">
        <w:rPr>
          <w:rFonts w:ascii="Verdana" w:hAnsi="Verdana"/>
          <w:i/>
          <w:iCs/>
          <w:sz w:val="20"/>
          <w:szCs w:val="20"/>
          <w:lang w:val="en-US"/>
        </w:rPr>
        <w:t xml:space="preserve">to associate, </w:t>
      </w:r>
      <w:r w:rsidR="00B813C9" w:rsidRPr="00D869E3">
        <w:rPr>
          <w:rFonts w:ascii="Verdana" w:hAnsi="Verdana"/>
          <w:i/>
          <w:iCs/>
          <w:sz w:val="20"/>
          <w:szCs w:val="20"/>
          <w:lang w:val="en-US"/>
        </w:rPr>
        <w:t xml:space="preserve">and </w:t>
      </w:r>
      <w:r w:rsidR="008E40D7" w:rsidRPr="00D869E3">
        <w:rPr>
          <w:rFonts w:ascii="Verdana" w:hAnsi="Verdana"/>
          <w:i/>
          <w:iCs/>
          <w:sz w:val="20"/>
          <w:szCs w:val="20"/>
          <w:lang w:val="en-US"/>
        </w:rPr>
        <w:t>that even though they are of a different nature to that of labor unions, they pursue legitimate interests and rights of the workers</w:t>
      </w:r>
      <w:r w:rsidR="008E40D7" w:rsidRPr="00D869E3">
        <w:rPr>
          <w:rFonts w:ascii="Verdana" w:hAnsi="Verdana"/>
          <w:sz w:val="20"/>
          <w:szCs w:val="20"/>
          <w:lang w:val="en-US"/>
        </w:rPr>
        <w:t>;</w:t>
      </w:r>
      <w:r w:rsidR="00F83E8F" w:rsidRPr="00D869E3">
        <w:rPr>
          <w:rStyle w:val="Refdenotaalpie"/>
          <w:i/>
          <w:szCs w:val="20"/>
          <w:lang w:val="en-US"/>
        </w:rPr>
        <w:footnoteReference w:id="353"/>
      </w:r>
      <w:r w:rsidR="008E40D7" w:rsidRPr="00D869E3">
        <w:rPr>
          <w:rFonts w:ascii="Verdana" w:hAnsi="Verdana"/>
          <w:sz w:val="20"/>
          <w:szCs w:val="20"/>
          <w:lang w:val="en-US"/>
        </w:rPr>
        <w:t xml:space="preserve"> a</w:t>
      </w:r>
      <w:r w:rsidR="00F83E8F" w:rsidRPr="00D869E3">
        <w:rPr>
          <w:rFonts w:ascii="Verdana" w:hAnsi="Verdana"/>
          <w:sz w:val="20"/>
          <w:szCs w:val="20"/>
          <w:lang w:val="en-US"/>
        </w:rPr>
        <w:t xml:space="preserve"> protec</w:t>
      </w:r>
      <w:r w:rsidR="008E40D7" w:rsidRPr="00D869E3">
        <w:rPr>
          <w:rFonts w:ascii="Verdana" w:hAnsi="Verdana"/>
          <w:sz w:val="20"/>
          <w:szCs w:val="20"/>
          <w:lang w:val="en-US"/>
        </w:rPr>
        <w:t xml:space="preserve">tion that is not to be found in </w:t>
      </w:r>
      <w:r w:rsidR="00B235CB" w:rsidRPr="00D869E3">
        <w:rPr>
          <w:rFonts w:ascii="Verdana" w:hAnsi="Verdana"/>
          <w:sz w:val="20"/>
          <w:szCs w:val="20"/>
          <w:lang w:val="en-US"/>
        </w:rPr>
        <w:t>the Protocol of San</w:t>
      </w:r>
      <w:r w:rsidR="00F83E8F" w:rsidRPr="00D869E3">
        <w:rPr>
          <w:rFonts w:ascii="Verdana" w:hAnsi="Verdana"/>
          <w:sz w:val="20"/>
          <w:szCs w:val="20"/>
          <w:lang w:val="en-US"/>
        </w:rPr>
        <w:t xml:space="preserve"> Salvador </w:t>
      </w:r>
      <w:r w:rsidR="008E40D7" w:rsidRPr="00D869E3">
        <w:rPr>
          <w:rFonts w:ascii="Verdana" w:hAnsi="Verdana"/>
          <w:sz w:val="20"/>
          <w:szCs w:val="20"/>
          <w:lang w:val="en-US"/>
        </w:rPr>
        <w:t xml:space="preserve">in the article on the right to work </w:t>
      </w:r>
      <w:r w:rsidR="00F83E8F" w:rsidRPr="00D869E3">
        <w:rPr>
          <w:rFonts w:ascii="Verdana" w:hAnsi="Verdana"/>
          <w:sz w:val="20"/>
          <w:szCs w:val="20"/>
          <w:lang w:val="en-US"/>
        </w:rPr>
        <w:t>(</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 6 </w:t>
      </w:r>
      <w:r w:rsidR="00916899" w:rsidRPr="00D869E3">
        <w:rPr>
          <w:rFonts w:ascii="Verdana" w:hAnsi="Verdana"/>
          <w:sz w:val="20"/>
          <w:szCs w:val="20"/>
          <w:lang w:val="en-US"/>
        </w:rPr>
        <w:t>of the Protocol of</w:t>
      </w:r>
      <w:r w:rsidR="00F83E8F" w:rsidRPr="00D869E3">
        <w:rPr>
          <w:rFonts w:ascii="Verdana" w:hAnsi="Verdana"/>
          <w:sz w:val="20"/>
          <w:szCs w:val="20"/>
          <w:lang w:val="en-US"/>
        </w:rPr>
        <w:t xml:space="preserve"> San Salvador)</w:t>
      </w:r>
      <w:r w:rsidR="008E40D7" w:rsidRPr="00D869E3">
        <w:rPr>
          <w:rFonts w:ascii="Verdana" w:hAnsi="Verdana"/>
          <w:sz w:val="20"/>
          <w:szCs w:val="20"/>
          <w:lang w:val="en-US"/>
        </w:rPr>
        <w:t>,</w:t>
      </w:r>
      <w:r w:rsidR="00F83E8F" w:rsidRPr="00D869E3">
        <w:rPr>
          <w:rStyle w:val="Refdenotaalpie"/>
          <w:szCs w:val="20"/>
          <w:lang w:val="en-US"/>
        </w:rPr>
        <w:footnoteReference w:id="354"/>
      </w:r>
      <w:r w:rsidR="00F83E8F" w:rsidRPr="00D869E3">
        <w:rPr>
          <w:rFonts w:ascii="Verdana" w:hAnsi="Verdana"/>
          <w:sz w:val="20"/>
          <w:szCs w:val="20"/>
          <w:lang w:val="en-US"/>
        </w:rPr>
        <w:t xml:space="preserve"> </w:t>
      </w:r>
      <w:r w:rsidR="008E40D7" w:rsidRPr="00D869E3">
        <w:rPr>
          <w:rFonts w:ascii="Verdana" w:hAnsi="Verdana"/>
          <w:sz w:val="20"/>
          <w:szCs w:val="20"/>
          <w:lang w:val="en-US"/>
        </w:rPr>
        <w:t xml:space="preserve">but is established expressly in </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 45</w:t>
      </w:r>
      <w:r w:rsidR="008E40D7" w:rsidRPr="00D869E3">
        <w:rPr>
          <w:rFonts w:ascii="Verdana" w:hAnsi="Verdana"/>
          <w:sz w:val="20"/>
          <w:szCs w:val="20"/>
          <w:lang w:val="en-US"/>
        </w:rPr>
        <w:t>(</w:t>
      </w:r>
      <w:r w:rsidR="00F83E8F" w:rsidRPr="00D869E3">
        <w:rPr>
          <w:rFonts w:ascii="Verdana" w:hAnsi="Verdana"/>
          <w:sz w:val="20"/>
          <w:szCs w:val="20"/>
          <w:lang w:val="en-US"/>
        </w:rPr>
        <w:t xml:space="preserve">c), </w:t>
      </w:r>
      <w:r w:rsidR="008E40D7" w:rsidRPr="00D869E3">
        <w:rPr>
          <w:rFonts w:ascii="Verdana" w:hAnsi="Verdana"/>
          <w:sz w:val="20"/>
          <w:szCs w:val="20"/>
          <w:lang w:val="en-US"/>
        </w:rPr>
        <w:t>of the OAS Charter.</w:t>
      </w:r>
      <w:r w:rsidR="00F83E8F" w:rsidRPr="00D869E3">
        <w:rPr>
          <w:rFonts w:ascii="Verdana" w:hAnsi="Verdana"/>
          <w:sz w:val="20"/>
          <w:szCs w:val="20"/>
          <w:lang w:val="en-US"/>
        </w:rPr>
        <w:t xml:space="preserve"> </w:t>
      </w:r>
    </w:p>
    <w:p w14:paraId="42C3C56C" w14:textId="77777777" w:rsidR="00F83E8F" w:rsidRPr="00D869E3" w:rsidRDefault="00F83E8F" w:rsidP="00F83E8F">
      <w:pPr>
        <w:pStyle w:val="Prrafodelista"/>
        <w:widowControl w:val="0"/>
        <w:autoSpaceDE w:val="0"/>
        <w:autoSpaceDN w:val="0"/>
        <w:adjustRightInd w:val="0"/>
        <w:ind w:left="0" w:right="49"/>
        <w:jc w:val="both"/>
        <w:rPr>
          <w:rFonts w:ascii="Verdana" w:hAnsi="Verdana"/>
          <w:sz w:val="20"/>
          <w:szCs w:val="20"/>
          <w:lang w:val="en-US"/>
        </w:rPr>
      </w:pPr>
    </w:p>
    <w:p w14:paraId="55621716" w14:textId="7D776E7F" w:rsidR="00DE2469" w:rsidRPr="00D869E3" w:rsidRDefault="00DE2469" w:rsidP="00F83E8F">
      <w:pPr>
        <w:pStyle w:val="Prrafodelista"/>
        <w:widowControl w:val="0"/>
        <w:numPr>
          <w:ilvl w:val="0"/>
          <w:numId w:val="28"/>
        </w:numPr>
        <w:autoSpaceDE w:val="0"/>
        <w:autoSpaceDN w:val="0"/>
        <w:adjustRightInd w:val="0"/>
        <w:ind w:left="0" w:right="49" w:firstLine="0"/>
        <w:jc w:val="both"/>
        <w:rPr>
          <w:rFonts w:ascii="Verdana" w:hAnsi="Verdana"/>
          <w:sz w:val="20"/>
          <w:szCs w:val="20"/>
          <w:lang w:val="en-US"/>
        </w:rPr>
      </w:pPr>
      <w:r w:rsidRPr="00D869E3">
        <w:rPr>
          <w:rFonts w:ascii="Verdana" w:hAnsi="Verdana"/>
          <w:sz w:val="20"/>
          <w:szCs w:val="20"/>
          <w:lang w:val="en-US"/>
        </w:rPr>
        <w:t>A comparison of</w:t>
      </w:r>
      <w:r w:rsidR="00F83E8F" w:rsidRPr="00D869E3">
        <w:rPr>
          <w:rFonts w:ascii="Verdana" w:hAnsi="Verdana"/>
          <w:sz w:val="20"/>
          <w:szCs w:val="20"/>
          <w:lang w:val="en-US"/>
        </w:rPr>
        <w:t xml:space="preserve"> </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 </w:t>
      </w:r>
      <w:r w:rsidR="00687684" w:rsidRPr="00D869E3">
        <w:rPr>
          <w:rFonts w:ascii="Verdana" w:hAnsi="Verdana"/>
          <w:sz w:val="20"/>
          <w:szCs w:val="20"/>
          <w:lang w:val="en-US"/>
        </w:rPr>
        <w:t>8(1)</w:t>
      </w:r>
      <w:r w:rsidR="008E40D7" w:rsidRPr="00D869E3">
        <w:rPr>
          <w:rFonts w:ascii="Verdana" w:hAnsi="Verdana"/>
          <w:sz w:val="20"/>
          <w:szCs w:val="20"/>
          <w:lang w:val="en-US"/>
        </w:rPr>
        <w:t>(</w:t>
      </w:r>
      <w:r w:rsidR="00F83E8F" w:rsidRPr="00D869E3">
        <w:rPr>
          <w:rFonts w:ascii="Verdana" w:hAnsi="Verdana"/>
          <w:sz w:val="20"/>
          <w:szCs w:val="20"/>
          <w:lang w:val="en-US"/>
        </w:rPr>
        <w:t>a</w:t>
      </w:r>
      <w:r w:rsidR="008E40D7" w:rsidRPr="00D869E3">
        <w:rPr>
          <w:rFonts w:ascii="Verdana" w:hAnsi="Verdana"/>
          <w:sz w:val="20"/>
          <w:szCs w:val="20"/>
          <w:lang w:val="en-US"/>
        </w:rPr>
        <w:t>)</w:t>
      </w:r>
      <w:r w:rsidR="00F83E8F" w:rsidRPr="00D869E3">
        <w:rPr>
          <w:rFonts w:ascii="Verdana" w:hAnsi="Verdana"/>
          <w:sz w:val="20"/>
          <w:szCs w:val="20"/>
          <w:lang w:val="en-US"/>
        </w:rPr>
        <w:t xml:space="preserve"> </w:t>
      </w:r>
      <w:r w:rsidR="00916899" w:rsidRPr="00D869E3">
        <w:rPr>
          <w:rFonts w:ascii="Verdana" w:hAnsi="Verdana"/>
          <w:sz w:val="20"/>
          <w:szCs w:val="20"/>
          <w:lang w:val="en-US"/>
        </w:rPr>
        <w:t>of the Protocol of</w:t>
      </w:r>
      <w:r w:rsidR="00F83E8F" w:rsidRPr="00D869E3">
        <w:rPr>
          <w:rFonts w:ascii="Verdana" w:hAnsi="Verdana"/>
          <w:sz w:val="20"/>
          <w:szCs w:val="20"/>
          <w:lang w:val="en-US"/>
        </w:rPr>
        <w:t xml:space="preserve"> San Salvador</w:t>
      </w:r>
      <w:r w:rsidR="00687684" w:rsidRPr="00D869E3">
        <w:rPr>
          <w:rFonts w:ascii="Verdana" w:hAnsi="Verdana"/>
          <w:sz w:val="20"/>
          <w:szCs w:val="20"/>
          <w:lang w:val="en-US"/>
        </w:rPr>
        <w:t xml:space="preserve"> and </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 45</w:t>
      </w:r>
      <w:r w:rsidR="008E40D7" w:rsidRPr="00D869E3">
        <w:rPr>
          <w:rFonts w:ascii="Verdana" w:hAnsi="Verdana"/>
          <w:sz w:val="20"/>
          <w:szCs w:val="20"/>
          <w:lang w:val="en-US"/>
        </w:rPr>
        <w:t>(</w:t>
      </w:r>
      <w:r w:rsidR="00F83E8F" w:rsidRPr="00D869E3">
        <w:rPr>
          <w:rFonts w:ascii="Verdana" w:hAnsi="Verdana"/>
          <w:sz w:val="20"/>
          <w:szCs w:val="20"/>
          <w:lang w:val="en-US"/>
        </w:rPr>
        <w:t xml:space="preserve">c) </w:t>
      </w:r>
      <w:r w:rsidR="00197983" w:rsidRPr="00D869E3">
        <w:rPr>
          <w:rFonts w:ascii="Verdana" w:hAnsi="Verdana"/>
          <w:sz w:val="20"/>
          <w:szCs w:val="20"/>
          <w:lang w:val="en-US"/>
        </w:rPr>
        <w:t>of the OAS Charter</w:t>
      </w:r>
      <w:r w:rsidR="008E40D7" w:rsidRPr="00D869E3">
        <w:rPr>
          <w:rFonts w:ascii="Verdana" w:hAnsi="Verdana"/>
          <w:sz w:val="20"/>
          <w:szCs w:val="20"/>
          <w:lang w:val="en-US"/>
        </w:rPr>
        <w:t xml:space="preserve"> </w:t>
      </w:r>
      <w:r w:rsidRPr="00D869E3">
        <w:rPr>
          <w:rFonts w:ascii="Verdana" w:hAnsi="Verdana"/>
          <w:sz w:val="20"/>
          <w:szCs w:val="20"/>
          <w:lang w:val="en-US"/>
        </w:rPr>
        <w:t>leads to some</w:t>
      </w:r>
      <w:r w:rsidR="008E40D7" w:rsidRPr="00D869E3">
        <w:rPr>
          <w:rFonts w:ascii="Verdana" w:hAnsi="Verdana"/>
          <w:sz w:val="20"/>
          <w:szCs w:val="20"/>
          <w:lang w:val="en-US"/>
        </w:rPr>
        <w:t xml:space="preserve"> conclusions that are essential </w:t>
      </w:r>
      <w:r w:rsidRPr="00D869E3">
        <w:rPr>
          <w:rFonts w:ascii="Verdana" w:hAnsi="Verdana"/>
          <w:sz w:val="20"/>
          <w:szCs w:val="20"/>
          <w:lang w:val="en-US"/>
        </w:rPr>
        <w:t>for</w:t>
      </w:r>
      <w:r w:rsidR="008E40D7" w:rsidRPr="00D869E3">
        <w:rPr>
          <w:rFonts w:ascii="Verdana" w:hAnsi="Verdana"/>
          <w:sz w:val="20"/>
          <w:szCs w:val="20"/>
          <w:lang w:val="en-US"/>
        </w:rPr>
        <w:t xml:space="preserve"> understand</w:t>
      </w:r>
      <w:r w:rsidRPr="00D869E3">
        <w:rPr>
          <w:rFonts w:ascii="Verdana" w:hAnsi="Verdana"/>
          <w:sz w:val="20"/>
          <w:szCs w:val="20"/>
          <w:lang w:val="en-US"/>
        </w:rPr>
        <w:t>ing</w:t>
      </w:r>
      <w:r w:rsidR="008E40D7" w:rsidRPr="00D869E3">
        <w:rPr>
          <w:rFonts w:ascii="Verdana" w:hAnsi="Verdana"/>
          <w:sz w:val="20"/>
          <w:szCs w:val="20"/>
          <w:lang w:val="en-US"/>
        </w:rPr>
        <w:t xml:space="preserve"> the scope of the right to freedom of association for the defense and promotion of </w:t>
      </w:r>
      <w:r w:rsidRPr="00D869E3">
        <w:rPr>
          <w:rFonts w:ascii="Verdana" w:hAnsi="Verdana"/>
          <w:sz w:val="20"/>
          <w:szCs w:val="20"/>
          <w:lang w:val="en-US"/>
        </w:rPr>
        <w:t>workers’</w:t>
      </w:r>
      <w:r w:rsidR="008E40D7" w:rsidRPr="00D869E3">
        <w:rPr>
          <w:rFonts w:ascii="Verdana" w:hAnsi="Verdana"/>
          <w:sz w:val="20"/>
          <w:szCs w:val="20"/>
          <w:lang w:val="en-US"/>
        </w:rPr>
        <w:t xml:space="preserve"> interests in this case:</w:t>
      </w:r>
    </w:p>
    <w:p w14:paraId="76056056" w14:textId="77777777" w:rsidR="00DE2469" w:rsidRPr="00D869E3" w:rsidRDefault="00DE2469" w:rsidP="00F83E8F">
      <w:pPr>
        <w:pStyle w:val="Prrafodelista"/>
        <w:widowControl w:val="0"/>
        <w:autoSpaceDE w:val="0"/>
        <w:autoSpaceDN w:val="0"/>
        <w:adjustRightInd w:val="0"/>
        <w:ind w:left="0" w:right="49"/>
        <w:jc w:val="both"/>
        <w:rPr>
          <w:rFonts w:ascii="Verdana" w:hAnsi="Verdana"/>
          <w:sz w:val="20"/>
          <w:szCs w:val="20"/>
          <w:lang w:val="en-US"/>
        </w:rPr>
      </w:pPr>
    </w:p>
    <w:p w14:paraId="4062D993" w14:textId="3BA7009C" w:rsidR="00F83E8F" w:rsidRPr="00D869E3" w:rsidRDefault="00F83E8F" w:rsidP="00F83E8F">
      <w:pPr>
        <w:pStyle w:val="Prrafodelista"/>
        <w:ind w:left="360" w:right="758"/>
        <w:jc w:val="center"/>
        <w:rPr>
          <w:rFonts w:ascii="Verdana" w:hAnsi="Verdana"/>
          <w:b/>
          <w:sz w:val="16"/>
          <w:szCs w:val="16"/>
          <w:lang w:val="en-US"/>
        </w:rPr>
      </w:pPr>
      <w:r w:rsidRPr="00D869E3">
        <w:rPr>
          <w:rFonts w:ascii="Verdana" w:hAnsi="Verdana"/>
          <w:b/>
          <w:sz w:val="16"/>
          <w:szCs w:val="16"/>
          <w:lang w:val="en-US"/>
        </w:rPr>
        <w:t>45</w:t>
      </w:r>
      <w:r w:rsidR="00274DC1" w:rsidRPr="00D869E3">
        <w:rPr>
          <w:rFonts w:ascii="Verdana" w:hAnsi="Verdana"/>
          <w:b/>
          <w:sz w:val="16"/>
          <w:szCs w:val="16"/>
          <w:lang w:val="en-US"/>
        </w:rPr>
        <w:t>(</w:t>
      </w:r>
      <w:r w:rsidRPr="00D869E3">
        <w:rPr>
          <w:rFonts w:ascii="Verdana" w:hAnsi="Verdana"/>
          <w:b/>
          <w:sz w:val="16"/>
          <w:szCs w:val="16"/>
          <w:lang w:val="en-US"/>
        </w:rPr>
        <w:t xml:space="preserve">c)  </w:t>
      </w:r>
      <w:r w:rsidR="00197983" w:rsidRPr="00D869E3">
        <w:rPr>
          <w:rFonts w:ascii="Verdana" w:hAnsi="Verdana"/>
          <w:b/>
          <w:sz w:val="16"/>
          <w:szCs w:val="16"/>
          <w:lang w:val="en-US"/>
        </w:rPr>
        <w:t>OAS Charter</w:t>
      </w:r>
    </w:p>
    <w:p w14:paraId="2B41C35B" w14:textId="77777777" w:rsidR="00F83E8F" w:rsidRPr="00D869E3" w:rsidRDefault="00F83E8F" w:rsidP="00F83E8F">
      <w:pPr>
        <w:pStyle w:val="Prrafodelista"/>
        <w:ind w:left="360" w:right="758"/>
        <w:jc w:val="both"/>
        <w:rPr>
          <w:rFonts w:ascii="Verdana" w:hAnsi="Verdana"/>
          <w:b/>
          <w:sz w:val="16"/>
          <w:szCs w:val="16"/>
          <w:lang w:val="en-US"/>
        </w:rPr>
      </w:pPr>
    </w:p>
    <w:p w14:paraId="14F04391" w14:textId="2E87E69A" w:rsidR="00F83E8F" w:rsidRPr="00D869E3" w:rsidRDefault="00DE2469" w:rsidP="00DE2469">
      <w:pPr>
        <w:pStyle w:val="Prrafodelista"/>
        <w:tabs>
          <w:tab w:val="left" w:pos="8080"/>
        </w:tabs>
        <w:ind w:left="709" w:right="758"/>
        <w:jc w:val="both"/>
        <w:rPr>
          <w:rFonts w:ascii="Verdana" w:hAnsi="Verdana"/>
          <w:sz w:val="16"/>
          <w:szCs w:val="16"/>
          <w:lang w:val="en-US"/>
        </w:rPr>
      </w:pPr>
      <w:r w:rsidRPr="00D869E3">
        <w:rPr>
          <w:rFonts w:ascii="Verdana" w:hAnsi="Verdana"/>
          <w:b/>
          <w:bCs/>
          <w:sz w:val="16"/>
          <w:szCs w:val="16"/>
          <w:lang w:val="en-US"/>
        </w:rPr>
        <w:t>Employers and workers</w:t>
      </w:r>
      <w:r w:rsidRPr="00D869E3">
        <w:rPr>
          <w:rFonts w:ascii="Verdana" w:hAnsi="Verdana"/>
          <w:sz w:val="16"/>
          <w:szCs w:val="16"/>
          <w:lang w:val="en-US"/>
        </w:rPr>
        <w:t xml:space="preserve">, both rural and urban, </w:t>
      </w:r>
      <w:r w:rsidRPr="00D869E3">
        <w:rPr>
          <w:rFonts w:ascii="Verdana" w:hAnsi="Verdana"/>
          <w:b/>
          <w:bCs/>
          <w:sz w:val="16"/>
          <w:szCs w:val="16"/>
          <w:lang w:val="en-US"/>
        </w:rPr>
        <w:t>have the right to associate themselves freely for the defense and promotion of their interests</w:t>
      </w:r>
      <w:r w:rsidRPr="00D869E3">
        <w:rPr>
          <w:rFonts w:ascii="Verdana" w:hAnsi="Verdana"/>
          <w:sz w:val="16"/>
          <w:szCs w:val="16"/>
          <w:lang w:val="en-US"/>
        </w:rPr>
        <w:t>, including the right to collective bargaining and the workers' right to strike, and recognition of the juridical personality of associations and the protection of their freedom and independence, all in accordance with applicable laws</w:t>
      </w:r>
      <w:r w:rsidR="00F83E8F" w:rsidRPr="00D869E3">
        <w:rPr>
          <w:rFonts w:ascii="Verdana" w:hAnsi="Verdana"/>
          <w:sz w:val="16"/>
          <w:szCs w:val="16"/>
          <w:lang w:val="en-US"/>
        </w:rPr>
        <w:t>.</w:t>
      </w:r>
    </w:p>
    <w:p w14:paraId="605CCC6B" w14:textId="77777777" w:rsidR="00F83E8F" w:rsidRPr="00D869E3" w:rsidRDefault="00F83E8F" w:rsidP="00DE2469">
      <w:pPr>
        <w:widowControl w:val="0"/>
        <w:autoSpaceDE w:val="0"/>
        <w:autoSpaceDN w:val="0"/>
        <w:adjustRightInd w:val="0"/>
        <w:ind w:left="709" w:right="758"/>
        <w:jc w:val="both"/>
        <w:rPr>
          <w:rFonts w:ascii="Verdana" w:hAnsi="Verdana"/>
          <w:sz w:val="16"/>
          <w:szCs w:val="16"/>
          <w:lang w:val="en-US"/>
        </w:rPr>
      </w:pPr>
    </w:p>
    <w:p w14:paraId="631B0E4B" w14:textId="555B0F03" w:rsidR="00F83E8F" w:rsidRPr="00D869E3" w:rsidRDefault="00687684" w:rsidP="00DE2469">
      <w:pPr>
        <w:ind w:left="709" w:right="758" w:firstLine="708"/>
        <w:jc w:val="center"/>
        <w:rPr>
          <w:rFonts w:ascii="Verdana" w:hAnsi="Verdana"/>
          <w:b/>
          <w:sz w:val="16"/>
          <w:szCs w:val="16"/>
          <w:lang w:val="en-US"/>
        </w:rPr>
      </w:pPr>
      <w:r w:rsidRPr="00D869E3">
        <w:rPr>
          <w:rFonts w:ascii="Verdana" w:hAnsi="Verdana"/>
          <w:b/>
          <w:sz w:val="16"/>
          <w:szCs w:val="16"/>
          <w:lang w:val="en-US"/>
        </w:rPr>
        <w:t>8(1)</w:t>
      </w:r>
      <w:r w:rsidR="00274DC1" w:rsidRPr="00D869E3">
        <w:rPr>
          <w:rFonts w:ascii="Verdana" w:hAnsi="Verdana"/>
          <w:b/>
          <w:sz w:val="16"/>
          <w:szCs w:val="16"/>
          <w:lang w:val="en-US"/>
        </w:rPr>
        <w:t>(</w:t>
      </w:r>
      <w:r w:rsidR="00F83E8F" w:rsidRPr="00D869E3">
        <w:rPr>
          <w:rFonts w:ascii="Verdana" w:hAnsi="Verdana"/>
          <w:b/>
          <w:sz w:val="16"/>
          <w:szCs w:val="16"/>
          <w:lang w:val="en-US"/>
        </w:rPr>
        <w:t>a</w:t>
      </w:r>
      <w:r w:rsidR="00274DC1" w:rsidRPr="00D869E3">
        <w:rPr>
          <w:rFonts w:ascii="Verdana" w:hAnsi="Verdana"/>
          <w:b/>
          <w:sz w:val="16"/>
          <w:szCs w:val="16"/>
          <w:lang w:val="en-US"/>
        </w:rPr>
        <w:t>)</w:t>
      </w:r>
      <w:r w:rsidR="00F83E8F" w:rsidRPr="00D869E3">
        <w:rPr>
          <w:rFonts w:ascii="Verdana" w:hAnsi="Verdana"/>
          <w:b/>
          <w:sz w:val="16"/>
          <w:szCs w:val="16"/>
          <w:lang w:val="en-US"/>
        </w:rPr>
        <w:t xml:space="preserve"> </w:t>
      </w:r>
      <w:r w:rsidR="00E85F6A" w:rsidRPr="00D869E3">
        <w:rPr>
          <w:rFonts w:ascii="Verdana" w:hAnsi="Verdana"/>
          <w:b/>
          <w:sz w:val="16"/>
          <w:szCs w:val="16"/>
          <w:lang w:val="en-US"/>
        </w:rPr>
        <w:t>Labor union</w:t>
      </w:r>
      <w:r w:rsidR="00274DC1" w:rsidRPr="00D869E3">
        <w:rPr>
          <w:rFonts w:ascii="Verdana" w:hAnsi="Verdana"/>
          <w:b/>
          <w:sz w:val="16"/>
          <w:szCs w:val="16"/>
          <w:lang w:val="en-US"/>
        </w:rPr>
        <w:t xml:space="preserve"> rights under</w:t>
      </w:r>
      <w:r w:rsidR="00916899" w:rsidRPr="00D869E3">
        <w:rPr>
          <w:rFonts w:ascii="Verdana" w:hAnsi="Verdana"/>
          <w:b/>
          <w:sz w:val="16"/>
          <w:szCs w:val="16"/>
          <w:lang w:val="en-US"/>
        </w:rPr>
        <w:t xml:space="preserve"> the Protocol of</w:t>
      </w:r>
      <w:r w:rsidR="00F83E8F" w:rsidRPr="00D869E3">
        <w:rPr>
          <w:rFonts w:ascii="Verdana" w:hAnsi="Verdana"/>
          <w:b/>
          <w:sz w:val="16"/>
          <w:szCs w:val="16"/>
          <w:lang w:val="en-US"/>
        </w:rPr>
        <w:t xml:space="preserve"> San Salvador</w:t>
      </w:r>
    </w:p>
    <w:p w14:paraId="200042E4" w14:textId="77777777" w:rsidR="00F83E8F" w:rsidRPr="00D869E3" w:rsidRDefault="00F83E8F" w:rsidP="00DE2469">
      <w:pPr>
        <w:ind w:left="709" w:right="758" w:firstLine="708"/>
        <w:jc w:val="center"/>
        <w:rPr>
          <w:rFonts w:ascii="Verdana" w:hAnsi="Verdana"/>
          <w:b/>
          <w:sz w:val="16"/>
          <w:szCs w:val="16"/>
          <w:lang w:val="en-US"/>
        </w:rPr>
      </w:pPr>
    </w:p>
    <w:p w14:paraId="2F84CB10" w14:textId="7A6A02BA" w:rsidR="00DE2469" w:rsidRPr="00D869E3" w:rsidRDefault="00F83E8F" w:rsidP="00DE2469">
      <w:pPr>
        <w:pStyle w:val="NormalWeb"/>
        <w:spacing w:before="0" w:beforeAutospacing="0" w:after="0" w:afterAutospacing="0"/>
        <w:ind w:left="709" w:right="758"/>
        <w:jc w:val="both"/>
        <w:rPr>
          <w:rFonts w:ascii="Verdana" w:hAnsi="Verdana" w:cs="Arial"/>
          <w:sz w:val="16"/>
          <w:szCs w:val="16"/>
          <w:lang w:val="en-US"/>
        </w:rPr>
      </w:pPr>
      <w:r w:rsidRPr="00D869E3">
        <w:rPr>
          <w:rFonts w:ascii="Verdana" w:hAnsi="Verdana"/>
          <w:sz w:val="16"/>
          <w:szCs w:val="16"/>
          <w:lang w:val="en-US"/>
        </w:rPr>
        <w:t xml:space="preserve">1. </w:t>
      </w:r>
      <w:r w:rsidR="00DE2469" w:rsidRPr="00D869E3">
        <w:rPr>
          <w:rFonts w:ascii="Verdana" w:hAnsi="Verdana" w:cs="Tahoma"/>
          <w:sz w:val="16"/>
          <w:szCs w:val="16"/>
          <w:lang w:val="en-US"/>
        </w:rPr>
        <w:t>The States Parties shall ensure: a.</w:t>
      </w:r>
      <w:r w:rsidR="00DE2469" w:rsidRPr="00D869E3">
        <w:rPr>
          <w:rFonts w:ascii="Verdana" w:hAnsi="Verdana" w:cs="Tahoma"/>
          <w:b/>
          <w:bCs/>
          <w:sz w:val="16"/>
          <w:szCs w:val="16"/>
          <w:lang w:val="en-US"/>
        </w:rPr>
        <w:t xml:space="preserve"> The right of workers to organize trade unions and to join the union of their choice for the purpose of protecting and promoting their interests. </w:t>
      </w:r>
      <w:r w:rsidR="00DE2469" w:rsidRPr="00D869E3">
        <w:rPr>
          <w:rFonts w:ascii="Verdana" w:hAnsi="Verdana" w:cs="Tahoma"/>
          <w:sz w:val="16"/>
          <w:szCs w:val="16"/>
          <w:lang w:val="en-US"/>
        </w:rPr>
        <w:t xml:space="preserve">As an extension of that right, the States Parties shall permit trade unions to establish national federations or confederations, or to affiliate with those that already exist, as well as to form international trade </w:t>
      </w:r>
      <w:r w:rsidR="00DE2469" w:rsidRPr="00D869E3">
        <w:rPr>
          <w:rFonts w:ascii="Verdana" w:hAnsi="Verdana" w:cs="Tahoma"/>
          <w:sz w:val="16"/>
          <w:szCs w:val="16"/>
          <w:lang w:val="en-US"/>
        </w:rPr>
        <w:lastRenderedPageBreak/>
        <w:t>union organizations and to affiliate with that of their choice. The States Parties shall also permit trade unions, federations and confederations to function freely.</w:t>
      </w:r>
    </w:p>
    <w:p w14:paraId="02B58F56" w14:textId="77777777" w:rsidR="00F83E8F" w:rsidRPr="00D869E3" w:rsidRDefault="00F83E8F" w:rsidP="00F83E8F">
      <w:pPr>
        <w:widowControl w:val="0"/>
        <w:autoSpaceDE w:val="0"/>
        <w:autoSpaceDN w:val="0"/>
        <w:adjustRightInd w:val="0"/>
        <w:ind w:right="49"/>
        <w:jc w:val="both"/>
        <w:rPr>
          <w:rFonts w:ascii="Verdana" w:hAnsi="Verdana"/>
          <w:sz w:val="20"/>
          <w:szCs w:val="20"/>
          <w:lang w:val="en-US"/>
        </w:rPr>
      </w:pPr>
    </w:p>
    <w:p w14:paraId="3799F7B1" w14:textId="4DE33F99" w:rsidR="008D1A55" w:rsidRPr="00D869E3" w:rsidRDefault="00DE2469" w:rsidP="00E70701">
      <w:pPr>
        <w:pStyle w:val="Prrafodelista"/>
        <w:widowControl w:val="0"/>
        <w:numPr>
          <w:ilvl w:val="0"/>
          <w:numId w:val="28"/>
        </w:numPr>
        <w:autoSpaceDE w:val="0"/>
        <w:autoSpaceDN w:val="0"/>
        <w:adjustRightInd w:val="0"/>
        <w:ind w:left="0" w:right="49" w:firstLine="0"/>
        <w:jc w:val="both"/>
        <w:rPr>
          <w:rFonts w:ascii="Verdana" w:hAnsi="Verdana"/>
          <w:sz w:val="20"/>
          <w:szCs w:val="20"/>
          <w:lang w:val="en-US"/>
        </w:rPr>
      </w:pPr>
      <w:r w:rsidRPr="00D869E3">
        <w:rPr>
          <w:rFonts w:ascii="Verdana" w:hAnsi="Verdana"/>
          <w:sz w:val="20"/>
          <w:szCs w:val="20"/>
          <w:lang w:val="en-US"/>
        </w:rPr>
        <w:t>A comparison of</w:t>
      </w:r>
      <w:r w:rsidR="00F83E8F" w:rsidRPr="00D869E3">
        <w:rPr>
          <w:rFonts w:ascii="Verdana" w:hAnsi="Verdana"/>
          <w:sz w:val="20"/>
          <w:szCs w:val="20"/>
          <w:lang w:val="en-US"/>
        </w:rPr>
        <w:t xml:space="preserve"> </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 </w:t>
      </w:r>
      <w:r w:rsidR="00687684" w:rsidRPr="00D869E3">
        <w:rPr>
          <w:rFonts w:ascii="Verdana" w:hAnsi="Verdana"/>
          <w:sz w:val="20"/>
          <w:szCs w:val="20"/>
          <w:lang w:val="en-US"/>
        </w:rPr>
        <w:t>8(1)</w:t>
      </w:r>
      <w:r w:rsidRPr="00D869E3">
        <w:rPr>
          <w:rFonts w:ascii="Verdana" w:hAnsi="Verdana"/>
          <w:sz w:val="20"/>
          <w:szCs w:val="20"/>
          <w:lang w:val="en-US"/>
        </w:rPr>
        <w:t>(</w:t>
      </w:r>
      <w:r w:rsidR="00F83E8F" w:rsidRPr="00D869E3">
        <w:rPr>
          <w:rFonts w:ascii="Verdana" w:hAnsi="Verdana"/>
          <w:sz w:val="20"/>
          <w:szCs w:val="20"/>
          <w:lang w:val="en-US"/>
        </w:rPr>
        <w:t>a</w:t>
      </w:r>
      <w:r w:rsidRPr="00D869E3">
        <w:rPr>
          <w:rFonts w:ascii="Verdana" w:hAnsi="Verdana"/>
          <w:sz w:val="20"/>
          <w:szCs w:val="20"/>
          <w:lang w:val="en-US"/>
        </w:rPr>
        <w:t>)</w:t>
      </w:r>
      <w:r w:rsidR="00F83E8F" w:rsidRPr="00D869E3">
        <w:rPr>
          <w:rFonts w:ascii="Verdana" w:hAnsi="Verdana"/>
          <w:sz w:val="20"/>
          <w:szCs w:val="20"/>
          <w:lang w:val="en-US"/>
        </w:rPr>
        <w:t xml:space="preserve"> </w:t>
      </w:r>
      <w:r w:rsidR="00916899" w:rsidRPr="00D869E3">
        <w:rPr>
          <w:rFonts w:ascii="Verdana" w:hAnsi="Verdana"/>
          <w:sz w:val="20"/>
          <w:szCs w:val="20"/>
          <w:lang w:val="en-US"/>
        </w:rPr>
        <w:t>of the Protocol of</w:t>
      </w:r>
      <w:r w:rsidR="00F83E8F" w:rsidRPr="00D869E3">
        <w:rPr>
          <w:rFonts w:ascii="Verdana" w:hAnsi="Verdana"/>
          <w:sz w:val="20"/>
          <w:szCs w:val="20"/>
          <w:lang w:val="en-US"/>
        </w:rPr>
        <w:t xml:space="preserve"> San Salvador</w:t>
      </w:r>
      <w:r w:rsidR="00687684" w:rsidRPr="00D869E3">
        <w:rPr>
          <w:rFonts w:ascii="Verdana" w:hAnsi="Verdana"/>
          <w:sz w:val="20"/>
          <w:szCs w:val="20"/>
          <w:lang w:val="en-US"/>
        </w:rPr>
        <w:t xml:space="preserve"> and </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 45</w:t>
      </w:r>
      <w:r w:rsidRPr="00D869E3">
        <w:rPr>
          <w:rFonts w:ascii="Verdana" w:hAnsi="Verdana"/>
          <w:sz w:val="20"/>
          <w:szCs w:val="20"/>
          <w:lang w:val="en-US"/>
        </w:rPr>
        <w:t>(</w:t>
      </w:r>
      <w:r w:rsidR="00F83E8F" w:rsidRPr="00D869E3">
        <w:rPr>
          <w:rFonts w:ascii="Verdana" w:hAnsi="Verdana"/>
          <w:sz w:val="20"/>
          <w:szCs w:val="20"/>
          <w:lang w:val="en-US"/>
        </w:rPr>
        <w:t xml:space="preserve">c) </w:t>
      </w:r>
      <w:r w:rsidR="00197983" w:rsidRPr="00D869E3">
        <w:rPr>
          <w:rFonts w:ascii="Verdana" w:hAnsi="Verdana"/>
          <w:sz w:val="20"/>
          <w:szCs w:val="20"/>
          <w:lang w:val="en-US"/>
        </w:rPr>
        <w:t>of the OAS Charter</w:t>
      </w:r>
      <w:r w:rsidRPr="00D869E3">
        <w:rPr>
          <w:rFonts w:ascii="Verdana" w:hAnsi="Verdana"/>
          <w:sz w:val="20"/>
          <w:szCs w:val="20"/>
          <w:lang w:val="en-US"/>
        </w:rPr>
        <w:t xml:space="preserve"> reveals that the differences</w:t>
      </w:r>
      <w:r w:rsidR="008D1A55" w:rsidRPr="00D869E3">
        <w:rPr>
          <w:rFonts w:ascii="Verdana" w:hAnsi="Verdana"/>
          <w:sz w:val="20"/>
          <w:szCs w:val="20"/>
          <w:lang w:val="en-US"/>
        </w:rPr>
        <w:t xml:space="preserve"> resides in the entity </w:t>
      </w:r>
      <w:r w:rsidR="008D1A55" w:rsidRPr="00D869E3">
        <w:rPr>
          <w:rFonts w:ascii="Verdana" w:hAnsi="Verdana"/>
          <w:i/>
          <w:iCs/>
          <w:sz w:val="20"/>
          <w:szCs w:val="20"/>
          <w:lang w:val="en-US"/>
        </w:rPr>
        <w:t>entitled to the right to associate for the defense/promotion of their interests</w:t>
      </w:r>
      <w:r w:rsidR="008D1A55" w:rsidRPr="00D869E3">
        <w:rPr>
          <w:rFonts w:ascii="Verdana" w:hAnsi="Verdana"/>
          <w:sz w:val="20"/>
          <w:szCs w:val="20"/>
          <w:lang w:val="en-US"/>
        </w:rPr>
        <w:t xml:space="preserve"> </w:t>
      </w:r>
      <w:r w:rsidR="00351902" w:rsidRPr="00D869E3">
        <w:rPr>
          <w:rFonts w:ascii="Verdana" w:hAnsi="Verdana"/>
          <w:sz w:val="20"/>
          <w:szCs w:val="20"/>
          <w:lang w:val="en-US"/>
        </w:rPr>
        <w:t>recognized in</w:t>
      </w:r>
      <w:r w:rsidR="00F83E8F" w:rsidRPr="00D869E3">
        <w:rPr>
          <w:rFonts w:ascii="Verdana" w:hAnsi="Verdana"/>
          <w:sz w:val="20"/>
          <w:szCs w:val="20"/>
          <w:lang w:val="en-US"/>
        </w:rPr>
        <w:t xml:space="preserve"> </w:t>
      </w:r>
      <w:r w:rsidR="008D1A55" w:rsidRPr="00D869E3">
        <w:rPr>
          <w:rFonts w:ascii="Verdana" w:hAnsi="Verdana"/>
          <w:sz w:val="20"/>
          <w:szCs w:val="20"/>
          <w:lang w:val="en-US"/>
        </w:rPr>
        <w:t>the two instruments. That is, while the latter recognizes labor unions (specifically), the former recognizes workers’ associations more generally without conditioning them to consist of labor unions.</w:t>
      </w:r>
    </w:p>
    <w:p w14:paraId="1931C80B" w14:textId="77777777" w:rsidR="00F83E8F" w:rsidRPr="00D869E3" w:rsidRDefault="00F83E8F" w:rsidP="00F83E8F">
      <w:pPr>
        <w:widowControl w:val="0"/>
        <w:autoSpaceDE w:val="0"/>
        <w:autoSpaceDN w:val="0"/>
        <w:adjustRightInd w:val="0"/>
        <w:ind w:right="49"/>
        <w:jc w:val="both"/>
        <w:rPr>
          <w:rFonts w:ascii="Verdana" w:hAnsi="Verdana"/>
          <w:sz w:val="20"/>
          <w:szCs w:val="20"/>
          <w:lang w:val="en-US"/>
        </w:rPr>
      </w:pPr>
    </w:p>
    <w:p w14:paraId="25D3FF24" w14:textId="2CC8E789" w:rsidR="00F83E8F" w:rsidRPr="00D869E3" w:rsidRDefault="008D1A55" w:rsidP="00287FFD">
      <w:pPr>
        <w:pStyle w:val="Prrafodelista"/>
        <w:widowControl w:val="0"/>
        <w:numPr>
          <w:ilvl w:val="0"/>
          <w:numId w:val="28"/>
        </w:numPr>
        <w:autoSpaceDE w:val="0"/>
        <w:autoSpaceDN w:val="0"/>
        <w:adjustRightInd w:val="0"/>
        <w:ind w:left="0" w:right="49" w:firstLine="0"/>
        <w:jc w:val="both"/>
        <w:rPr>
          <w:rFonts w:ascii="Verdana" w:hAnsi="Verdana"/>
          <w:sz w:val="20"/>
          <w:szCs w:val="20"/>
          <w:lang w:val="en-US"/>
        </w:rPr>
      </w:pPr>
      <w:r w:rsidRPr="00D869E3">
        <w:rPr>
          <w:rFonts w:ascii="Verdana" w:hAnsi="Verdana"/>
          <w:sz w:val="20"/>
          <w:szCs w:val="20"/>
          <w:lang w:val="en-US"/>
        </w:rPr>
        <w:t>Thus</w:t>
      </w:r>
      <w:r w:rsidR="00F83E8F" w:rsidRPr="00D869E3">
        <w:rPr>
          <w:rFonts w:ascii="Verdana" w:hAnsi="Verdana"/>
          <w:sz w:val="20"/>
          <w:szCs w:val="20"/>
          <w:lang w:val="en-US"/>
        </w:rPr>
        <w:t xml:space="preserve">, </w:t>
      </w:r>
      <w:r w:rsidR="00671B14" w:rsidRPr="00D869E3">
        <w:rPr>
          <w:rFonts w:ascii="Verdana" w:hAnsi="Verdana"/>
          <w:sz w:val="20"/>
          <w:szCs w:val="20"/>
          <w:lang w:val="en-US"/>
        </w:rPr>
        <w:t>the Inter-American Court</w:t>
      </w:r>
      <w:r w:rsidRPr="00D869E3">
        <w:rPr>
          <w:rFonts w:ascii="Verdana" w:hAnsi="Verdana"/>
          <w:sz w:val="20"/>
          <w:szCs w:val="20"/>
          <w:lang w:val="en-US"/>
        </w:rPr>
        <w:t>, also, when declaring the violation of</w:t>
      </w:r>
      <w:r w:rsidR="00F83E8F" w:rsidRPr="00D869E3">
        <w:rPr>
          <w:rFonts w:ascii="Verdana" w:hAnsi="Verdana"/>
          <w:sz w:val="20"/>
          <w:szCs w:val="20"/>
          <w:lang w:val="en-US"/>
        </w:rPr>
        <w:t xml:space="preserve"> </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 26</w:t>
      </w:r>
      <w:r w:rsidR="00447C65" w:rsidRPr="00D869E3">
        <w:rPr>
          <w:rFonts w:ascii="Verdana" w:hAnsi="Verdana"/>
          <w:sz w:val="20"/>
          <w:szCs w:val="20"/>
          <w:lang w:val="en-US"/>
        </w:rPr>
        <w:t xml:space="preserve"> of the American Convention</w:t>
      </w:r>
      <w:r w:rsidR="00F83E8F" w:rsidRPr="00D869E3">
        <w:rPr>
          <w:rFonts w:ascii="Verdana" w:hAnsi="Verdana"/>
          <w:sz w:val="20"/>
          <w:szCs w:val="20"/>
          <w:lang w:val="en-US"/>
        </w:rPr>
        <w:t>, conclu</w:t>
      </w:r>
      <w:r w:rsidRPr="00D869E3">
        <w:rPr>
          <w:rFonts w:ascii="Verdana" w:hAnsi="Verdana"/>
          <w:sz w:val="20"/>
          <w:szCs w:val="20"/>
          <w:lang w:val="en-US"/>
        </w:rPr>
        <w:t xml:space="preserve">ded that the right </w:t>
      </w:r>
      <w:r w:rsidRPr="00D869E3">
        <w:rPr>
          <w:rFonts w:ascii="Verdana" w:hAnsi="Verdana"/>
          <w:i/>
          <w:iCs/>
          <w:sz w:val="20"/>
          <w:szCs w:val="20"/>
          <w:lang w:val="en-US"/>
        </w:rPr>
        <w:t xml:space="preserve">to defend and promote workers’ interests by an </w:t>
      </w:r>
      <w:r w:rsidRPr="00D869E3">
        <w:rPr>
          <w:rFonts w:ascii="Verdana" w:hAnsi="Verdana"/>
          <w:i/>
          <w:iCs/>
          <w:sz w:val="20"/>
          <w:szCs w:val="20"/>
          <w:u w:val="single"/>
          <w:lang w:val="en-US"/>
        </w:rPr>
        <w:t>association</w:t>
      </w:r>
      <w:r w:rsidRPr="00D869E3">
        <w:rPr>
          <w:rFonts w:ascii="Verdana" w:hAnsi="Verdana"/>
          <w:sz w:val="20"/>
          <w:szCs w:val="20"/>
          <w:lang w:val="en-US"/>
        </w:rPr>
        <w:t xml:space="preserve"> is enforceable (derived from the mandate of the Convention), through </w:t>
      </w:r>
      <w:r w:rsidR="00687684" w:rsidRPr="00D869E3">
        <w:rPr>
          <w:rFonts w:ascii="Verdana" w:hAnsi="Verdana"/>
          <w:sz w:val="20"/>
          <w:szCs w:val="20"/>
          <w:lang w:val="en-US"/>
        </w:rPr>
        <w:t>Article</w:t>
      </w:r>
      <w:r w:rsidR="00F83E8F" w:rsidRPr="00D869E3">
        <w:rPr>
          <w:rFonts w:ascii="Verdana" w:hAnsi="Verdana"/>
          <w:sz w:val="20"/>
          <w:szCs w:val="20"/>
          <w:lang w:val="en-US"/>
        </w:rPr>
        <w:t xml:space="preserve"> 26 </w:t>
      </w:r>
      <w:r w:rsidR="00671B14" w:rsidRPr="00D869E3">
        <w:rPr>
          <w:rFonts w:ascii="Verdana" w:hAnsi="Verdana"/>
          <w:sz w:val="20"/>
          <w:szCs w:val="20"/>
          <w:lang w:val="en-US"/>
        </w:rPr>
        <w:t>of the Pact of San José</w:t>
      </w:r>
      <w:r w:rsidR="00F83E8F" w:rsidRPr="00D869E3">
        <w:rPr>
          <w:rFonts w:ascii="Verdana" w:hAnsi="Verdana"/>
          <w:sz w:val="20"/>
          <w:szCs w:val="20"/>
          <w:lang w:val="en-US"/>
        </w:rPr>
        <w:t xml:space="preserve">; </w:t>
      </w:r>
      <w:r w:rsidRPr="00D869E3">
        <w:rPr>
          <w:rFonts w:ascii="Verdana" w:hAnsi="Verdana"/>
          <w:sz w:val="20"/>
          <w:szCs w:val="20"/>
          <w:lang w:val="en-US"/>
        </w:rPr>
        <w:t>because, as the judgment indicates, there is no difference between</w:t>
      </w:r>
      <w:r w:rsidR="00570D5E" w:rsidRPr="00D869E3">
        <w:rPr>
          <w:rFonts w:ascii="Verdana" w:hAnsi="Verdana"/>
          <w:sz w:val="20"/>
          <w:szCs w:val="20"/>
          <w:lang w:val="en-US"/>
        </w:rPr>
        <w:t xml:space="preserve"> representatives of</w:t>
      </w:r>
      <w:r w:rsidRPr="00D869E3">
        <w:rPr>
          <w:rFonts w:ascii="Verdana" w:hAnsi="Verdana"/>
          <w:sz w:val="20"/>
          <w:szCs w:val="20"/>
          <w:lang w:val="en-US"/>
        </w:rPr>
        <w:t xml:space="preserve"> labor union</w:t>
      </w:r>
      <w:r w:rsidR="00570D5E" w:rsidRPr="00D869E3">
        <w:rPr>
          <w:rFonts w:ascii="Verdana" w:hAnsi="Verdana"/>
          <w:sz w:val="20"/>
          <w:szCs w:val="20"/>
          <w:lang w:val="en-US"/>
        </w:rPr>
        <w:t xml:space="preserve">s </w:t>
      </w:r>
      <w:r w:rsidRPr="00D869E3">
        <w:rPr>
          <w:rFonts w:ascii="Verdana" w:hAnsi="Verdana"/>
          <w:sz w:val="20"/>
          <w:szCs w:val="20"/>
          <w:lang w:val="en-US"/>
        </w:rPr>
        <w:t xml:space="preserve">and representatives of labor associations. Thus, while association in a labor union for the defense of </w:t>
      </w:r>
      <w:r w:rsidR="00570D5E" w:rsidRPr="00D869E3">
        <w:rPr>
          <w:rFonts w:ascii="Verdana" w:hAnsi="Verdana"/>
          <w:sz w:val="20"/>
          <w:szCs w:val="20"/>
          <w:lang w:val="en-US"/>
        </w:rPr>
        <w:t>such interests</w:t>
      </w:r>
      <w:r w:rsidRPr="00D869E3">
        <w:rPr>
          <w:rFonts w:ascii="Verdana" w:hAnsi="Verdana"/>
          <w:sz w:val="20"/>
          <w:szCs w:val="20"/>
          <w:lang w:val="en-US"/>
        </w:rPr>
        <w:t xml:space="preserve"> may be invoked via the Protocol of </w:t>
      </w:r>
      <w:r w:rsidR="00F83E8F" w:rsidRPr="00D869E3">
        <w:rPr>
          <w:rFonts w:ascii="Verdana" w:hAnsi="Verdana"/>
          <w:sz w:val="20"/>
          <w:szCs w:val="20"/>
          <w:lang w:val="en-US"/>
        </w:rPr>
        <w:t>San Salvador (</w:t>
      </w:r>
      <w:r w:rsidR="00687684" w:rsidRPr="00D869E3">
        <w:rPr>
          <w:rFonts w:ascii="Verdana" w:hAnsi="Verdana"/>
          <w:sz w:val="20"/>
          <w:szCs w:val="20"/>
          <w:lang w:val="en-US"/>
        </w:rPr>
        <w:t>8(1)</w:t>
      </w:r>
      <w:r w:rsidRPr="00D869E3">
        <w:rPr>
          <w:rFonts w:ascii="Verdana" w:hAnsi="Verdana"/>
          <w:sz w:val="20"/>
          <w:szCs w:val="20"/>
          <w:lang w:val="en-US"/>
        </w:rPr>
        <w:t>(</w:t>
      </w:r>
      <w:r w:rsidR="00F83E8F" w:rsidRPr="00D869E3">
        <w:rPr>
          <w:rFonts w:ascii="Verdana" w:hAnsi="Verdana"/>
          <w:sz w:val="20"/>
          <w:szCs w:val="20"/>
          <w:lang w:val="en-US"/>
        </w:rPr>
        <w:t xml:space="preserve">a), </w:t>
      </w:r>
      <w:r w:rsidR="00287FFD" w:rsidRPr="00D869E3">
        <w:rPr>
          <w:rFonts w:ascii="Verdana" w:hAnsi="Verdana"/>
          <w:sz w:val="20"/>
          <w:szCs w:val="20"/>
          <w:lang w:val="en-US"/>
        </w:rPr>
        <w:t xml:space="preserve">if it has not been made </w:t>
      </w:r>
      <w:r w:rsidR="00F83E8F" w:rsidRPr="00D869E3">
        <w:rPr>
          <w:rFonts w:ascii="Verdana" w:hAnsi="Verdana"/>
          <w:sz w:val="20"/>
          <w:szCs w:val="20"/>
          <w:lang w:val="en-US"/>
        </w:rPr>
        <w:t>justiciable v</w:t>
      </w:r>
      <w:r w:rsidR="00287FFD" w:rsidRPr="00D869E3">
        <w:rPr>
          <w:rFonts w:ascii="Verdana" w:hAnsi="Verdana"/>
          <w:sz w:val="20"/>
          <w:szCs w:val="20"/>
          <w:lang w:val="en-US"/>
        </w:rPr>
        <w:t>i</w:t>
      </w:r>
      <w:r w:rsidR="00F83E8F" w:rsidRPr="00D869E3">
        <w:rPr>
          <w:rFonts w:ascii="Verdana" w:hAnsi="Verdana"/>
          <w:sz w:val="20"/>
          <w:szCs w:val="20"/>
          <w:lang w:val="en-US"/>
        </w:rPr>
        <w:t xml:space="preserve">a </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 26</w:t>
      </w:r>
      <w:r w:rsidR="00447C65" w:rsidRPr="00D869E3">
        <w:rPr>
          <w:rFonts w:ascii="Verdana" w:hAnsi="Verdana"/>
          <w:sz w:val="20"/>
          <w:szCs w:val="20"/>
          <w:lang w:val="en-US"/>
        </w:rPr>
        <w:t xml:space="preserve"> of the American Convention</w:t>
      </w:r>
      <w:r w:rsidR="00F83E8F" w:rsidRPr="00D869E3">
        <w:rPr>
          <w:rFonts w:ascii="Verdana" w:hAnsi="Verdana"/>
          <w:sz w:val="20"/>
          <w:szCs w:val="20"/>
          <w:lang w:val="en-US"/>
        </w:rPr>
        <w:t xml:space="preserve">, </w:t>
      </w:r>
      <w:r w:rsidR="00287FFD" w:rsidRPr="00D869E3">
        <w:rPr>
          <w:rFonts w:ascii="Verdana" w:hAnsi="Verdana"/>
          <w:sz w:val="20"/>
          <w:szCs w:val="20"/>
          <w:lang w:val="en-US"/>
        </w:rPr>
        <w:t xml:space="preserve">the right to </w:t>
      </w:r>
      <w:r w:rsidR="006436CA" w:rsidRPr="00D869E3">
        <w:rPr>
          <w:rFonts w:ascii="Verdana" w:hAnsi="Verdana"/>
          <w:sz w:val="20"/>
          <w:szCs w:val="20"/>
          <w:lang w:val="en-US"/>
        </w:rPr>
        <w:t>“</w:t>
      </w:r>
      <w:r w:rsidR="00287FFD" w:rsidRPr="00D869E3">
        <w:rPr>
          <w:rFonts w:ascii="Verdana" w:hAnsi="Verdana"/>
          <w:sz w:val="20"/>
          <w:szCs w:val="20"/>
          <w:lang w:val="en-US"/>
        </w:rPr>
        <w:t>associat</w:t>
      </w:r>
      <w:r w:rsidR="00570D5E" w:rsidRPr="00D869E3">
        <w:rPr>
          <w:rFonts w:ascii="Verdana" w:hAnsi="Verdana"/>
          <w:sz w:val="20"/>
          <w:szCs w:val="20"/>
          <w:lang w:val="en-US"/>
        </w:rPr>
        <w:t>e of labor</w:t>
      </w:r>
      <w:r w:rsidR="00287FFD" w:rsidRPr="00D869E3">
        <w:rPr>
          <w:rFonts w:ascii="Verdana" w:hAnsi="Verdana"/>
          <w:sz w:val="20"/>
          <w:szCs w:val="20"/>
          <w:lang w:val="en-US"/>
        </w:rPr>
        <w:t xml:space="preserve"> for the defense of their interests” would have risked leaving individuals who also merit protection in this regard in labor contexts</w:t>
      </w:r>
      <w:r w:rsidR="00570D5E" w:rsidRPr="00D869E3">
        <w:rPr>
          <w:rFonts w:ascii="Verdana" w:hAnsi="Verdana"/>
          <w:sz w:val="20"/>
          <w:szCs w:val="20"/>
          <w:lang w:val="en-US"/>
        </w:rPr>
        <w:t xml:space="preserve"> without international protection</w:t>
      </w:r>
      <w:r w:rsidR="00287FFD" w:rsidRPr="00D869E3">
        <w:rPr>
          <w:rFonts w:ascii="Verdana" w:hAnsi="Verdana"/>
          <w:sz w:val="20"/>
          <w:szCs w:val="20"/>
          <w:lang w:val="en-US"/>
        </w:rPr>
        <w:t>.</w:t>
      </w:r>
      <w:r w:rsidR="00F83E8F" w:rsidRPr="00D869E3">
        <w:rPr>
          <w:rStyle w:val="Refdenotaalpie"/>
          <w:szCs w:val="20"/>
          <w:lang w:val="en-US"/>
        </w:rPr>
        <w:footnoteReference w:id="355"/>
      </w:r>
      <w:r w:rsidR="00F83E8F" w:rsidRPr="00D869E3">
        <w:rPr>
          <w:rFonts w:ascii="Verdana" w:hAnsi="Verdana"/>
          <w:sz w:val="20"/>
          <w:szCs w:val="20"/>
          <w:lang w:val="en-US"/>
        </w:rPr>
        <w:t xml:space="preserve"> </w:t>
      </w:r>
    </w:p>
    <w:p w14:paraId="50EFD8AA" w14:textId="77777777" w:rsidR="00F83E8F" w:rsidRPr="00D869E3" w:rsidRDefault="00F83E8F" w:rsidP="00F83E8F">
      <w:pPr>
        <w:widowControl w:val="0"/>
        <w:autoSpaceDE w:val="0"/>
        <w:autoSpaceDN w:val="0"/>
        <w:adjustRightInd w:val="0"/>
        <w:ind w:right="49"/>
        <w:jc w:val="both"/>
        <w:rPr>
          <w:rFonts w:ascii="Verdana" w:hAnsi="Verdana"/>
          <w:sz w:val="20"/>
          <w:szCs w:val="20"/>
          <w:lang w:val="en-US"/>
        </w:rPr>
      </w:pPr>
    </w:p>
    <w:p w14:paraId="1C57C604" w14:textId="353394C9" w:rsidR="00F83E8F" w:rsidRPr="00D869E3" w:rsidRDefault="00287FFD" w:rsidP="00287FFD">
      <w:pPr>
        <w:pStyle w:val="Prrafodelista"/>
        <w:widowControl w:val="0"/>
        <w:numPr>
          <w:ilvl w:val="0"/>
          <w:numId w:val="28"/>
        </w:numPr>
        <w:autoSpaceDE w:val="0"/>
        <w:autoSpaceDN w:val="0"/>
        <w:adjustRightInd w:val="0"/>
        <w:ind w:left="0" w:right="49" w:firstLine="0"/>
        <w:jc w:val="both"/>
        <w:rPr>
          <w:rFonts w:ascii="Verdana" w:hAnsi="Verdana"/>
          <w:sz w:val="20"/>
          <w:szCs w:val="20"/>
          <w:lang w:val="en-US"/>
        </w:rPr>
      </w:pPr>
      <w:r w:rsidRPr="00D869E3">
        <w:rPr>
          <w:rFonts w:ascii="Verdana" w:hAnsi="Verdana"/>
          <w:sz w:val="20"/>
          <w:szCs w:val="20"/>
          <w:lang w:val="en-US"/>
        </w:rPr>
        <w:t xml:space="preserve">On this point, I consider that the fact that </w:t>
      </w:r>
      <w:r w:rsidR="00671B14" w:rsidRPr="00D869E3">
        <w:rPr>
          <w:rFonts w:ascii="Verdana" w:hAnsi="Verdana"/>
          <w:sz w:val="20"/>
          <w:szCs w:val="20"/>
          <w:lang w:val="en-US"/>
        </w:rPr>
        <w:t>the Inter-American Court</w:t>
      </w:r>
      <w:r w:rsidR="00F83E8F" w:rsidRPr="00D869E3">
        <w:rPr>
          <w:rFonts w:ascii="Verdana" w:hAnsi="Verdana"/>
          <w:sz w:val="20"/>
          <w:szCs w:val="20"/>
          <w:lang w:val="en-US"/>
        </w:rPr>
        <w:t xml:space="preserve"> </w:t>
      </w:r>
      <w:r w:rsidRPr="00D869E3">
        <w:rPr>
          <w:rFonts w:ascii="Verdana" w:hAnsi="Verdana"/>
          <w:sz w:val="20"/>
          <w:szCs w:val="20"/>
          <w:lang w:val="en-US"/>
        </w:rPr>
        <w:t>ruled on the justiciability of rights that were not established in Article 19(6)</w:t>
      </w:r>
      <w:r w:rsidR="00F83E8F" w:rsidRPr="00D869E3">
        <w:rPr>
          <w:rFonts w:ascii="Verdana" w:hAnsi="Verdana"/>
          <w:sz w:val="20"/>
          <w:szCs w:val="20"/>
          <w:lang w:val="en-US"/>
        </w:rPr>
        <w:t xml:space="preserve"> </w:t>
      </w:r>
      <w:r w:rsidR="00916899" w:rsidRPr="00D869E3">
        <w:rPr>
          <w:rFonts w:ascii="Verdana" w:hAnsi="Verdana"/>
          <w:sz w:val="20"/>
          <w:szCs w:val="20"/>
          <w:lang w:val="en-US"/>
        </w:rPr>
        <w:t>of the Protocol of</w:t>
      </w:r>
      <w:r w:rsidR="00F83E8F" w:rsidRPr="00D869E3">
        <w:rPr>
          <w:rFonts w:ascii="Verdana" w:hAnsi="Verdana"/>
          <w:sz w:val="20"/>
          <w:szCs w:val="20"/>
          <w:lang w:val="en-US"/>
        </w:rPr>
        <w:t xml:space="preserve"> San Salvador, </w:t>
      </w:r>
      <w:r w:rsidRPr="00D869E3">
        <w:rPr>
          <w:rFonts w:ascii="Verdana" w:hAnsi="Verdana"/>
          <w:sz w:val="20"/>
          <w:szCs w:val="20"/>
          <w:lang w:val="en-US"/>
        </w:rPr>
        <w:t>by means of</w:t>
      </w:r>
      <w:r w:rsidR="00F83E8F" w:rsidRPr="00D869E3">
        <w:rPr>
          <w:rFonts w:ascii="Verdana" w:hAnsi="Verdana"/>
          <w:sz w:val="20"/>
          <w:szCs w:val="20"/>
          <w:lang w:val="en-US"/>
        </w:rPr>
        <w:t xml:space="preserve"> </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 26</w:t>
      </w:r>
      <w:r w:rsidR="00447C65" w:rsidRPr="00D869E3">
        <w:rPr>
          <w:rFonts w:ascii="Verdana" w:hAnsi="Verdana"/>
          <w:sz w:val="20"/>
          <w:szCs w:val="20"/>
          <w:lang w:val="en-US"/>
        </w:rPr>
        <w:t xml:space="preserve"> of the American Convention</w:t>
      </w:r>
      <w:r w:rsidR="00F83E8F" w:rsidRPr="00D869E3">
        <w:rPr>
          <w:rFonts w:ascii="Verdana" w:hAnsi="Verdana"/>
          <w:sz w:val="20"/>
          <w:szCs w:val="20"/>
          <w:lang w:val="en-US"/>
        </w:rPr>
        <w:t xml:space="preserve">, </w:t>
      </w:r>
      <w:r w:rsidRPr="00D869E3">
        <w:rPr>
          <w:rFonts w:ascii="Verdana" w:hAnsi="Verdana"/>
          <w:sz w:val="20"/>
          <w:szCs w:val="20"/>
          <w:lang w:val="en-US"/>
        </w:rPr>
        <w:t>is especially relevant. First, because, as explained, not all social rights</w:t>
      </w:r>
      <w:r w:rsidR="00570D5E" w:rsidRPr="00D869E3">
        <w:rPr>
          <w:rFonts w:ascii="Verdana" w:hAnsi="Verdana"/>
          <w:sz w:val="20"/>
          <w:szCs w:val="20"/>
          <w:lang w:val="en-US"/>
        </w:rPr>
        <w:t>, or all their aspects,</w:t>
      </w:r>
      <w:r w:rsidRPr="00D869E3">
        <w:rPr>
          <w:rFonts w:ascii="Verdana" w:hAnsi="Verdana"/>
          <w:sz w:val="20"/>
          <w:szCs w:val="20"/>
          <w:lang w:val="en-US"/>
        </w:rPr>
        <w:t xml:space="preserve"> were contemplated in </w:t>
      </w:r>
      <w:r w:rsidR="00B235CB" w:rsidRPr="00D869E3">
        <w:rPr>
          <w:rFonts w:ascii="Verdana" w:hAnsi="Verdana"/>
          <w:sz w:val="20"/>
          <w:szCs w:val="20"/>
          <w:lang w:val="en-US"/>
        </w:rPr>
        <w:t>the Protocol of San</w:t>
      </w:r>
      <w:r w:rsidR="00F83E8F" w:rsidRPr="00D869E3">
        <w:rPr>
          <w:rFonts w:ascii="Verdana" w:hAnsi="Verdana"/>
          <w:sz w:val="20"/>
          <w:szCs w:val="20"/>
          <w:lang w:val="en-US"/>
        </w:rPr>
        <w:t xml:space="preserve"> Salvador </w:t>
      </w:r>
      <w:r w:rsidRPr="00D869E3">
        <w:rPr>
          <w:rFonts w:ascii="Verdana" w:hAnsi="Verdana"/>
          <w:sz w:val="20"/>
          <w:szCs w:val="20"/>
          <w:lang w:val="en-US"/>
        </w:rPr>
        <w:t>when it was drafted. Second, because it avoids making distinctions of degrees regarding who</w:t>
      </w:r>
      <w:r w:rsidR="00570D5E" w:rsidRPr="00D869E3">
        <w:rPr>
          <w:rFonts w:ascii="Verdana" w:hAnsi="Verdana"/>
          <w:sz w:val="20"/>
          <w:szCs w:val="20"/>
          <w:lang w:val="en-US"/>
        </w:rPr>
        <w:t xml:space="preserve"> or what</w:t>
      </w:r>
      <w:r w:rsidRPr="00D869E3">
        <w:rPr>
          <w:rFonts w:ascii="Verdana" w:hAnsi="Verdana"/>
          <w:sz w:val="20"/>
          <w:szCs w:val="20"/>
          <w:lang w:val="en-US"/>
        </w:rPr>
        <w:t xml:space="preserve"> may or may not be protected under this right, owing to the restriction made in </w:t>
      </w:r>
      <w:r w:rsidR="00687684" w:rsidRPr="00D869E3">
        <w:rPr>
          <w:rFonts w:ascii="Verdana" w:hAnsi="Verdana"/>
          <w:sz w:val="20"/>
          <w:szCs w:val="20"/>
          <w:lang w:val="en-US"/>
        </w:rPr>
        <w:t>Article</w:t>
      </w:r>
      <w:r w:rsidR="00F83E8F" w:rsidRPr="00D869E3">
        <w:rPr>
          <w:rFonts w:ascii="Verdana" w:hAnsi="Verdana"/>
          <w:sz w:val="20"/>
          <w:szCs w:val="20"/>
          <w:lang w:val="en-US"/>
        </w:rPr>
        <w:t xml:space="preserve"> 19</w:t>
      </w:r>
      <w:r w:rsidRPr="00D869E3">
        <w:rPr>
          <w:rFonts w:ascii="Verdana" w:hAnsi="Verdana"/>
          <w:sz w:val="20"/>
          <w:szCs w:val="20"/>
          <w:lang w:val="en-US"/>
        </w:rPr>
        <w:t>(</w:t>
      </w:r>
      <w:r w:rsidR="00F83E8F" w:rsidRPr="00D869E3">
        <w:rPr>
          <w:rFonts w:ascii="Verdana" w:hAnsi="Verdana"/>
          <w:sz w:val="20"/>
          <w:szCs w:val="20"/>
          <w:lang w:val="en-US"/>
        </w:rPr>
        <w:t>6</w:t>
      </w:r>
      <w:r w:rsidRPr="00D869E3">
        <w:rPr>
          <w:rFonts w:ascii="Verdana" w:hAnsi="Verdana"/>
          <w:sz w:val="20"/>
          <w:szCs w:val="20"/>
          <w:lang w:val="en-US"/>
        </w:rPr>
        <w:t>)</w:t>
      </w:r>
      <w:r w:rsidR="00F83E8F" w:rsidRPr="00D869E3">
        <w:rPr>
          <w:rFonts w:ascii="Verdana" w:hAnsi="Verdana"/>
          <w:sz w:val="20"/>
          <w:szCs w:val="20"/>
          <w:lang w:val="en-US"/>
        </w:rPr>
        <w:t xml:space="preserve"> </w:t>
      </w:r>
      <w:r w:rsidR="00916899" w:rsidRPr="00D869E3">
        <w:rPr>
          <w:rFonts w:ascii="Verdana" w:hAnsi="Verdana"/>
          <w:sz w:val="20"/>
          <w:szCs w:val="20"/>
          <w:lang w:val="en-US"/>
        </w:rPr>
        <w:t>of the Protocol of</w:t>
      </w:r>
      <w:r w:rsidR="00F83E8F" w:rsidRPr="00D869E3">
        <w:rPr>
          <w:rFonts w:ascii="Verdana" w:hAnsi="Verdana"/>
          <w:sz w:val="20"/>
          <w:szCs w:val="20"/>
          <w:lang w:val="en-US"/>
        </w:rPr>
        <w:t xml:space="preserve"> San Salvador (</w:t>
      </w:r>
      <w:r w:rsidRPr="00D869E3">
        <w:rPr>
          <w:rFonts w:ascii="Verdana" w:hAnsi="Verdana"/>
          <w:sz w:val="20"/>
          <w:szCs w:val="20"/>
          <w:lang w:val="en-US"/>
        </w:rPr>
        <w:t>in th</w:t>
      </w:r>
      <w:r w:rsidR="0002779D" w:rsidRPr="00D869E3">
        <w:rPr>
          <w:rFonts w:ascii="Verdana" w:hAnsi="Verdana"/>
          <w:sz w:val="20"/>
          <w:szCs w:val="20"/>
          <w:lang w:val="en-US"/>
        </w:rPr>
        <w:t>at</w:t>
      </w:r>
      <w:r w:rsidRPr="00D869E3">
        <w:rPr>
          <w:rFonts w:ascii="Verdana" w:hAnsi="Verdana"/>
          <w:sz w:val="20"/>
          <w:szCs w:val="20"/>
          <w:lang w:val="en-US"/>
        </w:rPr>
        <w:t xml:space="preserve"> case, </w:t>
      </w:r>
      <w:r w:rsidR="0002779D" w:rsidRPr="00D869E3">
        <w:rPr>
          <w:rFonts w:ascii="Verdana" w:hAnsi="Verdana"/>
          <w:sz w:val="20"/>
          <w:szCs w:val="20"/>
          <w:lang w:val="en-US"/>
        </w:rPr>
        <w:t>only labor or trade unions and their representatives</w:t>
      </w:r>
      <w:r w:rsidR="00F83E8F" w:rsidRPr="00D869E3">
        <w:rPr>
          <w:rFonts w:ascii="Verdana" w:hAnsi="Verdana"/>
          <w:sz w:val="20"/>
          <w:szCs w:val="20"/>
          <w:lang w:val="en-US"/>
        </w:rPr>
        <w:t>).</w:t>
      </w:r>
    </w:p>
    <w:p w14:paraId="6E5457EC" w14:textId="77777777" w:rsidR="00F83E8F" w:rsidRPr="00D869E3" w:rsidRDefault="00F83E8F" w:rsidP="00F83E8F">
      <w:pPr>
        <w:widowControl w:val="0"/>
        <w:autoSpaceDE w:val="0"/>
        <w:autoSpaceDN w:val="0"/>
        <w:adjustRightInd w:val="0"/>
        <w:ind w:right="49"/>
        <w:jc w:val="both"/>
        <w:rPr>
          <w:rFonts w:ascii="Verdana" w:hAnsi="Verdana"/>
          <w:sz w:val="20"/>
          <w:szCs w:val="20"/>
          <w:lang w:val="en-US"/>
        </w:rPr>
      </w:pPr>
    </w:p>
    <w:p w14:paraId="34BDFC16" w14:textId="31B0BCC0" w:rsidR="00F83E8F" w:rsidRPr="00D869E3" w:rsidRDefault="0002779D" w:rsidP="00E70701">
      <w:pPr>
        <w:pStyle w:val="Prrafodelista"/>
        <w:widowControl w:val="0"/>
        <w:numPr>
          <w:ilvl w:val="0"/>
          <w:numId w:val="28"/>
        </w:numPr>
        <w:autoSpaceDE w:val="0"/>
        <w:autoSpaceDN w:val="0"/>
        <w:adjustRightInd w:val="0"/>
        <w:ind w:left="0" w:right="49" w:firstLine="0"/>
        <w:jc w:val="both"/>
        <w:rPr>
          <w:rFonts w:ascii="Verdana" w:hAnsi="Verdana"/>
          <w:sz w:val="20"/>
          <w:szCs w:val="20"/>
          <w:lang w:val="en-US"/>
        </w:rPr>
      </w:pPr>
      <w:r w:rsidRPr="00D869E3">
        <w:rPr>
          <w:rFonts w:ascii="Verdana" w:hAnsi="Verdana"/>
          <w:sz w:val="20"/>
          <w:szCs w:val="20"/>
          <w:lang w:val="en-US"/>
        </w:rPr>
        <w:t xml:space="preserve">Notwithstanding the foregoing, to provide greater clarity to </w:t>
      </w:r>
      <w:r w:rsidR="007013E2" w:rsidRPr="00D869E3">
        <w:rPr>
          <w:rFonts w:ascii="Verdana" w:hAnsi="Verdana"/>
          <w:sz w:val="20"/>
          <w:szCs w:val="20"/>
          <w:lang w:val="en-US"/>
        </w:rPr>
        <w:t>the violation</w:t>
      </w:r>
      <w:r w:rsidR="00F83E8F" w:rsidRPr="00D869E3">
        <w:rPr>
          <w:rFonts w:ascii="Verdana" w:hAnsi="Verdana"/>
          <w:sz w:val="20"/>
          <w:szCs w:val="20"/>
          <w:lang w:val="en-US"/>
        </w:rPr>
        <w:t xml:space="preserve"> </w:t>
      </w:r>
      <w:r w:rsidRPr="00D869E3">
        <w:rPr>
          <w:rFonts w:ascii="Verdana" w:hAnsi="Verdana"/>
          <w:sz w:val="20"/>
          <w:szCs w:val="20"/>
          <w:lang w:val="en-US"/>
        </w:rPr>
        <w:t xml:space="preserve">of the right to freedom of association, </w:t>
      </w:r>
      <w:r w:rsidR="00570D5E" w:rsidRPr="00D869E3">
        <w:rPr>
          <w:rFonts w:ascii="Verdana" w:hAnsi="Verdana"/>
          <w:sz w:val="20"/>
          <w:szCs w:val="20"/>
          <w:lang w:val="en-US"/>
        </w:rPr>
        <w:t xml:space="preserve">I consider that the Inter-American Court could have used </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 29</w:t>
      </w:r>
      <w:r w:rsidRPr="00D869E3">
        <w:rPr>
          <w:rFonts w:ascii="Verdana" w:hAnsi="Verdana"/>
          <w:sz w:val="20"/>
          <w:szCs w:val="20"/>
          <w:lang w:val="en-US"/>
        </w:rPr>
        <w:t>(</w:t>
      </w:r>
      <w:r w:rsidR="00F83E8F" w:rsidRPr="00D869E3">
        <w:rPr>
          <w:rFonts w:ascii="Verdana" w:hAnsi="Verdana"/>
          <w:sz w:val="20"/>
          <w:szCs w:val="20"/>
          <w:lang w:val="en-US"/>
        </w:rPr>
        <w:t>b)</w:t>
      </w:r>
      <w:r w:rsidR="00687684" w:rsidRPr="00D869E3">
        <w:rPr>
          <w:rFonts w:ascii="Verdana" w:hAnsi="Verdana"/>
          <w:sz w:val="20"/>
          <w:szCs w:val="20"/>
          <w:lang w:val="en-US"/>
        </w:rPr>
        <w:t xml:space="preserve"> and </w:t>
      </w:r>
      <w:r w:rsidRPr="00D869E3">
        <w:rPr>
          <w:rFonts w:ascii="Verdana" w:hAnsi="Verdana"/>
          <w:sz w:val="20"/>
          <w:szCs w:val="20"/>
          <w:lang w:val="en-US"/>
        </w:rPr>
        <w:t>(</w:t>
      </w:r>
      <w:r w:rsidR="00F83E8F" w:rsidRPr="00D869E3">
        <w:rPr>
          <w:rFonts w:ascii="Verdana" w:hAnsi="Verdana"/>
          <w:sz w:val="20"/>
          <w:szCs w:val="20"/>
          <w:lang w:val="en-US"/>
        </w:rPr>
        <w:t>d)</w:t>
      </w:r>
      <w:r w:rsidR="00447C65" w:rsidRPr="00D869E3">
        <w:rPr>
          <w:rFonts w:ascii="Verdana" w:hAnsi="Verdana"/>
          <w:sz w:val="20"/>
          <w:szCs w:val="20"/>
          <w:lang w:val="en-US"/>
        </w:rPr>
        <w:t xml:space="preserve"> of the American Convention</w:t>
      </w:r>
      <w:r w:rsidR="00F83E8F" w:rsidRPr="00D869E3">
        <w:rPr>
          <w:rFonts w:ascii="Verdana" w:hAnsi="Verdana"/>
          <w:sz w:val="20"/>
          <w:szCs w:val="20"/>
          <w:lang w:val="en-US"/>
        </w:rPr>
        <w:t>,</w:t>
      </w:r>
      <w:r w:rsidRPr="00D869E3">
        <w:rPr>
          <w:rFonts w:ascii="Verdana" w:hAnsi="Verdana"/>
          <w:sz w:val="20"/>
          <w:szCs w:val="20"/>
          <w:lang w:val="en-US"/>
        </w:rPr>
        <w:t xml:space="preserve"> as norms of interpretation</w:t>
      </w:r>
      <w:r w:rsidR="00F83E8F" w:rsidRPr="00D869E3">
        <w:rPr>
          <w:rFonts w:ascii="Verdana" w:hAnsi="Verdana"/>
          <w:sz w:val="20"/>
          <w:szCs w:val="20"/>
          <w:lang w:val="en-US"/>
        </w:rPr>
        <w:t xml:space="preserve"> </w:t>
      </w:r>
      <w:r w:rsidR="00BB61A6" w:rsidRPr="00D869E3">
        <w:rPr>
          <w:rFonts w:ascii="Verdana" w:hAnsi="Verdana"/>
          <w:sz w:val="20"/>
          <w:szCs w:val="20"/>
          <w:lang w:val="en-US"/>
        </w:rPr>
        <w:t>in relation to</w:t>
      </w:r>
      <w:r w:rsidR="00F83E8F" w:rsidRPr="00D869E3">
        <w:rPr>
          <w:rFonts w:ascii="Verdana" w:hAnsi="Verdana"/>
          <w:sz w:val="20"/>
          <w:szCs w:val="20"/>
          <w:lang w:val="en-US"/>
        </w:rPr>
        <w:t xml:space="preserve"> </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 26</w:t>
      </w:r>
      <w:r w:rsidR="00447C65" w:rsidRPr="00D869E3">
        <w:rPr>
          <w:rFonts w:ascii="Verdana" w:hAnsi="Verdana"/>
          <w:sz w:val="20"/>
          <w:szCs w:val="20"/>
          <w:lang w:val="en-US"/>
        </w:rPr>
        <w:t xml:space="preserve"> of the American Convention</w:t>
      </w:r>
      <w:r w:rsidR="00687684" w:rsidRPr="00D869E3">
        <w:rPr>
          <w:rFonts w:ascii="Verdana" w:hAnsi="Verdana"/>
          <w:sz w:val="20"/>
          <w:szCs w:val="20"/>
          <w:lang w:val="en-US"/>
        </w:rPr>
        <w:t xml:space="preserve"> and </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 45</w:t>
      </w:r>
      <w:r w:rsidR="00274DC1" w:rsidRPr="00D869E3">
        <w:rPr>
          <w:rFonts w:ascii="Verdana" w:hAnsi="Verdana"/>
          <w:sz w:val="20"/>
          <w:szCs w:val="20"/>
          <w:lang w:val="en-US"/>
        </w:rPr>
        <w:t>(</w:t>
      </w:r>
      <w:r w:rsidR="00F83E8F" w:rsidRPr="00D869E3">
        <w:rPr>
          <w:rFonts w:ascii="Verdana" w:hAnsi="Verdana"/>
          <w:sz w:val="20"/>
          <w:szCs w:val="20"/>
          <w:lang w:val="en-US"/>
        </w:rPr>
        <w:t xml:space="preserve">c) </w:t>
      </w:r>
      <w:r w:rsidR="00197983" w:rsidRPr="00D869E3">
        <w:rPr>
          <w:rFonts w:ascii="Verdana" w:hAnsi="Verdana"/>
          <w:sz w:val="20"/>
          <w:szCs w:val="20"/>
          <w:lang w:val="en-US"/>
        </w:rPr>
        <w:t>of the OAS Charter</w:t>
      </w:r>
      <w:r w:rsidR="00F83E8F" w:rsidRPr="00D869E3">
        <w:rPr>
          <w:rFonts w:ascii="Verdana" w:hAnsi="Verdana"/>
          <w:sz w:val="20"/>
          <w:szCs w:val="20"/>
          <w:lang w:val="en-US"/>
        </w:rPr>
        <w:t>;</w:t>
      </w:r>
      <w:r w:rsidR="00687684" w:rsidRPr="00D869E3">
        <w:rPr>
          <w:rFonts w:ascii="Verdana" w:hAnsi="Verdana"/>
          <w:sz w:val="20"/>
          <w:szCs w:val="20"/>
          <w:lang w:val="en-US"/>
        </w:rPr>
        <w:t xml:space="preserve"> and </w:t>
      </w:r>
      <w:r w:rsidR="00F83E8F" w:rsidRPr="00D869E3">
        <w:rPr>
          <w:rFonts w:ascii="Verdana" w:hAnsi="Verdana"/>
          <w:sz w:val="20"/>
          <w:szCs w:val="20"/>
          <w:lang w:val="en-US"/>
        </w:rPr>
        <w:t>no</w:t>
      </w:r>
      <w:r w:rsidRPr="00D869E3">
        <w:rPr>
          <w:rFonts w:ascii="Verdana" w:hAnsi="Verdana"/>
          <w:sz w:val="20"/>
          <w:szCs w:val="20"/>
          <w:lang w:val="en-US"/>
        </w:rPr>
        <w:t xml:space="preserve">t only referred to </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 16 </w:t>
      </w:r>
      <w:r w:rsidR="00671B14" w:rsidRPr="00D869E3">
        <w:rPr>
          <w:rFonts w:ascii="Verdana" w:hAnsi="Verdana"/>
          <w:sz w:val="20"/>
          <w:szCs w:val="20"/>
          <w:lang w:val="en-US"/>
        </w:rPr>
        <w:t>of the Pact of San José</w:t>
      </w:r>
      <w:r w:rsidR="00F83E8F" w:rsidRPr="00D869E3">
        <w:rPr>
          <w:rFonts w:ascii="Verdana" w:hAnsi="Verdana"/>
          <w:sz w:val="20"/>
          <w:szCs w:val="20"/>
          <w:lang w:val="en-US"/>
        </w:rPr>
        <w:t xml:space="preserve">. </w:t>
      </w:r>
      <w:r w:rsidRPr="00D869E3">
        <w:rPr>
          <w:rFonts w:ascii="Verdana" w:hAnsi="Verdana"/>
          <w:sz w:val="20"/>
          <w:szCs w:val="20"/>
          <w:lang w:val="en-US"/>
        </w:rPr>
        <w:t xml:space="preserve">This is because there is a risk that the content of the right to freedom of association for the promotion and defense of the interests of workers </w:t>
      </w:r>
      <w:r w:rsidR="00F83E8F" w:rsidRPr="00D869E3">
        <w:rPr>
          <w:rFonts w:ascii="Verdana" w:hAnsi="Verdana"/>
          <w:sz w:val="20"/>
          <w:szCs w:val="20"/>
          <w:lang w:val="en-US"/>
        </w:rPr>
        <w:t>(</w:t>
      </w:r>
      <w:r w:rsidR="00F83E8F" w:rsidRPr="00D869E3">
        <w:rPr>
          <w:rFonts w:ascii="Verdana" w:hAnsi="Verdana"/>
          <w:i/>
          <w:sz w:val="20"/>
          <w:szCs w:val="20"/>
          <w:lang w:val="en-US"/>
        </w:rPr>
        <w:t>stricto sensu</w:t>
      </w:r>
      <w:r w:rsidR="00F83E8F" w:rsidRPr="00D869E3">
        <w:rPr>
          <w:rFonts w:ascii="Verdana" w:hAnsi="Verdana"/>
          <w:sz w:val="20"/>
          <w:szCs w:val="20"/>
          <w:lang w:val="en-US"/>
        </w:rPr>
        <w:t xml:space="preserve">) </w:t>
      </w:r>
      <w:r w:rsidRPr="00D869E3">
        <w:rPr>
          <w:rFonts w:ascii="Verdana" w:hAnsi="Verdana"/>
          <w:sz w:val="20"/>
          <w:szCs w:val="20"/>
          <w:lang w:val="en-US"/>
        </w:rPr>
        <w:t>is dilute</w:t>
      </w:r>
      <w:r w:rsidR="00570D5E" w:rsidRPr="00D869E3">
        <w:rPr>
          <w:rFonts w:ascii="Verdana" w:hAnsi="Verdana"/>
          <w:sz w:val="20"/>
          <w:szCs w:val="20"/>
          <w:lang w:val="en-US"/>
        </w:rPr>
        <w:t>d</w:t>
      </w:r>
      <w:r w:rsidRPr="00D869E3">
        <w:rPr>
          <w:rFonts w:ascii="Verdana" w:hAnsi="Verdana"/>
          <w:sz w:val="20"/>
          <w:szCs w:val="20"/>
          <w:lang w:val="en-US"/>
        </w:rPr>
        <w:t xml:space="preserve"> in the content of the right to associate</w:t>
      </w:r>
      <w:r w:rsidR="00F83E8F" w:rsidRPr="00D869E3">
        <w:rPr>
          <w:rFonts w:ascii="Verdana" w:hAnsi="Verdana"/>
          <w:sz w:val="20"/>
          <w:szCs w:val="20"/>
          <w:lang w:val="en-US"/>
        </w:rPr>
        <w:t xml:space="preserve"> (</w:t>
      </w:r>
      <w:r w:rsidR="00F83E8F" w:rsidRPr="00D869E3">
        <w:rPr>
          <w:rFonts w:ascii="Verdana" w:hAnsi="Verdana"/>
          <w:i/>
          <w:sz w:val="20"/>
          <w:szCs w:val="20"/>
          <w:lang w:val="en-US"/>
        </w:rPr>
        <w:t>lato sensu</w:t>
      </w:r>
      <w:r w:rsidRPr="00D869E3">
        <w:rPr>
          <w:rFonts w:ascii="Verdana" w:hAnsi="Verdana"/>
          <w:i/>
          <w:sz w:val="20"/>
          <w:szCs w:val="20"/>
          <w:lang w:val="en-US"/>
        </w:rPr>
        <w:t>).</w:t>
      </w:r>
      <w:r w:rsidR="00F83E8F" w:rsidRPr="00D869E3">
        <w:rPr>
          <w:rStyle w:val="Refdenotaalpie"/>
          <w:szCs w:val="20"/>
          <w:lang w:val="en-US"/>
        </w:rPr>
        <w:footnoteReference w:id="356"/>
      </w:r>
      <w:r w:rsidR="00F83E8F" w:rsidRPr="00D869E3">
        <w:rPr>
          <w:rFonts w:ascii="Verdana" w:hAnsi="Verdana"/>
          <w:i/>
          <w:sz w:val="20"/>
          <w:szCs w:val="20"/>
          <w:lang w:val="en-US"/>
        </w:rPr>
        <w:t xml:space="preserve"> </w:t>
      </w:r>
    </w:p>
    <w:p w14:paraId="777C9B80" w14:textId="77777777" w:rsidR="00F83E8F" w:rsidRPr="00D869E3" w:rsidRDefault="00F83E8F" w:rsidP="00F83E8F">
      <w:pPr>
        <w:pStyle w:val="Prrafodelista"/>
        <w:widowControl w:val="0"/>
        <w:autoSpaceDE w:val="0"/>
        <w:autoSpaceDN w:val="0"/>
        <w:adjustRightInd w:val="0"/>
        <w:ind w:left="0" w:right="49"/>
        <w:jc w:val="both"/>
        <w:rPr>
          <w:rFonts w:ascii="Verdana" w:hAnsi="Verdana"/>
          <w:sz w:val="20"/>
          <w:szCs w:val="20"/>
          <w:lang w:val="en-US"/>
        </w:rPr>
      </w:pPr>
    </w:p>
    <w:p w14:paraId="02667098" w14:textId="7A996EA6" w:rsidR="00F83E8F" w:rsidRPr="00D869E3" w:rsidRDefault="00F83E8F" w:rsidP="00F83E8F">
      <w:pPr>
        <w:jc w:val="center"/>
        <w:rPr>
          <w:rFonts w:ascii="Verdana" w:hAnsi="Verdana"/>
          <w:sz w:val="20"/>
          <w:szCs w:val="20"/>
          <w:lang w:val="en-US"/>
        </w:rPr>
      </w:pPr>
      <w:r w:rsidRPr="00D869E3">
        <w:rPr>
          <w:rFonts w:ascii="Verdana" w:hAnsi="Verdana"/>
          <w:sz w:val="20"/>
          <w:szCs w:val="20"/>
          <w:lang w:val="en-US"/>
        </w:rPr>
        <w:t xml:space="preserve">IV.  CONCLUSIONS </w:t>
      </w:r>
    </w:p>
    <w:p w14:paraId="2EFA2AB2" w14:textId="77777777" w:rsidR="00F83E8F" w:rsidRPr="00D869E3" w:rsidRDefault="00F83E8F" w:rsidP="00F83E8F">
      <w:pPr>
        <w:rPr>
          <w:rFonts w:ascii="Verdana" w:hAnsi="Verdana"/>
          <w:sz w:val="20"/>
          <w:szCs w:val="20"/>
          <w:lang w:val="en-US"/>
        </w:rPr>
      </w:pPr>
    </w:p>
    <w:p w14:paraId="4E44C056" w14:textId="40EE6D54" w:rsidR="00F83E8F" w:rsidRPr="00D869E3" w:rsidRDefault="0002779D" w:rsidP="00E70701">
      <w:pPr>
        <w:pStyle w:val="Prrafodelista"/>
        <w:numPr>
          <w:ilvl w:val="0"/>
          <w:numId w:val="28"/>
        </w:numPr>
        <w:ind w:left="0" w:firstLine="0"/>
        <w:jc w:val="both"/>
        <w:rPr>
          <w:rFonts w:ascii="Verdana" w:hAnsi="Verdana"/>
          <w:sz w:val="20"/>
          <w:szCs w:val="20"/>
          <w:lang w:val="en-US"/>
        </w:rPr>
      </w:pPr>
      <w:r w:rsidRPr="00D869E3">
        <w:rPr>
          <w:rFonts w:ascii="Verdana" w:hAnsi="Verdana"/>
          <w:sz w:val="20"/>
          <w:szCs w:val="20"/>
          <w:lang w:val="en-US"/>
        </w:rPr>
        <w:t>The</w:t>
      </w:r>
      <w:r w:rsidR="00671B14" w:rsidRPr="00D869E3">
        <w:rPr>
          <w:rFonts w:ascii="Verdana" w:hAnsi="Verdana"/>
          <w:sz w:val="20"/>
          <w:szCs w:val="20"/>
          <w:lang w:val="en-US"/>
        </w:rPr>
        <w:t xml:space="preserve"> Inter-American Court</w:t>
      </w:r>
      <w:r w:rsidR="00F83E8F" w:rsidRPr="00D869E3">
        <w:rPr>
          <w:rFonts w:ascii="Verdana" w:hAnsi="Verdana"/>
          <w:sz w:val="20"/>
          <w:szCs w:val="20"/>
          <w:lang w:val="en-US"/>
        </w:rPr>
        <w:t xml:space="preserve"> </w:t>
      </w:r>
      <w:r w:rsidRPr="00D869E3">
        <w:rPr>
          <w:rFonts w:ascii="Verdana" w:hAnsi="Verdana"/>
          <w:sz w:val="20"/>
          <w:szCs w:val="20"/>
          <w:lang w:val="en-US"/>
        </w:rPr>
        <w:t>has ruled</w:t>
      </w:r>
      <w:r w:rsidR="00570D5E" w:rsidRPr="00D869E3">
        <w:rPr>
          <w:rFonts w:ascii="Verdana" w:hAnsi="Verdana"/>
          <w:sz w:val="20"/>
          <w:szCs w:val="20"/>
          <w:lang w:val="en-US"/>
        </w:rPr>
        <w:t xml:space="preserve"> </w:t>
      </w:r>
      <w:r w:rsidRPr="00D869E3">
        <w:rPr>
          <w:rFonts w:ascii="Verdana" w:hAnsi="Verdana"/>
          <w:sz w:val="20"/>
          <w:szCs w:val="20"/>
          <w:lang w:val="en-US"/>
        </w:rPr>
        <w:t xml:space="preserve">on the content </w:t>
      </w:r>
      <w:r w:rsidR="00687684" w:rsidRPr="00D869E3">
        <w:rPr>
          <w:rFonts w:ascii="Verdana" w:hAnsi="Verdana"/>
          <w:sz w:val="20"/>
          <w:szCs w:val="20"/>
          <w:lang w:val="en-US"/>
        </w:rPr>
        <w:t>of Article</w:t>
      </w:r>
      <w:r w:rsidR="00F83E8F" w:rsidRPr="00D869E3">
        <w:rPr>
          <w:rFonts w:ascii="Verdana" w:hAnsi="Verdana"/>
          <w:sz w:val="20"/>
          <w:szCs w:val="20"/>
          <w:lang w:val="en-US"/>
        </w:rPr>
        <w:t xml:space="preserve"> 26</w:t>
      </w:r>
      <w:r w:rsidR="00447C65" w:rsidRPr="00D869E3">
        <w:rPr>
          <w:rFonts w:ascii="Verdana" w:hAnsi="Verdana"/>
          <w:sz w:val="20"/>
          <w:szCs w:val="20"/>
          <w:lang w:val="en-US"/>
        </w:rPr>
        <w:t xml:space="preserve"> of the American Convention</w:t>
      </w:r>
      <w:r w:rsidRPr="00D869E3">
        <w:rPr>
          <w:rFonts w:ascii="Verdana" w:hAnsi="Verdana"/>
          <w:sz w:val="20"/>
          <w:szCs w:val="20"/>
          <w:lang w:val="en-US"/>
        </w:rPr>
        <w:t xml:space="preserve"> in very few cases</w:t>
      </w:r>
      <w:r w:rsidR="00F83E8F" w:rsidRPr="00D869E3">
        <w:rPr>
          <w:rFonts w:ascii="Verdana" w:hAnsi="Verdana"/>
          <w:sz w:val="20"/>
          <w:szCs w:val="20"/>
          <w:lang w:val="en-US"/>
        </w:rPr>
        <w:t xml:space="preserve">. </w:t>
      </w:r>
      <w:r w:rsidR="00570D5E" w:rsidRPr="00D869E3">
        <w:rPr>
          <w:rFonts w:ascii="Verdana" w:hAnsi="Verdana"/>
          <w:sz w:val="20"/>
          <w:szCs w:val="20"/>
          <w:lang w:val="en-US"/>
        </w:rPr>
        <w:t>T</w:t>
      </w:r>
      <w:r w:rsidRPr="00D869E3">
        <w:rPr>
          <w:rFonts w:ascii="Verdana" w:hAnsi="Verdana"/>
          <w:sz w:val="20"/>
          <w:szCs w:val="20"/>
          <w:lang w:val="en-US"/>
        </w:rPr>
        <w:t>he Inter-American Commission ha</w:t>
      </w:r>
      <w:r w:rsidR="00570D5E" w:rsidRPr="00D869E3">
        <w:rPr>
          <w:rFonts w:ascii="Verdana" w:hAnsi="Verdana"/>
          <w:sz w:val="20"/>
          <w:szCs w:val="20"/>
          <w:lang w:val="en-US"/>
        </w:rPr>
        <w:t>s</w:t>
      </w:r>
      <w:r w:rsidRPr="00D869E3">
        <w:rPr>
          <w:rFonts w:ascii="Verdana" w:hAnsi="Verdana"/>
          <w:sz w:val="20"/>
          <w:szCs w:val="20"/>
          <w:lang w:val="en-US"/>
        </w:rPr>
        <w:t xml:space="preserve"> directly alleged that it had been violated</w:t>
      </w:r>
      <w:r w:rsidR="00570D5E" w:rsidRPr="00D869E3">
        <w:rPr>
          <w:rFonts w:ascii="Verdana" w:hAnsi="Verdana"/>
          <w:sz w:val="20"/>
          <w:szCs w:val="20"/>
          <w:lang w:val="en-US"/>
        </w:rPr>
        <w:t xml:space="preserve"> on only two occasions</w:t>
      </w:r>
      <w:r w:rsidRPr="00D869E3">
        <w:rPr>
          <w:rFonts w:ascii="Verdana" w:hAnsi="Verdana"/>
          <w:sz w:val="20"/>
          <w:szCs w:val="20"/>
          <w:lang w:val="en-US"/>
        </w:rPr>
        <w:t>,</w:t>
      </w:r>
      <w:r w:rsidR="00F83E8F" w:rsidRPr="00D869E3">
        <w:rPr>
          <w:rStyle w:val="Refdenotaalpie"/>
          <w:szCs w:val="20"/>
          <w:lang w:val="en-US"/>
        </w:rPr>
        <w:footnoteReference w:id="357"/>
      </w:r>
      <w:r w:rsidR="00687684" w:rsidRPr="00D869E3">
        <w:rPr>
          <w:rFonts w:ascii="Verdana" w:hAnsi="Verdana"/>
          <w:sz w:val="20"/>
          <w:szCs w:val="20"/>
          <w:lang w:val="en-US"/>
        </w:rPr>
        <w:t xml:space="preserve"> and</w:t>
      </w:r>
      <w:r w:rsidRPr="00D869E3">
        <w:rPr>
          <w:rFonts w:ascii="Verdana" w:hAnsi="Verdana"/>
          <w:sz w:val="20"/>
          <w:szCs w:val="20"/>
          <w:lang w:val="en-US"/>
        </w:rPr>
        <w:t xml:space="preserve"> </w:t>
      </w:r>
      <w:r w:rsidR="00687684" w:rsidRPr="00D869E3">
        <w:rPr>
          <w:rFonts w:ascii="Verdana" w:hAnsi="Verdana"/>
          <w:sz w:val="20"/>
          <w:szCs w:val="20"/>
          <w:lang w:val="en-US"/>
        </w:rPr>
        <w:t>the representatives</w:t>
      </w:r>
      <w:r w:rsidRPr="00D869E3">
        <w:rPr>
          <w:rFonts w:ascii="Verdana" w:hAnsi="Verdana"/>
          <w:sz w:val="20"/>
          <w:szCs w:val="20"/>
          <w:lang w:val="en-US"/>
        </w:rPr>
        <w:t xml:space="preserve"> of the victims only six times.</w:t>
      </w:r>
      <w:r w:rsidR="00F83E8F" w:rsidRPr="00D869E3">
        <w:rPr>
          <w:rStyle w:val="Refdenotaalpie"/>
          <w:szCs w:val="20"/>
          <w:lang w:val="en-US"/>
        </w:rPr>
        <w:footnoteReference w:id="358"/>
      </w:r>
      <w:r w:rsidR="00F83E8F" w:rsidRPr="00D869E3">
        <w:rPr>
          <w:rFonts w:ascii="Verdana" w:hAnsi="Verdana"/>
          <w:sz w:val="20"/>
          <w:szCs w:val="20"/>
          <w:lang w:val="en-US"/>
        </w:rPr>
        <w:t xml:space="preserve"> </w:t>
      </w:r>
      <w:r w:rsidRPr="00D869E3">
        <w:rPr>
          <w:rFonts w:ascii="Verdana" w:hAnsi="Verdana"/>
          <w:sz w:val="20"/>
          <w:szCs w:val="20"/>
          <w:lang w:val="en-US"/>
        </w:rPr>
        <w:lastRenderedPageBreak/>
        <w:t xml:space="preserve">Thus, the great significance of this judgment stems from the fact that </w:t>
      </w:r>
      <w:r w:rsidR="00185A57" w:rsidRPr="00D869E3">
        <w:rPr>
          <w:rFonts w:ascii="Verdana" w:hAnsi="Verdana"/>
          <w:sz w:val="20"/>
          <w:szCs w:val="20"/>
          <w:lang w:val="en-US"/>
        </w:rPr>
        <w:t>the Inter-American Court</w:t>
      </w:r>
      <w:r w:rsidR="00F83E8F" w:rsidRPr="00D869E3">
        <w:rPr>
          <w:rFonts w:ascii="Verdana" w:hAnsi="Verdana"/>
          <w:sz w:val="20"/>
          <w:szCs w:val="20"/>
          <w:lang w:val="en-US"/>
        </w:rPr>
        <w:t xml:space="preserve">, </w:t>
      </w:r>
      <w:r w:rsidRPr="00D869E3">
        <w:rPr>
          <w:rFonts w:ascii="Verdana" w:hAnsi="Verdana"/>
          <w:sz w:val="20"/>
          <w:szCs w:val="20"/>
          <w:lang w:val="en-US"/>
        </w:rPr>
        <w:t xml:space="preserve">for the first time in its almost 40 years of existence, declares </w:t>
      </w:r>
      <w:r w:rsidR="007013E2" w:rsidRPr="00D869E3">
        <w:rPr>
          <w:rFonts w:ascii="Verdana" w:hAnsi="Verdana"/>
          <w:sz w:val="20"/>
          <w:szCs w:val="20"/>
          <w:lang w:val="en-US"/>
        </w:rPr>
        <w:t>the violation</w:t>
      </w:r>
      <w:r w:rsidR="00F83E8F" w:rsidRPr="00D869E3">
        <w:rPr>
          <w:rFonts w:ascii="Verdana" w:hAnsi="Verdana"/>
          <w:sz w:val="20"/>
          <w:szCs w:val="20"/>
          <w:lang w:val="en-US"/>
        </w:rPr>
        <w:t xml:space="preserve"> </w:t>
      </w:r>
      <w:r w:rsidR="00687684" w:rsidRPr="00D869E3">
        <w:rPr>
          <w:rFonts w:ascii="Verdana" w:hAnsi="Verdana"/>
          <w:sz w:val="20"/>
          <w:szCs w:val="20"/>
          <w:lang w:val="en-US"/>
        </w:rPr>
        <w:t>of Article</w:t>
      </w:r>
      <w:r w:rsidR="00F83E8F" w:rsidRPr="00D869E3">
        <w:rPr>
          <w:rFonts w:ascii="Verdana" w:hAnsi="Verdana"/>
          <w:sz w:val="20"/>
          <w:szCs w:val="20"/>
          <w:lang w:val="en-US"/>
        </w:rPr>
        <w:t xml:space="preserve"> 26 </w:t>
      </w:r>
      <w:r w:rsidR="00671B14" w:rsidRPr="00D869E3">
        <w:rPr>
          <w:rFonts w:ascii="Verdana" w:hAnsi="Verdana"/>
          <w:sz w:val="20"/>
          <w:szCs w:val="20"/>
          <w:lang w:val="en-US"/>
        </w:rPr>
        <w:t>of the Pact of San José</w:t>
      </w:r>
      <w:r w:rsidR="00F83E8F" w:rsidRPr="00D869E3">
        <w:rPr>
          <w:rFonts w:ascii="Verdana" w:hAnsi="Verdana"/>
          <w:sz w:val="20"/>
          <w:szCs w:val="20"/>
          <w:lang w:val="en-US"/>
        </w:rPr>
        <w:t>.</w:t>
      </w:r>
    </w:p>
    <w:p w14:paraId="3E9393A3" w14:textId="77777777" w:rsidR="00F83E8F" w:rsidRPr="00D869E3" w:rsidRDefault="00F83E8F" w:rsidP="00F83E8F">
      <w:pPr>
        <w:pStyle w:val="Prrafodelista"/>
        <w:ind w:left="0"/>
        <w:jc w:val="both"/>
        <w:rPr>
          <w:rFonts w:ascii="Verdana" w:hAnsi="Verdana"/>
          <w:sz w:val="20"/>
          <w:szCs w:val="20"/>
          <w:lang w:val="en-US"/>
        </w:rPr>
      </w:pPr>
      <w:r w:rsidRPr="00D869E3">
        <w:rPr>
          <w:rFonts w:ascii="Verdana" w:hAnsi="Verdana"/>
          <w:sz w:val="20"/>
          <w:szCs w:val="20"/>
          <w:lang w:val="en-US"/>
        </w:rPr>
        <w:t xml:space="preserve"> </w:t>
      </w:r>
    </w:p>
    <w:p w14:paraId="3E939960" w14:textId="43296804" w:rsidR="00F83E8F" w:rsidRPr="00D869E3" w:rsidRDefault="0002779D" w:rsidP="00E70701">
      <w:pPr>
        <w:pStyle w:val="Prrafodelista"/>
        <w:numPr>
          <w:ilvl w:val="0"/>
          <w:numId w:val="28"/>
        </w:numPr>
        <w:ind w:left="0" w:firstLine="0"/>
        <w:jc w:val="both"/>
        <w:rPr>
          <w:rFonts w:ascii="Verdana" w:hAnsi="Verdana"/>
          <w:sz w:val="20"/>
          <w:szCs w:val="20"/>
          <w:lang w:val="en-US"/>
        </w:rPr>
      </w:pPr>
      <w:r w:rsidRPr="00D869E3">
        <w:rPr>
          <w:rFonts w:ascii="Verdana" w:hAnsi="Verdana"/>
          <w:sz w:val="20"/>
          <w:szCs w:val="20"/>
          <w:lang w:val="en-US"/>
        </w:rPr>
        <w:t xml:space="preserve">At this historic moment of </w:t>
      </w:r>
      <w:r w:rsidR="00671B14" w:rsidRPr="00D869E3">
        <w:rPr>
          <w:rFonts w:ascii="Verdana" w:hAnsi="Verdana"/>
          <w:sz w:val="20"/>
          <w:szCs w:val="20"/>
          <w:lang w:val="en-US"/>
        </w:rPr>
        <w:t>the Inter-American Court</w:t>
      </w:r>
      <w:r w:rsidRPr="00D869E3">
        <w:rPr>
          <w:rFonts w:ascii="Verdana" w:hAnsi="Verdana"/>
          <w:sz w:val="20"/>
          <w:szCs w:val="20"/>
          <w:lang w:val="en-US"/>
        </w:rPr>
        <w:t>’s case law</w:t>
      </w:r>
      <w:r w:rsidR="00F83E8F" w:rsidRPr="00D869E3">
        <w:rPr>
          <w:rFonts w:ascii="Verdana" w:hAnsi="Verdana"/>
          <w:sz w:val="20"/>
          <w:szCs w:val="20"/>
          <w:lang w:val="en-US"/>
        </w:rPr>
        <w:t>,</w:t>
      </w:r>
      <w:r w:rsidRPr="00D869E3">
        <w:rPr>
          <w:rFonts w:ascii="Verdana" w:hAnsi="Verdana"/>
          <w:sz w:val="20"/>
          <w:szCs w:val="20"/>
          <w:lang w:val="en-US"/>
        </w:rPr>
        <w:t xml:space="preserve"> it is essential that the parties </w:t>
      </w:r>
      <w:r w:rsidR="00687684" w:rsidRPr="00D869E3">
        <w:rPr>
          <w:rFonts w:ascii="Verdana" w:hAnsi="Verdana"/>
          <w:sz w:val="20"/>
          <w:szCs w:val="20"/>
          <w:lang w:val="en-US"/>
        </w:rPr>
        <w:t xml:space="preserve">and </w:t>
      </w:r>
      <w:r w:rsidR="00447C65" w:rsidRPr="00D869E3">
        <w:rPr>
          <w:rFonts w:ascii="Verdana" w:hAnsi="Verdana"/>
          <w:sz w:val="20"/>
          <w:szCs w:val="20"/>
          <w:lang w:val="en-US"/>
        </w:rPr>
        <w:t>the Inter-American Commission</w:t>
      </w:r>
      <w:r w:rsidR="00F83E8F" w:rsidRPr="00D869E3">
        <w:rPr>
          <w:rFonts w:ascii="Verdana" w:hAnsi="Verdana"/>
          <w:sz w:val="20"/>
          <w:szCs w:val="20"/>
          <w:lang w:val="en-US"/>
        </w:rPr>
        <w:t xml:space="preserve"> </w:t>
      </w:r>
      <w:r w:rsidRPr="00D869E3">
        <w:rPr>
          <w:rFonts w:ascii="Verdana" w:hAnsi="Verdana"/>
          <w:sz w:val="20"/>
          <w:szCs w:val="20"/>
          <w:lang w:val="en-US"/>
        </w:rPr>
        <w:t xml:space="preserve">make </w:t>
      </w:r>
      <w:r w:rsidR="00671B14" w:rsidRPr="00D869E3">
        <w:rPr>
          <w:rFonts w:ascii="Verdana" w:hAnsi="Verdana"/>
          <w:sz w:val="20"/>
          <w:szCs w:val="20"/>
          <w:lang w:val="en-US"/>
        </w:rPr>
        <w:t>the ESCER</w:t>
      </w:r>
      <w:r w:rsidRPr="00D869E3">
        <w:rPr>
          <w:rFonts w:ascii="Verdana" w:hAnsi="Verdana"/>
          <w:sz w:val="20"/>
          <w:szCs w:val="20"/>
          <w:lang w:val="en-US"/>
        </w:rPr>
        <w:t xml:space="preserve"> that </w:t>
      </w:r>
      <w:r w:rsidR="00F736F6" w:rsidRPr="00D869E3">
        <w:rPr>
          <w:rFonts w:ascii="Verdana" w:hAnsi="Verdana"/>
          <w:sz w:val="20"/>
          <w:szCs w:val="20"/>
          <w:lang w:val="en-US"/>
        </w:rPr>
        <w:t>can</w:t>
      </w:r>
      <w:r w:rsidRPr="00D869E3">
        <w:rPr>
          <w:rFonts w:ascii="Verdana" w:hAnsi="Verdana"/>
          <w:sz w:val="20"/>
          <w:szCs w:val="20"/>
          <w:lang w:val="en-US"/>
        </w:rPr>
        <w:t xml:space="preserve"> be protected</w:t>
      </w:r>
      <w:r w:rsidR="00F83E8F" w:rsidRPr="00D869E3">
        <w:rPr>
          <w:rFonts w:ascii="Verdana" w:hAnsi="Verdana"/>
          <w:sz w:val="20"/>
          <w:szCs w:val="20"/>
          <w:lang w:val="en-US"/>
        </w:rPr>
        <w:t xml:space="preserve"> </w:t>
      </w:r>
      <w:r w:rsidR="00966115" w:rsidRPr="00D869E3">
        <w:rPr>
          <w:rFonts w:ascii="Verdana" w:hAnsi="Verdana"/>
          <w:sz w:val="20"/>
          <w:szCs w:val="20"/>
          <w:lang w:val="en-US"/>
        </w:rPr>
        <w:t>b</w:t>
      </w:r>
      <w:r w:rsidRPr="00D869E3">
        <w:rPr>
          <w:rFonts w:ascii="Verdana" w:hAnsi="Verdana"/>
          <w:sz w:val="20"/>
          <w:szCs w:val="20"/>
          <w:lang w:val="en-US"/>
        </w:rPr>
        <w:t>y</w:t>
      </w:r>
      <w:r w:rsidR="00966115" w:rsidRPr="00D869E3">
        <w:rPr>
          <w:rFonts w:ascii="Verdana" w:hAnsi="Verdana"/>
          <w:sz w:val="20"/>
          <w:szCs w:val="20"/>
          <w:lang w:val="en-US"/>
        </w:rPr>
        <w:t xml:space="preserve"> the</w:t>
      </w:r>
      <w:r w:rsidR="00671B14" w:rsidRPr="00D869E3">
        <w:rPr>
          <w:rFonts w:ascii="Verdana" w:hAnsi="Verdana"/>
          <w:sz w:val="20"/>
          <w:szCs w:val="20"/>
          <w:lang w:val="en-US"/>
        </w:rPr>
        <w:t xml:space="preserve"> inter-American system</w:t>
      </w:r>
      <w:r w:rsidRPr="00D869E3">
        <w:rPr>
          <w:rFonts w:ascii="Verdana" w:hAnsi="Verdana"/>
          <w:sz w:val="20"/>
          <w:szCs w:val="20"/>
          <w:lang w:val="en-US"/>
        </w:rPr>
        <w:t xml:space="preserve"> more visible</w:t>
      </w:r>
      <w:r w:rsidR="00F83E8F" w:rsidRPr="00D869E3">
        <w:rPr>
          <w:rFonts w:ascii="Verdana" w:hAnsi="Verdana"/>
          <w:sz w:val="20"/>
          <w:szCs w:val="20"/>
          <w:lang w:val="en-US"/>
        </w:rPr>
        <w:t xml:space="preserve">, </w:t>
      </w:r>
      <w:r w:rsidRPr="00D869E3">
        <w:rPr>
          <w:rFonts w:ascii="Verdana" w:hAnsi="Verdana"/>
          <w:sz w:val="20"/>
          <w:szCs w:val="20"/>
          <w:lang w:val="en-US"/>
        </w:rPr>
        <w:t xml:space="preserve">by specific arguments concerning the violation </w:t>
      </w:r>
      <w:r w:rsidR="00EA232B" w:rsidRPr="00D869E3">
        <w:rPr>
          <w:rFonts w:ascii="Verdana" w:hAnsi="Verdana"/>
          <w:sz w:val="20"/>
          <w:szCs w:val="20"/>
          <w:lang w:val="en-US"/>
        </w:rPr>
        <w:t>of the</w:t>
      </w:r>
      <w:r w:rsidRPr="00D869E3">
        <w:rPr>
          <w:rFonts w:ascii="Verdana" w:hAnsi="Verdana"/>
          <w:sz w:val="20"/>
          <w:szCs w:val="20"/>
          <w:lang w:val="en-US"/>
        </w:rPr>
        <w:t xml:space="preserve"> inter-American</w:t>
      </w:r>
      <w:r w:rsidR="00EA232B" w:rsidRPr="00D869E3">
        <w:rPr>
          <w:rFonts w:ascii="Verdana" w:hAnsi="Verdana"/>
          <w:sz w:val="20"/>
          <w:szCs w:val="20"/>
          <w:lang w:val="en-US"/>
        </w:rPr>
        <w:t xml:space="preserve"> </w:t>
      </w:r>
      <w:r w:rsidR="00170AA6" w:rsidRPr="00D869E3">
        <w:rPr>
          <w:rFonts w:ascii="Verdana" w:hAnsi="Verdana"/>
          <w:sz w:val="20"/>
          <w:szCs w:val="20"/>
          <w:lang w:val="en-US"/>
        </w:rPr>
        <w:t>social rights</w:t>
      </w:r>
      <w:r w:rsidR="00F83E8F" w:rsidRPr="00D869E3">
        <w:rPr>
          <w:rFonts w:ascii="Verdana" w:hAnsi="Verdana"/>
          <w:sz w:val="20"/>
          <w:szCs w:val="20"/>
          <w:lang w:val="en-US"/>
        </w:rPr>
        <w:t xml:space="preserve"> </w:t>
      </w:r>
      <w:r w:rsidRPr="00D869E3">
        <w:rPr>
          <w:rFonts w:ascii="Verdana" w:hAnsi="Verdana"/>
          <w:sz w:val="20"/>
          <w:szCs w:val="20"/>
          <w:lang w:val="en-US"/>
        </w:rPr>
        <w:t>contained in</w:t>
      </w:r>
      <w:r w:rsidR="00F83E8F" w:rsidRPr="00D869E3">
        <w:rPr>
          <w:rFonts w:ascii="Verdana" w:hAnsi="Verdana"/>
          <w:sz w:val="20"/>
          <w:szCs w:val="20"/>
          <w:lang w:val="en-US"/>
        </w:rPr>
        <w:t xml:space="preserve"> </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 26 </w:t>
      </w:r>
      <w:r w:rsidR="00671B14" w:rsidRPr="00D869E3">
        <w:rPr>
          <w:rFonts w:ascii="Verdana" w:hAnsi="Verdana"/>
          <w:sz w:val="20"/>
          <w:szCs w:val="20"/>
          <w:lang w:val="en-US"/>
        </w:rPr>
        <w:t>of the Pact of San José</w:t>
      </w:r>
      <w:r w:rsidR="00F83E8F" w:rsidRPr="00D869E3">
        <w:rPr>
          <w:rFonts w:ascii="Verdana" w:hAnsi="Verdana"/>
          <w:sz w:val="20"/>
          <w:szCs w:val="20"/>
          <w:lang w:val="en-US"/>
        </w:rPr>
        <w:t xml:space="preserve">. </w:t>
      </w:r>
      <w:r w:rsidR="00C45D6A" w:rsidRPr="00D869E3">
        <w:rPr>
          <w:rFonts w:ascii="Verdana" w:hAnsi="Verdana"/>
          <w:sz w:val="20"/>
          <w:szCs w:val="20"/>
          <w:lang w:val="en-US"/>
        </w:rPr>
        <w:t>Nowadays,</w:t>
      </w:r>
      <w:r w:rsidR="00F83E8F" w:rsidRPr="00D869E3">
        <w:rPr>
          <w:rFonts w:ascii="Verdana" w:hAnsi="Verdana"/>
          <w:sz w:val="20"/>
          <w:szCs w:val="20"/>
          <w:lang w:val="en-US"/>
        </w:rPr>
        <w:t xml:space="preserve"> </w:t>
      </w:r>
      <w:r w:rsidR="00170AA6" w:rsidRPr="00D869E3">
        <w:rPr>
          <w:rFonts w:ascii="Verdana" w:hAnsi="Verdana"/>
          <w:sz w:val="20"/>
          <w:szCs w:val="20"/>
          <w:lang w:val="en-US"/>
        </w:rPr>
        <w:t>the social rights</w:t>
      </w:r>
      <w:r w:rsidR="00F83E8F" w:rsidRPr="00D869E3">
        <w:rPr>
          <w:rFonts w:ascii="Verdana" w:hAnsi="Verdana"/>
          <w:sz w:val="20"/>
          <w:szCs w:val="20"/>
          <w:lang w:val="en-US"/>
        </w:rPr>
        <w:t xml:space="preserve"> </w:t>
      </w:r>
      <w:r w:rsidR="00C45D6A" w:rsidRPr="00D869E3">
        <w:rPr>
          <w:rFonts w:ascii="Verdana" w:hAnsi="Verdana"/>
          <w:sz w:val="20"/>
          <w:szCs w:val="20"/>
          <w:lang w:val="en-US"/>
        </w:rPr>
        <w:t>are no longer “good intention” rights established in international instrument, but are enforceable before the competent instances.</w:t>
      </w:r>
      <w:r w:rsidR="00F83E8F" w:rsidRPr="00D869E3">
        <w:rPr>
          <w:rStyle w:val="Refdenotaalpie"/>
          <w:szCs w:val="20"/>
          <w:lang w:val="en-US"/>
        </w:rPr>
        <w:footnoteReference w:id="359"/>
      </w:r>
      <w:r w:rsidR="00C45D6A" w:rsidRPr="00D869E3">
        <w:rPr>
          <w:rFonts w:ascii="Verdana" w:hAnsi="Verdana"/>
          <w:sz w:val="20"/>
          <w:szCs w:val="20"/>
          <w:lang w:val="en-US"/>
        </w:rPr>
        <w:t xml:space="preserve"> This charts a new course for </w:t>
      </w:r>
      <w:r w:rsidR="00671B14" w:rsidRPr="00D869E3">
        <w:rPr>
          <w:rFonts w:ascii="Verdana" w:hAnsi="Verdana"/>
          <w:sz w:val="20"/>
          <w:szCs w:val="20"/>
          <w:lang w:val="en-US"/>
        </w:rPr>
        <w:t>the inter-American system</w:t>
      </w:r>
      <w:r w:rsidR="00C876C4" w:rsidRPr="00D869E3">
        <w:rPr>
          <w:rFonts w:ascii="Verdana" w:hAnsi="Verdana"/>
          <w:sz w:val="20"/>
          <w:szCs w:val="20"/>
          <w:lang w:val="en-US"/>
        </w:rPr>
        <w:t>.</w:t>
      </w:r>
      <w:r w:rsidR="00F83E8F" w:rsidRPr="00D869E3">
        <w:rPr>
          <w:rStyle w:val="Refdenotaalpie"/>
          <w:szCs w:val="20"/>
          <w:lang w:val="en-US"/>
        </w:rPr>
        <w:footnoteReference w:id="360"/>
      </w:r>
      <w:r w:rsidR="00F83E8F" w:rsidRPr="00D869E3">
        <w:rPr>
          <w:rFonts w:ascii="Verdana" w:hAnsi="Verdana"/>
          <w:sz w:val="20"/>
          <w:szCs w:val="20"/>
          <w:lang w:val="en-US"/>
        </w:rPr>
        <w:t xml:space="preserve"> </w:t>
      </w:r>
    </w:p>
    <w:p w14:paraId="3F6FC474" w14:textId="77777777" w:rsidR="00F83E8F" w:rsidRPr="00D869E3" w:rsidRDefault="00F83E8F" w:rsidP="00F83E8F">
      <w:pPr>
        <w:pStyle w:val="Prrafodelista"/>
        <w:ind w:left="0"/>
        <w:jc w:val="both"/>
        <w:rPr>
          <w:rFonts w:ascii="Verdana" w:hAnsi="Verdana"/>
          <w:sz w:val="20"/>
          <w:szCs w:val="20"/>
          <w:lang w:val="en-US"/>
        </w:rPr>
      </w:pPr>
    </w:p>
    <w:p w14:paraId="3DD0620B" w14:textId="52D623BD" w:rsidR="00F83E8F" w:rsidRPr="00D869E3" w:rsidRDefault="00964F4E" w:rsidP="00E70701">
      <w:pPr>
        <w:pStyle w:val="Prrafodelista"/>
        <w:numPr>
          <w:ilvl w:val="0"/>
          <w:numId w:val="28"/>
        </w:numPr>
        <w:ind w:left="0" w:firstLine="0"/>
        <w:jc w:val="both"/>
        <w:rPr>
          <w:rFonts w:ascii="Verdana" w:hAnsi="Verdana" w:cs="Calibri"/>
          <w:sz w:val="32"/>
          <w:szCs w:val="32"/>
          <w:lang w:val="en-US"/>
        </w:rPr>
      </w:pPr>
      <w:r w:rsidRPr="00D869E3">
        <w:rPr>
          <w:rFonts w:ascii="Verdana" w:hAnsi="Verdana"/>
          <w:sz w:val="20"/>
          <w:szCs w:val="20"/>
          <w:lang w:val="en-US"/>
        </w:rPr>
        <w:t>Thus, the intention of this separate opinion is, on the one hand, to stress the important advance that this judgment ma</w:t>
      </w:r>
      <w:r w:rsidR="00F736F6" w:rsidRPr="00D869E3">
        <w:rPr>
          <w:rFonts w:ascii="Verdana" w:hAnsi="Verdana"/>
          <w:sz w:val="20"/>
          <w:szCs w:val="20"/>
          <w:lang w:val="en-US"/>
        </w:rPr>
        <w:t>k</w:t>
      </w:r>
      <w:r w:rsidRPr="00D869E3">
        <w:rPr>
          <w:rFonts w:ascii="Verdana" w:hAnsi="Verdana"/>
          <w:sz w:val="20"/>
          <w:szCs w:val="20"/>
          <w:lang w:val="en-US"/>
        </w:rPr>
        <w:t xml:space="preserve">es in case law within </w:t>
      </w:r>
      <w:r w:rsidR="00EA232B" w:rsidRPr="00D869E3">
        <w:rPr>
          <w:rFonts w:ascii="Verdana" w:hAnsi="Verdana"/>
          <w:sz w:val="20"/>
          <w:szCs w:val="20"/>
          <w:lang w:val="en-US"/>
        </w:rPr>
        <w:t xml:space="preserve">the </w:t>
      </w:r>
      <w:r w:rsidR="00671B14" w:rsidRPr="00D869E3">
        <w:rPr>
          <w:rFonts w:ascii="Verdana" w:hAnsi="Verdana"/>
          <w:sz w:val="20"/>
          <w:szCs w:val="20"/>
          <w:lang w:val="en-US"/>
        </w:rPr>
        <w:t>inter-American system</w:t>
      </w:r>
      <w:r w:rsidRPr="00D869E3">
        <w:rPr>
          <w:rFonts w:ascii="Verdana" w:hAnsi="Verdana"/>
          <w:sz w:val="20"/>
          <w:szCs w:val="20"/>
          <w:lang w:val="en-US"/>
        </w:rPr>
        <w:t xml:space="preserve"> by according direct justiciability to </w:t>
      </w:r>
      <w:r w:rsidR="00671B14" w:rsidRPr="00D869E3">
        <w:rPr>
          <w:rFonts w:ascii="Verdana" w:hAnsi="Verdana"/>
          <w:sz w:val="20"/>
          <w:szCs w:val="20"/>
          <w:lang w:val="en-US"/>
        </w:rPr>
        <w:t>the ESCER</w:t>
      </w:r>
      <w:r w:rsidRPr="00D869E3">
        <w:rPr>
          <w:rFonts w:ascii="Verdana" w:hAnsi="Verdana"/>
          <w:sz w:val="20"/>
          <w:szCs w:val="20"/>
          <w:lang w:val="en-US"/>
        </w:rPr>
        <w:t xml:space="preserve"> and, on the other, to clarify the scope, differences and synergy between </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 16</w:t>
      </w:r>
      <w:r w:rsidR="00447C65" w:rsidRPr="00D869E3">
        <w:rPr>
          <w:rFonts w:ascii="Verdana" w:hAnsi="Verdana"/>
          <w:sz w:val="20"/>
          <w:szCs w:val="20"/>
          <w:lang w:val="en-US"/>
        </w:rPr>
        <w:t xml:space="preserve"> of the American Convention</w:t>
      </w:r>
      <w:r w:rsidR="00F83E8F" w:rsidRPr="00D869E3">
        <w:rPr>
          <w:rFonts w:ascii="Verdana" w:hAnsi="Verdana"/>
          <w:sz w:val="20"/>
          <w:szCs w:val="20"/>
          <w:lang w:val="en-US"/>
        </w:rPr>
        <w:t xml:space="preserve"> </w:t>
      </w:r>
      <w:r w:rsidRPr="00D869E3">
        <w:rPr>
          <w:rFonts w:ascii="Verdana" w:hAnsi="Verdana"/>
          <w:sz w:val="20"/>
          <w:szCs w:val="20"/>
          <w:lang w:val="en-US"/>
        </w:rPr>
        <w:t xml:space="preserve">which protects freedom of association </w:t>
      </w:r>
      <w:r w:rsidR="00F83E8F" w:rsidRPr="00D869E3">
        <w:rPr>
          <w:rFonts w:ascii="Verdana" w:hAnsi="Verdana"/>
          <w:sz w:val="20"/>
          <w:szCs w:val="20"/>
          <w:lang w:val="en-US"/>
        </w:rPr>
        <w:t>(</w:t>
      </w:r>
      <w:r w:rsidR="00F83E8F" w:rsidRPr="00D869E3">
        <w:rPr>
          <w:rFonts w:ascii="Verdana" w:hAnsi="Verdana"/>
          <w:i/>
          <w:sz w:val="20"/>
          <w:szCs w:val="20"/>
          <w:lang w:val="en-US"/>
        </w:rPr>
        <w:t>lato sensu</w:t>
      </w:r>
      <w:r w:rsidR="00F83E8F" w:rsidRPr="00D869E3">
        <w:rPr>
          <w:rFonts w:ascii="Verdana" w:hAnsi="Verdana"/>
          <w:sz w:val="20"/>
          <w:szCs w:val="20"/>
          <w:lang w:val="en-US"/>
        </w:rPr>
        <w:t>)</w:t>
      </w:r>
      <w:r w:rsidR="00687684" w:rsidRPr="00D869E3">
        <w:rPr>
          <w:rFonts w:ascii="Verdana" w:hAnsi="Verdana"/>
          <w:sz w:val="20"/>
          <w:szCs w:val="20"/>
          <w:lang w:val="en-US"/>
        </w:rPr>
        <w:t xml:space="preserve"> and </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 26 </w:t>
      </w:r>
      <w:r w:rsidRPr="00D869E3">
        <w:rPr>
          <w:rFonts w:ascii="Verdana" w:hAnsi="Verdana"/>
          <w:sz w:val="20"/>
          <w:szCs w:val="20"/>
          <w:lang w:val="en-US"/>
        </w:rPr>
        <w:t xml:space="preserve">of this instrument as a provision that protects freedom of association for labor purposes </w:t>
      </w:r>
      <w:r w:rsidR="00F83E8F" w:rsidRPr="00D869E3">
        <w:rPr>
          <w:rFonts w:ascii="Verdana" w:hAnsi="Verdana"/>
          <w:sz w:val="20"/>
          <w:szCs w:val="20"/>
          <w:lang w:val="en-US"/>
        </w:rPr>
        <w:t>(</w:t>
      </w:r>
      <w:r w:rsidR="00F83E8F" w:rsidRPr="00D869E3">
        <w:rPr>
          <w:rFonts w:ascii="Verdana" w:hAnsi="Verdana"/>
          <w:i/>
          <w:sz w:val="20"/>
          <w:szCs w:val="20"/>
          <w:lang w:val="en-US"/>
        </w:rPr>
        <w:t>stricto sensu</w:t>
      </w:r>
      <w:r w:rsidR="00F83E8F" w:rsidRPr="00D869E3">
        <w:rPr>
          <w:rFonts w:ascii="Verdana" w:hAnsi="Verdana"/>
          <w:sz w:val="20"/>
          <w:szCs w:val="20"/>
          <w:lang w:val="en-US"/>
        </w:rPr>
        <w:t xml:space="preserve">), </w:t>
      </w:r>
      <w:r w:rsidRPr="00D869E3">
        <w:rPr>
          <w:rFonts w:ascii="Verdana" w:hAnsi="Verdana"/>
          <w:sz w:val="20"/>
          <w:szCs w:val="20"/>
          <w:lang w:val="en-US"/>
        </w:rPr>
        <w:t>based on the provisions established in</w:t>
      </w:r>
      <w:r w:rsidR="00F83E8F" w:rsidRPr="00D869E3">
        <w:rPr>
          <w:rFonts w:ascii="Verdana" w:hAnsi="Verdana"/>
          <w:sz w:val="20"/>
          <w:szCs w:val="20"/>
          <w:lang w:val="en-US"/>
        </w:rPr>
        <w:t xml:space="preserve"> </w:t>
      </w:r>
      <w:r w:rsidR="00447C65" w:rsidRPr="00D869E3">
        <w:rPr>
          <w:rFonts w:ascii="Verdana" w:hAnsi="Verdana"/>
          <w:sz w:val="20"/>
          <w:szCs w:val="20"/>
          <w:lang w:val="en-US"/>
        </w:rPr>
        <w:t>Article</w:t>
      </w:r>
      <w:r w:rsidR="00F83E8F" w:rsidRPr="00D869E3">
        <w:rPr>
          <w:rFonts w:ascii="Verdana" w:hAnsi="Verdana"/>
          <w:sz w:val="20"/>
          <w:szCs w:val="20"/>
          <w:lang w:val="en-US"/>
        </w:rPr>
        <w:t xml:space="preserve"> 45</w:t>
      </w:r>
      <w:r w:rsidRPr="00D869E3">
        <w:rPr>
          <w:rFonts w:ascii="Verdana" w:hAnsi="Verdana"/>
          <w:sz w:val="20"/>
          <w:szCs w:val="20"/>
          <w:lang w:val="en-US"/>
        </w:rPr>
        <w:t>(</w:t>
      </w:r>
      <w:r w:rsidR="00F83E8F" w:rsidRPr="00D869E3">
        <w:rPr>
          <w:rFonts w:ascii="Verdana" w:hAnsi="Verdana"/>
          <w:sz w:val="20"/>
          <w:szCs w:val="20"/>
          <w:lang w:val="en-US"/>
        </w:rPr>
        <w:t xml:space="preserve">c) </w:t>
      </w:r>
      <w:r w:rsidR="00197983" w:rsidRPr="00D869E3">
        <w:rPr>
          <w:rFonts w:ascii="Verdana" w:hAnsi="Verdana"/>
          <w:sz w:val="20"/>
          <w:szCs w:val="20"/>
          <w:lang w:val="en-US"/>
        </w:rPr>
        <w:t>of the OAS Charter</w:t>
      </w:r>
      <w:r w:rsidR="00F83E8F" w:rsidRPr="00D869E3">
        <w:rPr>
          <w:rFonts w:ascii="Verdana" w:hAnsi="Verdana"/>
          <w:sz w:val="20"/>
          <w:szCs w:val="20"/>
          <w:lang w:val="en-US"/>
        </w:rPr>
        <w:t xml:space="preserve">. </w:t>
      </w:r>
    </w:p>
    <w:p w14:paraId="7E4E19E8" w14:textId="77777777" w:rsidR="00F83E8F" w:rsidRPr="00D869E3" w:rsidRDefault="00F83E8F" w:rsidP="00F83E8F">
      <w:pPr>
        <w:pStyle w:val="Prrafodelista"/>
        <w:ind w:left="0"/>
        <w:jc w:val="both"/>
        <w:rPr>
          <w:rFonts w:ascii="Verdana" w:hAnsi="Verdana" w:cs="Calibri"/>
          <w:sz w:val="20"/>
          <w:szCs w:val="20"/>
          <w:lang w:val="en-US"/>
        </w:rPr>
      </w:pPr>
    </w:p>
    <w:p w14:paraId="1544D84A" w14:textId="07741A3A" w:rsidR="00F83E8F" w:rsidRPr="00D869E3" w:rsidRDefault="009A0BC3" w:rsidP="009A0BC3">
      <w:pPr>
        <w:pStyle w:val="Prrafodelista"/>
        <w:numPr>
          <w:ilvl w:val="0"/>
          <w:numId w:val="28"/>
        </w:numPr>
        <w:ind w:left="0" w:firstLine="0"/>
        <w:jc w:val="both"/>
        <w:rPr>
          <w:rFonts w:ascii="Verdana" w:hAnsi="Verdana" w:cs="Calibri"/>
          <w:sz w:val="32"/>
          <w:szCs w:val="32"/>
          <w:lang w:val="en-US"/>
        </w:rPr>
      </w:pPr>
      <w:r w:rsidRPr="00D869E3">
        <w:rPr>
          <w:rFonts w:ascii="Verdana" w:hAnsi="Verdana"/>
          <w:sz w:val="20"/>
          <w:szCs w:val="20"/>
          <w:lang w:val="en-US"/>
        </w:rPr>
        <w:t xml:space="preserve">Thus, the progress made in the case of </w:t>
      </w:r>
      <w:r w:rsidR="00F83E8F" w:rsidRPr="00D869E3">
        <w:rPr>
          <w:rFonts w:ascii="Verdana" w:hAnsi="Verdana"/>
          <w:i/>
          <w:sz w:val="20"/>
          <w:szCs w:val="20"/>
          <w:lang w:val="en-US"/>
        </w:rPr>
        <w:t xml:space="preserve">Lagos del Campo </w:t>
      </w:r>
      <w:r w:rsidRPr="00D869E3">
        <w:rPr>
          <w:rFonts w:ascii="Verdana" w:hAnsi="Verdana"/>
          <w:sz w:val="20"/>
          <w:szCs w:val="20"/>
          <w:lang w:val="en-US"/>
        </w:rPr>
        <w:t>in the area of</w:t>
      </w:r>
      <w:r w:rsidR="00A157F5" w:rsidRPr="00D869E3">
        <w:rPr>
          <w:rFonts w:ascii="Verdana" w:hAnsi="Verdana"/>
          <w:sz w:val="20"/>
          <w:szCs w:val="20"/>
          <w:lang w:val="en-US"/>
        </w:rPr>
        <w:t xml:space="preserve"> the </w:t>
      </w:r>
      <w:r w:rsidR="00301DBE" w:rsidRPr="00D869E3">
        <w:rPr>
          <w:rFonts w:ascii="Verdana" w:hAnsi="Verdana"/>
          <w:sz w:val="20"/>
          <w:szCs w:val="20"/>
          <w:lang w:val="en-US"/>
        </w:rPr>
        <w:t>right to work</w:t>
      </w:r>
      <w:r w:rsidR="00F83E8F" w:rsidRPr="00D869E3">
        <w:rPr>
          <w:rFonts w:ascii="Verdana" w:hAnsi="Verdana"/>
          <w:sz w:val="20"/>
          <w:szCs w:val="20"/>
          <w:lang w:val="en-US"/>
        </w:rPr>
        <w:t xml:space="preserve"> (</w:t>
      </w:r>
      <w:r w:rsidR="00065A47" w:rsidRPr="00D869E3">
        <w:rPr>
          <w:rFonts w:ascii="Verdana" w:hAnsi="Verdana"/>
          <w:sz w:val="20"/>
          <w:szCs w:val="20"/>
          <w:lang w:val="en-US"/>
        </w:rPr>
        <w:t xml:space="preserve">job security </w:t>
      </w:r>
      <w:r w:rsidRPr="00D869E3">
        <w:rPr>
          <w:rFonts w:ascii="Verdana" w:hAnsi="Verdana"/>
          <w:sz w:val="20"/>
          <w:szCs w:val="20"/>
          <w:lang w:val="en-US"/>
        </w:rPr>
        <w:t xml:space="preserve">and freedom of association) </w:t>
      </w:r>
      <w:r w:rsidR="00687684" w:rsidRPr="00D869E3">
        <w:rPr>
          <w:rFonts w:ascii="Verdana" w:hAnsi="Verdana"/>
          <w:sz w:val="20"/>
          <w:szCs w:val="20"/>
          <w:lang w:val="en-US"/>
        </w:rPr>
        <w:t xml:space="preserve">and </w:t>
      </w:r>
      <w:r w:rsidR="00B235CB" w:rsidRPr="00D869E3">
        <w:rPr>
          <w:rFonts w:ascii="Verdana" w:hAnsi="Verdana"/>
          <w:sz w:val="20"/>
          <w:szCs w:val="20"/>
          <w:lang w:val="en-US"/>
        </w:rPr>
        <w:t xml:space="preserve">in the </w:t>
      </w:r>
      <w:r w:rsidRPr="00D869E3">
        <w:rPr>
          <w:rFonts w:ascii="Verdana" w:hAnsi="Verdana"/>
          <w:sz w:val="20"/>
          <w:szCs w:val="20"/>
          <w:lang w:val="en-US"/>
        </w:rPr>
        <w:t>a</w:t>
      </w:r>
      <w:r w:rsidR="00B235CB" w:rsidRPr="00D869E3">
        <w:rPr>
          <w:rFonts w:ascii="Verdana" w:hAnsi="Verdana"/>
          <w:sz w:val="20"/>
          <w:szCs w:val="20"/>
          <w:lang w:val="en-US"/>
        </w:rPr>
        <w:t>rea of</w:t>
      </w:r>
      <w:r w:rsidR="00F83E8F" w:rsidRPr="00D869E3">
        <w:rPr>
          <w:rFonts w:ascii="Verdana" w:hAnsi="Verdana"/>
          <w:sz w:val="20"/>
          <w:szCs w:val="20"/>
          <w:lang w:val="en-US"/>
        </w:rPr>
        <w:t xml:space="preserve"> </w:t>
      </w:r>
      <w:r w:rsidRPr="00D869E3">
        <w:rPr>
          <w:rFonts w:ascii="Verdana" w:hAnsi="Verdana"/>
          <w:sz w:val="20"/>
          <w:szCs w:val="20"/>
          <w:lang w:val="en-US"/>
        </w:rPr>
        <w:t xml:space="preserve">the protection and guarantee </w:t>
      </w:r>
      <w:r w:rsidR="00EA232B" w:rsidRPr="00D869E3">
        <w:rPr>
          <w:rFonts w:ascii="Verdana" w:hAnsi="Verdana"/>
          <w:sz w:val="20"/>
          <w:szCs w:val="20"/>
          <w:lang w:val="en-US"/>
        </w:rPr>
        <w:t xml:space="preserve">of the </w:t>
      </w:r>
      <w:r w:rsidR="00671B14" w:rsidRPr="00D869E3">
        <w:rPr>
          <w:rFonts w:ascii="Verdana" w:hAnsi="Verdana"/>
          <w:sz w:val="20"/>
          <w:szCs w:val="20"/>
          <w:lang w:val="en-US"/>
        </w:rPr>
        <w:lastRenderedPageBreak/>
        <w:t>ESCER</w:t>
      </w:r>
      <w:r w:rsidR="00F83E8F" w:rsidRPr="00D869E3">
        <w:rPr>
          <w:rFonts w:ascii="Verdana" w:hAnsi="Verdana"/>
          <w:sz w:val="20"/>
          <w:szCs w:val="20"/>
          <w:lang w:val="en-US"/>
        </w:rPr>
        <w:t xml:space="preserve"> </w:t>
      </w:r>
      <w:r w:rsidRPr="00D869E3">
        <w:rPr>
          <w:rFonts w:ascii="Verdana" w:hAnsi="Verdana"/>
          <w:sz w:val="20"/>
          <w:szCs w:val="20"/>
          <w:lang w:val="en-US"/>
        </w:rPr>
        <w:t xml:space="preserve">directly and by a comprehensive and collective analysis of the </w:t>
      </w:r>
      <w:r w:rsidR="00881A39" w:rsidRPr="00D869E3">
        <w:rPr>
          <w:rFonts w:ascii="Verdana" w:hAnsi="Verdana"/>
          <w:sz w:val="20"/>
          <w:szCs w:val="20"/>
          <w:lang w:val="en-US"/>
        </w:rPr>
        <w:t>rights</w:t>
      </w:r>
      <w:r w:rsidR="00F83E8F" w:rsidRPr="00D869E3">
        <w:rPr>
          <w:rFonts w:ascii="Verdana" w:hAnsi="Verdana"/>
          <w:sz w:val="20"/>
          <w:szCs w:val="20"/>
          <w:lang w:val="en-US"/>
        </w:rPr>
        <w:t xml:space="preserve"> (</w:t>
      </w:r>
      <w:r w:rsidR="00FC4B86" w:rsidRPr="00D869E3">
        <w:rPr>
          <w:rFonts w:ascii="Verdana" w:hAnsi="Verdana"/>
          <w:sz w:val="20"/>
          <w:szCs w:val="20"/>
          <w:lang w:val="en-US"/>
        </w:rPr>
        <w:t>economic, social, cultural and environmental</w:t>
      </w:r>
      <w:r w:rsidR="00F83E8F" w:rsidRPr="00D869E3">
        <w:rPr>
          <w:rFonts w:ascii="Verdana" w:hAnsi="Verdana"/>
          <w:sz w:val="20"/>
          <w:szCs w:val="20"/>
          <w:lang w:val="en-US"/>
        </w:rPr>
        <w:t xml:space="preserve">, </w:t>
      </w:r>
      <w:r w:rsidRPr="00D869E3">
        <w:rPr>
          <w:rFonts w:ascii="Verdana" w:hAnsi="Verdana"/>
          <w:sz w:val="20"/>
          <w:szCs w:val="20"/>
          <w:lang w:val="en-US"/>
        </w:rPr>
        <w:t>civil and political</w:t>
      </w:r>
      <w:r w:rsidR="00F83E8F" w:rsidRPr="00D869E3">
        <w:rPr>
          <w:rFonts w:ascii="Verdana" w:hAnsi="Verdana"/>
          <w:sz w:val="20"/>
          <w:szCs w:val="20"/>
          <w:lang w:val="en-US"/>
        </w:rPr>
        <w:t xml:space="preserve">), </w:t>
      </w:r>
      <w:r w:rsidRPr="00D869E3">
        <w:rPr>
          <w:rFonts w:ascii="Verdana" w:hAnsi="Verdana"/>
          <w:sz w:val="20"/>
          <w:szCs w:val="20"/>
          <w:lang w:val="en-US"/>
        </w:rPr>
        <w:t>has allowed the Court to take a historic step forward to a new era of inter-American case law. In this regard, the inter-American region is proceeding in the direction agreed by different countries of the United Nation in the 2030 Sustainable Development Agenda</w:t>
      </w:r>
      <w:r w:rsidR="00F83E8F" w:rsidRPr="00D869E3">
        <w:rPr>
          <w:rStyle w:val="Refdenotaalpie"/>
          <w:szCs w:val="20"/>
          <w:lang w:val="en-US"/>
        </w:rPr>
        <w:footnoteReference w:id="361"/>
      </w:r>
      <w:r w:rsidR="00F83E8F" w:rsidRPr="00D869E3">
        <w:rPr>
          <w:rFonts w:ascii="Verdana" w:hAnsi="Verdana"/>
          <w:sz w:val="20"/>
          <w:szCs w:val="20"/>
          <w:lang w:val="en-US"/>
        </w:rPr>
        <w:t xml:space="preserve"> (</w:t>
      </w:r>
      <w:r w:rsidRPr="00D869E3">
        <w:rPr>
          <w:rFonts w:ascii="Verdana" w:hAnsi="Verdana"/>
          <w:sz w:val="20"/>
          <w:szCs w:val="20"/>
          <w:lang w:val="en-US"/>
        </w:rPr>
        <w:t>see</w:t>
      </w:r>
      <w:r w:rsidR="00F83E8F" w:rsidRPr="00D869E3">
        <w:rPr>
          <w:rFonts w:ascii="Verdana" w:hAnsi="Verdana"/>
          <w:sz w:val="20"/>
          <w:szCs w:val="20"/>
          <w:lang w:val="en-US"/>
        </w:rPr>
        <w:t xml:space="preserve"> </w:t>
      </w:r>
      <w:r w:rsidR="00F83E8F" w:rsidRPr="00D869E3">
        <w:rPr>
          <w:rFonts w:ascii="Verdana" w:hAnsi="Verdana"/>
          <w:i/>
          <w:sz w:val="20"/>
          <w:szCs w:val="20"/>
          <w:lang w:val="en-US"/>
        </w:rPr>
        <w:t>supra</w:t>
      </w:r>
      <w:r w:rsidR="00F83E8F" w:rsidRPr="00D869E3">
        <w:rPr>
          <w:rFonts w:ascii="Verdana" w:hAnsi="Verdana"/>
          <w:sz w:val="20"/>
          <w:szCs w:val="20"/>
          <w:lang w:val="en-US"/>
        </w:rPr>
        <w:t>, p</w:t>
      </w:r>
      <w:r w:rsidRPr="00D869E3">
        <w:rPr>
          <w:rFonts w:ascii="Verdana" w:hAnsi="Verdana"/>
          <w:sz w:val="20"/>
          <w:szCs w:val="20"/>
          <w:lang w:val="en-US"/>
        </w:rPr>
        <w:t>ara.</w:t>
      </w:r>
      <w:r w:rsidR="00F83E8F" w:rsidRPr="00D869E3">
        <w:rPr>
          <w:rFonts w:ascii="Verdana" w:hAnsi="Verdana"/>
          <w:sz w:val="20"/>
          <w:szCs w:val="20"/>
          <w:lang w:val="en-US"/>
        </w:rPr>
        <w:t xml:space="preserve"> 4, </w:t>
      </w:r>
      <w:r w:rsidR="00F83E8F" w:rsidRPr="00D869E3">
        <w:rPr>
          <w:rFonts w:ascii="Verdana" w:hAnsi="Verdana"/>
          <w:i/>
          <w:sz w:val="20"/>
          <w:szCs w:val="20"/>
          <w:lang w:val="en-US"/>
        </w:rPr>
        <w:t>in fine</w:t>
      </w:r>
      <w:r w:rsidR="00F83E8F" w:rsidRPr="00D869E3">
        <w:rPr>
          <w:rFonts w:ascii="Verdana" w:hAnsi="Verdana"/>
          <w:sz w:val="20"/>
          <w:szCs w:val="20"/>
          <w:lang w:val="en-US"/>
        </w:rPr>
        <w:t xml:space="preserve">, </w:t>
      </w:r>
      <w:r w:rsidRPr="00D869E3">
        <w:rPr>
          <w:rFonts w:ascii="Verdana" w:hAnsi="Verdana"/>
          <w:sz w:val="20"/>
          <w:szCs w:val="20"/>
          <w:lang w:val="en-US"/>
        </w:rPr>
        <w:t>of this opinion</w:t>
      </w:r>
      <w:r w:rsidR="00F83E8F" w:rsidRPr="00D869E3">
        <w:rPr>
          <w:rFonts w:ascii="Verdana" w:hAnsi="Verdana"/>
          <w:sz w:val="20"/>
          <w:szCs w:val="20"/>
          <w:lang w:val="en-US"/>
        </w:rPr>
        <w:t>)</w:t>
      </w:r>
      <w:r w:rsidRPr="00D869E3">
        <w:rPr>
          <w:rFonts w:ascii="Verdana" w:hAnsi="Verdana"/>
          <w:sz w:val="20"/>
          <w:szCs w:val="20"/>
          <w:lang w:val="en-US"/>
        </w:rPr>
        <w:t>.</w:t>
      </w:r>
      <w:r w:rsidR="00F83E8F" w:rsidRPr="00D869E3">
        <w:rPr>
          <w:rStyle w:val="Refdenotaalpie"/>
          <w:szCs w:val="20"/>
          <w:lang w:val="en-US"/>
        </w:rPr>
        <w:footnoteReference w:id="362"/>
      </w:r>
      <w:r w:rsidRPr="00D869E3">
        <w:rPr>
          <w:rFonts w:ascii="Verdana" w:hAnsi="Verdana"/>
          <w:sz w:val="20"/>
          <w:szCs w:val="20"/>
          <w:lang w:val="en-US"/>
        </w:rPr>
        <w:t xml:space="preserve"> It should not be ignored, as the Economic Commission for Latin America and the Caribbean (ECLAC) has indicated, that currently, in our region, social inequality is an obstacle to sustainable development. And, in this regard – according to ECLAC – “equality of rights is […] the basic a</w:t>
      </w:r>
      <w:r w:rsidR="00F736F6" w:rsidRPr="00D869E3">
        <w:rPr>
          <w:rFonts w:ascii="Verdana" w:hAnsi="Verdana"/>
          <w:sz w:val="20"/>
          <w:szCs w:val="20"/>
          <w:lang w:val="en-US"/>
        </w:rPr>
        <w:t>x</w:t>
      </w:r>
      <w:r w:rsidRPr="00D869E3">
        <w:rPr>
          <w:rFonts w:ascii="Verdana" w:hAnsi="Verdana"/>
          <w:sz w:val="20"/>
          <w:szCs w:val="20"/>
          <w:lang w:val="en-US"/>
        </w:rPr>
        <w:t>is of equality</w:t>
      </w:r>
      <w:r w:rsidR="00F736F6" w:rsidRPr="00D869E3">
        <w:rPr>
          <w:rFonts w:ascii="Verdana" w:hAnsi="Verdana"/>
          <w:sz w:val="20"/>
          <w:szCs w:val="20"/>
          <w:lang w:val="en-US"/>
        </w:rPr>
        <w:t>,</w:t>
      </w:r>
      <w:r w:rsidRPr="00D869E3">
        <w:rPr>
          <w:rFonts w:ascii="Verdana" w:hAnsi="Verdana"/>
          <w:sz w:val="20"/>
          <w:szCs w:val="20"/>
          <w:lang w:val="en-US"/>
        </w:rPr>
        <w:t xml:space="preserve">” </w:t>
      </w:r>
      <w:r w:rsidR="00F736F6" w:rsidRPr="00D869E3">
        <w:rPr>
          <w:rFonts w:ascii="Verdana" w:hAnsi="Verdana"/>
          <w:sz w:val="20"/>
          <w:szCs w:val="20"/>
          <w:lang w:val="en-US"/>
        </w:rPr>
        <w:t>u</w:t>
      </w:r>
      <w:r w:rsidRPr="00D869E3">
        <w:rPr>
          <w:rFonts w:ascii="Verdana" w:hAnsi="Verdana"/>
          <w:sz w:val="20"/>
          <w:szCs w:val="20"/>
          <w:lang w:val="en-US"/>
        </w:rPr>
        <w:t>nderstood as the “full realization” of economic, social cultural and environmental rights.</w:t>
      </w:r>
      <w:r w:rsidR="00F83E8F" w:rsidRPr="00D869E3">
        <w:rPr>
          <w:rStyle w:val="Refdenotaalpie"/>
          <w:szCs w:val="20"/>
          <w:lang w:val="en-US"/>
        </w:rPr>
        <w:footnoteReference w:id="363"/>
      </w:r>
    </w:p>
    <w:p w14:paraId="28941CDB" w14:textId="77777777" w:rsidR="00F83E8F" w:rsidRPr="00D869E3" w:rsidRDefault="00F83E8F" w:rsidP="00F83E8F">
      <w:pPr>
        <w:pStyle w:val="Prrafodelista"/>
        <w:ind w:left="0"/>
        <w:jc w:val="both"/>
        <w:rPr>
          <w:rFonts w:ascii="Verdana" w:hAnsi="Verdana"/>
          <w:sz w:val="20"/>
          <w:szCs w:val="20"/>
          <w:lang w:val="en-US"/>
        </w:rPr>
      </w:pPr>
    </w:p>
    <w:p w14:paraId="12920574" w14:textId="6E8BB35B" w:rsidR="009A0BC3" w:rsidRPr="00D869E3" w:rsidRDefault="009A0BC3" w:rsidP="00F83E8F">
      <w:pPr>
        <w:pStyle w:val="Prrafodelista"/>
        <w:numPr>
          <w:ilvl w:val="0"/>
          <w:numId w:val="28"/>
        </w:numPr>
        <w:ind w:left="0" w:firstLine="0"/>
        <w:jc w:val="both"/>
        <w:rPr>
          <w:rFonts w:ascii="Verdana" w:hAnsi="Verdana"/>
          <w:sz w:val="20"/>
          <w:szCs w:val="20"/>
          <w:lang w:val="en-US"/>
        </w:rPr>
      </w:pPr>
      <w:r w:rsidRPr="00D869E3">
        <w:rPr>
          <w:rFonts w:ascii="Verdana" w:hAnsi="Verdana"/>
          <w:sz w:val="20"/>
          <w:szCs w:val="20"/>
          <w:lang w:val="en-US"/>
        </w:rPr>
        <w:t>This case reveals how the violation of a right classified as a social right</w:t>
      </w:r>
      <w:r w:rsidR="00F20902" w:rsidRPr="00D869E3">
        <w:rPr>
          <w:rFonts w:ascii="Verdana" w:hAnsi="Verdana"/>
          <w:sz w:val="20"/>
          <w:szCs w:val="20"/>
          <w:lang w:val="en-US"/>
        </w:rPr>
        <w:t xml:space="preserve"> does not necessarily lead to the need to evaluate progressivity or non-retrogressivity, or aspects related to the availability of resources, or legislation</w:t>
      </w:r>
      <w:r w:rsidR="008405CB" w:rsidRPr="00D869E3">
        <w:rPr>
          <w:rFonts w:ascii="Verdana" w:hAnsi="Verdana"/>
          <w:sz w:val="20"/>
          <w:szCs w:val="20"/>
          <w:lang w:val="en-US"/>
        </w:rPr>
        <w:t>,</w:t>
      </w:r>
      <w:r w:rsidR="00F20902" w:rsidRPr="00D869E3">
        <w:rPr>
          <w:rFonts w:ascii="Verdana" w:hAnsi="Verdana"/>
          <w:sz w:val="20"/>
          <w:szCs w:val="20"/>
          <w:lang w:val="en-US"/>
        </w:rPr>
        <w:t xml:space="preserve"> general regulatory frameworks or public policies. Considering that social rights are reduced to this type of analysis is to perpetuate false myths that the ESCER depend </w:t>
      </w:r>
      <w:r w:rsidR="008405CB" w:rsidRPr="00D869E3">
        <w:rPr>
          <w:rFonts w:ascii="Verdana" w:hAnsi="Verdana"/>
          <w:sz w:val="20"/>
          <w:szCs w:val="20"/>
          <w:lang w:val="en-US"/>
        </w:rPr>
        <w:t xml:space="preserve">merely </w:t>
      </w:r>
      <w:r w:rsidR="00F20902" w:rsidRPr="00D869E3">
        <w:rPr>
          <w:rFonts w:ascii="Verdana" w:hAnsi="Verdana"/>
          <w:sz w:val="20"/>
          <w:szCs w:val="20"/>
          <w:lang w:val="en-US"/>
        </w:rPr>
        <w:t>on the passage of time to be guaranteed. This belief does not take into account the existence of State obligations to respect and to ensure rights that are applicable to all human rights, without distinction. The intention is not to judicialize social public policies, but rather to achieve the effective protection of human rights in a specific case.</w:t>
      </w:r>
    </w:p>
    <w:p w14:paraId="06E7E2CD" w14:textId="77777777" w:rsidR="009A0BC3" w:rsidRPr="00D869E3" w:rsidRDefault="009A0BC3" w:rsidP="009A0BC3">
      <w:pPr>
        <w:pStyle w:val="Prrafodelista"/>
        <w:rPr>
          <w:rFonts w:ascii="Verdana" w:hAnsi="Verdana"/>
          <w:sz w:val="20"/>
          <w:szCs w:val="20"/>
          <w:lang w:val="en-US"/>
        </w:rPr>
      </w:pPr>
    </w:p>
    <w:p w14:paraId="3BCD39F7" w14:textId="55ED9B7B" w:rsidR="00F83E8F" w:rsidRPr="00D869E3" w:rsidRDefault="00F20902" w:rsidP="00F83E8F">
      <w:pPr>
        <w:pStyle w:val="Prrafodelista"/>
        <w:numPr>
          <w:ilvl w:val="0"/>
          <w:numId w:val="28"/>
        </w:numPr>
        <w:ind w:left="0" w:firstLine="0"/>
        <w:jc w:val="both"/>
        <w:rPr>
          <w:rFonts w:ascii="Verdana" w:hAnsi="Verdana"/>
          <w:sz w:val="20"/>
          <w:szCs w:val="20"/>
          <w:lang w:val="en-US"/>
        </w:rPr>
      </w:pPr>
      <w:r w:rsidRPr="00D869E3">
        <w:rPr>
          <w:rFonts w:ascii="Verdana" w:hAnsi="Verdana"/>
          <w:sz w:val="20"/>
          <w:szCs w:val="20"/>
          <w:lang w:val="en-US"/>
        </w:rPr>
        <w:t xml:space="preserve">As of this time, </w:t>
      </w:r>
      <w:r w:rsidR="00185A57" w:rsidRPr="00D869E3">
        <w:rPr>
          <w:rFonts w:ascii="Verdana" w:hAnsi="Verdana"/>
          <w:sz w:val="20"/>
          <w:szCs w:val="20"/>
          <w:lang w:val="en-US"/>
        </w:rPr>
        <w:t>the Inter-American Court</w:t>
      </w:r>
      <w:r w:rsidR="00F83E8F" w:rsidRPr="00D869E3">
        <w:rPr>
          <w:rFonts w:ascii="Verdana" w:hAnsi="Verdana"/>
          <w:sz w:val="20"/>
          <w:szCs w:val="20"/>
          <w:lang w:val="en-US"/>
        </w:rPr>
        <w:t xml:space="preserve"> </w:t>
      </w:r>
      <w:r w:rsidRPr="00D869E3">
        <w:rPr>
          <w:rFonts w:ascii="Verdana" w:hAnsi="Verdana"/>
          <w:sz w:val="20"/>
          <w:szCs w:val="20"/>
          <w:lang w:val="en-US"/>
        </w:rPr>
        <w:t xml:space="preserve">can address the different issues that are submitted to it not by connectivity or indirectly, subsuming the content of the ESCER in the civil and political rights; but with a broader social perspective of the violations alleged in future cases. I note that this matter is especially important in the Latin American region which has high rates of inequity, inequality, poverty and social exclusion. I am convinced that this new vision of inter-American social rights will permit a more detailed and comprehensive analysis of the rights and obligations involved in a case, permitting the development of </w:t>
      </w:r>
      <w:r w:rsidR="008405CB" w:rsidRPr="00D869E3">
        <w:rPr>
          <w:rFonts w:ascii="Verdana" w:hAnsi="Verdana"/>
          <w:sz w:val="20"/>
          <w:szCs w:val="20"/>
          <w:lang w:val="en-US"/>
        </w:rPr>
        <w:t>leg</w:t>
      </w:r>
      <w:r w:rsidRPr="00D869E3">
        <w:rPr>
          <w:rFonts w:ascii="Verdana" w:hAnsi="Verdana"/>
          <w:sz w:val="20"/>
          <w:szCs w:val="20"/>
          <w:lang w:val="en-US"/>
        </w:rPr>
        <w:t>al criteria and standards that address matters of significant impact for the realization of human rights in the region in a more appropriate and opportune manner.</w:t>
      </w:r>
    </w:p>
    <w:p w14:paraId="681CA96A" w14:textId="77777777" w:rsidR="00F83E8F" w:rsidRPr="00D869E3" w:rsidRDefault="00F83E8F" w:rsidP="00F83E8F">
      <w:pPr>
        <w:pStyle w:val="Prrafodelista"/>
        <w:ind w:left="0"/>
        <w:jc w:val="both"/>
        <w:rPr>
          <w:rFonts w:ascii="Verdana" w:hAnsi="Verdana"/>
          <w:sz w:val="20"/>
          <w:szCs w:val="20"/>
          <w:lang w:val="en-US"/>
        </w:rPr>
      </w:pPr>
    </w:p>
    <w:p w14:paraId="6F1C8928" w14:textId="77777777" w:rsidR="00F83E8F" w:rsidRPr="00D869E3" w:rsidRDefault="00F83E8F" w:rsidP="00F83E8F">
      <w:pPr>
        <w:pStyle w:val="Prrafodelista"/>
        <w:ind w:left="0"/>
        <w:jc w:val="both"/>
        <w:rPr>
          <w:rFonts w:ascii="Verdana" w:hAnsi="Verdana"/>
          <w:sz w:val="20"/>
          <w:szCs w:val="20"/>
          <w:lang w:val="en-US"/>
        </w:rPr>
      </w:pPr>
    </w:p>
    <w:p w14:paraId="34C6C1DD" w14:textId="77777777" w:rsidR="00F83E8F" w:rsidRPr="00D869E3" w:rsidRDefault="00F83E8F" w:rsidP="00F83E8F">
      <w:pPr>
        <w:pStyle w:val="Prrafodelista"/>
        <w:ind w:left="0"/>
        <w:jc w:val="both"/>
        <w:rPr>
          <w:rFonts w:ascii="Verdana" w:hAnsi="Verdana"/>
          <w:sz w:val="20"/>
          <w:szCs w:val="20"/>
          <w:lang w:val="en-US"/>
        </w:rPr>
      </w:pPr>
    </w:p>
    <w:p w14:paraId="4807F834" w14:textId="77777777" w:rsidR="00F83E8F" w:rsidRPr="00D869E3" w:rsidRDefault="00F83E8F" w:rsidP="00F83E8F">
      <w:pPr>
        <w:pStyle w:val="Prrafodelista"/>
        <w:widowControl w:val="0"/>
        <w:autoSpaceDE w:val="0"/>
        <w:autoSpaceDN w:val="0"/>
        <w:adjustRightInd w:val="0"/>
        <w:ind w:left="0"/>
        <w:contextualSpacing w:val="0"/>
        <w:jc w:val="right"/>
        <w:rPr>
          <w:rFonts w:ascii="Verdana" w:hAnsi="Verdana"/>
          <w:sz w:val="20"/>
          <w:szCs w:val="20"/>
          <w:lang w:val="en-US"/>
        </w:rPr>
      </w:pPr>
      <w:r w:rsidRPr="00D869E3">
        <w:rPr>
          <w:rFonts w:ascii="Verdana" w:hAnsi="Verdana"/>
          <w:sz w:val="20"/>
          <w:szCs w:val="20"/>
          <w:lang w:val="en-US"/>
        </w:rPr>
        <w:t>Eduardo Ferrer Mac-Gregor Poisot</w:t>
      </w:r>
    </w:p>
    <w:p w14:paraId="3FAD3039" w14:textId="6093A320" w:rsidR="00F83E8F" w:rsidRPr="00D869E3" w:rsidRDefault="00447C65" w:rsidP="008405CB">
      <w:pPr>
        <w:pStyle w:val="Prrafodelista"/>
        <w:widowControl w:val="0"/>
        <w:tabs>
          <w:tab w:val="left" w:pos="0"/>
        </w:tabs>
        <w:autoSpaceDE w:val="0"/>
        <w:autoSpaceDN w:val="0"/>
        <w:adjustRightInd w:val="0"/>
        <w:ind w:left="0" w:right="1638"/>
        <w:contextualSpacing w:val="0"/>
        <w:jc w:val="right"/>
        <w:rPr>
          <w:rFonts w:ascii="Verdana" w:hAnsi="Verdana"/>
          <w:sz w:val="20"/>
          <w:szCs w:val="20"/>
          <w:lang w:val="en-US"/>
        </w:rPr>
      </w:pPr>
      <w:r w:rsidRPr="00D869E3">
        <w:rPr>
          <w:rFonts w:ascii="Verdana" w:hAnsi="Verdana"/>
          <w:sz w:val="20"/>
          <w:szCs w:val="20"/>
          <w:lang w:val="en-US"/>
        </w:rPr>
        <w:t>Judge</w:t>
      </w:r>
    </w:p>
    <w:p w14:paraId="721FD092" w14:textId="77777777" w:rsidR="00F83E8F" w:rsidRPr="00D869E3" w:rsidRDefault="00F83E8F" w:rsidP="00F83E8F">
      <w:pPr>
        <w:pStyle w:val="Prrafodelista"/>
        <w:widowControl w:val="0"/>
        <w:tabs>
          <w:tab w:val="left" w:pos="0"/>
        </w:tabs>
        <w:autoSpaceDE w:val="0"/>
        <w:autoSpaceDN w:val="0"/>
        <w:adjustRightInd w:val="0"/>
        <w:ind w:left="0"/>
        <w:contextualSpacing w:val="0"/>
        <w:rPr>
          <w:rFonts w:ascii="Verdana" w:hAnsi="Verdana"/>
          <w:sz w:val="20"/>
          <w:szCs w:val="20"/>
          <w:lang w:val="en-US"/>
        </w:rPr>
      </w:pPr>
    </w:p>
    <w:p w14:paraId="49917763" w14:textId="77777777" w:rsidR="00F83E8F" w:rsidRPr="00D869E3" w:rsidRDefault="00F83E8F" w:rsidP="00F83E8F">
      <w:pPr>
        <w:pStyle w:val="Prrafodelista"/>
        <w:widowControl w:val="0"/>
        <w:tabs>
          <w:tab w:val="left" w:pos="0"/>
        </w:tabs>
        <w:autoSpaceDE w:val="0"/>
        <w:autoSpaceDN w:val="0"/>
        <w:adjustRightInd w:val="0"/>
        <w:ind w:left="0"/>
        <w:contextualSpacing w:val="0"/>
        <w:rPr>
          <w:rFonts w:ascii="Verdana" w:hAnsi="Verdana"/>
          <w:sz w:val="20"/>
          <w:szCs w:val="20"/>
          <w:lang w:val="en-US"/>
        </w:rPr>
      </w:pPr>
    </w:p>
    <w:p w14:paraId="6C9DDEAA" w14:textId="77777777" w:rsidR="00F83E8F" w:rsidRPr="00D869E3" w:rsidRDefault="00F83E8F" w:rsidP="00F83E8F">
      <w:pPr>
        <w:pStyle w:val="Prrafodelista"/>
        <w:widowControl w:val="0"/>
        <w:tabs>
          <w:tab w:val="left" w:pos="0"/>
        </w:tabs>
        <w:autoSpaceDE w:val="0"/>
        <w:autoSpaceDN w:val="0"/>
        <w:adjustRightInd w:val="0"/>
        <w:ind w:left="0"/>
        <w:contextualSpacing w:val="0"/>
        <w:rPr>
          <w:rFonts w:ascii="Verdana" w:hAnsi="Verdana"/>
          <w:sz w:val="20"/>
          <w:szCs w:val="20"/>
          <w:lang w:val="en-US"/>
        </w:rPr>
      </w:pPr>
      <w:r w:rsidRPr="00D869E3">
        <w:rPr>
          <w:rFonts w:ascii="Verdana" w:hAnsi="Verdana"/>
          <w:sz w:val="20"/>
          <w:szCs w:val="20"/>
          <w:lang w:val="en-US"/>
        </w:rPr>
        <w:t>Pablo Saavedra Alessandri</w:t>
      </w:r>
    </w:p>
    <w:p w14:paraId="7F740774" w14:textId="72B19C36" w:rsidR="00F83E8F" w:rsidRPr="00D869E3" w:rsidRDefault="00F83E8F" w:rsidP="00F83E8F">
      <w:pPr>
        <w:jc w:val="both"/>
        <w:rPr>
          <w:rFonts w:ascii="Verdana" w:hAnsi="Verdana"/>
          <w:sz w:val="20"/>
          <w:szCs w:val="20"/>
          <w:lang w:val="en-US"/>
        </w:rPr>
      </w:pPr>
      <w:r w:rsidRPr="00D869E3">
        <w:rPr>
          <w:rFonts w:ascii="Verdana" w:hAnsi="Verdana"/>
          <w:sz w:val="20"/>
          <w:szCs w:val="20"/>
          <w:lang w:val="en-US"/>
        </w:rPr>
        <w:t xml:space="preserve">           Secretar</w:t>
      </w:r>
      <w:r w:rsidR="00003343" w:rsidRPr="00D869E3">
        <w:rPr>
          <w:rFonts w:ascii="Verdana" w:hAnsi="Verdana"/>
          <w:sz w:val="20"/>
          <w:szCs w:val="20"/>
          <w:lang w:val="en-US"/>
        </w:rPr>
        <w:t>y</w:t>
      </w:r>
    </w:p>
    <w:p w14:paraId="3B1652B2" w14:textId="77777777" w:rsidR="00F83E8F" w:rsidRPr="00D869E3" w:rsidRDefault="00F83E8F" w:rsidP="007F5C54">
      <w:pPr>
        <w:tabs>
          <w:tab w:val="left" w:pos="8640"/>
        </w:tabs>
        <w:rPr>
          <w:rFonts w:ascii="Verdana" w:hAnsi="Verdana"/>
          <w:sz w:val="20"/>
          <w:lang w:val="en-US"/>
        </w:rPr>
        <w:sectPr w:rsidR="00F83E8F" w:rsidRPr="00D869E3" w:rsidSect="00F83E8F">
          <w:footnotePr>
            <w:numRestart w:val="eachSect"/>
          </w:footnotePr>
          <w:pgSz w:w="12240" w:h="15840" w:code="1"/>
          <w:pgMar w:top="1247" w:right="1247" w:bottom="1247" w:left="1247" w:header="709" w:footer="709" w:gutter="0"/>
          <w:pgNumType w:start="1"/>
          <w:cols w:space="708"/>
          <w:titlePg/>
          <w:docGrid w:linePitch="360"/>
        </w:sectPr>
      </w:pPr>
    </w:p>
    <w:p w14:paraId="385060DB" w14:textId="77777777" w:rsidR="00E70701" w:rsidRPr="00D869E3" w:rsidRDefault="00E70701" w:rsidP="00C44F79">
      <w:pPr>
        <w:jc w:val="center"/>
        <w:rPr>
          <w:rFonts w:ascii="Verdana" w:hAnsi="Verdana"/>
          <w:b/>
          <w:sz w:val="20"/>
          <w:szCs w:val="20"/>
          <w:lang w:val="en-US"/>
        </w:rPr>
      </w:pPr>
    </w:p>
    <w:p w14:paraId="1269E1AA" w14:textId="77777777" w:rsidR="003C2143" w:rsidRPr="00D869E3" w:rsidRDefault="003C2143" w:rsidP="00AC70B9">
      <w:pPr>
        <w:rPr>
          <w:rFonts w:ascii="Verdana" w:hAnsi="Verdana"/>
          <w:b/>
          <w:sz w:val="20"/>
          <w:szCs w:val="20"/>
          <w:lang w:val="en-US"/>
        </w:rPr>
      </w:pPr>
    </w:p>
    <w:p w14:paraId="0302E79D" w14:textId="77777777" w:rsidR="003C2143" w:rsidRPr="00D869E3" w:rsidRDefault="003C2143" w:rsidP="003C2143">
      <w:pPr>
        <w:jc w:val="center"/>
        <w:rPr>
          <w:rFonts w:ascii="Verdana" w:hAnsi="Verdana"/>
          <w:b/>
          <w:sz w:val="20"/>
          <w:szCs w:val="20"/>
          <w:lang w:val="en-US"/>
        </w:rPr>
      </w:pPr>
    </w:p>
    <w:p w14:paraId="353047D0" w14:textId="0946469B" w:rsidR="003C2143" w:rsidRPr="00D869E3" w:rsidRDefault="00D7137C" w:rsidP="008B4269">
      <w:pPr>
        <w:spacing w:line="360" w:lineRule="auto"/>
        <w:jc w:val="center"/>
        <w:rPr>
          <w:rFonts w:ascii="Verdana" w:hAnsi="Verdana"/>
          <w:b/>
          <w:sz w:val="20"/>
          <w:szCs w:val="20"/>
          <w:lang w:val="en-US"/>
        </w:rPr>
      </w:pPr>
      <w:r w:rsidRPr="00D869E3">
        <w:rPr>
          <w:rFonts w:ascii="Verdana" w:hAnsi="Verdana"/>
          <w:b/>
          <w:sz w:val="20"/>
          <w:szCs w:val="20"/>
          <w:lang w:val="en-US"/>
        </w:rPr>
        <w:t>PARTIALLY DISSENTIN</w:t>
      </w:r>
      <w:r w:rsidR="008B4269" w:rsidRPr="00D869E3">
        <w:rPr>
          <w:rFonts w:ascii="Verdana" w:hAnsi="Verdana"/>
          <w:b/>
          <w:sz w:val="20"/>
          <w:szCs w:val="20"/>
          <w:lang w:val="en-US"/>
        </w:rPr>
        <w:t>G</w:t>
      </w:r>
      <w:r w:rsidRPr="00D869E3">
        <w:rPr>
          <w:rFonts w:ascii="Verdana" w:hAnsi="Verdana"/>
          <w:b/>
          <w:sz w:val="20"/>
          <w:szCs w:val="20"/>
          <w:lang w:val="en-US"/>
        </w:rPr>
        <w:t xml:space="preserve"> OPINION OF JUDGE </w:t>
      </w:r>
      <w:r w:rsidR="003C2143" w:rsidRPr="00D869E3">
        <w:rPr>
          <w:rFonts w:ascii="Verdana" w:hAnsi="Verdana"/>
          <w:b/>
          <w:sz w:val="20"/>
          <w:szCs w:val="20"/>
          <w:lang w:val="en-US"/>
        </w:rPr>
        <w:t>EDUARDO VIO GROSSI,</w:t>
      </w:r>
    </w:p>
    <w:p w14:paraId="183FCEAE" w14:textId="46ED3FC1" w:rsidR="003C2143" w:rsidRPr="00D869E3" w:rsidRDefault="00D7137C" w:rsidP="008B4269">
      <w:pPr>
        <w:spacing w:line="360" w:lineRule="auto"/>
        <w:jc w:val="center"/>
        <w:rPr>
          <w:rFonts w:ascii="Verdana" w:hAnsi="Verdana"/>
          <w:b/>
          <w:sz w:val="20"/>
          <w:szCs w:val="20"/>
          <w:lang w:val="en-US"/>
        </w:rPr>
      </w:pPr>
      <w:r w:rsidRPr="00D869E3">
        <w:rPr>
          <w:rFonts w:ascii="Verdana" w:hAnsi="Verdana"/>
          <w:b/>
          <w:sz w:val="20"/>
          <w:szCs w:val="20"/>
          <w:lang w:val="en-US"/>
        </w:rPr>
        <w:t>INTER-AMERIAN COURT OF HUMAN RIGHTS</w:t>
      </w:r>
    </w:p>
    <w:p w14:paraId="62E8B410" w14:textId="400092BB" w:rsidR="003C2143" w:rsidRPr="00D869E3" w:rsidRDefault="003C2143" w:rsidP="008B4269">
      <w:pPr>
        <w:spacing w:line="360" w:lineRule="auto"/>
        <w:jc w:val="center"/>
        <w:rPr>
          <w:rFonts w:ascii="Verdana" w:hAnsi="Verdana"/>
          <w:b/>
          <w:sz w:val="20"/>
          <w:szCs w:val="20"/>
          <w:lang w:val="es-CR"/>
        </w:rPr>
      </w:pPr>
      <w:r w:rsidRPr="00D869E3">
        <w:rPr>
          <w:rFonts w:ascii="Verdana" w:hAnsi="Verdana"/>
          <w:b/>
          <w:sz w:val="20"/>
          <w:szCs w:val="20"/>
          <w:lang w:val="es-CR"/>
        </w:rPr>
        <w:t>CAS</w:t>
      </w:r>
      <w:r w:rsidR="00D7137C" w:rsidRPr="00D869E3">
        <w:rPr>
          <w:rFonts w:ascii="Verdana" w:hAnsi="Verdana"/>
          <w:b/>
          <w:sz w:val="20"/>
          <w:szCs w:val="20"/>
          <w:lang w:val="es-CR"/>
        </w:rPr>
        <w:t>E OF</w:t>
      </w:r>
      <w:r w:rsidRPr="00D869E3">
        <w:rPr>
          <w:rFonts w:ascii="Verdana" w:hAnsi="Verdana"/>
          <w:b/>
          <w:sz w:val="20"/>
          <w:szCs w:val="20"/>
          <w:lang w:val="es-CR"/>
        </w:rPr>
        <w:t xml:space="preserve"> LAGOS DEL CAMPO </w:t>
      </w:r>
      <w:r w:rsidR="00447C65" w:rsidRPr="00D869E3">
        <w:rPr>
          <w:rFonts w:ascii="Verdana" w:hAnsi="Verdana"/>
          <w:b/>
          <w:i/>
          <w:iCs/>
          <w:sz w:val="20"/>
          <w:szCs w:val="20"/>
          <w:lang w:val="es-CR"/>
        </w:rPr>
        <w:t>v</w:t>
      </w:r>
      <w:r w:rsidR="00447C65" w:rsidRPr="00D869E3">
        <w:rPr>
          <w:rFonts w:ascii="Verdana" w:hAnsi="Verdana"/>
          <w:b/>
          <w:sz w:val="20"/>
          <w:szCs w:val="20"/>
          <w:lang w:val="es-CR"/>
        </w:rPr>
        <w:t>.</w:t>
      </w:r>
      <w:r w:rsidRPr="00D869E3">
        <w:rPr>
          <w:rFonts w:ascii="Verdana" w:hAnsi="Verdana"/>
          <w:b/>
          <w:sz w:val="20"/>
          <w:szCs w:val="20"/>
          <w:lang w:val="es-CR"/>
        </w:rPr>
        <w:t xml:space="preserve"> </w:t>
      </w:r>
      <w:r w:rsidR="00447C65" w:rsidRPr="00D869E3">
        <w:rPr>
          <w:rFonts w:ascii="Verdana" w:hAnsi="Verdana"/>
          <w:b/>
          <w:sz w:val="20"/>
          <w:szCs w:val="20"/>
          <w:lang w:val="es-CR"/>
        </w:rPr>
        <w:t>PERU</w:t>
      </w:r>
      <w:r w:rsidRPr="00D869E3">
        <w:rPr>
          <w:rFonts w:ascii="Verdana" w:hAnsi="Verdana"/>
          <w:b/>
          <w:sz w:val="20"/>
          <w:szCs w:val="20"/>
          <w:lang w:val="es-CR"/>
        </w:rPr>
        <w:t>,</w:t>
      </w:r>
    </w:p>
    <w:p w14:paraId="1450B543" w14:textId="2573D5EE" w:rsidR="003C2143" w:rsidRPr="00D869E3" w:rsidRDefault="00447C65" w:rsidP="008B4269">
      <w:pPr>
        <w:spacing w:line="360" w:lineRule="auto"/>
        <w:jc w:val="center"/>
        <w:rPr>
          <w:rFonts w:ascii="Verdana" w:hAnsi="Verdana"/>
          <w:b/>
          <w:sz w:val="20"/>
          <w:szCs w:val="20"/>
          <w:lang w:val="en-US"/>
        </w:rPr>
      </w:pPr>
      <w:r w:rsidRPr="00D869E3">
        <w:rPr>
          <w:rFonts w:ascii="Verdana" w:hAnsi="Verdana"/>
          <w:b/>
          <w:sz w:val="20"/>
          <w:szCs w:val="20"/>
          <w:lang w:val="en-US"/>
        </w:rPr>
        <w:t>JUDGMENT OF</w:t>
      </w:r>
      <w:r w:rsidR="003C2143" w:rsidRPr="00D869E3">
        <w:rPr>
          <w:rFonts w:ascii="Verdana" w:hAnsi="Verdana"/>
          <w:b/>
          <w:sz w:val="20"/>
          <w:szCs w:val="20"/>
          <w:lang w:val="en-US"/>
        </w:rPr>
        <w:t xml:space="preserve"> </w:t>
      </w:r>
      <w:r w:rsidR="00D7137C" w:rsidRPr="00D869E3">
        <w:rPr>
          <w:rFonts w:ascii="Verdana" w:hAnsi="Verdana"/>
          <w:b/>
          <w:sz w:val="20"/>
          <w:szCs w:val="20"/>
          <w:lang w:val="en-US"/>
        </w:rPr>
        <w:t>AUGUST 31</w:t>
      </w:r>
      <w:r w:rsidRPr="00D869E3">
        <w:rPr>
          <w:rFonts w:ascii="Verdana" w:hAnsi="Verdana"/>
          <w:b/>
          <w:sz w:val="20"/>
          <w:szCs w:val="20"/>
          <w:lang w:val="en-US"/>
        </w:rPr>
        <w:t>,</w:t>
      </w:r>
      <w:r w:rsidR="003C2143" w:rsidRPr="00D869E3">
        <w:rPr>
          <w:rFonts w:ascii="Verdana" w:hAnsi="Verdana"/>
          <w:b/>
          <w:sz w:val="20"/>
          <w:szCs w:val="20"/>
          <w:lang w:val="en-US"/>
        </w:rPr>
        <w:t xml:space="preserve"> 2017,</w:t>
      </w:r>
    </w:p>
    <w:p w14:paraId="774690F2" w14:textId="700BE28E" w:rsidR="003C2143" w:rsidRPr="00D869E3" w:rsidRDefault="003C2143" w:rsidP="008B4269">
      <w:pPr>
        <w:spacing w:line="360" w:lineRule="auto"/>
        <w:jc w:val="center"/>
        <w:rPr>
          <w:rFonts w:ascii="Verdana" w:hAnsi="Verdana"/>
          <w:b/>
          <w:sz w:val="20"/>
          <w:szCs w:val="20"/>
          <w:lang w:val="en-US"/>
        </w:rPr>
      </w:pPr>
      <w:r w:rsidRPr="00D869E3">
        <w:rPr>
          <w:rFonts w:ascii="Verdana" w:hAnsi="Verdana"/>
          <w:b/>
          <w:sz w:val="20"/>
          <w:szCs w:val="20"/>
          <w:lang w:val="en-US"/>
        </w:rPr>
        <w:t>(</w:t>
      </w:r>
      <w:r w:rsidR="00447C65" w:rsidRPr="00D869E3">
        <w:rPr>
          <w:rFonts w:ascii="Verdana" w:hAnsi="Verdana"/>
          <w:b/>
          <w:sz w:val="20"/>
          <w:szCs w:val="20"/>
          <w:lang w:val="en-US"/>
        </w:rPr>
        <w:t>Preliminary objections, merits, reparations and costs</w:t>
      </w:r>
      <w:r w:rsidRPr="00D869E3">
        <w:rPr>
          <w:rFonts w:ascii="Verdana" w:hAnsi="Verdana"/>
          <w:b/>
          <w:sz w:val="20"/>
          <w:szCs w:val="20"/>
          <w:lang w:val="en-US"/>
        </w:rPr>
        <w:t>)</w:t>
      </w:r>
    </w:p>
    <w:p w14:paraId="69338A4C" w14:textId="77777777" w:rsidR="003C2143" w:rsidRPr="00D869E3" w:rsidRDefault="003C2143" w:rsidP="003C2143">
      <w:pPr>
        <w:jc w:val="both"/>
        <w:rPr>
          <w:rFonts w:ascii="Verdana" w:hAnsi="Verdana"/>
          <w:b/>
          <w:sz w:val="20"/>
          <w:szCs w:val="20"/>
          <w:lang w:val="en-US"/>
        </w:rPr>
      </w:pPr>
    </w:p>
    <w:p w14:paraId="794D8582" w14:textId="77777777" w:rsidR="003C2143" w:rsidRPr="00D869E3" w:rsidRDefault="003C2143" w:rsidP="003C2143">
      <w:pPr>
        <w:jc w:val="both"/>
        <w:rPr>
          <w:rFonts w:ascii="Verdana" w:hAnsi="Verdana"/>
          <w:b/>
          <w:sz w:val="20"/>
          <w:szCs w:val="20"/>
          <w:lang w:val="en-US"/>
        </w:rPr>
      </w:pPr>
    </w:p>
    <w:p w14:paraId="2E07CEC1" w14:textId="7BD331A5" w:rsidR="003C2143" w:rsidRPr="00D869E3" w:rsidRDefault="003C2143" w:rsidP="003C2143">
      <w:pPr>
        <w:jc w:val="both"/>
        <w:rPr>
          <w:rFonts w:ascii="Verdana" w:hAnsi="Verdana"/>
          <w:b/>
          <w:sz w:val="20"/>
          <w:szCs w:val="20"/>
          <w:lang w:val="en-US"/>
        </w:rPr>
      </w:pPr>
      <w:r w:rsidRPr="00D869E3">
        <w:rPr>
          <w:rFonts w:ascii="Verdana" w:hAnsi="Verdana"/>
          <w:b/>
          <w:sz w:val="20"/>
          <w:szCs w:val="20"/>
          <w:lang w:val="en-US"/>
        </w:rPr>
        <w:t>INTRODUC</w:t>
      </w:r>
      <w:r w:rsidR="00D7137C" w:rsidRPr="00D869E3">
        <w:rPr>
          <w:rFonts w:ascii="Verdana" w:hAnsi="Verdana"/>
          <w:b/>
          <w:sz w:val="20"/>
          <w:szCs w:val="20"/>
          <w:lang w:val="en-US"/>
        </w:rPr>
        <w:t>TION</w:t>
      </w:r>
    </w:p>
    <w:p w14:paraId="7C93859F" w14:textId="77777777" w:rsidR="003C2143" w:rsidRPr="00D869E3" w:rsidRDefault="003C2143" w:rsidP="003C2143">
      <w:pPr>
        <w:jc w:val="both"/>
        <w:rPr>
          <w:rFonts w:ascii="Verdana" w:hAnsi="Verdana"/>
          <w:sz w:val="20"/>
          <w:szCs w:val="20"/>
          <w:lang w:val="en-US"/>
        </w:rPr>
      </w:pPr>
    </w:p>
    <w:p w14:paraId="427A17DA" w14:textId="4EEF2DFE" w:rsidR="003C2143" w:rsidRPr="00D869E3" w:rsidRDefault="00351902" w:rsidP="003C2143">
      <w:pPr>
        <w:jc w:val="both"/>
        <w:rPr>
          <w:rFonts w:ascii="Verdana" w:hAnsi="Verdana"/>
          <w:sz w:val="20"/>
          <w:szCs w:val="20"/>
          <w:lang w:val="en-US"/>
        </w:rPr>
      </w:pPr>
      <w:r w:rsidRPr="00D869E3">
        <w:rPr>
          <w:rFonts w:ascii="Verdana" w:hAnsi="Verdana"/>
          <w:sz w:val="20"/>
          <w:szCs w:val="20"/>
          <w:lang w:val="en-US"/>
        </w:rPr>
        <w:t>This partially dissenting opinion is issued</w:t>
      </w:r>
      <w:r w:rsidR="003C2143" w:rsidRPr="00D869E3">
        <w:rPr>
          <w:rStyle w:val="Refdenotaalpie"/>
          <w:szCs w:val="20"/>
          <w:lang w:val="en-US"/>
        </w:rPr>
        <w:footnoteReference w:id="364"/>
      </w:r>
      <w:r w:rsidR="003C2143" w:rsidRPr="00D869E3">
        <w:rPr>
          <w:rFonts w:ascii="Verdana" w:hAnsi="Verdana"/>
          <w:sz w:val="20"/>
          <w:szCs w:val="20"/>
          <w:lang w:val="en-US"/>
        </w:rPr>
        <w:t xml:space="preserve"> </w:t>
      </w:r>
      <w:r w:rsidRPr="00D869E3">
        <w:rPr>
          <w:rFonts w:ascii="Verdana" w:hAnsi="Verdana"/>
          <w:sz w:val="20"/>
          <w:szCs w:val="20"/>
          <w:lang w:val="en-US"/>
        </w:rPr>
        <w:t>with regard to the above-mentioned</w:t>
      </w:r>
      <w:r w:rsidR="003C2143" w:rsidRPr="00D869E3">
        <w:rPr>
          <w:rFonts w:ascii="Verdana" w:hAnsi="Verdana"/>
          <w:sz w:val="20"/>
          <w:szCs w:val="20"/>
          <w:lang w:val="en-US"/>
        </w:rPr>
        <w:t xml:space="preserve"> </w:t>
      </w:r>
      <w:r w:rsidRPr="00D869E3">
        <w:rPr>
          <w:rFonts w:ascii="Verdana" w:hAnsi="Verdana"/>
          <w:sz w:val="20"/>
          <w:szCs w:val="20"/>
          <w:lang w:val="en-US"/>
        </w:rPr>
        <w:t>j</w:t>
      </w:r>
      <w:r w:rsidR="00447C65" w:rsidRPr="00D869E3">
        <w:rPr>
          <w:rFonts w:ascii="Verdana" w:hAnsi="Verdana"/>
          <w:sz w:val="20"/>
          <w:szCs w:val="20"/>
          <w:lang w:val="en-US"/>
        </w:rPr>
        <w:t>udgment</w:t>
      </w:r>
      <w:r w:rsidRPr="00D869E3">
        <w:rPr>
          <w:rFonts w:ascii="Verdana" w:hAnsi="Verdana"/>
          <w:sz w:val="20"/>
          <w:szCs w:val="20"/>
          <w:lang w:val="en-US"/>
        </w:rPr>
        <w:t>,</w:t>
      </w:r>
      <w:r w:rsidR="003C2143" w:rsidRPr="00D869E3">
        <w:rPr>
          <w:rStyle w:val="Refdenotaalpie"/>
          <w:szCs w:val="20"/>
          <w:lang w:val="en-US"/>
        </w:rPr>
        <w:footnoteReference w:id="365"/>
      </w:r>
      <w:r w:rsidRPr="00D869E3">
        <w:rPr>
          <w:rFonts w:ascii="Verdana" w:hAnsi="Verdana"/>
          <w:sz w:val="20"/>
          <w:szCs w:val="20"/>
          <w:lang w:val="en-US"/>
        </w:rPr>
        <w:t xml:space="preserve"> because the author disagrees with the reference it makes to </w:t>
      </w:r>
      <w:r w:rsidR="00447C65" w:rsidRPr="00D869E3">
        <w:rPr>
          <w:rFonts w:ascii="Verdana" w:hAnsi="Verdana"/>
          <w:sz w:val="20"/>
          <w:szCs w:val="20"/>
          <w:lang w:val="en-US"/>
        </w:rPr>
        <w:t>Article</w:t>
      </w:r>
      <w:r w:rsidR="003C2143" w:rsidRPr="00D869E3">
        <w:rPr>
          <w:rFonts w:ascii="Verdana" w:hAnsi="Verdana"/>
          <w:sz w:val="20"/>
          <w:szCs w:val="20"/>
          <w:lang w:val="en-US"/>
        </w:rPr>
        <w:t xml:space="preserve"> 26</w:t>
      </w:r>
      <w:r w:rsidR="003C2143" w:rsidRPr="00D869E3">
        <w:rPr>
          <w:rStyle w:val="Refdenotaalpie"/>
          <w:szCs w:val="20"/>
          <w:lang w:val="en-US"/>
        </w:rPr>
        <w:footnoteReference w:id="366"/>
      </w:r>
      <w:r w:rsidR="00447C65" w:rsidRPr="00D869E3">
        <w:rPr>
          <w:rFonts w:ascii="Verdana" w:hAnsi="Verdana"/>
          <w:sz w:val="20"/>
          <w:szCs w:val="20"/>
          <w:lang w:val="en-US"/>
        </w:rPr>
        <w:t xml:space="preserve"> of the American Convention on Human Rights</w:t>
      </w:r>
      <w:r w:rsidR="003C2143" w:rsidRPr="00D869E3">
        <w:rPr>
          <w:rStyle w:val="Refdenotaalpie"/>
          <w:szCs w:val="20"/>
          <w:lang w:val="en-US"/>
        </w:rPr>
        <w:footnoteReference w:id="367"/>
      </w:r>
      <w:r w:rsidR="003C2143" w:rsidRPr="00D869E3">
        <w:rPr>
          <w:rFonts w:ascii="Verdana" w:hAnsi="Verdana"/>
          <w:sz w:val="20"/>
          <w:szCs w:val="20"/>
          <w:lang w:val="en-US"/>
        </w:rPr>
        <w:t xml:space="preserve"> </w:t>
      </w:r>
      <w:r w:rsidRPr="00D869E3">
        <w:rPr>
          <w:rFonts w:ascii="Verdana" w:hAnsi="Verdana"/>
          <w:sz w:val="20"/>
          <w:szCs w:val="20"/>
          <w:lang w:val="en-US"/>
        </w:rPr>
        <w:t>as grounds for the fifth</w:t>
      </w:r>
      <w:r w:rsidR="003C2143" w:rsidRPr="00D869E3">
        <w:rPr>
          <w:rStyle w:val="Refdenotaalpie"/>
          <w:szCs w:val="20"/>
          <w:lang w:val="en-US"/>
        </w:rPr>
        <w:footnoteReference w:id="368"/>
      </w:r>
      <w:r w:rsidR="00687684" w:rsidRPr="00D869E3">
        <w:rPr>
          <w:rFonts w:ascii="Verdana" w:hAnsi="Verdana"/>
          <w:sz w:val="20"/>
          <w:szCs w:val="20"/>
          <w:lang w:val="en-US"/>
        </w:rPr>
        <w:t xml:space="preserve"> and </w:t>
      </w:r>
      <w:r w:rsidRPr="00D869E3">
        <w:rPr>
          <w:rFonts w:ascii="Verdana" w:hAnsi="Verdana"/>
          <w:sz w:val="20"/>
          <w:szCs w:val="20"/>
          <w:lang w:val="en-US"/>
        </w:rPr>
        <w:t>sixth operative paragraphs,</w:t>
      </w:r>
      <w:r w:rsidR="003C2143" w:rsidRPr="00D869E3">
        <w:rPr>
          <w:rStyle w:val="Refdenotaalpie"/>
          <w:szCs w:val="20"/>
          <w:lang w:val="en-US"/>
        </w:rPr>
        <w:footnoteReference w:id="369"/>
      </w:r>
      <w:r w:rsidRPr="00D869E3">
        <w:rPr>
          <w:rFonts w:ascii="Verdana" w:hAnsi="Verdana"/>
          <w:sz w:val="20"/>
          <w:szCs w:val="20"/>
          <w:lang w:val="en-US"/>
        </w:rPr>
        <w:t xml:space="preserve"> in which it declares that </w:t>
      </w:r>
      <w:r w:rsidR="006436CA" w:rsidRPr="00D869E3">
        <w:rPr>
          <w:rFonts w:ascii="Verdana" w:hAnsi="Verdana"/>
          <w:sz w:val="20"/>
          <w:szCs w:val="20"/>
          <w:lang w:val="en-US"/>
        </w:rPr>
        <w:t>“</w:t>
      </w:r>
      <w:r w:rsidRPr="00D869E3">
        <w:rPr>
          <w:rFonts w:ascii="Verdana" w:hAnsi="Verdana"/>
          <w:sz w:val="20"/>
          <w:szCs w:val="20"/>
          <w:lang w:val="en-US"/>
        </w:rPr>
        <w:t>[</w:t>
      </w:r>
      <w:r w:rsidRPr="00D869E3">
        <w:rPr>
          <w:rFonts w:ascii="Verdana" w:hAnsi="Verdana"/>
          <w:i/>
          <w:iCs/>
          <w:sz w:val="20"/>
          <w:szCs w:val="20"/>
          <w:lang w:val="en-US"/>
        </w:rPr>
        <w:t>t]he State is responsible for the violation of the right to</w:t>
      </w:r>
      <w:r w:rsidR="003C2143" w:rsidRPr="00D869E3">
        <w:rPr>
          <w:rFonts w:ascii="Verdana" w:hAnsi="Verdana"/>
          <w:i/>
          <w:sz w:val="20"/>
          <w:szCs w:val="20"/>
          <w:lang w:val="en-US"/>
        </w:rPr>
        <w:t xml:space="preserve"> </w:t>
      </w:r>
      <w:r w:rsidR="00D92CBF" w:rsidRPr="00D869E3">
        <w:rPr>
          <w:rFonts w:ascii="Verdana" w:hAnsi="Verdana"/>
          <w:i/>
          <w:sz w:val="20"/>
          <w:szCs w:val="20"/>
          <w:lang w:val="en-US"/>
        </w:rPr>
        <w:t xml:space="preserve">job </w:t>
      </w:r>
      <w:r w:rsidRPr="00D869E3">
        <w:rPr>
          <w:rFonts w:ascii="Verdana" w:hAnsi="Verdana"/>
          <w:i/>
          <w:sz w:val="20"/>
          <w:szCs w:val="20"/>
          <w:lang w:val="en-US"/>
        </w:rPr>
        <w:t>securit</w:t>
      </w:r>
      <w:r w:rsidR="00D92CBF" w:rsidRPr="00D869E3">
        <w:rPr>
          <w:rFonts w:ascii="Verdana" w:hAnsi="Verdana"/>
          <w:i/>
          <w:sz w:val="20"/>
          <w:szCs w:val="20"/>
          <w:lang w:val="en-US"/>
        </w:rPr>
        <w:t>y</w:t>
      </w:r>
      <w:r w:rsidR="006436CA" w:rsidRPr="00D869E3">
        <w:rPr>
          <w:rFonts w:ascii="Verdana" w:hAnsi="Verdana"/>
          <w:i/>
          <w:sz w:val="20"/>
          <w:szCs w:val="20"/>
          <w:lang w:val="en-US"/>
        </w:rPr>
        <w:t>”</w:t>
      </w:r>
      <w:r w:rsidRPr="00D869E3">
        <w:rPr>
          <w:rFonts w:ascii="Verdana" w:hAnsi="Verdana"/>
          <w:i/>
          <w:sz w:val="20"/>
          <w:szCs w:val="20"/>
          <w:lang w:val="en-US"/>
        </w:rPr>
        <w:t xml:space="preserve"> </w:t>
      </w:r>
      <w:r w:rsidR="00687684" w:rsidRPr="00D869E3">
        <w:rPr>
          <w:rFonts w:ascii="Verdana" w:hAnsi="Verdana"/>
          <w:sz w:val="20"/>
          <w:szCs w:val="20"/>
          <w:lang w:val="en-US"/>
        </w:rPr>
        <w:t xml:space="preserve">and </w:t>
      </w:r>
      <w:r w:rsidR="006436CA" w:rsidRPr="00D869E3">
        <w:rPr>
          <w:rFonts w:ascii="Verdana" w:hAnsi="Verdana"/>
          <w:sz w:val="20"/>
          <w:szCs w:val="20"/>
          <w:lang w:val="en-US"/>
        </w:rPr>
        <w:t>“</w:t>
      </w:r>
      <w:r w:rsidRPr="00D869E3">
        <w:rPr>
          <w:rFonts w:ascii="Verdana" w:hAnsi="Verdana"/>
          <w:i/>
          <w:sz w:val="20"/>
          <w:szCs w:val="20"/>
          <w:lang w:val="en-US"/>
        </w:rPr>
        <w:t>the right to freedom of association.</w:t>
      </w:r>
      <w:r w:rsidR="006436CA" w:rsidRPr="00D869E3">
        <w:rPr>
          <w:rFonts w:ascii="Verdana" w:hAnsi="Verdana"/>
          <w:i/>
          <w:sz w:val="20"/>
          <w:szCs w:val="20"/>
          <w:lang w:val="en-US"/>
        </w:rPr>
        <w:t>”</w:t>
      </w:r>
    </w:p>
    <w:p w14:paraId="3A263920" w14:textId="77777777" w:rsidR="003C2143" w:rsidRPr="00D869E3" w:rsidRDefault="003C2143" w:rsidP="003C2143">
      <w:pPr>
        <w:jc w:val="both"/>
        <w:rPr>
          <w:rFonts w:ascii="Verdana" w:hAnsi="Verdana"/>
          <w:sz w:val="20"/>
          <w:szCs w:val="20"/>
          <w:lang w:val="en-US"/>
        </w:rPr>
      </w:pPr>
    </w:p>
    <w:p w14:paraId="676A5524" w14:textId="0B9C22DB" w:rsidR="003C2143" w:rsidRPr="00D869E3" w:rsidRDefault="00FC626C" w:rsidP="003C2143">
      <w:pPr>
        <w:pStyle w:val="Prrafodelista"/>
        <w:numPr>
          <w:ilvl w:val="0"/>
          <w:numId w:val="33"/>
        </w:numPr>
        <w:jc w:val="both"/>
        <w:rPr>
          <w:rFonts w:ascii="Verdana" w:hAnsi="Verdana"/>
          <w:b/>
          <w:sz w:val="20"/>
          <w:szCs w:val="20"/>
          <w:lang w:val="en-US"/>
        </w:rPr>
      </w:pPr>
      <w:r w:rsidRPr="00D869E3">
        <w:rPr>
          <w:rFonts w:ascii="Verdana" w:hAnsi="Verdana"/>
          <w:b/>
          <w:sz w:val="20"/>
          <w:szCs w:val="20"/>
          <w:lang w:val="en-US"/>
        </w:rPr>
        <w:t>Preliminary observations</w:t>
      </w:r>
    </w:p>
    <w:p w14:paraId="75514215" w14:textId="77777777" w:rsidR="003C2143" w:rsidRPr="00D869E3" w:rsidRDefault="003C2143" w:rsidP="003C2143">
      <w:pPr>
        <w:jc w:val="both"/>
        <w:rPr>
          <w:rFonts w:ascii="Verdana" w:hAnsi="Verdana"/>
          <w:b/>
          <w:sz w:val="20"/>
          <w:szCs w:val="20"/>
          <w:lang w:val="en-US"/>
        </w:rPr>
      </w:pPr>
    </w:p>
    <w:p w14:paraId="49611112" w14:textId="7E3B0F28" w:rsidR="003C2143" w:rsidRPr="00D869E3" w:rsidRDefault="00304025" w:rsidP="003C2143">
      <w:pPr>
        <w:jc w:val="both"/>
        <w:rPr>
          <w:rFonts w:ascii="Verdana" w:hAnsi="Verdana"/>
          <w:sz w:val="20"/>
          <w:szCs w:val="20"/>
          <w:lang w:val="en-US"/>
        </w:rPr>
      </w:pPr>
      <w:r w:rsidRPr="00D869E3">
        <w:rPr>
          <w:rFonts w:ascii="Verdana" w:hAnsi="Verdana"/>
          <w:sz w:val="20"/>
          <w:szCs w:val="20"/>
          <w:lang w:val="en-US"/>
        </w:rPr>
        <w:t xml:space="preserve">This opinion is evidently provided with full and absolute respect for the decision taken in this case by </w:t>
      </w:r>
      <w:r w:rsidR="00447C65" w:rsidRPr="00D869E3">
        <w:rPr>
          <w:rFonts w:ascii="Verdana" w:hAnsi="Verdana"/>
          <w:sz w:val="20"/>
          <w:szCs w:val="20"/>
          <w:lang w:val="en-US"/>
        </w:rPr>
        <w:t>the Inter-American Court of Human Rights</w:t>
      </w:r>
      <w:r w:rsidRPr="00D869E3">
        <w:rPr>
          <w:rFonts w:ascii="Verdana" w:hAnsi="Verdana"/>
          <w:sz w:val="20"/>
          <w:szCs w:val="20"/>
          <w:lang w:val="en-US"/>
        </w:rPr>
        <w:t>,</w:t>
      </w:r>
      <w:r w:rsidR="003C2143" w:rsidRPr="00D869E3">
        <w:rPr>
          <w:rStyle w:val="Refdenotaalpie"/>
          <w:szCs w:val="20"/>
          <w:lang w:val="en-US"/>
        </w:rPr>
        <w:footnoteReference w:id="370"/>
      </w:r>
      <w:r w:rsidR="00687684" w:rsidRPr="00D869E3">
        <w:rPr>
          <w:rFonts w:ascii="Verdana" w:hAnsi="Verdana"/>
          <w:sz w:val="20"/>
          <w:szCs w:val="20"/>
          <w:lang w:val="en-US"/>
        </w:rPr>
        <w:t xml:space="preserve"> </w:t>
      </w:r>
      <w:r w:rsidRPr="00D869E3">
        <w:rPr>
          <w:rFonts w:ascii="Verdana" w:hAnsi="Verdana"/>
          <w:sz w:val="20"/>
          <w:szCs w:val="20"/>
          <w:lang w:val="en-US"/>
        </w:rPr>
        <w:t>which must therefore be complied with. Consequently, this text should in no way be interpreted as detracting from the legitimacy of the decision taken in this case</w:t>
      </w:r>
      <w:r w:rsidR="003C2143" w:rsidRPr="00D869E3">
        <w:rPr>
          <w:rFonts w:ascii="Verdana" w:hAnsi="Verdana"/>
          <w:sz w:val="20"/>
          <w:szCs w:val="20"/>
          <w:lang w:val="en-US"/>
        </w:rPr>
        <w:t>.</w:t>
      </w:r>
      <w:r w:rsidR="00687684" w:rsidRPr="00D869E3">
        <w:rPr>
          <w:rFonts w:ascii="Verdana" w:hAnsi="Verdana"/>
          <w:sz w:val="20"/>
          <w:szCs w:val="20"/>
          <w:lang w:val="en-US"/>
        </w:rPr>
        <w:t xml:space="preserve"> </w:t>
      </w:r>
      <w:r w:rsidRPr="00D869E3">
        <w:rPr>
          <w:rFonts w:ascii="Verdana" w:hAnsi="Verdana"/>
          <w:sz w:val="20"/>
          <w:szCs w:val="20"/>
          <w:lang w:val="en-US"/>
        </w:rPr>
        <w:t>However, this opinion is issued not only in the exercise of a right, but also to meet an obligation, which is to contribute to a better understanding of the function assigned to the Court.</w:t>
      </w:r>
      <w:r w:rsidR="003C2143" w:rsidRPr="00D869E3">
        <w:rPr>
          <w:rFonts w:ascii="Verdana" w:hAnsi="Verdana"/>
          <w:sz w:val="20"/>
          <w:szCs w:val="20"/>
          <w:lang w:val="en-US"/>
        </w:rPr>
        <w:t xml:space="preserve"> </w:t>
      </w:r>
    </w:p>
    <w:p w14:paraId="2BD8B988" w14:textId="77777777" w:rsidR="003C2143" w:rsidRPr="00D869E3" w:rsidRDefault="003C2143" w:rsidP="003C2143">
      <w:pPr>
        <w:jc w:val="both"/>
        <w:rPr>
          <w:rFonts w:ascii="Verdana" w:hAnsi="Verdana"/>
          <w:sz w:val="20"/>
          <w:szCs w:val="20"/>
          <w:lang w:val="en-US"/>
        </w:rPr>
      </w:pPr>
    </w:p>
    <w:p w14:paraId="34524FA7" w14:textId="2DA061F1" w:rsidR="003C2143" w:rsidRPr="00D869E3" w:rsidRDefault="00A43856" w:rsidP="003C2143">
      <w:pPr>
        <w:jc w:val="both"/>
        <w:rPr>
          <w:rFonts w:ascii="Verdana" w:hAnsi="Verdana"/>
          <w:sz w:val="20"/>
          <w:szCs w:val="20"/>
          <w:lang w:val="en-US"/>
        </w:rPr>
      </w:pPr>
      <w:r w:rsidRPr="00D869E3">
        <w:rPr>
          <w:rFonts w:ascii="Verdana" w:hAnsi="Verdana"/>
          <w:sz w:val="20"/>
          <w:szCs w:val="20"/>
          <w:lang w:val="en-US"/>
        </w:rPr>
        <w:t xml:space="preserve">From that perspective, it should be pointed out that this opinion, such as others issued by the judges in this and other cases, </w:t>
      </w:r>
      <w:r w:rsidR="00D92CBF" w:rsidRPr="00D869E3">
        <w:rPr>
          <w:rFonts w:ascii="Verdana" w:hAnsi="Verdana"/>
          <w:sz w:val="20"/>
          <w:szCs w:val="20"/>
          <w:lang w:val="en-US"/>
        </w:rPr>
        <w:t>is</w:t>
      </w:r>
      <w:r w:rsidRPr="00D869E3">
        <w:rPr>
          <w:rFonts w:ascii="Verdana" w:hAnsi="Verdana"/>
          <w:sz w:val="20"/>
          <w:szCs w:val="20"/>
          <w:lang w:val="en-US"/>
        </w:rPr>
        <w:t xml:space="preserve"> a clear demonstration of the dialogue and the diversity of opinions that exist in the Court, as well as the deference shown to its members, all of which evidently enhances the delicate and transcendental task with which they are entrusted</w:t>
      </w:r>
      <w:r w:rsidR="003C2143" w:rsidRPr="00D869E3">
        <w:rPr>
          <w:rFonts w:ascii="Verdana" w:hAnsi="Verdana"/>
          <w:sz w:val="20"/>
          <w:szCs w:val="20"/>
          <w:lang w:val="en-US"/>
        </w:rPr>
        <w:t>.</w:t>
      </w:r>
    </w:p>
    <w:p w14:paraId="54C68AD0" w14:textId="77777777" w:rsidR="003C2143" w:rsidRPr="00D869E3" w:rsidRDefault="003C2143" w:rsidP="003C2143">
      <w:pPr>
        <w:jc w:val="both"/>
        <w:rPr>
          <w:rFonts w:ascii="Verdana" w:hAnsi="Verdana"/>
          <w:sz w:val="20"/>
          <w:szCs w:val="20"/>
          <w:lang w:val="en-US"/>
        </w:rPr>
      </w:pPr>
    </w:p>
    <w:p w14:paraId="5FC842E6" w14:textId="3902B0ED" w:rsidR="003C2143" w:rsidRPr="00D869E3" w:rsidRDefault="00A43856" w:rsidP="003C2143">
      <w:pPr>
        <w:jc w:val="both"/>
        <w:rPr>
          <w:rFonts w:ascii="Verdana" w:hAnsi="Verdana"/>
          <w:sz w:val="20"/>
          <w:szCs w:val="20"/>
          <w:lang w:val="en-US"/>
        </w:rPr>
      </w:pPr>
      <w:r w:rsidRPr="00D869E3">
        <w:rPr>
          <w:rFonts w:ascii="Verdana" w:hAnsi="Verdana"/>
          <w:sz w:val="20"/>
          <w:szCs w:val="20"/>
          <w:lang w:val="en-US"/>
        </w:rPr>
        <w:t xml:space="preserve">Furthermore, it should be noted that this text is based on the conviction that the work of the Court is to interpret and to apply </w:t>
      </w:r>
      <w:r w:rsidR="00447C65" w:rsidRPr="00D869E3">
        <w:rPr>
          <w:rFonts w:ascii="Verdana" w:hAnsi="Verdana"/>
          <w:sz w:val="20"/>
          <w:szCs w:val="20"/>
          <w:lang w:val="en-US"/>
        </w:rPr>
        <w:t>the Convention</w:t>
      </w:r>
      <w:r w:rsidRPr="00D869E3">
        <w:rPr>
          <w:rFonts w:ascii="Verdana" w:hAnsi="Verdana"/>
          <w:sz w:val="20"/>
          <w:szCs w:val="20"/>
          <w:lang w:val="en-US"/>
        </w:rPr>
        <w:t>;</w:t>
      </w:r>
      <w:r w:rsidR="003C2143" w:rsidRPr="00D869E3">
        <w:rPr>
          <w:rStyle w:val="Refdenotaalpie"/>
          <w:szCs w:val="20"/>
          <w:lang w:val="en-US"/>
        </w:rPr>
        <w:footnoteReference w:id="371"/>
      </w:r>
      <w:r w:rsidRPr="00D869E3">
        <w:rPr>
          <w:rFonts w:ascii="Verdana" w:hAnsi="Verdana"/>
          <w:sz w:val="20"/>
          <w:szCs w:val="20"/>
          <w:lang w:val="en-US"/>
        </w:rPr>
        <w:t xml:space="preserve"> that is, to indicate the meaning and scope of its provisions, which </w:t>
      </w:r>
      <w:r w:rsidR="00D92CBF" w:rsidRPr="00D869E3">
        <w:rPr>
          <w:rFonts w:ascii="Verdana" w:hAnsi="Verdana"/>
          <w:sz w:val="20"/>
          <w:szCs w:val="20"/>
          <w:lang w:val="en-US"/>
        </w:rPr>
        <w:t>may be applied in</w:t>
      </w:r>
      <w:r w:rsidRPr="00D869E3">
        <w:rPr>
          <w:rFonts w:ascii="Verdana" w:hAnsi="Verdana"/>
          <w:sz w:val="20"/>
          <w:szCs w:val="20"/>
          <w:lang w:val="en-US"/>
        </w:rPr>
        <w:t xml:space="preserve"> different </w:t>
      </w:r>
      <w:r w:rsidR="00D92CBF" w:rsidRPr="00D869E3">
        <w:rPr>
          <w:rFonts w:ascii="Verdana" w:hAnsi="Verdana"/>
          <w:sz w:val="20"/>
          <w:szCs w:val="20"/>
          <w:lang w:val="en-US"/>
        </w:rPr>
        <w:t>ways</w:t>
      </w:r>
      <w:r w:rsidR="0015166D" w:rsidRPr="00D869E3">
        <w:rPr>
          <w:rFonts w:ascii="Verdana" w:hAnsi="Verdana"/>
          <w:sz w:val="20"/>
          <w:szCs w:val="20"/>
          <w:lang w:val="en-US"/>
        </w:rPr>
        <w:t xml:space="preserve"> </w:t>
      </w:r>
      <w:r w:rsidRPr="00D869E3">
        <w:rPr>
          <w:rFonts w:ascii="Verdana" w:hAnsi="Verdana"/>
          <w:sz w:val="20"/>
          <w:szCs w:val="20"/>
          <w:lang w:val="en-US"/>
        </w:rPr>
        <w:t>since</w:t>
      </w:r>
      <w:r w:rsidR="00D92CBF" w:rsidRPr="00D869E3">
        <w:rPr>
          <w:rFonts w:ascii="Verdana" w:hAnsi="Verdana"/>
          <w:sz w:val="20"/>
          <w:szCs w:val="20"/>
          <w:lang w:val="en-US"/>
        </w:rPr>
        <w:t>,</w:t>
      </w:r>
      <w:r w:rsidRPr="00D869E3">
        <w:rPr>
          <w:rFonts w:ascii="Verdana" w:hAnsi="Verdana"/>
          <w:sz w:val="20"/>
          <w:szCs w:val="20"/>
          <w:lang w:val="en-US"/>
        </w:rPr>
        <w:t xml:space="preserve"> to some extent</w:t>
      </w:r>
      <w:r w:rsidR="00D92CBF" w:rsidRPr="00D869E3">
        <w:rPr>
          <w:rFonts w:ascii="Verdana" w:hAnsi="Verdana"/>
          <w:sz w:val="20"/>
          <w:szCs w:val="20"/>
          <w:lang w:val="en-US"/>
        </w:rPr>
        <w:t>, they are</w:t>
      </w:r>
      <w:r w:rsidRPr="00D869E3">
        <w:rPr>
          <w:rFonts w:ascii="Verdana" w:hAnsi="Verdana"/>
          <w:sz w:val="20"/>
          <w:szCs w:val="20"/>
          <w:lang w:val="en-US"/>
        </w:rPr>
        <w:t xml:space="preserve"> perceived to be obscure or debatable</w:t>
      </w:r>
      <w:r w:rsidR="0015166D" w:rsidRPr="00D869E3">
        <w:rPr>
          <w:rFonts w:ascii="Verdana" w:hAnsi="Verdana"/>
          <w:sz w:val="20"/>
          <w:szCs w:val="20"/>
          <w:lang w:val="en-US"/>
        </w:rPr>
        <w:t>. In this regard, it is not for the Court to amend the Convention, but merely to indicate what it really establishe</w:t>
      </w:r>
      <w:r w:rsidR="00D92CBF" w:rsidRPr="00D869E3">
        <w:rPr>
          <w:rFonts w:ascii="Verdana" w:hAnsi="Verdana"/>
          <w:sz w:val="20"/>
          <w:szCs w:val="20"/>
          <w:lang w:val="en-US"/>
        </w:rPr>
        <w:t>s</w:t>
      </w:r>
      <w:r w:rsidR="0015166D" w:rsidRPr="00D869E3">
        <w:rPr>
          <w:rFonts w:ascii="Verdana" w:hAnsi="Verdana"/>
          <w:sz w:val="20"/>
          <w:szCs w:val="20"/>
          <w:lang w:val="en-US"/>
        </w:rPr>
        <w:t xml:space="preserve"> and not what </w:t>
      </w:r>
      <w:r w:rsidR="00D92CBF" w:rsidRPr="00D869E3">
        <w:rPr>
          <w:rFonts w:ascii="Verdana" w:hAnsi="Verdana"/>
          <w:sz w:val="20"/>
          <w:szCs w:val="20"/>
          <w:lang w:val="en-US"/>
        </w:rPr>
        <w:t>the Court</w:t>
      </w:r>
      <w:r w:rsidR="0015166D" w:rsidRPr="00D869E3">
        <w:rPr>
          <w:rFonts w:ascii="Verdana" w:hAnsi="Verdana"/>
          <w:sz w:val="20"/>
          <w:szCs w:val="20"/>
          <w:lang w:val="en-US"/>
        </w:rPr>
        <w:t xml:space="preserve"> would like it to establish. Thus, </w:t>
      </w:r>
      <w:r w:rsidR="00D92CBF" w:rsidRPr="00D869E3">
        <w:rPr>
          <w:rFonts w:ascii="Verdana" w:hAnsi="Verdana"/>
          <w:sz w:val="20"/>
          <w:szCs w:val="20"/>
          <w:lang w:val="en-US"/>
        </w:rPr>
        <w:t>the Court’s</w:t>
      </w:r>
      <w:r w:rsidR="0015166D" w:rsidRPr="00D869E3">
        <w:rPr>
          <w:rFonts w:ascii="Verdana" w:hAnsi="Verdana"/>
          <w:sz w:val="20"/>
          <w:szCs w:val="20"/>
          <w:lang w:val="en-US"/>
        </w:rPr>
        <w:t xml:space="preserve"> function is to clarify the intention that the States Parties to the Convention had when signing it and, eventually, how it should be understood in relation to new situations. And, it is in order to determine that </w:t>
      </w:r>
      <w:r w:rsidR="00D92CBF" w:rsidRPr="00D869E3">
        <w:rPr>
          <w:rFonts w:ascii="Verdana" w:hAnsi="Verdana"/>
          <w:sz w:val="20"/>
          <w:szCs w:val="20"/>
          <w:lang w:val="en-US"/>
        </w:rPr>
        <w:t xml:space="preserve">intention </w:t>
      </w:r>
      <w:r w:rsidR="0015166D" w:rsidRPr="00D869E3">
        <w:rPr>
          <w:rFonts w:ascii="Verdana" w:hAnsi="Verdana"/>
          <w:sz w:val="20"/>
          <w:szCs w:val="20"/>
          <w:lang w:val="en-US"/>
        </w:rPr>
        <w:t xml:space="preserve">that it should abide by the rules for the interpretation of treaties contained in </w:t>
      </w:r>
      <w:r w:rsidR="00447C65" w:rsidRPr="00D869E3">
        <w:rPr>
          <w:rFonts w:ascii="Verdana" w:hAnsi="Verdana"/>
          <w:sz w:val="20"/>
          <w:szCs w:val="20"/>
          <w:lang w:val="en-US"/>
        </w:rPr>
        <w:t xml:space="preserve">the </w:t>
      </w:r>
      <w:r w:rsidR="00075E68" w:rsidRPr="00D869E3">
        <w:rPr>
          <w:rFonts w:ascii="Verdana" w:hAnsi="Verdana"/>
          <w:sz w:val="20"/>
          <w:szCs w:val="20"/>
          <w:lang w:val="en-US"/>
        </w:rPr>
        <w:t>Vienna Convention on the Law of Treaties</w:t>
      </w:r>
      <w:r w:rsidR="003C2143" w:rsidRPr="00D869E3">
        <w:rPr>
          <w:rFonts w:ascii="Verdana" w:hAnsi="Verdana"/>
          <w:sz w:val="20"/>
          <w:szCs w:val="20"/>
          <w:lang w:val="en-US"/>
        </w:rPr>
        <w:t xml:space="preserve"> </w:t>
      </w:r>
      <w:r w:rsidR="0015166D" w:rsidRPr="00D869E3">
        <w:rPr>
          <w:rFonts w:ascii="Verdana" w:hAnsi="Verdana"/>
          <w:sz w:val="20"/>
          <w:szCs w:val="20"/>
          <w:lang w:val="en-US"/>
        </w:rPr>
        <w:t>and, in particular, those established in its</w:t>
      </w:r>
      <w:r w:rsidR="003C2143" w:rsidRPr="00D869E3">
        <w:rPr>
          <w:rFonts w:ascii="Verdana" w:hAnsi="Verdana"/>
          <w:sz w:val="20"/>
          <w:szCs w:val="20"/>
          <w:lang w:val="en-US"/>
        </w:rPr>
        <w:t xml:space="preserve"> </w:t>
      </w:r>
      <w:r w:rsidR="00447C65" w:rsidRPr="00D869E3">
        <w:rPr>
          <w:rFonts w:ascii="Verdana" w:hAnsi="Verdana"/>
          <w:sz w:val="20"/>
          <w:szCs w:val="20"/>
          <w:lang w:val="en-US"/>
        </w:rPr>
        <w:t>Article</w:t>
      </w:r>
      <w:r w:rsidR="003C2143" w:rsidRPr="00D869E3">
        <w:rPr>
          <w:rFonts w:ascii="Verdana" w:hAnsi="Verdana"/>
          <w:sz w:val="20"/>
          <w:szCs w:val="20"/>
          <w:lang w:val="en-US"/>
        </w:rPr>
        <w:t xml:space="preserve"> 31</w:t>
      </w:r>
      <w:r w:rsidR="0015166D" w:rsidRPr="00D869E3">
        <w:rPr>
          <w:rFonts w:ascii="Verdana" w:hAnsi="Verdana"/>
          <w:sz w:val="20"/>
          <w:szCs w:val="20"/>
          <w:lang w:val="en-US"/>
        </w:rPr>
        <w:t>,</w:t>
      </w:r>
      <w:r w:rsidR="003C2143" w:rsidRPr="00D869E3">
        <w:rPr>
          <w:rStyle w:val="Refdenotaalpie"/>
          <w:szCs w:val="20"/>
          <w:lang w:val="en-US"/>
        </w:rPr>
        <w:footnoteReference w:id="372"/>
      </w:r>
      <w:r w:rsidR="0015166D" w:rsidRPr="00D869E3">
        <w:rPr>
          <w:rFonts w:ascii="Verdana" w:hAnsi="Verdana"/>
          <w:sz w:val="20"/>
          <w:szCs w:val="20"/>
          <w:lang w:val="en-US"/>
        </w:rPr>
        <w:t xml:space="preserve"> understanding that the four elements set out in it should be applied simultaneously and harmoniously.</w:t>
      </w:r>
    </w:p>
    <w:p w14:paraId="20BB5CA1" w14:textId="77777777" w:rsidR="003C2143" w:rsidRPr="00D869E3" w:rsidRDefault="003C2143" w:rsidP="003C2143">
      <w:pPr>
        <w:jc w:val="both"/>
        <w:rPr>
          <w:rFonts w:ascii="Verdana" w:hAnsi="Verdana"/>
          <w:sz w:val="20"/>
          <w:szCs w:val="20"/>
          <w:lang w:val="en-US"/>
        </w:rPr>
      </w:pPr>
    </w:p>
    <w:p w14:paraId="4EDD559E" w14:textId="79BD330E" w:rsidR="003C2143" w:rsidRPr="00D869E3" w:rsidRDefault="0015166D" w:rsidP="003C2143">
      <w:pPr>
        <w:jc w:val="both"/>
        <w:rPr>
          <w:rFonts w:ascii="Verdana" w:hAnsi="Verdana"/>
          <w:sz w:val="20"/>
          <w:szCs w:val="20"/>
          <w:lang w:val="en-US"/>
        </w:rPr>
      </w:pPr>
      <w:r w:rsidRPr="00D869E3">
        <w:rPr>
          <w:rFonts w:ascii="Verdana" w:hAnsi="Verdana"/>
          <w:sz w:val="20"/>
          <w:szCs w:val="20"/>
          <w:lang w:val="en-US"/>
        </w:rPr>
        <w:t>It is worth adding, in this regard, that the Court’s mandate is to impart justice us</w:t>
      </w:r>
      <w:r w:rsidR="00A15CDE" w:rsidRPr="00D869E3">
        <w:rPr>
          <w:rFonts w:ascii="Verdana" w:hAnsi="Verdana"/>
          <w:sz w:val="20"/>
          <w:szCs w:val="20"/>
          <w:lang w:val="en-US"/>
        </w:rPr>
        <w:t>ing the</w:t>
      </w:r>
      <w:r w:rsidRPr="00D869E3">
        <w:rPr>
          <w:rFonts w:ascii="Verdana" w:hAnsi="Verdana"/>
          <w:sz w:val="20"/>
          <w:szCs w:val="20"/>
          <w:lang w:val="en-US"/>
        </w:rPr>
        <w:t xml:space="preserve"> law.</w:t>
      </w:r>
      <w:r w:rsidR="003C2143" w:rsidRPr="00D869E3">
        <w:rPr>
          <w:rStyle w:val="Refdenotaalpie"/>
          <w:szCs w:val="20"/>
          <w:lang w:val="en-US"/>
        </w:rPr>
        <w:footnoteReference w:id="373"/>
      </w:r>
      <w:r w:rsidRPr="00D869E3">
        <w:rPr>
          <w:rFonts w:ascii="Verdana" w:hAnsi="Verdana"/>
          <w:sz w:val="20"/>
          <w:szCs w:val="20"/>
          <w:lang w:val="en-US"/>
        </w:rPr>
        <w:t xml:space="preserve"> It is not incumbent on the Court to promote human rights</w:t>
      </w:r>
      <w:r w:rsidR="003C2143" w:rsidRPr="00D869E3">
        <w:rPr>
          <w:rFonts w:ascii="Verdana" w:hAnsi="Verdana"/>
          <w:sz w:val="20"/>
          <w:szCs w:val="20"/>
          <w:lang w:val="en-US"/>
        </w:rPr>
        <w:t>,</w:t>
      </w:r>
      <w:r w:rsidRPr="00D869E3">
        <w:rPr>
          <w:rFonts w:ascii="Verdana" w:hAnsi="Verdana"/>
          <w:sz w:val="20"/>
          <w:szCs w:val="20"/>
          <w:lang w:val="en-US"/>
        </w:rPr>
        <w:t xml:space="preserve"> which is the function </w:t>
      </w:r>
      <w:r w:rsidR="00A15CDE" w:rsidRPr="00D869E3">
        <w:rPr>
          <w:rFonts w:ascii="Verdana" w:hAnsi="Verdana"/>
          <w:sz w:val="20"/>
          <w:szCs w:val="20"/>
          <w:lang w:val="en-US"/>
        </w:rPr>
        <w:t xml:space="preserve">that </w:t>
      </w:r>
      <w:r w:rsidR="00447C65" w:rsidRPr="00D869E3">
        <w:rPr>
          <w:rFonts w:ascii="Verdana" w:hAnsi="Verdana"/>
          <w:sz w:val="20"/>
          <w:szCs w:val="20"/>
          <w:lang w:val="en-US"/>
        </w:rPr>
        <w:t>the Convention</w:t>
      </w:r>
      <w:r w:rsidR="003C2143" w:rsidRPr="00D869E3">
        <w:rPr>
          <w:rFonts w:ascii="Verdana" w:hAnsi="Verdana"/>
          <w:sz w:val="20"/>
          <w:szCs w:val="20"/>
          <w:lang w:val="en-US"/>
        </w:rPr>
        <w:t xml:space="preserve"> </w:t>
      </w:r>
      <w:r w:rsidR="00A15CDE" w:rsidRPr="00D869E3">
        <w:rPr>
          <w:rFonts w:ascii="Verdana" w:hAnsi="Verdana"/>
          <w:sz w:val="20"/>
          <w:szCs w:val="20"/>
          <w:lang w:val="en-US"/>
        </w:rPr>
        <w:t xml:space="preserve">assigns </w:t>
      </w:r>
      <w:r w:rsidR="00304025" w:rsidRPr="00D869E3">
        <w:rPr>
          <w:rFonts w:ascii="Verdana" w:hAnsi="Verdana"/>
          <w:sz w:val="20"/>
          <w:szCs w:val="20"/>
          <w:lang w:val="en-US"/>
        </w:rPr>
        <w:t>to</w:t>
      </w:r>
      <w:r w:rsidR="003C2143" w:rsidRPr="00D869E3">
        <w:rPr>
          <w:rFonts w:ascii="Verdana" w:hAnsi="Verdana"/>
          <w:sz w:val="20"/>
          <w:szCs w:val="20"/>
          <w:lang w:val="en-US"/>
        </w:rPr>
        <w:t xml:space="preserve"> </w:t>
      </w:r>
      <w:r w:rsidR="00447C65" w:rsidRPr="00D869E3">
        <w:rPr>
          <w:rFonts w:ascii="Verdana" w:hAnsi="Verdana"/>
          <w:sz w:val="20"/>
          <w:szCs w:val="20"/>
          <w:lang w:val="en-US"/>
        </w:rPr>
        <w:t>the Inter-American Commission on Human Rights</w:t>
      </w:r>
      <w:r w:rsidRPr="00D869E3">
        <w:rPr>
          <w:rFonts w:ascii="Verdana" w:hAnsi="Verdana"/>
          <w:sz w:val="20"/>
          <w:szCs w:val="20"/>
          <w:lang w:val="en-US"/>
        </w:rPr>
        <w:t>.</w:t>
      </w:r>
      <w:r w:rsidR="003C2143" w:rsidRPr="00D869E3">
        <w:rPr>
          <w:rStyle w:val="Refdenotaalpie"/>
          <w:szCs w:val="20"/>
          <w:lang w:val="en-US"/>
        </w:rPr>
        <w:footnoteReference w:id="374"/>
      </w:r>
      <w:r w:rsidR="003C2143" w:rsidRPr="00D869E3">
        <w:rPr>
          <w:rFonts w:ascii="Verdana" w:hAnsi="Verdana"/>
          <w:sz w:val="20"/>
          <w:szCs w:val="20"/>
          <w:lang w:val="en-US"/>
        </w:rPr>
        <w:t xml:space="preserve"> Conse</w:t>
      </w:r>
      <w:r w:rsidRPr="00D869E3">
        <w:rPr>
          <w:rFonts w:ascii="Verdana" w:hAnsi="Verdana"/>
          <w:sz w:val="20"/>
          <w:szCs w:val="20"/>
          <w:lang w:val="en-US"/>
        </w:rPr>
        <w:t>quently, as a judicial organ, the Court does not have the authority to rule outside or disregarding</w:t>
      </w:r>
      <w:r w:rsidR="00A15CDE" w:rsidRPr="00D869E3">
        <w:rPr>
          <w:rFonts w:ascii="Verdana" w:hAnsi="Verdana"/>
          <w:sz w:val="20"/>
          <w:szCs w:val="20"/>
          <w:lang w:val="en-US"/>
        </w:rPr>
        <w:t xml:space="preserve"> the</w:t>
      </w:r>
      <w:r w:rsidRPr="00D869E3">
        <w:rPr>
          <w:rFonts w:ascii="Verdana" w:hAnsi="Verdana"/>
          <w:sz w:val="20"/>
          <w:szCs w:val="20"/>
          <w:lang w:val="en-US"/>
        </w:rPr>
        <w:t xml:space="preserve"> legal provisions e</w:t>
      </w:r>
      <w:r w:rsidR="00A15CDE" w:rsidRPr="00D869E3">
        <w:rPr>
          <w:rFonts w:ascii="Verdana" w:hAnsi="Verdana"/>
          <w:sz w:val="20"/>
          <w:szCs w:val="20"/>
          <w:lang w:val="en-US"/>
        </w:rPr>
        <w:t>stablish</w:t>
      </w:r>
      <w:r w:rsidRPr="00D869E3">
        <w:rPr>
          <w:rFonts w:ascii="Verdana" w:hAnsi="Verdana"/>
          <w:sz w:val="20"/>
          <w:szCs w:val="20"/>
          <w:lang w:val="en-US"/>
        </w:rPr>
        <w:t xml:space="preserve">ed, for the purposes of the Court, in </w:t>
      </w:r>
      <w:r w:rsidR="00447C65" w:rsidRPr="00D869E3">
        <w:rPr>
          <w:rFonts w:ascii="Verdana" w:hAnsi="Verdana"/>
          <w:sz w:val="20"/>
          <w:szCs w:val="20"/>
          <w:lang w:val="en-US"/>
        </w:rPr>
        <w:t>the Convention</w:t>
      </w:r>
      <w:r w:rsidR="003C2143" w:rsidRPr="00D869E3">
        <w:rPr>
          <w:rFonts w:ascii="Verdana" w:hAnsi="Verdana"/>
          <w:sz w:val="20"/>
          <w:szCs w:val="20"/>
          <w:lang w:val="en-US"/>
        </w:rPr>
        <w:t xml:space="preserve">. </w:t>
      </w:r>
    </w:p>
    <w:p w14:paraId="195A9301" w14:textId="77777777" w:rsidR="00C21EDC" w:rsidRPr="00D869E3" w:rsidRDefault="00C21EDC" w:rsidP="003C2143">
      <w:pPr>
        <w:jc w:val="both"/>
        <w:rPr>
          <w:rFonts w:ascii="Verdana" w:hAnsi="Verdana"/>
          <w:sz w:val="20"/>
          <w:szCs w:val="20"/>
          <w:lang w:val="en-US"/>
        </w:rPr>
      </w:pPr>
    </w:p>
    <w:p w14:paraId="238BAB36" w14:textId="51F322F6" w:rsidR="003C2143" w:rsidRPr="00D869E3" w:rsidRDefault="0015166D" w:rsidP="003C2143">
      <w:pPr>
        <w:jc w:val="both"/>
        <w:rPr>
          <w:rFonts w:ascii="Verdana" w:hAnsi="Verdana"/>
          <w:sz w:val="20"/>
          <w:szCs w:val="20"/>
          <w:lang w:val="en-US"/>
        </w:rPr>
      </w:pPr>
      <w:bookmarkStart w:id="81" w:name="_Hlk27220866"/>
      <w:r w:rsidRPr="00D869E3">
        <w:rPr>
          <w:rFonts w:ascii="Verdana" w:hAnsi="Verdana"/>
          <w:sz w:val="20"/>
          <w:szCs w:val="20"/>
          <w:lang w:val="en-US"/>
        </w:rPr>
        <w:t>This dissent is</w:t>
      </w:r>
      <w:r w:rsidR="00CF0B80" w:rsidRPr="00D869E3">
        <w:rPr>
          <w:rFonts w:ascii="Verdana" w:hAnsi="Verdana"/>
          <w:sz w:val="20"/>
          <w:szCs w:val="20"/>
          <w:lang w:val="en-US"/>
        </w:rPr>
        <w:t xml:space="preserve"> manifested</w:t>
      </w:r>
      <w:r w:rsidR="00C21EDC" w:rsidRPr="00D869E3">
        <w:rPr>
          <w:rFonts w:ascii="Verdana" w:hAnsi="Verdana"/>
          <w:sz w:val="20"/>
          <w:szCs w:val="20"/>
          <w:lang w:val="en-US"/>
        </w:rPr>
        <w:t xml:space="preserve">, therefore, with the hope that, in future, it will be adopted either by the Court’s case law or by a new provision of international law. Regarding the former, </w:t>
      </w:r>
      <w:r w:rsidR="00EF4F73" w:rsidRPr="00D869E3">
        <w:rPr>
          <w:rFonts w:ascii="Verdana" w:hAnsi="Verdana"/>
          <w:sz w:val="20"/>
          <w:szCs w:val="20"/>
          <w:lang w:val="en-US"/>
        </w:rPr>
        <w:t>because</w:t>
      </w:r>
      <w:r w:rsidR="00C21EDC" w:rsidRPr="00D869E3">
        <w:rPr>
          <w:rFonts w:ascii="Verdana" w:hAnsi="Verdana"/>
          <w:sz w:val="20"/>
          <w:szCs w:val="20"/>
          <w:lang w:val="en-US"/>
        </w:rPr>
        <w:t xml:space="preserve"> the Court’s judgment is only binding for the State that is a party to the case in which it is delivered,</w:t>
      </w:r>
      <w:r w:rsidR="003C2143" w:rsidRPr="00D869E3">
        <w:rPr>
          <w:rStyle w:val="Refdenotaalpie"/>
          <w:szCs w:val="20"/>
          <w:lang w:val="en-US"/>
        </w:rPr>
        <w:footnoteReference w:id="375"/>
      </w:r>
      <w:r w:rsidR="00C21EDC" w:rsidRPr="00D869E3">
        <w:rPr>
          <w:rFonts w:ascii="Verdana" w:hAnsi="Verdana"/>
          <w:sz w:val="20"/>
          <w:szCs w:val="20"/>
          <w:lang w:val="en-US"/>
        </w:rPr>
        <w:t xml:space="preserve"> </w:t>
      </w:r>
      <w:r w:rsidR="001A17CF" w:rsidRPr="00D869E3">
        <w:rPr>
          <w:rFonts w:ascii="Verdana" w:hAnsi="Verdana"/>
          <w:sz w:val="20"/>
          <w:szCs w:val="20"/>
          <w:lang w:val="en-US"/>
        </w:rPr>
        <w:t xml:space="preserve">and thus, </w:t>
      </w:r>
      <w:r w:rsidR="00EF4F73" w:rsidRPr="00D869E3">
        <w:rPr>
          <w:rFonts w:ascii="Verdana" w:hAnsi="Verdana"/>
          <w:sz w:val="20"/>
          <w:szCs w:val="20"/>
          <w:lang w:val="en-US"/>
        </w:rPr>
        <w:t xml:space="preserve">the Court’s case law, as an ancillary source of international law and, </w:t>
      </w:r>
      <w:r w:rsidR="00EF4F73" w:rsidRPr="00D869E3">
        <w:rPr>
          <w:rFonts w:ascii="Verdana" w:hAnsi="Verdana"/>
          <w:sz w:val="20"/>
          <w:szCs w:val="20"/>
          <w:lang w:val="en-US"/>
        </w:rPr>
        <w:lastRenderedPageBreak/>
        <w:t xml:space="preserve">consequently, a means of </w:t>
      </w:r>
      <w:r w:rsidR="006436CA" w:rsidRPr="00D869E3">
        <w:rPr>
          <w:rFonts w:ascii="Verdana" w:hAnsi="Verdana"/>
          <w:sz w:val="20"/>
          <w:szCs w:val="20"/>
          <w:lang w:val="en-US"/>
        </w:rPr>
        <w:t>“</w:t>
      </w:r>
      <w:r w:rsidR="00EF4F73" w:rsidRPr="00D869E3">
        <w:rPr>
          <w:rFonts w:ascii="Verdana" w:hAnsi="Verdana"/>
          <w:sz w:val="20"/>
          <w:szCs w:val="20"/>
          <w:lang w:val="en-US"/>
        </w:rPr>
        <w:t>determining the rules of law</w:t>
      </w:r>
      <w:r w:rsidR="006436CA" w:rsidRPr="00D869E3">
        <w:rPr>
          <w:rFonts w:ascii="Verdana" w:hAnsi="Verdana"/>
          <w:sz w:val="20"/>
          <w:szCs w:val="20"/>
          <w:lang w:val="en-US"/>
        </w:rPr>
        <w:t>”</w:t>
      </w:r>
      <w:r w:rsidR="00EF4F73" w:rsidRPr="00D869E3">
        <w:rPr>
          <w:rFonts w:ascii="Verdana" w:hAnsi="Verdana"/>
          <w:sz w:val="20"/>
          <w:szCs w:val="20"/>
          <w:lang w:val="en-US"/>
        </w:rPr>
        <w:t xml:space="preserve"> established by an autonomous source of international law – in other words, treaty, custom, general principle of</w:t>
      </w:r>
      <w:r w:rsidR="00C21EDC" w:rsidRPr="00D869E3">
        <w:rPr>
          <w:rFonts w:ascii="Verdana" w:hAnsi="Verdana"/>
          <w:sz w:val="20"/>
          <w:szCs w:val="20"/>
          <w:lang w:val="en-US"/>
        </w:rPr>
        <w:t xml:space="preserve"> law or unilateral legal act</w:t>
      </w:r>
      <w:r w:rsidR="003C2143" w:rsidRPr="00D869E3">
        <w:rPr>
          <w:rFonts w:ascii="Verdana" w:hAnsi="Verdana"/>
          <w:sz w:val="20"/>
          <w:szCs w:val="20"/>
          <w:lang w:val="en-US"/>
        </w:rPr>
        <w:t>,</w:t>
      </w:r>
      <w:r w:rsidR="003C2143" w:rsidRPr="00D869E3">
        <w:rPr>
          <w:rStyle w:val="Refdenotaalpie"/>
          <w:szCs w:val="20"/>
          <w:lang w:val="en-US"/>
        </w:rPr>
        <w:footnoteReference w:id="376"/>
      </w:r>
      <w:r w:rsidR="003C2143" w:rsidRPr="00D869E3">
        <w:rPr>
          <w:rFonts w:ascii="Verdana" w:hAnsi="Verdana"/>
          <w:sz w:val="20"/>
          <w:szCs w:val="20"/>
          <w:lang w:val="en-US"/>
        </w:rPr>
        <w:t xml:space="preserve"> </w:t>
      </w:r>
      <w:r w:rsidR="00C21EDC" w:rsidRPr="00D869E3">
        <w:rPr>
          <w:rFonts w:ascii="Verdana" w:hAnsi="Verdana"/>
          <w:sz w:val="20"/>
          <w:szCs w:val="20"/>
          <w:lang w:val="en-US"/>
        </w:rPr>
        <w:t>may, in future change when judgment</w:t>
      </w:r>
      <w:r w:rsidR="00EF4F73" w:rsidRPr="00D869E3">
        <w:rPr>
          <w:rFonts w:ascii="Verdana" w:hAnsi="Verdana"/>
          <w:sz w:val="20"/>
          <w:szCs w:val="20"/>
          <w:lang w:val="en-US"/>
        </w:rPr>
        <w:t xml:space="preserve"> is handed down</w:t>
      </w:r>
      <w:r w:rsidR="00C21EDC" w:rsidRPr="00D869E3">
        <w:rPr>
          <w:rFonts w:ascii="Verdana" w:hAnsi="Verdana"/>
          <w:sz w:val="20"/>
          <w:szCs w:val="20"/>
          <w:lang w:val="en-US"/>
        </w:rPr>
        <w:t xml:space="preserve"> in another case. And, regarding the latter, </w:t>
      </w:r>
      <w:r w:rsidR="00EF4F73" w:rsidRPr="00D869E3">
        <w:rPr>
          <w:rFonts w:ascii="Verdana" w:hAnsi="Verdana"/>
          <w:sz w:val="20"/>
          <w:szCs w:val="20"/>
          <w:lang w:val="en-US"/>
        </w:rPr>
        <w:t>because</w:t>
      </w:r>
      <w:r w:rsidR="00C21EDC" w:rsidRPr="00D869E3">
        <w:rPr>
          <w:rFonts w:ascii="Verdana" w:hAnsi="Verdana"/>
          <w:sz w:val="20"/>
          <w:szCs w:val="20"/>
          <w:lang w:val="en-US"/>
        </w:rPr>
        <w:t xml:space="preserve"> the</w:t>
      </w:r>
      <w:r w:rsidR="00CF0B80" w:rsidRPr="00D869E3">
        <w:rPr>
          <w:rFonts w:ascii="Verdana" w:hAnsi="Verdana"/>
          <w:sz w:val="20"/>
          <w:szCs w:val="20"/>
          <w:lang w:val="en-US"/>
        </w:rPr>
        <w:t xml:space="preserve"> function of developing</w:t>
      </w:r>
      <w:r w:rsidR="00C21EDC" w:rsidRPr="00D869E3">
        <w:rPr>
          <w:rFonts w:ascii="Verdana" w:hAnsi="Verdana"/>
          <w:sz w:val="20"/>
          <w:szCs w:val="20"/>
          <w:lang w:val="en-US"/>
        </w:rPr>
        <w:t xml:space="preserve"> international </w:t>
      </w:r>
      <w:r w:rsidR="00A15CDE" w:rsidRPr="00D869E3">
        <w:rPr>
          <w:rFonts w:ascii="Verdana" w:hAnsi="Verdana"/>
          <w:sz w:val="20"/>
          <w:szCs w:val="20"/>
          <w:lang w:val="en-US"/>
        </w:rPr>
        <w:t>standards</w:t>
      </w:r>
      <w:r w:rsidR="00CF0B80" w:rsidRPr="00D869E3">
        <w:rPr>
          <w:rFonts w:ascii="Verdana" w:hAnsi="Verdana"/>
          <w:sz w:val="20"/>
          <w:szCs w:val="20"/>
          <w:lang w:val="en-US"/>
        </w:rPr>
        <w:t xml:space="preserve"> is </w:t>
      </w:r>
      <w:r w:rsidR="00EF4F73" w:rsidRPr="00D869E3">
        <w:rPr>
          <w:rFonts w:ascii="Verdana" w:hAnsi="Verdana"/>
          <w:sz w:val="20"/>
          <w:szCs w:val="20"/>
          <w:lang w:val="en-US"/>
        </w:rPr>
        <w:t xml:space="preserve">a </w:t>
      </w:r>
      <w:r w:rsidR="00CF0B80" w:rsidRPr="00D869E3">
        <w:rPr>
          <w:rFonts w:ascii="Verdana" w:hAnsi="Verdana"/>
          <w:sz w:val="20"/>
          <w:szCs w:val="20"/>
          <w:lang w:val="en-US"/>
        </w:rPr>
        <w:t>matter for</w:t>
      </w:r>
      <w:r w:rsidR="00C21EDC" w:rsidRPr="00D869E3">
        <w:rPr>
          <w:rFonts w:ascii="Verdana" w:hAnsi="Verdana"/>
          <w:sz w:val="20"/>
          <w:szCs w:val="20"/>
          <w:lang w:val="en-US"/>
        </w:rPr>
        <w:t xml:space="preserve"> the States and, in the case of the Convention, its States Parties, </w:t>
      </w:r>
      <w:r w:rsidR="00A15CDE" w:rsidRPr="00D869E3">
        <w:rPr>
          <w:rFonts w:ascii="Verdana" w:hAnsi="Verdana"/>
          <w:sz w:val="20"/>
          <w:szCs w:val="20"/>
          <w:lang w:val="en-US"/>
        </w:rPr>
        <w:t>by</w:t>
      </w:r>
      <w:r w:rsidR="00C21EDC" w:rsidRPr="00D869E3">
        <w:rPr>
          <w:rFonts w:ascii="Verdana" w:hAnsi="Verdana"/>
          <w:sz w:val="20"/>
          <w:szCs w:val="20"/>
          <w:lang w:val="en-US"/>
        </w:rPr>
        <w:t xml:space="preserve"> amendments to the Convention</w:t>
      </w:r>
      <w:bookmarkEnd w:id="81"/>
      <w:r w:rsidR="00C21EDC" w:rsidRPr="00D869E3">
        <w:rPr>
          <w:rFonts w:ascii="Verdana" w:hAnsi="Verdana"/>
          <w:sz w:val="20"/>
          <w:szCs w:val="20"/>
          <w:lang w:val="en-US"/>
        </w:rPr>
        <w:t>.</w:t>
      </w:r>
      <w:r w:rsidR="003C2143" w:rsidRPr="00D869E3">
        <w:rPr>
          <w:rStyle w:val="Refdenotaalpie"/>
          <w:szCs w:val="20"/>
          <w:lang w:val="en-US"/>
        </w:rPr>
        <w:footnoteReference w:id="377"/>
      </w:r>
    </w:p>
    <w:p w14:paraId="4033FE06" w14:textId="77777777" w:rsidR="003C2143" w:rsidRPr="00D869E3" w:rsidRDefault="003C2143" w:rsidP="003C2143">
      <w:pPr>
        <w:jc w:val="both"/>
        <w:rPr>
          <w:rFonts w:ascii="Verdana" w:hAnsi="Verdana"/>
          <w:sz w:val="20"/>
          <w:szCs w:val="20"/>
          <w:lang w:val="en-US"/>
        </w:rPr>
      </w:pPr>
    </w:p>
    <w:p w14:paraId="1EC42A0E" w14:textId="4385D8EC" w:rsidR="001A17CF" w:rsidRPr="00D869E3" w:rsidRDefault="001A17CF" w:rsidP="003C2143">
      <w:pPr>
        <w:jc w:val="both"/>
        <w:rPr>
          <w:rFonts w:ascii="Verdana" w:hAnsi="Verdana"/>
          <w:sz w:val="20"/>
          <w:szCs w:val="20"/>
          <w:lang w:val="en-US"/>
        </w:rPr>
      </w:pPr>
      <w:r w:rsidRPr="00D869E3">
        <w:rPr>
          <w:rFonts w:ascii="Verdana" w:hAnsi="Verdana"/>
          <w:sz w:val="20"/>
          <w:szCs w:val="20"/>
          <w:lang w:val="en-US"/>
        </w:rPr>
        <w:t xml:space="preserve">Therefore, </w:t>
      </w:r>
      <w:r w:rsidR="00A15CDE" w:rsidRPr="00D869E3">
        <w:rPr>
          <w:rFonts w:ascii="Verdana" w:hAnsi="Verdana"/>
          <w:sz w:val="20"/>
          <w:szCs w:val="20"/>
          <w:lang w:val="en-US"/>
        </w:rPr>
        <w:t>I</w:t>
      </w:r>
      <w:r w:rsidRPr="00D869E3">
        <w:rPr>
          <w:rFonts w:ascii="Verdana" w:hAnsi="Verdana"/>
          <w:sz w:val="20"/>
          <w:szCs w:val="20"/>
          <w:lang w:val="en-US"/>
        </w:rPr>
        <w:t xml:space="preserve"> </w:t>
      </w:r>
      <w:r w:rsidR="00DD42B2" w:rsidRPr="00D869E3">
        <w:rPr>
          <w:rFonts w:ascii="Verdana" w:hAnsi="Verdana"/>
          <w:sz w:val="20"/>
          <w:szCs w:val="20"/>
          <w:lang w:val="en-US"/>
        </w:rPr>
        <w:t>wish to</w:t>
      </w:r>
      <w:r w:rsidRPr="00D869E3">
        <w:rPr>
          <w:rFonts w:ascii="Verdana" w:hAnsi="Verdana"/>
          <w:sz w:val="20"/>
          <w:szCs w:val="20"/>
          <w:lang w:val="en-US"/>
        </w:rPr>
        <w:t xml:space="preserve"> put on record that, the considerations se</w:t>
      </w:r>
      <w:r w:rsidR="00A15CDE" w:rsidRPr="00D869E3">
        <w:rPr>
          <w:rFonts w:ascii="Verdana" w:hAnsi="Verdana"/>
          <w:sz w:val="20"/>
          <w:szCs w:val="20"/>
          <w:lang w:val="en-US"/>
        </w:rPr>
        <w:t>t</w:t>
      </w:r>
      <w:r w:rsidRPr="00D869E3">
        <w:rPr>
          <w:rFonts w:ascii="Verdana" w:hAnsi="Verdana"/>
          <w:sz w:val="20"/>
          <w:szCs w:val="20"/>
          <w:lang w:val="en-US"/>
        </w:rPr>
        <w:t xml:space="preserve"> forth in this opinion do not seek, under any circumstance, to weaken or restrict the effectiveness of human rights, but rather, precisely the contrary. Indeed, </w:t>
      </w:r>
      <w:r w:rsidR="00A15CDE" w:rsidRPr="00D869E3">
        <w:rPr>
          <w:rFonts w:ascii="Verdana" w:hAnsi="Verdana"/>
          <w:sz w:val="20"/>
          <w:szCs w:val="20"/>
          <w:lang w:val="en-US"/>
        </w:rPr>
        <w:t>the following considerations</w:t>
      </w:r>
      <w:r w:rsidRPr="00D869E3">
        <w:rPr>
          <w:rFonts w:ascii="Verdana" w:hAnsi="Verdana"/>
          <w:sz w:val="20"/>
          <w:szCs w:val="20"/>
          <w:lang w:val="en-US"/>
        </w:rPr>
        <w:t xml:space="preserve"> respond to the certainty that real respect </w:t>
      </w:r>
      <w:r w:rsidR="00A15CDE" w:rsidRPr="00D869E3">
        <w:rPr>
          <w:rFonts w:ascii="Verdana" w:hAnsi="Verdana"/>
          <w:sz w:val="20"/>
          <w:szCs w:val="20"/>
          <w:lang w:val="en-US"/>
        </w:rPr>
        <w:t>for</w:t>
      </w:r>
      <w:r w:rsidRPr="00D869E3">
        <w:rPr>
          <w:rFonts w:ascii="Verdana" w:hAnsi="Verdana"/>
          <w:sz w:val="20"/>
          <w:szCs w:val="20"/>
          <w:lang w:val="en-US"/>
        </w:rPr>
        <w:t xml:space="preserve"> human rights is achieved if the States Parties to the Convention are required to comply with what they freely and sovereignly </w:t>
      </w:r>
      <w:r w:rsidR="00A15CDE" w:rsidRPr="00D869E3">
        <w:rPr>
          <w:rFonts w:ascii="Verdana" w:hAnsi="Verdana"/>
          <w:sz w:val="20"/>
          <w:szCs w:val="20"/>
          <w:lang w:val="en-US"/>
        </w:rPr>
        <w:t>accepted</w:t>
      </w:r>
      <w:r w:rsidRPr="00D869E3">
        <w:rPr>
          <w:rFonts w:ascii="Verdana" w:hAnsi="Verdana"/>
          <w:sz w:val="20"/>
          <w:szCs w:val="20"/>
          <w:lang w:val="en-US"/>
        </w:rPr>
        <w:t>. In this regard, legal certainty plays a fundamental role and, consequently, cannot be understood as a limitation or restriction to the development of human rights, but rather as the instrument that can best ensure real respect for them or their prompt re-establishment, if they have been violated.</w:t>
      </w:r>
    </w:p>
    <w:p w14:paraId="477D18A2" w14:textId="725BFB4B" w:rsidR="003C2143" w:rsidRPr="00D869E3" w:rsidRDefault="003C2143" w:rsidP="003C2143">
      <w:pPr>
        <w:jc w:val="both"/>
        <w:rPr>
          <w:rFonts w:ascii="Verdana" w:hAnsi="Verdana"/>
          <w:sz w:val="20"/>
          <w:szCs w:val="20"/>
          <w:lang w:val="en-US"/>
        </w:rPr>
      </w:pPr>
    </w:p>
    <w:p w14:paraId="2526E402" w14:textId="2F7F5711" w:rsidR="003C2143" w:rsidRPr="00D869E3" w:rsidRDefault="00D72EAC" w:rsidP="003C2143">
      <w:pPr>
        <w:jc w:val="both"/>
        <w:rPr>
          <w:rFonts w:ascii="Verdana" w:hAnsi="Verdana"/>
          <w:sz w:val="20"/>
          <w:szCs w:val="20"/>
          <w:lang w:val="en-US"/>
        </w:rPr>
      </w:pPr>
      <w:r w:rsidRPr="00D869E3">
        <w:rPr>
          <w:rFonts w:ascii="Verdana" w:hAnsi="Verdana"/>
          <w:sz w:val="20"/>
          <w:szCs w:val="20"/>
          <w:lang w:val="en-US"/>
        </w:rPr>
        <w:t xml:space="preserve">What underlies this text is, therefore, </w:t>
      </w:r>
      <w:r w:rsidR="00A15CDE" w:rsidRPr="00D869E3">
        <w:rPr>
          <w:rFonts w:ascii="Verdana" w:hAnsi="Verdana"/>
          <w:sz w:val="20"/>
          <w:szCs w:val="20"/>
          <w:lang w:val="en-US"/>
        </w:rPr>
        <w:t xml:space="preserve">the fact </w:t>
      </w:r>
      <w:r w:rsidRPr="00D869E3">
        <w:rPr>
          <w:rFonts w:ascii="Verdana" w:hAnsi="Verdana"/>
          <w:sz w:val="20"/>
          <w:szCs w:val="20"/>
          <w:lang w:val="en-US"/>
        </w:rPr>
        <w:t>that law is the means to achie</w:t>
      </w:r>
      <w:r w:rsidR="00A15CDE" w:rsidRPr="00D869E3">
        <w:rPr>
          <w:rFonts w:ascii="Verdana" w:hAnsi="Verdana"/>
          <w:sz w:val="20"/>
          <w:szCs w:val="20"/>
          <w:lang w:val="en-US"/>
        </w:rPr>
        <w:t>ve</w:t>
      </w:r>
      <w:r w:rsidRPr="00D869E3">
        <w:rPr>
          <w:rFonts w:ascii="Verdana" w:hAnsi="Verdana"/>
          <w:sz w:val="20"/>
          <w:szCs w:val="20"/>
          <w:lang w:val="en-US"/>
        </w:rPr>
        <w:t xml:space="preserve"> justice, and justice to achieve peace and, consequently, given that international human rights law forms part of general international law, the interpretation and application of the former should be carried out in harmony with the provisions of the latter.</w:t>
      </w:r>
      <w:r w:rsidR="003C2143" w:rsidRPr="00D869E3">
        <w:rPr>
          <w:rStyle w:val="Refdenotaalpie"/>
          <w:szCs w:val="20"/>
          <w:lang w:val="en-US"/>
        </w:rPr>
        <w:footnoteReference w:id="378"/>
      </w:r>
      <w:r w:rsidR="003C2143" w:rsidRPr="00D869E3">
        <w:rPr>
          <w:rFonts w:ascii="Verdana" w:hAnsi="Verdana"/>
          <w:sz w:val="20"/>
          <w:szCs w:val="20"/>
          <w:lang w:val="en-US"/>
        </w:rPr>
        <w:t xml:space="preserve"> </w:t>
      </w:r>
    </w:p>
    <w:p w14:paraId="6005DC71" w14:textId="77777777" w:rsidR="003C2143" w:rsidRPr="00D869E3" w:rsidRDefault="003C2143" w:rsidP="003C2143">
      <w:pPr>
        <w:jc w:val="both"/>
        <w:rPr>
          <w:rFonts w:ascii="Verdana" w:hAnsi="Verdana"/>
          <w:sz w:val="20"/>
          <w:szCs w:val="20"/>
          <w:lang w:val="en-US"/>
        </w:rPr>
      </w:pPr>
    </w:p>
    <w:p w14:paraId="7CC75678" w14:textId="7B24784C" w:rsidR="006D23CE" w:rsidRPr="00D869E3" w:rsidRDefault="00D72EAC" w:rsidP="003C2143">
      <w:pPr>
        <w:jc w:val="both"/>
        <w:rPr>
          <w:rFonts w:ascii="Verdana" w:hAnsi="Verdana"/>
          <w:sz w:val="20"/>
          <w:szCs w:val="20"/>
          <w:lang w:val="en-US"/>
        </w:rPr>
      </w:pPr>
      <w:r w:rsidRPr="00D869E3">
        <w:rPr>
          <w:rFonts w:ascii="Verdana" w:hAnsi="Verdana"/>
          <w:sz w:val="20"/>
          <w:szCs w:val="20"/>
          <w:lang w:val="en-US"/>
        </w:rPr>
        <w:t xml:space="preserve">In addition, it is relevant to indicate that this text also responds to the circumstance that the Court, as a judicial organ, enjoys the broadest autonomy in is task, </w:t>
      </w:r>
      <w:r w:rsidR="006D23CE" w:rsidRPr="00D869E3">
        <w:rPr>
          <w:rFonts w:ascii="Verdana" w:hAnsi="Verdana"/>
          <w:sz w:val="20"/>
          <w:szCs w:val="20"/>
          <w:lang w:val="en-US"/>
        </w:rPr>
        <w:t>since</w:t>
      </w:r>
      <w:r w:rsidRPr="00D869E3">
        <w:rPr>
          <w:rFonts w:ascii="Verdana" w:hAnsi="Verdana"/>
          <w:sz w:val="20"/>
          <w:szCs w:val="20"/>
          <w:lang w:val="en-US"/>
        </w:rPr>
        <w:t xml:space="preserve"> there is no higher authority that can control its conduct, a characteristic that means that it is essential </w:t>
      </w:r>
      <w:r w:rsidR="006D23CE" w:rsidRPr="00D869E3">
        <w:rPr>
          <w:rFonts w:ascii="Verdana" w:hAnsi="Verdana"/>
          <w:sz w:val="20"/>
          <w:szCs w:val="20"/>
          <w:lang w:val="en-US"/>
        </w:rPr>
        <w:t>for</w:t>
      </w:r>
      <w:r w:rsidRPr="00D869E3">
        <w:rPr>
          <w:rFonts w:ascii="Verdana" w:hAnsi="Verdana"/>
          <w:sz w:val="20"/>
          <w:szCs w:val="20"/>
          <w:lang w:val="en-US"/>
        </w:rPr>
        <w:t xml:space="preserve"> the Court </w:t>
      </w:r>
      <w:r w:rsidR="006D23CE" w:rsidRPr="00D869E3">
        <w:rPr>
          <w:rFonts w:ascii="Verdana" w:hAnsi="Verdana"/>
          <w:sz w:val="20"/>
          <w:szCs w:val="20"/>
          <w:lang w:val="en-US"/>
        </w:rPr>
        <w:t>to be</w:t>
      </w:r>
      <w:r w:rsidRPr="00D869E3">
        <w:rPr>
          <w:rFonts w:ascii="Verdana" w:hAnsi="Verdana"/>
          <w:sz w:val="20"/>
          <w:szCs w:val="20"/>
          <w:lang w:val="en-US"/>
        </w:rPr>
        <w:t xml:space="preserve"> extremely rigorous in the exercise of it</w:t>
      </w:r>
      <w:r w:rsidR="006D23CE" w:rsidRPr="00D869E3">
        <w:rPr>
          <w:rFonts w:ascii="Verdana" w:hAnsi="Verdana"/>
          <w:sz w:val="20"/>
          <w:szCs w:val="20"/>
          <w:lang w:val="en-US"/>
        </w:rPr>
        <w:t>s</w:t>
      </w:r>
      <w:r w:rsidRPr="00D869E3">
        <w:rPr>
          <w:rFonts w:ascii="Verdana" w:hAnsi="Verdana"/>
          <w:sz w:val="20"/>
          <w:szCs w:val="20"/>
          <w:lang w:val="en-US"/>
        </w:rPr>
        <w:t xml:space="preserve"> jurisdiction, in order not to </w:t>
      </w:r>
      <w:r w:rsidR="00DD42B2" w:rsidRPr="00D869E3">
        <w:rPr>
          <w:rFonts w:ascii="Verdana" w:hAnsi="Verdana"/>
          <w:sz w:val="20"/>
          <w:szCs w:val="20"/>
          <w:lang w:val="en-US"/>
        </w:rPr>
        <w:t>distort</w:t>
      </w:r>
      <w:r w:rsidRPr="00D869E3">
        <w:rPr>
          <w:rFonts w:ascii="Verdana" w:hAnsi="Verdana"/>
          <w:sz w:val="20"/>
          <w:szCs w:val="20"/>
          <w:lang w:val="en-US"/>
        </w:rPr>
        <w:t xml:space="preserve"> </w:t>
      </w:r>
      <w:r w:rsidR="00DD42B2" w:rsidRPr="00D869E3">
        <w:rPr>
          <w:rFonts w:ascii="Verdana" w:hAnsi="Verdana"/>
          <w:sz w:val="20"/>
          <w:szCs w:val="20"/>
          <w:lang w:val="en-US"/>
        </w:rPr>
        <w:t>this</w:t>
      </w:r>
      <w:r w:rsidRPr="00D869E3">
        <w:rPr>
          <w:rFonts w:ascii="Verdana" w:hAnsi="Verdana"/>
          <w:sz w:val="20"/>
          <w:szCs w:val="20"/>
          <w:lang w:val="en-US"/>
        </w:rPr>
        <w:t xml:space="preserve"> and, consequently, weaken the inter-American system for the protection of human rights. In this regard, the following </w:t>
      </w:r>
      <w:r w:rsidR="006D23CE" w:rsidRPr="00D869E3">
        <w:rPr>
          <w:rFonts w:ascii="Verdana" w:hAnsi="Verdana"/>
          <w:sz w:val="20"/>
          <w:szCs w:val="20"/>
          <w:lang w:val="en-US"/>
        </w:rPr>
        <w:t>opinion</w:t>
      </w:r>
      <w:r w:rsidRPr="00D869E3">
        <w:rPr>
          <w:rFonts w:ascii="Verdana" w:hAnsi="Verdana"/>
          <w:sz w:val="20"/>
          <w:szCs w:val="20"/>
          <w:lang w:val="en-US"/>
        </w:rPr>
        <w:t xml:space="preserve"> seek</w:t>
      </w:r>
      <w:r w:rsidR="006D23CE" w:rsidRPr="00D869E3">
        <w:rPr>
          <w:rFonts w:ascii="Verdana" w:hAnsi="Verdana"/>
          <w:sz w:val="20"/>
          <w:szCs w:val="20"/>
          <w:lang w:val="en-US"/>
        </w:rPr>
        <w:t>s</w:t>
      </w:r>
      <w:r w:rsidRPr="00D869E3">
        <w:rPr>
          <w:rFonts w:ascii="Verdana" w:hAnsi="Verdana"/>
          <w:sz w:val="20"/>
          <w:szCs w:val="20"/>
          <w:lang w:val="en-US"/>
        </w:rPr>
        <w:t xml:space="preserve"> to ensure the broadest po</w:t>
      </w:r>
      <w:r w:rsidR="006D23CE" w:rsidRPr="00D869E3">
        <w:rPr>
          <w:rFonts w:ascii="Verdana" w:hAnsi="Verdana"/>
          <w:sz w:val="20"/>
          <w:szCs w:val="20"/>
          <w:lang w:val="en-US"/>
        </w:rPr>
        <w:t>s</w:t>
      </w:r>
      <w:r w:rsidRPr="00D869E3">
        <w:rPr>
          <w:rFonts w:ascii="Verdana" w:hAnsi="Verdana"/>
          <w:sz w:val="20"/>
          <w:szCs w:val="20"/>
          <w:lang w:val="en-US"/>
        </w:rPr>
        <w:t xml:space="preserve">sible recognition of the Court by all those who appear before it and, thus, to strengthen its capacity as a judicial organ and, consequently, as the most </w:t>
      </w:r>
      <w:r w:rsidR="006D23CE" w:rsidRPr="00D869E3">
        <w:rPr>
          <w:rFonts w:ascii="Verdana" w:hAnsi="Verdana"/>
          <w:sz w:val="20"/>
          <w:szCs w:val="20"/>
          <w:lang w:val="en-US"/>
        </w:rPr>
        <w:t>proficient</w:t>
      </w:r>
      <w:r w:rsidRPr="00D869E3">
        <w:rPr>
          <w:rFonts w:ascii="Verdana" w:hAnsi="Verdana"/>
          <w:sz w:val="20"/>
          <w:szCs w:val="20"/>
          <w:lang w:val="en-US"/>
        </w:rPr>
        <w:t xml:space="preserve"> entity of hemispheric scope </w:t>
      </w:r>
      <w:r w:rsidR="006D23CE" w:rsidRPr="00D869E3">
        <w:rPr>
          <w:rFonts w:ascii="Verdana" w:hAnsi="Verdana"/>
          <w:sz w:val="20"/>
          <w:szCs w:val="20"/>
          <w:lang w:val="en-US"/>
        </w:rPr>
        <w:t xml:space="preserve">that has been created to </w:t>
      </w:r>
      <w:r w:rsidR="006D23CE" w:rsidRPr="00D869E3">
        <w:rPr>
          <w:rFonts w:ascii="Verdana" w:hAnsi="Verdana"/>
          <w:sz w:val="20"/>
          <w:szCs w:val="20"/>
          <w:lang w:val="en-US"/>
        </w:rPr>
        <w:lastRenderedPageBreak/>
        <w:t xml:space="preserve">safeguard human rights. Thus, it is necessary to persist in improving and consolidating it, without subjecting it to risks that could affect this effort adversely. </w:t>
      </w:r>
    </w:p>
    <w:p w14:paraId="41200DAD" w14:textId="77777777" w:rsidR="003C2143" w:rsidRPr="00D869E3" w:rsidRDefault="003C2143" w:rsidP="003C2143">
      <w:pPr>
        <w:jc w:val="both"/>
        <w:rPr>
          <w:rFonts w:ascii="Verdana" w:hAnsi="Verdana"/>
          <w:sz w:val="20"/>
          <w:szCs w:val="20"/>
          <w:lang w:val="en-US"/>
        </w:rPr>
      </w:pPr>
    </w:p>
    <w:p w14:paraId="05B976ED" w14:textId="5C2647B1" w:rsidR="003C2143" w:rsidRPr="00D869E3" w:rsidRDefault="00A31B5D" w:rsidP="003C2143">
      <w:pPr>
        <w:pStyle w:val="Prrafodelista"/>
        <w:numPr>
          <w:ilvl w:val="0"/>
          <w:numId w:val="33"/>
        </w:numPr>
        <w:jc w:val="both"/>
        <w:rPr>
          <w:rFonts w:ascii="Verdana" w:hAnsi="Verdana"/>
          <w:b/>
          <w:sz w:val="20"/>
          <w:szCs w:val="20"/>
          <w:lang w:val="en-US"/>
        </w:rPr>
      </w:pPr>
      <w:r w:rsidRPr="00D869E3">
        <w:rPr>
          <w:rFonts w:ascii="Verdana" w:hAnsi="Verdana"/>
          <w:b/>
          <w:sz w:val="20"/>
          <w:szCs w:val="20"/>
          <w:lang w:val="en-US"/>
        </w:rPr>
        <w:t>The dissent</w:t>
      </w:r>
    </w:p>
    <w:p w14:paraId="371403BE" w14:textId="77777777" w:rsidR="003C2143" w:rsidRPr="00D869E3" w:rsidRDefault="003C2143" w:rsidP="003C2143">
      <w:pPr>
        <w:jc w:val="both"/>
        <w:rPr>
          <w:rFonts w:ascii="Verdana" w:hAnsi="Verdana"/>
          <w:b/>
          <w:sz w:val="20"/>
          <w:szCs w:val="20"/>
          <w:lang w:val="en-US"/>
        </w:rPr>
      </w:pPr>
    </w:p>
    <w:p w14:paraId="15E058DB" w14:textId="3934B32D" w:rsidR="003C2143" w:rsidRPr="00D869E3" w:rsidRDefault="00A31B5D" w:rsidP="003C2143">
      <w:pPr>
        <w:jc w:val="both"/>
        <w:rPr>
          <w:rFonts w:ascii="Verdana" w:hAnsi="Verdana"/>
          <w:sz w:val="20"/>
          <w:szCs w:val="20"/>
          <w:lang w:val="en-US"/>
        </w:rPr>
      </w:pPr>
      <w:r w:rsidRPr="00D869E3">
        <w:rPr>
          <w:rFonts w:ascii="Verdana" w:hAnsi="Verdana"/>
          <w:sz w:val="20"/>
          <w:szCs w:val="20"/>
          <w:lang w:val="en-US"/>
        </w:rPr>
        <w:t xml:space="preserve">The partial dissent indicated in this opinion refers, as indicated, to the violation of two rights, the right to </w:t>
      </w:r>
      <w:r w:rsidR="00DD42B2" w:rsidRPr="00D869E3">
        <w:rPr>
          <w:rFonts w:ascii="Verdana" w:hAnsi="Verdana"/>
          <w:sz w:val="20"/>
          <w:szCs w:val="20"/>
          <w:lang w:val="en-US"/>
        </w:rPr>
        <w:t xml:space="preserve">job </w:t>
      </w:r>
      <w:r w:rsidRPr="00D869E3">
        <w:rPr>
          <w:rFonts w:ascii="Verdana" w:hAnsi="Verdana"/>
          <w:sz w:val="20"/>
          <w:szCs w:val="20"/>
          <w:lang w:val="en-US"/>
        </w:rPr>
        <w:t>security and the right to freedom of association.</w:t>
      </w:r>
    </w:p>
    <w:p w14:paraId="5ABD9250" w14:textId="77777777" w:rsidR="003C2143" w:rsidRPr="00D869E3" w:rsidRDefault="003C2143" w:rsidP="003C2143">
      <w:pPr>
        <w:jc w:val="both"/>
        <w:rPr>
          <w:rFonts w:ascii="Verdana" w:hAnsi="Verdana"/>
          <w:sz w:val="20"/>
          <w:szCs w:val="20"/>
          <w:lang w:val="en-US"/>
        </w:rPr>
      </w:pPr>
    </w:p>
    <w:p w14:paraId="35A2EF37" w14:textId="25F87116" w:rsidR="003C2143" w:rsidRPr="00D869E3" w:rsidRDefault="008107B9" w:rsidP="003C2143">
      <w:pPr>
        <w:pStyle w:val="Prrafodelista"/>
        <w:numPr>
          <w:ilvl w:val="0"/>
          <w:numId w:val="34"/>
        </w:numPr>
        <w:jc w:val="both"/>
        <w:rPr>
          <w:rFonts w:ascii="Verdana" w:hAnsi="Verdana"/>
          <w:b/>
          <w:bCs/>
          <w:sz w:val="20"/>
          <w:szCs w:val="20"/>
          <w:lang w:val="en-US"/>
        </w:rPr>
      </w:pPr>
      <w:r w:rsidRPr="00D869E3">
        <w:rPr>
          <w:rFonts w:ascii="Verdana" w:hAnsi="Verdana"/>
          <w:b/>
          <w:bCs/>
          <w:sz w:val="20"/>
          <w:szCs w:val="20"/>
          <w:lang w:val="en-US"/>
        </w:rPr>
        <w:t xml:space="preserve">Right to </w:t>
      </w:r>
      <w:r w:rsidR="00DD42B2" w:rsidRPr="00D869E3">
        <w:rPr>
          <w:rFonts w:ascii="Verdana" w:hAnsi="Verdana"/>
          <w:b/>
          <w:bCs/>
          <w:sz w:val="20"/>
          <w:szCs w:val="20"/>
          <w:lang w:val="en-US"/>
        </w:rPr>
        <w:t xml:space="preserve">job </w:t>
      </w:r>
      <w:r w:rsidRPr="00D869E3">
        <w:rPr>
          <w:rFonts w:ascii="Verdana" w:hAnsi="Verdana"/>
          <w:b/>
          <w:bCs/>
          <w:sz w:val="20"/>
          <w:szCs w:val="20"/>
          <w:lang w:val="en-US"/>
        </w:rPr>
        <w:t>security</w:t>
      </w:r>
    </w:p>
    <w:p w14:paraId="46BFD6E3" w14:textId="77777777" w:rsidR="003C2143" w:rsidRPr="00D869E3" w:rsidRDefault="003C2143" w:rsidP="003C2143">
      <w:pPr>
        <w:pStyle w:val="Prrafodelista"/>
        <w:ind w:left="0"/>
        <w:jc w:val="both"/>
        <w:rPr>
          <w:rFonts w:ascii="Verdana" w:hAnsi="Verdana"/>
          <w:sz w:val="20"/>
          <w:szCs w:val="20"/>
          <w:lang w:val="en-US"/>
        </w:rPr>
      </w:pPr>
    </w:p>
    <w:p w14:paraId="48A3AE5D" w14:textId="6A545F57" w:rsidR="003C2143" w:rsidRPr="00D869E3" w:rsidRDefault="006D23CE" w:rsidP="003C2143">
      <w:pPr>
        <w:jc w:val="both"/>
        <w:rPr>
          <w:rFonts w:ascii="Verdana" w:hAnsi="Verdana"/>
          <w:sz w:val="20"/>
          <w:szCs w:val="20"/>
          <w:lang w:val="en-US"/>
        </w:rPr>
      </w:pPr>
      <w:r w:rsidRPr="00D869E3">
        <w:rPr>
          <w:rFonts w:ascii="Verdana" w:hAnsi="Verdana"/>
          <w:sz w:val="20"/>
          <w:szCs w:val="20"/>
          <w:lang w:val="en-US"/>
        </w:rPr>
        <w:t xml:space="preserve">Regarding the right to </w:t>
      </w:r>
      <w:r w:rsidR="00817AA4" w:rsidRPr="00D869E3">
        <w:rPr>
          <w:rFonts w:ascii="Verdana" w:hAnsi="Verdana"/>
          <w:sz w:val="20"/>
          <w:szCs w:val="20"/>
          <w:lang w:val="en-US"/>
        </w:rPr>
        <w:t xml:space="preserve">job </w:t>
      </w:r>
      <w:r w:rsidR="003811C4" w:rsidRPr="00D869E3">
        <w:rPr>
          <w:rFonts w:ascii="Verdana" w:hAnsi="Verdana"/>
          <w:sz w:val="20"/>
          <w:szCs w:val="20"/>
          <w:lang w:val="en-US"/>
        </w:rPr>
        <w:t>security</w:t>
      </w:r>
      <w:r w:rsidR="003C2143" w:rsidRPr="00D869E3">
        <w:rPr>
          <w:rFonts w:ascii="Verdana" w:hAnsi="Verdana"/>
          <w:sz w:val="20"/>
          <w:szCs w:val="20"/>
          <w:lang w:val="en-US"/>
        </w:rPr>
        <w:t xml:space="preserve">, </w:t>
      </w:r>
      <w:r w:rsidRPr="00D869E3">
        <w:rPr>
          <w:rFonts w:ascii="Verdana" w:hAnsi="Verdana"/>
          <w:sz w:val="20"/>
          <w:szCs w:val="20"/>
          <w:lang w:val="en-US"/>
        </w:rPr>
        <w:t xml:space="preserve">it must be indicated that my dissent in this matter does not refer to the existence of this right, or to that of the other economic, social and cultural rights. There is no doubt about this, because it is evident that they are embodied in the international law applicable </w:t>
      </w:r>
      <w:r w:rsidR="00817AA4" w:rsidRPr="00D869E3">
        <w:rPr>
          <w:rFonts w:ascii="Verdana" w:hAnsi="Verdana"/>
          <w:sz w:val="20"/>
          <w:szCs w:val="20"/>
          <w:lang w:val="en-US"/>
        </w:rPr>
        <w:t>in</w:t>
      </w:r>
      <w:r w:rsidRPr="00D869E3">
        <w:rPr>
          <w:rFonts w:ascii="Verdana" w:hAnsi="Verdana"/>
          <w:sz w:val="20"/>
          <w:szCs w:val="20"/>
          <w:lang w:val="en-US"/>
        </w:rPr>
        <w:t xml:space="preserve"> the States of the Americas and, particularly with regard to the right to work, in the Additional Protocol to </w:t>
      </w:r>
      <w:r w:rsidR="00447C65" w:rsidRPr="00D869E3">
        <w:rPr>
          <w:rFonts w:ascii="Verdana" w:hAnsi="Verdana"/>
          <w:iCs/>
          <w:sz w:val="20"/>
          <w:szCs w:val="20"/>
          <w:lang w:val="en-US"/>
        </w:rPr>
        <w:t>the American Convention on Human Rights</w:t>
      </w:r>
      <w:r w:rsidR="003C2143" w:rsidRPr="00D869E3">
        <w:rPr>
          <w:rFonts w:ascii="Verdana" w:hAnsi="Verdana"/>
          <w:iCs/>
          <w:sz w:val="20"/>
          <w:szCs w:val="20"/>
          <w:lang w:val="en-US"/>
        </w:rPr>
        <w:t xml:space="preserve"> </w:t>
      </w:r>
      <w:r w:rsidRPr="00D869E3">
        <w:rPr>
          <w:rFonts w:ascii="Verdana" w:hAnsi="Verdana"/>
          <w:iCs/>
          <w:sz w:val="20"/>
          <w:szCs w:val="20"/>
          <w:lang w:val="en-US"/>
        </w:rPr>
        <w:t xml:space="preserve">in the Area of Economic, Social and Cultural Rights, </w:t>
      </w:r>
      <w:r w:rsidR="003C2143" w:rsidRPr="00D869E3">
        <w:rPr>
          <w:rFonts w:ascii="Verdana" w:hAnsi="Verdana"/>
          <w:iCs/>
          <w:sz w:val="20"/>
          <w:szCs w:val="20"/>
          <w:lang w:val="en-US"/>
        </w:rPr>
        <w:t xml:space="preserve">Protocol </w:t>
      </w:r>
      <w:r w:rsidRPr="00D869E3">
        <w:rPr>
          <w:rFonts w:ascii="Verdana" w:hAnsi="Verdana"/>
          <w:iCs/>
          <w:sz w:val="20"/>
          <w:szCs w:val="20"/>
          <w:lang w:val="en-US"/>
        </w:rPr>
        <w:t xml:space="preserve">of </w:t>
      </w:r>
      <w:r w:rsidR="003C2143" w:rsidRPr="00D869E3">
        <w:rPr>
          <w:rFonts w:ascii="Verdana" w:hAnsi="Verdana"/>
          <w:iCs/>
          <w:sz w:val="20"/>
          <w:szCs w:val="20"/>
          <w:lang w:val="en-US"/>
        </w:rPr>
        <w:t>San Salvador</w:t>
      </w:r>
      <w:r w:rsidRPr="00D869E3">
        <w:rPr>
          <w:rFonts w:ascii="Verdana" w:hAnsi="Verdana"/>
          <w:i/>
          <w:sz w:val="20"/>
          <w:szCs w:val="20"/>
          <w:lang w:val="en-US"/>
        </w:rPr>
        <w:t>.</w:t>
      </w:r>
    </w:p>
    <w:p w14:paraId="4A64EED7" w14:textId="77777777" w:rsidR="003C2143" w:rsidRPr="00D869E3" w:rsidRDefault="003C2143" w:rsidP="003C2143">
      <w:pPr>
        <w:jc w:val="both"/>
        <w:rPr>
          <w:rFonts w:ascii="Verdana" w:hAnsi="Verdana"/>
          <w:sz w:val="20"/>
          <w:szCs w:val="20"/>
          <w:lang w:val="en-US"/>
        </w:rPr>
      </w:pPr>
    </w:p>
    <w:p w14:paraId="3643C109" w14:textId="36FA850E" w:rsidR="00414B6B" w:rsidRPr="00D869E3" w:rsidRDefault="00414B6B" w:rsidP="003C2143">
      <w:pPr>
        <w:jc w:val="both"/>
        <w:rPr>
          <w:rFonts w:ascii="Verdana" w:hAnsi="Verdana"/>
          <w:sz w:val="20"/>
          <w:szCs w:val="20"/>
          <w:lang w:val="en-US"/>
        </w:rPr>
      </w:pPr>
      <w:r w:rsidRPr="00D869E3">
        <w:rPr>
          <w:rFonts w:ascii="Verdana" w:hAnsi="Verdana"/>
          <w:sz w:val="20"/>
          <w:szCs w:val="20"/>
          <w:lang w:val="en-US"/>
        </w:rPr>
        <w:t xml:space="preserve">Rather, this </w:t>
      </w:r>
      <w:r w:rsidR="00817AA4" w:rsidRPr="00D869E3">
        <w:rPr>
          <w:rFonts w:ascii="Verdana" w:hAnsi="Verdana"/>
          <w:sz w:val="20"/>
          <w:szCs w:val="20"/>
          <w:lang w:val="en-US"/>
        </w:rPr>
        <w:t>opinion</w:t>
      </w:r>
      <w:r w:rsidRPr="00D869E3">
        <w:rPr>
          <w:rFonts w:ascii="Verdana" w:hAnsi="Verdana"/>
          <w:sz w:val="20"/>
          <w:szCs w:val="20"/>
          <w:lang w:val="en-US"/>
        </w:rPr>
        <w:t xml:space="preserve"> </w:t>
      </w:r>
      <w:r w:rsidR="00817AA4" w:rsidRPr="00D869E3">
        <w:rPr>
          <w:rFonts w:ascii="Verdana" w:hAnsi="Verdana"/>
          <w:sz w:val="20"/>
          <w:szCs w:val="20"/>
          <w:lang w:val="en-US"/>
        </w:rPr>
        <w:t>relates to</w:t>
      </w:r>
      <w:r w:rsidRPr="00D869E3">
        <w:rPr>
          <w:rFonts w:ascii="Verdana" w:hAnsi="Verdana"/>
          <w:sz w:val="20"/>
          <w:szCs w:val="20"/>
          <w:lang w:val="en-US"/>
        </w:rPr>
        <w:t xml:space="preserve"> the fact that</w:t>
      </w:r>
      <w:r w:rsidR="00817AA4" w:rsidRPr="00D869E3">
        <w:rPr>
          <w:rFonts w:ascii="Verdana" w:hAnsi="Verdana"/>
          <w:sz w:val="20"/>
          <w:szCs w:val="20"/>
          <w:lang w:val="en-US"/>
        </w:rPr>
        <w:t>,</w:t>
      </w:r>
      <w:r w:rsidRPr="00D869E3">
        <w:rPr>
          <w:rFonts w:ascii="Verdana" w:hAnsi="Verdana"/>
          <w:sz w:val="20"/>
          <w:szCs w:val="20"/>
          <w:lang w:val="en-US"/>
        </w:rPr>
        <w:t xml:space="preserve"> in the instant case, it was not a matter of determining the existence of the right to </w:t>
      </w:r>
      <w:r w:rsidR="00817AA4" w:rsidRPr="00D869E3">
        <w:rPr>
          <w:rFonts w:ascii="Verdana" w:hAnsi="Verdana"/>
          <w:sz w:val="20"/>
          <w:szCs w:val="20"/>
          <w:lang w:val="en-US"/>
        </w:rPr>
        <w:t xml:space="preserve">job </w:t>
      </w:r>
      <w:r w:rsidRPr="00D869E3">
        <w:rPr>
          <w:rFonts w:ascii="Verdana" w:hAnsi="Verdana"/>
          <w:sz w:val="20"/>
          <w:szCs w:val="20"/>
          <w:lang w:val="en-US"/>
        </w:rPr>
        <w:t>security as the judgment does,</w:t>
      </w:r>
      <w:r w:rsidR="003C2143" w:rsidRPr="00D869E3">
        <w:rPr>
          <w:rStyle w:val="Refdenotaalpie"/>
          <w:szCs w:val="20"/>
          <w:lang w:val="en-US"/>
        </w:rPr>
        <w:footnoteReference w:id="379"/>
      </w:r>
      <w:r w:rsidRPr="00D869E3">
        <w:rPr>
          <w:rFonts w:ascii="Verdana" w:hAnsi="Verdana"/>
          <w:sz w:val="20"/>
          <w:szCs w:val="20"/>
          <w:lang w:val="en-US"/>
        </w:rPr>
        <w:t xml:space="preserve"> but whether its possible violation by the State could be submitted to the consideration and decision of the Court. The disputed issue related, therefore, to whether the right to </w:t>
      </w:r>
      <w:r w:rsidR="00817AA4" w:rsidRPr="00D869E3">
        <w:rPr>
          <w:rFonts w:ascii="Verdana" w:hAnsi="Verdana"/>
          <w:sz w:val="20"/>
          <w:szCs w:val="20"/>
          <w:lang w:val="en-US"/>
        </w:rPr>
        <w:t xml:space="preserve">job </w:t>
      </w:r>
      <w:r w:rsidRPr="00D869E3">
        <w:rPr>
          <w:rFonts w:ascii="Verdana" w:hAnsi="Verdana"/>
          <w:sz w:val="20"/>
          <w:szCs w:val="20"/>
          <w:lang w:val="en-US"/>
        </w:rPr>
        <w:t>security could be heard by the Court; in other words, whether the Court ha</w:t>
      </w:r>
      <w:r w:rsidR="00817AA4" w:rsidRPr="00D869E3">
        <w:rPr>
          <w:rFonts w:ascii="Verdana" w:hAnsi="Verdana"/>
          <w:sz w:val="20"/>
          <w:szCs w:val="20"/>
          <w:lang w:val="en-US"/>
        </w:rPr>
        <w:t>d</w:t>
      </w:r>
      <w:r w:rsidRPr="00D869E3">
        <w:rPr>
          <w:rFonts w:ascii="Verdana" w:hAnsi="Verdana"/>
          <w:sz w:val="20"/>
          <w:szCs w:val="20"/>
          <w:lang w:val="en-US"/>
        </w:rPr>
        <w:t xml:space="preserve"> competence, under the provisions of Article 26 of the Convention, to rule on the possible violation of this right.</w:t>
      </w:r>
    </w:p>
    <w:p w14:paraId="2A9DB9FE" w14:textId="77777777" w:rsidR="003C2143" w:rsidRPr="00D869E3" w:rsidRDefault="003C2143" w:rsidP="003C2143">
      <w:pPr>
        <w:jc w:val="both"/>
        <w:rPr>
          <w:rFonts w:ascii="Verdana" w:hAnsi="Verdana"/>
          <w:sz w:val="20"/>
          <w:szCs w:val="20"/>
          <w:lang w:val="en-US"/>
        </w:rPr>
      </w:pPr>
    </w:p>
    <w:p w14:paraId="0E1153BB" w14:textId="69C4909B" w:rsidR="00414B6B" w:rsidRPr="00D869E3" w:rsidRDefault="00414B6B" w:rsidP="003C2143">
      <w:pPr>
        <w:jc w:val="both"/>
        <w:rPr>
          <w:rFonts w:ascii="Verdana" w:hAnsi="Verdana"/>
          <w:sz w:val="20"/>
          <w:szCs w:val="20"/>
          <w:lang w:val="en-US"/>
        </w:rPr>
      </w:pPr>
      <w:r w:rsidRPr="00D869E3">
        <w:rPr>
          <w:rFonts w:ascii="Verdana" w:hAnsi="Verdana"/>
          <w:sz w:val="20"/>
          <w:szCs w:val="20"/>
          <w:lang w:val="en-US"/>
        </w:rPr>
        <w:t xml:space="preserve">The thesis supported by this text is based on the fact that the Court lacks this competence; that is, it asserts, contrary to the judgment, that the right to </w:t>
      </w:r>
      <w:r w:rsidR="00817AA4" w:rsidRPr="00D869E3">
        <w:rPr>
          <w:rFonts w:ascii="Verdana" w:hAnsi="Verdana"/>
          <w:sz w:val="20"/>
          <w:szCs w:val="20"/>
          <w:lang w:val="en-US"/>
        </w:rPr>
        <w:t xml:space="preserve">job </w:t>
      </w:r>
      <w:r w:rsidRPr="00D869E3">
        <w:rPr>
          <w:rFonts w:ascii="Verdana" w:hAnsi="Verdana"/>
          <w:sz w:val="20"/>
          <w:szCs w:val="20"/>
          <w:lang w:val="en-US"/>
        </w:rPr>
        <w:t>security cannot be tried internationally before the Court</w:t>
      </w:r>
      <w:r w:rsidR="0067754F" w:rsidRPr="00D869E3">
        <w:rPr>
          <w:rFonts w:ascii="Verdana" w:hAnsi="Verdana"/>
          <w:sz w:val="20"/>
          <w:szCs w:val="20"/>
          <w:lang w:val="en-US"/>
        </w:rPr>
        <w:t>. And t</w:t>
      </w:r>
      <w:r w:rsidRPr="00D869E3">
        <w:rPr>
          <w:rFonts w:ascii="Verdana" w:hAnsi="Verdana"/>
          <w:sz w:val="20"/>
          <w:szCs w:val="20"/>
          <w:lang w:val="en-US"/>
        </w:rPr>
        <w:t>his</w:t>
      </w:r>
      <w:r w:rsidR="0067754F" w:rsidRPr="00D869E3">
        <w:rPr>
          <w:rFonts w:ascii="Verdana" w:hAnsi="Verdana"/>
          <w:sz w:val="20"/>
          <w:szCs w:val="20"/>
          <w:lang w:val="en-US"/>
        </w:rPr>
        <w:t>,</w:t>
      </w:r>
      <w:r w:rsidRPr="00D869E3">
        <w:rPr>
          <w:rFonts w:ascii="Verdana" w:hAnsi="Verdana"/>
          <w:sz w:val="20"/>
          <w:szCs w:val="20"/>
          <w:lang w:val="en-US"/>
        </w:rPr>
        <w:t xml:space="preserve"> based on reasons that will be set forth below, grouped around the provisions of the Convention</w:t>
      </w:r>
      <w:r w:rsidR="0067754F" w:rsidRPr="00D869E3">
        <w:rPr>
          <w:rFonts w:ascii="Verdana" w:hAnsi="Verdana"/>
          <w:sz w:val="20"/>
          <w:szCs w:val="20"/>
          <w:lang w:val="en-US"/>
        </w:rPr>
        <w:t xml:space="preserve">; </w:t>
      </w:r>
      <w:r w:rsidRPr="00D869E3">
        <w:rPr>
          <w:rFonts w:ascii="Verdana" w:hAnsi="Verdana"/>
          <w:sz w:val="20"/>
          <w:szCs w:val="20"/>
          <w:lang w:val="en-US"/>
        </w:rPr>
        <w:t>the provisions of its Article 26</w:t>
      </w:r>
      <w:r w:rsidR="0067754F" w:rsidRPr="00D869E3">
        <w:rPr>
          <w:rFonts w:ascii="Verdana" w:hAnsi="Verdana"/>
          <w:sz w:val="20"/>
          <w:szCs w:val="20"/>
          <w:lang w:val="en-US"/>
        </w:rPr>
        <w:t xml:space="preserve"> in particular</w:t>
      </w:r>
      <w:r w:rsidRPr="00D869E3">
        <w:rPr>
          <w:rFonts w:ascii="Verdana" w:hAnsi="Verdana"/>
          <w:sz w:val="20"/>
          <w:szCs w:val="20"/>
          <w:lang w:val="en-US"/>
        </w:rPr>
        <w:t xml:space="preserve"> and, finally, some other considerations </w:t>
      </w:r>
      <w:r w:rsidR="0067754F" w:rsidRPr="00D869E3">
        <w:rPr>
          <w:rFonts w:ascii="Verdana" w:hAnsi="Verdana"/>
          <w:sz w:val="20"/>
          <w:szCs w:val="20"/>
          <w:lang w:val="en-US"/>
        </w:rPr>
        <w:t>with regard to</w:t>
      </w:r>
      <w:r w:rsidRPr="00D869E3">
        <w:rPr>
          <w:rFonts w:ascii="Verdana" w:hAnsi="Verdana"/>
          <w:sz w:val="20"/>
          <w:szCs w:val="20"/>
          <w:lang w:val="en-US"/>
        </w:rPr>
        <w:t xml:space="preserve"> the judgment.</w:t>
      </w:r>
    </w:p>
    <w:p w14:paraId="76E5EDAA" w14:textId="77777777" w:rsidR="003C2143" w:rsidRPr="00D869E3" w:rsidRDefault="003C2143" w:rsidP="003C2143">
      <w:pPr>
        <w:jc w:val="both"/>
        <w:rPr>
          <w:rFonts w:ascii="Verdana" w:hAnsi="Verdana"/>
          <w:sz w:val="20"/>
          <w:szCs w:val="20"/>
          <w:lang w:val="en-US"/>
        </w:rPr>
      </w:pPr>
    </w:p>
    <w:p w14:paraId="6DDB9129" w14:textId="1FB24263" w:rsidR="003C2143" w:rsidRPr="00D869E3" w:rsidRDefault="008107B9" w:rsidP="003C2143">
      <w:pPr>
        <w:pStyle w:val="Prrafodelista"/>
        <w:numPr>
          <w:ilvl w:val="0"/>
          <w:numId w:val="34"/>
        </w:numPr>
        <w:jc w:val="both"/>
        <w:rPr>
          <w:rFonts w:ascii="Verdana" w:hAnsi="Verdana"/>
          <w:b/>
          <w:sz w:val="20"/>
          <w:szCs w:val="20"/>
          <w:lang w:val="en-US"/>
        </w:rPr>
      </w:pPr>
      <w:r w:rsidRPr="00D869E3">
        <w:rPr>
          <w:rFonts w:ascii="Verdana" w:hAnsi="Verdana"/>
          <w:b/>
          <w:sz w:val="20"/>
          <w:szCs w:val="20"/>
          <w:lang w:val="en-US"/>
        </w:rPr>
        <w:t>Right to</w:t>
      </w:r>
      <w:r w:rsidR="003C2143" w:rsidRPr="00D869E3">
        <w:rPr>
          <w:rFonts w:ascii="Verdana" w:hAnsi="Verdana"/>
          <w:b/>
          <w:sz w:val="20"/>
          <w:szCs w:val="20"/>
          <w:lang w:val="en-US"/>
        </w:rPr>
        <w:t xml:space="preserve"> </w:t>
      </w:r>
      <w:r w:rsidR="00351902" w:rsidRPr="00D869E3">
        <w:rPr>
          <w:rFonts w:ascii="Verdana" w:hAnsi="Verdana"/>
          <w:b/>
          <w:sz w:val="20"/>
          <w:szCs w:val="20"/>
          <w:lang w:val="en-US"/>
        </w:rPr>
        <w:t>freedom of association</w:t>
      </w:r>
    </w:p>
    <w:p w14:paraId="1B5CBC38" w14:textId="77777777" w:rsidR="003C2143" w:rsidRPr="00D869E3" w:rsidRDefault="003C2143" w:rsidP="003C2143">
      <w:pPr>
        <w:pStyle w:val="Prrafodelista"/>
        <w:ind w:left="0"/>
        <w:jc w:val="both"/>
        <w:rPr>
          <w:rFonts w:ascii="Verdana" w:hAnsi="Verdana"/>
          <w:b/>
          <w:sz w:val="20"/>
          <w:szCs w:val="20"/>
          <w:lang w:val="en-US"/>
        </w:rPr>
      </w:pPr>
    </w:p>
    <w:p w14:paraId="4FAD8097" w14:textId="766860D3" w:rsidR="003C2143" w:rsidRPr="00D869E3" w:rsidRDefault="00414B6B" w:rsidP="003C2143">
      <w:pPr>
        <w:jc w:val="both"/>
        <w:rPr>
          <w:rFonts w:ascii="Verdana" w:hAnsi="Verdana"/>
          <w:sz w:val="20"/>
          <w:szCs w:val="20"/>
          <w:lang w:val="en-US"/>
        </w:rPr>
      </w:pPr>
      <w:r w:rsidRPr="00D869E3">
        <w:rPr>
          <w:rFonts w:ascii="Verdana" w:hAnsi="Verdana"/>
          <w:sz w:val="20"/>
          <w:szCs w:val="20"/>
          <w:lang w:val="en-US"/>
        </w:rPr>
        <w:t>Regarding</w:t>
      </w:r>
      <w:r w:rsidR="003C2143" w:rsidRPr="00D869E3">
        <w:rPr>
          <w:rFonts w:ascii="Verdana" w:hAnsi="Verdana"/>
          <w:sz w:val="20"/>
          <w:szCs w:val="20"/>
          <w:lang w:val="en-US"/>
        </w:rPr>
        <w:t xml:space="preserve"> </w:t>
      </w:r>
      <w:r w:rsidRPr="00D869E3">
        <w:rPr>
          <w:rFonts w:ascii="Verdana" w:hAnsi="Verdana"/>
          <w:sz w:val="20"/>
          <w:szCs w:val="20"/>
          <w:lang w:val="en-US"/>
        </w:rPr>
        <w:t>the right to</w:t>
      </w:r>
      <w:r w:rsidR="003C2143" w:rsidRPr="00D869E3">
        <w:rPr>
          <w:rFonts w:ascii="Verdana" w:hAnsi="Verdana"/>
          <w:sz w:val="20"/>
          <w:szCs w:val="20"/>
          <w:lang w:val="en-US"/>
        </w:rPr>
        <w:t xml:space="preserve"> </w:t>
      </w:r>
      <w:r w:rsidR="00351902" w:rsidRPr="00D869E3">
        <w:rPr>
          <w:rFonts w:ascii="Verdana" w:hAnsi="Verdana"/>
          <w:sz w:val="20"/>
          <w:szCs w:val="20"/>
          <w:lang w:val="en-US"/>
        </w:rPr>
        <w:t>freedom of association</w:t>
      </w:r>
      <w:r w:rsidR="003C2143" w:rsidRPr="00D869E3">
        <w:rPr>
          <w:rFonts w:ascii="Verdana" w:hAnsi="Verdana"/>
          <w:sz w:val="20"/>
          <w:szCs w:val="20"/>
          <w:lang w:val="en-US"/>
        </w:rPr>
        <w:t xml:space="preserve">, </w:t>
      </w:r>
      <w:r w:rsidRPr="00D869E3">
        <w:rPr>
          <w:rFonts w:ascii="Verdana" w:hAnsi="Verdana"/>
          <w:sz w:val="20"/>
          <w:szCs w:val="20"/>
          <w:lang w:val="en-US"/>
        </w:rPr>
        <w:t>it is sufficient to indicate that the mention made in the judgment to Article 26 of the Convention in this regard seems unnecessary because</w:t>
      </w:r>
      <w:r w:rsidR="0067754F" w:rsidRPr="00D869E3">
        <w:rPr>
          <w:rFonts w:ascii="Verdana" w:hAnsi="Verdana"/>
          <w:sz w:val="20"/>
          <w:szCs w:val="20"/>
          <w:lang w:val="en-US"/>
        </w:rPr>
        <w:t>, on the one hand,</w:t>
      </w:r>
      <w:r w:rsidRPr="00D869E3">
        <w:rPr>
          <w:rFonts w:ascii="Verdana" w:hAnsi="Verdana"/>
          <w:sz w:val="20"/>
          <w:szCs w:val="20"/>
          <w:lang w:val="en-US"/>
        </w:rPr>
        <w:t xml:space="preserve"> the said right is expressly established in </w:t>
      </w:r>
      <w:r w:rsidR="00447C65" w:rsidRPr="00D869E3">
        <w:rPr>
          <w:rFonts w:ascii="Verdana" w:hAnsi="Verdana"/>
          <w:sz w:val="20"/>
          <w:szCs w:val="20"/>
          <w:lang w:val="en-US"/>
        </w:rPr>
        <w:t>Article</w:t>
      </w:r>
      <w:r w:rsidR="003C2143" w:rsidRPr="00D869E3">
        <w:rPr>
          <w:rFonts w:ascii="Verdana" w:hAnsi="Verdana"/>
          <w:sz w:val="20"/>
          <w:szCs w:val="20"/>
          <w:lang w:val="en-US"/>
        </w:rPr>
        <w:t xml:space="preserve"> </w:t>
      </w:r>
      <w:r w:rsidR="00687684" w:rsidRPr="00D869E3">
        <w:rPr>
          <w:rFonts w:ascii="Verdana" w:hAnsi="Verdana"/>
          <w:sz w:val="20"/>
          <w:szCs w:val="20"/>
          <w:lang w:val="en-US"/>
        </w:rPr>
        <w:t>16(1)</w:t>
      </w:r>
      <w:r w:rsidR="00447C65" w:rsidRPr="00D869E3">
        <w:rPr>
          <w:rFonts w:ascii="Verdana" w:hAnsi="Verdana"/>
          <w:sz w:val="20"/>
          <w:szCs w:val="20"/>
          <w:lang w:val="en-US"/>
        </w:rPr>
        <w:t xml:space="preserve"> of the Convention</w:t>
      </w:r>
      <w:r w:rsidR="003C2143" w:rsidRPr="00D869E3">
        <w:rPr>
          <w:rStyle w:val="Refdenotaalpie"/>
          <w:szCs w:val="20"/>
          <w:lang w:val="en-US"/>
        </w:rPr>
        <w:footnoteReference w:id="380"/>
      </w:r>
      <w:r w:rsidR="00687684" w:rsidRPr="00D869E3">
        <w:rPr>
          <w:rFonts w:ascii="Verdana" w:hAnsi="Verdana"/>
          <w:sz w:val="20"/>
          <w:szCs w:val="20"/>
          <w:lang w:val="en-US"/>
        </w:rPr>
        <w:t xml:space="preserve"> and</w:t>
      </w:r>
      <w:r w:rsidRPr="00D869E3">
        <w:rPr>
          <w:rFonts w:ascii="Verdana" w:hAnsi="Verdana"/>
          <w:sz w:val="20"/>
          <w:szCs w:val="20"/>
          <w:lang w:val="en-US"/>
        </w:rPr>
        <w:t>, on the other, its meaning and scope is repeated abundantly in the judgment.</w:t>
      </w:r>
      <w:r w:rsidR="003C2143" w:rsidRPr="00D869E3">
        <w:rPr>
          <w:rStyle w:val="Refdenotaalpie"/>
          <w:szCs w:val="20"/>
          <w:lang w:val="en-US"/>
        </w:rPr>
        <w:footnoteReference w:id="381"/>
      </w:r>
      <w:r w:rsidRPr="00D869E3">
        <w:rPr>
          <w:rFonts w:ascii="Verdana" w:hAnsi="Verdana"/>
          <w:sz w:val="20"/>
          <w:szCs w:val="20"/>
          <w:lang w:val="en-US"/>
        </w:rPr>
        <w:t xml:space="preserve"> </w:t>
      </w:r>
      <w:r w:rsidR="003C2143" w:rsidRPr="00D869E3">
        <w:rPr>
          <w:rFonts w:ascii="Verdana" w:hAnsi="Verdana"/>
          <w:sz w:val="20"/>
          <w:szCs w:val="20"/>
          <w:lang w:val="en-US"/>
        </w:rPr>
        <w:t xml:space="preserve"> </w:t>
      </w:r>
      <w:r w:rsidRPr="00D869E3">
        <w:rPr>
          <w:rFonts w:ascii="Verdana" w:hAnsi="Verdana"/>
          <w:sz w:val="20"/>
          <w:szCs w:val="20"/>
          <w:lang w:val="en-US"/>
        </w:rPr>
        <w:t>Accordingly, it can be deduced that this right can be judicialized before the Court on th</w:t>
      </w:r>
      <w:r w:rsidR="0067754F" w:rsidRPr="00D869E3">
        <w:rPr>
          <w:rFonts w:ascii="Verdana" w:hAnsi="Verdana"/>
          <w:sz w:val="20"/>
          <w:szCs w:val="20"/>
          <w:lang w:val="en-US"/>
        </w:rPr>
        <w:t>o</w:t>
      </w:r>
      <w:r w:rsidRPr="00D869E3">
        <w:rPr>
          <w:rFonts w:ascii="Verdana" w:hAnsi="Verdana"/>
          <w:sz w:val="20"/>
          <w:szCs w:val="20"/>
          <w:lang w:val="en-US"/>
        </w:rPr>
        <w:t>se grounds and not on the basis of the provisions of the said Article 26</w:t>
      </w:r>
      <w:r w:rsidR="0067754F" w:rsidRPr="00D869E3">
        <w:rPr>
          <w:rFonts w:ascii="Verdana" w:hAnsi="Verdana"/>
          <w:sz w:val="20"/>
          <w:szCs w:val="20"/>
          <w:lang w:val="en-US"/>
        </w:rPr>
        <w:t>, which, incidentally, is</w:t>
      </w:r>
      <w:r w:rsidRPr="00D869E3">
        <w:rPr>
          <w:rFonts w:ascii="Verdana" w:hAnsi="Verdana"/>
          <w:sz w:val="20"/>
          <w:szCs w:val="20"/>
          <w:lang w:val="en-US"/>
        </w:rPr>
        <w:t xml:space="preserve"> alluded to very tangentially or marginally in the judgment in relation to freedom of association, </w:t>
      </w:r>
      <w:r w:rsidR="0067754F" w:rsidRPr="00D869E3">
        <w:rPr>
          <w:rFonts w:ascii="Verdana" w:hAnsi="Verdana"/>
          <w:sz w:val="20"/>
          <w:szCs w:val="20"/>
          <w:lang w:val="en-US"/>
        </w:rPr>
        <w:t>on a level with</w:t>
      </w:r>
      <w:r w:rsidRPr="00D869E3">
        <w:rPr>
          <w:rFonts w:ascii="Verdana" w:hAnsi="Verdana"/>
          <w:sz w:val="20"/>
          <w:szCs w:val="20"/>
          <w:lang w:val="en-US"/>
        </w:rPr>
        <w:t xml:space="preserve"> </w:t>
      </w:r>
      <w:r w:rsidR="00D75CD1" w:rsidRPr="00D869E3">
        <w:rPr>
          <w:rFonts w:ascii="Verdana" w:hAnsi="Verdana"/>
          <w:sz w:val="20"/>
          <w:szCs w:val="20"/>
          <w:lang w:val="en-US"/>
        </w:rPr>
        <w:t>the Inter-American Democratic Charter</w:t>
      </w:r>
      <w:r w:rsidR="003C2143" w:rsidRPr="00D869E3">
        <w:rPr>
          <w:rStyle w:val="Refdenotaalpie"/>
          <w:szCs w:val="20"/>
          <w:lang w:val="en-US"/>
        </w:rPr>
        <w:footnoteReference w:id="382"/>
      </w:r>
      <w:r w:rsidR="00687684" w:rsidRPr="00D869E3">
        <w:rPr>
          <w:rFonts w:ascii="Verdana" w:hAnsi="Verdana"/>
          <w:sz w:val="20"/>
          <w:szCs w:val="20"/>
          <w:lang w:val="en-US"/>
        </w:rPr>
        <w:t xml:space="preserve"> and</w:t>
      </w:r>
      <w:r w:rsidRPr="00D869E3">
        <w:rPr>
          <w:rFonts w:ascii="Verdana" w:hAnsi="Verdana"/>
          <w:sz w:val="20"/>
          <w:szCs w:val="20"/>
          <w:lang w:val="en-US"/>
        </w:rPr>
        <w:t xml:space="preserve"> the ILO Convention on </w:t>
      </w:r>
      <w:r w:rsidR="00952F8B" w:rsidRPr="00D869E3">
        <w:rPr>
          <w:rFonts w:ascii="Verdana" w:hAnsi="Verdana"/>
          <w:sz w:val="20"/>
          <w:szCs w:val="20"/>
          <w:lang w:val="en-US"/>
        </w:rPr>
        <w:t>W</w:t>
      </w:r>
      <w:r w:rsidRPr="00D869E3">
        <w:rPr>
          <w:rFonts w:ascii="Verdana" w:hAnsi="Verdana"/>
          <w:sz w:val="20"/>
          <w:szCs w:val="20"/>
          <w:lang w:val="en-US"/>
        </w:rPr>
        <w:t>orkers’</w:t>
      </w:r>
      <w:r w:rsidR="00687684" w:rsidRPr="00D869E3">
        <w:rPr>
          <w:rFonts w:ascii="Verdana" w:hAnsi="Verdana"/>
          <w:sz w:val="20"/>
          <w:szCs w:val="20"/>
          <w:lang w:val="en-US"/>
        </w:rPr>
        <w:t xml:space="preserve"> </w:t>
      </w:r>
      <w:r w:rsidR="00952F8B" w:rsidRPr="00D869E3">
        <w:rPr>
          <w:rFonts w:ascii="Verdana" w:hAnsi="Verdana"/>
          <w:sz w:val="20"/>
          <w:szCs w:val="20"/>
          <w:lang w:val="en-US"/>
        </w:rPr>
        <w:t>R</w:t>
      </w:r>
      <w:r w:rsidR="00687684" w:rsidRPr="00D869E3">
        <w:rPr>
          <w:rFonts w:ascii="Verdana" w:hAnsi="Verdana"/>
          <w:sz w:val="20"/>
          <w:szCs w:val="20"/>
          <w:lang w:val="en-US"/>
        </w:rPr>
        <w:t>epresentatives</w:t>
      </w:r>
      <w:r w:rsidR="0067754F" w:rsidRPr="00D869E3">
        <w:rPr>
          <w:rFonts w:ascii="Verdana" w:hAnsi="Verdana"/>
          <w:sz w:val="20"/>
          <w:szCs w:val="20"/>
          <w:lang w:val="en-US"/>
        </w:rPr>
        <w:t>.</w:t>
      </w:r>
      <w:r w:rsidR="003C2143" w:rsidRPr="00D869E3">
        <w:rPr>
          <w:rStyle w:val="Refdenotaalpie"/>
          <w:szCs w:val="20"/>
          <w:lang w:val="en-US"/>
        </w:rPr>
        <w:footnoteReference w:id="383"/>
      </w:r>
      <w:r w:rsidR="003C2143" w:rsidRPr="00D869E3">
        <w:rPr>
          <w:rFonts w:ascii="Verdana" w:hAnsi="Verdana"/>
          <w:sz w:val="20"/>
          <w:szCs w:val="20"/>
          <w:lang w:val="en-US"/>
        </w:rPr>
        <w:t xml:space="preserve"> </w:t>
      </w:r>
      <w:r w:rsidR="0067754F" w:rsidRPr="00D869E3">
        <w:rPr>
          <w:rFonts w:ascii="Verdana" w:hAnsi="Verdana"/>
          <w:sz w:val="20"/>
          <w:szCs w:val="20"/>
          <w:lang w:val="en-US"/>
        </w:rPr>
        <w:t>In other words,</w:t>
      </w:r>
      <w:r w:rsidRPr="00D869E3">
        <w:rPr>
          <w:rFonts w:ascii="Verdana" w:hAnsi="Verdana"/>
          <w:sz w:val="20"/>
          <w:szCs w:val="20"/>
          <w:lang w:val="en-US"/>
        </w:rPr>
        <w:t xml:space="preserve"> it is addressed more appropriately as a means of interpreting its provisions, together with the context of the wording </w:t>
      </w:r>
      <w:r w:rsidR="00447C65" w:rsidRPr="00D869E3">
        <w:rPr>
          <w:rFonts w:ascii="Verdana" w:hAnsi="Verdana"/>
          <w:sz w:val="20"/>
          <w:szCs w:val="20"/>
          <w:lang w:val="en-US"/>
        </w:rPr>
        <w:t>of the Convention</w:t>
      </w:r>
      <w:r w:rsidRPr="00D869E3">
        <w:rPr>
          <w:rFonts w:ascii="Verdana" w:hAnsi="Verdana"/>
          <w:sz w:val="20"/>
          <w:szCs w:val="20"/>
          <w:lang w:val="en-US"/>
        </w:rPr>
        <w:t>,</w:t>
      </w:r>
      <w:r w:rsidR="003C2143" w:rsidRPr="00D869E3">
        <w:rPr>
          <w:rStyle w:val="Refdenotaalpie"/>
          <w:szCs w:val="20"/>
          <w:lang w:val="en-US"/>
        </w:rPr>
        <w:footnoteReference w:id="384"/>
      </w:r>
      <w:r w:rsidRPr="00D869E3">
        <w:rPr>
          <w:rFonts w:ascii="Verdana" w:hAnsi="Verdana"/>
          <w:sz w:val="20"/>
          <w:szCs w:val="20"/>
          <w:lang w:val="en-US"/>
        </w:rPr>
        <w:t xml:space="preserve"> as regards the existence of the right to </w:t>
      </w:r>
      <w:r w:rsidR="00351902" w:rsidRPr="00D869E3">
        <w:rPr>
          <w:rFonts w:ascii="Verdana" w:hAnsi="Verdana"/>
          <w:sz w:val="20"/>
          <w:szCs w:val="20"/>
          <w:lang w:val="en-US"/>
        </w:rPr>
        <w:t>freedom of association</w:t>
      </w:r>
      <w:r w:rsidR="003C2143" w:rsidRPr="00D869E3">
        <w:rPr>
          <w:rFonts w:ascii="Verdana" w:hAnsi="Verdana"/>
          <w:sz w:val="20"/>
          <w:szCs w:val="20"/>
          <w:lang w:val="en-US"/>
        </w:rPr>
        <w:t xml:space="preserve">, </w:t>
      </w:r>
      <w:r w:rsidRPr="00D869E3">
        <w:rPr>
          <w:rFonts w:ascii="Verdana" w:hAnsi="Verdana"/>
          <w:sz w:val="20"/>
          <w:szCs w:val="20"/>
          <w:lang w:val="en-US"/>
        </w:rPr>
        <w:t>but not to substantiate the Court’s competence to rule in that re</w:t>
      </w:r>
      <w:r w:rsidR="003E678C" w:rsidRPr="00D869E3">
        <w:rPr>
          <w:rFonts w:ascii="Verdana" w:hAnsi="Verdana"/>
          <w:sz w:val="20"/>
          <w:szCs w:val="20"/>
          <w:lang w:val="en-US"/>
        </w:rPr>
        <w:t>gard</w:t>
      </w:r>
      <w:r w:rsidRPr="00D869E3">
        <w:rPr>
          <w:rFonts w:ascii="Verdana" w:hAnsi="Verdana"/>
          <w:sz w:val="20"/>
          <w:szCs w:val="20"/>
          <w:lang w:val="en-US"/>
        </w:rPr>
        <w:t>.</w:t>
      </w:r>
    </w:p>
    <w:p w14:paraId="4E2B0F4D" w14:textId="77777777" w:rsidR="003C2143" w:rsidRPr="00D869E3" w:rsidRDefault="003C2143" w:rsidP="003C2143">
      <w:pPr>
        <w:jc w:val="both"/>
        <w:rPr>
          <w:rFonts w:ascii="Verdana" w:hAnsi="Verdana"/>
          <w:sz w:val="20"/>
          <w:szCs w:val="20"/>
          <w:lang w:val="en-US"/>
        </w:rPr>
      </w:pPr>
    </w:p>
    <w:p w14:paraId="64F6CCC5" w14:textId="736D4F2A" w:rsidR="003C2143" w:rsidRPr="00D869E3" w:rsidRDefault="004533E1" w:rsidP="003C2143">
      <w:pPr>
        <w:pStyle w:val="Prrafodelista"/>
        <w:numPr>
          <w:ilvl w:val="0"/>
          <w:numId w:val="33"/>
        </w:numPr>
        <w:jc w:val="both"/>
        <w:rPr>
          <w:rFonts w:ascii="Verdana" w:hAnsi="Verdana"/>
          <w:b/>
          <w:sz w:val="20"/>
          <w:szCs w:val="20"/>
          <w:lang w:val="en-US"/>
        </w:rPr>
      </w:pPr>
      <w:r w:rsidRPr="00D869E3">
        <w:rPr>
          <w:rFonts w:ascii="Verdana" w:hAnsi="Verdana"/>
          <w:b/>
          <w:sz w:val="20"/>
          <w:szCs w:val="20"/>
          <w:lang w:val="en-US"/>
        </w:rPr>
        <w:t>Scope of this text</w:t>
      </w:r>
    </w:p>
    <w:p w14:paraId="6B1A8C90" w14:textId="77777777" w:rsidR="003C2143" w:rsidRPr="00D869E3" w:rsidRDefault="003C2143" w:rsidP="003C2143">
      <w:pPr>
        <w:ind w:left="360"/>
        <w:jc w:val="both"/>
        <w:rPr>
          <w:rFonts w:ascii="Verdana" w:hAnsi="Verdana"/>
          <w:sz w:val="20"/>
          <w:szCs w:val="20"/>
          <w:lang w:val="en-US"/>
        </w:rPr>
      </w:pPr>
    </w:p>
    <w:p w14:paraId="748F58D6" w14:textId="0F89E0F7" w:rsidR="003C2143" w:rsidRPr="00D869E3" w:rsidRDefault="003E678C" w:rsidP="00414B6B">
      <w:pPr>
        <w:jc w:val="both"/>
        <w:rPr>
          <w:rFonts w:ascii="Verdana" w:hAnsi="Verdana"/>
          <w:sz w:val="20"/>
          <w:szCs w:val="20"/>
          <w:lang w:val="en-US"/>
        </w:rPr>
      </w:pPr>
      <w:r w:rsidRPr="00D869E3">
        <w:rPr>
          <w:rFonts w:ascii="Verdana" w:hAnsi="Verdana"/>
          <w:sz w:val="20"/>
          <w:szCs w:val="20"/>
          <w:lang w:val="en-US"/>
        </w:rPr>
        <w:t>Therefore</w:t>
      </w:r>
      <w:r w:rsidR="00414B6B" w:rsidRPr="00D869E3">
        <w:rPr>
          <w:rFonts w:ascii="Verdana" w:hAnsi="Verdana"/>
          <w:sz w:val="20"/>
          <w:szCs w:val="20"/>
          <w:lang w:val="en-US"/>
        </w:rPr>
        <w:t>, the views expressed in this opinion are restricted to the right to</w:t>
      </w:r>
      <w:r w:rsidR="003C2143" w:rsidRPr="00D869E3">
        <w:rPr>
          <w:rFonts w:ascii="Verdana" w:hAnsi="Verdana"/>
          <w:sz w:val="20"/>
          <w:szCs w:val="20"/>
          <w:lang w:val="en-US"/>
        </w:rPr>
        <w:t xml:space="preserve"> </w:t>
      </w:r>
      <w:r w:rsidRPr="00D869E3">
        <w:rPr>
          <w:rFonts w:ascii="Verdana" w:hAnsi="Verdana"/>
          <w:sz w:val="20"/>
          <w:szCs w:val="20"/>
          <w:lang w:val="en-US"/>
        </w:rPr>
        <w:t xml:space="preserve">job </w:t>
      </w:r>
      <w:r w:rsidR="00414B6B" w:rsidRPr="00D869E3">
        <w:rPr>
          <w:rFonts w:ascii="Verdana" w:hAnsi="Verdana"/>
          <w:sz w:val="20"/>
          <w:szCs w:val="20"/>
          <w:lang w:val="en-US"/>
        </w:rPr>
        <w:t xml:space="preserve">security, even though </w:t>
      </w:r>
      <w:r w:rsidRPr="00D869E3">
        <w:rPr>
          <w:rFonts w:ascii="Verdana" w:hAnsi="Verdana"/>
          <w:sz w:val="20"/>
          <w:szCs w:val="20"/>
          <w:lang w:val="en-US"/>
        </w:rPr>
        <w:t>they</w:t>
      </w:r>
      <w:r w:rsidR="000B2E5E" w:rsidRPr="00D869E3">
        <w:rPr>
          <w:rFonts w:ascii="Verdana" w:hAnsi="Verdana"/>
          <w:sz w:val="20"/>
          <w:szCs w:val="20"/>
          <w:lang w:val="en-US"/>
        </w:rPr>
        <w:t xml:space="preserve"> could also be considered appropriate as regards the relationship made by the judgment between </w:t>
      </w:r>
      <w:r w:rsidR="00687684" w:rsidRPr="00D869E3">
        <w:rPr>
          <w:rFonts w:ascii="Verdana" w:hAnsi="Verdana"/>
          <w:sz w:val="20"/>
          <w:szCs w:val="20"/>
          <w:lang w:val="en-US"/>
        </w:rPr>
        <w:t>Article</w:t>
      </w:r>
      <w:r w:rsidR="003C2143" w:rsidRPr="00D869E3">
        <w:rPr>
          <w:rFonts w:ascii="Verdana" w:hAnsi="Verdana"/>
          <w:sz w:val="20"/>
          <w:szCs w:val="20"/>
          <w:lang w:val="en-US"/>
        </w:rPr>
        <w:t xml:space="preserve"> 26</w:t>
      </w:r>
      <w:r w:rsidR="00447C65" w:rsidRPr="00D869E3">
        <w:rPr>
          <w:rFonts w:ascii="Verdana" w:hAnsi="Verdana"/>
          <w:sz w:val="20"/>
          <w:szCs w:val="20"/>
          <w:lang w:val="en-US"/>
        </w:rPr>
        <w:t xml:space="preserve"> of the Convention</w:t>
      </w:r>
      <w:r w:rsidR="003C2143" w:rsidRPr="00D869E3">
        <w:rPr>
          <w:rFonts w:ascii="Verdana" w:hAnsi="Verdana"/>
          <w:sz w:val="20"/>
          <w:szCs w:val="20"/>
          <w:lang w:val="en-US"/>
        </w:rPr>
        <w:t xml:space="preserve"> </w:t>
      </w:r>
      <w:r w:rsidR="000B2E5E" w:rsidRPr="00D869E3">
        <w:rPr>
          <w:rFonts w:ascii="Verdana" w:hAnsi="Verdana"/>
          <w:sz w:val="20"/>
          <w:szCs w:val="20"/>
          <w:lang w:val="en-US"/>
        </w:rPr>
        <w:t>and</w:t>
      </w:r>
      <w:r w:rsidR="003C2143" w:rsidRPr="00D869E3">
        <w:rPr>
          <w:rFonts w:ascii="Verdana" w:hAnsi="Verdana"/>
          <w:sz w:val="20"/>
          <w:szCs w:val="20"/>
          <w:lang w:val="en-US"/>
        </w:rPr>
        <w:t xml:space="preserve"> </w:t>
      </w:r>
      <w:r w:rsidR="000B2E5E" w:rsidRPr="00D869E3">
        <w:rPr>
          <w:rFonts w:ascii="Verdana" w:hAnsi="Verdana"/>
          <w:sz w:val="20"/>
          <w:szCs w:val="20"/>
          <w:lang w:val="en-US"/>
        </w:rPr>
        <w:t>the right to</w:t>
      </w:r>
      <w:r w:rsidR="003C2143" w:rsidRPr="00D869E3">
        <w:rPr>
          <w:rFonts w:ascii="Verdana" w:hAnsi="Verdana"/>
          <w:sz w:val="20"/>
          <w:szCs w:val="20"/>
          <w:lang w:val="en-US"/>
        </w:rPr>
        <w:t xml:space="preserve"> </w:t>
      </w:r>
      <w:r w:rsidR="00351902" w:rsidRPr="00D869E3">
        <w:rPr>
          <w:rFonts w:ascii="Verdana" w:hAnsi="Verdana"/>
          <w:sz w:val="20"/>
          <w:szCs w:val="20"/>
          <w:lang w:val="en-US"/>
        </w:rPr>
        <w:t>freedom of association</w:t>
      </w:r>
      <w:r w:rsidR="003C2143" w:rsidRPr="00D869E3">
        <w:rPr>
          <w:rFonts w:ascii="Verdana" w:hAnsi="Verdana"/>
          <w:sz w:val="20"/>
          <w:szCs w:val="20"/>
          <w:lang w:val="en-US"/>
        </w:rPr>
        <w:t xml:space="preserve">.  </w:t>
      </w:r>
    </w:p>
    <w:p w14:paraId="3A4FF291" w14:textId="77777777" w:rsidR="003C2143" w:rsidRPr="00D869E3" w:rsidRDefault="003C2143" w:rsidP="003C2143">
      <w:pPr>
        <w:jc w:val="both"/>
        <w:rPr>
          <w:rFonts w:ascii="Verdana" w:hAnsi="Verdana"/>
          <w:sz w:val="20"/>
          <w:szCs w:val="20"/>
          <w:lang w:val="en-US"/>
        </w:rPr>
      </w:pPr>
    </w:p>
    <w:p w14:paraId="28198303" w14:textId="1855896E" w:rsidR="003C2143" w:rsidRPr="00D869E3" w:rsidRDefault="004533E1" w:rsidP="003C2143">
      <w:pPr>
        <w:pStyle w:val="Prrafodelista"/>
        <w:numPr>
          <w:ilvl w:val="0"/>
          <w:numId w:val="35"/>
        </w:numPr>
        <w:jc w:val="both"/>
        <w:rPr>
          <w:rFonts w:ascii="Verdana" w:hAnsi="Verdana"/>
          <w:b/>
          <w:sz w:val="20"/>
          <w:szCs w:val="20"/>
          <w:lang w:val="en-US"/>
        </w:rPr>
      </w:pPr>
      <w:r w:rsidRPr="00D869E3">
        <w:rPr>
          <w:rFonts w:ascii="Verdana" w:hAnsi="Verdana"/>
          <w:b/>
          <w:sz w:val="20"/>
          <w:szCs w:val="20"/>
          <w:lang w:val="en-US"/>
        </w:rPr>
        <w:t>THE PROVISIONS OF</w:t>
      </w:r>
      <w:r w:rsidR="003C2143" w:rsidRPr="00D869E3">
        <w:rPr>
          <w:rFonts w:ascii="Verdana" w:hAnsi="Verdana"/>
          <w:b/>
          <w:sz w:val="20"/>
          <w:szCs w:val="20"/>
          <w:lang w:val="en-US"/>
        </w:rPr>
        <w:t xml:space="preserve"> </w:t>
      </w:r>
      <w:r w:rsidR="00447C65" w:rsidRPr="00D869E3">
        <w:rPr>
          <w:rFonts w:ascii="Verdana" w:hAnsi="Verdana"/>
          <w:b/>
          <w:sz w:val="20"/>
          <w:szCs w:val="20"/>
          <w:lang w:val="en-US"/>
        </w:rPr>
        <w:t>THE CONVENTION</w:t>
      </w:r>
    </w:p>
    <w:p w14:paraId="75C3D7DD" w14:textId="77777777" w:rsidR="003C2143" w:rsidRPr="00D869E3" w:rsidRDefault="003C2143" w:rsidP="003C2143">
      <w:pPr>
        <w:jc w:val="both"/>
        <w:rPr>
          <w:rFonts w:ascii="Verdana" w:hAnsi="Verdana"/>
          <w:b/>
          <w:sz w:val="20"/>
          <w:szCs w:val="20"/>
          <w:lang w:val="en-US"/>
        </w:rPr>
      </w:pPr>
    </w:p>
    <w:p w14:paraId="753D27F4" w14:textId="064B0ECA" w:rsidR="003C2143" w:rsidRPr="00D869E3" w:rsidRDefault="000B2E5E" w:rsidP="003C2143">
      <w:pPr>
        <w:jc w:val="both"/>
        <w:rPr>
          <w:rFonts w:ascii="Verdana" w:hAnsi="Verdana"/>
          <w:sz w:val="20"/>
          <w:szCs w:val="20"/>
          <w:lang w:val="en-US"/>
        </w:rPr>
      </w:pPr>
      <w:r w:rsidRPr="00D869E3">
        <w:rPr>
          <w:rFonts w:ascii="Verdana" w:hAnsi="Verdana"/>
          <w:sz w:val="20"/>
          <w:szCs w:val="20"/>
          <w:lang w:val="en-US"/>
        </w:rPr>
        <w:t xml:space="preserve">Regarding </w:t>
      </w:r>
      <w:r w:rsidR="003E678C" w:rsidRPr="00D869E3">
        <w:rPr>
          <w:rFonts w:ascii="Verdana" w:hAnsi="Verdana"/>
          <w:sz w:val="20"/>
          <w:szCs w:val="20"/>
          <w:lang w:val="en-US"/>
        </w:rPr>
        <w:t>my</w:t>
      </w:r>
      <w:r w:rsidRPr="00D869E3">
        <w:rPr>
          <w:rFonts w:ascii="Verdana" w:hAnsi="Verdana"/>
          <w:sz w:val="20"/>
          <w:szCs w:val="20"/>
          <w:lang w:val="en-US"/>
        </w:rPr>
        <w:t xml:space="preserve"> dis</w:t>
      </w:r>
      <w:r w:rsidR="003E678C" w:rsidRPr="00D869E3">
        <w:rPr>
          <w:rFonts w:ascii="Verdana" w:hAnsi="Verdana"/>
          <w:sz w:val="20"/>
          <w:szCs w:val="20"/>
          <w:lang w:val="en-US"/>
        </w:rPr>
        <w:t>crepancy</w:t>
      </w:r>
      <w:r w:rsidRPr="00D869E3">
        <w:rPr>
          <w:rFonts w:ascii="Verdana" w:hAnsi="Verdana"/>
          <w:sz w:val="20"/>
          <w:szCs w:val="20"/>
          <w:lang w:val="en-US"/>
        </w:rPr>
        <w:t xml:space="preserve"> with the judgment, I will set forth five considerations. One, with regard to the rights </w:t>
      </w:r>
      <w:r w:rsidR="006436CA" w:rsidRPr="00D869E3">
        <w:rPr>
          <w:rFonts w:ascii="Verdana" w:hAnsi="Verdana"/>
          <w:sz w:val="20"/>
          <w:szCs w:val="20"/>
          <w:lang w:val="en-US"/>
        </w:rPr>
        <w:t>“</w:t>
      </w:r>
      <w:r w:rsidRPr="00D869E3">
        <w:rPr>
          <w:rFonts w:ascii="Verdana" w:hAnsi="Verdana"/>
          <w:i/>
          <w:iCs/>
          <w:sz w:val="20"/>
          <w:szCs w:val="20"/>
          <w:lang w:val="en-US"/>
        </w:rPr>
        <w:t>recognized</w:t>
      </w:r>
      <w:r w:rsidR="006436CA" w:rsidRPr="00D869E3">
        <w:rPr>
          <w:rFonts w:ascii="Verdana" w:hAnsi="Verdana"/>
          <w:sz w:val="20"/>
          <w:szCs w:val="20"/>
          <w:lang w:val="en-US"/>
        </w:rPr>
        <w:t>”</w:t>
      </w:r>
      <w:r w:rsidRPr="00D869E3">
        <w:rPr>
          <w:rFonts w:ascii="Verdana" w:hAnsi="Verdana"/>
          <w:sz w:val="20"/>
          <w:szCs w:val="20"/>
          <w:lang w:val="en-US"/>
        </w:rPr>
        <w:t xml:space="preserve"> in the Convention. Another, regarding the existence of other rights. The third, on the protection system embodied in the Convention. The fourth, on the extension of this to other rights. And, lastly, on </w:t>
      </w:r>
      <w:r w:rsidR="00916899" w:rsidRPr="00D869E3">
        <w:rPr>
          <w:rFonts w:ascii="Verdana" w:hAnsi="Verdana"/>
          <w:sz w:val="20"/>
          <w:szCs w:val="20"/>
          <w:lang w:val="en-US"/>
        </w:rPr>
        <w:t>the Protocol of</w:t>
      </w:r>
      <w:r w:rsidR="003C2143" w:rsidRPr="00D869E3">
        <w:rPr>
          <w:rFonts w:ascii="Verdana" w:hAnsi="Verdana"/>
          <w:sz w:val="20"/>
          <w:szCs w:val="20"/>
          <w:lang w:val="en-US"/>
        </w:rPr>
        <w:t xml:space="preserve"> San Salvador.</w:t>
      </w:r>
    </w:p>
    <w:p w14:paraId="4632A06B" w14:textId="77777777" w:rsidR="003C2143" w:rsidRPr="00D869E3" w:rsidRDefault="003C2143" w:rsidP="003C2143">
      <w:pPr>
        <w:jc w:val="both"/>
        <w:rPr>
          <w:rFonts w:ascii="Verdana" w:hAnsi="Verdana"/>
          <w:b/>
          <w:sz w:val="20"/>
          <w:szCs w:val="20"/>
          <w:lang w:val="en-US"/>
        </w:rPr>
      </w:pPr>
    </w:p>
    <w:p w14:paraId="1F410E8D" w14:textId="13B6063E" w:rsidR="003C2143" w:rsidRPr="00D869E3" w:rsidRDefault="004533E1" w:rsidP="003C2143">
      <w:pPr>
        <w:pStyle w:val="Prrafodelista"/>
        <w:numPr>
          <w:ilvl w:val="0"/>
          <w:numId w:val="32"/>
        </w:numPr>
        <w:jc w:val="both"/>
        <w:rPr>
          <w:rFonts w:ascii="Verdana" w:hAnsi="Verdana"/>
          <w:b/>
          <w:sz w:val="20"/>
          <w:szCs w:val="20"/>
          <w:lang w:val="en-US"/>
        </w:rPr>
      </w:pPr>
      <w:r w:rsidRPr="00D869E3">
        <w:rPr>
          <w:rFonts w:ascii="Verdana" w:hAnsi="Verdana"/>
          <w:b/>
          <w:sz w:val="20"/>
          <w:szCs w:val="20"/>
          <w:lang w:val="en-US"/>
        </w:rPr>
        <w:t>Rights</w:t>
      </w:r>
      <w:r w:rsidR="003C2143" w:rsidRPr="00D869E3">
        <w:rPr>
          <w:rFonts w:ascii="Verdana" w:hAnsi="Verdana"/>
          <w:b/>
          <w:sz w:val="20"/>
          <w:szCs w:val="20"/>
          <w:lang w:val="en-US"/>
        </w:rPr>
        <w:t xml:space="preserve"> </w:t>
      </w:r>
      <w:r w:rsidR="006436CA" w:rsidRPr="00D869E3">
        <w:rPr>
          <w:rFonts w:ascii="Verdana" w:hAnsi="Verdana"/>
          <w:b/>
          <w:sz w:val="20"/>
          <w:szCs w:val="20"/>
          <w:lang w:val="en-US"/>
        </w:rPr>
        <w:t>“</w:t>
      </w:r>
      <w:r w:rsidR="003C2143" w:rsidRPr="00D869E3">
        <w:rPr>
          <w:rFonts w:ascii="Verdana" w:hAnsi="Verdana"/>
          <w:b/>
          <w:sz w:val="20"/>
          <w:szCs w:val="20"/>
          <w:lang w:val="en-US"/>
        </w:rPr>
        <w:t>reco</w:t>
      </w:r>
      <w:r w:rsidRPr="00D869E3">
        <w:rPr>
          <w:rFonts w:ascii="Verdana" w:hAnsi="Verdana"/>
          <w:b/>
          <w:sz w:val="20"/>
          <w:szCs w:val="20"/>
          <w:lang w:val="en-US"/>
        </w:rPr>
        <w:t>gnized</w:t>
      </w:r>
      <w:r w:rsidR="006436CA" w:rsidRPr="00D869E3">
        <w:rPr>
          <w:rFonts w:ascii="Verdana" w:hAnsi="Verdana"/>
          <w:b/>
          <w:sz w:val="20"/>
          <w:szCs w:val="20"/>
          <w:lang w:val="en-US"/>
        </w:rPr>
        <w:t>”</w:t>
      </w:r>
      <w:r w:rsidR="003C2143" w:rsidRPr="00D869E3">
        <w:rPr>
          <w:rFonts w:ascii="Verdana" w:hAnsi="Verdana"/>
          <w:b/>
          <w:sz w:val="20"/>
          <w:szCs w:val="20"/>
          <w:lang w:val="en-US"/>
        </w:rPr>
        <w:t xml:space="preserve"> </w:t>
      </w:r>
      <w:r w:rsidRPr="00D869E3">
        <w:rPr>
          <w:rFonts w:ascii="Verdana" w:hAnsi="Verdana"/>
          <w:b/>
          <w:sz w:val="20"/>
          <w:szCs w:val="20"/>
          <w:lang w:val="en-US"/>
        </w:rPr>
        <w:t>i</w:t>
      </w:r>
      <w:r w:rsidR="003C2143" w:rsidRPr="00D869E3">
        <w:rPr>
          <w:rFonts w:ascii="Verdana" w:hAnsi="Verdana"/>
          <w:b/>
          <w:sz w:val="20"/>
          <w:szCs w:val="20"/>
          <w:lang w:val="en-US"/>
        </w:rPr>
        <w:t xml:space="preserve">n </w:t>
      </w:r>
      <w:r w:rsidR="00447C65" w:rsidRPr="00D869E3">
        <w:rPr>
          <w:rFonts w:ascii="Verdana" w:hAnsi="Verdana"/>
          <w:b/>
          <w:sz w:val="20"/>
          <w:szCs w:val="20"/>
          <w:lang w:val="en-US"/>
        </w:rPr>
        <w:t>the Convention</w:t>
      </w:r>
      <w:r w:rsidR="003C2143" w:rsidRPr="00D869E3">
        <w:rPr>
          <w:rFonts w:ascii="Verdana" w:hAnsi="Verdana"/>
          <w:b/>
          <w:sz w:val="20"/>
          <w:szCs w:val="20"/>
          <w:lang w:val="en-US"/>
        </w:rPr>
        <w:t>.</w:t>
      </w:r>
    </w:p>
    <w:p w14:paraId="1DD7FD5C" w14:textId="77777777" w:rsidR="003C2143" w:rsidRPr="00D869E3" w:rsidRDefault="003C2143" w:rsidP="003C2143">
      <w:pPr>
        <w:jc w:val="both"/>
        <w:rPr>
          <w:rFonts w:ascii="Verdana" w:hAnsi="Verdana"/>
          <w:sz w:val="20"/>
          <w:szCs w:val="20"/>
          <w:lang w:val="en-US"/>
        </w:rPr>
      </w:pPr>
    </w:p>
    <w:p w14:paraId="0A7DB01C" w14:textId="77777777" w:rsidR="005A1C14" w:rsidRDefault="00687684" w:rsidP="003C2143">
      <w:pPr>
        <w:jc w:val="both"/>
        <w:rPr>
          <w:rFonts w:ascii="Verdana" w:hAnsi="Verdana"/>
          <w:sz w:val="20"/>
          <w:szCs w:val="20"/>
          <w:lang w:val="en-US"/>
        </w:rPr>
      </w:pPr>
      <w:r w:rsidRPr="00D869E3">
        <w:rPr>
          <w:rFonts w:ascii="Verdana" w:hAnsi="Verdana"/>
          <w:sz w:val="20"/>
          <w:szCs w:val="20"/>
          <w:lang w:val="en-US"/>
        </w:rPr>
        <w:t xml:space="preserve">Article 1(1) </w:t>
      </w:r>
      <w:r w:rsidR="00447C65" w:rsidRPr="00D869E3">
        <w:rPr>
          <w:rFonts w:ascii="Verdana" w:hAnsi="Verdana"/>
          <w:sz w:val="20"/>
          <w:szCs w:val="20"/>
          <w:lang w:val="en-US"/>
        </w:rPr>
        <w:t>of the Convention</w:t>
      </w:r>
      <w:r w:rsidR="003C2143" w:rsidRPr="00D869E3">
        <w:rPr>
          <w:rFonts w:ascii="Verdana" w:hAnsi="Verdana"/>
          <w:sz w:val="20"/>
          <w:szCs w:val="20"/>
          <w:lang w:val="en-US"/>
        </w:rPr>
        <w:t xml:space="preserve"> </w:t>
      </w:r>
      <w:r w:rsidR="000B2E5E" w:rsidRPr="00D869E3">
        <w:rPr>
          <w:rFonts w:ascii="Verdana" w:hAnsi="Verdana"/>
          <w:sz w:val="20"/>
          <w:szCs w:val="20"/>
          <w:lang w:val="en-US"/>
        </w:rPr>
        <w:t>establishes that the States Parties undertake to respect and to ensure</w:t>
      </w:r>
      <w:r w:rsidR="003C2143" w:rsidRPr="00D869E3">
        <w:rPr>
          <w:rFonts w:ascii="Verdana" w:hAnsi="Verdana"/>
          <w:sz w:val="20"/>
          <w:szCs w:val="20"/>
          <w:lang w:val="en-US"/>
        </w:rPr>
        <w:t xml:space="preserve"> </w:t>
      </w:r>
      <w:r w:rsidR="000B2E5E" w:rsidRPr="00D869E3">
        <w:rPr>
          <w:rFonts w:ascii="Verdana" w:hAnsi="Verdana"/>
          <w:sz w:val="20"/>
          <w:szCs w:val="20"/>
          <w:lang w:val="en-US"/>
        </w:rPr>
        <w:t xml:space="preserve"> the enjoyment and exercise of the rights </w:t>
      </w:r>
      <w:r w:rsidR="006436CA" w:rsidRPr="00D869E3">
        <w:rPr>
          <w:rFonts w:ascii="Verdana" w:hAnsi="Verdana"/>
          <w:sz w:val="20"/>
          <w:szCs w:val="20"/>
          <w:lang w:val="en-US"/>
        </w:rPr>
        <w:t>“</w:t>
      </w:r>
      <w:r w:rsidR="000B2E5E" w:rsidRPr="00D869E3">
        <w:rPr>
          <w:rFonts w:ascii="Verdana" w:hAnsi="Verdana"/>
          <w:sz w:val="20"/>
          <w:szCs w:val="20"/>
          <w:lang w:val="en-US"/>
        </w:rPr>
        <w:t>recognized herein.</w:t>
      </w:r>
      <w:r w:rsidR="006436CA" w:rsidRPr="00D869E3">
        <w:rPr>
          <w:rFonts w:ascii="Verdana" w:hAnsi="Verdana"/>
          <w:sz w:val="20"/>
          <w:szCs w:val="20"/>
          <w:lang w:val="en-US"/>
        </w:rPr>
        <w:t>”</w:t>
      </w:r>
      <w:r w:rsidR="003C2143" w:rsidRPr="00D869E3">
        <w:rPr>
          <w:rStyle w:val="Refdenotaalpie"/>
          <w:szCs w:val="20"/>
          <w:lang w:val="en-US"/>
        </w:rPr>
        <w:footnoteReference w:id="385"/>
      </w:r>
      <w:r w:rsidR="000B2E5E" w:rsidRPr="00D869E3">
        <w:rPr>
          <w:rFonts w:ascii="Verdana" w:hAnsi="Verdana"/>
          <w:sz w:val="20"/>
          <w:szCs w:val="20"/>
          <w:lang w:val="en-US"/>
        </w:rPr>
        <w:t xml:space="preserve"> Meanwhile, </w:t>
      </w:r>
      <w:r w:rsidR="003C2143" w:rsidRPr="00D869E3">
        <w:rPr>
          <w:rFonts w:ascii="Verdana" w:hAnsi="Verdana"/>
          <w:sz w:val="20"/>
          <w:szCs w:val="20"/>
          <w:lang w:val="en-US"/>
        </w:rPr>
        <w:t xml:space="preserve"> </w:t>
      </w:r>
      <w:r w:rsidR="00447C65" w:rsidRPr="00D869E3">
        <w:rPr>
          <w:rFonts w:ascii="Verdana" w:hAnsi="Verdana"/>
          <w:sz w:val="20"/>
          <w:szCs w:val="20"/>
          <w:lang w:val="en-US"/>
        </w:rPr>
        <w:t>Article</w:t>
      </w:r>
      <w:r w:rsidR="003C2143" w:rsidRPr="00D869E3">
        <w:rPr>
          <w:rFonts w:ascii="Verdana" w:hAnsi="Verdana"/>
          <w:sz w:val="20"/>
          <w:szCs w:val="20"/>
          <w:lang w:val="en-US"/>
        </w:rPr>
        <w:t xml:space="preserve"> 29</w:t>
      </w:r>
      <w:r w:rsidR="000B2E5E" w:rsidRPr="00D869E3">
        <w:rPr>
          <w:rFonts w:ascii="Verdana" w:hAnsi="Verdana"/>
          <w:sz w:val="20"/>
          <w:szCs w:val="20"/>
          <w:lang w:val="en-US"/>
        </w:rPr>
        <w:t>(</w:t>
      </w:r>
      <w:r w:rsidR="003C2143" w:rsidRPr="00D869E3">
        <w:rPr>
          <w:rFonts w:ascii="Verdana" w:hAnsi="Verdana"/>
          <w:sz w:val="20"/>
          <w:szCs w:val="20"/>
          <w:lang w:val="en-US"/>
        </w:rPr>
        <w:t>a)</w:t>
      </w:r>
      <w:r w:rsidR="000B2E5E" w:rsidRPr="00D869E3">
        <w:rPr>
          <w:rFonts w:ascii="Verdana" w:hAnsi="Verdana"/>
          <w:sz w:val="20"/>
          <w:szCs w:val="20"/>
          <w:lang w:val="en-US"/>
        </w:rPr>
        <w:t xml:space="preserve"> of the Convention, on the </w:t>
      </w:r>
      <w:r w:rsidR="003C2143" w:rsidRPr="00D869E3">
        <w:rPr>
          <w:rFonts w:ascii="Verdana" w:hAnsi="Verdana"/>
          <w:i/>
          <w:sz w:val="20"/>
          <w:szCs w:val="20"/>
          <w:lang w:val="en-US"/>
        </w:rPr>
        <w:t>pro personae</w:t>
      </w:r>
      <w:r w:rsidR="000B2E5E" w:rsidRPr="00D869E3">
        <w:rPr>
          <w:rFonts w:ascii="Verdana" w:hAnsi="Verdana"/>
          <w:sz w:val="20"/>
          <w:szCs w:val="20"/>
          <w:lang w:val="en-US"/>
        </w:rPr>
        <w:t xml:space="preserve"> principle includes the same wording</w:t>
      </w:r>
      <w:r w:rsidR="003C2143" w:rsidRPr="00D869E3">
        <w:rPr>
          <w:rFonts w:ascii="Verdana" w:hAnsi="Verdana"/>
          <w:sz w:val="20"/>
          <w:szCs w:val="20"/>
          <w:lang w:val="en-US"/>
        </w:rPr>
        <w:t>.</w:t>
      </w:r>
      <w:r w:rsidR="003C2143" w:rsidRPr="00D869E3">
        <w:rPr>
          <w:rStyle w:val="Refdenotaalpie"/>
          <w:szCs w:val="20"/>
          <w:lang w:val="en-US"/>
        </w:rPr>
        <w:footnoteReference w:id="386"/>
      </w:r>
      <w:r w:rsidR="003C2143" w:rsidRPr="00D869E3">
        <w:rPr>
          <w:rFonts w:ascii="Verdana" w:hAnsi="Verdana"/>
          <w:sz w:val="20"/>
          <w:szCs w:val="20"/>
          <w:lang w:val="en-US"/>
        </w:rPr>
        <w:t xml:space="preserve"> </w:t>
      </w:r>
    </w:p>
    <w:p w14:paraId="48C97FC8" w14:textId="77777777" w:rsidR="005A1C14" w:rsidRDefault="005A1C14" w:rsidP="003C2143">
      <w:pPr>
        <w:jc w:val="both"/>
        <w:rPr>
          <w:rFonts w:ascii="Verdana" w:hAnsi="Verdana"/>
          <w:sz w:val="20"/>
          <w:szCs w:val="20"/>
          <w:lang w:val="en-US"/>
        </w:rPr>
      </w:pPr>
    </w:p>
    <w:p w14:paraId="2583AB97" w14:textId="12D9CE3C" w:rsidR="003C2143" w:rsidRPr="00D869E3" w:rsidRDefault="000B2E5E" w:rsidP="003C2143">
      <w:pPr>
        <w:jc w:val="both"/>
        <w:rPr>
          <w:rFonts w:ascii="Verdana" w:hAnsi="Verdana"/>
          <w:sz w:val="20"/>
          <w:szCs w:val="20"/>
          <w:lang w:val="en-US"/>
        </w:rPr>
      </w:pPr>
      <w:r w:rsidRPr="00D869E3">
        <w:rPr>
          <w:rFonts w:ascii="Verdana" w:hAnsi="Verdana"/>
          <w:sz w:val="20"/>
          <w:szCs w:val="20"/>
          <w:lang w:val="en-US"/>
        </w:rPr>
        <w:t xml:space="preserve">It should be indicated also that, in other provisions, the Convention refers to </w:t>
      </w:r>
      <w:r w:rsidR="006436CA" w:rsidRPr="00D869E3">
        <w:rPr>
          <w:rFonts w:ascii="Verdana" w:hAnsi="Verdana"/>
          <w:sz w:val="20"/>
          <w:szCs w:val="20"/>
          <w:lang w:val="en-US"/>
        </w:rPr>
        <w:t>“</w:t>
      </w:r>
      <w:r w:rsidRPr="00D869E3">
        <w:rPr>
          <w:rFonts w:ascii="Verdana" w:hAnsi="Verdana"/>
          <w:i/>
          <w:iCs/>
          <w:sz w:val="20"/>
          <w:szCs w:val="20"/>
          <w:lang w:val="en-US"/>
        </w:rPr>
        <w:t xml:space="preserve">the rights </w:t>
      </w:r>
      <w:r w:rsidR="00CC766D" w:rsidRPr="00D869E3">
        <w:rPr>
          <w:rFonts w:ascii="Verdana" w:hAnsi="Verdana"/>
          <w:i/>
          <w:iCs/>
          <w:sz w:val="20"/>
          <w:szCs w:val="20"/>
          <w:lang w:val="en-US"/>
        </w:rPr>
        <w:t>set forth</w:t>
      </w:r>
      <w:r w:rsidRPr="00D869E3">
        <w:rPr>
          <w:rFonts w:ascii="Verdana" w:hAnsi="Verdana"/>
          <w:sz w:val="20"/>
          <w:szCs w:val="20"/>
          <w:lang w:val="en-US"/>
        </w:rPr>
        <w:t>,</w:t>
      </w:r>
      <w:r w:rsidR="006436CA" w:rsidRPr="00D869E3">
        <w:rPr>
          <w:rFonts w:ascii="Verdana" w:hAnsi="Verdana"/>
          <w:sz w:val="20"/>
          <w:szCs w:val="20"/>
          <w:lang w:val="en-US"/>
        </w:rPr>
        <w:t>”</w:t>
      </w:r>
      <w:r w:rsidR="003C2143" w:rsidRPr="00D869E3">
        <w:rPr>
          <w:rStyle w:val="Refdenotaalpie"/>
          <w:szCs w:val="20"/>
          <w:lang w:val="en-US"/>
        </w:rPr>
        <w:footnoteReference w:id="387"/>
      </w:r>
      <w:r w:rsidR="003C2143" w:rsidRPr="00D869E3">
        <w:rPr>
          <w:rFonts w:ascii="Verdana" w:hAnsi="Verdana"/>
          <w:sz w:val="20"/>
          <w:szCs w:val="20"/>
          <w:lang w:val="en-US"/>
        </w:rPr>
        <w:t xml:space="preserve"> </w:t>
      </w:r>
      <w:r w:rsidR="006436CA" w:rsidRPr="00D869E3">
        <w:rPr>
          <w:rFonts w:ascii="Verdana" w:hAnsi="Verdana"/>
          <w:sz w:val="20"/>
          <w:szCs w:val="20"/>
          <w:lang w:val="en-US"/>
        </w:rPr>
        <w:t>“</w:t>
      </w:r>
      <w:r w:rsidR="003C2143" w:rsidRPr="00D869E3">
        <w:rPr>
          <w:rFonts w:ascii="Verdana" w:hAnsi="Verdana"/>
          <w:i/>
          <w:sz w:val="20"/>
          <w:szCs w:val="20"/>
          <w:lang w:val="en-US"/>
        </w:rPr>
        <w:t>g</w:t>
      </w:r>
      <w:r w:rsidRPr="00D869E3">
        <w:rPr>
          <w:rFonts w:ascii="Verdana" w:hAnsi="Verdana"/>
          <w:i/>
          <w:sz w:val="20"/>
          <w:szCs w:val="20"/>
          <w:lang w:val="en-US"/>
        </w:rPr>
        <w:t>uaranteed,</w:t>
      </w:r>
      <w:r w:rsidR="006436CA" w:rsidRPr="00D869E3">
        <w:rPr>
          <w:rFonts w:ascii="Verdana" w:hAnsi="Verdana"/>
          <w:sz w:val="20"/>
          <w:szCs w:val="20"/>
          <w:lang w:val="en-US"/>
        </w:rPr>
        <w:t>”</w:t>
      </w:r>
      <w:r w:rsidR="003C2143" w:rsidRPr="00D869E3">
        <w:rPr>
          <w:rStyle w:val="Refdenotaalpie"/>
          <w:szCs w:val="20"/>
          <w:lang w:val="en-US"/>
        </w:rPr>
        <w:footnoteReference w:id="388"/>
      </w:r>
      <w:r w:rsidR="003C2143" w:rsidRPr="00D869E3">
        <w:rPr>
          <w:rFonts w:ascii="Verdana" w:hAnsi="Verdana"/>
          <w:sz w:val="20"/>
          <w:szCs w:val="20"/>
          <w:lang w:val="en-US"/>
        </w:rPr>
        <w:t xml:space="preserve"> </w:t>
      </w:r>
      <w:r w:rsidR="006436CA" w:rsidRPr="00D869E3">
        <w:rPr>
          <w:rFonts w:ascii="Verdana" w:hAnsi="Verdana"/>
          <w:sz w:val="20"/>
          <w:szCs w:val="20"/>
          <w:lang w:val="en-US"/>
        </w:rPr>
        <w:t>“</w:t>
      </w:r>
      <w:r w:rsidR="00CC766D" w:rsidRPr="00D869E3">
        <w:rPr>
          <w:rFonts w:ascii="Verdana" w:hAnsi="Verdana"/>
          <w:i/>
          <w:sz w:val="20"/>
          <w:szCs w:val="20"/>
          <w:lang w:val="en-US"/>
        </w:rPr>
        <w:t>protected</w:t>
      </w:r>
      <w:r w:rsidRPr="00D869E3">
        <w:rPr>
          <w:rFonts w:ascii="Verdana" w:hAnsi="Verdana"/>
          <w:i/>
          <w:sz w:val="20"/>
          <w:szCs w:val="20"/>
          <w:lang w:val="en-US"/>
        </w:rPr>
        <w:t>,</w:t>
      </w:r>
      <w:r w:rsidR="006436CA" w:rsidRPr="00D869E3">
        <w:rPr>
          <w:rFonts w:ascii="Verdana" w:hAnsi="Verdana"/>
          <w:sz w:val="20"/>
          <w:szCs w:val="20"/>
          <w:lang w:val="en-US"/>
        </w:rPr>
        <w:t>”</w:t>
      </w:r>
      <w:r w:rsidR="003E678C" w:rsidRPr="00D869E3">
        <w:rPr>
          <w:rStyle w:val="Refdenotaalpie"/>
          <w:szCs w:val="20"/>
          <w:lang w:val="en-US"/>
        </w:rPr>
        <w:footnoteReference w:id="389"/>
      </w:r>
      <w:r w:rsidR="00CC766D" w:rsidRPr="00D869E3">
        <w:rPr>
          <w:rFonts w:ascii="Verdana" w:hAnsi="Verdana"/>
          <w:sz w:val="20"/>
          <w:szCs w:val="20"/>
          <w:lang w:val="en-US"/>
        </w:rPr>
        <w:t xml:space="preserve"> [</w:t>
      </w:r>
      <w:r w:rsidR="003E678C" w:rsidRPr="00D869E3">
        <w:rPr>
          <w:rFonts w:ascii="Verdana" w:hAnsi="Verdana"/>
          <w:sz w:val="20"/>
          <w:szCs w:val="20"/>
          <w:lang w:val="en-US"/>
        </w:rPr>
        <w:t>Translator’s n</w:t>
      </w:r>
      <w:r w:rsidR="00CC766D" w:rsidRPr="00D869E3">
        <w:rPr>
          <w:rFonts w:ascii="Verdana" w:hAnsi="Verdana"/>
          <w:sz w:val="20"/>
          <w:szCs w:val="20"/>
          <w:lang w:val="en-US"/>
        </w:rPr>
        <w:t xml:space="preserve">ote: </w:t>
      </w:r>
      <w:r w:rsidR="006436CA" w:rsidRPr="00D869E3">
        <w:rPr>
          <w:rFonts w:ascii="Verdana" w:hAnsi="Verdana"/>
          <w:sz w:val="20"/>
          <w:szCs w:val="20"/>
          <w:lang w:val="en-US"/>
        </w:rPr>
        <w:t>“</w:t>
      </w:r>
      <w:r w:rsidR="00CC766D" w:rsidRPr="00D869E3">
        <w:rPr>
          <w:rFonts w:ascii="Verdana" w:hAnsi="Verdana"/>
          <w:i/>
          <w:iCs/>
          <w:sz w:val="20"/>
          <w:szCs w:val="20"/>
          <w:lang w:val="en-US"/>
        </w:rPr>
        <w:t>consagrado</w:t>
      </w:r>
      <w:r w:rsidR="006436CA" w:rsidRPr="00D869E3">
        <w:rPr>
          <w:rFonts w:ascii="Verdana" w:hAnsi="Verdana"/>
          <w:sz w:val="20"/>
          <w:szCs w:val="20"/>
          <w:lang w:val="en-US"/>
        </w:rPr>
        <w:t>”</w:t>
      </w:r>
      <w:r w:rsidR="00CC766D" w:rsidRPr="00D869E3">
        <w:rPr>
          <w:rFonts w:ascii="Verdana" w:hAnsi="Verdana"/>
          <w:sz w:val="20"/>
          <w:szCs w:val="20"/>
          <w:lang w:val="en-US"/>
        </w:rPr>
        <w:t xml:space="preserve"> in Spanish]</w:t>
      </w:r>
      <w:r w:rsidR="003C2143" w:rsidRPr="00D869E3">
        <w:rPr>
          <w:rFonts w:ascii="Verdana" w:hAnsi="Verdana"/>
          <w:sz w:val="20"/>
          <w:szCs w:val="20"/>
          <w:lang w:val="en-US"/>
        </w:rPr>
        <w:t xml:space="preserve"> o</w:t>
      </w:r>
      <w:r w:rsidRPr="00D869E3">
        <w:rPr>
          <w:rFonts w:ascii="Verdana" w:hAnsi="Verdana"/>
          <w:sz w:val="20"/>
          <w:szCs w:val="20"/>
          <w:lang w:val="en-US"/>
        </w:rPr>
        <w:t>r</w:t>
      </w:r>
      <w:r w:rsidR="003C2143" w:rsidRPr="00D869E3">
        <w:rPr>
          <w:rFonts w:ascii="Verdana" w:hAnsi="Verdana"/>
          <w:sz w:val="20"/>
          <w:szCs w:val="20"/>
          <w:lang w:val="en-US"/>
        </w:rPr>
        <w:t xml:space="preserve"> </w:t>
      </w:r>
      <w:r w:rsidR="006436CA" w:rsidRPr="00D869E3">
        <w:rPr>
          <w:rFonts w:ascii="Verdana" w:hAnsi="Verdana"/>
          <w:sz w:val="20"/>
          <w:szCs w:val="20"/>
          <w:lang w:val="en-US"/>
        </w:rPr>
        <w:t>“</w:t>
      </w:r>
      <w:r w:rsidR="003C2143" w:rsidRPr="00D869E3">
        <w:rPr>
          <w:rFonts w:ascii="Verdana" w:hAnsi="Verdana"/>
          <w:i/>
          <w:sz w:val="20"/>
          <w:szCs w:val="20"/>
          <w:lang w:val="en-US"/>
        </w:rPr>
        <w:t>prote</w:t>
      </w:r>
      <w:r w:rsidRPr="00D869E3">
        <w:rPr>
          <w:rFonts w:ascii="Verdana" w:hAnsi="Verdana"/>
          <w:i/>
          <w:sz w:val="20"/>
          <w:szCs w:val="20"/>
          <w:lang w:val="en-US"/>
        </w:rPr>
        <w:t>cted</w:t>
      </w:r>
      <w:r w:rsidR="006436CA" w:rsidRPr="00D869E3">
        <w:rPr>
          <w:rFonts w:ascii="Verdana" w:hAnsi="Verdana"/>
          <w:sz w:val="20"/>
          <w:szCs w:val="20"/>
          <w:lang w:val="en-US"/>
        </w:rPr>
        <w:t>”</w:t>
      </w:r>
      <w:r w:rsidR="003C2143" w:rsidRPr="00D869E3">
        <w:rPr>
          <w:rStyle w:val="Refdenotaalpie"/>
          <w:szCs w:val="20"/>
          <w:lang w:val="en-US"/>
        </w:rPr>
        <w:footnoteReference w:id="390"/>
      </w:r>
      <w:r w:rsidR="003C2143" w:rsidRPr="00D869E3">
        <w:rPr>
          <w:rFonts w:ascii="Verdana" w:hAnsi="Verdana"/>
          <w:sz w:val="20"/>
          <w:szCs w:val="20"/>
          <w:lang w:val="en-US"/>
        </w:rPr>
        <w:t xml:space="preserve"> </w:t>
      </w:r>
      <w:r w:rsidR="003E678C" w:rsidRPr="00D869E3">
        <w:rPr>
          <w:rFonts w:ascii="Verdana" w:hAnsi="Verdana"/>
          <w:sz w:val="20"/>
          <w:szCs w:val="20"/>
          <w:lang w:val="en-US"/>
        </w:rPr>
        <w:t>[“</w:t>
      </w:r>
      <w:r w:rsidR="003E678C" w:rsidRPr="00D869E3">
        <w:rPr>
          <w:rFonts w:ascii="Verdana" w:hAnsi="Verdana"/>
          <w:i/>
          <w:iCs/>
          <w:sz w:val="20"/>
          <w:szCs w:val="20"/>
          <w:lang w:val="en-US"/>
        </w:rPr>
        <w:t>protegido”]</w:t>
      </w:r>
      <w:r w:rsidR="003E678C" w:rsidRPr="00D869E3">
        <w:rPr>
          <w:rFonts w:ascii="Verdana" w:hAnsi="Verdana"/>
          <w:sz w:val="20"/>
          <w:szCs w:val="20"/>
          <w:lang w:val="en-US"/>
        </w:rPr>
        <w:t xml:space="preserve"> </w:t>
      </w:r>
      <w:r w:rsidRPr="00D869E3">
        <w:rPr>
          <w:rFonts w:ascii="Verdana" w:hAnsi="Verdana"/>
          <w:sz w:val="20"/>
          <w:szCs w:val="20"/>
          <w:lang w:val="en-US"/>
        </w:rPr>
        <w:t>therein</w:t>
      </w:r>
      <w:r w:rsidR="00CC766D" w:rsidRPr="00D869E3">
        <w:rPr>
          <w:rFonts w:ascii="Verdana" w:hAnsi="Verdana"/>
          <w:sz w:val="20"/>
          <w:szCs w:val="20"/>
          <w:lang w:val="en-US"/>
        </w:rPr>
        <w:t xml:space="preserve">; so that, logically, it should be understood that these are rights that have been </w:t>
      </w:r>
      <w:r w:rsidR="006436CA" w:rsidRPr="00D869E3">
        <w:rPr>
          <w:rFonts w:ascii="Verdana" w:hAnsi="Verdana"/>
          <w:sz w:val="20"/>
          <w:szCs w:val="20"/>
          <w:lang w:val="en-US"/>
        </w:rPr>
        <w:t>“</w:t>
      </w:r>
      <w:r w:rsidR="00CC766D" w:rsidRPr="00D869E3">
        <w:rPr>
          <w:rFonts w:ascii="Verdana" w:hAnsi="Verdana"/>
          <w:sz w:val="20"/>
          <w:szCs w:val="20"/>
          <w:lang w:val="en-US"/>
        </w:rPr>
        <w:t>recognized</w:t>
      </w:r>
      <w:r w:rsidR="006436CA" w:rsidRPr="00D869E3">
        <w:rPr>
          <w:rFonts w:ascii="Verdana" w:hAnsi="Verdana"/>
          <w:sz w:val="20"/>
          <w:szCs w:val="20"/>
          <w:lang w:val="en-US"/>
        </w:rPr>
        <w:t>”</w:t>
      </w:r>
      <w:r w:rsidR="00CC766D" w:rsidRPr="00D869E3">
        <w:rPr>
          <w:rFonts w:ascii="Verdana" w:hAnsi="Verdana"/>
          <w:sz w:val="20"/>
          <w:szCs w:val="20"/>
          <w:lang w:val="en-US"/>
        </w:rPr>
        <w:t xml:space="preserve"> in this treaty.</w:t>
      </w:r>
      <w:r w:rsidR="003C2143" w:rsidRPr="00D869E3">
        <w:rPr>
          <w:rStyle w:val="Refdenotaalpie"/>
          <w:szCs w:val="20"/>
          <w:lang w:val="en-US"/>
        </w:rPr>
        <w:footnoteReference w:id="391"/>
      </w:r>
    </w:p>
    <w:p w14:paraId="475A81B5" w14:textId="77777777" w:rsidR="003C2143" w:rsidRPr="00D869E3" w:rsidRDefault="003C2143" w:rsidP="003C2143">
      <w:pPr>
        <w:jc w:val="both"/>
        <w:rPr>
          <w:rFonts w:ascii="Verdana" w:hAnsi="Verdana"/>
          <w:sz w:val="20"/>
          <w:szCs w:val="20"/>
          <w:lang w:val="en-US"/>
        </w:rPr>
      </w:pPr>
    </w:p>
    <w:p w14:paraId="762EE0BE" w14:textId="7AA02EA5" w:rsidR="003C2143" w:rsidRPr="00D869E3" w:rsidRDefault="00CC766D" w:rsidP="003C2143">
      <w:pPr>
        <w:jc w:val="both"/>
        <w:rPr>
          <w:rFonts w:ascii="Verdana" w:hAnsi="Verdana"/>
          <w:sz w:val="20"/>
          <w:szCs w:val="20"/>
          <w:lang w:val="en-US"/>
        </w:rPr>
      </w:pPr>
      <w:r w:rsidRPr="00D869E3">
        <w:rPr>
          <w:rFonts w:ascii="Verdana" w:hAnsi="Verdana"/>
          <w:sz w:val="20"/>
          <w:szCs w:val="20"/>
          <w:lang w:val="en-US"/>
        </w:rPr>
        <w:t xml:space="preserve">That said, the rights </w:t>
      </w:r>
      <w:r w:rsidR="006436CA" w:rsidRPr="00D869E3">
        <w:rPr>
          <w:rFonts w:ascii="Verdana" w:hAnsi="Verdana"/>
          <w:sz w:val="20"/>
          <w:szCs w:val="20"/>
          <w:lang w:val="en-US"/>
        </w:rPr>
        <w:t>“</w:t>
      </w:r>
      <w:r w:rsidRPr="00D869E3">
        <w:rPr>
          <w:rFonts w:ascii="Verdana" w:hAnsi="Verdana"/>
          <w:sz w:val="20"/>
          <w:szCs w:val="20"/>
          <w:lang w:val="en-US"/>
        </w:rPr>
        <w:t>recognized</w:t>
      </w:r>
      <w:r w:rsidR="006436CA" w:rsidRPr="00D869E3">
        <w:rPr>
          <w:rFonts w:ascii="Verdana" w:hAnsi="Verdana"/>
          <w:sz w:val="20"/>
          <w:szCs w:val="20"/>
          <w:lang w:val="en-US"/>
        </w:rPr>
        <w:t>”</w:t>
      </w:r>
      <w:r w:rsidRPr="00D869E3">
        <w:rPr>
          <w:rFonts w:ascii="Verdana" w:hAnsi="Verdana"/>
          <w:sz w:val="20"/>
          <w:szCs w:val="20"/>
          <w:lang w:val="en-US"/>
        </w:rPr>
        <w:t xml:space="preserve"> in the Convention are the </w:t>
      </w:r>
      <w:r w:rsidR="006436CA" w:rsidRPr="00D869E3">
        <w:rPr>
          <w:rFonts w:ascii="Verdana" w:hAnsi="Verdana"/>
          <w:sz w:val="20"/>
          <w:szCs w:val="20"/>
          <w:lang w:val="en-US"/>
        </w:rPr>
        <w:t>“</w:t>
      </w:r>
      <w:r w:rsidRPr="00D869E3">
        <w:rPr>
          <w:rFonts w:ascii="Verdana" w:hAnsi="Verdana"/>
          <w:sz w:val="20"/>
          <w:szCs w:val="20"/>
          <w:lang w:val="en-US"/>
        </w:rPr>
        <w:t>Civil and Political Rights</w:t>
      </w:r>
      <w:r w:rsidR="006436CA" w:rsidRPr="00D869E3">
        <w:rPr>
          <w:rFonts w:ascii="Verdana" w:hAnsi="Verdana"/>
          <w:sz w:val="20"/>
          <w:szCs w:val="20"/>
          <w:lang w:val="en-US"/>
        </w:rPr>
        <w:t>”</w:t>
      </w:r>
      <w:r w:rsidR="003C2143" w:rsidRPr="00D869E3">
        <w:rPr>
          <w:rFonts w:ascii="Verdana" w:hAnsi="Verdana"/>
          <w:sz w:val="20"/>
          <w:szCs w:val="20"/>
          <w:lang w:val="en-US"/>
        </w:rPr>
        <w:t xml:space="preserve"> (</w:t>
      </w:r>
      <w:r w:rsidRPr="00D869E3">
        <w:rPr>
          <w:rFonts w:ascii="Verdana" w:hAnsi="Verdana"/>
          <w:sz w:val="20"/>
          <w:szCs w:val="20"/>
          <w:lang w:val="en-US"/>
        </w:rPr>
        <w:t>Chapter</w:t>
      </w:r>
      <w:r w:rsidR="003C2143" w:rsidRPr="00D869E3">
        <w:rPr>
          <w:rFonts w:ascii="Verdana" w:hAnsi="Verdana"/>
          <w:sz w:val="20"/>
          <w:szCs w:val="20"/>
          <w:lang w:val="en-US"/>
        </w:rPr>
        <w:t xml:space="preserve"> II)</w:t>
      </w:r>
      <w:r w:rsidRPr="00D869E3">
        <w:rPr>
          <w:rFonts w:ascii="Verdana" w:hAnsi="Verdana"/>
          <w:sz w:val="20"/>
          <w:szCs w:val="20"/>
          <w:lang w:val="en-US"/>
        </w:rPr>
        <w:t>; that is, the right to recognition of juridical personality</w:t>
      </w:r>
      <w:r w:rsidR="003C2143" w:rsidRPr="00D869E3">
        <w:rPr>
          <w:rFonts w:ascii="Verdana" w:hAnsi="Verdana"/>
          <w:sz w:val="20"/>
          <w:szCs w:val="20"/>
          <w:lang w:val="en-US"/>
        </w:rPr>
        <w:t xml:space="preserve"> (</w:t>
      </w:r>
      <w:r w:rsidRPr="00D869E3">
        <w:rPr>
          <w:rFonts w:ascii="Verdana" w:hAnsi="Verdana"/>
          <w:sz w:val="20"/>
          <w:szCs w:val="20"/>
          <w:lang w:val="en-US"/>
        </w:rPr>
        <w:t>Ar</w:t>
      </w:r>
      <w:r w:rsidR="003C2143" w:rsidRPr="00D869E3">
        <w:rPr>
          <w:rFonts w:ascii="Verdana" w:hAnsi="Verdana"/>
          <w:sz w:val="20"/>
          <w:szCs w:val="20"/>
          <w:lang w:val="en-US"/>
        </w:rPr>
        <w:t>t.</w:t>
      </w:r>
      <w:r w:rsidRPr="00D869E3">
        <w:rPr>
          <w:rFonts w:ascii="Verdana" w:hAnsi="Verdana"/>
          <w:sz w:val="20"/>
          <w:szCs w:val="20"/>
          <w:lang w:val="en-US"/>
        </w:rPr>
        <w:t xml:space="preserve"> </w:t>
      </w:r>
      <w:r w:rsidR="003C2143" w:rsidRPr="00D869E3">
        <w:rPr>
          <w:rFonts w:ascii="Verdana" w:hAnsi="Verdana"/>
          <w:sz w:val="20"/>
          <w:szCs w:val="20"/>
          <w:lang w:val="en-US"/>
        </w:rPr>
        <w:t xml:space="preserve">3), </w:t>
      </w:r>
      <w:r w:rsidRPr="00D869E3">
        <w:rPr>
          <w:rFonts w:ascii="Verdana" w:hAnsi="Verdana"/>
          <w:sz w:val="20"/>
          <w:szCs w:val="20"/>
          <w:lang w:val="en-US"/>
        </w:rPr>
        <w:t>right to life,</w:t>
      </w:r>
      <w:r w:rsidR="003C2143" w:rsidRPr="00D869E3">
        <w:rPr>
          <w:rFonts w:ascii="Verdana" w:hAnsi="Verdana"/>
          <w:sz w:val="20"/>
          <w:szCs w:val="20"/>
          <w:lang w:val="en-US"/>
        </w:rPr>
        <w:t xml:space="preserve"> (</w:t>
      </w:r>
      <w:r w:rsidRPr="00D869E3">
        <w:rPr>
          <w:rFonts w:ascii="Verdana" w:hAnsi="Verdana"/>
          <w:sz w:val="20"/>
          <w:szCs w:val="20"/>
          <w:lang w:val="en-US"/>
        </w:rPr>
        <w:t xml:space="preserve">Art. </w:t>
      </w:r>
      <w:r w:rsidR="003C2143" w:rsidRPr="00D869E3">
        <w:rPr>
          <w:rFonts w:ascii="Verdana" w:hAnsi="Verdana"/>
          <w:sz w:val="20"/>
          <w:szCs w:val="20"/>
          <w:lang w:val="en-US"/>
        </w:rPr>
        <w:t xml:space="preserve">4), </w:t>
      </w:r>
      <w:r w:rsidRPr="00D869E3">
        <w:rPr>
          <w:rFonts w:ascii="Verdana" w:hAnsi="Verdana"/>
          <w:sz w:val="20"/>
          <w:szCs w:val="20"/>
          <w:lang w:val="en-US"/>
        </w:rPr>
        <w:t>right to</w:t>
      </w:r>
      <w:r w:rsidR="003C2143" w:rsidRPr="00D869E3">
        <w:rPr>
          <w:rFonts w:ascii="Verdana" w:hAnsi="Verdana"/>
          <w:sz w:val="20"/>
          <w:szCs w:val="20"/>
          <w:lang w:val="en-US"/>
        </w:rPr>
        <w:t xml:space="preserve"> personal</w:t>
      </w:r>
      <w:r w:rsidRPr="00D869E3">
        <w:rPr>
          <w:rFonts w:ascii="Verdana" w:hAnsi="Verdana"/>
          <w:sz w:val="20"/>
          <w:szCs w:val="20"/>
          <w:lang w:val="en-US"/>
        </w:rPr>
        <w:t xml:space="preserve"> integrity</w:t>
      </w:r>
      <w:r w:rsidR="003C2143" w:rsidRPr="00D869E3">
        <w:rPr>
          <w:rFonts w:ascii="Verdana" w:hAnsi="Verdana"/>
          <w:sz w:val="20"/>
          <w:szCs w:val="20"/>
          <w:lang w:val="en-US"/>
        </w:rPr>
        <w:t xml:space="preserve"> (</w:t>
      </w:r>
      <w:r w:rsidRPr="00D869E3">
        <w:rPr>
          <w:rFonts w:ascii="Verdana" w:hAnsi="Verdana"/>
          <w:sz w:val="20"/>
          <w:szCs w:val="20"/>
          <w:lang w:val="en-US"/>
        </w:rPr>
        <w:t xml:space="preserve">Art. </w:t>
      </w:r>
      <w:r w:rsidR="003C2143" w:rsidRPr="00D869E3">
        <w:rPr>
          <w:rFonts w:ascii="Verdana" w:hAnsi="Verdana"/>
          <w:sz w:val="20"/>
          <w:szCs w:val="20"/>
          <w:lang w:val="en-US"/>
        </w:rPr>
        <w:t>5)</w:t>
      </w:r>
      <w:r w:rsidRPr="00D869E3">
        <w:rPr>
          <w:rFonts w:ascii="Verdana" w:hAnsi="Verdana"/>
          <w:sz w:val="20"/>
          <w:szCs w:val="20"/>
          <w:lang w:val="en-US"/>
        </w:rPr>
        <w:t>,</w:t>
      </w:r>
      <w:r w:rsidR="003C2143" w:rsidRPr="00D869E3">
        <w:rPr>
          <w:rFonts w:ascii="Verdana" w:hAnsi="Verdana"/>
          <w:sz w:val="20"/>
          <w:szCs w:val="20"/>
          <w:lang w:val="en-US"/>
        </w:rPr>
        <w:t xml:space="preserve"> </w:t>
      </w:r>
      <w:r w:rsidRPr="00D869E3">
        <w:rPr>
          <w:rFonts w:ascii="Verdana" w:hAnsi="Verdana"/>
          <w:sz w:val="20"/>
          <w:szCs w:val="20"/>
          <w:lang w:val="en-US"/>
        </w:rPr>
        <w:t>freedom from slavery</w:t>
      </w:r>
      <w:r w:rsidR="003C2143" w:rsidRPr="00D869E3">
        <w:rPr>
          <w:rFonts w:ascii="Verdana" w:hAnsi="Verdana"/>
          <w:sz w:val="20"/>
          <w:szCs w:val="20"/>
          <w:lang w:val="en-US"/>
        </w:rPr>
        <w:t xml:space="preserve"> (</w:t>
      </w:r>
      <w:r w:rsidRPr="00D869E3">
        <w:rPr>
          <w:rFonts w:ascii="Verdana" w:hAnsi="Verdana"/>
          <w:sz w:val="20"/>
          <w:szCs w:val="20"/>
          <w:lang w:val="en-US"/>
        </w:rPr>
        <w:t xml:space="preserve">Art. </w:t>
      </w:r>
      <w:r w:rsidR="003C2143" w:rsidRPr="00D869E3">
        <w:rPr>
          <w:rFonts w:ascii="Verdana" w:hAnsi="Verdana"/>
          <w:sz w:val="20"/>
          <w:szCs w:val="20"/>
          <w:lang w:val="en-US"/>
        </w:rPr>
        <w:t>6)</w:t>
      </w:r>
      <w:r w:rsidRPr="00D869E3">
        <w:rPr>
          <w:rFonts w:ascii="Verdana" w:hAnsi="Verdana"/>
          <w:sz w:val="20"/>
          <w:szCs w:val="20"/>
          <w:lang w:val="en-US"/>
        </w:rPr>
        <w:t>,</w:t>
      </w:r>
      <w:r w:rsidR="003C2143" w:rsidRPr="00D869E3">
        <w:rPr>
          <w:rFonts w:ascii="Verdana" w:hAnsi="Verdana"/>
          <w:sz w:val="20"/>
          <w:szCs w:val="20"/>
          <w:lang w:val="en-US"/>
        </w:rPr>
        <w:t xml:space="preserve"> </w:t>
      </w:r>
      <w:r w:rsidRPr="00D869E3">
        <w:rPr>
          <w:rFonts w:ascii="Verdana" w:hAnsi="Verdana"/>
          <w:sz w:val="20"/>
          <w:szCs w:val="20"/>
          <w:lang w:val="en-US"/>
        </w:rPr>
        <w:t>right to</w:t>
      </w:r>
      <w:r w:rsidR="003C2143" w:rsidRPr="00D869E3">
        <w:rPr>
          <w:rFonts w:ascii="Verdana" w:hAnsi="Verdana"/>
          <w:sz w:val="20"/>
          <w:szCs w:val="20"/>
          <w:lang w:val="en-US"/>
        </w:rPr>
        <w:t xml:space="preserve"> personal</w:t>
      </w:r>
      <w:r w:rsidRPr="00D869E3">
        <w:rPr>
          <w:rFonts w:ascii="Verdana" w:hAnsi="Verdana"/>
          <w:sz w:val="20"/>
          <w:szCs w:val="20"/>
          <w:lang w:val="en-US"/>
        </w:rPr>
        <w:t xml:space="preserve"> liberty</w:t>
      </w:r>
      <w:r w:rsidR="003C2143" w:rsidRPr="00D869E3">
        <w:rPr>
          <w:rFonts w:ascii="Verdana" w:hAnsi="Verdana"/>
          <w:sz w:val="20"/>
          <w:szCs w:val="20"/>
          <w:lang w:val="en-US"/>
        </w:rPr>
        <w:t xml:space="preserve"> (</w:t>
      </w:r>
      <w:r w:rsidRPr="00D869E3">
        <w:rPr>
          <w:rFonts w:ascii="Verdana" w:hAnsi="Verdana"/>
          <w:sz w:val="20"/>
          <w:szCs w:val="20"/>
          <w:lang w:val="en-US"/>
        </w:rPr>
        <w:t xml:space="preserve">Art. </w:t>
      </w:r>
      <w:r w:rsidR="003C2143" w:rsidRPr="00D869E3">
        <w:rPr>
          <w:rFonts w:ascii="Verdana" w:hAnsi="Verdana"/>
          <w:sz w:val="20"/>
          <w:szCs w:val="20"/>
          <w:lang w:val="en-US"/>
        </w:rPr>
        <w:t xml:space="preserve">7), </w:t>
      </w:r>
      <w:r w:rsidRPr="00D869E3">
        <w:rPr>
          <w:rFonts w:ascii="Verdana" w:hAnsi="Verdana"/>
          <w:sz w:val="20"/>
          <w:szCs w:val="20"/>
          <w:lang w:val="en-US"/>
        </w:rPr>
        <w:t>right to a fair trial</w:t>
      </w:r>
      <w:r w:rsidR="003C2143" w:rsidRPr="00D869E3">
        <w:rPr>
          <w:rFonts w:ascii="Verdana" w:hAnsi="Verdana"/>
          <w:sz w:val="20"/>
          <w:szCs w:val="20"/>
          <w:lang w:val="en-US"/>
        </w:rPr>
        <w:t xml:space="preserve"> (</w:t>
      </w:r>
      <w:r w:rsidRPr="00D869E3">
        <w:rPr>
          <w:rFonts w:ascii="Verdana" w:hAnsi="Verdana"/>
          <w:sz w:val="20"/>
          <w:szCs w:val="20"/>
          <w:lang w:val="en-US"/>
        </w:rPr>
        <w:t xml:space="preserve">Art. </w:t>
      </w:r>
      <w:r w:rsidR="003C2143" w:rsidRPr="00D869E3">
        <w:rPr>
          <w:rFonts w:ascii="Verdana" w:hAnsi="Verdana"/>
          <w:sz w:val="20"/>
          <w:szCs w:val="20"/>
          <w:lang w:val="en-US"/>
        </w:rPr>
        <w:t xml:space="preserve">8), </w:t>
      </w:r>
      <w:r w:rsidRPr="00D869E3">
        <w:rPr>
          <w:rFonts w:ascii="Verdana" w:hAnsi="Verdana"/>
          <w:sz w:val="20"/>
          <w:szCs w:val="20"/>
          <w:lang w:val="en-US"/>
        </w:rPr>
        <w:t xml:space="preserve">freedom from </w:t>
      </w:r>
      <w:r w:rsidRPr="00D869E3">
        <w:rPr>
          <w:rFonts w:ascii="Verdana" w:hAnsi="Verdana"/>
          <w:i/>
          <w:iCs/>
          <w:sz w:val="20"/>
          <w:szCs w:val="20"/>
          <w:lang w:val="en-US"/>
        </w:rPr>
        <w:t>ex-post facto</w:t>
      </w:r>
      <w:r w:rsidRPr="00D869E3">
        <w:rPr>
          <w:rFonts w:ascii="Verdana" w:hAnsi="Verdana"/>
          <w:sz w:val="20"/>
          <w:szCs w:val="20"/>
          <w:lang w:val="en-US"/>
        </w:rPr>
        <w:t xml:space="preserve"> laws</w:t>
      </w:r>
      <w:r w:rsidR="003C2143" w:rsidRPr="00D869E3">
        <w:rPr>
          <w:rFonts w:ascii="Verdana" w:hAnsi="Verdana"/>
          <w:sz w:val="20"/>
          <w:szCs w:val="20"/>
          <w:lang w:val="en-US"/>
        </w:rPr>
        <w:t xml:space="preserve"> (</w:t>
      </w:r>
      <w:r w:rsidRPr="00D869E3">
        <w:rPr>
          <w:rFonts w:ascii="Verdana" w:hAnsi="Verdana"/>
          <w:sz w:val="20"/>
          <w:szCs w:val="20"/>
          <w:lang w:val="en-US"/>
        </w:rPr>
        <w:t xml:space="preserve">Art. </w:t>
      </w:r>
      <w:r w:rsidR="003C2143" w:rsidRPr="00D869E3">
        <w:rPr>
          <w:rFonts w:ascii="Verdana" w:hAnsi="Verdana"/>
          <w:sz w:val="20"/>
          <w:szCs w:val="20"/>
          <w:lang w:val="en-US"/>
        </w:rPr>
        <w:t xml:space="preserve">9), </w:t>
      </w:r>
      <w:r w:rsidRPr="00D869E3">
        <w:rPr>
          <w:rFonts w:ascii="Verdana" w:hAnsi="Verdana"/>
          <w:sz w:val="20"/>
          <w:szCs w:val="20"/>
          <w:lang w:val="en-US"/>
        </w:rPr>
        <w:t>right to compensation</w:t>
      </w:r>
      <w:r w:rsidR="003C2143" w:rsidRPr="00D869E3">
        <w:rPr>
          <w:rFonts w:ascii="Verdana" w:hAnsi="Verdana"/>
          <w:sz w:val="20"/>
          <w:szCs w:val="20"/>
          <w:lang w:val="en-US"/>
        </w:rPr>
        <w:t xml:space="preserve"> (</w:t>
      </w:r>
      <w:r w:rsidRPr="00D869E3">
        <w:rPr>
          <w:rFonts w:ascii="Verdana" w:hAnsi="Verdana"/>
          <w:sz w:val="20"/>
          <w:szCs w:val="20"/>
          <w:lang w:val="en-US"/>
        </w:rPr>
        <w:t xml:space="preserve">Art. </w:t>
      </w:r>
      <w:r w:rsidR="003C2143" w:rsidRPr="00D869E3">
        <w:rPr>
          <w:rFonts w:ascii="Verdana" w:hAnsi="Verdana"/>
          <w:sz w:val="20"/>
          <w:szCs w:val="20"/>
          <w:lang w:val="en-US"/>
        </w:rPr>
        <w:t xml:space="preserve">10), </w:t>
      </w:r>
      <w:r w:rsidRPr="00D869E3">
        <w:rPr>
          <w:rFonts w:ascii="Verdana" w:hAnsi="Verdana"/>
          <w:sz w:val="20"/>
          <w:szCs w:val="20"/>
          <w:lang w:val="en-US"/>
        </w:rPr>
        <w:t>right to privacy</w:t>
      </w:r>
      <w:r w:rsidR="003C2143" w:rsidRPr="00D869E3">
        <w:rPr>
          <w:rFonts w:ascii="Verdana" w:hAnsi="Verdana"/>
          <w:sz w:val="20"/>
          <w:szCs w:val="20"/>
          <w:lang w:val="en-US"/>
        </w:rPr>
        <w:t xml:space="preserve"> (</w:t>
      </w:r>
      <w:r w:rsidRPr="00D869E3">
        <w:rPr>
          <w:rFonts w:ascii="Verdana" w:hAnsi="Verdana"/>
          <w:sz w:val="20"/>
          <w:szCs w:val="20"/>
          <w:lang w:val="en-US"/>
        </w:rPr>
        <w:t xml:space="preserve">Art. </w:t>
      </w:r>
      <w:r w:rsidR="003C2143" w:rsidRPr="00D869E3">
        <w:rPr>
          <w:rFonts w:ascii="Verdana" w:hAnsi="Verdana"/>
          <w:sz w:val="20"/>
          <w:szCs w:val="20"/>
          <w:lang w:val="en-US"/>
        </w:rPr>
        <w:t xml:space="preserve">11), </w:t>
      </w:r>
      <w:r w:rsidRPr="00D869E3">
        <w:rPr>
          <w:rFonts w:ascii="Verdana" w:hAnsi="Verdana"/>
          <w:sz w:val="20"/>
          <w:szCs w:val="20"/>
          <w:lang w:val="en-US"/>
        </w:rPr>
        <w:t>freedom of conscience and religion</w:t>
      </w:r>
      <w:r w:rsidR="003C2143" w:rsidRPr="00D869E3">
        <w:rPr>
          <w:rFonts w:ascii="Verdana" w:hAnsi="Verdana"/>
          <w:sz w:val="20"/>
          <w:szCs w:val="20"/>
          <w:lang w:val="en-US"/>
        </w:rPr>
        <w:t xml:space="preserve"> (</w:t>
      </w:r>
      <w:r w:rsidRPr="00D869E3">
        <w:rPr>
          <w:rFonts w:ascii="Verdana" w:hAnsi="Verdana"/>
          <w:sz w:val="20"/>
          <w:szCs w:val="20"/>
          <w:lang w:val="en-US"/>
        </w:rPr>
        <w:t xml:space="preserve">Art. </w:t>
      </w:r>
      <w:r w:rsidR="003C2143" w:rsidRPr="00D869E3">
        <w:rPr>
          <w:rFonts w:ascii="Verdana" w:hAnsi="Verdana"/>
          <w:sz w:val="20"/>
          <w:szCs w:val="20"/>
          <w:lang w:val="en-US"/>
        </w:rPr>
        <w:t xml:space="preserve">12), </w:t>
      </w:r>
      <w:r w:rsidRPr="00D869E3">
        <w:rPr>
          <w:rFonts w:ascii="Verdana" w:hAnsi="Verdana"/>
          <w:sz w:val="20"/>
          <w:szCs w:val="20"/>
          <w:lang w:val="en-US"/>
        </w:rPr>
        <w:t>freedom of thought and expression</w:t>
      </w:r>
      <w:r w:rsidR="00687684" w:rsidRPr="00D869E3">
        <w:rPr>
          <w:rFonts w:ascii="Verdana" w:hAnsi="Verdana"/>
          <w:sz w:val="20"/>
          <w:szCs w:val="20"/>
          <w:lang w:val="en-US"/>
        </w:rPr>
        <w:t xml:space="preserve"> </w:t>
      </w:r>
      <w:r w:rsidR="003C2143" w:rsidRPr="00D869E3">
        <w:rPr>
          <w:rFonts w:ascii="Verdana" w:hAnsi="Verdana"/>
          <w:sz w:val="20"/>
          <w:szCs w:val="20"/>
          <w:lang w:val="en-US"/>
        </w:rPr>
        <w:t>(</w:t>
      </w:r>
      <w:r w:rsidRPr="00D869E3">
        <w:rPr>
          <w:rFonts w:ascii="Verdana" w:hAnsi="Verdana"/>
          <w:sz w:val="20"/>
          <w:szCs w:val="20"/>
          <w:lang w:val="en-US"/>
        </w:rPr>
        <w:t xml:space="preserve">Art. </w:t>
      </w:r>
      <w:r w:rsidR="003C2143" w:rsidRPr="00D869E3">
        <w:rPr>
          <w:rFonts w:ascii="Verdana" w:hAnsi="Verdana"/>
          <w:sz w:val="20"/>
          <w:szCs w:val="20"/>
          <w:lang w:val="en-US"/>
        </w:rPr>
        <w:t xml:space="preserve">13), </w:t>
      </w:r>
      <w:r w:rsidRPr="00D869E3">
        <w:rPr>
          <w:rFonts w:ascii="Verdana" w:hAnsi="Verdana"/>
          <w:sz w:val="20"/>
          <w:szCs w:val="20"/>
          <w:lang w:val="en-US"/>
        </w:rPr>
        <w:t>right of reply</w:t>
      </w:r>
      <w:r w:rsidR="003C2143" w:rsidRPr="00D869E3">
        <w:rPr>
          <w:rFonts w:ascii="Verdana" w:hAnsi="Verdana"/>
          <w:sz w:val="20"/>
          <w:szCs w:val="20"/>
          <w:lang w:val="en-US"/>
        </w:rPr>
        <w:t xml:space="preserve"> (</w:t>
      </w:r>
      <w:r w:rsidRPr="00D869E3">
        <w:rPr>
          <w:rFonts w:ascii="Verdana" w:hAnsi="Verdana"/>
          <w:sz w:val="20"/>
          <w:szCs w:val="20"/>
          <w:lang w:val="en-US"/>
        </w:rPr>
        <w:t xml:space="preserve">Art. </w:t>
      </w:r>
      <w:r w:rsidR="003C2143" w:rsidRPr="00D869E3">
        <w:rPr>
          <w:rFonts w:ascii="Verdana" w:hAnsi="Verdana"/>
          <w:sz w:val="20"/>
          <w:szCs w:val="20"/>
          <w:lang w:val="en-US"/>
        </w:rPr>
        <w:t xml:space="preserve">14), </w:t>
      </w:r>
      <w:r w:rsidRPr="00D869E3">
        <w:rPr>
          <w:rFonts w:ascii="Verdana" w:hAnsi="Verdana"/>
          <w:sz w:val="20"/>
          <w:szCs w:val="20"/>
          <w:lang w:val="en-US"/>
        </w:rPr>
        <w:t>right of assembly</w:t>
      </w:r>
      <w:r w:rsidR="003C2143" w:rsidRPr="00D869E3">
        <w:rPr>
          <w:rFonts w:ascii="Verdana" w:hAnsi="Verdana"/>
          <w:sz w:val="20"/>
          <w:szCs w:val="20"/>
          <w:lang w:val="en-US"/>
        </w:rPr>
        <w:t xml:space="preserve"> (</w:t>
      </w:r>
      <w:r w:rsidRPr="00D869E3">
        <w:rPr>
          <w:rFonts w:ascii="Verdana" w:hAnsi="Verdana"/>
          <w:sz w:val="20"/>
          <w:szCs w:val="20"/>
          <w:lang w:val="en-US"/>
        </w:rPr>
        <w:t xml:space="preserve">Art. </w:t>
      </w:r>
      <w:r w:rsidR="003C2143" w:rsidRPr="00D869E3">
        <w:rPr>
          <w:rFonts w:ascii="Verdana" w:hAnsi="Verdana"/>
          <w:sz w:val="20"/>
          <w:szCs w:val="20"/>
          <w:lang w:val="en-US"/>
        </w:rPr>
        <w:t xml:space="preserve">15), </w:t>
      </w:r>
      <w:r w:rsidR="00ED2632" w:rsidRPr="00D869E3">
        <w:rPr>
          <w:rFonts w:ascii="Verdana" w:hAnsi="Verdana"/>
          <w:sz w:val="20"/>
          <w:szCs w:val="20"/>
          <w:lang w:val="en-US"/>
        </w:rPr>
        <w:t>freedom of association</w:t>
      </w:r>
      <w:r w:rsidR="003C2143" w:rsidRPr="00D869E3">
        <w:rPr>
          <w:rFonts w:ascii="Verdana" w:hAnsi="Verdana"/>
          <w:sz w:val="20"/>
          <w:szCs w:val="20"/>
          <w:lang w:val="en-US"/>
        </w:rPr>
        <w:t xml:space="preserve"> (</w:t>
      </w:r>
      <w:r w:rsidRPr="00D869E3">
        <w:rPr>
          <w:rFonts w:ascii="Verdana" w:hAnsi="Verdana"/>
          <w:sz w:val="20"/>
          <w:szCs w:val="20"/>
          <w:lang w:val="en-US"/>
        </w:rPr>
        <w:t xml:space="preserve">Art. </w:t>
      </w:r>
      <w:r w:rsidR="003C2143" w:rsidRPr="00D869E3">
        <w:rPr>
          <w:rFonts w:ascii="Verdana" w:hAnsi="Verdana"/>
          <w:sz w:val="20"/>
          <w:szCs w:val="20"/>
          <w:lang w:val="en-US"/>
        </w:rPr>
        <w:t xml:space="preserve">16), </w:t>
      </w:r>
      <w:r w:rsidR="00ED2632" w:rsidRPr="00D869E3">
        <w:rPr>
          <w:rFonts w:ascii="Verdana" w:hAnsi="Verdana"/>
          <w:sz w:val="20"/>
          <w:szCs w:val="20"/>
          <w:lang w:val="en-US"/>
        </w:rPr>
        <w:t>rights of the family</w:t>
      </w:r>
      <w:r w:rsidR="003C2143" w:rsidRPr="00D869E3">
        <w:rPr>
          <w:rFonts w:ascii="Verdana" w:hAnsi="Verdana"/>
          <w:sz w:val="20"/>
          <w:szCs w:val="20"/>
          <w:lang w:val="en-US"/>
        </w:rPr>
        <w:t xml:space="preserve"> (</w:t>
      </w:r>
      <w:r w:rsidRPr="00D869E3">
        <w:rPr>
          <w:rFonts w:ascii="Verdana" w:hAnsi="Verdana"/>
          <w:sz w:val="20"/>
          <w:szCs w:val="20"/>
          <w:lang w:val="en-US"/>
        </w:rPr>
        <w:t xml:space="preserve">Art. </w:t>
      </w:r>
      <w:r w:rsidR="003C2143" w:rsidRPr="00D869E3">
        <w:rPr>
          <w:rFonts w:ascii="Verdana" w:hAnsi="Verdana"/>
          <w:sz w:val="20"/>
          <w:szCs w:val="20"/>
          <w:lang w:val="en-US"/>
        </w:rPr>
        <w:t xml:space="preserve">17), </w:t>
      </w:r>
      <w:r w:rsidR="00ED2632" w:rsidRPr="00D869E3">
        <w:rPr>
          <w:rFonts w:ascii="Verdana" w:hAnsi="Verdana"/>
          <w:sz w:val="20"/>
          <w:szCs w:val="20"/>
          <w:lang w:val="en-US"/>
        </w:rPr>
        <w:t>right to a name</w:t>
      </w:r>
      <w:r w:rsidR="003C2143" w:rsidRPr="00D869E3">
        <w:rPr>
          <w:rFonts w:ascii="Verdana" w:hAnsi="Verdana"/>
          <w:sz w:val="20"/>
          <w:szCs w:val="20"/>
          <w:lang w:val="en-US"/>
        </w:rPr>
        <w:t xml:space="preserve"> (</w:t>
      </w:r>
      <w:r w:rsidRPr="00D869E3">
        <w:rPr>
          <w:rFonts w:ascii="Verdana" w:hAnsi="Verdana"/>
          <w:sz w:val="20"/>
          <w:szCs w:val="20"/>
          <w:lang w:val="en-US"/>
        </w:rPr>
        <w:t xml:space="preserve">Art. </w:t>
      </w:r>
      <w:r w:rsidR="003C2143" w:rsidRPr="00D869E3">
        <w:rPr>
          <w:rFonts w:ascii="Verdana" w:hAnsi="Verdana"/>
          <w:sz w:val="20"/>
          <w:szCs w:val="20"/>
          <w:lang w:val="en-US"/>
        </w:rPr>
        <w:t xml:space="preserve">18), </w:t>
      </w:r>
      <w:r w:rsidR="00ED2632" w:rsidRPr="00D869E3">
        <w:rPr>
          <w:rFonts w:ascii="Verdana" w:hAnsi="Verdana"/>
          <w:sz w:val="20"/>
          <w:szCs w:val="20"/>
          <w:lang w:val="en-US"/>
        </w:rPr>
        <w:t>rights of the child</w:t>
      </w:r>
      <w:r w:rsidR="003C2143" w:rsidRPr="00D869E3">
        <w:rPr>
          <w:rFonts w:ascii="Verdana" w:hAnsi="Verdana"/>
          <w:sz w:val="20"/>
          <w:szCs w:val="20"/>
          <w:lang w:val="en-US"/>
        </w:rPr>
        <w:t xml:space="preserve"> (</w:t>
      </w:r>
      <w:r w:rsidRPr="00D869E3">
        <w:rPr>
          <w:rFonts w:ascii="Verdana" w:hAnsi="Verdana"/>
          <w:sz w:val="20"/>
          <w:szCs w:val="20"/>
          <w:lang w:val="en-US"/>
        </w:rPr>
        <w:t xml:space="preserve">Art. </w:t>
      </w:r>
      <w:r w:rsidR="003C2143" w:rsidRPr="00D869E3">
        <w:rPr>
          <w:rFonts w:ascii="Verdana" w:hAnsi="Verdana"/>
          <w:sz w:val="20"/>
          <w:szCs w:val="20"/>
          <w:lang w:val="en-US"/>
        </w:rPr>
        <w:t xml:space="preserve">19), </w:t>
      </w:r>
      <w:r w:rsidRPr="00D869E3">
        <w:rPr>
          <w:rFonts w:ascii="Verdana" w:hAnsi="Verdana"/>
          <w:sz w:val="20"/>
          <w:szCs w:val="20"/>
          <w:lang w:val="en-US"/>
        </w:rPr>
        <w:t>right to</w:t>
      </w:r>
      <w:r w:rsidR="003C2143" w:rsidRPr="00D869E3">
        <w:rPr>
          <w:rFonts w:ascii="Verdana" w:hAnsi="Verdana"/>
          <w:sz w:val="20"/>
          <w:szCs w:val="20"/>
          <w:lang w:val="en-US"/>
        </w:rPr>
        <w:t xml:space="preserve"> na</w:t>
      </w:r>
      <w:r w:rsidR="00ED2632" w:rsidRPr="00D869E3">
        <w:rPr>
          <w:rFonts w:ascii="Verdana" w:hAnsi="Verdana"/>
          <w:sz w:val="20"/>
          <w:szCs w:val="20"/>
          <w:lang w:val="en-US"/>
        </w:rPr>
        <w:t>tionality</w:t>
      </w:r>
      <w:r w:rsidR="003C2143" w:rsidRPr="00D869E3">
        <w:rPr>
          <w:rFonts w:ascii="Verdana" w:hAnsi="Verdana"/>
          <w:sz w:val="20"/>
          <w:szCs w:val="20"/>
          <w:lang w:val="en-US"/>
        </w:rPr>
        <w:t xml:space="preserve"> (</w:t>
      </w:r>
      <w:r w:rsidRPr="00D869E3">
        <w:rPr>
          <w:rFonts w:ascii="Verdana" w:hAnsi="Verdana"/>
          <w:sz w:val="20"/>
          <w:szCs w:val="20"/>
          <w:lang w:val="en-US"/>
        </w:rPr>
        <w:t xml:space="preserve">Art. </w:t>
      </w:r>
      <w:r w:rsidR="003C2143" w:rsidRPr="00D869E3">
        <w:rPr>
          <w:rFonts w:ascii="Verdana" w:hAnsi="Verdana"/>
          <w:sz w:val="20"/>
          <w:szCs w:val="20"/>
          <w:lang w:val="en-US"/>
        </w:rPr>
        <w:t xml:space="preserve">20), </w:t>
      </w:r>
      <w:r w:rsidRPr="00D869E3">
        <w:rPr>
          <w:rFonts w:ascii="Verdana" w:hAnsi="Verdana"/>
          <w:sz w:val="20"/>
          <w:szCs w:val="20"/>
          <w:lang w:val="en-US"/>
        </w:rPr>
        <w:t>right to</w:t>
      </w:r>
      <w:r w:rsidR="003C2143" w:rsidRPr="00D869E3">
        <w:rPr>
          <w:rFonts w:ascii="Verdana" w:hAnsi="Verdana"/>
          <w:sz w:val="20"/>
          <w:szCs w:val="20"/>
          <w:lang w:val="en-US"/>
        </w:rPr>
        <w:t xml:space="preserve"> </w:t>
      </w:r>
      <w:r w:rsidR="00ED2632" w:rsidRPr="00D869E3">
        <w:rPr>
          <w:rFonts w:ascii="Verdana" w:hAnsi="Verdana"/>
          <w:sz w:val="20"/>
          <w:szCs w:val="20"/>
          <w:lang w:val="en-US"/>
        </w:rPr>
        <w:t>property</w:t>
      </w:r>
      <w:r w:rsidR="003C2143" w:rsidRPr="00D869E3">
        <w:rPr>
          <w:rFonts w:ascii="Verdana" w:hAnsi="Verdana"/>
          <w:sz w:val="20"/>
          <w:szCs w:val="20"/>
          <w:lang w:val="en-US"/>
        </w:rPr>
        <w:t xml:space="preserve"> (</w:t>
      </w:r>
      <w:r w:rsidRPr="00D869E3">
        <w:rPr>
          <w:rFonts w:ascii="Verdana" w:hAnsi="Verdana"/>
          <w:sz w:val="20"/>
          <w:szCs w:val="20"/>
          <w:lang w:val="en-US"/>
        </w:rPr>
        <w:t xml:space="preserve">Art. </w:t>
      </w:r>
      <w:r w:rsidR="003C2143" w:rsidRPr="00D869E3">
        <w:rPr>
          <w:rFonts w:ascii="Verdana" w:hAnsi="Verdana"/>
          <w:sz w:val="20"/>
          <w:szCs w:val="20"/>
          <w:lang w:val="en-US"/>
        </w:rPr>
        <w:t xml:space="preserve">21), </w:t>
      </w:r>
      <w:r w:rsidR="00ED2632" w:rsidRPr="00D869E3">
        <w:rPr>
          <w:rFonts w:ascii="Verdana" w:hAnsi="Verdana"/>
          <w:sz w:val="20"/>
          <w:szCs w:val="20"/>
          <w:lang w:val="en-US"/>
        </w:rPr>
        <w:t xml:space="preserve">freedom of movement and residence </w:t>
      </w:r>
      <w:r w:rsidR="003C2143" w:rsidRPr="00D869E3">
        <w:rPr>
          <w:rFonts w:ascii="Verdana" w:hAnsi="Verdana"/>
          <w:sz w:val="20"/>
          <w:szCs w:val="20"/>
          <w:lang w:val="en-US"/>
        </w:rPr>
        <w:lastRenderedPageBreak/>
        <w:t>(</w:t>
      </w:r>
      <w:r w:rsidRPr="00D869E3">
        <w:rPr>
          <w:rFonts w:ascii="Verdana" w:hAnsi="Verdana"/>
          <w:sz w:val="20"/>
          <w:szCs w:val="20"/>
          <w:lang w:val="en-US"/>
        </w:rPr>
        <w:t xml:space="preserve">Art. </w:t>
      </w:r>
      <w:r w:rsidR="003C2143" w:rsidRPr="00D869E3">
        <w:rPr>
          <w:rFonts w:ascii="Verdana" w:hAnsi="Verdana"/>
          <w:sz w:val="20"/>
          <w:szCs w:val="20"/>
          <w:lang w:val="en-US"/>
        </w:rPr>
        <w:t xml:space="preserve">22), </w:t>
      </w:r>
      <w:r w:rsidR="00ED2632" w:rsidRPr="00D869E3">
        <w:rPr>
          <w:rFonts w:ascii="Verdana" w:hAnsi="Verdana"/>
          <w:sz w:val="20"/>
          <w:szCs w:val="20"/>
          <w:lang w:val="en-US"/>
        </w:rPr>
        <w:t xml:space="preserve">right to participate in government </w:t>
      </w:r>
      <w:r w:rsidR="003C2143" w:rsidRPr="00D869E3">
        <w:rPr>
          <w:rFonts w:ascii="Verdana" w:hAnsi="Verdana"/>
          <w:sz w:val="20"/>
          <w:szCs w:val="20"/>
          <w:lang w:val="en-US"/>
        </w:rPr>
        <w:t>(</w:t>
      </w:r>
      <w:r w:rsidRPr="00D869E3">
        <w:rPr>
          <w:rFonts w:ascii="Verdana" w:hAnsi="Verdana"/>
          <w:sz w:val="20"/>
          <w:szCs w:val="20"/>
          <w:lang w:val="en-US"/>
        </w:rPr>
        <w:t xml:space="preserve">Art. </w:t>
      </w:r>
      <w:r w:rsidR="003C2143" w:rsidRPr="00D869E3">
        <w:rPr>
          <w:rFonts w:ascii="Verdana" w:hAnsi="Verdana"/>
          <w:sz w:val="20"/>
          <w:szCs w:val="20"/>
          <w:lang w:val="en-US"/>
        </w:rPr>
        <w:t xml:space="preserve">23), </w:t>
      </w:r>
      <w:r w:rsidR="00ED2632" w:rsidRPr="00D869E3">
        <w:rPr>
          <w:rFonts w:ascii="Verdana" w:hAnsi="Verdana"/>
          <w:sz w:val="20"/>
          <w:szCs w:val="20"/>
          <w:lang w:val="en-US"/>
        </w:rPr>
        <w:t>right to equal protection</w:t>
      </w:r>
      <w:r w:rsidR="003C2143" w:rsidRPr="00D869E3">
        <w:rPr>
          <w:rFonts w:ascii="Verdana" w:hAnsi="Verdana"/>
          <w:sz w:val="20"/>
          <w:szCs w:val="20"/>
          <w:lang w:val="en-US"/>
        </w:rPr>
        <w:t xml:space="preserve"> (</w:t>
      </w:r>
      <w:r w:rsidRPr="00D869E3">
        <w:rPr>
          <w:rFonts w:ascii="Verdana" w:hAnsi="Verdana"/>
          <w:sz w:val="20"/>
          <w:szCs w:val="20"/>
          <w:lang w:val="en-US"/>
        </w:rPr>
        <w:t xml:space="preserve">Art. </w:t>
      </w:r>
      <w:r w:rsidR="003C2143" w:rsidRPr="00D869E3">
        <w:rPr>
          <w:rFonts w:ascii="Verdana" w:hAnsi="Verdana"/>
          <w:sz w:val="20"/>
          <w:szCs w:val="20"/>
          <w:lang w:val="en-US"/>
        </w:rPr>
        <w:t>24)</w:t>
      </w:r>
      <w:r w:rsidR="00687684" w:rsidRPr="00D869E3">
        <w:rPr>
          <w:rFonts w:ascii="Verdana" w:hAnsi="Verdana"/>
          <w:sz w:val="20"/>
          <w:szCs w:val="20"/>
          <w:lang w:val="en-US"/>
        </w:rPr>
        <w:t xml:space="preserve"> and </w:t>
      </w:r>
      <w:r w:rsidR="00ED2632" w:rsidRPr="00D869E3">
        <w:rPr>
          <w:rFonts w:ascii="Verdana" w:hAnsi="Verdana"/>
          <w:sz w:val="20"/>
          <w:szCs w:val="20"/>
          <w:lang w:val="en-US"/>
        </w:rPr>
        <w:t>right to</w:t>
      </w:r>
      <w:r w:rsidR="003C2143" w:rsidRPr="00D869E3">
        <w:rPr>
          <w:rFonts w:ascii="Verdana" w:hAnsi="Verdana"/>
          <w:sz w:val="20"/>
          <w:szCs w:val="20"/>
          <w:lang w:val="en-US"/>
        </w:rPr>
        <w:t xml:space="preserve"> judicial</w:t>
      </w:r>
      <w:r w:rsidR="00ED2632" w:rsidRPr="00D869E3">
        <w:rPr>
          <w:rFonts w:ascii="Verdana" w:hAnsi="Verdana"/>
          <w:sz w:val="20"/>
          <w:szCs w:val="20"/>
          <w:lang w:val="en-US"/>
        </w:rPr>
        <w:t xml:space="preserve"> protection</w:t>
      </w:r>
      <w:r w:rsidR="003C2143" w:rsidRPr="00D869E3">
        <w:rPr>
          <w:rFonts w:ascii="Verdana" w:hAnsi="Verdana"/>
          <w:sz w:val="20"/>
          <w:szCs w:val="20"/>
          <w:lang w:val="en-US"/>
        </w:rPr>
        <w:t xml:space="preserve"> (</w:t>
      </w:r>
      <w:r w:rsidRPr="00D869E3">
        <w:rPr>
          <w:rFonts w:ascii="Verdana" w:hAnsi="Verdana"/>
          <w:sz w:val="20"/>
          <w:szCs w:val="20"/>
          <w:lang w:val="en-US"/>
        </w:rPr>
        <w:t xml:space="preserve">Art. </w:t>
      </w:r>
      <w:r w:rsidR="003C2143" w:rsidRPr="00D869E3">
        <w:rPr>
          <w:rFonts w:ascii="Verdana" w:hAnsi="Verdana"/>
          <w:sz w:val="20"/>
          <w:szCs w:val="20"/>
          <w:lang w:val="en-US"/>
        </w:rPr>
        <w:t>25).</w:t>
      </w:r>
    </w:p>
    <w:p w14:paraId="7F70D567" w14:textId="77777777" w:rsidR="003C2143" w:rsidRPr="00D869E3" w:rsidRDefault="003C2143" w:rsidP="003C2143">
      <w:pPr>
        <w:jc w:val="both"/>
        <w:rPr>
          <w:rFonts w:ascii="Verdana" w:hAnsi="Verdana"/>
          <w:sz w:val="20"/>
          <w:szCs w:val="20"/>
          <w:lang w:val="en-US"/>
        </w:rPr>
      </w:pPr>
    </w:p>
    <w:p w14:paraId="26B7BE57" w14:textId="7684EDBF" w:rsidR="003C2143" w:rsidRPr="00D869E3" w:rsidRDefault="00ED2632" w:rsidP="003C2143">
      <w:pPr>
        <w:jc w:val="both"/>
        <w:rPr>
          <w:rFonts w:ascii="Verdana" w:hAnsi="Verdana"/>
          <w:iCs/>
          <w:sz w:val="20"/>
          <w:szCs w:val="20"/>
          <w:lang w:val="en-US"/>
        </w:rPr>
      </w:pPr>
      <w:r w:rsidRPr="00D869E3">
        <w:rPr>
          <w:rFonts w:ascii="Verdana" w:hAnsi="Verdana"/>
          <w:sz w:val="20"/>
          <w:szCs w:val="20"/>
          <w:lang w:val="en-US"/>
        </w:rPr>
        <w:t xml:space="preserve">In accordance with these provisions, the rights that are the purpose of the Convention and that, consequently, its States Parties </w:t>
      </w:r>
      <w:r w:rsidR="006436CA" w:rsidRPr="00D869E3">
        <w:rPr>
          <w:rFonts w:ascii="Verdana" w:hAnsi="Verdana"/>
          <w:sz w:val="20"/>
          <w:szCs w:val="20"/>
          <w:lang w:val="en-US"/>
        </w:rPr>
        <w:t>“</w:t>
      </w:r>
      <w:r w:rsidRPr="00D869E3">
        <w:rPr>
          <w:rFonts w:ascii="Verdana" w:hAnsi="Verdana"/>
          <w:i/>
          <w:iCs/>
          <w:spacing w:val="-3"/>
          <w:sz w:val="20"/>
          <w:szCs w:val="20"/>
          <w:lang w:val="en-US"/>
        </w:rPr>
        <w:t xml:space="preserve">undertake to respect </w:t>
      </w:r>
      <w:r w:rsidR="003E678C" w:rsidRPr="00D869E3">
        <w:rPr>
          <w:rFonts w:ascii="Verdana" w:hAnsi="Verdana"/>
          <w:i/>
          <w:iCs/>
          <w:spacing w:val="-3"/>
          <w:sz w:val="20"/>
          <w:szCs w:val="20"/>
          <w:lang w:val="en-US"/>
        </w:rPr>
        <w:t xml:space="preserve">[…] </w:t>
      </w:r>
      <w:r w:rsidRPr="00D869E3">
        <w:rPr>
          <w:rFonts w:ascii="Verdana" w:hAnsi="Verdana"/>
          <w:i/>
          <w:iCs/>
          <w:spacing w:val="-3"/>
          <w:sz w:val="20"/>
          <w:szCs w:val="20"/>
          <w:lang w:val="en-US"/>
        </w:rPr>
        <w:t>and to ensure to all persons subject to their jurisdiction the</w:t>
      </w:r>
      <w:r w:rsidR="003E678C" w:rsidRPr="00D869E3">
        <w:rPr>
          <w:rFonts w:ascii="Verdana" w:hAnsi="Verdana"/>
          <w:i/>
          <w:iCs/>
          <w:spacing w:val="-3"/>
          <w:sz w:val="20"/>
          <w:szCs w:val="20"/>
          <w:lang w:val="en-US"/>
        </w:rPr>
        <w:t>[ir]</w:t>
      </w:r>
      <w:r w:rsidRPr="00D869E3">
        <w:rPr>
          <w:rFonts w:ascii="Verdana" w:hAnsi="Verdana"/>
          <w:i/>
          <w:iCs/>
          <w:spacing w:val="-3"/>
          <w:sz w:val="20"/>
          <w:szCs w:val="20"/>
          <w:lang w:val="en-US"/>
        </w:rPr>
        <w:t xml:space="preserve"> free and full exercise</w:t>
      </w:r>
      <w:r w:rsidRPr="00D869E3">
        <w:rPr>
          <w:rFonts w:ascii="Verdana" w:hAnsi="Verdana"/>
          <w:spacing w:val="-3"/>
          <w:sz w:val="20"/>
          <w:szCs w:val="20"/>
          <w:lang w:val="en-US"/>
        </w:rPr>
        <w:t>,</w:t>
      </w:r>
      <w:r w:rsidR="006436CA" w:rsidRPr="00D869E3">
        <w:rPr>
          <w:rFonts w:ascii="Verdana" w:hAnsi="Verdana"/>
          <w:spacing w:val="-3"/>
          <w:sz w:val="20"/>
          <w:szCs w:val="20"/>
          <w:lang w:val="en-US"/>
        </w:rPr>
        <w:t>”</w:t>
      </w:r>
      <w:r w:rsidRPr="00D869E3">
        <w:rPr>
          <w:rFonts w:ascii="Verdana" w:hAnsi="Verdana"/>
          <w:spacing w:val="-3"/>
          <w:sz w:val="20"/>
          <w:szCs w:val="20"/>
          <w:lang w:val="en-US"/>
        </w:rPr>
        <w:t xml:space="preserve"> and to interpre</w:t>
      </w:r>
      <w:r w:rsidR="00752DAA" w:rsidRPr="00D869E3">
        <w:rPr>
          <w:rFonts w:ascii="Verdana" w:hAnsi="Verdana"/>
          <w:spacing w:val="-3"/>
          <w:sz w:val="20"/>
          <w:szCs w:val="20"/>
          <w:lang w:val="en-US"/>
        </w:rPr>
        <w:t>t</w:t>
      </w:r>
      <w:r w:rsidRPr="00D869E3">
        <w:rPr>
          <w:rFonts w:ascii="Verdana" w:hAnsi="Verdana"/>
          <w:spacing w:val="-3"/>
          <w:sz w:val="20"/>
          <w:szCs w:val="20"/>
          <w:lang w:val="en-US"/>
        </w:rPr>
        <w:t xml:space="preserve"> pursuant to the </w:t>
      </w:r>
      <w:r w:rsidRPr="00D869E3">
        <w:rPr>
          <w:rFonts w:ascii="Verdana" w:hAnsi="Verdana"/>
          <w:i/>
          <w:sz w:val="20"/>
          <w:szCs w:val="20"/>
          <w:lang w:val="en-US"/>
        </w:rPr>
        <w:t>pro personae</w:t>
      </w:r>
      <w:r w:rsidRPr="00D869E3">
        <w:rPr>
          <w:rFonts w:ascii="Verdana" w:hAnsi="Verdana"/>
          <w:iCs/>
          <w:sz w:val="20"/>
          <w:szCs w:val="20"/>
          <w:lang w:val="en-US"/>
        </w:rPr>
        <w:t xml:space="preserve"> principle, are, therefore, only those mentioned, and do not include the </w:t>
      </w:r>
      <w:r w:rsidR="000B2E5E" w:rsidRPr="00D869E3">
        <w:rPr>
          <w:rFonts w:ascii="Verdana" w:hAnsi="Verdana"/>
          <w:sz w:val="20"/>
          <w:szCs w:val="20"/>
          <w:lang w:val="en-US"/>
        </w:rPr>
        <w:t>right to</w:t>
      </w:r>
      <w:r w:rsidRPr="00D869E3">
        <w:rPr>
          <w:rFonts w:ascii="Verdana" w:hAnsi="Verdana"/>
          <w:sz w:val="20"/>
          <w:szCs w:val="20"/>
          <w:lang w:val="en-US"/>
        </w:rPr>
        <w:t xml:space="preserve"> work or </w:t>
      </w:r>
      <w:r w:rsidR="000B2E5E" w:rsidRPr="00D869E3">
        <w:rPr>
          <w:rFonts w:ascii="Verdana" w:hAnsi="Verdana"/>
          <w:sz w:val="20"/>
          <w:szCs w:val="20"/>
          <w:lang w:val="en-US"/>
        </w:rPr>
        <w:t>the right to</w:t>
      </w:r>
      <w:r w:rsidR="003C2143" w:rsidRPr="00D869E3">
        <w:rPr>
          <w:rFonts w:ascii="Verdana" w:hAnsi="Verdana"/>
          <w:sz w:val="20"/>
          <w:szCs w:val="20"/>
          <w:lang w:val="en-US"/>
        </w:rPr>
        <w:t xml:space="preserve"> </w:t>
      </w:r>
      <w:r w:rsidR="00817AA4" w:rsidRPr="00D869E3">
        <w:rPr>
          <w:rFonts w:ascii="Verdana" w:hAnsi="Verdana"/>
          <w:sz w:val="20"/>
          <w:szCs w:val="20"/>
          <w:lang w:val="en-US"/>
        </w:rPr>
        <w:t xml:space="preserve">job </w:t>
      </w:r>
      <w:r w:rsidR="003811C4" w:rsidRPr="00D869E3">
        <w:rPr>
          <w:rFonts w:ascii="Verdana" w:hAnsi="Verdana"/>
          <w:sz w:val="20"/>
          <w:szCs w:val="20"/>
          <w:lang w:val="en-US"/>
        </w:rPr>
        <w:t>security</w:t>
      </w:r>
      <w:r w:rsidR="003C2143" w:rsidRPr="00D869E3">
        <w:rPr>
          <w:rFonts w:ascii="Verdana" w:hAnsi="Verdana"/>
          <w:sz w:val="20"/>
          <w:szCs w:val="20"/>
          <w:lang w:val="en-US"/>
        </w:rPr>
        <w:t>.</w:t>
      </w:r>
    </w:p>
    <w:p w14:paraId="720DD510" w14:textId="77777777" w:rsidR="003C2143" w:rsidRPr="00D869E3" w:rsidRDefault="003C2143" w:rsidP="003C2143">
      <w:pPr>
        <w:jc w:val="both"/>
        <w:rPr>
          <w:rFonts w:ascii="Verdana" w:hAnsi="Verdana"/>
          <w:sz w:val="20"/>
          <w:szCs w:val="20"/>
          <w:lang w:val="en-US"/>
        </w:rPr>
      </w:pPr>
    </w:p>
    <w:p w14:paraId="17B3AF44" w14:textId="18519B70" w:rsidR="003C2143" w:rsidRPr="00D869E3" w:rsidRDefault="00B443B4" w:rsidP="003C2143">
      <w:pPr>
        <w:pStyle w:val="Prrafodelista"/>
        <w:numPr>
          <w:ilvl w:val="0"/>
          <w:numId w:val="32"/>
        </w:numPr>
        <w:jc w:val="both"/>
        <w:rPr>
          <w:rFonts w:ascii="Verdana" w:hAnsi="Verdana"/>
          <w:b/>
          <w:sz w:val="20"/>
          <w:szCs w:val="20"/>
          <w:lang w:val="en-US"/>
        </w:rPr>
      </w:pPr>
      <w:r w:rsidRPr="00D869E3">
        <w:rPr>
          <w:rFonts w:ascii="Verdana" w:hAnsi="Verdana"/>
          <w:b/>
          <w:sz w:val="20"/>
          <w:szCs w:val="20"/>
          <w:lang w:val="en-US"/>
        </w:rPr>
        <w:t>The existence of other human rights</w:t>
      </w:r>
    </w:p>
    <w:p w14:paraId="63577F1F" w14:textId="77777777" w:rsidR="003C2143" w:rsidRPr="00D869E3" w:rsidRDefault="003C2143" w:rsidP="003C2143">
      <w:pPr>
        <w:jc w:val="both"/>
        <w:rPr>
          <w:rFonts w:ascii="Verdana" w:hAnsi="Verdana"/>
          <w:b/>
          <w:sz w:val="20"/>
          <w:szCs w:val="20"/>
          <w:lang w:val="en-US"/>
        </w:rPr>
      </w:pPr>
    </w:p>
    <w:p w14:paraId="2EB4A3AD" w14:textId="38EA800E" w:rsidR="003C2143" w:rsidRPr="00D869E3" w:rsidRDefault="00B443B4" w:rsidP="003C2143">
      <w:pPr>
        <w:jc w:val="both"/>
        <w:rPr>
          <w:rFonts w:ascii="Verdana" w:hAnsi="Verdana"/>
          <w:sz w:val="20"/>
          <w:szCs w:val="20"/>
          <w:lang w:val="en-US"/>
        </w:rPr>
      </w:pPr>
      <w:r w:rsidRPr="00D869E3">
        <w:rPr>
          <w:rFonts w:ascii="Verdana" w:hAnsi="Verdana"/>
          <w:sz w:val="20"/>
          <w:szCs w:val="20"/>
          <w:lang w:val="en-US"/>
        </w:rPr>
        <w:t>Nevertheless, this does not mean that there are no other human rights</w:t>
      </w:r>
      <w:r w:rsidR="003C2143" w:rsidRPr="00D869E3">
        <w:rPr>
          <w:rFonts w:ascii="Verdana" w:hAnsi="Verdana"/>
          <w:sz w:val="20"/>
          <w:szCs w:val="20"/>
          <w:lang w:val="en-US"/>
        </w:rPr>
        <w:t xml:space="preserve">. </w:t>
      </w:r>
      <w:r w:rsidRPr="00D869E3">
        <w:rPr>
          <w:rFonts w:ascii="Verdana" w:hAnsi="Verdana"/>
          <w:sz w:val="20"/>
          <w:szCs w:val="20"/>
          <w:lang w:val="en-US"/>
        </w:rPr>
        <w:t>To the contrary, the Convention itself alludes to other rights and to different types of categories of</w:t>
      </w:r>
      <w:r w:rsidR="003C2143" w:rsidRPr="00D869E3">
        <w:rPr>
          <w:rFonts w:ascii="Verdana" w:hAnsi="Verdana"/>
          <w:sz w:val="20"/>
          <w:szCs w:val="20"/>
          <w:lang w:val="en-US"/>
        </w:rPr>
        <w:t xml:space="preserve"> </w:t>
      </w:r>
      <w:r w:rsidRPr="00D869E3">
        <w:rPr>
          <w:rFonts w:ascii="Verdana" w:hAnsi="Verdana"/>
          <w:sz w:val="20"/>
          <w:szCs w:val="20"/>
          <w:lang w:val="en-US"/>
        </w:rPr>
        <w:t>human rights</w:t>
      </w:r>
      <w:r w:rsidR="003C2143" w:rsidRPr="00D869E3">
        <w:rPr>
          <w:rFonts w:ascii="Verdana" w:hAnsi="Verdana"/>
          <w:sz w:val="20"/>
          <w:szCs w:val="20"/>
          <w:lang w:val="en-US"/>
        </w:rPr>
        <w:t xml:space="preserve"> </w:t>
      </w:r>
      <w:r w:rsidRPr="00D869E3">
        <w:rPr>
          <w:rFonts w:ascii="Verdana" w:hAnsi="Verdana"/>
          <w:sz w:val="20"/>
          <w:szCs w:val="20"/>
          <w:lang w:val="en-US"/>
        </w:rPr>
        <w:t>that have sources other than international law.</w:t>
      </w:r>
      <w:r w:rsidR="003C2143" w:rsidRPr="00D869E3">
        <w:rPr>
          <w:rStyle w:val="Refdenotaalpie"/>
          <w:szCs w:val="20"/>
          <w:lang w:val="en-US"/>
        </w:rPr>
        <w:footnoteReference w:id="392"/>
      </w:r>
      <w:r w:rsidR="003C2143" w:rsidRPr="00D869E3">
        <w:rPr>
          <w:rFonts w:ascii="Verdana" w:hAnsi="Verdana"/>
          <w:sz w:val="20"/>
          <w:szCs w:val="20"/>
          <w:lang w:val="en-US"/>
        </w:rPr>
        <w:t xml:space="preserve"> </w:t>
      </w:r>
      <w:r w:rsidR="003811C4" w:rsidRPr="00D869E3">
        <w:rPr>
          <w:rFonts w:ascii="Verdana" w:hAnsi="Verdana"/>
          <w:sz w:val="20"/>
          <w:szCs w:val="20"/>
          <w:lang w:val="en-US"/>
        </w:rPr>
        <w:t xml:space="preserve">Thus, in addition to those </w:t>
      </w:r>
      <w:r w:rsidR="006436CA" w:rsidRPr="00D869E3">
        <w:rPr>
          <w:rFonts w:ascii="Verdana" w:hAnsi="Verdana"/>
          <w:sz w:val="20"/>
          <w:szCs w:val="20"/>
          <w:lang w:val="en-US"/>
        </w:rPr>
        <w:t>“</w:t>
      </w:r>
      <w:r w:rsidR="003811C4" w:rsidRPr="00D869E3">
        <w:rPr>
          <w:rFonts w:ascii="Verdana" w:hAnsi="Verdana"/>
          <w:i/>
          <w:iCs/>
          <w:sz w:val="20"/>
          <w:szCs w:val="20"/>
          <w:lang w:val="en-US"/>
        </w:rPr>
        <w:t>recognized</w:t>
      </w:r>
      <w:r w:rsidR="006436CA" w:rsidRPr="00D869E3">
        <w:rPr>
          <w:rFonts w:ascii="Verdana" w:hAnsi="Verdana"/>
          <w:sz w:val="20"/>
          <w:szCs w:val="20"/>
          <w:lang w:val="en-US"/>
        </w:rPr>
        <w:t>”</w:t>
      </w:r>
      <w:r w:rsidR="003811C4" w:rsidRPr="00D869E3">
        <w:rPr>
          <w:rFonts w:ascii="Verdana" w:hAnsi="Verdana"/>
          <w:sz w:val="20"/>
          <w:szCs w:val="20"/>
          <w:lang w:val="en-US"/>
        </w:rPr>
        <w:t xml:space="preserve"> in the Convention, it also mentions </w:t>
      </w:r>
      <w:r w:rsidR="006436CA" w:rsidRPr="00D869E3">
        <w:rPr>
          <w:rFonts w:ascii="Verdana" w:hAnsi="Verdana"/>
          <w:sz w:val="20"/>
          <w:szCs w:val="20"/>
          <w:lang w:val="en-US"/>
        </w:rPr>
        <w:t>“</w:t>
      </w:r>
      <w:r w:rsidR="003811C4" w:rsidRPr="00D869E3">
        <w:rPr>
          <w:rFonts w:ascii="Verdana" w:hAnsi="Verdana"/>
          <w:sz w:val="20"/>
          <w:szCs w:val="20"/>
          <w:lang w:val="en-US"/>
        </w:rPr>
        <w:t>economic, social and cultural rights</w:t>
      </w:r>
      <w:r w:rsidR="006436CA" w:rsidRPr="00D869E3">
        <w:rPr>
          <w:rFonts w:ascii="Verdana" w:hAnsi="Verdana"/>
          <w:sz w:val="20"/>
          <w:szCs w:val="20"/>
          <w:lang w:val="en-US"/>
        </w:rPr>
        <w:t>”</w:t>
      </w:r>
      <w:r w:rsidR="003811C4" w:rsidRPr="00D869E3">
        <w:rPr>
          <w:rFonts w:ascii="Verdana" w:hAnsi="Verdana"/>
          <w:sz w:val="20"/>
          <w:szCs w:val="20"/>
          <w:lang w:val="en-US"/>
        </w:rPr>
        <w:t>;</w:t>
      </w:r>
      <w:r w:rsidR="003C2143" w:rsidRPr="00D869E3">
        <w:rPr>
          <w:rStyle w:val="Refdenotaalpie"/>
          <w:szCs w:val="20"/>
          <w:lang w:val="en-US"/>
        </w:rPr>
        <w:footnoteReference w:id="393"/>
      </w:r>
      <w:r w:rsidR="003811C4" w:rsidRPr="00D869E3">
        <w:rPr>
          <w:rFonts w:ascii="Verdana" w:hAnsi="Verdana"/>
          <w:sz w:val="20"/>
          <w:szCs w:val="20"/>
          <w:lang w:val="en-US"/>
        </w:rPr>
        <w:t xml:space="preserve"> those </w:t>
      </w:r>
      <w:r w:rsidR="006436CA" w:rsidRPr="00D869E3">
        <w:rPr>
          <w:rFonts w:ascii="Verdana" w:hAnsi="Verdana"/>
          <w:sz w:val="20"/>
          <w:szCs w:val="20"/>
          <w:lang w:val="en-US"/>
        </w:rPr>
        <w:t>“</w:t>
      </w:r>
      <w:r w:rsidR="003811C4" w:rsidRPr="00D869E3">
        <w:rPr>
          <w:rFonts w:ascii="Verdana" w:hAnsi="Verdana"/>
          <w:i/>
          <w:iCs/>
          <w:sz w:val="20"/>
          <w:szCs w:val="20"/>
          <w:lang w:val="en-US"/>
        </w:rPr>
        <w:t>derived</w:t>
      </w:r>
      <w:r w:rsidR="006436CA" w:rsidRPr="00D869E3">
        <w:rPr>
          <w:rFonts w:ascii="Verdana" w:hAnsi="Verdana"/>
          <w:sz w:val="20"/>
          <w:szCs w:val="20"/>
          <w:lang w:val="en-US"/>
        </w:rPr>
        <w:t>”</w:t>
      </w:r>
      <w:r w:rsidR="003811C4" w:rsidRPr="00D869E3">
        <w:rPr>
          <w:rFonts w:ascii="Verdana" w:hAnsi="Verdana"/>
          <w:sz w:val="20"/>
          <w:szCs w:val="20"/>
          <w:lang w:val="en-US"/>
        </w:rPr>
        <w:t xml:space="preserve"> from the provisions of </w:t>
      </w:r>
      <w:r w:rsidR="00317073" w:rsidRPr="00D869E3">
        <w:rPr>
          <w:rFonts w:ascii="Verdana" w:hAnsi="Verdana"/>
          <w:sz w:val="20"/>
          <w:szCs w:val="20"/>
          <w:lang w:val="en-US"/>
        </w:rPr>
        <w:t>the Charter of the</w:t>
      </w:r>
      <w:r w:rsidR="003C2143" w:rsidRPr="00D869E3">
        <w:rPr>
          <w:rFonts w:ascii="Verdana" w:hAnsi="Verdana"/>
          <w:sz w:val="20"/>
          <w:szCs w:val="20"/>
          <w:lang w:val="en-US"/>
        </w:rPr>
        <w:t xml:space="preserve"> </w:t>
      </w:r>
      <w:r w:rsidR="00075E68" w:rsidRPr="00D869E3">
        <w:rPr>
          <w:rFonts w:ascii="Verdana" w:hAnsi="Verdana"/>
          <w:sz w:val="20"/>
          <w:szCs w:val="20"/>
          <w:lang w:val="en-US"/>
        </w:rPr>
        <w:t>Organization of American States</w:t>
      </w:r>
      <w:r w:rsidR="003811C4" w:rsidRPr="00D869E3">
        <w:rPr>
          <w:rFonts w:ascii="Verdana" w:hAnsi="Verdana"/>
          <w:sz w:val="20"/>
          <w:szCs w:val="20"/>
          <w:lang w:val="en-US"/>
        </w:rPr>
        <w:t>;</w:t>
      </w:r>
      <w:r w:rsidR="003C2143" w:rsidRPr="00D869E3">
        <w:rPr>
          <w:rStyle w:val="Refdenotaalpie"/>
          <w:szCs w:val="20"/>
          <w:lang w:val="en-US"/>
        </w:rPr>
        <w:footnoteReference w:id="394"/>
      </w:r>
      <w:r w:rsidR="003811C4" w:rsidRPr="00D869E3">
        <w:rPr>
          <w:rFonts w:ascii="Verdana" w:hAnsi="Verdana"/>
          <w:sz w:val="20"/>
          <w:szCs w:val="20"/>
          <w:lang w:val="en-US"/>
        </w:rPr>
        <w:t xml:space="preserve"> those </w:t>
      </w:r>
      <w:r w:rsidR="006436CA" w:rsidRPr="00D869E3">
        <w:rPr>
          <w:rFonts w:ascii="Verdana" w:hAnsi="Verdana"/>
          <w:sz w:val="20"/>
          <w:szCs w:val="20"/>
          <w:lang w:val="en-US"/>
        </w:rPr>
        <w:t>“</w:t>
      </w:r>
      <w:r w:rsidR="003C2143" w:rsidRPr="00D869E3">
        <w:rPr>
          <w:rFonts w:ascii="Verdana" w:hAnsi="Verdana"/>
          <w:i/>
          <w:sz w:val="20"/>
          <w:szCs w:val="20"/>
          <w:lang w:val="en-US"/>
        </w:rPr>
        <w:t>re</w:t>
      </w:r>
      <w:r w:rsidR="003811C4" w:rsidRPr="00D869E3">
        <w:rPr>
          <w:rFonts w:ascii="Verdana" w:hAnsi="Verdana"/>
          <w:i/>
          <w:sz w:val="20"/>
          <w:szCs w:val="20"/>
          <w:lang w:val="en-US"/>
        </w:rPr>
        <w:t>cognized</w:t>
      </w:r>
      <w:r w:rsidR="006436CA" w:rsidRPr="00D869E3">
        <w:rPr>
          <w:rFonts w:ascii="Verdana" w:hAnsi="Verdana"/>
          <w:sz w:val="20"/>
          <w:szCs w:val="20"/>
          <w:lang w:val="en-US"/>
        </w:rPr>
        <w:t>”</w:t>
      </w:r>
      <w:r w:rsidR="003C2143" w:rsidRPr="00D869E3">
        <w:rPr>
          <w:rFonts w:ascii="Verdana" w:hAnsi="Verdana"/>
          <w:sz w:val="20"/>
          <w:szCs w:val="20"/>
          <w:lang w:val="en-US"/>
        </w:rPr>
        <w:t xml:space="preserve"> </w:t>
      </w:r>
      <w:r w:rsidR="003811C4" w:rsidRPr="00D869E3">
        <w:rPr>
          <w:rFonts w:ascii="Verdana" w:hAnsi="Verdana"/>
          <w:sz w:val="20"/>
          <w:szCs w:val="20"/>
          <w:lang w:val="en-US"/>
        </w:rPr>
        <w:t>by the laws of the States or in other convention,</w:t>
      </w:r>
      <w:r w:rsidR="003C2143" w:rsidRPr="00D869E3">
        <w:rPr>
          <w:rStyle w:val="Refdenotaalpie"/>
          <w:szCs w:val="20"/>
          <w:lang w:val="en-US"/>
        </w:rPr>
        <w:footnoteReference w:id="395"/>
      </w:r>
      <w:r w:rsidR="00687684" w:rsidRPr="00D869E3">
        <w:rPr>
          <w:rFonts w:ascii="Verdana" w:hAnsi="Verdana"/>
          <w:sz w:val="20"/>
          <w:szCs w:val="20"/>
          <w:lang w:val="en-US"/>
        </w:rPr>
        <w:t xml:space="preserve"> and </w:t>
      </w:r>
      <w:r w:rsidR="003811C4" w:rsidRPr="00D869E3">
        <w:rPr>
          <w:rFonts w:ascii="Verdana" w:hAnsi="Verdana"/>
          <w:sz w:val="20"/>
          <w:szCs w:val="20"/>
          <w:lang w:val="en-US"/>
        </w:rPr>
        <w:t>those</w:t>
      </w:r>
      <w:r w:rsidR="003C2143" w:rsidRPr="00D869E3">
        <w:rPr>
          <w:rFonts w:ascii="Verdana" w:hAnsi="Verdana"/>
          <w:sz w:val="20"/>
          <w:szCs w:val="20"/>
          <w:lang w:val="en-US"/>
        </w:rPr>
        <w:t xml:space="preserve"> </w:t>
      </w:r>
      <w:r w:rsidR="006436CA" w:rsidRPr="00D869E3">
        <w:rPr>
          <w:rFonts w:ascii="Verdana" w:hAnsi="Verdana"/>
          <w:sz w:val="20"/>
          <w:szCs w:val="20"/>
          <w:lang w:val="en-US"/>
        </w:rPr>
        <w:t>“</w:t>
      </w:r>
      <w:r w:rsidR="003811C4" w:rsidRPr="00D869E3">
        <w:rPr>
          <w:rFonts w:ascii="Verdana" w:hAnsi="Verdana"/>
          <w:i/>
          <w:iCs/>
          <w:sz w:val="20"/>
          <w:szCs w:val="20"/>
          <w:lang w:val="en-US"/>
        </w:rPr>
        <w:t>inherent in the human personality or derived from representative democracy as a form of government</w:t>
      </w:r>
      <w:r w:rsidR="003811C4" w:rsidRPr="00D869E3">
        <w:rPr>
          <w:rFonts w:ascii="Verdana" w:hAnsi="Verdana"/>
          <w:i/>
          <w:sz w:val="20"/>
          <w:szCs w:val="20"/>
          <w:lang w:val="en-US"/>
        </w:rPr>
        <w:t>.</w:t>
      </w:r>
      <w:r w:rsidR="006436CA" w:rsidRPr="00D869E3">
        <w:rPr>
          <w:rFonts w:ascii="Verdana" w:hAnsi="Verdana"/>
          <w:sz w:val="20"/>
          <w:szCs w:val="20"/>
          <w:lang w:val="en-US"/>
        </w:rPr>
        <w:t>”</w:t>
      </w:r>
      <w:r w:rsidR="003C2143" w:rsidRPr="00D869E3">
        <w:rPr>
          <w:rStyle w:val="Refdenotaalpie"/>
          <w:szCs w:val="20"/>
          <w:lang w:val="en-US"/>
        </w:rPr>
        <w:footnoteReference w:id="396"/>
      </w:r>
    </w:p>
    <w:p w14:paraId="62F7EE66" w14:textId="77777777" w:rsidR="003C2143" w:rsidRPr="00D869E3" w:rsidRDefault="003C2143" w:rsidP="003C2143">
      <w:pPr>
        <w:jc w:val="both"/>
        <w:rPr>
          <w:rFonts w:ascii="Verdana" w:hAnsi="Verdana"/>
          <w:sz w:val="20"/>
          <w:szCs w:val="20"/>
          <w:lang w:val="en-US"/>
        </w:rPr>
      </w:pPr>
    </w:p>
    <w:p w14:paraId="5C81B4FE" w14:textId="7D88D678" w:rsidR="003C2143" w:rsidRPr="00D869E3" w:rsidRDefault="003811C4" w:rsidP="003C2143">
      <w:pPr>
        <w:jc w:val="both"/>
        <w:rPr>
          <w:rFonts w:ascii="Verdana" w:hAnsi="Verdana"/>
          <w:sz w:val="20"/>
          <w:szCs w:val="20"/>
          <w:lang w:val="en-US"/>
        </w:rPr>
      </w:pPr>
      <w:r w:rsidRPr="00D869E3">
        <w:rPr>
          <w:rFonts w:ascii="Verdana" w:hAnsi="Verdana"/>
          <w:sz w:val="20"/>
          <w:szCs w:val="20"/>
          <w:lang w:val="en-US"/>
        </w:rPr>
        <w:t xml:space="preserve">It is clear, therefore, and as the judgment itself affirms when citing </w:t>
      </w:r>
      <w:r w:rsidR="00447C65" w:rsidRPr="00D869E3">
        <w:rPr>
          <w:rFonts w:ascii="Verdana" w:hAnsi="Verdana"/>
          <w:sz w:val="20"/>
          <w:szCs w:val="20"/>
          <w:lang w:val="en-US"/>
        </w:rPr>
        <w:t>Article</w:t>
      </w:r>
      <w:r w:rsidR="003C2143" w:rsidRPr="00D869E3">
        <w:rPr>
          <w:rFonts w:ascii="Verdana" w:hAnsi="Verdana"/>
          <w:sz w:val="20"/>
          <w:szCs w:val="20"/>
          <w:lang w:val="en-US"/>
        </w:rPr>
        <w:t xml:space="preserve"> 26</w:t>
      </w:r>
      <w:r w:rsidR="00447C65" w:rsidRPr="00D869E3">
        <w:rPr>
          <w:rFonts w:ascii="Verdana" w:hAnsi="Verdana"/>
          <w:sz w:val="20"/>
          <w:szCs w:val="20"/>
          <w:lang w:val="en-US"/>
        </w:rPr>
        <w:t xml:space="preserve"> of the Convention</w:t>
      </w:r>
      <w:r w:rsidR="003C2143" w:rsidRPr="00D869E3">
        <w:rPr>
          <w:rFonts w:ascii="Verdana" w:hAnsi="Verdana"/>
          <w:sz w:val="20"/>
          <w:szCs w:val="20"/>
          <w:lang w:val="en-US"/>
        </w:rPr>
        <w:t xml:space="preserve"> </w:t>
      </w:r>
      <w:r w:rsidRPr="00D869E3">
        <w:rPr>
          <w:rFonts w:ascii="Verdana" w:hAnsi="Verdana"/>
          <w:sz w:val="20"/>
          <w:szCs w:val="20"/>
          <w:lang w:val="en-US"/>
        </w:rPr>
        <w:t xml:space="preserve">to declare the violation of the right to </w:t>
      </w:r>
      <w:r w:rsidR="00752DAA" w:rsidRPr="00D869E3">
        <w:rPr>
          <w:rFonts w:ascii="Verdana" w:hAnsi="Verdana"/>
          <w:sz w:val="20"/>
          <w:szCs w:val="20"/>
          <w:lang w:val="en-US"/>
        </w:rPr>
        <w:t xml:space="preserve">job </w:t>
      </w:r>
      <w:r w:rsidRPr="00D869E3">
        <w:rPr>
          <w:rFonts w:ascii="Verdana" w:hAnsi="Verdana"/>
          <w:sz w:val="20"/>
          <w:szCs w:val="20"/>
          <w:lang w:val="en-US"/>
        </w:rPr>
        <w:t xml:space="preserve">security, that this is part of the group of </w:t>
      </w:r>
      <w:r w:rsidR="006436CA" w:rsidRPr="00D869E3">
        <w:rPr>
          <w:rFonts w:ascii="Verdana" w:hAnsi="Verdana"/>
          <w:sz w:val="20"/>
          <w:szCs w:val="20"/>
          <w:lang w:val="en-US"/>
        </w:rPr>
        <w:t>“</w:t>
      </w:r>
      <w:r w:rsidRPr="00D869E3">
        <w:rPr>
          <w:rFonts w:ascii="Verdana" w:hAnsi="Verdana"/>
          <w:i/>
          <w:sz w:val="20"/>
          <w:szCs w:val="20"/>
          <w:lang w:val="en-US"/>
        </w:rPr>
        <w:t>economic, social and cultural rights.</w:t>
      </w:r>
      <w:r w:rsidR="006436CA" w:rsidRPr="00D869E3">
        <w:rPr>
          <w:rFonts w:ascii="Verdana" w:hAnsi="Verdana"/>
          <w:i/>
          <w:sz w:val="20"/>
          <w:szCs w:val="20"/>
          <w:lang w:val="en-US"/>
        </w:rPr>
        <w:t>”</w:t>
      </w:r>
      <w:r w:rsidR="003C2143" w:rsidRPr="00D869E3">
        <w:rPr>
          <w:rStyle w:val="Refdenotaalpie"/>
          <w:i/>
          <w:szCs w:val="20"/>
          <w:lang w:val="en-US"/>
        </w:rPr>
        <w:footnoteReference w:id="397"/>
      </w:r>
      <w:r w:rsidR="003C2143" w:rsidRPr="00D869E3">
        <w:rPr>
          <w:rFonts w:ascii="Verdana" w:hAnsi="Verdana"/>
          <w:sz w:val="20"/>
          <w:szCs w:val="20"/>
          <w:lang w:val="en-US"/>
        </w:rPr>
        <w:t xml:space="preserve"> </w:t>
      </w:r>
      <w:r w:rsidRPr="00D869E3">
        <w:rPr>
          <w:rFonts w:ascii="Verdana" w:hAnsi="Verdana"/>
          <w:sz w:val="20"/>
          <w:szCs w:val="20"/>
          <w:lang w:val="en-US"/>
        </w:rPr>
        <w:t xml:space="preserve">This also reveals that, since these rights derive from provisions </w:t>
      </w:r>
      <w:r w:rsidR="00197983" w:rsidRPr="00D869E3">
        <w:rPr>
          <w:rFonts w:ascii="Verdana" w:hAnsi="Verdana"/>
          <w:sz w:val="20"/>
          <w:szCs w:val="20"/>
          <w:lang w:val="en-US"/>
        </w:rPr>
        <w:t>of the OAS Charter</w:t>
      </w:r>
      <w:r w:rsidR="003C2143" w:rsidRPr="00D869E3">
        <w:rPr>
          <w:rFonts w:ascii="Verdana" w:hAnsi="Verdana"/>
          <w:sz w:val="20"/>
          <w:szCs w:val="20"/>
          <w:lang w:val="en-US"/>
        </w:rPr>
        <w:t xml:space="preserve">, </w:t>
      </w:r>
      <w:r w:rsidRPr="00D869E3">
        <w:rPr>
          <w:rFonts w:ascii="Verdana" w:hAnsi="Verdana"/>
          <w:sz w:val="20"/>
          <w:szCs w:val="20"/>
          <w:lang w:val="en-US"/>
        </w:rPr>
        <w:t xml:space="preserve">the said right does not form part of the rights </w:t>
      </w:r>
      <w:r w:rsidR="006436CA" w:rsidRPr="00D869E3">
        <w:rPr>
          <w:rFonts w:ascii="Verdana" w:hAnsi="Verdana"/>
          <w:sz w:val="20"/>
          <w:szCs w:val="20"/>
          <w:lang w:val="en-US"/>
        </w:rPr>
        <w:t>“</w:t>
      </w:r>
      <w:r w:rsidRPr="00D869E3">
        <w:rPr>
          <w:rFonts w:ascii="Verdana" w:hAnsi="Verdana"/>
          <w:i/>
          <w:iCs/>
          <w:sz w:val="20"/>
          <w:szCs w:val="20"/>
          <w:lang w:val="en-US"/>
        </w:rPr>
        <w:t>recognized</w:t>
      </w:r>
      <w:r w:rsidR="006436CA" w:rsidRPr="00D869E3">
        <w:rPr>
          <w:rFonts w:ascii="Verdana" w:hAnsi="Verdana"/>
          <w:sz w:val="20"/>
          <w:szCs w:val="20"/>
          <w:lang w:val="en-US"/>
        </w:rPr>
        <w:t>”</w:t>
      </w:r>
      <w:r w:rsidRPr="00D869E3">
        <w:rPr>
          <w:rFonts w:ascii="Verdana" w:hAnsi="Verdana"/>
          <w:sz w:val="20"/>
          <w:szCs w:val="20"/>
          <w:lang w:val="en-US"/>
        </w:rPr>
        <w:t xml:space="preserve"> in the</w:t>
      </w:r>
      <w:r w:rsidR="00447C65" w:rsidRPr="00D869E3">
        <w:rPr>
          <w:rFonts w:ascii="Verdana" w:hAnsi="Verdana"/>
          <w:sz w:val="20"/>
          <w:szCs w:val="20"/>
          <w:lang w:val="en-US"/>
        </w:rPr>
        <w:t xml:space="preserve"> Convention</w:t>
      </w:r>
      <w:r w:rsidR="003C2143" w:rsidRPr="00D869E3">
        <w:rPr>
          <w:rFonts w:ascii="Verdana" w:hAnsi="Verdana"/>
          <w:sz w:val="20"/>
          <w:szCs w:val="20"/>
          <w:lang w:val="en-US"/>
        </w:rPr>
        <w:t>.</w:t>
      </w:r>
    </w:p>
    <w:p w14:paraId="77094A5D" w14:textId="77777777" w:rsidR="003C2143" w:rsidRPr="00D869E3" w:rsidRDefault="003C2143" w:rsidP="003C2143">
      <w:pPr>
        <w:jc w:val="both"/>
        <w:rPr>
          <w:rFonts w:ascii="Verdana" w:hAnsi="Verdana"/>
          <w:sz w:val="20"/>
          <w:szCs w:val="20"/>
          <w:lang w:val="en-US"/>
        </w:rPr>
      </w:pPr>
    </w:p>
    <w:p w14:paraId="3A76C6AD" w14:textId="200C1063" w:rsidR="003C2143" w:rsidRPr="00D869E3" w:rsidRDefault="00B443B4" w:rsidP="003C2143">
      <w:pPr>
        <w:pStyle w:val="Prrafodelista"/>
        <w:numPr>
          <w:ilvl w:val="0"/>
          <w:numId w:val="32"/>
        </w:numPr>
        <w:jc w:val="both"/>
        <w:rPr>
          <w:rFonts w:ascii="Verdana" w:hAnsi="Verdana"/>
          <w:b/>
          <w:sz w:val="20"/>
          <w:szCs w:val="20"/>
          <w:lang w:val="en-US"/>
        </w:rPr>
      </w:pPr>
      <w:r w:rsidRPr="00D869E3">
        <w:rPr>
          <w:rFonts w:ascii="Verdana" w:hAnsi="Verdana"/>
          <w:b/>
          <w:sz w:val="20"/>
          <w:szCs w:val="20"/>
          <w:lang w:val="en-US"/>
        </w:rPr>
        <w:t>The Convention’s protection system</w:t>
      </w:r>
    </w:p>
    <w:p w14:paraId="79B09C1B" w14:textId="77777777" w:rsidR="003C2143" w:rsidRPr="00D869E3" w:rsidRDefault="003C2143" w:rsidP="003C2143">
      <w:pPr>
        <w:jc w:val="both"/>
        <w:rPr>
          <w:rFonts w:ascii="Verdana" w:hAnsi="Verdana"/>
          <w:b/>
          <w:sz w:val="20"/>
          <w:szCs w:val="20"/>
          <w:lang w:val="en-US"/>
        </w:rPr>
      </w:pPr>
    </w:p>
    <w:p w14:paraId="0761C008" w14:textId="1454EAF5" w:rsidR="003C2143" w:rsidRPr="00D869E3" w:rsidRDefault="0041024B" w:rsidP="003C2143">
      <w:pPr>
        <w:jc w:val="both"/>
        <w:rPr>
          <w:rFonts w:ascii="Verdana" w:hAnsi="Verdana"/>
          <w:sz w:val="20"/>
          <w:szCs w:val="20"/>
          <w:lang w:val="en-US"/>
        </w:rPr>
      </w:pPr>
      <w:r w:rsidRPr="00D869E3">
        <w:rPr>
          <w:rFonts w:ascii="Verdana" w:hAnsi="Verdana"/>
          <w:sz w:val="20"/>
          <w:szCs w:val="20"/>
          <w:lang w:val="en-US"/>
        </w:rPr>
        <w:t xml:space="preserve">Considering the foregoing, it is now necessary to refer to the protection system established in Part II of </w:t>
      </w:r>
      <w:r w:rsidR="00447C65" w:rsidRPr="00D869E3">
        <w:rPr>
          <w:rFonts w:ascii="Verdana" w:hAnsi="Verdana"/>
          <w:sz w:val="20"/>
          <w:szCs w:val="20"/>
          <w:lang w:val="en-US"/>
        </w:rPr>
        <w:t>the Convention</w:t>
      </w:r>
      <w:r w:rsidRPr="00D869E3">
        <w:rPr>
          <w:rFonts w:ascii="Verdana" w:hAnsi="Verdana"/>
          <w:sz w:val="20"/>
          <w:szCs w:val="20"/>
          <w:lang w:val="en-US"/>
        </w:rPr>
        <w:t xml:space="preserve"> entitled </w:t>
      </w:r>
      <w:r w:rsidR="006436CA" w:rsidRPr="00D869E3">
        <w:rPr>
          <w:rFonts w:ascii="Verdana" w:hAnsi="Verdana"/>
          <w:sz w:val="20"/>
          <w:szCs w:val="20"/>
          <w:lang w:val="en-US"/>
        </w:rPr>
        <w:t>“</w:t>
      </w:r>
      <w:r w:rsidR="00CC691E" w:rsidRPr="00D869E3">
        <w:rPr>
          <w:rFonts w:ascii="Verdana" w:hAnsi="Verdana"/>
          <w:i/>
          <w:sz w:val="20"/>
          <w:szCs w:val="20"/>
          <w:lang w:val="en-US"/>
        </w:rPr>
        <w:t>Means of Protection</w:t>
      </w:r>
      <w:r w:rsidR="006436CA" w:rsidRPr="00D869E3">
        <w:rPr>
          <w:rFonts w:ascii="Verdana" w:hAnsi="Verdana"/>
          <w:sz w:val="20"/>
          <w:szCs w:val="20"/>
          <w:lang w:val="en-US"/>
        </w:rPr>
        <w:t>”</w:t>
      </w:r>
      <w:r w:rsidR="00687684" w:rsidRPr="00D869E3">
        <w:rPr>
          <w:rFonts w:ascii="Verdana" w:hAnsi="Verdana"/>
          <w:sz w:val="20"/>
          <w:szCs w:val="20"/>
          <w:lang w:val="en-US"/>
        </w:rPr>
        <w:t xml:space="preserve"> and </w:t>
      </w:r>
      <w:r w:rsidR="00CC691E" w:rsidRPr="00D869E3">
        <w:rPr>
          <w:rFonts w:ascii="Verdana" w:hAnsi="Verdana"/>
          <w:sz w:val="20"/>
          <w:szCs w:val="20"/>
          <w:lang w:val="en-US"/>
        </w:rPr>
        <w:t xml:space="preserve">this </w:t>
      </w:r>
      <w:r w:rsidR="00752DAA" w:rsidRPr="00D869E3">
        <w:rPr>
          <w:rFonts w:ascii="Verdana" w:hAnsi="Verdana"/>
          <w:sz w:val="20"/>
          <w:szCs w:val="20"/>
          <w:lang w:val="en-US"/>
        </w:rPr>
        <w:t>consists</w:t>
      </w:r>
      <w:r w:rsidR="00CC691E" w:rsidRPr="00D869E3">
        <w:rPr>
          <w:rFonts w:ascii="Verdana" w:hAnsi="Verdana"/>
          <w:sz w:val="20"/>
          <w:szCs w:val="20"/>
          <w:lang w:val="en-US"/>
        </w:rPr>
        <w:t xml:space="preserve"> of two organs: namely, </w:t>
      </w:r>
      <w:r w:rsidR="00447C65" w:rsidRPr="00D869E3">
        <w:rPr>
          <w:rFonts w:ascii="Verdana" w:hAnsi="Verdana"/>
          <w:sz w:val="20"/>
          <w:szCs w:val="20"/>
          <w:lang w:val="en-US"/>
        </w:rPr>
        <w:t>the Commission</w:t>
      </w:r>
      <w:r w:rsidR="00687684" w:rsidRPr="00D869E3">
        <w:rPr>
          <w:rFonts w:ascii="Verdana" w:hAnsi="Verdana"/>
          <w:sz w:val="20"/>
          <w:szCs w:val="20"/>
          <w:lang w:val="en-US"/>
        </w:rPr>
        <w:t xml:space="preserve"> and </w:t>
      </w:r>
      <w:r w:rsidR="00447C65" w:rsidRPr="00D869E3">
        <w:rPr>
          <w:rFonts w:ascii="Verdana" w:hAnsi="Verdana"/>
          <w:sz w:val="20"/>
          <w:szCs w:val="20"/>
          <w:lang w:val="en-US"/>
        </w:rPr>
        <w:t>the Court</w:t>
      </w:r>
      <w:r w:rsidR="00CC691E" w:rsidRPr="00D869E3">
        <w:rPr>
          <w:rFonts w:ascii="Verdana" w:hAnsi="Verdana"/>
          <w:sz w:val="20"/>
          <w:szCs w:val="20"/>
          <w:lang w:val="en-US"/>
        </w:rPr>
        <w:t>.</w:t>
      </w:r>
      <w:r w:rsidR="003C2143" w:rsidRPr="00D869E3">
        <w:rPr>
          <w:rStyle w:val="Refdenotaalpie"/>
          <w:szCs w:val="20"/>
          <w:lang w:val="en-US"/>
        </w:rPr>
        <w:footnoteReference w:id="398"/>
      </w:r>
      <w:r w:rsidR="003C2143" w:rsidRPr="00D869E3">
        <w:rPr>
          <w:rFonts w:ascii="Verdana" w:hAnsi="Verdana"/>
          <w:sz w:val="20"/>
          <w:szCs w:val="20"/>
          <w:lang w:val="en-US"/>
        </w:rPr>
        <w:t xml:space="preserve"> </w:t>
      </w:r>
      <w:r w:rsidR="00CC691E" w:rsidRPr="00D869E3">
        <w:rPr>
          <w:rFonts w:ascii="Verdana" w:hAnsi="Verdana"/>
          <w:sz w:val="20"/>
          <w:szCs w:val="20"/>
          <w:lang w:val="en-US"/>
        </w:rPr>
        <w:t>Regarding</w:t>
      </w:r>
      <w:r w:rsidR="003C2143" w:rsidRPr="00D869E3">
        <w:rPr>
          <w:rFonts w:ascii="Verdana" w:hAnsi="Verdana"/>
          <w:sz w:val="20"/>
          <w:szCs w:val="20"/>
          <w:lang w:val="en-US"/>
        </w:rPr>
        <w:t xml:space="preserve"> </w:t>
      </w:r>
      <w:r w:rsidR="00447C65" w:rsidRPr="00D869E3">
        <w:rPr>
          <w:rFonts w:ascii="Verdana" w:hAnsi="Verdana"/>
          <w:sz w:val="20"/>
          <w:szCs w:val="20"/>
          <w:lang w:val="en-US"/>
        </w:rPr>
        <w:t>the Court</w:t>
      </w:r>
      <w:r w:rsidR="003C2143" w:rsidRPr="00D869E3">
        <w:rPr>
          <w:rFonts w:ascii="Verdana" w:hAnsi="Verdana"/>
          <w:sz w:val="20"/>
          <w:szCs w:val="20"/>
          <w:lang w:val="en-US"/>
        </w:rPr>
        <w:t xml:space="preserve">, </w:t>
      </w:r>
      <w:r w:rsidR="00CC691E" w:rsidRPr="00D869E3">
        <w:rPr>
          <w:rFonts w:ascii="Verdana" w:hAnsi="Verdana"/>
          <w:sz w:val="20"/>
          <w:szCs w:val="20"/>
          <w:lang w:val="en-US"/>
        </w:rPr>
        <w:t xml:space="preserve">the harmonious interpretation of </w:t>
      </w:r>
      <w:r w:rsidR="00447C65" w:rsidRPr="00D869E3">
        <w:rPr>
          <w:rFonts w:ascii="Verdana" w:hAnsi="Verdana"/>
          <w:sz w:val="20"/>
          <w:szCs w:val="20"/>
          <w:lang w:val="en-US"/>
        </w:rPr>
        <w:t>Article</w:t>
      </w:r>
      <w:r w:rsidR="003C2143" w:rsidRPr="00D869E3">
        <w:rPr>
          <w:rFonts w:ascii="Verdana" w:hAnsi="Verdana"/>
          <w:sz w:val="20"/>
          <w:szCs w:val="20"/>
          <w:lang w:val="en-US"/>
        </w:rPr>
        <w:t>s 1, 29</w:t>
      </w:r>
      <w:r w:rsidR="00CC691E" w:rsidRPr="00D869E3">
        <w:rPr>
          <w:rFonts w:ascii="Verdana" w:hAnsi="Verdana"/>
          <w:sz w:val="20"/>
          <w:szCs w:val="20"/>
          <w:lang w:val="en-US"/>
        </w:rPr>
        <w:t>(</w:t>
      </w:r>
      <w:r w:rsidR="003C2143" w:rsidRPr="00D869E3">
        <w:rPr>
          <w:rFonts w:ascii="Verdana" w:hAnsi="Verdana"/>
          <w:sz w:val="20"/>
          <w:szCs w:val="20"/>
          <w:lang w:val="en-US"/>
        </w:rPr>
        <w:t>a), 33, 45</w:t>
      </w:r>
      <w:r w:rsidR="00CC691E" w:rsidRPr="00D869E3">
        <w:rPr>
          <w:rFonts w:ascii="Verdana" w:hAnsi="Verdana"/>
          <w:sz w:val="20"/>
          <w:szCs w:val="20"/>
          <w:lang w:val="en-US"/>
        </w:rPr>
        <w:t>(</w:t>
      </w:r>
      <w:r w:rsidR="003C2143" w:rsidRPr="00D869E3">
        <w:rPr>
          <w:rFonts w:ascii="Verdana" w:hAnsi="Verdana"/>
          <w:sz w:val="20"/>
          <w:szCs w:val="20"/>
          <w:lang w:val="en-US"/>
        </w:rPr>
        <w:t>1</w:t>
      </w:r>
      <w:r w:rsidR="00CC691E" w:rsidRPr="00D869E3">
        <w:rPr>
          <w:rFonts w:ascii="Verdana" w:hAnsi="Verdana"/>
          <w:sz w:val="20"/>
          <w:szCs w:val="20"/>
          <w:lang w:val="en-US"/>
        </w:rPr>
        <w:t>)</w:t>
      </w:r>
      <w:r w:rsidR="003C2143" w:rsidRPr="00D869E3">
        <w:rPr>
          <w:rFonts w:ascii="Verdana" w:hAnsi="Verdana"/>
          <w:sz w:val="20"/>
          <w:szCs w:val="20"/>
          <w:lang w:val="en-US"/>
        </w:rPr>
        <w:t>, 47</w:t>
      </w:r>
      <w:r w:rsidR="00CC691E" w:rsidRPr="00D869E3">
        <w:rPr>
          <w:rFonts w:ascii="Verdana" w:hAnsi="Verdana"/>
          <w:sz w:val="20"/>
          <w:szCs w:val="20"/>
          <w:lang w:val="en-US"/>
        </w:rPr>
        <w:t>(</w:t>
      </w:r>
      <w:r w:rsidR="003C2143" w:rsidRPr="00D869E3">
        <w:rPr>
          <w:rFonts w:ascii="Verdana" w:hAnsi="Verdana"/>
          <w:sz w:val="20"/>
          <w:szCs w:val="20"/>
          <w:lang w:val="en-US"/>
        </w:rPr>
        <w:t>b), 4</w:t>
      </w:r>
      <w:r w:rsidR="00687684" w:rsidRPr="00D869E3">
        <w:rPr>
          <w:rFonts w:ascii="Verdana" w:hAnsi="Verdana"/>
          <w:sz w:val="20"/>
          <w:szCs w:val="20"/>
          <w:lang w:val="en-US"/>
        </w:rPr>
        <w:t>8(1)</w:t>
      </w:r>
      <w:r w:rsidR="003C2143" w:rsidRPr="00D869E3">
        <w:rPr>
          <w:rFonts w:ascii="Verdana" w:hAnsi="Verdana"/>
          <w:sz w:val="20"/>
          <w:szCs w:val="20"/>
          <w:lang w:val="en-US"/>
        </w:rPr>
        <w:t xml:space="preserve">, </w:t>
      </w:r>
      <w:r w:rsidR="00447C65" w:rsidRPr="00D869E3">
        <w:rPr>
          <w:rFonts w:ascii="Verdana" w:hAnsi="Verdana"/>
          <w:sz w:val="20"/>
          <w:szCs w:val="20"/>
          <w:lang w:val="en-US"/>
        </w:rPr>
        <w:t>62(3)</w:t>
      </w:r>
      <w:r w:rsidR="003C2143" w:rsidRPr="00D869E3">
        <w:rPr>
          <w:rFonts w:ascii="Verdana" w:hAnsi="Verdana"/>
          <w:sz w:val="20"/>
          <w:szCs w:val="20"/>
          <w:lang w:val="en-US"/>
        </w:rPr>
        <w:t>,</w:t>
      </w:r>
      <w:r w:rsidR="00687684" w:rsidRPr="00D869E3">
        <w:rPr>
          <w:rFonts w:ascii="Verdana" w:hAnsi="Verdana"/>
          <w:sz w:val="20"/>
          <w:szCs w:val="20"/>
          <w:lang w:val="en-US"/>
        </w:rPr>
        <w:t xml:space="preserve"> and </w:t>
      </w:r>
      <w:r w:rsidR="00447C65" w:rsidRPr="00D869E3">
        <w:rPr>
          <w:rFonts w:ascii="Verdana" w:hAnsi="Verdana"/>
          <w:sz w:val="20"/>
          <w:szCs w:val="20"/>
          <w:lang w:val="en-US"/>
        </w:rPr>
        <w:t>63(1)</w:t>
      </w:r>
      <w:r w:rsidR="003C2143" w:rsidRPr="00D869E3">
        <w:rPr>
          <w:rFonts w:ascii="Verdana" w:hAnsi="Verdana"/>
          <w:sz w:val="20"/>
          <w:szCs w:val="20"/>
          <w:lang w:val="en-US"/>
        </w:rPr>
        <w:t>,</w:t>
      </w:r>
      <w:r w:rsidR="00CC691E" w:rsidRPr="00D869E3">
        <w:rPr>
          <w:rFonts w:ascii="Verdana" w:hAnsi="Verdana"/>
          <w:sz w:val="20"/>
          <w:szCs w:val="20"/>
          <w:lang w:val="en-US"/>
        </w:rPr>
        <w:t xml:space="preserve"> leads to the conclusion that the rights that can be invoked before the Court for it to rule on their alleged violation are those </w:t>
      </w:r>
      <w:r w:rsidR="006436CA" w:rsidRPr="00D869E3">
        <w:rPr>
          <w:rFonts w:ascii="Verdana" w:hAnsi="Verdana"/>
          <w:sz w:val="20"/>
          <w:szCs w:val="20"/>
          <w:lang w:val="en-US"/>
        </w:rPr>
        <w:t>“</w:t>
      </w:r>
      <w:r w:rsidR="00CC691E" w:rsidRPr="00D869E3">
        <w:rPr>
          <w:rFonts w:ascii="Verdana" w:hAnsi="Verdana"/>
          <w:sz w:val="20"/>
          <w:szCs w:val="20"/>
          <w:lang w:val="en-US"/>
        </w:rPr>
        <w:t>recognized,</w:t>
      </w:r>
      <w:r w:rsidR="006436CA" w:rsidRPr="00D869E3">
        <w:rPr>
          <w:rFonts w:ascii="Verdana" w:hAnsi="Verdana"/>
          <w:sz w:val="20"/>
          <w:szCs w:val="20"/>
          <w:lang w:val="en-US"/>
        </w:rPr>
        <w:t>”</w:t>
      </w:r>
      <w:r w:rsidR="00CC691E" w:rsidRPr="00D869E3">
        <w:rPr>
          <w:rFonts w:ascii="Verdana" w:hAnsi="Verdana"/>
          <w:sz w:val="20"/>
          <w:szCs w:val="20"/>
          <w:lang w:val="en-US"/>
        </w:rPr>
        <w:t xml:space="preserve"> </w:t>
      </w:r>
      <w:r w:rsidR="006436CA" w:rsidRPr="00D869E3">
        <w:rPr>
          <w:rFonts w:ascii="Verdana" w:hAnsi="Verdana"/>
          <w:sz w:val="20"/>
          <w:szCs w:val="20"/>
          <w:lang w:val="en-US"/>
        </w:rPr>
        <w:t>“</w:t>
      </w:r>
      <w:r w:rsidR="00CC691E" w:rsidRPr="00D869E3">
        <w:rPr>
          <w:rFonts w:ascii="Verdana" w:hAnsi="Verdana"/>
          <w:i/>
          <w:iCs/>
          <w:sz w:val="20"/>
          <w:szCs w:val="20"/>
          <w:lang w:val="en-US"/>
        </w:rPr>
        <w:t>set forth</w:t>
      </w:r>
      <w:r w:rsidR="00CC691E" w:rsidRPr="00D869E3">
        <w:rPr>
          <w:rFonts w:ascii="Verdana" w:hAnsi="Verdana"/>
          <w:sz w:val="20"/>
          <w:szCs w:val="20"/>
          <w:lang w:val="en-US"/>
        </w:rPr>
        <w:t>,</w:t>
      </w:r>
      <w:r w:rsidR="006436CA" w:rsidRPr="00D869E3">
        <w:rPr>
          <w:rFonts w:ascii="Verdana" w:hAnsi="Verdana"/>
          <w:sz w:val="20"/>
          <w:szCs w:val="20"/>
          <w:lang w:val="en-US"/>
        </w:rPr>
        <w:t>”</w:t>
      </w:r>
      <w:r w:rsidR="00CC691E" w:rsidRPr="00D869E3">
        <w:rPr>
          <w:rFonts w:ascii="Verdana" w:hAnsi="Verdana"/>
          <w:sz w:val="20"/>
          <w:szCs w:val="20"/>
          <w:lang w:val="en-US"/>
        </w:rPr>
        <w:t xml:space="preserve"> </w:t>
      </w:r>
      <w:r w:rsidR="006436CA" w:rsidRPr="00D869E3">
        <w:rPr>
          <w:rFonts w:ascii="Verdana" w:hAnsi="Verdana"/>
          <w:sz w:val="20"/>
          <w:szCs w:val="20"/>
          <w:lang w:val="en-US"/>
        </w:rPr>
        <w:t>“</w:t>
      </w:r>
      <w:r w:rsidR="00CC691E" w:rsidRPr="00D869E3">
        <w:rPr>
          <w:rFonts w:ascii="Verdana" w:hAnsi="Verdana"/>
          <w:i/>
          <w:sz w:val="20"/>
          <w:szCs w:val="20"/>
          <w:lang w:val="en-US"/>
        </w:rPr>
        <w:t>guaranteed</w:t>
      </w:r>
      <w:r w:rsidR="006436CA" w:rsidRPr="00D869E3">
        <w:rPr>
          <w:rFonts w:ascii="Verdana" w:hAnsi="Verdana"/>
          <w:sz w:val="20"/>
          <w:szCs w:val="20"/>
          <w:lang w:val="en-US"/>
        </w:rPr>
        <w:t>”</w:t>
      </w:r>
      <w:r w:rsidR="00CC691E" w:rsidRPr="00D869E3">
        <w:rPr>
          <w:rFonts w:ascii="Verdana" w:hAnsi="Verdana"/>
          <w:sz w:val="20"/>
          <w:szCs w:val="20"/>
          <w:lang w:val="en-US"/>
        </w:rPr>
        <w:t xml:space="preserve"> or </w:t>
      </w:r>
      <w:r w:rsidR="006436CA" w:rsidRPr="00D869E3">
        <w:rPr>
          <w:rFonts w:ascii="Verdana" w:hAnsi="Verdana"/>
          <w:sz w:val="20"/>
          <w:szCs w:val="20"/>
          <w:lang w:val="en-US"/>
        </w:rPr>
        <w:t>“</w:t>
      </w:r>
      <w:r w:rsidR="00CC691E" w:rsidRPr="00D869E3">
        <w:rPr>
          <w:rFonts w:ascii="Verdana" w:hAnsi="Verdana"/>
          <w:i/>
          <w:sz w:val="20"/>
          <w:szCs w:val="20"/>
          <w:lang w:val="en-US"/>
        </w:rPr>
        <w:t>protected,</w:t>
      </w:r>
      <w:r w:rsidR="006436CA" w:rsidRPr="00D869E3">
        <w:rPr>
          <w:rFonts w:ascii="Verdana" w:hAnsi="Verdana"/>
          <w:sz w:val="20"/>
          <w:szCs w:val="20"/>
          <w:lang w:val="en-US"/>
        </w:rPr>
        <w:t>”</w:t>
      </w:r>
      <w:r w:rsidR="00CC691E" w:rsidRPr="00D869E3">
        <w:rPr>
          <w:rFonts w:ascii="Verdana" w:hAnsi="Verdana"/>
          <w:sz w:val="20"/>
          <w:szCs w:val="20"/>
          <w:lang w:val="en-US"/>
        </w:rPr>
        <w:t xml:space="preserve"> in the Convention; that is, the </w:t>
      </w:r>
      <w:r w:rsidR="006436CA" w:rsidRPr="00D869E3">
        <w:rPr>
          <w:rFonts w:ascii="Verdana" w:hAnsi="Verdana"/>
          <w:i/>
          <w:iCs/>
          <w:sz w:val="20"/>
          <w:szCs w:val="20"/>
          <w:lang w:val="en-US"/>
        </w:rPr>
        <w:t>“</w:t>
      </w:r>
      <w:r w:rsidR="00CC691E" w:rsidRPr="00D869E3">
        <w:rPr>
          <w:rFonts w:ascii="Verdana" w:hAnsi="Verdana"/>
          <w:i/>
          <w:iCs/>
          <w:sz w:val="20"/>
          <w:szCs w:val="20"/>
          <w:lang w:val="en-US"/>
        </w:rPr>
        <w:t>Civil and Political Rights</w:t>
      </w:r>
      <w:r w:rsidR="00752DAA" w:rsidRPr="00D869E3">
        <w:rPr>
          <w:rFonts w:ascii="Verdana" w:hAnsi="Verdana"/>
          <w:i/>
          <w:iCs/>
          <w:sz w:val="20"/>
          <w:szCs w:val="20"/>
          <w:lang w:val="en-US"/>
        </w:rPr>
        <w:t>.</w:t>
      </w:r>
      <w:r w:rsidR="006436CA" w:rsidRPr="00D869E3">
        <w:rPr>
          <w:rFonts w:ascii="Verdana" w:hAnsi="Verdana"/>
          <w:sz w:val="20"/>
          <w:szCs w:val="20"/>
          <w:lang w:val="en-US"/>
        </w:rPr>
        <w:t>”</w:t>
      </w:r>
      <w:r w:rsidR="00CC691E" w:rsidRPr="00D869E3">
        <w:rPr>
          <w:rFonts w:ascii="Verdana" w:hAnsi="Verdana"/>
          <w:sz w:val="20"/>
          <w:szCs w:val="20"/>
          <w:lang w:val="en-US"/>
        </w:rPr>
        <w:t xml:space="preserve"> </w:t>
      </w:r>
      <w:r w:rsidR="00752DAA" w:rsidRPr="00D869E3">
        <w:rPr>
          <w:rFonts w:ascii="Verdana" w:hAnsi="Verdana"/>
          <w:sz w:val="20"/>
          <w:szCs w:val="20"/>
          <w:lang w:val="en-US"/>
        </w:rPr>
        <w:t>T</w:t>
      </w:r>
      <w:r w:rsidR="00CC691E" w:rsidRPr="00D869E3">
        <w:rPr>
          <w:rFonts w:ascii="Verdana" w:hAnsi="Verdana"/>
          <w:sz w:val="20"/>
          <w:szCs w:val="20"/>
          <w:lang w:val="en-US"/>
        </w:rPr>
        <w:t xml:space="preserve">hus, the </w:t>
      </w:r>
      <w:r w:rsidR="006436CA" w:rsidRPr="00D869E3">
        <w:rPr>
          <w:rFonts w:ascii="Verdana" w:hAnsi="Verdana"/>
          <w:sz w:val="20"/>
          <w:szCs w:val="20"/>
          <w:lang w:val="en-US"/>
        </w:rPr>
        <w:t>“</w:t>
      </w:r>
      <w:r w:rsidR="00CC691E" w:rsidRPr="00D869E3">
        <w:rPr>
          <w:rFonts w:ascii="Verdana" w:hAnsi="Verdana"/>
          <w:i/>
          <w:sz w:val="20"/>
          <w:szCs w:val="20"/>
          <w:lang w:val="en-US"/>
        </w:rPr>
        <w:t>economic, social and cultural rights</w:t>
      </w:r>
      <w:r w:rsidR="006436CA" w:rsidRPr="00D869E3">
        <w:rPr>
          <w:rFonts w:ascii="Verdana" w:hAnsi="Verdana"/>
          <w:i/>
          <w:sz w:val="20"/>
          <w:szCs w:val="20"/>
          <w:lang w:val="en-US"/>
        </w:rPr>
        <w:t>”</w:t>
      </w:r>
      <w:r w:rsidR="00CC691E" w:rsidRPr="00D869E3">
        <w:rPr>
          <w:rFonts w:ascii="Verdana" w:hAnsi="Verdana"/>
          <w:i/>
          <w:sz w:val="20"/>
          <w:szCs w:val="20"/>
          <w:lang w:val="en-US"/>
        </w:rPr>
        <w:t xml:space="preserve"> </w:t>
      </w:r>
      <w:r w:rsidR="00CC691E" w:rsidRPr="00D869E3">
        <w:rPr>
          <w:rFonts w:ascii="Verdana" w:hAnsi="Verdana"/>
          <w:iCs/>
          <w:sz w:val="20"/>
          <w:szCs w:val="20"/>
          <w:lang w:val="en-US"/>
        </w:rPr>
        <w:t xml:space="preserve">derived from the </w:t>
      </w:r>
      <w:r w:rsidR="00CC691E" w:rsidRPr="00D869E3">
        <w:rPr>
          <w:rFonts w:ascii="Verdana" w:hAnsi="Verdana"/>
          <w:sz w:val="20"/>
          <w:szCs w:val="20"/>
          <w:lang w:val="en-US"/>
        </w:rPr>
        <w:t xml:space="preserve">Charter of the </w:t>
      </w:r>
      <w:r w:rsidR="00CC691E" w:rsidRPr="00D869E3">
        <w:rPr>
          <w:rFonts w:ascii="Verdana" w:hAnsi="Verdana"/>
          <w:sz w:val="20"/>
          <w:szCs w:val="20"/>
          <w:lang w:val="en-US"/>
        </w:rPr>
        <w:lastRenderedPageBreak/>
        <w:t xml:space="preserve">Organization of American States, those </w:t>
      </w:r>
      <w:r w:rsidR="006436CA" w:rsidRPr="00D869E3">
        <w:rPr>
          <w:rFonts w:ascii="Verdana" w:hAnsi="Verdana"/>
          <w:sz w:val="20"/>
          <w:szCs w:val="20"/>
          <w:lang w:val="en-US"/>
        </w:rPr>
        <w:t>“</w:t>
      </w:r>
      <w:r w:rsidR="00CC691E" w:rsidRPr="00D869E3">
        <w:rPr>
          <w:rFonts w:ascii="Verdana" w:hAnsi="Verdana"/>
          <w:i/>
          <w:iCs/>
          <w:sz w:val="20"/>
          <w:szCs w:val="20"/>
          <w:lang w:val="en-US"/>
        </w:rPr>
        <w:t>recognized</w:t>
      </w:r>
      <w:r w:rsidR="006436CA" w:rsidRPr="00D869E3">
        <w:rPr>
          <w:rFonts w:ascii="Verdana" w:hAnsi="Verdana"/>
          <w:sz w:val="20"/>
          <w:szCs w:val="20"/>
          <w:lang w:val="en-US"/>
        </w:rPr>
        <w:t>”</w:t>
      </w:r>
      <w:r w:rsidR="00CC691E" w:rsidRPr="00D869E3">
        <w:rPr>
          <w:rFonts w:ascii="Verdana" w:hAnsi="Verdana"/>
          <w:sz w:val="20"/>
          <w:szCs w:val="20"/>
          <w:lang w:val="en-US"/>
        </w:rPr>
        <w:t xml:space="preserve"> by State laws or other conventions and others </w:t>
      </w:r>
      <w:r w:rsidR="006436CA" w:rsidRPr="00D869E3">
        <w:rPr>
          <w:rFonts w:ascii="Verdana" w:hAnsi="Verdana"/>
          <w:sz w:val="20"/>
          <w:szCs w:val="20"/>
          <w:lang w:val="en-US"/>
        </w:rPr>
        <w:t>“</w:t>
      </w:r>
      <w:r w:rsidR="00CC691E" w:rsidRPr="00D869E3">
        <w:rPr>
          <w:rFonts w:ascii="Verdana" w:hAnsi="Verdana"/>
          <w:i/>
          <w:iCs/>
          <w:sz w:val="20"/>
          <w:szCs w:val="20"/>
          <w:lang w:val="en-US"/>
        </w:rPr>
        <w:t>inherent to the human being or derived from representative democratic government</w:t>
      </w:r>
      <w:r w:rsidR="006436CA" w:rsidRPr="00D869E3">
        <w:rPr>
          <w:rFonts w:ascii="Verdana" w:hAnsi="Verdana"/>
          <w:i/>
          <w:iCs/>
          <w:sz w:val="20"/>
          <w:szCs w:val="20"/>
          <w:lang w:val="en-US"/>
        </w:rPr>
        <w:t>”</w:t>
      </w:r>
      <w:r w:rsidR="00CC691E" w:rsidRPr="00D869E3">
        <w:rPr>
          <w:rFonts w:ascii="Verdana" w:hAnsi="Verdana"/>
          <w:i/>
          <w:sz w:val="20"/>
          <w:szCs w:val="20"/>
          <w:lang w:val="en-US"/>
        </w:rPr>
        <w:t xml:space="preserve"> </w:t>
      </w:r>
      <w:r w:rsidR="00CC691E" w:rsidRPr="00D869E3">
        <w:rPr>
          <w:rFonts w:ascii="Verdana" w:hAnsi="Verdana"/>
          <w:iCs/>
          <w:sz w:val="20"/>
          <w:szCs w:val="20"/>
          <w:lang w:val="en-US"/>
        </w:rPr>
        <w:t>should be excluded from this judicialization.</w:t>
      </w:r>
      <w:r w:rsidR="003F682B" w:rsidRPr="00D869E3">
        <w:rPr>
          <w:rFonts w:ascii="Verdana" w:hAnsi="Verdana"/>
          <w:sz w:val="20"/>
          <w:szCs w:val="20"/>
          <w:lang w:val="en-US"/>
        </w:rPr>
        <w:t xml:space="preserve"> Evidently, th</w:t>
      </w:r>
      <w:r w:rsidR="00752DAA" w:rsidRPr="00D869E3">
        <w:rPr>
          <w:rFonts w:ascii="Verdana" w:hAnsi="Verdana"/>
          <w:sz w:val="20"/>
          <w:szCs w:val="20"/>
          <w:lang w:val="en-US"/>
        </w:rPr>
        <w:t>o</w:t>
      </w:r>
      <w:r w:rsidR="003F682B" w:rsidRPr="00D869E3">
        <w:rPr>
          <w:rFonts w:ascii="Verdana" w:hAnsi="Verdana"/>
          <w:sz w:val="20"/>
          <w:szCs w:val="20"/>
          <w:lang w:val="en-US"/>
        </w:rPr>
        <w:t xml:space="preserve">se rights cannot be judicialized before the Court because their source is a treaty or source of international law other than the Convention. Since they </w:t>
      </w:r>
      <w:r w:rsidR="00752DAA" w:rsidRPr="00D869E3">
        <w:rPr>
          <w:rFonts w:ascii="Verdana" w:hAnsi="Verdana"/>
          <w:sz w:val="20"/>
          <w:szCs w:val="20"/>
          <w:lang w:val="en-US"/>
        </w:rPr>
        <w:t>are not</w:t>
      </w:r>
      <w:r w:rsidR="003F682B" w:rsidRPr="00D869E3">
        <w:rPr>
          <w:rFonts w:ascii="Verdana" w:hAnsi="Verdana"/>
          <w:sz w:val="20"/>
          <w:szCs w:val="20"/>
          <w:lang w:val="en-US"/>
        </w:rPr>
        <w:t xml:space="preserve"> part of the category of rights </w:t>
      </w:r>
      <w:r w:rsidR="006436CA" w:rsidRPr="00D869E3">
        <w:rPr>
          <w:rFonts w:ascii="Verdana" w:hAnsi="Verdana"/>
          <w:sz w:val="20"/>
          <w:szCs w:val="20"/>
          <w:lang w:val="en-US"/>
        </w:rPr>
        <w:t>“</w:t>
      </w:r>
      <w:r w:rsidR="003F682B" w:rsidRPr="00D869E3">
        <w:rPr>
          <w:rFonts w:ascii="Verdana" w:hAnsi="Verdana"/>
          <w:i/>
          <w:iCs/>
          <w:sz w:val="20"/>
          <w:szCs w:val="20"/>
          <w:lang w:val="en-US"/>
        </w:rPr>
        <w:t>recognized</w:t>
      </w:r>
      <w:r w:rsidR="006436CA" w:rsidRPr="00D869E3">
        <w:rPr>
          <w:rFonts w:ascii="Verdana" w:hAnsi="Verdana"/>
          <w:sz w:val="20"/>
          <w:szCs w:val="20"/>
          <w:lang w:val="en-US"/>
        </w:rPr>
        <w:t>”</w:t>
      </w:r>
      <w:r w:rsidR="003F682B" w:rsidRPr="00D869E3">
        <w:rPr>
          <w:rFonts w:ascii="Verdana" w:hAnsi="Verdana"/>
          <w:sz w:val="20"/>
          <w:szCs w:val="20"/>
          <w:lang w:val="en-US"/>
        </w:rPr>
        <w:t xml:space="preserve"> in the Convention, the right to work and the right to </w:t>
      </w:r>
      <w:r w:rsidR="00817AA4" w:rsidRPr="00D869E3">
        <w:rPr>
          <w:rFonts w:ascii="Verdana" w:hAnsi="Verdana"/>
          <w:sz w:val="20"/>
          <w:szCs w:val="20"/>
          <w:lang w:val="en-US"/>
        </w:rPr>
        <w:t xml:space="preserve">job </w:t>
      </w:r>
      <w:r w:rsidR="003F682B" w:rsidRPr="00D869E3">
        <w:rPr>
          <w:rFonts w:ascii="Verdana" w:hAnsi="Verdana"/>
          <w:sz w:val="20"/>
          <w:szCs w:val="20"/>
          <w:lang w:val="en-US"/>
        </w:rPr>
        <w:t xml:space="preserve">security cannot be judicialized before the Court, with the exception, as regards the former, but only in relation to the specific matters established in the Protocol of </w:t>
      </w:r>
      <w:r w:rsidR="003C2143" w:rsidRPr="00D869E3">
        <w:rPr>
          <w:rFonts w:ascii="Verdana" w:hAnsi="Verdana"/>
          <w:sz w:val="20"/>
          <w:szCs w:val="20"/>
          <w:lang w:val="en-US"/>
        </w:rPr>
        <w:t>San Salvador.</w:t>
      </w:r>
    </w:p>
    <w:p w14:paraId="4C10AEEC" w14:textId="77777777" w:rsidR="003C2143" w:rsidRPr="00D869E3" w:rsidRDefault="003C2143" w:rsidP="003C2143">
      <w:pPr>
        <w:jc w:val="both"/>
        <w:rPr>
          <w:rFonts w:ascii="Verdana" w:hAnsi="Verdana"/>
          <w:sz w:val="20"/>
          <w:szCs w:val="20"/>
          <w:lang w:val="en-US"/>
        </w:rPr>
      </w:pPr>
    </w:p>
    <w:p w14:paraId="37138088" w14:textId="05A15079" w:rsidR="003C2143" w:rsidRPr="00D869E3" w:rsidRDefault="003F682B" w:rsidP="003C2143">
      <w:pPr>
        <w:pStyle w:val="Prrafodelista"/>
        <w:numPr>
          <w:ilvl w:val="0"/>
          <w:numId w:val="32"/>
        </w:numPr>
        <w:jc w:val="both"/>
        <w:rPr>
          <w:rFonts w:ascii="Verdana" w:hAnsi="Verdana"/>
          <w:sz w:val="20"/>
          <w:szCs w:val="20"/>
          <w:lang w:val="en-US"/>
        </w:rPr>
      </w:pPr>
      <w:r w:rsidRPr="00D869E3">
        <w:rPr>
          <w:rFonts w:ascii="Verdana" w:hAnsi="Verdana"/>
          <w:b/>
          <w:sz w:val="20"/>
          <w:szCs w:val="20"/>
          <w:lang w:val="en-US"/>
        </w:rPr>
        <w:t>Extension of the protection system to other rights</w:t>
      </w:r>
    </w:p>
    <w:p w14:paraId="0236B15C" w14:textId="77777777" w:rsidR="003C2143" w:rsidRPr="00D869E3" w:rsidRDefault="003C2143" w:rsidP="003C2143">
      <w:pPr>
        <w:jc w:val="both"/>
        <w:rPr>
          <w:rFonts w:ascii="Verdana" w:hAnsi="Verdana"/>
          <w:sz w:val="20"/>
          <w:szCs w:val="20"/>
          <w:lang w:val="en-US"/>
        </w:rPr>
      </w:pPr>
    </w:p>
    <w:p w14:paraId="073EC2A2" w14:textId="1E9AA58F" w:rsidR="003C2143" w:rsidRPr="00D869E3" w:rsidRDefault="00611E9F" w:rsidP="003C2143">
      <w:pPr>
        <w:jc w:val="both"/>
        <w:rPr>
          <w:rFonts w:ascii="Verdana" w:hAnsi="Verdana"/>
          <w:sz w:val="20"/>
          <w:szCs w:val="20"/>
          <w:lang w:val="en-US"/>
        </w:rPr>
      </w:pPr>
      <w:r w:rsidRPr="00D869E3">
        <w:rPr>
          <w:rFonts w:ascii="Verdana" w:hAnsi="Verdana"/>
          <w:sz w:val="20"/>
          <w:szCs w:val="20"/>
          <w:lang w:val="en-US"/>
        </w:rPr>
        <w:t xml:space="preserve">However, the fact that a right is not </w:t>
      </w:r>
      <w:r w:rsidR="006436CA" w:rsidRPr="00D869E3">
        <w:rPr>
          <w:rFonts w:ascii="Verdana" w:hAnsi="Verdana"/>
          <w:sz w:val="20"/>
          <w:szCs w:val="20"/>
          <w:lang w:val="en-US"/>
        </w:rPr>
        <w:t>“</w:t>
      </w:r>
      <w:r w:rsidR="003C2143" w:rsidRPr="00D869E3">
        <w:rPr>
          <w:rFonts w:ascii="Verdana" w:hAnsi="Verdana"/>
          <w:i/>
          <w:sz w:val="20"/>
          <w:szCs w:val="20"/>
          <w:lang w:val="en-US"/>
        </w:rPr>
        <w:t>reco</w:t>
      </w:r>
      <w:r w:rsidRPr="00D869E3">
        <w:rPr>
          <w:rFonts w:ascii="Verdana" w:hAnsi="Verdana"/>
          <w:i/>
          <w:sz w:val="20"/>
          <w:szCs w:val="20"/>
          <w:lang w:val="en-US"/>
        </w:rPr>
        <w:t>gnized</w:t>
      </w:r>
      <w:r w:rsidR="006436CA" w:rsidRPr="00D869E3">
        <w:rPr>
          <w:rFonts w:ascii="Verdana" w:hAnsi="Verdana"/>
          <w:sz w:val="20"/>
          <w:szCs w:val="20"/>
          <w:lang w:val="en-US"/>
        </w:rPr>
        <w:t>”</w:t>
      </w:r>
      <w:r w:rsidR="003C2143" w:rsidRPr="00D869E3">
        <w:rPr>
          <w:rFonts w:ascii="Verdana" w:hAnsi="Verdana"/>
          <w:sz w:val="20"/>
          <w:szCs w:val="20"/>
          <w:lang w:val="en-US"/>
        </w:rPr>
        <w:t xml:space="preserve"> </w:t>
      </w:r>
      <w:r w:rsidRPr="00D869E3">
        <w:rPr>
          <w:rFonts w:ascii="Verdana" w:hAnsi="Verdana"/>
          <w:sz w:val="20"/>
          <w:szCs w:val="20"/>
          <w:lang w:val="en-US"/>
        </w:rPr>
        <w:t>i</w:t>
      </w:r>
      <w:r w:rsidR="003C2143" w:rsidRPr="00D869E3">
        <w:rPr>
          <w:rFonts w:ascii="Verdana" w:hAnsi="Verdana"/>
          <w:sz w:val="20"/>
          <w:szCs w:val="20"/>
          <w:lang w:val="en-US"/>
        </w:rPr>
        <w:t xml:space="preserve">n </w:t>
      </w:r>
      <w:r w:rsidR="00447C65" w:rsidRPr="00D869E3">
        <w:rPr>
          <w:rFonts w:ascii="Verdana" w:hAnsi="Verdana"/>
          <w:sz w:val="20"/>
          <w:szCs w:val="20"/>
          <w:lang w:val="en-US"/>
        </w:rPr>
        <w:t>the Convention</w:t>
      </w:r>
      <w:r w:rsidR="003C2143" w:rsidRPr="00D869E3">
        <w:rPr>
          <w:rFonts w:ascii="Verdana" w:hAnsi="Verdana"/>
          <w:sz w:val="20"/>
          <w:szCs w:val="20"/>
          <w:lang w:val="en-US"/>
        </w:rPr>
        <w:t xml:space="preserve"> </w:t>
      </w:r>
      <w:r w:rsidRPr="00D869E3">
        <w:rPr>
          <w:rFonts w:ascii="Verdana" w:hAnsi="Verdana"/>
          <w:sz w:val="20"/>
          <w:szCs w:val="20"/>
          <w:lang w:val="en-US"/>
        </w:rPr>
        <w:t>does not prevent it from bein</w:t>
      </w:r>
      <w:r w:rsidR="00752DAA" w:rsidRPr="00D869E3">
        <w:rPr>
          <w:rFonts w:ascii="Verdana" w:hAnsi="Verdana"/>
          <w:sz w:val="20"/>
          <w:szCs w:val="20"/>
          <w:lang w:val="en-US"/>
        </w:rPr>
        <w:t>g</w:t>
      </w:r>
      <w:r w:rsidRPr="00D869E3">
        <w:rPr>
          <w:rFonts w:ascii="Verdana" w:hAnsi="Verdana"/>
          <w:sz w:val="20"/>
          <w:szCs w:val="20"/>
          <w:lang w:val="en-US"/>
        </w:rPr>
        <w:t xml:space="preserve"> included among the rights that may be invoked before the Court. To this end, it would be necessary to adopt a protocol that establishe</w:t>
      </w:r>
      <w:r w:rsidR="00752DAA" w:rsidRPr="00D869E3">
        <w:rPr>
          <w:rFonts w:ascii="Verdana" w:hAnsi="Verdana"/>
          <w:sz w:val="20"/>
          <w:szCs w:val="20"/>
          <w:lang w:val="en-US"/>
        </w:rPr>
        <w:t>d</w:t>
      </w:r>
      <w:r w:rsidRPr="00D869E3">
        <w:rPr>
          <w:rFonts w:ascii="Verdana" w:hAnsi="Verdana"/>
          <w:sz w:val="20"/>
          <w:szCs w:val="20"/>
          <w:lang w:val="en-US"/>
        </w:rPr>
        <w:t xml:space="preserve"> this.</w:t>
      </w:r>
      <w:r w:rsidR="003C2143" w:rsidRPr="00D869E3">
        <w:rPr>
          <w:rStyle w:val="Refdenotaalpie"/>
          <w:szCs w:val="20"/>
          <w:lang w:val="en-US"/>
        </w:rPr>
        <w:footnoteReference w:id="399"/>
      </w:r>
    </w:p>
    <w:p w14:paraId="0DBD7AC7" w14:textId="77777777" w:rsidR="003C2143" w:rsidRPr="00D869E3" w:rsidRDefault="003C2143" w:rsidP="003C2143">
      <w:pPr>
        <w:jc w:val="both"/>
        <w:rPr>
          <w:rFonts w:ascii="Verdana" w:hAnsi="Verdana"/>
          <w:sz w:val="20"/>
          <w:szCs w:val="20"/>
          <w:lang w:val="en-US"/>
        </w:rPr>
      </w:pPr>
    </w:p>
    <w:p w14:paraId="391BD80F" w14:textId="501EA443" w:rsidR="003C2143" w:rsidRPr="00D869E3" w:rsidRDefault="00611E9F" w:rsidP="003C2143">
      <w:pPr>
        <w:jc w:val="both"/>
        <w:rPr>
          <w:rFonts w:ascii="Verdana" w:hAnsi="Verdana"/>
          <w:sz w:val="20"/>
          <w:szCs w:val="20"/>
          <w:lang w:val="en-US"/>
        </w:rPr>
      </w:pPr>
      <w:r w:rsidRPr="00D869E3">
        <w:rPr>
          <w:rFonts w:ascii="Verdana" w:hAnsi="Verdana"/>
          <w:sz w:val="20"/>
          <w:szCs w:val="20"/>
          <w:lang w:val="en-US"/>
        </w:rPr>
        <w:t>Indeed</w:t>
      </w:r>
      <w:r w:rsidR="003C2143" w:rsidRPr="00D869E3">
        <w:rPr>
          <w:rFonts w:ascii="Verdana" w:hAnsi="Verdana"/>
          <w:sz w:val="20"/>
          <w:szCs w:val="20"/>
          <w:lang w:val="en-US"/>
        </w:rPr>
        <w:t xml:space="preserve">, </w:t>
      </w:r>
      <w:r w:rsidR="00447C65" w:rsidRPr="00D869E3">
        <w:rPr>
          <w:rFonts w:ascii="Verdana" w:hAnsi="Verdana"/>
          <w:sz w:val="20"/>
          <w:szCs w:val="20"/>
          <w:lang w:val="en-US"/>
        </w:rPr>
        <w:t>Article</w:t>
      </w:r>
      <w:r w:rsidR="003C2143" w:rsidRPr="00D869E3">
        <w:rPr>
          <w:rFonts w:ascii="Verdana" w:hAnsi="Verdana"/>
          <w:sz w:val="20"/>
          <w:szCs w:val="20"/>
          <w:lang w:val="en-US"/>
        </w:rPr>
        <w:t xml:space="preserve"> 31</w:t>
      </w:r>
      <w:r w:rsidR="00447C65" w:rsidRPr="00D869E3">
        <w:rPr>
          <w:rFonts w:ascii="Verdana" w:hAnsi="Verdana"/>
          <w:sz w:val="20"/>
          <w:szCs w:val="20"/>
          <w:lang w:val="en-US"/>
        </w:rPr>
        <w:t xml:space="preserve"> of the Convention</w:t>
      </w:r>
      <w:r w:rsidR="003C2143" w:rsidRPr="00D869E3">
        <w:rPr>
          <w:rFonts w:ascii="Verdana" w:hAnsi="Verdana"/>
          <w:sz w:val="20"/>
          <w:szCs w:val="20"/>
          <w:lang w:val="en-US"/>
        </w:rPr>
        <w:t xml:space="preserve">, </w:t>
      </w:r>
      <w:r w:rsidRPr="00D869E3">
        <w:rPr>
          <w:rFonts w:ascii="Verdana" w:hAnsi="Verdana"/>
          <w:sz w:val="20"/>
          <w:szCs w:val="20"/>
          <w:lang w:val="en-US"/>
        </w:rPr>
        <w:t xml:space="preserve">in connection with </w:t>
      </w:r>
      <w:r w:rsidR="00447C65" w:rsidRPr="00D869E3">
        <w:rPr>
          <w:rFonts w:ascii="Verdana" w:hAnsi="Verdana"/>
          <w:sz w:val="20"/>
          <w:szCs w:val="20"/>
          <w:lang w:val="en-US"/>
        </w:rPr>
        <w:t>Articles</w:t>
      </w:r>
      <w:r w:rsidR="003C2143" w:rsidRPr="00D869E3">
        <w:rPr>
          <w:rFonts w:ascii="Verdana" w:hAnsi="Verdana"/>
          <w:sz w:val="20"/>
          <w:szCs w:val="20"/>
          <w:lang w:val="en-US"/>
        </w:rPr>
        <w:t xml:space="preserve"> 76</w:t>
      </w:r>
      <w:r w:rsidRPr="00D869E3">
        <w:rPr>
          <w:rFonts w:ascii="Verdana" w:hAnsi="Verdana"/>
          <w:sz w:val="20"/>
          <w:szCs w:val="20"/>
          <w:lang w:val="en-US"/>
        </w:rPr>
        <w:t>(</w:t>
      </w:r>
      <w:r w:rsidR="003C2143" w:rsidRPr="00D869E3">
        <w:rPr>
          <w:rFonts w:ascii="Verdana" w:hAnsi="Verdana"/>
          <w:sz w:val="20"/>
          <w:szCs w:val="20"/>
          <w:lang w:val="en-US"/>
        </w:rPr>
        <w:t>1</w:t>
      </w:r>
      <w:r w:rsidRPr="00D869E3">
        <w:rPr>
          <w:rFonts w:ascii="Verdana" w:hAnsi="Verdana"/>
          <w:sz w:val="20"/>
          <w:szCs w:val="20"/>
          <w:lang w:val="en-US"/>
        </w:rPr>
        <w:t>)</w:t>
      </w:r>
      <w:r w:rsidR="00687684" w:rsidRPr="00D869E3">
        <w:rPr>
          <w:rFonts w:ascii="Verdana" w:hAnsi="Verdana"/>
          <w:sz w:val="20"/>
          <w:szCs w:val="20"/>
          <w:lang w:val="en-US"/>
        </w:rPr>
        <w:t xml:space="preserve"> and </w:t>
      </w:r>
      <w:r w:rsidR="003C2143" w:rsidRPr="00D869E3">
        <w:rPr>
          <w:rFonts w:ascii="Verdana" w:hAnsi="Verdana"/>
          <w:sz w:val="20"/>
          <w:szCs w:val="20"/>
          <w:lang w:val="en-US"/>
        </w:rPr>
        <w:t>77</w:t>
      </w:r>
      <w:r w:rsidRPr="00D869E3">
        <w:rPr>
          <w:rFonts w:ascii="Verdana" w:hAnsi="Verdana"/>
          <w:sz w:val="20"/>
          <w:szCs w:val="20"/>
          <w:lang w:val="en-US"/>
        </w:rPr>
        <w:t>(</w:t>
      </w:r>
      <w:r w:rsidR="003C2143" w:rsidRPr="00D869E3">
        <w:rPr>
          <w:rFonts w:ascii="Verdana" w:hAnsi="Verdana"/>
          <w:sz w:val="20"/>
          <w:szCs w:val="20"/>
          <w:lang w:val="en-US"/>
        </w:rPr>
        <w:t>1</w:t>
      </w:r>
      <w:r w:rsidRPr="00D869E3">
        <w:rPr>
          <w:rFonts w:ascii="Verdana" w:hAnsi="Verdana"/>
          <w:sz w:val="20"/>
          <w:szCs w:val="20"/>
          <w:lang w:val="en-US"/>
        </w:rPr>
        <w:t>)</w:t>
      </w:r>
      <w:r w:rsidR="003C2143" w:rsidRPr="00D869E3">
        <w:rPr>
          <w:rStyle w:val="Refdenotaalpie"/>
          <w:szCs w:val="20"/>
          <w:lang w:val="en-US"/>
        </w:rPr>
        <w:footnoteReference w:id="400"/>
      </w:r>
      <w:r w:rsidR="003C2143" w:rsidRPr="00D869E3">
        <w:rPr>
          <w:rFonts w:ascii="Verdana" w:hAnsi="Verdana"/>
          <w:sz w:val="20"/>
          <w:szCs w:val="20"/>
          <w:lang w:val="en-US"/>
        </w:rPr>
        <w:t xml:space="preserve"> </w:t>
      </w:r>
      <w:r w:rsidR="00351902" w:rsidRPr="00D869E3">
        <w:rPr>
          <w:rFonts w:ascii="Verdana" w:hAnsi="Verdana"/>
          <w:sz w:val="20"/>
          <w:szCs w:val="20"/>
          <w:lang w:val="en-US"/>
        </w:rPr>
        <w:t>of this instrument</w:t>
      </w:r>
      <w:r w:rsidR="003C2143" w:rsidRPr="00D869E3">
        <w:rPr>
          <w:rFonts w:ascii="Verdana" w:hAnsi="Verdana"/>
          <w:sz w:val="20"/>
          <w:szCs w:val="20"/>
          <w:lang w:val="en-US"/>
        </w:rPr>
        <w:t>, expres</w:t>
      </w:r>
      <w:r w:rsidRPr="00D869E3">
        <w:rPr>
          <w:rFonts w:ascii="Verdana" w:hAnsi="Verdana"/>
          <w:sz w:val="20"/>
          <w:szCs w:val="20"/>
          <w:lang w:val="en-US"/>
        </w:rPr>
        <w:t xml:space="preserve">sly establishes that </w:t>
      </w:r>
      <w:r w:rsidR="006436CA" w:rsidRPr="00D869E3">
        <w:rPr>
          <w:rFonts w:ascii="Verdana" w:hAnsi="Verdana"/>
          <w:sz w:val="20"/>
          <w:szCs w:val="20"/>
          <w:lang w:val="en-US"/>
        </w:rPr>
        <w:t>“</w:t>
      </w:r>
      <w:r w:rsidR="008352BB" w:rsidRPr="00D869E3">
        <w:rPr>
          <w:rFonts w:ascii="Verdana" w:hAnsi="Verdana"/>
          <w:i/>
          <w:iCs/>
          <w:spacing w:val="-3"/>
          <w:sz w:val="20"/>
          <w:szCs w:val="20"/>
          <w:lang w:val="en-US"/>
        </w:rPr>
        <w:t>other rights and freedoms may be included in the system of protection of this Convention</w:t>
      </w:r>
      <w:r w:rsidR="006436CA" w:rsidRPr="00D869E3">
        <w:rPr>
          <w:rFonts w:ascii="Verdana" w:hAnsi="Verdana"/>
          <w:i/>
          <w:iCs/>
          <w:spacing w:val="-3"/>
          <w:sz w:val="20"/>
          <w:szCs w:val="20"/>
          <w:lang w:val="en-US"/>
        </w:rPr>
        <w:t>”</w:t>
      </w:r>
      <w:r w:rsidR="008352BB" w:rsidRPr="00D869E3">
        <w:rPr>
          <w:rFonts w:ascii="Verdana" w:hAnsi="Verdana"/>
          <w:i/>
          <w:iCs/>
          <w:spacing w:val="-3"/>
          <w:sz w:val="20"/>
          <w:szCs w:val="20"/>
          <w:lang w:val="en-US"/>
        </w:rPr>
        <w:t xml:space="preserve"> </w:t>
      </w:r>
      <w:r w:rsidR="008352BB" w:rsidRPr="00D869E3">
        <w:rPr>
          <w:rFonts w:ascii="Verdana" w:hAnsi="Verdana"/>
          <w:spacing w:val="-3"/>
          <w:sz w:val="20"/>
          <w:szCs w:val="20"/>
          <w:lang w:val="en-US"/>
        </w:rPr>
        <w:t xml:space="preserve">based on the normative function </w:t>
      </w:r>
      <w:r w:rsidR="00752DAA" w:rsidRPr="00D869E3">
        <w:rPr>
          <w:rFonts w:ascii="Verdana" w:hAnsi="Verdana"/>
          <w:spacing w:val="-3"/>
          <w:sz w:val="20"/>
          <w:szCs w:val="20"/>
          <w:lang w:val="en-US"/>
        </w:rPr>
        <w:t>with regard to</w:t>
      </w:r>
      <w:r w:rsidR="008352BB" w:rsidRPr="00D869E3">
        <w:rPr>
          <w:rFonts w:ascii="Verdana" w:hAnsi="Verdana"/>
          <w:spacing w:val="-3"/>
          <w:sz w:val="20"/>
          <w:szCs w:val="20"/>
          <w:lang w:val="en-US"/>
        </w:rPr>
        <w:t xml:space="preserve"> the Convention which is exercised by its States Parties</w:t>
      </w:r>
      <w:r w:rsidR="00752DAA" w:rsidRPr="00D869E3">
        <w:rPr>
          <w:rFonts w:ascii="Verdana" w:hAnsi="Verdana"/>
          <w:spacing w:val="-3"/>
          <w:sz w:val="20"/>
          <w:szCs w:val="20"/>
          <w:lang w:val="en-US"/>
        </w:rPr>
        <w:t>. Accordingly,</w:t>
      </w:r>
      <w:r w:rsidR="008352BB" w:rsidRPr="00D869E3">
        <w:rPr>
          <w:rFonts w:ascii="Verdana" w:hAnsi="Verdana"/>
          <w:spacing w:val="-3"/>
          <w:sz w:val="20"/>
          <w:szCs w:val="20"/>
          <w:lang w:val="en-US"/>
        </w:rPr>
        <w:t xml:space="preserve"> that area is implicitly prohibited to the Court, which therefore cannot include </w:t>
      </w:r>
      <w:r w:rsidR="008352BB" w:rsidRPr="00D869E3">
        <w:rPr>
          <w:rFonts w:ascii="Verdana" w:hAnsi="Verdana"/>
          <w:sz w:val="20"/>
          <w:szCs w:val="20"/>
          <w:lang w:val="en-US"/>
        </w:rPr>
        <w:t>the right to</w:t>
      </w:r>
      <w:r w:rsidR="00817AA4" w:rsidRPr="00D869E3">
        <w:rPr>
          <w:rFonts w:ascii="Verdana" w:hAnsi="Verdana"/>
          <w:sz w:val="20"/>
          <w:szCs w:val="20"/>
          <w:lang w:val="en-US"/>
        </w:rPr>
        <w:t xml:space="preserve"> job</w:t>
      </w:r>
      <w:r w:rsidR="008352BB" w:rsidRPr="00D869E3">
        <w:rPr>
          <w:rFonts w:ascii="Verdana" w:hAnsi="Verdana"/>
          <w:sz w:val="20"/>
          <w:szCs w:val="20"/>
          <w:lang w:val="en-US"/>
        </w:rPr>
        <w:t xml:space="preserve"> security among the rights that may be judicialized before it. If it does so, it is evidently exceeding its powers. Indeed, and contrary to what may be deduced from the judgment,</w:t>
      </w:r>
      <w:r w:rsidR="003C2143" w:rsidRPr="00D869E3">
        <w:rPr>
          <w:rStyle w:val="Refdenotaalpie"/>
          <w:szCs w:val="20"/>
          <w:lang w:val="en-US"/>
        </w:rPr>
        <w:footnoteReference w:id="401"/>
      </w:r>
      <w:r w:rsidR="008352BB" w:rsidRPr="00D869E3">
        <w:rPr>
          <w:rFonts w:ascii="Verdana" w:hAnsi="Verdana"/>
          <w:sz w:val="20"/>
          <w:szCs w:val="20"/>
          <w:lang w:val="en-US"/>
        </w:rPr>
        <w:t xml:space="preserve"> the authority to determine its own competence, pursuant to the principle of </w:t>
      </w:r>
      <w:r w:rsidR="006436CA" w:rsidRPr="00D869E3">
        <w:rPr>
          <w:rFonts w:ascii="Verdana" w:hAnsi="Verdana"/>
          <w:sz w:val="20"/>
          <w:szCs w:val="20"/>
          <w:lang w:val="en-US"/>
        </w:rPr>
        <w:t>“</w:t>
      </w:r>
      <w:r w:rsidR="003C2143" w:rsidRPr="00D869E3">
        <w:rPr>
          <w:rFonts w:ascii="Verdana" w:hAnsi="Verdana"/>
          <w:i/>
          <w:sz w:val="20"/>
          <w:szCs w:val="20"/>
          <w:lang w:val="en-US"/>
        </w:rPr>
        <w:t>kompetenz-kompetenz</w:t>
      </w:r>
      <w:r w:rsidR="008352BB" w:rsidRPr="00D869E3">
        <w:rPr>
          <w:rFonts w:ascii="Verdana" w:hAnsi="Verdana"/>
          <w:i/>
          <w:sz w:val="20"/>
          <w:szCs w:val="20"/>
          <w:lang w:val="en-US"/>
        </w:rPr>
        <w:t>,</w:t>
      </w:r>
      <w:r w:rsidR="006436CA" w:rsidRPr="00D869E3">
        <w:rPr>
          <w:rFonts w:ascii="Verdana" w:hAnsi="Verdana"/>
          <w:sz w:val="20"/>
          <w:szCs w:val="20"/>
          <w:lang w:val="en-US"/>
        </w:rPr>
        <w:t>”</w:t>
      </w:r>
      <w:r w:rsidR="008352BB" w:rsidRPr="00D869E3">
        <w:rPr>
          <w:rFonts w:ascii="Verdana" w:hAnsi="Verdana"/>
          <w:sz w:val="20"/>
          <w:szCs w:val="20"/>
          <w:lang w:val="en-US"/>
        </w:rPr>
        <w:t xml:space="preserve"> does not authorize </w:t>
      </w:r>
      <w:r w:rsidR="00254C79" w:rsidRPr="00D869E3">
        <w:rPr>
          <w:rFonts w:ascii="Verdana" w:hAnsi="Verdana"/>
          <w:sz w:val="20"/>
          <w:szCs w:val="20"/>
          <w:lang w:val="en-US"/>
        </w:rPr>
        <w:t>the Court</w:t>
      </w:r>
      <w:r w:rsidR="008352BB" w:rsidRPr="00D869E3">
        <w:rPr>
          <w:rFonts w:ascii="Verdana" w:hAnsi="Verdana"/>
          <w:sz w:val="20"/>
          <w:szCs w:val="20"/>
          <w:lang w:val="en-US"/>
        </w:rPr>
        <w:t xml:space="preserve"> to violate the principle of public law that it is only possible to do what the law permits or stipulates.</w:t>
      </w:r>
    </w:p>
    <w:p w14:paraId="7C3C95BE" w14:textId="77777777" w:rsidR="003C2143" w:rsidRPr="00D869E3" w:rsidRDefault="003C2143" w:rsidP="003C2143">
      <w:pPr>
        <w:jc w:val="both"/>
        <w:rPr>
          <w:rFonts w:ascii="Verdana" w:hAnsi="Verdana"/>
          <w:sz w:val="20"/>
          <w:szCs w:val="20"/>
          <w:lang w:val="en-US"/>
        </w:rPr>
      </w:pPr>
    </w:p>
    <w:p w14:paraId="3B499DE6" w14:textId="22375286" w:rsidR="003C2143" w:rsidRPr="00D869E3" w:rsidRDefault="00E0339A" w:rsidP="003C2143">
      <w:pPr>
        <w:pStyle w:val="Prrafodelista"/>
        <w:numPr>
          <w:ilvl w:val="0"/>
          <w:numId w:val="32"/>
        </w:numPr>
        <w:jc w:val="both"/>
        <w:rPr>
          <w:rFonts w:ascii="Verdana" w:hAnsi="Verdana"/>
          <w:b/>
          <w:sz w:val="20"/>
          <w:szCs w:val="20"/>
          <w:lang w:val="en-US"/>
        </w:rPr>
      </w:pPr>
      <w:r w:rsidRPr="00D869E3">
        <w:rPr>
          <w:rFonts w:ascii="Verdana" w:hAnsi="Verdana"/>
          <w:b/>
          <w:sz w:val="20"/>
          <w:szCs w:val="20"/>
          <w:lang w:val="en-US"/>
        </w:rPr>
        <w:t xml:space="preserve">The </w:t>
      </w:r>
      <w:r w:rsidR="003C2143" w:rsidRPr="00D869E3">
        <w:rPr>
          <w:rFonts w:ascii="Verdana" w:hAnsi="Verdana"/>
          <w:b/>
          <w:sz w:val="20"/>
          <w:szCs w:val="20"/>
          <w:lang w:val="en-US"/>
        </w:rPr>
        <w:t>Protocol</w:t>
      </w:r>
      <w:r w:rsidRPr="00D869E3">
        <w:rPr>
          <w:rFonts w:ascii="Verdana" w:hAnsi="Verdana"/>
          <w:b/>
          <w:sz w:val="20"/>
          <w:szCs w:val="20"/>
          <w:lang w:val="en-US"/>
        </w:rPr>
        <w:t xml:space="preserve"> of</w:t>
      </w:r>
      <w:r w:rsidR="003C2143" w:rsidRPr="00D869E3">
        <w:rPr>
          <w:rFonts w:ascii="Verdana" w:hAnsi="Verdana"/>
          <w:b/>
          <w:sz w:val="20"/>
          <w:szCs w:val="20"/>
          <w:lang w:val="en-US"/>
        </w:rPr>
        <w:t xml:space="preserve"> San Salvador</w:t>
      </w:r>
    </w:p>
    <w:p w14:paraId="123B4E69" w14:textId="77777777" w:rsidR="003C2143" w:rsidRPr="00D869E3" w:rsidRDefault="003C2143" w:rsidP="003C2143">
      <w:pPr>
        <w:jc w:val="both"/>
        <w:rPr>
          <w:rFonts w:ascii="Verdana" w:hAnsi="Verdana"/>
          <w:b/>
          <w:sz w:val="20"/>
          <w:szCs w:val="20"/>
          <w:lang w:val="en-US"/>
        </w:rPr>
      </w:pPr>
    </w:p>
    <w:p w14:paraId="083BBB0F" w14:textId="61017296" w:rsidR="003C2143" w:rsidRPr="00D869E3" w:rsidRDefault="00952F8B" w:rsidP="003C2143">
      <w:pPr>
        <w:jc w:val="both"/>
        <w:rPr>
          <w:rFonts w:ascii="Verdana" w:hAnsi="Verdana"/>
          <w:sz w:val="20"/>
          <w:szCs w:val="20"/>
          <w:lang w:val="en-US"/>
        </w:rPr>
      </w:pPr>
      <w:r w:rsidRPr="00D869E3">
        <w:rPr>
          <w:rFonts w:ascii="Verdana" w:hAnsi="Verdana"/>
          <w:sz w:val="20"/>
          <w:szCs w:val="20"/>
          <w:lang w:val="en-US"/>
        </w:rPr>
        <w:t>As already</w:t>
      </w:r>
      <w:r w:rsidR="003C2143" w:rsidRPr="00D869E3">
        <w:rPr>
          <w:rFonts w:ascii="Verdana" w:hAnsi="Verdana"/>
          <w:sz w:val="20"/>
          <w:szCs w:val="20"/>
          <w:lang w:val="en-US"/>
        </w:rPr>
        <w:t xml:space="preserve"> </w:t>
      </w:r>
      <w:r w:rsidRPr="00D869E3">
        <w:rPr>
          <w:rFonts w:ascii="Verdana" w:hAnsi="Verdana"/>
          <w:sz w:val="20"/>
          <w:szCs w:val="20"/>
          <w:lang w:val="en-US"/>
        </w:rPr>
        <w:t xml:space="preserve">noted, the judicialization, even though partial, </w:t>
      </w:r>
      <w:r w:rsidR="00A157F5" w:rsidRPr="00D869E3">
        <w:rPr>
          <w:rFonts w:ascii="Verdana" w:hAnsi="Verdana"/>
          <w:sz w:val="20"/>
          <w:szCs w:val="20"/>
          <w:lang w:val="en-US"/>
        </w:rPr>
        <w:t xml:space="preserve">of the </w:t>
      </w:r>
      <w:r w:rsidR="00301DBE" w:rsidRPr="00D869E3">
        <w:rPr>
          <w:rFonts w:ascii="Verdana" w:hAnsi="Verdana"/>
          <w:sz w:val="20"/>
          <w:szCs w:val="20"/>
          <w:lang w:val="en-US"/>
        </w:rPr>
        <w:t>right to work</w:t>
      </w:r>
      <w:r w:rsidR="003C2143" w:rsidRPr="00D869E3">
        <w:rPr>
          <w:rFonts w:ascii="Verdana" w:hAnsi="Verdana"/>
          <w:sz w:val="20"/>
          <w:szCs w:val="20"/>
          <w:lang w:val="en-US"/>
        </w:rPr>
        <w:t xml:space="preserve"> </w:t>
      </w:r>
      <w:r w:rsidR="00254C79" w:rsidRPr="00D869E3">
        <w:rPr>
          <w:rFonts w:ascii="Verdana" w:hAnsi="Verdana"/>
          <w:sz w:val="20"/>
          <w:szCs w:val="20"/>
          <w:lang w:val="en-US"/>
        </w:rPr>
        <w:t>occurred</w:t>
      </w:r>
      <w:r w:rsidR="003C2143" w:rsidRPr="00D869E3">
        <w:rPr>
          <w:rFonts w:ascii="Verdana" w:hAnsi="Verdana"/>
          <w:sz w:val="20"/>
          <w:szCs w:val="20"/>
          <w:lang w:val="en-US"/>
        </w:rPr>
        <w:t>, precis</w:t>
      </w:r>
      <w:r w:rsidRPr="00D869E3">
        <w:rPr>
          <w:rFonts w:ascii="Verdana" w:hAnsi="Verdana"/>
          <w:sz w:val="20"/>
          <w:szCs w:val="20"/>
          <w:lang w:val="en-US"/>
        </w:rPr>
        <w:t xml:space="preserve">ely, with the 1988 </w:t>
      </w:r>
      <w:r w:rsidR="006436CA" w:rsidRPr="00D869E3">
        <w:rPr>
          <w:rFonts w:ascii="Verdana" w:hAnsi="Verdana"/>
          <w:sz w:val="20"/>
          <w:szCs w:val="20"/>
          <w:lang w:val="en-US"/>
        </w:rPr>
        <w:t>“</w:t>
      </w:r>
      <w:r w:rsidR="00B235CB" w:rsidRPr="00D869E3">
        <w:rPr>
          <w:rFonts w:ascii="Verdana" w:hAnsi="Verdana"/>
          <w:i/>
          <w:sz w:val="20"/>
          <w:szCs w:val="20"/>
          <w:lang w:val="en-US"/>
        </w:rPr>
        <w:t>Additional Protocol to</w:t>
      </w:r>
      <w:r w:rsidR="003C2143" w:rsidRPr="00D869E3">
        <w:rPr>
          <w:rFonts w:ascii="Verdana" w:hAnsi="Verdana"/>
          <w:i/>
          <w:sz w:val="20"/>
          <w:szCs w:val="20"/>
          <w:lang w:val="en-US"/>
        </w:rPr>
        <w:t xml:space="preserve"> </w:t>
      </w:r>
      <w:r w:rsidR="00447C65" w:rsidRPr="00D869E3">
        <w:rPr>
          <w:rFonts w:ascii="Verdana" w:hAnsi="Verdana"/>
          <w:i/>
          <w:sz w:val="20"/>
          <w:szCs w:val="20"/>
          <w:lang w:val="en-US"/>
        </w:rPr>
        <w:t>the American Convention on Human Rights</w:t>
      </w:r>
      <w:r w:rsidR="003C2143" w:rsidRPr="00D869E3">
        <w:rPr>
          <w:rFonts w:ascii="Verdana" w:hAnsi="Verdana"/>
          <w:i/>
          <w:sz w:val="20"/>
          <w:szCs w:val="20"/>
          <w:lang w:val="en-US"/>
        </w:rPr>
        <w:t xml:space="preserve"> </w:t>
      </w:r>
      <w:r w:rsidR="00B235CB" w:rsidRPr="00D869E3">
        <w:rPr>
          <w:rFonts w:ascii="Verdana" w:hAnsi="Verdana"/>
          <w:i/>
          <w:sz w:val="20"/>
          <w:szCs w:val="20"/>
          <w:lang w:val="en-US"/>
        </w:rPr>
        <w:t>in the Area of</w:t>
      </w:r>
      <w:r w:rsidR="003C2143" w:rsidRPr="00D869E3">
        <w:rPr>
          <w:rFonts w:ascii="Verdana" w:hAnsi="Verdana"/>
          <w:i/>
          <w:sz w:val="20"/>
          <w:szCs w:val="20"/>
          <w:lang w:val="en-US"/>
        </w:rPr>
        <w:t xml:space="preserve"> </w:t>
      </w:r>
      <w:r w:rsidR="00ED3FC7" w:rsidRPr="00D869E3">
        <w:rPr>
          <w:rFonts w:ascii="Verdana" w:hAnsi="Verdana"/>
          <w:i/>
          <w:sz w:val="20"/>
          <w:szCs w:val="20"/>
          <w:lang w:val="en-US"/>
        </w:rPr>
        <w:t xml:space="preserve">Economic, </w:t>
      </w:r>
      <w:r w:rsidRPr="00D869E3">
        <w:rPr>
          <w:rFonts w:ascii="Verdana" w:hAnsi="Verdana"/>
          <w:i/>
          <w:sz w:val="20"/>
          <w:szCs w:val="20"/>
          <w:lang w:val="en-US"/>
        </w:rPr>
        <w:t>Social and Cultural Rights</w:t>
      </w:r>
      <w:r w:rsidR="003C2143" w:rsidRPr="00D869E3">
        <w:rPr>
          <w:rFonts w:ascii="Verdana" w:hAnsi="Verdana"/>
          <w:i/>
          <w:sz w:val="20"/>
          <w:szCs w:val="20"/>
          <w:lang w:val="en-US"/>
        </w:rPr>
        <w:t>, Protocol</w:t>
      </w:r>
      <w:r w:rsidRPr="00D869E3">
        <w:rPr>
          <w:rFonts w:ascii="Verdana" w:hAnsi="Verdana"/>
          <w:i/>
          <w:sz w:val="20"/>
          <w:szCs w:val="20"/>
          <w:lang w:val="en-US"/>
        </w:rPr>
        <w:t xml:space="preserve"> of</w:t>
      </w:r>
      <w:r w:rsidR="003C2143" w:rsidRPr="00D869E3">
        <w:rPr>
          <w:rFonts w:ascii="Verdana" w:hAnsi="Verdana"/>
          <w:i/>
          <w:sz w:val="20"/>
          <w:szCs w:val="20"/>
          <w:lang w:val="en-US"/>
        </w:rPr>
        <w:t xml:space="preserve"> San Salvador</w:t>
      </w:r>
      <w:r w:rsidRPr="00D869E3">
        <w:rPr>
          <w:rFonts w:ascii="Verdana" w:hAnsi="Verdana"/>
          <w:i/>
          <w:sz w:val="20"/>
          <w:szCs w:val="20"/>
          <w:lang w:val="en-US"/>
        </w:rPr>
        <w:t>,</w:t>
      </w:r>
      <w:r w:rsidR="006436CA" w:rsidRPr="00D869E3">
        <w:rPr>
          <w:rFonts w:ascii="Verdana" w:hAnsi="Verdana"/>
          <w:sz w:val="20"/>
          <w:szCs w:val="20"/>
          <w:lang w:val="en-US"/>
        </w:rPr>
        <w:t>”</w:t>
      </w:r>
      <w:r w:rsidRPr="00D869E3">
        <w:rPr>
          <w:rFonts w:ascii="Verdana" w:hAnsi="Verdana"/>
          <w:sz w:val="20"/>
          <w:szCs w:val="20"/>
          <w:lang w:val="en-US"/>
        </w:rPr>
        <w:t xml:space="preserve"> which was adopted under the provisions of </w:t>
      </w:r>
      <w:r w:rsidR="00447C65" w:rsidRPr="00D869E3">
        <w:rPr>
          <w:rFonts w:ascii="Verdana" w:hAnsi="Verdana"/>
          <w:sz w:val="20"/>
          <w:szCs w:val="20"/>
          <w:lang w:val="en-US"/>
        </w:rPr>
        <w:t>Articles</w:t>
      </w:r>
      <w:r w:rsidR="003C2143" w:rsidRPr="00D869E3">
        <w:rPr>
          <w:rFonts w:ascii="Verdana" w:hAnsi="Verdana"/>
          <w:sz w:val="20"/>
          <w:szCs w:val="20"/>
          <w:lang w:val="en-US"/>
        </w:rPr>
        <w:t xml:space="preserve"> 76</w:t>
      </w:r>
      <w:r w:rsidRPr="00D869E3">
        <w:rPr>
          <w:rFonts w:ascii="Verdana" w:hAnsi="Verdana"/>
          <w:sz w:val="20"/>
          <w:szCs w:val="20"/>
          <w:lang w:val="en-US"/>
        </w:rPr>
        <w:t>(</w:t>
      </w:r>
      <w:r w:rsidR="003C2143" w:rsidRPr="00D869E3">
        <w:rPr>
          <w:rFonts w:ascii="Verdana" w:hAnsi="Verdana"/>
          <w:sz w:val="20"/>
          <w:szCs w:val="20"/>
          <w:lang w:val="en-US"/>
        </w:rPr>
        <w:t>1</w:t>
      </w:r>
      <w:r w:rsidRPr="00D869E3">
        <w:rPr>
          <w:rFonts w:ascii="Verdana" w:hAnsi="Verdana"/>
          <w:sz w:val="20"/>
          <w:szCs w:val="20"/>
          <w:lang w:val="en-US"/>
        </w:rPr>
        <w:t>)</w:t>
      </w:r>
      <w:r w:rsidR="00687684" w:rsidRPr="00D869E3">
        <w:rPr>
          <w:rFonts w:ascii="Verdana" w:hAnsi="Verdana"/>
          <w:sz w:val="20"/>
          <w:szCs w:val="20"/>
          <w:lang w:val="en-US"/>
        </w:rPr>
        <w:t xml:space="preserve"> and </w:t>
      </w:r>
      <w:r w:rsidR="003C2143" w:rsidRPr="00D869E3">
        <w:rPr>
          <w:rFonts w:ascii="Verdana" w:hAnsi="Verdana"/>
          <w:sz w:val="20"/>
          <w:szCs w:val="20"/>
          <w:lang w:val="en-US"/>
        </w:rPr>
        <w:t>77</w:t>
      </w:r>
      <w:r w:rsidRPr="00D869E3">
        <w:rPr>
          <w:rFonts w:ascii="Verdana" w:hAnsi="Verdana"/>
          <w:sz w:val="20"/>
          <w:szCs w:val="20"/>
          <w:lang w:val="en-US"/>
        </w:rPr>
        <w:t>(</w:t>
      </w:r>
      <w:r w:rsidR="003C2143" w:rsidRPr="00D869E3">
        <w:rPr>
          <w:rFonts w:ascii="Verdana" w:hAnsi="Verdana"/>
          <w:sz w:val="20"/>
          <w:szCs w:val="20"/>
          <w:lang w:val="en-US"/>
        </w:rPr>
        <w:t>1</w:t>
      </w:r>
      <w:r w:rsidRPr="00D869E3">
        <w:rPr>
          <w:rFonts w:ascii="Verdana" w:hAnsi="Verdana"/>
          <w:sz w:val="20"/>
          <w:szCs w:val="20"/>
          <w:lang w:val="en-US"/>
        </w:rPr>
        <w:t>)</w:t>
      </w:r>
      <w:r w:rsidR="00447C65" w:rsidRPr="00D869E3">
        <w:rPr>
          <w:rFonts w:ascii="Verdana" w:hAnsi="Verdana"/>
          <w:sz w:val="20"/>
          <w:szCs w:val="20"/>
          <w:lang w:val="en-US"/>
        </w:rPr>
        <w:t xml:space="preserve"> of the Convention</w:t>
      </w:r>
      <w:r w:rsidRPr="00D869E3">
        <w:rPr>
          <w:rFonts w:ascii="Verdana" w:hAnsi="Verdana"/>
          <w:sz w:val="20"/>
          <w:szCs w:val="20"/>
          <w:lang w:val="en-US"/>
        </w:rPr>
        <w:t>; that is,</w:t>
      </w:r>
      <w:r w:rsidR="003C2143" w:rsidRPr="00D869E3">
        <w:rPr>
          <w:rFonts w:ascii="Verdana" w:hAnsi="Verdana"/>
          <w:sz w:val="20"/>
          <w:szCs w:val="20"/>
          <w:lang w:val="en-US"/>
        </w:rPr>
        <w:t xml:space="preserve"> </w:t>
      </w:r>
      <w:r w:rsidR="006436CA" w:rsidRPr="00D869E3">
        <w:rPr>
          <w:rFonts w:ascii="Verdana" w:hAnsi="Verdana"/>
          <w:sz w:val="20"/>
          <w:szCs w:val="20"/>
          <w:lang w:val="en-US"/>
        </w:rPr>
        <w:t>“</w:t>
      </w:r>
      <w:r w:rsidRPr="00D869E3">
        <w:rPr>
          <w:rFonts w:ascii="Verdana" w:hAnsi="Verdana" w:cs="Tahoma"/>
          <w:sz w:val="20"/>
          <w:szCs w:val="20"/>
          <w:lang w:val="en-US"/>
        </w:rPr>
        <w:t>for the purpose of gradually incorporating other rights and freedoms into the protective system thereof,</w:t>
      </w:r>
      <w:r w:rsidR="006436CA" w:rsidRPr="00D869E3">
        <w:rPr>
          <w:rFonts w:ascii="Verdana" w:hAnsi="Verdana"/>
          <w:sz w:val="20"/>
          <w:szCs w:val="20"/>
          <w:lang w:val="en-US"/>
        </w:rPr>
        <w:t>”</w:t>
      </w:r>
      <w:r w:rsidR="003C2143" w:rsidRPr="00D869E3">
        <w:rPr>
          <w:rFonts w:ascii="Verdana" w:hAnsi="Verdana"/>
          <w:sz w:val="20"/>
          <w:szCs w:val="20"/>
          <w:lang w:val="en-US"/>
        </w:rPr>
        <w:t xml:space="preserve"> </w:t>
      </w:r>
      <w:r w:rsidR="000B13C9" w:rsidRPr="00D869E3">
        <w:rPr>
          <w:rFonts w:ascii="Verdana" w:hAnsi="Verdana"/>
          <w:sz w:val="20"/>
          <w:szCs w:val="20"/>
          <w:lang w:val="en-US"/>
        </w:rPr>
        <w:t>as expressly indicated in its Preamble</w:t>
      </w:r>
      <w:r w:rsidR="003C2143" w:rsidRPr="00D869E3">
        <w:rPr>
          <w:rFonts w:ascii="Verdana" w:hAnsi="Verdana"/>
          <w:sz w:val="20"/>
          <w:szCs w:val="20"/>
          <w:lang w:val="en-US"/>
        </w:rPr>
        <w:t>.</w:t>
      </w:r>
      <w:r w:rsidR="003C2143" w:rsidRPr="00D869E3">
        <w:rPr>
          <w:rStyle w:val="Refdenotaalpie"/>
          <w:szCs w:val="20"/>
          <w:lang w:val="en-US"/>
        </w:rPr>
        <w:footnoteReference w:id="402"/>
      </w:r>
    </w:p>
    <w:p w14:paraId="7683E8AA" w14:textId="77777777" w:rsidR="003C2143" w:rsidRPr="00D869E3" w:rsidRDefault="003C2143" w:rsidP="003C2143">
      <w:pPr>
        <w:jc w:val="both"/>
        <w:rPr>
          <w:rFonts w:ascii="Verdana" w:hAnsi="Verdana"/>
          <w:sz w:val="20"/>
          <w:szCs w:val="20"/>
          <w:lang w:val="en-US"/>
        </w:rPr>
      </w:pPr>
    </w:p>
    <w:p w14:paraId="3D81C721" w14:textId="3CD1290B" w:rsidR="003C2143" w:rsidRPr="00D869E3" w:rsidRDefault="000F0B45" w:rsidP="003C2143">
      <w:pPr>
        <w:jc w:val="both"/>
        <w:rPr>
          <w:rFonts w:ascii="Verdana" w:hAnsi="Verdana"/>
          <w:sz w:val="20"/>
          <w:szCs w:val="20"/>
          <w:lang w:val="en-US"/>
        </w:rPr>
      </w:pPr>
      <w:r w:rsidRPr="00D869E3">
        <w:rPr>
          <w:rFonts w:ascii="Verdana" w:hAnsi="Verdana"/>
          <w:sz w:val="20"/>
          <w:szCs w:val="20"/>
          <w:lang w:val="en-US"/>
        </w:rPr>
        <w:t>This</w:t>
      </w:r>
      <w:r w:rsidR="003C2143" w:rsidRPr="00D869E3">
        <w:rPr>
          <w:rFonts w:ascii="Verdana" w:hAnsi="Verdana"/>
          <w:sz w:val="20"/>
          <w:szCs w:val="20"/>
          <w:lang w:val="en-US"/>
        </w:rPr>
        <w:t xml:space="preserve"> </w:t>
      </w:r>
      <w:r w:rsidRPr="00D869E3">
        <w:rPr>
          <w:rFonts w:ascii="Verdana" w:hAnsi="Verdana"/>
          <w:sz w:val="20"/>
          <w:szCs w:val="20"/>
          <w:lang w:val="en-US"/>
        </w:rPr>
        <w:t>Protocol</w:t>
      </w:r>
      <w:r w:rsidR="003C2143" w:rsidRPr="00D869E3">
        <w:rPr>
          <w:rFonts w:ascii="Verdana" w:hAnsi="Verdana"/>
          <w:sz w:val="20"/>
          <w:szCs w:val="20"/>
          <w:lang w:val="en-US"/>
        </w:rPr>
        <w:t xml:space="preserve"> </w:t>
      </w:r>
      <w:r w:rsidR="006436CA" w:rsidRPr="00D869E3">
        <w:rPr>
          <w:rFonts w:ascii="Verdana" w:hAnsi="Verdana"/>
          <w:sz w:val="20"/>
          <w:szCs w:val="20"/>
          <w:lang w:val="en-US"/>
        </w:rPr>
        <w:t>“</w:t>
      </w:r>
      <w:r w:rsidR="003C2143" w:rsidRPr="00D869E3">
        <w:rPr>
          <w:rFonts w:ascii="Verdana" w:hAnsi="Verdana"/>
          <w:i/>
          <w:sz w:val="20"/>
          <w:szCs w:val="20"/>
          <w:lang w:val="en-US"/>
        </w:rPr>
        <w:t>reco</w:t>
      </w:r>
      <w:r w:rsidRPr="00D869E3">
        <w:rPr>
          <w:rFonts w:ascii="Verdana" w:hAnsi="Verdana"/>
          <w:i/>
          <w:sz w:val="20"/>
          <w:szCs w:val="20"/>
          <w:lang w:val="en-US"/>
        </w:rPr>
        <w:t>gnizes</w:t>
      </w:r>
      <w:r w:rsidR="006436CA" w:rsidRPr="00D869E3">
        <w:rPr>
          <w:rFonts w:ascii="Verdana" w:hAnsi="Verdana"/>
          <w:sz w:val="20"/>
          <w:szCs w:val="20"/>
          <w:lang w:val="en-US"/>
        </w:rPr>
        <w:t>”</w:t>
      </w:r>
      <w:r w:rsidR="003C2143" w:rsidRPr="00D869E3">
        <w:rPr>
          <w:rStyle w:val="Refdenotaalpie"/>
          <w:szCs w:val="20"/>
          <w:lang w:val="en-US"/>
        </w:rPr>
        <w:footnoteReference w:id="403"/>
      </w:r>
      <w:r w:rsidR="003C2143" w:rsidRPr="00D869E3">
        <w:rPr>
          <w:rFonts w:ascii="Verdana" w:hAnsi="Verdana"/>
          <w:sz w:val="20"/>
          <w:szCs w:val="20"/>
          <w:lang w:val="en-US"/>
        </w:rPr>
        <w:t xml:space="preserve"> </w:t>
      </w:r>
      <w:r w:rsidR="000B2E5E" w:rsidRPr="00D869E3">
        <w:rPr>
          <w:rFonts w:ascii="Verdana" w:hAnsi="Verdana"/>
          <w:sz w:val="20"/>
          <w:szCs w:val="20"/>
          <w:lang w:val="en-US"/>
        </w:rPr>
        <w:t xml:space="preserve">the </w:t>
      </w:r>
      <w:r w:rsidR="00301DBE" w:rsidRPr="00D869E3">
        <w:rPr>
          <w:rFonts w:ascii="Verdana" w:hAnsi="Verdana"/>
          <w:sz w:val="20"/>
          <w:szCs w:val="20"/>
          <w:lang w:val="en-US"/>
        </w:rPr>
        <w:t>right to work</w:t>
      </w:r>
      <w:r w:rsidR="003C2143" w:rsidRPr="00D869E3">
        <w:rPr>
          <w:rFonts w:ascii="Verdana" w:hAnsi="Verdana"/>
          <w:sz w:val="20"/>
          <w:szCs w:val="20"/>
          <w:lang w:val="en-US"/>
        </w:rPr>
        <w:t xml:space="preserve"> (</w:t>
      </w:r>
      <w:r w:rsidR="00CC766D" w:rsidRPr="00D869E3">
        <w:rPr>
          <w:rFonts w:ascii="Verdana" w:hAnsi="Verdana"/>
          <w:sz w:val="20"/>
          <w:szCs w:val="20"/>
          <w:lang w:val="en-US"/>
        </w:rPr>
        <w:t xml:space="preserve">Art. </w:t>
      </w:r>
      <w:r w:rsidR="003C2143" w:rsidRPr="00D869E3">
        <w:rPr>
          <w:rFonts w:ascii="Verdana" w:hAnsi="Verdana"/>
          <w:sz w:val="20"/>
          <w:szCs w:val="20"/>
          <w:lang w:val="en-US"/>
        </w:rPr>
        <w:t xml:space="preserve">6), </w:t>
      </w:r>
      <w:r w:rsidR="000B2E5E" w:rsidRPr="00D869E3">
        <w:rPr>
          <w:rFonts w:ascii="Verdana" w:hAnsi="Verdana"/>
          <w:sz w:val="20"/>
          <w:szCs w:val="20"/>
          <w:lang w:val="en-US"/>
        </w:rPr>
        <w:t>the right to</w:t>
      </w:r>
      <w:r w:rsidR="003C2143" w:rsidRPr="00D869E3">
        <w:rPr>
          <w:rFonts w:ascii="Verdana" w:hAnsi="Verdana"/>
          <w:sz w:val="20"/>
          <w:szCs w:val="20"/>
          <w:lang w:val="en-US"/>
        </w:rPr>
        <w:t xml:space="preserve"> </w:t>
      </w:r>
      <w:r w:rsidRPr="00D869E3">
        <w:rPr>
          <w:rFonts w:ascii="Verdana" w:hAnsi="Verdana" w:cs="Tahoma"/>
          <w:sz w:val="20"/>
          <w:szCs w:val="20"/>
          <w:lang w:val="en-US"/>
        </w:rPr>
        <w:t>just, equitable, and satisfactory conditions of work</w:t>
      </w:r>
      <w:r w:rsidRPr="00D869E3">
        <w:rPr>
          <w:rFonts w:ascii="Verdana" w:hAnsi="Verdana"/>
          <w:sz w:val="20"/>
          <w:szCs w:val="20"/>
          <w:lang w:val="en-US"/>
        </w:rPr>
        <w:t xml:space="preserve"> </w:t>
      </w:r>
      <w:r w:rsidR="003C2143" w:rsidRPr="00D869E3">
        <w:rPr>
          <w:rFonts w:ascii="Verdana" w:hAnsi="Verdana"/>
          <w:sz w:val="20"/>
          <w:szCs w:val="20"/>
          <w:lang w:val="en-US"/>
        </w:rPr>
        <w:t>(</w:t>
      </w:r>
      <w:r w:rsidR="00CC766D" w:rsidRPr="00D869E3">
        <w:rPr>
          <w:rFonts w:ascii="Verdana" w:hAnsi="Verdana"/>
          <w:sz w:val="20"/>
          <w:szCs w:val="20"/>
          <w:lang w:val="en-US"/>
        </w:rPr>
        <w:t xml:space="preserve">Art. </w:t>
      </w:r>
      <w:r w:rsidR="003C2143" w:rsidRPr="00D869E3">
        <w:rPr>
          <w:rFonts w:ascii="Verdana" w:hAnsi="Verdana"/>
          <w:sz w:val="20"/>
          <w:szCs w:val="20"/>
          <w:lang w:val="en-US"/>
        </w:rPr>
        <w:t xml:space="preserve">7), </w:t>
      </w:r>
      <w:r w:rsidRPr="00D869E3">
        <w:rPr>
          <w:rFonts w:ascii="Verdana" w:hAnsi="Verdana"/>
          <w:sz w:val="20"/>
          <w:szCs w:val="20"/>
          <w:lang w:val="en-US"/>
        </w:rPr>
        <w:t>trade union rights</w:t>
      </w:r>
      <w:r w:rsidR="003C2143" w:rsidRPr="00D869E3">
        <w:rPr>
          <w:rFonts w:ascii="Verdana" w:hAnsi="Verdana"/>
          <w:sz w:val="20"/>
          <w:szCs w:val="20"/>
          <w:lang w:val="en-US"/>
        </w:rPr>
        <w:t xml:space="preserve"> (</w:t>
      </w:r>
      <w:r w:rsidR="00CC766D" w:rsidRPr="00D869E3">
        <w:rPr>
          <w:rFonts w:ascii="Verdana" w:hAnsi="Verdana"/>
          <w:sz w:val="20"/>
          <w:szCs w:val="20"/>
          <w:lang w:val="en-US"/>
        </w:rPr>
        <w:t xml:space="preserve">Art. </w:t>
      </w:r>
      <w:r w:rsidR="003C2143" w:rsidRPr="00D869E3">
        <w:rPr>
          <w:rFonts w:ascii="Verdana" w:hAnsi="Verdana"/>
          <w:sz w:val="20"/>
          <w:szCs w:val="20"/>
          <w:lang w:val="en-US"/>
        </w:rPr>
        <w:t xml:space="preserve">8), </w:t>
      </w:r>
      <w:r w:rsidR="000B2E5E" w:rsidRPr="00D869E3">
        <w:rPr>
          <w:rFonts w:ascii="Verdana" w:hAnsi="Verdana"/>
          <w:sz w:val="20"/>
          <w:szCs w:val="20"/>
          <w:lang w:val="en-US"/>
        </w:rPr>
        <w:t>the right to</w:t>
      </w:r>
      <w:r w:rsidR="003C2143" w:rsidRPr="00D869E3">
        <w:rPr>
          <w:rFonts w:ascii="Verdana" w:hAnsi="Verdana"/>
          <w:sz w:val="20"/>
          <w:szCs w:val="20"/>
          <w:lang w:val="en-US"/>
        </w:rPr>
        <w:t xml:space="preserve"> </w:t>
      </w:r>
      <w:r w:rsidRPr="00D869E3">
        <w:rPr>
          <w:rFonts w:ascii="Verdana" w:hAnsi="Verdana"/>
          <w:sz w:val="20"/>
          <w:szCs w:val="20"/>
          <w:lang w:val="en-US"/>
        </w:rPr>
        <w:t xml:space="preserve">social security </w:t>
      </w:r>
      <w:r w:rsidR="003C2143" w:rsidRPr="00D869E3">
        <w:rPr>
          <w:rFonts w:ascii="Verdana" w:hAnsi="Verdana"/>
          <w:sz w:val="20"/>
          <w:szCs w:val="20"/>
          <w:lang w:val="en-US"/>
        </w:rPr>
        <w:t>(</w:t>
      </w:r>
      <w:r w:rsidR="00CC766D" w:rsidRPr="00D869E3">
        <w:rPr>
          <w:rFonts w:ascii="Verdana" w:hAnsi="Verdana"/>
          <w:sz w:val="20"/>
          <w:szCs w:val="20"/>
          <w:lang w:val="en-US"/>
        </w:rPr>
        <w:t xml:space="preserve">Art. </w:t>
      </w:r>
      <w:r w:rsidR="003C2143" w:rsidRPr="00D869E3">
        <w:rPr>
          <w:rFonts w:ascii="Verdana" w:hAnsi="Verdana"/>
          <w:sz w:val="20"/>
          <w:szCs w:val="20"/>
          <w:lang w:val="en-US"/>
        </w:rPr>
        <w:t xml:space="preserve">9), </w:t>
      </w:r>
      <w:r w:rsidR="000B2E5E" w:rsidRPr="00D869E3">
        <w:rPr>
          <w:rFonts w:ascii="Verdana" w:hAnsi="Verdana"/>
          <w:sz w:val="20"/>
          <w:szCs w:val="20"/>
          <w:lang w:val="en-US"/>
        </w:rPr>
        <w:t>the right to</w:t>
      </w:r>
      <w:r w:rsidR="003C2143" w:rsidRPr="00D869E3">
        <w:rPr>
          <w:rFonts w:ascii="Verdana" w:hAnsi="Verdana"/>
          <w:sz w:val="20"/>
          <w:szCs w:val="20"/>
          <w:lang w:val="en-US"/>
        </w:rPr>
        <w:t xml:space="preserve"> </w:t>
      </w:r>
      <w:r w:rsidRPr="00D869E3">
        <w:rPr>
          <w:rFonts w:ascii="Verdana" w:hAnsi="Verdana"/>
          <w:sz w:val="20"/>
          <w:szCs w:val="20"/>
          <w:lang w:val="en-US"/>
        </w:rPr>
        <w:t>health</w:t>
      </w:r>
      <w:r w:rsidR="003C2143" w:rsidRPr="00D869E3">
        <w:rPr>
          <w:rFonts w:ascii="Verdana" w:hAnsi="Verdana"/>
          <w:sz w:val="20"/>
          <w:szCs w:val="20"/>
          <w:lang w:val="en-US"/>
        </w:rPr>
        <w:t xml:space="preserve"> (</w:t>
      </w:r>
      <w:r w:rsidR="00CC766D" w:rsidRPr="00D869E3">
        <w:rPr>
          <w:rFonts w:ascii="Verdana" w:hAnsi="Verdana"/>
          <w:sz w:val="20"/>
          <w:szCs w:val="20"/>
          <w:lang w:val="en-US"/>
        </w:rPr>
        <w:t xml:space="preserve">Art. </w:t>
      </w:r>
      <w:r w:rsidR="003C2143" w:rsidRPr="00D869E3">
        <w:rPr>
          <w:rFonts w:ascii="Verdana" w:hAnsi="Verdana"/>
          <w:sz w:val="20"/>
          <w:szCs w:val="20"/>
          <w:lang w:val="en-US"/>
        </w:rPr>
        <w:t xml:space="preserve">10), </w:t>
      </w:r>
      <w:r w:rsidR="000B2E5E" w:rsidRPr="00D869E3">
        <w:rPr>
          <w:rFonts w:ascii="Verdana" w:hAnsi="Verdana"/>
          <w:sz w:val="20"/>
          <w:szCs w:val="20"/>
          <w:lang w:val="en-US"/>
        </w:rPr>
        <w:t>the right to</w:t>
      </w:r>
      <w:r w:rsidR="003C2143" w:rsidRPr="00D869E3">
        <w:rPr>
          <w:rFonts w:ascii="Verdana" w:hAnsi="Verdana"/>
          <w:sz w:val="20"/>
          <w:szCs w:val="20"/>
          <w:lang w:val="en-US"/>
        </w:rPr>
        <w:t xml:space="preserve"> </w:t>
      </w:r>
      <w:r w:rsidRPr="00D869E3">
        <w:rPr>
          <w:rFonts w:ascii="Verdana" w:hAnsi="Verdana"/>
          <w:sz w:val="20"/>
          <w:szCs w:val="20"/>
          <w:lang w:val="en-US"/>
        </w:rPr>
        <w:t>a healthy environment</w:t>
      </w:r>
      <w:r w:rsidR="003C2143" w:rsidRPr="00D869E3">
        <w:rPr>
          <w:rFonts w:ascii="Verdana" w:hAnsi="Verdana"/>
          <w:sz w:val="20"/>
          <w:szCs w:val="20"/>
          <w:lang w:val="en-US"/>
        </w:rPr>
        <w:t xml:space="preserve"> (</w:t>
      </w:r>
      <w:r w:rsidR="00CC766D" w:rsidRPr="00D869E3">
        <w:rPr>
          <w:rFonts w:ascii="Verdana" w:hAnsi="Verdana"/>
          <w:sz w:val="20"/>
          <w:szCs w:val="20"/>
          <w:lang w:val="en-US"/>
        </w:rPr>
        <w:t xml:space="preserve">Art. </w:t>
      </w:r>
      <w:r w:rsidR="003C2143" w:rsidRPr="00D869E3">
        <w:rPr>
          <w:rFonts w:ascii="Verdana" w:hAnsi="Verdana"/>
          <w:sz w:val="20"/>
          <w:szCs w:val="20"/>
          <w:lang w:val="en-US"/>
        </w:rPr>
        <w:t xml:space="preserve">11), </w:t>
      </w:r>
      <w:r w:rsidR="000B2E5E" w:rsidRPr="00D869E3">
        <w:rPr>
          <w:rFonts w:ascii="Verdana" w:hAnsi="Verdana"/>
          <w:sz w:val="20"/>
          <w:szCs w:val="20"/>
          <w:lang w:val="en-US"/>
        </w:rPr>
        <w:t>the right to</w:t>
      </w:r>
      <w:r w:rsidR="003C2143" w:rsidRPr="00D869E3">
        <w:rPr>
          <w:rFonts w:ascii="Verdana" w:hAnsi="Verdana"/>
          <w:sz w:val="20"/>
          <w:szCs w:val="20"/>
          <w:lang w:val="en-US"/>
        </w:rPr>
        <w:t xml:space="preserve"> </w:t>
      </w:r>
      <w:r w:rsidRPr="00D869E3">
        <w:rPr>
          <w:rFonts w:ascii="Verdana" w:hAnsi="Verdana"/>
          <w:sz w:val="20"/>
          <w:szCs w:val="20"/>
          <w:lang w:val="en-US"/>
        </w:rPr>
        <w:t>food</w:t>
      </w:r>
      <w:r w:rsidR="003C2143" w:rsidRPr="00D869E3">
        <w:rPr>
          <w:rFonts w:ascii="Verdana" w:hAnsi="Verdana"/>
          <w:sz w:val="20"/>
          <w:szCs w:val="20"/>
          <w:lang w:val="en-US"/>
        </w:rPr>
        <w:t xml:space="preserve"> (</w:t>
      </w:r>
      <w:r w:rsidR="00CC766D" w:rsidRPr="00D869E3">
        <w:rPr>
          <w:rFonts w:ascii="Verdana" w:hAnsi="Verdana"/>
          <w:sz w:val="20"/>
          <w:szCs w:val="20"/>
          <w:lang w:val="en-US"/>
        </w:rPr>
        <w:t xml:space="preserve">Art. </w:t>
      </w:r>
      <w:r w:rsidR="003C2143" w:rsidRPr="00D869E3">
        <w:rPr>
          <w:rFonts w:ascii="Verdana" w:hAnsi="Verdana"/>
          <w:sz w:val="20"/>
          <w:szCs w:val="20"/>
          <w:lang w:val="en-US"/>
        </w:rPr>
        <w:t xml:space="preserve">12), </w:t>
      </w:r>
      <w:r w:rsidR="000B2E5E" w:rsidRPr="00D869E3">
        <w:rPr>
          <w:rFonts w:ascii="Verdana" w:hAnsi="Verdana"/>
          <w:sz w:val="20"/>
          <w:szCs w:val="20"/>
          <w:lang w:val="en-US"/>
        </w:rPr>
        <w:t>the right to</w:t>
      </w:r>
      <w:r w:rsidR="003C2143" w:rsidRPr="00D869E3">
        <w:rPr>
          <w:rFonts w:ascii="Verdana" w:hAnsi="Verdana"/>
          <w:sz w:val="20"/>
          <w:szCs w:val="20"/>
          <w:lang w:val="en-US"/>
        </w:rPr>
        <w:t xml:space="preserve"> </w:t>
      </w:r>
      <w:r w:rsidRPr="00D869E3">
        <w:rPr>
          <w:rFonts w:ascii="Verdana" w:hAnsi="Verdana"/>
          <w:sz w:val="20"/>
          <w:szCs w:val="20"/>
          <w:lang w:val="en-US"/>
        </w:rPr>
        <w:t xml:space="preserve">education </w:t>
      </w:r>
      <w:r w:rsidR="003C2143" w:rsidRPr="00D869E3">
        <w:rPr>
          <w:rFonts w:ascii="Verdana" w:hAnsi="Verdana"/>
          <w:sz w:val="20"/>
          <w:szCs w:val="20"/>
          <w:lang w:val="en-US"/>
        </w:rPr>
        <w:t>(</w:t>
      </w:r>
      <w:r w:rsidR="00CC766D" w:rsidRPr="00D869E3">
        <w:rPr>
          <w:rFonts w:ascii="Verdana" w:hAnsi="Verdana"/>
          <w:sz w:val="20"/>
          <w:szCs w:val="20"/>
          <w:lang w:val="en-US"/>
        </w:rPr>
        <w:t xml:space="preserve">Art. </w:t>
      </w:r>
      <w:r w:rsidR="003C2143" w:rsidRPr="00D869E3">
        <w:rPr>
          <w:rFonts w:ascii="Verdana" w:hAnsi="Verdana"/>
          <w:sz w:val="20"/>
          <w:szCs w:val="20"/>
          <w:lang w:val="en-US"/>
        </w:rPr>
        <w:t xml:space="preserve">13), </w:t>
      </w:r>
      <w:r w:rsidR="000B2E5E" w:rsidRPr="00D869E3">
        <w:rPr>
          <w:rFonts w:ascii="Verdana" w:hAnsi="Verdana"/>
          <w:sz w:val="20"/>
          <w:szCs w:val="20"/>
          <w:lang w:val="en-US"/>
        </w:rPr>
        <w:t>the right to</w:t>
      </w:r>
      <w:r w:rsidR="003C2143" w:rsidRPr="00D869E3">
        <w:rPr>
          <w:rFonts w:ascii="Verdana" w:hAnsi="Verdana"/>
          <w:sz w:val="20"/>
          <w:szCs w:val="20"/>
          <w:lang w:val="en-US"/>
        </w:rPr>
        <w:t xml:space="preserve"> </w:t>
      </w:r>
      <w:r w:rsidRPr="00D869E3">
        <w:rPr>
          <w:rFonts w:ascii="Verdana" w:hAnsi="Verdana"/>
          <w:sz w:val="20"/>
          <w:szCs w:val="20"/>
          <w:lang w:val="en-US"/>
        </w:rPr>
        <w:t xml:space="preserve">the benefits of culture </w:t>
      </w:r>
      <w:r w:rsidR="003C2143" w:rsidRPr="00D869E3">
        <w:rPr>
          <w:rFonts w:ascii="Verdana" w:hAnsi="Verdana"/>
          <w:sz w:val="20"/>
          <w:szCs w:val="20"/>
          <w:lang w:val="en-US"/>
        </w:rPr>
        <w:t>(</w:t>
      </w:r>
      <w:r w:rsidR="00CC766D" w:rsidRPr="00D869E3">
        <w:rPr>
          <w:rFonts w:ascii="Verdana" w:hAnsi="Verdana"/>
          <w:sz w:val="20"/>
          <w:szCs w:val="20"/>
          <w:lang w:val="en-US"/>
        </w:rPr>
        <w:t xml:space="preserve">Art. </w:t>
      </w:r>
      <w:r w:rsidR="003C2143" w:rsidRPr="00D869E3">
        <w:rPr>
          <w:rFonts w:ascii="Verdana" w:hAnsi="Verdana"/>
          <w:sz w:val="20"/>
          <w:szCs w:val="20"/>
          <w:lang w:val="en-US"/>
        </w:rPr>
        <w:t xml:space="preserve"> 14), </w:t>
      </w:r>
      <w:r w:rsidR="000B2E5E" w:rsidRPr="00D869E3">
        <w:rPr>
          <w:rFonts w:ascii="Verdana" w:hAnsi="Verdana"/>
          <w:sz w:val="20"/>
          <w:szCs w:val="20"/>
          <w:lang w:val="en-US"/>
        </w:rPr>
        <w:t xml:space="preserve">the </w:t>
      </w:r>
      <w:r w:rsidR="000B2E5E" w:rsidRPr="00D869E3">
        <w:rPr>
          <w:rFonts w:ascii="Verdana" w:hAnsi="Verdana"/>
          <w:sz w:val="20"/>
          <w:szCs w:val="20"/>
          <w:lang w:val="en-US"/>
        </w:rPr>
        <w:lastRenderedPageBreak/>
        <w:t>right to</w:t>
      </w:r>
      <w:r w:rsidRPr="00D869E3">
        <w:rPr>
          <w:rFonts w:ascii="Verdana" w:hAnsi="Verdana"/>
          <w:sz w:val="20"/>
          <w:szCs w:val="20"/>
          <w:lang w:val="en-US"/>
        </w:rPr>
        <w:t xml:space="preserve"> the formation and the protection of families </w:t>
      </w:r>
      <w:r w:rsidR="003C2143" w:rsidRPr="00D869E3">
        <w:rPr>
          <w:rFonts w:ascii="Verdana" w:hAnsi="Verdana"/>
          <w:sz w:val="20"/>
          <w:szCs w:val="20"/>
          <w:lang w:val="en-US"/>
        </w:rPr>
        <w:t>(</w:t>
      </w:r>
      <w:r w:rsidR="00CC766D" w:rsidRPr="00D869E3">
        <w:rPr>
          <w:rFonts w:ascii="Verdana" w:hAnsi="Verdana"/>
          <w:sz w:val="20"/>
          <w:szCs w:val="20"/>
          <w:lang w:val="en-US"/>
        </w:rPr>
        <w:t xml:space="preserve">Art. </w:t>
      </w:r>
      <w:r w:rsidR="003C2143" w:rsidRPr="00D869E3">
        <w:rPr>
          <w:rFonts w:ascii="Verdana" w:hAnsi="Verdana"/>
          <w:sz w:val="20"/>
          <w:szCs w:val="20"/>
          <w:lang w:val="en-US"/>
        </w:rPr>
        <w:t xml:space="preserve">15), </w:t>
      </w:r>
      <w:r w:rsidRPr="00D869E3">
        <w:rPr>
          <w:rFonts w:ascii="Verdana" w:hAnsi="Verdana"/>
          <w:sz w:val="20"/>
          <w:szCs w:val="20"/>
          <w:lang w:val="en-US"/>
        </w:rPr>
        <w:t>the rights of children</w:t>
      </w:r>
      <w:r w:rsidR="003C2143" w:rsidRPr="00D869E3">
        <w:rPr>
          <w:rFonts w:ascii="Verdana" w:hAnsi="Verdana"/>
          <w:sz w:val="20"/>
          <w:szCs w:val="20"/>
          <w:lang w:val="en-US"/>
        </w:rPr>
        <w:t xml:space="preserve"> (</w:t>
      </w:r>
      <w:r w:rsidR="00CC766D" w:rsidRPr="00D869E3">
        <w:rPr>
          <w:rFonts w:ascii="Verdana" w:hAnsi="Verdana"/>
          <w:sz w:val="20"/>
          <w:szCs w:val="20"/>
          <w:lang w:val="en-US"/>
        </w:rPr>
        <w:t xml:space="preserve">Art. </w:t>
      </w:r>
      <w:r w:rsidR="003C2143" w:rsidRPr="00D869E3">
        <w:rPr>
          <w:rFonts w:ascii="Verdana" w:hAnsi="Verdana"/>
          <w:sz w:val="20"/>
          <w:szCs w:val="20"/>
          <w:lang w:val="en-US"/>
        </w:rPr>
        <w:t xml:space="preserve">16), </w:t>
      </w:r>
      <w:r w:rsidRPr="00D869E3">
        <w:rPr>
          <w:rFonts w:ascii="Verdana" w:hAnsi="Verdana"/>
          <w:sz w:val="20"/>
          <w:szCs w:val="20"/>
          <w:lang w:val="en-US"/>
        </w:rPr>
        <w:t xml:space="preserve">the protection of the elderly </w:t>
      </w:r>
      <w:r w:rsidR="003C2143" w:rsidRPr="00D869E3">
        <w:rPr>
          <w:rFonts w:ascii="Verdana" w:hAnsi="Verdana"/>
          <w:sz w:val="20"/>
          <w:szCs w:val="20"/>
          <w:lang w:val="en-US"/>
        </w:rPr>
        <w:t>(</w:t>
      </w:r>
      <w:r w:rsidR="00CC766D" w:rsidRPr="00D869E3">
        <w:rPr>
          <w:rFonts w:ascii="Verdana" w:hAnsi="Verdana"/>
          <w:sz w:val="20"/>
          <w:szCs w:val="20"/>
          <w:lang w:val="en-US"/>
        </w:rPr>
        <w:t xml:space="preserve">Art. </w:t>
      </w:r>
      <w:r w:rsidR="003C2143" w:rsidRPr="00D869E3">
        <w:rPr>
          <w:rFonts w:ascii="Verdana" w:hAnsi="Verdana"/>
          <w:sz w:val="20"/>
          <w:szCs w:val="20"/>
          <w:lang w:val="en-US"/>
        </w:rPr>
        <w:t>17)</w:t>
      </w:r>
      <w:r w:rsidR="00687684" w:rsidRPr="00D869E3">
        <w:rPr>
          <w:rFonts w:ascii="Verdana" w:hAnsi="Verdana"/>
          <w:sz w:val="20"/>
          <w:szCs w:val="20"/>
          <w:lang w:val="en-US"/>
        </w:rPr>
        <w:t xml:space="preserve"> and</w:t>
      </w:r>
      <w:r w:rsidRPr="00D869E3">
        <w:rPr>
          <w:rFonts w:ascii="Verdana" w:hAnsi="Verdana"/>
          <w:sz w:val="20"/>
          <w:szCs w:val="20"/>
          <w:lang w:val="en-US"/>
        </w:rPr>
        <w:t xml:space="preserve"> the protection of the handicapped </w:t>
      </w:r>
      <w:r w:rsidR="003C2143" w:rsidRPr="00D869E3">
        <w:rPr>
          <w:rFonts w:ascii="Verdana" w:hAnsi="Verdana"/>
          <w:sz w:val="20"/>
          <w:szCs w:val="20"/>
          <w:lang w:val="en-US"/>
        </w:rPr>
        <w:t>(</w:t>
      </w:r>
      <w:r w:rsidR="00CC766D" w:rsidRPr="00D869E3">
        <w:rPr>
          <w:rFonts w:ascii="Verdana" w:hAnsi="Verdana"/>
          <w:sz w:val="20"/>
          <w:szCs w:val="20"/>
          <w:lang w:val="en-US"/>
        </w:rPr>
        <w:t xml:space="preserve">Art. </w:t>
      </w:r>
      <w:r w:rsidR="003C2143" w:rsidRPr="00D869E3">
        <w:rPr>
          <w:rFonts w:ascii="Verdana" w:hAnsi="Verdana"/>
          <w:sz w:val="20"/>
          <w:szCs w:val="20"/>
          <w:lang w:val="en-US"/>
        </w:rPr>
        <w:t xml:space="preserve"> 18).</w:t>
      </w:r>
    </w:p>
    <w:p w14:paraId="36C1231E" w14:textId="77777777" w:rsidR="003C2143" w:rsidRPr="00D869E3" w:rsidRDefault="003C2143" w:rsidP="003C2143">
      <w:pPr>
        <w:jc w:val="both"/>
        <w:rPr>
          <w:rFonts w:ascii="Verdana" w:hAnsi="Verdana"/>
          <w:sz w:val="20"/>
          <w:szCs w:val="20"/>
          <w:lang w:val="en-US"/>
        </w:rPr>
      </w:pPr>
    </w:p>
    <w:p w14:paraId="43ADB6C7" w14:textId="0D304219" w:rsidR="000F0B45" w:rsidRPr="00D869E3" w:rsidRDefault="000F0B45" w:rsidP="003C2143">
      <w:pPr>
        <w:jc w:val="both"/>
        <w:rPr>
          <w:rFonts w:ascii="Verdana" w:hAnsi="Verdana"/>
          <w:sz w:val="20"/>
          <w:szCs w:val="20"/>
          <w:lang w:val="en-US"/>
        </w:rPr>
      </w:pPr>
      <w:r w:rsidRPr="00D869E3">
        <w:rPr>
          <w:rFonts w:ascii="Verdana" w:hAnsi="Verdana"/>
          <w:sz w:val="20"/>
          <w:szCs w:val="20"/>
          <w:lang w:val="en-US"/>
        </w:rPr>
        <w:t>Nevertheless, this Protocol</w:t>
      </w:r>
      <w:r w:rsidR="003C2143" w:rsidRPr="00D869E3">
        <w:rPr>
          <w:rFonts w:ascii="Verdana" w:hAnsi="Verdana"/>
          <w:sz w:val="20"/>
          <w:szCs w:val="20"/>
          <w:lang w:val="en-US"/>
        </w:rPr>
        <w:t xml:space="preserve"> </w:t>
      </w:r>
      <w:r w:rsidRPr="00D869E3">
        <w:rPr>
          <w:rFonts w:ascii="Verdana" w:hAnsi="Verdana"/>
          <w:sz w:val="20"/>
          <w:szCs w:val="20"/>
          <w:lang w:val="en-US"/>
        </w:rPr>
        <w:t xml:space="preserve">established that </w:t>
      </w:r>
      <w:r w:rsidR="007013E2" w:rsidRPr="00D869E3">
        <w:rPr>
          <w:rFonts w:ascii="Verdana" w:hAnsi="Verdana"/>
          <w:sz w:val="20"/>
          <w:szCs w:val="20"/>
          <w:lang w:val="en-US"/>
        </w:rPr>
        <w:t>the violation</w:t>
      </w:r>
      <w:r w:rsidR="003C2143" w:rsidRPr="00D869E3">
        <w:rPr>
          <w:rFonts w:ascii="Verdana" w:hAnsi="Verdana"/>
          <w:sz w:val="20"/>
          <w:szCs w:val="20"/>
          <w:lang w:val="en-US"/>
        </w:rPr>
        <w:t xml:space="preserve"> </w:t>
      </w:r>
      <w:r w:rsidRPr="00D869E3">
        <w:rPr>
          <w:rFonts w:ascii="Verdana" w:hAnsi="Verdana"/>
          <w:sz w:val="20"/>
          <w:szCs w:val="20"/>
          <w:lang w:val="en-US"/>
        </w:rPr>
        <w:t xml:space="preserve">of </w:t>
      </w:r>
      <w:r w:rsidR="00254C79" w:rsidRPr="00D869E3">
        <w:rPr>
          <w:rFonts w:ascii="Verdana" w:hAnsi="Verdana"/>
          <w:sz w:val="20"/>
          <w:szCs w:val="20"/>
          <w:lang w:val="en-US"/>
        </w:rPr>
        <w:t xml:space="preserve">only </w:t>
      </w:r>
      <w:r w:rsidRPr="00D869E3">
        <w:rPr>
          <w:rFonts w:ascii="Verdana" w:hAnsi="Verdana"/>
          <w:sz w:val="20"/>
          <w:szCs w:val="20"/>
          <w:lang w:val="en-US"/>
        </w:rPr>
        <w:t xml:space="preserve">some of those </w:t>
      </w:r>
      <w:r w:rsidR="00881A39" w:rsidRPr="00D869E3">
        <w:rPr>
          <w:rFonts w:ascii="Verdana" w:hAnsi="Verdana"/>
          <w:sz w:val="20"/>
          <w:szCs w:val="20"/>
          <w:lang w:val="en-US"/>
        </w:rPr>
        <w:t>rights</w:t>
      </w:r>
      <w:r w:rsidR="003C2143" w:rsidRPr="00D869E3">
        <w:rPr>
          <w:rFonts w:ascii="Verdana" w:hAnsi="Verdana"/>
          <w:sz w:val="20"/>
          <w:szCs w:val="20"/>
          <w:lang w:val="en-US"/>
        </w:rPr>
        <w:t xml:space="preserve"> </w:t>
      </w:r>
      <w:r w:rsidRPr="00D869E3">
        <w:rPr>
          <w:rFonts w:ascii="Verdana" w:hAnsi="Verdana"/>
          <w:sz w:val="20"/>
          <w:szCs w:val="20"/>
          <w:lang w:val="en-US"/>
        </w:rPr>
        <w:t xml:space="preserve">may be submitted to </w:t>
      </w:r>
      <w:r w:rsidR="00966115" w:rsidRPr="00D869E3">
        <w:rPr>
          <w:rFonts w:ascii="Verdana" w:hAnsi="Verdana"/>
          <w:sz w:val="20"/>
          <w:szCs w:val="20"/>
          <w:lang w:val="en-US"/>
        </w:rPr>
        <w:t>the</w:t>
      </w:r>
      <w:r w:rsidR="00447C65" w:rsidRPr="00D869E3">
        <w:rPr>
          <w:rFonts w:ascii="Verdana" w:hAnsi="Verdana"/>
          <w:sz w:val="20"/>
          <w:szCs w:val="20"/>
          <w:lang w:val="en-US"/>
        </w:rPr>
        <w:t xml:space="preserve"> Court</w:t>
      </w:r>
      <w:r w:rsidR="003C2143" w:rsidRPr="00D869E3">
        <w:rPr>
          <w:rStyle w:val="Refdenotaalpie"/>
          <w:szCs w:val="20"/>
          <w:lang w:val="en-US"/>
        </w:rPr>
        <w:footnoteReference w:id="404"/>
      </w:r>
      <w:r w:rsidR="00687684" w:rsidRPr="00D869E3">
        <w:rPr>
          <w:rFonts w:ascii="Verdana" w:hAnsi="Verdana"/>
          <w:sz w:val="20"/>
          <w:szCs w:val="20"/>
          <w:lang w:val="en-US"/>
        </w:rPr>
        <w:t xml:space="preserve"> and </w:t>
      </w:r>
      <w:r w:rsidRPr="00D869E3">
        <w:rPr>
          <w:rFonts w:ascii="Verdana" w:hAnsi="Verdana"/>
          <w:sz w:val="20"/>
          <w:szCs w:val="20"/>
          <w:lang w:val="en-US"/>
        </w:rPr>
        <w:t>these relate to the right to organize trade unions and join them</w:t>
      </w:r>
      <w:r w:rsidR="003C2143" w:rsidRPr="00D869E3">
        <w:rPr>
          <w:rStyle w:val="Refdenotaalpie"/>
          <w:szCs w:val="20"/>
          <w:lang w:val="en-US"/>
        </w:rPr>
        <w:footnoteReference w:id="405"/>
      </w:r>
      <w:r w:rsidR="00687684" w:rsidRPr="00D869E3">
        <w:rPr>
          <w:rFonts w:ascii="Verdana" w:hAnsi="Verdana"/>
          <w:sz w:val="20"/>
          <w:szCs w:val="20"/>
          <w:lang w:val="en-US"/>
        </w:rPr>
        <w:t xml:space="preserve"> and </w:t>
      </w:r>
      <w:r w:rsidR="000B2E5E" w:rsidRPr="00D869E3">
        <w:rPr>
          <w:rFonts w:ascii="Verdana" w:hAnsi="Verdana"/>
          <w:sz w:val="20"/>
          <w:szCs w:val="20"/>
          <w:lang w:val="en-US"/>
        </w:rPr>
        <w:t>the right to</w:t>
      </w:r>
      <w:r w:rsidR="003C2143" w:rsidRPr="00D869E3">
        <w:rPr>
          <w:rFonts w:ascii="Verdana" w:hAnsi="Verdana"/>
          <w:sz w:val="20"/>
          <w:szCs w:val="20"/>
          <w:lang w:val="en-US"/>
        </w:rPr>
        <w:t xml:space="preserve"> </w:t>
      </w:r>
      <w:r w:rsidRPr="00D869E3">
        <w:rPr>
          <w:rFonts w:ascii="Verdana" w:hAnsi="Verdana"/>
          <w:sz w:val="20"/>
          <w:szCs w:val="20"/>
          <w:lang w:val="en-US"/>
        </w:rPr>
        <w:t>education.</w:t>
      </w:r>
      <w:r w:rsidR="003C2143" w:rsidRPr="00D869E3">
        <w:rPr>
          <w:rStyle w:val="Refdenotaalpie"/>
          <w:szCs w:val="20"/>
          <w:lang w:val="en-US"/>
        </w:rPr>
        <w:footnoteReference w:id="406"/>
      </w:r>
      <w:r w:rsidR="003C2143" w:rsidRPr="00D869E3">
        <w:rPr>
          <w:rFonts w:ascii="Verdana" w:hAnsi="Verdana"/>
          <w:sz w:val="20"/>
          <w:szCs w:val="20"/>
          <w:lang w:val="en-US"/>
        </w:rPr>
        <w:t xml:space="preserve"> </w:t>
      </w:r>
      <w:r w:rsidRPr="00D869E3">
        <w:rPr>
          <w:rFonts w:ascii="Verdana" w:hAnsi="Verdana"/>
          <w:sz w:val="20"/>
          <w:szCs w:val="20"/>
          <w:lang w:val="en-US"/>
        </w:rPr>
        <w:t>Regarding</w:t>
      </w:r>
      <w:r w:rsidR="003C2143" w:rsidRPr="00D869E3">
        <w:rPr>
          <w:rFonts w:ascii="Verdana" w:hAnsi="Verdana"/>
          <w:sz w:val="20"/>
          <w:szCs w:val="20"/>
          <w:lang w:val="en-US"/>
        </w:rPr>
        <w:t xml:space="preserve"> </w:t>
      </w:r>
      <w:r w:rsidR="00414B6B" w:rsidRPr="00D869E3">
        <w:rPr>
          <w:rFonts w:ascii="Verdana" w:hAnsi="Verdana"/>
          <w:sz w:val="20"/>
          <w:szCs w:val="20"/>
          <w:lang w:val="en-US"/>
        </w:rPr>
        <w:t xml:space="preserve">the </w:t>
      </w:r>
      <w:r w:rsidR="00301DBE" w:rsidRPr="00D869E3">
        <w:rPr>
          <w:rFonts w:ascii="Verdana" w:hAnsi="Verdana"/>
          <w:sz w:val="20"/>
          <w:szCs w:val="20"/>
          <w:lang w:val="en-US"/>
        </w:rPr>
        <w:t>right to work</w:t>
      </w:r>
      <w:r w:rsidR="003C2143" w:rsidRPr="00D869E3">
        <w:rPr>
          <w:rFonts w:ascii="Verdana" w:hAnsi="Verdana"/>
          <w:sz w:val="20"/>
          <w:szCs w:val="20"/>
          <w:lang w:val="en-US"/>
        </w:rPr>
        <w:t xml:space="preserve">, </w:t>
      </w:r>
      <w:r w:rsidRPr="00D869E3">
        <w:rPr>
          <w:rFonts w:ascii="Verdana" w:hAnsi="Verdana"/>
          <w:sz w:val="20"/>
          <w:szCs w:val="20"/>
          <w:lang w:val="en-US"/>
        </w:rPr>
        <w:t>although</w:t>
      </w:r>
      <w:r w:rsidR="00254C79" w:rsidRPr="00D869E3">
        <w:rPr>
          <w:rFonts w:ascii="Verdana" w:hAnsi="Verdana"/>
          <w:sz w:val="20"/>
          <w:szCs w:val="20"/>
          <w:lang w:val="en-US"/>
        </w:rPr>
        <w:t xml:space="preserve"> </w:t>
      </w:r>
      <w:r w:rsidRPr="00D869E3">
        <w:rPr>
          <w:rFonts w:ascii="Verdana" w:hAnsi="Verdana"/>
          <w:sz w:val="20"/>
          <w:szCs w:val="20"/>
          <w:lang w:val="en-US"/>
        </w:rPr>
        <w:t xml:space="preserve">it has been recognized and even judicialized, this has only been done partially; that is, as regards the right to organize trade unions and to joint them. Nothing else. The other issues involved, including the possible violation of the right to job security, which is not mentioned in the said Protocol, are consequently excluded from being submitted to the Court’s consideration and </w:t>
      </w:r>
      <w:r w:rsidR="00254C79" w:rsidRPr="00D869E3">
        <w:rPr>
          <w:rFonts w:ascii="Verdana" w:hAnsi="Verdana"/>
          <w:sz w:val="20"/>
          <w:szCs w:val="20"/>
          <w:lang w:val="en-US"/>
        </w:rPr>
        <w:t>decision</w:t>
      </w:r>
      <w:r w:rsidRPr="00D869E3">
        <w:rPr>
          <w:rFonts w:ascii="Verdana" w:hAnsi="Verdana"/>
          <w:sz w:val="20"/>
          <w:szCs w:val="20"/>
          <w:lang w:val="en-US"/>
        </w:rPr>
        <w:t xml:space="preserve">. If </w:t>
      </w:r>
      <w:r w:rsidR="00587255" w:rsidRPr="00D869E3">
        <w:rPr>
          <w:rFonts w:ascii="Verdana" w:hAnsi="Verdana"/>
          <w:sz w:val="20"/>
          <w:szCs w:val="20"/>
          <w:lang w:val="en-US"/>
        </w:rPr>
        <w:t>the</w:t>
      </w:r>
      <w:r w:rsidR="00254C79" w:rsidRPr="00D869E3">
        <w:rPr>
          <w:rFonts w:ascii="Verdana" w:hAnsi="Verdana"/>
          <w:sz w:val="20"/>
          <w:szCs w:val="20"/>
          <w:lang w:val="en-US"/>
        </w:rPr>
        <w:t>re was a</w:t>
      </w:r>
      <w:r w:rsidR="00587255" w:rsidRPr="00D869E3">
        <w:rPr>
          <w:rFonts w:ascii="Verdana" w:hAnsi="Verdana"/>
          <w:sz w:val="20"/>
          <w:szCs w:val="20"/>
          <w:lang w:val="en-US"/>
        </w:rPr>
        <w:t xml:space="preserve"> possibility that violations of the right to work and the right to job security could be submitted to, examined and decided by the Court under Article 26 of the Convention, the provisions of the Protocol of San Salvador would be pointless.</w:t>
      </w:r>
    </w:p>
    <w:p w14:paraId="3291D366" w14:textId="77777777" w:rsidR="003C2143" w:rsidRPr="00D869E3" w:rsidRDefault="003C2143" w:rsidP="003C2143">
      <w:pPr>
        <w:jc w:val="both"/>
        <w:rPr>
          <w:rFonts w:ascii="Verdana" w:hAnsi="Verdana"/>
          <w:sz w:val="20"/>
          <w:szCs w:val="20"/>
          <w:lang w:val="en-US"/>
        </w:rPr>
      </w:pPr>
    </w:p>
    <w:p w14:paraId="1F67AEFF" w14:textId="02909D89" w:rsidR="003C2143" w:rsidRPr="00D869E3" w:rsidRDefault="003C2143" w:rsidP="003C2143">
      <w:pPr>
        <w:jc w:val="both"/>
        <w:rPr>
          <w:rFonts w:ascii="Verdana" w:hAnsi="Verdana"/>
          <w:b/>
          <w:sz w:val="20"/>
          <w:szCs w:val="20"/>
          <w:lang w:val="en-US"/>
        </w:rPr>
      </w:pPr>
      <w:r w:rsidRPr="00D869E3">
        <w:rPr>
          <w:rFonts w:ascii="Verdana" w:hAnsi="Verdana"/>
          <w:b/>
          <w:sz w:val="20"/>
          <w:szCs w:val="20"/>
          <w:lang w:val="en-US"/>
        </w:rPr>
        <w:t xml:space="preserve">II. </w:t>
      </w:r>
      <w:r w:rsidR="00214130" w:rsidRPr="00D869E3">
        <w:rPr>
          <w:rFonts w:ascii="Verdana" w:hAnsi="Verdana"/>
          <w:b/>
          <w:sz w:val="20"/>
          <w:szCs w:val="20"/>
          <w:lang w:val="en-US"/>
        </w:rPr>
        <w:t xml:space="preserve">THE INTERPRETATION OF ARTICLE </w:t>
      </w:r>
      <w:r w:rsidRPr="00D869E3">
        <w:rPr>
          <w:rFonts w:ascii="Verdana" w:hAnsi="Verdana"/>
          <w:b/>
          <w:sz w:val="20"/>
          <w:szCs w:val="20"/>
          <w:lang w:val="en-US"/>
        </w:rPr>
        <w:t>26</w:t>
      </w:r>
    </w:p>
    <w:p w14:paraId="67B1364A" w14:textId="77777777" w:rsidR="003C2143" w:rsidRPr="00D869E3" w:rsidRDefault="003C2143" w:rsidP="003C2143">
      <w:pPr>
        <w:jc w:val="both"/>
        <w:rPr>
          <w:rFonts w:ascii="Verdana" w:hAnsi="Verdana"/>
          <w:b/>
          <w:sz w:val="20"/>
          <w:szCs w:val="20"/>
          <w:lang w:val="en-US"/>
        </w:rPr>
      </w:pPr>
    </w:p>
    <w:p w14:paraId="147CA3EE" w14:textId="78FA4818" w:rsidR="003C2143" w:rsidRPr="00D869E3" w:rsidRDefault="00587255" w:rsidP="003C2143">
      <w:pPr>
        <w:jc w:val="both"/>
        <w:rPr>
          <w:rFonts w:ascii="Verdana" w:hAnsi="Verdana"/>
          <w:sz w:val="20"/>
          <w:szCs w:val="20"/>
          <w:lang w:val="en-US"/>
        </w:rPr>
      </w:pPr>
      <w:r w:rsidRPr="00D869E3">
        <w:rPr>
          <w:rFonts w:ascii="Verdana" w:hAnsi="Verdana"/>
          <w:sz w:val="20"/>
          <w:szCs w:val="20"/>
          <w:lang w:val="en-US"/>
        </w:rPr>
        <w:t>Based on the foregoing and considering that the judgment founds its decision in the fifth operative paragraph</w:t>
      </w:r>
      <w:r w:rsidR="003C2143" w:rsidRPr="00D869E3">
        <w:rPr>
          <w:rStyle w:val="Refdenotaalpie"/>
          <w:szCs w:val="20"/>
          <w:lang w:val="en-US"/>
        </w:rPr>
        <w:footnoteReference w:id="407"/>
      </w:r>
      <w:r w:rsidR="003C2143" w:rsidRPr="00D869E3">
        <w:rPr>
          <w:rFonts w:ascii="Verdana" w:hAnsi="Verdana"/>
          <w:sz w:val="20"/>
          <w:szCs w:val="20"/>
          <w:lang w:val="en-US"/>
        </w:rPr>
        <w:t xml:space="preserve"> </w:t>
      </w:r>
      <w:r w:rsidRPr="00D869E3">
        <w:rPr>
          <w:rFonts w:ascii="Verdana" w:hAnsi="Verdana"/>
          <w:sz w:val="20"/>
          <w:szCs w:val="20"/>
          <w:lang w:val="en-US"/>
        </w:rPr>
        <w:t>o</w:t>
      </w:r>
      <w:r w:rsidR="003C2143" w:rsidRPr="00D869E3">
        <w:rPr>
          <w:rFonts w:ascii="Verdana" w:hAnsi="Verdana"/>
          <w:sz w:val="20"/>
          <w:szCs w:val="20"/>
          <w:lang w:val="en-US"/>
        </w:rPr>
        <w:t xml:space="preserve">n </w:t>
      </w:r>
      <w:r w:rsidR="00447C65" w:rsidRPr="00D869E3">
        <w:rPr>
          <w:rFonts w:ascii="Verdana" w:hAnsi="Verdana"/>
          <w:sz w:val="20"/>
          <w:szCs w:val="20"/>
          <w:lang w:val="en-US"/>
        </w:rPr>
        <w:t>Article</w:t>
      </w:r>
      <w:r w:rsidR="003C2143" w:rsidRPr="00D869E3">
        <w:rPr>
          <w:rFonts w:ascii="Verdana" w:hAnsi="Verdana"/>
          <w:sz w:val="20"/>
          <w:szCs w:val="20"/>
          <w:lang w:val="en-US"/>
        </w:rPr>
        <w:t xml:space="preserve"> 26</w:t>
      </w:r>
      <w:r w:rsidR="00447C65" w:rsidRPr="00D869E3">
        <w:rPr>
          <w:rFonts w:ascii="Verdana" w:hAnsi="Verdana"/>
          <w:sz w:val="20"/>
          <w:szCs w:val="20"/>
          <w:lang w:val="en-US"/>
        </w:rPr>
        <w:t xml:space="preserve"> of the Convention</w:t>
      </w:r>
      <w:r w:rsidRPr="00D869E3">
        <w:rPr>
          <w:rFonts w:ascii="Verdana" w:hAnsi="Verdana"/>
          <w:sz w:val="20"/>
          <w:szCs w:val="20"/>
          <w:lang w:val="en-US"/>
        </w:rPr>
        <w:t>,</w:t>
      </w:r>
      <w:r w:rsidR="003C2143" w:rsidRPr="00D869E3">
        <w:rPr>
          <w:rStyle w:val="Refdenotaalpie"/>
          <w:szCs w:val="20"/>
          <w:lang w:val="en-US"/>
        </w:rPr>
        <w:footnoteReference w:id="408"/>
      </w:r>
      <w:r w:rsidRPr="00D869E3">
        <w:rPr>
          <w:rFonts w:ascii="Verdana" w:hAnsi="Verdana"/>
          <w:sz w:val="20"/>
          <w:szCs w:val="20"/>
          <w:lang w:val="en-US"/>
        </w:rPr>
        <w:t xml:space="preserve"> it is necessary to interpret this article, refer to the preparatory work, analyze the rights referred to, and derive the consequences</w:t>
      </w:r>
      <w:r w:rsidR="00254C79" w:rsidRPr="00D869E3">
        <w:rPr>
          <w:rFonts w:ascii="Verdana" w:hAnsi="Verdana"/>
          <w:sz w:val="20"/>
          <w:szCs w:val="20"/>
          <w:lang w:val="en-US"/>
        </w:rPr>
        <w:t xml:space="preserve"> of the decision taken </w:t>
      </w:r>
      <w:r w:rsidRPr="00D869E3">
        <w:rPr>
          <w:rFonts w:ascii="Verdana" w:hAnsi="Verdana"/>
          <w:sz w:val="20"/>
          <w:szCs w:val="20"/>
          <w:lang w:val="en-US"/>
        </w:rPr>
        <w:t>in this regard in the judgment</w:t>
      </w:r>
      <w:r w:rsidR="003C2143" w:rsidRPr="00D869E3">
        <w:rPr>
          <w:rFonts w:ascii="Verdana" w:hAnsi="Verdana"/>
          <w:sz w:val="20"/>
          <w:szCs w:val="20"/>
          <w:lang w:val="en-US"/>
        </w:rPr>
        <w:t>.</w:t>
      </w:r>
    </w:p>
    <w:p w14:paraId="0CA99C48" w14:textId="4C89CAD0" w:rsidR="003C2143" w:rsidRPr="00D869E3" w:rsidRDefault="00BE48D3" w:rsidP="00BE48D3">
      <w:pPr>
        <w:tabs>
          <w:tab w:val="left" w:pos="2499"/>
        </w:tabs>
        <w:jc w:val="both"/>
        <w:rPr>
          <w:rFonts w:ascii="Verdana" w:hAnsi="Verdana"/>
          <w:sz w:val="20"/>
          <w:szCs w:val="20"/>
          <w:lang w:val="en-US"/>
        </w:rPr>
      </w:pPr>
      <w:r w:rsidRPr="00D869E3">
        <w:rPr>
          <w:rFonts w:ascii="Verdana" w:hAnsi="Verdana"/>
          <w:sz w:val="20"/>
          <w:szCs w:val="20"/>
          <w:lang w:val="en-US"/>
        </w:rPr>
        <w:tab/>
      </w:r>
    </w:p>
    <w:p w14:paraId="61DD402F" w14:textId="3C844B8C" w:rsidR="003C2143" w:rsidRPr="00D869E3" w:rsidRDefault="00587255" w:rsidP="003C2143">
      <w:pPr>
        <w:pStyle w:val="Prrafodelista"/>
        <w:numPr>
          <w:ilvl w:val="0"/>
          <w:numId w:val="31"/>
        </w:numPr>
        <w:jc w:val="both"/>
        <w:rPr>
          <w:rFonts w:ascii="Verdana" w:hAnsi="Verdana"/>
          <w:b/>
          <w:sz w:val="20"/>
          <w:szCs w:val="20"/>
          <w:lang w:val="en-US"/>
        </w:rPr>
      </w:pPr>
      <w:r w:rsidRPr="00D869E3">
        <w:rPr>
          <w:rFonts w:ascii="Verdana" w:hAnsi="Verdana"/>
          <w:b/>
          <w:sz w:val="20"/>
          <w:szCs w:val="20"/>
          <w:lang w:val="en-US"/>
        </w:rPr>
        <w:t>The article</w:t>
      </w:r>
    </w:p>
    <w:p w14:paraId="7FF43698" w14:textId="77777777" w:rsidR="003C2143" w:rsidRPr="00D869E3" w:rsidRDefault="003C2143" w:rsidP="003C2143">
      <w:pPr>
        <w:jc w:val="both"/>
        <w:rPr>
          <w:rFonts w:ascii="Verdana" w:hAnsi="Verdana"/>
          <w:sz w:val="20"/>
          <w:szCs w:val="20"/>
          <w:lang w:val="en-US"/>
        </w:rPr>
      </w:pPr>
    </w:p>
    <w:p w14:paraId="56DF5828" w14:textId="2E7352DA" w:rsidR="003C2143" w:rsidRPr="00D869E3" w:rsidRDefault="00587255" w:rsidP="003C2143">
      <w:pPr>
        <w:jc w:val="both"/>
        <w:rPr>
          <w:rFonts w:ascii="Verdana" w:hAnsi="Verdana"/>
          <w:sz w:val="20"/>
          <w:szCs w:val="20"/>
          <w:lang w:val="en-US"/>
        </w:rPr>
      </w:pPr>
      <w:r w:rsidRPr="00D869E3">
        <w:rPr>
          <w:rFonts w:ascii="Verdana" w:hAnsi="Verdana"/>
          <w:sz w:val="20"/>
          <w:szCs w:val="20"/>
          <w:lang w:val="en-US"/>
        </w:rPr>
        <w:t>A</w:t>
      </w:r>
      <w:r w:rsidR="00214130" w:rsidRPr="00D869E3">
        <w:rPr>
          <w:rFonts w:ascii="Verdana" w:hAnsi="Verdana"/>
          <w:sz w:val="20"/>
          <w:szCs w:val="20"/>
          <w:lang w:val="en-US"/>
        </w:rPr>
        <w:t>s indicated,</w:t>
      </w:r>
      <w:r w:rsidR="003C2143" w:rsidRPr="00D869E3">
        <w:rPr>
          <w:rStyle w:val="Refdenotaalpie"/>
          <w:szCs w:val="20"/>
          <w:lang w:val="en-US"/>
        </w:rPr>
        <w:footnoteReference w:id="409"/>
      </w:r>
      <w:r w:rsidR="003C2143" w:rsidRPr="00D869E3">
        <w:rPr>
          <w:rFonts w:ascii="Verdana" w:hAnsi="Verdana"/>
          <w:sz w:val="20"/>
          <w:szCs w:val="20"/>
          <w:lang w:val="en-US"/>
        </w:rPr>
        <w:t xml:space="preserve"> </w:t>
      </w:r>
      <w:r w:rsidRPr="00D869E3">
        <w:rPr>
          <w:rFonts w:ascii="Verdana" w:hAnsi="Verdana"/>
          <w:sz w:val="20"/>
          <w:szCs w:val="20"/>
          <w:lang w:val="en-US"/>
        </w:rPr>
        <w:t xml:space="preserve">the said article </w:t>
      </w:r>
      <w:r w:rsidR="003C2143" w:rsidRPr="00D869E3">
        <w:rPr>
          <w:rFonts w:ascii="Verdana" w:hAnsi="Verdana"/>
          <w:sz w:val="20"/>
          <w:szCs w:val="20"/>
          <w:lang w:val="en-US"/>
        </w:rPr>
        <w:t>establ</w:t>
      </w:r>
      <w:r w:rsidR="00214130" w:rsidRPr="00D869E3">
        <w:rPr>
          <w:rFonts w:ascii="Verdana" w:hAnsi="Verdana"/>
          <w:sz w:val="20"/>
          <w:szCs w:val="20"/>
          <w:lang w:val="en-US"/>
        </w:rPr>
        <w:t>ishes</w:t>
      </w:r>
      <w:r w:rsidR="003C2143" w:rsidRPr="00D869E3">
        <w:rPr>
          <w:rFonts w:ascii="Verdana" w:hAnsi="Verdana"/>
          <w:sz w:val="20"/>
          <w:szCs w:val="20"/>
          <w:lang w:val="en-US"/>
        </w:rPr>
        <w:t>:</w:t>
      </w:r>
    </w:p>
    <w:p w14:paraId="5145E8CC" w14:textId="77777777" w:rsidR="003C2143" w:rsidRPr="00D869E3" w:rsidRDefault="003C2143" w:rsidP="003C2143">
      <w:pPr>
        <w:jc w:val="both"/>
        <w:rPr>
          <w:rFonts w:ascii="Verdana" w:hAnsi="Verdana"/>
          <w:sz w:val="20"/>
          <w:szCs w:val="20"/>
          <w:lang w:val="en-US"/>
        </w:rPr>
      </w:pPr>
    </w:p>
    <w:p w14:paraId="0200B407" w14:textId="48C49F60" w:rsidR="003C2143" w:rsidRPr="00D869E3" w:rsidRDefault="006436CA" w:rsidP="003C2143">
      <w:pPr>
        <w:ind w:left="720" w:right="738"/>
        <w:jc w:val="both"/>
        <w:rPr>
          <w:rFonts w:ascii="Verdana" w:hAnsi="Verdana"/>
          <w:sz w:val="18"/>
          <w:szCs w:val="18"/>
          <w:lang w:val="en-US"/>
        </w:rPr>
      </w:pPr>
      <w:r w:rsidRPr="00D869E3">
        <w:rPr>
          <w:rFonts w:ascii="Verdana" w:hAnsi="Verdana"/>
          <w:sz w:val="18"/>
          <w:szCs w:val="18"/>
          <w:lang w:val="en-US"/>
        </w:rPr>
        <w:lastRenderedPageBreak/>
        <w:t>“</w:t>
      </w:r>
      <w:r w:rsidR="00214130" w:rsidRPr="00D869E3">
        <w:rPr>
          <w:rFonts w:ascii="Verdana" w:hAnsi="Verdana"/>
          <w:sz w:val="18"/>
          <w:szCs w:val="18"/>
          <w:lang w:val="en-US"/>
        </w:rPr>
        <w:t>Progressive Development</w:t>
      </w:r>
      <w:r w:rsidR="003C2143" w:rsidRPr="00D869E3">
        <w:rPr>
          <w:rFonts w:ascii="Verdana" w:hAnsi="Verdana"/>
          <w:sz w:val="18"/>
          <w:szCs w:val="18"/>
          <w:lang w:val="en-US"/>
        </w:rPr>
        <w:t xml:space="preserve">. </w:t>
      </w:r>
      <w:r w:rsidR="00214130" w:rsidRPr="00D869E3">
        <w:rPr>
          <w:rFonts w:ascii="Verdana" w:hAnsi="Verdana"/>
          <w:spacing w:val="-3"/>
          <w:sz w:val="18"/>
          <w:szCs w:val="18"/>
          <w:lang w:val="en-US"/>
        </w:rPr>
        <w:t>The States Parties undertake to adopt measures, both internally and through international cooperation, especially those of an economic and technical nature, with a view to achieving progressively, by legislation or other appropriate means</w:t>
      </w:r>
      <w:r w:rsidR="00022E44" w:rsidRPr="00D869E3">
        <w:rPr>
          <w:rFonts w:ascii="Verdana" w:hAnsi="Verdana"/>
          <w:spacing w:val="-3"/>
          <w:sz w:val="18"/>
          <w:szCs w:val="18"/>
          <w:lang w:val="en-US"/>
        </w:rPr>
        <w:t xml:space="preserve"> and subject to available resources</w:t>
      </w:r>
      <w:r w:rsidR="00214130" w:rsidRPr="00D869E3">
        <w:rPr>
          <w:rFonts w:ascii="Verdana" w:hAnsi="Verdana"/>
          <w:spacing w:val="-3"/>
          <w:sz w:val="18"/>
          <w:szCs w:val="18"/>
          <w:lang w:val="en-US"/>
        </w:rPr>
        <w:t xml:space="preserve">, the full realization of the rights </w:t>
      </w:r>
      <w:r w:rsidR="00022E44" w:rsidRPr="00D869E3">
        <w:rPr>
          <w:rFonts w:ascii="Verdana" w:hAnsi="Verdana"/>
          <w:spacing w:val="-3"/>
          <w:sz w:val="18"/>
          <w:szCs w:val="18"/>
          <w:lang w:val="en-US"/>
        </w:rPr>
        <w:t>derived from</w:t>
      </w:r>
      <w:r w:rsidR="00214130" w:rsidRPr="00D869E3">
        <w:rPr>
          <w:rFonts w:ascii="Verdana" w:hAnsi="Verdana"/>
          <w:spacing w:val="-3"/>
          <w:sz w:val="18"/>
          <w:szCs w:val="18"/>
          <w:lang w:val="en-US"/>
        </w:rPr>
        <w:t xml:space="preserve"> the economic, social, educational, scientific, and cultural standards set forth in the Charter of the Organization of American States as amended by the Protocol of Buenos Aires.</w:t>
      </w:r>
      <w:r w:rsidRPr="00D869E3">
        <w:rPr>
          <w:rFonts w:ascii="Verdana" w:hAnsi="Verdana"/>
          <w:sz w:val="18"/>
          <w:szCs w:val="18"/>
          <w:lang w:val="en-US"/>
        </w:rPr>
        <w:t>”</w:t>
      </w:r>
    </w:p>
    <w:p w14:paraId="700722D1" w14:textId="77777777" w:rsidR="003C2143" w:rsidRPr="00D869E3" w:rsidRDefault="003C2143" w:rsidP="003C2143">
      <w:pPr>
        <w:ind w:left="567"/>
        <w:jc w:val="both"/>
        <w:rPr>
          <w:rFonts w:ascii="Verdana" w:hAnsi="Verdana"/>
          <w:i/>
          <w:sz w:val="20"/>
          <w:szCs w:val="20"/>
          <w:lang w:val="en-US"/>
        </w:rPr>
      </w:pPr>
    </w:p>
    <w:p w14:paraId="5CCFA78F" w14:textId="227C0C96" w:rsidR="003C2143" w:rsidRPr="00D869E3" w:rsidRDefault="00587255" w:rsidP="003C2143">
      <w:pPr>
        <w:jc w:val="both"/>
        <w:rPr>
          <w:rFonts w:ascii="Verdana" w:hAnsi="Verdana"/>
          <w:sz w:val="20"/>
          <w:szCs w:val="20"/>
          <w:lang w:val="en-US"/>
        </w:rPr>
      </w:pPr>
      <w:r w:rsidRPr="00D869E3">
        <w:rPr>
          <w:rFonts w:ascii="Verdana" w:hAnsi="Verdana"/>
          <w:sz w:val="20"/>
          <w:szCs w:val="20"/>
          <w:lang w:val="en-US"/>
        </w:rPr>
        <w:t>In this regard, attention should be drawn to the fact that:</w:t>
      </w:r>
    </w:p>
    <w:p w14:paraId="255BFE7B" w14:textId="77777777" w:rsidR="003C2143" w:rsidRPr="00D869E3" w:rsidRDefault="003C2143" w:rsidP="003C2143">
      <w:pPr>
        <w:jc w:val="both"/>
        <w:rPr>
          <w:rFonts w:ascii="Verdana" w:hAnsi="Verdana"/>
          <w:sz w:val="20"/>
          <w:szCs w:val="20"/>
          <w:lang w:val="en-US"/>
        </w:rPr>
      </w:pPr>
    </w:p>
    <w:p w14:paraId="0DA1230E" w14:textId="75D57837" w:rsidR="00587255" w:rsidRPr="00D869E3" w:rsidRDefault="003C2143" w:rsidP="003C2143">
      <w:pPr>
        <w:jc w:val="both"/>
        <w:rPr>
          <w:rFonts w:ascii="Verdana" w:hAnsi="Verdana"/>
          <w:sz w:val="20"/>
          <w:szCs w:val="20"/>
          <w:lang w:val="en-US"/>
        </w:rPr>
      </w:pPr>
      <w:r w:rsidRPr="00D869E3">
        <w:rPr>
          <w:rFonts w:ascii="Verdana" w:hAnsi="Verdana"/>
          <w:sz w:val="20"/>
          <w:szCs w:val="20"/>
          <w:lang w:val="en-US"/>
        </w:rPr>
        <w:t>a</w:t>
      </w:r>
      <w:r w:rsidR="00022E44" w:rsidRPr="00D869E3">
        <w:rPr>
          <w:rFonts w:ascii="Verdana" w:hAnsi="Verdana"/>
          <w:sz w:val="20"/>
          <w:szCs w:val="20"/>
          <w:lang w:val="en-US"/>
        </w:rPr>
        <w:t>)</w:t>
      </w:r>
      <w:r w:rsidRPr="00D869E3">
        <w:rPr>
          <w:rFonts w:ascii="Verdana" w:hAnsi="Verdana"/>
          <w:sz w:val="20"/>
          <w:szCs w:val="20"/>
          <w:lang w:val="en-US"/>
        </w:rPr>
        <w:t xml:space="preserve"> </w:t>
      </w:r>
      <w:r w:rsidR="00587255" w:rsidRPr="00D869E3">
        <w:rPr>
          <w:rFonts w:ascii="Verdana" w:hAnsi="Verdana"/>
          <w:sz w:val="20"/>
          <w:szCs w:val="20"/>
          <w:lang w:val="en-US"/>
        </w:rPr>
        <w:t>First, this provision establishes a State obligation of action, and not of result, which is “</w:t>
      </w:r>
      <w:r w:rsidR="00587255" w:rsidRPr="00D869E3">
        <w:rPr>
          <w:rFonts w:ascii="Verdana" w:hAnsi="Verdana"/>
          <w:i/>
          <w:iCs/>
          <w:spacing w:val="-3"/>
          <w:sz w:val="20"/>
          <w:szCs w:val="20"/>
          <w:lang w:val="en-US"/>
        </w:rPr>
        <w:t>to adopt measures, both internally and through international cooperation, especially those of an economic and technical nature, with a view to achieving progressively, by legislation or other appropriate means, the full realization of the rights</w:t>
      </w:r>
      <w:r w:rsidR="001029CB" w:rsidRPr="00D869E3">
        <w:rPr>
          <w:rFonts w:ascii="Verdana" w:hAnsi="Verdana"/>
          <w:spacing w:val="-3"/>
          <w:sz w:val="20"/>
          <w:szCs w:val="20"/>
          <w:lang w:val="en-US"/>
        </w:rPr>
        <w:t>” mentioned. Thus, it does not “</w:t>
      </w:r>
      <w:r w:rsidR="001029CB" w:rsidRPr="00D869E3">
        <w:rPr>
          <w:rFonts w:ascii="Verdana" w:hAnsi="Verdana"/>
          <w:i/>
          <w:iCs/>
          <w:spacing w:val="-3"/>
          <w:sz w:val="20"/>
          <w:szCs w:val="20"/>
          <w:lang w:val="en-US"/>
        </w:rPr>
        <w:t>recognize</w:t>
      </w:r>
      <w:r w:rsidR="001029CB" w:rsidRPr="00D869E3">
        <w:rPr>
          <w:rFonts w:ascii="Verdana" w:hAnsi="Verdana"/>
          <w:spacing w:val="-3"/>
          <w:sz w:val="20"/>
          <w:szCs w:val="20"/>
          <w:lang w:val="en-US"/>
        </w:rPr>
        <w:t>” rights; rather it establishes the obligation of the States to achieve certain rights progressively, precisely because they are not fully effective.</w:t>
      </w:r>
    </w:p>
    <w:p w14:paraId="56E3D66B" w14:textId="77777777" w:rsidR="003C2143" w:rsidRPr="00D869E3" w:rsidRDefault="003C2143" w:rsidP="003C2143">
      <w:pPr>
        <w:jc w:val="both"/>
        <w:rPr>
          <w:rFonts w:ascii="Verdana" w:hAnsi="Verdana"/>
          <w:sz w:val="20"/>
          <w:szCs w:val="20"/>
          <w:lang w:val="en-US"/>
        </w:rPr>
      </w:pPr>
    </w:p>
    <w:p w14:paraId="7DA5A92C" w14:textId="5584F929" w:rsidR="003C2143" w:rsidRPr="00D869E3" w:rsidRDefault="003C2143" w:rsidP="003C2143">
      <w:pPr>
        <w:jc w:val="both"/>
        <w:rPr>
          <w:rFonts w:ascii="Verdana" w:hAnsi="Verdana"/>
          <w:sz w:val="20"/>
          <w:szCs w:val="20"/>
          <w:lang w:val="en-US"/>
        </w:rPr>
      </w:pPr>
      <w:r w:rsidRPr="00D869E3">
        <w:rPr>
          <w:rFonts w:ascii="Verdana" w:hAnsi="Verdana"/>
          <w:sz w:val="20"/>
          <w:szCs w:val="20"/>
          <w:lang w:val="en-US"/>
        </w:rPr>
        <w:t>b</w:t>
      </w:r>
      <w:r w:rsidR="00022E44" w:rsidRPr="00D869E3">
        <w:rPr>
          <w:rFonts w:ascii="Verdana" w:hAnsi="Verdana"/>
          <w:sz w:val="20"/>
          <w:szCs w:val="20"/>
          <w:lang w:val="en-US"/>
        </w:rPr>
        <w:t>)</w:t>
      </w:r>
      <w:r w:rsidRPr="00D869E3">
        <w:rPr>
          <w:rFonts w:ascii="Verdana" w:hAnsi="Verdana"/>
          <w:sz w:val="20"/>
          <w:szCs w:val="20"/>
          <w:lang w:val="en-US"/>
        </w:rPr>
        <w:t xml:space="preserve"> </w:t>
      </w:r>
      <w:r w:rsidR="001029CB" w:rsidRPr="00D869E3">
        <w:rPr>
          <w:rFonts w:ascii="Verdana" w:hAnsi="Verdana"/>
          <w:sz w:val="20"/>
          <w:szCs w:val="20"/>
          <w:lang w:val="en-US"/>
        </w:rPr>
        <w:t>Second, this provision refers to “</w:t>
      </w:r>
      <w:r w:rsidR="001029CB" w:rsidRPr="00D869E3">
        <w:rPr>
          <w:rFonts w:ascii="Verdana" w:hAnsi="Verdana"/>
          <w:i/>
          <w:iCs/>
          <w:spacing w:val="-3"/>
          <w:sz w:val="20"/>
          <w:szCs w:val="20"/>
          <w:lang w:val="en-US"/>
        </w:rPr>
        <w:t xml:space="preserve">rights </w:t>
      </w:r>
      <w:r w:rsidR="00022E44" w:rsidRPr="00D869E3">
        <w:rPr>
          <w:rFonts w:ascii="Verdana" w:hAnsi="Verdana"/>
          <w:i/>
          <w:iCs/>
          <w:spacing w:val="-3"/>
          <w:sz w:val="20"/>
          <w:szCs w:val="20"/>
          <w:lang w:val="en-US"/>
        </w:rPr>
        <w:t>derived from</w:t>
      </w:r>
      <w:r w:rsidR="00022E44" w:rsidRPr="00D869E3">
        <w:rPr>
          <w:rFonts w:ascii="Verdana" w:hAnsi="Verdana"/>
          <w:spacing w:val="-3"/>
          <w:sz w:val="18"/>
          <w:szCs w:val="18"/>
          <w:lang w:val="en-US"/>
        </w:rPr>
        <w:t xml:space="preserve"> </w:t>
      </w:r>
      <w:r w:rsidR="001029CB" w:rsidRPr="00D869E3">
        <w:rPr>
          <w:rFonts w:ascii="Verdana" w:hAnsi="Verdana"/>
          <w:i/>
          <w:iCs/>
          <w:spacing w:val="-3"/>
          <w:sz w:val="20"/>
          <w:szCs w:val="20"/>
          <w:lang w:val="en-US"/>
        </w:rPr>
        <w:t>the economic, social, educational, scientific, and cultural standards set forth in the Charter of the Organization of American States</w:t>
      </w:r>
      <w:r w:rsidR="001029CB" w:rsidRPr="00D869E3">
        <w:rPr>
          <w:rFonts w:ascii="Verdana" w:hAnsi="Verdana"/>
          <w:sz w:val="20"/>
          <w:szCs w:val="20"/>
          <w:lang w:val="en-US"/>
        </w:rPr>
        <w:t>”; in other words, rights that emanate from or can be inferred from the provisions of the latter and not that it establishes or recognizes.</w:t>
      </w:r>
    </w:p>
    <w:p w14:paraId="5758092D" w14:textId="77777777" w:rsidR="003C2143" w:rsidRPr="00D869E3" w:rsidRDefault="003C2143" w:rsidP="003C2143">
      <w:pPr>
        <w:jc w:val="both"/>
        <w:rPr>
          <w:rFonts w:ascii="Verdana" w:hAnsi="Verdana"/>
          <w:sz w:val="20"/>
          <w:szCs w:val="20"/>
          <w:lang w:val="en-US"/>
        </w:rPr>
      </w:pPr>
    </w:p>
    <w:p w14:paraId="6764D77D" w14:textId="505A4B86" w:rsidR="003C2143" w:rsidRPr="00D869E3" w:rsidRDefault="003C2143" w:rsidP="003C2143">
      <w:pPr>
        <w:jc w:val="both"/>
        <w:rPr>
          <w:rFonts w:ascii="Verdana" w:hAnsi="Verdana"/>
          <w:sz w:val="20"/>
          <w:szCs w:val="20"/>
          <w:lang w:val="en-US"/>
        </w:rPr>
      </w:pPr>
      <w:r w:rsidRPr="00D869E3">
        <w:rPr>
          <w:rFonts w:ascii="Verdana" w:hAnsi="Verdana"/>
          <w:sz w:val="20"/>
          <w:szCs w:val="20"/>
          <w:lang w:val="en-US"/>
        </w:rPr>
        <w:t>c</w:t>
      </w:r>
      <w:r w:rsidR="00022E44" w:rsidRPr="00D869E3">
        <w:rPr>
          <w:rFonts w:ascii="Verdana" w:hAnsi="Verdana"/>
          <w:sz w:val="20"/>
          <w:szCs w:val="20"/>
          <w:lang w:val="en-US"/>
        </w:rPr>
        <w:t>)</w:t>
      </w:r>
      <w:r w:rsidRPr="00D869E3">
        <w:rPr>
          <w:rFonts w:ascii="Verdana" w:hAnsi="Verdana"/>
          <w:sz w:val="20"/>
          <w:szCs w:val="20"/>
          <w:lang w:val="en-US"/>
        </w:rPr>
        <w:t xml:space="preserve"> </w:t>
      </w:r>
      <w:r w:rsidR="001029CB" w:rsidRPr="00D869E3">
        <w:rPr>
          <w:rFonts w:ascii="Verdana" w:hAnsi="Verdana"/>
          <w:sz w:val="20"/>
          <w:szCs w:val="20"/>
          <w:lang w:val="en-US"/>
        </w:rPr>
        <w:t>Third, the said provision makes compliance with this obligation of action “</w:t>
      </w:r>
      <w:r w:rsidR="001029CB" w:rsidRPr="00D869E3">
        <w:rPr>
          <w:rFonts w:ascii="Verdana" w:hAnsi="Verdana"/>
          <w:i/>
          <w:iCs/>
          <w:spacing w:val="-3"/>
          <w:sz w:val="20"/>
          <w:szCs w:val="20"/>
          <w:lang w:val="en-US"/>
        </w:rPr>
        <w:t>subject to available resources</w:t>
      </w:r>
      <w:r w:rsidR="001029CB" w:rsidRPr="00D869E3">
        <w:rPr>
          <w:rFonts w:ascii="Verdana" w:hAnsi="Verdana"/>
          <w:i/>
          <w:iCs/>
          <w:spacing w:val="-3"/>
          <w:sz w:val="18"/>
          <w:szCs w:val="18"/>
          <w:lang w:val="en-US"/>
        </w:rPr>
        <w:t xml:space="preserve">,” </w:t>
      </w:r>
      <w:r w:rsidR="001029CB" w:rsidRPr="00D869E3">
        <w:rPr>
          <w:rFonts w:ascii="Verdana" w:hAnsi="Verdana"/>
          <w:sz w:val="20"/>
          <w:szCs w:val="20"/>
          <w:lang w:val="en-US"/>
        </w:rPr>
        <w:t>which reinforces the idea that this is not an obligation of result</w:t>
      </w:r>
      <w:r w:rsidRPr="00D869E3">
        <w:rPr>
          <w:rFonts w:ascii="Verdana" w:hAnsi="Verdana"/>
          <w:sz w:val="20"/>
          <w:szCs w:val="20"/>
          <w:lang w:val="en-US"/>
        </w:rPr>
        <w:t xml:space="preserve">. </w:t>
      </w:r>
    </w:p>
    <w:p w14:paraId="22ABD5F1" w14:textId="77777777" w:rsidR="003C2143" w:rsidRPr="00D869E3" w:rsidRDefault="003C2143" w:rsidP="003C2143">
      <w:pPr>
        <w:jc w:val="both"/>
        <w:rPr>
          <w:rFonts w:ascii="Verdana" w:hAnsi="Verdana"/>
          <w:sz w:val="20"/>
          <w:szCs w:val="20"/>
          <w:lang w:val="en-US"/>
        </w:rPr>
      </w:pPr>
    </w:p>
    <w:p w14:paraId="353B37DF" w14:textId="75AFECA6" w:rsidR="003C2143" w:rsidRPr="00D869E3" w:rsidRDefault="003C2143" w:rsidP="003C2143">
      <w:pPr>
        <w:jc w:val="both"/>
        <w:rPr>
          <w:rFonts w:ascii="Verdana" w:hAnsi="Verdana"/>
          <w:sz w:val="20"/>
          <w:szCs w:val="20"/>
          <w:lang w:val="en-US"/>
        </w:rPr>
      </w:pPr>
      <w:r w:rsidRPr="00D869E3">
        <w:rPr>
          <w:rFonts w:ascii="Verdana" w:hAnsi="Verdana"/>
          <w:sz w:val="20"/>
          <w:szCs w:val="20"/>
          <w:lang w:val="en-US"/>
        </w:rPr>
        <w:t>d</w:t>
      </w:r>
      <w:r w:rsidR="00022E44" w:rsidRPr="00D869E3">
        <w:rPr>
          <w:rFonts w:ascii="Verdana" w:hAnsi="Verdana"/>
          <w:sz w:val="20"/>
          <w:szCs w:val="20"/>
          <w:lang w:val="en-US"/>
        </w:rPr>
        <w:t>)</w:t>
      </w:r>
      <w:r w:rsidRPr="00D869E3">
        <w:rPr>
          <w:rFonts w:ascii="Verdana" w:hAnsi="Verdana"/>
          <w:sz w:val="20"/>
          <w:szCs w:val="20"/>
          <w:lang w:val="en-US"/>
        </w:rPr>
        <w:t xml:space="preserve"> </w:t>
      </w:r>
      <w:r w:rsidR="001029CB" w:rsidRPr="00D869E3">
        <w:rPr>
          <w:rFonts w:ascii="Verdana" w:hAnsi="Verdana"/>
          <w:sz w:val="20"/>
          <w:szCs w:val="20"/>
          <w:lang w:val="en-US"/>
        </w:rPr>
        <w:t xml:space="preserve">And, lastly, the said </w:t>
      </w:r>
      <w:r w:rsidR="00447C65" w:rsidRPr="00D869E3">
        <w:rPr>
          <w:rFonts w:ascii="Verdana" w:hAnsi="Verdana"/>
          <w:sz w:val="20"/>
          <w:szCs w:val="20"/>
          <w:lang w:val="en-US"/>
        </w:rPr>
        <w:t>Article</w:t>
      </w:r>
      <w:r w:rsidRPr="00D869E3">
        <w:rPr>
          <w:rFonts w:ascii="Verdana" w:hAnsi="Verdana"/>
          <w:sz w:val="20"/>
          <w:szCs w:val="20"/>
          <w:lang w:val="en-US"/>
        </w:rPr>
        <w:t xml:space="preserve"> 26 indica</w:t>
      </w:r>
      <w:r w:rsidR="001029CB" w:rsidRPr="00D869E3">
        <w:rPr>
          <w:rFonts w:ascii="Verdana" w:hAnsi="Verdana"/>
          <w:sz w:val="20"/>
          <w:szCs w:val="20"/>
          <w:lang w:val="en-US"/>
        </w:rPr>
        <w:t xml:space="preserve">tes the means to comply with the obligation of action that it establishes: namely </w:t>
      </w:r>
      <w:r w:rsidR="001029CB" w:rsidRPr="00D869E3">
        <w:rPr>
          <w:rFonts w:ascii="Verdana" w:hAnsi="Verdana"/>
          <w:i/>
          <w:iCs/>
          <w:sz w:val="20"/>
          <w:szCs w:val="20"/>
          <w:lang w:val="en-US"/>
        </w:rPr>
        <w:t>“</w:t>
      </w:r>
      <w:r w:rsidR="001029CB" w:rsidRPr="00D869E3">
        <w:rPr>
          <w:rFonts w:ascii="Verdana" w:hAnsi="Verdana"/>
          <w:i/>
          <w:iCs/>
          <w:spacing w:val="-3"/>
          <w:sz w:val="20"/>
          <w:szCs w:val="20"/>
          <w:lang w:val="en-US"/>
        </w:rPr>
        <w:t>by legislation or other appropriate means</w:t>
      </w:r>
      <w:r w:rsidR="001029CB" w:rsidRPr="00D869E3">
        <w:rPr>
          <w:rFonts w:ascii="Verdana" w:hAnsi="Verdana"/>
          <w:spacing w:val="-3"/>
          <w:sz w:val="18"/>
          <w:szCs w:val="18"/>
          <w:lang w:val="en-US"/>
        </w:rPr>
        <w:t xml:space="preserve">.” </w:t>
      </w:r>
      <w:r w:rsidR="001029CB" w:rsidRPr="00D869E3">
        <w:rPr>
          <w:rFonts w:ascii="Verdana" w:hAnsi="Verdana"/>
          <w:sz w:val="20"/>
          <w:szCs w:val="20"/>
          <w:lang w:val="en-US"/>
        </w:rPr>
        <w:t xml:space="preserve">Thus </w:t>
      </w:r>
      <w:r w:rsidR="00022E44" w:rsidRPr="00D869E3">
        <w:rPr>
          <w:rFonts w:ascii="Verdana" w:hAnsi="Verdana"/>
          <w:sz w:val="20"/>
          <w:szCs w:val="20"/>
          <w:lang w:val="en-US"/>
        </w:rPr>
        <w:t xml:space="preserve">– </w:t>
      </w:r>
      <w:r w:rsidR="001029CB" w:rsidRPr="00D869E3">
        <w:rPr>
          <w:rFonts w:ascii="Verdana" w:hAnsi="Verdana"/>
          <w:sz w:val="20"/>
          <w:szCs w:val="20"/>
          <w:lang w:val="en-US"/>
        </w:rPr>
        <w:t>and as it</w:t>
      </w:r>
      <w:r w:rsidR="00022E44" w:rsidRPr="00D869E3">
        <w:rPr>
          <w:rFonts w:ascii="Verdana" w:hAnsi="Verdana"/>
          <w:sz w:val="20"/>
          <w:szCs w:val="20"/>
          <w:lang w:val="en-US"/>
        </w:rPr>
        <w:t>s</w:t>
      </w:r>
      <w:r w:rsidR="001029CB" w:rsidRPr="00D869E3">
        <w:rPr>
          <w:rFonts w:ascii="Verdana" w:hAnsi="Verdana"/>
          <w:sz w:val="20"/>
          <w:szCs w:val="20"/>
          <w:lang w:val="en-US"/>
        </w:rPr>
        <w:t xml:space="preserve"> title indicates – the article refers to the “</w:t>
      </w:r>
      <w:r w:rsidR="001029CB" w:rsidRPr="00D869E3">
        <w:rPr>
          <w:rFonts w:ascii="Verdana" w:hAnsi="Verdana"/>
          <w:i/>
          <w:iCs/>
          <w:sz w:val="20"/>
          <w:szCs w:val="20"/>
          <w:lang w:val="en-US"/>
        </w:rPr>
        <w:t>Progressive Development</w:t>
      </w:r>
      <w:r w:rsidR="001029CB" w:rsidRPr="00D869E3">
        <w:rPr>
          <w:rFonts w:ascii="Verdana" w:hAnsi="Verdana"/>
          <w:sz w:val="20"/>
          <w:szCs w:val="20"/>
          <w:lang w:val="en-US"/>
        </w:rPr>
        <w:t>” of the said rights which</w:t>
      </w:r>
      <w:r w:rsidR="00022E44" w:rsidRPr="00D869E3">
        <w:rPr>
          <w:rFonts w:ascii="Verdana" w:hAnsi="Verdana"/>
          <w:sz w:val="20"/>
          <w:szCs w:val="20"/>
          <w:lang w:val="en-US"/>
        </w:rPr>
        <w:t>,</w:t>
      </w:r>
      <w:r w:rsidR="001029CB" w:rsidRPr="00D869E3">
        <w:rPr>
          <w:rFonts w:ascii="Verdana" w:hAnsi="Verdana"/>
          <w:sz w:val="20"/>
          <w:szCs w:val="20"/>
          <w:lang w:val="en-US"/>
        </w:rPr>
        <w:t xml:space="preserve"> </w:t>
      </w:r>
      <w:r w:rsidR="00CF7C9C" w:rsidRPr="00D869E3">
        <w:rPr>
          <w:rFonts w:ascii="Verdana" w:hAnsi="Verdana"/>
          <w:sz w:val="20"/>
          <w:szCs w:val="20"/>
          <w:lang w:val="en-US"/>
        </w:rPr>
        <w:t xml:space="preserve">although it concurs with the obligation established in </w:t>
      </w:r>
      <w:r w:rsidR="00447C65" w:rsidRPr="00D869E3">
        <w:rPr>
          <w:rFonts w:ascii="Verdana" w:hAnsi="Verdana"/>
          <w:sz w:val="20"/>
          <w:szCs w:val="20"/>
          <w:lang w:val="en-US"/>
        </w:rPr>
        <w:t>Article</w:t>
      </w:r>
      <w:r w:rsidRPr="00D869E3">
        <w:rPr>
          <w:rFonts w:ascii="Verdana" w:hAnsi="Verdana"/>
          <w:sz w:val="20"/>
          <w:szCs w:val="20"/>
          <w:lang w:val="en-US"/>
        </w:rPr>
        <w:t xml:space="preserve"> 2</w:t>
      </w:r>
      <w:r w:rsidR="00447C65" w:rsidRPr="00D869E3">
        <w:rPr>
          <w:rFonts w:ascii="Verdana" w:hAnsi="Verdana"/>
          <w:sz w:val="20"/>
          <w:szCs w:val="20"/>
          <w:lang w:val="en-US"/>
        </w:rPr>
        <w:t xml:space="preserve"> of the Convention</w:t>
      </w:r>
      <w:r w:rsidR="00CF7C9C" w:rsidRPr="00D869E3">
        <w:rPr>
          <w:rFonts w:ascii="Verdana" w:hAnsi="Verdana"/>
          <w:sz w:val="20"/>
          <w:szCs w:val="20"/>
          <w:lang w:val="en-US"/>
        </w:rPr>
        <w:t>,</w:t>
      </w:r>
      <w:r w:rsidRPr="00D869E3">
        <w:rPr>
          <w:rStyle w:val="Refdenotaalpie"/>
          <w:szCs w:val="20"/>
          <w:lang w:val="en-US"/>
        </w:rPr>
        <w:footnoteReference w:id="410"/>
      </w:r>
      <w:r w:rsidR="00CF7C9C" w:rsidRPr="00D869E3">
        <w:rPr>
          <w:rFonts w:ascii="Verdana" w:hAnsi="Verdana"/>
          <w:sz w:val="20"/>
          <w:szCs w:val="20"/>
          <w:lang w:val="en-US"/>
        </w:rPr>
        <w:t xml:space="preserve"> </w:t>
      </w:r>
      <w:r w:rsidR="00022E44" w:rsidRPr="00D869E3">
        <w:rPr>
          <w:rFonts w:ascii="Verdana" w:hAnsi="Verdana"/>
          <w:sz w:val="20"/>
          <w:szCs w:val="20"/>
          <w:lang w:val="en-US"/>
        </w:rPr>
        <w:t xml:space="preserve">evidently </w:t>
      </w:r>
      <w:r w:rsidR="00CF7C9C" w:rsidRPr="00D869E3">
        <w:rPr>
          <w:rFonts w:ascii="Verdana" w:hAnsi="Verdana"/>
          <w:sz w:val="20"/>
          <w:szCs w:val="20"/>
          <w:lang w:val="en-US"/>
        </w:rPr>
        <w:t>does not constitute, in any way, grounds for asserting that it is possible to submit a case to the Court that involves the presumed violation of any of the rights to which the article refers.</w:t>
      </w:r>
    </w:p>
    <w:p w14:paraId="3BDB3E21" w14:textId="77777777" w:rsidR="003C2143" w:rsidRPr="00D869E3" w:rsidRDefault="003C2143" w:rsidP="003C2143">
      <w:pPr>
        <w:jc w:val="both"/>
        <w:rPr>
          <w:rFonts w:ascii="Verdana" w:hAnsi="Verdana"/>
          <w:sz w:val="20"/>
          <w:szCs w:val="20"/>
          <w:lang w:val="en-US"/>
        </w:rPr>
      </w:pPr>
    </w:p>
    <w:p w14:paraId="64EB42D7" w14:textId="242B34EA" w:rsidR="003C2143" w:rsidRPr="00D869E3" w:rsidRDefault="00CF7C9C" w:rsidP="003C2143">
      <w:pPr>
        <w:jc w:val="both"/>
        <w:rPr>
          <w:rFonts w:ascii="Verdana" w:hAnsi="Verdana"/>
          <w:sz w:val="20"/>
          <w:szCs w:val="20"/>
          <w:lang w:val="en-US"/>
        </w:rPr>
      </w:pPr>
      <w:r w:rsidRPr="00D869E3">
        <w:rPr>
          <w:rFonts w:ascii="Verdana" w:hAnsi="Verdana"/>
          <w:sz w:val="20"/>
          <w:szCs w:val="20"/>
          <w:lang w:val="en-US"/>
        </w:rPr>
        <w:t xml:space="preserve">Consequently, it is </w:t>
      </w:r>
      <w:r w:rsidR="00022E44" w:rsidRPr="00D869E3">
        <w:rPr>
          <w:rFonts w:ascii="Verdana" w:hAnsi="Verdana"/>
          <w:sz w:val="20"/>
          <w:szCs w:val="20"/>
          <w:lang w:val="en-US"/>
        </w:rPr>
        <w:t>plain</w:t>
      </w:r>
      <w:r w:rsidRPr="00D869E3">
        <w:rPr>
          <w:rFonts w:ascii="Verdana" w:hAnsi="Verdana"/>
          <w:sz w:val="20"/>
          <w:szCs w:val="20"/>
          <w:lang w:val="en-US"/>
        </w:rPr>
        <w:t xml:space="preserve"> that the said rights are different from those regulated by the Convention in its </w:t>
      </w:r>
      <w:r w:rsidR="00447C65" w:rsidRPr="00D869E3">
        <w:rPr>
          <w:rFonts w:ascii="Verdana" w:hAnsi="Verdana"/>
          <w:sz w:val="20"/>
          <w:szCs w:val="20"/>
          <w:lang w:val="en-US"/>
        </w:rPr>
        <w:t>Article</w:t>
      </w:r>
      <w:r w:rsidR="003C2143" w:rsidRPr="00D869E3">
        <w:rPr>
          <w:rFonts w:ascii="Verdana" w:hAnsi="Verdana"/>
          <w:sz w:val="20"/>
          <w:szCs w:val="20"/>
          <w:lang w:val="en-US"/>
        </w:rPr>
        <w:t xml:space="preserve">s 3 </w:t>
      </w:r>
      <w:r w:rsidRPr="00D869E3">
        <w:rPr>
          <w:rFonts w:ascii="Verdana" w:hAnsi="Verdana"/>
          <w:sz w:val="20"/>
          <w:szCs w:val="20"/>
          <w:lang w:val="en-US"/>
        </w:rPr>
        <w:t>to</w:t>
      </w:r>
      <w:r w:rsidR="003C2143" w:rsidRPr="00D869E3">
        <w:rPr>
          <w:rFonts w:ascii="Verdana" w:hAnsi="Verdana"/>
          <w:sz w:val="20"/>
          <w:szCs w:val="20"/>
          <w:lang w:val="en-US"/>
        </w:rPr>
        <w:t xml:space="preserve"> 25 </w:t>
      </w:r>
      <w:r w:rsidRPr="00D869E3">
        <w:rPr>
          <w:rFonts w:ascii="Verdana" w:hAnsi="Verdana"/>
          <w:sz w:val="20"/>
          <w:szCs w:val="20"/>
          <w:lang w:val="en-US"/>
        </w:rPr>
        <w:t xml:space="preserve">cited above – that is the </w:t>
      </w:r>
      <w:r w:rsidR="006436CA" w:rsidRPr="00D869E3">
        <w:rPr>
          <w:rFonts w:ascii="Verdana" w:hAnsi="Verdana"/>
          <w:sz w:val="20"/>
          <w:szCs w:val="20"/>
          <w:lang w:val="en-US"/>
        </w:rPr>
        <w:t>“</w:t>
      </w:r>
      <w:r w:rsidRPr="00D869E3">
        <w:rPr>
          <w:rFonts w:ascii="Verdana" w:hAnsi="Verdana"/>
          <w:i/>
          <w:sz w:val="20"/>
          <w:szCs w:val="20"/>
          <w:lang w:val="en-US"/>
        </w:rPr>
        <w:t>c</w:t>
      </w:r>
      <w:r w:rsidR="003C2143" w:rsidRPr="00D869E3">
        <w:rPr>
          <w:rFonts w:ascii="Verdana" w:hAnsi="Verdana"/>
          <w:i/>
          <w:sz w:val="20"/>
          <w:szCs w:val="20"/>
          <w:lang w:val="en-US"/>
        </w:rPr>
        <w:t>ivil</w:t>
      </w:r>
      <w:r w:rsidRPr="00D869E3">
        <w:rPr>
          <w:rFonts w:ascii="Verdana" w:hAnsi="Verdana"/>
          <w:i/>
          <w:sz w:val="20"/>
          <w:szCs w:val="20"/>
          <w:lang w:val="en-US"/>
        </w:rPr>
        <w:t xml:space="preserve"> and political rights” </w:t>
      </w:r>
      <w:r w:rsidRPr="00D869E3">
        <w:rPr>
          <w:rFonts w:ascii="Verdana" w:hAnsi="Verdana"/>
          <w:sz w:val="20"/>
          <w:szCs w:val="20"/>
          <w:lang w:val="en-US"/>
        </w:rPr>
        <w:t>– and are therefore subject to a different protection regime.</w:t>
      </w:r>
    </w:p>
    <w:p w14:paraId="30701D8E" w14:textId="77777777" w:rsidR="003C2143" w:rsidRPr="00D869E3" w:rsidRDefault="003C2143" w:rsidP="003C2143">
      <w:pPr>
        <w:jc w:val="both"/>
        <w:rPr>
          <w:rFonts w:ascii="Verdana" w:hAnsi="Verdana"/>
          <w:sz w:val="20"/>
          <w:szCs w:val="20"/>
          <w:lang w:val="en-US"/>
        </w:rPr>
      </w:pPr>
    </w:p>
    <w:p w14:paraId="582A9631" w14:textId="7F3A50FF" w:rsidR="003C2143" w:rsidRPr="00D869E3" w:rsidRDefault="00197983" w:rsidP="003C2143">
      <w:pPr>
        <w:pStyle w:val="Prrafodelista"/>
        <w:numPr>
          <w:ilvl w:val="0"/>
          <w:numId w:val="31"/>
        </w:numPr>
        <w:jc w:val="both"/>
        <w:rPr>
          <w:rFonts w:ascii="Verdana" w:hAnsi="Verdana"/>
          <w:b/>
          <w:sz w:val="20"/>
          <w:szCs w:val="20"/>
          <w:lang w:val="en-US"/>
        </w:rPr>
      </w:pPr>
      <w:r w:rsidRPr="00D869E3">
        <w:rPr>
          <w:rFonts w:ascii="Verdana" w:hAnsi="Verdana"/>
          <w:b/>
          <w:sz w:val="20"/>
          <w:szCs w:val="20"/>
          <w:lang w:val="en-US"/>
        </w:rPr>
        <w:t>Preparatory work</w:t>
      </w:r>
      <w:r w:rsidR="003C2143" w:rsidRPr="00D869E3">
        <w:rPr>
          <w:rStyle w:val="Refdenotaalpie"/>
          <w:b/>
          <w:szCs w:val="20"/>
          <w:lang w:val="en-US"/>
        </w:rPr>
        <w:footnoteReference w:id="411"/>
      </w:r>
    </w:p>
    <w:p w14:paraId="74D0CC2F" w14:textId="77777777" w:rsidR="003C2143" w:rsidRPr="00D869E3" w:rsidRDefault="003C2143" w:rsidP="003C2143">
      <w:pPr>
        <w:jc w:val="both"/>
        <w:rPr>
          <w:rFonts w:ascii="Verdana" w:hAnsi="Verdana"/>
          <w:b/>
          <w:sz w:val="20"/>
          <w:szCs w:val="20"/>
          <w:lang w:val="en-US"/>
        </w:rPr>
      </w:pPr>
    </w:p>
    <w:p w14:paraId="6A053284" w14:textId="10290063" w:rsidR="009F10B0" w:rsidRPr="00D869E3" w:rsidRDefault="009F10B0" w:rsidP="003C2143">
      <w:pPr>
        <w:jc w:val="both"/>
        <w:rPr>
          <w:rFonts w:ascii="Verdana" w:hAnsi="Verdana"/>
          <w:i/>
          <w:sz w:val="20"/>
          <w:szCs w:val="20"/>
          <w:lang w:val="en-US"/>
        </w:rPr>
      </w:pPr>
      <w:r w:rsidRPr="00D869E3">
        <w:rPr>
          <w:rFonts w:ascii="Verdana" w:hAnsi="Verdana"/>
          <w:sz w:val="20"/>
          <w:szCs w:val="20"/>
          <w:lang w:val="en-US"/>
        </w:rPr>
        <w:t xml:space="preserve">It should be noted that </w:t>
      </w:r>
      <w:r w:rsidR="00022E44" w:rsidRPr="00D869E3">
        <w:rPr>
          <w:rFonts w:ascii="Verdana" w:hAnsi="Verdana"/>
          <w:sz w:val="20"/>
          <w:szCs w:val="20"/>
          <w:lang w:val="en-US"/>
        </w:rPr>
        <w:t xml:space="preserve">during </w:t>
      </w:r>
      <w:r w:rsidRPr="00D869E3">
        <w:rPr>
          <w:rFonts w:ascii="Verdana" w:hAnsi="Verdana"/>
          <w:sz w:val="20"/>
          <w:szCs w:val="20"/>
          <w:lang w:val="en-US"/>
        </w:rPr>
        <w:t>the Specialized Inter-American Conference on Human Rights at which the final text of the Convention was adopted, “</w:t>
      </w:r>
      <w:r w:rsidRPr="00D869E3">
        <w:rPr>
          <w:rFonts w:ascii="Verdana" w:hAnsi="Verdana"/>
          <w:i/>
          <w:iCs/>
          <w:sz w:val="20"/>
          <w:szCs w:val="20"/>
          <w:lang w:val="en-US"/>
        </w:rPr>
        <w:t xml:space="preserve">[f]ollowing some discussions in which some of the previous positions were reiterated without reaching a consensus and, in none of </w:t>
      </w:r>
      <w:r w:rsidR="00022E44" w:rsidRPr="00D869E3">
        <w:rPr>
          <w:rFonts w:ascii="Verdana" w:hAnsi="Verdana"/>
          <w:i/>
          <w:iCs/>
          <w:sz w:val="20"/>
          <w:szCs w:val="20"/>
          <w:lang w:val="en-US"/>
        </w:rPr>
        <w:t>which</w:t>
      </w:r>
      <w:r w:rsidRPr="00D869E3">
        <w:rPr>
          <w:rFonts w:ascii="Verdana" w:hAnsi="Verdana"/>
          <w:i/>
          <w:iCs/>
          <w:sz w:val="20"/>
          <w:szCs w:val="20"/>
          <w:lang w:val="en-US"/>
        </w:rPr>
        <w:t>, it was proposed to include the</w:t>
      </w:r>
      <w:r w:rsidRPr="00D869E3">
        <w:rPr>
          <w:rFonts w:ascii="Verdana" w:hAnsi="Verdana"/>
          <w:sz w:val="20"/>
          <w:szCs w:val="20"/>
          <w:lang w:val="en-US"/>
        </w:rPr>
        <w:t xml:space="preserve"> </w:t>
      </w:r>
      <w:r w:rsidR="00ED3FC7" w:rsidRPr="00D869E3">
        <w:rPr>
          <w:rFonts w:ascii="Verdana" w:hAnsi="Verdana"/>
          <w:i/>
          <w:sz w:val="20"/>
          <w:szCs w:val="20"/>
          <w:lang w:val="en-US"/>
        </w:rPr>
        <w:t>economic, social and cultural rights</w:t>
      </w:r>
      <w:r w:rsidR="003C2143" w:rsidRPr="00D869E3">
        <w:rPr>
          <w:rFonts w:ascii="Verdana" w:hAnsi="Verdana"/>
          <w:i/>
          <w:sz w:val="20"/>
          <w:szCs w:val="20"/>
          <w:lang w:val="en-US"/>
        </w:rPr>
        <w:t xml:space="preserve"> </w:t>
      </w:r>
      <w:r w:rsidRPr="00D869E3">
        <w:rPr>
          <w:rFonts w:ascii="Verdana" w:hAnsi="Verdana"/>
          <w:i/>
          <w:sz w:val="20"/>
          <w:szCs w:val="20"/>
          <w:lang w:val="en-US"/>
        </w:rPr>
        <w:t>in the protection regime established for the civil and political rights, a chapter was drafted with two articles.</w:t>
      </w:r>
      <w:r w:rsidR="006436CA" w:rsidRPr="00D869E3">
        <w:rPr>
          <w:rFonts w:ascii="Verdana" w:hAnsi="Verdana"/>
          <w:sz w:val="20"/>
          <w:szCs w:val="20"/>
          <w:lang w:val="en-US"/>
        </w:rPr>
        <w:t>”</w:t>
      </w:r>
      <w:r w:rsidR="003C2143" w:rsidRPr="00D869E3">
        <w:rPr>
          <w:rStyle w:val="Refdenotaalpie"/>
          <w:szCs w:val="20"/>
          <w:lang w:val="en-US"/>
        </w:rPr>
        <w:footnoteReference w:id="412"/>
      </w:r>
      <w:r w:rsidRPr="00D869E3">
        <w:rPr>
          <w:rFonts w:ascii="Verdana" w:hAnsi="Verdana"/>
          <w:sz w:val="20"/>
          <w:szCs w:val="20"/>
          <w:lang w:val="en-US"/>
        </w:rPr>
        <w:t xml:space="preserve"> </w:t>
      </w:r>
      <w:r w:rsidR="0078053A" w:rsidRPr="00D869E3">
        <w:rPr>
          <w:rFonts w:ascii="Verdana" w:hAnsi="Verdana"/>
          <w:sz w:val="20"/>
          <w:szCs w:val="20"/>
          <w:lang w:val="en-US"/>
        </w:rPr>
        <w:t xml:space="preserve">As </w:t>
      </w:r>
      <w:r w:rsidR="0078053A" w:rsidRPr="00D869E3">
        <w:rPr>
          <w:rFonts w:ascii="Verdana" w:hAnsi="Verdana"/>
          <w:sz w:val="20"/>
          <w:szCs w:val="20"/>
          <w:lang w:val="en-US"/>
        </w:rPr>
        <w:lastRenderedPageBreak/>
        <w:t>a result of</w:t>
      </w:r>
      <w:r w:rsidRPr="00D869E3">
        <w:rPr>
          <w:rFonts w:ascii="Verdana" w:hAnsi="Verdana"/>
          <w:sz w:val="20"/>
          <w:szCs w:val="20"/>
          <w:lang w:val="en-US"/>
        </w:rPr>
        <w:t xml:space="preserve"> the </w:t>
      </w:r>
      <w:r w:rsidR="006B7F68" w:rsidRPr="00D869E3">
        <w:rPr>
          <w:rFonts w:ascii="Verdana" w:hAnsi="Verdana"/>
          <w:sz w:val="20"/>
          <w:szCs w:val="20"/>
          <w:lang w:val="en-US"/>
        </w:rPr>
        <w:t>respective</w:t>
      </w:r>
      <w:r w:rsidRPr="00D869E3">
        <w:rPr>
          <w:rFonts w:ascii="Verdana" w:hAnsi="Verdana"/>
          <w:sz w:val="20"/>
          <w:szCs w:val="20"/>
          <w:lang w:val="en-US"/>
        </w:rPr>
        <w:t xml:space="preserve"> vote, the first was included in the final text </w:t>
      </w:r>
      <w:r w:rsidR="00447C65" w:rsidRPr="00D869E3">
        <w:rPr>
          <w:rFonts w:ascii="Verdana" w:hAnsi="Verdana"/>
          <w:sz w:val="20"/>
          <w:szCs w:val="20"/>
          <w:lang w:val="en-US"/>
        </w:rPr>
        <w:t>of the Convention</w:t>
      </w:r>
      <w:r w:rsidR="003C2143" w:rsidRPr="00D869E3">
        <w:rPr>
          <w:rFonts w:ascii="Verdana" w:hAnsi="Verdana"/>
          <w:sz w:val="20"/>
          <w:szCs w:val="20"/>
          <w:lang w:val="en-US"/>
        </w:rPr>
        <w:t xml:space="preserve">, </w:t>
      </w:r>
      <w:r w:rsidRPr="00D869E3">
        <w:rPr>
          <w:rFonts w:ascii="Verdana" w:hAnsi="Verdana"/>
          <w:sz w:val="20"/>
          <w:szCs w:val="20"/>
          <w:lang w:val="en-US"/>
        </w:rPr>
        <w:t>as</w:t>
      </w:r>
      <w:r w:rsidR="003C2143" w:rsidRPr="00D869E3">
        <w:rPr>
          <w:rFonts w:ascii="Verdana" w:hAnsi="Verdana"/>
          <w:sz w:val="20"/>
          <w:szCs w:val="20"/>
          <w:lang w:val="en-US"/>
        </w:rPr>
        <w:t xml:space="preserve"> </w:t>
      </w:r>
      <w:r w:rsidR="00447C65" w:rsidRPr="00D869E3">
        <w:rPr>
          <w:rFonts w:ascii="Verdana" w:hAnsi="Verdana"/>
          <w:sz w:val="20"/>
          <w:szCs w:val="20"/>
          <w:lang w:val="en-US"/>
        </w:rPr>
        <w:t>Article</w:t>
      </w:r>
      <w:r w:rsidR="003C2143" w:rsidRPr="00D869E3">
        <w:rPr>
          <w:rFonts w:ascii="Verdana" w:hAnsi="Verdana"/>
          <w:sz w:val="20"/>
          <w:szCs w:val="20"/>
          <w:lang w:val="en-US"/>
        </w:rPr>
        <w:t xml:space="preserve"> 26.</w:t>
      </w:r>
      <w:r w:rsidRPr="00D869E3">
        <w:rPr>
          <w:rFonts w:ascii="Verdana" w:hAnsi="Verdana"/>
          <w:sz w:val="20"/>
          <w:szCs w:val="20"/>
          <w:lang w:val="en-US"/>
        </w:rPr>
        <w:t xml:space="preserve"> The</w:t>
      </w:r>
      <w:r w:rsidR="003C2143" w:rsidRPr="00D869E3">
        <w:rPr>
          <w:rFonts w:ascii="Verdana" w:hAnsi="Verdana"/>
          <w:sz w:val="20"/>
          <w:szCs w:val="20"/>
          <w:lang w:val="en-US"/>
        </w:rPr>
        <w:t xml:space="preserve"> </w:t>
      </w:r>
      <w:r w:rsidRPr="00D869E3">
        <w:rPr>
          <w:rFonts w:ascii="Verdana" w:hAnsi="Verdana"/>
          <w:sz w:val="20"/>
          <w:szCs w:val="20"/>
          <w:lang w:val="en-US"/>
        </w:rPr>
        <w:t>s</w:t>
      </w:r>
      <w:r w:rsidR="00DB128C" w:rsidRPr="00D869E3">
        <w:rPr>
          <w:rFonts w:ascii="Verdana" w:hAnsi="Verdana"/>
          <w:sz w:val="20"/>
          <w:szCs w:val="20"/>
          <w:lang w:val="en-US"/>
        </w:rPr>
        <w:t>econd</w:t>
      </w:r>
      <w:r w:rsidR="003C2143" w:rsidRPr="00D869E3">
        <w:rPr>
          <w:rFonts w:ascii="Verdana" w:hAnsi="Verdana"/>
          <w:sz w:val="20"/>
          <w:szCs w:val="20"/>
          <w:lang w:val="en-US"/>
        </w:rPr>
        <w:t xml:space="preserve">, </w:t>
      </w:r>
      <w:r w:rsidRPr="00D869E3">
        <w:rPr>
          <w:rFonts w:ascii="Verdana" w:hAnsi="Verdana"/>
          <w:sz w:val="20"/>
          <w:szCs w:val="20"/>
          <w:lang w:val="en-US"/>
        </w:rPr>
        <w:t>which would have been</w:t>
      </w:r>
      <w:r w:rsidR="003C2143" w:rsidRPr="00D869E3">
        <w:rPr>
          <w:rFonts w:ascii="Verdana" w:hAnsi="Verdana"/>
          <w:sz w:val="20"/>
          <w:szCs w:val="20"/>
          <w:lang w:val="en-US"/>
        </w:rPr>
        <w:t xml:space="preserve"> </w:t>
      </w:r>
      <w:r w:rsidR="00447C65" w:rsidRPr="00D869E3">
        <w:rPr>
          <w:rFonts w:ascii="Verdana" w:hAnsi="Verdana"/>
          <w:sz w:val="20"/>
          <w:szCs w:val="20"/>
          <w:lang w:val="en-US"/>
        </w:rPr>
        <w:t>Article</w:t>
      </w:r>
      <w:r w:rsidR="003C2143" w:rsidRPr="00D869E3">
        <w:rPr>
          <w:rFonts w:ascii="Verdana" w:hAnsi="Verdana"/>
          <w:sz w:val="20"/>
          <w:szCs w:val="20"/>
          <w:lang w:val="en-US"/>
        </w:rPr>
        <w:t xml:space="preserve"> 27, establ</w:t>
      </w:r>
      <w:r w:rsidRPr="00D869E3">
        <w:rPr>
          <w:rFonts w:ascii="Verdana" w:hAnsi="Verdana"/>
          <w:sz w:val="20"/>
          <w:szCs w:val="20"/>
          <w:lang w:val="en-US"/>
        </w:rPr>
        <w:t>ished</w:t>
      </w:r>
      <w:r w:rsidR="003C2143" w:rsidRPr="00D869E3">
        <w:rPr>
          <w:rFonts w:ascii="Verdana" w:hAnsi="Verdana"/>
          <w:sz w:val="20"/>
          <w:szCs w:val="20"/>
          <w:lang w:val="en-US"/>
        </w:rPr>
        <w:t xml:space="preserve">: </w:t>
      </w:r>
      <w:r w:rsidR="006436CA" w:rsidRPr="00D869E3">
        <w:rPr>
          <w:rFonts w:ascii="Verdana" w:hAnsi="Verdana"/>
          <w:sz w:val="20"/>
          <w:szCs w:val="20"/>
          <w:lang w:val="en-US"/>
        </w:rPr>
        <w:t>“</w:t>
      </w:r>
      <w:r w:rsidR="003C2143" w:rsidRPr="00D869E3">
        <w:rPr>
          <w:rFonts w:ascii="Verdana" w:hAnsi="Verdana"/>
          <w:i/>
          <w:sz w:val="20"/>
          <w:szCs w:val="20"/>
          <w:lang w:val="en-US"/>
        </w:rPr>
        <w:t>Control</w:t>
      </w:r>
      <w:r w:rsidRPr="00D869E3">
        <w:rPr>
          <w:rFonts w:ascii="Verdana" w:hAnsi="Verdana"/>
          <w:i/>
          <w:sz w:val="20"/>
          <w:szCs w:val="20"/>
          <w:lang w:val="en-US"/>
        </w:rPr>
        <w:t xml:space="preserve"> of Compliance with Obligations. </w:t>
      </w:r>
      <w:r w:rsidR="003C2143" w:rsidRPr="00D869E3">
        <w:rPr>
          <w:rFonts w:ascii="Verdana" w:hAnsi="Verdana"/>
          <w:i/>
          <w:sz w:val="20"/>
          <w:szCs w:val="20"/>
          <w:lang w:val="en-US"/>
        </w:rPr>
        <w:t xml:space="preserve"> </w:t>
      </w:r>
      <w:r w:rsidRPr="00D869E3">
        <w:rPr>
          <w:rFonts w:ascii="Verdana" w:hAnsi="Verdana"/>
          <w:i/>
          <w:sz w:val="20"/>
          <w:szCs w:val="20"/>
          <w:lang w:val="en-US"/>
        </w:rPr>
        <w:t>The</w:t>
      </w:r>
      <w:r w:rsidR="003C2143" w:rsidRPr="00D869E3">
        <w:rPr>
          <w:rFonts w:ascii="Verdana" w:hAnsi="Verdana"/>
          <w:i/>
          <w:sz w:val="20"/>
          <w:szCs w:val="20"/>
          <w:lang w:val="en-US"/>
        </w:rPr>
        <w:t xml:space="preserve"> </w:t>
      </w:r>
      <w:r w:rsidR="00B443B4" w:rsidRPr="00D869E3">
        <w:rPr>
          <w:rFonts w:ascii="Verdana" w:hAnsi="Verdana"/>
          <w:i/>
          <w:sz w:val="20"/>
          <w:szCs w:val="20"/>
          <w:lang w:val="en-US"/>
        </w:rPr>
        <w:t>States Parties</w:t>
      </w:r>
      <w:r w:rsidR="003C2143" w:rsidRPr="00D869E3">
        <w:rPr>
          <w:rFonts w:ascii="Verdana" w:hAnsi="Verdana"/>
          <w:i/>
          <w:sz w:val="20"/>
          <w:szCs w:val="20"/>
          <w:lang w:val="en-US"/>
        </w:rPr>
        <w:t xml:space="preserve"> </w:t>
      </w:r>
      <w:r w:rsidRPr="00D869E3">
        <w:rPr>
          <w:rFonts w:ascii="Verdana" w:hAnsi="Verdana"/>
          <w:i/>
          <w:sz w:val="20"/>
          <w:szCs w:val="20"/>
          <w:lang w:val="en-US"/>
        </w:rPr>
        <w:t xml:space="preserve">shall forward </w:t>
      </w:r>
      <w:r w:rsidR="00447C65" w:rsidRPr="00D869E3">
        <w:rPr>
          <w:rFonts w:ascii="Verdana" w:hAnsi="Verdana"/>
          <w:i/>
          <w:sz w:val="20"/>
          <w:szCs w:val="20"/>
          <w:lang w:val="en-US"/>
        </w:rPr>
        <w:t>the Inter-American Commission on Human Rights</w:t>
      </w:r>
      <w:r w:rsidR="003C2143" w:rsidRPr="00D869E3">
        <w:rPr>
          <w:rFonts w:ascii="Verdana" w:hAnsi="Verdana"/>
          <w:i/>
          <w:sz w:val="20"/>
          <w:szCs w:val="20"/>
          <w:lang w:val="en-US"/>
        </w:rPr>
        <w:t xml:space="preserve"> </w:t>
      </w:r>
      <w:r w:rsidRPr="00D869E3">
        <w:rPr>
          <w:rFonts w:ascii="Verdana" w:hAnsi="Verdana"/>
          <w:i/>
          <w:sz w:val="20"/>
          <w:szCs w:val="20"/>
          <w:lang w:val="en-US"/>
        </w:rPr>
        <w:t xml:space="preserve">a copy of the reports that, in their respective areas, the Executive Committees of the Inter-American Economic and Social Council and the Inter-American Council for Education, Science and Culture submit each year so that the Commission may verify compliance with the preceding obligations, that are essential for the exercise of the other rights established in this Convention.” </w:t>
      </w:r>
    </w:p>
    <w:p w14:paraId="7D82210E" w14:textId="77777777" w:rsidR="003C2143" w:rsidRPr="00D869E3" w:rsidRDefault="003C2143" w:rsidP="003C2143">
      <w:pPr>
        <w:jc w:val="both"/>
        <w:rPr>
          <w:rFonts w:ascii="Verdana" w:hAnsi="Verdana"/>
          <w:sz w:val="20"/>
          <w:szCs w:val="20"/>
          <w:lang w:val="en-US"/>
        </w:rPr>
      </w:pPr>
    </w:p>
    <w:p w14:paraId="043B06EF" w14:textId="773C1D0D" w:rsidR="003C2143" w:rsidRPr="00D869E3" w:rsidRDefault="009F10B0" w:rsidP="003C2143">
      <w:pPr>
        <w:jc w:val="both"/>
        <w:rPr>
          <w:rFonts w:ascii="Verdana" w:hAnsi="Verdana"/>
          <w:sz w:val="20"/>
          <w:szCs w:val="20"/>
          <w:lang w:val="en-US"/>
        </w:rPr>
      </w:pPr>
      <w:r w:rsidRPr="00D869E3">
        <w:rPr>
          <w:rFonts w:ascii="Verdana" w:hAnsi="Verdana"/>
          <w:sz w:val="20"/>
          <w:szCs w:val="20"/>
          <w:lang w:val="en-US"/>
        </w:rPr>
        <w:t xml:space="preserve">It should be noted that the proposal </w:t>
      </w:r>
      <w:r w:rsidR="006C4F05" w:rsidRPr="00D869E3">
        <w:rPr>
          <w:rFonts w:ascii="Verdana" w:hAnsi="Verdana"/>
          <w:sz w:val="20"/>
          <w:szCs w:val="20"/>
          <w:lang w:val="en-US"/>
        </w:rPr>
        <w:t xml:space="preserve">for </w:t>
      </w:r>
      <w:r w:rsidRPr="00D869E3">
        <w:rPr>
          <w:rFonts w:ascii="Verdana" w:hAnsi="Verdana"/>
          <w:sz w:val="20"/>
          <w:szCs w:val="20"/>
          <w:lang w:val="en-US"/>
        </w:rPr>
        <w:t xml:space="preserve">the </w:t>
      </w:r>
      <w:r w:rsidR="006C4F05" w:rsidRPr="00D869E3">
        <w:rPr>
          <w:rFonts w:ascii="Verdana" w:hAnsi="Verdana"/>
          <w:sz w:val="20"/>
          <w:szCs w:val="20"/>
          <w:lang w:val="en-US"/>
        </w:rPr>
        <w:t xml:space="preserve">said </w:t>
      </w:r>
      <w:r w:rsidR="00447C65" w:rsidRPr="00D869E3">
        <w:rPr>
          <w:rFonts w:ascii="Verdana" w:hAnsi="Verdana"/>
          <w:sz w:val="20"/>
          <w:szCs w:val="20"/>
          <w:lang w:val="en-US"/>
        </w:rPr>
        <w:t>Article</w:t>
      </w:r>
      <w:r w:rsidR="003C2143" w:rsidRPr="00D869E3">
        <w:rPr>
          <w:rFonts w:ascii="Verdana" w:hAnsi="Verdana"/>
          <w:sz w:val="20"/>
          <w:szCs w:val="20"/>
          <w:lang w:val="en-US"/>
        </w:rPr>
        <w:t xml:space="preserve"> 27 disting</w:t>
      </w:r>
      <w:r w:rsidR="006C4F05" w:rsidRPr="00D869E3">
        <w:rPr>
          <w:rFonts w:ascii="Verdana" w:hAnsi="Verdana"/>
          <w:sz w:val="20"/>
          <w:szCs w:val="20"/>
          <w:lang w:val="en-US"/>
        </w:rPr>
        <w:t>uished between “</w:t>
      </w:r>
      <w:r w:rsidR="006C4F05" w:rsidRPr="00D869E3">
        <w:rPr>
          <w:rFonts w:ascii="Verdana" w:hAnsi="Verdana"/>
          <w:i/>
          <w:iCs/>
          <w:sz w:val="20"/>
          <w:szCs w:val="20"/>
          <w:lang w:val="en-US"/>
        </w:rPr>
        <w:t>the preceding obligations,</w:t>
      </w:r>
      <w:r w:rsidR="006436CA" w:rsidRPr="00D869E3">
        <w:rPr>
          <w:rFonts w:ascii="Verdana" w:hAnsi="Verdana"/>
          <w:i/>
          <w:iCs/>
          <w:sz w:val="20"/>
          <w:szCs w:val="20"/>
          <w:lang w:val="en-US"/>
        </w:rPr>
        <w:t>”</w:t>
      </w:r>
      <w:r w:rsidR="003C2143" w:rsidRPr="00D869E3">
        <w:rPr>
          <w:rFonts w:ascii="Verdana" w:hAnsi="Verdana"/>
          <w:sz w:val="20"/>
          <w:szCs w:val="20"/>
          <w:lang w:val="en-US"/>
        </w:rPr>
        <w:t xml:space="preserve"> obvi</w:t>
      </w:r>
      <w:r w:rsidR="006C4F05" w:rsidRPr="00D869E3">
        <w:rPr>
          <w:rFonts w:ascii="Verdana" w:hAnsi="Verdana"/>
          <w:sz w:val="20"/>
          <w:szCs w:val="20"/>
          <w:lang w:val="en-US"/>
        </w:rPr>
        <w:t>ously in</w:t>
      </w:r>
      <w:r w:rsidR="003C2143" w:rsidRPr="00D869E3">
        <w:rPr>
          <w:rFonts w:ascii="Verdana" w:hAnsi="Verdana"/>
          <w:sz w:val="20"/>
          <w:szCs w:val="20"/>
          <w:lang w:val="en-US"/>
        </w:rPr>
        <w:t xml:space="preserve"> </w:t>
      </w:r>
      <w:r w:rsidR="00447C65" w:rsidRPr="00D869E3">
        <w:rPr>
          <w:rFonts w:ascii="Verdana" w:hAnsi="Verdana"/>
          <w:sz w:val="20"/>
          <w:szCs w:val="20"/>
          <w:lang w:val="en-US"/>
        </w:rPr>
        <w:t>Article</w:t>
      </w:r>
      <w:r w:rsidR="003C2143" w:rsidRPr="00D869E3">
        <w:rPr>
          <w:rFonts w:ascii="Verdana" w:hAnsi="Verdana"/>
          <w:sz w:val="20"/>
          <w:szCs w:val="20"/>
          <w:lang w:val="en-US"/>
        </w:rPr>
        <w:t xml:space="preserve"> 26,</w:t>
      </w:r>
      <w:r w:rsidR="00687684" w:rsidRPr="00D869E3">
        <w:rPr>
          <w:rFonts w:ascii="Verdana" w:hAnsi="Verdana"/>
          <w:sz w:val="20"/>
          <w:szCs w:val="20"/>
          <w:lang w:val="en-US"/>
        </w:rPr>
        <w:t xml:space="preserve"> and </w:t>
      </w:r>
      <w:r w:rsidR="006436CA" w:rsidRPr="00D869E3">
        <w:rPr>
          <w:rFonts w:ascii="Verdana" w:hAnsi="Verdana"/>
          <w:sz w:val="20"/>
          <w:szCs w:val="20"/>
          <w:lang w:val="en-US"/>
        </w:rPr>
        <w:t>“</w:t>
      </w:r>
      <w:r w:rsidR="006C4F05" w:rsidRPr="00D869E3">
        <w:rPr>
          <w:rFonts w:ascii="Verdana" w:hAnsi="Verdana"/>
          <w:i/>
          <w:sz w:val="20"/>
          <w:szCs w:val="20"/>
          <w:lang w:val="en-US"/>
        </w:rPr>
        <w:t>the other rights established in this Convention.</w:t>
      </w:r>
      <w:r w:rsidR="006436CA" w:rsidRPr="00D869E3">
        <w:rPr>
          <w:rFonts w:ascii="Verdana" w:hAnsi="Verdana"/>
          <w:sz w:val="20"/>
          <w:szCs w:val="20"/>
          <w:lang w:val="en-US"/>
        </w:rPr>
        <w:t>”</w:t>
      </w:r>
      <w:r w:rsidR="003C2143" w:rsidRPr="00D869E3">
        <w:rPr>
          <w:rFonts w:ascii="Verdana" w:hAnsi="Verdana"/>
          <w:sz w:val="20"/>
          <w:szCs w:val="20"/>
          <w:lang w:val="en-US"/>
        </w:rPr>
        <w:t xml:space="preserve"> </w:t>
      </w:r>
      <w:r w:rsidR="006C4F05" w:rsidRPr="00D869E3">
        <w:rPr>
          <w:rFonts w:ascii="Verdana" w:hAnsi="Verdana"/>
          <w:sz w:val="20"/>
          <w:szCs w:val="20"/>
          <w:lang w:val="en-US"/>
        </w:rPr>
        <w:t xml:space="preserve">It should also be recalled that the said article was, however, eliminated; from which it can be concluded that, at no time, were the economic, social and cultural </w:t>
      </w:r>
      <w:r w:rsidR="006B7F68" w:rsidRPr="00D869E3">
        <w:rPr>
          <w:rFonts w:ascii="Verdana" w:hAnsi="Verdana"/>
          <w:sz w:val="20"/>
          <w:szCs w:val="20"/>
          <w:lang w:val="en-US"/>
        </w:rPr>
        <w:t>r</w:t>
      </w:r>
      <w:r w:rsidR="006C4F05" w:rsidRPr="00D869E3">
        <w:rPr>
          <w:rFonts w:ascii="Verdana" w:hAnsi="Verdana"/>
          <w:sz w:val="20"/>
          <w:szCs w:val="20"/>
          <w:lang w:val="en-US"/>
        </w:rPr>
        <w:t>ights that “derive” from the provisions of the OAS Charter, including the right to job security, included under the protection regime for the civil and political rights</w:t>
      </w:r>
      <w:r w:rsidR="003C2143" w:rsidRPr="00D869E3">
        <w:rPr>
          <w:rFonts w:ascii="Verdana" w:hAnsi="Verdana"/>
          <w:sz w:val="20"/>
          <w:szCs w:val="20"/>
          <w:lang w:val="en-US"/>
        </w:rPr>
        <w:t xml:space="preserve"> </w:t>
      </w:r>
      <w:r w:rsidR="006436CA" w:rsidRPr="00D869E3">
        <w:rPr>
          <w:rFonts w:ascii="Verdana" w:hAnsi="Verdana"/>
          <w:sz w:val="20"/>
          <w:szCs w:val="20"/>
          <w:lang w:val="en-US"/>
        </w:rPr>
        <w:t>“</w:t>
      </w:r>
      <w:r w:rsidR="003C2143" w:rsidRPr="00D869E3">
        <w:rPr>
          <w:rFonts w:ascii="Verdana" w:hAnsi="Verdana"/>
          <w:i/>
          <w:sz w:val="20"/>
          <w:szCs w:val="20"/>
          <w:lang w:val="en-US"/>
        </w:rPr>
        <w:t>reco</w:t>
      </w:r>
      <w:r w:rsidR="006C4F05" w:rsidRPr="00D869E3">
        <w:rPr>
          <w:rFonts w:ascii="Verdana" w:hAnsi="Verdana"/>
          <w:i/>
          <w:sz w:val="20"/>
          <w:szCs w:val="20"/>
          <w:lang w:val="en-US"/>
        </w:rPr>
        <w:t>gnized</w:t>
      </w:r>
      <w:r w:rsidR="006436CA" w:rsidRPr="00D869E3">
        <w:rPr>
          <w:rFonts w:ascii="Verdana" w:hAnsi="Verdana"/>
          <w:i/>
          <w:sz w:val="20"/>
          <w:szCs w:val="20"/>
          <w:lang w:val="en-US"/>
        </w:rPr>
        <w:t>”</w:t>
      </w:r>
      <w:r w:rsidR="003C2143" w:rsidRPr="00D869E3">
        <w:rPr>
          <w:rFonts w:ascii="Verdana" w:hAnsi="Verdana"/>
          <w:i/>
          <w:sz w:val="20"/>
          <w:szCs w:val="20"/>
          <w:lang w:val="en-US"/>
        </w:rPr>
        <w:t xml:space="preserve"> </w:t>
      </w:r>
      <w:r w:rsidR="006C4F05" w:rsidRPr="00D869E3">
        <w:rPr>
          <w:rFonts w:ascii="Verdana" w:hAnsi="Verdana"/>
          <w:sz w:val="20"/>
          <w:szCs w:val="20"/>
          <w:lang w:val="en-US"/>
        </w:rPr>
        <w:t>i</w:t>
      </w:r>
      <w:r w:rsidR="003C2143" w:rsidRPr="00D869E3">
        <w:rPr>
          <w:rFonts w:ascii="Verdana" w:hAnsi="Verdana"/>
          <w:sz w:val="20"/>
          <w:szCs w:val="20"/>
          <w:lang w:val="en-US"/>
        </w:rPr>
        <w:t xml:space="preserve">n </w:t>
      </w:r>
      <w:r w:rsidR="00447C65" w:rsidRPr="00D869E3">
        <w:rPr>
          <w:rFonts w:ascii="Verdana" w:hAnsi="Verdana"/>
          <w:sz w:val="20"/>
          <w:szCs w:val="20"/>
          <w:lang w:val="en-US"/>
        </w:rPr>
        <w:t>the Convention</w:t>
      </w:r>
      <w:r w:rsidR="003C2143" w:rsidRPr="00D869E3">
        <w:rPr>
          <w:rFonts w:ascii="Verdana" w:hAnsi="Verdana"/>
          <w:sz w:val="20"/>
          <w:szCs w:val="20"/>
          <w:lang w:val="en-US"/>
        </w:rPr>
        <w:t xml:space="preserve">. </w:t>
      </w:r>
    </w:p>
    <w:p w14:paraId="6785A110" w14:textId="77777777" w:rsidR="003C2143" w:rsidRPr="00D869E3" w:rsidRDefault="003C2143" w:rsidP="003C2143">
      <w:pPr>
        <w:jc w:val="both"/>
        <w:rPr>
          <w:rFonts w:ascii="Verdana" w:hAnsi="Verdana"/>
          <w:sz w:val="20"/>
          <w:szCs w:val="20"/>
          <w:lang w:val="en-US"/>
        </w:rPr>
      </w:pPr>
    </w:p>
    <w:p w14:paraId="0C80E365" w14:textId="55588A27" w:rsidR="003C2143" w:rsidRPr="00D869E3" w:rsidRDefault="006C4F05" w:rsidP="003C2143">
      <w:pPr>
        <w:pStyle w:val="Prrafodelista"/>
        <w:numPr>
          <w:ilvl w:val="0"/>
          <w:numId w:val="31"/>
        </w:numPr>
        <w:jc w:val="both"/>
        <w:rPr>
          <w:rFonts w:ascii="Verdana" w:hAnsi="Verdana"/>
          <w:b/>
          <w:sz w:val="20"/>
          <w:szCs w:val="20"/>
          <w:lang w:val="en-US"/>
        </w:rPr>
      </w:pPr>
      <w:r w:rsidRPr="00D869E3">
        <w:rPr>
          <w:rFonts w:ascii="Verdana" w:hAnsi="Verdana"/>
          <w:b/>
          <w:sz w:val="20"/>
          <w:szCs w:val="20"/>
          <w:lang w:val="en-US"/>
        </w:rPr>
        <w:t>The</w:t>
      </w:r>
      <w:r w:rsidR="003C2143" w:rsidRPr="00D869E3">
        <w:rPr>
          <w:rFonts w:ascii="Verdana" w:hAnsi="Verdana"/>
          <w:b/>
          <w:sz w:val="20"/>
          <w:szCs w:val="20"/>
          <w:lang w:val="en-US"/>
        </w:rPr>
        <w:t xml:space="preserve"> </w:t>
      </w:r>
      <w:r w:rsidR="00881A39" w:rsidRPr="00D869E3">
        <w:rPr>
          <w:rFonts w:ascii="Verdana" w:hAnsi="Verdana"/>
          <w:b/>
          <w:sz w:val="20"/>
          <w:szCs w:val="20"/>
          <w:lang w:val="en-US"/>
        </w:rPr>
        <w:t>rights</w:t>
      </w:r>
      <w:r w:rsidR="003C2143" w:rsidRPr="00D869E3">
        <w:rPr>
          <w:rFonts w:ascii="Verdana" w:hAnsi="Verdana"/>
          <w:b/>
          <w:sz w:val="20"/>
          <w:szCs w:val="20"/>
          <w:lang w:val="en-US"/>
        </w:rPr>
        <w:t xml:space="preserve"> </w:t>
      </w:r>
      <w:r w:rsidRPr="00D869E3">
        <w:rPr>
          <w:rFonts w:ascii="Verdana" w:hAnsi="Verdana"/>
          <w:b/>
          <w:sz w:val="20"/>
          <w:szCs w:val="20"/>
          <w:lang w:val="en-US"/>
        </w:rPr>
        <w:t xml:space="preserve">derived from the economic, social, educational, scientific and cultural provisions contained in </w:t>
      </w:r>
      <w:r w:rsidR="00197983" w:rsidRPr="00D869E3">
        <w:rPr>
          <w:rFonts w:ascii="Verdana" w:hAnsi="Verdana"/>
          <w:b/>
          <w:sz w:val="20"/>
          <w:szCs w:val="20"/>
          <w:lang w:val="en-US"/>
        </w:rPr>
        <w:t>the OAS Charter</w:t>
      </w:r>
    </w:p>
    <w:p w14:paraId="47A0417A" w14:textId="77777777" w:rsidR="003C2143" w:rsidRPr="00D869E3" w:rsidRDefault="003C2143" w:rsidP="003C2143">
      <w:pPr>
        <w:jc w:val="both"/>
        <w:rPr>
          <w:rFonts w:ascii="Verdana" w:hAnsi="Verdana"/>
          <w:b/>
          <w:sz w:val="20"/>
          <w:szCs w:val="20"/>
          <w:lang w:val="en-US"/>
        </w:rPr>
      </w:pPr>
    </w:p>
    <w:p w14:paraId="69FCD077" w14:textId="1CF12F85" w:rsidR="003C2143" w:rsidRPr="00D869E3" w:rsidRDefault="006C4F05" w:rsidP="003C2143">
      <w:pPr>
        <w:jc w:val="both"/>
        <w:rPr>
          <w:rFonts w:ascii="Verdana" w:hAnsi="Verdana"/>
          <w:b/>
          <w:bCs/>
          <w:sz w:val="20"/>
          <w:szCs w:val="20"/>
          <w:lang w:val="en-US"/>
        </w:rPr>
      </w:pPr>
      <w:r w:rsidRPr="00D869E3">
        <w:rPr>
          <w:rFonts w:ascii="Verdana" w:hAnsi="Verdana"/>
          <w:sz w:val="20"/>
          <w:szCs w:val="20"/>
          <w:lang w:val="en-US"/>
        </w:rPr>
        <w:t>The judgment cited</w:t>
      </w:r>
      <w:r w:rsidR="003C2143" w:rsidRPr="00D869E3">
        <w:rPr>
          <w:rFonts w:ascii="Verdana" w:hAnsi="Verdana"/>
          <w:sz w:val="20"/>
          <w:szCs w:val="20"/>
          <w:lang w:val="en-US"/>
        </w:rPr>
        <w:t xml:space="preserve"> </w:t>
      </w:r>
      <w:r w:rsidR="00447C65" w:rsidRPr="00D869E3">
        <w:rPr>
          <w:rFonts w:ascii="Verdana" w:hAnsi="Verdana"/>
          <w:sz w:val="20"/>
          <w:szCs w:val="20"/>
          <w:lang w:val="en-US"/>
        </w:rPr>
        <w:t>Articles</w:t>
      </w:r>
      <w:r w:rsidR="003C2143" w:rsidRPr="00D869E3">
        <w:rPr>
          <w:rFonts w:ascii="Verdana" w:hAnsi="Verdana"/>
          <w:sz w:val="20"/>
          <w:szCs w:val="20"/>
          <w:lang w:val="en-US"/>
        </w:rPr>
        <w:t xml:space="preserve"> 45</w:t>
      </w:r>
      <w:r w:rsidR="00331C63" w:rsidRPr="00D869E3">
        <w:rPr>
          <w:rFonts w:ascii="Verdana" w:hAnsi="Verdana"/>
          <w:sz w:val="20"/>
          <w:szCs w:val="20"/>
          <w:lang w:val="en-US"/>
        </w:rPr>
        <w:t>(</w:t>
      </w:r>
      <w:r w:rsidR="003C2143" w:rsidRPr="00D869E3">
        <w:rPr>
          <w:rFonts w:ascii="Verdana" w:hAnsi="Verdana"/>
          <w:sz w:val="20"/>
          <w:szCs w:val="20"/>
          <w:lang w:val="en-US"/>
        </w:rPr>
        <w:t>b</w:t>
      </w:r>
      <w:r w:rsidR="00331C63" w:rsidRPr="00D869E3">
        <w:rPr>
          <w:rFonts w:ascii="Verdana" w:hAnsi="Verdana"/>
          <w:sz w:val="20"/>
          <w:szCs w:val="20"/>
          <w:lang w:val="en-US"/>
        </w:rPr>
        <w:t>)</w:t>
      </w:r>
      <w:r w:rsidR="00687684" w:rsidRPr="00D869E3">
        <w:rPr>
          <w:rFonts w:ascii="Verdana" w:hAnsi="Verdana"/>
          <w:sz w:val="20"/>
          <w:szCs w:val="20"/>
          <w:lang w:val="en-US"/>
        </w:rPr>
        <w:t xml:space="preserve"> and </w:t>
      </w:r>
      <w:r w:rsidR="00331C63" w:rsidRPr="00D869E3">
        <w:rPr>
          <w:rFonts w:ascii="Verdana" w:hAnsi="Verdana"/>
          <w:sz w:val="20"/>
          <w:szCs w:val="20"/>
          <w:lang w:val="en-US"/>
        </w:rPr>
        <w:t>(</w:t>
      </w:r>
      <w:r w:rsidR="003C2143" w:rsidRPr="00D869E3">
        <w:rPr>
          <w:rFonts w:ascii="Verdana" w:hAnsi="Verdana"/>
          <w:sz w:val="20"/>
          <w:szCs w:val="20"/>
          <w:lang w:val="en-US"/>
        </w:rPr>
        <w:t>c</w:t>
      </w:r>
      <w:r w:rsidR="00331C63" w:rsidRPr="00D869E3">
        <w:rPr>
          <w:rFonts w:ascii="Verdana" w:hAnsi="Verdana"/>
          <w:sz w:val="20"/>
          <w:szCs w:val="20"/>
          <w:lang w:val="en-US"/>
        </w:rPr>
        <w:t>)</w:t>
      </w:r>
      <w:r w:rsidR="00197983" w:rsidRPr="00D869E3">
        <w:rPr>
          <w:rFonts w:ascii="Verdana" w:hAnsi="Verdana"/>
          <w:sz w:val="20"/>
          <w:szCs w:val="20"/>
          <w:lang w:val="en-US"/>
        </w:rPr>
        <w:t>,</w:t>
      </w:r>
      <w:r w:rsidR="003C2143" w:rsidRPr="00D869E3">
        <w:rPr>
          <w:rStyle w:val="Refdenotaalpie"/>
          <w:szCs w:val="20"/>
          <w:lang w:val="en-US"/>
        </w:rPr>
        <w:footnoteReference w:id="413"/>
      </w:r>
      <w:r w:rsidR="003C2143" w:rsidRPr="00D869E3">
        <w:rPr>
          <w:rFonts w:ascii="Verdana" w:hAnsi="Verdana"/>
          <w:sz w:val="20"/>
          <w:szCs w:val="20"/>
          <w:lang w:val="en-US"/>
        </w:rPr>
        <w:t xml:space="preserve"> 46</w:t>
      </w:r>
      <w:r w:rsidR="003C2143" w:rsidRPr="00D869E3">
        <w:rPr>
          <w:rStyle w:val="Refdenotaalpie"/>
          <w:szCs w:val="20"/>
          <w:lang w:val="en-US"/>
        </w:rPr>
        <w:footnoteReference w:id="414"/>
      </w:r>
      <w:r w:rsidR="00687684" w:rsidRPr="00D869E3">
        <w:rPr>
          <w:rFonts w:ascii="Verdana" w:hAnsi="Verdana"/>
          <w:sz w:val="20"/>
          <w:szCs w:val="20"/>
          <w:lang w:val="en-US"/>
        </w:rPr>
        <w:t xml:space="preserve"> and </w:t>
      </w:r>
      <w:r w:rsidR="003C2143" w:rsidRPr="00D869E3">
        <w:rPr>
          <w:rFonts w:ascii="Verdana" w:hAnsi="Verdana"/>
          <w:sz w:val="20"/>
          <w:szCs w:val="20"/>
          <w:lang w:val="en-US"/>
        </w:rPr>
        <w:t>34</w:t>
      </w:r>
      <w:r w:rsidR="00197983" w:rsidRPr="00D869E3">
        <w:rPr>
          <w:rFonts w:ascii="Verdana" w:hAnsi="Verdana"/>
          <w:sz w:val="20"/>
          <w:szCs w:val="20"/>
          <w:lang w:val="en-US"/>
        </w:rPr>
        <w:t>(</w:t>
      </w:r>
      <w:r w:rsidR="003C2143" w:rsidRPr="00D869E3">
        <w:rPr>
          <w:rFonts w:ascii="Verdana" w:hAnsi="Verdana"/>
          <w:sz w:val="20"/>
          <w:szCs w:val="20"/>
          <w:lang w:val="en-US"/>
        </w:rPr>
        <w:t>g</w:t>
      </w:r>
      <w:r w:rsidR="00197983" w:rsidRPr="00D869E3">
        <w:rPr>
          <w:rFonts w:ascii="Verdana" w:hAnsi="Verdana"/>
          <w:sz w:val="20"/>
          <w:szCs w:val="20"/>
          <w:lang w:val="en-US"/>
        </w:rPr>
        <w:t>)</w:t>
      </w:r>
      <w:r w:rsidR="003C2143" w:rsidRPr="00D869E3">
        <w:rPr>
          <w:rStyle w:val="Refdenotaalpie"/>
          <w:szCs w:val="20"/>
          <w:lang w:val="en-US"/>
        </w:rPr>
        <w:footnoteReference w:id="415"/>
      </w:r>
      <w:r w:rsidRPr="00D869E3">
        <w:rPr>
          <w:rFonts w:ascii="Verdana" w:hAnsi="Verdana"/>
          <w:sz w:val="20"/>
          <w:szCs w:val="20"/>
          <w:lang w:val="en-US"/>
        </w:rPr>
        <w:t xml:space="preserve"> </w:t>
      </w:r>
      <w:r w:rsidR="00197983" w:rsidRPr="00D869E3">
        <w:rPr>
          <w:rFonts w:ascii="Verdana" w:hAnsi="Verdana"/>
          <w:sz w:val="20"/>
          <w:szCs w:val="20"/>
          <w:lang w:val="en-US"/>
        </w:rPr>
        <w:t>of the OAS Charter</w:t>
      </w:r>
      <w:r w:rsidRPr="00D869E3">
        <w:rPr>
          <w:rFonts w:ascii="Verdana" w:hAnsi="Verdana"/>
          <w:sz w:val="20"/>
          <w:szCs w:val="20"/>
          <w:lang w:val="en-US"/>
        </w:rPr>
        <w:t xml:space="preserve"> to rule on the right to work and, more specifically, on the right to job security. However, these provisions establish either “</w:t>
      </w:r>
      <w:r w:rsidRPr="00D869E3">
        <w:rPr>
          <w:rFonts w:ascii="Verdana" w:hAnsi="Verdana"/>
          <w:i/>
          <w:iCs/>
          <w:sz w:val="20"/>
          <w:szCs w:val="20"/>
          <w:lang w:val="en-US"/>
        </w:rPr>
        <w:t>principles and mechanisms”</w:t>
      </w:r>
      <w:r w:rsidRPr="00D869E3">
        <w:rPr>
          <w:rFonts w:ascii="Verdana" w:hAnsi="Verdana"/>
          <w:sz w:val="20"/>
          <w:szCs w:val="20"/>
          <w:lang w:val="en-US"/>
        </w:rPr>
        <w:t xml:space="preserve"> to “</w:t>
      </w:r>
      <w:r w:rsidRPr="00D869E3">
        <w:rPr>
          <w:rFonts w:ascii="Verdana" w:hAnsi="Verdana"/>
          <w:i/>
          <w:iCs/>
          <w:sz w:val="20"/>
          <w:szCs w:val="20"/>
          <w:lang w:val="en-US"/>
        </w:rPr>
        <w:t xml:space="preserve">achieve the full realization of </w:t>
      </w:r>
      <w:r w:rsidR="006B7F68" w:rsidRPr="00D869E3">
        <w:rPr>
          <w:rFonts w:ascii="Verdana" w:hAnsi="Verdana"/>
          <w:i/>
          <w:iCs/>
          <w:sz w:val="20"/>
          <w:szCs w:val="20"/>
          <w:lang w:val="en-US"/>
        </w:rPr>
        <w:t xml:space="preserve">[man’s] </w:t>
      </w:r>
      <w:r w:rsidRPr="00D869E3">
        <w:rPr>
          <w:rFonts w:ascii="Verdana" w:hAnsi="Verdana"/>
          <w:i/>
          <w:iCs/>
          <w:sz w:val="20"/>
          <w:szCs w:val="20"/>
          <w:lang w:val="en-US"/>
        </w:rPr>
        <w:t>aspirations within a just social order, along with economic development and true peace</w:t>
      </w:r>
      <w:r w:rsidRPr="00D869E3">
        <w:rPr>
          <w:rFonts w:ascii="Verdana" w:hAnsi="Verdana"/>
          <w:sz w:val="20"/>
          <w:szCs w:val="20"/>
          <w:lang w:val="en-US"/>
        </w:rPr>
        <w:t>,” or a “</w:t>
      </w:r>
      <w:r w:rsidR="005848A5" w:rsidRPr="00D869E3">
        <w:rPr>
          <w:rFonts w:ascii="Verdana" w:hAnsi="Verdana"/>
          <w:i/>
          <w:iCs/>
          <w:sz w:val="20"/>
          <w:szCs w:val="20"/>
          <w:lang w:val="en-US"/>
        </w:rPr>
        <w:t>goal</w:t>
      </w:r>
      <w:r w:rsidRPr="00D869E3">
        <w:rPr>
          <w:rFonts w:ascii="Verdana" w:hAnsi="Verdana"/>
          <w:sz w:val="20"/>
          <w:szCs w:val="20"/>
          <w:lang w:val="en-US"/>
        </w:rPr>
        <w:t xml:space="preserve">” </w:t>
      </w:r>
      <w:r w:rsidRPr="00D869E3">
        <w:rPr>
          <w:rFonts w:ascii="Verdana" w:eastAsia="Times New Roman" w:hAnsi="Verdana"/>
          <w:sz w:val="20"/>
          <w:szCs w:val="20"/>
          <w:lang w:val="en-US"/>
        </w:rPr>
        <w:t>“</w:t>
      </w:r>
      <w:r w:rsidRPr="00D869E3">
        <w:rPr>
          <w:rFonts w:ascii="Verdana" w:eastAsia="Times New Roman" w:hAnsi="Verdana"/>
          <w:i/>
          <w:iCs/>
          <w:sz w:val="20"/>
          <w:szCs w:val="20"/>
          <w:lang w:val="en-US"/>
        </w:rPr>
        <w:t>to facilitate the process of Latin American regional integration</w:t>
      </w:r>
      <w:r w:rsidRPr="00D869E3">
        <w:rPr>
          <w:rFonts w:ascii="Verdana" w:eastAsia="Times New Roman" w:hAnsi="Verdana"/>
          <w:sz w:val="20"/>
          <w:szCs w:val="20"/>
          <w:lang w:val="en-US"/>
        </w:rPr>
        <w:t>,” or</w:t>
      </w:r>
      <w:r w:rsidR="003C2143" w:rsidRPr="00D869E3">
        <w:rPr>
          <w:rFonts w:ascii="Verdana" w:hAnsi="Verdana"/>
          <w:sz w:val="20"/>
          <w:szCs w:val="20"/>
          <w:lang w:val="en-US"/>
        </w:rPr>
        <w:t xml:space="preserve"> </w:t>
      </w:r>
      <w:r w:rsidR="006436CA" w:rsidRPr="00D869E3">
        <w:rPr>
          <w:rFonts w:ascii="Verdana" w:hAnsi="Verdana"/>
          <w:sz w:val="20"/>
          <w:szCs w:val="20"/>
          <w:lang w:val="en-US"/>
        </w:rPr>
        <w:t>“</w:t>
      </w:r>
      <w:r w:rsidR="005848A5" w:rsidRPr="00D869E3">
        <w:rPr>
          <w:rFonts w:ascii="Verdana" w:hAnsi="Verdana"/>
          <w:i/>
          <w:sz w:val="20"/>
          <w:szCs w:val="20"/>
          <w:lang w:val="en-US"/>
        </w:rPr>
        <w:t>basic goals</w:t>
      </w:r>
      <w:r w:rsidR="006436CA" w:rsidRPr="00D869E3">
        <w:rPr>
          <w:rFonts w:ascii="Verdana" w:hAnsi="Verdana"/>
          <w:sz w:val="20"/>
          <w:szCs w:val="20"/>
          <w:lang w:val="en-US"/>
        </w:rPr>
        <w:t>”</w:t>
      </w:r>
      <w:r w:rsidR="003C2143" w:rsidRPr="00D869E3">
        <w:rPr>
          <w:rFonts w:ascii="Verdana" w:hAnsi="Verdana"/>
          <w:sz w:val="20"/>
          <w:szCs w:val="20"/>
          <w:lang w:val="en-US"/>
        </w:rPr>
        <w:t xml:space="preserve"> </w:t>
      </w:r>
      <w:r w:rsidR="005848A5" w:rsidRPr="00D869E3">
        <w:rPr>
          <w:rFonts w:ascii="Verdana" w:hAnsi="Verdana"/>
          <w:sz w:val="20"/>
          <w:szCs w:val="20"/>
          <w:lang w:val="en-US"/>
        </w:rPr>
        <w:t>to achieve</w:t>
      </w:r>
      <w:r w:rsidR="003C2143" w:rsidRPr="00D869E3">
        <w:rPr>
          <w:rFonts w:ascii="Verdana" w:hAnsi="Verdana"/>
          <w:sz w:val="20"/>
          <w:szCs w:val="20"/>
          <w:lang w:val="en-US"/>
        </w:rPr>
        <w:t xml:space="preserve"> </w:t>
      </w:r>
      <w:r w:rsidR="006436CA" w:rsidRPr="00D869E3">
        <w:rPr>
          <w:rFonts w:ascii="Verdana" w:hAnsi="Verdana"/>
          <w:sz w:val="20"/>
          <w:szCs w:val="20"/>
          <w:lang w:val="en-US"/>
        </w:rPr>
        <w:t>“</w:t>
      </w:r>
      <w:r w:rsidR="005848A5" w:rsidRPr="00D869E3">
        <w:rPr>
          <w:rFonts w:ascii="Verdana" w:hAnsi="Verdana"/>
          <w:i/>
          <w:iCs/>
          <w:sz w:val="20"/>
          <w:szCs w:val="20"/>
          <w:lang w:val="en-US"/>
        </w:rPr>
        <w:t>basic objectives of integral development</w:t>
      </w:r>
      <w:r w:rsidR="006436CA" w:rsidRPr="00D869E3">
        <w:rPr>
          <w:rFonts w:ascii="Verdana" w:hAnsi="Verdana"/>
          <w:sz w:val="20"/>
          <w:szCs w:val="20"/>
          <w:lang w:val="en-US"/>
        </w:rPr>
        <w:t>”</w:t>
      </w:r>
      <w:r w:rsidR="005848A5" w:rsidRPr="00D869E3">
        <w:rPr>
          <w:rFonts w:ascii="Verdana" w:hAnsi="Verdana"/>
          <w:sz w:val="20"/>
          <w:szCs w:val="20"/>
          <w:lang w:val="en-US"/>
        </w:rPr>
        <w:t xml:space="preserve">; and, in all these hypotheses, they established an obligation of conduct that is expressed in devoting </w:t>
      </w:r>
      <w:r w:rsidR="006B7F68" w:rsidRPr="00D869E3">
        <w:rPr>
          <w:rFonts w:ascii="Verdana" w:hAnsi="Verdana"/>
          <w:sz w:val="20"/>
          <w:szCs w:val="20"/>
          <w:lang w:val="en-US"/>
        </w:rPr>
        <w:t>the</w:t>
      </w:r>
      <w:r w:rsidR="005848A5" w:rsidRPr="00D869E3">
        <w:rPr>
          <w:rFonts w:ascii="Verdana" w:hAnsi="Verdana"/>
          <w:sz w:val="20"/>
          <w:szCs w:val="20"/>
          <w:lang w:val="en-US"/>
        </w:rPr>
        <w:t xml:space="preserve"> “</w:t>
      </w:r>
      <w:r w:rsidR="005848A5" w:rsidRPr="00D869E3">
        <w:rPr>
          <w:rFonts w:ascii="Verdana" w:hAnsi="Verdana"/>
          <w:i/>
          <w:iCs/>
          <w:sz w:val="20"/>
          <w:szCs w:val="20"/>
          <w:lang w:val="en-US"/>
        </w:rPr>
        <w:t>utmost efforts</w:t>
      </w:r>
      <w:r w:rsidR="005848A5" w:rsidRPr="00D869E3">
        <w:rPr>
          <w:rFonts w:ascii="Verdana" w:hAnsi="Verdana"/>
          <w:sz w:val="20"/>
          <w:szCs w:val="20"/>
          <w:lang w:val="en-US"/>
        </w:rPr>
        <w:t>” to achieve th</w:t>
      </w:r>
      <w:r w:rsidR="00A71614" w:rsidRPr="00D869E3">
        <w:rPr>
          <w:rFonts w:ascii="Verdana" w:hAnsi="Verdana"/>
          <w:sz w:val="20"/>
          <w:szCs w:val="20"/>
          <w:lang w:val="en-US"/>
        </w:rPr>
        <w:t>e said</w:t>
      </w:r>
      <w:r w:rsidR="005848A5" w:rsidRPr="00D869E3">
        <w:rPr>
          <w:rFonts w:ascii="Verdana" w:hAnsi="Verdana"/>
          <w:sz w:val="20"/>
          <w:szCs w:val="20"/>
          <w:lang w:val="en-US"/>
        </w:rPr>
        <w:t xml:space="preserve"> goals</w:t>
      </w:r>
      <w:r w:rsidR="003C2143" w:rsidRPr="00D869E3">
        <w:rPr>
          <w:rFonts w:ascii="Verdana" w:hAnsi="Verdana"/>
          <w:sz w:val="20"/>
          <w:szCs w:val="20"/>
          <w:lang w:val="en-US"/>
        </w:rPr>
        <w:t>.</w:t>
      </w:r>
    </w:p>
    <w:p w14:paraId="22D65BB2" w14:textId="77777777" w:rsidR="003C2143" w:rsidRPr="00D869E3" w:rsidRDefault="003C2143" w:rsidP="003C2143">
      <w:pPr>
        <w:jc w:val="both"/>
        <w:rPr>
          <w:rFonts w:ascii="Verdana" w:hAnsi="Verdana"/>
          <w:sz w:val="20"/>
          <w:szCs w:val="20"/>
          <w:lang w:val="en-US"/>
        </w:rPr>
      </w:pPr>
    </w:p>
    <w:p w14:paraId="131F5D63" w14:textId="1A4A2791" w:rsidR="00A71614" w:rsidRPr="00D869E3" w:rsidRDefault="00A71614" w:rsidP="003C2143">
      <w:pPr>
        <w:jc w:val="both"/>
        <w:rPr>
          <w:rFonts w:ascii="Verdana" w:hAnsi="Verdana"/>
          <w:sz w:val="20"/>
          <w:szCs w:val="20"/>
          <w:lang w:val="en-US"/>
        </w:rPr>
      </w:pPr>
      <w:r w:rsidRPr="00D869E3">
        <w:rPr>
          <w:rFonts w:ascii="Verdana" w:hAnsi="Verdana"/>
          <w:sz w:val="20"/>
          <w:szCs w:val="20"/>
          <w:lang w:val="en-US"/>
        </w:rPr>
        <w:t>In other words, strictly speaking, these provisions do not establish rights, but rather the obligation of the respective State to devote its “</w:t>
      </w:r>
      <w:r w:rsidRPr="00D869E3">
        <w:rPr>
          <w:rFonts w:ascii="Verdana" w:hAnsi="Verdana"/>
          <w:i/>
          <w:iCs/>
          <w:sz w:val="20"/>
          <w:szCs w:val="20"/>
          <w:lang w:val="en-US"/>
        </w:rPr>
        <w:t>utmost efforts</w:t>
      </w:r>
      <w:r w:rsidRPr="00D869E3">
        <w:rPr>
          <w:rFonts w:ascii="Verdana" w:hAnsi="Verdana"/>
          <w:sz w:val="20"/>
          <w:szCs w:val="20"/>
          <w:lang w:val="en-US"/>
        </w:rPr>
        <w:t>” to achieve the goal of economic development and peace, Latin American integration or comprehensive development, as appropriate. Consequently, and also based on the general wording used in the OAS Charter to refer to the matters addressed in the said provisions, it can be concluded that they are considered to be “</w:t>
      </w:r>
      <w:r w:rsidRPr="00D869E3">
        <w:rPr>
          <w:rFonts w:ascii="Verdana" w:hAnsi="Verdana"/>
          <w:i/>
          <w:iCs/>
          <w:sz w:val="20"/>
          <w:szCs w:val="20"/>
          <w:lang w:val="en-US"/>
        </w:rPr>
        <w:t xml:space="preserve">goals” </w:t>
      </w:r>
      <w:r w:rsidRPr="00D869E3">
        <w:rPr>
          <w:rFonts w:ascii="Verdana" w:hAnsi="Verdana"/>
          <w:sz w:val="20"/>
          <w:szCs w:val="20"/>
          <w:lang w:val="en-US"/>
        </w:rPr>
        <w:t>or</w:t>
      </w:r>
      <w:r w:rsidRPr="00D869E3">
        <w:rPr>
          <w:rFonts w:ascii="Verdana" w:hAnsi="Verdana"/>
          <w:i/>
          <w:iCs/>
          <w:sz w:val="20"/>
          <w:szCs w:val="20"/>
          <w:lang w:val="en-US"/>
        </w:rPr>
        <w:t xml:space="preserve"> “objectives</w:t>
      </w:r>
      <w:r w:rsidRPr="00D869E3">
        <w:rPr>
          <w:rFonts w:ascii="Verdana" w:hAnsi="Verdana"/>
          <w:sz w:val="20"/>
          <w:szCs w:val="20"/>
          <w:lang w:val="en-US"/>
        </w:rPr>
        <w:t>” to achieve or as “</w:t>
      </w:r>
      <w:r w:rsidRPr="00D869E3">
        <w:rPr>
          <w:rFonts w:ascii="Verdana" w:hAnsi="Verdana"/>
          <w:i/>
          <w:iCs/>
          <w:sz w:val="20"/>
          <w:szCs w:val="20"/>
          <w:lang w:val="en-US"/>
        </w:rPr>
        <w:t>principles and mechanisms</w:t>
      </w:r>
      <w:r w:rsidR="00F556E1" w:rsidRPr="00D869E3">
        <w:rPr>
          <w:rFonts w:ascii="Verdana" w:hAnsi="Verdana"/>
          <w:sz w:val="20"/>
          <w:szCs w:val="20"/>
          <w:lang w:val="en-US"/>
        </w:rPr>
        <w:t xml:space="preserve">” to be followed, rather than rights that </w:t>
      </w:r>
      <w:r w:rsidR="006B7F68" w:rsidRPr="00D869E3">
        <w:rPr>
          <w:rFonts w:ascii="Verdana" w:hAnsi="Verdana"/>
          <w:sz w:val="20"/>
          <w:szCs w:val="20"/>
          <w:lang w:val="en-US"/>
        </w:rPr>
        <w:t xml:space="preserve">the individual </w:t>
      </w:r>
      <w:r w:rsidR="00F556E1" w:rsidRPr="00D869E3">
        <w:rPr>
          <w:rFonts w:ascii="Verdana" w:hAnsi="Verdana"/>
          <w:sz w:val="20"/>
          <w:szCs w:val="20"/>
          <w:lang w:val="en-US"/>
        </w:rPr>
        <w:t>can judicialize internationally.</w:t>
      </w:r>
    </w:p>
    <w:p w14:paraId="521C5E3D" w14:textId="77777777" w:rsidR="003C2143" w:rsidRPr="00D869E3" w:rsidRDefault="003C2143" w:rsidP="003C2143">
      <w:pPr>
        <w:jc w:val="both"/>
        <w:rPr>
          <w:rFonts w:ascii="Verdana" w:hAnsi="Verdana"/>
          <w:i/>
          <w:sz w:val="20"/>
          <w:szCs w:val="20"/>
          <w:lang w:val="en-US"/>
        </w:rPr>
      </w:pPr>
    </w:p>
    <w:p w14:paraId="753A1D85" w14:textId="72A9799F" w:rsidR="00F556E1" w:rsidRPr="00D869E3" w:rsidRDefault="00F556E1" w:rsidP="00F556E1">
      <w:pPr>
        <w:jc w:val="both"/>
        <w:rPr>
          <w:rFonts w:ascii="Verdana" w:hAnsi="Verdana"/>
          <w:sz w:val="20"/>
          <w:szCs w:val="20"/>
          <w:lang w:val="en-US"/>
        </w:rPr>
      </w:pPr>
      <w:r w:rsidRPr="00D869E3">
        <w:rPr>
          <w:rFonts w:ascii="Verdana" w:hAnsi="Verdana"/>
          <w:sz w:val="20"/>
          <w:szCs w:val="20"/>
          <w:lang w:val="en-US"/>
        </w:rPr>
        <w:t xml:space="preserve">Furthermore, it should be pointed out that the provisions of the OAS Charter cited in the judgment are </w:t>
      </w:r>
      <w:r w:rsidR="0078053A" w:rsidRPr="00D869E3">
        <w:rPr>
          <w:rFonts w:ascii="Verdana" w:hAnsi="Verdana"/>
          <w:sz w:val="20"/>
          <w:szCs w:val="20"/>
          <w:lang w:val="en-US"/>
        </w:rPr>
        <w:t>placed</w:t>
      </w:r>
      <w:r w:rsidRPr="00D869E3">
        <w:rPr>
          <w:rFonts w:ascii="Verdana" w:hAnsi="Verdana"/>
          <w:sz w:val="20"/>
          <w:szCs w:val="20"/>
          <w:lang w:val="en-US"/>
        </w:rPr>
        <w:t xml:space="preserve"> in Chapter VII of this international legal instrument, which is entitled “</w:t>
      </w:r>
      <w:r w:rsidRPr="00D869E3">
        <w:rPr>
          <w:rFonts w:ascii="Verdana" w:hAnsi="Verdana"/>
          <w:i/>
          <w:iCs/>
          <w:sz w:val="20"/>
          <w:szCs w:val="20"/>
          <w:lang w:val="en-US"/>
        </w:rPr>
        <w:t>Integral Development</w:t>
      </w:r>
      <w:r w:rsidRPr="00D869E3">
        <w:rPr>
          <w:rFonts w:ascii="Verdana" w:hAnsi="Verdana"/>
          <w:sz w:val="20"/>
          <w:szCs w:val="20"/>
          <w:lang w:val="en-US"/>
        </w:rPr>
        <w:t xml:space="preserve">,” and that the first article in this chapter, </w:t>
      </w:r>
      <w:r w:rsidR="00447C65" w:rsidRPr="00D869E3">
        <w:rPr>
          <w:rFonts w:ascii="Verdana" w:hAnsi="Verdana"/>
          <w:sz w:val="20"/>
          <w:szCs w:val="20"/>
          <w:lang w:val="en-US"/>
        </w:rPr>
        <w:t>Article</w:t>
      </w:r>
      <w:r w:rsidR="003C2143" w:rsidRPr="00D869E3">
        <w:rPr>
          <w:rFonts w:ascii="Verdana" w:hAnsi="Verdana"/>
          <w:sz w:val="20"/>
          <w:szCs w:val="20"/>
          <w:lang w:val="en-US"/>
        </w:rPr>
        <w:t xml:space="preserve"> 30</w:t>
      </w:r>
      <w:r w:rsidRPr="00D869E3">
        <w:rPr>
          <w:rFonts w:ascii="Verdana" w:hAnsi="Verdana"/>
          <w:sz w:val="20"/>
          <w:szCs w:val="20"/>
          <w:lang w:val="en-US"/>
        </w:rPr>
        <w:t>,</w:t>
      </w:r>
      <w:r w:rsidR="003C2143" w:rsidRPr="00D869E3">
        <w:rPr>
          <w:rStyle w:val="Refdenotaalpie"/>
          <w:szCs w:val="20"/>
          <w:lang w:val="en-US"/>
        </w:rPr>
        <w:footnoteReference w:id="416"/>
      </w:r>
      <w:r w:rsidRPr="00D869E3">
        <w:rPr>
          <w:rFonts w:ascii="Verdana" w:hAnsi="Verdana"/>
          <w:sz w:val="20"/>
          <w:szCs w:val="20"/>
          <w:lang w:val="en-US"/>
        </w:rPr>
        <w:t xml:space="preserve"> considers this development as an objective to achieve through compliance with the </w:t>
      </w:r>
      <w:r w:rsidR="006B7F68" w:rsidRPr="00D869E3">
        <w:rPr>
          <w:rFonts w:ascii="Verdana" w:hAnsi="Verdana"/>
          <w:sz w:val="20"/>
          <w:szCs w:val="20"/>
          <w:lang w:val="en-US"/>
        </w:rPr>
        <w:t>provision</w:t>
      </w:r>
      <w:r w:rsidRPr="00D869E3">
        <w:rPr>
          <w:rFonts w:ascii="Verdana" w:hAnsi="Verdana"/>
          <w:sz w:val="20"/>
          <w:szCs w:val="20"/>
          <w:lang w:val="en-US"/>
        </w:rPr>
        <w:t>s that follow. It should also be noted that the other articles in this chapter reaffirm the concept that these are “</w:t>
      </w:r>
      <w:r w:rsidRPr="00D869E3">
        <w:rPr>
          <w:rFonts w:ascii="Verdana" w:hAnsi="Verdana"/>
          <w:i/>
          <w:iCs/>
          <w:sz w:val="20"/>
          <w:szCs w:val="20"/>
          <w:lang w:val="en-US"/>
        </w:rPr>
        <w:t>goals</w:t>
      </w:r>
      <w:r w:rsidRPr="00D869E3">
        <w:rPr>
          <w:rFonts w:ascii="Verdana" w:hAnsi="Verdana"/>
          <w:sz w:val="20"/>
          <w:szCs w:val="20"/>
          <w:lang w:val="en-US"/>
        </w:rPr>
        <w:t>” that the States undertake to achieve and not rights that may be judicialized internationally.</w:t>
      </w:r>
    </w:p>
    <w:p w14:paraId="43DF6959" w14:textId="77777777" w:rsidR="003C2143" w:rsidRPr="00D869E3" w:rsidRDefault="003C2143" w:rsidP="003C2143">
      <w:pPr>
        <w:jc w:val="both"/>
        <w:rPr>
          <w:rFonts w:ascii="Verdana" w:hAnsi="Verdana"/>
          <w:sz w:val="20"/>
          <w:szCs w:val="20"/>
          <w:lang w:val="en-US"/>
        </w:rPr>
      </w:pPr>
    </w:p>
    <w:p w14:paraId="4C6C10E0" w14:textId="4C13EC9A" w:rsidR="009C3C86" w:rsidRPr="00D869E3" w:rsidRDefault="00F556E1" w:rsidP="003C2143">
      <w:pPr>
        <w:jc w:val="both"/>
        <w:rPr>
          <w:rFonts w:ascii="Verdana" w:hAnsi="Verdana"/>
          <w:sz w:val="20"/>
          <w:szCs w:val="20"/>
          <w:lang w:val="en-US"/>
        </w:rPr>
      </w:pPr>
      <w:r w:rsidRPr="00D869E3">
        <w:rPr>
          <w:rFonts w:ascii="Verdana" w:hAnsi="Verdana"/>
          <w:sz w:val="20"/>
          <w:szCs w:val="20"/>
          <w:lang w:val="en-US"/>
        </w:rPr>
        <w:t xml:space="preserve">In other words, it is </w:t>
      </w:r>
      <w:r w:rsidR="006B7F68" w:rsidRPr="00D869E3">
        <w:rPr>
          <w:rFonts w:ascii="Verdana" w:hAnsi="Verdana"/>
          <w:sz w:val="20"/>
          <w:szCs w:val="20"/>
          <w:lang w:val="en-US"/>
        </w:rPr>
        <w:t>plain</w:t>
      </w:r>
      <w:r w:rsidRPr="00D869E3">
        <w:rPr>
          <w:rFonts w:ascii="Verdana" w:hAnsi="Verdana"/>
          <w:sz w:val="20"/>
          <w:szCs w:val="20"/>
          <w:lang w:val="en-US"/>
        </w:rPr>
        <w:t xml:space="preserve"> that, applying the rule of harmonious interpretation established in  </w:t>
      </w:r>
      <w:r w:rsidR="00447C65" w:rsidRPr="00D869E3">
        <w:rPr>
          <w:rFonts w:ascii="Verdana" w:hAnsi="Verdana"/>
          <w:sz w:val="20"/>
          <w:szCs w:val="20"/>
          <w:lang w:val="en-US"/>
        </w:rPr>
        <w:t>Article</w:t>
      </w:r>
      <w:r w:rsidR="003C2143" w:rsidRPr="00D869E3">
        <w:rPr>
          <w:rFonts w:ascii="Verdana" w:hAnsi="Verdana"/>
          <w:sz w:val="20"/>
          <w:szCs w:val="20"/>
          <w:lang w:val="en-US"/>
        </w:rPr>
        <w:t xml:space="preserve"> 31</w:t>
      </w:r>
      <w:r w:rsidR="00447C65" w:rsidRPr="00D869E3">
        <w:rPr>
          <w:rFonts w:ascii="Verdana" w:hAnsi="Verdana"/>
          <w:sz w:val="20"/>
          <w:szCs w:val="20"/>
          <w:lang w:val="en-US"/>
        </w:rPr>
        <w:t xml:space="preserve"> of the </w:t>
      </w:r>
      <w:r w:rsidR="00075E68" w:rsidRPr="00D869E3">
        <w:rPr>
          <w:rFonts w:ascii="Verdana" w:hAnsi="Verdana"/>
          <w:sz w:val="20"/>
          <w:szCs w:val="20"/>
          <w:lang w:val="en-US"/>
        </w:rPr>
        <w:t>Vienna Convention on the Law of Treaties</w:t>
      </w:r>
      <w:r w:rsidRPr="00D869E3">
        <w:rPr>
          <w:rFonts w:ascii="Verdana" w:hAnsi="Verdana"/>
          <w:sz w:val="20"/>
          <w:szCs w:val="20"/>
          <w:lang w:val="en-US"/>
        </w:rPr>
        <w:t>,</w:t>
      </w:r>
      <w:r w:rsidR="003C2143" w:rsidRPr="00D869E3">
        <w:rPr>
          <w:rStyle w:val="Refdenotaalpie"/>
          <w:szCs w:val="20"/>
          <w:lang w:val="en-US"/>
        </w:rPr>
        <w:footnoteReference w:id="417"/>
      </w:r>
      <w:r w:rsidRPr="00D869E3">
        <w:rPr>
          <w:rFonts w:ascii="Verdana" w:hAnsi="Verdana"/>
          <w:sz w:val="20"/>
          <w:szCs w:val="20"/>
          <w:lang w:val="en-US"/>
        </w:rPr>
        <w:t xml:space="preserve"> it is not pos</w:t>
      </w:r>
      <w:r w:rsidR="009C3C86" w:rsidRPr="00D869E3">
        <w:rPr>
          <w:rFonts w:ascii="Verdana" w:hAnsi="Verdana"/>
          <w:sz w:val="20"/>
          <w:szCs w:val="20"/>
          <w:lang w:val="en-US"/>
        </w:rPr>
        <w:t>s</w:t>
      </w:r>
      <w:r w:rsidRPr="00D869E3">
        <w:rPr>
          <w:rFonts w:ascii="Verdana" w:hAnsi="Verdana"/>
          <w:sz w:val="20"/>
          <w:szCs w:val="20"/>
          <w:lang w:val="en-US"/>
        </w:rPr>
        <w:t xml:space="preserve">ible to infer that it was agreed that the standards established in the said </w:t>
      </w:r>
      <w:r w:rsidR="00CC766D" w:rsidRPr="00D869E3">
        <w:rPr>
          <w:rFonts w:ascii="Verdana" w:hAnsi="Verdana"/>
          <w:sz w:val="20"/>
          <w:szCs w:val="20"/>
          <w:lang w:val="en-US"/>
        </w:rPr>
        <w:t>Chapter</w:t>
      </w:r>
      <w:r w:rsidR="003C2143" w:rsidRPr="00D869E3">
        <w:rPr>
          <w:rFonts w:ascii="Verdana" w:hAnsi="Verdana"/>
          <w:sz w:val="20"/>
          <w:szCs w:val="20"/>
          <w:lang w:val="en-US"/>
        </w:rPr>
        <w:t xml:space="preserve"> VII</w:t>
      </w:r>
      <w:r w:rsidRPr="00D869E3">
        <w:rPr>
          <w:rFonts w:ascii="Verdana" w:hAnsi="Verdana"/>
          <w:sz w:val="20"/>
          <w:szCs w:val="20"/>
          <w:lang w:val="en-US"/>
        </w:rPr>
        <w:t xml:space="preserve"> established rights for the individual; rather they are </w:t>
      </w:r>
      <w:r w:rsidR="006B7F68" w:rsidRPr="00D869E3">
        <w:rPr>
          <w:rFonts w:ascii="Verdana" w:hAnsi="Verdana"/>
          <w:sz w:val="20"/>
          <w:szCs w:val="20"/>
          <w:lang w:val="en-US"/>
        </w:rPr>
        <w:t xml:space="preserve">State </w:t>
      </w:r>
      <w:r w:rsidRPr="00D869E3">
        <w:rPr>
          <w:rFonts w:ascii="Verdana" w:hAnsi="Verdana"/>
          <w:sz w:val="20"/>
          <w:szCs w:val="20"/>
          <w:lang w:val="en-US"/>
        </w:rPr>
        <w:t xml:space="preserve">obligations </w:t>
      </w:r>
      <w:r w:rsidR="006B7F68" w:rsidRPr="00D869E3">
        <w:rPr>
          <w:rFonts w:ascii="Verdana" w:hAnsi="Verdana"/>
          <w:sz w:val="20"/>
          <w:szCs w:val="20"/>
          <w:lang w:val="en-US"/>
        </w:rPr>
        <w:t>when</w:t>
      </w:r>
      <w:r w:rsidR="009C3C86" w:rsidRPr="00D869E3">
        <w:rPr>
          <w:rFonts w:ascii="Verdana" w:hAnsi="Verdana"/>
          <w:sz w:val="20"/>
          <w:szCs w:val="20"/>
          <w:lang w:val="en-US"/>
        </w:rPr>
        <w:t xml:space="preserve"> elaborati</w:t>
      </w:r>
      <w:r w:rsidR="006B7F68" w:rsidRPr="00D869E3">
        <w:rPr>
          <w:rFonts w:ascii="Verdana" w:hAnsi="Verdana"/>
          <w:sz w:val="20"/>
          <w:szCs w:val="20"/>
          <w:lang w:val="en-US"/>
        </w:rPr>
        <w:t>ng</w:t>
      </w:r>
      <w:r w:rsidR="009C3C86" w:rsidRPr="00D869E3">
        <w:rPr>
          <w:rFonts w:ascii="Verdana" w:hAnsi="Verdana"/>
          <w:sz w:val="20"/>
          <w:szCs w:val="20"/>
          <w:lang w:val="en-US"/>
        </w:rPr>
        <w:t xml:space="preserve"> and appl</w:t>
      </w:r>
      <w:r w:rsidR="006B7F68" w:rsidRPr="00D869E3">
        <w:rPr>
          <w:rFonts w:ascii="Verdana" w:hAnsi="Verdana"/>
          <w:sz w:val="20"/>
          <w:szCs w:val="20"/>
          <w:lang w:val="en-US"/>
        </w:rPr>
        <w:t>ying</w:t>
      </w:r>
      <w:r w:rsidR="009C3C86" w:rsidRPr="00D869E3">
        <w:rPr>
          <w:rFonts w:ascii="Verdana" w:hAnsi="Verdana"/>
          <w:sz w:val="20"/>
          <w:szCs w:val="20"/>
          <w:lang w:val="en-US"/>
        </w:rPr>
        <w:t xml:space="preserve"> their corresponding public policies for the benefit of those who are subject to their respective jurisdictions. Thus, the object and purpose of such standards is not related to human rights, but to the integral development of the nations.</w:t>
      </w:r>
    </w:p>
    <w:p w14:paraId="6B4E8C01" w14:textId="77777777" w:rsidR="003C2143" w:rsidRPr="00D869E3" w:rsidRDefault="003C2143" w:rsidP="003C2143">
      <w:pPr>
        <w:jc w:val="both"/>
        <w:rPr>
          <w:rFonts w:ascii="Verdana" w:hAnsi="Verdana"/>
          <w:b/>
          <w:sz w:val="20"/>
          <w:szCs w:val="20"/>
          <w:lang w:val="en-US"/>
        </w:rPr>
      </w:pPr>
    </w:p>
    <w:p w14:paraId="11E36577" w14:textId="668B5D8C" w:rsidR="003C2143" w:rsidRPr="00D869E3" w:rsidRDefault="003C2143" w:rsidP="00BF692B">
      <w:pPr>
        <w:pStyle w:val="Prrafodelista"/>
        <w:numPr>
          <w:ilvl w:val="0"/>
          <w:numId w:val="31"/>
        </w:numPr>
        <w:jc w:val="both"/>
        <w:rPr>
          <w:rFonts w:ascii="Verdana" w:hAnsi="Verdana"/>
          <w:b/>
          <w:sz w:val="20"/>
          <w:szCs w:val="20"/>
          <w:lang w:val="en-US"/>
        </w:rPr>
      </w:pPr>
      <w:r w:rsidRPr="00D869E3">
        <w:rPr>
          <w:rFonts w:ascii="Verdana" w:hAnsi="Verdana"/>
          <w:b/>
          <w:sz w:val="20"/>
          <w:szCs w:val="20"/>
          <w:lang w:val="en-US"/>
        </w:rPr>
        <w:t>Conse</w:t>
      </w:r>
      <w:r w:rsidR="00331C63" w:rsidRPr="00D869E3">
        <w:rPr>
          <w:rFonts w:ascii="Verdana" w:hAnsi="Verdana"/>
          <w:b/>
          <w:sz w:val="20"/>
          <w:szCs w:val="20"/>
          <w:lang w:val="en-US"/>
        </w:rPr>
        <w:t>quences</w:t>
      </w:r>
    </w:p>
    <w:p w14:paraId="0B90AF9C" w14:textId="77777777" w:rsidR="00331C63" w:rsidRPr="00D869E3" w:rsidRDefault="00331C63" w:rsidP="00331C63">
      <w:pPr>
        <w:pStyle w:val="Prrafodelista"/>
        <w:jc w:val="both"/>
        <w:rPr>
          <w:rFonts w:ascii="Verdana" w:hAnsi="Verdana"/>
          <w:b/>
          <w:sz w:val="20"/>
          <w:szCs w:val="20"/>
          <w:lang w:val="en-US"/>
        </w:rPr>
      </w:pPr>
    </w:p>
    <w:p w14:paraId="5BB837D5" w14:textId="5CB6FB8D" w:rsidR="003C2143" w:rsidRPr="00D869E3" w:rsidRDefault="009C3C86" w:rsidP="003C2143">
      <w:pPr>
        <w:jc w:val="both"/>
        <w:rPr>
          <w:rFonts w:ascii="Verdana" w:hAnsi="Verdana"/>
          <w:sz w:val="20"/>
          <w:szCs w:val="20"/>
          <w:lang w:val="en-US"/>
        </w:rPr>
      </w:pPr>
      <w:r w:rsidRPr="00D869E3">
        <w:rPr>
          <w:rFonts w:ascii="Verdana" w:hAnsi="Verdana"/>
          <w:sz w:val="20"/>
          <w:szCs w:val="20"/>
          <w:lang w:val="en-US"/>
        </w:rPr>
        <w:t xml:space="preserve">Regarding the interpretation made in the judgment </w:t>
      </w:r>
      <w:r w:rsidR="00837E52" w:rsidRPr="00D869E3">
        <w:rPr>
          <w:rFonts w:ascii="Verdana" w:hAnsi="Verdana"/>
          <w:sz w:val="20"/>
          <w:szCs w:val="20"/>
          <w:lang w:val="en-US"/>
        </w:rPr>
        <w:t>that</w:t>
      </w:r>
      <w:r w:rsidRPr="00D869E3">
        <w:rPr>
          <w:rFonts w:ascii="Verdana" w:hAnsi="Verdana"/>
          <w:sz w:val="20"/>
          <w:szCs w:val="20"/>
          <w:lang w:val="en-US"/>
        </w:rPr>
        <w:t xml:space="preserve"> the rights referred to in</w:t>
      </w:r>
      <w:r w:rsidR="003C2143" w:rsidRPr="00D869E3">
        <w:rPr>
          <w:rFonts w:ascii="Verdana" w:hAnsi="Verdana"/>
          <w:sz w:val="20"/>
          <w:szCs w:val="20"/>
          <w:lang w:val="en-US"/>
        </w:rPr>
        <w:t xml:space="preserve"> </w:t>
      </w:r>
      <w:r w:rsidR="00447C65" w:rsidRPr="00D869E3">
        <w:rPr>
          <w:rFonts w:ascii="Verdana" w:hAnsi="Verdana"/>
          <w:sz w:val="20"/>
          <w:szCs w:val="20"/>
          <w:lang w:val="en-US"/>
        </w:rPr>
        <w:t>Article</w:t>
      </w:r>
      <w:r w:rsidR="003C2143" w:rsidRPr="00D869E3">
        <w:rPr>
          <w:rFonts w:ascii="Verdana" w:hAnsi="Verdana"/>
          <w:sz w:val="20"/>
          <w:szCs w:val="20"/>
          <w:lang w:val="en-US"/>
        </w:rPr>
        <w:t xml:space="preserve"> 26</w:t>
      </w:r>
      <w:r w:rsidR="00447C65" w:rsidRPr="00D869E3">
        <w:rPr>
          <w:rFonts w:ascii="Verdana" w:hAnsi="Verdana"/>
          <w:sz w:val="20"/>
          <w:szCs w:val="20"/>
          <w:lang w:val="en-US"/>
        </w:rPr>
        <w:t xml:space="preserve"> of the Convention</w:t>
      </w:r>
      <w:r w:rsidRPr="00D869E3">
        <w:rPr>
          <w:rFonts w:ascii="Verdana" w:hAnsi="Verdana"/>
          <w:sz w:val="20"/>
          <w:szCs w:val="20"/>
          <w:lang w:val="en-US"/>
        </w:rPr>
        <w:t xml:space="preserve"> would also be</w:t>
      </w:r>
      <w:r w:rsidR="003C2143" w:rsidRPr="00D869E3">
        <w:rPr>
          <w:rFonts w:ascii="Verdana" w:hAnsi="Verdana"/>
          <w:sz w:val="20"/>
          <w:szCs w:val="20"/>
          <w:lang w:val="en-US"/>
        </w:rPr>
        <w:t xml:space="preserve"> </w:t>
      </w:r>
      <w:r w:rsidR="006436CA" w:rsidRPr="00D869E3">
        <w:rPr>
          <w:rFonts w:ascii="Verdana" w:hAnsi="Verdana"/>
          <w:sz w:val="20"/>
          <w:szCs w:val="20"/>
          <w:lang w:val="en-US"/>
        </w:rPr>
        <w:t>“</w:t>
      </w:r>
      <w:r w:rsidR="00837E52" w:rsidRPr="00D869E3">
        <w:rPr>
          <w:rFonts w:ascii="Verdana" w:hAnsi="Verdana"/>
          <w:i/>
          <w:iCs/>
          <w:sz w:val="20"/>
          <w:szCs w:val="20"/>
          <w:lang w:val="en-US"/>
        </w:rPr>
        <w:t>enforceable in all cases before the competent authorities</w:t>
      </w:r>
      <w:r w:rsidRPr="00D869E3">
        <w:rPr>
          <w:rFonts w:ascii="Verdana" w:hAnsi="Verdana"/>
          <w:i/>
          <w:sz w:val="20"/>
          <w:szCs w:val="20"/>
          <w:lang w:val="en-US"/>
        </w:rPr>
        <w:t>,</w:t>
      </w:r>
      <w:r w:rsidR="006436CA" w:rsidRPr="00D869E3">
        <w:rPr>
          <w:rFonts w:ascii="Verdana" w:hAnsi="Verdana"/>
          <w:sz w:val="20"/>
          <w:szCs w:val="20"/>
          <w:lang w:val="en-US"/>
        </w:rPr>
        <w:t>”</w:t>
      </w:r>
      <w:r w:rsidR="003C2143" w:rsidRPr="00D869E3">
        <w:rPr>
          <w:rStyle w:val="Refdenotaalpie"/>
          <w:szCs w:val="20"/>
          <w:lang w:val="en-US"/>
        </w:rPr>
        <w:footnoteReference w:id="418"/>
      </w:r>
      <w:r w:rsidR="003C2143" w:rsidRPr="00D869E3">
        <w:rPr>
          <w:rFonts w:ascii="Verdana" w:hAnsi="Verdana"/>
          <w:sz w:val="20"/>
          <w:szCs w:val="20"/>
          <w:lang w:val="en-US"/>
        </w:rPr>
        <w:t xml:space="preserve"> </w:t>
      </w:r>
      <w:r w:rsidR="00837E52" w:rsidRPr="00D869E3">
        <w:rPr>
          <w:rFonts w:ascii="Verdana" w:hAnsi="Verdana"/>
          <w:sz w:val="20"/>
          <w:szCs w:val="20"/>
          <w:lang w:val="en-US"/>
        </w:rPr>
        <w:t xml:space="preserve">this begs the question of </w:t>
      </w:r>
      <w:r w:rsidRPr="00D869E3">
        <w:rPr>
          <w:rFonts w:ascii="Verdana" w:hAnsi="Verdana"/>
          <w:sz w:val="20"/>
          <w:szCs w:val="20"/>
          <w:lang w:val="en-US"/>
        </w:rPr>
        <w:t>why the said rights were not directly included in the articles of the Convention, as</w:t>
      </w:r>
      <w:r w:rsidR="00837E52" w:rsidRPr="00D869E3">
        <w:rPr>
          <w:rFonts w:ascii="Verdana" w:hAnsi="Verdana"/>
          <w:sz w:val="20"/>
          <w:szCs w:val="20"/>
          <w:lang w:val="en-US"/>
        </w:rPr>
        <w:t xml:space="preserve"> </w:t>
      </w:r>
      <w:r w:rsidRPr="00D869E3">
        <w:rPr>
          <w:rFonts w:ascii="Verdana" w:hAnsi="Verdana"/>
          <w:sz w:val="20"/>
          <w:szCs w:val="20"/>
          <w:lang w:val="en-US"/>
        </w:rPr>
        <w:t xml:space="preserve">the </w:t>
      </w:r>
      <w:r w:rsidRPr="00D869E3">
        <w:rPr>
          <w:rFonts w:ascii="Verdana" w:hAnsi="Verdana"/>
          <w:i/>
          <w:iCs/>
          <w:sz w:val="20"/>
          <w:szCs w:val="20"/>
          <w:lang w:val="en-US"/>
        </w:rPr>
        <w:t>Civil and Political Rights</w:t>
      </w:r>
      <w:r w:rsidRPr="00D869E3">
        <w:rPr>
          <w:rFonts w:ascii="Verdana" w:hAnsi="Verdana"/>
          <w:sz w:val="20"/>
          <w:szCs w:val="20"/>
          <w:lang w:val="en-US"/>
        </w:rPr>
        <w:t xml:space="preserve"> </w:t>
      </w:r>
      <w:r w:rsidR="00837E52" w:rsidRPr="00D869E3">
        <w:rPr>
          <w:rFonts w:ascii="Verdana" w:hAnsi="Verdana"/>
          <w:sz w:val="20"/>
          <w:szCs w:val="20"/>
          <w:lang w:val="en-US"/>
        </w:rPr>
        <w:t xml:space="preserve">expressly </w:t>
      </w:r>
      <w:r w:rsidR="008A2576" w:rsidRPr="00D869E3">
        <w:rPr>
          <w:rFonts w:ascii="Verdana" w:hAnsi="Verdana"/>
          <w:sz w:val="20"/>
          <w:szCs w:val="20"/>
          <w:lang w:val="en-US"/>
        </w:rPr>
        <w:t xml:space="preserve">were </w:t>
      </w:r>
      <w:r w:rsidRPr="00D869E3">
        <w:rPr>
          <w:rFonts w:ascii="Verdana" w:hAnsi="Verdana"/>
          <w:sz w:val="20"/>
          <w:szCs w:val="20"/>
          <w:lang w:val="en-US"/>
        </w:rPr>
        <w:t xml:space="preserve">and, to the contrary, it was chosen to make a general statement in the said </w:t>
      </w:r>
      <w:r w:rsidR="00837E52" w:rsidRPr="00D869E3">
        <w:rPr>
          <w:rFonts w:ascii="Verdana" w:hAnsi="Verdana"/>
          <w:sz w:val="20"/>
          <w:szCs w:val="20"/>
          <w:lang w:val="en-US"/>
        </w:rPr>
        <w:t>article</w:t>
      </w:r>
      <w:r w:rsidRPr="00D869E3">
        <w:rPr>
          <w:rFonts w:ascii="Verdana" w:hAnsi="Verdana"/>
          <w:sz w:val="20"/>
          <w:szCs w:val="20"/>
          <w:lang w:val="en-US"/>
        </w:rPr>
        <w:t xml:space="preserve">, situated in a special chapter, Chapter III of Part I, entitled </w:t>
      </w:r>
      <w:r w:rsidRPr="00D869E3">
        <w:rPr>
          <w:rFonts w:ascii="Verdana" w:hAnsi="Verdana"/>
          <w:i/>
          <w:sz w:val="20"/>
          <w:szCs w:val="20"/>
          <w:lang w:val="en-US"/>
        </w:rPr>
        <w:t>Economic, Social and Cultural Rights</w:t>
      </w:r>
      <w:r w:rsidRPr="00D869E3">
        <w:rPr>
          <w:rFonts w:ascii="Verdana" w:hAnsi="Verdana"/>
          <w:sz w:val="20"/>
          <w:szCs w:val="20"/>
          <w:lang w:val="en-US"/>
        </w:rPr>
        <w:t xml:space="preserve">. Thus, the issue is to determine the reason for the existence of the said provision and, consequently, for the regulation of the latter rights. The answer would seem evident; namely, that the </w:t>
      </w:r>
      <w:r w:rsidR="00837E52" w:rsidRPr="00D869E3">
        <w:rPr>
          <w:rFonts w:ascii="Verdana" w:hAnsi="Verdana"/>
          <w:i/>
          <w:sz w:val="20"/>
          <w:szCs w:val="20"/>
          <w:lang w:val="en-US"/>
        </w:rPr>
        <w:t xml:space="preserve">economic, social and cultural rights </w:t>
      </w:r>
      <w:r w:rsidRPr="00D869E3">
        <w:rPr>
          <w:rFonts w:ascii="Verdana" w:hAnsi="Verdana"/>
          <w:sz w:val="20"/>
          <w:szCs w:val="20"/>
          <w:lang w:val="en-US"/>
        </w:rPr>
        <w:t>are not subject to the same protection regime as the</w:t>
      </w:r>
      <w:r w:rsidR="003C2143" w:rsidRPr="00D869E3">
        <w:rPr>
          <w:rFonts w:ascii="Verdana" w:hAnsi="Verdana"/>
          <w:sz w:val="20"/>
          <w:szCs w:val="20"/>
          <w:lang w:val="en-US"/>
        </w:rPr>
        <w:t xml:space="preserve"> </w:t>
      </w:r>
      <w:r w:rsidR="00837E52" w:rsidRPr="00D869E3">
        <w:rPr>
          <w:rFonts w:ascii="Verdana" w:hAnsi="Verdana"/>
          <w:i/>
          <w:sz w:val="20"/>
          <w:szCs w:val="20"/>
          <w:lang w:val="en-US"/>
        </w:rPr>
        <w:t>civil and political rights</w:t>
      </w:r>
      <w:r w:rsidRPr="00D869E3">
        <w:rPr>
          <w:rFonts w:ascii="Verdana" w:hAnsi="Verdana"/>
          <w:i/>
          <w:sz w:val="20"/>
          <w:szCs w:val="20"/>
          <w:lang w:val="en-US"/>
        </w:rPr>
        <w:t xml:space="preserve">, </w:t>
      </w:r>
      <w:r w:rsidRPr="00D869E3">
        <w:rPr>
          <w:rFonts w:ascii="Verdana" w:hAnsi="Verdana"/>
          <w:sz w:val="20"/>
          <w:szCs w:val="20"/>
          <w:lang w:val="en-US"/>
        </w:rPr>
        <w:t>described in</w:t>
      </w:r>
      <w:r w:rsidR="003C2143" w:rsidRPr="00D869E3">
        <w:rPr>
          <w:rFonts w:ascii="Verdana" w:hAnsi="Verdana"/>
          <w:sz w:val="20"/>
          <w:szCs w:val="20"/>
          <w:lang w:val="en-US"/>
        </w:rPr>
        <w:t xml:space="preserve"> </w:t>
      </w:r>
      <w:r w:rsidR="00CC766D" w:rsidRPr="00D869E3">
        <w:rPr>
          <w:rFonts w:ascii="Verdana" w:hAnsi="Verdana"/>
          <w:sz w:val="20"/>
          <w:szCs w:val="20"/>
          <w:lang w:val="en-US"/>
        </w:rPr>
        <w:t>Chapter</w:t>
      </w:r>
      <w:r w:rsidR="003C2143" w:rsidRPr="00D869E3">
        <w:rPr>
          <w:rFonts w:ascii="Verdana" w:hAnsi="Verdana"/>
          <w:sz w:val="20"/>
          <w:szCs w:val="20"/>
          <w:lang w:val="en-US"/>
        </w:rPr>
        <w:t xml:space="preserve"> II.</w:t>
      </w:r>
      <w:r w:rsidR="003C2143" w:rsidRPr="00D869E3">
        <w:rPr>
          <w:rFonts w:ascii="Verdana" w:hAnsi="Verdana"/>
          <w:lang w:val="en-US"/>
        </w:rPr>
        <w:t xml:space="preserve"> </w:t>
      </w:r>
      <w:r w:rsidR="00711B21" w:rsidRPr="00D869E3">
        <w:rPr>
          <w:rFonts w:ascii="Verdana" w:hAnsi="Verdana"/>
          <w:sz w:val="20"/>
          <w:szCs w:val="20"/>
          <w:lang w:val="en-US"/>
        </w:rPr>
        <w:t>Thus</w:t>
      </w:r>
      <w:r w:rsidRPr="00D869E3">
        <w:rPr>
          <w:rFonts w:ascii="Verdana" w:hAnsi="Verdana"/>
          <w:sz w:val="20"/>
          <w:szCs w:val="20"/>
          <w:lang w:val="en-US"/>
        </w:rPr>
        <w:t xml:space="preserve">, although it is true that there is a close connection between both types of rights, it is also true that </w:t>
      </w:r>
      <w:r w:rsidR="00447C65" w:rsidRPr="00D869E3">
        <w:rPr>
          <w:rFonts w:ascii="Verdana" w:hAnsi="Verdana"/>
          <w:sz w:val="20"/>
          <w:szCs w:val="20"/>
          <w:lang w:val="en-US"/>
        </w:rPr>
        <w:t>the Convention</w:t>
      </w:r>
      <w:r w:rsidR="003C2143" w:rsidRPr="00D869E3">
        <w:rPr>
          <w:rFonts w:ascii="Verdana" w:hAnsi="Verdana"/>
          <w:sz w:val="20"/>
          <w:szCs w:val="20"/>
          <w:lang w:val="en-US"/>
        </w:rPr>
        <w:t xml:space="preserve"> </w:t>
      </w:r>
      <w:r w:rsidR="00FD2A94" w:rsidRPr="00D869E3">
        <w:rPr>
          <w:rFonts w:ascii="Verdana" w:hAnsi="Verdana"/>
          <w:sz w:val="20"/>
          <w:szCs w:val="20"/>
          <w:lang w:val="en-US"/>
        </w:rPr>
        <w:t xml:space="preserve">gives them a differentiated treatment, which is indicated precisely in </w:t>
      </w:r>
      <w:r w:rsidR="00447C65" w:rsidRPr="00D869E3">
        <w:rPr>
          <w:rFonts w:ascii="Verdana" w:hAnsi="Verdana"/>
          <w:sz w:val="20"/>
          <w:szCs w:val="20"/>
          <w:lang w:val="en-US"/>
        </w:rPr>
        <w:t>Article</w:t>
      </w:r>
      <w:r w:rsidR="003C2143" w:rsidRPr="00D869E3">
        <w:rPr>
          <w:rFonts w:ascii="Verdana" w:hAnsi="Verdana"/>
          <w:sz w:val="20"/>
          <w:szCs w:val="20"/>
          <w:lang w:val="en-US"/>
        </w:rPr>
        <w:t xml:space="preserve"> 26.</w:t>
      </w:r>
    </w:p>
    <w:p w14:paraId="4542C9A9" w14:textId="77777777" w:rsidR="003C2143" w:rsidRPr="00D869E3" w:rsidRDefault="003C2143" w:rsidP="003C2143">
      <w:pPr>
        <w:jc w:val="both"/>
        <w:rPr>
          <w:rFonts w:ascii="Verdana" w:hAnsi="Verdana"/>
          <w:sz w:val="20"/>
          <w:szCs w:val="20"/>
          <w:lang w:val="en-US"/>
        </w:rPr>
      </w:pPr>
    </w:p>
    <w:p w14:paraId="2E3F25B9" w14:textId="79DEE1B1" w:rsidR="003C2143" w:rsidRPr="00D869E3" w:rsidRDefault="00711B21" w:rsidP="003C2143">
      <w:pPr>
        <w:jc w:val="both"/>
        <w:rPr>
          <w:rFonts w:ascii="Verdana" w:hAnsi="Verdana"/>
          <w:sz w:val="20"/>
          <w:szCs w:val="20"/>
          <w:lang w:val="en-US"/>
        </w:rPr>
      </w:pPr>
      <w:r w:rsidRPr="00D869E3">
        <w:rPr>
          <w:rFonts w:ascii="Verdana" w:hAnsi="Verdana"/>
          <w:sz w:val="20"/>
          <w:szCs w:val="20"/>
          <w:lang w:val="en-US"/>
        </w:rPr>
        <w:t>Furthermore</w:t>
      </w:r>
      <w:r w:rsidR="003C2143" w:rsidRPr="00D869E3">
        <w:rPr>
          <w:rFonts w:ascii="Verdana" w:hAnsi="Verdana"/>
          <w:sz w:val="20"/>
          <w:szCs w:val="20"/>
          <w:lang w:val="en-US"/>
        </w:rPr>
        <w:t xml:space="preserve">, </w:t>
      </w:r>
      <w:r w:rsidRPr="00D869E3">
        <w:rPr>
          <w:rFonts w:ascii="Verdana" w:hAnsi="Verdana"/>
          <w:sz w:val="20"/>
          <w:szCs w:val="20"/>
          <w:lang w:val="en-US"/>
        </w:rPr>
        <w:t>if we accept what the judgment indicates in relation to the said</w:t>
      </w:r>
      <w:r w:rsidR="003C2143" w:rsidRPr="00D869E3">
        <w:rPr>
          <w:rFonts w:ascii="Verdana" w:hAnsi="Verdana"/>
          <w:sz w:val="20"/>
          <w:szCs w:val="20"/>
          <w:lang w:val="en-US"/>
        </w:rPr>
        <w:t xml:space="preserve"> </w:t>
      </w:r>
      <w:r w:rsidR="00447C65" w:rsidRPr="00D869E3">
        <w:rPr>
          <w:rFonts w:ascii="Verdana" w:hAnsi="Verdana"/>
          <w:sz w:val="20"/>
          <w:szCs w:val="20"/>
          <w:lang w:val="en-US"/>
        </w:rPr>
        <w:t>Article</w:t>
      </w:r>
      <w:r w:rsidR="003C2143" w:rsidRPr="00D869E3">
        <w:rPr>
          <w:rFonts w:ascii="Verdana" w:hAnsi="Verdana"/>
          <w:sz w:val="20"/>
          <w:szCs w:val="20"/>
          <w:lang w:val="en-US"/>
        </w:rPr>
        <w:t xml:space="preserve"> 26, </w:t>
      </w:r>
      <w:r w:rsidRPr="00D869E3">
        <w:rPr>
          <w:rFonts w:ascii="Verdana" w:hAnsi="Verdana"/>
          <w:sz w:val="20"/>
          <w:szCs w:val="20"/>
          <w:lang w:val="en-US"/>
        </w:rPr>
        <w:t xml:space="preserve">this would make the provisions of </w:t>
      </w:r>
      <w:r w:rsidR="00447C65" w:rsidRPr="00D869E3">
        <w:rPr>
          <w:rFonts w:ascii="Verdana" w:hAnsi="Verdana"/>
          <w:sz w:val="20"/>
          <w:szCs w:val="20"/>
          <w:lang w:val="en-US"/>
        </w:rPr>
        <w:t>Articles</w:t>
      </w:r>
      <w:r w:rsidR="003C2143" w:rsidRPr="00D869E3">
        <w:rPr>
          <w:rFonts w:ascii="Verdana" w:hAnsi="Verdana"/>
          <w:sz w:val="20"/>
          <w:szCs w:val="20"/>
          <w:lang w:val="en-US"/>
        </w:rPr>
        <w:t xml:space="preserve"> 31, 76</w:t>
      </w:r>
      <w:r w:rsidRPr="00D869E3">
        <w:rPr>
          <w:rFonts w:ascii="Verdana" w:hAnsi="Verdana"/>
          <w:sz w:val="20"/>
          <w:szCs w:val="20"/>
          <w:lang w:val="en-US"/>
        </w:rPr>
        <w:t>(</w:t>
      </w:r>
      <w:r w:rsidR="003C2143" w:rsidRPr="00D869E3">
        <w:rPr>
          <w:rFonts w:ascii="Verdana" w:hAnsi="Verdana"/>
          <w:sz w:val="20"/>
          <w:szCs w:val="20"/>
          <w:lang w:val="en-US"/>
        </w:rPr>
        <w:t>1</w:t>
      </w:r>
      <w:r w:rsidRPr="00D869E3">
        <w:rPr>
          <w:rFonts w:ascii="Verdana" w:hAnsi="Verdana"/>
          <w:sz w:val="20"/>
          <w:szCs w:val="20"/>
          <w:lang w:val="en-US"/>
        </w:rPr>
        <w:t>)</w:t>
      </w:r>
      <w:r w:rsidR="00687684" w:rsidRPr="00D869E3">
        <w:rPr>
          <w:rFonts w:ascii="Verdana" w:hAnsi="Verdana"/>
          <w:sz w:val="20"/>
          <w:szCs w:val="20"/>
          <w:lang w:val="en-US"/>
        </w:rPr>
        <w:t xml:space="preserve"> and </w:t>
      </w:r>
      <w:r w:rsidR="003C2143" w:rsidRPr="00D869E3">
        <w:rPr>
          <w:rFonts w:ascii="Verdana" w:hAnsi="Verdana"/>
          <w:sz w:val="20"/>
          <w:szCs w:val="20"/>
          <w:lang w:val="en-US"/>
        </w:rPr>
        <w:t>77</w:t>
      </w:r>
      <w:r w:rsidRPr="00D869E3">
        <w:rPr>
          <w:rFonts w:ascii="Verdana" w:hAnsi="Verdana"/>
          <w:sz w:val="20"/>
          <w:szCs w:val="20"/>
          <w:lang w:val="en-US"/>
        </w:rPr>
        <w:t>(</w:t>
      </w:r>
      <w:r w:rsidR="003C2143" w:rsidRPr="00D869E3">
        <w:rPr>
          <w:rFonts w:ascii="Verdana" w:hAnsi="Verdana"/>
          <w:sz w:val="20"/>
          <w:szCs w:val="20"/>
          <w:lang w:val="en-US"/>
        </w:rPr>
        <w:t>1</w:t>
      </w:r>
      <w:r w:rsidRPr="00D869E3">
        <w:rPr>
          <w:rFonts w:ascii="Verdana" w:hAnsi="Verdana"/>
          <w:sz w:val="20"/>
          <w:szCs w:val="20"/>
          <w:lang w:val="en-US"/>
        </w:rPr>
        <w:t>)</w:t>
      </w:r>
      <w:r w:rsidR="003C2143" w:rsidRPr="00D869E3">
        <w:rPr>
          <w:rStyle w:val="Refdenotaalpie"/>
          <w:szCs w:val="20"/>
          <w:lang w:val="en-US"/>
        </w:rPr>
        <w:footnoteReference w:id="419"/>
      </w:r>
      <w:r w:rsidR="00447C65" w:rsidRPr="00D869E3">
        <w:rPr>
          <w:rFonts w:ascii="Verdana" w:hAnsi="Verdana"/>
          <w:sz w:val="20"/>
          <w:szCs w:val="20"/>
          <w:lang w:val="en-US"/>
        </w:rPr>
        <w:t xml:space="preserve"> of the Convention</w:t>
      </w:r>
      <w:r w:rsidRPr="00D869E3">
        <w:rPr>
          <w:rFonts w:ascii="Verdana" w:hAnsi="Verdana"/>
          <w:sz w:val="20"/>
          <w:szCs w:val="20"/>
          <w:lang w:val="en-US"/>
        </w:rPr>
        <w:t xml:space="preserve"> unnecessary and useless; </w:t>
      </w:r>
      <w:r w:rsidR="008A2576" w:rsidRPr="00D869E3">
        <w:rPr>
          <w:rFonts w:ascii="Verdana" w:hAnsi="Verdana"/>
          <w:sz w:val="20"/>
          <w:szCs w:val="20"/>
          <w:lang w:val="en-US"/>
        </w:rPr>
        <w:t>in other words,</w:t>
      </w:r>
      <w:r w:rsidRPr="00D869E3">
        <w:rPr>
          <w:rFonts w:ascii="Verdana" w:hAnsi="Verdana"/>
          <w:sz w:val="20"/>
          <w:szCs w:val="20"/>
          <w:lang w:val="en-US"/>
        </w:rPr>
        <w:t xml:space="preserve"> the signature of additional protocols in order to recognize rights other than those already in </w:t>
      </w:r>
      <w:r w:rsidR="00447C65" w:rsidRPr="00D869E3">
        <w:rPr>
          <w:rFonts w:ascii="Verdana" w:hAnsi="Verdana"/>
          <w:sz w:val="20"/>
          <w:szCs w:val="20"/>
          <w:lang w:val="en-US"/>
        </w:rPr>
        <w:t>the Convention</w:t>
      </w:r>
      <w:r w:rsidR="003C2143" w:rsidRPr="00D869E3">
        <w:rPr>
          <w:rFonts w:ascii="Verdana" w:hAnsi="Verdana"/>
          <w:sz w:val="20"/>
          <w:szCs w:val="20"/>
          <w:lang w:val="en-US"/>
        </w:rPr>
        <w:t xml:space="preserve"> </w:t>
      </w:r>
      <w:r w:rsidRPr="00D869E3">
        <w:rPr>
          <w:rFonts w:ascii="Verdana" w:hAnsi="Verdana"/>
          <w:sz w:val="20"/>
          <w:szCs w:val="20"/>
          <w:lang w:val="en-US"/>
        </w:rPr>
        <w:t>and to include them in the protection regime that it establishes, because it would be sufficient to apply the first of the said articles to achieve this</w:t>
      </w:r>
      <w:r w:rsidR="003C2143" w:rsidRPr="00D869E3">
        <w:rPr>
          <w:rFonts w:ascii="Verdana" w:hAnsi="Verdana"/>
          <w:sz w:val="20"/>
          <w:szCs w:val="20"/>
          <w:lang w:val="en-US"/>
        </w:rPr>
        <w:t xml:space="preserve">. </w:t>
      </w:r>
      <w:r w:rsidR="00075E68" w:rsidRPr="00D869E3">
        <w:rPr>
          <w:rFonts w:ascii="Verdana" w:hAnsi="Verdana"/>
          <w:sz w:val="20"/>
          <w:szCs w:val="20"/>
          <w:lang w:val="en-US"/>
        </w:rPr>
        <w:t>In this regard</w:t>
      </w:r>
      <w:r w:rsidR="003C2143" w:rsidRPr="00D869E3">
        <w:rPr>
          <w:rFonts w:ascii="Verdana" w:hAnsi="Verdana"/>
          <w:sz w:val="20"/>
          <w:szCs w:val="20"/>
          <w:lang w:val="en-US"/>
        </w:rPr>
        <w:t xml:space="preserve">, </w:t>
      </w:r>
      <w:r w:rsidRPr="00D869E3">
        <w:rPr>
          <w:rFonts w:ascii="Verdana" w:hAnsi="Verdana"/>
          <w:sz w:val="20"/>
          <w:szCs w:val="20"/>
          <w:lang w:val="en-US"/>
        </w:rPr>
        <w:t xml:space="preserve">even, as already indicated, the </w:t>
      </w:r>
      <w:r w:rsidR="006436CA" w:rsidRPr="00D869E3">
        <w:rPr>
          <w:rFonts w:ascii="Verdana" w:hAnsi="Verdana"/>
          <w:sz w:val="20"/>
          <w:szCs w:val="20"/>
          <w:lang w:val="en-US"/>
        </w:rPr>
        <w:t>“</w:t>
      </w:r>
      <w:r w:rsidR="000F0B45" w:rsidRPr="00D869E3">
        <w:rPr>
          <w:rFonts w:ascii="Verdana" w:hAnsi="Verdana"/>
          <w:i/>
          <w:sz w:val="20"/>
          <w:szCs w:val="20"/>
          <w:lang w:val="en-US"/>
        </w:rPr>
        <w:t>Protocol</w:t>
      </w:r>
      <w:r w:rsidR="003C2143" w:rsidRPr="00D869E3">
        <w:rPr>
          <w:rFonts w:ascii="Verdana" w:hAnsi="Verdana"/>
          <w:i/>
          <w:sz w:val="20"/>
          <w:szCs w:val="20"/>
          <w:lang w:val="en-US"/>
        </w:rPr>
        <w:t xml:space="preserve"> </w:t>
      </w:r>
      <w:r w:rsidRPr="00D869E3">
        <w:rPr>
          <w:rFonts w:ascii="Verdana" w:hAnsi="Verdana"/>
          <w:i/>
          <w:sz w:val="20"/>
          <w:szCs w:val="20"/>
          <w:lang w:val="en-US"/>
        </w:rPr>
        <w:t>of</w:t>
      </w:r>
      <w:r w:rsidR="003C2143" w:rsidRPr="00D869E3">
        <w:rPr>
          <w:rFonts w:ascii="Verdana" w:hAnsi="Verdana"/>
          <w:i/>
          <w:sz w:val="20"/>
          <w:szCs w:val="20"/>
          <w:lang w:val="en-US"/>
        </w:rPr>
        <w:t xml:space="preserve"> San Salvador</w:t>
      </w:r>
      <w:r w:rsidR="006436CA" w:rsidRPr="00D869E3">
        <w:rPr>
          <w:rFonts w:ascii="Verdana" w:hAnsi="Verdana"/>
          <w:sz w:val="20"/>
          <w:szCs w:val="20"/>
          <w:lang w:val="en-US"/>
        </w:rPr>
        <w:t>”</w:t>
      </w:r>
      <w:r w:rsidR="003C2143" w:rsidRPr="00D869E3">
        <w:rPr>
          <w:rFonts w:ascii="Verdana" w:hAnsi="Verdana"/>
          <w:sz w:val="20"/>
          <w:szCs w:val="20"/>
          <w:lang w:val="en-US"/>
        </w:rPr>
        <w:t xml:space="preserve"> </w:t>
      </w:r>
      <w:r w:rsidRPr="00D869E3">
        <w:rPr>
          <w:rFonts w:ascii="Verdana" w:hAnsi="Verdana"/>
          <w:sz w:val="20"/>
          <w:szCs w:val="20"/>
          <w:lang w:val="en-US"/>
        </w:rPr>
        <w:t>and, especially, its articles on the right to organize and join trade unions, and the right to education,</w:t>
      </w:r>
      <w:r w:rsidR="003C2143" w:rsidRPr="00D869E3">
        <w:rPr>
          <w:rStyle w:val="Refdenotaalpie"/>
          <w:szCs w:val="20"/>
          <w:lang w:val="en-US"/>
        </w:rPr>
        <w:footnoteReference w:id="420"/>
      </w:r>
      <w:r w:rsidRPr="00D869E3">
        <w:rPr>
          <w:rFonts w:ascii="Verdana" w:hAnsi="Verdana"/>
          <w:sz w:val="20"/>
          <w:szCs w:val="20"/>
          <w:lang w:val="en-US"/>
        </w:rPr>
        <w:t xml:space="preserve"> would not be necessary to claim the violation of those </w:t>
      </w:r>
      <w:r w:rsidR="00881A39" w:rsidRPr="00D869E3">
        <w:rPr>
          <w:rFonts w:ascii="Verdana" w:hAnsi="Verdana"/>
          <w:sz w:val="20"/>
          <w:szCs w:val="20"/>
          <w:lang w:val="en-US"/>
        </w:rPr>
        <w:t>rights</w:t>
      </w:r>
      <w:r w:rsidR="00966115" w:rsidRPr="00D869E3">
        <w:rPr>
          <w:rFonts w:ascii="Verdana" w:hAnsi="Verdana"/>
          <w:sz w:val="20"/>
          <w:szCs w:val="20"/>
          <w:lang w:val="en-US"/>
        </w:rPr>
        <w:t xml:space="preserve"> before the</w:t>
      </w:r>
      <w:r w:rsidR="00447C65" w:rsidRPr="00D869E3">
        <w:rPr>
          <w:rFonts w:ascii="Verdana" w:hAnsi="Verdana"/>
          <w:sz w:val="20"/>
          <w:szCs w:val="20"/>
          <w:lang w:val="en-US"/>
        </w:rPr>
        <w:t xml:space="preserve"> Court</w:t>
      </w:r>
      <w:r w:rsidR="003C2143" w:rsidRPr="00D869E3">
        <w:rPr>
          <w:rFonts w:ascii="Verdana" w:hAnsi="Verdana"/>
          <w:sz w:val="20"/>
          <w:szCs w:val="20"/>
          <w:lang w:val="en-US"/>
        </w:rPr>
        <w:t xml:space="preserve">, </w:t>
      </w:r>
      <w:r w:rsidRPr="00D869E3">
        <w:rPr>
          <w:rFonts w:ascii="Verdana" w:hAnsi="Verdana"/>
          <w:sz w:val="20"/>
          <w:szCs w:val="20"/>
          <w:lang w:val="en-US"/>
        </w:rPr>
        <w:t>because the said Article 26 alone would be sufficient.</w:t>
      </w:r>
    </w:p>
    <w:p w14:paraId="4796EF11" w14:textId="77777777" w:rsidR="003C2143" w:rsidRPr="00D869E3" w:rsidRDefault="003C2143" w:rsidP="003C2143">
      <w:pPr>
        <w:jc w:val="both"/>
        <w:rPr>
          <w:rFonts w:ascii="Verdana" w:hAnsi="Verdana"/>
          <w:sz w:val="20"/>
          <w:szCs w:val="20"/>
          <w:lang w:val="en-US"/>
        </w:rPr>
      </w:pPr>
    </w:p>
    <w:p w14:paraId="045E363F" w14:textId="1100E693" w:rsidR="003C2143" w:rsidRPr="00D869E3" w:rsidRDefault="00711B21" w:rsidP="003C2143">
      <w:pPr>
        <w:jc w:val="both"/>
        <w:rPr>
          <w:rFonts w:ascii="Verdana" w:hAnsi="Verdana"/>
          <w:sz w:val="20"/>
          <w:szCs w:val="20"/>
          <w:lang w:val="en-US"/>
        </w:rPr>
      </w:pPr>
      <w:r w:rsidRPr="00D869E3">
        <w:rPr>
          <w:rFonts w:ascii="Verdana" w:hAnsi="Verdana"/>
          <w:sz w:val="20"/>
          <w:szCs w:val="20"/>
          <w:lang w:val="en-US"/>
        </w:rPr>
        <w:t xml:space="preserve">In other words, based on the principle that </w:t>
      </w:r>
      <w:r w:rsidR="006436CA" w:rsidRPr="00D869E3">
        <w:rPr>
          <w:rFonts w:ascii="Verdana" w:hAnsi="Verdana"/>
          <w:sz w:val="20"/>
          <w:szCs w:val="20"/>
          <w:lang w:val="en-US"/>
        </w:rPr>
        <w:t>“</w:t>
      </w:r>
      <w:r w:rsidR="00955A32" w:rsidRPr="00D869E3">
        <w:rPr>
          <w:rFonts w:ascii="Verdana" w:hAnsi="Verdana"/>
          <w:i/>
          <w:iCs/>
          <w:sz w:val="20"/>
          <w:szCs w:val="20"/>
          <w:lang w:val="en-US"/>
        </w:rPr>
        <w:t xml:space="preserve">Ubi eadem est ratio, eadem est o debet esse juris dispositivo” </w:t>
      </w:r>
      <w:r w:rsidR="00955A32" w:rsidRPr="00D869E3">
        <w:rPr>
          <w:rFonts w:ascii="Verdana" w:hAnsi="Verdana"/>
          <w:iCs/>
          <w:sz w:val="20"/>
          <w:szCs w:val="20"/>
          <w:lang w:val="en-US"/>
        </w:rPr>
        <w:t>[</w:t>
      </w:r>
      <w:r w:rsidR="00955A32" w:rsidRPr="00D869E3">
        <w:rPr>
          <w:rStyle w:val="e24kjd"/>
          <w:rFonts w:ascii="Verdana" w:hAnsi="Verdana"/>
          <w:sz w:val="20"/>
          <w:szCs w:val="20"/>
          <w:lang w:val="en-US"/>
        </w:rPr>
        <w:t>for the same reason, the same legal provision]</w:t>
      </w:r>
      <w:r w:rsidR="00955A32" w:rsidRPr="00D869E3">
        <w:rPr>
          <w:rFonts w:ascii="Verdana" w:hAnsi="Verdana"/>
          <w:i/>
          <w:sz w:val="20"/>
          <w:szCs w:val="20"/>
          <w:lang w:val="en-US"/>
        </w:rPr>
        <w:t>,</w:t>
      </w:r>
      <w:r w:rsidR="003C2143" w:rsidRPr="00D869E3">
        <w:rPr>
          <w:rFonts w:ascii="Verdana" w:hAnsi="Verdana"/>
          <w:sz w:val="20"/>
          <w:szCs w:val="20"/>
          <w:lang w:val="en-US"/>
        </w:rPr>
        <w:t xml:space="preserve"> </w:t>
      </w:r>
      <w:r w:rsidR="00955A32" w:rsidRPr="00D869E3">
        <w:rPr>
          <w:rFonts w:ascii="Verdana" w:hAnsi="Verdana"/>
          <w:sz w:val="20"/>
          <w:szCs w:val="20"/>
          <w:lang w:val="en-US"/>
        </w:rPr>
        <w:t xml:space="preserve">if the criteria adopted in the </w:t>
      </w:r>
      <w:r w:rsidR="00955A32" w:rsidRPr="00D869E3">
        <w:rPr>
          <w:rFonts w:ascii="Verdana" w:hAnsi="Verdana"/>
          <w:sz w:val="20"/>
          <w:szCs w:val="20"/>
          <w:lang w:val="en-US"/>
        </w:rPr>
        <w:lastRenderedPageBreak/>
        <w:t>judgment is followed and taken to its extreme, there would seem to be no reason why the presumed violations of all the human rights that the provisions of Chapter VII of the OAS</w:t>
      </w:r>
      <w:r w:rsidR="008A2576" w:rsidRPr="00D869E3">
        <w:rPr>
          <w:rFonts w:ascii="Verdana" w:hAnsi="Verdana"/>
          <w:sz w:val="20"/>
          <w:szCs w:val="20"/>
          <w:lang w:val="en-US"/>
        </w:rPr>
        <w:t xml:space="preserve"> Charter</w:t>
      </w:r>
      <w:r w:rsidR="00955A32" w:rsidRPr="00D869E3">
        <w:rPr>
          <w:rFonts w:ascii="Verdana" w:hAnsi="Verdana"/>
          <w:sz w:val="20"/>
          <w:szCs w:val="20"/>
          <w:lang w:val="en-US"/>
        </w:rPr>
        <w:t xml:space="preserve"> would imply could not also be invoked before the Court.</w:t>
      </w:r>
      <w:r w:rsidR="003C2143" w:rsidRPr="00D869E3">
        <w:rPr>
          <w:rStyle w:val="Refdenotaalpie"/>
          <w:szCs w:val="20"/>
          <w:lang w:val="en-US"/>
        </w:rPr>
        <w:footnoteReference w:id="421"/>
      </w:r>
      <w:r w:rsidR="003C2143" w:rsidRPr="00D869E3">
        <w:rPr>
          <w:rFonts w:ascii="Verdana" w:hAnsi="Verdana"/>
          <w:sz w:val="20"/>
          <w:szCs w:val="20"/>
          <w:lang w:val="en-US"/>
        </w:rPr>
        <w:t xml:space="preserve"> </w:t>
      </w:r>
    </w:p>
    <w:p w14:paraId="2D53C4E9" w14:textId="1FC8D5BD" w:rsidR="003C2143" w:rsidRPr="00D869E3" w:rsidRDefault="003C2143" w:rsidP="003C2143">
      <w:pPr>
        <w:jc w:val="both"/>
        <w:rPr>
          <w:rFonts w:ascii="Verdana" w:hAnsi="Verdana"/>
          <w:sz w:val="20"/>
          <w:szCs w:val="20"/>
          <w:lang w:val="en-US"/>
        </w:rPr>
      </w:pPr>
    </w:p>
    <w:p w14:paraId="7144F90C" w14:textId="34EB5DF9" w:rsidR="00557A07" w:rsidRPr="00D869E3" w:rsidRDefault="00557A07" w:rsidP="003C2143">
      <w:pPr>
        <w:jc w:val="both"/>
        <w:rPr>
          <w:rFonts w:ascii="Verdana" w:hAnsi="Verdana"/>
          <w:sz w:val="20"/>
          <w:szCs w:val="20"/>
          <w:lang w:val="en-US"/>
        </w:rPr>
      </w:pPr>
      <w:r w:rsidRPr="00D869E3">
        <w:rPr>
          <w:rFonts w:ascii="Verdana" w:hAnsi="Verdana"/>
          <w:sz w:val="20"/>
          <w:szCs w:val="20"/>
          <w:lang w:val="en-US"/>
        </w:rPr>
        <w:t xml:space="preserve">Nevertheless, </w:t>
      </w:r>
      <w:r w:rsidR="008A2576" w:rsidRPr="00D869E3">
        <w:rPr>
          <w:rFonts w:ascii="Verdana" w:hAnsi="Verdana"/>
          <w:sz w:val="20"/>
          <w:szCs w:val="20"/>
          <w:lang w:val="en-US"/>
        </w:rPr>
        <w:t>i</w:t>
      </w:r>
      <w:r w:rsidRPr="00D869E3">
        <w:rPr>
          <w:rFonts w:ascii="Verdana" w:hAnsi="Verdana"/>
          <w:sz w:val="20"/>
          <w:szCs w:val="20"/>
          <w:lang w:val="en-US"/>
        </w:rPr>
        <w:t>f this extreme conclusion was reached</w:t>
      </w:r>
      <w:r w:rsidR="008A2576" w:rsidRPr="00D869E3">
        <w:rPr>
          <w:rFonts w:ascii="Verdana" w:hAnsi="Verdana"/>
          <w:sz w:val="20"/>
          <w:szCs w:val="20"/>
          <w:lang w:val="en-US"/>
        </w:rPr>
        <w:t>,</w:t>
      </w:r>
      <w:r w:rsidRPr="00D869E3">
        <w:rPr>
          <w:rFonts w:ascii="Verdana" w:hAnsi="Verdana"/>
          <w:sz w:val="20"/>
          <w:szCs w:val="20"/>
          <w:lang w:val="en-US"/>
        </w:rPr>
        <w:t xml:space="preserve"> all the States Parties to the Convention that have accepted the Court’s jurisdiction could eventually be taken before the Court because they were underdeveloped or developing countries – in other words, because they had not fully achieved integral development or any of its facets, which </w:t>
      </w:r>
      <w:r w:rsidR="008A2576" w:rsidRPr="00D869E3">
        <w:rPr>
          <w:rFonts w:ascii="Verdana" w:hAnsi="Verdana"/>
          <w:sz w:val="20"/>
          <w:szCs w:val="20"/>
          <w:lang w:val="en-US"/>
        </w:rPr>
        <w:t xml:space="preserve">is </w:t>
      </w:r>
      <w:r w:rsidRPr="00D869E3">
        <w:rPr>
          <w:rFonts w:ascii="Verdana" w:hAnsi="Verdana"/>
          <w:sz w:val="20"/>
          <w:szCs w:val="20"/>
          <w:lang w:val="en-US"/>
        </w:rPr>
        <w:t>plainly very far from what the</w:t>
      </w:r>
      <w:r w:rsidR="008A2576" w:rsidRPr="00D869E3">
        <w:rPr>
          <w:rFonts w:ascii="Verdana" w:hAnsi="Verdana"/>
          <w:sz w:val="20"/>
          <w:szCs w:val="20"/>
          <w:lang w:val="en-US"/>
        </w:rPr>
        <w:t xml:space="preserve"> States Parties</w:t>
      </w:r>
      <w:r w:rsidRPr="00D869E3">
        <w:rPr>
          <w:rFonts w:ascii="Verdana" w:hAnsi="Verdana"/>
          <w:sz w:val="20"/>
          <w:szCs w:val="20"/>
          <w:lang w:val="en-US"/>
        </w:rPr>
        <w:t xml:space="preserve"> were intending when they signed the Convention or, at least, from the logic implicit in this instrument, especially owing to the way in which the said Chapter VII was drafted.</w:t>
      </w:r>
    </w:p>
    <w:p w14:paraId="3CD3E12D" w14:textId="77777777" w:rsidR="003C2143" w:rsidRPr="00D869E3" w:rsidRDefault="003C2143" w:rsidP="003C2143">
      <w:pPr>
        <w:jc w:val="both"/>
        <w:rPr>
          <w:rFonts w:ascii="Verdana" w:hAnsi="Verdana"/>
          <w:sz w:val="20"/>
          <w:szCs w:val="20"/>
          <w:lang w:val="en-US"/>
        </w:rPr>
      </w:pPr>
    </w:p>
    <w:p w14:paraId="27725651" w14:textId="265EEBCE" w:rsidR="003C2143" w:rsidRPr="00D869E3" w:rsidRDefault="00557A07" w:rsidP="003C2143">
      <w:pPr>
        <w:jc w:val="both"/>
        <w:rPr>
          <w:rFonts w:ascii="Verdana" w:hAnsi="Verdana"/>
          <w:sz w:val="20"/>
          <w:szCs w:val="20"/>
          <w:lang w:val="en-US"/>
        </w:rPr>
      </w:pPr>
      <w:r w:rsidRPr="00D869E3">
        <w:rPr>
          <w:rFonts w:ascii="Verdana" w:hAnsi="Verdana"/>
          <w:sz w:val="20"/>
          <w:szCs w:val="20"/>
          <w:lang w:val="en-US"/>
        </w:rPr>
        <w:t xml:space="preserve">Lastly, as a supplementary comment to the thesis upheld in this opinion, it should be recalled that, in other judgments of the Court, a similar result to the one sought in this case was achieved applying only the provisions of the Convention concerning rights that it recognizes, such as those that protect the right to personal integrity, to property or to judicial guarantees </w:t>
      </w:r>
      <w:r w:rsidR="00687684" w:rsidRPr="00D869E3">
        <w:rPr>
          <w:rFonts w:ascii="Verdana" w:hAnsi="Verdana"/>
          <w:sz w:val="20"/>
          <w:szCs w:val="20"/>
          <w:lang w:val="en-US"/>
        </w:rPr>
        <w:t xml:space="preserve">and </w:t>
      </w:r>
      <w:r w:rsidR="00901386" w:rsidRPr="00D869E3">
        <w:rPr>
          <w:rFonts w:ascii="Verdana" w:hAnsi="Verdana"/>
          <w:sz w:val="20"/>
          <w:szCs w:val="20"/>
          <w:lang w:val="en-US"/>
        </w:rPr>
        <w:t>judicial protection</w:t>
      </w:r>
      <w:r w:rsidR="003C2143" w:rsidRPr="00D869E3">
        <w:rPr>
          <w:rFonts w:ascii="Verdana" w:hAnsi="Verdana"/>
          <w:sz w:val="20"/>
          <w:szCs w:val="20"/>
          <w:lang w:val="en-US"/>
        </w:rPr>
        <w:t xml:space="preserve">, </w:t>
      </w:r>
      <w:r w:rsidRPr="00D869E3">
        <w:rPr>
          <w:rFonts w:ascii="Verdana" w:hAnsi="Verdana"/>
          <w:sz w:val="20"/>
          <w:szCs w:val="20"/>
          <w:lang w:val="en-US"/>
        </w:rPr>
        <w:t xml:space="preserve">without needing to resort to the said </w:t>
      </w:r>
      <w:r w:rsidR="00447C65" w:rsidRPr="00D869E3">
        <w:rPr>
          <w:rFonts w:ascii="Verdana" w:hAnsi="Verdana"/>
          <w:sz w:val="20"/>
          <w:szCs w:val="20"/>
          <w:lang w:val="en-US"/>
        </w:rPr>
        <w:t>Article</w:t>
      </w:r>
      <w:r w:rsidR="003C2143" w:rsidRPr="00D869E3">
        <w:rPr>
          <w:rFonts w:ascii="Verdana" w:hAnsi="Verdana"/>
          <w:sz w:val="20"/>
          <w:szCs w:val="20"/>
          <w:lang w:val="en-US"/>
        </w:rPr>
        <w:t xml:space="preserve"> 26</w:t>
      </w:r>
      <w:r w:rsidRPr="00D869E3">
        <w:rPr>
          <w:rFonts w:ascii="Verdana" w:hAnsi="Verdana"/>
          <w:sz w:val="20"/>
          <w:szCs w:val="20"/>
          <w:lang w:val="en-US"/>
        </w:rPr>
        <w:t>.</w:t>
      </w:r>
      <w:r w:rsidR="003C2143" w:rsidRPr="00D869E3">
        <w:rPr>
          <w:rStyle w:val="Refdenotaalpie"/>
          <w:szCs w:val="20"/>
          <w:lang w:val="en-US"/>
        </w:rPr>
        <w:footnoteReference w:id="422"/>
      </w:r>
    </w:p>
    <w:p w14:paraId="6866192C" w14:textId="77777777" w:rsidR="003C2143" w:rsidRPr="00D869E3" w:rsidRDefault="003C2143" w:rsidP="003C2143">
      <w:pPr>
        <w:jc w:val="both"/>
        <w:rPr>
          <w:rFonts w:ascii="Verdana" w:hAnsi="Verdana"/>
          <w:sz w:val="20"/>
          <w:szCs w:val="20"/>
          <w:lang w:val="en-US"/>
        </w:rPr>
      </w:pPr>
    </w:p>
    <w:p w14:paraId="2FE08C38" w14:textId="5B170AB8" w:rsidR="003C2143" w:rsidRPr="00D869E3" w:rsidRDefault="003C2143" w:rsidP="003C2143">
      <w:pPr>
        <w:jc w:val="both"/>
        <w:rPr>
          <w:rFonts w:ascii="Verdana" w:hAnsi="Verdana"/>
          <w:sz w:val="20"/>
          <w:szCs w:val="20"/>
          <w:lang w:val="en-US"/>
        </w:rPr>
      </w:pPr>
      <w:r w:rsidRPr="00D869E3">
        <w:rPr>
          <w:rFonts w:ascii="Verdana" w:hAnsi="Verdana"/>
          <w:b/>
          <w:sz w:val="20"/>
          <w:szCs w:val="20"/>
          <w:lang w:val="en-US"/>
        </w:rPr>
        <w:t>III. OT</w:t>
      </w:r>
      <w:r w:rsidR="00914018" w:rsidRPr="00D869E3">
        <w:rPr>
          <w:rFonts w:ascii="Verdana" w:hAnsi="Verdana"/>
          <w:b/>
          <w:sz w:val="20"/>
          <w:szCs w:val="20"/>
          <w:lang w:val="en-US"/>
        </w:rPr>
        <w:t>HER ARGUMENTS INCLUDED IN THE JUDGMENT</w:t>
      </w:r>
      <w:r w:rsidRPr="00D869E3">
        <w:rPr>
          <w:rFonts w:ascii="Verdana" w:hAnsi="Verdana"/>
          <w:sz w:val="20"/>
          <w:szCs w:val="20"/>
          <w:lang w:val="en-US"/>
        </w:rPr>
        <w:t xml:space="preserve"> </w:t>
      </w:r>
    </w:p>
    <w:p w14:paraId="54701503" w14:textId="77777777" w:rsidR="003C2143" w:rsidRPr="00D869E3" w:rsidRDefault="003C2143" w:rsidP="003C2143">
      <w:pPr>
        <w:jc w:val="both"/>
        <w:rPr>
          <w:rFonts w:ascii="Verdana" w:hAnsi="Verdana"/>
          <w:sz w:val="20"/>
          <w:szCs w:val="20"/>
          <w:lang w:val="en-US"/>
        </w:rPr>
      </w:pPr>
    </w:p>
    <w:p w14:paraId="6AE2F7AB" w14:textId="57CE137B" w:rsidR="003C2143" w:rsidRPr="00D869E3" w:rsidRDefault="00914018" w:rsidP="003C2143">
      <w:pPr>
        <w:jc w:val="both"/>
        <w:rPr>
          <w:rFonts w:ascii="Verdana" w:hAnsi="Verdana"/>
          <w:sz w:val="20"/>
          <w:szCs w:val="20"/>
          <w:lang w:val="en-US"/>
        </w:rPr>
      </w:pPr>
      <w:r w:rsidRPr="00D869E3">
        <w:rPr>
          <w:rFonts w:ascii="Verdana" w:hAnsi="Verdana"/>
          <w:sz w:val="20"/>
          <w:szCs w:val="20"/>
          <w:lang w:val="en-US"/>
        </w:rPr>
        <w:t xml:space="preserve">To reinforce the thesis set out in this text, it would appear useful to refer, although in a supplementary manner, to certain assertions in </w:t>
      </w:r>
      <w:r w:rsidR="000C55DD" w:rsidRPr="00D869E3">
        <w:rPr>
          <w:rFonts w:ascii="Verdana" w:hAnsi="Verdana"/>
          <w:sz w:val="20"/>
          <w:szCs w:val="20"/>
          <w:lang w:val="en-US"/>
        </w:rPr>
        <w:t>the judgment</w:t>
      </w:r>
      <w:r w:rsidR="003C2143" w:rsidRPr="00D869E3">
        <w:rPr>
          <w:rFonts w:ascii="Verdana" w:hAnsi="Verdana"/>
          <w:sz w:val="20"/>
          <w:szCs w:val="20"/>
          <w:lang w:val="en-US"/>
        </w:rPr>
        <w:t xml:space="preserve">, </w:t>
      </w:r>
      <w:r w:rsidRPr="00D869E3">
        <w:rPr>
          <w:rFonts w:ascii="Verdana" w:hAnsi="Verdana"/>
          <w:sz w:val="20"/>
          <w:szCs w:val="20"/>
          <w:lang w:val="en-US"/>
        </w:rPr>
        <w:t>and I will now do this</w:t>
      </w:r>
      <w:r w:rsidR="003C2143" w:rsidRPr="00D869E3">
        <w:rPr>
          <w:rFonts w:ascii="Verdana" w:hAnsi="Verdana"/>
          <w:sz w:val="20"/>
          <w:szCs w:val="20"/>
          <w:lang w:val="en-US"/>
        </w:rPr>
        <w:t>.</w:t>
      </w:r>
    </w:p>
    <w:p w14:paraId="20444453" w14:textId="77777777" w:rsidR="003C2143" w:rsidRPr="00D869E3" w:rsidRDefault="003C2143" w:rsidP="003C2143">
      <w:pPr>
        <w:jc w:val="both"/>
        <w:rPr>
          <w:rFonts w:ascii="Verdana" w:hAnsi="Verdana"/>
          <w:sz w:val="20"/>
          <w:szCs w:val="20"/>
          <w:lang w:val="en-US"/>
        </w:rPr>
      </w:pPr>
    </w:p>
    <w:p w14:paraId="75FDD886" w14:textId="6A689431" w:rsidR="003C2143" w:rsidRPr="00D869E3" w:rsidRDefault="003C2143" w:rsidP="003C2143">
      <w:pPr>
        <w:jc w:val="both"/>
        <w:rPr>
          <w:rFonts w:ascii="Verdana" w:hAnsi="Verdana"/>
          <w:sz w:val="20"/>
          <w:szCs w:val="20"/>
          <w:lang w:val="en-US"/>
        </w:rPr>
      </w:pPr>
      <w:r w:rsidRPr="00D869E3">
        <w:rPr>
          <w:rFonts w:ascii="Verdana" w:hAnsi="Verdana"/>
          <w:sz w:val="20"/>
          <w:szCs w:val="20"/>
          <w:lang w:val="en-US"/>
        </w:rPr>
        <w:t xml:space="preserve">1.  </w:t>
      </w:r>
      <w:r w:rsidR="00914018" w:rsidRPr="00D869E3">
        <w:rPr>
          <w:rFonts w:ascii="Verdana" w:hAnsi="Verdana"/>
          <w:sz w:val="20"/>
          <w:szCs w:val="20"/>
          <w:lang w:val="en-US"/>
        </w:rPr>
        <w:t>The assertion concerning</w:t>
      </w:r>
      <w:r w:rsidRPr="00D869E3">
        <w:rPr>
          <w:rFonts w:ascii="Verdana" w:hAnsi="Verdana"/>
          <w:sz w:val="20"/>
          <w:szCs w:val="20"/>
          <w:lang w:val="en-US"/>
        </w:rPr>
        <w:t xml:space="preserve"> </w:t>
      </w:r>
      <w:r w:rsidR="006436CA" w:rsidRPr="00D869E3">
        <w:rPr>
          <w:rFonts w:ascii="Verdana" w:hAnsi="Verdana"/>
          <w:sz w:val="20"/>
          <w:szCs w:val="20"/>
          <w:lang w:val="en-US"/>
        </w:rPr>
        <w:t>“</w:t>
      </w:r>
      <w:r w:rsidR="00F062CF" w:rsidRPr="00D869E3">
        <w:rPr>
          <w:rFonts w:ascii="Verdana" w:hAnsi="Verdana"/>
          <w:i/>
          <w:iCs/>
          <w:sz w:val="20"/>
          <w:szCs w:val="20"/>
          <w:lang w:val="en-US"/>
        </w:rPr>
        <w:t>the interdependence and indivisibility of civil and political rights and economic, social and cultural rights</w:t>
      </w:r>
      <w:r w:rsidR="00F062CF" w:rsidRPr="00D869E3">
        <w:rPr>
          <w:rFonts w:ascii="Verdana" w:hAnsi="Verdana"/>
          <w:sz w:val="20"/>
          <w:szCs w:val="20"/>
          <w:lang w:val="en-US"/>
        </w:rPr>
        <w:t>,</w:t>
      </w:r>
      <w:r w:rsidR="006436CA" w:rsidRPr="00D869E3">
        <w:rPr>
          <w:rFonts w:ascii="Verdana" w:hAnsi="Verdana"/>
          <w:sz w:val="20"/>
          <w:szCs w:val="20"/>
          <w:lang w:val="en-US"/>
        </w:rPr>
        <w:t>”</w:t>
      </w:r>
      <w:r w:rsidRPr="00D869E3">
        <w:rPr>
          <w:rFonts w:ascii="Verdana" w:hAnsi="Verdana"/>
          <w:sz w:val="20"/>
          <w:szCs w:val="20"/>
          <w:lang w:val="en-US"/>
        </w:rPr>
        <w:t xml:space="preserve"> </w:t>
      </w:r>
      <w:r w:rsidR="00914018" w:rsidRPr="00D869E3">
        <w:rPr>
          <w:rFonts w:ascii="Verdana" w:hAnsi="Verdana"/>
          <w:sz w:val="20"/>
          <w:szCs w:val="20"/>
          <w:lang w:val="en-US"/>
        </w:rPr>
        <w:t>so that</w:t>
      </w:r>
      <w:r w:rsidRPr="00D869E3">
        <w:rPr>
          <w:rFonts w:ascii="Verdana" w:hAnsi="Verdana"/>
          <w:sz w:val="20"/>
          <w:szCs w:val="20"/>
          <w:lang w:val="en-US"/>
        </w:rPr>
        <w:t xml:space="preserve"> </w:t>
      </w:r>
      <w:r w:rsidR="00F062CF" w:rsidRPr="00D869E3">
        <w:rPr>
          <w:rFonts w:ascii="Verdana" w:hAnsi="Verdana"/>
          <w:sz w:val="20"/>
          <w:szCs w:val="20"/>
          <w:lang w:val="en-US"/>
        </w:rPr>
        <w:t>“</w:t>
      </w:r>
      <w:r w:rsidR="00F062CF" w:rsidRPr="00D869E3">
        <w:rPr>
          <w:rFonts w:ascii="Verdana" w:hAnsi="Verdana"/>
          <w:i/>
          <w:iCs/>
          <w:sz w:val="20"/>
          <w:szCs w:val="20"/>
          <w:lang w:val="en-US"/>
        </w:rPr>
        <w:t>they should all be understood integrally as human rights, without any specific hierarchy, and be enforceable in all cases before the competent authorities,</w:t>
      </w:r>
      <w:r w:rsidR="006436CA" w:rsidRPr="00D869E3">
        <w:rPr>
          <w:rFonts w:ascii="Verdana" w:hAnsi="Verdana"/>
          <w:i/>
          <w:sz w:val="20"/>
          <w:szCs w:val="20"/>
          <w:lang w:val="en-US"/>
        </w:rPr>
        <w:t>”</w:t>
      </w:r>
      <w:r w:rsidRPr="00D869E3">
        <w:rPr>
          <w:rStyle w:val="Refdenotaalpie"/>
          <w:szCs w:val="20"/>
          <w:lang w:val="en-US"/>
        </w:rPr>
        <w:footnoteReference w:id="423"/>
      </w:r>
      <w:r w:rsidRPr="00D869E3">
        <w:rPr>
          <w:rFonts w:ascii="Verdana" w:hAnsi="Verdana"/>
          <w:sz w:val="20"/>
          <w:szCs w:val="20"/>
          <w:lang w:val="en-US"/>
        </w:rPr>
        <w:t xml:space="preserve"> </w:t>
      </w:r>
      <w:r w:rsidR="00914018" w:rsidRPr="00D869E3">
        <w:rPr>
          <w:rFonts w:ascii="Verdana" w:hAnsi="Verdana"/>
          <w:sz w:val="20"/>
          <w:szCs w:val="20"/>
          <w:lang w:val="en-US"/>
        </w:rPr>
        <w:t xml:space="preserve">does not </w:t>
      </w:r>
      <w:r w:rsidRPr="00D869E3">
        <w:rPr>
          <w:rFonts w:ascii="Verdana" w:hAnsi="Verdana"/>
          <w:sz w:val="20"/>
          <w:szCs w:val="20"/>
          <w:lang w:val="en-US"/>
        </w:rPr>
        <w:t xml:space="preserve"> </w:t>
      </w:r>
      <w:r w:rsidR="00914018" w:rsidRPr="00D869E3">
        <w:rPr>
          <w:rFonts w:ascii="Verdana" w:hAnsi="Verdana"/>
          <w:sz w:val="20"/>
          <w:szCs w:val="20"/>
          <w:lang w:val="en-US"/>
        </w:rPr>
        <w:t xml:space="preserve">mean that </w:t>
      </w:r>
      <w:r w:rsidR="007013E2" w:rsidRPr="00D869E3">
        <w:rPr>
          <w:rFonts w:ascii="Verdana" w:hAnsi="Verdana"/>
          <w:sz w:val="20"/>
          <w:szCs w:val="20"/>
          <w:lang w:val="en-US"/>
        </w:rPr>
        <w:t>the violation</w:t>
      </w:r>
      <w:r w:rsidRPr="00D869E3">
        <w:rPr>
          <w:rFonts w:ascii="Verdana" w:hAnsi="Verdana"/>
          <w:sz w:val="20"/>
          <w:szCs w:val="20"/>
          <w:lang w:val="en-US"/>
        </w:rPr>
        <w:t xml:space="preserve"> </w:t>
      </w:r>
      <w:r w:rsidR="00914018" w:rsidRPr="00D869E3">
        <w:rPr>
          <w:rFonts w:ascii="Verdana" w:hAnsi="Verdana"/>
          <w:sz w:val="20"/>
          <w:szCs w:val="20"/>
          <w:lang w:val="en-US"/>
        </w:rPr>
        <w:t xml:space="preserve">of both types of </w:t>
      </w:r>
      <w:r w:rsidR="00881A39" w:rsidRPr="00D869E3">
        <w:rPr>
          <w:rFonts w:ascii="Verdana" w:hAnsi="Verdana"/>
          <w:sz w:val="20"/>
          <w:szCs w:val="20"/>
          <w:lang w:val="en-US"/>
        </w:rPr>
        <w:t>rights</w:t>
      </w:r>
      <w:r w:rsidRPr="00D869E3">
        <w:rPr>
          <w:rFonts w:ascii="Verdana" w:hAnsi="Verdana"/>
          <w:sz w:val="20"/>
          <w:szCs w:val="20"/>
          <w:lang w:val="en-US"/>
        </w:rPr>
        <w:t xml:space="preserve"> </w:t>
      </w:r>
      <w:r w:rsidR="00914018" w:rsidRPr="00D869E3">
        <w:rPr>
          <w:rFonts w:ascii="Verdana" w:hAnsi="Verdana"/>
          <w:sz w:val="20"/>
          <w:szCs w:val="20"/>
          <w:lang w:val="en-US"/>
        </w:rPr>
        <w:t>can be invoked</w:t>
      </w:r>
      <w:r w:rsidR="00966115" w:rsidRPr="00D869E3">
        <w:rPr>
          <w:rFonts w:ascii="Verdana" w:hAnsi="Verdana"/>
          <w:sz w:val="20"/>
          <w:szCs w:val="20"/>
          <w:lang w:val="en-US"/>
        </w:rPr>
        <w:t xml:space="preserve"> before the</w:t>
      </w:r>
      <w:r w:rsidR="00447C65" w:rsidRPr="00D869E3">
        <w:rPr>
          <w:rFonts w:ascii="Verdana" w:hAnsi="Verdana"/>
          <w:sz w:val="20"/>
          <w:szCs w:val="20"/>
          <w:lang w:val="en-US"/>
        </w:rPr>
        <w:t xml:space="preserve"> Court</w:t>
      </w:r>
      <w:r w:rsidRPr="00D869E3">
        <w:rPr>
          <w:rFonts w:ascii="Verdana" w:hAnsi="Verdana"/>
          <w:sz w:val="20"/>
          <w:szCs w:val="20"/>
          <w:lang w:val="en-US"/>
        </w:rPr>
        <w:t xml:space="preserve">. </w:t>
      </w:r>
      <w:r w:rsidR="00914018" w:rsidRPr="00D869E3">
        <w:rPr>
          <w:rFonts w:ascii="Verdana" w:hAnsi="Verdana"/>
          <w:sz w:val="20"/>
          <w:szCs w:val="20"/>
          <w:lang w:val="en-US"/>
        </w:rPr>
        <w:t>I could agree with what is indicated in the judgment to the extent that it is understood that, although the enjoyment of all human rights, including the economic, social and cultural rights should be respected and that, consequently, they are all enforceable before the competent authorities, this does not signify that the latter, always and in every circumstance, can be claimed before the domestic courts and, eventually, before the Court. Indeed, and as indicated, I am not disputing that the presumed violations of any human right can and even should be claimed before the competent domestic courts</w:t>
      </w:r>
      <w:r w:rsidR="008A2576" w:rsidRPr="00D869E3">
        <w:rPr>
          <w:rFonts w:ascii="Verdana" w:hAnsi="Verdana"/>
          <w:sz w:val="20"/>
          <w:szCs w:val="20"/>
          <w:lang w:val="en-US"/>
        </w:rPr>
        <w:t>.</w:t>
      </w:r>
      <w:r w:rsidRPr="00D869E3">
        <w:rPr>
          <w:rStyle w:val="Refdenotaalpie"/>
          <w:szCs w:val="20"/>
          <w:lang w:val="en-US"/>
        </w:rPr>
        <w:footnoteReference w:id="424"/>
      </w:r>
      <w:r w:rsidR="00914018" w:rsidRPr="00D869E3">
        <w:rPr>
          <w:rFonts w:ascii="Verdana" w:hAnsi="Verdana"/>
          <w:sz w:val="20"/>
          <w:szCs w:val="20"/>
          <w:lang w:val="en-US"/>
        </w:rPr>
        <w:t xml:space="preserve"> </w:t>
      </w:r>
      <w:r w:rsidR="008A2576" w:rsidRPr="00D869E3">
        <w:rPr>
          <w:rFonts w:ascii="Verdana" w:hAnsi="Verdana"/>
          <w:sz w:val="20"/>
          <w:szCs w:val="20"/>
          <w:lang w:val="en-US"/>
        </w:rPr>
        <w:t>H</w:t>
      </w:r>
      <w:r w:rsidR="00914018" w:rsidRPr="00D869E3">
        <w:rPr>
          <w:rFonts w:ascii="Verdana" w:hAnsi="Verdana"/>
          <w:sz w:val="20"/>
          <w:szCs w:val="20"/>
          <w:lang w:val="en-US"/>
        </w:rPr>
        <w:t xml:space="preserve">owever, what this </w:t>
      </w:r>
      <w:r w:rsidR="00914018" w:rsidRPr="00D869E3">
        <w:rPr>
          <w:rFonts w:ascii="Verdana" w:hAnsi="Verdana"/>
          <w:sz w:val="20"/>
          <w:szCs w:val="20"/>
          <w:lang w:val="en-US"/>
        </w:rPr>
        <w:lastRenderedPageBreak/>
        <w:t>opinion asserts is that only some of the violations of the</w:t>
      </w:r>
      <w:r w:rsidRPr="00D869E3">
        <w:rPr>
          <w:rFonts w:ascii="Verdana" w:hAnsi="Verdana"/>
          <w:sz w:val="20"/>
          <w:szCs w:val="20"/>
          <w:lang w:val="en-US"/>
        </w:rPr>
        <w:t xml:space="preserve"> </w:t>
      </w:r>
      <w:r w:rsidR="00ED3FC7" w:rsidRPr="00D869E3">
        <w:rPr>
          <w:rFonts w:ascii="Verdana" w:hAnsi="Verdana"/>
          <w:sz w:val="20"/>
          <w:szCs w:val="20"/>
          <w:lang w:val="en-US"/>
        </w:rPr>
        <w:t>economic, social and cultural rights</w:t>
      </w:r>
      <w:r w:rsidRPr="00D869E3">
        <w:rPr>
          <w:rFonts w:ascii="Verdana" w:hAnsi="Verdana"/>
          <w:sz w:val="20"/>
          <w:szCs w:val="20"/>
          <w:lang w:val="en-US"/>
        </w:rPr>
        <w:t xml:space="preserve">, </w:t>
      </w:r>
      <w:r w:rsidR="00914018" w:rsidRPr="00D869E3">
        <w:rPr>
          <w:rFonts w:ascii="Verdana" w:hAnsi="Verdana"/>
          <w:sz w:val="20"/>
          <w:szCs w:val="20"/>
          <w:lang w:val="en-US"/>
        </w:rPr>
        <w:t xml:space="preserve">specifically those established in </w:t>
      </w:r>
      <w:r w:rsidR="00B235CB" w:rsidRPr="00D869E3">
        <w:rPr>
          <w:rFonts w:ascii="Verdana" w:hAnsi="Verdana"/>
          <w:sz w:val="20"/>
          <w:szCs w:val="20"/>
          <w:lang w:val="en-US"/>
        </w:rPr>
        <w:t>the Protocol of San</w:t>
      </w:r>
      <w:r w:rsidRPr="00D869E3">
        <w:rPr>
          <w:rFonts w:ascii="Verdana" w:hAnsi="Verdana"/>
          <w:sz w:val="20"/>
          <w:szCs w:val="20"/>
          <w:lang w:val="en-US"/>
        </w:rPr>
        <w:t xml:space="preserve"> Salvador, </w:t>
      </w:r>
      <w:r w:rsidR="00914018" w:rsidRPr="00D869E3">
        <w:rPr>
          <w:rFonts w:ascii="Verdana" w:hAnsi="Verdana"/>
          <w:sz w:val="20"/>
          <w:szCs w:val="20"/>
          <w:lang w:val="en-US"/>
        </w:rPr>
        <w:t xml:space="preserve">can be submitted to the consideration and </w:t>
      </w:r>
      <w:r w:rsidR="004D6730" w:rsidRPr="00D869E3">
        <w:rPr>
          <w:rFonts w:ascii="Verdana" w:hAnsi="Verdana"/>
          <w:sz w:val="20"/>
          <w:szCs w:val="20"/>
          <w:lang w:val="en-US"/>
        </w:rPr>
        <w:t xml:space="preserve">decision </w:t>
      </w:r>
      <w:r w:rsidR="00447C65" w:rsidRPr="00D869E3">
        <w:rPr>
          <w:rFonts w:ascii="Verdana" w:hAnsi="Verdana"/>
          <w:sz w:val="20"/>
          <w:szCs w:val="20"/>
          <w:lang w:val="en-US"/>
        </w:rPr>
        <w:t>of the Court</w:t>
      </w:r>
      <w:r w:rsidRPr="00D869E3">
        <w:rPr>
          <w:rFonts w:ascii="Verdana" w:hAnsi="Verdana"/>
          <w:sz w:val="20"/>
          <w:szCs w:val="20"/>
          <w:lang w:val="en-US"/>
        </w:rPr>
        <w:t xml:space="preserve">.  </w:t>
      </w:r>
    </w:p>
    <w:p w14:paraId="26688B9C" w14:textId="77777777" w:rsidR="003C2143" w:rsidRPr="00D869E3" w:rsidRDefault="003C2143" w:rsidP="003C2143">
      <w:pPr>
        <w:jc w:val="both"/>
        <w:rPr>
          <w:rFonts w:ascii="Verdana" w:hAnsi="Verdana"/>
          <w:sz w:val="20"/>
          <w:szCs w:val="20"/>
          <w:lang w:val="en-US"/>
        </w:rPr>
      </w:pPr>
    </w:p>
    <w:p w14:paraId="13C0ADFA" w14:textId="3EA85CCC" w:rsidR="003C2143" w:rsidRPr="00D869E3" w:rsidRDefault="003C2143" w:rsidP="004D6730">
      <w:pPr>
        <w:autoSpaceDE w:val="0"/>
        <w:autoSpaceDN w:val="0"/>
        <w:adjustRightInd w:val="0"/>
        <w:ind w:right="26"/>
        <w:jc w:val="both"/>
        <w:rPr>
          <w:rFonts w:ascii="Verdana" w:eastAsiaTheme="minorHAnsi" w:hAnsi="Verdana" w:cs="Arial"/>
          <w:i/>
          <w:iCs/>
          <w:sz w:val="16"/>
          <w:szCs w:val="16"/>
          <w:lang w:val="en-US"/>
        </w:rPr>
      </w:pPr>
      <w:r w:rsidRPr="00D869E3">
        <w:rPr>
          <w:rFonts w:ascii="Verdana" w:hAnsi="Verdana"/>
          <w:sz w:val="20"/>
          <w:szCs w:val="20"/>
          <w:lang w:val="en-US"/>
        </w:rPr>
        <w:t>2.</w:t>
      </w:r>
      <w:r w:rsidR="004D6730" w:rsidRPr="00D869E3">
        <w:rPr>
          <w:rFonts w:ascii="Verdana" w:hAnsi="Verdana"/>
          <w:sz w:val="20"/>
          <w:szCs w:val="20"/>
          <w:lang w:val="en-US"/>
        </w:rPr>
        <w:t xml:space="preserve"> </w:t>
      </w:r>
      <w:r w:rsidRPr="00D869E3">
        <w:rPr>
          <w:rFonts w:ascii="Verdana" w:hAnsi="Verdana"/>
          <w:sz w:val="20"/>
          <w:szCs w:val="20"/>
          <w:lang w:val="en-US"/>
        </w:rPr>
        <w:t xml:space="preserve"> </w:t>
      </w:r>
      <w:r w:rsidR="004D6730" w:rsidRPr="00D869E3">
        <w:rPr>
          <w:rFonts w:ascii="Verdana" w:hAnsi="Verdana"/>
          <w:sz w:val="20"/>
          <w:szCs w:val="20"/>
          <w:lang w:val="en-US"/>
        </w:rPr>
        <w:t xml:space="preserve">Similarly, the statement that </w:t>
      </w:r>
      <w:r w:rsidR="006436CA" w:rsidRPr="00D869E3">
        <w:rPr>
          <w:rFonts w:ascii="Verdana" w:hAnsi="Verdana"/>
          <w:sz w:val="20"/>
          <w:szCs w:val="20"/>
          <w:lang w:val="en-US"/>
        </w:rPr>
        <w:t>“</w:t>
      </w:r>
      <w:r w:rsidR="00447C65" w:rsidRPr="00D869E3">
        <w:rPr>
          <w:rFonts w:ascii="Verdana" w:hAnsi="Verdana"/>
          <w:i/>
          <w:sz w:val="20"/>
          <w:szCs w:val="20"/>
          <w:lang w:val="en-US"/>
        </w:rPr>
        <w:t>Article</w:t>
      </w:r>
      <w:r w:rsidRPr="00D869E3">
        <w:rPr>
          <w:rFonts w:ascii="Verdana" w:hAnsi="Verdana"/>
          <w:i/>
          <w:sz w:val="20"/>
          <w:szCs w:val="20"/>
          <w:lang w:val="en-US"/>
        </w:rPr>
        <w:t xml:space="preserve"> 26 [...] </w:t>
      </w:r>
      <w:r w:rsidR="004D6730" w:rsidRPr="00D869E3">
        <w:rPr>
          <w:rFonts w:ascii="Verdana" w:hAnsi="Verdana"/>
          <w:i/>
          <w:iCs/>
          <w:sz w:val="20"/>
          <w:szCs w:val="20"/>
          <w:lang w:val="en-US"/>
        </w:rPr>
        <w:t>it is subject to the general obligations contained in Articles 1(1) and 2 in Chapter I (entitled “General Obligations”), as  also are  Articles 3 to 25 that appear in Chapter II (entitled “Civil and Political Rights”),</w:t>
      </w:r>
      <w:r w:rsidRPr="00D869E3">
        <w:rPr>
          <w:rStyle w:val="Refdenotaalpie"/>
          <w:szCs w:val="20"/>
          <w:lang w:val="en-US"/>
        </w:rPr>
        <w:footnoteReference w:id="425"/>
      </w:r>
      <w:r w:rsidRPr="00D869E3">
        <w:rPr>
          <w:rFonts w:ascii="Verdana" w:hAnsi="Verdana"/>
          <w:sz w:val="20"/>
          <w:szCs w:val="20"/>
          <w:lang w:val="en-US"/>
        </w:rPr>
        <w:t xml:space="preserve"> </w:t>
      </w:r>
      <w:r w:rsidR="004D6730" w:rsidRPr="00D869E3">
        <w:rPr>
          <w:rFonts w:ascii="Verdana" w:hAnsi="Verdana"/>
          <w:sz w:val="20"/>
          <w:szCs w:val="20"/>
          <w:lang w:val="en-US"/>
        </w:rPr>
        <w:t xml:space="preserve">does not mean that the rights derived from </w:t>
      </w:r>
      <w:r w:rsidR="00197983" w:rsidRPr="00D869E3">
        <w:rPr>
          <w:rFonts w:ascii="Verdana" w:hAnsi="Verdana"/>
          <w:sz w:val="20"/>
          <w:szCs w:val="20"/>
          <w:lang w:val="en-US"/>
        </w:rPr>
        <w:t>the OAS Charter</w:t>
      </w:r>
      <w:r w:rsidR="004D6730" w:rsidRPr="00D869E3">
        <w:rPr>
          <w:rFonts w:ascii="Verdana" w:hAnsi="Verdana"/>
          <w:sz w:val="20"/>
          <w:szCs w:val="20"/>
          <w:lang w:val="en-US"/>
        </w:rPr>
        <w:t xml:space="preserve"> may be judicialized</w:t>
      </w:r>
      <w:r w:rsidR="00966115" w:rsidRPr="00D869E3">
        <w:rPr>
          <w:rFonts w:ascii="Verdana" w:hAnsi="Verdana"/>
          <w:sz w:val="20"/>
          <w:szCs w:val="20"/>
          <w:lang w:val="en-US"/>
        </w:rPr>
        <w:t xml:space="preserve"> before the</w:t>
      </w:r>
      <w:r w:rsidR="00447C65" w:rsidRPr="00D869E3">
        <w:rPr>
          <w:rFonts w:ascii="Verdana" w:hAnsi="Verdana"/>
          <w:sz w:val="20"/>
          <w:szCs w:val="20"/>
          <w:lang w:val="en-US"/>
        </w:rPr>
        <w:t xml:space="preserve"> Court</w:t>
      </w:r>
      <w:r w:rsidRPr="00D869E3">
        <w:rPr>
          <w:rFonts w:ascii="Verdana" w:hAnsi="Verdana"/>
          <w:sz w:val="20"/>
          <w:szCs w:val="20"/>
          <w:lang w:val="en-US"/>
        </w:rPr>
        <w:t xml:space="preserve">. </w:t>
      </w:r>
      <w:r w:rsidR="004D6730" w:rsidRPr="00D869E3">
        <w:rPr>
          <w:rFonts w:ascii="Verdana" w:hAnsi="Verdana"/>
          <w:sz w:val="20"/>
          <w:szCs w:val="20"/>
          <w:lang w:val="en-US"/>
        </w:rPr>
        <w:t>It merely signifies, as stated previously, that all</w:t>
      </w:r>
      <w:r w:rsidRPr="00D869E3">
        <w:rPr>
          <w:rFonts w:ascii="Verdana" w:hAnsi="Verdana"/>
          <w:sz w:val="20"/>
          <w:szCs w:val="20"/>
          <w:lang w:val="en-US"/>
        </w:rPr>
        <w:t xml:space="preserve"> </w:t>
      </w:r>
      <w:r w:rsidR="00B443B4" w:rsidRPr="00D869E3">
        <w:rPr>
          <w:rFonts w:ascii="Verdana" w:hAnsi="Verdana"/>
          <w:sz w:val="20"/>
          <w:szCs w:val="20"/>
          <w:lang w:val="en-US"/>
        </w:rPr>
        <w:t>human rights</w:t>
      </w:r>
      <w:r w:rsidRPr="00D869E3">
        <w:rPr>
          <w:rFonts w:ascii="Verdana" w:hAnsi="Verdana"/>
          <w:sz w:val="20"/>
          <w:szCs w:val="20"/>
          <w:lang w:val="en-US"/>
        </w:rPr>
        <w:t>, incl</w:t>
      </w:r>
      <w:r w:rsidR="004D6730" w:rsidRPr="00D869E3">
        <w:rPr>
          <w:rFonts w:ascii="Verdana" w:hAnsi="Verdana"/>
          <w:sz w:val="20"/>
          <w:szCs w:val="20"/>
          <w:lang w:val="en-US"/>
        </w:rPr>
        <w:t>uding the</w:t>
      </w:r>
      <w:r w:rsidRPr="00D869E3">
        <w:rPr>
          <w:rFonts w:ascii="Verdana" w:hAnsi="Verdana"/>
          <w:sz w:val="20"/>
          <w:szCs w:val="20"/>
          <w:lang w:val="en-US"/>
        </w:rPr>
        <w:t xml:space="preserve"> </w:t>
      </w:r>
      <w:r w:rsidR="00ED3FC7" w:rsidRPr="00D869E3">
        <w:rPr>
          <w:rFonts w:ascii="Verdana" w:hAnsi="Verdana"/>
          <w:sz w:val="20"/>
          <w:szCs w:val="20"/>
          <w:lang w:val="en-US"/>
        </w:rPr>
        <w:t>economic, social and cultural rights</w:t>
      </w:r>
      <w:r w:rsidRPr="00D869E3">
        <w:rPr>
          <w:rFonts w:ascii="Verdana" w:hAnsi="Verdana"/>
          <w:sz w:val="20"/>
          <w:szCs w:val="20"/>
          <w:lang w:val="en-US"/>
        </w:rPr>
        <w:t xml:space="preserve"> </w:t>
      </w:r>
      <w:r w:rsidR="004D6730" w:rsidRPr="00D869E3">
        <w:rPr>
          <w:rFonts w:ascii="Verdana" w:hAnsi="Verdana"/>
          <w:sz w:val="20"/>
          <w:szCs w:val="20"/>
          <w:lang w:val="en-US"/>
        </w:rPr>
        <w:t>to which</w:t>
      </w:r>
      <w:r w:rsidRPr="00D869E3">
        <w:rPr>
          <w:rFonts w:ascii="Verdana" w:hAnsi="Verdana"/>
          <w:sz w:val="20"/>
          <w:szCs w:val="20"/>
          <w:lang w:val="en-US"/>
        </w:rPr>
        <w:t xml:space="preserve"> </w:t>
      </w:r>
      <w:r w:rsidR="00CC766D" w:rsidRPr="00D869E3">
        <w:rPr>
          <w:rFonts w:ascii="Verdana" w:hAnsi="Verdana"/>
          <w:sz w:val="20"/>
          <w:szCs w:val="20"/>
          <w:lang w:val="en-US"/>
        </w:rPr>
        <w:t>Chapter</w:t>
      </w:r>
      <w:r w:rsidRPr="00D869E3">
        <w:rPr>
          <w:rFonts w:ascii="Verdana" w:hAnsi="Verdana"/>
          <w:sz w:val="20"/>
          <w:szCs w:val="20"/>
          <w:lang w:val="en-US"/>
        </w:rPr>
        <w:t xml:space="preserve"> III</w:t>
      </w:r>
      <w:r w:rsidR="00447C65" w:rsidRPr="00D869E3">
        <w:rPr>
          <w:rFonts w:ascii="Verdana" w:hAnsi="Verdana"/>
          <w:sz w:val="20"/>
          <w:szCs w:val="20"/>
          <w:lang w:val="en-US"/>
        </w:rPr>
        <w:t xml:space="preserve"> of the Convention</w:t>
      </w:r>
      <w:r w:rsidR="004D6730" w:rsidRPr="00D869E3">
        <w:rPr>
          <w:rFonts w:ascii="Verdana" w:hAnsi="Verdana"/>
          <w:sz w:val="20"/>
          <w:szCs w:val="20"/>
          <w:lang w:val="en-US"/>
        </w:rPr>
        <w:t xml:space="preserve"> alludes</w:t>
      </w:r>
      <w:r w:rsidRPr="00D869E3">
        <w:rPr>
          <w:rFonts w:ascii="Verdana" w:hAnsi="Verdana"/>
          <w:sz w:val="20"/>
          <w:szCs w:val="20"/>
          <w:lang w:val="en-US"/>
        </w:rPr>
        <w:t xml:space="preserve">, </w:t>
      </w:r>
      <w:r w:rsidR="004D6730" w:rsidRPr="00D869E3">
        <w:rPr>
          <w:rFonts w:ascii="Verdana" w:hAnsi="Verdana"/>
          <w:sz w:val="20"/>
          <w:szCs w:val="20"/>
          <w:lang w:val="en-US"/>
        </w:rPr>
        <w:t>should be respected and ensured, because this is required by the said Articles</w:t>
      </w:r>
      <w:r w:rsidRPr="00D869E3">
        <w:rPr>
          <w:rFonts w:ascii="Verdana" w:hAnsi="Verdana"/>
          <w:sz w:val="20"/>
          <w:szCs w:val="20"/>
          <w:lang w:val="en-US"/>
        </w:rPr>
        <w:t xml:space="preserve"> 1</w:t>
      </w:r>
      <w:r w:rsidR="00687684" w:rsidRPr="00D869E3">
        <w:rPr>
          <w:rFonts w:ascii="Verdana" w:hAnsi="Verdana"/>
          <w:sz w:val="20"/>
          <w:szCs w:val="20"/>
          <w:lang w:val="en-US"/>
        </w:rPr>
        <w:t xml:space="preserve"> and </w:t>
      </w:r>
      <w:r w:rsidRPr="00D869E3">
        <w:rPr>
          <w:rFonts w:ascii="Verdana" w:hAnsi="Verdana"/>
          <w:sz w:val="20"/>
          <w:szCs w:val="20"/>
          <w:lang w:val="en-US"/>
        </w:rPr>
        <w:t>2.</w:t>
      </w:r>
    </w:p>
    <w:p w14:paraId="61DEFC2D" w14:textId="77777777" w:rsidR="003C2143" w:rsidRPr="00D869E3" w:rsidRDefault="003C2143" w:rsidP="003C2143">
      <w:pPr>
        <w:pStyle w:val="Prrafodelista"/>
        <w:ind w:left="0"/>
        <w:jc w:val="both"/>
        <w:rPr>
          <w:rFonts w:ascii="Verdana" w:hAnsi="Verdana"/>
          <w:sz w:val="20"/>
          <w:szCs w:val="20"/>
          <w:lang w:val="en-US"/>
        </w:rPr>
      </w:pPr>
    </w:p>
    <w:p w14:paraId="427D3891" w14:textId="40B6240D" w:rsidR="003C2143" w:rsidRPr="00D869E3" w:rsidRDefault="003C2143" w:rsidP="003C2143">
      <w:pPr>
        <w:jc w:val="both"/>
        <w:rPr>
          <w:rFonts w:ascii="Verdana" w:hAnsi="Verdana"/>
          <w:sz w:val="20"/>
          <w:szCs w:val="20"/>
          <w:lang w:val="en-US"/>
        </w:rPr>
      </w:pPr>
      <w:r w:rsidRPr="00D869E3">
        <w:rPr>
          <w:rFonts w:ascii="Verdana" w:hAnsi="Verdana"/>
          <w:sz w:val="20"/>
          <w:szCs w:val="20"/>
          <w:lang w:val="en-US"/>
        </w:rPr>
        <w:t>3.</w:t>
      </w:r>
      <w:r w:rsidR="004D6730" w:rsidRPr="00D869E3">
        <w:rPr>
          <w:rFonts w:ascii="Verdana" w:hAnsi="Verdana"/>
          <w:sz w:val="20"/>
          <w:szCs w:val="20"/>
          <w:lang w:val="en-US"/>
        </w:rPr>
        <w:t xml:space="preserve"> </w:t>
      </w:r>
      <w:r w:rsidRPr="00D869E3">
        <w:rPr>
          <w:rFonts w:ascii="Verdana" w:hAnsi="Verdana"/>
          <w:sz w:val="20"/>
          <w:szCs w:val="20"/>
          <w:lang w:val="en-US"/>
        </w:rPr>
        <w:t xml:space="preserve"> </w:t>
      </w:r>
      <w:r w:rsidR="00EB4865" w:rsidRPr="00D869E3">
        <w:rPr>
          <w:rFonts w:ascii="Verdana" w:hAnsi="Verdana"/>
          <w:sz w:val="20"/>
          <w:szCs w:val="20"/>
          <w:lang w:val="en-US"/>
        </w:rPr>
        <w:t>Furthermore, t</w:t>
      </w:r>
      <w:r w:rsidR="004D6730" w:rsidRPr="00D869E3">
        <w:rPr>
          <w:rFonts w:ascii="Verdana" w:hAnsi="Verdana"/>
          <w:sz w:val="20"/>
          <w:szCs w:val="20"/>
          <w:lang w:val="en-US"/>
        </w:rPr>
        <w:t>he allusion to</w:t>
      </w:r>
      <w:r w:rsidRPr="00D869E3">
        <w:rPr>
          <w:rFonts w:ascii="Verdana" w:hAnsi="Verdana"/>
          <w:sz w:val="20"/>
          <w:szCs w:val="20"/>
          <w:lang w:val="en-US"/>
        </w:rPr>
        <w:t xml:space="preserve"> </w:t>
      </w:r>
      <w:r w:rsidR="00447C65" w:rsidRPr="00D869E3">
        <w:rPr>
          <w:rFonts w:ascii="Verdana" w:hAnsi="Verdana"/>
          <w:sz w:val="20"/>
          <w:szCs w:val="20"/>
          <w:lang w:val="en-US"/>
        </w:rPr>
        <w:t>Articles</w:t>
      </w:r>
      <w:r w:rsidRPr="00D869E3">
        <w:rPr>
          <w:rFonts w:ascii="Verdana" w:hAnsi="Verdana"/>
          <w:sz w:val="20"/>
          <w:szCs w:val="20"/>
          <w:lang w:val="en-US"/>
        </w:rPr>
        <w:t xml:space="preserve"> </w:t>
      </w:r>
      <w:r w:rsidR="006436CA" w:rsidRPr="00D869E3">
        <w:rPr>
          <w:rFonts w:ascii="Verdana" w:hAnsi="Verdana"/>
          <w:i/>
          <w:sz w:val="20"/>
          <w:szCs w:val="20"/>
          <w:lang w:val="en-US"/>
        </w:rPr>
        <w:t>“</w:t>
      </w:r>
      <w:r w:rsidRPr="00D869E3">
        <w:rPr>
          <w:rFonts w:ascii="Verdana" w:hAnsi="Verdana"/>
          <w:i/>
          <w:sz w:val="20"/>
          <w:szCs w:val="20"/>
          <w:lang w:val="en-US"/>
        </w:rPr>
        <w:t xml:space="preserve">6 </w:t>
      </w:r>
      <w:r w:rsidR="004D6730" w:rsidRPr="00D869E3">
        <w:rPr>
          <w:rFonts w:ascii="Verdana" w:hAnsi="Verdana"/>
          <w:i/>
          <w:iCs/>
          <w:sz w:val="20"/>
          <w:szCs w:val="20"/>
          <w:lang w:val="en-US"/>
        </w:rPr>
        <w:t>of the International Covenant on Economic, Social and Cultural Rights</w:t>
      </w:r>
      <w:r w:rsidR="00EB4865" w:rsidRPr="00D869E3">
        <w:rPr>
          <w:rFonts w:ascii="Verdana" w:hAnsi="Verdana"/>
          <w:sz w:val="20"/>
          <w:szCs w:val="20"/>
          <w:lang w:val="en-US"/>
        </w:rPr>
        <w:t>,”</w:t>
      </w:r>
      <w:r w:rsidRPr="00D869E3">
        <w:rPr>
          <w:rFonts w:ascii="Verdana" w:hAnsi="Verdana"/>
          <w:i/>
          <w:sz w:val="20"/>
          <w:szCs w:val="20"/>
          <w:lang w:val="en-US"/>
        </w:rPr>
        <w:t xml:space="preserve"> </w:t>
      </w:r>
      <w:r w:rsidR="006436CA" w:rsidRPr="00D869E3">
        <w:rPr>
          <w:rFonts w:ascii="Verdana" w:hAnsi="Verdana"/>
          <w:i/>
          <w:sz w:val="20"/>
          <w:szCs w:val="20"/>
          <w:lang w:val="en-US"/>
        </w:rPr>
        <w:t>“</w:t>
      </w:r>
      <w:r w:rsidRPr="00D869E3">
        <w:rPr>
          <w:rFonts w:ascii="Verdana" w:hAnsi="Verdana"/>
          <w:i/>
          <w:sz w:val="20"/>
          <w:szCs w:val="20"/>
          <w:lang w:val="en-US"/>
        </w:rPr>
        <w:t xml:space="preserve">23 </w:t>
      </w:r>
      <w:r w:rsidR="004D6730" w:rsidRPr="00D869E3">
        <w:rPr>
          <w:rFonts w:ascii="Verdana" w:hAnsi="Verdana"/>
          <w:i/>
          <w:iCs/>
          <w:sz w:val="20"/>
          <w:szCs w:val="20"/>
          <w:lang w:val="en-US"/>
        </w:rPr>
        <w:t>of the Universal Declaration of Human Rights,</w:t>
      </w:r>
      <w:r w:rsidR="006436CA" w:rsidRPr="00D869E3">
        <w:rPr>
          <w:rFonts w:ascii="Verdana" w:hAnsi="Verdana"/>
          <w:i/>
          <w:iCs/>
          <w:sz w:val="20"/>
          <w:szCs w:val="20"/>
          <w:lang w:val="en-US"/>
        </w:rPr>
        <w:t>”</w:t>
      </w:r>
      <w:r w:rsidRPr="00D869E3">
        <w:rPr>
          <w:rFonts w:ascii="Verdana" w:hAnsi="Verdana"/>
          <w:i/>
          <w:iCs/>
          <w:sz w:val="20"/>
          <w:szCs w:val="20"/>
          <w:lang w:val="en-US"/>
        </w:rPr>
        <w:t xml:space="preserve"> </w:t>
      </w:r>
      <w:r w:rsidR="006436CA" w:rsidRPr="00D869E3">
        <w:rPr>
          <w:rFonts w:ascii="Verdana" w:hAnsi="Verdana"/>
          <w:i/>
          <w:sz w:val="20"/>
          <w:szCs w:val="20"/>
          <w:lang w:val="en-US"/>
        </w:rPr>
        <w:t>“</w:t>
      </w:r>
      <w:r w:rsidRPr="00D869E3">
        <w:rPr>
          <w:rFonts w:ascii="Verdana" w:hAnsi="Verdana"/>
          <w:i/>
          <w:sz w:val="20"/>
          <w:szCs w:val="20"/>
          <w:lang w:val="en-US"/>
        </w:rPr>
        <w:t>7</w:t>
      </w:r>
      <w:r w:rsidR="00687684" w:rsidRPr="00D869E3">
        <w:rPr>
          <w:rFonts w:ascii="Verdana" w:hAnsi="Verdana"/>
          <w:i/>
          <w:sz w:val="20"/>
          <w:szCs w:val="20"/>
          <w:lang w:val="en-US"/>
        </w:rPr>
        <w:t xml:space="preserve"> and </w:t>
      </w:r>
      <w:r w:rsidRPr="00D869E3">
        <w:rPr>
          <w:rFonts w:ascii="Verdana" w:hAnsi="Verdana"/>
          <w:i/>
          <w:sz w:val="20"/>
          <w:szCs w:val="20"/>
          <w:lang w:val="en-US"/>
        </w:rPr>
        <w:t>8</w:t>
      </w:r>
      <w:r w:rsidR="00FE7426" w:rsidRPr="00D869E3">
        <w:rPr>
          <w:rFonts w:ascii="Verdana" w:hAnsi="Verdana"/>
          <w:i/>
          <w:sz w:val="20"/>
          <w:szCs w:val="20"/>
          <w:lang w:val="en-US"/>
        </w:rPr>
        <w:t xml:space="preserve"> of the </w:t>
      </w:r>
      <w:r w:rsidR="00A25801" w:rsidRPr="00D869E3">
        <w:rPr>
          <w:rFonts w:ascii="Verdana" w:hAnsi="Verdana"/>
          <w:i/>
          <w:sz w:val="20"/>
          <w:szCs w:val="20"/>
          <w:lang w:val="en-US"/>
        </w:rPr>
        <w:t>Social Charter of the Americas</w:t>
      </w:r>
      <w:r w:rsidR="009B31A2" w:rsidRPr="00D869E3">
        <w:rPr>
          <w:rFonts w:ascii="Verdana" w:hAnsi="Verdana"/>
          <w:i/>
          <w:sz w:val="20"/>
          <w:szCs w:val="20"/>
          <w:lang w:val="en-US"/>
        </w:rPr>
        <w:t>,</w:t>
      </w:r>
      <w:r w:rsidR="006436CA" w:rsidRPr="00D869E3">
        <w:rPr>
          <w:rFonts w:ascii="Verdana" w:hAnsi="Verdana"/>
          <w:i/>
          <w:sz w:val="20"/>
          <w:szCs w:val="20"/>
          <w:lang w:val="en-US"/>
        </w:rPr>
        <w:t>”</w:t>
      </w:r>
      <w:r w:rsidRPr="00D869E3">
        <w:rPr>
          <w:rFonts w:ascii="Verdana" w:hAnsi="Verdana"/>
          <w:i/>
          <w:sz w:val="20"/>
          <w:szCs w:val="20"/>
          <w:lang w:val="en-US"/>
        </w:rPr>
        <w:t xml:space="preserve"> </w:t>
      </w:r>
      <w:r w:rsidR="006436CA" w:rsidRPr="00D869E3">
        <w:rPr>
          <w:rFonts w:ascii="Verdana" w:hAnsi="Verdana"/>
          <w:i/>
          <w:sz w:val="20"/>
          <w:szCs w:val="20"/>
          <w:lang w:val="en-US"/>
        </w:rPr>
        <w:t>“</w:t>
      </w:r>
      <w:r w:rsidRPr="00D869E3">
        <w:rPr>
          <w:rFonts w:ascii="Verdana" w:hAnsi="Verdana"/>
          <w:i/>
          <w:sz w:val="20"/>
          <w:szCs w:val="20"/>
          <w:lang w:val="en-US"/>
        </w:rPr>
        <w:t>6</w:t>
      </w:r>
      <w:r w:rsidR="00687684" w:rsidRPr="00D869E3">
        <w:rPr>
          <w:rFonts w:ascii="Verdana" w:hAnsi="Verdana"/>
          <w:i/>
          <w:sz w:val="20"/>
          <w:szCs w:val="20"/>
          <w:lang w:val="en-US"/>
        </w:rPr>
        <w:t xml:space="preserve"> and </w:t>
      </w:r>
      <w:r w:rsidRPr="00D869E3">
        <w:rPr>
          <w:rFonts w:ascii="Verdana" w:hAnsi="Verdana"/>
          <w:i/>
          <w:sz w:val="20"/>
          <w:szCs w:val="20"/>
          <w:lang w:val="en-US"/>
        </w:rPr>
        <w:t xml:space="preserve">7 </w:t>
      </w:r>
      <w:r w:rsidR="00B235CB" w:rsidRPr="00D869E3">
        <w:rPr>
          <w:rFonts w:ascii="Verdana" w:hAnsi="Verdana"/>
          <w:i/>
          <w:sz w:val="20"/>
          <w:szCs w:val="20"/>
          <w:lang w:val="en-US"/>
        </w:rPr>
        <w:t>of the Additional Protocol to</w:t>
      </w:r>
      <w:r w:rsidRPr="00D869E3">
        <w:rPr>
          <w:rFonts w:ascii="Verdana" w:hAnsi="Verdana"/>
          <w:i/>
          <w:sz w:val="20"/>
          <w:szCs w:val="20"/>
          <w:lang w:val="en-US"/>
        </w:rPr>
        <w:t xml:space="preserve"> </w:t>
      </w:r>
      <w:r w:rsidR="00447C65" w:rsidRPr="00D869E3">
        <w:rPr>
          <w:rFonts w:ascii="Verdana" w:hAnsi="Verdana"/>
          <w:i/>
          <w:sz w:val="20"/>
          <w:szCs w:val="20"/>
          <w:lang w:val="en-US"/>
        </w:rPr>
        <w:t xml:space="preserve">the American </w:t>
      </w:r>
      <w:r w:rsidR="00A25801" w:rsidRPr="00D869E3">
        <w:rPr>
          <w:rFonts w:ascii="Verdana" w:hAnsi="Verdana"/>
          <w:i/>
          <w:sz w:val="20"/>
          <w:szCs w:val="20"/>
          <w:lang w:val="en-US"/>
        </w:rPr>
        <w:t>Convention in the Area of Economic, Social and Cultural Rights</w:t>
      </w:r>
      <w:r w:rsidR="009B31A2" w:rsidRPr="00D869E3">
        <w:rPr>
          <w:rFonts w:ascii="Verdana" w:hAnsi="Verdana"/>
          <w:i/>
          <w:sz w:val="20"/>
          <w:szCs w:val="20"/>
          <w:lang w:val="en-US"/>
        </w:rPr>
        <w:t>,</w:t>
      </w:r>
      <w:r w:rsidR="006436CA" w:rsidRPr="00D869E3">
        <w:rPr>
          <w:rFonts w:ascii="Verdana" w:hAnsi="Verdana"/>
          <w:i/>
          <w:sz w:val="20"/>
          <w:szCs w:val="20"/>
          <w:lang w:val="en-US"/>
        </w:rPr>
        <w:t>”</w:t>
      </w:r>
      <w:r w:rsidRPr="00D869E3">
        <w:rPr>
          <w:rFonts w:ascii="Verdana" w:hAnsi="Verdana"/>
          <w:i/>
          <w:sz w:val="20"/>
          <w:szCs w:val="20"/>
          <w:lang w:val="en-US"/>
        </w:rPr>
        <w:t xml:space="preserve"> </w:t>
      </w:r>
      <w:r w:rsidR="006436CA" w:rsidRPr="00D869E3">
        <w:rPr>
          <w:rFonts w:ascii="Verdana" w:hAnsi="Verdana"/>
          <w:i/>
          <w:sz w:val="20"/>
          <w:szCs w:val="20"/>
          <w:lang w:val="en-US"/>
        </w:rPr>
        <w:t>“</w:t>
      </w:r>
      <w:r w:rsidRPr="00D869E3">
        <w:rPr>
          <w:rFonts w:ascii="Verdana" w:hAnsi="Verdana"/>
          <w:i/>
          <w:sz w:val="20"/>
          <w:szCs w:val="20"/>
          <w:lang w:val="en-US"/>
        </w:rPr>
        <w:t>11</w:t>
      </w:r>
      <w:r w:rsidR="00447C65" w:rsidRPr="00D869E3">
        <w:rPr>
          <w:rFonts w:ascii="Verdana" w:hAnsi="Verdana"/>
          <w:i/>
          <w:sz w:val="20"/>
          <w:szCs w:val="20"/>
          <w:lang w:val="en-US"/>
        </w:rPr>
        <w:t xml:space="preserve"> of the Convention</w:t>
      </w:r>
      <w:r w:rsidRPr="00D869E3">
        <w:rPr>
          <w:rFonts w:ascii="Verdana" w:hAnsi="Verdana"/>
          <w:i/>
          <w:sz w:val="20"/>
          <w:szCs w:val="20"/>
          <w:lang w:val="en-US"/>
        </w:rPr>
        <w:t xml:space="preserve"> </w:t>
      </w:r>
      <w:r w:rsidR="00A25801" w:rsidRPr="00D869E3">
        <w:rPr>
          <w:rFonts w:ascii="Verdana" w:hAnsi="Verdana"/>
          <w:i/>
          <w:sz w:val="20"/>
          <w:szCs w:val="20"/>
          <w:lang w:val="en-US"/>
        </w:rPr>
        <w:t>on the Elimination of All Forms of Discrimination against Women</w:t>
      </w:r>
      <w:r w:rsidR="009B31A2" w:rsidRPr="00D869E3">
        <w:rPr>
          <w:rFonts w:ascii="Verdana" w:hAnsi="Verdana"/>
          <w:i/>
          <w:sz w:val="20"/>
          <w:szCs w:val="20"/>
          <w:lang w:val="en-US"/>
        </w:rPr>
        <w:t>,</w:t>
      </w:r>
      <w:r w:rsidR="006436CA" w:rsidRPr="00D869E3">
        <w:rPr>
          <w:rFonts w:ascii="Verdana" w:hAnsi="Verdana"/>
          <w:i/>
          <w:sz w:val="20"/>
          <w:szCs w:val="20"/>
          <w:lang w:val="en-US"/>
        </w:rPr>
        <w:t>”</w:t>
      </w:r>
      <w:r w:rsidRPr="00D869E3">
        <w:rPr>
          <w:rFonts w:ascii="Verdana" w:hAnsi="Verdana"/>
          <w:i/>
          <w:sz w:val="20"/>
          <w:szCs w:val="20"/>
          <w:lang w:val="en-US"/>
        </w:rPr>
        <w:t xml:space="preserve"> </w:t>
      </w:r>
      <w:r w:rsidR="006436CA" w:rsidRPr="00D869E3">
        <w:rPr>
          <w:rFonts w:ascii="Verdana" w:hAnsi="Verdana"/>
          <w:i/>
          <w:sz w:val="20"/>
          <w:szCs w:val="20"/>
          <w:lang w:val="en-US"/>
        </w:rPr>
        <w:t>“</w:t>
      </w:r>
      <w:r w:rsidRPr="00D869E3">
        <w:rPr>
          <w:rFonts w:ascii="Verdana" w:hAnsi="Verdana"/>
          <w:i/>
          <w:sz w:val="20"/>
          <w:szCs w:val="20"/>
          <w:lang w:val="en-US"/>
        </w:rPr>
        <w:t>32.1</w:t>
      </w:r>
      <w:r w:rsidR="00447C65" w:rsidRPr="00D869E3">
        <w:rPr>
          <w:rFonts w:ascii="Verdana" w:hAnsi="Verdana"/>
          <w:i/>
          <w:sz w:val="20"/>
          <w:szCs w:val="20"/>
          <w:lang w:val="en-US"/>
        </w:rPr>
        <w:t xml:space="preserve"> of the Convention</w:t>
      </w:r>
      <w:r w:rsidRPr="00D869E3">
        <w:rPr>
          <w:rFonts w:ascii="Verdana" w:hAnsi="Verdana"/>
          <w:i/>
          <w:sz w:val="20"/>
          <w:szCs w:val="20"/>
          <w:lang w:val="en-US"/>
        </w:rPr>
        <w:t xml:space="preserve"> </w:t>
      </w:r>
      <w:r w:rsidR="00A25801" w:rsidRPr="00D869E3">
        <w:rPr>
          <w:rFonts w:ascii="Verdana" w:hAnsi="Verdana"/>
          <w:i/>
          <w:sz w:val="20"/>
          <w:szCs w:val="20"/>
          <w:lang w:val="en-US"/>
        </w:rPr>
        <w:t>on the Rights of the Child</w:t>
      </w:r>
      <w:r w:rsidR="009B31A2" w:rsidRPr="00D869E3">
        <w:rPr>
          <w:rFonts w:ascii="Verdana" w:hAnsi="Verdana"/>
          <w:i/>
          <w:sz w:val="20"/>
          <w:szCs w:val="20"/>
          <w:lang w:val="en-US"/>
        </w:rPr>
        <w:t>,</w:t>
      </w:r>
      <w:r w:rsidR="006436CA" w:rsidRPr="00D869E3">
        <w:rPr>
          <w:rFonts w:ascii="Verdana" w:hAnsi="Verdana"/>
          <w:i/>
          <w:sz w:val="20"/>
          <w:szCs w:val="20"/>
          <w:lang w:val="en-US"/>
        </w:rPr>
        <w:t>”</w:t>
      </w:r>
      <w:r w:rsidRPr="00D869E3">
        <w:rPr>
          <w:rFonts w:ascii="Verdana" w:hAnsi="Verdana"/>
          <w:i/>
          <w:sz w:val="20"/>
          <w:szCs w:val="20"/>
          <w:lang w:val="en-US"/>
        </w:rPr>
        <w:t xml:space="preserve"> </w:t>
      </w:r>
      <w:r w:rsidR="006436CA" w:rsidRPr="00D869E3">
        <w:rPr>
          <w:rFonts w:ascii="Verdana" w:hAnsi="Verdana"/>
          <w:i/>
          <w:sz w:val="20"/>
          <w:szCs w:val="20"/>
          <w:lang w:val="en-US"/>
        </w:rPr>
        <w:t>“</w:t>
      </w:r>
      <w:r w:rsidRPr="00D869E3">
        <w:rPr>
          <w:rFonts w:ascii="Verdana" w:hAnsi="Verdana"/>
          <w:i/>
          <w:sz w:val="20"/>
          <w:szCs w:val="20"/>
          <w:lang w:val="en-US"/>
        </w:rPr>
        <w:t xml:space="preserve">1 </w:t>
      </w:r>
      <w:r w:rsidR="009B31A2" w:rsidRPr="00D869E3">
        <w:rPr>
          <w:rFonts w:ascii="Verdana" w:hAnsi="Verdana"/>
          <w:i/>
          <w:sz w:val="20"/>
          <w:szCs w:val="20"/>
          <w:lang w:val="en-US"/>
        </w:rPr>
        <w:t>of the</w:t>
      </w:r>
      <w:r w:rsidRPr="00D869E3">
        <w:rPr>
          <w:rFonts w:ascii="Verdana" w:hAnsi="Verdana"/>
          <w:i/>
          <w:sz w:val="20"/>
          <w:szCs w:val="20"/>
          <w:lang w:val="en-US"/>
        </w:rPr>
        <w:t xml:space="preserve"> </w:t>
      </w:r>
      <w:r w:rsidR="00A25801" w:rsidRPr="00D869E3">
        <w:rPr>
          <w:rFonts w:ascii="Verdana" w:hAnsi="Verdana"/>
          <w:i/>
          <w:sz w:val="20"/>
          <w:szCs w:val="20"/>
          <w:lang w:val="en-US"/>
        </w:rPr>
        <w:t>European Social Charter</w:t>
      </w:r>
      <w:r w:rsidR="006436CA" w:rsidRPr="00D869E3">
        <w:rPr>
          <w:rFonts w:ascii="Verdana" w:hAnsi="Verdana"/>
          <w:i/>
          <w:sz w:val="20"/>
          <w:szCs w:val="20"/>
          <w:lang w:val="en-US"/>
        </w:rPr>
        <w:t>”</w:t>
      </w:r>
      <w:r w:rsidR="00687684" w:rsidRPr="00D869E3">
        <w:rPr>
          <w:rFonts w:ascii="Verdana" w:hAnsi="Verdana"/>
          <w:i/>
          <w:sz w:val="20"/>
          <w:szCs w:val="20"/>
          <w:lang w:val="en-US"/>
        </w:rPr>
        <w:t xml:space="preserve"> and </w:t>
      </w:r>
      <w:r w:rsidR="006436CA" w:rsidRPr="00D869E3">
        <w:rPr>
          <w:rFonts w:ascii="Verdana" w:hAnsi="Verdana"/>
          <w:i/>
          <w:sz w:val="20"/>
          <w:szCs w:val="20"/>
          <w:lang w:val="en-US"/>
        </w:rPr>
        <w:t>“</w:t>
      </w:r>
      <w:r w:rsidRPr="00D869E3">
        <w:rPr>
          <w:rFonts w:ascii="Verdana" w:hAnsi="Verdana"/>
          <w:i/>
          <w:sz w:val="20"/>
          <w:szCs w:val="20"/>
          <w:lang w:val="en-US"/>
        </w:rPr>
        <w:t xml:space="preserve">15 </w:t>
      </w:r>
      <w:r w:rsidR="009B31A2" w:rsidRPr="00D869E3">
        <w:rPr>
          <w:rFonts w:ascii="Verdana" w:hAnsi="Verdana"/>
          <w:i/>
          <w:sz w:val="20"/>
          <w:szCs w:val="20"/>
          <w:lang w:val="en-US"/>
        </w:rPr>
        <w:t xml:space="preserve">of the </w:t>
      </w:r>
      <w:r w:rsidR="00A25801" w:rsidRPr="00D869E3">
        <w:rPr>
          <w:rFonts w:ascii="Verdana" w:hAnsi="Verdana"/>
          <w:i/>
          <w:sz w:val="20"/>
          <w:szCs w:val="20"/>
          <w:lang w:val="en-US"/>
        </w:rPr>
        <w:t>African Charter on Human and Peoples’ Rights</w:t>
      </w:r>
      <w:r w:rsidR="00EB4865" w:rsidRPr="00D869E3">
        <w:rPr>
          <w:rFonts w:ascii="Verdana" w:hAnsi="Verdana"/>
          <w:i/>
          <w:sz w:val="20"/>
          <w:szCs w:val="20"/>
          <w:lang w:val="en-US"/>
        </w:rPr>
        <w:t>,</w:t>
      </w:r>
      <w:r w:rsidR="006436CA" w:rsidRPr="00D869E3">
        <w:rPr>
          <w:rFonts w:ascii="Verdana" w:hAnsi="Verdana"/>
          <w:i/>
          <w:sz w:val="20"/>
          <w:szCs w:val="20"/>
          <w:lang w:val="en-US"/>
        </w:rPr>
        <w:t>”</w:t>
      </w:r>
      <w:r w:rsidRPr="00D869E3">
        <w:rPr>
          <w:rStyle w:val="Refdenotaalpie"/>
          <w:i/>
          <w:szCs w:val="20"/>
          <w:lang w:val="en-US"/>
        </w:rPr>
        <w:footnoteReference w:id="426"/>
      </w:r>
      <w:r w:rsidRPr="00D869E3">
        <w:rPr>
          <w:rFonts w:ascii="Verdana" w:hAnsi="Verdana"/>
          <w:sz w:val="20"/>
          <w:szCs w:val="20"/>
          <w:lang w:val="en-US"/>
        </w:rPr>
        <w:t xml:space="preserve"> </w:t>
      </w:r>
      <w:r w:rsidR="00EB4865" w:rsidRPr="00D869E3">
        <w:rPr>
          <w:rFonts w:ascii="Verdana" w:hAnsi="Verdana"/>
          <w:sz w:val="20"/>
          <w:szCs w:val="20"/>
          <w:lang w:val="en-US"/>
        </w:rPr>
        <w:t xml:space="preserve">does not provide grounds to affirm that </w:t>
      </w:r>
      <w:r w:rsidR="007013E2" w:rsidRPr="00D869E3">
        <w:rPr>
          <w:rFonts w:ascii="Verdana" w:hAnsi="Verdana"/>
          <w:sz w:val="20"/>
          <w:szCs w:val="20"/>
          <w:lang w:val="en-US"/>
        </w:rPr>
        <w:t>the violation</w:t>
      </w:r>
      <w:r w:rsidR="00A157F5" w:rsidRPr="00D869E3">
        <w:rPr>
          <w:rFonts w:ascii="Verdana" w:hAnsi="Verdana"/>
          <w:sz w:val="20"/>
          <w:szCs w:val="20"/>
          <w:lang w:val="en-US"/>
        </w:rPr>
        <w:t xml:space="preserve"> of the </w:t>
      </w:r>
      <w:r w:rsidR="00301DBE" w:rsidRPr="00D869E3">
        <w:rPr>
          <w:rFonts w:ascii="Verdana" w:hAnsi="Verdana"/>
          <w:sz w:val="20"/>
          <w:szCs w:val="20"/>
          <w:lang w:val="en-US"/>
        </w:rPr>
        <w:t>right to work</w:t>
      </w:r>
      <w:r w:rsidR="00687684" w:rsidRPr="00D869E3">
        <w:rPr>
          <w:rFonts w:ascii="Verdana" w:hAnsi="Verdana"/>
          <w:sz w:val="20"/>
          <w:szCs w:val="20"/>
          <w:lang w:val="en-US"/>
        </w:rPr>
        <w:t xml:space="preserve"> and </w:t>
      </w:r>
      <w:r w:rsidRPr="00D869E3">
        <w:rPr>
          <w:rFonts w:ascii="Verdana" w:hAnsi="Verdana"/>
          <w:sz w:val="20"/>
          <w:szCs w:val="20"/>
          <w:lang w:val="en-US"/>
        </w:rPr>
        <w:t>m</w:t>
      </w:r>
      <w:r w:rsidR="00EB4865" w:rsidRPr="00D869E3">
        <w:rPr>
          <w:rFonts w:ascii="Verdana" w:hAnsi="Verdana"/>
          <w:sz w:val="20"/>
          <w:szCs w:val="20"/>
          <w:lang w:val="en-US"/>
        </w:rPr>
        <w:t xml:space="preserve">ore specifically, </w:t>
      </w:r>
      <w:r w:rsidR="00A157F5" w:rsidRPr="00D869E3">
        <w:rPr>
          <w:rFonts w:ascii="Verdana" w:hAnsi="Verdana"/>
          <w:sz w:val="20"/>
          <w:szCs w:val="20"/>
          <w:lang w:val="en-US"/>
        </w:rPr>
        <w:t xml:space="preserve">of the </w:t>
      </w:r>
      <w:r w:rsidR="000B2E5E" w:rsidRPr="00D869E3">
        <w:rPr>
          <w:rFonts w:ascii="Verdana" w:hAnsi="Verdana"/>
          <w:sz w:val="20"/>
          <w:szCs w:val="20"/>
          <w:lang w:val="en-US"/>
        </w:rPr>
        <w:t xml:space="preserve">right </w:t>
      </w:r>
      <w:r w:rsidR="002C5EA9" w:rsidRPr="00D869E3">
        <w:rPr>
          <w:rFonts w:ascii="Verdana" w:hAnsi="Verdana"/>
          <w:sz w:val="20"/>
          <w:szCs w:val="20"/>
          <w:lang w:val="en-US"/>
        </w:rPr>
        <w:t>to job security</w:t>
      </w:r>
      <w:r w:rsidRPr="00D869E3">
        <w:rPr>
          <w:rFonts w:ascii="Verdana" w:hAnsi="Verdana"/>
          <w:sz w:val="20"/>
          <w:szCs w:val="20"/>
          <w:lang w:val="en-US"/>
        </w:rPr>
        <w:t xml:space="preserve">, </w:t>
      </w:r>
      <w:r w:rsidR="00EB4865" w:rsidRPr="00D869E3">
        <w:rPr>
          <w:rFonts w:ascii="Verdana" w:hAnsi="Verdana"/>
          <w:sz w:val="20"/>
          <w:szCs w:val="20"/>
          <w:lang w:val="en-US"/>
        </w:rPr>
        <w:t xml:space="preserve">can be examined and decided by the Court pursuant to </w:t>
      </w:r>
      <w:r w:rsidR="00447C65" w:rsidRPr="00D869E3">
        <w:rPr>
          <w:rFonts w:ascii="Verdana" w:hAnsi="Verdana"/>
          <w:sz w:val="20"/>
          <w:szCs w:val="20"/>
          <w:lang w:val="en-US"/>
        </w:rPr>
        <w:t>Article</w:t>
      </w:r>
      <w:r w:rsidRPr="00D869E3">
        <w:rPr>
          <w:rFonts w:ascii="Verdana" w:hAnsi="Verdana"/>
          <w:sz w:val="20"/>
          <w:szCs w:val="20"/>
          <w:lang w:val="en-US"/>
        </w:rPr>
        <w:t xml:space="preserve"> 26</w:t>
      </w:r>
      <w:r w:rsidR="00447C65" w:rsidRPr="00D869E3">
        <w:rPr>
          <w:rFonts w:ascii="Verdana" w:hAnsi="Verdana"/>
          <w:sz w:val="20"/>
          <w:szCs w:val="20"/>
          <w:lang w:val="en-US"/>
        </w:rPr>
        <w:t xml:space="preserve"> of the Convention</w:t>
      </w:r>
      <w:r w:rsidRPr="00D869E3">
        <w:rPr>
          <w:rFonts w:ascii="Verdana" w:hAnsi="Verdana"/>
          <w:sz w:val="20"/>
          <w:szCs w:val="20"/>
          <w:lang w:val="en-US"/>
        </w:rPr>
        <w:t>.</w:t>
      </w:r>
    </w:p>
    <w:p w14:paraId="58EFF3EE" w14:textId="77777777" w:rsidR="003C2143" w:rsidRPr="00D869E3" w:rsidRDefault="003C2143" w:rsidP="003C2143">
      <w:pPr>
        <w:jc w:val="both"/>
        <w:rPr>
          <w:rFonts w:ascii="Verdana" w:hAnsi="Verdana"/>
          <w:sz w:val="20"/>
          <w:szCs w:val="20"/>
          <w:lang w:val="en-US"/>
        </w:rPr>
      </w:pPr>
    </w:p>
    <w:p w14:paraId="41643E60" w14:textId="070ABE54" w:rsidR="004854A5" w:rsidRPr="00D869E3" w:rsidRDefault="003C2143" w:rsidP="003C2143">
      <w:pPr>
        <w:jc w:val="both"/>
        <w:rPr>
          <w:rFonts w:ascii="Verdana" w:hAnsi="Verdana"/>
          <w:sz w:val="20"/>
          <w:szCs w:val="20"/>
          <w:lang w:val="en-US"/>
        </w:rPr>
      </w:pPr>
      <w:r w:rsidRPr="00D869E3">
        <w:rPr>
          <w:rFonts w:ascii="Verdana" w:hAnsi="Verdana"/>
          <w:sz w:val="20"/>
          <w:szCs w:val="20"/>
          <w:lang w:val="en-US"/>
        </w:rPr>
        <w:t>4.</w:t>
      </w:r>
      <w:r w:rsidR="00EB4865" w:rsidRPr="00D869E3">
        <w:rPr>
          <w:rFonts w:ascii="Verdana" w:hAnsi="Verdana"/>
          <w:sz w:val="20"/>
          <w:szCs w:val="20"/>
          <w:lang w:val="en-US"/>
        </w:rPr>
        <w:t xml:space="preserve"> </w:t>
      </w:r>
      <w:r w:rsidRPr="00D869E3">
        <w:rPr>
          <w:rFonts w:ascii="Verdana" w:hAnsi="Verdana"/>
          <w:sz w:val="20"/>
          <w:szCs w:val="20"/>
          <w:lang w:val="en-US"/>
        </w:rPr>
        <w:t xml:space="preserve"> </w:t>
      </w:r>
      <w:r w:rsidR="00EB4865" w:rsidRPr="00D869E3">
        <w:rPr>
          <w:rFonts w:ascii="Verdana" w:hAnsi="Verdana"/>
          <w:sz w:val="20"/>
          <w:szCs w:val="20"/>
          <w:lang w:val="en-US"/>
        </w:rPr>
        <w:t>The same i</w:t>
      </w:r>
      <w:r w:rsidR="008A2576" w:rsidRPr="00D869E3">
        <w:rPr>
          <w:rFonts w:ascii="Verdana" w:hAnsi="Verdana"/>
          <w:sz w:val="20"/>
          <w:szCs w:val="20"/>
          <w:lang w:val="en-US"/>
        </w:rPr>
        <w:t>s</w:t>
      </w:r>
      <w:r w:rsidR="00EB4865" w:rsidRPr="00D869E3">
        <w:rPr>
          <w:rFonts w:ascii="Verdana" w:hAnsi="Verdana"/>
          <w:sz w:val="20"/>
          <w:szCs w:val="20"/>
          <w:lang w:val="en-US"/>
        </w:rPr>
        <w:t xml:space="preserve"> true </w:t>
      </w:r>
      <w:r w:rsidR="004854A5" w:rsidRPr="00D869E3">
        <w:rPr>
          <w:rFonts w:ascii="Verdana" w:hAnsi="Verdana"/>
          <w:sz w:val="20"/>
          <w:szCs w:val="20"/>
          <w:lang w:val="en-US"/>
        </w:rPr>
        <w:t>in the case of</w:t>
      </w:r>
      <w:r w:rsidR="00EB4865" w:rsidRPr="00D869E3">
        <w:rPr>
          <w:rFonts w:ascii="Verdana" w:hAnsi="Verdana"/>
          <w:sz w:val="20"/>
          <w:szCs w:val="20"/>
          <w:lang w:val="en-US"/>
        </w:rPr>
        <w:t xml:space="preserve"> the references to the </w:t>
      </w:r>
      <w:r w:rsidR="007013E2" w:rsidRPr="00D869E3">
        <w:rPr>
          <w:rFonts w:ascii="Verdana" w:hAnsi="Verdana"/>
          <w:sz w:val="20"/>
          <w:szCs w:val="20"/>
          <w:lang w:val="en-US"/>
        </w:rPr>
        <w:t>Committee on Economic, Social and Cultural Rights</w:t>
      </w:r>
      <w:r w:rsidRPr="00D869E3">
        <w:rPr>
          <w:rFonts w:ascii="Verdana" w:hAnsi="Verdana"/>
          <w:sz w:val="20"/>
          <w:szCs w:val="20"/>
          <w:lang w:val="en-US"/>
        </w:rPr>
        <w:t xml:space="preserve">, </w:t>
      </w:r>
      <w:r w:rsidR="00EB4865" w:rsidRPr="00D869E3">
        <w:rPr>
          <w:rFonts w:ascii="Verdana" w:hAnsi="Verdana"/>
          <w:sz w:val="20"/>
          <w:szCs w:val="20"/>
          <w:lang w:val="en-US"/>
        </w:rPr>
        <w:t>in its General Comment</w:t>
      </w:r>
      <w:r w:rsidRPr="00D869E3">
        <w:rPr>
          <w:rFonts w:ascii="Verdana" w:hAnsi="Verdana"/>
          <w:sz w:val="20"/>
          <w:szCs w:val="20"/>
          <w:lang w:val="en-US"/>
        </w:rPr>
        <w:t xml:space="preserve"> No. 18 </w:t>
      </w:r>
      <w:r w:rsidR="00EB4865" w:rsidRPr="00D869E3">
        <w:rPr>
          <w:rFonts w:ascii="Verdana" w:hAnsi="Verdana"/>
          <w:sz w:val="20"/>
          <w:szCs w:val="20"/>
          <w:lang w:val="en-US"/>
        </w:rPr>
        <w:t>on</w:t>
      </w:r>
      <w:r w:rsidRPr="00D869E3">
        <w:rPr>
          <w:rFonts w:ascii="Verdana" w:hAnsi="Verdana"/>
          <w:sz w:val="20"/>
          <w:szCs w:val="20"/>
          <w:lang w:val="en-US"/>
        </w:rPr>
        <w:t xml:space="preserve"> </w:t>
      </w:r>
      <w:r w:rsidR="000B2E5E" w:rsidRPr="00D869E3">
        <w:rPr>
          <w:rFonts w:ascii="Verdana" w:hAnsi="Verdana"/>
          <w:sz w:val="20"/>
          <w:szCs w:val="20"/>
          <w:lang w:val="en-US"/>
        </w:rPr>
        <w:t xml:space="preserve">the </w:t>
      </w:r>
      <w:r w:rsidR="00301DBE" w:rsidRPr="00D869E3">
        <w:rPr>
          <w:rFonts w:ascii="Verdana" w:hAnsi="Verdana"/>
          <w:sz w:val="20"/>
          <w:szCs w:val="20"/>
          <w:lang w:val="en-US"/>
        </w:rPr>
        <w:t>right to work</w:t>
      </w:r>
      <w:r w:rsidR="00EB4865" w:rsidRPr="00D869E3">
        <w:rPr>
          <w:rFonts w:ascii="Verdana" w:hAnsi="Verdana"/>
          <w:sz w:val="20"/>
          <w:szCs w:val="20"/>
          <w:lang w:val="en-US"/>
        </w:rPr>
        <w:t>,</w:t>
      </w:r>
      <w:r w:rsidRPr="00D869E3">
        <w:rPr>
          <w:rStyle w:val="Refdenotaalpie"/>
          <w:szCs w:val="20"/>
          <w:lang w:val="en-US"/>
        </w:rPr>
        <w:footnoteReference w:id="427"/>
      </w:r>
      <w:r w:rsidR="00687684" w:rsidRPr="00D869E3">
        <w:rPr>
          <w:rFonts w:ascii="Verdana" w:hAnsi="Verdana"/>
          <w:sz w:val="20"/>
          <w:szCs w:val="20"/>
          <w:lang w:val="en-US"/>
        </w:rPr>
        <w:t xml:space="preserve"> and </w:t>
      </w:r>
      <w:r w:rsidR="00EB4865" w:rsidRPr="00D869E3">
        <w:rPr>
          <w:rFonts w:ascii="Verdana" w:hAnsi="Verdana"/>
          <w:sz w:val="20"/>
          <w:szCs w:val="20"/>
          <w:lang w:val="en-US"/>
        </w:rPr>
        <w:t>to</w:t>
      </w:r>
      <w:r w:rsidRPr="00D869E3">
        <w:rPr>
          <w:rFonts w:ascii="Verdana" w:hAnsi="Verdana"/>
          <w:sz w:val="20"/>
          <w:szCs w:val="20"/>
          <w:lang w:val="en-US"/>
        </w:rPr>
        <w:t xml:space="preserve"> Conven</w:t>
      </w:r>
      <w:r w:rsidR="00EB4865" w:rsidRPr="00D869E3">
        <w:rPr>
          <w:rFonts w:ascii="Verdana" w:hAnsi="Verdana"/>
          <w:sz w:val="20"/>
          <w:szCs w:val="20"/>
          <w:lang w:val="en-US"/>
        </w:rPr>
        <w:t>t</w:t>
      </w:r>
      <w:r w:rsidRPr="00D869E3">
        <w:rPr>
          <w:rFonts w:ascii="Verdana" w:hAnsi="Verdana"/>
          <w:sz w:val="20"/>
          <w:szCs w:val="20"/>
          <w:lang w:val="en-US"/>
        </w:rPr>
        <w:t>io</w:t>
      </w:r>
      <w:r w:rsidR="00EB4865" w:rsidRPr="00D869E3">
        <w:rPr>
          <w:rFonts w:ascii="Verdana" w:hAnsi="Verdana"/>
          <w:sz w:val="20"/>
          <w:szCs w:val="20"/>
          <w:lang w:val="en-US"/>
        </w:rPr>
        <w:t>n</w:t>
      </w:r>
      <w:r w:rsidRPr="00D869E3">
        <w:rPr>
          <w:rFonts w:ascii="Verdana" w:hAnsi="Verdana"/>
          <w:sz w:val="20"/>
          <w:szCs w:val="20"/>
          <w:lang w:val="en-US"/>
        </w:rPr>
        <w:t xml:space="preserve"> 158 </w:t>
      </w:r>
      <w:r w:rsidR="00EB4865" w:rsidRPr="00D869E3">
        <w:rPr>
          <w:rFonts w:ascii="Verdana" w:hAnsi="Verdana"/>
          <w:sz w:val="20"/>
          <w:szCs w:val="20"/>
          <w:lang w:val="en-US"/>
        </w:rPr>
        <w:t>of the International Labour Org</w:t>
      </w:r>
      <w:r w:rsidR="004854A5" w:rsidRPr="00D869E3">
        <w:rPr>
          <w:rFonts w:ascii="Verdana" w:hAnsi="Verdana"/>
          <w:sz w:val="20"/>
          <w:szCs w:val="20"/>
          <w:lang w:val="en-US"/>
        </w:rPr>
        <w:t>a</w:t>
      </w:r>
      <w:r w:rsidR="00EB4865" w:rsidRPr="00D869E3">
        <w:rPr>
          <w:rFonts w:ascii="Verdana" w:hAnsi="Verdana"/>
          <w:sz w:val="20"/>
          <w:szCs w:val="20"/>
          <w:lang w:val="en-US"/>
        </w:rPr>
        <w:t>nization</w:t>
      </w:r>
      <w:r w:rsidR="004854A5" w:rsidRPr="00D869E3">
        <w:rPr>
          <w:rFonts w:ascii="Verdana" w:hAnsi="Verdana"/>
          <w:sz w:val="20"/>
          <w:szCs w:val="20"/>
          <w:lang w:val="en-US"/>
        </w:rPr>
        <w:t xml:space="preserve"> on termination of employment</w:t>
      </w:r>
      <w:r w:rsidR="00EB4865" w:rsidRPr="00D869E3">
        <w:rPr>
          <w:rFonts w:ascii="Verdana" w:hAnsi="Verdana"/>
          <w:sz w:val="20"/>
          <w:szCs w:val="20"/>
          <w:lang w:val="en-US"/>
        </w:rPr>
        <w:t xml:space="preserve"> </w:t>
      </w:r>
      <w:r w:rsidRPr="00D869E3">
        <w:rPr>
          <w:rFonts w:ascii="Verdana" w:hAnsi="Verdana"/>
          <w:sz w:val="20"/>
          <w:szCs w:val="20"/>
          <w:lang w:val="en-US"/>
        </w:rPr>
        <w:t>(1982)</w:t>
      </w:r>
      <w:r w:rsidR="004854A5" w:rsidRPr="00D869E3">
        <w:rPr>
          <w:rFonts w:ascii="Verdana" w:hAnsi="Verdana"/>
          <w:sz w:val="20"/>
          <w:szCs w:val="20"/>
          <w:lang w:val="en-US"/>
        </w:rPr>
        <w:t>.</w:t>
      </w:r>
      <w:r w:rsidRPr="00D869E3">
        <w:rPr>
          <w:rStyle w:val="Refdenotaalpie"/>
          <w:szCs w:val="20"/>
          <w:lang w:val="en-US"/>
        </w:rPr>
        <w:footnoteReference w:id="428"/>
      </w:r>
      <w:r w:rsidRPr="00D869E3">
        <w:rPr>
          <w:rFonts w:ascii="Verdana" w:hAnsi="Verdana"/>
          <w:sz w:val="20"/>
          <w:szCs w:val="20"/>
          <w:lang w:val="en-US"/>
        </w:rPr>
        <w:t xml:space="preserve"> </w:t>
      </w:r>
      <w:r w:rsidR="004854A5" w:rsidRPr="00D869E3">
        <w:rPr>
          <w:rFonts w:ascii="Verdana" w:hAnsi="Verdana"/>
          <w:sz w:val="20"/>
          <w:szCs w:val="20"/>
          <w:lang w:val="en-US"/>
        </w:rPr>
        <w:t xml:space="preserve">The said provisions </w:t>
      </w:r>
      <w:r w:rsidR="008A2576" w:rsidRPr="00D869E3">
        <w:rPr>
          <w:rFonts w:ascii="Verdana" w:hAnsi="Verdana"/>
          <w:sz w:val="20"/>
          <w:szCs w:val="20"/>
          <w:lang w:val="en-US"/>
        </w:rPr>
        <w:t>d</w:t>
      </w:r>
      <w:r w:rsidR="004854A5" w:rsidRPr="00D869E3">
        <w:rPr>
          <w:rFonts w:ascii="Verdana" w:hAnsi="Verdana"/>
          <w:sz w:val="20"/>
          <w:szCs w:val="20"/>
          <w:lang w:val="en-US"/>
        </w:rPr>
        <w:t xml:space="preserve">o not refer to this and it is not in their remit, either because they are treaties that have no relationship to the possibility of judicializing the </w:t>
      </w:r>
      <w:r w:rsidR="00ED3FC7" w:rsidRPr="00D869E3">
        <w:rPr>
          <w:rFonts w:ascii="Verdana" w:hAnsi="Verdana"/>
          <w:sz w:val="20"/>
          <w:szCs w:val="20"/>
          <w:lang w:val="en-US"/>
        </w:rPr>
        <w:t>economic, social and cultural rights</w:t>
      </w:r>
      <w:r w:rsidRPr="00D869E3">
        <w:rPr>
          <w:rFonts w:ascii="Verdana" w:hAnsi="Verdana"/>
          <w:sz w:val="20"/>
          <w:szCs w:val="20"/>
          <w:lang w:val="en-US"/>
        </w:rPr>
        <w:t xml:space="preserve">, </w:t>
      </w:r>
      <w:r w:rsidR="004854A5" w:rsidRPr="00D869E3">
        <w:rPr>
          <w:rFonts w:ascii="Verdana" w:hAnsi="Verdana"/>
          <w:sz w:val="20"/>
          <w:szCs w:val="20"/>
          <w:lang w:val="en-US"/>
        </w:rPr>
        <w:t>or because they are resolutions of international organizations that are not binding for the States; that is, they are merely resolutions that either reflect political aspirations</w:t>
      </w:r>
      <w:r w:rsidR="0005040F" w:rsidRPr="00D869E3">
        <w:rPr>
          <w:rFonts w:ascii="Verdana" w:hAnsi="Verdana"/>
          <w:sz w:val="20"/>
          <w:szCs w:val="20"/>
          <w:lang w:val="en-US"/>
        </w:rPr>
        <w:t xml:space="preserve"> that they be incorporated into law</w:t>
      </w:r>
      <w:r w:rsidR="004854A5" w:rsidRPr="00D869E3">
        <w:rPr>
          <w:rFonts w:ascii="Verdana" w:hAnsi="Verdana"/>
          <w:sz w:val="20"/>
          <w:szCs w:val="20"/>
          <w:lang w:val="en-US"/>
        </w:rPr>
        <w:t>, which may be very legitimate, or they do not interpret a treaty of any kind.</w:t>
      </w:r>
    </w:p>
    <w:p w14:paraId="7B89A7B0" w14:textId="77777777" w:rsidR="003C2143" w:rsidRPr="00D869E3" w:rsidRDefault="003C2143" w:rsidP="003C2143">
      <w:pPr>
        <w:jc w:val="both"/>
        <w:rPr>
          <w:rFonts w:ascii="Verdana" w:hAnsi="Verdana"/>
          <w:sz w:val="20"/>
          <w:szCs w:val="20"/>
          <w:lang w:val="en-US"/>
        </w:rPr>
      </w:pPr>
    </w:p>
    <w:p w14:paraId="08FEA5D1" w14:textId="64913600" w:rsidR="00887221" w:rsidRPr="00D869E3" w:rsidRDefault="003C2143" w:rsidP="003C2143">
      <w:pPr>
        <w:jc w:val="both"/>
        <w:rPr>
          <w:rFonts w:ascii="Verdana" w:hAnsi="Verdana"/>
          <w:sz w:val="20"/>
          <w:szCs w:val="20"/>
          <w:lang w:val="en-US"/>
        </w:rPr>
      </w:pPr>
      <w:r w:rsidRPr="00D869E3">
        <w:rPr>
          <w:rFonts w:ascii="Verdana" w:hAnsi="Verdana"/>
          <w:sz w:val="20"/>
          <w:szCs w:val="20"/>
          <w:lang w:val="en-US"/>
        </w:rPr>
        <w:t>5.</w:t>
      </w:r>
      <w:r w:rsidR="004854A5" w:rsidRPr="00D869E3">
        <w:rPr>
          <w:rFonts w:ascii="Verdana" w:hAnsi="Verdana"/>
          <w:sz w:val="20"/>
          <w:szCs w:val="20"/>
          <w:lang w:val="en-US"/>
        </w:rPr>
        <w:t xml:space="preserve"> </w:t>
      </w:r>
      <w:r w:rsidRPr="00D869E3">
        <w:rPr>
          <w:rFonts w:ascii="Verdana" w:hAnsi="Verdana"/>
          <w:sz w:val="20"/>
          <w:szCs w:val="20"/>
          <w:lang w:val="en-US"/>
        </w:rPr>
        <w:t xml:space="preserve"> </w:t>
      </w:r>
      <w:r w:rsidR="004854A5" w:rsidRPr="00D869E3">
        <w:rPr>
          <w:rFonts w:ascii="Verdana" w:hAnsi="Verdana"/>
          <w:sz w:val="20"/>
          <w:szCs w:val="20"/>
          <w:lang w:val="en-US"/>
        </w:rPr>
        <w:t>The statement that</w:t>
      </w:r>
      <w:r w:rsidRPr="00D869E3">
        <w:rPr>
          <w:rFonts w:ascii="Verdana" w:hAnsi="Verdana"/>
          <w:sz w:val="20"/>
          <w:szCs w:val="20"/>
          <w:lang w:val="en-US"/>
        </w:rPr>
        <w:t xml:space="preserve"> </w:t>
      </w:r>
      <w:r w:rsidR="006436CA" w:rsidRPr="00D869E3">
        <w:rPr>
          <w:rFonts w:ascii="Verdana" w:hAnsi="Verdana"/>
          <w:sz w:val="20"/>
          <w:szCs w:val="20"/>
          <w:lang w:val="en-US"/>
        </w:rPr>
        <w:t>“</w:t>
      </w:r>
      <w:r w:rsidR="00FE7426" w:rsidRPr="00D869E3">
        <w:rPr>
          <w:rFonts w:ascii="Verdana" w:hAnsi="Verdana"/>
          <w:i/>
          <w:sz w:val="20"/>
          <w:szCs w:val="20"/>
          <w:lang w:val="en-US"/>
        </w:rPr>
        <w:t>the American Declaration</w:t>
      </w:r>
      <w:r w:rsidR="004854A5" w:rsidRPr="00D869E3">
        <w:rPr>
          <w:rFonts w:ascii="Verdana" w:hAnsi="Verdana"/>
          <w:i/>
          <w:sz w:val="20"/>
          <w:szCs w:val="20"/>
          <w:lang w:val="en-US"/>
        </w:rPr>
        <w:t xml:space="preserve"> </w:t>
      </w:r>
      <w:r w:rsidR="004854A5" w:rsidRPr="00D869E3">
        <w:rPr>
          <w:rFonts w:ascii="Verdana" w:hAnsi="Verdana"/>
          <w:i/>
          <w:iCs/>
          <w:sz w:val="20"/>
          <w:szCs w:val="20"/>
          <w:lang w:val="en-US"/>
        </w:rPr>
        <w:t>constitutes, as applicable and in relation to the OAS Charter, a source of international obligations</w:t>
      </w:r>
      <w:r w:rsidR="006436CA" w:rsidRPr="00D869E3">
        <w:rPr>
          <w:rFonts w:ascii="Verdana" w:hAnsi="Verdana"/>
          <w:sz w:val="20"/>
          <w:szCs w:val="20"/>
          <w:lang w:val="en-US"/>
        </w:rPr>
        <w:t>”</w:t>
      </w:r>
      <w:r w:rsidRPr="00D869E3">
        <w:rPr>
          <w:rStyle w:val="Refdenotaalpie"/>
          <w:szCs w:val="20"/>
          <w:lang w:val="en-US"/>
        </w:rPr>
        <w:footnoteReference w:id="429"/>
      </w:r>
      <w:r w:rsidR="00687684" w:rsidRPr="00D869E3">
        <w:rPr>
          <w:rFonts w:ascii="Verdana" w:hAnsi="Verdana"/>
          <w:sz w:val="20"/>
          <w:szCs w:val="20"/>
          <w:lang w:val="en-US"/>
        </w:rPr>
        <w:t xml:space="preserve"> and </w:t>
      </w:r>
      <w:r w:rsidR="00887221" w:rsidRPr="00D869E3">
        <w:rPr>
          <w:rFonts w:ascii="Verdana" w:hAnsi="Verdana"/>
          <w:sz w:val="20"/>
          <w:szCs w:val="20"/>
          <w:lang w:val="en-US"/>
        </w:rPr>
        <w:t>the reference to the provisions of</w:t>
      </w:r>
      <w:r w:rsidRPr="00D869E3">
        <w:rPr>
          <w:rFonts w:ascii="Verdana" w:hAnsi="Verdana"/>
          <w:sz w:val="20"/>
          <w:szCs w:val="20"/>
          <w:lang w:val="en-US"/>
        </w:rPr>
        <w:t xml:space="preserve"> </w:t>
      </w:r>
      <w:r w:rsidR="00447C65" w:rsidRPr="00D869E3">
        <w:rPr>
          <w:rFonts w:ascii="Verdana" w:hAnsi="Verdana"/>
          <w:sz w:val="20"/>
          <w:szCs w:val="20"/>
          <w:lang w:val="en-US"/>
        </w:rPr>
        <w:t>Article</w:t>
      </w:r>
      <w:r w:rsidRPr="00D869E3">
        <w:rPr>
          <w:rFonts w:ascii="Verdana" w:hAnsi="Verdana"/>
          <w:sz w:val="20"/>
          <w:szCs w:val="20"/>
          <w:lang w:val="en-US"/>
        </w:rPr>
        <w:t xml:space="preserve"> 29</w:t>
      </w:r>
      <w:r w:rsidR="004A47FF" w:rsidRPr="00D869E3">
        <w:rPr>
          <w:rFonts w:ascii="Verdana" w:hAnsi="Verdana"/>
          <w:sz w:val="20"/>
          <w:szCs w:val="20"/>
          <w:lang w:val="en-US"/>
        </w:rPr>
        <w:t>(</w:t>
      </w:r>
      <w:r w:rsidRPr="00D869E3">
        <w:rPr>
          <w:rFonts w:ascii="Verdana" w:hAnsi="Verdana"/>
          <w:sz w:val="20"/>
          <w:szCs w:val="20"/>
          <w:lang w:val="en-US"/>
        </w:rPr>
        <w:t>d)</w:t>
      </w:r>
      <w:r w:rsidR="00447C65" w:rsidRPr="00D869E3">
        <w:rPr>
          <w:rFonts w:ascii="Verdana" w:hAnsi="Verdana"/>
          <w:sz w:val="20"/>
          <w:szCs w:val="20"/>
          <w:lang w:val="en-US"/>
        </w:rPr>
        <w:t xml:space="preserve"> of the Convention</w:t>
      </w:r>
      <w:r w:rsidR="00887221" w:rsidRPr="00D869E3">
        <w:rPr>
          <w:rFonts w:ascii="Verdana" w:hAnsi="Verdana"/>
          <w:sz w:val="20"/>
          <w:szCs w:val="20"/>
          <w:lang w:val="en-US"/>
        </w:rPr>
        <w:t>,</w:t>
      </w:r>
      <w:r w:rsidRPr="00D869E3">
        <w:rPr>
          <w:rStyle w:val="Refdenotaalpie"/>
          <w:szCs w:val="20"/>
          <w:lang w:val="en-US"/>
        </w:rPr>
        <w:footnoteReference w:id="430"/>
      </w:r>
      <w:r w:rsidR="00887221" w:rsidRPr="00D869E3">
        <w:rPr>
          <w:rFonts w:ascii="Verdana" w:hAnsi="Verdana"/>
          <w:sz w:val="20"/>
          <w:szCs w:val="20"/>
          <w:lang w:val="en-US"/>
        </w:rPr>
        <w:t xml:space="preserve"> </w:t>
      </w:r>
      <w:r w:rsidR="00045D80" w:rsidRPr="00D869E3">
        <w:rPr>
          <w:rFonts w:ascii="Verdana" w:hAnsi="Verdana"/>
          <w:sz w:val="20"/>
          <w:szCs w:val="20"/>
          <w:lang w:val="en-US"/>
        </w:rPr>
        <w:t>do not contradict</w:t>
      </w:r>
      <w:r w:rsidR="0078053A" w:rsidRPr="00D869E3">
        <w:rPr>
          <w:rFonts w:ascii="Verdana" w:hAnsi="Verdana"/>
          <w:sz w:val="20"/>
          <w:szCs w:val="20"/>
          <w:lang w:val="en-US"/>
        </w:rPr>
        <w:t xml:space="preserve"> the indisputable fact</w:t>
      </w:r>
      <w:r w:rsidR="00887221" w:rsidRPr="00D869E3">
        <w:rPr>
          <w:rFonts w:ascii="Verdana" w:hAnsi="Verdana"/>
          <w:sz w:val="20"/>
          <w:szCs w:val="20"/>
          <w:lang w:val="en-US"/>
        </w:rPr>
        <w:t xml:space="preserve"> in international law that th</w:t>
      </w:r>
      <w:r w:rsidR="00DC4012" w:rsidRPr="00D869E3">
        <w:rPr>
          <w:rFonts w:ascii="Verdana" w:hAnsi="Verdana"/>
          <w:sz w:val="20"/>
          <w:szCs w:val="20"/>
          <w:lang w:val="en-US"/>
        </w:rPr>
        <w:t xml:space="preserve">e </w:t>
      </w:r>
      <w:r w:rsidR="00045D80" w:rsidRPr="00D869E3">
        <w:rPr>
          <w:rFonts w:ascii="Verdana" w:hAnsi="Verdana"/>
          <w:sz w:val="20"/>
          <w:szCs w:val="20"/>
          <w:lang w:val="en-US"/>
        </w:rPr>
        <w:t>American Declaration</w:t>
      </w:r>
      <w:r w:rsidR="00887221" w:rsidRPr="00D869E3">
        <w:rPr>
          <w:rFonts w:ascii="Verdana" w:hAnsi="Verdana"/>
          <w:sz w:val="20"/>
          <w:szCs w:val="20"/>
          <w:lang w:val="en-US"/>
        </w:rPr>
        <w:t xml:space="preserve"> is a declarative </w:t>
      </w:r>
      <w:r w:rsidR="00045D80" w:rsidRPr="00D869E3">
        <w:rPr>
          <w:rFonts w:ascii="Verdana" w:hAnsi="Verdana"/>
          <w:sz w:val="20"/>
          <w:szCs w:val="20"/>
          <w:lang w:val="en-US"/>
        </w:rPr>
        <w:t>legal decision</w:t>
      </w:r>
      <w:r w:rsidR="00887221" w:rsidRPr="00D869E3">
        <w:rPr>
          <w:rFonts w:ascii="Verdana" w:hAnsi="Verdana"/>
          <w:sz w:val="20"/>
          <w:szCs w:val="20"/>
          <w:lang w:val="en-US"/>
        </w:rPr>
        <w:t xml:space="preserve"> of an international organization or institution</w:t>
      </w:r>
      <w:r w:rsidR="00BD75EB" w:rsidRPr="00D869E3">
        <w:rPr>
          <w:rFonts w:ascii="Verdana" w:hAnsi="Verdana"/>
          <w:sz w:val="20"/>
          <w:szCs w:val="20"/>
          <w:lang w:val="en-US"/>
        </w:rPr>
        <w:t xml:space="preserve"> and, c</w:t>
      </w:r>
      <w:r w:rsidR="00887221" w:rsidRPr="00D869E3">
        <w:rPr>
          <w:rFonts w:ascii="Verdana" w:hAnsi="Verdana"/>
          <w:sz w:val="20"/>
          <w:szCs w:val="20"/>
          <w:lang w:val="en-US"/>
        </w:rPr>
        <w:t xml:space="preserve">onsequently, </w:t>
      </w:r>
      <w:r w:rsidR="00045D80" w:rsidRPr="00D869E3">
        <w:rPr>
          <w:rFonts w:ascii="Verdana" w:hAnsi="Verdana"/>
          <w:sz w:val="20"/>
          <w:szCs w:val="20"/>
          <w:lang w:val="en-US"/>
        </w:rPr>
        <w:t>even though it is not</w:t>
      </w:r>
      <w:r w:rsidR="00887221" w:rsidRPr="00D869E3">
        <w:rPr>
          <w:rFonts w:ascii="Verdana" w:hAnsi="Verdana"/>
          <w:sz w:val="20"/>
          <w:szCs w:val="20"/>
          <w:lang w:val="en-US"/>
        </w:rPr>
        <w:t xml:space="preserve"> established </w:t>
      </w:r>
      <w:r w:rsidR="00045D80" w:rsidRPr="00D869E3">
        <w:rPr>
          <w:rFonts w:ascii="Verdana" w:hAnsi="Verdana"/>
          <w:sz w:val="20"/>
          <w:szCs w:val="20"/>
          <w:lang w:val="en-US"/>
        </w:rPr>
        <w:t>among</w:t>
      </w:r>
      <w:r w:rsidR="00887221" w:rsidRPr="00D869E3">
        <w:rPr>
          <w:rFonts w:ascii="Verdana" w:hAnsi="Verdana"/>
          <w:sz w:val="20"/>
          <w:szCs w:val="20"/>
          <w:lang w:val="en-US"/>
        </w:rPr>
        <w:t xml:space="preserve"> the sources of </w:t>
      </w:r>
      <w:r w:rsidR="00887221" w:rsidRPr="00D869E3">
        <w:rPr>
          <w:rFonts w:ascii="Verdana" w:hAnsi="Verdana"/>
          <w:sz w:val="20"/>
          <w:szCs w:val="20"/>
          <w:lang w:val="en-US"/>
        </w:rPr>
        <w:lastRenderedPageBreak/>
        <w:t xml:space="preserve">international law </w:t>
      </w:r>
      <w:r w:rsidR="00DC4012" w:rsidRPr="00D869E3">
        <w:rPr>
          <w:rFonts w:ascii="Verdana" w:hAnsi="Verdana"/>
          <w:sz w:val="20"/>
          <w:szCs w:val="20"/>
          <w:lang w:val="en-US"/>
        </w:rPr>
        <w:t xml:space="preserve">stipulated </w:t>
      </w:r>
      <w:r w:rsidR="00887221" w:rsidRPr="00D869E3">
        <w:rPr>
          <w:rFonts w:ascii="Verdana" w:hAnsi="Verdana"/>
          <w:sz w:val="20"/>
          <w:szCs w:val="20"/>
          <w:lang w:val="en-US"/>
        </w:rPr>
        <w:t>in Article 38 of the Statute of the International Court of Justice</w:t>
      </w:r>
      <w:r w:rsidR="00887221" w:rsidRPr="00D869E3">
        <w:rPr>
          <w:rStyle w:val="Refdenotaalpie"/>
          <w:szCs w:val="20"/>
          <w:lang w:val="en-US"/>
        </w:rPr>
        <w:footnoteReference w:id="431"/>
      </w:r>
      <w:r w:rsidR="0078053A" w:rsidRPr="00D869E3">
        <w:rPr>
          <w:rFonts w:ascii="Verdana" w:hAnsi="Verdana"/>
          <w:sz w:val="20"/>
          <w:szCs w:val="20"/>
          <w:lang w:val="en-US"/>
        </w:rPr>
        <w:t xml:space="preserve"> –</w:t>
      </w:r>
      <w:r w:rsidR="00887221" w:rsidRPr="00D869E3">
        <w:rPr>
          <w:rFonts w:ascii="Verdana" w:hAnsi="Verdana"/>
          <w:sz w:val="20"/>
          <w:szCs w:val="20"/>
          <w:lang w:val="en-US"/>
        </w:rPr>
        <w:t xml:space="preserve"> the only provision that </w:t>
      </w:r>
      <w:r w:rsidR="00BD75EB" w:rsidRPr="00D869E3">
        <w:rPr>
          <w:rFonts w:ascii="Verdana" w:hAnsi="Verdana"/>
          <w:sz w:val="20"/>
          <w:szCs w:val="20"/>
          <w:lang w:val="en-US"/>
        </w:rPr>
        <w:t>does this</w:t>
      </w:r>
      <w:r w:rsidR="0078053A" w:rsidRPr="00D869E3">
        <w:rPr>
          <w:rFonts w:ascii="Verdana" w:hAnsi="Verdana"/>
          <w:sz w:val="20"/>
          <w:szCs w:val="20"/>
          <w:lang w:val="en-US"/>
        </w:rPr>
        <w:t xml:space="preserve"> – </w:t>
      </w:r>
      <w:r w:rsidR="00DC4012" w:rsidRPr="00D869E3">
        <w:rPr>
          <w:rFonts w:ascii="Verdana" w:hAnsi="Verdana"/>
          <w:sz w:val="20"/>
          <w:szCs w:val="20"/>
          <w:lang w:val="en-US"/>
        </w:rPr>
        <w:t>it is a</w:t>
      </w:r>
      <w:r w:rsidR="00887221" w:rsidRPr="00D869E3">
        <w:rPr>
          <w:rFonts w:ascii="Verdana" w:hAnsi="Verdana"/>
          <w:sz w:val="20"/>
          <w:szCs w:val="20"/>
          <w:lang w:val="en-US"/>
        </w:rPr>
        <w:t xml:space="preserve"> subsidiary </w:t>
      </w:r>
      <w:r w:rsidR="00BD75EB" w:rsidRPr="00D869E3">
        <w:rPr>
          <w:rFonts w:ascii="Verdana" w:hAnsi="Verdana"/>
          <w:sz w:val="20"/>
          <w:szCs w:val="20"/>
          <w:lang w:val="en-US"/>
        </w:rPr>
        <w:t>means</w:t>
      </w:r>
      <w:r w:rsidR="00887221" w:rsidRPr="00D869E3">
        <w:rPr>
          <w:rFonts w:ascii="Verdana" w:hAnsi="Verdana"/>
          <w:sz w:val="20"/>
          <w:szCs w:val="20"/>
          <w:lang w:val="en-US"/>
        </w:rPr>
        <w:t xml:space="preserve"> of international law; that is, </w:t>
      </w:r>
      <w:r w:rsidR="00DC4012" w:rsidRPr="00D869E3">
        <w:rPr>
          <w:rFonts w:ascii="Verdana" w:hAnsi="Verdana"/>
          <w:sz w:val="20"/>
          <w:szCs w:val="20"/>
          <w:lang w:val="en-US"/>
        </w:rPr>
        <w:t xml:space="preserve">it </w:t>
      </w:r>
      <w:r w:rsidR="00887221" w:rsidRPr="00D869E3">
        <w:rPr>
          <w:rFonts w:ascii="Verdana" w:hAnsi="Verdana"/>
          <w:sz w:val="20"/>
          <w:szCs w:val="20"/>
          <w:lang w:val="en-US"/>
        </w:rPr>
        <w:t>serve</w:t>
      </w:r>
      <w:r w:rsidR="00DC4012" w:rsidRPr="00D869E3">
        <w:rPr>
          <w:rFonts w:ascii="Verdana" w:hAnsi="Verdana"/>
          <w:sz w:val="20"/>
          <w:szCs w:val="20"/>
          <w:lang w:val="en-US"/>
        </w:rPr>
        <w:t>s</w:t>
      </w:r>
      <w:r w:rsidR="00887221" w:rsidRPr="00D869E3">
        <w:rPr>
          <w:rFonts w:ascii="Verdana" w:hAnsi="Verdana"/>
          <w:sz w:val="20"/>
          <w:szCs w:val="20"/>
          <w:lang w:val="en-US"/>
        </w:rPr>
        <w:t xml:space="preserve"> “</w:t>
      </w:r>
      <w:r w:rsidR="00887221" w:rsidRPr="00D869E3">
        <w:rPr>
          <w:rFonts w:ascii="Verdana" w:hAnsi="Verdana"/>
          <w:i/>
          <w:iCs/>
          <w:sz w:val="20"/>
          <w:szCs w:val="20"/>
          <w:lang w:val="en-US"/>
        </w:rPr>
        <w:t>for the determination of rules of law</w:t>
      </w:r>
      <w:r w:rsidR="00887221" w:rsidRPr="00D869E3">
        <w:rPr>
          <w:rFonts w:ascii="Verdana" w:hAnsi="Verdana"/>
          <w:sz w:val="20"/>
          <w:szCs w:val="20"/>
          <w:lang w:val="en-US"/>
        </w:rPr>
        <w:t>” established by an autonomous source of international law.</w:t>
      </w:r>
      <w:r w:rsidR="00DC4012" w:rsidRPr="00D869E3">
        <w:rPr>
          <w:rFonts w:ascii="Verdana" w:hAnsi="Verdana"/>
          <w:sz w:val="20"/>
          <w:szCs w:val="20"/>
          <w:lang w:val="en-US"/>
        </w:rPr>
        <w:t xml:space="preserve"> Thus, the said </w:t>
      </w:r>
      <w:r w:rsidR="00045D80" w:rsidRPr="00D869E3">
        <w:rPr>
          <w:rFonts w:ascii="Verdana" w:hAnsi="Verdana"/>
          <w:sz w:val="20"/>
          <w:szCs w:val="20"/>
          <w:lang w:val="en-US"/>
        </w:rPr>
        <w:t>D</w:t>
      </w:r>
      <w:r w:rsidR="00DC4012" w:rsidRPr="00D869E3">
        <w:rPr>
          <w:rFonts w:ascii="Verdana" w:hAnsi="Verdana"/>
          <w:sz w:val="20"/>
          <w:szCs w:val="20"/>
          <w:lang w:val="en-US"/>
        </w:rPr>
        <w:t>eclaration is a “</w:t>
      </w:r>
      <w:r w:rsidR="00DC4012" w:rsidRPr="00D869E3">
        <w:rPr>
          <w:rFonts w:ascii="Verdana" w:hAnsi="Verdana"/>
          <w:i/>
          <w:iCs/>
          <w:sz w:val="20"/>
          <w:szCs w:val="20"/>
          <w:lang w:val="en-US"/>
        </w:rPr>
        <w:t>source of international obligations</w:t>
      </w:r>
      <w:r w:rsidR="00DC4012" w:rsidRPr="00D869E3">
        <w:rPr>
          <w:rFonts w:ascii="Verdana" w:hAnsi="Verdana"/>
          <w:sz w:val="20"/>
          <w:szCs w:val="20"/>
          <w:lang w:val="en-US"/>
        </w:rPr>
        <w:t>” to the extent that it interprets rights or obligations established in any autonomous source of international law.</w:t>
      </w:r>
    </w:p>
    <w:p w14:paraId="0710CC13" w14:textId="77777777" w:rsidR="003C2143" w:rsidRPr="00D869E3" w:rsidRDefault="003C2143" w:rsidP="003C2143">
      <w:pPr>
        <w:jc w:val="both"/>
        <w:rPr>
          <w:rFonts w:ascii="Verdana" w:hAnsi="Verdana"/>
          <w:sz w:val="20"/>
          <w:szCs w:val="20"/>
          <w:lang w:val="en-US"/>
        </w:rPr>
      </w:pPr>
    </w:p>
    <w:p w14:paraId="2A719AE5" w14:textId="40540EAB" w:rsidR="003C2143" w:rsidRPr="00D869E3" w:rsidRDefault="003C2143" w:rsidP="003C2143">
      <w:pPr>
        <w:jc w:val="both"/>
        <w:rPr>
          <w:rFonts w:ascii="Verdana" w:hAnsi="Verdana"/>
          <w:sz w:val="20"/>
          <w:szCs w:val="20"/>
          <w:lang w:val="en-US"/>
        </w:rPr>
      </w:pPr>
      <w:r w:rsidRPr="00D869E3">
        <w:rPr>
          <w:rFonts w:ascii="Verdana" w:hAnsi="Verdana"/>
          <w:sz w:val="20"/>
          <w:szCs w:val="20"/>
          <w:lang w:val="en-US"/>
        </w:rPr>
        <w:t xml:space="preserve">6. </w:t>
      </w:r>
      <w:r w:rsidR="00DC4012" w:rsidRPr="00D869E3">
        <w:rPr>
          <w:rFonts w:ascii="Verdana" w:hAnsi="Verdana"/>
          <w:sz w:val="20"/>
          <w:szCs w:val="20"/>
          <w:lang w:val="en-US"/>
        </w:rPr>
        <w:t xml:space="preserve"> The</w:t>
      </w:r>
      <w:r w:rsidR="00BD75EB" w:rsidRPr="00D869E3">
        <w:rPr>
          <w:rFonts w:ascii="Verdana" w:hAnsi="Verdana"/>
          <w:sz w:val="20"/>
          <w:szCs w:val="20"/>
          <w:lang w:val="en-US"/>
        </w:rPr>
        <w:t xml:space="preserve"> basic reason for the</w:t>
      </w:r>
      <w:r w:rsidR="00DC4012" w:rsidRPr="00D869E3">
        <w:rPr>
          <w:rFonts w:ascii="Verdana" w:hAnsi="Verdana"/>
          <w:sz w:val="20"/>
          <w:szCs w:val="20"/>
          <w:lang w:val="en-US"/>
        </w:rPr>
        <w:t xml:space="preserve"> reference to all the documents cited above</w:t>
      </w:r>
      <w:r w:rsidRPr="00D869E3">
        <w:rPr>
          <w:rStyle w:val="Refdenotaalpie"/>
          <w:szCs w:val="20"/>
          <w:lang w:val="en-US"/>
        </w:rPr>
        <w:footnoteReference w:id="432"/>
      </w:r>
      <w:r w:rsidRPr="00D869E3">
        <w:rPr>
          <w:rFonts w:ascii="Verdana" w:hAnsi="Verdana"/>
          <w:sz w:val="20"/>
          <w:szCs w:val="20"/>
          <w:lang w:val="en-US"/>
        </w:rPr>
        <w:t xml:space="preserve"> </w:t>
      </w:r>
      <w:r w:rsidR="00DC4012" w:rsidRPr="00D869E3">
        <w:rPr>
          <w:rFonts w:ascii="Verdana" w:hAnsi="Verdana"/>
          <w:sz w:val="20"/>
          <w:szCs w:val="20"/>
          <w:lang w:val="en-US"/>
        </w:rPr>
        <w:t>seem</w:t>
      </w:r>
      <w:r w:rsidR="00BD75EB" w:rsidRPr="00D869E3">
        <w:rPr>
          <w:rFonts w:ascii="Verdana" w:hAnsi="Verdana"/>
          <w:sz w:val="20"/>
          <w:szCs w:val="20"/>
          <w:lang w:val="en-US"/>
        </w:rPr>
        <w:t>s</w:t>
      </w:r>
      <w:r w:rsidR="00DC4012" w:rsidRPr="00D869E3">
        <w:rPr>
          <w:rFonts w:ascii="Verdana" w:hAnsi="Verdana"/>
          <w:sz w:val="20"/>
          <w:szCs w:val="20"/>
          <w:lang w:val="en-US"/>
        </w:rPr>
        <w:t xml:space="preserve"> to have been to supp</w:t>
      </w:r>
      <w:r w:rsidR="00BD75EB" w:rsidRPr="00D869E3">
        <w:rPr>
          <w:rFonts w:ascii="Verdana" w:hAnsi="Verdana"/>
          <w:sz w:val="20"/>
          <w:szCs w:val="20"/>
          <w:lang w:val="en-US"/>
        </w:rPr>
        <w:t>ort</w:t>
      </w:r>
      <w:r w:rsidR="00DC4012" w:rsidRPr="00D869E3">
        <w:rPr>
          <w:rFonts w:ascii="Verdana" w:hAnsi="Verdana"/>
          <w:sz w:val="20"/>
          <w:szCs w:val="20"/>
          <w:lang w:val="en-US"/>
        </w:rPr>
        <w:t xml:space="preserve"> the interpretation as regards the existence of the right to work and the right to job security, which, we repeat, is not contradicted or </w:t>
      </w:r>
      <w:r w:rsidR="00BD75EB" w:rsidRPr="00D869E3">
        <w:rPr>
          <w:rFonts w:ascii="Verdana" w:hAnsi="Verdana"/>
          <w:sz w:val="20"/>
          <w:szCs w:val="20"/>
          <w:lang w:val="en-US"/>
        </w:rPr>
        <w:t>opposed</w:t>
      </w:r>
      <w:r w:rsidR="00DC4012" w:rsidRPr="00D869E3">
        <w:rPr>
          <w:rFonts w:ascii="Verdana" w:hAnsi="Verdana"/>
          <w:sz w:val="20"/>
          <w:szCs w:val="20"/>
          <w:lang w:val="en-US"/>
        </w:rPr>
        <w:t xml:space="preserve"> in this opinion</w:t>
      </w:r>
      <w:r w:rsidR="00BD75EB" w:rsidRPr="00D869E3">
        <w:rPr>
          <w:rFonts w:ascii="Verdana" w:hAnsi="Verdana"/>
          <w:sz w:val="20"/>
          <w:szCs w:val="20"/>
          <w:lang w:val="en-US"/>
        </w:rPr>
        <w:t>. However,</w:t>
      </w:r>
      <w:r w:rsidR="00DC4012" w:rsidRPr="00D869E3">
        <w:rPr>
          <w:rFonts w:ascii="Verdana" w:hAnsi="Verdana"/>
          <w:sz w:val="20"/>
          <w:szCs w:val="20"/>
          <w:lang w:val="en-US"/>
        </w:rPr>
        <w:t xml:space="preserve"> this does not mean that the said texts establish that the violation of </w:t>
      </w:r>
      <w:r w:rsidR="00BD75EB" w:rsidRPr="00D869E3">
        <w:rPr>
          <w:rFonts w:ascii="Verdana" w:hAnsi="Verdana"/>
          <w:sz w:val="20"/>
          <w:szCs w:val="20"/>
          <w:lang w:val="en-US"/>
        </w:rPr>
        <w:t>those</w:t>
      </w:r>
      <w:r w:rsidR="00DC4012" w:rsidRPr="00D869E3">
        <w:rPr>
          <w:rFonts w:ascii="Verdana" w:hAnsi="Verdana"/>
          <w:sz w:val="20"/>
          <w:szCs w:val="20"/>
          <w:lang w:val="en-US"/>
        </w:rPr>
        <w:t xml:space="preserve"> rights can be submitted to the consideration and decision of the Court pursuant to the </w:t>
      </w:r>
      <w:r w:rsidR="00BD75EB" w:rsidRPr="00D869E3">
        <w:rPr>
          <w:rFonts w:ascii="Verdana" w:hAnsi="Verdana"/>
          <w:sz w:val="20"/>
          <w:szCs w:val="20"/>
          <w:lang w:val="en-US"/>
        </w:rPr>
        <w:t>oft</w:t>
      </w:r>
      <w:r w:rsidR="00DC4012" w:rsidRPr="00D869E3">
        <w:rPr>
          <w:rFonts w:ascii="Verdana" w:hAnsi="Verdana"/>
          <w:sz w:val="20"/>
          <w:szCs w:val="20"/>
          <w:lang w:val="en-US"/>
        </w:rPr>
        <w:t xml:space="preserve"> cited </w:t>
      </w:r>
      <w:r w:rsidR="00447C65" w:rsidRPr="00D869E3">
        <w:rPr>
          <w:rFonts w:ascii="Verdana" w:hAnsi="Verdana"/>
          <w:sz w:val="20"/>
          <w:szCs w:val="20"/>
          <w:lang w:val="en-US"/>
        </w:rPr>
        <w:t>Article</w:t>
      </w:r>
      <w:r w:rsidRPr="00D869E3">
        <w:rPr>
          <w:rFonts w:ascii="Verdana" w:hAnsi="Verdana"/>
          <w:sz w:val="20"/>
          <w:szCs w:val="20"/>
          <w:lang w:val="en-US"/>
        </w:rPr>
        <w:t xml:space="preserve"> 26.</w:t>
      </w:r>
    </w:p>
    <w:p w14:paraId="634FFA30" w14:textId="77777777" w:rsidR="003C2143" w:rsidRPr="00D869E3" w:rsidRDefault="003C2143" w:rsidP="003C2143">
      <w:pPr>
        <w:jc w:val="both"/>
        <w:rPr>
          <w:rFonts w:ascii="Verdana" w:hAnsi="Verdana"/>
          <w:sz w:val="20"/>
          <w:szCs w:val="20"/>
          <w:lang w:val="en-US"/>
        </w:rPr>
      </w:pPr>
    </w:p>
    <w:p w14:paraId="0E3DE9B8" w14:textId="08E61A03" w:rsidR="003C2143" w:rsidRPr="00D869E3" w:rsidRDefault="003C2143" w:rsidP="003C2143">
      <w:pPr>
        <w:jc w:val="both"/>
        <w:rPr>
          <w:rFonts w:ascii="Verdana" w:hAnsi="Verdana"/>
          <w:sz w:val="20"/>
          <w:szCs w:val="20"/>
          <w:lang w:val="en-US"/>
        </w:rPr>
      </w:pPr>
      <w:r w:rsidRPr="00D869E3">
        <w:rPr>
          <w:rFonts w:ascii="Verdana" w:hAnsi="Verdana"/>
          <w:sz w:val="20"/>
          <w:szCs w:val="20"/>
          <w:lang w:val="en-US"/>
        </w:rPr>
        <w:t xml:space="preserve">7. </w:t>
      </w:r>
      <w:r w:rsidR="00DC4012" w:rsidRPr="00D869E3">
        <w:rPr>
          <w:rFonts w:ascii="Verdana" w:hAnsi="Verdana"/>
          <w:sz w:val="20"/>
          <w:szCs w:val="20"/>
          <w:lang w:val="en-US"/>
        </w:rPr>
        <w:t xml:space="preserve"> The phrase that </w:t>
      </w:r>
      <w:r w:rsidR="006436CA" w:rsidRPr="00D869E3">
        <w:rPr>
          <w:rFonts w:ascii="Verdana" w:hAnsi="Verdana"/>
          <w:sz w:val="20"/>
          <w:szCs w:val="20"/>
          <w:lang w:val="en-US"/>
        </w:rPr>
        <w:t>“</w:t>
      </w:r>
      <w:r w:rsidR="00447C65" w:rsidRPr="00D869E3">
        <w:rPr>
          <w:rFonts w:ascii="Verdana" w:hAnsi="Verdana"/>
          <w:i/>
          <w:sz w:val="20"/>
          <w:szCs w:val="20"/>
          <w:lang w:val="en-US"/>
        </w:rPr>
        <w:t>the Court</w:t>
      </w:r>
      <w:r w:rsidRPr="00D869E3">
        <w:rPr>
          <w:rFonts w:ascii="Verdana" w:hAnsi="Verdana"/>
          <w:i/>
          <w:sz w:val="20"/>
          <w:szCs w:val="20"/>
          <w:lang w:val="en-US"/>
        </w:rPr>
        <w:t xml:space="preserve"> </w:t>
      </w:r>
      <w:r w:rsidR="00F062CF" w:rsidRPr="00D869E3">
        <w:rPr>
          <w:rFonts w:ascii="Verdana" w:hAnsi="Verdana"/>
          <w:i/>
          <w:sz w:val="20"/>
          <w:szCs w:val="20"/>
          <w:lang w:val="en-US"/>
        </w:rPr>
        <w:t>exercises full jurisdiction over all its articles and provisions</w:t>
      </w:r>
      <w:r w:rsidR="006436CA" w:rsidRPr="00D869E3">
        <w:rPr>
          <w:rFonts w:ascii="Verdana" w:hAnsi="Verdana"/>
          <w:i/>
          <w:sz w:val="20"/>
          <w:szCs w:val="20"/>
          <w:lang w:val="en-US"/>
        </w:rPr>
        <w:t>”</w:t>
      </w:r>
      <w:r w:rsidR="00DC4012" w:rsidRPr="00D869E3">
        <w:rPr>
          <w:rFonts w:ascii="Verdana" w:hAnsi="Verdana"/>
          <w:i/>
          <w:sz w:val="20"/>
          <w:szCs w:val="20"/>
          <w:lang w:val="en-US"/>
        </w:rPr>
        <w:t>;</w:t>
      </w:r>
      <w:r w:rsidRPr="00D869E3">
        <w:rPr>
          <w:rStyle w:val="Refdenotaalpie"/>
          <w:i/>
          <w:szCs w:val="20"/>
          <w:lang w:val="en-US"/>
        </w:rPr>
        <w:footnoteReference w:id="433"/>
      </w:r>
      <w:r w:rsidRPr="00D869E3">
        <w:rPr>
          <w:rFonts w:ascii="Verdana" w:hAnsi="Verdana"/>
          <w:sz w:val="20"/>
          <w:szCs w:val="20"/>
          <w:lang w:val="en-US"/>
        </w:rPr>
        <w:t xml:space="preserve"> </w:t>
      </w:r>
      <w:r w:rsidR="00DC4012" w:rsidRPr="00D869E3">
        <w:rPr>
          <w:rFonts w:ascii="Verdana" w:hAnsi="Verdana"/>
          <w:sz w:val="20"/>
          <w:szCs w:val="20"/>
          <w:lang w:val="en-US"/>
        </w:rPr>
        <w:t xml:space="preserve">similarly, </w:t>
      </w:r>
      <w:r w:rsidR="00546532" w:rsidRPr="00D869E3">
        <w:rPr>
          <w:rFonts w:ascii="Verdana" w:hAnsi="Verdana"/>
          <w:sz w:val="20"/>
          <w:szCs w:val="20"/>
          <w:lang w:val="en-US"/>
        </w:rPr>
        <w:t>no matter that</w:t>
      </w:r>
      <w:r w:rsidR="00DC4012" w:rsidRPr="00D869E3">
        <w:rPr>
          <w:rFonts w:ascii="Verdana" w:hAnsi="Verdana"/>
          <w:sz w:val="20"/>
          <w:szCs w:val="20"/>
          <w:lang w:val="en-US"/>
        </w:rPr>
        <w:t xml:space="preserve"> </w:t>
      </w:r>
      <w:r w:rsidR="00447C65" w:rsidRPr="00D869E3">
        <w:rPr>
          <w:rFonts w:ascii="Verdana" w:hAnsi="Verdana"/>
          <w:sz w:val="20"/>
          <w:szCs w:val="20"/>
          <w:lang w:val="en-US"/>
        </w:rPr>
        <w:t>Article</w:t>
      </w:r>
      <w:r w:rsidRPr="00D869E3">
        <w:rPr>
          <w:rFonts w:ascii="Verdana" w:hAnsi="Verdana"/>
          <w:sz w:val="20"/>
          <w:szCs w:val="20"/>
          <w:lang w:val="en-US"/>
        </w:rPr>
        <w:t xml:space="preserve"> 26</w:t>
      </w:r>
      <w:r w:rsidR="00447C65" w:rsidRPr="00D869E3">
        <w:rPr>
          <w:rFonts w:ascii="Verdana" w:hAnsi="Verdana"/>
          <w:sz w:val="20"/>
          <w:szCs w:val="20"/>
          <w:lang w:val="en-US"/>
        </w:rPr>
        <w:t xml:space="preserve"> of the Convention</w:t>
      </w:r>
      <w:r w:rsidRPr="00D869E3">
        <w:rPr>
          <w:rFonts w:ascii="Verdana" w:hAnsi="Verdana"/>
          <w:sz w:val="20"/>
          <w:szCs w:val="20"/>
          <w:lang w:val="en-US"/>
        </w:rPr>
        <w:t xml:space="preserve"> </w:t>
      </w:r>
      <w:r w:rsidR="00DC4012" w:rsidRPr="00D869E3">
        <w:rPr>
          <w:rFonts w:ascii="Verdana" w:hAnsi="Verdana"/>
          <w:sz w:val="20"/>
          <w:szCs w:val="20"/>
          <w:lang w:val="en-US"/>
        </w:rPr>
        <w:t>includes</w:t>
      </w:r>
      <w:r w:rsidRPr="00D869E3">
        <w:rPr>
          <w:rFonts w:ascii="Verdana" w:hAnsi="Verdana"/>
          <w:sz w:val="20"/>
          <w:szCs w:val="20"/>
          <w:lang w:val="en-US"/>
        </w:rPr>
        <w:t xml:space="preserve"> </w:t>
      </w:r>
      <w:r w:rsidR="00881A39" w:rsidRPr="00D869E3">
        <w:rPr>
          <w:rFonts w:ascii="Verdana" w:hAnsi="Verdana"/>
          <w:sz w:val="20"/>
          <w:szCs w:val="20"/>
          <w:lang w:val="en-US"/>
        </w:rPr>
        <w:t>rights</w:t>
      </w:r>
      <w:r w:rsidRPr="00D869E3">
        <w:rPr>
          <w:rFonts w:ascii="Verdana" w:hAnsi="Verdana"/>
          <w:sz w:val="20"/>
          <w:szCs w:val="20"/>
          <w:lang w:val="en-US"/>
        </w:rPr>
        <w:t xml:space="preserve"> </w:t>
      </w:r>
      <w:r w:rsidR="00DC4012" w:rsidRPr="00D869E3">
        <w:rPr>
          <w:rFonts w:ascii="Verdana" w:hAnsi="Verdana"/>
          <w:sz w:val="20"/>
          <w:szCs w:val="20"/>
          <w:lang w:val="en-US"/>
        </w:rPr>
        <w:t xml:space="preserve">whose violation can be </w:t>
      </w:r>
      <w:r w:rsidR="00953D17" w:rsidRPr="00D869E3">
        <w:rPr>
          <w:rFonts w:ascii="Verdana" w:hAnsi="Verdana"/>
          <w:sz w:val="20"/>
          <w:szCs w:val="20"/>
          <w:lang w:val="en-US"/>
        </w:rPr>
        <w:t xml:space="preserve">submitted to the consideration of the Court for a decision, </w:t>
      </w:r>
      <w:r w:rsidR="00546532" w:rsidRPr="00D869E3">
        <w:rPr>
          <w:rFonts w:ascii="Verdana" w:hAnsi="Verdana"/>
          <w:sz w:val="20"/>
          <w:szCs w:val="20"/>
          <w:lang w:val="en-US"/>
        </w:rPr>
        <w:t xml:space="preserve">it </w:t>
      </w:r>
      <w:r w:rsidR="00953D17" w:rsidRPr="00D869E3">
        <w:rPr>
          <w:rFonts w:ascii="Verdana" w:hAnsi="Verdana"/>
          <w:sz w:val="20"/>
          <w:szCs w:val="20"/>
          <w:lang w:val="en-US"/>
        </w:rPr>
        <w:t xml:space="preserve">also indicates that the Court should </w:t>
      </w:r>
      <w:r w:rsidR="00546532" w:rsidRPr="00D869E3">
        <w:rPr>
          <w:rFonts w:ascii="Verdana" w:hAnsi="Verdana"/>
          <w:sz w:val="20"/>
          <w:szCs w:val="20"/>
          <w:lang w:val="en-US"/>
        </w:rPr>
        <w:t>rule</w:t>
      </w:r>
      <w:r w:rsidR="00953D17" w:rsidRPr="00D869E3">
        <w:rPr>
          <w:rFonts w:ascii="Verdana" w:hAnsi="Verdana"/>
          <w:sz w:val="20"/>
          <w:szCs w:val="20"/>
          <w:lang w:val="en-US"/>
        </w:rPr>
        <w:t xml:space="preserve"> applying and interpreting the provisions of the Convention,</w:t>
      </w:r>
      <w:r w:rsidRPr="00D869E3">
        <w:rPr>
          <w:rStyle w:val="Refdenotaalpie"/>
          <w:szCs w:val="20"/>
          <w:lang w:val="en-US"/>
        </w:rPr>
        <w:footnoteReference w:id="434"/>
      </w:r>
      <w:r w:rsidR="00953D17" w:rsidRPr="00D869E3">
        <w:rPr>
          <w:rFonts w:ascii="Verdana" w:hAnsi="Verdana"/>
          <w:sz w:val="20"/>
          <w:szCs w:val="20"/>
          <w:lang w:val="en-US"/>
        </w:rPr>
        <w:t xml:space="preserve"> which it should do – as stated previously – respecting the public law principle that only what the </w:t>
      </w:r>
      <w:r w:rsidR="00546532" w:rsidRPr="00D869E3">
        <w:rPr>
          <w:rFonts w:ascii="Verdana" w:hAnsi="Verdana"/>
          <w:sz w:val="20"/>
          <w:szCs w:val="20"/>
          <w:lang w:val="en-US"/>
        </w:rPr>
        <w:t>law</w:t>
      </w:r>
      <w:r w:rsidR="00953D17" w:rsidRPr="00D869E3">
        <w:rPr>
          <w:rFonts w:ascii="Verdana" w:hAnsi="Verdana"/>
          <w:sz w:val="20"/>
          <w:szCs w:val="20"/>
          <w:lang w:val="en-US"/>
        </w:rPr>
        <w:t xml:space="preserve"> allows</w:t>
      </w:r>
      <w:r w:rsidR="00546532" w:rsidRPr="00D869E3">
        <w:rPr>
          <w:rFonts w:ascii="Verdana" w:hAnsi="Verdana"/>
          <w:sz w:val="20"/>
          <w:szCs w:val="20"/>
          <w:lang w:val="en-US"/>
        </w:rPr>
        <w:t xml:space="preserve"> or prescribes</w:t>
      </w:r>
      <w:r w:rsidR="00953D17" w:rsidRPr="00D869E3">
        <w:rPr>
          <w:rFonts w:ascii="Verdana" w:hAnsi="Verdana"/>
          <w:sz w:val="20"/>
          <w:szCs w:val="20"/>
          <w:lang w:val="en-US"/>
        </w:rPr>
        <w:t xml:space="preserve"> is admissible</w:t>
      </w:r>
      <w:r w:rsidRPr="00D869E3">
        <w:rPr>
          <w:rFonts w:ascii="Verdana" w:hAnsi="Verdana"/>
          <w:sz w:val="20"/>
          <w:szCs w:val="20"/>
          <w:lang w:val="en-US"/>
        </w:rPr>
        <w:t>.</w:t>
      </w:r>
    </w:p>
    <w:p w14:paraId="783BE8FE" w14:textId="77777777" w:rsidR="003C2143" w:rsidRPr="00D869E3" w:rsidRDefault="003C2143" w:rsidP="003C2143">
      <w:pPr>
        <w:jc w:val="both"/>
        <w:rPr>
          <w:rFonts w:ascii="Verdana" w:hAnsi="Verdana"/>
          <w:sz w:val="20"/>
          <w:szCs w:val="20"/>
          <w:lang w:val="en-US"/>
        </w:rPr>
      </w:pPr>
    </w:p>
    <w:p w14:paraId="2D665E79" w14:textId="381ECA30" w:rsidR="003C2143" w:rsidRPr="00D869E3" w:rsidRDefault="003C2143" w:rsidP="003C2143">
      <w:pPr>
        <w:jc w:val="both"/>
        <w:rPr>
          <w:rFonts w:ascii="Verdana" w:hAnsi="Verdana"/>
          <w:sz w:val="20"/>
          <w:szCs w:val="20"/>
          <w:lang w:val="en-US"/>
        </w:rPr>
      </w:pPr>
      <w:r w:rsidRPr="00D869E3">
        <w:rPr>
          <w:rFonts w:ascii="Verdana" w:hAnsi="Verdana"/>
          <w:sz w:val="20"/>
          <w:szCs w:val="20"/>
          <w:lang w:val="en-US"/>
        </w:rPr>
        <w:t xml:space="preserve">8. </w:t>
      </w:r>
      <w:r w:rsidR="00953D17" w:rsidRPr="00D869E3">
        <w:rPr>
          <w:rFonts w:ascii="Verdana" w:hAnsi="Verdana"/>
          <w:sz w:val="20"/>
          <w:szCs w:val="20"/>
          <w:lang w:val="en-US"/>
        </w:rPr>
        <w:t xml:space="preserve"> Regarding the phrase that </w:t>
      </w:r>
      <w:r w:rsidR="00F062CF" w:rsidRPr="00D869E3">
        <w:rPr>
          <w:rFonts w:ascii="Verdana" w:hAnsi="Verdana"/>
          <w:sz w:val="20"/>
          <w:szCs w:val="20"/>
          <w:lang w:val="en-US"/>
        </w:rPr>
        <w:t>“</w:t>
      </w:r>
      <w:r w:rsidR="00447C65" w:rsidRPr="00D869E3">
        <w:rPr>
          <w:rFonts w:ascii="Verdana" w:hAnsi="Verdana"/>
          <w:i/>
          <w:iCs/>
          <w:sz w:val="20"/>
          <w:szCs w:val="20"/>
          <w:lang w:val="en-US"/>
        </w:rPr>
        <w:t>the Court</w:t>
      </w:r>
      <w:r w:rsidRPr="00D869E3">
        <w:rPr>
          <w:rFonts w:ascii="Verdana" w:hAnsi="Verdana"/>
          <w:i/>
          <w:iCs/>
          <w:sz w:val="20"/>
          <w:szCs w:val="20"/>
          <w:lang w:val="en-US"/>
        </w:rPr>
        <w:t xml:space="preserve"> </w:t>
      </w:r>
      <w:r w:rsidR="00F062CF" w:rsidRPr="00D869E3">
        <w:rPr>
          <w:rFonts w:ascii="Verdana" w:hAnsi="Verdana"/>
          <w:i/>
          <w:iCs/>
          <w:sz w:val="20"/>
          <w:szCs w:val="20"/>
          <w:lang w:val="en-US"/>
        </w:rPr>
        <w:t>has the authority to decide any dispute concerning its jurisdiction</w:t>
      </w:r>
      <w:r w:rsidR="00953D17" w:rsidRPr="00D869E3">
        <w:rPr>
          <w:rFonts w:ascii="Verdana" w:hAnsi="Verdana"/>
          <w:i/>
          <w:iCs/>
          <w:sz w:val="20"/>
          <w:szCs w:val="20"/>
          <w:lang w:val="en-US"/>
        </w:rPr>
        <w:t>,</w:t>
      </w:r>
      <w:r w:rsidR="006436CA" w:rsidRPr="00D869E3">
        <w:rPr>
          <w:rFonts w:ascii="Verdana" w:hAnsi="Verdana"/>
          <w:i/>
          <w:iCs/>
          <w:sz w:val="20"/>
          <w:szCs w:val="20"/>
          <w:lang w:val="en-US"/>
        </w:rPr>
        <w:t>”</w:t>
      </w:r>
      <w:r w:rsidRPr="00D869E3">
        <w:rPr>
          <w:rStyle w:val="Refdenotaalpie"/>
          <w:i/>
          <w:iCs/>
          <w:szCs w:val="20"/>
          <w:lang w:val="en-US"/>
        </w:rPr>
        <w:footnoteReference w:id="435"/>
      </w:r>
      <w:r w:rsidRPr="00D869E3">
        <w:rPr>
          <w:rFonts w:ascii="Verdana" w:hAnsi="Verdana"/>
          <w:sz w:val="20"/>
          <w:szCs w:val="20"/>
          <w:lang w:val="en-US"/>
        </w:rPr>
        <w:t xml:space="preserve"> </w:t>
      </w:r>
      <w:r w:rsidR="00953D17" w:rsidRPr="00D869E3">
        <w:rPr>
          <w:rFonts w:ascii="Verdana" w:hAnsi="Verdana"/>
          <w:sz w:val="20"/>
          <w:szCs w:val="20"/>
          <w:lang w:val="en-US"/>
        </w:rPr>
        <w:t>it should be recalled that the instant case did not refer to the presumed violation of labor rights in light of the Convention.</w:t>
      </w:r>
      <w:r w:rsidR="00546532" w:rsidRPr="00D869E3">
        <w:rPr>
          <w:rFonts w:ascii="Verdana" w:hAnsi="Verdana"/>
          <w:sz w:val="20"/>
          <w:szCs w:val="20"/>
          <w:lang w:val="en-US"/>
        </w:rPr>
        <w:t xml:space="preserve"> It was o</w:t>
      </w:r>
      <w:r w:rsidR="00953D17" w:rsidRPr="00D869E3">
        <w:rPr>
          <w:rFonts w:ascii="Verdana" w:hAnsi="Verdana"/>
          <w:sz w:val="20"/>
          <w:szCs w:val="20"/>
          <w:lang w:val="en-US"/>
        </w:rPr>
        <w:t xml:space="preserve">nly the petitioner </w:t>
      </w:r>
      <w:r w:rsidR="00546532" w:rsidRPr="00D869E3">
        <w:rPr>
          <w:rFonts w:ascii="Verdana" w:hAnsi="Verdana"/>
          <w:sz w:val="20"/>
          <w:szCs w:val="20"/>
          <w:lang w:val="en-US"/>
        </w:rPr>
        <w:t xml:space="preserve">who </w:t>
      </w:r>
      <w:r w:rsidR="00953D17" w:rsidRPr="00D869E3">
        <w:rPr>
          <w:rFonts w:ascii="Verdana" w:hAnsi="Verdana"/>
          <w:sz w:val="20"/>
          <w:szCs w:val="20"/>
          <w:lang w:val="en-US"/>
        </w:rPr>
        <w:t>did this</w:t>
      </w:r>
      <w:r w:rsidR="00546532" w:rsidRPr="00D869E3">
        <w:rPr>
          <w:rFonts w:ascii="Verdana" w:hAnsi="Verdana"/>
          <w:sz w:val="20"/>
          <w:szCs w:val="20"/>
          <w:lang w:val="en-US"/>
        </w:rPr>
        <w:t>,</w:t>
      </w:r>
      <w:r w:rsidR="00953D17" w:rsidRPr="00D869E3">
        <w:rPr>
          <w:rFonts w:ascii="Verdana" w:hAnsi="Verdana"/>
          <w:sz w:val="20"/>
          <w:szCs w:val="20"/>
          <w:lang w:val="en-US"/>
        </w:rPr>
        <w:t xml:space="preserve"> and only </w:t>
      </w:r>
      <w:r w:rsidR="00966115" w:rsidRPr="00D869E3">
        <w:rPr>
          <w:rFonts w:ascii="Verdana" w:hAnsi="Verdana"/>
          <w:sz w:val="20"/>
          <w:szCs w:val="20"/>
          <w:lang w:val="en-US"/>
        </w:rPr>
        <w:t>before the</w:t>
      </w:r>
      <w:r w:rsidR="00447C65" w:rsidRPr="00D869E3">
        <w:rPr>
          <w:rFonts w:ascii="Verdana" w:hAnsi="Verdana"/>
          <w:sz w:val="20"/>
          <w:szCs w:val="20"/>
          <w:lang w:val="en-US"/>
        </w:rPr>
        <w:t xml:space="preserve"> Commission</w:t>
      </w:r>
      <w:r w:rsidR="00546532" w:rsidRPr="00D869E3">
        <w:rPr>
          <w:rFonts w:ascii="Verdana" w:hAnsi="Verdana"/>
          <w:sz w:val="20"/>
          <w:szCs w:val="20"/>
          <w:lang w:val="en-US"/>
        </w:rPr>
        <w:t>;</w:t>
      </w:r>
      <w:r w:rsidRPr="00D869E3">
        <w:rPr>
          <w:rStyle w:val="Refdenotaalpie"/>
          <w:szCs w:val="20"/>
          <w:lang w:val="en-US"/>
        </w:rPr>
        <w:footnoteReference w:id="436"/>
      </w:r>
      <w:r w:rsidR="00953D17" w:rsidRPr="00D869E3">
        <w:rPr>
          <w:rFonts w:ascii="Verdana" w:hAnsi="Verdana"/>
          <w:sz w:val="20"/>
          <w:szCs w:val="20"/>
          <w:lang w:val="en-US"/>
        </w:rPr>
        <w:t xml:space="preserve"> moreover, without</w:t>
      </w:r>
      <w:r w:rsidRPr="00D869E3">
        <w:rPr>
          <w:rFonts w:ascii="Verdana" w:hAnsi="Verdana"/>
          <w:sz w:val="20"/>
          <w:szCs w:val="20"/>
          <w:lang w:val="en-US"/>
        </w:rPr>
        <w:t xml:space="preserve"> </w:t>
      </w:r>
      <w:r w:rsidR="00953D17" w:rsidRPr="00D869E3">
        <w:rPr>
          <w:rFonts w:ascii="Verdana" w:hAnsi="Verdana"/>
          <w:sz w:val="20"/>
          <w:szCs w:val="20"/>
          <w:lang w:val="en-US"/>
        </w:rPr>
        <w:t xml:space="preserve">invoking the application </w:t>
      </w:r>
      <w:r w:rsidR="00687684" w:rsidRPr="00D869E3">
        <w:rPr>
          <w:rFonts w:ascii="Verdana" w:hAnsi="Verdana"/>
          <w:sz w:val="20"/>
          <w:szCs w:val="20"/>
          <w:lang w:val="en-US"/>
        </w:rPr>
        <w:t>of Article</w:t>
      </w:r>
      <w:r w:rsidRPr="00D869E3">
        <w:rPr>
          <w:rFonts w:ascii="Verdana" w:hAnsi="Verdana"/>
          <w:sz w:val="20"/>
          <w:szCs w:val="20"/>
          <w:lang w:val="en-US"/>
        </w:rPr>
        <w:t xml:space="preserve"> 26. </w:t>
      </w:r>
      <w:r w:rsidR="00953D17" w:rsidRPr="00D869E3">
        <w:rPr>
          <w:rFonts w:ascii="Verdana" w:hAnsi="Verdana"/>
          <w:sz w:val="20"/>
          <w:szCs w:val="20"/>
          <w:lang w:val="en-US"/>
        </w:rPr>
        <w:t>Thus, strictly speaking there was no dispute in this regard.</w:t>
      </w:r>
    </w:p>
    <w:p w14:paraId="4B4307B8" w14:textId="77777777" w:rsidR="003C2143" w:rsidRPr="00D869E3" w:rsidRDefault="003C2143" w:rsidP="003C2143">
      <w:pPr>
        <w:jc w:val="both"/>
        <w:rPr>
          <w:rFonts w:ascii="Verdana" w:hAnsi="Verdana"/>
          <w:sz w:val="20"/>
          <w:szCs w:val="20"/>
          <w:lang w:val="en-US"/>
        </w:rPr>
      </w:pPr>
    </w:p>
    <w:p w14:paraId="23A67F82" w14:textId="5858E033" w:rsidR="00953D17" w:rsidRPr="00D869E3" w:rsidRDefault="003C2143" w:rsidP="003C2143">
      <w:pPr>
        <w:jc w:val="both"/>
        <w:rPr>
          <w:rFonts w:ascii="Verdana" w:hAnsi="Verdana"/>
          <w:sz w:val="20"/>
          <w:szCs w:val="20"/>
          <w:lang w:val="en-US"/>
        </w:rPr>
      </w:pPr>
      <w:r w:rsidRPr="00D869E3">
        <w:rPr>
          <w:rFonts w:ascii="Verdana" w:hAnsi="Verdana"/>
          <w:sz w:val="20"/>
          <w:szCs w:val="20"/>
          <w:lang w:val="en-US"/>
        </w:rPr>
        <w:t xml:space="preserve">9. </w:t>
      </w:r>
      <w:r w:rsidR="00953D17" w:rsidRPr="00D869E3">
        <w:rPr>
          <w:rFonts w:ascii="Verdana" w:hAnsi="Verdana"/>
          <w:sz w:val="20"/>
          <w:szCs w:val="20"/>
          <w:lang w:val="en-US"/>
        </w:rPr>
        <w:t xml:space="preserve"> The mention of</w:t>
      </w:r>
      <w:r w:rsidRPr="00D869E3">
        <w:rPr>
          <w:rFonts w:ascii="Verdana" w:hAnsi="Verdana"/>
          <w:sz w:val="20"/>
          <w:szCs w:val="20"/>
          <w:lang w:val="en-US"/>
        </w:rPr>
        <w:t xml:space="preserve"> </w:t>
      </w:r>
      <w:r w:rsidR="006436CA" w:rsidRPr="00D869E3">
        <w:rPr>
          <w:rFonts w:ascii="Verdana" w:hAnsi="Verdana"/>
          <w:sz w:val="20"/>
          <w:szCs w:val="20"/>
          <w:lang w:val="en-US"/>
        </w:rPr>
        <w:t>“</w:t>
      </w:r>
      <w:r w:rsidR="00546532" w:rsidRPr="00D869E3">
        <w:rPr>
          <w:rFonts w:ascii="Verdana" w:hAnsi="Verdana"/>
          <w:bCs/>
          <w:i/>
          <w:iCs/>
          <w:sz w:val="20"/>
          <w:szCs w:val="20"/>
          <w:lang w:val="en-US"/>
        </w:rPr>
        <w:t>important case law on this matter, in light of different articles of the Convention</w:t>
      </w:r>
      <w:r w:rsidR="006436CA" w:rsidRPr="00D869E3">
        <w:rPr>
          <w:rFonts w:ascii="Verdana" w:hAnsi="Verdana"/>
          <w:sz w:val="20"/>
          <w:szCs w:val="20"/>
          <w:lang w:val="en-US"/>
        </w:rPr>
        <w:t>”</w:t>
      </w:r>
      <w:r w:rsidRPr="00D869E3">
        <w:rPr>
          <w:rStyle w:val="Refdenotaalpie"/>
          <w:szCs w:val="20"/>
          <w:lang w:val="en-US"/>
        </w:rPr>
        <w:footnoteReference w:id="437"/>
      </w:r>
      <w:r w:rsidRPr="00D869E3">
        <w:rPr>
          <w:rFonts w:ascii="Verdana" w:hAnsi="Verdana"/>
          <w:sz w:val="20"/>
          <w:szCs w:val="20"/>
          <w:lang w:val="en-US"/>
        </w:rPr>
        <w:t xml:space="preserve"> </w:t>
      </w:r>
      <w:r w:rsidR="00953D17" w:rsidRPr="00D869E3">
        <w:rPr>
          <w:rFonts w:ascii="Verdana" w:hAnsi="Verdana"/>
          <w:sz w:val="20"/>
          <w:szCs w:val="20"/>
          <w:lang w:val="en-US"/>
        </w:rPr>
        <w:t>should also be understood as the use of the Court’s own case law as a supplementary source of international law and not as</w:t>
      </w:r>
      <w:r w:rsidR="00AE1BF5" w:rsidRPr="00D869E3">
        <w:rPr>
          <w:rFonts w:ascii="Verdana" w:hAnsi="Verdana"/>
          <w:sz w:val="20"/>
          <w:szCs w:val="20"/>
          <w:lang w:val="en-US"/>
        </w:rPr>
        <w:t xml:space="preserve"> the</w:t>
      </w:r>
      <w:r w:rsidR="00953D17" w:rsidRPr="00D869E3">
        <w:rPr>
          <w:rFonts w:ascii="Verdana" w:hAnsi="Verdana"/>
          <w:sz w:val="20"/>
          <w:szCs w:val="20"/>
          <w:lang w:val="en-US"/>
        </w:rPr>
        <w:t xml:space="preserve"> creati</w:t>
      </w:r>
      <w:r w:rsidR="00AE1BF5" w:rsidRPr="00D869E3">
        <w:rPr>
          <w:rFonts w:ascii="Verdana" w:hAnsi="Verdana"/>
          <w:sz w:val="20"/>
          <w:szCs w:val="20"/>
          <w:lang w:val="en-US"/>
        </w:rPr>
        <w:t>on</w:t>
      </w:r>
      <w:r w:rsidR="00953D17" w:rsidRPr="00D869E3">
        <w:rPr>
          <w:rFonts w:ascii="Verdana" w:hAnsi="Verdana"/>
          <w:sz w:val="20"/>
          <w:szCs w:val="20"/>
          <w:lang w:val="en-US"/>
        </w:rPr>
        <w:t xml:space="preserve">, </w:t>
      </w:r>
      <w:r w:rsidR="00953D17" w:rsidRPr="00D869E3">
        <w:rPr>
          <w:rFonts w:ascii="Verdana" w:hAnsi="Verdana"/>
          <w:i/>
          <w:iCs/>
          <w:sz w:val="20"/>
          <w:szCs w:val="20"/>
          <w:lang w:val="en-US"/>
        </w:rPr>
        <w:t>per se</w:t>
      </w:r>
      <w:r w:rsidR="00953D17" w:rsidRPr="00D869E3">
        <w:rPr>
          <w:rFonts w:ascii="Verdana" w:hAnsi="Verdana"/>
          <w:sz w:val="20"/>
          <w:szCs w:val="20"/>
          <w:lang w:val="en-US"/>
        </w:rPr>
        <w:t xml:space="preserve">, </w:t>
      </w:r>
      <w:r w:rsidR="00AE1BF5" w:rsidRPr="00D869E3">
        <w:rPr>
          <w:rFonts w:ascii="Verdana" w:hAnsi="Verdana"/>
          <w:sz w:val="20"/>
          <w:szCs w:val="20"/>
          <w:lang w:val="en-US"/>
        </w:rPr>
        <w:t xml:space="preserve">of </w:t>
      </w:r>
      <w:r w:rsidR="00953D17" w:rsidRPr="00D869E3">
        <w:rPr>
          <w:rFonts w:ascii="Verdana" w:hAnsi="Verdana"/>
          <w:sz w:val="20"/>
          <w:szCs w:val="20"/>
          <w:lang w:val="en-US"/>
        </w:rPr>
        <w:t>international obligations or rights.</w:t>
      </w:r>
    </w:p>
    <w:p w14:paraId="48F9C018" w14:textId="77777777" w:rsidR="003C2143" w:rsidRPr="00D869E3" w:rsidRDefault="003C2143" w:rsidP="003C2143">
      <w:pPr>
        <w:jc w:val="both"/>
        <w:rPr>
          <w:rFonts w:ascii="Verdana" w:hAnsi="Verdana"/>
          <w:sz w:val="20"/>
          <w:szCs w:val="20"/>
          <w:lang w:val="en-US"/>
        </w:rPr>
      </w:pPr>
    </w:p>
    <w:p w14:paraId="304B3E06" w14:textId="541D2EBA" w:rsidR="003C2143" w:rsidRPr="00D869E3" w:rsidRDefault="003C2143" w:rsidP="003C2143">
      <w:pPr>
        <w:jc w:val="both"/>
        <w:rPr>
          <w:rFonts w:ascii="Verdana" w:hAnsi="Verdana"/>
          <w:sz w:val="20"/>
          <w:szCs w:val="20"/>
          <w:lang w:val="en-US"/>
        </w:rPr>
      </w:pPr>
      <w:r w:rsidRPr="00D869E3">
        <w:rPr>
          <w:rFonts w:ascii="Verdana" w:hAnsi="Verdana"/>
          <w:sz w:val="20"/>
          <w:szCs w:val="20"/>
          <w:lang w:val="en-US"/>
        </w:rPr>
        <w:t xml:space="preserve">10. </w:t>
      </w:r>
      <w:r w:rsidR="00953D17" w:rsidRPr="00D869E3">
        <w:rPr>
          <w:rFonts w:ascii="Verdana" w:hAnsi="Verdana"/>
          <w:sz w:val="20"/>
          <w:szCs w:val="20"/>
          <w:lang w:val="en-US"/>
        </w:rPr>
        <w:t xml:space="preserve"> Lastly, the statement that </w:t>
      </w:r>
      <w:r w:rsidR="006436CA" w:rsidRPr="00D869E3">
        <w:rPr>
          <w:rFonts w:ascii="Verdana" w:hAnsi="Verdana"/>
          <w:sz w:val="20"/>
          <w:szCs w:val="20"/>
          <w:lang w:val="en-US"/>
        </w:rPr>
        <w:t>“</w:t>
      </w:r>
      <w:r w:rsidR="000B2E5E" w:rsidRPr="00D869E3">
        <w:rPr>
          <w:rFonts w:ascii="Verdana" w:hAnsi="Verdana"/>
          <w:i/>
          <w:sz w:val="20"/>
          <w:szCs w:val="20"/>
          <w:lang w:val="en-US"/>
        </w:rPr>
        <w:t xml:space="preserve">the </w:t>
      </w:r>
      <w:r w:rsidR="00301DBE" w:rsidRPr="00D869E3">
        <w:rPr>
          <w:rFonts w:ascii="Verdana" w:hAnsi="Verdana"/>
          <w:i/>
          <w:sz w:val="20"/>
          <w:szCs w:val="20"/>
          <w:lang w:val="en-US"/>
        </w:rPr>
        <w:t>right to work</w:t>
      </w:r>
      <w:r w:rsidRPr="00D869E3">
        <w:rPr>
          <w:rFonts w:ascii="Verdana" w:hAnsi="Verdana"/>
          <w:i/>
          <w:sz w:val="20"/>
          <w:szCs w:val="20"/>
          <w:lang w:val="en-US"/>
        </w:rPr>
        <w:t xml:space="preserve"> </w:t>
      </w:r>
      <w:r w:rsidR="00953D17" w:rsidRPr="00D869E3">
        <w:rPr>
          <w:rFonts w:ascii="Verdana" w:hAnsi="Verdana"/>
          <w:i/>
          <w:sz w:val="20"/>
          <w:szCs w:val="20"/>
          <w:lang w:val="en-US"/>
        </w:rPr>
        <w:t xml:space="preserve">is explicitly recognized in </w:t>
      </w:r>
      <w:r w:rsidR="00F062CF" w:rsidRPr="00D869E3">
        <w:rPr>
          <w:rFonts w:ascii="Verdana" w:hAnsi="Verdana"/>
          <w:i/>
          <w:sz w:val="20"/>
          <w:szCs w:val="20"/>
          <w:lang w:val="en-US"/>
        </w:rPr>
        <w:t>different</w:t>
      </w:r>
      <w:r w:rsidR="00E403E9" w:rsidRPr="00D869E3">
        <w:rPr>
          <w:rFonts w:ascii="Verdana" w:hAnsi="Verdana"/>
          <w:i/>
          <w:sz w:val="20"/>
          <w:szCs w:val="20"/>
          <w:lang w:val="en-US"/>
        </w:rPr>
        <w:t xml:space="preserve"> domestic laws of the States </w:t>
      </w:r>
      <w:r w:rsidR="00F062CF" w:rsidRPr="00D869E3">
        <w:rPr>
          <w:rFonts w:ascii="Verdana" w:hAnsi="Verdana"/>
          <w:i/>
          <w:sz w:val="20"/>
          <w:szCs w:val="20"/>
          <w:lang w:val="en-US"/>
        </w:rPr>
        <w:t>in</w:t>
      </w:r>
      <w:r w:rsidR="00E403E9" w:rsidRPr="00D869E3">
        <w:rPr>
          <w:rFonts w:ascii="Verdana" w:hAnsi="Verdana"/>
          <w:i/>
          <w:sz w:val="20"/>
          <w:szCs w:val="20"/>
          <w:lang w:val="en-US"/>
        </w:rPr>
        <w:t xml:space="preserve"> the </w:t>
      </w:r>
      <w:r w:rsidR="00AE1BF5" w:rsidRPr="00D869E3">
        <w:rPr>
          <w:rFonts w:ascii="Verdana" w:hAnsi="Verdana"/>
          <w:i/>
          <w:sz w:val="20"/>
          <w:szCs w:val="20"/>
          <w:lang w:val="en-US"/>
        </w:rPr>
        <w:t>r</w:t>
      </w:r>
      <w:r w:rsidR="00E403E9" w:rsidRPr="00D869E3">
        <w:rPr>
          <w:rFonts w:ascii="Verdana" w:hAnsi="Verdana"/>
          <w:i/>
          <w:sz w:val="20"/>
          <w:szCs w:val="20"/>
          <w:lang w:val="en-US"/>
        </w:rPr>
        <w:t>egion</w:t>
      </w:r>
      <w:r w:rsidR="006436CA" w:rsidRPr="00D869E3">
        <w:rPr>
          <w:rFonts w:ascii="Verdana" w:hAnsi="Verdana"/>
          <w:sz w:val="20"/>
          <w:szCs w:val="20"/>
          <w:lang w:val="en-US"/>
        </w:rPr>
        <w:t>”</w:t>
      </w:r>
      <w:r w:rsidRPr="00D869E3">
        <w:rPr>
          <w:rStyle w:val="Refdenotaalpie"/>
          <w:szCs w:val="20"/>
          <w:lang w:val="en-US"/>
        </w:rPr>
        <w:footnoteReference w:id="438"/>
      </w:r>
      <w:r w:rsidRPr="00D869E3">
        <w:rPr>
          <w:rFonts w:ascii="Verdana" w:hAnsi="Verdana"/>
          <w:sz w:val="20"/>
          <w:szCs w:val="20"/>
          <w:lang w:val="en-US"/>
        </w:rPr>
        <w:t xml:space="preserve"> </w:t>
      </w:r>
      <w:r w:rsidR="00E403E9" w:rsidRPr="00D869E3">
        <w:rPr>
          <w:rFonts w:ascii="Verdana" w:hAnsi="Verdana"/>
          <w:sz w:val="20"/>
          <w:szCs w:val="20"/>
          <w:lang w:val="en-US"/>
        </w:rPr>
        <w:t xml:space="preserve">only supposes that there is no doubt that in the domestic sphere or at the national level, the presumed violation </w:t>
      </w:r>
      <w:r w:rsidRPr="00D869E3">
        <w:rPr>
          <w:rFonts w:ascii="Verdana" w:hAnsi="Verdana"/>
          <w:sz w:val="20"/>
          <w:szCs w:val="20"/>
          <w:lang w:val="en-US"/>
        </w:rPr>
        <w:t>o</w:t>
      </w:r>
      <w:r w:rsidR="00E403E9" w:rsidRPr="00D869E3">
        <w:rPr>
          <w:rFonts w:ascii="Verdana" w:hAnsi="Verdana"/>
          <w:sz w:val="20"/>
          <w:szCs w:val="20"/>
          <w:lang w:val="en-US"/>
        </w:rPr>
        <w:t xml:space="preserve">f </w:t>
      </w:r>
      <w:r w:rsidR="00414B6B" w:rsidRPr="00D869E3">
        <w:rPr>
          <w:rFonts w:ascii="Verdana" w:hAnsi="Verdana"/>
          <w:sz w:val="20"/>
          <w:szCs w:val="20"/>
          <w:lang w:val="en-US"/>
        </w:rPr>
        <w:t xml:space="preserve">the </w:t>
      </w:r>
      <w:r w:rsidR="00301DBE" w:rsidRPr="00D869E3">
        <w:rPr>
          <w:rFonts w:ascii="Verdana" w:hAnsi="Verdana"/>
          <w:sz w:val="20"/>
          <w:szCs w:val="20"/>
          <w:lang w:val="en-US"/>
        </w:rPr>
        <w:t>right to work</w:t>
      </w:r>
      <w:r w:rsidRPr="00D869E3">
        <w:rPr>
          <w:rFonts w:ascii="Verdana" w:hAnsi="Verdana"/>
          <w:sz w:val="20"/>
          <w:szCs w:val="20"/>
          <w:lang w:val="en-US"/>
        </w:rPr>
        <w:t xml:space="preserve"> </w:t>
      </w:r>
      <w:r w:rsidR="00E403E9" w:rsidRPr="00D869E3">
        <w:rPr>
          <w:rFonts w:ascii="Verdana" w:hAnsi="Verdana"/>
          <w:sz w:val="20"/>
          <w:szCs w:val="20"/>
          <w:lang w:val="en-US"/>
        </w:rPr>
        <w:t>can and should be invoked before the competent domestic courts</w:t>
      </w:r>
      <w:r w:rsidR="00AE1BF5" w:rsidRPr="00D869E3">
        <w:rPr>
          <w:rFonts w:ascii="Verdana" w:hAnsi="Verdana"/>
          <w:sz w:val="20"/>
          <w:szCs w:val="20"/>
          <w:lang w:val="en-US"/>
        </w:rPr>
        <w:t>,</w:t>
      </w:r>
      <w:r w:rsidR="00E403E9" w:rsidRPr="00D869E3">
        <w:rPr>
          <w:rFonts w:ascii="Verdana" w:hAnsi="Verdana"/>
          <w:sz w:val="20"/>
          <w:szCs w:val="20"/>
          <w:lang w:val="en-US"/>
        </w:rPr>
        <w:t xml:space="preserve"> and not that there is a right to claim the violation of that right </w:t>
      </w:r>
      <w:r w:rsidR="00966115" w:rsidRPr="00D869E3">
        <w:rPr>
          <w:rFonts w:ascii="Verdana" w:hAnsi="Verdana"/>
          <w:sz w:val="20"/>
          <w:szCs w:val="20"/>
          <w:lang w:val="en-US"/>
        </w:rPr>
        <w:t>before the</w:t>
      </w:r>
      <w:r w:rsidR="00447C65" w:rsidRPr="00D869E3">
        <w:rPr>
          <w:rFonts w:ascii="Verdana" w:hAnsi="Verdana"/>
          <w:sz w:val="20"/>
          <w:szCs w:val="20"/>
          <w:lang w:val="en-US"/>
        </w:rPr>
        <w:t xml:space="preserve"> </w:t>
      </w:r>
      <w:r w:rsidR="00E403E9" w:rsidRPr="00D869E3">
        <w:rPr>
          <w:rFonts w:ascii="Verdana" w:hAnsi="Verdana"/>
          <w:sz w:val="20"/>
          <w:szCs w:val="20"/>
          <w:lang w:val="en-US"/>
        </w:rPr>
        <w:t xml:space="preserve">Inter-American </w:t>
      </w:r>
      <w:r w:rsidR="00447C65" w:rsidRPr="00D869E3">
        <w:rPr>
          <w:rFonts w:ascii="Verdana" w:hAnsi="Verdana"/>
          <w:sz w:val="20"/>
          <w:szCs w:val="20"/>
          <w:lang w:val="en-US"/>
        </w:rPr>
        <w:t>Court</w:t>
      </w:r>
      <w:r w:rsidRPr="00D869E3">
        <w:rPr>
          <w:rFonts w:ascii="Verdana" w:hAnsi="Verdana"/>
          <w:sz w:val="20"/>
          <w:szCs w:val="20"/>
          <w:lang w:val="en-US"/>
        </w:rPr>
        <w:t xml:space="preserve"> </w:t>
      </w:r>
      <w:r w:rsidR="00E403E9" w:rsidRPr="00D869E3">
        <w:rPr>
          <w:rFonts w:ascii="Verdana" w:hAnsi="Verdana"/>
          <w:sz w:val="20"/>
          <w:szCs w:val="20"/>
          <w:lang w:val="en-US"/>
        </w:rPr>
        <w:t>pursuant to</w:t>
      </w:r>
      <w:r w:rsidRPr="00D869E3">
        <w:rPr>
          <w:rFonts w:ascii="Verdana" w:hAnsi="Verdana"/>
          <w:sz w:val="20"/>
          <w:szCs w:val="20"/>
          <w:lang w:val="en-US"/>
        </w:rPr>
        <w:t xml:space="preserve"> </w:t>
      </w:r>
      <w:r w:rsidR="00447C65" w:rsidRPr="00D869E3">
        <w:rPr>
          <w:rFonts w:ascii="Verdana" w:hAnsi="Verdana"/>
          <w:sz w:val="20"/>
          <w:szCs w:val="20"/>
          <w:lang w:val="en-US"/>
        </w:rPr>
        <w:t>Article</w:t>
      </w:r>
      <w:r w:rsidRPr="00D869E3">
        <w:rPr>
          <w:rFonts w:ascii="Verdana" w:hAnsi="Verdana"/>
          <w:sz w:val="20"/>
          <w:szCs w:val="20"/>
          <w:lang w:val="en-US"/>
        </w:rPr>
        <w:t xml:space="preserve"> 26</w:t>
      </w:r>
      <w:r w:rsidR="00447C65" w:rsidRPr="00D869E3">
        <w:rPr>
          <w:rFonts w:ascii="Verdana" w:hAnsi="Verdana"/>
          <w:sz w:val="20"/>
          <w:szCs w:val="20"/>
          <w:lang w:val="en-US"/>
        </w:rPr>
        <w:t xml:space="preserve"> of the Convention</w:t>
      </w:r>
      <w:r w:rsidRPr="00D869E3">
        <w:rPr>
          <w:rFonts w:ascii="Verdana" w:hAnsi="Verdana"/>
          <w:sz w:val="20"/>
          <w:szCs w:val="20"/>
          <w:lang w:val="en-US"/>
        </w:rPr>
        <w:t>.</w:t>
      </w:r>
    </w:p>
    <w:p w14:paraId="519735D5" w14:textId="77777777" w:rsidR="003C2143" w:rsidRPr="00D869E3" w:rsidRDefault="003C2143" w:rsidP="003C2143">
      <w:pPr>
        <w:jc w:val="both"/>
        <w:rPr>
          <w:rFonts w:ascii="Verdana" w:hAnsi="Verdana"/>
          <w:sz w:val="20"/>
          <w:szCs w:val="20"/>
          <w:lang w:val="en-US"/>
        </w:rPr>
      </w:pPr>
    </w:p>
    <w:p w14:paraId="30F91B6D" w14:textId="5D737EB3" w:rsidR="003C2143" w:rsidRPr="00D869E3" w:rsidRDefault="003C2143" w:rsidP="003C2143">
      <w:pPr>
        <w:jc w:val="both"/>
        <w:rPr>
          <w:rFonts w:ascii="Verdana" w:hAnsi="Verdana"/>
          <w:b/>
          <w:sz w:val="20"/>
          <w:szCs w:val="20"/>
          <w:lang w:val="en-US"/>
        </w:rPr>
      </w:pPr>
      <w:r w:rsidRPr="00D869E3">
        <w:rPr>
          <w:rFonts w:ascii="Verdana" w:hAnsi="Verdana"/>
          <w:b/>
          <w:sz w:val="20"/>
          <w:szCs w:val="20"/>
          <w:lang w:val="en-US"/>
        </w:rPr>
        <w:t>CONCLUSI</w:t>
      </w:r>
      <w:r w:rsidR="004A47FF" w:rsidRPr="00D869E3">
        <w:rPr>
          <w:rFonts w:ascii="Verdana" w:hAnsi="Verdana"/>
          <w:b/>
          <w:sz w:val="20"/>
          <w:szCs w:val="20"/>
          <w:lang w:val="en-US"/>
        </w:rPr>
        <w:t>O</w:t>
      </w:r>
      <w:r w:rsidRPr="00D869E3">
        <w:rPr>
          <w:rFonts w:ascii="Verdana" w:hAnsi="Verdana"/>
          <w:b/>
          <w:sz w:val="20"/>
          <w:szCs w:val="20"/>
          <w:lang w:val="en-US"/>
        </w:rPr>
        <w:t>N</w:t>
      </w:r>
    </w:p>
    <w:p w14:paraId="5F9DDF6A" w14:textId="77777777" w:rsidR="003C2143" w:rsidRPr="00D869E3" w:rsidRDefault="003C2143" w:rsidP="003C2143">
      <w:pPr>
        <w:jc w:val="both"/>
        <w:rPr>
          <w:rFonts w:ascii="Verdana" w:hAnsi="Verdana"/>
          <w:b/>
          <w:sz w:val="20"/>
          <w:szCs w:val="20"/>
          <w:lang w:val="en-US"/>
        </w:rPr>
      </w:pPr>
    </w:p>
    <w:p w14:paraId="4690D5E6" w14:textId="231BFA97" w:rsidR="003C2143" w:rsidRPr="00D869E3" w:rsidRDefault="00E403E9" w:rsidP="003C2143">
      <w:pPr>
        <w:jc w:val="both"/>
        <w:rPr>
          <w:rFonts w:ascii="Verdana" w:hAnsi="Verdana"/>
          <w:sz w:val="20"/>
          <w:szCs w:val="20"/>
          <w:lang w:val="en-US"/>
        </w:rPr>
      </w:pPr>
      <w:r w:rsidRPr="00D869E3">
        <w:rPr>
          <w:rFonts w:ascii="Verdana" w:hAnsi="Verdana"/>
          <w:sz w:val="20"/>
          <w:szCs w:val="20"/>
          <w:lang w:val="en-US"/>
        </w:rPr>
        <w:lastRenderedPageBreak/>
        <w:t xml:space="preserve">In sum, I disagree with the </w:t>
      </w:r>
      <w:r w:rsidR="00230981" w:rsidRPr="00D869E3">
        <w:rPr>
          <w:rFonts w:ascii="Verdana" w:hAnsi="Verdana"/>
          <w:sz w:val="20"/>
          <w:szCs w:val="20"/>
          <w:lang w:val="en-US"/>
        </w:rPr>
        <w:t xml:space="preserve">decision in the judgment because, since the Convention makes a clear distinction between political and civil rights and economic, social and cultural rights, the right to work, including the right to job security, as part of the latter rights is not a right “recognized” in the Convention and, consequently, is not safeguarded by the system of protection </w:t>
      </w:r>
      <w:r w:rsidR="00AE1BF5" w:rsidRPr="00D869E3">
        <w:rPr>
          <w:rFonts w:ascii="Verdana" w:hAnsi="Verdana"/>
          <w:sz w:val="20"/>
          <w:szCs w:val="20"/>
          <w:lang w:val="en-US"/>
        </w:rPr>
        <w:t xml:space="preserve">that is </w:t>
      </w:r>
      <w:r w:rsidR="00230981" w:rsidRPr="00D869E3">
        <w:rPr>
          <w:rFonts w:ascii="Verdana" w:hAnsi="Verdana"/>
          <w:sz w:val="20"/>
          <w:szCs w:val="20"/>
          <w:lang w:val="en-US"/>
        </w:rPr>
        <w:t xml:space="preserve">established therein only for the political and civil rights. For the economic, social and cultural rights to be judicialized before the Court, </w:t>
      </w:r>
      <w:r w:rsidR="00AE1BF5" w:rsidRPr="00D869E3">
        <w:rPr>
          <w:rFonts w:ascii="Verdana" w:hAnsi="Verdana"/>
          <w:sz w:val="20"/>
          <w:szCs w:val="20"/>
          <w:lang w:val="en-US"/>
        </w:rPr>
        <w:t xml:space="preserve">the </w:t>
      </w:r>
      <w:r w:rsidR="00230981" w:rsidRPr="00D869E3">
        <w:rPr>
          <w:rFonts w:ascii="Verdana" w:hAnsi="Verdana"/>
          <w:sz w:val="20"/>
          <w:szCs w:val="20"/>
          <w:lang w:val="en-US"/>
        </w:rPr>
        <w:t xml:space="preserve">signature of an additional protocol would be necessary, </w:t>
      </w:r>
      <w:r w:rsidR="00AE1BF5" w:rsidRPr="00D869E3">
        <w:rPr>
          <w:rFonts w:ascii="Verdana" w:hAnsi="Verdana"/>
          <w:sz w:val="20"/>
          <w:szCs w:val="20"/>
          <w:lang w:val="en-US"/>
        </w:rPr>
        <w:t>and this</w:t>
      </w:r>
      <w:r w:rsidR="00230981" w:rsidRPr="00D869E3">
        <w:rPr>
          <w:rFonts w:ascii="Verdana" w:hAnsi="Verdana"/>
          <w:sz w:val="20"/>
          <w:szCs w:val="20"/>
          <w:lang w:val="en-US"/>
        </w:rPr>
        <w:t xml:space="preserve"> has not happened, except partially with </w:t>
      </w:r>
      <w:r w:rsidR="00B235CB" w:rsidRPr="00D869E3">
        <w:rPr>
          <w:rFonts w:ascii="Verdana" w:hAnsi="Verdana"/>
          <w:sz w:val="20"/>
          <w:szCs w:val="20"/>
          <w:lang w:val="en-US"/>
        </w:rPr>
        <w:t>the Protocol of San</w:t>
      </w:r>
      <w:r w:rsidR="003C2143" w:rsidRPr="00D869E3">
        <w:rPr>
          <w:rFonts w:ascii="Verdana" w:hAnsi="Verdana"/>
          <w:sz w:val="20"/>
          <w:szCs w:val="20"/>
          <w:lang w:val="en-US"/>
        </w:rPr>
        <w:t xml:space="preserve"> Salvador, </w:t>
      </w:r>
      <w:r w:rsidR="00230981" w:rsidRPr="00D869E3">
        <w:rPr>
          <w:rFonts w:ascii="Verdana" w:hAnsi="Verdana"/>
          <w:sz w:val="20"/>
          <w:szCs w:val="20"/>
          <w:lang w:val="en-US"/>
        </w:rPr>
        <w:t xml:space="preserve">but for matters other than those in the instant case. </w:t>
      </w:r>
      <w:r w:rsidR="00AE1BF5" w:rsidRPr="00D869E3">
        <w:rPr>
          <w:rFonts w:ascii="Verdana" w:hAnsi="Verdana"/>
          <w:sz w:val="20"/>
          <w:szCs w:val="20"/>
          <w:lang w:val="en-US"/>
        </w:rPr>
        <w:t xml:space="preserve"> </w:t>
      </w:r>
    </w:p>
    <w:p w14:paraId="3D6AC414" w14:textId="77777777" w:rsidR="003C2143" w:rsidRPr="00D869E3" w:rsidRDefault="003C2143" w:rsidP="003C2143">
      <w:pPr>
        <w:jc w:val="both"/>
        <w:rPr>
          <w:rFonts w:ascii="Verdana" w:hAnsi="Verdana"/>
          <w:sz w:val="20"/>
          <w:szCs w:val="20"/>
          <w:lang w:val="en-US"/>
        </w:rPr>
      </w:pPr>
    </w:p>
    <w:p w14:paraId="638DCA9E" w14:textId="403B7B47" w:rsidR="00230981" w:rsidRPr="00D869E3" w:rsidRDefault="00230981" w:rsidP="003C2143">
      <w:pPr>
        <w:jc w:val="both"/>
        <w:rPr>
          <w:rFonts w:ascii="Verdana" w:hAnsi="Verdana"/>
          <w:sz w:val="20"/>
          <w:szCs w:val="20"/>
          <w:lang w:val="en-US"/>
        </w:rPr>
      </w:pPr>
      <w:r w:rsidRPr="00D869E3">
        <w:rPr>
          <w:rFonts w:ascii="Verdana" w:hAnsi="Verdana"/>
          <w:sz w:val="20"/>
          <w:szCs w:val="20"/>
          <w:lang w:val="en-US"/>
        </w:rPr>
        <w:t xml:space="preserve">I also dissent because Article 26 of the Convention establishes obligations of conduct for the States, and not a recognition of human rights. Moreover, this provisions </w:t>
      </w:r>
      <w:r w:rsidR="00AE1BF5" w:rsidRPr="00D869E3">
        <w:rPr>
          <w:rFonts w:ascii="Verdana" w:hAnsi="Verdana"/>
          <w:sz w:val="20"/>
          <w:szCs w:val="20"/>
          <w:lang w:val="en-US"/>
        </w:rPr>
        <w:t>cites</w:t>
      </w:r>
      <w:r w:rsidRPr="00D869E3">
        <w:rPr>
          <w:rFonts w:ascii="Verdana" w:hAnsi="Verdana"/>
          <w:sz w:val="20"/>
          <w:szCs w:val="20"/>
          <w:lang w:val="en-US"/>
        </w:rPr>
        <w:t xml:space="preserve"> the OAS Charter, which, in turn, </w:t>
      </w:r>
      <w:r w:rsidR="001E300B" w:rsidRPr="00D869E3">
        <w:rPr>
          <w:rFonts w:ascii="Verdana" w:hAnsi="Verdana"/>
          <w:sz w:val="20"/>
          <w:szCs w:val="20"/>
          <w:lang w:val="en-US"/>
        </w:rPr>
        <w:t>does not recognize human rights, but rather stipulates “</w:t>
      </w:r>
      <w:r w:rsidR="001E300B" w:rsidRPr="00D869E3">
        <w:rPr>
          <w:rFonts w:ascii="Verdana" w:hAnsi="Verdana"/>
          <w:i/>
          <w:iCs/>
          <w:sz w:val="20"/>
          <w:szCs w:val="20"/>
          <w:lang w:val="en-US"/>
        </w:rPr>
        <w:t xml:space="preserve">goals” </w:t>
      </w:r>
      <w:r w:rsidR="001E300B" w:rsidRPr="00D869E3">
        <w:rPr>
          <w:rFonts w:ascii="Verdana" w:hAnsi="Verdana"/>
          <w:sz w:val="20"/>
          <w:szCs w:val="20"/>
          <w:lang w:val="en-US"/>
        </w:rPr>
        <w:t xml:space="preserve">or </w:t>
      </w:r>
      <w:r w:rsidR="001E300B" w:rsidRPr="00D869E3">
        <w:rPr>
          <w:rFonts w:ascii="Verdana" w:hAnsi="Verdana"/>
          <w:i/>
          <w:iCs/>
          <w:sz w:val="20"/>
          <w:szCs w:val="20"/>
          <w:lang w:val="en-US"/>
        </w:rPr>
        <w:t>“principles and mechanisms</w:t>
      </w:r>
      <w:r w:rsidR="001E300B" w:rsidRPr="00D869E3">
        <w:rPr>
          <w:rFonts w:ascii="Verdana" w:hAnsi="Verdana"/>
          <w:sz w:val="20"/>
          <w:szCs w:val="20"/>
          <w:lang w:val="en-US"/>
        </w:rPr>
        <w:t>” that the States undertake to achieve or to implement, as applicable. In addition, I do not share the decision</w:t>
      </w:r>
      <w:r w:rsidR="00AE1BF5" w:rsidRPr="00D869E3">
        <w:rPr>
          <w:rFonts w:ascii="Verdana" w:hAnsi="Verdana"/>
          <w:sz w:val="20"/>
          <w:szCs w:val="20"/>
          <w:lang w:val="en-US"/>
        </w:rPr>
        <w:t>s taken</w:t>
      </w:r>
      <w:r w:rsidR="001E300B" w:rsidRPr="00D869E3">
        <w:rPr>
          <w:rFonts w:ascii="Verdana" w:hAnsi="Verdana"/>
          <w:sz w:val="20"/>
          <w:szCs w:val="20"/>
          <w:lang w:val="en-US"/>
        </w:rPr>
        <w:t xml:space="preserve"> because </w:t>
      </w:r>
      <w:r w:rsidR="00AE1BF5" w:rsidRPr="00D869E3">
        <w:rPr>
          <w:rFonts w:ascii="Verdana" w:hAnsi="Verdana"/>
          <w:sz w:val="20"/>
          <w:szCs w:val="20"/>
          <w:lang w:val="en-US"/>
        </w:rPr>
        <w:t>permitting</w:t>
      </w:r>
      <w:r w:rsidR="001E300B" w:rsidRPr="00D869E3">
        <w:rPr>
          <w:rFonts w:ascii="Verdana" w:hAnsi="Verdana"/>
          <w:sz w:val="20"/>
          <w:szCs w:val="20"/>
          <w:lang w:val="en-US"/>
        </w:rPr>
        <w:t xml:space="preserve"> the provisions of the said Article 26 </w:t>
      </w:r>
      <w:r w:rsidR="00AE1BF5" w:rsidRPr="00D869E3">
        <w:rPr>
          <w:rFonts w:ascii="Verdana" w:hAnsi="Verdana"/>
          <w:sz w:val="20"/>
          <w:szCs w:val="20"/>
          <w:lang w:val="en-US"/>
        </w:rPr>
        <w:t>to</w:t>
      </w:r>
      <w:r w:rsidR="001E300B" w:rsidRPr="00D869E3">
        <w:rPr>
          <w:rFonts w:ascii="Verdana" w:hAnsi="Verdana"/>
          <w:sz w:val="20"/>
          <w:szCs w:val="20"/>
          <w:lang w:val="en-US"/>
        </w:rPr>
        <w:t xml:space="preserve"> be judicialized before the Court not only renders meaningless the provisions of Articles 31, 76(1) and 77(1) of the Convention and of the Protocol of San Salvador, but would </w:t>
      </w:r>
      <w:r w:rsidR="00AE1BF5" w:rsidRPr="00D869E3">
        <w:rPr>
          <w:rFonts w:ascii="Verdana" w:hAnsi="Verdana"/>
          <w:sz w:val="20"/>
          <w:szCs w:val="20"/>
          <w:lang w:val="en-US"/>
        </w:rPr>
        <w:t xml:space="preserve">also </w:t>
      </w:r>
      <w:r w:rsidR="001E300B" w:rsidRPr="00D869E3">
        <w:rPr>
          <w:rFonts w:ascii="Verdana" w:hAnsi="Verdana"/>
          <w:sz w:val="20"/>
          <w:szCs w:val="20"/>
          <w:lang w:val="en-US"/>
        </w:rPr>
        <w:t xml:space="preserve">allow </w:t>
      </w:r>
      <w:r w:rsidR="00AE1BF5" w:rsidRPr="00D869E3">
        <w:rPr>
          <w:rFonts w:ascii="Verdana" w:hAnsi="Verdana"/>
          <w:sz w:val="20"/>
          <w:szCs w:val="20"/>
          <w:lang w:val="en-US"/>
        </w:rPr>
        <w:t>this</w:t>
      </w:r>
      <w:r w:rsidR="001E300B" w:rsidRPr="00D869E3">
        <w:rPr>
          <w:rFonts w:ascii="Verdana" w:hAnsi="Verdana"/>
          <w:sz w:val="20"/>
          <w:szCs w:val="20"/>
          <w:lang w:val="en-US"/>
        </w:rPr>
        <w:t xml:space="preserve"> for all the rights derived from the OAS Charter, an eventuality that is evidently totally alien to what was intended.</w:t>
      </w:r>
    </w:p>
    <w:p w14:paraId="0F93CD60" w14:textId="77777777" w:rsidR="003C2143" w:rsidRPr="00D869E3" w:rsidRDefault="003C2143" w:rsidP="003C2143">
      <w:pPr>
        <w:jc w:val="both"/>
        <w:rPr>
          <w:rFonts w:ascii="Verdana" w:hAnsi="Verdana"/>
          <w:sz w:val="20"/>
          <w:szCs w:val="20"/>
          <w:lang w:val="en-US"/>
        </w:rPr>
      </w:pPr>
    </w:p>
    <w:p w14:paraId="343A8F6D" w14:textId="12E2FEB9" w:rsidR="003C2143" w:rsidRPr="00D869E3" w:rsidRDefault="00D13204" w:rsidP="003C2143">
      <w:pPr>
        <w:jc w:val="both"/>
        <w:rPr>
          <w:rFonts w:ascii="Verdana" w:hAnsi="Verdana"/>
          <w:sz w:val="20"/>
          <w:szCs w:val="20"/>
          <w:lang w:val="en-US"/>
        </w:rPr>
      </w:pPr>
      <w:r w:rsidRPr="00D869E3">
        <w:rPr>
          <w:rFonts w:ascii="Verdana" w:hAnsi="Verdana"/>
          <w:sz w:val="20"/>
          <w:szCs w:val="20"/>
          <w:lang w:val="en-US"/>
        </w:rPr>
        <w:t>Based on the foregoing</w:t>
      </w:r>
      <w:r w:rsidR="001E300B" w:rsidRPr="00D869E3">
        <w:rPr>
          <w:rFonts w:ascii="Verdana" w:hAnsi="Verdana"/>
          <w:sz w:val="20"/>
          <w:szCs w:val="20"/>
          <w:lang w:val="en-US"/>
        </w:rPr>
        <w:t xml:space="preserve">, I reiterate that I am not denying the existence of </w:t>
      </w:r>
      <w:r w:rsidR="00A157F5" w:rsidRPr="00D869E3">
        <w:rPr>
          <w:rFonts w:ascii="Verdana" w:hAnsi="Verdana"/>
          <w:sz w:val="20"/>
          <w:szCs w:val="20"/>
          <w:lang w:val="en-US"/>
        </w:rPr>
        <w:t xml:space="preserve">the </w:t>
      </w:r>
      <w:r w:rsidR="000B2E5E" w:rsidRPr="00D869E3">
        <w:rPr>
          <w:rFonts w:ascii="Verdana" w:hAnsi="Verdana"/>
          <w:sz w:val="20"/>
          <w:szCs w:val="20"/>
          <w:lang w:val="en-US"/>
        </w:rPr>
        <w:t xml:space="preserve">right </w:t>
      </w:r>
      <w:r w:rsidR="002C5EA9" w:rsidRPr="00D869E3">
        <w:rPr>
          <w:rFonts w:ascii="Verdana" w:hAnsi="Verdana"/>
          <w:sz w:val="20"/>
          <w:szCs w:val="20"/>
          <w:lang w:val="en-US"/>
        </w:rPr>
        <w:t>to job security</w:t>
      </w:r>
      <w:r w:rsidR="003C2143" w:rsidRPr="00D869E3">
        <w:rPr>
          <w:rFonts w:ascii="Verdana" w:hAnsi="Verdana"/>
          <w:sz w:val="20"/>
          <w:szCs w:val="20"/>
          <w:lang w:val="en-US"/>
        </w:rPr>
        <w:t xml:space="preserve"> </w:t>
      </w:r>
      <w:r w:rsidR="001E300B" w:rsidRPr="00D869E3">
        <w:rPr>
          <w:rFonts w:ascii="Verdana" w:hAnsi="Verdana"/>
          <w:sz w:val="20"/>
          <w:szCs w:val="20"/>
          <w:lang w:val="en-US"/>
        </w:rPr>
        <w:t>which</w:t>
      </w:r>
      <w:r w:rsidRPr="00D869E3">
        <w:rPr>
          <w:rFonts w:ascii="Verdana" w:hAnsi="Verdana"/>
          <w:sz w:val="20"/>
          <w:szCs w:val="20"/>
          <w:lang w:val="en-US"/>
        </w:rPr>
        <w:t>, incidentally,</w:t>
      </w:r>
      <w:r w:rsidR="001E300B" w:rsidRPr="00D869E3">
        <w:rPr>
          <w:rFonts w:ascii="Verdana" w:hAnsi="Verdana"/>
          <w:sz w:val="20"/>
          <w:szCs w:val="20"/>
          <w:lang w:val="en-US"/>
        </w:rPr>
        <w:t xml:space="preserve"> does not appear as such in the OAS </w:t>
      </w:r>
      <w:r w:rsidR="00197983" w:rsidRPr="00D869E3">
        <w:rPr>
          <w:rFonts w:ascii="Verdana" w:hAnsi="Verdana"/>
          <w:sz w:val="20"/>
          <w:szCs w:val="20"/>
          <w:lang w:val="en-US"/>
        </w:rPr>
        <w:t>Charter</w:t>
      </w:r>
      <w:r w:rsidR="003C2143" w:rsidRPr="00D869E3">
        <w:rPr>
          <w:rFonts w:ascii="Verdana" w:hAnsi="Verdana"/>
          <w:sz w:val="20"/>
          <w:szCs w:val="20"/>
          <w:lang w:val="en-US"/>
        </w:rPr>
        <w:t xml:space="preserve"> </w:t>
      </w:r>
      <w:r w:rsidR="001E300B" w:rsidRPr="00D869E3">
        <w:rPr>
          <w:rFonts w:ascii="Verdana" w:hAnsi="Verdana"/>
          <w:sz w:val="20"/>
          <w:szCs w:val="20"/>
          <w:lang w:val="en-US"/>
        </w:rPr>
        <w:t>from the provisions of which</w:t>
      </w:r>
      <w:r w:rsidRPr="00D869E3">
        <w:rPr>
          <w:rFonts w:ascii="Verdana" w:hAnsi="Verdana"/>
          <w:sz w:val="20"/>
          <w:szCs w:val="20"/>
          <w:lang w:val="en-US"/>
        </w:rPr>
        <w:t xml:space="preserve"> it would derive</w:t>
      </w:r>
      <w:r w:rsidR="001E300B" w:rsidRPr="00D869E3">
        <w:rPr>
          <w:rFonts w:ascii="Verdana" w:hAnsi="Verdana"/>
          <w:sz w:val="20"/>
          <w:szCs w:val="20"/>
          <w:lang w:val="en-US"/>
        </w:rPr>
        <w:t xml:space="preserve"> according to </w:t>
      </w:r>
      <w:r w:rsidR="00447C65" w:rsidRPr="00D869E3">
        <w:rPr>
          <w:rFonts w:ascii="Verdana" w:hAnsi="Verdana"/>
          <w:sz w:val="20"/>
          <w:szCs w:val="20"/>
          <w:lang w:val="en-US"/>
        </w:rPr>
        <w:t>Article</w:t>
      </w:r>
      <w:r w:rsidR="003C2143" w:rsidRPr="00D869E3">
        <w:rPr>
          <w:rFonts w:ascii="Verdana" w:hAnsi="Verdana"/>
          <w:sz w:val="20"/>
          <w:szCs w:val="20"/>
          <w:lang w:val="en-US"/>
        </w:rPr>
        <w:t xml:space="preserve"> 26</w:t>
      </w:r>
      <w:r w:rsidR="00447C65" w:rsidRPr="00D869E3">
        <w:rPr>
          <w:rFonts w:ascii="Verdana" w:hAnsi="Verdana"/>
          <w:sz w:val="20"/>
          <w:szCs w:val="20"/>
          <w:lang w:val="en-US"/>
        </w:rPr>
        <w:t xml:space="preserve"> of the Convention</w:t>
      </w:r>
      <w:r w:rsidR="001E300B" w:rsidRPr="00D869E3">
        <w:rPr>
          <w:rFonts w:ascii="Verdana" w:hAnsi="Verdana"/>
          <w:sz w:val="20"/>
          <w:szCs w:val="20"/>
          <w:lang w:val="en-US"/>
        </w:rPr>
        <w:t>. I merely indicate that i</w:t>
      </w:r>
      <w:r w:rsidRPr="00D869E3">
        <w:rPr>
          <w:rFonts w:ascii="Verdana" w:hAnsi="Verdana"/>
          <w:sz w:val="20"/>
          <w:szCs w:val="20"/>
          <w:lang w:val="en-US"/>
        </w:rPr>
        <w:t>t</w:t>
      </w:r>
      <w:r w:rsidR="001E300B" w:rsidRPr="00D869E3">
        <w:rPr>
          <w:rFonts w:ascii="Verdana" w:hAnsi="Verdana"/>
          <w:sz w:val="20"/>
          <w:szCs w:val="20"/>
          <w:lang w:val="en-US"/>
        </w:rPr>
        <w:t xml:space="preserve">s eventual violation cannot be submitted to the consideration and decision </w:t>
      </w:r>
      <w:r w:rsidR="00447C65" w:rsidRPr="00D869E3">
        <w:rPr>
          <w:rFonts w:ascii="Verdana" w:hAnsi="Verdana"/>
          <w:sz w:val="20"/>
          <w:szCs w:val="20"/>
          <w:lang w:val="en-US"/>
        </w:rPr>
        <w:t>of the Court</w:t>
      </w:r>
      <w:r w:rsidR="001E300B" w:rsidRPr="00D869E3">
        <w:rPr>
          <w:rFonts w:ascii="Verdana" w:hAnsi="Verdana"/>
          <w:sz w:val="20"/>
          <w:szCs w:val="20"/>
          <w:lang w:val="en-US"/>
        </w:rPr>
        <w:t>.</w:t>
      </w:r>
    </w:p>
    <w:p w14:paraId="459D213D" w14:textId="77777777" w:rsidR="003C2143" w:rsidRPr="00D869E3" w:rsidRDefault="003C2143" w:rsidP="003C2143">
      <w:pPr>
        <w:jc w:val="both"/>
        <w:rPr>
          <w:rFonts w:ascii="Verdana" w:hAnsi="Verdana"/>
          <w:sz w:val="20"/>
          <w:szCs w:val="20"/>
          <w:lang w:val="en-US"/>
        </w:rPr>
      </w:pPr>
    </w:p>
    <w:p w14:paraId="44BC7D6B" w14:textId="23739AAB" w:rsidR="00D606DA" w:rsidRPr="00D869E3" w:rsidRDefault="00D13204" w:rsidP="003C2143">
      <w:pPr>
        <w:jc w:val="both"/>
        <w:rPr>
          <w:rFonts w:ascii="Verdana" w:hAnsi="Verdana"/>
          <w:sz w:val="20"/>
          <w:szCs w:val="20"/>
          <w:lang w:val="en-US"/>
        </w:rPr>
      </w:pPr>
      <w:r w:rsidRPr="00D869E3">
        <w:rPr>
          <w:rFonts w:ascii="Verdana" w:hAnsi="Verdana"/>
          <w:sz w:val="20"/>
          <w:szCs w:val="20"/>
          <w:lang w:val="en-US"/>
        </w:rPr>
        <w:t>Furthermore</w:t>
      </w:r>
      <w:r w:rsidR="001E300B" w:rsidRPr="00D869E3">
        <w:rPr>
          <w:rFonts w:ascii="Verdana" w:hAnsi="Verdana"/>
          <w:sz w:val="20"/>
          <w:szCs w:val="20"/>
          <w:lang w:val="en-US"/>
        </w:rPr>
        <w:t xml:space="preserve">, this opinion should not be understood to signify that I would not be in favor of </w:t>
      </w:r>
      <w:r w:rsidRPr="00D869E3">
        <w:rPr>
          <w:rFonts w:ascii="Verdana" w:hAnsi="Verdana"/>
          <w:sz w:val="20"/>
          <w:szCs w:val="20"/>
          <w:lang w:val="en-US"/>
        </w:rPr>
        <w:t xml:space="preserve">the </w:t>
      </w:r>
      <w:r w:rsidR="001E300B" w:rsidRPr="00D869E3">
        <w:rPr>
          <w:rFonts w:ascii="Verdana" w:hAnsi="Verdana"/>
          <w:sz w:val="20"/>
          <w:szCs w:val="20"/>
          <w:lang w:val="en-US"/>
        </w:rPr>
        <w:t>eventual judicializ</w:t>
      </w:r>
      <w:r w:rsidRPr="00D869E3">
        <w:rPr>
          <w:rFonts w:ascii="Verdana" w:hAnsi="Verdana"/>
          <w:sz w:val="20"/>
          <w:szCs w:val="20"/>
          <w:lang w:val="en-US"/>
        </w:rPr>
        <w:t>ation of</w:t>
      </w:r>
      <w:r w:rsidR="001E300B" w:rsidRPr="00D869E3">
        <w:rPr>
          <w:rFonts w:ascii="Verdana" w:hAnsi="Verdana"/>
          <w:sz w:val="20"/>
          <w:szCs w:val="20"/>
          <w:lang w:val="en-US"/>
        </w:rPr>
        <w:t xml:space="preserve"> the economic, social and cultural rights. </w:t>
      </w:r>
      <w:r w:rsidR="00D606DA" w:rsidRPr="00D869E3">
        <w:rPr>
          <w:rFonts w:ascii="Verdana" w:hAnsi="Verdana"/>
          <w:sz w:val="20"/>
          <w:szCs w:val="20"/>
          <w:lang w:val="en-US"/>
        </w:rPr>
        <w:t xml:space="preserve">I merely consider that, if this </w:t>
      </w:r>
      <w:r w:rsidRPr="00D869E3">
        <w:rPr>
          <w:rFonts w:ascii="Verdana" w:hAnsi="Verdana"/>
          <w:sz w:val="20"/>
          <w:szCs w:val="20"/>
          <w:lang w:val="en-US"/>
        </w:rPr>
        <w:t>occurs</w:t>
      </w:r>
      <w:r w:rsidR="00D606DA" w:rsidRPr="00D869E3">
        <w:rPr>
          <w:rFonts w:ascii="Verdana" w:hAnsi="Verdana"/>
          <w:sz w:val="20"/>
          <w:szCs w:val="20"/>
          <w:lang w:val="en-US"/>
        </w:rPr>
        <w:t xml:space="preserve">, it should be </w:t>
      </w:r>
      <w:r w:rsidRPr="00D869E3">
        <w:rPr>
          <w:rFonts w:ascii="Verdana" w:hAnsi="Verdana"/>
          <w:sz w:val="20"/>
          <w:szCs w:val="20"/>
          <w:lang w:val="en-US"/>
        </w:rPr>
        <w:t xml:space="preserve">accomplished </w:t>
      </w:r>
      <w:r w:rsidR="00D606DA" w:rsidRPr="00D869E3">
        <w:rPr>
          <w:rFonts w:ascii="Verdana" w:hAnsi="Verdana"/>
          <w:sz w:val="20"/>
          <w:szCs w:val="20"/>
          <w:lang w:val="en-US"/>
        </w:rPr>
        <w:t>by the entit</w:t>
      </w:r>
      <w:r w:rsidRPr="00D869E3">
        <w:rPr>
          <w:rFonts w:ascii="Verdana" w:hAnsi="Verdana"/>
          <w:sz w:val="20"/>
          <w:szCs w:val="20"/>
          <w:lang w:val="en-US"/>
        </w:rPr>
        <w:t xml:space="preserve">y </w:t>
      </w:r>
      <w:r w:rsidR="00D606DA" w:rsidRPr="00D869E3">
        <w:rPr>
          <w:rFonts w:ascii="Verdana" w:hAnsi="Verdana"/>
          <w:sz w:val="20"/>
          <w:szCs w:val="20"/>
          <w:lang w:val="en-US"/>
        </w:rPr>
        <w:t xml:space="preserve">responsible for setting international legal standards; </w:t>
      </w:r>
      <w:r w:rsidRPr="00D869E3">
        <w:rPr>
          <w:rFonts w:ascii="Verdana" w:hAnsi="Verdana"/>
          <w:sz w:val="20"/>
          <w:szCs w:val="20"/>
          <w:lang w:val="en-US"/>
        </w:rPr>
        <w:t>namely</w:t>
      </w:r>
      <w:r w:rsidR="00D606DA" w:rsidRPr="00D869E3">
        <w:rPr>
          <w:rFonts w:ascii="Verdana" w:hAnsi="Verdana"/>
          <w:sz w:val="20"/>
          <w:szCs w:val="20"/>
          <w:lang w:val="en-US"/>
        </w:rPr>
        <w:t xml:space="preserve">, the States, through treaties, international custom, general principles of law, or unilateral </w:t>
      </w:r>
      <w:r w:rsidRPr="00D869E3">
        <w:rPr>
          <w:rFonts w:ascii="Verdana" w:hAnsi="Verdana"/>
          <w:sz w:val="20"/>
          <w:szCs w:val="20"/>
          <w:lang w:val="en-US"/>
        </w:rPr>
        <w:t>leg</w:t>
      </w:r>
      <w:r w:rsidR="00D606DA" w:rsidRPr="00D869E3">
        <w:rPr>
          <w:rFonts w:ascii="Verdana" w:hAnsi="Verdana"/>
          <w:sz w:val="20"/>
          <w:szCs w:val="20"/>
          <w:lang w:val="en-US"/>
        </w:rPr>
        <w:t xml:space="preserve">al acts. It does not appear desirable that the organ responsible for the inter-American judicial function should assume the role of setting international standards, particularly when </w:t>
      </w:r>
      <w:r w:rsidR="00304025" w:rsidRPr="00D869E3">
        <w:rPr>
          <w:rFonts w:ascii="Verdana" w:hAnsi="Verdana"/>
          <w:sz w:val="20"/>
          <w:szCs w:val="20"/>
          <w:lang w:val="en-US"/>
        </w:rPr>
        <w:t>the States Parties to</w:t>
      </w:r>
      <w:r w:rsidR="00447C65" w:rsidRPr="00D869E3">
        <w:rPr>
          <w:rFonts w:ascii="Verdana" w:hAnsi="Verdana"/>
          <w:sz w:val="20"/>
          <w:szCs w:val="20"/>
          <w:lang w:val="en-US"/>
        </w:rPr>
        <w:t xml:space="preserve"> the Convention</w:t>
      </w:r>
      <w:r w:rsidR="00D606DA" w:rsidRPr="00D869E3">
        <w:rPr>
          <w:rFonts w:ascii="Verdana" w:hAnsi="Verdana"/>
          <w:sz w:val="20"/>
          <w:szCs w:val="20"/>
          <w:lang w:val="en-US"/>
        </w:rPr>
        <w:t xml:space="preserve"> are democratic and, in this regard, governed by </w:t>
      </w:r>
      <w:r w:rsidR="00D75CD1" w:rsidRPr="00D869E3">
        <w:rPr>
          <w:rFonts w:ascii="Verdana" w:hAnsi="Verdana"/>
          <w:sz w:val="20"/>
          <w:szCs w:val="20"/>
          <w:lang w:val="en-US"/>
        </w:rPr>
        <w:t>the Inter-American Democratic Charter</w:t>
      </w:r>
      <w:r w:rsidR="003C2143" w:rsidRPr="00D869E3">
        <w:rPr>
          <w:rFonts w:ascii="Verdana" w:hAnsi="Verdana"/>
          <w:sz w:val="20"/>
          <w:szCs w:val="20"/>
          <w:lang w:val="en-US"/>
        </w:rPr>
        <w:t xml:space="preserve"> </w:t>
      </w:r>
      <w:r w:rsidRPr="00D869E3">
        <w:rPr>
          <w:rFonts w:ascii="Verdana" w:hAnsi="Verdana"/>
          <w:sz w:val="20"/>
          <w:szCs w:val="20"/>
          <w:lang w:val="en-US"/>
        </w:rPr>
        <w:t>that</w:t>
      </w:r>
      <w:r w:rsidR="00D606DA" w:rsidRPr="00D869E3">
        <w:rPr>
          <w:rFonts w:ascii="Verdana" w:hAnsi="Verdana"/>
          <w:sz w:val="20"/>
          <w:szCs w:val="20"/>
          <w:lang w:val="en-US"/>
        </w:rPr>
        <w:t xml:space="preserve"> establishes the separation of powers and civic participation in public affairs,</w:t>
      </w:r>
      <w:r w:rsidR="003C2143" w:rsidRPr="00D869E3">
        <w:rPr>
          <w:rStyle w:val="Refdenotaalpie"/>
          <w:szCs w:val="20"/>
          <w:lang w:val="en-US"/>
        </w:rPr>
        <w:footnoteReference w:id="439"/>
      </w:r>
      <w:r w:rsidR="00D606DA" w:rsidRPr="00D869E3">
        <w:rPr>
          <w:rFonts w:ascii="Verdana" w:hAnsi="Verdana"/>
          <w:sz w:val="20"/>
          <w:szCs w:val="20"/>
          <w:lang w:val="en-US"/>
        </w:rPr>
        <w:t xml:space="preserve"> which should also be reflected in matters relating to the role of setting international legal standards, particularly those standards that concern the</w:t>
      </w:r>
      <w:r w:rsidRPr="00D869E3">
        <w:rPr>
          <w:rFonts w:ascii="Verdana" w:hAnsi="Verdana"/>
          <w:sz w:val="20"/>
          <w:szCs w:val="20"/>
          <w:lang w:val="en-US"/>
        </w:rPr>
        <w:t>m</w:t>
      </w:r>
      <w:r w:rsidR="00D606DA" w:rsidRPr="00D869E3">
        <w:rPr>
          <w:rFonts w:ascii="Verdana" w:hAnsi="Verdana"/>
          <w:sz w:val="20"/>
          <w:szCs w:val="20"/>
          <w:lang w:val="en-US"/>
        </w:rPr>
        <w:t xml:space="preserve"> mo</w:t>
      </w:r>
      <w:r w:rsidRPr="00D869E3">
        <w:rPr>
          <w:rFonts w:ascii="Verdana" w:hAnsi="Verdana"/>
          <w:sz w:val="20"/>
          <w:szCs w:val="20"/>
          <w:lang w:val="en-US"/>
        </w:rPr>
        <w:t>st</w:t>
      </w:r>
      <w:r w:rsidR="00D606DA" w:rsidRPr="00D869E3">
        <w:rPr>
          <w:rFonts w:ascii="Verdana" w:hAnsi="Verdana"/>
          <w:sz w:val="20"/>
          <w:szCs w:val="20"/>
          <w:lang w:val="en-US"/>
        </w:rPr>
        <w:t xml:space="preserve"> directly.</w:t>
      </w:r>
    </w:p>
    <w:p w14:paraId="7DCAA88F" w14:textId="77777777" w:rsidR="003C2143" w:rsidRPr="00D869E3" w:rsidRDefault="003C2143" w:rsidP="003C2143">
      <w:pPr>
        <w:jc w:val="both"/>
        <w:rPr>
          <w:rFonts w:ascii="Verdana" w:hAnsi="Verdana"/>
          <w:sz w:val="20"/>
          <w:szCs w:val="20"/>
          <w:lang w:val="en-US"/>
        </w:rPr>
      </w:pPr>
    </w:p>
    <w:p w14:paraId="62B1648B" w14:textId="080FA0EC" w:rsidR="003C2143" w:rsidRPr="00D869E3" w:rsidRDefault="00D606DA" w:rsidP="003C2143">
      <w:pPr>
        <w:jc w:val="both"/>
        <w:rPr>
          <w:rFonts w:ascii="Verdana" w:hAnsi="Verdana"/>
          <w:sz w:val="20"/>
          <w:szCs w:val="20"/>
          <w:lang w:val="en-US"/>
        </w:rPr>
      </w:pPr>
      <w:r w:rsidRPr="00D869E3">
        <w:rPr>
          <w:rFonts w:ascii="Verdana" w:hAnsi="Verdana"/>
          <w:sz w:val="20"/>
          <w:szCs w:val="20"/>
          <w:lang w:val="en-US"/>
        </w:rPr>
        <w:t>Finally, this opinion records my dis</w:t>
      </w:r>
      <w:r w:rsidR="00D13204" w:rsidRPr="00D869E3">
        <w:rPr>
          <w:rFonts w:ascii="Verdana" w:hAnsi="Verdana"/>
          <w:sz w:val="20"/>
          <w:szCs w:val="20"/>
          <w:lang w:val="en-US"/>
        </w:rPr>
        <w:t>crepancy with the fact</w:t>
      </w:r>
      <w:r w:rsidRPr="00D869E3">
        <w:rPr>
          <w:rFonts w:ascii="Verdana" w:hAnsi="Verdana"/>
          <w:sz w:val="20"/>
          <w:szCs w:val="20"/>
          <w:lang w:val="en-US"/>
        </w:rPr>
        <w:t xml:space="preserve"> that the judgment develops and </w:t>
      </w:r>
      <w:r w:rsidR="00D13204" w:rsidRPr="00D869E3">
        <w:rPr>
          <w:rFonts w:ascii="Verdana" w:hAnsi="Verdana"/>
          <w:sz w:val="20"/>
          <w:szCs w:val="20"/>
          <w:lang w:val="en-US"/>
        </w:rPr>
        <w:t>expresses</w:t>
      </w:r>
      <w:r w:rsidRPr="00D869E3">
        <w:rPr>
          <w:rFonts w:ascii="Verdana" w:hAnsi="Verdana"/>
          <w:sz w:val="20"/>
          <w:szCs w:val="20"/>
          <w:lang w:val="en-US"/>
        </w:rPr>
        <w:t xml:space="preserve">, for the first time, </w:t>
      </w:r>
      <w:r w:rsidR="006436CA" w:rsidRPr="00D869E3">
        <w:rPr>
          <w:rFonts w:ascii="Verdana" w:hAnsi="Verdana"/>
          <w:sz w:val="20"/>
          <w:szCs w:val="20"/>
          <w:lang w:val="en-US"/>
        </w:rPr>
        <w:t>“</w:t>
      </w:r>
      <w:r w:rsidR="00F062CF" w:rsidRPr="00D869E3">
        <w:rPr>
          <w:rFonts w:ascii="Verdana" w:hAnsi="Verdana"/>
          <w:i/>
          <w:sz w:val="20"/>
          <w:szCs w:val="20"/>
          <w:lang w:val="en-US"/>
        </w:rPr>
        <w:t>a specific condemnation</w:t>
      </w:r>
      <w:r w:rsidR="003C2143" w:rsidRPr="00D869E3">
        <w:rPr>
          <w:rFonts w:ascii="Verdana" w:hAnsi="Verdana"/>
          <w:i/>
          <w:sz w:val="20"/>
          <w:szCs w:val="20"/>
          <w:lang w:val="en-US"/>
        </w:rPr>
        <w:t xml:space="preserve"> </w:t>
      </w:r>
      <w:r w:rsidR="004A47FF" w:rsidRPr="00D869E3">
        <w:rPr>
          <w:rFonts w:ascii="Verdana" w:hAnsi="Verdana"/>
          <w:i/>
          <w:sz w:val="20"/>
          <w:szCs w:val="20"/>
          <w:lang w:val="en-US"/>
        </w:rPr>
        <w:t>for the violation</w:t>
      </w:r>
      <w:r w:rsidR="003C2143" w:rsidRPr="00D869E3">
        <w:rPr>
          <w:rFonts w:ascii="Verdana" w:hAnsi="Verdana"/>
          <w:i/>
          <w:sz w:val="20"/>
          <w:szCs w:val="20"/>
          <w:lang w:val="en-US"/>
        </w:rPr>
        <w:t xml:space="preserve"> </w:t>
      </w:r>
      <w:r w:rsidR="00687684" w:rsidRPr="00D869E3">
        <w:rPr>
          <w:rFonts w:ascii="Verdana" w:hAnsi="Verdana"/>
          <w:i/>
          <w:sz w:val="20"/>
          <w:szCs w:val="20"/>
          <w:lang w:val="en-US"/>
        </w:rPr>
        <w:t>of Article</w:t>
      </w:r>
      <w:r w:rsidR="003C2143" w:rsidRPr="00D869E3">
        <w:rPr>
          <w:rFonts w:ascii="Verdana" w:hAnsi="Verdana"/>
          <w:i/>
          <w:sz w:val="20"/>
          <w:szCs w:val="20"/>
          <w:lang w:val="en-US"/>
        </w:rPr>
        <w:t xml:space="preserve"> 26</w:t>
      </w:r>
      <w:r w:rsidR="00447C65" w:rsidRPr="00D869E3">
        <w:rPr>
          <w:rFonts w:ascii="Verdana" w:hAnsi="Verdana"/>
          <w:i/>
          <w:sz w:val="20"/>
          <w:szCs w:val="20"/>
          <w:lang w:val="en-US"/>
        </w:rPr>
        <w:t xml:space="preserve"> of the </w:t>
      </w:r>
      <w:r w:rsidR="00F062CF" w:rsidRPr="00D869E3">
        <w:rPr>
          <w:rFonts w:ascii="Verdana" w:hAnsi="Verdana"/>
          <w:i/>
          <w:sz w:val="20"/>
          <w:szCs w:val="20"/>
          <w:lang w:val="en-US"/>
        </w:rPr>
        <w:t xml:space="preserve">American </w:t>
      </w:r>
      <w:r w:rsidR="00447C65" w:rsidRPr="00D869E3">
        <w:rPr>
          <w:rFonts w:ascii="Verdana" w:hAnsi="Verdana"/>
          <w:i/>
          <w:sz w:val="20"/>
          <w:szCs w:val="20"/>
          <w:lang w:val="en-US"/>
        </w:rPr>
        <w:t>Convention</w:t>
      </w:r>
      <w:r w:rsidR="00F062CF" w:rsidRPr="00D869E3">
        <w:rPr>
          <w:rFonts w:ascii="Verdana" w:hAnsi="Verdana"/>
          <w:i/>
          <w:sz w:val="20"/>
          <w:szCs w:val="20"/>
          <w:lang w:val="en-US"/>
        </w:rPr>
        <w:t xml:space="preserve"> on Human Rights</w:t>
      </w:r>
      <w:r w:rsidR="003C2143" w:rsidRPr="00D869E3">
        <w:rPr>
          <w:rFonts w:ascii="Verdana" w:hAnsi="Verdana"/>
          <w:i/>
          <w:sz w:val="20"/>
          <w:szCs w:val="20"/>
          <w:lang w:val="en-US"/>
        </w:rPr>
        <w:t xml:space="preserve">, </w:t>
      </w:r>
      <w:r w:rsidR="00F062CF" w:rsidRPr="00D869E3">
        <w:rPr>
          <w:rFonts w:ascii="Verdana" w:hAnsi="Verdana"/>
          <w:i/>
          <w:sz w:val="20"/>
          <w:szCs w:val="20"/>
          <w:lang w:val="en-US"/>
        </w:rPr>
        <w:t>established in</w:t>
      </w:r>
      <w:r w:rsidR="003C2143" w:rsidRPr="00D869E3">
        <w:rPr>
          <w:rFonts w:ascii="Verdana" w:hAnsi="Verdana"/>
          <w:i/>
          <w:sz w:val="20"/>
          <w:szCs w:val="20"/>
          <w:lang w:val="en-US"/>
        </w:rPr>
        <w:t xml:space="preserve"> C</w:t>
      </w:r>
      <w:r w:rsidR="004A47FF" w:rsidRPr="00D869E3">
        <w:rPr>
          <w:rFonts w:ascii="Verdana" w:hAnsi="Verdana"/>
          <w:i/>
          <w:sz w:val="20"/>
          <w:szCs w:val="20"/>
          <w:lang w:val="en-US"/>
        </w:rPr>
        <w:t>hapter</w:t>
      </w:r>
      <w:r w:rsidR="003C2143" w:rsidRPr="00D869E3">
        <w:rPr>
          <w:rFonts w:ascii="Verdana" w:hAnsi="Verdana"/>
          <w:i/>
          <w:sz w:val="20"/>
          <w:szCs w:val="20"/>
          <w:lang w:val="en-US"/>
        </w:rPr>
        <w:t xml:space="preserve"> III </w:t>
      </w:r>
      <w:r w:rsidR="00F062CF" w:rsidRPr="00D869E3">
        <w:rPr>
          <w:rFonts w:ascii="Verdana" w:hAnsi="Verdana"/>
          <w:i/>
          <w:sz w:val="20"/>
          <w:szCs w:val="20"/>
          <w:lang w:val="en-US"/>
        </w:rPr>
        <w:t xml:space="preserve">of this treaty, </w:t>
      </w:r>
      <w:r w:rsidR="004A47FF" w:rsidRPr="00D869E3">
        <w:rPr>
          <w:rFonts w:ascii="Verdana" w:hAnsi="Verdana"/>
          <w:i/>
          <w:sz w:val="20"/>
          <w:szCs w:val="20"/>
          <w:lang w:val="en-US"/>
        </w:rPr>
        <w:t>entitled Economic, Social and Cultural Rights.</w:t>
      </w:r>
      <w:r w:rsidR="006436CA" w:rsidRPr="00D869E3">
        <w:rPr>
          <w:rFonts w:ascii="Verdana" w:hAnsi="Verdana"/>
          <w:sz w:val="20"/>
          <w:szCs w:val="20"/>
          <w:lang w:val="en-US"/>
        </w:rPr>
        <w:t>”</w:t>
      </w:r>
      <w:r w:rsidR="003C2143" w:rsidRPr="00D869E3">
        <w:rPr>
          <w:rStyle w:val="Refdenotaalpie"/>
          <w:szCs w:val="20"/>
          <w:lang w:val="en-US"/>
        </w:rPr>
        <w:footnoteReference w:id="440"/>
      </w:r>
      <w:r w:rsidR="003C2143" w:rsidRPr="00D869E3">
        <w:rPr>
          <w:rFonts w:ascii="Verdana" w:hAnsi="Verdana"/>
          <w:sz w:val="20"/>
          <w:szCs w:val="20"/>
          <w:lang w:val="en-US"/>
        </w:rPr>
        <w:t xml:space="preserve"> </w:t>
      </w:r>
    </w:p>
    <w:p w14:paraId="4A6B063B" w14:textId="77777777" w:rsidR="003C2143" w:rsidRPr="00D869E3" w:rsidRDefault="003C2143" w:rsidP="003C2143">
      <w:pPr>
        <w:jc w:val="both"/>
        <w:rPr>
          <w:rFonts w:ascii="Verdana" w:hAnsi="Verdana"/>
          <w:sz w:val="20"/>
          <w:szCs w:val="20"/>
          <w:lang w:val="en-US"/>
        </w:rPr>
      </w:pPr>
    </w:p>
    <w:p w14:paraId="06DAE831" w14:textId="5F215481" w:rsidR="003C2143" w:rsidRPr="00D869E3" w:rsidRDefault="00D606DA" w:rsidP="003C2143">
      <w:pPr>
        <w:jc w:val="both"/>
        <w:rPr>
          <w:rFonts w:ascii="Verdana" w:hAnsi="Verdana"/>
          <w:sz w:val="20"/>
          <w:szCs w:val="20"/>
          <w:lang w:val="en-US"/>
        </w:rPr>
      </w:pPr>
      <w:r w:rsidRPr="00D869E3">
        <w:rPr>
          <w:rFonts w:ascii="Verdana" w:hAnsi="Verdana"/>
          <w:sz w:val="20"/>
          <w:szCs w:val="20"/>
          <w:lang w:val="en-US"/>
        </w:rPr>
        <w:t>And this is so, also, based</w:t>
      </w:r>
      <w:r w:rsidR="00D13204" w:rsidRPr="00D869E3">
        <w:rPr>
          <w:rFonts w:ascii="Verdana" w:hAnsi="Verdana"/>
          <w:sz w:val="20"/>
          <w:szCs w:val="20"/>
          <w:lang w:val="en-US"/>
        </w:rPr>
        <w:t xml:space="preserve"> not only</w:t>
      </w:r>
      <w:r w:rsidRPr="00D869E3">
        <w:rPr>
          <w:rFonts w:ascii="Verdana" w:hAnsi="Verdana"/>
          <w:sz w:val="20"/>
          <w:szCs w:val="20"/>
          <w:lang w:val="en-US"/>
        </w:rPr>
        <w:t xml:space="preserve"> on the negative consequences that this decision could have, but also because it appears </w:t>
      </w:r>
      <w:r w:rsidR="006C70C5" w:rsidRPr="00D869E3">
        <w:rPr>
          <w:rFonts w:ascii="Verdana" w:hAnsi="Verdana"/>
          <w:sz w:val="20"/>
          <w:szCs w:val="20"/>
          <w:lang w:val="en-US"/>
        </w:rPr>
        <w:t xml:space="preserve">that it does </w:t>
      </w:r>
      <w:r w:rsidRPr="00D869E3">
        <w:rPr>
          <w:rFonts w:ascii="Verdana" w:hAnsi="Verdana"/>
          <w:sz w:val="20"/>
          <w:szCs w:val="20"/>
          <w:lang w:val="en-US"/>
        </w:rPr>
        <w:t xml:space="preserve">not to take into consideration the circumstance that the </w:t>
      </w:r>
      <w:r w:rsidRPr="00D869E3">
        <w:rPr>
          <w:rFonts w:ascii="Verdana" w:hAnsi="Verdana"/>
          <w:sz w:val="20"/>
          <w:szCs w:val="20"/>
          <w:lang w:val="en-US"/>
        </w:rPr>
        <w:lastRenderedPageBreak/>
        <w:t>sphere of the domestic jurisdiction, or the jurisdiction that is exclusive to the State</w:t>
      </w:r>
      <w:r w:rsidRPr="00D869E3">
        <w:rPr>
          <w:rStyle w:val="Refdenotaalpie"/>
          <w:szCs w:val="20"/>
          <w:lang w:val="en-US"/>
        </w:rPr>
        <w:footnoteReference w:id="441"/>
      </w:r>
      <w:r w:rsidRPr="00D869E3">
        <w:rPr>
          <w:rFonts w:ascii="Verdana" w:hAnsi="Verdana"/>
          <w:sz w:val="20"/>
          <w:szCs w:val="20"/>
          <w:lang w:val="en-US"/>
        </w:rPr>
        <w:t xml:space="preserve"> - also known as the margin of discretion</w:t>
      </w:r>
      <w:r w:rsidR="00D1793F" w:rsidRPr="00D869E3">
        <w:rPr>
          <w:rStyle w:val="Refdenotaalpie"/>
          <w:szCs w:val="20"/>
          <w:lang w:val="en-US"/>
        </w:rPr>
        <w:footnoteReference w:id="442"/>
      </w:r>
      <w:r w:rsidRPr="00D869E3">
        <w:rPr>
          <w:rFonts w:ascii="Verdana" w:hAnsi="Verdana"/>
          <w:sz w:val="20"/>
          <w:szCs w:val="20"/>
          <w:lang w:val="en-US"/>
        </w:rPr>
        <w:t xml:space="preserve"> </w:t>
      </w:r>
      <w:r w:rsidR="00D1793F" w:rsidRPr="00D869E3">
        <w:rPr>
          <w:rFonts w:ascii="Verdana" w:hAnsi="Verdana"/>
          <w:sz w:val="20"/>
          <w:szCs w:val="20"/>
          <w:lang w:val="en-US"/>
        </w:rPr>
        <w:t>–</w:t>
      </w:r>
      <w:r w:rsidRPr="00D869E3">
        <w:rPr>
          <w:rFonts w:ascii="Verdana" w:hAnsi="Verdana"/>
          <w:sz w:val="20"/>
          <w:szCs w:val="20"/>
          <w:lang w:val="en-US"/>
        </w:rPr>
        <w:t xml:space="preserve"> </w:t>
      </w:r>
      <w:r w:rsidR="00D1793F" w:rsidRPr="00D869E3">
        <w:rPr>
          <w:rFonts w:ascii="Verdana" w:hAnsi="Verdana"/>
          <w:sz w:val="20"/>
          <w:szCs w:val="20"/>
          <w:lang w:val="en-US"/>
        </w:rPr>
        <w:t>still exists, although to a lesser extent tha</w:t>
      </w:r>
      <w:r w:rsidR="006C70C5" w:rsidRPr="00D869E3">
        <w:rPr>
          <w:rFonts w:ascii="Verdana" w:hAnsi="Verdana"/>
          <w:sz w:val="20"/>
          <w:szCs w:val="20"/>
          <w:lang w:val="en-US"/>
        </w:rPr>
        <w:t>n</w:t>
      </w:r>
      <w:r w:rsidR="00D1793F" w:rsidRPr="00D869E3">
        <w:rPr>
          <w:rFonts w:ascii="Verdana" w:hAnsi="Verdana"/>
          <w:sz w:val="20"/>
          <w:szCs w:val="20"/>
          <w:lang w:val="en-US"/>
        </w:rPr>
        <w:t xml:space="preserve"> in the past</w:t>
      </w:r>
      <w:r w:rsidR="00A049AE" w:rsidRPr="00D869E3">
        <w:rPr>
          <w:rFonts w:ascii="Verdana" w:hAnsi="Verdana"/>
          <w:sz w:val="20"/>
          <w:szCs w:val="20"/>
          <w:lang w:val="en-US"/>
        </w:rPr>
        <w:t>.</w:t>
      </w:r>
      <w:r w:rsidR="006C70C5" w:rsidRPr="00D869E3">
        <w:rPr>
          <w:rFonts w:ascii="Verdana" w:hAnsi="Verdana"/>
          <w:sz w:val="20"/>
          <w:szCs w:val="20"/>
          <w:lang w:val="en-US"/>
        </w:rPr>
        <w:t xml:space="preserve"> </w:t>
      </w:r>
      <w:r w:rsidR="00A049AE" w:rsidRPr="00D869E3">
        <w:rPr>
          <w:rFonts w:ascii="Verdana" w:hAnsi="Verdana"/>
          <w:sz w:val="20"/>
          <w:szCs w:val="20"/>
          <w:lang w:val="en-US"/>
        </w:rPr>
        <w:t>And this</w:t>
      </w:r>
      <w:r w:rsidR="006C70C5" w:rsidRPr="00D869E3">
        <w:rPr>
          <w:rFonts w:ascii="Verdana" w:hAnsi="Verdana"/>
          <w:sz w:val="20"/>
          <w:szCs w:val="20"/>
          <w:lang w:val="en-US"/>
        </w:rPr>
        <w:t xml:space="preserve"> </w:t>
      </w:r>
      <w:r w:rsidR="00A049AE" w:rsidRPr="00D869E3">
        <w:rPr>
          <w:rFonts w:ascii="Verdana" w:hAnsi="Verdana"/>
          <w:sz w:val="20"/>
          <w:szCs w:val="20"/>
          <w:lang w:val="en-US"/>
        </w:rPr>
        <w:t>shows</w:t>
      </w:r>
      <w:r w:rsidR="00D1793F" w:rsidRPr="00D869E3">
        <w:rPr>
          <w:rFonts w:ascii="Verdana" w:hAnsi="Verdana"/>
          <w:sz w:val="20"/>
          <w:szCs w:val="20"/>
          <w:lang w:val="en-US"/>
        </w:rPr>
        <w:t xml:space="preserve"> that not everything is re</w:t>
      </w:r>
      <w:r w:rsidR="006C70C5" w:rsidRPr="00D869E3">
        <w:rPr>
          <w:rFonts w:ascii="Verdana" w:hAnsi="Verdana"/>
          <w:sz w:val="20"/>
          <w:szCs w:val="20"/>
          <w:lang w:val="en-US"/>
        </w:rPr>
        <w:t>gulated</w:t>
      </w:r>
      <w:r w:rsidR="00D1793F" w:rsidRPr="00D869E3">
        <w:rPr>
          <w:rFonts w:ascii="Verdana" w:hAnsi="Verdana"/>
          <w:sz w:val="20"/>
          <w:szCs w:val="20"/>
          <w:lang w:val="en-US"/>
        </w:rPr>
        <w:t xml:space="preserve"> by international law</w:t>
      </w:r>
      <w:r w:rsidR="00A049AE" w:rsidRPr="00D869E3">
        <w:rPr>
          <w:rFonts w:ascii="Verdana" w:hAnsi="Verdana"/>
          <w:sz w:val="20"/>
          <w:szCs w:val="20"/>
          <w:lang w:val="en-US"/>
        </w:rPr>
        <w:t>, a</w:t>
      </w:r>
      <w:r w:rsidR="00D1793F" w:rsidRPr="00D869E3">
        <w:rPr>
          <w:rFonts w:ascii="Verdana" w:hAnsi="Verdana"/>
          <w:sz w:val="20"/>
          <w:szCs w:val="20"/>
          <w:lang w:val="en-US"/>
        </w:rPr>
        <w:t xml:space="preserve">nd </w:t>
      </w:r>
      <w:r w:rsidR="006C70C5" w:rsidRPr="00D869E3">
        <w:rPr>
          <w:rFonts w:ascii="Verdana" w:hAnsi="Verdana"/>
          <w:sz w:val="20"/>
          <w:szCs w:val="20"/>
          <w:lang w:val="en-US"/>
        </w:rPr>
        <w:t>in the case of</w:t>
      </w:r>
      <w:r w:rsidR="00D1793F" w:rsidRPr="00D869E3">
        <w:rPr>
          <w:rFonts w:ascii="Verdana" w:hAnsi="Verdana"/>
          <w:sz w:val="20"/>
          <w:szCs w:val="20"/>
          <w:lang w:val="en-US"/>
        </w:rPr>
        <w:t xml:space="preserve"> the Convention,</w:t>
      </w:r>
      <w:r w:rsidR="00A049AE" w:rsidRPr="00D869E3">
        <w:rPr>
          <w:rFonts w:ascii="Verdana" w:hAnsi="Verdana"/>
          <w:sz w:val="20"/>
          <w:szCs w:val="20"/>
          <w:lang w:val="en-US"/>
        </w:rPr>
        <w:t xml:space="preserve"> it</w:t>
      </w:r>
      <w:r w:rsidR="006C70C5" w:rsidRPr="00D869E3">
        <w:rPr>
          <w:rFonts w:ascii="Verdana" w:hAnsi="Verdana"/>
          <w:sz w:val="20"/>
          <w:szCs w:val="20"/>
          <w:lang w:val="en-US"/>
        </w:rPr>
        <w:t xml:space="preserve"> </w:t>
      </w:r>
      <w:r w:rsidR="00D1793F" w:rsidRPr="00D869E3">
        <w:rPr>
          <w:rFonts w:ascii="Verdana" w:hAnsi="Verdana"/>
          <w:sz w:val="20"/>
          <w:szCs w:val="20"/>
          <w:lang w:val="en-US"/>
        </w:rPr>
        <w:t>is express</w:t>
      </w:r>
      <w:r w:rsidR="006C70C5" w:rsidRPr="00D869E3">
        <w:rPr>
          <w:rFonts w:ascii="Verdana" w:hAnsi="Verdana"/>
          <w:sz w:val="20"/>
          <w:szCs w:val="20"/>
          <w:lang w:val="en-US"/>
        </w:rPr>
        <w:t>ed</w:t>
      </w:r>
      <w:r w:rsidR="00D1793F" w:rsidRPr="00D869E3">
        <w:rPr>
          <w:rFonts w:ascii="Verdana" w:hAnsi="Verdana"/>
          <w:sz w:val="20"/>
          <w:szCs w:val="20"/>
          <w:lang w:val="en-US"/>
        </w:rPr>
        <w:t>,</w:t>
      </w:r>
      <w:r w:rsidR="00A049AE" w:rsidRPr="00D869E3">
        <w:rPr>
          <w:rFonts w:ascii="Verdana" w:hAnsi="Verdana"/>
          <w:sz w:val="20"/>
          <w:szCs w:val="20"/>
          <w:lang w:val="en-US"/>
        </w:rPr>
        <w:t xml:space="preserve"> </w:t>
      </w:r>
      <w:r w:rsidR="00A049AE" w:rsidRPr="00D869E3">
        <w:rPr>
          <w:rFonts w:ascii="Verdana" w:hAnsi="Verdana"/>
          <w:i/>
          <w:iCs/>
          <w:sz w:val="20"/>
          <w:szCs w:val="20"/>
          <w:lang w:val="en-US"/>
        </w:rPr>
        <w:t>inter alia</w:t>
      </w:r>
      <w:r w:rsidR="00A049AE" w:rsidRPr="00D869E3">
        <w:rPr>
          <w:rFonts w:ascii="Verdana" w:hAnsi="Verdana"/>
          <w:sz w:val="20"/>
          <w:szCs w:val="20"/>
          <w:lang w:val="en-US"/>
        </w:rPr>
        <w:t>,</w:t>
      </w:r>
      <w:r w:rsidR="00D1793F" w:rsidRPr="00D869E3">
        <w:rPr>
          <w:rFonts w:ascii="Verdana" w:hAnsi="Verdana"/>
          <w:sz w:val="20"/>
          <w:szCs w:val="20"/>
          <w:lang w:val="en-US"/>
        </w:rPr>
        <w:t xml:space="preserve"> both in the </w:t>
      </w:r>
      <w:r w:rsidR="006C70C5" w:rsidRPr="00D869E3">
        <w:rPr>
          <w:rFonts w:ascii="Verdana" w:hAnsi="Verdana"/>
          <w:sz w:val="20"/>
          <w:szCs w:val="20"/>
          <w:lang w:val="en-US"/>
        </w:rPr>
        <w:t>provision</w:t>
      </w:r>
      <w:r w:rsidR="00D1793F" w:rsidRPr="00D869E3">
        <w:rPr>
          <w:rFonts w:ascii="Verdana" w:hAnsi="Verdana"/>
          <w:sz w:val="20"/>
          <w:szCs w:val="20"/>
          <w:lang w:val="en-US"/>
        </w:rPr>
        <w:t xml:space="preserve"> that establishes that it is the State Party in the respective case that must </w:t>
      </w:r>
      <w:r w:rsidR="00A049AE" w:rsidRPr="00D869E3">
        <w:rPr>
          <w:rFonts w:ascii="Verdana" w:hAnsi="Verdana"/>
          <w:sz w:val="20"/>
          <w:szCs w:val="20"/>
          <w:lang w:val="en-US"/>
        </w:rPr>
        <w:t>comply with</w:t>
      </w:r>
      <w:r w:rsidR="00D1793F" w:rsidRPr="00D869E3">
        <w:rPr>
          <w:rFonts w:ascii="Verdana" w:hAnsi="Verdana"/>
          <w:sz w:val="20"/>
          <w:szCs w:val="20"/>
          <w:lang w:val="en-US"/>
        </w:rPr>
        <w:t xml:space="preserve"> the corresponding judgment</w:t>
      </w:r>
      <w:r w:rsidR="00A049AE" w:rsidRPr="00D869E3">
        <w:rPr>
          <w:rFonts w:ascii="Verdana" w:hAnsi="Verdana"/>
          <w:sz w:val="20"/>
          <w:szCs w:val="20"/>
          <w:lang w:val="en-US"/>
        </w:rPr>
        <w:t>,</w:t>
      </w:r>
      <w:r w:rsidR="003C2143" w:rsidRPr="00D869E3">
        <w:rPr>
          <w:rStyle w:val="Refdenotaalpie"/>
          <w:szCs w:val="20"/>
          <w:lang w:val="en-US"/>
        </w:rPr>
        <w:footnoteReference w:id="443"/>
      </w:r>
      <w:r w:rsidR="00D1793F" w:rsidRPr="00D869E3">
        <w:rPr>
          <w:rFonts w:ascii="Verdana" w:hAnsi="Verdana"/>
          <w:sz w:val="20"/>
          <w:szCs w:val="20"/>
          <w:lang w:val="en-US"/>
        </w:rPr>
        <w:t xml:space="preserve"> and in its</w:t>
      </w:r>
      <w:r w:rsidR="003C2143" w:rsidRPr="00D869E3">
        <w:rPr>
          <w:rFonts w:ascii="Verdana" w:hAnsi="Verdana"/>
          <w:sz w:val="20"/>
          <w:szCs w:val="20"/>
          <w:lang w:val="en-US"/>
        </w:rPr>
        <w:t xml:space="preserve"> </w:t>
      </w:r>
      <w:r w:rsidR="00447C65" w:rsidRPr="00D869E3">
        <w:rPr>
          <w:rFonts w:ascii="Verdana" w:hAnsi="Verdana"/>
          <w:sz w:val="20"/>
          <w:szCs w:val="20"/>
          <w:lang w:val="en-US"/>
        </w:rPr>
        <w:t>Article</w:t>
      </w:r>
      <w:r w:rsidR="003C2143" w:rsidRPr="00D869E3">
        <w:rPr>
          <w:rFonts w:ascii="Verdana" w:hAnsi="Verdana"/>
          <w:sz w:val="20"/>
          <w:szCs w:val="20"/>
          <w:lang w:val="en-US"/>
        </w:rPr>
        <w:t xml:space="preserve"> 26, </w:t>
      </w:r>
      <w:r w:rsidR="00D1793F" w:rsidRPr="00D869E3">
        <w:rPr>
          <w:rFonts w:ascii="Verdana" w:hAnsi="Verdana"/>
          <w:sz w:val="20"/>
          <w:szCs w:val="20"/>
          <w:lang w:val="en-US"/>
        </w:rPr>
        <w:t>which leaves the prosecution of violations of the</w:t>
      </w:r>
      <w:r w:rsidR="003C2143" w:rsidRPr="00D869E3">
        <w:rPr>
          <w:rFonts w:ascii="Verdana" w:hAnsi="Verdana"/>
          <w:sz w:val="20"/>
          <w:szCs w:val="20"/>
          <w:lang w:val="en-US"/>
        </w:rPr>
        <w:t xml:space="preserve"> </w:t>
      </w:r>
      <w:r w:rsidR="00ED3FC7" w:rsidRPr="00D869E3">
        <w:rPr>
          <w:rFonts w:ascii="Verdana" w:hAnsi="Verdana"/>
          <w:sz w:val="20"/>
          <w:szCs w:val="20"/>
          <w:lang w:val="en-US"/>
        </w:rPr>
        <w:t>economic, social and cultural rights</w:t>
      </w:r>
      <w:r w:rsidR="006C70C5" w:rsidRPr="00D869E3">
        <w:rPr>
          <w:rFonts w:ascii="Verdana" w:hAnsi="Verdana"/>
          <w:sz w:val="20"/>
          <w:szCs w:val="20"/>
          <w:lang w:val="en-US"/>
        </w:rPr>
        <w:t xml:space="preserve"> to the said sphere</w:t>
      </w:r>
      <w:r w:rsidR="003C2143" w:rsidRPr="00D869E3">
        <w:rPr>
          <w:rFonts w:ascii="Verdana" w:hAnsi="Verdana"/>
          <w:sz w:val="20"/>
          <w:szCs w:val="20"/>
          <w:lang w:val="en-US"/>
        </w:rPr>
        <w:t>.</w:t>
      </w:r>
    </w:p>
    <w:p w14:paraId="170A62B7" w14:textId="77777777" w:rsidR="003C2143" w:rsidRPr="00D869E3" w:rsidRDefault="003C2143" w:rsidP="003C2143">
      <w:pPr>
        <w:jc w:val="both"/>
        <w:rPr>
          <w:rFonts w:ascii="Verdana" w:hAnsi="Verdana"/>
          <w:sz w:val="20"/>
          <w:szCs w:val="20"/>
          <w:lang w:val="en-US"/>
        </w:rPr>
      </w:pPr>
    </w:p>
    <w:p w14:paraId="0479C1D4" w14:textId="77777777" w:rsidR="003C2143" w:rsidRPr="00D869E3" w:rsidRDefault="003C2143" w:rsidP="003C2143">
      <w:pPr>
        <w:jc w:val="right"/>
        <w:rPr>
          <w:rFonts w:ascii="Verdana" w:hAnsi="Verdana"/>
          <w:sz w:val="20"/>
          <w:szCs w:val="20"/>
          <w:lang w:val="en-US"/>
        </w:rPr>
      </w:pPr>
    </w:p>
    <w:p w14:paraId="321759DF" w14:textId="77777777" w:rsidR="003C2143" w:rsidRPr="00D869E3" w:rsidRDefault="003C2143" w:rsidP="00390E29">
      <w:pPr>
        <w:rPr>
          <w:rFonts w:ascii="Verdana" w:hAnsi="Verdana"/>
          <w:sz w:val="20"/>
          <w:szCs w:val="20"/>
          <w:lang w:val="en-US"/>
        </w:rPr>
      </w:pPr>
    </w:p>
    <w:p w14:paraId="44DF7B48" w14:textId="77777777" w:rsidR="003C2143" w:rsidRPr="00D869E3" w:rsidRDefault="003C2143" w:rsidP="003C2143">
      <w:pPr>
        <w:rPr>
          <w:rFonts w:ascii="Verdana" w:hAnsi="Verdana"/>
          <w:sz w:val="20"/>
          <w:szCs w:val="20"/>
          <w:lang w:val="en-US"/>
        </w:rPr>
      </w:pPr>
    </w:p>
    <w:p w14:paraId="4C8946A2" w14:textId="77777777" w:rsidR="003C2143" w:rsidRPr="00D869E3" w:rsidRDefault="003C2143" w:rsidP="003C2143">
      <w:pPr>
        <w:ind w:right="18"/>
        <w:jc w:val="right"/>
        <w:rPr>
          <w:rFonts w:ascii="Verdana" w:hAnsi="Verdana"/>
          <w:sz w:val="20"/>
          <w:szCs w:val="20"/>
          <w:lang w:val="es-CR"/>
        </w:rPr>
      </w:pPr>
      <w:r w:rsidRPr="00D869E3">
        <w:rPr>
          <w:rFonts w:ascii="Verdana" w:hAnsi="Verdana"/>
          <w:sz w:val="20"/>
          <w:szCs w:val="20"/>
          <w:lang w:val="es-CR"/>
        </w:rPr>
        <w:t>Eduardo Vio Grossi</w:t>
      </w:r>
    </w:p>
    <w:p w14:paraId="496787A6" w14:textId="469543C8" w:rsidR="003C2143" w:rsidRPr="00D869E3" w:rsidRDefault="00447C65" w:rsidP="003C2143">
      <w:pPr>
        <w:ind w:right="738"/>
        <w:jc w:val="right"/>
        <w:rPr>
          <w:rFonts w:ascii="Verdana" w:hAnsi="Verdana"/>
          <w:sz w:val="20"/>
          <w:szCs w:val="20"/>
          <w:lang w:val="es-CR"/>
        </w:rPr>
      </w:pPr>
      <w:proofErr w:type="spellStart"/>
      <w:r w:rsidRPr="00D869E3">
        <w:rPr>
          <w:rFonts w:ascii="Verdana" w:hAnsi="Verdana"/>
          <w:sz w:val="20"/>
          <w:szCs w:val="20"/>
          <w:lang w:val="es-CR"/>
        </w:rPr>
        <w:t>Judge</w:t>
      </w:r>
      <w:proofErr w:type="spellEnd"/>
    </w:p>
    <w:p w14:paraId="23CBBA22" w14:textId="77777777" w:rsidR="003C2143" w:rsidRPr="00D869E3" w:rsidRDefault="003C2143" w:rsidP="003C2143">
      <w:pPr>
        <w:jc w:val="right"/>
        <w:rPr>
          <w:rFonts w:ascii="Verdana" w:hAnsi="Verdana"/>
          <w:sz w:val="20"/>
          <w:szCs w:val="20"/>
          <w:lang w:val="es-CR"/>
        </w:rPr>
      </w:pPr>
    </w:p>
    <w:p w14:paraId="10FD78BF" w14:textId="77777777" w:rsidR="003C2143" w:rsidRPr="00D869E3" w:rsidRDefault="003C2143" w:rsidP="003C2143">
      <w:pPr>
        <w:rPr>
          <w:rFonts w:ascii="Verdana" w:hAnsi="Verdana"/>
          <w:b/>
          <w:sz w:val="20"/>
          <w:szCs w:val="20"/>
          <w:lang w:val="es-CR"/>
        </w:rPr>
      </w:pPr>
    </w:p>
    <w:p w14:paraId="670E047C" w14:textId="77777777" w:rsidR="003C2143" w:rsidRPr="00D869E3" w:rsidRDefault="003C2143" w:rsidP="003C2143">
      <w:pPr>
        <w:rPr>
          <w:rFonts w:ascii="Verdana" w:hAnsi="Verdana"/>
          <w:b/>
          <w:sz w:val="20"/>
          <w:szCs w:val="20"/>
          <w:lang w:val="es-CR"/>
        </w:rPr>
      </w:pPr>
    </w:p>
    <w:p w14:paraId="1FCF05BB" w14:textId="77777777" w:rsidR="003C2143" w:rsidRPr="00D869E3" w:rsidRDefault="003C2143" w:rsidP="003C2143">
      <w:pPr>
        <w:rPr>
          <w:rFonts w:ascii="Verdana" w:hAnsi="Verdana"/>
          <w:sz w:val="20"/>
          <w:szCs w:val="20"/>
          <w:lang w:val="es-CR"/>
        </w:rPr>
      </w:pPr>
      <w:r w:rsidRPr="00D869E3">
        <w:rPr>
          <w:rFonts w:ascii="Verdana" w:hAnsi="Verdana"/>
          <w:sz w:val="20"/>
          <w:szCs w:val="20"/>
          <w:lang w:val="es-CR"/>
        </w:rPr>
        <w:t>Pablo Saavedra Alessandri</w:t>
      </w:r>
    </w:p>
    <w:p w14:paraId="641B9400" w14:textId="2DDBE422" w:rsidR="003C2143" w:rsidRPr="00D869E3" w:rsidRDefault="003C2143" w:rsidP="003C2143">
      <w:pPr>
        <w:ind w:firstLine="720"/>
        <w:rPr>
          <w:rFonts w:ascii="Verdana" w:hAnsi="Verdana"/>
          <w:sz w:val="20"/>
          <w:szCs w:val="20"/>
          <w:lang w:val="en-US"/>
        </w:rPr>
      </w:pPr>
      <w:r w:rsidRPr="00D869E3">
        <w:rPr>
          <w:rFonts w:ascii="Verdana" w:hAnsi="Verdana"/>
          <w:sz w:val="20"/>
          <w:szCs w:val="20"/>
          <w:lang w:val="es-CR"/>
        </w:rPr>
        <w:t xml:space="preserve">  </w:t>
      </w:r>
      <w:r w:rsidRPr="00D869E3">
        <w:rPr>
          <w:rFonts w:ascii="Verdana" w:hAnsi="Verdana"/>
          <w:sz w:val="20"/>
          <w:szCs w:val="20"/>
          <w:lang w:val="en-US"/>
        </w:rPr>
        <w:t>Secretar</w:t>
      </w:r>
      <w:r w:rsidR="00003343" w:rsidRPr="00D869E3">
        <w:rPr>
          <w:rFonts w:ascii="Verdana" w:hAnsi="Verdana"/>
          <w:sz w:val="20"/>
          <w:szCs w:val="20"/>
          <w:lang w:val="en-US"/>
        </w:rPr>
        <w:t>y</w:t>
      </w:r>
    </w:p>
    <w:p w14:paraId="11099F44" w14:textId="77777777" w:rsidR="003C2143" w:rsidRPr="00D869E3" w:rsidRDefault="003C2143" w:rsidP="003C2143">
      <w:pPr>
        <w:rPr>
          <w:rFonts w:ascii="Verdana" w:hAnsi="Verdana"/>
          <w:sz w:val="20"/>
          <w:szCs w:val="20"/>
          <w:lang w:val="en-US"/>
        </w:rPr>
      </w:pPr>
    </w:p>
    <w:p w14:paraId="41B8A820" w14:textId="77777777" w:rsidR="00E70701" w:rsidRPr="00D869E3" w:rsidRDefault="00E70701" w:rsidP="00324758">
      <w:pPr>
        <w:pStyle w:val="Prrafodelista"/>
        <w:widowControl w:val="0"/>
        <w:tabs>
          <w:tab w:val="center" w:pos="567"/>
        </w:tabs>
        <w:autoSpaceDE w:val="0"/>
        <w:autoSpaceDN w:val="0"/>
        <w:adjustRightInd w:val="0"/>
        <w:ind w:left="0" w:right="-90"/>
        <w:jc w:val="both"/>
        <w:rPr>
          <w:rFonts w:ascii="Verdana" w:hAnsi="Verdana"/>
          <w:sz w:val="20"/>
          <w:szCs w:val="20"/>
          <w:lang w:val="en-US"/>
        </w:rPr>
        <w:sectPr w:rsidR="00E70701" w:rsidRPr="00D869E3" w:rsidSect="00F83E8F">
          <w:footnotePr>
            <w:numRestart w:val="eachSect"/>
          </w:footnotePr>
          <w:pgSz w:w="12240" w:h="15840" w:code="1"/>
          <w:pgMar w:top="1247" w:right="1247" w:bottom="1247" w:left="1247" w:header="709" w:footer="709" w:gutter="0"/>
          <w:pgNumType w:start="1"/>
          <w:cols w:space="708"/>
          <w:titlePg/>
          <w:docGrid w:linePitch="360"/>
        </w:sectPr>
      </w:pPr>
    </w:p>
    <w:p w14:paraId="73C0FB23" w14:textId="77777777" w:rsidR="00E70701" w:rsidRPr="00D869E3" w:rsidRDefault="00E70701" w:rsidP="00C44F79">
      <w:pPr>
        <w:tabs>
          <w:tab w:val="left" w:pos="709"/>
        </w:tabs>
        <w:jc w:val="center"/>
        <w:rPr>
          <w:rFonts w:ascii="Verdana" w:hAnsi="Verdana"/>
          <w:b/>
          <w:sz w:val="20"/>
          <w:szCs w:val="20"/>
          <w:lang w:val="en-US"/>
        </w:rPr>
      </w:pPr>
    </w:p>
    <w:p w14:paraId="4D6F6F91" w14:textId="419854DB" w:rsidR="00E70701" w:rsidRPr="00D869E3" w:rsidRDefault="00075E68" w:rsidP="00075E68">
      <w:pPr>
        <w:tabs>
          <w:tab w:val="left" w:pos="709"/>
        </w:tabs>
        <w:jc w:val="center"/>
        <w:rPr>
          <w:rFonts w:ascii="Verdana" w:hAnsi="Verdana"/>
          <w:b/>
          <w:sz w:val="20"/>
          <w:szCs w:val="20"/>
          <w:lang w:val="en-US"/>
        </w:rPr>
      </w:pPr>
      <w:r w:rsidRPr="00D869E3">
        <w:rPr>
          <w:rFonts w:ascii="Verdana" w:hAnsi="Verdana"/>
          <w:b/>
          <w:sz w:val="20"/>
          <w:szCs w:val="20"/>
          <w:lang w:val="en-US"/>
        </w:rPr>
        <w:t>PARTIALLY DISSENTING OPINION OF</w:t>
      </w:r>
    </w:p>
    <w:p w14:paraId="4717DF46" w14:textId="16041D7F" w:rsidR="00E70701" w:rsidRPr="00D869E3" w:rsidRDefault="00E70701" w:rsidP="00C44F79">
      <w:pPr>
        <w:tabs>
          <w:tab w:val="left" w:pos="709"/>
        </w:tabs>
        <w:jc w:val="center"/>
        <w:rPr>
          <w:rFonts w:ascii="Verdana" w:hAnsi="Verdana"/>
          <w:b/>
          <w:sz w:val="20"/>
          <w:szCs w:val="20"/>
          <w:lang w:val="en-US"/>
        </w:rPr>
      </w:pPr>
      <w:r w:rsidRPr="00D869E3">
        <w:rPr>
          <w:rFonts w:ascii="Verdana" w:hAnsi="Verdana"/>
          <w:b/>
          <w:sz w:val="20"/>
          <w:szCs w:val="20"/>
          <w:lang w:val="en-US"/>
        </w:rPr>
        <w:t>JU</w:t>
      </w:r>
      <w:r w:rsidR="00075E68" w:rsidRPr="00D869E3">
        <w:rPr>
          <w:rFonts w:ascii="Verdana" w:hAnsi="Verdana"/>
          <w:b/>
          <w:sz w:val="20"/>
          <w:szCs w:val="20"/>
          <w:lang w:val="en-US"/>
        </w:rPr>
        <w:t>DGE</w:t>
      </w:r>
      <w:r w:rsidRPr="00D869E3">
        <w:rPr>
          <w:rFonts w:ascii="Verdana" w:hAnsi="Verdana"/>
          <w:b/>
          <w:sz w:val="20"/>
          <w:szCs w:val="20"/>
          <w:lang w:val="en-US"/>
        </w:rPr>
        <w:t xml:space="preserve"> HUMBERTO ANTONIO SIERRA PORTO</w:t>
      </w:r>
    </w:p>
    <w:p w14:paraId="79DD52D9" w14:textId="77777777" w:rsidR="00E70701" w:rsidRPr="00D869E3" w:rsidRDefault="00E70701" w:rsidP="00C44F79">
      <w:pPr>
        <w:tabs>
          <w:tab w:val="left" w:pos="709"/>
        </w:tabs>
        <w:jc w:val="center"/>
        <w:rPr>
          <w:rFonts w:ascii="Verdana" w:hAnsi="Verdana"/>
          <w:b/>
          <w:sz w:val="20"/>
          <w:szCs w:val="20"/>
          <w:lang w:val="en-US"/>
        </w:rPr>
      </w:pPr>
    </w:p>
    <w:p w14:paraId="3AC0478B" w14:textId="54E317EC" w:rsidR="00E70701" w:rsidRPr="00D869E3" w:rsidRDefault="00447C65" w:rsidP="00C44F79">
      <w:pPr>
        <w:tabs>
          <w:tab w:val="left" w:pos="709"/>
        </w:tabs>
        <w:jc w:val="center"/>
        <w:rPr>
          <w:rFonts w:ascii="Verdana" w:hAnsi="Verdana"/>
          <w:b/>
          <w:sz w:val="20"/>
          <w:szCs w:val="20"/>
          <w:lang w:val="en-US"/>
        </w:rPr>
      </w:pPr>
      <w:r w:rsidRPr="00D869E3">
        <w:rPr>
          <w:rFonts w:ascii="Verdana" w:hAnsi="Verdana"/>
          <w:b/>
          <w:sz w:val="20"/>
          <w:szCs w:val="20"/>
          <w:lang w:val="en-US"/>
        </w:rPr>
        <w:t>JUDGMENT OF</w:t>
      </w:r>
      <w:r w:rsidR="00E70701" w:rsidRPr="00D869E3">
        <w:rPr>
          <w:rFonts w:ascii="Verdana" w:hAnsi="Verdana"/>
          <w:b/>
          <w:sz w:val="20"/>
          <w:szCs w:val="20"/>
          <w:lang w:val="en-US"/>
        </w:rPr>
        <w:t xml:space="preserve"> </w:t>
      </w:r>
      <w:r w:rsidRPr="00D869E3">
        <w:rPr>
          <w:rFonts w:ascii="Verdana" w:hAnsi="Verdana"/>
          <w:b/>
          <w:sz w:val="20"/>
          <w:szCs w:val="20"/>
          <w:lang w:val="en-US"/>
        </w:rPr>
        <w:t>THE INTER-AMERICAN COURT OF HUMAN RIGHTS</w:t>
      </w:r>
    </w:p>
    <w:p w14:paraId="7D856AF2" w14:textId="77777777" w:rsidR="00E70701" w:rsidRPr="00D869E3" w:rsidRDefault="00E70701" w:rsidP="00C44F79">
      <w:pPr>
        <w:tabs>
          <w:tab w:val="left" w:pos="709"/>
        </w:tabs>
        <w:jc w:val="center"/>
        <w:rPr>
          <w:rFonts w:ascii="Verdana" w:hAnsi="Verdana"/>
          <w:b/>
          <w:sz w:val="20"/>
          <w:szCs w:val="20"/>
          <w:lang w:val="en-US"/>
        </w:rPr>
      </w:pPr>
    </w:p>
    <w:p w14:paraId="0264C2C0" w14:textId="1F783A75" w:rsidR="00E70701" w:rsidRPr="00D869E3" w:rsidRDefault="00E70701" w:rsidP="00C44F79">
      <w:pPr>
        <w:tabs>
          <w:tab w:val="left" w:pos="709"/>
        </w:tabs>
        <w:jc w:val="center"/>
        <w:rPr>
          <w:rFonts w:ascii="Verdana" w:hAnsi="Verdana" w:cs="Verdana Bold"/>
          <w:b/>
          <w:bCs/>
          <w:caps/>
          <w:sz w:val="20"/>
          <w:szCs w:val="20"/>
          <w:lang w:val="es-CR"/>
        </w:rPr>
      </w:pPr>
      <w:r w:rsidRPr="00D869E3">
        <w:rPr>
          <w:rFonts w:ascii="Verdana" w:eastAsia="MS Mincho" w:hAnsi="Verdana"/>
          <w:b/>
          <w:sz w:val="20"/>
          <w:szCs w:val="20"/>
          <w:lang w:val="es-CR"/>
        </w:rPr>
        <w:t>CAS</w:t>
      </w:r>
      <w:r w:rsidR="00075E68" w:rsidRPr="00D869E3">
        <w:rPr>
          <w:rFonts w:ascii="Verdana" w:eastAsia="MS Mincho" w:hAnsi="Verdana"/>
          <w:b/>
          <w:sz w:val="20"/>
          <w:szCs w:val="20"/>
          <w:lang w:val="es-CR"/>
        </w:rPr>
        <w:t>E OF</w:t>
      </w:r>
      <w:r w:rsidRPr="00D869E3">
        <w:rPr>
          <w:rFonts w:ascii="Verdana" w:eastAsia="MS Mincho" w:hAnsi="Verdana"/>
          <w:b/>
          <w:sz w:val="20"/>
          <w:szCs w:val="20"/>
          <w:lang w:val="es-CR"/>
        </w:rPr>
        <w:t xml:space="preserve"> LAGOS DEL CAMPO </w:t>
      </w:r>
      <w:r w:rsidR="00447C65" w:rsidRPr="00D869E3">
        <w:rPr>
          <w:rFonts w:ascii="Verdana" w:eastAsia="MS Mincho" w:hAnsi="Verdana"/>
          <w:b/>
          <w:i/>
          <w:sz w:val="20"/>
          <w:szCs w:val="20"/>
          <w:lang w:val="es-CR"/>
        </w:rPr>
        <w:t>v.</w:t>
      </w:r>
      <w:r w:rsidRPr="00D869E3">
        <w:rPr>
          <w:rFonts w:ascii="Verdana" w:eastAsia="MS Mincho" w:hAnsi="Verdana"/>
          <w:b/>
          <w:sz w:val="20"/>
          <w:szCs w:val="20"/>
          <w:lang w:val="es-CR"/>
        </w:rPr>
        <w:t xml:space="preserve"> </w:t>
      </w:r>
      <w:r w:rsidR="00447C65" w:rsidRPr="00D869E3">
        <w:rPr>
          <w:rFonts w:ascii="Verdana" w:eastAsia="MS Mincho" w:hAnsi="Verdana"/>
          <w:b/>
          <w:sz w:val="20"/>
          <w:szCs w:val="20"/>
          <w:lang w:val="es-CR"/>
        </w:rPr>
        <w:t>PERU</w:t>
      </w:r>
    </w:p>
    <w:p w14:paraId="6E8FE463" w14:textId="77777777" w:rsidR="00E70701" w:rsidRPr="00D869E3" w:rsidRDefault="00E70701" w:rsidP="00C44F79">
      <w:pPr>
        <w:tabs>
          <w:tab w:val="left" w:pos="709"/>
        </w:tabs>
        <w:jc w:val="center"/>
        <w:rPr>
          <w:rFonts w:ascii="Verdana" w:hAnsi="Verdana"/>
          <w:b/>
          <w:sz w:val="20"/>
          <w:szCs w:val="20"/>
          <w:lang w:val="es-CR"/>
        </w:rPr>
      </w:pPr>
    </w:p>
    <w:p w14:paraId="2139A35A" w14:textId="796F8FDC" w:rsidR="00E70701" w:rsidRPr="00D869E3" w:rsidRDefault="00447C65" w:rsidP="00C44F79">
      <w:pPr>
        <w:tabs>
          <w:tab w:val="left" w:pos="709"/>
        </w:tabs>
        <w:jc w:val="center"/>
        <w:rPr>
          <w:rFonts w:ascii="Verdana" w:hAnsi="Verdana"/>
          <w:b/>
          <w:sz w:val="20"/>
          <w:szCs w:val="20"/>
          <w:lang w:val="en-US"/>
        </w:rPr>
      </w:pPr>
      <w:r w:rsidRPr="00D869E3">
        <w:rPr>
          <w:rFonts w:ascii="Verdana" w:hAnsi="Verdana"/>
          <w:b/>
          <w:sz w:val="20"/>
          <w:szCs w:val="20"/>
          <w:lang w:val="en-US"/>
        </w:rPr>
        <w:t>JUDGMENT OF</w:t>
      </w:r>
      <w:r w:rsidR="00E70701" w:rsidRPr="00D869E3">
        <w:rPr>
          <w:rFonts w:ascii="Verdana" w:hAnsi="Verdana"/>
          <w:b/>
          <w:sz w:val="20"/>
          <w:szCs w:val="20"/>
          <w:lang w:val="en-US"/>
        </w:rPr>
        <w:t xml:space="preserve"> </w:t>
      </w:r>
      <w:r w:rsidR="00075E68" w:rsidRPr="00D869E3">
        <w:rPr>
          <w:rFonts w:ascii="Verdana" w:hAnsi="Verdana"/>
          <w:b/>
          <w:sz w:val="20"/>
          <w:szCs w:val="20"/>
          <w:lang w:val="en-US"/>
        </w:rPr>
        <w:t xml:space="preserve">AUGUST 31, </w:t>
      </w:r>
      <w:r w:rsidR="00E70701" w:rsidRPr="00D869E3">
        <w:rPr>
          <w:rFonts w:ascii="Verdana" w:hAnsi="Verdana"/>
          <w:b/>
          <w:sz w:val="20"/>
          <w:szCs w:val="20"/>
          <w:lang w:val="en-US"/>
        </w:rPr>
        <w:t>2017</w:t>
      </w:r>
    </w:p>
    <w:p w14:paraId="3B3C87FE" w14:textId="77777777" w:rsidR="00E70701" w:rsidRPr="00D869E3" w:rsidRDefault="00E70701" w:rsidP="00C44F79">
      <w:pPr>
        <w:tabs>
          <w:tab w:val="left" w:pos="709"/>
        </w:tabs>
        <w:jc w:val="center"/>
        <w:rPr>
          <w:rFonts w:ascii="Verdana" w:hAnsi="Verdana"/>
          <w:b/>
          <w:sz w:val="20"/>
          <w:szCs w:val="20"/>
          <w:lang w:val="en-US"/>
        </w:rPr>
      </w:pPr>
    </w:p>
    <w:p w14:paraId="1C39DC04" w14:textId="6990FD20" w:rsidR="00E70701" w:rsidRPr="00D869E3" w:rsidRDefault="00E70701" w:rsidP="00C44F79">
      <w:pPr>
        <w:tabs>
          <w:tab w:val="left" w:pos="709"/>
        </w:tabs>
        <w:jc w:val="center"/>
        <w:rPr>
          <w:rFonts w:ascii="Verdana" w:hAnsi="Verdana"/>
          <w:b/>
          <w:i/>
          <w:sz w:val="20"/>
          <w:szCs w:val="20"/>
          <w:lang w:val="en-US"/>
        </w:rPr>
      </w:pPr>
      <w:r w:rsidRPr="00D869E3">
        <w:rPr>
          <w:rFonts w:ascii="Verdana" w:hAnsi="Verdana"/>
          <w:b/>
          <w:i/>
          <w:sz w:val="20"/>
          <w:szCs w:val="20"/>
          <w:lang w:val="en-US"/>
        </w:rPr>
        <w:t>(</w:t>
      </w:r>
      <w:r w:rsidR="00447C65" w:rsidRPr="00D869E3">
        <w:rPr>
          <w:rFonts w:ascii="Verdana" w:hAnsi="Verdana"/>
          <w:b/>
          <w:i/>
          <w:sz w:val="20"/>
          <w:szCs w:val="20"/>
          <w:lang w:val="en-US"/>
        </w:rPr>
        <w:t>Preliminary objections, merits, reparations and costs</w:t>
      </w:r>
      <w:r w:rsidRPr="00D869E3">
        <w:rPr>
          <w:rFonts w:ascii="Verdana" w:hAnsi="Verdana"/>
          <w:b/>
          <w:i/>
          <w:sz w:val="20"/>
          <w:szCs w:val="20"/>
          <w:lang w:val="en-US"/>
        </w:rPr>
        <w:t>)</w:t>
      </w:r>
    </w:p>
    <w:p w14:paraId="72BA3687" w14:textId="77777777" w:rsidR="00E70701" w:rsidRPr="00D869E3" w:rsidRDefault="00E70701" w:rsidP="00C44F79">
      <w:pPr>
        <w:jc w:val="both"/>
        <w:rPr>
          <w:rFonts w:ascii="Verdana" w:hAnsi="Verdana" w:cs="Arial"/>
          <w:sz w:val="20"/>
          <w:szCs w:val="20"/>
          <w:lang w:val="en-US"/>
        </w:rPr>
      </w:pPr>
    </w:p>
    <w:p w14:paraId="0DC26C3C" w14:textId="77777777" w:rsidR="00075E68" w:rsidRPr="00D869E3" w:rsidRDefault="00075E68" w:rsidP="00C44F79">
      <w:pPr>
        <w:jc w:val="both"/>
        <w:rPr>
          <w:rFonts w:ascii="Verdana" w:hAnsi="Verdana" w:cs="Arial"/>
          <w:sz w:val="20"/>
          <w:szCs w:val="20"/>
          <w:lang w:val="en-US"/>
        </w:rPr>
      </w:pPr>
    </w:p>
    <w:p w14:paraId="6CCAD845" w14:textId="72479575" w:rsidR="00E70701" w:rsidRPr="00D869E3" w:rsidRDefault="00E231DF" w:rsidP="00C44F79">
      <w:pPr>
        <w:jc w:val="both"/>
        <w:rPr>
          <w:rFonts w:ascii="Verdana" w:hAnsi="Verdana" w:cs="Arial"/>
          <w:sz w:val="20"/>
          <w:szCs w:val="20"/>
          <w:lang w:val="en-US"/>
        </w:rPr>
      </w:pPr>
      <w:r w:rsidRPr="00D869E3">
        <w:rPr>
          <w:rFonts w:ascii="Verdana" w:hAnsi="Verdana" w:cs="Arial"/>
          <w:sz w:val="20"/>
          <w:szCs w:val="20"/>
          <w:lang w:val="en-US"/>
        </w:rPr>
        <w:t>With the usual respect for the decision of the Court, allow me to submit the following partially dissenting opinion in the above case, which will be presented in the following order:</w:t>
      </w:r>
    </w:p>
    <w:p w14:paraId="3CD7B93E" w14:textId="77777777" w:rsidR="00E70701" w:rsidRPr="00D869E3" w:rsidRDefault="00E70701" w:rsidP="00C44F79">
      <w:pPr>
        <w:jc w:val="both"/>
        <w:rPr>
          <w:rFonts w:ascii="Verdana" w:hAnsi="Verdana" w:cs="Arial"/>
          <w:sz w:val="20"/>
          <w:szCs w:val="20"/>
          <w:lang w:val="en-US"/>
        </w:rPr>
      </w:pPr>
    </w:p>
    <w:p w14:paraId="3AEA41D6" w14:textId="33DACA7B" w:rsidR="00E70701" w:rsidRPr="00D869E3" w:rsidRDefault="00E70701" w:rsidP="00E70701">
      <w:pPr>
        <w:pStyle w:val="Prrafodelista"/>
        <w:numPr>
          <w:ilvl w:val="0"/>
          <w:numId w:val="36"/>
        </w:numPr>
        <w:jc w:val="both"/>
        <w:rPr>
          <w:rFonts w:ascii="Verdana" w:hAnsi="Verdana" w:cs="Arial"/>
          <w:b/>
          <w:sz w:val="20"/>
          <w:szCs w:val="20"/>
          <w:lang w:val="en-US"/>
        </w:rPr>
      </w:pPr>
      <w:r w:rsidRPr="00D869E3">
        <w:rPr>
          <w:rFonts w:ascii="Verdana" w:hAnsi="Verdana" w:cs="Arial"/>
          <w:b/>
          <w:sz w:val="20"/>
          <w:szCs w:val="20"/>
          <w:lang w:val="en-US"/>
        </w:rPr>
        <w:t>INTRODUC</w:t>
      </w:r>
      <w:r w:rsidR="00075E68" w:rsidRPr="00D869E3">
        <w:rPr>
          <w:rFonts w:ascii="Verdana" w:hAnsi="Verdana" w:cs="Arial"/>
          <w:b/>
          <w:sz w:val="20"/>
          <w:szCs w:val="20"/>
          <w:lang w:val="en-US"/>
        </w:rPr>
        <w:t>TIO</w:t>
      </w:r>
      <w:r w:rsidRPr="00D869E3">
        <w:rPr>
          <w:rFonts w:ascii="Verdana" w:hAnsi="Verdana" w:cs="Arial"/>
          <w:b/>
          <w:sz w:val="20"/>
          <w:szCs w:val="20"/>
          <w:lang w:val="en-US"/>
        </w:rPr>
        <w:t>N</w:t>
      </w:r>
    </w:p>
    <w:p w14:paraId="47EC7F11" w14:textId="77777777" w:rsidR="00E70701" w:rsidRPr="00D869E3" w:rsidRDefault="00E70701" w:rsidP="00C44F79">
      <w:pPr>
        <w:jc w:val="both"/>
        <w:rPr>
          <w:rFonts w:ascii="Verdana" w:hAnsi="Verdana" w:cs="Arial"/>
          <w:sz w:val="20"/>
          <w:szCs w:val="20"/>
          <w:lang w:val="en-US"/>
        </w:rPr>
      </w:pPr>
    </w:p>
    <w:p w14:paraId="56D37E39" w14:textId="6BDC79FD" w:rsidR="00E70701" w:rsidRPr="00D869E3" w:rsidRDefault="00E231DF" w:rsidP="00E35927">
      <w:pPr>
        <w:pStyle w:val="Prrafodelista"/>
        <w:numPr>
          <w:ilvl w:val="0"/>
          <w:numId w:val="37"/>
        </w:numPr>
        <w:ind w:left="0" w:firstLine="0"/>
        <w:jc w:val="both"/>
        <w:rPr>
          <w:rFonts w:ascii="Verdana" w:hAnsi="Verdana" w:cs="Arial"/>
          <w:sz w:val="20"/>
          <w:szCs w:val="20"/>
          <w:lang w:val="en-US"/>
        </w:rPr>
      </w:pPr>
      <w:r w:rsidRPr="00D869E3">
        <w:rPr>
          <w:rFonts w:ascii="Verdana" w:hAnsi="Verdana" w:cs="Arial"/>
          <w:sz w:val="20"/>
          <w:szCs w:val="20"/>
          <w:lang w:val="en-US"/>
        </w:rPr>
        <w:t>The intention of this partially dissenting opinion is to present</w:t>
      </w:r>
      <w:r w:rsidR="00E35927" w:rsidRPr="00D869E3">
        <w:rPr>
          <w:rFonts w:ascii="Verdana" w:hAnsi="Verdana" w:cs="Arial"/>
          <w:sz w:val="20"/>
          <w:szCs w:val="20"/>
          <w:lang w:val="en-US"/>
        </w:rPr>
        <w:t>, in detail, the reasons why I voted against the fifth operative paragraph of the j</w:t>
      </w:r>
      <w:r w:rsidR="00447C65" w:rsidRPr="00D869E3">
        <w:rPr>
          <w:rFonts w:ascii="Verdana" w:hAnsi="Verdana" w:cs="Arial"/>
          <w:sz w:val="20"/>
          <w:szCs w:val="20"/>
          <w:lang w:val="en-US"/>
        </w:rPr>
        <w:t xml:space="preserve">udgment </w:t>
      </w:r>
      <w:r w:rsidR="00E35927" w:rsidRPr="00D869E3">
        <w:rPr>
          <w:rFonts w:ascii="Verdana" w:hAnsi="Verdana" w:cs="Arial"/>
          <w:sz w:val="20"/>
          <w:szCs w:val="20"/>
          <w:lang w:val="en-US"/>
        </w:rPr>
        <w:t>in the</w:t>
      </w:r>
      <w:r w:rsidR="00E70701" w:rsidRPr="00D869E3">
        <w:rPr>
          <w:rFonts w:ascii="Verdana" w:hAnsi="Verdana" w:cs="Arial"/>
          <w:sz w:val="20"/>
          <w:szCs w:val="20"/>
          <w:lang w:val="en-US"/>
        </w:rPr>
        <w:t xml:space="preserve"> </w:t>
      </w:r>
      <w:r w:rsidR="00447C65" w:rsidRPr="00D869E3">
        <w:rPr>
          <w:rFonts w:ascii="Verdana" w:hAnsi="Verdana" w:cs="Arial"/>
          <w:i/>
          <w:sz w:val="20"/>
          <w:szCs w:val="20"/>
          <w:lang w:val="en-US"/>
        </w:rPr>
        <w:t>Case of</w:t>
      </w:r>
      <w:r w:rsidR="00E70701" w:rsidRPr="00D869E3">
        <w:rPr>
          <w:rFonts w:ascii="Verdana" w:hAnsi="Verdana" w:cs="Arial"/>
          <w:i/>
          <w:sz w:val="20"/>
          <w:szCs w:val="20"/>
          <w:lang w:val="en-US"/>
        </w:rPr>
        <w:t xml:space="preserve"> Lagos del Campo </w:t>
      </w:r>
      <w:r w:rsidR="00447C65" w:rsidRPr="00D869E3">
        <w:rPr>
          <w:rFonts w:ascii="Verdana" w:hAnsi="Verdana" w:cs="Arial"/>
          <w:i/>
          <w:sz w:val="20"/>
          <w:szCs w:val="20"/>
          <w:lang w:val="en-US"/>
        </w:rPr>
        <w:t>v.</w:t>
      </w:r>
      <w:r w:rsidR="00E70701" w:rsidRPr="00D869E3">
        <w:rPr>
          <w:rFonts w:ascii="Verdana" w:hAnsi="Verdana" w:cs="Arial"/>
          <w:i/>
          <w:sz w:val="20"/>
          <w:szCs w:val="20"/>
          <w:lang w:val="en-US"/>
        </w:rPr>
        <w:t xml:space="preserve"> </w:t>
      </w:r>
      <w:r w:rsidR="00447C65" w:rsidRPr="00D869E3">
        <w:rPr>
          <w:rFonts w:ascii="Verdana" w:hAnsi="Verdana" w:cs="Arial"/>
          <w:i/>
          <w:sz w:val="20"/>
          <w:szCs w:val="20"/>
          <w:lang w:val="en-US"/>
        </w:rPr>
        <w:t>Peru</w:t>
      </w:r>
      <w:r w:rsidR="00E70701" w:rsidRPr="00D869E3">
        <w:rPr>
          <w:rFonts w:ascii="Verdana" w:hAnsi="Verdana" w:cs="Arial"/>
          <w:sz w:val="20"/>
          <w:szCs w:val="20"/>
          <w:lang w:val="en-US"/>
        </w:rPr>
        <w:t xml:space="preserve">. </w:t>
      </w:r>
      <w:r w:rsidR="00E35927" w:rsidRPr="00D869E3">
        <w:rPr>
          <w:rFonts w:ascii="Verdana" w:hAnsi="Verdana" w:cs="Arial"/>
          <w:sz w:val="20"/>
          <w:szCs w:val="20"/>
          <w:lang w:val="en-US"/>
        </w:rPr>
        <w:t xml:space="preserve">My position with regard to making the so-called </w:t>
      </w:r>
      <w:r w:rsidR="00ED3FC7" w:rsidRPr="00D869E3">
        <w:rPr>
          <w:rFonts w:ascii="Verdana" w:hAnsi="Verdana" w:cs="Arial"/>
          <w:sz w:val="20"/>
          <w:szCs w:val="20"/>
          <w:lang w:val="en-US"/>
        </w:rPr>
        <w:t>economic, social and cultural rights</w:t>
      </w:r>
      <w:r w:rsidR="00E70701" w:rsidRPr="00D869E3">
        <w:rPr>
          <w:rFonts w:ascii="Verdana" w:hAnsi="Verdana" w:cs="Arial"/>
          <w:sz w:val="20"/>
          <w:szCs w:val="20"/>
          <w:lang w:val="en-US"/>
        </w:rPr>
        <w:t xml:space="preserve"> (</w:t>
      </w:r>
      <w:r w:rsidR="00E35927" w:rsidRPr="00D869E3">
        <w:rPr>
          <w:rFonts w:ascii="Verdana" w:hAnsi="Verdana" w:cs="Arial"/>
          <w:sz w:val="20"/>
          <w:szCs w:val="20"/>
          <w:lang w:val="en-US"/>
        </w:rPr>
        <w:t>ESCR</w:t>
      </w:r>
      <w:r w:rsidR="00E70701" w:rsidRPr="00D869E3">
        <w:rPr>
          <w:rFonts w:ascii="Verdana" w:hAnsi="Verdana" w:cs="Arial"/>
          <w:sz w:val="20"/>
          <w:szCs w:val="20"/>
          <w:lang w:val="en-US"/>
        </w:rPr>
        <w:t xml:space="preserve">) </w:t>
      </w:r>
      <w:r w:rsidR="00E35927" w:rsidRPr="00D869E3">
        <w:rPr>
          <w:rFonts w:ascii="Verdana" w:hAnsi="Verdana" w:cs="Arial"/>
          <w:sz w:val="20"/>
          <w:szCs w:val="20"/>
          <w:lang w:val="en-US"/>
        </w:rPr>
        <w:t xml:space="preserve">justiciable by a direct application </w:t>
      </w:r>
      <w:r w:rsidR="00687684" w:rsidRPr="00D869E3">
        <w:rPr>
          <w:rFonts w:ascii="Verdana" w:hAnsi="Verdana" w:cs="Arial"/>
          <w:sz w:val="20"/>
          <w:szCs w:val="20"/>
          <w:lang w:val="en-US"/>
        </w:rPr>
        <w:t>of Article</w:t>
      </w:r>
      <w:r w:rsidR="00E70701" w:rsidRPr="00D869E3">
        <w:rPr>
          <w:rFonts w:ascii="Verdana" w:hAnsi="Verdana" w:cs="Arial"/>
          <w:sz w:val="20"/>
          <w:szCs w:val="20"/>
          <w:lang w:val="en-US"/>
        </w:rPr>
        <w:t xml:space="preserve"> 26</w:t>
      </w:r>
      <w:r w:rsidR="00447C65" w:rsidRPr="00D869E3">
        <w:rPr>
          <w:rFonts w:ascii="Verdana" w:hAnsi="Verdana" w:cs="Arial"/>
          <w:sz w:val="20"/>
          <w:szCs w:val="20"/>
          <w:lang w:val="en-US"/>
        </w:rPr>
        <w:t xml:space="preserve"> of the American Convention on Human Rights</w:t>
      </w:r>
      <w:r w:rsidR="00E70701" w:rsidRPr="00D869E3">
        <w:rPr>
          <w:rFonts w:ascii="Verdana" w:hAnsi="Verdana" w:cs="Arial"/>
          <w:sz w:val="20"/>
          <w:szCs w:val="20"/>
          <w:lang w:val="en-US"/>
        </w:rPr>
        <w:t xml:space="preserve"> (</w:t>
      </w:r>
      <w:r w:rsidR="00E35927" w:rsidRPr="00D869E3">
        <w:rPr>
          <w:rFonts w:ascii="Verdana" w:hAnsi="Verdana" w:cs="Arial"/>
          <w:sz w:val="20"/>
          <w:szCs w:val="20"/>
          <w:lang w:val="en-US"/>
        </w:rPr>
        <w:t>ACHR</w:t>
      </w:r>
      <w:r w:rsidR="00E70701" w:rsidRPr="00D869E3">
        <w:rPr>
          <w:rFonts w:ascii="Verdana" w:hAnsi="Verdana" w:cs="Arial"/>
          <w:sz w:val="20"/>
          <w:szCs w:val="20"/>
          <w:lang w:val="en-US"/>
        </w:rPr>
        <w:t>)</w:t>
      </w:r>
      <w:r w:rsidR="00E35927" w:rsidRPr="00D869E3">
        <w:rPr>
          <w:rFonts w:ascii="Verdana" w:hAnsi="Verdana" w:cs="Arial"/>
          <w:sz w:val="20"/>
          <w:szCs w:val="20"/>
          <w:lang w:val="en-US"/>
        </w:rPr>
        <w:t xml:space="preserve"> is already known, in </w:t>
      </w:r>
      <w:r w:rsidR="0034768C" w:rsidRPr="00D869E3">
        <w:rPr>
          <w:rFonts w:ascii="Verdana" w:hAnsi="Verdana" w:cs="Arial"/>
          <w:sz w:val="20"/>
          <w:szCs w:val="20"/>
          <w:lang w:val="en-US"/>
        </w:rPr>
        <w:t>light</w:t>
      </w:r>
      <w:r w:rsidR="00E35927" w:rsidRPr="00D869E3">
        <w:rPr>
          <w:rFonts w:ascii="Verdana" w:hAnsi="Verdana" w:cs="Arial"/>
          <w:sz w:val="20"/>
          <w:szCs w:val="20"/>
          <w:lang w:val="en-US"/>
        </w:rPr>
        <w:t xml:space="preserve"> of the fact that two years ago I submitted a concurring opinion on this matter in the </w:t>
      </w:r>
      <w:r w:rsidR="00447C65" w:rsidRPr="00D869E3">
        <w:rPr>
          <w:rFonts w:ascii="Verdana" w:hAnsi="Verdana" w:cs="Arial"/>
          <w:i/>
          <w:sz w:val="20"/>
          <w:szCs w:val="20"/>
          <w:lang w:val="en-US"/>
        </w:rPr>
        <w:t>Case of</w:t>
      </w:r>
      <w:r w:rsidR="00E70701" w:rsidRPr="00D869E3">
        <w:rPr>
          <w:rFonts w:ascii="Verdana" w:hAnsi="Verdana" w:cs="Arial"/>
          <w:i/>
          <w:sz w:val="20"/>
          <w:szCs w:val="20"/>
          <w:lang w:val="en-US"/>
        </w:rPr>
        <w:t xml:space="preserve"> González Lluy</w:t>
      </w:r>
      <w:r w:rsidR="00687684" w:rsidRPr="00D869E3">
        <w:rPr>
          <w:rFonts w:ascii="Verdana" w:hAnsi="Verdana" w:cs="Arial"/>
          <w:i/>
          <w:sz w:val="20"/>
          <w:szCs w:val="20"/>
          <w:lang w:val="en-US"/>
        </w:rPr>
        <w:t xml:space="preserve"> </w:t>
      </w:r>
      <w:r w:rsidR="00301DBE" w:rsidRPr="00D869E3">
        <w:rPr>
          <w:rFonts w:ascii="Verdana" w:hAnsi="Verdana" w:cs="Arial"/>
          <w:i/>
          <w:sz w:val="20"/>
          <w:szCs w:val="20"/>
          <w:lang w:val="en-US"/>
        </w:rPr>
        <w:t>et al. v.</w:t>
      </w:r>
      <w:r w:rsidR="00E70701" w:rsidRPr="00D869E3">
        <w:rPr>
          <w:rFonts w:ascii="Verdana" w:hAnsi="Verdana" w:cs="Arial"/>
          <w:i/>
          <w:sz w:val="20"/>
          <w:szCs w:val="20"/>
          <w:lang w:val="en-US"/>
        </w:rPr>
        <w:t xml:space="preserve"> Ecuador</w:t>
      </w:r>
      <w:r w:rsidR="00E70701" w:rsidRPr="00D869E3">
        <w:rPr>
          <w:rFonts w:ascii="Verdana" w:hAnsi="Verdana" w:cs="Arial"/>
          <w:sz w:val="20"/>
          <w:szCs w:val="20"/>
          <w:lang w:val="en-US"/>
        </w:rPr>
        <w:t xml:space="preserve">. </w:t>
      </w:r>
      <w:r w:rsidR="00E35927" w:rsidRPr="00D869E3">
        <w:rPr>
          <w:rFonts w:ascii="Verdana" w:hAnsi="Verdana" w:cs="Arial"/>
          <w:sz w:val="20"/>
          <w:szCs w:val="20"/>
          <w:lang w:val="en-US"/>
        </w:rPr>
        <w:t>On that occasion, I indicated the legal arguments that substantiate</w:t>
      </w:r>
      <w:r w:rsidR="0034768C" w:rsidRPr="00D869E3">
        <w:rPr>
          <w:rFonts w:ascii="Verdana" w:hAnsi="Verdana" w:cs="Arial"/>
          <w:sz w:val="20"/>
          <w:szCs w:val="20"/>
          <w:lang w:val="en-US"/>
        </w:rPr>
        <w:t>d</w:t>
      </w:r>
      <w:r w:rsidR="00E35927" w:rsidRPr="00D869E3">
        <w:rPr>
          <w:rFonts w:ascii="Verdana" w:hAnsi="Verdana" w:cs="Arial"/>
          <w:sz w:val="20"/>
          <w:szCs w:val="20"/>
          <w:lang w:val="en-US"/>
        </w:rPr>
        <w:t xml:space="preserve"> my position in the hope that they would become part of the internal and external debate on the applicability of the said article of the Convention, but also in order to dissuade those who advocated for the step that </w:t>
      </w:r>
      <w:r w:rsidR="00671B14" w:rsidRPr="00D869E3">
        <w:rPr>
          <w:rFonts w:ascii="Verdana" w:hAnsi="Verdana" w:cs="Arial"/>
          <w:sz w:val="20"/>
          <w:szCs w:val="20"/>
          <w:lang w:val="en-US"/>
        </w:rPr>
        <w:t>the Inter-American Court</w:t>
      </w:r>
      <w:r w:rsidR="00E70701" w:rsidRPr="00D869E3">
        <w:rPr>
          <w:rFonts w:ascii="Verdana" w:hAnsi="Verdana" w:cs="Arial"/>
          <w:sz w:val="20"/>
          <w:szCs w:val="20"/>
          <w:lang w:val="en-US"/>
        </w:rPr>
        <w:t xml:space="preserve"> ha</w:t>
      </w:r>
      <w:r w:rsidR="00E35927" w:rsidRPr="00D869E3">
        <w:rPr>
          <w:rFonts w:ascii="Verdana" w:hAnsi="Verdana" w:cs="Arial"/>
          <w:sz w:val="20"/>
          <w:szCs w:val="20"/>
          <w:lang w:val="en-US"/>
        </w:rPr>
        <w:t>s taken in this judgment.</w:t>
      </w:r>
    </w:p>
    <w:p w14:paraId="0A9E42C0" w14:textId="77777777" w:rsidR="00E70701" w:rsidRPr="00D869E3" w:rsidRDefault="00E70701" w:rsidP="00C44F79">
      <w:pPr>
        <w:pStyle w:val="Prrafodelista"/>
        <w:ind w:left="0"/>
        <w:jc w:val="both"/>
        <w:rPr>
          <w:rFonts w:ascii="Verdana" w:hAnsi="Verdana" w:cs="Arial"/>
          <w:sz w:val="20"/>
          <w:szCs w:val="20"/>
          <w:lang w:val="en-US"/>
        </w:rPr>
      </w:pPr>
    </w:p>
    <w:p w14:paraId="4D895F4B" w14:textId="4A907A57" w:rsidR="00F42CF0" w:rsidRPr="00D869E3" w:rsidRDefault="00F42CF0" w:rsidP="00E70701">
      <w:pPr>
        <w:pStyle w:val="Prrafodelista"/>
        <w:numPr>
          <w:ilvl w:val="0"/>
          <w:numId w:val="37"/>
        </w:numPr>
        <w:ind w:left="0" w:firstLine="0"/>
        <w:jc w:val="both"/>
        <w:rPr>
          <w:rFonts w:ascii="Verdana" w:hAnsi="Verdana" w:cs="Arial"/>
          <w:sz w:val="20"/>
          <w:szCs w:val="20"/>
          <w:lang w:val="en-US"/>
        </w:rPr>
      </w:pPr>
      <w:r w:rsidRPr="00D869E3">
        <w:rPr>
          <w:rFonts w:ascii="Verdana" w:hAnsi="Verdana" w:cs="Arial"/>
          <w:sz w:val="20"/>
          <w:szCs w:val="20"/>
          <w:lang w:val="en-US"/>
        </w:rPr>
        <w:t>This does not mean that, in general, I am contrary to the thesis that the ESCR</w:t>
      </w:r>
      <w:r w:rsidR="00E70701" w:rsidRPr="00D869E3">
        <w:rPr>
          <w:rFonts w:ascii="Verdana" w:hAnsi="Verdana" w:cs="Arial"/>
          <w:sz w:val="20"/>
          <w:szCs w:val="20"/>
          <w:lang w:val="en-US"/>
        </w:rPr>
        <w:t xml:space="preserve"> </w:t>
      </w:r>
      <w:r w:rsidRPr="00D869E3">
        <w:rPr>
          <w:rFonts w:ascii="Verdana" w:hAnsi="Verdana" w:cs="Arial"/>
          <w:sz w:val="20"/>
          <w:szCs w:val="20"/>
          <w:lang w:val="en-US"/>
        </w:rPr>
        <w:t>are justiciable</w:t>
      </w:r>
      <w:r w:rsidR="00E70701" w:rsidRPr="00D869E3">
        <w:rPr>
          <w:rFonts w:ascii="Verdana" w:hAnsi="Verdana" w:cs="Arial"/>
          <w:sz w:val="20"/>
          <w:szCs w:val="20"/>
          <w:lang w:val="en-US"/>
        </w:rPr>
        <w:t xml:space="preserve"> </w:t>
      </w:r>
      <w:r w:rsidR="00881A39" w:rsidRPr="00D869E3">
        <w:rPr>
          <w:rFonts w:ascii="Verdana" w:hAnsi="Verdana" w:cs="Arial"/>
          <w:sz w:val="20"/>
          <w:szCs w:val="20"/>
          <w:lang w:val="en-US"/>
        </w:rPr>
        <w:t>rights</w:t>
      </w:r>
      <w:r w:rsidRPr="00D869E3">
        <w:rPr>
          <w:rFonts w:ascii="Verdana" w:hAnsi="Verdana" w:cs="Arial"/>
          <w:sz w:val="20"/>
          <w:szCs w:val="20"/>
          <w:lang w:val="en-US"/>
        </w:rPr>
        <w:t>. To the contrary, during my time as a member of</w:t>
      </w:r>
      <w:r w:rsidR="00E70701" w:rsidRPr="00D869E3">
        <w:rPr>
          <w:rFonts w:ascii="Verdana" w:hAnsi="Verdana" w:cs="Arial"/>
          <w:sz w:val="20"/>
          <w:szCs w:val="20"/>
          <w:lang w:val="en-US"/>
        </w:rPr>
        <w:t xml:space="preserve"> </w:t>
      </w:r>
      <w:r w:rsidR="00447C65" w:rsidRPr="00D869E3">
        <w:rPr>
          <w:rFonts w:ascii="Verdana" w:hAnsi="Verdana" w:cs="Arial"/>
          <w:sz w:val="20"/>
          <w:szCs w:val="20"/>
          <w:lang w:val="en-US"/>
        </w:rPr>
        <w:t xml:space="preserve">the </w:t>
      </w:r>
      <w:r w:rsidRPr="00D869E3">
        <w:rPr>
          <w:rFonts w:ascii="Verdana" w:hAnsi="Verdana" w:cs="Arial"/>
          <w:sz w:val="20"/>
          <w:szCs w:val="20"/>
          <w:lang w:val="en-US"/>
        </w:rPr>
        <w:t xml:space="preserve">Colombian </w:t>
      </w:r>
      <w:r w:rsidR="00674572" w:rsidRPr="00D869E3">
        <w:rPr>
          <w:rFonts w:ascii="Verdana" w:hAnsi="Verdana" w:cs="Arial"/>
          <w:sz w:val="20"/>
          <w:szCs w:val="20"/>
          <w:lang w:val="en-US"/>
        </w:rPr>
        <w:t>Constitutional Court</w:t>
      </w:r>
      <w:r w:rsidR="00E70701" w:rsidRPr="00D869E3">
        <w:rPr>
          <w:rFonts w:ascii="Verdana" w:hAnsi="Verdana" w:cs="Arial"/>
          <w:sz w:val="20"/>
          <w:szCs w:val="20"/>
          <w:lang w:val="en-US"/>
        </w:rPr>
        <w:t xml:space="preserve"> </w:t>
      </w:r>
      <w:r w:rsidRPr="00D869E3">
        <w:rPr>
          <w:rFonts w:ascii="Verdana" w:hAnsi="Verdana" w:cs="Arial"/>
          <w:sz w:val="20"/>
          <w:szCs w:val="20"/>
          <w:lang w:val="en-US"/>
        </w:rPr>
        <w:t>I had occasion to contribute to the development of case law on the nature of fundamental rights and, therefore, the</w:t>
      </w:r>
      <w:r w:rsidR="0034768C" w:rsidRPr="00D869E3">
        <w:rPr>
          <w:rFonts w:ascii="Verdana" w:hAnsi="Verdana" w:cs="Arial"/>
          <w:sz w:val="20"/>
          <w:szCs w:val="20"/>
          <w:lang w:val="en-US"/>
        </w:rPr>
        <w:t>ir</w:t>
      </w:r>
      <w:r w:rsidRPr="00D869E3">
        <w:rPr>
          <w:rFonts w:ascii="Verdana" w:hAnsi="Verdana" w:cs="Arial"/>
          <w:sz w:val="20"/>
          <w:szCs w:val="20"/>
          <w:lang w:val="en-US"/>
        </w:rPr>
        <w:t xml:space="preserve"> enforceability by</w:t>
      </w:r>
      <w:r w:rsidR="0034768C" w:rsidRPr="00D869E3">
        <w:rPr>
          <w:rFonts w:ascii="Verdana" w:hAnsi="Verdana" w:cs="Arial"/>
          <w:sz w:val="20"/>
          <w:szCs w:val="20"/>
          <w:lang w:val="en-US"/>
        </w:rPr>
        <w:t xml:space="preserve"> means of</w:t>
      </w:r>
      <w:r w:rsidRPr="00D869E3">
        <w:rPr>
          <w:rFonts w:ascii="Verdana" w:hAnsi="Verdana" w:cs="Arial"/>
          <w:sz w:val="20"/>
          <w:szCs w:val="20"/>
          <w:lang w:val="en-US"/>
        </w:rPr>
        <w:t xml:space="preserve"> the action </w:t>
      </w:r>
      <w:r w:rsidR="0034768C" w:rsidRPr="00D869E3">
        <w:rPr>
          <w:rFonts w:ascii="Verdana" w:hAnsi="Verdana" w:cs="Arial"/>
          <w:sz w:val="20"/>
          <w:szCs w:val="20"/>
          <w:lang w:val="en-US"/>
        </w:rPr>
        <w:t>for the</w:t>
      </w:r>
      <w:r w:rsidRPr="00D869E3">
        <w:rPr>
          <w:rFonts w:ascii="Verdana" w:hAnsi="Verdana" w:cs="Arial"/>
          <w:sz w:val="20"/>
          <w:szCs w:val="20"/>
          <w:lang w:val="en-US"/>
        </w:rPr>
        <w:t xml:space="preserve"> protect</w:t>
      </w:r>
      <w:r w:rsidR="0034768C" w:rsidRPr="00D869E3">
        <w:rPr>
          <w:rFonts w:ascii="Verdana" w:hAnsi="Verdana" w:cs="Arial"/>
          <w:sz w:val="20"/>
          <w:szCs w:val="20"/>
          <w:lang w:val="en-US"/>
        </w:rPr>
        <w:t>ion of</w:t>
      </w:r>
      <w:r w:rsidRPr="00D869E3">
        <w:rPr>
          <w:rFonts w:ascii="Verdana" w:hAnsi="Verdana" w:cs="Arial"/>
          <w:sz w:val="20"/>
          <w:szCs w:val="20"/>
          <w:lang w:val="en-US"/>
        </w:rPr>
        <w:t xml:space="preserve"> the right to health, the right to decent housing, the right to potable water, and the right to social security, among others. However, I consider that there are substantial differences between</w:t>
      </w:r>
      <w:r w:rsidR="0034768C" w:rsidRPr="00D869E3">
        <w:rPr>
          <w:rFonts w:ascii="Verdana" w:hAnsi="Verdana" w:cs="Arial"/>
          <w:sz w:val="20"/>
          <w:szCs w:val="20"/>
          <w:lang w:val="en-US"/>
        </w:rPr>
        <w:t>, on the one hand,</w:t>
      </w:r>
      <w:r w:rsidRPr="00D869E3">
        <w:rPr>
          <w:rFonts w:ascii="Verdana" w:hAnsi="Verdana" w:cs="Arial"/>
          <w:sz w:val="20"/>
          <w:szCs w:val="20"/>
          <w:lang w:val="en-US"/>
        </w:rPr>
        <w:t xml:space="preserve"> the Colombian Constitution and the American Convention</w:t>
      </w:r>
      <w:r w:rsidR="0034768C" w:rsidRPr="00D869E3">
        <w:rPr>
          <w:rFonts w:ascii="Verdana" w:hAnsi="Verdana" w:cs="Arial"/>
          <w:sz w:val="20"/>
          <w:szCs w:val="20"/>
          <w:lang w:val="en-US"/>
        </w:rPr>
        <w:t xml:space="preserve"> </w:t>
      </w:r>
      <w:r w:rsidRPr="00D869E3">
        <w:rPr>
          <w:rFonts w:ascii="Verdana" w:hAnsi="Verdana" w:cs="Arial"/>
          <w:sz w:val="20"/>
          <w:szCs w:val="20"/>
          <w:lang w:val="en-US"/>
        </w:rPr>
        <w:t>and</w:t>
      </w:r>
      <w:r w:rsidR="0034768C" w:rsidRPr="00D869E3">
        <w:rPr>
          <w:rFonts w:ascii="Verdana" w:hAnsi="Verdana" w:cs="Arial"/>
          <w:sz w:val="20"/>
          <w:szCs w:val="20"/>
          <w:lang w:val="en-US"/>
        </w:rPr>
        <w:t>, on the other,</w:t>
      </w:r>
      <w:r w:rsidRPr="00D869E3">
        <w:rPr>
          <w:rFonts w:ascii="Verdana" w:hAnsi="Verdana" w:cs="Arial"/>
          <w:sz w:val="20"/>
          <w:szCs w:val="20"/>
          <w:lang w:val="en-US"/>
        </w:rPr>
        <w:t xml:space="preserve"> between the role of a judge of a constitutional court and the role of a judge who is a member of an international human rights court.</w:t>
      </w:r>
    </w:p>
    <w:p w14:paraId="0EB8EB7C" w14:textId="77777777" w:rsidR="00E70701" w:rsidRPr="00D869E3" w:rsidRDefault="00E70701" w:rsidP="00F42CF0">
      <w:pPr>
        <w:rPr>
          <w:rFonts w:ascii="Verdana" w:hAnsi="Verdana" w:cs="Arial"/>
          <w:sz w:val="20"/>
          <w:szCs w:val="20"/>
          <w:lang w:val="en-US"/>
        </w:rPr>
      </w:pPr>
    </w:p>
    <w:p w14:paraId="09BB6508" w14:textId="192B02DB" w:rsidR="00F42CF0" w:rsidRPr="00D869E3" w:rsidRDefault="00F42CF0" w:rsidP="00C44F79">
      <w:pPr>
        <w:pStyle w:val="Prrafodelista"/>
        <w:numPr>
          <w:ilvl w:val="0"/>
          <w:numId w:val="37"/>
        </w:numPr>
        <w:ind w:left="0" w:firstLine="0"/>
        <w:jc w:val="both"/>
        <w:rPr>
          <w:rFonts w:ascii="Verdana" w:hAnsi="Verdana" w:cs="Arial"/>
          <w:sz w:val="20"/>
          <w:szCs w:val="20"/>
          <w:lang w:val="en-US"/>
        </w:rPr>
      </w:pPr>
      <w:r w:rsidRPr="00D869E3">
        <w:rPr>
          <w:rFonts w:ascii="Verdana" w:hAnsi="Verdana" w:cs="Arial"/>
          <w:sz w:val="20"/>
          <w:szCs w:val="20"/>
          <w:lang w:val="en-US"/>
        </w:rPr>
        <w:t xml:space="preserve">In addition, my experience as a judge of a national court whose track record in the direct justiciability of the ESCR is widely known </w:t>
      </w:r>
      <w:r w:rsidR="0034768C" w:rsidRPr="00D869E3">
        <w:rPr>
          <w:rFonts w:ascii="Verdana" w:hAnsi="Verdana" w:cs="Arial"/>
          <w:sz w:val="20"/>
          <w:szCs w:val="20"/>
          <w:lang w:val="en-US"/>
        </w:rPr>
        <w:t>has</w:t>
      </w:r>
      <w:r w:rsidRPr="00D869E3">
        <w:rPr>
          <w:rFonts w:ascii="Verdana" w:hAnsi="Verdana" w:cs="Arial"/>
          <w:sz w:val="20"/>
          <w:szCs w:val="20"/>
          <w:lang w:val="en-US"/>
        </w:rPr>
        <w:t xml:space="preserve"> left </w:t>
      </w:r>
      <w:r w:rsidR="0034768C" w:rsidRPr="00D869E3">
        <w:rPr>
          <w:rFonts w:ascii="Verdana" w:hAnsi="Verdana" w:cs="Arial"/>
          <w:sz w:val="20"/>
          <w:szCs w:val="20"/>
          <w:lang w:val="en-US"/>
        </w:rPr>
        <w:t xml:space="preserve">me </w:t>
      </w:r>
      <w:r w:rsidRPr="00D869E3">
        <w:rPr>
          <w:rFonts w:ascii="Verdana" w:hAnsi="Verdana" w:cs="Arial"/>
          <w:sz w:val="20"/>
          <w:szCs w:val="20"/>
          <w:lang w:val="en-US"/>
        </w:rPr>
        <w:t xml:space="preserve">with the clear perception of the difficulties faced by a judicial organ that assumes </w:t>
      </w:r>
      <w:r w:rsidR="0034768C" w:rsidRPr="00D869E3">
        <w:rPr>
          <w:rFonts w:ascii="Verdana" w:hAnsi="Verdana" w:cs="Arial"/>
          <w:sz w:val="20"/>
          <w:szCs w:val="20"/>
          <w:lang w:val="en-US"/>
        </w:rPr>
        <w:t>jurisdiction</w:t>
      </w:r>
      <w:r w:rsidRPr="00D869E3">
        <w:rPr>
          <w:rFonts w:ascii="Verdana" w:hAnsi="Verdana" w:cs="Arial"/>
          <w:sz w:val="20"/>
          <w:szCs w:val="20"/>
          <w:lang w:val="en-US"/>
        </w:rPr>
        <w:t xml:space="preserve"> in this area. This is because, even though the protection of the</w:t>
      </w:r>
      <w:r w:rsidR="0034768C" w:rsidRPr="00D869E3">
        <w:rPr>
          <w:rFonts w:ascii="Verdana" w:hAnsi="Verdana" w:cs="Arial"/>
          <w:sz w:val="20"/>
          <w:szCs w:val="20"/>
          <w:lang w:val="en-US"/>
        </w:rPr>
        <w:t>se</w:t>
      </w:r>
      <w:r w:rsidRPr="00D869E3">
        <w:rPr>
          <w:rFonts w:ascii="Verdana" w:hAnsi="Verdana" w:cs="Arial"/>
          <w:sz w:val="20"/>
          <w:szCs w:val="20"/>
          <w:lang w:val="en-US"/>
        </w:rPr>
        <w:t xml:space="preserve"> rights does not always involve the adoption of public policies or decision-making </w:t>
      </w:r>
      <w:r w:rsidR="0034768C" w:rsidRPr="00D869E3">
        <w:rPr>
          <w:rFonts w:ascii="Verdana" w:hAnsi="Verdana" w:cs="Arial"/>
          <w:sz w:val="20"/>
          <w:szCs w:val="20"/>
          <w:lang w:val="en-US"/>
        </w:rPr>
        <w:t>in relation to</w:t>
      </w:r>
      <w:r w:rsidRPr="00D869E3">
        <w:rPr>
          <w:rFonts w:ascii="Verdana" w:hAnsi="Verdana" w:cs="Arial"/>
          <w:sz w:val="20"/>
          <w:szCs w:val="20"/>
          <w:lang w:val="en-US"/>
        </w:rPr>
        <w:t xml:space="preserve"> scarce resources or merit goods, in numerous cases submitted to the consideration of a judicial authority</w:t>
      </w:r>
      <w:r w:rsidR="0034768C" w:rsidRPr="00D869E3">
        <w:rPr>
          <w:rFonts w:ascii="Verdana" w:hAnsi="Verdana" w:cs="Arial"/>
          <w:sz w:val="20"/>
          <w:szCs w:val="20"/>
          <w:lang w:val="en-US"/>
        </w:rPr>
        <w:t>,</w:t>
      </w:r>
      <w:r w:rsidRPr="00D869E3">
        <w:rPr>
          <w:rFonts w:ascii="Verdana" w:hAnsi="Verdana" w:cs="Arial"/>
          <w:sz w:val="20"/>
          <w:szCs w:val="20"/>
          <w:lang w:val="en-US"/>
        </w:rPr>
        <w:t xml:space="preserve"> that is what is required and this inevitably leads to discussion </w:t>
      </w:r>
      <w:r w:rsidR="0034768C" w:rsidRPr="00D869E3">
        <w:rPr>
          <w:rFonts w:ascii="Verdana" w:hAnsi="Verdana" w:cs="Arial"/>
          <w:sz w:val="20"/>
          <w:szCs w:val="20"/>
          <w:lang w:val="en-US"/>
        </w:rPr>
        <w:t>on</w:t>
      </w:r>
      <w:r w:rsidRPr="00D869E3">
        <w:rPr>
          <w:rFonts w:ascii="Verdana" w:hAnsi="Verdana" w:cs="Arial"/>
          <w:sz w:val="20"/>
          <w:szCs w:val="20"/>
          <w:lang w:val="en-US"/>
        </w:rPr>
        <w:t xml:space="preserve"> the role of judges under a social rule of law and the legitimate organ for the adoption of such decisions under a democratic system.</w:t>
      </w:r>
    </w:p>
    <w:p w14:paraId="2C64351A" w14:textId="77777777" w:rsidR="00E70701" w:rsidRPr="00D869E3" w:rsidRDefault="00E70701" w:rsidP="00C44F79">
      <w:pPr>
        <w:pStyle w:val="Prrafodelista"/>
        <w:rPr>
          <w:rFonts w:ascii="Verdana" w:hAnsi="Verdana" w:cs="Arial"/>
          <w:sz w:val="20"/>
          <w:szCs w:val="20"/>
          <w:lang w:val="en-US"/>
        </w:rPr>
      </w:pPr>
    </w:p>
    <w:p w14:paraId="1B55FD5D" w14:textId="54A2D7CB" w:rsidR="00E70701" w:rsidRPr="00D869E3" w:rsidRDefault="00075E68" w:rsidP="005D1BDE">
      <w:pPr>
        <w:pStyle w:val="Prrafodelista"/>
        <w:numPr>
          <w:ilvl w:val="0"/>
          <w:numId w:val="37"/>
        </w:numPr>
        <w:ind w:left="0" w:firstLine="0"/>
        <w:jc w:val="both"/>
        <w:rPr>
          <w:rFonts w:ascii="Verdana" w:hAnsi="Verdana" w:cs="Arial"/>
          <w:sz w:val="20"/>
          <w:szCs w:val="20"/>
          <w:lang w:val="en-US"/>
        </w:rPr>
      </w:pPr>
      <w:r w:rsidRPr="00D869E3">
        <w:rPr>
          <w:rFonts w:ascii="Verdana" w:hAnsi="Verdana" w:cs="Arial"/>
          <w:sz w:val="20"/>
          <w:szCs w:val="20"/>
          <w:lang w:val="en-US"/>
        </w:rPr>
        <w:t>In this regard</w:t>
      </w:r>
      <w:r w:rsidR="00E70701" w:rsidRPr="00D869E3">
        <w:rPr>
          <w:rFonts w:ascii="Verdana" w:hAnsi="Verdana" w:cs="Arial"/>
          <w:sz w:val="20"/>
          <w:szCs w:val="20"/>
          <w:lang w:val="en-US"/>
        </w:rPr>
        <w:t xml:space="preserve">, </w:t>
      </w:r>
      <w:r w:rsidR="00F42CF0" w:rsidRPr="00D869E3">
        <w:rPr>
          <w:rFonts w:ascii="Verdana" w:hAnsi="Verdana" w:cs="Arial"/>
          <w:sz w:val="20"/>
          <w:szCs w:val="20"/>
          <w:lang w:val="en-US"/>
        </w:rPr>
        <w:t xml:space="preserve">I remain convinced that, within the framework </w:t>
      </w:r>
      <w:r w:rsidR="00EA232B" w:rsidRPr="00D869E3">
        <w:rPr>
          <w:rFonts w:ascii="Verdana" w:hAnsi="Verdana" w:cs="Arial"/>
          <w:sz w:val="20"/>
          <w:szCs w:val="20"/>
          <w:lang w:val="en-US"/>
        </w:rPr>
        <w:t xml:space="preserve">of the </w:t>
      </w:r>
      <w:r w:rsidR="00671B14" w:rsidRPr="00D869E3">
        <w:rPr>
          <w:rFonts w:ascii="Verdana" w:hAnsi="Verdana" w:cs="Arial"/>
          <w:sz w:val="20"/>
          <w:szCs w:val="20"/>
          <w:lang w:val="en-US"/>
        </w:rPr>
        <w:t>inter-American system</w:t>
      </w:r>
      <w:r w:rsidR="00E70701" w:rsidRPr="00D869E3">
        <w:rPr>
          <w:rFonts w:ascii="Verdana" w:hAnsi="Verdana" w:cs="Arial"/>
          <w:sz w:val="20"/>
          <w:szCs w:val="20"/>
          <w:lang w:val="en-US"/>
        </w:rPr>
        <w:t xml:space="preserve"> </w:t>
      </w:r>
      <w:r w:rsidR="00F42CF0" w:rsidRPr="00D869E3">
        <w:rPr>
          <w:rFonts w:ascii="Verdana" w:hAnsi="Verdana" w:cs="Arial"/>
          <w:sz w:val="20"/>
          <w:szCs w:val="20"/>
          <w:lang w:val="en-US"/>
        </w:rPr>
        <w:t xml:space="preserve">for the protection of </w:t>
      </w:r>
      <w:r w:rsidR="00B443B4" w:rsidRPr="00D869E3">
        <w:rPr>
          <w:rFonts w:ascii="Verdana" w:hAnsi="Verdana" w:cs="Arial"/>
          <w:sz w:val="20"/>
          <w:szCs w:val="20"/>
          <w:lang w:val="en-US"/>
        </w:rPr>
        <w:t>human rights</w:t>
      </w:r>
      <w:r w:rsidR="00F42CF0" w:rsidRPr="00D869E3">
        <w:rPr>
          <w:rFonts w:ascii="Verdana" w:hAnsi="Verdana" w:cs="Arial"/>
          <w:sz w:val="20"/>
          <w:szCs w:val="20"/>
          <w:lang w:val="en-US"/>
        </w:rPr>
        <w:t>, the justiciability of the ESCR</w:t>
      </w:r>
      <w:r w:rsidR="00E70701" w:rsidRPr="00D869E3">
        <w:rPr>
          <w:rFonts w:ascii="Verdana" w:hAnsi="Verdana" w:cs="Arial"/>
          <w:sz w:val="20"/>
          <w:szCs w:val="20"/>
          <w:lang w:val="en-US"/>
        </w:rPr>
        <w:t xml:space="preserve"> </w:t>
      </w:r>
      <w:r w:rsidR="00F42CF0" w:rsidRPr="00D869E3">
        <w:rPr>
          <w:rFonts w:ascii="Verdana" w:hAnsi="Verdana" w:cs="Arial"/>
          <w:sz w:val="20"/>
          <w:szCs w:val="20"/>
          <w:lang w:val="en-US"/>
        </w:rPr>
        <w:t xml:space="preserve">should not be implemented by the direct application </w:t>
      </w:r>
      <w:r w:rsidR="00687684" w:rsidRPr="00D869E3">
        <w:rPr>
          <w:rFonts w:ascii="Verdana" w:hAnsi="Verdana" w:cs="Arial"/>
          <w:sz w:val="20"/>
          <w:szCs w:val="20"/>
          <w:lang w:val="en-US"/>
        </w:rPr>
        <w:t>of Article</w:t>
      </w:r>
      <w:r w:rsidR="00E70701" w:rsidRPr="00D869E3">
        <w:rPr>
          <w:rFonts w:ascii="Verdana" w:hAnsi="Verdana" w:cs="Arial"/>
          <w:sz w:val="20"/>
          <w:szCs w:val="20"/>
          <w:lang w:val="en-US"/>
        </w:rPr>
        <w:t xml:space="preserve"> 26 </w:t>
      </w:r>
      <w:r w:rsidR="00F42CF0" w:rsidRPr="00D869E3">
        <w:rPr>
          <w:rFonts w:ascii="Verdana" w:hAnsi="Verdana" w:cs="Arial"/>
          <w:sz w:val="20"/>
          <w:szCs w:val="20"/>
          <w:lang w:val="en-US"/>
        </w:rPr>
        <w:t>of the</w:t>
      </w:r>
      <w:r w:rsidR="00E70701" w:rsidRPr="00D869E3">
        <w:rPr>
          <w:rFonts w:ascii="Verdana" w:hAnsi="Verdana" w:cs="Arial"/>
          <w:sz w:val="20"/>
          <w:szCs w:val="20"/>
          <w:lang w:val="en-US"/>
        </w:rPr>
        <w:t xml:space="preserve"> </w:t>
      </w:r>
      <w:r w:rsidR="00F42CF0" w:rsidRPr="00D869E3">
        <w:rPr>
          <w:rFonts w:ascii="Verdana" w:hAnsi="Verdana" w:cs="Arial"/>
          <w:sz w:val="20"/>
          <w:szCs w:val="20"/>
          <w:lang w:val="en-US"/>
        </w:rPr>
        <w:t>ACHR</w:t>
      </w:r>
      <w:r w:rsidR="00E70701" w:rsidRPr="00D869E3">
        <w:rPr>
          <w:rFonts w:ascii="Verdana" w:hAnsi="Verdana" w:cs="Arial"/>
          <w:sz w:val="20"/>
          <w:szCs w:val="20"/>
          <w:lang w:val="en-US"/>
        </w:rPr>
        <w:t xml:space="preserve">, </w:t>
      </w:r>
      <w:r w:rsidR="00F42CF0" w:rsidRPr="00D869E3">
        <w:rPr>
          <w:rFonts w:ascii="Verdana" w:hAnsi="Verdana" w:cs="Arial"/>
          <w:sz w:val="20"/>
          <w:szCs w:val="20"/>
          <w:lang w:val="en-US"/>
        </w:rPr>
        <w:t xml:space="preserve">as in this case and I will </w:t>
      </w:r>
      <w:r w:rsidR="0034768C" w:rsidRPr="00D869E3">
        <w:rPr>
          <w:rFonts w:ascii="Verdana" w:hAnsi="Verdana" w:cs="Arial"/>
          <w:sz w:val="20"/>
          <w:szCs w:val="20"/>
          <w:lang w:val="en-US"/>
        </w:rPr>
        <w:t>indicate</w:t>
      </w:r>
      <w:r w:rsidR="00F42CF0" w:rsidRPr="00D869E3">
        <w:rPr>
          <w:rFonts w:ascii="Verdana" w:hAnsi="Verdana" w:cs="Arial"/>
          <w:sz w:val="20"/>
          <w:szCs w:val="20"/>
          <w:lang w:val="en-US"/>
        </w:rPr>
        <w:t xml:space="preserve"> the grounds for my position below. </w:t>
      </w:r>
      <w:r w:rsidR="0034768C" w:rsidRPr="00D869E3">
        <w:rPr>
          <w:rFonts w:ascii="Verdana" w:hAnsi="Verdana" w:cs="Arial"/>
          <w:sz w:val="20"/>
          <w:szCs w:val="20"/>
          <w:lang w:val="en-US"/>
        </w:rPr>
        <w:t>Thus</w:t>
      </w:r>
      <w:r w:rsidR="00F42CF0" w:rsidRPr="00D869E3">
        <w:rPr>
          <w:rFonts w:ascii="Verdana" w:hAnsi="Verdana" w:cs="Arial"/>
          <w:sz w:val="20"/>
          <w:szCs w:val="20"/>
          <w:lang w:val="en-US"/>
        </w:rPr>
        <w:t>, in this opinion: (</w:t>
      </w:r>
      <w:r w:rsidR="00E70701" w:rsidRPr="00D869E3">
        <w:rPr>
          <w:rFonts w:ascii="Verdana" w:hAnsi="Verdana" w:cs="Arial"/>
          <w:sz w:val="20"/>
          <w:szCs w:val="20"/>
          <w:lang w:val="en-US"/>
        </w:rPr>
        <w:t xml:space="preserve">i) </w:t>
      </w:r>
      <w:r w:rsidR="00F42CF0" w:rsidRPr="00D869E3">
        <w:rPr>
          <w:rFonts w:ascii="Verdana" w:hAnsi="Verdana" w:cs="Arial"/>
          <w:sz w:val="20"/>
          <w:szCs w:val="20"/>
          <w:lang w:val="en-US"/>
        </w:rPr>
        <w:t>I will reiterate the general reasons why I do not agree with</w:t>
      </w:r>
      <w:r w:rsidR="00E70701" w:rsidRPr="00D869E3">
        <w:rPr>
          <w:rFonts w:ascii="Verdana" w:hAnsi="Verdana" w:cs="Arial"/>
          <w:sz w:val="20"/>
          <w:szCs w:val="20"/>
          <w:lang w:val="en-US"/>
        </w:rPr>
        <w:t xml:space="preserve"> </w:t>
      </w:r>
      <w:r w:rsidR="00F42CF0" w:rsidRPr="00D869E3">
        <w:rPr>
          <w:rFonts w:ascii="Verdana" w:hAnsi="Verdana" w:cs="Arial"/>
          <w:sz w:val="20"/>
          <w:szCs w:val="20"/>
          <w:lang w:val="en-US"/>
        </w:rPr>
        <w:t>the justiciability of the</w:t>
      </w:r>
      <w:r w:rsidR="00E70701" w:rsidRPr="00D869E3">
        <w:rPr>
          <w:rFonts w:ascii="Verdana" w:hAnsi="Verdana" w:cs="Arial"/>
          <w:sz w:val="20"/>
          <w:szCs w:val="20"/>
          <w:lang w:val="en-US"/>
        </w:rPr>
        <w:t xml:space="preserve"> </w:t>
      </w:r>
      <w:r w:rsidR="00F42CF0" w:rsidRPr="00D869E3">
        <w:rPr>
          <w:rFonts w:ascii="Verdana" w:hAnsi="Verdana" w:cs="Arial"/>
          <w:sz w:val="20"/>
          <w:szCs w:val="20"/>
          <w:lang w:val="en-US"/>
        </w:rPr>
        <w:t>ESCR</w:t>
      </w:r>
      <w:r w:rsidR="00E70701" w:rsidRPr="00D869E3">
        <w:rPr>
          <w:rFonts w:ascii="Verdana" w:hAnsi="Verdana" w:cs="Arial"/>
          <w:sz w:val="20"/>
          <w:szCs w:val="20"/>
          <w:lang w:val="en-US"/>
        </w:rPr>
        <w:t xml:space="preserve"> </w:t>
      </w:r>
      <w:r w:rsidR="00F42CF0" w:rsidRPr="00D869E3">
        <w:rPr>
          <w:rFonts w:ascii="Verdana" w:hAnsi="Verdana" w:cs="Arial"/>
          <w:sz w:val="20"/>
          <w:szCs w:val="20"/>
          <w:lang w:val="en-US"/>
        </w:rPr>
        <w:t>based on</w:t>
      </w:r>
      <w:r w:rsidR="00687684" w:rsidRPr="00D869E3">
        <w:rPr>
          <w:rFonts w:ascii="Verdana" w:hAnsi="Verdana" w:cs="Arial"/>
          <w:sz w:val="20"/>
          <w:szCs w:val="20"/>
          <w:lang w:val="en-US"/>
        </w:rPr>
        <w:t xml:space="preserve"> Article</w:t>
      </w:r>
      <w:r w:rsidR="00E70701" w:rsidRPr="00D869E3">
        <w:rPr>
          <w:rFonts w:ascii="Verdana" w:hAnsi="Verdana" w:cs="Arial"/>
          <w:sz w:val="20"/>
          <w:szCs w:val="20"/>
          <w:lang w:val="en-US"/>
        </w:rPr>
        <w:t xml:space="preserve"> 26</w:t>
      </w:r>
      <w:r w:rsidR="005D1BDE" w:rsidRPr="00D869E3">
        <w:rPr>
          <w:rFonts w:ascii="Verdana" w:hAnsi="Verdana" w:cs="Arial"/>
          <w:sz w:val="20"/>
          <w:szCs w:val="20"/>
          <w:lang w:val="en-US"/>
        </w:rPr>
        <w:t xml:space="preserve"> described in </w:t>
      </w:r>
      <w:r w:rsidR="00DA5B38" w:rsidRPr="00D869E3">
        <w:rPr>
          <w:rFonts w:ascii="Verdana" w:hAnsi="Verdana" w:cs="Arial"/>
          <w:sz w:val="20"/>
          <w:szCs w:val="20"/>
          <w:lang w:val="en-US"/>
        </w:rPr>
        <w:t>my previous</w:t>
      </w:r>
      <w:r w:rsidR="005D1BDE" w:rsidRPr="00D869E3">
        <w:rPr>
          <w:rFonts w:ascii="Verdana" w:hAnsi="Verdana" w:cs="Arial"/>
          <w:sz w:val="20"/>
          <w:szCs w:val="20"/>
          <w:lang w:val="en-US"/>
        </w:rPr>
        <w:t xml:space="preserve"> concurring opinion, and I will add the concerns that this judgment has caused me </w:t>
      </w:r>
      <w:r w:rsidR="005D1BDE" w:rsidRPr="00D869E3">
        <w:rPr>
          <w:rFonts w:ascii="Verdana" w:hAnsi="Verdana" w:cs="Arial"/>
          <w:sz w:val="20"/>
          <w:szCs w:val="20"/>
          <w:lang w:val="en-US"/>
        </w:rPr>
        <w:lastRenderedPageBreak/>
        <w:t xml:space="preserve">in this regard; (ii) I will indicated why, in my opinion, in this case in particular it was not pertinent to arrive at a declaration of the violation </w:t>
      </w:r>
      <w:r w:rsidR="00687684" w:rsidRPr="00D869E3">
        <w:rPr>
          <w:rFonts w:ascii="Verdana" w:hAnsi="Verdana" w:cs="Arial"/>
          <w:sz w:val="20"/>
          <w:szCs w:val="20"/>
          <w:lang w:val="en-US"/>
        </w:rPr>
        <w:t>of Article</w:t>
      </w:r>
      <w:r w:rsidR="00E70701" w:rsidRPr="00D869E3">
        <w:rPr>
          <w:rFonts w:ascii="Verdana" w:hAnsi="Verdana" w:cs="Arial"/>
          <w:sz w:val="20"/>
          <w:szCs w:val="20"/>
          <w:lang w:val="en-US"/>
        </w:rPr>
        <w:t xml:space="preserve"> 26 </w:t>
      </w:r>
      <w:r w:rsidR="00F42CF0" w:rsidRPr="00D869E3">
        <w:rPr>
          <w:rFonts w:ascii="Verdana" w:hAnsi="Verdana" w:cs="Arial"/>
          <w:sz w:val="20"/>
          <w:szCs w:val="20"/>
          <w:lang w:val="en-US"/>
        </w:rPr>
        <w:t>of the ACHR</w:t>
      </w:r>
      <w:r w:rsidR="00687684" w:rsidRPr="00D869E3">
        <w:rPr>
          <w:rFonts w:ascii="Verdana" w:hAnsi="Verdana" w:cs="Arial"/>
          <w:sz w:val="20"/>
          <w:szCs w:val="20"/>
          <w:lang w:val="en-US"/>
        </w:rPr>
        <w:t xml:space="preserve"> and </w:t>
      </w:r>
      <w:r w:rsidR="005D1BDE" w:rsidRPr="00D869E3">
        <w:rPr>
          <w:rFonts w:ascii="Verdana" w:hAnsi="Verdana" w:cs="Arial"/>
          <w:sz w:val="20"/>
          <w:szCs w:val="20"/>
          <w:lang w:val="en-US"/>
        </w:rPr>
        <w:t xml:space="preserve">not even to embark on that discussion, and (iii) I will indicate the </w:t>
      </w:r>
      <w:r w:rsidR="00794206" w:rsidRPr="00D869E3">
        <w:rPr>
          <w:rFonts w:ascii="Verdana" w:hAnsi="Verdana" w:cs="Arial"/>
          <w:sz w:val="20"/>
          <w:szCs w:val="20"/>
          <w:lang w:val="en-US"/>
        </w:rPr>
        <w:t>flaws</w:t>
      </w:r>
      <w:r w:rsidR="005D1BDE" w:rsidRPr="00D869E3">
        <w:rPr>
          <w:rFonts w:ascii="Verdana" w:hAnsi="Verdana" w:cs="Arial"/>
          <w:sz w:val="20"/>
          <w:szCs w:val="20"/>
          <w:lang w:val="en-US"/>
        </w:rPr>
        <w:t xml:space="preserve"> in the arguments in </w:t>
      </w:r>
      <w:r w:rsidR="000C55DD" w:rsidRPr="00D869E3">
        <w:rPr>
          <w:rFonts w:ascii="Verdana" w:hAnsi="Verdana" w:cs="Arial"/>
          <w:sz w:val="20"/>
          <w:szCs w:val="20"/>
          <w:lang w:val="en-US"/>
        </w:rPr>
        <w:t>the judgment</w:t>
      </w:r>
      <w:r w:rsidR="00E70701" w:rsidRPr="00D869E3">
        <w:rPr>
          <w:rFonts w:ascii="Verdana" w:hAnsi="Verdana" w:cs="Arial"/>
          <w:sz w:val="20"/>
          <w:szCs w:val="20"/>
          <w:lang w:val="en-US"/>
        </w:rPr>
        <w:t xml:space="preserve"> </w:t>
      </w:r>
      <w:r w:rsidR="005D1BDE" w:rsidRPr="00D869E3">
        <w:rPr>
          <w:rFonts w:ascii="Verdana" w:hAnsi="Verdana" w:cs="Arial"/>
          <w:sz w:val="20"/>
          <w:szCs w:val="20"/>
          <w:lang w:val="en-US"/>
        </w:rPr>
        <w:t xml:space="preserve">that make this a very sensitive precedent in the case law </w:t>
      </w:r>
      <w:r w:rsidR="00447C65" w:rsidRPr="00D869E3">
        <w:rPr>
          <w:rFonts w:ascii="Verdana" w:hAnsi="Verdana" w:cs="Arial"/>
          <w:sz w:val="20"/>
          <w:szCs w:val="20"/>
          <w:lang w:val="en-US"/>
        </w:rPr>
        <w:t xml:space="preserve">of </w:t>
      </w:r>
      <w:r w:rsidR="00671B14" w:rsidRPr="00D869E3">
        <w:rPr>
          <w:rFonts w:ascii="Verdana" w:hAnsi="Verdana" w:cs="Arial"/>
          <w:sz w:val="20"/>
          <w:szCs w:val="20"/>
          <w:lang w:val="en-US"/>
        </w:rPr>
        <w:t>the Inter-American Court</w:t>
      </w:r>
      <w:r w:rsidR="00E70701" w:rsidRPr="00D869E3">
        <w:rPr>
          <w:rFonts w:ascii="Verdana" w:hAnsi="Verdana" w:cs="Arial"/>
          <w:sz w:val="20"/>
          <w:szCs w:val="20"/>
          <w:lang w:val="en-US"/>
        </w:rPr>
        <w:t>.</w:t>
      </w:r>
    </w:p>
    <w:p w14:paraId="4CE5A73C" w14:textId="77777777" w:rsidR="00E70701" w:rsidRPr="00D869E3" w:rsidRDefault="00E70701" w:rsidP="00C44F79">
      <w:pPr>
        <w:jc w:val="both"/>
        <w:rPr>
          <w:rFonts w:ascii="Verdana" w:hAnsi="Verdana" w:cs="Arial"/>
          <w:sz w:val="20"/>
          <w:szCs w:val="20"/>
          <w:lang w:val="en-US"/>
        </w:rPr>
      </w:pPr>
    </w:p>
    <w:p w14:paraId="214D8975" w14:textId="21A47E0A" w:rsidR="00E70701" w:rsidRPr="00D869E3" w:rsidRDefault="00075E68" w:rsidP="00E70701">
      <w:pPr>
        <w:pStyle w:val="Prrafodelista"/>
        <w:numPr>
          <w:ilvl w:val="0"/>
          <w:numId w:val="36"/>
        </w:numPr>
        <w:jc w:val="both"/>
        <w:rPr>
          <w:rFonts w:ascii="Verdana" w:hAnsi="Verdana" w:cs="Arial"/>
          <w:b/>
          <w:sz w:val="20"/>
          <w:szCs w:val="20"/>
          <w:lang w:val="en-US"/>
        </w:rPr>
      </w:pPr>
      <w:r w:rsidRPr="00D869E3">
        <w:rPr>
          <w:rFonts w:ascii="Verdana" w:hAnsi="Verdana" w:cs="Arial"/>
          <w:b/>
          <w:sz w:val="20"/>
          <w:szCs w:val="20"/>
          <w:lang w:val="en-US"/>
        </w:rPr>
        <w:t>MAIN ARGUMENTS AGAINST THE DIRECT JUSTICIABILITY OF THE ESC</w:t>
      </w:r>
      <w:r w:rsidR="00294239" w:rsidRPr="00D869E3">
        <w:rPr>
          <w:rFonts w:ascii="Verdana" w:hAnsi="Verdana" w:cs="Arial"/>
          <w:b/>
          <w:sz w:val="20"/>
          <w:szCs w:val="20"/>
          <w:lang w:val="en-US"/>
        </w:rPr>
        <w:t>R</w:t>
      </w:r>
      <w:r w:rsidRPr="00D869E3">
        <w:rPr>
          <w:rFonts w:ascii="Verdana" w:hAnsi="Verdana" w:cs="Arial"/>
          <w:b/>
          <w:sz w:val="20"/>
          <w:szCs w:val="20"/>
          <w:lang w:val="en-US"/>
        </w:rPr>
        <w:t xml:space="preserve"> BASED ON ARTICLE 26 OF THE AMERICAN CONVENTION</w:t>
      </w:r>
    </w:p>
    <w:p w14:paraId="369F0D1E" w14:textId="77777777" w:rsidR="00E70701" w:rsidRPr="00D869E3" w:rsidRDefault="00E70701" w:rsidP="00C44F79">
      <w:pPr>
        <w:pStyle w:val="Prrafodelista"/>
        <w:jc w:val="both"/>
        <w:rPr>
          <w:rFonts w:ascii="Verdana" w:hAnsi="Verdana" w:cs="Arial"/>
          <w:b/>
          <w:sz w:val="20"/>
          <w:szCs w:val="20"/>
          <w:lang w:val="en-US"/>
        </w:rPr>
      </w:pPr>
    </w:p>
    <w:p w14:paraId="0EC719E8" w14:textId="0D1755BE" w:rsidR="00E70701" w:rsidRPr="00D869E3" w:rsidRDefault="005D1BDE" w:rsidP="00E70701">
      <w:pPr>
        <w:pStyle w:val="Prrafodelista"/>
        <w:numPr>
          <w:ilvl w:val="0"/>
          <w:numId w:val="37"/>
        </w:numPr>
        <w:ind w:left="0" w:firstLine="0"/>
        <w:jc w:val="both"/>
        <w:rPr>
          <w:rFonts w:ascii="Verdana" w:hAnsi="Verdana" w:cs="Arial"/>
          <w:sz w:val="20"/>
          <w:szCs w:val="20"/>
          <w:lang w:val="en-US"/>
        </w:rPr>
      </w:pPr>
      <w:r w:rsidRPr="00D869E3">
        <w:rPr>
          <w:rFonts w:ascii="Verdana" w:hAnsi="Verdana" w:cs="Arial"/>
          <w:sz w:val="20"/>
          <w:szCs w:val="20"/>
          <w:lang w:val="en-US"/>
        </w:rPr>
        <w:t>Given that, in the said concurring opinion, I gave a wide-ranging explanation of each argument that substantiates my position, I consider th</w:t>
      </w:r>
      <w:r w:rsidR="00DA5B38" w:rsidRPr="00D869E3">
        <w:rPr>
          <w:rFonts w:ascii="Verdana" w:hAnsi="Verdana" w:cs="Arial"/>
          <w:sz w:val="20"/>
          <w:szCs w:val="20"/>
          <w:lang w:val="en-US"/>
        </w:rPr>
        <w:t>a</w:t>
      </w:r>
      <w:r w:rsidRPr="00D869E3">
        <w:rPr>
          <w:rFonts w:ascii="Verdana" w:hAnsi="Verdana" w:cs="Arial"/>
          <w:sz w:val="20"/>
          <w:szCs w:val="20"/>
          <w:lang w:val="en-US"/>
        </w:rPr>
        <w:t>t it is not pertinent to reproduce these extensively, and will therefore focus on the more relevant reflections and conclusions of that text.</w:t>
      </w:r>
    </w:p>
    <w:p w14:paraId="0739A33D" w14:textId="77777777" w:rsidR="00E70701" w:rsidRPr="00D869E3" w:rsidRDefault="00E70701" w:rsidP="00C44F79">
      <w:pPr>
        <w:pStyle w:val="Prrafodelista"/>
        <w:ind w:left="0"/>
        <w:jc w:val="both"/>
        <w:rPr>
          <w:rFonts w:ascii="Verdana" w:hAnsi="Verdana" w:cs="Arial"/>
          <w:sz w:val="20"/>
          <w:szCs w:val="20"/>
          <w:lang w:val="en-US"/>
        </w:rPr>
      </w:pPr>
    </w:p>
    <w:p w14:paraId="4938195A" w14:textId="7B23E1E3" w:rsidR="00E70701" w:rsidRPr="00D869E3" w:rsidRDefault="00CA23D8" w:rsidP="00CA23D8">
      <w:pPr>
        <w:pStyle w:val="Prrafodelista"/>
        <w:numPr>
          <w:ilvl w:val="0"/>
          <w:numId w:val="37"/>
        </w:numPr>
        <w:ind w:left="0" w:firstLine="0"/>
        <w:jc w:val="both"/>
        <w:rPr>
          <w:rFonts w:ascii="Verdana" w:hAnsi="Verdana" w:cs="Arial"/>
          <w:sz w:val="20"/>
          <w:szCs w:val="20"/>
          <w:lang w:val="en-US"/>
        </w:rPr>
      </w:pPr>
      <w:r w:rsidRPr="00D869E3">
        <w:rPr>
          <w:rFonts w:ascii="Verdana" w:hAnsi="Verdana" w:cs="Arial"/>
          <w:sz w:val="20"/>
          <w:szCs w:val="20"/>
          <w:lang w:val="en-US"/>
        </w:rPr>
        <w:t>However, and on a preliminary basis, I wish to repeat that my position on the Inter-American Court</w:t>
      </w:r>
      <w:r w:rsidR="00DA5B38" w:rsidRPr="00D869E3">
        <w:rPr>
          <w:rFonts w:ascii="Verdana" w:hAnsi="Verdana" w:cs="Arial"/>
          <w:sz w:val="20"/>
          <w:szCs w:val="20"/>
          <w:lang w:val="en-US"/>
        </w:rPr>
        <w:t>’s jurisdiction</w:t>
      </w:r>
      <w:r w:rsidRPr="00D869E3">
        <w:rPr>
          <w:rFonts w:ascii="Verdana" w:hAnsi="Verdana" w:cs="Arial"/>
          <w:sz w:val="20"/>
          <w:szCs w:val="20"/>
          <w:lang w:val="en-US"/>
        </w:rPr>
        <w:t xml:space="preserve"> should not be understood as denying the importance and the need to make the ESCR justiciable, because the</w:t>
      </w:r>
      <w:r w:rsidR="00DA5B38" w:rsidRPr="00D869E3">
        <w:rPr>
          <w:rFonts w:ascii="Verdana" w:hAnsi="Verdana" w:cs="Arial"/>
          <w:sz w:val="20"/>
          <w:szCs w:val="20"/>
          <w:lang w:val="en-US"/>
        </w:rPr>
        <w:t>se</w:t>
      </w:r>
      <w:r w:rsidRPr="00D869E3">
        <w:rPr>
          <w:rFonts w:ascii="Verdana" w:hAnsi="Verdana" w:cs="Arial"/>
          <w:sz w:val="20"/>
          <w:szCs w:val="20"/>
          <w:lang w:val="en-US"/>
        </w:rPr>
        <w:t xml:space="preserve"> are two distinct issues. Indeed, the abundant case law on the matter that I helped to develop while a justice of the Colombian </w:t>
      </w:r>
      <w:r w:rsidR="00674572" w:rsidRPr="00D869E3">
        <w:rPr>
          <w:rFonts w:ascii="Verdana" w:hAnsi="Verdana" w:cs="Arial"/>
          <w:sz w:val="20"/>
          <w:szCs w:val="20"/>
          <w:lang w:val="en-US"/>
        </w:rPr>
        <w:t>Constitutional Court</w:t>
      </w:r>
      <w:r w:rsidR="00E70701" w:rsidRPr="00D869E3">
        <w:rPr>
          <w:rStyle w:val="Refdenotaalpie"/>
          <w:rFonts w:cs="Arial"/>
          <w:szCs w:val="20"/>
          <w:lang w:val="en-US"/>
        </w:rPr>
        <w:footnoteReference w:id="444"/>
      </w:r>
      <w:r w:rsidR="00E70701" w:rsidRPr="00D869E3">
        <w:rPr>
          <w:rFonts w:ascii="Verdana" w:hAnsi="Verdana" w:cs="Arial"/>
          <w:sz w:val="20"/>
          <w:szCs w:val="20"/>
          <w:lang w:val="en-US"/>
        </w:rPr>
        <w:t xml:space="preserve"> </w:t>
      </w:r>
      <w:r w:rsidRPr="00D869E3">
        <w:rPr>
          <w:rFonts w:ascii="Verdana" w:hAnsi="Verdana" w:cs="Arial"/>
          <w:sz w:val="20"/>
          <w:szCs w:val="20"/>
          <w:lang w:val="en-US"/>
        </w:rPr>
        <w:t>proves that my position is in favor of ensuring those rights directly when the</w:t>
      </w:r>
      <w:r w:rsidR="00DA5B38" w:rsidRPr="00D869E3">
        <w:rPr>
          <w:rFonts w:ascii="Verdana" w:hAnsi="Verdana" w:cs="Arial"/>
          <w:sz w:val="20"/>
          <w:szCs w:val="20"/>
          <w:lang w:val="en-US"/>
        </w:rPr>
        <w:t xml:space="preserve"> jurisdictional circumstances are </w:t>
      </w:r>
      <w:r w:rsidRPr="00D869E3">
        <w:rPr>
          <w:rFonts w:ascii="Verdana" w:hAnsi="Verdana" w:cs="Arial"/>
          <w:sz w:val="20"/>
          <w:szCs w:val="20"/>
          <w:lang w:val="en-US"/>
        </w:rPr>
        <w:t>appropriate</w:t>
      </w:r>
      <w:r w:rsidR="00E70701" w:rsidRPr="00D869E3">
        <w:rPr>
          <w:rFonts w:ascii="Verdana" w:hAnsi="Verdana" w:cs="Arial"/>
          <w:sz w:val="20"/>
          <w:szCs w:val="20"/>
          <w:lang w:val="en-US"/>
        </w:rPr>
        <w:t xml:space="preserve">. </w:t>
      </w:r>
      <w:r w:rsidRPr="00D869E3">
        <w:rPr>
          <w:rFonts w:ascii="Verdana" w:hAnsi="Verdana" w:cs="Arial"/>
          <w:sz w:val="20"/>
          <w:szCs w:val="20"/>
          <w:lang w:val="en-US"/>
        </w:rPr>
        <w:t xml:space="preserve">Thus, my discussion does not focus on whether the ESCR are human rights that should be respected and ensured by the State, but rather on the way in which this justiciability is achieved under the inter-American system in particular. That said, I will proceed to recall why the direct application </w:t>
      </w:r>
      <w:r w:rsidR="00687684" w:rsidRPr="00D869E3">
        <w:rPr>
          <w:rFonts w:ascii="Verdana" w:hAnsi="Verdana" w:cs="Arial"/>
          <w:sz w:val="20"/>
          <w:szCs w:val="20"/>
          <w:lang w:val="en-US"/>
        </w:rPr>
        <w:t>of Article</w:t>
      </w:r>
      <w:r w:rsidR="00E70701" w:rsidRPr="00D869E3">
        <w:rPr>
          <w:rFonts w:ascii="Verdana" w:hAnsi="Verdana" w:cs="Arial"/>
          <w:sz w:val="20"/>
          <w:szCs w:val="20"/>
          <w:lang w:val="en-US"/>
        </w:rPr>
        <w:t xml:space="preserve"> 26</w:t>
      </w:r>
      <w:r w:rsidR="00447C65" w:rsidRPr="00D869E3">
        <w:rPr>
          <w:rFonts w:ascii="Verdana" w:hAnsi="Verdana" w:cs="Arial"/>
          <w:sz w:val="20"/>
          <w:szCs w:val="20"/>
          <w:lang w:val="en-US"/>
        </w:rPr>
        <w:t xml:space="preserve"> of the American Convention</w:t>
      </w:r>
      <w:r w:rsidR="00E70701" w:rsidRPr="00D869E3">
        <w:rPr>
          <w:rFonts w:ascii="Verdana" w:hAnsi="Verdana" w:cs="Arial"/>
          <w:sz w:val="20"/>
          <w:szCs w:val="20"/>
          <w:lang w:val="en-US"/>
        </w:rPr>
        <w:t xml:space="preserve"> </w:t>
      </w:r>
      <w:r w:rsidRPr="00D869E3">
        <w:rPr>
          <w:rFonts w:ascii="Verdana" w:hAnsi="Verdana" w:cs="Arial"/>
          <w:sz w:val="20"/>
          <w:szCs w:val="20"/>
          <w:lang w:val="en-US"/>
        </w:rPr>
        <w:t>is so conflictive</w:t>
      </w:r>
      <w:r w:rsidR="00E70701" w:rsidRPr="00D869E3">
        <w:rPr>
          <w:rFonts w:ascii="Verdana" w:hAnsi="Verdana" w:cs="Arial"/>
          <w:sz w:val="20"/>
          <w:szCs w:val="20"/>
          <w:lang w:val="en-US"/>
        </w:rPr>
        <w:t xml:space="preserve">. </w:t>
      </w:r>
    </w:p>
    <w:p w14:paraId="08316266" w14:textId="77777777" w:rsidR="00E70701" w:rsidRPr="00D869E3" w:rsidRDefault="00E70701" w:rsidP="00C44F79">
      <w:pPr>
        <w:tabs>
          <w:tab w:val="left" w:pos="709"/>
        </w:tabs>
        <w:rPr>
          <w:rFonts w:ascii="Verdana" w:hAnsi="Verdana" w:cs="Arial"/>
          <w:sz w:val="20"/>
          <w:szCs w:val="20"/>
          <w:lang w:val="en-US"/>
        </w:rPr>
      </w:pPr>
    </w:p>
    <w:p w14:paraId="69988838" w14:textId="1E8C410E" w:rsidR="00E70701" w:rsidRPr="00D869E3" w:rsidRDefault="00075E68" w:rsidP="00E70701">
      <w:pPr>
        <w:pStyle w:val="Prrafodelista"/>
        <w:numPr>
          <w:ilvl w:val="0"/>
          <w:numId w:val="38"/>
        </w:numPr>
        <w:tabs>
          <w:tab w:val="left" w:pos="709"/>
        </w:tabs>
        <w:rPr>
          <w:rFonts w:ascii="Verdana" w:hAnsi="Verdana"/>
          <w:b/>
          <w:sz w:val="20"/>
          <w:szCs w:val="20"/>
          <w:lang w:val="en-US"/>
        </w:rPr>
      </w:pPr>
      <w:r w:rsidRPr="00D869E3">
        <w:rPr>
          <w:rFonts w:ascii="Verdana" w:hAnsi="Verdana"/>
          <w:b/>
          <w:sz w:val="20"/>
          <w:szCs w:val="20"/>
          <w:lang w:val="en-US"/>
        </w:rPr>
        <w:t>Scope</w:t>
      </w:r>
      <w:r w:rsidR="00E70701" w:rsidRPr="00D869E3">
        <w:rPr>
          <w:rFonts w:ascii="Verdana" w:hAnsi="Verdana"/>
          <w:b/>
          <w:sz w:val="20"/>
          <w:szCs w:val="20"/>
          <w:lang w:val="en-US"/>
        </w:rPr>
        <w:t xml:space="preserve"> </w:t>
      </w:r>
      <w:r w:rsidR="00687684" w:rsidRPr="00D869E3">
        <w:rPr>
          <w:rFonts w:ascii="Verdana" w:hAnsi="Verdana"/>
          <w:b/>
          <w:sz w:val="20"/>
          <w:szCs w:val="20"/>
          <w:lang w:val="en-US"/>
        </w:rPr>
        <w:t>of Article</w:t>
      </w:r>
      <w:r w:rsidR="00E70701" w:rsidRPr="00D869E3">
        <w:rPr>
          <w:rFonts w:ascii="Verdana" w:hAnsi="Verdana"/>
          <w:b/>
          <w:sz w:val="20"/>
          <w:szCs w:val="20"/>
          <w:lang w:val="en-US"/>
        </w:rPr>
        <w:t xml:space="preserve"> 26</w:t>
      </w:r>
      <w:r w:rsidR="00447C65" w:rsidRPr="00D869E3">
        <w:rPr>
          <w:rFonts w:ascii="Verdana" w:hAnsi="Verdana"/>
          <w:b/>
          <w:sz w:val="20"/>
          <w:szCs w:val="20"/>
          <w:lang w:val="en-US"/>
        </w:rPr>
        <w:t xml:space="preserve"> of the American Convention</w:t>
      </w:r>
    </w:p>
    <w:p w14:paraId="1BAEA9C8" w14:textId="77777777" w:rsidR="00E70701" w:rsidRPr="00D869E3" w:rsidRDefault="00E70701" w:rsidP="00C44F79">
      <w:pPr>
        <w:jc w:val="both"/>
        <w:rPr>
          <w:rFonts w:ascii="Verdana" w:hAnsi="Verdana" w:cs="Arial"/>
          <w:sz w:val="20"/>
          <w:szCs w:val="20"/>
          <w:lang w:val="en-US"/>
        </w:rPr>
      </w:pPr>
    </w:p>
    <w:p w14:paraId="16B4248B" w14:textId="5F3EE385" w:rsidR="00E70701" w:rsidRPr="00D869E3" w:rsidRDefault="00CA23D8" w:rsidP="00E70701">
      <w:pPr>
        <w:pStyle w:val="Prrafodelista"/>
        <w:numPr>
          <w:ilvl w:val="0"/>
          <w:numId w:val="37"/>
        </w:numPr>
        <w:ind w:left="0" w:firstLine="0"/>
        <w:jc w:val="both"/>
        <w:rPr>
          <w:rFonts w:ascii="Verdana" w:hAnsi="Verdana" w:cs="Arial"/>
          <w:sz w:val="20"/>
          <w:szCs w:val="20"/>
          <w:lang w:val="en-US"/>
        </w:rPr>
      </w:pPr>
      <w:r w:rsidRPr="00D869E3">
        <w:rPr>
          <w:rFonts w:ascii="Verdana" w:hAnsi="Verdana" w:cs="Arial"/>
          <w:sz w:val="20"/>
          <w:szCs w:val="20"/>
          <w:lang w:val="en-US"/>
        </w:rPr>
        <w:t>The scope of this</w:t>
      </w:r>
      <w:r w:rsidR="00E70701" w:rsidRPr="00D869E3">
        <w:rPr>
          <w:rFonts w:ascii="Verdana" w:hAnsi="Verdana" w:cs="Arial"/>
          <w:sz w:val="20"/>
          <w:szCs w:val="20"/>
          <w:lang w:val="en-US"/>
        </w:rPr>
        <w:t xml:space="preserve"> </w:t>
      </w:r>
      <w:r w:rsidRPr="00D869E3">
        <w:rPr>
          <w:rFonts w:ascii="Verdana" w:hAnsi="Verdana" w:cs="Arial"/>
          <w:sz w:val="20"/>
          <w:szCs w:val="20"/>
          <w:lang w:val="en-US"/>
        </w:rPr>
        <w:t>a</w:t>
      </w:r>
      <w:r w:rsidR="00447C65" w:rsidRPr="00D869E3">
        <w:rPr>
          <w:rFonts w:ascii="Verdana" w:hAnsi="Verdana" w:cs="Arial"/>
          <w:sz w:val="20"/>
          <w:szCs w:val="20"/>
          <w:lang w:val="en-US"/>
        </w:rPr>
        <w:t>rticle</w:t>
      </w:r>
      <w:r w:rsidR="00E70701" w:rsidRPr="00D869E3">
        <w:rPr>
          <w:rFonts w:ascii="Verdana" w:hAnsi="Verdana" w:cs="Arial"/>
          <w:sz w:val="20"/>
          <w:szCs w:val="20"/>
          <w:lang w:val="en-US"/>
        </w:rPr>
        <w:t xml:space="preserve"> ha</w:t>
      </w:r>
      <w:r w:rsidRPr="00D869E3">
        <w:rPr>
          <w:rFonts w:ascii="Verdana" w:hAnsi="Verdana" w:cs="Arial"/>
          <w:sz w:val="20"/>
          <w:szCs w:val="20"/>
          <w:lang w:val="en-US"/>
        </w:rPr>
        <w:t>s been discussed profusely by academics</w:t>
      </w:r>
      <w:r w:rsidR="00E70701" w:rsidRPr="00D869E3">
        <w:rPr>
          <w:rStyle w:val="Refdenotaalpie"/>
          <w:rFonts w:cs="Arial"/>
          <w:szCs w:val="20"/>
          <w:lang w:val="en-US"/>
        </w:rPr>
        <w:footnoteReference w:id="445"/>
      </w:r>
      <w:r w:rsidR="00687684" w:rsidRPr="00D869E3">
        <w:rPr>
          <w:rFonts w:ascii="Verdana" w:hAnsi="Verdana" w:cs="Arial"/>
          <w:sz w:val="20"/>
          <w:szCs w:val="20"/>
          <w:lang w:val="en-US"/>
        </w:rPr>
        <w:t xml:space="preserve"> and </w:t>
      </w:r>
      <w:r w:rsidRPr="00D869E3">
        <w:rPr>
          <w:rFonts w:ascii="Verdana" w:hAnsi="Verdana" w:cs="Arial"/>
          <w:sz w:val="20"/>
          <w:szCs w:val="20"/>
          <w:lang w:val="en-US"/>
        </w:rPr>
        <w:t>within</w:t>
      </w:r>
      <w:r w:rsidR="00447C65" w:rsidRPr="00D869E3">
        <w:rPr>
          <w:rFonts w:ascii="Verdana" w:hAnsi="Verdana" w:cs="Arial"/>
          <w:sz w:val="20"/>
          <w:szCs w:val="20"/>
          <w:lang w:val="en-US"/>
        </w:rPr>
        <w:t xml:space="preserve"> </w:t>
      </w:r>
      <w:r w:rsidR="00671B14" w:rsidRPr="00D869E3">
        <w:rPr>
          <w:rFonts w:ascii="Verdana" w:hAnsi="Verdana" w:cs="Arial"/>
          <w:sz w:val="20"/>
          <w:szCs w:val="20"/>
          <w:lang w:val="en-US"/>
        </w:rPr>
        <w:t>the Inter-American Court</w:t>
      </w:r>
      <w:r w:rsidRPr="00D869E3">
        <w:rPr>
          <w:rFonts w:ascii="Verdana" w:hAnsi="Verdana" w:cs="Arial"/>
          <w:sz w:val="20"/>
          <w:szCs w:val="20"/>
          <w:lang w:val="en-US"/>
        </w:rPr>
        <w:t>,</w:t>
      </w:r>
      <w:r w:rsidR="00E70701" w:rsidRPr="00D869E3">
        <w:rPr>
          <w:rStyle w:val="Refdenotaalpie"/>
          <w:rFonts w:cs="Arial"/>
          <w:szCs w:val="20"/>
          <w:lang w:val="en-US"/>
        </w:rPr>
        <w:footnoteReference w:id="446"/>
      </w:r>
      <w:r w:rsidR="00260A24" w:rsidRPr="00D869E3">
        <w:rPr>
          <w:rFonts w:ascii="Verdana" w:hAnsi="Verdana" w:cs="Arial"/>
          <w:sz w:val="20"/>
          <w:szCs w:val="20"/>
          <w:lang w:val="en-US"/>
        </w:rPr>
        <w:t xml:space="preserve"> </w:t>
      </w:r>
      <w:r w:rsidR="00DA5B38" w:rsidRPr="00D869E3">
        <w:rPr>
          <w:rFonts w:ascii="Verdana" w:hAnsi="Verdana" w:cs="Arial"/>
          <w:sz w:val="20"/>
          <w:szCs w:val="20"/>
          <w:lang w:val="en-US"/>
        </w:rPr>
        <w:t>and</w:t>
      </w:r>
      <w:r w:rsidR="00260A24" w:rsidRPr="00D869E3">
        <w:rPr>
          <w:rFonts w:ascii="Verdana" w:hAnsi="Verdana" w:cs="Arial"/>
          <w:sz w:val="20"/>
          <w:szCs w:val="20"/>
          <w:lang w:val="en-US"/>
        </w:rPr>
        <w:t xml:space="preserve"> efforts have been made to expand the debate to issues such as the benefit-related nature of the</w:t>
      </w:r>
      <w:r w:rsidR="00E70701" w:rsidRPr="00D869E3">
        <w:rPr>
          <w:rFonts w:ascii="Verdana" w:hAnsi="Verdana" w:cs="Arial"/>
          <w:sz w:val="20"/>
          <w:szCs w:val="20"/>
          <w:lang w:val="en-US"/>
        </w:rPr>
        <w:t xml:space="preserve"> </w:t>
      </w:r>
      <w:r w:rsidR="00F42CF0" w:rsidRPr="00D869E3">
        <w:rPr>
          <w:rFonts w:ascii="Verdana" w:hAnsi="Verdana" w:cs="Arial"/>
          <w:sz w:val="20"/>
          <w:szCs w:val="20"/>
          <w:lang w:val="en-US"/>
        </w:rPr>
        <w:t>ESCR</w:t>
      </w:r>
      <w:r w:rsidR="00E70701" w:rsidRPr="00D869E3">
        <w:rPr>
          <w:rFonts w:ascii="Verdana" w:hAnsi="Verdana" w:cs="Arial"/>
          <w:sz w:val="20"/>
          <w:szCs w:val="20"/>
          <w:lang w:val="en-US"/>
        </w:rPr>
        <w:t xml:space="preserve"> o</w:t>
      </w:r>
      <w:r w:rsidR="00260A24" w:rsidRPr="00D869E3">
        <w:rPr>
          <w:rFonts w:ascii="Verdana" w:hAnsi="Verdana" w:cs="Arial"/>
          <w:sz w:val="20"/>
          <w:szCs w:val="20"/>
          <w:lang w:val="en-US"/>
        </w:rPr>
        <w:t xml:space="preserve">r their indivisibility, when the central question that should be asked to understand the scope of these rights is: does </w:t>
      </w:r>
      <w:r w:rsidR="00447C65" w:rsidRPr="00D869E3">
        <w:rPr>
          <w:rFonts w:ascii="Verdana" w:hAnsi="Verdana" w:cs="Arial"/>
          <w:sz w:val="20"/>
          <w:szCs w:val="20"/>
          <w:lang w:val="en-US"/>
        </w:rPr>
        <w:t>Article</w:t>
      </w:r>
      <w:r w:rsidR="00E70701" w:rsidRPr="00D869E3">
        <w:rPr>
          <w:rFonts w:ascii="Verdana" w:hAnsi="Verdana" w:cs="Arial"/>
          <w:sz w:val="20"/>
          <w:szCs w:val="20"/>
          <w:lang w:val="en-US"/>
        </w:rPr>
        <w:t xml:space="preserve"> 26 </w:t>
      </w:r>
      <w:r w:rsidR="00F42CF0" w:rsidRPr="00D869E3">
        <w:rPr>
          <w:rFonts w:ascii="Verdana" w:hAnsi="Verdana" w:cs="Arial"/>
          <w:sz w:val="20"/>
          <w:szCs w:val="20"/>
          <w:lang w:val="en-US"/>
        </w:rPr>
        <w:t>of the ACHR</w:t>
      </w:r>
      <w:r w:rsidR="00E70701" w:rsidRPr="00D869E3">
        <w:rPr>
          <w:rFonts w:ascii="Verdana" w:hAnsi="Verdana" w:cs="Arial"/>
          <w:sz w:val="20"/>
          <w:szCs w:val="20"/>
          <w:lang w:val="en-US"/>
        </w:rPr>
        <w:t xml:space="preserve"> </w:t>
      </w:r>
      <w:r w:rsidR="00260A24" w:rsidRPr="00D869E3">
        <w:rPr>
          <w:rFonts w:ascii="Verdana" w:hAnsi="Verdana" w:cs="Arial"/>
          <w:sz w:val="20"/>
          <w:szCs w:val="20"/>
          <w:lang w:val="en-US"/>
        </w:rPr>
        <w:t xml:space="preserve">contain subjective </w:t>
      </w:r>
      <w:r w:rsidR="00881A39" w:rsidRPr="00D869E3">
        <w:rPr>
          <w:rFonts w:ascii="Verdana" w:hAnsi="Verdana" w:cs="Arial"/>
          <w:sz w:val="20"/>
          <w:szCs w:val="20"/>
          <w:lang w:val="en-US"/>
        </w:rPr>
        <w:t>rights</w:t>
      </w:r>
      <w:r w:rsidR="00E70701" w:rsidRPr="00D869E3">
        <w:rPr>
          <w:rFonts w:ascii="Verdana" w:hAnsi="Verdana" w:cs="Arial"/>
          <w:sz w:val="20"/>
          <w:szCs w:val="20"/>
          <w:lang w:val="en-US"/>
        </w:rPr>
        <w:t xml:space="preserve">? </w:t>
      </w:r>
    </w:p>
    <w:p w14:paraId="17EA9588" w14:textId="77777777" w:rsidR="00E70701" w:rsidRPr="00D869E3" w:rsidRDefault="00E70701" w:rsidP="00C44F79">
      <w:pPr>
        <w:pStyle w:val="Prrafodelista"/>
        <w:ind w:left="0"/>
        <w:jc w:val="both"/>
        <w:rPr>
          <w:rFonts w:ascii="Verdana" w:hAnsi="Verdana" w:cs="Arial"/>
          <w:sz w:val="20"/>
          <w:szCs w:val="20"/>
          <w:lang w:val="en-US"/>
        </w:rPr>
      </w:pPr>
    </w:p>
    <w:p w14:paraId="1D773C41" w14:textId="39ACE41D" w:rsidR="00E70701" w:rsidRPr="00D869E3" w:rsidRDefault="00075E68" w:rsidP="00E70701">
      <w:pPr>
        <w:pStyle w:val="Prrafodelista"/>
        <w:numPr>
          <w:ilvl w:val="0"/>
          <w:numId w:val="37"/>
        </w:numPr>
        <w:ind w:left="0" w:firstLine="0"/>
        <w:jc w:val="both"/>
        <w:rPr>
          <w:rFonts w:ascii="Verdana" w:hAnsi="Verdana" w:cs="Arial"/>
          <w:sz w:val="20"/>
          <w:szCs w:val="20"/>
          <w:lang w:val="en-US"/>
        </w:rPr>
      </w:pPr>
      <w:r w:rsidRPr="00D869E3">
        <w:rPr>
          <w:rFonts w:ascii="Verdana" w:hAnsi="Verdana"/>
          <w:sz w:val="20"/>
          <w:szCs w:val="20"/>
          <w:lang w:val="en-US"/>
        </w:rPr>
        <w:t>In this regard</w:t>
      </w:r>
      <w:r w:rsidR="00E70701" w:rsidRPr="00D869E3">
        <w:rPr>
          <w:rFonts w:ascii="Verdana" w:hAnsi="Verdana"/>
          <w:sz w:val="20"/>
          <w:szCs w:val="20"/>
          <w:lang w:val="en-US"/>
        </w:rPr>
        <w:t xml:space="preserve">, </w:t>
      </w:r>
      <w:r w:rsidR="00260A24" w:rsidRPr="00D869E3">
        <w:rPr>
          <w:rFonts w:ascii="Verdana" w:hAnsi="Verdana"/>
          <w:sz w:val="20"/>
          <w:szCs w:val="20"/>
          <w:lang w:val="en-US"/>
        </w:rPr>
        <w:t>I have indicated on previous occasions</w:t>
      </w:r>
      <w:r w:rsidR="00E70701" w:rsidRPr="00D869E3">
        <w:rPr>
          <w:rStyle w:val="Refdenotaalpie"/>
          <w:szCs w:val="20"/>
          <w:lang w:val="en-US"/>
        </w:rPr>
        <w:footnoteReference w:id="447"/>
      </w:r>
      <w:r w:rsidR="00E70701" w:rsidRPr="00D869E3">
        <w:rPr>
          <w:rFonts w:ascii="Verdana" w:hAnsi="Verdana"/>
          <w:sz w:val="20"/>
          <w:szCs w:val="20"/>
          <w:lang w:val="en-US"/>
        </w:rPr>
        <w:t xml:space="preserve"> </w:t>
      </w:r>
      <w:r w:rsidR="00260A24" w:rsidRPr="00D869E3">
        <w:rPr>
          <w:rFonts w:ascii="Verdana" w:hAnsi="Verdana"/>
          <w:sz w:val="20"/>
          <w:szCs w:val="20"/>
          <w:lang w:val="en-US"/>
        </w:rPr>
        <w:t>that</w:t>
      </w:r>
      <w:r w:rsidR="00E70701" w:rsidRPr="00D869E3">
        <w:rPr>
          <w:rFonts w:ascii="Verdana" w:hAnsi="Verdana"/>
          <w:sz w:val="20"/>
          <w:szCs w:val="20"/>
          <w:lang w:val="en-US"/>
        </w:rPr>
        <w:t xml:space="preserve"> </w:t>
      </w:r>
      <w:r w:rsidR="00447C65" w:rsidRPr="00D869E3">
        <w:rPr>
          <w:rFonts w:ascii="Verdana" w:hAnsi="Verdana"/>
          <w:sz w:val="20"/>
          <w:szCs w:val="20"/>
          <w:lang w:val="en-US"/>
        </w:rPr>
        <w:t>Article</w:t>
      </w:r>
      <w:r w:rsidR="00E70701" w:rsidRPr="00D869E3">
        <w:rPr>
          <w:rFonts w:ascii="Verdana" w:hAnsi="Verdana"/>
          <w:sz w:val="20"/>
          <w:szCs w:val="20"/>
          <w:lang w:val="en-US"/>
        </w:rPr>
        <w:t xml:space="preserve"> 26</w:t>
      </w:r>
      <w:r w:rsidR="00E70701" w:rsidRPr="00D869E3">
        <w:rPr>
          <w:rStyle w:val="Refdenotaalpie"/>
          <w:szCs w:val="20"/>
          <w:lang w:val="en-US"/>
        </w:rPr>
        <w:footnoteReference w:id="448"/>
      </w:r>
      <w:r w:rsidR="00E70701" w:rsidRPr="00D869E3">
        <w:rPr>
          <w:rFonts w:ascii="Verdana" w:hAnsi="Verdana"/>
          <w:sz w:val="20"/>
          <w:szCs w:val="20"/>
          <w:lang w:val="en-US"/>
        </w:rPr>
        <w:t xml:space="preserve"> </w:t>
      </w:r>
      <w:r w:rsidR="00F42CF0" w:rsidRPr="00D869E3">
        <w:rPr>
          <w:rFonts w:ascii="Verdana" w:hAnsi="Verdana"/>
          <w:sz w:val="20"/>
          <w:szCs w:val="20"/>
          <w:lang w:val="en-US"/>
        </w:rPr>
        <w:t>of the ACHR</w:t>
      </w:r>
      <w:r w:rsidR="00E70701" w:rsidRPr="00D869E3">
        <w:rPr>
          <w:rFonts w:ascii="Verdana" w:hAnsi="Verdana"/>
          <w:sz w:val="20"/>
          <w:szCs w:val="20"/>
          <w:lang w:val="en-US"/>
        </w:rPr>
        <w:t xml:space="preserve"> </w:t>
      </w:r>
      <w:r w:rsidR="00260A24" w:rsidRPr="00D869E3">
        <w:rPr>
          <w:rFonts w:ascii="Verdana" w:hAnsi="Verdana"/>
          <w:sz w:val="20"/>
          <w:szCs w:val="20"/>
          <w:lang w:val="en-US"/>
        </w:rPr>
        <w:t xml:space="preserve">does not establish a list of </w:t>
      </w:r>
      <w:r w:rsidR="00881A39" w:rsidRPr="00D869E3">
        <w:rPr>
          <w:rFonts w:ascii="Verdana" w:hAnsi="Verdana"/>
          <w:sz w:val="20"/>
          <w:szCs w:val="20"/>
          <w:lang w:val="en-US"/>
        </w:rPr>
        <w:t>rights</w:t>
      </w:r>
      <w:r w:rsidR="00260A24" w:rsidRPr="00D869E3">
        <w:rPr>
          <w:rFonts w:ascii="Verdana" w:hAnsi="Verdana"/>
          <w:sz w:val="20"/>
          <w:szCs w:val="20"/>
          <w:lang w:val="en-US"/>
        </w:rPr>
        <w:t xml:space="preserve">; rather the obligation </w:t>
      </w:r>
      <w:r w:rsidR="00133C67" w:rsidRPr="00D869E3">
        <w:rPr>
          <w:rFonts w:ascii="Verdana" w:hAnsi="Verdana"/>
          <w:sz w:val="20"/>
          <w:szCs w:val="20"/>
          <w:lang w:val="en-US"/>
        </w:rPr>
        <w:t>entailed by</w:t>
      </w:r>
      <w:r w:rsidR="00260A24" w:rsidRPr="00D869E3">
        <w:rPr>
          <w:rFonts w:ascii="Verdana" w:hAnsi="Verdana"/>
          <w:sz w:val="20"/>
          <w:szCs w:val="20"/>
          <w:lang w:val="en-US"/>
        </w:rPr>
        <w:t xml:space="preserve"> this article</w:t>
      </w:r>
      <w:r w:rsidR="00133C67" w:rsidRPr="00D869E3">
        <w:rPr>
          <w:rFonts w:ascii="Verdana" w:hAnsi="Verdana"/>
          <w:sz w:val="20"/>
          <w:szCs w:val="20"/>
          <w:lang w:val="en-US"/>
        </w:rPr>
        <w:t xml:space="preserve">, which </w:t>
      </w:r>
      <w:r w:rsidR="00260A24" w:rsidRPr="00D869E3">
        <w:rPr>
          <w:rFonts w:ascii="Verdana" w:hAnsi="Verdana"/>
          <w:sz w:val="20"/>
          <w:szCs w:val="20"/>
          <w:lang w:val="en-US"/>
        </w:rPr>
        <w:t>the Court is able to monitor directly</w:t>
      </w:r>
      <w:r w:rsidR="00133C67" w:rsidRPr="00D869E3">
        <w:rPr>
          <w:rFonts w:ascii="Verdana" w:hAnsi="Verdana"/>
          <w:sz w:val="20"/>
          <w:szCs w:val="20"/>
          <w:lang w:val="en-US"/>
        </w:rPr>
        <w:t>,</w:t>
      </w:r>
      <w:r w:rsidR="00260A24" w:rsidRPr="00D869E3">
        <w:rPr>
          <w:rFonts w:ascii="Verdana" w:hAnsi="Verdana"/>
          <w:sz w:val="20"/>
          <w:szCs w:val="20"/>
          <w:lang w:val="en-US"/>
        </w:rPr>
        <w:t xml:space="preserve"> is compliance with the obligation of progressive development – and the consequent obligation of non-retrogressivity – of the rights that may be derived from </w:t>
      </w:r>
      <w:r w:rsidR="00EA232B" w:rsidRPr="00D869E3">
        <w:rPr>
          <w:rFonts w:ascii="Verdana" w:hAnsi="Verdana"/>
          <w:sz w:val="20"/>
          <w:szCs w:val="20"/>
          <w:lang w:val="en-US"/>
        </w:rPr>
        <w:t xml:space="preserve">the </w:t>
      </w:r>
      <w:r w:rsidR="00317073" w:rsidRPr="00D869E3">
        <w:rPr>
          <w:rFonts w:ascii="Verdana" w:hAnsi="Verdana"/>
          <w:sz w:val="20"/>
          <w:szCs w:val="20"/>
          <w:lang w:val="en-US"/>
        </w:rPr>
        <w:t>Charter of the</w:t>
      </w:r>
      <w:r w:rsidR="00E70701" w:rsidRPr="00D869E3">
        <w:rPr>
          <w:rFonts w:ascii="Verdana" w:hAnsi="Verdana"/>
          <w:sz w:val="20"/>
          <w:szCs w:val="20"/>
          <w:lang w:val="en-US"/>
        </w:rPr>
        <w:t xml:space="preserve"> </w:t>
      </w:r>
      <w:r w:rsidR="00260A24" w:rsidRPr="00D869E3">
        <w:rPr>
          <w:rFonts w:ascii="Verdana" w:hAnsi="Verdana"/>
          <w:sz w:val="20"/>
          <w:szCs w:val="20"/>
          <w:lang w:val="en-US"/>
        </w:rPr>
        <w:t>Organization of American States</w:t>
      </w:r>
      <w:r w:rsidR="00E70701" w:rsidRPr="00D869E3">
        <w:rPr>
          <w:rFonts w:ascii="Verdana" w:hAnsi="Verdana"/>
          <w:sz w:val="20"/>
          <w:szCs w:val="20"/>
          <w:lang w:val="en-US"/>
        </w:rPr>
        <w:t xml:space="preserve"> (</w:t>
      </w:r>
      <w:r w:rsidR="00447C65" w:rsidRPr="00D869E3">
        <w:rPr>
          <w:rFonts w:ascii="Verdana" w:hAnsi="Verdana"/>
          <w:sz w:val="20"/>
          <w:szCs w:val="20"/>
          <w:lang w:val="en-US"/>
        </w:rPr>
        <w:t>hereinafter</w:t>
      </w:r>
      <w:r w:rsidR="00E70701" w:rsidRPr="00D869E3">
        <w:rPr>
          <w:rFonts w:ascii="Verdana" w:hAnsi="Verdana"/>
          <w:sz w:val="20"/>
          <w:szCs w:val="20"/>
          <w:lang w:val="en-US"/>
        </w:rPr>
        <w:t xml:space="preserve"> </w:t>
      </w:r>
      <w:r w:rsidR="006436CA" w:rsidRPr="00D869E3">
        <w:rPr>
          <w:rFonts w:ascii="Verdana" w:hAnsi="Verdana"/>
          <w:sz w:val="20"/>
          <w:szCs w:val="20"/>
          <w:lang w:val="en-US"/>
        </w:rPr>
        <w:t>“</w:t>
      </w:r>
      <w:r w:rsidR="00260A24" w:rsidRPr="00D869E3">
        <w:rPr>
          <w:rFonts w:ascii="Verdana" w:hAnsi="Verdana"/>
          <w:sz w:val="20"/>
          <w:szCs w:val="20"/>
          <w:lang w:val="en-US"/>
        </w:rPr>
        <w:t>the Charter</w:t>
      </w:r>
      <w:r w:rsidR="006436CA" w:rsidRPr="00D869E3">
        <w:rPr>
          <w:rFonts w:ascii="Verdana" w:hAnsi="Verdana"/>
          <w:sz w:val="20"/>
          <w:szCs w:val="20"/>
          <w:lang w:val="en-US"/>
        </w:rPr>
        <w:t>”</w:t>
      </w:r>
      <w:r w:rsidR="00E70701" w:rsidRPr="00D869E3">
        <w:rPr>
          <w:rFonts w:ascii="Verdana" w:hAnsi="Verdana"/>
          <w:sz w:val="20"/>
          <w:szCs w:val="20"/>
          <w:lang w:val="en-US"/>
        </w:rPr>
        <w:t>).</w:t>
      </w:r>
    </w:p>
    <w:p w14:paraId="024F45C9" w14:textId="77777777" w:rsidR="00E70701" w:rsidRPr="00D869E3" w:rsidRDefault="00E70701" w:rsidP="00C44F79">
      <w:pPr>
        <w:jc w:val="both"/>
        <w:rPr>
          <w:rFonts w:ascii="Verdana" w:hAnsi="Verdana"/>
          <w:sz w:val="20"/>
          <w:szCs w:val="20"/>
          <w:lang w:val="en-US"/>
        </w:rPr>
      </w:pPr>
    </w:p>
    <w:p w14:paraId="7A483F3C" w14:textId="4A9E8FFA" w:rsidR="001D52F2" w:rsidRPr="00D869E3" w:rsidRDefault="001D52F2" w:rsidP="00E70701">
      <w:pPr>
        <w:pStyle w:val="Prrafodelista"/>
        <w:numPr>
          <w:ilvl w:val="0"/>
          <w:numId w:val="37"/>
        </w:numPr>
        <w:ind w:left="0" w:firstLine="0"/>
        <w:jc w:val="both"/>
        <w:rPr>
          <w:rFonts w:ascii="Verdana" w:hAnsi="Verdana" w:cs="Arial"/>
          <w:sz w:val="20"/>
          <w:szCs w:val="20"/>
          <w:lang w:val="en-US"/>
        </w:rPr>
      </w:pPr>
      <w:r w:rsidRPr="00D869E3">
        <w:rPr>
          <w:rFonts w:ascii="Verdana" w:hAnsi="Verdana"/>
          <w:sz w:val="20"/>
          <w:szCs w:val="20"/>
          <w:lang w:val="en-US"/>
        </w:rPr>
        <w:t xml:space="preserve">This is because the said article </w:t>
      </w:r>
      <w:r w:rsidR="007F6AF9" w:rsidRPr="00D869E3">
        <w:rPr>
          <w:rFonts w:ascii="Verdana" w:hAnsi="Verdana"/>
          <w:sz w:val="20"/>
          <w:szCs w:val="20"/>
          <w:lang w:val="en-US"/>
        </w:rPr>
        <w:t>refers</w:t>
      </w:r>
      <w:r w:rsidRPr="00D869E3">
        <w:rPr>
          <w:rFonts w:ascii="Verdana" w:hAnsi="Verdana"/>
          <w:sz w:val="20"/>
          <w:szCs w:val="20"/>
          <w:lang w:val="en-US"/>
        </w:rPr>
        <w:t xml:space="preserve"> direct</w:t>
      </w:r>
      <w:r w:rsidR="007F6AF9" w:rsidRPr="00D869E3">
        <w:rPr>
          <w:rFonts w:ascii="Verdana" w:hAnsi="Verdana"/>
          <w:sz w:val="20"/>
          <w:szCs w:val="20"/>
          <w:lang w:val="en-US"/>
        </w:rPr>
        <w:t xml:space="preserve">ly back </w:t>
      </w:r>
      <w:r w:rsidRPr="00D869E3">
        <w:rPr>
          <w:rFonts w:ascii="Verdana" w:hAnsi="Verdana"/>
          <w:sz w:val="20"/>
          <w:szCs w:val="20"/>
          <w:lang w:val="en-US"/>
        </w:rPr>
        <w:t xml:space="preserve">to </w:t>
      </w:r>
      <w:r w:rsidR="00317073" w:rsidRPr="00D869E3">
        <w:rPr>
          <w:rFonts w:ascii="Verdana" w:hAnsi="Verdana"/>
          <w:sz w:val="20"/>
          <w:szCs w:val="20"/>
          <w:lang w:val="en-US"/>
        </w:rPr>
        <w:t>the Charter of the</w:t>
      </w:r>
      <w:r w:rsidR="00E70701" w:rsidRPr="00D869E3">
        <w:rPr>
          <w:rFonts w:ascii="Verdana" w:hAnsi="Verdana"/>
          <w:sz w:val="20"/>
          <w:szCs w:val="20"/>
          <w:lang w:val="en-US"/>
        </w:rPr>
        <w:t xml:space="preserve"> </w:t>
      </w:r>
      <w:r w:rsidR="00260A24" w:rsidRPr="00D869E3">
        <w:rPr>
          <w:rFonts w:ascii="Verdana" w:hAnsi="Verdana"/>
          <w:sz w:val="20"/>
          <w:szCs w:val="20"/>
          <w:lang w:val="en-US"/>
        </w:rPr>
        <w:t>Organization of American States</w:t>
      </w:r>
      <w:r w:rsidR="00E70701" w:rsidRPr="00D869E3">
        <w:rPr>
          <w:rFonts w:ascii="Verdana" w:hAnsi="Verdana"/>
          <w:sz w:val="20"/>
          <w:szCs w:val="20"/>
          <w:lang w:val="en-US"/>
        </w:rPr>
        <w:t xml:space="preserve">. </w:t>
      </w:r>
      <w:r w:rsidRPr="00D869E3">
        <w:rPr>
          <w:rFonts w:ascii="Verdana" w:hAnsi="Verdana"/>
          <w:sz w:val="20"/>
          <w:szCs w:val="20"/>
          <w:lang w:val="en-US"/>
        </w:rPr>
        <w:t xml:space="preserve">However, from </w:t>
      </w:r>
      <w:r w:rsidR="007F6AF9" w:rsidRPr="00D869E3">
        <w:rPr>
          <w:rFonts w:ascii="Verdana" w:hAnsi="Verdana"/>
          <w:sz w:val="20"/>
          <w:szCs w:val="20"/>
          <w:lang w:val="en-US"/>
        </w:rPr>
        <w:t>r</w:t>
      </w:r>
      <w:r w:rsidRPr="00D869E3">
        <w:rPr>
          <w:rFonts w:ascii="Verdana" w:hAnsi="Verdana"/>
          <w:sz w:val="20"/>
          <w:szCs w:val="20"/>
          <w:lang w:val="en-US"/>
        </w:rPr>
        <w:t xml:space="preserve">eading the Charter it may be concluded that </w:t>
      </w:r>
      <w:r w:rsidR="007F6AF9" w:rsidRPr="00D869E3">
        <w:rPr>
          <w:rFonts w:ascii="Verdana" w:hAnsi="Verdana"/>
          <w:sz w:val="20"/>
          <w:szCs w:val="20"/>
          <w:lang w:val="en-US"/>
        </w:rPr>
        <w:t xml:space="preserve">neither does this text </w:t>
      </w:r>
      <w:r w:rsidRPr="00D869E3">
        <w:rPr>
          <w:rFonts w:ascii="Verdana" w:hAnsi="Verdana"/>
          <w:sz w:val="20"/>
          <w:szCs w:val="20"/>
          <w:lang w:val="en-US"/>
        </w:rPr>
        <w:t xml:space="preserve">contain a list of clear and precise subjective rights; rather, to the contrary, it contains a list of goals and expectations that the States of the region pursue, which makes it difficult to understand which </w:t>
      </w:r>
      <w:r w:rsidR="007F6AF9" w:rsidRPr="00D869E3">
        <w:rPr>
          <w:rFonts w:ascii="Verdana" w:hAnsi="Verdana"/>
          <w:sz w:val="20"/>
          <w:szCs w:val="20"/>
          <w:lang w:val="en-US"/>
        </w:rPr>
        <w:t xml:space="preserve">are the </w:t>
      </w:r>
      <w:r w:rsidRPr="00D869E3">
        <w:rPr>
          <w:rFonts w:ascii="Verdana" w:hAnsi="Verdana"/>
          <w:sz w:val="20"/>
          <w:szCs w:val="20"/>
          <w:lang w:val="en-US"/>
        </w:rPr>
        <w:t xml:space="preserve">rights </w:t>
      </w:r>
      <w:r w:rsidR="007F6AF9" w:rsidRPr="00D869E3">
        <w:rPr>
          <w:rFonts w:ascii="Verdana" w:hAnsi="Verdana"/>
          <w:sz w:val="20"/>
          <w:szCs w:val="20"/>
          <w:lang w:val="en-US"/>
        </w:rPr>
        <w:t xml:space="preserve">that </w:t>
      </w:r>
      <w:r w:rsidRPr="00D869E3">
        <w:rPr>
          <w:rFonts w:ascii="Verdana" w:hAnsi="Verdana"/>
          <w:sz w:val="20"/>
          <w:szCs w:val="20"/>
          <w:lang w:val="en-US"/>
        </w:rPr>
        <w:t xml:space="preserve">the </w:t>
      </w:r>
      <w:r w:rsidR="007F6AF9" w:rsidRPr="00D869E3">
        <w:rPr>
          <w:rFonts w:ascii="Verdana" w:hAnsi="Verdana"/>
          <w:sz w:val="20"/>
          <w:szCs w:val="20"/>
          <w:lang w:val="en-US"/>
        </w:rPr>
        <w:t>said A</w:t>
      </w:r>
      <w:r w:rsidRPr="00D869E3">
        <w:rPr>
          <w:rFonts w:ascii="Verdana" w:hAnsi="Verdana"/>
          <w:sz w:val="20"/>
          <w:szCs w:val="20"/>
          <w:lang w:val="en-US"/>
        </w:rPr>
        <w:t xml:space="preserve">rticle </w:t>
      </w:r>
      <w:r w:rsidR="007F6AF9" w:rsidRPr="00D869E3">
        <w:rPr>
          <w:rFonts w:ascii="Verdana" w:hAnsi="Verdana"/>
          <w:sz w:val="20"/>
          <w:szCs w:val="20"/>
          <w:lang w:val="en-US"/>
        </w:rPr>
        <w:t xml:space="preserve">26 </w:t>
      </w:r>
      <w:r w:rsidRPr="00D869E3">
        <w:rPr>
          <w:rFonts w:ascii="Verdana" w:hAnsi="Verdana"/>
          <w:sz w:val="20"/>
          <w:szCs w:val="20"/>
          <w:lang w:val="en-US"/>
        </w:rPr>
        <w:t>mentions. In particular, there are few express references to the ESCR and, it is necessary to make a fairly extensive interpretive effort in order to affirm that they are really established in the Charter.</w:t>
      </w:r>
    </w:p>
    <w:p w14:paraId="25367A41" w14:textId="77777777" w:rsidR="00E70701" w:rsidRPr="00D869E3" w:rsidRDefault="00E70701" w:rsidP="00C44F79">
      <w:pPr>
        <w:jc w:val="both"/>
        <w:rPr>
          <w:rFonts w:ascii="Verdana" w:hAnsi="Verdana"/>
          <w:sz w:val="20"/>
          <w:szCs w:val="20"/>
          <w:lang w:val="en-US"/>
        </w:rPr>
      </w:pPr>
    </w:p>
    <w:p w14:paraId="35FCD393" w14:textId="3A66E2C3" w:rsidR="00E70701" w:rsidRPr="00D869E3" w:rsidRDefault="001D52F2" w:rsidP="001D52F2">
      <w:pPr>
        <w:pStyle w:val="Prrafodelista"/>
        <w:numPr>
          <w:ilvl w:val="0"/>
          <w:numId w:val="37"/>
        </w:numPr>
        <w:ind w:left="0" w:firstLine="0"/>
        <w:jc w:val="both"/>
        <w:rPr>
          <w:rFonts w:ascii="Verdana" w:hAnsi="Verdana" w:cs="Arial"/>
          <w:sz w:val="20"/>
          <w:szCs w:val="20"/>
          <w:lang w:val="en-US"/>
        </w:rPr>
      </w:pPr>
      <w:r w:rsidRPr="00D869E3">
        <w:rPr>
          <w:rFonts w:ascii="Verdana" w:hAnsi="Verdana"/>
          <w:sz w:val="20"/>
          <w:szCs w:val="20"/>
          <w:lang w:val="en-US"/>
        </w:rPr>
        <w:t xml:space="preserve">Even if it would have been desirable that </w:t>
      </w:r>
      <w:r w:rsidR="00447C65" w:rsidRPr="00D869E3">
        <w:rPr>
          <w:rFonts w:ascii="Verdana" w:hAnsi="Verdana"/>
          <w:sz w:val="20"/>
          <w:szCs w:val="20"/>
          <w:lang w:val="en-US"/>
        </w:rPr>
        <w:t>Article</w:t>
      </w:r>
      <w:r w:rsidR="00E70701" w:rsidRPr="00D869E3">
        <w:rPr>
          <w:rFonts w:ascii="Verdana" w:hAnsi="Verdana"/>
          <w:sz w:val="20"/>
          <w:szCs w:val="20"/>
          <w:lang w:val="en-US"/>
        </w:rPr>
        <w:t xml:space="preserve"> 26 </w:t>
      </w:r>
      <w:r w:rsidRPr="00D869E3">
        <w:rPr>
          <w:rFonts w:ascii="Verdana" w:hAnsi="Verdana"/>
          <w:sz w:val="20"/>
          <w:szCs w:val="20"/>
          <w:lang w:val="en-US"/>
        </w:rPr>
        <w:t xml:space="preserve">used a less problematic legislative technique, the reality is that it </w:t>
      </w:r>
      <w:r w:rsidR="00B35C33" w:rsidRPr="00D869E3">
        <w:rPr>
          <w:rFonts w:ascii="Verdana" w:hAnsi="Verdana"/>
          <w:sz w:val="20"/>
          <w:szCs w:val="20"/>
          <w:lang w:val="en-US"/>
        </w:rPr>
        <w:t>cites</w:t>
      </w:r>
      <w:r w:rsidR="00E70701" w:rsidRPr="00D869E3">
        <w:rPr>
          <w:rFonts w:ascii="Verdana" w:hAnsi="Verdana"/>
          <w:sz w:val="20"/>
          <w:szCs w:val="20"/>
          <w:lang w:val="en-US"/>
        </w:rPr>
        <w:t xml:space="preserve"> </w:t>
      </w:r>
      <w:r w:rsidR="00197983" w:rsidRPr="00D869E3">
        <w:rPr>
          <w:rFonts w:ascii="Verdana" w:hAnsi="Verdana"/>
          <w:sz w:val="20"/>
          <w:szCs w:val="20"/>
          <w:lang w:val="en-US"/>
        </w:rPr>
        <w:t>the OAS Charter</w:t>
      </w:r>
      <w:r w:rsidR="00687684" w:rsidRPr="00D869E3">
        <w:rPr>
          <w:rFonts w:ascii="Verdana" w:hAnsi="Verdana"/>
          <w:sz w:val="20"/>
          <w:szCs w:val="20"/>
          <w:lang w:val="en-US"/>
        </w:rPr>
        <w:t xml:space="preserve"> and </w:t>
      </w:r>
      <w:r w:rsidR="00E70701" w:rsidRPr="00D869E3">
        <w:rPr>
          <w:rFonts w:ascii="Verdana" w:hAnsi="Verdana"/>
          <w:sz w:val="20"/>
          <w:szCs w:val="20"/>
          <w:lang w:val="en-US"/>
        </w:rPr>
        <w:t>no</w:t>
      </w:r>
      <w:r w:rsidRPr="00D869E3">
        <w:rPr>
          <w:rFonts w:ascii="Verdana" w:hAnsi="Verdana"/>
          <w:sz w:val="20"/>
          <w:szCs w:val="20"/>
          <w:lang w:val="en-US"/>
        </w:rPr>
        <w:t xml:space="preserve">t </w:t>
      </w:r>
      <w:r w:rsidR="00E70701" w:rsidRPr="00D869E3">
        <w:rPr>
          <w:rFonts w:ascii="Verdana" w:hAnsi="Verdana"/>
          <w:sz w:val="20"/>
          <w:szCs w:val="20"/>
          <w:lang w:val="en-US"/>
        </w:rPr>
        <w:t xml:space="preserve"> </w:t>
      </w:r>
      <w:r w:rsidR="00FE7426" w:rsidRPr="00D869E3">
        <w:rPr>
          <w:rFonts w:ascii="Verdana" w:hAnsi="Verdana"/>
          <w:sz w:val="20"/>
          <w:szCs w:val="20"/>
          <w:lang w:val="en-US"/>
        </w:rPr>
        <w:t>the American Declaration</w:t>
      </w:r>
      <w:r w:rsidR="00E70701" w:rsidRPr="00D869E3">
        <w:rPr>
          <w:rFonts w:ascii="Verdana" w:hAnsi="Verdana"/>
          <w:sz w:val="20"/>
          <w:szCs w:val="20"/>
          <w:lang w:val="en-US"/>
        </w:rPr>
        <w:t xml:space="preserve">, </w:t>
      </w:r>
      <w:r w:rsidRPr="00D869E3">
        <w:rPr>
          <w:rFonts w:ascii="Verdana" w:hAnsi="Verdana"/>
          <w:sz w:val="20"/>
          <w:szCs w:val="20"/>
          <w:lang w:val="en-US"/>
        </w:rPr>
        <w:t xml:space="preserve">which could have led to a different interpretation, because the Declaration does refer more clearly to the </w:t>
      </w:r>
      <w:r w:rsidR="00F42CF0" w:rsidRPr="00D869E3">
        <w:rPr>
          <w:rFonts w:ascii="Verdana" w:hAnsi="Verdana"/>
          <w:sz w:val="20"/>
          <w:szCs w:val="20"/>
          <w:lang w:val="en-US"/>
        </w:rPr>
        <w:t>ESCR</w:t>
      </w:r>
      <w:r w:rsidRPr="00D869E3">
        <w:rPr>
          <w:rFonts w:ascii="Verdana" w:hAnsi="Verdana"/>
          <w:sz w:val="20"/>
          <w:szCs w:val="20"/>
          <w:lang w:val="en-US"/>
        </w:rPr>
        <w:t>.</w:t>
      </w:r>
      <w:r w:rsidR="00E70701" w:rsidRPr="00D869E3">
        <w:rPr>
          <w:rStyle w:val="Refdenotaalpie"/>
          <w:szCs w:val="20"/>
          <w:lang w:val="en-US"/>
        </w:rPr>
        <w:footnoteReference w:id="449"/>
      </w:r>
      <w:r w:rsidRPr="00D869E3">
        <w:rPr>
          <w:rFonts w:ascii="Verdana" w:hAnsi="Verdana"/>
          <w:sz w:val="20"/>
          <w:szCs w:val="20"/>
          <w:lang w:val="en-US"/>
        </w:rPr>
        <w:t xml:space="preserve"> Unfortunately, this is not the case.</w:t>
      </w:r>
      <w:r w:rsidR="00E70701" w:rsidRPr="00D869E3">
        <w:rPr>
          <w:rStyle w:val="Refdenotaalpie"/>
          <w:szCs w:val="20"/>
          <w:lang w:val="en-US"/>
        </w:rPr>
        <w:footnoteReference w:id="450"/>
      </w:r>
      <w:r w:rsidR="00E70701" w:rsidRPr="00D869E3">
        <w:rPr>
          <w:rFonts w:ascii="Verdana" w:hAnsi="Verdana"/>
          <w:sz w:val="20"/>
          <w:szCs w:val="20"/>
          <w:lang w:val="en-US"/>
        </w:rPr>
        <w:t xml:space="preserve"> </w:t>
      </w:r>
      <w:r w:rsidRPr="00D869E3">
        <w:rPr>
          <w:rFonts w:ascii="Verdana" w:hAnsi="Verdana"/>
          <w:sz w:val="20"/>
          <w:szCs w:val="20"/>
          <w:lang w:val="en-US"/>
        </w:rPr>
        <w:t xml:space="preserve">Thus, the use of </w:t>
      </w:r>
      <w:r w:rsidR="00FE7426" w:rsidRPr="00D869E3">
        <w:rPr>
          <w:rFonts w:ascii="Verdana" w:hAnsi="Verdana"/>
          <w:sz w:val="20"/>
          <w:szCs w:val="20"/>
          <w:lang w:val="en-US"/>
        </w:rPr>
        <w:t>the American Declaration</w:t>
      </w:r>
      <w:r w:rsidR="00E70701" w:rsidRPr="00D869E3">
        <w:rPr>
          <w:rFonts w:ascii="Verdana" w:hAnsi="Verdana"/>
          <w:sz w:val="20"/>
          <w:szCs w:val="20"/>
          <w:lang w:val="en-US"/>
        </w:rPr>
        <w:t xml:space="preserve"> </w:t>
      </w:r>
      <w:r w:rsidRPr="00D869E3">
        <w:rPr>
          <w:rFonts w:ascii="Verdana" w:hAnsi="Verdana"/>
          <w:sz w:val="20"/>
          <w:szCs w:val="20"/>
          <w:lang w:val="en-US"/>
        </w:rPr>
        <w:t>in this judgment is</w:t>
      </w:r>
      <w:r w:rsidR="00E70701" w:rsidRPr="00D869E3">
        <w:rPr>
          <w:rFonts w:ascii="Verdana" w:hAnsi="Verdana"/>
          <w:sz w:val="20"/>
          <w:szCs w:val="20"/>
          <w:lang w:val="en-US"/>
        </w:rPr>
        <w:t xml:space="preserve"> </w:t>
      </w:r>
      <w:r w:rsidR="006436CA" w:rsidRPr="00D869E3">
        <w:rPr>
          <w:rFonts w:ascii="Verdana" w:hAnsi="Verdana"/>
          <w:sz w:val="20"/>
          <w:szCs w:val="20"/>
          <w:lang w:val="en-US"/>
        </w:rPr>
        <w:t>“</w:t>
      </w:r>
      <w:r w:rsidRPr="00D869E3">
        <w:rPr>
          <w:rFonts w:ascii="Verdana" w:hAnsi="Verdana"/>
          <w:sz w:val="20"/>
          <w:szCs w:val="20"/>
          <w:lang w:val="en-US"/>
        </w:rPr>
        <w:t>a shortcut,</w:t>
      </w:r>
      <w:r w:rsidR="006436CA" w:rsidRPr="00D869E3">
        <w:rPr>
          <w:rFonts w:ascii="Verdana" w:hAnsi="Verdana"/>
          <w:sz w:val="20"/>
          <w:szCs w:val="20"/>
          <w:lang w:val="en-US"/>
        </w:rPr>
        <w:t>”</w:t>
      </w:r>
      <w:r w:rsidRPr="00D869E3">
        <w:rPr>
          <w:rFonts w:ascii="Verdana" w:hAnsi="Verdana"/>
          <w:sz w:val="20"/>
          <w:szCs w:val="20"/>
          <w:lang w:val="en-US"/>
        </w:rPr>
        <w:t xml:space="preserve"> </w:t>
      </w:r>
      <w:r w:rsidR="00B35C33" w:rsidRPr="00D869E3">
        <w:rPr>
          <w:rFonts w:ascii="Verdana" w:hAnsi="Verdana"/>
          <w:sz w:val="20"/>
          <w:szCs w:val="20"/>
          <w:lang w:val="en-US"/>
        </w:rPr>
        <w:t>which is only substantiated by</w:t>
      </w:r>
      <w:r w:rsidRPr="00D869E3">
        <w:rPr>
          <w:rFonts w:ascii="Verdana" w:hAnsi="Verdana"/>
          <w:sz w:val="20"/>
          <w:szCs w:val="20"/>
          <w:lang w:val="en-US"/>
        </w:rPr>
        <w:t xml:space="preserve"> a reference to a 1989 </w:t>
      </w:r>
      <w:r w:rsidR="0087339F" w:rsidRPr="00D869E3">
        <w:rPr>
          <w:rFonts w:ascii="Verdana" w:hAnsi="Verdana"/>
          <w:sz w:val="20"/>
          <w:szCs w:val="20"/>
          <w:lang w:val="en-US"/>
        </w:rPr>
        <w:t>Advisory Opinion</w:t>
      </w:r>
      <w:r w:rsidR="00E70701" w:rsidRPr="00D869E3">
        <w:rPr>
          <w:rFonts w:ascii="Verdana" w:hAnsi="Verdana"/>
          <w:sz w:val="20"/>
          <w:szCs w:val="20"/>
          <w:lang w:val="en-US"/>
        </w:rPr>
        <w:t>.</w:t>
      </w:r>
    </w:p>
    <w:p w14:paraId="3F4D7E93" w14:textId="77777777" w:rsidR="00E70701" w:rsidRPr="00D869E3" w:rsidRDefault="00E70701" w:rsidP="00C44F79">
      <w:pPr>
        <w:jc w:val="both"/>
        <w:rPr>
          <w:rFonts w:ascii="Verdana" w:hAnsi="Verdana"/>
          <w:sz w:val="20"/>
          <w:szCs w:val="20"/>
          <w:lang w:val="en-US"/>
        </w:rPr>
      </w:pPr>
    </w:p>
    <w:p w14:paraId="1C426C35" w14:textId="1816147B" w:rsidR="00671FCE" w:rsidRPr="00D869E3" w:rsidRDefault="001D52F2" w:rsidP="00E70701">
      <w:pPr>
        <w:pStyle w:val="Prrafodelista"/>
        <w:numPr>
          <w:ilvl w:val="0"/>
          <w:numId w:val="37"/>
        </w:numPr>
        <w:ind w:left="0" w:firstLine="0"/>
        <w:jc w:val="both"/>
        <w:rPr>
          <w:rFonts w:ascii="Verdana" w:hAnsi="Verdana" w:cs="Arial"/>
          <w:sz w:val="20"/>
          <w:szCs w:val="20"/>
          <w:lang w:val="en-US"/>
        </w:rPr>
      </w:pPr>
      <w:r w:rsidRPr="00D869E3">
        <w:rPr>
          <w:rFonts w:ascii="Verdana" w:hAnsi="Verdana"/>
          <w:sz w:val="20"/>
          <w:szCs w:val="20"/>
          <w:lang w:val="en-US"/>
        </w:rPr>
        <w:t xml:space="preserve">That said, </w:t>
      </w:r>
      <w:r w:rsidR="000B2E5E" w:rsidRPr="00D869E3">
        <w:rPr>
          <w:rFonts w:ascii="Verdana" w:hAnsi="Verdana"/>
          <w:sz w:val="20"/>
          <w:szCs w:val="20"/>
          <w:lang w:val="en-US"/>
        </w:rPr>
        <w:t xml:space="preserve">the </w:t>
      </w:r>
      <w:r w:rsidR="00301DBE" w:rsidRPr="00D869E3">
        <w:rPr>
          <w:rFonts w:ascii="Verdana" w:hAnsi="Verdana"/>
          <w:sz w:val="20"/>
          <w:szCs w:val="20"/>
          <w:lang w:val="en-US"/>
        </w:rPr>
        <w:t>right to work</w:t>
      </w:r>
      <w:r w:rsidR="00E70701" w:rsidRPr="00D869E3">
        <w:rPr>
          <w:rFonts w:ascii="Verdana" w:hAnsi="Verdana"/>
          <w:sz w:val="20"/>
          <w:szCs w:val="20"/>
          <w:lang w:val="en-US"/>
        </w:rPr>
        <w:t xml:space="preserve"> </w:t>
      </w:r>
      <w:r w:rsidRPr="00D869E3">
        <w:rPr>
          <w:rFonts w:ascii="Verdana" w:hAnsi="Verdana"/>
          <w:sz w:val="20"/>
          <w:szCs w:val="20"/>
          <w:lang w:val="en-US"/>
        </w:rPr>
        <w:t>is one of those</w:t>
      </w:r>
      <w:r w:rsidR="00E70701" w:rsidRPr="00D869E3">
        <w:rPr>
          <w:rFonts w:ascii="Verdana" w:hAnsi="Verdana"/>
          <w:sz w:val="20"/>
          <w:szCs w:val="20"/>
          <w:lang w:val="en-US"/>
        </w:rPr>
        <w:t xml:space="preserve"> </w:t>
      </w:r>
      <w:r w:rsidR="00881A39" w:rsidRPr="00D869E3">
        <w:rPr>
          <w:rFonts w:ascii="Verdana" w:hAnsi="Verdana"/>
          <w:sz w:val="20"/>
          <w:szCs w:val="20"/>
          <w:lang w:val="en-US"/>
        </w:rPr>
        <w:t>rights</w:t>
      </w:r>
      <w:r w:rsidR="00E70701" w:rsidRPr="00D869E3">
        <w:rPr>
          <w:rFonts w:ascii="Verdana" w:hAnsi="Verdana"/>
          <w:sz w:val="20"/>
          <w:szCs w:val="20"/>
          <w:lang w:val="en-US"/>
        </w:rPr>
        <w:t xml:space="preserve"> </w:t>
      </w:r>
      <w:r w:rsidRPr="00D869E3">
        <w:rPr>
          <w:rFonts w:ascii="Verdana" w:hAnsi="Verdana"/>
          <w:sz w:val="20"/>
          <w:szCs w:val="20"/>
          <w:lang w:val="en-US"/>
        </w:rPr>
        <w:t xml:space="preserve">that could be derived from the Charter, </w:t>
      </w:r>
      <w:r w:rsidR="00671FCE" w:rsidRPr="00D869E3">
        <w:rPr>
          <w:rFonts w:ascii="Verdana" w:hAnsi="Verdana"/>
          <w:sz w:val="20"/>
          <w:szCs w:val="20"/>
          <w:lang w:val="en-US"/>
        </w:rPr>
        <w:t>above and beyond the simple reference to the name,</w:t>
      </w:r>
      <w:r w:rsidR="00E70701" w:rsidRPr="00D869E3">
        <w:rPr>
          <w:rStyle w:val="Refdenotaalpie"/>
          <w:szCs w:val="20"/>
          <w:lang w:val="en-US"/>
        </w:rPr>
        <w:footnoteReference w:id="451"/>
      </w:r>
      <w:r w:rsidR="00671FCE" w:rsidRPr="00D869E3">
        <w:rPr>
          <w:rFonts w:ascii="Verdana" w:hAnsi="Verdana"/>
          <w:sz w:val="20"/>
          <w:szCs w:val="20"/>
          <w:lang w:val="en-US"/>
        </w:rPr>
        <w:t xml:space="preserve"> because that instrument mentions it expressly. However, </w:t>
      </w:r>
      <w:r w:rsidR="000B2E5E" w:rsidRPr="00D869E3">
        <w:rPr>
          <w:rFonts w:ascii="Verdana" w:hAnsi="Verdana"/>
          <w:sz w:val="20"/>
          <w:szCs w:val="20"/>
          <w:lang w:val="en-US"/>
        </w:rPr>
        <w:t xml:space="preserve">the </w:t>
      </w:r>
      <w:r w:rsidR="00301DBE" w:rsidRPr="00D869E3">
        <w:rPr>
          <w:rFonts w:ascii="Verdana" w:hAnsi="Verdana"/>
          <w:sz w:val="20"/>
          <w:szCs w:val="20"/>
          <w:lang w:val="en-US"/>
        </w:rPr>
        <w:t>right to work</w:t>
      </w:r>
      <w:r w:rsidR="00671FCE" w:rsidRPr="00D869E3">
        <w:rPr>
          <w:rFonts w:ascii="Verdana" w:hAnsi="Verdana"/>
          <w:sz w:val="20"/>
          <w:szCs w:val="20"/>
          <w:lang w:val="en-US"/>
        </w:rPr>
        <w:t xml:space="preserve"> is one thing</w:t>
      </w:r>
      <w:r w:rsidR="00687684" w:rsidRPr="00D869E3">
        <w:rPr>
          <w:rFonts w:ascii="Verdana" w:hAnsi="Verdana"/>
          <w:sz w:val="20"/>
          <w:szCs w:val="20"/>
          <w:lang w:val="en-US"/>
        </w:rPr>
        <w:t xml:space="preserve"> and </w:t>
      </w:r>
      <w:r w:rsidR="00671FCE" w:rsidRPr="00D869E3">
        <w:rPr>
          <w:rFonts w:ascii="Verdana" w:hAnsi="Verdana"/>
          <w:sz w:val="20"/>
          <w:szCs w:val="20"/>
          <w:lang w:val="en-US"/>
        </w:rPr>
        <w:t>job security is quite another, and this reveals the dilemma that arises when the list of rights and their scope are not well defined. In addition, it should not be forgotten that the general obligation of Article 26 of the ACHR permits the Court to monitor compliance with the obligation of progressive development and its consequent obligation of non-retrogressivity, an analysis that was not made in this judgment.</w:t>
      </w:r>
    </w:p>
    <w:p w14:paraId="1210EFA9" w14:textId="77777777" w:rsidR="00E70701" w:rsidRPr="00D869E3" w:rsidRDefault="00E70701" w:rsidP="00C44F79">
      <w:pPr>
        <w:jc w:val="both"/>
        <w:rPr>
          <w:rFonts w:ascii="Verdana" w:hAnsi="Verdana"/>
          <w:sz w:val="20"/>
          <w:szCs w:val="20"/>
          <w:lang w:val="en-US"/>
        </w:rPr>
      </w:pPr>
    </w:p>
    <w:p w14:paraId="2EC6EAA8" w14:textId="37347CCF" w:rsidR="00E70701" w:rsidRPr="00D869E3" w:rsidRDefault="00671FCE" w:rsidP="00671FCE">
      <w:pPr>
        <w:pStyle w:val="Prrafodelista"/>
        <w:numPr>
          <w:ilvl w:val="0"/>
          <w:numId w:val="37"/>
        </w:numPr>
        <w:ind w:left="0" w:firstLine="0"/>
        <w:jc w:val="both"/>
        <w:rPr>
          <w:rFonts w:ascii="Verdana" w:hAnsi="Verdana" w:cs="Arial"/>
          <w:sz w:val="20"/>
          <w:szCs w:val="20"/>
          <w:lang w:val="en-US"/>
        </w:rPr>
      </w:pPr>
      <w:r w:rsidRPr="00D869E3">
        <w:rPr>
          <w:rFonts w:ascii="Verdana" w:hAnsi="Verdana"/>
          <w:sz w:val="20"/>
          <w:szCs w:val="20"/>
          <w:lang w:val="en-US"/>
        </w:rPr>
        <w:t xml:space="preserve">In addition, I insist in clarifying that the referral is to the Charter and not to other declarations, treaties or documents of </w:t>
      </w:r>
      <w:r w:rsidR="00E70701" w:rsidRPr="00D869E3">
        <w:rPr>
          <w:rFonts w:ascii="Verdana" w:hAnsi="Verdana"/>
          <w:iCs/>
          <w:sz w:val="20"/>
          <w:szCs w:val="20"/>
          <w:lang w:val="en-US"/>
        </w:rPr>
        <w:t>soft law</w:t>
      </w:r>
      <w:r w:rsidRPr="00D869E3">
        <w:rPr>
          <w:rFonts w:ascii="Verdana" w:hAnsi="Verdana"/>
          <w:iCs/>
          <w:sz w:val="20"/>
          <w:szCs w:val="20"/>
          <w:lang w:val="en-US"/>
        </w:rPr>
        <w:t>,</w:t>
      </w:r>
      <w:r w:rsidR="00E70701" w:rsidRPr="00D869E3">
        <w:rPr>
          <w:rStyle w:val="Refdenotaalpie"/>
          <w:szCs w:val="20"/>
          <w:lang w:val="en-US"/>
        </w:rPr>
        <w:footnoteReference w:id="452"/>
      </w:r>
      <w:r w:rsidR="00E70701" w:rsidRPr="00D869E3">
        <w:rPr>
          <w:rFonts w:ascii="Verdana" w:hAnsi="Verdana"/>
          <w:sz w:val="20"/>
          <w:szCs w:val="20"/>
          <w:lang w:val="en-US"/>
        </w:rPr>
        <w:t xml:space="preserve"> </w:t>
      </w:r>
      <w:r w:rsidRPr="00D869E3">
        <w:rPr>
          <w:rFonts w:ascii="Verdana" w:hAnsi="Verdana"/>
          <w:sz w:val="20"/>
          <w:szCs w:val="20"/>
          <w:lang w:val="en-US"/>
        </w:rPr>
        <w:t>because mentioning them does not rectify or change what is expressly indicated in</w:t>
      </w:r>
      <w:r w:rsidR="00E70701" w:rsidRPr="00D869E3">
        <w:rPr>
          <w:rFonts w:ascii="Verdana" w:hAnsi="Verdana"/>
          <w:sz w:val="20"/>
          <w:szCs w:val="20"/>
          <w:lang w:val="en-US"/>
        </w:rPr>
        <w:t xml:space="preserve"> </w:t>
      </w:r>
      <w:r w:rsidR="00447C65" w:rsidRPr="00D869E3">
        <w:rPr>
          <w:rFonts w:ascii="Verdana" w:hAnsi="Verdana"/>
          <w:sz w:val="20"/>
          <w:szCs w:val="20"/>
          <w:lang w:val="en-US"/>
        </w:rPr>
        <w:t>Article</w:t>
      </w:r>
      <w:r w:rsidR="00E70701" w:rsidRPr="00D869E3">
        <w:rPr>
          <w:rFonts w:ascii="Verdana" w:hAnsi="Verdana"/>
          <w:sz w:val="20"/>
          <w:szCs w:val="20"/>
          <w:lang w:val="en-US"/>
        </w:rPr>
        <w:t xml:space="preserve"> 26 </w:t>
      </w:r>
      <w:r w:rsidR="00F42CF0" w:rsidRPr="00D869E3">
        <w:rPr>
          <w:rFonts w:ascii="Verdana" w:hAnsi="Verdana"/>
          <w:sz w:val="20"/>
          <w:szCs w:val="20"/>
          <w:lang w:val="en-US"/>
        </w:rPr>
        <w:t>of the ACHR</w:t>
      </w:r>
      <w:r w:rsidRPr="00D869E3">
        <w:rPr>
          <w:rFonts w:ascii="Verdana" w:hAnsi="Verdana"/>
          <w:sz w:val="20"/>
          <w:szCs w:val="20"/>
          <w:lang w:val="en-US"/>
        </w:rPr>
        <w:t xml:space="preserve">, In other words, referring to “a vast </w:t>
      </w:r>
      <w:r w:rsidR="00E70701" w:rsidRPr="00D869E3">
        <w:rPr>
          <w:rFonts w:ascii="Verdana" w:hAnsi="Verdana"/>
          <w:i/>
          <w:sz w:val="20"/>
          <w:szCs w:val="20"/>
          <w:lang w:val="en-US"/>
        </w:rPr>
        <w:t>corpus iuris</w:t>
      </w:r>
      <w:r w:rsidRPr="00D869E3">
        <w:rPr>
          <w:rFonts w:ascii="Verdana" w:hAnsi="Verdana"/>
          <w:i/>
          <w:sz w:val="20"/>
          <w:szCs w:val="20"/>
          <w:lang w:val="en-US"/>
        </w:rPr>
        <w:t>,</w:t>
      </w:r>
      <w:r w:rsidR="006436CA" w:rsidRPr="00D869E3">
        <w:rPr>
          <w:rFonts w:ascii="Verdana" w:hAnsi="Verdana"/>
          <w:sz w:val="20"/>
          <w:szCs w:val="20"/>
          <w:lang w:val="en-US"/>
        </w:rPr>
        <w:t>”</w:t>
      </w:r>
      <w:r w:rsidR="00E70701" w:rsidRPr="00D869E3">
        <w:rPr>
          <w:rStyle w:val="Refdenotaalpie"/>
          <w:szCs w:val="20"/>
          <w:lang w:val="en-US"/>
        </w:rPr>
        <w:footnoteReference w:id="453"/>
      </w:r>
      <w:r w:rsidR="00E70701" w:rsidRPr="00D869E3">
        <w:rPr>
          <w:rFonts w:ascii="Verdana" w:hAnsi="Verdana"/>
          <w:sz w:val="20"/>
          <w:szCs w:val="20"/>
          <w:lang w:val="en-US"/>
        </w:rPr>
        <w:t xml:space="preserve"> </w:t>
      </w:r>
      <w:r w:rsidRPr="00D869E3">
        <w:rPr>
          <w:rFonts w:ascii="Verdana" w:hAnsi="Verdana"/>
          <w:sz w:val="20"/>
          <w:szCs w:val="20"/>
          <w:lang w:val="en-US"/>
        </w:rPr>
        <w:t>mentioning treaties of the universal system and regional systems other than the inter-American system, does not change the fact that the referral in Article 26 is to the Charter and to no other instrument, treaty o</w:t>
      </w:r>
      <w:r w:rsidR="00B35C33" w:rsidRPr="00D869E3">
        <w:rPr>
          <w:rFonts w:ascii="Verdana" w:hAnsi="Verdana"/>
          <w:sz w:val="20"/>
          <w:szCs w:val="20"/>
          <w:lang w:val="en-US"/>
        </w:rPr>
        <w:t>r</w:t>
      </w:r>
      <w:r w:rsidRPr="00D869E3">
        <w:rPr>
          <w:rFonts w:ascii="Verdana" w:hAnsi="Verdana"/>
          <w:sz w:val="20"/>
          <w:szCs w:val="20"/>
          <w:lang w:val="en-US"/>
        </w:rPr>
        <w:t xml:space="preserve"> document of international law</w:t>
      </w:r>
      <w:r w:rsidR="00E70701" w:rsidRPr="00D869E3">
        <w:rPr>
          <w:rFonts w:ascii="Verdana" w:hAnsi="Verdana"/>
          <w:sz w:val="20"/>
          <w:szCs w:val="20"/>
          <w:lang w:val="en-US"/>
        </w:rPr>
        <w:t xml:space="preserve">. </w:t>
      </w:r>
    </w:p>
    <w:p w14:paraId="2024F4B8" w14:textId="77777777" w:rsidR="00E70701" w:rsidRPr="00D869E3" w:rsidRDefault="00E70701" w:rsidP="00C44F79">
      <w:pPr>
        <w:jc w:val="both"/>
        <w:rPr>
          <w:rFonts w:ascii="Verdana" w:hAnsi="Verdana"/>
          <w:sz w:val="20"/>
          <w:szCs w:val="20"/>
          <w:lang w:val="en-US"/>
        </w:rPr>
      </w:pPr>
    </w:p>
    <w:p w14:paraId="44CCE779" w14:textId="19D84FA7" w:rsidR="00E70701" w:rsidRPr="00D869E3" w:rsidRDefault="00BC2734" w:rsidP="00E70701">
      <w:pPr>
        <w:pStyle w:val="Prrafodelista"/>
        <w:numPr>
          <w:ilvl w:val="0"/>
          <w:numId w:val="37"/>
        </w:numPr>
        <w:ind w:left="0" w:firstLine="0"/>
        <w:jc w:val="both"/>
        <w:rPr>
          <w:rFonts w:ascii="Verdana" w:hAnsi="Verdana" w:cs="Arial"/>
          <w:sz w:val="20"/>
          <w:szCs w:val="20"/>
          <w:lang w:val="en-US"/>
        </w:rPr>
      </w:pPr>
      <w:r w:rsidRPr="00D869E3">
        <w:rPr>
          <w:rFonts w:ascii="Verdana" w:hAnsi="Verdana"/>
          <w:sz w:val="20"/>
          <w:szCs w:val="20"/>
          <w:lang w:val="en-US"/>
        </w:rPr>
        <w:t>If</w:t>
      </w:r>
      <w:r w:rsidR="00671FCE" w:rsidRPr="00D869E3">
        <w:rPr>
          <w:rFonts w:ascii="Verdana" w:hAnsi="Verdana"/>
          <w:sz w:val="20"/>
          <w:szCs w:val="20"/>
          <w:lang w:val="en-US"/>
        </w:rPr>
        <w:t xml:space="preserve"> trying to construct a list of </w:t>
      </w:r>
      <w:r w:rsidR="00F42CF0" w:rsidRPr="00D869E3">
        <w:rPr>
          <w:rFonts w:ascii="Verdana" w:hAnsi="Verdana"/>
          <w:sz w:val="20"/>
          <w:szCs w:val="20"/>
          <w:lang w:val="en-US"/>
        </w:rPr>
        <w:t>ESCR</w:t>
      </w:r>
      <w:r w:rsidR="00E70701" w:rsidRPr="00D869E3">
        <w:rPr>
          <w:rFonts w:ascii="Verdana" w:hAnsi="Verdana"/>
          <w:sz w:val="20"/>
          <w:szCs w:val="20"/>
          <w:lang w:val="en-US"/>
        </w:rPr>
        <w:t xml:space="preserve"> </w:t>
      </w:r>
      <w:r w:rsidR="00671FCE" w:rsidRPr="00D869E3">
        <w:rPr>
          <w:rFonts w:ascii="Verdana" w:hAnsi="Verdana"/>
          <w:sz w:val="20"/>
          <w:szCs w:val="20"/>
          <w:lang w:val="en-US"/>
        </w:rPr>
        <w:t xml:space="preserve">based on </w:t>
      </w:r>
      <w:r w:rsidR="00B35C33" w:rsidRPr="00D869E3">
        <w:rPr>
          <w:rFonts w:ascii="Verdana" w:hAnsi="Verdana"/>
          <w:sz w:val="20"/>
          <w:szCs w:val="20"/>
          <w:lang w:val="en-US"/>
        </w:rPr>
        <w:t xml:space="preserve">the </w:t>
      </w:r>
      <w:r w:rsidR="00671FCE" w:rsidRPr="00D869E3">
        <w:rPr>
          <w:rFonts w:ascii="Verdana" w:hAnsi="Verdana"/>
          <w:sz w:val="20"/>
          <w:szCs w:val="20"/>
          <w:lang w:val="en-US"/>
        </w:rPr>
        <w:t>Charter is a complex interpretive task</w:t>
      </w:r>
      <w:r w:rsidRPr="00D869E3">
        <w:rPr>
          <w:rFonts w:ascii="Verdana" w:hAnsi="Verdana"/>
          <w:sz w:val="20"/>
          <w:szCs w:val="20"/>
          <w:lang w:val="en-US"/>
        </w:rPr>
        <w:t xml:space="preserve">, using </w:t>
      </w:r>
      <w:r w:rsidR="00B35C33" w:rsidRPr="00D869E3">
        <w:rPr>
          <w:rFonts w:ascii="Verdana" w:hAnsi="Verdana"/>
          <w:sz w:val="20"/>
          <w:szCs w:val="20"/>
          <w:lang w:val="en-US"/>
        </w:rPr>
        <w:t>every</w:t>
      </w:r>
      <w:r w:rsidRPr="00D869E3">
        <w:rPr>
          <w:rFonts w:ascii="Verdana" w:hAnsi="Verdana"/>
          <w:sz w:val="20"/>
          <w:szCs w:val="20"/>
          <w:lang w:val="en-US"/>
        </w:rPr>
        <w:t xml:space="preserve"> existing human rights treaties to give content to</w:t>
      </w:r>
      <w:r w:rsidR="00E70701" w:rsidRPr="00D869E3">
        <w:rPr>
          <w:rFonts w:ascii="Verdana" w:hAnsi="Verdana"/>
          <w:sz w:val="20"/>
          <w:szCs w:val="20"/>
          <w:lang w:val="en-US"/>
        </w:rPr>
        <w:t xml:space="preserve"> </w:t>
      </w:r>
      <w:r w:rsidR="00447C65" w:rsidRPr="00D869E3">
        <w:rPr>
          <w:rFonts w:ascii="Verdana" w:hAnsi="Verdana"/>
          <w:sz w:val="20"/>
          <w:szCs w:val="20"/>
          <w:lang w:val="en-US"/>
        </w:rPr>
        <w:t>Article</w:t>
      </w:r>
      <w:r w:rsidR="00E70701" w:rsidRPr="00D869E3">
        <w:rPr>
          <w:rFonts w:ascii="Verdana" w:hAnsi="Verdana"/>
          <w:sz w:val="20"/>
          <w:szCs w:val="20"/>
          <w:lang w:val="en-US"/>
        </w:rPr>
        <w:t xml:space="preserve"> 26 </w:t>
      </w:r>
      <w:r w:rsidR="00F42CF0" w:rsidRPr="00D869E3">
        <w:rPr>
          <w:rFonts w:ascii="Verdana" w:hAnsi="Verdana"/>
          <w:sz w:val="20"/>
          <w:szCs w:val="20"/>
          <w:lang w:val="en-US"/>
        </w:rPr>
        <w:t>of the ACHR</w:t>
      </w:r>
      <w:r w:rsidR="00B35C33" w:rsidRPr="00D869E3">
        <w:rPr>
          <w:rFonts w:ascii="Verdana" w:hAnsi="Verdana"/>
          <w:sz w:val="20"/>
          <w:szCs w:val="20"/>
          <w:lang w:val="en-US"/>
        </w:rPr>
        <w:t xml:space="preserve"> </w:t>
      </w:r>
      <w:r w:rsidRPr="00D869E3">
        <w:rPr>
          <w:rFonts w:ascii="Verdana" w:hAnsi="Verdana"/>
          <w:sz w:val="20"/>
          <w:szCs w:val="20"/>
          <w:lang w:val="en-US"/>
        </w:rPr>
        <w:t xml:space="preserve">can </w:t>
      </w:r>
      <w:r w:rsidR="00B35C33" w:rsidRPr="00D869E3">
        <w:rPr>
          <w:rFonts w:ascii="Verdana" w:hAnsi="Verdana"/>
          <w:sz w:val="20"/>
          <w:szCs w:val="20"/>
          <w:lang w:val="en-US"/>
        </w:rPr>
        <w:t xml:space="preserve">only </w:t>
      </w:r>
      <w:r w:rsidR="002F123A" w:rsidRPr="00D869E3">
        <w:rPr>
          <w:rFonts w:ascii="Verdana" w:hAnsi="Verdana"/>
          <w:sz w:val="20"/>
          <w:szCs w:val="20"/>
          <w:lang w:val="en-US"/>
        </w:rPr>
        <w:t>create</w:t>
      </w:r>
      <w:r w:rsidRPr="00D869E3">
        <w:rPr>
          <w:rFonts w:ascii="Verdana" w:hAnsi="Verdana"/>
          <w:sz w:val="20"/>
          <w:szCs w:val="20"/>
          <w:lang w:val="en-US"/>
        </w:rPr>
        <w:t xml:space="preserve"> a dynamic of </w:t>
      </w:r>
      <w:r w:rsidR="006436CA" w:rsidRPr="00D869E3">
        <w:rPr>
          <w:rFonts w:ascii="Verdana" w:hAnsi="Verdana" w:cs="Arial"/>
          <w:sz w:val="20"/>
          <w:szCs w:val="20"/>
          <w:lang w:val="en-US"/>
        </w:rPr>
        <w:t>“</w:t>
      </w:r>
      <w:r w:rsidR="00E70701" w:rsidRPr="00D869E3">
        <w:rPr>
          <w:rFonts w:ascii="Verdana" w:hAnsi="Verdana" w:cs="Arial"/>
          <w:i/>
          <w:sz w:val="20"/>
          <w:szCs w:val="20"/>
          <w:lang w:val="en-US"/>
        </w:rPr>
        <w:t>vis expansiva</w:t>
      </w:r>
      <w:r w:rsidR="006436CA" w:rsidRPr="00D869E3">
        <w:rPr>
          <w:rFonts w:ascii="Verdana" w:hAnsi="Verdana" w:cs="Arial"/>
          <w:sz w:val="20"/>
          <w:szCs w:val="20"/>
          <w:lang w:val="en-US"/>
        </w:rPr>
        <w:t>”</w:t>
      </w:r>
      <w:r w:rsidR="00E70701" w:rsidRPr="00D869E3">
        <w:rPr>
          <w:rFonts w:ascii="Verdana" w:hAnsi="Verdana" w:cs="Arial"/>
          <w:sz w:val="20"/>
          <w:szCs w:val="20"/>
          <w:lang w:val="en-US"/>
        </w:rPr>
        <w:t xml:space="preserve"> </w:t>
      </w:r>
      <w:r w:rsidR="00B35C33" w:rsidRPr="00D869E3">
        <w:rPr>
          <w:rFonts w:ascii="Verdana" w:hAnsi="Verdana" w:cs="Arial"/>
          <w:sz w:val="20"/>
          <w:szCs w:val="20"/>
          <w:lang w:val="en-US"/>
        </w:rPr>
        <w:t>[</w:t>
      </w:r>
      <w:r w:rsidR="002F123A" w:rsidRPr="00D869E3">
        <w:rPr>
          <w:rFonts w:ascii="Verdana" w:hAnsi="Verdana" w:cs="Arial"/>
          <w:sz w:val="20"/>
          <w:szCs w:val="20"/>
          <w:lang w:val="en-US"/>
        </w:rPr>
        <w:t>“</w:t>
      </w:r>
      <w:r w:rsidR="00B35C33" w:rsidRPr="00D869E3">
        <w:rPr>
          <w:rFonts w:ascii="Verdana" w:hAnsi="Verdana" w:cs="Arial"/>
          <w:sz w:val="20"/>
          <w:szCs w:val="20"/>
          <w:lang w:val="en-US"/>
        </w:rPr>
        <w:t xml:space="preserve">expansive force”] </w:t>
      </w:r>
      <w:r w:rsidR="002F123A" w:rsidRPr="00D869E3">
        <w:rPr>
          <w:rFonts w:ascii="Verdana" w:hAnsi="Verdana" w:cs="Arial"/>
          <w:sz w:val="20"/>
          <w:szCs w:val="20"/>
          <w:lang w:val="en-US"/>
        </w:rPr>
        <w:t>of</w:t>
      </w:r>
      <w:r w:rsidRPr="00D869E3">
        <w:rPr>
          <w:rFonts w:ascii="Verdana" w:hAnsi="Verdana" w:cs="Arial"/>
          <w:sz w:val="20"/>
          <w:szCs w:val="20"/>
          <w:lang w:val="en-US"/>
        </w:rPr>
        <w:t xml:space="preserve"> the international responsibility of the States. In other words, since there is no definitive list of the ESCR the violation of which generates </w:t>
      </w:r>
      <w:r w:rsidR="002F123A" w:rsidRPr="00D869E3">
        <w:rPr>
          <w:rFonts w:ascii="Verdana" w:hAnsi="Verdana" w:cs="Arial"/>
          <w:sz w:val="20"/>
          <w:szCs w:val="20"/>
          <w:lang w:val="en-US"/>
        </w:rPr>
        <w:t xml:space="preserve">State </w:t>
      </w:r>
      <w:r w:rsidRPr="00D869E3">
        <w:rPr>
          <w:rFonts w:ascii="Verdana" w:hAnsi="Verdana" w:cs="Arial"/>
          <w:sz w:val="20"/>
          <w:szCs w:val="20"/>
          <w:lang w:val="en-US"/>
        </w:rPr>
        <w:t>responsibility</w:t>
      </w:r>
      <w:r w:rsidR="002F123A" w:rsidRPr="00D869E3">
        <w:rPr>
          <w:rFonts w:ascii="Verdana" w:hAnsi="Verdana" w:cs="Arial"/>
          <w:sz w:val="20"/>
          <w:szCs w:val="20"/>
          <w:lang w:val="en-US"/>
        </w:rPr>
        <w:t xml:space="preserve">, the </w:t>
      </w:r>
      <w:r w:rsidRPr="00D869E3">
        <w:rPr>
          <w:rFonts w:ascii="Verdana" w:hAnsi="Verdana" w:cs="Arial"/>
          <w:sz w:val="20"/>
          <w:szCs w:val="20"/>
          <w:lang w:val="en-US"/>
        </w:rPr>
        <w:t xml:space="preserve">States are unable to prevent or redress such violations in the </w:t>
      </w:r>
      <w:r w:rsidRPr="00D869E3">
        <w:rPr>
          <w:rFonts w:ascii="Verdana" w:hAnsi="Verdana" w:cs="Arial"/>
          <w:sz w:val="20"/>
          <w:szCs w:val="20"/>
          <w:lang w:val="en-US"/>
        </w:rPr>
        <w:lastRenderedPageBreak/>
        <w:t xml:space="preserve">domestic sphere because, </w:t>
      </w:r>
      <w:r w:rsidR="002F123A" w:rsidRPr="00D869E3">
        <w:rPr>
          <w:rFonts w:ascii="Verdana" w:hAnsi="Verdana" w:cs="Arial"/>
          <w:sz w:val="20"/>
          <w:szCs w:val="20"/>
          <w:lang w:val="en-US"/>
        </w:rPr>
        <w:t>simply put</w:t>
      </w:r>
      <w:r w:rsidRPr="00D869E3">
        <w:rPr>
          <w:rFonts w:ascii="Verdana" w:hAnsi="Verdana" w:cs="Arial"/>
          <w:sz w:val="20"/>
          <w:szCs w:val="20"/>
          <w:lang w:val="en-US"/>
        </w:rPr>
        <w:t xml:space="preserve">, </w:t>
      </w:r>
      <w:r w:rsidR="00671B14" w:rsidRPr="00D869E3">
        <w:rPr>
          <w:rFonts w:ascii="Verdana" w:hAnsi="Verdana" w:cs="Arial"/>
          <w:sz w:val="20"/>
          <w:szCs w:val="20"/>
          <w:lang w:val="en-US"/>
        </w:rPr>
        <w:t>the Inter-American Court</w:t>
      </w:r>
      <w:r w:rsidR="00E70701" w:rsidRPr="00D869E3">
        <w:rPr>
          <w:rFonts w:ascii="Verdana" w:hAnsi="Verdana" w:cs="Arial"/>
          <w:sz w:val="20"/>
          <w:szCs w:val="20"/>
          <w:lang w:val="en-US"/>
        </w:rPr>
        <w:t xml:space="preserve"> </w:t>
      </w:r>
      <w:r w:rsidRPr="00D869E3">
        <w:rPr>
          <w:rFonts w:ascii="Verdana" w:hAnsi="Verdana" w:cs="Arial"/>
          <w:sz w:val="20"/>
          <w:szCs w:val="20"/>
          <w:lang w:val="en-US"/>
        </w:rPr>
        <w:t>may amend the list of rights depending on the case.</w:t>
      </w:r>
    </w:p>
    <w:p w14:paraId="03D8E261" w14:textId="77777777" w:rsidR="00E70701" w:rsidRPr="00D869E3" w:rsidRDefault="00E70701" w:rsidP="00C44F79">
      <w:pPr>
        <w:jc w:val="both"/>
        <w:rPr>
          <w:rFonts w:ascii="Verdana" w:hAnsi="Verdana" w:cs="Arial"/>
          <w:sz w:val="20"/>
          <w:szCs w:val="20"/>
          <w:lang w:val="en-US"/>
        </w:rPr>
      </w:pPr>
    </w:p>
    <w:p w14:paraId="3271596A" w14:textId="07293F00" w:rsidR="00E70701" w:rsidRPr="00D869E3" w:rsidRDefault="00075E68" w:rsidP="008E5890">
      <w:pPr>
        <w:pStyle w:val="Prrafodelista"/>
        <w:numPr>
          <w:ilvl w:val="0"/>
          <w:numId w:val="37"/>
        </w:numPr>
        <w:ind w:left="0" w:firstLine="0"/>
        <w:jc w:val="both"/>
        <w:rPr>
          <w:rFonts w:ascii="Verdana" w:hAnsi="Verdana" w:cs="Arial"/>
          <w:sz w:val="20"/>
          <w:szCs w:val="20"/>
          <w:lang w:val="en-US"/>
        </w:rPr>
      </w:pPr>
      <w:r w:rsidRPr="00D869E3">
        <w:rPr>
          <w:rFonts w:ascii="Verdana" w:hAnsi="Verdana" w:cs="Arial"/>
          <w:sz w:val="20"/>
          <w:szCs w:val="20"/>
          <w:lang w:val="en-US"/>
        </w:rPr>
        <w:t>In this regard</w:t>
      </w:r>
      <w:r w:rsidR="00E70701" w:rsidRPr="00D869E3">
        <w:rPr>
          <w:rFonts w:ascii="Verdana" w:hAnsi="Verdana" w:cs="Arial"/>
          <w:sz w:val="20"/>
          <w:szCs w:val="20"/>
          <w:lang w:val="en-US"/>
        </w:rPr>
        <w:t xml:space="preserve">, </w:t>
      </w:r>
      <w:r w:rsidR="00BC2734" w:rsidRPr="00D869E3">
        <w:rPr>
          <w:rFonts w:ascii="Verdana" w:hAnsi="Verdana" w:cs="Arial"/>
          <w:sz w:val="20"/>
          <w:szCs w:val="20"/>
          <w:lang w:val="en-US"/>
        </w:rPr>
        <w:t xml:space="preserve">the judgment examined </w:t>
      </w:r>
      <w:r w:rsidR="002F123A" w:rsidRPr="00D869E3">
        <w:rPr>
          <w:rFonts w:ascii="Verdana" w:hAnsi="Verdana" w:cs="Arial"/>
          <w:sz w:val="20"/>
          <w:szCs w:val="20"/>
          <w:lang w:val="en-US"/>
        </w:rPr>
        <w:t xml:space="preserve">causes </w:t>
      </w:r>
      <w:r w:rsidR="00BC2734" w:rsidRPr="00D869E3">
        <w:rPr>
          <w:rFonts w:ascii="Verdana" w:hAnsi="Verdana" w:cs="Arial"/>
          <w:sz w:val="20"/>
          <w:szCs w:val="20"/>
          <w:lang w:val="en-US"/>
        </w:rPr>
        <w:t>concern because it inaugurates a</w:t>
      </w:r>
      <w:r w:rsidR="002F123A" w:rsidRPr="00D869E3">
        <w:rPr>
          <w:rFonts w:ascii="Verdana" w:hAnsi="Verdana" w:cs="Arial"/>
          <w:sz w:val="20"/>
          <w:szCs w:val="20"/>
          <w:lang w:val="en-US"/>
        </w:rPr>
        <w:t>n</w:t>
      </w:r>
      <w:r w:rsidR="00BC2734" w:rsidRPr="00D869E3">
        <w:rPr>
          <w:rFonts w:ascii="Verdana" w:hAnsi="Verdana" w:cs="Arial"/>
          <w:sz w:val="20"/>
          <w:szCs w:val="20"/>
          <w:lang w:val="en-US"/>
        </w:rPr>
        <w:t xml:space="preserve"> </w:t>
      </w:r>
      <w:r w:rsidR="008E5890" w:rsidRPr="00D869E3">
        <w:rPr>
          <w:rFonts w:ascii="Verdana" w:hAnsi="Verdana" w:cs="Arial"/>
          <w:sz w:val="20"/>
          <w:szCs w:val="20"/>
          <w:lang w:val="en-US"/>
        </w:rPr>
        <w:t>operating</w:t>
      </w:r>
      <w:r w:rsidR="00BC2734" w:rsidRPr="00D869E3">
        <w:rPr>
          <w:rFonts w:ascii="Verdana" w:hAnsi="Verdana" w:cs="Arial"/>
          <w:sz w:val="20"/>
          <w:szCs w:val="20"/>
          <w:lang w:val="en-US"/>
        </w:rPr>
        <w:t xml:space="preserve"> logic for inter-American </w:t>
      </w:r>
      <w:r w:rsidR="008E5890" w:rsidRPr="00D869E3">
        <w:rPr>
          <w:rFonts w:ascii="Verdana" w:hAnsi="Verdana" w:cs="Arial"/>
          <w:sz w:val="20"/>
          <w:szCs w:val="20"/>
          <w:lang w:val="en-US"/>
        </w:rPr>
        <w:t xml:space="preserve">justice that affects not only the system of competencies of </w:t>
      </w:r>
      <w:r w:rsidR="00447C65" w:rsidRPr="00D869E3">
        <w:rPr>
          <w:rFonts w:ascii="Verdana" w:hAnsi="Verdana" w:cs="Arial"/>
          <w:sz w:val="20"/>
          <w:szCs w:val="20"/>
          <w:lang w:val="en-US"/>
        </w:rPr>
        <w:t>the Commission</w:t>
      </w:r>
      <w:r w:rsidR="00687684" w:rsidRPr="00D869E3">
        <w:rPr>
          <w:rFonts w:ascii="Verdana" w:hAnsi="Verdana" w:cs="Arial"/>
          <w:sz w:val="20"/>
          <w:szCs w:val="20"/>
          <w:lang w:val="en-US"/>
        </w:rPr>
        <w:t xml:space="preserve"> and </w:t>
      </w:r>
      <w:r w:rsidR="00447C65" w:rsidRPr="00D869E3">
        <w:rPr>
          <w:rFonts w:ascii="Verdana" w:hAnsi="Verdana" w:cs="Arial"/>
          <w:sz w:val="20"/>
          <w:szCs w:val="20"/>
          <w:lang w:val="en-US"/>
        </w:rPr>
        <w:t>the Court</w:t>
      </w:r>
      <w:r w:rsidR="00E70701" w:rsidRPr="00D869E3">
        <w:rPr>
          <w:rFonts w:ascii="Verdana" w:hAnsi="Verdana" w:cs="Arial"/>
          <w:sz w:val="20"/>
          <w:szCs w:val="20"/>
          <w:lang w:val="en-US"/>
        </w:rPr>
        <w:t xml:space="preserve">, </w:t>
      </w:r>
      <w:r w:rsidR="008E5890" w:rsidRPr="00D869E3">
        <w:rPr>
          <w:rFonts w:ascii="Verdana" w:hAnsi="Verdana" w:cs="Arial"/>
          <w:sz w:val="20"/>
          <w:szCs w:val="20"/>
          <w:lang w:val="en-US"/>
        </w:rPr>
        <w:t xml:space="preserve">but also begins to amend and add a list of new rights protected by </w:t>
      </w:r>
      <w:r w:rsidR="00447C65" w:rsidRPr="00D869E3">
        <w:rPr>
          <w:rFonts w:ascii="Verdana" w:hAnsi="Verdana" w:cs="Arial"/>
          <w:sz w:val="20"/>
          <w:szCs w:val="20"/>
          <w:lang w:val="en-US"/>
        </w:rPr>
        <w:t>the American Convention</w:t>
      </w:r>
      <w:r w:rsidR="00E70701" w:rsidRPr="00D869E3">
        <w:rPr>
          <w:rFonts w:ascii="Verdana" w:hAnsi="Verdana" w:cs="Arial"/>
          <w:sz w:val="20"/>
          <w:szCs w:val="20"/>
          <w:lang w:val="en-US"/>
        </w:rPr>
        <w:t>.</w:t>
      </w:r>
    </w:p>
    <w:p w14:paraId="417FF77F" w14:textId="77777777" w:rsidR="00E70701" w:rsidRPr="00D869E3" w:rsidRDefault="00E70701" w:rsidP="00C44F79">
      <w:pPr>
        <w:jc w:val="both"/>
        <w:rPr>
          <w:rFonts w:ascii="Verdana" w:hAnsi="Verdana" w:cs="Arial"/>
          <w:b/>
          <w:sz w:val="20"/>
          <w:szCs w:val="20"/>
          <w:lang w:val="en-US"/>
        </w:rPr>
      </w:pPr>
    </w:p>
    <w:p w14:paraId="6546A19F" w14:textId="52FBCB85" w:rsidR="00E70701" w:rsidRPr="00D869E3" w:rsidRDefault="00294239" w:rsidP="00E70701">
      <w:pPr>
        <w:pStyle w:val="Prrafodelista"/>
        <w:numPr>
          <w:ilvl w:val="0"/>
          <w:numId w:val="38"/>
        </w:numPr>
        <w:tabs>
          <w:tab w:val="left" w:pos="426"/>
          <w:tab w:val="left" w:pos="709"/>
        </w:tabs>
        <w:jc w:val="both"/>
        <w:rPr>
          <w:rFonts w:ascii="Verdana" w:hAnsi="Verdana"/>
          <w:b/>
          <w:sz w:val="20"/>
          <w:szCs w:val="20"/>
          <w:lang w:val="en-US"/>
        </w:rPr>
      </w:pPr>
      <w:r w:rsidRPr="00D869E3">
        <w:rPr>
          <w:rFonts w:ascii="Verdana" w:hAnsi="Verdana"/>
          <w:b/>
          <w:sz w:val="20"/>
          <w:szCs w:val="20"/>
          <w:lang w:val="en-US"/>
        </w:rPr>
        <w:t>The</w:t>
      </w:r>
      <w:r w:rsidR="00E70701" w:rsidRPr="00D869E3">
        <w:rPr>
          <w:rFonts w:ascii="Verdana" w:hAnsi="Verdana"/>
          <w:b/>
          <w:sz w:val="20"/>
          <w:szCs w:val="20"/>
          <w:lang w:val="en-US"/>
        </w:rPr>
        <w:t xml:space="preserve"> Protocol</w:t>
      </w:r>
      <w:r w:rsidRPr="00D869E3">
        <w:rPr>
          <w:rFonts w:ascii="Verdana" w:hAnsi="Verdana"/>
          <w:b/>
          <w:sz w:val="20"/>
          <w:szCs w:val="20"/>
          <w:lang w:val="en-US"/>
        </w:rPr>
        <w:t xml:space="preserve"> of</w:t>
      </w:r>
      <w:r w:rsidR="00E70701" w:rsidRPr="00D869E3">
        <w:rPr>
          <w:rFonts w:ascii="Verdana" w:hAnsi="Verdana"/>
          <w:b/>
          <w:sz w:val="20"/>
          <w:szCs w:val="20"/>
          <w:lang w:val="en-US"/>
        </w:rPr>
        <w:t xml:space="preserve"> San Salvador</w:t>
      </w:r>
    </w:p>
    <w:p w14:paraId="61B32C79" w14:textId="77777777" w:rsidR="00E70701" w:rsidRPr="00D869E3" w:rsidRDefault="00E70701" w:rsidP="00C44F79">
      <w:pPr>
        <w:jc w:val="both"/>
        <w:rPr>
          <w:rFonts w:ascii="Verdana" w:hAnsi="Verdana" w:cs="Arial"/>
          <w:b/>
          <w:sz w:val="20"/>
          <w:szCs w:val="20"/>
          <w:lang w:val="en-US"/>
        </w:rPr>
      </w:pPr>
    </w:p>
    <w:p w14:paraId="31BE0463" w14:textId="18A1FF27" w:rsidR="00E70701" w:rsidRPr="00D869E3" w:rsidRDefault="00D52907" w:rsidP="00E70701">
      <w:pPr>
        <w:pStyle w:val="Prrafodelista"/>
        <w:numPr>
          <w:ilvl w:val="0"/>
          <w:numId w:val="37"/>
        </w:numPr>
        <w:ind w:left="0" w:firstLine="0"/>
        <w:jc w:val="both"/>
        <w:rPr>
          <w:rFonts w:ascii="Verdana" w:hAnsi="Verdana"/>
          <w:sz w:val="20"/>
          <w:szCs w:val="20"/>
          <w:lang w:val="en-US"/>
        </w:rPr>
      </w:pPr>
      <w:r w:rsidRPr="00D869E3">
        <w:rPr>
          <w:rFonts w:ascii="Verdana" w:hAnsi="Verdana"/>
          <w:sz w:val="20"/>
          <w:szCs w:val="20"/>
          <w:lang w:val="en-US"/>
        </w:rPr>
        <w:t>As indicated previously,</w:t>
      </w:r>
      <w:r w:rsidR="00E70701" w:rsidRPr="00D869E3">
        <w:rPr>
          <w:rStyle w:val="Refdenotaalpie"/>
          <w:szCs w:val="20"/>
          <w:lang w:val="en-US"/>
        </w:rPr>
        <w:footnoteReference w:id="454"/>
      </w:r>
      <w:r w:rsidR="00E70701" w:rsidRPr="00D869E3">
        <w:rPr>
          <w:rFonts w:ascii="Verdana" w:hAnsi="Verdana"/>
          <w:sz w:val="20"/>
          <w:szCs w:val="20"/>
          <w:lang w:val="en-US"/>
        </w:rPr>
        <w:t xml:space="preserve"> </w:t>
      </w:r>
      <w:r w:rsidRPr="00D869E3">
        <w:rPr>
          <w:rFonts w:ascii="Verdana" w:hAnsi="Verdana"/>
          <w:sz w:val="20"/>
          <w:szCs w:val="20"/>
          <w:lang w:val="en-US"/>
        </w:rPr>
        <w:t xml:space="preserve">it is not possible to address the debate on </w:t>
      </w:r>
      <w:r w:rsidR="00447C65" w:rsidRPr="00D869E3">
        <w:rPr>
          <w:rFonts w:ascii="Verdana" w:hAnsi="Verdana"/>
          <w:sz w:val="20"/>
          <w:szCs w:val="20"/>
          <w:lang w:val="en-US"/>
        </w:rPr>
        <w:t>the Inter-American Court</w:t>
      </w:r>
      <w:r w:rsidR="002F123A" w:rsidRPr="00D869E3">
        <w:rPr>
          <w:rFonts w:ascii="Verdana" w:hAnsi="Verdana"/>
          <w:sz w:val="20"/>
          <w:szCs w:val="20"/>
          <w:lang w:val="en-US"/>
        </w:rPr>
        <w:t>’s jurisdiction</w:t>
      </w:r>
      <w:r w:rsidR="00E70701" w:rsidRPr="00D869E3">
        <w:rPr>
          <w:rFonts w:ascii="Verdana" w:hAnsi="Verdana"/>
          <w:sz w:val="20"/>
          <w:szCs w:val="20"/>
          <w:lang w:val="en-US"/>
        </w:rPr>
        <w:t xml:space="preserve"> </w:t>
      </w:r>
      <w:r w:rsidR="00B235CB" w:rsidRPr="00D869E3">
        <w:rPr>
          <w:rFonts w:ascii="Verdana" w:hAnsi="Verdana"/>
          <w:sz w:val="20"/>
          <w:szCs w:val="20"/>
          <w:lang w:val="en-US"/>
        </w:rPr>
        <w:t xml:space="preserve">in the </w:t>
      </w:r>
      <w:r w:rsidRPr="00D869E3">
        <w:rPr>
          <w:rFonts w:ascii="Verdana" w:hAnsi="Verdana"/>
          <w:sz w:val="20"/>
          <w:szCs w:val="20"/>
          <w:lang w:val="en-US"/>
        </w:rPr>
        <w:t>a</w:t>
      </w:r>
      <w:r w:rsidR="00B235CB" w:rsidRPr="00D869E3">
        <w:rPr>
          <w:rFonts w:ascii="Verdana" w:hAnsi="Verdana"/>
          <w:sz w:val="20"/>
          <w:szCs w:val="20"/>
          <w:lang w:val="en-US"/>
        </w:rPr>
        <w:t>rea of</w:t>
      </w:r>
      <w:r w:rsidR="00E70701" w:rsidRPr="00D869E3">
        <w:rPr>
          <w:rFonts w:ascii="Verdana" w:hAnsi="Verdana"/>
          <w:sz w:val="20"/>
          <w:szCs w:val="20"/>
          <w:lang w:val="en-US"/>
        </w:rPr>
        <w:t xml:space="preserve"> </w:t>
      </w:r>
      <w:r w:rsidR="00F42CF0" w:rsidRPr="00D869E3">
        <w:rPr>
          <w:rFonts w:ascii="Verdana" w:hAnsi="Verdana"/>
          <w:sz w:val="20"/>
          <w:szCs w:val="20"/>
          <w:lang w:val="en-US"/>
        </w:rPr>
        <w:t>ESCR</w:t>
      </w:r>
      <w:r w:rsidR="00E70701" w:rsidRPr="00D869E3">
        <w:rPr>
          <w:rFonts w:ascii="Verdana" w:hAnsi="Verdana"/>
          <w:sz w:val="20"/>
          <w:szCs w:val="20"/>
          <w:lang w:val="en-US"/>
        </w:rPr>
        <w:t xml:space="preserve"> </w:t>
      </w:r>
      <w:r w:rsidRPr="00D869E3">
        <w:rPr>
          <w:rFonts w:ascii="Verdana" w:hAnsi="Verdana"/>
          <w:sz w:val="20"/>
          <w:szCs w:val="20"/>
          <w:lang w:val="en-US"/>
        </w:rPr>
        <w:t xml:space="preserve">without taking into account the </w:t>
      </w:r>
      <w:r w:rsidR="000F0B45" w:rsidRPr="00D869E3">
        <w:rPr>
          <w:rFonts w:ascii="Verdana" w:hAnsi="Verdana"/>
          <w:sz w:val="20"/>
          <w:szCs w:val="20"/>
          <w:lang w:val="en-US"/>
        </w:rPr>
        <w:t>Protocol</w:t>
      </w:r>
      <w:r w:rsidR="00E70701" w:rsidRPr="00D869E3">
        <w:rPr>
          <w:rFonts w:ascii="Verdana" w:hAnsi="Verdana"/>
          <w:sz w:val="20"/>
          <w:szCs w:val="20"/>
          <w:lang w:val="en-US"/>
        </w:rPr>
        <w:t xml:space="preserve"> </w:t>
      </w:r>
      <w:r w:rsidR="004E7ECD">
        <w:rPr>
          <w:rFonts w:ascii="Verdana" w:hAnsi="Verdana"/>
          <w:sz w:val="20"/>
          <w:szCs w:val="20"/>
          <w:lang w:val="en-US"/>
        </w:rPr>
        <w:t>of</w:t>
      </w:r>
      <w:r w:rsidR="00E70701" w:rsidRPr="00D869E3">
        <w:rPr>
          <w:rFonts w:ascii="Verdana" w:hAnsi="Verdana"/>
          <w:sz w:val="20"/>
          <w:szCs w:val="20"/>
          <w:lang w:val="en-US"/>
        </w:rPr>
        <w:t xml:space="preserve"> San Salvador. </w:t>
      </w:r>
      <w:r w:rsidRPr="00D869E3">
        <w:rPr>
          <w:rFonts w:ascii="Verdana" w:hAnsi="Verdana"/>
          <w:sz w:val="20"/>
          <w:szCs w:val="20"/>
          <w:lang w:val="en-US"/>
        </w:rPr>
        <w:t>The</w:t>
      </w:r>
      <w:r w:rsidR="00E70701" w:rsidRPr="00D869E3">
        <w:rPr>
          <w:rFonts w:ascii="Verdana" w:hAnsi="Verdana"/>
          <w:sz w:val="20"/>
          <w:szCs w:val="20"/>
          <w:lang w:val="en-US"/>
        </w:rPr>
        <w:t xml:space="preserve"> </w:t>
      </w:r>
      <w:r w:rsidR="000F0B45" w:rsidRPr="00D869E3">
        <w:rPr>
          <w:rFonts w:ascii="Verdana" w:hAnsi="Verdana"/>
          <w:sz w:val="20"/>
          <w:szCs w:val="20"/>
          <w:lang w:val="en-US"/>
        </w:rPr>
        <w:t>Protocol</w:t>
      </w:r>
      <w:r w:rsidRPr="00D869E3">
        <w:rPr>
          <w:rFonts w:ascii="Verdana" w:hAnsi="Verdana"/>
          <w:sz w:val="20"/>
          <w:szCs w:val="20"/>
          <w:lang w:val="en-US"/>
        </w:rPr>
        <w:t xml:space="preserve">’s relevance stems from the fact that it is through this treaty that the States of the region took the decision to define which ESCR they are obliged to comply with. Also, they established clearly and precisely the content of the said </w:t>
      </w:r>
      <w:r w:rsidR="00881A39" w:rsidRPr="00D869E3">
        <w:rPr>
          <w:rFonts w:ascii="Verdana" w:hAnsi="Verdana"/>
          <w:sz w:val="20"/>
          <w:szCs w:val="20"/>
          <w:lang w:val="en-US"/>
        </w:rPr>
        <w:t>rights</w:t>
      </w:r>
      <w:r w:rsidR="00E70701" w:rsidRPr="00D869E3">
        <w:rPr>
          <w:rFonts w:ascii="Verdana" w:hAnsi="Verdana"/>
          <w:sz w:val="20"/>
          <w:szCs w:val="20"/>
          <w:lang w:val="en-US"/>
        </w:rPr>
        <w:t>.</w:t>
      </w:r>
    </w:p>
    <w:p w14:paraId="61BB090E" w14:textId="77777777" w:rsidR="00E70701" w:rsidRPr="00D869E3" w:rsidRDefault="00E70701" w:rsidP="00C44F79">
      <w:pPr>
        <w:pStyle w:val="Prrafodelista"/>
        <w:ind w:left="0"/>
        <w:jc w:val="both"/>
        <w:rPr>
          <w:rFonts w:ascii="Verdana" w:hAnsi="Verdana"/>
          <w:sz w:val="20"/>
          <w:szCs w:val="20"/>
          <w:lang w:val="en-US"/>
        </w:rPr>
      </w:pPr>
    </w:p>
    <w:p w14:paraId="5F5735AD" w14:textId="595397BB" w:rsidR="00E70701" w:rsidRPr="00D869E3" w:rsidRDefault="000D2262" w:rsidP="00D52907">
      <w:pPr>
        <w:pStyle w:val="Prrafodelista"/>
        <w:numPr>
          <w:ilvl w:val="0"/>
          <w:numId w:val="37"/>
        </w:numPr>
        <w:ind w:left="0" w:firstLine="0"/>
        <w:jc w:val="both"/>
        <w:rPr>
          <w:rFonts w:ascii="Verdana" w:hAnsi="Verdana"/>
          <w:sz w:val="20"/>
          <w:szCs w:val="20"/>
          <w:lang w:val="en-US"/>
        </w:rPr>
      </w:pPr>
      <w:r w:rsidRPr="00D869E3">
        <w:rPr>
          <w:rFonts w:ascii="Verdana" w:hAnsi="Verdana"/>
          <w:sz w:val="20"/>
          <w:szCs w:val="20"/>
          <w:lang w:val="en-US"/>
        </w:rPr>
        <w:t>Despite this</w:t>
      </w:r>
      <w:r w:rsidR="00D52907" w:rsidRPr="00D869E3">
        <w:rPr>
          <w:rFonts w:ascii="Verdana" w:hAnsi="Verdana"/>
          <w:sz w:val="20"/>
          <w:szCs w:val="20"/>
          <w:lang w:val="en-US"/>
        </w:rPr>
        <w:t xml:space="preserve">, the States took the sovereign decision to restrict which ESCR established in the Protocol could be monitored by the mechanism of individual petitions when establishing in </w:t>
      </w:r>
      <w:r w:rsidR="00447C65" w:rsidRPr="00D869E3">
        <w:rPr>
          <w:rFonts w:ascii="Verdana" w:hAnsi="Verdana"/>
          <w:sz w:val="20"/>
          <w:szCs w:val="20"/>
          <w:lang w:val="en-US"/>
        </w:rPr>
        <w:t>Article</w:t>
      </w:r>
      <w:r w:rsidR="00E70701" w:rsidRPr="00D869E3">
        <w:rPr>
          <w:rFonts w:ascii="Verdana" w:hAnsi="Verdana"/>
          <w:sz w:val="20"/>
          <w:szCs w:val="20"/>
          <w:lang w:val="en-US"/>
        </w:rPr>
        <w:t xml:space="preserve"> 19</w:t>
      </w:r>
      <w:r w:rsidR="00D52907" w:rsidRPr="00D869E3">
        <w:rPr>
          <w:rFonts w:ascii="Verdana" w:hAnsi="Verdana"/>
          <w:sz w:val="20"/>
          <w:szCs w:val="20"/>
          <w:lang w:val="en-US"/>
        </w:rPr>
        <w:t>(</w:t>
      </w:r>
      <w:r w:rsidR="00E70701" w:rsidRPr="00D869E3">
        <w:rPr>
          <w:rFonts w:ascii="Verdana" w:hAnsi="Verdana"/>
          <w:sz w:val="20"/>
          <w:szCs w:val="20"/>
          <w:lang w:val="en-US"/>
        </w:rPr>
        <w:t>6</w:t>
      </w:r>
      <w:r w:rsidR="00D52907" w:rsidRPr="00D869E3">
        <w:rPr>
          <w:rFonts w:ascii="Verdana" w:hAnsi="Verdana"/>
          <w:sz w:val="20"/>
          <w:szCs w:val="20"/>
          <w:lang w:val="en-US"/>
        </w:rPr>
        <w:t>)</w:t>
      </w:r>
      <w:r w:rsidR="00E70701" w:rsidRPr="00D869E3">
        <w:rPr>
          <w:rFonts w:ascii="Verdana" w:hAnsi="Verdana"/>
          <w:sz w:val="20"/>
          <w:szCs w:val="20"/>
          <w:lang w:val="en-US"/>
        </w:rPr>
        <w:t xml:space="preserve"> </w:t>
      </w:r>
      <w:r w:rsidR="00D52907" w:rsidRPr="00D869E3">
        <w:rPr>
          <w:rFonts w:ascii="Verdana" w:hAnsi="Verdana"/>
          <w:sz w:val="20"/>
          <w:szCs w:val="20"/>
          <w:lang w:val="en-US"/>
        </w:rPr>
        <w:t>that</w:t>
      </w:r>
      <w:r w:rsidR="00E70701" w:rsidRPr="00D869E3">
        <w:rPr>
          <w:rFonts w:ascii="Verdana" w:hAnsi="Verdana"/>
          <w:sz w:val="20"/>
          <w:szCs w:val="20"/>
          <w:lang w:val="en-US"/>
        </w:rPr>
        <w:t>:</w:t>
      </w:r>
    </w:p>
    <w:p w14:paraId="2FB314A7" w14:textId="77777777" w:rsidR="00E70701" w:rsidRPr="00D869E3" w:rsidRDefault="00E70701" w:rsidP="00C44F79">
      <w:pPr>
        <w:pStyle w:val="Prrafodelista"/>
        <w:tabs>
          <w:tab w:val="left" w:pos="426"/>
          <w:tab w:val="left" w:pos="709"/>
        </w:tabs>
        <w:ind w:left="0"/>
        <w:jc w:val="both"/>
        <w:rPr>
          <w:rFonts w:ascii="Verdana" w:hAnsi="Verdana"/>
          <w:sz w:val="20"/>
          <w:szCs w:val="20"/>
          <w:lang w:val="en-US"/>
        </w:rPr>
      </w:pPr>
    </w:p>
    <w:p w14:paraId="5F9B31DE" w14:textId="31072F75" w:rsidR="00D52907" w:rsidRPr="00D869E3" w:rsidRDefault="00E70701" w:rsidP="000D2262">
      <w:pPr>
        <w:ind w:left="450" w:right="566"/>
        <w:jc w:val="both"/>
        <w:rPr>
          <w:rFonts w:ascii="Verdana" w:hAnsi="Verdana"/>
          <w:sz w:val="16"/>
          <w:szCs w:val="16"/>
          <w:lang w:val="en-US"/>
        </w:rPr>
      </w:pPr>
      <w:r w:rsidRPr="00D869E3">
        <w:rPr>
          <w:rFonts w:ascii="Verdana" w:hAnsi="Verdana" w:cs="Tahoma"/>
          <w:color w:val="000000"/>
          <w:sz w:val="16"/>
          <w:szCs w:val="16"/>
          <w:shd w:val="clear" w:color="auto" w:fill="FFFFFF"/>
          <w:lang w:val="en-US"/>
        </w:rPr>
        <w:t xml:space="preserve">6. </w:t>
      </w:r>
      <w:r w:rsidR="00D52907" w:rsidRPr="00D869E3">
        <w:rPr>
          <w:rFonts w:ascii="Verdana" w:hAnsi="Verdana" w:cs="Tahoma"/>
          <w:sz w:val="16"/>
          <w:szCs w:val="16"/>
          <w:u w:val="single"/>
          <w:lang w:val="en-US"/>
        </w:rPr>
        <w:t>Any instance in which the rights established in paragraph a) of Article 8 and in Article 13 are violated by action directly attributable to a State Party</w:t>
      </w:r>
      <w:r w:rsidR="00D52907" w:rsidRPr="00D869E3">
        <w:rPr>
          <w:rFonts w:ascii="Verdana" w:hAnsi="Verdana" w:cs="Tahoma"/>
          <w:sz w:val="16"/>
          <w:szCs w:val="16"/>
          <w:lang w:val="en-US"/>
        </w:rPr>
        <w:t xml:space="preserve"> to this Protocol may give rise, through participation of the Inter-American Commission on Human Rights and, when applicable, of the Inter-American Court of Human Rights, </w:t>
      </w:r>
      <w:r w:rsidR="00D52907" w:rsidRPr="00D869E3">
        <w:rPr>
          <w:rFonts w:ascii="Verdana" w:hAnsi="Verdana" w:cs="Tahoma"/>
          <w:sz w:val="16"/>
          <w:szCs w:val="16"/>
          <w:u w:val="single"/>
          <w:lang w:val="en-US"/>
        </w:rPr>
        <w:t>to application of the system of individual petitions</w:t>
      </w:r>
      <w:r w:rsidR="00D52907" w:rsidRPr="00D869E3">
        <w:rPr>
          <w:rFonts w:ascii="Verdana" w:hAnsi="Verdana" w:cs="Tahoma"/>
          <w:sz w:val="16"/>
          <w:szCs w:val="16"/>
          <w:lang w:val="en-US"/>
        </w:rPr>
        <w:t xml:space="preserve"> governed by Article 44 through 51 and 61 through 69 of the American Convention on Human Rights (underlining added).</w:t>
      </w:r>
    </w:p>
    <w:p w14:paraId="27F81526" w14:textId="77777777" w:rsidR="00E70701" w:rsidRPr="00D869E3" w:rsidRDefault="00E70701" w:rsidP="00C44F79">
      <w:pPr>
        <w:pStyle w:val="Prrafodelista"/>
        <w:tabs>
          <w:tab w:val="left" w:pos="426"/>
          <w:tab w:val="left" w:pos="709"/>
        </w:tabs>
        <w:ind w:left="0"/>
        <w:jc w:val="both"/>
        <w:rPr>
          <w:rFonts w:ascii="Verdana" w:hAnsi="Verdana"/>
          <w:sz w:val="20"/>
          <w:szCs w:val="20"/>
          <w:lang w:val="en-US"/>
        </w:rPr>
      </w:pPr>
    </w:p>
    <w:p w14:paraId="7350151D" w14:textId="30C0727C" w:rsidR="00E70701" w:rsidRPr="00D869E3" w:rsidRDefault="00D52907" w:rsidP="00E70701">
      <w:pPr>
        <w:pStyle w:val="Prrafodelista"/>
        <w:numPr>
          <w:ilvl w:val="0"/>
          <w:numId w:val="37"/>
        </w:numPr>
        <w:ind w:left="0" w:firstLine="0"/>
        <w:jc w:val="both"/>
        <w:rPr>
          <w:rFonts w:ascii="Verdana" w:hAnsi="Verdana"/>
          <w:sz w:val="20"/>
          <w:szCs w:val="20"/>
          <w:lang w:val="en-US"/>
        </w:rPr>
      </w:pPr>
      <w:r w:rsidRPr="00D869E3">
        <w:rPr>
          <w:rFonts w:ascii="Verdana" w:hAnsi="Verdana"/>
          <w:sz w:val="20"/>
          <w:szCs w:val="20"/>
          <w:lang w:val="en-US"/>
        </w:rPr>
        <w:t xml:space="preserve">Thus, by this provision, the States decided to limit the competence </w:t>
      </w:r>
      <w:r w:rsidR="00447C65" w:rsidRPr="00D869E3">
        <w:rPr>
          <w:rFonts w:ascii="Verdana" w:hAnsi="Verdana"/>
          <w:sz w:val="20"/>
          <w:szCs w:val="20"/>
          <w:lang w:val="en-US"/>
        </w:rPr>
        <w:t>of the Commission</w:t>
      </w:r>
      <w:r w:rsidR="00687684" w:rsidRPr="00D869E3">
        <w:rPr>
          <w:rFonts w:ascii="Verdana" w:hAnsi="Verdana"/>
          <w:sz w:val="20"/>
          <w:szCs w:val="20"/>
          <w:lang w:val="en-US"/>
        </w:rPr>
        <w:t xml:space="preserve"> and </w:t>
      </w:r>
      <w:r w:rsidR="00447C65" w:rsidRPr="00D869E3">
        <w:rPr>
          <w:rFonts w:ascii="Verdana" w:hAnsi="Verdana"/>
          <w:sz w:val="20"/>
          <w:szCs w:val="20"/>
          <w:lang w:val="en-US"/>
        </w:rPr>
        <w:t>of the Court</w:t>
      </w:r>
      <w:r w:rsidR="00E70701" w:rsidRPr="00D869E3">
        <w:rPr>
          <w:rFonts w:ascii="Verdana" w:hAnsi="Verdana"/>
          <w:sz w:val="20"/>
          <w:szCs w:val="20"/>
          <w:lang w:val="en-US"/>
        </w:rPr>
        <w:t xml:space="preserve"> </w:t>
      </w:r>
      <w:r w:rsidRPr="00D869E3">
        <w:rPr>
          <w:rFonts w:ascii="Verdana" w:hAnsi="Verdana"/>
          <w:sz w:val="20"/>
          <w:szCs w:val="20"/>
          <w:lang w:val="en-US"/>
        </w:rPr>
        <w:t xml:space="preserve">to examine contentious cases unless they related to trade union rights and to </w:t>
      </w:r>
      <w:r w:rsidR="000B2E5E" w:rsidRPr="00D869E3">
        <w:rPr>
          <w:rFonts w:ascii="Verdana" w:hAnsi="Verdana"/>
          <w:sz w:val="20"/>
          <w:szCs w:val="20"/>
          <w:lang w:val="en-US"/>
        </w:rPr>
        <w:t>the right to</w:t>
      </w:r>
      <w:r w:rsidR="00E70701" w:rsidRPr="00D869E3">
        <w:rPr>
          <w:rFonts w:ascii="Verdana" w:hAnsi="Verdana"/>
          <w:sz w:val="20"/>
          <w:szCs w:val="20"/>
          <w:lang w:val="en-US"/>
        </w:rPr>
        <w:t xml:space="preserve"> </w:t>
      </w:r>
      <w:r w:rsidRPr="00D869E3">
        <w:rPr>
          <w:rFonts w:ascii="Verdana" w:hAnsi="Verdana"/>
          <w:sz w:val="20"/>
          <w:szCs w:val="20"/>
          <w:lang w:val="en-US"/>
        </w:rPr>
        <w:t>education</w:t>
      </w:r>
      <w:r w:rsidR="00E70701" w:rsidRPr="00D869E3">
        <w:rPr>
          <w:rFonts w:ascii="Verdana" w:hAnsi="Verdana"/>
          <w:sz w:val="20"/>
          <w:szCs w:val="20"/>
          <w:lang w:val="en-US"/>
        </w:rPr>
        <w:t>.</w:t>
      </w:r>
    </w:p>
    <w:p w14:paraId="6246F038" w14:textId="77777777" w:rsidR="00E70701" w:rsidRPr="00D869E3" w:rsidRDefault="00E70701" w:rsidP="00C44F79">
      <w:pPr>
        <w:pStyle w:val="Prrafodelista"/>
        <w:ind w:left="0"/>
        <w:jc w:val="both"/>
        <w:rPr>
          <w:rFonts w:ascii="Verdana" w:hAnsi="Verdana"/>
          <w:sz w:val="20"/>
          <w:szCs w:val="20"/>
          <w:lang w:val="en-US"/>
        </w:rPr>
      </w:pPr>
    </w:p>
    <w:p w14:paraId="567A89C1" w14:textId="3CE86716" w:rsidR="00E70701" w:rsidRPr="00D869E3" w:rsidRDefault="00704FF2" w:rsidP="00704FF2">
      <w:pPr>
        <w:pStyle w:val="Prrafodelista"/>
        <w:numPr>
          <w:ilvl w:val="0"/>
          <w:numId w:val="37"/>
        </w:numPr>
        <w:ind w:left="0" w:firstLine="0"/>
        <w:jc w:val="both"/>
        <w:rPr>
          <w:rFonts w:ascii="Verdana" w:hAnsi="Verdana"/>
          <w:sz w:val="20"/>
          <w:szCs w:val="20"/>
          <w:lang w:val="en-US"/>
        </w:rPr>
      </w:pPr>
      <w:r w:rsidRPr="00D869E3">
        <w:rPr>
          <w:rFonts w:ascii="Verdana" w:hAnsi="Verdana"/>
          <w:sz w:val="20"/>
          <w:szCs w:val="20"/>
          <w:lang w:val="en-US"/>
        </w:rPr>
        <w:t xml:space="preserve">That said, this limitation of </w:t>
      </w:r>
      <w:r w:rsidR="000D2262" w:rsidRPr="00D869E3">
        <w:rPr>
          <w:rFonts w:ascii="Verdana" w:hAnsi="Verdana"/>
          <w:sz w:val="20"/>
          <w:szCs w:val="20"/>
          <w:lang w:val="en-US"/>
        </w:rPr>
        <w:t>competence</w:t>
      </w:r>
      <w:r w:rsidRPr="00D869E3">
        <w:rPr>
          <w:rFonts w:ascii="Verdana" w:hAnsi="Verdana"/>
          <w:sz w:val="20"/>
          <w:szCs w:val="20"/>
          <w:lang w:val="en-US"/>
        </w:rPr>
        <w:t xml:space="preserve"> should not be understood as contradicting the provisions of Article 26 of the American Convention, if it is taken into account that </w:t>
      </w:r>
      <w:r w:rsidR="00EB5C78" w:rsidRPr="00D869E3">
        <w:rPr>
          <w:rFonts w:ascii="Verdana" w:hAnsi="Verdana"/>
          <w:sz w:val="20"/>
          <w:szCs w:val="20"/>
          <w:lang w:val="en-US"/>
        </w:rPr>
        <w:t xml:space="preserve">the said </w:t>
      </w:r>
      <w:r w:rsidR="000D2262" w:rsidRPr="00D869E3">
        <w:rPr>
          <w:rFonts w:ascii="Verdana" w:hAnsi="Verdana"/>
          <w:sz w:val="20"/>
          <w:szCs w:val="20"/>
          <w:lang w:val="en-US"/>
        </w:rPr>
        <w:t>article</w:t>
      </w:r>
      <w:r w:rsidR="00EB5C78" w:rsidRPr="00D869E3">
        <w:rPr>
          <w:rFonts w:ascii="Verdana" w:hAnsi="Verdana"/>
          <w:sz w:val="20"/>
          <w:szCs w:val="20"/>
          <w:lang w:val="en-US"/>
        </w:rPr>
        <w:t xml:space="preserve"> expresses the subsequent and more specific intention of the States </w:t>
      </w:r>
      <w:r w:rsidR="000D2262" w:rsidRPr="00D869E3">
        <w:rPr>
          <w:rFonts w:ascii="Verdana" w:hAnsi="Verdana"/>
          <w:sz w:val="20"/>
          <w:szCs w:val="20"/>
          <w:lang w:val="en-US"/>
        </w:rPr>
        <w:t>regarding</w:t>
      </w:r>
      <w:r w:rsidR="00EB5C78" w:rsidRPr="00D869E3">
        <w:rPr>
          <w:rFonts w:ascii="Verdana" w:hAnsi="Verdana"/>
          <w:sz w:val="20"/>
          <w:szCs w:val="20"/>
          <w:lang w:val="en-US"/>
        </w:rPr>
        <w:t xml:space="preserve"> the Inter-American Court</w:t>
      </w:r>
      <w:r w:rsidR="000D2262" w:rsidRPr="00D869E3">
        <w:rPr>
          <w:rFonts w:ascii="Verdana" w:hAnsi="Verdana"/>
          <w:sz w:val="20"/>
          <w:szCs w:val="20"/>
          <w:lang w:val="en-US"/>
        </w:rPr>
        <w:t>’s competence in relation to</w:t>
      </w:r>
      <w:r w:rsidR="00EB5C78" w:rsidRPr="00D869E3">
        <w:rPr>
          <w:rFonts w:ascii="Verdana" w:hAnsi="Verdana"/>
          <w:sz w:val="20"/>
          <w:szCs w:val="20"/>
          <w:lang w:val="en-US"/>
        </w:rPr>
        <w:t xml:space="preserve"> the ESCR. Furthermore, the American Convention should not be read in isolation without taking its Protocol into account, because the</w:t>
      </w:r>
      <w:r w:rsidR="000D2262" w:rsidRPr="00D869E3">
        <w:rPr>
          <w:rFonts w:ascii="Verdana" w:hAnsi="Verdana"/>
          <w:sz w:val="20"/>
          <w:szCs w:val="20"/>
          <w:lang w:val="en-US"/>
        </w:rPr>
        <w:t>se</w:t>
      </w:r>
      <w:r w:rsidR="00EB5C78" w:rsidRPr="00D869E3">
        <w:rPr>
          <w:rFonts w:ascii="Verdana" w:hAnsi="Verdana"/>
          <w:sz w:val="20"/>
          <w:szCs w:val="20"/>
          <w:lang w:val="en-US"/>
        </w:rPr>
        <w:t xml:space="preserve"> are complementary treaties that should be read and interpreted jointly. </w:t>
      </w:r>
      <w:r w:rsidR="00075E68" w:rsidRPr="00D869E3">
        <w:rPr>
          <w:rFonts w:ascii="Verdana" w:hAnsi="Verdana"/>
          <w:sz w:val="20"/>
          <w:szCs w:val="20"/>
          <w:lang w:val="en-US"/>
        </w:rPr>
        <w:t>In this regard</w:t>
      </w:r>
      <w:r w:rsidR="00E70701" w:rsidRPr="00D869E3">
        <w:rPr>
          <w:rFonts w:ascii="Verdana" w:hAnsi="Verdana"/>
          <w:sz w:val="20"/>
          <w:szCs w:val="20"/>
          <w:lang w:val="en-US"/>
        </w:rPr>
        <w:t xml:space="preserve">, </w:t>
      </w:r>
      <w:r w:rsidR="00EB5C78" w:rsidRPr="00D869E3">
        <w:rPr>
          <w:rFonts w:ascii="Verdana" w:hAnsi="Verdana" w:cs="Arial"/>
          <w:sz w:val="20"/>
          <w:szCs w:val="20"/>
          <w:lang w:val="en-US"/>
        </w:rPr>
        <w:t>the different proposals for the reform of the inter-American human rights system that sought to include</w:t>
      </w:r>
      <w:r w:rsidR="00E70701" w:rsidRPr="00D869E3">
        <w:rPr>
          <w:rFonts w:ascii="Verdana" w:hAnsi="Verdana" w:cs="Arial"/>
          <w:sz w:val="20"/>
          <w:szCs w:val="20"/>
          <w:lang w:val="en-US"/>
        </w:rPr>
        <w:t xml:space="preserve"> </w:t>
      </w:r>
      <w:r w:rsidR="00F42CF0" w:rsidRPr="00D869E3">
        <w:rPr>
          <w:rFonts w:ascii="Verdana" w:hAnsi="Verdana" w:cs="Arial"/>
          <w:sz w:val="20"/>
          <w:szCs w:val="20"/>
          <w:lang w:val="en-US"/>
        </w:rPr>
        <w:t>the justiciability</w:t>
      </w:r>
      <w:r w:rsidR="00E70701" w:rsidRPr="00D869E3">
        <w:rPr>
          <w:rFonts w:ascii="Verdana" w:hAnsi="Verdana" w:cs="Arial"/>
          <w:sz w:val="20"/>
          <w:szCs w:val="20"/>
          <w:lang w:val="en-US"/>
        </w:rPr>
        <w:t xml:space="preserve"> </w:t>
      </w:r>
      <w:r w:rsidR="00EB5C78" w:rsidRPr="00D869E3">
        <w:rPr>
          <w:rFonts w:ascii="Verdana" w:hAnsi="Verdana" w:cs="Arial"/>
          <w:sz w:val="20"/>
          <w:szCs w:val="20"/>
          <w:lang w:val="en-US"/>
        </w:rPr>
        <w:t>of the</w:t>
      </w:r>
      <w:r w:rsidR="00E70701" w:rsidRPr="00D869E3">
        <w:rPr>
          <w:rFonts w:ascii="Verdana" w:hAnsi="Verdana" w:cs="Arial"/>
          <w:sz w:val="20"/>
          <w:szCs w:val="20"/>
          <w:lang w:val="en-US"/>
        </w:rPr>
        <w:t xml:space="preserve"> </w:t>
      </w:r>
      <w:r w:rsidR="00F42CF0" w:rsidRPr="00D869E3">
        <w:rPr>
          <w:rFonts w:ascii="Verdana" w:hAnsi="Verdana" w:cs="Arial"/>
          <w:sz w:val="20"/>
          <w:szCs w:val="20"/>
          <w:lang w:val="en-US"/>
        </w:rPr>
        <w:t>ESCR</w:t>
      </w:r>
      <w:r w:rsidR="00E70701" w:rsidRPr="00D869E3">
        <w:rPr>
          <w:rFonts w:ascii="Verdana" w:hAnsi="Verdana" w:cs="Arial"/>
          <w:sz w:val="20"/>
          <w:szCs w:val="20"/>
          <w:lang w:val="en-US"/>
        </w:rPr>
        <w:t xml:space="preserve"> </w:t>
      </w:r>
      <w:r w:rsidR="00EB5C78" w:rsidRPr="00D869E3">
        <w:rPr>
          <w:rFonts w:ascii="Verdana" w:hAnsi="Verdana" w:cs="Arial"/>
          <w:sz w:val="20"/>
          <w:szCs w:val="20"/>
          <w:lang w:val="en-US"/>
        </w:rPr>
        <w:t xml:space="preserve">reveal that </w:t>
      </w:r>
      <w:r w:rsidR="000D2262" w:rsidRPr="00D869E3">
        <w:rPr>
          <w:rFonts w:ascii="Verdana" w:hAnsi="Verdana" w:cs="Arial"/>
          <w:sz w:val="20"/>
          <w:szCs w:val="20"/>
          <w:lang w:val="en-US"/>
        </w:rPr>
        <w:t>this involved an</w:t>
      </w:r>
      <w:r w:rsidR="00EB5C78" w:rsidRPr="00D869E3">
        <w:rPr>
          <w:rFonts w:ascii="Verdana" w:hAnsi="Verdana" w:cs="Arial"/>
          <w:sz w:val="20"/>
          <w:szCs w:val="20"/>
          <w:lang w:val="en-US"/>
        </w:rPr>
        <w:t xml:space="preserve"> understanding </w:t>
      </w:r>
      <w:r w:rsidR="00447C65" w:rsidRPr="00D869E3">
        <w:rPr>
          <w:rFonts w:ascii="Verdana" w:hAnsi="Verdana" w:cs="Arial"/>
          <w:sz w:val="20"/>
          <w:szCs w:val="20"/>
          <w:lang w:val="en-US"/>
        </w:rPr>
        <w:t>of the Convention</w:t>
      </w:r>
      <w:r w:rsidR="00E70701" w:rsidRPr="00D869E3">
        <w:rPr>
          <w:rFonts w:ascii="Verdana" w:hAnsi="Verdana" w:cs="Arial"/>
          <w:sz w:val="20"/>
          <w:szCs w:val="20"/>
          <w:lang w:val="en-US"/>
        </w:rPr>
        <w:t xml:space="preserve"> </w:t>
      </w:r>
      <w:r w:rsidR="00EB5C78" w:rsidRPr="00D869E3">
        <w:rPr>
          <w:rFonts w:ascii="Verdana" w:hAnsi="Verdana" w:cs="Arial"/>
          <w:sz w:val="20"/>
          <w:szCs w:val="20"/>
          <w:lang w:val="en-US"/>
        </w:rPr>
        <w:t xml:space="preserve">that </w:t>
      </w:r>
      <w:r w:rsidR="000D2262" w:rsidRPr="00D869E3">
        <w:rPr>
          <w:rFonts w:ascii="Verdana" w:hAnsi="Verdana" w:cs="Arial"/>
          <w:sz w:val="20"/>
          <w:szCs w:val="20"/>
          <w:lang w:val="en-US"/>
        </w:rPr>
        <w:t>wa</w:t>
      </w:r>
      <w:r w:rsidR="00EB5C78" w:rsidRPr="00D869E3">
        <w:rPr>
          <w:rFonts w:ascii="Verdana" w:hAnsi="Verdana" w:cs="Arial"/>
          <w:sz w:val="20"/>
          <w:szCs w:val="20"/>
          <w:lang w:val="en-US"/>
        </w:rPr>
        <w:t>s contrary to the intention of the States</w:t>
      </w:r>
      <w:r w:rsidR="000D2262" w:rsidRPr="00D869E3">
        <w:rPr>
          <w:rFonts w:ascii="Verdana" w:hAnsi="Verdana" w:cs="Arial"/>
          <w:sz w:val="20"/>
          <w:szCs w:val="20"/>
          <w:lang w:val="en-US"/>
        </w:rPr>
        <w:t xml:space="preserve">; to </w:t>
      </w:r>
      <w:r w:rsidR="00EB5C78" w:rsidRPr="00D869E3">
        <w:rPr>
          <w:rFonts w:ascii="Verdana" w:hAnsi="Verdana" w:cs="Arial"/>
          <w:sz w:val="20"/>
          <w:szCs w:val="20"/>
          <w:lang w:val="en-US"/>
        </w:rPr>
        <w:t>the</w:t>
      </w:r>
      <w:r w:rsidR="000D2262" w:rsidRPr="00D869E3">
        <w:rPr>
          <w:rFonts w:ascii="Verdana" w:hAnsi="Verdana" w:cs="Arial"/>
          <w:sz w:val="20"/>
          <w:szCs w:val="20"/>
          <w:lang w:val="en-US"/>
        </w:rPr>
        <w:t>ir</w:t>
      </w:r>
      <w:r w:rsidR="00EB5C78" w:rsidRPr="00D869E3">
        <w:rPr>
          <w:rFonts w:ascii="Verdana" w:hAnsi="Verdana" w:cs="Arial"/>
          <w:sz w:val="20"/>
          <w:szCs w:val="20"/>
          <w:lang w:val="en-US"/>
        </w:rPr>
        <w:t xml:space="preserve"> exp</w:t>
      </w:r>
      <w:r w:rsidR="000D2262" w:rsidRPr="00D869E3">
        <w:rPr>
          <w:rFonts w:ascii="Verdana" w:hAnsi="Verdana" w:cs="Arial"/>
          <w:sz w:val="20"/>
          <w:szCs w:val="20"/>
          <w:lang w:val="en-US"/>
        </w:rPr>
        <w:t>licit</w:t>
      </w:r>
      <w:r w:rsidR="00EB5C78" w:rsidRPr="00D869E3">
        <w:rPr>
          <w:rFonts w:ascii="Verdana" w:hAnsi="Verdana" w:cs="Arial"/>
          <w:sz w:val="20"/>
          <w:szCs w:val="20"/>
          <w:lang w:val="en-US"/>
        </w:rPr>
        <w:t xml:space="preserve"> intention not to make the ESCR </w:t>
      </w:r>
      <w:r w:rsidR="00E70701" w:rsidRPr="00D869E3">
        <w:rPr>
          <w:rFonts w:ascii="Verdana" w:hAnsi="Verdana" w:cs="Arial"/>
          <w:sz w:val="20"/>
          <w:szCs w:val="20"/>
          <w:lang w:val="en-US"/>
        </w:rPr>
        <w:t>justiciables</w:t>
      </w:r>
      <w:r w:rsidR="00EB5C78" w:rsidRPr="00D869E3">
        <w:rPr>
          <w:rFonts w:ascii="Verdana" w:hAnsi="Verdana" w:cs="Arial"/>
          <w:sz w:val="20"/>
          <w:szCs w:val="20"/>
          <w:lang w:val="en-US"/>
        </w:rPr>
        <w:t xml:space="preserve">, </w:t>
      </w:r>
      <w:r w:rsidR="000D2262" w:rsidRPr="00D869E3">
        <w:rPr>
          <w:rFonts w:ascii="Verdana" w:hAnsi="Verdana" w:cs="Arial"/>
          <w:sz w:val="20"/>
          <w:szCs w:val="20"/>
          <w:lang w:val="en-US"/>
        </w:rPr>
        <w:t xml:space="preserve">with the exception of </w:t>
      </w:r>
      <w:r w:rsidR="00EB5C78" w:rsidRPr="00D869E3">
        <w:rPr>
          <w:rFonts w:ascii="Verdana" w:hAnsi="Verdana" w:cs="Arial"/>
          <w:sz w:val="20"/>
          <w:szCs w:val="20"/>
          <w:lang w:val="en-US"/>
        </w:rPr>
        <w:t xml:space="preserve">those expressly indicated in </w:t>
      </w:r>
      <w:r w:rsidR="00447C65" w:rsidRPr="00D869E3">
        <w:rPr>
          <w:rFonts w:ascii="Verdana" w:hAnsi="Verdana" w:cs="Arial"/>
          <w:sz w:val="20"/>
          <w:szCs w:val="20"/>
          <w:lang w:val="en-US"/>
        </w:rPr>
        <w:t>Article</w:t>
      </w:r>
      <w:r w:rsidR="00E70701" w:rsidRPr="00D869E3">
        <w:rPr>
          <w:rFonts w:ascii="Verdana" w:hAnsi="Verdana" w:cs="Arial"/>
          <w:sz w:val="20"/>
          <w:szCs w:val="20"/>
          <w:lang w:val="en-US"/>
        </w:rPr>
        <w:t xml:space="preserve"> 19</w:t>
      </w:r>
      <w:r w:rsidR="00EB5C78" w:rsidRPr="00D869E3">
        <w:rPr>
          <w:rFonts w:ascii="Verdana" w:hAnsi="Verdana" w:cs="Arial"/>
          <w:sz w:val="20"/>
          <w:szCs w:val="20"/>
          <w:lang w:val="en-US"/>
        </w:rPr>
        <w:t>(</w:t>
      </w:r>
      <w:r w:rsidR="00E70701" w:rsidRPr="00D869E3">
        <w:rPr>
          <w:rFonts w:ascii="Verdana" w:hAnsi="Verdana" w:cs="Arial"/>
          <w:sz w:val="20"/>
          <w:szCs w:val="20"/>
          <w:lang w:val="en-US"/>
        </w:rPr>
        <w:t>6</w:t>
      </w:r>
      <w:r w:rsidR="00EB5C78" w:rsidRPr="00D869E3">
        <w:rPr>
          <w:rFonts w:ascii="Verdana" w:hAnsi="Verdana" w:cs="Arial"/>
          <w:sz w:val="20"/>
          <w:szCs w:val="20"/>
          <w:lang w:val="en-US"/>
        </w:rPr>
        <w:t>)</w:t>
      </w:r>
      <w:r w:rsidR="00E70701" w:rsidRPr="00D869E3">
        <w:rPr>
          <w:rFonts w:ascii="Verdana" w:hAnsi="Verdana" w:cs="Arial"/>
          <w:sz w:val="20"/>
          <w:szCs w:val="20"/>
          <w:lang w:val="en-US"/>
        </w:rPr>
        <w:t xml:space="preserve"> </w:t>
      </w:r>
      <w:r w:rsidR="00EB5C78" w:rsidRPr="00D869E3">
        <w:rPr>
          <w:rFonts w:ascii="Verdana" w:hAnsi="Verdana" w:cs="Arial"/>
          <w:sz w:val="20"/>
          <w:szCs w:val="20"/>
          <w:lang w:val="en-US"/>
        </w:rPr>
        <w:t>of the</w:t>
      </w:r>
      <w:r w:rsidR="00E70701" w:rsidRPr="00D869E3">
        <w:rPr>
          <w:rFonts w:ascii="Verdana" w:hAnsi="Verdana" w:cs="Arial"/>
          <w:sz w:val="20"/>
          <w:szCs w:val="20"/>
          <w:lang w:val="en-US"/>
        </w:rPr>
        <w:t xml:space="preserve"> </w:t>
      </w:r>
      <w:r w:rsidR="000F0B45" w:rsidRPr="00D869E3">
        <w:rPr>
          <w:rFonts w:ascii="Verdana" w:hAnsi="Verdana" w:cs="Arial"/>
          <w:sz w:val="20"/>
          <w:szCs w:val="20"/>
          <w:lang w:val="en-US"/>
        </w:rPr>
        <w:t>Protocol</w:t>
      </w:r>
      <w:r w:rsidR="00E70701" w:rsidRPr="00D869E3">
        <w:rPr>
          <w:rFonts w:ascii="Verdana" w:hAnsi="Verdana" w:cs="Arial"/>
          <w:sz w:val="20"/>
          <w:szCs w:val="20"/>
          <w:lang w:val="en-US"/>
        </w:rPr>
        <w:t>.</w:t>
      </w:r>
    </w:p>
    <w:p w14:paraId="3603A328" w14:textId="77777777" w:rsidR="00E70701" w:rsidRPr="00D869E3" w:rsidRDefault="00E70701" w:rsidP="00C44F79">
      <w:pPr>
        <w:jc w:val="both"/>
        <w:rPr>
          <w:rFonts w:ascii="Verdana" w:hAnsi="Verdana"/>
          <w:sz w:val="20"/>
          <w:szCs w:val="20"/>
          <w:lang w:val="en-US"/>
        </w:rPr>
      </w:pPr>
    </w:p>
    <w:p w14:paraId="4496FA8A" w14:textId="312591BF" w:rsidR="00E70701" w:rsidRPr="00D869E3" w:rsidRDefault="00EB5C78" w:rsidP="00EB5C78">
      <w:pPr>
        <w:pStyle w:val="Prrafodelista"/>
        <w:numPr>
          <w:ilvl w:val="0"/>
          <w:numId w:val="37"/>
        </w:numPr>
        <w:ind w:left="0" w:firstLine="0"/>
        <w:jc w:val="both"/>
        <w:rPr>
          <w:rFonts w:ascii="Verdana" w:hAnsi="Verdana"/>
          <w:sz w:val="20"/>
          <w:szCs w:val="20"/>
          <w:lang w:val="en-US"/>
        </w:rPr>
      </w:pPr>
      <w:r w:rsidRPr="00D869E3">
        <w:rPr>
          <w:rFonts w:ascii="Verdana" w:hAnsi="Verdana"/>
          <w:sz w:val="20"/>
          <w:szCs w:val="20"/>
          <w:lang w:val="en-US"/>
        </w:rPr>
        <w:t xml:space="preserve">Furthermore, it is relevant to point out that the State obligations arising from the Protocol are independent of the fact that the Court has jurisdiction to declare violations in the context of its contentious function. </w:t>
      </w:r>
      <w:r w:rsidR="000D2262" w:rsidRPr="00D869E3">
        <w:rPr>
          <w:rFonts w:ascii="Verdana" w:hAnsi="Verdana"/>
          <w:sz w:val="20"/>
          <w:szCs w:val="20"/>
          <w:lang w:val="en-US"/>
        </w:rPr>
        <w:t>T</w:t>
      </w:r>
      <w:r w:rsidRPr="00D869E3">
        <w:rPr>
          <w:rFonts w:ascii="Verdana" w:hAnsi="Verdana"/>
          <w:sz w:val="20"/>
          <w:szCs w:val="20"/>
          <w:lang w:val="en-US"/>
        </w:rPr>
        <w:t>he State established other mechanisms</w:t>
      </w:r>
      <w:r w:rsidR="000D2262" w:rsidRPr="00D869E3">
        <w:rPr>
          <w:rFonts w:ascii="Verdana" w:hAnsi="Verdana"/>
          <w:sz w:val="20"/>
          <w:szCs w:val="20"/>
          <w:lang w:val="en-US"/>
        </w:rPr>
        <w:t xml:space="preserve"> for simply monitoring compliance with those rights,</w:t>
      </w:r>
      <w:r w:rsidRPr="00D869E3">
        <w:rPr>
          <w:rFonts w:ascii="Verdana" w:hAnsi="Verdana"/>
          <w:sz w:val="20"/>
          <w:szCs w:val="20"/>
          <w:lang w:val="en-US"/>
        </w:rPr>
        <w:t xml:space="preserve"> such as those established in the other paragraphs of </w:t>
      </w:r>
      <w:r w:rsidR="00687684" w:rsidRPr="00D869E3">
        <w:rPr>
          <w:rFonts w:ascii="Verdana" w:hAnsi="Verdana"/>
          <w:sz w:val="20"/>
          <w:szCs w:val="20"/>
          <w:lang w:val="en-US"/>
        </w:rPr>
        <w:t>Article</w:t>
      </w:r>
      <w:r w:rsidR="00E70701" w:rsidRPr="00D869E3">
        <w:rPr>
          <w:rFonts w:ascii="Verdana" w:hAnsi="Verdana"/>
          <w:sz w:val="20"/>
          <w:szCs w:val="20"/>
          <w:lang w:val="en-US"/>
        </w:rPr>
        <w:t xml:space="preserve"> 19 </w:t>
      </w:r>
      <w:r w:rsidRPr="00D869E3">
        <w:rPr>
          <w:rFonts w:ascii="Verdana" w:hAnsi="Verdana"/>
          <w:sz w:val="20"/>
          <w:szCs w:val="20"/>
          <w:lang w:val="en-US"/>
        </w:rPr>
        <w:t>of the</w:t>
      </w:r>
      <w:r w:rsidR="00E70701" w:rsidRPr="00D869E3">
        <w:rPr>
          <w:rFonts w:ascii="Verdana" w:hAnsi="Verdana"/>
          <w:sz w:val="20"/>
          <w:szCs w:val="20"/>
          <w:lang w:val="en-US"/>
        </w:rPr>
        <w:t xml:space="preserve"> </w:t>
      </w:r>
      <w:r w:rsidR="000F0B45" w:rsidRPr="00D869E3">
        <w:rPr>
          <w:rFonts w:ascii="Verdana" w:hAnsi="Verdana"/>
          <w:sz w:val="20"/>
          <w:szCs w:val="20"/>
          <w:lang w:val="en-US"/>
        </w:rPr>
        <w:t>Protocol</w:t>
      </w:r>
      <w:r w:rsidR="00E70701" w:rsidRPr="00D869E3">
        <w:rPr>
          <w:rFonts w:ascii="Verdana" w:hAnsi="Verdana"/>
          <w:sz w:val="20"/>
          <w:szCs w:val="20"/>
          <w:lang w:val="en-US"/>
        </w:rPr>
        <w:t xml:space="preserve">, </w:t>
      </w:r>
      <w:r w:rsidRPr="00D869E3">
        <w:rPr>
          <w:rFonts w:ascii="Verdana" w:hAnsi="Verdana"/>
          <w:sz w:val="20"/>
          <w:szCs w:val="20"/>
          <w:lang w:val="en-US"/>
        </w:rPr>
        <w:t xml:space="preserve">such as the possibility of formulating observations and recommendations concerning the status of the </w:t>
      </w:r>
      <w:r w:rsidR="00F42CF0" w:rsidRPr="00D869E3">
        <w:rPr>
          <w:rFonts w:ascii="Verdana" w:hAnsi="Verdana"/>
          <w:sz w:val="20"/>
          <w:szCs w:val="20"/>
          <w:lang w:val="en-US"/>
        </w:rPr>
        <w:t>ESCR</w:t>
      </w:r>
      <w:r w:rsidR="00E70701" w:rsidRPr="00D869E3">
        <w:rPr>
          <w:rFonts w:ascii="Verdana" w:hAnsi="Verdana"/>
          <w:sz w:val="20"/>
          <w:szCs w:val="20"/>
          <w:lang w:val="en-US"/>
        </w:rPr>
        <w:t xml:space="preserve"> </w:t>
      </w:r>
      <w:r w:rsidRPr="00D869E3">
        <w:rPr>
          <w:rFonts w:ascii="Verdana" w:hAnsi="Verdana"/>
          <w:sz w:val="20"/>
          <w:szCs w:val="20"/>
          <w:lang w:val="en-US"/>
        </w:rPr>
        <w:t>in the Annual Report</w:t>
      </w:r>
      <w:r w:rsidR="00447C65" w:rsidRPr="00D869E3">
        <w:rPr>
          <w:rFonts w:ascii="Verdana" w:hAnsi="Verdana"/>
          <w:sz w:val="20"/>
          <w:szCs w:val="20"/>
          <w:lang w:val="en-US"/>
        </w:rPr>
        <w:t xml:space="preserve"> of the Inter-American Commission</w:t>
      </w:r>
      <w:r w:rsidR="00E70701" w:rsidRPr="00D869E3">
        <w:rPr>
          <w:rFonts w:ascii="Verdana" w:hAnsi="Verdana"/>
          <w:sz w:val="20"/>
          <w:szCs w:val="20"/>
          <w:lang w:val="en-US"/>
        </w:rPr>
        <w:t>.</w:t>
      </w:r>
    </w:p>
    <w:p w14:paraId="6F166522" w14:textId="77777777" w:rsidR="00E70701" w:rsidRPr="00D869E3" w:rsidRDefault="00E70701" w:rsidP="00C44F79">
      <w:pPr>
        <w:jc w:val="both"/>
        <w:rPr>
          <w:rFonts w:ascii="Verdana" w:hAnsi="Verdana"/>
          <w:sz w:val="20"/>
          <w:szCs w:val="20"/>
          <w:lang w:val="en-US"/>
        </w:rPr>
      </w:pPr>
    </w:p>
    <w:p w14:paraId="4932C3DC" w14:textId="72CF3291" w:rsidR="00E70701" w:rsidRPr="00D869E3" w:rsidRDefault="00EB5C78" w:rsidP="00BF667C">
      <w:pPr>
        <w:pStyle w:val="Prrafodelista"/>
        <w:numPr>
          <w:ilvl w:val="0"/>
          <w:numId w:val="37"/>
        </w:numPr>
        <w:ind w:left="0" w:firstLine="0"/>
        <w:jc w:val="both"/>
        <w:rPr>
          <w:rFonts w:ascii="Verdana" w:hAnsi="Verdana"/>
          <w:sz w:val="20"/>
          <w:szCs w:val="20"/>
          <w:lang w:val="en-US"/>
        </w:rPr>
      </w:pPr>
      <w:r w:rsidRPr="00D869E3">
        <w:rPr>
          <w:rFonts w:ascii="Verdana" w:hAnsi="Verdana"/>
          <w:sz w:val="20"/>
          <w:szCs w:val="20"/>
          <w:lang w:val="en-US"/>
        </w:rPr>
        <w:t xml:space="preserve">Bearing in mind the foregoing, I consider </w:t>
      </w:r>
      <w:r w:rsidR="00BF667C" w:rsidRPr="00D869E3">
        <w:rPr>
          <w:rFonts w:ascii="Verdana" w:hAnsi="Verdana"/>
          <w:sz w:val="20"/>
          <w:szCs w:val="20"/>
          <w:lang w:val="en-US"/>
        </w:rPr>
        <w:t>it</w:t>
      </w:r>
      <w:r w:rsidRPr="00D869E3">
        <w:rPr>
          <w:rFonts w:ascii="Verdana" w:hAnsi="Verdana"/>
          <w:sz w:val="20"/>
          <w:szCs w:val="20"/>
          <w:lang w:val="en-US"/>
        </w:rPr>
        <w:t xml:space="preserve"> inconceivable that a jud</w:t>
      </w:r>
      <w:r w:rsidR="00BF667C" w:rsidRPr="00D869E3">
        <w:rPr>
          <w:rFonts w:ascii="Verdana" w:hAnsi="Verdana"/>
          <w:sz w:val="20"/>
          <w:szCs w:val="20"/>
          <w:lang w:val="en-US"/>
        </w:rPr>
        <w:t>g</w:t>
      </w:r>
      <w:r w:rsidRPr="00D869E3">
        <w:rPr>
          <w:rFonts w:ascii="Verdana" w:hAnsi="Verdana"/>
          <w:sz w:val="20"/>
          <w:szCs w:val="20"/>
          <w:lang w:val="en-US"/>
        </w:rPr>
        <w:t>ment declar</w:t>
      </w:r>
      <w:r w:rsidR="00BF667C" w:rsidRPr="00D869E3">
        <w:rPr>
          <w:rFonts w:ascii="Verdana" w:hAnsi="Verdana"/>
          <w:sz w:val="20"/>
          <w:szCs w:val="20"/>
          <w:lang w:val="en-US"/>
        </w:rPr>
        <w:t>ing</w:t>
      </w:r>
      <w:r w:rsidRPr="00D869E3">
        <w:rPr>
          <w:rFonts w:ascii="Verdana" w:hAnsi="Verdana"/>
          <w:sz w:val="20"/>
          <w:szCs w:val="20"/>
          <w:lang w:val="en-US"/>
        </w:rPr>
        <w:t xml:space="preserve"> the violation of an</w:t>
      </w:r>
      <w:r w:rsidR="00E70701" w:rsidRPr="00D869E3">
        <w:rPr>
          <w:rFonts w:ascii="Verdana" w:hAnsi="Verdana"/>
          <w:sz w:val="20"/>
          <w:szCs w:val="20"/>
          <w:lang w:val="en-US"/>
        </w:rPr>
        <w:t xml:space="preserve"> </w:t>
      </w:r>
      <w:r w:rsidR="00F42CF0" w:rsidRPr="00D869E3">
        <w:rPr>
          <w:rFonts w:ascii="Verdana" w:hAnsi="Verdana"/>
          <w:sz w:val="20"/>
          <w:szCs w:val="20"/>
          <w:lang w:val="en-US"/>
        </w:rPr>
        <w:t>ESCR</w:t>
      </w:r>
      <w:r w:rsidR="00E70701" w:rsidRPr="00D869E3">
        <w:rPr>
          <w:rFonts w:ascii="Verdana" w:hAnsi="Verdana"/>
          <w:sz w:val="20"/>
          <w:szCs w:val="20"/>
          <w:lang w:val="en-US"/>
        </w:rPr>
        <w:t xml:space="preserve"> </w:t>
      </w:r>
      <w:r w:rsidRPr="00D869E3">
        <w:rPr>
          <w:rFonts w:ascii="Verdana" w:hAnsi="Verdana"/>
          <w:sz w:val="20"/>
          <w:szCs w:val="20"/>
          <w:lang w:val="en-US"/>
        </w:rPr>
        <w:t>under</w:t>
      </w:r>
      <w:r w:rsidR="00E70701" w:rsidRPr="00D869E3">
        <w:rPr>
          <w:rFonts w:ascii="Verdana" w:hAnsi="Verdana"/>
          <w:sz w:val="20"/>
          <w:szCs w:val="20"/>
          <w:lang w:val="en-US"/>
        </w:rPr>
        <w:t xml:space="preserve"> </w:t>
      </w:r>
      <w:r w:rsidR="00671B14" w:rsidRPr="00D869E3">
        <w:rPr>
          <w:rFonts w:ascii="Verdana" w:hAnsi="Verdana"/>
          <w:sz w:val="20"/>
          <w:szCs w:val="20"/>
          <w:lang w:val="en-US"/>
        </w:rPr>
        <w:t>the inter-American system</w:t>
      </w:r>
      <w:r w:rsidR="00BF667C" w:rsidRPr="00D869E3">
        <w:rPr>
          <w:rFonts w:ascii="Verdana" w:hAnsi="Verdana"/>
          <w:sz w:val="20"/>
          <w:szCs w:val="20"/>
          <w:lang w:val="en-US"/>
        </w:rPr>
        <w:t xml:space="preserve"> </w:t>
      </w:r>
      <w:r w:rsidR="000D2262" w:rsidRPr="00D869E3">
        <w:rPr>
          <w:rFonts w:ascii="Verdana" w:hAnsi="Verdana"/>
          <w:sz w:val="20"/>
          <w:szCs w:val="20"/>
          <w:lang w:val="en-US"/>
        </w:rPr>
        <w:t>makes no</w:t>
      </w:r>
      <w:r w:rsidR="00BF667C" w:rsidRPr="00D869E3">
        <w:rPr>
          <w:rFonts w:ascii="Verdana" w:hAnsi="Verdana"/>
          <w:sz w:val="20"/>
          <w:szCs w:val="20"/>
          <w:lang w:val="en-US"/>
        </w:rPr>
        <w:t xml:space="preserve"> reference whatsoever to the Protocol and its scope. Below</w:t>
      </w:r>
      <w:r w:rsidR="000D2262" w:rsidRPr="00D869E3">
        <w:rPr>
          <w:rFonts w:ascii="Verdana" w:hAnsi="Verdana"/>
          <w:sz w:val="20"/>
          <w:szCs w:val="20"/>
          <w:lang w:val="en-US"/>
        </w:rPr>
        <w:t>,</w:t>
      </w:r>
      <w:r w:rsidR="00BF667C" w:rsidRPr="00D869E3">
        <w:rPr>
          <w:rFonts w:ascii="Verdana" w:hAnsi="Verdana"/>
          <w:sz w:val="20"/>
          <w:szCs w:val="20"/>
          <w:lang w:val="en-US"/>
        </w:rPr>
        <w:t xml:space="preserve"> I will show how this represents an important </w:t>
      </w:r>
      <w:r w:rsidR="000D2262" w:rsidRPr="00D869E3">
        <w:rPr>
          <w:rFonts w:ascii="Verdana" w:hAnsi="Verdana"/>
          <w:sz w:val="20"/>
          <w:szCs w:val="20"/>
          <w:lang w:val="en-US"/>
        </w:rPr>
        <w:t xml:space="preserve">shortcoming in the </w:t>
      </w:r>
      <w:r w:rsidR="000D2262" w:rsidRPr="00D869E3">
        <w:rPr>
          <w:rFonts w:ascii="Verdana" w:hAnsi="Verdana"/>
          <w:sz w:val="20"/>
          <w:szCs w:val="20"/>
          <w:lang w:val="en-US"/>
        </w:rPr>
        <w:lastRenderedPageBreak/>
        <w:t>arguments</w:t>
      </w:r>
      <w:r w:rsidR="00BF667C" w:rsidRPr="00D869E3">
        <w:rPr>
          <w:rFonts w:ascii="Verdana" w:hAnsi="Verdana"/>
          <w:sz w:val="20"/>
          <w:szCs w:val="20"/>
          <w:lang w:val="en-US"/>
        </w:rPr>
        <w:t xml:space="preserve"> but, above and beyond the </w:t>
      </w:r>
      <w:r w:rsidR="000D2262" w:rsidRPr="00D869E3">
        <w:rPr>
          <w:rFonts w:ascii="Verdana" w:hAnsi="Verdana"/>
          <w:sz w:val="20"/>
          <w:szCs w:val="20"/>
          <w:lang w:val="en-US"/>
        </w:rPr>
        <w:t>leg</w:t>
      </w:r>
      <w:r w:rsidR="00BF667C" w:rsidRPr="00D869E3">
        <w:rPr>
          <w:rFonts w:ascii="Verdana" w:hAnsi="Verdana"/>
          <w:sz w:val="20"/>
          <w:szCs w:val="20"/>
          <w:lang w:val="en-US"/>
        </w:rPr>
        <w:t xml:space="preserve">al technique that is required of </w:t>
      </w:r>
      <w:r w:rsidR="000D2262" w:rsidRPr="00D869E3">
        <w:rPr>
          <w:rFonts w:ascii="Verdana" w:hAnsi="Verdana"/>
          <w:sz w:val="20"/>
          <w:szCs w:val="20"/>
          <w:lang w:val="en-US"/>
        </w:rPr>
        <w:t xml:space="preserve">a </w:t>
      </w:r>
      <w:r w:rsidR="00BF667C" w:rsidRPr="00D869E3">
        <w:rPr>
          <w:rFonts w:ascii="Verdana" w:hAnsi="Verdana"/>
          <w:sz w:val="20"/>
          <w:szCs w:val="20"/>
          <w:lang w:val="en-US"/>
        </w:rPr>
        <w:t xml:space="preserve">court of the </w:t>
      </w:r>
      <w:r w:rsidR="00836E6F" w:rsidRPr="00D869E3">
        <w:rPr>
          <w:rFonts w:ascii="Verdana" w:hAnsi="Verdana"/>
          <w:sz w:val="20"/>
          <w:szCs w:val="20"/>
          <w:lang w:val="en-US"/>
        </w:rPr>
        <w:t>import</w:t>
      </w:r>
      <w:r w:rsidR="00BF667C" w:rsidRPr="00D869E3">
        <w:rPr>
          <w:rFonts w:ascii="Verdana" w:hAnsi="Verdana"/>
          <w:sz w:val="20"/>
          <w:szCs w:val="20"/>
          <w:lang w:val="en-US"/>
        </w:rPr>
        <w:t>ance of the Inter-American Court, the failure to refer to the Protocol reveals the express intention not to want to address the problems of jurisdiction and justiciability that arise. In other words, it would appear that</w:t>
      </w:r>
      <w:r w:rsidR="00836E6F" w:rsidRPr="00D869E3">
        <w:rPr>
          <w:rFonts w:ascii="Verdana" w:hAnsi="Verdana"/>
          <w:sz w:val="20"/>
          <w:szCs w:val="20"/>
          <w:lang w:val="en-US"/>
        </w:rPr>
        <w:t xml:space="preserve">, </w:t>
      </w:r>
      <w:r w:rsidR="00BF667C" w:rsidRPr="00D869E3">
        <w:rPr>
          <w:rFonts w:ascii="Verdana" w:hAnsi="Verdana"/>
          <w:sz w:val="20"/>
          <w:szCs w:val="20"/>
          <w:lang w:val="en-US"/>
        </w:rPr>
        <w:t>by making no reference to the Protocol</w:t>
      </w:r>
      <w:r w:rsidR="00836E6F" w:rsidRPr="00D869E3">
        <w:rPr>
          <w:rFonts w:ascii="Verdana" w:hAnsi="Verdana"/>
          <w:sz w:val="20"/>
          <w:szCs w:val="20"/>
          <w:lang w:val="en-US"/>
        </w:rPr>
        <w:t>, it is sought</w:t>
      </w:r>
      <w:r w:rsidR="00BF667C" w:rsidRPr="00D869E3">
        <w:rPr>
          <w:rFonts w:ascii="Verdana" w:hAnsi="Verdana"/>
          <w:sz w:val="20"/>
          <w:szCs w:val="20"/>
          <w:lang w:val="en-US"/>
        </w:rPr>
        <w:t xml:space="preserve"> to d</w:t>
      </w:r>
      <w:r w:rsidR="00836E6F" w:rsidRPr="00D869E3">
        <w:rPr>
          <w:rFonts w:ascii="Verdana" w:hAnsi="Verdana"/>
          <w:sz w:val="20"/>
          <w:szCs w:val="20"/>
          <w:lang w:val="en-US"/>
        </w:rPr>
        <w:t>isavow</w:t>
      </w:r>
      <w:r w:rsidR="00BF667C" w:rsidRPr="00D869E3">
        <w:rPr>
          <w:rFonts w:ascii="Verdana" w:hAnsi="Verdana"/>
          <w:sz w:val="20"/>
          <w:szCs w:val="20"/>
          <w:lang w:val="en-US"/>
        </w:rPr>
        <w:t xml:space="preserve"> its existence as a supplementary treaty to </w:t>
      </w:r>
      <w:r w:rsidR="00447C65" w:rsidRPr="00D869E3">
        <w:rPr>
          <w:rFonts w:ascii="Verdana" w:hAnsi="Verdana"/>
          <w:sz w:val="20"/>
          <w:szCs w:val="20"/>
          <w:lang w:val="en-US"/>
        </w:rPr>
        <w:t>the American Convention</w:t>
      </w:r>
      <w:r w:rsidR="00E70701" w:rsidRPr="00D869E3">
        <w:rPr>
          <w:rFonts w:ascii="Verdana" w:hAnsi="Verdana"/>
          <w:sz w:val="20"/>
          <w:szCs w:val="20"/>
          <w:lang w:val="en-US"/>
        </w:rPr>
        <w:t xml:space="preserve">, </w:t>
      </w:r>
      <w:r w:rsidR="00BF667C" w:rsidRPr="00D869E3">
        <w:rPr>
          <w:rFonts w:ascii="Verdana" w:hAnsi="Verdana"/>
          <w:sz w:val="20"/>
          <w:szCs w:val="20"/>
          <w:lang w:val="en-US"/>
        </w:rPr>
        <w:t>the intention of the States that it expresses, and the debates that have arisen based on its provisions. Despite that intention, it is clear that the validity and obligatory nature of a norm cannot depend on whether it is mentioned in any specific judgment</w:t>
      </w:r>
      <w:r w:rsidR="00836E6F" w:rsidRPr="00D869E3">
        <w:rPr>
          <w:rFonts w:ascii="Verdana" w:hAnsi="Verdana"/>
          <w:sz w:val="20"/>
          <w:szCs w:val="20"/>
          <w:lang w:val="en-US"/>
        </w:rPr>
        <w:t>.</w:t>
      </w:r>
      <w:r w:rsidR="00BF667C" w:rsidRPr="00D869E3">
        <w:rPr>
          <w:rFonts w:ascii="Verdana" w:hAnsi="Verdana"/>
          <w:sz w:val="20"/>
          <w:szCs w:val="20"/>
          <w:lang w:val="en-US"/>
        </w:rPr>
        <w:t xml:space="preserve"> </w:t>
      </w:r>
      <w:r w:rsidR="00836E6F" w:rsidRPr="00D869E3">
        <w:rPr>
          <w:rFonts w:ascii="Verdana" w:hAnsi="Verdana"/>
          <w:sz w:val="20"/>
          <w:szCs w:val="20"/>
          <w:lang w:val="en-US"/>
        </w:rPr>
        <w:t>I</w:t>
      </w:r>
      <w:r w:rsidR="00BF667C" w:rsidRPr="00D869E3">
        <w:rPr>
          <w:rFonts w:ascii="Verdana" w:hAnsi="Verdana"/>
          <w:sz w:val="20"/>
          <w:szCs w:val="20"/>
          <w:lang w:val="en-US"/>
        </w:rPr>
        <w:t xml:space="preserve">n other words, even if </w:t>
      </w:r>
      <w:r w:rsidR="00836E6F" w:rsidRPr="00D869E3">
        <w:rPr>
          <w:rFonts w:ascii="Verdana" w:hAnsi="Verdana"/>
          <w:sz w:val="20"/>
          <w:szCs w:val="20"/>
          <w:lang w:val="en-US"/>
        </w:rPr>
        <w:t>the intention is to</w:t>
      </w:r>
      <w:r w:rsidR="00BF667C" w:rsidRPr="00D869E3">
        <w:rPr>
          <w:rFonts w:ascii="Verdana" w:hAnsi="Verdana"/>
          <w:sz w:val="20"/>
          <w:szCs w:val="20"/>
          <w:lang w:val="en-US"/>
        </w:rPr>
        <w:t xml:space="preserve"> omit it, this does not in the least affect its existence or binding nature</w:t>
      </w:r>
      <w:r w:rsidR="00E70701" w:rsidRPr="00D869E3">
        <w:rPr>
          <w:rFonts w:ascii="Verdana" w:hAnsi="Verdana"/>
          <w:sz w:val="20"/>
          <w:szCs w:val="20"/>
          <w:lang w:val="en-US"/>
        </w:rPr>
        <w:t>.</w:t>
      </w:r>
    </w:p>
    <w:p w14:paraId="3B90A829" w14:textId="77777777" w:rsidR="00E70701" w:rsidRPr="00D869E3" w:rsidRDefault="00E70701" w:rsidP="00C44F79">
      <w:pPr>
        <w:jc w:val="both"/>
        <w:rPr>
          <w:rFonts w:ascii="Verdana" w:hAnsi="Verdana" w:cs="Arial"/>
          <w:b/>
          <w:sz w:val="20"/>
          <w:szCs w:val="20"/>
          <w:lang w:val="en-US"/>
        </w:rPr>
      </w:pPr>
    </w:p>
    <w:p w14:paraId="3790138C" w14:textId="7B588119" w:rsidR="00E70701" w:rsidRPr="00D869E3" w:rsidRDefault="001268E2" w:rsidP="00E70701">
      <w:pPr>
        <w:pStyle w:val="Prrafodelista"/>
        <w:numPr>
          <w:ilvl w:val="0"/>
          <w:numId w:val="38"/>
        </w:numPr>
        <w:tabs>
          <w:tab w:val="left" w:pos="426"/>
          <w:tab w:val="left" w:pos="709"/>
        </w:tabs>
        <w:jc w:val="both"/>
        <w:rPr>
          <w:rFonts w:ascii="Verdana" w:hAnsi="Verdana"/>
          <w:b/>
          <w:sz w:val="20"/>
          <w:szCs w:val="20"/>
          <w:lang w:val="en-US"/>
        </w:rPr>
      </w:pPr>
      <w:r w:rsidRPr="00D869E3">
        <w:rPr>
          <w:rFonts w:ascii="Verdana" w:hAnsi="Verdana"/>
          <w:b/>
          <w:sz w:val="20"/>
          <w:szCs w:val="20"/>
          <w:lang w:val="en-US"/>
        </w:rPr>
        <w:t>E</w:t>
      </w:r>
      <w:r w:rsidR="00E70701" w:rsidRPr="00D869E3">
        <w:rPr>
          <w:rFonts w:ascii="Verdana" w:hAnsi="Verdana"/>
          <w:b/>
          <w:sz w:val="20"/>
          <w:szCs w:val="20"/>
          <w:lang w:val="en-US"/>
        </w:rPr>
        <w:t>volutiv</w:t>
      </w:r>
      <w:r w:rsidRPr="00D869E3">
        <w:rPr>
          <w:rFonts w:ascii="Verdana" w:hAnsi="Verdana"/>
          <w:b/>
          <w:sz w:val="20"/>
          <w:szCs w:val="20"/>
          <w:lang w:val="en-US"/>
        </w:rPr>
        <w:t>e interpretation and</w:t>
      </w:r>
      <w:r w:rsidR="00687684" w:rsidRPr="00D869E3">
        <w:rPr>
          <w:rFonts w:ascii="Verdana" w:hAnsi="Verdana"/>
          <w:b/>
          <w:sz w:val="20"/>
          <w:szCs w:val="20"/>
          <w:lang w:val="en-US"/>
        </w:rPr>
        <w:t xml:space="preserve"> </w:t>
      </w:r>
      <w:r w:rsidR="00E70701" w:rsidRPr="00D869E3">
        <w:rPr>
          <w:rFonts w:ascii="Verdana" w:hAnsi="Verdana"/>
          <w:b/>
          <w:i/>
          <w:sz w:val="20"/>
          <w:szCs w:val="20"/>
          <w:lang w:val="en-US"/>
        </w:rPr>
        <w:t>pro persona</w:t>
      </w:r>
      <w:r w:rsidRPr="00D869E3">
        <w:rPr>
          <w:rFonts w:ascii="Verdana" w:hAnsi="Verdana"/>
          <w:b/>
          <w:i/>
          <w:sz w:val="20"/>
          <w:szCs w:val="20"/>
          <w:lang w:val="en-US"/>
        </w:rPr>
        <w:t xml:space="preserve"> </w:t>
      </w:r>
      <w:r w:rsidRPr="00D869E3">
        <w:rPr>
          <w:rFonts w:ascii="Verdana" w:hAnsi="Verdana"/>
          <w:b/>
          <w:sz w:val="20"/>
          <w:szCs w:val="20"/>
          <w:lang w:val="en-US"/>
        </w:rPr>
        <w:t>principle</w:t>
      </w:r>
    </w:p>
    <w:p w14:paraId="2D4AB5DB" w14:textId="77777777" w:rsidR="00E70701" w:rsidRPr="00D869E3" w:rsidRDefault="00E70701" w:rsidP="00C44F79">
      <w:pPr>
        <w:jc w:val="both"/>
        <w:rPr>
          <w:rFonts w:ascii="Verdana" w:hAnsi="Verdana" w:cs="Arial"/>
          <w:b/>
          <w:sz w:val="20"/>
          <w:szCs w:val="20"/>
          <w:lang w:val="en-US"/>
        </w:rPr>
      </w:pPr>
    </w:p>
    <w:p w14:paraId="1EBBC4C2" w14:textId="20F8B954" w:rsidR="00072C85" w:rsidRPr="00D869E3" w:rsidRDefault="00072C85" w:rsidP="00E70701">
      <w:pPr>
        <w:pStyle w:val="Prrafodelista"/>
        <w:numPr>
          <w:ilvl w:val="0"/>
          <w:numId w:val="37"/>
        </w:numPr>
        <w:ind w:left="0" w:firstLine="0"/>
        <w:jc w:val="both"/>
        <w:rPr>
          <w:rFonts w:ascii="Verdana" w:hAnsi="Verdana"/>
          <w:sz w:val="20"/>
          <w:szCs w:val="20"/>
          <w:lang w:val="en-US"/>
        </w:rPr>
      </w:pPr>
      <w:r w:rsidRPr="00D869E3">
        <w:rPr>
          <w:rFonts w:ascii="Verdana" w:hAnsi="Verdana"/>
          <w:sz w:val="20"/>
          <w:szCs w:val="20"/>
          <w:lang w:val="en-US"/>
        </w:rPr>
        <w:t>The</w:t>
      </w:r>
      <w:r w:rsidR="00E70701" w:rsidRPr="00D869E3">
        <w:rPr>
          <w:rFonts w:ascii="Verdana" w:hAnsi="Verdana"/>
          <w:sz w:val="20"/>
          <w:szCs w:val="20"/>
          <w:lang w:val="en-US"/>
        </w:rPr>
        <w:t xml:space="preserve"> idea </w:t>
      </w:r>
      <w:r w:rsidRPr="00D869E3">
        <w:rPr>
          <w:rFonts w:ascii="Verdana" w:hAnsi="Verdana"/>
          <w:sz w:val="20"/>
          <w:szCs w:val="20"/>
          <w:lang w:val="en-US"/>
        </w:rPr>
        <w:t>of overcoming the problems of</w:t>
      </w:r>
      <w:r w:rsidR="003E0A5B" w:rsidRPr="00D869E3">
        <w:rPr>
          <w:rFonts w:ascii="Verdana" w:hAnsi="Verdana"/>
          <w:sz w:val="20"/>
          <w:szCs w:val="20"/>
          <w:lang w:val="en-US"/>
        </w:rPr>
        <w:t xml:space="preserve"> the</w:t>
      </w:r>
      <w:r w:rsidRPr="00D869E3">
        <w:rPr>
          <w:rFonts w:ascii="Verdana" w:hAnsi="Verdana"/>
          <w:sz w:val="20"/>
          <w:szCs w:val="20"/>
          <w:lang w:val="en-US"/>
        </w:rPr>
        <w:t xml:space="preserve"> justiciability of the ESCR based on an evolutive and supposedly “</w:t>
      </w:r>
      <w:r w:rsidRPr="00D869E3">
        <w:rPr>
          <w:rFonts w:ascii="Verdana" w:hAnsi="Verdana"/>
          <w:i/>
          <w:sz w:val="20"/>
          <w:szCs w:val="20"/>
          <w:lang w:val="en-US"/>
        </w:rPr>
        <w:t>pro persona</w:t>
      </w:r>
      <w:r w:rsidRPr="00D869E3">
        <w:rPr>
          <w:rFonts w:ascii="Verdana" w:hAnsi="Verdana"/>
          <w:sz w:val="20"/>
          <w:szCs w:val="20"/>
          <w:lang w:val="en-US"/>
        </w:rPr>
        <w:t xml:space="preserve">” interpretation of Article 26 of the ACHR has been a constant for those who support this thesis. However, this </w:t>
      </w:r>
      <w:r w:rsidR="003E0A5B" w:rsidRPr="00D869E3">
        <w:rPr>
          <w:rFonts w:ascii="Verdana" w:hAnsi="Verdana"/>
          <w:sz w:val="20"/>
          <w:szCs w:val="20"/>
          <w:lang w:val="en-US"/>
        </w:rPr>
        <w:t xml:space="preserve">claim </w:t>
      </w:r>
      <w:r w:rsidRPr="00D869E3">
        <w:rPr>
          <w:rFonts w:ascii="Verdana" w:hAnsi="Verdana"/>
          <w:sz w:val="20"/>
          <w:szCs w:val="20"/>
          <w:lang w:val="en-US"/>
        </w:rPr>
        <w:t>entails a basic problem, because it fails to take into account that, to interpret a treaty</w:t>
      </w:r>
      <w:r w:rsidR="003E0A5B" w:rsidRPr="00D869E3">
        <w:rPr>
          <w:rFonts w:ascii="Verdana" w:hAnsi="Verdana"/>
          <w:sz w:val="20"/>
          <w:szCs w:val="20"/>
          <w:lang w:val="en-US"/>
        </w:rPr>
        <w:t xml:space="preserve"> correctly</w:t>
      </w:r>
      <w:r w:rsidRPr="00D869E3">
        <w:rPr>
          <w:rFonts w:ascii="Verdana" w:hAnsi="Verdana"/>
          <w:sz w:val="20"/>
          <w:szCs w:val="20"/>
          <w:lang w:val="en-US"/>
        </w:rPr>
        <w:t>, it is necessary to have recourse to other methods of interpretation that exist in international law, because the evolutive method is not the only one that should be taken into consideration.</w:t>
      </w:r>
    </w:p>
    <w:p w14:paraId="022DCFF3" w14:textId="77777777" w:rsidR="00E70701" w:rsidRPr="00D869E3" w:rsidRDefault="00E70701" w:rsidP="00C44F79">
      <w:pPr>
        <w:pStyle w:val="Prrafodelista"/>
        <w:ind w:left="0"/>
        <w:jc w:val="both"/>
        <w:rPr>
          <w:rFonts w:ascii="Verdana" w:hAnsi="Verdana"/>
          <w:sz w:val="20"/>
          <w:szCs w:val="20"/>
          <w:lang w:val="en-US"/>
        </w:rPr>
      </w:pPr>
    </w:p>
    <w:p w14:paraId="328F4E48" w14:textId="3A9A1274" w:rsidR="00E70701" w:rsidRPr="00D869E3" w:rsidRDefault="00072C85" w:rsidP="00E70701">
      <w:pPr>
        <w:pStyle w:val="Prrafodelista"/>
        <w:numPr>
          <w:ilvl w:val="0"/>
          <w:numId w:val="37"/>
        </w:numPr>
        <w:ind w:left="0" w:firstLine="0"/>
        <w:jc w:val="both"/>
        <w:rPr>
          <w:rFonts w:ascii="Verdana" w:hAnsi="Verdana"/>
          <w:sz w:val="20"/>
          <w:szCs w:val="20"/>
          <w:lang w:val="en-US"/>
        </w:rPr>
      </w:pPr>
      <w:r w:rsidRPr="00D869E3">
        <w:rPr>
          <w:rFonts w:ascii="Verdana" w:hAnsi="Verdana"/>
          <w:sz w:val="20"/>
          <w:szCs w:val="20"/>
          <w:lang w:val="en-US"/>
        </w:rPr>
        <w:t xml:space="preserve">Regarding methods of interpretation that should be taken in account, </w:t>
      </w:r>
      <w:r w:rsidR="00447C65" w:rsidRPr="00D869E3">
        <w:rPr>
          <w:rFonts w:ascii="Verdana" w:hAnsi="Verdana"/>
          <w:sz w:val="20"/>
          <w:szCs w:val="20"/>
          <w:lang w:val="en-US"/>
        </w:rPr>
        <w:t>Articles</w:t>
      </w:r>
      <w:r w:rsidR="00E70701" w:rsidRPr="00D869E3">
        <w:rPr>
          <w:rFonts w:ascii="Verdana" w:hAnsi="Verdana"/>
          <w:sz w:val="20"/>
          <w:szCs w:val="20"/>
          <w:lang w:val="en-US"/>
        </w:rPr>
        <w:t xml:space="preserve"> 31</w:t>
      </w:r>
      <w:r w:rsidR="00687684" w:rsidRPr="00D869E3">
        <w:rPr>
          <w:rFonts w:ascii="Verdana" w:hAnsi="Verdana"/>
          <w:sz w:val="20"/>
          <w:szCs w:val="20"/>
          <w:lang w:val="en-US"/>
        </w:rPr>
        <w:t xml:space="preserve"> and </w:t>
      </w:r>
      <w:r w:rsidR="00E70701" w:rsidRPr="00D869E3">
        <w:rPr>
          <w:rFonts w:ascii="Verdana" w:hAnsi="Verdana"/>
          <w:sz w:val="20"/>
          <w:szCs w:val="20"/>
          <w:lang w:val="en-US"/>
        </w:rPr>
        <w:t>32</w:t>
      </w:r>
      <w:r w:rsidR="00447C65" w:rsidRPr="00D869E3">
        <w:rPr>
          <w:rFonts w:ascii="Verdana" w:hAnsi="Verdana"/>
          <w:sz w:val="20"/>
          <w:szCs w:val="20"/>
          <w:lang w:val="en-US"/>
        </w:rPr>
        <w:t xml:space="preserve"> of the </w:t>
      </w:r>
      <w:r w:rsidR="00075E68" w:rsidRPr="00D869E3">
        <w:rPr>
          <w:rFonts w:ascii="Verdana" w:hAnsi="Verdana"/>
          <w:sz w:val="20"/>
          <w:szCs w:val="20"/>
          <w:lang w:val="en-US"/>
        </w:rPr>
        <w:t>Vienna Convention on the Law of Treaties</w:t>
      </w:r>
      <w:r w:rsidR="00E70701" w:rsidRPr="00D869E3">
        <w:rPr>
          <w:rFonts w:ascii="Verdana" w:hAnsi="Verdana"/>
          <w:sz w:val="20"/>
          <w:szCs w:val="20"/>
          <w:lang w:val="en-US"/>
        </w:rPr>
        <w:t xml:space="preserve"> establ</w:t>
      </w:r>
      <w:r w:rsidRPr="00D869E3">
        <w:rPr>
          <w:rFonts w:ascii="Verdana" w:hAnsi="Verdana"/>
          <w:sz w:val="20"/>
          <w:szCs w:val="20"/>
          <w:lang w:val="en-US"/>
        </w:rPr>
        <w:t xml:space="preserve">ish the main methods. The </w:t>
      </w:r>
      <w:r w:rsidR="00447C65" w:rsidRPr="00D869E3">
        <w:rPr>
          <w:rFonts w:ascii="Verdana" w:hAnsi="Verdana"/>
          <w:sz w:val="20"/>
          <w:szCs w:val="20"/>
          <w:lang w:val="en-US"/>
        </w:rPr>
        <w:t>Inter-American Court</w:t>
      </w:r>
      <w:r w:rsidR="00E70701" w:rsidRPr="00D869E3">
        <w:rPr>
          <w:rFonts w:ascii="Verdana" w:hAnsi="Verdana"/>
          <w:sz w:val="20"/>
          <w:szCs w:val="20"/>
          <w:lang w:val="en-US"/>
        </w:rPr>
        <w:t xml:space="preserve"> </w:t>
      </w:r>
      <w:r w:rsidRPr="00D869E3">
        <w:rPr>
          <w:rFonts w:ascii="Verdana" w:hAnsi="Verdana"/>
          <w:sz w:val="20"/>
          <w:szCs w:val="20"/>
          <w:lang w:val="en-US"/>
        </w:rPr>
        <w:t>has incorporated these into its case law;</w:t>
      </w:r>
      <w:r w:rsidR="00E70701" w:rsidRPr="00D869E3">
        <w:rPr>
          <w:rStyle w:val="Refdenotaalpie"/>
          <w:szCs w:val="20"/>
          <w:lang w:val="en-US"/>
        </w:rPr>
        <w:footnoteReference w:id="455"/>
      </w:r>
      <w:r w:rsidR="00E70701" w:rsidRPr="00D869E3">
        <w:rPr>
          <w:rFonts w:ascii="Verdana" w:hAnsi="Verdana"/>
          <w:sz w:val="20"/>
          <w:szCs w:val="20"/>
          <w:lang w:val="en-US"/>
        </w:rPr>
        <w:t xml:space="preserve"> </w:t>
      </w:r>
      <w:r w:rsidRPr="00D869E3">
        <w:rPr>
          <w:rFonts w:ascii="Verdana" w:hAnsi="Verdana"/>
          <w:sz w:val="20"/>
          <w:szCs w:val="20"/>
          <w:lang w:val="en-US"/>
        </w:rPr>
        <w:t>thus, in addition to the evolutive method, it has used other interpretation criteria such as literal interpretation, systematic interpretation, and teleological interpretation</w:t>
      </w:r>
      <w:r w:rsidR="00E70701" w:rsidRPr="00D869E3">
        <w:rPr>
          <w:rFonts w:ascii="Verdana" w:hAnsi="Verdana"/>
          <w:sz w:val="20"/>
          <w:szCs w:val="20"/>
          <w:lang w:val="en-US"/>
        </w:rPr>
        <w:t>.</w:t>
      </w:r>
    </w:p>
    <w:p w14:paraId="3EBAF20E" w14:textId="77777777" w:rsidR="00E70701" w:rsidRPr="00D869E3" w:rsidRDefault="00E70701" w:rsidP="00C44F79">
      <w:pPr>
        <w:jc w:val="both"/>
        <w:rPr>
          <w:rFonts w:ascii="Verdana" w:hAnsi="Verdana"/>
          <w:sz w:val="20"/>
          <w:szCs w:val="20"/>
          <w:lang w:val="en-US"/>
        </w:rPr>
      </w:pPr>
    </w:p>
    <w:p w14:paraId="24E4E206" w14:textId="41526676" w:rsidR="00E70701" w:rsidRPr="00D869E3" w:rsidRDefault="00075E68" w:rsidP="005D6D94">
      <w:pPr>
        <w:pStyle w:val="Prrafodelista"/>
        <w:numPr>
          <w:ilvl w:val="0"/>
          <w:numId w:val="37"/>
        </w:numPr>
        <w:ind w:left="0" w:firstLine="0"/>
        <w:jc w:val="both"/>
        <w:rPr>
          <w:rFonts w:ascii="Verdana" w:hAnsi="Verdana"/>
          <w:sz w:val="20"/>
          <w:szCs w:val="20"/>
          <w:lang w:val="en-US"/>
        </w:rPr>
      </w:pPr>
      <w:r w:rsidRPr="00D869E3">
        <w:rPr>
          <w:rFonts w:ascii="Verdana" w:hAnsi="Verdana"/>
          <w:sz w:val="20"/>
          <w:szCs w:val="20"/>
          <w:lang w:val="en-US"/>
        </w:rPr>
        <w:t>In this regard</w:t>
      </w:r>
      <w:r w:rsidR="00E70701" w:rsidRPr="00D869E3">
        <w:rPr>
          <w:rFonts w:ascii="Verdana" w:hAnsi="Verdana"/>
          <w:sz w:val="20"/>
          <w:szCs w:val="20"/>
          <w:lang w:val="en-US"/>
        </w:rPr>
        <w:t xml:space="preserve">, </w:t>
      </w:r>
      <w:r w:rsidR="00072C85" w:rsidRPr="00D869E3">
        <w:rPr>
          <w:rFonts w:ascii="Verdana" w:hAnsi="Verdana"/>
          <w:sz w:val="20"/>
          <w:szCs w:val="20"/>
          <w:lang w:val="en-US"/>
        </w:rPr>
        <w:t>it should be pointed out that</w:t>
      </w:r>
      <w:r w:rsidR="003E0A5B" w:rsidRPr="00D869E3">
        <w:rPr>
          <w:rFonts w:ascii="Verdana" w:hAnsi="Verdana"/>
          <w:sz w:val="20"/>
          <w:szCs w:val="20"/>
          <w:lang w:val="en-US"/>
        </w:rPr>
        <w:t xml:space="preserve">, </w:t>
      </w:r>
      <w:r w:rsidR="00072C85" w:rsidRPr="00D869E3">
        <w:rPr>
          <w:rFonts w:ascii="Verdana" w:hAnsi="Verdana"/>
          <w:sz w:val="20"/>
          <w:szCs w:val="20"/>
          <w:lang w:val="en-US"/>
        </w:rPr>
        <w:t>to interpret a norm, it is not sufficient to use just one of the different methods of interpretation that exist, because th</w:t>
      </w:r>
      <w:r w:rsidR="003E0A5B" w:rsidRPr="00D869E3">
        <w:rPr>
          <w:rFonts w:ascii="Verdana" w:hAnsi="Verdana"/>
          <w:sz w:val="20"/>
          <w:szCs w:val="20"/>
          <w:lang w:val="en-US"/>
        </w:rPr>
        <w:t>ese methods</w:t>
      </w:r>
      <w:r w:rsidR="00072C85" w:rsidRPr="00D869E3">
        <w:rPr>
          <w:rFonts w:ascii="Verdana" w:hAnsi="Verdana"/>
          <w:sz w:val="20"/>
          <w:szCs w:val="20"/>
          <w:lang w:val="en-US"/>
        </w:rPr>
        <w:t xml:space="preserve"> are complementary and all of equal rank. Indeed, in the aforementioned concurring opinion, I analyzed</w:t>
      </w:r>
      <w:r w:rsidR="00E70701" w:rsidRPr="00D869E3">
        <w:rPr>
          <w:rStyle w:val="Refdenotaalpie"/>
          <w:rFonts w:cs="Arial"/>
          <w:szCs w:val="20"/>
          <w:lang w:val="en-US"/>
        </w:rPr>
        <w:footnoteReference w:id="456"/>
      </w:r>
      <w:r w:rsidR="00E70701" w:rsidRPr="00D869E3">
        <w:rPr>
          <w:rFonts w:ascii="Verdana" w:hAnsi="Verdana" w:cs="Arial"/>
          <w:sz w:val="20"/>
          <w:szCs w:val="20"/>
          <w:lang w:val="en-US"/>
        </w:rPr>
        <w:t xml:space="preserve"> </w:t>
      </w:r>
      <w:r w:rsidR="00687684" w:rsidRPr="00D869E3">
        <w:rPr>
          <w:rFonts w:ascii="Verdana" w:hAnsi="Verdana" w:cs="Arial"/>
          <w:sz w:val="20"/>
          <w:szCs w:val="20"/>
          <w:lang w:val="en-US"/>
        </w:rPr>
        <w:t>Article</w:t>
      </w:r>
      <w:r w:rsidR="00E70701" w:rsidRPr="00D869E3">
        <w:rPr>
          <w:rFonts w:ascii="Verdana" w:hAnsi="Verdana" w:cs="Arial"/>
          <w:sz w:val="20"/>
          <w:szCs w:val="20"/>
          <w:lang w:val="en-US"/>
        </w:rPr>
        <w:t xml:space="preserve"> 26 </w:t>
      </w:r>
      <w:r w:rsidR="00072C85" w:rsidRPr="00D869E3">
        <w:rPr>
          <w:rFonts w:ascii="Verdana" w:hAnsi="Verdana" w:cs="Arial"/>
          <w:sz w:val="20"/>
          <w:szCs w:val="20"/>
          <w:lang w:val="en-US"/>
        </w:rPr>
        <w:t xml:space="preserve">of the </w:t>
      </w:r>
      <w:r w:rsidR="00F42CF0" w:rsidRPr="00D869E3">
        <w:rPr>
          <w:rFonts w:ascii="Verdana" w:hAnsi="Verdana" w:cs="Arial"/>
          <w:sz w:val="20"/>
          <w:szCs w:val="20"/>
          <w:lang w:val="en-US"/>
        </w:rPr>
        <w:t>ACHR</w:t>
      </w:r>
      <w:r w:rsidR="00E70701" w:rsidRPr="00D869E3">
        <w:rPr>
          <w:rFonts w:ascii="Verdana" w:hAnsi="Verdana" w:cs="Arial"/>
          <w:sz w:val="20"/>
          <w:szCs w:val="20"/>
          <w:lang w:val="en-US"/>
        </w:rPr>
        <w:t xml:space="preserve"> </w:t>
      </w:r>
      <w:r w:rsidR="00072C85" w:rsidRPr="00D869E3">
        <w:rPr>
          <w:rFonts w:ascii="Verdana" w:hAnsi="Verdana" w:cs="Arial"/>
          <w:sz w:val="20"/>
          <w:szCs w:val="20"/>
          <w:lang w:val="en-US"/>
        </w:rPr>
        <w:t>based on all the methods of interpretation, and this revealed that it does not permit a direct justiciability of the ESCR, because the jurisdiction of the Inter-American Court</w:t>
      </w:r>
      <w:r w:rsidR="005D6D94" w:rsidRPr="00D869E3">
        <w:rPr>
          <w:rFonts w:ascii="Verdana" w:hAnsi="Verdana" w:cs="Arial"/>
          <w:sz w:val="20"/>
          <w:szCs w:val="20"/>
          <w:lang w:val="en-US"/>
        </w:rPr>
        <w:t xml:space="preserve"> in this regard is regulated by</w:t>
      </w:r>
      <w:r w:rsidR="005D6D94" w:rsidRPr="00D869E3">
        <w:rPr>
          <w:rFonts w:ascii="Verdana" w:hAnsi="Verdana"/>
          <w:sz w:val="20"/>
          <w:szCs w:val="20"/>
          <w:lang w:val="en-US"/>
        </w:rPr>
        <w:t xml:space="preserve"> </w:t>
      </w:r>
      <w:r w:rsidR="00447C65" w:rsidRPr="00D869E3">
        <w:rPr>
          <w:rFonts w:ascii="Verdana" w:hAnsi="Verdana" w:cs="Arial"/>
          <w:sz w:val="20"/>
          <w:szCs w:val="20"/>
          <w:lang w:val="en-US"/>
        </w:rPr>
        <w:t>Article</w:t>
      </w:r>
      <w:r w:rsidR="00E70701" w:rsidRPr="00D869E3">
        <w:rPr>
          <w:rFonts w:ascii="Verdana" w:hAnsi="Verdana" w:cs="Arial"/>
          <w:sz w:val="20"/>
          <w:szCs w:val="20"/>
          <w:lang w:val="en-US"/>
        </w:rPr>
        <w:t xml:space="preserve"> </w:t>
      </w:r>
      <w:r w:rsidR="00E70701" w:rsidRPr="00D869E3">
        <w:rPr>
          <w:rFonts w:ascii="Verdana" w:hAnsi="Verdana"/>
          <w:sz w:val="20"/>
          <w:szCs w:val="20"/>
          <w:lang w:val="en-US"/>
        </w:rPr>
        <w:t>19</w:t>
      </w:r>
      <w:r w:rsidR="005D6D94" w:rsidRPr="00D869E3">
        <w:rPr>
          <w:rFonts w:ascii="Verdana" w:hAnsi="Verdana"/>
          <w:sz w:val="20"/>
          <w:szCs w:val="20"/>
          <w:lang w:val="en-US"/>
        </w:rPr>
        <w:t>(</w:t>
      </w:r>
      <w:r w:rsidR="00E70701" w:rsidRPr="00D869E3">
        <w:rPr>
          <w:rFonts w:ascii="Verdana" w:hAnsi="Verdana"/>
          <w:sz w:val="20"/>
          <w:szCs w:val="20"/>
          <w:lang w:val="en-US"/>
        </w:rPr>
        <w:t>6</w:t>
      </w:r>
      <w:r w:rsidR="005D6D94" w:rsidRPr="00D869E3">
        <w:rPr>
          <w:rFonts w:ascii="Verdana" w:hAnsi="Verdana"/>
          <w:sz w:val="20"/>
          <w:szCs w:val="20"/>
          <w:lang w:val="en-US"/>
        </w:rPr>
        <w:t>)</w:t>
      </w:r>
      <w:r w:rsidR="00E70701" w:rsidRPr="00D869E3">
        <w:rPr>
          <w:rFonts w:ascii="Verdana" w:hAnsi="Verdana"/>
          <w:sz w:val="20"/>
          <w:szCs w:val="20"/>
          <w:lang w:val="en-US"/>
        </w:rPr>
        <w:t xml:space="preserve"> </w:t>
      </w:r>
      <w:r w:rsidR="005D6D94" w:rsidRPr="00D869E3">
        <w:rPr>
          <w:rFonts w:ascii="Verdana" w:hAnsi="Verdana"/>
          <w:sz w:val="20"/>
          <w:szCs w:val="20"/>
          <w:lang w:val="en-US"/>
        </w:rPr>
        <w:t>of the</w:t>
      </w:r>
      <w:r w:rsidR="00E70701" w:rsidRPr="00D869E3">
        <w:rPr>
          <w:rFonts w:ascii="Verdana" w:hAnsi="Verdana"/>
          <w:sz w:val="20"/>
          <w:szCs w:val="20"/>
          <w:lang w:val="en-US"/>
        </w:rPr>
        <w:t xml:space="preserve"> </w:t>
      </w:r>
      <w:r w:rsidR="000F0B45" w:rsidRPr="00D869E3">
        <w:rPr>
          <w:rFonts w:ascii="Verdana" w:hAnsi="Verdana"/>
          <w:sz w:val="20"/>
          <w:szCs w:val="20"/>
          <w:lang w:val="en-US"/>
        </w:rPr>
        <w:t>Protocol</w:t>
      </w:r>
      <w:r w:rsidR="00E70701" w:rsidRPr="00D869E3">
        <w:rPr>
          <w:rFonts w:ascii="Verdana" w:hAnsi="Verdana"/>
          <w:sz w:val="20"/>
          <w:szCs w:val="20"/>
          <w:lang w:val="en-US"/>
        </w:rPr>
        <w:t>.</w:t>
      </w:r>
    </w:p>
    <w:p w14:paraId="7BBFB8F9" w14:textId="77777777" w:rsidR="00E70701" w:rsidRPr="00D869E3" w:rsidRDefault="00E70701" w:rsidP="00C44F79">
      <w:pPr>
        <w:jc w:val="both"/>
        <w:rPr>
          <w:rFonts w:ascii="Verdana" w:hAnsi="Verdana"/>
          <w:sz w:val="20"/>
          <w:szCs w:val="20"/>
          <w:lang w:val="en-US"/>
        </w:rPr>
      </w:pPr>
    </w:p>
    <w:p w14:paraId="05281C86" w14:textId="514503BA" w:rsidR="00E70701" w:rsidRPr="00D869E3" w:rsidRDefault="005D6D94" w:rsidP="005D6D94">
      <w:pPr>
        <w:pStyle w:val="Prrafodelista"/>
        <w:numPr>
          <w:ilvl w:val="0"/>
          <w:numId w:val="37"/>
        </w:numPr>
        <w:ind w:left="0" w:firstLine="0"/>
        <w:jc w:val="both"/>
        <w:rPr>
          <w:rFonts w:ascii="Verdana" w:hAnsi="Verdana"/>
          <w:sz w:val="20"/>
          <w:szCs w:val="20"/>
          <w:lang w:val="en-US"/>
        </w:rPr>
      </w:pPr>
      <w:r w:rsidRPr="00D869E3">
        <w:rPr>
          <w:rFonts w:ascii="Verdana" w:hAnsi="Verdana"/>
          <w:sz w:val="20"/>
          <w:szCs w:val="20"/>
          <w:lang w:val="en-US"/>
        </w:rPr>
        <w:t>Consequently, this point is also fairly controversial in th</w:t>
      </w:r>
      <w:r w:rsidR="003E0A5B" w:rsidRPr="00D869E3">
        <w:rPr>
          <w:rFonts w:ascii="Verdana" w:hAnsi="Verdana"/>
          <w:sz w:val="20"/>
          <w:szCs w:val="20"/>
          <w:lang w:val="en-US"/>
        </w:rPr>
        <w:t>e instant</w:t>
      </w:r>
      <w:r w:rsidRPr="00D869E3">
        <w:rPr>
          <w:rFonts w:ascii="Verdana" w:hAnsi="Verdana"/>
          <w:sz w:val="20"/>
          <w:szCs w:val="20"/>
          <w:lang w:val="en-US"/>
        </w:rPr>
        <w:t xml:space="preserve"> judgment because it merely uses </w:t>
      </w:r>
      <w:r w:rsidR="003E0A5B" w:rsidRPr="00D869E3">
        <w:rPr>
          <w:rFonts w:ascii="Verdana" w:hAnsi="Verdana"/>
          <w:sz w:val="20"/>
          <w:szCs w:val="20"/>
          <w:lang w:val="en-US"/>
        </w:rPr>
        <w:t>one</w:t>
      </w:r>
      <w:r w:rsidRPr="00D869E3">
        <w:rPr>
          <w:rFonts w:ascii="Verdana" w:hAnsi="Verdana"/>
          <w:sz w:val="20"/>
          <w:szCs w:val="20"/>
          <w:lang w:val="en-US"/>
        </w:rPr>
        <w:t xml:space="preserve"> method of interpretation, disregarding one of the most basic rules of public international law, which is the Vienna Convention on the Law of Treaties. In addition, it does not explain or argue why it seeks to make an interpretation of the treaty using a single methodology. </w:t>
      </w:r>
      <w:r w:rsidR="003E0A5B" w:rsidRPr="00D869E3">
        <w:rPr>
          <w:rFonts w:ascii="Verdana" w:hAnsi="Verdana"/>
          <w:sz w:val="20"/>
          <w:szCs w:val="20"/>
          <w:lang w:val="en-US"/>
        </w:rPr>
        <w:t>Moreover</w:t>
      </w:r>
      <w:r w:rsidRPr="00D869E3">
        <w:rPr>
          <w:rFonts w:ascii="Verdana" w:hAnsi="Verdana"/>
          <w:sz w:val="20"/>
          <w:szCs w:val="20"/>
          <w:lang w:val="en-US"/>
        </w:rPr>
        <w:t xml:space="preserve">, this is </w:t>
      </w:r>
      <w:r w:rsidR="003E0A5B" w:rsidRPr="00D869E3">
        <w:rPr>
          <w:rFonts w:ascii="Verdana" w:hAnsi="Verdana"/>
          <w:sz w:val="20"/>
          <w:szCs w:val="20"/>
          <w:lang w:val="en-US"/>
        </w:rPr>
        <w:t>un</w:t>
      </w:r>
      <w:r w:rsidRPr="00D869E3">
        <w:rPr>
          <w:rFonts w:ascii="Verdana" w:hAnsi="Verdana"/>
          <w:sz w:val="20"/>
          <w:szCs w:val="20"/>
          <w:lang w:val="en-US"/>
        </w:rPr>
        <w:t xml:space="preserve">usual for </w:t>
      </w:r>
      <w:r w:rsidR="00671B14" w:rsidRPr="00D869E3">
        <w:rPr>
          <w:rFonts w:ascii="Verdana" w:hAnsi="Verdana"/>
          <w:sz w:val="20"/>
          <w:szCs w:val="20"/>
          <w:lang w:val="en-US"/>
        </w:rPr>
        <w:t>the Inter-American Court</w:t>
      </w:r>
      <w:r w:rsidRPr="00D869E3">
        <w:rPr>
          <w:rFonts w:ascii="Verdana" w:hAnsi="Verdana"/>
          <w:sz w:val="20"/>
          <w:szCs w:val="20"/>
          <w:lang w:val="en-US"/>
        </w:rPr>
        <w:t xml:space="preserve"> which</w:t>
      </w:r>
      <w:r w:rsidR="003E0A5B" w:rsidRPr="00D869E3">
        <w:rPr>
          <w:rFonts w:ascii="Verdana" w:hAnsi="Verdana"/>
          <w:sz w:val="20"/>
          <w:szCs w:val="20"/>
          <w:lang w:val="en-US"/>
        </w:rPr>
        <w:t>,</w:t>
      </w:r>
      <w:r w:rsidRPr="00D869E3">
        <w:rPr>
          <w:rFonts w:ascii="Verdana" w:hAnsi="Verdana"/>
          <w:sz w:val="20"/>
          <w:szCs w:val="20"/>
          <w:lang w:val="en-US"/>
        </w:rPr>
        <w:t xml:space="preserve"> on different occasions</w:t>
      </w:r>
      <w:r w:rsidR="003E0A5B" w:rsidRPr="00D869E3">
        <w:rPr>
          <w:rFonts w:ascii="Verdana" w:hAnsi="Verdana"/>
          <w:sz w:val="20"/>
          <w:szCs w:val="20"/>
          <w:lang w:val="en-US"/>
        </w:rPr>
        <w:t>,</w:t>
      </w:r>
      <w:r w:rsidRPr="00D869E3">
        <w:rPr>
          <w:rFonts w:ascii="Verdana" w:hAnsi="Verdana"/>
          <w:sz w:val="20"/>
          <w:szCs w:val="20"/>
          <w:lang w:val="en-US"/>
        </w:rPr>
        <w:t xml:space="preserve"> has made interpretations based on all the methods established.</w:t>
      </w:r>
    </w:p>
    <w:p w14:paraId="6EDB0217" w14:textId="77777777" w:rsidR="00E70701" w:rsidRPr="00D869E3" w:rsidRDefault="00E70701" w:rsidP="00C44F79">
      <w:pPr>
        <w:jc w:val="both"/>
        <w:rPr>
          <w:rFonts w:ascii="Verdana" w:hAnsi="Verdana"/>
          <w:sz w:val="20"/>
          <w:szCs w:val="20"/>
          <w:lang w:val="en-US"/>
        </w:rPr>
      </w:pPr>
    </w:p>
    <w:p w14:paraId="62EC1C26" w14:textId="69C29E5F" w:rsidR="00E70701" w:rsidRPr="00D869E3" w:rsidRDefault="005D6D94" w:rsidP="005D6D94">
      <w:pPr>
        <w:pStyle w:val="Prrafodelista"/>
        <w:numPr>
          <w:ilvl w:val="0"/>
          <w:numId w:val="37"/>
        </w:numPr>
        <w:ind w:left="0" w:firstLine="0"/>
        <w:jc w:val="both"/>
        <w:rPr>
          <w:rFonts w:ascii="Verdana" w:hAnsi="Verdana"/>
          <w:sz w:val="20"/>
          <w:szCs w:val="20"/>
          <w:lang w:val="en-US"/>
        </w:rPr>
      </w:pPr>
      <w:r w:rsidRPr="00D869E3">
        <w:rPr>
          <w:rFonts w:ascii="Verdana" w:hAnsi="Verdana"/>
          <w:sz w:val="20"/>
          <w:szCs w:val="20"/>
          <w:lang w:val="en-US"/>
        </w:rPr>
        <w:t xml:space="preserve">Lastly, I stress that this case does not </w:t>
      </w:r>
      <w:r w:rsidR="003E0A5B" w:rsidRPr="00D869E3">
        <w:rPr>
          <w:rFonts w:ascii="Verdana" w:hAnsi="Verdana"/>
          <w:sz w:val="20"/>
          <w:szCs w:val="20"/>
          <w:lang w:val="en-US"/>
        </w:rPr>
        <w:t>include</w:t>
      </w:r>
      <w:r w:rsidRPr="00D869E3">
        <w:rPr>
          <w:rFonts w:ascii="Verdana" w:hAnsi="Verdana"/>
          <w:sz w:val="20"/>
          <w:szCs w:val="20"/>
          <w:lang w:val="en-US"/>
        </w:rPr>
        <w:t xml:space="preserve"> an interpretation that provides the most protection </w:t>
      </w:r>
      <w:r w:rsidR="003E0A5B" w:rsidRPr="00D869E3">
        <w:rPr>
          <w:rFonts w:ascii="Verdana" w:hAnsi="Verdana"/>
          <w:sz w:val="20"/>
          <w:szCs w:val="20"/>
          <w:lang w:val="en-US"/>
        </w:rPr>
        <w:t>for</w:t>
      </w:r>
      <w:r w:rsidRPr="00D869E3">
        <w:rPr>
          <w:rFonts w:ascii="Verdana" w:hAnsi="Verdana"/>
          <w:sz w:val="20"/>
          <w:szCs w:val="20"/>
          <w:lang w:val="en-US"/>
        </w:rPr>
        <w:t xml:space="preserve"> the norm that permits the application of the </w:t>
      </w:r>
      <w:r w:rsidRPr="00D869E3">
        <w:rPr>
          <w:rFonts w:ascii="Verdana" w:hAnsi="Verdana"/>
          <w:i/>
          <w:sz w:val="20"/>
          <w:szCs w:val="20"/>
          <w:lang w:val="en-US"/>
        </w:rPr>
        <w:t>pro persona</w:t>
      </w:r>
      <w:r w:rsidRPr="00D869E3">
        <w:rPr>
          <w:rFonts w:ascii="Verdana" w:hAnsi="Verdana"/>
          <w:sz w:val="20"/>
          <w:szCs w:val="20"/>
          <w:lang w:val="en-US"/>
        </w:rPr>
        <w:t xml:space="preserve"> principle. This is because the </w:t>
      </w:r>
      <w:r w:rsidRPr="00D869E3">
        <w:rPr>
          <w:rFonts w:ascii="Verdana" w:hAnsi="Verdana"/>
          <w:i/>
          <w:sz w:val="20"/>
          <w:szCs w:val="20"/>
          <w:lang w:val="en-US"/>
        </w:rPr>
        <w:t>pro persona</w:t>
      </w:r>
      <w:r w:rsidRPr="00D869E3">
        <w:rPr>
          <w:rFonts w:ascii="Verdana" w:hAnsi="Verdana"/>
          <w:sz w:val="20"/>
          <w:szCs w:val="20"/>
          <w:lang w:val="en-US"/>
        </w:rPr>
        <w:t xml:space="preserve"> principle should be applied when the Court is faced with two possible interpretations that are both valid and correct. Specifically what I have demonstrated is that the direct </w:t>
      </w:r>
      <w:r w:rsidR="00F42CF0" w:rsidRPr="00D869E3">
        <w:rPr>
          <w:rFonts w:ascii="Verdana" w:hAnsi="Verdana"/>
          <w:sz w:val="20"/>
          <w:szCs w:val="20"/>
          <w:lang w:val="en-US"/>
        </w:rPr>
        <w:t>justiciability</w:t>
      </w:r>
      <w:r w:rsidR="00E70701" w:rsidRPr="00D869E3">
        <w:rPr>
          <w:rFonts w:ascii="Verdana" w:hAnsi="Verdana"/>
          <w:sz w:val="20"/>
          <w:szCs w:val="20"/>
          <w:lang w:val="en-US"/>
        </w:rPr>
        <w:t xml:space="preserve"> </w:t>
      </w:r>
      <w:r w:rsidRPr="00D869E3">
        <w:rPr>
          <w:rFonts w:ascii="Verdana" w:hAnsi="Verdana"/>
          <w:sz w:val="20"/>
          <w:szCs w:val="20"/>
          <w:lang w:val="en-US"/>
        </w:rPr>
        <w:t>of the</w:t>
      </w:r>
      <w:r w:rsidR="00E70701" w:rsidRPr="00D869E3">
        <w:rPr>
          <w:rFonts w:ascii="Verdana" w:hAnsi="Verdana"/>
          <w:sz w:val="20"/>
          <w:szCs w:val="20"/>
          <w:lang w:val="en-US"/>
        </w:rPr>
        <w:t xml:space="preserve"> </w:t>
      </w:r>
      <w:r w:rsidR="00F42CF0" w:rsidRPr="00D869E3">
        <w:rPr>
          <w:rFonts w:ascii="Verdana" w:hAnsi="Verdana"/>
          <w:sz w:val="20"/>
          <w:szCs w:val="20"/>
          <w:lang w:val="en-US"/>
        </w:rPr>
        <w:t>ESCR</w:t>
      </w:r>
      <w:r w:rsidR="00E70701" w:rsidRPr="00D869E3">
        <w:rPr>
          <w:rFonts w:ascii="Verdana" w:hAnsi="Verdana"/>
          <w:sz w:val="20"/>
          <w:szCs w:val="20"/>
          <w:lang w:val="en-US"/>
        </w:rPr>
        <w:t xml:space="preserve"> </w:t>
      </w:r>
      <w:r w:rsidRPr="00D869E3">
        <w:rPr>
          <w:rFonts w:ascii="Verdana" w:hAnsi="Verdana"/>
          <w:sz w:val="20"/>
          <w:szCs w:val="20"/>
          <w:lang w:val="en-US"/>
        </w:rPr>
        <w:t>using</w:t>
      </w:r>
      <w:r w:rsidR="00687684" w:rsidRPr="00D869E3">
        <w:rPr>
          <w:rFonts w:ascii="Verdana" w:hAnsi="Verdana"/>
          <w:sz w:val="20"/>
          <w:szCs w:val="20"/>
          <w:lang w:val="en-US"/>
        </w:rPr>
        <w:t xml:space="preserve"> Article</w:t>
      </w:r>
      <w:r w:rsidR="00E70701" w:rsidRPr="00D869E3">
        <w:rPr>
          <w:rFonts w:ascii="Verdana" w:hAnsi="Verdana"/>
          <w:sz w:val="20"/>
          <w:szCs w:val="20"/>
          <w:lang w:val="en-US"/>
        </w:rPr>
        <w:t xml:space="preserve"> 26</w:t>
      </w:r>
      <w:r w:rsidR="00447C65" w:rsidRPr="00D869E3">
        <w:rPr>
          <w:rFonts w:ascii="Verdana" w:hAnsi="Verdana"/>
          <w:sz w:val="20"/>
          <w:szCs w:val="20"/>
          <w:lang w:val="en-US"/>
        </w:rPr>
        <w:t xml:space="preserve"> of the Convention</w:t>
      </w:r>
      <w:r w:rsidR="00E70701" w:rsidRPr="00D869E3">
        <w:rPr>
          <w:rFonts w:ascii="Verdana" w:hAnsi="Verdana"/>
          <w:sz w:val="20"/>
          <w:szCs w:val="20"/>
          <w:lang w:val="en-US"/>
        </w:rPr>
        <w:t xml:space="preserve"> </w:t>
      </w:r>
      <w:r w:rsidRPr="00D869E3">
        <w:rPr>
          <w:rFonts w:ascii="Verdana" w:hAnsi="Verdana"/>
          <w:sz w:val="20"/>
          <w:szCs w:val="20"/>
          <w:lang w:val="en-US"/>
        </w:rPr>
        <w:t xml:space="preserve">is not a valid interpretation because the intention is to derive a normative </w:t>
      </w:r>
      <w:r w:rsidR="002F6229" w:rsidRPr="00D869E3">
        <w:rPr>
          <w:rFonts w:ascii="Verdana" w:hAnsi="Verdana"/>
          <w:sz w:val="20"/>
          <w:szCs w:val="20"/>
          <w:lang w:val="en-US"/>
        </w:rPr>
        <w:t>principle that does not correspond to the norm.</w:t>
      </w:r>
      <w:r w:rsidR="00E70701" w:rsidRPr="00D869E3">
        <w:rPr>
          <w:rStyle w:val="Refdenotaalpie"/>
          <w:szCs w:val="20"/>
          <w:lang w:val="en-US"/>
        </w:rPr>
        <w:footnoteReference w:id="457"/>
      </w:r>
      <w:r w:rsidR="00E70701" w:rsidRPr="00D869E3">
        <w:rPr>
          <w:rFonts w:ascii="Verdana" w:hAnsi="Verdana"/>
          <w:sz w:val="20"/>
          <w:szCs w:val="20"/>
          <w:lang w:val="en-US"/>
        </w:rPr>
        <w:t xml:space="preserve"> </w:t>
      </w:r>
      <w:r w:rsidR="002F6229" w:rsidRPr="00D869E3">
        <w:rPr>
          <w:rFonts w:ascii="Verdana" w:hAnsi="Verdana"/>
          <w:sz w:val="20"/>
          <w:szCs w:val="20"/>
          <w:lang w:val="en-US"/>
        </w:rPr>
        <w:t xml:space="preserve">In other words, the </w:t>
      </w:r>
      <w:r w:rsidR="002F6229" w:rsidRPr="00D869E3">
        <w:rPr>
          <w:rFonts w:ascii="Verdana" w:hAnsi="Verdana"/>
          <w:i/>
          <w:sz w:val="20"/>
          <w:szCs w:val="20"/>
          <w:lang w:val="en-US"/>
        </w:rPr>
        <w:t>pro persona</w:t>
      </w:r>
      <w:r w:rsidR="002F6229" w:rsidRPr="00D869E3">
        <w:rPr>
          <w:rFonts w:ascii="Verdana" w:hAnsi="Verdana"/>
          <w:sz w:val="20"/>
          <w:szCs w:val="20"/>
          <w:lang w:val="en-US"/>
        </w:rPr>
        <w:t xml:space="preserve"> principle cannot be used to validate an interpretive option that does not emanate from the norm and that, to the contrary, entails </w:t>
      </w:r>
      <w:r w:rsidR="000736F9" w:rsidRPr="00D869E3">
        <w:rPr>
          <w:rFonts w:ascii="Verdana" w:hAnsi="Verdana"/>
          <w:sz w:val="20"/>
          <w:szCs w:val="20"/>
          <w:lang w:val="en-US"/>
        </w:rPr>
        <w:t>its</w:t>
      </w:r>
      <w:r w:rsidR="002F6229" w:rsidRPr="00D869E3">
        <w:rPr>
          <w:rFonts w:ascii="Verdana" w:hAnsi="Verdana"/>
          <w:sz w:val="20"/>
          <w:szCs w:val="20"/>
          <w:lang w:val="en-US"/>
        </w:rPr>
        <w:t xml:space="preserve"> modification</w:t>
      </w:r>
      <w:r w:rsidR="00E70701" w:rsidRPr="00D869E3">
        <w:rPr>
          <w:rFonts w:ascii="Verdana" w:hAnsi="Verdana"/>
          <w:sz w:val="20"/>
          <w:szCs w:val="20"/>
          <w:lang w:val="en-US"/>
        </w:rPr>
        <w:t>.</w:t>
      </w:r>
    </w:p>
    <w:p w14:paraId="1700B7F2" w14:textId="77777777" w:rsidR="00E70701" w:rsidRPr="00D869E3" w:rsidRDefault="00E70701" w:rsidP="00C44F79">
      <w:pPr>
        <w:jc w:val="both"/>
        <w:rPr>
          <w:rFonts w:ascii="Verdana" w:hAnsi="Verdana" w:cs="Arial"/>
          <w:sz w:val="20"/>
          <w:szCs w:val="20"/>
          <w:lang w:val="en-US"/>
        </w:rPr>
      </w:pPr>
    </w:p>
    <w:p w14:paraId="119D8619" w14:textId="6A429D2B" w:rsidR="00E70701" w:rsidRPr="00D869E3" w:rsidRDefault="002F6229" w:rsidP="00E70701">
      <w:pPr>
        <w:pStyle w:val="Prrafodelista"/>
        <w:numPr>
          <w:ilvl w:val="0"/>
          <w:numId w:val="36"/>
        </w:numPr>
        <w:jc w:val="both"/>
        <w:rPr>
          <w:rFonts w:ascii="Verdana" w:hAnsi="Verdana" w:cs="Arial"/>
          <w:b/>
          <w:sz w:val="20"/>
          <w:szCs w:val="20"/>
          <w:lang w:val="en-US"/>
        </w:rPr>
      </w:pPr>
      <w:r w:rsidRPr="00D869E3">
        <w:rPr>
          <w:rFonts w:ascii="Verdana" w:hAnsi="Verdana" w:cs="Arial"/>
          <w:b/>
          <w:sz w:val="20"/>
          <w:szCs w:val="20"/>
          <w:lang w:val="en-US"/>
        </w:rPr>
        <w:t>LACK OF PERTINENCE OF THE SPECIFIC CASE</w:t>
      </w:r>
    </w:p>
    <w:p w14:paraId="632E35FC" w14:textId="77777777" w:rsidR="00E70701" w:rsidRPr="00D869E3" w:rsidRDefault="00E70701" w:rsidP="00C44F79">
      <w:pPr>
        <w:jc w:val="both"/>
        <w:rPr>
          <w:rFonts w:ascii="Verdana" w:hAnsi="Verdana"/>
          <w:sz w:val="20"/>
          <w:szCs w:val="20"/>
          <w:lang w:val="en-US"/>
        </w:rPr>
      </w:pPr>
    </w:p>
    <w:p w14:paraId="7ED9FAA1" w14:textId="27C8D639" w:rsidR="00E70701" w:rsidRPr="00D869E3" w:rsidRDefault="002F6229" w:rsidP="002F6229">
      <w:pPr>
        <w:pStyle w:val="Prrafodelista"/>
        <w:numPr>
          <w:ilvl w:val="0"/>
          <w:numId w:val="37"/>
        </w:numPr>
        <w:ind w:left="0" w:firstLine="0"/>
        <w:jc w:val="both"/>
        <w:rPr>
          <w:rFonts w:ascii="Verdana" w:hAnsi="Verdana"/>
          <w:sz w:val="20"/>
          <w:szCs w:val="20"/>
          <w:lang w:val="en-US"/>
        </w:rPr>
      </w:pPr>
      <w:r w:rsidRPr="00D869E3">
        <w:rPr>
          <w:rFonts w:ascii="Verdana" w:hAnsi="Verdana"/>
          <w:sz w:val="20"/>
          <w:szCs w:val="20"/>
          <w:lang w:val="en-US"/>
        </w:rPr>
        <w:t xml:space="preserve">Having described my general arguments in this matter, I will now present the reasons why I considered that this case, in particular, </w:t>
      </w:r>
      <w:r w:rsidR="000736F9" w:rsidRPr="00D869E3">
        <w:rPr>
          <w:rFonts w:ascii="Verdana" w:hAnsi="Verdana"/>
          <w:sz w:val="20"/>
          <w:szCs w:val="20"/>
          <w:lang w:val="en-US"/>
        </w:rPr>
        <w:t>possessed</w:t>
      </w:r>
      <w:r w:rsidRPr="00D869E3">
        <w:rPr>
          <w:rFonts w:ascii="Verdana" w:hAnsi="Verdana"/>
          <w:sz w:val="20"/>
          <w:szCs w:val="20"/>
          <w:lang w:val="en-US"/>
        </w:rPr>
        <w:t xml:space="preserve"> various complex features that meant that it did not allow this debate to be undertaken and, in particular, to arrive at the conclusion reached by the majority </w:t>
      </w:r>
      <w:r w:rsidR="00447C65" w:rsidRPr="00D869E3">
        <w:rPr>
          <w:rFonts w:ascii="Verdana" w:hAnsi="Verdana"/>
          <w:sz w:val="20"/>
          <w:szCs w:val="20"/>
          <w:lang w:val="en-US"/>
        </w:rPr>
        <w:t xml:space="preserve">of </w:t>
      </w:r>
      <w:r w:rsidR="00671B14" w:rsidRPr="00D869E3">
        <w:rPr>
          <w:rFonts w:ascii="Verdana" w:hAnsi="Verdana"/>
          <w:sz w:val="20"/>
          <w:szCs w:val="20"/>
          <w:lang w:val="en-US"/>
        </w:rPr>
        <w:t>the Inter-American Court</w:t>
      </w:r>
      <w:r w:rsidR="00E70701" w:rsidRPr="00D869E3">
        <w:rPr>
          <w:rFonts w:ascii="Verdana" w:hAnsi="Verdana"/>
          <w:sz w:val="20"/>
          <w:szCs w:val="20"/>
          <w:lang w:val="en-US"/>
        </w:rPr>
        <w:t>.</w:t>
      </w:r>
    </w:p>
    <w:p w14:paraId="0B70FCE2" w14:textId="77777777" w:rsidR="00E70701" w:rsidRPr="00D869E3" w:rsidRDefault="00E70701" w:rsidP="00C44F79">
      <w:pPr>
        <w:pStyle w:val="Prrafodelista"/>
        <w:ind w:left="0"/>
        <w:jc w:val="both"/>
        <w:rPr>
          <w:rFonts w:ascii="Verdana" w:hAnsi="Verdana"/>
          <w:sz w:val="20"/>
          <w:szCs w:val="20"/>
          <w:lang w:val="en-US"/>
        </w:rPr>
      </w:pPr>
    </w:p>
    <w:p w14:paraId="08A23077" w14:textId="15A01D1F" w:rsidR="00E70701" w:rsidRPr="00D869E3" w:rsidRDefault="002F6229" w:rsidP="002F6229">
      <w:pPr>
        <w:pStyle w:val="Prrafodelista"/>
        <w:numPr>
          <w:ilvl w:val="0"/>
          <w:numId w:val="37"/>
        </w:numPr>
        <w:ind w:left="0" w:firstLine="0"/>
        <w:jc w:val="both"/>
        <w:rPr>
          <w:rFonts w:ascii="Verdana" w:hAnsi="Verdana"/>
          <w:sz w:val="20"/>
          <w:szCs w:val="20"/>
          <w:lang w:val="en-US"/>
        </w:rPr>
      </w:pPr>
      <w:r w:rsidRPr="00D869E3">
        <w:rPr>
          <w:rFonts w:ascii="Verdana" w:hAnsi="Verdana"/>
          <w:sz w:val="20"/>
          <w:szCs w:val="20"/>
          <w:lang w:val="en-US"/>
        </w:rPr>
        <w:t xml:space="preserve">First, I consider it extremely rash to use the </w:t>
      </w:r>
      <w:r w:rsidRPr="00D869E3">
        <w:rPr>
          <w:rFonts w:ascii="Verdana" w:hAnsi="Verdana"/>
          <w:i/>
          <w:sz w:val="20"/>
          <w:szCs w:val="20"/>
          <w:lang w:val="en-US"/>
        </w:rPr>
        <w:t>iura novit curia</w:t>
      </w:r>
      <w:r w:rsidRPr="00D869E3">
        <w:rPr>
          <w:rFonts w:ascii="Verdana" w:hAnsi="Verdana"/>
          <w:sz w:val="20"/>
          <w:szCs w:val="20"/>
          <w:lang w:val="en-US"/>
        </w:rPr>
        <w:t xml:space="preserve"> principle in this case. As is well known, the Inter-American Court has used this principle since its very first judgments,</w:t>
      </w:r>
      <w:r w:rsidRPr="00D869E3">
        <w:rPr>
          <w:rStyle w:val="Refdenotaalpie"/>
          <w:szCs w:val="20"/>
          <w:lang w:val="en-US"/>
        </w:rPr>
        <w:footnoteReference w:id="458"/>
      </w:r>
      <w:r w:rsidRPr="00D869E3">
        <w:rPr>
          <w:rFonts w:ascii="Verdana" w:hAnsi="Verdana"/>
          <w:sz w:val="20"/>
          <w:szCs w:val="20"/>
          <w:lang w:val="en-US"/>
        </w:rPr>
        <w:t xml:space="preserve"> and has defined it as “the authority and even the duty [of the judge] to apply the pertinent legal provisions in a case, even when the parties do not expressly invoke them.</w:t>
      </w:r>
      <w:r w:rsidR="006436CA" w:rsidRPr="00D869E3">
        <w:rPr>
          <w:rFonts w:ascii="Verdana" w:eastAsia="Times New Roman" w:hAnsi="Verdana"/>
          <w:sz w:val="20"/>
          <w:szCs w:val="20"/>
          <w:lang w:val="en-US" w:eastAsia="es-ES_tradnl"/>
        </w:rPr>
        <w:t>”</w:t>
      </w:r>
      <w:r w:rsidR="00E70701" w:rsidRPr="00D869E3">
        <w:rPr>
          <w:rStyle w:val="Refdenotaalpie"/>
          <w:rFonts w:eastAsia="Times New Roman"/>
          <w:szCs w:val="20"/>
          <w:lang w:val="en-US" w:eastAsia="es-ES_tradnl"/>
        </w:rPr>
        <w:footnoteReference w:id="459"/>
      </w:r>
      <w:r w:rsidRPr="00D869E3">
        <w:rPr>
          <w:rFonts w:ascii="Verdana" w:eastAsia="Times New Roman" w:hAnsi="Verdana"/>
          <w:sz w:val="20"/>
          <w:szCs w:val="20"/>
          <w:lang w:val="en-US" w:eastAsia="es-ES_tradnl"/>
        </w:rPr>
        <w:t xml:space="preserve"> Thus, this principle means, as its name indicates, that the inter-America judge can apply a norm that has not been alleged by the Commission or the parties, because</w:t>
      </w:r>
      <w:r w:rsidR="001A575D" w:rsidRPr="00D869E3">
        <w:rPr>
          <w:rFonts w:ascii="Verdana" w:eastAsia="Times New Roman" w:hAnsi="Verdana"/>
          <w:sz w:val="20"/>
          <w:szCs w:val="20"/>
          <w:lang w:val="en-US" w:eastAsia="es-ES_tradnl"/>
        </w:rPr>
        <w:t xml:space="preserve"> it is better positioned to determine which right is applicable to the case. In other words, </w:t>
      </w:r>
      <w:r w:rsidR="00671B14" w:rsidRPr="00D869E3">
        <w:rPr>
          <w:rFonts w:ascii="Verdana" w:eastAsia="Times New Roman" w:hAnsi="Verdana"/>
          <w:sz w:val="20"/>
          <w:szCs w:val="20"/>
          <w:lang w:val="en-US" w:eastAsia="es-ES_tradnl"/>
        </w:rPr>
        <w:t>the inter-American system</w:t>
      </w:r>
      <w:r w:rsidR="00E70701" w:rsidRPr="00D869E3">
        <w:rPr>
          <w:rFonts w:ascii="Verdana" w:eastAsia="Times New Roman" w:hAnsi="Verdana"/>
          <w:sz w:val="20"/>
          <w:szCs w:val="20"/>
          <w:lang w:val="en-US" w:eastAsia="es-ES_tradnl"/>
        </w:rPr>
        <w:t xml:space="preserve"> </w:t>
      </w:r>
      <w:r w:rsidR="001A575D" w:rsidRPr="00D869E3">
        <w:rPr>
          <w:rFonts w:ascii="Verdana" w:eastAsia="Times New Roman" w:hAnsi="Verdana"/>
          <w:sz w:val="20"/>
          <w:szCs w:val="20"/>
          <w:lang w:val="en-US" w:eastAsia="es-ES_tradnl"/>
        </w:rPr>
        <w:t>is not justice based on the content of the petition (</w:t>
      </w:r>
      <w:r w:rsidR="00E70701" w:rsidRPr="00D869E3">
        <w:rPr>
          <w:rFonts w:ascii="Verdana" w:eastAsia="Times New Roman" w:hAnsi="Verdana"/>
          <w:i/>
          <w:iCs/>
          <w:sz w:val="20"/>
          <w:szCs w:val="20"/>
          <w:lang w:val="en-US" w:eastAsia="es-ES_tradnl"/>
        </w:rPr>
        <w:t>justicia rogada</w:t>
      </w:r>
      <w:r w:rsidR="001A575D" w:rsidRPr="00D869E3">
        <w:rPr>
          <w:rFonts w:ascii="Verdana" w:eastAsia="Times New Roman" w:hAnsi="Verdana"/>
          <w:sz w:val="20"/>
          <w:szCs w:val="20"/>
          <w:lang w:val="en-US" w:eastAsia="es-ES_tradnl"/>
        </w:rPr>
        <w:t>)</w:t>
      </w:r>
      <w:r w:rsidR="00E70701" w:rsidRPr="00D869E3">
        <w:rPr>
          <w:rFonts w:ascii="Verdana" w:eastAsia="Times New Roman" w:hAnsi="Verdana"/>
          <w:sz w:val="20"/>
          <w:szCs w:val="20"/>
          <w:lang w:val="en-US" w:eastAsia="es-ES_tradnl"/>
        </w:rPr>
        <w:t xml:space="preserve">, </w:t>
      </w:r>
      <w:r w:rsidR="001A575D" w:rsidRPr="00D869E3">
        <w:rPr>
          <w:rFonts w:ascii="Verdana" w:eastAsia="Times New Roman" w:hAnsi="Verdana"/>
          <w:sz w:val="20"/>
          <w:szCs w:val="20"/>
          <w:lang w:val="en-US" w:eastAsia="es-ES_tradnl"/>
        </w:rPr>
        <w:t>in the sense that the litigation is not undertaken based on the norms alleged by the Commission or the parties.</w:t>
      </w:r>
    </w:p>
    <w:p w14:paraId="5129E7D9" w14:textId="77777777" w:rsidR="00E70701" w:rsidRPr="00D869E3" w:rsidRDefault="00E70701" w:rsidP="00C44F79">
      <w:pPr>
        <w:jc w:val="both"/>
        <w:rPr>
          <w:rFonts w:ascii="Verdana" w:hAnsi="Verdana"/>
          <w:sz w:val="20"/>
          <w:szCs w:val="20"/>
          <w:lang w:val="en-US"/>
        </w:rPr>
      </w:pPr>
    </w:p>
    <w:p w14:paraId="280EEFBE" w14:textId="5B26B900" w:rsidR="001A575D" w:rsidRPr="00D869E3" w:rsidRDefault="001A575D" w:rsidP="001A575D">
      <w:pPr>
        <w:pStyle w:val="Prrafodelista"/>
        <w:numPr>
          <w:ilvl w:val="0"/>
          <w:numId w:val="37"/>
        </w:numPr>
        <w:ind w:left="0" w:firstLine="0"/>
        <w:jc w:val="both"/>
        <w:rPr>
          <w:rFonts w:ascii="Verdana" w:hAnsi="Verdana"/>
          <w:sz w:val="20"/>
          <w:szCs w:val="20"/>
          <w:lang w:val="en-US"/>
        </w:rPr>
      </w:pPr>
      <w:r w:rsidRPr="00D869E3">
        <w:rPr>
          <w:rFonts w:ascii="Verdana" w:hAnsi="Verdana"/>
          <w:sz w:val="20"/>
          <w:szCs w:val="20"/>
          <w:lang w:val="en-US"/>
        </w:rPr>
        <w:t>Therefore, I consider that</w:t>
      </w:r>
      <w:r w:rsidR="000736F9" w:rsidRPr="00D869E3">
        <w:rPr>
          <w:rFonts w:ascii="Verdana" w:hAnsi="Verdana"/>
          <w:sz w:val="20"/>
          <w:szCs w:val="20"/>
          <w:lang w:val="en-US"/>
        </w:rPr>
        <w:t>,</w:t>
      </w:r>
      <w:r w:rsidRPr="00D869E3">
        <w:rPr>
          <w:rFonts w:ascii="Verdana" w:hAnsi="Verdana"/>
          <w:sz w:val="20"/>
          <w:szCs w:val="20"/>
          <w:lang w:val="en-US"/>
        </w:rPr>
        <w:t xml:space="preserve"> even though this is an acknowledged faculty </w:t>
      </w:r>
      <w:r w:rsidR="000736F9" w:rsidRPr="00D869E3">
        <w:rPr>
          <w:rFonts w:ascii="Verdana" w:hAnsi="Verdana"/>
          <w:sz w:val="20"/>
          <w:szCs w:val="20"/>
          <w:lang w:val="en-US"/>
        </w:rPr>
        <w:t>of</w:t>
      </w:r>
      <w:r w:rsidRPr="00D869E3">
        <w:rPr>
          <w:rFonts w:ascii="Verdana" w:hAnsi="Verdana"/>
          <w:sz w:val="20"/>
          <w:szCs w:val="20"/>
          <w:lang w:val="en-US"/>
        </w:rPr>
        <w:t xml:space="preserve"> inter-American judges, it cannot be used under any circumstance and with</w:t>
      </w:r>
      <w:r w:rsidR="000736F9" w:rsidRPr="00D869E3">
        <w:rPr>
          <w:rFonts w:ascii="Verdana" w:hAnsi="Verdana"/>
          <w:sz w:val="20"/>
          <w:szCs w:val="20"/>
          <w:lang w:val="en-US"/>
        </w:rPr>
        <w:t>out</w:t>
      </w:r>
      <w:r w:rsidRPr="00D869E3">
        <w:rPr>
          <w:rFonts w:ascii="Verdana" w:hAnsi="Verdana"/>
          <w:sz w:val="20"/>
          <w:szCs w:val="20"/>
          <w:lang w:val="en-US"/>
        </w:rPr>
        <w:t xml:space="preserve"> having recourse to certain criteria of reasonableness and pertinence. Indeed, I consider that the said principle may be used when </w:t>
      </w:r>
      <w:r w:rsidR="000736F9" w:rsidRPr="00D869E3">
        <w:rPr>
          <w:rFonts w:ascii="Verdana" w:hAnsi="Verdana"/>
          <w:sz w:val="20"/>
          <w:szCs w:val="20"/>
          <w:lang w:val="en-US"/>
        </w:rPr>
        <w:t>a</w:t>
      </w:r>
      <w:r w:rsidRPr="00D869E3">
        <w:rPr>
          <w:rFonts w:ascii="Verdana" w:hAnsi="Verdana"/>
          <w:sz w:val="20"/>
          <w:szCs w:val="20"/>
          <w:lang w:val="en-US"/>
        </w:rPr>
        <w:t xml:space="preserve"> human rights violation is evident or when the </w:t>
      </w:r>
      <w:r w:rsidR="00687684" w:rsidRPr="00D869E3">
        <w:rPr>
          <w:rFonts w:ascii="Verdana" w:hAnsi="Verdana"/>
          <w:sz w:val="20"/>
          <w:szCs w:val="20"/>
          <w:lang w:val="en-US"/>
        </w:rPr>
        <w:t>representatives</w:t>
      </w:r>
      <w:r w:rsidR="00E70701" w:rsidRPr="00D869E3">
        <w:rPr>
          <w:rFonts w:ascii="Verdana" w:hAnsi="Verdana"/>
          <w:sz w:val="20"/>
          <w:szCs w:val="20"/>
          <w:lang w:val="en-US"/>
        </w:rPr>
        <w:t xml:space="preserve"> o</w:t>
      </w:r>
      <w:r w:rsidRPr="00D869E3">
        <w:rPr>
          <w:rFonts w:ascii="Verdana" w:hAnsi="Verdana"/>
          <w:sz w:val="20"/>
          <w:szCs w:val="20"/>
          <w:lang w:val="en-US"/>
        </w:rPr>
        <w:t>r</w:t>
      </w:r>
      <w:r w:rsidR="00E70701" w:rsidRPr="00D869E3">
        <w:rPr>
          <w:rFonts w:ascii="Verdana" w:hAnsi="Verdana"/>
          <w:sz w:val="20"/>
          <w:szCs w:val="20"/>
          <w:lang w:val="en-US"/>
        </w:rPr>
        <w:t xml:space="preserve"> </w:t>
      </w:r>
      <w:r w:rsidR="00447C65" w:rsidRPr="00D869E3">
        <w:rPr>
          <w:rFonts w:ascii="Verdana" w:hAnsi="Verdana"/>
          <w:sz w:val="20"/>
          <w:szCs w:val="20"/>
          <w:lang w:val="en-US"/>
        </w:rPr>
        <w:t>the Commission</w:t>
      </w:r>
      <w:r w:rsidR="00E70701" w:rsidRPr="00D869E3">
        <w:rPr>
          <w:rFonts w:ascii="Verdana" w:hAnsi="Verdana"/>
          <w:sz w:val="20"/>
          <w:szCs w:val="20"/>
          <w:lang w:val="en-US"/>
        </w:rPr>
        <w:t xml:space="preserve"> h</w:t>
      </w:r>
      <w:r w:rsidRPr="00D869E3">
        <w:rPr>
          <w:rFonts w:ascii="Verdana" w:hAnsi="Verdana"/>
          <w:sz w:val="20"/>
          <w:szCs w:val="20"/>
          <w:lang w:val="en-US"/>
        </w:rPr>
        <w:t>ave committed a serious omission or error, so that the Court rectifies a possible injustice, but this principle should not be used to surprise a State with a violation that it had no way of anticipating and that it was unable to contest, not even</w:t>
      </w:r>
      <w:r w:rsidR="000736F9" w:rsidRPr="00D869E3">
        <w:rPr>
          <w:rFonts w:ascii="Verdana" w:hAnsi="Verdana"/>
          <w:sz w:val="20"/>
          <w:szCs w:val="20"/>
          <w:lang w:val="en-US"/>
        </w:rPr>
        <w:t xml:space="preserve"> at the time of</w:t>
      </w:r>
      <w:r w:rsidRPr="00D869E3">
        <w:rPr>
          <w:rFonts w:ascii="Verdana" w:hAnsi="Verdana"/>
          <w:sz w:val="20"/>
          <w:szCs w:val="20"/>
          <w:lang w:val="en-US"/>
        </w:rPr>
        <w:t xml:space="preserve"> the facts.</w:t>
      </w:r>
    </w:p>
    <w:p w14:paraId="388E6297" w14:textId="77777777" w:rsidR="00E70701" w:rsidRPr="00D869E3" w:rsidRDefault="00E70701" w:rsidP="00C44F79">
      <w:pPr>
        <w:jc w:val="both"/>
        <w:rPr>
          <w:rFonts w:ascii="Verdana" w:hAnsi="Verdana"/>
          <w:sz w:val="20"/>
          <w:szCs w:val="20"/>
          <w:lang w:val="en-US"/>
        </w:rPr>
      </w:pPr>
    </w:p>
    <w:p w14:paraId="49690183" w14:textId="078F6629" w:rsidR="00E70701" w:rsidRPr="00D869E3" w:rsidRDefault="001A575D" w:rsidP="002C3F2B">
      <w:pPr>
        <w:pStyle w:val="Prrafodelista"/>
        <w:numPr>
          <w:ilvl w:val="0"/>
          <w:numId w:val="37"/>
        </w:numPr>
        <w:ind w:left="0" w:firstLine="0"/>
        <w:jc w:val="both"/>
        <w:rPr>
          <w:rFonts w:ascii="Verdana" w:hAnsi="Verdana"/>
          <w:sz w:val="20"/>
          <w:szCs w:val="20"/>
          <w:lang w:val="en-US"/>
        </w:rPr>
      </w:pPr>
      <w:r w:rsidRPr="00D869E3">
        <w:rPr>
          <w:rFonts w:ascii="Verdana" w:hAnsi="Verdana"/>
          <w:sz w:val="20"/>
          <w:szCs w:val="20"/>
          <w:lang w:val="en-US"/>
        </w:rPr>
        <w:t xml:space="preserve">In this case, </w:t>
      </w:r>
      <w:r w:rsidR="002C3F2B" w:rsidRPr="00D869E3">
        <w:rPr>
          <w:rFonts w:ascii="Verdana" w:hAnsi="Verdana"/>
          <w:sz w:val="20"/>
          <w:szCs w:val="20"/>
          <w:lang w:val="en-US"/>
        </w:rPr>
        <w:t>the judgment</w:t>
      </w:r>
      <w:r w:rsidR="000736F9" w:rsidRPr="00D869E3">
        <w:rPr>
          <w:rFonts w:ascii="Verdana" w:hAnsi="Verdana"/>
          <w:sz w:val="20"/>
          <w:szCs w:val="20"/>
          <w:lang w:val="en-US"/>
        </w:rPr>
        <w:t xml:space="preserve"> indicates</w:t>
      </w:r>
      <w:r w:rsidR="002C3F2B" w:rsidRPr="00D869E3">
        <w:rPr>
          <w:rFonts w:ascii="Verdana" w:hAnsi="Verdana"/>
          <w:sz w:val="20"/>
          <w:szCs w:val="20"/>
          <w:lang w:val="en-US"/>
        </w:rPr>
        <w:t xml:space="preserve"> that, during the first stage of the process before the Inter-American Commission, the petitioner argued the presumed violation of the right to work.</w:t>
      </w:r>
      <w:r w:rsidR="002C3F2B" w:rsidRPr="00D869E3">
        <w:rPr>
          <w:rStyle w:val="Refdenotaalpie"/>
          <w:szCs w:val="20"/>
          <w:lang w:val="en-US"/>
        </w:rPr>
        <w:footnoteReference w:id="460"/>
      </w:r>
      <w:r w:rsidR="002C3F2B" w:rsidRPr="00D869E3">
        <w:rPr>
          <w:rFonts w:ascii="Verdana" w:hAnsi="Verdana"/>
          <w:sz w:val="20"/>
          <w:szCs w:val="20"/>
          <w:lang w:val="en-US"/>
        </w:rPr>
        <w:t xml:space="preserve"> This was taken as grounds to conclude that the State had been aware of the facts from the start</w:t>
      </w:r>
      <w:r w:rsidR="002C3F2B" w:rsidRPr="00D869E3">
        <w:rPr>
          <w:rStyle w:val="Refdenotaalpie"/>
          <w:szCs w:val="20"/>
          <w:lang w:val="en-US"/>
        </w:rPr>
        <w:footnoteReference w:id="461"/>
      </w:r>
      <w:r w:rsidR="002C3F2B" w:rsidRPr="00D869E3">
        <w:rPr>
          <w:rFonts w:ascii="Verdana" w:hAnsi="Verdana"/>
          <w:sz w:val="20"/>
          <w:szCs w:val="20"/>
          <w:lang w:val="en-US"/>
        </w:rPr>
        <w:t xml:space="preserve"> and that “the parties </w:t>
      </w:r>
      <w:r w:rsidR="000736F9" w:rsidRPr="00D869E3">
        <w:rPr>
          <w:rFonts w:ascii="Verdana" w:hAnsi="Verdana"/>
          <w:sz w:val="20"/>
          <w:szCs w:val="20"/>
          <w:lang w:val="en-US"/>
        </w:rPr>
        <w:t xml:space="preserve">[…] </w:t>
      </w:r>
      <w:r w:rsidR="002C3F2B" w:rsidRPr="00D869E3">
        <w:rPr>
          <w:rFonts w:ascii="Verdana" w:hAnsi="Verdana"/>
          <w:sz w:val="20"/>
          <w:szCs w:val="20"/>
          <w:lang w:val="en-US"/>
        </w:rPr>
        <w:t xml:space="preserve">had abundant possibilities </w:t>
      </w:r>
      <w:r w:rsidR="000736F9" w:rsidRPr="00D869E3">
        <w:rPr>
          <w:rFonts w:ascii="Verdana" w:hAnsi="Verdana"/>
          <w:sz w:val="20"/>
          <w:szCs w:val="20"/>
          <w:lang w:val="en-US"/>
        </w:rPr>
        <w:t>of referring</w:t>
      </w:r>
      <w:r w:rsidR="002C3F2B" w:rsidRPr="00D869E3">
        <w:rPr>
          <w:rFonts w:ascii="Verdana" w:hAnsi="Verdana"/>
          <w:sz w:val="20"/>
          <w:szCs w:val="20"/>
          <w:lang w:val="en-US"/>
        </w:rPr>
        <w:t xml:space="preserve"> to the scope of the rights involved in the facts analyzed.</w:t>
      </w:r>
      <w:r w:rsidR="006436CA" w:rsidRPr="00D869E3">
        <w:rPr>
          <w:rFonts w:ascii="Verdana" w:hAnsi="Verdana"/>
          <w:sz w:val="20"/>
          <w:szCs w:val="20"/>
          <w:lang w:val="en-US"/>
        </w:rPr>
        <w:t>”</w:t>
      </w:r>
      <w:r w:rsidR="00E70701" w:rsidRPr="00D869E3">
        <w:rPr>
          <w:rStyle w:val="Refdenotaalpie"/>
          <w:szCs w:val="20"/>
          <w:lang w:val="en-US"/>
        </w:rPr>
        <w:footnoteReference w:id="462"/>
      </w:r>
    </w:p>
    <w:p w14:paraId="5C6BE371" w14:textId="77777777" w:rsidR="00E70701" w:rsidRPr="00D869E3" w:rsidRDefault="00E70701" w:rsidP="00C44F79">
      <w:pPr>
        <w:jc w:val="both"/>
        <w:rPr>
          <w:rFonts w:ascii="Verdana" w:hAnsi="Verdana"/>
          <w:sz w:val="20"/>
          <w:szCs w:val="20"/>
          <w:lang w:val="en-US"/>
        </w:rPr>
      </w:pPr>
    </w:p>
    <w:p w14:paraId="320152A0" w14:textId="522021C8" w:rsidR="00E70701" w:rsidRPr="00D869E3" w:rsidRDefault="000736F9" w:rsidP="002C3F2B">
      <w:pPr>
        <w:pStyle w:val="Prrafodelista"/>
        <w:numPr>
          <w:ilvl w:val="0"/>
          <w:numId w:val="37"/>
        </w:numPr>
        <w:ind w:left="0" w:firstLine="0"/>
        <w:jc w:val="both"/>
        <w:rPr>
          <w:rFonts w:ascii="Verdana" w:hAnsi="Verdana"/>
          <w:sz w:val="20"/>
          <w:szCs w:val="20"/>
          <w:lang w:val="en-US"/>
        </w:rPr>
      </w:pPr>
      <w:r w:rsidRPr="00D869E3">
        <w:rPr>
          <w:rFonts w:ascii="Verdana" w:hAnsi="Verdana"/>
          <w:sz w:val="20"/>
          <w:szCs w:val="20"/>
          <w:lang w:val="en-US"/>
        </w:rPr>
        <w:t>It</w:t>
      </w:r>
      <w:r w:rsidR="002C3F2B" w:rsidRPr="00D869E3">
        <w:rPr>
          <w:rFonts w:ascii="Verdana" w:hAnsi="Verdana"/>
          <w:sz w:val="20"/>
          <w:szCs w:val="20"/>
          <w:lang w:val="en-US"/>
        </w:rPr>
        <w:t xml:space="preserve"> may be considered that the Court reached its conclusion in a perfunctory and over hasty manner, because indicating that the State had abundant possibility to defend itself </w:t>
      </w:r>
      <w:r w:rsidRPr="00D869E3">
        <w:rPr>
          <w:rFonts w:ascii="Verdana" w:hAnsi="Verdana"/>
          <w:sz w:val="20"/>
          <w:szCs w:val="20"/>
          <w:lang w:val="en-US"/>
        </w:rPr>
        <w:t xml:space="preserve">based on </w:t>
      </w:r>
      <w:r w:rsidR="002C3F2B" w:rsidRPr="00D869E3">
        <w:rPr>
          <w:rFonts w:ascii="Verdana" w:hAnsi="Verdana"/>
          <w:sz w:val="20"/>
          <w:szCs w:val="20"/>
          <w:lang w:val="en-US"/>
        </w:rPr>
        <w:t xml:space="preserve">the violation of </w:t>
      </w:r>
      <w:r w:rsidR="00687684" w:rsidRPr="00D869E3">
        <w:rPr>
          <w:rFonts w:ascii="Verdana" w:hAnsi="Verdana"/>
          <w:sz w:val="20"/>
          <w:szCs w:val="20"/>
          <w:lang w:val="en-US"/>
        </w:rPr>
        <w:t>Article</w:t>
      </w:r>
      <w:r w:rsidR="00E70701" w:rsidRPr="00D869E3">
        <w:rPr>
          <w:rFonts w:ascii="Verdana" w:hAnsi="Verdana"/>
          <w:sz w:val="20"/>
          <w:szCs w:val="20"/>
          <w:lang w:val="en-US"/>
        </w:rPr>
        <w:t xml:space="preserve"> 26</w:t>
      </w:r>
      <w:r w:rsidR="00447C65" w:rsidRPr="00D869E3">
        <w:rPr>
          <w:rFonts w:ascii="Verdana" w:hAnsi="Verdana"/>
          <w:sz w:val="20"/>
          <w:szCs w:val="20"/>
          <w:lang w:val="en-US"/>
        </w:rPr>
        <w:t xml:space="preserve"> of the American Convention</w:t>
      </w:r>
      <w:r w:rsidR="00E70701" w:rsidRPr="00D869E3">
        <w:rPr>
          <w:rFonts w:ascii="Verdana" w:hAnsi="Verdana"/>
          <w:sz w:val="20"/>
          <w:szCs w:val="20"/>
          <w:lang w:val="en-US"/>
        </w:rPr>
        <w:t xml:space="preserve">, </w:t>
      </w:r>
      <w:r w:rsidR="002C3F2B" w:rsidRPr="00D869E3">
        <w:rPr>
          <w:rFonts w:ascii="Verdana" w:hAnsi="Verdana"/>
          <w:sz w:val="20"/>
          <w:szCs w:val="20"/>
          <w:lang w:val="en-US"/>
        </w:rPr>
        <w:t xml:space="preserve">does not take into account the strenuous debate </w:t>
      </w:r>
      <w:r w:rsidRPr="00D869E3">
        <w:rPr>
          <w:rFonts w:ascii="Verdana" w:hAnsi="Verdana"/>
          <w:sz w:val="20"/>
          <w:szCs w:val="20"/>
          <w:lang w:val="en-US"/>
        </w:rPr>
        <w:t xml:space="preserve">on this article </w:t>
      </w:r>
      <w:r w:rsidR="002C3F2B" w:rsidRPr="00D869E3">
        <w:rPr>
          <w:rFonts w:ascii="Verdana" w:hAnsi="Verdana"/>
          <w:sz w:val="20"/>
          <w:szCs w:val="20"/>
          <w:lang w:val="en-US"/>
        </w:rPr>
        <w:t xml:space="preserve">that has taken place within </w:t>
      </w:r>
      <w:r w:rsidR="00447C65" w:rsidRPr="00D869E3">
        <w:rPr>
          <w:rFonts w:ascii="Verdana" w:hAnsi="Verdana"/>
          <w:sz w:val="20"/>
          <w:szCs w:val="20"/>
          <w:lang w:val="en-US"/>
        </w:rPr>
        <w:t>the Inter-American Court</w:t>
      </w:r>
      <w:r w:rsidR="00E70701" w:rsidRPr="00D869E3">
        <w:rPr>
          <w:rFonts w:ascii="Verdana" w:hAnsi="Verdana"/>
          <w:sz w:val="20"/>
          <w:szCs w:val="20"/>
          <w:lang w:val="en-US"/>
        </w:rPr>
        <w:t>.</w:t>
      </w:r>
      <w:r w:rsidR="002C3F2B" w:rsidRPr="00D869E3">
        <w:rPr>
          <w:rFonts w:ascii="Verdana" w:hAnsi="Verdana"/>
          <w:sz w:val="20"/>
          <w:szCs w:val="20"/>
          <w:lang w:val="en-US"/>
        </w:rPr>
        <w:t xml:space="preserve"> Indeed, by declaring the violation </w:t>
      </w:r>
      <w:r w:rsidR="00687684" w:rsidRPr="00D869E3">
        <w:rPr>
          <w:rFonts w:ascii="Verdana" w:hAnsi="Verdana"/>
          <w:sz w:val="20"/>
          <w:szCs w:val="20"/>
          <w:lang w:val="en-US"/>
        </w:rPr>
        <w:t>of Article</w:t>
      </w:r>
      <w:r w:rsidR="00E70701" w:rsidRPr="00D869E3">
        <w:rPr>
          <w:rFonts w:ascii="Verdana" w:hAnsi="Verdana"/>
          <w:sz w:val="20"/>
          <w:szCs w:val="20"/>
          <w:lang w:val="en-US"/>
        </w:rPr>
        <w:t xml:space="preserve"> 26 </w:t>
      </w:r>
      <w:r w:rsidR="00F42CF0" w:rsidRPr="00D869E3">
        <w:rPr>
          <w:rFonts w:ascii="Verdana" w:hAnsi="Verdana"/>
          <w:sz w:val="20"/>
          <w:szCs w:val="20"/>
          <w:lang w:val="en-US"/>
        </w:rPr>
        <w:t>of the ACHR</w:t>
      </w:r>
      <w:r w:rsidR="00E70701" w:rsidRPr="00D869E3">
        <w:rPr>
          <w:rFonts w:ascii="Verdana" w:hAnsi="Verdana"/>
          <w:sz w:val="20"/>
          <w:szCs w:val="20"/>
          <w:lang w:val="en-US"/>
        </w:rPr>
        <w:t xml:space="preserve"> </w:t>
      </w:r>
      <w:r w:rsidR="002C3F2B" w:rsidRPr="00D869E3">
        <w:rPr>
          <w:rFonts w:ascii="Verdana" w:hAnsi="Verdana"/>
          <w:sz w:val="20"/>
          <w:szCs w:val="20"/>
          <w:lang w:val="en-US"/>
        </w:rPr>
        <w:t xml:space="preserve">in this case, the Court was not simply </w:t>
      </w:r>
      <w:r w:rsidR="002A6179" w:rsidRPr="00D869E3">
        <w:rPr>
          <w:rFonts w:ascii="Verdana" w:hAnsi="Verdana"/>
          <w:sz w:val="20"/>
          <w:szCs w:val="20"/>
          <w:lang w:val="en-US"/>
        </w:rPr>
        <w:t>considering</w:t>
      </w:r>
      <w:r w:rsidR="002C3F2B" w:rsidRPr="00D869E3">
        <w:rPr>
          <w:rFonts w:ascii="Verdana" w:hAnsi="Verdana"/>
          <w:sz w:val="20"/>
          <w:szCs w:val="20"/>
          <w:lang w:val="en-US"/>
        </w:rPr>
        <w:t xml:space="preserve"> whether or not the dismissal of Mr. Lagos was justified; rather, behind this, there have been long discussions on the scope of an article</w:t>
      </w:r>
      <w:r w:rsidR="002A6179" w:rsidRPr="00D869E3">
        <w:rPr>
          <w:rFonts w:ascii="Verdana" w:hAnsi="Verdana"/>
          <w:sz w:val="20"/>
          <w:szCs w:val="20"/>
          <w:lang w:val="en-US"/>
        </w:rPr>
        <w:t>, which</w:t>
      </w:r>
      <w:r w:rsidR="002C3F2B" w:rsidRPr="00D869E3">
        <w:rPr>
          <w:rFonts w:ascii="Verdana" w:hAnsi="Verdana"/>
          <w:sz w:val="20"/>
          <w:szCs w:val="20"/>
          <w:lang w:val="en-US"/>
        </w:rPr>
        <w:t xml:space="preserve"> </w:t>
      </w:r>
      <w:r w:rsidR="005F3326" w:rsidRPr="00D869E3">
        <w:rPr>
          <w:rFonts w:ascii="Verdana" w:hAnsi="Verdana"/>
          <w:sz w:val="20"/>
          <w:szCs w:val="20"/>
          <w:lang w:val="en-US"/>
        </w:rPr>
        <w:t xml:space="preserve">have not always been </w:t>
      </w:r>
      <w:r w:rsidR="002A6179" w:rsidRPr="00D869E3">
        <w:rPr>
          <w:rFonts w:ascii="Verdana" w:hAnsi="Verdana"/>
          <w:sz w:val="20"/>
          <w:szCs w:val="20"/>
          <w:lang w:val="en-US"/>
        </w:rPr>
        <w:t>calm</w:t>
      </w:r>
      <w:r w:rsidR="005F3326" w:rsidRPr="00D869E3">
        <w:rPr>
          <w:rFonts w:ascii="Verdana" w:hAnsi="Verdana"/>
          <w:sz w:val="20"/>
          <w:szCs w:val="20"/>
          <w:lang w:val="en-US"/>
        </w:rPr>
        <w:t xml:space="preserve"> and </w:t>
      </w:r>
      <w:r w:rsidR="002A6179" w:rsidRPr="00D869E3">
        <w:rPr>
          <w:rFonts w:ascii="Verdana" w:hAnsi="Verdana"/>
          <w:sz w:val="20"/>
          <w:szCs w:val="20"/>
          <w:lang w:val="en-US"/>
        </w:rPr>
        <w:t xml:space="preserve">which </w:t>
      </w:r>
      <w:r w:rsidR="005F3326" w:rsidRPr="00D869E3">
        <w:rPr>
          <w:rFonts w:ascii="Verdana" w:hAnsi="Verdana"/>
          <w:sz w:val="20"/>
          <w:szCs w:val="20"/>
          <w:lang w:val="en-US"/>
        </w:rPr>
        <w:t xml:space="preserve">the States have been emphatic in rejecting. Thus, it is not sufficient to say that a mention in the allegations presented </w:t>
      </w:r>
      <w:r w:rsidR="002A6179" w:rsidRPr="00D869E3">
        <w:rPr>
          <w:rFonts w:ascii="Verdana" w:hAnsi="Verdana"/>
          <w:sz w:val="20"/>
          <w:szCs w:val="20"/>
          <w:lang w:val="en-US"/>
        </w:rPr>
        <w:t>prior to</w:t>
      </w:r>
      <w:r w:rsidR="005F3326" w:rsidRPr="00D869E3">
        <w:rPr>
          <w:rFonts w:ascii="Verdana" w:hAnsi="Verdana"/>
          <w:sz w:val="20"/>
          <w:szCs w:val="20"/>
          <w:lang w:val="en-US"/>
        </w:rPr>
        <w:t xml:space="preserve"> the Commission’s </w:t>
      </w:r>
      <w:r w:rsidR="00687684" w:rsidRPr="00D869E3">
        <w:rPr>
          <w:rFonts w:ascii="Verdana" w:hAnsi="Verdana"/>
          <w:sz w:val="20"/>
          <w:szCs w:val="20"/>
          <w:lang w:val="en-US"/>
        </w:rPr>
        <w:t>Admissibility Report</w:t>
      </w:r>
      <w:r w:rsidR="00447C65" w:rsidRPr="00D869E3">
        <w:rPr>
          <w:rFonts w:ascii="Verdana" w:hAnsi="Verdana"/>
          <w:sz w:val="20"/>
          <w:szCs w:val="20"/>
          <w:lang w:val="en-US"/>
        </w:rPr>
        <w:t xml:space="preserve"> </w:t>
      </w:r>
      <w:r w:rsidR="005F3326" w:rsidRPr="00D869E3">
        <w:rPr>
          <w:rFonts w:ascii="Verdana" w:hAnsi="Verdana"/>
          <w:sz w:val="20"/>
          <w:szCs w:val="20"/>
          <w:lang w:val="en-US"/>
        </w:rPr>
        <w:t xml:space="preserve">could allow the State of Peru to anticipate that it was possible that </w:t>
      </w:r>
      <w:r w:rsidR="00447C65" w:rsidRPr="00D869E3">
        <w:rPr>
          <w:rFonts w:ascii="Verdana" w:hAnsi="Verdana"/>
          <w:sz w:val="20"/>
          <w:szCs w:val="20"/>
          <w:lang w:val="en-US"/>
        </w:rPr>
        <w:t>the Inter-American Court</w:t>
      </w:r>
      <w:r w:rsidR="00E70701" w:rsidRPr="00D869E3">
        <w:rPr>
          <w:rFonts w:ascii="Verdana" w:hAnsi="Verdana"/>
          <w:sz w:val="20"/>
          <w:szCs w:val="20"/>
          <w:lang w:val="en-US"/>
        </w:rPr>
        <w:t xml:space="preserve"> </w:t>
      </w:r>
      <w:r w:rsidR="005F3326" w:rsidRPr="00D869E3">
        <w:rPr>
          <w:rFonts w:ascii="Verdana" w:hAnsi="Verdana"/>
          <w:sz w:val="20"/>
          <w:szCs w:val="20"/>
          <w:lang w:val="en-US"/>
        </w:rPr>
        <w:t xml:space="preserve">would declare the violation of </w:t>
      </w:r>
      <w:r w:rsidR="002A6179" w:rsidRPr="00D869E3">
        <w:rPr>
          <w:rFonts w:ascii="Verdana" w:hAnsi="Verdana"/>
          <w:sz w:val="20"/>
          <w:szCs w:val="20"/>
          <w:lang w:val="en-US"/>
        </w:rPr>
        <w:t>t</w:t>
      </w:r>
      <w:r w:rsidR="005F3326" w:rsidRPr="00D869E3">
        <w:rPr>
          <w:rFonts w:ascii="Verdana" w:hAnsi="Verdana"/>
          <w:sz w:val="20"/>
          <w:szCs w:val="20"/>
          <w:lang w:val="en-US"/>
        </w:rPr>
        <w:t xml:space="preserve">his right in a case that was </w:t>
      </w:r>
      <w:r w:rsidR="002A6179" w:rsidRPr="00D869E3">
        <w:rPr>
          <w:rFonts w:ascii="Verdana" w:hAnsi="Verdana"/>
          <w:sz w:val="20"/>
          <w:szCs w:val="20"/>
          <w:lang w:val="en-US"/>
        </w:rPr>
        <w:t>submitted</w:t>
      </w:r>
      <w:r w:rsidR="005F3326" w:rsidRPr="00D869E3">
        <w:rPr>
          <w:rFonts w:ascii="Verdana" w:hAnsi="Verdana"/>
          <w:sz w:val="20"/>
          <w:szCs w:val="20"/>
          <w:lang w:val="en-US"/>
        </w:rPr>
        <w:t xml:space="preserve"> as a presumed violation of </w:t>
      </w:r>
      <w:r w:rsidR="00447C65" w:rsidRPr="00D869E3">
        <w:rPr>
          <w:rFonts w:ascii="Verdana" w:hAnsi="Verdana"/>
          <w:sz w:val="20"/>
          <w:szCs w:val="20"/>
          <w:lang w:val="en-US"/>
        </w:rPr>
        <w:t>Articles</w:t>
      </w:r>
      <w:r w:rsidR="00E70701" w:rsidRPr="00D869E3">
        <w:rPr>
          <w:rFonts w:ascii="Verdana" w:hAnsi="Verdana"/>
          <w:sz w:val="20"/>
          <w:szCs w:val="20"/>
          <w:lang w:val="en-US"/>
        </w:rPr>
        <w:t xml:space="preserve"> 8</w:t>
      </w:r>
      <w:r w:rsidR="00687684" w:rsidRPr="00D869E3">
        <w:rPr>
          <w:rFonts w:ascii="Verdana" w:hAnsi="Verdana"/>
          <w:sz w:val="20"/>
          <w:szCs w:val="20"/>
          <w:lang w:val="en-US"/>
        </w:rPr>
        <w:t xml:space="preserve"> and </w:t>
      </w:r>
      <w:r w:rsidR="00E70701" w:rsidRPr="00D869E3">
        <w:rPr>
          <w:rFonts w:ascii="Verdana" w:hAnsi="Verdana"/>
          <w:sz w:val="20"/>
          <w:szCs w:val="20"/>
          <w:lang w:val="en-US"/>
        </w:rPr>
        <w:t xml:space="preserve">13 </w:t>
      </w:r>
      <w:r w:rsidR="00F42CF0" w:rsidRPr="00D869E3">
        <w:rPr>
          <w:rFonts w:ascii="Verdana" w:hAnsi="Verdana"/>
          <w:sz w:val="20"/>
          <w:szCs w:val="20"/>
          <w:lang w:val="en-US"/>
        </w:rPr>
        <w:t>of the ACHR</w:t>
      </w:r>
      <w:r w:rsidR="00E70701" w:rsidRPr="00D869E3">
        <w:rPr>
          <w:rFonts w:ascii="Verdana" w:hAnsi="Verdana"/>
          <w:sz w:val="20"/>
          <w:szCs w:val="20"/>
          <w:lang w:val="en-US"/>
        </w:rPr>
        <w:t>.</w:t>
      </w:r>
    </w:p>
    <w:p w14:paraId="77CB7F2A" w14:textId="77777777" w:rsidR="00E70701" w:rsidRPr="00D869E3" w:rsidRDefault="00E70701" w:rsidP="00C44F79">
      <w:pPr>
        <w:jc w:val="both"/>
        <w:rPr>
          <w:rFonts w:ascii="Verdana" w:hAnsi="Verdana"/>
          <w:sz w:val="20"/>
          <w:szCs w:val="20"/>
          <w:lang w:val="en-US"/>
        </w:rPr>
      </w:pPr>
    </w:p>
    <w:p w14:paraId="114EC089" w14:textId="51DF96AD" w:rsidR="00442B7E" w:rsidRPr="00D869E3" w:rsidRDefault="00075E68" w:rsidP="00E70701">
      <w:pPr>
        <w:pStyle w:val="Prrafodelista"/>
        <w:numPr>
          <w:ilvl w:val="0"/>
          <w:numId w:val="37"/>
        </w:numPr>
        <w:ind w:left="0" w:firstLine="0"/>
        <w:jc w:val="both"/>
        <w:rPr>
          <w:rFonts w:ascii="Verdana" w:hAnsi="Verdana"/>
          <w:sz w:val="20"/>
          <w:szCs w:val="20"/>
          <w:lang w:val="en-US"/>
        </w:rPr>
      </w:pPr>
      <w:r w:rsidRPr="00D869E3">
        <w:rPr>
          <w:rFonts w:ascii="Verdana" w:hAnsi="Verdana"/>
          <w:sz w:val="20"/>
          <w:szCs w:val="20"/>
          <w:lang w:val="en-US"/>
        </w:rPr>
        <w:t>In this regard</w:t>
      </w:r>
      <w:r w:rsidR="00E70701" w:rsidRPr="00D869E3">
        <w:rPr>
          <w:rFonts w:ascii="Verdana" w:hAnsi="Verdana"/>
          <w:sz w:val="20"/>
          <w:szCs w:val="20"/>
          <w:lang w:val="en-US"/>
        </w:rPr>
        <w:t xml:space="preserve">, </w:t>
      </w:r>
      <w:r w:rsidR="00442B7E" w:rsidRPr="00D869E3">
        <w:rPr>
          <w:rFonts w:ascii="Verdana" w:hAnsi="Verdana"/>
          <w:sz w:val="20"/>
          <w:szCs w:val="20"/>
          <w:lang w:val="en-US"/>
        </w:rPr>
        <w:t xml:space="preserve">I </w:t>
      </w:r>
      <w:r w:rsidR="00E70701" w:rsidRPr="00D869E3">
        <w:rPr>
          <w:rFonts w:ascii="Verdana" w:hAnsi="Verdana"/>
          <w:sz w:val="20"/>
          <w:szCs w:val="20"/>
          <w:lang w:val="en-US"/>
        </w:rPr>
        <w:t>consider</w:t>
      </w:r>
      <w:r w:rsidR="00442B7E" w:rsidRPr="00D869E3">
        <w:rPr>
          <w:rFonts w:ascii="Verdana" w:hAnsi="Verdana"/>
          <w:sz w:val="20"/>
          <w:szCs w:val="20"/>
          <w:lang w:val="en-US"/>
        </w:rPr>
        <w:t xml:space="preserve"> that in light of the complexities of the debate on </w:t>
      </w:r>
      <w:r w:rsidR="00687684" w:rsidRPr="00D869E3">
        <w:rPr>
          <w:rFonts w:ascii="Verdana" w:hAnsi="Verdana"/>
          <w:sz w:val="20"/>
          <w:szCs w:val="20"/>
          <w:lang w:val="en-US"/>
        </w:rPr>
        <w:t>Article</w:t>
      </w:r>
      <w:r w:rsidR="00E70701" w:rsidRPr="00D869E3">
        <w:rPr>
          <w:rFonts w:ascii="Verdana" w:hAnsi="Verdana"/>
          <w:sz w:val="20"/>
          <w:szCs w:val="20"/>
          <w:lang w:val="en-US"/>
        </w:rPr>
        <w:t xml:space="preserve"> 26 </w:t>
      </w:r>
      <w:r w:rsidR="00F42CF0" w:rsidRPr="00D869E3">
        <w:rPr>
          <w:rFonts w:ascii="Verdana" w:hAnsi="Verdana"/>
          <w:sz w:val="20"/>
          <w:szCs w:val="20"/>
          <w:lang w:val="en-US"/>
        </w:rPr>
        <w:t>of the ACHR</w:t>
      </w:r>
      <w:r w:rsidR="00687684" w:rsidRPr="00D869E3">
        <w:rPr>
          <w:rFonts w:ascii="Verdana" w:hAnsi="Verdana"/>
          <w:sz w:val="20"/>
          <w:szCs w:val="20"/>
          <w:lang w:val="en-US"/>
        </w:rPr>
        <w:t xml:space="preserve"> and </w:t>
      </w:r>
      <w:r w:rsidR="00442B7E" w:rsidRPr="00D869E3">
        <w:rPr>
          <w:rFonts w:ascii="Verdana" w:hAnsi="Verdana"/>
          <w:sz w:val="20"/>
          <w:szCs w:val="20"/>
          <w:lang w:val="en-US"/>
        </w:rPr>
        <w:t xml:space="preserve">the implications that this can </w:t>
      </w:r>
      <w:r w:rsidR="00456458" w:rsidRPr="00D869E3">
        <w:rPr>
          <w:rFonts w:ascii="Verdana" w:hAnsi="Verdana"/>
          <w:sz w:val="20"/>
          <w:szCs w:val="20"/>
          <w:lang w:val="en-US"/>
        </w:rPr>
        <w:t>have</w:t>
      </w:r>
      <w:r w:rsidR="00442B7E" w:rsidRPr="00D869E3">
        <w:rPr>
          <w:rFonts w:ascii="Verdana" w:hAnsi="Verdana"/>
          <w:sz w:val="20"/>
          <w:szCs w:val="20"/>
          <w:lang w:val="en-US"/>
        </w:rPr>
        <w:t xml:space="preserve"> not only on this case in particular, but also as a future precedent for the Inter-American Court, the least that could be asked is that an open and public debate should be allowed on the possible interpretations and scope being discussed. Indeed, if this conclusion had been reached in a case such as </w:t>
      </w:r>
      <w:r w:rsidR="00442B7E" w:rsidRPr="00D869E3">
        <w:rPr>
          <w:rFonts w:ascii="Verdana" w:hAnsi="Verdana"/>
          <w:i/>
          <w:sz w:val="20"/>
          <w:szCs w:val="20"/>
          <w:lang w:val="en-US"/>
        </w:rPr>
        <w:t>Gonzalez Lluy v. Ecuador</w:t>
      </w:r>
      <w:r w:rsidR="00442B7E" w:rsidRPr="00D869E3">
        <w:rPr>
          <w:rFonts w:ascii="Verdana" w:hAnsi="Verdana"/>
          <w:sz w:val="20"/>
          <w:szCs w:val="20"/>
          <w:lang w:val="en-US"/>
        </w:rPr>
        <w:t xml:space="preserve">, in which the debate took place between the representatives and the State during the public hearing and in the main briefs, I would not have found the declaration so lacking in pertinence (from a procedural standpoint), because the State had the opportunity to present its position on the issue. However, arriving at the conclusion reached in this judgment without the due debate between the parties could be seen by the States as an over-hasty and arbitrary decision of the Court, which endangers its legitimacy. </w:t>
      </w:r>
    </w:p>
    <w:p w14:paraId="5B8FEDD2" w14:textId="77777777" w:rsidR="00E70701" w:rsidRPr="00D869E3" w:rsidRDefault="00E70701" w:rsidP="00C44F79">
      <w:pPr>
        <w:pStyle w:val="Prrafodelista"/>
        <w:rPr>
          <w:rFonts w:ascii="Verdana" w:hAnsi="Verdana"/>
          <w:sz w:val="20"/>
          <w:szCs w:val="20"/>
          <w:lang w:val="en-US"/>
        </w:rPr>
      </w:pPr>
    </w:p>
    <w:p w14:paraId="143B7E1D" w14:textId="518AF280" w:rsidR="00442B7E" w:rsidRPr="00D869E3" w:rsidRDefault="00442B7E" w:rsidP="00E70701">
      <w:pPr>
        <w:pStyle w:val="Prrafodelista"/>
        <w:numPr>
          <w:ilvl w:val="0"/>
          <w:numId w:val="37"/>
        </w:numPr>
        <w:ind w:left="0" w:firstLine="0"/>
        <w:jc w:val="both"/>
        <w:rPr>
          <w:rFonts w:ascii="Verdana" w:hAnsi="Verdana" w:cs="Arial"/>
          <w:sz w:val="20"/>
          <w:szCs w:val="20"/>
          <w:lang w:val="en-US"/>
        </w:rPr>
      </w:pPr>
      <w:r w:rsidRPr="00D869E3">
        <w:rPr>
          <w:rFonts w:ascii="Verdana" w:hAnsi="Verdana" w:cs="Arial"/>
          <w:sz w:val="20"/>
          <w:szCs w:val="20"/>
          <w:lang w:val="en-US"/>
        </w:rPr>
        <w:t>Due respect for and compliance with the Court’s decisions is essential to ensure that the judgments convicting the States for disregarding human rights become not only a mechanism of reparation for the victims, but also serve as a positive cataly</w:t>
      </w:r>
      <w:r w:rsidR="00456458" w:rsidRPr="00D869E3">
        <w:rPr>
          <w:rFonts w:ascii="Verdana" w:hAnsi="Verdana" w:cs="Arial"/>
          <w:sz w:val="20"/>
          <w:szCs w:val="20"/>
          <w:lang w:val="en-US"/>
        </w:rPr>
        <w:t>st</w:t>
      </w:r>
      <w:r w:rsidRPr="00D869E3">
        <w:rPr>
          <w:rFonts w:ascii="Verdana" w:hAnsi="Verdana" w:cs="Arial"/>
          <w:sz w:val="20"/>
          <w:szCs w:val="20"/>
          <w:lang w:val="en-US"/>
        </w:rPr>
        <w:t xml:space="preserve"> </w:t>
      </w:r>
      <w:r w:rsidR="00456458" w:rsidRPr="00D869E3">
        <w:rPr>
          <w:rFonts w:ascii="Verdana" w:hAnsi="Verdana" w:cs="Arial"/>
          <w:sz w:val="20"/>
          <w:szCs w:val="20"/>
          <w:lang w:val="en-US"/>
        </w:rPr>
        <w:t>of</w:t>
      </w:r>
      <w:r w:rsidRPr="00D869E3">
        <w:rPr>
          <w:rFonts w:ascii="Verdana" w:hAnsi="Verdana" w:cs="Arial"/>
          <w:sz w:val="20"/>
          <w:szCs w:val="20"/>
          <w:lang w:val="en-US"/>
        </w:rPr>
        <w:t xml:space="preserve"> structural changes in society and in the State apparatus. Judicial rulings by an international court on the adequate use and distribution of economic resources, which are scarce by definition, </w:t>
      </w:r>
      <w:r w:rsidR="00456458" w:rsidRPr="00D869E3">
        <w:rPr>
          <w:rFonts w:ascii="Verdana" w:hAnsi="Verdana" w:cs="Arial"/>
          <w:sz w:val="20"/>
          <w:szCs w:val="20"/>
          <w:lang w:val="en-US"/>
        </w:rPr>
        <w:t>signify</w:t>
      </w:r>
      <w:r w:rsidRPr="00D869E3">
        <w:rPr>
          <w:rFonts w:ascii="Verdana" w:hAnsi="Verdana" w:cs="Arial"/>
          <w:sz w:val="20"/>
          <w:szCs w:val="20"/>
          <w:lang w:val="en-US"/>
        </w:rPr>
        <w:t xml:space="preserve"> a particularly </w:t>
      </w:r>
      <w:r w:rsidR="00456458" w:rsidRPr="00D869E3">
        <w:rPr>
          <w:rFonts w:ascii="Verdana" w:hAnsi="Verdana" w:cs="Arial"/>
          <w:sz w:val="20"/>
          <w:szCs w:val="20"/>
          <w:lang w:val="en-US"/>
        </w:rPr>
        <w:t>profound</w:t>
      </w:r>
      <w:r w:rsidRPr="00D869E3">
        <w:rPr>
          <w:rFonts w:ascii="Verdana" w:hAnsi="Verdana" w:cs="Arial"/>
          <w:sz w:val="20"/>
          <w:szCs w:val="20"/>
          <w:lang w:val="en-US"/>
        </w:rPr>
        <w:t xml:space="preserve"> intervention in internal affairs and, therefore, require a legitimacy that can only be derived from an explicit</w:t>
      </w:r>
      <w:r w:rsidR="006A0B40" w:rsidRPr="00D869E3">
        <w:rPr>
          <w:rFonts w:ascii="Verdana" w:hAnsi="Verdana" w:cs="Arial"/>
          <w:sz w:val="20"/>
          <w:szCs w:val="20"/>
          <w:lang w:val="en-US"/>
        </w:rPr>
        <w:t xml:space="preserve"> </w:t>
      </w:r>
      <w:r w:rsidR="00456458" w:rsidRPr="00D869E3">
        <w:rPr>
          <w:rFonts w:ascii="Verdana" w:hAnsi="Verdana" w:cs="Arial"/>
          <w:sz w:val="20"/>
          <w:szCs w:val="20"/>
          <w:lang w:val="en-US"/>
        </w:rPr>
        <w:t>manifestation</w:t>
      </w:r>
      <w:r w:rsidRPr="00D869E3">
        <w:rPr>
          <w:rFonts w:ascii="Verdana" w:hAnsi="Verdana" w:cs="Arial"/>
          <w:sz w:val="20"/>
          <w:szCs w:val="20"/>
          <w:lang w:val="en-US"/>
        </w:rPr>
        <w:t>.</w:t>
      </w:r>
    </w:p>
    <w:p w14:paraId="068B4B96" w14:textId="77777777" w:rsidR="00E70701" w:rsidRPr="00D869E3" w:rsidRDefault="00E70701" w:rsidP="006A0B40">
      <w:pPr>
        <w:rPr>
          <w:rFonts w:ascii="Verdana" w:hAnsi="Verdana" w:cs="Arial"/>
          <w:sz w:val="20"/>
          <w:szCs w:val="20"/>
          <w:lang w:val="en-US"/>
        </w:rPr>
      </w:pPr>
    </w:p>
    <w:p w14:paraId="1814B153" w14:textId="78039D26" w:rsidR="006A0B40" w:rsidRPr="00D869E3" w:rsidRDefault="006A0B40" w:rsidP="00E70701">
      <w:pPr>
        <w:pStyle w:val="Prrafodelista"/>
        <w:numPr>
          <w:ilvl w:val="0"/>
          <w:numId w:val="37"/>
        </w:numPr>
        <w:ind w:left="0" w:firstLine="0"/>
        <w:jc w:val="both"/>
        <w:rPr>
          <w:rFonts w:ascii="Verdana" w:hAnsi="Verdana"/>
          <w:sz w:val="20"/>
          <w:szCs w:val="20"/>
          <w:lang w:val="en-US"/>
        </w:rPr>
      </w:pPr>
      <w:r w:rsidRPr="00D869E3">
        <w:rPr>
          <w:rFonts w:ascii="Verdana" w:hAnsi="Verdana" w:cs="Arial"/>
          <w:sz w:val="20"/>
          <w:szCs w:val="20"/>
          <w:lang w:val="en-US"/>
        </w:rPr>
        <w:t>When declaring a violation of</w:t>
      </w:r>
      <w:r w:rsidR="00E70701" w:rsidRPr="00D869E3">
        <w:rPr>
          <w:rFonts w:ascii="Verdana" w:hAnsi="Verdana" w:cs="Arial"/>
          <w:sz w:val="20"/>
          <w:szCs w:val="20"/>
          <w:lang w:val="en-US"/>
        </w:rPr>
        <w:t xml:space="preserve"> </w:t>
      </w:r>
      <w:r w:rsidR="00447C65" w:rsidRPr="00D869E3">
        <w:rPr>
          <w:rFonts w:ascii="Verdana" w:hAnsi="Verdana" w:cs="Arial"/>
          <w:sz w:val="20"/>
          <w:szCs w:val="20"/>
          <w:lang w:val="en-US"/>
        </w:rPr>
        <w:t>Article</w:t>
      </w:r>
      <w:r w:rsidR="00E70701" w:rsidRPr="00D869E3">
        <w:rPr>
          <w:rFonts w:ascii="Verdana" w:hAnsi="Verdana" w:cs="Arial"/>
          <w:sz w:val="20"/>
          <w:szCs w:val="20"/>
          <w:lang w:val="en-US"/>
        </w:rPr>
        <w:t xml:space="preserve"> 26</w:t>
      </w:r>
      <w:r w:rsidRPr="00D869E3">
        <w:rPr>
          <w:rFonts w:ascii="Verdana" w:hAnsi="Verdana" w:cs="Arial"/>
          <w:sz w:val="20"/>
          <w:szCs w:val="20"/>
          <w:lang w:val="en-US"/>
        </w:rPr>
        <w:t>, judgment</w:t>
      </w:r>
      <w:r w:rsidR="00456458" w:rsidRPr="00D869E3">
        <w:rPr>
          <w:rFonts w:ascii="Verdana" w:hAnsi="Verdana" w:cs="Arial"/>
          <w:sz w:val="20"/>
          <w:szCs w:val="20"/>
          <w:lang w:val="en-US"/>
        </w:rPr>
        <w:t>s</w:t>
      </w:r>
      <w:r w:rsidRPr="00D869E3">
        <w:rPr>
          <w:rFonts w:ascii="Verdana" w:hAnsi="Verdana" w:cs="Arial"/>
          <w:sz w:val="20"/>
          <w:szCs w:val="20"/>
          <w:lang w:val="en-US"/>
        </w:rPr>
        <w:t xml:space="preserve"> could, and at times should, establish reparations that would have a more pronounced impact in the area of public policies than those that have been handed down by the Court to date. Consequently, it will be necessary that, in contexts of </w:t>
      </w:r>
      <w:r w:rsidR="00456458" w:rsidRPr="00D869E3">
        <w:rPr>
          <w:rFonts w:ascii="Verdana" w:hAnsi="Verdana" w:cs="Arial"/>
          <w:sz w:val="20"/>
          <w:szCs w:val="20"/>
          <w:lang w:val="en-US"/>
        </w:rPr>
        <w:t>instability</w:t>
      </w:r>
      <w:r w:rsidRPr="00D869E3">
        <w:rPr>
          <w:rFonts w:ascii="Verdana" w:hAnsi="Verdana" w:cs="Arial"/>
          <w:sz w:val="20"/>
          <w:szCs w:val="20"/>
          <w:lang w:val="en-US"/>
        </w:rPr>
        <w:t xml:space="preserve"> and restricted budgets, characteristic of most of the States of our region, </w:t>
      </w:r>
      <w:r w:rsidR="00F60FA3" w:rsidRPr="00D869E3">
        <w:rPr>
          <w:rFonts w:ascii="Verdana" w:hAnsi="Verdana" w:cs="Arial"/>
          <w:sz w:val="20"/>
          <w:szCs w:val="20"/>
          <w:lang w:val="en-US"/>
        </w:rPr>
        <w:t>inventories</w:t>
      </w:r>
      <w:r w:rsidRPr="00D869E3">
        <w:rPr>
          <w:rFonts w:ascii="Verdana" w:hAnsi="Verdana" w:cs="Arial"/>
          <w:sz w:val="20"/>
          <w:szCs w:val="20"/>
          <w:lang w:val="en-US"/>
        </w:rPr>
        <w:t xml:space="preserve"> of economic availability are established </w:t>
      </w:r>
      <w:r w:rsidR="00D3572D" w:rsidRPr="00D869E3">
        <w:rPr>
          <w:rFonts w:ascii="Verdana" w:hAnsi="Verdana" w:cs="Arial"/>
          <w:sz w:val="20"/>
          <w:szCs w:val="20"/>
          <w:lang w:val="en-US"/>
        </w:rPr>
        <w:t xml:space="preserve">that allow priorities for the investment of scarce resources to be reoriented. In this regard, the way in which the jurisdiction of the Inter-American Court is </w:t>
      </w:r>
      <w:r w:rsidR="00F60FA3" w:rsidRPr="00D869E3">
        <w:rPr>
          <w:rFonts w:ascii="Verdana" w:hAnsi="Verdana" w:cs="Arial"/>
          <w:sz w:val="20"/>
          <w:szCs w:val="20"/>
          <w:lang w:val="en-US"/>
        </w:rPr>
        <w:t xml:space="preserve">substantiated </w:t>
      </w:r>
      <w:r w:rsidR="00D3572D" w:rsidRPr="00D869E3">
        <w:rPr>
          <w:rFonts w:ascii="Verdana" w:hAnsi="Verdana" w:cs="Arial"/>
          <w:sz w:val="20"/>
          <w:szCs w:val="20"/>
          <w:lang w:val="en-US"/>
        </w:rPr>
        <w:t>and legitimized is not irrelevant.</w:t>
      </w:r>
    </w:p>
    <w:p w14:paraId="20B17D42" w14:textId="77777777" w:rsidR="00E70701" w:rsidRPr="00D869E3" w:rsidRDefault="00E70701" w:rsidP="00C44F79">
      <w:pPr>
        <w:jc w:val="both"/>
        <w:rPr>
          <w:rFonts w:ascii="Verdana" w:hAnsi="Verdana" w:cs="Arial"/>
          <w:sz w:val="20"/>
          <w:szCs w:val="20"/>
          <w:lang w:val="en-US"/>
        </w:rPr>
      </w:pPr>
    </w:p>
    <w:p w14:paraId="541EFF2D" w14:textId="1DFB5C72" w:rsidR="00E70701" w:rsidRPr="00D869E3" w:rsidRDefault="00794206" w:rsidP="00E70701">
      <w:pPr>
        <w:pStyle w:val="Prrafodelista"/>
        <w:numPr>
          <w:ilvl w:val="0"/>
          <w:numId w:val="36"/>
        </w:numPr>
        <w:jc w:val="both"/>
        <w:rPr>
          <w:rFonts w:ascii="Verdana" w:hAnsi="Verdana" w:cs="Arial"/>
          <w:b/>
          <w:sz w:val="20"/>
          <w:szCs w:val="20"/>
          <w:lang w:val="en-US"/>
        </w:rPr>
      </w:pPr>
      <w:r w:rsidRPr="00D869E3">
        <w:rPr>
          <w:rFonts w:ascii="Verdana" w:hAnsi="Verdana" w:cs="Arial"/>
          <w:b/>
          <w:sz w:val="20"/>
          <w:szCs w:val="20"/>
          <w:lang w:val="en-US"/>
        </w:rPr>
        <w:t>FLAWS</w:t>
      </w:r>
      <w:r w:rsidR="00D3572D" w:rsidRPr="00D869E3">
        <w:rPr>
          <w:rFonts w:ascii="Verdana" w:hAnsi="Verdana" w:cs="Arial"/>
          <w:b/>
          <w:sz w:val="20"/>
          <w:szCs w:val="20"/>
          <w:lang w:val="en-US"/>
        </w:rPr>
        <w:t xml:space="preserve"> IN THE ARGUMENTS</w:t>
      </w:r>
      <w:r w:rsidR="00E70701" w:rsidRPr="00D869E3">
        <w:rPr>
          <w:rFonts w:ascii="Verdana" w:hAnsi="Verdana" w:cs="Arial"/>
          <w:b/>
          <w:sz w:val="20"/>
          <w:szCs w:val="20"/>
          <w:lang w:val="en-US"/>
        </w:rPr>
        <w:t xml:space="preserve"> </w:t>
      </w:r>
      <w:r w:rsidR="000C55DD" w:rsidRPr="00D869E3">
        <w:rPr>
          <w:rFonts w:ascii="Verdana" w:hAnsi="Verdana" w:cs="Arial"/>
          <w:b/>
          <w:sz w:val="20"/>
          <w:szCs w:val="20"/>
          <w:lang w:val="en-US"/>
        </w:rPr>
        <w:t>OF THE JUDGMENT</w:t>
      </w:r>
      <w:r w:rsidR="00E70701" w:rsidRPr="00D869E3">
        <w:rPr>
          <w:rFonts w:ascii="Verdana" w:hAnsi="Verdana" w:cs="Arial"/>
          <w:b/>
          <w:sz w:val="20"/>
          <w:szCs w:val="20"/>
          <w:lang w:val="en-US"/>
        </w:rPr>
        <w:t xml:space="preserve"> </w:t>
      </w:r>
    </w:p>
    <w:p w14:paraId="44305603" w14:textId="77777777" w:rsidR="00E70701" w:rsidRPr="00D869E3" w:rsidRDefault="00E70701" w:rsidP="00C44F79">
      <w:pPr>
        <w:jc w:val="both"/>
        <w:rPr>
          <w:rFonts w:ascii="Verdana" w:hAnsi="Verdana"/>
          <w:sz w:val="20"/>
          <w:szCs w:val="20"/>
          <w:lang w:val="en-US"/>
        </w:rPr>
      </w:pPr>
    </w:p>
    <w:p w14:paraId="0D6083D0" w14:textId="73B68BD7" w:rsidR="00E70701" w:rsidRPr="00D869E3" w:rsidRDefault="00D3572D" w:rsidP="00D3572D">
      <w:pPr>
        <w:pStyle w:val="Prrafodelista"/>
        <w:numPr>
          <w:ilvl w:val="0"/>
          <w:numId w:val="37"/>
        </w:numPr>
        <w:ind w:left="0" w:firstLine="0"/>
        <w:jc w:val="both"/>
        <w:rPr>
          <w:rFonts w:ascii="Verdana" w:hAnsi="Verdana" w:cs="Arial"/>
          <w:sz w:val="20"/>
          <w:szCs w:val="20"/>
          <w:lang w:val="en-US"/>
        </w:rPr>
      </w:pPr>
      <w:r w:rsidRPr="00D869E3">
        <w:rPr>
          <w:rFonts w:ascii="Verdana" w:hAnsi="Verdana" w:cs="Arial"/>
          <w:sz w:val="20"/>
          <w:szCs w:val="20"/>
          <w:lang w:val="en-US"/>
        </w:rPr>
        <w:t xml:space="preserve">In addition to the reasons set forth above, I consider it necessary to demonstrate the </w:t>
      </w:r>
      <w:r w:rsidR="00794206" w:rsidRPr="00D869E3">
        <w:rPr>
          <w:rFonts w:ascii="Verdana" w:hAnsi="Verdana" w:cs="Arial"/>
          <w:sz w:val="20"/>
          <w:szCs w:val="20"/>
          <w:lang w:val="en-US"/>
        </w:rPr>
        <w:t>flaw</w:t>
      </w:r>
      <w:r w:rsidRPr="00D869E3">
        <w:rPr>
          <w:rFonts w:ascii="Verdana" w:hAnsi="Verdana" w:cs="Arial"/>
          <w:sz w:val="20"/>
          <w:szCs w:val="20"/>
          <w:lang w:val="en-US"/>
        </w:rPr>
        <w:t>s in the</w:t>
      </w:r>
      <w:r w:rsidR="00F60FA3" w:rsidRPr="00D869E3">
        <w:rPr>
          <w:rFonts w:ascii="Verdana" w:hAnsi="Verdana" w:cs="Arial"/>
          <w:sz w:val="20"/>
          <w:szCs w:val="20"/>
          <w:lang w:val="en-US"/>
        </w:rPr>
        <w:t xml:space="preserve"> judgment’s</w:t>
      </w:r>
      <w:r w:rsidRPr="00D869E3">
        <w:rPr>
          <w:rFonts w:ascii="Verdana" w:hAnsi="Verdana" w:cs="Arial"/>
          <w:sz w:val="20"/>
          <w:szCs w:val="20"/>
          <w:lang w:val="en-US"/>
        </w:rPr>
        <w:t xml:space="preserve"> arguments, because th</w:t>
      </w:r>
      <w:r w:rsidR="00F60FA3" w:rsidRPr="00D869E3">
        <w:rPr>
          <w:rFonts w:ascii="Verdana" w:hAnsi="Verdana" w:cs="Arial"/>
          <w:sz w:val="20"/>
          <w:szCs w:val="20"/>
          <w:lang w:val="en-US"/>
        </w:rPr>
        <w:t>ey</w:t>
      </w:r>
      <w:r w:rsidRPr="00D869E3">
        <w:rPr>
          <w:rFonts w:ascii="Verdana" w:hAnsi="Verdana" w:cs="Arial"/>
          <w:sz w:val="20"/>
          <w:szCs w:val="20"/>
          <w:lang w:val="en-US"/>
        </w:rPr>
        <w:t xml:space="preserve"> reveal that the decision concerning the violation of Article 26 </w:t>
      </w:r>
      <w:r w:rsidR="00F60FA3" w:rsidRPr="00D869E3">
        <w:rPr>
          <w:rFonts w:ascii="Verdana" w:hAnsi="Verdana" w:cs="Arial"/>
          <w:sz w:val="20"/>
          <w:szCs w:val="20"/>
          <w:lang w:val="en-US"/>
        </w:rPr>
        <w:t>was not</w:t>
      </w:r>
      <w:r w:rsidRPr="00D869E3">
        <w:rPr>
          <w:rFonts w:ascii="Verdana" w:hAnsi="Verdana" w:cs="Arial"/>
          <w:sz w:val="20"/>
          <w:szCs w:val="20"/>
          <w:lang w:val="en-US"/>
        </w:rPr>
        <w:t xml:space="preserve"> subject to the exhaustive analysis required. To this end, I will refer to three main problems, which are: (i) </w:t>
      </w:r>
      <w:r w:rsidR="00CE350F" w:rsidRPr="00D869E3">
        <w:rPr>
          <w:rFonts w:ascii="Verdana" w:hAnsi="Verdana" w:cs="Arial"/>
          <w:sz w:val="20"/>
          <w:szCs w:val="20"/>
          <w:lang w:val="en-US"/>
        </w:rPr>
        <w:t>failure to provide</w:t>
      </w:r>
      <w:r w:rsidRPr="00D869E3">
        <w:rPr>
          <w:rFonts w:ascii="Verdana" w:hAnsi="Verdana" w:cs="Arial"/>
          <w:sz w:val="20"/>
          <w:szCs w:val="20"/>
          <w:lang w:val="en-US"/>
        </w:rPr>
        <w:t xml:space="preserve"> exp</w:t>
      </w:r>
      <w:r w:rsidR="00CE350F" w:rsidRPr="00D869E3">
        <w:rPr>
          <w:rFonts w:ascii="Verdana" w:hAnsi="Verdana" w:cs="Arial"/>
          <w:sz w:val="20"/>
          <w:szCs w:val="20"/>
          <w:lang w:val="en-US"/>
        </w:rPr>
        <w:t>licit</w:t>
      </w:r>
      <w:r w:rsidRPr="00D869E3">
        <w:rPr>
          <w:rFonts w:ascii="Verdana" w:hAnsi="Verdana" w:cs="Arial"/>
          <w:sz w:val="20"/>
          <w:szCs w:val="20"/>
          <w:lang w:val="en-US"/>
        </w:rPr>
        <w:t xml:space="preserve"> </w:t>
      </w:r>
      <w:r w:rsidR="00CE350F" w:rsidRPr="00D869E3">
        <w:rPr>
          <w:rFonts w:ascii="Verdana" w:hAnsi="Verdana" w:cs="Arial"/>
          <w:sz w:val="20"/>
          <w:szCs w:val="20"/>
          <w:lang w:val="en-US"/>
        </w:rPr>
        <w:t xml:space="preserve">grounds </w:t>
      </w:r>
      <w:r w:rsidRPr="00D869E3">
        <w:rPr>
          <w:rFonts w:ascii="Verdana" w:hAnsi="Verdana" w:cs="Arial"/>
          <w:sz w:val="20"/>
          <w:szCs w:val="20"/>
          <w:lang w:val="en-US"/>
        </w:rPr>
        <w:t xml:space="preserve">to </w:t>
      </w:r>
      <w:r w:rsidR="00CE350F" w:rsidRPr="00D869E3">
        <w:rPr>
          <w:rFonts w:ascii="Verdana" w:hAnsi="Verdana" w:cs="Arial"/>
          <w:sz w:val="20"/>
          <w:szCs w:val="20"/>
          <w:lang w:val="en-US"/>
        </w:rPr>
        <w:t>justify</w:t>
      </w:r>
      <w:r w:rsidRPr="00D869E3">
        <w:rPr>
          <w:rFonts w:ascii="Verdana" w:hAnsi="Verdana" w:cs="Arial"/>
          <w:sz w:val="20"/>
          <w:szCs w:val="20"/>
          <w:lang w:val="en-US"/>
        </w:rPr>
        <w:t xml:space="preserve"> the change in case law; (ii) use of a single interpretation method to reach the decision, and (iii) confusion between the existence of the right and the </w:t>
      </w:r>
      <w:r w:rsidR="00671B14" w:rsidRPr="00D869E3">
        <w:rPr>
          <w:rFonts w:ascii="Verdana" w:hAnsi="Verdana" w:cs="Arial"/>
          <w:sz w:val="20"/>
          <w:szCs w:val="20"/>
          <w:lang w:val="en-US"/>
        </w:rPr>
        <w:t>Inter-American Court</w:t>
      </w:r>
      <w:r w:rsidRPr="00D869E3">
        <w:rPr>
          <w:rFonts w:ascii="Verdana" w:hAnsi="Verdana" w:cs="Arial"/>
          <w:sz w:val="20"/>
          <w:szCs w:val="20"/>
          <w:lang w:val="en-US"/>
        </w:rPr>
        <w:t>’s jurisdiction</w:t>
      </w:r>
      <w:r w:rsidR="00E70701" w:rsidRPr="00D869E3">
        <w:rPr>
          <w:rFonts w:ascii="Verdana" w:hAnsi="Verdana" w:cs="Arial"/>
          <w:sz w:val="20"/>
          <w:szCs w:val="20"/>
          <w:lang w:val="en-US"/>
        </w:rPr>
        <w:t>.</w:t>
      </w:r>
    </w:p>
    <w:p w14:paraId="4AAD8A6B" w14:textId="77777777" w:rsidR="00E70701" w:rsidRPr="00D869E3" w:rsidRDefault="00E70701" w:rsidP="00C44F79">
      <w:pPr>
        <w:pStyle w:val="Prrafodelista"/>
        <w:ind w:left="0"/>
        <w:jc w:val="both"/>
        <w:rPr>
          <w:rFonts w:ascii="Verdana" w:hAnsi="Verdana" w:cs="Arial"/>
          <w:sz w:val="20"/>
          <w:szCs w:val="20"/>
          <w:lang w:val="en-US"/>
        </w:rPr>
      </w:pPr>
    </w:p>
    <w:p w14:paraId="7EA40C20" w14:textId="75721E7F" w:rsidR="00E70701" w:rsidRPr="00D869E3" w:rsidRDefault="00CE350F" w:rsidP="00E70701">
      <w:pPr>
        <w:pStyle w:val="Prrafodelista"/>
        <w:numPr>
          <w:ilvl w:val="0"/>
          <w:numId w:val="39"/>
        </w:numPr>
        <w:jc w:val="both"/>
        <w:rPr>
          <w:rFonts w:ascii="Verdana" w:hAnsi="Verdana" w:cs="Arial"/>
          <w:b/>
          <w:sz w:val="20"/>
          <w:szCs w:val="20"/>
          <w:lang w:val="en-US"/>
        </w:rPr>
      </w:pPr>
      <w:r w:rsidRPr="00D869E3">
        <w:rPr>
          <w:rFonts w:ascii="Verdana" w:hAnsi="Verdana" w:cs="Arial"/>
          <w:b/>
          <w:sz w:val="20"/>
          <w:szCs w:val="20"/>
          <w:lang w:val="en-US"/>
        </w:rPr>
        <w:t>Failure to provide explicit grounds to justify t</w:t>
      </w:r>
      <w:r w:rsidR="001268E2" w:rsidRPr="00D869E3">
        <w:rPr>
          <w:rFonts w:ascii="Verdana" w:hAnsi="Verdana" w:cs="Arial"/>
          <w:b/>
          <w:sz w:val="20"/>
          <w:szCs w:val="20"/>
          <w:lang w:val="en-US"/>
        </w:rPr>
        <w:t>he change</w:t>
      </w:r>
      <w:r w:rsidR="00D3572D" w:rsidRPr="00D869E3">
        <w:rPr>
          <w:rFonts w:ascii="Verdana" w:hAnsi="Verdana" w:cs="Arial"/>
          <w:b/>
          <w:sz w:val="20"/>
          <w:szCs w:val="20"/>
          <w:lang w:val="en-US"/>
        </w:rPr>
        <w:t xml:space="preserve"> in case law </w:t>
      </w:r>
    </w:p>
    <w:p w14:paraId="76721EFC" w14:textId="77777777" w:rsidR="00E70701" w:rsidRPr="00D869E3" w:rsidRDefault="00E70701" w:rsidP="00C44F79">
      <w:pPr>
        <w:pStyle w:val="Prrafodelista"/>
        <w:jc w:val="both"/>
        <w:rPr>
          <w:rFonts w:ascii="Verdana" w:hAnsi="Verdana" w:cs="Arial"/>
          <w:b/>
          <w:sz w:val="20"/>
          <w:szCs w:val="20"/>
          <w:lang w:val="en-US"/>
        </w:rPr>
      </w:pPr>
    </w:p>
    <w:p w14:paraId="582D5385" w14:textId="0B148445" w:rsidR="00D3572D" w:rsidRPr="00D869E3" w:rsidRDefault="00D3572D" w:rsidP="00E70701">
      <w:pPr>
        <w:pStyle w:val="Prrafodelista"/>
        <w:numPr>
          <w:ilvl w:val="0"/>
          <w:numId w:val="37"/>
        </w:numPr>
        <w:ind w:left="0" w:firstLine="0"/>
        <w:jc w:val="both"/>
        <w:rPr>
          <w:rFonts w:ascii="Verdana" w:hAnsi="Verdana" w:cs="Arial"/>
          <w:sz w:val="20"/>
          <w:szCs w:val="20"/>
          <w:lang w:val="en-US"/>
        </w:rPr>
      </w:pPr>
      <w:r w:rsidRPr="00D869E3">
        <w:rPr>
          <w:rFonts w:ascii="Verdana" w:hAnsi="Verdana" w:cs="Arial"/>
          <w:sz w:val="20"/>
          <w:szCs w:val="20"/>
          <w:lang w:val="en-US"/>
        </w:rPr>
        <w:t xml:space="preserve">First, I should indicate that the judgment completely fails to explain </w:t>
      </w:r>
      <w:r w:rsidR="00CE350F" w:rsidRPr="00D869E3">
        <w:rPr>
          <w:rFonts w:ascii="Verdana" w:hAnsi="Verdana" w:cs="Arial"/>
          <w:sz w:val="20"/>
          <w:szCs w:val="20"/>
          <w:lang w:val="en-US"/>
        </w:rPr>
        <w:t xml:space="preserve">why it made a </w:t>
      </w:r>
      <w:r w:rsidRPr="00D869E3">
        <w:rPr>
          <w:rFonts w:ascii="Verdana" w:hAnsi="Verdana" w:cs="Arial"/>
          <w:sz w:val="20"/>
          <w:szCs w:val="20"/>
          <w:lang w:val="en-US"/>
        </w:rPr>
        <w:t xml:space="preserve">change </w:t>
      </w:r>
      <w:r w:rsidR="00CE350F" w:rsidRPr="00D869E3">
        <w:rPr>
          <w:rFonts w:ascii="Verdana" w:hAnsi="Verdana" w:cs="Arial"/>
          <w:sz w:val="20"/>
          <w:szCs w:val="20"/>
          <w:lang w:val="en-US"/>
        </w:rPr>
        <w:t>in</w:t>
      </w:r>
      <w:r w:rsidRPr="00D869E3">
        <w:rPr>
          <w:rFonts w:ascii="Verdana" w:hAnsi="Verdana" w:cs="Arial"/>
          <w:sz w:val="20"/>
          <w:szCs w:val="20"/>
          <w:lang w:val="en-US"/>
        </w:rPr>
        <w:t xml:space="preserve"> precedent, because it </w:t>
      </w:r>
      <w:r w:rsidR="00CE350F" w:rsidRPr="00D869E3">
        <w:rPr>
          <w:rFonts w:ascii="Verdana" w:hAnsi="Verdana" w:cs="Arial"/>
          <w:sz w:val="20"/>
          <w:szCs w:val="20"/>
          <w:lang w:val="en-US"/>
        </w:rPr>
        <w:t>proceeded</w:t>
      </w:r>
      <w:r w:rsidRPr="00D869E3">
        <w:rPr>
          <w:rFonts w:ascii="Verdana" w:hAnsi="Verdana" w:cs="Arial"/>
          <w:sz w:val="20"/>
          <w:szCs w:val="20"/>
          <w:lang w:val="en-US"/>
        </w:rPr>
        <w:t xml:space="preserve"> as if it w</w:t>
      </w:r>
      <w:r w:rsidR="00CE350F" w:rsidRPr="00D869E3">
        <w:rPr>
          <w:rFonts w:ascii="Verdana" w:hAnsi="Verdana" w:cs="Arial"/>
          <w:sz w:val="20"/>
          <w:szCs w:val="20"/>
          <w:lang w:val="en-US"/>
        </w:rPr>
        <w:t>ere</w:t>
      </w:r>
      <w:r w:rsidRPr="00D869E3">
        <w:rPr>
          <w:rFonts w:ascii="Verdana" w:hAnsi="Verdana" w:cs="Arial"/>
          <w:sz w:val="20"/>
          <w:szCs w:val="20"/>
          <w:lang w:val="en-US"/>
        </w:rPr>
        <w:t xml:space="preserve"> reiterating case law, which is absolutely false. This </w:t>
      </w:r>
      <w:r w:rsidR="00CE350F" w:rsidRPr="00D869E3">
        <w:rPr>
          <w:rFonts w:ascii="Verdana" w:hAnsi="Verdana" w:cs="Arial"/>
          <w:sz w:val="20"/>
          <w:szCs w:val="20"/>
          <w:lang w:val="en-US"/>
        </w:rPr>
        <w:t>resulted in</w:t>
      </w:r>
      <w:r w:rsidRPr="00D869E3">
        <w:rPr>
          <w:rFonts w:ascii="Verdana" w:hAnsi="Verdana" w:cs="Arial"/>
          <w:sz w:val="20"/>
          <w:szCs w:val="20"/>
          <w:lang w:val="en-US"/>
        </w:rPr>
        <w:t xml:space="preserve"> two different </w:t>
      </w:r>
      <w:r w:rsidR="00CE350F" w:rsidRPr="00D869E3">
        <w:rPr>
          <w:rFonts w:ascii="Verdana" w:hAnsi="Verdana" w:cs="Arial"/>
          <w:sz w:val="20"/>
          <w:szCs w:val="20"/>
          <w:lang w:val="en-US"/>
        </w:rPr>
        <w:t>flaws</w:t>
      </w:r>
      <w:r w:rsidRPr="00D869E3">
        <w:rPr>
          <w:rFonts w:ascii="Verdana" w:hAnsi="Verdana" w:cs="Arial"/>
          <w:sz w:val="20"/>
          <w:szCs w:val="20"/>
          <w:lang w:val="en-US"/>
        </w:rPr>
        <w:t xml:space="preserve"> in the arguments. The first is the omission of arguments that </w:t>
      </w:r>
      <w:r w:rsidR="00794206" w:rsidRPr="00D869E3">
        <w:rPr>
          <w:rFonts w:ascii="Verdana" w:hAnsi="Verdana" w:cs="Arial"/>
          <w:sz w:val="20"/>
          <w:szCs w:val="20"/>
          <w:lang w:val="en-US"/>
        </w:rPr>
        <w:t>reveal</w:t>
      </w:r>
      <w:r w:rsidRPr="00D869E3">
        <w:rPr>
          <w:rFonts w:ascii="Verdana" w:hAnsi="Verdana" w:cs="Arial"/>
          <w:sz w:val="20"/>
          <w:szCs w:val="20"/>
          <w:lang w:val="en-US"/>
        </w:rPr>
        <w:t xml:space="preserve"> the reasons why the Inter-American Court decided to make a change </w:t>
      </w:r>
      <w:r w:rsidR="00794206" w:rsidRPr="00D869E3">
        <w:rPr>
          <w:rFonts w:ascii="Verdana" w:hAnsi="Verdana" w:cs="Arial"/>
          <w:sz w:val="20"/>
          <w:szCs w:val="20"/>
          <w:lang w:val="en-US"/>
        </w:rPr>
        <w:t>in</w:t>
      </w:r>
      <w:r w:rsidRPr="00D869E3">
        <w:rPr>
          <w:rFonts w:ascii="Verdana" w:hAnsi="Verdana" w:cs="Arial"/>
          <w:sz w:val="20"/>
          <w:szCs w:val="20"/>
          <w:lang w:val="en-US"/>
        </w:rPr>
        <w:t xml:space="preserve"> precedent. The second is giving a specific judicial ruling the value of precedent, in order to conceal </w:t>
      </w:r>
      <w:r w:rsidR="00C01A96" w:rsidRPr="00D869E3">
        <w:rPr>
          <w:rFonts w:ascii="Verdana" w:hAnsi="Verdana" w:cs="Arial"/>
          <w:sz w:val="20"/>
          <w:szCs w:val="20"/>
          <w:lang w:val="en-US"/>
        </w:rPr>
        <w:t xml:space="preserve">that, in </w:t>
      </w:r>
      <w:r w:rsidR="00794206" w:rsidRPr="00D869E3">
        <w:rPr>
          <w:rFonts w:ascii="Verdana" w:hAnsi="Verdana" w:cs="Arial"/>
          <w:sz w:val="20"/>
          <w:szCs w:val="20"/>
          <w:lang w:val="en-US"/>
        </w:rPr>
        <w:t>reality</w:t>
      </w:r>
      <w:r w:rsidR="00C01A96" w:rsidRPr="00D869E3">
        <w:rPr>
          <w:rFonts w:ascii="Verdana" w:hAnsi="Verdana" w:cs="Arial"/>
          <w:sz w:val="20"/>
          <w:szCs w:val="20"/>
          <w:lang w:val="en-US"/>
        </w:rPr>
        <w:t xml:space="preserve">, a new judicial position has been </w:t>
      </w:r>
      <w:r w:rsidR="00794206" w:rsidRPr="00D869E3">
        <w:rPr>
          <w:rFonts w:ascii="Verdana" w:hAnsi="Verdana" w:cs="Arial"/>
          <w:sz w:val="20"/>
          <w:szCs w:val="20"/>
          <w:lang w:val="en-US"/>
        </w:rPr>
        <w:t>adopted</w:t>
      </w:r>
      <w:r w:rsidR="00C01A96" w:rsidRPr="00D869E3">
        <w:rPr>
          <w:rFonts w:ascii="Verdana" w:hAnsi="Verdana" w:cs="Arial"/>
          <w:sz w:val="20"/>
          <w:szCs w:val="20"/>
          <w:lang w:val="en-US"/>
        </w:rPr>
        <w:t>.</w:t>
      </w:r>
    </w:p>
    <w:p w14:paraId="2397672D" w14:textId="6F52311A" w:rsidR="00E70701" w:rsidRPr="00D869E3" w:rsidRDefault="00E70701" w:rsidP="00C44F79">
      <w:pPr>
        <w:jc w:val="both"/>
        <w:rPr>
          <w:rFonts w:ascii="Verdana" w:hAnsi="Verdana" w:cs="Arial"/>
          <w:sz w:val="20"/>
          <w:szCs w:val="20"/>
          <w:lang w:val="en-US"/>
        </w:rPr>
      </w:pPr>
    </w:p>
    <w:p w14:paraId="025DF494" w14:textId="08D50D0F" w:rsidR="00E70701" w:rsidRPr="00D869E3" w:rsidRDefault="00C01A96" w:rsidP="00E70701">
      <w:pPr>
        <w:pStyle w:val="Prrafodelista"/>
        <w:numPr>
          <w:ilvl w:val="0"/>
          <w:numId w:val="37"/>
        </w:numPr>
        <w:ind w:left="0" w:firstLine="0"/>
        <w:jc w:val="both"/>
        <w:rPr>
          <w:rFonts w:ascii="Verdana" w:hAnsi="Verdana" w:cs="Arial"/>
          <w:sz w:val="20"/>
          <w:szCs w:val="20"/>
          <w:lang w:val="en-US"/>
        </w:rPr>
      </w:pPr>
      <w:r w:rsidRPr="00D869E3">
        <w:rPr>
          <w:rFonts w:ascii="Verdana" w:hAnsi="Verdana" w:cs="Arial"/>
          <w:sz w:val="20"/>
          <w:szCs w:val="20"/>
          <w:lang w:val="en-US"/>
        </w:rPr>
        <w:t xml:space="preserve">Regarding the first point, it is </w:t>
      </w:r>
      <w:r w:rsidR="00794206" w:rsidRPr="00D869E3">
        <w:rPr>
          <w:rFonts w:ascii="Verdana" w:hAnsi="Verdana" w:cs="Arial"/>
          <w:sz w:val="20"/>
          <w:szCs w:val="20"/>
          <w:lang w:val="en-US"/>
        </w:rPr>
        <w:t>evident</w:t>
      </w:r>
      <w:r w:rsidRPr="00D869E3">
        <w:rPr>
          <w:rFonts w:ascii="Verdana" w:hAnsi="Verdana" w:cs="Arial"/>
          <w:sz w:val="20"/>
          <w:szCs w:val="20"/>
          <w:lang w:val="en-US"/>
        </w:rPr>
        <w:t xml:space="preserve"> that courts must be consistent with their previous decisions</w:t>
      </w:r>
      <w:r w:rsidR="00794206" w:rsidRPr="00D869E3">
        <w:rPr>
          <w:rFonts w:ascii="Verdana" w:hAnsi="Verdana" w:cs="Arial"/>
          <w:sz w:val="20"/>
          <w:szCs w:val="20"/>
          <w:lang w:val="en-US"/>
        </w:rPr>
        <w:t>.</w:t>
      </w:r>
      <w:r w:rsidRPr="00D869E3">
        <w:rPr>
          <w:rFonts w:ascii="Verdana" w:hAnsi="Verdana" w:cs="Arial"/>
          <w:sz w:val="20"/>
          <w:szCs w:val="20"/>
          <w:lang w:val="en-US"/>
        </w:rPr>
        <w:t xml:space="preserve"> </w:t>
      </w:r>
      <w:r w:rsidR="00794206" w:rsidRPr="00D869E3">
        <w:rPr>
          <w:rFonts w:ascii="Verdana" w:hAnsi="Verdana" w:cs="Arial"/>
          <w:sz w:val="20"/>
          <w:szCs w:val="20"/>
          <w:lang w:val="en-US"/>
        </w:rPr>
        <w:t>T</w:t>
      </w:r>
      <w:r w:rsidRPr="00D869E3">
        <w:rPr>
          <w:rFonts w:ascii="Verdana" w:hAnsi="Verdana" w:cs="Arial"/>
          <w:sz w:val="20"/>
          <w:szCs w:val="20"/>
          <w:lang w:val="en-US"/>
        </w:rPr>
        <w:t xml:space="preserve">his is </w:t>
      </w:r>
      <w:r w:rsidR="00794206" w:rsidRPr="00D869E3">
        <w:rPr>
          <w:rFonts w:ascii="Verdana" w:hAnsi="Verdana" w:cs="Arial"/>
          <w:sz w:val="20"/>
          <w:szCs w:val="20"/>
          <w:lang w:val="en-US"/>
        </w:rPr>
        <w:t>a</w:t>
      </w:r>
      <w:r w:rsidRPr="00D869E3">
        <w:rPr>
          <w:rFonts w:ascii="Verdana" w:hAnsi="Verdana" w:cs="Arial"/>
          <w:sz w:val="20"/>
          <w:szCs w:val="20"/>
          <w:lang w:val="en-US"/>
        </w:rPr>
        <w:t xml:space="preserve"> basic requirement</w:t>
      </w:r>
      <w:r w:rsidR="00794206" w:rsidRPr="00D869E3">
        <w:rPr>
          <w:rFonts w:ascii="Verdana" w:hAnsi="Verdana" w:cs="Arial"/>
          <w:sz w:val="20"/>
          <w:szCs w:val="20"/>
          <w:lang w:val="en-US"/>
        </w:rPr>
        <w:t>,</w:t>
      </w:r>
      <w:r w:rsidRPr="00D869E3">
        <w:rPr>
          <w:rFonts w:ascii="Verdana" w:hAnsi="Verdana" w:cs="Arial"/>
          <w:sz w:val="20"/>
          <w:szCs w:val="20"/>
          <w:lang w:val="en-US"/>
        </w:rPr>
        <w:t xml:space="preserve"> not only from the perspective of the theory of legal arguments</w:t>
      </w:r>
      <w:r w:rsidR="00E70701" w:rsidRPr="00D869E3">
        <w:rPr>
          <w:rFonts w:ascii="Verdana" w:hAnsi="Verdana" w:cs="Arial"/>
          <w:sz w:val="20"/>
          <w:szCs w:val="20"/>
          <w:lang w:val="en-US"/>
        </w:rPr>
        <w:t>,</w:t>
      </w:r>
      <w:r w:rsidRPr="00D869E3">
        <w:rPr>
          <w:rFonts w:ascii="Verdana" w:hAnsi="Verdana" w:cs="Arial"/>
          <w:sz w:val="20"/>
          <w:szCs w:val="20"/>
          <w:lang w:val="en-US"/>
        </w:rPr>
        <w:t xml:space="preserve"> </w:t>
      </w:r>
      <w:r w:rsidR="00794206" w:rsidRPr="00D869E3">
        <w:rPr>
          <w:rFonts w:ascii="Verdana" w:hAnsi="Verdana" w:cs="Arial"/>
          <w:sz w:val="20"/>
          <w:szCs w:val="20"/>
          <w:lang w:val="en-US"/>
        </w:rPr>
        <w:t>but it is</w:t>
      </w:r>
      <w:r w:rsidRPr="00D869E3">
        <w:rPr>
          <w:rFonts w:ascii="Verdana" w:hAnsi="Verdana" w:cs="Arial"/>
          <w:sz w:val="20"/>
          <w:szCs w:val="20"/>
          <w:lang w:val="en-US"/>
        </w:rPr>
        <w:t xml:space="preserve"> also an essential element to ensure legal certainty and the effective application of the principle of equality between the</w:t>
      </w:r>
      <w:r w:rsidR="00E70701" w:rsidRPr="00D869E3">
        <w:rPr>
          <w:rFonts w:ascii="Verdana" w:hAnsi="Verdana" w:cs="Arial"/>
          <w:sz w:val="20"/>
          <w:szCs w:val="20"/>
          <w:lang w:val="en-US"/>
        </w:rPr>
        <w:t xml:space="preserve"> </w:t>
      </w:r>
      <w:r w:rsidRPr="00D869E3">
        <w:rPr>
          <w:rFonts w:ascii="Verdana" w:hAnsi="Verdana" w:cs="Arial"/>
          <w:sz w:val="20"/>
          <w:szCs w:val="20"/>
          <w:lang w:val="en-US"/>
        </w:rPr>
        <w:t xml:space="preserve">recipients of </w:t>
      </w:r>
      <w:r w:rsidR="00794206" w:rsidRPr="00D869E3">
        <w:rPr>
          <w:rFonts w:ascii="Verdana" w:hAnsi="Verdana" w:cs="Arial"/>
          <w:sz w:val="20"/>
          <w:szCs w:val="20"/>
          <w:lang w:val="en-US"/>
        </w:rPr>
        <w:t>their</w:t>
      </w:r>
      <w:r w:rsidRPr="00D869E3">
        <w:rPr>
          <w:rFonts w:ascii="Verdana" w:hAnsi="Verdana" w:cs="Arial"/>
          <w:sz w:val="20"/>
          <w:szCs w:val="20"/>
          <w:lang w:val="en-US"/>
        </w:rPr>
        <w:t xml:space="preserve"> decisions</w:t>
      </w:r>
      <w:r w:rsidR="00E70701" w:rsidRPr="00D869E3">
        <w:rPr>
          <w:rFonts w:ascii="Verdana" w:hAnsi="Verdana" w:cs="Arial"/>
          <w:sz w:val="20"/>
          <w:szCs w:val="20"/>
          <w:lang w:val="en-US"/>
        </w:rPr>
        <w:t>.</w:t>
      </w:r>
      <w:r w:rsidRPr="00D869E3">
        <w:rPr>
          <w:rFonts w:ascii="Verdana" w:hAnsi="Verdana" w:cs="Arial"/>
          <w:sz w:val="20"/>
          <w:szCs w:val="20"/>
          <w:lang w:val="en-US"/>
        </w:rPr>
        <w:t xml:space="preserve"> Sudden and unjustified changes in case law are arbitrary and undermine the legitimacy of judicial organs.</w:t>
      </w:r>
    </w:p>
    <w:p w14:paraId="697C9353" w14:textId="77777777" w:rsidR="00E70701" w:rsidRPr="00D869E3" w:rsidRDefault="00E70701" w:rsidP="00C44F79">
      <w:pPr>
        <w:pStyle w:val="Prrafodelista"/>
        <w:ind w:left="0"/>
        <w:jc w:val="both"/>
        <w:rPr>
          <w:rFonts w:ascii="Verdana" w:hAnsi="Verdana" w:cs="Arial"/>
          <w:sz w:val="20"/>
          <w:szCs w:val="20"/>
          <w:lang w:val="en-US"/>
        </w:rPr>
      </w:pPr>
    </w:p>
    <w:p w14:paraId="08432D1B" w14:textId="26BBDFEE" w:rsidR="00C01A96" w:rsidRPr="00D869E3" w:rsidRDefault="00C01A96" w:rsidP="00E70701">
      <w:pPr>
        <w:pStyle w:val="Prrafodelista"/>
        <w:numPr>
          <w:ilvl w:val="0"/>
          <w:numId w:val="37"/>
        </w:numPr>
        <w:ind w:left="0" w:firstLine="0"/>
        <w:jc w:val="both"/>
        <w:rPr>
          <w:rFonts w:ascii="Verdana" w:hAnsi="Verdana" w:cs="Arial"/>
          <w:sz w:val="20"/>
          <w:szCs w:val="20"/>
          <w:lang w:val="en-US"/>
        </w:rPr>
      </w:pPr>
      <w:r w:rsidRPr="00D869E3">
        <w:rPr>
          <w:rFonts w:ascii="Verdana" w:hAnsi="Verdana" w:cs="Arial"/>
          <w:sz w:val="20"/>
          <w:szCs w:val="20"/>
          <w:lang w:val="en-US"/>
        </w:rPr>
        <w:lastRenderedPageBreak/>
        <w:t xml:space="preserve">This means that, in this judgment, it was crucial to recognize that a change in case law was being made that moved away from the position </w:t>
      </w:r>
      <w:r w:rsidR="00794206" w:rsidRPr="00D869E3">
        <w:rPr>
          <w:rFonts w:ascii="Verdana" w:hAnsi="Verdana" w:cs="Arial"/>
          <w:sz w:val="20"/>
          <w:szCs w:val="20"/>
          <w:lang w:val="en-US"/>
        </w:rPr>
        <w:t>adopted</w:t>
      </w:r>
      <w:r w:rsidRPr="00D869E3">
        <w:rPr>
          <w:rFonts w:ascii="Verdana" w:hAnsi="Verdana" w:cs="Arial"/>
          <w:sz w:val="20"/>
          <w:szCs w:val="20"/>
          <w:lang w:val="en-US"/>
        </w:rPr>
        <w:t xml:space="preserve"> by the Inter-American Court in previous decisions in this regard, and also to explain with much more </w:t>
      </w:r>
      <w:r w:rsidR="00794206" w:rsidRPr="00D869E3">
        <w:rPr>
          <w:rFonts w:ascii="Verdana" w:hAnsi="Verdana" w:cs="Arial"/>
          <w:sz w:val="20"/>
          <w:szCs w:val="20"/>
          <w:lang w:val="en-US"/>
        </w:rPr>
        <w:t>substantial</w:t>
      </w:r>
      <w:r w:rsidRPr="00D869E3">
        <w:rPr>
          <w:rFonts w:ascii="Verdana" w:hAnsi="Verdana" w:cs="Arial"/>
          <w:sz w:val="20"/>
          <w:szCs w:val="20"/>
          <w:lang w:val="en-US"/>
        </w:rPr>
        <w:t xml:space="preserve"> grounds </w:t>
      </w:r>
      <w:r w:rsidR="00794206" w:rsidRPr="00D869E3">
        <w:rPr>
          <w:rFonts w:ascii="Verdana" w:hAnsi="Verdana" w:cs="Arial"/>
          <w:sz w:val="20"/>
          <w:szCs w:val="20"/>
          <w:lang w:val="en-US"/>
        </w:rPr>
        <w:t>t</w:t>
      </w:r>
      <w:r w:rsidRPr="00D869E3">
        <w:rPr>
          <w:rFonts w:ascii="Verdana" w:hAnsi="Verdana" w:cs="Arial"/>
          <w:sz w:val="20"/>
          <w:szCs w:val="20"/>
          <w:lang w:val="en-US"/>
        </w:rPr>
        <w:t xml:space="preserve">he reasons why it found it necessary to make this change. The values in play </w:t>
      </w:r>
      <w:r w:rsidR="00B029EC" w:rsidRPr="00D869E3">
        <w:rPr>
          <w:rFonts w:ascii="Verdana" w:hAnsi="Verdana" w:cs="Arial"/>
          <w:sz w:val="20"/>
          <w:szCs w:val="20"/>
          <w:lang w:val="en-US"/>
        </w:rPr>
        <w:t>a</w:t>
      </w:r>
      <w:r w:rsidRPr="00D869E3">
        <w:rPr>
          <w:rFonts w:ascii="Verdana" w:hAnsi="Verdana" w:cs="Arial"/>
          <w:sz w:val="20"/>
          <w:szCs w:val="20"/>
          <w:lang w:val="en-US"/>
        </w:rPr>
        <w:t>re legal certainty and the right to equality</w:t>
      </w:r>
      <w:r w:rsidR="00B029EC" w:rsidRPr="00D869E3">
        <w:rPr>
          <w:rFonts w:ascii="Verdana" w:hAnsi="Verdana" w:cs="Arial"/>
          <w:sz w:val="20"/>
          <w:szCs w:val="20"/>
          <w:lang w:val="en-US"/>
        </w:rPr>
        <w:t>; therefore,</w:t>
      </w:r>
      <w:r w:rsidRPr="00D869E3">
        <w:rPr>
          <w:rFonts w:ascii="Verdana" w:hAnsi="Verdana" w:cs="Arial"/>
          <w:sz w:val="20"/>
          <w:szCs w:val="20"/>
          <w:lang w:val="en-US"/>
        </w:rPr>
        <w:t xml:space="preserve"> the States and </w:t>
      </w:r>
      <w:r w:rsidR="00794206" w:rsidRPr="00D869E3">
        <w:rPr>
          <w:rFonts w:ascii="Verdana" w:hAnsi="Verdana" w:cs="Arial"/>
          <w:sz w:val="20"/>
          <w:szCs w:val="20"/>
          <w:lang w:val="en-US"/>
        </w:rPr>
        <w:t>everyone</w:t>
      </w:r>
      <w:r w:rsidRPr="00D869E3">
        <w:rPr>
          <w:rFonts w:ascii="Verdana" w:hAnsi="Verdana" w:cs="Arial"/>
          <w:sz w:val="20"/>
          <w:szCs w:val="20"/>
          <w:lang w:val="en-US"/>
        </w:rPr>
        <w:t xml:space="preserve"> subject to the jurisdiction of the American Convention </w:t>
      </w:r>
      <w:r w:rsidR="00794206" w:rsidRPr="00D869E3">
        <w:rPr>
          <w:rFonts w:ascii="Verdana" w:hAnsi="Verdana" w:cs="Arial"/>
          <w:sz w:val="20"/>
          <w:szCs w:val="20"/>
          <w:lang w:val="en-US"/>
        </w:rPr>
        <w:t>need to</w:t>
      </w:r>
      <w:r w:rsidRPr="00D869E3">
        <w:rPr>
          <w:rFonts w:ascii="Verdana" w:hAnsi="Verdana" w:cs="Arial"/>
          <w:sz w:val="20"/>
          <w:szCs w:val="20"/>
          <w:lang w:val="en-US"/>
        </w:rPr>
        <w:t xml:space="preserve"> understand the </w:t>
      </w:r>
      <w:r w:rsidR="00794206" w:rsidRPr="00D869E3">
        <w:rPr>
          <w:rFonts w:ascii="Verdana" w:hAnsi="Verdana" w:cs="Arial"/>
          <w:sz w:val="20"/>
          <w:szCs w:val="20"/>
          <w:lang w:val="en-US"/>
        </w:rPr>
        <w:t xml:space="preserve">compelling </w:t>
      </w:r>
      <w:r w:rsidRPr="00D869E3">
        <w:rPr>
          <w:rFonts w:ascii="Verdana" w:hAnsi="Verdana" w:cs="Arial"/>
          <w:sz w:val="20"/>
          <w:szCs w:val="20"/>
          <w:lang w:val="en-US"/>
        </w:rPr>
        <w:t xml:space="preserve">reasons that the Court had to change its precedent. </w:t>
      </w:r>
      <w:r w:rsidR="00B029EC" w:rsidRPr="00D869E3">
        <w:rPr>
          <w:rFonts w:ascii="Verdana" w:hAnsi="Verdana" w:cs="Arial"/>
          <w:sz w:val="20"/>
          <w:szCs w:val="20"/>
          <w:lang w:val="en-US"/>
        </w:rPr>
        <w:t xml:space="preserve">And this is especially relevant, </w:t>
      </w:r>
      <w:r w:rsidRPr="00D869E3">
        <w:rPr>
          <w:rFonts w:ascii="Verdana" w:hAnsi="Verdana" w:cs="Arial"/>
          <w:sz w:val="20"/>
          <w:szCs w:val="20"/>
          <w:lang w:val="en-US"/>
        </w:rPr>
        <w:t>if we consider that this is not just a simple change in case law because</w:t>
      </w:r>
      <w:r w:rsidR="00196CB2" w:rsidRPr="00D869E3">
        <w:rPr>
          <w:rFonts w:ascii="Verdana" w:hAnsi="Verdana" w:cs="Arial"/>
          <w:sz w:val="20"/>
          <w:szCs w:val="20"/>
          <w:lang w:val="en-US"/>
        </w:rPr>
        <w:t xml:space="preserve">, basically, </w:t>
      </w:r>
      <w:r w:rsidR="00B029EC" w:rsidRPr="00D869E3">
        <w:rPr>
          <w:rFonts w:ascii="Verdana" w:hAnsi="Verdana" w:cs="Arial"/>
          <w:sz w:val="20"/>
          <w:szCs w:val="20"/>
          <w:lang w:val="en-US"/>
        </w:rPr>
        <w:t xml:space="preserve">what </w:t>
      </w:r>
      <w:r w:rsidR="00196CB2" w:rsidRPr="00D869E3">
        <w:rPr>
          <w:rFonts w:ascii="Verdana" w:hAnsi="Verdana" w:cs="Arial"/>
          <w:sz w:val="20"/>
          <w:szCs w:val="20"/>
          <w:lang w:val="en-US"/>
        </w:rPr>
        <w:t xml:space="preserve">this judgment </w:t>
      </w:r>
      <w:r w:rsidR="00B029EC" w:rsidRPr="00D869E3">
        <w:rPr>
          <w:rFonts w:ascii="Verdana" w:hAnsi="Verdana" w:cs="Arial"/>
          <w:sz w:val="20"/>
          <w:szCs w:val="20"/>
          <w:lang w:val="en-US"/>
        </w:rPr>
        <w:t>does is modify</w:t>
      </w:r>
      <w:r w:rsidR="00196CB2" w:rsidRPr="00D869E3">
        <w:rPr>
          <w:rFonts w:ascii="Verdana" w:hAnsi="Verdana" w:cs="Arial"/>
          <w:sz w:val="20"/>
          <w:szCs w:val="20"/>
          <w:lang w:val="en-US"/>
        </w:rPr>
        <w:t xml:space="preserve"> the American Convention and, thereby,</w:t>
      </w:r>
      <w:r w:rsidR="00B029EC" w:rsidRPr="00D869E3">
        <w:rPr>
          <w:rFonts w:ascii="Verdana" w:hAnsi="Verdana" w:cs="Arial"/>
          <w:sz w:val="20"/>
          <w:szCs w:val="20"/>
          <w:lang w:val="en-US"/>
        </w:rPr>
        <w:t xml:space="preserve"> </w:t>
      </w:r>
      <w:r w:rsidR="00C22610" w:rsidRPr="00D869E3">
        <w:rPr>
          <w:rFonts w:ascii="Verdana" w:hAnsi="Verdana" w:cs="Arial"/>
          <w:sz w:val="20"/>
          <w:szCs w:val="20"/>
          <w:lang w:val="en-US"/>
        </w:rPr>
        <w:t>fundamentally</w:t>
      </w:r>
      <w:r w:rsidR="00196CB2" w:rsidRPr="00D869E3">
        <w:rPr>
          <w:rFonts w:ascii="Verdana" w:hAnsi="Verdana" w:cs="Arial"/>
          <w:sz w:val="20"/>
          <w:szCs w:val="20"/>
          <w:lang w:val="en-US"/>
        </w:rPr>
        <w:t xml:space="preserve"> transform</w:t>
      </w:r>
      <w:r w:rsidR="00C22610" w:rsidRPr="00D869E3">
        <w:rPr>
          <w:rFonts w:ascii="Verdana" w:hAnsi="Verdana" w:cs="Arial"/>
          <w:sz w:val="20"/>
          <w:szCs w:val="20"/>
          <w:lang w:val="en-US"/>
        </w:rPr>
        <w:t>s</w:t>
      </w:r>
      <w:r w:rsidR="00196CB2" w:rsidRPr="00D869E3">
        <w:rPr>
          <w:rFonts w:ascii="Verdana" w:hAnsi="Verdana" w:cs="Arial"/>
          <w:sz w:val="20"/>
          <w:szCs w:val="20"/>
          <w:lang w:val="en-US"/>
        </w:rPr>
        <w:t xml:space="preserve"> the system </w:t>
      </w:r>
      <w:r w:rsidR="00C22610" w:rsidRPr="00D869E3">
        <w:rPr>
          <w:rFonts w:ascii="Verdana" w:hAnsi="Verdana" w:cs="Arial"/>
          <w:sz w:val="20"/>
          <w:szCs w:val="20"/>
          <w:lang w:val="en-US"/>
        </w:rPr>
        <w:t>of</w:t>
      </w:r>
      <w:r w:rsidR="00196CB2" w:rsidRPr="00D869E3">
        <w:rPr>
          <w:rFonts w:ascii="Verdana" w:hAnsi="Verdana" w:cs="Arial"/>
          <w:sz w:val="20"/>
          <w:szCs w:val="20"/>
          <w:lang w:val="en-US"/>
        </w:rPr>
        <w:t xml:space="preserve"> inter-American justice.</w:t>
      </w:r>
    </w:p>
    <w:p w14:paraId="31EFCB01" w14:textId="6AB4C55F" w:rsidR="00E70701" w:rsidRPr="00D869E3" w:rsidRDefault="00E70701" w:rsidP="00C44F79">
      <w:pPr>
        <w:pStyle w:val="Prrafodelista"/>
        <w:jc w:val="both"/>
        <w:rPr>
          <w:rFonts w:ascii="Verdana" w:hAnsi="Verdana" w:cs="Arial"/>
          <w:b/>
          <w:sz w:val="20"/>
          <w:szCs w:val="20"/>
          <w:lang w:val="en-US"/>
        </w:rPr>
      </w:pPr>
    </w:p>
    <w:p w14:paraId="66A5367F" w14:textId="794B0691" w:rsidR="00196CB2" w:rsidRPr="00D869E3" w:rsidRDefault="00C22610" w:rsidP="00196CB2">
      <w:pPr>
        <w:pStyle w:val="Prrafodelista"/>
        <w:numPr>
          <w:ilvl w:val="0"/>
          <w:numId w:val="37"/>
        </w:numPr>
        <w:ind w:left="0" w:firstLine="0"/>
        <w:jc w:val="both"/>
        <w:rPr>
          <w:rFonts w:ascii="Verdana" w:hAnsi="Verdana" w:cs="Arial"/>
          <w:sz w:val="20"/>
          <w:szCs w:val="20"/>
          <w:lang w:val="en-US"/>
        </w:rPr>
      </w:pPr>
      <w:r w:rsidRPr="00D869E3">
        <w:rPr>
          <w:rFonts w:ascii="Verdana" w:hAnsi="Verdana" w:cs="Arial"/>
          <w:sz w:val="20"/>
          <w:szCs w:val="20"/>
          <w:lang w:val="en-US"/>
        </w:rPr>
        <w:t>In relation to</w:t>
      </w:r>
      <w:r w:rsidR="00196CB2" w:rsidRPr="00D869E3">
        <w:rPr>
          <w:rFonts w:ascii="Verdana" w:hAnsi="Verdana" w:cs="Arial"/>
          <w:sz w:val="20"/>
          <w:szCs w:val="20"/>
          <w:lang w:val="en-US"/>
        </w:rPr>
        <w:t xml:space="preserve"> the second point, the judgment not only</w:t>
      </w:r>
      <w:r w:rsidRPr="00D869E3">
        <w:rPr>
          <w:rFonts w:ascii="Verdana" w:hAnsi="Verdana" w:cs="Arial"/>
          <w:sz w:val="20"/>
          <w:szCs w:val="20"/>
          <w:lang w:val="en-US"/>
        </w:rPr>
        <w:t xml:space="preserve"> </w:t>
      </w:r>
      <w:r w:rsidR="004204B2">
        <w:rPr>
          <w:rFonts w:ascii="Verdana" w:hAnsi="Verdana" w:cs="Arial"/>
          <w:sz w:val="20"/>
          <w:szCs w:val="20"/>
          <w:lang w:val="en-US"/>
        </w:rPr>
        <w:t xml:space="preserve">fails to recognize that it was </w:t>
      </w:r>
      <w:r w:rsidR="00196CB2" w:rsidRPr="00D869E3">
        <w:rPr>
          <w:rFonts w:ascii="Verdana" w:hAnsi="Verdana" w:cs="Arial"/>
          <w:sz w:val="20"/>
          <w:szCs w:val="20"/>
          <w:lang w:val="en-US"/>
        </w:rPr>
        <w:t>mak</w:t>
      </w:r>
      <w:r w:rsidR="004204B2">
        <w:rPr>
          <w:rFonts w:ascii="Verdana" w:hAnsi="Verdana" w:cs="Arial"/>
          <w:sz w:val="20"/>
          <w:szCs w:val="20"/>
          <w:lang w:val="en-US"/>
        </w:rPr>
        <w:t>ing</w:t>
      </w:r>
      <w:r w:rsidR="00196CB2" w:rsidRPr="00D869E3">
        <w:rPr>
          <w:rFonts w:ascii="Verdana" w:hAnsi="Verdana" w:cs="Arial"/>
          <w:sz w:val="20"/>
          <w:szCs w:val="20"/>
          <w:lang w:val="en-US"/>
        </w:rPr>
        <w:t xml:space="preserve"> a change in case law, but also seeks to make the reader believe that what it is doing is a repetition of </w:t>
      </w:r>
      <w:r w:rsidR="00CF146F" w:rsidRPr="00D869E3">
        <w:rPr>
          <w:rFonts w:ascii="Verdana" w:hAnsi="Verdana" w:cs="Arial"/>
          <w:sz w:val="20"/>
          <w:szCs w:val="20"/>
          <w:lang w:val="en-US"/>
        </w:rPr>
        <w:t xml:space="preserve">its </w:t>
      </w:r>
      <w:r w:rsidR="00196CB2" w:rsidRPr="00D869E3">
        <w:rPr>
          <w:rFonts w:ascii="Verdana" w:hAnsi="Verdana" w:cs="Arial"/>
          <w:sz w:val="20"/>
          <w:szCs w:val="20"/>
          <w:lang w:val="en-US"/>
        </w:rPr>
        <w:t xml:space="preserve">case law. In this regard, </w:t>
      </w:r>
      <w:r w:rsidRPr="00D869E3">
        <w:rPr>
          <w:rFonts w:ascii="Verdana" w:hAnsi="Verdana" w:cs="Arial"/>
          <w:sz w:val="20"/>
          <w:szCs w:val="20"/>
          <w:lang w:val="en-US"/>
        </w:rPr>
        <w:t>starting in</w:t>
      </w:r>
      <w:r w:rsidR="00196CB2" w:rsidRPr="00D869E3">
        <w:rPr>
          <w:rFonts w:ascii="Verdana" w:hAnsi="Verdana" w:cs="Arial"/>
          <w:sz w:val="20"/>
          <w:szCs w:val="20"/>
          <w:lang w:val="en-US"/>
        </w:rPr>
        <w:t xml:space="preserve"> paragraph 141 of the judgment, the Court begins to affirm that it is reiterating its case law in cases such as </w:t>
      </w:r>
      <w:r w:rsidR="00E70701" w:rsidRPr="00D869E3">
        <w:rPr>
          <w:rFonts w:ascii="Verdana" w:hAnsi="Verdana" w:cs="Arial"/>
          <w:sz w:val="20"/>
          <w:szCs w:val="20"/>
          <w:lang w:val="en-US"/>
        </w:rPr>
        <w:t xml:space="preserve">Acevedo Buendía, </w:t>
      </w:r>
      <w:r w:rsidR="00196CB2" w:rsidRPr="00D869E3">
        <w:rPr>
          <w:rFonts w:ascii="Verdana" w:hAnsi="Verdana" w:cs="Arial"/>
          <w:sz w:val="20"/>
          <w:szCs w:val="20"/>
          <w:lang w:val="en-US"/>
        </w:rPr>
        <w:t>which, as is well-known, is not a case in which the Court reached the conclusion that Article 26 of the ACHR had been violated.</w:t>
      </w:r>
    </w:p>
    <w:p w14:paraId="0BE82E20" w14:textId="77777777" w:rsidR="00E70701" w:rsidRPr="00D869E3" w:rsidRDefault="00E70701" w:rsidP="00C44F79">
      <w:pPr>
        <w:jc w:val="both"/>
        <w:rPr>
          <w:rFonts w:ascii="Verdana" w:hAnsi="Verdana"/>
          <w:sz w:val="20"/>
          <w:szCs w:val="20"/>
          <w:lang w:val="en-US"/>
        </w:rPr>
      </w:pPr>
    </w:p>
    <w:p w14:paraId="653E2810" w14:textId="2C35CFE8" w:rsidR="00E70701" w:rsidRPr="00D869E3" w:rsidRDefault="00196CB2" w:rsidP="00196CB2">
      <w:pPr>
        <w:pStyle w:val="Prrafodelista"/>
        <w:numPr>
          <w:ilvl w:val="0"/>
          <w:numId w:val="37"/>
        </w:numPr>
        <w:ind w:left="0" w:firstLine="0"/>
        <w:jc w:val="both"/>
        <w:rPr>
          <w:rFonts w:ascii="Verdana" w:hAnsi="Verdana" w:cs="Arial"/>
          <w:sz w:val="20"/>
          <w:szCs w:val="20"/>
          <w:lang w:val="en-US"/>
        </w:rPr>
      </w:pPr>
      <w:r w:rsidRPr="00D869E3">
        <w:rPr>
          <w:rFonts w:ascii="Verdana" w:hAnsi="Verdana"/>
          <w:sz w:val="20"/>
          <w:szCs w:val="20"/>
          <w:lang w:val="en-US"/>
        </w:rPr>
        <w:t>Regarding the case of</w:t>
      </w:r>
      <w:r w:rsidR="00E70701" w:rsidRPr="00D869E3">
        <w:rPr>
          <w:rFonts w:ascii="Verdana" w:hAnsi="Verdana"/>
          <w:sz w:val="20"/>
          <w:szCs w:val="20"/>
          <w:lang w:val="en-US"/>
        </w:rPr>
        <w:t xml:space="preserve"> </w:t>
      </w:r>
      <w:r w:rsidR="00E70701" w:rsidRPr="00D869E3">
        <w:rPr>
          <w:rFonts w:ascii="Verdana" w:hAnsi="Verdana"/>
          <w:i/>
          <w:sz w:val="20"/>
          <w:szCs w:val="20"/>
          <w:lang w:val="en-US"/>
        </w:rPr>
        <w:t>Acevedo Buendía</w:t>
      </w:r>
      <w:r w:rsidR="00687684" w:rsidRPr="00D869E3">
        <w:rPr>
          <w:rFonts w:ascii="Verdana" w:hAnsi="Verdana"/>
          <w:i/>
          <w:sz w:val="20"/>
          <w:szCs w:val="20"/>
          <w:lang w:val="en-US"/>
        </w:rPr>
        <w:t xml:space="preserve"> </w:t>
      </w:r>
      <w:r w:rsidR="00301DBE" w:rsidRPr="00D869E3">
        <w:rPr>
          <w:rFonts w:ascii="Verdana" w:hAnsi="Verdana"/>
          <w:i/>
          <w:sz w:val="20"/>
          <w:szCs w:val="20"/>
          <w:lang w:val="en-US"/>
        </w:rPr>
        <w:t>et al. v.</w:t>
      </w:r>
      <w:r w:rsidR="00E70701" w:rsidRPr="00D869E3">
        <w:rPr>
          <w:rFonts w:ascii="Verdana" w:hAnsi="Verdana"/>
          <w:i/>
          <w:sz w:val="20"/>
          <w:szCs w:val="20"/>
          <w:lang w:val="en-US"/>
        </w:rPr>
        <w:t xml:space="preserve"> </w:t>
      </w:r>
      <w:r w:rsidR="00447C65" w:rsidRPr="00D869E3">
        <w:rPr>
          <w:rFonts w:ascii="Verdana" w:hAnsi="Verdana"/>
          <w:i/>
          <w:sz w:val="20"/>
          <w:szCs w:val="20"/>
          <w:lang w:val="en-US"/>
        </w:rPr>
        <w:t>Peru</w:t>
      </w:r>
      <w:r w:rsidRPr="00D869E3">
        <w:rPr>
          <w:rFonts w:ascii="Verdana" w:hAnsi="Verdana"/>
          <w:i/>
          <w:sz w:val="20"/>
          <w:szCs w:val="20"/>
          <w:lang w:val="en-US"/>
        </w:rPr>
        <w:t>,</w:t>
      </w:r>
      <w:r w:rsidR="00E70701" w:rsidRPr="00D869E3">
        <w:rPr>
          <w:rFonts w:ascii="Verdana" w:hAnsi="Verdana"/>
          <w:sz w:val="20"/>
          <w:szCs w:val="20"/>
          <w:lang w:val="en-US"/>
        </w:rPr>
        <w:t xml:space="preserve"> </w:t>
      </w:r>
      <w:r w:rsidRPr="00D869E3">
        <w:rPr>
          <w:rFonts w:ascii="Verdana" w:hAnsi="Verdana"/>
          <w:sz w:val="20"/>
          <w:szCs w:val="20"/>
          <w:lang w:val="en-US"/>
        </w:rPr>
        <w:t xml:space="preserve">I repeat that, in my opinion, the scope that the Court has tried to give to this judgment is excessive. First, in that judgment, the Court did not declare the violation of Article 26 and the </w:t>
      </w:r>
      <w:r w:rsidR="00ED1CBD" w:rsidRPr="00D869E3">
        <w:rPr>
          <w:rFonts w:ascii="Verdana" w:hAnsi="Verdana"/>
          <w:sz w:val="20"/>
          <w:szCs w:val="20"/>
          <w:lang w:val="en-US"/>
        </w:rPr>
        <w:t>analysis</w:t>
      </w:r>
      <w:r w:rsidRPr="00D869E3">
        <w:rPr>
          <w:rFonts w:ascii="Verdana" w:hAnsi="Verdana"/>
          <w:sz w:val="20"/>
          <w:szCs w:val="20"/>
          <w:lang w:val="en-US"/>
        </w:rPr>
        <w:t xml:space="preserve"> made was precisely </w:t>
      </w:r>
      <w:r w:rsidR="00ED1CBD" w:rsidRPr="00D869E3">
        <w:rPr>
          <w:rFonts w:ascii="Verdana" w:hAnsi="Verdana"/>
          <w:sz w:val="20"/>
          <w:szCs w:val="20"/>
          <w:lang w:val="en-US"/>
        </w:rPr>
        <w:t>with regard to</w:t>
      </w:r>
      <w:r w:rsidRPr="00D869E3">
        <w:rPr>
          <w:rFonts w:ascii="Verdana" w:hAnsi="Verdana"/>
          <w:sz w:val="20"/>
          <w:szCs w:val="20"/>
          <w:lang w:val="en-US"/>
        </w:rPr>
        <w:t xml:space="preserve"> the obligation of progressive development, and not the direct enforceability of any right in particular. Second, that judgment did not define or clarify which ESCR it was protecting, or its scope or minimum content. Third, even if the Court wishe</w:t>
      </w:r>
      <w:r w:rsidR="00002AEC" w:rsidRPr="00D869E3">
        <w:rPr>
          <w:rFonts w:ascii="Verdana" w:hAnsi="Verdana"/>
          <w:sz w:val="20"/>
          <w:szCs w:val="20"/>
          <w:lang w:val="en-US"/>
        </w:rPr>
        <w:t>d</w:t>
      </w:r>
      <w:r w:rsidRPr="00D869E3">
        <w:rPr>
          <w:rFonts w:ascii="Verdana" w:hAnsi="Verdana"/>
          <w:sz w:val="20"/>
          <w:szCs w:val="20"/>
          <w:lang w:val="en-US"/>
        </w:rPr>
        <w:t xml:space="preserve"> to derive some type of direct justiciability from the assertion that the obligations to respect and to ensure rights are applicable to Article 26 of the Convention, it should be stressed that such assertions </w:t>
      </w:r>
      <w:r w:rsidR="00002AEC" w:rsidRPr="00D869E3">
        <w:rPr>
          <w:rFonts w:ascii="Verdana" w:hAnsi="Verdana"/>
          <w:sz w:val="20"/>
          <w:szCs w:val="20"/>
          <w:lang w:val="en-US"/>
        </w:rPr>
        <w:t>we</w:t>
      </w:r>
      <w:r w:rsidRPr="00D869E3">
        <w:rPr>
          <w:rFonts w:ascii="Verdana" w:hAnsi="Verdana"/>
          <w:sz w:val="20"/>
          <w:szCs w:val="20"/>
          <w:lang w:val="en-US"/>
        </w:rPr>
        <w:t xml:space="preserve">re an </w:t>
      </w:r>
      <w:r w:rsidRPr="00D869E3">
        <w:rPr>
          <w:rFonts w:ascii="Verdana" w:hAnsi="Verdana"/>
          <w:i/>
          <w:sz w:val="20"/>
          <w:szCs w:val="20"/>
          <w:lang w:val="en-US"/>
        </w:rPr>
        <w:t>obiter dictum</w:t>
      </w:r>
      <w:r w:rsidRPr="00D869E3">
        <w:rPr>
          <w:rFonts w:ascii="Verdana" w:hAnsi="Verdana"/>
          <w:sz w:val="20"/>
          <w:szCs w:val="20"/>
          <w:lang w:val="en-US"/>
        </w:rPr>
        <w:t xml:space="preserve"> of th</w:t>
      </w:r>
      <w:r w:rsidR="00002AEC" w:rsidRPr="00D869E3">
        <w:rPr>
          <w:rFonts w:ascii="Verdana" w:hAnsi="Verdana"/>
          <w:sz w:val="20"/>
          <w:szCs w:val="20"/>
          <w:lang w:val="en-US"/>
        </w:rPr>
        <w:t>at</w:t>
      </w:r>
      <w:r w:rsidRPr="00D869E3">
        <w:rPr>
          <w:rFonts w:ascii="Verdana" w:hAnsi="Verdana"/>
          <w:sz w:val="20"/>
          <w:szCs w:val="20"/>
          <w:lang w:val="en-US"/>
        </w:rPr>
        <w:t xml:space="preserve"> judgment, because they ha</w:t>
      </w:r>
      <w:r w:rsidR="00002AEC" w:rsidRPr="00D869E3">
        <w:rPr>
          <w:rFonts w:ascii="Verdana" w:hAnsi="Verdana"/>
          <w:sz w:val="20"/>
          <w:szCs w:val="20"/>
          <w:lang w:val="en-US"/>
        </w:rPr>
        <w:t>d</w:t>
      </w:r>
      <w:r w:rsidRPr="00D869E3">
        <w:rPr>
          <w:rFonts w:ascii="Verdana" w:hAnsi="Verdana"/>
          <w:sz w:val="20"/>
          <w:szCs w:val="20"/>
          <w:lang w:val="en-US"/>
        </w:rPr>
        <w:t xml:space="preserve"> no direct relationship to the final decision which was not to declare a violation of</w:t>
      </w:r>
      <w:r w:rsidRPr="00D869E3">
        <w:rPr>
          <w:rFonts w:ascii="Verdana" w:hAnsi="Verdana" w:cs="Arial"/>
          <w:sz w:val="20"/>
          <w:szCs w:val="20"/>
          <w:lang w:val="en-US"/>
        </w:rPr>
        <w:t xml:space="preserve"> </w:t>
      </w:r>
      <w:r w:rsidR="00447C65" w:rsidRPr="00D869E3">
        <w:rPr>
          <w:rFonts w:ascii="Verdana" w:hAnsi="Verdana"/>
          <w:sz w:val="20"/>
          <w:szCs w:val="20"/>
          <w:lang w:val="en-US"/>
        </w:rPr>
        <w:t>Article</w:t>
      </w:r>
      <w:r w:rsidR="00E70701" w:rsidRPr="00D869E3">
        <w:rPr>
          <w:rFonts w:ascii="Verdana" w:hAnsi="Verdana"/>
          <w:sz w:val="20"/>
          <w:szCs w:val="20"/>
          <w:lang w:val="en-US"/>
        </w:rPr>
        <w:t xml:space="preserve"> 26</w:t>
      </w:r>
      <w:r w:rsidR="00002AEC" w:rsidRPr="00D869E3">
        <w:rPr>
          <w:rFonts w:ascii="Verdana" w:hAnsi="Verdana"/>
          <w:sz w:val="20"/>
          <w:szCs w:val="20"/>
          <w:lang w:val="en-US"/>
        </w:rPr>
        <w:t>.</w:t>
      </w:r>
      <w:r w:rsidR="00E70701" w:rsidRPr="00D869E3">
        <w:rPr>
          <w:rStyle w:val="Refdenotaalpie"/>
          <w:szCs w:val="20"/>
          <w:lang w:val="en-US"/>
        </w:rPr>
        <w:footnoteReference w:id="463"/>
      </w:r>
      <w:r w:rsidR="00002AEC" w:rsidRPr="00D869E3">
        <w:rPr>
          <w:rFonts w:ascii="Verdana" w:hAnsi="Verdana"/>
          <w:sz w:val="20"/>
          <w:szCs w:val="20"/>
          <w:lang w:val="en-US"/>
        </w:rPr>
        <w:t xml:space="preserve"> In addition, this element</w:t>
      </w:r>
      <w:r w:rsidR="00E70701" w:rsidRPr="00D869E3">
        <w:rPr>
          <w:rFonts w:ascii="Verdana" w:hAnsi="Verdana"/>
          <w:sz w:val="20"/>
          <w:szCs w:val="20"/>
          <w:lang w:val="en-US"/>
        </w:rPr>
        <w:t xml:space="preserve"> </w:t>
      </w:r>
      <w:r w:rsidR="000C55DD" w:rsidRPr="00D869E3">
        <w:rPr>
          <w:rFonts w:ascii="Verdana" w:hAnsi="Verdana"/>
          <w:sz w:val="20"/>
          <w:szCs w:val="20"/>
          <w:lang w:val="en-US"/>
        </w:rPr>
        <w:t>of the judgment</w:t>
      </w:r>
      <w:r w:rsidR="00E70701" w:rsidRPr="00D869E3">
        <w:rPr>
          <w:rFonts w:ascii="Verdana" w:hAnsi="Verdana"/>
          <w:sz w:val="20"/>
          <w:szCs w:val="20"/>
          <w:lang w:val="en-US"/>
        </w:rPr>
        <w:t xml:space="preserve"> </w:t>
      </w:r>
      <w:r w:rsidR="00002AEC" w:rsidRPr="00D869E3">
        <w:rPr>
          <w:rFonts w:ascii="Verdana" w:hAnsi="Verdana"/>
          <w:sz w:val="20"/>
          <w:szCs w:val="20"/>
          <w:lang w:val="en-US"/>
        </w:rPr>
        <w:t>has not been reiterated in the Court’s subsequent case law up until this case, so that it could not be considered a reiterated precedent.</w:t>
      </w:r>
    </w:p>
    <w:p w14:paraId="1C93CE9F" w14:textId="77777777" w:rsidR="00E70701" w:rsidRPr="00D869E3" w:rsidRDefault="00E70701" w:rsidP="00C44F79">
      <w:pPr>
        <w:pStyle w:val="Prrafodelista"/>
        <w:ind w:left="0"/>
        <w:jc w:val="both"/>
        <w:rPr>
          <w:rFonts w:ascii="Verdana" w:hAnsi="Verdana" w:cs="Arial"/>
          <w:sz w:val="20"/>
          <w:szCs w:val="20"/>
          <w:lang w:val="en-US"/>
        </w:rPr>
      </w:pPr>
    </w:p>
    <w:p w14:paraId="6D6A774F" w14:textId="08A21657" w:rsidR="00E70701" w:rsidRPr="00D869E3" w:rsidRDefault="001268E2" w:rsidP="00E70701">
      <w:pPr>
        <w:pStyle w:val="Prrafodelista"/>
        <w:numPr>
          <w:ilvl w:val="0"/>
          <w:numId w:val="39"/>
        </w:numPr>
        <w:jc w:val="both"/>
        <w:rPr>
          <w:rFonts w:ascii="Verdana" w:hAnsi="Verdana" w:cs="Arial"/>
          <w:b/>
          <w:sz w:val="20"/>
          <w:szCs w:val="20"/>
          <w:lang w:val="en-US"/>
        </w:rPr>
      </w:pPr>
      <w:r w:rsidRPr="00D869E3">
        <w:rPr>
          <w:rFonts w:ascii="Verdana" w:hAnsi="Verdana" w:cs="Arial"/>
          <w:b/>
          <w:sz w:val="20"/>
          <w:szCs w:val="20"/>
          <w:lang w:val="en-US"/>
        </w:rPr>
        <w:t>Use of a single method of interpretation to reach the decision</w:t>
      </w:r>
    </w:p>
    <w:p w14:paraId="287011D4" w14:textId="77777777" w:rsidR="00E70701" w:rsidRPr="00D869E3" w:rsidRDefault="00E70701" w:rsidP="00C44F79">
      <w:pPr>
        <w:pStyle w:val="Prrafodelista"/>
        <w:ind w:left="0"/>
        <w:jc w:val="both"/>
        <w:rPr>
          <w:rFonts w:ascii="Verdana" w:hAnsi="Verdana" w:cs="Arial"/>
          <w:sz w:val="20"/>
          <w:szCs w:val="20"/>
          <w:lang w:val="en-US"/>
        </w:rPr>
      </w:pPr>
    </w:p>
    <w:p w14:paraId="791DE7B7" w14:textId="7B317697" w:rsidR="009D5358" w:rsidRPr="00D869E3" w:rsidRDefault="009D5358" w:rsidP="00E70701">
      <w:pPr>
        <w:pStyle w:val="Prrafodelista"/>
        <w:numPr>
          <w:ilvl w:val="0"/>
          <w:numId w:val="37"/>
        </w:numPr>
        <w:ind w:left="0" w:firstLine="0"/>
        <w:jc w:val="both"/>
        <w:rPr>
          <w:rFonts w:ascii="Verdana" w:hAnsi="Verdana" w:cs="Arial"/>
          <w:sz w:val="20"/>
          <w:szCs w:val="20"/>
          <w:lang w:val="en-US"/>
        </w:rPr>
      </w:pPr>
      <w:r w:rsidRPr="00D869E3">
        <w:rPr>
          <w:rFonts w:ascii="Verdana" w:hAnsi="Verdana" w:cs="Arial"/>
          <w:sz w:val="20"/>
          <w:szCs w:val="20"/>
          <w:lang w:val="en-US"/>
        </w:rPr>
        <w:t xml:space="preserve">That said, the second </w:t>
      </w:r>
      <w:r w:rsidR="00ED1CBD" w:rsidRPr="00D869E3">
        <w:rPr>
          <w:rFonts w:ascii="Verdana" w:hAnsi="Verdana" w:cs="Arial"/>
          <w:sz w:val="20"/>
          <w:szCs w:val="20"/>
          <w:lang w:val="en-US"/>
        </w:rPr>
        <w:t>flaw</w:t>
      </w:r>
      <w:r w:rsidRPr="00D869E3">
        <w:rPr>
          <w:rFonts w:ascii="Verdana" w:hAnsi="Verdana" w:cs="Arial"/>
          <w:sz w:val="20"/>
          <w:szCs w:val="20"/>
          <w:lang w:val="en-US"/>
        </w:rPr>
        <w:t xml:space="preserve"> in the arguments centers upon the use of a single interpretation method to interpret the treaty. As mentioned previously in this opinion, the exclusive use of “evolutive interpretation” disregards the fact that to make an interpretation that is in keeping with the treaty and that is not arbitrary, all the methods of interpretation described in Articles 31 and 32 of the Vienna Convention should be applied simultaneously. Thus, this simple omission, that moves away from the type of analysis that the Inter-American Court usually makes when it is faced with the need to interpret the American Convention is, in itself, an inexcusable error.</w:t>
      </w:r>
    </w:p>
    <w:p w14:paraId="431CBC5B" w14:textId="77777777" w:rsidR="00E70701" w:rsidRPr="00D869E3" w:rsidRDefault="00E70701" w:rsidP="00C44F79">
      <w:pPr>
        <w:pStyle w:val="Prrafodelista"/>
        <w:ind w:left="0"/>
        <w:jc w:val="both"/>
        <w:rPr>
          <w:rFonts w:ascii="Verdana" w:hAnsi="Verdana" w:cs="Arial"/>
          <w:sz w:val="20"/>
          <w:szCs w:val="20"/>
          <w:lang w:val="en-US"/>
        </w:rPr>
      </w:pPr>
    </w:p>
    <w:p w14:paraId="75110699" w14:textId="141E5D30" w:rsidR="009D5358" w:rsidRPr="00D869E3" w:rsidRDefault="009D5358" w:rsidP="00E70701">
      <w:pPr>
        <w:pStyle w:val="Prrafodelista"/>
        <w:numPr>
          <w:ilvl w:val="0"/>
          <w:numId w:val="37"/>
        </w:numPr>
        <w:ind w:left="0" w:firstLine="0"/>
        <w:jc w:val="both"/>
        <w:rPr>
          <w:rFonts w:ascii="Verdana" w:hAnsi="Verdana" w:cs="Arial"/>
          <w:sz w:val="20"/>
          <w:szCs w:val="20"/>
          <w:lang w:val="en-US"/>
        </w:rPr>
      </w:pPr>
      <w:r w:rsidRPr="00D869E3">
        <w:rPr>
          <w:rFonts w:ascii="Verdana" w:hAnsi="Verdana"/>
          <w:sz w:val="20"/>
          <w:szCs w:val="20"/>
          <w:lang w:val="en-US" w:eastAsia="de-DE"/>
        </w:rPr>
        <w:t xml:space="preserve">In addition, and with regard to the definition of evolutive interpretation, </w:t>
      </w:r>
      <w:r w:rsidR="00447C65" w:rsidRPr="00D869E3">
        <w:rPr>
          <w:rFonts w:ascii="Verdana" w:hAnsi="Verdana"/>
          <w:sz w:val="20"/>
          <w:szCs w:val="20"/>
          <w:lang w:val="en-US" w:eastAsia="de-DE"/>
        </w:rPr>
        <w:t>the Inter-American Court</w:t>
      </w:r>
      <w:r w:rsidR="00E70701" w:rsidRPr="00D869E3">
        <w:rPr>
          <w:rFonts w:ascii="Verdana" w:hAnsi="Verdana"/>
          <w:sz w:val="20"/>
          <w:szCs w:val="20"/>
          <w:lang w:val="en-US" w:eastAsia="de-DE"/>
        </w:rPr>
        <w:t xml:space="preserve"> ha</w:t>
      </w:r>
      <w:r w:rsidRPr="00D869E3">
        <w:rPr>
          <w:rFonts w:ascii="Verdana" w:hAnsi="Verdana"/>
          <w:sz w:val="20"/>
          <w:szCs w:val="20"/>
          <w:lang w:val="en-US" w:eastAsia="de-DE"/>
        </w:rPr>
        <w:t>s indicated on various occasions</w:t>
      </w:r>
      <w:r w:rsidR="00E70701" w:rsidRPr="00D869E3">
        <w:rPr>
          <w:rFonts w:ascii="Verdana" w:hAnsi="Verdana"/>
          <w:sz w:val="20"/>
          <w:szCs w:val="20"/>
          <w:vertAlign w:val="superscript"/>
          <w:lang w:val="en-US" w:eastAsia="de-DE"/>
        </w:rPr>
        <w:footnoteReference w:id="464"/>
      </w:r>
      <w:r w:rsidRPr="00D869E3">
        <w:rPr>
          <w:rFonts w:ascii="Verdana" w:hAnsi="Verdana"/>
          <w:sz w:val="20"/>
          <w:szCs w:val="20"/>
          <w:lang w:val="en-US" w:eastAsia="de-DE"/>
        </w:rPr>
        <w:t xml:space="preserve"> that human rights treaties are living </w:t>
      </w:r>
      <w:r w:rsidRPr="00D869E3">
        <w:rPr>
          <w:rFonts w:ascii="Verdana" w:hAnsi="Verdana"/>
          <w:sz w:val="20"/>
          <w:szCs w:val="20"/>
          <w:lang w:val="en-US" w:eastAsia="de-DE"/>
        </w:rPr>
        <w:lastRenderedPageBreak/>
        <w:t>instruments the interpretation of which must evolve with the passage of time and contemporary conditions.</w:t>
      </w:r>
      <w:r w:rsidR="00E70701" w:rsidRPr="00D869E3">
        <w:rPr>
          <w:rFonts w:ascii="Verdana" w:hAnsi="Verdana"/>
          <w:sz w:val="20"/>
          <w:szCs w:val="20"/>
          <w:lang w:val="en-US" w:eastAsia="de-DE"/>
        </w:rPr>
        <w:t xml:space="preserve"> </w:t>
      </w:r>
      <w:r w:rsidRPr="00D869E3">
        <w:rPr>
          <w:rFonts w:ascii="Verdana" w:hAnsi="Verdana"/>
          <w:sz w:val="20"/>
          <w:szCs w:val="20"/>
          <w:lang w:val="en-US" w:eastAsia="de-DE"/>
        </w:rPr>
        <w:t>It has also asserted that this evolutive interpretation is consequent with the general rules of interpretation established in Article 29 of the American Convention, and in the Vienna Convention on the Law of Treaties.</w:t>
      </w:r>
      <w:r w:rsidRPr="00D869E3">
        <w:rPr>
          <w:rFonts w:ascii="Verdana" w:hAnsi="Verdana"/>
          <w:sz w:val="20"/>
          <w:szCs w:val="20"/>
          <w:vertAlign w:val="superscript"/>
          <w:lang w:val="en-US" w:eastAsia="de-DE"/>
        </w:rPr>
        <w:footnoteReference w:id="465"/>
      </w:r>
      <w:r w:rsidRPr="00D869E3">
        <w:rPr>
          <w:rFonts w:ascii="Verdana" w:hAnsi="Verdana"/>
          <w:sz w:val="20"/>
          <w:szCs w:val="20"/>
          <w:lang w:val="en-US" w:eastAsia="de-DE"/>
        </w:rPr>
        <w:t xml:space="preserve"> In this regard, “evolutive interpretation” may be understood as the determination and construction of the meaning of the norms derived from treaty-based precepts that, originally, were not in the intention of the countries that took part in drafting them, but which, </w:t>
      </w:r>
      <w:r w:rsidR="00121DDF" w:rsidRPr="00D869E3">
        <w:rPr>
          <w:rFonts w:ascii="Verdana" w:hAnsi="Verdana"/>
          <w:sz w:val="20"/>
          <w:szCs w:val="20"/>
          <w:lang w:val="en-US" w:eastAsia="de-DE"/>
        </w:rPr>
        <w:t xml:space="preserve">today, owing to changes in </w:t>
      </w:r>
      <w:r w:rsidR="00ED1CBD" w:rsidRPr="00D869E3">
        <w:rPr>
          <w:rFonts w:ascii="Verdana" w:hAnsi="Verdana"/>
          <w:sz w:val="20"/>
          <w:szCs w:val="20"/>
          <w:lang w:val="en-US" w:eastAsia="de-DE"/>
        </w:rPr>
        <w:t xml:space="preserve">the </w:t>
      </w:r>
      <w:r w:rsidR="00121DDF" w:rsidRPr="00D869E3">
        <w:rPr>
          <w:rFonts w:ascii="Verdana" w:hAnsi="Verdana"/>
          <w:sz w:val="20"/>
          <w:szCs w:val="20"/>
          <w:lang w:val="en-US" w:eastAsia="de-DE"/>
        </w:rPr>
        <w:t>social and political reality, have become very relevant. The original text of treaties w</w:t>
      </w:r>
      <w:r w:rsidR="00ED1CBD" w:rsidRPr="00D869E3">
        <w:rPr>
          <w:rFonts w:ascii="Verdana" w:hAnsi="Verdana"/>
          <w:sz w:val="20"/>
          <w:szCs w:val="20"/>
          <w:lang w:val="en-US" w:eastAsia="de-DE"/>
        </w:rPr>
        <w:t>as</w:t>
      </w:r>
      <w:r w:rsidR="00121DDF" w:rsidRPr="00D869E3">
        <w:rPr>
          <w:rFonts w:ascii="Verdana" w:hAnsi="Verdana"/>
          <w:sz w:val="20"/>
          <w:szCs w:val="20"/>
          <w:lang w:val="en-US" w:eastAsia="de-DE"/>
        </w:rPr>
        <w:t xml:space="preserve"> not </w:t>
      </w:r>
      <w:r w:rsidR="00ED1CBD" w:rsidRPr="00D869E3">
        <w:rPr>
          <w:rFonts w:ascii="Verdana" w:hAnsi="Verdana"/>
          <w:sz w:val="20"/>
          <w:szCs w:val="20"/>
          <w:lang w:val="en-US" w:eastAsia="de-DE"/>
        </w:rPr>
        <w:t>drafted</w:t>
      </w:r>
      <w:r w:rsidR="00121DDF" w:rsidRPr="00D869E3">
        <w:rPr>
          <w:rFonts w:ascii="Verdana" w:hAnsi="Verdana"/>
          <w:sz w:val="20"/>
          <w:szCs w:val="20"/>
          <w:lang w:val="en-US" w:eastAsia="de-DE"/>
        </w:rPr>
        <w:t xml:space="preserve"> taking into account facts and circumstances that, nowadays, fall within treaty-based circumstances. </w:t>
      </w:r>
    </w:p>
    <w:p w14:paraId="0CC605EC" w14:textId="77777777" w:rsidR="00E70701" w:rsidRPr="00D869E3" w:rsidRDefault="00E70701" w:rsidP="00C44F79">
      <w:pPr>
        <w:jc w:val="both"/>
        <w:rPr>
          <w:rFonts w:ascii="Verdana" w:hAnsi="Verdana" w:cs="Arial"/>
          <w:sz w:val="20"/>
          <w:szCs w:val="20"/>
          <w:lang w:val="en-US"/>
        </w:rPr>
      </w:pPr>
    </w:p>
    <w:p w14:paraId="23DDE8F5" w14:textId="3DE21DB2" w:rsidR="00E70701" w:rsidRPr="00D869E3" w:rsidRDefault="00121DDF" w:rsidP="00121DDF">
      <w:pPr>
        <w:pStyle w:val="Prrafodelista"/>
        <w:numPr>
          <w:ilvl w:val="0"/>
          <w:numId w:val="37"/>
        </w:numPr>
        <w:ind w:left="0" w:firstLine="0"/>
        <w:jc w:val="both"/>
        <w:rPr>
          <w:rFonts w:ascii="Verdana" w:hAnsi="Verdana" w:cs="Arial"/>
          <w:sz w:val="20"/>
          <w:szCs w:val="20"/>
          <w:lang w:val="en-US"/>
        </w:rPr>
      </w:pPr>
      <w:r w:rsidRPr="00D869E3">
        <w:rPr>
          <w:rFonts w:ascii="Verdana" w:hAnsi="Verdana" w:cs="Arial"/>
          <w:sz w:val="20"/>
          <w:szCs w:val="20"/>
          <w:lang w:val="en-US"/>
        </w:rPr>
        <w:t>Accordingly, this method of interpretation plays an important role</w:t>
      </w:r>
      <w:r w:rsidR="00ED1CBD" w:rsidRPr="00D869E3">
        <w:rPr>
          <w:rFonts w:ascii="Verdana" w:hAnsi="Verdana" w:cs="Arial"/>
          <w:sz w:val="20"/>
          <w:szCs w:val="20"/>
          <w:lang w:val="en-US"/>
        </w:rPr>
        <w:t xml:space="preserve">, which </w:t>
      </w:r>
      <w:r w:rsidRPr="00D869E3">
        <w:rPr>
          <w:rFonts w:ascii="Verdana" w:hAnsi="Verdana" w:cs="Arial"/>
          <w:sz w:val="20"/>
          <w:szCs w:val="20"/>
          <w:lang w:val="en-US"/>
        </w:rPr>
        <w:t xml:space="preserve">is to update the treaty-based standards to the needs of the new times. Despite this, another of the </w:t>
      </w:r>
      <w:r w:rsidR="00ED1CBD" w:rsidRPr="00D869E3">
        <w:rPr>
          <w:rFonts w:ascii="Verdana" w:hAnsi="Verdana" w:cs="Arial"/>
          <w:sz w:val="20"/>
          <w:szCs w:val="20"/>
          <w:lang w:val="en-US"/>
        </w:rPr>
        <w:t xml:space="preserve">flaws </w:t>
      </w:r>
      <w:r w:rsidRPr="00D869E3">
        <w:rPr>
          <w:rFonts w:ascii="Verdana" w:hAnsi="Verdana" w:cs="Arial"/>
          <w:sz w:val="20"/>
          <w:szCs w:val="20"/>
          <w:lang w:val="en-US"/>
        </w:rPr>
        <w:t xml:space="preserve">in the judgment lies in the use of “evolutive interpretation” to camouflage a “treaty </w:t>
      </w:r>
      <w:r w:rsidR="003C06FD" w:rsidRPr="00D869E3">
        <w:rPr>
          <w:rFonts w:ascii="Verdana" w:hAnsi="Verdana" w:cs="Arial"/>
          <w:sz w:val="20"/>
          <w:szCs w:val="20"/>
          <w:lang w:val="en-US"/>
        </w:rPr>
        <w:t>modificatio</w:t>
      </w:r>
      <w:r w:rsidRPr="00D869E3">
        <w:rPr>
          <w:rFonts w:ascii="Verdana" w:hAnsi="Verdana" w:cs="Arial"/>
          <w:sz w:val="20"/>
          <w:szCs w:val="20"/>
          <w:lang w:val="en-US"/>
        </w:rPr>
        <w:t xml:space="preserve">n.” This type of modification </w:t>
      </w:r>
      <w:r w:rsidR="00ED1CBD" w:rsidRPr="00D869E3">
        <w:rPr>
          <w:rFonts w:ascii="Verdana" w:hAnsi="Verdana" w:cs="Arial"/>
          <w:sz w:val="20"/>
          <w:szCs w:val="20"/>
          <w:lang w:val="en-US"/>
        </w:rPr>
        <w:t>involves</w:t>
      </w:r>
      <w:r w:rsidRPr="00D869E3">
        <w:rPr>
          <w:rFonts w:ascii="Verdana" w:hAnsi="Verdana" w:cs="Arial"/>
          <w:sz w:val="20"/>
          <w:szCs w:val="20"/>
          <w:lang w:val="en-US"/>
        </w:rPr>
        <w:t xml:space="preserve"> a substantial change in the text of the American Convention, by “interpretations” that are contrary to the wording of the Convention’s text. Thus, with the pr</w:t>
      </w:r>
      <w:r w:rsidR="003C06FD" w:rsidRPr="00D869E3">
        <w:rPr>
          <w:rFonts w:ascii="Verdana" w:hAnsi="Verdana" w:cs="Arial"/>
          <w:sz w:val="20"/>
          <w:szCs w:val="20"/>
          <w:lang w:val="en-US"/>
        </w:rPr>
        <w:t>e</w:t>
      </w:r>
      <w:r w:rsidRPr="00D869E3">
        <w:rPr>
          <w:rFonts w:ascii="Verdana" w:hAnsi="Verdana" w:cs="Arial"/>
          <w:sz w:val="20"/>
          <w:szCs w:val="20"/>
          <w:lang w:val="en-US"/>
        </w:rPr>
        <w:t xml:space="preserve">text of interpreting the Convention, </w:t>
      </w:r>
      <w:r w:rsidR="00ED1CBD" w:rsidRPr="00D869E3">
        <w:rPr>
          <w:rFonts w:ascii="Verdana" w:hAnsi="Verdana" w:cs="Arial"/>
          <w:sz w:val="20"/>
          <w:szCs w:val="20"/>
          <w:lang w:val="en-US"/>
        </w:rPr>
        <w:t>a situation is created</w:t>
      </w:r>
      <w:r w:rsidRPr="00D869E3">
        <w:rPr>
          <w:rFonts w:ascii="Verdana" w:hAnsi="Verdana" w:cs="Arial"/>
          <w:sz w:val="20"/>
          <w:szCs w:val="20"/>
          <w:lang w:val="en-US"/>
        </w:rPr>
        <w:t xml:space="preserve"> that </w:t>
      </w:r>
      <w:r w:rsidR="00ED1CBD" w:rsidRPr="00D869E3">
        <w:rPr>
          <w:rFonts w:ascii="Verdana" w:hAnsi="Verdana" w:cs="Arial"/>
          <w:sz w:val="20"/>
          <w:szCs w:val="20"/>
          <w:lang w:val="en-US"/>
        </w:rPr>
        <w:t>is</w:t>
      </w:r>
      <w:r w:rsidRPr="00D869E3">
        <w:rPr>
          <w:rFonts w:ascii="Verdana" w:hAnsi="Verdana" w:cs="Arial"/>
          <w:sz w:val="20"/>
          <w:szCs w:val="20"/>
          <w:lang w:val="en-US"/>
        </w:rPr>
        <w:t xml:space="preserve"> contrary to the text or to </w:t>
      </w:r>
      <w:r w:rsidR="003C06FD" w:rsidRPr="00D869E3">
        <w:rPr>
          <w:rFonts w:ascii="Verdana" w:hAnsi="Verdana" w:cs="Arial"/>
          <w:sz w:val="20"/>
          <w:szCs w:val="20"/>
          <w:lang w:val="en-US"/>
        </w:rPr>
        <w:t>an</w:t>
      </w:r>
      <w:r w:rsidRPr="00D869E3">
        <w:rPr>
          <w:rFonts w:ascii="Verdana" w:hAnsi="Verdana" w:cs="Arial"/>
          <w:sz w:val="20"/>
          <w:szCs w:val="20"/>
          <w:lang w:val="en-US"/>
        </w:rPr>
        <w:t xml:space="preserve"> interpretation in keeping with this instrument.</w:t>
      </w:r>
      <w:r w:rsidR="003C06FD" w:rsidRPr="00D869E3">
        <w:rPr>
          <w:rFonts w:ascii="Verdana" w:hAnsi="Verdana" w:cs="Arial"/>
          <w:sz w:val="20"/>
          <w:szCs w:val="20"/>
          <w:lang w:val="en-US"/>
        </w:rPr>
        <w:t xml:space="preserve"> </w:t>
      </w:r>
      <w:r w:rsidR="00B10EA1" w:rsidRPr="00D869E3">
        <w:rPr>
          <w:rFonts w:ascii="Verdana" w:hAnsi="Verdana" w:cs="Arial"/>
          <w:sz w:val="20"/>
          <w:szCs w:val="20"/>
          <w:lang w:val="en-US"/>
        </w:rPr>
        <w:t>Treaty</w:t>
      </w:r>
      <w:r w:rsidR="003C06FD" w:rsidRPr="00D869E3">
        <w:rPr>
          <w:rFonts w:ascii="Verdana" w:hAnsi="Verdana" w:cs="Arial"/>
          <w:sz w:val="20"/>
          <w:szCs w:val="20"/>
          <w:lang w:val="en-US"/>
        </w:rPr>
        <w:t xml:space="preserve"> modification</w:t>
      </w:r>
      <w:r w:rsidR="00B10EA1" w:rsidRPr="00D869E3">
        <w:rPr>
          <w:rFonts w:ascii="Verdana" w:hAnsi="Verdana" w:cs="Arial"/>
          <w:sz w:val="20"/>
          <w:szCs w:val="20"/>
          <w:lang w:val="en-US"/>
        </w:rPr>
        <w:t xml:space="preserve"> </w:t>
      </w:r>
      <w:r w:rsidR="003C06FD" w:rsidRPr="00D869E3">
        <w:rPr>
          <w:rFonts w:ascii="Verdana" w:hAnsi="Verdana" w:cs="Arial"/>
          <w:sz w:val="20"/>
          <w:szCs w:val="20"/>
          <w:lang w:val="en-US"/>
        </w:rPr>
        <w:t>obeys the same logic as the mechanism that constitutional doctrine calls constitutional</w:t>
      </w:r>
      <w:r w:rsidR="00ED1CBD" w:rsidRPr="00D869E3">
        <w:rPr>
          <w:rFonts w:ascii="Verdana" w:hAnsi="Verdana" w:cs="Arial"/>
          <w:sz w:val="20"/>
          <w:szCs w:val="20"/>
          <w:lang w:val="en-US"/>
        </w:rPr>
        <w:t xml:space="preserve"> </w:t>
      </w:r>
      <w:r w:rsidR="003C06FD" w:rsidRPr="00D869E3">
        <w:rPr>
          <w:rFonts w:ascii="Verdana" w:hAnsi="Verdana" w:cs="Arial"/>
          <w:sz w:val="20"/>
          <w:szCs w:val="20"/>
          <w:lang w:val="en-US"/>
        </w:rPr>
        <w:t>mutation.</w:t>
      </w:r>
      <w:r w:rsidR="00E70701" w:rsidRPr="00D869E3">
        <w:rPr>
          <w:rStyle w:val="Refdenotaalpie"/>
          <w:rFonts w:cs="Arial"/>
          <w:szCs w:val="20"/>
          <w:lang w:val="en-US"/>
        </w:rPr>
        <w:footnoteReference w:id="466"/>
      </w:r>
    </w:p>
    <w:p w14:paraId="133EB7A7" w14:textId="77777777" w:rsidR="00E70701" w:rsidRPr="00D869E3" w:rsidRDefault="00E70701" w:rsidP="00C44F79">
      <w:pPr>
        <w:jc w:val="both"/>
        <w:rPr>
          <w:rFonts w:ascii="Verdana" w:hAnsi="Verdana" w:cs="Arial"/>
          <w:sz w:val="20"/>
          <w:szCs w:val="20"/>
          <w:lang w:val="en-US"/>
        </w:rPr>
      </w:pPr>
    </w:p>
    <w:p w14:paraId="0705C72D" w14:textId="5957E33B" w:rsidR="003C06FD" w:rsidRPr="00D869E3" w:rsidRDefault="00075E68" w:rsidP="003C06FD">
      <w:pPr>
        <w:pStyle w:val="Prrafodelista"/>
        <w:numPr>
          <w:ilvl w:val="0"/>
          <w:numId w:val="37"/>
        </w:numPr>
        <w:ind w:left="0" w:firstLine="0"/>
        <w:jc w:val="both"/>
        <w:rPr>
          <w:rFonts w:ascii="Verdana" w:hAnsi="Verdana" w:cs="Arial"/>
          <w:sz w:val="20"/>
          <w:szCs w:val="20"/>
          <w:lang w:val="en-US"/>
        </w:rPr>
      </w:pPr>
      <w:r w:rsidRPr="00D869E3">
        <w:rPr>
          <w:rFonts w:ascii="Verdana" w:hAnsi="Verdana" w:cs="Arial"/>
          <w:sz w:val="20"/>
          <w:szCs w:val="20"/>
          <w:lang w:val="en-US"/>
        </w:rPr>
        <w:t>In this regard</w:t>
      </w:r>
      <w:r w:rsidR="00E70701" w:rsidRPr="00D869E3">
        <w:rPr>
          <w:rFonts w:ascii="Verdana" w:hAnsi="Verdana" w:cs="Arial"/>
          <w:sz w:val="20"/>
          <w:szCs w:val="20"/>
          <w:lang w:val="en-US"/>
        </w:rPr>
        <w:t xml:space="preserve">, </w:t>
      </w:r>
      <w:r w:rsidR="00B10EA1" w:rsidRPr="00D869E3">
        <w:rPr>
          <w:rFonts w:ascii="Verdana" w:hAnsi="Verdana" w:cs="Arial"/>
          <w:sz w:val="20"/>
          <w:szCs w:val="20"/>
          <w:lang w:val="en-US"/>
        </w:rPr>
        <w:t>it has</w:t>
      </w:r>
      <w:r w:rsidR="003C06FD" w:rsidRPr="00D869E3">
        <w:rPr>
          <w:rFonts w:ascii="Verdana" w:hAnsi="Verdana" w:cs="Arial"/>
          <w:sz w:val="20"/>
          <w:szCs w:val="20"/>
          <w:lang w:val="en-US"/>
        </w:rPr>
        <w:t xml:space="preserve"> already </w:t>
      </w:r>
      <w:r w:rsidR="00B10EA1" w:rsidRPr="00D869E3">
        <w:rPr>
          <w:rFonts w:ascii="Verdana" w:hAnsi="Verdana" w:cs="Arial"/>
          <w:sz w:val="20"/>
          <w:szCs w:val="20"/>
          <w:lang w:val="en-US"/>
        </w:rPr>
        <w:t xml:space="preserve">been </w:t>
      </w:r>
      <w:r w:rsidR="003C06FD" w:rsidRPr="00D869E3">
        <w:rPr>
          <w:rFonts w:ascii="Verdana" w:hAnsi="Verdana" w:cs="Arial"/>
          <w:sz w:val="20"/>
          <w:szCs w:val="20"/>
          <w:lang w:val="en-US"/>
        </w:rPr>
        <w:t>established that when all interpretation methods are used, the conclusion is reached that an extensive interpretation of Article 26 of the American Convention cannot derogate what the State</w:t>
      </w:r>
      <w:r w:rsidR="00B10EA1" w:rsidRPr="00D869E3">
        <w:rPr>
          <w:rFonts w:ascii="Verdana" w:hAnsi="Verdana" w:cs="Arial"/>
          <w:sz w:val="20"/>
          <w:szCs w:val="20"/>
          <w:lang w:val="en-US"/>
        </w:rPr>
        <w:t>s</w:t>
      </w:r>
      <w:r w:rsidR="003C06FD" w:rsidRPr="00D869E3">
        <w:rPr>
          <w:rFonts w:ascii="Verdana" w:hAnsi="Verdana" w:cs="Arial"/>
          <w:sz w:val="20"/>
          <w:szCs w:val="20"/>
          <w:lang w:val="en-US"/>
        </w:rPr>
        <w:t xml:space="preserve"> sovereignly decided when they signed and ratified </w:t>
      </w:r>
      <w:r w:rsidR="00B235CB" w:rsidRPr="00D869E3">
        <w:rPr>
          <w:rFonts w:ascii="Verdana" w:hAnsi="Verdana" w:cs="Arial"/>
          <w:sz w:val="20"/>
          <w:szCs w:val="20"/>
          <w:lang w:val="en-US"/>
        </w:rPr>
        <w:t>the Protocol of San</w:t>
      </w:r>
      <w:r w:rsidR="00E70701" w:rsidRPr="00D869E3">
        <w:rPr>
          <w:rFonts w:ascii="Verdana" w:hAnsi="Verdana" w:cs="Arial"/>
          <w:sz w:val="20"/>
          <w:szCs w:val="20"/>
          <w:lang w:val="en-US"/>
        </w:rPr>
        <w:t xml:space="preserve"> Salvador. </w:t>
      </w:r>
      <w:r w:rsidR="003C06FD" w:rsidRPr="00D869E3">
        <w:rPr>
          <w:rFonts w:ascii="Verdana" w:hAnsi="Verdana" w:cs="Arial"/>
          <w:sz w:val="20"/>
          <w:szCs w:val="20"/>
          <w:lang w:val="en-US"/>
        </w:rPr>
        <w:t xml:space="preserve">Thus, I can affirm without fear of contradiction that, in this judgment, the Court did not make an evolutive interpretation, because evolution cannot </w:t>
      </w:r>
      <w:r w:rsidR="00B10EA1" w:rsidRPr="00D869E3">
        <w:rPr>
          <w:rFonts w:ascii="Verdana" w:hAnsi="Verdana" w:cs="Arial"/>
          <w:sz w:val="20"/>
          <w:szCs w:val="20"/>
          <w:lang w:val="en-US"/>
        </w:rPr>
        <w:t>lead the Court to</w:t>
      </w:r>
      <w:r w:rsidR="003C06FD" w:rsidRPr="00D869E3">
        <w:rPr>
          <w:rFonts w:ascii="Verdana" w:hAnsi="Verdana" w:cs="Arial"/>
          <w:sz w:val="20"/>
          <w:szCs w:val="20"/>
          <w:lang w:val="en-US"/>
        </w:rPr>
        <w:t xml:space="preserve"> </w:t>
      </w:r>
      <w:r w:rsidR="00B10EA1" w:rsidRPr="00D869E3">
        <w:rPr>
          <w:rFonts w:ascii="Verdana" w:hAnsi="Verdana" w:cs="Arial"/>
          <w:sz w:val="20"/>
          <w:szCs w:val="20"/>
          <w:lang w:val="en-US"/>
        </w:rPr>
        <w:t xml:space="preserve">contravene </w:t>
      </w:r>
      <w:r w:rsidR="003C06FD" w:rsidRPr="00D869E3">
        <w:rPr>
          <w:rFonts w:ascii="Verdana" w:hAnsi="Verdana" w:cs="Arial"/>
          <w:sz w:val="20"/>
          <w:szCs w:val="20"/>
          <w:lang w:val="en-US"/>
        </w:rPr>
        <w:t xml:space="preserve">the Convention. </w:t>
      </w:r>
      <w:r w:rsidR="003D0046" w:rsidRPr="00D869E3">
        <w:rPr>
          <w:rFonts w:ascii="Verdana" w:hAnsi="Verdana" w:cs="Arial"/>
          <w:sz w:val="20"/>
          <w:szCs w:val="20"/>
          <w:lang w:val="en-US"/>
        </w:rPr>
        <w:t>It is one thing to decide innovative matters that were not anticipated by the creators of the norm, and quite another to change the</w:t>
      </w:r>
      <w:r w:rsidR="00B10EA1" w:rsidRPr="00D869E3">
        <w:rPr>
          <w:rFonts w:ascii="Verdana" w:hAnsi="Verdana" w:cs="Arial"/>
          <w:sz w:val="20"/>
          <w:szCs w:val="20"/>
          <w:lang w:val="en-US"/>
        </w:rPr>
        <w:t xml:space="preserve"> norm</w:t>
      </w:r>
      <w:r w:rsidR="003D0046" w:rsidRPr="00D869E3">
        <w:rPr>
          <w:rFonts w:ascii="Verdana" w:hAnsi="Verdana" w:cs="Arial"/>
          <w:sz w:val="20"/>
          <w:szCs w:val="20"/>
          <w:lang w:val="en-US"/>
        </w:rPr>
        <w:t>.</w:t>
      </w:r>
    </w:p>
    <w:p w14:paraId="059308E8" w14:textId="77777777" w:rsidR="00E70701" w:rsidRPr="00D869E3" w:rsidRDefault="00E70701" w:rsidP="00C44F79">
      <w:pPr>
        <w:jc w:val="both"/>
        <w:rPr>
          <w:rFonts w:ascii="Verdana" w:hAnsi="Verdana" w:cs="Arial"/>
          <w:sz w:val="20"/>
          <w:szCs w:val="20"/>
          <w:lang w:val="en-US"/>
        </w:rPr>
      </w:pPr>
    </w:p>
    <w:p w14:paraId="74C96DFE" w14:textId="6648FFD2" w:rsidR="00E70701" w:rsidRPr="00D869E3" w:rsidRDefault="00FC5579" w:rsidP="00E70701">
      <w:pPr>
        <w:pStyle w:val="Prrafodelista"/>
        <w:numPr>
          <w:ilvl w:val="0"/>
          <w:numId w:val="39"/>
        </w:numPr>
        <w:jc w:val="both"/>
        <w:rPr>
          <w:rFonts w:ascii="Verdana" w:hAnsi="Verdana" w:cs="Arial"/>
          <w:b/>
          <w:sz w:val="20"/>
          <w:szCs w:val="20"/>
          <w:lang w:val="en-US"/>
        </w:rPr>
      </w:pPr>
      <w:r w:rsidRPr="00D869E3">
        <w:rPr>
          <w:rFonts w:ascii="Verdana" w:hAnsi="Verdana" w:cs="Arial"/>
          <w:b/>
          <w:sz w:val="20"/>
          <w:szCs w:val="20"/>
          <w:lang w:val="en-US"/>
        </w:rPr>
        <w:t>C</w:t>
      </w:r>
      <w:r w:rsidR="00E70701" w:rsidRPr="00D869E3">
        <w:rPr>
          <w:rFonts w:ascii="Verdana" w:hAnsi="Verdana" w:cs="Arial"/>
          <w:b/>
          <w:sz w:val="20"/>
          <w:szCs w:val="20"/>
          <w:lang w:val="en-US"/>
        </w:rPr>
        <w:t>onfusi</w:t>
      </w:r>
      <w:r w:rsidRPr="00D869E3">
        <w:rPr>
          <w:rFonts w:ascii="Verdana" w:hAnsi="Verdana" w:cs="Arial"/>
          <w:b/>
          <w:sz w:val="20"/>
          <w:szCs w:val="20"/>
          <w:lang w:val="en-US"/>
        </w:rPr>
        <w:t>o</w:t>
      </w:r>
      <w:r w:rsidR="00E70701" w:rsidRPr="00D869E3">
        <w:rPr>
          <w:rFonts w:ascii="Verdana" w:hAnsi="Verdana" w:cs="Arial"/>
          <w:b/>
          <w:sz w:val="20"/>
          <w:szCs w:val="20"/>
          <w:lang w:val="en-US"/>
        </w:rPr>
        <w:t>n</w:t>
      </w:r>
      <w:r w:rsidRPr="00D869E3">
        <w:rPr>
          <w:rFonts w:ascii="Verdana" w:hAnsi="Verdana" w:cs="Arial"/>
          <w:b/>
          <w:sz w:val="20"/>
          <w:szCs w:val="20"/>
          <w:lang w:val="en-US"/>
        </w:rPr>
        <w:t xml:space="preserve"> between the existence of the right and </w:t>
      </w:r>
      <w:r w:rsidR="00671B14" w:rsidRPr="00D869E3">
        <w:rPr>
          <w:rFonts w:ascii="Verdana" w:hAnsi="Verdana" w:cs="Arial"/>
          <w:b/>
          <w:sz w:val="20"/>
          <w:szCs w:val="20"/>
          <w:lang w:val="en-US"/>
        </w:rPr>
        <w:t>the Inter-American Court</w:t>
      </w:r>
      <w:r w:rsidR="003D0046" w:rsidRPr="00D869E3">
        <w:rPr>
          <w:rFonts w:ascii="Verdana" w:hAnsi="Verdana" w:cs="Arial"/>
          <w:b/>
          <w:sz w:val="20"/>
          <w:szCs w:val="20"/>
          <w:lang w:val="en-US"/>
        </w:rPr>
        <w:t>’s jurisdiction</w:t>
      </w:r>
    </w:p>
    <w:p w14:paraId="6E8D8E93" w14:textId="77777777" w:rsidR="00E70701" w:rsidRPr="00D869E3" w:rsidRDefault="00E70701" w:rsidP="00C44F79">
      <w:pPr>
        <w:pStyle w:val="Prrafodelista"/>
        <w:jc w:val="both"/>
        <w:rPr>
          <w:rFonts w:ascii="Verdana" w:hAnsi="Verdana" w:cs="Arial"/>
          <w:b/>
          <w:sz w:val="20"/>
          <w:szCs w:val="20"/>
          <w:lang w:val="en-US"/>
        </w:rPr>
      </w:pPr>
    </w:p>
    <w:p w14:paraId="1DB9E3EA" w14:textId="5E9D2550" w:rsidR="003D0046" w:rsidRPr="00D869E3" w:rsidRDefault="003D0046" w:rsidP="00E70701">
      <w:pPr>
        <w:pStyle w:val="Prrafodelista"/>
        <w:numPr>
          <w:ilvl w:val="0"/>
          <w:numId w:val="37"/>
        </w:numPr>
        <w:ind w:left="0" w:firstLine="0"/>
        <w:jc w:val="both"/>
        <w:rPr>
          <w:rFonts w:ascii="Verdana" w:hAnsi="Verdana" w:cs="Arial"/>
          <w:sz w:val="20"/>
          <w:szCs w:val="20"/>
          <w:lang w:val="en-US"/>
        </w:rPr>
      </w:pPr>
      <w:r w:rsidRPr="00D869E3">
        <w:rPr>
          <w:rFonts w:ascii="Verdana" w:hAnsi="Verdana" w:cs="Arial"/>
          <w:sz w:val="20"/>
          <w:szCs w:val="20"/>
          <w:lang w:val="en-US"/>
        </w:rPr>
        <w:t>Third, the judgment does not address the problem of jurisdiction, because it focuses its arguments on proving the existence of the right to work or to job security, but makes no mention of Article 19 of the Protocol of San Salvador. The only mention of jurisdiction is made at the end of the analysis of the arguments in paragraph 154 of the judgment in which</w:t>
      </w:r>
      <w:r w:rsidR="00CF146F" w:rsidRPr="00D869E3">
        <w:rPr>
          <w:rFonts w:ascii="Verdana" w:hAnsi="Verdana" w:cs="Arial"/>
          <w:sz w:val="20"/>
          <w:szCs w:val="20"/>
          <w:lang w:val="en-US"/>
        </w:rPr>
        <w:t>,</w:t>
      </w:r>
      <w:r w:rsidRPr="00D869E3">
        <w:rPr>
          <w:rFonts w:ascii="Verdana" w:hAnsi="Verdana" w:cs="Arial"/>
          <w:sz w:val="20"/>
          <w:szCs w:val="20"/>
          <w:lang w:val="en-US"/>
        </w:rPr>
        <w:t xml:space="preserve"> once again</w:t>
      </w:r>
      <w:r w:rsidR="00CF146F" w:rsidRPr="00D869E3">
        <w:rPr>
          <w:rFonts w:ascii="Verdana" w:hAnsi="Verdana" w:cs="Arial"/>
          <w:sz w:val="20"/>
          <w:szCs w:val="20"/>
          <w:lang w:val="en-US"/>
        </w:rPr>
        <w:t>,</w:t>
      </w:r>
      <w:r w:rsidRPr="00D869E3">
        <w:rPr>
          <w:rFonts w:ascii="Verdana" w:hAnsi="Verdana" w:cs="Arial"/>
          <w:sz w:val="20"/>
          <w:szCs w:val="20"/>
          <w:lang w:val="en-US"/>
        </w:rPr>
        <w:t xml:space="preserve"> the Court tries to say that the discussion concerning the </w:t>
      </w:r>
      <w:r w:rsidR="00CF146F" w:rsidRPr="00D869E3">
        <w:rPr>
          <w:rFonts w:ascii="Verdana" w:hAnsi="Verdana" w:cs="Arial"/>
          <w:sz w:val="20"/>
          <w:szCs w:val="20"/>
          <w:lang w:val="en-US"/>
        </w:rPr>
        <w:t xml:space="preserve">its </w:t>
      </w:r>
      <w:r w:rsidRPr="00D869E3">
        <w:rPr>
          <w:rFonts w:ascii="Verdana" w:hAnsi="Verdana" w:cs="Arial"/>
          <w:sz w:val="20"/>
          <w:szCs w:val="20"/>
          <w:lang w:val="en-US"/>
        </w:rPr>
        <w:t xml:space="preserve">jurisdiction had already been settled in the case of </w:t>
      </w:r>
      <w:r w:rsidRPr="00D869E3">
        <w:rPr>
          <w:rFonts w:ascii="Verdana" w:hAnsi="Verdana" w:cs="Arial"/>
          <w:i/>
          <w:sz w:val="20"/>
          <w:szCs w:val="20"/>
          <w:lang w:val="en-US"/>
        </w:rPr>
        <w:t xml:space="preserve">Acevedo Buendía </w:t>
      </w:r>
      <w:r w:rsidRPr="00D869E3">
        <w:rPr>
          <w:rFonts w:ascii="Verdana" w:hAnsi="Verdana" w:cs="Arial"/>
          <w:iCs/>
          <w:sz w:val="20"/>
          <w:szCs w:val="20"/>
          <w:lang w:val="en-US"/>
        </w:rPr>
        <w:t>when, as explained above, this assertion is not true.</w:t>
      </w:r>
    </w:p>
    <w:p w14:paraId="687530FD" w14:textId="77777777" w:rsidR="00E70701" w:rsidRPr="00D869E3" w:rsidRDefault="00E70701" w:rsidP="00C44F79">
      <w:pPr>
        <w:pStyle w:val="Prrafodelista"/>
        <w:ind w:left="0"/>
        <w:jc w:val="both"/>
        <w:rPr>
          <w:rFonts w:ascii="Verdana" w:hAnsi="Verdana" w:cs="Arial"/>
          <w:sz w:val="20"/>
          <w:szCs w:val="20"/>
          <w:lang w:val="en-US"/>
        </w:rPr>
      </w:pPr>
    </w:p>
    <w:p w14:paraId="72E5420F" w14:textId="7CC6C182" w:rsidR="00E70701" w:rsidRPr="00D869E3" w:rsidRDefault="003D0046" w:rsidP="003D0046">
      <w:pPr>
        <w:pStyle w:val="Prrafodelista"/>
        <w:numPr>
          <w:ilvl w:val="0"/>
          <w:numId w:val="37"/>
        </w:numPr>
        <w:ind w:left="0" w:firstLine="0"/>
        <w:jc w:val="both"/>
        <w:rPr>
          <w:rFonts w:ascii="Verdana" w:hAnsi="Verdana" w:cs="Arial"/>
          <w:sz w:val="20"/>
          <w:szCs w:val="20"/>
          <w:lang w:val="en-US"/>
        </w:rPr>
      </w:pPr>
      <w:r w:rsidRPr="00D869E3">
        <w:rPr>
          <w:rFonts w:ascii="Verdana" w:hAnsi="Verdana" w:cs="Arial"/>
          <w:sz w:val="20"/>
          <w:szCs w:val="20"/>
          <w:lang w:val="en-US"/>
        </w:rPr>
        <w:t>I</w:t>
      </w:r>
      <w:r w:rsidR="00E70701" w:rsidRPr="00D869E3">
        <w:rPr>
          <w:rFonts w:ascii="Verdana" w:hAnsi="Verdana" w:cs="Arial"/>
          <w:sz w:val="20"/>
          <w:szCs w:val="20"/>
          <w:lang w:val="en-US"/>
        </w:rPr>
        <w:t>n m</w:t>
      </w:r>
      <w:r w:rsidRPr="00D869E3">
        <w:rPr>
          <w:rFonts w:ascii="Verdana" w:hAnsi="Verdana" w:cs="Arial"/>
          <w:sz w:val="20"/>
          <w:szCs w:val="20"/>
          <w:lang w:val="en-US"/>
        </w:rPr>
        <w:t>y</w:t>
      </w:r>
      <w:r w:rsidR="00E70701" w:rsidRPr="00D869E3">
        <w:rPr>
          <w:rFonts w:ascii="Verdana" w:hAnsi="Verdana" w:cs="Arial"/>
          <w:sz w:val="20"/>
          <w:szCs w:val="20"/>
          <w:lang w:val="en-US"/>
        </w:rPr>
        <w:t xml:space="preserve"> opini</w:t>
      </w:r>
      <w:r w:rsidRPr="00D869E3">
        <w:rPr>
          <w:rFonts w:ascii="Verdana" w:hAnsi="Verdana" w:cs="Arial"/>
          <w:sz w:val="20"/>
          <w:szCs w:val="20"/>
          <w:lang w:val="en-US"/>
        </w:rPr>
        <w:t>o</w:t>
      </w:r>
      <w:r w:rsidR="00E70701" w:rsidRPr="00D869E3">
        <w:rPr>
          <w:rFonts w:ascii="Verdana" w:hAnsi="Verdana" w:cs="Arial"/>
          <w:sz w:val="20"/>
          <w:szCs w:val="20"/>
          <w:lang w:val="en-US"/>
        </w:rPr>
        <w:t xml:space="preserve">n, </w:t>
      </w:r>
      <w:r w:rsidRPr="00D869E3">
        <w:rPr>
          <w:rFonts w:ascii="Verdana" w:hAnsi="Verdana" w:cs="Arial"/>
          <w:sz w:val="20"/>
          <w:szCs w:val="20"/>
          <w:lang w:val="en-US"/>
        </w:rPr>
        <w:t xml:space="preserve">this confusion is based on the clear desire to rectify, at any cost, what “some” consider an error in </w:t>
      </w:r>
      <w:r w:rsidR="00916899" w:rsidRPr="00D869E3">
        <w:rPr>
          <w:rFonts w:ascii="Verdana" w:hAnsi="Verdana" w:cs="Arial"/>
          <w:sz w:val="20"/>
          <w:szCs w:val="20"/>
          <w:lang w:val="en-US"/>
        </w:rPr>
        <w:t>the Protocol of</w:t>
      </w:r>
      <w:r w:rsidR="00E70701" w:rsidRPr="00D869E3">
        <w:rPr>
          <w:rFonts w:ascii="Verdana" w:hAnsi="Verdana" w:cs="Arial"/>
          <w:sz w:val="20"/>
          <w:szCs w:val="20"/>
          <w:lang w:val="en-US"/>
        </w:rPr>
        <w:t xml:space="preserve"> San Salvador </w:t>
      </w:r>
      <w:r w:rsidRPr="00D869E3">
        <w:rPr>
          <w:rFonts w:ascii="Verdana" w:hAnsi="Verdana" w:cs="Arial"/>
          <w:sz w:val="20"/>
          <w:szCs w:val="20"/>
          <w:lang w:val="en-US"/>
        </w:rPr>
        <w:t>when it limits</w:t>
      </w:r>
      <w:r w:rsidR="00E70701" w:rsidRPr="00D869E3">
        <w:rPr>
          <w:rFonts w:ascii="Verdana" w:hAnsi="Verdana" w:cs="Arial"/>
          <w:sz w:val="20"/>
          <w:szCs w:val="20"/>
          <w:lang w:val="en-US"/>
        </w:rPr>
        <w:t xml:space="preserve"> </w:t>
      </w:r>
      <w:r w:rsidR="00F42CF0" w:rsidRPr="00D869E3">
        <w:rPr>
          <w:rFonts w:ascii="Verdana" w:hAnsi="Verdana" w:cs="Arial"/>
          <w:sz w:val="20"/>
          <w:szCs w:val="20"/>
          <w:lang w:val="en-US"/>
        </w:rPr>
        <w:t>the justiciability of the</w:t>
      </w:r>
      <w:r w:rsidR="00E70701" w:rsidRPr="00D869E3">
        <w:rPr>
          <w:rFonts w:ascii="Verdana" w:hAnsi="Verdana" w:cs="Arial"/>
          <w:sz w:val="20"/>
          <w:szCs w:val="20"/>
          <w:lang w:val="en-US"/>
        </w:rPr>
        <w:t xml:space="preserve"> </w:t>
      </w:r>
      <w:r w:rsidR="00F42CF0" w:rsidRPr="00D869E3">
        <w:rPr>
          <w:rFonts w:ascii="Verdana" w:hAnsi="Verdana" w:cs="Arial"/>
          <w:sz w:val="20"/>
          <w:szCs w:val="20"/>
          <w:lang w:val="en-US"/>
        </w:rPr>
        <w:t>ESCR</w:t>
      </w:r>
      <w:r w:rsidR="00E70701" w:rsidRPr="00D869E3">
        <w:rPr>
          <w:rFonts w:ascii="Verdana" w:hAnsi="Verdana" w:cs="Arial"/>
          <w:sz w:val="20"/>
          <w:szCs w:val="20"/>
          <w:lang w:val="en-US"/>
        </w:rPr>
        <w:t xml:space="preserve"> </w:t>
      </w:r>
      <w:r w:rsidRPr="00D869E3">
        <w:rPr>
          <w:rFonts w:ascii="Verdana" w:hAnsi="Verdana" w:cs="Arial"/>
          <w:sz w:val="20"/>
          <w:szCs w:val="20"/>
          <w:lang w:val="en-US"/>
        </w:rPr>
        <w:t>established therein</w:t>
      </w:r>
      <w:r w:rsidR="00E70701" w:rsidRPr="00D869E3">
        <w:rPr>
          <w:rFonts w:ascii="Verdana" w:hAnsi="Verdana" w:cs="Arial"/>
          <w:sz w:val="20"/>
          <w:szCs w:val="20"/>
          <w:lang w:val="en-US"/>
        </w:rPr>
        <w:t xml:space="preserve">. </w:t>
      </w:r>
      <w:r w:rsidRPr="00D869E3">
        <w:rPr>
          <w:rFonts w:ascii="Verdana" w:hAnsi="Verdana" w:cs="Arial"/>
          <w:sz w:val="20"/>
          <w:szCs w:val="20"/>
          <w:lang w:val="en-US"/>
        </w:rPr>
        <w:t xml:space="preserve">In this understanding, I consider that it is necessary to make a distinction between the advantages derived from the </w:t>
      </w:r>
      <w:r w:rsidR="00F42CF0" w:rsidRPr="00D869E3">
        <w:rPr>
          <w:rFonts w:ascii="Verdana" w:hAnsi="Verdana" w:cs="Arial"/>
          <w:sz w:val="20"/>
          <w:szCs w:val="20"/>
          <w:lang w:val="en-US"/>
        </w:rPr>
        <w:t>justiciability of the</w:t>
      </w:r>
      <w:r w:rsidR="00E70701" w:rsidRPr="00D869E3">
        <w:rPr>
          <w:rFonts w:ascii="Verdana" w:hAnsi="Verdana" w:cs="Arial"/>
          <w:sz w:val="20"/>
          <w:szCs w:val="20"/>
          <w:lang w:val="en-US"/>
        </w:rPr>
        <w:t xml:space="preserve"> </w:t>
      </w:r>
      <w:r w:rsidR="00F42CF0" w:rsidRPr="00D869E3">
        <w:rPr>
          <w:rFonts w:ascii="Verdana" w:hAnsi="Verdana" w:cs="Arial"/>
          <w:sz w:val="20"/>
          <w:szCs w:val="20"/>
          <w:lang w:val="en-US"/>
        </w:rPr>
        <w:t>ESCR</w:t>
      </w:r>
      <w:r w:rsidR="00687684" w:rsidRPr="00D869E3">
        <w:rPr>
          <w:rFonts w:ascii="Verdana" w:hAnsi="Verdana" w:cs="Arial"/>
          <w:sz w:val="20"/>
          <w:szCs w:val="20"/>
          <w:lang w:val="en-US"/>
        </w:rPr>
        <w:t xml:space="preserve"> and </w:t>
      </w:r>
      <w:r w:rsidRPr="00D869E3">
        <w:rPr>
          <w:rFonts w:ascii="Verdana" w:hAnsi="Verdana" w:cs="Arial"/>
          <w:sz w:val="20"/>
          <w:szCs w:val="20"/>
          <w:lang w:val="en-US"/>
        </w:rPr>
        <w:t>the legal determination of the Court’s jurisdiction in this area.</w:t>
      </w:r>
    </w:p>
    <w:p w14:paraId="602425B8" w14:textId="77777777" w:rsidR="00E70701" w:rsidRPr="00D869E3" w:rsidRDefault="00E70701" w:rsidP="00C44F79">
      <w:pPr>
        <w:jc w:val="both"/>
        <w:rPr>
          <w:rFonts w:ascii="Verdana" w:hAnsi="Verdana" w:cs="Arial"/>
          <w:sz w:val="20"/>
          <w:szCs w:val="20"/>
          <w:lang w:val="en-US"/>
        </w:rPr>
      </w:pPr>
    </w:p>
    <w:p w14:paraId="4247F4F3" w14:textId="5E6E14CE" w:rsidR="00E70701" w:rsidRPr="00D869E3" w:rsidRDefault="003D0046" w:rsidP="0043442C">
      <w:pPr>
        <w:pStyle w:val="Prrafodelista"/>
        <w:numPr>
          <w:ilvl w:val="0"/>
          <w:numId w:val="37"/>
        </w:numPr>
        <w:ind w:left="0" w:firstLine="0"/>
        <w:jc w:val="both"/>
        <w:rPr>
          <w:rFonts w:ascii="Verdana" w:hAnsi="Verdana" w:cs="Arial"/>
          <w:sz w:val="20"/>
          <w:szCs w:val="20"/>
          <w:lang w:val="en-US"/>
        </w:rPr>
      </w:pPr>
      <w:r w:rsidRPr="00D869E3">
        <w:rPr>
          <w:rFonts w:ascii="Verdana" w:hAnsi="Verdana" w:cs="Arial"/>
          <w:sz w:val="20"/>
          <w:szCs w:val="20"/>
          <w:lang w:val="en-US"/>
        </w:rPr>
        <w:t xml:space="preserve">As I have stated on other occasions, </w:t>
      </w:r>
      <w:r w:rsidR="00671B14" w:rsidRPr="00D869E3">
        <w:rPr>
          <w:rFonts w:ascii="Verdana" w:hAnsi="Verdana" w:cs="Arial"/>
          <w:sz w:val="20"/>
          <w:szCs w:val="20"/>
          <w:lang w:val="en-US"/>
        </w:rPr>
        <w:t>the Inter-American Court</w:t>
      </w:r>
      <w:r w:rsidR="00E70701" w:rsidRPr="00D869E3">
        <w:rPr>
          <w:rFonts w:ascii="Verdana" w:hAnsi="Verdana" w:cs="Arial"/>
          <w:sz w:val="20"/>
          <w:szCs w:val="20"/>
          <w:lang w:val="en-US"/>
        </w:rPr>
        <w:t xml:space="preserve"> </w:t>
      </w:r>
      <w:r w:rsidRPr="00D869E3">
        <w:rPr>
          <w:rFonts w:ascii="Verdana" w:hAnsi="Verdana" w:cs="Arial"/>
          <w:sz w:val="20"/>
          <w:szCs w:val="20"/>
          <w:lang w:val="en-US"/>
        </w:rPr>
        <w:t xml:space="preserve">has already </w:t>
      </w:r>
      <w:r w:rsidR="004252BA" w:rsidRPr="00D869E3">
        <w:rPr>
          <w:rFonts w:ascii="Verdana" w:hAnsi="Verdana" w:cs="Arial"/>
          <w:sz w:val="20"/>
          <w:szCs w:val="20"/>
          <w:lang w:val="en-US"/>
        </w:rPr>
        <w:t xml:space="preserve">taken indirect decisions with regard to </w:t>
      </w:r>
      <w:r w:rsidR="00F42CF0" w:rsidRPr="00D869E3">
        <w:rPr>
          <w:rFonts w:ascii="Verdana" w:hAnsi="Verdana" w:cs="Arial"/>
          <w:sz w:val="20"/>
          <w:szCs w:val="20"/>
          <w:lang w:val="en-US"/>
        </w:rPr>
        <w:t>ESCR</w:t>
      </w:r>
      <w:r w:rsidR="00E70701" w:rsidRPr="00D869E3">
        <w:rPr>
          <w:rFonts w:ascii="Verdana" w:hAnsi="Verdana" w:cs="Arial"/>
          <w:sz w:val="20"/>
          <w:szCs w:val="20"/>
          <w:lang w:val="en-US"/>
        </w:rPr>
        <w:t>, general</w:t>
      </w:r>
      <w:r w:rsidR="004252BA" w:rsidRPr="00D869E3">
        <w:rPr>
          <w:rFonts w:ascii="Verdana" w:hAnsi="Verdana" w:cs="Arial"/>
          <w:sz w:val="20"/>
          <w:szCs w:val="20"/>
          <w:lang w:val="en-US"/>
        </w:rPr>
        <w:t>ly by using connectivity, which is a less polemic methodology and, above all, more respectful of the intention of the States expressed i</w:t>
      </w:r>
      <w:r w:rsidR="00E70701" w:rsidRPr="00D869E3">
        <w:rPr>
          <w:rFonts w:ascii="Verdana" w:hAnsi="Verdana" w:cs="Arial"/>
          <w:sz w:val="20"/>
          <w:szCs w:val="20"/>
          <w:lang w:val="en-US"/>
        </w:rPr>
        <w:t xml:space="preserve">n </w:t>
      </w:r>
      <w:r w:rsidR="00447C65" w:rsidRPr="00D869E3">
        <w:rPr>
          <w:rFonts w:ascii="Verdana" w:hAnsi="Verdana" w:cs="Arial"/>
          <w:sz w:val="20"/>
          <w:szCs w:val="20"/>
          <w:lang w:val="en-US"/>
        </w:rPr>
        <w:t>the American Convention</w:t>
      </w:r>
      <w:r w:rsidR="00687684" w:rsidRPr="00D869E3">
        <w:rPr>
          <w:rFonts w:ascii="Verdana" w:hAnsi="Verdana" w:cs="Arial"/>
          <w:sz w:val="20"/>
          <w:szCs w:val="20"/>
          <w:lang w:val="en-US"/>
        </w:rPr>
        <w:t xml:space="preserve"> and </w:t>
      </w:r>
      <w:r w:rsidR="004252BA" w:rsidRPr="00D869E3">
        <w:rPr>
          <w:rFonts w:ascii="Verdana" w:hAnsi="Verdana" w:cs="Arial"/>
          <w:sz w:val="20"/>
          <w:szCs w:val="20"/>
          <w:lang w:val="en-US"/>
        </w:rPr>
        <w:t>in its</w:t>
      </w:r>
      <w:r w:rsidR="00E70701" w:rsidRPr="00D869E3">
        <w:rPr>
          <w:rFonts w:ascii="Verdana" w:hAnsi="Verdana" w:cs="Arial"/>
          <w:sz w:val="20"/>
          <w:szCs w:val="20"/>
          <w:lang w:val="en-US"/>
        </w:rPr>
        <w:t xml:space="preserve"> </w:t>
      </w:r>
      <w:r w:rsidR="000F0B45" w:rsidRPr="00D869E3">
        <w:rPr>
          <w:rFonts w:ascii="Verdana" w:hAnsi="Verdana" w:cs="Arial"/>
          <w:sz w:val="20"/>
          <w:szCs w:val="20"/>
          <w:lang w:val="en-US"/>
        </w:rPr>
        <w:t>Protocol</w:t>
      </w:r>
      <w:r w:rsidR="00E70701" w:rsidRPr="00D869E3">
        <w:rPr>
          <w:rFonts w:ascii="Verdana" w:hAnsi="Verdana" w:cs="Arial"/>
          <w:sz w:val="20"/>
          <w:szCs w:val="20"/>
          <w:lang w:val="en-US"/>
        </w:rPr>
        <w:t xml:space="preserve">. </w:t>
      </w:r>
      <w:r w:rsidR="004252BA" w:rsidRPr="00D869E3">
        <w:rPr>
          <w:rFonts w:ascii="Verdana" w:hAnsi="Verdana" w:cs="Arial"/>
          <w:sz w:val="20"/>
          <w:szCs w:val="20"/>
          <w:lang w:val="en-US"/>
        </w:rPr>
        <w:t xml:space="preserve">It should not be overlooked that any action above and beyond </w:t>
      </w:r>
      <w:r w:rsidR="00447C65" w:rsidRPr="00D869E3">
        <w:rPr>
          <w:rFonts w:ascii="Verdana" w:hAnsi="Verdana" w:cs="Arial"/>
          <w:sz w:val="20"/>
          <w:szCs w:val="20"/>
          <w:lang w:val="en-US"/>
        </w:rPr>
        <w:t>the American Convention</w:t>
      </w:r>
      <w:r w:rsidR="00E70701" w:rsidRPr="00D869E3">
        <w:rPr>
          <w:rFonts w:ascii="Verdana" w:hAnsi="Verdana" w:cs="Arial"/>
          <w:sz w:val="20"/>
          <w:szCs w:val="20"/>
          <w:lang w:val="en-US"/>
        </w:rPr>
        <w:t xml:space="preserve"> </w:t>
      </w:r>
      <w:r w:rsidR="004252BA" w:rsidRPr="00D869E3">
        <w:rPr>
          <w:rFonts w:ascii="Verdana" w:hAnsi="Verdana" w:cs="Arial"/>
          <w:sz w:val="20"/>
          <w:szCs w:val="20"/>
          <w:lang w:val="en-US"/>
        </w:rPr>
        <w:t xml:space="preserve">will be arbitrary even when it is based on good intentions. </w:t>
      </w:r>
    </w:p>
    <w:p w14:paraId="5064DA90" w14:textId="77777777" w:rsidR="004252BA" w:rsidRPr="00D869E3" w:rsidRDefault="004252BA" w:rsidP="004252BA">
      <w:pPr>
        <w:pStyle w:val="Prrafodelista"/>
        <w:ind w:left="0"/>
        <w:jc w:val="both"/>
        <w:rPr>
          <w:rFonts w:ascii="Verdana" w:hAnsi="Verdana" w:cs="Arial"/>
          <w:sz w:val="20"/>
          <w:szCs w:val="20"/>
          <w:lang w:val="en-US"/>
        </w:rPr>
      </w:pPr>
    </w:p>
    <w:p w14:paraId="5D8CE7D1" w14:textId="47DC3E05" w:rsidR="00E70701" w:rsidRPr="00D869E3" w:rsidRDefault="00E70701" w:rsidP="00E70701">
      <w:pPr>
        <w:pStyle w:val="Prrafodelista"/>
        <w:numPr>
          <w:ilvl w:val="0"/>
          <w:numId w:val="36"/>
        </w:numPr>
        <w:jc w:val="both"/>
        <w:rPr>
          <w:rFonts w:ascii="Verdana" w:hAnsi="Verdana" w:cs="Arial"/>
          <w:b/>
          <w:sz w:val="20"/>
          <w:szCs w:val="20"/>
          <w:lang w:val="en-US"/>
        </w:rPr>
      </w:pPr>
      <w:r w:rsidRPr="00D869E3">
        <w:rPr>
          <w:rFonts w:ascii="Verdana" w:hAnsi="Verdana" w:cs="Arial"/>
          <w:b/>
          <w:sz w:val="20"/>
          <w:szCs w:val="20"/>
          <w:lang w:val="en-US"/>
        </w:rPr>
        <w:t>GENERAL</w:t>
      </w:r>
      <w:r w:rsidR="00FC5579" w:rsidRPr="00D869E3">
        <w:rPr>
          <w:rFonts w:ascii="Verdana" w:hAnsi="Verdana" w:cs="Arial"/>
          <w:b/>
          <w:sz w:val="20"/>
          <w:szCs w:val="20"/>
          <w:lang w:val="en-US"/>
        </w:rPr>
        <w:t xml:space="preserve"> CONCLUSION</w:t>
      </w:r>
    </w:p>
    <w:p w14:paraId="01A61917" w14:textId="77777777" w:rsidR="00E70701" w:rsidRPr="00D869E3" w:rsidRDefault="00E70701" w:rsidP="00C44F79">
      <w:pPr>
        <w:jc w:val="both"/>
        <w:rPr>
          <w:rFonts w:ascii="Verdana" w:hAnsi="Verdana" w:cs="Arial"/>
          <w:sz w:val="20"/>
          <w:szCs w:val="20"/>
          <w:lang w:val="en-US"/>
        </w:rPr>
      </w:pPr>
    </w:p>
    <w:p w14:paraId="5C1D4ADD" w14:textId="3D4A7299" w:rsidR="00E70701" w:rsidRPr="00D869E3" w:rsidRDefault="004252BA" w:rsidP="004252BA">
      <w:pPr>
        <w:pStyle w:val="Prrafodelista"/>
        <w:numPr>
          <w:ilvl w:val="0"/>
          <w:numId w:val="37"/>
        </w:numPr>
        <w:ind w:left="0" w:firstLine="0"/>
        <w:jc w:val="both"/>
        <w:rPr>
          <w:rFonts w:ascii="Verdana" w:hAnsi="Verdana" w:cs="Arial"/>
          <w:sz w:val="20"/>
          <w:szCs w:val="20"/>
          <w:lang w:val="en-US"/>
        </w:rPr>
      </w:pPr>
      <w:r w:rsidRPr="00D869E3">
        <w:rPr>
          <w:rFonts w:ascii="Verdana" w:hAnsi="Verdana" w:cs="Arial"/>
          <w:sz w:val="20"/>
          <w:szCs w:val="20"/>
          <w:lang w:val="en-US"/>
        </w:rPr>
        <w:t xml:space="preserve">In general, I consider that a judgment that declares the international responsibility of a State cannot </w:t>
      </w:r>
      <w:r w:rsidR="00B8078C" w:rsidRPr="00D869E3">
        <w:rPr>
          <w:rFonts w:ascii="Verdana" w:hAnsi="Verdana" w:cs="Arial"/>
          <w:sz w:val="20"/>
          <w:szCs w:val="20"/>
          <w:lang w:val="en-US"/>
        </w:rPr>
        <w:t>include</w:t>
      </w:r>
      <w:r w:rsidRPr="00D869E3">
        <w:rPr>
          <w:rFonts w:ascii="Verdana" w:hAnsi="Verdana" w:cs="Arial"/>
          <w:sz w:val="20"/>
          <w:szCs w:val="20"/>
          <w:lang w:val="en-US"/>
        </w:rPr>
        <w:t xml:space="preserve"> </w:t>
      </w:r>
      <w:r w:rsidR="00794206" w:rsidRPr="00D869E3">
        <w:rPr>
          <w:rFonts w:ascii="Verdana" w:hAnsi="Verdana" w:cs="Arial"/>
          <w:sz w:val="20"/>
          <w:szCs w:val="20"/>
          <w:lang w:val="en-US"/>
        </w:rPr>
        <w:t>flaws</w:t>
      </w:r>
      <w:r w:rsidRPr="00D869E3">
        <w:rPr>
          <w:rFonts w:ascii="Verdana" w:hAnsi="Verdana" w:cs="Arial"/>
          <w:sz w:val="20"/>
          <w:szCs w:val="20"/>
          <w:lang w:val="en-US"/>
        </w:rPr>
        <w:t xml:space="preserve"> in its arguments of the magnitude described above. If the Court wishes to </w:t>
      </w:r>
      <w:r w:rsidR="00A43B46" w:rsidRPr="00D869E3">
        <w:rPr>
          <w:rFonts w:ascii="Verdana" w:hAnsi="Verdana" w:cs="Arial"/>
          <w:sz w:val="20"/>
          <w:szCs w:val="20"/>
          <w:lang w:val="en-US"/>
        </w:rPr>
        <w:t xml:space="preserve">hold the domestic courts to </w:t>
      </w:r>
      <w:r w:rsidRPr="00D869E3">
        <w:rPr>
          <w:rFonts w:ascii="Verdana" w:hAnsi="Verdana" w:cs="Arial"/>
          <w:sz w:val="20"/>
          <w:szCs w:val="20"/>
          <w:lang w:val="en-US"/>
        </w:rPr>
        <w:t>such a high standard</w:t>
      </w:r>
      <w:r w:rsidR="00A43B46" w:rsidRPr="00D869E3">
        <w:rPr>
          <w:rFonts w:ascii="Verdana" w:hAnsi="Verdana" w:cs="Arial"/>
          <w:sz w:val="20"/>
          <w:szCs w:val="20"/>
          <w:lang w:val="en-US"/>
        </w:rPr>
        <w:t xml:space="preserve"> as that established in this judgment</w:t>
      </w:r>
      <w:r w:rsidRPr="00D869E3">
        <w:rPr>
          <w:rFonts w:ascii="Verdana" w:hAnsi="Verdana" w:cs="Arial"/>
          <w:sz w:val="20"/>
          <w:szCs w:val="20"/>
          <w:lang w:val="en-US"/>
        </w:rPr>
        <w:t xml:space="preserve"> </w:t>
      </w:r>
      <w:r w:rsidR="00A43B46" w:rsidRPr="00D869E3">
        <w:rPr>
          <w:rFonts w:ascii="Verdana" w:hAnsi="Verdana" w:cs="Arial"/>
          <w:sz w:val="20"/>
          <w:szCs w:val="20"/>
          <w:lang w:val="en-US"/>
        </w:rPr>
        <w:t>with regard to providing the reasons for their decisions,</w:t>
      </w:r>
      <w:r w:rsidRPr="00D869E3">
        <w:rPr>
          <w:rFonts w:ascii="Verdana" w:hAnsi="Verdana" w:cs="Arial"/>
          <w:sz w:val="20"/>
          <w:szCs w:val="20"/>
          <w:lang w:val="en-US"/>
        </w:rPr>
        <w:t xml:space="preserve"> the minimum that can be required is that it use the same </w:t>
      </w:r>
      <w:r w:rsidR="00A43B46" w:rsidRPr="00D869E3">
        <w:rPr>
          <w:rFonts w:ascii="Verdana" w:hAnsi="Verdana" w:cs="Arial"/>
          <w:sz w:val="20"/>
          <w:szCs w:val="20"/>
          <w:lang w:val="en-US"/>
        </w:rPr>
        <w:t>yardstick</w:t>
      </w:r>
      <w:r w:rsidRPr="00D869E3">
        <w:rPr>
          <w:rFonts w:ascii="Verdana" w:hAnsi="Verdana" w:cs="Arial"/>
          <w:sz w:val="20"/>
          <w:szCs w:val="20"/>
          <w:lang w:val="en-US"/>
        </w:rPr>
        <w:t xml:space="preserve"> for its own decision because, to the contrary, it runs the risk of adversely affecting the legitimacy </w:t>
      </w:r>
      <w:r w:rsidR="00447C65" w:rsidRPr="00D869E3">
        <w:rPr>
          <w:rFonts w:ascii="Verdana" w:hAnsi="Verdana" w:cs="Arial"/>
          <w:sz w:val="20"/>
          <w:szCs w:val="20"/>
          <w:lang w:val="en-US"/>
        </w:rPr>
        <w:t xml:space="preserve">of </w:t>
      </w:r>
      <w:r w:rsidR="00671B14" w:rsidRPr="00D869E3">
        <w:rPr>
          <w:rFonts w:ascii="Verdana" w:hAnsi="Verdana" w:cs="Arial"/>
          <w:sz w:val="20"/>
          <w:szCs w:val="20"/>
          <w:lang w:val="en-US"/>
        </w:rPr>
        <w:t>the Inter-American Court</w:t>
      </w:r>
      <w:r w:rsidR="00E70701" w:rsidRPr="00D869E3">
        <w:rPr>
          <w:rFonts w:ascii="Verdana" w:hAnsi="Verdana" w:cs="Arial"/>
          <w:sz w:val="20"/>
          <w:szCs w:val="20"/>
          <w:lang w:val="en-US"/>
        </w:rPr>
        <w:t xml:space="preserve"> </w:t>
      </w:r>
      <w:hyperlink r:id="rId12" w:history="1">
        <w:r w:rsidRPr="00D869E3">
          <w:rPr>
            <w:rStyle w:val="Hipervnculo"/>
            <w:rFonts w:ascii="Verdana" w:hAnsi="Verdana"/>
            <w:color w:val="auto"/>
            <w:sz w:val="20"/>
            <w:szCs w:val="20"/>
            <w:u w:val="none"/>
            <w:lang w:val="en-US"/>
          </w:rPr>
          <w:t>vis-à-vis</w:t>
        </w:r>
      </w:hyperlink>
      <w:r w:rsidRPr="00D869E3">
        <w:rPr>
          <w:rFonts w:ascii="Verdana" w:hAnsi="Verdana" w:cs="Arial"/>
          <w:sz w:val="20"/>
          <w:szCs w:val="20"/>
          <w:lang w:val="en-US"/>
        </w:rPr>
        <w:t xml:space="preserve"> our colleagues in </w:t>
      </w:r>
      <w:r w:rsidR="00ED5EF9" w:rsidRPr="00D869E3">
        <w:rPr>
          <w:rFonts w:ascii="Verdana" w:hAnsi="Verdana" w:cs="Arial"/>
          <w:sz w:val="20"/>
          <w:szCs w:val="20"/>
          <w:lang w:val="en-US"/>
        </w:rPr>
        <w:t>the jurisdictional task.</w:t>
      </w:r>
    </w:p>
    <w:p w14:paraId="6ACDF360" w14:textId="77777777" w:rsidR="00E70701" w:rsidRPr="00D869E3" w:rsidRDefault="00E70701" w:rsidP="00C44F79">
      <w:pPr>
        <w:pStyle w:val="Prrafodelista"/>
        <w:ind w:left="0"/>
        <w:jc w:val="both"/>
        <w:rPr>
          <w:rFonts w:ascii="Verdana" w:hAnsi="Verdana" w:cs="Arial"/>
          <w:sz w:val="20"/>
          <w:szCs w:val="20"/>
          <w:lang w:val="en-US"/>
        </w:rPr>
      </w:pPr>
    </w:p>
    <w:p w14:paraId="2DB79745" w14:textId="0BBA80AE" w:rsidR="00ED5EF9" w:rsidRPr="00D869E3" w:rsidRDefault="00ED5EF9" w:rsidP="00ED5EF9">
      <w:pPr>
        <w:pStyle w:val="Prrafodelista"/>
        <w:numPr>
          <w:ilvl w:val="0"/>
          <w:numId w:val="37"/>
        </w:numPr>
        <w:ind w:left="0" w:firstLine="0"/>
        <w:jc w:val="both"/>
        <w:rPr>
          <w:rFonts w:ascii="Verdana" w:hAnsi="Verdana" w:cs="Arial"/>
          <w:sz w:val="20"/>
          <w:szCs w:val="20"/>
          <w:lang w:val="en-US"/>
        </w:rPr>
      </w:pPr>
      <w:r w:rsidRPr="00D869E3">
        <w:rPr>
          <w:rFonts w:ascii="Verdana" w:hAnsi="Verdana" w:cs="Arial"/>
          <w:sz w:val="20"/>
          <w:szCs w:val="20"/>
          <w:lang w:val="en-US"/>
        </w:rPr>
        <w:t>In point of fact, the legitimacy</w:t>
      </w:r>
      <w:r w:rsidR="00447C65" w:rsidRPr="00D869E3">
        <w:rPr>
          <w:rFonts w:ascii="Verdana" w:hAnsi="Verdana" w:cs="Arial"/>
          <w:sz w:val="20"/>
          <w:szCs w:val="20"/>
          <w:lang w:val="en-US"/>
        </w:rPr>
        <w:t xml:space="preserve"> of the Inter-American Court</w:t>
      </w:r>
      <w:r w:rsidR="00E70701" w:rsidRPr="00D869E3">
        <w:rPr>
          <w:rFonts w:ascii="Verdana" w:hAnsi="Verdana" w:cs="Arial"/>
          <w:sz w:val="20"/>
          <w:szCs w:val="20"/>
          <w:lang w:val="en-US"/>
        </w:rPr>
        <w:t xml:space="preserve"> </w:t>
      </w:r>
      <w:r w:rsidRPr="00D869E3">
        <w:rPr>
          <w:rFonts w:ascii="Verdana" w:hAnsi="Verdana" w:cs="Arial"/>
          <w:sz w:val="20"/>
          <w:szCs w:val="20"/>
          <w:lang w:val="en-US"/>
        </w:rPr>
        <w:t xml:space="preserve">derives from the rigor of its arguments and legal constructs, as well as from the justice achieved through its decisions. Consequently, the </w:t>
      </w:r>
      <w:r w:rsidR="00A43B46" w:rsidRPr="00D869E3">
        <w:rPr>
          <w:rFonts w:ascii="Verdana" w:hAnsi="Verdana" w:cs="Arial"/>
          <w:sz w:val="20"/>
          <w:szCs w:val="20"/>
          <w:lang w:val="en-US"/>
        </w:rPr>
        <w:t>intention of trying</w:t>
      </w:r>
      <w:r w:rsidRPr="00D869E3">
        <w:rPr>
          <w:rFonts w:ascii="Verdana" w:hAnsi="Verdana" w:cs="Arial"/>
          <w:sz w:val="20"/>
          <w:szCs w:val="20"/>
          <w:lang w:val="en-US"/>
        </w:rPr>
        <w:t xml:space="preserve"> to get it right is not enough</w:t>
      </w:r>
      <w:r w:rsidR="00A43B46" w:rsidRPr="00D869E3">
        <w:rPr>
          <w:rFonts w:ascii="Verdana" w:hAnsi="Verdana" w:cs="Arial"/>
          <w:sz w:val="20"/>
          <w:szCs w:val="20"/>
          <w:lang w:val="en-US"/>
        </w:rPr>
        <w:t xml:space="preserve"> – is</w:t>
      </w:r>
      <w:r w:rsidRPr="00D869E3">
        <w:rPr>
          <w:rFonts w:ascii="Verdana" w:hAnsi="Verdana" w:cs="Arial"/>
          <w:sz w:val="20"/>
          <w:szCs w:val="20"/>
          <w:lang w:val="en-US"/>
        </w:rPr>
        <w:t xml:space="preserve"> insufficient</w:t>
      </w:r>
      <w:r w:rsidR="00A43B46" w:rsidRPr="00D869E3">
        <w:rPr>
          <w:rFonts w:ascii="Verdana" w:hAnsi="Verdana" w:cs="Arial"/>
          <w:sz w:val="20"/>
          <w:szCs w:val="20"/>
          <w:lang w:val="en-US"/>
        </w:rPr>
        <w:t xml:space="preserve"> – b</w:t>
      </w:r>
      <w:r w:rsidRPr="00D869E3">
        <w:rPr>
          <w:rFonts w:ascii="Verdana" w:hAnsi="Verdana" w:cs="Arial"/>
          <w:sz w:val="20"/>
          <w:szCs w:val="20"/>
          <w:lang w:val="en-US"/>
        </w:rPr>
        <w:t xml:space="preserve">ecause what </w:t>
      </w:r>
      <w:r w:rsidR="00A43B46" w:rsidRPr="00D869E3">
        <w:rPr>
          <w:rFonts w:ascii="Verdana" w:hAnsi="Verdana" w:cs="Arial"/>
          <w:sz w:val="20"/>
          <w:szCs w:val="20"/>
          <w:lang w:val="en-US"/>
        </w:rPr>
        <w:t>this</w:t>
      </w:r>
      <w:r w:rsidRPr="00D869E3">
        <w:rPr>
          <w:rFonts w:ascii="Verdana" w:hAnsi="Verdana" w:cs="Arial"/>
          <w:sz w:val="20"/>
          <w:szCs w:val="20"/>
          <w:lang w:val="en-US"/>
        </w:rPr>
        <w:t xml:space="preserve"> may generate is an important factor for the delegitimization of the Court. Indeed, ultimately, decisions such as this one create a vision, </w:t>
      </w:r>
      <w:r w:rsidR="00A43B46" w:rsidRPr="00D869E3">
        <w:rPr>
          <w:rFonts w:ascii="Verdana" w:hAnsi="Verdana" w:cs="Arial"/>
          <w:sz w:val="20"/>
          <w:szCs w:val="20"/>
          <w:lang w:val="en-US"/>
        </w:rPr>
        <w:t>a</w:t>
      </w:r>
      <w:r w:rsidRPr="00D869E3">
        <w:rPr>
          <w:rFonts w:ascii="Verdana" w:hAnsi="Verdana" w:cs="Arial"/>
          <w:sz w:val="20"/>
          <w:szCs w:val="20"/>
          <w:lang w:val="en-US"/>
        </w:rPr>
        <w:t xml:space="preserve"> project of integration and transformations arising </w:t>
      </w:r>
      <w:r w:rsidR="00A43B46" w:rsidRPr="00D869E3">
        <w:rPr>
          <w:rFonts w:ascii="Verdana" w:hAnsi="Verdana" w:cs="Arial"/>
          <w:sz w:val="20"/>
          <w:szCs w:val="20"/>
          <w:lang w:val="en-US"/>
        </w:rPr>
        <w:t xml:space="preserve">autonomously </w:t>
      </w:r>
      <w:r w:rsidRPr="00D869E3">
        <w:rPr>
          <w:rFonts w:ascii="Verdana" w:hAnsi="Verdana" w:cs="Arial"/>
          <w:sz w:val="20"/>
          <w:szCs w:val="20"/>
          <w:lang w:val="en-US"/>
        </w:rPr>
        <w:t xml:space="preserve">from the organs of the inter-American human rights system, moving away from the main function </w:t>
      </w:r>
      <w:r w:rsidR="00447C65" w:rsidRPr="00D869E3">
        <w:rPr>
          <w:rFonts w:ascii="Verdana" w:hAnsi="Verdana" w:cs="Arial"/>
          <w:sz w:val="20"/>
          <w:szCs w:val="20"/>
          <w:lang w:val="en-US"/>
        </w:rPr>
        <w:t xml:space="preserve">of </w:t>
      </w:r>
      <w:r w:rsidR="00671B14" w:rsidRPr="00D869E3">
        <w:rPr>
          <w:rFonts w:ascii="Verdana" w:hAnsi="Verdana" w:cs="Arial"/>
          <w:sz w:val="20"/>
          <w:szCs w:val="20"/>
          <w:lang w:val="en-US"/>
        </w:rPr>
        <w:t>the Inter-American Court</w:t>
      </w:r>
      <w:r w:rsidR="00E70701" w:rsidRPr="00D869E3">
        <w:rPr>
          <w:rFonts w:ascii="Verdana" w:hAnsi="Verdana" w:cs="Arial"/>
          <w:sz w:val="20"/>
          <w:szCs w:val="20"/>
          <w:lang w:val="en-US"/>
        </w:rPr>
        <w:t xml:space="preserve">, </w:t>
      </w:r>
      <w:r w:rsidRPr="00D869E3">
        <w:rPr>
          <w:rFonts w:ascii="Verdana" w:hAnsi="Verdana" w:cs="Arial"/>
          <w:sz w:val="20"/>
          <w:szCs w:val="20"/>
          <w:lang w:val="en-US"/>
        </w:rPr>
        <w:t xml:space="preserve">which is to administer justice, ensuring the protection of human rights while strictly respecting its jurisdiction. </w:t>
      </w:r>
      <w:r w:rsidR="00A43B46" w:rsidRPr="00D869E3">
        <w:rPr>
          <w:rFonts w:ascii="Verdana" w:hAnsi="Verdana" w:cs="Arial"/>
          <w:sz w:val="20"/>
          <w:szCs w:val="20"/>
          <w:lang w:val="en-US"/>
        </w:rPr>
        <w:t>Indeed</w:t>
      </w:r>
      <w:r w:rsidRPr="00D869E3">
        <w:rPr>
          <w:rFonts w:ascii="Verdana" w:hAnsi="Verdana" w:cs="Arial"/>
          <w:sz w:val="20"/>
          <w:szCs w:val="20"/>
          <w:lang w:val="en-US"/>
        </w:rPr>
        <w:t xml:space="preserve">, </w:t>
      </w:r>
      <w:r w:rsidR="00D93271" w:rsidRPr="00D869E3">
        <w:rPr>
          <w:rFonts w:ascii="Verdana" w:hAnsi="Verdana" w:cs="Arial"/>
          <w:sz w:val="20"/>
          <w:szCs w:val="20"/>
          <w:lang w:val="en-US"/>
        </w:rPr>
        <w:t>it is not possible to create transformational law that runs counter to the law in force.</w:t>
      </w:r>
    </w:p>
    <w:p w14:paraId="35C7A15E" w14:textId="77777777" w:rsidR="00E70701" w:rsidRPr="00D869E3" w:rsidRDefault="00E70701" w:rsidP="00C44F79">
      <w:pPr>
        <w:jc w:val="both"/>
        <w:rPr>
          <w:rFonts w:ascii="Verdana" w:hAnsi="Verdana" w:cs="Arial"/>
          <w:sz w:val="20"/>
          <w:szCs w:val="20"/>
          <w:lang w:val="en-US"/>
        </w:rPr>
      </w:pPr>
    </w:p>
    <w:p w14:paraId="0AC30356" w14:textId="6A9886A4" w:rsidR="00D93271" w:rsidRPr="00D869E3" w:rsidRDefault="00D93271" w:rsidP="00E70701">
      <w:pPr>
        <w:pStyle w:val="Prrafodelista"/>
        <w:numPr>
          <w:ilvl w:val="0"/>
          <w:numId w:val="37"/>
        </w:numPr>
        <w:ind w:left="0" w:firstLine="0"/>
        <w:jc w:val="both"/>
        <w:rPr>
          <w:rFonts w:ascii="Verdana" w:hAnsi="Verdana" w:cs="Arial"/>
          <w:sz w:val="20"/>
          <w:szCs w:val="20"/>
          <w:lang w:val="en-US"/>
        </w:rPr>
      </w:pPr>
      <w:r w:rsidRPr="00D869E3">
        <w:rPr>
          <w:rFonts w:ascii="Verdana" w:hAnsi="Verdana" w:cs="Arial"/>
          <w:sz w:val="20"/>
          <w:szCs w:val="20"/>
          <w:lang w:val="en-US"/>
        </w:rPr>
        <w:t xml:space="preserve">Finally, I hope that this opinion makes a contribution to understanding the </w:t>
      </w:r>
      <w:r w:rsidR="00A43B46" w:rsidRPr="00D869E3">
        <w:rPr>
          <w:rFonts w:ascii="Verdana" w:hAnsi="Verdana" w:cs="Arial"/>
          <w:sz w:val="20"/>
          <w:szCs w:val="20"/>
          <w:lang w:val="en-US"/>
        </w:rPr>
        <w:t>magnitude</w:t>
      </w:r>
      <w:r w:rsidRPr="00D869E3">
        <w:rPr>
          <w:rFonts w:ascii="Verdana" w:hAnsi="Verdana" w:cs="Arial"/>
          <w:sz w:val="20"/>
          <w:szCs w:val="20"/>
          <w:lang w:val="en-US"/>
        </w:rPr>
        <w:t xml:space="preserve"> of the decision that the majority of the Inter-American Court adopted in this case, and reveal</w:t>
      </w:r>
      <w:r w:rsidR="00A43B46" w:rsidRPr="00D869E3">
        <w:rPr>
          <w:rFonts w:ascii="Verdana" w:hAnsi="Verdana" w:cs="Arial"/>
          <w:sz w:val="20"/>
          <w:szCs w:val="20"/>
          <w:lang w:val="en-US"/>
        </w:rPr>
        <w:t>s</w:t>
      </w:r>
      <w:r w:rsidRPr="00D869E3">
        <w:rPr>
          <w:rFonts w:ascii="Verdana" w:hAnsi="Verdana" w:cs="Arial"/>
          <w:sz w:val="20"/>
          <w:szCs w:val="20"/>
          <w:lang w:val="en-US"/>
        </w:rPr>
        <w:t xml:space="preserve"> the main problems arising from the judgment. Only sincere criticism and open and public debate can help mitigate, up to a certain point, the risk</w:t>
      </w:r>
      <w:r w:rsidR="00A43B46" w:rsidRPr="00D869E3">
        <w:rPr>
          <w:rFonts w:ascii="Verdana" w:hAnsi="Verdana" w:cs="Arial"/>
          <w:sz w:val="20"/>
          <w:szCs w:val="20"/>
          <w:lang w:val="en-US"/>
        </w:rPr>
        <w:t>s</w:t>
      </w:r>
      <w:r w:rsidRPr="00D869E3">
        <w:rPr>
          <w:rFonts w:ascii="Verdana" w:hAnsi="Verdana" w:cs="Arial"/>
          <w:sz w:val="20"/>
          <w:szCs w:val="20"/>
          <w:lang w:val="en-US"/>
        </w:rPr>
        <w:t xml:space="preserve"> </w:t>
      </w:r>
      <w:r w:rsidR="00A43B46" w:rsidRPr="00D869E3">
        <w:rPr>
          <w:rFonts w:ascii="Verdana" w:hAnsi="Verdana" w:cs="Arial"/>
          <w:sz w:val="20"/>
          <w:szCs w:val="20"/>
          <w:lang w:val="en-US"/>
        </w:rPr>
        <w:t>to</w:t>
      </w:r>
      <w:r w:rsidRPr="00D869E3">
        <w:rPr>
          <w:rFonts w:ascii="Verdana" w:hAnsi="Verdana" w:cs="Arial"/>
          <w:sz w:val="20"/>
          <w:szCs w:val="20"/>
          <w:lang w:val="en-US"/>
        </w:rPr>
        <w:t xml:space="preserve"> legitimacy and legal certainty that may arise from this judgment.</w:t>
      </w:r>
    </w:p>
    <w:p w14:paraId="7663AD6A" w14:textId="77777777" w:rsidR="00D93271" w:rsidRPr="00D869E3" w:rsidRDefault="00D93271" w:rsidP="00D93271">
      <w:pPr>
        <w:pStyle w:val="Prrafodelista"/>
        <w:rPr>
          <w:rFonts w:ascii="Verdana" w:hAnsi="Verdana" w:cs="Arial"/>
          <w:sz w:val="20"/>
          <w:szCs w:val="20"/>
          <w:lang w:val="en-US"/>
        </w:rPr>
      </w:pPr>
    </w:p>
    <w:p w14:paraId="2B809512" w14:textId="77777777" w:rsidR="00E70701" w:rsidRPr="00D869E3" w:rsidRDefault="00E70701" w:rsidP="00C44F79">
      <w:pPr>
        <w:pStyle w:val="NormalWeb"/>
        <w:spacing w:before="0" w:beforeAutospacing="0" w:after="0" w:afterAutospacing="0"/>
        <w:ind w:left="3600" w:right="96" w:firstLine="720"/>
        <w:jc w:val="center"/>
        <w:rPr>
          <w:rFonts w:ascii="Verdana" w:eastAsia="Calibri" w:hAnsi="Verdana"/>
          <w:sz w:val="20"/>
          <w:szCs w:val="20"/>
          <w:lang w:val="en-US" w:eastAsia="en-US"/>
        </w:rPr>
      </w:pPr>
    </w:p>
    <w:p w14:paraId="7EE39972" w14:textId="77777777" w:rsidR="00E70701" w:rsidRPr="00D869E3" w:rsidRDefault="00E70701" w:rsidP="00C44F79">
      <w:pPr>
        <w:pStyle w:val="NormalWeb"/>
        <w:spacing w:before="0" w:beforeAutospacing="0" w:after="0" w:afterAutospacing="0"/>
        <w:ind w:left="3600" w:right="96" w:firstLine="720"/>
        <w:jc w:val="center"/>
        <w:rPr>
          <w:rFonts w:ascii="Verdana" w:eastAsia="Calibri" w:hAnsi="Verdana"/>
          <w:sz w:val="20"/>
          <w:szCs w:val="20"/>
          <w:lang w:val="en-US" w:eastAsia="en-US"/>
        </w:rPr>
      </w:pPr>
    </w:p>
    <w:p w14:paraId="7C82964F" w14:textId="77777777" w:rsidR="00E70701" w:rsidRPr="00D869E3" w:rsidRDefault="00E70701" w:rsidP="00C44F79">
      <w:pPr>
        <w:pStyle w:val="NormalWeb"/>
        <w:spacing w:before="0" w:beforeAutospacing="0" w:after="0" w:afterAutospacing="0"/>
        <w:ind w:left="3600" w:right="96" w:firstLine="720"/>
        <w:jc w:val="center"/>
        <w:rPr>
          <w:rFonts w:ascii="Verdana" w:eastAsia="Calibri" w:hAnsi="Verdana"/>
          <w:sz w:val="20"/>
          <w:szCs w:val="20"/>
          <w:lang w:val="en-US" w:eastAsia="en-US"/>
        </w:rPr>
      </w:pPr>
    </w:p>
    <w:p w14:paraId="38CD441E" w14:textId="77777777" w:rsidR="00E70701" w:rsidRPr="00D869E3" w:rsidRDefault="00E70701" w:rsidP="00C44F79">
      <w:pPr>
        <w:pStyle w:val="NormalWeb"/>
        <w:spacing w:before="0" w:beforeAutospacing="0" w:after="0" w:afterAutospacing="0"/>
        <w:ind w:left="3600" w:right="96" w:firstLine="720"/>
        <w:rPr>
          <w:rFonts w:ascii="Verdana" w:eastAsia="Calibri" w:hAnsi="Verdana"/>
          <w:sz w:val="20"/>
          <w:szCs w:val="20"/>
          <w:lang w:val="en-US" w:eastAsia="en-US"/>
        </w:rPr>
      </w:pPr>
    </w:p>
    <w:p w14:paraId="35BB10A2" w14:textId="77777777" w:rsidR="00E70701" w:rsidRPr="00D869E3" w:rsidRDefault="00E70701" w:rsidP="00C44F79">
      <w:pPr>
        <w:pStyle w:val="NormalWeb"/>
        <w:spacing w:before="0" w:beforeAutospacing="0" w:after="0" w:afterAutospacing="0"/>
        <w:ind w:left="2124" w:right="96" w:firstLine="708"/>
        <w:jc w:val="right"/>
        <w:rPr>
          <w:rFonts w:ascii="Verdana" w:eastAsia="Calibri" w:hAnsi="Verdana"/>
          <w:sz w:val="20"/>
          <w:szCs w:val="20"/>
          <w:lang w:eastAsia="en-US"/>
        </w:rPr>
      </w:pPr>
      <w:r w:rsidRPr="00D869E3">
        <w:rPr>
          <w:rFonts w:ascii="Verdana" w:eastAsia="Calibri" w:hAnsi="Verdana"/>
          <w:sz w:val="20"/>
          <w:szCs w:val="20"/>
          <w:lang w:eastAsia="en-US"/>
        </w:rPr>
        <w:t>Humberto A. Sierra Porto</w:t>
      </w:r>
    </w:p>
    <w:p w14:paraId="6479F99B" w14:textId="6D6C16DC" w:rsidR="00E70701" w:rsidRPr="00D869E3" w:rsidRDefault="00447C65" w:rsidP="00C44F79">
      <w:pPr>
        <w:pStyle w:val="NormalWeb"/>
        <w:spacing w:before="0" w:beforeAutospacing="0" w:after="0" w:afterAutospacing="0"/>
        <w:ind w:left="3540" w:right="1548" w:firstLine="708"/>
        <w:jc w:val="right"/>
        <w:rPr>
          <w:rFonts w:ascii="Verdana" w:eastAsia="Calibri" w:hAnsi="Verdana"/>
          <w:sz w:val="20"/>
          <w:szCs w:val="20"/>
          <w:lang w:eastAsia="en-US"/>
        </w:rPr>
      </w:pPr>
      <w:proofErr w:type="spellStart"/>
      <w:r w:rsidRPr="00D869E3">
        <w:rPr>
          <w:rFonts w:ascii="Verdana" w:eastAsia="Calibri" w:hAnsi="Verdana"/>
          <w:sz w:val="20"/>
          <w:szCs w:val="20"/>
          <w:lang w:eastAsia="en-US"/>
        </w:rPr>
        <w:t>Judge</w:t>
      </w:r>
      <w:proofErr w:type="spellEnd"/>
    </w:p>
    <w:p w14:paraId="36699895" w14:textId="77777777" w:rsidR="00E70701" w:rsidRPr="00D869E3" w:rsidRDefault="00E70701" w:rsidP="00C44F79">
      <w:pPr>
        <w:rPr>
          <w:rFonts w:ascii="Verdana" w:hAnsi="Verdana"/>
          <w:sz w:val="20"/>
          <w:szCs w:val="20"/>
          <w:lang w:val="es-CR"/>
        </w:rPr>
      </w:pPr>
    </w:p>
    <w:p w14:paraId="0C0F6DD7" w14:textId="77777777" w:rsidR="00E70701" w:rsidRPr="00D869E3" w:rsidRDefault="00E70701" w:rsidP="00C44F79">
      <w:pPr>
        <w:rPr>
          <w:rFonts w:ascii="Verdana" w:hAnsi="Verdana"/>
          <w:sz w:val="20"/>
          <w:szCs w:val="20"/>
          <w:lang w:val="es-CR"/>
        </w:rPr>
      </w:pPr>
    </w:p>
    <w:p w14:paraId="46F57F30" w14:textId="77777777" w:rsidR="00E70701" w:rsidRPr="00D869E3" w:rsidRDefault="00E70701" w:rsidP="00C44F79">
      <w:pPr>
        <w:rPr>
          <w:rFonts w:ascii="Verdana" w:hAnsi="Verdana"/>
          <w:sz w:val="20"/>
          <w:szCs w:val="20"/>
          <w:lang w:val="es-CR"/>
        </w:rPr>
      </w:pPr>
      <w:r w:rsidRPr="00D869E3">
        <w:rPr>
          <w:rFonts w:ascii="Verdana" w:hAnsi="Verdana"/>
          <w:sz w:val="20"/>
          <w:szCs w:val="20"/>
          <w:lang w:val="es-CR"/>
        </w:rPr>
        <w:t>Pablo Saavedra Alessandri</w:t>
      </w:r>
    </w:p>
    <w:p w14:paraId="0D6D0524" w14:textId="5B3DD2B7" w:rsidR="00324758" w:rsidRPr="00D13E32" w:rsidRDefault="00E70701" w:rsidP="00705592">
      <w:pPr>
        <w:rPr>
          <w:rFonts w:ascii="Verdana" w:hAnsi="Verdana"/>
          <w:sz w:val="20"/>
          <w:szCs w:val="20"/>
          <w:lang w:val="en-US"/>
        </w:rPr>
      </w:pPr>
      <w:r w:rsidRPr="00D869E3">
        <w:rPr>
          <w:rFonts w:ascii="Verdana" w:hAnsi="Verdana"/>
          <w:sz w:val="20"/>
          <w:szCs w:val="20"/>
          <w:lang w:val="es-CR"/>
        </w:rPr>
        <w:tab/>
        <w:t xml:space="preserve">  </w:t>
      </w:r>
      <w:r w:rsidRPr="00D869E3">
        <w:rPr>
          <w:rFonts w:ascii="Verdana" w:hAnsi="Verdana"/>
          <w:sz w:val="20"/>
          <w:szCs w:val="20"/>
          <w:lang w:val="en-US"/>
        </w:rPr>
        <w:t>Secretar</w:t>
      </w:r>
      <w:r w:rsidR="00187515" w:rsidRPr="00D869E3">
        <w:rPr>
          <w:rFonts w:ascii="Verdana" w:hAnsi="Verdana"/>
          <w:sz w:val="20"/>
          <w:szCs w:val="20"/>
          <w:lang w:val="en-US"/>
        </w:rPr>
        <w:t>y</w:t>
      </w:r>
    </w:p>
    <w:sectPr w:rsidR="00324758" w:rsidRPr="00D13E32" w:rsidSect="00C44F79">
      <w:footerReference w:type="even" r:id="rId13"/>
      <w:footerReference w:type="default" r:id="rId14"/>
      <w:footerReference w:type="first" r:id="rId15"/>
      <w:footnotePr>
        <w:numRestart w:val="eachSect"/>
      </w:footnotePr>
      <w:pgSz w:w="12240" w:h="15840" w:code="1"/>
      <w:pgMar w:top="1247" w:right="1247" w:bottom="1247" w:left="124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640CD" w14:textId="77777777" w:rsidR="0068647C" w:rsidRDefault="0068647C" w:rsidP="009E58AE">
      <w:r>
        <w:separator/>
      </w:r>
    </w:p>
  </w:endnote>
  <w:endnote w:type="continuationSeparator" w:id="0">
    <w:p w14:paraId="6E294C85" w14:textId="77777777" w:rsidR="0068647C" w:rsidRDefault="0068647C" w:rsidP="009E58AE">
      <w:r>
        <w:continuationSeparator/>
      </w:r>
    </w:p>
  </w:endnote>
  <w:endnote w:type="continuationNotice" w:id="1">
    <w:p w14:paraId="05A3E825" w14:textId="77777777" w:rsidR="0068647C" w:rsidRDefault="006864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Italic">
    <w:altName w:val="Palatino Linotype"/>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StempelSchneidler-Light">
    <w:panose1 w:val="00000000000000000000"/>
    <w:charset w:val="00"/>
    <w:family w:val="auto"/>
    <w:notTrueType/>
    <w:pitch w:val="default"/>
    <w:sig w:usb0="00000003" w:usb1="00000000" w:usb2="00000000" w:usb3="00000000" w:csb0="00000001" w:csb1="00000000"/>
  </w:font>
  <w:font w:name="System Font Regular">
    <w:charset w:val="00"/>
    <w:family w:val="auto"/>
    <w:pitch w:val="variable"/>
    <w:sig w:usb0="2000028F"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Bold">
    <w:altName w:val="Times New Roman"/>
    <w:charset w:val="00"/>
    <w:family w:val="auto"/>
    <w:pitch w:val="variable"/>
    <w:sig w:usb0="00000001" w:usb1="4000205B" w:usb2="00000010" w:usb3="00000000" w:csb0="0000019F" w:csb1="00000000"/>
  </w:font>
  <w:font w:name="MinionPro-Sem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BBE2A" w14:textId="77777777" w:rsidR="0068647C" w:rsidRDefault="0068647C" w:rsidP="00C44F79">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DB3E93" w14:textId="77777777" w:rsidR="0068647C" w:rsidRDefault="0068647C" w:rsidP="00C44F7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56413" w14:textId="28506253" w:rsidR="0068647C" w:rsidRPr="00404559" w:rsidRDefault="0068647C">
    <w:pPr>
      <w:pStyle w:val="Piedepgina"/>
      <w:jc w:val="center"/>
      <w:rPr>
        <w:rFonts w:ascii="Verdana" w:hAnsi="Verdana"/>
        <w:sz w:val="20"/>
        <w:szCs w:val="20"/>
      </w:rPr>
    </w:pPr>
  </w:p>
  <w:p w14:paraId="683D0FE1" w14:textId="77777777" w:rsidR="0068647C" w:rsidRDefault="0068647C" w:rsidP="00C44F79">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994B8" w14:textId="77777777" w:rsidR="0068647C" w:rsidRDefault="0068647C" w:rsidP="00C44F79">
    <w:pPr>
      <w:pStyle w:val="Piedepgina"/>
    </w:pPr>
  </w:p>
  <w:p w14:paraId="159B060D" w14:textId="77777777" w:rsidR="0068647C" w:rsidRDefault="006864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47B6A" w14:textId="77777777" w:rsidR="0068647C" w:rsidRDefault="0068647C" w:rsidP="009E58AE">
      <w:r>
        <w:separator/>
      </w:r>
    </w:p>
  </w:footnote>
  <w:footnote w:type="continuationSeparator" w:id="0">
    <w:p w14:paraId="7CFDD51D" w14:textId="77777777" w:rsidR="0068647C" w:rsidRDefault="0068647C" w:rsidP="009E58AE">
      <w:r>
        <w:continuationSeparator/>
      </w:r>
    </w:p>
  </w:footnote>
  <w:footnote w:type="continuationNotice" w:id="1">
    <w:p w14:paraId="7755A1F0" w14:textId="77777777" w:rsidR="0068647C" w:rsidRDefault="0068647C"/>
  </w:footnote>
  <w:footnote w:id="2">
    <w:p w14:paraId="70AC371A" w14:textId="5C191444" w:rsidR="0068647C" w:rsidRPr="000E696E" w:rsidRDefault="0068647C" w:rsidP="00D61BD2">
      <w:pPr>
        <w:pStyle w:val="Textonotapie"/>
        <w:rPr>
          <w:i/>
        </w:rPr>
      </w:pPr>
      <w:r w:rsidRPr="000E696E">
        <w:rPr>
          <w:rStyle w:val="Refdenotaalpie"/>
          <w:sz w:val="16"/>
        </w:rPr>
        <w:footnoteRef/>
      </w:r>
      <w:r w:rsidRPr="000E696E">
        <w:t xml:space="preserve"> </w:t>
      </w:r>
      <w:r w:rsidRPr="000E696E">
        <w:tab/>
        <w:t>The Commission appointed Commissioner James Cavallaro, the Special Rapporteur for Freedom of Expression, Edison Lanza, and the Executive Secretary, Emilio Álvarez Icaza L. as its delegates, and Elizabeth Abi-Mershed, Deputy Executive Secretary, and Ona Flores and Silvia Serrano Guzmán, lawyers of the Commission’s Executive Secretariat, as legal advisers.</w:t>
      </w:r>
    </w:p>
  </w:footnote>
  <w:footnote w:id="3">
    <w:p w14:paraId="19CADBC8" w14:textId="153DDE63" w:rsidR="0068647C" w:rsidRPr="000E696E" w:rsidRDefault="0068647C" w:rsidP="00D61BD2">
      <w:pPr>
        <w:pStyle w:val="Textonotapie"/>
        <w:rPr>
          <w:i/>
        </w:rPr>
      </w:pPr>
      <w:r w:rsidRPr="000E696E">
        <w:rPr>
          <w:rStyle w:val="Refdenotaalpie"/>
          <w:sz w:val="16"/>
        </w:rPr>
        <w:footnoteRef/>
      </w:r>
      <w:r w:rsidRPr="000E696E">
        <w:t xml:space="preserve"> </w:t>
      </w:r>
      <w:r w:rsidRPr="000E696E">
        <w:tab/>
        <w:t>In a communication of March 11, 2016, the State advised that it had appointed Luis Alberto Huerta Guerrero as its Agent before the Court and the Supranational Deputy Attorney General, Iván Arturo Bazán Chacón, Sofía Janett Donaires Vega and Silvana Lucia Gómez Salazar, as deputy agents (merits file, f. 97).</w:t>
      </w:r>
      <w:r w:rsidRPr="000E696E" w:rsidDel="00960A82">
        <w:t xml:space="preserve"> </w:t>
      </w:r>
    </w:p>
  </w:footnote>
  <w:footnote w:id="4">
    <w:p w14:paraId="26016A0E" w14:textId="2938A0A4" w:rsidR="0068647C" w:rsidRPr="000E696E" w:rsidRDefault="0068647C" w:rsidP="00D61BD2">
      <w:pPr>
        <w:pStyle w:val="Textonotapie"/>
        <w:rPr>
          <w:i/>
        </w:rPr>
      </w:pPr>
      <w:r w:rsidRPr="000E696E">
        <w:rPr>
          <w:rStyle w:val="Refdenotaalpie"/>
          <w:sz w:val="16"/>
        </w:rPr>
        <w:footnoteRef/>
      </w:r>
      <w:r w:rsidRPr="004204B2">
        <w:rPr>
          <w:lang w:val="es-CR"/>
        </w:rPr>
        <w:t xml:space="preserve"> </w:t>
      </w:r>
      <w:r w:rsidRPr="004204B2">
        <w:rPr>
          <w:lang w:val="es-CR"/>
        </w:rPr>
        <w:tab/>
      </w:r>
      <w:r w:rsidRPr="004204B2">
        <w:rPr>
          <w:i/>
          <w:lang w:val="es-CR"/>
        </w:rPr>
        <w:t xml:space="preserve">Caso Lagos del Campo v. </w:t>
      </w:r>
      <w:r w:rsidRPr="004204B2">
        <w:rPr>
          <w:i/>
          <w:lang w:val="es-CR"/>
        </w:rPr>
        <w:t>Peru</w:t>
      </w:r>
      <w:r w:rsidRPr="004204B2">
        <w:rPr>
          <w:lang w:val="es-CR"/>
        </w:rPr>
        <w:t xml:space="preserve">. </w:t>
      </w:r>
      <w:r w:rsidRPr="000E696E">
        <w:t xml:space="preserve">Order of the President of the Court of July 14, 2016. Available at: </w:t>
      </w:r>
      <w:hyperlink r:id="rId1" w:history="1">
        <w:r w:rsidRPr="000E696E">
          <w:rPr>
            <w:rStyle w:val="Hipervnculo"/>
          </w:rPr>
          <w:t>http://www.corteidh.or.cr/docs/asuntos/lagos_fv_16.pdf</w:t>
        </w:r>
      </w:hyperlink>
      <w:r w:rsidRPr="000E696E">
        <w:t xml:space="preserve">. </w:t>
      </w:r>
    </w:p>
  </w:footnote>
  <w:footnote w:id="5">
    <w:p w14:paraId="165E3A63" w14:textId="4CC5AD48" w:rsidR="0068647C" w:rsidRPr="000E696E" w:rsidRDefault="0068647C" w:rsidP="00D61BD2">
      <w:pPr>
        <w:pStyle w:val="Textonotapie"/>
      </w:pPr>
      <w:r w:rsidRPr="000E696E">
        <w:rPr>
          <w:rStyle w:val="Refdenotaalpie"/>
          <w:sz w:val="16"/>
        </w:rPr>
        <w:footnoteRef/>
      </w:r>
      <w:r w:rsidRPr="004204B2">
        <w:rPr>
          <w:lang w:val="es-CR"/>
        </w:rPr>
        <w:t xml:space="preserve"> </w:t>
      </w:r>
      <w:r w:rsidRPr="004204B2">
        <w:rPr>
          <w:lang w:val="es-CR"/>
        </w:rPr>
        <w:tab/>
      </w:r>
      <w:r w:rsidRPr="004204B2">
        <w:rPr>
          <w:i/>
          <w:lang w:val="es-CR"/>
        </w:rPr>
        <w:t xml:space="preserve">Case of Lagos del Campo v. </w:t>
      </w:r>
      <w:r w:rsidRPr="004204B2">
        <w:rPr>
          <w:i/>
          <w:lang w:val="es-CR"/>
        </w:rPr>
        <w:t>Peru.</w:t>
      </w:r>
      <w:r w:rsidRPr="004204B2">
        <w:rPr>
          <w:lang w:val="es-CR"/>
        </w:rPr>
        <w:t xml:space="preserve"> </w:t>
      </w:r>
      <w:r w:rsidRPr="000E696E">
        <w:t>Call to a public hearing. Order of the President of the Court of November 21, 2016. Available at:</w:t>
      </w:r>
      <w:r w:rsidRPr="000E696E">
        <w:rPr>
          <w:rStyle w:val="Textoennegrita"/>
          <w:color w:val="000000"/>
          <w:shd w:val="clear" w:color="auto" w:fill="FFFFFF"/>
        </w:rPr>
        <w:t xml:space="preserve"> </w:t>
      </w:r>
      <w:hyperlink r:id="rId2" w:history="1">
        <w:r w:rsidRPr="000E696E">
          <w:rPr>
            <w:rStyle w:val="Hipervnculo"/>
          </w:rPr>
          <w:t>http://www.corteidh.or.cr/docs/asuntos/ lagos_21_11_16.pdf</w:t>
        </w:r>
      </w:hyperlink>
      <w:r w:rsidRPr="000E696E">
        <w:t xml:space="preserve">  </w:t>
      </w:r>
    </w:p>
  </w:footnote>
  <w:footnote w:id="6">
    <w:p w14:paraId="37F29A51" w14:textId="0E90A35E" w:rsidR="0068647C" w:rsidRPr="000E696E" w:rsidRDefault="0068647C" w:rsidP="00D61BD2">
      <w:pPr>
        <w:pStyle w:val="Textonotapie"/>
      </w:pPr>
      <w:r w:rsidRPr="000E696E">
        <w:rPr>
          <w:rStyle w:val="Refdenotaalpie"/>
          <w:sz w:val="16"/>
        </w:rPr>
        <w:footnoteRef/>
      </w:r>
      <w:r w:rsidRPr="000E696E">
        <w:t xml:space="preserve"> </w:t>
      </w:r>
      <w:r w:rsidRPr="000E696E">
        <w:tab/>
        <w:t>Due to scheduling problems, in a Secretariat note of December 8, 2016, the public hearing in this case was re-scheduled for February 7, 2017, at 9 a.m. Also, the meeting prior to the hearing was re-scheduled for February 6 at the seat of the Court. Consequently, the Court established the date of March 8, 2017, as the deadline for presentation of the final written arguments and final written observations.</w:t>
      </w:r>
    </w:p>
  </w:footnote>
  <w:footnote w:id="7">
    <w:p w14:paraId="7116F1A9" w14:textId="548D63A4" w:rsidR="0068647C" w:rsidRPr="000E696E" w:rsidRDefault="0068647C" w:rsidP="00D61BD2">
      <w:pPr>
        <w:pStyle w:val="Textonotapie"/>
      </w:pPr>
      <w:r w:rsidRPr="000E696E">
        <w:rPr>
          <w:rStyle w:val="Refdenotaalpie"/>
          <w:sz w:val="16"/>
        </w:rPr>
        <w:footnoteRef/>
      </w:r>
      <w:r w:rsidRPr="000E696E">
        <w:t xml:space="preserve"> </w:t>
      </w:r>
      <w:r w:rsidRPr="000E696E">
        <w:tab/>
        <w:t>In a communication of January 30, 2017, the State withdrew its offer of the expert opinion of Omar Sar Suárez.</w:t>
      </w:r>
    </w:p>
  </w:footnote>
  <w:footnote w:id="8">
    <w:p w14:paraId="1841D13D" w14:textId="612881EA" w:rsidR="0068647C" w:rsidRPr="000E696E" w:rsidRDefault="0068647C" w:rsidP="00D61BD2">
      <w:pPr>
        <w:pStyle w:val="Textonotapie"/>
      </w:pPr>
      <w:r w:rsidRPr="000E696E">
        <w:rPr>
          <w:rStyle w:val="Refdenotaalpie"/>
          <w:sz w:val="16"/>
        </w:rPr>
        <w:footnoteRef/>
      </w:r>
      <w:r w:rsidRPr="000E696E">
        <w:t xml:space="preserve"> </w:t>
      </w:r>
      <w:r w:rsidRPr="000E696E">
        <w:tab/>
        <w:t>The affidavit of Carlos Alberto Jibaja Zárate was received on January 30, 2017.</w:t>
      </w:r>
    </w:p>
  </w:footnote>
  <w:footnote w:id="9">
    <w:p w14:paraId="3004D9C4" w14:textId="45C091D5" w:rsidR="0068647C" w:rsidRPr="000E696E" w:rsidRDefault="0068647C" w:rsidP="00D61BD2">
      <w:pPr>
        <w:pStyle w:val="Textonotapie"/>
        <w:rPr>
          <w:i/>
        </w:rPr>
      </w:pPr>
      <w:r w:rsidRPr="000E696E">
        <w:rPr>
          <w:rStyle w:val="Refdenotaalpie"/>
          <w:sz w:val="16"/>
        </w:rPr>
        <w:footnoteRef/>
      </w:r>
      <w:r w:rsidRPr="000E696E">
        <w:t xml:space="preserve"> </w:t>
      </w:r>
      <w:r w:rsidRPr="000E696E">
        <w:tab/>
        <w:t xml:space="preserve">The President of the Court declared access to the Victims’ Legal Assistance Fund of the Inter-American Court admissible and determined that financial assistance would be provided to cover the necessary transportation and accommodation expenses for the presumed victim, Mr. Lagos del Campo, to appear before the Court to give his statement during the public hearing, and also for the reasonable expenses required for the preparation and mailing of the affidavit of expert witness Carlos Alberto Jibaja Zárate offered by the representatives. </w:t>
      </w:r>
    </w:p>
  </w:footnote>
  <w:footnote w:id="10">
    <w:p w14:paraId="45230E6B" w14:textId="6D2A3E4A" w:rsidR="0068647C" w:rsidRPr="000E696E" w:rsidRDefault="0068647C" w:rsidP="00D61BD2">
      <w:pPr>
        <w:widowControl w:val="0"/>
        <w:suppressLineNumbers/>
        <w:tabs>
          <w:tab w:val="left" w:pos="720"/>
        </w:tabs>
        <w:suppressAutoHyphens/>
        <w:spacing w:after="60"/>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 xml:space="preserve">There appeared at this hearing: (a) for the Inter-American Commission: Edison Lanza, Special Rapporteur for Freedom of Expression, Silvia Serrano Guzmán, Adviser, and Ona Flores, Adviser; (b) for the representatives of the presumed victim: Christian Henry Huaylinos Camacuari and Caroline Dufour, and (c) for the State: Iván Arturo Bazán Chacón, Sofía Janett Donaires Vega and Silvana Lucía Gómez Salazar. </w:t>
      </w:r>
    </w:p>
  </w:footnote>
  <w:footnote w:id="11">
    <w:p w14:paraId="0C490557" w14:textId="7B8A4C07" w:rsidR="0068647C" w:rsidRPr="000E696E" w:rsidRDefault="0068647C" w:rsidP="00AA1EBF">
      <w:pPr>
        <w:spacing w:after="60"/>
        <w:jc w:val="both"/>
        <w:rPr>
          <w:rFonts w:ascii="Verdana" w:hAnsi="Verdana"/>
          <w:sz w:val="16"/>
          <w:szCs w:val="16"/>
          <w:lang w:val="en-US"/>
        </w:rPr>
      </w:pPr>
      <w:r w:rsidRPr="000E696E">
        <w:rPr>
          <w:rFonts w:ascii="Verdana" w:hAnsi="Verdana"/>
          <w:spacing w:val="-12"/>
          <w:sz w:val="16"/>
          <w:szCs w:val="16"/>
          <w:vertAlign w:val="superscript"/>
          <w:lang w:val="en-US"/>
        </w:rPr>
        <w:footnoteRef/>
      </w:r>
      <w:r w:rsidRPr="004204B2">
        <w:rPr>
          <w:rFonts w:ascii="Verdana" w:hAnsi="Verdana"/>
          <w:spacing w:val="-12"/>
          <w:sz w:val="16"/>
          <w:szCs w:val="16"/>
          <w:lang w:val="es-CR"/>
        </w:rPr>
        <w:t xml:space="preserve"> </w:t>
      </w:r>
      <w:r w:rsidRPr="004204B2">
        <w:rPr>
          <w:rFonts w:ascii="Verdana" w:hAnsi="Verdana"/>
          <w:spacing w:val="-12"/>
          <w:sz w:val="16"/>
          <w:szCs w:val="16"/>
          <w:lang w:val="es-CR"/>
        </w:rPr>
        <w:tab/>
      </w:r>
      <w:r w:rsidRPr="004204B2">
        <w:rPr>
          <w:rFonts w:ascii="Verdana" w:hAnsi="Verdana"/>
          <w:i/>
          <w:sz w:val="16"/>
          <w:szCs w:val="16"/>
          <w:lang w:val="es-CR"/>
        </w:rPr>
        <w:t xml:space="preserve">Cf. Case of Las Palmeras v. Colombia. </w:t>
      </w:r>
      <w:r w:rsidRPr="000E696E">
        <w:rPr>
          <w:rFonts w:ascii="Verdana" w:hAnsi="Verdana"/>
          <w:i/>
          <w:sz w:val="16"/>
          <w:szCs w:val="16"/>
          <w:lang w:val="en-US"/>
        </w:rPr>
        <w:t xml:space="preserve">Preliminary objections. </w:t>
      </w:r>
      <w:r w:rsidRPr="000E696E">
        <w:rPr>
          <w:rFonts w:ascii="Verdana" w:hAnsi="Verdana"/>
          <w:sz w:val="16"/>
          <w:szCs w:val="16"/>
          <w:lang w:val="en-US"/>
        </w:rPr>
        <w:t xml:space="preserve">Judgment of February 4, 2000. </w:t>
      </w:r>
      <w:r w:rsidRPr="004204B2">
        <w:rPr>
          <w:rFonts w:ascii="Verdana" w:hAnsi="Verdana"/>
          <w:sz w:val="16"/>
          <w:szCs w:val="16"/>
          <w:lang w:val="es-CR"/>
        </w:rPr>
        <w:t xml:space="preserve">Series C No. 67, para. 34, </w:t>
      </w:r>
      <w:r w:rsidRPr="004204B2">
        <w:rPr>
          <w:rFonts w:ascii="Verdana" w:hAnsi="Verdana"/>
          <w:i/>
          <w:sz w:val="16"/>
          <w:szCs w:val="16"/>
          <w:lang w:val="es-CR"/>
        </w:rPr>
        <w:t xml:space="preserve">Case of Zegarra Marín v. </w:t>
      </w:r>
      <w:r w:rsidRPr="004204B2">
        <w:rPr>
          <w:rFonts w:ascii="Verdana" w:hAnsi="Verdana"/>
          <w:i/>
          <w:sz w:val="16"/>
          <w:szCs w:val="16"/>
          <w:lang w:val="es-CR"/>
        </w:rPr>
        <w:t xml:space="preserve">Peru. </w:t>
      </w:r>
      <w:r w:rsidRPr="000E696E">
        <w:rPr>
          <w:rFonts w:ascii="Verdana" w:hAnsi="Verdana"/>
          <w:i/>
          <w:sz w:val="16"/>
          <w:szCs w:val="16"/>
          <w:lang w:val="en-US"/>
        </w:rPr>
        <w:t>Preliminary objections, merits, reparations and costs</w:t>
      </w:r>
      <w:r w:rsidRPr="000E696E">
        <w:rPr>
          <w:rFonts w:ascii="Verdana" w:hAnsi="Verdana"/>
          <w:sz w:val="16"/>
          <w:szCs w:val="16"/>
          <w:lang w:val="en-US"/>
        </w:rPr>
        <w:t>. Judgment of February 15, 2017. Series C No. 331, para. 16</w:t>
      </w:r>
      <w:r w:rsidRPr="000E696E">
        <w:rPr>
          <w:rFonts w:ascii="Verdana" w:hAnsi="Verdana"/>
          <w:i/>
          <w:sz w:val="16"/>
          <w:szCs w:val="16"/>
          <w:lang w:val="en-US"/>
        </w:rPr>
        <w:t>.</w:t>
      </w:r>
    </w:p>
  </w:footnote>
  <w:footnote w:id="12">
    <w:p w14:paraId="685E8443" w14:textId="50CF0F60" w:rsidR="0068647C" w:rsidRPr="000E696E" w:rsidRDefault="0068647C" w:rsidP="00AA1EBF">
      <w:pPr>
        <w:spacing w:after="60"/>
        <w:jc w:val="both"/>
        <w:rPr>
          <w:rFonts w:ascii="Verdana" w:hAnsi="Verdana"/>
          <w:sz w:val="16"/>
          <w:szCs w:val="16"/>
          <w:lang w:val="en-US"/>
        </w:rPr>
      </w:pPr>
      <w:r w:rsidRPr="000E696E">
        <w:rPr>
          <w:rFonts w:ascii="Verdana" w:hAnsi="Verdana"/>
          <w:sz w:val="16"/>
          <w:szCs w:val="16"/>
          <w:vertAlign w:val="superscript"/>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i/>
          <w:sz w:val="16"/>
          <w:szCs w:val="16"/>
          <w:lang w:val="en-US"/>
        </w:rPr>
        <w:t xml:space="preserve">Cf. Case of Castañeda Gutman v. Mexico. Preliminary objections, merits, reparations and costs. </w:t>
      </w:r>
      <w:r w:rsidRPr="000E696E">
        <w:rPr>
          <w:rFonts w:ascii="Verdana" w:hAnsi="Verdana"/>
          <w:sz w:val="16"/>
          <w:szCs w:val="16"/>
          <w:lang w:val="en-US"/>
        </w:rPr>
        <w:t xml:space="preserve">Judgment of August 6, 2008. Series C No. 184, para. 39, and </w:t>
      </w:r>
      <w:r w:rsidRPr="000E696E">
        <w:rPr>
          <w:rFonts w:ascii="Verdana" w:hAnsi="Verdana"/>
          <w:i/>
          <w:sz w:val="16"/>
          <w:szCs w:val="16"/>
          <w:lang w:val="en-US"/>
        </w:rPr>
        <w:t xml:space="preserve">Case of Acosta et al. v. Nicaragua, Preliminary objections, merits, reparations and costs. </w:t>
      </w:r>
      <w:r w:rsidRPr="000E696E">
        <w:rPr>
          <w:rFonts w:ascii="Verdana" w:hAnsi="Verdana"/>
          <w:sz w:val="16"/>
          <w:szCs w:val="16"/>
          <w:lang w:val="en-US"/>
        </w:rPr>
        <w:t>Judgment of March 25, 2017. Series C No. 334,</w:t>
      </w:r>
      <w:r w:rsidRPr="000E696E">
        <w:rPr>
          <w:rFonts w:ascii="Verdana" w:hAnsi="Verdana"/>
          <w:i/>
          <w:sz w:val="16"/>
          <w:szCs w:val="16"/>
          <w:lang w:val="en-US"/>
        </w:rPr>
        <w:t xml:space="preserve"> </w:t>
      </w:r>
      <w:r w:rsidRPr="000E696E">
        <w:rPr>
          <w:rFonts w:ascii="Verdana" w:hAnsi="Verdana"/>
          <w:sz w:val="16"/>
          <w:szCs w:val="16"/>
          <w:lang w:val="en-US"/>
        </w:rPr>
        <w:t xml:space="preserve">para. 18. </w:t>
      </w:r>
    </w:p>
  </w:footnote>
  <w:footnote w:id="13">
    <w:p w14:paraId="6BA82C2F" w14:textId="04524659"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rPr>
        <w:t>Cf.</w:t>
      </w:r>
      <w:r w:rsidRPr="000E696E">
        <w:t xml:space="preserve"> </w:t>
      </w:r>
      <w:r w:rsidRPr="000E696E">
        <w:rPr>
          <w:rStyle w:val="Textoennegrita"/>
          <w:b w:val="0"/>
          <w:i/>
          <w:color w:val="000000"/>
          <w:shd w:val="clear" w:color="auto" w:fill="FFFFFF"/>
        </w:rPr>
        <w:t>Case of Velásquez Rodríguez v. Honduras.</w:t>
      </w:r>
      <w:r w:rsidRPr="000E696E">
        <w:rPr>
          <w:rStyle w:val="Textoennegrita"/>
          <w:b w:val="0"/>
          <w:color w:val="000000"/>
          <w:shd w:val="clear" w:color="auto" w:fill="FFFFFF"/>
        </w:rPr>
        <w:t xml:space="preserve"> </w:t>
      </w:r>
      <w:r w:rsidRPr="000E696E">
        <w:rPr>
          <w:rStyle w:val="Textoennegrita"/>
          <w:b w:val="0"/>
          <w:i/>
          <w:color w:val="000000"/>
          <w:shd w:val="clear" w:color="auto" w:fill="FFFFFF"/>
        </w:rPr>
        <w:t>Preliminary objections</w:t>
      </w:r>
      <w:r w:rsidRPr="000E696E">
        <w:rPr>
          <w:rStyle w:val="Textoennegrita"/>
          <w:b w:val="0"/>
          <w:color w:val="000000"/>
          <w:shd w:val="clear" w:color="auto" w:fill="FFFFFF"/>
        </w:rPr>
        <w:t xml:space="preserve">. Judgment of June 26, 1987. Series C No. 1, para. 88, and </w:t>
      </w:r>
      <w:r w:rsidRPr="000E696E">
        <w:rPr>
          <w:rStyle w:val="Textoennegrita"/>
          <w:b w:val="0"/>
          <w:i/>
          <w:color w:val="000000"/>
          <w:shd w:val="clear" w:color="auto" w:fill="FFFFFF"/>
        </w:rPr>
        <w:t>Case of Tenorio Roca et al. v. Peru. Preliminary objections, merits, reparations and costs</w:t>
      </w:r>
      <w:r w:rsidRPr="000E696E">
        <w:rPr>
          <w:rStyle w:val="Textoennegrita"/>
          <w:b w:val="0"/>
          <w:color w:val="000000"/>
          <w:shd w:val="clear" w:color="auto" w:fill="FFFFFF"/>
        </w:rPr>
        <w:t>. Judgment of June 22, 2016. Series C No. 314, para. 21.</w:t>
      </w:r>
    </w:p>
  </w:footnote>
  <w:footnote w:id="14">
    <w:p w14:paraId="139A6CB0" w14:textId="38639A94" w:rsidR="0068647C" w:rsidRPr="000E696E" w:rsidRDefault="0068647C" w:rsidP="00AA1EBF">
      <w:pPr>
        <w:spacing w:after="60"/>
        <w:jc w:val="both"/>
        <w:rPr>
          <w:rFonts w:ascii="Verdana" w:hAnsi="Verdana"/>
          <w:b/>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i/>
          <w:sz w:val="16"/>
          <w:szCs w:val="16"/>
          <w:lang w:val="en-US"/>
        </w:rPr>
        <w:t xml:space="preserve">Cf. </w:t>
      </w:r>
      <w:r w:rsidRPr="000E696E">
        <w:rPr>
          <w:rStyle w:val="Textoennegrita"/>
          <w:rFonts w:ascii="Verdana" w:hAnsi="Verdana"/>
          <w:b w:val="0"/>
          <w:i/>
          <w:color w:val="000000"/>
          <w:sz w:val="16"/>
          <w:szCs w:val="16"/>
          <w:shd w:val="clear" w:color="auto" w:fill="FFFFFF"/>
          <w:lang w:val="en-US"/>
        </w:rPr>
        <w:t>Case of Furlan and family v. Argentina. Preliminary objections, merits, reparations and costs.</w:t>
      </w:r>
      <w:r w:rsidRPr="000E696E">
        <w:rPr>
          <w:rStyle w:val="Textoennegrita"/>
          <w:rFonts w:ascii="Verdana" w:hAnsi="Verdana"/>
          <w:b w:val="0"/>
          <w:color w:val="000000"/>
          <w:sz w:val="16"/>
          <w:szCs w:val="16"/>
          <w:shd w:val="clear" w:color="auto" w:fill="FFFFFF"/>
          <w:lang w:val="en-US"/>
        </w:rPr>
        <w:t xml:space="preserve"> Judgment of August 31, 2012. Series C No. 246, para. 52.</w:t>
      </w:r>
    </w:p>
  </w:footnote>
  <w:footnote w:id="15">
    <w:p w14:paraId="26485F73" w14:textId="4CEB0BBF" w:rsidR="0068647C" w:rsidRPr="000E696E" w:rsidRDefault="0068647C" w:rsidP="00AA1EBF">
      <w:pPr>
        <w:pStyle w:val="NormalWeb"/>
        <w:spacing w:before="0" w:beforeAutospacing="0" w:after="60" w:afterAutospacing="0"/>
        <w:jc w:val="both"/>
        <w:rPr>
          <w:rFonts w:ascii="Verdana" w:hAnsi="Verdana"/>
          <w:sz w:val="16"/>
          <w:szCs w:val="16"/>
          <w:lang w:val="en-US"/>
        </w:rPr>
      </w:pPr>
      <w:r w:rsidRPr="000E696E">
        <w:rPr>
          <w:rStyle w:val="Refdenotaalpie"/>
          <w:rFonts w:eastAsiaTheme="majorEastAsia"/>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Article 46 of the Convention establishes that: “</w:t>
      </w:r>
      <w:r w:rsidRPr="000E696E">
        <w:rPr>
          <w:rFonts w:ascii="Verdana" w:hAnsi="Verdana" w:cs="Tahoma"/>
          <w:sz w:val="16"/>
          <w:szCs w:val="16"/>
          <w:lang w:val="en-US"/>
        </w:rPr>
        <w:t xml:space="preserve">1. </w:t>
      </w:r>
      <w:r w:rsidRPr="000E696E">
        <w:rPr>
          <w:rFonts w:ascii="Verdana" w:hAnsi="Verdana"/>
          <w:spacing w:val="-3"/>
          <w:sz w:val="16"/>
          <w:szCs w:val="16"/>
          <w:lang w:val="en-US"/>
        </w:rPr>
        <w:t>Admission by the Commission of a petition or communication lodged in accordance with Articles 44 or 45 shall be subject to the following requirements: (a) that the remedies under domestic law have been pursued and exhausted in accordance with generally recognized principles of international law; (b) that the petition or communication is lodged within a period of six months from the date on which the party alleging violation of his rights was notified of the final judgment; (c) that the subject of the petition or communication is not pending in another international proceeding for settlement, and (d) that, in the case of Article 44, the petition contains the name, nationality, profession, domicile, and signature of the person or persons or of the legal representative of the entity lodging the petition. 2. The provisions of paragraphs 1.a and 1.b of this article shall not be applicable when: (a) the domestic legislation of the state concerned does not afford due process of law for the protection of the right or rights that have allegedly been violated; (b) the party alleging violation of his rights has been denied access to the remedies under domestic law or has been prevented from exhausting them, or (c) there has been unwarranted delay in rendering a final judgment under the aforementioned remedies.</w:t>
      </w:r>
      <w:r w:rsidRPr="000E696E">
        <w:rPr>
          <w:rFonts w:ascii="Verdana" w:hAnsi="Verdana" w:cs="Tahoma"/>
          <w:sz w:val="16"/>
          <w:szCs w:val="16"/>
          <w:lang w:val="en-US"/>
        </w:rPr>
        <w:t>”</w:t>
      </w:r>
    </w:p>
  </w:footnote>
  <w:footnote w:id="16">
    <w:p w14:paraId="41828B81" w14:textId="7E0B72BD" w:rsidR="0068647C" w:rsidRPr="000E696E" w:rsidRDefault="0068647C" w:rsidP="00AA1EBF">
      <w:pPr>
        <w:tabs>
          <w:tab w:val="left" w:pos="480"/>
          <w:tab w:val="left" w:pos="1080"/>
          <w:tab w:val="left" w:pos="1680"/>
          <w:tab w:val="left" w:pos="5400"/>
        </w:tabs>
        <w:suppressAutoHyphens/>
        <w:spacing w:after="60"/>
        <w:jc w:val="both"/>
        <w:rPr>
          <w:rFonts w:ascii="Verdana" w:hAnsi="Verdana"/>
          <w:spacing w:val="-3"/>
          <w:sz w:val="16"/>
          <w:szCs w:val="16"/>
          <w:lang w:val="en-US"/>
        </w:rPr>
      </w:pPr>
      <w:r w:rsidRPr="000E696E">
        <w:rPr>
          <w:rStyle w:val="Refdenotaalpie"/>
          <w:rFonts w:eastAsiaTheme="majorEastAsia"/>
          <w:sz w:val="16"/>
          <w:szCs w:val="16"/>
          <w:lang w:val="en-US"/>
        </w:rPr>
        <w:footnoteRef/>
      </w:r>
      <w:r w:rsidRPr="000E696E">
        <w:rPr>
          <w:rFonts w:ascii="Verdana" w:hAnsi="Verdana"/>
          <w:sz w:val="16"/>
          <w:szCs w:val="16"/>
          <w:lang w:val="en-US"/>
        </w:rPr>
        <w:t xml:space="preserve"> Article 47 of the Convention establishes that: “</w:t>
      </w:r>
      <w:r w:rsidRPr="000E696E">
        <w:rPr>
          <w:rFonts w:ascii="Verdana" w:hAnsi="Verdana"/>
          <w:spacing w:val="-3"/>
          <w:sz w:val="16"/>
          <w:szCs w:val="16"/>
          <w:lang w:val="en-US"/>
        </w:rPr>
        <w:t>The Commission shall consider inadmissible any petition or communication submitted under Articles 44 or 45 if: (a) any of the requirements indicated in Article 46 has not been met; (b) the petition or communication does not state facts that tend to establish a violation of the rights guaranteed by this Convention; (c) the statements of the petitioner or of the state indicate that the petition or communication is manifestly groundless or obviously out of order, or (d) the petition or communication is substantially the same as one previously studied by the Commission or by another international organization.</w:t>
      </w:r>
      <w:r w:rsidRPr="000E696E">
        <w:rPr>
          <w:rFonts w:ascii="Verdana" w:hAnsi="Verdana" w:cs="Tahoma"/>
          <w:sz w:val="16"/>
          <w:szCs w:val="16"/>
          <w:lang w:val="en-US"/>
        </w:rPr>
        <w:t>”</w:t>
      </w:r>
    </w:p>
  </w:footnote>
  <w:footnote w:id="17">
    <w:p w14:paraId="482EADB4" w14:textId="392C8775" w:rsidR="0068647C" w:rsidRPr="000E696E" w:rsidRDefault="0068647C" w:rsidP="00AA1EBF">
      <w:pPr>
        <w:spacing w:after="60"/>
        <w:jc w:val="both"/>
        <w:rPr>
          <w:rFonts w:ascii="Verdana" w:hAnsi="Verdana"/>
          <w:b/>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i/>
          <w:sz w:val="16"/>
          <w:szCs w:val="16"/>
          <w:lang w:val="en-US"/>
        </w:rPr>
        <w:t xml:space="preserve">Cf. </w:t>
      </w:r>
      <w:r w:rsidRPr="000E696E">
        <w:rPr>
          <w:rStyle w:val="Textoennegrita"/>
          <w:rFonts w:ascii="Verdana" w:hAnsi="Verdana"/>
          <w:b w:val="0"/>
          <w:i/>
          <w:color w:val="000000"/>
          <w:sz w:val="16"/>
          <w:szCs w:val="16"/>
          <w:shd w:val="clear" w:color="auto" w:fill="FFFFFF"/>
          <w:lang w:val="en-US"/>
        </w:rPr>
        <w:t xml:space="preserve">Case of Furlan and family v. Argentina, supra, </w:t>
      </w:r>
      <w:r w:rsidRPr="000E696E">
        <w:rPr>
          <w:rStyle w:val="Textoennegrita"/>
          <w:rFonts w:ascii="Verdana" w:hAnsi="Verdana"/>
          <w:b w:val="0"/>
          <w:color w:val="000000"/>
          <w:sz w:val="16"/>
          <w:szCs w:val="16"/>
          <w:shd w:val="clear" w:color="auto" w:fill="FFFFFF"/>
          <w:lang w:val="en-US"/>
        </w:rPr>
        <w:t>para. 52.</w:t>
      </w:r>
    </w:p>
  </w:footnote>
  <w:footnote w:id="18">
    <w:p w14:paraId="41CAA410" w14:textId="709085D5" w:rsidR="0068647C" w:rsidRPr="000E696E" w:rsidRDefault="0068647C" w:rsidP="00AA1EBF">
      <w:pPr>
        <w:spacing w:after="60"/>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i/>
          <w:sz w:val="16"/>
          <w:szCs w:val="16"/>
          <w:lang w:val="en-US"/>
        </w:rPr>
        <w:t xml:space="preserve">Cf. </w:t>
      </w:r>
      <w:r w:rsidRPr="000E696E">
        <w:rPr>
          <w:rFonts w:ascii="Verdana" w:hAnsi="Verdana"/>
          <w:sz w:val="16"/>
          <w:szCs w:val="16"/>
          <w:lang w:val="en-US"/>
        </w:rPr>
        <w:t>Brief of October 13, 1993 (evidence file, annexes to the Merits Report, f. 588).</w:t>
      </w:r>
    </w:p>
  </w:footnote>
  <w:footnote w:id="19">
    <w:p w14:paraId="1604D334" w14:textId="733C7AAB" w:rsidR="0068647C" w:rsidRPr="000E696E" w:rsidRDefault="0068647C" w:rsidP="00AA1EBF">
      <w:pPr>
        <w:spacing w:after="60"/>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i/>
          <w:sz w:val="16"/>
          <w:szCs w:val="16"/>
          <w:lang w:val="en-US"/>
        </w:rPr>
        <w:t>Cf.</w:t>
      </w:r>
      <w:r w:rsidRPr="000E696E">
        <w:rPr>
          <w:rFonts w:ascii="Verdana" w:hAnsi="Verdana"/>
          <w:sz w:val="16"/>
          <w:szCs w:val="16"/>
          <w:lang w:val="en-US"/>
        </w:rPr>
        <w:t xml:space="preserve"> Observations of the IACHR on the preliminary objections filed by the State (evidence file, annexes to the Merits Report f. 361, para. 33)</w:t>
      </w:r>
    </w:p>
  </w:footnote>
  <w:footnote w:id="20">
    <w:p w14:paraId="5227401D" w14:textId="576CCE8F" w:rsidR="0068647C" w:rsidRPr="000E696E" w:rsidRDefault="0068647C" w:rsidP="00AA1EBF">
      <w:pPr>
        <w:spacing w:after="60"/>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i/>
          <w:sz w:val="16"/>
          <w:szCs w:val="16"/>
          <w:lang w:val="en-US"/>
        </w:rPr>
        <w:t>Cf.</w:t>
      </w:r>
      <w:r w:rsidRPr="000E696E">
        <w:rPr>
          <w:rFonts w:ascii="Verdana" w:hAnsi="Verdana"/>
          <w:sz w:val="16"/>
          <w:szCs w:val="16"/>
          <w:lang w:val="en-US"/>
        </w:rPr>
        <w:t xml:space="preserve"> Brief of October 13, 1993 (evidence file, annexes to the Merits Report, f. 588).</w:t>
      </w:r>
    </w:p>
  </w:footnote>
  <w:footnote w:id="21">
    <w:p w14:paraId="13090587" w14:textId="377322A4" w:rsidR="0068647C" w:rsidRPr="000E696E" w:rsidRDefault="0068647C" w:rsidP="00AA1EBF">
      <w:pPr>
        <w:spacing w:after="60"/>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i/>
          <w:sz w:val="16"/>
          <w:szCs w:val="16"/>
          <w:lang w:val="en-US"/>
        </w:rPr>
        <w:t>Cf.</w:t>
      </w:r>
      <w:r w:rsidRPr="000E696E">
        <w:rPr>
          <w:rFonts w:ascii="Verdana" w:hAnsi="Verdana"/>
          <w:sz w:val="16"/>
          <w:szCs w:val="16"/>
          <w:lang w:val="en-US"/>
        </w:rPr>
        <w:t xml:space="preserve"> Complaint of July 26, 1989 (evidence file, annexes to the Merits Report, ff. 231 and 232).</w:t>
      </w:r>
    </w:p>
  </w:footnote>
  <w:footnote w:id="22">
    <w:p w14:paraId="347DBA31" w14:textId="6E2C5C7D" w:rsidR="0068647C" w:rsidRPr="000E696E" w:rsidRDefault="0068647C" w:rsidP="00D61BD2">
      <w:pPr>
        <w:pStyle w:val="Textonotapie"/>
      </w:pPr>
      <w:r w:rsidRPr="000E696E">
        <w:rPr>
          <w:rStyle w:val="Refdenotaalpie"/>
          <w:rFonts w:eastAsia="Calibri"/>
          <w:sz w:val="16"/>
          <w:lang w:eastAsia="en-US"/>
        </w:rPr>
        <w:footnoteRef/>
      </w:r>
      <w:r w:rsidRPr="000E696E">
        <w:rPr>
          <w:rStyle w:val="Refdenotaalpie"/>
          <w:rFonts w:eastAsia="Calibri"/>
          <w:sz w:val="16"/>
          <w:lang w:eastAsia="en-US"/>
        </w:rPr>
        <w:t xml:space="preserve"> </w:t>
      </w:r>
      <w:r w:rsidRPr="000E696E">
        <w:rPr>
          <w:rFonts w:eastAsia="Calibri"/>
          <w:lang w:eastAsia="en-US"/>
        </w:rPr>
        <w:t xml:space="preserve"> </w:t>
      </w:r>
      <w:r w:rsidRPr="000E696E">
        <w:rPr>
          <w:rFonts w:eastAsia="Calibri"/>
          <w:lang w:eastAsia="en-US"/>
        </w:rPr>
        <w:tab/>
      </w:r>
      <w:r w:rsidRPr="000E696E">
        <w:rPr>
          <w:i/>
        </w:rPr>
        <w:t>Cf.</w:t>
      </w:r>
      <w:r w:rsidRPr="000E696E">
        <w:t xml:space="preserve"> </w:t>
      </w:r>
      <w:r w:rsidRPr="000E696E">
        <w:rPr>
          <w:rStyle w:val="Textoennegrita"/>
          <w:b w:val="0"/>
          <w:i/>
          <w:color w:val="000000"/>
          <w:shd w:val="clear" w:color="auto" w:fill="FFFFFF"/>
        </w:rPr>
        <w:t>Case of Veliz Franco et al. v. Guatemala.</w:t>
      </w:r>
      <w:r w:rsidRPr="000E696E">
        <w:rPr>
          <w:rStyle w:val="Textoennegrita"/>
          <w:b w:val="0"/>
          <w:color w:val="000000"/>
          <w:shd w:val="clear" w:color="auto" w:fill="FFFFFF"/>
        </w:rPr>
        <w:t xml:space="preserve"> </w:t>
      </w:r>
      <w:r w:rsidRPr="000E696E">
        <w:rPr>
          <w:rStyle w:val="Textoennegrita"/>
          <w:b w:val="0"/>
          <w:i/>
          <w:color w:val="000000"/>
          <w:shd w:val="clear" w:color="auto" w:fill="FFFFFF"/>
        </w:rPr>
        <w:t>Preliminary objections, merits, reparations and costs.</w:t>
      </w:r>
      <w:r w:rsidRPr="000E696E">
        <w:rPr>
          <w:rStyle w:val="Textoennegrita"/>
          <w:b w:val="0"/>
          <w:color w:val="000000"/>
          <w:shd w:val="clear" w:color="auto" w:fill="FFFFFF"/>
        </w:rPr>
        <w:t xml:space="preserve"> Judgment of May 19, 2014. Series C No. 277, para. 25, and </w:t>
      </w:r>
      <w:r w:rsidRPr="000E696E">
        <w:rPr>
          <w:rStyle w:val="Textoennegrita"/>
          <w:b w:val="0"/>
          <w:i/>
          <w:color w:val="000000"/>
          <w:shd w:val="clear" w:color="auto" w:fill="FFFFFF"/>
        </w:rPr>
        <w:t>Case of I.V. v. Bolivia</w:t>
      </w:r>
      <w:r w:rsidRPr="000E696E">
        <w:rPr>
          <w:rStyle w:val="Textoennegrita"/>
          <w:b w:val="0"/>
          <w:color w:val="000000"/>
          <w:shd w:val="clear" w:color="auto" w:fill="FFFFFF"/>
        </w:rPr>
        <w:t xml:space="preserve">. </w:t>
      </w:r>
      <w:r w:rsidRPr="000E696E">
        <w:rPr>
          <w:rStyle w:val="Textoennegrita"/>
          <w:b w:val="0"/>
          <w:i/>
          <w:color w:val="000000"/>
          <w:shd w:val="clear" w:color="auto" w:fill="FFFFFF"/>
        </w:rPr>
        <w:t>Preliminary objections, merits, reparations and costs.</w:t>
      </w:r>
      <w:r w:rsidRPr="000E696E">
        <w:rPr>
          <w:rStyle w:val="Textoennegrita"/>
          <w:b w:val="0"/>
          <w:color w:val="000000"/>
          <w:shd w:val="clear" w:color="auto" w:fill="FFFFFF"/>
        </w:rPr>
        <w:t xml:space="preserve"> Judgment of November 30, 2016. Series C No. 329, para. 45.</w:t>
      </w:r>
    </w:p>
  </w:footnote>
  <w:footnote w:id="23">
    <w:p w14:paraId="2143C715" w14:textId="2F7329AC"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iCs/>
        </w:rPr>
        <w:t>Case of Lagos del Campo v. Peru</w:t>
      </w:r>
      <w:r w:rsidRPr="000E696E">
        <w:t>. Call to a hearing, supra, para. 9.</w:t>
      </w:r>
    </w:p>
  </w:footnote>
  <w:footnote w:id="24">
    <w:p w14:paraId="403923A8" w14:textId="0D1FA6F6" w:rsidR="0068647C" w:rsidRPr="000E696E" w:rsidRDefault="0068647C" w:rsidP="00D61BD2">
      <w:pPr>
        <w:pStyle w:val="Textonotapie"/>
      </w:pPr>
      <w:r w:rsidRPr="000E696E">
        <w:rPr>
          <w:rStyle w:val="Refdenotaalpie"/>
          <w:sz w:val="16"/>
        </w:rPr>
        <w:footnoteRef/>
      </w:r>
      <w:r w:rsidRPr="00B06D8F">
        <w:rPr>
          <w:lang w:val="es-CR"/>
        </w:rPr>
        <w:t xml:space="preserve"> </w:t>
      </w:r>
      <w:r w:rsidRPr="00B06D8F">
        <w:rPr>
          <w:lang w:val="es-CR"/>
        </w:rPr>
        <w:tab/>
      </w:r>
      <w:r w:rsidRPr="00B06D8F">
        <w:rPr>
          <w:i/>
          <w:lang w:val="es-CR"/>
        </w:rPr>
        <w:t>Cf.</w:t>
      </w:r>
      <w:r w:rsidRPr="00B06D8F">
        <w:rPr>
          <w:lang w:val="es-CR"/>
        </w:rPr>
        <w:t xml:space="preserve"> </w:t>
      </w:r>
      <w:r w:rsidRPr="00B06D8F">
        <w:rPr>
          <w:i/>
          <w:iCs/>
          <w:lang w:val="es-CR"/>
        </w:rPr>
        <w:t xml:space="preserve">Case of Velásquez Rodríguez v. Honduras. </w:t>
      </w:r>
      <w:r w:rsidRPr="00B06D8F">
        <w:rPr>
          <w:i/>
          <w:iCs/>
        </w:rPr>
        <w:t>Merits.</w:t>
      </w:r>
      <w:r w:rsidRPr="000E696E">
        <w:t xml:space="preserve"> Judgment of July 29, 1988. </w:t>
      </w:r>
      <w:r w:rsidRPr="00B06D8F">
        <w:t xml:space="preserve">Series 04, para. </w:t>
      </w:r>
      <w:r w:rsidRPr="004204B2">
        <w:rPr>
          <w:lang w:val="es-CR"/>
        </w:rPr>
        <w:t xml:space="preserve">140; </w:t>
      </w:r>
      <w:r w:rsidRPr="00B06D8F">
        <w:rPr>
          <w:i/>
          <w:iCs/>
          <w:lang w:val="es-CR"/>
        </w:rPr>
        <w:t xml:space="preserve">Case of Tenorio Roca et al. v. </w:t>
      </w:r>
      <w:r w:rsidRPr="00B06D8F">
        <w:rPr>
          <w:i/>
          <w:iCs/>
          <w:lang w:val="es-CR"/>
        </w:rPr>
        <w:t>Peru, supra</w:t>
      </w:r>
      <w:r w:rsidRPr="004204B2">
        <w:rPr>
          <w:lang w:val="es-CR"/>
        </w:rPr>
        <w:t xml:space="preserve">, para. </w:t>
      </w:r>
      <w:r w:rsidRPr="000E696E">
        <w:t>36,</w:t>
      </w:r>
      <w:r w:rsidRPr="000E696E">
        <w:rPr>
          <w:rStyle w:val="apple-converted-space"/>
        </w:rPr>
        <w:t xml:space="preserve"> and </w:t>
      </w:r>
      <w:r w:rsidRPr="000E696E">
        <w:rPr>
          <w:rStyle w:val="apple-converted-space"/>
          <w:i/>
        </w:rPr>
        <w:t>Case of Zegarra Marín v. Peru</w:t>
      </w:r>
      <w:r w:rsidRPr="000E696E">
        <w:rPr>
          <w:rStyle w:val="apple-converted-space"/>
        </w:rPr>
        <w:t>,</w:t>
      </w:r>
      <w:r w:rsidRPr="000E696E">
        <w:rPr>
          <w:rStyle w:val="apple-converted-space"/>
          <w:i/>
        </w:rPr>
        <w:t xml:space="preserve"> </w:t>
      </w:r>
      <w:r w:rsidRPr="000E696E">
        <w:rPr>
          <w:iCs/>
        </w:rPr>
        <w:t>supra</w:t>
      </w:r>
      <w:r w:rsidRPr="000E696E">
        <w:t>, para. 58.</w:t>
      </w:r>
    </w:p>
  </w:footnote>
  <w:footnote w:id="25">
    <w:p w14:paraId="53D859BA" w14:textId="5F31DC67"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rPr>
        <w:t xml:space="preserve">Cf. Case of Reverón Trujillo v. Venezuela. </w:t>
      </w:r>
      <w:r w:rsidRPr="000E696E">
        <w:t>Call to a public hearing.</w:t>
      </w:r>
      <w:r w:rsidRPr="000E696E">
        <w:rPr>
          <w:i/>
        </w:rPr>
        <w:t xml:space="preserve"> </w:t>
      </w:r>
      <w:r w:rsidRPr="000E696E">
        <w:t xml:space="preserve">Order of the President of the Court of September 24, 2008, </w:t>
      </w:r>
      <w:r w:rsidRPr="000E696E">
        <w:rPr>
          <w:i/>
          <w:iCs/>
        </w:rPr>
        <w:t>considerandum</w:t>
      </w:r>
      <w:r w:rsidRPr="000E696E">
        <w:t xml:space="preserve"> 18, </w:t>
      </w:r>
      <w:r w:rsidRPr="000E696E">
        <w:rPr>
          <w:iCs/>
        </w:rPr>
        <w:t xml:space="preserve">and </w:t>
      </w:r>
      <w:r w:rsidRPr="000E696E">
        <w:rPr>
          <w:bCs/>
          <w:i/>
        </w:rPr>
        <w:t xml:space="preserve">Case of Castillo González et al. v. Venezuela. Merits. </w:t>
      </w:r>
      <w:r w:rsidRPr="000E696E">
        <w:rPr>
          <w:bCs/>
        </w:rPr>
        <w:t>Judgment of November 27, 2012. Series C No. 256, para. 33</w:t>
      </w:r>
      <w:r w:rsidRPr="000E696E">
        <w:rPr>
          <w:bCs/>
          <w:i/>
        </w:rPr>
        <w:t>.</w:t>
      </w:r>
      <w:r w:rsidRPr="000E696E">
        <w:rPr>
          <w:bCs/>
        </w:rPr>
        <w:t xml:space="preserve"> </w:t>
      </w:r>
    </w:p>
  </w:footnote>
  <w:footnote w:id="26">
    <w:p w14:paraId="2DF726FD" w14:textId="5C48AE2B" w:rsidR="0068647C" w:rsidRPr="000E696E" w:rsidRDefault="0068647C" w:rsidP="00D61BD2">
      <w:pPr>
        <w:widowControl w:val="0"/>
        <w:suppressLineNumbers/>
        <w:tabs>
          <w:tab w:val="left" w:pos="709"/>
        </w:tabs>
        <w:suppressAutoHyphens/>
        <w:spacing w:after="60"/>
        <w:jc w:val="both"/>
        <w:rPr>
          <w:rFonts w:ascii="Verdana" w:hAnsi="Verdana"/>
          <w:i/>
          <w:sz w:val="16"/>
          <w:szCs w:val="16"/>
          <w:lang w:val="en-US"/>
        </w:rPr>
      </w:pPr>
      <w:r w:rsidRPr="000E696E">
        <w:rPr>
          <w:rStyle w:val="Refdenotaalpie"/>
          <w:sz w:val="16"/>
          <w:szCs w:val="16"/>
          <w:lang w:val="en-US"/>
        </w:rPr>
        <w:footnoteRef/>
      </w:r>
      <w:r w:rsidRPr="000E696E">
        <w:rPr>
          <w:rFonts w:ascii="Verdana" w:hAnsi="Verdana"/>
          <w:sz w:val="16"/>
          <w:szCs w:val="16"/>
          <w:vertAlign w:val="superscript"/>
          <w:lang w:val="en-US"/>
        </w:rPr>
        <w:t xml:space="preserve"> </w:t>
      </w:r>
      <w:r w:rsidRPr="000E696E">
        <w:rPr>
          <w:rFonts w:ascii="Verdana" w:hAnsi="Verdana"/>
          <w:sz w:val="16"/>
          <w:szCs w:val="16"/>
          <w:lang w:val="en-US"/>
        </w:rPr>
        <w:tab/>
      </w:r>
      <w:r w:rsidRPr="000E696E">
        <w:rPr>
          <w:rFonts w:ascii="Verdana" w:hAnsi="Verdana"/>
          <w:i/>
          <w:sz w:val="16"/>
          <w:szCs w:val="16"/>
          <w:lang w:val="en-US"/>
        </w:rPr>
        <w:t>Cf.</w:t>
      </w:r>
      <w:r w:rsidRPr="000E696E">
        <w:rPr>
          <w:rFonts w:ascii="Verdana" w:hAnsi="Verdana"/>
          <w:sz w:val="16"/>
          <w:szCs w:val="16"/>
          <w:lang w:val="en-US"/>
        </w:rPr>
        <w:t xml:space="preserve"> </w:t>
      </w:r>
      <w:r w:rsidRPr="000E696E">
        <w:rPr>
          <w:rFonts w:ascii="Verdana" w:hAnsi="Verdana"/>
          <w:i/>
          <w:sz w:val="16"/>
          <w:szCs w:val="16"/>
          <w:lang w:val="en-US"/>
        </w:rPr>
        <w:t xml:space="preserve">Case of the “White Van” (Paniagua Morales et al.) v. Guatemala. Merits. </w:t>
      </w:r>
      <w:r w:rsidRPr="000E696E">
        <w:rPr>
          <w:rFonts w:ascii="Verdana" w:hAnsi="Verdana"/>
          <w:sz w:val="16"/>
          <w:szCs w:val="16"/>
          <w:lang w:val="en-US"/>
        </w:rPr>
        <w:t xml:space="preserve">Judgment of March 8, 1998. Series C No. 37, para. 76, and </w:t>
      </w:r>
      <w:r w:rsidRPr="000E696E">
        <w:rPr>
          <w:rStyle w:val="apple-converted-space"/>
          <w:rFonts w:ascii="Verdana" w:hAnsi="Verdana"/>
          <w:i/>
          <w:sz w:val="16"/>
          <w:szCs w:val="16"/>
          <w:lang w:val="en-US"/>
        </w:rPr>
        <w:t xml:space="preserve">Case of Tenorio Roca et al. v. Peru, supra </w:t>
      </w:r>
      <w:r w:rsidRPr="000E696E">
        <w:rPr>
          <w:rStyle w:val="apple-converted-space"/>
          <w:rFonts w:ascii="Verdana" w:hAnsi="Verdana"/>
          <w:sz w:val="16"/>
          <w:szCs w:val="16"/>
          <w:lang w:val="en-US"/>
        </w:rPr>
        <w:t>para. 45.</w:t>
      </w:r>
    </w:p>
  </w:footnote>
  <w:footnote w:id="27">
    <w:p w14:paraId="7D9F7965" w14:textId="3FE2E55B" w:rsidR="0068647C" w:rsidRPr="000E696E" w:rsidRDefault="0068647C" w:rsidP="00D61BD2">
      <w:pPr>
        <w:widowControl w:val="0"/>
        <w:suppressLineNumbers/>
        <w:tabs>
          <w:tab w:val="left" w:pos="709"/>
        </w:tabs>
        <w:suppressAutoHyphens/>
        <w:spacing w:after="60"/>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i/>
          <w:sz w:val="16"/>
          <w:szCs w:val="16"/>
          <w:lang w:val="en-US"/>
        </w:rPr>
        <w:t xml:space="preserve">Cf. Case of Loayza Tamayo v. Peru. Merits. </w:t>
      </w:r>
      <w:r w:rsidRPr="000E696E">
        <w:rPr>
          <w:rFonts w:ascii="Verdana" w:hAnsi="Verdana"/>
          <w:sz w:val="16"/>
          <w:szCs w:val="16"/>
          <w:lang w:val="en-US"/>
        </w:rPr>
        <w:t xml:space="preserve">Judgment of September 17, 1997. Series C No. 33, para. 43, and </w:t>
      </w:r>
      <w:r w:rsidRPr="000E696E">
        <w:rPr>
          <w:rFonts w:ascii="Verdana" w:hAnsi="Verdana"/>
          <w:i/>
          <w:sz w:val="16"/>
          <w:szCs w:val="16"/>
          <w:lang w:val="en-US"/>
        </w:rPr>
        <w:t>Case of Favela Nova Brasilia v. Brazil.</w:t>
      </w:r>
      <w:r w:rsidRPr="000E696E">
        <w:rPr>
          <w:rFonts w:ascii="Verdana" w:hAnsi="Verdana"/>
          <w:sz w:val="16"/>
          <w:szCs w:val="16"/>
          <w:lang w:val="en-US"/>
        </w:rPr>
        <w:t xml:space="preserve"> </w:t>
      </w:r>
      <w:r w:rsidRPr="000E696E">
        <w:rPr>
          <w:rFonts w:ascii="Verdana" w:hAnsi="Verdana"/>
          <w:i/>
          <w:sz w:val="16"/>
          <w:szCs w:val="16"/>
          <w:lang w:val="en-US"/>
        </w:rPr>
        <w:t xml:space="preserve">Preliminary objections, merits, reparations and costs. </w:t>
      </w:r>
      <w:r w:rsidRPr="000E696E">
        <w:rPr>
          <w:rFonts w:ascii="Verdana" w:hAnsi="Verdana"/>
          <w:sz w:val="16"/>
          <w:szCs w:val="16"/>
          <w:lang w:val="en-US"/>
        </w:rPr>
        <w:t>Judgment of February 16, 2017. Series C No. 333, para. 98.</w:t>
      </w:r>
    </w:p>
  </w:footnote>
  <w:footnote w:id="28">
    <w:p w14:paraId="5C7C1BB8" w14:textId="7B024F14" w:rsidR="0068647C" w:rsidRPr="000E696E" w:rsidRDefault="0068647C" w:rsidP="00AA1EBF">
      <w:pPr>
        <w:autoSpaceDE w:val="0"/>
        <w:autoSpaceDN w:val="0"/>
        <w:adjustRightInd w:val="0"/>
        <w:spacing w:after="60"/>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 xml:space="preserve">President of the Republic of Peru. Decree-Law 18350 General Industries Act. July 7, 1970. May be consulted at:  </w:t>
      </w:r>
      <w:hyperlink r:id="rId3" w:history="1">
        <w:r w:rsidRPr="000E696E">
          <w:rPr>
            <w:rStyle w:val="Hipervnculo"/>
            <w:rFonts w:ascii="Verdana" w:hAnsi="Verdana"/>
            <w:sz w:val="16"/>
            <w:szCs w:val="16"/>
            <w:lang w:val="en-US"/>
          </w:rPr>
          <w:t>http://peru.justia.com/federales/decretos-leyes/18350-jul-27-1970/gdoc/</w:t>
        </w:r>
      </w:hyperlink>
      <w:r w:rsidRPr="000E696E">
        <w:rPr>
          <w:rFonts w:ascii="Verdana" w:hAnsi="Verdana"/>
          <w:sz w:val="16"/>
          <w:szCs w:val="16"/>
          <w:lang w:val="en-US"/>
        </w:rPr>
        <w:t xml:space="preserve"> </w:t>
      </w:r>
    </w:p>
  </w:footnote>
  <w:footnote w:id="29">
    <w:p w14:paraId="26E80C5C" w14:textId="0992F436" w:rsidR="0068647C" w:rsidRPr="000E696E" w:rsidRDefault="0068647C" w:rsidP="00D61BD2">
      <w:pPr>
        <w:pStyle w:val="Textonotapie"/>
      </w:pPr>
      <w:r w:rsidRPr="000E696E">
        <w:rPr>
          <w:rStyle w:val="Refdenotaalpie"/>
          <w:sz w:val="16"/>
        </w:rPr>
        <w:footnoteRef/>
      </w:r>
      <w:r w:rsidRPr="000E696E">
        <w:t xml:space="preserve"> </w:t>
      </w:r>
      <w:r w:rsidRPr="000E696E">
        <w:tab/>
        <w:t xml:space="preserve">Purposes: (a) strengthening the industrial company by worker participation in management, productive process, ownership and reinvestment; (b) incorporation of the workers into the management of the industrial company to protect their rights and interests; (c) administration of acquired rights to the benefit of the workers, and (d) promotion of the social, cultural, professional and technical development of the workers. President of the Republic of Peru. Decree-Law 18384 General Industries Act. September 1, 1970. Art. 3. May be consulted at: </w:t>
      </w:r>
      <w:hyperlink r:id="rId4" w:history="1">
        <w:r w:rsidRPr="000E696E">
          <w:rPr>
            <w:rStyle w:val="Hipervnculo"/>
          </w:rPr>
          <w:t>http://docs.peru.justia.com/federales/decretos-leyes/18384-sep-1-1970.pdf</w:t>
        </w:r>
      </w:hyperlink>
    </w:p>
  </w:footnote>
  <w:footnote w:id="30">
    <w:p w14:paraId="5F77499E" w14:textId="68DD68B1" w:rsidR="0068647C" w:rsidRPr="000E696E" w:rsidRDefault="0068647C" w:rsidP="00AA1EBF">
      <w:pPr>
        <w:autoSpaceDE w:val="0"/>
        <w:autoSpaceDN w:val="0"/>
        <w:adjustRightInd w:val="0"/>
        <w:spacing w:after="60"/>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i/>
          <w:sz w:val="16"/>
          <w:szCs w:val="16"/>
          <w:lang w:val="en-US"/>
        </w:rPr>
        <w:t>Cf.</w:t>
      </w:r>
      <w:r w:rsidRPr="000E696E">
        <w:rPr>
          <w:rFonts w:ascii="Verdana" w:hAnsi="Verdana"/>
          <w:sz w:val="16"/>
          <w:szCs w:val="16"/>
          <w:lang w:val="en-US"/>
        </w:rPr>
        <w:t xml:space="preserve"> President of the Republic of Peru. Decree-Law 21789. Industrial Community Act. February 1, 1977. May be consulted at: http: //www4.Congress.gob.pe/ntley/imagenes/Lawes/21789.pdf (evidence file, annex 1 to the Merits Report, ff. 5 bis to 14 bis).</w:t>
      </w:r>
    </w:p>
  </w:footnote>
  <w:footnote w:id="31">
    <w:p w14:paraId="7E502329" w14:textId="492794D2" w:rsidR="0068647C" w:rsidRPr="000E696E" w:rsidRDefault="0068647C" w:rsidP="00AA1EBF">
      <w:pPr>
        <w:autoSpaceDE w:val="0"/>
        <w:autoSpaceDN w:val="0"/>
        <w:adjustRightInd w:val="0"/>
        <w:spacing w:after="60"/>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Article 1</w:t>
      </w:r>
      <w:r w:rsidRPr="000E696E">
        <w:rPr>
          <w:rFonts w:ascii="Verdana" w:hAnsi="Verdana"/>
          <w:color w:val="000000"/>
          <w:sz w:val="16"/>
          <w:szCs w:val="16"/>
          <w:lang w:val="en-US"/>
        </w:rPr>
        <w:t xml:space="preserve"> </w:t>
      </w:r>
      <w:r w:rsidRPr="000E696E">
        <w:rPr>
          <w:rFonts w:ascii="Verdana" w:hAnsi="Verdana"/>
          <w:sz w:val="16"/>
          <w:szCs w:val="16"/>
          <w:lang w:val="en-US"/>
        </w:rPr>
        <w:t xml:space="preserve">of the Decree-Law in force at the time of the facts establishes: “Article 1. </w:t>
      </w:r>
      <w:r w:rsidRPr="000E696E">
        <w:rPr>
          <w:rFonts w:ascii="Verdana" w:hAnsi="Verdana"/>
          <w:color w:val="000000"/>
          <w:sz w:val="16"/>
          <w:szCs w:val="16"/>
          <w:lang w:val="en-US"/>
        </w:rPr>
        <w:t>The Industrial Community of an industrial company of the reformed private sector is composed of all its permanent workers, who participate in its ownership, management and profits. The Industrial Community is a private legal entity and is governed by the provisions of this Act and any others that may be applicable.”</w:t>
      </w:r>
    </w:p>
  </w:footnote>
  <w:footnote w:id="32">
    <w:p w14:paraId="6361EA42" w14:textId="6043164F" w:rsidR="0068647C" w:rsidRPr="000E696E" w:rsidRDefault="0068647C" w:rsidP="00AA1EBF">
      <w:pPr>
        <w:spacing w:after="60"/>
        <w:contextualSpacing/>
        <w:jc w:val="both"/>
        <w:rPr>
          <w:rFonts w:ascii="Verdana" w:hAnsi="Verdana"/>
          <w:color w:val="000000"/>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The law established that, every year, the industrial company would deduct 15% of its net income, tax-free, to constitute the patrimony of its workers and to provide resources for the Industrial Community until this attained a sum equivalent to 50% of the company’s social capital. “</w:t>
      </w:r>
      <w:r w:rsidRPr="000E696E">
        <w:rPr>
          <w:rFonts w:ascii="Verdana" w:hAnsi="Verdana"/>
          <w:color w:val="000000"/>
          <w:sz w:val="16"/>
          <w:szCs w:val="16"/>
          <w:lang w:val="en-US"/>
        </w:rPr>
        <w:t>Article 38</w:t>
      </w:r>
      <w:r w:rsidRPr="000E696E">
        <w:rPr>
          <w:rStyle w:val="st1"/>
          <w:rFonts w:ascii="Verdana" w:hAnsi="Verdana" w:cs="Arial"/>
          <w:color w:val="000000"/>
          <w:sz w:val="16"/>
          <w:szCs w:val="16"/>
          <w:lang w:val="en-US"/>
        </w:rPr>
        <w:t>.</w:t>
      </w:r>
      <w:r w:rsidRPr="000E696E">
        <w:rPr>
          <w:rFonts w:ascii="Verdana" w:hAnsi="Verdana"/>
          <w:color w:val="000000"/>
          <w:sz w:val="16"/>
          <w:szCs w:val="16"/>
          <w:lang w:val="en-US"/>
        </w:rPr>
        <w:t xml:space="preserve"> The industrial company shall deduct 15% per year of its net income, tax-free, </w:t>
      </w:r>
      <w:r w:rsidRPr="000E696E">
        <w:rPr>
          <w:rFonts w:ascii="Verdana" w:hAnsi="Verdana"/>
          <w:sz w:val="16"/>
          <w:szCs w:val="16"/>
          <w:lang w:val="en-US"/>
        </w:rPr>
        <w:t>to constitute the patrimony of its workers and to provide resources to the Industrial Community as follows: (a) 13.5% of the net income to constitute and to increase the patrimony of the workers pursuant to the investment options set forth in Article 40 of this Act, until this attains a sum equivalent to 50% of the company’s social capital. The provisions of this paragraph shall be complied with pursuant to the regulatory provisions corresponding to each investment option; (b) 1.5% of the net income to constitute and to reinforce the patrimony</w:t>
      </w:r>
      <w:r w:rsidRPr="000E696E">
        <w:rPr>
          <w:rFonts w:ascii="Verdana" w:hAnsi="Verdana"/>
          <w:color w:val="000000"/>
          <w:sz w:val="16"/>
          <w:szCs w:val="16"/>
          <w:lang w:val="en-US"/>
        </w:rPr>
        <w:t xml:space="preserve"> of the Industrial Community, which shall be delivered within 30 days of the presentation of the annual balance sheet to the tax authorities. Article 39. When the amount of the Workers Patrimonial Participation Account, the composition of which is established in the following article, attains a sum equivalent to 50% of the company’s social capital, except in the case of Article 53, only 1.5% of the net income referred to in paragraph (b) of the preceding article shall be deducted. When there is an increase in the social capital not included in the following paragraph or when, due to redemption of the different values that constitute the Workers Patrimonial Participation Account, this amounts to less than 50% of the social capital, the company shall again deduct part of or the whole percentage referred to in paragraph (a) of Article 38 until the amount in this account again attains a sum equivalent to 50% of the social capital. When the social capital increases owing to revaluation of the patrimony or capitalization of reserves, the company shall issue Workers Shares for a sum proportionate to the degree of ownership that the workers possess in relation to the company’s patrimony at the time of the increase in capital, distributing these shares among the workers in the appropriate proportion.</w:t>
      </w:r>
      <w:r w:rsidRPr="000E696E">
        <w:rPr>
          <w:rFonts w:ascii="Verdana" w:eastAsia="Times New Roman" w:hAnsi="Verdana" w:cs="Arial"/>
          <w:iCs/>
          <w:color w:val="000000"/>
          <w:sz w:val="16"/>
          <w:szCs w:val="16"/>
          <w:lang w:val="en-US" w:eastAsia="es-CR"/>
        </w:rPr>
        <w:t>”</w:t>
      </w:r>
      <w:r w:rsidRPr="000E696E">
        <w:rPr>
          <w:rFonts w:ascii="Verdana" w:hAnsi="Verdana"/>
          <w:color w:val="000000"/>
          <w:sz w:val="16"/>
          <w:szCs w:val="16"/>
          <w:lang w:val="en-US"/>
        </w:rPr>
        <w:t xml:space="preserve"> </w:t>
      </w:r>
    </w:p>
    <w:p w14:paraId="1DD3B050" w14:textId="77777777" w:rsidR="0068647C" w:rsidRPr="000E696E" w:rsidRDefault="0068647C" w:rsidP="00AA1EBF">
      <w:pPr>
        <w:spacing w:after="60"/>
        <w:contextualSpacing/>
        <w:jc w:val="both"/>
        <w:rPr>
          <w:rFonts w:ascii="Verdana" w:hAnsi="Verdana"/>
          <w:color w:val="000000"/>
          <w:sz w:val="6"/>
          <w:szCs w:val="6"/>
          <w:lang w:val="en-US"/>
        </w:rPr>
      </w:pPr>
    </w:p>
  </w:footnote>
  <w:footnote w:id="33">
    <w:p w14:paraId="3E64C450" w14:textId="00136DA3" w:rsidR="0068647C" w:rsidRPr="000E696E" w:rsidRDefault="0068647C" w:rsidP="00AA1EBF">
      <w:pPr>
        <w:autoSpaceDE w:val="0"/>
        <w:autoSpaceDN w:val="0"/>
        <w:adjustRightInd w:val="0"/>
        <w:spacing w:after="60"/>
        <w:jc w:val="both"/>
        <w:rPr>
          <w:rFonts w:ascii="Verdana" w:hAnsi="Verdana"/>
          <w:strike/>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Article 3</w:t>
      </w:r>
      <w:r w:rsidRPr="000E696E">
        <w:rPr>
          <w:rFonts w:ascii="Verdana" w:hAnsi="Verdana"/>
          <w:color w:val="000000"/>
          <w:sz w:val="16"/>
          <w:szCs w:val="16"/>
          <w:lang w:val="en-US"/>
        </w:rPr>
        <w:t xml:space="preserve"> </w:t>
      </w:r>
      <w:r w:rsidRPr="000E696E">
        <w:rPr>
          <w:rFonts w:ascii="Verdana" w:hAnsi="Verdana"/>
          <w:sz w:val="16"/>
          <w:szCs w:val="16"/>
          <w:lang w:val="en-US"/>
        </w:rPr>
        <w:t>of the Decree-Law in force at the time of the facts.</w:t>
      </w:r>
    </w:p>
  </w:footnote>
  <w:footnote w:id="34">
    <w:p w14:paraId="3EFC4669" w14:textId="344B8AE8" w:rsidR="0068647C" w:rsidRPr="000E696E" w:rsidRDefault="0068647C" w:rsidP="00AA1EBF">
      <w:pPr>
        <w:autoSpaceDE w:val="0"/>
        <w:autoSpaceDN w:val="0"/>
        <w:adjustRightInd w:val="0"/>
        <w:spacing w:after="60"/>
        <w:jc w:val="both"/>
        <w:rPr>
          <w:rFonts w:ascii="Verdana" w:hAnsi="Verdana"/>
          <w:strike/>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Article 2</w:t>
      </w:r>
      <w:r w:rsidRPr="000E696E">
        <w:rPr>
          <w:rFonts w:ascii="Verdana" w:hAnsi="Verdana"/>
          <w:color w:val="000000"/>
          <w:sz w:val="16"/>
          <w:szCs w:val="16"/>
          <w:lang w:val="en-US"/>
        </w:rPr>
        <w:t xml:space="preserve"> </w:t>
      </w:r>
      <w:r w:rsidRPr="000E696E">
        <w:rPr>
          <w:rFonts w:ascii="Verdana" w:hAnsi="Verdana"/>
          <w:sz w:val="16"/>
          <w:szCs w:val="16"/>
          <w:lang w:val="en-US"/>
        </w:rPr>
        <w:t xml:space="preserve">of the Decree-Law in force at the time of the facts. </w:t>
      </w:r>
    </w:p>
  </w:footnote>
  <w:footnote w:id="35">
    <w:p w14:paraId="6F260ED8" w14:textId="54DC07B6" w:rsidR="0068647C" w:rsidRPr="000E696E" w:rsidRDefault="0068647C" w:rsidP="00AA1EBF">
      <w:pPr>
        <w:autoSpaceDE w:val="0"/>
        <w:autoSpaceDN w:val="0"/>
        <w:adjustRightInd w:val="0"/>
        <w:spacing w:after="60"/>
        <w:jc w:val="both"/>
        <w:rPr>
          <w:rFonts w:ascii="Verdana" w:hAnsi="Verdana"/>
          <w:strike/>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Article 20</w:t>
      </w:r>
      <w:r w:rsidRPr="000E696E">
        <w:rPr>
          <w:rFonts w:ascii="Verdana" w:hAnsi="Verdana"/>
          <w:color w:val="000000"/>
          <w:sz w:val="16"/>
          <w:szCs w:val="16"/>
          <w:lang w:val="en-US"/>
        </w:rPr>
        <w:t xml:space="preserve"> </w:t>
      </w:r>
      <w:r w:rsidRPr="000E696E">
        <w:rPr>
          <w:rFonts w:ascii="Verdana" w:hAnsi="Verdana"/>
          <w:sz w:val="16"/>
          <w:szCs w:val="16"/>
          <w:lang w:val="en-US"/>
        </w:rPr>
        <w:t xml:space="preserve">of the Decree-Law in force at the time of the facts. </w:t>
      </w:r>
    </w:p>
  </w:footnote>
  <w:footnote w:id="36">
    <w:p w14:paraId="22147978" w14:textId="5C95E2A9" w:rsidR="0068647C" w:rsidRPr="000E696E" w:rsidRDefault="0068647C" w:rsidP="00AA1EBF">
      <w:pPr>
        <w:autoSpaceDE w:val="0"/>
        <w:autoSpaceDN w:val="0"/>
        <w:adjustRightInd w:val="0"/>
        <w:spacing w:after="60"/>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Article 29</w:t>
      </w:r>
      <w:r w:rsidRPr="000E696E">
        <w:rPr>
          <w:rFonts w:ascii="Verdana" w:hAnsi="Verdana"/>
          <w:color w:val="000000"/>
          <w:sz w:val="16"/>
          <w:szCs w:val="16"/>
          <w:lang w:val="en-US"/>
        </w:rPr>
        <w:t xml:space="preserve"> </w:t>
      </w:r>
      <w:r w:rsidRPr="000E696E">
        <w:rPr>
          <w:rFonts w:ascii="Verdana" w:hAnsi="Verdana"/>
          <w:sz w:val="16"/>
          <w:szCs w:val="16"/>
          <w:lang w:val="en-US"/>
        </w:rPr>
        <w:t xml:space="preserve">of the Decree-Law in force at the time of the facts. </w:t>
      </w:r>
    </w:p>
  </w:footnote>
  <w:footnote w:id="37">
    <w:p w14:paraId="0684B3F5" w14:textId="78AEFACF" w:rsidR="0068647C" w:rsidRPr="000E696E" w:rsidRDefault="0068647C" w:rsidP="00AA1EBF">
      <w:pPr>
        <w:autoSpaceDE w:val="0"/>
        <w:autoSpaceDN w:val="0"/>
        <w:adjustRightInd w:val="0"/>
        <w:spacing w:after="60"/>
        <w:jc w:val="both"/>
        <w:rPr>
          <w:rFonts w:ascii="Verdana" w:eastAsia="Times New Roman" w:hAnsi="Verdana" w:cs="Arial"/>
          <w:iCs/>
          <w:strike/>
          <w:color w:val="000000"/>
          <w:sz w:val="16"/>
          <w:szCs w:val="16"/>
          <w:lang w:val="en-US" w:eastAsia="es-CR"/>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Article 33</w:t>
      </w:r>
      <w:r w:rsidRPr="000E696E">
        <w:rPr>
          <w:rFonts w:ascii="Verdana" w:hAnsi="Verdana"/>
          <w:color w:val="000000"/>
          <w:sz w:val="16"/>
          <w:szCs w:val="16"/>
          <w:lang w:val="en-US"/>
        </w:rPr>
        <w:t xml:space="preserve"> </w:t>
      </w:r>
      <w:r w:rsidRPr="000E696E">
        <w:rPr>
          <w:rFonts w:ascii="Verdana" w:hAnsi="Verdana"/>
          <w:sz w:val="16"/>
          <w:szCs w:val="16"/>
          <w:lang w:val="en-US"/>
        </w:rPr>
        <w:t xml:space="preserve">of the Decree-Law in force at the time of the facts. </w:t>
      </w:r>
    </w:p>
  </w:footnote>
  <w:footnote w:id="38">
    <w:p w14:paraId="2BF87CCC" w14:textId="6BD8CB30" w:rsidR="0068647C" w:rsidRPr="000E696E" w:rsidRDefault="0068647C" w:rsidP="00AA1EBF">
      <w:pPr>
        <w:autoSpaceDE w:val="0"/>
        <w:autoSpaceDN w:val="0"/>
        <w:adjustRightInd w:val="0"/>
        <w:spacing w:after="60"/>
        <w:jc w:val="both"/>
        <w:rPr>
          <w:rFonts w:ascii="Verdana" w:eastAsia="Times New Roman" w:hAnsi="Verdana" w:cs="Arial"/>
          <w:iCs/>
          <w:strike/>
          <w:color w:val="000000"/>
          <w:sz w:val="16"/>
          <w:szCs w:val="16"/>
          <w:lang w:val="en-US" w:eastAsia="es-CR"/>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Article 67</w:t>
      </w:r>
      <w:r w:rsidRPr="000E696E">
        <w:rPr>
          <w:rFonts w:ascii="Verdana" w:hAnsi="Verdana"/>
          <w:color w:val="000000"/>
          <w:sz w:val="16"/>
          <w:szCs w:val="16"/>
          <w:lang w:val="en-US"/>
        </w:rPr>
        <w:t xml:space="preserve"> </w:t>
      </w:r>
      <w:r w:rsidRPr="000E696E">
        <w:rPr>
          <w:rFonts w:ascii="Verdana" w:hAnsi="Verdana"/>
          <w:sz w:val="16"/>
          <w:szCs w:val="16"/>
          <w:lang w:val="en-US"/>
        </w:rPr>
        <w:t xml:space="preserve">of the Decree-Law in force at the time of the facts. </w:t>
      </w:r>
    </w:p>
  </w:footnote>
  <w:footnote w:id="39">
    <w:p w14:paraId="76D859D3" w14:textId="76F7D12B" w:rsidR="0068647C" w:rsidRPr="000E696E" w:rsidRDefault="0068647C" w:rsidP="00AA1EBF">
      <w:pPr>
        <w:autoSpaceDE w:val="0"/>
        <w:autoSpaceDN w:val="0"/>
        <w:adjustRightInd w:val="0"/>
        <w:spacing w:after="60"/>
        <w:jc w:val="both"/>
        <w:rPr>
          <w:rFonts w:ascii="Verdana" w:eastAsia="Times New Roman" w:hAnsi="Verdana" w:cs="Arial"/>
          <w:iCs/>
          <w:color w:val="000000"/>
          <w:sz w:val="16"/>
          <w:szCs w:val="16"/>
          <w:lang w:val="en-US" w:eastAsia="es-CR"/>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Article 61</w:t>
      </w:r>
      <w:r w:rsidRPr="000E696E">
        <w:rPr>
          <w:rFonts w:ascii="Verdana" w:hAnsi="Verdana"/>
          <w:color w:val="000000"/>
          <w:sz w:val="16"/>
          <w:szCs w:val="16"/>
          <w:lang w:val="en-US"/>
        </w:rPr>
        <w:t xml:space="preserve"> </w:t>
      </w:r>
      <w:r w:rsidRPr="000E696E">
        <w:rPr>
          <w:rFonts w:ascii="Verdana" w:hAnsi="Verdana"/>
          <w:sz w:val="16"/>
          <w:szCs w:val="16"/>
          <w:lang w:val="en-US"/>
        </w:rPr>
        <w:t xml:space="preserve">of the Decree-Law in force at the time of the facts. </w:t>
      </w:r>
    </w:p>
  </w:footnote>
  <w:footnote w:id="40">
    <w:p w14:paraId="64FAEAF0" w14:textId="1C204BA5" w:rsidR="0068647C" w:rsidRPr="000E696E" w:rsidRDefault="0068647C" w:rsidP="00AA1EBF">
      <w:pPr>
        <w:autoSpaceDE w:val="0"/>
        <w:autoSpaceDN w:val="0"/>
        <w:adjustRightInd w:val="0"/>
        <w:spacing w:after="60"/>
        <w:jc w:val="both"/>
        <w:rPr>
          <w:rFonts w:ascii="Verdana" w:eastAsia="Times New Roman" w:hAnsi="Verdana" w:cs="Arial"/>
          <w:iCs/>
          <w:color w:val="000000"/>
          <w:sz w:val="16"/>
          <w:szCs w:val="16"/>
          <w:lang w:val="en-US" w:eastAsia="es-CR"/>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Article 16</w:t>
      </w:r>
      <w:r w:rsidRPr="000E696E">
        <w:rPr>
          <w:rFonts w:ascii="Verdana" w:hAnsi="Verdana"/>
          <w:color w:val="000000"/>
          <w:sz w:val="16"/>
          <w:szCs w:val="16"/>
          <w:lang w:val="en-US"/>
        </w:rPr>
        <w:t xml:space="preserve"> </w:t>
      </w:r>
      <w:r w:rsidRPr="000E696E">
        <w:rPr>
          <w:rFonts w:ascii="Verdana" w:hAnsi="Verdana"/>
          <w:sz w:val="16"/>
          <w:szCs w:val="16"/>
          <w:lang w:val="en-US"/>
        </w:rPr>
        <w:t xml:space="preserve">of the Decree-Law in force at the time of the facts. </w:t>
      </w:r>
    </w:p>
  </w:footnote>
  <w:footnote w:id="41">
    <w:p w14:paraId="0913D9A0" w14:textId="4F7B3498" w:rsidR="0068647C" w:rsidRPr="000E696E" w:rsidRDefault="0068647C" w:rsidP="00AA1EBF">
      <w:pPr>
        <w:autoSpaceDE w:val="0"/>
        <w:autoSpaceDN w:val="0"/>
        <w:adjustRightInd w:val="0"/>
        <w:spacing w:after="60"/>
        <w:jc w:val="both"/>
        <w:rPr>
          <w:rFonts w:ascii="Verdana" w:hAnsi="Verdana"/>
          <w:color w:val="000000"/>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Article 26</w:t>
      </w:r>
      <w:r w:rsidRPr="000E696E">
        <w:rPr>
          <w:rFonts w:ascii="Verdana" w:hAnsi="Verdana"/>
          <w:color w:val="000000"/>
          <w:sz w:val="16"/>
          <w:szCs w:val="16"/>
          <w:lang w:val="en-US"/>
        </w:rPr>
        <w:t xml:space="preserve"> </w:t>
      </w:r>
      <w:r w:rsidRPr="000E696E">
        <w:rPr>
          <w:rFonts w:ascii="Verdana" w:hAnsi="Verdana"/>
          <w:sz w:val="16"/>
          <w:szCs w:val="16"/>
          <w:lang w:val="en-US"/>
        </w:rPr>
        <w:t>of the Decree-Law in force at the time of the facts established:</w:t>
      </w:r>
      <w:r w:rsidRPr="000E696E">
        <w:rPr>
          <w:rFonts w:ascii="Verdana" w:hAnsi="Verdana"/>
          <w:color w:val="000000"/>
          <w:sz w:val="16"/>
          <w:szCs w:val="16"/>
          <w:lang w:val="en-US"/>
        </w:rPr>
        <w:t xml:space="preserve"> </w:t>
      </w:r>
      <w:r w:rsidRPr="000E696E">
        <w:rPr>
          <w:rFonts w:ascii="Verdana" w:hAnsi="Verdana"/>
          <w:sz w:val="16"/>
          <w:szCs w:val="16"/>
          <w:lang w:val="en-US"/>
        </w:rPr>
        <w:t>“</w:t>
      </w:r>
      <w:r w:rsidRPr="000E696E">
        <w:rPr>
          <w:rFonts w:ascii="Verdana" w:hAnsi="Verdana"/>
          <w:color w:val="000000"/>
          <w:sz w:val="16"/>
          <w:szCs w:val="16"/>
          <w:lang w:val="en-US"/>
        </w:rPr>
        <w:t>Article 26</w:t>
      </w:r>
      <w:r w:rsidRPr="000E696E">
        <w:rPr>
          <w:rStyle w:val="st1"/>
          <w:rFonts w:ascii="Verdana" w:hAnsi="Verdana" w:cs="Arial"/>
          <w:color w:val="000000"/>
          <w:sz w:val="16"/>
          <w:szCs w:val="16"/>
          <w:lang w:val="en-US"/>
        </w:rPr>
        <w:t>.</w:t>
      </w:r>
      <w:r w:rsidRPr="000E696E">
        <w:rPr>
          <w:rFonts w:ascii="Verdana" w:hAnsi="Verdana"/>
          <w:color w:val="000000"/>
          <w:sz w:val="16"/>
          <w:szCs w:val="16"/>
          <w:lang w:val="en-US"/>
        </w:rPr>
        <w:t xml:space="preserve">  Each year the General Assembly shall appoint an electoral committee, which shall be responsible for holding elections for the members of the Community Council and the representatives on the company’s Board, for each term, as well as those elections that are necessary to elect replacements for any of them in cases of resignation, vacancy or removal pursuant to the law and the Statutes, for the time remaining to complete the corresponding term.”</w:t>
      </w:r>
    </w:p>
  </w:footnote>
  <w:footnote w:id="42">
    <w:p w14:paraId="599079D5" w14:textId="3C7538A4" w:rsidR="0068647C" w:rsidRPr="000E696E" w:rsidRDefault="0068647C" w:rsidP="00AA1EBF">
      <w:pPr>
        <w:autoSpaceDE w:val="0"/>
        <w:autoSpaceDN w:val="0"/>
        <w:adjustRightInd w:val="0"/>
        <w:spacing w:after="60"/>
        <w:jc w:val="both"/>
        <w:rPr>
          <w:rFonts w:ascii="Verdana" w:hAnsi="Verdana"/>
          <w:color w:val="000000"/>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Article 23</w:t>
      </w:r>
      <w:r w:rsidRPr="000E696E">
        <w:rPr>
          <w:rFonts w:ascii="Verdana" w:hAnsi="Verdana"/>
          <w:color w:val="000000"/>
          <w:sz w:val="16"/>
          <w:szCs w:val="16"/>
          <w:lang w:val="en-US"/>
        </w:rPr>
        <w:t xml:space="preserve"> </w:t>
      </w:r>
      <w:r w:rsidRPr="000E696E">
        <w:rPr>
          <w:rFonts w:ascii="Verdana" w:hAnsi="Verdana"/>
          <w:sz w:val="16"/>
          <w:szCs w:val="16"/>
          <w:lang w:val="en-US"/>
        </w:rPr>
        <w:t>of the Decree-Law in force at the time of the facts established:</w:t>
      </w:r>
      <w:r w:rsidRPr="000E696E">
        <w:rPr>
          <w:rFonts w:ascii="Verdana" w:hAnsi="Verdana"/>
          <w:color w:val="000000"/>
          <w:sz w:val="16"/>
          <w:szCs w:val="16"/>
          <w:lang w:val="en-US"/>
        </w:rPr>
        <w:t xml:space="preserve"> </w:t>
      </w:r>
      <w:r w:rsidRPr="000E696E">
        <w:rPr>
          <w:rFonts w:ascii="Verdana" w:hAnsi="Verdana"/>
          <w:sz w:val="16"/>
          <w:szCs w:val="16"/>
          <w:lang w:val="en-US"/>
        </w:rPr>
        <w:t>“</w:t>
      </w:r>
      <w:r w:rsidRPr="000E696E">
        <w:rPr>
          <w:rFonts w:ascii="Verdana" w:hAnsi="Verdana"/>
          <w:color w:val="000000"/>
          <w:sz w:val="16"/>
          <w:szCs w:val="16"/>
          <w:lang w:val="en-US"/>
        </w:rPr>
        <w:t>Article 23</w:t>
      </w:r>
      <w:r w:rsidRPr="000E696E">
        <w:rPr>
          <w:rStyle w:val="st1"/>
          <w:rFonts w:ascii="Verdana" w:hAnsi="Verdana" w:cs="Arial"/>
          <w:color w:val="000000"/>
          <w:sz w:val="16"/>
          <w:szCs w:val="16"/>
          <w:lang w:val="en-US"/>
        </w:rPr>
        <w:t>.</w:t>
      </w:r>
      <w:r w:rsidRPr="000E696E">
        <w:rPr>
          <w:rFonts w:ascii="Verdana" w:hAnsi="Verdana"/>
          <w:color w:val="000000"/>
          <w:sz w:val="16"/>
          <w:szCs w:val="16"/>
          <w:lang w:val="en-US"/>
        </w:rPr>
        <w:t xml:space="preserve"> It is the responsibility of the General Assembly of the Industrial Community : (a) To rule on the management, accounts and financial statements of the Community; (b) To adopt the Community’s Statute and amend it when necessary; (c) To request the competent authority to investigate the actions of the Community Council; (d) To order audits of the Community’s patrimony; (e) To appoint the Electoral Committee for the election of the members of the Community Council and the representatives on the Board; (f) To remove the President and other members of the Community Council; (g) To remove the workers’ representatives on the Board; (h) To revoke the Community Council’s agreements or decision when these are contrary to the law or the Community’s Statute; (i) To appoint the Community’s Liquidation Committee in case of liquidation; (j) To take decisions in cases in which the law or the statute so establishes, or in any other important matter related to the Community, and (k) To adopt the annual investment plan for the patrimonial participation of the Industrial Community.</w:t>
      </w:r>
      <w:r w:rsidRPr="000E696E">
        <w:rPr>
          <w:rFonts w:ascii="Verdana" w:eastAsia="Times New Roman" w:hAnsi="Verdana" w:cs="Arial"/>
          <w:iCs/>
          <w:color w:val="000000"/>
          <w:sz w:val="16"/>
          <w:szCs w:val="16"/>
          <w:lang w:val="en-US" w:eastAsia="es-CR"/>
        </w:rPr>
        <w:t>”</w:t>
      </w:r>
    </w:p>
  </w:footnote>
  <w:footnote w:id="43">
    <w:p w14:paraId="169ECEC0" w14:textId="47ED5F3F" w:rsidR="0068647C" w:rsidRPr="000E696E" w:rsidRDefault="0068647C" w:rsidP="00AA1EBF">
      <w:pPr>
        <w:autoSpaceDE w:val="0"/>
        <w:autoSpaceDN w:val="0"/>
        <w:adjustRightInd w:val="0"/>
        <w:spacing w:after="60"/>
        <w:jc w:val="both"/>
        <w:rPr>
          <w:rFonts w:ascii="Verdana" w:eastAsia="Times New Roman" w:hAnsi="Verdana" w:cs="Arial"/>
          <w:iCs/>
          <w:color w:val="000000"/>
          <w:sz w:val="16"/>
          <w:szCs w:val="16"/>
          <w:lang w:val="en-US" w:eastAsia="es-CR"/>
        </w:rPr>
      </w:pPr>
      <w:r w:rsidRPr="000E696E">
        <w:rPr>
          <w:rStyle w:val="Refdenotaalpie"/>
          <w:sz w:val="16"/>
          <w:szCs w:val="16"/>
          <w:lang w:val="en-US"/>
        </w:rPr>
        <w:footnoteRef/>
      </w:r>
      <w:r w:rsidRPr="000E696E">
        <w:rPr>
          <w:rStyle w:val="Refdenotaalpie"/>
          <w:sz w:val="16"/>
          <w:szCs w:val="16"/>
          <w:lang w:val="en-US"/>
        </w:rPr>
        <w:t xml:space="preserve"> </w:t>
      </w:r>
      <w:r w:rsidRPr="000E696E">
        <w:rPr>
          <w:rFonts w:ascii="Verdana" w:hAnsi="Verdana"/>
          <w:sz w:val="16"/>
          <w:szCs w:val="16"/>
          <w:lang w:val="en-US"/>
        </w:rPr>
        <w:tab/>
        <w:t>Article 28</w:t>
      </w:r>
      <w:r w:rsidRPr="000E696E">
        <w:rPr>
          <w:rFonts w:ascii="Verdana" w:hAnsi="Verdana"/>
          <w:color w:val="000000"/>
          <w:sz w:val="16"/>
          <w:szCs w:val="16"/>
          <w:lang w:val="en-US"/>
        </w:rPr>
        <w:t xml:space="preserve"> </w:t>
      </w:r>
      <w:r w:rsidRPr="000E696E">
        <w:rPr>
          <w:rFonts w:ascii="Verdana" w:hAnsi="Verdana"/>
          <w:sz w:val="16"/>
          <w:szCs w:val="16"/>
          <w:lang w:val="en-US"/>
        </w:rPr>
        <w:t>of the Decree-Law in force at the time of the facts established:</w:t>
      </w:r>
      <w:r w:rsidRPr="000E696E">
        <w:rPr>
          <w:rFonts w:ascii="Verdana" w:hAnsi="Verdana"/>
          <w:color w:val="000000"/>
          <w:sz w:val="16"/>
          <w:szCs w:val="16"/>
          <w:lang w:val="en-US"/>
        </w:rPr>
        <w:t xml:space="preserve"> </w:t>
      </w:r>
      <w:r w:rsidRPr="000E696E">
        <w:rPr>
          <w:rFonts w:ascii="Verdana" w:hAnsi="Verdana"/>
          <w:sz w:val="16"/>
          <w:szCs w:val="16"/>
          <w:lang w:val="en-US"/>
        </w:rPr>
        <w:t>“</w:t>
      </w:r>
      <w:r w:rsidRPr="000E696E">
        <w:rPr>
          <w:rFonts w:ascii="Verdana" w:hAnsi="Verdana"/>
          <w:color w:val="000000"/>
          <w:sz w:val="16"/>
          <w:szCs w:val="16"/>
          <w:lang w:val="en-US"/>
        </w:rPr>
        <w:t>Article 28</w:t>
      </w:r>
      <w:r w:rsidRPr="000E696E">
        <w:rPr>
          <w:rStyle w:val="st1"/>
          <w:rFonts w:ascii="Verdana" w:hAnsi="Verdana" w:cs="Arial"/>
          <w:color w:val="000000"/>
          <w:sz w:val="16"/>
          <w:szCs w:val="16"/>
          <w:lang w:val="en-US"/>
        </w:rPr>
        <w:t>. The number of members of the Electoral Committee shall be indicated in the Community’s Statute, and it shall be composed of employees and manual workers in proportion to their total number in the company. At least one (1) of the members must be an employee.”</w:t>
      </w:r>
    </w:p>
  </w:footnote>
  <w:footnote w:id="44">
    <w:p w14:paraId="656E6494" w14:textId="493C2A94" w:rsidR="0068647C" w:rsidRPr="000E696E" w:rsidRDefault="0068647C" w:rsidP="00AA1EBF">
      <w:pPr>
        <w:autoSpaceDE w:val="0"/>
        <w:autoSpaceDN w:val="0"/>
        <w:adjustRightInd w:val="0"/>
        <w:spacing w:after="60"/>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President: Alfredo Lagos del Campo (Manual Worker), Secretary: Yolanda Ismodes Ramíres (Employee), First Member: Mercedes Mera Jiménez (Employee), Second Member: Teodomiro Vizcarra Salinas (Manual Worker), Third Member: Aristedes Quispe Altamirano (Manual Worker) (evidence file, annex 4 to the Merits Report, f. 11.).</w:t>
      </w:r>
    </w:p>
  </w:footnote>
  <w:footnote w:id="45">
    <w:p w14:paraId="571570E2" w14:textId="364FA6F4" w:rsidR="0068647C" w:rsidRPr="000E696E" w:rsidRDefault="0068647C" w:rsidP="00601138">
      <w:pPr>
        <w:pStyle w:val="Estilo4"/>
        <w:numPr>
          <w:ilvl w:val="0"/>
          <w:numId w:val="0"/>
        </w:numPr>
        <w:rPr>
          <w:sz w:val="16"/>
          <w:szCs w:val="16"/>
          <w:lang w:val="en-US"/>
        </w:rPr>
      </w:pPr>
      <w:r w:rsidRPr="000E696E">
        <w:rPr>
          <w:rStyle w:val="Refdenotaalpie"/>
          <w:sz w:val="16"/>
          <w:szCs w:val="16"/>
          <w:lang w:val="en-US"/>
        </w:rPr>
        <w:footnoteRef/>
      </w:r>
      <w:r w:rsidRPr="000E696E">
        <w:rPr>
          <w:sz w:val="16"/>
          <w:szCs w:val="16"/>
          <w:lang w:val="en-US"/>
        </w:rPr>
        <w:t xml:space="preserve"> </w:t>
      </w:r>
      <w:r w:rsidRPr="000E696E">
        <w:rPr>
          <w:sz w:val="16"/>
          <w:szCs w:val="16"/>
          <w:lang w:val="en-US"/>
        </w:rPr>
        <w:tab/>
      </w:r>
      <w:r w:rsidRPr="000E696E">
        <w:rPr>
          <w:i/>
          <w:sz w:val="16"/>
          <w:szCs w:val="16"/>
          <w:lang w:val="en-US"/>
        </w:rPr>
        <w:t>Cf.</w:t>
      </w:r>
      <w:r w:rsidRPr="000E696E">
        <w:rPr>
          <w:sz w:val="16"/>
          <w:szCs w:val="16"/>
          <w:lang w:val="en-US"/>
        </w:rPr>
        <w:t xml:space="preserve"> Ministry of Industry. Communication No. 1526 ICTI/OGP-38. Inscription of the Electoral Committee. August 9, 1988. Annexes to the communication of the petitioners dated July 23, 1998 (evidence file, annex 4 to the Merits Report, f. 11).</w:t>
      </w:r>
    </w:p>
  </w:footnote>
  <w:footnote w:id="46">
    <w:p w14:paraId="6C987640" w14:textId="2E0459C3" w:rsidR="0068647C" w:rsidRPr="000E696E" w:rsidRDefault="0068647C" w:rsidP="00D61BD2">
      <w:pPr>
        <w:pStyle w:val="Textonotapie"/>
      </w:pPr>
      <w:r w:rsidRPr="000E696E">
        <w:rPr>
          <w:rStyle w:val="Refdenotaalpie"/>
          <w:sz w:val="16"/>
        </w:rPr>
        <w:footnoteRef/>
      </w:r>
      <w:r w:rsidRPr="000E696E">
        <w:t xml:space="preserve"> </w:t>
      </w:r>
      <w:r w:rsidRPr="000E696E">
        <w:tab/>
        <w:t>Decree-Law 21789. Article 27. “The Elections shall be held on just one day and without affecting working hours, following the procedure indicated in the specific regime adopted by the competent body. The vote shall be individual, secret, universal and compulsory.”</w:t>
      </w:r>
    </w:p>
  </w:footnote>
  <w:footnote w:id="47">
    <w:p w14:paraId="21F92BD0" w14:textId="705BD8D6" w:rsidR="0068647C" w:rsidRPr="000E696E" w:rsidRDefault="0068647C" w:rsidP="006021AA">
      <w:pPr>
        <w:spacing w:after="60"/>
        <w:jc w:val="both"/>
        <w:rPr>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 xml:space="preserve">Article 3 of Decree-Law 21789 in force at the time of the facts establishes: </w:t>
      </w:r>
      <w:bookmarkStart w:id="20" w:name="_Hlk28689803"/>
      <w:r w:rsidRPr="000E696E">
        <w:rPr>
          <w:rStyle w:val="st1"/>
          <w:rFonts w:ascii="Verdana" w:hAnsi="Verdana" w:cs="Arial"/>
          <w:color w:val="000000"/>
          <w:sz w:val="16"/>
          <w:szCs w:val="16"/>
          <w:lang w:val="en-US"/>
        </w:rPr>
        <w:t xml:space="preserve">“The purposes of </w:t>
      </w:r>
      <w:r w:rsidRPr="000E696E">
        <w:rPr>
          <w:rFonts w:ascii="Verdana" w:hAnsi="Verdana"/>
          <w:sz w:val="16"/>
          <w:szCs w:val="16"/>
          <w:lang w:val="en-US"/>
        </w:rPr>
        <w:t xml:space="preserve">the Industrial Community are: </w:t>
      </w:r>
      <w:bookmarkEnd w:id="20"/>
      <w:r w:rsidRPr="000E696E">
        <w:rPr>
          <w:rStyle w:val="st1"/>
          <w:rFonts w:ascii="Verdana" w:hAnsi="Verdana" w:cs="Arial"/>
          <w:color w:val="000000"/>
          <w:sz w:val="16"/>
          <w:szCs w:val="16"/>
          <w:lang w:val="en-US"/>
        </w:rPr>
        <w:t>(</w:t>
      </w:r>
      <w:r w:rsidRPr="000E696E">
        <w:rPr>
          <w:rFonts w:ascii="Verdana" w:hAnsi="Verdana"/>
          <w:sz w:val="16"/>
          <w:szCs w:val="16"/>
          <w:lang w:val="en-US"/>
        </w:rPr>
        <w:t>a) To contribute to the establishment of constructive forms of interrelationship in the industrial company; (b) to strengthen the company by the united action of its members in the management and productive process, and their participation in the ownership of the company’s patrimony; (c) to establish an appropriate and rational distribution of the benefits among the investors and permanent workers of an industrial company, and (d) to promote permanent training and stimulate the creativity of the company’s workers.”</w:t>
      </w:r>
    </w:p>
  </w:footnote>
  <w:footnote w:id="48">
    <w:p w14:paraId="6F1294F7" w14:textId="21664CA2" w:rsidR="0068647C" w:rsidRPr="000E696E" w:rsidRDefault="0068647C" w:rsidP="00AA1EBF">
      <w:pPr>
        <w:spacing w:after="60"/>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 xml:space="preserve">Article 8 of Law 25593 on Collective Labor Relations establishes that: “The purposes and functions of labor unions are: (a) To represent the entire workforce that falls within their ambit in conflicts, disputes, or claims of a collective nature; (b) To negotiate collective working agreements, require compliance with them, and implement the rights and actions that arise from such agreements; (c) To represent or defend their members in individual disputes or claims, unless the worker files a direct action, voluntarily or as the law requires, in which case the labor union may act in an advisory capacity; (d) To promote the creation and encourage the development of cooperatives, credit unions, and funds and, in general, entities for the social promotion and assistance of their members; (e) To promote the cultural, educational, technical and union-related development of their members, and (f) In general, any others that are not contrary to their essential purposes or the law.” </w:t>
      </w:r>
    </w:p>
  </w:footnote>
  <w:footnote w:id="49">
    <w:p w14:paraId="36E9AFBB" w14:textId="102A85CE" w:rsidR="0068647C" w:rsidRPr="000E696E" w:rsidRDefault="0068647C" w:rsidP="00D61BD2">
      <w:pPr>
        <w:pStyle w:val="Textonotapie"/>
      </w:pPr>
      <w:r w:rsidRPr="000E696E">
        <w:rPr>
          <w:rStyle w:val="Refdenotaalpie"/>
          <w:sz w:val="16"/>
        </w:rPr>
        <w:footnoteRef/>
      </w:r>
      <w:r w:rsidRPr="000E696E">
        <w:t xml:space="preserve"> </w:t>
      </w:r>
      <w:r w:rsidRPr="000E696E">
        <w:tab/>
        <w:t xml:space="preserve">Expert opinion of Omar Sar Suárez. “In this section, it has been established that there are differences between labor unions and industrial communities, but it should be noted that, in both cases, the workers’ representatives stand for the sectoral interests of the group vis-à-vis the employer.” “[…] regarding the right to freedom of expression, these differences, inherent to the nature of the said entities, do not affect their content </w:t>
      </w:r>
      <w:r w:rsidRPr="000E696E">
        <w:rPr>
          <w:i/>
          <w:iCs/>
        </w:rPr>
        <w:t>prima facie</w:t>
      </w:r>
      <w:r w:rsidRPr="000E696E">
        <w:t xml:space="preserve"> because, in both cases,  their function is to represent the workers” (merits file, ff. 524 to 525). Meanwhile, in the opinion he gave before the Court during the public hearing on February 7, 2017, expert witness César González Hunt explained that, even though there are various differences between the entities, both industrial communities and labor unions “are entities that represent the workers before the employer” (transcript of the hearing on February 7, 2017, p. 73).</w:t>
      </w:r>
    </w:p>
  </w:footnote>
  <w:footnote w:id="50">
    <w:p w14:paraId="0D52A931" w14:textId="33E8357C" w:rsidR="0068647C" w:rsidRPr="000E696E" w:rsidRDefault="0068647C" w:rsidP="00AA1EBF">
      <w:pPr>
        <w:spacing w:after="60"/>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 xml:space="preserve">National Identification and Civil Registry. </w:t>
      </w:r>
      <w:r w:rsidRPr="004204B2">
        <w:rPr>
          <w:rFonts w:ascii="Verdana" w:hAnsi="Verdana"/>
          <w:sz w:val="16"/>
          <w:szCs w:val="16"/>
          <w:lang w:val="es-CR" w:eastAsia="es-MX"/>
        </w:rPr>
        <w:t xml:space="preserve">DNI of Alfredo Lagos del Campo. </w:t>
      </w:r>
      <w:r w:rsidRPr="000E696E">
        <w:rPr>
          <w:rFonts w:ascii="Verdana" w:hAnsi="Verdana"/>
          <w:sz w:val="16"/>
          <w:szCs w:val="16"/>
          <w:lang w:val="en-US"/>
        </w:rPr>
        <w:t>(evidence file, annex 30 to the Merits Report, f. 102).</w:t>
      </w:r>
    </w:p>
  </w:footnote>
  <w:footnote w:id="51">
    <w:p w14:paraId="373184A8" w14:textId="1F2DC99D" w:rsidR="0068647C" w:rsidRPr="000E696E" w:rsidRDefault="0068647C" w:rsidP="00AA1EBF">
      <w:pPr>
        <w:autoSpaceDE w:val="0"/>
        <w:autoSpaceDN w:val="0"/>
        <w:adjustRightInd w:val="0"/>
        <w:spacing w:after="60"/>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i/>
          <w:sz w:val="16"/>
          <w:szCs w:val="16"/>
          <w:lang w:val="en-US"/>
        </w:rPr>
        <w:t>Cf.</w:t>
      </w:r>
      <w:r w:rsidRPr="000E696E">
        <w:rPr>
          <w:rFonts w:ascii="Verdana" w:hAnsi="Verdana"/>
          <w:sz w:val="16"/>
          <w:szCs w:val="16"/>
          <w:lang w:val="en-US"/>
        </w:rPr>
        <w:t xml:space="preserve"> </w:t>
      </w:r>
      <w:r w:rsidRPr="000E696E">
        <w:rPr>
          <w:rFonts w:ascii="Verdana" w:hAnsi="Verdana"/>
          <w:sz w:val="16"/>
          <w:szCs w:val="16"/>
          <w:lang w:val="en-US" w:eastAsia="es-MX"/>
        </w:rPr>
        <w:t xml:space="preserve">CEPER-PIRELLI. </w:t>
      </w:r>
      <w:r w:rsidRPr="004204B2">
        <w:rPr>
          <w:rFonts w:ascii="Verdana" w:hAnsi="Verdana"/>
          <w:sz w:val="16"/>
          <w:szCs w:val="16"/>
          <w:lang w:val="es-CR" w:eastAsia="es-MX"/>
        </w:rPr>
        <w:t xml:space="preserve">Pay slip of Alfredo Lagos del Campo. </w:t>
      </w:r>
      <w:r w:rsidRPr="000E696E">
        <w:rPr>
          <w:rFonts w:ascii="Verdana" w:hAnsi="Verdana"/>
          <w:sz w:val="16"/>
          <w:szCs w:val="16"/>
          <w:lang w:val="en-US" w:eastAsia="es-MX"/>
        </w:rPr>
        <w:t xml:space="preserve">Week of June 26 to July 2, 1989 (evidence file, annex 2 to the Merits Report, f. 5), and Judgment 225-91 handed down on March 5, 1991 </w:t>
      </w:r>
      <w:r w:rsidRPr="000E696E">
        <w:rPr>
          <w:rFonts w:ascii="Verdana" w:hAnsi="Verdana"/>
          <w:sz w:val="16"/>
          <w:szCs w:val="16"/>
          <w:lang w:val="en-US"/>
        </w:rPr>
        <w:t>(</w:t>
      </w:r>
      <w:r w:rsidRPr="000E696E">
        <w:rPr>
          <w:rFonts w:ascii="Verdana" w:hAnsi="Verdana"/>
          <w:sz w:val="16"/>
          <w:szCs w:val="16"/>
          <w:lang w:val="en-US" w:eastAsia="es-MX"/>
        </w:rPr>
        <w:t xml:space="preserve">evidence file, </w:t>
      </w:r>
      <w:r w:rsidRPr="000E696E">
        <w:rPr>
          <w:rFonts w:ascii="Verdana" w:hAnsi="Verdana"/>
          <w:sz w:val="16"/>
          <w:szCs w:val="16"/>
          <w:lang w:val="en-US"/>
        </w:rPr>
        <w:t>annex 8 to the Merits Report, f. 29).</w:t>
      </w:r>
    </w:p>
  </w:footnote>
  <w:footnote w:id="52">
    <w:p w14:paraId="336CB8DC" w14:textId="1B81A51F" w:rsidR="0068647C" w:rsidRPr="000E696E" w:rsidRDefault="0068647C" w:rsidP="00AA1EBF">
      <w:pPr>
        <w:autoSpaceDE w:val="0"/>
        <w:autoSpaceDN w:val="0"/>
        <w:adjustRightInd w:val="0"/>
        <w:spacing w:after="60"/>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i/>
          <w:sz w:val="16"/>
          <w:szCs w:val="16"/>
          <w:lang w:val="en-US"/>
        </w:rPr>
        <w:t>Cf.</w:t>
      </w:r>
      <w:r w:rsidRPr="000E696E">
        <w:rPr>
          <w:rFonts w:ascii="Verdana" w:hAnsi="Verdana"/>
          <w:sz w:val="16"/>
          <w:szCs w:val="16"/>
          <w:lang w:val="en-US"/>
        </w:rPr>
        <w:t xml:space="preserve"> </w:t>
      </w:r>
      <w:r w:rsidRPr="000E696E">
        <w:rPr>
          <w:rFonts w:ascii="Verdana" w:hAnsi="Verdana"/>
          <w:sz w:val="16"/>
          <w:szCs w:val="16"/>
          <w:lang w:val="en-US" w:eastAsia="es-MX"/>
        </w:rPr>
        <w:t xml:space="preserve">Note entitled “List of leaders with their respective positions. Period 1982–1983,” undated; “CEPER” Labor union. Note addressed to the Head of the Labor Union Registration Division, June 1983; “CEPER’ Labor union. Note addressed to the Head of the Labor Union Registration Division, June 1985. Annexes to the communication of the petitioners of March 16, 2011 </w:t>
      </w:r>
      <w:r w:rsidRPr="000E696E">
        <w:rPr>
          <w:rFonts w:ascii="Verdana" w:hAnsi="Verdana"/>
          <w:sz w:val="16"/>
          <w:szCs w:val="16"/>
          <w:lang w:val="en-US"/>
        </w:rPr>
        <w:t>(evidence file, annex 3 to the Merits Report, ff. 7 to 9).</w:t>
      </w:r>
    </w:p>
  </w:footnote>
  <w:footnote w:id="53">
    <w:p w14:paraId="6CFCA0D8" w14:textId="6F18DE35" w:rsidR="0068647C" w:rsidRPr="000E696E" w:rsidRDefault="0068647C" w:rsidP="00AA1EBF">
      <w:pPr>
        <w:autoSpaceDE w:val="0"/>
        <w:autoSpaceDN w:val="0"/>
        <w:adjustRightInd w:val="0"/>
        <w:spacing w:after="60"/>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i/>
          <w:sz w:val="16"/>
          <w:szCs w:val="16"/>
          <w:lang w:val="en-US"/>
        </w:rPr>
        <w:t>Cf.</w:t>
      </w:r>
      <w:r w:rsidRPr="000E696E">
        <w:rPr>
          <w:rFonts w:ascii="Verdana" w:hAnsi="Verdana"/>
          <w:sz w:val="16"/>
          <w:szCs w:val="16"/>
          <w:lang w:val="en-US"/>
        </w:rPr>
        <w:t xml:space="preserve"> </w:t>
      </w:r>
      <w:r w:rsidRPr="000E696E">
        <w:rPr>
          <w:rFonts w:ascii="Verdana" w:hAnsi="Verdana"/>
          <w:sz w:val="16"/>
          <w:szCs w:val="16"/>
          <w:lang w:val="en-US" w:eastAsia="es-MX"/>
        </w:rPr>
        <w:t xml:space="preserve">Ministry of Industry. Participation Directorate. Communication No. 1526 ICTI/OGP-38. Registration of the Electoral Committee. August 9, 1988 </w:t>
      </w:r>
      <w:r w:rsidRPr="000E696E">
        <w:rPr>
          <w:rFonts w:ascii="Verdana" w:hAnsi="Verdana"/>
          <w:sz w:val="16"/>
          <w:szCs w:val="16"/>
          <w:lang w:val="en-US"/>
        </w:rPr>
        <w:t>(evidence file, annex 4 to the Merits Report, f. 11).</w:t>
      </w:r>
    </w:p>
  </w:footnote>
  <w:footnote w:id="54">
    <w:p w14:paraId="32B35EE7" w14:textId="7C42B20E" w:rsidR="0068647C" w:rsidRPr="000E696E" w:rsidRDefault="0068647C" w:rsidP="00D61BD2">
      <w:pPr>
        <w:pStyle w:val="Textonotapie"/>
      </w:pPr>
      <w:r w:rsidRPr="000E696E">
        <w:rPr>
          <w:rStyle w:val="Refdenotaalpie"/>
          <w:sz w:val="16"/>
        </w:rPr>
        <w:footnoteRef/>
      </w:r>
      <w:r w:rsidRPr="000E696E">
        <w:t xml:space="preserve"> </w:t>
      </w:r>
      <w:r w:rsidRPr="000E696E">
        <w:tab/>
        <w:t>Secretary: Yolanda Ismodes Ramíres (Employee), First Member: Mercedes Mera Jiménez (Employee), Second Member: Teodomiro Vizcarra Salinas (Manual Worker), Third Member: Aristedes Quispe Altamirano (Manual Worker).</w:t>
      </w:r>
    </w:p>
  </w:footnote>
  <w:footnote w:id="55">
    <w:p w14:paraId="264C9511" w14:textId="38D71FD5" w:rsidR="0068647C" w:rsidRPr="000E696E" w:rsidRDefault="0068647C" w:rsidP="00D61BD2">
      <w:pPr>
        <w:pStyle w:val="Textonotapie"/>
      </w:pPr>
      <w:r w:rsidRPr="000E696E">
        <w:rPr>
          <w:rStyle w:val="Refdenotaalpie"/>
          <w:sz w:val="16"/>
        </w:rPr>
        <w:footnoteRef/>
      </w:r>
      <w:r w:rsidRPr="000E696E">
        <w:t xml:space="preserve"> </w:t>
      </w:r>
      <w:r w:rsidRPr="000E696E">
        <w:tab/>
        <w:t xml:space="preserve">Letter of April 28,1989, addressed to the Participation Directorate of the Ministry of Industry, attaching the letter presented to the company denouncing three members of this Committee for contravening the rules of procedures by seeking to ignore the President of the Committee; for holding informal meetings, and for giving the impression that they were acting under external constraints in order to impose an electoral process that would favor a specific list of candidates promoted by the employer (evidence file of the Commission, annexes to the answering brief, f. 1450). </w:t>
      </w:r>
    </w:p>
  </w:footnote>
  <w:footnote w:id="56">
    <w:p w14:paraId="00213C1C" w14:textId="361EC25C" w:rsidR="0068647C" w:rsidRPr="000E696E" w:rsidRDefault="0068647C" w:rsidP="00D61BD2">
      <w:pPr>
        <w:pStyle w:val="Textonotapie"/>
      </w:pPr>
      <w:r w:rsidRPr="000E696E">
        <w:rPr>
          <w:rStyle w:val="Refdenotaalpie"/>
          <w:sz w:val="16"/>
        </w:rPr>
        <w:footnoteRef/>
      </w:r>
      <w:r w:rsidRPr="000E696E">
        <w:t xml:space="preserve"> </w:t>
      </w:r>
      <w:r w:rsidRPr="000E696E">
        <w:tab/>
        <w:t xml:space="preserve">Signed by José Vargas Purizaga, Leonidas Valdivia Mendoza, Alberto Sánchez Maravi and other members of the Ceper-Pirelli Industrial Community (evidence file, annex 3 to the State’s answering brief, f.1455). </w:t>
      </w:r>
    </w:p>
  </w:footnote>
  <w:footnote w:id="57">
    <w:p w14:paraId="7E4AA8E0" w14:textId="447C45CE" w:rsidR="0068647C" w:rsidRPr="000E696E" w:rsidRDefault="0068647C" w:rsidP="00AA1EBF">
      <w:pPr>
        <w:autoSpaceDE w:val="0"/>
        <w:autoSpaceDN w:val="0"/>
        <w:adjustRightInd w:val="0"/>
        <w:spacing w:after="60"/>
        <w:jc w:val="both"/>
        <w:rPr>
          <w:rFonts w:ascii="Verdana" w:hAnsi="Verdana" w:cs="Arial"/>
          <w:color w:val="000000"/>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cs="Arial"/>
          <w:i/>
          <w:color w:val="000000"/>
          <w:sz w:val="16"/>
          <w:szCs w:val="16"/>
          <w:lang w:val="en-US"/>
        </w:rPr>
        <w:t>Cf.</w:t>
      </w:r>
      <w:r w:rsidRPr="000E696E">
        <w:rPr>
          <w:rFonts w:ascii="Verdana" w:hAnsi="Verdana" w:cs="Arial"/>
          <w:color w:val="000000"/>
          <w:sz w:val="16"/>
          <w:szCs w:val="16"/>
          <w:lang w:val="en-US"/>
        </w:rPr>
        <w:t xml:space="preserve"> Participation Directorate of the Ministry of Industry. Directorate Resolution No. 23-ICTI/OGP/89 of June 9, 1989 </w:t>
      </w:r>
      <w:r w:rsidRPr="000E696E">
        <w:rPr>
          <w:rFonts w:ascii="Verdana" w:hAnsi="Verdana"/>
          <w:sz w:val="16"/>
          <w:szCs w:val="16"/>
          <w:lang w:val="en-US"/>
        </w:rPr>
        <w:t xml:space="preserve">(evidence file Annex 3 to the State’s answering brief, f.1455). In the resolution, the </w:t>
      </w:r>
      <w:r w:rsidRPr="000E696E">
        <w:rPr>
          <w:rFonts w:ascii="Verdana" w:hAnsi="Verdana" w:cs="Arial"/>
          <w:color w:val="000000"/>
          <w:sz w:val="16"/>
          <w:szCs w:val="16"/>
          <w:lang w:val="en-US"/>
        </w:rPr>
        <w:t>Participation Directorate determined that everything related to the electoral process held on April 28, 1989, had been done pursuant to the election rules; however, it declared that the appeal was well-founded and ordered that a new electoral process be held.</w:t>
      </w:r>
    </w:p>
  </w:footnote>
  <w:footnote w:id="58">
    <w:p w14:paraId="113D88DF" w14:textId="660E610D" w:rsidR="0068647C" w:rsidRPr="000E696E" w:rsidRDefault="0068647C" w:rsidP="00D61BD2">
      <w:pPr>
        <w:pStyle w:val="Textonotapie"/>
      </w:pPr>
      <w:r w:rsidRPr="000E696E">
        <w:rPr>
          <w:rStyle w:val="Refdenotaalpie"/>
          <w:sz w:val="16"/>
        </w:rPr>
        <w:footnoteRef/>
      </w:r>
      <w:r w:rsidRPr="000E696E">
        <w:t xml:space="preserve"> </w:t>
      </w:r>
      <w:r w:rsidRPr="000E696E">
        <w:tab/>
        <w:t xml:space="preserve">Summons to a meeting of the Electoral Committee dated June 22, 1989, attached to an explanatory letter dated June 28, 1989. </w:t>
      </w:r>
    </w:p>
  </w:footnote>
  <w:footnote w:id="59">
    <w:p w14:paraId="00B89148" w14:textId="7665E8D2" w:rsidR="0068647C" w:rsidRPr="000E696E" w:rsidRDefault="0068647C" w:rsidP="004108F1">
      <w:pPr>
        <w:spacing w:after="60"/>
        <w:contextualSpacing/>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i/>
          <w:sz w:val="16"/>
          <w:szCs w:val="16"/>
          <w:lang w:val="en-US"/>
        </w:rPr>
        <w:t>Cf.</w:t>
      </w:r>
      <w:r w:rsidRPr="000E696E">
        <w:rPr>
          <w:rFonts w:ascii="Verdana" w:hAnsi="Verdana"/>
          <w:sz w:val="16"/>
          <w:szCs w:val="16"/>
          <w:lang w:val="en-US"/>
        </w:rPr>
        <w:t xml:space="preserve"> </w:t>
      </w:r>
      <w:r w:rsidRPr="000E696E">
        <w:rPr>
          <w:rFonts w:ascii="Verdana" w:hAnsi="Verdana"/>
          <w:i/>
          <w:iCs/>
          <w:sz w:val="16"/>
          <w:szCs w:val="16"/>
          <w:lang w:val="en-US" w:eastAsia="es-MX"/>
        </w:rPr>
        <w:t>La Razón</w:t>
      </w:r>
      <w:r w:rsidRPr="000E696E">
        <w:rPr>
          <w:rFonts w:ascii="Verdana" w:hAnsi="Verdana"/>
          <w:sz w:val="16"/>
          <w:szCs w:val="16"/>
          <w:lang w:val="en-US" w:eastAsia="es-MX"/>
        </w:rPr>
        <w:t xml:space="preserve">. June 1989. </w:t>
      </w:r>
      <w:r w:rsidRPr="000E696E">
        <w:rPr>
          <w:rFonts w:ascii="Verdana" w:hAnsi="Verdana"/>
          <w:i/>
          <w:iCs/>
          <w:sz w:val="16"/>
          <w:szCs w:val="16"/>
          <w:lang w:val="en-US" w:eastAsia="es-MX"/>
        </w:rPr>
        <w:t xml:space="preserve">CEPER. Patronal y Amarillos pretenden liquidar CI. </w:t>
      </w:r>
      <w:r w:rsidRPr="000E696E">
        <w:rPr>
          <w:rFonts w:ascii="Verdana" w:hAnsi="Verdana"/>
          <w:sz w:val="16"/>
          <w:szCs w:val="16"/>
          <w:lang w:val="en-US" w:eastAsia="es-MX"/>
        </w:rPr>
        <w:t xml:space="preserve">p. 10 </w:t>
      </w:r>
      <w:r w:rsidRPr="000E696E">
        <w:rPr>
          <w:rFonts w:ascii="Verdana" w:hAnsi="Verdana"/>
          <w:sz w:val="16"/>
          <w:szCs w:val="16"/>
          <w:lang w:val="en-US"/>
        </w:rPr>
        <w:t>(evidence file, annex 5 to the Merits Report, f. 13).</w:t>
      </w:r>
    </w:p>
  </w:footnote>
  <w:footnote w:id="60">
    <w:p w14:paraId="12CDACB5" w14:textId="5AE75B9C"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rPr>
        <w:t>Cf.</w:t>
      </w:r>
      <w:r w:rsidRPr="000E696E">
        <w:t xml:space="preserve"> Ibid.</w:t>
      </w:r>
    </w:p>
  </w:footnote>
  <w:footnote w:id="61">
    <w:p w14:paraId="7767572B" w14:textId="6D6FB917" w:rsidR="0068647C" w:rsidRPr="000E696E" w:rsidRDefault="0068647C" w:rsidP="00AA1EBF">
      <w:pPr>
        <w:autoSpaceDE w:val="0"/>
        <w:autoSpaceDN w:val="0"/>
        <w:adjustRightInd w:val="0"/>
        <w:spacing w:after="60"/>
        <w:jc w:val="both"/>
        <w:rPr>
          <w:rFonts w:ascii="Verdana" w:hAnsi="Verdana"/>
          <w:sz w:val="16"/>
          <w:szCs w:val="16"/>
          <w:lang w:val="en-US"/>
        </w:rPr>
      </w:pPr>
      <w:r w:rsidRPr="000E696E">
        <w:rPr>
          <w:rStyle w:val="Refdenotaalpie"/>
          <w:color w:val="000000"/>
          <w:sz w:val="16"/>
          <w:szCs w:val="16"/>
          <w:lang w:val="en-US"/>
        </w:rPr>
        <w:footnoteRef/>
      </w:r>
      <w:r w:rsidRPr="000E696E">
        <w:rPr>
          <w:rFonts w:ascii="Verdana" w:hAnsi="Verdana"/>
          <w:i/>
          <w:color w:val="000000"/>
          <w:sz w:val="16"/>
          <w:szCs w:val="16"/>
          <w:lang w:val="en-US" w:eastAsia="es-MX"/>
        </w:rPr>
        <w:t xml:space="preserve"> </w:t>
      </w:r>
      <w:r w:rsidRPr="000E696E">
        <w:rPr>
          <w:rFonts w:ascii="Verdana" w:hAnsi="Verdana"/>
          <w:i/>
          <w:color w:val="000000"/>
          <w:sz w:val="16"/>
          <w:szCs w:val="16"/>
          <w:lang w:val="en-US" w:eastAsia="es-MX"/>
        </w:rPr>
        <w:tab/>
        <w:t>Cf.</w:t>
      </w:r>
      <w:r w:rsidRPr="000E696E">
        <w:rPr>
          <w:rFonts w:ascii="Verdana" w:hAnsi="Verdana"/>
          <w:color w:val="000000"/>
          <w:sz w:val="16"/>
          <w:szCs w:val="16"/>
          <w:lang w:val="en-US" w:eastAsia="es-MX"/>
        </w:rPr>
        <w:t xml:space="preserve"> </w:t>
      </w:r>
      <w:r w:rsidRPr="000E696E">
        <w:rPr>
          <w:rFonts w:ascii="Verdana" w:hAnsi="Verdana"/>
          <w:i/>
          <w:color w:val="000000"/>
          <w:sz w:val="16"/>
          <w:szCs w:val="16"/>
          <w:lang w:val="en-US" w:eastAsia="es-MX"/>
        </w:rPr>
        <w:t>Ibid.</w:t>
      </w:r>
    </w:p>
  </w:footnote>
  <w:footnote w:id="62">
    <w:p w14:paraId="52880E65" w14:textId="4148CC56" w:rsidR="0068647C" w:rsidRPr="000E696E" w:rsidRDefault="0068647C" w:rsidP="00AA1EBF">
      <w:pPr>
        <w:spacing w:after="60"/>
        <w:jc w:val="both"/>
        <w:rPr>
          <w:rFonts w:ascii="Verdana" w:hAnsi="Verdana"/>
          <w:b/>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 xml:space="preserve">The notarized letter was delivered to him in accordance with article 6 of Law No. 24514 and article 11 of Supreme Decree No. 03-88-TR </w:t>
      </w:r>
      <w:r w:rsidRPr="000E696E">
        <w:rPr>
          <w:rFonts w:ascii="Verdana" w:hAnsi="Verdana"/>
          <w:color w:val="000000"/>
          <w:sz w:val="16"/>
          <w:szCs w:val="16"/>
          <w:lang w:val="en-US"/>
        </w:rPr>
        <w:t>(evidence file annex 34 to the State’s answering brief, f. 1457)</w:t>
      </w:r>
      <w:r w:rsidRPr="000E696E">
        <w:rPr>
          <w:rFonts w:ascii="Verdana" w:hAnsi="Verdana"/>
          <w:sz w:val="16"/>
          <w:szCs w:val="16"/>
          <w:lang w:val="en-US"/>
        </w:rPr>
        <w:t xml:space="preserve">. </w:t>
      </w:r>
    </w:p>
  </w:footnote>
  <w:footnote w:id="63">
    <w:p w14:paraId="489D299C" w14:textId="50EA63F8"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rPr>
        <w:t>Cf.</w:t>
      </w:r>
      <w:r w:rsidRPr="000E696E">
        <w:t xml:space="preserve"> </w:t>
      </w:r>
      <w:r w:rsidRPr="000E696E">
        <w:rPr>
          <w:lang w:eastAsia="es-MX"/>
        </w:rPr>
        <w:t>CEPER-PIRELLI. Notarized letter of</w:t>
      </w:r>
      <w:r w:rsidRPr="000E696E">
        <w:t xml:space="preserve"> June 26, 1989 (evidence file, annex 4 to the State’s answering brief, ff. 1457 and 1458).</w:t>
      </w:r>
    </w:p>
  </w:footnote>
  <w:footnote w:id="64">
    <w:p w14:paraId="5052153F" w14:textId="5C4ACDB2" w:rsidR="0068647C" w:rsidRPr="000E696E" w:rsidRDefault="0068647C" w:rsidP="00AA1EBF">
      <w:pPr>
        <w:autoSpaceDE w:val="0"/>
        <w:autoSpaceDN w:val="0"/>
        <w:adjustRightInd w:val="0"/>
        <w:spacing w:after="60"/>
        <w:jc w:val="both"/>
        <w:rPr>
          <w:rFonts w:ascii="Verdana" w:hAnsi="Verdana"/>
          <w:sz w:val="16"/>
          <w:szCs w:val="16"/>
          <w:lang w:val="en-US"/>
        </w:rPr>
      </w:pPr>
      <w:r w:rsidRPr="000E696E">
        <w:rPr>
          <w:rStyle w:val="Refdenotaalpie"/>
          <w:color w:val="000000"/>
          <w:sz w:val="16"/>
          <w:szCs w:val="16"/>
          <w:lang w:val="en-US"/>
        </w:rPr>
        <w:footnoteRef/>
      </w:r>
      <w:r w:rsidRPr="000E696E">
        <w:rPr>
          <w:rFonts w:ascii="Verdana" w:hAnsi="Verdana"/>
          <w:i/>
          <w:color w:val="000000"/>
          <w:sz w:val="16"/>
          <w:szCs w:val="16"/>
          <w:lang w:val="en-US"/>
        </w:rPr>
        <w:t xml:space="preserve"> </w:t>
      </w:r>
      <w:r w:rsidRPr="000E696E">
        <w:rPr>
          <w:rFonts w:ascii="Verdana" w:hAnsi="Verdana"/>
          <w:i/>
          <w:color w:val="000000"/>
          <w:sz w:val="16"/>
          <w:szCs w:val="16"/>
          <w:lang w:val="en-US"/>
        </w:rPr>
        <w:tab/>
        <w:t>Cf.</w:t>
      </w:r>
      <w:r w:rsidRPr="000E696E">
        <w:rPr>
          <w:rFonts w:ascii="Verdana" w:hAnsi="Verdana"/>
          <w:color w:val="000000"/>
          <w:sz w:val="16"/>
          <w:szCs w:val="16"/>
          <w:lang w:val="en-US"/>
        </w:rPr>
        <w:t xml:space="preserve"> </w:t>
      </w:r>
      <w:r w:rsidRPr="000E696E">
        <w:rPr>
          <w:rFonts w:ascii="Verdana" w:hAnsi="Verdana"/>
          <w:color w:val="000000"/>
          <w:sz w:val="16"/>
          <w:szCs w:val="16"/>
          <w:lang w:val="en-US" w:eastAsia="es-MX"/>
        </w:rPr>
        <w:t xml:space="preserve">CEPER-PIRELLI. </w:t>
      </w:r>
      <w:r w:rsidRPr="000E696E">
        <w:rPr>
          <w:rFonts w:ascii="Verdana" w:hAnsi="Verdana"/>
          <w:sz w:val="16"/>
          <w:szCs w:val="16"/>
          <w:lang w:val="en-US" w:eastAsia="es-MX"/>
        </w:rPr>
        <w:t>Notarized letter of</w:t>
      </w:r>
      <w:r w:rsidRPr="000E696E">
        <w:rPr>
          <w:rFonts w:ascii="Verdana" w:hAnsi="Verdana"/>
          <w:sz w:val="16"/>
          <w:szCs w:val="16"/>
          <w:lang w:val="en-US"/>
        </w:rPr>
        <w:t xml:space="preserve"> </w:t>
      </w:r>
      <w:r w:rsidRPr="000E696E">
        <w:rPr>
          <w:rFonts w:ascii="Verdana" w:hAnsi="Verdana"/>
          <w:color w:val="000000"/>
          <w:sz w:val="16"/>
          <w:szCs w:val="16"/>
          <w:lang w:val="en-US"/>
        </w:rPr>
        <w:t>June 26, 1989 (evidence file, annex 4 to the State’s answering brief, ff. 1457 and 1458).</w:t>
      </w:r>
    </w:p>
  </w:footnote>
  <w:footnote w:id="65">
    <w:p w14:paraId="7805E7FA" w14:textId="7DD4D718"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rPr>
        <w:t>Cf.</w:t>
      </w:r>
      <w:r w:rsidRPr="000E696E">
        <w:t xml:space="preserve"> Exculpatory communication presented to the company by Mr. Lagos del Campo on June 30, 1989. (evidence file, annex 5, f.1460).</w:t>
      </w:r>
    </w:p>
  </w:footnote>
  <w:footnote w:id="66">
    <w:p w14:paraId="15A156B6" w14:textId="3F293046" w:rsidR="0068647C" w:rsidRPr="000E696E" w:rsidRDefault="0068647C" w:rsidP="00AA1EBF">
      <w:pPr>
        <w:autoSpaceDE w:val="0"/>
        <w:autoSpaceDN w:val="0"/>
        <w:adjustRightInd w:val="0"/>
        <w:spacing w:after="60"/>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i/>
          <w:sz w:val="16"/>
          <w:szCs w:val="16"/>
          <w:lang w:val="en-US"/>
        </w:rPr>
        <w:t>Cf.</w:t>
      </w:r>
      <w:r w:rsidRPr="000E696E">
        <w:rPr>
          <w:rFonts w:ascii="Verdana" w:hAnsi="Verdana"/>
          <w:sz w:val="16"/>
          <w:szCs w:val="16"/>
          <w:lang w:val="en-US"/>
        </w:rPr>
        <w:t xml:space="preserve"> </w:t>
      </w:r>
      <w:r w:rsidRPr="000E696E">
        <w:rPr>
          <w:rFonts w:ascii="Verdana" w:hAnsi="Verdana"/>
          <w:sz w:val="16"/>
          <w:szCs w:val="16"/>
          <w:lang w:val="en-US" w:eastAsia="es-MX"/>
        </w:rPr>
        <w:t xml:space="preserve">CEPER-PIRELLI. Notarized letter of July 1, 1989, with receipt stamp of notary Javier Aspauza Gamarra, of July 3, 1989 </w:t>
      </w:r>
      <w:r w:rsidRPr="000E696E">
        <w:rPr>
          <w:rFonts w:ascii="Verdana" w:hAnsi="Verdana"/>
          <w:sz w:val="16"/>
          <w:szCs w:val="16"/>
          <w:lang w:val="en-US"/>
        </w:rPr>
        <w:t xml:space="preserve">(evidence file, annex 6 to the Merits Report, ff.15 and 16). </w:t>
      </w:r>
    </w:p>
  </w:footnote>
  <w:footnote w:id="67">
    <w:p w14:paraId="69884561" w14:textId="3D1E7CBB" w:rsidR="0068647C" w:rsidRPr="000E696E" w:rsidRDefault="0068647C" w:rsidP="00D61BD2">
      <w:pPr>
        <w:pStyle w:val="Textonotapie"/>
      </w:pPr>
      <w:r w:rsidRPr="000E696E">
        <w:rPr>
          <w:rStyle w:val="Refdenotaalpie"/>
          <w:sz w:val="16"/>
        </w:rPr>
        <w:footnoteRef/>
      </w:r>
      <w:r w:rsidRPr="000E696E">
        <w:t xml:space="preserve"> </w:t>
      </w:r>
      <w:r w:rsidRPr="000E696E">
        <w:tab/>
        <w:t>Law 24514 established four causes for justified dismissal.</w:t>
      </w:r>
    </w:p>
  </w:footnote>
  <w:footnote w:id="68">
    <w:p w14:paraId="2266B6E1" w14:textId="395692D5" w:rsidR="0068647C" w:rsidRPr="000E696E" w:rsidRDefault="0068647C" w:rsidP="00AA1EBF">
      <w:pPr>
        <w:autoSpaceDE w:val="0"/>
        <w:autoSpaceDN w:val="0"/>
        <w:adjustRightInd w:val="0"/>
        <w:spacing w:after="60"/>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i/>
          <w:sz w:val="16"/>
          <w:szCs w:val="16"/>
          <w:lang w:val="en-US"/>
        </w:rPr>
        <w:t>Cf.</w:t>
      </w:r>
      <w:r w:rsidRPr="000E696E">
        <w:rPr>
          <w:rFonts w:ascii="Verdana" w:hAnsi="Verdana"/>
          <w:sz w:val="16"/>
          <w:szCs w:val="16"/>
          <w:lang w:val="en-US"/>
        </w:rPr>
        <w:t xml:space="preserve"> </w:t>
      </w:r>
      <w:r w:rsidRPr="000E696E">
        <w:rPr>
          <w:rFonts w:ascii="Verdana" w:hAnsi="Verdana"/>
          <w:sz w:val="16"/>
          <w:szCs w:val="16"/>
          <w:lang w:val="en-US" w:eastAsia="es-MX"/>
        </w:rPr>
        <w:t xml:space="preserve">Congress of the Republic of Peru. Law 24514. Law on the right to job security. June 4, 1986. Article 4.a. May be consulted at: http://www4.Congress.gob.pe/ntley/imagenes/Lawes/24514.pdf </w:t>
      </w:r>
      <w:r w:rsidRPr="000E696E">
        <w:rPr>
          <w:rFonts w:ascii="Verdana" w:hAnsi="Verdana"/>
          <w:sz w:val="16"/>
          <w:szCs w:val="16"/>
          <w:lang w:val="en-US"/>
        </w:rPr>
        <w:t>(evidence file, annex 9 to the Merits Report, ff. 33bis to 38bis).</w:t>
      </w:r>
    </w:p>
  </w:footnote>
  <w:footnote w:id="69">
    <w:p w14:paraId="5982A5AF" w14:textId="4C3CF126" w:rsidR="0068647C" w:rsidRPr="000E696E" w:rsidRDefault="0068647C" w:rsidP="00AA1EBF">
      <w:pPr>
        <w:autoSpaceDE w:val="0"/>
        <w:autoSpaceDN w:val="0"/>
        <w:adjustRightInd w:val="0"/>
        <w:spacing w:after="60"/>
        <w:jc w:val="both"/>
        <w:rPr>
          <w:rFonts w:ascii="Verdana" w:eastAsia="Times New Roman" w:hAnsi="Verdana" w:cs="Arial"/>
          <w:iCs/>
          <w:color w:val="000000"/>
          <w:sz w:val="16"/>
          <w:szCs w:val="16"/>
          <w:lang w:val="en-US" w:eastAsia="es-CR"/>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Article 3</w:t>
      </w:r>
      <w:r w:rsidRPr="000E696E">
        <w:rPr>
          <w:rFonts w:ascii="Verdana" w:hAnsi="Verdana"/>
          <w:color w:val="000000"/>
          <w:sz w:val="16"/>
          <w:szCs w:val="16"/>
          <w:lang w:val="en-US"/>
        </w:rPr>
        <w:t xml:space="preserve"> </w:t>
      </w:r>
      <w:r w:rsidRPr="000E696E">
        <w:rPr>
          <w:rFonts w:ascii="Verdana" w:hAnsi="Verdana"/>
          <w:sz w:val="16"/>
          <w:szCs w:val="16"/>
          <w:lang w:val="en-US"/>
        </w:rPr>
        <w:t>of the Decree-Law in force at the time of the facts established:</w:t>
      </w:r>
      <w:r w:rsidRPr="000E696E">
        <w:rPr>
          <w:rFonts w:ascii="Verdana" w:hAnsi="Verdana"/>
          <w:color w:val="000000"/>
          <w:sz w:val="16"/>
          <w:szCs w:val="16"/>
          <w:lang w:val="en-US"/>
        </w:rPr>
        <w:t xml:space="preserve"> </w:t>
      </w:r>
      <w:r w:rsidRPr="000E696E">
        <w:rPr>
          <w:rFonts w:ascii="Verdana" w:hAnsi="Verdana"/>
          <w:sz w:val="16"/>
          <w:szCs w:val="16"/>
          <w:lang w:val="en-US"/>
        </w:rPr>
        <w:t>“</w:t>
      </w:r>
      <w:r w:rsidRPr="000E696E">
        <w:rPr>
          <w:rFonts w:ascii="Verdana" w:hAnsi="Verdana"/>
          <w:color w:val="000000"/>
          <w:sz w:val="16"/>
          <w:szCs w:val="16"/>
          <w:lang w:val="en-US"/>
        </w:rPr>
        <w:t>Article 3</w:t>
      </w:r>
      <w:r w:rsidRPr="000E696E">
        <w:rPr>
          <w:rStyle w:val="st1"/>
          <w:rFonts w:ascii="Verdana" w:hAnsi="Verdana" w:cs="Arial"/>
          <w:color w:val="000000"/>
          <w:sz w:val="16"/>
          <w:szCs w:val="16"/>
          <w:lang w:val="en-US"/>
        </w:rPr>
        <w:t>.</w:t>
      </w:r>
      <w:r w:rsidRPr="000E696E">
        <w:rPr>
          <w:rFonts w:ascii="Verdana" w:hAnsi="Verdana"/>
          <w:color w:val="000000"/>
          <w:sz w:val="16"/>
          <w:szCs w:val="16"/>
          <w:lang w:val="en-US"/>
        </w:rPr>
        <w:t xml:space="preserve"> The workers referred to in  Article 2</w:t>
      </w:r>
      <w:r w:rsidRPr="000E696E">
        <w:rPr>
          <w:rStyle w:val="st1"/>
          <w:rFonts w:ascii="Verdana" w:hAnsi="Verdana" w:cs="Arial"/>
          <w:color w:val="000000"/>
          <w:sz w:val="16"/>
          <w:szCs w:val="16"/>
          <w:lang w:val="en-US"/>
        </w:rPr>
        <w:t xml:space="preserve"> can only be dismissed for good cause indicated in this law and duly verified.</w:t>
      </w:r>
      <w:r w:rsidRPr="000E696E">
        <w:rPr>
          <w:rFonts w:ascii="Verdana" w:hAnsi="Verdana"/>
          <w:color w:val="000000"/>
          <w:sz w:val="16"/>
          <w:szCs w:val="16"/>
          <w:lang w:val="en-US"/>
        </w:rPr>
        <w:t>”</w:t>
      </w:r>
    </w:p>
  </w:footnote>
  <w:footnote w:id="70">
    <w:p w14:paraId="041B2383" w14:textId="7DB5395D"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rPr>
        <w:t>Cf.</w:t>
      </w:r>
      <w:r w:rsidRPr="000E696E">
        <w:t xml:space="preserve"> Congress of the Republic of Peru. Law 24514. Law on the right to job security. June 4, 1986. Article 5. May be consulted at: http://www4.Congress.gob.pe/ntley/imagenes/Lawes/24514.pdf  (evidence file, annex 9 to the Merits Report, ff. 33bis to 38bis).</w:t>
      </w:r>
    </w:p>
  </w:footnote>
  <w:footnote w:id="71">
    <w:p w14:paraId="2F460F71" w14:textId="78C5F060" w:rsidR="0068647C" w:rsidRPr="000E696E" w:rsidRDefault="0068647C" w:rsidP="00695B39">
      <w:pPr>
        <w:tabs>
          <w:tab w:val="left" w:pos="720"/>
        </w:tabs>
        <w:autoSpaceDE w:val="0"/>
        <w:autoSpaceDN w:val="0"/>
        <w:adjustRightInd w:val="0"/>
        <w:spacing w:after="60"/>
        <w:jc w:val="both"/>
        <w:rPr>
          <w:rFonts w:ascii="Verdana" w:hAnsi="Verdana"/>
          <w:color w:val="000000"/>
          <w:sz w:val="16"/>
          <w:szCs w:val="16"/>
          <w:lang w:val="en-US"/>
        </w:rPr>
      </w:pPr>
      <w:r w:rsidRPr="000E696E">
        <w:rPr>
          <w:rStyle w:val="Refdenotaalpie"/>
          <w:sz w:val="16"/>
          <w:szCs w:val="16"/>
          <w:lang w:val="en-US"/>
        </w:rPr>
        <w:footnoteRef/>
      </w:r>
      <w:r w:rsidRPr="000E696E">
        <w:rPr>
          <w:rFonts w:ascii="Verdana" w:hAnsi="Verdana"/>
          <w:i/>
          <w:sz w:val="16"/>
          <w:szCs w:val="16"/>
          <w:lang w:val="en-US"/>
        </w:rPr>
        <w:t xml:space="preserve"> </w:t>
      </w:r>
      <w:r w:rsidRPr="000E696E">
        <w:rPr>
          <w:rFonts w:ascii="Verdana" w:hAnsi="Verdana"/>
          <w:i/>
          <w:sz w:val="16"/>
          <w:szCs w:val="16"/>
          <w:lang w:val="en-US"/>
        </w:rPr>
        <w:tab/>
        <w:t>Cf.</w:t>
      </w:r>
      <w:r w:rsidRPr="000E696E">
        <w:rPr>
          <w:rFonts w:ascii="Verdana" w:hAnsi="Verdana"/>
          <w:sz w:val="16"/>
          <w:szCs w:val="16"/>
          <w:lang w:val="en-US"/>
        </w:rPr>
        <w:t xml:space="preserve"> Congress of the Republic of Peru. Law 24514. Law on the right to job security. June 4, 1986. Article 6</w:t>
      </w:r>
      <w:r w:rsidRPr="000E696E">
        <w:rPr>
          <w:rFonts w:ascii="Verdana" w:hAnsi="Verdana"/>
          <w:color w:val="000000"/>
          <w:sz w:val="16"/>
          <w:szCs w:val="16"/>
          <w:lang w:val="en-US"/>
        </w:rPr>
        <w:t>. “Immediately on becoming aware of or investigating the offense that gives rise to the dismissal, the employer shall communicate this situation to the worker concerned in writing. The employment relationship with a worker shall not be terminated without having previously offered him the possibility of defending himself against the charges against him unless the facts are so serious that the employer cannot be reasonable asked to grant him that possibility. In the exercise of the right of defense, the worker may be assisted by a labor union representative or by a lawyers, as he prefers.”</w:t>
      </w:r>
    </w:p>
  </w:footnote>
  <w:footnote w:id="72">
    <w:p w14:paraId="2DCB29C2" w14:textId="09AA5F76"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rPr>
        <w:t>Cf.</w:t>
      </w:r>
      <w:r w:rsidRPr="000E696E">
        <w:t xml:space="preserve"> </w:t>
      </w:r>
      <w:r w:rsidRPr="000E696E">
        <w:rPr>
          <w:lang w:eastAsia="es-MX"/>
        </w:rPr>
        <w:t>Congress of the Republic of Peru. Law 24514. Law on the right to job security. June 4, 1986.</w:t>
      </w:r>
      <w:r w:rsidRPr="000E696E" w:rsidDel="00712E9F">
        <w:t xml:space="preserve"> </w:t>
      </w:r>
      <w:r w:rsidRPr="000E696E">
        <w:t>Article 7. “When the previous procedure has ended, as established in the preceding article, without the worker having disproved that facts that constitute the serious offense, the employer shall notify him of his dismissal through a justice of the peace, if there is no notary, indicating precisely the cause of the dismissal and the date of termination. This dismissal shall be communicated to the Administrative Labor Authority at the same time.</w:t>
      </w:r>
      <w:r w:rsidRPr="000E696E">
        <w:rPr>
          <w:rFonts w:cs="Arial"/>
          <w:iCs/>
          <w:lang w:eastAsia="es-CR"/>
        </w:rPr>
        <w:t>”</w:t>
      </w:r>
    </w:p>
  </w:footnote>
  <w:footnote w:id="73">
    <w:p w14:paraId="660DCACB" w14:textId="3A51B337" w:rsidR="0068647C" w:rsidRPr="000E696E" w:rsidRDefault="0068647C" w:rsidP="00E91FDA">
      <w:pPr>
        <w:tabs>
          <w:tab w:val="left" w:pos="720"/>
        </w:tabs>
        <w:autoSpaceDE w:val="0"/>
        <w:autoSpaceDN w:val="0"/>
        <w:adjustRightInd w:val="0"/>
        <w:spacing w:after="60"/>
        <w:jc w:val="both"/>
        <w:rPr>
          <w:rFonts w:ascii="Verdana" w:hAnsi="Verdana"/>
          <w:color w:val="000000"/>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i/>
          <w:sz w:val="16"/>
          <w:szCs w:val="16"/>
          <w:lang w:val="en-US"/>
        </w:rPr>
        <w:t>Cf.</w:t>
      </w:r>
      <w:r w:rsidRPr="000E696E">
        <w:rPr>
          <w:rFonts w:ascii="Verdana" w:hAnsi="Verdana"/>
          <w:sz w:val="16"/>
          <w:szCs w:val="16"/>
          <w:lang w:val="en-US"/>
        </w:rPr>
        <w:t xml:space="preserve"> </w:t>
      </w:r>
      <w:r w:rsidRPr="000E696E">
        <w:rPr>
          <w:rFonts w:ascii="Verdana" w:hAnsi="Verdana"/>
          <w:sz w:val="16"/>
          <w:szCs w:val="16"/>
          <w:lang w:val="en-US" w:eastAsia="es-MX"/>
        </w:rPr>
        <w:t>Congress of the Republic of Peru. Law 24514. Law on the right to job security. June 4, 1986.</w:t>
      </w:r>
      <w:r w:rsidRPr="000E696E" w:rsidDel="00CF3233">
        <w:rPr>
          <w:rFonts w:ascii="Verdana" w:hAnsi="Verdana"/>
          <w:sz w:val="16"/>
          <w:szCs w:val="16"/>
          <w:lang w:val="en-US"/>
        </w:rPr>
        <w:t xml:space="preserve"> </w:t>
      </w:r>
      <w:r w:rsidRPr="000E696E">
        <w:rPr>
          <w:rFonts w:ascii="Verdana" w:hAnsi="Verdana"/>
          <w:color w:val="000000"/>
          <w:sz w:val="16"/>
          <w:szCs w:val="16"/>
          <w:lang w:val="en-US"/>
        </w:rPr>
        <w:t>Article 8. “The worker who considers that the dismissal was not justified or did not comply with the formal requirements of this law, may have recourse to the Labor Communities and Employment Jurisdiction requesting that it be declared unjustified and unfair. At the request of the worker concerned, during the hearing or following this procedure, without interrupting the effects of the proceedings, the judge may preventively order that the dismissal be suspended and the worker reinstated in his usual job when, based on the conduct of the worker and the characteristics of the act of which he is accused, there is a reasonable presumption that he has not committed a serious offense, or when the dismissal has not complied with the formalities indicated in this law.”</w:t>
      </w:r>
    </w:p>
  </w:footnote>
  <w:footnote w:id="74">
    <w:p w14:paraId="3A29CD5A" w14:textId="3AE29797" w:rsidR="0068647C" w:rsidRPr="000E696E" w:rsidRDefault="0068647C" w:rsidP="00AA1EBF">
      <w:pPr>
        <w:autoSpaceDE w:val="0"/>
        <w:autoSpaceDN w:val="0"/>
        <w:adjustRightInd w:val="0"/>
        <w:spacing w:after="60"/>
        <w:jc w:val="both"/>
        <w:rPr>
          <w:rFonts w:ascii="Verdana" w:hAnsi="Verdana"/>
          <w:color w:val="000000"/>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i/>
          <w:sz w:val="16"/>
          <w:szCs w:val="16"/>
          <w:lang w:val="en-US"/>
        </w:rPr>
        <w:t>Cf.</w:t>
      </w:r>
      <w:r w:rsidRPr="000E696E">
        <w:rPr>
          <w:rFonts w:ascii="Verdana" w:hAnsi="Verdana"/>
          <w:sz w:val="16"/>
          <w:szCs w:val="16"/>
          <w:lang w:val="en-US"/>
        </w:rPr>
        <w:t xml:space="preserve"> </w:t>
      </w:r>
      <w:r w:rsidRPr="000E696E">
        <w:rPr>
          <w:rFonts w:ascii="Verdana" w:hAnsi="Verdana"/>
          <w:sz w:val="16"/>
          <w:szCs w:val="16"/>
          <w:lang w:val="en-US" w:eastAsia="es-MX"/>
        </w:rPr>
        <w:t xml:space="preserve">Congress of the Republic of Peru. Law 24514. Law on the right to job security. June 4, 1986. </w:t>
      </w:r>
      <w:r w:rsidRPr="000E696E">
        <w:rPr>
          <w:rFonts w:ascii="Verdana" w:hAnsi="Verdana"/>
          <w:color w:val="000000"/>
          <w:sz w:val="16"/>
          <w:szCs w:val="16"/>
          <w:lang w:val="en-US"/>
        </w:rPr>
        <w:t>Article 11. “The action referred to in the previous articles shall, in general, abide by the procedure that governs actions on labor matters, that are processed before the Labor Communities and Employment Jurisdiction, with the characteristics established in this law. The Labor Communities and Employment Jurisdiction shall decide these proceedings within no more than four months. The burden of proof concerning the dismissal, in all cases, corresponds to the employer.”</w:t>
      </w:r>
    </w:p>
  </w:footnote>
  <w:footnote w:id="75">
    <w:p w14:paraId="70B7B5FB" w14:textId="6B6D499B" w:rsidR="0068647C" w:rsidRPr="000E696E" w:rsidRDefault="0068647C" w:rsidP="00AA1EBF">
      <w:pPr>
        <w:autoSpaceDE w:val="0"/>
        <w:autoSpaceDN w:val="0"/>
        <w:adjustRightInd w:val="0"/>
        <w:spacing w:after="60"/>
        <w:jc w:val="both"/>
        <w:rPr>
          <w:rFonts w:ascii="Verdana" w:hAnsi="Verdana"/>
          <w:color w:val="000000"/>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i/>
          <w:sz w:val="16"/>
          <w:szCs w:val="16"/>
          <w:lang w:val="en-US"/>
        </w:rPr>
        <w:t>Cf.</w:t>
      </w:r>
      <w:r w:rsidRPr="000E696E">
        <w:rPr>
          <w:rFonts w:ascii="Verdana" w:hAnsi="Verdana"/>
          <w:sz w:val="16"/>
          <w:szCs w:val="16"/>
          <w:lang w:val="en-US"/>
        </w:rPr>
        <w:t xml:space="preserve"> </w:t>
      </w:r>
      <w:r w:rsidRPr="000E696E">
        <w:rPr>
          <w:rFonts w:ascii="Verdana" w:hAnsi="Verdana"/>
          <w:sz w:val="16"/>
          <w:szCs w:val="16"/>
          <w:lang w:val="en-US" w:eastAsia="es-MX"/>
        </w:rPr>
        <w:t>Congress of the Republic of Peru. Law 24514. Law on the right to job security. June 4, 1986.</w:t>
      </w:r>
      <w:r w:rsidRPr="000E696E" w:rsidDel="00CF3233">
        <w:rPr>
          <w:rFonts w:ascii="Verdana" w:hAnsi="Verdana"/>
          <w:sz w:val="16"/>
          <w:szCs w:val="16"/>
          <w:lang w:val="en-US"/>
        </w:rPr>
        <w:t xml:space="preserve"> </w:t>
      </w:r>
      <w:r w:rsidRPr="000E696E">
        <w:rPr>
          <w:rFonts w:ascii="Verdana" w:hAnsi="Verdana"/>
          <w:color w:val="000000"/>
          <w:sz w:val="16"/>
          <w:szCs w:val="16"/>
          <w:lang w:val="en-US"/>
        </w:rPr>
        <w:t>Article 12. “When the decision declaring the dismissal unjustified or unfair has been delivered or an order given for this to be executed immediately, the worker, in execution of the decision and within eight days following its notification, may opt for either immediate reinstatement or the termination or his work contract. If he chooses the latter option, he shall request payment of the special compensation referred to in article 14, and the severance package corresponding to his length of service and other social benefits.”</w:t>
      </w:r>
    </w:p>
  </w:footnote>
  <w:footnote w:id="76">
    <w:p w14:paraId="77F9D011" w14:textId="56429A37" w:rsidR="0068647C" w:rsidRPr="000E696E" w:rsidRDefault="0068647C" w:rsidP="00AA1EBF">
      <w:pPr>
        <w:autoSpaceDE w:val="0"/>
        <w:autoSpaceDN w:val="0"/>
        <w:adjustRightInd w:val="0"/>
        <w:spacing w:after="60"/>
        <w:jc w:val="both"/>
        <w:rPr>
          <w:rFonts w:ascii="Verdana" w:hAnsi="Verdana"/>
          <w:color w:val="000000"/>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i/>
          <w:color w:val="000000"/>
          <w:sz w:val="16"/>
          <w:szCs w:val="16"/>
          <w:lang w:val="en-US"/>
        </w:rPr>
        <w:t>Cf.</w:t>
      </w:r>
      <w:r w:rsidRPr="000E696E">
        <w:rPr>
          <w:rFonts w:ascii="Verdana" w:hAnsi="Verdana"/>
          <w:color w:val="000000"/>
          <w:sz w:val="16"/>
          <w:szCs w:val="16"/>
          <w:lang w:val="en-US"/>
        </w:rPr>
        <w:t xml:space="preserve"> </w:t>
      </w:r>
      <w:r w:rsidRPr="000E696E">
        <w:rPr>
          <w:rFonts w:ascii="Verdana" w:hAnsi="Verdana"/>
          <w:color w:val="000000"/>
          <w:sz w:val="16"/>
          <w:szCs w:val="16"/>
          <w:lang w:val="en-US" w:eastAsia="es-MX"/>
        </w:rPr>
        <w:t xml:space="preserve">Action filed by Mr. Lagos del Campo before the Lima Labor Court for unjustified dismissal on July 26, 1989 </w:t>
      </w:r>
      <w:r w:rsidRPr="000E696E">
        <w:rPr>
          <w:rFonts w:ascii="Verdana" w:hAnsi="Verdana"/>
          <w:color w:val="000000"/>
          <w:sz w:val="16"/>
          <w:szCs w:val="16"/>
          <w:lang w:val="en-US"/>
        </w:rPr>
        <w:t>(evidence file, annex 7 to the Merits Report, ff. 18 to 27).</w:t>
      </w:r>
    </w:p>
  </w:footnote>
  <w:footnote w:id="77">
    <w:p w14:paraId="420186F1" w14:textId="617E54F7" w:rsidR="0068647C" w:rsidRPr="000E696E" w:rsidRDefault="0068647C" w:rsidP="00AA1EBF">
      <w:pPr>
        <w:autoSpaceDE w:val="0"/>
        <w:autoSpaceDN w:val="0"/>
        <w:adjustRightInd w:val="0"/>
        <w:spacing w:after="60"/>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i/>
          <w:sz w:val="16"/>
          <w:szCs w:val="16"/>
          <w:lang w:val="en-US"/>
        </w:rPr>
        <w:t>Cf.</w:t>
      </w:r>
      <w:r w:rsidRPr="000E696E">
        <w:rPr>
          <w:rFonts w:ascii="Verdana" w:hAnsi="Verdana"/>
          <w:sz w:val="16"/>
          <w:szCs w:val="16"/>
          <w:lang w:val="en-US"/>
        </w:rPr>
        <w:t xml:space="preserve"> </w:t>
      </w:r>
      <w:r w:rsidRPr="000E696E">
        <w:rPr>
          <w:rFonts w:ascii="Verdana" w:hAnsi="Verdana"/>
          <w:iCs/>
          <w:sz w:val="16"/>
          <w:szCs w:val="16"/>
          <w:lang w:val="en-US" w:eastAsia="es-MX"/>
        </w:rPr>
        <w:t>Fifteenth Judge</w:t>
      </w:r>
      <w:r w:rsidRPr="000E696E">
        <w:rPr>
          <w:rFonts w:ascii="Verdana" w:hAnsi="Verdana"/>
          <w:sz w:val="16"/>
          <w:szCs w:val="16"/>
          <w:lang w:val="en-US" w:eastAsia="es-MX"/>
        </w:rPr>
        <w:t xml:space="preserve"> del Labor Court of Lima. Judgment 25-91 of March 5, 1991. </w:t>
      </w:r>
      <w:r w:rsidRPr="000E696E">
        <w:rPr>
          <w:rFonts w:ascii="Verdana" w:hAnsi="Verdana"/>
          <w:sz w:val="16"/>
          <w:szCs w:val="16"/>
          <w:lang w:val="en-US"/>
        </w:rPr>
        <w:t>(evidence file, annex 8 to the Merits Report, ff. 29 to 31).</w:t>
      </w:r>
    </w:p>
  </w:footnote>
  <w:footnote w:id="78">
    <w:p w14:paraId="0BA371B7" w14:textId="61897575" w:rsidR="0068647C" w:rsidRPr="000E696E" w:rsidRDefault="0068647C" w:rsidP="00AA1EBF">
      <w:pPr>
        <w:autoSpaceDE w:val="0"/>
        <w:autoSpaceDN w:val="0"/>
        <w:adjustRightInd w:val="0"/>
        <w:spacing w:after="60"/>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i/>
          <w:sz w:val="16"/>
          <w:szCs w:val="16"/>
          <w:lang w:val="en-US"/>
        </w:rPr>
        <w:t>Cf.</w:t>
      </w:r>
      <w:r w:rsidRPr="000E696E">
        <w:rPr>
          <w:rFonts w:ascii="Verdana" w:hAnsi="Verdana"/>
          <w:sz w:val="16"/>
          <w:szCs w:val="16"/>
          <w:lang w:val="en-US"/>
        </w:rPr>
        <w:t xml:space="preserve"> </w:t>
      </w:r>
      <w:r w:rsidRPr="000E696E">
        <w:rPr>
          <w:rFonts w:ascii="Verdana" w:hAnsi="Verdana"/>
          <w:sz w:val="16"/>
          <w:szCs w:val="16"/>
          <w:lang w:val="en-US" w:eastAsia="es-MX"/>
        </w:rPr>
        <w:t xml:space="preserve">Brief answering the company’s appeal submitted by Mr. Lagos del Campo to the Second Labor Court of Lima, on August 1, 1991, File No. 839-91. </w:t>
      </w:r>
      <w:r w:rsidRPr="000E696E">
        <w:rPr>
          <w:rFonts w:ascii="Verdana" w:hAnsi="Verdana"/>
          <w:sz w:val="16"/>
          <w:szCs w:val="16"/>
          <w:lang w:val="en-US"/>
        </w:rPr>
        <w:t xml:space="preserve">(evidence file annex 11 to the Merits Report, ff. 43 to 45).  </w:t>
      </w:r>
    </w:p>
  </w:footnote>
  <w:footnote w:id="79">
    <w:p w14:paraId="184E2817" w14:textId="5408CC9D" w:rsidR="0068647C" w:rsidRPr="000E696E" w:rsidRDefault="0068647C" w:rsidP="00AA1EBF">
      <w:pPr>
        <w:autoSpaceDE w:val="0"/>
        <w:autoSpaceDN w:val="0"/>
        <w:adjustRightInd w:val="0"/>
        <w:spacing w:after="60"/>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i/>
          <w:sz w:val="16"/>
          <w:szCs w:val="16"/>
          <w:lang w:val="en-US"/>
        </w:rPr>
        <w:t>Cf.</w:t>
      </w:r>
      <w:r w:rsidRPr="000E696E">
        <w:rPr>
          <w:rFonts w:ascii="Verdana" w:hAnsi="Verdana"/>
          <w:sz w:val="16"/>
          <w:szCs w:val="16"/>
          <w:lang w:val="en-US"/>
        </w:rPr>
        <w:t xml:space="preserve"> </w:t>
      </w:r>
      <w:r w:rsidRPr="000E696E">
        <w:rPr>
          <w:rFonts w:ascii="Verdana" w:hAnsi="Verdana"/>
          <w:sz w:val="16"/>
          <w:szCs w:val="16"/>
          <w:lang w:val="en-US" w:eastAsia="es-MX"/>
        </w:rPr>
        <w:t xml:space="preserve">Second Labor Court of Lima. Judgment 08-0891 of August 8, 1991 </w:t>
      </w:r>
      <w:r w:rsidRPr="000E696E">
        <w:rPr>
          <w:rFonts w:ascii="Verdana" w:hAnsi="Verdana"/>
          <w:sz w:val="16"/>
          <w:szCs w:val="16"/>
          <w:lang w:val="en-US"/>
        </w:rPr>
        <w:t xml:space="preserve">(evidence file, annex 12 to the Merits Report, ff. 47 and 48).  </w:t>
      </w:r>
    </w:p>
  </w:footnote>
  <w:footnote w:id="80">
    <w:p w14:paraId="0964AD16" w14:textId="0B296F0D" w:rsidR="0068647C" w:rsidRPr="000E696E" w:rsidRDefault="0068647C" w:rsidP="00AA1EBF">
      <w:pPr>
        <w:autoSpaceDE w:val="0"/>
        <w:autoSpaceDN w:val="0"/>
        <w:adjustRightInd w:val="0"/>
        <w:spacing w:after="60"/>
        <w:jc w:val="both"/>
        <w:rPr>
          <w:rFonts w:ascii="Verdana" w:hAnsi="Verdana"/>
          <w:sz w:val="16"/>
          <w:szCs w:val="16"/>
          <w:lang w:val="en-US"/>
        </w:rPr>
      </w:pPr>
      <w:r w:rsidRPr="000E696E">
        <w:rPr>
          <w:rStyle w:val="Refdenotaalpie"/>
          <w:rFonts w:eastAsia="MS Mincho"/>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i/>
          <w:sz w:val="16"/>
          <w:szCs w:val="16"/>
          <w:lang w:val="en-US"/>
        </w:rPr>
        <w:t>Cf.</w:t>
      </w:r>
      <w:r w:rsidRPr="000E696E">
        <w:rPr>
          <w:rFonts w:ascii="Verdana" w:hAnsi="Verdana"/>
          <w:sz w:val="16"/>
          <w:szCs w:val="16"/>
          <w:lang w:val="en-US"/>
        </w:rPr>
        <w:t xml:space="preserve"> </w:t>
      </w:r>
      <w:r w:rsidRPr="000E696E">
        <w:rPr>
          <w:rFonts w:ascii="Verdana" w:hAnsi="Verdana"/>
          <w:sz w:val="16"/>
          <w:szCs w:val="16"/>
          <w:lang w:val="en-US" w:eastAsia="es-MX"/>
        </w:rPr>
        <w:t xml:space="preserve">Second Labor Court of Lima. Judgment 08-0891 of August 8, 1991 </w:t>
      </w:r>
      <w:r w:rsidRPr="000E696E">
        <w:rPr>
          <w:rFonts w:ascii="Verdana" w:hAnsi="Verdana"/>
          <w:sz w:val="16"/>
          <w:szCs w:val="16"/>
          <w:lang w:val="en-US"/>
        </w:rPr>
        <w:t xml:space="preserve">(evidence file, annex 11 to the Merits Report, ff. 47 and 48).  </w:t>
      </w:r>
    </w:p>
  </w:footnote>
  <w:footnote w:id="81">
    <w:p w14:paraId="30D21FB1" w14:textId="477A6BB7" w:rsidR="0068647C" w:rsidRPr="000E696E" w:rsidRDefault="0068647C" w:rsidP="00AA1EBF">
      <w:pPr>
        <w:autoSpaceDE w:val="0"/>
        <w:autoSpaceDN w:val="0"/>
        <w:adjustRightInd w:val="0"/>
        <w:spacing w:after="60"/>
        <w:contextualSpacing/>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i/>
          <w:iCs/>
          <w:sz w:val="16"/>
          <w:szCs w:val="16"/>
          <w:lang w:val="en-US" w:eastAsia="es-MX"/>
        </w:rPr>
        <w:t>Cf.</w:t>
      </w:r>
      <w:r w:rsidRPr="000E696E">
        <w:rPr>
          <w:rFonts w:ascii="Verdana" w:hAnsi="Verdana"/>
          <w:iCs/>
          <w:sz w:val="16"/>
          <w:szCs w:val="16"/>
          <w:lang w:val="en-US" w:eastAsia="es-MX"/>
        </w:rPr>
        <w:t xml:space="preserve"> </w:t>
      </w:r>
      <w:r w:rsidRPr="000E696E">
        <w:rPr>
          <w:rFonts w:ascii="Verdana" w:hAnsi="Verdana"/>
          <w:sz w:val="16"/>
          <w:szCs w:val="16"/>
          <w:lang w:val="en-US" w:eastAsia="es-MX"/>
        </w:rPr>
        <w:t xml:space="preserve">Motion for review and reconsideration filed by Mr. Lagos del Campo before the Second Labor Court of Lima. File No. 839-91 of August 26, 1991, and Ruling made by the Second Labor Court of Lima. File No. 839-91. August 21, 1991 </w:t>
      </w:r>
      <w:r w:rsidRPr="000E696E">
        <w:rPr>
          <w:rFonts w:ascii="Verdana" w:hAnsi="Verdana"/>
          <w:sz w:val="16"/>
          <w:szCs w:val="16"/>
          <w:lang w:val="en-US"/>
        </w:rPr>
        <w:t xml:space="preserve">(evidence file, annex 11 to the Merits Report, ff. 50 and 51). In this </w:t>
      </w:r>
      <w:r w:rsidRPr="000E696E">
        <w:rPr>
          <w:rFonts w:ascii="Verdana" w:hAnsi="Verdana"/>
          <w:sz w:val="16"/>
          <w:szCs w:val="16"/>
          <w:lang w:val="en-US" w:eastAsia="es-MX"/>
        </w:rPr>
        <w:t xml:space="preserve">appeal for review and reconsideration, Mr. Lagos argued, “pursuant to </w:t>
      </w:r>
      <w:r w:rsidRPr="000E696E">
        <w:rPr>
          <w:rFonts w:ascii="Verdana" w:hAnsi="Verdana"/>
          <w:sz w:val="16"/>
          <w:szCs w:val="16"/>
          <w:lang w:val="en-US"/>
        </w:rPr>
        <w:t>articles 1, 2, 4, 15 and 18 of the Constitution,” his discrepancy with the ruling issued on  August 8, 1991, considering that it violated his rights, interests and benefits as a worker, because the ruling failed to take into consideration the provisions of the domestic laws of Peru for the proper administration of justice. In this regard, the Second Labor Court concluded: “The appeal for review and reconsideration filed was inadmissible and ordered that the case be returned to the original court.”</w:t>
      </w:r>
    </w:p>
    <w:p w14:paraId="305B6B8E" w14:textId="77777777" w:rsidR="0068647C" w:rsidRPr="000E696E" w:rsidRDefault="0068647C" w:rsidP="00AA1EBF">
      <w:pPr>
        <w:autoSpaceDE w:val="0"/>
        <w:autoSpaceDN w:val="0"/>
        <w:adjustRightInd w:val="0"/>
        <w:spacing w:after="60"/>
        <w:contextualSpacing/>
        <w:jc w:val="both"/>
        <w:rPr>
          <w:rFonts w:ascii="Verdana" w:hAnsi="Verdana"/>
          <w:sz w:val="6"/>
          <w:szCs w:val="6"/>
          <w:lang w:val="en-US"/>
        </w:rPr>
      </w:pPr>
    </w:p>
  </w:footnote>
  <w:footnote w:id="82">
    <w:p w14:paraId="264A1B45" w14:textId="4AA2B0C9" w:rsidR="0068647C" w:rsidRPr="000E696E" w:rsidRDefault="0068647C" w:rsidP="00AA1EBF">
      <w:pPr>
        <w:autoSpaceDE w:val="0"/>
        <w:autoSpaceDN w:val="0"/>
        <w:adjustRightInd w:val="0"/>
        <w:spacing w:after="60"/>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i/>
          <w:sz w:val="16"/>
          <w:szCs w:val="16"/>
          <w:lang w:val="en-US"/>
        </w:rPr>
        <w:t>Cf.</w:t>
      </w:r>
      <w:r w:rsidRPr="000E696E">
        <w:rPr>
          <w:rFonts w:ascii="Verdana" w:hAnsi="Verdana"/>
          <w:sz w:val="16"/>
          <w:szCs w:val="16"/>
          <w:lang w:val="en-US"/>
        </w:rPr>
        <w:t xml:space="preserve"> Appeal for annulment filed by </w:t>
      </w:r>
      <w:r w:rsidRPr="000E696E">
        <w:rPr>
          <w:rFonts w:ascii="Verdana" w:hAnsi="Verdana"/>
          <w:sz w:val="16"/>
          <w:szCs w:val="16"/>
          <w:lang w:val="en-US" w:eastAsia="es-MX"/>
        </w:rPr>
        <w:t xml:space="preserve">Mr. Lagos del Campo before the Second Labor Court of Lima. File No. 839-91. September 2, 1991, and Decision issued by the Second Labor Court of Lima. File No. 839-91. September 3, 1991 </w:t>
      </w:r>
      <w:r w:rsidRPr="000E696E">
        <w:rPr>
          <w:rFonts w:ascii="Verdana" w:hAnsi="Verdana"/>
          <w:sz w:val="16"/>
          <w:szCs w:val="16"/>
          <w:lang w:val="en-US"/>
        </w:rPr>
        <w:t xml:space="preserve">(evidence file annex 14 to the Merits Report, ff. 53 to 56). The motion was filed based on articles 59, 60 and 61 of Supreme Decree 03-80, requesting the annulment of the ruling of August 8, 1991, following the denial of his motion for review and reconsideration by the same court. </w:t>
      </w:r>
    </w:p>
  </w:footnote>
  <w:footnote w:id="83">
    <w:p w14:paraId="305B3ED5" w14:textId="60461198" w:rsidR="0068647C" w:rsidRPr="000E696E" w:rsidRDefault="0068647C" w:rsidP="00D61BD2">
      <w:pPr>
        <w:pStyle w:val="Textonotapie"/>
        <w:rPr>
          <w:i/>
        </w:rPr>
      </w:pPr>
      <w:r w:rsidRPr="000E696E">
        <w:rPr>
          <w:rStyle w:val="Refdenotaalpie"/>
          <w:sz w:val="16"/>
        </w:rPr>
        <w:footnoteRef/>
      </w:r>
      <w:r w:rsidRPr="000E696E">
        <w:t xml:space="preserve"> </w:t>
      </w:r>
      <w:r w:rsidRPr="000E696E">
        <w:tab/>
      </w:r>
      <w:r w:rsidRPr="000E696E">
        <w:rPr>
          <w:i/>
        </w:rPr>
        <w:t>Cf.</w:t>
      </w:r>
      <w:r w:rsidRPr="000E696E">
        <w:t xml:space="preserve"> Congress of the Republic of Peru. Code of Civil Procedure, Decree-Law 12760 of August 6, 1975. Article 1085. Nullity of decisions: (9) The order or judgment in the part deciding on a point that is not disputed or claimed; (10) The judgment that fails to decide any of the disputed points, except as provided for in the last part of Article 1086.  Article 250. I. The remedy of cassation or nullity shall be admitted to invalidate a final judgment or decision in the cases expressly indicated by law. This may relate to the merits or the form. II. These remedies may be filed simultaneously.</w:t>
      </w:r>
    </w:p>
  </w:footnote>
  <w:footnote w:id="84">
    <w:p w14:paraId="736BB951" w14:textId="4165A7E6" w:rsidR="0068647C" w:rsidRPr="000E696E" w:rsidRDefault="0068647C" w:rsidP="00AA1EBF">
      <w:pPr>
        <w:autoSpaceDE w:val="0"/>
        <w:autoSpaceDN w:val="0"/>
        <w:adjustRightInd w:val="0"/>
        <w:spacing w:after="60"/>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i/>
          <w:sz w:val="16"/>
          <w:szCs w:val="16"/>
          <w:lang w:val="en-US"/>
        </w:rPr>
        <w:t>Cf.</w:t>
      </w:r>
      <w:r w:rsidRPr="000E696E">
        <w:rPr>
          <w:rFonts w:ascii="Verdana" w:hAnsi="Verdana"/>
          <w:sz w:val="16"/>
          <w:szCs w:val="16"/>
          <w:lang w:val="en-US"/>
        </w:rPr>
        <w:t xml:space="preserve"> </w:t>
      </w:r>
      <w:r w:rsidRPr="000E696E">
        <w:rPr>
          <w:rFonts w:ascii="Verdana" w:hAnsi="Verdana"/>
          <w:sz w:val="16"/>
          <w:szCs w:val="16"/>
          <w:lang w:val="en-US" w:eastAsia="es-MX"/>
        </w:rPr>
        <w:t xml:space="preserve">Application for amparo filed by Mr. Lagos del Campo before the Civil Chamber of the Superior Court of Lima. File. No. 2615-91. October 21, 1991 </w:t>
      </w:r>
      <w:r w:rsidRPr="000E696E">
        <w:rPr>
          <w:rFonts w:ascii="Verdana" w:hAnsi="Verdana"/>
          <w:sz w:val="16"/>
          <w:szCs w:val="16"/>
          <w:lang w:val="en-US"/>
        </w:rPr>
        <w:t>(evidence file, annex 15 to the Merits Report, ff. 58 to 61). Under article 295 of the Constitution, Mr. Lagos requested that his action be admitted and the Second Labor Court of Lima be ordered to annul its judgment and issue a new ruling against the judgment of Second Labor Court of August 8, 1991, that decided the appeal in the proceedings that classified his dismissal. Among other matters, he argued violations of his right to job security and due process of law established in articles 48 and 233 of the Constitution.</w:t>
      </w:r>
    </w:p>
  </w:footnote>
  <w:footnote w:id="85">
    <w:p w14:paraId="535FF509" w14:textId="7D5118AC" w:rsidR="0068647C" w:rsidRPr="000E696E" w:rsidRDefault="0068647C" w:rsidP="00AA1EBF">
      <w:pPr>
        <w:autoSpaceDE w:val="0"/>
        <w:autoSpaceDN w:val="0"/>
        <w:adjustRightInd w:val="0"/>
        <w:spacing w:after="60"/>
        <w:jc w:val="both"/>
        <w:rPr>
          <w:rFonts w:ascii="Verdana" w:hAnsi="Verdana" w:cs="Arial"/>
          <w:sz w:val="16"/>
          <w:szCs w:val="16"/>
          <w:lang w:val="en-US"/>
        </w:rPr>
      </w:pPr>
      <w:r w:rsidRPr="000E696E">
        <w:rPr>
          <w:rStyle w:val="Refdenotaalpie"/>
          <w:rFonts w:eastAsia="MS Mincho"/>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i/>
          <w:sz w:val="16"/>
          <w:szCs w:val="16"/>
          <w:lang w:val="en-US"/>
        </w:rPr>
        <w:t>Cf.</w:t>
      </w:r>
      <w:r w:rsidRPr="000E696E">
        <w:rPr>
          <w:rFonts w:ascii="Verdana" w:hAnsi="Verdana"/>
          <w:sz w:val="16"/>
          <w:szCs w:val="16"/>
          <w:lang w:val="en-US"/>
        </w:rPr>
        <w:t xml:space="preserve"> </w:t>
      </w:r>
      <w:r w:rsidRPr="000E696E">
        <w:rPr>
          <w:rFonts w:ascii="Verdana" w:hAnsi="Verdana" w:cs="Verdana"/>
          <w:bCs/>
          <w:i/>
          <w:sz w:val="16"/>
          <w:szCs w:val="16"/>
          <w:lang w:val="en-US" w:eastAsia="es-MX"/>
        </w:rPr>
        <w:t xml:space="preserve">Case of the Dismissed Congressional Employees (Aguado Alfaro et al.) </w:t>
      </w:r>
      <w:r w:rsidRPr="000E696E">
        <w:rPr>
          <w:rFonts w:ascii="Verdana" w:hAnsi="Verdana" w:cs="Verdana"/>
          <w:bCs/>
          <w:i/>
          <w:iCs/>
          <w:sz w:val="16"/>
          <w:szCs w:val="16"/>
          <w:lang w:val="en-US" w:eastAsia="es-MX"/>
        </w:rPr>
        <w:t>v.</w:t>
      </w:r>
      <w:r w:rsidRPr="000E696E">
        <w:rPr>
          <w:rFonts w:ascii="Verdana" w:hAnsi="Verdana" w:cs="Verdana"/>
          <w:bCs/>
          <w:i/>
          <w:sz w:val="16"/>
          <w:szCs w:val="16"/>
          <w:lang w:val="en-US" w:eastAsia="es-MX"/>
        </w:rPr>
        <w:t xml:space="preserve"> Peru. </w:t>
      </w:r>
      <w:r w:rsidRPr="000E696E">
        <w:rPr>
          <w:rFonts w:ascii="Verdana" w:hAnsi="Verdana" w:cs="Verdana"/>
          <w:bCs/>
          <w:i/>
          <w:iCs/>
          <w:sz w:val="16"/>
          <w:szCs w:val="16"/>
          <w:lang w:val="en-US" w:eastAsia="es-MX"/>
        </w:rPr>
        <w:t>Preliminary objections, merits, reparations and costs</w:t>
      </w:r>
      <w:r w:rsidRPr="000E696E">
        <w:rPr>
          <w:rFonts w:ascii="Verdana" w:hAnsi="Verdana" w:cs="Verdana"/>
          <w:bCs/>
          <w:iCs/>
          <w:sz w:val="16"/>
          <w:szCs w:val="16"/>
          <w:lang w:val="en-US" w:eastAsia="es-MX"/>
        </w:rPr>
        <w:t>.</w:t>
      </w:r>
      <w:r w:rsidRPr="000E696E">
        <w:rPr>
          <w:rFonts w:ascii="Verdana" w:hAnsi="Verdana" w:cs="Verdana"/>
          <w:bCs/>
          <w:sz w:val="16"/>
          <w:szCs w:val="16"/>
          <w:lang w:val="en-US" w:eastAsia="es-MX"/>
        </w:rPr>
        <w:t xml:space="preserve"> Judgment of November 24, 2006. Para. 89.2 </w:t>
      </w:r>
      <w:r w:rsidRPr="000E696E">
        <w:rPr>
          <w:rStyle w:val="st1"/>
          <w:rFonts w:ascii="Verdana" w:hAnsi="Verdana" w:cs="Arial"/>
          <w:color w:val="000000"/>
          <w:sz w:val="16"/>
          <w:szCs w:val="16"/>
          <w:lang w:val="en-US"/>
        </w:rPr>
        <w:t>“</w:t>
      </w:r>
      <w:r w:rsidRPr="000E696E">
        <w:rPr>
          <w:rFonts w:ascii="Verdana" w:hAnsi="Verdana" w:cs="Verdana"/>
          <w:sz w:val="16"/>
          <w:szCs w:val="16"/>
          <w:lang w:val="en-US" w:eastAsia="es-MX"/>
        </w:rPr>
        <w:t xml:space="preserve">On April 5, 1992, President Fujimori </w:t>
      </w:r>
      <w:r w:rsidRPr="000E696E">
        <w:rPr>
          <w:rFonts w:ascii="Verdana" w:hAnsi="Verdana" w:cs="Arial"/>
          <w:sz w:val="16"/>
          <w:szCs w:val="16"/>
          <w:lang w:val="en-US"/>
        </w:rPr>
        <w:t xml:space="preserve">broadcast the “Manifesto to the Nation” in which he stated, </w:t>
      </w:r>
      <w:r w:rsidRPr="000E696E">
        <w:rPr>
          <w:rFonts w:ascii="Verdana" w:hAnsi="Verdana" w:cs="Arial"/>
          <w:i/>
          <w:iCs/>
          <w:sz w:val="16"/>
          <w:szCs w:val="16"/>
          <w:lang w:val="en-US"/>
        </w:rPr>
        <w:t>inter alia,</w:t>
      </w:r>
      <w:r w:rsidRPr="000E696E">
        <w:rPr>
          <w:rFonts w:ascii="Verdana" w:hAnsi="Verdana" w:cs="Arial"/>
          <w:sz w:val="16"/>
          <w:szCs w:val="16"/>
          <w:lang w:val="en-US"/>
        </w:rPr>
        <w:t xml:space="preserve"> that he considered that he had “the responsibility to assume an exceptional approach to try and accelerate the process of […] national reconstruction and ha[d] therefore, […] decide[d] […] to temporarily dissolve the Congress of the Republic[, …] to modernize the public administration, and to reorganize the Judiciary completely.” </w:t>
      </w:r>
      <w:r w:rsidRPr="000E696E">
        <w:rPr>
          <w:rFonts w:ascii="Verdana" w:hAnsi="Verdana" w:cs="Verdana"/>
          <w:sz w:val="16"/>
          <w:szCs w:val="16"/>
          <w:lang w:val="en-US" w:eastAsia="es-MX"/>
        </w:rPr>
        <w:t xml:space="preserve">  </w:t>
      </w:r>
    </w:p>
  </w:footnote>
  <w:footnote w:id="86">
    <w:p w14:paraId="23484126" w14:textId="6618EB44" w:rsidR="0068647C" w:rsidRPr="000E696E" w:rsidRDefault="0068647C" w:rsidP="00AA1EBF">
      <w:pPr>
        <w:autoSpaceDE w:val="0"/>
        <w:autoSpaceDN w:val="0"/>
        <w:adjustRightInd w:val="0"/>
        <w:spacing w:after="60"/>
        <w:jc w:val="both"/>
        <w:rPr>
          <w:rFonts w:ascii="Verdana" w:hAnsi="Verdana"/>
          <w:sz w:val="16"/>
          <w:szCs w:val="16"/>
          <w:lang w:val="en-US" w:eastAsia="es-MX"/>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i/>
          <w:sz w:val="16"/>
          <w:szCs w:val="16"/>
          <w:lang w:val="en-US"/>
        </w:rPr>
        <w:t>Cf.</w:t>
      </w:r>
      <w:r w:rsidRPr="000E696E">
        <w:rPr>
          <w:rFonts w:ascii="Verdana" w:hAnsi="Verdana"/>
          <w:sz w:val="16"/>
          <w:szCs w:val="16"/>
          <w:lang w:val="en-US"/>
        </w:rPr>
        <w:t xml:space="preserve"> </w:t>
      </w:r>
      <w:r w:rsidRPr="000E696E">
        <w:rPr>
          <w:rFonts w:ascii="Verdana" w:hAnsi="Verdana"/>
          <w:sz w:val="16"/>
          <w:szCs w:val="16"/>
          <w:lang w:val="en-US" w:eastAsia="es-MX"/>
        </w:rPr>
        <w:t xml:space="preserve">Fifth Civil Chamber of the Superior Court of Lima. Decision of August 3, 1992. File. 2615-9 </w:t>
      </w:r>
      <w:r w:rsidRPr="000E696E">
        <w:rPr>
          <w:rFonts w:ascii="Verdana" w:hAnsi="Verdana"/>
          <w:sz w:val="16"/>
          <w:szCs w:val="16"/>
          <w:lang w:val="en-US"/>
        </w:rPr>
        <w:t xml:space="preserve">(evidence file, annex 16 to the Merits Report, ff. 63 and 64). The </w:t>
      </w:r>
      <w:r w:rsidRPr="000E696E">
        <w:rPr>
          <w:rFonts w:ascii="Verdana" w:hAnsi="Verdana"/>
          <w:sz w:val="16"/>
          <w:szCs w:val="16"/>
          <w:lang w:val="en-US" w:eastAsia="es-MX"/>
        </w:rPr>
        <w:t>Fifth Civil Chamber of the Superior Court of Lima stated that the grounds for the application before the court referred to the ineffectiveness of the judicial decision; also, that the brief mentioned by Mr. Lagos, which had been processed after the judgment, corresponded only to arguments, rather than to evidentiary elements; that, consequently, it did find that his right to due process – which could be remedied by means of the amparo – had been violated and concluded that the application for amparo was inadmissible.</w:t>
      </w:r>
    </w:p>
  </w:footnote>
  <w:footnote w:id="87">
    <w:p w14:paraId="0965CD67" w14:textId="46F9B265"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rPr>
        <w:t>Cf.</w:t>
      </w:r>
      <w:r w:rsidRPr="000E696E">
        <w:t xml:space="preserve"> Appeal for annulment filed by Mr. Lagos del Campo before the </w:t>
      </w:r>
      <w:r w:rsidRPr="000E696E">
        <w:rPr>
          <w:lang w:eastAsia="es-MX"/>
        </w:rPr>
        <w:t xml:space="preserve">Fifth Civil Chamber of the Superior Court of </w:t>
      </w:r>
      <w:r w:rsidRPr="000E696E">
        <w:t xml:space="preserve">Lima. File. No. 2615-91. August 26, 1992 (evidence file, annex 17 to the Merits Report, f. 66). In this motion, Mr. Lagos del Campo requested that the court admit his application for annulment and order that the case be raised to the Supreme Court. </w:t>
      </w:r>
    </w:p>
  </w:footnote>
  <w:footnote w:id="88">
    <w:p w14:paraId="05E1D464" w14:textId="7B306C53" w:rsidR="0068647C" w:rsidRPr="000E696E" w:rsidRDefault="0068647C" w:rsidP="00AA1EBF">
      <w:pPr>
        <w:pStyle w:val="Default"/>
        <w:spacing w:after="60"/>
        <w:jc w:val="both"/>
        <w:rPr>
          <w:rFonts w:ascii="Verdana" w:hAnsi="Verdana"/>
          <w:sz w:val="16"/>
          <w:szCs w:val="16"/>
        </w:rPr>
      </w:pPr>
      <w:r w:rsidRPr="000E696E">
        <w:rPr>
          <w:rStyle w:val="Refdenotaalpie"/>
          <w:sz w:val="16"/>
          <w:szCs w:val="16"/>
        </w:rPr>
        <w:footnoteRef/>
      </w:r>
      <w:r w:rsidRPr="000E696E">
        <w:rPr>
          <w:rFonts w:ascii="Verdana" w:hAnsi="Verdana"/>
          <w:sz w:val="16"/>
          <w:szCs w:val="16"/>
        </w:rPr>
        <w:t xml:space="preserve"> </w:t>
      </w:r>
      <w:r w:rsidRPr="000E696E">
        <w:rPr>
          <w:rFonts w:ascii="Verdana" w:hAnsi="Verdana"/>
          <w:b/>
          <w:sz w:val="16"/>
          <w:szCs w:val="16"/>
        </w:rPr>
        <w:tab/>
      </w:r>
      <w:r w:rsidRPr="000E696E">
        <w:rPr>
          <w:rFonts w:ascii="Verdana" w:hAnsi="Verdana"/>
          <w:i/>
          <w:sz w:val="16"/>
          <w:szCs w:val="16"/>
        </w:rPr>
        <w:t>Cf.</w:t>
      </w:r>
      <w:r w:rsidRPr="000E696E">
        <w:rPr>
          <w:rFonts w:ascii="Verdana" w:hAnsi="Verdana"/>
          <w:color w:val="auto"/>
          <w:sz w:val="16"/>
          <w:szCs w:val="16"/>
        </w:rPr>
        <w:t xml:space="preserve"> </w:t>
      </w:r>
      <w:r w:rsidRPr="000E696E">
        <w:rPr>
          <w:rFonts w:ascii="Verdana" w:hAnsi="Verdana"/>
          <w:sz w:val="16"/>
          <w:szCs w:val="16"/>
        </w:rPr>
        <w:t xml:space="preserve">Appeal for annulment </w:t>
      </w:r>
      <w:r w:rsidRPr="000E696E">
        <w:rPr>
          <w:rFonts w:ascii="Verdana" w:hAnsi="Verdana"/>
          <w:color w:val="auto"/>
          <w:sz w:val="16"/>
          <w:szCs w:val="16"/>
        </w:rPr>
        <w:t>and order of the Supreme Court of Justice of the Republic. File 1811-92. March 15, 1993</w:t>
      </w:r>
      <w:r w:rsidRPr="000E696E">
        <w:rPr>
          <w:rFonts w:ascii="Verdana" w:hAnsi="Verdana"/>
          <w:color w:val="FF0000"/>
          <w:sz w:val="16"/>
          <w:szCs w:val="16"/>
        </w:rPr>
        <w:t xml:space="preserve"> </w:t>
      </w:r>
      <w:r w:rsidRPr="000E696E">
        <w:rPr>
          <w:rFonts w:ascii="Verdana" w:hAnsi="Verdana"/>
          <w:color w:val="auto"/>
          <w:sz w:val="16"/>
          <w:szCs w:val="16"/>
        </w:rPr>
        <w:t>(</w:t>
      </w:r>
      <w:r w:rsidRPr="000E696E">
        <w:rPr>
          <w:rFonts w:ascii="Verdana" w:hAnsi="Verdana"/>
          <w:sz w:val="16"/>
          <w:szCs w:val="16"/>
        </w:rPr>
        <w:t>evidence file annex 18 to the Merits Report, f. 67). In this motion, Mr. Lagos argued that his constitutional right to legitimate defense and due process had been violated because the brief he had filed before the Second Labor Court, which had been received on August 1, 1991, had not been processed promptly.</w:t>
      </w:r>
    </w:p>
  </w:footnote>
  <w:footnote w:id="89">
    <w:p w14:paraId="38BE1BD6" w14:textId="48A75A90" w:rsidR="0068647C" w:rsidRPr="000E696E" w:rsidRDefault="0068647C" w:rsidP="00D61BD2">
      <w:pPr>
        <w:pStyle w:val="Textonotapie"/>
      </w:pPr>
      <w:r w:rsidRPr="000E696E">
        <w:rPr>
          <w:rStyle w:val="Refdenotaalpie"/>
          <w:sz w:val="16"/>
        </w:rPr>
        <w:footnoteRef/>
      </w:r>
      <w:r w:rsidRPr="000E696E">
        <w:t xml:space="preserve"> </w:t>
      </w:r>
      <w:r w:rsidRPr="000E696E">
        <w:tab/>
        <w:t xml:space="preserve">Ruling of the Supreme Court of Justice. File No 1811-92; the Chamber indicated “that, based on the decision of the [Supreme Administrative Contentious] Prosecutor; [taking into account] the grounds he had outlined, it declare[d] that nullity was not admissible.” The said decision of the Prosecutor indicated that “judicial decisions of the Labor and Labor Communities Jurisdiction that have been determined and are enforceable have the authority of </w:t>
      </w:r>
      <w:r w:rsidRPr="000E696E">
        <w:rPr>
          <w:i/>
          <w:iCs/>
        </w:rPr>
        <w:t>res judicata</w:t>
      </w:r>
      <w:r w:rsidRPr="000E696E">
        <w:t xml:space="preserve">”; therefore, to review such a decision would entail reviving a defunct proceeding and, consequently, an infringement of </w:t>
      </w:r>
      <w:r w:rsidRPr="000E696E">
        <w:rPr>
          <w:i/>
          <w:iCs/>
        </w:rPr>
        <w:t>res judicata</w:t>
      </w:r>
      <w:r w:rsidRPr="000E696E">
        <w:t>. He added that “when this decision has been adopted or is enforceable, it shall be published in the Official Gazette, “</w:t>
      </w:r>
      <w:r w:rsidRPr="000E696E">
        <w:rPr>
          <w:i/>
          <w:iCs/>
        </w:rPr>
        <w:t>El Peruano</w:t>
      </w:r>
      <w:r w:rsidRPr="000E696E">
        <w:t xml:space="preserve">,” within the time frame established in article 42 of Law 23506.” Cited from the decision. </w:t>
      </w:r>
      <w:r w:rsidRPr="000E696E">
        <w:rPr>
          <w:i/>
        </w:rPr>
        <w:t>Cf.</w:t>
      </w:r>
      <w:r w:rsidRPr="000E696E">
        <w:t xml:space="preserve"> Congress of the Republic of Peru. Habeas Corpus and Amparo Act. Law 23506. Article 42. It shall be compulsory to publish all final decisions on applications for habeas corpus and amparo that have been adopted and are enforceable in the Official Gazette, “</w:t>
      </w:r>
      <w:r w:rsidRPr="000E696E">
        <w:rPr>
          <w:i/>
          <w:iCs/>
        </w:rPr>
        <w:t>El Peruano</w:t>
      </w:r>
      <w:r w:rsidRPr="000E696E">
        <w:t xml:space="preserve">.” </w:t>
      </w:r>
    </w:p>
  </w:footnote>
  <w:footnote w:id="90">
    <w:p w14:paraId="529BF006" w14:textId="4FFCFE25" w:rsidR="0068647C" w:rsidRPr="000E696E" w:rsidRDefault="0068647C" w:rsidP="00363C3C">
      <w:pPr>
        <w:pStyle w:val="Default"/>
        <w:spacing w:after="60"/>
        <w:jc w:val="both"/>
        <w:rPr>
          <w:rFonts w:ascii="Verdana" w:hAnsi="Verdana"/>
          <w:color w:val="auto"/>
          <w:sz w:val="16"/>
          <w:szCs w:val="16"/>
        </w:rPr>
      </w:pPr>
      <w:r w:rsidRPr="000E696E">
        <w:rPr>
          <w:rStyle w:val="Refdenotaalpie"/>
          <w:sz w:val="16"/>
          <w:szCs w:val="16"/>
        </w:rPr>
        <w:footnoteRef/>
      </w:r>
      <w:r w:rsidRPr="000E696E">
        <w:rPr>
          <w:rFonts w:ascii="Verdana" w:hAnsi="Verdana"/>
          <w:color w:val="0000FF"/>
          <w:sz w:val="16"/>
          <w:szCs w:val="16"/>
        </w:rPr>
        <w:t xml:space="preserve"> </w:t>
      </w:r>
      <w:r w:rsidRPr="000E696E">
        <w:rPr>
          <w:rFonts w:ascii="Verdana" w:hAnsi="Verdana"/>
          <w:color w:val="0000FF"/>
          <w:sz w:val="16"/>
          <w:szCs w:val="16"/>
        </w:rPr>
        <w:tab/>
      </w:r>
      <w:r w:rsidRPr="000E696E">
        <w:rPr>
          <w:rFonts w:ascii="Verdana" w:hAnsi="Verdana"/>
          <w:i/>
          <w:color w:val="auto"/>
          <w:sz w:val="16"/>
          <w:szCs w:val="16"/>
        </w:rPr>
        <w:t>Cf.</w:t>
      </w:r>
      <w:r w:rsidRPr="000E696E">
        <w:rPr>
          <w:rFonts w:ascii="Verdana" w:hAnsi="Verdana"/>
          <w:color w:val="auto"/>
          <w:sz w:val="16"/>
          <w:szCs w:val="16"/>
        </w:rPr>
        <w:t xml:space="preserve"> Motion addressed to the </w:t>
      </w:r>
      <w:r w:rsidRPr="000E696E">
        <w:rPr>
          <w:rFonts w:ascii="Verdana" w:hAnsi="Verdana"/>
          <w:sz w:val="16"/>
          <w:szCs w:val="16"/>
        </w:rPr>
        <w:t xml:space="preserve">Social and Constitutional Law Chamber of the </w:t>
      </w:r>
      <w:r w:rsidRPr="000E696E">
        <w:rPr>
          <w:rFonts w:ascii="Verdana" w:hAnsi="Verdana"/>
          <w:color w:val="auto"/>
          <w:sz w:val="16"/>
          <w:szCs w:val="16"/>
        </w:rPr>
        <w:t>Supreme Court of Justice. File No. 1811-92. April 28, 1993. Annexes to the communication of the petitioners dated July 23, 1998 (evidence file, annex 20 to the Merits Report, f. 75).</w:t>
      </w:r>
    </w:p>
  </w:footnote>
  <w:footnote w:id="91">
    <w:p w14:paraId="0616D731" w14:textId="42162487" w:rsidR="0068647C" w:rsidRPr="000E696E" w:rsidRDefault="0068647C" w:rsidP="00AA1EBF">
      <w:pPr>
        <w:autoSpaceDE w:val="0"/>
        <w:autoSpaceDN w:val="0"/>
        <w:adjustRightInd w:val="0"/>
        <w:spacing w:after="60"/>
        <w:jc w:val="both"/>
        <w:rPr>
          <w:rFonts w:ascii="Verdana" w:hAnsi="Verdana"/>
          <w:sz w:val="16"/>
          <w:szCs w:val="16"/>
          <w:lang w:val="en-US" w:eastAsia="es-MX"/>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i/>
          <w:sz w:val="16"/>
          <w:szCs w:val="16"/>
          <w:lang w:val="en-US"/>
        </w:rPr>
        <w:t>Cf.</w:t>
      </w:r>
      <w:r w:rsidRPr="000E696E">
        <w:rPr>
          <w:rFonts w:ascii="Verdana" w:hAnsi="Verdana"/>
          <w:sz w:val="16"/>
          <w:szCs w:val="16"/>
          <w:lang w:val="en-US"/>
        </w:rPr>
        <w:t xml:space="preserve"> </w:t>
      </w:r>
      <w:r w:rsidRPr="000E696E">
        <w:rPr>
          <w:rFonts w:ascii="Verdana" w:hAnsi="Verdana"/>
          <w:sz w:val="16"/>
          <w:szCs w:val="16"/>
          <w:lang w:val="en-US" w:eastAsia="es-MX"/>
        </w:rPr>
        <w:t>Request addressed to the Fifth Civil Chamber of the Superior Court of Lima. File No. 2615-91. July 26, 1996 (evidence file, annex 21 to the Merits Report, f. 77). To substantiate his request, Mr. Lagos cited articles 2.2 and 202.2 of the Constitution which establish:</w:t>
      </w:r>
      <w:r w:rsidRPr="000E696E">
        <w:rPr>
          <w:rFonts w:ascii="Verdana" w:hAnsi="Verdana"/>
          <w:i/>
          <w:sz w:val="16"/>
          <w:szCs w:val="16"/>
          <w:lang w:val="en-US" w:eastAsia="es-MX"/>
        </w:rPr>
        <w:t xml:space="preserve"> </w:t>
      </w:r>
      <w:r w:rsidRPr="000E696E">
        <w:rPr>
          <w:rFonts w:ascii="Verdana" w:hAnsi="Verdana"/>
          <w:sz w:val="16"/>
          <w:szCs w:val="16"/>
          <w:lang w:val="en-US" w:eastAsia="es-MX"/>
        </w:rPr>
        <w:t xml:space="preserve">Article 2. Fundamental human rights. Everyone has a right to: 2. Equality before the law. No one may be discriminated against for reasons of origin, race, sex, language, religion, opinion, economic status, or any other condition. Article 202. Attributes of the Constitutional Court. It corresponds to the Constitutional Court: 2. To hear, in final instance, the decisions denying habeas corpus, amparo, habeas data, and mandamus </w:t>
      </w:r>
      <w:r w:rsidRPr="000E696E">
        <w:rPr>
          <w:rFonts w:ascii="Verdana" w:hAnsi="Verdana"/>
          <w:sz w:val="16"/>
          <w:szCs w:val="16"/>
          <w:lang w:val="en-US"/>
        </w:rPr>
        <w:t>(evidence file, annex 21 to the Merits Report, ff. 77 and 78).</w:t>
      </w:r>
    </w:p>
  </w:footnote>
  <w:footnote w:id="92">
    <w:p w14:paraId="354A259A" w14:textId="776354CC" w:rsidR="0068647C" w:rsidRPr="000E696E" w:rsidRDefault="0068647C" w:rsidP="00AA1EBF">
      <w:pPr>
        <w:autoSpaceDE w:val="0"/>
        <w:autoSpaceDN w:val="0"/>
        <w:adjustRightInd w:val="0"/>
        <w:spacing w:after="60"/>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i/>
          <w:sz w:val="16"/>
          <w:szCs w:val="16"/>
          <w:lang w:val="en-US"/>
        </w:rPr>
        <w:t>Cf.</w:t>
      </w:r>
      <w:r w:rsidRPr="000E696E">
        <w:rPr>
          <w:rFonts w:ascii="Verdana" w:hAnsi="Verdana"/>
          <w:sz w:val="16"/>
          <w:szCs w:val="16"/>
          <w:lang w:val="en-US"/>
        </w:rPr>
        <w:t xml:space="preserve"> Request addressed to the Fifth Civil Chamber of the Superior Court of Lima. File No. 2615-91. January 13, 1997 (evidence file, annex 21 to the Merits Report, ff. 79 and 80).</w:t>
      </w:r>
    </w:p>
  </w:footnote>
  <w:footnote w:id="93">
    <w:p w14:paraId="74BF5523" w14:textId="2CD3CCAE" w:rsidR="0068647C" w:rsidRPr="000E696E" w:rsidRDefault="0068647C" w:rsidP="00D61BD2">
      <w:pPr>
        <w:pStyle w:val="Textonotapie"/>
        <w:rPr>
          <w:i/>
        </w:rPr>
      </w:pPr>
      <w:r w:rsidRPr="000E696E">
        <w:rPr>
          <w:rStyle w:val="Refdenotaalpie"/>
          <w:sz w:val="16"/>
        </w:rPr>
        <w:footnoteRef/>
      </w:r>
      <w:r w:rsidRPr="000E696E">
        <w:t xml:space="preserve"> </w:t>
      </w:r>
      <w:r w:rsidRPr="000E696E">
        <w:tab/>
      </w:r>
      <w:r w:rsidRPr="000E696E">
        <w:rPr>
          <w:i/>
        </w:rPr>
        <w:t>Cf.</w:t>
      </w:r>
      <w:r w:rsidRPr="000E696E">
        <w:t xml:space="preserve"> Congress of the Republic of Peru. Constitution of Peru, July 12, 1979. Article 298. The Court of Constitutional Guarantees has jurisdiction throughout the territory of the Republic. It has jurisdiction:</w:t>
      </w:r>
      <w:r w:rsidRPr="000E696E">
        <w:rPr>
          <w:i/>
        </w:rPr>
        <w:t xml:space="preserve"> </w:t>
      </w:r>
      <w:r w:rsidRPr="000E696E">
        <w:t xml:space="preserve">1. To declare, at the request of a party, the partial or total unconstitutionality of laws, legislative decrees, general regional laws and municipal by-laws that violate the Constitution in form or in content, and 2. To hear in cassation decisions rejecting applications for habeas corpus and amparo that have exhausted the court system. </w:t>
      </w:r>
      <w:r w:rsidRPr="000E696E">
        <w:rPr>
          <w:bCs/>
          <w:color w:val="000000"/>
        </w:rPr>
        <w:t>Article 295.</w:t>
      </w:r>
      <w:r w:rsidRPr="000E696E">
        <w:rPr>
          <w:bCs/>
          <w:color w:val="000000"/>
        </w:rPr>
        <w:softHyphen/>
      </w:r>
      <w:r w:rsidRPr="000E696E">
        <w:rPr>
          <w:color w:val="000000"/>
        </w:rPr>
        <w:t xml:space="preserve"> The application for amparo protects rights recognized in the Constitution that may have been violated or threatened by any authority, official or individual. The application for amparo follows the same procedure as the application for habeas corpus in cases in which it is applicable.</w:t>
      </w:r>
    </w:p>
  </w:footnote>
  <w:footnote w:id="94">
    <w:p w14:paraId="789164A0" w14:textId="0087C915" w:rsidR="0068647C" w:rsidRPr="000E696E" w:rsidRDefault="0068647C" w:rsidP="00AA1EBF">
      <w:pPr>
        <w:autoSpaceDE w:val="0"/>
        <w:autoSpaceDN w:val="0"/>
        <w:adjustRightInd w:val="0"/>
        <w:spacing w:after="60"/>
        <w:contextualSpacing/>
        <w:jc w:val="both"/>
        <w:rPr>
          <w:rFonts w:ascii="Verdana" w:hAnsi="Verdana"/>
          <w:sz w:val="16"/>
          <w:szCs w:val="16"/>
          <w:lang w:val="en-US"/>
        </w:rPr>
      </w:pPr>
      <w:r w:rsidRPr="000E696E">
        <w:rPr>
          <w:rStyle w:val="Refdenotaalpie"/>
          <w:sz w:val="16"/>
          <w:szCs w:val="16"/>
          <w:lang w:val="en-US"/>
        </w:rPr>
        <w:footnoteRef/>
      </w:r>
      <w:r w:rsidRPr="000E696E">
        <w:rPr>
          <w:rFonts w:ascii="Verdana" w:hAnsi="Verdana"/>
          <w:i/>
          <w:sz w:val="16"/>
          <w:szCs w:val="16"/>
          <w:lang w:val="en-US"/>
        </w:rPr>
        <w:t xml:space="preserve"> </w:t>
      </w:r>
      <w:r w:rsidRPr="000E696E">
        <w:rPr>
          <w:rFonts w:ascii="Verdana" w:hAnsi="Verdana"/>
          <w:i/>
          <w:sz w:val="16"/>
          <w:szCs w:val="16"/>
          <w:lang w:val="en-US"/>
        </w:rPr>
        <w:tab/>
        <w:t>Cf.</w:t>
      </w:r>
      <w:r w:rsidRPr="000E696E">
        <w:rPr>
          <w:rFonts w:ascii="Verdana" w:hAnsi="Verdana"/>
          <w:sz w:val="16"/>
          <w:szCs w:val="16"/>
          <w:lang w:val="en-US"/>
        </w:rPr>
        <w:t xml:space="preserve"> </w:t>
      </w:r>
      <w:r w:rsidRPr="000E696E">
        <w:rPr>
          <w:rFonts w:ascii="Verdana" w:hAnsi="Verdana"/>
          <w:sz w:val="16"/>
          <w:szCs w:val="16"/>
          <w:lang w:val="en-US" w:eastAsia="es-MX"/>
        </w:rPr>
        <w:t xml:space="preserve">Third Specialized Civil Chamber of the Superior Court of Justice of Lima. File. No. 2625-91. Decision of June 24, 1997. </w:t>
      </w:r>
      <w:r w:rsidRPr="000E696E">
        <w:rPr>
          <w:rFonts w:ascii="Verdana" w:hAnsi="Verdana"/>
          <w:sz w:val="16"/>
          <w:szCs w:val="16"/>
          <w:lang w:val="en-US"/>
        </w:rPr>
        <w:t>(evidence file, annex 23 to the Merits Report, f. 82).</w:t>
      </w:r>
    </w:p>
  </w:footnote>
  <w:footnote w:id="95">
    <w:p w14:paraId="7CCE4C9A" w14:textId="6CCDCF2D"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rPr>
        <w:t>Cf.</w:t>
      </w:r>
      <w:r w:rsidRPr="000E696E">
        <w:t xml:space="preserve"> Appeal filed by Mr. Lagos del Campo before the Third Specialized Civil Chamber of the Superior Court of Lima. A.A.2615-91, July 18, 1997 (evidence file, annex 24 to the Merits Report, ff. 85 and 86). </w:t>
      </w:r>
    </w:p>
  </w:footnote>
  <w:footnote w:id="96">
    <w:p w14:paraId="115DA12A" w14:textId="2C9F65FE" w:rsidR="0068647C" w:rsidRPr="000E696E" w:rsidRDefault="0068647C" w:rsidP="00D61BD2">
      <w:pPr>
        <w:pStyle w:val="Textonotapie"/>
      </w:pPr>
      <w:r w:rsidRPr="000E696E">
        <w:rPr>
          <w:rStyle w:val="Refdenotaalpie"/>
          <w:sz w:val="16"/>
        </w:rPr>
        <w:footnoteRef/>
      </w:r>
      <w:r w:rsidRPr="000E696E">
        <w:tab/>
      </w:r>
      <w:r w:rsidRPr="000E696E">
        <w:rPr>
          <w:i/>
        </w:rPr>
        <w:t>Cf.</w:t>
      </w:r>
      <w:r w:rsidRPr="000E696E">
        <w:t xml:space="preserve"> Third Specialized Civil Chamber of the Superior Court of Justice of Lima. File. No. 839-97. Ruling of July 25, 1997. (evidence file, annex 25 to the Merits Report, f. 88).</w:t>
      </w:r>
    </w:p>
  </w:footnote>
  <w:footnote w:id="97">
    <w:p w14:paraId="4FFC8D6A" w14:textId="176C3B01" w:rsidR="0068647C" w:rsidRPr="000E696E" w:rsidRDefault="0068647C" w:rsidP="00E91CF4">
      <w:pPr>
        <w:tabs>
          <w:tab w:val="left" w:pos="720"/>
        </w:tabs>
        <w:autoSpaceDE w:val="0"/>
        <w:autoSpaceDN w:val="0"/>
        <w:adjustRightInd w:val="0"/>
        <w:spacing w:after="60"/>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 xml:space="preserve">Article 403 of the New Code of Civil Procedure in force at the time of the facts established the following: “The complaint shall be filed before the court that is superior to the one that denied the appeal or granted it with an effect other than that requested, or before the court of cassation in the corresponding case.” </w:t>
      </w:r>
    </w:p>
  </w:footnote>
  <w:footnote w:id="98">
    <w:p w14:paraId="26CA0E73" w14:textId="1B9669A2" w:rsidR="0068647C" w:rsidRPr="000E696E" w:rsidRDefault="0068647C" w:rsidP="007B50A5">
      <w:pPr>
        <w:tabs>
          <w:tab w:val="left" w:pos="720"/>
        </w:tabs>
        <w:autoSpaceDE w:val="0"/>
        <w:autoSpaceDN w:val="0"/>
        <w:adjustRightInd w:val="0"/>
        <w:spacing w:after="60"/>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i/>
          <w:sz w:val="16"/>
          <w:szCs w:val="16"/>
          <w:lang w:val="en-US"/>
        </w:rPr>
        <w:t>Cf.</w:t>
      </w:r>
      <w:r w:rsidRPr="000E696E">
        <w:rPr>
          <w:rFonts w:ascii="Verdana" w:hAnsi="Verdana"/>
          <w:sz w:val="16"/>
          <w:szCs w:val="16"/>
          <w:lang w:val="en-US"/>
        </w:rPr>
        <w:t xml:space="preserve"> Social and Constitutional Law Chamber </w:t>
      </w:r>
      <w:r w:rsidRPr="000E696E">
        <w:rPr>
          <w:rFonts w:ascii="Verdana" w:hAnsi="Verdana"/>
          <w:sz w:val="16"/>
          <w:szCs w:val="16"/>
          <w:lang w:val="en-US" w:eastAsia="es-MX"/>
        </w:rPr>
        <w:t xml:space="preserve">of the Supreme Court of Justice. Complaint 447-97 </w:t>
      </w:r>
      <w:r w:rsidRPr="000E696E">
        <w:rPr>
          <w:rFonts w:ascii="Verdana" w:hAnsi="Verdana"/>
          <w:sz w:val="16"/>
          <w:szCs w:val="16"/>
          <w:lang w:val="en-US"/>
        </w:rPr>
        <w:t>(evidence file annex 28 to the Merits Report, f. 97).</w:t>
      </w:r>
    </w:p>
  </w:footnote>
  <w:footnote w:id="99">
    <w:p w14:paraId="30991DAE" w14:textId="03E5014A" w:rsidR="0068647C" w:rsidRPr="000E696E" w:rsidRDefault="0068647C" w:rsidP="007B50A5">
      <w:pPr>
        <w:tabs>
          <w:tab w:val="left" w:pos="720"/>
        </w:tabs>
        <w:autoSpaceDE w:val="0"/>
        <w:autoSpaceDN w:val="0"/>
        <w:adjustRightInd w:val="0"/>
        <w:spacing w:after="60"/>
        <w:jc w:val="both"/>
        <w:rPr>
          <w:rFonts w:ascii="Verdana" w:hAnsi="Verdana"/>
          <w:sz w:val="16"/>
          <w:szCs w:val="16"/>
          <w:lang w:val="en-US"/>
        </w:rPr>
      </w:pPr>
      <w:r w:rsidRPr="000E696E">
        <w:rPr>
          <w:rStyle w:val="Refdenotaalpie"/>
          <w:sz w:val="16"/>
          <w:szCs w:val="16"/>
          <w:lang w:val="en-US"/>
        </w:rPr>
        <w:footnoteRef/>
      </w:r>
      <w:r w:rsidRPr="000E696E">
        <w:rPr>
          <w:rFonts w:ascii="Verdana" w:hAnsi="Verdana"/>
          <w:i/>
          <w:iCs/>
          <w:sz w:val="16"/>
          <w:szCs w:val="16"/>
          <w:lang w:val="en-US" w:eastAsia="es-MX"/>
        </w:rPr>
        <w:t xml:space="preserve"> </w:t>
      </w:r>
      <w:r w:rsidRPr="000E696E">
        <w:rPr>
          <w:rFonts w:ascii="Verdana" w:hAnsi="Verdana"/>
          <w:i/>
          <w:iCs/>
          <w:sz w:val="16"/>
          <w:szCs w:val="16"/>
          <w:lang w:val="en-US" w:eastAsia="es-MX"/>
        </w:rPr>
        <w:tab/>
      </w:r>
      <w:r w:rsidRPr="000E696E">
        <w:rPr>
          <w:rFonts w:ascii="Verdana" w:hAnsi="Verdana"/>
          <w:i/>
          <w:sz w:val="16"/>
          <w:szCs w:val="16"/>
          <w:lang w:val="en-US"/>
        </w:rPr>
        <w:t>Cf.</w:t>
      </w:r>
      <w:r w:rsidRPr="000E696E">
        <w:rPr>
          <w:rFonts w:ascii="Verdana" w:hAnsi="Verdana"/>
          <w:sz w:val="16"/>
          <w:szCs w:val="16"/>
          <w:lang w:val="en-US"/>
        </w:rPr>
        <w:t xml:space="preserve"> </w:t>
      </w:r>
      <w:r w:rsidRPr="000E696E">
        <w:rPr>
          <w:rFonts w:ascii="Verdana" w:hAnsi="Verdana"/>
          <w:sz w:val="16"/>
          <w:szCs w:val="16"/>
          <w:lang w:val="en-US" w:eastAsia="es-MX"/>
        </w:rPr>
        <w:t xml:space="preserve">Complaint filed before the Social and Constitutional Law Chamber of the Supreme Court of Justice. File No 839-97. A.A. 2615-91 </w:t>
      </w:r>
      <w:r w:rsidRPr="000E696E">
        <w:rPr>
          <w:rFonts w:ascii="Verdana" w:hAnsi="Verdana"/>
          <w:sz w:val="16"/>
          <w:szCs w:val="16"/>
          <w:lang w:val="en-US"/>
        </w:rPr>
        <w:t>(evidence file annex 29 to the Merits Report, ff. 99 to 101).</w:t>
      </w:r>
    </w:p>
  </w:footnote>
  <w:footnote w:id="100">
    <w:p w14:paraId="4F2D6A7C" w14:textId="5617875F" w:rsidR="0068647C" w:rsidRPr="000E696E" w:rsidRDefault="0068647C" w:rsidP="00D61BD2">
      <w:pPr>
        <w:pStyle w:val="Textonotapie"/>
      </w:pPr>
      <w:r w:rsidRPr="000E696E">
        <w:rPr>
          <w:rStyle w:val="Refdenotaalpie"/>
          <w:sz w:val="16"/>
        </w:rPr>
        <w:footnoteRef/>
      </w:r>
      <w:r w:rsidRPr="000E696E">
        <w:t xml:space="preserve"> </w:t>
      </w:r>
      <w:r w:rsidRPr="000E696E">
        <w:tab/>
        <w:t xml:space="preserve">The reference to retirement relates to the “Law implementing the recommendations derived from the committees created by Laws No. 27452 and No. 27586 responsible for reviewing the collective dismissals from State companies subject to processes to promote private investment and from entities in the public sector and local governments.” Mr. Lagos also mentioned the following law: “I am owed all my social benefits and other rights that correspond to me under the law since 1976 in order to protect my right to retirement under Law No. 19990” (file of the procedure before the Commission, f. 151). </w:t>
      </w:r>
    </w:p>
  </w:footnote>
  <w:footnote w:id="101">
    <w:p w14:paraId="20BD2EAE" w14:textId="5B59B9AD" w:rsidR="0068647C" w:rsidRPr="000E696E" w:rsidRDefault="0068647C" w:rsidP="007B50A5">
      <w:pPr>
        <w:tabs>
          <w:tab w:val="left" w:pos="720"/>
        </w:tabs>
        <w:autoSpaceDE w:val="0"/>
        <w:autoSpaceDN w:val="0"/>
        <w:adjustRightInd w:val="0"/>
        <w:spacing w:after="60"/>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i/>
          <w:sz w:val="16"/>
          <w:szCs w:val="16"/>
          <w:lang w:val="en-US"/>
        </w:rPr>
        <w:t>Cf.</w:t>
      </w:r>
      <w:r w:rsidRPr="000E696E">
        <w:rPr>
          <w:rFonts w:ascii="Verdana" w:hAnsi="Verdana"/>
          <w:i/>
          <w:iCs/>
          <w:sz w:val="16"/>
          <w:szCs w:val="16"/>
          <w:lang w:val="en-US" w:eastAsia="es-MX"/>
        </w:rPr>
        <w:t xml:space="preserve"> </w:t>
      </w:r>
      <w:r w:rsidRPr="000E696E">
        <w:rPr>
          <w:rFonts w:ascii="Verdana" w:hAnsi="Verdana"/>
          <w:sz w:val="16"/>
          <w:szCs w:val="16"/>
          <w:lang w:val="en-US" w:eastAsia="es-MX"/>
        </w:rPr>
        <w:t xml:space="preserve">Certification of Poverty issued by the Blessed Sacrament Parish of the Archdiocese of Lima on September 10, 2003. Attachment to the petitioners’ brief of May 28, 2004; Letter requesting social assistance addressed by Mr. Lagos del Campo to the Ministry for Women and Social Development on April 21, 2005. Attachment to Mr. Lagos del Campo’s communication of June 2, 2005 </w:t>
      </w:r>
      <w:r w:rsidRPr="000E696E">
        <w:rPr>
          <w:rFonts w:ascii="Verdana" w:hAnsi="Verdana"/>
          <w:sz w:val="16"/>
          <w:szCs w:val="16"/>
          <w:lang w:val="en-US"/>
        </w:rPr>
        <w:t>(evidence file, annex 31 to the Merits Report, ff. 106 and 107).</w:t>
      </w:r>
    </w:p>
  </w:footnote>
  <w:footnote w:id="102">
    <w:p w14:paraId="47738BDD" w14:textId="68E36342" w:rsidR="0068647C" w:rsidRPr="000E696E" w:rsidRDefault="0068647C" w:rsidP="00D61BD2">
      <w:pPr>
        <w:pStyle w:val="Textonotapie"/>
      </w:pPr>
      <w:r w:rsidRPr="000E696E">
        <w:rPr>
          <w:rStyle w:val="Refdenotaalpie"/>
          <w:sz w:val="16"/>
        </w:rPr>
        <w:footnoteRef/>
      </w:r>
      <w:r w:rsidRPr="000E696E">
        <w:t xml:space="preserve"> </w:t>
      </w:r>
      <w:r w:rsidRPr="000E696E">
        <w:tab/>
        <w:t>In September 2014, Mr. Lagos del Campo had a hemorrhagic stroke that required him to be hospitalized for 20 days and left him with various aftereffects.</w:t>
      </w:r>
    </w:p>
  </w:footnote>
  <w:footnote w:id="103">
    <w:p w14:paraId="4D4EDF3A" w14:textId="326E5755" w:rsidR="0068647C" w:rsidRPr="000E696E" w:rsidRDefault="0068647C" w:rsidP="00D61BD2">
      <w:pPr>
        <w:tabs>
          <w:tab w:val="left" w:pos="720"/>
          <w:tab w:val="left" w:pos="1080"/>
          <w:tab w:val="left" w:pos="1680"/>
          <w:tab w:val="left" w:pos="5400"/>
        </w:tabs>
        <w:suppressAutoHyphens/>
        <w:spacing w:after="60"/>
        <w:jc w:val="both"/>
        <w:rPr>
          <w:rFonts w:ascii="Verdana" w:hAnsi="Verdana"/>
          <w:spacing w:val="-3"/>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 xml:space="preserve">Article 13. Freedom of Thought and Expression. 1. </w:t>
      </w:r>
      <w:r w:rsidRPr="000E696E">
        <w:rPr>
          <w:rFonts w:ascii="Verdana" w:hAnsi="Verdana"/>
          <w:spacing w:val="-3"/>
          <w:sz w:val="16"/>
          <w:szCs w:val="16"/>
          <w:lang w:val="en-US"/>
        </w:rPr>
        <w:t>Everyone has the right to freedom of thought and expression.  This right includes freedom to seek, receive, and impart information and ideas of all kinds, regardless of frontiers, either orally, in writing, in print, in the form of art, or through any other medium of one's choice.</w:t>
      </w:r>
    </w:p>
    <w:p w14:paraId="65D68A50" w14:textId="4E191E50" w:rsidR="0068647C" w:rsidRPr="000E696E" w:rsidRDefault="0068647C" w:rsidP="00DF1382">
      <w:pPr>
        <w:tabs>
          <w:tab w:val="left" w:pos="480"/>
          <w:tab w:val="left" w:pos="1080"/>
          <w:tab w:val="left" w:pos="1680"/>
          <w:tab w:val="left" w:pos="5400"/>
        </w:tabs>
        <w:suppressAutoHyphens/>
        <w:spacing w:after="60"/>
        <w:jc w:val="both"/>
        <w:rPr>
          <w:rFonts w:ascii="Verdana" w:hAnsi="Verdana"/>
          <w:spacing w:val="-3"/>
          <w:sz w:val="16"/>
          <w:szCs w:val="16"/>
          <w:lang w:val="en-US"/>
        </w:rPr>
      </w:pPr>
      <w:r w:rsidRPr="000E696E">
        <w:rPr>
          <w:rFonts w:ascii="Verdana" w:hAnsi="Verdana"/>
          <w:spacing w:val="-3"/>
          <w:sz w:val="16"/>
          <w:szCs w:val="16"/>
          <w:lang w:val="en-US"/>
        </w:rPr>
        <w:t>2. The exercise of the right provided for in the foregoing paragraph shall not be subject to prior censorship but shall be subject to subsequent imposition of liability, which shall be expressly established by law to the extent necessary to ensure:</w:t>
      </w:r>
    </w:p>
    <w:p w14:paraId="72B22310" w14:textId="610A4EE5" w:rsidR="0068647C" w:rsidRPr="000E696E" w:rsidRDefault="0068647C" w:rsidP="00DF1382">
      <w:pPr>
        <w:tabs>
          <w:tab w:val="left" w:pos="480"/>
          <w:tab w:val="left" w:pos="1080"/>
          <w:tab w:val="left" w:pos="1680"/>
          <w:tab w:val="left" w:pos="5400"/>
        </w:tabs>
        <w:suppressAutoHyphens/>
        <w:spacing w:after="60"/>
        <w:jc w:val="both"/>
        <w:rPr>
          <w:rFonts w:ascii="Verdana" w:hAnsi="Verdana"/>
          <w:spacing w:val="-3"/>
          <w:sz w:val="16"/>
          <w:szCs w:val="16"/>
          <w:lang w:val="en-US"/>
        </w:rPr>
      </w:pPr>
      <w:r w:rsidRPr="000E696E">
        <w:rPr>
          <w:rFonts w:ascii="Verdana" w:hAnsi="Verdana"/>
          <w:spacing w:val="-3"/>
          <w:sz w:val="16"/>
          <w:szCs w:val="16"/>
          <w:lang w:val="en-US"/>
        </w:rPr>
        <w:t>a) respect for the rights or reputations of others; or</w:t>
      </w:r>
    </w:p>
    <w:p w14:paraId="63116727" w14:textId="34FD67E5" w:rsidR="0068647C" w:rsidRPr="000E696E" w:rsidRDefault="0068647C" w:rsidP="00DF1382">
      <w:pPr>
        <w:tabs>
          <w:tab w:val="left" w:pos="480"/>
          <w:tab w:val="left" w:pos="1080"/>
          <w:tab w:val="left" w:pos="1680"/>
          <w:tab w:val="left" w:pos="5400"/>
        </w:tabs>
        <w:suppressAutoHyphens/>
        <w:spacing w:after="60"/>
        <w:jc w:val="both"/>
        <w:rPr>
          <w:rFonts w:ascii="Verdana" w:hAnsi="Verdana"/>
          <w:spacing w:val="-3"/>
          <w:sz w:val="16"/>
          <w:szCs w:val="16"/>
          <w:lang w:val="en-US"/>
        </w:rPr>
      </w:pPr>
      <w:r w:rsidRPr="000E696E">
        <w:rPr>
          <w:rFonts w:ascii="Verdana" w:hAnsi="Verdana"/>
          <w:spacing w:val="-3"/>
          <w:sz w:val="16"/>
          <w:szCs w:val="16"/>
          <w:lang w:val="en-US"/>
        </w:rPr>
        <w:t>b) the protection of national security, public order, or public health or morals.</w:t>
      </w:r>
    </w:p>
    <w:p w14:paraId="34CFE6AE" w14:textId="34ACB303" w:rsidR="0068647C" w:rsidRPr="000E696E" w:rsidRDefault="0068647C" w:rsidP="00DF1382">
      <w:pPr>
        <w:tabs>
          <w:tab w:val="left" w:pos="480"/>
          <w:tab w:val="left" w:pos="1080"/>
          <w:tab w:val="left" w:pos="1680"/>
          <w:tab w:val="left" w:pos="5400"/>
        </w:tabs>
        <w:suppressAutoHyphens/>
        <w:spacing w:after="60"/>
        <w:jc w:val="both"/>
        <w:rPr>
          <w:rFonts w:ascii="Verdana" w:hAnsi="Verdana"/>
          <w:spacing w:val="-3"/>
          <w:sz w:val="16"/>
          <w:szCs w:val="16"/>
          <w:lang w:val="en-US"/>
        </w:rPr>
      </w:pPr>
      <w:r w:rsidRPr="000E696E">
        <w:rPr>
          <w:rFonts w:ascii="Verdana" w:hAnsi="Verdana"/>
          <w:spacing w:val="-3"/>
          <w:sz w:val="16"/>
          <w:szCs w:val="16"/>
          <w:lang w:val="en-US"/>
        </w:rPr>
        <w:t>3. The right of expression may not be restricted by indirect methods or means, such as the abuse of government or private controls over newsprint, radio broadcasting frequencies, or equipment used in the dissemination of information, or by any other means tending to impede the communication and circulation of ideas and opinions.</w:t>
      </w:r>
    </w:p>
    <w:p w14:paraId="7CF335C7" w14:textId="6AAE8447" w:rsidR="0068647C" w:rsidRPr="000E696E" w:rsidRDefault="0068647C" w:rsidP="00DF1382">
      <w:pPr>
        <w:tabs>
          <w:tab w:val="left" w:pos="480"/>
          <w:tab w:val="left" w:pos="1080"/>
          <w:tab w:val="left" w:pos="1680"/>
          <w:tab w:val="left" w:pos="5400"/>
        </w:tabs>
        <w:suppressAutoHyphens/>
        <w:spacing w:after="60"/>
        <w:jc w:val="both"/>
        <w:rPr>
          <w:rFonts w:ascii="Verdana" w:hAnsi="Verdana"/>
          <w:spacing w:val="-3"/>
          <w:sz w:val="16"/>
          <w:szCs w:val="16"/>
          <w:lang w:val="en-US"/>
        </w:rPr>
      </w:pPr>
      <w:r w:rsidRPr="000E696E">
        <w:rPr>
          <w:rFonts w:ascii="Verdana" w:hAnsi="Verdana"/>
          <w:spacing w:val="-3"/>
          <w:sz w:val="16"/>
          <w:szCs w:val="16"/>
          <w:lang w:val="en-US"/>
        </w:rPr>
        <w:t>4. Notwithstanding the provisions of paragraph 2 above, public entertainments may be subject by law to prior censorship for the sole purpose of regulating access to them for the moral protection of childhood and adolescence.</w:t>
      </w:r>
    </w:p>
    <w:p w14:paraId="0B3CA919" w14:textId="184F4FB3" w:rsidR="0068647C" w:rsidRPr="000E696E" w:rsidRDefault="0068647C" w:rsidP="00DF1382">
      <w:pPr>
        <w:tabs>
          <w:tab w:val="left" w:pos="480"/>
          <w:tab w:val="left" w:pos="1080"/>
          <w:tab w:val="left" w:pos="1680"/>
          <w:tab w:val="left" w:pos="5400"/>
        </w:tabs>
        <w:suppressAutoHyphens/>
        <w:spacing w:after="60"/>
        <w:jc w:val="both"/>
        <w:rPr>
          <w:rFonts w:ascii="Verdana" w:hAnsi="Verdana"/>
          <w:spacing w:val="-3"/>
          <w:sz w:val="16"/>
          <w:szCs w:val="16"/>
          <w:lang w:val="en-US"/>
        </w:rPr>
      </w:pPr>
      <w:r w:rsidRPr="000E696E">
        <w:rPr>
          <w:rFonts w:ascii="Verdana" w:hAnsi="Verdana"/>
          <w:spacing w:val="-3"/>
          <w:sz w:val="16"/>
          <w:szCs w:val="16"/>
          <w:lang w:val="en-US"/>
        </w:rPr>
        <w:t>5. Any propaganda for war and any advocacy of national, racial, or religious hatred that constitute incitements to lawless violence or to any other similar action against any person or group of persons on any grounds including those of race, color, religion, language, or national origin shall be considered as offenses punishable by law.</w:t>
      </w:r>
    </w:p>
  </w:footnote>
  <w:footnote w:id="104">
    <w:p w14:paraId="0AA5F6A4" w14:textId="4005D052" w:rsidR="0068647C" w:rsidRPr="000E696E" w:rsidRDefault="0068647C" w:rsidP="00D61BD2">
      <w:pPr>
        <w:pStyle w:val="Footnotes"/>
        <w:rPr>
          <w:i/>
        </w:rPr>
      </w:pPr>
      <w:r w:rsidRPr="000E696E">
        <w:rPr>
          <w:rStyle w:val="Refdenotaalpie"/>
          <w:sz w:val="16"/>
        </w:rPr>
        <w:footnoteRef/>
      </w:r>
      <w:r w:rsidRPr="000E696E">
        <w:t xml:space="preserve"> </w:t>
      </w:r>
      <w:r w:rsidRPr="000E696E">
        <w:tab/>
      </w:r>
      <w:r w:rsidRPr="000E696E">
        <w:rPr>
          <w:bCs/>
        </w:rPr>
        <w:t>Article 8. Right to a Fair Trial</w:t>
      </w:r>
      <w:r w:rsidRPr="000E696E">
        <w:t>. 1.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footnote>
  <w:footnote w:id="105">
    <w:p w14:paraId="78B1488D" w14:textId="3347FB36" w:rsidR="0068647C" w:rsidRPr="000E696E" w:rsidRDefault="0068647C" w:rsidP="00D61BD2">
      <w:pPr>
        <w:pStyle w:val="Textonotapie"/>
        <w:rPr>
          <w:i/>
        </w:rPr>
      </w:pPr>
      <w:r w:rsidRPr="000E696E">
        <w:rPr>
          <w:rStyle w:val="Refdenotaalpie"/>
          <w:sz w:val="16"/>
        </w:rPr>
        <w:footnoteRef/>
      </w:r>
      <w:r w:rsidRPr="000E696E">
        <w:t xml:space="preserve"> </w:t>
      </w:r>
      <w:r w:rsidRPr="000E696E">
        <w:tab/>
      </w:r>
      <w:r w:rsidRPr="000E696E">
        <w:rPr>
          <w:bCs/>
        </w:rPr>
        <w:t>Article 16. Freedom of Association.</w:t>
      </w:r>
      <w:r w:rsidRPr="000E696E">
        <w:t xml:space="preserve"> 1. Everyone has the right to associate freely for ideological, religious, political, economic, labor, social, cultural, sports, or other purposes.</w:t>
      </w:r>
    </w:p>
  </w:footnote>
  <w:footnote w:id="106">
    <w:p w14:paraId="3BE6C987" w14:textId="69D0F297" w:rsidR="0068647C" w:rsidRPr="000E696E" w:rsidRDefault="0068647C" w:rsidP="00D61BD2">
      <w:pPr>
        <w:pStyle w:val="Textonotapie"/>
      </w:pPr>
      <w:r w:rsidRPr="000E696E">
        <w:rPr>
          <w:rStyle w:val="Refdenotaalpie"/>
          <w:sz w:val="16"/>
        </w:rPr>
        <w:footnoteRef/>
      </w:r>
      <w:r w:rsidRPr="000E696E">
        <w:t xml:space="preserve"> </w:t>
      </w:r>
      <w:r w:rsidRPr="000E696E">
        <w:tab/>
        <w:t>Article 26. Progressive Development. The States Parties undertake to adopt measures, both internally and through international cooperation, especially those of an economic and technical nature, with a view to achieving progressively, subject to available resources, by legislation or other appropriate means, the full realization of the rights derived from the economic, social, educational, scientific, and cultural standards set forth in the Charter of the Organization of American States as amended by the Protocol of Buenos Aires.</w:t>
      </w:r>
    </w:p>
  </w:footnote>
  <w:footnote w:id="107">
    <w:p w14:paraId="4AE02642" w14:textId="01453F77" w:rsidR="0068647C" w:rsidRPr="000E696E" w:rsidRDefault="0068647C" w:rsidP="00D61BD2">
      <w:pPr>
        <w:pStyle w:val="Textonotapie"/>
      </w:pPr>
      <w:r w:rsidRPr="000E696E">
        <w:rPr>
          <w:rStyle w:val="Refdenotaalpie"/>
          <w:sz w:val="16"/>
        </w:rPr>
        <w:footnoteRef/>
      </w:r>
      <w:r w:rsidRPr="000E696E">
        <w:t xml:space="preserve"> </w:t>
      </w:r>
      <w:r w:rsidRPr="000E696E">
        <w:tab/>
        <w:t>Article 1(1) of the Convention establishes that: “The States […] undertake to respect the rights and freedoms recognized herein and to ensure to all persons subject to their jurisdiction the free and full exercise of those rights and freedoms […].”</w:t>
      </w:r>
    </w:p>
  </w:footnote>
  <w:footnote w:id="108">
    <w:p w14:paraId="6BCB981F" w14:textId="253E2E74" w:rsidR="0068647C" w:rsidRPr="000E696E" w:rsidRDefault="0068647C" w:rsidP="00D61BD2">
      <w:pPr>
        <w:pStyle w:val="Textonotapie"/>
      </w:pPr>
      <w:r w:rsidRPr="000E696E">
        <w:rPr>
          <w:rStyle w:val="Refdenotaalpie"/>
          <w:sz w:val="16"/>
        </w:rPr>
        <w:footnoteRef/>
      </w:r>
      <w:r w:rsidRPr="000E696E">
        <w:t xml:space="preserve"> </w:t>
      </w:r>
      <w:r w:rsidRPr="000E696E">
        <w:tab/>
        <w:t>Article 2. Domestic Legal Effects. Where the exercise of any of the rights or freedoms referred to in Article 1 is not already ensured by legislative or other provisions, the States Parties undertake to adopt, in accordance with their constitutional processes and the provisions of this Convention, such legislative or other measures as may be necessary to give effect to those rights or freedoms.</w:t>
      </w:r>
    </w:p>
  </w:footnote>
  <w:footnote w:id="109">
    <w:p w14:paraId="0BC3EEF6" w14:textId="736515AF" w:rsidR="0068647C" w:rsidRPr="000E696E" w:rsidRDefault="0068647C" w:rsidP="00DF1382">
      <w:pPr>
        <w:tabs>
          <w:tab w:val="left" w:pos="720"/>
          <w:tab w:val="left" w:pos="1080"/>
          <w:tab w:val="left" w:pos="1680"/>
          <w:tab w:val="left" w:pos="5400"/>
        </w:tabs>
        <w:suppressAutoHyphens/>
        <w:jc w:val="both"/>
        <w:rPr>
          <w:rFonts w:ascii="Verdana" w:hAnsi="Verdana"/>
          <w:spacing w:val="-3"/>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 xml:space="preserve">Article 25. Judicial Protection. 1. </w:t>
      </w:r>
      <w:r w:rsidRPr="000E696E">
        <w:rPr>
          <w:rFonts w:ascii="Verdana" w:hAnsi="Verdana"/>
          <w:spacing w:val="-3"/>
          <w:sz w:val="16"/>
          <w:szCs w:val="16"/>
          <w:lang w:val="en-US"/>
        </w:rPr>
        <w:t>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r w:rsidRPr="000E696E">
        <w:rPr>
          <w:rFonts w:ascii="Verdana" w:hAnsi="Verdana"/>
          <w:sz w:val="16"/>
          <w:szCs w:val="16"/>
          <w:lang w:val="en-US"/>
        </w:rPr>
        <w:t xml:space="preserve">. 2. </w:t>
      </w:r>
      <w:r w:rsidRPr="000E696E">
        <w:rPr>
          <w:rFonts w:ascii="Verdana" w:hAnsi="Verdana"/>
          <w:spacing w:val="-3"/>
          <w:sz w:val="16"/>
          <w:szCs w:val="16"/>
          <w:lang w:val="en-US"/>
        </w:rPr>
        <w:t>The States Parties undertake: a) to ensure that any person claiming such remedy shall have his rights determined by the competent authority provided for by the legal system of the state; b) to develop the possibilities of judicial remedy; and c) to ensure that the competent authorities shall enforce such remedies when granted.</w:t>
      </w:r>
      <w:r w:rsidRPr="000E696E">
        <w:rPr>
          <w:rFonts w:ascii="Verdana" w:hAnsi="Verdana"/>
          <w:sz w:val="16"/>
          <w:szCs w:val="16"/>
          <w:lang w:val="en-US"/>
        </w:rPr>
        <w:t>”</w:t>
      </w:r>
    </w:p>
  </w:footnote>
  <w:footnote w:id="110">
    <w:p w14:paraId="3A763409" w14:textId="16AC5114" w:rsidR="0068647C" w:rsidRPr="000E696E" w:rsidRDefault="0068647C" w:rsidP="00AA1EBF">
      <w:pPr>
        <w:pStyle w:val="Prrafodelista"/>
        <w:autoSpaceDE w:val="0"/>
        <w:autoSpaceDN w:val="0"/>
        <w:adjustRightInd w:val="0"/>
        <w:spacing w:after="60"/>
        <w:ind w:left="0"/>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Above all, the Commission took into account the position held by Mr. Lagos del Campo, the context in which the statements were made, and the nature and severity of the measure, based on the relationship between the freedom of expression of workers’ representatives and the assertion of rights in this area. Also, since the dismissal was such a severe penalty for both</w:t>
      </w:r>
      <w:r w:rsidRPr="000E696E">
        <w:rPr>
          <w:rFonts w:ascii="Verdana" w:hAnsi="Verdana"/>
          <w:sz w:val="16"/>
          <w:szCs w:val="16"/>
          <w:lang w:val="en-US" w:eastAsia="es-ES"/>
        </w:rPr>
        <w:t xml:space="preserve"> the presumed victim and for the workers and their right to information, it could not be justified by the severity of the harm caused, especially when it is considered that this was not proved in court.</w:t>
      </w:r>
    </w:p>
  </w:footnote>
  <w:footnote w:id="111">
    <w:p w14:paraId="2B37AA7A" w14:textId="3B8AF3DD" w:rsidR="0068647C" w:rsidRPr="000E696E" w:rsidRDefault="0068647C" w:rsidP="00186103">
      <w:pPr>
        <w:tabs>
          <w:tab w:val="left" w:pos="720"/>
        </w:tabs>
        <w:spacing w:after="60"/>
        <w:jc w:val="both"/>
        <w:rPr>
          <w:rFonts w:ascii="Verdana" w:hAnsi="Verdana"/>
          <w:i/>
          <w:spacing w:val="-4"/>
          <w:sz w:val="16"/>
          <w:szCs w:val="16"/>
          <w:lang w:val="en-US"/>
        </w:rPr>
      </w:pPr>
      <w:r w:rsidRPr="000E696E">
        <w:rPr>
          <w:rStyle w:val="Refdenotaalpie"/>
          <w:spacing w:val="-4"/>
          <w:sz w:val="16"/>
          <w:szCs w:val="16"/>
          <w:lang w:val="en-US"/>
        </w:rPr>
        <w:footnoteRef/>
      </w:r>
      <w:r w:rsidRPr="000E696E">
        <w:rPr>
          <w:rFonts w:ascii="Verdana" w:hAnsi="Verdana"/>
          <w:i/>
          <w:spacing w:val="-4"/>
          <w:sz w:val="16"/>
          <w:szCs w:val="16"/>
          <w:lang w:val="en-US"/>
        </w:rPr>
        <w:t xml:space="preserve"> </w:t>
      </w:r>
      <w:r w:rsidRPr="000E696E">
        <w:rPr>
          <w:rFonts w:ascii="Verdana" w:hAnsi="Verdana"/>
          <w:i/>
          <w:spacing w:val="-4"/>
          <w:sz w:val="16"/>
          <w:szCs w:val="16"/>
          <w:lang w:val="en-US"/>
        </w:rPr>
        <w:tab/>
        <w:t xml:space="preserve">Cf. Compulsory Membership of an Association Prescribed by Law for the Practice of Journalism (Arts. 13 and 29 American Convention on Human Rights). </w:t>
      </w:r>
      <w:r w:rsidRPr="000E696E">
        <w:rPr>
          <w:rFonts w:ascii="Verdana" w:hAnsi="Verdana"/>
          <w:iCs/>
          <w:spacing w:val="-4"/>
          <w:sz w:val="16"/>
          <w:szCs w:val="16"/>
          <w:lang w:val="en-US"/>
        </w:rPr>
        <w:t>Advisory Opinion OC-5/85, of November 13, 1985. Series A No. 5,</w:t>
      </w:r>
      <w:r w:rsidRPr="000E696E">
        <w:rPr>
          <w:rFonts w:ascii="Verdana" w:hAnsi="Verdana"/>
          <w:i/>
          <w:spacing w:val="-4"/>
          <w:sz w:val="16"/>
          <w:szCs w:val="16"/>
          <w:lang w:val="en-US"/>
        </w:rPr>
        <w:t xml:space="preserve"> </w:t>
      </w:r>
      <w:r w:rsidRPr="000E696E">
        <w:rPr>
          <w:rFonts w:ascii="Verdana" w:hAnsi="Verdana"/>
          <w:spacing w:val="-4"/>
          <w:sz w:val="16"/>
          <w:szCs w:val="16"/>
          <w:lang w:val="en-US"/>
        </w:rPr>
        <w:t xml:space="preserve">para. 30, and </w:t>
      </w:r>
      <w:r w:rsidRPr="000E696E">
        <w:rPr>
          <w:rStyle w:val="Textoennegrita"/>
          <w:rFonts w:ascii="Verdana" w:hAnsi="Verdana"/>
          <w:b w:val="0"/>
          <w:i/>
          <w:sz w:val="16"/>
          <w:szCs w:val="16"/>
          <w:shd w:val="clear" w:color="auto" w:fill="FFFFFF"/>
          <w:lang w:val="en-US"/>
        </w:rPr>
        <w:t>Case of López Lone et al. v. Honduras</w:t>
      </w:r>
      <w:r w:rsidRPr="000E696E">
        <w:rPr>
          <w:rStyle w:val="Textoennegrita"/>
          <w:rFonts w:ascii="Verdana" w:hAnsi="Verdana"/>
          <w:b w:val="0"/>
          <w:sz w:val="16"/>
          <w:szCs w:val="16"/>
          <w:shd w:val="clear" w:color="auto" w:fill="FFFFFF"/>
          <w:lang w:val="en-US"/>
        </w:rPr>
        <w:t xml:space="preserve">. </w:t>
      </w:r>
      <w:r w:rsidRPr="000E696E">
        <w:rPr>
          <w:rStyle w:val="Textoennegrita"/>
          <w:rFonts w:ascii="Verdana" w:hAnsi="Verdana"/>
          <w:b w:val="0"/>
          <w:i/>
          <w:sz w:val="16"/>
          <w:szCs w:val="16"/>
          <w:shd w:val="clear" w:color="auto" w:fill="FFFFFF"/>
          <w:lang w:val="en-US"/>
        </w:rPr>
        <w:t>Preliminary objections, merits, reparations and costs</w:t>
      </w:r>
      <w:r w:rsidRPr="000E696E">
        <w:rPr>
          <w:rStyle w:val="Textoennegrita"/>
          <w:rFonts w:ascii="Verdana" w:hAnsi="Verdana"/>
          <w:b w:val="0"/>
          <w:sz w:val="16"/>
          <w:szCs w:val="16"/>
          <w:shd w:val="clear" w:color="auto" w:fill="FFFFFF"/>
          <w:lang w:val="en-US"/>
        </w:rPr>
        <w:t>. Judgment October 5, 2015. Series 302, para. 166.</w:t>
      </w:r>
    </w:p>
  </w:footnote>
  <w:footnote w:id="112">
    <w:p w14:paraId="1193D660" w14:textId="6F0C0C31" w:rsidR="0068647C" w:rsidRPr="000E696E" w:rsidRDefault="0068647C" w:rsidP="00186103">
      <w:pPr>
        <w:tabs>
          <w:tab w:val="left" w:pos="720"/>
        </w:tabs>
        <w:spacing w:after="60"/>
        <w:jc w:val="both"/>
        <w:rPr>
          <w:rFonts w:ascii="Verdana" w:hAnsi="Verdana"/>
          <w:spacing w:val="-4"/>
          <w:sz w:val="16"/>
          <w:szCs w:val="16"/>
          <w:lang w:val="en-US"/>
        </w:rPr>
      </w:pPr>
      <w:r w:rsidRPr="000E696E">
        <w:rPr>
          <w:rStyle w:val="Refdenotaalpie"/>
          <w:spacing w:val="-4"/>
          <w:sz w:val="16"/>
          <w:szCs w:val="16"/>
          <w:lang w:val="en-US"/>
        </w:rPr>
        <w:footnoteRef/>
      </w:r>
      <w:r w:rsidRPr="000E696E">
        <w:rPr>
          <w:rFonts w:ascii="Verdana" w:hAnsi="Verdana"/>
          <w:spacing w:val="-4"/>
          <w:sz w:val="16"/>
          <w:szCs w:val="16"/>
          <w:lang w:val="en-US"/>
        </w:rPr>
        <w:t xml:space="preserve"> </w:t>
      </w:r>
      <w:r w:rsidRPr="000E696E">
        <w:rPr>
          <w:rFonts w:ascii="Verdana" w:hAnsi="Verdana"/>
          <w:spacing w:val="-4"/>
          <w:sz w:val="16"/>
          <w:szCs w:val="16"/>
          <w:lang w:val="en-US"/>
        </w:rPr>
        <w:tab/>
      </w:r>
      <w:r w:rsidRPr="000E696E">
        <w:rPr>
          <w:rFonts w:ascii="Verdana" w:hAnsi="Verdana"/>
          <w:i/>
          <w:spacing w:val="-4"/>
          <w:sz w:val="16"/>
          <w:szCs w:val="16"/>
          <w:lang w:val="en-US"/>
        </w:rPr>
        <w:t>Cf. Compulsory Membership of an Association Prescribed by Law for the Practice of Journalism OC-5/85, supra</w:t>
      </w:r>
      <w:r w:rsidRPr="000E696E">
        <w:rPr>
          <w:rFonts w:ascii="Verdana" w:hAnsi="Verdana"/>
          <w:spacing w:val="-4"/>
          <w:sz w:val="16"/>
          <w:szCs w:val="16"/>
          <w:lang w:val="en-US"/>
        </w:rPr>
        <w:t xml:space="preserve">, paras. 31 and 32, and </w:t>
      </w:r>
      <w:r w:rsidRPr="000E696E">
        <w:rPr>
          <w:rStyle w:val="Textoennegrita"/>
          <w:rFonts w:ascii="Verdana" w:hAnsi="Verdana"/>
          <w:b w:val="0"/>
          <w:i/>
          <w:sz w:val="16"/>
          <w:szCs w:val="16"/>
          <w:shd w:val="clear" w:color="auto" w:fill="FFFFFF"/>
          <w:lang w:val="en-US"/>
        </w:rPr>
        <w:t>Case of López Lone v. Honduras</w:t>
      </w:r>
      <w:r w:rsidRPr="000E696E">
        <w:rPr>
          <w:rStyle w:val="Textoennegrita"/>
          <w:rFonts w:ascii="Verdana" w:hAnsi="Verdana"/>
          <w:b w:val="0"/>
          <w:sz w:val="16"/>
          <w:szCs w:val="16"/>
          <w:shd w:val="clear" w:color="auto" w:fill="FFFFFF"/>
          <w:lang w:val="en-US"/>
        </w:rPr>
        <w:t xml:space="preserve">, </w:t>
      </w:r>
      <w:r w:rsidRPr="000E696E">
        <w:rPr>
          <w:rStyle w:val="Textoennegrita"/>
          <w:rFonts w:ascii="Verdana" w:hAnsi="Verdana"/>
          <w:b w:val="0"/>
          <w:i/>
          <w:sz w:val="16"/>
          <w:szCs w:val="16"/>
          <w:shd w:val="clear" w:color="auto" w:fill="FFFFFF"/>
          <w:lang w:val="en-US"/>
        </w:rPr>
        <w:t>supra</w:t>
      </w:r>
      <w:r w:rsidRPr="000E696E">
        <w:rPr>
          <w:rStyle w:val="Textoennegrita"/>
          <w:rFonts w:ascii="Verdana" w:hAnsi="Verdana"/>
          <w:b w:val="0"/>
          <w:sz w:val="16"/>
          <w:szCs w:val="16"/>
          <w:shd w:val="clear" w:color="auto" w:fill="FFFFFF"/>
          <w:lang w:val="en-US"/>
        </w:rPr>
        <w:t>, para. 166.</w:t>
      </w:r>
    </w:p>
  </w:footnote>
  <w:footnote w:id="113">
    <w:p w14:paraId="6F93E25C" w14:textId="7F14A4A4" w:rsidR="0068647C" w:rsidRPr="000E696E" w:rsidRDefault="0068647C" w:rsidP="00186103">
      <w:pPr>
        <w:tabs>
          <w:tab w:val="left" w:pos="720"/>
        </w:tabs>
        <w:spacing w:after="60"/>
        <w:jc w:val="both"/>
        <w:rPr>
          <w:rFonts w:ascii="Verdana" w:hAnsi="Verdana"/>
          <w:i/>
          <w:spacing w:val="-4"/>
          <w:sz w:val="16"/>
          <w:szCs w:val="16"/>
          <w:lang w:val="en-US"/>
        </w:rPr>
      </w:pPr>
      <w:r w:rsidRPr="000E696E">
        <w:rPr>
          <w:rStyle w:val="Refdenotaalpie"/>
          <w:spacing w:val="-4"/>
          <w:sz w:val="16"/>
          <w:szCs w:val="16"/>
          <w:lang w:val="en-US"/>
        </w:rPr>
        <w:footnoteRef/>
      </w:r>
      <w:r w:rsidRPr="000E696E">
        <w:rPr>
          <w:rFonts w:ascii="Verdana" w:hAnsi="Verdana"/>
          <w:spacing w:val="-4"/>
          <w:sz w:val="16"/>
          <w:szCs w:val="16"/>
          <w:lang w:val="en-US"/>
        </w:rPr>
        <w:t xml:space="preserve"> </w:t>
      </w:r>
      <w:r w:rsidRPr="000E696E">
        <w:rPr>
          <w:rFonts w:ascii="Verdana" w:hAnsi="Verdana"/>
          <w:spacing w:val="-4"/>
          <w:sz w:val="16"/>
          <w:szCs w:val="16"/>
          <w:lang w:val="en-US"/>
        </w:rPr>
        <w:tab/>
      </w:r>
      <w:r w:rsidRPr="000E696E">
        <w:rPr>
          <w:rFonts w:ascii="Verdana" w:hAnsi="Verdana"/>
          <w:i/>
          <w:spacing w:val="-4"/>
          <w:sz w:val="16"/>
          <w:szCs w:val="16"/>
          <w:lang w:val="en-US"/>
        </w:rPr>
        <w:t>Cf.</w:t>
      </w:r>
      <w:r w:rsidRPr="000E696E">
        <w:rPr>
          <w:rFonts w:ascii="Verdana" w:hAnsi="Verdana"/>
          <w:spacing w:val="-4"/>
          <w:sz w:val="16"/>
          <w:szCs w:val="16"/>
          <w:lang w:val="en-US"/>
        </w:rPr>
        <w:t xml:space="preserve"> </w:t>
      </w:r>
      <w:r w:rsidRPr="000E696E">
        <w:rPr>
          <w:rFonts w:ascii="Verdana" w:hAnsi="Verdana"/>
          <w:i/>
          <w:spacing w:val="-4"/>
          <w:sz w:val="16"/>
          <w:szCs w:val="16"/>
          <w:lang w:val="en-US"/>
        </w:rPr>
        <w:t xml:space="preserve">Case of “The Last Temptation of Christ” (Olmedo Bustos et al.) v. Chile. Merits, reparations and costs. </w:t>
      </w:r>
      <w:r w:rsidRPr="000E696E">
        <w:rPr>
          <w:rFonts w:ascii="Verdana" w:hAnsi="Verdana"/>
          <w:spacing w:val="-4"/>
          <w:sz w:val="16"/>
          <w:szCs w:val="16"/>
          <w:lang w:val="en-US"/>
        </w:rPr>
        <w:t xml:space="preserve">Judgment of February 5, 2001. Series C No. 73 </w:t>
      </w:r>
      <w:r w:rsidRPr="000E696E">
        <w:rPr>
          <w:rFonts w:ascii="Verdana" w:hAnsi="Verdana"/>
          <w:i/>
          <w:sz w:val="16"/>
          <w:szCs w:val="16"/>
          <w:lang w:val="en-US"/>
        </w:rPr>
        <w:t>supra</w:t>
      </w:r>
      <w:r w:rsidRPr="000E696E">
        <w:rPr>
          <w:rFonts w:ascii="Verdana" w:hAnsi="Verdana"/>
          <w:sz w:val="16"/>
          <w:szCs w:val="16"/>
          <w:lang w:val="en-US"/>
        </w:rPr>
        <w:t xml:space="preserve">, para. 67, and </w:t>
      </w:r>
      <w:r w:rsidRPr="000E696E">
        <w:rPr>
          <w:rStyle w:val="Textoennegrita"/>
          <w:rFonts w:ascii="Verdana" w:hAnsi="Verdana"/>
          <w:b w:val="0"/>
          <w:i/>
          <w:sz w:val="16"/>
          <w:szCs w:val="16"/>
          <w:shd w:val="clear" w:color="auto" w:fill="FFFFFF"/>
          <w:lang w:val="en-US"/>
        </w:rPr>
        <w:t>Case of López Lone v. Honduras</w:t>
      </w:r>
      <w:r w:rsidRPr="000E696E">
        <w:rPr>
          <w:rStyle w:val="Textoennegrita"/>
          <w:rFonts w:ascii="Verdana" w:hAnsi="Verdana"/>
          <w:b w:val="0"/>
          <w:sz w:val="16"/>
          <w:szCs w:val="16"/>
          <w:shd w:val="clear" w:color="auto" w:fill="FFFFFF"/>
          <w:lang w:val="en-US"/>
        </w:rPr>
        <w:t xml:space="preserve">, </w:t>
      </w:r>
      <w:r w:rsidRPr="000E696E">
        <w:rPr>
          <w:rStyle w:val="Textoennegrita"/>
          <w:rFonts w:ascii="Verdana" w:hAnsi="Verdana"/>
          <w:b w:val="0"/>
          <w:i/>
          <w:sz w:val="16"/>
          <w:szCs w:val="16"/>
          <w:shd w:val="clear" w:color="auto" w:fill="FFFFFF"/>
          <w:lang w:val="en-US"/>
        </w:rPr>
        <w:t>supra</w:t>
      </w:r>
      <w:r w:rsidRPr="000E696E">
        <w:rPr>
          <w:rStyle w:val="Textoennegrita"/>
          <w:rFonts w:ascii="Verdana" w:hAnsi="Verdana"/>
          <w:b w:val="0"/>
          <w:sz w:val="16"/>
          <w:szCs w:val="16"/>
          <w:shd w:val="clear" w:color="auto" w:fill="FFFFFF"/>
          <w:lang w:val="en-US"/>
        </w:rPr>
        <w:t>, para.166</w:t>
      </w:r>
    </w:p>
  </w:footnote>
  <w:footnote w:id="114">
    <w:p w14:paraId="175FDA30" w14:textId="6D6A4420" w:rsidR="0068647C" w:rsidRPr="000E696E" w:rsidRDefault="0068647C" w:rsidP="00D61BD2">
      <w:pPr>
        <w:pStyle w:val="Textonotapie"/>
        <w:rPr>
          <w:spacing w:val="-4"/>
        </w:rPr>
      </w:pPr>
      <w:r w:rsidRPr="000E696E">
        <w:rPr>
          <w:rStyle w:val="Refdenotaalpie"/>
          <w:spacing w:val="-4"/>
          <w:sz w:val="16"/>
        </w:rPr>
        <w:footnoteRef/>
      </w:r>
      <w:r w:rsidRPr="000E696E">
        <w:rPr>
          <w:spacing w:val="-4"/>
        </w:rPr>
        <w:t xml:space="preserve"> </w:t>
      </w:r>
      <w:r w:rsidRPr="000E696E">
        <w:rPr>
          <w:spacing w:val="-4"/>
        </w:rPr>
        <w:tab/>
      </w:r>
      <w:r w:rsidRPr="000E696E">
        <w:rPr>
          <w:i/>
          <w:spacing w:val="-4"/>
        </w:rPr>
        <w:t>Cf.</w:t>
      </w:r>
      <w:r w:rsidRPr="000E696E">
        <w:rPr>
          <w:spacing w:val="-4"/>
        </w:rPr>
        <w:t xml:space="preserve"> </w:t>
      </w:r>
      <w:r w:rsidRPr="000E696E">
        <w:t>Case of “The Last Temptation of Christ” v. Chile, supra, para. 66, and Case of López Lone v. Honduras, supra, para. 166.</w:t>
      </w:r>
    </w:p>
  </w:footnote>
  <w:footnote w:id="115">
    <w:p w14:paraId="5342132A" w14:textId="2BB0EDA0" w:rsidR="0068647C" w:rsidRPr="000E696E" w:rsidRDefault="0068647C" w:rsidP="00D61BD2">
      <w:pPr>
        <w:pStyle w:val="Textonotapie"/>
      </w:pPr>
      <w:r w:rsidRPr="000E696E">
        <w:rPr>
          <w:rStyle w:val="Refdenotaalpie"/>
          <w:rFonts w:eastAsiaTheme="majorEastAsia"/>
          <w:spacing w:val="-4"/>
          <w:sz w:val="16"/>
        </w:rPr>
        <w:footnoteRef/>
      </w:r>
      <w:r w:rsidRPr="000E696E">
        <w:t xml:space="preserve"> </w:t>
      </w:r>
      <w:r w:rsidRPr="000E696E">
        <w:tab/>
      </w:r>
      <w:r w:rsidRPr="000E696E">
        <w:rPr>
          <w:i/>
          <w:iCs/>
        </w:rPr>
        <w:t xml:space="preserve">Cf. Compulsory Membership of an Association Prescribed by Law for the Practice of Journalism, </w:t>
      </w:r>
      <w:r w:rsidRPr="000E696E">
        <w:rPr>
          <w:spacing w:val="-4"/>
        </w:rPr>
        <w:t>OC-5/85,</w:t>
      </w:r>
      <w:r w:rsidRPr="000E696E">
        <w:t xml:space="preserve"> supra, para. 30, and </w:t>
      </w:r>
      <w:r w:rsidRPr="000E696E">
        <w:rPr>
          <w:i/>
          <w:iCs/>
        </w:rPr>
        <w:t>Case of López Lone v. Honduras, supra,</w:t>
      </w:r>
      <w:r w:rsidRPr="000E696E">
        <w:t xml:space="preserve"> para. 166.</w:t>
      </w:r>
    </w:p>
  </w:footnote>
  <w:footnote w:id="116">
    <w:p w14:paraId="28E62726" w14:textId="06EFD244"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iCs/>
        </w:rPr>
        <w:t xml:space="preserve">Case of Tristán Donoso v. Panama. Preliminary objections, merits, reparations and costs. </w:t>
      </w:r>
      <w:r w:rsidRPr="000E696E">
        <w:t xml:space="preserve">Judgment of January 27, 2009. Series C No. 193, para. 114, and </w:t>
      </w:r>
      <w:r w:rsidRPr="000E696E">
        <w:rPr>
          <w:i/>
          <w:iCs/>
        </w:rPr>
        <w:t>Case of López Lone v, Honduras, supra,</w:t>
      </w:r>
      <w:r w:rsidRPr="000E696E">
        <w:t xml:space="preserve"> para. 169. </w:t>
      </w:r>
    </w:p>
  </w:footnote>
  <w:footnote w:id="117">
    <w:p w14:paraId="202DA394" w14:textId="7F61AE52"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iCs/>
        </w:rPr>
        <w:t xml:space="preserve">Compulsory Membership of an Association Prescribed by Law for the Practice of Journalism, OC-5/85, supra, </w:t>
      </w:r>
      <w:r w:rsidRPr="000E696E">
        <w:t>para. 70, and</w:t>
      </w:r>
      <w:r w:rsidRPr="000E696E">
        <w:rPr>
          <w:i/>
          <w:iCs/>
        </w:rPr>
        <w:t xml:space="preserve"> Cf. Case of Granier et al. (Radio Caracas Televisión) v. Venezuela. Preliminary objections, merits, reparations and costs</w:t>
      </w:r>
      <w:r w:rsidRPr="000E696E">
        <w:t xml:space="preserve">. Judgment of June 22, 2015. Series C No. 293, para. 22. Also, Articles 3 and 4 of the Inter-American Democratic Charter emphasize that “[e]ssential elements of representative democracy include […] respect for social rights, and freedom of expression and of the press.” </w:t>
      </w:r>
      <w:r w:rsidRPr="004204B2">
        <w:rPr>
          <w:i/>
          <w:iCs/>
          <w:lang w:val="es-CR"/>
        </w:rPr>
        <w:t xml:space="preserve">Cf. Case of López </w:t>
      </w:r>
      <w:r w:rsidRPr="004204B2">
        <w:rPr>
          <w:i/>
          <w:iCs/>
          <w:lang w:val="es-CR"/>
        </w:rPr>
        <w:t>Lone et al. v. Honduras, supra</w:t>
      </w:r>
      <w:r w:rsidRPr="004204B2">
        <w:rPr>
          <w:lang w:val="es-CR"/>
        </w:rPr>
        <w:t xml:space="preserve">, para. </w:t>
      </w:r>
      <w:r w:rsidRPr="000E696E">
        <w:t>164.</w:t>
      </w:r>
    </w:p>
  </w:footnote>
  <w:footnote w:id="118">
    <w:p w14:paraId="2757194A" w14:textId="1A1136A4" w:rsidR="0068647C" w:rsidRPr="000E696E" w:rsidRDefault="0068647C" w:rsidP="00AA1EBF">
      <w:pPr>
        <w:autoSpaceDE w:val="0"/>
        <w:autoSpaceDN w:val="0"/>
        <w:adjustRightInd w:val="0"/>
        <w:spacing w:after="60"/>
        <w:jc w:val="both"/>
        <w:rPr>
          <w:rFonts w:ascii="Verdana" w:hAnsi="Verdana" w:cs="Cambri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 xml:space="preserve">The European Court of Human Rights has recognized in its case law that the </w:t>
      </w:r>
      <w:r w:rsidRPr="000E696E">
        <w:rPr>
          <w:rFonts w:ascii="Verdana" w:hAnsi="Verdana" w:cs="Cambria"/>
          <w:sz w:val="16"/>
          <w:szCs w:val="16"/>
          <w:lang w:val="en-US"/>
        </w:rPr>
        <w:t>right to freedom of expression protects the right of “members of a trade union […] to express their demands by which they seek to improve the situation of workers in their company.” According to the European Court, the freedom of expression of labor unions and their leaders is an essential means of action, without which they would lose their effectiveness and purpose. ECHR</w:t>
      </w:r>
      <w:r w:rsidRPr="000E696E">
        <w:rPr>
          <w:rFonts w:ascii="Verdana" w:hAnsi="Verdana" w:cs="Cambria"/>
          <w:i/>
          <w:sz w:val="16"/>
          <w:szCs w:val="16"/>
          <w:lang w:val="en-US"/>
        </w:rPr>
        <w:t>,</w:t>
      </w:r>
      <w:r w:rsidRPr="000E696E">
        <w:rPr>
          <w:rFonts w:ascii="Verdana" w:hAnsi="Verdana" w:cs="Cambria"/>
          <w:sz w:val="16"/>
          <w:szCs w:val="16"/>
          <w:lang w:val="en-US"/>
        </w:rPr>
        <w:t xml:space="preserve"> </w:t>
      </w:r>
      <w:r w:rsidRPr="000E696E">
        <w:rPr>
          <w:rFonts w:ascii="Verdana" w:hAnsi="Verdana"/>
          <w:i/>
          <w:sz w:val="16"/>
          <w:szCs w:val="16"/>
          <w:lang w:val="en-US"/>
        </w:rPr>
        <w:t>Case of Vereinigung Demokratischer Soldaten Österreichs and Berthold Gubi v. Austria</w:t>
      </w:r>
      <w:r w:rsidRPr="000E696E">
        <w:rPr>
          <w:rFonts w:ascii="Verdana" w:hAnsi="Verdana"/>
          <w:sz w:val="16"/>
          <w:szCs w:val="16"/>
          <w:lang w:val="en-US"/>
        </w:rPr>
        <w:t>, No. 15153/89. Judgment of December 19, 1994 and ECHR,</w:t>
      </w:r>
      <w:r w:rsidRPr="000E696E">
        <w:rPr>
          <w:rFonts w:ascii="Verdana" w:hAnsi="Verdana"/>
          <w:i/>
          <w:sz w:val="16"/>
          <w:szCs w:val="16"/>
          <w:lang w:val="en-US"/>
        </w:rPr>
        <w:t xml:space="preserve"> Case of Palomo Sánchez and Others v. Spain,</w:t>
      </w:r>
      <w:r w:rsidRPr="000E696E">
        <w:rPr>
          <w:rFonts w:ascii="Verdana" w:hAnsi="Verdana"/>
          <w:sz w:val="16"/>
          <w:szCs w:val="16"/>
          <w:lang w:val="en-US"/>
        </w:rPr>
        <w:t xml:space="preserve"> </w:t>
      </w:r>
      <w:r w:rsidRPr="000E696E">
        <w:rPr>
          <w:rFonts w:ascii="Verdana" w:hAnsi="Verdana"/>
          <w:i/>
          <w:sz w:val="16"/>
          <w:szCs w:val="16"/>
          <w:lang w:val="en-US"/>
        </w:rPr>
        <w:t>[GS]</w:t>
      </w:r>
      <w:r w:rsidRPr="000E696E">
        <w:rPr>
          <w:rFonts w:ascii="Verdana" w:hAnsi="Verdana"/>
          <w:sz w:val="16"/>
          <w:szCs w:val="16"/>
          <w:lang w:val="en-US"/>
        </w:rPr>
        <w:t xml:space="preserve"> No. 28955/06, 28957/06, 28959/06 and 28964/06. Judgment of September 12, 2011, para. 56.</w:t>
      </w:r>
    </w:p>
  </w:footnote>
  <w:footnote w:id="119">
    <w:p w14:paraId="50B97950" w14:textId="254C3D06" w:rsidR="0068647C" w:rsidRPr="000E696E" w:rsidRDefault="0068647C" w:rsidP="00D61BD2">
      <w:pPr>
        <w:pStyle w:val="Textonotapie"/>
      </w:pPr>
      <w:r w:rsidRPr="000E696E">
        <w:rPr>
          <w:rStyle w:val="Refdenotaalpie"/>
          <w:rFonts w:eastAsia="MS Gothic"/>
          <w:sz w:val="16"/>
        </w:rPr>
        <w:footnoteRef/>
      </w:r>
      <w:r w:rsidRPr="000E696E">
        <w:t xml:space="preserve"> </w:t>
      </w:r>
      <w:r w:rsidRPr="000E696E">
        <w:tab/>
      </w:r>
      <w:r w:rsidRPr="000E696E">
        <w:rPr>
          <w:i/>
          <w:iCs/>
        </w:rPr>
        <w:t xml:space="preserve">Cf. Case of Velásquez Rodríguez v. Honduras. Merits, supra, </w:t>
      </w:r>
      <w:r w:rsidRPr="000E696E">
        <w:t>para. 166, and</w:t>
      </w:r>
      <w:r w:rsidRPr="000E696E">
        <w:rPr>
          <w:i/>
          <w:iCs/>
        </w:rPr>
        <w:t xml:space="preserve"> Case of Vásquez Durand et al. v. Ecuador. Preliminary objections, merits, reparations and costs</w:t>
      </w:r>
      <w:r w:rsidRPr="000E696E">
        <w:t>. Judgment of February 15, 2017. Series C. No. 332, para. 141.</w:t>
      </w:r>
    </w:p>
  </w:footnote>
  <w:footnote w:id="120">
    <w:p w14:paraId="1751CC30" w14:textId="09FC09D6"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iCs/>
        </w:rPr>
        <w:t xml:space="preserve">Compulsory Membership of an Association Prescribed by Law for the Practice of Journalism, OC-5/85, supra, </w:t>
      </w:r>
      <w:r w:rsidRPr="000E696E">
        <w:t>para. 56, and</w:t>
      </w:r>
      <w:r w:rsidRPr="000E696E">
        <w:rPr>
          <w:i/>
          <w:iCs/>
        </w:rPr>
        <w:t xml:space="preserve"> Cf. Case of Granier et al. v. Venezuela, supra</w:t>
      </w:r>
      <w:r w:rsidRPr="000E696E">
        <w:t>, para. 143.</w:t>
      </w:r>
    </w:p>
  </w:footnote>
  <w:footnote w:id="121">
    <w:p w14:paraId="11E919D1" w14:textId="3E083012"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iCs/>
        </w:rPr>
        <w:t xml:space="preserve">Cf. Case of Ríos et al. v. Venezuela. Preliminary objections, merits, reparations and costs. </w:t>
      </w:r>
      <w:r w:rsidRPr="000E696E">
        <w:t xml:space="preserve">Judgment of January 28, 2009. Series C No. 194, para. 107; </w:t>
      </w:r>
      <w:r w:rsidRPr="000E696E">
        <w:rPr>
          <w:i/>
          <w:iCs/>
        </w:rPr>
        <w:t>Case of Perozo et al. v. Venezuela. Preliminary objections, merits, reparations</w:t>
      </w:r>
      <w:r w:rsidRPr="000E696E">
        <w:t xml:space="preserve"> </w:t>
      </w:r>
      <w:r w:rsidRPr="000E696E">
        <w:rPr>
          <w:i/>
          <w:iCs/>
        </w:rPr>
        <w:t>and costs.</w:t>
      </w:r>
      <w:r w:rsidRPr="000E696E">
        <w:t xml:space="preserve"> Judgment of January 28, 2009. Series C No. 195, para. 118;</w:t>
      </w:r>
      <w:r w:rsidRPr="000E696E">
        <w:rPr>
          <w:i/>
          <w:iCs/>
        </w:rPr>
        <w:t xml:space="preserve"> Case of Manuel Cepeda Vargas v. Colombia. Preliminary objections, merits, reparations and costs.</w:t>
      </w:r>
      <w:r w:rsidRPr="000E696E">
        <w:t xml:space="preserve"> Judgment of May 26, 2010, para. 172. Similarly, ECHR, </w:t>
      </w:r>
      <w:r w:rsidRPr="000E696E">
        <w:rPr>
          <w:i/>
          <w:iCs/>
        </w:rPr>
        <w:t xml:space="preserve">Case of Palomo Sánchez and Others v. Spain [GS], supra, </w:t>
      </w:r>
      <w:r w:rsidRPr="000E696E">
        <w:t xml:space="preserve">para. 59; </w:t>
      </w:r>
      <w:r w:rsidRPr="000E696E">
        <w:rPr>
          <w:i/>
          <w:iCs/>
        </w:rPr>
        <w:t>Case of Fuentes Bobo  v. Spain,</w:t>
      </w:r>
      <w:r w:rsidRPr="000E696E">
        <w:t xml:space="preserve"> No. 39293/98. Judgment of February 29, 2000, para. 38; </w:t>
      </w:r>
      <w:r w:rsidRPr="000E696E">
        <w:rPr>
          <w:i/>
          <w:iCs/>
        </w:rPr>
        <w:t>Case of Özgür Gündem v. Turkey,</w:t>
      </w:r>
      <w:r w:rsidRPr="000E696E">
        <w:t xml:space="preserve"> No. 23144/1993. Judgment of March 16, 2000, paras. 43 to 50, and </w:t>
      </w:r>
      <w:r w:rsidRPr="000E696E">
        <w:rPr>
          <w:i/>
          <w:iCs/>
        </w:rPr>
        <w:t>Case of Dink et al. v. Turkey,</w:t>
      </w:r>
      <w:r w:rsidRPr="000E696E">
        <w:t xml:space="preserve"> No. 2668/2007, 6102/2008, 30079/2008, 7072/2009 and 7124/2009. Judgment of September 14, 2010, para. 106.</w:t>
      </w:r>
    </w:p>
  </w:footnote>
  <w:footnote w:id="122">
    <w:p w14:paraId="7365D22F" w14:textId="4E38E8FB" w:rsidR="0068647C" w:rsidRPr="000E696E" w:rsidRDefault="0068647C" w:rsidP="00D61BD2">
      <w:pPr>
        <w:pStyle w:val="Textonotapie"/>
        <w:rPr>
          <w:shd w:val="clear" w:color="auto" w:fill="FFFFFF"/>
        </w:rPr>
      </w:pPr>
      <w:r w:rsidRPr="000E696E">
        <w:rPr>
          <w:rStyle w:val="Refdenotaalpie"/>
          <w:sz w:val="16"/>
        </w:rPr>
        <w:footnoteRef/>
      </w:r>
      <w:r w:rsidRPr="000E696E">
        <w:t xml:space="preserve"> </w:t>
      </w:r>
      <w:r w:rsidRPr="000E696E">
        <w:tab/>
      </w:r>
      <w:r w:rsidRPr="000E696E">
        <w:rPr>
          <w:i/>
          <w:iCs/>
        </w:rPr>
        <w:t xml:space="preserve">Cf. ECHR, Case of Fuentes Bobo v. Spain, supra, </w:t>
      </w:r>
      <w:r w:rsidRPr="000E696E">
        <w:t>para. 38,</w:t>
      </w:r>
      <w:r w:rsidRPr="000E696E">
        <w:rPr>
          <w:i/>
          <w:iCs/>
        </w:rPr>
        <w:t xml:space="preserve"> </w:t>
      </w:r>
      <w:r w:rsidRPr="000E696E">
        <w:rPr>
          <w:i/>
          <w:iCs/>
          <w:shd w:val="clear" w:color="auto" w:fill="FFFFFF"/>
        </w:rPr>
        <w:t xml:space="preserve">mutatis mutandis, Case of Schmidt and Dahlström v. Sweden, </w:t>
      </w:r>
      <w:r w:rsidRPr="000E696E">
        <w:rPr>
          <w:shd w:val="clear" w:color="auto" w:fill="FFFFFF"/>
        </w:rPr>
        <w:t>No. 5589/72, Judgment of February 6, 1976, para. 33.</w:t>
      </w:r>
    </w:p>
  </w:footnote>
  <w:footnote w:id="123">
    <w:p w14:paraId="58F7B4F2" w14:textId="7E53EE3F"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rPr>
        <w:t>Cf.</w:t>
      </w:r>
      <w:r w:rsidRPr="000E696E">
        <w:t xml:space="preserve"> ECHR, </w:t>
      </w:r>
      <w:r w:rsidRPr="000E696E">
        <w:rPr>
          <w:i/>
        </w:rPr>
        <w:t>Case of Khurshid Mustafa and Tarzibachi v. Sweden</w:t>
      </w:r>
      <w:r w:rsidRPr="000E696E">
        <w:t xml:space="preserve">, No. 23883/06. Judgment of December 16, 2008, para. 34, and </w:t>
      </w:r>
      <w:r w:rsidRPr="000E696E">
        <w:rPr>
          <w:i/>
        </w:rPr>
        <w:t>Case of Remuszko v. Poland</w:t>
      </w:r>
      <w:r w:rsidRPr="000E696E">
        <w:t>, No. 1562/10. Judgment of July 16, 2013, para. 83.</w:t>
      </w:r>
    </w:p>
  </w:footnote>
  <w:footnote w:id="124">
    <w:p w14:paraId="7C849B43" w14:textId="002EA862" w:rsidR="0068647C" w:rsidRPr="000E696E" w:rsidRDefault="0068647C" w:rsidP="00622991">
      <w:pPr>
        <w:pStyle w:val="Prrafodelista"/>
        <w:shd w:val="clear" w:color="auto" w:fill="FFFFFF"/>
        <w:autoSpaceDE w:val="0"/>
        <w:autoSpaceDN w:val="0"/>
        <w:adjustRightInd w:val="0"/>
        <w:spacing w:after="60"/>
        <w:ind w:left="0"/>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i/>
          <w:sz w:val="16"/>
          <w:szCs w:val="16"/>
          <w:lang w:val="en-US"/>
        </w:rPr>
        <w:t>Cf.</w:t>
      </w:r>
      <w:r w:rsidRPr="000E696E">
        <w:rPr>
          <w:rFonts w:ascii="Verdana" w:hAnsi="Verdana"/>
          <w:sz w:val="16"/>
          <w:szCs w:val="16"/>
          <w:lang w:val="en-US"/>
        </w:rPr>
        <w:t xml:space="preserve"> ECHR, </w:t>
      </w:r>
      <w:r w:rsidRPr="000E696E">
        <w:rPr>
          <w:rFonts w:ascii="Verdana" w:hAnsi="Verdana"/>
          <w:i/>
          <w:sz w:val="16"/>
          <w:szCs w:val="16"/>
          <w:lang w:val="en-US"/>
        </w:rPr>
        <w:t>Case of Csánics v. Hungary</w:t>
      </w:r>
      <w:r w:rsidRPr="000E696E">
        <w:rPr>
          <w:rFonts w:ascii="Verdana" w:hAnsi="Verdana"/>
          <w:sz w:val="16"/>
          <w:szCs w:val="16"/>
          <w:lang w:val="en-US"/>
        </w:rPr>
        <w:t>, No. 12188/06. Judgment of January 20, 2009, para. 441.</w:t>
      </w:r>
    </w:p>
  </w:footnote>
  <w:footnote w:id="125">
    <w:p w14:paraId="164E6726" w14:textId="70FD4B5A"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rPr>
        <w:t>Cf.</w:t>
      </w:r>
      <w:r w:rsidRPr="000E696E">
        <w:t xml:space="preserve"> ECHR, </w:t>
      </w:r>
      <w:r w:rsidRPr="000E696E">
        <w:rPr>
          <w:i/>
          <w:iCs/>
        </w:rPr>
        <w:t>Case of Palomo Sánchez and Others v. Spain [GS], supra</w:t>
      </w:r>
      <w:r w:rsidRPr="000E696E">
        <w:t xml:space="preserve">, para. 61. </w:t>
      </w:r>
    </w:p>
  </w:footnote>
  <w:footnote w:id="126">
    <w:p w14:paraId="37FAF7E9" w14:textId="0F3DB73A"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iCs/>
        </w:rPr>
        <w:t xml:space="preserve">Cf. Case of Herrera Ulloa v. Costa Rica. Preliminary objections, merits, reparations and costs. </w:t>
      </w:r>
      <w:r w:rsidRPr="000E696E">
        <w:t>Judgment of July 2, 2004. Series C No. 107, para. 120, and Case</w:t>
      </w:r>
      <w:r w:rsidRPr="000E696E">
        <w:rPr>
          <w:i/>
          <w:iCs/>
        </w:rPr>
        <w:t xml:space="preserve"> of Tristán Donoso v. Panama, supra</w:t>
      </w:r>
      <w:r w:rsidRPr="000E696E">
        <w:t>, para. 110.</w:t>
      </w:r>
    </w:p>
  </w:footnote>
  <w:footnote w:id="127">
    <w:p w14:paraId="32056BA1" w14:textId="7E535B4D" w:rsidR="0068647C" w:rsidRPr="000E696E" w:rsidRDefault="0068647C" w:rsidP="00D61BD2">
      <w:pPr>
        <w:pStyle w:val="Textonotapie"/>
      </w:pPr>
      <w:r w:rsidRPr="000E696E">
        <w:rPr>
          <w:rStyle w:val="Refdenotaalpie"/>
          <w:i/>
          <w:iCs/>
          <w:sz w:val="16"/>
        </w:rPr>
        <w:footnoteRef/>
      </w:r>
      <w:r w:rsidRPr="000E696E">
        <w:t xml:space="preserve"> </w:t>
      </w:r>
      <w:r w:rsidRPr="000E696E">
        <w:tab/>
      </w:r>
      <w:r w:rsidRPr="000E696E">
        <w:rPr>
          <w:i/>
          <w:iCs/>
        </w:rPr>
        <w:t>Case of Mémoli v. Argentina. Preliminary objections, merits, reparations and costs.</w:t>
      </w:r>
      <w:r w:rsidRPr="000E696E">
        <w:t xml:space="preserve"> Judgment of August 22, 2013. Series C No. 265, para. 123. </w:t>
      </w:r>
    </w:p>
  </w:footnote>
  <w:footnote w:id="128">
    <w:p w14:paraId="14FECBFE" w14:textId="3AA7A047" w:rsidR="0068647C" w:rsidRPr="000E696E" w:rsidRDefault="0068647C" w:rsidP="00D61BD2">
      <w:pPr>
        <w:pStyle w:val="Textonotapie"/>
      </w:pPr>
      <w:r w:rsidRPr="000E696E">
        <w:rPr>
          <w:rStyle w:val="Refdenotaalpie"/>
          <w:i/>
          <w:iCs/>
          <w:spacing w:val="-2"/>
          <w:sz w:val="16"/>
        </w:rPr>
        <w:footnoteRef/>
      </w:r>
      <w:r w:rsidRPr="000E696E">
        <w:t xml:space="preserve"> </w:t>
      </w:r>
      <w:r w:rsidRPr="000E696E">
        <w:tab/>
      </w:r>
      <w:r w:rsidRPr="000E696E">
        <w:rPr>
          <w:i/>
          <w:iCs/>
        </w:rPr>
        <w:t>Case of Tristán Donoso v. Panama, supra,</w:t>
      </w:r>
      <w:r w:rsidRPr="000E696E">
        <w:t xml:space="preserve"> para. 57, and</w:t>
      </w:r>
      <w:r w:rsidRPr="000E696E">
        <w:rPr>
          <w:i/>
          <w:iCs/>
        </w:rPr>
        <w:t xml:space="preserve"> Case of the Santo Domingo Massacres v. Colombia, supra,</w:t>
      </w:r>
      <w:r w:rsidRPr="000E696E">
        <w:t xml:space="preserve"> para. 286.</w:t>
      </w:r>
    </w:p>
  </w:footnote>
  <w:footnote w:id="129">
    <w:p w14:paraId="0DE49436" w14:textId="326B0BB6" w:rsidR="0068647C" w:rsidRPr="000E696E" w:rsidRDefault="0068647C" w:rsidP="00D61BD2">
      <w:pPr>
        <w:pStyle w:val="Textonotapie"/>
      </w:pPr>
      <w:r w:rsidRPr="000E696E">
        <w:rPr>
          <w:rStyle w:val="Refdenotaalpie"/>
          <w:i/>
          <w:iCs/>
          <w:spacing w:val="-2"/>
          <w:sz w:val="16"/>
        </w:rPr>
        <w:footnoteRef/>
      </w:r>
      <w:r w:rsidRPr="000E696E">
        <w:t xml:space="preserve">  </w:t>
      </w:r>
      <w:r w:rsidRPr="000E696E">
        <w:tab/>
      </w:r>
      <w:r w:rsidRPr="000E696E">
        <w:rPr>
          <w:i/>
          <w:iCs/>
        </w:rPr>
        <w:t xml:space="preserve">Cf. Case of Kimel v. Argentina. Merits, reparations and costs. </w:t>
      </w:r>
      <w:r w:rsidRPr="000E696E">
        <w:t>Judgment of May 2, 2008. Series C No. 177 para. 51, and</w:t>
      </w:r>
      <w:r w:rsidRPr="000E696E">
        <w:rPr>
          <w:i/>
          <w:iCs/>
        </w:rPr>
        <w:t xml:space="preserve"> Case of Mémoli v. Argentina, supra,</w:t>
      </w:r>
      <w:r w:rsidRPr="000E696E">
        <w:t xml:space="preserve"> para. 127.</w:t>
      </w:r>
    </w:p>
  </w:footnote>
  <w:footnote w:id="130">
    <w:p w14:paraId="1516934B" w14:textId="3B1FC180" w:rsidR="0068647C" w:rsidRPr="000E696E" w:rsidRDefault="0068647C" w:rsidP="00D61BD2">
      <w:pPr>
        <w:pStyle w:val="Textonotapie"/>
      </w:pPr>
      <w:r w:rsidRPr="000E696E">
        <w:rPr>
          <w:rStyle w:val="Refdenotaalpie"/>
          <w:i/>
          <w:iCs/>
          <w:sz w:val="16"/>
        </w:rPr>
        <w:footnoteRef/>
      </w:r>
      <w:r w:rsidRPr="000E696E">
        <w:t xml:space="preserve"> </w:t>
      </w:r>
      <w:r w:rsidRPr="000E696E">
        <w:tab/>
      </w:r>
      <w:r w:rsidRPr="000E696E">
        <w:rPr>
          <w:i/>
          <w:iCs/>
        </w:rPr>
        <w:t xml:space="preserve">Cf. Case of Kimel v. Argentina, supra, </w:t>
      </w:r>
      <w:r w:rsidRPr="000E696E">
        <w:t>para. 75, and</w:t>
      </w:r>
      <w:r w:rsidRPr="000E696E">
        <w:rPr>
          <w:i/>
          <w:iCs/>
        </w:rPr>
        <w:t xml:space="preserve"> Case of Mémoli v. Argentina, supra</w:t>
      </w:r>
      <w:r w:rsidRPr="000E696E">
        <w:t xml:space="preserve">, para. 127. </w:t>
      </w:r>
    </w:p>
  </w:footnote>
  <w:footnote w:id="131">
    <w:p w14:paraId="1E1D5627" w14:textId="14861EB3" w:rsidR="0068647C" w:rsidRPr="000E696E" w:rsidRDefault="0068647C" w:rsidP="00D61BD2">
      <w:pPr>
        <w:pStyle w:val="Textonotapie"/>
      </w:pPr>
      <w:r w:rsidRPr="000E696E">
        <w:rPr>
          <w:rStyle w:val="Refdenotaalpie"/>
          <w:i/>
          <w:iCs/>
          <w:spacing w:val="-2"/>
          <w:sz w:val="16"/>
        </w:rPr>
        <w:footnoteRef/>
      </w:r>
      <w:r w:rsidRPr="000E696E">
        <w:t xml:space="preserve"> </w:t>
      </w:r>
      <w:r w:rsidRPr="000E696E">
        <w:tab/>
      </w:r>
      <w:r w:rsidRPr="000E696E">
        <w:rPr>
          <w:i/>
          <w:iCs/>
        </w:rPr>
        <w:t xml:space="preserve">Cf. Case of Kimel v. Argentina, supra, </w:t>
      </w:r>
      <w:r w:rsidRPr="000E696E">
        <w:t>para. 51, and</w:t>
      </w:r>
      <w:r w:rsidRPr="000E696E">
        <w:rPr>
          <w:i/>
          <w:iCs/>
        </w:rPr>
        <w:t xml:space="preserve"> Case of Granier et al. v. Venezuela, supra</w:t>
      </w:r>
      <w:r w:rsidRPr="000E696E">
        <w:t>, para. 144.</w:t>
      </w:r>
    </w:p>
  </w:footnote>
  <w:footnote w:id="132">
    <w:p w14:paraId="667EC898" w14:textId="5DE6D397" w:rsidR="0068647C" w:rsidRPr="000E696E" w:rsidRDefault="0068647C" w:rsidP="00D61BD2">
      <w:pPr>
        <w:pStyle w:val="Textonotapie"/>
      </w:pPr>
      <w:r w:rsidRPr="000E696E">
        <w:rPr>
          <w:rStyle w:val="Refdenotaalpie"/>
          <w:spacing w:val="-2"/>
          <w:sz w:val="16"/>
        </w:rPr>
        <w:footnoteRef/>
      </w:r>
      <w:r w:rsidRPr="000E696E">
        <w:t xml:space="preserve"> </w:t>
      </w:r>
      <w:r w:rsidRPr="000E696E">
        <w:tab/>
      </w:r>
      <w:r w:rsidRPr="000E696E">
        <w:rPr>
          <w:i/>
          <w:iCs/>
        </w:rPr>
        <w:t>Cf. The Word “Law” in Article 30 of the American Convention on Human Rights.</w:t>
      </w:r>
      <w:r w:rsidRPr="000E696E">
        <w:t xml:space="preserve"> Advisory Opinion OC-6/86 of May 9, 1986. Series A No. 6, paras. 35 and 37.</w:t>
      </w:r>
    </w:p>
  </w:footnote>
  <w:footnote w:id="133">
    <w:p w14:paraId="28E2526D" w14:textId="4C23BB98" w:rsidR="0068647C" w:rsidRPr="000E696E" w:rsidRDefault="0068647C" w:rsidP="00D61BD2">
      <w:pPr>
        <w:pStyle w:val="Textonotapie"/>
      </w:pPr>
      <w:r w:rsidRPr="000E696E">
        <w:rPr>
          <w:rStyle w:val="Refdenotaalpie"/>
          <w:spacing w:val="-2"/>
          <w:sz w:val="16"/>
        </w:rPr>
        <w:footnoteRef/>
      </w:r>
      <w:r w:rsidRPr="004204B2">
        <w:rPr>
          <w:lang w:val="es-CR"/>
        </w:rPr>
        <w:t xml:space="preserve"> </w:t>
      </w:r>
      <w:r w:rsidRPr="004204B2">
        <w:rPr>
          <w:lang w:val="es-CR"/>
        </w:rPr>
        <w:tab/>
      </w:r>
      <w:r w:rsidRPr="004204B2">
        <w:rPr>
          <w:i/>
          <w:iCs/>
          <w:lang w:val="es-CR"/>
        </w:rPr>
        <w:t xml:space="preserve">Cf. Case of Tristán Donoso v. </w:t>
      </w:r>
      <w:r w:rsidRPr="004204B2">
        <w:rPr>
          <w:i/>
          <w:iCs/>
          <w:lang w:val="es-CR"/>
        </w:rPr>
        <w:t>Panama, supra,</w:t>
      </w:r>
      <w:r w:rsidRPr="004204B2">
        <w:rPr>
          <w:lang w:val="es-CR"/>
        </w:rPr>
        <w:t xml:space="preserve"> para. </w:t>
      </w:r>
      <w:r w:rsidRPr="000E696E">
        <w:t>56</w:t>
      </w:r>
      <w:r w:rsidRPr="000E696E">
        <w:rPr>
          <w:color w:val="000000"/>
        </w:rPr>
        <w:t xml:space="preserve"> and </w:t>
      </w:r>
      <w:r w:rsidRPr="000E696E">
        <w:rPr>
          <w:rStyle w:val="Textoennegrita"/>
          <w:b w:val="0"/>
          <w:i/>
          <w:shd w:val="clear" w:color="auto" w:fill="FFFFFF"/>
        </w:rPr>
        <w:t>Case of López Lone v. Honduras</w:t>
      </w:r>
      <w:r w:rsidRPr="000E696E">
        <w:rPr>
          <w:rStyle w:val="Textoennegrita"/>
          <w:b w:val="0"/>
          <w:shd w:val="clear" w:color="auto" w:fill="FFFFFF"/>
        </w:rPr>
        <w:t xml:space="preserve">, </w:t>
      </w:r>
      <w:r w:rsidRPr="000E696E">
        <w:rPr>
          <w:rStyle w:val="Textoennegrita"/>
          <w:b w:val="0"/>
          <w:i/>
          <w:shd w:val="clear" w:color="auto" w:fill="FFFFFF"/>
        </w:rPr>
        <w:t>supra</w:t>
      </w:r>
      <w:r w:rsidRPr="000E696E">
        <w:rPr>
          <w:rStyle w:val="Textoennegrita"/>
          <w:b w:val="0"/>
          <w:shd w:val="clear" w:color="auto" w:fill="FFFFFF"/>
        </w:rPr>
        <w:t>, para. 168.</w:t>
      </w:r>
      <w:r w:rsidRPr="000E696E" w:rsidDel="004E3685">
        <w:t xml:space="preserve"> </w:t>
      </w:r>
    </w:p>
  </w:footnote>
  <w:footnote w:id="134">
    <w:p w14:paraId="3DC6BC1A" w14:textId="702E53AB"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iCs/>
        </w:rPr>
        <w:t>Cf. Case of Kimel v. Argentina, supra,</w:t>
      </w:r>
      <w:r w:rsidRPr="000E696E">
        <w:t xml:space="preserve"> para. 51, and </w:t>
      </w:r>
      <w:r w:rsidRPr="000E696E">
        <w:rPr>
          <w:i/>
          <w:iCs/>
        </w:rPr>
        <w:t>Case of Mémoli v. Argentina, supra</w:t>
      </w:r>
      <w:r w:rsidRPr="000E696E">
        <w:t xml:space="preserve">, para. 127. </w:t>
      </w:r>
    </w:p>
  </w:footnote>
  <w:footnote w:id="135">
    <w:p w14:paraId="5837F231" w14:textId="650FEF0D" w:rsidR="0068647C" w:rsidRPr="000E696E" w:rsidRDefault="0068647C" w:rsidP="00D61BD2">
      <w:pPr>
        <w:pStyle w:val="Textonotapie"/>
        <w:rPr>
          <w:i/>
        </w:rPr>
      </w:pPr>
      <w:r w:rsidRPr="000E696E">
        <w:rPr>
          <w:rStyle w:val="Refdenotaalpie"/>
          <w:sz w:val="16"/>
        </w:rPr>
        <w:footnoteRef/>
      </w:r>
      <w:r w:rsidRPr="000E696E">
        <w:t xml:space="preserve"> </w:t>
      </w:r>
      <w:r w:rsidRPr="000E696E">
        <w:tab/>
        <w:t xml:space="preserve">Article 30 of the American Convention (on the scope of restrictions), indicates that the permitted restrictions “may not be applied except in accordance with laws enacted for reasons of general interest and in accordance with the purpose for which such restrictions have been established.” </w:t>
      </w:r>
      <w:r w:rsidRPr="000E696E">
        <w:rPr>
          <w:i/>
        </w:rPr>
        <w:t xml:space="preserve">Cf. The Word “Laws” in Article 30 of the American Convention on Human Rights OC-6/86, supra, </w:t>
      </w:r>
      <w:r w:rsidRPr="000E696E">
        <w:t xml:space="preserve">para. 38. Also, Article 32 of this instrument establishes the relationship between duties and rights, indicating that the rights of each person are limited by the rights of others […]. </w:t>
      </w:r>
      <w:r w:rsidRPr="000E696E">
        <w:rPr>
          <w:i/>
        </w:rPr>
        <w:t>Cf. Compulsory Membership of an Association Prescribed by Law for the Practice of Journalism OC-5/85, supra,</w:t>
      </w:r>
      <w:r w:rsidRPr="000E696E">
        <w:t xml:space="preserve"> para. 65. </w:t>
      </w:r>
    </w:p>
  </w:footnote>
  <w:footnote w:id="136">
    <w:p w14:paraId="734C8A3C" w14:textId="114FB703"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iCs/>
        </w:rPr>
        <w:t>Cf. Case of Mémoli v. Argentina, supra,</w:t>
      </w:r>
      <w:r w:rsidRPr="000E696E">
        <w:t xml:space="preserve"> para. 130.</w:t>
      </w:r>
    </w:p>
  </w:footnote>
  <w:footnote w:id="137">
    <w:p w14:paraId="67BA070C" w14:textId="72735981" w:rsidR="0068647C" w:rsidRPr="000E696E" w:rsidRDefault="0068647C" w:rsidP="00D61BD2">
      <w:pPr>
        <w:pStyle w:val="Textonotapie"/>
      </w:pPr>
      <w:r w:rsidRPr="000E696E">
        <w:rPr>
          <w:rStyle w:val="Refdenotaalpie"/>
          <w:sz w:val="16"/>
        </w:rPr>
        <w:footnoteRef/>
      </w:r>
      <w:r w:rsidRPr="000E696E">
        <w:t xml:space="preserve"> </w:t>
      </w:r>
      <w:r w:rsidRPr="000E696E">
        <w:tab/>
        <w:t>Letter of Mr. Lagos del Campo of June 28, 1989, addressed to Miguel Balbi, Industrial Relations Manager, Conductores Eléctricos Peruanos S.A. CEPER–PIRELLI, with the company received stamp dated June 30, 1989. (evidence file annex 5 to the State’s answering brief, ff. 1460 to 1463).</w:t>
      </w:r>
    </w:p>
  </w:footnote>
  <w:footnote w:id="138">
    <w:p w14:paraId="7DB7A0D8" w14:textId="5D926598"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rPr>
        <w:t>Cf.</w:t>
      </w:r>
      <w:r w:rsidRPr="000E696E">
        <w:t xml:space="preserve"> President of the Republic of Peru. Decree Law 21789. Law of the Industrial Community of February 1, 1977, Arts. 14, 20 and 26 (evidence file, annex 1 of the motions and pleadings brief, ff. 1390 to 1399).</w:t>
      </w:r>
    </w:p>
  </w:footnote>
  <w:footnote w:id="139">
    <w:p w14:paraId="08A28797" w14:textId="2D6DC150"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rPr>
        <w:t xml:space="preserve">Cf. </w:t>
      </w:r>
      <w:r w:rsidRPr="000E696E">
        <w:t>Expert opinion of César José González Hunt (evidence file, annex 1 final written arguments, f. 1486) and Opinion of Omar Sar Suárez (merits file f. 519).</w:t>
      </w:r>
    </w:p>
  </w:footnote>
  <w:footnote w:id="140">
    <w:p w14:paraId="5E386EC4" w14:textId="1D3C20FF" w:rsidR="0068647C" w:rsidRPr="000E696E" w:rsidRDefault="0068647C" w:rsidP="00D61BD2">
      <w:pPr>
        <w:pStyle w:val="Textonotapie"/>
      </w:pPr>
      <w:r w:rsidRPr="000E696E">
        <w:rPr>
          <w:rStyle w:val="Refdenotaalpie"/>
          <w:sz w:val="16"/>
        </w:rPr>
        <w:footnoteRef/>
      </w:r>
      <w:r w:rsidRPr="000E696E">
        <w:t xml:space="preserve"> </w:t>
      </w:r>
      <w:r w:rsidRPr="000E696E">
        <w:tab/>
        <w:t>Written opinion of expert witness Cesar Gonzáles Hunt before the Inter-American Court. In it, he referred to the fact that “according to the jurisdictional organs,” “[t]he industrial community and the labor union are institutions designed to protect the actions of workers to achieve social and economic benefits and they each have their own characteristics that constitute their independence. The purposes of the industrial community and the labor union are different, which does not mean that they are antagonistic; they must act in a coordinated manner in their respective area of action to the benefit of the workers (File No. 56-56 – Iquitos Court).” Similarly, he noted that “[t]he industrial community and the labor union are institutions designed to protect the actions of workers to achieve social and economic benefits and they each have their own characteristics that constitute their independence. The purposes of the industrial community and the labor union are different, which does not mean that these are antagonistic, and they must act in a coordinated manner in their respective area of action to the benefit of the workers (</w:t>
      </w:r>
      <w:r w:rsidRPr="000E696E">
        <w:rPr>
          <w:i/>
          <w:iCs/>
        </w:rPr>
        <w:t>Actualidad Laboral</w:t>
      </w:r>
      <w:r w:rsidRPr="000E696E">
        <w:t>, August T1976)” (evidence file, annexes to the final arguments, f. 1416).</w:t>
      </w:r>
    </w:p>
  </w:footnote>
  <w:footnote w:id="141">
    <w:p w14:paraId="35FE36E9" w14:textId="40DDA96A" w:rsidR="0068647C" w:rsidRPr="000E696E" w:rsidRDefault="0068647C" w:rsidP="004C40E2">
      <w:pPr>
        <w:spacing w:after="60"/>
        <w:ind w:right="26"/>
        <w:jc w:val="both"/>
        <w:rPr>
          <w:rFonts w:ascii="Verdana" w:hAnsi="Verdana"/>
          <w:b/>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 xml:space="preserve">The question asked by </w:t>
      </w:r>
      <w:r w:rsidRPr="000E696E">
        <w:rPr>
          <w:rFonts w:ascii="Verdana" w:hAnsi="Verdana"/>
          <w:i/>
          <w:iCs/>
          <w:sz w:val="16"/>
          <w:szCs w:val="16"/>
          <w:lang w:val="en-US"/>
        </w:rPr>
        <w:t>La Razón</w:t>
      </w:r>
      <w:r w:rsidRPr="000E696E">
        <w:rPr>
          <w:rFonts w:ascii="Verdana" w:hAnsi="Verdana"/>
          <w:sz w:val="16"/>
          <w:szCs w:val="16"/>
          <w:lang w:val="en-US"/>
        </w:rPr>
        <w:t xml:space="preserve"> was “</w:t>
      </w:r>
      <w:r w:rsidRPr="000E696E">
        <w:rPr>
          <w:rFonts w:ascii="Verdana" w:hAnsi="Verdana"/>
          <w:bCs/>
          <w:sz w:val="16"/>
          <w:szCs w:val="16"/>
          <w:lang w:val="en-US"/>
        </w:rPr>
        <w:t>In light of these abuses by the employers’ association, what measures have you taken as president of the Electoral Committee?</w:t>
      </w:r>
      <w:r w:rsidRPr="000E696E">
        <w:rPr>
          <w:rFonts w:ascii="Verdana" w:hAnsi="Verdana"/>
          <w:b/>
          <w:sz w:val="16"/>
          <w:szCs w:val="16"/>
          <w:lang w:val="en-US"/>
        </w:rPr>
        <w:t xml:space="preserve">  </w:t>
      </w:r>
    </w:p>
  </w:footnote>
  <w:footnote w:id="142">
    <w:p w14:paraId="54C70B42" w14:textId="54779887"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rPr>
        <w:t>Cf.</w:t>
      </w:r>
      <w:r w:rsidRPr="000E696E">
        <w:t xml:space="preserve"> ILO, Recommendation on Workers’ Representatives, 1971 (No. 143), Recommendation on protection and facilities that should be afforded to workers’ representatives. Fifty-sixth Session of the ILO General Conference; date adopted, June 23, 1971. </w:t>
      </w:r>
      <w:r w:rsidRPr="000E696E">
        <w:tab/>
      </w:r>
    </w:p>
  </w:footnote>
  <w:footnote w:id="143">
    <w:p w14:paraId="34D2DF80" w14:textId="67BBC411" w:rsidR="0068647C" w:rsidRPr="004204B2" w:rsidRDefault="0068647C" w:rsidP="00D61BD2">
      <w:pPr>
        <w:pStyle w:val="Textonotapie"/>
        <w:rPr>
          <w:lang w:val="es-CR"/>
        </w:rPr>
      </w:pPr>
      <w:r w:rsidRPr="000E696E">
        <w:rPr>
          <w:rStyle w:val="Refdenotaalpie"/>
          <w:sz w:val="16"/>
        </w:rPr>
        <w:footnoteRef/>
      </w:r>
      <w:r w:rsidRPr="004204B2">
        <w:rPr>
          <w:lang w:val="es-CR"/>
        </w:rPr>
        <w:t xml:space="preserve"> </w:t>
      </w:r>
      <w:r w:rsidRPr="004204B2">
        <w:rPr>
          <w:lang w:val="es-CR"/>
        </w:rPr>
        <w:tab/>
      </w:r>
      <w:r w:rsidRPr="004204B2">
        <w:rPr>
          <w:i/>
          <w:lang w:val="es-CR"/>
        </w:rPr>
        <w:t>Cf.</w:t>
      </w:r>
      <w:r w:rsidRPr="004204B2">
        <w:rPr>
          <w:lang w:val="es-CR"/>
        </w:rPr>
        <w:t xml:space="preserve"> </w:t>
      </w:r>
      <w:r w:rsidRPr="004204B2">
        <w:rPr>
          <w:i/>
          <w:iCs/>
          <w:lang w:val="es-CR"/>
        </w:rPr>
        <w:t xml:space="preserve">Case of </w:t>
      </w:r>
      <w:r w:rsidRPr="004204B2">
        <w:rPr>
          <w:i/>
          <w:iCs/>
          <w:lang w:val="es-CR"/>
        </w:rPr>
        <w:t>Memolí v. Argentina, supra,</w:t>
      </w:r>
      <w:r w:rsidRPr="004204B2">
        <w:rPr>
          <w:lang w:val="es-CR"/>
        </w:rPr>
        <w:t xml:space="preserve"> para. 145.</w:t>
      </w:r>
    </w:p>
  </w:footnote>
  <w:footnote w:id="144">
    <w:p w14:paraId="18D4F0D1" w14:textId="0CB87A44" w:rsidR="0068647C" w:rsidRPr="000E696E" w:rsidRDefault="0068647C" w:rsidP="00AA1EBF">
      <w:pPr>
        <w:tabs>
          <w:tab w:val="left" w:pos="567"/>
        </w:tabs>
        <w:spacing w:after="60"/>
        <w:jc w:val="both"/>
        <w:rPr>
          <w:rFonts w:ascii="Verdana" w:hAnsi="Verdana"/>
          <w:spacing w:val="-2"/>
          <w:sz w:val="16"/>
          <w:szCs w:val="16"/>
          <w:lang w:val="en-US"/>
        </w:rPr>
      </w:pPr>
      <w:r w:rsidRPr="000E696E">
        <w:rPr>
          <w:rStyle w:val="Refdenotaalpie"/>
          <w:spacing w:val="-2"/>
          <w:sz w:val="16"/>
          <w:szCs w:val="16"/>
          <w:lang w:val="en-US"/>
        </w:rPr>
        <w:footnoteRef/>
      </w:r>
      <w:r w:rsidRPr="004204B2">
        <w:rPr>
          <w:rStyle w:val="Refdenotaalpie"/>
          <w:spacing w:val="-2"/>
          <w:sz w:val="16"/>
          <w:szCs w:val="16"/>
          <w:lang w:val="es-CR"/>
        </w:rPr>
        <w:t xml:space="preserve"> </w:t>
      </w:r>
      <w:r w:rsidRPr="004204B2">
        <w:rPr>
          <w:rFonts w:ascii="Verdana" w:hAnsi="Verdana"/>
          <w:spacing w:val="-2"/>
          <w:sz w:val="16"/>
          <w:szCs w:val="16"/>
          <w:lang w:val="es-CR"/>
        </w:rPr>
        <w:tab/>
      </w:r>
      <w:r w:rsidRPr="004204B2">
        <w:rPr>
          <w:rFonts w:ascii="Verdana" w:hAnsi="Verdana"/>
          <w:spacing w:val="-2"/>
          <w:sz w:val="16"/>
          <w:szCs w:val="16"/>
          <w:lang w:val="es-CR"/>
        </w:rPr>
        <w:tab/>
      </w:r>
      <w:r w:rsidRPr="004204B2">
        <w:rPr>
          <w:rFonts w:ascii="Verdana" w:hAnsi="Verdana"/>
          <w:i/>
          <w:spacing w:val="-2"/>
          <w:sz w:val="16"/>
          <w:szCs w:val="16"/>
          <w:lang w:val="es-CR"/>
        </w:rPr>
        <w:t>Cf.</w:t>
      </w:r>
      <w:r w:rsidRPr="004204B2">
        <w:rPr>
          <w:rFonts w:ascii="Verdana" w:hAnsi="Verdana"/>
          <w:spacing w:val="-2"/>
          <w:sz w:val="16"/>
          <w:szCs w:val="16"/>
          <w:lang w:val="es-CR"/>
        </w:rPr>
        <w:t xml:space="preserve"> </w:t>
      </w:r>
      <w:r w:rsidRPr="004204B2">
        <w:rPr>
          <w:rFonts w:ascii="Verdana" w:hAnsi="Verdana"/>
          <w:i/>
          <w:spacing w:val="-2"/>
          <w:sz w:val="16"/>
          <w:szCs w:val="16"/>
          <w:lang w:val="es-CR"/>
        </w:rPr>
        <w:t xml:space="preserve">Case of Tristán Donoso v. </w:t>
      </w:r>
      <w:r w:rsidRPr="004204B2">
        <w:rPr>
          <w:rFonts w:ascii="Verdana" w:hAnsi="Verdana"/>
          <w:i/>
          <w:spacing w:val="-2"/>
          <w:sz w:val="16"/>
          <w:szCs w:val="16"/>
          <w:lang w:val="es-CR"/>
        </w:rPr>
        <w:t>Panama, supra</w:t>
      </w:r>
      <w:r w:rsidRPr="004204B2">
        <w:rPr>
          <w:rFonts w:ascii="Verdana" w:hAnsi="Verdana"/>
          <w:i/>
          <w:iCs/>
          <w:spacing w:val="-2"/>
          <w:sz w:val="16"/>
          <w:szCs w:val="16"/>
          <w:lang w:val="es-CR"/>
        </w:rPr>
        <w:t xml:space="preserve">, </w:t>
      </w:r>
      <w:r w:rsidRPr="004204B2">
        <w:rPr>
          <w:rFonts w:ascii="Verdana" w:hAnsi="Verdana"/>
          <w:iCs/>
          <w:spacing w:val="-2"/>
          <w:sz w:val="16"/>
          <w:szCs w:val="16"/>
          <w:lang w:val="es-CR"/>
        </w:rPr>
        <w:t xml:space="preserve">para. </w:t>
      </w:r>
      <w:r w:rsidRPr="000E696E">
        <w:rPr>
          <w:rFonts w:ascii="Verdana" w:hAnsi="Verdana"/>
          <w:iCs/>
          <w:spacing w:val="-2"/>
          <w:sz w:val="16"/>
          <w:szCs w:val="16"/>
          <w:lang w:val="en-US"/>
        </w:rPr>
        <w:t>51,</w:t>
      </w:r>
      <w:r w:rsidRPr="000E696E">
        <w:rPr>
          <w:rFonts w:ascii="Verdana" w:hAnsi="Verdana"/>
          <w:i/>
          <w:iCs/>
          <w:spacing w:val="-2"/>
          <w:sz w:val="16"/>
          <w:szCs w:val="16"/>
          <w:lang w:val="en-US"/>
        </w:rPr>
        <w:t xml:space="preserve"> and Case of Fontevecchia and D’Amico v. Argentina, supra</w:t>
      </w:r>
      <w:r w:rsidRPr="000E696E">
        <w:rPr>
          <w:rFonts w:ascii="Verdana" w:hAnsi="Verdana"/>
          <w:spacing w:val="-2"/>
          <w:sz w:val="16"/>
          <w:szCs w:val="16"/>
          <w:lang w:val="en-US"/>
        </w:rPr>
        <w:t xml:space="preserve">, para. 61, and </w:t>
      </w:r>
      <w:r w:rsidRPr="000E696E">
        <w:rPr>
          <w:rFonts w:ascii="Verdana" w:hAnsi="Verdana"/>
          <w:i/>
          <w:spacing w:val="-2"/>
          <w:sz w:val="16"/>
          <w:szCs w:val="16"/>
          <w:lang w:val="en-US"/>
        </w:rPr>
        <w:t>Case of Memolí v. Argentina</w:t>
      </w:r>
      <w:r w:rsidRPr="000E696E">
        <w:rPr>
          <w:rFonts w:ascii="Verdana" w:hAnsi="Verdana"/>
          <w:spacing w:val="-2"/>
          <w:sz w:val="16"/>
          <w:szCs w:val="16"/>
          <w:lang w:val="en-US"/>
        </w:rPr>
        <w:t xml:space="preserve">, </w:t>
      </w:r>
      <w:r w:rsidRPr="000E696E">
        <w:rPr>
          <w:rFonts w:ascii="Verdana" w:hAnsi="Verdana"/>
          <w:i/>
          <w:spacing w:val="-2"/>
          <w:sz w:val="16"/>
          <w:szCs w:val="16"/>
          <w:lang w:val="en-US"/>
        </w:rPr>
        <w:t>supra,</w:t>
      </w:r>
      <w:r w:rsidRPr="000E696E">
        <w:rPr>
          <w:rFonts w:ascii="Verdana" w:hAnsi="Verdana"/>
          <w:spacing w:val="-2"/>
          <w:sz w:val="16"/>
          <w:szCs w:val="16"/>
          <w:lang w:val="en-US"/>
        </w:rPr>
        <w:t xml:space="preserve"> paras. 145 and 146.</w:t>
      </w:r>
    </w:p>
  </w:footnote>
  <w:footnote w:id="145">
    <w:p w14:paraId="3C27480F" w14:textId="0FBE5683" w:rsidR="0068647C" w:rsidRPr="000E696E" w:rsidRDefault="0068647C" w:rsidP="00270810">
      <w:pPr>
        <w:pStyle w:val="Default"/>
        <w:spacing w:after="60"/>
        <w:jc w:val="both"/>
        <w:rPr>
          <w:rFonts w:ascii="Verdana" w:hAnsi="Verdana"/>
          <w:sz w:val="16"/>
          <w:szCs w:val="16"/>
        </w:rPr>
      </w:pPr>
      <w:r w:rsidRPr="000E696E">
        <w:rPr>
          <w:rStyle w:val="Refdenotaalpie"/>
          <w:sz w:val="16"/>
          <w:szCs w:val="16"/>
        </w:rPr>
        <w:footnoteRef/>
      </w:r>
      <w:r w:rsidRPr="000E696E">
        <w:rPr>
          <w:rFonts w:ascii="Verdana" w:hAnsi="Verdana"/>
          <w:sz w:val="16"/>
          <w:szCs w:val="16"/>
        </w:rPr>
        <w:t xml:space="preserve"> </w:t>
      </w:r>
      <w:r w:rsidRPr="000E696E">
        <w:rPr>
          <w:rFonts w:ascii="Verdana" w:hAnsi="Verdana"/>
          <w:sz w:val="16"/>
          <w:szCs w:val="16"/>
        </w:rPr>
        <w:tab/>
      </w:r>
      <w:r w:rsidRPr="000E696E">
        <w:rPr>
          <w:rFonts w:ascii="Verdana" w:hAnsi="Verdana"/>
          <w:i/>
          <w:sz w:val="16"/>
          <w:szCs w:val="16"/>
        </w:rPr>
        <w:t xml:space="preserve">Cf. </w:t>
      </w:r>
      <w:r w:rsidRPr="000E696E">
        <w:rPr>
          <w:rFonts w:ascii="Verdana" w:hAnsi="Verdana"/>
          <w:sz w:val="16"/>
          <w:szCs w:val="16"/>
        </w:rPr>
        <w:t>ECHR</w:t>
      </w:r>
      <w:r w:rsidRPr="000E696E">
        <w:rPr>
          <w:rFonts w:ascii="Verdana" w:hAnsi="Verdana"/>
          <w:i/>
          <w:sz w:val="16"/>
          <w:szCs w:val="16"/>
        </w:rPr>
        <w:t xml:space="preserve"> Case of Palomo Sánchez and Others v. Spain</w:t>
      </w:r>
      <w:r w:rsidRPr="000E696E">
        <w:rPr>
          <w:rFonts w:ascii="Verdana" w:hAnsi="Verdana"/>
          <w:sz w:val="16"/>
          <w:szCs w:val="16"/>
        </w:rPr>
        <w:t xml:space="preserve"> [GS], No. 28955/06, No. 28957, No. 28959/06; No. 28964/06. Judgment of September 12, 2011, para. 72. In this case, the European Court indicated that “it did not share the Government’s view that the content of the impugned articles did not concern any matter of general interest. The publication at issue took place in the context of a labour dispute inside the company to which the applicants had presented certain demands. The primary role of publications of this type ‘should be to deal with matters essentially relating to the defence and furtherance of the interests of the unions’ members in particular and with labour questions in general’ (see paragraph 24 above, in particular point 170 of the International Labour Office Digest cited therein). The debate was therefore not a purely private one; it was at least a matter of general interest for the workers of the company P. (see, </w:t>
      </w:r>
      <w:r w:rsidRPr="000E696E">
        <w:rPr>
          <w:rFonts w:ascii="Verdana" w:hAnsi="Verdana"/>
          <w:i/>
          <w:iCs/>
          <w:sz w:val="16"/>
          <w:szCs w:val="16"/>
        </w:rPr>
        <w:t>mutatis mutandis</w:t>
      </w:r>
      <w:r w:rsidRPr="000E696E">
        <w:rPr>
          <w:rFonts w:ascii="Verdana" w:hAnsi="Verdana"/>
          <w:sz w:val="16"/>
          <w:szCs w:val="16"/>
        </w:rPr>
        <w:t xml:space="preserve">, </w:t>
      </w:r>
      <w:r w:rsidRPr="000E696E">
        <w:rPr>
          <w:rFonts w:ascii="Verdana" w:hAnsi="Verdana"/>
          <w:i/>
          <w:iCs/>
          <w:sz w:val="16"/>
          <w:szCs w:val="16"/>
        </w:rPr>
        <w:t xml:space="preserve">Fressoz and Roire v. France </w:t>
      </w:r>
      <w:r w:rsidRPr="000E696E">
        <w:rPr>
          <w:rFonts w:ascii="Verdana" w:hAnsi="Verdana"/>
          <w:sz w:val="16"/>
          <w:szCs w:val="16"/>
        </w:rPr>
        <w:t xml:space="preserve">[GC], No. 29183/95, § 50, ECHR 1999-I, and </w:t>
      </w:r>
      <w:r w:rsidRPr="000E696E">
        <w:rPr>
          <w:rFonts w:ascii="Verdana" w:hAnsi="Verdana"/>
          <w:i/>
          <w:iCs/>
          <w:sz w:val="16"/>
          <w:szCs w:val="16"/>
        </w:rPr>
        <w:t>Boldea v. Romania</w:t>
      </w:r>
      <w:r w:rsidRPr="000E696E">
        <w:rPr>
          <w:rFonts w:ascii="Verdana" w:hAnsi="Verdana"/>
          <w:sz w:val="16"/>
          <w:szCs w:val="16"/>
        </w:rPr>
        <w:t xml:space="preserve">, No. 19997/02, § 57, 15 February 2007). 73. That being said, the existence of such a matter cannot justify the use of offensive cartoons or expressions, even in the context of labour relations (see paragraph 24 above, point 154 of the </w:t>
      </w:r>
      <w:r w:rsidRPr="000E696E">
        <w:rPr>
          <w:rFonts w:ascii="Verdana" w:hAnsi="Verdana"/>
          <w:i/>
          <w:iCs/>
          <w:sz w:val="16"/>
          <w:szCs w:val="16"/>
        </w:rPr>
        <w:t xml:space="preserve">Digest </w:t>
      </w:r>
      <w:r w:rsidRPr="000E696E">
        <w:rPr>
          <w:rFonts w:ascii="Verdana" w:hAnsi="Verdana"/>
          <w:sz w:val="16"/>
          <w:szCs w:val="16"/>
        </w:rPr>
        <w:t xml:space="preserve">cited therein). Moreover, the remarks did not constitute an instantaneous and ill-considered reaction, in the context of a rapid and spontaneous oral exchange, as is the case with verbal exaggeration. On the contrary, they were written assertions, published in a quite lucid manner and displayed publicly on the premises of the company P. (compare </w:t>
      </w:r>
      <w:r w:rsidRPr="000E696E">
        <w:rPr>
          <w:rFonts w:ascii="Verdana" w:hAnsi="Verdana"/>
          <w:i/>
          <w:iCs/>
          <w:sz w:val="16"/>
          <w:szCs w:val="16"/>
        </w:rPr>
        <w:t>De Diego Nafría</w:t>
      </w:r>
      <w:r w:rsidRPr="000E696E">
        <w:rPr>
          <w:rFonts w:ascii="Verdana" w:hAnsi="Verdana"/>
          <w:sz w:val="16"/>
          <w:szCs w:val="16"/>
        </w:rPr>
        <w:t>, cited above, § 41). ECHR</w:t>
      </w:r>
      <w:r w:rsidRPr="000E696E">
        <w:rPr>
          <w:rFonts w:ascii="Verdana" w:hAnsi="Verdana"/>
          <w:i/>
          <w:sz w:val="16"/>
          <w:szCs w:val="16"/>
        </w:rPr>
        <w:t>, Case of Boldea v. Romania,</w:t>
      </w:r>
      <w:r w:rsidRPr="000E696E">
        <w:rPr>
          <w:rFonts w:ascii="Verdana" w:hAnsi="Verdana"/>
          <w:sz w:val="16"/>
          <w:szCs w:val="16"/>
        </w:rPr>
        <w:t xml:space="preserve"> No. 19997/62. Judgment of February 15, 2007).</w:t>
      </w:r>
    </w:p>
  </w:footnote>
  <w:footnote w:id="146">
    <w:p w14:paraId="4A0441E3" w14:textId="4F5B9956"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rPr>
        <w:t>Cf. Case of Baena Ricardo et al. v. Panama</w:t>
      </w:r>
      <w:r w:rsidRPr="000E696E">
        <w:t xml:space="preserve">. Merits, reparations and costs. Judgment of February 2, 2001. Series C No. 72, para. 166; </w:t>
      </w:r>
      <w:r w:rsidRPr="000E696E">
        <w:rPr>
          <w:spacing w:val="-2"/>
        </w:rPr>
        <w:t>Article</w:t>
      </w:r>
      <w:r w:rsidRPr="000E696E">
        <w:t xml:space="preserve">s 3 and 4 of the Inter-American Democratic Charter, </w:t>
      </w:r>
      <w:r w:rsidRPr="000E696E">
        <w:rPr>
          <w:i/>
        </w:rPr>
        <w:t>supra</w:t>
      </w:r>
      <w:r w:rsidRPr="000E696E">
        <w:t>.</w:t>
      </w:r>
    </w:p>
  </w:footnote>
  <w:footnote w:id="147">
    <w:p w14:paraId="30C796ED" w14:textId="5DCD44FA"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rPr>
        <w:t xml:space="preserve">Cf. </w:t>
      </w:r>
      <w:r w:rsidRPr="000E696E">
        <w:t>ECHR</w:t>
      </w:r>
      <w:r w:rsidRPr="000E696E">
        <w:rPr>
          <w:i/>
        </w:rPr>
        <w:t xml:space="preserve">. Case of Palomo Sánchez and Others v. Spain </w:t>
      </w:r>
      <w:r w:rsidRPr="000E696E">
        <w:t xml:space="preserve">[GS], </w:t>
      </w:r>
      <w:r w:rsidRPr="000E696E">
        <w:rPr>
          <w:i/>
        </w:rPr>
        <w:t>supra</w:t>
      </w:r>
      <w:r w:rsidRPr="000E696E">
        <w:t xml:space="preserve">, paras. 56 and 61. In </w:t>
      </w:r>
      <w:r w:rsidRPr="000E696E">
        <w:rPr>
          <w:i/>
        </w:rPr>
        <w:t xml:space="preserve">Palomo Sánchez and Others v. Spain, </w:t>
      </w:r>
      <w:r w:rsidRPr="000E696E">
        <w:t xml:space="preserve"> the European Court determined that the personal opinions of the members of the Executive Committee of a trade union are protected by the right to freedom of association, so that “the members of a trade union must be able to express to their employer the demands by which they seek to improve the situation of workers in their company.”</w:t>
      </w:r>
    </w:p>
  </w:footnote>
  <w:footnote w:id="148">
    <w:p w14:paraId="779A129C" w14:textId="3024B006" w:rsidR="0068647C" w:rsidRPr="000E696E" w:rsidRDefault="0068647C" w:rsidP="00D61BD2">
      <w:pPr>
        <w:pStyle w:val="Textonotapie"/>
      </w:pPr>
      <w:r w:rsidRPr="000E696E">
        <w:rPr>
          <w:rStyle w:val="Refdenotaalpie"/>
          <w:sz w:val="16"/>
        </w:rPr>
        <w:footnoteRef/>
      </w:r>
      <w:r w:rsidRPr="000E696E">
        <w:t xml:space="preserve"> </w:t>
      </w:r>
      <w:r w:rsidRPr="000E696E">
        <w:tab/>
        <w:t xml:space="preserve">ECHR. </w:t>
      </w:r>
      <w:r w:rsidRPr="000E696E">
        <w:rPr>
          <w:i/>
          <w:iCs/>
        </w:rPr>
        <w:t>Case of Palomo Sánchez and Others v. Spain; Case of Fuentes Bobo v. Spain,</w:t>
      </w:r>
      <w:r w:rsidRPr="000E696E">
        <w:t xml:space="preserve"> No. 39293/98. Judgment of February 29, 2000. </w:t>
      </w:r>
    </w:p>
  </w:footnote>
  <w:footnote w:id="149">
    <w:p w14:paraId="7DA4D3AA" w14:textId="4DB7A7F1" w:rsidR="0068647C" w:rsidRPr="000E696E" w:rsidRDefault="0068647C" w:rsidP="00D61BD2">
      <w:pPr>
        <w:pStyle w:val="Textonotapie"/>
      </w:pPr>
      <w:r w:rsidRPr="000E696E">
        <w:rPr>
          <w:rStyle w:val="Refdenotaalpie"/>
          <w:sz w:val="16"/>
        </w:rPr>
        <w:footnoteRef/>
      </w:r>
      <w:r w:rsidRPr="000E696E">
        <w:t xml:space="preserve"> </w:t>
      </w:r>
      <w:r w:rsidRPr="000E696E">
        <w:tab/>
        <w:t>ECHR</w:t>
      </w:r>
      <w:r w:rsidRPr="000E696E">
        <w:rPr>
          <w:i/>
        </w:rPr>
        <w:t>. Case of Palomo Sánchez and Others v. Spain [GS], supra,</w:t>
      </w:r>
      <w:r w:rsidRPr="000E696E">
        <w:t xml:space="preserve"> para. 72, and ECHR, </w:t>
      </w:r>
      <w:r w:rsidRPr="000E696E">
        <w:rPr>
          <w:i/>
        </w:rPr>
        <w:t xml:space="preserve">Case of Fuentes Bobo v. Spain, supra, </w:t>
      </w:r>
      <w:r w:rsidRPr="000E696E">
        <w:t>para. 40. In this regard: the Court, while acknowledging that the expressions used were offensive, concluded that they were included in a context of a long public discussions that concerned matters of general interest concerning the administration of public television.</w:t>
      </w:r>
    </w:p>
  </w:footnote>
  <w:footnote w:id="150">
    <w:p w14:paraId="70BCD5D6" w14:textId="6454DA6A" w:rsidR="0068647C" w:rsidRPr="000E696E" w:rsidRDefault="0068647C" w:rsidP="00D61BD2">
      <w:pPr>
        <w:pStyle w:val="Textonotapie"/>
      </w:pPr>
      <w:r w:rsidRPr="000E696E">
        <w:rPr>
          <w:rStyle w:val="Refdenotaalpie"/>
          <w:spacing w:val="-4"/>
          <w:sz w:val="16"/>
        </w:rPr>
        <w:footnoteRef/>
      </w:r>
      <w:r w:rsidRPr="000E696E">
        <w:t xml:space="preserve"> </w:t>
      </w:r>
      <w:r w:rsidRPr="000E696E">
        <w:tab/>
      </w:r>
      <w:r w:rsidRPr="000E696E">
        <w:rPr>
          <w:i/>
          <w:iCs/>
        </w:rPr>
        <w:t>Cf. Compulsory Membership of an Association Prescribed by Law for the Practice of Journalism.</w:t>
      </w:r>
      <w:r w:rsidRPr="000E696E">
        <w:rPr>
          <w:iCs/>
        </w:rPr>
        <w:t xml:space="preserve"> </w:t>
      </w:r>
      <w:r w:rsidRPr="004204B2">
        <w:rPr>
          <w:iCs/>
          <w:lang w:val="es-CR"/>
        </w:rPr>
        <w:t>OC-5/85,</w:t>
      </w:r>
      <w:r w:rsidRPr="004204B2">
        <w:rPr>
          <w:lang w:val="es-CR"/>
        </w:rPr>
        <w:t xml:space="preserve"> </w:t>
      </w:r>
      <w:r w:rsidRPr="004204B2">
        <w:rPr>
          <w:rStyle w:val="Textoennegrita"/>
          <w:b w:val="0"/>
          <w:i/>
          <w:color w:val="000000"/>
          <w:shd w:val="clear" w:color="auto" w:fill="FFFFFF"/>
          <w:lang w:val="es-CR"/>
        </w:rPr>
        <w:t>supra</w:t>
      </w:r>
      <w:r w:rsidRPr="004204B2">
        <w:rPr>
          <w:rStyle w:val="Textoennegrita"/>
          <w:b w:val="0"/>
          <w:color w:val="000000"/>
          <w:shd w:val="clear" w:color="auto" w:fill="FFFFFF"/>
          <w:lang w:val="es-CR"/>
        </w:rPr>
        <w:t>, para. 70</w:t>
      </w:r>
      <w:r w:rsidRPr="004204B2">
        <w:rPr>
          <w:lang w:val="es-CR"/>
        </w:rPr>
        <w:t xml:space="preserve">, and </w:t>
      </w:r>
      <w:r w:rsidRPr="004204B2">
        <w:rPr>
          <w:rStyle w:val="Textoennegrita"/>
          <w:b w:val="0"/>
          <w:i/>
          <w:color w:val="000000"/>
          <w:shd w:val="clear" w:color="auto" w:fill="FFFFFF"/>
          <w:lang w:val="es-CR"/>
        </w:rPr>
        <w:t>Case of Granier et al. (Radio Caracas Televisión) v. Venezuela. supra</w:t>
      </w:r>
      <w:r w:rsidRPr="004204B2">
        <w:rPr>
          <w:rStyle w:val="Textoennegrita"/>
          <w:b w:val="0"/>
          <w:color w:val="000000"/>
          <w:shd w:val="clear" w:color="auto" w:fill="FFFFFF"/>
          <w:lang w:val="es-CR"/>
        </w:rPr>
        <w:t xml:space="preserve">, para. </w:t>
      </w:r>
      <w:r w:rsidRPr="000E696E">
        <w:rPr>
          <w:rStyle w:val="Textoennegrita"/>
          <w:b w:val="0"/>
          <w:color w:val="000000"/>
          <w:shd w:val="clear" w:color="auto" w:fill="FFFFFF"/>
        </w:rPr>
        <w:t>140.</w:t>
      </w:r>
    </w:p>
  </w:footnote>
  <w:footnote w:id="151">
    <w:p w14:paraId="77DF45B5" w14:textId="4D0E9AF5" w:rsidR="0068647C" w:rsidRPr="000E696E" w:rsidRDefault="0068647C" w:rsidP="00D61BD2">
      <w:pPr>
        <w:pStyle w:val="Textonotapie"/>
        <w:rPr>
          <w:spacing w:val="-4"/>
        </w:rPr>
      </w:pPr>
      <w:r w:rsidRPr="000E696E">
        <w:rPr>
          <w:rStyle w:val="Refdenotaalpie"/>
          <w:spacing w:val="-4"/>
          <w:sz w:val="16"/>
        </w:rPr>
        <w:footnoteRef/>
      </w:r>
      <w:r w:rsidRPr="000E696E">
        <w:rPr>
          <w:spacing w:val="-4"/>
        </w:rPr>
        <w:t xml:space="preserve"> </w:t>
      </w:r>
      <w:r w:rsidRPr="000E696E">
        <w:rPr>
          <w:spacing w:val="-4"/>
        </w:rPr>
        <w:tab/>
      </w:r>
      <w:r w:rsidRPr="000E696E">
        <w:rPr>
          <w:i/>
          <w:iCs/>
          <w:spacing w:val="-4"/>
        </w:rPr>
        <w:t xml:space="preserve">Cf. Case of “The Last Temptation of Christ” v. Chile. </w:t>
      </w:r>
      <w:r w:rsidRPr="000E696E">
        <w:rPr>
          <w:rStyle w:val="Textoennegrita"/>
          <w:b w:val="0"/>
          <w:i/>
          <w:iCs/>
          <w:color w:val="000000"/>
          <w:shd w:val="clear" w:color="auto" w:fill="FFFFFF"/>
        </w:rPr>
        <w:t>supra,</w:t>
      </w:r>
      <w:r w:rsidRPr="000E696E">
        <w:rPr>
          <w:rStyle w:val="Textoennegrita"/>
          <w:b w:val="0"/>
          <w:color w:val="000000"/>
          <w:shd w:val="clear" w:color="auto" w:fill="FFFFFF"/>
        </w:rPr>
        <w:t xml:space="preserve"> </w:t>
      </w:r>
      <w:r w:rsidRPr="000E696E">
        <w:rPr>
          <w:spacing w:val="-4"/>
        </w:rPr>
        <w:t xml:space="preserve">para. </w:t>
      </w:r>
      <w:r w:rsidRPr="004204B2">
        <w:rPr>
          <w:spacing w:val="-4"/>
          <w:lang w:val="es-CR"/>
        </w:rPr>
        <w:t xml:space="preserve">69, and </w:t>
      </w:r>
      <w:r w:rsidRPr="004204B2">
        <w:rPr>
          <w:rStyle w:val="Textoennegrita"/>
          <w:b w:val="0"/>
          <w:i/>
          <w:color w:val="000000"/>
          <w:shd w:val="clear" w:color="auto" w:fill="FFFFFF"/>
          <w:lang w:val="es-CR"/>
        </w:rPr>
        <w:t>Case of Granier et al. (Radio Caracas Televisión) v. Venezuela</w:t>
      </w:r>
      <w:r w:rsidRPr="004204B2">
        <w:rPr>
          <w:rStyle w:val="Textoennegrita"/>
          <w:b w:val="0"/>
          <w:color w:val="000000"/>
          <w:shd w:val="clear" w:color="auto" w:fill="FFFFFF"/>
          <w:lang w:val="es-CR"/>
        </w:rPr>
        <w:t xml:space="preserve">, </w:t>
      </w:r>
      <w:r w:rsidRPr="004204B2">
        <w:rPr>
          <w:rStyle w:val="Textoennegrita"/>
          <w:b w:val="0"/>
          <w:i/>
          <w:color w:val="000000"/>
          <w:shd w:val="clear" w:color="auto" w:fill="FFFFFF"/>
          <w:lang w:val="es-CR"/>
        </w:rPr>
        <w:t>supra</w:t>
      </w:r>
      <w:r w:rsidRPr="004204B2">
        <w:rPr>
          <w:rStyle w:val="Textoennegrita"/>
          <w:b w:val="0"/>
          <w:color w:val="000000"/>
          <w:shd w:val="clear" w:color="auto" w:fill="FFFFFF"/>
          <w:lang w:val="es-CR"/>
        </w:rPr>
        <w:t xml:space="preserve">, para. </w:t>
      </w:r>
      <w:r w:rsidRPr="000E696E">
        <w:rPr>
          <w:rStyle w:val="Textoennegrita"/>
          <w:b w:val="0"/>
          <w:color w:val="000000"/>
          <w:shd w:val="clear" w:color="auto" w:fill="FFFFFF"/>
        </w:rPr>
        <w:t>140.</w:t>
      </w:r>
    </w:p>
  </w:footnote>
  <w:footnote w:id="152">
    <w:p w14:paraId="02332FC1" w14:textId="0502524B" w:rsidR="0068647C" w:rsidRPr="000E696E" w:rsidRDefault="0068647C" w:rsidP="00D52E01">
      <w:pPr>
        <w:tabs>
          <w:tab w:val="left" w:pos="720"/>
        </w:tabs>
        <w:spacing w:after="60"/>
        <w:jc w:val="both"/>
        <w:rPr>
          <w:rFonts w:ascii="Verdana" w:hAnsi="Verdana"/>
          <w:i/>
          <w:sz w:val="16"/>
          <w:szCs w:val="16"/>
          <w:lang w:val="en-US"/>
        </w:rPr>
      </w:pPr>
      <w:r w:rsidRPr="000E696E">
        <w:rPr>
          <w:rStyle w:val="Refdenotaalpie"/>
          <w:rFonts w:cs="Arial"/>
          <w:sz w:val="16"/>
          <w:szCs w:val="16"/>
          <w:lang w:val="en-US"/>
        </w:rPr>
        <w:footnoteRef/>
      </w:r>
      <w:r w:rsidRPr="000E696E">
        <w:rPr>
          <w:rFonts w:ascii="Verdana" w:hAnsi="Verdana" w:cs="Arial"/>
          <w:sz w:val="16"/>
          <w:szCs w:val="16"/>
          <w:lang w:val="en-US"/>
        </w:rPr>
        <w:t xml:space="preserve"> </w:t>
      </w:r>
      <w:r w:rsidRPr="000E696E">
        <w:rPr>
          <w:rFonts w:ascii="Verdana" w:hAnsi="Verdana" w:cs="Arial"/>
          <w:sz w:val="16"/>
          <w:szCs w:val="16"/>
          <w:lang w:val="en-US"/>
        </w:rPr>
        <w:tab/>
      </w:r>
      <w:r w:rsidRPr="000E696E">
        <w:rPr>
          <w:rFonts w:ascii="Verdana" w:hAnsi="Verdana" w:cs="Arial"/>
          <w:i/>
          <w:sz w:val="16"/>
          <w:szCs w:val="16"/>
          <w:lang w:val="en-US"/>
        </w:rPr>
        <w:t>Cf. Case of “</w:t>
      </w:r>
      <w:r w:rsidRPr="000E696E">
        <w:rPr>
          <w:rFonts w:ascii="Verdana" w:hAnsi="Verdana"/>
          <w:i/>
          <w:iCs/>
          <w:spacing w:val="-4"/>
          <w:sz w:val="16"/>
          <w:szCs w:val="16"/>
          <w:lang w:val="en-US"/>
        </w:rPr>
        <w:t>The Last Temptation of Christ”</w:t>
      </w:r>
      <w:r w:rsidRPr="000E696E">
        <w:rPr>
          <w:i/>
          <w:iCs/>
          <w:spacing w:val="-4"/>
          <w:lang w:val="en-US"/>
        </w:rPr>
        <w:t xml:space="preserve"> </w:t>
      </w:r>
      <w:r w:rsidRPr="000E696E">
        <w:rPr>
          <w:rFonts w:ascii="Verdana" w:hAnsi="Verdana" w:cs="Arial"/>
          <w:i/>
          <w:sz w:val="16"/>
          <w:szCs w:val="16"/>
          <w:lang w:val="en-US"/>
        </w:rPr>
        <w:t xml:space="preserve">v. Chile, supra, </w:t>
      </w:r>
      <w:r w:rsidRPr="000E696E">
        <w:rPr>
          <w:rFonts w:ascii="Verdana" w:hAnsi="Verdana"/>
          <w:sz w:val="16"/>
          <w:szCs w:val="16"/>
          <w:lang w:val="en-US"/>
        </w:rPr>
        <w:t>para.</w:t>
      </w:r>
      <w:r w:rsidRPr="000E696E">
        <w:rPr>
          <w:rFonts w:ascii="Verdana" w:hAnsi="Verdana" w:cs="Arial"/>
          <w:sz w:val="16"/>
          <w:szCs w:val="16"/>
          <w:lang w:val="en-US"/>
        </w:rPr>
        <w:t xml:space="preserve"> 69, and </w:t>
      </w:r>
      <w:r w:rsidRPr="000E696E">
        <w:rPr>
          <w:rFonts w:ascii="Verdana" w:hAnsi="Verdana" w:cs="Arial"/>
          <w:i/>
          <w:sz w:val="16"/>
          <w:szCs w:val="16"/>
          <w:lang w:val="en-US"/>
        </w:rPr>
        <w:t>Case of Kimel v. Argentina</w:t>
      </w:r>
      <w:r w:rsidRPr="000E696E">
        <w:rPr>
          <w:rFonts w:ascii="Verdana" w:hAnsi="Verdana" w:cs="Arial"/>
          <w:sz w:val="16"/>
          <w:szCs w:val="16"/>
          <w:lang w:val="en-US"/>
        </w:rPr>
        <w:t xml:space="preserve">, </w:t>
      </w:r>
      <w:r w:rsidRPr="000E696E">
        <w:rPr>
          <w:rFonts w:ascii="Verdana" w:hAnsi="Verdana" w:cs="Arial"/>
          <w:i/>
          <w:sz w:val="16"/>
          <w:szCs w:val="16"/>
          <w:lang w:val="en-US"/>
        </w:rPr>
        <w:t>supra</w:t>
      </w:r>
      <w:r w:rsidRPr="000E696E">
        <w:rPr>
          <w:rFonts w:ascii="Verdana" w:hAnsi="Verdana" w:cs="Arial"/>
          <w:sz w:val="16"/>
          <w:szCs w:val="16"/>
          <w:lang w:val="en-US"/>
        </w:rPr>
        <w:t xml:space="preserve">, para. 88; </w:t>
      </w:r>
      <w:r w:rsidRPr="000E696E">
        <w:rPr>
          <w:rFonts w:ascii="Verdana" w:hAnsi="Verdana"/>
          <w:sz w:val="16"/>
          <w:szCs w:val="16"/>
          <w:lang w:val="en-US"/>
        </w:rPr>
        <w:t>ECHR</w:t>
      </w:r>
      <w:r w:rsidRPr="000E696E">
        <w:rPr>
          <w:rFonts w:ascii="Verdana" w:hAnsi="Verdana"/>
          <w:i/>
          <w:sz w:val="16"/>
          <w:szCs w:val="16"/>
          <w:lang w:val="en-US"/>
        </w:rPr>
        <w:t>, Case of Palomo Sánchez and Others v. Spain</w:t>
      </w:r>
      <w:r w:rsidRPr="000E696E">
        <w:rPr>
          <w:rFonts w:ascii="Verdana" w:hAnsi="Verdana"/>
          <w:sz w:val="16"/>
          <w:szCs w:val="16"/>
          <w:lang w:val="en-US"/>
        </w:rPr>
        <w:t xml:space="preserve"> [GS], </w:t>
      </w:r>
      <w:r w:rsidRPr="000E696E">
        <w:rPr>
          <w:rFonts w:ascii="Verdana" w:hAnsi="Verdana"/>
          <w:i/>
          <w:sz w:val="16"/>
          <w:szCs w:val="16"/>
          <w:lang w:val="en-US"/>
        </w:rPr>
        <w:t>supra</w:t>
      </w:r>
      <w:r w:rsidRPr="000E696E">
        <w:rPr>
          <w:rFonts w:ascii="Verdana" w:hAnsi="Verdana"/>
          <w:sz w:val="16"/>
          <w:szCs w:val="16"/>
          <w:lang w:val="en-US"/>
        </w:rPr>
        <w:t xml:space="preserve">, para. 53 to 62. </w:t>
      </w:r>
    </w:p>
  </w:footnote>
  <w:footnote w:id="153">
    <w:p w14:paraId="00BBC28E" w14:textId="1596A069"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iCs/>
        </w:rPr>
        <w:t>Case of Kimel v. Argentina, supra,</w:t>
      </w:r>
      <w:r w:rsidRPr="000E696E">
        <w:t xml:space="preserve"> para. 88. </w:t>
      </w:r>
    </w:p>
  </w:footnote>
  <w:footnote w:id="154">
    <w:p w14:paraId="3E2360FC" w14:textId="380E56E2"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iCs/>
        </w:rPr>
        <w:t>Case of Palomo Sánchez and Others v. Spain [GS], supra,</w:t>
      </w:r>
      <w:r w:rsidRPr="000E696E">
        <w:t xml:space="preserve"> para. 42. and ECHR. </w:t>
      </w:r>
      <w:r w:rsidRPr="000E696E">
        <w:rPr>
          <w:i/>
          <w:iCs/>
        </w:rPr>
        <w:t>Case of Nikula v. Finland</w:t>
      </w:r>
      <w:r w:rsidRPr="000E696E">
        <w:t xml:space="preserve">, No. 31611/96. Judgment of March 21, 2002. para. 48 </w:t>
      </w:r>
    </w:p>
  </w:footnote>
  <w:footnote w:id="155">
    <w:p w14:paraId="3E734E46" w14:textId="2C77B0DE"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rPr>
        <w:t>Mutatis mutandi</w:t>
      </w:r>
      <w:r>
        <w:rPr>
          <w:i/>
        </w:rPr>
        <w:t>s</w:t>
      </w:r>
      <w:r w:rsidRPr="000E696E">
        <w:t xml:space="preserve">: ILO Convention 98: Right to Organize and Collective Bargaining, 1949 (Entry into force: July 18, 1951). Adopted: Geneva, Thirty-second meeting of the ILO General Conference (July 1, 1949). </w:t>
      </w:r>
      <w:r w:rsidRPr="000E696E">
        <w:rPr>
          <w:rFonts w:eastAsia="Times New Roman"/>
        </w:rPr>
        <w:t xml:space="preserve">2.1 Workers' and employers' organisations shall enjoy adequate protection against any acts of interference by each other or each other's agents or members in their establishment, functioning or administration. </w:t>
      </w:r>
      <w:bookmarkStart w:id="46" w:name="A2P2"/>
      <w:bookmarkEnd w:id="46"/>
      <w:r w:rsidRPr="000E696E">
        <w:rPr>
          <w:rFonts w:eastAsia="Times New Roman"/>
        </w:rPr>
        <w:t>2.2 In particular, acts which are designed to promote the establishment of workers' organisations under the domination of employers or employers' organisations, or to support workers' organisations by financial or other means, with the object of placing such organisations under the control of employers or employers' organisations, shall be deemed to constitute acts of interference within the meaning of this Article.</w:t>
      </w:r>
    </w:p>
  </w:footnote>
  <w:footnote w:id="156">
    <w:p w14:paraId="7204C280" w14:textId="06C8FA30" w:rsidR="0068647C" w:rsidRPr="000E696E" w:rsidRDefault="0068647C" w:rsidP="00D61BD2">
      <w:pPr>
        <w:pStyle w:val="Textonotapie"/>
      </w:pPr>
      <w:r w:rsidRPr="000E696E">
        <w:rPr>
          <w:rStyle w:val="Refdenotaalpie"/>
          <w:sz w:val="16"/>
        </w:rPr>
        <w:footnoteRef/>
      </w:r>
      <w:r w:rsidRPr="000E696E">
        <w:t xml:space="preserve"> </w:t>
      </w:r>
      <w:r w:rsidRPr="000E696E">
        <w:tab/>
        <w:t>ECHR</w:t>
      </w:r>
      <w:r w:rsidRPr="000E696E">
        <w:rPr>
          <w:i/>
        </w:rPr>
        <w:t xml:space="preserve">. Case of Fuentes Bobo v. Spain. No. 39293/98. </w:t>
      </w:r>
      <w:r w:rsidRPr="000E696E">
        <w:rPr>
          <w:iCs/>
        </w:rPr>
        <w:t>Judgment of February 29, 2009</w:t>
      </w:r>
      <w:r w:rsidRPr="000E696E">
        <w:rPr>
          <w:i/>
        </w:rPr>
        <w:t xml:space="preserve">. </w:t>
      </w:r>
      <w:r w:rsidRPr="000E696E">
        <w:t>para. 40.</w:t>
      </w:r>
      <w:r w:rsidRPr="000E696E">
        <w:rPr>
          <w:i/>
        </w:rPr>
        <w:t xml:space="preserve"> </w:t>
      </w:r>
      <w:r w:rsidRPr="000E696E">
        <w:t xml:space="preserve">The Court, while acknowledging that the phrases used were offensive, concluded that they occurred in a context of a “prolonged public debate concerning matters of general interest relating to the management of public television.” </w:t>
      </w:r>
      <w:r w:rsidRPr="000E696E">
        <w:rPr>
          <w:i/>
        </w:rPr>
        <w:t>Cf.</w:t>
      </w:r>
      <w:r w:rsidRPr="000E696E">
        <w:t xml:space="preserve"> ILO, Recommendation on Workers’ Representatives, 1971 (No. 143), Recommendation on protection and facilities that should be afforded to workers’ representatives. Fifty-sixth Session of the ILO General Conference; date adopted June 23, 1971. See also. </w:t>
      </w:r>
      <w:r w:rsidRPr="000E696E">
        <w:rPr>
          <w:i/>
        </w:rPr>
        <w:t>Mutatis mutandi</w:t>
      </w:r>
      <w:r>
        <w:rPr>
          <w:i/>
        </w:rPr>
        <w:t>s</w:t>
      </w:r>
      <w:r w:rsidRPr="000E696E">
        <w:t>: ILO, Freedom of Association and Collective Bargaining” para. 212, p. 96.</w:t>
      </w:r>
    </w:p>
  </w:footnote>
  <w:footnote w:id="157">
    <w:p w14:paraId="5A8F5CEC" w14:textId="4FD03FDE"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rPr>
        <w:t>Cf. The Word “Laws” in Article 30 of the American Convention on Human Rights. OC-6/86, supra,</w:t>
      </w:r>
      <w:r w:rsidRPr="000E696E">
        <w:t xml:space="preserve"> paras. 35 and 37; </w:t>
      </w:r>
      <w:r w:rsidRPr="000E696E">
        <w:rPr>
          <w:rStyle w:val="Textoennegrita"/>
          <w:b w:val="0"/>
          <w:i/>
          <w:color w:val="000000"/>
          <w:shd w:val="clear" w:color="auto" w:fill="FFFFFF"/>
        </w:rPr>
        <w:t>Case of Mémoli v. Argentina</w:t>
      </w:r>
      <w:r w:rsidRPr="000E696E">
        <w:rPr>
          <w:rStyle w:val="Textoennegrita"/>
          <w:b w:val="0"/>
          <w:color w:val="000000"/>
          <w:shd w:val="clear" w:color="auto" w:fill="FFFFFF"/>
        </w:rPr>
        <w:t xml:space="preserve">, </w:t>
      </w:r>
      <w:r w:rsidRPr="000E696E">
        <w:rPr>
          <w:rStyle w:val="Textoennegrita"/>
          <w:b w:val="0"/>
          <w:i/>
          <w:color w:val="000000"/>
          <w:shd w:val="clear" w:color="auto" w:fill="FFFFFF"/>
        </w:rPr>
        <w:t>supra</w:t>
      </w:r>
      <w:r w:rsidRPr="000E696E">
        <w:rPr>
          <w:rStyle w:val="Textoennegrita"/>
          <w:b w:val="0"/>
          <w:color w:val="000000"/>
          <w:shd w:val="clear" w:color="auto" w:fill="FFFFFF"/>
        </w:rPr>
        <w:t xml:space="preserve">, para. 130, and </w:t>
      </w:r>
      <w:r w:rsidRPr="000E696E">
        <w:rPr>
          <w:rStyle w:val="Textoennegrita"/>
          <w:b w:val="0"/>
          <w:i/>
          <w:color w:val="000000"/>
          <w:shd w:val="clear" w:color="auto" w:fill="FFFFFF"/>
        </w:rPr>
        <w:t xml:space="preserve">Case of Granier et al. v. Venezuela, supra, </w:t>
      </w:r>
      <w:r w:rsidRPr="000E696E">
        <w:rPr>
          <w:rStyle w:val="Textoennegrita"/>
          <w:b w:val="0"/>
          <w:color w:val="000000"/>
          <w:shd w:val="clear" w:color="auto" w:fill="FFFFFF"/>
        </w:rPr>
        <w:t>para. 119.</w:t>
      </w:r>
    </w:p>
  </w:footnote>
  <w:footnote w:id="158">
    <w:p w14:paraId="48ECA5E5" w14:textId="3DF702F8"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rPr>
        <w:t>Cf.</w:t>
      </w:r>
      <w:r w:rsidRPr="000E696E">
        <w:t xml:space="preserve"> </w:t>
      </w:r>
      <w:r w:rsidRPr="000E696E">
        <w:rPr>
          <w:rStyle w:val="Textoennegrita"/>
          <w:b w:val="0"/>
          <w:i/>
          <w:color w:val="000000"/>
          <w:shd w:val="clear" w:color="auto" w:fill="FFFFFF"/>
        </w:rPr>
        <w:t>Case of Castillo Petruzzi et al. v. Peru. Merits, reparations and costs</w:t>
      </w:r>
      <w:r w:rsidRPr="000E696E">
        <w:rPr>
          <w:rStyle w:val="Textoennegrita"/>
          <w:b w:val="0"/>
          <w:color w:val="000000"/>
          <w:shd w:val="clear" w:color="auto" w:fill="FFFFFF"/>
        </w:rPr>
        <w:t>. Judgment of May 30, 1999. Series C No. 52. para. 121</w:t>
      </w:r>
      <w:r w:rsidRPr="000E696E">
        <w:rPr>
          <w:rStyle w:val="Textoennegrita"/>
          <w:b w:val="0"/>
          <w:i/>
          <w:color w:val="000000"/>
          <w:shd w:val="clear" w:color="auto" w:fill="FFFFFF"/>
        </w:rPr>
        <w:t>; Case of Kimel v. Argentina,</w:t>
      </w:r>
      <w:r w:rsidRPr="000E696E">
        <w:rPr>
          <w:rStyle w:val="Textoennegrita"/>
          <w:b w:val="0"/>
          <w:color w:val="000000"/>
          <w:shd w:val="clear" w:color="auto" w:fill="FFFFFF"/>
        </w:rPr>
        <w:t xml:space="preserve"> </w:t>
      </w:r>
      <w:r w:rsidRPr="000E696E">
        <w:rPr>
          <w:rStyle w:val="Textoennegrita"/>
          <w:b w:val="0"/>
          <w:i/>
          <w:color w:val="000000"/>
          <w:shd w:val="clear" w:color="auto" w:fill="FFFFFF"/>
        </w:rPr>
        <w:t>supra</w:t>
      </w:r>
      <w:r w:rsidRPr="000E696E">
        <w:rPr>
          <w:rStyle w:val="Textoennegrita"/>
          <w:b w:val="0"/>
          <w:color w:val="000000"/>
          <w:shd w:val="clear" w:color="auto" w:fill="FFFFFF"/>
        </w:rPr>
        <w:t xml:space="preserve">, para. 63, and </w:t>
      </w:r>
      <w:r w:rsidRPr="000E696E">
        <w:rPr>
          <w:rStyle w:val="Textoennegrita"/>
          <w:b w:val="0"/>
          <w:i/>
          <w:color w:val="000000"/>
          <w:shd w:val="clear" w:color="auto" w:fill="FFFFFF"/>
        </w:rPr>
        <w:t xml:space="preserve">Case of Memolí v. Argentina, supra, </w:t>
      </w:r>
      <w:r w:rsidRPr="000E696E">
        <w:rPr>
          <w:rStyle w:val="Textoennegrita"/>
          <w:b w:val="0"/>
          <w:color w:val="000000"/>
          <w:shd w:val="clear" w:color="auto" w:fill="FFFFFF"/>
        </w:rPr>
        <w:t>para. 154</w:t>
      </w:r>
    </w:p>
  </w:footnote>
  <w:footnote w:id="159">
    <w:p w14:paraId="39A52C11" w14:textId="6AAE3D32"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iCs/>
        </w:rPr>
        <w:t>Cf.</w:t>
      </w:r>
      <w:r w:rsidRPr="000E696E">
        <w:t xml:space="preserve"> </w:t>
      </w:r>
      <w:r w:rsidRPr="000E696E">
        <w:rPr>
          <w:rStyle w:val="Textoennegrita"/>
          <w:b w:val="0"/>
          <w:i/>
          <w:color w:val="000000"/>
          <w:shd w:val="clear" w:color="auto" w:fill="FFFFFF"/>
        </w:rPr>
        <w:t>Case of Fontevecchia and D’Amico v. Argentina</w:t>
      </w:r>
      <w:r w:rsidRPr="000E696E">
        <w:rPr>
          <w:rStyle w:val="Textoennegrita"/>
          <w:b w:val="0"/>
          <w:color w:val="000000"/>
          <w:shd w:val="clear" w:color="auto" w:fill="FFFFFF"/>
        </w:rPr>
        <w:t xml:space="preserve">, </w:t>
      </w:r>
      <w:r w:rsidRPr="000E696E">
        <w:rPr>
          <w:rStyle w:val="Textoennegrita"/>
          <w:b w:val="0"/>
          <w:i/>
          <w:color w:val="000000"/>
          <w:shd w:val="clear" w:color="auto" w:fill="FFFFFF"/>
        </w:rPr>
        <w:t>supra</w:t>
      </w:r>
      <w:r w:rsidRPr="000E696E">
        <w:rPr>
          <w:rStyle w:val="Textoennegrita"/>
          <w:b w:val="0"/>
          <w:color w:val="000000"/>
          <w:shd w:val="clear" w:color="auto" w:fill="FFFFFF"/>
        </w:rPr>
        <w:t>, para. 89.</w:t>
      </w:r>
    </w:p>
  </w:footnote>
  <w:footnote w:id="160">
    <w:p w14:paraId="109854E8" w14:textId="1612000C" w:rsidR="0068647C" w:rsidRPr="004204B2" w:rsidRDefault="0068647C" w:rsidP="00D61BD2">
      <w:pPr>
        <w:pStyle w:val="Textonotapie"/>
        <w:rPr>
          <w:lang w:val="es-CR"/>
        </w:rPr>
      </w:pPr>
      <w:r w:rsidRPr="000E696E">
        <w:rPr>
          <w:rStyle w:val="Refdenotaalpie"/>
          <w:sz w:val="16"/>
        </w:rPr>
        <w:footnoteRef/>
      </w:r>
      <w:r w:rsidRPr="000E696E">
        <w:t xml:space="preserve"> </w:t>
      </w:r>
      <w:r w:rsidRPr="000E696E">
        <w:tab/>
      </w:r>
      <w:r w:rsidRPr="000E696E">
        <w:rPr>
          <w:rStyle w:val="Textoennegrita"/>
          <w:b w:val="0"/>
          <w:i/>
          <w:color w:val="000000"/>
          <w:shd w:val="clear" w:color="auto" w:fill="FFFFFF"/>
        </w:rPr>
        <w:t>Case of Fontevecchia and D’Amico v. Argentina,</w:t>
      </w:r>
      <w:r w:rsidRPr="000E696E">
        <w:rPr>
          <w:rStyle w:val="Textoennegrita"/>
          <w:b w:val="0"/>
          <w:color w:val="000000"/>
          <w:shd w:val="clear" w:color="auto" w:fill="FFFFFF"/>
        </w:rPr>
        <w:t xml:space="preserve"> </w:t>
      </w:r>
      <w:r w:rsidRPr="000E696E">
        <w:rPr>
          <w:rStyle w:val="Textoennegrita"/>
          <w:b w:val="0"/>
          <w:i/>
          <w:color w:val="000000"/>
          <w:shd w:val="clear" w:color="auto" w:fill="FFFFFF"/>
        </w:rPr>
        <w:t>supra</w:t>
      </w:r>
      <w:r w:rsidRPr="000E696E">
        <w:rPr>
          <w:rStyle w:val="Textoennegrita"/>
          <w:b w:val="0"/>
          <w:color w:val="000000"/>
          <w:shd w:val="clear" w:color="auto" w:fill="FFFFFF"/>
        </w:rPr>
        <w:t xml:space="preserve">, para. </w:t>
      </w:r>
      <w:r w:rsidRPr="004204B2">
        <w:rPr>
          <w:rStyle w:val="Textoennegrita"/>
          <w:b w:val="0"/>
          <w:color w:val="000000"/>
          <w:shd w:val="clear" w:color="auto" w:fill="FFFFFF"/>
          <w:lang w:val="es-CR"/>
        </w:rPr>
        <w:t>90.</w:t>
      </w:r>
    </w:p>
  </w:footnote>
  <w:footnote w:id="161">
    <w:p w14:paraId="0287525A" w14:textId="61577E03" w:rsidR="0068647C" w:rsidRPr="000E696E" w:rsidRDefault="0068647C" w:rsidP="00D61BD2">
      <w:pPr>
        <w:pStyle w:val="Textonotapie"/>
        <w:rPr>
          <w:shd w:val="clear" w:color="auto" w:fill="FFFFFF"/>
        </w:rPr>
      </w:pPr>
      <w:r w:rsidRPr="000E696E">
        <w:rPr>
          <w:rStyle w:val="Refdenotaalpie"/>
          <w:sz w:val="16"/>
        </w:rPr>
        <w:footnoteRef/>
      </w:r>
      <w:r w:rsidRPr="004204B2">
        <w:rPr>
          <w:lang w:val="es-CR"/>
        </w:rPr>
        <w:t xml:space="preserve"> </w:t>
      </w:r>
      <w:r w:rsidRPr="004204B2">
        <w:rPr>
          <w:lang w:val="es-CR"/>
        </w:rPr>
        <w:tab/>
      </w:r>
      <w:r w:rsidRPr="004204B2">
        <w:rPr>
          <w:i/>
          <w:iCs/>
          <w:lang w:val="es-CR"/>
        </w:rPr>
        <w:t xml:space="preserve">Cf. </w:t>
      </w:r>
      <w:r w:rsidRPr="004204B2">
        <w:rPr>
          <w:i/>
          <w:iCs/>
          <w:shd w:val="clear" w:color="auto" w:fill="FFFFFF"/>
          <w:lang w:val="es-CR"/>
        </w:rPr>
        <w:t xml:space="preserve">Case of Castillo </w:t>
      </w:r>
      <w:r w:rsidRPr="004204B2">
        <w:rPr>
          <w:i/>
          <w:iCs/>
          <w:shd w:val="clear" w:color="auto" w:fill="FFFFFF"/>
          <w:lang w:val="es-CR"/>
        </w:rPr>
        <w:t xml:space="preserve">Petruzzi et al. v. Peru, supra, </w:t>
      </w:r>
      <w:r w:rsidRPr="004204B2">
        <w:rPr>
          <w:shd w:val="clear" w:color="auto" w:fill="FFFFFF"/>
          <w:lang w:val="es-CR"/>
        </w:rPr>
        <w:t xml:space="preserve">para. </w:t>
      </w:r>
      <w:r w:rsidRPr="000E696E">
        <w:rPr>
          <w:shd w:val="clear" w:color="auto" w:fill="FFFFFF"/>
        </w:rPr>
        <w:t>207, and</w:t>
      </w:r>
      <w:r w:rsidRPr="000E696E">
        <w:rPr>
          <w:i/>
          <w:iCs/>
          <w:shd w:val="clear" w:color="auto" w:fill="FFFFFF"/>
        </w:rPr>
        <w:t xml:space="preserve"> Case of Lopez Lone et al. v. Honduras, supra,</w:t>
      </w:r>
      <w:r w:rsidRPr="000E696E">
        <w:rPr>
          <w:shd w:val="clear" w:color="auto" w:fill="FFFFFF"/>
        </w:rPr>
        <w:t xml:space="preserve"> para. 214.</w:t>
      </w:r>
    </w:p>
  </w:footnote>
  <w:footnote w:id="162">
    <w:p w14:paraId="06EE5368" w14:textId="75014CB6" w:rsidR="0068647C" w:rsidRPr="000E696E" w:rsidRDefault="0068647C" w:rsidP="00AA1EBF">
      <w:pPr>
        <w:spacing w:after="60"/>
        <w:jc w:val="both"/>
        <w:rPr>
          <w:rFonts w:ascii="Verdana" w:hAnsi="Verdana" w:cs="Arial"/>
          <w:sz w:val="16"/>
          <w:szCs w:val="16"/>
          <w:lang w:val="en-US"/>
        </w:rPr>
      </w:pPr>
      <w:r w:rsidRPr="000E696E">
        <w:rPr>
          <w:rStyle w:val="Refdenotaalpie"/>
          <w:rFonts w:cs="Times"/>
          <w:sz w:val="16"/>
          <w:szCs w:val="16"/>
          <w:lang w:val="en-US"/>
        </w:rPr>
        <w:footnoteRef/>
      </w:r>
      <w:r w:rsidRPr="000E696E">
        <w:rPr>
          <w:rStyle w:val="Refdenotaalpie"/>
          <w:rFonts w:cs="Times"/>
          <w:sz w:val="16"/>
          <w:szCs w:val="16"/>
          <w:lang w:val="en-US"/>
        </w:rPr>
        <w:t xml:space="preserve"> </w:t>
      </w:r>
      <w:r w:rsidRPr="000E696E">
        <w:rPr>
          <w:rFonts w:ascii="Verdana" w:hAnsi="Verdana"/>
          <w:sz w:val="16"/>
          <w:szCs w:val="16"/>
          <w:lang w:val="en-US"/>
        </w:rPr>
        <w:tab/>
      </w:r>
      <w:r w:rsidRPr="000E696E">
        <w:rPr>
          <w:rFonts w:ascii="Verdana" w:hAnsi="Verdana"/>
          <w:i/>
          <w:sz w:val="16"/>
          <w:szCs w:val="16"/>
          <w:lang w:val="en-US"/>
        </w:rPr>
        <w:t xml:space="preserve">Compulsory Membership of an Association Prescribed by Law for the Practice of Journalism OC-5/85, supra </w:t>
      </w:r>
      <w:r w:rsidRPr="000E696E">
        <w:rPr>
          <w:rFonts w:ascii="Verdana" w:hAnsi="Verdana"/>
          <w:sz w:val="16"/>
          <w:szCs w:val="16"/>
          <w:lang w:val="en-US"/>
        </w:rPr>
        <w:t>footnote 36, paras. 41 to 46. In the latter paragraph, the Court indicated: “[i]</w:t>
      </w:r>
      <w:r w:rsidRPr="000E696E">
        <w:rPr>
          <w:rFonts w:ascii="Verdana" w:hAnsi="Verdana" w:cs="Arial"/>
          <w:sz w:val="16"/>
          <w:szCs w:val="16"/>
          <w:lang w:val="en-US"/>
        </w:rPr>
        <w:t>t is important to note that the European Court of Human Rights, in interpreting Article 10 of the European Convention, concluded that ‘necessary,’ while not synonymous with ‘indispensable,’ implied ‘the existence of a 'pressing social need' and that for a restriction to be ‘necessary,’ it is not enough to show that it is ‘useful,’ ‘reasonable’ or ‘desirable.’</w:t>
      </w:r>
      <w:r w:rsidRPr="000E696E">
        <w:rPr>
          <w:rFonts w:ascii="Verdana" w:hAnsi="Verdana"/>
          <w:sz w:val="16"/>
          <w:szCs w:val="16"/>
          <w:lang w:val="en-US"/>
        </w:rPr>
        <w:t xml:space="preserve"> […]. </w:t>
      </w:r>
      <w:r w:rsidRPr="000E696E">
        <w:rPr>
          <w:rFonts w:ascii="Verdana" w:hAnsi="Verdana" w:cs="Arial"/>
          <w:sz w:val="16"/>
          <w:szCs w:val="16"/>
          <w:lang w:val="en-US"/>
        </w:rPr>
        <w:t>This conclusion, which is equally applicable to the American Convention, suggests that the ‘necessity’ and, hence, the legality of restrictions imposed under Article 13(2) on freedom of expression, depend upon showing that the restrictions are required by a compelling public interest.</w:t>
      </w:r>
      <w:r w:rsidRPr="000E696E">
        <w:rPr>
          <w:rFonts w:ascii="Verdana" w:hAnsi="Verdana"/>
          <w:sz w:val="16"/>
          <w:szCs w:val="16"/>
          <w:lang w:val="en-US"/>
        </w:rPr>
        <w:t xml:space="preserve">” Also, </w:t>
      </w:r>
      <w:r w:rsidRPr="000E696E">
        <w:rPr>
          <w:rFonts w:ascii="Verdana" w:hAnsi="Verdana"/>
          <w:i/>
          <w:sz w:val="16"/>
          <w:szCs w:val="16"/>
          <w:lang w:val="en-US"/>
        </w:rPr>
        <w:t>Cf.</w:t>
      </w:r>
      <w:r w:rsidRPr="000E696E">
        <w:rPr>
          <w:rFonts w:ascii="Verdana" w:hAnsi="Verdana"/>
          <w:sz w:val="16"/>
          <w:szCs w:val="16"/>
          <w:lang w:val="en-US"/>
        </w:rPr>
        <w:t xml:space="preserve"> ECHR, </w:t>
      </w:r>
      <w:r w:rsidRPr="000E696E">
        <w:rPr>
          <w:rFonts w:ascii="Verdana" w:hAnsi="Verdana"/>
          <w:i/>
          <w:sz w:val="16"/>
          <w:szCs w:val="16"/>
          <w:lang w:val="en-US"/>
        </w:rPr>
        <w:t>Case of Editions Plon v. France</w:t>
      </w:r>
      <w:r w:rsidRPr="000E696E">
        <w:rPr>
          <w:rFonts w:ascii="Verdana" w:hAnsi="Verdana"/>
          <w:sz w:val="16"/>
          <w:szCs w:val="16"/>
          <w:lang w:val="en-US"/>
        </w:rPr>
        <w:t xml:space="preserve">, Judgment of May 18, 2004, para. 42, and ECHR. </w:t>
      </w:r>
      <w:r w:rsidRPr="000E696E">
        <w:rPr>
          <w:rFonts w:ascii="Verdana" w:hAnsi="Verdana"/>
          <w:i/>
          <w:sz w:val="16"/>
          <w:szCs w:val="16"/>
          <w:lang w:val="en-US"/>
        </w:rPr>
        <w:t xml:space="preserve">Case of MGN Limited v. The United Kingdom. </w:t>
      </w:r>
      <w:r w:rsidRPr="000E696E">
        <w:rPr>
          <w:rFonts w:ascii="Verdana" w:hAnsi="Verdana"/>
          <w:iCs/>
          <w:sz w:val="16"/>
          <w:szCs w:val="16"/>
          <w:lang w:val="en-US"/>
        </w:rPr>
        <w:t>No. 39401/04. Judgment of January 18, 2011. para. 139.</w:t>
      </w:r>
    </w:p>
  </w:footnote>
  <w:footnote w:id="163">
    <w:p w14:paraId="1AE07A99" w14:textId="76346417"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iCs/>
          <w:shd w:val="clear" w:color="auto" w:fill="FFFFFF"/>
        </w:rPr>
        <w:t xml:space="preserve">Cf. Case of “The Last Temptation of Christ” (Olmedo Bustos et al.) v. Chile, supra, </w:t>
      </w:r>
      <w:r w:rsidRPr="000E696E">
        <w:rPr>
          <w:shd w:val="clear" w:color="auto" w:fill="FFFFFF"/>
        </w:rPr>
        <w:t>para. 69 and</w:t>
      </w:r>
      <w:r w:rsidRPr="000E696E">
        <w:rPr>
          <w:i/>
          <w:iCs/>
          <w:shd w:val="clear" w:color="auto" w:fill="FFFFFF"/>
        </w:rPr>
        <w:t xml:space="preserve"> Case of López Lone et al. v. Honduras, supra,</w:t>
      </w:r>
      <w:r w:rsidRPr="000E696E">
        <w:rPr>
          <w:shd w:val="clear" w:color="auto" w:fill="FFFFFF"/>
        </w:rPr>
        <w:t xml:space="preserve"> para. 168.</w:t>
      </w:r>
    </w:p>
  </w:footnote>
  <w:footnote w:id="164">
    <w:p w14:paraId="30CC0BB6" w14:textId="7915583E"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iCs/>
        </w:rPr>
        <w:t xml:space="preserve">Cf. </w:t>
      </w:r>
      <w:r w:rsidRPr="000E696E">
        <w:t>ECHR,</w:t>
      </w:r>
      <w:r w:rsidRPr="000E696E">
        <w:rPr>
          <w:i/>
          <w:iCs/>
        </w:rPr>
        <w:t xml:space="preserve"> Case of Fuentes Bobo v. Spain</w:t>
      </w:r>
      <w:r w:rsidRPr="000E696E">
        <w:t>, Judgment of February 29, 2000,</w:t>
      </w:r>
      <w:r w:rsidRPr="000E696E">
        <w:rPr>
          <w:i/>
          <w:iCs/>
        </w:rPr>
        <w:t xml:space="preserve"> supra</w:t>
      </w:r>
      <w:r w:rsidRPr="000E696E">
        <w:t xml:space="preserve">, para. 42 and ECHR. </w:t>
      </w:r>
      <w:r w:rsidRPr="000E696E">
        <w:rPr>
          <w:i/>
          <w:iCs/>
        </w:rPr>
        <w:t xml:space="preserve">Case of Palomo Sánchez and Others v. Spain </w:t>
      </w:r>
      <w:r w:rsidRPr="000E696E">
        <w:t>[GS], supra, para. 63.</w:t>
      </w:r>
    </w:p>
  </w:footnote>
  <w:footnote w:id="165">
    <w:p w14:paraId="66ACFA9A" w14:textId="3D4547E7"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rPr>
        <w:t>Cf.</w:t>
      </w:r>
      <w:r w:rsidRPr="000E696E">
        <w:t xml:space="preserve"> ECHR</w:t>
      </w:r>
      <w:r w:rsidRPr="000E696E">
        <w:rPr>
          <w:i/>
        </w:rPr>
        <w:t>. Case of Heinisch v. Germany.</w:t>
      </w:r>
      <w:r w:rsidRPr="000E696E">
        <w:t xml:space="preserve"> No. 28274/08. Judgment of July 21, 2011, para. 91, and ECHR</w:t>
      </w:r>
      <w:r w:rsidRPr="000E696E">
        <w:rPr>
          <w:i/>
        </w:rPr>
        <w:t>. Case of Palomo Sánchez v. Spain [GS]</w:t>
      </w:r>
      <w:r w:rsidRPr="000E696E">
        <w:t xml:space="preserve">, </w:t>
      </w:r>
      <w:r w:rsidRPr="000E696E">
        <w:rPr>
          <w:i/>
        </w:rPr>
        <w:t>supra</w:t>
      </w:r>
      <w:r w:rsidRPr="000E696E">
        <w:t>, paras. 75 and 76; and Expert opinion of Damián Loreti (hearing transcript pp. 43 and 44).</w:t>
      </w:r>
    </w:p>
  </w:footnote>
  <w:footnote w:id="166">
    <w:p w14:paraId="7307B911" w14:textId="5293BDE9" w:rsidR="0068647C" w:rsidRPr="000E696E" w:rsidRDefault="0068647C" w:rsidP="00D61BD2">
      <w:pPr>
        <w:pStyle w:val="Textonotapie"/>
      </w:pPr>
      <w:r w:rsidRPr="000E696E">
        <w:rPr>
          <w:rStyle w:val="Refdenotaalpie"/>
          <w:sz w:val="16"/>
        </w:rPr>
        <w:footnoteRef/>
      </w:r>
      <w:r w:rsidRPr="000E696E">
        <w:t xml:space="preserve"> </w:t>
      </w:r>
      <w:r w:rsidRPr="000E696E">
        <w:tab/>
        <w:t xml:space="preserve">UN. ECOSOC. General Comment 18 affirms the obligation of States to assure individuals their right to work, including the right not to be deprived of work unfairly. See also: Committee on Economic, Social and Cultural Rights, General Comment 18, “The right to work,” E/C.12/GC/18. </w:t>
      </w:r>
    </w:p>
  </w:footnote>
  <w:footnote w:id="167">
    <w:p w14:paraId="28128DCD" w14:textId="3DBA227D"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rPr>
        <w:t>Cf.</w:t>
      </w:r>
      <w:r w:rsidRPr="000E696E">
        <w:t xml:space="preserve"> ILO, Recommendation on Workers’ Representatives, 1971 (No. 143), Recommendation on protection and facilities that should be afforded to workers’ representatives. Fifty-sixth Session of the ILO General Conference; date adopted, June 23, 1971.</w:t>
      </w:r>
    </w:p>
    <w:p w14:paraId="6AD6B8A7" w14:textId="5ACEB0D7" w:rsidR="0068647C" w:rsidRPr="000E696E" w:rsidRDefault="0068647C" w:rsidP="00220883">
      <w:pPr>
        <w:spacing w:after="60"/>
        <w:jc w:val="both"/>
        <w:rPr>
          <w:rFonts w:eastAsia="Times New Roman"/>
          <w:lang w:val="en-US"/>
        </w:rPr>
      </w:pPr>
      <w:r w:rsidRPr="000E696E">
        <w:rPr>
          <w:rFonts w:ascii="Verdana" w:eastAsia="Times New Roman" w:hAnsi="Verdana"/>
          <w:sz w:val="16"/>
          <w:szCs w:val="16"/>
          <w:lang w:val="en-US"/>
        </w:rPr>
        <w:t>Paragraph 6. Where there are not sufficient relevant protective measures applicable to workers in general, specific measures should be taken in which a detailed and precise definition is given of the reasons justifying termination of employment; also, a consultation with, an advisory opinion from, or agreement of an independent body, public or private, or a joint body, before the dismissal of a worker becomes final; and a special recourse procedure open to workers' representatives who consider that their employment has been unjustifiably terminated.</w:t>
      </w:r>
    </w:p>
  </w:footnote>
  <w:footnote w:id="168">
    <w:p w14:paraId="79FDCBC1" w14:textId="4B784989" w:rsidR="0068647C" w:rsidRPr="000E696E" w:rsidRDefault="0068647C" w:rsidP="00AA1EBF">
      <w:pPr>
        <w:autoSpaceDE w:val="0"/>
        <w:autoSpaceDN w:val="0"/>
        <w:adjustRightInd w:val="0"/>
        <w:spacing w:after="60"/>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sz w:val="16"/>
          <w:szCs w:val="16"/>
          <w:lang w:val="en-US" w:eastAsia="es-MX"/>
        </w:rPr>
        <w:t xml:space="preserve">Second Labor Court of Lima. Judgment 08-0891 of August 8, 1991 </w:t>
      </w:r>
      <w:r w:rsidRPr="000E696E">
        <w:rPr>
          <w:rFonts w:ascii="Verdana" w:hAnsi="Verdana"/>
          <w:sz w:val="16"/>
          <w:szCs w:val="16"/>
          <w:lang w:val="en-US"/>
        </w:rPr>
        <w:t xml:space="preserve">(evidence file, annex 12 to the Merits Report, ff. 47 and 48).  </w:t>
      </w:r>
    </w:p>
  </w:footnote>
  <w:footnote w:id="169">
    <w:p w14:paraId="3A5E1CDC" w14:textId="3C50C9E6" w:rsidR="0068647C" w:rsidRPr="000E696E" w:rsidRDefault="0068647C" w:rsidP="00D61BD2">
      <w:pPr>
        <w:pStyle w:val="Textonotapie"/>
      </w:pPr>
      <w:r w:rsidRPr="000E696E">
        <w:rPr>
          <w:rStyle w:val="Refdenotaalpie"/>
          <w:sz w:val="16"/>
        </w:rPr>
        <w:footnoteRef/>
      </w:r>
      <w:r w:rsidRPr="000E696E">
        <w:t xml:space="preserve"> </w:t>
      </w:r>
      <w:r w:rsidRPr="000E696E">
        <w:tab/>
        <w:t xml:space="preserve">According to Article 233 of the 1979 Peruvian Constitution, to ensure the proper administration of justice, it was required that, “in all the instances, a decision shall include a statement of reasons that expressly mentions the applicable law and the grounds for that decision.” Regarding the obligation to state the reasons, the Court has indicated that “it is one of the ‘due guarantees’ included in Article 8(1) to safeguard the right to due process.” “[…] It is a guarantee linked to the proper administration of justice […] that protects the right […] to be tried based on legal grounds in a democratic society.” “The decisions taken by domestic organs that may affect human rights must be duly substantiated because, to the contrary, they would be arbitrary decisions.” Nevertheless, it should be recalled that the obligation to state reasons does not require a detailed answer to every argument of the parties, but it may vary according to the nature of the decision, and must be determined in light of the circumstances of the case, so that “in each case, it is necessary to analyze whether this guarantee has been complied with.” </w:t>
      </w:r>
      <w:r w:rsidRPr="000E696E">
        <w:rPr>
          <w:i/>
        </w:rPr>
        <w:t>Cf.</w:t>
      </w:r>
      <w:r w:rsidRPr="000E696E">
        <w:t xml:space="preserve"> </w:t>
      </w:r>
      <w:r w:rsidRPr="000E696E">
        <w:rPr>
          <w:i/>
        </w:rPr>
        <w:t>Case of Apitz Barbera et al. (“First Court of Administrative Disputes”) v. Venezuela</w:t>
      </w:r>
      <w:r w:rsidRPr="000E696E">
        <w:t xml:space="preserve">. Preliminary objections, merits, reparations and costs. Judgment of August 5, 2008. </w:t>
      </w:r>
      <w:hyperlink r:id="rId5" w:tgtFrame="_blank" w:history="1">
        <w:r w:rsidRPr="000E696E">
          <w:t>Series C No. 182</w:t>
        </w:r>
      </w:hyperlink>
      <w:r w:rsidRPr="000E696E">
        <w:t xml:space="preserve">, para. 90; </w:t>
      </w:r>
      <w:r w:rsidRPr="000E696E">
        <w:rPr>
          <w:rStyle w:val="apple-converted-space"/>
          <w:i/>
        </w:rPr>
        <w:t>Case of Zegarra Marín v. Peru</w:t>
      </w:r>
      <w:r w:rsidRPr="000E696E">
        <w:rPr>
          <w:rStyle w:val="apple-converted-space"/>
        </w:rPr>
        <w:t>,</w:t>
      </w:r>
      <w:r w:rsidRPr="000E696E">
        <w:rPr>
          <w:rStyle w:val="apple-converted-space"/>
          <w:i/>
        </w:rPr>
        <w:t xml:space="preserve"> </w:t>
      </w:r>
      <w:r w:rsidRPr="000E696E">
        <w:rPr>
          <w:i/>
        </w:rPr>
        <w:t>supra,</w:t>
      </w:r>
      <w:r w:rsidRPr="000E696E">
        <w:t xml:space="preserve"> para. 178. </w:t>
      </w:r>
      <w:r w:rsidRPr="000E696E">
        <w:rPr>
          <w:i/>
        </w:rPr>
        <w:t xml:space="preserve">Cf. </w:t>
      </w:r>
      <w:r w:rsidRPr="000E696E">
        <w:t>ECHR</w:t>
      </w:r>
      <w:r w:rsidRPr="000E696E">
        <w:rPr>
          <w:i/>
        </w:rPr>
        <w:t xml:space="preserve"> Case of Hiro </w:t>
      </w:r>
      <w:r w:rsidRPr="000E696E">
        <w:rPr>
          <w:i/>
          <w:iCs/>
        </w:rPr>
        <w:t>Balani</w:t>
      </w:r>
      <w:r w:rsidRPr="000E696E">
        <w:rPr>
          <w:i/>
        </w:rPr>
        <w:t xml:space="preserve"> v. Spain. </w:t>
      </w:r>
      <w:r w:rsidRPr="000E696E">
        <w:t xml:space="preserve">No. 18064/91. Judgment of December 9, 1994. Para. 27; </w:t>
      </w:r>
      <w:r w:rsidRPr="000E696E">
        <w:rPr>
          <w:i/>
        </w:rPr>
        <w:t xml:space="preserve">Case of Ruiz Torija v. Spain. No. 18390/91. </w:t>
      </w:r>
      <w:r w:rsidRPr="000E696E">
        <w:t xml:space="preserve">Judgment of December 9, 1994, para. 29; </w:t>
      </w:r>
      <w:r w:rsidRPr="000E696E">
        <w:rPr>
          <w:i/>
        </w:rPr>
        <w:t>Case of Suominen v. Finland.</w:t>
      </w:r>
      <w:r w:rsidRPr="000E696E">
        <w:t xml:space="preserve"> No. 49684/99. Judgment of September 27, 2011, and </w:t>
      </w:r>
      <w:r w:rsidRPr="000E696E">
        <w:rPr>
          <w:i/>
        </w:rPr>
        <w:t>Case of Hirvisaari v. Finland No</w:t>
      </w:r>
      <w:r w:rsidRPr="000E696E">
        <w:t>. 49684/99. Judgment of September 27, 2011, para. 30.</w:t>
      </w:r>
    </w:p>
  </w:footnote>
  <w:footnote w:id="170">
    <w:p w14:paraId="0853A4B3" w14:textId="73A04FD6" w:rsidR="0068647C" w:rsidRPr="000E696E" w:rsidRDefault="0068647C" w:rsidP="00D61BD2">
      <w:pPr>
        <w:pStyle w:val="Textonotapie"/>
      </w:pPr>
      <w:r w:rsidRPr="000E696E">
        <w:rPr>
          <w:rStyle w:val="Refdenotaalpie"/>
          <w:sz w:val="16"/>
        </w:rPr>
        <w:footnoteRef/>
      </w:r>
      <w:r w:rsidRPr="000E696E">
        <w:t xml:space="preserve"> </w:t>
      </w:r>
      <w:r w:rsidRPr="000E696E">
        <w:tab/>
        <w:t>The italics and bold letters have been added.</w:t>
      </w:r>
    </w:p>
  </w:footnote>
  <w:footnote w:id="171">
    <w:p w14:paraId="428D96F2" w14:textId="1F966254" w:rsidR="0068647C" w:rsidRPr="000E696E" w:rsidRDefault="0068647C" w:rsidP="00D61BD2">
      <w:pPr>
        <w:pStyle w:val="Textonotapie"/>
      </w:pPr>
      <w:r w:rsidRPr="000E696E">
        <w:rPr>
          <w:rStyle w:val="Refdenotaalpie"/>
          <w:sz w:val="16"/>
        </w:rPr>
        <w:footnoteRef/>
      </w:r>
      <w:r w:rsidRPr="000E696E">
        <w:t xml:space="preserve"> </w:t>
      </w:r>
      <w:r w:rsidRPr="000E696E">
        <w:tab/>
        <w:t>Initial petition before the IACHR (evidence file, procedure before the IACHR, ff. 271, 436, 439, 510 and 558 to 561).</w:t>
      </w:r>
    </w:p>
  </w:footnote>
  <w:footnote w:id="172">
    <w:p w14:paraId="4DF8E2F6" w14:textId="04C4E2F9" w:rsidR="0068647C" w:rsidRPr="000E696E" w:rsidRDefault="0068647C" w:rsidP="00AA1EBF">
      <w:pPr>
        <w:spacing w:after="60"/>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Brief of September 30, 1994, presented to the OAS Office in Peru (evidence file, procedure before the IACHR, ff. 516 and 594).</w:t>
      </w:r>
    </w:p>
  </w:footnote>
  <w:footnote w:id="173">
    <w:p w14:paraId="6027C597" w14:textId="47312356" w:rsidR="0068647C" w:rsidRPr="000E696E" w:rsidRDefault="0068647C" w:rsidP="00D61BD2">
      <w:pPr>
        <w:pStyle w:val="Textonotapie"/>
      </w:pPr>
      <w:r w:rsidRPr="000E696E">
        <w:rPr>
          <w:rStyle w:val="Refdenotaalpie"/>
          <w:sz w:val="16"/>
        </w:rPr>
        <w:footnoteRef/>
      </w:r>
      <w:r w:rsidRPr="000E696E">
        <w:t xml:space="preserve"> </w:t>
      </w:r>
      <w:r w:rsidRPr="000E696E">
        <w:tab/>
        <w:t>Brief of the FETIMP dated June 4, 1997 (evidence file, procedure before the IACHR, f. 525).</w:t>
      </w:r>
    </w:p>
  </w:footnote>
  <w:footnote w:id="174">
    <w:p w14:paraId="70D423F8" w14:textId="0122D4A7" w:rsidR="0068647C" w:rsidRPr="000E696E" w:rsidRDefault="0068647C" w:rsidP="00D61BD2">
      <w:pPr>
        <w:pStyle w:val="Textonotapie"/>
      </w:pPr>
      <w:r w:rsidRPr="000E696E">
        <w:rPr>
          <w:rStyle w:val="Refdenotaalpie"/>
          <w:sz w:val="16"/>
        </w:rPr>
        <w:footnoteRef/>
      </w:r>
      <w:r w:rsidRPr="000E696E">
        <w:t xml:space="preserve"> </w:t>
      </w:r>
      <w:r w:rsidRPr="000E696E">
        <w:tab/>
        <w:t>Petition lodged before the IACHR (evidence file, procedure before the IACHR, ff. 371 and 377).</w:t>
      </w:r>
    </w:p>
  </w:footnote>
  <w:footnote w:id="175">
    <w:p w14:paraId="1574D370" w14:textId="2B24FEF8" w:rsidR="0068647C" w:rsidRPr="000E696E" w:rsidRDefault="0068647C" w:rsidP="00D61BD2">
      <w:pPr>
        <w:pStyle w:val="Textonotapie"/>
      </w:pPr>
      <w:r w:rsidRPr="000E696E">
        <w:rPr>
          <w:rStyle w:val="Refdenotaalpie"/>
          <w:sz w:val="16"/>
        </w:rPr>
        <w:footnoteRef/>
      </w:r>
      <w:r w:rsidRPr="000E696E">
        <w:t xml:space="preserve"> </w:t>
      </w:r>
      <w:r w:rsidRPr="000E696E">
        <w:tab/>
        <w:t>IACHR brief of September 2, 1997 (evidence file, procedure before the IACHR, f. 182).</w:t>
      </w:r>
    </w:p>
  </w:footnote>
  <w:footnote w:id="176">
    <w:p w14:paraId="3DE02A35" w14:textId="14574514" w:rsidR="0068647C" w:rsidRPr="000E696E" w:rsidRDefault="0068647C" w:rsidP="00D61BD2">
      <w:pPr>
        <w:pStyle w:val="Textonotapie"/>
      </w:pPr>
      <w:r w:rsidRPr="000E696E">
        <w:rPr>
          <w:rStyle w:val="Refdenotaalpie"/>
          <w:sz w:val="16"/>
        </w:rPr>
        <w:footnoteRef/>
      </w:r>
      <w:r w:rsidRPr="000E696E">
        <w:t xml:space="preserve"> </w:t>
      </w:r>
      <w:r w:rsidRPr="000E696E">
        <w:tab/>
        <w:t>Petition updated and formalized addressed to the Inter-American Commission on July 22, 1998 (evidence file, procedure before the IACHR, ff. 186, 192, 426, 432, 451 and 457).</w:t>
      </w:r>
    </w:p>
  </w:footnote>
  <w:footnote w:id="177">
    <w:p w14:paraId="5BC007C6" w14:textId="71A7EB84" w:rsidR="0068647C" w:rsidRPr="000E696E" w:rsidRDefault="0068647C" w:rsidP="00D61BD2">
      <w:pPr>
        <w:pStyle w:val="Textonotapie"/>
      </w:pPr>
      <w:r w:rsidRPr="000E696E">
        <w:rPr>
          <w:rStyle w:val="Refdenotaalpie"/>
          <w:sz w:val="16"/>
        </w:rPr>
        <w:footnoteRef/>
      </w:r>
      <w:r w:rsidRPr="000E696E">
        <w:t xml:space="preserve"> </w:t>
      </w:r>
      <w:r w:rsidRPr="000E696E">
        <w:tab/>
        <w:t>Brief submitted to the IACHR of January 21, 2002 (evidence file, procedure before the IACHR, f. 380).</w:t>
      </w:r>
    </w:p>
  </w:footnote>
  <w:footnote w:id="178">
    <w:p w14:paraId="70F70C92" w14:textId="5ADFFF49" w:rsidR="0068647C" w:rsidRPr="000E696E" w:rsidRDefault="0068647C" w:rsidP="00D61BD2">
      <w:pPr>
        <w:pStyle w:val="Textonotapie"/>
      </w:pPr>
      <w:r w:rsidRPr="000E696E">
        <w:rPr>
          <w:rStyle w:val="Refdenotaalpie"/>
          <w:sz w:val="16"/>
        </w:rPr>
        <w:footnoteRef/>
      </w:r>
      <w:r w:rsidRPr="000E696E">
        <w:t xml:space="preserve"> </w:t>
      </w:r>
      <w:r w:rsidRPr="000E696E">
        <w:tab/>
        <w:t xml:space="preserve">Brief submitted to the IACHR of February 20, 2003 (evidence file, procedure before the IACHR, ff. 272 and 296). </w:t>
      </w:r>
    </w:p>
  </w:footnote>
  <w:footnote w:id="179">
    <w:p w14:paraId="50AA2E7B" w14:textId="65937D79" w:rsidR="0068647C" w:rsidRPr="000E696E" w:rsidRDefault="0068647C" w:rsidP="00D61BD2">
      <w:pPr>
        <w:pStyle w:val="Textonotapie"/>
      </w:pPr>
      <w:r w:rsidRPr="000E696E">
        <w:rPr>
          <w:rStyle w:val="Refdenotaalpie"/>
          <w:rFonts w:eastAsia="Calibri"/>
          <w:sz w:val="16"/>
        </w:rPr>
        <w:footnoteRef/>
      </w:r>
      <w:r w:rsidRPr="000E696E">
        <w:t xml:space="preserve"> </w:t>
      </w:r>
      <w:r w:rsidRPr="000E696E">
        <w:tab/>
        <w:t xml:space="preserve">Report No. </w:t>
      </w:r>
      <w:r w:rsidRPr="000E696E">
        <w:rPr>
          <w:bCs/>
        </w:rPr>
        <w:t xml:space="preserve">21-2003-JUS/CNDH-SE of the Executive Secretariat of the National Human Rights Council of </w:t>
      </w:r>
      <w:r w:rsidRPr="000E696E">
        <w:t>Peru of March 7, 2003 (evidence file, procedure before the IACHR, f. 224) and Report No. 57-2007-JUS/CNDH/SE/CESAPI of the Special Committee for Monitoring International Proceedings of May 15, 2007 (evidence file, procedure before the IACHR, f. 947).</w:t>
      </w:r>
    </w:p>
  </w:footnote>
  <w:footnote w:id="180">
    <w:p w14:paraId="2BC5FEAD" w14:textId="4E8CE4E7" w:rsidR="0068647C" w:rsidRPr="000E696E" w:rsidRDefault="0068647C" w:rsidP="00D61BD2">
      <w:pPr>
        <w:pStyle w:val="Textonotapie"/>
      </w:pPr>
      <w:r w:rsidRPr="000E696E">
        <w:rPr>
          <w:rStyle w:val="Refdenotaalpie"/>
          <w:sz w:val="16"/>
        </w:rPr>
        <w:footnoteRef/>
      </w:r>
      <w:r w:rsidRPr="000E696E">
        <w:t xml:space="preserve"> </w:t>
      </w:r>
      <w:r w:rsidRPr="000E696E">
        <w:tab/>
        <w:t>Communication of the IACHR of November 12, 2010 (evidence file, procedure before the IACHR, f. 773).</w:t>
      </w:r>
    </w:p>
  </w:footnote>
  <w:footnote w:id="181">
    <w:p w14:paraId="65C7EC17" w14:textId="7A82A96A" w:rsidR="0068647C" w:rsidRPr="000E696E" w:rsidRDefault="0068647C" w:rsidP="00D61BD2">
      <w:pPr>
        <w:pStyle w:val="Textonotapie"/>
      </w:pPr>
      <w:r w:rsidRPr="000E696E">
        <w:rPr>
          <w:rStyle w:val="Refdenotaalpie"/>
          <w:sz w:val="16"/>
        </w:rPr>
        <w:footnoteRef/>
      </w:r>
      <w:r w:rsidRPr="000E696E">
        <w:t xml:space="preserve"> </w:t>
      </w:r>
      <w:r w:rsidRPr="000E696E">
        <w:tab/>
        <w:t>Admissibility Report No. 152/10 adopted on November 1, 2010 (evidence file, procedure before the IACHR, ff. 776 and 784).</w:t>
      </w:r>
    </w:p>
  </w:footnote>
  <w:footnote w:id="182">
    <w:p w14:paraId="41B925DE" w14:textId="0BEE70A7" w:rsidR="0068647C" w:rsidRPr="000E696E" w:rsidRDefault="0068647C" w:rsidP="00D61BD2">
      <w:pPr>
        <w:pStyle w:val="Textonotapie"/>
      </w:pPr>
      <w:r w:rsidRPr="000E696E">
        <w:rPr>
          <w:rStyle w:val="Refdenotaalpie"/>
          <w:sz w:val="16"/>
        </w:rPr>
        <w:footnoteRef/>
      </w:r>
      <w:r w:rsidRPr="000E696E">
        <w:t xml:space="preserve"> </w:t>
      </w:r>
      <w:r w:rsidRPr="000E696E">
        <w:tab/>
        <w:t>Brief of APRODEH on behalf of Mr. Lagos del Campo of March 16, 2011 (evidence file, procedure before the IACHR, f. 703).</w:t>
      </w:r>
    </w:p>
  </w:footnote>
  <w:footnote w:id="183">
    <w:p w14:paraId="76EE849F" w14:textId="6D3FA7C1" w:rsidR="0068647C" w:rsidRPr="000E696E" w:rsidRDefault="0068647C" w:rsidP="00D61BD2">
      <w:pPr>
        <w:pStyle w:val="Textonotapie"/>
      </w:pPr>
      <w:r w:rsidRPr="000E696E">
        <w:rPr>
          <w:rStyle w:val="Refdenotaalpie"/>
          <w:sz w:val="16"/>
        </w:rPr>
        <w:footnoteRef/>
      </w:r>
      <w:r w:rsidRPr="000E696E">
        <w:t xml:space="preserve"> </w:t>
      </w:r>
      <w:r w:rsidRPr="000E696E">
        <w:tab/>
        <w:t>His complaint before the Labor Court reveals the labor dispute. In his petition, he indicated that “since the unfair and unjustified nature of the dismissal is well-known […], [he] ask[ed] the court […] to order the suspension of the dismissal and [his] reinstatement in [his] usual job” (evidence file, procedure before the IACHR, f. 27).</w:t>
      </w:r>
    </w:p>
  </w:footnote>
  <w:footnote w:id="184">
    <w:p w14:paraId="3762B2D6" w14:textId="1EF9D70E" w:rsidR="0068647C" w:rsidRPr="000E696E" w:rsidRDefault="0068647C" w:rsidP="00D61BD2">
      <w:pPr>
        <w:pStyle w:val="Textonotapie"/>
      </w:pPr>
      <w:r w:rsidRPr="000E696E">
        <w:rPr>
          <w:rStyle w:val="Refdenotaalpie"/>
          <w:sz w:val="16"/>
        </w:rPr>
        <w:footnoteRef/>
      </w:r>
      <w:r w:rsidRPr="000E696E">
        <w:t xml:space="preserve"> </w:t>
      </w:r>
      <w:r w:rsidRPr="000E696E">
        <w:tab/>
        <w:t>In particular, the Court underlines that, in his first communication addressed to the Inter-American Commission on October 13, 1993, the petitioner stated, among other matters, that his “right to job security indicated in article 48 of the Constitution and articles 27 and 26 of the proposed new constitution” had been violated. Initial petition lodged before the IACHR (evidence file, procedure before the IACHR, f. 439).</w:t>
      </w:r>
    </w:p>
  </w:footnote>
  <w:footnote w:id="185">
    <w:p w14:paraId="607384F2" w14:textId="750EB5ED" w:rsidR="0068647C" w:rsidRPr="000E696E" w:rsidRDefault="0068647C" w:rsidP="00D61BD2">
      <w:pPr>
        <w:pStyle w:val="Textonotapie"/>
      </w:pPr>
      <w:r w:rsidRPr="000E696E">
        <w:rPr>
          <w:rStyle w:val="Refdenotaalpie"/>
          <w:color w:val="000000"/>
          <w:sz w:val="16"/>
        </w:rPr>
        <w:footnoteRef/>
      </w:r>
      <w:r w:rsidRPr="000E696E">
        <w:tab/>
      </w:r>
      <w:r w:rsidRPr="000E696E">
        <w:rPr>
          <w:i/>
          <w:iCs/>
        </w:rPr>
        <w:t xml:space="preserve">Cf. </w:t>
      </w:r>
      <w:r w:rsidRPr="000E696E">
        <w:rPr>
          <w:bCs/>
          <w:i/>
          <w:iCs/>
        </w:rPr>
        <w:t>Case of Godínez Cruz v. Honduras.</w:t>
      </w:r>
      <w:r w:rsidRPr="000E696E">
        <w:rPr>
          <w:b/>
          <w:bCs/>
          <w:i/>
          <w:iCs/>
        </w:rPr>
        <w:t xml:space="preserve"> </w:t>
      </w:r>
      <w:r w:rsidRPr="000E696E">
        <w:rPr>
          <w:i/>
          <w:iCs/>
        </w:rPr>
        <w:t>Merits.</w:t>
      </w:r>
      <w:r w:rsidRPr="000E696E">
        <w:rPr>
          <w:u w:val="single"/>
        </w:rPr>
        <w:t xml:space="preserve"> </w:t>
      </w:r>
      <w:r w:rsidRPr="000E696E">
        <w:t xml:space="preserve">Judgment of January 20, 1989. Series C No. 5, para. 172, and </w:t>
      </w:r>
      <w:r w:rsidRPr="000E696E">
        <w:rPr>
          <w:bCs/>
          <w:i/>
          <w:iCs/>
        </w:rPr>
        <w:t xml:space="preserve">Case of the Sawhoyamaxa </w:t>
      </w:r>
      <w:r w:rsidRPr="000E696E">
        <w:rPr>
          <w:i/>
          <w:iCs/>
        </w:rPr>
        <w:t>Indigenous Community</w:t>
      </w:r>
      <w:r w:rsidRPr="000E696E">
        <w:rPr>
          <w:bCs/>
          <w:i/>
          <w:iCs/>
        </w:rPr>
        <w:t xml:space="preserve"> v. Paraguay. </w:t>
      </w:r>
      <w:r w:rsidRPr="000E696E">
        <w:rPr>
          <w:i/>
          <w:iCs/>
        </w:rPr>
        <w:t>Merits, reparations and costs.</w:t>
      </w:r>
      <w:r w:rsidRPr="000E696E">
        <w:t xml:space="preserve"> Judgment of March 29, 2006. Series C No. 146, para. 186.</w:t>
      </w:r>
    </w:p>
  </w:footnote>
  <w:footnote w:id="186">
    <w:p w14:paraId="4AC02383" w14:textId="55D4F652" w:rsidR="0068647C" w:rsidRPr="000E696E" w:rsidRDefault="0068647C" w:rsidP="00595D0B">
      <w:pPr>
        <w:widowControl w:val="0"/>
        <w:tabs>
          <w:tab w:val="left" w:pos="720"/>
        </w:tabs>
        <w:autoSpaceDE w:val="0"/>
        <w:autoSpaceDN w:val="0"/>
        <w:adjustRightInd w:val="0"/>
        <w:spacing w:after="60"/>
        <w:ind w:right="4"/>
        <w:jc w:val="both"/>
        <w:rPr>
          <w:rFonts w:ascii="Verdana" w:hAnsi="Verdana" w:cs="Times"/>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i/>
          <w:sz w:val="16"/>
          <w:szCs w:val="16"/>
          <w:lang w:val="en-US"/>
        </w:rPr>
        <w:t>Cf.</w:t>
      </w:r>
      <w:r w:rsidRPr="000E696E">
        <w:rPr>
          <w:rFonts w:ascii="Verdana" w:hAnsi="Verdana"/>
          <w:sz w:val="16"/>
          <w:szCs w:val="16"/>
          <w:lang w:val="en-US"/>
        </w:rPr>
        <w:t xml:space="preserve"> </w:t>
      </w:r>
      <w:r w:rsidRPr="000E696E">
        <w:rPr>
          <w:rFonts w:ascii="Verdana" w:hAnsi="Verdana"/>
          <w:sz w:val="16"/>
          <w:szCs w:val="16"/>
          <w:lang w:val="en-US" w:eastAsia="es-MX"/>
        </w:rPr>
        <w:t xml:space="preserve">Congress of the Republic of Peru. Constitution of Peru of July 12, 1979. </w:t>
      </w:r>
      <w:r w:rsidRPr="000E696E">
        <w:rPr>
          <w:rFonts w:ascii="Verdana" w:hAnsi="Verdana"/>
          <w:bCs/>
          <w:sz w:val="16"/>
          <w:szCs w:val="16"/>
          <w:shd w:val="clear" w:color="auto" w:fill="FFFFFF"/>
          <w:lang w:val="en-US"/>
        </w:rPr>
        <w:t xml:space="preserve">Article 48: </w:t>
      </w:r>
      <w:r w:rsidRPr="000E696E">
        <w:rPr>
          <w:rFonts w:ascii="Verdana" w:hAnsi="Verdana"/>
          <w:bCs/>
          <w:color w:val="191970"/>
          <w:sz w:val="16"/>
          <w:szCs w:val="16"/>
          <w:shd w:val="clear" w:color="auto" w:fill="FFFFFF"/>
          <w:lang w:val="en-US"/>
        </w:rPr>
        <w:t>“</w:t>
      </w:r>
      <w:r w:rsidRPr="000E696E">
        <w:rPr>
          <w:rFonts w:ascii="Verdana" w:hAnsi="Verdana"/>
          <w:bCs/>
          <w:color w:val="191970"/>
          <w:sz w:val="16"/>
          <w:szCs w:val="16"/>
          <w:shd w:val="clear" w:color="auto" w:fill="FFFFFF"/>
          <w:lang w:val="en-US"/>
        </w:rPr>
        <w:softHyphen/>
      </w:r>
      <w:r w:rsidRPr="000E696E">
        <w:rPr>
          <w:rFonts w:ascii="Verdana" w:hAnsi="Verdana"/>
          <w:color w:val="000000"/>
          <w:sz w:val="16"/>
          <w:szCs w:val="16"/>
          <w:shd w:val="clear" w:color="auto" w:fill="FFFFFF"/>
          <w:lang w:val="en-US"/>
        </w:rPr>
        <w:t>The State recognizes the right to job security. […]”;</w:t>
      </w:r>
      <w:r w:rsidRPr="000E696E">
        <w:rPr>
          <w:rFonts w:ascii="Verdana" w:hAnsi="Verdana" w:cs="Times"/>
          <w:sz w:val="16"/>
          <w:szCs w:val="16"/>
          <w:lang w:val="en-US"/>
        </w:rPr>
        <w:t xml:space="preserve"> </w:t>
      </w:r>
      <w:r w:rsidRPr="000E696E">
        <w:rPr>
          <w:rFonts w:ascii="Verdana" w:hAnsi="Verdana"/>
          <w:sz w:val="16"/>
          <w:szCs w:val="16"/>
          <w:lang w:val="en-US" w:eastAsia="es-MX"/>
        </w:rPr>
        <w:t xml:space="preserve">Congress of the Republic of Peru. Constitution of Peru of December 29, 1993. </w:t>
      </w:r>
      <w:r w:rsidRPr="000E696E">
        <w:rPr>
          <w:rFonts w:ascii="Verdana" w:hAnsi="Verdana" w:cs="Arial"/>
          <w:bCs/>
          <w:color w:val="000000"/>
          <w:sz w:val="16"/>
          <w:szCs w:val="16"/>
          <w:lang w:val="en-US"/>
        </w:rPr>
        <w:t>Article 22</w:t>
      </w:r>
      <w:r w:rsidRPr="000E696E">
        <w:rPr>
          <w:rFonts w:ascii="Verdana" w:hAnsi="Verdana" w:cs="Arial"/>
          <w:color w:val="000000"/>
          <w:sz w:val="16"/>
          <w:szCs w:val="16"/>
          <w:lang w:val="en-US"/>
        </w:rPr>
        <w:t>: “Work is a duty and a right. It is the basis of social well-being and a means for self-realization” and in article</w:t>
      </w:r>
      <w:r w:rsidRPr="000E696E">
        <w:rPr>
          <w:rFonts w:ascii="Verdana" w:hAnsi="Verdana" w:cs="Arial"/>
          <w:bCs/>
          <w:sz w:val="16"/>
          <w:szCs w:val="16"/>
          <w:lang w:val="en-US"/>
        </w:rPr>
        <w:t xml:space="preserve"> 27</w:t>
      </w:r>
      <w:r w:rsidRPr="000E696E">
        <w:rPr>
          <w:rFonts w:ascii="Verdana" w:hAnsi="Verdana" w:cs="Arial"/>
          <w:sz w:val="16"/>
          <w:szCs w:val="16"/>
          <w:lang w:val="en-US"/>
        </w:rPr>
        <w:t xml:space="preserve">: “[t]he law accords the worker adequate protection against arbitrary dismissal,” and </w:t>
      </w:r>
      <w:r w:rsidRPr="000E696E">
        <w:rPr>
          <w:rFonts w:ascii="Verdana" w:hAnsi="Verdana"/>
          <w:sz w:val="16"/>
          <w:szCs w:val="16"/>
          <w:lang w:val="en-US" w:eastAsia="es-MX"/>
        </w:rPr>
        <w:t>Congress of the Republic of Peru</w:t>
      </w:r>
      <w:r w:rsidRPr="000E696E">
        <w:rPr>
          <w:rFonts w:ascii="Verdana" w:hAnsi="Verdana" w:cs="Arial Narrow"/>
          <w:sz w:val="16"/>
          <w:szCs w:val="16"/>
          <w:lang w:val="en-US" w:eastAsia="es-MX"/>
        </w:rPr>
        <w:t>. Law No. 24514. Article 2: “This law protects workers in the private sector or in public companies subject to the private sector regime […].”</w:t>
      </w:r>
    </w:p>
  </w:footnote>
  <w:footnote w:id="187">
    <w:p w14:paraId="42F7B620" w14:textId="1AA7A390" w:rsidR="0068647C" w:rsidRPr="004204B2" w:rsidRDefault="0068647C" w:rsidP="00D61BD2">
      <w:pPr>
        <w:pStyle w:val="Textonotapie"/>
        <w:rPr>
          <w:lang w:val="es-CR"/>
        </w:rPr>
      </w:pPr>
      <w:r w:rsidRPr="000E696E">
        <w:rPr>
          <w:rStyle w:val="Refdenotaalpie"/>
          <w:sz w:val="16"/>
        </w:rPr>
        <w:footnoteRef/>
      </w:r>
      <w:r w:rsidRPr="000E696E">
        <w:t xml:space="preserve"> </w:t>
      </w:r>
      <w:r w:rsidRPr="000E696E">
        <w:tab/>
      </w:r>
      <w:r w:rsidRPr="000E696E">
        <w:rPr>
          <w:i/>
        </w:rPr>
        <w:t>Cf.</w:t>
      </w:r>
      <w:r w:rsidRPr="000E696E">
        <w:t xml:space="preserve"> PCIJ, </w:t>
      </w:r>
      <w:r w:rsidRPr="000E696E">
        <w:rPr>
          <w:i/>
          <w:iCs/>
        </w:rPr>
        <w:t>Case of the S.S. Lotus (France v. Turkey).</w:t>
      </w:r>
      <w:r w:rsidRPr="000E696E">
        <w:t xml:space="preserve"> Judgment No. 9, September 7, 1927. Series A; PCIJ,</w:t>
      </w:r>
      <w:r w:rsidRPr="000E696E">
        <w:rPr>
          <w:i/>
          <w:iCs/>
        </w:rPr>
        <w:t xml:space="preserve"> Case relating to the Territorial Jurisdiction of the International Commission of the River Oder (United Kingdom, Czechoslovakia, Denmark, France, Germany, Sweden v. Poland).</w:t>
      </w:r>
      <w:r w:rsidRPr="000E696E">
        <w:t xml:space="preserve"> Judgment No. 23, September 10, 1929. Series A; PCIJ, </w:t>
      </w:r>
      <w:r w:rsidRPr="000E696E">
        <w:rPr>
          <w:i/>
          <w:iCs/>
        </w:rPr>
        <w:t>Case of the Free Zones of Upper Savor and the District of Gex (France v. Switzerland).</w:t>
      </w:r>
      <w:r w:rsidRPr="000E696E">
        <w:t xml:space="preserve"> Judgment No. 46, June 7, 1932. Series A/B; ECHR, </w:t>
      </w:r>
      <w:r w:rsidRPr="000E696E">
        <w:rPr>
          <w:i/>
          <w:iCs/>
        </w:rPr>
        <w:t>Case of Guerra and Others v. Italy.</w:t>
      </w:r>
      <w:r w:rsidRPr="000E696E">
        <w:rPr>
          <w:bCs/>
        </w:rPr>
        <w:t xml:space="preserve"> No. 14967/89. Judgment of February 19, 1998, para. 45. See also: ECHR, </w:t>
      </w:r>
      <w:r w:rsidRPr="000E696E">
        <w:rPr>
          <w:i/>
          <w:iCs/>
        </w:rPr>
        <w:t>Case of Handyside v. The United Kingdom</w:t>
      </w:r>
      <w:r w:rsidRPr="000E696E">
        <w:rPr>
          <w:bCs/>
          <w:i/>
          <w:iCs/>
        </w:rPr>
        <w:t>.</w:t>
      </w:r>
      <w:r w:rsidRPr="000E696E">
        <w:rPr>
          <w:bCs/>
        </w:rPr>
        <w:t xml:space="preserve"> No. 5493/72. Judgment of December 7, 1976, para. 41, and </w:t>
      </w:r>
      <w:r w:rsidRPr="000E696E">
        <w:t xml:space="preserve">ECHR, </w:t>
      </w:r>
      <w:r w:rsidRPr="000E696E">
        <w:rPr>
          <w:i/>
          <w:iCs/>
        </w:rPr>
        <w:t>Case of Philis v. Greece</w:t>
      </w:r>
      <w:r w:rsidRPr="000E696E">
        <w:t>.</w:t>
      </w:r>
      <w:r w:rsidRPr="000E696E">
        <w:rPr>
          <w:bCs/>
        </w:rPr>
        <w:t xml:space="preserve"> </w:t>
      </w:r>
      <w:r w:rsidRPr="004204B2">
        <w:rPr>
          <w:bCs/>
          <w:lang w:val="es-CR"/>
        </w:rPr>
        <w:t xml:space="preserve">Nos. </w:t>
      </w:r>
      <w:r w:rsidRPr="004204B2">
        <w:rPr>
          <w:lang w:val="es-CR"/>
        </w:rPr>
        <w:t>12750/87, 13780/88 and 14003/88</w:t>
      </w:r>
      <w:r w:rsidRPr="004204B2">
        <w:rPr>
          <w:bCs/>
          <w:lang w:val="es-CR"/>
        </w:rPr>
        <w:t xml:space="preserve">. </w:t>
      </w:r>
      <w:r w:rsidRPr="004204B2">
        <w:rPr>
          <w:bCs/>
          <w:lang w:val="es-CR"/>
        </w:rPr>
        <w:t>Judgment of August 27, 1991, para. 56.</w:t>
      </w:r>
    </w:p>
  </w:footnote>
  <w:footnote w:id="188">
    <w:p w14:paraId="3005B222" w14:textId="5F82CA7D" w:rsidR="0068647C" w:rsidRPr="000E696E" w:rsidRDefault="0068647C" w:rsidP="00D61BD2">
      <w:pPr>
        <w:pStyle w:val="Textonotapie"/>
      </w:pPr>
      <w:r w:rsidRPr="000E696E">
        <w:rPr>
          <w:rStyle w:val="Refdenotaalpie"/>
          <w:color w:val="000000"/>
          <w:sz w:val="16"/>
        </w:rPr>
        <w:footnoteRef/>
      </w:r>
      <w:r w:rsidRPr="004204B2">
        <w:rPr>
          <w:lang w:val="es-CR"/>
        </w:rPr>
        <w:tab/>
      </w:r>
      <w:r w:rsidRPr="004204B2">
        <w:rPr>
          <w:i/>
          <w:iCs/>
          <w:lang w:val="es-CR"/>
        </w:rPr>
        <w:t xml:space="preserve">Cf. Inter </w:t>
      </w:r>
      <w:r w:rsidRPr="004204B2">
        <w:rPr>
          <w:i/>
          <w:iCs/>
          <w:lang w:val="es-CR"/>
        </w:rPr>
        <w:t>alia, Case of Velásquez Rodríguez v. Honduras. Merits, supra, para. 163, and Case of Acosta et al. v. Nicaragua, supra,</w:t>
      </w:r>
      <w:r w:rsidRPr="004204B2">
        <w:rPr>
          <w:lang w:val="es-CR"/>
        </w:rPr>
        <w:t xml:space="preserve"> para. </w:t>
      </w:r>
      <w:r w:rsidRPr="000E696E">
        <w:t>189.</w:t>
      </w:r>
    </w:p>
  </w:footnote>
  <w:footnote w:id="189">
    <w:p w14:paraId="0A53B611" w14:textId="501BDE6E" w:rsidR="0068647C" w:rsidRPr="000E696E" w:rsidRDefault="0068647C" w:rsidP="00850750">
      <w:pPr>
        <w:tabs>
          <w:tab w:val="left" w:pos="540"/>
        </w:tabs>
        <w:autoSpaceDE w:val="0"/>
        <w:autoSpaceDN w:val="0"/>
        <w:adjustRightInd w:val="0"/>
        <w:spacing w:after="60"/>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sz w:val="16"/>
          <w:szCs w:val="16"/>
          <w:lang w:val="en-US"/>
        </w:rPr>
        <w:tab/>
      </w:r>
      <w:r w:rsidRPr="000E696E">
        <w:rPr>
          <w:rFonts w:ascii="Verdana" w:hAnsi="Verdana"/>
          <w:i/>
          <w:sz w:val="16"/>
          <w:szCs w:val="16"/>
          <w:lang w:val="en-US"/>
        </w:rPr>
        <w:t>Cf.</w:t>
      </w:r>
      <w:r w:rsidRPr="000E696E">
        <w:rPr>
          <w:rFonts w:ascii="Verdana" w:hAnsi="Verdana"/>
          <w:sz w:val="16"/>
          <w:szCs w:val="16"/>
          <w:lang w:val="en-US"/>
        </w:rPr>
        <w:t xml:space="preserve"> In this regard, Article 29(b) and (d) of the Convention establish that: “[n]</w:t>
      </w:r>
      <w:r w:rsidRPr="000E696E">
        <w:rPr>
          <w:rFonts w:ascii="Verdana" w:hAnsi="Verdana"/>
          <w:spacing w:val="-3"/>
          <w:sz w:val="16"/>
          <w:szCs w:val="16"/>
          <w:lang w:val="en-US"/>
        </w:rPr>
        <w:t>o provision of this Convention shall be interpreted as</w:t>
      </w:r>
      <w:r w:rsidRPr="000E696E">
        <w:rPr>
          <w:rFonts w:ascii="Verdana" w:hAnsi="Verdana"/>
          <w:sz w:val="16"/>
          <w:szCs w:val="16"/>
          <w:lang w:val="en-US"/>
        </w:rPr>
        <w:t xml:space="preserve">: […] b) </w:t>
      </w:r>
      <w:r w:rsidRPr="000E696E">
        <w:rPr>
          <w:rFonts w:ascii="Verdana" w:hAnsi="Verdana"/>
          <w:spacing w:val="-3"/>
          <w:sz w:val="16"/>
          <w:szCs w:val="16"/>
          <w:lang w:val="en-US"/>
        </w:rPr>
        <w:t>restricting the enjoyment or exercise of any right or freedom recognized by virtue of the laws of any State Party or by virtue of another convention to which one of the said states is a party</w:t>
      </w:r>
      <w:r w:rsidRPr="000E696E">
        <w:rPr>
          <w:rFonts w:ascii="Verdana" w:hAnsi="Verdana"/>
          <w:sz w:val="16"/>
          <w:szCs w:val="16"/>
          <w:lang w:val="en-US"/>
        </w:rPr>
        <w:t xml:space="preserve">; […] d) </w:t>
      </w:r>
      <w:r w:rsidRPr="000E696E">
        <w:rPr>
          <w:rFonts w:ascii="Verdana" w:hAnsi="Verdana"/>
          <w:spacing w:val="-3"/>
          <w:sz w:val="16"/>
          <w:szCs w:val="16"/>
          <w:lang w:val="en-US"/>
        </w:rPr>
        <w:t>excluding or limiting the effect that the American Declaration of the Rights and Duties of Man and other international acts of the same nature may have.</w:t>
      </w:r>
      <w:r w:rsidRPr="000E696E">
        <w:rPr>
          <w:rFonts w:ascii="Verdana" w:hAnsi="Verdana"/>
          <w:sz w:val="16"/>
          <w:szCs w:val="16"/>
          <w:lang w:val="en-US"/>
        </w:rPr>
        <w:t>” Thus, pursuant to the said Article 29, labor rights, such as the right to job security recognized in the 1979 and 1993 Constitutions of Peru, should incorporate, for the purposes of this case, the interpretation and scope of the right protected in Article 26 of the American Convention.</w:t>
      </w:r>
      <w:r w:rsidRPr="000E696E">
        <w:rPr>
          <w:rFonts w:ascii="Verdana" w:hAnsi="Verdana"/>
          <w:i/>
          <w:sz w:val="16"/>
          <w:szCs w:val="16"/>
          <w:lang w:val="en-US"/>
        </w:rPr>
        <w:t xml:space="preserve"> Cf.</w:t>
      </w:r>
      <w:r w:rsidRPr="000E696E">
        <w:rPr>
          <w:rFonts w:ascii="Verdana" w:hAnsi="Verdana"/>
          <w:sz w:val="16"/>
          <w:szCs w:val="16"/>
          <w:lang w:val="en-US"/>
        </w:rPr>
        <w:t xml:space="preserve"> </w:t>
      </w:r>
      <w:r w:rsidRPr="000E696E">
        <w:rPr>
          <w:rFonts w:ascii="Verdana" w:hAnsi="Verdana"/>
          <w:i/>
          <w:iCs/>
          <w:sz w:val="16"/>
          <w:szCs w:val="16"/>
          <w:lang w:val="en-US"/>
        </w:rPr>
        <w:t>Compulsory Membership of an Association Prescribed by Law for the Practice of Journalism. Advisory Opinion OC-5/85 of November 13, 1985</w:t>
      </w:r>
      <w:r w:rsidRPr="000E696E">
        <w:rPr>
          <w:rFonts w:ascii="Verdana" w:hAnsi="Verdana"/>
          <w:sz w:val="16"/>
          <w:szCs w:val="16"/>
          <w:lang w:val="en-US"/>
        </w:rPr>
        <w:t>, Series A No. 5, para. 44.</w:t>
      </w:r>
    </w:p>
  </w:footnote>
  <w:footnote w:id="190">
    <w:p w14:paraId="7D0C1CB3" w14:textId="4AD97B58" w:rsidR="0068647C" w:rsidRPr="000E696E" w:rsidRDefault="0068647C" w:rsidP="00D61BD2">
      <w:pPr>
        <w:pStyle w:val="Textonotapie"/>
      </w:pPr>
      <w:r w:rsidRPr="000E696E">
        <w:rPr>
          <w:rStyle w:val="Refdenotaalpie"/>
          <w:color w:val="000000"/>
          <w:sz w:val="16"/>
        </w:rPr>
        <w:footnoteRef/>
      </w:r>
      <w:r w:rsidRPr="000E696E">
        <w:t xml:space="preserve"> </w:t>
      </w:r>
      <w:r w:rsidRPr="000E696E">
        <w:tab/>
      </w:r>
      <w:r w:rsidRPr="000E696E">
        <w:rPr>
          <w:i/>
          <w:iCs/>
        </w:rPr>
        <w:t>Cf. Case of Acevedo Buendía et al. (“Discharged and Retired Employees of the Office of the Comptroller”) v. Peru. Preliminary objections, merits, reparations and costs.</w:t>
      </w:r>
      <w:r w:rsidRPr="000E696E">
        <w:t xml:space="preserve"> Judgment of July 1, 2009 Series C No. 198, para. 101; Case of Suárez Peralta v. Ecuador. Preliminary objections, merits, reparations and costs. Judgment of May 21, 2013. Series C No. 261, para. 131, and </w:t>
      </w:r>
      <w:r w:rsidRPr="000E696E">
        <w:rPr>
          <w:i/>
          <w:iCs/>
        </w:rPr>
        <w:t>Case of Gonzales Lluy et al. v. Ecuador. Preliminary objections, merits, reparations and costs.</w:t>
      </w:r>
      <w:r w:rsidRPr="000E696E">
        <w:t xml:space="preserve"> Judgment of September 1, 2015. Series C No. 298, para. 172, and Preamble to the American Convention. Similarly: </w:t>
      </w:r>
      <w:r w:rsidRPr="000E696E">
        <w:rPr>
          <w:i/>
        </w:rPr>
        <w:t>Cf.</w:t>
      </w:r>
      <w:r w:rsidRPr="000E696E">
        <w:t xml:space="preserve"> UN. Committee on Economic, Social and Cultural Rights, General Comment No. 9, E/C.12/1998/24, December 3, 1998, para. 10. See also: ECHR, </w:t>
      </w:r>
      <w:r w:rsidRPr="000E696E">
        <w:rPr>
          <w:i/>
          <w:iCs/>
        </w:rPr>
        <w:t>Case of Airey v. Ireland,</w:t>
      </w:r>
      <w:r w:rsidRPr="000E696E">
        <w:t xml:space="preserve"> No. 6289/73. Judgment of October 9, 1979, para. 26, and </w:t>
      </w:r>
      <w:r w:rsidRPr="000E696E">
        <w:rPr>
          <w:i/>
          <w:iCs/>
        </w:rPr>
        <w:t xml:space="preserve">Case of Sidabras and Dziautas v. Lithuania, </w:t>
      </w:r>
      <w:r w:rsidRPr="000E696E">
        <w:t xml:space="preserve">Nos. 55480/00 and 59330/00. Judgment of July 27, 2004, para. 47. In the </w:t>
      </w:r>
      <w:r w:rsidRPr="000E696E">
        <w:rPr>
          <w:i/>
          <w:iCs/>
        </w:rPr>
        <w:t>Case of Airey v. Ireland</w:t>
      </w:r>
      <w:r w:rsidRPr="000E696E">
        <w:t>, the European Court indicated that “[w]</w:t>
      </w:r>
      <w:r w:rsidRPr="000E696E">
        <w:rPr>
          <w:rStyle w:val="sb8d990e2"/>
        </w:rPr>
        <w:t>hilst the Convention sets forth what are essentially civil and political rights, many of them have implications of a social or economic nature. The Court therefore considers, like the Commission, that the mere fact that an interpretation of the Convention may extend into the sphere of social and economic rights should not be a decisive factor against such an interpretation; there is no water-tight division separating that sphere from the field covered by the Convention.</w:t>
      </w:r>
      <w:r w:rsidRPr="000E696E">
        <w:t xml:space="preserve">”  </w:t>
      </w:r>
    </w:p>
  </w:footnote>
  <w:footnote w:id="191">
    <w:p w14:paraId="54B5F530" w14:textId="6AD54B61" w:rsidR="0068647C" w:rsidRPr="000E696E" w:rsidRDefault="0068647C" w:rsidP="00D61BD2">
      <w:pPr>
        <w:pStyle w:val="Textonotapie"/>
        <w:rPr>
          <w:color w:val="000000"/>
        </w:rPr>
      </w:pPr>
      <w:r w:rsidRPr="000E696E">
        <w:rPr>
          <w:rStyle w:val="Refdenotaalpie"/>
          <w:color w:val="000000"/>
          <w:sz w:val="16"/>
        </w:rPr>
        <w:footnoteRef/>
      </w:r>
      <w:r w:rsidRPr="000E696E">
        <w:rPr>
          <w:color w:val="000000"/>
        </w:rPr>
        <w:t xml:space="preserve"> </w:t>
      </w:r>
      <w:r w:rsidRPr="000E696E">
        <w:rPr>
          <w:color w:val="000000"/>
        </w:rPr>
        <w:tab/>
      </w:r>
      <w:r w:rsidRPr="000E696E">
        <w:rPr>
          <w:i/>
          <w:iCs/>
          <w:color w:val="000000"/>
        </w:rPr>
        <w:t xml:space="preserve">Cf. </w:t>
      </w:r>
      <w:r w:rsidRPr="000E696E">
        <w:rPr>
          <w:i/>
          <w:iCs/>
        </w:rPr>
        <w:t>Case of Acevedo Buendía et al. (“Discharged and Retired Employees of the Office of the Comptroller”) v. Peru, supra,</w:t>
      </w:r>
      <w:r w:rsidRPr="000E696E">
        <w:t xml:space="preserve"> </w:t>
      </w:r>
      <w:r w:rsidRPr="000E696E">
        <w:rPr>
          <w:color w:val="000000"/>
        </w:rPr>
        <w:t>paras. 16, 17 and 100.</w:t>
      </w:r>
    </w:p>
  </w:footnote>
  <w:footnote w:id="192">
    <w:p w14:paraId="638C1D82" w14:textId="540D051E" w:rsidR="0068647C" w:rsidRPr="004204B2" w:rsidRDefault="0068647C" w:rsidP="00AA1EBF">
      <w:pPr>
        <w:tabs>
          <w:tab w:val="left" w:pos="540"/>
        </w:tabs>
        <w:autoSpaceDE w:val="0"/>
        <w:autoSpaceDN w:val="0"/>
        <w:adjustRightInd w:val="0"/>
        <w:spacing w:after="60"/>
        <w:contextualSpacing/>
        <w:jc w:val="both"/>
        <w:rPr>
          <w:rFonts w:ascii="Verdana" w:hAnsi="Verdana" w:cs="Verdana"/>
          <w:color w:val="000000"/>
          <w:sz w:val="16"/>
          <w:szCs w:val="16"/>
          <w:lang w:val="es-CR" w:eastAsia="es-MX"/>
        </w:rPr>
      </w:pPr>
      <w:r w:rsidRPr="000E696E">
        <w:rPr>
          <w:rStyle w:val="Refdenotaalpie"/>
          <w:color w:val="000000"/>
          <w:sz w:val="16"/>
          <w:szCs w:val="16"/>
          <w:lang w:val="en-US"/>
        </w:rPr>
        <w:footnoteRef/>
      </w:r>
      <w:r w:rsidRPr="000E696E">
        <w:rPr>
          <w:rFonts w:ascii="Verdana" w:hAnsi="Verdana"/>
          <w:color w:val="000000"/>
          <w:sz w:val="16"/>
          <w:szCs w:val="16"/>
          <w:lang w:val="en-US"/>
        </w:rPr>
        <w:t xml:space="preserve"> </w:t>
      </w:r>
      <w:r w:rsidRPr="000E696E">
        <w:rPr>
          <w:rFonts w:ascii="Verdana" w:hAnsi="Verdana"/>
          <w:color w:val="000000"/>
          <w:sz w:val="16"/>
          <w:szCs w:val="16"/>
          <w:lang w:val="en-US"/>
        </w:rPr>
        <w:tab/>
      </w:r>
      <w:r w:rsidRPr="000E696E">
        <w:rPr>
          <w:rFonts w:ascii="Verdana" w:hAnsi="Verdana"/>
          <w:color w:val="000000"/>
          <w:sz w:val="16"/>
          <w:szCs w:val="16"/>
          <w:lang w:val="en-US"/>
        </w:rPr>
        <w:tab/>
      </w:r>
      <w:r w:rsidRPr="000E696E">
        <w:rPr>
          <w:rFonts w:ascii="Verdana" w:hAnsi="Verdana" w:cs="Verdana"/>
          <w:i/>
          <w:iCs/>
          <w:color w:val="000000"/>
          <w:sz w:val="16"/>
          <w:szCs w:val="16"/>
          <w:lang w:val="en-US" w:eastAsia="es-MX"/>
        </w:rPr>
        <w:t>Cf.</w:t>
      </w:r>
      <w:r w:rsidRPr="000E696E">
        <w:rPr>
          <w:rFonts w:ascii="Verdana" w:hAnsi="Verdana" w:cs="Verdana"/>
          <w:color w:val="000000"/>
          <w:sz w:val="16"/>
          <w:szCs w:val="16"/>
          <w:lang w:val="en-US" w:eastAsia="es-MX"/>
        </w:rPr>
        <w:t xml:space="preserve"> </w:t>
      </w:r>
      <w:r w:rsidRPr="000E696E">
        <w:rPr>
          <w:rFonts w:ascii="Verdana" w:hAnsi="Verdana" w:cs="Verdana"/>
          <w:i/>
          <w:iCs/>
          <w:color w:val="000000"/>
          <w:sz w:val="16"/>
          <w:szCs w:val="16"/>
          <w:lang w:val="en-US" w:eastAsia="es-MX"/>
        </w:rPr>
        <w:t xml:space="preserve">Case of Ivcher Bronstein v. Peru. Jurisdiction. </w:t>
      </w:r>
      <w:r w:rsidRPr="000E696E">
        <w:rPr>
          <w:rFonts w:ascii="Verdana" w:hAnsi="Verdana" w:cs="Verdana"/>
          <w:color w:val="000000"/>
          <w:sz w:val="16"/>
          <w:szCs w:val="16"/>
          <w:lang w:val="en-US" w:eastAsia="es-MX"/>
        </w:rPr>
        <w:t xml:space="preserve">Judgment of September 24, 1999. Series C No. 54, paras. 32 and 34, and </w:t>
      </w:r>
      <w:r w:rsidRPr="000E696E">
        <w:rPr>
          <w:rFonts w:ascii="Verdana" w:hAnsi="Verdana" w:cs="Verdana"/>
          <w:i/>
          <w:color w:val="000000"/>
          <w:sz w:val="16"/>
          <w:szCs w:val="16"/>
          <w:lang w:val="en-US" w:eastAsia="es-MX"/>
        </w:rPr>
        <w:t>Case of Espinoza Gonzáles v. Peru. Preliminary objections, merits, reparations and costs.</w:t>
      </w:r>
      <w:r w:rsidRPr="000E696E">
        <w:rPr>
          <w:rFonts w:ascii="Verdana" w:hAnsi="Verdana" w:cs="Verdana"/>
          <w:color w:val="000000"/>
          <w:sz w:val="16"/>
          <w:szCs w:val="16"/>
          <w:lang w:val="en-US" w:eastAsia="es-MX"/>
        </w:rPr>
        <w:t xml:space="preserve"> Judgment of November 20, 2014. Series C No. 289, para. </w:t>
      </w:r>
      <w:r w:rsidRPr="004204B2">
        <w:rPr>
          <w:rFonts w:ascii="Verdana" w:hAnsi="Verdana" w:cs="Verdana"/>
          <w:color w:val="000000"/>
          <w:sz w:val="16"/>
          <w:szCs w:val="16"/>
          <w:lang w:val="es-CR" w:eastAsia="es-MX"/>
        </w:rPr>
        <w:t>27.</w:t>
      </w:r>
    </w:p>
    <w:p w14:paraId="5F64C6DB" w14:textId="77777777" w:rsidR="0068647C" w:rsidRPr="004204B2" w:rsidRDefault="0068647C" w:rsidP="00AA1EBF">
      <w:pPr>
        <w:tabs>
          <w:tab w:val="left" w:pos="540"/>
        </w:tabs>
        <w:autoSpaceDE w:val="0"/>
        <w:autoSpaceDN w:val="0"/>
        <w:adjustRightInd w:val="0"/>
        <w:spacing w:after="60"/>
        <w:contextualSpacing/>
        <w:jc w:val="both"/>
        <w:rPr>
          <w:rFonts w:ascii="Verdana" w:hAnsi="Verdana" w:cs="Verdana"/>
          <w:color w:val="000000"/>
          <w:sz w:val="6"/>
          <w:szCs w:val="6"/>
          <w:lang w:val="es-CR" w:eastAsia="es-MX"/>
        </w:rPr>
      </w:pPr>
    </w:p>
  </w:footnote>
  <w:footnote w:id="193">
    <w:p w14:paraId="1154F3B9" w14:textId="5A531F1D" w:rsidR="0068647C" w:rsidRPr="000E696E" w:rsidRDefault="0068647C" w:rsidP="00AA1EBF">
      <w:pPr>
        <w:tabs>
          <w:tab w:val="left" w:pos="540"/>
        </w:tabs>
        <w:autoSpaceDE w:val="0"/>
        <w:autoSpaceDN w:val="0"/>
        <w:adjustRightInd w:val="0"/>
        <w:spacing w:after="60"/>
        <w:contextualSpacing/>
        <w:jc w:val="both"/>
        <w:rPr>
          <w:rFonts w:ascii="Verdana" w:hAnsi="Verdana" w:cs="Verdana"/>
          <w:color w:val="000000"/>
          <w:sz w:val="16"/>
          <w:szCs w:val="16"/>
          <w:lang w:val="en-US" w:eastAsia="es-MX"/>
        </w:rPr>
      </w:pPr>
      <w:r w:rsidRPr="000E696E">
        <w:rPr>
          <w:rStyle w:val="Refdenotaalpie"/>
          <w:color w:val="000000"/>
          <w:sz w:val="16"/>
          <w:szCs w:val="16"/>
          <w:lang w:val="en-US"/>
        </w:rPr>
        <w:footnoteRef/>
      </w:r>
      <w:r w:rsidRPr="004204B2">
        <w:rPr>
          <w:rFonts w:ascii="Verdana" w:hAnsi="Verdana"/>
          <w:color w:val="000000"/>
          <w:sz w:val="16"/>
          <w:szCs w:val="16"/>
          <w:lang w:val="es-CR"/>
        </w:rPr>
        <w:t xml:space="preserve"> </w:t>
      </w:r>
      <w:r w:rsidRPr="004204B2">
        <w:rPr>
          <w:rFonts w:ascii="Verdana" w:hAnsi="Verdana"/>
          <w:color w:val="000000"/>
          <w:sz w:val="16"/>
          <w:szCs w:val="16"/>
          <w:lang w:val="es-CR"/>
        </w:rPr>
        <w:tab/>
      </w:r>
      <w:r w:rsidRPr="004204B2">
        <w:rPr>
          <w:rFonts w:ascii="Verdana" w:hAnsi="Verdana"/>
          <w:color w:val="000000"/>
          <w:sz w:val="16"/>
          <w:szCs w:val="16"/>
          <w:lang w:val="es-CR"/>
        </w:rPr>
        <w:tab/>
      </w:r>
      <w:r w:rsidRPr="004204B2">
        <w:rPr>
          <w:rFonts w:ascii="Verdana" w:hAnsi="Verdana" w:cs="Verdana"/>
          <w:i/>
          <w:iCs/>
          <w:color w:val="000000"/>
          <w:sz w:val="16"/>
          <w:szCs w:val="16"/>
          <w:lang w:val="es-CR" w:eastAsia="es-MX"/>
        </w:rPr>
        <w:t>Cf.</w:t>
      </w:r>
      <w:r w:rsidRPr="004204B2">
        <w:rPr>
          <w:rFonts w:ascii="Verdana" w:hAnsi="Verdana" w:cs="Verdana"/>
          <w:color w:val="000000"/>
          <w:sz w:val="16"/>
          <w:szCs w:val="16"/>
          <w:lang w:val="es-CR" w:eastAsia="es-MX"/>
        </w:rPr>
        <w:t xml:space="preserve"> </w:t>
      </w:r>
      <w:r w:rsidRPr="004204B2">
        <w:rPr>
          <w:rFonts w:ascii="Verdana" w:hAnsi="Verdana" w:cs="Verdana"/>
          <w:i/>
          <w:iCs/>
          <w:color w:val="000000"/>
          <w:sz w:val="16"/>
          <w:szCs w:val="16"/>
          <w:lang w:val="es-CR" w:eastAsia="es-MX"/>
        </w:rPr>
        <w:t xml:space="preserve">Case of Velásquez Rodríguez v. Honduras. </w:t>
      </w:r>
      <w:r w:rsidRPr="004204B2">
        <w:rPr>
          <w:rFonts w:ascii="Verdana" w:hAnsi="Verdana" w:cs="Verdana"/>
          <w:i/>
          <w:iCs/>
          <w:color w:val="000000"/>
          <w:sz w:val="16"/>
          <w:szCs w:val="16"/>
          <w:lang w:val="es-CR" w:eastAsia="es-MX"/>
        </w:rPr>
        <w:t xml:space="preserve">Preliminary objections, supra, </w:t>
      </w:r>
      <w:r w:rsidRPr="004204B2">
        <w:rPr>
          <w:rFonts w:ascii="Verdana" w:hAnsi="Verdana" w:cs="Verdana"/>
          <w:color w:val="000000"/>
          <w:sz w:val="16"/>
          <w:szCs w:val="16"/>
          <w:lang w:val="es-CR" w:eastAsia="es-MX"/>
        </w:rPr>
        <w:t xml:space="preserve">para. </w:t>
      </w:r>
      <w:r w:rsidRPr="000E696E">
        <w:rPr>
          <w:rFonts w:ascii="Verdana" w:hAnsi="Verdana" w:cs="Verdana"/>
          <w:color w:val="000000"/>
          <w:sz w:val="16"/>
          <w:szCs w:val="16"/>
          <w:lang w:val="en-US" w:eastAsia="es-MX"/>
        </w:rPr>
        <w:t xml:space="preserve">29, and </w:t>
      </w:r>
      <w:r w:rsidRPr="000E696E">
        <w:rPr>
          <w:rFonts w:ascii="Verdana" w:hAnsi="Verdana" w:cs="Verdana"/>
          <w:i/>
          <w:iCs/>
          <w:color w:val="000000"/>
          <w:sz w:val="16"/>
          <w:szCs w:val="16"/>
          <w:lang w:val="en-US" w:eastAsia="es-MX"/>
        </w:rPr>
        <w:t xml:space="preserve">Case of Garibaldi v. Brazil. Preliminary objections, merits, reparations and costs. </w:t>
      </w:r>
      <w:r w:rsidRPr="000E696E">
        <w:rPr>
          <w:rFonts w:ascii="Verdana" w:hAnsi="Verdana" w:cs="Verdana"/>
          <w:color w:val="000000"/>
          <w:sz w:val="16"/>
          <w:szCs w:val="16"/>
          <w:lang w:val="en-US" w:eastAsia="es-MX"/>
        </w:rPr>
        <w:t>Judgment of September 23, 2009. Series C No. 203, para. 41.</w:t>
      </w:r>
    </w:p>
  </w:footnote>
  <w:footnote w:id="194">
    <w:p w14:paraId="44FD3B8E" w14:textId="30F00ABD" w:rsidR="0068647C" w:rsidRPr="000E696E" w:rsidRDefault="0068647C" w:rsidP="00D61BD2">
      <w:pPr>
        <w:pStyle w:val="Textonotapie"/>
        <w:rPr>
          <w:b/>
          <w:color w:val="000000"/>
        </w:rPr>
      </w:pPr>
      <w:r w:rsidRPr="000E696E">
        <w:rPr>
          <w:rStyle w:val="Refdenotaalpie"/>
          <w:color w:val="000000"/>
          <w:sz w:val="16"/>
        </w:rPr>
        <w:footnoteRef/>
      </w:r>
      <w:r w:rsidRPr="000E696E">
        <w:rPr>
          <w:color w:val="000000"/>
        </w:rPr>
        <w:t xml:space="preserve"> </w:t>
      </w:r>
      <w:r w:rsidRPr="000E696E">
        <w:rPr>
          <w:color w:val="000000"/>
        </w:rPr>
        <w:tab/>
      </w:r>
      <w:r w:rsidRPr="000E696E">
        <w:rPr>
          <w:i/>
          <w:iCs/>
          <w:color w:val="000000"/>
        </w:rPr>
        <w:t xml:space="preserve">Cf. </w:t>
      </w:r>
      <w:r w:rsidRPr="000E696E">
        <w:rPr>
          <w:i/>
          <w:iCs/>
        </w:rPr>
        <w:t xml:space="preserve">Case of Acevedo Buendía et al. (“Discharged and Retired Employees of the Office of the Comptroller”) v. Peru, supra, </w:t>
      </w:r>
      <w:r w:rsidRPr="000E696E">
        <w:t xml:space="preserve">paras. 99 and 100. </w:t>
      </w:r>
      <w:r w:rsidRPr="000E696E">
        <w:rPr>
          <w:i/>
        </w:rPr>
        <w:t>Cf.</w:t>
      </w:r>
      <w:r w:rsidRPr="000E696E">
        <w:t xml:space="preserve"> UN. Committee on Economic, Social and Cultural Rights. General Comment No. 18, E/GC.18/2005, November 24, 2005, paras. 48 to 50.</w:t>
      </w:r>
    </w:p>
  </w:footnote>
  <w:footnote w:id="195">
    <w:p w14:paraId="1A95FFA0" w14:textId="522B1CFC" w:rsidR="0068647C" w:rsidRPr="000E696E" w:rsidRDefault="0068647C" w:rsidP="00AA1EBF">
      <w:pPr>
        <w:pStyle w:val="style11"/>
        <w:shd w:val="clear" w:color="auto" w:fill="FFFFFF"/>
        <w:spacing w:before="0" w:after="60"/>
        <w:ind w:left="0"/>
        <w:contextualSpacing/>
        <w:rPr>
          <w:rFonts w:ascii="Verdana" w:hAnsi="Verdana" w:cs="Tahoma"/>
          <w:color w:val="000000"/>
          <w:sz w:val="16"/>
          <w:szCs w:val="16"/>
          <w:lang w:val="en-US"/>
        </w:rPr>
      </w:pPr>
      <w:r w:rsidRPr="000E696E">
        <w:rPr>
          <w:rStyle w:val="Refdenotaalpie"/>
          <w:color w:val="000000"/>
          <w:sz w:val="16"/>
          <w:szCs w:val="16"/>
          <w:lang w:val="en-US"/>
        </w:rPr>
        <w:footnoteRef/>
      </w:r>
      <w:r w:rsidRPr="000E696E">
        <w:rPr>
          <w:rFonts w:ascii="Verdana" w:hAnsi="Verdana"/>
          <w:color w:val="000000"/>
          <w:sz w:val="16"/>
          <w:szCs w:val="16"/>
          <w:lang w:val="en-US"/>
        </w:rPr>
        <w:t xml:space="preserve"> </w:t>
      </w:r>
      <w:r w:rsidRPr="000E696E">
        <w:rPr>
          <w:rFonts w:ascii="Verdana" w:hAnsi="Verdana"/>
          <w:color w:val="000000"/>
          <w:sz w:val="16"/>
          <w:szCs w:val="16"/>
          <w:lang w:val="en-US"/>
        </w:rPr>
        <w:tab/>
      </w:r>
      <w:r w:rsidRPr="000E696E">
        <w:rPr>
          <w:rFonts w:ascii="Verdana" w:hAnsi="Verdana" w:cs="Tahoma"/>
          <w:color w:val="000000"/>
          <w:sz w:val="16"/>
          <w:szCs w:val="16"/>
          <w:lang w:val="en-US"/>
        </w:rPr>
        <w:t>Article 45 of the OAS Charter. “</w:t>
      </w:r>
      <w:r w:rsidRPr="000E696E">
        <w:rPr>
          <w:rFonts w:ascii="Verdana" w:hAnsi="Verdana"/>
          <w:sz w:val="16"/>
          <w:szCs w:val="16"/>
          <w:lang w:val="en-US"/>
        </w:rPr>
        <w:t>Member States, convinced that man can only achieve the full realization of his aspirations within a just social order, along with economic development and true peace, agree to dedicate every effort to the application of the following principles and mechanisms: (a) All human beings, without distinction as to race, sex, nationality, creed, or social condition, have a right to material well-being and to their spiritual development, under circumstances of liberty, dignity, equality of opportunity, and economic security; (b) Work is a right and a social duty, it gives dignity to the one who performs it, and it should be performed under conditions, including a system of fair wages, that ensure life, health, and a decent standard of living for the worker and his family, both during his working years and in his old age, or when any circumstance deprives him of the possibility of working; (c) Employers and workers, both rural and urban, have the right to associate themselves freely for the defense and promotion of their interests, including the right to collective bargaining and the workers' right to strike, and recognition of the juridical personality of associations and the protection of their freedom and independence, all in accordance with applicable laws.</w:t>
      </w:r>
      <w:r w:rsidRPr="000E696E">
        <w:rPr>
          <w:rFonts w:ascii="Verdana" w:hAnsi="Verdana" w:cs="Tahoma"/>
          <w:sz w:val="16"/>
          <w:szCs w:val="16"/>
          <w:lang w:val="en-US"/>
        </w:rPr>
        <w:t xml:space="preserve"> […].”</w:t>
      </w:r>
    </w:p>
  </w:footnote>
  <w:footnote w:id="196">
    <w:p w14:paraId="077C648A" w14:textId="20D1B0CB" w:rsidR="0068647C" w:rsidRPr="000E696E" w:rsidRDefault="0068647C" w:rsidP="00FC5579">
      <w:pPr>
        <w:spacing w:after="60"/>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Article 46 of the OAS Charter. “The Member States recognize that, in order to facilitate the process of Latin American regional integration, it is necessary to harmonize the social legislation of the developing countries, especially in the labor and social security fields, so that the rights of the workers shall be equally protected, and they agree to make the greatest efforts possible to achieve this goal.”</w:t>
      </w:r>
    </w:p>
  </w:footnote>
  <w:footnote w:id="197">
    <w:p w14:paraId="4A29AA38" w14:textId="190721F9" w:rsidR="0068647C" w:rsidRPr="000E696E" w:rsidRDefault="0068647C" w:rsidP="00FC5579">
      <w:pPr>
        <w:spacing w:after="60"/>
        <w:jc w:val="both"/>
        <w:rPr>
          <w:rFonts w:ascii="Verdana" w:hAnsi="Verdana"/>
          <w:sz w:val="16"/>
          <w:szCs w:val="16"/>
          <w:lang w:val="en-US"/>
        </w:rPr>
      </w:pPr>
      <w:r w:rsidRPr="000E696E">
        <w:rPr>
          <w:rStyle w:val="Refdenotaalpie"/>
          <w:color w:val="000000"/>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Article 34.g of the OAS Charter. “The Member States agree that equality of opportunity, the elimination of extreme poverty, equitable distribution of wealth and income and the full participation of their peoples in decisions relating to their own development are, among others, basic objectives of integral development. To achieve them, they likewise agree to devote their utmost efforts to accomplishing the following basic goals: […] g) </w:t>
      </w:r>
      <w:r w:rsidRPr="000E696E">
        <w:rPr>
          <w:rFonts w:ascii="Verdana" w:eastAsia="Times New Roman" w:hAnsi="Verdana"/>
          <w:sz w:val="16"/>
          <w:szCs w:val="16"/>
          <w:lang w:val="en-US"/>
        </w:rPr>
        <w:t>Fair wages, employment opportunities, and acceptable working conditions for all.”</w:t>
      </w:r>
    </w:p>
  </w:footnote>
  <w:footnote w:id="198">
    <w:p w14:paraId="3B740700" w14:textId="59CA4908" w:rsidR="0068647C" w:rsidRPr="000E696E" w:rsidRDefault="0068647C" w:rsidP="00D61BD2">
      <w:pPr>
        <w:pStyle w:val="Textonotapie"/>
      </w:pPr>
      <w:r w:rsidRPr="000E696E">
        <w:rPr>
          <w:rStyle w:val="Refdenotaalpie"/>
          <w:sz w:val="16"/>
        </w:rPr>
        <w:footnoteRef/>
      </w:r>
      <w:r w:rsidRPr="000E696E">
        <w:t xml:space="preserve"> </w:t>
      </w:r>
      <w:r w:rsidRPr="000E696E">
        <w:tab/>
        <w:t>Interpretation of the American Declaration of the Rights and Duties of Man within the framework of Article 64 of the American Convention on Human Rights. Advisory Opinion OC-10/89 of July14, 1989. Series A No. 10, para. 43.</w:t>
      </w:r>
    </w:p>
  </w:footnote>
  <w:footnote w:id="199">
    <w:p w14:paraId="6D3D70FA" w14:textId="2C0A1D9E" w:rsidR="0068647C" w:rsidRPr="000E696E" w:rsidRDefault="0068647C" w:rsidP="00D61BD2">
      <w:pPr>
        <w:pStyle w:val="Textonotapie"/>
        <w:rPr>
          <w:color w:val="000000"/>
        </w:rPr>
      </w:pPr>
      <w:r w:rsidRPr="000E696E">
        <w:rPr>
          <w:rStyle w:val="Refdenotaalpie"/>
          <w:color w:val="000000"/>
          <w:sz w:val="16"/>
        </w:rPr>
        <w:footnoteRef/>
      </w:r>
      <w:r w:rsidRPr="000E696E">
        <w:rPr>
          <w:color w:val="000000"/>
        </w:rPr>
        <w:t xml:space="preserve"> </w:t>
      </w:r>
      <w:r w:rsidRPr="000E696E">
        <w:rPr>
          <w:color w:val="000000"/>
        </w:rPr>
        <w:tab/>
      </w:r>
      <w:r w:rsidRPr="000E696E">
        <w:rPr>
          <w:i/>
        </w:rPr>
        <w:t>Cf.</w:t>
      </w:r>
      <w:r w:rsidRPr="000E696E">
        <w:t xml:space="preserve"> </w:t>
      </w:r>
      <w:r w:rsidRPr="000E696E">
        <w:rPr>
          <w:i/>
        </w:rPr>
        <w:t>OC-10/89, supra</w:t>
      </w:r>
      <w:r w:rsidRPr="000E696E">
        <w:t>, paras. 43 and 45.</w:t>
      </w:r>
    </w:p>
  </w:footnote>
  <w:footnote w:id="200">
    <w:p w14:paraId="692408D3" w14:textId="420A323A" w:rsidR="0068647C" w:rsidRPr="000E696E" w:rsidRDefault="0068647C" w:rsidP="00D61BD2">
      <w:pPr>
        <w:pStyle w:val="Textonotapie"/>
      </w:pPr>
      <w:r w:rsidRPr="000E696E">
        <w:rPr>
          <w:rStyle w:val="Refdenotaalpie"/>
          <w:sz w:val="16"/>
        </w:rPr>
        <w:footnoteRef/>
      </w:r>
      <w:r w:rsidRPr="000E696E">
        <w:t xml:space="preserve"> </w:t>
      </w:r>
      <w:r w:rsidRPr="000E696E">
        <w:tab/>
        <w:t>The constitutional articles of the States Parties to the American Convention that refer to some form of protection of the right to work are: Argentina (art. 14 bis), Bolivia (arts. 46 and 48), Brazil (art. 6), Colombia (art. 25), Costa Rica (art. 56), Chile (art. 19), Dominican Republic (art. 62), Ecuador (art. 33), El Salvador (arts. 37 and 38), Guatemala (art. 101), Haiti (art. 35), Honduras (arts. 127 and 129), Mexico (art. 123), Nicaragua (arts. 57 and 80), Panama (art. 64), Paraguay (art.  86), Peru (art. 2), Suriname (art. 4), and Uruguay (art. 36), and Venezuela (art. 87).</w:t>
      </w:r>
    </w:p>
  </w:footnote>
  <w:footnote w:id="201">
    <w:p w14:paraId="267376F9" w14:textId="0F916712" w:rsidR="0068647C" w:rsidRPr="000E696E" w:rsidRDefault="0068647C" w:rsidP="00412DA2">
      <w:pPr>
        <w:tabs>
          <w:tab w:val="left" w:pos="567"/>
        </w:tabs>
        <w:spacing w:after="60"/>
        <w:contextualSpacing/>
        <w:jc w:val="both"/>
        <w:rPr>
          <w:rFonts w:ascii="Verdana" w:hAnsi="Verdana"/>
          <w:color w:val="000000"/>
          <w:sz w:val="16"/>
          <w:szCs w:val="16"/>
          <w:lang w:val="en-US"/>
        </w:rPr>
      </w:pPr>
      <w:r w:rsidRPr="000E696E">
        <w:rPr>
          <w:rStyle w:val="Refdenotaalpie"/>
          <w:color w:val="000000"/>
          <w:sz w:val="16"/>
          <w:szCs w:val="16"/>
          <w:lang w:val="en-US"/>
        </w:rPr>
        <w:footnoteRef/>
      </w:r>
      <w:r w:rsidRPr="000E696E">
        <w:rPr>
          <w:rFonts w:ascii="Verdana" w:hAnsi="Verdana"/>
          <w:color w:val="000000"/>
          <w:sz w:val="16"/>
          <w:szCs w:val="16"/>
          <w:lang w:val="en-US"/>
        </w:rPr>
        <w:t xml:space="preserve"> </w:t>
      </w:r>
      <w:r w:rsidRPr="000E696E">
        <w:rPr>
          <w:rFonts w:ascii="Verdana" w:hAnsi="Verdana" w:cs="Arial"/>
          <w:color w:val="000000"/>
          <w:sz w:val="16"/>
          <w:szCs w:val="16"/>
          <w:lang w:val="en-US"/>
        </w:rPr>
        <w:tab/>
      </w:r>
      <w:r w:rsidRPr="000E696E">
        <w:rPr>
          <w:rFonts w:ascii="Verdana" w:hAnsi="Verdana" w:cs="Arial"/>
          <w:color w:val="000000"/>
          <w:sz w:val="16"/>
          <w:szCs w:val="16"/>
          <w:lang w:val="en-US"/>
        </w:rPr>
        <w:tab/>
        <w:t xml:space="preserve">Article 6(1). </w:t>
      </w:r>
      <w:r w:rsidRPr="000E696E">
        <w:rPr>
          <w:rFonts w:ascii="Verdana" w:hAnsi="Verdana"/>
          <w:sz w:val="16"/>
          <w:szCs w:val="16"/>
          <w:lang w:val="en-US"/>
        </w:rPr>
        <w:t>The States Parties to the present Covenant recognize the right to work, which includes the right of everyone to the opportunity to gain his living by work which he freely chooses or accepts, and will take appropriate steps to safeguard this right.</w:t>
      </w:r>
      <w:r w:rsidRPr="000E696E">
        <w:rPr>
          <w:sz w:val="16"/>
          <w:szCs w:val="16"/>
          <w:lang w:val="en-US"/>
        </w:rPr>
        <w:t xml:space="preserve"> </w:t>
      </w:r>
      <w:r w:rsidRPr="000E696E">
        <w:rPr>
          <w:rFonts w:ascii="Verdana" w:hAnsi="Verdana" w:cs="Arial"/>
          <w:color w:val="000000"/>
          <w:sz w:val="16"/>
          <w:szCs w:val="16"/>
          <w:lang w:val="en-US"/>
        </w:rPr>
        <w:t>[…].</w:t>
      </w:r>
    </w:p>
  </w:footnote>
  <w:footnote w:id="202">
    <w:p w14:paraId="36A7ECA6" w14:textId="6DEBD3A5" w:rsidR="0068647C" w:rsidRPr="000E696E" w:rsidRDefault="0068647C" w:rsidP="00412DA2">
      <w:pPr>
        <w:tabs>
          <w:tab w:val="left" w:pos="720"/>
        </w:tabs>
        <w:spacing w:after="60"/>
        <w:jc w:val="both"/>
        <w:rPr>
          <w:rFonts w:ascii="Verdana" w:hAnsi="Verdana"/>
          <w:color w:val="000000"/>
          <w:sz w:val="16"/>
          <w:szCs w:val="16"/>
          <w:lang w:val="en-US"/>
        </w:rPr>
      </w:pPr>
      <w:r w:rsidRPr="000E696E">
        <w:rPr>
          <w:rStyle w:val="Refdenotaalpie"/>
          <w:sz w:val="16"/>
          <w:szCs w:val="16"/>
          <w:lang w:val="en-US"/>
        </w:rPr>
        <w:footnoteRef/>
      </w:r>
      <w:r w:rsidRPr="000E696E">
        <w:rPr>
          <w:rFonts w:ascii="Verdana" w:hAnsi="Verdana" w:cs="Arial"/>
          <w:sz w:val="16"/>
          <w:szCs w:val="16"/>
          <w:lang w:val="en-US"/>
        </w:rPr>
        <w:t xml:space="preserve"> </w:t>
      </w:r>
      <w:r w:rsidRPr="000E696E">
        <w:rPr>
          <w:rFonts w:ascii="Verdana" w:hAnsi="Verdana" w:cs="Arial"/>
          <w:sz w:val="16"/>
          <w:szCs w:val="16"/>
          <w:lang w:val="en-US"/>
        </w:rPr>
        <w:tab/>
      </w:r>
      <w:r w:rsidRPr="000E696E">
        <w:rPr>
          <w:rFonts w:ascii="Verdana" w:hAnsi="Verdana"/>
          <w:bCs/>
          <w:color w:val="000000"/>
          <w:sz w:val="16"/>
          <w:szCs w:val="16"/>
          <w:lang w:val="en-US"/>
        </w:rPr>
        <w:t>Article 23</w:t>
      </w:r>
      <w:r w:rsidRPr="000E696E">
        <w:rPr>
          <w:rFonts w:ascii="Verdana" w:hAnsi="Verdana" w:cs="Tahoma"/>
          <w:color w:val="000000"/>
          <w:sz w:val="16"/>
          <w:szCs w:val="16"/>
          <w:lang w:val="en-US"/>
        </w:rPr>
        <w:t>.</w:t>
      </w:r>
      <w:r w:rsidRPr="000E696E">
        <w:rPr>
          <w:rFonts w:ascii="Verdana" w:hAnsi="Verdana" w:cs="Arial"/>
          <w:sz w:val="16"/>
          <w:szCs w:val="16"/>
          <w:lang w:val="en-US"/>
        </w:rPr>
        <w:t xml:space="preserve"> Everyone has the right to work, to free choice of employment, to just and favourable conditions of work and to protection against unemployment. 2. Everyone, without any discrimination, has the right to equal pay for equal work. 3. Everyone who works has the right to just and favourable remuneration ensuring for himself and his family an existence worthy of human dignity, and supplemented, if necessary, by other means of social protection. 4. Everyone has the right to form and to join trade unions for the protection of his interests.</w:t>
      </w:r>
      <w:r w:rsidRPr="000E696E">
        <w:rPr>
          <w:rFonts w:ascii="Verdana" w:hAnsi="Verdana"/>
          <w:color w:val="000000"/>
          <w:sz w:val="16"/>
          <w:szCs w:val="16"/>
          <w:lang w:val="en-US"/>
        </w:rPr>
        <w:t xml:space="preserve"> </w:t>
      </w:r>
    </w:p>
  </w:footnote>
  <w:footnote w:id="203">
    <w:p w14:paraId="632E6D00" w14:textId="4CD4AE8C" w:rsidR="0068647C" w:rsidRPr="000E696E" w:rsidRDefault="0068647C" w:rsidP="00412DA2">
      <w:pPr>
        <w:spacing w:after="60"/>
        <w:jc w:val="both"/>
        <w:rPr>
          <w:rFonts w:ascii="Verdana" w:eastAsia="Times New Roman"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bCs/>
          <w:sz w:val="16"/>
          <w:szCs w:val="16"/>
          <w:lang w:val="en-US"/>
        </w:rPr>
        <w:t xml:space="preserve">Article 8. </w:t>
      </w:r>
      <w:r w:rsidRPr="000E696E">
        <w:rPr>
          <w:rFonts w:ascii="Verdana" w:hAnsi="Verdana"/>
          <w:sz w:val="16"/>
          <w:szCs w:val="16"/>
          <w:lang w:val="en-US"/>
        </w:rPr>
        <w:t>The promotion of decent work, the fight against unemployment and underemployment, as well as addressing the challenges of informal labor are essential elements for achieving economic development with equity. Respect</w:t>
      </w:r>
      <w:r w:rsidRPr="000E696E">
        <w:rPr>
          <w:rFonts w:ascii="Verdana" w:hAnsi="Verdana"/>
          <w:iCs/>
          <w:sz w:val="16"/>
          <w:szCs w:val="16"/>
          <w:lang w:val="en-US"/>
        </w:rPr>
        <w:t xml:space="preserve"> for workers’ rights, equal employment opportunities, and improved working conditions are essential to attaining prosperity. Cooperation and social dialogue among government representatives, workers, employers, and other stakeholders promote good governance and a stable economy.</w:t>
      </w:r>
      <w:r w:rsidRPr="000E696E">
        <w:rPr>
          <w:sz w:val="16"/>
          <w:szCs w:val="16"/>
          <w:lang w:val="en-US"/>
        </w:rPr>
        <w:t xml:space="preserve"> </w:t>
      </w:r>
    </w:p>
  </w:footnote>
  <w:footnote w:id="204">
    <w:p w14:paraId="07188AE5" w14:textId="06347391" w:rsidR="0068647C" w:rsidRPr="000E696E" w:rsidRDefault="0068647C" w:rsidP="00412DA2">
      <w:pPr>
        <w:tabs>
          <w:tab w:val="left" w:pos="720"/>
          <w:tab w:val="left" w:pos="2196"/>
        </w:tabs>
        <w:spacing w:after="60"/>
        <w:jc w:val="both"/>
        <w:rPr>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cs="Arial"/>
          <w:sz w:val="16"/>
          <w:szCs w:val="16"/>
          <w:lang w:val="en-US"/>
        </w:rPr>
        <w:t xml:space="preserve">Article 6. </w:t>
      </w:r>
      <w:r w:rsidRPr="000E696E">
        <w:rPr>
          <w:rFonts w:ascii="Verdana" w:hAnsi="Verdana"/>
          <w:sz w:val="16"/>
          <w:szCs w:val="16"/>
          <w:lang w:val="en-US"/>
        </w:rPr>
        <w:t>Everyone has the right to work, which includes the opportunity to secure the means for living a dignified and decent existence by performing a freely elected or accepted lawful activity. The State Parties undertake to adopt measures that will make the right to work fully effective, especially with regard to the achievement of full employment, vocational guidance, and the development of technical and vocational training projects, in particular those directed to the disabled. […]</w:t>
      </w:r>
    </w:p>
    <w:p w14:paraId="53952A43" w14:textId="4DF407A4" w:rsidR="0068647C" w:rsidRPr="000E696E" w:rsidRDefault="0068647C" w:rsidP="00D61BD2">
      <w:pPr>
        <w:pStyle w:val="Textonotapie"/>
      </w:pPr>
      <w:r w:rsidRPr="000E696E">
        <w:t>Article 7. Just, Equitable, and Satisfactory Conditions of Work. The States Parties to this Protocol recognize that the right to work to which the foregoing article refers presupposes that everyone shall enjoy that right under just, equitable, and satisfactory conditions, which the States Parties undertake to guarantee in their internal legislation, particularly with respect to: c. the right of every worker to promotion or upward mobility in his employment, for which purpose account shall be taken of his qualifications, competence, integrity and seniority; d. Stability of employment, subject to the nature of each industry and occupation and the causes for just separation. In cases of unjustified dismissal, the worker shall have the right to indemnity or to reinstatement on the job or any other benefits provided by domestic legislation […].</w:t>
      </w:r>
    </w:p>
  </w:footnote>
  <w:footnote w:id="205">
    <w:p w14:paraId="1C833996" w14:textId="434DBB80" w:rsidR="0068647C" w:rsidRPr="000E696E" w:rsidRDefault="0068647C" w:rsidP="00A25801">
      <w:pPr>
        <w:tabs>
          <w:tab w:val="left" w:pos="720"/>
        </w:tabs>
        <w:spacing w:after="60"/>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bCs/>
          <w:color w:val="000000"/>
          <w:sz w:val="16"/>
          <w:szCs w:val="16"/>
          <w:lang w:val="en-US"/>
        </w:rPr>
        <w:t>Article 11(</w:t>
      </w:r>
      <w:r w:rsidRPr="000E696E">
        <w:rPr>
          <w:rFonts w:ascii="Verdana" w:hAnsi="Verdana"/>
          <w:color w:val="000000"/>
          <w:sz w:val="16"/>
          <w:szCs w:val="16"/>
          <w:lang w:val="en-US"/>
        </w:rPr>
        <w:t xml:space="preserve">1). </w:t>
      </w:r>
      <w:r w:rsidRPr="000E696E">
        <w:rPr>
          <w:rFonts w:ascii="Verdana" w:hAnsi="Verdana" w:cs="Arial"/>
          <w:sz w:val="16"/>
          <w:szCs w:val="16"/>
          <w:lang w:val="en-US"/>
        </w:rPr>
        <w:t xml:space="preserve">States Parties shall take all appropriate measures to eliminate discrimination against women in the field of employment in order to ensure, on a basis of equality of men and women, the same rights </w:t>
      </w:r>
      <w:r w:rsidRPr="000E696E">
        <w:rPr>
          <w:rFonts w:ascii="Verdana" w:hAnsi="Verdana"/>
          <w:color w:val="000000"/>
          <w:sz w:val="16"/>
          <w:szCs w:val="16"/>
          <w:lang w:val="en-US"/>
        </w:rPr>
        <w:t>[…]</w:t>
      </w:r>
      <w:r w:rsidRPr="000E696E">
        <w:rPr>
          <w:rFonts w:ascii="Verdana" w:hAnsi="Verdana"/>
          <w:sz w:val="16"/>
          <w:szCs w:val="16"/>
          <w:lang w:val="en-US"/>
        </w:rPr>
        <w:t>.</w:t>
      </w:r>
    </w:p>
  </w:footnote>
  <w:footnote w:id="206">
    <w:p w14:paraId="714502E2" w14:textId="37B52376" w:rsidR="0068647C" w:rsidRPr="000E696E" w:rsidRDefault="0068647C" w:rsidP="002168E2">
      <w:pPr>
        <w:pStyle w:val="NormalWeb"/>
        <w:spacing w:before="0" w:beforeAutospacing="0" w:after="60" w:afterAutospacing="0"/>
        <w:jc w:val="both"/>
        <w:rPr>
          <w:lang w:val="en-US" w:eastAsia="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 xml:space="preserve">Article 32. […] 2. States Parties shall take legislative, administrative, social and educational measures to ensure the implementation of the present article. To this end, and having regard to the relevant provisions of other international instruments, States Parties shall in particular: a) </w:t>
      </w:r>
      <w:r w:rsidRPr="000E696E">
        <w:rPr>
          <w:rFonts w:ascii="Verdana" w:hAnsi="Verdana"/>
          <w:sz w:val="16"/>
          <w:szCs w:val="16"/>
          <w:lang w:val="en-US" w:eastAsia="en-US"/>
        </w:rPr>
        <w:t xml:space="preserve">(a) Provide for a minimum age or minimum ages for admission to employment; </w:t>
      </w:r>
      <w:r w:rsidRPr="000E696E">
        <w:rPr>
          <w:rFonts w:ascii="Verdana" w:hAnsi="Verdana"/>
          <w:sz w:val="16"/>
          <w:szCs w:val="16"/>
          <w:lang w:val="en-US"/>
        </w:rPr>
        <w:t xml:space="preserve">(b) Provide for appropriate regulation of the hours and conditions of employment; (c) Provide for appropriate penalties or other sanctions to ensure the effective enforcement of the present article. </w:t>
      </w:r>
    </w:p>
  </w:footnote>
  <w:footnote w:id="207">
    <w:p w14:paraId="7F8C9EAB" w14:textId="323F2F3A" w:rsidR="0068647C" w:rsidRPr="000E696E" w:rsidRDefault="0068647C" w:rsidP="00EF28DD">
      <w:pPr>
        <w:jc w:val="both"/>
        <w:rPr>
          <w:rFonts w:ascii="Verdana" w:hAnsi="Verdana" w:cs="Arial"/>
          <w:sz w:val="16"/>
          <w:szCs w:val="16"/>
          <w:lang w:val="en-US"/>
        </w:rPr>
      </w:pPr>
      <w:r w:rsidRPr="000E696E">
        <w:rPr>
          <w:rStyle w:val="Refdenotaalpie"/>
          <w:sz w:val="16"/>
          <w:lang w:val="en-US"/>
        </w:rPr>
        <w:footnoteRef/>
      </w:r>
      <w:r w:rsidRPr="000E696E">
        <w:rPr>
          <w:lang w:val="en-US"/>
        </w:rPr>
        <w:t xml:space="preserve"> </w:t>
      </w:r>
      <w:r w:rsidRPr="000E696E">
        <w:rPr>
          <w:rFonts w:ascii="Verdana" w:hAnsi="Verdana"/>
          <w:sz w:val="16"/>
          <w:szCs w:val="16"/>
          <w:lang w:val="en-US"/>
        </w:rPr>
        <w:tab/>
        <w:t xml:space="preserve">Article 1. The right to work. </w:t>
      </w:r>
      <w:r w:rsidRPr="000E696E">
        <w:rPr>
          <w:rFonts w:ascii="Verdana" w:hAnsi="Verdana" w:cs="Arial"/>
          <w:sz w:val="16"/>
          <w:szCs w:val="16"/>
          <w:lang w:val="en-US"/>
        </w:rPr>
        <w:t>With a view to ensuring the effective exercise of the right to work, the Contracting Parties undertake: 1. To accept as one of their primary aims and responsibilities the achievement and maintenance of as high and stable a level of employment as possible, with a view to the attainment of full employment; 2. To protect effectively the right of the worker to earn his living in an occupation freely entered upon; 3. To establish or maintain free employment services for all workers; 4. To provide or promote appropriate vocational guidance, training and rehabilitation.</w:t>
      </w:r>
    </w:p>
    <w:p w14:paraId="3D0382DC" w14:textId="77777777" w:rsidR="0068647C" w:rsidRPr="000E696E" w:rsidRDefault="0068647C" w:rsidP="00EF28DD">
      <w:pPr>
        <w:jc w:val="both"/>
        <w:rPr>
          <w:rFonts w:ascii="Verdana" w:eastAsia="Times New Roman" w:hAnsi="Verdana"/>
          <w:sz w:val="6"/>
          <w:szCs w:val="6"/>
          <w:lang w:val="en-US"/>
        </w:rPr>
      </w:pPr>
    </w:p>
  </w:footnote>
  <w:footnote w:id="208">
    <w:p w14:paraId="50B00F04" w14:textId="4FBD0527" w:rsidR="0068647C" w:rsidRPr="000E696E" w:rsidRDefault="0068647C" w:rsidP="00D61BD2">
      <w:pPr>
        <w:pStyle w:val="Textonotapie"/>
      </w:pPr>
      <w:r w:rsidRPr="000E696E">
        <w:rPr>
          <w:rStyle w:val="Refdenotaalpie"/>
          <w:sz w:val="16"/>
        </w:rPr>
        <w:footnoteRef/>
      </w:r>
      <w:r w:rsidRPr="000E696E">
        <w:t xml:space="preserve"> </w:t>
      </w:r>
      <w:r w:rsidRPr="000E696E">
        <w:tab/>
        <w:t xml:space="preserve">Article 15. Every individual shall have the right to work under equitable and satisfactory conditions, and shall receive equal pay for equal work. </w:t>
      </w:r>
    </w:p>
  </w:footnote>
  <w:footnote w:id="209">
    <w:p w14:paraId="3683937A" w14:textId="1051B642" w:rsidR="0068647C" w:rsidRPr="000E696E" w:rsidRDefault="0068647C" w:rsidP="008221EB">
      <w:pPr>
        <w:widowControl w:val="0"/>
        <w:autoSpaceDE w:val="0"/>
        <w:autoSpaceDN w:val="0"/>
        <w:adjustRightInd w:val="0"/>
        <w:spacing w:after="60"/>
        <w:contextualSpacing/>
        <w:jc w:val="both"/>
        <w:rPr>
          <w:rFonts w:ascii="Verdana" w:hAnsi="Verdana" w:cs="Times"/>
          <w:color w:val="1A1718"/>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cs="Times"/>
          <w:i/>
          <w:color w:val="1A1718"/>
          <w:sz w:val="16"/>
          <w:szCs w:val="16"/>
          <w:lang w:val="en-US"/>
        </w:rPr>
        <w:t xml:space="preserve">Cf. Compulsory Membership of an Association Prescribed by Law for the Practice of Journalism (arts. 13 and 29 American Convention on Human Rights), OC-5/85, supra, </w:t>
      </w:r>
      <w:r w:rsidRPr="000E696E">
        <w:rPr>
          <w:rFonts w:ascii="Verdana" w:hAnsi="Verdana" w:cs="Times"/>
          <w:color w:val="1A1718"/>
          <w:sz w:val="16"/>
          <w:szCs w:val="16"/>
          <w:lang w:val="en-US"/>
        </w:rPr>
        <w:t xml:space="preserve">paras. 51 and 52; </w:t>
      </w:r>
      <w:r w:rsidRPr="000E696E">
        <w:rPr>
          <w:rFonts w:ascii="Verdana" w:hAnsi="Verdana" w:cs="Times"/>
          <w:i/>
          <w:color w:val="1A1718"/>
          <w:sz w:val="16"/>
          <w:szCs w:val="16"/>
          <w:lang w:val="en-US"/>
        </w:rPr>
        <w:t>Juridical Status and Rights of Undocumented Migrants</w:t>
      </w:r>
      <w:r w:rsidRPr="000E696E">
        <w:rPr>
          <w:rFonts w:ascii="Verdana" w:hAnsi="Verdana" w:cs="Times"/>
          <w:color w:val="1A1718"/>
          <w:sz w:val="16"/>
          <w:szCs w:val="16"/>
          <w:lang w:val="en-US"/>
        </w:rPr>
        <w:t xml:space="preserve">, </w:t>
      </w:r>
      <w:r w:rsidRPr="000E696E">
        <w:rPr>
          <w:rFonts w:ascii="Verdana" w:hAnsi="Verdana"/>
          <w:i/>
          <w:color w:val="1A1718"/>
          <w:sz w:val="16"/>
          <w:szCs w:val="16"/>
          <w:lang w:val="en-US"/>
        </w:rPr>
        <w:t>OC-18/2003</w:t>
      </w:r>
      <w:r w:rsidRPr="000E696E">
        <w:rPr>
          <w:rFonts w:ascii="Verdana" w:hAnsi="Verdana" w:cs="Times"/>
          <w:color w:val="1A1718"/>
          <w:sz w:val="16"/>
          <w:szCs w:val="16"/>
          <w:lang w:val="en-US"/>
        </w:rPr>
        <w:t xml:space="preserve"> of September 17, 2003. Series A No. 18, para. 156. Regarding the scope of labor rights, in order to identify a group of rights that have a crucial importance for migrant workers, the Court applied the </w:t>
      </w:r>
      <w:r w:rsidRPr="000E696E">
        <w:rPr>
          <w:rFonts w:ascii="Verdana" w:hAnsi="Verdana" w:cs="Times"/>
          <w:i/>
          <w:iCs/>
          <w:color w:val="1A1718"/>
          <w:sz w:val="16"/>
          <w:szCs w:val="16"/>
          <w:lang w:val="en-US"/>
        </w:rPr>
        <w:t>pro persona</w:t>
      </w:r>
      <w:r w:rsidRPr="000E696E">
        <w:rPr>
          <w:rFonts w:ascii="Verdana" w:hAnsi="Verdana" w:cs="Times"/>
          <w:color w:val="1A1718"/>
          <w:sz w:val="16"/>
          <w:szCs w:val="16"/>
          <w:lang w:val="en-US"/>
        </w:rPr>
        <w:t xml:space="preserve"> principle, indicating that if there are several instruments that regulate the same situation, the domestic or international instrument that best protects the worker must be preferred.</w:t>
      </w:r>
    </w:p>
  </w:footnote>
  <w:footnote w:id="210">
    <w:p w14:paraId="53B30037" w14:textId="3DE36B0A"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iCs/>
        </w:rPr>
        <w:t>Cf. Case of Baena Ricardo et al. v. Panama. Merits, reparations and costs</w:t>
      </w:r>
      <w:r w:rsidRPr="000E696E">
        <w:t>. Judgment of February 2, 2001. Series C No. 72, para. 134.</w:t>
      </w:r>
    </w:p>
  </w:footnote>
  <w:footnote w:id="211">
    <w:p w14:paraId="75D1F4A1" w14:textId="06A0B350" w:rsidR="0068647C" w:rsidRPr="000E696E" w:rsidRDefault="0068647C" w:rsidP="00D61BD2">
      <w:pPr>
        <w:pStyle w:val="Textonotapie"/>
      </w:pPr>
      <w:r w:rsidRPr="000E696E">
        <w:rPr>
          <w:rStyle w:val="Refdenotaalpie"/>
          <w:color w:val="000000"/>
          <w:sz w:val="16"/>
        </w:rPr>
        <w:footnoteRef/>
      </w:r>
      <w:r w:rsidRPr="000E696E">
        <w:t xml:space="preserve"> </w:t>
      </w:r>
      <w:r w:rsidRPr="000E696E">
        <w:tab/>
        <w:t xml:space="preserve">UN. Committee on Economic, Social and Cultural Rights, </w:t>
      </w:r>
      <w:r w:rsidRPr="000E696E">
        <w:rPr>
          <w:i/>
        </w:rPr>
        <w:t>General Comment No.</w:t>
      </w:r>
      <w:r w:rsidRPr="000E696E">
        <w:rPr>
          <w:i/>
          <w:vertAlign w:val="superscript"/>
        </w:rPr>
        <w:t xml:space="preserve"> </w:t>
      </w:r>
      <w:r w:rsidRPr="000E696E">
        <w:rPr>
          <w:i/>
        </w:rPr>
        <w:t>18: The right to work</w:t>
      </w:r>
      <w:r w:rsidRPr="000E696E">
        <w:t>, UN Doc. E/C.12/GC/18, November 24, 2005.</w:t>
      </w:r>
    </w:p>
  </w:footnote>
  <w:footnote w:id="212">
    <w:p w14:paraId="12A2C48B" w14:textId="373434DF" w:rsidR="0068647C" w:rsidRPr="000E696E" w:rsidRDefault="0068647C" w:rsidP="00D61BD2">
      <w:pPr>
        <w:pStyle w:val="Textonotapie"/>
      </w:pPr>
      <w:r w:rsidRPr="000E696E">
        <w:rPr>
          <w:rStyle w:val="Refdenotaalpie"/>
          <w:color w:val="000000"/>
          <w:sz w:val="16"/>
        </w:rPr>
        <w:footnoteRef/>
      </w:r>
      <w:r w:rsidRPr="000E696E">
        <w:t xml:space="preserve"> </w:t>
      </w:r>
      <w:r w:rsidRPr="000E696E">
        <w:tab/>
        <w:t xml:space="preserve">UN. Committee on Economic, Social and Cultural Rights, </w:t>
      </w:r>
      <w:r w:rsidRPr="000E696E">
        <w:rPr>
          <w:i/>
        </w:rPr>
        <w:t>General Comment No.18: The right to work, supra.</w:t>
      </w:r>
    </w:p>
  </w:footnote>
  <w:footnote w:id="213">
    <w:p w14:paraId="095ACC4F" w14:textId="0E993E04" w:rsidR="0068647C" w:rsidRPr="000E696E" w:rsidRDefault="0068647C" w:rsidP="00D61BD2">
      <w:pPr>
        <w:pStyle w:val="Textonotapie"/>
        <w:rPr>
          <w:i/>
        </w:rPr>
      </w:pPr>
      <w:r w:rsidRPr="000E696E">
        <w:rPr>
          <w:rStyle w:val="Refdenotaalpie"/>
          <w:color w:val="000000"/>
          <w:sz w:val="16"/>
        </w:rPr>
        <w:footnoteRef/>
      </w:r>
      <w:r w:rsidRPr="000E696E">
        <w:t xml:space="preserve"> </w:t>
      </w:r>
      <w:r w:rsidRPr="000E696E">
        <w:tab/>
        <w:t xml:space="preserve">ILO. </w:t>
      </w:r>
      <w:r w:rsidRPr="000E696E">
        <w:rPr>
          <w:i/>
          <w:iCs/>
        </w:rPr>
        <w:t>Convention No. 158 on termination of employment</w:t>
      </w:r>
      <w:r w:rsidRPr="000E696E">
        <w:t>, November 23, 1985. It should be pointed out that, as the Peruvian State indicate, Convention No. 158 has not been ratified by Peru.</w:t>
      </w:r>
    </w:p>
  </w:footnote>
  <w:footnote w:id="214">
    <w:p w14:paraId="05BC8CB7" w14:textId="2E291DCB" w:rsidR="0068647C" w:rsidRPr="000E696E" w:rsidRDefault="0068647C" w:rsidP="005F0B9D">
      <w:pPr>
        <w:shd w:val="clear" w:color="auto" w:fill="FFFFFF"/>
        <w:spacing w:after="60"/>
        <w:contextualSpacing/>
        <w:jc w:val="both"/>
        <w:rPr>
          <w:rFonts w:ascii="Verdana" w:eastAsia="Times New Roman" w:hAnsi="Verdana" w:cs="Arial"/>
          <w:color w:val="000000"/>
          <w:sz w:val="16"/>
          <w:szCs w:val="16"/>
          <w:lang w:val="en-US" w:eastAsia="es-MX"/>
        </w:rPr>
      </w:pPr>
      <w:r w:rsidRPr="000E696E">
        <w:rPr>
          <w:rStyle w:val="Refdenotaalpie"/>
          <w:color w:val="000000"/>
          <w:sz w:val="16"/>
          <w:szCs w:val="16"/>
          <w:lang w:val="en-US"/>
        </w:rPr>
        <w:footnoteRef/>
      </w:r>
      <w:r w:rsidRPr="000E696E">
        <w:rPr>
          <w:rFonts w:ascii="Verdana" w:hAnsi="Verdana"/>
          <w:color w:val="000000"/>
          <w:sz w:val="16"/>
          <w:szCs w:val="16"/>
          <w:lang w:val="en-US"/>
        </w:rPr>
        <w:t xml:space="preserve"> </w:t>
      </w:r>
      <w:r w:rsidRPr="000E696E">
        <w:rPr>
          <w:rFonts w:ascii="Verdana" w:hAnsi="Verdana"/>
          <w:color w:val="000000"/>
          <w:sz w:val="16"/>
          <w:szCs w:val="16"/>
          <w:lang w:val="en-US"/>
        </w:rPr>
        <w:tab/>
      </w:r>
      <w:r w:rsidRPr="000E696E">
        <w:rPr>
          <w:rFonts w:ascii="Verdana" w:eastAsia="Times New Roman" w:hAnsi="Verdana" w:cs="Arial"/>
          <w:color w:val="000000"/>
          <w:sz w:val="16"/>
          <w:szCs w:val="16"/>
          <w:lang w:val="en-US" w:eastAsia="es-MX"/>
        </w:rPr>
        <w:t xml:space="preserve">Article 4 of Convention No. 158. </w:t>
      </w:r>
      <w:r w:rsidRPr="000E696E">
        <w:rPr>
          <w:rFonts w:ascii="Verdana" w:hAnsi="Verdana"/>
          <w:sz w:val="16"/>
          <w:szCs w:val="16"/>
          <w:lang w:val="en-US"/>
        </w:rPr>
        <w:t>The employment of a worker shall not be terminated unless there is a valid reason for such termination connected with the capacity or conduct of the worker or based on the operational requirements of the undertaking, establishment or service.</w:t>
      </w:r>
    </w:p>
  </w:footnote>
  <w:footnote w:id="215">
    <w:p w14:paraId="68A59092" w14:textId="52CF33C3" w:rsidR="0068647C" w:rsidRPr="000E696E" w:rsidRDefault="0068647C" w:rsidP="005F0B9D">
      <w:pPr>
        <w:spacing w:after="60"/>
        <w:jc w:val="both"/>
        <w:rPr>
          <w:rFonts w:ascii="Verdana" w:eastAsia="Times New Roman" w:hAnsi="Verdana"/>
          <w:sz w:val="16"/>
          <w:szCs w:val="16"/>
          <w:lang w:val="en-US"/>
        </w:rPr>
      </w:pPr>
      <w:r w:rsidRPr="000E696E">
        <w:rPr>
          <w:rStyle w:val="Refdenotaalpie"/>
          <w:color w:val="000000"/>
          <w:sz w:val="16"/>
          <w:szCs w:val="16"/>
          <w:lang w:val="en-US"/>
        </w:rPr>
        <w:footnoteRef/>
      </w:r>
      <w:r w:rsidRPr="000E696E">
        <w:rPr>
          <w:rFonts w:ascii="Verdana" w:hAnsi="Verdana"/>
          <w:color w:val="000000"/>
          <w:sz w:val="16"/>
          <w:szCs w:val="16"/>
          <w:lang w:val="en-US"/>
        </w:rPr>
        <w:t xml:space="preserve"> </w:t>
      </w:r>
      <w:r w:rsidRPr="000E696E">
        <w:rPr>
          <w:rFonts w:ascii="Verdana" w:hAnsi="Verdana"/>
          <w:color w:val="000000"/>
          <w:sz w:val="16"/>
          <w:szCs w:val="16"/>
          <w:lang w:val="en-US"/>
        </w:rPr>
        <w:tab/>
      </w:r>
      <w:r w:rsidRPr="000E696E">
        <w:rPr>
          <w:rFonts w:ascii="Verdana" w:eastAsia="Times New Roman" w:hAnsi="Verdana" w:cs="Arial"/>
          <w:color w:val="000000"/>
          <w:sz w:val="16"/>
          <w:szCs w:val="16"/>
          <w:lang w:val="en-US" w:eastAsia="es-MX"/>
        </w:rPr>
        <w:t xml:space="preserve">Article 5 of Convention No. 158. </w:t>
      </w:r>
      <w:r w:rsidRPr="000E696E">
        <w:rPr>
          <w:rFonts w:ascii="Verdana" w:eastAsia="Times New Roman" w:hAnsi="Verdana"/>
          <w:sz w:val="16"/>
          <w:szCs w:val="16"/>
          <w:lang w:val="en-US"/>
        </w:rPr>
        <w:t>The following, inter alia, shall not constitute valid reasons for termination: (a) union membership or participation in union activities outside working hours or, with the consent of the employer, within working hours; (b) seeking office as, or acting or having acted in the capacity of, a workers' representative; (c) the filing of a complaint or the participation in proceedings against an employer involving alleged violation of laws or regulations or recourse to competent administrative authorities;[…].</w:t>
      </w:r>
    </w:p>
  </w:footnote>
  <w:footnote w:id="216">
    <w:p w14:paraId="3D4B9962" w14:textId="64C5985B"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rPr>
        <w:t xml:space="preserve">Cf. </w:t>
      </w:r>
      <w:r w:rsidRPr="000E696E">
        <w:t>ILO, Recommendation on Workers’ Representatives, 1971 (No. 143), Recommendation on protection and facilities that should be afforded to workers’ representatives. Fifty-sixth Session of the ILO General Conference; date adopted June 23, 1971. Paragraph 5: Workers' representatives in the undertaking should enjoy effective protection against any act prejudicial to them, including dismissal, based on their status or activities as a workers' representative or on union membership or participation in union activities, in so far as they act in conformity with existing laws or collective agreements or other jointly agreed arrangements. Paragraph 6: (1) Where there are not sufficient relevant protective measures applicable to workers in general, specific measures should be taken to ensure effective protection of workers' representatives. (2) These might include such measures as the following: (a) detailed and precise definition of the reasons justifying termination of employment of workers' representatives; (b) a requirement of consultation with, an advisory opinion from, or agreement of an independent body, public or private, or a joint body, before the dismissal of a workers' representative becomes final; (c) a special recourse procedure open to workers' representatives who consider that their employment has been unjustifiably terminated, or that they have been subjected to an unfavourable change in their conditions of employment or to unfair treatment; (d) in respect of the unjustified termination of employment of workers' representatives, provision for an effective remedy which, unless this is contrary to basic principles of the law of the country concerned, should include the reinstatement of such representatives in their job, with payment of unpaid wages and with maintenance of their acquired rights; (e) provision for laying upon the employer, in the case of any alleged discriminatory dismissal or unfavourable change in the conditions of employment of a workers' representative, the burden of proving that such action was justified; (f) recognition of a priority to be given to workers' representatives with regard to their retention in employment in case of reduction of the workforce.</w:t>
      </w:r>
    </w:p>
  </w:footnote>
  <w:footnote w:id="217">
    <w:p w14:paraId="563D2A39" w14:textId="143CE129" w:rsidR="0068647C" w:rsidRPr="000E696E" w:rsidRDefault="0068647C" w:rsidP="00D61BD2">
      <w:pPr>
        <w:pStyle w:val="Textonotapie"/>
      </w:pPr>
      <w:r w:rsidRPr="000E696E">
        <w:rPr>
          <w:rStyle w:val="Refdenotaalpie"/>
          <w:sz w:val="16"/>
        </w:rPr>
        <w:footnoteRef/>
      </w:r>
      <w:r w:rsidRPr="000E696E">
        <w:t xml:space="preserve"> </w:t>
      </w:r>
      <w:r w:rsidRPr="000E696E">
        <w:tab/>
        <w:t xml:space="preserve">Also, the United Nations General Assembly adopted Agenda 2030, which includes 17 Sustainable Development Goals and 169 targets to benefit people, the planet and prosperity. In particular, Goal 8 promotes sustained, inclusive and sustainable economic growth, full and productive employment and decent work for all. Targets 8.5 and 8.8 are addressed at protecting workers’ rights and promoting a safe and secure working environment. </w:t>
      </w:r>
    </w:p>
  </w:footnote>
  <w:footnote w:id="218">
    <w:p w14:paraId="3EE29563" w14:textId="6732A621"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iCs/>
        </w:rPr>
        <w:t>Mutatis mutandi</w:t>
      </w:r>
      <w:r>
        <w:rPr>
          <w:i/>
          <w:iCs/>
        </w:rPr>
        <w:t>s</w:t>
      </w:r>
      <w:r w:rsidRPr="000E696E">
        <w:rPr>
          <w:i/>
          <w:iCs/>
        </w:rPr>
        <w:t xml:space="preserve">, Case of Ximenes Lopes v. Brazil. </w:t>
      </w:r>
      <w:r w:rsidRPr="000E696E">
        <w:t xml:space="preserve">Judgment of July 4, 2006. </w:t>
      </w:r>
      <w:r w:rsidRPr="00B06D8F">
        <w:rPr>
          <w:lang w:val="es-CR"/>
        </w:rPr>
        <w:t>Serie C No. 149, para. 99;</w:t>
      </w:r>
      <w:r w:rsidRPr="00B06D8F">
        <w:rPr>
          <w:i/>
          <w:iCs/>
          <w:lang w:val="es-CR"/>
        </w:rPr>
        <w:t xml:space="preserve"> Case of Suárez Peralta v. Ecuador, supra, </w:t>
      </w:r>
      <w:r w:rsidRPr="00B06D8F">
        <w:rPr>
          <w:lang w:val="es-CR"/>
        </w:rPr>
        <w:t xml:space="preserve">para. </w:t>
      </w:r>
      <w:r w:rsidRPr="000E696E">
        <w:t>133, and</w:t>
      </w:r>
      <w:r w:rsidRPr="000E696E">
        <w:rPr>
          <w:i/>
          <w:iCs/>
        </w:rPr>
        <w:t xml:space="preserve"> Case of the Kaliña and Lokono Peoples v. Suriname. Merits, reparations and costs.</w:t>
      </w:r>
      <w:r w:rsidRPr="000E696E">
        <w:t xml:space="preserve"> Judgment of November 25, 2015, Serie C No. 309, para. 216.</w:t>
      </w:r>
    </w:p>
  </w:footnote>
  <w:footnote w:id="219">
    <w:p w14:paraId="487C6B70" w14:textId="50388C2D"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iCs/>
        </w:rPr>
        <w:t>Cf.</w:t>
      </w:r>
      <w:r w:rsidRPr="000E696E">
        <w:t xml:space="preserve"> </w:t>
      </w:r>
      <w:r w:rsidRPr="000E696E">
        <w:rPr>
          <w:rStyle w:val="Textoennegrita"/>
          <w:b w:val="0"/>
          <w:i/>
          <w:color w:val="000000"/>
          <w:shd w:val="clear" w:color="auto" w:fill="FFFFFF"/>
        </w:rPr>
        <w:t>Case of Escher et al. v. Brazil. Preliminary objections, merits, reparations and costs.</w:t>
      </w:r>
      <w:r w:rsidRPr="000E696E">
        <w:rPr>
          <w:rStyle w:val="Textoennegrita"/>
          <w:b w:val="0"/>
          <w:color w:val="000000"/>
          <w:shd w:val="clear" w:color="auto" w:fill="FFFFFF"/>
        </w:rPr>
        <w:t xml:space="preserve"> Judgment of July 6, 2009. Series C No. 200, para. 169.</w:t>
      </w:r>
    </w:p>
  </w:footnote>
  <w:footnote w:id="220">
    <w:p w14:paraId="2FE182D0" w14:textId="09420A16" w:rsidR="0068647C" w:rsidRPr="000E696E" w:rsidRDefault="0068647C" w:rsidP="00D61BD2">
      <w:pPr>
        <w:pStyle w:val="Textonotapie"/>
      </w:pPr>
      <w:r w:rsidRPr="000E696E">
        <w:rPr>
          <w:rStyle w:val="Refdenotaalpie"/>
          <w:sz w:val="16"/>
        </w:rPr>
        <w:footnoteRef/>
      </w:r>
      <w:r w:rsidRPr="000E696E">
        <w:t xml:space="preserve"> </w:t>
      </w:r>
      <w:r w:rsidRPr="000E696E">
        <w:rPr>
          <w:rStyle w:val="apple-converted-space"/>
          <w:bCs/>
          <w:color w:val="000000"/>
          <w:shd w:val="clear" w:color="auto" w:fill="FFFFFF"/>
        </w:rPr>
        <w:tab/>
      </w:r>
      <w:r w:rsidRPr="000E696E">
        <w:rPr>
          <w:rStyle w:val="apple-converted-space"/>
          <w:bCs/>
          <w:i/>
          <w:color w:val="000000"/>
          <w:shd w:val="clear" w:color="auto" w:fill="FFFFFF"/>
        </w:rPr>
        <w:t xml:space="preserve">Cf. </w:t>
      </w:r>
      <w:r w:rsidRPr="000E696E">
        <w:rPr>
          <w:rStyle w:val="Textoennegrita"/>
          <w:b w:val="0"/>
          <w:i/>
          <w:color w:val="000000"/>
          <w:shd w:val="clear" w:color="auto" w:fill="FFFFFF"/>
        </w:rPr>
        <w:t>Case of Baena Ricardo et al. v. Panama. Merits, reparations and costs, supra,</w:t>
      </w:r>
      <w:r w:rsidRPr="000E696E">
        <w:rPr>
          <w:rStyle w:val="Textoennegrita"/>
          <w:b w:val="0"/>
          <w:color w:val="000000"/>
          <w:shd w:val="clear" w:color="auto" w:fill="FFFFFF"/>
        </w:rPr>
        <w:t xml:space="preserve"> para. 156, and </w:t>
      </w:r>
      <w:r w:rsidRPr="000E696E">
        <w:rPr>
          <w:rStyle w:val="Textoennegrita"/>
          <w:b w:val="0"/>
          <w:i/>
          <w:color w:val="000000"/>
          <w:shd w:val="clear" w:color="auto" w:fill="FFFFFF"/>
        </w:rPr>
        <w:t>Case of the Members of the Village of Chichupac and neighboring communities of the Municipality of Rabinal v. Guatemala.</w:t>
      </w:r>
      <w:r w:rsidRPr="000E696E">
        <w:rPr>
          <w:rStyle w:val="Textoennegrita"/>
          <w:b w:val="0"/>
          <w:color w:val="000000"/>
          <w:shd w:val="clear" w:color="auto" w:fill="FFFFFF"/>
        </w:rPr>
        <w:t xml:space="preserve"> </w:t>
      </w:r>
      <w:r w:rsidRPr="000E696E">
        <w:rPr>
          <w:rStyle w:val="Textoennegrita"/>
          <w:b w:val="0"/>
          <w:i/>
          <w:color w:val="000000"/>
          <w:shd w:val="clear" w:color="auto" w:fill="FFFFFF"/>
        </w:rPr>
        <w:t>Preliminary objections, merits, reparations and costs.</w:t>
      </w:r>
      <w:r w:rsidRPr="000E696E">
        <w:rPr>
          <w:rStyle w:val="Textoennegrita"/>
          <w:b w:val="0"/>
          <w:color w:val="000000"/>
          <w:shd w:val="clear" w:color="auto" w:fill="FFFFFF"/>
        </w:rPr>
        <w:t xml:space="preserve"> Judgment of November 30, 2016. Series C No. 328, para. 205.</w:t>
      </w:r>
    </w:p>
  </w:footnote>
  <w:footnote w:id="221">
    <w:p w14:paraId="796435BC" w14:textId="4EA7CBE0"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rPr>
        <w:t>Cf.</w:t>
      </w:r>
      <w:r w:rsidRPr="000E696E">
        <w:t xml:space="preserve"> </w:t>
      </w:r>
      <w:r w:rsidRPr="000E696E">
        <w:rPr>
          <w:rStyle w:val="Textoennegrita"/>
          <w:b w:val="0"/>
          <w:i/>
          <w:color w:val="000000"/>
          <w:shd w:val="clear" w:color="auto" w:fill="FFFFFF"/>
        </w:rPr>
        <w:t>Case of Huilca Tecse v. Peru. Merits, reparations and costs.</w:t>
      </w:r>
      <w:r w:rsidRPr="000E696E">
        <w:rPr>
          <w:rStyle w:val="Textoennegrita"/>
          <w:b w:val="0"/>
          <w:color w:val="000000"/>
          <w:shd w:val="clear" w:color="auto" w:fill="FFFFFF"/>
        </w:rPr>
        <w:t xml:space="preserve"> Judgment of March 3, 2005. Series C No. 121, para. 121, and </w:t>
      </w:r>
      <w:r w:rsidRPr="000E696E">
        <w:rPr>
          <w:rStyle w:val="Textoennegrita"/>
          <w:b w:val="0"/>
          <w:i/>
          <w:color w:val="000000"/>
          <w:shd w:val="clear" w:color="auto" w:fill="FFFFFF"/>
        </w:rPr>
        <w:t>Case of Yarce et al. v. Colombia, supra</w:t>
      </w:r>
      <w:r w:rsidRPr="000E696E">
        <w:rPr>
          <w:rStyle w:val="Textoennegrita"/>
          <w:b w:val="0"/>
          <w:color w:val="000000"/>
          <w:shd w:val="clear" w:color="auto" w:fill="FFFFFF"/>
        </w:rPr>
        <w:t>, para. 271.</w:t>
      </w:r>
    </w:p>
  </w:footnote>
  <w:footnote w:id="222">
    <w:p w14:paraId="146E54C7" w14:textId="74F8C297" w:rsidR="0068647C" w:rsidRPr="000E696E" w:rsidRDefault="0068647C" w:rsidP="00D61BD2">
      <w:pPr>
        <w:pStyle w:val="Textonotapie"/>
        <w:rPr>
          <w:b/>
        </w:rPr>
      </w:pPr>
      <w:r w:rsidRPr="000E696E">
        <w:rPr>
          <w:rStyle w:val="Refdenotaalpie"/>
          <w:sz w:val="16"/>
        </w:rPr>
        <w:footnoteRef/>
      </w:r>
      <w:r w:rsidRPr="000E696E">
        <w:t xml:space="preserve"> </w:t>
      </w:r>
      <w:r w:rsidRPr="000E696E">
        <w:tab/>
      </w:r>
      <w:r w:rsidRPr="000E696E">
        <w:rPr>
          <w:rStyle w:val="apple-converted-space"/>
          <w:bCs/>
          <w:i/>
          <w:color w:val="000000"/>
          <w:shd w:val="clear" w:color="auto" w:fill="FFFFFF"/>
        </w:rPr>
        <w:t>Cf.</w:t>
      </w:r>
      <w:r w:rsidRPr="000E696E">
        <w:rPr>
          <w:rStyle w:val="apple-converted-space"/>
          <w:b/>
          <w:bCs/>
          <w:i/>
          <w:color w:val="000000"/>
          <w:shd w:val="clear" w:color="auto" w:fill="FFFFFF"/>
        </w:rPr>
        <w:t xml:space="preserve"> </w:t>
      </w:r>
      <w:r w:rsidRPr="000E696E">
        <w:rPr>
          <w:rStyle w:val="Textoennegrita"/>
          <w:b w:val="0"/>
          <w:i/>
          <w:color w:val="000000"/>
          <w:shd w:val="clear" w:color="auto" w:fill="FFFFFF"/>
        </w:rPr>
        <w:t>Case of Baena Ricardo et al. v. Panama. Merits, reparations and costs, supra,</w:t>
      </w:r>
      <w:r w:rsidRPr="000E696E">
        <w:rPr>
          <w:rStyle w:val="Textoennegrita"/>
          <w:b w:val="0"/>
          <w:color w:val="000000"/>
          <w:shd w:val="clear" w:color="auto" w:fill="FFFFFF"/>
        </w:rPr>
        <w:t xml:space="preserve"> para. 156.</w:t>
      </w:r>
    </w:p>
  </w:footnote>
  <w:footnote w:id="223">
    <w:p w14:paraId="67B703EC" w14:textId="7DC9FC42"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rStyle w:val="apple-converted-space"/>
          <w:bCs/>
          <w:i/>
          <w:color w:val="000000"/>
          <w:shd w:val="clear" w:color="auto" w:fill="FFFFFF"/>
        </w:rPr>
        <w:t>Cf.</w:t>
      </w:r>
      <w:r w:rsidRPr="000E696E">
        <w:rPr>
          <w:rStyle w:val="apple-converted-space"/>
          <w:b/>
          <w:bCs/>
          <w:i/>
          <w:color w:val="000000"/>
          <w:shd w:val="clear" w:color="auto" w:fill="FFFFFF"/>
        </w:rPr>
        <w:t xml:space="preserve"> </w:t>
      </w:r>
      <w:r w:rsidRPr="000E696E">
        <w:rPr>
          <w:rStyle w:val="Textoennegrita"/>
          <w:b w:val="0"/>
          <w:i/>
          <w:color w:val="000000"/>
          <w:shd w:val="clear" w:color="auto" w:fill="FFFFFF"/>
        </w:rPr>
        <w:t>Case of Baena Ricardo et al. v. Panama. Merits, reparations and costs, supra</w:t>
      </w:r>
      <w:r w:rsidRPr="000E696E">
        <w:rPr>
          <w:rStyle w:val="Textoennegrita"/>
          <w:b w:val="0"/>
          <w:color w:val="000000"/>
          <w:shd w:val="clear" w:color="auto" w:fill="FFFFFF"/>
        </w:rPr>
        <w:t>, para. 158.</w:t>
      </w:r>
    </w:p>
  </w:footnote>
  <w:footnote w:id="224">
    <w:p w14:paraId="731E6653" w14:textId="3EFF051C" w:rsidR="0068647C" w:rsidRPr="004204B2" w:rsidRDefault="0068647C" w:rsidP="00D61BD2">
      <w:pPr>
        <w:pStyle w:val="Textonotapie"/>
        <w:rPr>
          <w:lang w:val="es-CR"/>
        </w:rPr>
      </w:pPr>
      <w:r w:rsidRPr="000E696E">
        <w:rPr>
          <w:rStyle w:val="Refdenotaalpie"/>
          <w:sz w:val="16"/>
        </w:rPr>
        <w:footnoteRef/>
      </w:r>
      <w:r w:rsidRPr="000E696E">
        <w:t xml:space="preserve"> </w:t>
      </w:r>
      <w:r w:rsidRPr="000E696E">
        <w:tab/>
      </w:r>
      <w:r w:rsidRPr="000E696E">
        <w:rPr>
          <w:i/>
        </w:rPr>
        <w:t>Cf.</w:t>
      </w:r>
      <w:r w:rsidRPr="000E696E">
        <w:t xml:space="preserve"> </w:t>
      </w:r>
      <w:r w:rsidRPr="000E696E">
        <w:rPr>
          <w:rStyle w:val="Textoennegrita"/>
          <w:b w:val="0"/>
          <w:i/>
          <w:color w:val="000000"/>
          <w:shd w:val="clear" w:color="auto" w:fill="FFFFFF"/>
        </w:rPr>
        <w:t>Case of Huilca Tecse v. Peru, supra,</w:t>
      </w:r>
      <w:r w:rsidRPr="000E696E">
        <w:rPr>
          <w:rStyle w:val="Textoennegrita"/>
          <w:b w:val="0"/>
          <w:color w:val="000000"/>
          <w:shd w:val="clear" w:color="auto" w:fill="FFFFFF"/>
        </w:rPr>
        <w:t xml:space="preserve"> para. 77, and </w:t>
      </w:r>
      <w:r w:rsidRPr="000E696E">
        <w:rPr>
          <w:rStyle w:val="Textoennegrita"/>
          <w:b w:val="0"/>
          <w:i/>
          <w:color w:val="000000"/>
          <w:shd w:val="clear" w:color="auto" w:fill="FFFFFF"/>
        </w:rPr>
        <w:t>Case of Cantoral Huamaní and García Santa Cruz v. Peru. Preliminary objections, merits, reparations and costs.</w:t>
      </w:r>
      <w:r w:rsidRPr="000E696E">
        <w:rPr>
          <w:rStyle w:val="Textoennegrita"/>
          <w:b w:val="0"/>
          <w:color w:val="000000"/>
          <w:shd w:val="clear" w:color="auto" w:fill="FFFFFF"/>
        </w:rPr>
        <w:t xml:space="preserve"> Judgment of July 10, 2007. Series C No. 167, para. </w:t>
      </w:r>
      <w:r w:rsidRPr="004204B2">
        <w:rPr>
          <w:rStyle w:val="Textoennegrita"/>
          <w:b w:val="0"/>
          <w:color w:val="000000"/>
          <w:shd w:val="clear" w:color="auto" w:fill="FFFFFF"/>
          <w:lang w:val="es-CR"/>
        </w:rPr>
        <w:t>146.</w:t>
      </w:r>
    </w:p>
  </w:footnote>
  <w:footnote w:id="225">
    <w:p w14:paraId="70486613" w14:textId="70ECA282" w:rsidR="0068647C" w:rsidRPr="004204B2" w:rsidRDefault="0068647C" w:rsidP="00D61BD2">
      <w:pPr>
        <w:pStyle w:val="Textonotapie"/>
        <w:rPr>
          <w:lang w:val="es-CR"/>
        </w:rPr>
      </w:pPr>
      <w:r w:rsidRPr="000E696E">
        <w:rPr>
          <w:rStyle w:val="Refdenotaalpie"/>
          <w:sz w:val="16"/>
        </w:rPr>
        <w:footnoteRef/>
      </w:r>
      <w:r w:rsidRPr="004204B2">
        <w:rPr>
          <w:lang w:val="es-CR"/>
        </w:rPr>
        <w:t xml:space="preserve"> </w:t>
      </w:r>
      <w:r w:rsidRPr="004204B2">
        <w:rPr>
          <w:lang w:val="es-CR"/>
        </w:rPr>
        <w:tab/>
      </w:r>
      <w:r w:rsidRPr="004204B2">
        <w:rPr>
          <w:i/>
          <w:iCs/>
          <w:lang w:val="es-CR"/>
        </w:rPr>
        <w:t>Cf.</w:t>
      </w:r>
      <w:r w:rsidRPr="004204B2">
        <w:rPr>
          <w:lang w:val="es-CR"/>
        </w:rPr>
        <w:t xml:space="preserve"> </w:t>
      </w:r>
      <w:r w:rsidRPr="004204B2">
        <w:rPr>
          <w:rStyle w:val="Textoennegrita"/>
          <w:b w:val="0"/>
          <w:i/>
          <w:color w:val="000000"/>
          <w:shd w:val="clear" w:color="auto" w:fill="FFFFFF"/>
          <w:lang w:val="es-CR"/>
        </w:rPr>
        <w:t xml:space="preserve">Case of Huilca </w:t>
      </w:r>
      <w:r w:rsidRPr="004204B2">
        <w:rPr>
          <w:rStyle w:val="Textoennegrita"/>
          <w:b w:val="0"/>
          <w:i/>
          <w:color w:val="000000"/>
          <w:shd w:val="clear" w:color="auto" w:fill="FFFFFF"/>
          <w:lang w:val="es-CR"/>
        </w:rPr>
        <w:t>Tecse v. Peru, supra,</w:t>
      </w:r>
      <w:r w:rsidRPr="004204B2">
        <w:rPr>
          <w:rStyle w:val="Textoennegrita"/>
          <w:b w:val="0"/>
          <w:color w:val="000000"/>
          <w:shd w:val="clear" w:color="auto" w:fill="FFFFFF"/>
          <w:lang w:val="es-CR"/>
        </w:rPr>
        <w:t xml:space="preserve"> para. 70.</w:t>
      </w:r>
    </w:p>
  </w:footnote>
  <w:footnote w:id="226">
    <w:p w14:paraId="2480E4B5" w14:textId="29B9CDBF" w:rsidR="0068647C" w:rsidRPr="000E696E" w:rsidRDefault="0068647C" w:rsidP="00D61BD2">
      <w:pPr>
        <w:pStyle w:val="Textonotapie"/>
      </w:pPr>
      <w:r w:rsidRPr="000E696E">
        <w:rPr>
          <w:rStyle w:val="Refdenotaalpie"/>
          <w:sz w:val="16"/>
        </w:rPr>
        <w:footnoteRef/>
      </w:r>
      <w:r w:rsidRPr="004204B2">
        <w:rPr>
          <w:lang w:val="es-CR"/>
        </w:rPr>
        <w:t xml:space="preserve"> </w:t>
      </w:r>
      <w:r w:rsidRPr="004204B2">
        <w:rPr>
          <w:lang w:val="es-CR"/>
        </w:rPr>
        <w:tab/>
      </w:r>
      <w:r w:rsidRPr="004204B2">
        <w:rPr>
          <w:rStyle w:val="apple-converted-space"/>
          <w:bCs/>
          <w:i/>
          <w:shd w:val="clear" w:color="auto" w:fill="FFFFFF"/>
          <w:lang w:val="es-CR"/>
        </w:rPr>
        <w:t xml:space="preserve">Cf. </w:t>
      </w:r>
      <w:r w:rsidRPr="004204B2">
        <w:rPr>
          <w:rStyle w:val="Textoennegrita"/>
          <w:b w:val="0"/>
          <w:i/>
          <w:shd w:val="clear" w:color="auto" w:fill="FFFFFF"/>
          <w:lang w:val="es-CR"/>
        </w:rPr>
        <w:t xml:space="preserve">Case of Baena Ricardo et al. v. </w:t>
      </w:r>
      <w:r w:rsidRPr="004204B2">
        <w:rPr>
          <w:rStyle w:val="Textoennegrita"/>
          <w:b w:val="0"/>
          <w:i/>
          <w:shd w:val="clear" w:color="auto" w:fill="FFFFFF"/>
          <w:lang w:val="es-CR"/>
        </w:rPr>
        <w:t>Panama</w:t>
      </w:r>
      <w:r w:rsidRPr="004204B2">
        <w:rPr>
          <w:rStyle w:val="Textoennegrita"/>
          <w:b w:val="0"/>
          <w:shd w:val="clear" w:color="auto" w:fill="FFFFFF"/>
          <w:lang w:val="es-CR"/>
        </w:rPr>
        <w:t xml:space="preserve">. </w:t>
      </w:r>
      <w:r w:rsidRPr="004204B2">
        <w:rPr>
          <w:rStyle w:val="Textoennegrita"/>
          <w:b w:val="0"/>
          <w:i/>
          <w:color w:val="000000"/>
          <w:shd w:val="clear" w:color="auto" w:fill="FFFFFF"/>
          <w:lang w:val="es-CR"/>
        </w:rPr>
        <w:t xml:space="preserve">Merits, </w:t>
      </w:r>
      <w:r w:rsidRPr="004204B2">
        <w:rPr>
          <w:rStyle w:val="Textoennegrita"/>
          <w:b w:val="0"/>
          <w:i/>
          <w:shd w:val="clear" w:color="auto" w:fill="FFFFFF"/>
          <w:lang w:val="es-CR"/>
        </w:rPr>
        <w:t>supra</w:t>
      </w:r>
      <w:r w:rsidRPr="004204B2">
        <w:rPr>
          <w:rStyle w:val="Textoennegrita"/>
          <w:b w:val="0"/>
          <w:shd w:val="clear" w:color="auto" w:fill="FFFFFF"/>
          <w:lang w:val="es-CR"/>
        </w:rPr>
        <w:t xml:space="preserve">, para. </w:t>
      </w:r>
      <w:r w:rsidRPr="000E696E">
        <w:rPr>
          <w:rStyle w:val="Textoennegrita"/>
          <w:b w:val="0"/>
          <w:shd w:val="clear" w:color="auto" w:fill="FFFFFF"/>
        </w:rPr>
        <w:t>156</w:t>
      </w:r>
      <w:r w:rsidRPr="000E696E">
        <w:t>, and Case of Cantoral Huamaní and García Santa Cruz v. Peru, supra, paras. 144 to 146.</w:t>
      </w:r>
    </w:p>
  </w:footnote>
  <w:footnote w:id="227">
    <w:p w14:paraId="7FD2CCB1" w14:textId="7F04BE87"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rPr>
        <w:t>Cf.</w:t>
      </w:r>
      <w:r w:rsidRPr="000E696E">
        <w:t xml:space="preserve"> ILO. Convention No. 87 Freedom of Association and Protection of the Right to Organize, of June 17, 1948 and Convention No. 98 Right to Organize and Collective Bargaining, of June 8, 1949.</w:t>
      </w:r>
    </w:p>
  </w:footnote>
  <w:footnote w:id="228">
    <w:p w14:paraId="55039371" w14:textId="63E6A8AB" w:rsidR="0068647C" w:rsidRPr="000E696E" w:rsidRDefault="0068647C" w:rsidP="00D61BD2">
      <w:pPr>
        <w:pStyle w:val="Textonotapie"/>
        <w:rPr>
          <w:rFonts w:eastAsia="Calibri"/>
          <w:shd w:val="clear" w:color="auto" w:fill="FFFFFF"/>
          <w:lang w:eastAsia="en-US"/>
        </w:rPr>
      </w:pPr>
      <w:r w:rsidRPr="000E696E">
        <w:rPr>
          <w:rStyle w:val="Refdenotaalpie"/>
          <w:sz w:val="16"/>
        </w:rPr>
        <w:footnoteRef/>
      </w:r>
      <w:r w:rsidRPr="004204B2">
        <w:rPr>
          <w:lang w:val="es-CR"/>
        </w:rPr>
        <w:t xml:space="preserve"> </w:t>
      </w:r>
      <w:r w:rsidRPr="004204B2">
        <w:rPr>
          <w:lang w:val="es-CR"/>
        </w:rPr>
        <w:tab/>
      </w:r>
      <w:r w:rsidRPr="004204B2">
        <w:rPr>
          <w:rStyle w:val="apple-converted-space"/>
          <w:bCs/>
          <w:i/>
          <w:color w:val="000000"/>
          <w:shd w:val="clear" w:color="auto" w:fill="FFFFFF"/>
          <w:lang w:val="es-CR"/>
        </w:rPr>
        <w:t>Cf.</w:t>
      </w:r>
      <w:r w:rsidRPr="004204B2">
        <w:rPr>
          <w:rStyle w:val="apple-converted-space"/>
          <w:b/>
          <w:bCs/>
          <w:i/>
          <w:color w:val="000000"/>
          <w:shd w:val="clear" w:color="auto" w:fill="FFFFFF"/>
          <w:lang w:val="es-CR"/>
        </w:rPr>
        <w:t xml:space="preserve"> </w:t>
      </w:r>
      <w:r w:rsidRPr="004204B2">
        <w:rPr>
          <w:rStyle w:val="Textoennegrita"/>
          <w:b w:val="0"/>
          <w:i/>
          <w:color w:val="000000"/>
          <w:shd w:val="clear" w:color="auto" w:fill="FFFFFF"/>
          <w:lang w:val="es-CR"/>
        </w:rPr>
        <w:t xml:space="preserve">Case of Baena Ricardo et al. v. </w:t>
      </w:r>
      <w:r w:rsidRPr="004204B2">
        <w:rPr>
          <w:rStyle w:val="Textoennegrita"/>
          <w:b w:val="0"/>
          <w:i/>
          <w:color w:val="000000"/>
          <w:shd w:val="clear" w:color="auto" w:fill="FFFFFF"/>
          <w:lang w:val="es-CR"/>
        </w:rPr>
        <w:t>Panama</w:t>
      </w:r>
      <w:r w:rsidRPr="004204B2">
        <w:rPr>
          <w:rStyle w:val="Textoennegrita"/>
          <w:b w:val="0"/>
          <w:color w:val="000000"/>
          <w:shd w:val="clear" w:color="auto" w:fill="FFFFFF"/>
          <w:lang w:val="es-CR"/>
        </w:rPr>
        <w:t xml:space="preserve">. </w:t>
      </w:r>
      <w:r w:rsidRPr="004204B2">
        <w:rPr>
          <w:rStyle w:val="Textoennegrita"/>
          <w:b w:val="0"/>
          <w:i/>
          <w:color w:val="000000"/>
          <w:shd w:val="clear" w:color="auto" w:fill="FFFFFF"/>
          <w:lang w:val="es-CR"/>
        </w:rPr>
        <w:t>Merits, supra,</w:t>
      </w:r>
      <w:r w:rsidRPr="004204B2">
        <w:rPr>
          <w:rStyle w:val="Textoennegrita"/>
          <w:b w:val="0"/>
          <w:color w:val="000000"/>
          <w:shd w:val="clear" w:color="auto" w:fill="FFFFFF"/>
          <w:lang w:val="es-CR"/>
        </w:rPr>
        <w:t xml:space="preserve"> para. </w:t>
      </w:r>
      <w:r w:rsidRPr="000E696E">
        <w:rPr>
          <w:rStyle w:val="Textoennegrita"/>
          <w:b w:val="0"/>
          <w:color w:val="000000"/>
          <w:shd w:val="clear" w:color="auto" w:fill="FFFFFF"/>
        </w:rPr>
        <w:t>158</w:t>
      </w:r>
      <w:r w:rsidRPr="000E696E">
        <w:rPr>
          <w:rFonts w:cs="StempelSchneidler-Light"/>
        </w:rPr>
        <w:t>.</w:t>
      </w:r>
    </w:p>
  </w:footnote>
  <w:footnote w:id="229">
    <w:p w14:paraId="053C3A89" w14:textId="602E0272"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rPr>
        <w:t>Cf.</w:t>
      </w:r>
      <w:r w:rsidRPr="000E696E">
        <w:t xml:space="preserve"> Protocol of San Salvador, Article 19(6); </w:t>
      </w:r>
      <w:r w:rsidRPr="000E696E">
        <w:rPr>
          <w:rStyle w:val="Textoennegrita"/>
          <w:b w:val="0"/>
          <w:i/>
          <w:color w:val="000000"/>
          <w:shd w:val="clear" w:color="auto" w:fill="FFFFFF"/>
        </w:rPr>
        <w:t>Entitlement of Legal Entities to Hold Rights under the Inter-American Human Rights System (Interpretation and scope of Article 1.2, in relation to Articles 1(1) , 8, 11(2), 13, 16, 21, 24, 25, 29, 30, 44, 46, and 62(3) of the American Convention on Human Rights, and of Article 8(1) A and B of the Protocol of San Salvador).</w:t>
      </w:r>
      <w:r w:rsidRPr="000E696E">
        <w:rPr>
          <w:rStyle w:val="Textoennegrita"/>
          <w:b w:val="0"/>
          <w:color w:val="000000"/>
          <w:shd w:val="clear" w:color="auto" w:fill="FFFFFF"/>
        </w:rPr>
        <w:t xml:space="preserve"> </w:t>
      </w:r>
      <w:r w:rsidRPr="000E696E">
        <w:rPr>
          <w:rStyle w:val="Textoennegrita"/>
          <w:b w:val="0"/>
          <w:i/>
          <w:color w:val="000000"/>
          <w:shd w:val="clear" w:color="auto" w:fill="FFFFFF"/>
        </w:rPr>
        <w:t>Advisory Opinion OC-22/16</w:t>
      </w:r>
      <w:r w:rsidRPr="000E696E">
        <w:rPr>
          <w:rStyle w:val="Textoennegrita"/>
          <w:b w:val="0"/>
          <w:color w:val="000000"/>
          <w:shd w:val="clear" w:color="auto" w:fill="FFFFFF"/>
        </w:rPr>
        <w:t xml:space="preserve"> of February 26, 2016. Series A No. 22, para. 87, and </w:t>
      </w:r>
      <w:r w:rsidRPr="000E696E">
        <w:rPr>
          <w:iCs/>
        </w:rPr>
        <w:t xml:space="preserve">Case of Huilca Tecse v. Peru, supra, </w:t>
      </w:r>
      <w:r w:rsidRPr="000E696E">
        <w:t>para. 74</w:t>
      </w:r>
      <w:r w:rsidRPr="000E696E">
        <w:rPr>
          <w:rStyle w:val="Textoennegrita"/>
          <w:b w:val="0"/>
          <w:color w:val="000000"/>
          <w:shd w:val="clear" w:color="auto" w:fill="FFFFFF"/>
        </w:rPr>
        <w:t>.</w:t>
      </w:r>
    </w:p>
  </w:footnote>
  <w:footnote w:id="230">
    <w:p w14:paraId="729E3D22" w14:textId="304B32F9"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rPr>
        <w:t>Cf.</w:t>
      </w:r>
      <w:r w:rsidRPr="000E696E">
        <w:t xml:space="preserve"> American Declaration of the Rights and Duties of Man, Article XXII; Charter of the Organization of American States, Article 45(c); Inter-American Democratic Charter, Preamble, and ILO Convention on workers’ representatives,  </w:t>
      </w:r>
      <w:r w:rsidRPr="000E696E">
        <w:rPr>
          <w:i/>
        </w:rPr>
        <w:t>supra</w:t>
      </w:r>
      <w:r w:rsidRPr="000E696E">
        <w:t xml:space="preserve">, Article 3(b). </w:t>
      </w:r>
    </w:p>
  </w:footnote>
  <w:footnote w:id="231">
    <w:p w14:paraId="3B9C375D" w14:textId="7F18AB8B" w:rsidR="0068647C" w:rsidRPr="000E696E" w:rsidRDefault="0068647C" w:rsidP="00D61BD2">
      <w:pPr>
        <w:pStyle w:val="Textonotapie"/>
      </w:pPr>
      <w:r w:rsidRPr="000E696E">
        <w:rPr>
          <w:rStyle w:val="Refdenotaalpie"/>
          <w:sz w:val="16"/>
        </w:rPr>
        <w:footnoteRef/>
      </w:r>
      <w:r w:rsidRPr="000E696E">
        <w:t xml:space="preserve"> </w:t>
      </w:r>
      <w:r w:rsidRPr="000E696E">
        <w:tab/>
        <w:t xml:space="preserve">Convention on Worker’s Representatives, </w:t>
      </w:r>
      <w:r w:rsidRPr="000E696E">
        <w:rPr>
          <w:i/>
        </w:rPr>
        <w:t>supra</w:t>
      </w:r>
      <w:r w:rsidRPr="000E696E">
        <w:t>, Article 3(b).</w:t>
      </w:r>
    </w:p>
  </w:footnote>
  <w:footnote w:id="232">
    <w:p w14:paraId="7304C7EB" w14:textId="1D1C1DA7"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rPr>
        <w:t>Cf.</w:t>
      </w:r>
      <w:r w:rsidRPr="000E696E">
        <w:t xml:space="preserve"> ILO, Recommendation on Workers’ Representatives, 1971 (No. 143), </w:t>
      </w:r>
      <w:r w:rsidRPr="000E696E">
        <w:rPr>
          <w:i/>
        </w:rPr>
        <w:t xml:space="preserve">supra, </w:t>
      </w:r>
      <w:r w:rsidRPr="000E696E">
        <w:t xml:space="preserve">paragraph 5, and </w:t>
      </w:r>
      <w:r w:rsidRPr="000E696E">
        <w:rPr>
          <w:i/>
        </w:rPr>
        <w:t>mutatis mutandi</w:t>
      </w:r>
      <w:r>
        <w:rPr>
          <w:i/>
        </w:rPr>
        <w:t>s</w:t>
      </w:r>
      <w:r w:rsidRPr="000E696E">
        <w:t xml:space="preserve">, ECHR, </w:t>
      </w:r>
      <w:r w:rsidRPr="000E696E">
        <w:rPr>
          <w:i/>
        </w:rPr>
        <w:t>Case of Csánics v. Hungary</w:t>
      </w:r>
      <w:r w:rsidRPr="000E696E">
        <w:t xml:space="preserve">, No. 12188/06. Judgment of January 20, 2009; ECHR, </w:t>
      </w:r>
      <w:r w:rsidRPr="000E696E">
        <w:rPr>
          <w:i/>
        </w:rPr>
        <w:t>Case of Szima v. Hungary,</w:t>
      </w:r>
      <w:r w:rsidRPr="000E696E">
        <w:t xml:space="preserve"> No. 29723/11. Judgment of October 9, 2012, and ECHR, </w:t>
      </w:r>
      <w:r w:rsidRPr="000E696E">
        <w:rPr>
          <w:i/>
        </w:rPr>
        <w:t>Case of Heinisch v. Germany</w:t>
      </w:r>
      <w:r w:rsidRPr="000E696E">
        <w:t>, No. 28274/08. Judgment of July 21, 2011.</w:t>
      </w:r>
    </w:p>
  </w:footnote>
  <w:footnote w:id="233">
    <w:p w14:paraId="19767A1C" w14:textId="3F027F51" w:rsidR="0068647C" w:rsidRPr="000E696E" w:rsidRDefault="0068647C" w:rsidP="00D61BD2">
      <w:pPr>
        <w:pStyle w:val="Textonotapie"/>
      </w:pPr>
      <w:r w:rsidRPr="000E696E">
        <w:rPr>
          <w:rStyle w:val="Refdenotaalpie"/>
          <w:sz w:val="16"/>
        </w:rPr>
        <w:footnoteRef/>
      </w:r>
      <w:r w:rsidRPr="000E696E">
        <w:t xml:space="preserve"> </w:t>
      </w:r>
      <w:r w:rsidRPr="000E696E">
        <w:tab/>
        <w:t xml:space="preserve">ECHR. </w:t>
      </w:r>
      <w:r w:rsidRPr="00D65783">
        <w:rPr>
          <w:i/>
          <w:iCs/>
        </w:rPr>
        <w:t>Case of Palomo Sánchez and Others v. Spain [GS], supra</w:t>
      </w:r>
      <w:r w:rsidRPr="000E696E">
        <w:t>, para. 56.</w:t>
      </w:r>
    </w:p>
  </w:footnote>
  <w:footnote w:id="234">
    <w:p w14:paraId="713741AF" w14:textId="29CEA583"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iCs/>
        </w:rPr>
        <w:t>Cf.</w:t>
      </w:r>
      <w:r w:rsidRPr="000E696E">
        <w:t xml:space="preserve"> </w:t>
      </w:r>
      <w:r w:rsidRPr="000E696E">
        <w:rPr>
          <w:rStyle w:val="Textoennegrita"/>
          <w:b w:val="0"/>
          <w:i/>
          <w:color w:val="000000"/>
          <w:shd w:val="clear" w:color="auto" w:fill="FFFFFF"/>
        </w:rPr>
        <w:t xml:space="preserve">Case of Huilca Tecse v. Peru, supra, </w:t>
      </w:r>
      <w:r w:rsidRPr="000E696E">
        <w:rPr>
          <w:rStyle w:val="Textoennegrita"/>
          <w:b w:val="0"/>
          <w:color w:val="000000"/>
          <w:shd w:val="clear" w:color="auto" w:fill="FFFFFF"/>
        </w:rPr>
        <w:t xml:space="preserve">paras. 70 to 72, and </w:t>
      </w:r>
      <w:r w:rsidRPr="000E696E">
        <w:rPr>
          <w:rStyle w:val="Textoennegrita"/>
          <w:b w:val="0"/>
          <w:i/>
          <w:color w:val="000000"/>
          <w:shd w:val="clear" w:color="auto" w:fill="FFFFFF"/>
        </w:rPr>
        <w:t>Case of Cantoral Huamaní and García Santa Cruz v. Peru, supra,</w:t>
      </w:r>
      <w:r w:rsidRPr="000E696E">
        <w:rPr>
          <w:rStyle w:val="Textoennegrita"/>
          <w:b w:val="0"/>
          <w:color w:val="000000"/>
          <w:shd w:val="clear" w:color="auto" w:fill="FFFFFF"/>
        </w:rPr>
        <w:t xml:space="preserve"> para. 148.</w:t>
      </w:r>
    </w:p>
  </w:footnote>
  <w:footnote w:id="235">
    <w:p w14:paraId="6FDFDBA5" w14:textId="5AAA4517" w:rsidR="0068647C" w:rsidRPr="000E696E" w:rsidRDefault="0068647C" w:rsidP="00D61BD2">
      <w:pPr>
        <w:pStyle w:val="Textonotapie"/>
      </w:pPr>
      <w:r w:rsidRPr="000E696E">
        <w:rPr>
          <w:rStyle w:val="Refdenotaalpie"/>
          <w:sz w:val="16"/>
        </w:rPr>
        <w:footnoteRef/>
      </w:r>
      <w:r w:rsidRPr="000E696E">
        <w:t xml:space="preserve"> </w:t>
      </w:r>
      <w:r w:rsidRPr="000E696E">
        <w:tab/>
      </w:r>
      <w:r w:rsidRPr="00D65783">
        <w:rPr>
          <w:i/>
          <w:iCs/>
        </w:rPr>
        <w:t>Mutatis mutandi</w:t>
      </w:r>
      <w:r>
        <w:rPr>
          <w:i/>
          <w:iCs/>
        </w:rPr>
        <w:t>s</w:t>
      </w:r>
      <w:r w:rsidRPr="00D65783">
        <w:rPr>
          <w:i/>
          <w:iCs/>
        </w:rPr>
        <w:t>,</w:t>
      </w:r>
      <w:r w:rsidRPr="000E696E">
        <w:rPr>
          <w:iCs/>
        </w:rPr>
        <w:t xml:space="preserve"> </w:t>
      </w:r>
      <w:r w:rsidRPr="000E696E">
        <w:rPr>
          <w:rStyle w:val="Textoennegrita"/>
          <w:b w:val="0"/>
          <w:i/>
          <w:iCs/>
          <w:color w:val="000000"/>
          <w:shd w:val="clear" w:color="auto" w:fill="FFFFFF"/>
        </w:rPr>
        <w:t xml:space="preserve">Case of </w:t>
      </w:r>
      <w:r w:rsidRPr="000E696E">
        <w:rPr>
          <w:rStyle w:val="Textoennegrita"/>
          <w:b w:val="0"/>
          <w:i/>
          <w:iCs/>
          <w:color w:val="000000"/>
          <w:shd w:val="clear" w:color="auto" w:fill="FFFFFF"/>
        </w:rPr>
        <w:t>Chitay Nech et al. v. Guatemala</w:t>
      </w:r>
      <w:r w:rsidRPr="000E696E">
        <w:rPr>
          <w:rStyle w:val="Textoennegrita"/>
          <w:b w:val="0"/>
          <w:i/>
          <w:color w:val="000000"/>
          <w:shd w:val="clear" w:color="auto" w:fill="FFFFFF"/>
        </w:rPr>
        <w:t>. Preliminary objections, merits, reparations and costs.</w:t>
      </w:r>
      <w:r w:rsidRPr="000E696E">
        <w:rPr>
          <w:rStyle w:val="Textoennegrita"/>
          <w:color w:val="000000"/>
          <w:shd w:val="clear" w:color="auto" w:fill="FFFFFF"/>
        </w:rPr>
        <w:t xml:space="preserve"> </w:t>
      </w:r>
      <w:r w:rsidRPr="000E696E">
        <w:rPr>
          <w:rStyle w:val="Textoennegrita"/>
          <w:b w:val="0"/>
          <w:color w:val="000000"/>
          <w:shd w:val="clear" w:color="auto" w:fill="FFFFFF"/>
        </w:rPr>
        <w:t>Judgment of May 25, 2010. Series C No. 212,</w:t>
      </w:r>
      <w:r w:rsidRPr="000E696E">
        <w:rPr>
          <w:rStyle w:val="Textoennegrita"/>
          <w:color w:val="000000"/>
          <w:shd w:val="clear" w:color="auto" w:fill="FFFFFF"/>
        </w:rPr>
        <w:t xml:space="preserve"> </w:t>
      </w:r>
      <w:r w:rsidRPr="000E696E">
        <w:rPr>
          <w:rStyle w:val="Textoennegrita"/>
          <w:b w:val="0"/>
          <w:color w:val="000000"/>
          <w:shd w:val="clear" w:color="auto" w:fill="FFFFFF"/>
        </w:rPr>
        <w:t>para. 115.</w:t>
      </w:r>
    </w:p>
  </w:footnote>
  <w:footnote w:id="236">
    <w:p w14:paraId="6DC7EB71" w14:textId="41294417"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rPr>
        <w:t>Cf.</w:t>
      </w:r>
      <w:r w:rsidRPr="000E696E">
        <w:t xml:space="preserve"> </w:t>
      </w:r>
      <w:r w:rsidRPr="000E696E">
        <w:rPr>
          <w:i/>
          <w:iCs/>
        </w:rPr>
        <w:t>Case of Genie Lacayo v. Nicaragua.</w:t>
      </w:r>
      <w:r w:rsidRPr="000E696E">
        <w:t xml:space="preserve"> Preliminary objections. Judgment of January 27, 1995. Series C No. 21, para. 50, and </w:t>
      </w:r>
      <w:r w:rsidRPr="000E696E">
        <w:rPr>
          <w:i/>
          <w:iCs/>
        </w:rPr>
        <w:t>Case of J. v. Peru, supra,</w:t>
      </w:r>
      <w:r w:rsidRPr="000E696E">
        <w:t xml:space="preserve"> para. 213.</w:t>
      </w:r>
    </w:p>
  </w:footnote>
  <w:footnote w:id="237">
    <w:p w14:paraId="3916C15E" w14:textId="1AC8D5BA" w:rsidR="0068647C" w:rsidRPr="000E696E" w:rsidRDefault="0068647C" w:rsidP="00D61BD2">
      <w:pPr>
        <w:pStyle w:val="Textonotapie"/>
      </w:pPr>
      <w:r w:rsidRPr="000E696E">
        <w:rPr>
          <w:rStyle w:val="Refdenotaalpie"/>
          <w:sz w:val="16"/>
        </w:rPr>
        <w:footnoteRef/>
      </w:r>
      <w:r w:rsidRPr="000E696E">
        <w:t xml:space="preserve"> </w:t>
      </w:r>
      <w:r w:rsidRPr="000E696E">
        <w:tab/>
        <w:t>It should be noted that, before the Commission, they alleged violations of Articles 8 and 25 of the Convention; However, in the Admissibility Report, the IACHR declared Article 25 inadmissible, considering that “it d[id] not have enough evidence to infer an alleged characterization of violations of Articles 24 and 25 of the Convention.”</w:t>
      </w:r>
    </w:p>
  </w:footnote>
  <w:footnote w:id="238">
    <w:p w14:paraId="39050BA4" w14:textId="07F313CB" w:rsidR="0068647C" w:rsidRPr="000E696E" w:rsidRDefault="0068647C" w:rsidP="00D61BD2">
      <w:pPr>
        <w:pStyle w:val="Textonotapie"/>
      </w:pPr>
      <w:r w:rsidRPr="000E696E">
        <w:rPr>
          <w:rStyle w:val="Refdenotaalpie"/>
          <w:sz w:val="16"/>
        </w:rPr>
        <w:footnoteRef/>
      </w:r>
      <w:r w:rsidRPr="000E696E">
        <w:t xml:space="preserve"> </w:t>
      </w:r>
      <w:r w:rsidRPr="000E696E">
        <w:tab/>
        <w:t>The labor dispute is evident from the complaint he filed before the Labor Court. In his compliant, he indicated that “since the unfair and unjustified nature of the dismissal is well-known […], [he] ask[ed] the court […] to order the suspension of the dismissal and [his] reinstatement in [his] usual job.”</w:t>
      </w:r>
    </w:p>
  </w:footnote>
  <w:footnote w:id="239">
    <w:p w14:paraId="6832898B" w14:textId="784015CC" w:rsidR="0068647C" w:rsidRPr="000E696E" w:rsidRDefault="0068647C" w:rsidP="00D61BD2">
      <w:pPr>
        <w:pStyle w:val="Textonotapie"/>
      </w:pPr>
      <w:r w:rsidRPr="000E696E">
        <w:rPr>
          <w:rStyle w:val="Refdenotaalpie"/>
          <w:sz w:val="16"/>
        </w:rPr>
        <w:footnoteRef/>
      </w:r>
      <w:r w:rsidRPr="000E696E">
        <w:t xml:space="preserve"> </w:t>
      </w:r>
      <w:r w:rsidRPr="000E696E">
        <w:tab/>
        <w:t xml:space="preserve">In particular, the Court underlines that, in the first communication he addressed to the Inter-American Commission of October 13, 1993, the petitioner stated, among other matters, that his “right to job security indicated in article 48 of the Constitution and articles 27 and 26 of the proposed new constitution” had been violated. Initial petition lodged before the IACHR (File </w:t>
      </w:r>
      <w:r>
        <w:t>of</w:t>
      </w:r>
      <w:r w:rsidRPr="000E696E">
        <w:t xml:space="preserve"> procedure before the IACHR, f. 439).</w:t>
      </w:r>
    </w:p>
  </w:footnote>
  <w:footnote w:id="240">
    <w:p w14:paraId="3632167D" w14:textId="6B3DC1FB" w:rsidR="0068647C" w:rsidRPr="000E696E" w:rsidRDefault="0068647C" w:rsidP="00AA1EBF">
      <w:pPr>
        <w:autoSpaceDE w:val="0"/>
        <w:autoSpaceDN w:val="0"/>
        <w:adjustRightInd w:val="0"/>
        <w:spacing w:after="60"/>
        <w:jc w:val="both"/>
        <w:rPr>
          <w:rFonts w:ascii="Verdana" w:hAnsi="Verdana"/>
          <w:i/>
          <w:iCs/>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i/>
          <w:iCs/>
          <w:sz w:val="16"/>
          <w:szCs w:val="16"/>
          <w:lang w:val="en-US"/>
        </w:rPr>
        <w:t>Case of Castillo Páez v. Peru</w:t>
      </w:r>
      <w:r w:rsidRPr="000E696E">
        <w:rPr>
          <w:rFonts w:ascii="Verdana" w:hAnsi="Verdana"/>
          <w:i/>
          <w:sz w:val="16"/>
          <w:szCs w:val="16"/>
          <w:lang w:val="en-US"/>
        </w:rPr>
        <w:t>. Merits.</w:t>
      </w:r>
      <w:r w:rsidRPr="000E696E">
        <w:rPr>
          <w:rFonts w:ascii="Verdana" w:hAnsi="Verdana"/>
          <w:sz w:val="16"/>
          <w:szCs w:val="16"/>
          <w:lang w:val="en-US"/>
        </w:rPr>
        <w:t xml:space="preserve"> Judgment of November 3, 1997. Series C No. 34, para. 82, and </w:t>
      </w:r>
      <w:r w:rsidRPr="000E696E">
        <w:rPr>
          <w:rFonts w:ascii="Verdana" w:hAnsi="Verdana"/>
          <w:i/>
          <w:iCs/>
          <w:sz w:val="16"/>
          <w:szCs w:val="16"/>
          <w:lang w:val="en-US"/>
        </w:rPr>
        <w:t xml:space="preserve">Case of Mohamed v. Argentina. </w:t>
      </w:r>
      <w:r w:rsidRPr="000E696E">
        <w:rPr>
          <w:rFonts w:ascii="Verdana" w:hAnsi="Verdana"/>
          <w:i/>
          <w:sz w:val="16"/>
          <w:szCs w:val="16"/>
          <w:lang w:val="en-US"/>
        </w:rPr>
        <w:t>Preliminary objections, merits, reparations and costs.</w:t>
      </w:r>
      <w:r w:rsidRPr="000E696E">
        <w:rPr>
          <w:rFonts w:ascii="Verdana" w:hAnsi="Verdana"/>
          <w:sz w:val="16"/>
          <w:szCs w:val="16"/>
          <w:lang w:val="en-US"/>
        </w:rPr>
        <w:t xml:space="preserve"> Judgment of November 23, 2012. Series C No. 255, para. 82.</w:t>
      </w:r>
    </w:p>
  </w:footnote>
  <w:footnote w:id="241">
    <w:p w14:paraId="3A9580E4" w14:textId="6FEBDA41" w:rsidR="0068647C" w:rsidRPr="004204B2" w:rsidRDefault="0068647C" w:rsidP="00AA1EBF">
      <w:pPr>
        <w:autoSpaceDE w:val="0"/>
        <w:autoSpaceDN w:val="0"/>
        <w:adjustRightInd w:val="0"/>
        <w:spacing w:after="60"/>
        <w:jc w:val="both"/>
        <w:rPr>
          <w:rFonts w:ascii="Verdana" w:hAnsi="Verdana"/>
          <w:sz w:val="16"/>
          <w:szCs w:val="16"/>
          <w:lang w:val="es-CR"/>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i/>
          <w:iCs/>
          <w:sz w:val="16"/>
          <w:szCs w:val="16"/>
          <w:lang w:val="en-US"/>
        </w:rPr>
        <w:t>Case of Goiburú et al. v. Paraguay</w:t>
      </w:r>
      <w:r w:rsidRPr="000E696E">
        <w:rPr>
          <w:rFonts w:ascii="Verdana" w:hAnsi="Verdana"/>
          <w:sz w:val="16"/>
          <w:szCs w:val="16"/>
          <w:lang w:val="en-US"/>
        </w:rPr>
        <w:t xml:space="preserve">. </w:t>
      </w:r>
      <w:r w:rsidRPr="000E696E">
        <w:rPr>
          <w:rFonts w:ascii="Verdana" w:hAnsi="Verdana"/>
          <w:i/>
          <w:sz w:val="16"/>
          <w:szCs w:val="16"/>
          <w:lang w:val="en-US"/>
        </w:rPr>
        <w:t>Merits, reparations and costs.</w:t>
      </w:r>
      <w:r w:rsidRPr="000E696E">
        <w:rPr>
          <w:rFonts w:ascii="Verdana" w:hAnsi="Verdana"/>
          <w:sz w:val="16"/>
          <w:szCs w:val="16"/>
          <w:lang w:val="en-US"/>
        </w:rPr>
        <w:t xml:space="preserve"> Judgment of September 22, 2006. </w:t>
      </w:r>
      <w:r w:rsidRPr="004204B2">
        <w:rPr>
          <w:rFonts w:ascii="Verdana" w:hAnsi="Verdana"/>
          <w:sz w:val="16"/>
          <w:szCs w:val="16"/>
          <w:lang w:val="es-CR"/>
        </w:rPr>
        <w:t>Series C No. 153, para. 131.</w:t>
      </w:r>
    </w:p>
  </w:footnote>
  <w:footnote w:id="242">
    <w:p w14:paraId="147E8F9C" w14:textId="3147D9B5" w:rsidR="0068647C" w:rsidRPr="004204B2" w:rsidRDefault="0068647C" w:rsidP="00AA1EBF">
      <w:pPr>
        <w:autoSpaceDE w:val="0"/>
        <w:autoSpaceDN w:val="0"/>
        <w:adjustRightInd w:val="0"/>
        <w:spacing w:after="60"/>
        <w:jc w:val="both"/>
        <w:rPr>
          <w:rFonts w:ascii="Verdana" w:hAnsi="Verdana"/>
          <w:sz w:val="16"/>
          <w:szCs w:val="16"/>
          <w:lang w:val="es-CR"/>
        </w:rPr>
      </w:pPr>
      <w:r w:rsidRPr="000E696E">
        <w:rPr>
          <w:rStyle w:val="Refdenotaalpie"/>
          <w:sz w:val="16"/>
          <w:szCs w:val="16"/>
          <w:lang w:val="en-US"/>
        </w:rPr>
        <w:footnoteRef/>
      </w:r>
      <w:r w:rsidRPr="004204B2">
        <w:rPr>
          <w:rFonts w:ascii="Verdana" w:hAnsi="Verdana"/>
          <w:sz w:val="16"/>
          <w:szCs w:val="16"/>
          <w:lang w:val="es-CR"/>
        </w:rPr>
        <w:t xml:space="preserve"> </w:t>
      </w:r>
      <w:r w:rsidRPr="004204B2">
        <w:rPr>
          <w:rFonts w:ascii="Verdana" w:hAnsi="Verdana"/>
          <w:sz w:val="16"/>
          <w:szCs w:val="16"/>
          <w:lang w:val="es-CR"/>
        </w:rPr>
        <w:tab/>
      </w:r>
      <w:r w:rsidRPr="004204B2">
        <w:rPr>
          <w:rFonts w:ascii="Verdana" w:hAnsi="Verdana"/>
          <w:i/>
          <w:sz w:val="16"/>
          <w:szCs w:val="16"/>
          <w:lang w:val="es-CR"/>
        </w:rPr>
        <w:t>Mutatis mutandi</w:t>
      </w:r>
      <w:r>
        <w:rPr>
          <w:rFonts w:ascii="Verdana" w:hAnsi="Verdana"/>
          <w:i/>
          <w:sz w:val="16"/>
          <w:szCs w:val="16"/>
          <w:lang w:val="es-CR"/>
        </w:rPr>
        <w:t>s</w:t>
      </w:r>
      <w:r w:rsidRPr="004204B2">
        <w:rPr>
          <w:rFonts w:ascii="Verdana" w:hAnsi="Verdana"/>
          <w:i/>
          <w:sz w:val="16"/>
          <w:szCs w:val="16"/>
          <w:lang w:val="es-CR"/>
        </w:rPr>
        <w:t>,</w:t>
      </w:r>
      <w:r w:rsidRPr="004204B2">
        <w:rPr>
          <w:rFonts w:ascii="Verdana" w:hAnsi="Verdana"/>
          <w:sz w:val="16"/>
          <w:szCs w:val="16"/>
          <w:lang w:val="es-CR"/>
        </w:rPr>
        <w:t xml:space="preserve"> </w:t>
      </w:r>
      <w:r w:rsidRPr="004204B2">
        <w:rPr>
          <w:rFonts w:ascii="Verdana" w:hAnsi="Verdana"/>
          <w:i/>
          <w:iCs/>
          <w:sz w:val="16"/>
          <w:szCs w:val="16"/>
          <w:lang w:val="es-CR"/>
        </w:rPr>
        <w:t>Case of Mejía Idrovo v. Ecuador</w:t>
      </w:r>
      <w:r w:rsidRPr="004204B2">
        <w:rPr>
          <w:rFonts w:ascii="Verdana" w:hAnsi="Verdana"/>
          <w:sz w:val="16"/>
          <w:szCs w:val="16"/>
          <w:lang w:val="es-CR"/>
        </w:rPr>
        <w:t xml:space="preserve">. </w:t>
      </w:r>
      <w:r w:rsidRPr="000E696E">
        <w:rPr>
          <w:rFonts w:ascii="Verdana" w:hAnsi="Verdana"/>
          <w:i/>
          <w:sz w:val="16"/>
          <w:szCs w:val="16"/>
          <w:lang w:val="en-US"/>
        </w:rPr>
        <w:t>Preliminary objections, merits, reparations and costs</w:t>
      </w:r>
      <w:r w:rsidRPr="000E696E">
        <w:rPr>
          <w:rFonts w:ascii="Verdana" w:hAnsi="Verdana"/>
          <w:sz w:val="16"/>
          <w:szCs w:val="16"/>
          <w:lang w:val="en-US"/>
        </w:rPr>
        <w:t xml:space="preserve">. Judgment of July 5, 2011. Series </w:t>
      </w:r>
      <w:r w:rsidRPr="000E696E">
        <w:rPr>
          <w:rFonts w:ascii="Verdana" w:hAnsi="Verdana"/>
          <w:iCs/>
          <w:sz w:val="16"/>
          <w:szCs w:val="16"/>
          <w:lang w:val="en-US"/>
        </w:rPr>
        <w:t>C No. 228</w:t>
      </w:r>
      <w:r w:rsidRPr="000E696E">
        <w:rPr>
          <w:rFonts w:ascii="Verdana" w:hAnsi="Verdana"/>
          <w:i/>
          <w:iCs/>
          <w:sz w:val="16"/>
          <w:szCs w:val="16"/>
          <w:lang w:val="en-US"/>
        </w:rPr>
        <w:t xml:space="preserve">, </w:t>
      </w:r>
      <w:r w:rsidRPr="000E696E">
        <w:rPr>
          <w:rFonts w:ascii="Verdana" w:hAnsi="Verdana"/>
          <w:sz w:val="16"/>
          <w:szCs w:val="16"/>
          <w:lang w:val="en-US"/>
        </w:rPr>
        <w:t xml:space="preserve">para. 106, and </w:t>
      </w:r>
      <w:r w:rsidRPr="000E696E">
        <w:rPr>
          <w:rFonts w:ascii="Verdana" w:hAnsi="Verdana"/>
          <w:bCs/>
          <w:i/>
          <w:sz w:val="16"/>
          <w:szCs w:val="16"/>
          <w:lang w:val="en-US"/>
        </w:rPr>
        <w:t>Case of Furlan and family v. Argentina. Preliminary objections, merits, reparations and costs.</w:t>
      </w:r>
      <w:r w:rsidRPr="000E696E">
        <w:rPr>
          <w:rFonts w:ascii="Verdana" w:hAnsi="Verdana"/>
          <w:bCs/>
          <w:sz w:val="16"/>
          <w:szCs w:val="16"/>
          <w:lang w:val="en-US"/>
        </w:rPr>
        <w:t xml:space="preserve"> Judgment of August 31, 2012. Series C No. 246, para. </w:t>
      </w:r>
      <w:r w:rsidRPr="004204B2">
        <w:rPr>
          <w:rFonts w:ascii="Verdana" w:hAnsi="Verdana"/>
          <w:bCs/>
          <w:sz w:val="16"/>
          <w:szCs w:val="16"/>
          <w:lang w:val="es-CR"/>
        </w:rPr>
        <w:t>211.</w:t>
      </w:r>
    </w:p>
  </w:footnote>
  <w:footnote w:id="243">
    <w:p w14:paraId="4F322191" w14:textId="35476DD7" w:rsidR="0068647C" w:rsidRPr="000E696E" w:rsidRDefault="0068647C" w:rsidP="00AA1EBF">
      <w:pPr>
        <w:spacing w:after="60"/>
        <w:jc w:val="both"/>
        <w:rPr>
          <w:rFonts w:ascii="Verdana" w:hAnsi="Verdana"/>
          <w:sz w:val="16"/>
          <w:szCs w:val="16"/>
          <w:lang w:val="en-US"/>
        </w:rPr>
      </w:pPr>
      <w:r w:rsidRPr="000E696E">
        <w:rPr>
          <w:rStyle w:val="Refdenotaalpie"/>
          <w:sz w:val="16"/>
          <w:szCs w:val="16"/>
          <w:lang w:val="en-US"/>
        </w:rPr>
        <w:footnoteRef/>
      </w:r>
      <w:r w:rsidRPr="004204B2">
        <w:rPr>
          <w:rFonts w:ascii="Verdana" w:hAnsi="Verdana"/>
          <w:sz w:val="16"/>
          <w:szCs w:val="16"/>
          <w:lang w:val="es-CR"/>
        </w:rPr>
        <w:t xml:space="preserve"> </w:t>
      </w:r>
      <w:r w:rsidRPr="004204B2">
        <w:rPr>
          <w:rFonts w:ascii="Verdana" w:hAnsi="Verdana"/>
          <w:sz w:val="16"/>
          <w:szCs w:val="16"/>
          <w:lang w:val="es-CR"/>
        </w:rPr>
        <w:tab/>
      </w:r>
      <w:r w:rsidRPr="004204B2">
        <w:rPr>
          <w:rFonts w:ascii="Verdana" w:hAnsi="Verdana"/>
          <w:i/>
          <w:sz w:val="16"/>
          <w:szCs w:val="16"/>
          <w:lang w:val="es-CR"/>
        </w:rPr>
        <w:t xml:space="preserve">Cf. </w:t>
      </w:r>
      <w:r w:rsidRPr="004204B2">
        <w:rPr>
          <w:rFonts w:ascii="Verdana" w:hAnsi="Verdana"/>
          <w:bCs/>
          <w:i/>
          <w:sz w:val="16"/>
          <w:szCs w:val="16"/>
          <w:lang w:val="es-CR"/>
        </w:rPr>
        <w:t xml:space="preserve">Case of Velásquez Rodríguez v. Honduras, supra, </w:t>
      </w:r>
      <w:r w:rsidRPr="004204B2">
        <w:rPr>
          <w:rFonts w:ascii="Verdana" w:hAnsi="Verdana"/>
          <w:bCs/>
          <w:iCs/>
          <w:sz w:val="16"/>
          <w:szCs w:val="16"/>
          <w:lang w:val="es-CR"/>
        </w:rPr>
        <w:t>footnote 23</w:t>
      </w:r>
      <w:r w:rsidRPr="004204B2">
        <w:rPr>
          <w:rFonts w:ascii="Verdana" w:hAnsi="Verdana"/>
          <w:bCs/>
          <w:i/>
          <w:sz w:val="16"/>
          <w:szCs w:val="16"/>
          <w:lang w:val="es-CR"/>
        </w:rPr>
        <w:t>,</w:t>
      </w:r>
      <w:r w:rsidRPr="004204B2">
        <w:rPr>
          <w:rFonts w:ascii="Verdana" w:hAnsi="Verdana"/>
          <w:bCs/>
          <w:sz w:val="16"/>
          <w:szCs w:val="16"/>
          <w:lang w:val="es-CR"/>
        </w:rPr>
        <w:t xml:space="preserve"> para. </w:t>
      </w:r>
      <w:r w:rsidRPr="000E696E">
        <w:rPr>
          <w:rFonts w:ascii="Verdana" w:hAnsi="Verdana"/>
          <w:bCs/>
          <w:sz w:val="16"/>
          <w:szCs w:val="16"/>
          <w:lang w:val="en-US"/>
        </w:rPr>
        <w:t xml:space="preserve">219, and </w:t>
      </w:r>
      <w:r w:rsidRPr="000E696E">
        <w:rPr>
          <w:rFonts w:ascii="Verdana" w:hAnsi="Verdana" w:cs="Helvetica"/>
          <w:i/>
          <w:sz w:val="16"/>
          <w:szCs w:val="16"/>
          <w:lang w:val="en-US"/>
        </w:rPr>
        <w:t xml:space="preserve">Case of Duque v. Colombia. </w:t>
      </w:r>
      <w:r w:rsidRPr="000E696E">
        <w:rPr>
          <w:rFonts w:ascii="Verdana" w:hAnsi="Verdana"/>
          <w:i/>
          <w:sz w:val="16"/>
          <w:szCs w:val="16"/>
          <w:lang w:val="en-US"/>
        </w:rPr>
        <w:t>Preliminary objections, merits, reparations and costs</w:t>
      </w:r>
      <w:r w:rsidRPr="000E696E">
        <w:rPr>
          <w:rFonts w:ascii="Verdana" w:hAnsi="Verdana"/>
          <w:sz w:val="16"/>
          <w:szCs w:val="16"/>
          <w:lang w:val="en-US"/>
        </w:rPr>
        <w:t>. Judgment of February 26, 2016. Series C No. 310</w:t>
      </w:r>
      <w:r w:rsidRPr="000E696E">
        <w:rPr>
          <w:rFonts w:ascii="Verdana" w:hAnsi="Verdana" w:cs="Helvetica"/>
          <w:sz w:val="16"/>
          <w:szCs w:val="16"/>
          <w:lang w:val="en-US"/>
        </w:rPr>
        <w:t>, para. 148.</w:t>
      </w:r>
    </w:p>
  </w:footnote>
  <w:footnote w:id="244">
    <w:p w14:paraId="0BDA5A2D" w14:textId="0E1F9D8A" w:rsidR="0068647C" w:rsidRPr="000E696E" w:rsidRDefault="0068647C" w:rsidP="00AA1EBF">
      <w:pPr>
        <w:spacing w:after="60"/>
        <w:contextualSpacing/>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i/>
          <w:sz w:val="16"/>
          <w:szCs w:val="16"/>
          <w:lang w:val="en-US"/>
        </w:rPr>
        <w:t>Cf.</w:t>
      </w:r>
      <w:r w:rsidRPr="000E696E">
        <w:rPr>
          <w:rFonts w:ascii="Verdana" w:hAnsi="Verdana"/>
          <w:sz w:val="16"/>
          <w:szCs w:val="16"/>
          <w:lang w:val="en-US"/>
        </w:rPr>
        <w:t xml:space="preserve"> </w:t>
      </w:r>
      <w:r w:rsidRPr="000E696E">
        <w:rPr>
          <w:rFonts w:ascii="Verdana" w:hAnsi="Verdana"/>
          <w:i/>
          <w:sz w:val="16"/>
          <w:szCs w:val="16"/>
          <w:lang w:val="en-US"/>
        </w:rPr>
        <w:t>Case of Baena Ricardo et al. v. Panama. Jurisdiction.</w:t>
      </w:r>
      <w:r w:rsidRPr="000E696E">
        <w:rPr>
          <w:rFonts w:ascii="Verdana" w:hAnsi="Verdana"/>
          <w:sz w:val="16"/>
          <w:szCs w:val="16"/>
          <w:lang w:val="en-US"/>
        </w:rPr>
        <w:t xml:space="preserve"> Judgment of November 28, 2003. Series C No 104. para. 73, and </w:t>
      </w:r>
      <w:r w:rsidRPr="000E696E">
        <w:rPr>
          <w:rFonts w:ascii="Verdana" w:hAnsi="Verdana"/>
          <w:i/>
          <w:sz w:val="16"/>
          <w:szCs w:val="16"/>
          <w:lang w:val="en-US"/>
        </w:rPr>
        <w:t>Case of Acevedo Buendía et al. (“Discharged and Retired Employees of the Office of the Comptroller”) v. Perú́,</w:t>
      </w:r>
      <w:r w:rsidRPr="000E696E">
        <w:rPr>
          <w:rFonts w:ascii="Verdana" w:hAnsi="Verdana"/>
          <w:sz w:val="16"/>
          <w:szCs w:val="16"/>
          <w:lang w:val="en-US"/>
        </w:rPr>
        <w:t xml:space="preserve"> </w:t>
      </w:r>
      <w:r w:rsidRPr="000E696E">
        <w:rPr>
          <w:rFonts w:ascii="Verdana" w:hAnsi="Verdana"/>
          <w:i/>
          <w:sz w:val="16"/>
          <w:szCs w:val="16"/>
          <w:lang w:val="en-US"/>
        </w:rPr>
        <w:t>supra</w:t>
      </w:r>
      <w:r w:rsidRPr="000E696E">
        <w:rPr>
          <w:rFonts w:ascii="Verdana" w:hAnsi="Verdana"/>
          <w:sz w:val="16"/>
          <w:szCs w:val="16"/>
          <w:lang w:val="en-US"/>
        </w:rPr>
        <w:t xml:space="preserve">, para. 69. </w:t>
      </w:r>
    </w:p>
    <w:p w14:paraId="205DECB3" w14:textId="77777777" w:rsidR="0068647C" w:rsidRPr="000E696E" w:rsidRDefault="0068647C" w:rsidP="00AA1EBF">
      <w:pPr>
        <w:spacing w:after="60"/>
        <w:contextualSpacing/>
        <w:jc w:val="both"/>
        <w:rPr>
          <w:rFonts w:ascii="Verdana" w:hAnsi="Verdana"/>
          <w:sz w:val="6"/>
          <w:szCs w:val="6"/>
          <w:lang w:val="en-US"/>
        </w:rPr>
      </w:pPr>
    </w:p>
  </w:footnote>
  <w:footnote w:id="245">
    <w:p w14:paraId="52C2288B" w14:textId="79F76884" w:rsidR="0068647C" w:rsidRPr="000E696E" w:rsidRDefault="0068647C" w:rsidP="00AA1EBF">
      <w:pPr>
        <w:widowControl w:val="0"/>
        <w:autoSpaceDE w:val="0"/>
        <w:autoSpaceDN w:val="0"/>
        <w:adjustRightInd w:val="0"/>
        <w:spacing w:after="60"/>
        <w:ind w:right="4"/>
        <w:jc w:val="both"/>
        <w:rPr>
          <w:rFonts w:ascii="Verdana" w:hAnsi="Verdana" w:cs="Arial Narrow"/>
          <w:sz w:val="16"/>
          <w:szCs w:val="16"/>
          <w:lang w:val="en-US" w:eastAsia="es-MX"/>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i/>
          <w:sz w:val="16"/>
          <w:szCs w:val="16"/>
          <w:lang w:val="en-US"/>
        </w:rPr>
        <w:t>Cf.</w:t>
      </w:r>
      <w:r w:rsidRPr="000E696E">
        <w:rPr>
          <w:rFonts w:ascii="Verdana" w:hAnsi="Verdana"/>
          <w:sz w:val="16"/>
          <w:szCs w:val="16"/>
          <w:lang w:val="en-US"/>
        </w:rPr>
        <w:t xml:space="preserve"> </w:t>
      </w:r>
      <w:r w:rsidRPr="000E696E">
        <w:rPr>
          <w:rFonts w:ascii="Verdana" w:hAnsi="Verdana"/>
          <w:sz w:val="16"/>
          <w:szCs w:val="16"/>
          <w:lang w:val="en-US" w:eastAsia="es-MX"/>
        </w:rPr>
        <w:t xml:space="preserve">Congress of the Republic of Peru. Constitution of Peru July 12, 1979. </w:t>
      </w:r>
      <w:r w:rsidRPr="000E696E">
        <w:rPr>
          <w:rFonts w:ascii="Verdana" w:hAnsi="Verdana"/>
          <w:bCs/>
          <w:sz w:val="16"/>
          <w:szCs w:val="16"/>
          <w:shd w:val="clear" w:color="auto" w:fill="FFFFFF"/>
          <w:lang w:val="en-US"/>
        </w:rPr>
        <w:t>Article 48 “</w:t>
      </w:r>
      <w:r w:rsidRPr="000E696E">
        <w:rPr>
          <w:rFonts w:ascii="Verdana" w:hAnsi="Verdana" w:cs="Arial Narrow"/>
          <w:color w:val="000000"/>
          <w:sz w:val="16"/>
          <w:szCs w:val="16"/>
          <w:lang w:val="en-US" w:eastAsia="es-MX"/>
        </w:rPr>
        <w:t>The State recognizes the right to job security. The employee may only be dismissed for just cause, indicated by law and duly proven.</w:t>
      </w:r>
      <w:r w:rsidRPr="000E696E">
        <w:rPr>
          <w:rFonts w:ascii="Verdana" w:hAnsi="Verdana"/>
          <w:color w:val="000000"/>
          <w:sz w:val="16"/>
          <w:szCs w:val="16"/>
          <w:shd w:val="clear" w:color="auto" w:fill="FFFFFF"/>
          <w:lang w:val="en-US"/>
        </w:rPr>
        <w:t>”</w:t>
      </w:r>
      <w:r w:rsidRPr="000E696E">
        <w:rPr>
          <w:rFonts w:ascii="Verdana" w:hAnsi="Verdana" w:cs="Times"/>
          <w:sz w:val="16"/>
          <w:szCs w:val="16"/>
          <w:lang w:val="en-US"/>
        </w:rPr>
        <w:t xml:space="preserve"> </w:t>
      </w:r>
      <w:r w:rsidRPr="000E696E">
        <w:rPr>
          <w:rFonts w:ascii="Verdana" w:hAnsi="Verdana"/>
          <w:sz w:val="16"/>
          <w:szCs w:val="16"/>
          <w:lang w:val="en-US" w:eastAsia="es-MX"/>
        </w:rPr>
        <w:t xml:space="preserve">Congress of the Republic of Peru. Constitution of Peru, December 29, 1993 </w:t>
      </w:r>
      <w:r w:rsidRPr="000E696E">
        <w:rPr>
          <w:rFonts w:ascii="Verdana" w:hAnsi="Verdana" w:cs="Arial"/>
          <w:bCs/>
          <w:color w:val="000000"/>
          <w:sz w:val="16"/>
          <w:szCs w:val="16"/>
          <w:lang w:val="en-US"/>
        </w:rPr>
        <w:t>Article 22</w:t>
      </w:r>
      <w:r w:rsidRPr="000E696E">
        <w:rPr>
          <w:rFonts w:ascii="Verdana" w:hAnsi="Verdana" w:cs="Arial"/>
          <w:color w:val="000000"/>
          <w:sz w:val="16"/>
          <w:szCs w:val="16"/>
          <w:lang w:val="en-US"/>
        </w:rPr>
        <w:t>. Work is a duty and a right. It is the basis of social well-being and a means for self-realization” and in article</w:t>
      </w:r>
      <w:r w:rsidRPr="000E696E">
        <w:rPr>
          <w:rFonts w:ascii="Verdana" w:hAnsi="Verdana" w:cs="Arial"/>
          <w:bCs/>
          <w:sz w:val="16"/>
          <w:szCs w:val="16"/>
          <w:lang w:val="en-US"/>
        </w:rPr>
        <w:t xml:space="preserve"> 27</w:t>
      </w:r>
      <w:r w:rsidRPr="000E696E">
        <w:rPr>
          <w:rFonts w:ascii="Verdana" w:hAnsi="Verdana" w:cs="Arial"/>
          <w:sz w:val="16"/>
          <w:szCs w:val="16"/>
          <w:lang w:val="en-US"/>
        </w:rPr>
        <w:t xml:space="preserve">: “[t]he law accords the worker adequate protection against arbitrary dismissal.” </w:t>
      </w:r>
      <w:r w:rsidRPr="000E696E">
        <w:rPr>
          <w:rFonts w:ascii="Verdana" w:hAnsi="Verdana"/>
          <w:sz w:val="16"/>
          <w:szCs w:val="16"/>
          <w:lang w:val="en-US" w:eastAsia="es-MX"/>
        </w:rPr>
        <w:t>Congress of the Republic of Peru</w:t>
      </w:r>
      <w:r w:rsidRPr="000E696E" w:rsidDel="0065052F">
        <w:rPr>
          <w:rFonts w:ascii="Verdana" w:hAnsi="Verdana" w:cs="Arial Narrow"/>
          <w:sz w:val="16"/>
          <w:szCs w:val="16"/>
          <w:lang w:val="en-US" w:eastAsia="es-MX"/>
        </w:rPr>
        <w:t xml:space="preserve"> </w:t>
      </w:r>
      <w:r w:rsidRPr="000E696E">
        <w:rPr>
          <w:rFonts w:ascii="Verdana" w:hAnsi="Verdana" w:cs="Arial Narrow"/>
          <w:sz w:val="16"/>
          <w:szCs w:val="16"/>
          <w:lang w:val="en-US" w:eastAsia="es-MX"/>
        </w:rPr>
        <w:t xml:space="preserve"> Law No.24514. Article 2. This law protects workers in the private sector or in public companies subject to the private sector regime […].”</w:t>
      </w:r>
    </w:p>
  </w:footnote>
  <w:footnote w:id="246">
    <w:p w14:paraId="7D9A3F2C" w14:textId="1EEEA92B" w:rsidR="0068647C" w:rsidRPr="004204B2" w:rsidRDefault="0068647C" w:rsidP="00D61BD2">
      <w:pPr>
        <w:pStyle w:val="Textonotapie"/>
        <w:rPr>
          <w:lang w:val="es-CR"/>
        </w:rPr>
      </w:pPr>
      <w:r w:rsidRPr="000E696E">
        <w:rPr>
          <w:rStyle w:val="Refdenotaalpie"/>
          <w:sz w:val="16"/>
        </w:rPr>
        <w:footnoteRef/>
      </w:r>
      <w:r w:rsidRPr="000E696E">
        <w:t xml:space="preserve"> </w:t>
      </w:r>
      <w:r w:rsidRPr="000E696E">
        <w:tab/>
      </w:r>
      <w:r w:rsidRPr="000E696E">
        <w:rPr>
          <w:i/>
        </w:rPr>
        <w:t>Cf. Case of the “Street Children” (Villagrán Morales et al.) v. Guatemala. Merits.</w:t>
      </w:r>
      <w:r w:rsidRPr="000E696E">
        <w:t xml:space="preserve"> Judgment of November 19, 1999. Series C No. 63, para. 237, </w:t>
      </w:r>
      <w:r w:rsidRPr="000E696E">
        <w:rPr>
          <w:i/>
        </w:rPr>
        <w:t xml:space="preserve">Case of </w:t>
      </w:r>
      <w:r w:rsidRPr="000E696E">
        <w:rPr>
          <w:bCs/>
          <w:i/>
        </w:rPr>
        <w:t>Duque v. Colombia, supra</w:t>
      </w:r>
      <w:r w:rsidRPr="000E696E">
        <w:rPr>
          <w:bCs/>
        </w:rPr>
        <w:t xml:space="preserve">, para. 177, and </w:t>
      </w:r>
      <w:r w:rsidRPr="000E696E">
        <w:t xml:space="preserve">Inter-American Commission on Human Rights. Access to Justice as a Guarantee of Economic, Social and Cultural Rights. A review of the standards adopted by the inter-American system of human rights, para. </w:t>
      </w:r>
      <w:r w:rsidRPr="004204B2">
        <w:rPr>
          <w:color w:val="000000"/>
          <w:lang w:val="es-CR"/>
        </w:rPr>
        <w:t>17.</w:t>
      </w:r>
    </w:p>
  </w:footnote>
  <w:footnote w:id="247">
    <w:p w14:paraId="217683A8" w14:textId="5B1DD917" w:rsidR="0068647C" w:rsidRPr="000E696E" w:rsidRDefault="0068647C" w:rsidP="00D61BD2">
      <w:pPr>
        <w:pStyle w:val="Textonotapie"/>
      </w:pPr>
      <w:r w:rsidRPr="000E696E">
        <w:rPr>
          <w:rStyle w:val="Refdenotaalpie"/>
          <w:sz w:val="16"/>
        </w:rPr>
        <w:footnoteRef/>
      </w:r>
      <w:r w:rsidRPr="004204B2">
        <w:rPr>
          <w:lang w:val="es-CR"/>
        </w:rPr>
        <w:t xml:space="preserve"> </w:t>
      </w:r>
      <w:r w:rsidRPr="004204B2">
        <w:rPr>
          <w:b/>
          <w:lang w:val="es-CR"/>
        </w:rPr>
        <w:tab/>
      </w:r>
      <w:r w:rsidRPr="004204B2">
        <w:rPr>
          <w:i/>
          <w:lang w:val="es-CR"/>
        </w:rPr>
        <w:t>Cf.</w:t>
      </w:r>
      <w:r w:rsidRPr="004204B2">
        <w:rPr>
          <w:lang w:val="es-CR"/>
        </w:rPr>
        <w:t xml:space="preserve"> </w:t>
      </w:r>
      <w:r w:rsidRPr="00D65783">
        <w:rPr>
          <w:i/>
          <w:iCs/>
          <w:lang w:val="es-CR"/>
        </w:rPr>
        <w:t>Case of Velásquez Rodríguez v. Honduras, supra</w:t>
      </w:r>
      <w:r w:rsidRPr="004204B2">
        <w:rPr>
          <w:lang w:val="es-CR"/>
        </w:rPr>
        <w:t xml:space="preserve">, footnote 12, para. </w:t>
      </w:r>
      <w:r w:rsidRPr="000E696E">
        <w:t xml:space="preserve">91, and </w:t>
      </w:r>
      <w:r w:rsidRPr="00D65783">
        <w:rPr>
          <w:bCs/>
          <w:i/>
          <w:iCs/>
        </w:rPr>
        <w:t>Case of Favela Nova Brasília v. Brazil, supra</w:t>
      </w:r>
      <w:r w:rsidRPr="000E696E">
        <w:rPr>
          <w:bCs/>
        </w:rPr>
        <w:t>, para. 183.</w:t>
      </w:r>
    </w:p>
  </w:footnote>
  <w:footnote w:id="248">
    <w:p w14:paraId="5AA5837F" w14:textId="575F1C27" w:rsidR="0068647C" w:rsidRPr="000E696E" w:rsidRDefault="0068647C" w:rsidP="00AA1EBF">
      <w:pPr>
        <w:widowControl w:val="0"/>
        <w:autoSpaceDE w:val="0"/>
        <w:autoSpaceDN w:val="0"/>
        <w:adjustRightInd w:val="0"/>
        <w:spacing w:after="60"/>
        <w:jc w:val="both"/>
        <w:rPr>
          <w:rFonts w:ascii="Verdana" w:hAnsi="Verdana" w:cs="Helvetic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cs="Times"/>
          <w:i/>
          <w:sz w:val="16"/>
          <w:szCs w:val="16"/>
          <w:lang w:val="en-US"/>
        </w:rPr>
        <w:t>Cf.</w:t>
      </w:r>
      <w:r w:rsidRPr="000E696E">
        <w:rPr>
          <w:rFonts w:ascii="Verdana" w:hAnsi="Verdana" w:cs="Times"/>
          <w:sz w:val="16"/>
          <w:szCs w:val="16"/>
          <w:lang w:val="en-US"/>
        </w:rPr>
        <w:t xml:space="preserve"> </w:t>
      </w:r>
      <w:r w:rsidRPr="000E696E">
        <w:rPr>
          <w:rFonts w:ascii="Verdana" w:hAnsi="Verdana" w:cs="Times"/>
          <w:i/>
          <w:sz w:val="16"/>
          <w:szCs w:val="16"/>
          <w:lang w:val="en-US"/>
        </w:rPr>
        <w:t>Case of López Álvarez v. Honduras.</w:t>
      </w:r>
      <w:r w:rsidRPr="000E696E">
        <w:rPr>
          <w:rFonts w:ascii="Verdana" w:hAnsi="Verdana" w:cs="Times"/>
          <w:sz w:val="16"/>
          <w:szCs w:val="16"/>
          <w:lang w:val="en-US"/>
        </w:rPr>
        <w:t xml:space="preserve"> </w:t>
      </w:r>
      <w:r w:rsidRPr="000E696E">
        <w:rPr>
          <w:rFonts w:ascii="Verdana" w:hAnsi="Verdana" w:cs="Times"/>
          <w:i/>
          <w:sz w:val="16"/>
          <w:szCs w:val="16"/>
          <w:lang w:val="en-US"/>
        </w:rPr>
        <w:t>Merits, reparations and costs</w:t>
      </w:r>
      <w:r w:rsidRPr="000E696E">
        <w:rPr>
          <w:rFonts w:ascii="Verdana" w:hAnsi="Verdana" w:cs="Helvetica"/>
          <w:i/>
          <w:sz w:val="16"/>
          <w:szCs w:val="16"/>
          <w:lang w:val="en-US"/>
        </w:rPr>
        <w:t>.</w:t>
      </w:r>
      <w:r w:rsidRPr="000E696E">
        <w:rPr>
          <w:rFonts w:ascii="Verdana" w:hAnsi="Verdana" w:cs="Helvetica"/>
          <w:sz w:val="16"/>
          <w:szCs w:val="16"/>
          <w:lang w:val="en-US"/>
        </w:rPr>
        <w:t xml:space="preserve"> Judgment of February 1, 2006. Series C No. 141, para. 96, and </w:t>
      </w:r>
      <w:r w:rsidRPr="000E696E">
        <w:rPr>
          <w:rFonts w:ascii="Verdana" w:hAnsi="Verdana" w:cs="Helvetica"/>
          <w:bCs/>
          <w:i/>
          <w:sz w:val="16"/>
          <w:szCs w:val="16"/>
          <w:lang w:val="en-US"/>
        </w:rPr>
        <w:t>Case of Zegarra Marín v. Peru</w:t>
      </w:r>
      <w:r w:rsidRPr="000E696E">
        <w:rPr>
          <w:rFonts w:ascii="Verdana" w:hAnsi="Verdana" w:cs="Helvetica"/>
          <w:bCs/>
          <w:sz w:val="16"/>
          <w:szCs w:val="16"/>
          <w:lang w:val="en-US"/>
        </w:rPr>
        <w:t xml:space="preserve">, </w:t>
      </w:r>
      <w:r w:rsidRPr="000E696E">
        <w:rPr>
          <w:rFonts w:ascii="Verdana" w:hAnsi="Verdana" w:cs="Helvetica"/>
          <w:bCs/>
          <w:i/>
          <w:sz w:val="16"/>
          <w:szCs w:val="16"/>
          <w:lang w:val="en-US"/>
        </w:rPr>
        <w:t>supra</w:t>
      </w:r>
      <w:r w:rsidRPr="000E696E">
        <w:rPr>
          <w:rFonts w:ascii="Verdana" w:hAnsi="Verdana" w:cs="Helvetica"/>
          <w:bCs/>
          <w:sz w:val="16"/>
          <w:szCs w:val="16"/>
          <w:lang w:val="en-US"/>
        </w:rPr>
        <w:t xml:space="preserve">, para. 179. </w:t>
      </w:r>
    </w:p>
  </w:footnote>
  <w:footnote w:id="249">
    <w:p w14:paraId="1AB27335" w14:textId="64FEB0F5" w:rsidR="0068647C" w:rsidRPr="000E696E" w:rsidRDefault="0068647C" w:rsidP="00D61BD2">
      <w:pPr>
        <w:pStyle w:val="Textonotapie"/>
      </w:pPr>
      <w:r w:rsidRPr="000E696E">
        <w:rPr>
          <w:rStyle w:val="Refdenotaalpie"/>
          <w:sz w:val="16"/>
        </w:rPr>
        <w:footnoteRef/>
      </w:r>
      <w:r w:rsidRPr="000E696E">
        <w:t xml:space="preserve"> </w:t>
      </w:r>
      <w:r w:rsidRPr="000E696E">
        <w:tab/>
        <w:t>The company argued that the statements included in “</w:t>
      </w:r>
      <w:r w:rsidRPr="000E696E">
        <w:rPr>
          <w:i/>
          <w:iCs/>
        </w:rPr>
        <w:t>La Razón</w:t>
      </w:r>
      <w:r w:rsidRPr="000E696E">
        <w:t>” corresponded to Mr. Lagos del Campo, because he had not attributed those words to the interviewer when answering the company’s letter outlining the charges; he had merely argued that they had been made in the exercise of his constitutional right to freedom of expression and in his capacity as president of the Electoral Committee (evidence file, annexes to the Merits Report 9 and 10, folios 33 to 41).</w:t>
      </w:r>
    </w:p>
  </w:footnote>
  <w:footnote w:id="250">
    <w:p w14:paraId="089E4196" w14:textId="6D5D5BBB" w:rsidR="0068647C" w:rsidRPr="000E696E" w:rsidRDefault="0068647C" w:rsidP="00AA1EBF">
      <w:pPr>
        <w:autoSpaceDE w:val="0"/>
        <w:autoSpaceDN w:val="0"/>
        <w:adjustRightInd w:val="0"/>
        <w:spacing w:after="60"/>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i/>
          <w:sz w:val="16"/>
          <w:szCs w:val="16"/>
          <w:lang w:val="en-US"/>
        </w:rPr>
        <w:t>Cf.</w:t>
      </w:r>
      <w:r w:rsidRPr="000E696E">
        <w:rPr>
          <w:rFonts w:ascii="Verdana" w:hAnsi="Verdana"/>
          <w:sz w:val="16"/>
          <w:szCs w:val="16"/>
          <w:lang w:val="en-US"/>
        </w:rPr>
        <w:t xml:space="preserve"> </w:t>
      </w:r>
      <w:r w:rsidRPr="000E696E">
        <w:rPr>
          <w:rFonts w:ascii="Verdana" w:hAnsi="Verdana"/>
          <w:sz w:val="16"/>
          <w:szCs w:val="16"/>
          <w:lang w:val="en-US" w:eastAsia="es-MX"/>
        </w:rPr>
        <w:t xml:space="preserve">Brief in answer to the appeal addressed by Mr. Lagos del Campo to the Second Labor Court of Lima. August 1, 1991, File No. 839-91. Annexes to the communication of the petitioners dated July 23, 1998 </w:t>
      </w:r>
      <w:r w:rsidRPr="000E696E">
        <w:rPr>
          <w:rFonts w:ascii="Verdana" w:hAnsi="Verdana"/>
          <w:sz w:val="16"/>
          <w:szCs w:val="16"/>
          <w:lang w:val="en-US"/>
        </w:rPr>
        <w:t>(evidence file, ff. 43 to 45).  In this brief, he indicated that, in both the exculpatory letter and in the brief of the complaint, he had stated that he was not the author of the interview; consequently, the responsibility for the publication of the interview corresponded to the journalist and Director of “</w:t>
      </w:r>
      <w:r w:rsidRPr="000E696E">
        <w:rPr>
          <w:rFonts w:ascii="Verdana" w:hAnsi="Verdana"/>
          <w:i/>
          <w:iCs/>
          <w:sz w:val="16"/>
          <w:szCs w:val="16"/>
          <w:lang w:val="en-US"/>
        </w:rPr>
        <w:t>La Razón</w:t>
      </w:r>
      <w:r w:rsidRPr="000E696E">
        <w:rPr>
          <w:rFonts w:ascii="Verdana" w:hAnsi="Verdana"/>
          <w:sz w:val="16"/>
          <w:szCs w:val="16"/>
          <w:lang w:val="en-US"/>
        </w:rPr>
        <w:t>.” Regarding the brief filed by the company on June 25, 1991, Mr. Lagos del Campo mentioned that the company had attributed to him the authorship of words that had not been published in the interview in “</w:t>
      </w:r>
      <w:r w:rsidRPr="000E696E">
        <w:rPr>
          <w:rFonts w:ascii="Verdana" w:hAnsi="Verdana"/>
          <w:i/>
          <w:iCs/>
          <w:sz w:val="16"/>
          <w:szCs w:val="16"/>
          <w:lang w:val="en-US"/>
        </w:rPr>
        <w:t>La Razón</w:t>
      </w:r>
      <w:r w:rsidRPr="000E696E">
        <w:rPr>
          <w:rFonts w:ascii="Verdana" w:hAnsi="Verdana"/>
          <w:sz w:val="16"/>
          <w:szCs w:val="16"/>
          <w:lang w:val="en-US"/>
        </w:rPr>
        <w:t>.”</w:t>
      </w:r>
    </w:p>
  </w:footnote>
  <w:footnote w:id="251">
    <w:p w14:paraId="12976CA8" w14:textId="3E27FF2C"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rPr>
        <w:t>Cf.</w:t>
      </w:r>
      <w:r w:rsidRPr="000E696E">
        <w:t xml:space="preserve"> </w:t>
      </w:r>
      <w:r w:rsidRPr="000E696E">
        <w:rPr>
          <w:lang w:eastAsia="es-MX"/>
        </w:rPr>
        <w:t>Constitution of Peru July 12, 1979. “</w:t>
      </w:r>
      <w:r w:rsidRPr="000E696E">
        <w:t xml:space="preserve">Article 233. Proper administration of justice: (4) The statement of the reasons for the decisions, in all instances, that expressly mentions the applicable law and the grounds that substantiate them.” </w:t>
      </w:r>
      <w:r w:rsidRPr="000E696E">
        <w:rPr>
          <w:lang w:eastAsia="es-MX"/>
        </w:rPr>
        <w:t xml:space="preserve">Congress of the Republic of Peru. Law 24514. Law on the right to job security. June 4, 1986 </w:t>
      </w:r>
      <w:r w:rsidRPr="000E696E">
        <w:t>(evidence file, ff. 33bis to 38bis</w:t>
      </w:r>
      <w:r w:rsidRPr="000E696E">
        <w:rPr>
          <w:i/>
        </w:rPr>
        <w:t>.</w:t>
      </w:r>
      <w:r w:rsidRPr="000E696E">
        <w:t>) “Article 3. The workers referred to in art. 2 may only be dismissed for just cause indicated in this law, duly stating the reasons.”</w:t>
      </w:r>
    </w:p>
  </w:footnote>
  <w:footnote w:id="252">
    <w:p w14:paraId="56302CC4" w14:textId="25ECD743" w:rsidR="0068647C" w:rsidRPr="000E696E" w:rsidRDefault="0068647C" w:rsidP="00D61BD2">
      <w:pPr>
        <w:pStyle w:val="Textonotapie"/>
      </w:pPr>
      <w:r w:rsidRPr="000E696E">
        <w:rPr>
          <w:rStyle w:val="Refdenotaalpie"/>
          <w:rFonts w:eastAsia="Calibri"/>
          <w:sz w:val="16"/>
        </w:rPr>
        <w:footnoteRef/>
      </w:r>
      <w:r w:rsidRPr="000E696E">
        <w:t xml:space="preserve"> </w:t>
      </w:r>
      <w:r w:rsidRPr="000E696E">
        <w:tab/>
        <w:t>Namely: (a) action requesting classification of the dismissal on July 26, 1989; (b) appeal for “review and reconsideration” on August 26, 1991; (c) appeal for annulment on September 2, 1991; (d) application for amparo on November 8, 1991; (e) appeal for annulment on August 26, 1992; (f) communication before the President of the Social and Constitutional Law Chamber of the Supreme Court of Justice on March 30, 1993; (g) appeal for review and request that the matter be heard by the Full Chamber of the Supreme Court of Justice on April 28 and May 4, 1993; (h) appeal on July 18, 1997; (i) remedy of complaint filed on August 19, 1997; (j) remedy of complaint filed before the President of the Constitutional Court, on October 2, 1997.</w:t>
      </w:r>
    </w:p>
  </w:footnote>
  <w:footnote w:id="253">
    <w:p w14:paraId="33999A7E" w14:textId="5E43D828" w:rsidR="0068647C" w:rsidRPr="000E696E" w:rsidRDefault="0068647C" w:rsidP="00D61BD2">
      <w:pPr>
        <w:pStyle w:val="Textonotapie"/>
      </w:pPr>
      <w:r w:rsidRPr="000E696E">
        <w:rPr>
          <w:rStyle w:val="Refdenotaalpie"/>
          <w:sz w:val="16"/>
        </w:rPr>
        <w:footnoteRef/>
      </w:r>
      <w:r w:rsidRPr="000E696E">
        <w:t xml:space="preserve"> </w:t>
      </w:r>
      <w:r w:rsidRPr="000E696E">
        <w:tab/>
        <w:t>Supreme Decree 03-80-TR. “Action in the labor and Labor Communities jurisdiction. Art. 9. The briefs that the parties submit to third parties shall be processed within 48 hours of their reception, under penalty of incurring responsibility” (evidence file, annex 2 del procedure before the IACHR, folio 720).</w:t>
      </w:r>
    </w:p>
  </w:footnote>
  <w:footnote w:id="254">
    <w:p w14:paraId="4F54AB38" w14:textId="672031AE" w:rsidR="0068647C" w:rsidRPr="000E696E" w:rsidRDefault="0068647C" w:rsidP="00AA1EBF">
      <w:pPr>
        <w:pStyle w:val="NormalWeb"/>
        <w:spacing w:before="0" w:beforeAutospacing="0" w:after="60" w:afterAutospacing="0"/>
        <w:jc w:val="both"/>
        <w:rPr>
          <w:rFonts w:ascii="Verdana" w:hAnsi="Verdana"/>
          <w:color w:val="000000"/>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i/>
          <w:sz w:val="16"/>
          <w:szCs w:val="16"/>
          <w:lang w:val="en-US"/>
        </w:rPr>
        <w:t>Cf.</w:t>
      </w:r>
      <w:r w:rsidRPr="000E696E">
        <w:rPr>
          <w:rFonts w:ascii="Verdana" w:hAnsi="Verdana"/>
          <w:sz w:val="16"/>
          <w:szCs w:val="16"/>
          <w:lang w:val="en-US"/>
        </w:rPr>
        <w:t xml:space="preserve"> Congress of the Republic of Peru. Constitution of Peru July 12, 1979. </w:t>
      </w:r>
      <w:r w:rsidRPr="000E696E">
        <w:rPr>
          <w:rFonts w:ascii="Verdana" w:hAnsi="Verdana"/>
          <w:bCs/>
          <w:color w:val="000000"/>
          <w:sz w:val="16"/>
          <w:szCs w:val="16"/>
          <w:lang w:val="en-US"/>
        </w:rPr>
        <w:t>Article 295.</w:t>
      </w:r>
      <w:r w:rsidRPr="000E696E">
        <w:rPr>
          <w:rFonts w:ascii="Verdana" w:hAnsi="Verdana"/>
          <w:bCs/>
          <w:color w:val="000000"/>
          <w:sz w:val="16"/>
          <w:szCs w:val="16"/>
          <w:lang w:val="en-US"/>
        </w:rPr>
        <w:softHyphen/>
      </w:r>
      <w:r w:rsidRPr="000E696E">
        <w:rPr>
          <w:rFonts w:ascii="Verdana" w:hAnsi="Verdana"/>
          <w:color w:val="000000"/>
          <w:sz w:val="16"/>
          <w:szCs w:val="16"/>
          <w:lang w:val="en-US"/>
        </w:rPr>
        <w:t xml:space="preserve"> The application for amparo protects the rights recognized by the Constitution that have been violated or threatened by any authority, official or individual. The application for amparo follows the same procedure as the application for habeas corpus in the cases in which it is appropriate.</w:t>
      </w:r>
    </w:p>
  </w:footnote>
  <w:footnote w:id="255">
    <w:p w14:paraId="7E395623" w14:textId="0CF95DB2" w:rsidR="0068647C" w:rsidRPr="004204B2" w:rsidRDefault="0068647C" w:rsidP="00AA1EBF">
      <w:pPr>
        <w:spacing w:after="60"/>
        <w:contextualSpacing/>
        <w:jc w:val="both"/>
        <w:rPr>
          <w:rFonts w:ascii="Verdana" w:hAnsi="Verdana"/>
          <w:sz w:val="16"/>
          <w:szCs w:val="16"/>
          <w:lang w:val="es-CR"/>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 xml:space="preserve">The Court has stressed that the obligation of Article 25 supposes that the remedy is “adequate,” which means that it function within the system of domestic law should be “appropriate” to protect the legal situation violated. </w:t>
      </w:r>
      <w:r w:rsidRPr="004204B2">
        <w:rPr>
          <w:rFonts w:ascii="Verdana" w:hAnsi="Verdana"/>
          <w:i/>
          <w:sz w:val="16"/>
          <w:szCs w:val="16"/>
          <w:lang w:val="es-CR"/>
        </w:rPr>
        <w:t xml:space="preserve">Cf. </w:t>
      </w:r>
      <w:r w:rsidRPr="004204B2">
        <w:rPr>
          <w:rFonts w:ascii="Verdana" w:hAnsi="Verdana"/>
          <w:i/>
          <w:iCs/>
          <w:sz w:val="16"/>
          <w:szCs w:val="16"/>
          <w:lang w:val="es-CR"/>
        </w:rPr>
        <w:t>Case of Velásquez Rodríguez v. Honduras</w:t>
      </w:r>
      <w:r w:rsidRPr="004204B2">
        <w:rPr>
          <w:rFonts w:ascii="Verdana" w:hAnsi="Verdana"/>
          <w:i/>
          <w:sz w:val="16"/>
          <w:szCs w:val="16"/>
          <w:lang w:val="es-CR"/>
        </w:rPr>
        <w:t>, supra,</w:t>
      </w:r>
      <w:r w:rsidRPr="004204B2">
        <w:rPr>
          <w:rFonts w:ascii="Verdana" w:hAnsi="Verdana"/>
          <w:i/>
          <w:iCs/>
          <w:sz w:val="16"/>
          <w:szCs w:val="16"/>
          <w:lang w:val="es-CR"/>
        </w:rPr>
        <w:t xml:space="preserve"> </w:t>
      </w:r>
      <w:r w:rsidRPr="004204B2">
        <w:rPr>
          <w:rFonts w:ascii="Verdana" w:hAnsi="Verdana"/>
          <w:sz w:val="16"/>
          <w:szCs w:val="16"/>
          <w:lang w:val="es-CR"/>
        </w:rPr>
        <w:t xml:space="preserve">para. 64, and </w:t>
      </w:r>
      <w:r w:rsidRPr="004204B2">
        <w:rPr>
          <w:rFonts w:ascii="Verdana" w:hAnsi="Verdana"/>
          <w:bCs/>
          <w:i/>
          <w:iCs/>
          <w:sz w:val="16"/>
          <w:szCs w:val="16"/>
          <w:lang w:val="es-CR"/>
        </w:rPr>
        <w:t xml:space="preserve">Case of Maldonado Ordóñez v. Guatemala. </w:t>
      </w:r>
      <w:r w:rsidRPr="000E696E">
        <w:rPr>
          <w:rFonts w:ascii="Verdana" w:hAnsi="Verdana"/>
          <w:bCs/>
          <w:i/>
          <w:iCs/>
          <w:sz w:val="16"/>
          <w:szCs w:val="16"/>
          <w:lang w:val="en-US"/>
        </w:rPr>
        <w:t>Preliminary objections, merits, reparations and costs.</w:t>
      </w:r>
      <w:r w:rsidRPr="000E696E">
        <w:rPr>
          <w:rFonts w:ascii="Verdana" w:hAnsi="Verdana"/>
          <w:bCs/>
          <w:iCs/>
          <w:sz w:val="16"/>
          <w:szCs w:val="16"/>
          <w:lang w:val="en-US"/>
        </w:rPr>
        <w:t xml:space="preserve"> Judgment of May 3, 2016. Series C No. 311, para. </w:t>
      </w:r>
      <w:r w:rsidRPr="004204B2">
        <w:rPr>
          <w:rFonts w:ascii="Verdana" w:hAnsi="Verdana"/>
          <w:bCs/>
          <w:iCs/>
          <w:sz w:val="16"/>
          <w:szCs w:val="16"/>
          <w:lang w:val="es-CR"/>
        </w:rPr>
        <w:t>109.</w:t>
      </w:r>
    </w:p>
  </w:footnote>
  <w:footnote w:id="256">
    <w:p w14:paraId="78AA71E6" w14:textId="1378FBBB" w:rsidR="0068647C" w:rsidRPr="000E696E" w:rsidRDefault="0068647C" w:rsidP="00D61BD2">
      <w:pPr>
        <w:pStyle w:val="Textonotapie"/>
      </w:pPr>
      <w:r w:rsidRPr="000E696E">
        <w:rPr>
          <w:rStyle w:val="Refdenotaalpie"/>
          <w:sz w:val="16"/>
        </w:rPr>
        <w:footnoteRef/>
      </w:r>
      <w:r w:rsidRPr="004204B2">
        <w:rPr>
          <w:lang w:val="es-CR"/>
        </w:rPr>
        <w:t xml:space="preserve"> </w:t>
      </w:r>
      <w:r w:rsidRPr="004204B2">
        <w:rPr>
          <w:lang w:val="es-CR"/>
        </w:rPr>
        <w:tab/>
      </w:r>
      <w:r w:rsidRPr="004204B2">
        <w:rPr>
          <w:i/>
          <w:lang w:val="es-CR"/>
        </w:rPr>
        <w:t>Cf.</w:t>
      </w:r>
      <w:r w:rsidRPr="004204B2">
        <w:rPr>
          <w:lang w:val="es-CR"/>
        </w:rPr>
        <w:t xml:space="preserve"> </w:t>
      </w:r>
      <w:r w:rsidRPr="004204B2">
        <w:rPr>
          <w:i/>
          <w:iCs/>
          <w:lang w:val="es-CR"/>
        </w:rPr>
        <w:t>Case of Duque v. Colombia. supra,</w:t>
      </w:r>
      <w:r w:rsidRPr="004204B2">
        <w:rPr>
          <w:lang w:val="es-CR"/>
        </w:rPr>
        <w:t xml:space="preserve"> para. 96, and </w:t>
      </w:r>
      <w:r w:rsidRPr="004204B2">
        <w:rPr>
          <w:bCs/>
          <w:i/>
          <w:iCs/>
          <w:lang w:val="es-CR"/>
        </w:rPr>
        <w:t xml:space="preserve">Case of Favela Nova </w:t>
      </w:r>
      <w:r w:rsidRPr="004204B2">
        <w:rPr>
          <w:bCs/>
          <w:i/>
          <w:iCs/>
          <w:lang w:val="es-CR"/>
        </w:rPr>
        <w:t>Brasília v. Brazil, supra,</w:t>
      </w:r>
      <w:r w:rsidRPr="004204B2">
        <w:rPr>
          <w:bCs/>
          <w:lang w:val="es-CR"/>
        </w:rPr>
        <w:t xml:space="preserve"> para. </w:t>
      </w:r>
      <w:r w:rsidRPr="000E696E">
        <w:rPr>
          <w:bCs/>
        </w:rPr>
        <w:t>233.</w:t>
      </w:r>
    </w:p>
  </w:footnote>
  <w:footnote w:id="257">
    <w:p w14:paraId="3DE0880E" w14:textId="271E041A" w:rsidR="0068647C" w:rsidRPr="000E696E" w:rsidRDefault="0068647C" w:rsidP="00AA1EBF">
      <w:pPr>
        <w:autoSpaceDE w:val="0"/>
        <w:autoSpaceDN w:val="0"/>
        <w:adjustRightInd w:val="0"/>
        <w:spacing w:after="60"/>
        <w:jc w:val="both"/>
        <w:rPr>
          <w:rFonts w:ascii="Verdana" w:hAnsi="Verdana" w:cs="Arial"/>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 xml:space="preserve">See, for example, </w:t>
      </w:r>
      <w:r w:rsidRPr="000E696E">
        <w:rPr>
          <w:rFonts w:ascii="Verdana" w:hAnsi="Verdana" w:cs="Verdana"/>
          <w:bCs/>
          <w:i/>
          <w:sz w:val="16"/>
          <w:szCs w:val="16"/>
          <w:lang w:val="en-US" w:eastAsia="es-MX"/>
        </w:rPr>
        <w:t xml:space="preserve">Case of the Dismissed Congressional Employees (Aguado Alfaro et al.) </w:t>
      </w:r>
      <w:r w:rsidRPr="000E696E">
        <w:rPr>
          <w:rFonts w:ascii="Verdana" w:hAnsi="Verdana" w:cs="Verdana"/>
          <w:bCs/>
          <w:i/>
          <w:iCs/>
          <w:sz w:val="16"/>
          <w:szCs w:val="16"/>
          <w:lang w:val="en-US" w:eastAsia="es-MX"/>
        </w:rPr>
        <w:t>v.</w:t>
      </w:r>
      <w:r w:rsidRPr="000E696E">
        <w:rPr>
          <w:rFonts w:ascii="Verdana" w:hAnsi="Verdana" w:cs="Verdana"/>
          <w:bCs/>
          <w:i/>
          <w:sz w:val="16"/>
          <w:szCs w:val="16"/>
          <w:lang w:val="en-US" w:eastAsia="es-MX"/>
        </w:rPr>
        <w:t xml:space="preserve"> Peru, </w:t>
      </w:r>
      <w:r w:rsidRPr="000E696E">
        <w:rPr>
          <w:rFonts w:ascii="Verdana" w:hAnsi="Verdana" w:cs="Verdana"/>
          <w:bCs/>
          <w:i/>
          <w:iCs/>
          <w:sz w:val="16"/>
          <w:szCs w:val="16"/>
          <w:lang w:val="en-US" w:eastAsia="es-MX"/>
        </w:rPr>
        <w:t>supra,</w:t>
      </w:r>
      <w:r w:rsidRPr="000E696E">
        <w:rPr>
          <w:rFonts w:ascii="Verdana" w:hAnsi="Verdana" w:cs="Verdana"/>
          <w:bCs/>
          <w:sz w:val="16"/>
          <w:szCs w:val="16"/>
          <w:lang w:val="en-US" w:eastAsia="es-MX"/>
        </w:rPr>
        <w:t xml:space="preserve"> para. 89.2. </w:t>
      </w:r>
      <w:r w:rsidRPr="000E696E">
        <w:rPr>
          <w:rStyle w:val="st1"/>
          <w:rFonts w:ascii="Verdana" w:hAnsi="Verdana" w:cs="Arial"/>
          <w:color w:val="000000"/>
          <w:sz w:val="16"/>
          <w:szCs w:val="16"/>
          <w:lang w:val="en-US"/>
        </w:rPr>
        <w:t>“</w:t>
      </w:r>
      <w:r w:rsidRPr="000E696E">
        <w:rPr>
          <w:rFonts w:ascii="Verdana" w:hAnsi="Verdana" w:cs="Verdana"/>
          <w:sz w:val="16"/>
          <w:szCs w:val="16"/>
          <w:lang w:val="en-US" w:eastAsia="es-MX"/>
        </w:rPr>
        <w:t xml:space="preserve">On April 5, 1992, President Fujimori </w:t>
      </w:r>
      <w:r w:rsidRPr="000E696E">
        <w:rPr>
          <w:rFonts w:ascii="Verdana" w:hAnsi="Verdana" w:cs="Arial"/>
          <w:sz w:val="16"/>
          <w:szCs w:val="16"/>
          <w:lang w:val="en-US"/>
        </w:rPr>
        <w:t xml:space="preserve">broadcast the “Manifesto to the Nation” in which he stated, </w:t>
      </w:r>
      <w:r w:rsidRPr="000E696E">
        <w:rPr>
          <w:rFonts w:ascii="Verdana" w:hAnsi="Verdana" w:cs="Arial"/>
          <w:i/>
          <w:iCs/>
          <w:sz w:val="16"/>
          <w:szCs w:val="16"/>
          <w:lang w:val="en-US"/>
        </w:rPr>
        <w:t>inter alia,</w:t>
      </w:r>
      <w:r w:rsidRPr="000E696E">
        <w:rPr>
          <w:rFonts w:ascii="Verdana" w:hAnsi="Verdana" w:cs="Arial"/>
          <w:sz w:val="16"/>
          <w:szCs w:val="16"/>
          <w:lang w:val="en-US"/>
        </w:rPr>
        <w:t xml:space="preserve"> that he considered that he had “the responsibility to assume an exceptional approach to try and accelerate the process of […] national reconstruction and ha[d] therefore, […] decide[d] […] to temporarily dissolve the Congress of the Republic[, …] to modernize the public administration, and to reorganize the Judiciary completely.” </w:t>
      </w:r>
      <w:r w:rsidRPr="000E696E">
        <w:rPr>
          <w:rFonts w:ascii="Verdana" w:hAnsi="Verdana" w:cs="Verdana"/>
          <w:sz w:val="16"/>
          <w:szCs w:val="16"/>
          <w:lang w:val="en-US" w:eastAsia="es-MX"/>
        </w:rPr>
        <w:t xml:space="preserve">  </w:t>
      </w:r>
    </w:p>
  </w:footnote>
  <w:footnote w:id="258">
    <w:p w14:paraId="69D05288" w14:textId="4A179DD9" w:rsidR="0068647C" w:rsidRPr="000E696E" w:rsidRDefault="0068647C" w:rsidP="00D61BD2">
      <w:pPr>
        <w:pStyle w:val="Textonotapie"/>
      </w:pPr>
      <w:r w:rsidRPr="000E696E">
        <w:rPr>
          <w:rStyle w:val="Refdenotaalpie"/>
          <w:sz w:val="16"/>
        </w:rPr>
        <w:footnoteRef/>
      </w:r>
      <w:r w:rsidRPr="000E696E">
        <w:t xml:space="preserve"> </w:t>
      </w:r>
      <w:r w:rsidRPr="000E696E">
        <w:tab/>
        <w:t>Article 46(2). The provisions of paragraphs 1.a and 1.b of this article shall not be applicable when:</w:t>
      </w:r>
    </w:p>
    <w:p w14:paraId="6219CC0B" w14:textId="1B69916C" w:rsidR="0068647C" w:rsidRPr="000E696E" w:rsidRDefault="0068647C" w:rsidP="00162D2F">
      <w:pPr>
        <w:tabs>
          <w:tab w:val="left" w:pos="360"/>
          <w:tab w:val="left" w:pos="480"/>
          <w:tab w:val="left" w:pos="1680"/>
          <w:tab w:val="left" w:pos="5400"/>
        </w:tabs>
        <w:suppressAutoHyphens/>
        <w:spacing w:after="60"/>
        <w:jc w:val="both"/>
        <w:rPr>
          <w:rFonts w:ascii="Verdana" w:hAnsi="Verdana"/>
          <w:spacing w:val="-3"/>
          <w:sz w:val="16"/>
          <w:szCs w:val="16"/>
          <w:lang w:val="en-US"/>
        </w:rPr>
      </w:pPr>
      <w:r w:rsidRPr="000E696E">
        <w:rPr>
          <w:rFonts w:ascii="Verdana" w:hAnsi="Verdana"/>
          <w:sz w:val="16"/>
          <w:szCs w:val="16"/>
          <w:lang w:val="en-US"/>
        </w:rPr>
        <w:t xml:space="preserve">a) </w:t>
      </w:r>
      <w:r w:rsidRPr="000E696E">
        <w:rPr>
          <w:rFonts w:ascii="Verdana" w:hAnsi="Verdana"/>
          <w:spacing w:val="-3"/>
          <w:sz w:val="16"/>
          <w:szCs w:val="16"/>
          <w:lang w:val="en-US"/>
        </w:rPr>
        <w:t>the domestic legislation of the state concerned does not afford due process of law for the protection of the right or rights that have allegedly been violated;</w:t>
      </w:r>
    </w:p>
    <w:p w14:paraId="12B5A73A" w14:textId="512534DB" w:rsidR="0068647C" w:rsidRPr="000E696E" w:rsidRDefault="0068647C" w:rsidP="00162D2F">
      <w:pPr>
        <w:tabs>
          <w:tab w:val="left" w:pos="360"/>
          <w:tab w:val="left" w:pos="480"/>
          <w:tab w:val="left" w:pos="1680"/>
          <w:tab w:val="left" w:pos="5400"/>
        </w:tabs>
        <w:suppressAutoHyphens/>
        <w:spacing w:after="60"/>
        <w:jc w:val="both"/>
        <w:rPr>
          <w:rFonts w:ascii="Verdana" w:hAnsi="Verdana"/>
          <w:spacing w:val="-3"/>
          <w:sz w:val="16"/>
          <w:szCs w:val="16"/>
          <w:lang w:val="en-US"/>
        </w:rPr>
      </w:pPr>
      <w:r w:rsidRPr="000E696E">
        <w:rPr>
          <w:rFonts w:ascii="Verdana" w:hAnsi="Verdana"/>
          <w:spacing w:val="-3"/>
          <w:sz w:val="16"/>
          <w:szCs w:val="16"/>
          <w:lang w:val="en-US"/>
        </w:rPr>
        <w:t>b) the party alleging violation of his rights has been denied access to the remedies under domestic law or has been prevented from exhausting them; or</w:t>
      </w:r>
    </w:p>
    <w:p w14:paraId="4A3C1398" w14:textId="0E25A7DF" w:rsidR="0068647C" w:rsidRPr="000E696E" w:rsidRDefault="0068647C" w:rsidP="00162D2F">
      <w:pPr>
        <w:tabs>
          <w:tab w:val="left" w:pos="480"/>
          <w:tab w:val="left" w:pos="1080"/>
          <w:tab w:val="left" w:pos="1680"/>
          <w:tab w:val="left" w:pos="5400"/>
        </w:tabs>
        <w:suppressAutoHyphens/>
        <w:spacing w:after="60"/>
        <w:ind w:left="1080" w:hanging="1080"/>
        <w:jc w:val="both"/>
        <w:rPr>
          <w:rFonts w:ascii="Verdana" w:hAnsi="Verdana"/>
          <w:spacing w:val="-3"/>
          <w:sz w:val="16"/>
          <w:szCs w:val="16"/>
          <w:lang w:val="en-US"/>
        </w:rPr>
      </w:pPr>
      <w:r w:rsidRPr="000E696E">
        <w:rPr>
          <w:rFonts w:ascii="Verdana" w:hAnsi="Verdana"/>
          <w:sz w:val="16"/>
          <w:szCs w:val="16"/>
          <w:lang w:val="en-US"/>
        </w:rPr>
        <w:t xml:space="preserve">c) </w:t>
      </w:r>
      <w:r w:rsidRPr="000E696E">
        <w:rPr>
          <w:rFonts w:ascii="Verdana" w:hAnsi="Verdana"/>
          <w:spacing w:val="-3"/>
          <w:sz w:val="16"/>
          <w:szCs w:val="16"/>
          <w:lang w:val="en-US"/>
        </w:rPr>
        <w:t>there has been unwarranted delay in rendering a final judgment under the aforementioned remedies.</w:t>
      </w:r>
    </w:p>
  </w:footnote>
  <w:footnote w:id="259">
    <w:p w14:paraId="7DC88BCD" w14:textId="23AE3890" w:rsidR="0068647C" w:rsidRPr="000E696E" w:rsidRDefault="0068647C" w:rsidP="00AA1EBF">
      <w:pPr>
        <w:widowControl w:val="0"/>
        <w:autoSpaceDE w:val="0"/>
        <w:autoSpaceDN w:val="0"/>
        <w:adjustRightInd w:val="0"/>
        <w:spacing w:after="60"/>
        <w:contextualSpacing/>
        <w:jc w:val="both"/>
        <w:rPr>
          <w:rFonts w:ascii="Verdana" w:hAnsi="Verdana" w:cs="Times"/>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cs="Verdana"/>
          <w:i/>
          <w:iCs/>
          <w:sz w:val="16"/>
          <w:szCs w:val="16"/>
          <w:lang w:val="en-US"/>
        </w:rPr>
        <w:t xml:space="preserve">Cf. Case of the Constitutional Court, supra </w:t>
      </w:r>
      <w:r w:rsidRPr="000E696E">
        <w:rPr>
          <w:rFonts w:ascii="Verdana" w:hAnsi="Verdana" w:cs="Verdana"/>
          <w:sz w:val="16"/>
          <w:szCs w:val="16"/>
          <w:lang w:val="en-US"/>
        </w:rPr>
        <w:t xml:space="preserve">para. 89, and </w:t>
      </w:r>
      <w:r w:rsidRPr="000E696E">
        <w:rPr>
          <w:rFonts w:ascii="Verdana" w:hAnsi="Verdana" w:cs="Verdana"/>
          <w:bCs/>
          <w:i/>
          <w:sz w:val="16"/>
          <w:szCs w:val="16"/>
          <w:lang w:val="en-US"/>
        </w:rPr>
        <w:t xml:space="preserve">Case of Favela Nova Brasília v. Brazil. supra, </w:t>
      </w:r>
      <w:r w:rsidRPr="000E696E">
        <w:rPr>
          <w:rFonts w:ascii="Verdana" w:hAnsi="Verdana" w:cs="Verdana"/>
          <w:bCs/>
          <w:sz w:val="16"/>
          <w:szCs w:val="16"/>
          <w:lang w:val="en-US"/>
        </w:rPr>
        <w:t>para. 233</w:t>
      </w:r>
      <w:r w:rsidRPr="000E696E">
        <w:rPr>
          <w:rFonts w:ascii="Verdana" w:hAnsi="Verdana" w:cs="Verdana"/>
          <w:sz w:val="16"/>
          <w:szCs w:val="16"/>
          <w:lang w:val="en-US"/>
        </w:rPr>
        <w:t xml:space="preserve">; and </w:t>
      </w:r>
      <w:r w:rsidRPr="000E696E">
        <w:rPr>
          <w:rFonts w:ascii="Verdana" w:hAnsi="Verdana" w:cs="Verdana"/>
          <w:i/>
          <w:iCs/>
          <w:sz w:val="16"/>
          <w:szCs w:val="16"/>
          <w:lang w:val="en-US"/>
        </w:rPr>
        <w:t xml:space="preserve">Judicial Guarantees in States of Emergency </w:t>
      </w:r>
      <w:r w:rsidRPr="000E696E">
        <w:rPr>
          <w:rFonts w:ascii="Verdana" w:hAnsi="Verdana" w:cs="Verdana"/>
          <w:i/>
          <w:sz w:val="16"/>
          <w:szCs w:val="16"/>
          <w:lang w:val="en-US"/>
        </w:rPr>
        <w:t xml:space="preserve">(Arts. 27.2, 25 and 8 American Convention on Human Rights), OC-9/87, </w:t>
      </w:r>
      <w:r w:rsidRPr="000E696E">
        <w:rPr>
          <w:rFonts w:ascii="Verdana" w:hAnsi="Verdana" w:cs="Verdana"/>
          <w:i/>
          <w:iCs/>
          <w:sz w:val="16"/>
          <w:szCs w:val="16"/>
          <w:lang w:val="en-US"/>
        </w:rPr>
        <w:t>supra</w:t>
      </w:r>
      <w:r w:rsidRPr="000E696E">
        <w:rPr>
          <w:rFonts w:ascii="Verdana" w:hAnsi="Verdana" w:cs="Verdana"/>
          <w:sz w:val="16"/>
          <w:szCs w:val="16"/>
          <w:lang w:val="en-US"/>
        </w:rPr>
        <w:t>, paras. 23 and 24.</w:t>
      </w:r>
    </w:p>
  </w:footnote>
  <w:footnote w:id="260">
    <w:p w14:paraId="47626979" w14:textId="1121D83C" w:rsidR="0068647C" w:rsidRPr="000E696E" w:rsidRDefault="0068647C" w:rsidP="00D61BD2">
      <w:pPr>
        <w:pStyle w:val="2Footnotes"/>
      </w:pPr>
      <w:r w:rsidRPr="000E696E">
        <w:rPr>
          <w:rStyle w:val="Refdenotaalpie"/>
          <w:rFonts w:eastAsia="Batang"/>
          <w:sz w:val="16"/>
          <w:szCs w:val="16"/>
        </w:rPr>
        <w:footnoteRef/>
      </w:r>
      <w:r w:rsidRPr="000E696E">
        <w:t xml:space="preserve"> </w:t>
      </w:r>
      <w:r w:rsidRPr="000E696E">
        <w:tab/>
        <w:t>Article 63(1) of the American Convention establishes: “If the Court finds that there has been a violation of a right or freedom protected by this Convention, the Court shall rule that the injured party be ensured the enjoyment of his right or freedom that was violated.  It shall also rule, if appropriate, that the consequences of the measure or situation that constituted the breach of such right or freedom be remedied and that fair compensation be paid to the injured party.”</w:t>
      </w:r>
    </w:p>
  </w:footnote>
  <w:footnote w:id="261">
    <w:p w14:paraId="16CBE290" w14:textId="1D9E4B92" w:rsidR="0068647C" w:rsidRPr="000E696E" w:rsidRDefault="0068647C" w:rsidP="00D61BD2">
      <w:pPr>
        <w:pStyle w:val="2Footnotes"/>
        <w:rPr>
          <w:lang w:bidi="en-US"/>
        </w:rPr>
      </w:pPr>
      <w:r w:rsidRPr="000E696E">
        <w:rPr>
          <w:rStyle w:val="Refdenotaalpie"/>
          <w:rFonts w:eastAsia="Batang"/>
          <w:sz w:val="16"/>
          <w:szCs w:val="16"/>
        </w:rPr>
        <w:footnoteRef/>
      </w:r>
      <w:r w:rsidRPr="004204B2">
        <w:rPr>
          <w:lang w:val="es-CR"/>
        </w:rPr>
        <w:tab/>
      </w:r>
      <w:r w:rsidRPr="004204B2">
        <w:rPr>
          <w:i/>
          <w:lang w:val="es-CR" w:bidi="en-US"/>
        </w:rPr>
        <w:t>Cf.</w:t>
      </w:r>
      <w:r w:rsidRPr="004204B2">
        <w:rPr>
          <w:lang w:val="es-CR" w:bidi="en-US"/>
        </w:rPr>
        <w:t xml:space="preserve"> </w:t>
      </w:r>
      <w:r w:rsidRPr="004204B2">
        <w:rPr>
          <w:i/>
          <w:iCs w:val="0"/>
          <w:lang w:val="es-CR" w:bidi="en-US"/>
        </w:rPr>
        <w:t xml:space="preserve">Case of Velásquez Rodríguez v. Honduras. </w:t>
      </w:r>
      <w:r w:rsidRPr="000E696E">
        <w:rPr>
          <w:i/>
          <w:iCs w:val="0"/>
          <w:lang w:bidi="en-US"/>
        </w:rPr>
        <w:t>Reparations and costs.</w:t>
      </w:r>
      <w:r w:rsidRPr="000E696E">
        <w:rPr>
          <w:lang w:bidi="en-US"/>
        </w:rPr>
        <w:t xml:space="preserve"> Judgment of July 21, 1989. </w:t>
      </w:r>
      <w:r w:rsidRPr="004204B2">
        <w:rPr>
          <w:lang w:val="es-CR" w:bidi="en-US"/>
        </w:rPr>
        <w:t xml:space="preserve">Series C No. 7, para. 25, and </w:t>
      </w:r>
      <w:r w:rsidRPr="004204B2">
        <w:rPr>
          <w:i/>
          <w:iCs w:val="0"/>
          <w:lang w:val="es-CR"/>
        </w:rPr>
        <w:t>Case of Acosta et al. v. Nicaragua, supra</w:t>
      </w:r>
      <w:r w:rsidRPr="004204B2">
        <w:rPr>
          <w:lang w:val="es-CR"/>
        </w:rPr>
        <w:t xml:space="preserve">, para. </w:t>
      </w:r>
      <w:r w:rsidRPr="000E696E">
        <w:t>209.</w:t>
      </w:r>
    </w:p>
  </w:footnote>
  <w:footnote w:id="262">
    <w:p w14:paraId="26BF7712" w14:textId="2C252291" w:rsidR="0068647C" w:rsidRPr="000E696E" w:rsidRDefault="0068647C" w:rsidP="00D61BD2">
      <w:pPr>
        <w:pStyle w:val="2Footnotes"/>
        <w:rPr>
          <w:rFonts w:cs="Verdana"/>
          <w:lang w:bidi="en-US"/>
        </w:rPr>
      </w:pPr>
      <w:r w:rsidRPr="000E696E">
        <w:rPr>
          <w:rStyle w:val="Refdenotaalpie"/>
          <w:rFonts w:eastAsia="Batang"/>
          <w:sz w:val="16"/>
          <w:szCs w:val="16"/>
        </w:rPr>
        <w:footnoteRef/>
      </w:r>
      <w:r w:rsidRPr="000E696E">
        <w:tab/>
      </w:r>
      <w:r w:rsidRPr="000E696E">
        <w:rPr>
          <w:i/>
        </w:rPr>
        <w:t>Cf.</w:t>
      </w:r>
      <w:r w:rsidRPr="000E696E">
        <w:t xml:space="preserve"> </w:t>
      </w:r>
      <w:r w:rsidRPr="000E696E">
        <w:rPr>
          <w:i/>
          <w:iCs w:val="0"/>
        </w:rPr>
        <w:t>Case of Ticona Estrada et al. v. Bolivia. Merits, reparations and costs.</w:t>
      </w:r>
      <w:r w:rsidRPr="000E696E">
        <w:t xml:space="preserve"> Judgment of November 27, 2008. Series C No. 191, para. 110, and</w:t>
      </w:r>
      <w:r w:rsidRPr="000E696E">
        <w:rPr>
          <w:i/>
          <w:iCs w:val="0"/>
        </w:rPr>
        <w:t xml:space="preserve"> Case of Acosta et al. v. Nicaragua, supra,</w:t>
      </w:r>
      <w:r w:rsidRPr="000E696E">
        <w:t xml:space="preserve"> para. 210.</w:t>
      </w:r>
    </w:p>
  </w:footnote>
  <w:footnote w:id="263">
    <w:p w14:paraId="1A47AF54" w14:textId="079CCA24" w:rsidR="0068647C" w:rsidRPr="004204B2" w:rsidRDefault="0068647C" w:rsidP="00D61BD2">
      <w:pPr>
        <w:pStyle w:val="2Footnotes"/>
        <w:rPr>
          <w:bCs/>
          <w:lang w:val="es-CR" w:bidi="en-US"/>
        </w:rPr>
      </w:pPr>
      <w:r w:rsidRPr="000E696E">
        <w:rPr>
          <w:rStyle w:val="Refdenotaalpie"/>
          <w:rFonts w:eastAsia="MS Mincho"/>
          <w:sz w:val="16"/>
          <w:szCs w:val="16"/>
        </w:rPr>
        <w:footnoteRef/>
      </w:r>
      <w:r w:rsidRPr="000E696E">
        <w:t xml:space="preserve"> </w:t>
      </w:r>
      <w:r w:rsidRPr="000E696E">
        <w:tab/>
      </w:r>
      <w:r w:rsidRPr="000E696E">
        <w:rPr>
          <w:i/>
        </w:rPr>
        <w:t>Cf.</w:t>
      </w:r>
      <w:r w:rsidRPr="000E696E">
        <w:t xml:space="preserve"> </w:t>
      </w:r>
      <w:r w:rsidRPr="000E696E">
        <w:rPr>
          <w:i/>
          <w:iCs w:val="0"/>
          <w:lang w:bidi="en-US"/>
        </w:rPr>
        <w:t xml:space="preserve">Case of Velásquez Rodríguez v. Honduras. </w:t>
      </w:r>
      <w:r w:rsidRPr="004204B2">
        <w:rPr>
          <w:i/>
          <w:iCs w:val="0"/>
          <w:lang w:val="es-CR"/>
        </w:rPr>
        <w:t xml:space="preserve">Reparations, </w:t>
      </w:r>
      <w:r w:rsidRPr="004204B2">
        <w:rPr>
          <w:i/>
          <w:iCs w:val="0"/>
          <w:lang w:val="es-CR" w:bidi="en-US"/>
        </w:rPr>
        <w:t xml:space="preserve">supra, </w:t>
      </w:r>
      <w:r w:rsidRPr="004204B2">
        <w:rPr>
          <w:lang w:val="es-CR" w:bidi="en-US"/>
        </w:rPr>
        <w:t>para. 26, and</w:t>
      </w:r>
      <w:r w:rsidRPr="004204B2">
        <w:rPr>
          <w:i/>
          <w:iCs w:val="0"/>
          <w:lang w:val="es-CR" w:bidi="en-US"/>
        </w:rPr>
        <w:t xml:space="preserve"> </w:t>
      </w:r>
      <w:r w:rsidRPr="004204B2">
        <w:rPr>
          <w:i/>
          <w:iCs w:val="0"/>
          <w:lang w:val="es-CR"/>
        </w:rPr>
        <w:t>Case of Acosta et al. v. Nicaragua, supra</w:t>
      </w:r>
      <w:r w:rsidRPr="004204B2">
        <w:rPr>
          <w:lang w:val="es-CR"/>
        </w:rPr>
        <w:t>, para. 210.</w:t>
      </w:r>
    </w:p>
  </w:footnote>
  <w:footnote w:id="264">
    <w:p w14:paraId="5676EE21" w14:textId="118FCA9D" w:rsidR="0068647C" w:rsidRPr="000E696E" w:rsidRDefault="0068647C" w:rsidP="00D61BD2">
      <w:pPr>
        <w:pStyle w:val="2Footnotes"/>
        <w:rPr>
          <w:lang w:bidi="en-US"/>
        </w:rPr>
      </w:pPr>
      <w:r w:rsidRPr="000E696E">
        <w:rPr>
          <w:rStyle w:val="Refdenotaalpie"/>
          <w:sz w:val="16"/>
          <w:szCs w:val="16"/>
        </w:rPr>
        <w:footnoteRef/>
      </w:r>
      <w:r w:rsidRPr="004204B2">
        <w:rPr>
          <w:lang w:val="es-CR"/>
        </w:rPr>
        <w:t xml:space="preserve"> </w:t>
      </w:r>
      <w:r w:rsidRPr="004204B2">
        <w:rPr>
          <w:lang w:val="es-CR"/>
        </w:rPr>
        <w:tab/>
      </w:r>
      <w:r w:rsidRPr="004204B2">
        <w:rPr>
          <w:i/>
          <w:lang w:val="es-CR"/>
        </w:rPr>
        <w:t>Cf.</w:t>
      </w:r>
      <w:r w:rsidRPr="004204B2">
        <w:rPr>
          <w:lang w:val="es-CR"/>
        </w:rPr>
        <w:t xml:space="preserve"> </w:t>
      </w:r>
      <w:r w:rsidRPr="004204B2">
        <w:rPr>
          <w:i/>
          <w:iCs w:val="0"/>
          <w:lang w:val="es-CR"/>
        </w:rPr>
        <w:t xml:space="preserve">Case of Velásquez Rodríguez. Reparations, supra, </w:t>
      </w:r>
      <w:r w:rsidRPr="004204B2">
        <w:rPr>
          <w:lang w:val="es-CR" w:bidi="en-US"/>
        </w:rPr>
        <w:t>para. 189, and</w:t>
      </w:r>
      <w:r w:rsidRPr="004204B2">
        <w:rPr>
          <w:i/>
          <w:iCs w:val="0"/>
          <w:lang w:val="es-CR" w:bidi="en-US"/>
        </w:rPr>
        <w:t xml:space="preserve"> </w:t>
      </w:r>
      <w:r w:rsidRPr="004204B2">
        <w:rPr>
          <w:i/>
          <w:iCs w:val="0"/>
          <w:lang w:val="es-CR"/>
        </w:rPr>
        <w:t>Case of Acosta et al. v. Nicaragua, supra,</w:t>
      </w:r>
      <w:r w:rsidRPr="004204B2">
        <w:rPr>
          <w:lang w:val="es-CR"/>
        </w:rPr>
        <w:t xml:space="preserve"> para. </w:t>
      </w:r>
      <w:r w:rsidRPr="000E696E">
        <w:t>211.</w:t>
      </w:r>
    </w:p>
  </w:footnote>
  <w:footnote w:id="265">
    <w:p w14:paraId="44EEE0D7" w14:textId="02852164"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iCs/>
        </w:rPr>
        <w:t>Cf.</w:t>
      </w:r>
      <w:r w:rsidRPr="000E696E">
        <w:t xml:space="preserve"> </w:t>
      </w:r>
      <w:r w:rsidRPr="000E696E">
        <w:rPr>
          <w:rStyle w:val="Textoennegrita"/>
          <w:b w:val="0"/>
          <w:i/>
          <w:color w:val="000000"/>
          <w:shd w:val="clear" w:color="auto" w:fill="FFFFFF"/>
        </w:rPr>
        <w:t xml:space="preserve">Case of Chitay Nech et al. v. Guatemala, supra, </w:t>
      </w:r>
      <w:r w:rsidRPr="000E696E">
        <w:rPr>
          <w:rStyle w:val="Textoennegrita"/>
          <w:b w:val="0"/>
          <w:color w:val="000000"/>
          <w:shd w:val="clear" w:color="auto" w:fill="FFFFFF"/>
        </w:rPr>
        <w:t xml:space="preserve">para. 244, and </w:t>
      </w:r>
      <w:r w:rsidRPr="000E696E">
        <w:rPr>
          <w:i/>
        </w:rPr>
        <w:t>Case of Zegarra Marín v. Peru, supra,</w:t>
      </w:r>
      <w:r w:rsidRPr="000E696E">
        <w:t xml:space="preserve"> para. 205.</w:t>
      </w:r>
    </w:p>
  </w:footnote>
  <w:footnote w:id="266">
    <w:p w14:paraId="6D75B009" w14:textId="57024458" w:rsidR="0068647C" w:rsidRPr="000E696E" w:rsidRDefault="0068647C" w:rsidP="00D61BD2">
      <w:pPr>
        <w:pStyle w:val="Textonotapie"/>
      </w:pPr>
      <w:r w:rsidRPr="000E696E">
        <w:rPr>
          <w:rStyle w:val="Refdenotaalpie"/>
          <w:color w:val="000000"/>
          <w:sz w:val="16"/>
        </w:rPr>
        <w:footnoteRef/>
      </w:r>
      <w:r w:rsidRPr="000E696E">
        <w:tab/>
        <w:t xml:space="preserve">The Court has established that pecuniary damage supposes “the loss or detriment to the victims’ income, the expenses incurred as a result of the facts, and the consequences of a pecuniary nature that have a causal nexus to the facts of the case.” </w:t>
      </w:r>
      <w:r w:rsidRPr="000E696E">
        <w:rPr>
          <w:i/>
        </w:rPr>
        <w:t>Case of Bámaca Velásquez v. Guatemala.</w:t>
      </w:r>
      <w:r w:rsidRPr="000E696E">
        <w:t xml:space="preserve"> </w:t>
      </w:r>
      <w:r w:rsidRPr="000E696E">
        <w:rPr>
          <w:i/>
        </w:rPr>
        <w:t>Reparations and costs.</w:t>
      </w:r>
      <w:r w:rsidRPr="000E696E">
        <w:t xml:space="preserve"> Judgment of February 22, 2002. </w:t>
      </w:r>
      <w:r w:rsidRPr="004204B2">
        <w:rPr>
          <w:lang w:val="es-CR"/>
        </w:rPr>
        <w:t xml:space="preserve">Series C No. 91, para. 43, and </w:t>
      </w:r>
      <w:r w:rsidRPr="004204B2">
        <w:rPr>
          <w:i/>
          <w:lang w:val="es-CR"/>
        </w:rPr>
        <w:t>Case of Acosta et al. v. Nicaragua,</w:t>
      </w:r>
      <w:r w:rsidRPr="004204B2">
        <w:rPr>
          <w:lang w:val="es-CR"/>
        </w:rPr>
        <w:t xml:space="preserve"> </w:t>
      </w:r>
      <w:r w:rsidRPr="004204B2">
        <w:rPr>
          <w:i/>
          <w:lang w:val="es-CR"/>
        </w:rPr>
        <w:t>supra</w:t>
      </w:r>
      <w:r w:rsidRPr="004204B2">
        <w:rPr>
          <w:lang w:val="es-CR"/>
        </w:rPr>
        <w:t xml:space="preserve">, para. </w:t>
      </w:r>
      <w:r w:rsidRPr="000E696E">
        <w:t>233.</w:t>
      </w:r>
    </w:p>
  </w:footnote>
  <w:footnote w:id="267">
    <w:p w14:paraId="56EF3970" w14:textId="07A9D2CF" w:rsidR="0068647C" w:rsidRPr="000E696E" w:rsidRDefault="0068647C" w:rsidP="00D61BD2">
      <w:pPr>
        <w:pStyle w:val="Textonotapie"/>
      </w:pPr>
      <w:r w:rsidRPr="000E696E">
        <w:rPr>
          <w:rStyle w:val="Refdenotaalpie"/>
          <w:color w:val="000000"/>
          <w:sz w:val="16"/>
        </w:rPr>
        <w:footnoteRef/>
      </w:r>
      <w:r w:rsidRPr="000E696E">
        <w:tab/>
        <w:t xml:space="preserve">The Court has established that non-pecuniary damage “may include both the suffering and affliction caused to the direct victim and his family, the impairment of values that are of great significance for the individual, and also any changes, of a non-pecuniary nature, in the living conditions of the victim or his family.” </w:t>
      </w:r>
      <w:r w:rsidRPr="000E696E">
        <w:rPr>
          <w:i/>
        </w:rPr>
        <w:t>Case of the “Street Children” (Villagrán Morales et al.) v. Guatemala</w:t>
      </w:r>
      <w:r w:rsidRPr="000E696E">
        <w:t xml:space="preserve">. </w:t>
      </w:r>
      <w:r w:rsidRPr="000E696E">
        <w:rPr>
          <w:i/>
        </w:rPr>
        <w:t>Reparations and costs</w:t>
      </w:r>
      <w:r w:rsidRPr="000E696E">
        <w:t xml:space="preserve">. Judgment of May 26, 2001. Series C No. 77, para. </w:t>
      </w:r>
      <w:r w:rsidRPr="004204B2">
        <w:rPr>
          <w:lang w:val="es-CR"/>
        </w:rPr>
        <w:t xml:space="preserve">84, and </w:t>
      </w:r>
      <w:r w:rsidRPr="004204B2">
        <w:rPr>
          <w:bCs/>
          <w:i/>
          <w:iCs/>
          <w:lang w:val="es-CR"/>
        </w:rPr>
        <w:t>Case of Vásquez Durand et al. v. Ecuador, supra</w:t>
      </w:r>
      <w:r w:rsidRPr="004204B2">
        <w:rPr>
          <w:bCs/>
          <w:iCs/>
          <w:lang w:val="es-CR"/>
        </w:rPr>
        <w:t xml:space="preserve">, para. </w:t>
      </w:r>
      <w:r w:rsidRPr="000E696E">
        <w:rPr>
          <w:bCs/>
          <w:iCs/>
        </w:rPr>
        <w:t>332.</w:t>
      </w:r>
    </w:p>
  </w:footnote>
  <w:footnote w:id="268">
    <w:p w14:paraId="25A6E61A" w14:textId="741800FF"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rPr>
        <w:t>Cf.</w:t>
      </w:r>
      <w:r w:rsidRPr="000E696E">
        <w:t xml:space="preserve"> Case of Bámaca Velásquez v. Guatemala. Reparations, supra, para. 43, and Case of Vásquez Durand v. Ecuador, supra, para. 227.</w:t>
      </w:r>
    </w:p>
  </w:footnote>
  <w:footnote w:id="269">
    <w:p w14:paraId="52D99776" w14:textId="75CBE60A"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rPr>
        <w:t>Cf.</w:t>
      </w:r>
      <w:r w:rsidRPr="000E696E">
        <w:t xml:space="preserve"> </w:t>
      </w:r>
      <w:r w:rsidRPr="000E696E">
        <w:rPr>
          <w:iCs/>
        </w:rPr>
        <w:t>Fifteenth Judge</w:t>
      </w:r>
      <w:r w:rsidRPr="000E696E">
        <w:t xml:space="preserve"> of the Labor Court of Lima. Judgment 25-91 of March 5, 1991. Annexes to the petitioners’ communication of July 23, 1998 (evidence file, annex 8 to the Merits Report, f. 29); CEPER-PIRELLI. Pay slip of Alfredo Lagos del Campo. Week of June 26 to July 2, 1989. Annexes to the petitioners’ communication of July 23, 1998. Annex 2 to the Merits Report 27/15 (19,258.53 Intis = approximately US$6.41).</w:t>
      </w:r>
    </w:p>
  </w:footnote>
  <w:footnote w:id="270">
    <w:p w14:paraId="327B5461" w14:textId="34451288" w:rsidR="0068647C" w:rsidRPr="000E696E" w:rsidRDefault="0068647C" w:rsidP="00D61BD2">
      <w:pPr>
        <w:pStyle w:val="Textonotapie"/>
        <w:rPr>
          <w:bCs/>
        </w:rPr>
      </w:pPr>
      <w:r w:rsidRPr="000E696E">
        <w:rPr>
          <w:rStyle w:val="Refdenotaalpie"/>
          <w:sz w:val="16"/>
        </w:rPr>
        <w:footnoteRef/>
      </w:r>
      <w:r w:rsidRPr="000E696E">
        <w:rPr>
          <w:rStyle w:val="Refdenotaalpie"/>
          <w:sz w:val="16"/>
        </w:rPr>
        <w:t xml:space="preserve"> </w:t>
      </w:r>
      <w:r w:rsidRPr="000E696E">
        <w:tab/>
      </w:r>
      <w:r w:rsidRPr="000E696E">
        <w:rPr>
          <w:i/>
        </w:rPr>
        <w:t>Cf.</w:t>
      </w:r>
      <w:r w:rsidRPr="000E696E">
        <w:t xml:space="preserve"> </w:t>
      </w:r>
      <w:r w:rsidRPr="000E696E">
        <w:rPr>
          <w:i/>
          <w:iCs/>
        </w:rPr>
        <w:t xml:space="preserve">Case of the “Street Children” (Villagrán Morales et al.) v. Guatemala, Reparations, supra, </w:t>
      </w:r>
      <w:r w:rsidRPr="000E696E">
        <w:t xml:space="preserve">para. </w:t>
      </w:r>
      <w:r w:rsidRPr="004204B2">
        <w:rPr>
          <w:lang w:val="es-CR"/>
        </w:rPr>
        <w:t xml:space="preserve">84, and </w:t>
      </w:r>
      <w:r w:rsidRPr="004204B2">
        <w:rPr>
          <w:bCs/>
          <w:i/>
          <w:iCs/>
          <w:lang w:val="es-CR"/>
        </w:rPr>
        <w:t>Case of Acosta et al. v. Nicaragua, supra</w:t>
      </w:r>
      <w:r w:rsidRPr="004204B2">
        <w:rPr>
          <w:bCs/>
          <w:lang w:val="es-CR"/>
        </w:rPr>
        <w:t xml:space="preserve">, para. </w:t>
      </w:r>
      <w:r w:rsidRPr="000E696E">
        <w:rPr>
          <w:bCs/>
        </w:rPr>
        <w:t>236.</w:t>
      </w:r>
    </w:p>
  </w:footnote>
  <w:footnote w:id="271">
    <w:p w14:paraId="4060ED26" w14:textId="269815CD" w:rsidR="0068647C" w:rsidRPr="000E696E" w:rsidRDefault="0068647C" w:rsidP="00D61BD2">
      <w:pPr>
        <w:pStyle w:val="Textonotapie"/>
      </w:pPr>
      <w:r w:rsidRPr="000E696E">
        <w:rPr>
          <w:rStyle w:val="Refdenotaalpie"/>
          <w:sz w:val="16"/>
        </w:rPr>
        <w:footnoteRef/>
      </w:r>
      <w:r w:rsidRPr="000E696E">
        <w:t xml:space="preserve"> </w:t>
      </w:r>
      <w:r w:rsidRPr="000E696E">
        <w:tab/>
        <w:t>Expert opinion of Carlos Jibaja Zárate (merits file, f. 463).</w:t>
      </w:r>
    </w:p>
  </w:footnote>
  <w:footnote w:id="272">
    <w:p w14:paraId="68355CFB" w14:textId="440E652D" w:rsidR="0068647C" w:rsidRPr="000E696E" w:rsidRDefault="0068647C" w:rsidP="00D61BD2">
      <w:pPr>
        <w:pStyle w:val="Textonotapie"/>
        <w:rPr>
          <w:i/>
          <w:strike/>
        </w:rPr>
      </w:pPr>
      <w:r w:rsidRPr="000E696E">
        <w:rPr>
          <w:rStyle w:val="Refdenotaalpie"/>
          <w:sz w:val="16"/>
        </w:rPr>
        <w:footnoteRef/>
      </w:r>
      <w:r w:rsidRPr="000E696E">
        <w:t xml:space="preserve"> </w:t>
      </w:r>
      <w:r w:rsidRPr="000E696E">
        <w:tab/>
        <w:t>For future expenses they merely submitted the voucher for the air fare of Christian Huaylinos Camacuari for US$450.11 (merits file, ff. 444.3 to 444.5).</w:t>
      </w:r>
    </w:p>
  </w:footnote>
  <w:footnote w:id="273">
    <w:p w14:paraId="61769176" w14:textId="57BE1E1B" w:rsidR="0068647C" w:rsidRPr="000E696E" w:rsidRDefault="0068647C" w:rsidP="00D61BD2">
      <w:pPr>
        <w:pStyle w:val="Textonotapie"/>
        <w:rPr>
          <w:bCs/>
        </w:rPr>
      </w:pPr>
      <w:r w:rsidRPr="000E696E">
        <w:rPr>
          <w:rStyle w:val="Refdenotaalpie"/>
          <w:sz w:val="16"/>
        </w:rPr>
        <w:footnoteRef/>
      </w:r>
      <w:r w:rsidRPr="004204B2">
        <w:rPr>
          <w:lang w:val="es-CR"/>
        </w:rPr>
        <w:t xml:space="preserve"> </w:t>
      </w:r>
      <w:r w:rsidRPr="004204B2">
        <w:rPr>
          <w:lang w:val="es-CR"/>
        </w:rPr>
        <w:tab/>
      </w:r>
      <w:r w:rsidRPr="004204B2">
        <w:rPr>
          <w:i/>
          <w:lang w:val="es-CR"/>
        </w:rPr>
        <w:t>Cf.</w:t>
      </w:r>
      <w:r w:rsidRPr="004204B2">
        <w:rPr>
          <w:lang w:val="es-CR"/>
        </w:rPr>
        <w:t xml:space="preserve"> </w:t>
      </w:r>
      <w:r w:rsidRPr="004204B2">
        <w:rPr>
          <w:i/>
          <w:iCs/>
          <w:lang w:val="es-CR"/>
        </w:rPr>
        <w:t xml:space="preserve">Case of Velásquez Rodríguez v. Honduras. </w:t>
      </w:r>
      <w:r w:rsidRPr="004204B2">
        <w:rPr>
          <w:i/>
          <w:iCs/>
          <w:lang w:val="es-CR"/>
        </w:rPr>
        <w:t xml:space="preserve">Reparations, supra, </w:t>
      </w:r>
      <w:r w:rsidRPr="004204B2">
        <w:rPr>
          <w:lang w:val="es-CR"/>
        </w:rPr>
        <w:t>para. 42, and</w:t>
      </w:r>
      <w:r w:rsidRPr="004204B2">
        <w:rPr>
          <w:i/>
          <w:iCs/>
          <w:lang w:val="es-CR"/>
        </w:rPr>
        <w:t xml:space="preserve"> </w:t>
      </w:r>
      <w:r w:rsidRPr="004204B2">
        <w:rPr>
          <w:bCs/>
          <w:i/>
          <w:iCs/>
          <w:lang w:val="es-CR"/>
        </w:rPr>
        <w:t>Case of Zegarra Marín v. Peru, supra</w:t>
      </w:r>
      <w:r w:rsidRPr="004204B2">
        <w:rPr>
          <w:bCs/>
          <w:lang w:val="es-CR"/>
        </w:rPr>
        <w:t xml:space="preserve">, para. </w:t>
      </w:r>
      <w:r w:rsidRPr="000E696E">
        <w:rPr>
          <w:bCs/>
        </w:rPr>
        <w:t>229.</w:t>
      </w:r>
    </w:p>
  </w:footnote>
  <w:footnote w:id="274">
    <w:p w14:paraId="1CB740B9" w14:textId="16983B20" w:rsidR="0068647C" w:rsidRPr="000E696E" w:rsidRDefault="0068647C" w:rsidP="00D61BD2">
      <w:pPr>
        <w:pStyle w:val="Textonotapie"/>
        <w:rPr>
          <w:bCs/>
        </w:rPr>
      </w:pPr>
      <w:r w:rsidRPr="000E696E">
        <w:rPr>
          <w:rStyle w:val="Refdenotaalpie"/>
          <w:sz w:val="16"/>
        </w:rPr>
        <w:footnoteRef/>
      </w:r>
      <w:r w:rsidRPr="000E696E">
        <w:t xml:space="preserve"> </w:t>
      </w:r>
      <w:r w:rsidRPr="000E696E">
        <w:tab/>
      </w:r>
      <w:r w:rsidRPr="000E696E">
        <w:rPr>
          <w:i/>
        </w:rPr>
        <w:t>Cf.</w:t>
      </w:r>
      <w:r w:rsidRPr="000E696E">
        <w:t xml:space="preserve"> </w:t>
      </w:r>
      <w:r w:rsidRPr="000E696E">
        <w:rPr>
          <w:i/>
          <w:iCs/>
        </w:rPr>
        <w:t xml:space="preserve">Case of Garrido and Baigorria v. Argentina. Reparations and costs. </w:t>
      </w:r>
      <w:r w:rsidRPr="000E696E">
        <w:t>Judgment of August 27, 1998. Series C No. 39, para. 82,</w:t>
      </w:r>
      <w:r w:rsidRPr="000E696E">
        <w:rPr>
          <w:i/>
          <w:iCs/>
        </w:rPr>
        <w:t xml:space="preserve"> </w:t>
      </w:r>
      <w:r w:rsidRPr="000E696E">
        <w:t>and</w:t>
      </w:r>
      <w:r w:rsidRPr="000E696E">
        <w:rPr>
          <w:i/>
          <w:iCs/>
        </w:rPr>
        <w:t xml:space="preserve"> </w:t>
      </w:r>
      <w:r w:rsidRPr="000E696E">
        <w:rPr>
          <w:bCs/>
          <w:i/>
          <w:iCs/>
        </w:rPr>
        <w:t>Case of Zegarra Marín v. Peru, supra</w:t>
      </w:r>
      <w:r w:rsidRPr="000E696E">
        <w:rPr>
          <w:bCs/>
        </w:rPr>
        <w:t>, para. 229</w:t>
      </w:r>
      <w:r w:rsidRPr="000E696E">
        <w:rPr>
          <w:bCs/>
          <w:color w:val="000000"/>
          <w:shd w:val="clear" w:color="auto" w:fill="FFFFFF"/>
        </w:rPr>
        <w:t>.</w:t>
      </w:r>
    </w:p>
  </w:footnote>
  <w:footnote w:id="275">
    <w:p w14:paraId="3D3ABF6A" w14:textId="2E66D81C" w:rsidR="0068647C" w:rsidRPr="000E696E" w:rsidRDefault="0068647C" w:rsidP="00D61BD2">
      <w:pPr>
        <w:pStyle w:val="Textonotapie"/>
        <w:rPr>
          <w:bCs/>
        </w:rPr>
      </w:pPr>
      <w:r w:rsidRPr="000E696E">
        <w:rPr>
          <w:rStyle w:val="Refdenotaalpie"/>
          <w:sz w:val="16"/>
        </w:rPr>
        <w:footnoteRef/>
      </w:r>
      <w:r w:rsidRPr="000E696E">
        <w:t xml:space="preserve"> </w:t>
      </w:r>
      <w:r w:rsidRPr="000E696E">
        <w:tab/>
      </w:r>
      <w:r w:rsidRPr="000E696E">
        <w:rPr>
          <w:i/>
        </w:rPr>
        <w:t>Cf.</w:t>
      </w:r>
      <w:r w:rsidRPr="000E696E">
        <w:t xml:space="preserve"> </w:t>
      </w:r>
      <w:r w:rsidRPr="000E696E">
        <w:rPr>
          <w:i/>
          <w:iCs/>
        </w:rPr>
        <w:t>Case of Garrido and Baigorria v. Argentina. Reparations, supra</w:t>
      </w:r>
      <w:r w:rsidRPr="000E696E">
        <w:t>, para.</w:t>
      </w:r>
      <w:r w:rsidRPr="000E696E">
        <w:rPr>
          <w:spacing w:val="-1"/>
        </w:rPr>
        <w:t>7</w:t>
      </w:r>
      <w:r w:rsidRPr="000E696E">
        <w:rPr>
          <w:spacing w:val="1"/>
        </w:rPr>
        <w:t>9, and</w:t>
      </w:r>
      <w:r w:rsidRPr="000E696E">
        <w:t xml:space="preserve"> </w:t>
      </w:r>
      <w:r w:rsidRPr="000E696E">
        <w:rPr>
          <w:bCs/>
          <w:i/>
          <w:iCs/>
        </w:rPr>
        <w:t xml:space="preserve">Case of Zegarra Marín v. Peru, supra, </w:t>
      </w:r>
      <w:r w:rsidRPr="000E696E">
        <w:rPr>
          <w:bCs/>
        </w:rPr>
        <w:t>para. 230.</w:t>
      </w:r>
    </w:p>
  </w:footnote>
  <w:footnote w:id="276">
    <w:p w14:paraId="11CE26EB" w14:textId="7CED90DF" w:rsidR="0068647C" w:rsidRPr="000E696E" w:rsidRDefault="0068647C" w:rsidP="00D61BD2">
      <w:pPr>
        <w:pStyle w:val="Textonotapie"/>
        <w:rPr>
          <w:bCs/>
        </w:rPr>
      </w:pPr>
      <w:r w:rsidRPr="000E696E">
        <w:rPr>
          <w:rStyle w:val="Refdenotaalpie"/>
          <w:sz w:val="16"/>
        </w:rPr>
        <w:footnoteRef/>
      </w:r>
      <w:r w:rsidRPr="000E696E">
        <w:t xml:space="preserve"> </w:t>
      </w:r>
      <w:r w:rsidRPr="000E696E">
        <w:tab/>
      </w:r>
      <w:r w:rsidRPr="000E696E">
        <w:rPr>
          <w:i/>
        </w:rPr>
        <w:t>Cf.</w:t>
      </w:r>
      <w:r w:rsidRPr="000E696E">
        <w:rPr>
          <w:i/>
          <w:iCs/>
          <w:spacing w:val="15"/>
        </w:rPr>
        <w:t xml:space="preserve"> </w:t>
      </w:r>
      <w:r w:rsidRPr="000E696E">
        <w:rPr>
          <w:i/>
          <w:iCs/>
        </w:rPr>
        <w:t>Case of</w:t>
      </w:r>
      <w:r w:rsidRPr="000E696E">
        <w:rPr>
          <w:i/>
          <w:iCs/>
          <w:spacing w:val="16"/>
        </w:rPr>
        <w:t xml:space="preserve"> </w:t>
      </w:r>
      <w:r w:rsidRPr="000E696E">
        <w:rPr>
          <w:i/>
          <w:iCs/>
        </w:rPr>
        <w:t>C</w:t>
      </w:r>
      <w:r w:rsidRPr="000E696E">
        <w:rPr>
          <w:i/>
          <w:iCs/>
          <w:spacing w:val="-1"/>
        </w:rPr>
        <w:t>h</w:t>
      </w:r>
      <w:r w:rsidRPr="000E696E">
        <w:rPr>
          <w:i/>
          <w:iCs/>
          <w:spacing w:val="-3"/>
        </w:rPr>
        <w:t>a</w:t>
      </w:r>
      <w:r w:rsidRPr="000E696E">
        <w:rPr>
          <w:i/>
          <w:iCs/>
        </w:rPr>
        <w:t>p</w:t>
      </w:r>
      <w:r w:rsidRPr="000E696E">
        <w:rPr>
          <w:i/>
          <w:iCs/>
          <w:spacing w:val="-1"/>
        </w:rPr>
        <w:t>ar</w:t>
      </w:r>
      <w:r w:rsidRPr="000E696E">
        <w:rPr>
          <w:i/>
          <w:iCs/>
        </w:rPr>
        <w:t>ro</w:t>
      </w:r>
      <w:r w:rsidRPr="000E696E">
        <w:rPr>
          <w:i/>
          <w:iCs/>
          <w:spacing w:val="14"/>
        </w:rPr>
        <w:t xml:space="preserve"> </w:t>
      </w:r>
      <w:r w:rsidRPr="000E696E">
        <w:rPr>
          <w:i/>
          <w:iCs/>
        </w:rPr>
        <w:t>Á</w:t>
      </w:r>
      <w:r w:rsidRPr="000E696E">
        <w:rPr>
          <w:i/>
          <w:iCs/>
          <w:spacing w:val="-1"/>
        </w:rPr>
        <w:t>l</w:t>
      </w:r>
      <w:r w:rsidRPr="000E696E">
        <w:rPr>
          <w:i/>
          <w:iCs/>
        </w:rPr>
        <w:t>v</w:t>
      </w:r>
      <w:r w:rsidRPr="000E696E">
        <w:rPr>
          <w:i/>
          <w:iCs/>
          <w:spacing w:val="-3"/>
        </w:rPr>
        <w:t>a</w:t>
      </w:r>
      <w:r w:rsidRPr="000E696E">
        <w:rPr>
          <w:i/>
          <w:iCs/>
        </w:rPr>
        <w:t>rez</w:t>
      </w:r>
      <w:r w:rsidRPr="000E696E">
        <w:rPr>
          <w:i/>
          <w:iCs/>
          <w:spacing w:val="13"/>
        </w:rPr>
        <w:t xml:space="preserve"> and </w:t>
      </w:r>
      <w:r w:rsidRPr="000E696E">
        <w:rPr>
          <w:i/>
          <w:iCs/>
          <w:spacing w:val="-1"/>
        </w:rPr>
        <w:t>La</w:t>
      </w:r>
      <w:r w:rsidRPr="000E696E">
        <w:rPr>
          <w:i/>
          <w:iCs/>
        </w:rPr>
        <w:t>po</w:t>
      </w:r>
      <w:r w:rsidRPr="000E696E">
        <w:rPr>
          <w:i/>
          <w:iCs/>
          <w:spacing w:val="16"/>
        </w:rPr>
        <w:t xml:space="preserve"> </w:t>
      </w:r>
      <w:r w:rsidRPr="000E696E">
        <w:rPr>
          <w:i/>
          <w:iCs/>
        </w:rPr>
        <w:t>Í</w:t>
      </w:r>
      <w:r w:rsidRPr="000E696E">
        <w:rPr>
          <w:i/>
          <w:iCs/>
          <w:spacing w:val="-1"/>
        </w:rPr>
        <w:t>ñi</w:t>
      </w:r>
      <w:r w:rsidRPr="000E696E">
        <w:rPr>
          <w:i/>
          <w:iCs/>
        </w:rPr>
        <w:t>g</w:t>
      </w:r>
      <w:r w:rsidRPr="000E696E">
        <w:rPr>
          <w:i/>
          <w:iCs/>
          <w:spacing w:val="-1"/>
        </w:rPr>
        <w:t>u</w:t>
      </w:r>
      <w:r w:rsidRPr="000E696E">
        <w:rPr>
          <w:i/>
          <w:iCs/>
        </w:rPr>
        <w:t>ez</w:t>
      </w:r>
      <w:r w:rsidRPr="000E696E">
        <w:rPr>
          <w:i/>
          <w:iCs/>
          <w:spacing w:val="13"/>
        </w:rPr>
        <w:t xml:space="preserve"> </w:t>
      </w:r>
      <w:r w:rsidRPr="000E696E">
        <w:rPr>
          <w:i/>
          <w:iCs/>
        </w:rPr>
        <w:t>v.</w:t>
      </w:r>
      <w:r w:rsidRPr="000E696E">
        <w:rPr>
          <w:i/>
          <w:iCs/>
          <w:spacing w:val="15"/>
        </w:rPr>
        <w:t xml:space="preserve"> </w:t>
      </w:r>
      <w:r w:rsidRPr="000E696E">
        <w:rPr>
          <w:i/>
          <w:iCs/>
          <w:spacing w:val="-1"/>
        </w:rPr>
        <w:t>E</w:t>
      </w:r>
      <w:r w:rsidRPr="000E696E">
        <w:rPr>
          <w:i/>
          <w:iCs/>
        </w:rPr>
        <w:t>c</w:t>
      </w:r>
      <w:r w:rsidRPr="000E696E">
        <w:rPr>
          <w:i/>
          <w:iCs/>
          <w:spacing w:val="-1"/>
        </w:rPr>
        <w:t>u</w:t>
      </w:r>
      <w:r w:rsidRPr="000E696E">
        <w:rPr>
          <w:i/>
          <w:iCs/>
          <w:spacing w:val="-3"/>
        </w:rPr>
        <w:t>a</w:t>
      </w:r>
      <w:r w:rsidRPr="000E696E">
        <w:rPr>
          <w:i/>
          <w:iCs/>
        </w:rPr>
        <w:t>d</w:t>
      </w:r>
      <w:r w:rsidRPr="000E696E">
        <w:rPr>
          <w:i/>
          <w:iCs/>
          <w:spacing w:val="-2"/>
        </w:rPr>
        <w:t>o</w:t>
      </w:r>
      <w:r w:rsidRPr="000E696E">
        <w:rPr>
          <w:i/>
          <w:iCs/>
        </w:rPr>
        <w:t xml:space="preserve">r. Preliminary objections, merits, reparations and costs. </w:t>
      </w:r>
      <w:r w:rsidRPr="000E696E">
        <w:t xml:space="preserve">Judgment of November 21, 2007. Series C No. 170, </w:t>
      </w:r>
      <w:r w:rsidRPr="000E696E">
        <w:rPr>
          <w:spacing w:val="-2"/>
        </w:rPr>
        <w:t xml:space="preserve">para. </w:t>
      </w:r>
      <w:r w:rsidRPr="000E696E">
        <w:rPr>
          <w:spacing w:val="-1"/>
        </w:rPr>
        <w:t>2</w:t>
      </w:r>
      <w:r w:rsidRPr="000E696E">
        <w:t xml:space="preserve">77, and </w:t>
      </w:r>
      <w:r w:rsidRPr="000E696E">
        <w:rPr>
          <w:bCs/>
        </w:rPr>
        <w:t>Case of Zegarra Marín v. Peru, supra, para. 230.</w:t>
      </w:r>
    </w:p>
  </w:footnote>
  <w:footnote w:id="277">
    <w:p w14:paraId="1FFEA5B6" w14:textId="30DEF801" w:rsidR="0068647C" w:rsidRPr="004204B2" w:rsidRDefault="0068647C" w:rsidP="00D61BD2">
      <w:pPr>
        <w:pStyle w:val="Textonotapie"/>
        <w:rPr>
          <w:lang w:val="es-CR"/>
        </w:rPr>
      </w:pPr>
      <w:r w:rsidRPr="000E696E">
        <w:rPr>
          <w:rStyle w:val="Refdenotaalpie"/>
          <w:sz w:val="16"/>
        </w:rPr>
        <w:footnoteRef/>
      </w:r>
      <w:r w:rsidRPr="005A1C14">
        <w:rPr>
          <w:lang w:val="es-CR"/>
        </w:rPr>
        <w:t xml:space="preserve"> </w:t>
      </w:r>
      <w:r w:rsidRPr="005A1C14">
        <w:rPr>
          <w:lang w:val="es-CR"/>
        </w:rPr>
        <w:tab/>
      </w:r>
      <w:r w:rsidRPr="005A1C14">
        <w:rPr>
          <w:i/>
          <w:lang w:val="es-CR"/>
        </w:rPr>
        <w:t>Case of Lagos del Campo v. Peru.</w:t>
      </w:r>
      <w:r w:rsidRPr="005A1C14">
        <w:rPr>
          <w:lang w:val="es-CR"/>
        </w:rPr>
        <w:t xml:space="preserve"> </w:t>
      </w:r>
      <w:r w:rsidRPr="000E696E">
        <w:t xml:space="preserve">Victims’ Legal Assistance Fund. Order of the President of the Inter-American Court of Human Rights of July 14, 2016, first operative paragraph. </w:t>
      </w:r>
      <w:r w:rsidRPr="004204B2">
        <w:rPr>
          <w:lang w:val="es-CR"/>
        </w:rPr>
        <w:t>Available at:</w:t>
      </w:r>
      <w:r w:rsidRPr="004204B2">
        <w:rPr>
          <w:rStyle w:val="Textoennegrita"/>
          <w:color w:val="000000"/>
          <w:shd w:val="clear" w:color="auto" w:fill="FFFFFF"/>
          <w:lang w:val="es-CR"/>
        </w:rPr>
        <w:t xml:space="preserve"> </w:t>
      </w:r>
      <w:hyperlink r:id="rId6" w:history="1">
        <w:r w:rsidRPr="004204B2">
          <w:rPr>
            <w:rStyle w:val="Hipervnculo"/>
            <w:lang w:val="es-CR"/>
          </w:rPr>
          <w:t>http://www.corteidh.or.cr/docs/ asuntos/lagos_fv_16.pdf</w:t>
        </w:r>
      </w:hyperlink>
    </w:p>
  </w:footnote>
  <w:footnote w:id="278">
    <w:p w14:paraId="072804D2" w14:textId="79EBC5AF" w:rsidR="0068647C" w:rsidRPr="000E696E" w:rsidRDefault="0068647C" w:rsidP="00D61BD2">
      <w:pPr>
        <w:pStyle w:val="Textonotapie"/>
      </w:pPr>
      <w:r w:rsidRPr="000E696E">
        <w:rPr>
          <w:rStyle w:val="Refdenotaalpie"/>
          <w:sz w:val="16"/>
        </w:rPr>
        <w:footnoteRef/>
      </w:r>
      <w:r w:rsidRPr="000E696E">
        <w:t xml:space="preserve"> </w:t>
      </w:r>
      <w:r w:rsidRPr="000E696E">
        <w:tab/>
        <w:t xml:space="preserve">The amount requested corresponds to: (i) air fare: US$457.81 (four hundred and fifty-seven United States dollars and 81 cents); (ii) per diem: US$636.00 (six hundred and thirty-six United States dollars); (iii) miscellaneous transportation costs: US$100.00 (one hundred United States dollars), and (iv) </w:t>
      </w:r>
      <w:r w:rsidRPr="000E696E">
        <w:rPr>
          <w:iCs/>
        </w:rPr>
        <w:t>affidavit</w:t>
      </w:r>
      <w:r w:rsidRPr="000E696E">
        <w:t>: US$143.00 (one hundred and forty-three United States dollars) (merits file, f. 759).</w:t>
      </w:r>
    </w:p>
  </w:footnote>
  <w:footnote w:id="279">
    <w:p w14:paraId="7BAA06AD" w14:textId="3F5406DB" w:rsidR="0068647C" w:rsidRPr="000E696E" w:rsidRDefault="0068647C" w:rsidP="00D61BD2">
      <w:pPr>
        <w:pStyle w:val="Textonotapie"/>
      </w:pPr>
      <w:r w:rsidRPr="000E696E">
        <w:rPr>
          <w:rStyle w:val="Refdenotaalpie"/>
          <w:sz w:val="16"/>
        </w:rPr>
        <w:footnoteRef/>
      </w:r>
      <w:r w:rsidRPr="000E696E">
        <w:t xml:space="preserve"> </w:t>
      </w:r>
      <w:r w:rsidRPr="000E696E">
        <w:tab/>
        <w:t>The State presented its observations on April 17, 2017. Peru argued that the amount disbursed for the per diem of $636,00 (six hundred and thirty-six United States dollars) equaled $212 (two hundred and twelve United States dollars) a day, without any explanation as to how that amount was allocated. In addition, there was no indication why the Court had chosen the category “PS” with the per diem of $212; the State therefore asked the Court to explain the criteria used to choose a category and, in this specific case, why it had chosen the category “PS.” Also, as it had no information on what the item of miscellaneous transportation expenses referred to, the State asked the Court to explain how it calculated this item, and how it had applied its calculation in this specific case. In a communication of May 2, 2017 (CIDH-322-17 of April 27, 2017), the Court’s Secretariat responded to the State’s observations (merits file, ff. 795-798).</w:t>
      </w:r>
    </w:p>
  </w:footnote>
  <w:footnote w:id="280">
    <w:p w14:paraId="0CA031E4" w14:textId="5CA5ED2D" w:rsidR="0068647C" w:rsidRPr="000E696E" w:rsidRDefault="0068647C" w:rsidP="00D61BD2">
      <w:pPr>
        <w:pStyle w:val="Textonotapie"/>
      </w:pPr>
      <w:r w:rsidRPr="000E696E">
        <w:rPr>
          <w:rStyle w:val="Refdenotaalpie"/>
          <w:sz w:val="16"/>
        </w:rPr>
        <w:footnoteRef/>
      </w:r>
      <w:r w:rsidRPr="000E696E">
        <w:t xml:space="preserve"> </w:t>
      </w:r>
      <w:r w:rsidRPr="000E696E">
        <w:tab/>
        <w:t>The expression “economic, social and cultural rights (ESCR)” has recently been expanded by the word “environmental,” thus, this is now “economic, social, cultural and environmental rights (ESCER)” in light of the emergence of the focus on and protection of environmental rights as a human right. Some legal doctrine and some parts of civil society had been claiming this for some time. It also makes a great deal of sense in view of the fluid dialogue that the Court is developing with the Inter-American Commission, which has created a new Rapporteurship on the issue: Special Rapporteurship on economic, social, cultural and environmental rights (REESCRA). I am therefore using the expanded name, in the understanding that environmental rights are a fundamental and interdependent part of social rights.</w:t>
      </w:r>
    </w:p>
  </w:footnote>
  <w:footnote w:id="281">
    <w:p w14:paraId="78A69E1D" w14:textId="69A53075" w:rsidR="0068647C" w:rsidRPr="000E696E" w:rsidRDefault="0068647C" w:rsidP="00D61BD2">
      <w:pPr>
        <w:pStyle w:val="Textonotapie"/>
      </w:pPr>
      <w:r w:rsidRPr="000E696E">
        <w:rPr>
          <w:rStyle w:val="Refdenotaalpie"/>
          <w:sz w:val="16"/>
        </w:rPr>
        <w:footnoteRef/>
      </w:r>
      <w:r w:rsidRPr="000E696E">
        <w:t xml:space="preserve"> </w:t>
      </w:r>
      <w:r w:rsidRPr="000E696E">
        <w:tab/>
        <w:t xml:space="preserve">For example, in the 1980s,  the Supreme Court of India was a pioneer in interpreting the right to life broadly to include a series of economic and social rights. The South African Constitutional Court, in the paradigmatic 2000 case of </w:t>
      </w:r>
      <w:r w:rsidRPr="000E696E">
        <w:rPr>
          <w:i/>
        </w:rPr>
        <w:t>Grootboom</w:t>
      </w:r>
      <w:r w:rsidRPr="000E696E">
        <w:t>, examined the situation of a group of individuals who, evicted from informal housing, went to live in tents in a sporting stadium. The court considered that their right to adequate housing had been violated and required various government bodies to take effective measures in their favor. In our hemisphere, the Constitutional Court of Colombia has developed the doctrine of the unconstitutional situation to respond to violations of economic and social rights.</w:t>
      </w:r>
    </w:p>
  </w:footnote>
  <w:footnote w:id="282">
    <w:p w14:paraId="2B0CB7C5" w14:textId="39D69099" w:rsidR="0068647C" w:rsidRPr="000E696E" w:rsidRDefault="0068647C" w:rsidP="00D61BD2">
      <w:pPr>
        <w:pStyle w:val="Textonotapie"/>
      </w:pPr>
      <w:r w:rsidRPr="000E696E">
        <w:rPr>
          <w:rStyle w:val="Refdenotaalpie"/>
          <w:sz w:val="16"/>
        </w:rPr>
        <w:footnoteRef/>
      </w:r>
      <w:r w:rsidRPr="000E696E">
        <w:t xml:space="preserve"> </w:t>
      </w:r>
      <w:r w:rsidRPr="000E696E">
        <w:tab/>
        <w:t>This omission should not be interpreted as having a negative connotation for the Commission because, at the time, the Court’s case law had not recognized labor rights as such, or other social rights.</w:t>
      </w:r>
    </w:p>
  </w:footnote>
  <w:footnote w:id="283">
    <w:p w14:paraId="21F2D65D" w14:textId="178EA9D3" w:rsidR="0068647C" w:rsidRPr="000E696E" w:rsidRDefault="0068647C" w:rsidP="00D61BD2">
      <w:pPr>
        <w:pStyle w:val="Textonotapie"/>
      </w:pPr>
      <w:r w:rsidRPr="000E696E">
        <w:rPr>
          <w:rStyle w:val="Refdenotaalpie"/>
          <w:sz w:val="16"/>
        </w:rPr>
        <w:footnoteRef/>
      </w:r>
      <w:r w:rsidRPr="000E696E">
        <w:t xml:space="preserve"> </w:t>
      </w:r>
      <w:r w:rsidRPr="000E696E">
        <w:tab/>
        <w:t>For example</w:t>
      </w:r>
      <w:r w:rsidRPr="000E696E">
        <w:rPr>
          <w:i/>
        </w:rPr>
        <w:t xml:space="preserve">: </w:t>
      </w:r>
      <w:r w:rsidRPr="000E696E">
        <w:t xml:space="preserve">in the </w:t>
      </w:r>
      <w:r w:rsidRPr="000E696E">
        <w:rPr>
          <w:i/>
        </w:rPr>
        <w:t>Case of</w:t>
      </w:r>
      <w:r w:rsidRPr="000E696E">
        <w:t xml:space="preserve"> </w:t>
      </w:r>
      <w:r w:rsidRPr="000E696E">
        <w:rPr>
          <w:i/>
        </w:rPr>
        <w:t>Antoine Bissangou v. The Republic of Congo</w:t>
      </w:r>
      <w:r w:rsidRPr="000E696E">
        <w:t>, the African Commission found violations of Articles 3, 7 and 14 of the African Charter of Human and Peoples’ Rights, when the petition had alleged violations of Articles 2, 3 and 21(2). African Commission on Human and Peoples’ Rights, Communication No. 253/2002. Judgment of November 2006, paras. 5, 73 to 76.</w:t>
      </w:r>
      <w:r w:rsidRPr="000E696E">
        <w:rPr>
          <w:i/>
        </w:rPr>
        <w:t xml:space="preserve"> See also, </w:t>
      </w:r>
      <w:r w:rsidRPr="000E696E">
        <w:rPr>
          <w:iCs/>
        </w:rPr>
        <w:t>cases of the UN Human Rights Committee</w:t>
      </w:r>
      <w:r w:rsidRPr="000E696E">
        <w:rPr>
          <w:i/>
        </w:rPr>
        <w:t>: Case of Olimzhon Eshonov v. Uzbekistan</w:t>
      </w:r>
      <w:r w:rsidRPr="000E696E">
        <w:t xml:space="preserve">: “The State party contested the admissibility of the communication, arguing that the author has failed to substantiate his claims under article 2 and article 7 of the Covenant. The Committee considers, however, that the arguments advanced by the State party are closely linked to the merits of the communication and should be taken up when the merits of the communication are examined. The Committee considers that the author has sufficiently substantiated his claims, for purposes of admissibility, in that they appear to raise issues under article 2, article 6, paragraph 1, and article 7 of the Covenant, and declares them admissible.” </w:t>
      </w:r>
      <w:r w:rsidRPr="000E696E">
        <w:rPr>
          <w:iCs/>
        </w:rPr>
        <w:t>Human Rights Committee</w:t>
      </w:r>
      <w:r w:rsidRPr="000E696E">
        <w:t xml:space="preserve">, Communication No. 1225/2003, U.N. Doc. CCPR/C/99/D/1225/2003 of August 18, 2010, paras. 1.1 3.3, 8.3, 9.7, 9.9 and 10; </w:t>
      </w:r>
      <w:r w:rsidRPr="000E696E">
        <w:rPr>
          <w:i/>
          <w:iCs/>
        </w:rPr>
        <w:t>Case of Mariano Pimentel and Others v. The Philippines</w:t>
      </w:r>
      <w:r w:rsidRPr="000E696E">
        <w:t xml:space="preserve">: “The authors claim that their proceedings in the Philippines on the enforcement of the US judgement have been unreasonably prolonged and that the exorbitant filing fee amounts to a </w:t>
      </w:r>
      <w:r w:rsidRPr="000E696E">
        <w:rPr>
          <w:i/>
          <w:iCs/>
        </w:rPr>
        <w:t>de facto</w:t>
      </w:r>
      <w:r w:rsidRPr="000E696E">
        <w:t xml:space="preserve"> denial of their right to an effective remedy to obtain compensation for their injuries, under Article 2 of the Covenant. They argue that they are not required to exhaust domestic remedies, as the proceedings before the Philippine courts have been unreasonably prolonged. The communication also appears to raise issues under Article 14, paragraph 1, of the Covenant. […] The Committee observes that since the authors brought their action before the Regional Trial Court in 1997, the same Court and the Supreme Court considered the issue of the required filing fee arising from the authors claim on three subsequent occasions (9 September 1998, 28 July 1999 and 15 April 2005) and over a period of eight years before reaching a conclusion in favour of the authors. The Committee considers that the length of time taken to resolve this issue raises an admissible issue under article 14, paragraph 1, as well as article 2, paragraph 3, and should be considered on the merits.” </w:t>
      </w:r>
      <w:r w:rsidRPr="000E696E">
        <w:rPr>
          <w:iCs/>
        </w:rPr>
        <w:t>Human Rights Committee</w:t>
      </w:r>
      <w:r w:rsidRPr="000E696E">
        <w:t xml:space="preserve">, Communication No. 1320/2004, U.N. Doc. CCPR/C/89/D/1320/2004 of April 3, 2007, paras. 1, 3, 8.3, 9.2 and 10; </w:t>
      </w:r>
      <w:r w:rsidRPr="000E696E">
        <w:rPr>
          <w:i/>
        </w:rPr>
        <w:t>Case of Davlatbibi Shukurova v. Tajikistan</w:t>
      </w:r>
      <w:r w:rsidRPr="000E696E">
        <w:t xml:space="preserve">: “The author claims that the facts set out above amount to a violation of the rights of Sherali and Dovud Nazriev under articles 6, 7, 9 and 14, paragraphs 1, 3 (b), (d), (e), (f), (g), and 5 of the Covenant. Although the author does not specifically invoke article 7 in her own respect, the communication also appears to raise issues under this provision.” </w:t>
      </w:r>
      <w:r w:rsidRPr="000E696E">
        <w:rPr>
          <w:iCs/>
        </w:rPr>
        <w:t>Human Rights Committee</w:t>
      </w:r>
      <w:r w:rsidRPr="000E696E">
        <w:t xml:space="preserve">, Communication No. 1044/2002, U.N. Doc. CCPR/C/86/D/1044/2002, of March 2006, paras.1.1, 3, 8.2, 8.7 and 9. </w:t>
      </w:r>
      <w:r w:rsidRPr="000E696E">
        <w:rPr>
          <w:i/>
        </w:rPr>
        <w:t>Cf.</w:t>
      </w:r>
      <w:r w:rsidRPr="000E696E">
        <w:t xml:space="preserve"> </w:t>
      </w:r>
      <w:r w:rsidRPr="000E696E">
        <w:rPr>
          <w:i/>
        </w:rPr>
        <w:t>Case of</w:t>
      </w:r>
      <w:r w:rsidRPr="000E696E">
        <w:t xml:space="preserve"> </w:t>
      </w:r>
      <w:r w:rsidRPr="000E696E">
        <w:rPr>
          <w:i/>
        </w:rPr>
        <w:t>Weerawansa v. Sri Lanka</w:t>
      </w:r>
      <w:r w:rsidRPr="000E696E">
        <w:t xml:space="preserve">, </w:t>
      </w:r>
      <w:r w:rsidRPr="000E696E">
        <w:rPr>
          <w:iCs/>
        </w:rPr>
        <w:t>Human Rights Committee</w:t>
      </w:r>
      <w:r w:rsidRPr="000E696E">
        <w:t xml:space="preserve">, Communication No. 1406/2005, U.N. Doc CCPR/C/95/D/1406/2005 of May 14, 2009, paras. 1, 3.3, 7.4 and 8; </w:t>
      </w:r>
      <w:r w:rsidRPr="000E696E">
        <w:rPr>
          <w:i/>
        </w:rPr>
        <w:t>Case of Boudjemai v. Algeria</w:t>
      </w:r>
      <w:r w:rsidRPr="000E696E">
        <w:t xml:space="preserve">, </w:t>
      </w:r>
      <w:r w:rsidRPr="000E696E">
        <w:rPr>
          <w:iCs/>
        </w:rPr>
        <w:t>Human Rights Committee</w:t>
      </w:r>
      <w:r w:rsidRPr="000E696E">
        <w:t xml:space="preserve">, Communication No. 1791/2008, U.N. Doc CCPR/C/107/D/1791/2008 of June 5, 2013, para. 8.1 and 9. </w:t>
      </w:r>
      <w:r w:rsidRPr="000E696E">
        <w:rPr>
          <w:i/>
        </w:rPr>
        <w:t>Case of</w:t>
      </w:r>
      <w:r w:rsidRPr="000E696E">
        <w:t xml:space="preserve"> </w:t>
      </w:r>
      <w:r w:rsidRPr="000E696E">
        <w:rPr>
          <w:i/>
        </w:rPr>
        <w:t>Benaziza v. Algeria</w:t>
      </w:r>
      <w:r w:rsidRPr="000E696E">
        <w:t xml:space="preserve">, </w:t>
      </w:r>
      <w:r w:rsidRPr="000E696E">
        <w:rPr>
          <w:iCs/>
        </w:rPr>
        <w:t>Human Rights Committee</w:t>
      </w:r>
      <w:r w:rsidRPr="000E696E">
        <w:t xml:space="preserve">, Communication No. 1588/2007 CCPR/C/99/D/1588/2007 of September 16, 2010, paras. 9.9 and 10; </w:t>
      </w:r>
      <w:r w:rsidRPr="000E696E">
        <w:rPr>
          <w:i/>
        </w:rPr>
        <w:t>Cf.</w:t>
      </w:r>
      <w:r w:rsidRPr="000E696E">
        <w:t xml:space="preserve"> UN Doc. CCPR/C/107/D/1917, 1918, 1925/2009 &amp; 1953/2010 (2013), Independent opinion of Fabián Omar Salvioli, Committee member. </w:t>
      </w:r>
    </w:p>
  </w:footnote>
  <w:footnote w:id="284">
    <w:p w14:paraId="7C16606F" w14:textId="45B79EC0" w:rsidR="0068647C" w:rsidRPr="000E696E" w:rsidRDefault="0068647C" w:rsidP="00D61BD2">
      <w:pPr>
        <w:pStyle w:val="Textonotapie"/>
      </w:pPr>
      <w:r w:rsidRPr="000E696E">
        <w:rPr>
          <w:rStyle w:val="Refdenotaalpie"/>
          <w:sz w:val="16"/>
        </w:rPr>
        <w:footnoteRef/>
      </w:r>
      <w:r w:rsidRPr="000E696E">
        <w:t xml:space="preserve"> </w:t>
      </w:r>
      <w:r w:rsidRPr="000E696E">
        <w:tab/>
        <w:t>See also Articles 112 and 150 of the Protocol of Amendment to the Charter of the Organization of American States (B-31) “Protocol of Buenos Aires,” signed at the Third Special Inter-American Conference. Buenos Aires, February 27, 1967.</w:t>
      </w:r>
    </w:p>
  </w:footnote>
  <w:footnote w:id="285">
    <w:p w14:paraId="6E3300D9" w14:textId="4E76D1B3" w:rsidR="0068647C" w:rsidRPr="000E696E" w:rsidRDefault="0068647C" w:rsidP="00AA1EBF">
      <w:pPr>
        <w:spacing w:after="60"/>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 xml:space="preserve">The Inter-American Court has indicated that human rights treaties are living instrument and their interpretation has to evolve with the times and current conditions. This evolutive interpretation is consequent with the general rules of interpretation established in Article 29 of the American Convention, and also those established by the Vienna Convention on the Law of Treaties. </w:t>
      </w:r>
      <w:r w:rsidRPr="000E696E">
        <w:rPr>
          <w:rFonts w:ascii="Verdana" w:hAnsi="Verdana"/>
          <w:i/>
          <w:sz w:val="16"/>
          <w:szCs w:val="16"/>
          <w:lang w:val="en-US"/>
        </w:rPr>
        <w:t>Cf.</w:t>
      </w:r>
      <w:r w:rsidRPr="000E696E">
        <w:rPr>
          <w:rFonts w:ascii="Verdana" w:hAnsi="Verdana"/>
          <w:sz w:val="16"/>
          <w:szCs w:val="16"/>
          <w:lang w:val="en-US"/>
        </w:rPr>
        <w:t xml:space="preserve"> </w:t>
      </w:r>
      <w:r w:rsidRPr="000E696E">
        <w:rPr>
          <w:rFonts w:ascii="Verdana" w:hAnsi="Verdana"/>
          <w:i/>
          <w:sz w:val="16"/>
          <w:szCs w:val="16"/>
          <w:lang w:val="en-US"/>
        </w:rPr>
        <w:t xml:space="preserve">The Right to Information on Consular Assistance within the Framework of the Guarantees of Due Process of Law. </w:t>
      </w:r>
      <w:r w:rsidRPr="000E696E">
        <w:rPr>
          <w:rFonts w:ascii="Verdana" w:hAnsi="Verdana"/>
          <w:sz w:val="16"/>
          <w:szCs w:val="16"/>
          <w:lang w:val="en-US"/>
        </w:rPr>
        <w:t xml:space="preserve">Advisory Opinion OC-16/99 of October 1, 1999. Series A No. 16, para. 114; and </w:t>
      </w:r>
      <w:r w:rsidRPr="000E696E">
        <w:rPr>
          <w:rFonts w:ascii="Verdana" w:eastAsia="Times New Roman" w:hAnsi="Verdana"/>
          <w:bCs/>
          <w:i/>
          <w:color w:val="000000"/>
          <w:sz w:val="16"/>
          <w:szCs w:val="16"/>
          <w:lang w:val="en-US"/>
        </w:rPr>
        <w:t>Case of the Hacienda Brasil Verde Workers v. Brazil. Preliminary objections, merits, reparations and costs.</w:t>
      </w:r>
      <w:r w:rsidRPr="000E696E">
        <w:rPr>
          <w:rFonts w:ascii="Verdana" w:eastAsia="Times New Roman" w:hAnsi="Verdana"/>
          <w:bCs/>
          <w:color w:val="000000"/>
          <w:sz w:val="16"/>
          <w:szCs w:val="16"/>
          <w:lang w:val="en-US"/>
        </w:rPr>
        <w:t xml:space="preserve"> Judgment of October 20, 2016. Series C No. 318, para. 245. </w:t>
      </w:r>
    </w:p>
  </w:footnote>
  <w:footnote w:id="286">
    <w:p w14:paraId="5B370D8B" w14:textId="305C1FD2" w:rsidR="0068647C" w:rsidRPr="000E696E" w:rsidRDefault="0068647C" w:rsidP="00AA1EBF">
      <w:pPr>
        <w:spacing w:after="60"/>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ab/>
      </w:r>
      <w:r w:rsidRPr="000E696E">
        <w:rPr>
          <w:rFonts w:ascii="Verdana" w:hAnsi="Verdana"/>
          <w:i/>
          <w:iCs/>
          <w:sz w:val="16"/>
          <w:szCs w:val="16"/>
          <w:lang w:val="en-US"/>
        </w:rPr>
        <w:t xml:space="preserve">Compulsory Membership of an Association Prescribed by Law for the Practice of Journalism (Arts. 13 and 29 American Convention on Human Rights) Advisory Opinion OC- 5/85, </w:t>
      </w:r>
      <w:r w:rsidRPr="000E696E">
        <w:rPr>
          <w:rFonts w:ascii="Verdana" w:hAnsi="Verdana"/>
          <w:iCs/>
          <w:sz w:val="16"/>
          <w:szCs w:val="16"/>
          <w:lang w:val="en-US"/>
        </w:rPr>
        <w:t>of November 13, 1985. Series No. 5</w:t>
      </w:r>
      <w:r w:rsidRPr="000E696E">
        <w:rPr>
          <w:rFonts w:ascii="Verdana" w:hAnsi="Verdana"/>
          <w:sz w:val="16"/>
          <w:szCs w:val="16"/>
          <w:lang w:val="en-US"/>
        </w:rPr>
        <w:t xml:space="preserve">; </w:t>
      </w:r>
      <w:r w:rsidRPr="000E696E">
        <w:rPr>
          <w:rFonts w:ascii="Verdana" w:hAnsi="Verdana"/>
          <w:i/>
          <w:iCs/>
          <w:sz w:val="16"/>
          <w:szCs w:val="16"/>
          <w:lang w:val="en-US"/>
        </w:rPr>
        <w:t xml:space="preserve">Case of “The Last Temptation of Christ” (Olmedo Bustos et al.) v. Chile. Merits, reparations and costs. </w:t>
      </w:r>
      <w:r w:rsidRPr="000E696E">
        <w:rPr>
          <w:rFonts w:ascii="Verdana" w:hAnsi="Verdana"/>
          <w:iCs/>
          <w:sz w:val="16"/>
          <w:szCs w:val="16"/>
          <w:lang w:val="en-US"/>
        </w:rPr>
        <w:t>Judgment of February 5, 2011. Series C No. 73</w:t>
      </w:r>
      <w:r w:rsidRPr="000E696E">
        <w:rPr>
          <w:rFonts w:ascii="Verdana" w:hAnsi="Verdana"/>
          <w:i/>
          <w:sz w:val="16"/>
          <w:szCs w:val="16"/>
          <w:lang w:val="en-US"/>
        </w:rPr>
        <w:t>;</w:t>
      </w:r>
      <w:r w:rsidRPr="000E696E">
        <w:rPr>
          <w:rFonts w:ascii="Verdana" w:hAnsi="Verdana"/>
          <w:sz w:val="16"/>
          <w:szCs w:val="16"/>
          <w:lang w:val="en-US"/>
        </w:rPr>
        <w:t xml:space="preserve"> </w:t>
      </w:r>
      <w:r w:rsidRPr="000E696E">
        <w:rPr>
          <w:rFonts w:ascii="Verdana" w:eastAsia="Times New Roman" w:hAnsi="Verdana"/>
          <w:bCs/>
          <w:color w:val="000000"/>
          <w:sz w:val="16"/>
          <w:szCs w:val="16"/>
          <w:lang w:val="en-US"/>
        </w:rPr>
        <w:t>Case of</w:t>
      </w:r>
      <w:r w:rsidRPr="000E696E">
        <w:rPr>
          <w:rFonts w:ascii="Verdana" w:eastAsia="Times New Roman" w:hAnsi="Verdana"/>
          <w:bCs/>
          <w:i/>
          <w:color w:val="000000"/>
          <w:sz w:val="16"/>
          <w:szCs w:val="16"/>
          <w:lang w:val="en-US"/>
        </w:rPr>
        <w:t xml:space="preserve"> Ivcher Bronstein v. Peru. Reparations and costs</w:t>
      </w:r>
      <w:r w:rsidRPr="000E696E">
        <w:rPr>
          <w:rFonts w:ascii="Verdana" w:eastAsia="Times New Roman" w:hAnsi="Verdana"/>
          <w:bCs/>
          <w:color w:val="000000"/>
          <w:sz w:val="16"/>
          <w:szCs w:val="16"/>
          <w:lang w:val="en-US"/>
        </w:rPr>
        <w:t>. Judgment of February 6, 2001. Series C No. 74</w:t>
      </w:r>
      <w:r w:rsidRPr="000E696E">
        <w:rPr>
          <w:rFonts w:ascii="Verdana" w:hAnsi="Verdana"/>
          <w:sz w:val="16"/>
          <w:szCs w:val="16"/>
          <w:lang w:val="en-US"/>
        </w:rPr>
        <w:t xml:space="preserve">; </w:t>
      </w:r>
      <w:r w:rsidRPr="000E696E">
        <w:rPr>
          <w:rFonts w:ascii="Verdana" w:hAnsi="Verdana"/>
          <w:i/>
          <w:iCs/>
          <w:sz w:val="16"/>
          <w:szCs w:val="16"/>
          <w:lang w:val="en-US"/>
        </w:rPr>
        <w:t>Case of Herrera Ulloa v. Costa Rica</w:t>
      </w:r>
      <w:r w:rsidRPr="000E696E">
        <w:rPr>
          <w:rFonts w:ascii="Verdana" w:hAnsi="Verdana"/>
          <w:sz w:val="16"/>
          <w:szCs w:val="16"/>
          <w:lang w:val="en-US"/>
        </w:rPr>
        <w:t xml:space="preserve">. Preliminary objections, merits, reparations and costs. Judgment of July 2, 2004. Series C No. 107; </w:t>
      </w:r>
      <w:r w:rsidRPr="000E696E">
        <w:rPr>
          <w:rFonts w:ascii="Verdana" w:hAnsi="Verdana"/>
          <w:i/>
          <w:iCs/>
          <w:sz w:val="16"/>
          <w:szCs w:val="16"/>
          <w:lang w:val="en-US"/>
        </w:rPr>
        <w:t>Case of Ricardo Canese v. Paraguay</w:t>
      </w:r>
      <w:r w:rsidRPr="000E696E">
        <w:rPr>
          <w:rFonts w:ascii="Verdana" w:hAnsi="Verdana"/>
          <w:sz w:val="16"/>
          <w:szCs w:val="16"/>
          <w:lang w:val="en-US"/>
        </w:rPr>
        <w:t xml:space="preserve">. </w:t>
      </w:r>
      <w:r w:rsidRPr="000E696E">
        <w:rPr>
          <w:rFonts w:ascii="Verdana" w:hAnsi="Verdana"/>
          <w:i/>
          <w:sz w:val="16"/>
          <w:szCs w:val="16"/>
          <w:lang w:val="en-US"/>
        </w:rPr>
        <w:t>Merits, reparations and costs</w:t>
      </w:r>
      <w:r w:rsidRPr="000E696E">
        <w:rPr>
          <w:rFonts w:ascii="Verdana" w:hAnsi="Verdana"/>
          <w:sz w:val="16"/>
          <w:szCs w:val="16"/>
          <w:lang w:val="en-US"/>
        </w:rPr>
        <w:t xml:space="preserve">. Judgment of August 31, 2004. Series C No. 111; </w:t>
      </w:r>
      <w:r w:rsidRPr="000E696E">
        <w:rPr>
          <w:rFonts w:ascii="Verdana" w:hAnsi="Verdana"/>
          <w:i/>
          <w:iCs/>
          <w:sz w:val="16"/>
          <w:szCs w:val="16"/>
          <w:lang w:val="en-US"/>
        </w:rPr>
        <w:t>Case of Palamara Iribarne v. Chile</w:t>
      </w:r>
      <w:r w:rsidRPr="000E696E">
        <w:rPr>
          <w:rFonts w:ascii="Verdana" w:hAnsi="Verdana"/>
          <w:sz w:val="16"/>
          <w:szCs w:val="16"/>
          <w:lang w:val="en-US"/>
        </w:rPr>
        <w:t xml:space="preserve">. </w:t>
      </w:r>
      <w:r w:rsidRPr="000E696E">
        <w:rPr>
          <w:rFonts w:ascii="Verdana" w:hAnsi="Verdana"/>
          <w:i/>
          <w:sz w:val="16"/>
          <w:szCs w:val="16"/>
          <w:lang w:val="en-US"/>
        </w:rPr>
        <w:t>Merits, reparations and costs.</w:t>
      </w:r>
      <w:r w:rsidRPr="000E696E">
        <w:rPr>
          <w:rFonts w:ascii="Verdana" w:hAnsi="Verdana"/>
          <w:sz w:val="16"/>
          <w:szCs w:val="16"/>
          <w:lang w:val="en-US"/>
        </w:rPr>
        <w:t xml:space="preserve"> Judgment of November 22, 2005. Series C No. 135; </w:t>
      </w:r>
      <w:r w:rsidRPr="000E696E">
        <w:rPr>
          <w:rFonts w:ascii="Verdana" w:hAnsi="Verdana"/>
          <w:i/>
          <w:iCs/>
          <w:sz w:val="16"/>
          <w:szCs w:val="16"/>
          <w:lang w:val="en-US"/>
        </w:rPr>
        <w:t>Case of Claude Reyes et al. v. Chile</w:t>
      </w:r>
      <w:r w:rsidRPr="000E696E">
        <w:rPr>
          <w:rFonts w:ascii="Verdana" w:hAnsi="Verdana"/>
          <w:i/>
          <w:sz w:val="16"/>
          <w:szCs w:val="16"/>
          <w:lang w:val="en-US"/>
        </w:rPr>
        <w:t>. Merits, reparations and costs</w:t>
      </w:r>
      <w:r w:rsidRPr="000E696E">
        <w:rPr>
          <w:rFonts w:ascii="Verdana" w:hAnsi="Verdana"/>
          <w:sz w:val="16"/>
          <w:szCs w:val="16"/>
          <w:lang w:val="en-US"/>
        </w:rPr>
        <w:t xml:space="preserve">. Judgment of September 19, 2006. Series C No. 151; </w:t>
      </w:r>
      <w:r w:rsidRPr="000E696E">
        <w:rPr>
          <w:rFonts w:ascii="Verdana" w:hAnsi="Verdana"/>
          <w:i/>
          <w:iCs/>
          <w:sz w:val="16"/>
          <w:szCs w:val="16"/>
          <w:lang w:val="en-US"/>
        </w:rPr>
        <w:t>Case of Kimel v. Argentina</w:t>
      </w:r>
      <w:r w:rsidRPr="000E696E">
        <w:rPr>
          <w:rFonts w:ascii="Verdana" w:hAnsi="Verdana"/>
          <w:i/>
          <w:sz w:val="16"/>
          <w:szCs w:val="16"/>
          <w:lang w:val="en-US"/>
        </w:rPr>
        <w:t>. Merits, reparations and costs</w:t>
      </w:r>
      <w:r w:rsidRPr="000E696E">
        <w:rPr>
          <w:rFonts w:ascii="Verdana" w:hAnsi="Verdana"/>
          <w:sz w:val="16"/>
          <w:szCs w:val="16"/>
          <w:lang w:val="en-US"/>
        </w:rPr>
        <w:t xml:space="preserve">. Judgment of May 2, 2008. Series C No. 177; </w:t>
      </w:r>
      <w:r w:rsidRPr="000E696E">
        <w:rPr>
          <w:rFonts w:ascii="Verdana" w:hAnsi="Verdana"/>
          <w:i/>
          <w:iCs/>
          <w:sz w:val="16"/>
          <w:szCs w:val="16"/>
          <w:lang w:val="en-US"/>
        </w:rPr>
        <w:t>Case of Tristán Donoso v. Panama</w:t>
      </w:r>
      <w:r w:rsidRPr="000E696E">
        <w:rPr>
          <w:rFonts w:ascii="Verdana" w:hAnsi="Verdana"/>
          <w:sz w:val="16"/>
          <w:szCs w:val="16"/>
          <w:lang w:val="en-US"/>
        </w:rPr>
        <w:t xml:space="preserve">. </w:t>
      </w:r>
      <w:r w:rsidRPr="000E696E">
        <w:rPr>
          <w:rFonts w:ascii="Verdana" w:hAnsi="Verdana"/>
          <w:i/>
          <w:sz w:val="16"/>
          <w:szCs w:val="16"/>
          <w:lang w:val="en-US"/>
        </w:rPr>
        <w:t>Preliminary objection, merits, reparations and costs</w:t>
      </w:r>
      <w:r w:rsidRPr="000E696E">
        <w:rPr>
          <w:rFonts w:ascii="Verdana" w:hAnsi="Verdana"/>
          <w:sz w:val="16"/>
          <w:szCs w:val="16"/>
          <w:lang w:val="en-US"/>
        </w:rPr>
        <w:t xml:space="preserve">. Judgment of January 27,  2009. Series C No. 193; </w:t>
      </w:r>
      <w:r w:rsidRPr="000E696E">
        <w:rPr>
          <w:rFonts w:ascii="Verdana" w:hAnsi="Verdana"/>
          <w:i/>
          <w:iCs/>
          <w:sz w:val="16"/>
          <w:szCs w:val="16"/>
          <w:lang w:val="en-US"/>
        </w:rPr>
        <w:t>Case of Ríos et al. v. Venezuela</w:t>
      </w:r>
      <w:r w:rsidRPr="000E696E">
        <w:rPr>
          <w:rFonts w:ascii="Verdana" w:hAnsi="Verdana"/>
          <w:sz w:val="16"/>
          <w:szCs w:val="16"/>
          <w:lang w:val="en-US"/>
        </w:rPr>
        <w:t xml:space="preserve">. </w:t>
      </w:r>
      <w:r w:rsidRPr="000E696E">
        <w:rPr>
          <w:rFonts w:ascii="Verdana" w:hAnsi="Verdana"/>
          <w:i/>
          <w:sz w:val="16"/>
          <w:szCs w:val="16"/>
          <w:lang w:val="en-US"/>
        </w:rPr>
        <w:t xml:space="preserve">Preliminary objections, merits, reparations and costs. </w:t>
      </w:r>
      <w:r w:rsidRPr="000E696E">
        <w:rPr>
          <w:rFonts w:ascii="Verdana" w:hAnsi="Verdana"/>
          <w:sz w:val="16"/>
          <w:szCs w:val="16"/>
          <w:lang w:val="en-US"/>
        </w:rPr>
        <w:t xml:space="preserve">Judgment of January 28, 2009. Series C No. 194; </w:t>
      </w:r>
      <w:r w:rsidRPr="000E696E">
        <w:rPr>
          <w:rFonts w:ascii="Verdana" w:hAnsi="Verdana"/>
          <w:i/>
          <w:iCs/>
          <w:sz w:val="16"/>
          <w:szCs w:val="16"/>
          <w:lang w:val="en-US"/>
        </w:rPr>
        <w:t>Case of Perozo et al. v. Venezuela</w:t>
      </w:r>
      <w:r w:rsidRPr="000E696E">
        <w:rPr>
          <w:rFonts w:ascii="Verdana" w:hAnsi="Verdana"/>
          <w:sz w:val="16"/>
          <w:szCs w:val="16"/>
          <w:lang w:val="en-US"/>
        </w:rPr>
        <w:t xml:space="preserve">. </w:t>
      </w:r>
      <w:r w:rsidRPr="000E696E">
        <w:rPr>
          <w:rFonts w:ascii="Verdana" w:hAnsi="Verdana"/>
          <w:i/>
          <w:sz w:val="16"/>
          <w:szCs w:val="16"/>
          <w:lang w:val="en-US"/>
        </w:rPr>
        <w:t>Preliminary objections, merits, reparations and costs</w:t>
      </w:r>
      <w:r w:rsidRPr="000E696E">
        <w:rPr>
          <w:rFonts w:ascii="Verdana" w:hAnsi="Verdana"/>
          <w:sz w:val="16"/>
          <w:szCs w:val="16"/>
          <w:lang w:val="en-US"/>
        </w:rPr>
        <w:t xml:space="preserve">. Judgment of January 28, 2009. Series C No. 195; </w:t>
      </w:r>
      <w:r w:rsidRPr="000E696E">
        <w:rPr>
          <w:rFonts w:ascii="Verdana" w:hAnsi="Verdana"/>
          <w:i/>
          <w:iCs/>
          <w:sz w:val="16"/>
          <w:szCs w:val="16"/>
          <w:lang w:val="en-US"/>
        </w:rPr>
        <w:t>Case of Usón Ramírez v. Venezuela</w:t>
      </w:r>
      <w:r w:rsidRPr="000E696E">
        <w:rPr>
          <w:rFonts w:ascii="Verdana" w:hAnsi="Verdana"/>
          <w:sz w:val="16"/>
          <w:szCs w:val="16"/>
          <w:lang w:val="en-US"/>
        </w:rPr>
        <w:t xml:space="preserve">. </w:t>
      </w:r>
      <w:r w:rsidRPr="000E696E">
        <w:rPr>
          <w:rFonts w:ascii="Verdana" w:hAnsi="Verdana"/>
          <w:i/>
          <w:sz w:val="16"/>
          <w:szCs w:val="16"/>
          <w:lang w:val="en-US"/>
        </w:rPr>
        <w:t>Preliminary objections, merits, reparations and costs</w:t>
      </w:r>
      <w:r w:rsidRPr="000E696E">
        <w:rPr>
          <w:rFonts w:ascii="Verdana" w:hAnsi="Verdana"/>
          <w:sz w:val="16"/>
          <w:szCs w:val="16"/>
          <w:lang w:val="en-US"/>
        </w:rPr>
        <w:t xml:space="preserve">. Judgment of November 20, 2009. Series C No. 207; </w:t>
      </w:r>
      <w:r w:rsidRPr="000E696E">
        <w:rPr>
          <w:rFonts w:ascii="Verdana" w:hAnsi="Verdana"/>
          <w:i/>
          <w:iCs/>
          <w:sz w:val="16"/>
          <w:szCs w:val="16"/>
          <w:lang w:val="en-US"/>
        </w:rPr>
        <w:t>Case of Gomes Lund et al. (Guerrilha do Araguaia) v. Brazil.</w:t>
      </w:r>
      <w:r w:rsidRPr="000E696E">
        <w:rPr>
          <w:rFonts w:ascii="Verdana" w:hAnsi="Verdana"/>
          <w:sz w:val="16"/>
          <w:szCs w:val="16"/>
          <w:lang w:val="en-US"/>
        </w:rPr>
        <w:t xml:space="preserve"> </w:t>
      </w:r>
      <w:r w:rsidRPr="000E696E">
        <w:rPr>
          <w:rFonts w:ascii="Verdana" w:hAnsi="Verdana"/>
          <w:i/>
          <w:sz w:val="16"/>
          <w:szCs w:val="16"/>
          <w:lang w:val="en-US"/>
        </w:rPr>
        <w:t>Preliminary objections, merits, reparations and costs.</w:t>
      </w:r>
      <w:r w:rsidRPr="000E696E">
        <w:rPr>
          <w:rFonts w:ascii="Verdana" w:hAnsi="Verdana"/>
          <w:sz w:val="16"/>
          <w:szCs w:val="16"/>
          <w:lang w:val="en-US"/>
        </w:rPr>
        <w:t xml:space="preserve"> Judgment of November 24, 2010. Series C No. 219</w:t>
      </w:r>
      <w:r w:rsidRPr="000E696E">
        <w:rPr>
          <w:rFonts w:ascii="Verdana" w:hAnsi="Verdana"/>
          <w:i/>
          <w:iCs/>
          <w:sz w:val="16"/>
          <w:szCs w:val="16"/>
          <w:lang w:val="en-US"/>
        </w:rPr>
        <w:t>;  Case of Fontevecchia and D’Amico v. Argentina</w:t>
      </w:r>
      <w:r w:rsidRPr="000E696E">
        <w:rPr>
          <w:rFonts w:ascii="Verdana" w:hAnsi="Verdana"/>
          <w:sz w:val="16"/>
          <w:szCs w:val="16"/>
          <w:lang w:val="en-US"/>
        </w:rPr>
        <w:t xml:space="preserve">. </w:t>
      </w:r>
      <w:r w:rsidRPr="000E696E">
        <w:rPr>
          <w:rFonts w:ascii="Verdana" w:hAnsi="Verdana"/>
          <w:i/>
          <w:sz w:val="16"/>
          <w:szCs w:val="16"/>
          <w:lang w:val="en-US"/>
        </w:rPr>
        <w:t xml:space="preserve">Merits, reparations and costs. </w:t>
      </w:r>
      <w:r w:rsidRPr="000E696E">
        <w:rPr>
          <w:rFonts w:ascii="Verdana" w:hAnsi="Verdana"/>
          <w:sz w:val="16"/>
          <w:szCs w:val="16"/>
          <w:lang w:val="en-US"/>
        </w:rPr>
        <w:t xml:space="preserve">Judgment of November 29, 2011. Series C No. 238; </w:t>
      </w:r>
      <w:r w:rsidRPr="000E696E">
        <w:rPr>
          <w:rFonts w:ascii="Verdana" w:hAnsi="Verdana" w:cs="Verdana"/>
          <w:bCs/>
          <w:i/>
          <w:sz w:val="16"/>
          <w:szCs w:val="16"/>
          <w:lang w:val="en-US"/>
        </w:rPr>
        <w:t xml:space="preserve">Case of Mémoli v. Argentina. Preliminary objections, merits, reparations and costs. </w:t>
      </w:r>
      <w:r w:rsidRPr="000E696E">
        <w:rPr>
          <w:rFonts w:ascii="Verdana" w:hAnsi="Verdana" w:cs="Verdana"/>
          <w:bCs/>
          <w:sz w:val="16"/>
          <w:szCs w:val="16"/>
          <w:lang w:val="en-US"/>
        </w:rPr>
        <w:t xml:space="preserve">Judgment of August 22, 2013. Series C No. 265; </w:t>
      </w:r>
      <w:r w:rsidRPr="000E696E">
        <w:rPr>
          <w:rFonts w:ascii="Verdana" w:hAnsi="Verdana" w:cs="Verdana"/>
          <w:bCs/>
          <w:i/>
          <w:sz w:val="16"/>
          <w:szCs w:val="16"/>
          <w:lang w:val="en-US"/>
        </w:rPr>
        <w:t>Case of Norín Catrimán et al. (Leaders, members and activity of the Mapuche Indigenous People) v. Chile. Merits, reparations and costs</w:t>
      </w:r>
      <w:r w:rsidRPr="000E696E">
        <w:rPr>
          <w:rFonts w:ascii="Verdana" w:hAnsi="Verdana" w:cs="Verdana"/>
          <w:bCs/>
          <w:sz w:val="16"/>
          <w:szCs w:val="16"/>
          <w:lang w:val="en-US"/>
        </w:rPr>
        <w:t xml:space="preserve">. Judgment of May 29, 2014. Series C No. 279; and </w:t>
      </w:r>
      <w:r w:rsidRPr="000E696E">
        <w:rPr>
          <w:rFonts w:ascii="Verdana" w:eastAsia="Times New Roman" w:hAnsi="Verdana"/>
          <w:b/>
          <w:bCs/>
          <w:color w:val="000000"/>
          <w:sz w:val="16"/>
          <w:szCs w:val="16"/>
          <w:lang w:val="en-US"/>
        </w:rPr>
        <w:t> </w:t>
      </w:r>
      <w:r w:rsidRPr="000E696E">
        <w:rPr>
          <w:rFonts w:ascii="Verdana" w:eastAsia="Times New Roman" w:hAnsi="Verdana"/>
          <w:bCs/>
          <w:i/>
          <w:color w:val="000000"/>
          <w:sz w:val="16"/>
          <w:szCs w:val="16"/>
          <w:lang w:val="en-US"/>
        </w:rPr>
        <w:t>Case of Granier et al. (Radio Caracas Televisión) v. Venezuela. Preliminary objections, merits, reparations and costs</w:t>
      </w:r>
      <w:r w:rsidRPr="000E696E">
        <w:rPr>
          <w:rFonts w:ascii="Verdana" w:eastAsia="Times New Roman" w:hAnsi="Verdana"/>
          <w:bCs/>
          <w:color w:val="000000"/>
          <w:sz w:val="16"/>
          <w:szCs w:val="16"/>
          <w:lang w:val="en-US"/>
        </w:rPr>
        <w:t xml:space="preserve">. Judgment of June 22, 2015. Series C No. 293. </w:t>
      </w:r>
    </w:p>
  </w:footnote>
  <w:footnote w:id="287">
    <w:p w14:paraId="6A0F6C21" w14:textId="1EB3CB74"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rPr>
        <w:t>Cf.</w:t>
      </w:r>
      <w:r w:rsidRPr="000E696E">
        <w:t xml:space="preserve"> </w:t>
      </w:r>
      <w:r w:rsidRPr="000E696E">
        <w:rPr>
          <w:i/>
        </w:rPr>
        <w:t>Case of Lagos del Campo v. Peru. Preliminary objections, merits, reparations and costs</w:t>
      </w:r>
      <w:r w:rsidRPr="000E696E">
        <w:t xml:space="preserve">. Judgment of August 31,  2017, Series C No. 340, paras. 153, 154 and 166, also fifth operative paragraph. This is the first time in its almost 40 years of existence and 30 years of contentious jurisdiction that the Inter-American Court has declared the violation of this precept of the Convention. </w:t>
      </w:r>
    </w:p>
  </w:footnote>
  <w:footnote w:id="288">
    <w:p w14:paraId="53FBA666" w14:textId="39C65CBC" w:rsidR="0068647C" w:rsidRPr="000E696E" w:rsidRDefault="0068647C" w:rsidP="00D61BD2">
      <w:pPr>
        <w:pStyle w:val="Textonotapie"/>
      </w:pPr>
      <w:r w:rsidRPr="000E696E">
        <w:rPr>
          <w:rStyle w:val="Refdenotaalpie"/>
          <w:sz w:val="16"/>
        </w:rPr>
        <w:footnoteRef/>
      </w:r>
      <w:r w:rsidRPr="000E696E">
        <w:t xml:space="preserve"> </w:t>
      </w:r>
      <w:r w:rsidRPr="000E696E">
        <w:tab/>
        <w:t xml:space="preserve">The Court also declared that the rights established in Articles 8, 13 and 16 had been violated in relation to job security. </w:t>
      </w:r>
      <w:r w:rsidRPr="004204B2">
        <w:rPr>
          <w:i/>
          <w:lang w:val="es-CR"/>
        </w:rPr>
        <w:t xml:space="preserve">Cf. Case of Lagos del Campo v. </w:t>
      </w:r>
      <w:r w:rsidRPr="004204B2">
        <w:rPr>
          <w:i/>
          <w:lang w:val="es-CR"/>
        </w:rPr>
        <w:t>Peru, supra</w:t>
      </w:r>
      <w:r w:rsidRPr="004204B2">
        <w:rPr>
          <w:lang w:val="es-CR"/>
        </w:rPr>
        <w:t xml:space="preserve">, para. </w:t>
      </w:r>
      <w:r w:rsidRPr="000E696E">
        <w:t>153.</w:t>
      </w:r>
    </w:p>
  </w:footnote>
  <w:footnote w:id="289">
    <w:p w14:paraId="3773FD65" w14:textId="00F50C7F" w:rsidR="0068647C" w:rsidRPr="004204B2" w:rsidRDefault="0068647C" w:rsidP="00D61BD2">
      <w:pPr>
        <w:pStyle w:val="Textonotapie"/>
        <w:rPr>
          <w:lang w:val="es-CR"/>
        </w:rPr>
      </w:pPr>
      <w:r w:rsidRPr="000E696E">
        <w:rPr>
          <w:rStyle w:val="Refdenotaalpie"/>
          <w:sz w:val="16"/>
        </w:rPr>
        <w:footnoteRef/>
      </w:r>
      <w:r w:rsidRPr="000E696E">
        <w:t xml:space="preserve"> </w:t>
      </w:r>
      <w:r w:rsidRPr="000E696E">
        <w:tab/>
        <w:t xml:space="preserve">In the judgment, in relation to Article 1(1), it was considered that “[…] in light of the arbitrary dismissal by the company […] </w:t>
      </w:r>
      <w:r w:rsidRPr="000E696E">
        <w:rPr>
          <w:u w:val="single"/>
        </w:rPr>
        <w:t>the State failed to adopt adequate measures to protect the violation of the right to work by third parties</w:t>
      </w:r>
      <w:r w:rsidRPr="000E696E">
        <w:t>”.</w:t>
      </w:r>
      <w:r w:rsidRPr="000E696E">
        <w:rPr>
          <w:i/>
        </w:rPr>
        <w:t xml:space="preserve"> </w:t>
      </w:r>
      <w:r w:rsidRPr="004204B2">
        <w:rPr>
          <w:i/>
          <w:lang w:val="es-CR"/>
        </w:rPr>
        <w:t xml:space="preserve">Cf. Case of Lagos del Campo v. </w:t>
      </w:r>
      <w:r w:rsidRPr="004204B2">
        <w:rPr>
          <w:i/>
          <w:lang w:val="es-CR"/>
        </w:rPr>
        <w:t>Peru, supra</w:t>
      </w:r>
      <w:r w:rsidRPr="004204B2">
        <w:rPr>
          <w:lang w:val="es-CR"/>
        </w:rPr>
        <w:t xml:space="preserve">, para. 151. </w:t>
      </w:r>
    </w:p>
  </w:footnote>
  <w:footnote w:id="290">
    <w:p w14:paraId="77CCEB86" w14:textId="49D7F1E6" w:rsidR="0068647C" w:rsidRPr="000E696E" w:rsidRDefault="0068647C" w:rsidP="00AA1EBF">
      <w:pPr>
        <w:spacing w:after="60"/>
        <w:jc w:val="both"/>
        <w:rPr>
          <w:rFonts w:ascii="Verdana" w:hAnsi="Verdana"/>
          <w:sz w:val="16"/>
          <w:szCs w:val="16"/>
          <w:lang w:val="en-US"/>
        </w:rPr>
      </w:pPr>
      <w:r w:rsidRPr="000E696E">
        <w:rPr>
          <w:rStyle w:val="Refdenotaalpie"/>
          <w:sz w:val="16"/>
          <w:szCs w:val="16"/>
          <w:lang w:val="en-US"/>
        </w:rPr>
        <w:footnoteRef/>
      </w:r>
      <w:r w:rsidRPr="004204B2">
        <w:rPr>
          <w:rFonts w:ascii="Verdana" w:hAnsi="Verdana"/>
          <w:sz w:val="16"/>
          <w:szCs w:val="16"/>
          <w:lang w:val="es-CR"/>
        </w:rPr>
        <w:t xml:space="preserve"> </w:t>
      </w:r>
      <w:r w:rsidRPr="004204B2">
        <w:rPr>
          <w:rFonts w:ascii="Verdana" w:hAnsi="Verdana"/>
          <w:sz w:val="16"/>
          <w:szCs w:val="16"/>
          <w:lang w:val="es-CR"/>
        </w:rPr>
        <w:tab/>
        <w:t xml:space="preserve"> </w:t>
      </w:r>
      <w:r w:rsidRPr="004204B2">
        <w:rPr>
          <w:rFonts w:ascii="Verdana" w:hAnsi="Verdana"/>
          <w:i/>
          <w:sz w:val="16"/>
          <w:szCs w:val="16"/>
          <w:lang w:val="es-CR"/>
        </w:rPr>
        <w:t xml:space="preserve">Cf. Case of Lagos del Campo v. </w:t>
      </w:r>
      <w:r w:rsidRPr="004204B2">
        <w:rPr>
          <w:rFonts w:ascii="Verdana" w:hAnsi="Verdana"/>
          <w:i/>
          <w:sz w:val="16"/>
          <w:szCs w:val="16"/>
          <w:lang w:val="es-CR"/>
        </w:rPr>
        <w:t>Peru, supra</w:t>
      </w:r>
      <w:r w:rsidRPr="004204B2">
        <w:rPr>
          <w:rFonts w:ascii="Verdana" w:hAnsi="Verdana"/>
          <w:sz w:val="16"/>
          <w:szCs w:val="16"/>
          <w:lang w:val="es-CR"/>
        </w:rPr>
        <w:t xml:space="preserve">, para. </w:t>
      </w:r>
      <w:r w:rsidRPr="000E696E">
        <w:rPr>
          <w:rFonts w:ascii="Verdana" w:hAnsi="Verdana"/>
          <w:sz w:val="16"/>
          <w:szCs w:val="16"/>
          <w:lang w:val="en-US"/>
        </w:rPr>
        <w:t xml:space="preserve">141 to 154.  Also, see my concurring opinion in the </w:t>
      </w:r>
      <w:r w:rsidRPr="000E696E">
        <w:rPr>
          <w:rFonts w:ascii="Verdana" w:eastAsia="Times New Roman" w:hAnsi="Verdana"/>
          <w:bCs/>
          <w:i/>
          <w:color w:val="000000"/>
          <w:sz w:val="16"/>
          <w:szCs w:val="16"/>
          <w:lang w:val="en-US"/>
        </w:rPr>
        <w:t>Case of Yarce et al. v. Colombia. Preliminary objections, merits, reparations and costs</w:t>
      </w:r>
      <w:r w:rsidRPr="000E696E">
        <w:rPr>
          <w:rFonts w:ascii="Verdana" w:eastAsia="Times New Roman" w:hAnsi="Verdana"/>
          <w:bCs/>
          <w:color w:val="000000"/>
          <w:sz w:val="16"/>
          <w:szCs w:val="16"/>
          <w:lang w:val="en-US"/>
        </w:rPr>
        <w:t>. Judgment of November 22, 2016. Series C No. 325</w:t>
      </w:r>
      <w:r w:rsidRPr="000E696E">
        <w:rPr>
          <w:rFonts w:ascii="Verdana" w:eastAsia="Times New Roman" w:hAnsi="Verdana"/>
          <w:b/>
          <w:bCs/>
          <w:color w:val="000000"/>
          <w:sz w:val="16"/>
          <w:szCs w:val="16"/>
          <w:lang w:val="en-US"/>
        </w:rPr>
        <w:t xml:space="preserve">, </w:t>
      </w:r>
      <w:r w:rsidRPr="000E696E">
        <w:rPr>
          <w:rFonts w:ascii="Verdana" w:eastAsia="Times New Roman" w:hAnsi="Verdana"/>
          <w:bCs/>
          <w:color w:val="000000"/>
          <w:sz w:val="16"/>
          <w:szCs w:val="16"/>
          <w:lang w:val="en-US"/>
        </w:rPr>
        <w:t xml:space="preserve">paras. 22 to 26.  </w:t>
      </w:r>
    </w:p>
  </w:footnote>
  <w:footnote w:id="291">
    <w:p w14:paraId="0B7459BC" w14:textId="368C88B8" w:rsidR="0068647C" w:rsidRPr="000E696E" w:rsidRDefault="0068647C" w:rsidP="00AA1EBF">
      <w:pPr>
        <w:spacing w:after="60"/>
        <w:jc w:val="both"/>
        <w:rPr>
          <w:rFonts w:ascii="Verdana" w:eastAsia="Times New Roman" w:hAnsi="Verdana"/>
          <w:bCs/>
          <w:color w:val="000000"/>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i/>
          <w:sz w:val="16"/>
          <w:szCs w:val="16"/>
          <w:lang w:val="en-US"/>
        </w:rPr>
        <w:t>Cf.</w:t>
      </w:r>
      <w:r w:rsidRPr="000E696E">
        <w:rPr>
          <w:rFonts w:ascii="Verdana" w:hAnsi="Verdana"/>
          <w:sz w:val="16"/>
          <w:szCs w:val="16"/>
          <w:lang w:val="en-US"/>
        </w:rPr>
        <w:t xml:space="preserve"> Concurring opinion in the </w:t>
      </w:r>
      <w:r w:rsidRPr="000E696E">
        <w:rPr>
          <w:rFonts w:ascii="Verdana" w:eastAsia="Times New Roman" w:hAnsi="Verdana"/>
          <w:bCs/>
          <w:i/>
          <w:color w:val="000000"/>
          <w:sz w:val="16"/>
          <w:szCs w:val="16"/>
          <w:lang w:val="en-US"/>
        </w:rPr>
        <w:t>Case of Suárez Peralta v. Ecuador. Preliminary objections, merits, reparations and costs</w:t>
      </w:r>
      <w:r w:rsidRPr="000E696E">
        <w:rPr>
          <w:rFonts w:ascii="Verdana" w:eastAsia="Times New Roman" w:hAnsi="Verdana"/>
          <w:bCs/>
          <w:color w:val="000000"/>
          <w:sz w:val="16"/>
          <w:szCs w:val="16"/>
          <w:lang w:val="en-US"/>
        </w:rPr>
        <w:t xml:space="preserve">. Judgment of May 21, 2013. Series C No. 261. </w:t>
      </w:r>
    </w:p>
  </w:footnote>
  <w:footnote w:id="292">
    <w:p w14:paraId="09A343E9" w14:textId="2C15EC67" w:rsidR="0068647C" w:rsidRPr="000E696E" w:rsidRDefault="0068647C" w:rsidP="00AA1EBF">
      <w:pPr>
        <w:spacing w:after="60"/>
        <w:jc w:val="both"/>
        <w:rPr>
          <w:rFonts w:ascii="Verdana" w:eastAsia="Times New Roman"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i/>
          <w:sz w:val="16"/>
          <w:szCs w:val="16"/>
          <w:lang w:val="en-US"/>
        </w:rPr>
        <w:t>Cf.</w:t>
      </w:r>
      <w:r w:rsidRPr="000E696E">
        <w:rPr>
          <w:rFonts w:ascii="Verdana" w:hAnsi="Verdana"/>
          <w:sz w:val="16"/>
          <w:szCs w:val="16"/>
          <w:lang w:val="en-US"/>
        </w:rPr>
        <w:t xml:space="preserve"> Concurring opinions:</w:t>
      </w:r>
      <w:r w:rsidRPr="000E696E">
        <w:rPr>
          <w:rFonts w:ascii="Verdana" w:eastAsia="Times New Roman" w:hAnsi="Verdana"/>
          <w:bCs/>
          <w:i/>
          <w:color w:val="000000"/>
          <w:sz w:val="16"/>
          <w:szCs w:val="16"/>
          <w:lang w:val="en-US"/>
        </w:rPr>
        <w:t xml:space="preserve"> Case of Gonzales Lluy et al. v. Ecuador. Preliminary objections, merits, reparations and costs</w:t>
      </w:r>
      <w:r w:rsidRPr="000E696E">
        <w:rPr>
          <w:rFonts w:ascii="Verdana" w:eastAsia="Times New Roman" w:hAnsi="Verdana"/>
          <w:bCs/>
          <w:color w:val="000000"/>
          <w:sz w:val="16"/>
          <w:szCs w:val="16"/>
          <w:lang w:val="en-US"/>
        </w:rPr>
        <w:t xml:space="preserve">. Judgment of September 1, 2015. Series C No. 298 (endorsed by Judges Roberto Caldas and Manuel Ventura Robles); </w:t>
      </w:r>
      <w:r w:rsidRPr="000E696E">
        <w:rPr>
          <w:rFonts w:ascii="Verdana" w:eastAsia="Times New Roman" w:hAnsi="Verdana"/>
          <w:bCs/>
          <w:i/>
          <w:color w:val="000000"/>
          <w:sz w:val="16"/>
          <w:szCs w:val="16"/>
          <w:lang w:val="en-US"/>
        </w:rPr>
        <w:t>Case of Chinchilla Sandoval et al. v. Guatemala. Preliminary objections, merits, reparations and costs.</w:t>
      </w:r>
      <w:r w:rsidRPr="000E696E">
        <w:rPr>
          <w:rFonts w:ascii="Verdana" w:eastAsia="Times New Roman" w:hAnsi="Verdana"/>
          <w:bCs/>
          <w:color w:val="000000"/>
          <w:sz w:val="16"/>
          <w:szCs w:val="16"/>
          <w:lang w:val="en-US"/>
        </w:rPr>
        <w:t xml:space="preserve"> Judgment of February 29, 2016. Series C No. 312, and </w:t>
      </w:r>
      <w:r w:rsidRPr="000E696E">
        <w:rPr>
          <w:rFonts w:ascii="Verdana" w:eastAsia="Times New Roman" w:hAnsi="Verdana"/>
          <w:bCs/>
          <w:i/>
          <w:color w:val="000000"/>
          <w:sz w:val="16"/>
          <w:szCs w:val="16"/>
          <w:lang w:val="en-US"/>
        </w:rPr>
        <w:t>Case of I.V. v. Bolivia. Preliminary objections, merits, reparations and costs</w:t>
      </w:r>
      <w:r w:rsidRPr="000E696E">
        <w:rPr>
          <w:rFonts w:ascii="Verdana" w:eastAsia="Times New Roman" w:hAnsi="Verdana"/>
          <w:bCs/>
          <w:color w:val="000000"/>
          <w:sz w:val="16"/>
          <w:szCs w:val="16"/>
          <w:lang w:val="en-US"/>
        </w:rPr>
        <w:t>. Judgment of November 30, 2016. Series C No. 329</w:t>
      </w:r>
      <w:r w:rsidRPr="000E696E">
        <w:rPr>
          <w:rFonts w:ascii="Verdana" w:eastAsia="Times New Roman" w:hAnsi="Verdana"/>
          <w:b/>
          <w:bCs/>
          <w:color w:val="000000"/>
          <w:sz w:val="16"/>
          <w:szCs w:val="16"/>
          <w:lang w:val="en-US"/>
        </w:rPr>
        <w:t>.</w:t>
      </w:r>
    </w:p>
  </w:footnote>
  <w:footnote w:id="293">
    <w:p w14:paraId="5771077A" w14:textId="4C88D27C" w:rsidR="0068647C" w:rsidRPr="000E696E" w:rsidRDefault="0068647C" w:rsidP="00AA1EBF">
      <w:pPr>
        <w:spacing w:after="60"/>
        <w:jc w:val="both"/>
        <w:rPr>
          <w:rFonts w:ascii="Verdana" w:eastAsia="Times New Roman"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 xml:space="preserve">See the concurring opinion that I developed with Judge Roberto Caldas in the </w:t>
      </w:r>
      <w:r w:rsidRPr="000E696E">
        <w:rPr>
          <w:rFonts w:ascii="Verdana" w:eastAsia="Times New Roman" w:hAnsi="Verdana"/>
          <w:bCs/>
          <w:i/>
          <w:color w:val="000000"/>
          <w:sz w:val="16"/>
          <w:szCs w:val="16"/>
          <w:lang w:val="en-US"/>
        </w:rPr>
        <w:t>Case of Canales Huapaya et al. v. Peru. Preliminary objections, merits, reparations and costs</w:t>
      </w:r>
      <w:r w:rsidRPr="000E696E">
        <w:rPr>
          <w:rFonts w:ascii="Verdana" w:eastAsia="Times New Roman" w:hAnsi="Verdana"/>
          <w:bCs/>
          <w:color w:val="000000"/>
          <w:sz w:val="16"/>
          <w:szCs w:val="16"/>
          <w:lang w:val="en-US"/>
        </w:rPr>
        <w:t>. Judgment of June 24, 2015. Series C No. 296.</w:t>
      </w:r>
    </w:p>
  </w:footnote>
  <w:footnote w:id="294">
    <w:p w14:paraId="2638B840" w14:textId="1C99694C" w:rsidR="0068647C" w:rsidRPr="000E696E" w:rsidRDefault="0068647C" w:rsidP="00AA1EBF">
      <w:pPr>
        <w:spacing w:after="60"/>
        <w:jc w:val="both"/>
        <w:rPr>
          <w:rFonts w:ascii="Verdana" w:eastAsia="Times New Roman" w:hAnsi="Verdana"/>
          <w:bCs/>
          <w:i/>
          <w:color w:val="000000"/>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 xml:space="preserve">See the concurring opinion in the </w:t>
      </w:r>
      <w:r w:rsidRPr="000E696E">
        <w:rPr>
          <w:rFonts w:ascii="Verdana" w:eastAsia="Times New Roman" w:hAnsi="Verdana"/>
          <w:bCs/>
          <w:i/>
          <w:color w:val="000000"/>
          <w:sz w:val="16"/>
          <w:szCs w:val="16"/>
          <w:lang w:val="en-US"/>
        </w:rPr>
        <w:t>Case of Yarce et al. v. Colombia, supra</w:t>
      </w:r>
      <w:r w:rsidRPr="000E696E">
        <w:rPr>
          <w:rFonts w:ascii="Verdana" w:eastAsia="Times New Roman" w:hAnsi="Verdana"/>
          <w:bCs/>
          <w:color w:val="000000"/>
          <w:sz w:val="16"/>
          <w:szCs w:val="16"/>
          <w:lang w:val="en-US"/>
        </w:rPr>
        <w:t>.</w:t>
      </w:r>
    </w:p>
  </w:footnote>
  <w:footnote w:id="295">
    <w:p w14:paraId="69013C6D" w14:textId="3D725219" w:rsidR="0068647C" w:rsidRPr="000E696E" w:rsidRDefault="0068647C" w:rsidP="00D61BD2">
      <w:pPr>
        <w:pStyle w:val="Textonotapie"/>
      </w:pPr>
      <w:r w:rsidRPr="000E696E">
        <w:rPr>
          <w:rStyle w:val="Refdenotaalpie"/>
          <w:sz w:val="16"/>
        </w:rPr>
        <w:footnoteRef/>
      </w:r>
      <w:r w:rsidRPr="004204B2">
        <w:rPr>
          <w:lang w:val="es-CR"/>
        </w:rPr>
        <w:t xml:space="preserve"> </w:t>
      </w:r>
      <w:r w:rsidRPr="004204B2">
        <w:rPr>
          <w:lang w:val="es-CR"/>
        </w:rPr>
        <w:tab/>
      </w:r>
      <w:r w:rsidRPr="004204B2">
        <w:rPr>
          <w:i/>
          <w:lang w:val="es-CR"/>
        </w:rPr>
        <w:t>Cf.</w:t>
      </w:r>
      <w:r w:rsidRPr="004204B2">
        <w:rPr>
          <w:lang w:val="es-CR"/>
        </w:rPr>
        <w:t xml:space="preserve"> </w:t>
      </w:r>
      <w:r w:rsidRPr="004204B2">
        <w:rPr>
          <w:i/>
          <w:iCs/>
          <w:lang w:val="es-CR"/>
        </w:rPr>
        <w:t xml:space="preserve">Case of Lagos del Campo v. </w:t>
      </w:r>
      <w:r w:rsidRPr="004204B2">
        <w:rPr>
          <w:i/>
          <w:iCs/>
          <w:lang w:val="es-CR"/>
        </w:rPr>
        <w:t>Peru, supra, para</w:t>
      </w:r>
      <w:r w:rsidRPr="004204B2">
        <w:rPr>
          <w:lang w:val="es-CR"/>
        </w:rPr>
        <w:t xml:space="preserve">. </w:t>
      </w:r>
      <w:r w:rsidRPr="000E696E">
        <w:t>151.</w:t>
      </w:r>
    </w:p>
  </w:footnote>
  <w:footnote w:id="296">
    <w:p w14:paraId="697A0368" w14:textId="0F605DF9" w:rsidR="0068647C" w:rsidRPr="000E696E" w:rsidRDefault="0068647C" w:rsidP="00D61BD2">
      <w:pPr>
        <w:pStyle w:val="Textonotapie"/>
      </w:pPr>
      <w:r w:rsidRPr="000E696E">
        <w:rPr>
          <w:rStyle w:val="Refdenotaalpie"/>
          <w:sz w:val="16"/>
        </w:rPr>
        <w:footnoteRef/>
      </w:r>
      <w:r w:rsidRPr="000E696E">
        <w:t xml:space="preserve"> </w:t>
      </w:r>
      <w:r w:rsidRPr="000E696E">
        <w:tab/>
        <w:t>In para. 143 of the judgment, the Inter-American Court explained that: “[w]ork is a right and a social duty,” and that this should be performed with “fair wages, employment opportunities, and acceptable working conditions for all.” They [the articles of the OAS Charter] also establish the right of workers to “associate themselves freely for the defense and promotion of their interests.” In addition, they indicate that State must “harmonize the social</w:t>
      </w:r>
      <w:r w:rsidRPr="000E696E">
        <w:rPr>
          <w:sz w:val="20"/>
          <w:szCs w:val="20"/>
        </w:rPr>
        <w:t xml:space="preserve"> </w:t>
      </w:r>
      <w:r w:rsidRPr="000E696E">
        <w:t>legislation” for</w:t>
      </w:r>
      <w:r w:rsidRPr="000E696E">
        <w:rPr>
          <w:sz w:val="20"/>
          <w:szCs w:val="20"/>
        </w:rPr>
        <w:t xml:space="preserve"> </w:t>
      </w:r>
      <w:r w:rsidRPr="000E696E">
        <w:t xml:space="preserve">the protection of such rights.” </w:t>
      </w:r>
      <w:r w:rsidRPr="004204B2">
        <w:rPr>
          <w:i/>
          <w:lang w:val="es-CR"/>
        </w:rPr>
        <w:t xml:space="preserve">Cf. Case of Lagos del Campo v. </w:t>
      </w:r>
      <w:r w:rsidRPr="004204B2">
        <w:rPr>
          <w:i/>
          <w:lang w:val="es-CR"/>
        </w:rPr>
        <w:t>Peru, supra</w:t>
      </w:r>
      <w:r w:rsidRPr="004204B2">
        <w:rPr>
          <w:lang w:val="es-CR"/>
        </w:rPr>
        <w:t xml:space="preserve">, para. </w:t>
      </w:r>
      <w:r w:rsidRPr="000E696E">
        <w:t xml:space="preserve">143.  </w:t>
      </w:r>
    </w:p>
  </w:footnote>
  <w:footnote w:id="297">
    <w:p w14:paraId="54FB0E1D" w14:textId="571417E8" w:rsidR="0068647C" w:rsidRPr="000E696E" w:rsidRDefault="0068647C" w:rsidP="00D61BD2">
      <w:pPr>
        <w:pStyle w:val="Textonotapie"/>
      </w:pPr>
      <w:r w:rsidRPr="000E696E">
        <w:rPr>
          <w:rStyle w:val="Refdenotaalpie"/>
          <w:sz w:val="16"/>
        </w:rPr>
        <w:footnoteRef/>
      </w:r>
      <w:r w:rsidRPr="000E696E">
        <w:t xml:space="preserve"> </w:t>
      </w:r>
      <w:r w:rsidRPr="000E696E">
        <w:tab/>
        <w:t xml:space="preserve">The 1948 American Declaration of the Rights and Duties of Man expressly indicates in its Article XIV: </w:t>
      </w:r>
      <w:r w:rsidRPr="000E696E">
        <w:rPr>
          <w:color w:val="000000"/>
        </w:rPr>
        <w:t>“</w:t>
      </w:r>
      <w:r w:rsidRPr="000E696E">
        <w:rPr>
          <w:spacing w:val="-3"/>
        </w:rPr>
        <w:t xml:space="preserve">Every person has the right to work, under proper conditions, and to follow his vocation freely </w:t>
      </w:r>
      <w:r w:rsidRPr="000E696E">
        <w:rPr>
          <w:rFonts w:cs="Arial"/>
          <w:color w:val="000000"/>
        </w:rPr>
        <w:t>[…].”</w:t>
      </w:r>
    </w:p>
  </w:footnote>
  <w:footnote w:id="298">
    <w:p w14:paraId="3E59581C" w14:textId="1724BE5D" w:rsidR="0068647C" w:rsidRPr="000E696E" w:rsidRDefault="0068647C" w:rsidP="00D61BD2">
      <w:pPr>
        <w:pStyle w:val="Textonotapie"/>
      </w:pPr>
      <w:r w:rsidRPr="000E696E">
        <w:rPr>
          <w:rStyle w:val="Refdenotaalpie"/>
          <w:sz w:val="16"/>
        </w:rPr>
        <w:footnoteRef/>
      </w:r>
      <w:r w:rsidRPr="000E696E">
        <w:t xml:space="preserve">  </w:t>
      </w:r>
      <w:r w:rsidRPr="000E696E">
        <w:tab/>
        <w:t xml:space="preserve">Particularly, in the judgment, the Inter-American Court also considered that “[…], the United Nations General Assembly adopted Agenda 2030, which includes 17 Sustainable Development Goals and 169 targets to benefit people, the planet and prosperity. In particular, Goal 8 promotes sustained, inclusive and sustainable economic growth, full and productive employment and decent work for all. Targets 8.5 and 8.8 are addressed at protecting workers’ rights and promoting a safe and secure working environment,” </w:t>
      </w:r>
      <w:r w:rsidRPr="000E696E">
        <w:rPr>
          <w:i/>
        </w:rPr>
        <w:t>Case of Lagos del Campo v. Peru, supra</w:t>
      </w:r>
      <w:r w:rsidRPr="000E696E">
        <w:t xml:space="preserve">, footnote 216. </w:t>
      </w:r>
    </w:p>
  </w:footnote>
  <w:footnote w:id="299">
    <w:p w14:paraId="04960164" w14:textId="16D0316B" w:rsidR="0068647C" w:rsidRPr="004204B2" w:rsidRDefault="0068647C" w:rsidP="00D61BD2">
      <w:pPr>
        <w:pStyle w:val="Textonotapie"/>
        <w:rPr>
          <w:lang w:val="es-CR"/>
        </w:rPr>
      </w:pPr>
      <w:r w:rsidRPr="000E696E">
        <w:rPr>
          <w:rStyle w:val="Refdenotaalpie"/>
          <w:sz w:val="16"/>
        </w:rPr>
        <w:footnoteRef/>
      </w:r>
      <w:r w:rsidRPr="004204B2">
        <w:rPr>
          <w:lang w:val="es-CR"/>
        </w:rPr>
        <w:t xml:space="preserve"> </w:t>
      </w:r>
      <w:r w:rsidRPr="004204B2">
        <w:rPr>
          <w:lang w:val="es-CR"/>
        </w:rPr>
        <w:tab/>
      </w:r>
      <w:r w:rsidRPr="004204B2">
        <w:rPr>
          <w:i/>
          <w:lang w:val="es-CR"/>
        </w:rPr>
        <w:t>Cf.</w:t>
      </w:r>
      <w:r w:rsidRPr="004204B2">
        <w:rPr>
          <w:lang w:val="es-CR"/>
        </w:rPr>
        <w:t xml:space="preserve"> </w:t>
      </w:r>
      <w:r w:rsidRPr="008947E3">
        <w:rPr>
          <w:i/>
          <w:iCs/>
          <w:lang w:val="es-CR"/>
        </w:rPr>
        <w:t xml:space="preserve">Case of Lagos del Campo v. </w:t>
      </w:r>
      <w:r w:rsidRPr="008947E3">
        <w:rPr>
          <w:i/>
          <w:iCs/>
          <w:lang w:val="es-CR"/>
        </w:rPr>
        <w:t>Peru, supra,</w:t>
      </w:r>
      <w:r w:rsidRPr="004204B2">
        <w:rPr>
          <w:lang w:val="es-CR"/>
        </w:rPr>
        <w:t xml:space="preserve"> paras. 133 to 154. </w:t>
      </w:r>
    </w:p>
  </w:footnote>
  <w:footnote w:id="300">
    <w:p w14:paraId="09C01D4B" w14:textId="683DA8A9" w:rsidR="0068647C" w:rsidRPr="000E696E" w:rsidRDefault="0068647C" w:rsidP="00D61BD2">
      <w:pPr>
        <w:pStyle w:val="Textonotapie"/>
      </w:pPr>
      <w:r w:rsidRPr="000E696E">
        <w:rPr>
          <w:rStyle w:val="Refdenotaalpie"/>
          <w:sz w:val="16"/>
        </w:rPr>
        <w:footnoteRef/>
      </w:r>
      <w:r w:rsidRPr="004204B2">
        <w:rPr>
          <w:lang w:val="es-CR"/>
        </w:rPr>
        <w:t xml:space="preserve"> </w:t>
      </w:r>
      <w:r w:rsidRPr="004204B2">
        <w:rPr>
          <w:lang w:val="es-CR"/>
        </w:rPr>
        <w:tab/>
      </w:r>
      <w:r w:rsidRPr="004204B2">
        <w:rPr>
          <w:i/>
          <w:lang w:val="es-CR"/>
        </w:rPr>
        <w:t>Cf.</w:t>
      </w:r>
      <w:r w:rsidRPr="004204B2">
        <w:rPr>
          <w:lang w:val="es-CR"/>
        </w:rPr>
        <w:t xml:space="preserve"> </w:t>
      </w:r>
      <w:r w:rsidRPr="008947E3">
        <w:rPr>
          <w:i/>
          <w:iCs/>
          <w:lang w:val="es-CR"/>
        </w:rPr>
        <w:t xml:space="preserve">Case of Lagos del Campo v. </w:t>
      </w:r>
      <w:r w:rsidRPr="008947E3">
        <w:rPr>
          <w:i/>
          <w:iCs/>
          <w:lang w:val="es-CR"/>
        </w:rPr>
        <w:t>Peru, supra,</w:t>
      </w:r>
      <w:r w:rsidRPr="004204B2">
        <w:rPr>
          <w:lang w:val="es-CR"/>
        </w:rPr>
        <w:t xml:space="preserve"> paras. </w:t>
      </w:r>
      <w:r w:rsidRPr="000E696E">
        <w:t xml:space="preserve">155 to 163. </w:t>
      </w:r>
    </w:p>
  </w:footnote>
  <w:footnote w:id="301">
    <w:p w14:paraId="1F47B090" w14:textId="1E02DA1A" w:rsidR="0068647C" w:rsidRPr="000E696E" w:rsidRDefault="0068647C" w:rsidP="00AA1EBF">
      <w:pPr>
        <w:spacing w:after="60"/>
        <w:jc w:val="both"/>
        <w:rPr>
          <w:rFonts w:ascii="Verdana" w:hAnsi="Verdana" w:cs="Tahoma"/>
          <w:color w:val="000000"/>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eastAsia="Times New Roman" w:hAnsi="Verdana" w:cs="Tahoma"/>
          <w:bCs/>
          <w:color w:val="000000"/>
          <w:sz w:val="16"/>
          <w:szCs w:val="16"/>
          <w:lang w:val="en-US"/>
        </w:rPr>
        <w:t xml:space="preserve">Article 19. Means of Protection […] </w:t>
      </w:r>
      <w:r w:rsidRPr="000E696E">
        <w:rPr>
          <w:rFonts w:ascii="Verdana" w:eastAsia="Times New Roman" w:hAnsi="Verdana" w:cs="Tahoma"/>
          <w:color w:val="000000"/>
          <w:sz w:val="16"/>
          <w:szCs w:val="16"/>
          <w:lang w:val="en-US"/>
        </w:rPr>
        <w:t xml:space="preserve">6. </w:t>
      </w:r>
      <w:r w:rsidRPr="000E696E">
        <w:rPr>
          <w:rFonts w:ascii="Verdana" w:hAnsi="Verdana" w:cs="Tahoma"/>
          <w:sz w:val="16"/>
          <w:szCs w:val="16"/>
          <w:lang w:val="en-US"/>
        </w:rPr>
        <w:t>Any instance in which the rights established in paragraph (a) of Article 8 and in Article 13 are violated by action directly attributable to a State Party to this Protocol may give rise, through participation of the Inter-American Commission on Human Rights and, when applicable,</w:t>
      </w:r>
      <w:r w:rsidRPr="000E696E">
        <w:rPr>
          <w:rFonts w:ascii="Tahoma" w:hAnsi="Tahoma" w:cs="Tahoma"/>
          <w:b/>
          <w:bCs/>
          <w:sz w:val="18"/>
          <w:szCs w:val="18"/>
          <w:lang w:val="en-US"/>
        </w:rPr>
        <w:t xml:space="preserve"> </w:t>
      </w:r>
      <w:r w:rsidRPr="000E696E">
        <w:rPr>
          <w:rFonts w:ascii="Verdana" w:hAnsi="Verdana" w:cs="Tahoma"/>
          <w:sz w:val="16"/>
          <w:szCs w:val="16"/>
          <w:lang w:val="en-US"/>
        </w:rPr>
        <w:t>of the Inter-American Court of Human Rights, to application of the system of individual petitions governed by Article 44 through 51 and 61 through</w:t>
      </w:r>
      <w:r w:rsidRPr="000E696E">
        <w:rPr>
          <w:rFonts w:ascii="Verdana" w:eastAsia="Times New Roman" w:hAnsi="Verdana" w:cs="Tahoma"/>
          <w:color w:val="000000"/>
          <w:sz w:val="16"/>
          <w:szCs w:val="16"/>
          <w:lang w:val="en-US"/>
        </w:rPr>
        <w:t xml:space="preserve"> 69 of the American Convention on Human Rights.</w:t>
      </w:r>
    </w:p>
  </w:footnote>
  <w:footnote w:id="302">
    <w:p w14:paraId="1C4D583C" w14:textId="5CB07B50" w:rsidR="0068647C" w:rsidRPr="000E696E" w:rsidRDefault="0068647C" w:rsidP="00D61BD2">
      <w:pPr>
        <w:pStyle w:val="Textonotapie"/>
      </w:pPr>
      <w:r w:rsidRPr="000E696E">
        <w:rPr>
          <w:rStyle w:val="Refdenotaalpie"/>
          <w:sz w:val="16"/>
        </w:rPr>
        <w:footnoteRef/>
      </w:r>
      <w:r w:rsidRPr="004204B2">
        <w:rPr>
          <w:vertAlign w:val="superscript"/>
          <w:lang w:val="es-CR"/>
        </w:rPr>
        <w:t xml:space="preserve"> </w:t>
      </w:r>
      <w:r w:rsidRPr="004204B2">
        <w:rPr>
          <w:lang w:val="es-CR"/>
        </w:rPr>
        <w:tab/>
      </w:r>
      <w:r w:rsidRPr="004204B2">
        <w:rPr>
          <w:i/>
          <w:lang w:val="es-CR"/>
        </w:rPr>
        <w:t>Cf.</w:t>
      </w:r>
      <w:r w:rsidRPr="004204B2">
        <w:rPr>
          <w:lang w:val="es-CR"/>
        </w:rPr>
        <w:t xml:space="preserve"> </w:t>
      </w:r>
      <w:r w:rsidRPr="004E7ECD">
        <w:rPr>
          <w:i/>
          <w:iCs/>
          <w:lang w:val="es-CR"/>
        </w:rPr>
        <w:t xml:space="preserve">Case of Lagos del Campo v. </w:t>
      </w:r>
      <w:r w:rsidRPr="004E7ECD">
        <w:rPr>
          <w:i/>
          <w:iCs/>
          <w:lang w:val="es-CR"/>
        </w:rPr>
        <w:t>Peru, supra</w:t>
      </w:r>
      <w:r w:rsidRPr="004204B2">
        <w:rPr>
          <w:lang w:val="es-CR"/>
        </w:rPr>
        <w:t xml:space="preserve">, para. </w:t>
      </w:r>
      <w:r w:rsidRPr="000E696E">
        <w:t xml:space="preserve">141.  </w:t>
      </w:r>
    </w:p>
  </w:footnote>
  <w:footnote w:id="303">
    <w:p w14:paraId="5E3EBA0E" w14:textId="37D39152" w:rsidR="0068647C" w:rsidRPr="000E696E" w:rsidRDefault="0068647C" w:rsidP="00D61BD2">
      <w:pPr>
        <w:pStyle w:val="Textonotapie"/>
      </w:pPr>
      <w:r w:rsidRPr="000E696E">
        <w:rPr>
          <w:rStyle w:val="Refdenotaalpie"/>
          <w:sz w:val="16"/>
        </w:rPr>
        <w:footnoteRef/>
      </w:r>
      <w:r w:rsidRPr="000E696E">
        <w:rPr>
          <w:vertAlign w:val="superscript"/>
        </w:rPr>
        <w:t xml:space="preserve"> </w:t>
      </w:r>
      <w:r w:rsidRPr="000E696E">
        <w:tab/>
        <w:t xml:space="preserve">I have been referring to “interdependence and indivisibility” as an inseparable duo in my separate opinions in previous cases. </w:t>
      </w:r>
      <w:r w:rsidRPr="000E696E">
        <w:rPr>
          <w:i/>
        </w:rPr>
        <w:t xml:space="preserve">Cf. </w:t>
      </w:r>
      <w:r w:rsidRPr="000E696E">
        <w:t xml:space="preserve">Concurring opinion in the </w:t>
      </w:r>
      <w:r w:rsidRPr="000E696E">
        <w:rPr>
          <w:bCs/>
          <w:i/>
          <w:color w:val="000000"/>
        </w:rPr>
        <w:t xml:space="preserve">Case of Yarce et al. v. Colombia, supra, </w:t>
      </w:r>
      <w:r w:rsidRPr="000E696E">
        <w:rPr>
          <w:bCs/>
          <w:color w:val="000000"/>
        </w:rPr>
        <w:t>paras. 13 to 15; Concurring opinion</w:t>
      </w:r>
      <w:r w:rsidRPr="000E696E">
        <w:t xml:space="preserve"> in the</w:t>
      </w:r>
      <w:r w:rsidRPr="000E696E">
        <w:rPr>
          <w:rFonts w:cs="Verdana"/>
          <w:bCs/>
        </w:rPr>
        <w:t xml:space="preserve"> </w:t>
      </w:r>
      <w:r w:rsidRPr="000E696E">
        <w:rPr>
          <w:rFonts w:cs="Verdana"/>
          <w:bCs/>
          <w:i/>
        </w:rPr>
        <w:t xml:space="preserve">Suárez Peralta v. Ecuador, supra, </w:t>
      </w:r>
      <w:r w:rsidRPr="000E696E">
        <w:rPr>
          <w:rFonts w:cs="Verdana"/>
          <w:bCs/>
        </w:rPr>
        <w:t xml:space="preserve">para. 24. Also, see </w:t>
      </w:r>
      <w:r w:rsidRPr="000E696E">
        <w:t>Resolution 32/130 of the United Nations General Assembly of September 16, 1977, paragraph 1(a); Declaration on the Right to Development, General Assembly Resolution 41/128, of December 4, 1986, para. 10 of the Preamble and Art.  6; Limburg Principles, 1986, especially No. 3, and the Maastricht Guidelines on Violations of Economic, Social and Cultural Rights, 1997, particularly, No. 3.</w:t>
      </w:r>
    </w:p>
  </w:footnote>
  <w:footnote w:id="304">
    <w:p w14:paraId="27749722" w14:textId="4F13D2AC" w:rsidR="0068647C" w:rsidRPr="000E696E" w:rsidRDefault="0068647C" w:rsidP="00D61BD2">
      <w:pPr>
        <w:pStyle w:val="Textonotapie"/>
      </w:pPr>
      <w:r w:rsidRPr="000E696E">
        <w:rPr>
          <w:rStyle w:val="Refdenotaalpie"/>
          <w:sz w:val="16"/>
        </w:rPr>
        <w:footnoteRef/>
      </w:r>
      <w:r w:rsidRPr="004204B2">
        <w:rPr>
          <w:lang w:val="es-CR"/>
        </w:rPr>
        <w:t xml:space="preserve"> </w:t>
      </w:r>
      <w:r w:rsidRPr="004204B2">
        <w:rPr>
          <w:lang w:val="es-CR"/>
        </w:rPr>
        <w:tab/>
      </w:r>
      <w:r w:rsidRPr="004204B2">
        <w:rPr>
          <w:i/>
          <w:iCs/>
          <w:lang w:val="es-CR"/>
        </w:rPr>
        <w:t xml:space="preserve">Case of Lagos del Campo v. </w:t>
      </w:r>
      <w:r w:rsidRPr="004204B2">
        <w:rPr>
          <w:i/>
          <w:iCs/>
          <w:lang w:val="es-CR"/>
        </w:rPr>
        <w:t>Peru, supra,</w:t>
      </w:r>
      <w:r w:rsidRPr="004204B2">
        <w:rPr>
          <w:lang w:val="es-CR"/>
        </w:rPr>
        <w:t xml:space="preserve"> para. </w:t>
      </w:r>
      <w:r w:rsidRPr="000E696E">
        <w:t xml:space="preserve">143. </w:t>
      </w:r>
    </w:p>
  </w:footnote>
  <w:footnote w:id="305">
    <w:p w14:paraId="3ED6CA58" w14:textId="7F8E0B0C" w:rsidR="0068647C" w:rsidRPr="000E696E" w:rsidRDefault="0068647C" w:rsidP="00D61BD2">
      <w:pPr>
        <w:pStyle w:val="Textonotapie"/>
      </w:pPr>
      <w:r w:rsidRPr="000E696E">
        <w:rPr>
          <w:rStyle w:val="Refdenotaalpie"/>
          <w:sz w:val="16"/>
        </w:rPr>
        <w:footnoteRef/>
      </w:r>
      <w:r w:rsidRPr="000E696E">
        <w:t xml:space="preserve"> </w:t>
      </w:r>
      <w:r w:rsidRPr="000E696E">
        <w:tab/>
        <w:t xml:space="preserve">Concurring opinion with regard to the </w:t>
      </w:r>
      <w:r w:rsidRPr="000E696E">
        <w:rPr>
          <w:i/>
        </w:rPr>
        <w:t>Case of Yarce et al. v. Colombia, supra</w:t>
      </w:r>
      <w:r w:rsidRPr="000E696E">
        <w:t>,</w:t>
      </w:r>
      <w:r w:rsidRPr="000E696E">
        <w:rPr>
          <w:b/>
        </w:rPr>
        <w:t xml:space="preserve"> </w:t>
      </w:r>
      <w:r w:rsidRPr="000E696E">
        <w:t xml:space="preserve">paras. 19 to 26.  </w:t>
      </w:r>
    </w:p>
  </w:footnote>
  <w:footnote w:id="306">
    <w:p w14:paraId="70141D80" w14:textId="73A73FCB" w:rsidR="0068647C" w:rsidRPr="000E696E" w:rsidRDefault="0068647C" w:rsidP="00283B4A">
      <w:pPr>
        <w:pStyle w:val="NormalWeb"/>
        <w:spacing w:before="0" w:beforeAutospacing="0" w:after="60" w:afterAutospacing="0"/>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Articles 31 and 32, on the interpretation of treaties, establish: Article 31: “General rule of interpretation. 1. A treaty shall be interpreted in good faith in accordance with the ordinary meaning to be given to the terms of the treaty in their context and in the light of its object and purpose. 2. The context for the purpose of the interpretation of a treaty shall comprise, in addition to the text, including its preamble and annexes: (a) any agreement relating to the treaty which was made between all the parties in connection with the conclusion of the treaty; (b) any instrument which was made by one or more parties in connection with the conclusion of the treaty and accepted by the other parties as an instrument related to the treaty. 3. There shall be taken into account, together with the context: (a) any subsequent agreement between the parties regarding the interpretation of the treaty or the application of its provisions; (b) any subsequent practice in the application of the treaty which establishes the agreement of the parties regarding its interpretation; (c) any relevant rules of international law applicable in the relations between the parties. 4. A special meaning shall be given to a term if it is established that the parties so intended.”</w:t>
      </w:r>
      <w:r w:rsidRPr="000E696E">
        <w:rPr>
          <w:lang w:val="en-US"/>
        </w:rPr>
        <w:t xml:space="preserve"> </w:t>
      </w:r>
      <w:r w:rsidRPr="000E696E">
        <w:rPr>
          <w:rFonts w:ascii="Verdana" w:hAnsi="Verdana"/>
          <w:sz w:val="16"/>
          <w:szCs w:val="16"/>
          <w:lang w:val="en-US"/>
        </w:rPr>
        <w:t>Article 32:</w:t>
      </w:r>
      <w:r w:rsidRPr="000E696E">
        <w:rPr>
          <w:lang w:val="en-US"/>
        </w:rPr>
        <w:t xml:space="preserve"> </w:t>
      </w:r>
      <w:r w:rsidRPr="000E696E">
        <w:rPr>
          <w:rFonts w:ascii="Verdana" w:hAnsi="Verdana"/>
          <w:sz w:val="16"/>
          <w:szCs w:val="16"/>
          <w:lang w:val="en-US"/>
        </w:rPr>
        <w:t>Supplementary means of interpretation: Recourse may be had to supplementary means of interpretation, including the preparatory work of the treaty and the circumstances of its conclusion, in order to confirm the meaning resulting from the application of article 31, or to determine the meaning when the interpretation according to article 31: (a) leaves the meaning ambiguous or obscure; or (b) leads to a result which is manifestly absurd or unreasonable.”</w:t>
      </w:r>
    </w:p>
  </w:footnote>
  <w:footnote w:id="307">
    <w:p w14:paraId="350092AE" w14:textId="49A4501B" w:rsidR="0068647C" w:rsidRPr="000E696E" w:rsidRDefault="0068647C" w:rsidP="00D61BD2">
      <w:pPr>
        <w:pStyle w:val="Textonotapie"/>
      </w:pPr>
      <w:r w:rsidRPr="000E696E">
        <w:rPr>
          <w:rStyle w:val="Refdenotaalpie"/>
          <w:sz w:val="16"/>
        </w:rPr>
        <w:footnoteRef/>
      </w:r>
      <w:r w:rsidRPr="000E696E">
        <w:t xml:space="preserve"> </w:t>
      </w:r>
      <w:r w:rsidRPr="000E696E">
        <w:tab/>
        <w:t>Adopted on April 30, 1948. Entered into force, December 13, 1951. Amended by the Protocol of Amendment to the Charter of the Organization of American States “Protocol of Buenos Aires”, signed on February 27, 1967, at the Third Special Inter-American Conference; by the Protocol of Amendment to the Charter of the Organization of American States “Protocol of Cartagena de Indias”, adopted on December 5, 1985, at the Fourteenth Special Session of the General Assembly; by the Protocol of Amendment to the Charter of the Organization of American States “Protocol of Washington”, adopted on December 14, 1992, at the Sixteenth Special Session of the General Assembly, and by the Protocol of Amendment to the Charter of the Organization of American States “Protocol of Managua”, adopted on June 10, 1993, at the Nineteenth Special Session of the General Assembly.</w:t>
      </w:r>
    </w:p>
  </w:footnote>
  <w:footnote w:id="308">
    <w:p w14:paraId="36E55C2A" w14:textId="46734248" w:rsidR="0068647C" w:rsidRPr="000E696E" w:rsidRDefault="0068647C" w:rsidP="00D61BD2">
      <w:pPr>
        <w:pStyle w:val="Textonotapie"/>
      </w:pPr>
      <w:r w:rsidRPr="000E696E">
        <w:rPr>
          <w:rStyle w:val="Refdenotaalpie"/>
          <w:sz w:val="16"/>
        </w:rPr>
        <w:footnoteRef/>
      </w:r>
      <w:r w:rsidRPr="000E696E">
        <w:t xml:space="preserve"> </w:t>
      </w:r>
      <w:r w:rsidRPr="000E696E">
        <w:tab/>
        <w:t xml:space="preserve">Taking into account Article 31 of the Vienna Convention on the Law of Treaties (transcribed above), it is valid to have recourse to the ordinary meaning of the words that, in addition, in this case, correspond to the understanding that best accords with the object and purpose of the Convention, that is the protection of human rights. </w:t>
      </w:r>
    </w:p>
  </w:footnote>
  <w:footnote w:id="309">
    <w:p w14:paraId="5784EBCB" w14:textId="29927CC5" w:rsidR="0068647C" w:rsidRPr="000E696E" w:rsidRDefault="0068647C" w:rsidP="00D61BD2">
      <w:pPr>
        <w:pStyle w:val="Textonotapie"/>
      </w:pPr>
      <w:r w:rsidRPr="000E696E">
        <w:rPr>
          <w:rStyle w:val="Refdenotaalpie"/>
          <w:sz w:val="16"/>
        </w:rPr>
        <w:footnoteRef/>
      </w:r>
      <w:r w:rsidRPr="000E696E">
        <w:t xml:space="preserve"> </w:t>
      </w:r>
      <w:r w:rsidRPr="000E696E">
        <w:tab/>
        <w:t xml:space="preserve">Consulted on website: </w:t>
      </w:r>
      <w:hyperlink r:id="rId7" w:history="1">
        <w:r w:rsidRPr="000E696E">
          <w:rPr>
            <w:rStyle w:val="Hipervnculo"/>
          </w:rPr>
          <w:t>http://dle.rae.es</w:t>
        </w:r>
      </w:hyperlink>
      <w:r w:rsidRPr="000E696E">
        <w:t>.</w:t>
      </w:r>
    </w:p>
  </w:footnote>
  <w:footnote w:id="310">
    <w:p w14:paraId="154810E8" w14:textId="650BA830" w:rsidR="0068647C" w:rsidRPr="000E696E" w:rsidRDefault="0068647C" w:rsidP="00D61BD2">
      <w:pPr>
        <w:pStyle w:val="Textonotapie"/>
        <w:rPr>
          <w:rFonts w:cs="Tahoma"/>
          <w:color w:val="000000"/>
        </w:rPr>
      </w:pPr>
      <w:r w:rsidRPr="000E696E">
        <w:rPr>
          <w:rStyle w:val="Refdenotaalpie"/>
          <w:sz w:val="16"/>
        </w:rPr>
        <w:footnoteRef/>
      </w:r>
      <w:r w:rsidRPr="000E696E">
        <w:t xml:space="preserve"> </w:t>
      </w:r>
      <w:r w:rsidRPr="000E696E">
        <w:tab/>
        <w:t xml:space="preserve">Article 45(b) of the Charter of the Organization of American States establishes that “[w]ork is a right and a social duty </w:t>
      </w:r>
      <w:r w:rsidRPr="000E696E">
        <w:rPr>
          <w:rFonts w:cs="Tahoma"/>
          <w:color w:val="000000"/>
        </w:rPr>
        <w:t xml:space="preserve">[…].” </w:t>
      </w:r>
    </w:p>
  </w:footnote>
  <w:footnote w:id="311">
    <w:p w14:paraId="62429A74" w14:textId="64566C96" w:rsidR="0068647C" w:rsidRPr="000E696E" w:rsidRDefault="0068647C" w:rsidP="00D61BD2">
      <w:pPr>
        <w:pStyle w:val="Textonotapie"/>
      </w:pPr>
      <w:r w:rsidRPr="000E696E">
        <w:rPr>
          <w:rStyle w:val="Refdenotaalpie"/>
          <w:sz w:val="16"/>
        </w:rPr>
        <w:footnoteRef/>
      </w:r>
      <w:r w:rsidRPr="000E696E">
        <w:t xml:space="preserve"> </w:t>
      </w:r>
      <w:r w:rsidRPr="000E696E">
        <w:tab/>
        <w:t xml:space="preserve">Adopted on November 17, 1988. Entered into force on November 16, 1999. </w:t>
      </w:r>
    </w:p>
  </w:footnote>
  <w:footnote w:id="312">
    <w:p w14:paraId="302C4CB4" w14:textId="6B4AB825" w:rsidR="0068647C" w:rsidRPr="004204B2" w:rsidRDefault="0068647C" w:rsidP="00D61BD2">
      <w:pPr>
        <w:pStyle w:val="Textonotapie"/>
        <w:rPr>
          <w:lang w:val="es-CR"/>
        </w:rPr>
      </w:pPr>
      <w:r w:rsidRPr="000E696E">
        <w:rPr>
          <w:rStyle w:val="Refdenotaalpie"/>
          <w:sz w:val="16"/>
        </w:rPr>
        <w:footnoteRef/>
      </w:r>
      <w:r w:rsidRPr="000E696E">
        <w:t xml:space="preserve"> </w:t>
      </w:r>
      <w:r w:rsidRPr="000E696E">
        <w:tab/>
      </w:r>
      <w:r w:rsidRPr="000E696E">
        <w:rPr>
          <w:i/>
        </w:rPr>
        <w:t>Cf.</w:t>
      </w:r>
      <w:r w:rsidRPr="000E696E">
        <w:t xml:space="preserve"> </w:t>
      </w:r>
      <w:r w:rsidRPr="000E696E">
        <w:rPr>
          <w:i/>
          <w:iCs/>
        </w:rPr>
        <w:t>Interpretation of the American Declaration of the Rights and Duties of Man within the framework of Article</w:t>
      </w:r>
      <w:r w:rsidRPr="000E696E">
        <w:t xml:space="preserve"> </w:t>
      </w:r>
      <w:r w:rsidRPr="000E696E">
        <w:rPr>
          <w:i/>
          <w:iCs/>
        </w:rPr>
        <w:t>64 of the American Convention on Human Rights,</w:t>
      </w:r>
      <w:r w:rsidRPr="000E696E">
        <w:t xml:space="preserve"> Advisory Opinion OC-10/89 of July 14, 1989, paras. </w:t>
      </w:r>
      <w:r w:rsidRPr="004204B2">
        <w:rPr>
          <w:lang w:val="es-CR"/>
        </w:rPr>
        <w:t>43 and 45.</w:t>
      </w:r>
    </w:p>
  </w:footnote>
  <w:footnote w:id="313">
    <w:p w14:paraId="18818D1F" w14:textId="0F7AAF88" w:rsidR="0068647C" w:rsidRPr="000E696E" w:rsidRDefault="0068647C" w:rsidP="00AA1EBF">
      <w:pPr>
        <w:spacing w:after="60"/>
        <w:jc w:val="both"/>
        <w:rPr>
          <w:rFonts w:ascii="Verdana" w:hAnsi="Verdana"/>
          <w:sz w:val="16"/>
          <w:szCs w:val="16"/>
          <w:lang w:val="en-US"/>
        </w:rPr>
      </w:pPr>
      <w:r w:rsidRPr="000E696E">
        <w:rPr>
          <w:rStyle w:val="Refdenotaalpie"/>
          <w:sz w:val="16"/>
          <w:szCs w:val="16"/>
          <w:lang w:val="en-US"/>
        </w:rPr>
        <w:footnoteRef/>
      </w:r>
      <w:r w:rsidRPr="004204B2">
        <w:rPr>
          <w:rFonts w:ascii="Verdana" w:hAnsi="Verdana"/>
          <w:sz w:val="16"/>
          <w:szCs w:val="16"/>
          <w:lang w:val="es-CR"/>
        </w:rPr>
        <w:t xml:space="preserve"> </w:t>
      </w:r>
      <w:r w:rsidRPr="004204B2">
        <w:rPr>
          <w:rFonts w:ascii="Verdana" w:hAnsi="Verdana"/>
          <w:sz w:val="16"/>
          <w:szCs w:val="16"/>
          <w:lang w:val="es-CR"/>
        </w:rPr>
        <w:tab/>
      </w:r>
      <w:r w:rsidRPr="004204B2">
        <w:rPr>
          <w:rFonts w:ascii="Verdana" w:hAnsi="Verdana"/>
          <w:i/>
          <w:sz w:val="16"/>
          <w:szCs w:val="16"/>
          <w:lang w:val="es-CR"/>
        </w:rPr>
        <w:t xml:space="preserve">Case of Lagos del Campo v. </w:t>
      </w:r>
      <w:r w:rsidRPr="004204B2">
        <w:rPr>
          <w:rFonts w:ascii="Verdana" w:hAnsi="Verdana"/>
          <w:i/>
          <w:sz w:val="16"/>
          <w:szCs w:val="16"/>
          <w:lang w:val="es-CR"/>
        </w:rPr>
        <w:t xml:space="preserve">Peru, supra, </w:t>
      </w:r>
      <w:r w:rsidRPr="004204B2">
        <w:rPr>
          <w:rFonts w:ascii="Verdana" w:hAnsi="Verdana"/>
          <w:sz w:val="16"/>
          <w:szCs w:val="16"/>
          <w:lang w:val="es-CR"/>
        </w:rPr>
        <w:t xml:space="preserve">para. </w:t>
      </w:r>
      <w:r w:rsidRPr="000E696E">
        <w:rPr>
          <w:rFonts w:ascii="Verdana" w:hAnsi="Verdana"/>
          <w:sz w:val="16"/>
          <w:szCs w:val="16"/>
          <w:lang w:val="en-US"/>
        </w:rPr>
        <w:t>144. In addition, it is worth underlining the fourth paragraph of the Preamble to the American Convention which states: “</w:t>
      </w:r>
      <w:r w:rsidRPr="000E696E">
        <w:rPr>
          <w:rFonts w:ascii="Verdana" w:hAnsi="Verdana"/>
          <w:spacing w:val="-3"/>
          <w:sz w:val="16"/>
          <w:szCs w:val="16"/>
          <w:lang w:val="en-US"/>
        </w:rPr>
        <w:t>Considering that these principles [rights] have been set forth in the Charter of the Organization of American States, in the American Declaration of the Rights and Duties of Man, and in the Universal Declaration of Human Rights, and that they have been reaffirmed and refined in other international instruments, worldwide as well as regional in scope.</w:t>
      </w:r>
      <w:r w:rsidRPr="000E696E">
        <w:rPr>
          <w:rFonts w:ascii="Verdana" w:eastAsia="Times New Roman" w:hAnsi="Verdana" w:cs="Tahoma"/>
          <w:color w:val="000000"/>
          <w:sz w:val="16"/>
          <w:szCs w:val="16"/>
          <w:lang w:val="en-US"/>
        </w:rPr>
        <w:t xml:space="preserve">” </w:t>
      </w:r>
    </w:p>
  </w:footnote>
  <w:footnote w:id="314">
    <w:p w14:paraId="3D0FACA3" w14:textId="45F9E65F" w:rsidR="0068647C" w:rsidRPr="004204B2" w:rsidRDefault="0068647C" w:rsidP="00D61BD2">
      <w:pPr>
        <w:pStyle w:val="Textonotapie"/>
        <w:rPr>
          <w:lang w:val="es-CR"/>
        </w:rPr>
      </w:pPr>
      <w:r w:rsidRPr="000E696E">
        <w:rPr>
          <w:rStyle w:val="Refdenotaalpie"/>
          <w:sz w:val="16"/>
        </w:rPr>
        <w:footnoteRef/>
      </w:r>
      <w:r w:rsidRPr="004204B2">
        <w:rPr>
          <w:lang w:val="es-CR"/>
        </w:rPr>
        <w:t xml:space="preserve"> </w:t>
      </w:r>
      <w:r w:rsidRPr="004204B2">
        <w:rPr>
          <w:lang w:val="es-CR"/>
        </w:rPr>
        <w:tab/>
      </w:r>
      <w:r w:rsidRPr="004204B2">
        <w:rPr>
          <w:i/>
          <w:iCs/>
          <w:lang w:val="es-CR"/>
        </w:rPr>
        <w:t xml:space="preserve">Case of Lagos del Campo v. </w:t>
      </w:r>
      <w:r w:rsidRPr="004204B2">
        <w:rPr>
          <w:i/>
          <w:iCs/>
          <w:lang w:val="es-CR"/>
        </w:rPr>
        <w:t>Peru, supra,</w:t>
      </w:r>
      <w:r w:rsidRPr="004204B2">
        <w:rPr>
          <w:lang w:val="es-CR"/>
        </w:rPr>
        <w:t xml:space="preserve"> para. 145. </w:t>
      </w:r>
    </w:p>
  </w:footnote>
  <w:footnote w:id="315">
    <w:p w14:paraId="1D5EC2E8" w14:textId="061E8101" w:rsidR="0068647C" w:rsidRPr="000E696E" w:rsidRDefault="0068647C" w:rsidP="00D61BD2">
      <w:pPr>
        <w:pStyle w:val="Textonotapie"/>
      </w:pPr>
      <w:r w:rsidRPr="000E696E">
        <w:rPr>
          <w:rStyle w:val="Refdenotaalpie"/>
          <w:sz w:val="16"/>
        </w:rPr>
        <w:footnoteRef/>
      </w:r>
      <w:r w:rsidRPr="004204B2">
        <w:rPr>
          <w:lang w:val="es-CR"/>
        </w:rPr>
        <w:t xml:space="preserve"> </w:t>
      </w:r>
      <w:r w:rsidRPr="004204B2">
        <w:rPr>
          <w:lang w:val="es-CR"/>
        </w:rPr>
        <w:tab/>
      </w:r>
      <w:r w:rsidRPr="004204B2">
        <w:rPr>
          <w:i/>
          <w:iCs/>
          <w:lang w:val="es-CR"/>
        </w:rPr>
        <w:t xml:space="preserve">Case of Lagos del Campo v. </w:t>
      </w:r>
      <w:r w:rsidRPr="004204B2">
        <w:rPr>
          <w:i/>
          <w:iCs/>
          <w:lang w:val="es-CR"/>
        </w:rPr>
        <w:t>Peru, supra,</w:t>
      </w:r>
      <w:r w:rsidRPr="004204B2">
        <w:rPr>
          <w:lang w:val="es-CR"/>
        </w:rPr>
        <w:t xml:space="preserve"> para. </w:t>
      </w:r>
      <w:r w:rsidRPr="000E696E">
        <w:t xml:space="preserve">138. </w:t>
      </w:r>
    </w:p>
  </w:footnote>
  <w:footnote w:id="316">
    <w:p w14:paraId="57680204" w14:textId="1A3CFA89" w:rsidR="0068647C" w:rsidRPr="000E696E" w:rsidRDefault="0068647C" w:rsidP="00AA1EBF">
      <w:pPr>
        <w:suppressAutoHyphens/>
        <w:spacing w:after="60"/>
        <w:jc w:val="both"/>
        <w:rPr>
          <w:rFonts w:ascii="Verdana" w:hAnsi="Verdana"/>
          <w:spacing w:val="-3"/>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w:t>
      </w:r>
      <w:r w:rsidRPr="000E696E">
        <w:rPr>
          <w:rFonts w:ascii="Verdana" w:eastAsia="Times New Roman" w:hAnsi="Verdana" w:cs="Tahoma"/>
          <w:bCs/>
          <w:color w:val="000000"/>
          <w:sz w:val="16"/>
          <w:szCs w:val="16"/>
          <w:lang w:val="en-US"/>
        </w:rPr>
        <w:t>Article 29.  Restrictions regarding Interpretation</w:t>
      </w:r>
      <w:r w:rsidRPr="000E696E">
        <w:rPr>
          <w:rFonts w:ascii="Verdana" w:hAnsi="Verdana"/>
          <w:sz w:val="16"/>
          <w:szCs w:val="16"/>
          <w:lang w:val="en-US"/>
        </w:rPr>
        <w:t xml:space="preserve">. </w:t>
      </w:r>
      <w:r w:rsidRPr="000E696E">
        <w:rPr>
          <w:rFonts w:ascii="Verdana" w:hAnsi="Verdana"/>
          <w:spacing w:val="-3"/>
          <w:sz w:val="16"/>
          <w:szCs w:val="16"/>
          <w:lang w:val="en-US"/>
        </w:rPr>
        <w:t>No provision of this Convention shall be interpreted as: “[…] (b) restricting the enjoyment or exercise of any right or freedom recognized by virtue of the laws of any State Party or by virtue of another convention to which one of the said states is a party; (c) precluding other rights or guarantees that are inherent in the human personality or derived from representative democracy as a form of government; or (d) excluding or limiting the effect that the American Declaration of the Rights and Duties of Man and other international acts of the same nature may have</w:t>
      </w:r>
      <w:r w:rsidRPr="000E696E">
        <w:rPr>
          <w:rFonts w:ascii="Verdana" w:hAnsi="Verdana" w:cs="Tahoma"/>
          <w:color w:val="000000"/>
          <w:sz w:val="16"/>
          <w:szCs w:val="16"/>
          <w:lang w:val="en-US"/>
        </w:rPr>
        <w:t>.”</w:t>
      </w:r>
    </w:p>
  </w:footnote>
  <w:footnote w:id="317">
    <w:p w14:paraId="4C223516" w14:textId="6AD095AB" w:rsidR="0068647C" w:rsidRPr="004204B2" w:rsidRDefault="0068647C" w:rsidP="00D61BD2">
      <w:pPr>
        <w:pStyle w:val="Textonotapie"/>
        <w:rPr>
          <w:lang w:val="es-CR"/>
        </w:rPr>
      </w:pPr>
      <w:r w:rsidRPr="000E696E">
        <w:rPr>
          <w:rStyle w:val="Refdenotaalpie"/>
          <w:sz w:val="16"/>
        </w:rPr>
        <w:footnoteRef/>
      </w:r>
      <w:r w:rsidRPr="004204B2">
        <w:rPr>
          <w:lang w:val="es-CR"/>
        </w:rPr>
        <w:t xml:space="preserve"> </w:t>
      </w:r>
      <w:r w:rsidRPr="004204B2">
        <w:rPr>
          <w:lang w:val="es-CR"/>
        </w:rPr>
        <w:tab/>
      </w:r>
      <w:r w:rsidRPr="004204B2">
        <w:rPr>
          <w:i/>
          <w:iCs/>
          <w:lang w:val="es-CR"/>
        </w:rPr>
        <w:t xml:space="preserve">Case of Lagos del Campo v. </w:t>
      </w:r>
      <w:r w:rsidRPr="004204B2">
        <w:rPr>
          <w:i/>
          <w:iCs/>
          <w:lang w:val="es-CR"/>
        </w:rPr>
        <w:t>Peru, supra</w:t>
      </w:r>
      <w:r w:rsidRPr="004204B2">
        <w:rPr>
          <w:lang w:val="es-CR"/>
        </w:rPr>
        <w:t xml:space="preserve">, para. 149. </w:t>
      </w:r>
    </w:p>
  </w:footnote>
  <w:footnote w:id="318">
    <w:p w14:paraId="66AA8063" w14:textId="064B68D2" w:rsidR="0068647C" w:rsidRPr="004204B2" w:rsidRDefault="0068647C" w:rsidP="00D61BD2">
      <w:pPr>
        <w:pStyle w:val="Textonotapie"/>
        <w:rPr>
          <w:i/>
          <w:lang w:val="es-CR"/>
        </w:rPr>
      </w:pPr>
      <w:r w:rsidRPr="000E696E">
        <w:rPr>
          <w:rStyle w:val="Refdenotaalpie"/>
          <w:sz w:val="16"/>
        </w:rPr>
        <w:footnoteRef/>
      </w:r>
      <w:r w:rsidRPr="004204B2">
        <w:rPr>
          <w:lang w:val="es-CR"/>
        </w:rPr>
        <w:t xml:space="preserve"> </w:t>
      </w:r>
      <w:r w:rsidRPr="004204B2">
        <w:rPr>
          <w:lang w:val="es-CR"/>
        </w:rPr>
        <w:tab/>
      </w:r>
      <w:r w:rsidRPr="004204B2">
        <w:rPr>
          <w:i/>
          <w:lang w:val="es-CR"/>
        </w:rPr>
        <w:t xml:space="preserve">Cf. Case of Lagos del Campo v. </w:t>
      </w:r>
      <w:r w:rsidRPr="004204B2">
        <w:rPr>
          <w:i/>
          <w:lang w:val="es-CR"/>
        </w:rPr>
        <w:t xml:space="preserve">Peru, supra, </w:t>
      </w:r>
      <w:r w:rsidRPr="004204B2">
        <w:rPr>
          <w:iCs/>
          <w:lang w:val="es-CR"/>
        </w:rPr>
        <w:t>paras. 151, 152 and 153.</w:t>
      </w:r>
      <w:r w:rsidRPr="004204B2">
        <w:rPr>
          <w:i/>
          <w:lang w:val="es-CR"/>
        </w:rPr>
        <w:t xml:space="preserve"> </w:t>
      </w:r>
    </w:p>
  </w:footnote>
  <w:footnote w:id="319">
    <w:p w14:paraId="10ABF44F" w14:textId="3DDC54A4" w:rsidR="0068647C" w:rsidRPr="004204B2" w:rsidRDefault="0068647C" w:rsidP="00D61BD2">
      <w:pPr>
        <w:pStyle w:val="Textonotapie"/>
        <w:rPr>
          <w:lang w:val="es-CR"/>
        </w:rPr>
      </w:pPr>
      <w:r w:rsidRPr="000E696E">
        <w:rPr>
          <w:rStyle w:val="Refdenotaalpie"/>
          <w:i/>
          <w:sz w:val="16"/>
        </w:rPr>
        <w:footnoteRef/>
      </w:r>
      <w:r w:rsidRPr="004204B2">
        <w:rPr>
          <w:i/>
          <w:lang w:val="es-CR"/>
        </w:rPr>
        <w:t xml:space="preserve"> </w:t>
      </w:r>
      <w:r w:rsidRPr="004204B2">
        <w:rPr>
          <w:i/>
          <w:lang w:val="es-CR"/>
        </w:rPr>
        <w:tab/>
        <w:t xml:space="preserve">Cf. Case of Lagos del Campo v. </w:t>
      </w:r>
      <w:r w:rsidRPr="004204B2">
        <w:rPr>
          <w:i/>
          <w:lang w:val="es-CR"/>
        </w:rPr>
        <w:t>Peru, supra,</w:t>
      </w:r>
      <w:r w:rsidRPr="004204B2">
        <w:rPr>
          <w:lang w:val="es-CR"/>
        </w:rPr>
        <w:t xml:space="preserve"> para. 154. </w:t>
      </w:r>
    </w:p>
  </w:footnote>
  <w:footnote w:id="320">
    <w:p w14:paraId="2C5B74A3" w14:textId="0B9AF8F3" w:rsidR="0068647C" w:rsidRPr="000E696E" w:rsidRDefault="0068647C" w:rsidP="00AA1EBF">
      <w:pPr>
        <w:spacing w:after="60"/>
        <w:jc w:val="both"/>
        <w:rPr>
          <w:rFonts w:ascii="Verdana" w:hAnsi="Verdana"/>
          <w:bCs/>
          <w:color w:val="000000"/>
          <w:sz w:val="16"/>
          <w:szCs w:val="16"/>
          <w:lang w:val="en-US"/>
        </w:rPr>
      </w:pPr>
      <w:r w:rsidRPr="000E696E">
        <w:rPr>
          <w:rStyle w:val="Refdenotaalpie"/>
          <w:sz w:val="16"/>
          <w:szCs w:val="16"/>
          <w:lang w:val="en-US"/>
        </w:rPr>
        <w:footnoteRef/>
      </w:r>
      <w:r w:rsidRPr="004204B2">
        <w:rPr>
          <w:rFonts w:ascii="Verdana" w:hAnsi="Verdana"/>
          <w:sz w:val="16"/>
          <w:szCs w:val="16"/>
          <w:lang w:val="es-CR"/>
        </w:rPr>
        <w:t xml:space="preserve"> </w:t>
      </w:r>
      <w:r w:rsidRPr="004204B2">
        <w:rPr>
          <w:rFonts w:ascii="Verdana" w:hAnsi="Verdana"/>
          <w:sz w:val="16"/>
          <w:szCs w:val="16"/>
          <w:lang w:val="es-CR"/>
        </w:rPr>
        <w:tab/>
      </w:r>
      <w:r w:rsidRPr="004204B2">
        <w:rPr>
          <w:rFonts w:ascii="Verdana" w:eastAsia="Times New Roman" w:hAnsi="Verdana"/>
          <w:bCs/>
          <w:i/>
          <w:color w:val="000000"/>
          <w:sz w:val="16"/>
          <w:szCs w:val="16"/>
          <w:lang w:val="es-CR"/>
        </w:rPr>
        <w:t xml:space="preserve">Case of Baena Ricardo et al. v. </w:t>
      </w:r>
      <w:r w:rsidRPr="004204B2">
        <w:rPr>
          <w:rFonts w:ascii="Verdana" w:eastAsia="Times New Roman" w:hAnsi="Verdana"/>
          <w:bCs/>
          <w:i/>
          <w:color w:val="000000"/>
          <w:sz w:val="16"/>
          <w:szCs w:val="16"/>
          <w:lang w:val="es-CR"/>
        </w:rPr>
        <w:t xml:space="preserve">Panama. </w:t>
      </w:r>
      <w:r w:rsidRPr="000E696E">
        <w:rPr>
          <w:rFonts w:ascii="Verdana" w:eastAsia="Times New Roman" w:hAnsi="Verdana"/>
          <w:bCs/>
          <w:i/>
          <w:color w:val="000000"/>
          <w:sz w:val="16"/>
          <w:szCs w:val="16"/>
          <w:lang w:val="en-US"/>
        </w:rPr>
        <w:t>Merits, reparations and costs</w:t>
      </w:r>
      <w:r w:rsidRPr="000E696E">
        <w:rPr>
          <w:rFonts w:ascii="Verdana" w:eastAsia="Times New Roman" w:hAnsi="Verdana"/>
          <w:bCs/>
          <w:color w:val="000000"/>
          <w:sz w:val="16"/>
          <w:szCs w:val="16"/>
          <w:lang w:val="en-US"/>
        </w:rPr>
        <w:t>. Judgment of February 2, 2001. Series C No. 72.</w:t>
      </w:r>
    </w:p>
  </w:footnote>
  <w:footnote w:id="321">
    <w:p w14:paraId="5F90E391" w14:textId="29C43B71" w:rsidR="0068647C" w:rsidRPr="000E696E" w:rsidRDefault="0068647C" w:rsidP="00AA1EBF">
      <w:pPr>
        <w:spacing w:after="60"/>
        <w:jc w:val="both"/>
        <w:rPr>
          <w:rFonts w:ascii="Verdana" w:hAnsi="Verdana"/>
          <w:bCs/>
          <w:color w:val="000000"/>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eastAsia="Times New Roman" w:hAnsi="Verdana"/>
          <w:bCs/>
          <w:i/>
          <w:color w:val="000000"/>
          <w:sz w:val="16"/>
          <w:szCs w:val="16"/>
          <w:lang w:val="en-US"/>
        </w:rPr>
        <w:t>Case of Huilca Tecse v. Peru. Merits, reparations and costs</w:t>
      </w:r>
      <w:r w:rsidRPr="000E696E">
        <w:rPr>
          <w:rFonts w:ascii="Verdana" w:eastAsia="Times New Roman" w:hAnsi="Verdana"/>
          <w:bCs/>
          <w:color w:val="000000"/>
          <w:sz w:val="16"/>
          <w:szCs w:val="16"/>
          <w:lang w:val="en-US"/>
        </w:rPr>
        <w:t>. Judgment of March 3, 2005. Series C No. 121.</w:t>
      </w:r>
    </w:p>
  </w:footnote>
  <w:footnote w:id="322">
    <w:p w14:paraId="760A383C" w14:textId="7529283E" w:rsidR="0068647C" w:rsidRPr="004204B2" w:rsidRDefault="0068647C" w:rsidP="00AA1EBF">
      <w:pPr>
        <w:spacing w:after="60"/>
        <w:jc w:val="both"/>
        <w:rPr>
          <w:rFonts w:ascii="Verdana" w:hAnsi="Verdana"/>
          <w:bCs/>
          <w:color w:val="000000"/>
          <w:sz w:val="16"/>
          <w:szCs w:val="16"/>
          <w:lang w:val="es-CR"/>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eastAsia="Times New Roman" w:hAnsi="Verdana"/>
          <w:bCs/>
          <w:i/>
          <w:color w:val="000000"/>
          <w:sz w:val="16"/>
          <w:szCs w:val="16"/>
          <w:lang w:val="en-US"/>
        </w:rPr>
        <w:t>Case of Cantoral Huamaní and García Santa Cruz v. Peru. Preliminary objections, merits, reparations and costs</w:t>
      </w:r>
      <w:r w:rsidRPr="000E696E">
        <w:rPr>
          <w:rFonts w:ascii="Verdana" w:eastAsia="Times New Roman" w:hAnsi="Verdana"/>
          <w:bCs/>
          <w:color w:val="000000"/>
          <w:sz w:val="16"/>
          <w:szCs w:val="16"/>
          <w:lang w:val="en-US"/>
        </w:rPr>
        <w:t xml:space="preserve">. </w:t>
      </w:r>
      <w:r w:rsidRPr="004204B2">
        <w:rPr>
          <w:rFonts w:ascii="Verdana" w:eastAsia="Times New Roman" w:hAnsi="Verdana"/>
          <w:bCs/>
          <w:color w:val="000000"/>
          <w:sz w:val="16"/>
          <w:szCs w:val="16"/>
          <w:lang w:val="es-CR"/>
        </w:rPr>
        <w:t>Judgment of July 10, 2007. Series C No. 167.</w:t>
      </w:r>
    </w:p>
  </w:footnote>
  <w:footnote w:id="323">
    <w:p w14:paraId="011C4931" w14:textId="3998FE8C" w:rsidR="0068647C" w:rsidRPr="004204B2" w:rsidRDefault="0068647C" w:rsidP="00D61BD2">
      <w:pPr>
        <w:pStyle w:val="Textonotapie"/>
        <w:rPr>
          <w:i/>
          <w:iCs/>
          <w:lang w:val="es-CR"/>
        </w:rPr>
      </w:pPr>
      <w:r w:rsidRPr="000E696E">
        <w:rPr>
          <w:rStyle w:val="Refdenotaalpie"/>
          <w:sz w:val="16"/>
        </w:rPr>
        <w:footnoteRef/>
      </w:r>
      <w:r w:rsidRPr="004204B2">
        <w:rPr>
          <w:vertAlign w:val="superscript"/>
          <w:lang w:val="es-CR"/>
        </w:rPr>
        <w:t xml:space="preserve"> </w:t>
      </w:r>
      <w:r w:rsidRPr="004204B2">
        <w:rPr>
          <w:lang w:val="es-CR"/>
        </w:rPr>
        <w:tab/>
      </w:r>
      <w:r w:rsidRPr="004204B2">
        <w:rPr>
          <w:i/>
          <w:iCs/>
          <w:lang w:val="es-CR"/>
        </w:rPr>
        <w:t xml:space="preserve">Case of Baena Ricardo et al. v. </w:t>
      </w:r>
      <w:r w:rsidRPr="004204B2">
        <w:rPr>
          <w:i/>
          <w:iCs/>
          <w:lang w:val="es-CR"/>
        </w:rPr>
        <w:t>Panama, supra</w:t>
      </w:r>
      <w:r w:rsidRPr="004204B2">
        <w:rPr>
          <w:lang w:val="es-CR"/>
        </w:rPr>
        <w:t>, para. 156.</w:t>
      </w:r>
      <w:r w:rsidRPr="004204B2">
        <w:rPr>
          <w:i/>
          <w:iCs/>
          <w:lang w:val="es-CR"/>
        </w:rPr>
        <w:t xml:space="preserve"> </w:t>
      </w:r>
    </w:p>
  </w:footnote>
  <w:footnote w:id="324">
    <w:p w14:paraId="353085CA" w14:textId="285E8FEB" w:rsidR="0068647C" w:rsidRPr="000E696E" w:rsidRDefault="0068647C" w:rsidP="00D61BD2">
      <w:pPr>
        <w:pStyle w:val="Textonotapie"/>
      </w:pPr>
      <w:r w:rsidRPr="000E696E">
        <w:rPr>
          <w:rStyle w:val="Refdenotaalpie"/>
          <w:i/>
          <w:iCs/>
          <w:sz w:val="16"/>
        </w:rPr>
        <w:footnoteRef/>
      </w:r>
      <w:r w:rsidRPr="004204B2">
        <w:rPr>
          <w:i/>
          <w:iCs/>
          <w:vertAlign w:val="superscript"/>
          <w:lang w:val="es-CR"/>
        </w:rPr>
        <w:t xml:space="preserve"> </w:t>
      </w:r>
      <w:r w:rsidRPr="004204B2">
        <w:rPr>
          <w:i/>
          <w:iCs/>
          <w:lang w:val="es-CR"/>
        </w:rPr>
        <w:tab/>
        <w:t xml:space="preserve">Case of Baena Ricardo et al. v. </w:t>
      </w:r>
      <w:r w:rsidRPr="004204B2">
        <w:rPr>
          <w:i/>
          <w:iCs/>
          <w:lang w:val="es-CR"/>
        </w:rPr>
        <w:t xml:space="preserve">Panama, supra, </w:t>
      </w:r>
      <w:r w:rsidRPr="004204B2">
        <w:rPr>
          <w:lang w:val="es-CR"/>
        </w:rPr>
        <w:t xml:space="preserve">para. </w:t>
      </w:r>
      <w:r w:rsidRPr="000E696E">
        <w:t>157 and</w:t>
      </w:r>
      <w:r w:rsidRPr="000E696E">
        <w:rPr>
          <w:i/>
          <w:iCs/>
        </w:rPr>
        <w:t xml:space="preserve"> Case of Huilca Tecse v. Peru, supra</w:t>
      </w:r>
      <w:r w:rsidRPr="000E696E">
        <w:t>, para. 73.</w:t>
      </w:r>
    </w:p>
  </w:footnote>
  <w:footnote w:id="325">
    <w:p w14:paraId="21895793" w14:textId="0AA49656" w:rsidR="0068647C" w:rsidRPr="004204B2" w:rsidRDefault="0068647C" w:rsidP="00D61BD2">
      <w:pPr>
        <w:pStyle w:val="Textonotapie"/>
        <w:rPr>
          <w:spacing w:val="-3"/>
          <w:lang w:val="es-CR"/>
        </w:rPr>
      </w:pPr>
      <w:r w:rsidRPr="000E696E">
        <w:rPr>
          <w:rStyle w:val="Refdenotaalpie"/>
          <w:sz w:val="16"/>
        </w:rPr>
        <w:footnoteRef/>
      </w:r>
      <w:r w:rsidRPr="000E696E">
        <w:rPr>
          <w:vertAlign w:val="superscript"/>
        </w:rPr>
        <w:t xml:space="preserve"> </w:t>
      </w:r>
      <w:r w:rsidRPr="000E696E">
        <w:tab/>
        <w:t xml:space="preserve">In the same case, the Court also considered that the American Convention was very clear when it pointed out, in Article 16, that freedom of association “shall </w:t>
      </w:r>
      <w:r w:rsidRPr="000E696E">
        <w:rPr>
          <w:spacing w:val="-3"/>
        </w:rPr>
        <w:t>be subject only to such restrictions established by law as may be necessary in a democratic society, in the interest of national security, public safety or public order, or to protect public health or morals or the rights and freedoms of others.”</w:t>
      </w:r>
      <w:r w:rsidRPr="000E696E">
        <w:t xml:space="preserve"> </w:t>
      </w:r>
      <w:r w:rsidRPr="004204B2">
        <w:rPr>
          <w:rFonts w:eastAsiaTheme="minorEastAsia"/>
          <w:bCs/>
          <w:i/>
          <w:lang w:val="es-CR" w:eastAsia="ja-JP"/>
        </w:rPr>
        <w:t xml:space="preserve">Case of Baena Ricardo et al. v. </w:t>
      </w:r>
      <w:r w:rsidRPr="004204B2">
        <w:rPr>
          <w:rFonts w:eastAsiaTheme="minorEastAsia"/>
          <w:bCs/>
          <w:i/>
          <w:lang w:val="es-CR" w:eastAsia="ja-JP"/>
        </w:rPr>
        <w:t>Panama, supra</w:t>
      </w:r>
      <w:r w:rsidRPr="004204B2">
        <w:rPr>
          <w:rFonts w:eastAsiaTheme="minorEastAsia"/>
          <w:bCs/>
          <w:lang w:val="es-CR" w:eastAsia="ja-JP"/>
        </w:rPr>
        <w:t xml:space="preserve">, para. 168. </w:t>
      </w:r>
    </w:p>
  </w:footnote>
  <w:footnote w:id="326">
    <w:p w14:paraId="2CF1626E" w14:textId="07648F25" w:rsidR="0068647C" w:rsidRPr="004204B2" w:rsidRDefault="0068647C" w:rsidP="00D61BD2">
      <w:pPr>
        <w:pStyle w:val="Textonotapie"/>
        <w:rPr>
          <w:i/>
          <w:iCs/>
          <w:lang w:val="es-CR"/>
        </w:rPr>
      </w:pPr>
      <w:r w:rsidRPr="000E696E">
        <w:rPr>
          <w:rStyle w:val="Refdenotaalpie"/>
          <w:sz w:val="16"/>
        </w:rPr>
        <w:footnoteRef/>
      </w:r>
      <w:r w:rsidRPr="004204B2">
        <w:rPr>
          <w:vertAlign w:val="superscript"/>
          <w:lang w:val="es-CR"/>
        </w:rPr>
        <w:t xml:space="preserve"> </w:t>
      </w:r>
      <w:r w:rsidRPr="004204B2">
        <w:rPr>
          <w:lang w:val="es-CR"/>
        </w:rPr>
        <w:tab/>
      </w:r>
      <w:r w:rsidRPr="004204B2">
        <w:rPr>
          <w:i/>
          <w:iCs/>
          <w:lang w:val="es-CR"/>
        </w:rPr>
        <w:t xml:space="preserve">Case of Baena Ricardo et al. v. </w:t>
      </w:r>
      <w:r w:rsidRPr="004204B2">
        <w:rPr>
          <w:i/>
          <w:iCs/>
          <w:lang w:val="es-CR"/>
        </w:rPr>
        <w:t xml:space="preserve">Panama, supra, </w:t>
      </w:r>
      <w:r w:rsidRPr="004204B2">
        <w:rPr>
          <w:lang w:val="es-CR"/>
        </w:rPr>
        <w:t>para. 159.</w:t>
      </w:r>
    </w:p>
  </w:footnote>
  <w:footnote w:id="327">
    <w:p w14:paraId="4359E4C0" w14:textId="2737493C" w:rsidR="0068647C" w:rsidRPr="004204B2" w:rsidRDefault="0068647C" w:rsidP="00D61BD2">
      <w:pPr>
        <w:pStyle w:val="Textonotapie"/>
        <w:rPr>
          <w:lang w:val="es-CR"/>
        </w:rPr>
      </w:pPr>
      <w:r w:rsidRPr="000E696E">
        <w:rPr>
          <w:rStyle w:val="Refdenotaalpie"/>
          <w:i/>
          <w:iCs/>
          <w:sz w:val="16"/>
        </w:rPr>
        <w:footnoteRef/>
      </w:r>
      <w:r w:rsidRPr="004204B2">
        <w:rPr>
          <w:i/>
          <w:iCs/>
          <w:vertAlign w:val="superscript"/>
          <w:lang w:val="es-CR"/>
        </w:rPr>
        <w:t xml:space="preserve"> </w:t>
      </w:r>
      <w:r w:rsidRPr="004204B2">
        <w:rPr>
          <w:i/>
          <w:iCs/>
          <w:lang w:val="es-CR"/>
        </w:rPr>
        <w:tab/>
        <w:t xml:space="preserve">Case of Huilca </w:t>
      </w:r>
      <w:r w:rsidRPr="004204B2">
        <w:rPr>
          <w:i/>
          <w:iCs/>
          <w:lang w:val="es-CR"/>
        </w:rPr>
        <w:t>Tecse v. Peru, supra</w:t>
      </w:r>
      <w:r w:rsidRPr="004204B2">
        <w:rPr>
          <w:lang w:val="es-CR"/>
        </w:rPr>
        <w:t xml:space="preserve">, para. 67. </w:t>
      </w:r>
    </w:p>
  </w:footnote>
  <w:footnote w:id="328">
    <w:p w14:paraId="6AA96038" w14:textId="3A55AC8C" w:rsidR="0068647C" w:rsidRPr="004204B2" w:rsidRDefault="0068647C" w:rsidP="00AA1EBF">
      <w:pPr>
        <w:pStyle w:val="NormalWeb"/>
        <w:spacing w:before="0" w:beforeAutospacing="0" w:after="60" w:afterAutospacing="0"/>
        <w:jc w:val="both"/>
        <w:rPr>
          <w:rFonts w:ascii="Verdana" w:hAnsi="Verdana"/>
          <w:sz w:val="16"/>
          <w:szCs w:val="16"/>
        </w:rPr>
      </w:pPr>
      <w:r w:rsidRPr="000E696E">
        <w:rPr>
          <w:rStyle w:val="Refdenotaalpie"/>
          <w:rFonts w:eastAsia="Batang"/>
          <w:sz w:val="16"/>
          <w:szCs w:val="16"/>
          <w:lang w:val="en-US" w:eastAsia="es-ES"/>
        </w:rPr>
        <w:footnoteRef/>
      </w:r>
      <w:r w:rsidRPr="004204B2">
        <w:rPr>
          <w:rStyle w:val="Refdenotaalpie"/>
          <w:rFonts w:eastAsia="Batang"/>
          <w:sz w:val="16"/>
          <w:szCs w:val="16"/>
          <w:lang w:eastAsia="es-ES"/>
        </w:rPr>
        <w:t xml:space="preserve"> </w:t>
      </w:r>
      <w:r w:rsidRPr="004204B2">
        <w:rPr>
          <w:rFonts w:ascii="Verdana" w:hAnsi="Verdana"/>
          <w:sz w:val="16"/>
          <w:szCs w:val="16"/>
          <w:vertAlign w:val="superscript"/>
        </w:rPr>
        <w:t xml:space="preserve"> </w:t>
      </w:r>
      <w:r w:rsidRPr="004204B2">
        <w:rPr>
          <w:rFonts w:ascii="Verdana" w:hAnsi="Verdana"/>
          <w:bCs/>
          <w:i/>
          <w:sz w:val="16"/>
          <w:szCs w:val="16"/>
          <w:lang w:eastAsia="ja-JP"/>
        </w:rPr>
        <w:tab/>
        <w:t xml:space="preserve">Case of Huilca </w:t>
      </w:r>
      <w:r w:rsidRPr="004204B2">
        <w:rPr>
          <w:rFonts w:ascii="Verdana" w:hAnsi="Verdana"/>
          <w:bCs/>
          <w:i/>
          <w:sz w:val="16"/>
          <w:szCs w:val="16"/>
          <w:lang w:eastAsia="ja-JP"/>
        </w:rPr>
        <w:t xml:space="preserve">Tecse v. Peru, supra, </w:t>
      </w:r>
      <w:r w:rsidRPr="004204B2">
        <w:rPr>
          <w:rFonts w:ascii="Verdana" w:hAnsi="Verdana"/>
          <w:bCs/>
          <w:sz w:val="16"/>
          <w:szCs w:val="16"/>
          <w:lang w:eastAsia="ja-JP"/>
        </w:rPr>
        <w:t xml:space="preserve">para. 69. </w:t>
      </w:r>
    </w:p>
  </w:footnote>
  <w:footnote w:id="329">
    <w:p w14:paraId="7EDD2AFE" w14:textId="5762F5C1" w:rsidR="0068647C" w:rsidRPr="000E696E" w:rsidRDefault="0068647C" w:rsidP="00D61BD2">
      <w:pPr>
        <w:pStyle w:val="Textonotapie"/>
      </w:pPr>
      <w:r w:rsidRPr="000E696E">
        <w:rPr>
          <w:rStyle w:val="Refdenotaalpie"/>
          <w:sz w:val="16"/>
        </w:rPr>
        <w:footnoteRef/>
      </w:r>
      <w:r w:rsidRPr="004204B2">
        <w:rPr>
          <w:vertAlign w:val="superscript"/>
          <w:lang w:val="es-CR"/>
        </w:rPr>
        <w:t xml:space="preserve"> </w:t>
      </w:r>
      <w:r w:rsidRPr="004204B2">
        <w:rPr>
          <w:lang w:val="es-CR"/>
        </w:rPr>
        <w:tab/>
      </w:r>
      <w:r w:rsidRPr="004204B2">
        <w:rPr>
          <w:i/>
          <w:iCs/>
          <w:lang w:val="es-CR"/>
        </w:rPr>
        <w:t xml:space="preserve">Case of Huilca </w:t>
      </w:r>
      <w:r w:rsidRPr="004204B2">
        <w:rPr>
          <w:i/>
          <w:iCs/>
          <w:lang w:val="es-CR"/>
        </w:rPr>
        <w:t>Tecse v. Peru, supra,</w:t>
      </w:r>
      <w:r w:rsidRPr="004204B2">
        <w:rPr>
          <w:lang w:val="es-CR"/>
        </w:rPr>
        <w:t xml:space="preserve"> paras. </w:t>
      </w:r>
      <w:r w:rsidRPr="000E696E">
        <w:t>70, 71 and 72.</w:t>
      </w:r>
    </w:p>
  </w:footnote>
  <w:footnote w:id="330">
    <w:p w14:paraId="05C74CA3" w14:textId="32EEEC68" w:rsidR="0068647C" w:rsidRPr="000E696E" w:rsidRDefault="0068647C" w:rsidP="00D61BD2">
      <w:pPr>
        <w:pStyle w:val="Textonotapie"/>
      </w:pPr>
      <w:r w:rsidRPr="000E696E">
        <w:rPr>
          <w:rStyle w:val="Refdenotaalpie"/>
          <w:sz w:val="16"/>
        </w:rPr>
        <w:footnoteRef/>
      </w:r>
      <w:r w:rsidRPr="000E696E">
        <w:rPr>
          <w:vertAlign w:val="superscript"/>
        </w:rPr>
        <w:t xml:space="preserve"> </w:t>
      </w:r>
      <w:r w:rsidRPr="000E696E">
        <w:tab/>
      </w:r>
      <w:r w:rsidRPr="000E696E">
        <w:rPr>
          <w:i/>
          <w:iCs/>
        </w:rPr>
        <w:t>Case of Huilca Tecse v. Peru, supra,</w:t>
      </w:r>
      <w:r w:rsidRPr="000E696E">
        <w:t xml:space="preserve"> para.74. </w:t>
      </w:r>
    </w:p>
  </w:footnote>
  <w:footnote w:id="331">
    <w:p w14:paraId="49D3AE27" w14:textId="214515C4" w:rsidR="0068647C" w:rsidRPr="004204B2" w:rsidRDefault="0068647C" w:rsidP="00D61BD2">
      <w:pPr>
        <w:pStyle w:val="Textonotapie"/>
        <w:rPr>
          <w:lang w:val="es-CR"/>
        </w:rPr>
      </w:pPr>
      <w:r w:rsidRPr="000E696E">
        <w:rPr>
          <w:rStyle w:val="Refdenotaalpie"/>
          <w:sz w:val="16"/>
        </w:rPr>
        <w:footnoteRef/>
      </w:r>
      <w:r w:rsidRPr="004204B2">
        <w:rPr>
          <w:vertAlign w:val="superscript"/>
          <w:lang w:val="es-CR"/>
        </w:rPr>
        <w:t xml:space="preserve"> </w:t>
      </w:r>
      <w:r w:rsidRPr="004204B2">
        <w:rPr>
          <w:lang w:val="es-CR"/>
        </w:rPr>
        <w:tab/>
      </w:r>
      <w:r w:rsidRPr="004204B2">
        <w:rPr>
          <w:i/>
          <w:iCs/>
          <w:lang w:val="es-CR"/>
        </w:rPr>
        <w:t xml:space="preserve">Case of Cantoral Huamaní and García Santa Cruz v. </w:t>
      </w:r>
      <w:r w:rsidRPr="004204B2">
        <w:rPr>
          <w:i/>
          <w:iCs/>
          <w:lang w:val="es-CR"/>
        </w:rPr>
        <w:t>Peru, supra,</w:t>
      </w:r>
      <w:r w:rsidRPr="004204B2">
        <w:rPr>
          <w:lang w:val="es-CR"/>
        </w:rPr>
        <w:t xml:space="preserve"> para. 148. </w:t>
      </w:r>
    </w:p>
  </w:footnote>
  <w:footnote w:id="332">
    <w:p w14:paraId="58CCFD10" w14:textId="050D528A" w:rsidR="0068647C" w:rsidRPr="000E696E" w:rsidRDefault="0068647C" w:rsidP="00D61BD2">
      <w:pPr>
        <w:pStyle w:val="Textonotapie"/>
      </w:pPr>
      <w:r w:rsidRPr="000E696E">
        <w:rPr>
          <w:rStyle w:val="Refdenotaalpie"/>
          <w:sz w:val="16"/>
        </w:rPr>
        <w:footnoteRef/>
      </w:r>
      <w:r w:rsidRPr="004204B2">
        <w:rPr>
          <w:vertAlign w:val="superscript"/>
          <w:lang w:val="es-CR"/>
        </w:rPr>
        <w:t xml:space="preserve"> </w:t>
      </w:r>
      <w:r w:rsidRPr="004204B2">
        <w:rPr>
          <w:lang w:val="es-CR"/>
        </w:rPr>
        <w:tab/>
      </w:r>
      <w:r w:rsidRPr="004204B2">
        <w:rPr>
          <w:i/>
          <w:iCs/>
          <w:lang w:val="es-CR"/>
        </w:rPr>
        <w:t xml:space="preserve">Case of Cantoral Huamaní and García Santa Cruz v. </w:t>
      </w:r>
      <w:r w:rsidRPr="004204B2">
        <w:rPr>
          <w:i/>
          <w:iCs/>
          <w:lang w:val="es-CR"/>
        </w:rPr>
        <w:t>Peru, supra,</w:t>
      </w:r>
      <w:r w:rsidRPr="004204B2">
        <w:rPr>
          <w:lang w:val="es-CR"/>
        </w:rPr>
        <w:t xml:space="preserve"> para. </w:t>
      </w:r>
      <w:r w:rsidRPr="000E696E">
        <w:t xml:space="preserve">144. </w:t>
      </w:r>
    </w:p>
  </w:footnote>
  <w:footnote w:id="333">
    <w:p w14:paraId="4B15220F" w14:textId="4ED79B57" w:rsidR="0068647C" w:rsidRPr="000E696E" w:rsidRDefault="0068647C" w:rsidP="00D61BD2">
      <w:pPr>
        <w:pStyle w:val="Textonotapie"/>
      </w:pPr>
      <w:r w:rsidRPr="000E696E">
        <w:rPr>
          <w:rStyle w:val="Refdenotaalpie"/>
          <w:sz w:val="16"/>
        </w:rPr>
        <w:footnoteRef/>
      </w:r>
      <w:r w:rsidRPr="000E696E">
        <w:rPr>
          <w:vertAlign w:val="superscript"/>
        </w:rPr>
        <w:t xml:space="preserve"> </w:t>
      </w:r>
      <w:r w:rsidRPr="000E696E">
        <w:tab/>
      </w:r>
      <w:r w:rsidRPr="000E696E">
        <w:rPr>
          <w:i/>
          <w:iCs/>
        </w:rPr>
        <w:t>Entitlement of Legal Entities to Hold Rights under the Inter-American Human Rights System (Interpretation and scope of Article 1(2), in relation to Articles 1(1), 8, 11(2), 13, 16, 21, 24, 25, 29, 30, 44, 46, and 62(3) of the American Convention on Human Rights, as well as of Article 8(1) A and B of the Protocol of San Salvador).</w:t>
      </w:r>
      <w:r w:rsidRPr="000E696E">
        <w:t xml:space="preserve"> Advisory Opinion OC-22/16 of February 26, 2016. Series A No. 22, para. 92. </w:t>
      </w:r>
    </w:p>
  </w:footnote>
  <w:footnote w:id="334">
    <w:p w14:paraId="17D95C9F" w14:textId="6FA2F37F"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rPr>
        <w:t>Cf.</w:t>
      </w:r>
      <w:r w:rsidRPr="000E696E">
        <w:t xml:space="preserve"> </w:t>
      </w:r>
      <w:r w:rsidRPr="000E696E">
        <w:rPr>
          <w:i/>
          <w:iCs/>
        </w:rPr>
        <w:t>Case of Lagos del Campo v. Peru, supra,</w:t>
      </w:r>
      <w:r w:rsidRPr="000E696E">
        <w:t xml:space="preserve"> para. 162.</w:t>
      </w:r>
    </w:p>
  </w:footnote>
  <w:footnote w:id="335">
    <w:p w14:paraId="08C2ED06" w14:textId="2F378DE1" w:rsidR="0068647C" w:rsidRPr="004204B2" w:rsidRDefault="0068647C" w:rsidP="00D61BD2">
      <w:pPr>
        <w:pStyle w:val="Textonotapie"/>
        <w:rPr>
          <w:lang w:val="es-CR"/>
        </w:rPr>
      </w:pPr>
      <w:r w:rsidRPr="000E696E">
        <w:rPr>
          <w:rStyle w:val="Refdenotaalpie"/>
          <w:sz w:val="16"/>
        </w:rPr>
        <w:footnoteRef/>
      </w:r>
      <w:r w:rsidRPr="000E696E">
        <w:t xml:space="preserve"> </w:t>
      </w:r>
      <w:r w:rsidRPr="000E696E">
        <w:tab/>
        <w:t xml:space="preserve">In this regard, it should be noted that the judgment itself recognizes, in a synergetic manner, the relationship that exists between the American Declaration of the Rights and Duties of Man, the OAS Charter, the Inter-American Democratic Charter and the 1971 Convention on Workers’ Representatives, which also protects the right of workers to associate to defend their interests. </w:t>
      </w:r>
      <w:r w:rsidRPr="004204B2">
        <w:rPr>
          <w:i/>
          <w:lang w:val="es-CR"/>
        </w:rPr>
        <w:t xml:space="preserve">Cf. Case of Lagos del Campo v. </w:t>
      </w:r>
      <w:r w:rsidRPr="004204B2">
        <w:rPr>
          <w:i/>
          <w:lang w:val="es-CR"/>
        </w:rPr>
        <w:t>Peru, supra</w:t>
      </w:r>
      <w:r w:rsidRPr="004204B2">
        <w:rPr>
          <w:lang w:val="es-CR"/>
        </w:rPr>
        <w:t xml:space="preserve">, para. 158 and footnote 230. </w:t>
      </w:r>
    </w:p>
  </w:footnote>
  <w:footnote w:id="336">
    <w:p w14:paraId="390BA791" w14:textId="0DC58BB7" w:rsidR="0068647C" w:rsidRPr="004204B2" w:rsidRDefault="0068647C" w:rsidP="00D61BD2">
      <w:pPr>
        <w:pStyle w:val="Textonotapie"/>
        <w:rPr>
          <w:lang w:val="es-CR"/>
        </w:rPr>
      </w:pPr>
      <w:r w:rsidRPr="000E696E">
        <w:rPr>
          <w:rStyle w:val="Refdenotaalpie"/>
          <w:sz w:val="16"/>
        </w:rPr>
        <w:footnoteRef/>
      </w:r>
      <w:r w:rsidRPr="004204B2">
        <w:rPr>
          <w:lang w:val="es-CR"/>
        </w:rPr>
        <w:t xml:space="preserve"> </w:t>
      </w:r>
      <w:r w:rsidRPr="004204B2">
        <w:rPr>
          <w:lang w:val="es-CR"/>
        </w:rPr>
        <w:tab/>
      </w:r>
      <w:r w:rsidRPr="004204B2">
        <w:rPr>
          <w:i/>
          <w:lang w:val="es-CR"/>
        </w:rPr>
        <w:t>Cf.</w:t>
      </w:r>
      <w:r w:rsidRPr="004204B2">
        <w:rPr>
          <w:lang w:val="es-CR"/>
        </w:rPr>
        <w:t xml:space="preserve"> </w:t>
      </w:r>
      <w:r w:rsidRPr="004204B2">
        <w:rPr>
          <w:i/>
          <w:iCs/>
          <w:lang w:val="es-CR"/>
        </w:rPr>
        <w:t xml:space="preserve">Case of Lagos del Campo v. </w:t>
      </w:r>
      <w:r w:rsidRPr="004204B2">
        <w:rPr>
          <w:i/>
          <w:iCs/>
          <w:lang w:val="es-CR"/>
        </w:rPr>
        <w:t>Peru, supra</w:t>
      </w:r>
      <w:r w:rsidRPr="004204B2">
        <w:rPr>
          <w:lang w:val="es-CR"/>
        </w:rPr>
        <w:t xml:space="preserve">, para. 157. </w:t>
      </w:r>
    </w:p>
  </w:footnote>
  <w:footnote w:id="337">
    <w:p w14:paraId="0F283BD9" w14:textId="68F84A4A" w:rsidR="0068647C" w:rsidRPr="000E696E" w:rsidRDefault="0068647C" w:rsidP="00D61BD2">
      <w:pPr>
        <w:pStyle w:val="Textonotapie"/>
      </w:pPr>
      <w:r w:rsidRPr="000E696E">
        <w:rPr>
          <w:rStyle w:val="Refdenotaalpie"/>
          <w:sz w:val="16"/>
        </w:rPr>
        <w:footnoteRef/>
      </w:r>
      <w:r w:rsidRPr="004204B2">
        <w:rPr>
          <w:vertAlign w:val="superscript"/>
          <w:lang w:val="es-CR"/>
        </w:rPr>
        <w:t xml:space="preserve"> </w:t>
      </w:r>
      <w:r w:rsidRPr="004204B2">
        <w:rPr>
          <w:lang w:val="es-CR"/>
        </w:rPr>
        <w:tab/>
      </w:r>
      <w:r w:rsidRPr="004204B2">
        <w:rPr>
          <w:i/>
          <w:lang w:val="es-CR"/>
        </w:rPr>
        <w:t>Cf.</w:t>
      </w:r>
      <w:r w:rsidRPr="004204B2">
        <w:rPr>
          <w:lang w:val="es-CR"/>
        </w:rPr>
        <w:t xml:space="preserve"> </w:t>
      </w:r>
      <w:r w:rsidRPr="004204B2">
        <w:rPr>
          <w:i/>
          <w:iCs/>
          <w:lang w:val="es-CR"/>
        </w:rPr>
        <w:t xml:space="preserve">Case of Lagos del Campo v. </w:t>
      </w:r>
      <w:r w:rsidRPr="004204B2">
        <w:rPr>
          <w:i/>
          <w:iCs/>
          <w:lang w:val="es-CR"/>
        </w:rPr>
        <w:t>Peru, supra,</w:t>
      </w:r>
      <w:r w:rsidRPr="004204B2">
        <w:rPr>
          <w:lang w:val="es-CR"/>
        </w:rPr>
        <w:t xml:space="preserve"> para. 157; </w:t>
      </w:r>
      <w:r w:rsidRPr="004204B2">
        <w:rPr>
          <w:rStyle w:val="Textoennegrita"/>
          <w:b w:val="0"/>
          <w:i/>
          <w:color w:val="000000"/>
          <w:shd w:val="clear" w:color="auto" w:fill="FFFFFF"/>
          <w:lang w:val="es-CR"/>
        </w:rPr>
        <w:t xml:space="preserve">Case of Baena Ricardo et al. v. Panama, supra, </w:t>
      </w:r>
      <w:r w:rsidRPr="004204B2">
        <w:rPr>
          <w:rStyle w:val="Textoennegrita"/>
          <w:b w:val="0"/>
          <w:color w:val="000000"/>
          <w:shd w:val="clear" w:color="auto" w:fill="FFFFFF"/>
          <w:lang w:val="es-CR"/>
        </w:rPr>
        <w:t>paras. 156 and 158</w:t>
      </w:r>
      <w:r w:rsidRPr="004204B2">
        <w:rPr>
          <w:bCs/>
          <w:lang w:val="es-CR"/>
        </w:rPr>
        <w:t xml:space="preserve">; </w:t>
      </w:r>
      <w:r w:rsidRPr="004204B2">
        <w:rPr>
          <w:i/>
          <w:lang w:val="es-CR"/>
        </w:rPr>
        <w:t>Case of Huilca Tecse v. Peru, supra,</w:t>
      </w:r>
      <w:r w:rsidRPr="004204B2">
        <w:rPr>
          <w:lang w:val="es-CR"/>
        </w:rPr>
        <w:t xml:space="preserve"> paras. 67, 69, 70, 73, 75, 77, and </w:t>
      </w:r>
      <w:r w:rsidRPr="004204B2">
        <w:rPr>
          <w:i/>
          <w:lang w:val="es-CR"/>
        </w:rPr>
        <w:t xml:space="preserve">Case of Cantoral Huamaní and García Santa Cruz v. Peru, supra, </w:t>
      </w:r>
      <w:r w:rsidRPr="004204B2">
        <w:rPr>
          <w:iCs/>
          <w:lang w:val="es-CR"/>
        </w:rPr>
        <w:t>paras.</w:t>
      </w:r>
      <w:r w:rsidRPr="004204B2">
        <w:rPr>
          <w:lang w:val="es-CR"/>
        </w:rPr>
        <w:t xml:space="preserve"> </w:t>
      </w:r>
      <w:r w:rsidRPr="000E696E">
        <w:t xml:space="preserve">144, 145, 146 and </w:t>
      </w:r>
      <w:r w:rsidRPr="000E696E">
        <w:rPr>
          <w:i/>
          <w:iCs/>
        </w:rPr>
        <w:t>Cf.</w:t>
      </w:r>
      <w:r w:rsidRPr="000E696E">
        <w:t xml:space="preserve"> ILO. Convention No. 87 on </w:t>
      </w:r>
      <w:r w:rsidRPr="000E696E">
        <w:rPr>
          <w:iCs/>
        </w:rPr>
        <w:t>Freedom of Association and Protection of the Right to Organize</w:t>
      </w:r>
      <w:r w:rsidRPr="000E696E">
        <w:t xml:space="preserve">, of June 17, 1948, and Convention No. 98 on </w:t>
      </w:r>
      <w:r w:rsidRPr="000E696E">
        <w:rPr>
          <w:iCs/>
        </w:rPr>
        <w:t>Right to Organize and Collective Bargaining,</w:t>
      </w:r>
      <w:r w:rsidRPr="000E696E">
        <w:t xml:space="preserve"> of June 8, 1949.</w:t>
      </w:r>
    </w:p>
  </w:footnote>
  <w:footnote w:id="338">
    <w:p w14:paraId="158CA2F7" w14:textId="2F937C7E" w:rsidR="0068647C" w:rsidRPr="000E696E" w:rsidRDefault="0068647C" w:rsidP="00AA1EBF">
      <w:pPr>
        <w:pStyle w:val="NormalWeb"/>
        <w:spacing w:before="0" w:beforeAutospacing="0" w:after="60" w:afterAutospacing="0"/>
        <w:jc w:val="both"/>
        <w:rPr>
          <w:rFonts w:ascii="Verdana" w:hAnsi="Verdana"/>
          <w:sz w:val="16"/>
          <w:szCs w:val="16"/>
          <w:lang w:val="en-US"/>
        </w:rPr>
      </w:pPr>
      <w:r w:rsidRPr="000E696E">
        <w:rPr>
          <w:rStyle w:val="Refdenotaalpie"/>
          <w:rFonts w:eastAsia="Batang"/>
          <w:sz w:val="16"/>
          <w:szCs w:val="16"/>
          <w:lang w:val="en-US" w:eastAsia="es-ES"/>
        </w:rPr>
        <w:footnoteRef/>
      </w:r>
      <w:r w:rsidRPr="000E696E">
        <w:rPr>
          <w:rStyle w:val="Refdenotaalpie"/>
          <w:rFonts w:eastAsia="Batang"/>
          <w:sz w:val="16"/>
          <w:szCs w:val="16"/>
          <w:lang w:val="en-US" w:eastAsia="es-ES"/>
        </w:rPr>
        <w:t xml:space="preserve"> </w:t>
      </w:r>
      <w:r w:rsidRPr="000E696E">
        <w:rPr>
          <w:rFonts w:ascii="Verdana" w:hAnsi="Verdana"/>
          <w:sz w:val="16"/>
          <w:szCs w:val="16"/>
          <w:lang w:val="en-US"/>
        </w:rPr>
        <w:tab/>
        <w:t xml:space="preserve">Consequently, the Court considered that the most favorable interpretation </w:t>
      </w:r>
      <w:r w:rsidRPr="000E696E">
        <w:rPr>
          <w:rFonts w:ascii="Verdana" w:hAnsi="Verdana"/>
          <w:sz w:val="16"/>
          <w:szCs w:val="16"/>
          <w:u w:val="single"/>
          <w:lang w:val="en-US"/>
        </w:rPr>
        <w:t xml:space="preserve">of Article 8(1)(a) entailed understanding that it </w:t>
      </w:r>
      <w:r w:rsidRPr="000E696E">
        <w:rPr>
          <w:rFonts w:ascii="Verdana" w:hAnsi="Verdana"/>
          <w:b/>
          <w:sz w:val="16"/>
          <w:szCs w:val="16"/>
          <w:u w:val="single"/>
          <w:lang w:val="en-US"/>
        </w:rPr>
        <w:t>establishes rights</w:t>
      </w:r>
      <w:r w:rsidRPr="000E696E">
        <w:rPr>
          <w:rFonts w:ascii="Verdana" w:hAnsi="Verdana"/>
          <w:sz w:val="16"/>
          <w:szCs w:val="16"/>
          <w:u w:val="single"/>
          <w:lang w:val="en-US"/>
        </w:rPr>
        <w:t xml:space="preserve"> in favor of trade unions, federations and confederations,</w:t>
      </w:r>
      <w:r w:rsidRPr="000E696E">
        <w:rPr>
          <w:rFonts w:ascii="Verdana" w:hAnsi="Verdana"/>
          <w:sz w:val="16"/>
          <w:szCs w:val="16"/>
          <w:lang w:val="en-US"/>
        </w:rPr>
        <w:t xml:space="preserve"> because they are interlocutors of their members and seek to safeguard and ensure their rights and interests. Reaching any other conclusion would mean excluding the effects of the OAS Charter and, consequently, prejudicing the effective enjoyment of the rights it recognizes. </w:t>
      </w:r>
      <w:r w:rsidRPr="000E696E">
        <w:rPr>
          <w:rFonts w:ascii="Verdana" w:hAnsi="Verdana"/>
          <w:i/>
          <w:iCs/>
          <w:sz w:val="16"/>
          <w:szCs w:val="16"/>
          <w:lang w:val="en-US"/>
        </w:rPr>
        <w:t>Entitlement of Legal Entities to Hold Rights under the Inter-American Human Rights System (Interpretation and scope of Article 1(2), in relation to Articles 1(1), 8, 11(2), 13, 16, 21, 24, 25, 29, 30, 44, 46, and 62(3) of the American Convention on Human Rights, as well as of Article 8(1) A and B of the Protocol of San Salvador).</w:t>
      </w:r>
      <w:r w:rsidRPr="000E696E">
        <w:rPr>
          <w:rFonts w:ascii="Verdana" w:hAnsi="Verdana"/>
          <w:sz w:val="16"/>
          <w:szCs w:val="16"/>
          <w:lang w:val="en-US"/>
        </w:rPr>
        <w:t xml:space="preserve"> </w:t>
      </w:r>
      <w:r w:rsidRPr="000E696E">
        <w:rPr>
          <w:rFonts w:ascii="Verdana" w:hAnsi="Verdana" w:cs="Verdana"/>
          <w:bCs/>
          <w:i/>
          <w:sz w:val="16"/>
          <w:szCs w:val="16"/>
          <w:lang w:val="en-US"/>
        </w:rPr>
        <w:t>OC-22/16, supra</w:t>
      </w:r>
      <w:r w:rsidRPr="000E696E">
        <w:rPr>
          <w:rFonts w:ascii="Verdana" w:hAnsi="Verdana" w:cs="Verdana"/>
          <w:bCs/>
          <w:sz w:val="16"/>
          <w:szCs w:val="16"/>
          <w:lang w:val="en-US"/>
        </w:rPr>
        <w:t xml:space="preserve">, para. </w:t>
      </w:r>
      <w:r w:rsidRPr="000E696E">
        <w:rPr>
          <w:rFonts w:ascii="Verdana" w:hAnsi="Verdana"/>
          <w:sz w:val="16"/>
          <w:szCs w:val="16"/>
          <w:lang w:val="en-US"/>
        </w:rPr>
        <w:t>97.</w:t>
      </w:r>
    </w:p>
  </w:footnote>
  <w:footnote w:id="339">
    <w:p w14:paraId="4F549ADF" w14:textId="2D0907FE" w:rsidR="0068647C" w:rsidRPr="000E696E" w:rsidRDefault="0068647C" w:rsidP="00D61BD2">
      <w:pPr>
        <w:pStyle w:val="Textonotapie"/>
      </w:pPr>
      <w:r w:rsidRPr="000E696E">
        <w:rPr>
          <w:rStyle w:val="Refdenotaalpie"/>
          <w:sz w:val="16"/>
        </w:rPr>
        <w:footnoteRef/>
      </w:r>
      <w:r w:rsidRPr="000E696E">
        <w:t xml:space="preserve"> </w:t>
      </w:r>
      <w:r w:rsidRPr="000E696E">
        <w:tab/>
      </w:r>
      <w:r w:rsidRPr="000E696E">
        <w:rPr>
          <w:i/>
          <w:iCs/>
        </w:rPr>
        <w:t>Entitlement of Legal Entities to Hold Rights under the Inter-American Human Rights System (Interpretation and scope of Article 1(2), in relation to Articles 1(1), 8, 11(2), 13, 16, 21, 24, 25, 29, 30, 44, 46, and 62(3) of the American Convention on Human Rights, as well as of Article 8(1) A and B of the Protocol of San Salvador).</w:t>
      </w:r>
      <w:r w:rsidRPr="000E696E">
        <w:t xml:space="preserve"> OC-22/16, supra, para. 101 and 102. </w:t>
      </w:r>
    </w:p>
  </w:footnote>
  <w:footnote w:id="340">
    <w:p w14:paraId="7BC63F3D" w14:textId="1B7EAD0C" w:rsidR="0068647C" w:rsidRPr="000E696E" w:rsidRDefault="0068647C" w:rsidP="00D61BD2">
      <w:pPr>
        <w:pStyle w:val="Textonotapie"/>
        <w:rPr>
          <w:b/>
        </w:rPr>
      </w:pPr>
      <w:r w:rsidRPr="000E696E">
        <w:rPr>
          <w:rStyle w:val="Refdenotaalpie"/>
          <w:sz w:val="16"/>
        </w:rPr>
        <w:footnoteRef/>
      </w:r>
      <w:r w:rsidRPr="000E696E">
        <w:t xml:space="preserve"> </w:t>
      </w:r>
      <w:r w:rsidRPr="000E696E">
        <w:tab/>
      </w:r>
      <w:r w:rsidRPr="000E696E">
        <w:rPr>
          <w:i/>
        </w:rPr>
        <w:t>Cf.</w:t>
      </w:r>
      <w:r w:rsidRPr="000E696E">
        <w:t xml:space="preserve"> </w:t>
      </w:r>
      <w:r w:rsidRPr="000E696E">
        <w:rPr>
          <w:i/>
          <w:iCs/>
        </w:rPr>
        <w:t>The Right to Information on Consular Assistance within the Framework of the Guarantees of Due Process of Law.</w:t>
      </w:r>
      <w:r w:rsidRPr="000E696E">
        <w:t xml:space="preserve">  Advisory Opinion OC-16/99 of October 1, 1999. Series A No. 16, para. 114.</w:t>
      </w:r>
      <w:r w:rsidRPr="000E696E">
        <w:rPr>
          <w:b/>
        </w:rPr>
        <w:t xml:space="preserve"> </w:t>
      </w:r>
    </w:p>
  </w:footnote>
  <w:footnote w:id="341">
    <w:p w14:paraId="7F750C61" w14:textId="062D8030" w:rsidR="0068647C" w:rsidRPr="000E696E" w:rsidRDefault="0068647C" w:rsidP="00D61BD2">
      <w:pPr>
        <w:pStyle w:val="Textonotapie"/>
        <w:rPr>
          <w:rFonts w:cs="Verdana"/>
          <w:bCs/>
        </w:rPr>
      </w:pPr>
      <w:r w:rsidRPr="000E696E">
        <w:rPr>
          <w:rStyle w:val="Refdenotaalpie"/>
          <w:sz w:val="16"/>
        </w:rPr>
        <w:footnoteRef/>
      </w:r>
      <w:r w:rsidRPr="000E696E">
        <w:t xml:space="preserve"> </w:t>
      </w:r>
      <w:r w:rsidRPr="000E696E">
        <w:tab/>
        <w:t xml:space="preserve">For example, this has been reflected in case law on indigenous matters in relation to Article 21 of the American Convention, </w:t>
      </w:r>
      <w:r w:rsidRPr="000E696E">
        <w:rPr>
          <w:i/>
        </w:rPr>
        <w:t xml:space="preserve">Cf. </w:t>
      </w:r>
      <w:r w:rsidRPr="000E696E">
        <w:rPr>
          <w:rFonts w:cs="Verdana"/>
          <w:bCs/>
          <w:i/>
        </w:rPr>
        <w:t>Case of the Mayagna (Sumo) Awas Tingni Community v. Nicaragua. Merits, reparations and costs.</w:t>
      </w:r>
      <w:r w:rsidRPr="000E696E">
        <w:rPr>
          <w:rFonts w:cs="Verdana"/>
          <w:bCs/>
        </w:rPr>
        <w:t xml:space="preserve"> Judgment of August 31, 2001. Series C No. 79 and </w:t>
      </w:r>
      <w:r w:rsidRPr="000E696E">
        <w:rPr>
          <w:rFonts w:cs="Verdana"/>
          <w:bCs/>
          <w:i/>
        </w:rPr>
        <w:t>Case of the Kaliña and Lokono Peoples v. Suriname. Merits, reparations and costs.</w:t>
      </w:r>
      <w:r w:rsidRPr="000E696E">
        <w:rPr>
          <w:rFonts w:cs="Verdana"/>
          <w:bCs/>
        </w:rPr>
        <w:t xml:space="preserve"> Judgment of November 25, 2015. Series C No. 309.</w:t>
      </w:r>
    </w:p>
  </w:footnote>
  <w:footnote w:id="342">
    <w:p w14:paraId="4868E3CB" w14:textId="0E1E8263" w:rsidR="0068647C" w:rsidRPr="000E696E" w:rsidRDefault="0068647C" w:rsidP="00D61BD2">
      <w:pPr>
        <w:pStyle w:val="Textonotapie"/>
      </w:pPr>
      <w:r w:rsidRPr="000E696E">
        <w:rPr>
          <w:rStyle w:val="Refdenotaalpie"/>
          <w:sz w:val="16"/>
        </w:rPr>
        <w:footnoteRef/>
      </w:r>
      <w:r w:rsidRPr="000E696E">
        <w:t xml:space="preserve"> </w:t>
      </w:r>
      <w:r w:rsidRPr="000E696E">
        <w:tab/>
        <w:t xml:space="preserve">See particularly the construct developed by the Inter-American Court in the case of Gonzales Lluy with regard to the right to education. </w:t>
      </w:r>
      <w:r w:rsidRPr="004204B2">
        <w:rPr>
          <w:rFonts w:cs="Verdana"/>
          <w:bCs/>
          <w:i/>
          <w:lang w:val="es-CR"/>
        </w:rPr>
        <w:t xml:space="preserve">Case of Gonzales </w:t>
      </w:r>
      <w:r w:rsidRPr="004204B2">
        <w:rPr>
          <w:rFonts w:cs="Verdana"/>
          <w:bCs/>
          <w:i/>
          <w:lang w:val="es-CR"/>
        </w:rPr>
        <w:t xml:space="preserve">Lluy et al. v. Ecuador, supra, </w:t>
      </w:r>
      <w:r w:rsidRPr="004204B2">
        <w:rPr>
          <w:rFonts w:cs="Verdana"/>
          <w:bCs/>
          <w:lang w:val="es-CR"/>
        </w:rPr>
        <w:t xml:space="preserve">paras. </w:t>
      </w:r>
      <w:r w:rsidRPr="000E696E">
        <w:rPr>
          <w:rFonts w:cs="Verdana"/>
          <w:bCs/>
        </w:rPr>
        <w:t>233 to 291.</w:t>
      </w:r>
      <w:r w:rsidRPr="000E696E">
        <w:rPr>
          <w:rFonts w:cs="Verdana"/>
          <w:b/>
          <w:bCs/>
        </w:rPr>
        <w:t xml:space="preserve">   </w:t>
      </w:r>
      <w:r w:rsidRPr="000E696E">
        <w:t xml:space="preserve"> </w:t>
      </w:r>
    </w:p>
  </w:footnote>
  <w:footnote w:id="343">
    <w:p w14:paraId="0BD9E5E0" w14:textId="74EBDFB7" w:rsidR="0068647C" w:rsidRPr="000E696E" w:rsidRDefault="0068647C" w:rsidP="00D61BD2">
      <w:pPr>
        <w:pStyle w:val="Textonotapie"/>
      </w:pPr>
      <w:r w:rsidRPr="000E696E">
        <w:rPr>
          <w:rStyle w:val="Refdenotaalpie"/>
          <w:sz w:val="16"/>
        </w:rPr>
        <w:footnoteRef/>
      </w:r>
      <w:r w:rsidRPr="000E696E">
        <w:t xml:space="preserve"> </w:t>
      </w:r>
      <w:r w:rsidRPr="000E696E">
        <w:tab/>
        <w:t xml:space="preserve">There are nuances even in the area of labor matters: for example, there may be people who work in an organization or association who are prevented from performing their work, which would mean that their work-related right to freedom of association had been infringed. However, in the case of Lagos del Campos, </w:t>
      </w:r>
      <w:r w:rsidRPr="000E696E">
        <w:rPr>
          <w:u w:val="single"/>
        </w:rPr>
        <w:t>the purpose was the defense and promotion of his labor-related interests, which made even more specific the right to labor-related freedom of association for labor-related contexts of non-trade union labor associations.</w:t>
      </w:r>
    </w:p>
  </w:footnote>
  <w:footnote w:id="344">
    <w:p w14:paraId="6261E509" w14:textId="269AEC11" w:rsidR="0068647C" w:rsidRPr="004204B2" w:rsidRDefault="0068647C" w:rsidP="00AA1EBF">
      <w:pPr>
        <w:pStyle w:val="NormalWeb"/>
        <w:spacing w:before="0" w:beforeAutospacing="0" w:after="60" w:afterAutospacing="0"/>
        <w:jc w:val="both"/>
        <w:rPr>
          <w:rFonts w:ascii="Verdana" w:hAnsi="Verdana"/>
          <w:sz w:val="16"/>
          <w:szCs w:val="16"/>
        </w:rPr>
      </w:pPr>
      <w:r w:rsidRPr="000E696E">
        <w:rPr>
          <w:rStyle w:val="Refdenotaalpie"/>
          <w:rFonts w:eastAsiaTheme="majorEastAsia"/>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i/>
          <w:sz w:val="16"/>
          <w:szCs w:val="16"/>
          <w:lang w:val="en-US"/>
        </w:rPr>
        <w:t>Cf.</w:t>
      </w:r>
      <w:r w:rsidRPr="000E696E">
        <w:rPr>
          <w:rFonts w:ascii="Verdana" w:hAnsi="Verdana"/>
          <w:sz w:val="16"/>
          <w:szCs w:val="16"/>
          <w:lang w:val="en-US"/>
        </w:rPr>
        <w:t xml:space="preserve"> </w:t>
      </w:r>
      <w:r w:rsidRPr="000E696E">
        <w:rPr>
          <w:rFonts w:ascii="Verdana" w:hAnsi="Verdana"/>
          <w:bCs/>
          <w:i/>
          <w:sz w:val="16"/>
          <w:szCs w:val="16"/>
          <w:lang w:val="en-US"/>
        </w:rPr>
        <w:t>Case of Kawas Fernández v. Honduras. Merits, reparations and costs</w:t>
      </w:r>
      <w:r w:rsidRPr="000E696E">
        <w:rPr>
          <w:rFonts w:ascii="Verdana" w:hAnsi="Verdana"/>
          <w:bCs/>
          <w:sz w:val="16"/>
          <w:szCs w:val="16"/>
          <w:lang w:val="en-US"/>
        </w:rPr>
        <w:t xml:space="preserve">. Judgment of April 3, 2009. </w:t>
      </w:r>
      <w:r w:rsidRPr="004204B2">
        <w:rPr>
          <w:rFonts w:ascii="Verdana" w:hAnsi="Verdana"/>
          <w:bCs/>
          <w:sz w:val="16"/>
          <w:szCs w:val="16"/>
        </w:rPr>
        <w:t>Series C No. 196, para. 151.</w:t>
      </w:r>
      <w:r w:rsidRPr="004204B2">
        <w:rPr>
          <w:rFonts w:ascii="Verdana" w:hAnsi="Verdana"/>
          <w:sz w:val="16"/>
          <w:szCs w:val="16"/>
        </w:rPr>
        <w:t xml:space="preserve"> </w:t>
      </w:r>
    </w:p>
  </w:footnote>
  <w:footnote w:id="345">
    <w:p w14:paraId="6CCFFFC9" w14:textId="6F8F84F6" w:rsidR="0068647C" w:rsidRPr="004204B2" w:rsidRDefault="0068647C" w:rsidP="00D61BD2">
      <w:pPr>
        <w:pStyle w:val="Textonotapie"/>
        <w:rPr>
          <w:lang w:val="es-CR"/>
        </w:rPr>
      </w:pPr>
      <w:r w:rsidRPr="000E696E">
        <w:rPr>
          <w:rStyle w:val="Refdenotaalpie"/>
          <w:sz w:val="16"/>
        </w:rPr>
        <w:footnoteRef/>
      </w:r>
      <w:r w:rsidRPr="004204B2">
        <w:rPr>
          <w:lang w:val="es-CR"/>
        </w:rPr>
        <w:t xml:space="preserve"> </w:t>
      </w:r>
      <w:r w:rsidRPr="004204B2">
        <w:rPr>
          <w:lang w:val="es-CR"/>
        </w:rPr>
        <w:tab/>
      </w:r>
      <w:r w:rsidRPr="004204B2">
        <w:rPr>
          <w:iCs/>
          <w:lang w:val="es-CR"/>
        </w:rPr>
        <w:t xml:space="preserve">Cf. </w:t>
      </w:r>
      <w:r w:rsidRPr="004204B2">
        <w:rPr>
          <w:i/>
          <w:lang w:val="es-CR"/>
        </w:rPr>
        <w:t xml:space="preserve">Case of </w:t>
      </w:r>
      <w:r w:rsidRPr="004204B2">
        <w:rPr>
          <w:i/>
          <w:lang w:val="es-CR"/>
        </w:rPr>
        <w:t>Kawas Fernández v. Honduras, supra</w:t>
      </w:r>
      <w:r w:rsidRPr="004204B2">
        <w:rPr>
          <w:lang w:val="es-CR"/>
        </w:rPr>
        <w:t>, para. 149.</w:t>
      </w:r>
    </w:p>
  </w:footnote>
  <w:footnote w:id="346">
    <w:p w14:paraId="1FF755F0" w14:textId="686AAB31" w:rsidR="0068647C" w:rsidRPr="004204B2" w:rsidRDefault="0068647C" w:rsidP="00C86693">
      <w:pPr>
        <w:tabs>
          <w:tab w:val="left" w:pos="720"/>
        </w:tabs>
        <w:spacing w:after="60"/>
        <w:rPr>
          <w:rFonts w:ascii="Verdana" w:eastAsia="Times New Roman" w:hAnsi="Verdana"/>
          <w:i/>
          <w:iCs/>
          <w:sz w:val="16"/>
          <w:szCs w:val="16"/>
          <w:lang w:val="es-CR"/>
        </w:rPr>
      </w:pPr>
      <w:r w:rsidRPr="000E696E">
        <w:rPr>
          <w:rStyle w:val="Refdenotaalpie"/>
          <w:sz w:val="16"/>
          <w:szCs w:val="16"/>
          <w:lang w:val="en-US"/>
        </w:rPr>
        <w:footnoteRef/>
      </w:r>
      <w:r w:rsidRPr="004204B2">
        <w:rPr>
          <w:rFonts w:ascii="Verdana" w:hAnsi="Verdana"/>
          <w:sz w:val="16"/>
          <w:szCs w:val="16"/>
          <w:lang w:val="es-CR"/>
        </w:rPr>
        <w:t xml:space="preserve"> </w:t>
      </w:r>
      <w:r w:rsidRPr="004204B2">
        <w:rPr>
          <w:rFonts w:ascii="Verdana" w:hAnsi="Verdana"/>
          <w:i/>
          <w:iCs/>
          <w:sz w:val="16"/>
          <w:szCs w:val="16"/>
          <w:lang w:val="es-CR"/>
        </w:rPr>
        <w:tab/>
        <w:t xml:space="preserve">Cf. </w:t>
      </w:r>
      <w:r w:rsidRPr="004204B2">
        <w:rPr>
          <w:rFonts w:ascii="Verdana" w:eastAsia="Times New Roman" w:hAnsi="Verdana"/>
          <w:bCs/>
          <w:i/>
          <w:iCs/>
          <w:sz w:val="16"/>
          <w:szCs w:val="16"/>
          <w:lang w:val="es-CR"/>
        </w:rPr>
        <w:t xml:space="preserve">Case of </w:t>
      </w:r>
      <w:r w:rsidRPr="004204B2">
        <w:rPr>
          <w:rFonts w:ascii="Verdana" w:eastAsia="Times New Roman" w:hAnsi="Verdana"/>
          <w:bCs/>
          <w:i/>
          <w:iCs/>
          <w:sz w:val="16"/>
          <w:szCs w:val="16"/>
          <w:lang w:val="es-CR"/>
        </w:rPr>
        <w:t xml:space="preserve">Kawas Fernández v. Honduras, supra, </w:t>
      </w:r>
      <w:r w:rsidRPr="004204B2">
        <w:rPr>
          <w:rFonts w:ascii="Verdana" w:eastAsia="Times New Roman" w:hAnsi="Verdana"/>
          <w:bCs/>
          <w:sz w:val="16"/>
          <w:szCs w:val="16"/>
          <w:lang w:val="es-CR"/>
        </w:rPr>
        <w:t>para. 146</w:t>
      </w:r>
      <w:r w:rsidRPr="004204B2">
        <w:rPr>
          <w:rFonts w:ascii="Verdana" w:eastAsia="Times New Roman" w:hAnsi="Verdana"/>
          <w:bCs/>
          <w:i/>
          <w:iCs/>
          <w:sz w:val="16"/>
          <w:szCs w:val="16"/>
          <w:lang w:val="es-CR"/>
        </w:rPr>
        <w:t xml:space="preserve">. </w:t>
      </w:r>
    </w:p>
  </w:footnote>
  <w:footnote w:id="347">
    <w:p w14:paraId="6EA8A810" w14:textId="449A9467" w:rsidR="0068647C" w:rsidRPr="004204B2" w:rsidRDefault="0068647C" w:rsidP="00D61BD2">
      <w:pPr>
        <w:pStyle w:val="Textonotapie"/>
        <w:rPr>
          <w:lang w:val="es-CR"/>
        </w:rPr>
      </w:pPr>
      <w:r w:rsidRPr="000E696E">
        <w:rPr>
          <w:rStyle w:val="Refdenotaalpie"/>
          <w:sz w:val="16"/>
        </w:rPr>
        <w:footnoteRef/>
      </w:r>
      <w:r w:rsidRPr="004204B2">
        <w:rPr>
          <w:lang w:val="es-CR"/>
        </w:rPr>
        <w:t xml:space="preserve"> </w:t>
      </w:r>
      <w:r w:rsidRPr="004204B2">
        <w:rPr>
          <w:lang w:val="es-CR"/>
        </w:rPr>
        <w:tab/>
      </w:r>
      <w:r w:rsidRPr="004204B2">
        <w:rPr>
          <w:i/>
          <w:lang w:val="es-CR"/>
        </w:rPr>
        <w:t>Cf.</w:t>
      </w:r>
      <w:r w:rsidRPr="004204B2">
        <w:rPr>
          <w:lang w:val="es-CR"/>
        </w:rPr>
        <w:t xml:space="preserve"> </w:t>
      </w:r>
      <w:r w:rsidRPr="004204B2">
        <w:rPr>
          <w:i/>
          <w:iCs/>
          <w:lang w:val="es-CR"/>
        </w:rPr>
        <w:t xml:space="preserve">Case of Lagos del Campo v. </w:t>
      </w:r>
      <w:r w:rsidRPr="004204B2">
        <w:rPr>
          <w:i/>
          <w:iCs/>
          <w:lang w:val="es-CR"/>
        </w:rPr>
        <w:t xml:space="preserve">Peru, supra, </w:t>
      </w:r>
      <w:r w:rsidRPr="004204B2">
        <w:rPr>
          <w:lang w:val="es-CR"/>
        </w:rPr>
        <w:t>para. 161.</w:t>
      </w:r>
    </w:p>
  </w:footnote>
  <w:footnote w:id="348">
    <w:p w14:paraId="5744506B" w14:textId="0E20824F" w:rsidR="0068647C" w:rsidRPr="004204B2" w:rsidRDefault="0068647C" w:rsidP="00D61BD2">
      <w:pPr>
        <w:pStyle w:val="Textonotapie"/>
        <w:rPr>
          <w:lang w:val="es-CR"/>
        </w:rPr>
      </w:pPr>
      <w:r w:rsidRPr="000E696E">
        <w:rPr>
          <w:rStyle w:val="Refdenotaalpie"/>
          <w:sz w:val="16"/>
        </w:rPr>
        <w:footnoteRef/>
      </w:r>
      <w:r w:rsidRPr="004204B2">
        <w:rPr>
          <w:lang w:val="es-CR"/>
        </w:rPr>
        <w:t xml:space="preserve"> </w:t>
      </w:r>
      <w:r w:rsidRPr="004204B2">
        <w:rPr>
          <w:lang w:val="es-CR"/>
        </w:rPr>
        <w:tab/>
      </w:r>
      <w:r w:rsidRPr="004204B2">
        <w:rPr>
          <w:i/>
          <w:lang w:val="es-CR"/>
        </w:rPr>
        <w:t>Cf.</w:t>
      </w:r>
      <w:r w:rsidRPr="004204B2">
        <w:rPr>
          <w:lang w:val="es-CR"/>
        </w:rPr>
        <w:t xml:space="preserve"> </w:t>
      </w:r>
      <w:r w:rsidRPr="004204B2">
        <w:rPr>
          <w:i/>
          <w:iCs/>
          <w:lang w:val="es-CR"/>
        </w:rPr>
        <w:t xml:space="preserve">Case of Lagos del Campo v. </w:t>
      </w:r>
      <w:r w:rsidRPr="004204B2">
        <w:rPr>
          <w:i/>
          <w:iCs/>
          <w:lang w:val="es-CR"/>
        </w:rPr>
        <w:t>Peru, supra,</w:t>
      </w:r>
      <w:r w:rsidRPr="004204B2">
        <w:rPr>
          <w:lang w:val="es-CR"/>
        </w:rPr>
        <w:t xml:space="preserve"> para. 162.</w:t>
      </w:r>
    </w:p>
  </w:footnote>
  <w:footnote w:id="349">
    <w:p w14:paraId="72CDF435" w14:textId="2ED12ED0" w:rsidR="0068647C" w:rsidRPr="004204B2" w:rsidRDefault="0068647C" w:rsidP="00D61BD2">
      <w:pPr>
        <w:pStyle w:val="Textonotapie"/>
        <w:rPr>
          <w:lang w:val="es-CR"/>
        </w:rPr>
      </w:pPr>
      <w:r w:rsidRPr="000E696E">
        <w:rPr>
          <w:rStyle w:val="Refdenotaalpie"/>
          <w:sz w:val="16"/>
        </w:rPr>
        <w:footnoteRef/>
      </w:r>
      <w:r w:rsidRPr="004204B2">
        <w:rPr>
          <w:lang w:val="es-CR"/>
        </w:rPr>
        <w:t xml:space="preserve"> </w:t>
      </w:r>
      <w:r w:rsidRPr="004204B2">
        <w:rPr>
          <w:lang w:val="es-CR"/>
        </w:rPr>
        <w:tab/>
      </w:r>
      <w:r w:rsidRPr="004204B2">
        <w:rPr>
          <w:i/>
          <w:lang w:val="es-CR"/>
        </w:rPr>
        <w:t>Cf.</w:t>
      </w:r>
      <w:r w:rsidRPr="004204B2">
        <w:rPr>
          <w:lang w:val="es-CR"/>
        </w:rPr>
        <w:t xml:space="preserve"> </w:t>
      </w:r>
      <w:r w:rsidRPr="004204B2">
        <w:rPr>
          <w:i/>
          <w:iCs/>
          <w:lang w:val="es-CR"/>
        </w:rPr>
        <w:t xml:space="preserve">Case of Lagos del Campo v. </w:t>
      </w:r>
      <w:r w:rsidRPr="004204B2">
        <w:rPr>
          <w:i/>
          <w:iCs/>
          <w:lang w:val="es-CR"/>
        </w:rPr>
        <w:t>Peru, supra,</w:t>
      </w:r>
      <w:r w:rsidRPr="004204B2">
        <w:rPr>
          <w:lang w:val="es-CR"/>
        </w:rPr>
        <w:t xml:space="preserve"> paras. 157 and 158. </w:t>
      </w:r>
    </w:p>
  </w:footnote>
  <w:footnote w:id="350">
    <w:p w14:paraId="621E7F33" w14:textId="026D99BD" w:rsidR="0068647C" w:rsidRPr="004204B2" w:rsidRDefault="0068647C" w:rsidP="00D61BD2">
      <w:pPr>
        <w:pStyle w:val="Textonotapie"/>
        <w:rPr>
          <w:lang w:val="es-CR"/>
        </w:rPr>
      </w:pPr>
      <w:r w:rsidRPr="000E696E">
        <w:rPr>
          <w:rStyle w:val="Refdenotaalpie"/>
          <w:sz w:val="16"/>
        </w:rPr>
        <w:footnoteRef/>
      </w:r>
      <w:r w:rsidRPr="004204B2">
        <w:rPr>
          <w:lang w:val="es-CR"/>
        </w:rPr>
        <w:t xml:space="preserve"> </w:t>
      </w:r>
      <w:r w:rsidRPr="004204B2">
        <w:rPr>
          <w:lang w:val="es-CR"/>
        </w:rPr>
        <w:tab/>
      </w:r>
      <w:r w:rsidRPr="004204B2">
        <w:rPr>
          <w:i/>
          <w:lang w:val="es-CR"/>
        </w:rPr>
        <w:t>Cf.</w:t>
      </w:r>
      <w:r w:rsidRPr="004204B2">
        <w:rPr>
          <w:lang w:val="es-CR"/>
        </w:rPr>
        <w:t xml:space="preserve"> </w:t>
      </w:r>
      <w:r w:rsidRPr="004204B2">
        <w:rPr>
          <w:i/>
          <w:iCs/>
          <w:lang w:val="es-CR"/>
        </w:rPr>
        <w:t xml:space="preserve">Case of Lagos del Campo v. </w:t>
      </w:r>
      <w:r w:rsidRPr="004204B2">
        <w:rPr>
          <w:i/>
          <w:iCs/>
          <w:lang w:val="es-CR"/>
        </w:rPr>
        <w:t>Peru, supra,</w:t>
      </w:r>
      <w:r w:rsidRPr="004204B2">
        <w:rPr>
          <w:lang w:val="es-CR"/>
        </w:rPr>
        <w:t xml:space="preserve"> paras. 159 and 160.</w:t>
      </w:r>
    </w:p>
  </w:footnote>
  <w:footnote w:id="351">
    <w:p w14:paraId="4702C196" w14:textId="44D9A04E" w:rsidR="0068647C" w:rsidRPr="004204B2" w:rsidRDefault="0068647C" w:rsidP="00D61BD2">
      <w:pPr>
        <w:pStyle w:val="Textonotapie"/>
        <w:rPr>
          <w:lang w:val="es-CR"/>
        </w:rPr>
      </w:pPr>
      <w:r w:rsidRPr="000E696E">
        <w:rPr>
          <w:rStyle w:val="Refdenotaalpie"/>
          <w:sz w:val="16"/>
        </w:rPr>
        <w:footnoteRef/>
      </w:r>
      <w:r w:rsidRPr="004204B2">
        <w:rPr>
          <w:lang w:val="es-CR"/>
        </w:rPr>
        <w:t xml:space="preserve"> </w:t>
      </w:r>
      <w:r w:rsidRPr="004204B2">
        <w:rPr>
          <w:lang w:val="es-CR"/>
        </w:rPr>
        <w:tab/>
      </w:r>
      <w:r w:rsidRPr="004204B2">
        <w:rPr>
          <w:i/>
          <w:lang w:val="es-CR"/>
        </w:rPr>
        <w:t>Cf.</w:t>
      </w:r>
      <w:r w:rsidRPr="004204B2">
        <w:rPr>
          <w:lang w:val="es-CR"/>
        </w:rPr>
        <w:t xml:space="preserve"> </w:t>
      </w:r>
      <w:r w:rsidRPr="004204B2">
        <w:rPr>
          <w:i/>
          <w:iCs/>
          <w:lang w:val="es-CR"/>
        </w:rPr>
        <w:t xml:space="preserve">Case of Lagos del Campo v. </w:t>
      </w:r>
      <w:r w:rsidRPr="004204B2">
        <w:rPr>
          <w:i/>
          <w:iCs/>
          <w:lang w:val="es-CR"/>
        </w:rPr>
        <w:t>Peru, supra,</w:t>
      </w:r>
      <w:r w:rsidRPr="004204B2">
        <w:rPr>
          <w:lang w:val="es-CR"/>
        </w:rPr>
        <w:t xml:space="preserve"> para. 157. </w:t>
      </w:r>
    </w:p>
  </w:footnote>
  <w:footnote w:id="352">
    <w:p w14:paraId="7D6F82A9" w14:textId="47D2025C" w:rsidR="0068647C" w:rsidRPr="004204B2" w:rsidRDefault="0068647C" w:rsidP="00D61BD2">
      <w:pPr>
        <w:pStyle w:val="Textonotapie"/>
        <w:rPr>
          <w:lang w:val="es-CR"/>
        </w:rPr>
      </w:pPr>
      <w:r w:rsidRPr="000E696E">
        <w:rPr>
          <w:rStyle w:val="Refdenotaalpie"/>
          <w:sz w:val="16"/>
        </w:rPr>
        <w:footnoteRef/>
      </w:r>
      <w:r w:rsidRPr="004204B2">
        <w:rPr>
          <w:lang w:val="es-CR"/>
        </w:rPr>
        <w:t xml:space="preserve"> </w:t>
      </w:r>
      <w:r w:rsidRPr="004204B2">
        <w:rPr>
          <w:lang w:val="es-CR"/>
        </w:rPr>
        <w:tab/>
      </w:r>
      <w:r w:rsidRPr="004204B2">
        <w:rPr>
          <w:i/>
          <w:lang w:val="es-CR"/>
        </w:rPr>
        <w:t>Cf.</w:t>
      </w:r>
      <w:r w:rsidRPr="004204B2">
        <w:rPr>
          <w:lang w:val="es-CR"/>
        </w:rPr>
        <w:t xml:space="preserve"> </w:t>
      </w:r>
      <w:r w:rsidRPr="004204B2">
        <w:rPr>
          <w:i/>
          <w:iCs/>
          <w:lang w:val="es-CR"/>
        </w:rPr>
        <w:t xml:space="preserve">Case of Lagos del Campo v. </w:t>
      </w:r>
      <w:r w:rsidRPr="004204B2">
        <w:rPr>
          <w:i/>
          <w:iCs/>
          <w:lang w:val="es-CR"/>
        </w:rPr>
        <w:t>Peru, supra,</w:t>
      </w:r>
      <w:r w:rsidRPr="004204B2">
        <w:rPr>
          <w:lang w:val="es-CR"/>
        </w:rPr>
        <w:t xml:space="preserve"> paras. 158 and 163. </w:t>
      </w:r>
    </w:p>
  </w:footnote>
  <w:footnote w:id="353">
    <w:p w14:paraId="39F489A0" w14:textId="1F9C3CB7" w:rsidR="0068647C" w:rsidRPr="000E696E" w:rsidRDefault="0068647C" w:rsidP="00D61BD2">
      <w:pPr>
        <w:pStyle w:val="Textonotapie"/>
      </w:pPr>
      <w:r w:rsidRPr="000E696E">
        <w:rPr>
          <w:rStyle w:val="Refdenotaalpie"/>
          <w:sz w:val="16"/>
        </w:rPr>
        <w:footnoteRef/>
      </w:r>
      <w:r w:rsidRPr="004204B2">
        <w:rPr>
          <w:lang w:val="es-CR"/>
        </w:rPr>
        <w:t xml:space="preserve"> </w:t>
      </w:r>
      <w:r w:rsidRPr="004204B2">
        <w:rPr>
          <w:lang w:val="es-CR"/>
        </w:rPr>
        <w:tab/>
      </w:r>
      <w:r w:rsidRPr="004204B2">
        <w:rPr>
          <w:i/>
          <w:lang w:val="es-CR"/>
        </w:rPr>
        <w:t>Cf.</w:t>
      </w:r>
      <w:r w:rsidRPr="004204B2">
        <w:rPr>
          <w:lang w:val="es-CR"/>
        </w:rPr>
        <w:t xml:space="preserve"> </w:t>
      </w:r>
      <w:r w:rsidRPr="004204B2">
        <w:rPr>
          <w:i/>
          <w:iCs/>
          <w:lang w:val="es-CR"/>
        </w:rPr>
        <w:t xml:space="preserve">Case of Lagos del Campo v. </w:t>
      </w:r>
      <w:r w:rsidRPr="004204B2">
        <w:rPr>
          <w:i/>
          <w:iCs/>
          <w:lang w:val="es-CR"/>
        </w:rPr>
        <w:t>Peru, supra</w:t>
      </w:r>
      <w:r w:rsidRPr="004204B2">
        <w:rPr>
          <w:lang w:val="es-CR"/>
        </w:rPr>
        <w:t xml:space="preserve">, para. </w:t>
      </w:r>
      <w:r w:rsidRPr="000E696E">
        <w:t xml:space="preserve">158. </w:t>
      </w:r>
    </w:p>
  </w:footnote>
  <w:footnote w:id="354">
    <w:p w14:paraId="75509F1B" w14:textId="34DE756D" w:rsidR="0068647C" w:rsidRPr="000E696E" w:rsidRDefault="0068647C" w:rsidP="008E40D7">
      <w:pPr>
        <w:pStyle w:val="NormalWeb"/>
        <w:spacing w:before="0" w:beforeAutospacing="0" w:after="0" w:afterAutospacing="0"/>
        <w:jc w:val="both"/>
        <w:rPr>
          <w:rFonts w:ascii="Verdana" w:hAnsi="Verdana" w:cs="Arial"/>
          <w:bCs/>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 xml:space="preserve">The Protocol </w:t>
      </w:r>
      <w:r>
        <w:rPr>
          <w:rFonts w:ascii="Verdana" w:hAnsi="Verdana"/>
          <w:sz w:val="16"/>
          <w:szCs w:val="16"/>
          <w:lang w:val="en-US"/>
        </w:rPr>
        <w:t>of</w:t>
      </w:r>
      <w:r w:rsidRPr="000E696E">
        <w:rPr>
          <w:rFonts w:ascii="Verdana" w:hAnsi="Verdana"/>
          <w:sz w:val="16"/>
          <w:szCs w:val="16"/>
          <w:lang w:val="en-US"/>
        </w:rPr>
        <w:t xml:space="preserve"> San Salvador establishes: “Art. 6. </w:t>
      </w:r>
      <w:r w:rsidRPr="000E696E">
        <w:rPr>
          <w:rFonts w:ascii="Verdana" w:hAnsi="Verdana"/>
          <w:bCs/>
          <w:sz w:val="16"/>
          <w:szCs w:val="16"/>
          <w:lang w:val="en-US"/>
        </w:rPr>
        <w:t xml:space="preserve">Right to Work. 1. </w:t>
      </w:r>
      <w:r w:rsidRPr="000E696E">
        <w:rPr>
          <w:rFonts w:ascii="Verdana" w:hAnsi="Verdana" w:cs="Tahoma"/>
          <w:bCs/>
          <w:sz w:val="16"/>
          <w:szCs w:val="16"/>
          <w:lang w:val="en-US"/>
        </w:rPr>
        <w:t>Everyone has the right to work, which includes the opportunity to secure the means for living a dignified and decent existence by performing a freely elected or accepted lawful activity.</w:t>
      </w:r>
      <w:r w:rsidRPr="000E696E">
        <w:rPr>
          <w:rFonts w:ascii="Verdana" w:hAnsi="Verdana" w:cs="Arial"/>
          <w:bCs/>
          <w:sz w:val="16"/>
          <w:szCs w:val="16"/>
          <w:lang w:val="en-US"/>
        </w:rPr>
        <w:t xml:space="preserve"> </w:t>
      </w:r>
      <w:r w:rsidRPr="000E696E">
        <w:rPr>
          <w:rFonts w:ascii="Verdana" w:hAnsi="Verdana" w:cs="Tahoma"/>
          <w:bCs/>
          <w:sz w:val="16"/>
          <w:szCs w:val="16"/>
          <w:lang w:val="en-US"/>
        </w:rPr>
        <w:t>2. The State Parties undertake to adopt measures that will make the right to work fully effective, especially with regard to the achievement of full employment, vocational guidance, and the development of technical and vocational training projects, in particular those directed to the disabled. The States Parties also undertake to implement and strengthen programs that help to ensure suitable family care, so that women may enjoy a real opportunity to exercise the right to work.</w:t>
      </w:r>
      <w:r w:rsidRPr="000E696E">
        <w:rPr>
          <w:rFonts w:ascii="Verdana" w:hAnsi="Verdana"/>
          <w:sz w:val="16"/>
          <w:szCs w:val="16"/>
          <w:lang w:val="en-US"/>
        </w:rPr>
        <w:t>”</w:t>
      </w:r>
    </w:p>
  </w:footnote>
  <w:footnote w:id="355">
    <w:p w14:paraId="38E1ECD8" w14:textId="1B6C595F" w:rsidR="0068647C" w:rsidRPr="000E696E" w:rsidRDefault="0068647C" w:rsidP="00AA1EBF">
      <w:pPr>
        <w:pStyle w:val="Prrafodelista"/>
        <w:widowControl w:val="0"/>
        <w:autoSpaceDE w:val="0"/>
        <w:autoSpaceDN w:val="0"/>
        <w:adjustRightInd w:val="0"/>
        <w:spacing w:after="60"/>
        <w:ind w:left="0" w:right="49"/>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Although, the Inter-American Court examined the violation of Article 16 of the American Convention in the case of</w:t>
      </w:r>
      <w:r w:rsidRPr="000E696E">
        <w:rPr>
          <w:rFonts w:ascii="Verdana" w:hAnsi="Verdana"/>
          <w:i/>
          <w:sz w:val="16"/>
          <w:szCs w:val="16"/>
          <w:lang w:val="en-US"/>
        </w:rPr>
        <w:t xml:space="preserve"> Kawas Fernández,</w:t>
      </w:r>
      <w:r w:rsidRPr="000E696E">
        <w:rPr>
          <w:rFonts w:ascii="Verdana" w:hAnsi="Verdana"/>
          <w:sz w:val="16"/>
          <w:szCs w:val="16"/>
          <w:lang w:val="en-US"/>
        </w:rPr>
        <w:t xml:space="preserve"> this referred to work as a human rights defender (of the environment; in other words, for </w:t>
      </w:r>
      <w:r w:rsidRPr="000E696E">
        <w:rPr>
          <w:rFonts w:ascii="Verdana" w:hAnsi="Verdana"/>
          <w:sz w:val="16"/>
          <w:szCs w:val="16"/>
          <w:u w:val="single"/>
          <w:lang w:val="en-US"/>
        </w:rPr>
        <w:t>being a member of and taking part freely in organizations, associations, or non-governmental groups working in the area of monitoring, denouncing and promoting human rights, and not for being a member of a labor union.</w:t>
      </w:r>
      <w:r w:rsidRPr="000E696E">
        <w:rPr>
          <w:rFonts w:ascii="Verdana" w:hAnsi="Verdana"/>
          <w:sz w:val="16"/>
          <w:szCs w:val="16"/>
          <w:lang w:val="en-US"/>
        </w:rPr>
        <w:t xml:space="preserve"> </w:t>
      </w:r>
      <w:r w:rsidRPr="000E696E">
        <w:rPr>
          <w:rFonts w:ascii="Verdana" w:hAnsi="Verdana"/>
          <w:i/>
          <w:sz w:val="16"/>
          <w:szCs w:val="16"/>
          <w:lang w:val="en-US"/>
        </w:rPr>
        <w:t>Cf.</w:t>
      </w:r>
      <w:r w:rsidRPr="000E696E">
        <w:rPr>
          <w:rFonts w:ascii="Verdana" w:hAnsi="Verdana"/>
          <w:sz w:val="16"/>
          <w:szCs w:val="16"/>
          <w:lang w:val="en-US"/>
        </w:rPr>
        <w:t xml:space="preserve"> </w:t>
      </w:r>
      <w:r w:rsidRPr="000E696E">
        <w:rPr>
          <w:rFonts w:ascii="Verdana" w:eastAsia="Times New Roman" w:hAnsi="Verdana"/>
          <w:bCs/>
          <w:i/>
          <w:sz w:val="16"/>
          <w:szCs w:val="16"/>
          <w:lang w:val="en-US"/>
        </w:rPr>
        <w:t>Case of Kawas Fernández v. Honduras. Merits, reparations and costs</w:t>
      </w:r>
      <w:r w:rsidRPr="000E696E">
        <w:rPr>
          <w:rFonts w:ascii="Verdana" w:eastAsia="Times New Roman" w:hAnsi="Verdana"/>
          <w:bCs/>
          <w:sz w:val="16"/>
          <w:szCs w:val="16"/>
          <w:lang w:val="en-US"/>
        </w:rPr>
        <w:t>. Judgment of April 3, 2009. Series C No. 196, para. 146.</w:t>
      </w:r>
    </w:p>
  </w:footnote>
  <w:footnote w:id="356">
    <w:p w14:paraId="36918D9C" w14:textId="6DE8E612" w:rsidR="0068647C" w:rsidRPr="000E696E" w:rsidRDefault="0068647C" w:rsidP="00D61BD2">
      <w:pPr>
        <w:pStyle w:val="Textonotapie"/>
        <w:rPr>
          <w:rStyle w:val="Refdenotaalpie"/>
          <w:sz w:val="16"/>
          <w:vertAlign w:val="baseline"/>
        </w:rPr>
      </w:pPr>
      <w:r w:rsidRPr="000E696E">
        <w:rPr>
          <w:rStyle w:val="Refdenotaalpie"/>
          <w:sz w:val="16"/>
        </w:rPr>
        <w:footnoteRef/>
      </w:r>
      <w:r w:rsidRPr="000E696E">
        <w:t xml:space="preserve"> </w:t>
      </w:r>
      <w:r w:rsidRPr="000E696E">
        <w:tab/>
        <w:t>The situation of Mr. Lagos del Campo is a specific type of labor relationship (</w:t>
      </w:r>
      <w:r w:rsidRPr="000E696E">
        <w:rPr>
          <w:rFonts w:cs="Tahoma"/>
          <w:shd w:val="clear" w:color="auto" w:fill="FFFFFF"/>
        </w:rPr>
        <w:t xml:space="preserve">for the defense and promotion of workers’ interests). </w:t>
      </w:r>
    </w:p>
  </w:footnote>
  <w:footnote w:id="357">
    <w:p w14:paraId="5BAAAD04" w14:textId="0D1840D3" w:rsidR="0068647C" w:rsidRPr="000E696E" w:rsidRDefault="0068647C" w:rsidP="00AA1EBF">
      <w:pPr>
        <w:spacing w:after="60"/>
        <w:jc w:val="both"/>
        <w:rPr>
          <w:rFonts w:ascii="Arial" w:hAnsi="Arial" w:cs="Arial"/>
          <w:sz w:val="25"/>
          <w:szCs w:val="25"/>
          <w:lang w:val="en-US"/>
        </w:rPr>
      </w:pPr>
      <w:r w:rsidRPr="000E696E">
        <w:rPr>
          <w:rStyle w:val="Refdenotaalpie"/>
          <w:sz w:val="16"/>
          <w:szCs w:val="16"/>
          <w:lang w:val="en-US"/>
        </w:rPr>
        <w:footnoteRef/>
      </w:r>
      <w:r w:rsidRPr="000E696E">
        <w:rPr>
          <w:rFonts w:ascii="Verdana" w:hAnsi="Verdana"/>
          <w:i/>
          <w:sz w:val="16"/>
          <w:szCs w:val="16"/>
          <w:lang w:val="en-US"/>
        </w:rPr>
        <w:t xml:space="preserve"> </w:t>
      </w:r>
      <w:r w:rsidRPr="000E696E">
        <w:rPr>
          <w:rFonts w:ascii="Verdana" w:hAnsi="Verdana"/>
          <w:i/>
          <w:sz w:val="16"/>
          <w:szCs w:val="16"/>
          <w:lang w:val="en-US"/>
        </w:rPr>
        <w:tab/>
        <w:t>Cf.</w:t>
      </w:r>
      <w:r w:rsidRPr="000E696E">
        <w:rPr>
          <w:rFonts w:ascii="Verdana" w:hAnsi="Verdana"/>
          <w:sz w:val="16"/>
          <w:szCs w:val="16"/>
          <w:lang w:val="en-US"/>
        </w:rPr>
        <w:t xml:space="preserve"> </w:t>
      </w:r>
      <w:r w:rsidRPr="000E696E">
        <w:rPr>
          <w:rFonts w:ascii="Verdana" w:eastAsia="Times New Roman" w:hAnsi="Verdana"/>
          <w:bCs/>
          <w:i/>
          <w:color w:val="000000"/>
          <w:sz w:val="16"/>
          <w:szCs w:val="16"/>
          <w:lang w:val="en-US"/>
        </w:rPr>
        <w:t>Case of the “Five Pensioners” v. Peru. Merits, reparations and costs</w:t>
      </w:r>
      <w:r w:rsidRPr="000E696E">
        <w:rPr>
          <w:rFonts w:ascii="Verdana" w:eastAsia="Times New Roman" w:hAnsi="Verdana"/>
          <w:bCs/>
          <w:color w:val="000000"/>
          <w:sz w:val="16"/>
          <w:szCs w:val="16"/>
          <w:lang w:val="en-US"/>
        </w:rPr>
        <w:t xml:space="preserve">. Judgment of February 28, 2003. Series C No. 98, para. 142. In the </w:t>
      </w:r>
      <w:r w:rsidRPr="000E696E">
        <w:rPr>
          <w:rFonts w:ascii="Verdana" w:eastAsia="Times New Roman" w:hAnsi="Verdana"/>
          <w:bCs/>
          <w:i/>
          <w:color w:val="000000"/>
          <w:sz w:val="16"/>
          <w:szCs w:val="16"/>
          <w:lang w:val="en-US"/>
        </w:rPr>
        <w:t>Case of Yakye Axa v. Paraguay</w:t>
      </w:r>
      <w:r w:rsidRPr="000E696E">
        <w:rPr>
          <w:rFonts w:ascii="Verdana" w:eastAsia="Times New Roman" w:hAnsi="Verdana"/>
          <w:bCs/>
          <w:color w:val="000000"/>
          <w:sz w:val="16"/>
          <w:szCs w:val="16"/>
          <w:lang w:val="en-US"/>
        </w:rPr>
        <w:t xml:space="preserve"> (2005), the Inter-American Commission made a connection between Article 26 of the American Convention and the violation of Article 4. In this regard it indicated that: “ 157. […] (</w:t>
      </w:r>
      <w:r w:rsidRPr="000E696E">
        <w:rPr>
          <w:rFonts w:ascii="Verdana" w:hAnsi="Verdana"/>
          <w:sz w:val="16"/>
          <w:szCs w:val="16"/>
          <w:lang w:val="en-US"/>
        </w:rPr>
        <w:t>e) t</w:t>
      </w:r>
      <w:r w:rsidRPr="000E696E">
        <w:rPr>
          <w:rFonts w:ascii="Verdana" w:hAnsi="Verdana" w:cs="Arial"/>
          <w:sz w:val="16"/>
          <w:szCs w:val="16"/>
          <w:lang w:val="en-US"/>
        </w:rPr>
        <w:t>he situation of risk or vulnerability of the Yakye Axa Indigenous Community has been created by State negligence, a fact that has not been challenged; quite the contrary, the State itself declared a “state of emergency in the Community” in 1999. This negligence took place in a context in which Paraguay had the obligation to ensure the conditions required to achieve a decent life, an obligation that was underlined by the commitment reflected in Article 26 of the American Convention to take appropriate steps for complete realization of social rights. Nevertheless, by omission in its public health policies, the State diminished the enjoyment of basic public health, nutritional and housing conditions by the members of the Yakye Axa Community</w:t>
      </w:r>
      <w:r w:rsidRPr="000E696E">
        <w:rPr>
          <w:rFonts w:ascii="Verdana" w:hAnsi="Verdana"/>
          <w:sz w:val="16"/>
          <w:szCs w:val="16"/>
          <w:lang w:val="en-US"/>
        </w:rPr>
        <w:t xml:space="preserve"> […].” </w:t>
      </w:r>
      <w:r w:rsidRPr="000E696E">
        <w:rPr>
          <w:rFonts w:ascii="Verdana" w:eastAsia="Times New Roman" w:hAnsi="Verdana"/>
          <w:bCs/>
          <w:i/>
          <w:color w:val="000000"/>
          <w:sz w:val="16"/>
          <w:szCs w:val="16"/>
          <w:lang w:val="en-US"/>
        </w:rPr>
        <w:t>Case of the Yakye Axa Indigenous Community v. Paraguay. Merits, reparations and costs</w:t>
      </w:r>
      <w:r w:rsidRPr="000E696E">
        <w:rPr>
          <w:rFonts w:ascii="Verdana" w:eastAsia="Times New Roman" w:hAnsi="Verdana"/>
          <w:bCs/>
          <w:color w:val="000000"/>
          <w:sz w:val="16"/>
          <w:szCs w:val="16"/>
          <w:lang w:val="en-US"/>
        </w:rPr>
        <w:t xml:space="preserve">. Judgment of June 17, 2005. Series C No. 125, para. 157. </w:t>
      </w:r>
    </w:p>
  </w:footnote>
  <w:footnote w:id="358">
    <w:p w14:paraId="55F33508" w14:textId="4DB6EEC1" w:rsidR="0068647C" w:rsidRPr="000E696E" w:rsidRDefault="0068647C" w:rsidP="00AA1EBF">
      <w:pPr>
        <w:spacing w:after="60"/>
        <w:jc w:val="both"/>
        <w:rPr>
          <w:rFonts w:ascii="Verdana" w:eastAsia="Times New Roman" w:hAnsi="Verdana"/>
          <w:bCs/>
          <w:color w:val="000000"/>
          <w:sz w:val="16"/>
          <w:szCs w:val="16"/>
          <w:lang w:val="en-US"/>
        </w:rPr>
      </w:pPr>
      <w:r w:rsidRPr="000E696E">
        <w:rPr>
          <w:rStyle w:val="Refdenotaalpie"/>
          <w:sz w:val="16"/>
          <w:szCs w:val="16"/>
          <w:lang w:val="en-US"/>
        </w:rPr>
        <w:footnoteRef/>
      </w:r>
      <w:r w:rsidRPr="000E696E">
        <w:rPr>
          <w:rFonts w:ascii="Verdana" w:hAnsi="Verdana"/>
          <w:i/>
          <w:sz w:val="16"/>
          <w:szCs w:val="16"/>
          <w:lang w:val="en-US"/>
        </w:rPr>
        <w:t xml:space="preserve"> </w:t>
      </w:r>
      <w:r w:rsidRPr="000E696E">
        <w:rPr>
          <w:rFonts w:ascii="Verdana" w:hAnsi="Verdana"/>
          <w:i/>
          <w:sz w:val="16"/>
          <w:szCs w:val="16"/>
          <w:lang w:val="en-US"/>
        </w:rPr>
        <w:tab/>
        <w:t>Cf.</w:t>
      </w:r>
      <w:r w:rsidRPr="000E696E">
        <w:rPr>
          <w:rFonts w:ascii="Verdana" w:hAnsi="Verdana"/>
          <w:sz w:val="16"/>
          <w:szCs w:val="16"/>
          <w:lang w:val="en-US"/>
        </w:rPr>
        <w:t xml:space="preserve"> </w:t>
      </w:r>
      <w:r w:rsidRPr="000E696E">
        <w:rPr>
          <w:rFonts w:ascii="Verdana" w:eastAsia="Times New Roman" w:hAnsi="Verdana"/>
          <w:bCs/>
          <w:i/>
          <w:color w:val="000000"/>
          <w:sz w:val="16"/>
          <w:szCs w:val="16"/>
          <w:lang w:val="en-US"/>
        </w:rPr>
        <w:t>Case of the “Juvenile Re-education Institute” v. Paraguay. Preliminary objections, merits, reparations and costs.</w:t>
      </w:r>
      <w:r w:rsidRPr="000E696E">
        <w:rPr>
          <w:rFonts w:ascii="Verdana" w:eastAsia="Times New Roman" w:hAnsi="Verdana"/>
          <w:bCs/>
          <w:color w:val="000000"/>
          <w:sz w:val="16"/>
          <w:szCs w:val="16"/>
          <w:lang w:val="en-US"/>
        </w:rPr>
        <w:t xml:space="preserve"> Judgment of September 2, 2004. Series C No. 112, para. 253; </w:t>
      </w:r>
      <w:r w:rsidRPr="000E696E">
        <w:rPr>
          <w:rFonts w:ascii="Verdana" w:eastAsia="Times New Roman" w:hAnsi="Verdana"/>
          <w:bCs/>
          <w:i/>
          <w:color w:val="000000"/>
          <w:sz w:val="16"/>
          <w:szCs w:val="16"/>
          <w:lang w:val="en-US"/>
        </w:rPr>
        <w:t>Case of the Yean and Bosico Girls v. Dominican Republic</w:t>
      </w:r>
      <w:r w:rsidRPr="000E696E">
        <w:rPr>
          <w:rFonts w:ascii="Verdana" w:eastAsia="Times New Roman" w:hAnsi="Verdana"/>
          <w:bCs/>
          <w:color w:val="000000"/>
          <w:sz w:val="16"/>
          <w:szCs w:val="16"/>
          <w:lang w:val="en-US"/>
        </w:rPr>
        <w:t xml:space="preserve">. Judgment of September 8, 2005. Series C No. 130, para. 115.B (in this case the representatives argued that the right to education was a right protected by Article 26 of the American Convention in the context of the violation of Article 19 of the American Convention); </w:t>
      </w:r>
      <w:r w:rsidRPr="000E696E">
        <w:rPr>
          <w:rFonts w:ascii="Verdana" w:eastAsia="Times New Roman" w:hAnsi="Verdana"/>
          <w:bCs/>
          <w:i/>
          <w:color w:val="000000"/>
          <w:sz w:val="16"/>
          <w:szCs w:val="16"/>
          <w:lang w:val="en-US"/>
        </w:rPr>
        <w:t>Case of the Dismissed Congressional Employees (Aguado Alfaro et al.) v. Peru. Preliminary objections, merits, reparations and costs</w:t>
      </w:r>
      <w:r w:rsidRPr="000E696E">
        <w:rPr>
          <w:rFonts w:ascii="Verdana" w:eastAsia="Times New Roman" w:hAnsi="Verdana"/>
          <w:bCs/>
          <w:color w:val="000000"/>
          <w:sz w:val="16"/>
          <w:szCs w:val="16"/>
          <w:lang w:val="en-US"/>
        </w:rPr>
        <w:t xml:space="preserve">. Judgment of November 24, 2006. Series C No. 158, para. 134; </w:t>
      </w:r>
      <w:r w:rsidRPr="000E696E">
        <w:rPr>
          <w:rFonts w:ascii="Verdana" w:eastAsia="Times New Roman" w:hAnsi="Verdana"/>
          <w:bCs/>
          <w:i/>
          <w:color w:val="000000"/>
          <w:sz w:val="16"/>
          <w:szCs w:val="16"/>
          <w:lang w:val="en-US"/>
        </w:rPr>
        <w:t>Case of Acevedo Buendía et al. (“Discharged and Retired Employees of the Office of the Comptroller”) v. Peru. Preliminary objections, merits, reparations and costs</w:t>
      </w:r>
      <w:r w:rsidRPr="000E696E">
        <w:rPr>
          <w:rFonts w:ascii="Verdana" w:eastAsia="Times New Roman" w:hAnsi="Verdana"/>
          <w:bCs/>
          <w:color w:val="000000"/>
          <w:sz w:val="16"/>
          <w:szCs w:val="16"/>
          <w:lang w:val="en-US"/>
        </w:rPr>
        <w:t xml:space="preserve">. Judgment of July 1, 2009. Series C No. 198, para. 4; </w:t>
      </w:r>
      <w:r w:rsidRPr="000E696E">
        <w:rPr>
          <w:rFonts w:ascii="Verdana" w:eastAsia="Times New Roman" w:hAnsi="Verdana"/>
          <w:bCs/>
          <w:i/>
          <w:color w:val="000000"/>
          <w:sz w:val="16"/>
          <w:szCs w:val="16"/>
          <w:lang w:val="en-US"/>
        </w:rPr>
        <w:t>Case of the Kichwa Indigenous Community of Sarayaku v. Ecuador. Merits and reparations</w:t>
      </w:r>
      <w:r w:rsidRPr="000E696E">
        <w:rPr>
          <w:rFonts w:ascii="Verdana" w:eastAsia="Times New Roman" w:hAnsi="Verdana"/>
          <w:bCs/>
          <w:color w:val="000000"/>
          <w:sz w:val="16"/>
          <w:szCs w:val="16"/>
          <w:lang w:val="en-US"/>
        </w:rPr>
        <w:t xml:space="preserve">. Judgment of June 27, 2012. Series C No. 245, para. 137 to 139 and </w:t>
      </w:r>
      <w:r w:rsidRPr="000E696E">
        <w:rPr>
          <w:rFonts w:ascii="Verdana" w:eastAsia="Times New Roman" w:hAnsi="Verdana"/>
          <w:bCs/>
          <w:i/>
          <w:color w:val="000000"/>
          <w:sz w:val="16"/>
          <w:szCs w:val="16"/>
          <w:lang w:val="en-US"/>
        </w:rPr>
        <w:t xml:space="preserve">Case of Gonzales Lluy et al. v. Ecuador, supra, </w:t>
      </w:r>
      <w:r w:rsidRPr="000E696E">
        <w:rPr>
          <w:rFonts w:ascii="Verdana" w:eastAsia="Times New Roman" w:hAnsi="Verdana"/>
          <w:bCs/>
          <w:color w:val="000000"/>
          <w:sz w:val="16"/>
          <w:szCs w:val="16"/>
          <w:lang w:val="en-US"/>
        </w:rPr>
        <w:t xml:space="preserve">para. 159. </w:t>
      </w:r>
    </w:p>
  </w:footnote>
  <w:footnote w:id="359">
    <w:p w14:paraId="1B6BFB30" w14:textId="71D19643" w:rsidR="0068647C" w:rsidRPr="000E696E" w:rsidRDefault="0068647C" w:rsidP="00AA1EBF">
      <w:pPr>
        <w:spacing w:after="60"/>
        <w:jc w:val="both"/>
        <w:textAlignment w:val="baseline"/>
        <w:rPr>
          <w:rFonts w:ascii="Verdana" w:eastAsia="Times New Roman" w:hAnsi="Verdana"/>
          <w:color w:val="333333"/>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 xml:space="preserve">In this regard, it is important to point out that this tendency has been put in practice within the United Nations with the entry into force (in 2013) of the Optional Protocol to the International Covenant on Economic, Social and Cultural Rights (OP-ICESCR), adopted in 2008. With the entry into force of the OP-ICESCR, the Committee on Economic, Social and Cultural Rights has been able to hear individual communications based on which it has declared violations of the provisions of the ICESCR. In this regard, see: CESCR, </w:t>
      </w:r>
      <w:r w:rsidRPr="000E696E">
        <w:rPr>
          <w:rFonts w:ascii="Verdana" w:hAnsi="Verdana"/>
          <w:i/>
          <w:sz w:val="16"/>
          <w:szCs w:val="16"/>
          <w:lang w:val="en-US"/>
        </w:rPr>
        <w:t>Case of I.D.G v. Spain</w:t>
      </w:r>
      <w:r w:rsidRPr="000E696E">
        <w:rPr>
          <w:rFonts w:ascii="Verdana" w:hAnsi="Verdana"/>
          <w:sz w:val="16"/>
          <w:szCs w:val="16"/>
          <w:lang w:val="en-US"/>
        </w:rPr>
        <w:t xml:space="preserve">, </w:t>
      </w:r>
      <w:r w:rsidRPr="000E696E">
        <w:rPr>
          <w:rFonts w:ascii="Verdana" w:eastAsia="Times New Roman" w:hAnsi="Verdana"/>
          <w:color w:val="333333"/>
          <w:sz w:val="16"/>
          <w:szCs w:val="16"/>
          <w:lang w:val="en-US"/>
        </w:rPr>
        <w:t xml:space="preserve">E/C.12/55/D/2/2014, June 17, 2015 and </w:t>
      </w:r>
      <w:r w:rsidRPr="000E696E">
        <w:rPr>
          <w:rFonts w:ascii="Verdana" w:eastAsia="Times New Roman" w:hAnsi="Verdana"/>
          <w:i/>
          <w:color w:val="333333"/>
          <w:sz w:val="16"/>
          <w:szCs w:val="16"/>
          <w:lang w:val="en-US"/>
        </w:rPr>
        <w:t>Case of López Rodriguez v. Spain,</w:t>
      </w:r>
      <w:r w:rsidRPr="000E696E">
        <w:rPr>
          <w:rFonts w:ascii="Verdana" w:eastAsia="Times New Roman" w:hAnsi="Verdana"/>
          <w:color w:val="333333"/>
          <w:sz w:val="16"/>
          <w:szCs w:val="16"/>
          <w:lang w:val="en-US"/>
        </w:rPr>
        <w:t xml:space="preserve"> E/C.12/57/D/1/2013, March 4, 2016. </w:t>
      </w:r>
    </w:p>
  </w:footnote>
  <w:footnote w:id="360">
    <w:p w14:paraId="6E01DF84" w14:textId="62C5B3C3" w:rsidR="0068647C" w:rsidRPr="000E696E" w:rsidRDefault="0068647C" w:rsidP="00AA1EBF">
      <w:pPr>
        <w:spacing w:after="60"/>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It is especially significant that the direct justiciability of the ESCER occurs on the centenary of the 1917 Constitution of Querétaro, the first constitution to establish social rights, and particularly labor rights. Social constitutionalism originates from the original text of the current Constitution of the United Mexican States, promulgated on Monday, February 5, 1917, in the city of Querétaro, entered into force on May 1, that same year. In addition to establishing the right to education (Art.  3) and the right to land (Art.  27), it established specific labor rights (Art.  123). Indeed, Chapter Six, entitled “Work and Social Security” establishes, in the 30 paragraphs of Article 123, labor rights for manual workers, day laborers, employees, domestic employees, and artisans: maximum duration of the working day; prohibition to hire children under 12 years of age; prohibition for women and children under 16 years of age to perform unhealthy or hazardous work or any work after 10 p.m.; the right to a rest period; rights for women who are pregnant or breast-feeding; the right to a remunerative minimum wage and the prohibition to embargo, compensate or deduct from this; the right of the worker to participate in the company’s profits; the right to the payment of overtime; the obligation of agricultural, industrial or mining employers to provide workers with rent-restricted comfortable and hygienic accommodation and to establish other necessary services in the community (schools, clinics, etc.); the obligation of the State to encourage individual savings (by saving banks and insurance schemes, etc.); the right to compensation for work accidents and professional ailments; the right of the workers to associate, to strike, and the right of workers to re-instatement or compensation for unjustified dismissal.</w:t>
      </w:r>
    </w:p>
  </w:footnote>
  <w:footnote w:id="361">
    <w:p w14:paraId="58E8C9F5" w14:textId="4FC231A6" w:rsidR="0068647C" w:rsidRPr="000E696E" w:rsidRDefault="0068647C" w:rsidP="00AA1EBF">
      <w:pPr>
        <w:spacing w:after="60"/>
        <w:jc w:val="both"/>
        <w:rPr>
          <w:rFonts w:ascii="Verdana" w:eastAsia="Times New Roman" w:hAnsi="Verdana" w:cs="Arial"/>
          <w:sz w:val="16"/>
          <w:szCs w:val="16"/>
          <w:shd w:val="clear" w:color="auto" w:fill="FFFFFF"/>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eastAsia="Times New Roman" w:hAnsi="Verdana" w:cs="Arial"/>
          <w:sz w:val="16"/>
          <w:szCs w:val="16"/>
          <w:shd w:val="clear" w:color="auto" w:fill="FFFFFF"/>
          <w:lang w:val="en-US"/>
        </w:rPr>
        <w:t>On September 25, 2015, world leaders adopted a series of global goals to end poverty, protect the planet and improve the prospects of everyone as part of a new Sustainable Development Agenda. Each goal has specific targets that must be achieved in the next 15 years. Among the most important goals are: No poverty</w:t>
      </w:r>
      <w:r w:rsidRPr="000E696E">
        <w:rPr>
          <w:rFonts w:ascii="Verdana" w:hAnsi="Verdana"/>
          <w:sz w:val="16"/>
          <w:szCs w:val="16"/>
          <w:lang w:val="en-US"/>
        </w:rPr>
        <w:t xml:space="preserve"> (Goal No. 1), Zero hunger (Goal No. 2), Good health and well-being (Goal No.3), Quality education (Goal No. 4), Clean water and sanitation (Goal No. 6), Decent work and economic growth (Goal No. 8), Reduced inequalities (Goal No. 10), and Climate action, Life below water and Life on land (Goals No. 13, 14 and 15). These Goals clearly related to the economic, social, cultural and environmental rights. </w:t>
      </w:r>
    </w:p>
  </w:footnote>
  <w:footnote w:id="362">
    <w:p w14:paraId="75989158" w14:textId="1941CAE1" w:rsidR="0068647C" w:rsidRPr="000E696E" w:rsidRDefault="0068647C" w:rsidP="00AA1EBF">
      <w:pPr>
        <w:spacing w:after="60"/>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See footnote 216 of the judgment.</w:t>
      </w:r>
    </w:p>
  </w:footnote>
  <w:footnote w:id="363">
    <w:p w14:paraId="7CE9DA06" w14:textId="4EFC172F" w:rsidR="0068647C" w:rsidRPr="000E696E" w:rsidRDefault="0068647C" w:rsidP="009A0BC3">
      <w:pPr>
        <w:spacing w:after="60"/>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 xml:space="preserve">See </w:t>
      </w:r>
      <w:r w:rsidRPr="000E696E">
        <w:rPr>
          <w:rFonts w:ascii="Verdana" w:hAnsi="Verdana"/>
          <w:i/>
          <w:sz w:val="16"/>
          <w:szCs w:val="16"/>
          <w:lang w:val="en-US"/>
        </w:rPr>
        <w:t>Social Panorama of Latin America 2016</w:t>
      </w:r>
      <w:r w:rsidRPr="000E696E">
        <w:rPr>
          <w:rFonts w:ascii="Verdana" w:hAnsi="Verdana"/>
          <w:sz w:val="16"/>
          <w:szCs w:val="16"/>
          <w:lang w:val="en-US"/>
        </w:rPr>
        <w:t>, Economic Commission for Latin America and the Caribbean, United Nations, 2017, p. 11. In addition, ECLAC indicates that “</w:t>
      </w:r>
      <w:r w:rsidRPr="000E696E">
        <w:rPr>
          <w:rFonts w:ascii="Verdana" w:hAnsi="Verdana" w:cs="Arial"/>
          <w:sz w:val="16"/>
          <w:szCs w:val="16"/>
          <w:lang w:val="en-US"/>
        </w:rPr>
        <w:t xml:space="preserve">inequality means that not all individuals can fully exercise their </w:t>
      </w:r>
      <w:r w:rsidRPr="000E696E">
        <w:rPr>
          <w:rStyle w:val="highlight"/>
          <w:rFonts w:ascii="Verdana" w:hAnsi="Verdana" w:cs="Arial"/>
          <w:sz w:val="16"/>
          <w:szCs w:val="16"/>
          <w:lang w:val="en-US"/>
        </w:rPr>
        <w:t>civil, political</w:t>
      </w:r>
      <w:r w:rsidRPr="000E696E">
        <w:rPr>
          <w:rFonts w:ascii="Verdana" w:hAnsi="Verdana" w:cs="Arial"/>
          <w:sz w:val="16"/>
          <w:szCs w:val="16"/>
          <w:lang w:val="en-US"/>
        </w:rPr>
        <w:t xml:space="preserve">, economic, social and environmental rights and, consequently, that the principle of universality is violated.” Meanwhile, paragraph five of </w:t>
      </w:r>
      <w:r w:rsidRPr="000E696E">
        <w:rPr>
          <w:rFonts w:ascii="Verdana" w:hAnsi="Verdana"/>
          <w:sz w:val="16"/>
          <w:szCs w:val="16"/>
          <w:lang w:val="en-US"/>
        </w:rPr>
        <w:t>the Preamble of the American Convention stipulates that: “</w:t>
      </w:r>
      <w:r w:rsidRPr="000E696E">
        <w:rPr>
          <w:rFonts w:ascii="Verdana" w:hAnsi="Verdana"/>
          <w:spacing w:val="-3"/>
          <w:sz w:val="16"/>
          <w:szCs w:val="16"/>
          <w:lang w:val="en-US"/>
        </w:rPr>
        <w:t xml:space="preserve">Reiterating that, in accordance with the Universal Declaration of Human Rights, the ideal of free men enjoying freedom from fear and want </w:t>
      </w:r>
      <w:r w:rsidRPr="000E696E">
        <w:rPr>
          <w:rFonts w:ascii="Verdana" w:hAnsi="Verdana"/>
          <w:spacing w:val="-3"/>
          <w:sz w:val="16"/>
          <w:szCs w:val="16"/>
          <w:u w:val="single"/>
          <w:lang w:val="en-US"/>
        </w:rPr>
        <w:t>can be achieved only if conditions are created whereby everyone may enjoy his economic, social, and cultural rights, as well as his civil and political rights</w:t>
      </w:r>
      <w:r w:rsidRPr="000E696E">
        <w:rPr>
          <w:rFonts w:ascii="Verdana" w:hAnsi="Verdana"/>
          <w:spacing w:val="-3"/>
          <w:sz w:val="16"/>
          <w:szCs w:val="16"/>
          <w:lang w:val="en-US"/>
        </w:rPr>
        <w:t>.”</w:t>
      </w:r>
    </w:p>
    <w:p w14:paraId="325E1CBB" w14:textId="77777777" w:rsidR="0068647C" w:rsidRPr="000E696E" w:rsidRDefault="0068647C" w:rsidP="00D61BD2">
      <w:pPr>
        <w:pStyle w:val="Textonotapie"/>
      </w:pPr>
    </w:p>
  </w:footnote>
  <w:footnote w:id="364">
    <w:p w14:paraId="392FB052" w14:textId="03D08B37" w:rsidR="0068647C" w:rsidRPr="000E696E" w:rsidRDefault="0068647C" w:rsidP="00D61BD2">
      <w:pPr>
        <w:pStyle w:val="Textonotapie"/>
      </w:pPr>
      <w:r w:rsidRPr="000E696E">
        <w:rPr>
          <w:rStyle w:val="Refdenotaalpie"/>
          <w:sz w:val="16"/>
        </w:rPr>
        <w:footnoteRef/>
      </w:r>
      <w:r w:rsidRPr="000E696E">
        <w:t xml:space="preserve"> </w:t>
      </w:r>
      <w:r w:rsidRPr="000E696E">
        <w:tab/>
        <w:t xml:space="preserve">Art. 66(2) of the Convention: “If the judgment does not represent in whole or in part the unanimous opinion of the judges, any judge shall be entitled to have his dissenting or separate opinion attached to the judgment.” </w:t>
      </w:r>
    </w:p>
    <w:p w14:paraId="758C119A" w14:textId="008D8BE6" w:rsidR="0068647C" w:rsidRPr="000E696E" w:rsidRDefault="0068647C" w:rsidP="00D61BD2">
      <w:pPr>
        <w:pStyle w:val="Textonotapie"/>
      </w:pPr>
      <w:r w:rsidRPr="000E696E">
        <w:t>Art. 24(3) of the Statutes of the Court: “The decisions, judgments and opinions of the Court shall be delivered in public session, and the parties shall be given written notification thereof. In addition, the decisions, judgments and opinions shall be published, along with judges' individual votes and opinions and with such other data or background information that the Court may deem appropriate.”</w:t>
      </w:r>
    </w:p>
    <w:p w14:paraId="198C3CA8" w14:textId="2EAE67B9" w:rsidR="0068647C" w:rsidRPr="000E696E" w:rsidRDefault="0068647C" w:rsidP="00D61BD2">
      <w:pPr>
        <w:pStyle w:val="Textonotapie"/>
      </w:pPr>
      <w:r w:rsidRPr="000E696E">
        <w:t>Art. 65(2) of the Court’s Rules of Procedure: “Any Judge who has taken part in the consideration of a case is entitled to append a separate reasoned opinion to the judgment, concurring or dissenting. These opinions shall be submitted within a time limit to be fixed by the President so that the other Judges may take cognizance thereof before notice of the judgment is served. Said opinions shall only refer to the issues covered in the judgment.”</w:t>
      </w:r>
    </w:p>
    <w:p w14:paraId="71E8D023" w14:textId="2828FCAE" w:rsidR="0068647C" w:rsidRPr="000E696E" w:rsidRDefault="0068647C" w:rsidP="00D61BD2">
      <w:pPr>
        <w:pStyle w:val="Textonotapie"/>
      </w:pPr>
      <w:r w:rsidRPr="000E696E">
        <w:t>Hereafter, each time that a provision is cited without indicating to which legal instrument it corresponds, it shall be understood that it is from the American Convention on Human Rights.</w:t>
      </w:r>
    </w:p>
  </w:footnote>
  <w:footnote w:id="365">
    <w:p w14:paraId="27659EDC" w14:textId="2AC51AB2" w:rsidR="0068647C" w:rsidRPr="000E696E" w:rsidRDefault="0068647C" w:rsidP="00D61BD2">
      <w:pPr>
        <w:pStyle w:val="Textonotapie"/>
      </w:pPr>
      <w:r w:rsidRPr="000E696E">
        <w:rPr>
          <w:rStyle w:val="Refdenotaalpie"/>
          <w:sz w:val="16"/>
        </w:rPr>
        <w:footnoteRef/>
      </w:r>
      <w:r w:rsidRPr="000E696E">
        <w:t xml:space="preserve"> </w:t>
      </w:r>
      <w:r w:rsidRPr="000E696E">
        <w:tab/>
        <w:t>Hereinafter, la Judgment.</w:t>
      </w:r>
    </w:p>
  </w:footnote>
  <w:footnote w:id="366">
    <w:p w14:paraId="008C360B" w14:textId="45B36BE0" w:rsidR="0068647C" w:rsidRPr="000E696E" w:rsidRDefault="0068647C" w:rsidP="00D61BD2">
      <w:pPr>
        <w:pStyle w:val="Textonotapie"/>
      </w:pPr>
      <w:r w:rsidRPr="000E696E">
        <w:rPr>
          <w:rStyle w:val="Refdenotaalpie"/>
          <w:sz w:val="16"/>
        </w:rPr>
        <w:footnoteRef/>
      </w:r>
      <w:r w:rsidRPr="000E696E">
        <w:t xml:space="preserve"> </w:t>
      </w:r>
      <w:r w:rsidRPr="000E696E">
        <w:tab/>
        <w:t xml:space="preserve">“Progressive Development. The States Parties undertake to adopt measures, both internally and through international cooperation, especially those of an economic and technical nature, with a view to achieving progressively, subject to available resources, by legislation or other appropriate means, the full realization of the rights derived from the economic, social, educational, scientific, and cultural standards set forth in the Charter of the Organization of American States as amended by the Protocol of Buenos Aires.” </w:t>
      </w:r>
    </w:p>
    <w:p w14:paraId="4A40C87F" w14:textId="2C398920" w:rsidR="0068647C" w:rsidRPr="000E696E" w:rsidRDefault="0068647C" w:rsidP="00D61BD2">
      <w:pPr>
        <w:pStyle w:val="Textonotapie"/>
      </w:pPr>
      <w:r w:rsidRPr="000E696E">
        <w:t>Hereinafter, the Organization of American States will be referred to as the OAS.</w:t>
      </w:r>
    </w:p>
  </w:footnote>
  <w:footnote w:id="367">
    <w:p w14:paraId="08632C9A" w14:textId="7EB34420" w:rsidR="0068647C" w:rsidRPr="000E696E" w:rsidRDefault="0068647C" w:rsidP="00D61BD2">
      <w:pPr>
        <w:pStyle w:val="Textonotapie"/>
      </w:pPr>
      <w:r w:rsidRPr="000E696E">
        <w:rPr>
          <w:rStyle w:val="Refdenotaalpie"/>
          <w:sz w:val="16"/>
        </w:rPr>
        <w:footnoteRef/>
      </w:r>
      <w:r w:rsidRPr="000E696E">
        <w:t xml:space="preserve"> </w:t>
      </w:r>
      <w:r w:rsidRPr="000E696E">
        <w:tab/>
        <w:t xml:space="preserve">Hereinafter, the Convention. </w:t>
      </w:r>
    </w:p>
  </w:footnote>
  <w:footnote w:id="368">
    <w:p w14:paraId="65A9F2CE" w14:textId="5495D544" w:rsidR="0068647C" w:rsidRPr="000E696E" w:rsidRDefault="0068647C" w:rsidP="00D61BD2">
      <w:pPr>
        <w:pStyle w:val="Textonotapie"/>
      </w:pPr>
      <w:r w:rsidRPr="000E696E">
        <w:rPr>
          <w:rStyle w:val="Refdenotaalpie"/>
          <w:sz w:val="16"/>
        </w:rPr>
        <w:footnoteRef/>
      </w:r>
      <w:r w:rsidRPr="000E696E">
        <w:t xml:space="preserve"> </w:t>
      </w:r>
      <w:r w:rsidRPr="000E696E">
        <w:tab/>
        <w:t>“The State is responsible for the violation of the right to job security, recognized in Article 26 of the American Convention, in relation to Articles 1(1), 13, 8 and 16 of this instrument, to the detriment of del Campo, pursuant to paragraphs 133 to 154 and 166 of this judgment.”</w:t>
      </w:r>
    </w:p>
  </w:footnote>
  <w:footnote w:id="369">
    <w:p w14:paraId="515A4289" w14:textId="47A60EF0" w:rsidR="0068647C" w:rsidRPr="000E696E" w:rsidRDefault="0068647C" w:rsidP="00D61BD2">
      <w:pPr>
        <w:pStyle w:val="Textonotapie"/>
      </w:pPr>
      <w:r w:rsidRPr="000E696E">
        <w:rPr>
          <w:rStyle w:val="Refdenotaalpie"/>
          <w:sz w:val="16"/>
        </w:rPr>
        <w:footnoteRef/>
      </w:r>
      <w:r w:rsidRPr="000E696E">
        <w:t xml:space="preserve"> </w:t>
      </w:r>
      <w:r w:rsidRPr="000E696E">
        <w:tab/>
        <w:t>“The State is responsible for the violation of the right to freedom of association, recognized in Articles 16 and 26 of the American Convention, in relation to Articles 1(1), 13 and 8 of this instrument, to the detriment of del Campo, pursuant to paragraphs 155 to 163 of this judgment.”</w:t>
      </w:r>
    </w:p>
  </w:footnote>
  <w:footnote w:id="370">
    <w:p w14:paraId="29AFD373" w14:textId="5EDB39AB" w:rsidR="0068647C" w:rsidRPr="000E696E" w:rsidRDefault="0068647C" w:rsidP="00D61BD2">
      <w:pPr>
        <w:pStyle w:val="Textonotapie"/>
      </w:pPr>
      <w:r w:rsidRPr="000E696E">
        <w:rPr>
          <w:rStyle w:val="Refdenotaalpie"/>
          <w:sz w:val="16"/>
        </w:rPr>
        <w:footnoteRef/>
      </w:r>
      <w:r w:rsidRPr="000E696E">
        <w:t xml:space="preserve"> </w:t>
      </w:r>
      <w:r w:rsidRPr="000E696E">
        <w:tab/>
        <w:t>Hereinafter, the Court.</w:t>
      </w:r>
    </w:p>
  </w:footnote>
  <w:footnote w:id="371">
    <w:p w14:paraId="632C0942" w14:textId="4D980231" w:rsidR="0068647C" w:rsidRPr="000E696E" w:rsidRDefault="0068647C" w:rsidP="00D61BD2">
      <w:pPr>
        <w:pStyle w:val="Textonotapie"/>
      </w:pPr>
      <w:r w:rsidRPr="000E696E">
        <w:rPr>
          <w:rStyle w:val="Refdenotaalpie"/>
          <w:sz w:val="16"/>
        </w:rPr>
        <w:footnoteRef/>
      </w:r>
      <w:r w:rsidRPr="000E696E">
        <w:t xml:space="preserve"> </w:t>
      </w:r>
      <w:r w:rsidRPr="000E696E">
        <w:tab/>
        <w:t>Art. 62(3): “The jurisdiction of the Court shall comprise all cases concerning the interpretation and application of the provisions of this Convention that are submitted to it, provided that the States Parties to the case recognize or have recognized such jurisdiction, whether by special declaration pursuant to the preceding paragraphs, or by a special agreement.”</w:t>
      </w:r>
    </w:p>
  </w:footnote>
  <w:footnote w:id="372">
    <w:p w14:paraId="6C7DBD86" w14:textId="3A8B29A3" w:rsidR="0068647C" w:rsidRPr="000E696E" w:rsidRDefault="0068647C" w:rsidP="00D61BD2">
      <w:pPr>
        <w:pStyle w:val="Textonotapie"/>
      </w:pPr>
      <w:r w:rsidRPr="000E696E">
        <w:rPr>
          <w:rStyle w:val="Refdenotaalpie"/>
          <w:sz w:val="16"/>
        </w:rPr>
        <w:footnoteRef/>
      </w:r>
      <w:r w:rsidRPr="000E696E">
        <w:t xml:space="preserve"> </w:t>
      </w:r>
      <w:r w:rsidRPr="000E696E">
        <w:tab/>
        <w:t xml:space="preserve">“A treaty shall be interpreted in good faith in accordance with the ordinary meaning to be given to the terms of the treaty in their context and in the light of its object and purpose.”  </w:t>
      </w:r>
    </w:p>
  </w:footnote>
  <w:footnote w:id="373">
    <w:p w14:paraId="61AD440B" w14:textId="57D7D0AC" w:rsidR="0068647C" w:rsidRPr="000E696E" w:rsidRDefault="0068647C" w:rsidP="00D61BD2">
      <w:pPr>
        <w:pStyle w:val="Textonotapie"/>
      </w:pPr>
      <w:r w:rsidRPr="000E696E">
        <w:rPr>
          <w:rStyle w:val="Refdenotaalpie"/>
          <w:sz w:val="16"/>
        </w:rPr>
        <w:footnoteRef/>
      </w:r>
      <w:r w:rsidRPr="000E696E">
        <w:t xml:space="preserve"> </w:t>
      </w:r>
      <w:r w:rsidRPr="000E696E">
        <w:tab/>
        <w:t>Footnote 8.</w:t>
      </w:r>
    </w:p>
  </w:footnote>
  <w:footnote w:id="374">
    <w:p w14:paraId="4F1835B5" w14:textId="067FD50A" w:rsidR="0068647C" w:rsidRPr="000E696E" w:rsidRDefault="0068647C" w:rsidP="00D61BD2">
      <w:pPr>
        <w:pStyle w:val="Textonotapie"/>
      </w:pPr>
      <w:r w:rsidRPr="000E696E">
        <w:rPr>
          <w:rStyle w:val="Refdenotaalpie"/>
          <w:sz w:val="16"/>
        </w:rPr>
        <w:footnoteRef/>
      </w:r>
      <w:r w:rsidRPr="000E696E">
        <w:t xml:space="preserve"> </w:t>
      </w:r>
      <w:r w:rsidRPr="000E696E">
        <w:tab/>
        <w:t>Hereinafter the Commission.</w:t>
      </w:r>
    </w:p>
    <w:p w14:paraId="6ED1472E" w14:textId="4C7ADD72" w:rsidR="0068647C" w:rsidRPr="000E696E" w:rsidRDefault="0068647C" w:rsidP="00AA1EBF">
      <w:pPr>
        <w:tabs>
          <w:tab w:val="left" w:pos="480"/>
          <w:tab w:val="left" w:pos="1080"/>
          <w:tab w:val="left" w:pos="1680"/>
          <w:tab w:val="left" w:pos="5400"/>
        </w:tabs>
        <w:suppressAutoHyphens/>
        <w:spacing w:after="60"/>
        <w:jc w:val="both"/>
        <w:rPr>
          <w:rFonts w:ascii="Verdana" w:hAnsi="Verdana"/>
          <w:spacing w:val="-3"/>
          <w:sz w:val="16"/>
          <w:szCs w:val="16"/>
          <w:lang w:val="en-US"/>
        </w:rPr>
      </w:pPr>
      <w:r w:rsidRPr="000E696E">
        <w:rPr>
          <w:rFonts w:ascii="Verdana" w:hAnsi="Verdana"/>
          <w:sz w:val="16"/>
          <w:szCs w:val="16"/>
          <w:lang w:val="en-US"/>
        </w:rPr>
        <w:t>Art. 41: “</w:t>
      </w:r>
      <w:r w:rsidRPr="000E696E">
        <w:rPr>
          <w:rFonts w:ascii="Verdana" w:hAnsi="Verdana"/>
          <w:spacing w:val="-3"/>
          <w:sz w:val="16"/>
          <w:szCs w:val="16"/>
          <w:lang w:val="en-US"/>
        </w:rPr>
        <w:t>The main function of the Commission shall be to promote respect for and defense of human rights.  In the exercise of its mandate, it shall have the following functions and powers:</w:t>
      </w:r>
    </w:p>
    <w:p w14:paraId="23D14188" w14:textId="77777777" w:rsidR="0068647C" w:rsidRPr="000E696E" w:rsidRDefault="0068647C" w:rsidP="00AA1EBF">
      <w:pPr>
        <w:tabs>
          <w:tab w:val="left" w:pos="480"/>
          <w:tab w:val="left" w:pos="1680"/>
          <w:tab w:val="left" w:pos="5400"/>
        </w:tabs>
        <w:suppressAutoHyphens/>
        <w:spacing w:after="60"/>
        <w:jc w:val="both"/>
        <w:rPr>
          <w:rFonts w:ascii="Verdana" w:hAnsi="Verdana"/>
          <w:spacing w:val="-3"/>
          <w:sz w:val="16"/>
          <w:szCs w:val="16"/>
          <w:lang w:val="en-US"/>
        </w:rPr>
      </w:pPr>
      <w:r w:rsidRPr="000E696E">
        <w:rPr>
          <w:rFonts w:ascii="Verdana" w:hAnsi="Verdana"/>
          <w:spacing w:val="-3"/>
          <w:sz w:val="16"/>
          <w:szCs w:val="16"/>
          <w:lang w:val="en-US"/>
        </w:rPr>
        <w:t>a) to develop an awareness of human rights among the peoples of America;</w:t>
      </w:r>
    </w:p>
    <w:p w14:paraId="2DCBC1B1" w14:textId="77777777" w:rsidR="0068647C" w:rsidRPr="000E696E" w:rsidRDefault="0068647C" w:rsidP="00AA1EBF">
      <w:pPr>
        <w:tabs>
          <w:tab w:val="left" w:pos="480"/>
          <w:tab w:val="left" w:pos="1680"/>
          <w:tab w:val="left" w:pos="5400"/>
        </w:tabs>
        <w:suppressAutoHyphens/>
        <w:spacing w:after="60"/>
        <w:jc w:val="both"/>
        <w:rPr>
          <w:rFonts w:ascii="Verdana" w:hAnsi="Verdana"/>
          <w:spacing w:val="-3"/>
          <w:sz w:val="16"/>
          <w:szCs w:val="16"/>
          <w:lang w:val="en-US"/>
        </w:rPr>
      </w:pPr>
      <w:r w:rsidRPr="000E696E">
        <w:rPr>
          <w:rFonts w:ascii="Verdana" w:hAnsi="Verdana"/>
          <w:spacing w:val="-3"/>
          <w:sz w:val="16"/>
          <w:szCs w:val="16"/>
          <w:lang w:val="en-US"/>
        </w:rPr>
        <w:t>b) to make recommendations to the governments of the member states, when it considers such action advisable, for the adoption of progressive measures in favor of human rights within the framework of their domestic law and constitutional provisions as well as appropriate measures to further the observance of those rights;</w:t>
      </w:r>
    </w:p>
    <w:p w14:paraId="7CD2817B" w14:textId="77777777" w:rsidR="0068647C" w:rsidRPr="000E696E" w:rsidRDefault="0068647C" w:rsidP="00AA1EBF">
      <w:pPr>
        <w:tabs>
          <w:tab w:val="left" w:pos="480"/>
          <w:tab w:val="left" w:pos="1680"/>
          <w:tab w:val="left" w:pos="5400"/>
        </w:tabs>
        <w:suppressAutoHyphens/>
        <w:spacing w:after="60"/>
        <w:jc w:val="both"/>
        <w:rPr>
          <w:rFonts w:ascii="Verdana" w:hAnsi="Verdana"/>
          <w:spacing w:val="-3"/>
          <w:sz w:val="16"/>
          <w:szCs w:val="16"/>
          <w:lang w:val="en-US"/>
        </w:rPr>
      </w:pPr>
      <w:r w:rsidRPr="000E696E">
        <w:rPr>
          <w:rFonts w:ascii="Verdana" w:hAnsi="Verdana"/>
          <w:spacing w:val="-3"/>
          <w:sz w:val="16"/>
          <w:szCs w:val="16"/>
          <w:lang w:val="en-US"/>
        </w:rPr>
        <w:t>c) to prepare such studies or reports as it considers advisable in the performance of its duties;</w:t>
      </w:r>
    </w:p>
    <w:p w14:paraId="32BE5840" w14:textId="77777777" w:rsidR="0068647C" w:rsidRPr="000E696E" w:rsidRDefault="0068647C" w:rsidP="00AA1EBF">
      <w:pPr>
        <w:tabs>
          <w:tab w:val="left" w:pos="480"/>
          <w:tab w:val="left" w:pos="1680"/>
          <w:tab w:val="left" w:pos="5400"/>
        </w:tabs>
        <w:suppressAutoHyphens/>
        <w:spacing w:after="60"/>
        <w:jc w:val="both"/>
        <w:rPr>
          <w:rFonts w:ascii="Verdana" w:hAnsi="Verdana"/>
          <w:spacing w:val="-3"/>
          <w:sz w:val="16"/>
          <w:szCs w:val="16"/>
          <w:lang w:val="en-US"/>
        </w:rPr>
      </w:pPr>
      <w:r w:rsidRPr="000E696E">
        <w:rPr>
          <w:rFonts w:ascii="Verdana" w:hAnsi="Verdana"/>
          <w:spacing w:val="-3"/>
          <w:sz w:val="16"/>
          <w:szCs w:val="16"/>
          <w:lang w:val="en-US"/>
        </w:rPr>
        <w:t>d) to request the governments of the member states to supply it with information on the measures adopted by them in matters of human rights;</w:t>
      </w:r>
    </w:p>
    <w:p w14:paraId="4B4C5FCC" w14:textId="77777777" w:rsidR="0068647C" w:rsidRPr="000E696E" w:rsidRDefault="0068647C" w:rsidP="00AA1EBF">
      <w:pPr>
        <w:tabs>
          <w:tab w:val="left" w:pos="480"/>
          <w:tab w:val="left" w:pos="1680"/>
          <w:tab w:val="left" w:pos="5400"/>
        </w:tabs>
        <w:suppressAutoHyphens/>
        <w:spacing w:after="60"/>
        <w:jc w:val="both"/>
        <w:rPr>
          <w:rFonts w:ascii="Verdana" w:hAnsi="Verdana"/>
          <w:spacing w:val="-3"/>
          <w:sz w:val="16"/>
          <w:szCs w:val="16"/>
          <w:lang w:val="en-US"/>
        </w:rPr>
      </w:pPr>
      <w:r w:rsidRPr="000E696E">
        <w:rPr>
          <w:rFonts w:ascii="Verdana" w:hAnsi="Verdana"/>
          <w:spacing w:val="-3"/>
          <w:sz w:val="16"/>
          <w:szCs w:val="16"/>
          <w:lang w:val="en-US"/>
        </w:rPr>
        <w:t>e) to respond, through the General Secretariat of the Organization of American States, to inquiries made by the member states on matters related to human rights and, within the limits of its possibilities, to provide those states with the advisory services they request;</w:t>
      </w:r>
    </w:p>
    <w:p w14:paraId="4C03F910" w14:textId="77777777" w:rsidR="0068647C" w:rsidRPr="000E696E" w:rsidRDefault="0068647C" w:rsidP="00AA1EBF">
      <w:pPr>
        <w:tabs>
          <w:tab w:val="left" w:pos="480"/>
          <w:tab w:val="left" w:pos="1680"/>
          <w:tab w:val="left" w:pos="5400"/>
        </w:tabs>
        <w:suppressAutoHyphens/>
        <w:spacing w:after="60"/>
        <w:jc w:val="both"/>
        <w:rPr>
          <w:rFonts w:ascii="Verdana" w:hAnsi="Verdana"/>
          <w:spacing w:val="-3"/>
          <w:sz w:val="16"/>
          <w:szCs w:val="16"/>
          <w:lang w:val="en-US"/>
        </w:rPr>
      </w:pPr>
      <w:r w:rsidRPr="000E696E">
        <w:rPr>
          <w:rFonts w:ascii="Verdana" w:hAnsi="Verdana"/>
          <w:spacing w:val="-3"/>
          <w:sz w:val="16"/>
          <w:szCs w:val="16"/>
          <w:lang w:val="en-US"/>
        </w:rPr>
        <w:t>f) to take action on petitions and other communications pursuant to its authority under the provisions of Articles 44 through 51 of this Convention; and</w:t>
      </w:r>
    </w:p>
    <w:p w14:paraId="376DD621" w14:textId="580B40BD" w:rsidR="0068647C" w:rsidRPr="000E696E" w:rsidRDefault="0068647C" w:rsidP="00AA1EBF">
      <w:pPr>
        <w:tabs>
          <w:tab w:val="left" w:pos="480"/>
          <w:tab w:val="left" w:pos="1680"/>
          <w:tab w:val="left" w:pos="5400"/>
        </w:tabs>
        <w:suppressAutoHyphens/>
        <w:spacing w:after="60"/>
        <w:jc w:val="both"/>
        <w:rPr>
          <w:rFonts w:ascii="Verdana" w:hAnsi="Verdana"/>
          <w:spacing w:val="-3"/>
          <w:sz w:val="16"/>
          <w:szCs w:val="16"/>
          <w:lang w:val="en-US"/>
        </w:rPr>
      </w:pPr>
      <w:r w:rsidRPr="000E696E">
        <w:rPr>
          <w:rFonts w:ascii="Verdana" w:hAnsi="Verdana"/>
          <w:spacing w:val="-3"/>
          <w:sz w:val="16"/>
          <w:szCs w:val="16"/>
          <w:lang w:val="en-US"/>
        </w:rPr>
        <w:t>g) to submit an annual report to the General Assembly of the Organization of American States.</w:t>
      </w:r>
    </w:p>
  </w:footnote>
  <w:footnote w:id="375">
    <w:p w14:paraId="0BBC8BEE" w14:textId="2B3AD73B" w:rsidR="0068647C" w:rsidRPr="000E696E" w:rsidRDefault="0068647C" w:rsidP="00D61BD2">
      <w:pPr>
        <w:pStyle w:val="Textonotapie"/>
      </w:pPr>
      <w:r w:rsidRPr="000E696E">
        <w:rPr>
          <w:rStyle w:val="Refdenotaalpie"/>
          <w:sz w:val="16"/>
        </w:rPr>
        <w:footnoteRef/>
      </w:r>
      <w:r w:rsidRPr="000E696E">
        <w:t xml:space="preserve"> </w:t>
      </w:r>
      <w:r w:rsidRPr="000E696E">
        <w:tab/>
        <w:t>Art.68(1): “The States Parties to the Convention undertake to comply with the judgment of the Court in any case to which they are parties.”</w:t>
      </w:r>
      <w:r w:rsidRPr="000E696E">
        <w:rPr>
          <w:rFonts w:cs="Arial"/>
        </w:rPr>
        <w:t xml:space="preserve"> </w:t>
      </w:r>
    </w:p>
    <w:p w14:paraId="5B50D811" w14:textId="106CA9D2" w:rsidR="0068647C" w:rsidRPr="000E696E" w:rsidRDefault="0068647C" w:rsidP="00D61BD2">
      <w:pPr>
        <w:pStyle w:val="Textonotapie"/>
      </w:pPr>
      <w:r w:rsidRPr="000E696E">
        <w:t>Art. 46(1) of the European Convention on Human Rights: “ The High Contracting Parties undertake to abide by the final judgment of the Court in any case to which they are parties</w:t>
      </w:r>
      <w:r w:rsidRPr="000E696E">
        <w:rPr>
          <w:rFonts w:ascii="Arial" w:hAnsi="Arial"/>
          <w:sz w:val="20"/>
          <w:szCs w:val="20"/>
        </w:rPr>
        <w:t>.”</w:t>
      </w:r>
    </w:p>
    <w:p w14:paraId="477DDD44" w14:textId="1454AA91" w:rsidR="0068647C" w:rsidRPr="000E696E" w:rsidRDefault="0068647C" w:rsidP="00D61BD2">
      <w:pPr>
        <w:pStyle w:val="Textonotapie"/>
      </w:pPr>
      <w:r w:rsidRPr="000E696E">
        <w:t>Art. 46. and 3 of the Statute of the African Court of Justice and Human Rights: “Binding Force and Execution of Judgments. 1. The decision of the Court shall be binding on the parties. … 3. The parties shall comply with the judgment made by the Court in any dispute to which they are parties within the time stipulated by the Court and shall guarantee its execution.”</w:t>
      </w:r>
    </w:p>
    <w:p w14:paraId="4ECCAF1B" w14:textId="36875355" w:rsidR="0068647C" w:rsidRPr="000E696E" w:rsidRDefault="0068647C" w:rsidP="00D61BD2">
      <w:pPr>
        <w:pStyle w:val="Textonotapie"/>
      </w:pPr>
      <w:r w:rsidRPr="000E696E">
        <w:t>Art. 59 of the Statute of the International Court of Justice: “The decision of the Court has no binding force except between the parties and in respect of that particular case.”</w:t>
      </w:r>
    </w:p>
  </w:footnote>
  <w:footnote w:id="376">
    <w:p w14:paraId="4AD6C480" w14:textId="617938F8" w:rsidR="0068647C" w:rsidRPr="000E696E" w:rsidRDefault="0068647C" w:rsidP="00D61BD2">
      <w:pPr>
        <w:pStyle w:val="Textonotapie"/>
      </w:pPr>
      <w:r w:rsidRPr="000E696E">
        <w:rPr>
          <w:rStyle w:val="Refdenotaalpie"/>
          <w:sz w:val="16"/>
        </w:rPr>
        <w:footnoteRef/>
      </w:r>
      <w:r w:rsidRPr="000E696E">
        <w:t xml:space="preserve"> </w:t>
      </w:r>
      <w:r w:rsidRPr="000E696E">
        <w:tab/>
        <w:t xml:space="preserve">Art. 38 of the Statute of the International Court of Justice: “1. The Court, whose function is to decide in accordance with international law such disputes as are submitted to it, shall apply: </w:t>
      </w:r>
    </w:p>
    <w:p w14:paraId="45041E7C" w14:textId="77777777" w:rsidR="0068647C" w:rsidRPr="000E696E" w:rsidRDefault="0068647C" w:rsidP="00D61BD2">
      <w:pPr>
        <w:pStyle w:val="Textonotapie"/>
      </w:pPr>
      <w:r w:rsidRPr="000E696E">
        <w:t xml:space="preserve">(a) international conventions, whether general or particular, establishing rules expressly recognized by the contesting states; </w:t>
      </w:r>
    </w:p>
    <w:p w14:paraId="3A7DAF17" w14:textId="77777777" w:rsidR="0068647C" w:rsidRPr="000E696E" w:rsidRDefault="0068647C" w:rsidP="00D61BD2">
      <w:pPr>
        <w:pStyle w:val="Textonotapie"/>
      </w:pPr>
      <w:r w:rsidRPr="000E696E">
        <w:t xml:space="preserve">(b) international custom, as evidence of a general practice accepted as law; </w:t>
      </w:r>
    </w:p>
    <w:p w14:paraId="1FA87B30" w14:textId="77777777" w:rsidR="0068647C" w:rsidRPr="000E696E" w:rsidRDefault="0068647C" w:rsidP="00D61BD2">
      <w:pPr>
        <w:pStyle w:val="Textonotapie"/>
      </w:pPr>
      <w:r w:rsidRPr="000E696E">
        <w:t xml:space="preserve">(c) the general principles of law recognized by civilized nations; </w:t>
      </w:r>
    </w:p>
    <w:p w14:paraId="6B3EFF50" w14:textId="77777777" w:rsidR="0068647C" w:rsidRPr="000E696E" w:rsidRDefault="0068647C" w:rsidP="00D61BD2">
      <w:pPr>
        <w:pStyle w:val="Textonotapie"/>
      </w:pPr>
      <w:r w:rsidRPr="000E696E">
        <w:t xml:space="preserve">(d) subject to the provisions of Article 59, judicial decisions and the teachings of the most highly qualified publicists of the various nations, as subsidiary means for the determination of rules of law. </w:t>
      </w:r>
    </w:p>
    <w:p w14:paraId="1B6D1C50" w14:textId="37CB7787" w:rsidR="0068647C" w:rsidRPr="000E696E" w:rsidRDefault="0068647C" w:rsidP="00D61BD2">
      <w:pPr>
        <w:pStyle w:val="Textonotapie"/>
      </w:pPr>
      <w:r w:rsidRPr="000E696E">
        <w:t xml:space="preserve">2. This provision shall not prejudice the power of the Court to decide a case </w:t>
      </w:r>
      <w:r w:rsidRPr="000E696E">
        <w:rPr>
          <w:i/>
          <w:iCs/>
        </w:rPr>
        <w:t>ex aequo</w:t>
      </w:r>
      <w:r w:rsidRPr="000E696E">
        <w:t xml:space="preserve"> if the parties agree thereto.”</w:t>
      </w:r>
    </w:p>
  </w:footnote>
  <w:footnote w:id="377">
    <w:p w14:paraId="43E3DAAA" w14:textId="50AE433A" w:rsidR="0068647C" w:rsidRPr="000E696E" w:rsidRDefault="0068647C" w:rsidP="00D61BD2">
      <w:pPr>
        <w:pStyle w:val="Textonotapie"/>
      </w:pPr>
      <w:r w:rsidRPr="000E696E">
        <w:rPr>
          <w:rStyle w:val="Refdenotaalpie"/>
          <w:sz w:val="16"/>
        </w:rPr>
        <w:footnoteRef/>
      </w:r>
      <w:r w:rsidRPr="000E696E">
        <w:t xml:space="preserve"> </w:t>
      </w:r>
      <w:r w:rsidRPr="000E696E">
        <w:tab/>
        <w:t>Art. 31: “Recognition of Other Rights. Other rights and freedoms recognized in accordance with the procedures established in Articles 76 and 77 may be included in the system of protection of this Convention.”</w:t>
      </w:r>
    </w:p>
    <w:p w14:paraId="17488F0A" w14:textId="53BC72D4" w:rsidR="0068647C" w:rsidRPr="000E696E" w:rsidRDefault="0068647C" w:rsidP="00D61BD2">
      <w:pPr>
        <w:pStyle w:val="Textonotapie"/>
      </w:pPr>
      <w:r w:rsidRPr="000E696E">
        <w:t>Art. 76(1): “Proposals to amend this Convention may be submitted to the General Assembly for the action it deems appropriate by any State Party directly, and by the Commission or the Court through the Secretary General.”</w:t>
      </w:r>
    </w:p>
    <w:p w14:paraId="55A43FF5" w14:textId="44EF461B" w:rsidR="0068647C" w:rsidRPr="000E696E" w:rsidRDefault="0068647C" w:rsidP="00AA1EBF">
      <w:pPr>
        <w:tabs>
          <w:tab w:val="left" w:pos="480"/>
          <w:tab w:val="left" w:pos="1080"/>
          <w:tab w:val="left" w:pos="1680"/>
          <w:tab w:val="left" w:pos="5400"/>
        </w:tabs>
        <w:suppressAutoHyphens/>
        <w:spacing w:after="60"/>
        <w:jc w:val="both"/>
        <w:rPr>
          <w:rFonts w:ascii="Verdana" w:hAnsi="Verdana"/>
          <w:spacing w:val="-3"/>
          <w:sz w:val="16"/>
          <w:szCs w:val="16"/>
          <w:lang w:val="en-US"/>
        </w:rPr>
      </w:pPr>
      <w:r w:rsidRPr="000E696E">
        <w:rPr>
          <w:rFonts w:ascii="Verdana" w:hAnsi="Verdana"/>
          <w:sz w:val="16"/>
          <w:szCs w:val="16"/>
          <w:lang w:val="en-US"/>
        </w:rPr>
        <w:t>Art. 77(1): “</w:t>
      </w:r>
      <w:r w:rsidRPr="000E696E">
        <w:rPr>
          <w:rFonts w:ascii="Verdana" w:hAnsi="Verdana"/>
          <w:spacing w:val="-3"/>
          <w:sz w:val="16"/>
          <w:szCs w:val="16"/>
          <w:lang w:val="en-US"/>
        </w:rPr>
        <w:t>In accordance with Article 31, any State Party and the Commission may submit proposed protocols to this Convention for consideration by the States Parties at the General Assembly with a view to gradually including other rights and freedoms within its system of protection</w:t>
      </w:r>
      <w:r w:rsidRPr="000E696E">
        <w:rPr>
          <w:rFonts w:ascii="Verdana" w:hAnsi="Verdana"/>
          <w:sz w:val="16"/>
          <w:szCs w:val="16"/>
          <w:lang w:val="en-US"/>
        </w:rPr>
        <w:t>.”</w:t>
      </w:r>
    </w:p>
  </w:footnote>
  <w:footnote w:id="378">
    <w:p w14:paraId="5BA1D923" w14:textId="14430290" w:rsidR="0068647C" w:rsidRPr="000E696E" w:rsidRDefault="0068647C" w:rsidP="00D61BD2">
      <w:pPr>
        <w:pStyle w:val="Textonotapie"/>
      </w:pPr>
      <w:r w:rsidRPr="000E696E">
        <w:rPr>
          <w:rStyle w:val="Refdenotaalpie"/>
          <w:sz w:val="16"/>
        </w:rPr>
        <w:footnoteRef/>
      </w:r>
      <w:r w:rsidRPr="000E696E">
        <w:t xml:space="preserve"> </w:t>
      </w:r>
      <w:r w:rsidRPr="000E696E">
        <w:tab/>
        <w:t>Art. 31.3.c) of the Vienna Convention on the Law of Treaties: ““General rule of interpretation.... There shall be taken into account, together with the context: … (c) any relevant rules of international law applicable in the relations between the parties.”</w:t>
      </w:r>
    </w:p>
  </w:footnote>
  <w:footnote w:id="379">
    <w:p w14:paraId="76EEEDDC" w14:textId="376E2483" w:rsidR="0068647C" w:rsidRPr="000E696E" w:rsidRDefault="0068647C" w:rsidP="00D61BD2">
      <w:pPr>
        <w:pStyle w:val="Textonotapie"/>
      </w:pPr>
      <w:r w:rsidRPr="000E696E">
        <w:rPr>
          <w:rStyle w:val="Refdenotaalpie"/>
          <w:sz w:val="16"/>
        </w:rPr>
        <w:footnoteRef/>
      </w:r>
      <w:r w:rsidRPr="000E696E">
        <w:t xml:space="preserve"> </w:t>
      </w:r>
      <w:r w:rsidRPr="000E696E">
        <w:tab/>
        <w:t>Paras. Nos. 141 to 150. Hereafter, each time a paragraph is cited, it will be indicated as “para.” or “paras” if plural, and it shall be understood to correspond to the judgment.</w:t>
      </w:r>
    </w:p>
  </w:footnote>
  <w:footnote w:id="380">
    <w:p w14:paraId="63547657" w14:textId="65931C6F" w:rsidR="0068647C" w:rsidRPr="000E696E" w:rsidRDefault="0068647C" w:rsidP="00D61BD2">
      <w:pPr>
        <w:pStyle w:val="Textonotapie"/>
      </w:pPr>
      <w:r w:rsidRPr="000E696E">
        <w:rPr>
          <w:rStyle w:val="Refdenotaalpie"/>
          <w:sz w:val="16"/>
        </w:rPr>
        <w:footnoteRef/>
      </w:r>
      <w:r w:rsidRPr="000E696E">
        <w:t xml:space="preserve"> </w:t>
      </w:r>
      <w:r w:rsidRPr="000E696E">
        <w:tab/>
        <w:t>“Freedom of Association. Everyone has the right to associate freely for ideological, religious, political, economic, labor, social, cultural, sports, or other purposes.”</w:t>
      </w:r>
    </w:p>
  </w:footnote>
  <w:footnote w:id="381">
    <w:p w14:paraId="31A2762D" w14:textId="48703CCD" w:rsidR="0068647C" w:rsidRPr="000E696E" w:rsidRDefault="0068647C" w:rsidP="00D61BD2">
      <w:pPr>
        <w:pStyle w:val="Textonotapie"/>
      </w:pPr>
      <w:r w:rsidRPr="000E696E">
        <w:rPr>
          <w:rStyle w:val="Refdenotaalpie"/>
          <w:sz w:val="16"/>
        </w:rPr>
        <w:footnoteRef/>
      </w:r>
      <w:r w:rsidRPr="000E696E">
        <w:t xml:space="preserve"> </w:t>
      </w:r>
      <w:r w:rsidRPr="000E696E">
        <w:tab/>
        <w:t>Paras 155 to 160.</w:t>
      </w:r>
    </w:p>
  </w:footnote>
  <w:footnote w:id="382">
    <w:p w14:paraId="4C974ACF" w14:textId="44E2F653" w:rsidR="0068647C" w:rsidRPr="000E696E" w:rsidRDefault="0068647C" w:rsidP="00D61BD2">
      <w:pPr>
        <w:pStyle w:val="Textonotapie"/>
      </w:pPr>
      <w:r w:rsidRPr="000E696E">
        <w:rPr>
          <w:rStyle w:val="Refdenotaalpie"/>
          <w:sz w:val="16"/>
        </w:rPr>
        <w:footnoteRef/>
      </w:r>
      <w:r w:rsidRPr="000E696E">
        <w:t xml:space="preserve"> </w:t>
      </w:r>
      <w:r w:rsidRPr="000E696E">
        <w:tab/>
        <w:t>Para. 158.</w:t>
      </w:r>
    </w:p>
  </w:footnote>
  <w:footnote w:id="383">
    <w:p w14:paraId="07C58B55" w14:textId="7FA7011F" w:rsidR="0068647C" w:rsidRPr="000E696E" w:rsidRDefault="0068647C" w:rsidP="00D61BD2">
      <w:pPr>
        <w:pStyle w:val="Textonotapie"/>
      </w:pPr>
      <w:r w:rsidRPr="000E696E">
        <w:rPr>
          <w:rStyle w:val="Refdenotaalpie"/>
          <w:sz w:val="16"/>
        </w:rPr>
        <w:footnoteRef/>
      </w:r>
      <w:r w:rsidRPr="000E696E">
        <w:t xml:space="preserve"> </w:t>
      </w:r>
      <w:r w:rsidRPr="000E696E">
        <w:tab/>
        <w:t>Para. 159.</w:t>
      </w:r>
    </w:p>
  </w:footnote>
  <w:footnote w:id="384">
    <w:p w14:paraId="63AB0575" w14:textId="37642991" w:rsidR="0068647C" w:rsidRPr="000E696E" w:rsidRDefault="0068647C" w:rsidP="00AA1EBF">
      <w:pPr>
        <w:pStyle w:val="NormalWeb"/>
        <w:spacing w:before="0" w:beforeAutospacing="0" w:after="60" w:afterAutospacing="0"/>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Art. 31.3.c) of the Vienna Convention on the Law of Treaties: “General rule of interpretation.... There shall be taken into account, together with the context: … (c) any relevant rules of international law applicable in the relations between the parties.”</w:t>
      </w:r>
    </w:p>
  </w:footnote>
  <w:footnote w:id="385">
    <w:p w14:paraId="39A7061C" w14:textId="34B245A1" w:rsidR="0068647C" w:rsidRPr="000E696E" w:rsidRDefault="0068647C" w:rsidP="00D61BD2">
      <w:pPr>
        <w:pStyle w:val="Textonotapie"/>
      </w:pPr>
      <w:r w:rsidRPr="000E696E">
        <w:rPr>
          <w:rStyle w:val="Refdenotaalpie"/>
          <w:sz w:val="16"/>
        </w:rPr>
        <w:footnoteRef/>
      </w:r>
      <w:r w:rsidRPr="000E696E">
        <w:t xml:space="preserve"> </w:t>
      </w:r>
      <w:r w:rsidRPr="000E696E">
        <w:tab/>
        <w:t>“The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p>
  </w:footnote>
  <w:footnote w:id="386">
    <w:p w14:paraId="075BA276" w14:textId="307C80E3" w:rsidR="0068647C" w:rsidRPr="000E696E" w:rsidRDefault="0068647C" w:rsidP="00AA1EBF">
      <w:pPr>
        <w:tabs>
          <w:tab w:val="left" w:pos="480"/>
          <w:tab w:val="left" w:pos="1080"/>
          <w:tab w:val="left" w:pos="1680"/>
          <w:tab w:val="left" w:pos="5400"/>
        </w:tabs>
        <w:suppressAutoHyphens/>
        <w:spacing w:after="60"/>
        <w:jc w:val="both"/>
        <w:rPr>
          <w:rFonts w:ascii="Verdana" w:hAnsi="Verdana"/>
          <w:spacing w:val="-3"/>
          <w:sz w:val="16"/>
          <w:szCs w:val="16"/>
          <w:lang w:val="en-US"/>
        </w:rPr>
      </w:pPr>
      <w:r w:rsidRPr="000E696E">
        <w:rPr>
          <w:rStyle w:val="Refdenotaalpie"/>
          <w:sz w:val="16"/>
          <w:lang w:val="en-US"/>
        </w:rPr>
        <w:footnoteRef/>
      </w:r>
      <w:r w:rsidRPr="000E696E">
        <w:rPr>
          <w:lang w:val="en-US"/>
        </w:rPr>
        <w:t xml:space="preserve"> </w:t>
      </w:r>
      <w:r w:rsidRPr="000E696E">
        <w:rPr>
          <w:lang w:val="en-US"/>
        </w:rPr>
        <w:tab/>
      </w:r>
      <w:r w:rsidRPr="000E696E">
        <w:rPr>
          <w:rFonts w:ascii="Verdana" w:hAnsi="Verdana"/>
          <w:sz w:val="16"/>
          <w:szCs w:val="16"/>
          <w:lang w:val="en-US"/>
        </w:rPr>
        <w:t xml:space="preserve">“Restrictions Regarding Interpretation. </w:t>
      </w:r>
      <w:r w:rsidRPr="000E696E">
        <w:rPr>
          <w:rFonts w:ascii="Verdana" w:hAnsi="Verdana"/>
          <w:spacing w:val="-3"/>
          <w:sz w:val="16"/>
          <w:szCs w:val="16"/>
          <w:lang w:val="en-US"/>
        </w:rPr>
        <w:t>No provision of this Convention shall be interpreted as: a. permitting any State Party, group, or person to suppress the enjoyment or exercise of the rights and freedoms recognized in this Convention or to restrict them to a greater extent than is provided for herein</w:t>
      </w:r>
      <w:r w:rsidRPr="000E696E">
        <w:rPr>
          <w:rFonts w:ascii="Verdana" w:hAnsi="Verdana"/>
          <w:sz w:val="16"/>
          <w:szCs w:val="16"/>
          <w:lang w:val="en-US"/>
        </w:rPr>
        <w:t>.”</w:t>
      </w:r>
    </w:p>
  </w:footnote>
  <w:footnote w:id="387">
    <w:p w14:paraId="43F0E57E" w14:textId="5AFABFE6" w:rsidR="0068647C" w:rsidRPr="000E696E" w:rsidRDefault="0068647C" w:rsidP="00D61BD2">
      <w:pPr>
        <w:pStyle w:val="Textonotapie"/>
      </w:pPr>
      <w:r w:rsidRPr="000E696E">
        <w:rPr>
          <w:rStyle w:val="Refdenotaalpie"/>
          <w:sz w:val="16"/>
        </w:rPr>
        <w:footnoteRef/>
      </w:r>
      <w:r w:rsidRPr="000E696E">
        <w:t xml:space="preserve"> </w:t>
      </w:r>
      <w:r w:rsidRPr="000E696E">
        <w:tab/>
        <w:t>Art. 45(1): “Any State Party may, when it deposits its instrument of ratification of or adherence to this Convention, or at any later time, declare that it recognizes the competence of the Commission to receive and examine communications in which a State Party alleges that another State Party has committed a violation of a human right set forth in this Convention.”</w:t>
      </w:r>
    </w:p>
  </w:footnote>
  <w:footnote w:id="388">
    <w:p w14:paraId="38E6E618" w14:textId="338A89F6" w:rsidR="0068647C" w:rsidRPr="000E696E" w:rsidRDefault="0068647C" w:rsidP="00D61BD2">
      <w:pPr>
        <w:pStyle w:val="Textonotapie"/>
      </w:pPr>
      <w:r w:rsidRPr="000E696E">
        <w:rPr>
          <w:rStyle w:val="Refdenotaalpie"/>
          <w:sz w:val="16"/>
        </w:rPr>
        <w:footnoteRef/>
      </w:r>
      <w:r w:rsidRPr="000E696E">
        <w:t xml:space="preserve"> </w:t>
      </w:r>
      <w:r w:rsidRPr="000E696E">
        <w:tab/>
        <w:t>Art. 47(b) “The Commission shall consider inadmissible any petition or communication submitted under Articles 44 or 45 if: ... the petition or communication does not state facts that tend to establish a violation of the rights guaranteed by this Convention.”</w:t>
      </w:r>
    </w:p>
  </w:footnote>
  <w:footnote w:id="389">
    <w:p w14:paraId="2EBCC275" w14:textId="77777777" w:rsidR="0068647C" w:rsidRPr="000E696E" w:rsidRDefault="0068647C" w:rsidP="003E678C">
      <w:pPr>
        <w:pStyle w:val="Textonotapie"/>
      </w:pPr>
      <w:r w:rsidRPr="000E696E">
        <w:rPr>
          <w:rStyle w:val="Refdenotaalpie"/>
          <w:sz w:val="16"/>
        </w:rPr>
        <w:footnoteRef/>
      </w:r>
      <w:r w:rsidRPr="000E696E">
        <w:t xml:space="preserve"> </w:t>
      </w:r>
      <w:r w:rsidRPr="000E696E">
        <w:tab/>
        <w:t>Art.48(1): “When the Commission receives a petition or communication alleging violation of any of the rights protected by this Convention, it shall proceed as follows: ...”</w:t>
      </w:r>
    </w:p>
  </w:footnote>
  <w:footnote w:id="390">
    <w:p w14:paraId="73F3D6C7" w14:textId="16675F86" w:rsidR="0068647C" w:rsidRPr="000E696E" w:rsidRDefault="0068647C" w:rsidP="00D61BD2">
      <w:pPr>
        <w:pStyle w:val="Textonotapie"/>
      </w:pPr>
      <w:r w:rsidRPr="000E696E">
        <w:rPr>
          <w:rStyle w:val="Refdenotaalpie"/>
          <w:sz w:val="16"/>
        </w:rPr>
        <w:footnoteRef/>
      </w:r>
      <w:r w:rsidRPr="000E696E">
        <w:t xml:space="preserve"> </w:t>
      </w:r>
      <w:r w:rsidRPr="000E696E">
        <w:tab/>
        <w:t>Art. 63(1): “If the Court finds that there has been a violation of a right or freedom protected by this Convention, the Court shall rule that the injured party be ensured the enjoyment of his right or freedom that was violated.  It shall also rule, if appropriate, that the consequences of the measure or situation that constituted the breach of such right or freedom be remedied and that fair compensation be paid to the injured party.”</w:t>
      </w:r>
    </w:p>
  </w:footnote>
  <w:footnote w:id="391">
    <w:p w14:paraId="6C838507" w14:textId="258C1D26" w:rsidR="0068647C" w:rsidRPr="000E696E" w:rsidRDefault="0068647C" w:rsidP="00D61BD2">
      <w:pPr>
        <w:pStyle w:val="Textonotapie"/>
      </w:pPr>
      <w:r w:rsidRPr="000E696E">
        <w:rPr>
          <w:rStyle w:val="Refdenotaalpie"/>
          <w:sz w:val="16"/>
        </w:rPr>
        <w:footnoteRef/>
      </w:r>
      <w:r w:rsidRPr="000E696E">
        <w:t xml:space="preserve"> </w:t>
      </w:r>
      <w:r w:rsidRPr="000E696E">
        <w:tab/>
        <w:t>Hereafter, each time the rights “recognized” in the Convention are referred to, it shall be understood that this also includes those that are “established,” “</w:t>
      </w:r>
      <w:r w:rsidRPr="000E696E">
        <w:rPr>
          <w:i/>
        </w:rPr>
        <w:t>guaranteed,</w:t>
      </w:r>
      <w:r w:rsidRPr="000E696E">
        <w:t>”  “</w:t>
      </w:r>
      <w:r w:rsidRPr="000E696E">
        <w:rPr>
          <w:i/>
        </w:rPr>
        <w:t>embodied</w:t>
      </w:r>
      <w:r w:rsidRPr="000E696E">
        <w:t>”  or “</w:t>
      </w:r>
      <w:r w:rsidRPr="000E696E">
        <w:rPr>
          <w:i/>
        </w:rPr>
        <w:t>protected.”</w:t>
      </w:r>
      <w:r w:rsidRPr="000E696E">
        <w:t xml:space="preserve"> </w:t>
      </w:r>
    </w:p>
  </w:footnote>
  <w:footnote w:id="392">
    <w:p w14:paraId="0C7A7A65" w14:textId="0B196E8A" w:rsidR="0068647C" w:rsidRPr="000E696E" w:rsidRDefault="0068647C" w:rsidP="00D61BD2">
      <w:pPr>
        <w:pStyle w:val="Textonotapie"/>
      </w:pPr>
      <w:r w:rsidRPr="000E696E">
        <w:rPr>
          <w:rStyle w:val="Refdenotaalpie"/>
          <w:sz w:val="16"/>
        </w:rPr>
        <w:footnoteRef/>
      </w:r>
      <w:r w:rsidRPr="000E696E">
        <w:t xml:space="preserve"> </w:t>
      </w:r>
      <w:r w:rsidRPr="000E696E">
        <w:tab/>
        <w:t>It should be pointed out that the Convention also mentioned “principles,” referring to “a system of personal liberty and social justice based on respect for the essential rights of man,” because these “are not derived from one's being a national of a certain state, but are based upon attributes of the human personality,” and that they “have been set forth in the Charter of the Organization of American States, in the American Declaration of the Rights and Duties of Man, and in the Universal Declaration of Human Rights and […] have been reaffirmed and refined in other international instruments, worldwide as well as regional in scope.” Paras.1, 2 and 3 of the Preamble.</w:t>
      </w:r>
    </w:p>
  </w:footnote>
  <w:footnote w:id="393">
    <w:p w14:paraId="566611D1" w14:textId="47BC714C" w:rsidR="0068647C" w:rsidRPr="000E696E" w:rsidRDefault="0068647C" w:rsidP="00D61BD2">
      <w:pPr>
        <w:pStyle w:val="Textonotapie"/>
      </w:pPr>
      <w:r w:rsidRPr="000E696E">
        <w:rPr>
          <w:rStyle w:val="Refdenotaalpie"/>
          <w:sz w:val="16"/>
        </w:rPr>
        <w:footnoteRef/>
      </w:r>
      <w:r w:rsidRPr="000E696E">
        <w:t xml:space="preserve"> </w:t>
      </w:r>
      <w:r w:rsidRPr="000E696E">
        <w:tab/>
        <w:t>Paragraph 4 of the Preamble: “Reiterating that, in accordance with the Universal Declaration of Human Rights, the ideal of free men enjoying freedom from fear and want can be achieved only if conditions are created whereby everyone may enjoy his economic, social, and cultural rights, as well as his civil and political rights.”</w:t>
      </w:r>
    </w:p>
  </w:footnote>
  <w:footnote w:id="394">
    <w:p w14:paraId="67485462" w14:textId="03307AC5" w:rsidR="0068647C" w:rsidRPr="000E696E" w:rsidRDefault="0068647C" w:rsidP="00D61BD2">
      <w:pPr>
        <w:pStyle w:val="Textonotapie"/>
        <w:rPr>
          <w:i/>
        </w:rPr>
      </w:pPr>
      <w:r w:rsidRPr="000E696E">
        <w:rPr>
          <w:rStyle w:val="Refdenotaalpie"/>
          <w:sz w:val="16"/>
        </w:rPr>
        <w:footnoteRef/>
      </w:r>
      <w:r w:rsidRPr="000E696E">
        <w:t xml:space="preserve"> </w:t>
      </w:r>
      <w:r w:rsidRPr="000E696E">
        <w:tab/>
        <w:t xml:space="preserve">Art.2, </w:t>
      </w:r>
      <w:r w:rsidRPr="000E696E">
        <w:rPr>
          <w:i/>
        </w:rPr>
        <w:t xml:space="preserve">cit. </w:t>
      </w:r>
      <w:r w:rsidRPr="000E696E">
        <w:t>in Footnote 3.</w:t>
      </w:r>
    </w:p>
  </w:footnote>
  <w:footnote w:id="395">
    <w:p w14:paraId="376A3562" w14:textId="5835EA9B" w:rsidR="0068647C" w:rsidRPr="000E696E" w:rsidRDefault="0068647C" w:rsidP="00AA1EBF">
      <w:pPr>
        <w:tabs>
          <w:tab w:val="left" w:pos="720"/>
          <w:tab w:val="left" w:pos="1680"/>
          <w:tab w:val="left" w:pos="5400"/>
        </w:tabs>
        <w:suppressAutoHyphens/>
        <w:spacing w:after="60"/>
        <w:jc w:val="both"/>
        <w:rPr>
          <w:rFonts w:ascii="Verdana" w:hAnsi="Verdana"/>
          <w:spacing w:val="-3"/>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 xml:space="preserve">Art. 29(b): “Restrictions Regarding Interpretation. </w:t>
      </w:r>
      <w:r w:rsidRPr="000E696E">
        <w:rPr>
          <w:rFonts w:ascii="Verdana" w:hAnsi="Verdana"/>
          <w:spacing w:val="-3"/>
          <w:sz w:val="16"/>
          <w:szCs w:val="16"/>
          <w:lang w:val="en-US"/>
        </w:rPr>
        <w:t>No provision of this Convention shall be interpreted as</w:t>
      </w:r>
      <w:r w:rsidRPr="000E696E">
        <w:rPr>
          <w:rFonts w:ascii="Verdana" w:hAnsi="Verdana"/>
          <w:sz w:val="16"/>
          <w:szCs w:val="16"/>
          <w:lang w:val="en-US"/>
        </w:rPr>
        <w:t xml:space="preserve">:... </w:t>
      </w:r>
      <w:r w:rsidRPr="000E696E">
        <w:rPr>
          <w:rFonts w:ascii="Verdana" w:hAnsi="Verdana"/>
          <w:spacing w:val="-3"/>
          <w:sz w:val="16"/>
          <w:szCs w:val="16"/>
          <w:lang w:val="en-US"/>
        </w:rPr>
        <w:t>restricting the enjoyment or exercise of any right or freedom recognized by virtue of the laws of any State Party or by virtue of another convention to which one of the said states is a party.</w:t>
      </w:r>
    </w:p>
  </w:footnote>
  <w:footnote w:id="396">
    <w:p w14:paraId="7FD6CFC8" w14:textId="4DB06F92" w:rsidR="0068647C" w:rsidRPr="000E696E" w:rsidRDefault="0068647C" w:rsidP="00D61BD2">
      <w:pPr>
        <w:pStyle w:val="Textonotapie"/>
      </w:pPr>
      <w:r w:rsidRPr="000E696E">
        <w:rPr>
          <w:rStyle w:val="Refdenotaalpie"/>
          <w:sz w:val="16"/>
        </w:rPr>
        <w:footnoteRef/>
      </w:r>
      <w:r w:rsidRPr="000E696E">
        <w:t xml:space="preserve"> </w:t>
      </w:r>
      <w:r w:rsidRPr="000E696E">
        <w:tab/>
        <w:t>Art. 29(c): “Restrictions Regarding Interpretation. No provision of this Convention shall be interpreted as:... precluding other rights or guarantees that are inherent in the human personality or derived from representative democracy as a form of government [...].”</w:t>
      </w:r>
    </w:p>
  </w:footnote>
  <w:footnote w:id="397">
    <w:p w14:paraId="4126DEDE" w14:textId="027D8066" w:rsidR="0068647C" w:rsidRPr="000E696E" w:rsidRDefault="0068647C" w:rsidP="00D61BD2">
      <w:pPr>
        <w:pStyle w:val="Textonotapie"/>
      </w:pPr>
      <w:r w:rsidRPr="000E696E">
        <w:rPr>
          <w:rStyle w:val="Refdenotaalpie"/>
          <w:sz w:val="16"/>
        </w:rPr>
        <w:footnoteRef/>
      </w:r>
      <w:r w:rsidRPr="000E696E">
        <w:t xml:space="preserve"> </w:t>
      </w:r>
      <w:r w:rsidRPr="000E696E">
        <w:tab/>
        <w:t>Paras. 142 and 154.</w:t>
      </w:r>
    </w:p>
  </w:footnote>
  <w:footnote w:id="398">
    <w:p w14:paraId="7BD86C1F" w14:textId="2F24B675" w:rsidR="0068647C" w:rsidRPr="000E696E" w:rsidRDefault="0068647C" w:rsidP="00AA1EBF">
      <w:pPr>
        <w:tabs>
          <w:tab w:val="left" w:pos="720"/>
          <w:tab w:val="left" w:pos="1080"/>
          <w:tab w:val="left" w:pos="1680"/>
          <w:tab w:val="left" w:pos="5400"/>
        </w:tabs>
        <w:suppressAutoHyphens/>
        <w:spacing w:after="60"/>
        <w:jc w:val="both"/>
        <w:rPr>
          <w:rFonts w:ascii="Verdana" w:hAnsi="Verdana"/>
          <w:spacing w:val="-3"/>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Art. 33: “</w:t>
      </w:r>
      <w:r w:rsidRPr="000E696E">
        <w:rPr>
          <w:rFonts w:ascii="Verdana" w:hAnsi="Verdana"/>
          <w:spacing w:val="-3"/>
          <w:sz w:val="16"/>
          <w:szCs w:val="16"/>
          <w:lang w:val="en-US"/>
        </w:rPr>
        <w:t>The following organs shall have competence with respect to matters relating to the fulfillment of the commitments made by the States Parties to this Convention:</w:t>
      </w:r>
    </w:p>
    <w:p w14:paraId="38B8EBA8" w14:textId="692E87CE" w:rsidR="0068647C" w:rsidRPr="000E696E" w:rsidRDefault="0068647C" w:rsidP="00AA1EBF">
      <w:pPr>
        <w:tabs>
          <w:tab w:val="left" w:pos="480"/>
          <w:tab w:val="left" w:pos="1080"/>
          <w:tab w:val="left" w:pos="1680"/>
          <w:tab w:val="left" w:pos="5400"/>
        </w:tabs>
        <w:suppressAutoHyphens/>
        <w:spacing w:after="60"/>
        <w:jc w:val="both"/>
        <w:rPr>
          <w:rFonts w:ascii="Verdana" w:hAnsi="Verdana"/>
          <w:spacing w:val="-3"/>
          <w:sz w:val="16"/>
          <w:szCs w:val="16"/>
          <w:lang w:val="en-US"/>
        </w:rPr>
      </w:pPr>
      <w:r w:rsidRPr="000E696E">
        <w:rPr>
          <w:rFonts w:ascii="Verdana" w:hAnsi="Verdana"/>
          <w:spacing w:val="-3"/>
          <w:sz w:val="16"/>
          <w:szCs w:val="16"/>
          <w:lang w:val="en-US"/>
        </w:rPr>
        <w:t>a.</w:t>
      </w:r>
      <w:r w:rsidRPr="000E696E">
        <w:rPr>
          <w:rFonts w:ascii="Verdana" w:hAnsi="Verdana"/>
          <w:spacing w:val="-3"/>
          <w:sz w:val="16"/>
          <w:szCs w:val="16"/>
          <w:lang w:val="en-US"/>
        </w:rPr>
        <w:tab/>
        <w:t>the Inter</w:t>
      </w:r>
      <w:r w:rsidRPr="000E696E">
        <w:rPr>
          <w:rFonts w:ascii="Verdana" w:hAnsi="Verdana"/>
          <w:spacing w:val="-3"/>
          <w:sz w:val="16"/>
          <w:szCs w:val="16"/>
          <w:lang w:val="en-US"/>
        </w:rPr>
        <w:noBreakHyphen/>
        <w:t>American Commission on Human Rights, referred to as “The Commission;” and</w:t>
      </w:r>
    </w:p>
    <w:p w14:paraId="4A6EDADF" w14:textId="5F19E5D9" w:rsidR="0068647C" w:rsidRPr="000E696E" w:rsidRDefault="0068647C" w:rsidP="00AA1EBF">
      <w:pPr>
        <w:tabs>
          <w:tab w:val="left" w:pos="480"/>
          <w:tab w:val="left" w:pos="1080"/>
          <w:tab w:val="left" w:pos="1680"/>
          <w:tab w:val="left" w:pos="5400"/>
        </w:tabs>
        <w:suppressAutoHyphens/>
        <w:spacing w:after="60"/>
        <w:jc w:val="both"/>
        <w:rPr>
          <w:rFonts w:ascii="Verdana" w:hAnsi="Verdana"/>
          <w:spacing w:val="-3"/>
          <w:sz w:val="16"/>
          <w:szCs w:val="16"/>
          <w:lang w:val="en-US"/>
        </w:rPr>
      </w:pPr>
      <w:r w:rsidRPr="000E696E">
        <w:rPr>
          <w:rFonts w:ascii="Verdana" w:hAnsi="Verdana"/>
          <w:spacing w:val="-3"/>
          <w:sz w:val="16"/>
          <w:szCs w:val="16"/>
          <w:lang w:val="en-US"/>
        </w:rPr>
        <w:t>b.</w:t>
      </w:r>
      <w:r w:rsidRPr="000E696E">
        <w:rPr>
          <w:rFonts w:ascii="Verdana" w:hAnsi="Verdana"/>
          <w:spacing w:val="-3"/>
          <w:sz w:val="16"/>
          <w:szCs w:val="16"/>
          <w:lang w:val="en-US"/>
        </w:rPr>
        <w:tab/>
        <w:t>the Inter</w:t>
      </w:r>
      <w:r w:rsidRPr="000E696E">
        <w:rPr>
          <w:rFonts w:ascii="Verdana" w:hAnsi="Verdana"/>
          <w:spacing w:val="-3"/>
          <w:sz w:val="16"/>
          <w:szCs w:val="16"/>
          <w:lang w:val="en-US"/>
        </w:rPr>
        <w:noBreakHyphen/>
        <w:t>American Court of Human Rights, referred to as “The Court.”</w:t>
      </w:r>
    </w:p>
  </w:footnote>
  <w:footnote w:id="399">
    <w:p w14:paraId="46B63EE0" w14:textId="54CA7451" w:rsidR="0068647C" w:rsidRPr="000E696E" w:rsidRDefault="0068647C" w:rsidP="00D61BD2">
      <w:pPr>
        <w:pStyle w:val="Textonotapie"/>
        <w:rPr>
          <w:i/>
        </w:rPr>
      </w:pPr>
      <w:r w:rsidRPr="000E696E">
        <w:rPr>
          <w:rStyle w:val="Refdenotaalpie"/>
          <w:sz w:val="16"/>
        </w:rPr>
        <w:footnoteRef/>
      </w:r>
      <w:r w:rsidRPr="000E696E">
        <w:t xml:space="preserve"> </w:t>
      </w:r>
      <w:r w:rsidRPr="000E696E">
        <w:tab/>
        <w:t>The possibility also exists that protocols are signed that do not involve the incorporation of rights into the protection system. Thus, for example, the 1990 Protocol to the American Convention on Human Rights to Abolish the Death Penalty, was adopted because, according to its sixth preambular paragraph “</w:t>
      </w:r>
      <w:r w:rsidRPr="000E696E">
        <w:rPr>
          <w:rFonts w:cs="Tahoma"/>
          <w:i/>
          <w:iCs/>
        </w:rPr>
        <w:t>an international agreement must be arrived at that will entail a progressive development of the American Convention on Human Rights</w:t>
      </w:r>
      <w:r w:rsidRPr="000E696E">
        <w:rPr>
          <w:rFonts w:cs="Tahoma"/>
        </w:rPr>
        <w:t>.”</w:t>
      </w:r>
    </w:p>
  </w:footnote>
  <w:footnote w:id="400">
    <w:p w14:paraId="33852793" w14:textId="3731E268" w:rsidR="0068647C" w:rsidRPr="000E696E" w:rsidRDefault="0068647C" w:rsidP="00D61BD2">
      <w:pPr>
        <w:pStyle w:val="Textonotapie"/>
      </w:pPr>
      <w:r w:rsidRPr="000E696E">
        <w:rPr>
          <w:rStyle w:val="Refdenotaalpie"/>
          <w:sz w:val="16"/>
        </w:rPr>
        <w:footnoteRef/>
      </w:r>
      <w:r w:rsidRPr="000E696E">
        <w:t xml:space="preserve"> </w:t>
      </w:r>
      <w:r w:rsidRPr="000E696E">
        <w:tab/>
        <w:t xml:space="preserve">Footnote 14. </w:t>
      </w:r>
    </w:p>
  </w:footnote>
  <w:footnote w:id="401">
    <w:p w14:paraId="7B7EFAB9" w14:textId="0FC78DE5" w:rsidR="0068647C" w:rsidRPr="000E696E" w:rsidRDefault="0068647C" w:rsidP="00D61BD2">
      <w:pPr>
        <w:pStyle w:val="Textonotapie"/>
      </w:pPr>
      <w:r w:rsidRPr="000E696E">
        <w:rPr>
          <w:rStyle w:val="Refdenotaalpie"/>
          <w:sz w:val="16"/>
        </w:rPr>
        <w:footnoteRef/>
      </w:r>
      <w:r w:rsidRPr="000E696E">
        <w:t xml:space="preserve"> </w:t>
      </w:r>
      <w:r w:rsidRPr="000E696E">
        <w:tab/>
        <w:t xml:space="preserve">Para. 142. </w:t>
      </w:r>
    </w:p>
  </w:footnote>
  <w:footnote w:id="402">
    <w:p w14:paraId="3DBC42AC" w14:textId="71F2E474" w:rsidR="0068647C" w:rsidRPr="000E696E" w:rsidRDefault="0068647C" w:rsidP="00AA1EBF">
      <w:pPr>
        <w:spacing w:after="60"/>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Preambular paragraph 7: “</w:t>
      </w:r>
      <w:r w:rsidRPr="000E696E">
        <w:rPr>
          <w:rFonts w:ascii="Verdana" w:hAnsi="Verdana" w:cs="Tahoma"/>
          <w:sz w:val="16"/>
          <w:szCs w:val="16"/>
          <w:lang w:val="en-US"/>
        </w:rPr>
        <w:t>Considering that the American Convention on Human Rights provides that draft additional protocols to that Convention may be submitted for consideration to the States Parties, meeting together on the occasion of the General Assembly of the Organization of American States, for the purpose of gradually incorporating other rights and freedoms into the protective system thereof, Have agreed upon the following Additional Protocol to the American Convention on Human Rights “Protocol of San Salvador.”</w:t>
      </w:r>
    </w:p>
  </w:footnote>
  <w:footnote w:id="403">
    <w:p w14:paraId="683D0A62" w14:textId="23F0BFC1" w:rsidR="0068647C" w:rsidRPr="000E696E" w:rsidRDefault="0068647C" w:rsidP="00AA1EBF">
      <w:pPr>
        <w:spacing w:after="60"/>
        <w:jc w:val="both"/>
        <w:rPr>
          <w:rFonts w:ascii="Verdana" w:eastAsia="Times New Roman" w:hAnsi="Verdana" w:cs="Arial"/>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 xml:space="preserve">Art. 1 of the Protocol of San Salvador: “Obligation to Adopt Measures. </w:t>
      </w:r>
      <w:r w:rsidRPr="000E696E">
        <w:rPr>
          <w:rFonts w:ascii="Verdana" w:eastAsia="Times New Roman" w:hAnsi="Verdana" w:cs="Tahoma"/>
          <w:sz w:val="16"/>
          <w:szCs w:val="16"/>
          <w:lang w:val="en-US"/>
        </w:rPr>
        <w:t>The States Parties to this Additional Protocol to the American Convention on Human Rights undertake to adopt the necessary measures, both domestically and through international cooperation, especially economic and technical, to the extent allowed by their available resources, and taking into account their degree of development, for the purpose of achieving progressively and pursuant to their internal legislations, the full observance of the rights recognized in this Protocol</w:t>
      </w:r>
      <w:r w:rsidRPr="000E696E">
        <w:rPr>
          <w:rFonts w:ascii="Verdana" w:hAnsi="Verdana"/>
          <w:sz w:val="16"/>
          <w:szCs w:val="16"/>
          <w:lang w:val="en-US"/>
        </w:rPr>
        <w:t>.”</w:t>
      </w:r>
    </w:p>
  </w:footnote>
  <w:footnote w:id="404">
    <w:p w14:paraId="699DD5E4" w14:textId="21E732DA" w:rsidR="0068647C" w:rsidRPr="000E696E" w:rsidRDefault="0068647C" w:rsidP="00D61BD2">
      <w:pPr>
        <w:pStyle w:val="Textonotapie"/>
      </w:pPr>
      <w:r w:rsidRPr="000E696E">
        <w:rPr>
          <w:rStyle w:val="Refdenotaalpie"/>
          <w:sz w:val="16"/>
        </w:rPr>
        <w:footnoteRef/>
      </w:r>
      <w:r w:rsidRPr="000E696E">
        <w:t xml:space="preserve"> </w:t>
      </w:r>
      <w:r w:rsidRPr="000E696E">
        <w:tab/>
        <w:t>Art. 19(6) of this Protocol: “Any instance in which the rights established in paragraph a) of Article 8 and in Article 13 are violated by action directly attributable to a State Party to this Protocol may give rise, through participation of the Inter-American Commission on Human Rights and, when applicable, of the Inter-American Court of Human Rights, to application of the system of individual petitions governed by Article 44 through 51 and 61 through 69 of the American Convention on Human Rights.</w:t>
      </w:r>
    </w:p>
  </w:footnote>
  <w:footnote w:id="405">
    <w:p w14:paraId="58BD2C37" w14:textId="49644D42" w:rsidR="0068647C" w:rsidRPr="000E696E" w:rsidRDefault="0068647C" w:rsidP="00AA1EBF">
      <w:pPr>
        <w:pStyle w:val="NormalWeb"/>
        <w:spacing w:before="0" w:beforeAutospacing="0" w:after="60" w:afterAutospacing="0"/>
        <w:jc w:val="both"/>
        <w:rPr>
          <w:rFonts w:ascii="Verdana" w:hAnsi="Verdana" w:cs="Arial"/>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Art. 8(a) of this Protocol: “</w:t>
      </w:r>
      <w:r w:rsidRPr="000E696E">
        <w:rPr>
          <w:rFonts w:ascii="Verdana" w:hAnsi="Verdana" w:cs="Tahoma"/>
          <w:sz w:val="16"/>
          <w:szCs w:val="16"/>
          <w:lang w:val="en-US"/>
        </w:rPr>
        <w:t>The States Parties shall ensure: (a) The right of workers to organize labor unions and to join the union of their choice for the purpose of protecting and promoting their interests. As an extension of that right, the States Parties shall permit labor unions to establish national federations or confederations, or to affiliate with those that already exist, as well as to form international labor union organizations and to affiliate with that of their choice. The States Parties shall also permit labor unions, federations and confederations to function freely</w:t>
      </w:r>
      <w:r w:rsidRPr="000E696E">
        <w:rPr>
          <w:rFonts w:ascii="Verdana" w:hAnsi="Verdana"/>
          <w:sz w:val="16"/>
          <w:szCs w:val="16"/>
          <w:lang w:val="en-US"/>
        </w:rPr>
        <w:t>.”</w:t>
      </w:r>
    </w:p>
  </w:footnote>
  <w:footnote w:id="406">
    <w:p w14:paraId="41090582" w14:textId="5F395F47" w:rsidR="0068647C" w:rsidRPr="000E696E" w:rsidRDefault="0068647C" w:rsidP="00587255">
      <w:pPr>
        <w:spacing w:after="60"/>
        <w:jc w:val="both"/>
        <w:rPr>
          <w:rFonts w:ascii="Verdana" w:eastAsia="Times New Roman" w:hAnsi="Verdana" w:cs="Arial"/>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 xml:space="preserve">Art.13 of this Protocol: “Right to Education. 1. </w:t>
      </w:r>
      <w:r w:rsidRPr="000E696E">
        <w:rPr>
          <w:rFonts w:ascii="Verdana" w:eastAsia="Times New Roman" w:hAnsi="Verdana" w:cs="Tahoma"/>
          <w:sz w:val="16"/>
          <w:szCs w:val="16"/>
          <w:lang w:val="en-US"/>
        </w:rPr>
        <w:t>1. Everyone has the right to education.</w:t>
      </w:r>
      <w:r w:rsidRPr="000E696E">
        <w:rPr>
          <w:rFonts w:ascii="Verdana" w:eastAsia="Times New Roman" w:hAnsi="Verdana" w:cs="Arial"/>
          <w:sz w:val="16"/>
          <w:szCs w:val="16"/>
          <w:lang w:val="en-US"/>
        </w:rPr>
        <w:t xml:space="preserve"> </w:t>
      </w:r>
      <w:r w:rsidRPr="000E696E">
        <w:rPr>
          <w:rFonts w:ascii="Verdana" w:eastAsia="Times New Roman" w:hAnsi="Verdana" w:cs="Tahoma"/>
          <w:sz w:val="16"/>
          <w:szCs w:val="16"/>
          <w:lang w:val="en-US"/>
        </w:rPr>
        <w:t>2. The States Parties to this Protocol agree that education should be directed towards the full development of the human personality and human dignity and should strengthen respect for human rights, ideological pluralism, fundamental freedoms, justice and peace. They further agree that education ought to enable everyone to participate effectively in a democratic and pluralistic society and achieve a decent existence and should foster understanding, tolerance and friendship among all nations and all racial, ethnic or religious groups and promote activities for the maintenance of peace.</w:t>
      </w:r>
      <w:r w:rsidRPr="000E696E">
        <w:rPr>
          <w:rFonts w:ascii="Verdana" w:eastAsia="Times New Roman" w:hAnsi="Verdana" w:cs="Arial"/>
          <w:sz w:val="16"/>
          <w:szCs w:val="16"/>
          <w:lang w:val="en-US"/>
        </w:rPr>
        <w:t xml:space="preserve"> </w:t>
      </w:r>
      <w:r w:rsidRPr="000E696E">
        <w:rPr>
          <w:rFonts w:ascii="Verdana" w:eastAsia="Times New Roman" w:hAnsi="Verdana" w:cs="Tahoma"/>
          <w:sz w:val="16"/>
          <w:szCs w:val="16"/>
          <w:lang w:val="en-US"/>
        </w:rPr>
        <w:t>3. The States Parties to this Protocol recognize that in order to achieve the full exercise of the right to education:</w:t>
      </w:r>
      <w:r w:rsidRPr="000E696E">
        <w:rPr>
          <w:rFonts w:ascii="Verdana" w:eastAsia="Times New Roman" w:hAnsi="Verdana" w:cs="Arial"/>
          <w:sz w:val="16"/>
          <w:szCs w:val="16"/>
          <w:lang w:val="en-US"/>
        </w:rPr>
        <w:t xml:space="preserve"> a.</w:t>
      </w:r>
      <w:r w:rsidRPr="000E696E">
        <w:rPr>
          <w:rFonts w:ascii="Verdana" w:eastAsia="Times New Roman" w:hAnsi="Verdana" w:cs="Tahoma"/>
          <w:sz w:val="16"/>
          <w:szCs w:val="16"/>
          <w:lang w:val="en-US"/>
        </w:rPr>
        <w:t xml:space="preserve"> Primary education should be compulsory and accessible to all without cost;</w:t>
      </w:r>
      <w:r w:rsidRPr="000E696E">
        <w:rPr>
          <w:rFonts w:ascii="Verdana" w:eastAsia="Times New Roman" w:hAnsi="Verdana" w:cs="Arial"/>
          <w:sz w:val="16"/>
          <w:szCs w:val="16"/>
          <w:lang w:val="en-US"/>
        </w:rPr>
        <w:t xml:space="preserve"> </w:t>
      </w:r>
      <w:r w:rsidRPr="000E696E">
        <w:rPr>
          <w:rFonts w:ascii="Verdana" w:eastAsia="Times New Roman" w:hAnsi="Verdana" w:cs="Tahoma"/>
          <w:sz w:val="16"/>
          <w:szCs w:val="16"/>
          <w:lang w:val="en-US"/>
        </w:rPr>
        <w:t>b. Secondary education in its different forms, including technical and vocational secondary education, should be made generally available and accessible to all by every appropriate means, and in particular, by the progressive introduction of free education;</w:t>
      </w:r>
      <w:r w:rsidRPr="000E696E">
        <w:rPr>
          <w:rFonts w:ascii="Verdana" w:eastAsia="Times New Roman" w:hAnsi="Verdana" w:cs="Arial"/>
          <w:sz w:val="16"/>
          <w:szCs w:val="16"/>
          <w:lang w:val="en-US"/>
        </w:rPr>
        <w:t xml:space="preserve"> </w:t>
      </w:r>
      <w:r w:rsidRPr="000E696E">
        <w:rPr>
          <w:rFonts w:ascii="Verdana" w:eastAsia="Times New Roman" w:hAnsi="Verdana" w:cs="Tahoma"/>
          <w:sz w:val="16"/>
          <w:szCs w:val="16"/>
          <w:lang w:val="en-US"/>
        </w:rPr>
        <w:t>c. Higher education should be made equally accessible to all, on the basis of individual capacity, by every appropriate means, and in particular, by the progressive introduction of free education;</w:t>
      </w:r>
      <w:r w:rsidRPr="000E696E">
        <w:rPr>
          <w:rFonts w:ascii="Verdana" w:eastAsia="Times New Roman" w:hAnsi="Verdana" w:cs="Arial"/>
          <w:sz w:val="16"/>
          <w:szCs w:val="16"/>
          <w:lang w:val="en-US"/>
        </w:rPr>
        <w:t xml:space="preserve"> </w:t>
      </w:r>
      <w:r w:rsidRPr="000E696E">
        <w:rPr>
          <w:rFonts w:ascii="Verdana" w:eastAsia="Times New Roman" w:hAnsi="Verdana" w:cs="Tahoma"/>
          <w:sz w:val="16"/>
          <w:szCs w:val="16"/>
          <w:lang w:val="en-US"/>
        </w:rPr>
        <w:t>d. Basic education should be encouraged or intensified as far as possible for those persons who have not received or completed the whole cycle of primary instruction;</w:t>
      </w:r>
      <w:r w:rsidRPr="000E696E">
        <w:rPr>
          <w:rFonts w:ascii="Verdana" w:eastAsia="Times New Roman" w:hAnsi="Verdana" w:cs="Arial"/>
          <w:sz w:val="16"/>
          <w:szCs w:val="16"/>
          <w:lang w:val="en-US"/>
        </w:rPr>
        <w:t xml:space="preserve"> </w:t>
      </w:r>
      <w:r w:rsidRPr="000E696E">
        <w:rPr>
          <w:rFonts w:ascii="Verdana" w:eastAsia="Times New Roman" w:hAnsi="Verdana" w:cs="Tahoma"/>
          <w:sz w:val="16"/>
          <w:szCs w:val="16"/>
          <w:lang w:val="en-US"/>
        </w:rPr>
        <w:t>e. Programs of special education should be established for the handicapped, so as to provide special instruction and training to persons with physical disabilities or mental deficiencies.</w:t>
      </w:r>
      <w:r w:rsidRPr="000E696E">
        <w:rPr>
          <w:rFonts w:ascii="Verdana" w:eastAsia="Times New Roman" w:hAnsi="Verdana" w:cs="Arial"/>
          <w:sz w:val="16"/>
          <w:szCs w:val="16"/>
          <w:lang w:val="en-US"/>
        </w:rPr>
        <w:t xml:space="preserve"> </w:t>
      </w:r>
      <w:r w:rsidRPr="000E696E">
        <w:rPr>
          <w:rFonts w:ascii="Verdana" w:eastAsia="Times New Roman" w:hAnsi="Verdana" w:cs="Tahoma"/>
          <w:sz w:val="16"/>
          <w:szCs w:val="16"/>
          <w:lang w:val="en-US"/>
        </w:rPr>
        <w:t>4. In conformity with the domestic legislation of the States Parties, parents should have the right to select the type of education to be given to their children, provided that it conforms to the principles set forth above.</w:t>
      </w:r>
      <w:r w:rsidRPr="000E696E">
        <w:rPr>
          <w:rFonts w:ascii="Verdana" w:eastAsia="Times New Roman" w:hAnsi="Verdana" w:cs="Arial"/>
          <w:sz w:val="16"/>
          <w:szCs w:val="16"/>
          <w:lang w:val="en-US"/>
        </w:rPr>
        <w:t xml:space="preserve"> </w:t>
      </w:r>
      <w:r w:rsidRPr="000E696E">
        <w:rPr>
          <w:rFonts w:ascii="Verdana" w:eastAsia="Times New Roman" w:hAnsi="Verdana" w:cs="Tahoma"/>
          <w:sz w:val="16"/>
          <w:szCs w:val="16"/>
          <w:lang w:val="en-US"/>
        </w:rPr>
        <w:t>5. Nothing in this Protocol shall be interpreted as a restriction of the freedom of individuals and entities to establish and direct educational institutions in accordance with the domestic legislation of the States Parties</w:t>
      </w:r>
      <w:r w:rsidRPr="000E696E">
        <w:rPr>
          <w:rFonts w:ascii="Verdana" w:hAnsi="Verdana"/>
          <w:sz w:val="16"/>
          <w:szCs w:val="16"/>
          <w:lang w:val="en-US"/>
        </w:rPr>
        <w:t>.”</w:t>
      </w:r>
    </w:p>
  </w:footnote>
  <w:footnote w:id="407">
    <w:p w14:paraId="3596F2D5" w14:textId="35C345BF" w:rsidR="0068647C" w:rsidRPr="000E696E" w:rsidRDefault="0068647C" w:rsidP="00D61BD2">
      <w:pPr>
        <w:pStyle w:val="Textonotapie"/>
      </w:pPr>
      <w:r w:rsidRPr="000E696E">
        <w:rPr>
          <w:rStyle w:val="Refdenotaalpie"/>
          <w:sz w:val="16"/>
        </w:rPr>
        <w:footnoteRef/>
      </w:r>
      <w:r w:rsidRPr="000E696E">
        <w:t xml:space="preserve"> </w:t>
      </w:r>
      <w:r w:rsidRPr="000E696E">
        <w:tab/>
        <w:t>Footnote 5.</w:t>
      </w:r>
    </w:p>
  </w:footnote>
  <w:footnote w:id="408">
    <w:p w14:paraId="308E56FC" w14:textId="1F577FF6" w:rsidR="0068647C" w:rsidRPr="000E696E" w:rsidRDefault="0068647C" w:rsidP="00D61BD2">
      <w:pPr>
        <w:pStyle w:val="Textonotapie"/>
        <w:rPr>
          <w:i/>
        </w:rPr>
      </w:pPr>
      <w:r w:rsidRPr="000E696E">
        <w:rPr>
          <w:rStyle w:val="Refdenotaalpie"/>
          <w:sz w:val="16"/>
        </w:rPr>
        <w:footnoteRef/>
      </w:r>
      <w:r w:rsidRPr="000E696E">
        <w:t xml:space="preserve"> </w:t>
      </w:r>
      <w:r w:rsidRPr="000E696E">
        <w:tab/>
        <w:t>Footnote 3.</w:t>
      </w:r>
    </w:p>
  </w:footnote>
  <w:footnote w:id="409">
    <w:p w14:paraId="5CB091CB" w14:textId="7AD4D675" w:rsidR="0068647C" w:rsidRPr="000E696E" w:rsidRDefault="0068647C" w:rsidP="00D61BD2">
      <w:pPr>
        <w:pStyle w:val="Textonotapie"/>
      </w:pPr>
      <w:r w:rsidRPr="000E696E">
        <w:rPr>
          <w:rStyle w:val="Refdenotaalpie"/>
          <w:sz w:val="16"/>
        </w:rPr>
        <w:footnoteRef/>
      </w:r>
      <w:r w:rsidRPr="000E696E">
        <w:t xml:space="preserve"> </w:t>
      </w:r>
      <w:r w:rsidRPr="000E696E">
        <w:tab/>
        <w:t>Idem.</w:t>
      </w:r>
    </w:p>
  </w:footnote>
  <w:footnote w:id="410">
    <w:p w14:paraId="39ED11F4" w14:textId="52343B64" w:rsidR="0068647C" w:rsidRPr="000E696E" w:rsidRDefault="0068647C" w:rsidP="00D61BD2">
      <w:pPr>
        <w:pStyle w:val="Textonotapie"/>
      </w:pPr>
      <w:r w:rsidRPr="000E696E">
        <w:rPr>
          <w:rStyle w:val="Refdenotaalpie"/>
          <w:sz w:val="16"/>
        </w:rPr>
        <w:footnoteRef/>
      </w:r>
      <w:r w:rsidRPr="000E696E">
        <w:t xml:space="preserve"> </w:t>
      </w:r>
      <w:r w:rsidRPr="000E696E">
        <w:tab/>
        <w:t>“Domestic Legal Effects. Where the exercise of any of the rights or freedoms referred to in Article 1 is not already ensured by legislative or other provisions, the States Parties undertake to adopt, in accordance with their constitutional processes and the provisions of this Convention, such legislative or other measures as may be necessary to give effect to those rights or freedoms.”</w:t>
      </w:r>
    </w:p>
  </w:footnote>
  <w:footnote w:id="411">
    <w:p w14:paraId="781BAE58" w14:textId="36F53CE7" w:rsidR="0068647C" w:rsidRPr="000E696E" w:rsidRDefault="0068647C" w:rsidP="00CF7C9C">
      <w:pPr>
        <w:pStyle w:val="NormalWeb"/>
        <w:spacing w:before="0" w:beforeAutospacing="0" w:after="60" w:afterAutospacing="0"/>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lang w:val="en-US"/>
        </w:rPr>
        <w:tab/>
      </w:r>
      <w:r w:rsidRPr="000E696E">
        <w:rPr>
          <w:rFonts w:ascii="Verdana" w:hAnsi="Verdana"/>
          <w:sz w:val="16"/>
          <w:szCs w:val="16"/>
          <w:lang w:val="en-US"/>
        </w:rPr>
        <w:t>Art.</w:t>
      </w:r>
      <w:r w:rsidRPr="000E696E">
        <w:rPr>
          <w:lang w:val="en-US"/>
        </w:rPr>
        <w:t xml:space="preserve"> </w:t>
      </w:r>
      <w:r w:rsidRPr="000E696E">
        <w:rPr>
          <w:rFonts w:ascii="Verdana" w:hAnsi="Verdana"/>
          <w:sz w:val="16"/>
          <w:szCs w:val="16"/>
          <w:lang w:val="en-US"/>
        </w:rPr>
        <w:t>32 of the Vienna Convention on the Law of Treaties: “Supplementary means of interpretation. Recourse may be had to supplementary means of interpretation, including the preparatory work of the treaty and the circumstances of its conclusion, in order to confirm the meaning resulting from the application of article 31, or to determine the meaning when the interpretation according to article 31:</w:t>
      </w:r>
    </w:p>
    <w:p w14:paraId="58FC5084" w14:textId="77777777" w:rsidR="0068647C" w:rsidRPr="000E696E" w:rsidRDefault="0068647C" w:rsidP="00AA1EBF">
      <w:pPr>
        <w:pStyle w:val="NormalWeb"/>
        <w:spacing w:before="0" w:beforeAutospacing="0" w:after="60" w:afterAutospacing="0"/>
        <w:rPr>
          <w:rFonts w:ascii="Verdana" w:hAnsi="Verdana"/>
          <w:sz w:val="16"/>
          <w:szCs w:val="16"/>
          <w:lang w:val="en-US"/>
        </w:rPr>
      </w:pPr>
      <w:r w:rsidRPr="000E696E">
        <w:rPr>
          <w:rFonts w:ascii="Verdana" w:hAnsi="Verdana"/>
          <w:sz w:val="16"/>
          <w:szCs w:val="16"/>
          <w:lang w:val="en-US"/>
        </w:rPr>
        <w:t>(a) leaves the meaning ambiguous or obscure; or</w:t>
      </w:r>
    </w:p>
    <w:p w14:paraId="6071CFA4" w14:textId="7B44052D" w:rsidR="0068647C" w:rsidRPr="000E696E" w:rsidRDefault="0068647C" w:rsidP="00AA1EBF">
      <w:pPr>
        <w:spacing w:after="60"/>
        <w:jc w:val="both"/>
        <w:rPr>
          <w:rFonts w:ascii="Verdana" w:hAnsi="Verdana"/>
          <w:sz w:val="16"/>
          <w:szCs w:val="16"/>
          <w:lang w:val="en-US"/>
        </w:rPr>
      </w:pPr>
      <w:r w:rsidRPr="000E696E">
        <w:rPr>
          <w:rFonts w:ascii="Verdana" w:hAnsi="Verdana"/>
          <w:sz w:val="16"/>
          <w:szCs w:val="16"/>
          <w:lang w:val="en-US"/>
        </w:rPr>
        <w:t>(b) leads to a result which is manifestly absurd or unreasonable.”</w:t>
      </w:r>
    </w:p>
  </w:footnote>
  <w:footnote w:id="412">
    <w:p w14:paraId="3A40BA68" w14:textId="22012E1A" w:rsidR="0068647C" w:rsidRPr="000E696E" w:rsidRDefault="0068647C" w:rsidP="00D61BD2">
      <w:pPr>
        <w:pStyle w:val="Textonotapie"/>
      </w:pPr>
      <w:r w:rsidRPr="000E696E">
        <w:rPr>
          <w:rStyle w:val="Refdenotaalpie"/>
          <w:sz w:val="16"/>
        </w:rPr>
        <w:footnoteRef/>
      </w:r>
      <w:r w:rsidRPr="000E696E">
        <w:t xml:space="preserve"> </w:t>
      </w:r>
      <w:r w:rsidRPr="000E696E">
        <w:tab/>
        <w:t xml:space="preserve">Concurring opinion of Judge Alberto Pérez Pérez, </w:t>
      </w:r>
      <w:r w:rsidRPr="000E696E">
        <w:rPr>
          <w:i/>
        </w:rPr>
        <w:t>Case of Gonzales Lluy et al. v. Ecuador,</w:t>
      </w:r>
      <w:r w:rsidRPr="000E696E">
        <w:t xml:space="preserve"> Judgment of September 1, 2015 (Preliminary objections, merits, reparations and costs).</w:t>
      </w:r>
    </w:p>
  </w:footnote>
  <w:footnote w:id="413">
    <w:p w14:paraId="07480017" w14:textId="1A0B2C70" w:rsidR="0068647C" w:rsidRPr="000E696E" w:rsidRDefault="0068647C" w:rsidP="00D61BD2">
      <w:pPr>
        <w:pStyle w:val="Textonotapie"/>
      </w:pPr>
      <w:r w:rsidRPr="000E696E">
        <w:rPr>
          <w:rStyle w:val="Refdenotaalpie"/>
          <w:sz w:val="16"/>
        </w:rPr>
        <w:footnoteRef/>
      </w:r>
      <w:r w:rsidRPr="000E696E">
        <w:t xml:space="preserve"> </w:t>
      </w:r>
      <w:r w:rsidRPr="000E696E">
        <w:tab/>
        <w:t>“The Member States, convinced that man can only achieve the full realization of his aspirations within a just social order, along with economic development and true peace, agree to dedicate every effort to the application of the following principles and mechanisms:</w:t>
      </w:r>
    </w:p>
    <w:p w14:paraId="2CF7F65E" w14:textId="69635001" w:rsidR="0068647C" w:rsidRPr="000E696E" w:rsidRDefault="0068647C" w:rsidP="00D61BD2">
      <w:pPr>
        <w:pStyle w:val="Textonotapie"/>
      </w:pPr>
      <w:r w:rsidRPr="000E696E">
        <w:t>[…] b) Work is a right and a social duty, it gives dignity to the one who performs it, and it should be performed under conditions, including a system of fair wages, that ensure life, health, and a decent standard of living for the worker and his family, both during his working years and in his old age, or when any circumstance deprives him of the possibility of working.</w:t>
      </w:r>
    </w:p>
    <w:p w14:paraId="39D8DC1B" w14:textId="1CCCEB7A" w:rsidR="0068647C" w:rsidRPr="000E696E" w:rsidRDefault="0068647C" w:rsidP="00AA1EBF">
      <w:pPr>
        <w:spacing w:after="60"/>
        <w:jc w:val="both"/>
        <w:rPr>
          <w:rFonts w:ascii="Verdana" w:eastAsia="Times New Roman" w:hAnsi="Verdana"/>
          <w:sz w:val="16"/>
          <w:szCs w:val="16"/>
          <w:lang w:val="en-US"/>
        </w:rPr>
      </w:pPr>
      <w:r w:rsidRPr="000E696E">
        <w:rPr>
          <w:rFonts w:ascii="Verdana" w:eastAsia="Times New Roman" w:hAnsi="Verdana"/>
          <w:sz w:val="16"/>
          <w:szCs w:val="16"/>
          <w:lang w:val="en-US"/>
        </w:rPr>
        <w:t xml:space="preserve">c) Employers and workers, both rural and urban, have the right to associate themselves freely for the defense and promotion of their interests, including the right to collective bargaining and the workers' right to strike, and recognition of the juridical personality of associations and the protection of their freedom and independence, all in accordance with applicable laws; </w:t>
      </w:r>
    </w:p>
  </w:footnote>
  <w:footnote w:id="414">
    <w:p w14:paraId="1C145DB0" w14:textId="0C117CCB" w:rsidR="0068647C" w:rsidRPr="000E696E" w:rsidRDefault="0068647C" w:rsidP="00AA1EBF">
      <w:pPr>
        <w:spacing w:after="60"/>
        <w:jc w:val="both"/>
        <w:rPr>
          <w:rFonts w:ascii="Verdana" w:eastAsia="Times New Roman"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w:t>
      </w:r>
      <w:bookmarkStart w:id="82" w:name="_Hlk27136582"/>
      <w:r w:rsidRPr="000E696E">
        <w:rPr>
          <w:rFonts w:ascii="Verdana" w:eastAsia="Times New Roman" w:hAnsi="Verdana"/>
          <w:sz w:val="16"/>
          <w:szCs w:val="16"/>
          <w:lang w:val="en-US"/>
        </w:rPr>
        <w:t>The Member States recognize that, in order to facilitate the process of Latin American regional integration, it is necessary to harmonize the social legislation of the developing countries, especially in the labor and social security fields, so that the rights of the workers shall be equally protected, and they agree to make the greatest efforts possible to achieve this goal.”</w:t>
      </w:r>
      <w:bookmarkEnd w:id="82"/>
    </w:p>
  </w:footnote>
  <w:footnote w:id="415">
    <w:p w14:paraId="3C4825DF" w14:textId="18D8C77A" w:rsidR="0068647C" w:rsidRPr="000E696E" w:rsidRDefault="0068647C" w:rsidP="00AA1EBF">
      <w:pPr>
        <w:spacing w:after="60"/>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“The Member States agree that equality of opportunity, the elimination of extreme poverty, equitable distribution of wealth and income and the full participation of their peoples in decisions relating to their own development are, among others, basic objectives of integral development. To achieve them, they likewise agree to devote their utmost efforts to accomplishing the following basic goals: …. g) Fair wages, employment opportunities, and acceptable working conditions for all.”</w:t>
      </w:r>
    </w:p>
  </w:footnote>
  <w:footnote w:id="416">
    <w:p w14:paraId="0A6690C1" w14:textId="420E32E5" w:rsidR="0068647C" w:rsidRPr="000E696E" w:rsidRDefault="0068647C" w:rsidP="00AA1EBF">
      <w:pPr>
        <w:spacing w:after="60"/>
        <w:jc w:val="both"/>
        <w:rPr>
          <w:rFonts w:ascii="Verdana" w:hAnsi="Verdana"/>
          <w:sz w:val="16"/>
          <w:szCs w:val="16"/>
          <w:lang w:val="en-US"/>
        </w:rPr>
      </w:pPr>
      <w:r w:rsidRPr="000E696E">
        <w:rPr>
          <w:rStyle w:val="Refdenotaalpie"/>
          <w:i/>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“The Member States, inspired by the principles of inter-American solidarity and cooperation, pledge themselves to a united effort to ensure international social justice in their relations and integral development for their peoples, as conditions essential to peace and security. Integral development encompasses the economic, social, educational, cultural, scientific, and technological fields through which the goals that each country sets for accomplishing it should be achieved.”</w:t>
      </w:r>
    </w:p>
  </w:footnote>
  <w:footnote w:id="417">
    <w:p w14:paraId="77D05B40" w14:textId="2FF8E5CF" w:rsidR="0068647C" w:rsidRPr="000E696E" w:rsidRDefault="0068647C" w:rsidP="00D61BD2">
      <w:pPr>
        <w:pStyle w:val="Textonotapie"/>
      </w:pPr>
      <w:r w:rsidRPr="000E696E">
        <w:rPr>
          <w:rStyle w:val="Refdenotaalpie"/>
          <w:sz w:val="16"/>
        </w:rPr>
        <w:footnoteRef/>
      </w:r>
      <w:r w:rsidRPr="000E696E">
        <w:t xml:space="preserve"> </w:t>
      </w:r>
      <w:r w:rsidRPr="000E696E">
        <w:tab/>
        <w:t>Footnote 9.</w:t>
      </w:r>
    </w:p>
  </w:footnote>
  <w:footnote w:id="418">
    <w:p w14:paraId="17B73F90" w14:textId="3CAA48BB" w:rsidR="0068647C" w:rsidRPr="000E696E" w:rsidRDefault="0068647C" w:rsidP="00D61BD2">
      <w:pPr>
        <w:pStyle w:val="Textonotapie"/>
      </w:pPr>
      <w:r w:rsidRPr="000E696E">
        <w:rPr>
          <w:rStyle w:val="Refdenotaalpie"/>
          <w:sz w:val="16"/>
        </w:rPr>
        <w:footnoteRef/>
      </w:r>
      <w:r w:rsidRPr="000E696E">
        <w:t xml:space="preserve"> </w:t>
      </w:r>
      <w:r w:rsidRPr="000E696E">
        <w:tab/>
        <w:t>Para. 141.</w:t>
      </w:r>
    </w:p>
  </w:footnote>
  <w:footnote w:id="419">
    <w:p w14:paraId="77E82967" w14:textId="3DD3DCBD" w:rsidR="0068647C" w:rsidRPr="000E696E" w:rsidRDefault="0068647C" w:rsidP="00D61BD2">
      <w:pPr>
        <w:pStyle w:val="Textonotapie"/>
      </w:pPr>
      <w:r w:rsidRPr="000E696E">
        <w:rPr>
          <w:rStyle w:val="Refdenotaalpie"/>
          <w:sz w:val="16"/>
        </w:rPr>
        <w:footnoteRef/>
      </w:r>
      <w:r w:rsidRPr="000E696E">
        <w:t xml:space="preserve"> </w:t>
      </w:r>
      <w:r w:rsidRPr="000E696E">
        <w:tab/>
        <w:t>Footnote 14.</w:t>
      </w:r>
    </w:p>
  </w:footnote>
  <w:footnote w:id="420">
    <w:p w14:paraId="4F74AA06" w14:textId="03C82325" w:rsidR="0068647C" w:rsidRPr="000E696E" w:rsidRDefault="0068647C" w:rsidP="00D61BD2">
      <w:pPr>
        <w:pStyle w:val="Textonotapie"/>
      </w:pPr>
      <w:r w:rsidRPr="000E696E">
        <w:rPr>
          <w:rStyle w:val="Refdenotaalpie"/>
          <w:sz w:val="16"/>
        </w:rPr>
        <w:footnoteRef/>
      </w:r>
      <w:r w:rsidRPr="000E696E">
        <w:t xml:space="preserve"> </w:t>
      </w:r>
      <w:r w:rsidRPr="000E696E">
        <w:tab/>
        <w:t>Footnote 42.</w:t>
      </w:r>
    </w:p>
  </w:footnote>
  <w:footnote w:id="421">
    <w:p w14:paraId="19500E5C" w14:textId="1545C40C" w:rsidR="0068647C" w:rsidRPr="000E696E" w:rsidRDefault="0068647C" w:rsidP="00D61BD2">
      <w:pPr>
        <w:pStyle w:val="Textonotapie"/>
      </w:pPr>
      <w:r w:rsidRPr="000E696E">
        <w:rPr>
          <w:rStyle w:val="Refdenotaalpie"/>
          <w:sz w:val="16"/>
        </w:rPr>
        <w:footnoteRef/>
      </w:r>
      <w:r w:rsidRPr="000E696E">
        <w:t xml:space="preserve"> </w:t>
      </w:r>
      <w:r w:rsidRPr="000E696E">
        <w:tab/>
        <w:t>Thus, for example, according to this criteria and restricting the reference only to the articles of the OAS Charter cited in the judgments – that is Articles 34, 45 and 46 – the rights that “derive” from the “basic goals” “principles and mechanisms” or “goal,” as applicable, could be judicialized before the Court, and they establish:</w:t>
      </w:r>
    </w:p>
    <w:p w14:paraId="51B14D50" w14:textId="3FC952FD" w:rsidR="0068647C" w:rsidRPr="000E696E" w:rsidRDefault="0068647C" w:rsidP="00AA1EBF">
      <w:pPr>
        <w:spacing w:after="60"/>
        <w:jc w:val="both"/>
        <w:rPr>
          <w:rFonts w:ascii="Verdana" w:hAnsi="Verdana"/>
          <w:sz w:val="16"/>
          <w:szCs w:val="16"/>
          <w:lang w:val="en-US"/>
        </w:rPr>
      </w:pPr>
      <w:r w:rsidRPr="000E696E">
        <w:rPr>
          <w:rFonts w:ascii="Verdana" w:hAnsi="Verdana"/>
          <w:sz w:val="16"/>
          <w:szCs w:val="16"/>
          <w:lang w:val="en-US"/>
        </w:rPr>
        <w:t xml:space="preserve">Art. 34: “The Member States agree that equality of opportunity, the elimination of extreme poverty, equitable distribution of wealth and income and the full participation of their peoples in decisions relating to their own development are, among others, basic objectives of integral development. To achieve them, they likewise agree to devote their utmost efforts to accomplishing the following basic goals: </w:t>
      </w:r>
    </w:p>
    <w:p w14:paraId="19EFE269" w14:textId="77777777" w:rsidR="0068647C" w:rsidRPr="000E696E" w:rsidRDefault="0068647C" w:rsidP="00AA1EBF">
      <w:pPr>
        <w:spacing w:after="60"/>
        <w:jc w:val="both"/>
        <w:rPr>
          <w:rFonts w:ascii="Verdana" w:hAnsi="Verdana"/>
          <w:sz w:val="16"/>
          <w:szCs w:val="16"/>
          <w:lang w:val="en-US"/>
        </w:rPr>
      </w:pPr>
      <w:r w:rsidRPr="000E696E">
        <w:rPr>
          <w:rFonts w:ascii="Verdana" w:hAnsi="Verdana"/>
          <w:sz w:val="16"/>
          <w:szCs w:val="16"/>
          <w:lang w:val="en-US"/>
        </w:rPr>
        <w:t xml:space="preserve">a) Substantial and self-sustained increase of per capita national product; </w:t>
      </w:r>
    </w:p>
    <w:p w14:paraId="22CDA2A6" w14:textId="77777777" w:rsidR="0068647C" w:rsidRPr="000E696E" w:rsidRDefault="0068647C" w:rsidP="00AA1EBF">
      <w:pPr>
        <w:spacing w:after="60"/>
        <w:jc w:val="both"/>
        <w:rPr>
          <w:rFonts w:ascii="Verdana" w:hAnsi="Verdana"/>
          <w:sz w:val="16"/>
          <w:szCs w:val="16"/>
          <w:lang w:val="en-US"/>
        </w:rPr>
      </w:pPr>
      <w:r w:rsidRPr="000E696E">
        <w:rPr>
          <w:rFonts w:ascii="Verdana" w:hAnsi="Verdana"/>
          <w:sz w:val="16"/>
          <w:szCs w:val="16"/>
          <w:lang w:val="en-US"/>
        </w:rPr>
        <w:t xml:space="preserve">b) Equitable distribution of national income; </w:t>
      </w:r>
    </w:p>
    <w:p w14:paraId="45E57F3D" w14:textId="77777777" w:rsidR="0068647C" w:rsidRPr="000E696E" w:rsidRDefault="0068647C" w:rsidP="00AA1EBF">
      <w:pPr>
        <w:spacing w:after="60"/>
        <w:jc w:val="both"/>
        <w:rPr>
          <w:rFonts w:ascii="Verdana" w:hAnsi="Verdana"/>
          <w:sz w:val="16"/>
          <w:szCs w:val="16"/>
          <w:lang w:val="en-US"/>
        </w:rPr>
      </w:pPr>
      <w:r w:rsidRPr="000E696E">
        <w:rPr>
          <w:rFonts w:ascii="Verdana" w:hAnsi="Verdana"/>
          <w:sz w:val="16"/>
          <w:szCs w:val="16"/>
          <w:lang w:val="en-US"/>
        </w:rPr>
        <w:t xml:space="preserve">c) Adequate and equitable systems of taxation; </w:t>
      </w:r>
    </w:p>
    <w:p w14:paraId="104F2533" w14:textId="77777777" w:rsidR="0068647C" w:rsidRPr="000E696E" w:rsidRDefault="0068647C" w:rsidP="00AA1EBF">
      <w:pPr>
        <w:spacing w:after="60"/>
        <w:jc w:val="both"/>
        <w:rPr>
          <w:rFonts w:ascii="Verdana" w:hAnsi="Verdana"/>
          <w:sz w:val="16"/>
          <w:szCs w:val="16"/>
          <w:lang w:val="en-US"/>
        </w:rPr>
      </w:pPr>
      <w:r w:rsidRPr="000E696E">
        <w:rPr>
          <w:rFonts w:ascii="Verdana" w:hAnsi="Verdana"/>
          <w:sz w:val="16"/>
          <w:szCs w:val="16"/>
          <w:lang w:val="en-US"/>
        </w:rPr>
        <w:t xml:space="preserve">d) Modernization of rural life and reforms leading to equitable and efficient land-tenure systems, increased agricultural productivity, expanded use of land, diversification of production and improved processing and marketing systems for agricultural products; and the strengthening and expansion of the means to attain these ends; </w:t>
      </w:r>
    </w:p>
    <w:p w14:paraId="4752C76E" w14:textId="77777777" w:rsidR="0068647C" w:rsidRPr="000E696E" w:rsidRDefault="0068647C" w:rsidP="00AA1EBF">
      <w:pPr>
        <w:spacing w:after="60"/>
        <w:jc w:val="both"/>
        <w:rPr>
          <w:rFonts w:ascii="Verdana" w:hAnsi="Verdana"/>
          <w:sz w:val="16"/>
          <w:szCs w:val="16"/>
          <w:lang w:val="en-US"/>
        </w:rPr>
      </w:pPr>
      <w:r w:rsidRPr="000E696E">
        <w:rPr>
          <w:rFonts w:ascii="Verdana" w:hAnsi="Verdana"/>
          <w:sz w:val="16"/>
          <w:szCs w:val="16"/>
          <w:lang w:val="en-US"/>
        </w:rPr>
        <w:t>e) Accelerated and diversified industrialization, especially of capital and intermediate goods.</w:t>
      </w:r>
    </w:p>
    <w:p w14:paraId="4DB99FC0" w14:textId="77777777" w:rsidR="0068647C" w:rsidRPr="000E696E" w:rsidRDefault="0068647C" w:rsidP="00AA1EBF">
      <w:pPr>
        <w:spacing w:after="60"/>
        <w:jc w:val="both"/>
        <w:rPr>
          <w:rFonts w:ascii="Verdana" w:eastAsia="Times New Roman" w:hAnsi="Verdana"/>
          <w:sz w:val="16"/>
          <w:szCs w:val="16"/>
          <w:lang w:val="en-US"/>
        </w:rPr>
      </w:pPr>
      <w:r w:rsidRPr="000E696E">
        <w:rPr>
          <w:rFonts w:ascii="Verdana" w:eastAsia="Times New Roman" w:hAnsi="Verdana"/>
          <w:sz w:val="16"/>
          <w:szCs w:val="16"/>
          <w:lang w:val="en-US"/>
        </w:rPr>
        <w:t xml:space="preserve">f) Stability of domestic price levels, compatible with sustained economic development and the attainment of social justice; </w:t>
      </w:r>
    </w:p>
    <w:p w14:paraId="65326BF4" w14:textId="77777777" w:rsidR="0068647C" w:rsidRPr="000E696E" w:rsidRDefault="0068647C" w:rsidP="00AA1EBF">
      <w:pPr>
        <w:spacing w:after="60"/>
        <w:jc w:val="both"/>
        <w:rPr>
          <w:rFonts w:ascii="Verdana" w:eastAsia="Times New Roman" w:hAnsi="Verdana"/>
          <w:sz w:val="16"/>
          <w:szCs w:val="16"/>
          <w:lang w:val="en-US"/>
        </w:rPr>
      </w:pPr>
      <w:r w:rsidRPr="000E696E">
        <w:rPr>
          <w:rFonts w:ascii="Verdana" w:eastAsia="Times New Roman" w:hAnsi="Verdana"/>
          <w:sz w:val="16"/>
          <w:szCs w:val="16"/>
          <w:lang w:val="en-US"/>
        </w:rPr>
        <w:t xml:space="preserve">g) Fair wages, employment opportunities, and acceptable working conditions for all; </w:t>
      </w:r>
    </w:p>
    <w:p w14:paraId="5A645C5C" w14:textId="77777777" w:rsidR="0068647C" w:rsidRPr="000E696E" w:rsidRDefault="0068647C" w:rsidP="00AA1EBF">
      <w:pPr>
        <w:spacing w:after="60"/>
        <w:jc w:val="both"/>
        <w:rPr>
          <w:rFonts w:ascii="Verdana" w:eastAsia="Times New Roman" w:hAnsi="Verdana"/>
          <w:sz w:val="16"/>
          <w:szCs w:val="16"/>
          <w:lang w:val="en-US"/>
        </w:rPr>
      </w:pPr>
      <w:r w:rsidRPr="000E696E">
        <w:rPr>
          <w:rFonts w:ascii="Verdana" w:eastAsia="Times New Roman" w:hAnsi="Verdana"/>
          <w:sz w:val="16"/>
          <w:szCs w:val="16"/>
          <w:lang w:val="en-US"/>
        </w:rPr>
        <w:t xml:space="preserve">h) Rapid eradication of illiteracy and expansion of educational opportunities for all; </w:t>
      </w:r>
    </w:p>
    <w:p w14:paraId="573824C4" w14:textId="77777777" w:rsidR="0068647C" w:rsidRPr="000E696E" w:rsidRDefault="0068647C" w:rsidP="00AA1EBF">
      <w:pPr>
        <w:spacing w:after="60"/>
        <w:jc w:val="both"/>
        <w:rPr>
          <w:rFonts w:ascii="Verdana" w:eastAsia="Times New Roman" w:hAnsi="Verdana"/>
          <w:sz w:val="16"/>
          <w:szCs w:val="16"/>
          <w:lang w:val="en-US"/>
        </w:rPr>
      </w:pPr>
      <w:r w:rsidRPr="000E696E">
        <w:rPr>
          <w:rFonts w:ascii="Verdana" w:eastAsia="Times New Roman" w:hAnsi="Verdana"/>
          <w:sz w:val="16"/>
          <w:szCs w:val="16"/>
          <w:lang w:val="en-US"/>
        </w:rPr>
        <w:t xml:space="preserve">i) Protection of man's potential through the extension and application of modern medical science; </w:t>
      </w:r>
    </w:p>
    <w:p w14:paraId="1FE749E6" w14:textId="77777777" w:rsidR="0068647C" w:rsidRPr="000E696E" w:rsidRDefault="0068647C" w:rsidP="00AA1EBF">
      <w:pPr>
        <w:spacing w:after="60"/>
        <w:jc w:val="both"/>
        <w:rPr>
          <w:rFonts w:ascii="Verdana" w:eastAsia="Times New Roman" w:hAnsi="Verdana"/>
          <w:sz w:val="16"/>
          <w:szCs w:val="16"/>
          <w:lang w:val="en-US"/>
        </w:rPr>
      </w:pPr>
      <w:r w:rsidRPr="000E696E">
        <w:rPr>
          <w:rFonts w:ascii="Verdana" w:eastAsia="Times New Roman" w:hAnsi="Verdana"/>
          <w:sz w:val="16"/>
          <w:szCs w:val="16"/>
          <w:lang w:val="en-US"/>
        </w:rPr>
        <w:t xml:space="preserve">j) Proper nutrition, especially through the acceleration of national efforts to increase the production and availability of food; </w:t>
      </w:r>
    </w:p>
    <w:p w14:paraId="070AB61A" w14:textId="77777777" w:rsidR="0068647C" w:rsidRPr="000E696E" w:rsidRDefault="0068647C" w:rsidP="00AA1EBF">
      <w:pPr>
        <w:spacing w:after="60"/>
        <w:jc w:val="both"/>
        <w:rPr>
          <w:rFonts w:ascii="Verdana" w:eastAsia="Times New Roman" w:hAnsi="Verdana"/>
          <w:sz w:val="16"/>
          <w:szCs w:val="16"/>
          <w:lang w:val="en-US"/>
        </w:rPr>
      </w:pPr>
      <w:r w:rsidRPr="000E696E">
        <w:rPr>
          <w:rFonts w:ascii="Verdana" w:eastAsia="Times New Roman" w:hAnsi="Verdana"/>
          <w:sz w:val="16"/>
          <w:szCs w:val="16"/>
          <w:lang w:val="en-US"/>
        </w:rPr>
        <w:t xml:space="preserve">k) Adequate housing for all sectors of the population; </w:t>
      </w:r>
    </w:p>
    <w:p w14:paraId="40F8CA1A" w14:textId="77777777" w:rsidR="0068647C" w:rsidRPr="000E696E" w:rsidRDefault="0068647C" w:rsidP="00AA1EBF">
      <w:pPr>
        <w:spacing w:after="60"/>
        <w:jc w:val="both"/>
        <w:rPr>
          <w:rFonts w:ascii="Verdana" w:eastAsia="Times New Roman" w:hAnsi="Verdana"/>
          <w:sz w:val="16"/>
          <w:szCs w:val="16"/>
          <w:lang w:val="en-US"/>
        </w:rPr>
      </w:pPr>
      <w:r w:rsidRPr="000E696E">
        <w:rPr>
          <w:rFonts w:ascii="Verdana" w:eastAsia="Times New Roman" w:hAnsi="Verdana"/>
          <w:sz w:val="16"/>
          <w:szCs w:val="16"/>
          <w:lang w:val="en-US"/>
        </w:rPr>
        <w:t xml:space="preserve">l) Urban conditions that offer the opportunity for a healthful, productive, and full life; </w:t>
      </w:r>
    </w:p>
    <w:p w14:paraId="236E2C4D" w14:textId="77777777" w:rsidR="0068647C" w:rsidRPr="000E696E" w:rsidRDefault="0068647C" w:rsidP="00AA1EBF">
      <w:pPr>
        <w:spacing w:after="60"/>
        <w:jc w:val="both"/>
        <w:rPr>
          <w:rFonts w:ascii="Verdana" w:eastAsia="Times New Roman" w:hAnsi="Verdana"/>
          <w:sz w:val="16"/>
          <w:szCs w:val="16"/>
          <w:lang w:val="en-US"/>
        </w:rPr>
      </w:pPr>
      <w:r w:rsidRPr="000E696E">
        <w:rPr>
          <w:rFonts w:ascii="Verdana" w:eastAsia="Times New Roman" w:hAnsi="Verdana"/>
          <w:sz w:val="16"/>
          <w:szCs w:val="16"/>
          <w:lang w:val="en-US"/>
        </w:rPr>
        <w:t xml:space="preserve">m) Promotion of private initiative and investment in harmony with action in the public sector; and </w:t>
      </w:r>
    </w:p>
    <w:p w14:paraId="54A64C2E" w14:textId="52E97C24" w:rsidR="0068647C" w:rsidRPr="000E696E" w:rsidRDefault="0068647C" w:rsidP="00AA1EBF">
      <w:pPr>
        <w:spacing w:after="60"/>
        <w:jc w:val="both"/>
        <w:rPr>
          <w:rFonts w:ascii="Verdana" w:eastAsia="Times New Roman" w:hAnsi="Verdana"/>
          <w:sz w:val="16"/>
          <w:szCs w:val="16"/>
          <w:lang w:val="en-US"/>
        </w:rPr>
      </w:pPr>
      <w:r w:rsidRPr="000E696E">
        <w:rPr>
          <w:rFonts w:ascii="Verdana" w:eastAsia="Times New Roman" w:hAnsi="Verdana"/>
          <w:sz w:val="16"/>
          <w:szCs w:val="16"/>
          <w:lang w:val="en-US"/>
        </w:rPr>
        <w:t>n) Expansion and diversification of exports.”</w:t>
      </w:r>
    </w:p>
    <w:p w14:paraId="10069885" w14:textId="675930C0" w:rsidR="0068647C" w:rsidRPr="000E696E" w:rsidRDefault="0068647C" w:rsidP="00AA1EBF">
      <w:pPr>
        <w:spacing w:after="60"/>
        <w:jc w:val="both"/>
        <w:rPr>
          <w:rFonts w:ascii="Verdana" w:hAnsi="Verdana"/>
          <w:sz w:val="16"/>
          <w:szCs w:val="16"/>
          <w:lang w:val="en-US"/>
        </w:rPr>
      </w:pPr>
      <w:r w:rsidRPr="000E696E">
        <w:rPr>
          <w:rFonts w:ascii="Verdana" w:hAnsi="Verdana"/>
          <w:sz w:val="16"/>
          <w:szCs w:val="16"/>
          <w:lang w:val="en-US"/>
        </w:rPr>
        <w:t xml:space="preserve">Art.45: “The Member States, convinced that man can only achieve the full realization of his aspirations within a just social order, along with economic development and true peace, agree to dedicate every effort to the application of the following principles and mechanisms: </w:t>
      </w:r>
    </w:p>
    <w:p w14:paraId="6815EF12" w14:textId="77777777" w:rsidR="0068647C" w:rsidRPr="000E696E" w:rsidRDefault="0068647C" w:rsidP="00AA1EBF">
      <w:pPr>
        <w:spacing w:after="60"/>
        <w:jc w:val="both"/>
        <w:rPr>
          <w:rFonts w:ascii="Verdana" w:hAnsi="Verdana"/>
          <w:sz w:val="16"/>
          <w:szCs w:val="16"/>
          <w:lang w:val="en-US"/>
        </w:rPr>
      </w:pPr>
      <w:r w:rsidRPr="000E696E">
        <w:rPr>
          <w:rFonts w:ascii="Verdana" w:hAnsi="Verdana"/>
          <w:sz w:val="16"/>
          <w:szCs w:val="16"/>
          <w:lang w:val="en-US"/>
        </w:rPr>
        <w:t xml:space="preserve">a) All human beings, without distinction as to race, sex, nationality, creed, or social condition, have a right to material well-being and to their spiritual development, under circumstances of liberty, dignity, equality of opportunity, and economic security; </w:t>
      </w:r>
    </w:p>
    <w:p w14:paraId="2C816DB1" w14:textId="77777777" w:rsidR="0068647C" w:rsidRPr="000E696E" w:rsidRDefault="0068647C" w:rsidP="00AA1EBF">
      <w:pPr>
        <w:spacing w:after="60"/>
        <w:jc w:val="both"/>
        <w:rPr>
          <w:rFonts w:ascii="Verdana" w:hAnsi="Verdana"/>
          <w:sz w:val="16"/>
          <w:szCs w:val="16"/>
          <w:lang w:val="en-US"/>
        </w:rPr>
      </w:pPr>
      <w:r w:rsidRPr="000E696E">
        <w:rPr>
          <w:rFonts w:ascii="Verdana" w:hAnsi="Verdana"/>
          <w:sz w:val="16"/>
          <w:szCs w:val="16"/>
          <w:lang w:val="en-US"/>
        </w:rPr>
        <w:t>b) Work is a right and a social duty, it gives dignity to the one who performs it, and it should be performed under conditions, including a system of fair wages, that ensure life, health, and a decent standard of living for the worker and his family, both during his working years and in his old age, or when any circumstance deprives him of the possibility of working.</w:t>
      </w:r>
    </w:p>
    <w:p w14:paraId="7C59E535" w14:textId="77777777" w:rsidR="0068647C" w:rsidRPr="000E696E" w:rsidRDefault="0068647C" w:rsidP="00AA1EBF">
      <w:pPr>
        <w:spacing w:after="60"/>
        <w:jc w:val="both"/>
        <w:rPr>
          <w:rFonts w:ascii="Verdana" w:eastAsia="Times New Roman" w:hAnsi="Verdana"/>
          <w:sz w:val="16"/>
          <w:szCs w:val="16"/>
          <w:lang w:val="en-US"/>
        </w:rPr>
      </w:pPr>
      <w:r w:rsidRPr="000E696E">
        <w:rPr>
          <w:rFonts w:ascii="Verdana" w:eastAsia="Times New Roman" w:hAnsi="Verdana"/>
          <w:sz w:val="16"/>
          <w:szCs w:val="16"/>
          <w:lang w:val="en-US"/>
        </w:rPr>
        <w:t xml:space="preserve">c) Employers and workers, both rural and urban, have the right to associate themselves freely for the defense and promotion of their interests, including the right to collective bargaining and the workers' right to strike, and recognition of the juridical personality of associations and the protection of their freedom and independence, all in accordance with applicable laws; </w:t>
      </w:r>
    </w:p>
    <w:p w14:paraId="1FBB0E27" w14:textId="77777777" w:rsidR="0068647C" w:rsidRPr="000E696E" w:rsidRDefault="0068647C" w:rsidP="00AA1EBF">
      <w:pPr>
        <w:spacing w:after="60"/>
        <w:jc w:val="both"/>
        <w:rPr>
          <w:rFonts w:ascii="Verdana" w:eastAsia="Times New Roman" w:hAnsi="Verdana"/>
          <w:sz w:val="16"/>
          <w:szCs w:val="16"/>
          <w:lang w:val="en-US"/>
        </w:rPr>
      </w:pPr>
      <w:r w:rsidRPr="000E696E">
        <w:rPr>
          <w:rFonts w:ascii="Verdana" w:eastAsia="Times New Roman" w:hAnsi="Verdana"/>
          <w:sz w:val="16"/>
          <w:szCs w:val="16"/>
          <w:lang w:val="en-US"/>
        </w:rPr>
        <w:t xml:space="preserve">d) Fair and efficient systems and procedures for consultation and collaboration among the sectors of production, with due regard for safeguarding the interests of the entire society; </w:t>
      </w:r>
    </w:p>
    <w:p w14:paraId="661AB739" w14:textId="77777777" w:rsidR="0068647C" w:rsidRPr="000E696E" w:rsidRDefault="0068647C" w:rsidP="00AA1EBF">
      <w:pPr>
        <w:spacing w:after="60"/>
        <w:jc w:val="both"/>
        <w:rPr>
          <w:rFonts w:ascii="Verdana" w:eastAsia="Times New Roman" w:hAnsi="Verdana"/>
          <w:sz w:val="16"/>
          <w:szCs w:val="16"/>
          <w:lang w:val="en-US"/>
        </w:rPr>
      </w:pPr>
      <w:r w:rsidRPr="000E696E">
        <w:rPr>
          <w:rFonts w:ascii="Verdana" w:eastAsia="Times New Roman" w:hAnsi="Verdana"/>
          <w:sz w:val="16"/>
          <w:szCs w:val="16"/>
          <w:lang w:val="en-US"/>
        </w:rPr>
        <w:t xml:space="preserve">e) The operation of systems of public administration, banking and credit, enterprise, and distribution and sales, in such a way, in harmony with the private sector, as to meet the requirements and interests of the community; </w:t>
      </w:r>
    </w:p>
    <w:p w14:paraId="29F3E35E" w14:textId="77777777" w:rsidR="0068647C" w:rsidRPr="000E696E" w:rsidRDefault="0068647C" w:rsidP="00AA1EBF">
      <w:pPr>
        <w:spacing w:after="60"/>
        <w:jc w:val="both"/>
        <w:rPr>
          <w:rFonts w:ascii="Verdana" w:eastAsia="Times New Roman" w:hAnsi="Verdana"/>
          <w:sz w:val="16"/>
          <w:szCs w:val="16"/>
          <w:lang w:val="en-US"/>
        </w:rPr>
      </w:pPr>
      <w:r w:rsidRPr="000E696E">
        <w:rPr>
          <w:rFonts w:ascii="Verdana" w:eastAsia="Times New Roman" w:hAnsi="Verdana"/>
          <w:sz w:val="16"/>
          <w:szCs w:val="16"/>
          <w:lang w:val="en-US"/>
        </w:rPr>
        <w:t xml:space="preserve">f) The incorporation and increasing participation of the marginal sectors of the population, in both rural and urban areas, in the economic, social, civic, cultural, and political life of the nation, in order to achieve the full integration of the national community, acceleration of the process of social mobility, and the consolidation of the democratic system. The encouragement of all efforts of popular promotion and cooperation that have as their purpose the development and progress of the community; </w:t>
      </w:r>
    </w:p>
    <w:p w14:paraId="0C6668F0" w14:textId="77777777" w:rsidR="0068647C" w:rsidRPr="000E696E" w:rsidRDefault="0068647C" w:rsidP="00AA1EBF">
      <w:pPr>
        <w:spacing w:after="60"/>
        <w:jc w:val="both"/>
        <w:rPr>
          <w:rFonts w:ascii="Verdana" w:eastAsia="Times New Roman" w:hAnsi="Verdana"/>
          <w:sz w:val="16"/>
          <w:szCs w:val="16"/>
          <w:lang w:val="en-US"/>
        </w:rPr>
      </w:pPr>
      <w:r w:rsidRPr="000E696E">
        <w:rPr>
          <w:rFonts w:ascii="Verdana" w:eastAsia="Times New Roman" w:hAnsi="Verdana"/>
          <w:sz w:val="16"/>
          <w:szCs w:val="16"/>
          <w:lang w:val="en-US"/>
        </w:rPr>
        <w:t xml:space="preserve">g) Recognition of the importance of the contribution of organizations such as labor unions, cooperatives, and cultural, professional, business, neighborhood, and community associations to the life of the society and to the development process; </w:t>
      </w:r>
    </w:p>
    <w:p w14:paraId="4FD48638" w14:textId="77777777" w:rsidR="0068647C" w:rsidRPr="000E696E" w:rsidRDefault="0068647C" w:rsidP="00AA1EBF">
      <w:pPr>
        <w:spacing w:after="60"/>
        <w:jc w:val="both"/>
        <w:rPr>
          <w:rFonts w:ascii="Verdana" w:eastAsia="Times New Roman" w:hAnsi="Verdana"/>
          <w:sz w:val="16"/>
          <w:szCs w:val="16"/>
          <w:lang w:val="en-US"/>
        </w:rPr>
      </w:pPr>
      <w:r w:rsidRPr="000E696E">
        <w:rPr>
          <w:rFonts w:ascii="Verdana" w:eastAsia="Times New Roman" w:hAnsi="Verdana"/>
          <w:sz w:val="16"/>
          <w:szCs w:val="16"/>
          <w:lang w:val="en-US"/>
        </w:rPr>
        <w:t xml:space="preserve">h) Development of an efficient social security policy; and </w:t>
      </w:r>
    </w:p>
    <w:p w14:paraId="28EA0BD1" w14:textId="1C6BC154" w:rsidR="0068647C" w:rsidRPr="000E696E" w:rsidRDefault="0068647C" w:rsidP="00AA1EBF">
      <w:pPr>
        <w:spacing w:after="60"/>
        <w:jc w:val="both"/>
        <w:rPr>
          <w:rFonts w:ascii="Verdana" w:eastAsia="Times New Roman" w:hAnsi="Verdana"/>
          <w:sz w:val="16"/>
          <w:szCs w:val="16"/>
          <w:lang w:val="en-US"/>
        </w:rPr>
      </w:pPr>
      <w:r w:rsidRPr="000E696E">
        <w:rPr>
          <w:rFonts w:ascii="Verdana" w:eastAsia="Times New Roman" w:hAnsi="Verdana"/>
          <w:sz w:val="16"/>
          <w:szCs w:val="16"/>
          <w:lang w:val="en-US"/>
        </w:rPr>
        <w:t>i) Adequate provision for all persons to have due legal aid in order to secure their rights.”</w:t>
      </w:r>
    </w:p>
    <w:p w14:paraId="1EFCB799" w14:textId="2B2790E6" w:rsidR="0068647C" w:rsidRPr="000E696E" w:rsidRDefault="0068647C" w:rsidP="00D61BD2">
      <w:pPr>
        <w:pStyle w:val="Textonotapie"/>
      </w:pPr>
      <w:r w:rsidRPr="000E696E">
        <w:t>Art.46: “The Member States recognize that, in order to facilitate the process of Latin American regional integration, it is necessary to harmonize the social legislation of the developing countries, especially in the labor and social security fields, so that the rights of the workers shall be equally protected, and they agree to make the greatest efforts possible to achieve this goal.”</w:t>
      </w:r>
    </w:p>
    <w:p w14:paraId="33E2C0CD" w14:textId="083C1C5D" w:rsidR="0068647C" w:rsidRPr="000E696E" w:rsidRDefault="0068647C" w:rsidP="00D61BD2">
      <w:pPr>
        <w:pStyle w:val="Textonotapie"/>
      </w:pPr>
      <w:r w:rsidRPr="000E696E">
        <w:t>The same would result from other provisions of Chapter VII of the OAS Charter (Articles 30 to 52), all of which concern “</w:t>
      </w:r>
      <w:r w:rsidRPr="000E696E">
        <w:rPr>
          <w:i/>
          <w:iCs/>
        </w:rPr>
        <w:t>integral development</w:t>
      </w:r>
      <w:r w:rsidRPr="000E696E">
        <w:t>”; thus, as could be deduced from the judgment, rights could also be derived from these provisions, the violation of which could be argued before the Court.</w:t>
      </w:r>
    </w:p>
  </w:footnote>
  <w:footnote w:id="422">
    <w:p w14:paraId="534B1C4C" w14:textId="4C6AE3F2" w:rsidR="0068647C" w:rsidRPr="000E696E" w:rsidRDefault="0068647C" w:rsidP="00D61BD2">
      <w:pPr>
        <w:pStyle w:val="Textonotapie"/>
      </w:pPr>
      <w:r w:rsidRPr="000E696E">
        <w:rPr>
          <w:rStyle w:val="Refdenotaalpie"/>
          <w:sz w:val="16"/>
        </w:rPr>
        <w:footnoteRef/>
      </w:r>
      <w:r w:rsidRPr="000E696E">
        <w:t xml:space="preserve"> </w:t>
      </w:r>
      <w:r w:rsidRPr="000E696E">
        <w:tab/>
        <w:t xml:space="preserve">The most recent example, </w:t>
      </w:r>
      <w:r w:rsidRPr="000E696E">
        <w:rPr>
          <w:i/>
        </w:rPr>
        <w:t>Case of I.V. v. Bolivia. Preliminary objections, merits, reparations and costs.</w:t>
      </w:r>
      <w:r w:rsidRPr="000E696E">
        <w:t xml:space="preserve"> Judgment of November 30, 2016. Series C No. 329, paras. 154, 155 and </w:t>
      </w:r>
      <w:r w:rsidRPr="000E696E">
        <w:rPr>
          <w:i/>
          <w:iCs/>
        </w:rPr>
        <w:t>ff.</w:t>
      </w:r>
    </w:p>
  </w:footnote>
  <w:footnote w:id="423">
    <w:p w14:paraId="4CAA2F67" w14:textId="383D99A1" w:rsidR="0068647C" w:rsidRPr="000E696E" w:rsidRDefault="0068647C" w:rsidP="00D61BD2">
      <w:pPr>
        <w:pStyle w:val="Textonotapie"/>
      </w:pPr>
      <w:r w:rsidRPr="000E696E">
        <w:rPr>
          <w:rStyle w:val="Refdenotaalpie"/>
          <w:sz w:val="16"/>
        </w:rPr>
        <w:footnoteRef/>
      </w:r>
      <w:r w:rsidRPr="000E696E">
        <w:t xml:space="preserve"> </w:t>
      </w:r>
      <w:r w:rsidRPr="000E696E">
        <w:tab/>
        <w:t>Para. 141.</w:t>
      </w:r>
    </w:p>
  </w:footnote>
  <w:footnote w:id="424">
    <w:p w14:paraId="37E9578A" w14:textId="535BAD1C" w:rsidR="0068647C" w:rsidRPr="000E696E" w:rsidRDefault="0068647C" w:rsidP="00D61BD2">
      <w:pPr>
        <w:pStyle w:val="Textonotapie"/>
      </w:pPr>
      <w:r w:rsidRPr="000E696E">
        <w:rPr>
          <w:rStyle w:val="Refdenotaalpie"/>
          <w:sz w:val="16"/>
        </w:rPr>
        <w:footnoteRef/>
      </w:r>
      <w:r w:rsidRPr="000E696E">
        <w:t xml:space="preserve"> </w:t>
      </w:r>
      <w:r w:rsidRPr="000E696E">
        <w:tab/>
        <w:t>Preamble, second para: “Recognizing that the essential rights of man are not derived from one's being a national of a certain state, but are based upon attributes of the human personality, and that they therefore justify international protection in the form of a convention reinforcing or complementing the protection provided by the domestic law of the American states.”</w:t>
      </w:r>
    </w:p>
    <w:p w14:paraId="0DD009CD" w14:textId="234FA83A" w:rsidR="0068647C" w:rsidRPr="000E696E" w:rsidRDefault="0068647C" w:rsidP="00D61BD2">
      <w:pPr>
        <w:pStyle w:val="Textonotapie"/>
      </w:pPr>
      <w:r w:rsidRPr="000E696E">
        <w:t>Art. 46: “1. Admission by the Commission of a petition or communication lodged in accordance with Articles 44 or 45 shall be subject to the following requirements:</w:t>
      </w:r>
    </w:p>
    <w:p w14:paraId="57C00AC9" w14:textId="3D9951F8" w:rsidR="0068647C" w:rsidRPr="000E696E" w:rsidRDefault="0068647C" w:rsidP="00AA1EBF">
      <w:pPr>
        <w:tabs>
          <w:tab w:val="left" w:pos="360"/>
        </w:tabs>
        <w:suppressAutoHyphens/>
        <w:spacing w:after="60"/>
        <w:jc w:val="both"/>
        <w:rPr>
          <w:rFonts w:ascii="Verdana" w:hAnsi="Verdana"/>
          <w:spacing w:val="-3"/>
          <w:sz w:val="16"/>
          <w:szCs w:val="16"/>
          <w:lang w:val="en-US"/>
        </w:rPr>
      </w:pPr>
      <w:r w:rsidRPr="000E696E">
        <w:rPr>
          <w:rFonts w:ascii="Verdana" w:hAnsi="Verdana"/>
          <w:spacing w:val="-3"/>
          <w:sz w:val="16"/>
          <w:szCs w:val="16"/>
          <w:lang w:val="en-US"/>
        </w:rPr>
        <w:t>a) that the remedies under domestic law have been pursued and exhausted in accordance with generally recognized principles of international law;</w:t>
      </w:r>
    </w:p>
    <w:p w14:paraId="7D6AA3D9" w14:textId="39EDAD10" w:rsidR="0068647C" w:rsidRPr="000E696E" w:rsidRDefault="0068647C" w:rsidP="00AA1EBF">
      <w:pPr>
        <w:tabs>
          <w:tab w:val="left" w:pos="360"/>
        </w:tabs>
        <w:suppressAutoHyphens/>
        <w:spacing w:after="60"/>
        <w:jc w:val="both"/>
        <w:rPr>
          <w:rFonts w:ascii="Verdana" w:hAnsi="Verdana"/>
          <w:spacing w:val="-3"/>
          <w:sz w:val="16"/>
          <w:szCs w:val="16"/>
          <w:lang w:val="en-US"/>
        </w:rPr>
      </w:pPr>
      <w:r w:rsidRPr="000E696E">
        <w:rPr>
          <w:rFonts w:ascii="Verdana" w:hAnsi="Verdana"/>
          <w:spacing w:val="-3"/>
          <w:sz w:val="16"/>
          <w:szCs w:val="16"/>
          <w:lang w:val="en-US"/>
        </w:rPr>
        <w:t>b) that the petition or communication is lodged within a period of six months from the date on which the party alleging violation of his rights was notified of the final judgment;</w:t>
      </w:r>
    </w:p>
    <w:p w14:paraId="7F1CAC12" w14:textId="67A9B434" w:rsidR="0068647C" w:rsidRPr="000E696E" w:rsidRDefault="0068647C" w:rsidP="00AA1EBF">
      <w:pPr>
        <w:tabs>
          <w:tab w:val="left" w:pos="360"/>
        </w:tabs>
        <w:suppressAutoHyphens/>
        <w:spacing w:after="60"/>
        <w:jc w:val="both"/>
        <w:rPr>
          <w:rFonts w:ascii="Verdana" w:hAnsi="Verdana"/>
          <w:spacing w:val="-3"/>
          <w:sz w:val="16"/>
          <w:szCs w:val="16"/>
          <w:lang w:val="en-US"/>
        </w:rPr>
      </w:pPr>
      <w:r w:rsidRPr="000E696E">
        <w:rPr>
          <w:rFonts w:ascii="Verdana" w:hAnsi="Verdana"/>
          <w:spacing w:val="-3"/>
          <w:sz w:val="16"/>
          <w:szCs w:val="16"/>
          <w:lang w:val="en-US"/>
        </w:rPr>
        <w:t>c) that the subject of the petition or communication is not pending in another international proceeding for settlement; and</w:t>
      </w:r>
    </w:p>
    <w:p w14:paraId="0A0232A4" w14:textId="1C8F1837" w:rsidR="0068647C" w:rsidRPr="000E696E" w:rsidRDefault="0068647C" w:rsidP="00AA1EBF">
      <w:pPr>
        <w:tabs>
          <w:tab w:val="left" w:pos="360"/>
        </w:tabs>
        <w:suppressAutoHyphens/>
        <w:spacing w:after="60"/>
        <w:jc w:val="both"/>
        <w:rPr>
          <w:rFonts w:ascii="Verdana" w:hAnsi="Verdana"/>
          <w:spacing w:val="-3"/>
          <w:sz w:val="16"/>
          <w:szCs w:val="16"/>
          <w:lang w:val="en-US"/>
        </w:rPr>
      </w:pPr>
      <w:r w:rsidRPr="000E696E">
        <w:rPr>
          <w:rFonts w:ascii="Verdana" w:hAnsi="Verdana"/>
          <w:spacing w:val="-3"/>
          <w:sz w:val="16"/>
          <w:szCs w:val="16"/>
          <w:lang w:val="en-US"/>
        </w:rPr>
        <w:t>d) that, in the case of Article 44, the petition contains the name, nationality, profession, domicile, and signature of the person or persons or of the legal representative of the entity lodging the petition.</w:t>
      </w:r>
    </w:p>
    <w:p w14:paraId="115D7A0C" w14:textId="77777777" w:rsidR="0068647C" w:rsidRPr="000E696E" w:rsidRDefault="0068647C" w:rsidP="00AA1EBF">
      <w:pPr>
        <w:tabs>
          <w:tab w:val="left" w:pos="360"/>
        </w:tabs>
        <w:suppressAutoHyphens/>
        <w:spacing w:after="60"/>
        <w:jc w:val="both"/>
        <w:rPr>
          <w:rFonts w:ascii="Verdana" w:hAnsi="Verdana"/>
          <w:spacing w:val="-3"/>
          <w:sz w:val="16"/>
          <w:szCs w:val="16"/>
          <w:lang w:val="en-US"/>
        </w:rPr>
      </w:pPr>
      <w:r w:rsidRPr="000E696E">
        <w:rPr>
          <w:rFonts w:ascii="Verdana" w:hAnsi="Verdana"/>
          <w:spacing w:val="-3"/>
          <w:sz w:val="16"/>
          <w:szCs w:val="16"/>
          <w:lang w:val="en-US"/>
        </w:rPr>
        <w:t>2.</w:t>
      </w:r>
      <w:r w:rsidRPr="000E696E">
        <w:rPr>
          <w:rFonts w:ascii="Verdana" w:hAnsi="Verdana"/>
          <w:spacing w:val="-3"/>
          <w:sz w:val="16"/>
          <w:szCs w:val="16"/>
          <w:lang w:val="en-US"/>
        </w:rPr>
        <w:tab/>
        <w:t>The provisions of paragraphs 1.a and 1.b of this article shall not be applicable when:</w:t>
      </w:r>
    </w:p>
    <w:p w14:paraId="4A1FE83D" w14:textId="43EB44BF" w:rsidR="0068647C" w:rsidRPr="000E696E" w:rsidRDefault="0068647C" w:rsidP="00AA1EBF">
      <w:pPr>
        <w:tabs>
          <w:tab w:val="left" w:pos="360"/>
        </w:tabs>
        <w:suppressAutoHyphens/>
        <w:spacing w:after="60"/>
        <w:jc w:val="both"/>
        <w:rPr>
          <w:rFonts w:ascii="Verdana" w:hAnsi="Verdana"/>
          <w:spacing w:val="-3"/>
          <w:sz w:val="16"/>
          <w:szCs w:val="16"/>
          <w:lang w:val="en-US"/>
        </w:rPr>
      </w:pPr>
      <w:r w:rsidRPr="000E696E">
        <w:rPr>
          <w:rFonts w:ascii="Verdana" w:hAnsi="Verdana"/>
          <w:spacing w:val="-3"/>
          <w:sz w:val="16"/>
          <w:szCs w:val="16"/>
          <w:lang w:val="en-US"/>
        </w:rPr>
        <w:t>a) the domestic legislation of the state concerned does not afford due process of law for the protection of the right or rights that have allegedly been violated;</w:t>
      </w:r>
    </w:p>
    <w:p w14:paraId="451D49BF" w14:textId="1A05F48B" w:rsidR="0068647C" w:rsidRPr="000E696E" w:rsidRDefault="0068647C" w:rsidP="00AA1EBF">
      <w:pPr>
        <w:tabs>
          <w:tab w:val="left" w:pos="360"/>
        </w:tabs>
        <w:suppressAutoHyphens/>
        <w:spacing w:after="60"/>
        <w:jc w:val="both"/>
        <w:rPr>
          <w:rFonts w:ascii="Verdana" w:hAnsi="Verdana"/>
          <w:spacing w:val="-3"/>
          <w:sz w:val="16"/>
          <w:szCs w:val="16"/>
          <w:lang w:val="en-US"/>
        </w:rPr>
      </w:pPr>
      <w:r w:rsidRPr="000E696E">
        <w:rPr>
          <w:rFonts w:ascii="Verdana" w:hAnsi="Verdana"/>
          <w:spacing w:val="-3"/>
          <w:sz w:val="16"/>
          <w:szCs w:val="16"/>
          <w:lang w:val="en-US"/>
        </w:rPr>
        <w:t>b) the party alleging violation of his rights has been denied access to the remedies under domestic law or has been prevented from exhausting them; or</w:t>
      </w:r>
    </w:p>
    <w:p w14:paraId="4C306A10" w14:textId="3868547F" w:rsidR="0068647C" w:rsidRPr="000E696E" w:rsidRDefault="0068647C" w:rsidP="00AA1EBF">
      <w:pPr>
        <w:tabs>
          <w:tab w:val="left" w:pos="360"/>
        </w:tabs>
        <w:suppressAutoHyphens/>
        <w:spacing w:after="60"/>
        <w:jc w:val="both"/>
        <w:rPr>
          <w:rFonts w:ascii="Verdana" w:hAnsi="Verdana"/>
          <w:spacing w:val="-3"/>
          <w:sz w:val="16"/>
          <w:szCs w:val="16"/>
          <w:lang w:val="en-US"/>
        </w:rPr>
      </w:pPr>
      <w:r w:rsidRPr="000E696E">
        <w:rPr>
          <w:rFonts w:ascii="Verdana" w:hAnsi="Verdana"/>
          <w:spacing w:val="-3"/>
          <w:sz w:val="16"/>
          <w:szCs w:val="16"/>
          <w:lang w:val="en-US"/>
        </w:rPr>
        <w:t>c) there has been unwarranted delay in rendering a final judgment under the aforementioned remedies.</w:t>
      </w:r>
    </w:p>
    <w:p w14:paraId="7861D43B" w14:textId="3C01D02F" w:rsidR="0068647C" w:rsidRPr="000E696E" w:rsidRDefault="0068647C" w:rsidP="00D61BD2">
      <w:pPr>
        <w:pStyle w:val="Textonotapie"/>
      </w:pPr>
      <w:r w:rsidRPr="000E696E">
        <w:t>Art. 61: 1. Only the States Parties and the Commission shall have the right to submit a case to the Court.</w:t>
      </w:r>
    </w:p>
    <w:p w14:paraId="1B15452C" w14:textId="16631250" w:rsidR="0068647C" w:rsidRPr="000E696E" w:rsidRDefault="0068647C" w:rsidP="00D61BD2">
      <w:pPr>
        <w:pStyle w:val="Textonotapie"/>
      </w:pPr>
      <w:r w:rsidRPr="000E696E">
        <w:t>2.  In order for the Court to hear a case, it is necessary that the procedures set forth in Articles 48 and 50 shall have been completed.”</w:t>
      </w:r>
    </w:p>
  </w:footnote>
  <w:footnote w:id="425">
    <w:p w14:paraId="40209576" w14:textId="3C923DD0" w:rsidR="0068647C" w:rsidRPr="004204B2" w:rsidRDefault="0068647C" w:rsidP="00D61BD2">
      <w:pPr>
        <w:pStyle w:val="Textonotapie"/>
        <w:rPr>
          <w:lang w:val="es-CR"/>
        </w:rPr>
      </w:pPr>
      <w:r w:rsidRPr="000E696E">
        <w:rPr>
          <w:rStyle w:val="Refdenotaalpie"/>
          <w:sz w:val="16"/>
        </w:rPr>
        <w:footnoteRef/>
      </w:r>
      <w:r w:rsidRPr="004204B2">
        <w:rPr>
          <w:lang w:val="es-CR"/>
        </w:rPr>
        <w:t xml:space="preserve"> </w:t>
      </w:r>
      <w:r w:rsidRPr="004204B2">
        <w:rPr>
          <w:lang w:val="es-CR"/>
        </w:rPr>
        <w:tab/>
        <w:t>Para. 142.</w:t>
      </w:r>
    </w:p>
  </w:footnote>
  <w:footnote w:id="426">
    <w:p w14:paraId="12529BEB" w14:textId="51DD5C89" w:rsidR="0068647C" w:rsidRPr="004204B2" w:rsidRDefault="0068647C" w:rsidP="00D61BD2">
      <w:pPr>
        <w:pStyle w:val="Textonotapie"/>
        <w:rPr>
          <w:lang w:val="es-CR"/>
        </w:rPr>
      </w:pPr>
      <w:r w:rsidRPr="000E696E">
        <w:rPr>
          <w:rStyle w:val="Refdenotaalpie"/>
          <w:sz w:val="16"/>
        </w:rPr>
        <w:footnoteRef/>
      </w:r>
      <w:r w:rsidRPr="004204B2">
        <w:rPr>
          <w:lang w:val="es-CR"/>
        </w:rPr>
        <w:t xml:space="preserve"> </w:t>
      </w:r>
      <w:r w:rsidRPr="004204B2">
        <w:rPr>
          <w:lang w:val="es-CR"/>
        </w:rPr>
        <w:tab/>
        <w:t>Para. 145.</w:t>
      </w:r>
    </w:p>
  </w:footnote>
  <w:footnote w:id="427">
    <w:p w14:paraId="1C6B2DB4" w14:textId="1D824AF3" w:rsidR="0068647C" w:rsidRPr="004204B2" w:rsidRDefault="0068647C" w:rsidP="001C02D2">
      <w:pPr>
        <w:pStyle w:val="Textonotapie"/>
        <w:tabs>
          <w:tab w:val="left" w:pos="6356"/>
        </w:tabs>
        <w:rPr>
          <w:lang w:val="es-CR"/>
        </w:rPr>
      </w:pPr>
      <w:r w:rsidRPr="000E696E">
        <w:rPr>
          <w:rStyle w:val="Refdenotaalpie"/>
          <w:sz w:val="16"/>
        </w:rPr>
        <w:footnoteRef/>
      </w:r>
      <w:r w:rsidRPr="004204B2">
        <w:rPr>
          <w:lang w:val="es-CR"/>
        </w:rPr>
        <w:t xml:space="preserve"> </w:t>
      </w:r>
      <w:r w:rsidRPr="004204B2">
        <w:rPr>
          <w:lang w:val="es-CR"/>
        </w:rPr>
        <w:tab/>
        <w:t>Para. 147.</w:t>
      </w:r>
      <w:r w:rsidRPr="004204B2">
        <w:rPr>
          <w:lang w:val="es-CR"/>
        </w:rPr>
        <w:tab/>
      </w:r>
    </w:p>
  </w:footnote>
  <w:footnote w:id="428">
    <w:p w14:paraId="642D9164" w14:textId="5081FC51" w:rsidR="0068647C" w:rsidRPr="004204B2" w:rsidRDefault="0068647C" w:rsidP="00D61BD2">
      <w:pPr>
        <w:pStyle w:val="Textonotapie"/>
        <w:rPr>
          <w:lang w:val="es-CR"/>
        </w:rPr>
      </w:pPr>
      <w:r w:rsidRPr="000E696E">
        <w:rPr>
          <w:rStyle w:val="Refdenotaalpie"/>
          <w:sz w:val="16"/>
        </w:rPr>
        <w:footnoteRef/>
      </w:r>
      <w:r w:rsidRPr="004204B2">
        <w:rPr>
          <w:lang w:val="es-CR"/>
        </w:rPr>
        <w:t xml:space="preserve"> </w:t>
      </w:r>
      <w:r w:rsidRPr="004204B2">
        <w:rPr>
          <w:lang w:val="es-CR"/>
        </w:rPr>
        <w:tab/>
        <w:t>Para. 148</w:t>
      </w:r>
    </w:p>
  </w:footnote>
  <w:footnote w:id="429">
    <w:p w14:paraId="11E46D7E" w14:textId="7303F47F" w:rsidR="0068647C" w:rsidRPr="004204B2" w:rsidRDefault="0068647C" w:rsidP="00D61BD2">
      <w:pPr>
        <w:pStyle w:val="Textonotapie"/>
        <w:rPr>
          <w:lang w:val="es-CR"/>
        </w:rPr>
      </w:pPr>
      <w:r w:rsidRPr="000E696E">
        <w:rPr>
          <w:rStyle w:val="Refdenotaalpie"/>
          <w:sz w:val="16"/>
        </w:rPr>
        <w:footnoteRef/>
      </w:r>
      <w:r w:rsidRPr="004204B2">
        <w:rPr>
          <w:lang w:val="es-CR"/>
        </w:rPr>
        <w:t xml:space="preserve"> </w:t>
      </w:r>
      <w:r w:rsidRPr="004204B2">
        <w:rPr>
          <w:lang w:val="es-CR"/>
        </w:rPr>
        <w:tab/>
        <w:t>Para. 144</w:t>
      </w:r>
    </w:p>
  </w:footnote>
  <w:footnote w:id="430">
    <w:p w14:paraId="2B886784" w14:textId="2E14B2FD" w:rsidR="0068647C" w:rsidRPr="000E696E" w:rsidRDefault="0068647C" w:rsidP="00D61BD2">
      <w:pPr>
        <w:pStyle w:val="Textonotapie"/>
      </w:pPr>
      <w:r w:rsidRPr="000E696E">
        <w:rPr>
          <w:rStyle w:val="Refdenotaalpie"/>
          <w:sz w:val="16"/>
        </w:rPr>
        <w:footnoteRef/>
      </w:r>
      <w:r w:rsidRPr="000E696E">
        <w:t xml:space="preserve"> </w:t>
      </w:r>
      <w:r w:rsidRPr="000E696E">
        <w:tab/>
        <w:t>“No provision of this Convention shall be interpreted as: […] (d) excluding or limiting the effect that the American Declaration of the Rights and Duties of Man and other international acts of the same nature may have.”</w:t>
      </w:r>
    </w:p>
  </w:footnote>
  <w:footnote w:id="431">
    <w:p w14:paraId="5233C328" w14:textId="77777777" w:rsidR="0068647C" w:rsidRPr="000E696E" w:rsidRDefault="0068647C" w:rsidP="00D61BD2">
      <w:pPr>
        <w:pStyle w:val="Textonotapie"/>
      </w:pPr>
      <w:r w:rsidRPr="000E696E">
        <w:rPr>
          <w:rStyle w:val="Refdenotaalpie"/>
          <w:sz w:val="16"/>
        </w:rPr>
        <w:footnoteRef/>
      </w:r>
      <w:r w:rsidRPr="000E696E">
        <w:t xml:space="preserve"> </w:t>
      </w:r>
      <w:r w:rsidRPr="000E696E">
        <w:tab/>
        <w:t xml:space="preserve">“1. The Court, whose function is to decide in accordance with international law such disputes as are submitted to it, shall apply: (a) international conventions, whether general or particular, establishing rules expressly recognized by the contesting states; (b) international custom, as evidence of a general practice accepted as law; (c) the general principles of law recognized by civilized nations; (d) subject to the provisions of Article 59, judicial decisions and the teachings of the most highly qualified publicists of the various nations, as subsidiary means for the determination of rules of law. 2. This provision shall not prejudice the power of the Court to decide a case </w:t>
      </w:r>
      <w:r w:rsidRPr="000E696E">
        <w:rPr>
          <w:i/>
          <w:iCs/>
        </w:rPr>
        <w:t>ex aequo</w:t>
      </w:r>
      <w:r w:rsidRPr="000E696E">
        <w:t xml:space="preserve"> if the parties agree thereto.”</w:t>
      </w:r>
    </w:p>
  </w:footnote>
  <w:footnote w:id="432">
    <w:p w14:paraId="445110C1" w14:textId="6A6FAAA8" w:rsidR="0068647C" w:rsidRPr="004204B2" w:rsidRDefault="0068647C" w:rsidP="00D61BD2">
      <w:pPr>
        <w:pStyle w:val="Textonotapie"/>
        <w:rPr>
          <w:lang w:val="es-CR"/>
        </w:rPr>
      </w:pPr>
      <w:r w:rsidRPr="000E696E">
        <w:rPr>
          <w:rStyle w:val="Refdenotaalpie"/>
          <w:sz w:val="16"/>
        </w:rPr>
        <w:footnoteRef/>
      </w:r>
      <w:r w:rsidRPr="004204B2">
        <w:rPr>
          <w:lang w:val="es-CR"/>
        </w:rPr>
        <w:t xml:space="preserve"> </w:t>
      </w:r>
      <w:r w:rsidRPr="004204B2">
        <w:rPr>
          <w:lang w:val="es-CR"/>
        </w:rPr>
        <w:tab/>
        <w:t>Paras. 143 to 149.</w:t>
      </w:r>
    </w:p>
  </w:footnote>
  <w:footnote w:id="433">
    <w:p w14:paraId="192E4206" w14:textId="214F10A2" w:rsidR="0068647C" w:rsidRPr="004204B2" w:rsidRDefault="0068647C" w:rsidP="00D61BD2">
      <w:pPr>
        <w:pStyle w:val="Textonotapie"/>
        <w:rPr>
          <w:lang w:val="es-CR"/>
        </w:rPr>
      </w:pPr>
      <w:r w:rsidRPr="000E696E">
        <w:rPr>
          <w:rStyle w:val="Refdenotaalpie"/>
          <w:sz w:val="16"/>
        </w:rPr>
        <w:footnoteRef/>
      </w:r>
      <w:r w:rsidRPr="004204B2">
        <w:rPr>
          <w:lang w:val="es-CR"/>
        </w:rPr>
        <w:t xml:space="preserve"> </w:t>
      </w:r>
      <w:r w:rsidRPr="004204B2">
        <w:rPr>
          <w:lang w:val="es-CR"/>
        </w:rPr>
        <w:tab/>
        <w:t>Para. 142.</w:t>
      </w:r>
    </w:p>
  </w:footnote>
  <w:footnote w:id="434">
    <w:p w14:paraId="1D59EB65" w14:textId="43B4E895" w:rsidR="0068647C" w:rsidRPr="004204B2" w:rsidRDefault="0068647C" w:rsidP="00D61BD2">
      <w:pPr>
        <w:pStyle w:val="Textonotapie"/>
        <w:rPr>
          <w:lang w:val="es-CR"/>
        </w:rPr>
      </w:pPr>
      <w:r w:rsidRPr="000E696E">
        <w:rPr>
          <w:rStyle w:val="Refdenotaalpie"/>
          <w:sz w:val="16"/>
        </w:rPr>
        <w:footnoteRef/>
      </w:r>
      <w:r w:rsidRPr="004204B2">
        <w:rPr>
          <w:lang w:val="es-CR"/>
        </w:rPr>
        <w:t xml:space="preserve"> </w:t>
      </w:r>
      <w:r w:rsidRPr="004204B2">
        <w:rPr>
          <w:lang w:val="es-CR"/>
        </w:rPr>
        <w:tab/>
        <w:t xml:space="preserve">Art. 62(3) </w:t>
      </w:r>
      <w:r w:rsidRPr="004204B2">
        <w:rPr>
          <w:i/>
          <w:iCs/>
          <w:lang w:val="es-CR"/>
        </w:rPr>
        <w:t>cit.</w:t>
      </w:r>
    </w:p>
  </w:footnote>
  <w:footnote w:id="435">
    <w:p w14:paraId="5D2894F5" w14:textId="6A73AB17" w:rsidR="0068647C" w:rsidRPr="004204B2" w:rsidRDefault="0068647C" w:rsidP="00D61BD2">
      <w:pPr>
        <w:pStyle w:val="Textonotapie"/>
        <w:rPr>
          <w:lang w:val="es-CR"/>
        </w:rPr>
      </w:pPr>
      <w:r w:rsidRPr="000E696E">
        <w:rPr>
          <w:rStyle w:val="Refdenotaalpie"/>
          <w:sz w:val="16"/>
        </w:rPr>
        <w:footnoteRef/>
      </w:r>
      <w:r w:rsidRPr="004204B2">
        <w:rPr>
          <w:lang w:val="es-CR"/>
        </w:rPr>
        <w:t xml:space="preserve"> </w:t>
      </w:r>
      <w:r w:rsidRPr="004204B2">
        <w:rPr>
          <w:lang w:val="es-CR"/>
        </w:rPr>
        <w:tab/>
        <w:t>Para. 142.</w:t>
      </w:r>
    </w:p>
  </w:footnote>
  <w:footnote w:id="436">
    <w:p w14:paraId="618B87A7" w14:textId="75C43071" w:rsidR="0068647C" w:rsidRPr="000E696E" w:rsidRDefault="0068647C" w:rsidP="00D61BD2">
      <w:pPr>
        <w:pStyle w:val="Textonotapie"/>
      </w:pPr>
      <w:r w:rsidRPr="000E696E">
        <w:rPr>
          <w:rStyle w:val="Refdenotaalpie"/>
          <w:sz w:val="16"/>
        </w:rPr>
        <w:footnoteRef/>
      </w:r>
      <w:r w:rsidRPr="000E696E">
        <w:t xml:space="preserve"> </w:t>
      </w:r>
      <w:r w:rsidRPr="000E696E">
        <w:tab/>
        <w:t>Paras. 133 to 137.</w:t>
      </w:r>
    </w:p>
  </w:footnote>
  <w:footnote w:id="437">
    <w:p w14:paraId="698E6991" w14:textId="73262D4B" w:rsidR="0068647C" w:rsidRPr="000E696E" w:rsidRDefault="0068647C" w:rsidP="00D61BD2">
      <w:pPr>
        <w:pStyle w:val="Textonotapie"/>
      </w:pPr>
      <w:r w:rsidRPr="000E696E">
        <w:rPr>
          <w:rStyle w:val="Refdenotaalpie"/>
          <w:sz w:val="16"/>
        </w:rPr>
        <w:footnoteRef/>
      </w:r>
      <w:r w:rsidRPr="000E696E">
        <w:t xml:space="preserve"> </w:t>
      </w:r>
      <w:r w:rsidRPr="000E696E">
        <w:tab/>
        <w:t>Para. 154.</w:t>
      </w:r>
    </w:p>
  </w:footnote>
  <w:footnote w:id="438">
    <w:p w14:paraId="7A0E08C9" w14:textId="66A738DE" w:rsidR="0068647C" w:rsidRPr="000E696E" w:rsidRDefault="0068647C" w:rsidP="00D61BD2">
      <w:pPr>
        <w:pStyle w:val="Textonotapie"/>
      </w:pPr>
      <w:r w:rsidRPr="000E696E">
        <w:rPr>
          <w:rStyle w:val="Refdenotaalpie"/>
          <w:sz w:val="16"/>
        </w:rPr>
        <w:footnoteRef/>
      </w:r>
      <w:r w:rsidRPr="000E696E">
        <w:t xml:space="preserve"> </w:t>
      </w:r>
      <w:r w:rsidRPr="000E696E">
        <w:tab/>
        <w:t>Para. 145.</w:t>
      </w:r>
    </w:p>
  </w:footnote>
  <w:footnote w:id="439">
    <w:p w14:paraId="0774067A" w14:textId="03971CE0" w:rsidR="0068647C" w:rsidRPr="000E696E" w:rsidRDefault="0068647C" w:rsidP="00D61BD2">
      <w:pPr>
        <w:pStyle w:val="Textonotapie"/>
      </w:pPr>
      <w:r w:rsidRPr="000E696E">
        <w:rPr>
          <w:rStyle w:val="Refdenotaalpie"/>
          <w:sz w:val="16"/>
        </w:rPr>
        <w:footnoteRef/>
      </w:r>
      <w:r w:rsidRPr="000E696E">
        <w:t xml:space="preserve"> </w:t>
      </w:r>
      <w:r w:rsidRPr="000E696E">
        <w:tab/>
        <w:t xml:space="preserve">Adopted at the twenty-eighth OAS General Assembly on September 11, 2001, Lima, Peru. </w:t>
      </w:r>
    </w:p>
    <w:p w14:paraId="092928C0" w14:textId="68FE3C7C" w:rsidR="0068647C" w:rsidRPr="000E696E" w:rsidRDefault="0068647C" w:rsidP="00AA1EBF">
      <w:pPr>
        <w:pStyle w:val="NormalWeb"/>
        <w:widowControl w:val="0"/>
        <w:spacing w:before="0" w:beforeAutospacing="0" w:after="60" w:afterAutospacing="0"/>
        <w:jc w:val="both"/>
        <w:rPr>
          <w:rFonts w:ascii="Verdana" w:hAnsi="Verdana"/>
          <w:sz w:val="16"/>
          <w:szCs w:val="16"/>
          <w:lang w:val="en-US"/>
        </w:rPr>
      </w:pPr>
      <w:r w:rsidRPr="000E696E">
        <w:rPr>
          <w:rFonts w:ascii="Verdana" w:hAnsi="Verdana"/>
          <w:sz w:val="16"/>
          <w:szCs w:val="16"/>
          <w:lang w:val="en-US"/>
        </w:rPr>
        <w:t xml:space="preserve">“Art. 3: Essential elements of representative democracy include, </w:t>
      </w:r>
      <w:r w:rsidRPr="000E696E">
        <w:rPr>
          <w:rFonts w:ascii="Verdana" w:hAnsi="Verdana"/>
          <w:i/>
          <w:iCs/>
          <w:sz w:val="16"/>
          <w:szCs w:val="16"/>
          <w:lang w:val="en-US"/>
        </w:rPr>
        <w:t>inter alia</w:t>
      </w:r>
      <w:r w:rsidRPr="000E696E">
        <w:rPr>
          <w:rFonts w:ascii="Verdana" w:hAnsi="Verdana"/>
          <w:sz w:val="16"/>
          <w:szCs w:val="16"/>
          <w:lang w:val="en-US"/>
        </w:rPr>
        <w:t>, respect for human rights and fundamental freedoms, access to and the exercise of power in accordance with the rule of law, the holding of periodic, free, and fair elections based on secret balloting and universal suffrage as an expression of the sovereignty of the people, the pluralistic system of political parties and organizations, and the separation of powers and independence of the branches of government.</w:t>
      </w:r>
    </w:p>
    <w:p w14:paraId="0E5C2F94" w14:textId="079753F7" w:rsidR="0068647C" w:rsidRPr="000E696E" w:rsidRDefault="0068647C" w:rsidP="00AA1EBF">
      <w:pPr>
        <w:pStyle w:val="NormalWeb"/>
        <w:widowControl w:val="0"/>
        <w:spacing w:before="0" w:beforeAutospacing="0" w:after="60" w:afterAutospacing="0"/>
        <w:jc w:val="both"/>
        <w:rPr>
          <w:rFonts w:ascii="Verdana" w:hAnsi="Verdana"/>
          <w:sz w:val="16"/>
          <w:szCs w:val="16"/>
          <w:lang w:val="en-US"/>
        </w:rPr>
      </w:pPr>
      <w:r w:rsidRPr="000E696E">
        <w:rPr>
          <w:rFonts w:ascii="Verdana" w:hAnsi="Verdana"/>
          <w:sz w:val="16"/>
          <w:szCs w:val="16"/>
          <w:lang w:val="en-US"/>
        </w:rPr>
        <w:t>Art. 6: It is the right and responsibility of all citizens to participate in decisions relating to their own development. This is also a necessary condition for the full and effective exercise of democracy. Promoting and fostering diverse forms of participation strengthens democracy.”</w:t>
      </w:r>
    </w:p>
  </w:footnote>
  <w:footnote w:id="440">
    <w:p w14:paraId="0D74BB15" w14:textId="5ACB6DBC" w:rsidR="0068647C" w:rsidRPr="000E696E" w:rsidRDefault="0068647C" w:rsidP="00D61BD2">
      <w:pPr>
        <w:pStyle w:val="Textonotapie"/>
      </w:pPr>
      <w:r w:rsidRPr="000E696E">
        <w:rPr>
          <w:rStyle w:val="Refdenotaalpie"/>
          <w:sz w:val="16"/>
        </w:rPr>
        <w:footnoteRef/>
      </w:r>
      <w:r w:rsidRPr="000E696E">
        <w:t xml:space="preserve"> </w:t>
      </w:r>
      <w:r w:rsidRPr="000E696E">
        <w:tab/>
        <w:t xml:space="preserve">Para. 154. </w:t>
      </w:r>
    </w:p>
  </w:footnote>
  <w:footnote w:id="441">
    <w:p w14:paraId="1C557CB6" w14:textId="77777777" w:rsidR="0068647C" w:rsidRPr="000E696E" w:rsidRDefault="0068647C" w:rsidP="00D61BD2">
      <w:pPr>
        <w:pStyle w:val="Textonotapie"/>
      </w:pPr>
      <w:r w:rsidRPr="000E696E">
        <w:rPr>
          <w:rStyle w:val="Refdenotaalpie"/>
          <w:sz w:val="16"/>
        </w:rPr>
        <w:footnoteRef/>
      </w:r>
      <w:r w:rsidRPr="000E696E">
        <w:t xml:space="preserve"> </w:t>
      </w:r>
      <w:r w:rsidRPr="000E696E">
        <w:tab/>
        <w:t>“The question whether a certain matter is or is not solely within the jurisdiction of a State is an essentially relative question; it depends upon the development of international relations. Thus, in the present state of international law, questions of nationality are, in the opinion of the Court, in principle within this reserved domain.” Permanent Court of International Justice, Advisory Opinion on Nationality Decrees issued in Tunisia and Morocco (French zone), Series B No. 4, p.24.</w:t>
      </w:r>
    </w:p>
  </w:footnote>
  <w:footnote w:id="442">
    <w:p w14:paraId="27BC79E4" w14:textId="77777777" w:rsidR="0068647C" w:rsidRPr="000E696E" w:rsidRDefault="0068647C" w:rsidP="00D1793F">
      <w:pPr>
        <w:spacing w:after="60"/>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Protocol No. 15 amending the Convention for the Protection of Human Rights and Fundamental Freedoms, “Art.1: At the end of the preamble to the Convention, a new recital shall be added, which shall read as follows: “Affirming that the High Contracting Parties, in accordance with the principle of subsidiarity, have the primary responsibility to secure the rights and freedoms defined in this Convention and the Protocols thereto, and that in doing so they enjoy a margin of appreciation, subject to the supervisory jurisdiction of the European Court of Human Rights established by this Convention.”</w:t>
      </w:r>
    </w:p>
  </w:footnote>
  <w:footnote w:id="443">
    <w:p w14:paraId="242CFAB4" w14:textId="0E9AD6CA" w:rsidR="0068647C" w:rsidRPr="000E696E" w:rsidRDefault="0068647C" w:rsidP="00D61BD2">
      <w:pPr>
        <w:pStyle w:val="Textonotapie"/>
      </w:pPr>
      <w:r w:rsidRPr="000E696E">
        <w:rPr>
          <w:rStyle w:val="Refdenotaalpie"/>
          <w:sz w:val="16"/>
        </w:rPr>
        <w:footnoteRef/>
      </w:r>
      <w:r w:rsidRPr="000E696E">
        <w:t xml:space="preserve"> </w:t>
      </w:r>
      <w:r w:rsidRPr="000E696E">
        <w:tab/>
        <w:t>Art. 68: “1. The States Parties to the Convention undertake to comply with the judgment of the Court in any case to which they are parties.</w:t>
      </w:r>
    </w:p>
    <w:p w14:paraId="6C9A80AA" w14:textId="4A96FFC2" w:rsidR="0068647C" w:rsidRPr="000E696E" w:rsidRDefault="0068647C" w:rsidP="00D61BD2">
      <w:pPr>
        <w:pStyle w:val="Textonotapie"/>
      </w:pPr>
      <w:r w:rsidRPr="000E696E">
        <w:t xml:space="preserve"> 2. </w:t>
      </w:r>
      <w:r w:rsidRPr="000E696E">
        <w:tab/>
        <w:t>That part of a judgment that stipulates compensatory damages may be executed in the country concerned in accordance with domestic procedure governing the execution of judgments against the state.</w:t>
      </w:r>
    </w:p>
  </w:footnote>
  <w:footnote w:id="444">
    <w:p w14:paraId="1FD8DEBD" w14:textId="1CDE0616" w:rsidR="0068647C" w:rsidRPr="000E696E" w:rsidRDefault="0068647C" w:rsidP="00D61BD2">
      <w:pPr>
        <w:pStyle w:val="Textonotapie"/>
      </w:pPr>
      <w:r w:rsidRPr="000E696E">
        <w:rPr>
          <w:rStyle w:val="Refdenotaalpie"/>
          <w:sz w:val="16"/>
        </w:rPr>
        <w:footnoteRef/>
      </w:r>
      <w:r w:rsidRPr="000E696E">
        <w:t xml:space="preserve"> </w:t>
      </w:r>
      <w:r w:rsidRPr="000E696E">
        <w:tab/>
        <w:t>In this regard, see the jurisprudence of the Constitutional Court of Colombia on the transmutation of the ESCR. For example, T-1079 of 2007. Available at: http://www.corteconstitucional.gov.co/relatoria/2007/T-1079-07.htm.</w:t>
      </w:r>
    </w:p>
  </w:footnote>
  <w:footnote w:id="445">
    <w:p w14:paraId="5DE5ABE9" w14:textId="4F137EC2" w:rsidR="0068647C" w:rsidRPr="004204B2" w:rsidRDefault="0068647C" w:rsidP="00D61BD2">
      <w:pPr>
        <w:pStyle w:val="Textonotapie"/>
        <w:rPr>
          <w:lang w:val="es-CR"/>
        </w:rPr>
      </w:pPr>
      <w:r w:rsidRPr="000E696E">
        <w:rPr>
          <w:rStyle w:val="Refdenotaalpie"/>
          <w:sz w:val="16"/>
        </w:rPr>
        <w:footnoteRef/>
      </w:r>
      <w:r w:rsidRPr="004204B2">
        <w:rPr>
          <w:lang w:val="es-CR"/>
        </w:rPr>
        <w:t xml:space="preserve"> </w:t>
      </w:r>
      <w:r w:rsidRPr="004204B2">
        <w:rPr>
          <w:lang w:val="es-CR"/>
        </w:rPr>
        <w:tab/>
        <w:t xml:space="preserve">In </w:t>
      </w:r>
      <w:r w:rsidRPr="004204B2">
        <w:rPr>
          <w:lang w:val="es-CR"/>
        </w:rPr>
        <w:t xml:space="preserve">this regard, see for example: Oswaldo Ruiz Chiriboga, </w:t>
      </w:r>
      <w:r w:rsidRPr="004204B2">
        <w:rPr>
          <w:rFonts w:cs="MinionPro-Semibold"/>
          <w:i/>
          <w:iCs/>
          <w:lang w:val="es-CR"/>
        </w:rPr>
        <w:t xml:space="preserve">The American Convention and the Protocol of San Salvador: Two Intertwined Treaties </w:t>
      </w:r>
      <w:r w:rsidRPr="004204B2">
        <w:rPr>
          <w:i/>
          <w:iCs/>
          <w:lang w:val="es-CR"/>
        </w:rPr>
        <w:t>Non-enforceability of Economic, Social and Cultural Rights in the Inter-American System</w:t>
      </w:r>
      <w:r w:rsidRPr="004204B2">
        <w:rPr>
          <w:lang w:val="es-CR"/>
        </w:rPr>
        <w:t xml:space="preserve">, Netherlands Quarterly of Human Rights, Vol. 31/2 (2013); Abramovich, V. and Rossi, J., </w:t>
      </w:r>
      <w:r w:rsidRPr="004204B2">
        <w:rPr>
          <w:i/>
          <w:iCs/>
          <w:lang w:val="es-CR"/>
        </w:rPr>
        <w:t>‘La</w:t>
      </w:r>
      <w:r w:rsidRPr="004204B2">
        <w:rPr>
          <w:lang w:val="es-CR"/>
        </w:rPr>
        <w:t xml:space="preserve"> </w:t>
      </w:r>
      <w:r w:rsidRPr="004204B2">
        <w:rPr>
          <w:i/>
          <w:lang w:val="es-CR"/>
        </w:rPr>
        <w:t>Tutela de los Derechos Económicos, Sociales y Culturales en el Artículo 26 de la Convención Americana sobre Derechos Humanos</w:t>
      </w:r>
      <w:r w:rsidRPr="004204B2">
        <w:rPr>
          <w:lang w:val="es-CR"/>
        </w:rPr>
        <w:t xml:space="preserve">,’ Estudios Socio-Jurídicos, Vol. 9, 2007; Oscar Parra Vera, </w:t>
      </w:r>
      <w:r w:rsidRPr="004204B2">
        <w:rPr>
          <w:i/>
          <w:iCs/>
          <w:lang w:val="es-CR"/>
        </w:rPr>
        <w:t>Justiciabilidad de los derechos económicos, sociales y culturales ante el sistema interamericano,</w:t>
      </w:r>
      <w:r w:rsidRPr="004204B2">
        <w:rPr>
          <w:lang w:val="es-CR"/>
        </w:rPr>
        <w:t xml:space="preserve"> Comisión Nacional de los Derechos Humanos, Mexico, 2011. </w:t>
      </w:r>
    </w:p>
  </w:footnote>
  <w:footnote w:id="446">
    <w:p w14:paraId="4F00ECC6" w14:textId="6774A07B" w:rsidR="0068647C" w:rsidRPr="000E696E" w:rsidRDefault="0068647C" w:rsidP="00D61BD2">
      <w:pPr>
        <w:pStyle w:val="Textonotapie"/>
      </w:pPr>
      <w:r w:rsidRPr="000E696E">
        <w:rPr>
          <w:rStyle w:val="Refdenotaalpie"/>
          <w:sz w:val="16"/>
        </w:rPr>
        <w:footnoteRef/>
      </w:r>
      <w:r w:rsidRPr="000E696E">
        <w:t xml:space="preserve"> </w:t>
      </w:r>
      <w:r w:rsidRPr="000E696E">
        <w:tab/>
        <w:t xml:space="preserve">See dissenting opinion of Judge Ferrar McGregor in the </w:t>
      </w:r>
      <w:r w:rsidRPr="000E696E">
        <w:rPr>
          <w:i/>
        </w:rPr>
        <w:t>Case of González Lluy et al. v. Ecuador</w:t>
      </w:r>
      <w:r w:rsidRPr="000E696E">
        <w:t xml:space="preserve"> or opinion of Judges Caldas and Ferrer McGregor in the </w:t>
      </w:r>
      <w:r w:rsidRPr="000E696E">
        <w:rPr>
          <w:i/>
        </w:rPr>
        <w:t>Case of Canales Huapaya et al. v. Peru.</w:t>
      </w:r>
      <w:r w:rsidRPr="000E696E">
        <w:t xml:space="preserve"> </w:t>
      </w:r>
    </w:p>
  </w:footnote>
  <w:footnote w:id="447">
    <w:p w14:paraId="71884DAE" w14:textId="459CBFFB" w:rsidR="0068647C" w:rsidRPr="000E696E" w:rsidRDefault="0068647C" w:rsidP="00D61BD2">
      <w:pPr>
        <w:pStyle w:val="Textonotapie"/>
      </w:pPr>
      <w:r w:rsidRPr="000E696E">
        <w:rPr>
          <w:rStyle w:val="Refdenotaalpie"/>
          <w:sz w:val="16"/>
        </w:rPr>
        <w:footnoteRef/>
      </w:r>
      <w:r w:rsidRPr="000E696E">
        <w:t xml:space="preserve"> </w:t>
      </w:r>
      <w:r w:rsidRPr="000E696E">
        <w:tab/>
        <w:t xml:space="preserve">In this regard, concurring opinion </w:t>
      </w:r>
      <w:r w:rsidRPr="000E696E">
        <w:rPr>
          <w:i/>
        </w:rPr>
        <w:t>Case of González Lluy et al. v. Ecuador</w:t>
      </w:r>
      <w:r w:rsidRPr="000E696E">
        <w:t xml:space="preserve">, paras. 7 to 11. </w:t>
      </w:r>
    </w:p>
  </w:footnote>
  <w:footnote w:id="448">
    <w:p w14:paraId="7B15663D" w14:textId="748DDFAF" w:rsidR="0068647C" w:rsidRPr="000E696E" w:rsidRDefault="0068647C" w:rsidP="00390E29">
      <w:pPr>
        <w:pStyle w:val="NormalWeb"/>
        <w:tabs>
          <w:tab w:val="left" w:pos="709"/>
        </w:tabs>
        <w:spacing w:before="0" w:beforeAutospacing="0" w:after="60" w:afterAutospacing="0"/>
        <w:ind w:right="333"/>
        <w:jc w:val="both"/>
        <w:rPr>
          <w:rFonts w:ascii="Verdana" w:hAnsi="Verdana" w:cs="Tahoma"/>
          <w:color w:val="000000"/>
          <w:sz w:val="16"/>
          <w:szCs w:val="16"/>
          <w:lang w:val="en-US"/>
        </w:rPr>
      </w:pPr>
      <w:r w:rsidRPr="000E696E">
        <w:rPr>
          <w:rStyle w:val="Refdenotaalpie"/>
          <w:rFonts w:eastAsiaTheme="majorEastAsia"/>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cs="Tahoma"/>
          <w:bCs/>
          <w:color w:val="000000"/>
          <w:sz w:val="16"/>
          <w:szCs w:val="16"/>
          <w:lang w:val="en-US"/>
        </w:rPr>
        <w:t xml:space="preserve">Chapter III. Economic, Social and Cultural Rights. Article 26.  Progressive Development: </w:t>
      </w:r>
      <w:r w:rsidRPr="000E696E">
        <w:rPr>
          <w:rFonts w:ascii="Verdana" w:hAnsi="Verdana"/>
          <w:spacing w:val="-3"/>
          <w:sz w:val="16"/>
          <w:szCs w:val="16"/>
          <w:lang w:val="en-US"/>
        </w:rPr>
        <w:t xml:space="preserve">The States Parties undertake to adopt measures, both internally and through international cooperation, especially those of an economic and technical nature, with a view </w:t>
      </w:r>
      <w:r w:rsidRPr="000E696E">
        <w:rPr>
          <w:rFonts w:ascii="Verdana" w:hAnsi="Verdana"/>
          <w:spacing w:val="-3"/>
          <w:sz w:val="16"/>
          <w:szCs w:val="16"/>
          <w:u w:val="single"/>
          <w:lang w:val="en-US"/>
        </w:rPr>
        <w:t xml:space="preserve">to achieving progressively, </w:t>
      </w:r>
      <w:r w:rsidRPr="000E696E">
        <w:rPr>
          <w:rFonts w:ascii="Verdana" w:hAnsi="Verdana"/>
          <w:spacing w:val="-3"/>
          <w:sz w:val="16"/>
          <w:szCs w:val="16"/>
          <w:lang w:val="en-US"/>
        </w:rPr>
        <w:t xml:space="preserve">subject to available resources, by legislation or other appropriate means, </w:t>
      </w:r>
      <w:r w:rsidRPr="000E696E">
        <w:rPr>
          <w:rFonts w:ascii="Verdana" w:hAnsi="Verdana"/>
          <w:spacing w:val="-3"/>
          <w:sz w:val="16"/>
          <w:szCs w:val="16"/>
          <w:u w:val="single"/>
          <w:lang w:val="en-US"/>
        </w:rPr>
        <w:t>the full realization of the rights derived from the economic, social, educational, scientific, and cultural standards set forth in the Charter of the Organization of American States</w:t>
      </w:r>
      <w:r w:rsidRPr="000E696E">
        <w:rPr>
          <w:rFonts w:ascii="Verdana" w:hAnsi="Verdana"/>
          <w:spacing w:val="-3"/>
          <w:sz w:val="16"/>
          <w:szCs w:val="16"/>
          <w:lang w:val="en-US"/>
        </w:rPr>
        <w:t xml:space="preserve"> as amended by the Protocol of Buenos Aires (underlining added).</w:t>
      </w:r>
    </w:p>
  </w:footnote>
  <w:footnote w:id="449">
    <w:p w14:paraId="7F001C8E" w14:textId="51364AE1" w:rsidR="0068647C" w:rsidRPr="000E696E" w:rsidRDefault="0068647C" w:rsidP="00AF5A3E">
      <w:pPr>
        <w:spacing w:after="60"/>
        <w:jc w:val="both"/>
        <w:rPr>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For example Article XI establishes that: “</w:t>
      </w:r>
      <w:r w:rsidRPr="000E696E">
        <w:rPr>
          <w:rFonts w:ascii="Verdana" w:hAnsi="Verdana"/>
          <w:spacing w:val="-3"/>
          <w:sz w:val="16"/>
          <w:szCs w:val="16"/>
          <w:lang w:val="en-US"/>
        </w:rPr>
        <w:t>Every person has the right to the preservation of his health through sanitary and social measures relating to food, clothing, housing and medical care, to the extent permitted by public and community resources.”</w:t>
      </w:r>
    </w:p>
  </w:footnote>
  <w:footnote w:id="450">
    <w:p w14:paraId="42547117" w14:textId="3B1D84EF" w:rsidR="0068647C" w:rsidRPr="004204B2" w:rsidRDefault="0068647C" w:rsidP="00D61BD2">
      <w:pPr>
        <w:pStyle w:val="Textonotapie"/>
        <w:rPr>
          <w:lang w:val="es-CR"/>
        </w:rPr>
      </w:pPr>
      <w:r w:rsidRPr="000E696E">
        <w:rPr>
          <w:rStyle w:val="Refdenotaalpie"/>
          <w:sz w:val="16"/>
        </w:rPr>
        <w:footnoteRef/>
      </w:r>
      <w:r w:rsidRPr="000E696E">
        <w:t xml:space="preserve"> </w:t>
      </w:r>
      <w:r w:rsidRPr="000E696E">
        <w:tab/>
        <w:t xml:space="preserve">In this regard, </w:t>
      </w:r>
      <w:r w:rsidRPr="000E696E">
        <w:rPr>
          <w:caps/>
        </w:rPr>
        <w:t>“</w:t>
      </w:r>
      <w:r w:rsidRPr="000E696E">
        <w:t>on the path that should be followed to determine whether a right is implicit in the Charter it is necessary, in our opinion, to avoid the shortcut of directly citing the American Declaration as an instrument that informs the content of the human rights established in the Charter. [And this is taking into account that] Article 26 refers to rights derived from the economic, social, education, scientific and cultural standards set forth in the Charter and does not refer back to the Declaration.</w:t>
      </w:r>
      <w:r w:rsidRPr="000E696E">
        <w:rPr>
          <w:caps/>
        </w:rPr>
        <w:t xml:space="preserve">” </w:t>
      </w:r>
      <w:r w:rsidRPr="004204B2">
        <w:rPr>
          <w:lang w:val="es-CR"/>
        </w:rPr>
        <w:t>Abramovich, V. and Rossi, J., ‘</w:t>
      </w:r>
      <w:r w:rsidRPr="004204B2">
        <w:rPr>
          <w:i/>
          <w:lang w:val="es-CR"/>
        </w:rPr>
        <w:t>La Tutela de los Derechos Económicos, Sociales y Culturales en el Artículo 26 de la Convención Americana sobre Derechos Humanos,’</w:t>
      </w:r>
      <w:r w:rsidRPr="004204B2">
        <w:rPr>
          <w:lang w:val="es-CR"/>
        </w:rPr>
        <w:t xml:space="preserve"> Estudios Socio-Jurídicos, Vol. 9, 2007, p. 47.</w:t>
      </w:r>
    </w:p>
  </w:footnote>
  <w:footnote w:id="451">
    <w:p w14:paraId="3C8362C9" w14:textId="3817944F" w:rsidR="0068647C" w:rsidRPr="000E696E" w:rsidRDefault="0068647C" w:rsidP="00D61BD2">
      <w:pPr>
        <w:pStyle w:val="Textonotapie"/>
      </w:pPr>
      <w:r w:rsidRPr="000E696E">
        <w:rPr>
          <w:rStyle w:val="Refdenotaalpie"/>
          <w:sz w:val="16"/>
        </w:rPr>
        <w:footnoteRef/>
      </w:r>
      <w:r w:rsidRPr="000E696E">
        <w:t xml:space="preserve"> </w:t>
      </w:r>
      <w:r w:rsidRPr="000E696E">
        <w:tab/>
        <w:t>For example, Article 45(b) of the Charter establishes that: “Work is a right and a social duty, it gives dignity to the one who performs it, and it should be performed under conditions, including a system of fair wages, that ensure life, health, and a decent standard of living for the worker and his family, both during his working years and in his old age, or when any circumstance deprives him of the possibility of working.”</w:t>
      </w:r>
    </w:p>
  </w:footnote>
  <w:footnote w:id="452">
    <w:p w14:paraId="17719449" w14:textId="3468BC25" w:rsidR="0068647C" w:rsidRPr="000E696E" w:rsidRDefault="0068647C" w:rsidP="00D61BD2">
      <w:pPr>
        <w:pStyle w:val="Textonotapie"/>
      </w:pPr>
      <w:r w:rsidRPr="000E696E">
        <w:rPr>
          <w:rStyle w:val="Refdenotaalpie"/>
          <w:sz w:val="16"/>
        </w:rPr>
        <w:footnoteRef/>
      </w:r>
      <w:r w:rsidRPr="000E696E">
        <w:t xml:space="preserve"> </w:t>
      </w:r>
      <w:r w:rsidRPr="000E696E">
        <w:tab/>
        <w:t xml:space="preserve">The discussion on which sources of international law can be used by the Inter-American Court to establish the scope of obligations and rights required of the States is not the main issue of this opinion, but I wish to express my concern owing to the use of documents such as the Agenda 2030 of the United Nations General Assembly (Millennium Goals) as a binding source for the inter-American system. </w:t>
      </w:r>
    </w:p>
  </w:footnote>
  <w:footnote w:id="453">
    <w:p w14:paraId="7B527122" w14:textId="31554090" w:rsidR="0068647C" w:rsidRPr="000E696E" w:rsidRDefault="0068647C" w:rsidP="00D61BD2">
      <w:pPr>
        <w:pStyle w:val="Textonotapie"/>
      </w:pPr>
      <w:r w:rsidRPr="000E696E">
        <w:rPr>
          <w:rStyle w:val="Refdenotaalpie"/>
          <w:sz w:val="16"/>
        </w:rPr>
        <w:footnoteRef/>
      </w:r>
      <w:r w:rsidRPr="004204B2">
        <w:rPr>
          <w:lang w:val="es-CR"/>
        </w:rPr>
        <w:t xml:space="preserve"> </w:t>
      </w:r>
      <w:r w:rsidRPr="004204B2">
        <w:rPr>
          <w:lang w:val="es-CR"/>
        </w:rPr>
        <w:tab/>
      </w:r>
      <w:r w:rsidRPr="004204B2">
        <w:rPr>
          <w:lang w:val="es-CR"/>
        </w:rPr>
        <w:t xml:space="preserve">Judgment </w:t>
      </w:r>
      <w:r w:rsidRPr="004204B2">
        <w:rPr>
          <w:i/>
          <w:lang w:val="es-CR"/>
        </w:rPr>
        <w:t>Lagos del Campo v. Peru</w:t>
      </w:r>
      <w:r w:rsidRPr="004204B2">
        <w:rPr>
          <w:lang w:val="es-CR"/>
        </w:rPr>
        <w:t xml:space="preserve">, para. </w:t>
      </w:r>
      <w:r w:rsidRPr="000E696E">
        <w:t>145.</w:t>
      </w:r>
    </w:p>
  </w:footnote>
  <w:footnote w:id="454">
    <w:p w14:paraId="24CB2388" w14:textId="1DB34556" w:rsidR="0068647C" w:rsidRPr="000E696E" w:rsidRDefault="0068647C" w:rsidP="00D61BD2">
      <w:pPr>
        <w:pStyle w:val="Textonotapie"/>
      </w:pPr>
      <w:r w:rsidRPr="000E696E">
        <w:rPr>
          <w:rStyle w:val="Refdenotaalpie"/>
          <w:sz w:val="16"/>
        </w:rPr>
        <w:footnoteRef/>
      </w:r>
      <w:r w:rsidRPr="000E696E">
        <w:t xml:space="preserve"> </w:t>
      </w:r>
      <w:r w:rsidRPr="000E696E">
        <w:tab/>
        <w:t xml:space="preserve">In this regard, concurring opinion </w:t>
      </w:r>
      <w:r w:rsidRPr="000E696E">
        <w:rPr>
          <w:i/>
        </w:rPr>
        <w:t>Case of González Lluy et al. v. Ecuador</w:t>
      </w:r>
      <w:r w:rsidRPr="000E696E">
        <w:t>, paras. 12 to 19.</w:t>
      </w:r>
    </w:p>
  </w:footnote>
  <w:footnote w:id="455">
    <w:p w14:paraId="201EEDC0" w14:textId="506C4AB9" w:rsidR="0068647C" w:rsidRPr="000E696E" w:rsidRDefault="0068647C" w:rsidP="00AA1EBF">
      <w:pPr>
        <w:spacing w:after="60"/>
        <w:jc w:val="both"/>
        <w:rPr>
          <w:rFonts w:ascii="Verdana" w:eastAsia="Times New Roman" w:hAnsi="Verdana"/>
          <w:sz w:val="16"/>
          <w:szCs w:val="16"/>
          <w:lang w:val="en-US" w:eastAsia="es-ES_tradnl"/>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 xml:space="preserve">A good example of the correct use of the methods of treaty interpretation can be found in Advisory Opinion No. 21 on the </w:t>
      </w:r>
      <w:r w:rsidRPr="000E696E">
        <w:rPr>
          <w:rFonts w:ascii="Verdana" w:hAnsi="Verdana"/>
          <w:i/>
          <w:iCs/>
          <w:sz w:val="16"/>
          <w:szCs w:val="16"/>
          <w:lang w:val="en-US"/>
        </w:rPr>
        <w:t>Entitlement of Legal Entities to Hold Rights under the Inter-American Human Rights System</w:t>
      </w:r>
      <w:r w:rsidRPr="000E696E">
        <w:rPr>
          <w:rFonts w:ascii="Verdana" w:eastAsia="Times New Roman" w:hAnsi="Verdana"/>
          <w:bCs/>
          <w:color w:val="000000"/>
          <w:sz w:val="16"/>
          <w:szCs w:val="16"/>
          <w:shd w:val="clear" w:color="auto" w:fill="FFFFFF"/>
          <w:lang w:val="en-US" w:eastAsia="es-ES_tradnl"/>
        </w:rPr>
        <w:t>.</w:t>
      </w:r>
    </w:p>
  </w:footnote>
  <w:footnote w:id="456">
    <w:p w14:paraId="5D93B451" w14:textId="756B4177" w:rsidR="0068647C" w:rsidRPr="000E696E" w:rsidRDefault="0068647C" w:rsidP="00D61BD2">
      <w:pPr>
        <w:pStyle w:val="Textonotapie"/>
      </w:pPr>
      <w:r w:rsidRPr="000E696E">
        <w:rPr>
          <w:rStyle w:val="Refdenotaalpie"/>
          <w:sz w:val="16"/>
        </w:rPr>
        <w:footnoteRef/>
      </w:r>
      <w:r w:rsidRPr="000E696E">
        <w:t xml:space="preserve"> </w:t>
      </w:r>
      <w:r w:rsidRPr="000E696E">
        <w:tab/>
        <w:t xml:space="preserve">In this regard, concurring opinion, </w:t>
      </w:r>
      <w:r w:rsidRPr="000E696E">
        <w:rPr>
          <w:i/>
        </w:rPr>
        <w:t>Case of González Lluy et al. v. Ecuador</w:t>
      </w:r>
      <w:r w:rsidRPr="000E696E">
        <w:t>, paras. 23 to 28.</w:t>
      </w:r>
    </w:p>
  </w:footnote>
  <w:footnote w:id="457">
    <w:p w14:paraId="067971E7" w14:textId="559E029E" w:rsidR="0068647C" w:rsidRPr="000E696E" w:rsidRDefault="0068647C" w:rsidP="00D61BD2">
      <w:pPr>
        <w:pStyle w:val="Textonotapie"/>
      </w:pPr>
      <w:r w:rsidRPr="000E696E">
        <w:rPr>
          <w:rStyle w:val="Refdenotaalpie"/>
          <w:sz w:val="16"/>
        </w:rPr>
        <w:footnoteRef/>
      </w:r>
      <w:r w:rsidRPr="000E696E">
        <w:t xml:space="preserve"> </w:t>
      </w:r>
      <w:r w:rsidRPr="000E696E">
        <w:tab/>
        <w:t xml:space="preserve">Similarly, see: </w:t>
      </w:r>
      <w:r w:rsidRPr="000E696E">
        <w:rPr>
          <w:bCs/>
          <w:i/>
          <w:iCs/>
        </w:rPr>
        <w:t xml:space="preserve">Case of González et al. (“Cotton Field”) v. Mexico. </w:t>
      </w:r>
      <w:r w:rsidRPr="000E696E">
        <w:rPr>
          <w:i/>
          <w:iCs/>
        </w:rPr>
        <w:t>Preliminary objections, merits, reparations and costs</w:t>
      </w:r>
      <w:r w:rsidRPr="000E696E">
        <w:t>. Judgment of November 16, 2009. Series C No. 205, para. 78.</w:t>
      </w:r>
    </w:p>
  </w:footnote>
  <w:footnote w:id="458">
    <w:p w14:paraId="50535B3F" w14:textId="77777777" w:rsidR="0068647C" w:rsidRPr="000E696E" w:rsidRDefault="0068647C" w:rsidP="002F6229">
      <w:pPr>
        <w:spacing w:after="60"/>
        <w:jc w:val="both"/>
        <w:rPr>
          <w:rFonts w:ascii="Verdana" w:eastAsia="Times New Roman" w:hAnsi="Verdana"/>
          <w:sz w:val="16"/>
          <w:szCs w:val="16"/>
          <w:lang w:val="en-US" w:eastAsia="es-ES_tradnl"/>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eastAsia="Times New Roman" w:hAnsi="Verdana"/>
          <w:i/>
          <w:sz w:val="16"/>
          <w:szCs w:val="16"/>
          <w:lang w:val="en-US" w:eastAsia="es-ES_tradnl"/>
        </w:rPr>
        <w:t>Case of Velásquez Rodríguez v. Honduras</w:t>
      </w:r>
      <w:r w:rsidRPr="000E696E">
        <w:rPr>
          <w:rFonts w:ascii="Verdana" w:eastAsia="Times New Roman" w:hAnsi="Verdana"/>
          <w:sz w:val="16"/>
          <w:szCs w:val="16"/>
          <w:lang w:val="en-US" w:eastAsia="es-ES_tradnl"/>
        </w:rPr>
        <w:t>, Judgment of July 29, 1988 (Merits), Series C No. 4, paras. 163 to 166.</w:t>
      </w:r>
    </w:p>
  </w:footnote>
  <w:footnote w:id="459">
    <w:p w14:paraId="0EBCF2FF" w14:textId="5C020C76" w:rsidR="0068647C" w:rsidRPr="000E696E" w:rsidRDefault="0068647C" w:rsidP="00AA1EBF">
      <w:pPr>
        <w:spacing w:after="60"/>
        <w:jc w:val="both"/>
        <w:rPr>
          <w:rFonts w:ascii="Verdana" w:eastAsia="Times New Roman" w:hAnsi="Verdana"/>
          <w:sz w:val="16"/>
          <w:szCs w:val="16"/>
          <w:lang w:val="en-US" w:eastAsia="es-ES_tradnl"/>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eastAsia="Times New Roman" w:hAnsi="Verdana"/>
          <w:i/>
          <w:sz w:val="16"/>
          <w:szCs w:val="16"/>
          <w:lang w:val="en-US" w:eastAsia="es-ES_tradnl"/>
        </w:rPr>
        <w:t>Case of Hilaire, Constantine and Benjamin et al. v. Trinidad and Tobago</w:t>
      </w:r>
      <w:r w:rsidRPr="000E696E">
        <w:rPr>
          <w:rFonts w:ascii="Verdana" w:eastAsia="Times New Roman" w:hAnsi="Verdana"/>
          <w:sz w:val="16"/>
          <w:szCs w:val="16"/>
          <w:lang w:val="en-US" w:eastAsia="es-ES_tradnl"/>
        </w:rPr>
        <w:t xml:space="preserve">, Judgment of June 21, 2002 (Merits, reparations and costs), para. 107. </w:t>
      </w:r>
    </w:p>
  </w:footnote>
  <w:footnote w:id="460">
    <w:p w14:paraId="60342C5D" w14:textId="77777777" w:rsidR="0068647C" w:rsidRPr="000E696E" w:rsidRDefault="0068647C" w:rsidP="00D61BD2">
      <w:pPr>
        <w:pStyle w:val="Textonotapie"/>
      </w:pPr>
      <w:r w:rsidRPr="000E696E">
        <w:rPr>
          <w:rStyle w:val="Refdenotaalpie"/>
          <w:sz w:val="16"/>
        </w:rPr>
        <w:footnoteRef/>
      </w:r>
      <w:r w:rsidRPr="000E696E">
        <w:t xml:space="preserve"> </w:t>
      </w:r>
      <w:r w:rsidRPr="000E696E">
        <w:tab/>
        <w:t xml:space="preserve">Judgment </w:t>
      </w:r>
      <w:r w:rsidRPr="000E696E">
        <w:rPr>
          <w:i/>
        </w:rPr>
        <w:t>Lagos del Campo v. Peru</w:t>
      </w:r>
      <w:r w:rsidRPr="000E696E">
        <w:t>, paras. 133 to 139.</w:t>
      </w:r>
    </w:p>
  </w:footnote>
  <w:footnote w:id="461">
    <w:p w14:paraId="0742C5E6" w14:textId="352808C2" w:rsidR="0068647C" w:rsidRPr="000E696E" w:rsidRDefault="0068647C" w:rsidP="00D61BD2">
      <w:pPr>
        <w:pStyle w:val="Textonotapie"/>
      </w:pPr>
      <w:r w:rsidRPr="000E696E">
        <w:rPr>
          <w:rStyle w:val="Refdenotaalpie"/>
          <w:sz w:val="16"/>
        </w:rPr>
        <w:footnoteRef/>
      </w:r>
      <w:r w:rsidRPr="000E696E">
        <w:t xml:space="preserve"> </w:t>
      </w:r>
      <w:r w:rsidRPr="000E696E">
        <w:tab/>
        <w:t>It should be stressed that the judgment indicates that the Peruvian State was aware of the facts, but when this is mentioned in footnote No. 183, it includes a citation that that refers to an argument on a right to work and not to a specific fact.</w:t>
      </w:r>
    </w:p>
  </w:footnote>
  <w:footnote w:id="462">
    <w:p w14:paraId="16556015" w14:textId="34652C76" w:rsidR="0068647C" w:rsidRPr="000E696E" w:rsidRDefault="0068647C" w:rsidP="00D61BD2">
      <w:pPr>
        <w:pStyle w:val="Textonotapie"/>
      </w:pPr>
      <w:r w:rsidRPr="000E696E">
        <w:rPr>
          <w:rStyle w:val="Refdenotaalpie"/>
          <w:sz w:val="16"/>
        </w:rPr>
        <w:footnoteRef/>
      </w:r>
      <w:r w:rsidRPr="004204B2">
        <w:rPr>
          <w:lang w:val="es-CR"/>
        </w:rPr>
        <w:t xml:space="preserve"> </w:t>
      </w:r>
      <w:r w:rsidRPr="004204B2">
        <w:rPr>
          <w:lang w:val="es-CR"/>
        </w:rPr>
        <w:tab/>
      </w:r>
      <w:r w:rsidRPr="004204B2">
        <w:rPr>
          <w:lang w:val="es-CR"/>
        </w:rPr>
        <w:t xml:space="preserve">Judgment </w:t>
      </w:r>
      <w:r w:rsidRPr="004204B2">
        <w:rPr>
          <w:i/>
          <w:lang w:val="es-CR"/>
        </w:rPr>
        <w:t>Lagos del Campo v. Peru</w:t>
      </w:r>
      <w:r w:rsidRPr="004204B2">
        <w:rPr>
          <w:lang w:val="es-CR"/>
        </w:rPr>
        <w:t xml:space="preserve">, para. </w:t>
      </w:r>
      <w:r w:rsidRPr="000E696E">
        <w:t>137.</w:t>
      </w:r>
    </w:p>
  </w:footnote>
  <w:footnote w:id="463">
    <w:p w14:paraId="6453D161" w14:textId="18F75820" w:rsidR="0068647C" w:rsidRPr="000E696E" w:rsidRDefault="0068647C" w:rsidP="00AA1EBF">
      <w:pPr>
        <w:spacing w:after="60"/>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t xml:space="preserve">Indeed, the reason why the judgment decides that there is no violation is that, “considering that the analysis is not centered on some measure adopted by the State that hindered the progressive realization of the right to a pension, but on the State's non-compliance with the payment ordered by the domestic courts, the Court deems that the violated rights are those protected in Articles 25 and 21 of the Convention and does not find grounds to also declare non-compliance with Article 26 of this instrument.” </w:t>
      </w:r>
      <w:r w:rsidRPr="000E696E">
        <w:rPr>
          <w:rStyle w:val="Textoennegrita"/>
          <w:rFonts w:ascii="Verdana" w:hAnsi="Verdana"/>
          <w:b w:val="0"/>
          <w:i/>
          <w:sz w:val="16"/>
          <w:szCs w:val="16"/>
          <w:shd w:val="clear" w:color="auto" w:fill="FFFFFF"/>
          <w:lang w:val="en-US"/>
        </w:rPr>
        <w:t>Case of Acevedo Buendía et al. (“Discharged and Retired Employees of the Office of the Comptroller”) v. Peru</w:t>
      </w:r>
      <w:r w:rsidRPr="000E696E">
        <w:rPr>
          <w:rStyle w:val="Textoennegrita"/>
          <w:rFonts w:ascii="Verdana" w:hAnsi="Verdana"/>
          <w:b w:val="0"/>
          <w:sz w:val="16"/>
          <w:szCs w:val="16"/>
          <w:shd w:val="clear" w:color="auto" w:fill="FFFFFF"/>
          <w:lang w:val="en-US"/>
        </w:rPr>
        <w:t>, para. 106.</w:t>
      </w:r>
    </w:p>
  </w:footnote>
  <w:footnote w:id="464">
    <w:p w14:paraId="7E946893" w14:textId="40F32B2C" w:rsidR="0068647C" w:rsidRPr="000E696E" w:rsidRDefault="0068647C" w:rsidP="00390E29">
      <w:pPr>
        <w:pStyle w:val="NormalWeb"/>
        <w:shd w:val="clear" w:color="auto" w:fill="FFFFFF"/>
        <w:tabs>
          <w:tab w:val="left" w:pos="720"/>
        </w:tabs>
        <w:spacing w:before="0" w:beforeAutospacing="0" w:after="60" w:afterAutospacing="0"/>
        <w:jc w:val="both"/>
        <w:rPr>
          <w:rFonts w:ascii="Verdana" w:hAnsi="Verdana" w:cs="Tahoma"/>
          <w:sz w:val="16"/>
          <w:szCs w:val="16"/>
          <w:lang w:val="en-US"/>
        </w:rPr>
      </w:pPr>
      <w:r w:rsidRPr="000E696E">
        <w:rPr>
          <w:rStyle w:val="Refdenotaalpie"/>
          <w:rFonts w:eastAsiaTheme="majorEastAsia"/>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eastAsia="Calibri" w:hAnsi="Verdana"/>
          <w:i/>
          <w:sz w:val="16"/>
          <w:szCs w:val="16"/>
          <w:lang w:val="en-US"/>
        </w:rPr>
        <w:t xml:space="preserve">Cf. </w:t>
      </w:r>
      <w:r w:rsidRPr="000E696E">
        <w:rPr>
          <w:rFonts w:ascii="Verdana" w:hAnsi="Verdana"/>
          <w:sz w:val="16"/>
          <w:szCs w:val="16"/>
          <w:lang w:val="en-US"/>
        </w:rPr>
        <w:t xml:space="preserve">Advisory Opinion OC-16/99, para. 114; </w:t>
      </w:r>
      <w:r w:rsidRPr="000E696E">
        <w:rPr>
          <w:rStyle w:val="Textoennegrita"/>
          <w:rFonts w:ascii="Verdana" w:eastAsiaTheme="majorEastAsia" w:hAnsi="Verdana"/>
          <w:b w:val="0"/>
          <w:i/>
          <w:sz w:val="16"/>
          <w:szCs w:val="16"/>
          <w:shd w:val="clear" w:color="auto" w:fill="FFFFFF"/>
          <w:lang w:val="en-US"/>
        </w:rPr>
        <w:t>Case of Atala Riffo and daughters v. Chile. Merits, reparations and costs</w:t>
      </w:r>
      <w:r w:rsidRPr="000E696E">
        <w:rPr>
          <w:rStyle w:val="Textoennegrita"/>
          <w:rFonts w:ascii="Verdana" w:eastAsiaTheme="majorEastAsia" w:hAnsi="Verdana"/>
          <w:b w:val="0"/>
          <w:sz w:val="16"/>
          <w:szCs w:val="16"/>
          <w:shd w:val="clear" w:color="auto" w:fill="FFFFFF"/>
          <w:lang w:val="en-US"/>
        </w:rPr>
        <w:t xml:space="preserve">. Judgment of February 24, 2012. Series C No. 239, para. </w:t>
      </w:r>
      <w:r w:rsidRPr="004204B2">
        <w:rPr>
          <w:rStyle w:val="Textoennegrita"/>
          <w:rFonts w:ascii="Verdana" w:eastAsiaTheme="majorEastAsia" w:hAnsi="Verdana"/>
          <w:b w:val="0"/>
          <w:sz w:val="16"/>
          <w:szCs w:val="16"/>
          <w:shd w:val="clear" w:color="auto" w:fill="FFFFFF"/>
        </w:rPr>
        <w:t xml:space="preserve">83; </w:t>
      </w:r>
      <w:r w:rsidRPr="004204B2">
        <w:rPr>
          <w:rStyle w:val="Textoennegrita"/>
          <w:rFonts w:ascii="Verdana" w:eastAsiaTheme="majorEastAsia" w:hAnsi="Verdana"/>
          <w:b w:val="0"/>
          <w:i/>
          <w:sz w:val="16"/>
          <w:szCs w:val="16"/>
          <w:shd w:val="clear" w:color="auto" w:fill="FFFFFF"/>
        </w:rPr>
        <w:t xml:space="preserve">Case of Artavia Murillo et al. (In vitro </w:t>
      </w:r>
      <w:r w:rsidRPr="004204B2">
        <w:rPr>
          <w:rStyle w:val="Textoennegrita"/>
          <w:rFonts w:ascii="Verdana" w:eastAsiaTheme="majorEastAsia" w:hAnsi="Verdana"/>
          <w:b w:val="0"/>
          <w:i/>
          <w:sz w:val="16"/>
          <w:szCs w:val="16"/>
          <w:shd w:val="clear" w:color="auto" w:fill="FFFFFF"/>
        </w:rPr>
        <w:t>fertilization) v. Costa Rica</w:t>
      </w:r>
      <w:r w:rsidRPr="004204B2">
        <w:rPr>
          <w:rStyle w:val="Textoennegrita"/>
          <w:rFonts w:ascii="Verdana" w:eastAsiaTheme="majorEastAsia" w:hAnsi="Verdana"/>
          <w:b w:val="0"/>
          <w:sz w:val="16"/>
          <w:szCs w:val="16"/>
          <w:shd w:val="clear" w:color="auto" w:fill="FFFFFF"/>
        </w:rPr>
        <w:t xml:space="preserve">, para. </w:t>
      </w:r>
      <w:r w:rsidRPr="000E696E">
        <w:rPr>
          <w:rStyle w:val="Textoennegrita"/>
          <w:rFonts w:ascii="Verdana" w:eastAsiaTheme="majorEastAsia" w:hAnsi="Verdana"/>
          <w:b w:val="0"/>
          <w:sz w:val="16"/>
          <w:szCs w:val="16"/>
          <w:shd w:val="clear" w:color="auto" w:fill="FFFFFF"/>
          <w:lang w:val="en-US"/>
        </w:rPr>
        <w:t>245,</w:t>
      </w:r>
      <w:r w:rsidRPr="000E696E">
        <w:rPr>
          <w:rFonts w:ascii="Verdana" w:hAnsi="Verdana"/>
          <w:b/>
          <w:sz w:val="16"/>
          <w:szCs w:val="16"/>
          <w:lang w:val="en-US"/>
        </w:rPr>
        <w:t xml:space="preserve"> </w:t>
      </w:r>
      <w:r w:rsidRPr="000E696E">
        <w:rPr>
          <w:rFonts w:ascii="Verdana" w:hAnsi="Verdana"/>
          <w:bCs/>
          <w:sz w:val="16"/>
          <w:szCs w:val="16"/>
          <w:lang w:val="en-US"/>
        </w:rPr>
        <w:t xml:space="preserve">and </w:t>
      </w:r>
      <w:r w:rsidRPr="000E696E">
        <w:rPr>
          <w:rStyle w:val="Textoennegrita"/>
          <w:rFonts w:ascii="Verdana" w:eastAsiaTheme="majorEastAsia" w:hAnsi="Verdana"/>
          <w:b w:val="0"/>
          <w:sz w:val="16"/>
          <w:szCs w:val="16"/>
          <w:shd w:val="clear" w:color="auto" w:fill="FFFFFF"/>
          <w:lang w:val="en-US"/>
        </w:rPr>
        <w:t>Advisory Opinion OC-21/14, para. 55</w:t>
      </w:r>
      <w:r w:rsidRPr="000E696E">
        <w:rPr>
          <w:rFonts w:ascii="Verdana" w:hAnsi="Verdana"/>
          <w:b/>
          <w:sz w:val="16"/>
          <w:szCs w:val="16"/>
          <w:lang w:val="en-US"/>
        </w:rPr>
        <w:t>.</w:t>
      </w:r>
      <w:r w:rsidRPr="000E696E">
        <w:rPr>
          <w:rFonts w:ascii="Verdana" w:hAnsi="Verdana"/>
          <w:sz w:val="16"/>
          <w:szCs w:val="16"/>
          <w:lang w:val="en-US"/>
        </w:rPr>
        <w:t xml:space="preserve"> Similarly, the Preamble of the American Declaration of the Rights and Duties of Man indicates that: “</w:t>
      </w:r>
      <w:r w:rsidRPr="000E696E">
        <w:rPr>
          <w:rFonts w:ascii="Verdana" w:hAnsi="Verdana" w:cs="Tahoma"/>
          <w:sz w:val="16"/>
          <w:szCs w:val="16"/>
          <w:lang w:val="en-US"/>
        </w:rPr>
        <w:t>[t]</w:t>
      </w:r>
      <w:r w:rsidRPr="000E696E">
        <w:rPr>
          <w:rFonts w:ascii="Verdana" w:hAnsi="Verdana"/>
          <w:spacing w:val="-3"/>
          <w:sz w:val="16"/>
          <w:szCs w:val="16"/>
          <w:lang w:val="en-US"/>
        </w:rPr>
        <w:t>he international protection of the rights of man should be the principal guide of an evolving American law</w:t>
      </w:r>
      <w:r w:rsidRPr="000E696E">
        <w:rPr>
          <w:rFonts w:ascii="Verdana" w:hAnsi="Verdana" w:cs="Tahoma"/>
          <w:sz w:val="16"/>
          <w:szCs w:val="16"/>
          <w:lang w:val="en-US"/>
        </w:rPr>
        <w:t>.</w:t>
      </w:r>
      <w:r w:rsidRPr="000E696E">
        <w:rPr>
          <w:rFonts w:ascii="Verdana" w:hAnsi="Verdana"/>
          <w:sz w:val="16"/>
          <w:szCs w:val="16"/>
          <w:lang w:val="en-US"/>
        </w:rPr>
        <w:t>”</w:t>
      </w:r>
    </w:p>
  </w:footnote>
  <w:footnote w:id="465">
    <w:p w14:paraId="3D04748A" w14:textId="11CCBA22" w:rsidR="0068647C" w:rsidRPr="000E696E" w:rsidRDefault="0068647C" w:rsidP="009D5358">
      <w:pPr>
        <w:tabs>
          <w:tab w:val="left" w:pos="720"/>
        </w:tabs>
        <w:spacing w:after="60"/>
        <w:jc w:val="both"/>
        <w:rPr>
          <w:rFonts w:ascii="Verdana" w:hAnsi="Verdana"/>
          <w:sz w:val="16"/>
          <w:szCs w:val="16"/>
          <w:lang w:val="en-US"/>
        </w:rPr>
      </w:pPr>
      <w:r w:rsidRPr="000E696E">
        <w:rPr>
          <w:rStyle w:val="Refdenotaalpie"/>
          <w:sz w:val="16"/>
          <w:szCs w:val="16"/>
          <w:lang w:val="en-US"/>
        </w:rPr>
        <w:footnoteRef/>
      </w:r>
      <w:r w:rsidRPr="000E696E">
        <w:rPr>
          <w:rFonts w:ascii="Verdana" w:hAnsi="Verdana"/>
          <w:sz w:val="16"/>
          <w:szCs w:val="16"/>
          <w:lang w:val="en-US"/>
        </w:rPr>
        <w:t xml:space="preserve"> </w:t>
      </w:r>
      <w:r w:rsidRPr="000E696E">
        <w:rPr>
          <w:rFonts w:ascii="Verdana" w:hAnsi="Verdana"/>
          <w:sz w:val="16"/>
          <w:szCs w:val="16"/>
          <w:lang w:val="en-US"/>
        </w:rPr>
        <w:tab/>
      </w:r>
      <w:r w:rsidRPr="000E696E">
        <w:rPr>
          <w:rFonts w:ascii="Verdana" w:hAnsi="Verdana"/>
          <w:i/>
          <w:sz w:val="16"/>
          <w:szCs w:val="16"/>
          <w:lang w:val="en-US"/>
        </w:rPr>
        <w:t xml:space="preserve">Cf. </w:t>
      </w:r>
      <w:r w:rsidRPr="000E696E">
        <w:rPr>
          <w:rFonts w:ascii="Verdana" w:hAnsi="Verdana"/>
          <w:sz w:val="16"/>
          <w:szCs w:val="16"/>
          <w:lang w:val="en-US"/>
        </w:rPr>
        <w:t xml:space="preserve">Advisory Opinion OC-16/99, para. 114, and </w:t>
      </w:r>
      <w:r w:rsidRPr="000E696E">
        <w:rPr>
          <w:rStyle w:val="Textoennegrita"/>
          <w:rFonts w:ascii="Verdana" w:hAnsi="Verdana"/>
          <w:b w:val="0"/>
          <w:sz w:val="16"/>
          <w:szCs w:val="16"/>
          <w:shd w:val="clear" w:color="auto" w:fill="FFFFFF"/>
          <w:lang w:val="en-US"/>
        </w:rPr>
        <w:t>Advisory Opinion OC-21/14, para. 55</w:t>
      </w:r>
      <w:r w:rsidRPr="000E696E">
        <w:rPr>
          <w:rFonts w:ascii="Verdana" w:hAnsi="Verdana"/>
          <w:sz w:val="16"/>
          <w:szCs w:val="16"/>
          <w:lang w:val="en-US"/>
        </w:rPr>
        <w:t>.</w:t>
      </w:r>
    </w:p>
  </w:footnote>
  <w:footnote w:id="466">
    <w:p w14:paraId="364372E6" w14:textId="7B1C54F2" w:rsidR="0068647C" w:rsidRPr="004204B2" w:rsidRDefault="0068647C" w:rsidP="00D61BD2">
      <w:pPr>
        <w:pStyle w:val="Textonotapie"/>
        <w:rPr>
          <w:lang w:val="es-CR"/>
        </w:rPr>
      </w:pPr>
      <w:r w:rsidRPr="000E696E">
        <w:rPr>
          <w:rStyle w:val="Refdenotaalpie"/>
          <w:sz w:val="16"/>
        </w:rPr>
        <w:footnoteRef/>
      </w:r>
      <w:r w:rsidRPr="000E696E">
        <w:t xml:space="preserve"> </w:t>
      </w:r>
      <w:r w:rsidRPr="000E696E">
        <w:tab/>
        <w:t xml:space="preserve">In this regard, constitutional mutation refers to “the transformation or modification of a constitutional principle or precept.” </w:t>
      </w:r>
      <w:r w:rsidRPr="004204B2">
        <w:rPr>
          <w:lang w:val="es-CR"/>
        </w:rPr>
        <w:t xml:space="preserve">Humberto Sierra Porto, </w:t>
      </w:r>
      <w:r w:rsidRPr="004204B2">
        <w:rPr>
          <w:i/>
          <w:lang w:val="es-CR"/>
        </w:rPr>
        <w:t>La reforma de la Constitución</w:t>
      </w:r>
      <w:r w:rsidRPr="004204B2">
        <w:rPr>
          <w:lang w:val="es-CR"/>
        </w:rPr>
        <w:t>, Bogotá, Instituto de Estudios Constitucionales Carlos Restrepo Piedrahita, 1998, p. 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3717159"/>
      <w:docPartObj>
        <w:docPartGallery w:val="Page Numbers (Top of Page)"/>
        <w:docPartUnique/>
      </w:docPartObj>
    </w:sdtPr>
    <w:sdtEndPr>
      <w:rPr>
        <w:noProof/>
      </w:rPr>
    </w:sdtEndPr>
    <w:sdtContent>
      <w:p w14:paraId="704ED0CB" w14:textId="7595D5B3" w:rsidR="0068647C" w:rsidRDefault="0068647C">
        <w:pPr>
          <w:pStyle w:val="Encabezado"/>
          <w:jc w:val="center"/>
        </w:pPr>
        <w:r>
          <w:fldChar w:fldCharType="begin"/>
        </w:r>
        <w:r>
          <w:instrText xml:space="preserve"> PAGE   \* MERGEFORMAT </w:instrText>
        </w:r>
        <w:r>
          <w:fldChar w:fldCharType="separate"/>
        </w:r>
        <w:r>
          <w:rPr>
            <w:noProof/>
          </w:rPr>
          <w:t>2</w:t>
        </w:r>
        <w:r>
          <w:rPr>
            <w:noProof/>
          </w:rPr>
          <w:fldChar w:fldCharType="end"/>
        </w:r>
      </w:p>
    </w:sdtContent>
  </w:sdt>
  <w:p w14:paraId="67960576" w14:textId="43E9248C" w:rsidR="0068647C" w:rsidRPr="00333304" w:rsidRDefault="0068647C" w:rsidP="00E00EA8">
    <w:pPr>
      <w:pStyle w:val="Encabezado"/>
      <w:tabs>
        <w:tab w:val="clear" w:pos="8838"/>
        <w:tab w:val="right" w:pos="9639"/>
      </w:tabs>
      <w:jc w:val="center"/>
      <w:rPr>
        <w:rFonts w:ascii="Verdana" w:hAnsi="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multilevel"/>
    <w:tmpl w:val="00000008"/>
    <w:name w:val="WW8Num20"/>
    <w:lvl w:ilvl="0">
      <w:start w:val="1"/>
      <w:numFmt w:val="decimal"/>
      <w:pStyle w:val="Estilo4"/>
      <w:lvlText w:val="%1."/>
      <w:lvlJc w:val="left"/>
      <w:pPr>
        <w:tabs>
          <w:tab w:val="num" w:pos="0"/>
        </w:tabs>
        <w:ind w:left="720" w:hanging="360"/>
      </w:pPr>
      <w:rPr>
        <w:rFonts w:ascii="Verdana" w:eastAsia="Calibri" w:hAnsi="Verdana" w:cs="Times New Roman"/>
        <w:b w:val="0"/>
        <w:i w:val="0"/>
        <w:strike w:val="0"/>
        <w:dstrike w:val="0"/>
        <w:color w:val="auto"/>
        <w:sz w:val="20"/>
        <w:szCs w:val="20"/>
      </w:rPr>
    </w:lvl>
    <w:lvl w:ilvl="1">
      <w:start w:val="1"/>
      <w:numFmt w:val="lowerLetter"/>
      <w:lvlText w:val="%2)"/>
      <w:lvlJc w:val="left"/>
      <w:pPr>
        <w:tabs>
          <w:tab w:val="num" w:pos="0"/>
        </w:tabs>
        <w:ind w:left="1440" w:hanging="360"/>
      </w:pPr>
      <w:rPr>
        <w:rFonts w:ascii="Verdana" w:hAnsi="Verdana" w:cs="Times New Roman"/>
        <w:b w:val="0"/>
        <w:i/>
        <w:caps w:val="0"/>
        <w:smallCaps w:val="0"/>
        <w:strike w:val="0"/>
        <w:dstrike w:val="0"/>
        <w:vanish w:val="0"/>
        <w:color w:val="auto"/>
        <w:position w:val="0"/>
        <w:sz w:val="20"/>
        <w:vertAlign w:val="baseline"/>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13171C0"/>
    <w:multiLevelType w:val="hybridMultilevel"/>
    <w:tmpl w:val="F84E5BE0"/>
    <w:lvl w:ilvl="0" w:tplc="2B8267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E40BC"/>
    <w:multiLevelType w:val="hybridMultilevel"/>
    <w:tmpl w:val="0366D748"/>
    <w:lvl w:ilvl="0" w:tplc="B906C71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E68B8"/>
    <w:multiLevelType w:val="hybridMultilevel"/>
    <w:tmpl w:val="7544287C"/>
    <w:lvl w:ilvl="0" w:tplc="43EAE734">
      <w:start w:val="1"/>
      <w:numFmt w:val="lowerRoman"/>
      <w:lvlText w:val="%1)"/>
      <w:lvlJc w:val="left"/>
      <w:pPr>
        <w:ind w:left="1776" w:hanging="360"/>
      </w:pPr>
      <w:rPr>
        <w:rFonts w:hint="default"/>
      </w:rPr>
    </w:lvl>
    <w:lvl w:ilvl="1" w:tplc="140A0019" w:tentative="1">
      <w:start w:val="1"/>
      <w:numFmt w:val="lowerLetter"/>
      <w:lvlText w:val="%2."/>
      <w:lvlJc w:val="left"/>
      <w:pPr>
        <w:ind w:left="2496" w:hanging="360"/>
      </w:pPr>
    </w:lvl>
    <w:lvl w:ilvl="2" w:tplc="140A001B" w:tentative="1">
      <w:start w:val="1"/>
      <w:numFmt w:val="lowerRoman"/>
      <w:lvlText w:val="%3."/>
      <w:lvlJc w:val="right"/>
      <w:pPr>
        <w:ind w:left="3216" w:hanging="180"/>
      </w:pPr>
    </w:lvl>
    <w:lvl w:ilvl="3" w:tplc="140A000F" w:tentative="1">
      <w:start w:val="1"/>
      <w:numFmt w:val="decimal"/>
      <w:lvlText w:val="%4."/>
      <w:lvlJc w:val="left"/>
      <w:pPr>
        <w:ind w:left="3936" w:hanging="360"/>
      </w:pPr>
    </w:lvl>
    <w:lvl w:ilvl="4" w:tplc="140A0019" w:tentative="1">
      <w:start w:val="1"/>
      <w:numFmt w:val="lowerLetter"/>
      <w:lvlText w:val="%5."/>
      <w:lvlJc w:val="left"/>
      <w:pPr>
        <w:ind w:left="4656" w:hanging="360"/>
      </w:pPr>
    </w:lvl>
    <w:lvl w:ilvl="5" w:tplc="140A001B" w:tentative="1">
      <w:start w:val="1"/>
      <w:numFmt w:val="lowerRoman"/>
      <w:lvlText w:val="%6."/>
      <w:lvlJc w:val="right"/>
      <w:pPr>
        <w:ind w:left="5376" w:hanging="180"/>
      </w:pPr>
    </w:lvl>
    <w:lvl w:ilvl="6" w:tplc="140A000F" w:tentative="1">
      <w:start w:val="1"/>
      <w:numFmt w:val="decimal"/>
      <w:lvlText w:val="%7."/>
      <w:lvlJc w:val="left"/>
      <w:pPr>
        <w:ind w:left="6096" w:hanging="360"/>
      </w:pPr>
    </w:lvl>
    <w:lvl w:ilvl="7" w:tplc="140A0019" w:tentative="1">
      <w:start w:val="1"/>
      <w:numFmt w:val="lowerLetter"/>
      <w:lvlText w:val="%8."/>
      <w:lvlJc w:val="left"/>
      <w:pPr>
        <w:ind w:left="6816" w:hanging="360"/>
      </w:pPr>
    </w:lvl>
    <w:lvl w:ilvl="8" w:tplc="140A001B" w:tentative="1">
      <w:start w:val="1"/>
      <w:numFmt w:val="lowerRoman"/>
      <w:lvlText w:val="%9."/>
      <w:lvlJc w:val="right"/>
      <w:pPr>
        <w:ind w:left="7536" w:hanging="180"/>
      </w:pPr>
    </w:lvl>
  </w:abstractNum>
  <w:abstractNum w:abstractNumId="4" w15:restartNumberingAfterBreak="0">
    <w:nsid w:val="074E7427"/>
    <w:multiLevelType w:val="hybridMultilevel"/>
    <w:tmpl w:val="6A4C77B4"/>
    <w:lvl w:ilvl="0" w:tplc="B4E8DDE4">
      <w:start w:val="1"/>
      <w:numFmt w:val="upperRoman"/>
      <w:pStyle w:val="Style1"/>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079F1E49"/>
    <w:multiLevelType w:val="hybridMultilevel"/>
    <w:tmpl w:val="D62255A8"/>
    <w:lvl w:ilvl="0" w:tplc="790E85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1B7E24"/>
    <w:multiLevelType w:val="hybridMultilevel"/>
    <w:tmpl w:val="81AE56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3F788A"/>
    <w:multiLevelType w:val="hybridMultilevel"/>
    <w:tmpl w:val="553C3BD6"/>
    <w:lvl w:ilvl="0" w:tplc="D204976E">
      <w:start w:val="1"/>
      <w:numFmt w:val="decimal"/>
      <w:lvlText w:val="%1."/>
      <w:lvlJc w:val="left"/>
      <w:pPr>
        <w:ind w:left="720" w:hanging="360"/>
      </w:pPr>
      <w:rPr>
        <w:rFonts w:hint="default"/>
        <w:b/>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061086E"/>
    <w:multiLevelType w:val="hybridMultilevel"/>
    <w:tmpl w:val="3704E16C"/>
    <w:lvl w:ilvl="0" w:tplc="F0A69672">
      <w:start w:val="1"/>
      <w:numFmt w:val="decimal"/>
      <w:pStyle w:val="Estilo1"/>
      <w:lvlText w:val="%1."/>
      <w:lvlJc w:val="left"/>
      <w:pPr>
        <w:ind w:left="720" w:hanging="360"/>
      </w:pPr>
      <w:rPr>
        <w:rFonts w:hint="default"/>
      </w:rPr>
    </w:lvl>
    <w:lvl w:ilvl="1" w:tplc="870EC26C">
      <w:start w:val="1"/>
      <w:numFmt w:val="lowerLetter"/>
      <w:lvlText w:val="%2)"/>
      <w:lvlJc w:val="left"/>
      <w:pPr>
        <w:ind w:left="1440" w:hanging="360"/>
      </w:pPr>
      <w:rPr>
        <w:rFonts w:ascii="Times New Roman" w:hAnsi="Times New Roman" w:cs="Times New Roman" w:hint="default"/>
        <w:b w:val="0"/>
        <w:i/>
        <w:sz w:val="24"/>
        <w:szCs w:val="24"/>
      </w:r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9" w15:restartNumberingAfterBreak="0">
    <w:nsid w:val="10B117D1"/>
    <w:multiLevelType w:val="hybridMultilevel"/>
    <w:tmpl w:val="72B2A2B0"/>
    <w:lvl w:ilvl="0" w:tplc="CDACFC98">
      <w:start w:val="1"/>
      <w:numFmt w:val="decimal"/>
      <w:lvlText w:val="%1."/>
      <w:lvlJc w:val="left"/>
      <w:pPr>
        <w:ind w:left="360" w:hanging="360"/>
      </w:pPr>
      <w:rPr>
        <w:rFonts w:ascii="Verdana" w:hAnsi="Verdana" w:hint="default"/>
        <w:b w:val="0"/>
        <w:i w:val="0"/>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36F3EA2"/>
    <w:multiLevelType w:val="hybridMultilevel"/>
    <w:tmpl w:val="D00E4DA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1A736248"/>
    <w:multiLevelType w:val="hybridMultilevel"/>
    <w:tmpl w:val="2132D212"/>
    <w:lvl w:ilvl="0" w:tplc="919A28B4">
      <w:start w:val="1"/>
      <w:numFmt w:val="upperLetter"/>
      <w:lvlText w:val="%1."/>
      <w:lvlJc w:val="left"/>
      <w:pPr>
        <w:ind w:left="360" w:hanging="360"/>
      </w:pPr>
      <w:rPr>
        <w:rFonts w:hint="default"/>
        <w:b/>
        <w:color w:val="auto"/>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2" w15:restartNumberingAfterBreak="0">
    <w:nsid w:val="29BD6209"/>
    <w:multiLevelType w:val="hybridMultilevel"/>
    <w:tmpl w:val="E6B2DE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8A0FDE"/>
    <w:multiLevelType w:val="multilevel"/>
    <w:tmpl w:val="AB28B5F6"/>
    <w:lvl w:ilvl="0">
      <w:start w:val="1"/>
      <w:numFmt w:val="decimal"/>
      <w:lvlText w:val="%1."/>
      <w:lvlJc w:val="left"/>
      <w:pPr>
        <w:ind w:left="720" w:hanging="360"/>
      </w:pPr>
      <w:rPr>
        <w:b/>
        <w:i/>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ECF7D97"/>
    <w:multiLevelType w:val="hybridMultilevel"/>
    <w:tmpl w:val="553C3BD6"/>
    <w:lvl w:ilvl="0" w:tplc="D204976E">
      <w:start w:val="1"/>
      <w:numFmt w:val="decimal"/>
      <w:lvlText w:val="%1."/>
      <w:lvlJc w:val="left"/>
      <w:pPr>
        <w:ind w:left="720" w:hanging="360"/>
      </w:pPr>
      <w:rPr>
        <w:rFonts w:hint="default"/>
        <w:b/>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2650A12"/>
    <w:multiLevelType w:val="hybridMultilevel"/>
    <w:tmpl w:val="C6DA4C48"/>
    <w:lvl w:ilvl="0" w:tplc="E45E64BA">
      <w:start w:val="1"/>
      <w:numFmt w:val="upperLetter"/>
      <w:lvlText w:val="%1."/>
      <w:lvlJc w:val="left"/>
      <w:pPr>
        <w:ind w:left="360" w:hanging="360"/>
      </w:pPr>
      <w:rPr>
        <w:rFonts w:hint="default"/>
        <w:b/>
        <w:color w:val="auto"/>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6" w15:restartNumberingAfterBreak="0">
    <w:nsid w:val="34067608"/>
    <w:multiLevelType w:val="hybridMultilevel"/>
    <w:tmpl w:val="C02AA7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4D0245"/>
    <w:multiLevelType w:val="hybridMultilevel"/>
    <w:tmpl w:val="28FE0B5E"/>
    <w:lvl w:ilvl="0" w:tplc="140A0015">
      <w:start w:val="1"/>
      <w:numFmt w:val="upperLetter"/>
      <w:lvlText w:val="%1."/>
      <w:lvlJc w:val="left"/>
      <w:pPr>
        <w:ind w:left="360" w:hanging="360"/>
      </w:pPr>
      <w:rPr>
        <w:rFonts w:hint="default"/>
        <w:color w:val="auto"/>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8" w15:restartNumberingAfterBreak="0">
    <w:nsid w:val="35F10BB0"/>
    <w:multiLevelType w:val="hybridMultilevel"/>
    <w:tmpl w:val="7C148050"/>
    <w:lvl w:ilvl="0" w:tplc="2564CF7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71026D6"/>
    <w:multiLevelType w:val="hybridMultilevel"/>
    <w:tmpl w:val="B8E8458E"/>
    <w:lvl w:ilvl="0" w:tplc="361AE51A">
      <w:start w:val="1"/>
      <w:numFmt w:val="decimal"/>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0" w15:restartNumberingAfterBreak="0">
    <w:nsid w:val="37C00C97"/>
    <w:multiLevelType w:val="hybridMultilevel"/>
    <w:tmpl w:val="BF5A83F6"/>
    <w:lvl w:ilvl="0" w:tplc="7FECE2E4">
      <w:start w:val="1"/>
      <w:numFmt w:val="lowerLetter"/>
      <w:lvlText w:val="%1)"/>
      <w:lvlJc w:val="left"/>
      <w:pPr>
        <w:ind w:left="720" w:hanging="360"/>
      </w:pPr>
      <w:rPr>
        <w:rFonts w:cs="Aria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39AB1DDC"/>
    <w:multiLevelType w:val="hybridMultilevel"/>
    <w:tmpl w:val="7544287C"/>
    <w:lvl w:ilvl="0" w:tplc="43EAE734">
      <w:start w:val="1"/>
      <w:numFmt w:val="lowerRoman"/>
      <w:lvlText w:val="%1)"/>
      <w:lvlJc w:val="left"/>
      <w:pPr>
        <w:ind w:left="1776" w:hanging="360"/>
      </w:pPr>
      <w:rPr>
        <w:rFonts w:hint="default"/>
      </w:rPr>
    </w:lvl>
    <w:lvl w:ilvl="1" w:tplc="140A0019" w:tentative="1">
      <w:start w:val="1"/>
      <w:numFmt w:val="lowerLetter"/>
      <w:lvlText w:val="%2."/>
      <w:lvlJc w:val="left"/>
      <w:pPr>
        <w:ind w:left="2496" w:hanging="360"/>
      </w:pPr>
    </w:lvl>
    <w:lvl w:ilvl="2" w:tplc="140A001B" w:tentative="1">
      <w:start w:val="1"/>
      <w:numFmt w:val="lowerRoman"/>
      <w:lvlText w:val="%3."/>
      <w:lvlJc w:val="right"/>
      <w:pPr>
        <w:ind w:left="3216" w:hanging="180"/>
      </w:pPr>
    </w:lvl>
    <w:lvl w:ilvl="3" w:tplc="140A000F" w:tentative="1">
      <w:start w:val="1"/>
      <w:numFmt w:val="decimal"/>
      <w:lvlText w:val="%4."/>
      <w:lvlJc w:val="left"/>
      <w:pPr>
        <w:ind w:left="3936" w:hanging="360"/>
      </w:pPr>
    </w:lvl>
    <w:lvl w:ilvl="4" w:tplc="140A0019" w:tentative="1">
      <w:start w:val="1"/>
      <w:numFmt w:val="lowerLetter"/>
      <w:lvlText w:val="%5."/>
      <w:lvlJc w:val="left"/>
      <w:pPr>
        <w:ind w:left="4656" w:hanging="360"/>
      </w:pPr>
    </w:lvl>
    <w:lvl w:ilvl="5" w:tplc="140A001B" w:tentative="1">
      <w:start w:val="1"/>
      <w:numFmt w:val="lowerRoman"/>
      <w:lvlText w:val="%6."/>
      <w:lvlJc w:val="right"/>
      <w:pPr>
        <w:ind w:left="5376" w:hanging="180"/>
      </w:pPr>
    </w:lvl>
    <w:lvl w:ilvl="6" w:tplc="140A000F" w:tentative="1">
      <w:start w:val="1"/>
      <w:numFmt w:val="decimal"/>
      <w:lvlText w:val="%7."/>
      <w:lvlJc w:val="left"/>
      <w:pPr>
        <w:ind w:left="6096" w:hanging="360"/>
      </w:pPr>
    </w:lvl>
    <w:lvl w:ilvl="7" w:tplc="140A0019" w:tentative="1">
      <w:start w:val="1"/>
      <w:numFmt w:val="lowerLetter"/>
      <w:lvlText w:val="%8."/>
      <w:lvlJc w:val="left"/>
      <w:pPr>
        <w:ind w:left="6816" w:hanging="360"/>
      </w:pPr>
    </w:lvl>
    <w:lvl w:ilvl="8" w:tplc="140A001B" w:tentative="1">
      <w:start w:val="1"/>
      <w:numFmt w:val="lowerRoman"/>
      <w:lvlText w:val="%9."/>
      <w:lvlJc w:val="right"/>
      <w:pPr>
        <w:ind w:left="7536" w:hanging="180"/>
      </w:pPr>
    </w:lvl>
  </w:abstractNum>
  <w:abstractNum w:abstractNumId="22" w15:restartNumberingAfterBreak="0">
    <w:nsid w:val="39B34B33"/>
    <w:multiLevelType w:val="hybridMultilevel"/>
    <w:tmpl w:val="12F8F2AA"/>
    <w:lvl w:ilvl="0" w:tplc="2C5ADC88">
      <w:start w:val="1"/>
      <w:numFmt w:val="decimal"/>
      <w:lvlText w:val="%1."/>
      <w:lvlJc w:val="left"/>
      <w:pPr>
        <w:ind w:left="540" w:hanging="360"/>
      </w:pPr>
      <w:rPr>
        <w:rFonts w:ascii="Verdana" w:hAnsi="Verdana" w:hint="default"/>
        <w:b w:val="0"/>
        <w:i w:val="0"/>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A16168"/>
    <w:multiLevelType w:val="hybridMultilevel"/>
    <w:tmpl w:val="EE4EE6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8FCCB44">
      <w:start w:val="1"/>
      <w:numFmt w:val="lowerLetter"/>
      <w:lvlText w:val="%3."/>
      <w:lvlJc w:val="lef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FE78CE"/>
    <w:multiLevelType w:val="hybridMultilevel"/>
    <w:tmpl w:val="3BBAB5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9B713D"/>
    <w:multiLevelType w:val="hybridMultilevel"/>
    <w:tmpl w:val="9704209E"/>
    <w:lvl w:ilvl="0" w:tplc="7E8E8A74">
      <w:start w:val="1"/>
      <w:numFmt w:val="decimal"/>
      <w:pStyle w:val="NormalNumbered"/>
      <w:lvlText w:val="%1."/>
      <w:lvlJc w:val="left"/>
      <w:pPr>
        <w:ind w:left="720" w:hanging="720"/>
      </w:pPr>
      <w:rPr>
        <w:rFonts w:ascii="Verdana" w:hAnsi="Verdana" w:hint="default"/>
        <w:b w:val="0"/>
        <w:i w:val="0"/>
        <w:strike w:val="0"/>
        <w:color w:val="auto"/>
        <w:sz w:val="20"/>
        <w:szCs w:val="2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CFAC7540">
      <w:start w:val="1"/>
      <w:numFmt w:val="decimal"/>
      <w:lvlText w:val="%4."/>
      <w:lvlJc w:val="left"/>
      <w:pPr>
        <w:ind w:left="2520" w:hanging="360"/>
      </w:pPr>
      <w:rPr>
        <w:b/>
        <w:i/>
      </w:r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401B1B35"/>
    <w:multiLevelType w:val="hybridMultilevel"/>
    <w:tmpl w:val="2132D212"/>
    <w:lvl w:ilvl="0" w:tplc="919A28B4">
      <w:start w:val="1"/>
      <w:numFmt w:val="upperLetter"/>
      <w:lvlText w:val="%1."/>
      <w:lvlJc w:val="left"/>
      <w:pPr>
        <w:ind w:left="360" w:hanging="360"/>
      </w:pPr>
      <w:rPr>
        <w:rFonts w:hint="default"/>
        <w:b/>
        <w:color w:val="auto"/>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7" w15:restartNumberingAfterBreak="0">
    <w:nsid w:val="41C2035A"/>
    <w:multiLevelType w:val="hybridMultilevel"/>
    <w:tmpl w:val="A554FE56"/>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43490A00"/>
    <w:multiLevelType w:val="hybridMultilevel"/>
    <w:tmpl w:val="7C148050"/>
    <w:lvl w:ilvl="0" w:tplc="2564CF7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442B6979"/>
    <w:multiLevelType w:val="multilevel"/>
    <w:tmpl w:val="AB28B5F6"/>
    <w:lvl w:ilvl="0">
      <w:start w:val="1"/>
      <w:numFmt w:val="decimal"/>
      <w:lvlText w:val="%1."/>
      <w:lvlJc w:val="left"/>
      <w:pPr>
        <w:ind w:left="720" w:hanging="360"/>
      </w:pPr>
      <w:rPr>
        <w:b/>
        <w:i/>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4A81186"/>
    <w:multiLevelType w:val="hybridMultilevel"/>
    <w:tmpl w:val="0B32DF1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4A027F31"/>
    <w:multiLevelType w:val="hybridMultilevel"/>
    <w:tmpl w:val="D64CAC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7B52B7"/>
    <w:multiLevelType w:val="hybridMultilevel"/>
    <w:tmpl w:val="2A3ED960"/>
    <w:lvl w:ilvl="0" w:tplc="98AA2D10">
      <w:start w:val="151"/>
      <w:numFmt w:val="decimal"/>
      <w:lvlText w:val="%1."/>
      <w:lvlJc w:val="left"/>
      <w:pPr>
        <w:ind w:left="820" w:hanging="4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EB8347C"/>
    <w:multiLevelType w:val="hybridMultilevel"/>
    <w:tmpl w:val="B092464A"/>
    <w:lvl w:ilvl="0" w:tplc="1CB6CE88">
      <w:start w:val="1"/>
      <w:numFmt w:val="low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473D46"/>
    <w:multiLevelType w:val="hybridMultilevel"/>
    <w:tmpl w:val="28FE0B5E"/>
    <w:lvl w:ilvl="0" w:tplc="140A0015">
      <w:start w:val="1"/>
      <w:numFmt w:val="upperLetter"/>
      <w:lvlText w:val="%1."/>
      <w:lvlJc w:val="left"/>
      <w:pPr>
        <w:ind w:left="360" w:hanging="360"/>
      </w:pPr>
      <w:rPr>
        <w:rFonts w:hint="default"/>
        <w:color w:val="auto"/>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5" w15:restartNumberingAfterBreak="0">
    <w:nsid w:val="53552C4B"/>
    <w:multiLevelType w:val="hybridMultilevel"/>
    <w:tmpl w:val="7EAE6BC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5D5835FB"/>
    <w:multiLevelType w:val="hybridMultilevel"/>
    <w:tmpl w:val="1496466C"/>
    <w:lvl w:ilvl="0" w:tplc="43F8F9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50298B"/>
    <w:multiLevelType w:val="hybridMultilevel"/>
    <w:tmpl w:val="9A926182"/>
    <w:lvl w:ilvl="0" w:tplc="2C5ADC88">
      <w:start w:val="1"/>
      <w:numFmt w:val="decimal"/>
      <w:lvlText w:val="%1."/>
      <w:lvlJc w:val="left"/>
      <w:pPr>
        <w:ind w:left="2340" w:hanging="360"/>
      </w:pPr>
      <w:rPr>
        <w:rFonts w:ascii="Verdana" w:hAnsi="Verdana" w:hint="default"/>
        <w:b w:val="0"/>
        <w:i w:val="0"/>
        <w:strike w:val="0"/>
        <w:color w:val="auto"/>
        <w:sz w:val="20"/>
        <w:szCs w:val="20"/>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64EB5A5A"/>
    <w:multiLevelType w:val="hybridMultilevel"/>
    <w:tmpl w:val="151071F4"/>
    <w:lvl w:ilvl="0" w:tplc="E5103F26">
      <w:start w:val="1"/>
      <w:numFmt w:val="lowerLetter"/>
      <w:lvlText w:val="%1)"/>
      <w:lvlJc w:val="left"/>
      <w:pPr>
        <w:ind w:left="1068" w:hanging="360"/>
      </w:pPr>
      <w:rPr>
        <w:rFonts w:hint="default"/>
        <w:i/>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39" w15:restartNumberingAfterBreak="0">
    <w:nsid w:val="680C6FF4"/>
    <w:multiLevelType w:val="hybridMultilevel"/>
    <w:tmpl w:val="0B32DF1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685C4C48"/>
    <w:multiLevelType w:val="hybridMultilevel"/>
    <w:tmpl w:val="28FE0B5E"/>
    <w:lvl w:ilvl="0" w:tplc="140A0015">
      <w:start w:val="1"/>
      <w:numFmt w:val="upperLetter"/>
      <w:lvlText w:val="%1."/>
      <w:lvlJc w:val="left"/>
      <w:pPr>
        <w:ind w:left="360" w:hanging="360"/>
      </w:pPr>
      <w:rPr>
        <w:rFonts w:hint="default"/>
        <w:color w:val="auto"/>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1" w15:restartNumberingAfterBreak="0">
    <w:nsid w:val="6A0342D4"/>
    <w:multiLevelType w:val="hybridMultilevel"/>
    <w:tmpl w:val="4E023912"/>
    <w:lvl w:ilvl="0" w:tplc="C6928D1E">
      <w:start w:val="12"/>
      <w:numFmt w:val="decimal"/>
      <w:lvlText w:val="%1."/>
      <w:lvlJc w:val="left"/>
      <w:pPr>
        <w:ind w:left="540" w:hanging="360"/>
      </w:pPr>
      <w:rPr>
        <w:rFonts w:hint="default"/>
        <w:b w:val="0"/>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74E66EF9"/>
    <w:multiLevelType w:val="hybridMultilevel"/>
    <w:tmpl w:val="0B60C32C"/>
    <w:lvl w:ilvl="0" w:tplc="101E98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DF4FB2"/>
    <w:multiLevelType w:val="hybridMultilevel"/>
    <w:tmpl w:val="C324B6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354707"/>
    <w:multiLevelType w:val="hybridMultilevel"/>
    <w:tmpl w:val="2D522CAE"/>
    <w:lvl w:ilvl="0" w:tplc="8E2CDAEA">
      <w:start w:val="1"/>
      <w:numFmt w:val="decimal"/>
      <w:lvlText w:val="%1."/>
      <w:lvlJc w:val="left"/>
      <w:pPr>
        <w:ind w:left="825" w:hanging="825"/>
      </w:pPr>
      <w:rPr>
        <w:rFonts w:eastAsia="Verdana" w:cs="Verdana"/>
        <w:b w:val="0"/>
        <w:i w:val="0"/>
        <w:color w:val="auto"/>
        <w:sz w:val="20"/>
        <w:szCs w:val="20"/>
        <w:lang w:val="es-ES_tradnl"/>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5" w15:restartNumberingAfterBreak="0">
    <w:nsid w:val="7A1E2E5A"/>
    <w:multiLevelType w:val="hybridMultilevel"/>
    <w:tmpl w:val="735C140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6" w15:restartNumberingAfterBreak="0">
    <w:nsid w:val="7B9A2054"/>
    <w:multiLevelType w:val="hybridMultilevel"/>
    <w:tmpl w:val="C96CC97E"/>
    <w:lvl w:ilvl="0" w:tplc="5C8A9954">
      <w:start w:val="1"/>
      <w:numFmt w:val="low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7" w15:restartNumberingAfterBreak="0">
    <w:nsid w:val="7C2D1FE5"/>
    <w:multiLevelType w:val="hybridMultilevel"/>
    <w:tmpl w:val="8EF6EB3C"/>
    <w:lvl w:ilvl="0" w:tplc="399A4540">
      <w:start w:val="1"/>
      <w:numFmt w:val="decimal"/>
      <w:lvlText w:val="%1."/>
      <w:lvlJc w:val="left"/>
      <w:pPr>
        <w:ind w:left="360" w:hanging="360"/>
      </w:pPr>
      <w:rPr>
        <w:rFonts w:ascii="Verdana" w:hAnsi="Verdana" w:hint="default"/>
        <w:b w:val="0"/>
        <w:i w:val="0"/>
        <w:strike w:val="0"/>
        <w:color w:val="auto"/>
        <w:sz w:val="20"/>
        <w:szCs w:val="20"/>
        <w:lang w:val="es-C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37"/>
  </w:num>
  <w:num w:numId="2">
    <w:abstractNumId w:val="3"/>
  </w:num>
  <w:num w:numId="3">
    <w:abstractNumId w:val="8"/>
  </w:num>
  <w:num w:numId="4">
    <w:abstractNumId w:val="38"/>
  </w:num>
  <w:num w:numId="5">
    <w:abstractNumId w:val="21"/>
  </w:num>
  <w:num w:numId="6">
    <w:abstractNumId w:val="25"/>
  </w:num>
  <w:num w:numId="7">
    <w:abstractNumId w:val="14"/>
  </w:num>
  <w:num w:numId="8">
    <w:abstractNumId w:val="11"/>
  </w:num>
  <w:num w:numId="9">
    <w:abstractNumId w:val="18"/>
  </w:num>
  <w:num w:numId="10">
    <w:abstractNumId w:val="34"/>
  </w:num>
  <w:num w:numId="11">
    <w:abstractNumId w:val="29"/>
  </w:num>
  <w:num w:numId="12">
    <w:abstractNumId w:val="17"/>
  </w:num>
  <w:num w:numId="13">
    <w:abstractNumId w:val="15"/>
  </w:num>
  <w:num w:numId="14">
    <w:abstractNumId w:val="30"/>
  </w:num>
  <w:num w:numId="15">
    <w:abstractNumId w:val="39"/>
  </w:num>
  <w:num w:numId="16">
    <w:abstractNumId w:val="47"/>
  </w:num>
  <w:num w:numId="17">
    <w:abstractNumId w:val="45"/>
  </w:num>
  <w:num w:numId="18">
    <w:abstractNumId w:val="28"/>
  </w:num>
  <w:num w:numId="19">
    <w:abstractNumId w:val="26"/>
  </w:num>
  <w:num w:numId="20">
    <w:abstractNumId w:val="7"/>
  </w:num>
  <w:num w:numId="21">
    <w:abstractNumId w:val="23"/>
  </w:num>
  <w:num w:numId="22">
    <w:abstractNumId w:val="19"/>
  </w:num>
  <w:num w:numId="23">
    <w:abstractNumId w:val="40"/>
  </w:num>
  <w:num w:numId="24">
    <w:abstractNumId w:val="13"/>
  </w:num>
  <w:num w:numId="25">
    <w:abstractNumId w:val="4"/>
  </w:num>
  <w:num w:numId="26">
    <w:abstractNumId w:val="22"/>
  </w:num>
  <w:num w:numId="27">
    <w:abstractNumId w:val="41"/>
  </w:num>
  <w:num w:numId="28">
    <w:abstractNumId w:val="9"/>
  </w:num>
  <w:num w:numId="29">
    <w:abstractNumId w:val="0"/>
  </w:num>
  <w:num w:numId="30">
    <w:abstractNumId w:val="32"/>
  </w:num>
  <w:num w:numId="31">
    <w:abstractNumId w:val="36"/>
  </w:num>
  <w:num w:numId="32">
    <w:abstractNumId w:val="1"/>
  </w:num>
  <w:num w:numId="33">
    <w:abstractNumId w:val="31"/>
  </w:num>
  <w:num w:numId="34">
    <w:abstractNumId w:val="42"/>
  </w:num>
  <w:num w:numId="35">
    <w:abstractNumId w:val="5"/>
  </w:num>
  <w:num w:numId="36">
    <w:abstractNumId w:val="27"/>
  </w:num>
  <w:num w:numId="37">
    <w:abstractNumId w:val="10"/>
  </w:num>
  <w:num w:numId="38">
    <w:abstractNumId w:val="20"/>
  </w:num>
  <w:num w:numId="39">
    <w:abstractNumId w:val="35"/>
  </w:num>
  <w:num w:numId="40">
    <w:abstractNumId w:val="2"/>
  </w:num>
  <w:num w:numId="41">
    <w:abstractNumId w:val="12"/>
  </w:num>
  <w:num w:numId="42">
    <w:abstractNumId w:val="16"/>
  </w:num>
  <w:num w:numId="43">
    <w:abstractNumId w:val="43"/>
  </w:num>
  <w:num w:numId="44">
    <w:abstractNumId w:val="6"/>
  </w:num>
  <w:num w:numId="45">
    <w:abstractNumId w:val="24"/>
  </w:num>
  <w:num w:numId="46">
    <w:abstractNumId w:val="33"/>
  </w:num>
  <w:num w:numId="47">
    <w:abstractNumId w:val="46"/>
  </w:num>
  <w:num w:numId="48">
    <w:abstractNumId w:val="4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8AE"/>
    <w:rsid w:val="000002AB"/>
    <w:rsid w:val="000019B8"/>
    <w:rsid w:val="00002299"/>
    <w:rsid w:val="000023EA"/>
    <w:rsid w:val="00002A87"/>
    <w:rsid w:val="00002AEC"/>
    <w:rsid w:val="00003343"/>
    <w:rsid w:val="00003A50"/>
    <w:rsid w:val="00004054"/>
    <w:rsid w:val="00004729"/>
    <w:rsid w:val="00005E18"/>
    <w:rsid w:val="000105DA"/>
    <w:rsid w:val="0001084D"/>
    <w:rsid w:val="0001219F"/>
    <w:rsid w:val="000125F4"/>
    <w:rsid w:val="00012864"/>
    <w:rsid w:val="00014D33"/>
    <w:rsid w:val="0001522B"/>
    <w:rsid w:val="00015422"/>
    <w:rsid w:val="00022E44"/>
    <w:rsid w:val="00022E85"/>
    <w:rsid w:val="000236F0"/>
    <w:rsid w:val="00024BA4"/>
    <w:rsid w:val="00024BCE"/>
    <w:rsid w:val="00024D13"/>
    <w:rsid w:val="000258D5"/>
    <w:rsid w:val="000259C0"/>
    <w:rsid w:val="000270BE"/>
    <w:rsid w:val="00027310"/>
    <w:rsid w:val="0002779D"/>
    <w:rsid w:val="0003030B"/>
    <w:rsid w:val="00031A38"/>
    <w:rsid w:val="00032301"/>
    <w:rsid w:val="00032FC5"/>
    <w:rsid w:val="00033029"/>
    <w:rsid w:val="000347A6"/>
    <w:rsid w:val="00034E2C"/>
    <w:rsid w:val="00035F05"/>
    <w:rsid w:val="00037BE7"/>
    <w:rsid w:val="00040861"/>
    <w:rsid w:val="00045AAF"/>
    <w:rsid w:val="00045D80"/>
    <w:rsid w:val="00046517"/>
    <w:rsid w:val="0004677C"/>
    <w:rsid w:val="0004796D"/>
    <w:rsid w:val="0005040F"/>
    <w:rsid w:val="00050930"/>
    <w:rsid w:val="00050C63"/>
    <w:rsid w:val="00052B35"/>
    <w:rsid w:val="00052EDE"/>
    <w:rsid w:val="00052F47"/>
    <w:rsid w:val="00053B34"/>
    <w:rsid w:val="00053F73"/>
    <w:rsid w:val="00054656"/>
    <w:rsid w:val="00055479"/>
    <w:rsid w:val="000607A3"/>
    <w:rsid w:val="00060845"/>
    <w:rsid w:val="00060E86"/>
    <w:rsid w:val="00061C0D"/>
    <w:rsid w:val="00061E9C"/>
    <w:rsid w:val="0006276C"/>
    <w:rsid w:val="00062C2B"/>
    <w:rsid w:val="00064854"/>
    <w:rsid w:val="00065A47"/>
    <w:rsid w:val="00071FC7"/>
    <w:rsid w:val="00072C85"/>
    <w:rsid w:val="000736F9"/>
    <w:rsid w:val="00073967"/>
    <w:rsid w:val="00075E68"/>
    <w:rsid w:val="000761D8"/>
    <w:rsid w:val="00076B91"/>
    <w:rsid w:val="000779FE"/>
    <w:rsid w:val="00077AE4"/>
    <w:rsid w:val="0008054E"/>
    <w:rsid w:val="0008093F"/>
    <w:rsid w:val="0008108C"/>
    <w:rsid w:val="000828BB"/>
    <w:rsid w:val="00083067"/>
    <w:rsid w:val="00083BFD"/>
    <w:rsid w:val="0008781B"/>
    <w:rsid w:val="00087FDE"/>
    <w:rsid w:val="000909C0"/>
    <w:rsid w:val="00094281"/>
    <w:rsid w:val="000944EB"/>
    <w:rsid w:val="000962FC"/>
    <w:rsid w:val="00097299"/>
    <w:rsid w:val="0009733A"/>
    <w:rsid w:val="00097496"/>
    <w:rsid w:val="0009769F"/>
    <w:rsid w:val="000A037E"/>
    <w:rsid w:val="000A0627"/>
    <w:rsid w:val="000A121A"/>
    <w:rsid w:val="000A123A"/>
    <w:rsid w:val="000A1CFF"/>
    <w:rsid w:val="000A4ED7"/>
    <w:rsid w:val="000A5561"/>
    <w:rsid w:val="000A6399"/>
    <w:rsid w:val="000A6A6B"/>
    <w:rsid w:val="000B0045"/>
    <w:rsid w:val="000B0E4B"/>
    <w:rsid w:val="000B1116"/>
    <w:rsid w:val="000B13C9"/>
    <w:rsid w:val="000B2D2B"/>
    <w:rsid w:val="000B2E5E"/>
    <w:rsid w:val="000B550A"/>
    <w:rsid w:val="000B57A8"/>
    <w:rsid w:val="000B6950"/>
    <w:rsid w:val="000B6E5E"/>
    <w:rsid w:val="000B71FF"/>
    <w:rsid w:val="000B7886"/>
    <w:rsid w:val="000B79C0"/>
    <w:rsid w:val="000B7D3A"/>
    <w:rsid w:val="000C066A"/>
    <w:rsid w:val="000C1712"/>
    <w:rsid w:val="000C2193"/>
    <w:rsid w:val="000C25CD"/>
    <w:rsid w:val="000C37A8"/>
    <w:rsid w:val="000C39FB"/>
    <w:rsid w:val="000C4960"/>
    <w:rsid w:val="000C55DD"/>
    <w:rsid w:val="000C5B9B"/>
    <w:rsid w:val="000C6082"/>
    <w:rsid w:val="000C7D52"/>
    <w:rsid w:val="000D0470"/>
    <w:rsid w:val="000D2262"/>
    <w:rsid w:val="000D2883"/>
    <w:rsid w:val="000D2957"/>
    <w:rsid w:val="000D2B93"/>
    <w:rsid w:val="000D35BC"/>
    <w:rsid w:val="000D5155"/>
    <w:rsid w:val="000D5308"/>
    <w:rsid w:val="000D589F"/>
    <w:rsid w:val="000D6295"/>
    <w:rsid w:val="000D64E2"/>
    <w:rsid w:val="000D66BE"/>
    <w:rsid w:val="000D6F59"/>
    <w:rsid w:val="000E07C3"/>
    <w:rsid w:val="000E13A2"/>
    <w:rsid w:val="000E3E5B"/>
    <w:rsid w:val="000E40FD"/>
    <w:rsid w:val="000E46C0"/>
    <w:rsid w:val="000E4E66"/>
    <w:rsid w:val="000E65AB"/>
    <w:rsid w:val="000E696E"/>
    <w:rsid w:val="000E7144"/>
    <w:rsid w:val="000E7A82"/>
    <w:rsid w:val="000F013E"/>
    <w:rsid w:val="000F07FC"/>
    <w:rsid w:val="000F0B45"/>
    <w:rsid w:val="000F0C1B"/>
    <w:rsid w:val="000F0D48"/>
    <w:rsid w:val="000F0E92"/>
    <w:rsid w:val="000F1536"/>
    <w:rsid w:val="000F1CD7"/>
    <w:rsid w:val="000F2FEA"/>
    <w:rsid w:val="000F37B6"/>
    <w:rsid w:val="000F3B50"/>
    <w:rsid w:val="000F3BC0"/>
    <w:rsid w:val="000F6922"/>
    <w:rsid w:val="000F6BE2"/>
    <w:rsid w:val="00101A57"/>
    <w:rsid w:val="0010266E"/>
    <w:rsid w:val="001029CB"/>
    <w:rsid w:val="00103419"/>
    <w:rsid w:val="00103C07"/>
    <w:rsid w:val="00104B54"/>
    <w:rsid w:val="00105C32"/>
    <w:rsid w:val="00105EB6"/>
    <w:rsid w:val="0010653B"/>
    <w:rsid w:val="00107236"/>
    <w:rsid w:val="00107DC7"/>
    <w:rsid w:val="00111387"/>
    <w:rsid w:val="0011223E"/>
    <w:rsid w:val="00115071"/>
    <w:rsid w:val="001160AC"/>
    <w:rsid w:val="00116500"/>
    <w:rsid w:val="0011787C"/>
    <w:rsid w:val="00121DDF"/>
    <w:rsid w:val="00123204"/>
    <w:rsid w:val="0012321C"/>
    <w:rsid w:val="00123E68"/>
    <w:rsid w:val="001268E2"/>
    <w:rsid w:val="00127816"/>
    <w:rsid w:val="00127E65"/>
    <w:rsid w:val="00131ED1"/>
    <w:rsid w:val="001323FA"/>
    <w:rsid w:val="00133C67"/>
    <w:rsid w:val="00134E25"/>
    <w:rsid w:val="0013567C"/>
    <w:rsid w:val="00135F73"/>
    <w:rsid w:val="00137D50"/>
    <w:rsid w:val="00140481"/>
    <w:rsid w:val="001404D3"/>
    <w:rsid w:val="00140E92"/>
    <w:rsid w:val="00140FAD"/>
    <w:rsid w:val="00141BBB"/>
    <w:rsid w:val="001423EE"/>
    <w:rsid w:val="001433B9"/>
    <w:rsid w:val="001452AD"/>
    <w:rsid w:val="00146708"/>
    <w:rsid w:val="00146D98"/>
    <w:rsid w:val="00150F4F"/>
    <w:rsid w:val="0015138B"/>
    <w:rsid w:val="00151407"/>
    <w:rsid w:val="0015166D"/>
    <w:rsid w:val="00154B4B"/>
    <w:rsid w:val="001570BC"/>
    <w:rsid w:val="0015750D"/>
    <w:rsid w:val="00157FEA"/>
    <w:rsid w:val="00161225"/>
    <w:rsid w:val="001625FE"/>
    <w:rsid w:val="00162D2F"/>
    <w:rsid w:val="00164726"/>
    <w:rsid w:val="00164911"/>
    <w:rsid w:val="00165427"/>
    <w:rsid w:val="00166BC5"/>
    <w:rsid w:val="00167383"/>
    <w:rsid w:val="00167DA1"/>
    <w:rsid w:val="00170630"/>
    <w:rsid w:val="00170AA6"/>
    <w:rsid w:val="001712B9"/>
    <w:rsid w:val="00171480"/>
    <w:rsid w:val="00172797"/>
    <w:rsid w:val="0017313D"/>
    <w:rsid w:val="001736DB"/>
    <w:rsid w:val="00175E75"/>
    <w:rsid w:val="0017650D"/>
    <w:rsid w:val="00180CED"/>
    <w:rsid w:val="00180F30"/>
    <w:rsid w:val="001819F5"/>
    <w:rsid w:val="00182CDB"/>
    <w:rsid w:val="0018405A"/>
    <w:rsid w:val="00184C1D"/>
    <w:rsid w:val="00185A57"/>
    <w:rsid w:val="00186103"/>
    <w:rsid w:val="00187515"/>
    <w:rsid w:val="00190091"/>
    <w:rsid w:val="00190426"/>
    <w:rsid w:val="0019166C"/>
    <w:rsid w:val="001923AA"/>
    <w:rsid w:val="00194946"/>
    <w:rsid w:val="00196CB2"/>
    <w:rsid w:val="00196FD8"/>
    <w:rsid w:val="001976D7"/>
    <w:rsid w:val="00197772"/>
    <w:rsid w:val="00197983"/>
    <w:rsid w:val="001A071E"/>
    <w:rsid w:val="001A0F14"/>
    <w:rsid w:val="001A17CF"/>
    <w:rsid w:val="001A3B36"/>
    <w:rsid w:val="001A4CEE"/>
    <w:rsid w:val="001A575D"/>
    <w:rsid w:val="001A63C6"/>
    <w:rsid w:val="001A7BD5"/>
    <w:rsid w:val="001B0492"/>
    <w:rsid w:val="001B0C1A"/>
    <w:rsid w:val="001B2ECD"/>
    <w:rsid w:val="001B3862"/>
    <w:rsid w:val="001B4407"/>
    <w:rsid w:val="001B45F8"/>
    <w:rsid w:val="001B481A"/>
    <w:rsid w:val="001B4F85"/>
    <w:rsid w:val="001B66ED"/>
    <w:rsid w:val="001B7816"/>
    <w:rsid w:val="001C02D2"/>
    <w:rsid w:val="001C0C19"/>
    <w:rsid w:val="001C0F23"/>
    <w:rsid w:val="001C1450"/>
    <w:rsid w:val="001C2604"/>
    <w:rsid w:val="001C2C32"/>
    <w:rsid w:val="001C3FBD"/>
    <w:rsid w:val="001C4C36"/>
    <w:rsid w:val="001C4DB9"/>
    <w:rsid w:val="001C4F51"/>
    <w:rsid w:val="001C532B"/>
    <w:rsid w:val="001C6F7E"/>
    <w:rsid w:val="001C745E"/>
    <w:rsid w:val="001C75E4"/>
    <w:rsid w:val="001C7BA0"/>
    <w:rsid w:val="001D01D4"/>
    <w:rsid w:val="001D03B7"/>
    <w:rsid w:val="001D1B96"/>
    <w:rsid w:val="001D4D46"/>
    <w:rsid w:val="001D51F0"/>
    <w:rsid w:val="001D52F2"/>
    <w:rsid w:val="001D7929"/>
    <w:rsid w:val="001D7E0B"/>
    <w:rsid w:val="001E0683"/>
    <w:rsid w:val="001E300B"/>
    <w:rsid w:val="001E3B42"/>
    <w:rsid w:val="001E446C"/>
    <w:rsid w:val="001E44D3"/>
    <w:rsid w:val="001E6B93"/>
    <w:rsid w:val="001E7758"/>
    <w:rsid w:val="001F25C7"/>
    <w:rsid w:val="001F3785"/>
    <w:rsid w:val="002016F7"/>
    <w:rsid w:val="00201E36"/>
    <w:rsid w:val="00202DFB"/>
    <w:rsid w:val="00205207"/>
    <w:rsid w:val="00206C81"/>
    <w:rsid w:val="00206FA9"/>
    <w:rsid w:val="0021044B"/>
    <w:rsid w:val="00211B0D"/>
    <w:rsid w:val="00211D6F"/>
    <w:rsid w:val="002131CC"/>
    <w:rsid w:val="00214130"/>
    <w:rsid w:val="00215464"/>
    <w:rsid w:val="002168E2"/>
    <w:rsid w:val="002174DF"/>
    <w:rsid w:val="002177F1"/>
    <w:rsid w:val="002178D0"/>
    <w:rsid w:val="00220883"/>
    <w:rsid w:val="0022183E"/>
    <w:rsid w:val="00223110"/>
    <w:rsid w:val="0022356C"/>
    <w:rsid w:val="00224537"/>
    <w:rsid w:val="00225A4A"/>
    <w:rsid w:val="002275FD"/>
    <w:rsid w:val="00227C33"/>
    <w:rsid w:val="00230981"/>
    <w:rsid w:val="00231B6A"/>
    <w:rsid w:val="00231BC6"/>
    <w:rsid w:val="00232933"/>
    <w:rsid w:val="00232AA2"/>
    <w:rsid w:val="00232B57"/>
    <w:rsid w:val="002333FA"/>
    <w:rsid w:val="00233E17"/>
    <w:rsid w:val="00234C85"/>
    <w:rsid w:val="00235744"/>
    <w:rsid w:val="0023583A"/>
    <w:rsid w:val="00237D6A"/>
    <w:rsid w:val="00240326"/>
    <w:rsid w:val="0024080C"/>
    <w:rsid w:val="00242D23"/>
    <w:rsid w:val="002462AE"/>
    <w:rsid w:val="00247DF4"/>
    <w:rsid w:val="002500C7"/>
    <w:rsid w:val="002517A8"/>
    <w:rsid w:val="00253AC7"/>
    <w:rsid w:val="00254723"/>
    <w:rsid w:val="00254C79"/>
    <w:rsid w:val="00260920"/>
    <w:rsid w:val="00260A24"/>
    <w:rsid w:val="00261A99"/>
    <w:rsid w:val="002621F7"/>
    <w:rsid w:val="0026230A"/>
    <w:rsid w:val="002628BE"/>
    <w:rsid w:val="00262F28"/>
    <w:rsid w:val="00263A21"/>
    <w:rsid w:val="00266456"/>
    <w:rsid w:val="00266BAF"/>
    <w:rsid w:val="00270810"/>
    <w:rsid w:val="00272383"/>
    <w:rsid w:val="00274864"/>
    <w:rsid w:val="00274C5F"/>
    <w:rsid w:val="00274DC1"/>
    <w:rsid w:val="002759BB"/>
    <w:rsid w:val="00275EDE"/>
    <w:rsid w:val="002761B9"/>
    <w:rsid w:val="00276E3E"/>
    <w:rsid w:val="00277432"/>
    <w:rsid w:val="002800C9"/>
    <w:rsid w:val="00280ACD"/>
    <w:rsid w:val="00283B4A"/>
    <w:rsid w:val="00285CB6"/>
    <w:rsid w:val="00287FFD"/>
    <w:rsid w:val="0029022D"/>
    <w:rsid w:val="00290346"/>
    <w:rsid w:val="00290945"/>
    <w:rsid w:val="00291A57"/>
    <w:rsid w:val="002939FC"/>
    <w:rsid w:val="00294239"/>
    <w:rsid w:val="002947A2"/>
    <w:rsid w:val="002960FD"/>
    <w:rsid w:val="00297DC1"/>
    <w:rsid w:val="002A08A9"/>
    <w:rsid w:val="002A2C65"/>
    <w:rsid w:val="002A3B2C"/>
    <w:rsid w:val="002A5C41"/>
    <w:rsid w:val="002A6179"/>
    <w:rsid w:val="002A7B50"/>
    <w:rsid w:val="002A7E63"/>
    <w:rsid w:val="002A7EAF"/>
    <w:rsid w:val="002B0476"/>
    <w:rsid w:val="002B35AD"/>
    <w:rsid w:val="002B373E"/>
    <w:rsid w:val="002B3A4D"/>
    <w:rsid w:val="002B70F4"/>
    <w:rsid w:val="002B7E57"/>
    <w:rsid w:val="002C05F1"/>
    <w:rsid w:val="002C1087"/>
    <w:rsid w:val="002C1303"/>
    <w:rsid w:val="002C19F3"/>
    <w:rsid w:val="002C1BB3"/>
    <w:rsid w:val="002C289A"/>
    <w:rsid w:val="002C2D83"/>
    <w:rsid w:val="002C371D"/>
    <w:rsid w:val="002C3F2B"/>
    <w:rsid w:val="002C4F7B"/>
    <w:rsid w:val="002C57C4"/>
    <w:rsid w:val="002C5EA9"/>
    <w:rsid w:val="002C7E4F"/>
    <w:rsid w:val="002D0D83"/>
    <w:rsid w:val="002D2339"/>
    <w:rsid w:val="002D3638"/>
    <w:rsid w:val="002D3CB7"/>
    <w:rsid w:val="002D5935"/>
    <w:rsid w:val="002D7359"/>
    <w:rsid w:val="002D74B2"/>
    <w:rsid w:val="002E04A3"/>
    <w:rsid w:val="002E0C6A"/>
    <w:rsid w:val="002E0CD5"/>
    <w:rsid w:val="002E20CE"/>
    <w:rsid w:val="002E2250"/>
    <w:rsid w:val="002E365F"/>
    <w:rsid w:val="002E51C1"/>
    <w:rsid w:val="002E7463"/>
    <w:rsid w:val="002E7FAC"/>
    <w:rsid w:val="002F09B4"/>
    <w:rsid w:val="002F123A"/>
    <w:rsid w:val="002F1386"/>
    <w:rsid w:val="002F2ACD"/>
    <w:rsid w:val="002F2E2B"/>
    <w:rsid w:val="002F2FA5"/>
    <w:rsid w:val="002F31BD"/>
    <w:rsid w:val="002F34A4"/>
    <w:rsid w:val="002F3D8B"/>
    <w:rsid w:val="002F59B2"/>
    <w:rsid w:val="002F5C4C"/>
    <w:rsid w:val="002F6229"/>
    <w:rsid w:val="002F6EA6"/>
    <w:rsid w:val="00300C98"/>
    <w:rsid w:val="00301DBE"/>
    <w:rsid w:val="00302E5C"/>
    <w:rsid w:val="00303670"/>
    <w:rsid w:val="00304025"/>
    <w:rsid w:val="003055FB"/>
    <w:rsid w:val="0030635D"/>
    <w:rsid w:val="00307039"/>
    <w:rsid w:val="0030723E"/>
    <w:rsid w:val="0030747A"/>
    <w:rsid w:val="00310297"/>
    <w:rsid w:val="00310519"/>
    <w:rsid w:val="003118DC"/>
    <w:rsid w:val="00312792"/>
    <w:rsid w:val="00314A91"/>
    <w:rsid w:val="00314E87"/>
    <w:rsid w:val="00315AC2"/>
    <w:rsid w:val="00315E10"/>
    <w:rsid w:val="00316614"/>
    <w:rsid w:val="00317073"/>
    <w:rsid w:val="003178A5"/>
    <w:rsid w:val="00321C31"/>
    <w:rsid w:val="0032208A"/>
    <w:rsid w:val="00323675"/>
    <w:rsid w:val="00324758"/>
    <w:rsid w:val="00324C88"/>
    <w:rsid w:val="003260EB"/>
    <w:rsid w:val="00326D8F"/>
    <w:rsid w:val="0033023E"/>
    <w:rsid w:val="003303DB"/>
    <w:rsid w:val="00330467"/>
    <w:rsid w:val="003304E1"/>
    <w:rsid w:val="00330CDA"/>
    <w:rsid w:val="003313D0"/>
    <w:rsid w:val="003315AC"/>
    <w:rsid w:val="00331C63"/>
    <w:rsid w:val="00331DEE"/>
    <w:rsid w:val="00332CCF"/>
    <w:rsid w:val="00332EE5"/>
    <w:rsid w:val="00333304"/>
    <w:rsid w:val="0033330B"/>
    <w:rsid w:val="00334B6C"/>
    <w:rsid w:val="00336071"/>
    <w:rsid w:val="003404FE"/>
    <w:rsid w:val="00341769"/>
    <w:rsid w:val="00341FCF"/>
    <w:rsid w:val="00341FEB"/>
    <w:rsid w:val="00342464"/>
    <w:rsid w:val="00343744"/>
    <w:rsid w:val="0034509C"/>
    <w:rsid w:val="0034646D"/>
    <w:rsid w:val="0034768C"/>
    <w:rsid w:val="00347E6E"/>
    <w:rsid w:val="003506CC"/>
    <w:rsid w:val="00351902"/>
    <w:rsid w:val="003531AF"/>
    <w:rsid w:val="003545D5"/>
    <w:rsid w:val="003556A9"/>
    <w:rsid w:val="00356269"/>
    <w:rsid w:val="003566D4"/>
    <w:rsid w:val="00356FC4"/>
    <w:rsid w:val="0035747E"/>
    <w:rsid w:val="00360553"/>
    <w:rsid w:val="003610EB"/>
    <w:rsid w:val="00362670"/>
    <w:rsid w:val="003626D7"/>
    <w:rsid w:val="00362A18"/>
    <w:rsid w:val="00362CB4"/>
    <w:rsid w:val="00363C3C"/>
    <w:rsid w:val="00363DED"/>
    <w:rsid w:val="00364D8A"/>
    <w:rsid w:val="00364E76"/>
    <w:rsid w:val="00365853"/>
    <w:rsid w:val="00366D34"/>
    <w:rsid w:val="00366EA8"/>
    <w:rsid w:val="00367B98"/>
    <w:rsid w:val="0037238D"/>
    <w:rsid w:val="00374FC9"/>
    <w:rsid w:val="00380D3E"/>
    <w:rsid w:val="003811C4"/>
    <w:rsid w:val="003825D7"/>
    <w:rsid w:val="00382741"/>
    <w:rsid w:val="00382989"/>
    <w:rsid w:val="00383A35"/>
    <w:rsid w:val="00386930"/>
    <w:rsid w:val="003904DE"/>
    <w:rsid w:val="003906A1"/>
    <w:rsid w:val="00390A82"/>
    <w:rsid w:val="00390C38"/>
    <w:rsid w:val="00390E29"/>
    <w:rsid w:val="00392009"/>
    <w:rsid w:val="00392AAF"/>
    <w:rsid w:val="00392C24"/>
    <w:rsid w:val="00392E5B"/>
    <w:rsid w:val="00394DA9"/>
    <w:rsid w:val="0039549C"/>
    <w:rsid w:val="00395E3F"/>
    <w:rsid w:val="00397193"/>
    <w:rsid w:val="003971D5"/>
    <w:rsid w:val="00397BCB"/>
    <w:rsid w:val="003A0C49"/>
    <w:rsid w:val="003A34C7"/>
    <w:rsid w:val="003A77AB"/>
    <w:rsid w:val="003B0A07"/>
    <w:rsid w:val="003B0D08"/>
    <w:rsid w:val="003B3688"/>
    <w:rsid w:val="003B4734"/>
    <w:rsid w:val="003B4978"/>
    <w:rsid w:val="003B4A52"/>
    <w:rsid w:val="003B4ECF"/>
    <w:rsid w:val="003B63A1"/>
    <w:rsid w:val="003B71A3"/>
    <w:rsid w:val="003B7A85"/>
    <w:rsid w:val="003B7C84"/>
    <w:rsid w:val="003C06FD"/>
    <w:rsid w:val="003C196D"/>
    <w:rsid w:val="003C19AE"/>
    <w:rsid w:val="003C2143"/>
    <w:rsid w:val="003C2CE9"/>
    <w:rsid w:val="003C2EF7"/>
    <w:rsid w:val="003C3E7B"/>
    <w:rsid w:val="003C5FD8"/>
    <w:rsid w:val="003C6062"/>
    <w:rsid w:val="003C647E"/>
    <w:rsid w:val="003C6CFD"/>
    <w:rsid w:val="003C72ED"/>
    <w:rsid w:val="003C73E4"/>
    <w:rsid w:val="003D0046"/>
    <w:rsid w:val="003D0BD5"/>
    <w:rsid w:val="003D1B6E"/>
    <w:rsid w:val="003D1F89"/>
    <w:rsid w:val="003D3E71"/>
    <w:rsid w:val="003D55AE"/>
    <w:rsid w:val="003D5B17"/>
    <w:rsid w:val="003D72A5"/>
    <w:rsid w:val="003E08EE"/>
    <w:rsid w:val="003E0A5B"/>
    <w:rsid w:val="003E1D24"/>
    <w:rsid w:val="003E3243"/>
    <w:rsid w:val="003E4AF2"/>
    <w:rsid w:val="003E51D3"/>
    <w:rsid w:val="003E678C"/>
    <w:rsid w:val="003E6855"/>
    <w:rsid w:val="003E68B9"/>
    <w:rsid w:val="003E7242"/>
    <w:rsid w:val="003E792C"/>
    <w:rsid w:val="003E79D2"/>
    <w:rsid w:val="003F07AD"/>
    <w:rsid w:val="003F0DD6"/>
    <w:rsid w:val="003F1022"/>
    <w:rsid w:val="003F11AA"/>
    <w:rsid w:val="003F1212"/>
    <w:rsid w:val="003F1454"/>
    <w:rsid w:val="003F1EFC"/>
    <w:rsid w:val="003F425B"/>
    <w:rsid w:val="003F44BE"/>
    <w:rsid w:val="003F4B21"/>
    <w:rsid w:val="003F5593"/>
    <w:rsid w:val="003F682B"/>
    <w:rsid w:val="003F7407"/>
    <w:rsid w:val="003F7516"/>
    <w:rsid w:val="003F7ADB"/>
    <w:rsid w:val="00401656"/>
    <w:rsid w:val="00405B4C"/>
    <w:rsid w:val="0041024B"/>
    <w:rsid w:val="004108F1"/>
    <w:rsid w:val="00410937"/>
    <w:rsid w:val="00410A3F"/>
    <w:rsid w:val="004120AB"/>
    <w:rsid w:val="00412DA2"/>
    <w:rsid w:val="00413274"/>
    <w:rsid w:val="004136CD"/>
    <w:rsid w:val="00414544"/>
    <w:rsid w:val="00414B6B"/>
    <w:rsid w:val="00414D52"/>
    <w:rsid w:val="004150B7"/>
    <w:rsid w:val="00415910"/>
    <w:rsid w:val="00415A4D"/>
    <w:rsid w:val="004169EF"/>
    <w:rsid w:val="00416CFF"/>
    <w:rsid w:val="00417290"/>
    <w:rsid w:val="004177E3"/>
    <w:rsid w:val="004204B2"/>
    <w:rsid w:val="004205B3"/>
    <w:rsid w:val="00423D89"/>
    <w:rsid w:val="004252BA"/>
    <w:rsid w:val="00430DEE"/>
    <w:rsid w:val="00430EA0"/>
    <w:rsid w:val="00431AE6"/>
    <w:rsid w:val="00432C64"/>
    <w:rsid w:val="00432FF5"/>
    <w:rsid w:val="0043307C"/>
    <w:rsid w:val="00433131"/>
    <w:rsid w:val="00433FD8"/>
    <w:rsid w:val="004341CA"/>
    <w:rsid w:val="0043442C"/>
    <w:rsid w:val="004354AD"/>
    <w:rsid w:val="00435644"/>
    <w:rsid w:val="00440D99"/>
    <w:rsid w:val="00440E54"/>
    <w:rsid w:val="00441744"/>
    <w:rsid w:val="00441E62"/>
    <w:rsid w:val="00442264"/>
    <w:rsid w:val="00442B7E"/>
    <w:rsid w:val="00443AF9"/>
    <w:rsid w:val="00443E75"/>
    <w:rsid w:val="00444309"/>
    <w:rsid w:val="004443C5"/>
    <w:rsid w:val="004446F4"/>
    <w:rsid w:val="00444E07"/>
    <w:rsid w:val="00445E0E"/>
    <w:rsid w:val="0044642C"/>
    <w:rsid w:val="0044649E"/>
    <w:rsid w:val="00446B52"/>
    <w:rsid w:val="00446E9C"/>
    <w:rsid w:val="004471D4"/>
    <w:rsid w:val="0044733E"/>
    <w:rsid w:val="00447C65"/>
    <w:rsid w:val="00450C8D"/>
    <w:rsid w:val="00452C95"/>
    <w:rsid w:val="004533E1"/>
    <w:rsid w:val="00456458"/>
    <w:rsid w:val="00456D38"/>
    <w:rsid w:val="00461469"/>
    <w:rsid w:val="00461EE2"/>
    <w:rsid w:val="00462432"/>
    <w:rsid w:val="0046282D"/>
    <w:rsid w:val="00464BB4"/>
    <w:rsid w:val="00466606"/>
    <w:rsid w:val="00466F26"/>
    <w:rsid w:val="0046780A"/>
    <w:rsid w:val="00470F22"/>
    <w:rsid w:val="00471E40"/>
    <w:rsid w:val="00472DD3"/>
    <w:rsid w:val="0047382F"/>
    <w:rsid w:val="00473A96"/>
    <w:rsid w:val="00473B78"/>
    <w:rsid w:val="00473D38"/>
    <w:rsid w:val="004747DD"/>
    <w:rsid w:val="00474832"/>
    <w:rsid w:val="00474F8F"/>
    <w:rsid w:val="004775E5"/>
    <w:rsid w:val="00477775"/>
    <w:rsid w:val="004800B8"/>
    <w:rsid w:val="004806A6"/>
    <w:rsid w:val="0048243B"/>
    <w:rsid w:val="004848D5"/>
    <w:rsid w:val="004854A5"/>
    <w:rsid w:val="00485545"/>
    <w:rsid w:val="004860C3"/>
    <w:rsid w:val="004868B2"/>
    <w:rsid w:val="00487AE7"/>
    <w:rsid w:val="00490432"/>
    <w:rsid w:val="00491D41"/>
    <w:rsid w:val="00491E38"/>
    <w:rsid w:val="004926D0"/>
    <w:rsid w:val="00497BE5"/>
    <w:rsid w:val="004A065B"/>
    <w:rsid w:val="004A0AE4"/>
    <w:rsid w:val="004A2BD6"/>
    <w:rsid w:val="004A39B2"/>
    <w:rsid w:val="004A47FF"/>
    <w:rsid w:val="004A5823"/>
    <w:rsid w:val="004B000A"/>
    <w:rsid w:val="004B01AC"/>
    <w:rsid w:val="004B1195"/>
    <w:rsid w:val="004B26ED"/>
    <w:rsid w:val="004B406E"/>
    <w:rsid w:val="004B5238"/>
    <w:rsid w:val="004B7F3B"/>
    <w:rsid w:val="004C2A78"/>
    <w:rsid w:val="004C2B15"/>
    <w:rsid w:val="004C3F47"/>
    <w:rsid w:val="004C40E2"/>
    <w:rsid w:val="004C4F1C"/>
    <w:rsid w:val="004C544A"/>
    <w:rsid w:val="004C58EF"/>
    <w:rsid w:val="004C5CF1"/>
    <w:rsid w:val="004D173C"/>
    <w:rsid w:val="004D3179"/>
    <w:rsid w:val="004D3227"/>
    <w:rsid w:val="004D4497"/>
    <w:rsid w:val="004D45E8"/>
    <w:rsid w:val="004D6730"/>
    <w:rsid w:val="004D6B60"/>
    <w:rsid w:val="004D704D"/>
    <w:rsid w:val="004E08D8"/>
    <w:rsid w:val="004E0B95"/>
    <w:rsid w:val="004E0FC9"/>
    <w:rsid w:val="004E1E6A"/>
    <w:rsid w:val="004E1FFE"/>
    <w:rsid w:val="004E2087"/>
    <w:rsid w:val="004E3685"/>
    <w:rsid w:val="004E38FB"/>
    <w:rsid w:val="004E3D28"/>
    <w:rsid w:val="004E4E2E"/>
    <w:rsid w:val="004E6587"/>
    <w:rsid w:val="004E7321"/>
    <w:rsid w:val="004E7ECD"/>
    <w:rsid w:val="004F04A6"/>
    <w:rsid w:val="004F060B"/>
    <w:rsid w:val="004F26DD"/>
    <w:rsid w:val="004F270D"/>
    <w:rsid w:val="004F2839"/>
    <w:rsid w:val="004F2E09"/>
    <w:rsid w:val="004F3EAC"/>
    <w:rsid w:val="004F3F27"/>
    <w:rsid w:val="0050137A"/>
    <w:rsid w:val="0050194F"/>
    <w:rsid w:val="00501AB0"/>
    <w:rsid w:val="00501FE4"/>
    <w:rsid w:val="005021ED"/>
    <w:rsid w:val="00503305"/>
    <w:rsid w:val="0050364F"/>
    <w:rsid w:val="00505D3F"/>
    <w:rsid w:val="00506907"/>
    <w:rsid w:val="00506A72"/>
    <w:rsid w:val="00507831"/>
    <w:rsid w:val="0051047A"/>
    <w:rsid w:val="00510F96"/>
    <w:rsid w:val="00510F9C"/>
    <w:rsid w:val="00511A2A"/>
    <w:rsid w:val="0051233A"/>
    <w:rsid w:val="005169B2"/>
    <w:rsid w:val="00517048"/>
    <w:rsid w:val="00517952"/>
    <w:rsid w:val="00520024"/>
    <w:rsid w:val="005201D6"/>
    <w:rsid w:val="00520841"/>
    <w:rsid w:val="005210DB"/>
    <w:rsid w:val="00521B85"/>
    <w:rsid w:val="00521C24"/>
    <w:rsid w:val="00522399"/>
    <w:rsid w:val="00523BC0"/>
    <w:rsid w:val="00523E85"/>
    <w:rsid w:val="00523F19"/>
    <w:rsid w:val="00524EDB"/>
    <w:rsid w:val="0052581B"/>
    <w:rsid w:val="00526EFB"/>
    <w:rsid w:val="005276CB"/>
    <w:rsid w:val="00527C33"/>
    <w:rsid w:val="00530F28"/>
    <w:rsid w:val="0053101F"/>
    <w:rsid w:val="00531FC3"/>
    <w:rsid w:val="00535854"/>
    <w:rsid w:val="00535D1F"/>
    <w:rsid w:val="005401CF"/>
    <w:rsid w:val="00541607"/>
    <w:rsid w:val="00541658"/>
    <w:rsid w:val="00542623"/>
    <w:rsid w:val="00542996"/>
    <w:rsid w:val="00542EAF"/>
    <w:rsid w:val="005453DF"/>
    <w:rsid w:val="0054602A"/>
    <w:rsid w:val="00546247"/>
    <w:rsid w:val="005463D0"/>
    <w:rsid w:val="0054644B"/>
    <w:rsid w:val="00546532"/>
    <w:rsid w:val="005467CF"/>
    <w:rsid w:val="005469D2"/>
    <w:rsid w:val="00547C2C"/>
    <w:rsid w:val="0055376B"/>
    <w:rsid w:val="00554133"/>
    <w:rsid w:val="005571BA"/>
    <w:rsid w:val="00557859"/>
    <w:rsid w:val="00557A07"/>
    <w:rsid w:val="005604AA"/>
    <w:rsid w:val="0056094E"/>
    <w:rsid w:val="00560B59"/>
    <w:rsid w:val="00560FDE"/>
    <w:rsid w:val="00562583"/>
    <w:rsid w:val="005630CE"/>
    <w:rsid w:val="00564330"/>
    <w:rsid w:val="00564925"/>
    <w:rsid w:val="00566247"/>
    <w:rsid w:val="00567794"/>
    <w:rsid w:val="00570D5E"/>
    <w:rsid w:val="00573306"/>
    <w:rsid w:val="00573EC4"/>
    <w:rsid w:val="0057485C"/>
    <w:rsid w:val="00577DD8"/>
    <w:rsid w:val="00580DA5"/>
    <w:rsid w:val="00581040"/>
    <w:rsid w:val="005810EE"/>
    <w:rsid w:val="005833C9"/>
    <w:rsid w:val="0058370E"/>
    <w:rsid w:val="00584602"/>
    <w:rsid w:val="005848A5"/>
    <w:rsid w:val="00584B8B"/>
    <w:rsid w:val="00585E16"/>
    <w:rsid w:val="00586A6D"/>
    <w:rsid w:val="00587255"/>
    <w:rsid w:val="00587B73"/>
    <w:rsid w:val="00587F59"/>
    <w:rsid w:val="0059018A"/>
    <w:rsid w:val="00590489"/>
    <w:rsid w:val="00590D60"/>
    <w:rsid w:val="0059220E"/>
    <w:rsid w:val="00593C00"/>
    <w:rsid w:val="00594FD5"/>
    <w:rsid w:val="00595D0B"/>
    <w:rsid w:val="00595FF3"/>
    <w:rsid w:val="005967AA"/>
    <w:rsid w:val="0059763E"/>
    <w:rsid w:val="005A0EB4"/>
    <w:rsid w:val="005A1C14"/>
    <w:rsid w:val="005A4D40"/>
    <w:rsid w:val="005B0EF8"/>
    <w:rsid w:val="005B36AE"/>
    <w:rsid w:val="005B3D37"/>
    <w:rsid w:val="005B3F73"/>
    <w:rsid w:val="005B7F73"/>
    <w:rsid w:val="005C2069"/>
    <w:rsid w:val="005C2BBE"/>
    <w:rsid w:val="005C4615"/>
    <w:rsid w:val="005C48F9"/>
    <w:rsid w:val="005C581C"/>
    <w:rsid w:val="005C5923"/>
    <w:rsid w:val="005C675A"/>
    <w:rsid w:val="005C7DB1"/>
    <w:rsid w:val="005D0332"/>
    <w:rsid w:val="005D0ACD"/>
    <w:rsid w:val="005D0F69"/>
    <w:rsid w:val="005D1BDE"/>
    <w:rsid w:val="005D1E63"/>
    <w:rsid w:val="005D2214"/>
    <w:rsid w:val="005D293B"/>
    <w:rsid w:val="005D2ACE"/>
    <w:rsid w:val="005D409E"/>
    <w:rsid w:val="005D45A8"/>
    <w:rsid w:val="005D5543"/>
    <w:rsid w:val="005D67B6"/>
    <w:rsid w:val="005D6D94"/>
    <w:rsid w:val="005D72FB"/>
    <w:rsid w:val="005E46C9"/>
    <w:rsid w:val="005E7D90"/>
    <w:rsid w:val="005F0356"/>
    <w:rsid w:val="005F0B9D"/>
    <w:rsid w:val="005F0BEE"/>
    <w:rsid w:val="005F1167"/>
    <w:rsid w:val="005F3326"/>
    <w:rsid w:val="005F361A"/>
    <w:rsid w:val="005F370B"/>
    <w:rsid w:val="005F3BC6"/>
    <w:rsid w:val="005F40B2"/>
    <w:rsid w:val="005F52EC"/>
    <w:rsid w:val="005F5BD6"/>
    <w:rsid w:val="00601138"/>
    <w:rsid w:val="006021AA"/>
    <w:rsid w:val="00602389"/>
    <w:rsid w:val="0060277E"/>
    <w:rsid w:val="00602F2B"/>
    <w:rsid w:val="00604459"/>
    <w:rsid w:val="006047B3"/>
    <w:rsid w:val="006047B7"/>
    <w:rsid w:val="00604FFA"/>
    <w:rsid w:val="00605218"/>
    <w:rsid w:val="00605981"/>
    <w:rsid w:val="00606920"/>
    <w:rsid w:val="00606E2F"/>
    <w:rsid w:val="00607A55"/>
    <w:rsid w:val="00610895"/>
    <w:rsid w:val="006110B2"/>
    <w:rsid w:val="00611E9F"/>
    <w:rsid w:val="00612244"/>
    <w:rsid w:val="0061303F"/>
    <w:rsid w:val="0061456F"/>
    <w:rsid w:val="00616FBB"/>
    <w:rsid w:val="0062065E"/>
    <w:rsid w:val="00620DC9"/>
    <w:rsid w:val="006218C8"/>
    <w:rsid w:val="00622991"/>
    <w:rsid w:val="00622A50"/>
    <w:rsid w:val="00624163"/>
    <w:rsid w:val="0062551F"/>
    <w:rsid w:val="00625FAD"/>
    <w:rsid w:val="006274B7"/>
    <w:rsid w:val="00627E5D"/>
    <w:rsid w:val="006301C3"/>
    <w:rsid w:val="006307A3"/>
    <w:rsid w:val="00630957"/>
    <w:rsid w:val="00633DC9"/>
    <w:rsid w:val="006358F8"/>
    <w:rsid w:val="00636C30"/>
    <w:rsid w:val="0063732D"/>
    <w:rsid w:val="00637639"/>
    <w:rsid w:val="00637B35"/>
    <w:rsid w:val="006407BD"/>
    <w:rsid w:val="006415B4"/>
    <w:rsid w:val="006416BA"/>
    <w:rsid w:val="006427A3"/>
    <w:rsid w:val="006436CA"/>
    <w:rsid w:val="0064458D"/>
    <w:rsid w:val="006448F1"/>
    <w:rsid w:val="00646397"/>
    <w:rsid w:val="00646454"/>
    <w:rsid w:val="006465EF"/>
    <w:rsid w:val="00647AF2"/>
    <w:rsid w:val="006528A8"/>
    <w:rsid w:val="00653496"/>
    <w:rsid w:val="00653B63"/>
    <w:rsid w:val="006543C8"/>
    <w:rsid w:val="006543DC"/>
    <w:rsid w:val="00654A2E"/>
    <w:rsid w:val="006554B8"/>
    <w:rsid w:val="00655F82"/>
    <w:rsid w:val="00657172"/>
    <w:rsid w:val="0065727E"/>
    <w:rsid w:val="00660483"/>
    <w:rsid w:val="00661092"/>
    <w:rsid w:val="00663984"/>
    <w:rsid w:val="00663F1E"/>
    <w:rsid w:val="00664C48"/>
    <w:rsid w:val="006665C4"/>
    <w:rsid w:val="006701AD"/>
    <w:rsid w:val="00671B14"/>
    <w:rsid w:val="00671FCE"/>
    <w:rsid w:val="00674572"/>
    <w:rsid w:val="00674E77"/>
    <w:rsid w:val="0067646F"/>
    <w:rsid w:val="0067754F"/>
    <w:rsid w:val="006779E6"/>
    <w:rsid w:val="006801FB"/>
    <w:rsid w:val="006804CE"/>
    <w:rsid w:val="00681490"/>
    <w:rsid w:val="006823BC"/>
    <w:rsid w:val="0068572C"/>
    <w:rsid w:val="00685C1B"/>
    <w:rsid w:val="00685D4D"/>
    <w:rsid w:val="006862BC"/>
    <w:rsid w:val="0068647C"/>
    <w:rsid w:val="00687684"/>
    <w:rsid w:val="00691B72"/>
    <w:rsid w:val="0069374A"/>
    <w:rsid w:val="00693A30"/>
    <w:rsid w:val="00693FC6"/>
    <w:rsid w:val="006948D3"/>
    <w:rsid w:val="00695B39"/>
    <w:rsid w:val="00695EFB"/>
    <w:rsid w:val="00696BC7"/>
    <w:rsid w:val="006A0B40"/>
    <w:rsid w:val="006A28D4"/>
    <w:rsid w:val="006A2D03"/>
    <w:rsid w:val="006A43F5"/>
    <w:rsid w:val="006A4718"/>
    <w:rsid w:val="006A4744"/>
    <w:rsid w:val="006A6FC7"/>
    <w:rsid w:val="006A7D7C"/>
    <w:rsid w:val="006A7D7E"/>
    <w:rsid w:val="006B0242"/>
    <w:rsid w:val="006B10D1"/>
    <w:rsid w:val="006B14A1"/>
    <w:rsid w:val="006B1DAB"/>
    <w:rsid w:val="006B3095"/>
    <w:rsid w:val="006B3CE6"/>
    <w:rsid w:val="006B4D8C"/>
    <w:rsid w:val="006B5AB5"/>
    <w:rsid w:val="006B6319"/>
    <w:rsid w:val="006B755F"/>
    <w:rsid w:val="006B7D3C"/>
    <w:rsid w:val="006B7F68"/>
    <w:rsid w:val="006C04C1"/>
    <w:rsid w:val="006C25F6"/>
    <w:rsid w:val="006C2680"/>
    <w:rsid w:val="006C2E34"/>
    <w:rsid w:val="006C4F05"/>
    <w:rsid w:val="006C6373"/>
    <w:rsid w:val="006C6825"/>
    <w:rsid w:val="006C70C5"/>
    <w:rsid w:val="006C7E59"/>
    <w:rsid w:val="006D0010"/>
    <w:rsid w:val="006D08CA"/>
    <w:rsid w:val="006D12B9"/>
    <w:rsid w:val="006D23CE"/>
    <w:rsid w:val="006D2CF3"/>
    <w:rsid w:val="006D2CFE"/>
    <w:rsid w:val="006D5615"/>
    <w:rsid w:val="006D61BA"/>
    <w:rsid w:val="006D6498"/>
    <w:rsid w:val="006D67CF"/>
    <w:rsid w:val="006E13AD"/>
    <w:rsid w:val="006E194D"/>
    <w:rsid w:val="006E4208"/>
    <w:rsid w:val="006E4687"/>
    <w:rsid w:val="006E5ECF"/>
    <w:rsid w:val="006F030D"/>
    <w:rsid w:val="006F2773"/>
    <w:rsid w:val="006F2EA3"/>
    <w:rsid w:val="006F3392"/>
    <w:rsid w:val="006F3D39"/>
    <w:rsid w:val="006F45A7"/>
    <w:rsid w:val="006F4F1B"/>
    <w:rsid w:val="006F503A"/>
    <w:rsid w:val="006F6FD2"/>
    <w:rsid w:val="006F79F4"/>
    <w:rsid w:val="006F7BE4"/>
    <w:rsid w:val="006F7E52"/>
    <w:rsid w:val="006F7F35"/>
    <w:rsid w:val="00700175"/>
    <w:rsid w:val="007013E2"/>
    <w:rsid w:val="00701B94"/>
    <w:rsid w:val="00703C2A"/>
    <w:rsid w:val="00704FF2"/>
    <w:rsid w:val="00705592"/>
    <w:rsid w:val="00706ED3"/>
    <w:rsid w:val="007072D2"/>
    <w:rsid w:val="00707ADC"/>
    <w:rsid w:val="00711B21"/>
    <w:rsid w:val="0071446B"/>
    <w:rsid w:val="00715661"/>
    <w:rsid w:val="0071598A"/>
    <w:rsid w:val="00716B2F"/>
    <w:rsid w:val="00717715"/>
    <w:rsid w:val="0072147D"/>
    <w:rsid w:val="00722A4A"/>
    <w:rsid w:val="00725FB9"/>
    <w:rsid w:val="00726A7B"/>
    <w:rsid w:val="007277E3"/>
    <w:rsid w:val="007279B4"/>
    <w:rsid w:val="00730CA2"/>
    <w:rsid w:val="00730D77"/>
    <w:rsid w:val="0073168F"/>
    <w:rsid w:val="00731ADA"/>
    <w:rsid w:val="00731D4E"/>
    <w:rsid w:val="0073406A"/>
    <w:rsid w:val="00734FDA"/>
    <w:rsid w:val="0073572D"/>
    <w:rsid w:val="00735A70"/>
    <w:rsid w:val="007406F9"/>
    <w:rsid w:val="00740A0C"/>
    <w:rsid w:val="00740C5A"/>
    <w:rsid w:val="00741787"/>
    <w:rsid w:val="007418CB"/>
    <w:rsid w:val="007422B9"/>
    <w:rsid w:val="00742E20"/>
    <w:rsid w:val="00745FB9"/>
    <w:rsid w:val="007472EE"/>
    <w:rsid w:val="00747383"/>
    <w:rsid w:val="00751089"/>
    <w:rsid w:val="00751D6D"/>
    <w:rsid w:val="00752D43"/>
    <w:rsid w:val="00752DAA"/>
    <w:rsid w:val="00752DD2"/>
    <w:rsid w:val="007535FA"/>
    <w:rsid w:val="00753933"/>
    <w:rsid w:val="00753FC6"/>
    <w:rsid w:val="00754CAA"/>
    <w:rsid w:val="00755C5A"/>
    <w:rsid w:val="0075627E"/>
    <w:rsid w:val="00756404"/>
    <w:rsid w:val="00756501"/>
    <w:rsid w:val="0075730C"/>
    <w:rsid w:val="00761589"/>
    <w:rsid w:val="00762DE9"/>
    <w:rsid w:val="00763019"/>
    <w:rsid w:val="00765331"/>
    <w:rsid w:val="00765E59"/>
    <w:rsid w:val="00766372"/>
    <w:rsid w:val="0076651B"/>
    <w:rsid w:val="00772258"/>
    <w:rsid w:val="0077510C"/>
    <w:rsid w:val="00775643"/>
    <w:rsid w:val="00776055"/>
    <w:rsid w:val="0077645C"/>
    <w:rsid w:val="0077648D"/>
    <w:rsid w:val="00776947"/>
    <w:rsid w:val="00776E17"/>
    <w:rsid w:val="007777F8"/>
    <w:rsid w:val="0078053A"/>
    <w:rsid w:val="00780C61"/>
    <w:rsid w:val="00781178"/>
    <w:rsid w:val="00785445"/>
    <w:rsid w:val="0078745D"/>
    <w:rsid w:val="00787FF6"/>
    <w:rsid w:val="007912F7"/>
    <w:rsid w:val="007916DC"/>
    <w:rsid w:val="007922F4"/>
    <w:rsid w:val="00792736"/>
    <w:rsid w:val="00792F8F"/>
    <w:rsid w:val="00793256"/>
    <w:rsid w:val="00794206"/>
    <w:rsid w:val="0079458D"/>
    <w:rsid w:val="00795658"/>
    <w:rsid w:val="00795E3D"/>
    <w:rsid w:val="0079676D"/>
    <w:rsid w:val="0079757D"/>
    <w:rsid w:val="007A21DE"/>
    <w:rsid w:val="007A25C3"/>
    <w:rsid w:val="007A2909"/>
    <w:rsid w:val="007A2AEE"/>
    <w:rsid w:val="007A2B35"/>
    <w:rsid w:val="007A36B4"/>
    <w:rsid w:val="007A4CF1"/>
    <w:rsid w:val="007A568E"/>
    <w:rsid w:val="007A6FDA"/>
    <w:rsid w:val="007A74D0"/>
    <w:rsid w:val="007A790B"/>
    <w:rsid w:val="007B33B5"/>
    <w:rsid w:val="007B458A"/>
    <w:rsid w:val="007B50A5"/>
    <w:rsid w:val="007B644B"/>
    <w:rsid w:val="007C0391"/>
    <w:rsid w:val="007C0A26"/>
    <w:rsid w:val="007C10CE"/>
    <w:rsid w:val="007C1297"/>
    <w:rsid w:val="007C3FF2"/>
    <w:rsid w:val="007C5857"/>
    <w:rsid w:val="007C6623"/>
    <w:rsid w:val="007C68E6"/>
    <w:rsid w:val="007C7027"/>
    <w:rsid w:val="007C7916"/>
    <w:rsid w:val="007D0E72"/>
    <w:rsid w:val="007D464E"/>
    <w:rsid w:val="007D51F9"/>
    <w:rsid w:val="007D5791"/>
    <w:rsid w:val="007D630F"/>
    <w:rsid w:val="007D6ABA"/>
    <w:rsid w:val="007D7DA8"/>
    <w:rsid w:val="007D7DF2"/>
    <w:rsid w:val="007E0655"/>
    <w:rsid w:val="007E0ADF"/>
    <w:rsid w:val="007E0EA8"/>
    <w:rsid w:val="007E1B37"/>
    <w:rsid w:val="007E23BB"/>
    <w:rsid w:val="007E39F5"/>
    <w:rsid w:val="007E39FD"/>
    <w:rsid w:val="007E4DD3"/>
    <w:rsid w:val="007E674E"/>
    <w:rsid w:val="007E67ED"/>
    <w:rsid w:val="007E6DFD"/>
    <w:rsid w:val="007E7865"/>
    <w:rsid w:val="007F027B"/>
    <w:rsid w:val="007F0648"/>
    <w:rsid w:val="007F067F"/>
    <w:rsid w:val="007F2826"/>
    <w:rsid w:val="007F3588"/>
    <w:rsid w:val="007F4663"/>
    <w:rsid w:val="007F5545"/>
    <w:rsid w:val="007F5C54"/>
    <w:rsid w:val="007F5D36"/>
    <w:rsid w:val="007F6AF9"/>
    <w:rsid w:val="007F7307"/>
    <w:rsid w:val="007F7D71"/>
    <w:rsid w:val="007F7FBD"/>
    <w:rsid w:val="00800076"/>
    <w:rsid w:val="00800BB7"/>
    <w:rsid w:val="00801513"/>
    <w:rsid w:val="008018A8"/>
    <w:rsid w:val="00801C46"/>
    <w:rsid w:val="00803FF0"/>
    <w:rsid w:val="00804590"/>
    <w:rsid w:val="00804E37"/>
    <w:rsid w:val="00805907"/>
    <w:rsid w:val="00805920"/>
    <w:rsid w:val="008076EF"/>
    <w:rsid w:val="00807B52"/>
    <w:rsid w:val="008107B9"/>
    <w:rsid w:val="00812E27"/>
    <w:rsid w:val="008131D0"/>
    <w:rsid w:val="00813D8D"/>
    <w:rsid w:val="008147AE"/>
    <w:rsid w:val="00815B20"/>
    <w:rsid w:val="008168A7"/>
    <w:rsid w:val="00817AA4"/>
    <w:rsid w:val="008203C6"/>
    <w:rsid w:val="00820B95"/>
    <w:rsid w:val="008221EB"/>
    <w:rsid w:val="00823E88"/>
    <w:rsid w:val="00825A0F"/>
    <w:rsid w:val="00826C61"/>
    <w:rsid w:val="00826DCD"/>
    <w:rsid w:val="008303A0"/>
    <w:rsid w:val="00830CF2"/>
    <w:rsid w:val="00831F3A"/>
    <w:rsid w:val="00833F28"/>
    <w:rsid w:val="008345B6"/>
    <w:rsid w:val="008352BB"/>
    <w:rsid w:val="008352D0"/>
    <w:rsid w:val="008352F8"/>
    <w:rsid w:val="00836233"/>
    <w:rsid w:val="00836E6F"/>
    <w:rsid w:val="00837E52"/>
    <w:rsid w:val="00837E87"/>
    <w:rsid w:val="008405CB"/>
    <w:rsid w:val="00840749"/>
    <w:rsid w:val="00840D15"/>
    <w:rsid w:val="0084406D"/>
    <w:rsid w:val="00844874"/>
    <w:rsid w:val="0084584E"/>
    <w:rsid w:val="008476EE"/>
    <w:rsid w:val="00847AEA"/>
    <w:rsid w:val="00847D0C"/>
    <w:rsid w:val="00850750"/>
    <w:rsid w:val="00852CCA"/>
    <w:rsid w:val="00852E42"/>
    <w:rsid w:val="00853A1C"/>
    <w:rsid w:val="008551F7"/>
    <w:rsid w:val="008560FF"/>
    <w:rsid w:val="00856546"/>
    <w:rsid w:val="0085656E"/>
    <w:rsid w:val="00857530"/>
    <w:rsid w:val="008579A2"/>
    <w:rsid w:val="00857C27"/>
    <w:rsid w:val="0086299F"/>
    <w:rsid w:val="00862C9E"/>
    <w:rsid w:val="008633AC"/>
    <w:rsid w:val="008638D8"/>
    <w:rsid w:val="00863902"/>
    <w:rsid w:val="0086411F"/>
    <w:rsid w:val="008644E8"/>
    <w:rsid w:val="0086485F"/>
    <w:rsid w:val="008656C4"/>
    <w:rsid w:val="0086743E"/>
    <w:rsid w:val="00870AF1"/>
    <w:rsid w:val="00871B35"/>
    <w:rsid w:val="00871CFD"/>
    <w:rsid w:val="00871F9C"/>
    <w:rsid w:val="0087339F"/>
    <w:rsid w:val="00873AAD"/>
    <w:rsid w:val="00875485"/>
    <w:rsid w:val="00875782"/>
    <w:rsid w:val="0087666E"/>
    <w:rsid w:val="00877BD9"/>
    <w:rsid w:val="00880163"/>
    <w:rsid w:val="00880261"/>
    <w:rsid w:val="008817D4"/>
    <w:rsid w:val="0088184E"/>
    <w:rsid w:val="00881A39"/>
    <w:rsid w:val="00882F3B"/>
    <w:rsid w:val="00882FB7"/>
    <w:rsid w:val="00883C20"/>
    <w:rsid w:val="00884188"/>
    <w:rsid w:val="008846D2"/>
    <w:rsid w:val="0088470C"/>
    <w:rsid w:val="00886C14"/>
    <w:rsid w:val="0088700B"/>
    <w:rsid w:val="00887221"/>
    <w:rsid w:val="0089179B"/>
    <w:rsid w:val="0089338A"/>
    <w:rsid w:val="0089444E"/>
    <w:rsid w:val="008947E3"/>
    <w:rsid w:val="00894D26"/>
    <w:rsid w:val="00895F4C"/>
    <w:rsid w:val="00897912"/>
    <w:rsid w:val="00897D5F"/>
    <w:rsid w:val="00897EE7"/>
    <w:rsid w:val="008A0E87"/>
    <w:rsid w:val="008A1C18"/>
    <w:rsid w:val="008A1FBC"/>
    <w:rsid w:val="008A2576"/>
    <w:rsid w:val="008A451A"/>
    <w:rsid w:val="008A661B"/>
    <w:rsid w:val="008A6FFA"/>
    <w:rsid w:val="008A7A4B"/>
    <w:rsid w:val="008A7A52"/>
    <w:rsid w:val="008B2ED2"/>
    <w:rsid w:val="008B38F5"/>
    <w:rsid w:val="008B4058"/>
    <w:rsid w:val="008B4269"/>
    <w:rsid w:val="008B574B"/>
    <w:rsid w:val="008B63E1"/>
    <w:rsid w:val="008B7337"/>
    <w:rsid w:val="008C2527"/>
    <w:rsid w:val="008C32E3"/>
    <w:rsid w:val="008C33CE"/>
    <w:rsid w:val="008C4F66"/>
    <w:rsid w:val="008C770D"/>
    <w:rsid w:val="008D084E"/>
    <w:rsid w:val="008D1A55"/>
    <w:rsid w:val="008D1FB1"/>
    <w:rsid w:val="008D2D6F"/>
    <w:rsid w:val="008D2F2C"/>
    <w:rsid w:val="008D4A99"/>
    <w:rsid w:val="008D4FD7"/>
    <w:rsid w:val="008D6117"/>
    <w:rsid w:val="008D705A"/>
    <w:rsid w:val="008D7ED4"/>
    <w:rsid w:val="008E0F63"/>
    <w:rsid w:val="008E143F"/>
    <w:rsid w:val="008E18C3"/>
    <w:rsid w:val="008E40D7"/>
    <w:rsid w:val="008E5890"/>
    <w:rsid w:val="008E7B41"/>
    <w:rsid w:val="008E7DF8"/>
    <w:rsid w:val="008F1812"/>
    <w:rsid w:val="008F1B5B"/>
    <w:rsid w:val="008F3A2C"/>
    <w:rsid w:val="008F4B6C"/>
    <w:rsid w:val="008F53F4"/>
    <w:rsid w:val="00900CB9"/>
    <w:rsid w:val="00900E26"/>
    <w:rsid w:val="00901386"/>
    <w:rsid w:val="00901D13"/>
    <w:rsid w:val="00902899"/>
    <w:rsid w:val="00902A59"/>
    <w:rsid w:val="009037F8"/>
    <w:rsid w:val="009053E1"/>
    <w:rsid w:val="00906BFC"/>
    <w:rsid w:val="00906C0E"/>
    <w:rsid w:val="009073D9"/>
    <w:rsid w:val="0090770F"/>
    <w:rsid w:val="00907A20"/>
    <w:rsid w:val="00910EE0"/>
    <w:rsid w:val="00912A92"/>
    <w:rsid w:val="00912BD1"/>
    <w:rsid w:val="00912E8C"/>
    <w:rsid w:val="00914018"/>
    <w:rsid w:val="0091500E"/>
    <w:rsid w:val="00915ACA"/>
    <w:rsid w:val="00916899"/>
    <w:rsid w:val="009201CD"/>
    <w:rsid w:val="009212EA"/>
    <w:rsid w:val="00923890"/>
    <w:rsid w:val="00924980"/>
    <w:rsid w:val="00925329"/>
    <w:rsid w:val="00925AA3"/>
    <w:rsid w:val="00925FE5"/>
    <w:rsid w:val="009272B4"/>
    <w:rsid w:val="0093006D"/>
    <w:rsid w:val="009310E1"/>
    <w:rsid w:val="00931418"/>
    <w:rsid w:val="009319CC"/>
    <w:rsid w:val="009336C9"/>
    <w:rsid w:val="009378BF"/>
    <w:rsid w:val="00937F08"/>
    <w:rsid w:val="0094080A"/>
    <w:rsid w:val="009409BF"/>
    <w:rsid w:val="00945F19"/>
    <w:rsid w:val="00950CFF"/>
    <w:rsid w:val="00950E3F"/>
    <w:rsid w:val="00951062"/>
    <w:rsid w:val="00952F8B"/>
    <w:rsid w:val="00953D17"/>
    <w:rsid w:val="00954C3E"/>
    <w:rsid w:val="00954C4C"/>
    <w:rsid w:val="00955A32"/>
    <w:rsid w:val="00956853"/>
    <w:rsid w:val="00956AB3"/>
    <w:rsid w:val="00956AF0"/>
    <w:rsid w:val="0095764E"/>
    <w:rsid w:val="00957B44"/>
    <w:rsid w:val="00960236"/>
    <w:rsid w:val="00961814"/>
    <w:rsid w:val="00961A48"/>
    <w:rsid w:val="00962B64"/>
    <w:rsid w:val="00964B20"/>
    <w:rsid w:val="00964F4E"/>
    <w:rsid w:val="00966115"/>
    <w:rsid w:val="0096766A"/>
    <w:rsid w:val="009707F7"/>
    <w:rsid w:val="00971A6D"/>
    <w:rsid w:val="00971D34"/>
    <w:rsid w:val="00971D70"/>
    <w:rsid w:val="00973202"/>
    <w:rsid w:val="009734F2"/>
    <w:rsid w:val="00973902"/>
    <w:rsid w:val="009751B3"/>
    <w:rsid w:val="009833C9"/>
    <w:rsid w:val="0098788B"/>
    <w:rsid w:val="00990959"/>
    <w:rsid w:val="00990E44"/>
    <w:rsid w:val="00991C3F"/>
    <w:rsid w:val="009927AF"/>
    <w:rsid w:val="009958A8"/>
    <w:rsid w:val="00995EA7"/>
    <w:rsid w:val="0099759B"/>
    <w:rsid w:val="00997A37"/>
    <w:rsid w:val="00997FE6"/>
    <w:rsid w:val="009A0BC3"/>
    <w:rsid w:val="009A1856"/>
    <w:rsid w:val="009A3098"/>
    <w:rsid w:val="009B055E"/>
    <w:rsid w:val="009B0AB9"/>
    <w:rsid w:val="009B31A2"/>
    <w:rsid w:val="009B36EC"/>
    <w:rsid w:val="009B44DD"/>
    <w:rsid w:val="009B63FE"/>
    <w:rsid w:val="009B640F"/>
    <w:rsid w:val="009B66E3"/>
    <w:rsid w:val="009B6CB7"/>
    <w:rsid w:val="009B7F07"/>
    <w:rsid w:val="009C1190"/>
    <w:rsid w:val="009C3C86"/>
    <w:rsid w:val="009C4862"/>
    <w:rsid w:val="009C5D55"/>
    <w:rsid w:val="009C6F8E"/>
    <w:rsid w:val="009D0441"/>
    <w:rsid w:val="009D0AA1"/>
    <w:rsid w:val="009D2224"/>
    <w:rsid w:val="009D24D8"/>
    <w:rsid w:val="009D2A11"/>
    <w:rsid w:val="009D37C8"/>
    <w:rsid w:val="009D44FB"/>
    <w:rsid w:val="009D4F2D"/>
    <w:rsid w:val="009D5355"/>
    <w:rsid w:val="009D5358"/>
    <w:rsid w:val="009D5837"/>
    <w:rsid w:val="009D6D75"/>
    <w:rsid w:val="009D78D0"/>
    <w:rsid w:val="009D7C1A"/>
    <w:rsid w:val="009E17AA"/>
    <w:rsid w:val="009E2389"/>
    <w:rsid w:val="009E2488"/>
    <w:rsid w:val="009E2564"/>
    <w:rsid w:val="009E2BA6"/>
    <w:rsid w:val="009E43A2"/>
    <w:rsid w:val="009E43D3"/>
    <w:rsid w:val="009E49BF"/>
    <w:rsid w:val="009E58AE"/>
    <w:rsid w:val="009E5B55"/>
    <w:rsid w:val="009E5D0F"/>
    <w:rsid w:val="009E6ED2"/>
    <w:rsid w:val="009E6FF9"/>
    <w:rsid w:val="009E7A76"/>
    <w:rsid w:val="009F0DF9"/>
    <w:rsid w:val="009F10B0"/>
    <w:rsid w:val="009F1D2A"/>
    <w:rsid w:val="009F2AB5"/>
    <w:rsid w:val="009F315A"/>
    <w:rsid w:val="009F31A8"/>
    <w:rsid w:val="009F33F3"/>
    <w:rsid w:val="009F4C88"/>
    <w:rsid w:val="00A00B41"/>
    <w:rsid w:val="00A02C61"/>
    <w:rsid w:val="00A032B8"/>
    <w:rsid w:val="00A04166"/>
    <w:rsid w:val="00A049AE"/>
    <w:rsid w:val="00A05C6B"/>
    <w:rsid w:val="00A07137"/>
    <w:rsid w:val="00A07203"/>
    <w:rsid w:val="00A07557"/>
    <w:rsid w:val="00A102FD"/>
    <w:rsid w:val="00A10602"/>
    <w:rsid w:val="00A13770"/>
    <w:rsid w:val="00A141EA"/>
    <w:rsid w:val="00A14ABD"/>
    <w:rsid w:val="00A157F5"/>
    <w:rsid w:val="00A15CDE"/>
    <w:rsid w:val="00A164F0"/>
    <w:rsid w:val="00A2159F"/>
    <w:rsid w:val="00A21E28"/>
    <w:rsid w:val="00A2372F"/>
    <w:rsid w:val="00A23A37"/>
    <w:rsid w:val="00A257A1"/>
    <w:rsid w:val="00A25801"/>
    <w:rsid w:val="00A27804"/>
    <w:rsid w:val="00A31238"/>
    <w:rsid w:val="00A31444"/>
    <w:rsid w:val="00A316D7"/>
    <w:rsid w:val="00A31B5D"/>
    <w:rsid w:val="00A31F26"/>
    <w:rsid w:val="00A337F2"/>
    <w:rsid w:val="00A346D0"/>
    <w:rsid w:val="00A347F5"/>
    <w:rsid w:val="00A35817"/>
    <w:rsid w:val="00A3757D"/>
    <w:rsid w:val="00A41FED"/>
    <w:rsid w:val="00A43856"/>
    <w:rsid w:val="00A43B46"/>
    <w:rsid w:val="00A451D6"/>
    <w:rsid w:val="00A4549D"/>
    <w:rsid w:val="00A45F7E"/>
    <w:rsid w:val="00A4743A"/>
    <w:rsid w:val="00A4750D"/>
    <w:rsid w:val="00A50D91"/>
    <w:rsid w:val="00A50F88"/>
    <w:rsid w:val="00A52131"/>
    <w:rsid w:val="00A528A6"/>
    <w:rsid w:val="00A532BE"/>
    <w:rsid w:val="00A54459"/>
    <w:rsid w:val="00A54494"/>
    <w:rsid w:val="00A546AD"/>
    <w:rsid w:val="00A5637E"/>
    <w:rsid w:val="00A56678"/>
    <w:rsid w:val="00A5709B"/>
    <w:rsid w:val="00A57AE0"/>
    <w:rsid w:val="00A60EB7"/>
    <w:rsid w:val="00A61899"/>
    <w:rsid w:val="00A62EA8"/>
    <w:rsid w:val="00A63061"/>
    <w:rsid w:val="00A63638"/>
    <w:rsid w:val="00A65BC8"/>
    <w:rsid w:val="00A67318"/>
    <w:rsid w:val="00A674A7"/>
    <w:rsid w:val="00A71614"/>
    <w:rsid w:val="00A7161A"/>
    <w:rsid w:val="00A74CF7"/>
    <w:rsid w:val="00A750CF"/>
    <w:rsid w:val="00A75D24"/>
    <w:rsid w:val="00A76F9A"/>
    <w:rsid w:val="00A811E3"/>
    <w:rsid w:val="00A8581E"/>
    <w:rsid w:val="00A91C7C"/>
    <w:rsid w:val="00A92499"/>
    <w:rsid w:val="00A9654F"/>
    <w:rsid w:val="00A9671E"/>
    <w:rsid w:val="00A96A35"/>
    <w:rsid w:val="00AA0003"/>
    <w:rsid w:val="00AA03ED"/>
    <w:rsid w:val="00AA1EBF"/>
    <w:rsid w:val="00AA1F88"/>
    <w:rsid w:val="00AA3112"/>
    <w:rsid w:val="00AA35B1"/>
    <w:rsid w:val="00AA38E9"/>
    <w:rsid w:val="00AA39BC"/>
    <w:rsid w:val="00AA54B8"/>
    <w:rsid w:val="00AA5FCF"/>
    <w:rsid w:val="00AB3313"/>
    <w:rsid w:val="00AB361C"/>
    <w:rsid w:val="00AB4A39"/>
    <w:rsid w:val="00AB5ECF"/>
    <w:rsid w:val="00AC0532"/>
    <w:rsid w:val="00AC2966"/>
    <w:rsid w:val="00AC5A07"/>
    <w:rsid w:val="00AC70B9"/>
    <w:rsid w:val="00AD031C"/>
    <w:rsid w:val="00AD0A6C"/>
    <w:rsid w:val="00AD271C"/>
    <w:rsid w:val="00AD340D"/>
    <w:rsid w:val="00AD4B0E"/>
    <w:rsid w:val="00AD4F20"/>
    <w:rsid w:val="00AD5EEE"/>
    <w:rsid w:val="00AD62D7"/>
    <w:rsid w:val="00AD7CB4"/>
    <w:rsid w:val="00AE0F4B"/>
    <w:rsid w:val="00AE1BF5"/>
    <w:rsid w:val="00AE1C79"/>
    <w:rsid w:val="00AE1FA9"/>
    <w:rsid w:val="00AE3EAF"/>
    <w:rsid w:val="00AE4AB9"/>
    <w:rsid w:val="00AE5990"/>
    <w:rsid w:val="00AE647D"/>
    <w:rsid w:val="00AE6C98"/>
    <w:rsid w:val="00AE7725"/>
    <w:rsid w:val="00AE7770"/>
    <w:rsid w:val="00AE7AD7"/>
    <w:rsid w:val="00AF0B80"/>
    <w:rsid w:val="00AF14F4"/>
    <w:rsid w:val="00AF223F"/>
    <w:rsid w:val="00AF22E7"/>
    <w:rsid w:val="00AF5A3E"/>
    <w:rsid w:val="00AF62E2"/>
    <w:rsid w:val="00AF6642"/>
    <w:rsid w:val="00AF746E"/>
    <w:rsid w:val="00AF7637"/>
    <w:rsid w:val="00B00B10"/>
    <w:rsid w:val="00B0111A"/>
    <w:rsid w:val="00B01DA8"/>
    <w:rsid w:val="00B029EC"/>
    <w:rsid w:val="00B03FB2"/>
    <w:rsid w:val="00B05098"/>
    <w:rsid w:val="00B05904"/>
    <w:rsid w:val="00B06027"/>
    <w:rsid w:val="00B06D8F"/>
    <w:rsid w:val="00B10EA1"/>
    <w:rsid w:val="00B11716"/>
    <w:rsid w:val="00B13B7D"/>
    <w:rsid w:val="00B13D53"/>
    <w:rsid w:val="00B14AA6"/>
    <w:rsid w:val="00B15A07"/>
    <w:rsid w:val="00B20E34"/>
    <w:rsid w:val="00B21EF0"/>
    <w:rsid w:val="00B22068"/>
    <w:rsid w:val="00B22E29"/>
    <w:rsid w:val="00B235CB"/>
    <w:rsid w:val="00B24F29"/>
    <w:rsid w:val="00B252C9"/>
    <w:rsid w:val="00B27B16"/>
    <w:rsid w:val="00B3048A"/>
    <w:rsid w:val="00B31162"/>
    <w:rsid w:val="00B31467"/>
    <w:rsid w:val="00B32662"/>
    <w:rsid w:val="00B32EB0"/>
    <w:rsid w:val="00B34FD4"/>
    <w:rsid w:val="00B35C33"/>
    <w:rsid w:val="00B36365"/>
    <w:rsid w:val="00B374B9"/>
    <w:rsid w:val="00B37B22"/>
    <w:rsid w:val="00B40571"/>
    <w:rsid w:val="00B40C62"/>
    <w:rsid w:val="00B40E35"/>
    <w:rsid w:val="00B41210"/>
    <w:rsid w:val="00B413D0"/>
    <w:rsid w:val="00B425B0"/>
    <w:rsid w:val="00B434F2"/>
    <w:rsid w:val="00B43D72"/>
    <w:rsid w:val="00B443B4"/>
    <w:rsid w:val="00B44B46"/>
    <w:rsid w:val="00B4644D"/>
    <w:rsid w:val="00B5029D"/>
    <w:rsid w:val="00B508DA"/>
    <w:rsid w:val="00B50F8E"/>
    <w:rsid w:val="00B513B5"/>
    <w:rsid w:val="00B51843"/>
    <w:rsid w:val="00B51C42"/>
    <w:rsid w:val="00B53BD8"/>
    <w:rsid w:val="00B54668"/>
    <w:rsid w:val="00B56102"/>
    <w:rsid w:val="00B575AF"/>
    <w:rsid w:val="00B60AC9"/>
    <w:rsid w:val="00B61FEF"/>
    <w:rsid w:val="00B65C51"/>
    <w:rsid w:val="00B66023"/>
    <w:rsid w:val="00B6692E"/>
    <w:rsid w:val="00B67425"/>
    <w:rsid w:val="00B708E6"/>
    <w:rsid w:val="00B7230F"/>
    <w:rsid w:val="00B72782"/>
    <w:rsid w:val="00B74567"/>
    <w:rsid w:val="00B753CC"/>
    <w:rsid w:val="00B765D2"/>
    <w:rsid w:val="00B76653"/>
    <w:rsid w:val="00B76915"/>
    <w:rsid w:val="00B8078C"/>
    <w:rsid w:val="00B813C9"/>
    <w:rsid w:val="00B84386"/>
    <w:rsid w:val="00B84DB1"/>
    <w:rsid w:val="00B86291"/>
    <w:rsid w:val="00B86EEF"/>
    <w:rsid w:val="00B87206"/>
    <w:rsid w:val="00B91A4D"/>
    <w:rsid w:val="00B91CF1"/>
    <w:rsid w:val="00B91DB6"/>
    <w:rsid w:val="00B92D89"/>
    <w:rsid w:val="00B9424F"/>
    <w:rsid w:val="00B94580"/>
    <w:rsid w:val="00B956CB"/>
    <w:rsid w:val="00B95916"/>
    <w:rsid w:val="00BA06D9"/>
    <w:rsid w:val="00BA0989"/>
    <w:rsid w:val="00BA1230"/>
    <w:rsid w:val="00BA2322"/>
    <w:rsid w:val="00BA29F8"/>
    <w:rsid w:val="00BA37EC"/>
    <w:rsid w:val="00BA6B02"/>
    <w:rsid w:val="00BA6EF4"/>
    <w:rsid w:val="00BA7AE2"/>
    <w:rsid w:val="00BB0C93"/>
    <w:rsid w:val="00BB1A4A"/>
    <w:rsid w:val="00BB1DBD"/>
    <w:rsid w:val="00BB1F42"/>
    <w:rsid w:val="00BB26D9"/>
    <w:rsid w:val="00BB2FBA"/>
    <w:rsid w:val="00BB394A"/>
    <w:rsid w:val="00BB5C6E"/>
    <w:rsid w:val="00BB61A6"/>
    <w:rsid w:val="00BB6919"/>
    <w:rsid w:val="00BB752A"/>
    <w:rsid w:val="00BC1791"/>
    <w:rsid w:val="00BC22FA"/>
    <w:rsid w:val="00BC2734"/>
    <w:rsid w:val="00BC30B8"/>
    <w:rsid w:val="00BC466E"/>
    <w:rsid w:val="00BC4F49"/>
    <w:rsid w:val="00BC51EE"/>
    <w:rsid w:val="00BC59F1"/>
    <w:rsid w:val="00BC7507"/>
    <w:rsid w:val="00BD0D35"/>
    <w:rsid w:val="00BD270B"/>
    <w:rsid w:val="00BD46D3"/>
    <w:rsid w:val="00BD532E"/>
    <w:rsid w:val="00BD65C5"/>
    <w:rsid w:val="00BD68E8"/>
    <w:rsid w:val="00BD701A"/>
    <w:rsid w:val="00BD75EB"/>
    <w:rsid w:val="00BE068B"/>
    <w:rsid w:val="00BE23F2"/>
    <w:rsid w:val="00BE46E1"/>
    <w:rsid w:val="00BE48D3"/>
    <w:rsid w:val="00BE5724"/>
    <w:rsid w:val="00BE5737"/>
    <w:rsid w:val="00BE5A9F"/>
    <w:rsid w:val="00BE7B4A"/>
    <w:rsid w:val="00BF0FD7"/>
    <w:rsid w:val="00BF15E1"/>
    <w:rsid w:val="00BF183B"/>
    <w:rsid w:val="00BF206B"/>
    <w:rsid w:val="00BF2968"/>
    <w:rsid w:val="00BF3D81"/>
    <w:rsid w:val="00BF5E6E"/>
    <w:rsid w:val="00BF667C"/>
    <w:rsid w:val="00BF692B"/>
    <w:rsid w:val="00BF6B02"/>
    <w:rsid w:val="00BF7209"/>
    <w:rsid w:val="00BF737C"/>
    <w:rsid w:val="00BF75CD"/>
    <w:rsid w:val="00C01305"/>
    <w:rsid w:val="00C01535"/>
    <w:rsid w:val="00C0187C"/>
    <w:rsid w:val="00C01A96"/>
    <w:rsid w:val="00C0392A"/>
    <w:rsid w:val="00C047AE"/>
    <w:rsid w:val="00C04E23"/>
    <w:rsid w:val="00C05656"/>
    <w:rsid w:val="00C07C30"/>
    <w:rsid w:val="00C13384"/>
    <w:rsid w:val="00C13469"/>
    <w:rsid w:val="00C14520"/>
    <w:rsid w:val="00C150BF"/>
    <w:rsid w:val="00C15C8A"/>
    <w:rsid w:val="00C15F8C"/>
    <w:rsid w:val="00C16A26"/>
    <w:rsid w:val="00C202A0"/>
    <w:rsid w:val="00C21EDC"/>
    <w:rsid w:val="00C22610"/>
    <w:rsid w:val="00C22CCF"/>
    <w:rsid w:val="00C2431F"/>
    <w:rsid w:val="00C2483D"/>
    <w:rsid w:val="00C25DAC"/>
    <w:rsid w:val="00C25F98"/>
    <w:rsid w:val="00C265AA"/>
    <w:rsid w:val="00C27D92"/>
    <w:rsid w:val="00C30192"/>
    <w:rsid w:val="00C32ECE"/>
    <w:rsid w:val="00C33E9C"/>
    <w:rsid w:val="00C3448E"/>
    <w:rsid w:val="00C34DA9"/>
    <w:rsid w:val="00C364F7"/>
    <w:rsid w:val="00C373F4"/>
    <w:rsid w:val="00C37A53"/>
    <w:rsid w:val="00C40AA6"/>
    <w:rsid w:val="00C41937"/>
    <w:rsid w:val="00C44196"/>
    <w:rsid w:val="00C44D49"/>
    <w:rsid w:val="00C44F02"/>
    <w:rsid w:val="00C44F79"/>
    <w:rsid w:val="00C45BBC"/>
    <w:rsid w:val="00C45D6A"/>
    <w:rsid w:val="00C4628D"/>
    <w:rsid w:val="00C464D5"/>
    <w:rsid w:val="00C47391"/>
    <w:rsid w:val="00C475AC"/>
    <w:rsid w:val="00C52AF8"/>
    <w:rsid w:val="00C53581"/>
    <w:rsid w:val="00C546D5"/>
    <w:rsid w:val="00C546EC"/>
    <w:rsid w:val="00C549C0"/>
    <w:rsid w:val="00C5557A"/>
    <w:rsid w:val="00C566D6"/>
    <w:rsid w:val="00C568E2"/>
    <w:rsid w:val="00C601C3"/>
    <w:rsid w:val="00C61F40"/>
    <w:rsid w:val="00C640C0"/>
    <w:rsid w:val="00C65A45"/>
    <w:rsid w:val="00C66688"/>
    <w:rsid w:val="00C6704C"/>
    <w:rsid w:val="00C7088E"/>
    <w:rsid w:val="00C70D0F"/>
    <w:rsid w:val="00C7140C"/>
    <w:rsid w:val="00C71C24"/>
    <w:rsid w:val="00C72F54"/>
    <w:rsid w:val="00C73350"/>
    <w:rsid w:val="00C74194"/>
    <w:rsid w:val="00C74AF1"/>
    <w:rsid w:val="00C762BF"/>
    <w:rsid w:val="00C76F05"/>
    <w:rsid w:val="00C77A2E"/>
    <w:rsid w:val="00C81E7D"/>
    <w:rsid w:val="00C82752"/>
    <w:rsid w:val="00C82C0C"/>
    <w:rsid w:val="00C82CC4"/>
    <w:rsid w:val="00C83461"/>
    <w:rsid w:val="00C846A2"/>
    <w:rsid w:val="00C84F3E"/>
    <w:rsid w:val="00C86693"/>
    <w:rsid w:val="00C86725"/>
    <w:rsid w:val="00C870EC"/>
    <w:rsid w:val="00C876C4"/>
    <w:rsid w:val="00C87BE2"/>
    <w:rsid w:val="00C913C6"/>
    <w:rsid w:val="00C9204E"/>
    <w:rsid w:val="00C92868"/>
    <w:rsid w:val="00C948E2"/>
    <w:rsid w:val="00C94D8E"/>
    <w:rsid w:val="00C954CF"/>
    <w:rsid w:val="00C95949"/>
    <w:rsid w:val="00C96AF0"/>
    <w:rsid w:val="00C9715A"/>
    <w:rsid w:val="00CA0001"/>
    <w:rsid w:val="00CA1298"/>
    <w:rsid w:val="00CA1624"/>
    <w:rsid w:val="00CA1A50"/>
    <w:rsid w:val="00CA23D8"/>
    <w:rsid w:val="00CA352C"/>
    <w:rsid w:val="00CA421A"/>
    <w:rsid w:val="00CA4365"/>
    <w:rsid w:val="00CA4720"/>
    <w:rsid w:val="00CA4FE7"/>
    <w:rsid w:val="00CA553C"/>
    <w:rsid w:val="00CA58EF"/>
    <w:rsid w:val="00CB2CF7"/>
    <w:rsid w:val="00CB30A5"/>
    <w:rsid w:val="00CB3D61"/>
    <w:rsid w:val="00CB46A0"/>
    <w:rsid w:val="00CB47F9"/>
    <w:rsid w:val="00CB57EF"/>
    <w:rsid w:val="00CB5A95"/>
    <w:rsid w:val="00CB6768"/>
    <w:rsid w:val="00CB760A"/>
    <w:rsid w:val="00CB7CCB"/>
    <w:rsid w:val="00CB7DCF"/>
    <w:rsid w:val="00CC0CA9"/>
    <w:rsid w:val="00CC31D1"/>
    <w:rsid w:val="00CC42C3"/>
    <w:rsid w:val="00CC4B1B"/>
    <w:rsid w:val="00CC4B3E"/>
    <w:rsid w:val="00CC5F8A"/>
    <w:rsid w:val="00CC60D4"/>
    <w:rsid w:val="00CC6291"/>
    <w:rsid w:val="00CC6441"/>
    <w:rsid w:val="00CC691E"/>
    <w:rsid w:val="00CC6A08"/>
    <w:rsid w:val="00CC6C9D"/>
    <w:rsid w:val="00CC766D"/>
    <w:rsid w:val="00CC7880"/>
    <w:rsid w:val="00CC7C1E"/>
    <w:rsid w:val="00CD0D18"/>
    <w:rsid w:val="00CD0F88"/>
    <w:rsid w:val="00CD27D3"/>
    <w:rsid w:val="00CD2A17"/>
    <w:rsid w:val="00CD3B31"/>
    <w:rsid w:val="00CD4939"/>
    <w:rsid w:val="00CD4A1F"/>
    <w:rsid w:val="00CD528A"/>
    <w:rsid w:val="00CE2DF8"/>
    <w:rsid w:val="00CE350F"/>
    <w:rsid w:val="00CE3ACC"/>
    <w:rsid w:val="00CE3F0D"/>
    <w:rsid w:val="00CE50B2"/>
    <w:rsid w:val="00CE7987"/>
    <w:rsid w:val="00CF08DF"/>
    <w:rsid w:val="00CF0B12"/>
    <w:rsid w:val="00CF0B80"/>
    <w:rsid w:val="00CF146F"/>
    <w:rsid w:val="00CF1BC6"/>
    <w:rsid w:val="00CF1D7C"/>
    <w:rsid w:val="00CF35EF"/>
    <w:rsid w:val="00CF3824"/>
    <w:rsid w:val="00CF668A"/>
    <w:rsid w:val="00CF7C15"/>
    <w:rsid w:val="00CF7C9C"/>
    <w:rsid w:val="00D0077F"/>
    <w:rsid w:val="00D02C92"/>
    <w:rsid w:val="00D03B66"/>
    <w:rsid w:val="00D03BED"/>
    <w:rsid w:val="00D04032"/>
    <w:rsid w:val="00D07C6E"/>
    <w:rsid w:val="00D10117"/>
    <w:rsid w:val="00D110D1"/>
    <w:rsid w:val="00D11C73"/>
    <w:rsid w:val="00D11E67"/>
    <w:rsid w:val="00D13204"/>
    <w:rsid w:val="00D13E32"/>
    <w:rsid w:val="00D16F00"/>
    <w:rsid w:val="00D1793F"/>
    <w:rsid w:val="00D2027E"/>
    <w:rsid w:val="00D20A28"/>
    <w:rsid w:val="00D214EC"/>
    <w:rsid w:val="00D21668"/>
    <w:rsid w:val="00D22D6D"/>
    <w:rsid w:val="00D23E42"/>
    <w:rsid w:val="00D24B13"/>
    <w:rsid w:val="00D258DC"/>
    <w:rsid w:val="00D265A8"/>
    <w:rsid w:val="00D30FCB"/>
    <w:rsid w:val="00D319AD"/>
    <w:rsid w:val="00D3263C"/>
    <w:rsid w:val="00D329A8"/>
    <w:rsid w:val="00D32C73"/>
    <w:rsid w:val="00D33760"/>
    <w:rsid w:val="00D33C43"/>
    <w:rsid w:val="00D34C81"/>
    <w:rsid w:val="00D3572D"/>
    <w:rsid w:val="00D37304"/>
    <w:rsid w:val="00D379F6"/>
    <w:rsid w:val="00D37AAF"/>
    <w:rsid w:val="00D37E77"/>
    <w:rsid w:val="00D40119"/>
    <w:rsid w:val="00D40753"/>
    <w:rsid w:val="00D40E01"/>
    <w:rsid w:val="00D43FDD"/>
    <w:rsid w:val="00D470B2"/>
    <w:rsid w:val="00D52907"/>
    <w:rsid w:val="00D52E01"/>
    <w:rsid w:val="00D53276"/>
    <w:rsid w:val="00D55A7E"/>
    <w:rsid w:val="00D56E34"/>
    <w:rsid w:val="00D57349"/>
    <w:rsid w:val="00D57A5C"/>
    <w:rsid w:val="00D606DA"/>
    <w:rsid w:val="00D61BD2"/>
    <w:rsid w:val="00D61C9D"/>
    <w:rsid w:val="00D633D8"/>
    <w:rsid w:val="00D65783"/>
    <w:rsid w:val="00D66AF2"/>
    <w:rsid w:val="00D67D4A"/>
    <w:rsid w:val="00D70C58"/>
    <w:rsid w:val="00D7137C"/>
    <w:rsid w:val="00D71FEA"/>
    <w:rsid w:val="00D72EAC"/>
    <w:rsid w:val="00D73A3B"/>
    <w:rsid w:val="00D7403A"/>
    <w:rsid w:val="00D74FDD"/>
    <w:rsid w:val="00D75CD1"/>
    <w:rsid w:val="00D7650F"/>
    <w:rsid w:val="00D76516"/>
    <w:rsid w:val="00D77CB3"/>
    <w:rsid w:val="00D81F49"/>
    <w:rsid w:val="00D83171"/>
    <w:rsid w:val="00D8499C"/>
    <w:rsid w:val="00D858A4"/>
    <w:rsid w:val="00D859A4"/>
    <w:rsid w:val="00D86616"/>
    <w:rsid w:val="00D869E3"/>
    <w:rsid w:val="00D87810"/>
    <w:rsid w:val="00D901B1"/>
    <w:rsid w:val="00D905FE"/>
    <w:rsid w:val="00D927C0"/>
    <w:rsid w:val="00D927CF"/>
    <w:rsid w:val="00D92CBF"/>
    <w:rsid w:val="00D93271"/>
    <w:rsid w:val="00D93E6C"/>
    <w:rsid w:val="00D9489E"/>
    <w:rsid w:val="00D9490E"/>
    <w:rsid w:val="00D951AE"/>
    <w:rsid w:val="00D95BCF"/>
    <w:rsid w:val="00D95EC2"/>
    <w:rsid w:val="00D9601C"/>
    <w:rsid w:val="00D97397"/>
    <w:rsid w:val="00DA078B"/>
    <w:rsid w:val="00DA1143"/>
    <w:rsid w:val="00DA13E0"/>
    <w:rsid w:val="00DA1A71"/>
    <w:rsid w:val="00DA496C"/>
    <w:rsid w:val="00DA5B38"/>
    <w:rsid w:val="00DA6194"/>
    <w:rsid w:val="00DB128C"/>
    <w:rsid w:val="00DB23A7"/>
    <w:rsid w:val="00DB55F5"/>
    <w:rsid w:val="00DB56D8"/>
    <w:rsid w:val="00DB59C8"/>
    <w:rsid w:val="00DB6347"/>
    <w:rsid w:val="00DC1C15"/>
    <w:rsid w:val="00DC2D17"/>
    <w:rsid w:val="00DC3959"/>
    <w:rsid w:val="00DC4012"/>
    <w:rsid w:val="00DC49A1"/>
    <w:rsid w:val="00DC5BC7"/>
    <w:rsid w:val="00DD091E"/>
    <w:rsid w:val="00DD17A9"/>
    <w:rsid w:val="00DD1C76"/>
    <w:rsid w:val="00DD2481"/>
    <w:rsid w:val="00DD2F36"/>
    <w:rsid w:val="00DD42B2"/>
    <w:rsid w:val="00DD43AD"/>
    <w:rsid w:val="00DD4534"/>
    <w:rsid w:val="00DD5817"/>
    <w:rsid w:val="00DD7001"/>
    <w:rsid w:val="00DD7284"/>
    <w:rsid w:val="00DE0B8E"/>
    <w:rsid w:val="00DE1546"/>
    <w:rsid w:val="00DE1777"/>
    <w:rsid w:val="00DE2469"/>
    <w:rsid w:val="00DE3D07"/>
    <w:rsid w:val="00DE5D83"/>
    <w:rsid w:val="00DE6464"/>
    <w:rsid w:val="00DE6F3B"/>
    <w:rsid w:val="00DE6FFF"/>
    <w:rsid w:val="00DF09C1"/>
    <w:rsid w:val="00DF1382"/>
    <w:rsid w:val="00DF19CA"/>
    <w:rsid w:val="00DF2008"/>
    <w:rsid w:val="00DF4234"/>
    <w:rsid w:val="00DF7914"/>
    <w:rsid w:val="00DF79A9"/>
    <w:rsid w:val="00E00EA8"/>
    <w:rsid w:val="00E02AC4"/>
    <w:rsid w:val="00E02E02"/>
    <w:rsid w:val="00E0339A"/>
    <w:rsid w:val="00E03A7E"/>
    <w:rsid w:val="00E056CE"/>
    <w:rsid w:val="00E1338C"/>
    <w:rsid w:val="00E137A4"/>
    <w:rsid w:val="00E13D9C"/>
    <w:rsid w:val="00E147EC"/>
    <w:rsid w:val="00E17D77"/>
    <w:rsid w:val="00E2136A"/>
    <w:rsid w:val="00E21A02"/>
    <w:rsid w:val="00E22EBB"/>
    <w:rsid w:val="00E231DF"/>
    <w:rsid w:val="00E23428"/>
    <w:rsid w:val="00E2706A"/>
    <w:rsid w:val="00E27C47"/>
    <w:rsid w:val="00E30225"/>
    <w:rsid w:val="00E304AF"/>
    <w:rsid w:val="00E32BD1"/>
    <w:rsid w:val="00E32D8E"/>
    <w:rsid w:val="00E3327C"/>
    <w:rsid w:val="00E34E59"/>
    <w:rsid w:val="00E358F5"/>
    <w:rsid w:val="00E35927"/>
    <w:rsid w:val="00E362E6"/>
    <w:rsid w:val="00E365AD"/>
    <w:rsid w:val="00E373CE"/>
    <w:rsid w:val="00E37BD1"/>
    <w:rsid w:val="00E37CDC"/>
    <w:rsid w:val="00E403E9"/>
    <w:rsid w:val="00E40F70"/>
    <w:rsid w:val="00E41369"/>
    <w:rsid w:val="00E4215B"/>
    <w:rsid w:val="00E4380F"/>
    <w:rsid w:val="00E44B16"/>
    <w:rsid w:val="00E5104D"/>
    <w:rsid w:val="00E51E71"/>
    <w:rsid w:val="00E535D8"/>
    <w:rsid w:val="00E53864"/>
    <w:rsid w:val="00E53E13"/>
    <w:rsid w:val="00E540A5"/>
    <w:rsid w:val="00E541BF"/>
    <w:rsid w:val="00E542A7"/>
    <w:rsid w:val="00E54DBC"/>
    <w:rsid w:val="00E553FE"/>
    <w:rsid w:val="00E56813"/>
    <w:rsid w:val="00E5753D"/>
    <w:rsid w:val="00E57603"/>
    <w:rsid w:val="00E606B9"/>
    <w:rsid w:val="00E60BC2"/>
    <w:rsid w:val="00E60DEC"/>
    <w:rsid w:val="00E62F6C"/>
    <w:rsid w:val="00E6309B"/>
    <w:rsid w:val="00E65938"/>
    <w:rsid w:val="00E66DD7"/>
    <w:rsid w:val="00E6716F"/>
    <w:rsid w:val="00E677C5"/>
    <w:rsid w:val="00E679D0"/>
    <w:rsid w:val="00E67E7B"/>
    <w:rsid w:val="00E70701"/>
    <w:rsid w:val="00E71477"/>
    <w:rsid w:val="00E72D85"/>
    <w:rsid w:val="00E72E8E"/>
    <w:rsid w:val="00E747CD"/>
    <w:rsid w:val="00E74F1C"/>
    <w:rsid w:val="00E75160"/>
    <w:rsid w:val="00E76C44"/>
    <w:rsid w:val="00E77AF3"/>
    <w:rsid w:val="00E81D56"/>
    <w:rsid w:val="00E85F6A"/>
    <w:rsid w:val="00E91094"/>
    <w:rsid w:val="00E91326"/>
    <w:rsid w:val="00E91CF4"/>
    <w:rsid w:val="00E91FDA"/>
    <w:rsid w:val="00EA03AE"/>
    <w:rsid w:val="00EA09EF"/>
    <w:rsid w:val="00EA0CBD"/>
    <w:rsid w:val="00EA2071"/>
    <w:rsid w:val="00EA232B"/>
    <w:rsid w:val="00EA6979"/>
    <w:rsid w:val="00EA7178"/>
    <w:rsid w:val="00EA7583"/>
    <w:rsid w:val="00EB1B0B"/>
    <w:rsid w:val="00EB2749"/>
    <w:rsid w:val="00EB2E3C"/>
    <w:rsid w:val="00EB3278"/>
    <w:rsid w:val="00EB3765"/>
    <w:rsid w:val="00EB4865"/>
    <w:rsid w:val="00EB4B8F"/>
    <w:rsid w:val="00EB5530"/>
    <w:rsid w:val="00EB5C78"/>
    <w:rsid w:val="00EB5E2E"/>
    <w:rsid w:val="00EB5F60"/>
    <w:rsid w:val="00EB66B1"/>
    <w:rsid w:val="00EB74BF"/>
    <w:rsid w:val="00EB7721"/>
    <w:rsid w:val="00EB7A3B"/>
    <w:rsid w:val="00EC1095"/>
    <w:rsid w:val="00EC11D2"/>
    <w:rsid w:val="00EC2233"/>
    <w:rsid w:val="00EC2BAA"/>
    <w:rsid w:val="00EC3032"/>
    <w:rsid w:val="00EC3D69"/>
    <w:rsid w:val="00EC4557"/>
    <w:rsid w:val="00EC6021"/>
    <w:rsid w:val="00EC670C"/>
    <w:rsid w:val="00EC6C24"/>
    <w:rsid w:val="00EC6CDD"/>
    <w:rsid w:val="00EC6DBA"/>
    <w:rsid w:val="00EC71A4"/>
    <w:rsid w:val="00ED1CBD"/>
    <w:rsid w:val="00ED2632"/>
    <w:rsid w:val="00ED2701"/>
    <w:rsid w:val="00ED3EBF"/>
    <w:rsid w:val="00ED3FC7"/>
    <w:rsid w:val="00ED5EDF"/>
    <w:rsid w:val="00ED5EF9"/>
    <w:rsid w:val="00ED64E0"/>
    <w:rsid w:val="00EE08D5"/>
    <w:rsid w:val="00EE0BD4"/>
    <w:rsid w:val="00EE284E"/>
    <w:rsid w:val="00EE4286"/>
    <w:rsid w:val="00EE4766"/>
    <w:rsid w:val="00EE6DEA"/>
    <w:rsid w:val="00EE71F5"/>
    <w:rsid w:val="00EF1AD0"/>
    <w:rsid w:val="00EF28DD"/>
    <w:rsid w:val="00EF4F73"/>
    <w:rsid w:val="00EF53FA"/>
    <w:rsid w:val="00EF57BA"/>
    <w:rsid w:val="00EF5A2D"/>
    <w:rsid w:val="00F02C0D"/>
    <w:rsid w:val="00F02C75"/>
    <w:rsid w:val="00F062CF"/>
    <w:rsid w:val="00F0649B"/>
    <w:rsid w:val="00F071B0"/>
    <w:rsid w:val="00F10D93"/>
    <w:rsid w:val="00F126F6"/>
    <w:rsid w:val="00F134F6"/>
    <w:rsid w:val="00F1353C"/>
    <w:rsid w:val="00F14F57"/>
    <w:rsid w:val="00F20449"/>
    <w:rsid w:val="00F20902"/>
    <w:rsid w:val="00F20967"/>
    <w:rsid w:val="00F213D8"/>
    <w:rsid w:val="00F22676"/>
    <w:rsid w:val="00F2363E"/>
    <w:rsid w:val="00F23D52"/>
    <w:rsid w:val="00F23E09"/>
    <w:rsid w:val="00F2424F"/>
    <w:rsid w:val="00F244B0"/>
    <w:rsid w:val="00F24736"/>
    <w:rsid w:val="00F24C42"/>
    <w:rsid w:val="00F25F9C"/>
    <w:rsid w:val="00F26F0A"/>
    <w:rsid w:val="00F30F3C"/>
    <w:rsid w:val="00F317FF"/>
    <w:rsid w:val="00F3215D"/>
    <w:rsid w:val="00F328B6"/>
    <w:rsid w:val="00F32C3D"/>
    <w:rsid w:val="00F35942"/>
    <w:rsid w:val="00F409D7"/>
    <w:rsid w:val="00F41D30"/>
    <w:rsid w:val="00F42C9D"/>
    <w:rsid w:val="00F42CF0"/>
    <w:rsid w:val="00F43C5F"/>
    <w:rsid w:val="00F45E7E"/>
    <w:rsid w:val="00F4667D"/>
    <w:rsid w:val="00F477BC"/>
    <w:rsid w:val="00F51421"/>
    <w:rsid w:val="00F5146C"/>
    <w:rsid w:val="00F535E6"/>
    <w:rsid w:val="00F54FF1"/>
    <w:rsid w:val="00F556E1"/>
    <w:rsid w:val="00F55E95"/>
    <w:rsid w:val="00F60FA3"/>
    <w:rsid w:val="00F616D5"/>
    <w:rsid w:val="00F631DC"/>
    <w:rsid w:val="00F6453B"/>
    <w:rsid w:val="00F656E0"/>
    <w:rsid w:val="00F66037"/>
    <w:rsid w:val="00F67DB2"/>
    <w:rsid w:val="00F67F8B"/>
    <w:rsid w:val="00F7031B"/>
    <w:rsid w:val="00F708AE"/>
    <w:rsid w:val="00F71FAF"/>
    <w:rsid w:val="00F736F6"/>
    <w:rsid w:val="00F75DF3"/>
    <w:rsid w:val="00F77B70"/>
    <w:rsid w:val="00F80ADC"/>
    <w:rsid w:val="00F830E9"/>
    <w:rsid w:val="00F831F1"/>
    <w:rsid w:val="00F83A02"/>
    <w:rsid w:val="00F83E8F"/>
    <w:rsid w:val="00F84D64"/>
    <w:rsid w:val="00F84F64"/>
    <w:rsid w:val="00F864C3"/>
    <w:rsid w:val="00F8746C"/>
    <w:rsid w:val="00F94008"/>
    <w:rsid w:val="00F953F9"/>
    <w:rsid w:val="00F95C69"/>
    <w:rsid w:val="00F9615B"/>
    <w:rsid w:val="00F969B2"/>
    <w:rsid w:val="00F97051"/>
    <w:rsid w:val="00F9732F"/>
    <w:rsid w:val="00F97509"/>
    <w:rsid w:val="00FA16AC"/>
    <w:rsid w:val="00FA2547"/>
    <w:rsid w:val="00FA3B63"/>
    <w:rsid w:val="00FA445A"/>
    <w:rsid w:val="00FA58C4"/>
    <w:rsid w:val="00FA6B50"/>
    <w:rsid w:val="00FA6DAD"/>
    <w:rsid w:val="00FA7B6F"/>
    <w:rsid w:val="00FB047D"/>
    <w:rsid w:val="00FB1E76"/>
    <w:rsid w:val="00FB5CAF"/>
    <w:rsid w:val="00FB5FB6"/>
    <w:rsid w:val="00FB6DEF"/>
    <w:rsid w:val="00FC196C"/>
    <w:rsid w:val="00FC25FA"/>
    <w:rsid w:val="00FC3517"/>
    <w:rsid w:val="00FC3F8C"/>
    <w:rsid w:val="00FC4B86"/>
    <w:rsid w:val="00FC5579"/>
    <w:rsid w:val="00FC626C"/>
    <w:rsid w:val="00FC6BA5"/>
    <w:rsid w:val="00FC7FE8"/>
    <w:rsid w:val="00FD2A94"/>
    <w:rsid w:val="00FD2E29"/>
    <w:rsid w:val="00FD4ECC"/>
    <w:rsid w:val="00FE0963"/>
    <w:rsid w:val="00FE4450"/>
    <w:rsid w:val="00FE58FA"/>
    <w:rsid w:val="00FE6203"/>
    <w:rsid w:val="00FE6821"/>
    <w:rsid w:val="00FE7426"/>
    <w:rsid w:val="00FF034F"/>
    <w:rsid w:val="00FF0A4C"/>
    <w:rsid w:val="00FF0C2D"/>
    <w:rsid w:val="00FF1171"/>
    <w:rsid w:val="00FF17CC"/>
    <w:rsid w:val="00FF19D3"/>
    <w:rsid w:val="00FF2083"/>
    <w:rsid w:val="00FF5791"/>
    <w:rsid w:val="00FF7414"/>
    <w:rsid w:val="00FF777F"/>
    <w:rsid w:val="00FF79FE"/>
    <w:rsid w:val="00FF7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96049F"/>
  <w15:docId w15:val="{B7AC5308-CC81-46C9-9719-708602FB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0CE"/>
    <w:pPr>
      <w:spacing w:after="0" w:line="240" w:lineRule="auto"/>
    </w:pPr>
    <w:rPr>
      <w:rFonts w:ascii="Times New Roman" w:eastAsia="Calibri" w:hAnsi="Times New Roman" w:cs="Times New Roman"/>
      <w:sz w:val="24"/>
      <w:szCs w:val="24"/>
      <w:lang w:val="es-ES_tradnl"/>
    </w:rPr>
  </w:style>
  <w:style w:type="paragraph" w:styleId="Ttulo1">
    <w:name w:val="heading 1"/>
    <w:aliases w:val="Título Verdana"/>
    <w:basedOn w:val="Normal"/>
    <w:next w:val="Normal"/>
    <w:link w:val="Ttulo1Car"/>
    <w:uiPriority w:val="9"/>
    <w:qFormat/>
    <w:rsid w:val="00D04032"/>
    <w:pPr>
      <w:keepNext/>
      <w:keepLines/>
      <w:spacing w:before="480"/>
      <w:outlineLvl w:val="0"/>
    </w:pPr>
    <w:rPr>
      <w:rFonts w:ascii="Verdana" w:eastAsia="Times New Roman" w:hAnsi="Verdana"/>
      <w:b/>
      <w:bCs/>
      <w:sz w:val="20"/>
      <w:szCs w:val="28"/>
    </w:rPr>
  </w:style>
  <w:style w:type="paragraph" w:styleId="Ttulo2">
    <w:name w:val="heading 2"/>
    <w:basedOn w:val="Normal"/>
    <w:next w:val="Normal"/>
    <w:link w:val="Ttulo2Car"/>
    <w:unhideWhenUsed/>
    <w:qFormat/>
    <w:rsid w:val="0076651B"/>
    <w:pPr>
      <w:keepNext/>
      <w:keepLines/>
      <w:outlineLvl w:val="1"/>
    </w:pPr>
    <w:rPr>
      <w:rFonts w:ascii="Verdana" w:eastAsia="Times New Roman" w:hAnsi="Verdana"/>
      <w:b/>
      <w:bCs/>
      <w:sz w:val="20"/>
      <w:szCs w:val="26"/>
    </w:rPr>
  </w:style>
  <w:style w:type="paragraph" w:styleId="Ttulo3">
    <w:name w:val="heading 3"/>
    <w:basedOn w:val="Normal"/>
    <w:next w:val="Normal"/>
    <w:link w:val="Ttulo3Car"/>
    <w:uiPriority w:val="9"/>
    <w:unhideWhenUsed/>
    <w:qFormat/>
    <w:rsid w:val="0076651B"/>
    <w:pPr>
      <w:keepNext/>
      <w:keepLines/>
      <w:outlineLvl w:val="2"/>
    </w:pPr>
    <w:rPr>
      <w:rFonts w:ascii="Verdana" w:eastAsiaTheme="majorEastAsia" w:hAnsi="Verdana" w:cstheme="majorBidi"/>
      <w:b/>
      <w:bCs/>
      <w:sz w:val="20"/>
    </w:rPr>
  </w:style>
  <w:style w:type="paragraph" w:styleId="Ttulo4">
    <w:name w:val="heading 4"/>
    <w:basedOn w:val="Normal"/>
    <w:next w:val="Normal"/>
    <w:link w:val="Ttulo4Car"/>
    <w:uiPriority w:val="9"/>
    <w:unhideWhenUsed/>
    <w:qFormat/>
    <w:rsid w:val="00262F28"/>
    <w:pPr>
      <w:keepNext/>
      <w:keepLines/>
      <w:outlineLvl w:val="3"/>
    </w:pPr>
    <w:rPr>
      <w:rFonts w:ascii="Verdana" w:eastAsiaTheme="majorEastAsia" w:hAnsi="Verdana" w:cstheme="majorBidi"/>
      <w:b/>
      <w:bCs/>
      <w:i/>
      <w:iCs/>
      <w:sz w:val="20"/>
    </w:rPr>
  </w:style>
  <w:style w:type="paragraph" w:styleId="Ttulo5">
    <w:name w:val="heading 5"/>
    <w:basedOn w:val="Normal"/>
    <w:next w:val="Normal"/>
    <w:link w:val="Ttulo5Car"/>
    <w:uiPriority w:val="9"/>
    <w:unhideWhenUsed/>
    <w:qFormat/>
    <w:rsid w:val="009E58AE"/>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Verdana Car"/>
    <w:basedOn w:val="Fuentedeprrafopredeter"/>
    <w:link w:val="Ttulo1"/>
    <w:uiPriority w:val="9"/>
    <w:rsid w:val="00D04032"/>
    <w:rPr>
      <w:rFonts w:ascii="Verdana" w:eastAsia="Times New Roman" w:hAnsi="Verdana" w:cs="Times New Roman"/>
      <w:b/>
      <w:bCs/>
      <w:sz w:val="20"/>
      <w:szCs w:val="28"/>
      <w:lang w:val="es-ES_tradnl"/>
    </w:rPr>
  </w:style>
  <w:style w:type="character" w:customStyle="1" w:styleId="Ttulo2Car">
    <w:name w:val="Título 2 Car"/>
    <w:basedOn w:val="Fuentedeprrafopredeter"/>
    <w:link w:val="Ttulo2"/>
    <w:uiPriority w:val="9"/>
    <w:rsid w:val="0076651B"/>
    <w:rPr>
      <w:rFonts w:ascii="Verdana" w:eastAsia="Times New Roman" w:hAnsi="Verdana" w:cs="Times New Roman"/>
      <w:b/>
      <w:bCs/>
      <w:sz w:val="20"/>
      <w:szCs w:val="26"/>
      <w:lang w:val="es-ES_tradnl"/>
    </w:rPr>
  </w:style>
  <w:style w:type="character" w:customStyle="1" w:styleId="Ttulo3Car">
    <w:name w:val="Título 3 Car"/>
    <w:basedOn w:val="Fuentedeprrafopredeter"/>
    <w:link w:val="Ttulo3"/>
    <w:uiPriority w:val="9"/>
    <w:rsid w:val="0076651B"/>
    <w:rPr>
      <w:rFonts w:ascii="Verdana" w:eastAsiaTheme="majorEastAsia" w:hAnsi="Verdana" w:cstheme="majorBidi"/>
      <w:b/>
      <w:bCs/>
      <w:sz w:val="20"/>
      <w:szCs w:val="24"/>
      <w:lang w:val="es-ES_tradnl"/>
    </w:rPr>
  </w:style>
  <w:style w:type="character" w:customStyle="1" w:styleId="Ttulo4Car">
    <w:name w:val="Título 4 Car"/>
    <w:basedOn w:val="Fuentedeprrafopredeter"/>
    <w:link w:val="Ttulo4"/>
    <w:uiPriority w:val="9"/>
    <w:rsid w:val="00262F28"/>
    <w:rPr>
      <w:rFonts w:ascii="Verdana" w:eastAsiaTheme="majorEastAsia" w:hAnsi="Verdana" w:cstheme="majorBidi"/>
      <w:b/>
      <w:bCs/>
      <w:i/>
      <w:iCs/>
      <w:sz w:val="20"/>
      <w:szCs w:val="24"/>
      <w:lang w:val="es-ES_tradnl"/>
    </w:rPr>
  </w:style>
  <w:style w:type="character" w:customStyle="1" w:styleId="Ttulo5Car">
    <w:name w:val="Título 5 Car"/>
    <w:basedOn w:val="Fuentedeprrafopredeter"/>
    <w:link w:val="Ttulo5"/>
    <w:uiPriority w:val="9"/>
    <w:rsid w:val="009E58AE"/>
    <w:rPr>
      <w:rFonts w:asciiTheme="majorHAnsi" w:eastAsiaTheme="majorEastAsia" w:hAnsiTheme="majorHAnsi" w:cstheme="majorBidi"/>
      <w:color w:val="243F60" w:themeColor="accent1" w:themeShade="7F"/>
    </w:rPr>
  </w:style>
  <w:style w:type="paragraph" w:styleId="Textonotapie">
    <w:name w:val="footnote text"/>
    <w:aliases w:val="2. Footnote Text,Footnote Tesina,Footnote Text Char Char Char Char Char,Footnote Text Char Char Char Char,Footnote reference,FA Fu,Footnote Text Char Char Char,Footnote Text Cha,FA Fußnotentext,FA Fuﬂnotentext,Footnote Text Char Char,Ca,C"/>
    <w:basedOn w:val="Normal"/>
    <w:link w:val="TextonotapieCar"/>
    <w:autoRedefine/>
    <w:uiPriority w:val="99"/>
    <w:unhideWhenUsed/>
    <w:qFormat/>
    <w:rsid w:val="00D61BD2"/>
    <w:pPr>
      <w:widowControl w:val="0"/>
      <w:tabs>
        <w:tab w:val="left" w:pos="720"/>
      </w:tabs>
      <w:spacing w:after="60"/>
      <w:jc w:val="both"/>
    </w:pPr>
    <w:rPr>
      <w:rFonts w:ascii="Verdana" w:eastAsia="Batang" w:hAnsi="Verdana"/>
      <w:sz w:val="16"/>
      <w:szCs w:val="16"/>
      <w:lang w:val="en-US" w:eastAsia="es-ES"/>
    </w:rPr>
  </w:style>
  <w:style w:type="character" w:customStyle="1" w:styleId="TextonotapieCar">
    <w:name w:val="Texto nota pie Car"/>
    <w:aliases w:val="2. Footnote Text Car,Footnote Tesina Car,Footnote Text Char Char Char Char Char Car,Footnote Text Char Char Char Char Car,Footnote reference Car,FA Fu Car,Footnote Text Char Char Char Car,Footnote Text Cha Car,FA Fußnotentext Car"/>
    <w:basedOn w:val="Fuentedeprrafopredeter"/>
    <w:link w:val="Textonotapie"/>
    <w:uiPriority w:val="99"/>
    <w:qFormat/>
    <w:rsid w:val="00D61BD2"/>
    <w:rPr>
      <w:rFonts w:ascii="Verdana" w:eastAsia="Batang" w:hAnsi="Verdana" w:cs="Times New Roman"/>
      <w:sz w:val="16"/>
      <w:szCs w:val="16"/>
      <w:lang w:eastAsia="es-ES"/>
    </w:rPr>
  </w:style>
  <w:style w:type="paragraph" w:styleId="Prrafodelista">
    <w:name w:val="List Paragraph"/>
    <w:aliases w:val="Párrafo de lista1,Footnote,List Paragraph2,List Paragraph1,Colorful List - Accent 11,Lista vistosa - Énfasis 11"/>
    <w:basedOn w:val="Normal"/>
    <w:link w:val="PrrafodelistaCar"/>
    <w:uiPriority w:val="34"/>
    <w:qFormat/>
    <w:rsid w:val="009E58AE"/>
    <w:pPr>
      <w:ind w:left="720"/>
      <w:contextualSpacing/>
    </w:pPr>
  </w:style>
  <w:style w:type="character" w:customStyle="1" w:styleId="PrrafodelistaCar">
    <w:name w:val="Párrafo de lista Car"/>
    <w:aliases w:val="Párrafo de lista1 Car,Footnote Car,List Paragraph2 Car,List Paragraph1 Car,Colorful List - Accent 11 Car,Lista vistosa - Énfasis 11 Car"/>
    <w:basedOn w:val="Fuentedeprrafopredeter"/>
    <w:link w:val="Prrafodelista"/>
    <w:uiPriority w:val="34"/>
    <w:locked/>
    <w:rsid w:val="009E58AE"/>
    <w:rPr>
      <w:rFonts w:ascii="Times New Roman" w:eastAsia="Calibri" w:hAnsi="Times New Roman" w:cs="Times New Roman"/>
      <w:sz w:val="24"/>
      <w:szCs w:val="24"/>
      <w:lang w:val="es-ES_tradnl"/>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link w:val="4GChar"/>
    <w:uiPriority w:val="99"/>
    <w:qFormat/>
    <w:rsid w:val="009E58AE"/>
    <w:rPr>
      <w:rFonts w:ascii="Verdana" w:hAnsi="Verdana" w:cs="Times New Roman"/>
      <w:sz w:val="20"/>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9E58AE"/>
    <w:pPr>
      <w:jc w:val="both"/>
    </w:pPr>
    <w:rPr>
      <w:rFonts w:ascii="Verdana" w:eastAsiaTheme="minorHAnsi" w:hAnsi="Verdana"/>
      <w:sz w:val="20"/>
      <w:szCs w:val="22"/>
      <w:vertAlign w:val="superscript"/>
      <w:lang w:val="en-US"/>
    </w:rPr>
  </w:style>
  <w:style w:type="character" w:styleId="Hipervnculo">
    <w:name w:val="Hyperlink"/>
    <w:aliases w:val="Heading 3 caso"/>
    <w:uiPriority w:val="99"/>
    <w:rsid w:val="009E58AE"/>
    <w:rPr>
      <w:rFonts w:cs="Times New Roman"/>
      <w:color w:val="0000FF"/>
      <w:u w:val="single"/>
    </w:rPr>
  </w:style>
  <w:style w:type="paragraph" w:styleId="TDC1">
    <w:name w:val="toc 1"/>
    <w:basedOn w:val="Normal"/>
    <w:next w:val="Normal"/>
    <w:autoRedefine/>
    <w:uiPriority w:val="39"/>
    <w:unhideWhenUsed/>
    <w:rsid w:val="00BE5A9F"/>
    <w:pPr>
      <w:tabs>
        <w:tab w:val="left" w:pos="0"/>
        <w:tab w:val="right" w:leader="dot" w:pos="8820"/>
      </w:tabs>
      <w:ind w:right="836"/>
      <w:jc w:val="both"/>
    </w:pPr>
    <w:rPr>
      <w:rFonts w:ascii="Verdana" w:hAnsi="Verdana" w:cs="Verdana"/>
      <w:b/>
      <w:caps/>
      <w:noProof/>
      <w:snapToGrid w:val="0"/>
      <w:sz w:val="20"/>
      <w:szCs w:val="20"/>
    </w:rPr>
  </w:style>
  <w:style w:type="paragraph" w:styleId="TDC2">
    <w:name w:val="toc 2"/>
    <w:basedOn w:val="Normal"/>
    <w:next w:val="Normal"/>
    <w:autoRedefine/>
    <w:uiPriority w:val="39"/>
    <w:unhideWhenUsed/>
    <w:rsid w:val="00167383"/>
    <w:pPr>
      <w:tabs>
        <w:tab w:val="left" w:pos="720"/>
        <w:tab w:val="right" w:leader="dot" w:pos="8931"/>
      </w:tabs>
      <w:ind w:left="238" w:right="815"/>
      <w:jc w:val="both"/>
    </w:pPr>
  </w:style>
  <w:style w:type="paragraph" w:styleId="TDC3">
    <w:name w:val="toc 3"/>
    <w:basedOn w:val="Normal"/>
    <w:next w:val="Normal"/>
    <w:autoRedefine/>
    <w:uiPriority w:val="39"/>
    <w:unhideWhenUsed/>
    <w:rsid w:val="009D5837"/>
    <w:pPr>
      <w:tabs>
        <w:tab w:val="left" w:pos="960"/>
        <w:tab w:val="right" w:leader="dot" w:pos="8828"/>
      </w:tabs>
      <w:ind w:left="482" w:right="815"/>
      <w:contextualSpacing/>
    </w:pPr>
  </w:style>
  <w:style w:type="paragraph" w:styleId="Piedepgina">
    <w:name w:val="footer"/>
    <w:basedOn w:val="Normal"/>
    <w:link w:val="PiedepginaCar"/>
    <w:uiPriority w:val="99"/>
    <w:unhideWhenUsed/>
    <w:rsid w:val="009E58AE"/>
    <w:pPr>
      <w:tabs>
        <w:tab w:val="center" w:pos="4419"/>
        <w:tab w:val="right" w:pos="8838"/>
      </w:tabs>
    </w:pPr>
  </w:style>
  <w:style w:type="character" w:customStyle="1" w:styleId="PiedepginaCar">
    <w:name w:val="Pie de página Car"/>
    <w:basedOn w:val="Fuentedeprrafopredeter"/>
    <w:link w:val="Piedepgina"/>
    <w:uiPriority w:val="99"/>
    <w:rsid w:val="009E58AE"/>
    <w:rPr>
      <w:rFonts w:ascii="Times New Roman" w:eastAsia="Calibri" w:hAnsi="Times New Roman" w:cs="Times New Roman"/>
      <w:sz w:val="24"/>
      <w:szCs w:val="24"/>
      <w:lang w:val="es-ES_tradnl"/>
    </w:rPr>
  </w:style>
  <w:style w:type="character" w:styleId="Refdecomentario">
    <w:name w:val="annotation reference"/>
    <w:basedOn w:val="Fuentedeprrafopredeter"/>
    <w:uiPriority w:val="99"/>
    <w:unhideWhenUsed/>
    <w:rsid w:val="009E58AE"/>
    <w:rPr>
      <w:sz w:val="16"/>
      <w:szCs w:val="16"/>
    </w:rPr>
  </w:style>
  <w:style w:type="character" w:customStyle="1" w:styleId="TextocomentarioCar">
    <w:name w:val="Texto comentario Car"/>
    <w:basedOn w:val="Fuentedeprrafopredeter"/>
    <w:link w:val="Textocomentario"/>
    <w:uiPriority w:val="99"/>
    <w:rsid w:val="009E58AE"/>
    <w:rPr>
      <w:rFonts w:ascii="Times New Roman" w:eastAsia="Calibri" w:hAnsi="Times New Roman" w:cs="Times New Roman"/>
      <w:sz w:val="20"/>
      <w:szCs w:val="20"/>
      <w:lang w:val="es-ES_tradnl"/>
    </w:rPr>
  </w:style>
  <w:style w:type="paragraph" w:styleId="Textocomentario">
    <w:name w:val="annotation text"/>
    <w:basedOn w:val="Normal"/>
    <w:link w:val="TextocomentarioCar"/>
    <w:uiPriority w:val="99"/>
    <w:unhideWhenUsed/>
    <w:rsid w:val="009E58AE"/>
    <w:rPr>
      <w:sz w:val="20"/>
      <w:szCs w:val="20"/>
    </w:rPr>
  </w:style>
  <w:style w:type="character" w:customStyle="1" w:styleId="CommentTextChar1">
    <w:name w:val="Comment Text Char1"/>
    <w:basedOn w:val="Fuentedeprrafopredeter"/>
    <w:uiPriority w:val="99"/>
    <w:semiHidden/>
    <w:rsid w:val="009E58AE"/>
    <w:rPr>
      <w:rFonts w:ascii="Times New Roman" w:eastAsia="Calibri" w:hAnsi="Times New Roman" w:cs="Times New Roman"/>
      <w:sz w:val="20"/>
      <w:szCs w:val="20"/>
      <w:lang w:val="es-ES_tradnl"/>
    </w:rPr>
  </w:style>
  <w:style w:type="character" w:customStyle="1" w:styleId="apple-converted-space">
    <w:name w:val="apple-converted-space"/>
    <w:basedOn w:val="Fuentedeprrafopredeter"/>
    <w:rsid w:val="009E58AE"/>
  </w:style>
  <w:style w:type="character" w:styleId="Textoennegrita">
    <w:name w:val="Strong"/>
    <w:basedOn w:val="Fuentedeprrafopredeter"/>
    <w:uiPriority w:val="22"/>
    <w:qFormat/>
    <w:rsid w:val="009E58AE"/>
    <w:rPr>
      <w:b/>
      <w:bCs/>
    </w:rPr>
  </w:style>
  <w:style w:type="character" w:customStyle="1" w:styleId="TextodegloboCar">
    <w:name w:val="Texto de globo Car"/>
    <w:basedOn w:val="Fuentedeprrafopredeter"/>
    <w:link w:val="Textodeglobo"/>
    <w:uiPriority w:val="99"/>
    <w:semiHidden/>
    <w:rsid w:val="009E58AE"/>
    <w:rPr>
      <w:rFonts w:ascii="Tahoma" w:eastAsia="Calibri" w:hAnsi="Tahoma" w:cs="Tahoma"/>
      <w:sz w:val="16"/>
      <w:szCs w:val="16"/>
      <w:lang w:val="es-ES_tradnl"/>
    </w:rPr>
  </w:style>
  <w:style w:type="paragraph" w:styleId="Textodeglobo">
    <w:name w:val="Balloon Text"/>
    <w:basedOn w:val="Normal"/>
    <w:link w:val="TextodegloboCar"/>
    <w:uiPriority w:val="99"/>
    <w:semiHidden/>
    <w:unhideWhenUsed/>
    <w:rsid w:val="009E58AE"/>
    <w:rPr>
      <w:rFonts w:ascii="Tahoma" w:hAnsi="Tahoma" w:cs="Tahoma"/>
      <w:sz w:val="16"/>
      <w:szCs w:val="16"/>
    </w:rPr>
  </w:style>
  <w:style w:type="character" w:customStyle="1" w:styleId="BalloonTextChar1">
    <w:name w:val="Balloon Text Char1"/>
    <w:basedOn w:val="Fuentedeprrafopredeter"/>
    <w:uiPriority w:val="99"/>
    <w:semiHidden/>
    <w:rsid w:val="009E58AE"/>
    <w:rPr>
      <w:rFonts w:ascii="Tahoma" w:eastAsia="Calibri" w:hAnsi="Tahoma" w:cs="Tahoma"/>
      <w:sz w:val="16"/>
      <w:szCs w:val="16"/>
      <w:lang w:val="es-ES_tradnl"/>
    </w:rPr>
  </w:style>
  <w:style w:type="paragraph" w:styleId="Encabezado">
    <w:name w:val="header"/>
    <w:basedOn w:val="Normal"/>
    <w:link w:val="EncabezadoCar"/>
    <w:uiPriority w:val="99"/>
    <w:unhideWhenUsed/>
    <w:rsid w:val="009E58AE"/>
    <w:pPr>
      <w:tabs>
        <w:tab w:val="center" w:pos="4419"/>
        <w:tab w:val="right" w:pos="8838"/>
      </w:tabs>
    </w:pPr>
    <w:rPr>
      <w:rFonts w:asciiTheme="minorHAnsi" w:eastAsiaTheme="minorHAnsi" w:hAnsiTheme="minorHAnsi" w:cstheme="minorBidi"/>
      <w:sz w:val="22"/>
      <w:szCs w:val="22"/>
      <w:lang w:val="es-CR"/>
    </w:rPr>
  </w:style>
  <w:style w:type="character" w:customStyle="1" w:styleId="EncabezadoCar">
    <w:name w:val="Encabezado Car"/>
    <w:basedOn w:val="Fuentedeprrafopredeter"/>
    <w:link w:val="Encabezado"/>
    <w:uiPriority w:val="99"/>
    <w:rsid w:val="009E58AE"/>
    <w:rPr>
      <w:lang w:val="es-CR"/>
    </w:rPr>
  </w:style>
  <w:style w:type="paragraph" w:styleId="Asuntodelcomentario">
    <w:name w:val="annotation subject"/>
    <w:basedOn w:val="Textocomentario"/>
    <w:next w:val="Textocomentario"/>
    <w:link w:val="AsuntodelcomentarioCar"/>
    <w:uiPriority w:val="99"/>
    <w:semiHidden/>
    <w:unhideWhenUsed/>
    <w:rsid w:val="009E58AE"/>
    <w:pPr>
      <w:spacing w:after="200"/>
    </w:pPr>
    <w:rPr>
      <w:rFonts w:asciiTheme="minorHAnsi" w:eastAsiaTheme="minorHAnsi" w:hAnsiTheme="minorHAnsi" w:cstheme="minorBidi"/>
      <w:b/>
      <w:bCs/>
      <w:lang w:val="es-CR"/>
    </w:rPr>
  </w:style>
  <w:style w:type="character" w:customStyle="1" w:styleId="AsuntodelcomentarioCar">
    <w:name w:val="Asunto del comentario Car"/>
    <w:basedOn w:val="CommentTextChar1"/>
    <w:link w:val="Asuntodelcomentario"/>
    <w:uiPriority w:val="99"/>
    <w:semiHidden/>
    <w:rsid w:val="009E58AE"/>
    <w:rPr>
      <w:rFonts w:ascii="Times New Roman" w:eastAsia="Calibri" w:hAnsi="Times New Roman" w:cs="Times New Roman"/>
      <w:b/>
      <w:bCs/>
      <w:sz w:val="20"/>
      <w:szCs w:val="20"/>
      <w:lang w:val="es-CR"/>
    </w:rPr>
  </w:style>
  <w:style w:type="paragraph" w:customStyle="1" w:styleId="Footnotes">
    <w:name w:val="**. Footnotes"/>
    <w:basedOn w:val="Textonotapie"/>
    <w:link w:val="FootnotesChar"/>
    <w:autoRedefine/>
    <w:qFormat/>
    <w:rsid w:val="009E58AE"/>
    <w:pPr>
      <w:spacing w:before="120"/>
    </w:pPr>
    <w:rPr>
      <w:rFonts w:cs="Palatino-Italic"/>
      <w:iCs/>
      <w:lang w:eastAsia="en-US"/>
    </w:rPr>
  </w:style>
  <w:style w:type="character" w:customStyle="1" w:styleId="FootnotesChar">
    <w:name w:val="**. Footnotes Char"/>
    <w:basedOn w:val="Fuentedeprrafopredeter"/>
    <w:link w:val="Footnotes"/>
    <w:rsid w:val="009E58AE"/>
    <w:rPr>
      <w:rFonts w:ascii="Verdana" w:eastAsia="Batang" w:hAnsi="Verdana" w:cs="Palatino-Italic"/>
      <w:iCs/>
      <w:sz w:val="16"/>
      <w:szCs w:val="16"/>
      <w:lang w:val="es-ES"/>
    </w:rPr>
  </w:style>
  <w:style w:type="character" w:customStyle="1" w:styleId="apple-style-span">
    <w:name w:val="apple-style-span"/>
    <w:basedOn w:val="Fuentedeprrafopredeter"/>
    <w:rsid w:val="009E58AE"/>
    <w:rPr>
      <w:rFonts w:cs="Times New Roman"/>
    </w:rPr>
  </w:style>
  <w:style w:type="paragraph" w:customStyle="1" w:styleId="Default">
    <w:name w:val="Default"/>
    <w:rsid w:val="009E58A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0">
    <w:name w:val="Título1"/>
    <w:basedOn w:val="Fuentedeprrafopredeter"/>
    <w:rsid w:val="009E58AE"/>
  </w:style>
  <w:style w:type="paragraph" w:styleId="Sinespaciado">
    <w:name w:val="No Spacing"/>
    <w:uiPriority w:val="1"/>
    <w:qFormat/>
    <w:rsid w:val="009E58AE"/>
    <w:pPr>
      <w:spacing w:after="0" w:line="240" w:lineRule="auto"/>
    </w:pPr>
    <w:rPr>
      <w:rFonts w:eastAsiaTheme="minorEastAsia"/>
    </w:rPr>
  </w:style>
  <w:style w:type="paragraph" w:styleId="TDC4">
    <w:name w:val="toc 4"/>
    <w:basedOn w:val="Normal"/>
    <w:next w:val="Normal"/>
    <w:autoRedefine/>
    <w:uiPriority w:val="39"/>
    <w:unhideWhenUsed/>
    <w:rsid w:val="009E58AE"/>
    <w:pPr>
      <w:spacing w:after="100"/>
      <w:ind w:left="720"/>
    </w:pPr>
  </w:style>
  <w:style w:type="paragraph" w:styleId="TDC5">
    <w:name w:val="toc 5"/>
    <w:basedOn w:val="Normal"/>
    <w:next w:val="Normal"/>
    <w:autoRedefine/>
    <w:uiPriority w:val="39"/>
    <w:unhideWhenUsed/>
    <w:rsid w:val="009E58AE"/>
    <w:pPr>
      <w:spacing w:after="100"/>
      <w:ind w:left="960"/>
    </w:pPr>
  </w:style>
  <w:style w:type="character" w:styleId="Nmerodelnea">
    <w:name w:val="line number"/>
    <w:basedOn w:val="Fuentedeprrafopredeter"/>
    <w:uiPriority w:val="99"/>
    <w:unhideWhenUsed/>
    <w:rsid w:val="009E58AE"/>
    <w:rPr>
      <w:rFonts w:ascii="Verdana" w:hAnsi="Verdana"/>
      <w:sz w:val="20"/>
    </w:rPr>
  </w:style>
  <w:style w:type="paragraph" w:customStyle="1" w:styleId="PrrafodeSentencia">
    <w:name w:val="*. Párrafo de Sentencia"/>
    <w:link w:val="PrrafodeSentenciaChar"/>
    <w:autoRedefine/>
    <w:qFormat/>
    <w:rsid w:val="009E58AE"/>
    <w:pPr>
      <w:tabs>
        <w:tab w:val="left" w:pos="0"/>
        <w:tab w:val="left" w:pos="567"/>
      </w:tabs>
      <w:spacing w:after="0" w:line="240" w:lineRule="auto"/>
      <w:jc w:val="both"/>
    </w:pPr>
    <w:rPr>
      <w:rFonts w:ascii="Verdana" w:eastAsia="Batang" w:hAnsi="Verdana" w:cs="Times New Roman"/>
      <w:sz w:val="16"/>
      <w:szCs w:val="16"/>
      <w:lang w:val="es-MX" w:eastAsia="es-MX"/>
    </w:rPr>
  </w:style>
  <w:style w:type="character" w:customStyle="1" w:styleId="PrrafodeSentenciaChar">
    <w:name w:val="*. Párrafo de Sentencia Char"/>
    <w:link w:val="PrrafodeSentencia"/>
    <w:rsid w:val="009E58AE"/>
    <w:rPr>
      <w:rFonts w:ascii="Verdana" w:eastAsia="Batang" w:hAnsi="Verdana" w:cs="Times New Roman"/>
      <w:sz w:val="16"/>
      <w:szCs w:val="16"/>
      <w:lang w:val="es-MX" w:eastAsia="es-MX"/>
    </w:rPr>
  </w:style>
  <w:style w:type="character" w:customStyle="1" w:styleId="hps">
    <w:name w:val="hps"/>
    <w:basedOn w:val="Fuentedeprrafopredeter"/>
    <w:rsid w:val="009E58AE"/>
  </w:style>
  <w:style w:type="paragraph" w:styleId="HTMLconformatoprevio">
    <w:name w:val="HTML Preformatted"/>
    <w:basedOn w:val="Normal"/>
    <w:link w:val="HTMLconformatoprevioCar"/>
    <w:uiPriority w:val="99"/>
    <w:unhideWhenUsed/>
    <w:rsid w:val="009E5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conformatoprevioCar">
    <w:name w:val="HTML con formato previo Car"/>
    <w:basedOn w:val="Fuentedeprrafopredeter"/>
    <w:link w:val="HTMLconformatoprevio"/>
    <w:uiPriority w:val="99"/>
    <w:rsid w:val="009E58AE"/>
    <w:rPr>
      <w:rFonts w:ascii="Courier New" w:eastAsia="Times New Roman" w:hAnsi="Courier New" w:cs="Times New Roman"/>
      <w:sz w:val="20"/>
      <w:szCs w:val="20"/>
      <w:lang w:val="es-ES_tradnl"/>
    </w:rPr>
  </w:style>
  <w:style w:type="paragraph" w:customStyle="1" w:styleId="2Footnotes">
    <w:name w:val="2. Footnotes"/>
    <w:basedOn w:val="Textonotapie"/>
    <w:link w:val="2FootnotesChar"/>
    <w:autoRedefine/>
    <w:qFormat/>
    <w:rsid w:val="009E58AE"/>
    <w:pPr>
      <w:spacing w:before="120"/>
    </w:pPr>
    <w:rPr>
      <w:rFonts w:eastAsia="Times New Roman" w:cs="Palatino-Italic"/>
      <w:iCs/>
      <w:noProof/>
      <w:szCs w:val="18"/>
      <w:lang w:eastAsia="en-US"/>
    </w:rPr>
  </w:style>
  <w:style w:type="character" w:customStyle="1" w:styleId="2FootnotesChar">
    <w:name w:val="2. Footnotes Char"/>
    <w:link w:val="2Footnotes"/>
    <w:rsid w:val="009E58AE"/>
    <w:rPr>
      <w:rFonts w:ascii="Verdana" w:eastAsia="Times New Roman" w:hAnsi="Verdana" w:cs="Palatino-Italic"/>
      <w:iCs/>
      <w:noProof/>
      <w:sz w:val="16"/>
      <w:szCs w:val="18"/>
      <w:lang w:val="es-ES"/>
    </w:rPr>
  </w:style>
  <w:style w:type="paragraph" w:styleId="NormalWeb">
    <w:name w:val="Normal (Web)"/>
    <w:aliases w:val="Normal (Web) Char1,Normal (Web) Char Char,Normal (Web) Char1 Char,Normal (Web) Char Char Char"/>
    <w:basedOn w:val="Normal"/>
    <w:uiPriority w:val="99"/>
    <w:unhideWhenUsed/>
    <w:rsid w:val="009E58AE"/>
    <w:pPr>
      <w:spacing w:before="100" w:beforeAutospacing="1" w:after="100" w:afterAutospacing="1"/>
    </w:pPr>
    <w:rPr>
      <w:rFonts w:eastAsia="Times New Roman"/>
      <w:lang w:val="es-CR" w:eastAsia="es-CR"/>
    </w:rPr>
  </w:style>
  <w:style w:type="paragraph" w:customStyle="1" w:styleId="xmsonormal">
    <w:name w:val="x_msonormal"/>
    <w:basedOn w:val="Normal"/>
    <w:rsid w:val="009E58AE"/>
    <w:pPr>
      <w:spacing w:before="100" w:beforeAutospacing="1" w:after="100" w:afterAutospacing="1"/>
    </w:pPr>
    <w:rPr>
      <w:rFonts w:eastAsia="Times New Roman"/>
      <w:lang w:val="en-US"/>
    </w:rPr>
  </w:style>
  <w:style w:type="paragraph" w:customStyle="1" w:styleId="HChG">
    <w:name w:val="_ H _Ch_G"/>
    <w:basedOn w:val="Normal"/>
    <w:next w:val="Normal"/>
    <w:rsid w:val="009E58AE"/>
    <w:pPr>
      <w:keepNext/>
      <w:keepLines/>
      <w:tabs>
        <w:tab w:val="right" w:pos="851"/>
      </w:tabs>
      <w:suppressAutoHyphens/>
      <w:spacing w:before="360" w:after="240" w:line="300" w:lineRule="exact"/>
      <w:ind w:left="1134" w:right="1134" w:hanging="1134"/>
    </w:pPr>
    <w:rPr>
      <w:rFonts w:eastAsia="Times New Roman"/>
      <w:b/>
      <w:sz w:val="28"/>
      <w:szCs w:val="20"/>
      <w:lang w:val="es-ES" w:eastAsia="es-ES"/>
    </w:rPr>
  </w:style>
  <w:style w:type="paragraph" w:customStyle="1" w:styleId="H1G">
    <w:name w:val="_ H_1_G"/>
    <w:basedOn w:val="Normal"/>
    <w:next w:val="Normal"/>
    <w:rsid w:val="009E58AE"/>
    <w:pPr>
      <w:keepNext/>
      <w:keepLines/>
      <w:tabs>
        <w:tab w:val="right" w:pos="851"/>
      </w:tabs>
      <w:suppressAutoHyphens/>
      <w:spacing w:before="360" w:after="240" w:line="270" w:lineRule="exact"/>
      <w:ind w:left="1134" w:right="1134" w:hanging="1134"/>
    </w:pPr>
    <w:rPr>
      <w:rFonts w:eastAsia="Times New Roman"/>
      <w:b/>
      <w:szCs w:val="20"/>
      <w:lang w:val="es-ES" w:eastAsia="es-ES"/>
    </w:rPr>
  </w:style>
  <w:style w:type="paragraph" w:customStyle="1" w:styleId="Estilo1">
    <w:name w:val="Estilo1"/>
    <w:basedOn w:val="Prrafodelista"/>
    <w:link w:val="Estilo1Car"/>
    <w:qFormat/>
    <w:rsid w:val="009E58AE"/>
    <w:pPr>
      <w:numPr>
        <w:numId w:val="3"/>
      </w:numPr>
      <w:spacing w:after="240"/>
      <w:contextualSpacing w:val="0"/>
      <w:jc w:val="both"/>
    </w:pPr>
    <w:rPr>
      <w:lang w:val="es-UY"/>
    </w:rPr>
  </w:style>
  <w:style w:type="character" w:customStyle="1" w:styleId="Estilo1Car">
    <w:name w:val="Estilo1 Car"/>
    <w:link w:val="Estilo1"/>
    <w:locked/>
    <w:rsid w:val="009E58AE"/>
    <w:rPr>
      <w:rFonts w:ascii="Times New Roman" w:eastAsia="Calibri" w:hAnsi="Times New Roman" w:cs="Times New Roman"/>
      <w:sz w:val="24"/>
      <w:szCs w:val="24"/>
      <w:lang w:val="es-UY"/>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ﬂnotentext Car1,Ca Car,C Car"/>
    <w:basedOn w:val="Fuentedeprrafopredeter"/>
    <w:qFormat/>
    <w:locked/>
    <w:rsid w:val="009E58AE"/>
    <w:rPr>
      <w:rFonts w:ascii="Verdana" w:eastAsia="MS Mincho" w:hAnsi="Verdana" w:cs="Times"/>
      <w:sz w:val="16"/>
      <w:szCs w:val="24"/>
      <w:lang w:val="es-ES_tradnl"/>
    </w:rPr>
  </w:style>
  <w:style w:type="character" w:customStyle="1" w:styleId="Smbolodenotaalpie">
    <w:name w:val="Símbolo de nota al pie"/>
    <w:rsid w:val="009E58AE"/>
    <w:rPr>
      <w:vertAlign w:val="superscript"/>
    </w:rPr>
  </w:style>
  <w:style w:type="paragraph" w:styleId="Textoindependiente">
    <w:name w:val="Body Text"/>
    <w:basedOn w:val="Normal"/>
    <w:link w:val="TextoindependienteCar"/>
    <w:uiPriority w:val="99"/>
    <w:semiHidden/>
    <w:unhideWhenUsed/>
    <w:rsid w:val="009E58AE"/>
    <w:pPr>
      <w:jc w:val="both"/>
    </w:pPr>
    <w:rPr>
      <w:rFonts w:ascii="Garamond" w:eastAsia="Times" w:hAnsi="Garamond"/>
      <w:noProof/>
      <w:sz w:val="22"/>
      <w:szCs w:val="20"/>
    </w:rPr>
  </w:style>
  <w:style w:type="character" w:customStyle="1" w:styleId="TextoindependienteCar">
    <w:name w:val="Texto independiente Car"/>
    <w:basedOn w:val="Fuentedeprrafopredeter"/>
    <w:link w:val="Textoindependiente"/>
    <w:uiPriority w:val="99"/>
    <w:semiHidden/>
    <w:rsid w:val="009E58AE"/>
    <w:rPr>
      <w:rFonts w:ascii="Garamond" w:eastAsia="Times" w:hAnsi="Garamond" w:cs="Times New Roman"/>
      <w:noProof/>
      <w:szCs w:val="20"/>
      <w:lang w:val="es-ES_tradnl"/>
    </w:rPr>
  </w:style>
  <w:style w:type="character" w:customStyle="1" w:styleId="SangradetextonormalCar">
    <w:name w:val="Sangría de texto normal Car"/>
    <w:basedOn w:val="Fuentedeprrafopredeter"/>
    <w:link w:val="Sangradetextonormal"/>
    <w:uiPriority w:val="99"/>
    <w:semiHidden/>
    <w:rsid w:val="009E58AE"/>
    <w:rPr>
      <w:rFonts w:ascii="Times New Roman" w:eastAsia="Calibri" w:hAnsi="Times New Roman" w:cs="Times New Roman"/>
      <w:sz w:val="24"/>
      <w:szCs w:val="24"/>
      <w:lang w:val="es-ES_tradnl"/>
    </w:rPr>
  </w:style>
  <w:style w:type="paragraph" w:styleId="Sangradetextonormal">
    <w:name w:val="Body Text Indent"/>
    <w:basedOn w:val="Normal"/>
    <w:link w:val="SangradetextonormalCar"/>
    <w:uiPriority w:val="99"/>
    <w:semiHidden/>
    <w:unhideWhenUsed/>
    <w:rsid w:val="009E58AE"/>
    <w:pPr>
      <w:spacing w:after="120"/>
      <w:ind w:left="283"/>
    </w:pPr>
  </w:style>
  <w:style w:type="character" w:customStyle="1" w:styleId="BodyTextIndentChar1">
    <w:name w:val="Body Text Indent Char1"/>
    <w:basedOn w:val="Fuentedeprrafopredeter"/>
    <w:uiPriority w:val="99"/>
    <w:semiHidden/>
    <w:rsid w:val="009E58AE"/>
    <w:rPr>
      <w:rFonts w:ascii="Times New Roman" w:eastAsia="Calibri" w:hAnsi="Times New Roman" w:cs="Times New Roman"/>
      <w:sz w:val="24"/>
      <w:szCs w:val="24"/>
      <w:lang w:val="es-ES_tradnl"/>
    </w:rPr>
  </w:style>
  <w:style w:type="character" w:customStyle="1" w:styleId="Estilo1Char">
    <w:name w:val="Estilo1 Char"/>
    <w:rsid w:val="009E58AE"/>
    <w:rPr>
      <w:rFonts w:ascii="Verdana" w:eastAsia="Calibri" w:hAnsi="Verdana" w:cs="Times New Roman"/>
      <w:sz w:val="20"/>
      <w:szCs w:val="20"/>
      <w:lang w:val="es-ES"/>
    </w:rPr>
  </w:style>
  <w:style w:type="paragraph" w:customStyle="1" w:styleId="Estilo2">
    <w:name w:val="Estilo2"/>
    <w:basedOn w:val="Normal"/>
    <w:qFormat/>
    <w:rsid w:val="009E58AE"/>
    <w:pPr>
      <w:tabs>
        <w:tab w:val="left" w:pos="567"/>
        <w:tab w:val="left" w:pos="1134"/>
        <w:tab w:val="num" w:pos="4767"/>
      </w:tabs>
      <w:spacing w:after="120"/>
      <w:ind w:left="4767" w:hanging="360"/>
      <w:jc w:val="both"/>
    </w:pPr>
    <w:rPr>
      <w:rFonts w:ascii="Verdana" w:hAnsi="Verdana"/>
      <w:sz w:val="20"/>
      <w:szCs w:val="20"/>
      <w:lang w:val="es-ES"/>
    </w:rPr>
  </w:style>
  <w:style w:type="paragraph" w:styleId="Sangra3detindependiente">
    <w:name w:val="Body Text Indent 3"/>
    <w:basedOn w:val="Normal"/>
    <w:link w:val="Sangra3detindependienteCar"/>
    <w:rsid w:val="009E58AE"/>
    <w:pPr>
      <w:ind w:left="720"/>
      <w:jc w:val="both"/>
    </w:pPr>
    <w:rPr>
      <w:rFonts w:ascii="Verdana" w:eastAsia="Times" w:hAnsi="Verdana"/>
      <w:b/>
      <w:sz w:val="22"/>
      <w:szCs w:val="20"/>
      <w:lang w:eastAsia="es-ES"/>
    </w:rPr>
  </w:style>
  <w:style w:type="character" w:customStyle="1" w:styleId="Sangra3detindependienteCar">
    <w:name w:val="Sangría 3 de t. independiente Car"/>
    <w:basedOn w:val="Fuentedeprrafopredeter"/>
    <w:link w:val="Sangra3detindependiente"/>
    <w:rsid w:val="009E58AE"/>
    <w:rPr>
      <w:rFonts w:ascii="Verdana" w:eastAsia="Times" w:hAnsi="Verdana" w:cs="Times New Roman"/>
      <w:b/>
      <w:szCs w:val="20"/>
      <w:lang w:val="es-ES_tradnl" w:eastAsia="es-ES"/>
    </w:rPr>
  </w:style>
  <w:style w:type="paragraph" w:customStyle="1" w:styleId="Estilo7">
    <w:name w:val="Estilo7"/>
    <w:basedOn w:val="Normal"/>
    <w:qFormat/>
    <w:rsid w:val="009E58AE"/>
    <w:pPr>
      <w:tabs>
        <w:tab w:val="left" w:pos="567"/>
        <w:tab w:val="left" w:pos="851"/>
        <w:tab w:val="num" w:pos="2160"/>
      </w:tabs>
      <w:spacing w:before="120" w:after="120"/>
      <w:ind w:left="2160" w:hanging="180"/>
      <w:jc w:val="both"/>
    </w:pPr>
    <w:rPr>
      <w:rFonts w:ascii="Verdana" w:eastAsia="Batang" w:hAnsi="Verdana"/>
      <w:b/>
      <w:i/>
      <w:sz w:val="20"/>
      <w:szCs w:val="20"/>
      <w:lang w:eastAsia="es-MX"/>
    </w:rPr>
  </w:style>
  <w:style w:type="paragraph" w:customStyle="1" w:styleId="Sangradetindependiente">
    <w:name w:val="Sangr’a de t. independiente"/>
    <w:basedOn w:val="Normal"/>
    <w:rsid w:val="009E58AE"/>
    <w:pPr>
      <w:overflowPunct w:val="0"/>
      <w:autoSpaceDE w:val="0"/>
      <w:autoSpaceDN w:val="0"/>
      <w:adjustRightInd w:val="0"/>
      <w:jc w:val="both"/>
      <w:textAlignment w:val="baseline"/>
    </w:pPr>
    <w:rPr>
      <w:rFonts w:eastAsia="Times New Roman"/>
      <w:szCs w:val="20"/>
      <w:lang w:eastAsia="es-ES"/>
    </w:rPr>
  </w:style>
  <w:style w:type="paragraph" w:styleId="Textonotaalfinal">
    <w:name w:val="endnote text"/>
    <w:basedOn w:val="Normal"/>
    <w:link w:val="TextonotaalfinalCar"/>
    <w:rsid w:val="009E58AE"/>
    <w:rPr>
      <w:rFonts w:ascii="Verdana" w:eastAsia="Times" w:hAnsi="Verdana"/>
      <w:sz w:val="20"/>
      <w:szCs w:val="20"/>
      <w:lang w:val="es-CR"/>
    </w:rPr>
  </w:style>
  <w:style w:type="character" w:customStyle="1" w:styleId="TextonotaalfinalCar">
    <w:name w:val="Texto nota al final Car"/>
    <w:basedOn w:val="Fuentedeprrafopredeter"/>
    <w:link w:val="Textonotaalfinal"/>
    <w:rsid w:val="009E58AE"/>
    <w:rPr>
      <w:rFonts w:ascii="Verdana" w:eastAsia="Times" w:hAnsi="Verdana" w:cs="Times New Roman"/>
      <w:sz w:val="20"/>
      <w:szCs w:val="20"/>
      <w:lang w:val="es-CR"/>
    </w:rPr>
  </w:style>
  <w:style w:type="character" w:customStyle="1" w:styleId="Caracteresdenotafinal">
    <w:name w:val="Caracteres de nota final"/>
    <w:basedOn w:val="Fuentedeprrafopredeter"/>
    <w:rsid w:val="009E58AE"/>
    <w:rPr>
      <w:vertAlign w:val="superscript"/>
    </w:rPr>
  </w:style>
  <w:style w:type="character" w:customStyle="1" w:styleId="normalchar1">
    <w:name w:val="normal__char1"/>
    <w:basedOn w:val="Fuentedeprrafopredeter"/>
    <w:rsid w:val="009E58AE"/>
    <w:rPr>
      <w:rFonts w:ascii="Verdana" w:hAnsi="Verdana" w:hint="default"/>
      <w:sz w:val="20"/>
      <w:szCs w:val="20"/>
    </w:rPr>
  </w:style>
  <w:style w:type="character" w:customStyle="1" w:styleId="FootnoteTextCharCar">
    <w:name w:val="Footnote Text Char Car"/>
    <w:aliases w:val="FA Car,Note de bas de page Car Car Car"/>
    <w:basedOn w:val="Fuentedeprrafopredeter"/>
    <w:uiPriority w:val="99"/>
    <w:locked/>
    <w:rsid w:val="009E58AE"/>
  </w:style>
  <w:style w:type="character" w:customStyle="1" w:styleId="sb8d990e2">
    <w:name w:val="sb8d990e2"/>
    <w:rsid w:val="009E58AE"/>
  </w:style>
  <w:style w:type="paragraph" w:customStyle="1" w:styleId="Prrafodelista2">
    <w:name w:val="Párrafo de lista2"/>
    <w:basedOn w:val="Normal"/>
    <w:uiPriority w:val="99"/>
    <w:rsid w:val="009E58AE"/>
    <w:pPr>
      <w:ind w:left="720"/>
    </w:pPr>
    <w:rPr>
      <w:rFonts w:ascii="Verdana" w:eastAsia="MS Mincho" w:hAnsi="Verdana"/>
      <w:sz w:val="20"/>
      <w:szCs w:val="20"/>
      <w:lang w:bidi="en-US"/>
    </w:rPr>
  </w:style>
  <w:style w:type="character" w:customStyle="1" w:styleId="st1">
    <w:name w:val="st1"/>
    <w:basedOn w:val="Fuentedeprrafopredeter"/>
    <w:rsid w:val="009E58AE"/>
  </w:style>
  <w:style w:type="paragraph" w:styleId="Revisin">
    <w:name w:val="Revision"/>
    <w:hidden/>
    <w:uiPriority w:val="99"/>
    <w:semiHidden/>
    <w:rsid w:val="002C1303"/>
    <w:pPr>
      <w:spacing w:after="0" w:line="240" w:lineRule="auto"/>
    </w:pPr>
    <w:rPr>
      <w:rFonts w:ascii="Times New Roman" w:eastAsia="Calibri" w:hAnsi="Times New Roman" w:cs="Times New Roman"/>
      <w:sz w:val="24"/>
      <w:szCs w:val="24"/>
      <w:lang w:val="es-ES_tradnl"/>
    </w:rPr>
  </w:style>
  <w:style w:type="paragraph" w:customStyle="1" w:styleId="NormalNumbered">
    <w:name w:val="Normal Numbered"/>
    <w:basedOn w:val="Normal"/>
    <w:qFormat/>
    <w:rsid w:val="00F54FF1"/>
    <w:pPr>
      <w:numPr>
        <w:numId w:val="6"/>
      </w:numPr>
      <w:ind w:left="0" w:firstLine="0"/>
      <w:jc w:val="both"/>
    </w:pPr>
    <w:rPr>
      <w:rFonts w:ascii="Verdana" w:eastAsia="Times New Roman" w:hAnsi="Verdana"/>
      <w:sz w:val="20"/>
      <w:szCs w:val="20"/>
      <w:lang w:val="x-none" w:eastAsia="x-none"/>
    </w:rPr>
  </w:style>
  <w:style w:type="numbering" w:customStyle="1" w:styleId="NoList1">
    <w:name w:val="No List1"/>
    <w:next w:val="Sinlista"/>
    <w:uiPriority w:val="99"/>
    <w:semiHidden/>
    <w:unhideWhenUsed/>
    <w:rsid w:val="00C01305"/>
  </w:style>
  <w:style w:type="paragraph" w:customStyle="1" w:styleId="ju-005fpara-002cleft-002cfirst-0020line-003a-0020-00200-0020cm">
    <w:name w:val="ju-005fpara-002cleft-002cfirst-0020line-003a-0020-00200-0020cm"/>
    <w:basedOn w:val="Normal"/>
    <w:rsid w:val="00C01305"/>
    <w:pPr>
      <w:spacing w:after="135"/>
    </w:pPr>
    <w:rPr>
      <w:rFonts w:eastAsia="Times New Roman"/>
      <w:lang w:val="es-MX" w:eastAsia="es-MX"/>
    </w:rPr>
  </w:style>
  <w:style w:type="character" w:customStyle="1" w:styleId="ju-005fpara-002cleft-002cfirst-0020line-003a-0020-00200-0020cm--char">
    <w:name w:val="ju-005fpara-002cleft-002cfirst-0020line-003a-0020-00200-0020cm--char"/>
    <w:rsid w:val="00C01305"/>
  </w:style>
  <w:style w:type="character" w:customStyle="1" w:styleId="PrrafodelistaCar1">
    <w:name w:val="Párrafo de lista Car1"/>
    <w:basedOn w:val="Fuentedeprrafopredeter"/>
    <w:uiPriority w:val="99"/>
    <w:locked/>
    <w:rsid w:val="00C01305"/>
    <w:rPr>
      <w:rFonts w:ascii="Verdana" w:hAnsi="Verdana" w:cs="Verdana"/>
      <w:lang w:eastAsia="en-US"/>
    </w:rPr>
  </w:style>
  <w:style w:type="character" w:customStyle="1" w:styleId="TextocomentarioCar1">
    <w:name w:val="Texto comentario Car1"/>
    <w:basedOn w:val="Fuentedeprrafopredeter"/>
    <w:uiPriority w:val="99"/>
    <w:semiHidden/>
    <w:rsid w:val="00C01305"/>
    <w:rPr>
      <w:sz w:val="20"/>
      <w:szCs w:val="20"/>
    </w:rPr>
  </w:style>
  <w:style w:type="paragraph" w:customStyle="1" w:styleId="Body1">
    <w:name w:val="Body 1"/>
    <w:link w:val="Body1Char"/>
    <w:rsid w:val="00AF7637"/>
    <w:pPr>
      <w:outlineLvl w:val="0"/>
    </w:pPr>
    <w:rPr>
      <w:rFonts w:ascii="Helvetica" w:eastAsia="ヒラギノ角ゴ Pro W3" w:hAnsi="Helvetica" w:cs="Times New Roman"/>
      <w:color w:val="000000"/>
      <w:szCs w:val="20"/>
      <w:lang w:eastAsia="es-CR"/>
    </w:rPr>
  </w:style>
  <w:style w:type="character" w:customStyle="1" w:styleId="Body1Char">
    <w:name w:val="Body 1 Char"/>
    <w:link w:val="Body1"/>
    <w:rsid w:val="00AF7637"/>
    <w:rPr>
      <w:rFonts w:ascii="Helvetica" w:eastAsia="ヒラギノ角ゴ Pro W3" w:hAnsi="Helvetica" w:cs="Times New Roman"/>
      <w:color w:val="000000"/>
      <w:szCs w:val="20"/>
      <w:lang w:eastAsia="es-CR"/>
    </w:rPr>
  </w:style>
  <w:style w:type="paragraph" w:customStyle="1" w:styleId="style11">
    <w:name w:val="style11"/>
    <w:basedOn w:val="Normal"/>
    <w:rsid w:val="0088700B"/>
    <w:pPr>
      <w:spacing w:before="192" w:after="192"/>
      <w:ind w:left="120" w:right="144"/>
      <w:jc w:val="both"/>
    </w:pPr>
    <w:rPr>
      <w:rFonts w:eastAsia="Times New Roman"/>
      <w:lang w:val="es-MX" w:eastAsia="es-MX"/>
    </w:rPr>
  </w:style>
  <w:style w:type="paragraph" w:customStyle="1" w:styleId="Style1">
    <w:name w:val="Style1"/>
    <w:basedOn w:val="Prrafodelista"/>
    <w:link w:val="Style1Char"/>
    <w:qFormat/>
    <w:rsid w:val="00F83E8F"/>
    <w:pPr>
      <w:numPr>
        <w:numId w:val="25"/>
      </w:numPr>
      <w:spacing w:after="160" w:line="256" w:lineRule="auto"/>
      <w:jc w:val="center"/>
    </w:pPr>
    <w:rPr>
      <w:rFonts w:ascii="Verdana" w:eastAsia="Times New Roman" w:hAnsi="Verdana"/>
      <w:b/>
      <w:sz w:val="20"/>
      <w:szCs w:val="20"/>
      <w:u w:val="single"/>
      <w:lang w:val="es-MX"/>
    </w:rPr>
  </w:style>
  <w:style w:type="character" w:customStyle="1" w:styleId="Style1Char">
    <w:name w:val="Style1 Char"/>
    <w:basedOn w:val="PrrafodelistaCar"/>
    <w:link w:val="Style1"/>
    <w:rsid w:val="00F83E8F"/>
    <w:rPr>
      <w:rFonts w:ascii="Verdana" w:eastAsia="Times New Roman" w:hAnsi="Verdana" w:cs="Times New Roman"/>
      <w:b/>
      <w:sz w:val="20"/>
      <w:szCs w:val="20"/>
      <w:u w:val="single"/>
      <w:lang w:val="es-MX"/>
    </w:rPr>
  </w:style>
  <w:style w:type="paragraph" w:styleId="Cita">
    <w:name w:val="Quote"/>
    <w:basedOn w:val="Normal"/>
    <w:next w:val="Normal"/>
    <w:link w:val="CitaCar"/>
    <w:uiPriority w:val="29"/>
    <w:qFormat/>
    <w:rsid w:val="00F83E8F"/>
    <w:pPr>
      <w:spacing w:before="200" w:after="160"/>
      <w:ind w:left="864" w:right="864"/>
      <w:jc w:val="center"/>
    </w:pPr>
    <w:rPr>
      <w:rFonts w:ascii="Verdana" w:eastAsia="Times New Roman" w:hAnsi="Verdana"/>
      <w:i/>
      <w:iCs/>
      <w:color w:val="404040" w:themeColor="text1" w:themeTint="BF"/>
      <w:sz w:val="20"/>
      <w:lang w:val="en-US"/>
    </w:rPr>
  </w:style>
  <w:style w:type="character" w:customStyle="1" w:styleId="CitaCar">
    <w:name w:val="Cita Car"/>
    <w:basedOn w:val="Fuentedeprrafopredeter"/>
    <w:link w:val="Cita"/>
    <w:uiPriority w:val="29"/>
    <w:rsid w:val="00F83E8F"/>
    <w:rPr>
      <w:rFonts w:ascii="Verdana" w:eastAsia="Times New Roman" w:hAnsi="Verdana" w:cs="Times New Roman"/>
      <w:i/>
      <w:iCs/>
      <w:color w:val="404040" w:themeColor="text1" w:themeTint="BF"/>
      <w:sz w:val="20"/>
      <w:szCs w:val="24"/>
    </w:rPr>
  </w:style>
  <w:style w:type="paragraph" w:customStyle="1" w:styleId="s32b251d">
    <w:name w:val="s32b251d"/>
    <w:basedOn w:val="Normal"/>
    <w:rsid w:val="00F83E8F"/>
    <w:pPr>
      <w:spacing w:before="100" w:beforeAutospacing="1" w:after="100" w:afterAutospacing="1"/>
    </w:pPr>
    <w:rPr>
      <w:rFonts w:ascii="Times" w:eastAsiaTheme="minorHAnsi" w:hAnsi="Times" w:cstheme="minorBidi"/>
      <w:noProof/>
      <w:sz w:val="20"/>
      <w:szCs w:val="20"/>
      <w:lang w:eastAsia="es-ES"/>
    </w:rPr>
  </w:style>
  <w:style w:type="paragraph" w:customStyle="1" w:styleId="Estilo4">
    <w:name w:val="Estilo4"/>
    <w:basedOn w:val="Prrafodelista"/>
    <w:link w:val="Estilo4Car"/>
    <w:qFormat/>
    <w:rsid w:val="00F83E8F"/>
    <w:pPr>
      <w:numPr>
        <w:numId w:val="29"/>
      </w:numPr>
      <w:spacing w:after="120"/>
      <w:ind w:left="0" w:firstLine="357"/>
      <w:contextualSpacing w:val="0"/>
      <w:jc w:val="both"/>
    </w:pPr>
    <w:rPr>
      <w:rFonts w:ascii="Verdana" w:eastAsia="Times New Roman" w:hAnsi="Verdana"/>
      <w:spacing w:val="-2"/>
      <w:sz w:val="20"/>
      <w:szCs w:val="20"/>
      <w:lang w:val="es-CR"/>
    </w:rPr>
  </w:style>
  <w:style w:type="character" w:customStyle="1" w:styleId="Estilo4Car">
    <w:name w:val="Estilo4 Car"/>
    <w:basedOn w:val="Fuentedeprrafopredeter"/>
    <w:link w:val="Estilo4"/>
    <w:rsid w:val="00F83E8F"/>
    <w:rPr>
      <w:rFonts w:ascii="Verdana" w:eastAsia="Times New Roman" w:hAnsi="Verdana" w:cs="Times New Roman"/>
      <w:spacing w:val="-2"/>
      <w:sz w:val="20"/>
      <w:szCs w:val="20"/>
      <w:lang w:val="es-CR"/>
    </w:rPr>
  </w:style>
  <w:style w:type="character" w:styleId="Nmerodepgina">
    <w:name w:val="page number"/>
    <w:basedOn w:val="Fuentedeprrafopredeter"/>
    <w:uiPriority w:val="99"/>
    <w:semiHidden/>
    <w:unhideWhenUsed/>
    <w:rsid w:val="00F83E8F"/>
  </w:style>
  <w:style w:type="character" w:styleId="Hipervnculovisitado">
    <w:name w:val="FollowedHyperlink"/>
    <w:basedOn w:val="Fuentedeprrafopredeter"/>
    <w:uiPriority w:val="99"/>
    <w:semiHidden/>
    <w:unhideWhenUsed/>
    <w:rsid w:val="00F83E8F"/>
    <w:rPr>
      <w:color w:val="800080" w:themeColor="followedHyperlink"/>
      <w:u w:val="single"/>
    </w:rPr>
  </w:style>
  <w:style w:type="character" w:styleId="Mencinsinresolver">
    <w:name w:val="Unresolved Mention"/>
    <w:basedOn w:val="Fuentedeprrafopredeter"/>
    <w:uiPriority w:val="99"/>
    <w:semiHidden/>
    <w:unhideWhenUsed/>
    <w:rsid w:val="00BC466E"/>
    <w:rPr>
      <w:color w:val="605E5C"/>
      <w:shd w:val="clear" w:color="auto" w:fill="E1DFDD"/>
    </w:rPr>
  </w:style>
  <w:style w:type="character" w:customStyle="1" w:styleId="e24kjd">
    <w:name w:val="e24kjd"/>
    <w:basedOn w:val="Fuentedeprrafopredeter"/>
    <w:rsid w:val="00097299"/>
  </w:style>
  <w:style w:type="character" w:customStyle="1" w:styleId="st">
    <w:name w:val="st"/>
    <w:basedOn w:val="Fuentedeprrafopredeter"/>
    <w:rsid w:val="00D859A4"/>
  </w:style>
  <w:style w:type="character" w:customStyle="1" w:styleId="highlight">
    <w:name w:val="highlight"/>
    <w:basedOn w:val="Fuentedeprrafopredeter"/>
    <w:rsid w:val="00C32ECE"/>
  </w:style>
  <w:style w:type="character" w:customStyle="1" w:styleId="tagtrans">
    <w:name w:val="tag_trans"/>
    <w:basedOn w:val="Fuentedeprrafopredeter"/>
    <w:rsid w:val="00425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42324">
      <w:bodyDiv w:val="1"/>
      <w:marLeft w:val="0"/>
      <w:marRight w:val="0"/>
      <w:marTop w:val="0"/>
      <w:marBottom w:val="0"/>
      <w:divBdr>
        <w:top w:val="none" w:sz="0" w:space="0" w:color="auto"/>
        <w:left w:val="none" w:sz="0" w:space="0" w:color="auto"/>
        <w:bottom w:val="none" w:sz="0" w:space="0" w:color="auto"/>
        <w:right w:val="none" w:sz="0" w:space="0" w:color="auto"/>
      </w:divBdr>
    </w:div>
    <w:div w:id="175004509">
      <w:bodyDiv w:val="1"/>
      <w:marLeft w:val="0"/>
      <w:marRight w:val="0"/>
      <w:marTop w:val="0"/>
      <w:marBottom w:val="0"/>
      <w:divBdr>
        <w:top w:val="none" w:sz="0" w:space="0" w:color="auto"/>
        <w:left w:val="none" w:sz="0" w:space="0" w:color="auto"/>
        <w:bottom w:val="none" w:sz="0" w:space="0" w:color="auto"/>
        <w:right w:val="none" w:sz="0" w:space="0" w:color="auto"/>
      </w:divBdr>
    </w:div>
    <w:div w:id="181478829">
      <w:bodyDiv w:val="1"/>
      <w:marLeft w:val="0"/>
      <w:marRight w:val="0"/>
      <w:marTop w:val="0"/>
      <w:marBottom w:val="0"/>
      <w:divBdr>
        <w:top w:val="none" w:sz="0" w:space="0" w:color="auto"/>
        <w:left w:val="none" w:sz="0" w:space="0" w:color="auto"/>
        <w:bottom w:val="none" w:sz="0" w:space="0" w:color="auto"/>
        <w:right w:val="none" w:sz="0" w:space="0" w:color="auto"/>
      </w:divBdr>
    </w:div>
    <w:div w:id="360715920">
      <w:bodyDiv w:val="1"/>
      <w:marLeft w:val="0"/>
      <w:marRight w:val="0"/>
      <w:marTop w:val="0"/>
      <w:marBottom w:val="0"/>
      <w:divBdr>
        <w:top w:val="none" w:sz="0" w:space="0" w:color="auto"/>
        <w:left w:val="none" w:sz="0" w:space="0" w:color="auto"/>
        <w:bottom w:val="none" w:sz="0" w:space="0" w:color="auto"/>
        <w:right w:val="none" w:sz="0" w:space="0" w:color="auto"/>
      </w:divBdr>
    </w:div>
    <w:div w:id="562183454">
      <w:bodyDiv w:val="1"/>
      <w:marLeft w:val="0"/>
      <w:marRight w:val="0"/>
      <w:marTop w:val="0"/>
      <w:marBottom w:val="0"/>
      <w:divBdr>
        <w:top w:val="none" w:sz="0" w:space="0" w:color="auto"/>
        <w:left w:val="none" w:sz="0" w:space="0" w:color="auto"/>
        <w:bottom w:val="none" w:sz="0" w:space="0" w:color="auto"/>
        <w:right w:val="none" w:sz="0" w:space="0" w:color="auto"/>
      </w:divBdr>
    </w:div>
    <w:div w:id="639651739">
      <w:bodyDiv w:val="1"/>
      <w:marLeft w:val="0"/>
      <w:marRight w:val="0"/>
      <w:marTop w:val="0"/>
      <w:marBottom w:val="0"/>
      <w:divBdr>
        <w:top w:val="none" w:sz="0" w:space="0" w:color="auto"/>
        <w:left w:val="none" w:sz="0" w:space="0" w:color="auto"/>
        <w:bottom w:val="none" w:sz="0" w:space="0" w:color="auto"/>
        <w:right w:val="none" w:sz="0" w:space="0" w:color="auto"/>
      </w:divBdr>
    </w:div>
    <w:div w:id="675379822">
      <w:bodyDiv w:val="1"/>
      <w:marLeft w:val="0"/>
      <w:marRight w:val="0"/>
      <w:marTop w:val="0"/>
      <w:marBottom w:val="0"/>
      <w:divBdr>
        <w:top w:val="none" w:sz="0" w:space="0" w:color="auto"/>
        <w:left w:val="none" w:sz="0" w:space="0" w:color="auto"/>
        <w:bottom w:val="none" w:sz="0" w:space="0" w:color="auto"/>
        <w:right w:val="none" w:sz="0" w:space="0" w:color="auto"/>
      </w:divBdr>
    </w:div>
    <w:div w:id="950207721">
      <w:bodyDiv w:val="1"/>
      <w:marLeft w:val="0"/>
      <w:marRight w:val="0"/>
      <w:marTop w:val="0"/>
      <w:marBottom w:val="0"/>
      <w:divBdr>
        <w:top w:val="none" w:sz="0" w:space="0" w:color="auto"/>
        <w:left w:val="none" w:sz="0" w:space="0" w:color="auto"/>
        <w:bottom w:val="none" w:sz="0" w:space="0" w:color="auto"/>
        <w:right w:val="none" w:sz="0" w:space="0" w:color="auto"/>
      </w:divBdr>
    </w:div>
    <w:div w:id="975454369">
      <w:bodyDiv w:val="1"/>
      <w:marLeft w:val="0"/>
      <w:marRight w:val="0"/>
      <w:marTop w:val="0"/>
      <w:marBottom w:val="0"/>
      <w:divBdr>
        <w:top w:val="none" w:sz="0" w:space="0" w:color="auto"/>
        <w:left w:val="none" w:sz="0" w:space="0" w:color="auto"/>
        <w:bottom w:val="none" w:sz="0" w:space="0" w:color="auto"/>
        <w:right w:val="none" w:sz="0" w:space="0" w:color="auto"/>
      </w:divBdr>
    </w:div>
    <w:div w:id="989795448">
      <w:bodyDiv w:val="1"/>
      <w:marLeft w:val="0"/>
      <w:marRight w:val="0"/>
      <w:marTop w:val="0"/>
      <w:marBottom w:val="0"/>
      <w:divBdr>
        <w:top w:val="none" w:sz="0" w:space="0" w:color="auto"/>
        <w:left w:val="none" w:sz="0" w:space="0" w:color="auto"/>
        <w:bottom w:val="none" w:sz="0" w:space="0" w:color="auto"/>
        <w:right w:val="none" w:sz="0" w:space="0" w:color="auto"/>
      </w:divBdr>
    </w:div>
    <w:div w:id="1142502736">
      <w:bodyDiv w:val="1"/>
      <w:marLeft w:val="0"/>
      <w:marRight w:val="0"/>
      <w:marTop w:val="0"/>
      <w:marBottom w:val="0"/>
      <w:divBdr>
        <w:top w:val="none" w:sz="0" w:space="0" w:color="auto"/>
        <w:left w:val="none" w:sz="0" w:space="0" w:color="auto"/>
        <w:bottom w:val="none" w:sz="0" w:space="0" w:color="auto"/>
        <w:right w:val="none" w:sz="0" w:space="0" w:color="auto"/>
      </w:divBdr>
      <w:divsChild>
        <w:div w:id="1194608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5112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25989393">
      <w:bodyDiv w:val="1"/>
      <w:marLeft w:val="0"/>
      <w:marRight w:val="0"/>
      <w:marTop w:val="0"/>
      <w:marBottom w:val="0"/>
      <w:divBdr>
        <w:top w:val="none" w:sz="0" w:space="0" w:color="auto"/>
        <w:left w:val="none" w:sz="0" w:space="0" w:color="auto"/>
        <w:bottom w:val="none" w:sz="0" w:space="0" w:color="auto"/>
        <w:right w:val="none" w:sz="0" w:space="0" w:color="auto"/>
      </w:divBdr>
    </w:div>
    <w:div w:id="1309167369">
      <w:bodyDiv w:val="1"/>
      <w:marLeft w:val="0"/>
      <w:marRight w:val="0"/>
      <w:marTop w:val="0"/>
      <w:marBottom w:val="0"/>
      <w:divBdr>
        <w:top w:val="none" w:sz="0" w:space="0" w:color="auto"/>
        <w:left w:val="none" w:sz="0" w:space="0" w:color="auto"/>
        <w:bottom w:val="none" w:sz="0" w:space="0" w:color="auto"/>
        <w:right w:val="none" w:sz="0" w:space="0" w:color="auto"/>
      </w:divBdr>
    </w:div>
    <w:div w:id="1357345799">
      <w:bodyDiv w:val="1"/>
      <w:marLeft w:val="0"/>
      <w:marRight w:val="0"/>
      <w:marTop w:val="0"/>
      <w:marBottom w:val="0"/>
      <w:divBdr>
        <w:top w:val="none" w:sz="0" w:space="0" w:color="auto"/>
        <w:left w:val="none" w:sz="0" w:space="0" w:color="auto"/>
        <w:bottom w:val="none" w:sz="0" w:space="0" w:color="auto"/>
        <w:right w:val="none" w:sz="0" w:space="0" w:color="auto"/>
      </w:divBdr>
    </w:div>
    <w:div w:id="1403139141">
      <w:bodyDiv w:val="1"/>
      <w:marLeft w:val="0"/>
      <w:marRight w:val="0"/>
      <w:marTop w:val="0"/>
      <w:marBottom w:val="0"/>
      <w:divBdr>
        <w:top w:val="none" w:sz="0" w:space="0" w:color="auto"/>
        <w:left w:val="none" w:sz="0" w:space="0" w:color="auto"/>
        <w:bottom w:val="none" w:sz="0" w:space="0" w:color="auto"/>
        <w:right w:val="none" w:sz="0" w:space="0" w:color="auto"/>
      </w:divBdr>
    </w:div>
    <w:div w:id="1450198720">
      <w:bodyDiv w:val="1"/>
      <w:marLeft w:val="0"/>
      <w:marRight w:val="0"/>
      <w:marTop w:val="0"/>
      <w:marBottom w:val="0"/>
      <w:divBdr>
        <w:top w:val="none" w:sz="0" w:space="0" w:color="auto"/>
        <w:left w:val="none" w:sz="0" w:space="0" w:color="auto"/>
        <w:bottom w:val="none" w:sz="0" w:space="0" w:color="auto"/>
        <w:right w:val="none" w:sz="0" w:space="0" w:color="auto"/>
      </w:divBdr>
    </w:div>
    <w:div w:id="1480687379">
      <w:bodyDiv w:val="1"/>
      <w:marLeft w:val="0"/>
      <w:marRight w:val="0"/>
      <w:marTop w:val="0"/>
      <w:marBottom w:val="0"/>
      <w:divBdr>
        <w:top w:val="none" w:sz="0" w:space="0" w:color="auto"/>
        <w:left w:val="none" w:sz="0" w:space="0" w:color="auto"/>
        <w:bottom w:val="none" w:sz="0" w:space="0" w:color="auto"/>
        <w:right w:val="none" w:sz="0" w:space="0" w:color="auto"/>
      </w:divBdr>
    </w:div>
    <w:div w:id="1533181791">
      <w:bodyDiv w:val="1"/>
      <w:marLeft w:val="0"/>
      <w:marRight w:val="0"/>
      <w:marTop w:val="0"/>
      <w:marBottom w:val="0"/>
      <w:divBdr>
        <w:top w:val="none" w:sz="0" w:space="0" w:color="auto"/>
        <w:left w:val="none" w:sz="0" w:space="0" w:color="auto"/>
        <w:bottom w:val="none" w:sz="0" w:space="0" w:color="auto"/>
        <w:right w:val="none" w:sz="0" w:space="0" w:color="auto"/>
      </w:divBdr>
      <w:divsChild>
        <w:div w:id="89591561">
          <w:marLeft w:val="0"/>
          <w:marRight w:val="0"/>
          <w:marTop w:val="0"/>
          <w:marBottom w:val="0"/>
          <w:divBdr>
            <w:top w:val="none" w:sz="0" w:space="0" w:color="auto"/>
            <w:left w:val="none" w:sz="0" w:space="0" w:color="auto"/>
            <w:bottom w:val="none" w:sz="0" w:space="0" w:color="auto"/>
            <w:right w:val="none" w:sz="0" w:space="0" w:color="auto"/>
          </w:divBdr>
          <w:divsChild>
            <w:div w:id="535898962">
              <w:marLeft w:val="0"/>
              <w:marRight w:val="0"/>
              <w:marTop w:val="0"/>
              <w:marBottom w:val="0"/>
              <w:divBdr>
                <w:top w:val="none" w:sz="0" w:space="0" w:color="auto"/>
                <w:left w:val="none" w:sz="0" w:space="0" w:color="auto"/>
                <w:bottom w:val="none" w:sz="0" w:space="0" w:color="auto"/>
                <w:right w:val="none" w:sz="0" w:space="0" w:color="auto"/>
              </w:divBdr>
              <w:divsChild>
                <w:div w:id="1582910984">
                  <w:marLeft w:val="0"/>
                  <w:marRight w:val="0"/>
                  <w:marTop w:val="0"/>
                  <w:marBottom w:val="0"/>
                  <w:divBdr>
                    <w:top w:val="none" w:sz="0" w:space="0" w:color="auto"/>
                    <w:left w:val="none" w:sz="0" w:space="0" w:color="auto"/>
                    <w:bottom w:val="none" w:sz="0" w:space="0" w:color="auto"/>
                    <w:right w:val="none" w:sz="0" w:space="0" w:color="auto"/>
                  </w:divBdr>
                  <w:divsChild>
                    <w:div w:id="1524321935">
                      <w:marLeft w:val="0"/>
                      <w:marRight w:val="0"/>
                      <w:marTop w:val="0"/>
                      <w:marBottom w:val="0"/>
                      <w:divBdr>
                        <w:top w:val="none" w:sz="0" w:space="0" w:color="auto"/>
                        <w:left w:val="none" w:sz="0" w:space="0" w:color="auto"/>
                        <w:bottom w:val="none" w:sz="0" w:space="0" w:color="auto"/>
                        <w:right w:val="none" w:sz="0" w:space="0" w:color="auto"/>
                      </w:divBdr>
                      <w:divsChild>
                        <w:div w:id="2049644518">
                          <w:marLeft w:val="0"/>
                          <w:marRight w:val="0"/>
                          <w:marTop w:val="0"/>
                          <w:marBottom w:val="0"/>
                          <w:divBdr>
                            <w:top w:val="none" w:sz="0" w:space="0" w:color="auto"/>
                            <w:left w:val="none" w:sz="0" w:space="0" w:color="auto"/>
                            <w:bottom w:val="none" w:sz="0" w:space="0" w:color="auto"/>
                            <w:right w:val="none" w:sz="0" w:space="0" w:color="auto"/>
                          </w:divBdr>
                          <w:divsChild>
                            <w:div w:id="209573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911213">
      <w:bodyDiv w:val="1"/>
      <w:marLeft w:val="0"/>
      <w:marRight w:val="0"/>
      <w:marTop w:val="0"/>
      <w:marBottom w:val="0"/>
      <w:divBdr>
        <w:top w:val="none" w:sz="0" w:space="0" w:color="auto"/>
        <w:left w:val="none" w:sz="0" w:space="0" w:color="auto"/>
        <w:bottom w:val="none" w:sz="0" w:space="0" w:color="auto"/>
        <w:right w:val="none" w:sz="0" w:space="0" w:color="auto"/>
      </w:divBdr>
    </w:div>
    <w:div w:id="1780248634">
      <w:bodyDiv w:val="1"/>
      <w:marLeft w:val="0"/>
      <w:marRight w:val="0"/>
      <w:marTop w:val="0"/>
      <w:marBottom w:val="0"/>
      <w:divBdr>
        <w:top w:val="none" w:sz="0" w:space="0" w:color="auto"/>
        <w:left w:val="none" w:sz="0" w:space="0" w:color="auto"/>
        <w:bottom w:val="none" w:sz="0" w:space="0" w:color="auto"/>
        <w:right w:val="none" w:sz="0" w:space="0" w:color="auto"/>
      </w:divBdr>
    </w:div>
    <w:div w:id="1956859884">
      <w:bodyDiv w:val="1"/>
      <w:marLeft w:val="0"/>
      <w:marRight w:val="0"/>
      <w:marTop w:val="0"/>
      <w:marBottom w:val="0"/>
      <w:divBdr>
        <w:top w:val="none" w:sz="0" w:space="0" w:color="auto"/>
        <w:left w:val="none" w:sz="0" w:space="0" w:color="auto"/>
        <w:bottom w:val="none" w:sz="0" w:space="0" w:color="auto"/>
        <w:right w:val="none" w:sz="0" w:space="0" w:color="auto"/>
      </w:divBdr>
    </w:div>
    <w:div w:id="2002998010">
      <w:bodyDiv w:val="1"/>
      <w:marLeft w:val="0"/>
      <w:marRight w:val="0"/>
      <w:marTop w:val="0"/>
      <w:marBottom w:val="0"/>
      <w:divBdr>
        <w:top w:val="none" w:sz="0" w:space="0" w:color="auto"/>
        <w:left w:val="none" w:sz="0" w:space="0" w:color="auto"/>
        <w:bottom w:val="none" w:sz="0" w:space="0" w:color="auto"/>
        <w:right w:val="none" w:sz="0" w:space="0" w:color="auto"/>
      </w:divBdr>
    </w:div>
    <w:div w:id="2010331251">
      <w:bodyDiv w:val="1"/>
      <w:marLeft w:val="0"/>
      <w:marRight w:val="0"/>
      <w:marTop w:val="0"/>
      <w:marBottom w:val="0"/>
      <w:divBdr>
        <w:top w:val="none" w:sz="0" w:space="0" w:color="auto"/>
        <w:left w:val="none" w:sz="0" w:space="0" w:color="auto"/>
        <w:bottom w:val="none" w:sz="0" w:space="0" w:color="auto"/>
        <w:right w:val="none" w:sz="0" w:space="0" w:color="auto"/>
      </w:divBdr>
    </w:div>
    <w:div w:id="211315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nguee.es/ingles-espanol/traduccion/vis-%C3%A0-vi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peru.justia.com/federales/decretos-leyes/18350-jul-27-1970/gdoc/" TargetMode="External"/><Relationship Id="rId7" Type="http://schemas.openxmlformats.org/officeDocument/2006/relationships/hyperlink" Target="http://dle.rae.es" TargetMode="External"/><Relationship Id="rId2" Type="http://schemas.openxmlformats.org/officeDocument/2006/relationships/hyperlink" Target="http://www.corteidh.or.cr/docs/asuntos/%20lagos_21_11_16.pdf" TargetMode="External"/><Relationship Id="rId1" Type="http://schemas.openxmlformats.org/officeDocument/2006/relationships/hyperlink" Target="http://www.corteidh.or.cr/docs/asuntos/lagos_fv_16.pdf" TargetMode="External"/><Relationship Id="rId6" Type="http://schemas.openxmlformats.org/officeDocument/2006/relationships/hyperlink" Target="http://www.corteidh.or.cr/docs/%20asuntos/lagos_fv_16.pdf" TargetMode="External"/><Relationship Id="rId5" Type="http://schemas.openxmlformats.org/officeDocument/2006/relationships/hyperlink" Target="http://www.corteidh.or.cr/docs/casos/articulos/seriec_182_esp.pdf" TargetMode="External"/><Relationship Id="rId4" Type="http://schemas.openxmlformats.org/officeDocument/2006/relationships/hyperlink" Target="http://docs.peru.justia.com/federales/decretos-leyes/18384-sep-1-197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15BEBE2BF87F40A76A9C926EBECC0C" ma:contentTypeVersion="0" ma:contentTypeDescription="Create a new document." ma:contentTypeScope="" ma:versionID="ad8069bb81a7b5dc5c766ad6aa2648b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0D056-FB99-429F-864A-A8E4EABE7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2E841CC-5D21-443A-BA07-FF53FFFCF4B1}">
  <ds:schemaRefs>
    <ds:schemaRef ds:uri="http://schemas.microsoft.com/office/2006/metadata/properties"/>
  </ds:schemaRefs>
</ds:datastoreItem>
</file>

<file path=customXml/itemProps3.xml><?xml version="1.0" encoding="utf-8"?>
<ds:datastoreItem xmlns:ds="http://schemas.openxmlformats.org/officeDocument/2006/customXml" ds:itemID="{D6B0510B-2154-4936-B6C9-9102AA458871}">
  <ds:schemaRefs>
    <ds:schemaRef ds:uri="http://schemas.microsoft.com/sharepoint/v3/contenttype/forms"/>
  </ds:schemaRefs>
</ds:datastoreItem>
</file>

<file path=customXml/itemProps4.xml><?xml version="1.0" encoding="utf-8"?>
<ds:datastoreItem xmlns:ds="http://schemas.openxmlformats.org/officeDocument/2006/customXml" ds:itemID="{231BE5F1-CF86-43CA-B12B-01ED3002C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119</Pages>
  <Words>50379</Words>
  <Characters>277089</Characters>
  <Application>Microsoft Office Word</Application>
  <DocSecurity>0</DocSecurity>
  <Lines>2309</Lines>
  <Paragraphs>653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Corte IDH</dc:creator>
  <cp:lastModifiedBy>Francella Hernandez</cp:lastModifiedBy>
  <cp:revision>3</cp:revision>
  <cp:lastPrinted>2020-06-04T21:56:00Z</cp:lastPrinted>
  <dcterms:created xsi:type="dcterms:W3CDTF">2020-06-04T21:55:00Z</dcterms:created>
  <dcterms:modified xsi:type="dcterms:W3CDTF">2020-06-04T23:01:00Z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0x010100D015BEBE2BF87F40A76A9C926EBECC0C</vt:lpwstr>
  </property>
  <property fmtid="{D5CDD505-2E9C-101B-9397-08002B2CF9AE}" pid="3" name="_DocHome">
    <vt:i4>-320132752</vt:i4>
  </property>
</Properties>
</file>